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aconcuadrcula"/>
        <w:tblpPr w:leftFromText="141" w:rightFromText="141" w:vertAnchor="text" w:horzAnchor="margin" w:tblpY="-576"/>
        <w:tblW w:w="99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7"/>
        <w:gridCol w:w="3489"/>
        <w:gridCol w:w="1665"/>
        <w:gridCol w:w="3261"/>
      </w:tblGrid>
      <w:tr w:rsidR="005C58B0" w:rsidTr="007411D3">
        <w:trPr>
          <w:trHeight w:val="2293"/>
        </w:trPr>
        <w:tc>
          <w:tcPr>
            <w:tcW w:w="934" w:type="dxa"/>
          </w:tcPr>
          <w:p w:rsidR="00000C40" w:rsidRDefault="00000C40" w:rsidP="00204420">
            <w:pPr>
              <w:jc w:val="center"/>
              <w:rPr>
                <w:rFonts w:ascii="Arial" w:hAnsi="Arial"/>
                <w:noProof/>
                <w:color w:val="333399"/>
                <w:sz w:val="32"/>
                <w:szCs w:val="32"/>
                <w:lang w:val="en-US"/>
              </w:rPr>
            </w:pPr>
            <w:r>
              <w:rPr>
                <w:noProof/>
                <w:lang w:val="en-US"/>
              </w:rPr>
              <w:drawing>
                <wp:inline distT="0" distB="0" distL="0" distR="0">
                  <wp:extent cx="948922" cy="1038225"/>
                  <wp:effectExtent l="0" t="0" r="3810" b="0"/>
                  <wp:docPr id="1674859460" name="Imagen 1674859460" descr="Por mi raza hablará el espíritu”, el despertar de una larga noche de  opresión: Vasconce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or mi raza hablará el espíritu”, el despertar de una larga noche de  opresión: Vasconcelo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6424" cy="1057374"/>
                          </a:xfrm>
                          <a:prstGeom prst="rect">
                            <a:avLst/>
                          </a:prstGeom>
                          <a:noFill/>
                          <a:ln>
                            <a:noFill/>
                          </a:ln>
                        </pic:spPr>
                      </pic:pic>
                    </a:graphicData>
                  </a:graphic>
                </wp:inline>
              </w:drawing>
            </w:r>
          </w:p>
        </w:tc>
        <w:tc>
          <w:tcPr>
            <w:tcW w:w="934" w:type="dxa"/>
          </w:tcPr>
          <w:p w:rsidR="00000C40" w:rsidRDefault="00051E97" w:rsidP="00204420">
            <w:pPr>
              <w:jc w:val="center"/>
              <w:rPr>
                <w:rFonts w:ascii="Arial" w:hAnsi="Arial"/>
                <w:noProof/>
                <w:color w:val="333399"/>
                <w:sz w:val="32"/>
                <w:szCs w:val="32"/>
                <w:lang w:val="en-US"/>
              </w:rPr>
            </w:pPr>
            <w:r>
              <w:rPr>
                <w:rFonts w:ascii="Arial" w:hAnsi="Arial"/>
                <w:noProof/>
                <w:color w:val="333399"/>
                <w:sz w:val="32"/>
                <w:szCs w:val="32"/>
                <w:lang w:val="en-US"/>
              </w:rPr>
              <w:drawing>
                <wp:anchor distT="0" distB="0" distL="0" distR="0" simplePos="0" relativeHeight="251769856" behindDoc="0" locked="0" layoutInCell="1" allowOverlap="1" wp14:anchorId="5F39B976" wp14:editId="448CC473">
                  <wp:simplePos x="0" y="0"/>
                  <wp:positionH relativeFrom="column">
                    <wp:posOffset>-68580</wp:posOffset>
                  </wp:positionH>
                  <wp:positionV relativeFrom="line">
                    <wp:posOffset>0</wp:posOffset>
                  </wp:positionV>
                  <wp:extent cx="2324100" cy="1092297"/>
                  <wp:effectExtent l="0" t="0" r="0" b="0"/>
                  <wp:wrapSquare wrapText="bothSides"/>
                  <wp:docPr id="436" name="Imagen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35542" cy="1097674"/>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287" w:type="dxa"/>
          </w:tcPr>
          <w:p w:rsidR="00000C40" w:rsidRDefault="004B6CA3" w:rsidP="00204420">
            <w:pPr>
              <w:jc w:val="center"/>
              <w:rPr>
                <w:rFonts w:ascii="Arial" w:hAnsi="Arial"/>
                <w:color w:val="333399"/>
                <w:sz w:val="32"/>
                <w:szCs w:val="32"/>
              </w:rPr>
            </w:pPr>
            <w:r>
              <w:rPr>
                <w:noProof/>
                <w:lang w:val="en-US"/>
              </w:rPr>
              <w:drawing>
                <wp:inline distT="0" distB="0" distL="0" distR="0" wp14:anchorId="0C166DA2" wp14:editId="5378A469">
                  <wp:extent cx="1019175" cy="1019175"/>
                  <wp:effectExtent l="0" t="0" r="9525" b="9525"/>
                  <wp:docPr id="1674859462" name="Imagen 1674859462" descr="http://comcapla.org/assets/images/logoAlternoComcap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comcapla.org/assets/images/logoAlternoComcapla.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a:ln>
                            <a:noFill/>
                          </a:ln>
                        </pic:spPr>
                      </pic:pic>
                    </a:graphicData>
                  </a:graphic>
                </wp:inline>
              </w:drawing>
            </w:r>
          </w:p>
          <w:p w:rsidR="00000C40" w:rsidRDefault="00000C40" w:rsidP="00204420">
            <w:pPr>
              <w:jc w:val="center"/>
              <w:rPr>
                <w:rFonts w:ascii="Arial" w:hAnsi="Arial"/>
                <w:color w:val="333399"/>
                <w:sz w:val="32"/>
                <w:szCs w:val="32"/>
              </w:rPr>
            </w:pPr>
          </w:p>
          <w:p w:rsidR="00000C40" w:rsidRDefault="00000C40" w:rsidP="00204420">
            <w:pPr>
              <w:jc w:val="center"/>
              <w:rPr>
                <w:rFonts w:ascii="Arial" w:hAnsi="Arial"/>
                <w:color w:val="333399"/>
                <w:sz w:val="32"/>
                <w:szCs w:val="32"/>
              </w:rPr>
            </w:pPr>
          </w:p>
          <w:p w:rsidR="00000C40" w:rsidRDefault="00000C40" w:rsidP="00204420">
            <w:pPr>
              <w:jc w:val="center"/>
              <w:rPr>
                <w:rFonts w:ascii="Arial" w:hAnsi="Arial"/>
                <w:color w:val="333399"/>
                <w:sz w:val="32"/>
                <w:szCs w:val="32"/>
              </w:rPr>
            </w:pPr>
          </w:p>
        </w:tc>
        <w:tc>
          <w:tcPr>
            <w:tcW w:w="3807" w:type="dxa"/>
          </w:tcPr>
          <w:p w:rsidR="00000C40" w:rsidRDefault="00000C40" w:rsidP="00204420">
            <w:pPr>
              <w:jc w:val="right"/>
              <w:rPr>
                <w:rFonts w:ascii="Arial" w:hAnsi="Arial"/>
                <w:color w:val="333399"/>
                <w:sz w:val="32"/>
                <w:szCs w:val="32"/>
              </w:rPr>
            </w:pPr>
            <w:r>
              <w:rPr>
                <w:rFonts w:ascii="Arial" w:hAnsi="Arial"/>
                <w:noProof/>
                <w:color w:val="333399"/>
                <w:sz w:val="32"/>
                <w:szCs w:val="32"/>
                <w:lang w:val="en-US"/>
              </w:rPr>
              <w:drawing>
                <wp:inline distT="0" distB="0" distL="0" distR="0" wp14:anchorId="10932F5D" wp14:editId="798CBE0D">
                  <wp:extent cx="2152650" cy="1042670"/>
                  <wp:effectExtent l="0" t="0" r="9525" b="5080"/>
                  <wp:docPr id="435" name="Imagen 435" descr="E:\contribuciones Cutberto\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E:\contribuciones Cutberto\logo.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52650" cy="1042670"/>
                          </a:xfrm>
                          <a:prstGeom prst="rect">
                            <a:avLst/>
                          </a:prstGeom>
                          <a:noFill/>
                          <a:ln>
                            <a:noFill/>
                          </a:ln>
                        </pic:spPr>
                      </pic:pic>
                    </a:graphicData>
                  </a:graphic>
                </wp:inline>
              </w:drawing>
            </w:r>
          </w:p>
        </w:tc>
      </w:tr>
    </w:tbl>
    <w:p w:rsidR="00D64DFC" w:rsidRDefault="00D64DFC" w:rsidP="00D64DFC">
      <w:pPr>
        <w:pStyle w:val="Header01"/>
        <w:rPr>
          <w:b/>
          <w:bCs/>
          <w:color w:val="333399"/>
          <w:sz w:val="26"/>
          <w:szCs w:val="26"/>
          <w:lang w:val="es-ES"/>
        </w:rPr>
      </w:pPr>
    </w:p>
    <w:p w:rsidR="00D64DFC" w:rsidRDefault="00DE4B59" w:rsidP="00D64DFC">
      <w:pPr>
        <w:pStyle w:val="Header01"/>
        <w:jc w:val="center"/>
        <w:rPr>
          <w:b/>
          <w:bCs/>
          <w:color w:val="333399"/>
          <w:sz w:val="40"/>
          <w:szCs w:val="40"/>
          <w:lang w:val="es-ES"/>
        </w:rPr>
      </w:pPr>
      <w:r>
        <w:rPr>
          <w:noProof/>
          <w:lang w:eastAsia="en-US"/>
        </w:rPr>
        <w:drawing>
          <wp:inline distT="0" distB="0" distL="0" distR="0">
            <wp:extent cx="2675421" cy="1003777"/>
            <wp:effectExtent l="0" t="0" r="0" b="6350"/>
            <wp:docPr id="2026623734" name="Imagen 2026623734" descr="http://comcapla.org/assets/images/organizadores/u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comcapla.org/assets/images/organizadores/ucr.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36487" cy="1026688"/>
                    </a:xfrm>
                    <a:prstGeom prst="rect">
                      <a:avLst/>
                    </a:prstGeom>
                    <a:noFill/>
                    <a:ln>
                      <a:noFill/>
                    </a:ln>
                  </pic:spPr>
                </pic:pic>
              </a:graphicData>
            </a:graphic>
          </wp:inline>
        </w:drawing>
      </w:r>
    </w:p>
    <w:p w:rsidR="00D64DFC" w:rsidRDefault="00D64DFC" w:rsidP="00D64DFC">
      <w:pPr>
        <w:pStyle w:val="Header01"/>
        <w:jc w:val="center"/>
        <w:rPr>
          <w:b/>
          <w:bCs/>
          <w:color w:val="333399"/>
          <w:sz w:val="40"/>
          <w:szCs w:val="40"/>
          <w:lang w:val="es-ES"/>
        </w:rPr>
      </w:pPr>
    </w:p>
    <w:p w:rsidR="00D64DFC" w:rsidRDefault="00D64DFC" w:rsidP="00D64DFC">
      <w:pPr>
        <w:pStyle w:val="Header01"/>
        <w:jc w:val="center"/>
        <w:rPr>
          <w:b/>
          <w:bCs/>
          <w:color w:val="333399"/>
          <w:sz w:val="40"/>
          <w:szCs w:val="40"/>
          <w:lang w:val="es-ES"/>
        </w:rPr>
      </w:pPr>
    </w:p>
    <w:p w:rsidR="00D64DFC" w:rsidRPr="009065DB" w:rsidRDefault="00D64DFC" w:rsidP="00D64DFC">
      <w:pPr>
        <w:pStyle w:val="Header01"/>
        <w:jc w:val="center"/>
        <w:rPr>
          <w:b/>
          <w:bCs/>
          <w:color w:val="auto"/>
          <w:sz w:val="40"/>
          <w:szCs w:val="40"/>
          <w:lang w:val="es-ES"/>
        </w:rPr>
      </w:pPr>
    </w:p>
    <w:p w:rsidR="00D64DFC" w:rsidRPr="00C924B6" w:rsidRDefault="00220389" w:rsidP="00D64DFC">
      <w:pPr>
        <w:pStyle w:val="Prrafodelista"/>
        <w:ind w:left="360"/>
        <w:jc w:val="center"/>
        <w:rPr>
          <w:rFonts w:ascii="Arial" w:hAnsi="Arial" w:cs="Arial"/>
          <w:b/>
          <w:i/>
          <w:sz w:val="32"/>
          <w:szCs w:val="32"/>
          <w:u w:val="single"/>
        </w:rPr>
      </w:pPr>
      <w:r>
        <w:rPr>
          <w:rFonts w:ascii="Arial" w:hAnsi="Arial" w:cs="Arial"/>
          <w:b/>
          <w:i/>
          <w:sz w:val="32"/>
          <w:szCs w:val="32"/>
          <w:u w:val="single"/>
        </w:rPr>
        <w:t>CIENCIAS APLICADAS</w:t>
      </w:r>
    </w:p>
    <w:p w:rsidR="00D64DFC" w:rsidRPr="009065DB" w:rsidRDefault="00D64DFC" w:rsidP="00D64DFC">
      <w:pPr>
        <w:pStyle w:val="Header01"/>
        <w:jc w:val="center"/>
        <w:rPr>
          <w:b/>
          <w:bCs/>
          <w:color w:val="auto"/>
          <w:sz w:val="40"/>
          <w:szCs w:val="40"/>
          <w:lang w:val="es-ES"/>
        </w:rPr>
      </w:pPr>
    </w:p>
    <w:p w:rsidR="00D64DFC" w:rsidRPr="009065DB" w:rsidRDefault="00D64DFC" w:rsidP="00D64DFC">
      <w:pPr>
        <w:pStyle w:val="Header01"/>
        <w:jc w:val="center"/>
        <w:rPr>
          <w:b/>
          <w:bCs/>
          <w:color w:val="auto"/>
          <w:sz w:val="40"/>
          <w:szCs w:val="40"/>
          <w:lang w:val="es-ES"/>
        </w:rPr>
      </w:pPr>
    </w:p>
    <w:p w:rsidR="00D64DFC" w:rsidRPr="009065DB" w:rsidRDefault="00D64DFC" w:rsidP="00D64DFC">
      <w:pPr>
        <w:pStyle w:val="Header01"/>
        <w:jc w:val="center"/>
        <w:rPr>
          <w:b/>
          <w:bCs/>
          <w:color w:val="auto"/>
          <w:sz w:val="40"/>
          <w:szCs w:val="40"/>
          <w:lang w:val="es-ES"/>
        </w:rPr>
      </w:pPr>
    </w:p>
    <w:p w:rsidR="00D64DFC" w:rsidRPr="001F1A45" w:rsidRDefault="00D64DFC" w:rsidP="00D64DFC">
      <w:pPr>
        <w:widowControl w:val="0"/>
        <w:autoSpaceDE w:val="0"/>
        <w:autoSpaceDN w:val="0"/>
        <w:adjustRightInd w:val="0"/>
        <w:spacing w:after="240"/>
        <w:jc w:val="center"/>
        <w:rPr>
          <w:rFonts w:ascii="Arial" w:hAnsi="Arial" w:cs="Arial"/>
          <w:b/>
          <w:bCs/>
          <w:iCs/>
          <w:sz w:val="28"/>
          <w:szCs w:val="28"/>
        </w:rPr>
      </w:pPr>
      <w:r w:rsidRPr="001F1A45">
        <w:rPr>
          <w:rFonts w:ascii="Arial" w:hAnsi="Arial" w:cs="Arial"/>
          <w:b/>
          <w:bCs/>
          <w:iCs/>
          <w:sz w:val="28"/>
          <w:szCs w:val="28"/>
        </w:rPr>
        <w:t>Compiladores:</w:t>
      </w:r>
    </w:p>
    <w:p w:rsidR="006C5BFB" w:rsidRPr="001F1A45" w:rsidRDefault="006C5BFB" w:rsidP="006C5BFB">
      <w:pPr>
        <w:widowControl w:val="0"/>
        <w:autoSpaceDE w:val="0"/>
        <w:autoSpaceDN w:val="0"/>
        <w:adjustRightInd w:val="0"/>
        <w:spacing w:after="240"/>
        <w:jc w:val="center"/>
        <w:rPr>
          <w:rFonts w:ascii="Arial" w:hAnsi="Arial" w:cs="Arial"/>
          <w:bCs/>
          <w:iCs/>
          <w:sz w:val="28"/>
          <w:szCs w:val="28"/>
        </w:rPr>
      </w:pPr>
      <w:r w:rsidRPr="001F1A45">
        <w:rPr>
          <w:rFonts w:ascii="Arial" w:hAnsi="Arial" w:cs="Arial"/>
          <w:bCs/>
          <w:iCs/>
          <w:sz w:val="28"/>
          <w:szCs w:val="28"/>
        </w:rPr>
        <w:t xml:space="preserve">Cutberto Romero Meléndez. </w:t>
      </w:r>
    </w:p>
    <w:p w:rsidR="00D64DFC" w:rsidRPr="001F1A45" w:rsidRDefault="00D64DFC" w:rsidP="00D64DFC">
      <w:pPr>
        <w:widowControl w:val="0"/>
        <w:autoSpaceDE w:val="0"/>
        <w:autoSpaceDN w:val="0"/>
        <w:adjustRightInd w:val="0"/>
        <w:spacing w:after="240"/>
        <w:jc w:val="center"/>
        <w:rPr>
          <w:rFonts w:ascii="Arial" w:hAnsi="Arial" w:cs="Arial"/>
          <w:bCs/>
          <w:iCs/>
          <w:sz w:val="28"/>
          <w:szCs w:val="28"/>
        </w:rPr>
      </w:pPr>
      <w:r w:rsidRPr="001F1A45">
        <w:rPr>
          <w:rFonts w:ascii="Arial" w:hAnsi="Arial" w:cs="Arial"/>
          <w:bCs/>
          <w:iCs/>
          <w:sz w:val="28"/>
          <w:szCs w:val="28"/>
        </w:rPr>
        <w:t xml:space="preserve">Francisco Montaño Cuahuilaz. </w:t>
      </w:r>
    </w:p>
    <w:p w:rsidR="00D64DFC" w:rsidRDefault="00D64DFC" w:rsidP="00D64DFC">
      <w:pPr>
        <w:pStyle w:val="Header01"/>
        <w:jc w:val="center"/>
        <w:rPr>
          <w:b/>
          <w:bCs/>
          <w:color w:val="333399"/>
          <w:sz w:val="40"/>
          <w:szCs w:val="40"/>
          <w:lang w:val="es-ES"/>
        </w:rPr>
      </w:pPr>
    </w:p>
    <w:p w:rsidR="00D64DFC" w:rsidRDefault="00D64DFC" w:rsidP="00D64DFC">
      <w:pPr>
        <w:pStyle w:val="Header01"/>
        <w:jc w:val="center"/>
        <w:rPr>
          <w:b/>
          <w:bCs/>
          <w:color w:val="333399"/>
          <w:sz w:val="40"/>
          <w:szCs w:val="40"/>
          <w:lang w:val="es-ES"/>
        </w:rPr>
      </w:pPr>
    </w:p>
    <w:p w:rsidR="00D64DFC" w:rsidRDefault="00D64DFC" w:rsidP="00D64DFC">
      <w:pPr>
        <w:pStyle w:val="Header01"/>
        <w:jc w:val="center"/>
        <w:rPr>
          <w:b/>
          <w:bCs/>
          <w:color w:val="333399"/>
          <w:sz w:val="40"/>
          <w:szCs w:val="40"/>
          <w:lang w:val="es-ES"/>
        </w:rPr>
      </w:pPr>
    </w:p>
    <w:p w:rsidR="00D64DFC" w:rsidRDefault="00D64DFC" w:rsidP="00D64DFC">
      <w:pPr>
        <w:pStyle w:val="Default"/>
      </w:pPr>
    </w:p>
    <w:p w:rsidR="00D64DFC" w:rsidRPr="009327A5" w:rsidRDefault="00D64DFC" w:rsidP="00D64DFC">
      <w:pPr>
        <w:pStyle w:val="Default"/>
        <w:jc w:val="center"/>
        <w:rPr>
          <w:sz w:val="48"/>
          <w:szCs w:val="48"/>
        </w:rPr>
      </w:pPr>
      <w:r w:rsidRPr="009327A5">
        <w:rPr>
          <w:b/>
          <w:bCs/>
          <w:sz w:val="48"/>
          <w:szCs w:val="48"/>
        </w:rPr>
        <w:t>Universidad Autónoma Metropolitana</w:t>
      </w:r>
    </w:p>
    <w:p w:rsidR="00D64DFC" w:rsidRPr="009327A5" w:rsidRDefault="00D64DFC" w:rsidP="00D64DFC">
      <w:pPr>
        <w:pStyle w:val="Header01"/>
        <w:jc w:val="center"/>
        <w:rPr>
          <w:b/>
          <w:bCs/>
          <w:color w:val="333399"/>
          <w:lang w:val="es-ES"/>
        </w:rPr>
      </w:pPr>
      <w:r w:rsidRPr="000574DA">
        <w:rPr>
          <w:b/>
          <w:bCs/>
          <w:color w:val="auto"/>
          <w:lang w:val="es-MX"/>
        </w:rPr>
        <w:t>Azcapotzalco</w:t>
      </w:r>
    </w:p>
    <w:p w:rsidR="00D64DFC" w:rsidRDefault="00D64DFC" w:rsidP="00D64DFC">
      <w:pPr>
        <w:pStyle w:val="Header01"/>
        <w:jc w:val="center"/>
        <w:rPr>
          <w:rFonts w:cs="Times"/>
          <w:bCs/>
          <w:iCs/>
          <w:lang w:val="es-ES"/>
        </w:rPr>
      </w:pPr>
      <w:r>
        <w:rPr>
          <w:rFonts w:cs="Times"/>
          <w:bCs/>
          <w:iCs/>
          <w:lang w:val="es-ES"/>
        </w:rPr>
        <w:t>Universida</w:t>
      </w:r>
    </w:p>
    <w:p w:rsidR="00D64DFC" w:rsidRPr="00122EE8" w:rsidRDefault="00D64DFC" w:rsidP="00D64DFC">
      <w:pPr>
        <w:jc w:val="center"/>
        <w:rPr>
          <w:rFonts w:ascii="Arial" w:hAnsi="Arial" w:cs="Arial"/>
          <w:b/>
          <w:color w:val="333399"/>
          <w:sz w:val="40"/>
          <w:szCs w:val="40"/>
        </w:rPr>
      </w:pPr>
      <w:r w:rsidRPr="00122EE8">
        <w:rPr>
          <w:rFonts w:ascii="Arial" w:hAnsi="Arial" w:cs="Arial"/>
          <w:b/>
          <w:bCs/>
          <w:iCs/>
          <w:sz w:val="40"/>
          <w:szCs w:val="40"/>
        </w:rPr>
        <w:lastRenderedPageBreak/>
        <w:t>Universidad Nacional Autónoma de México.</w:t>
      </w:r>
    </w:p>
    <w:p w:rsidR="00D64DFC" w:rsidRDefault="00D64DFC" w:rsidP="00D64DFC">
      <w:pPr>
        <w:pStyle w:val="Header01"/>
        <w:jc w:val="center"/>
        <w:rPr>
          <w:b/>
          <w:bCs/>
          <w:color w:val="333399"/>
          <w:sz w:val="40"/>
          <w:szCs w:val="40"/>
          <w:lang w:val="es-ES"/>
        </w:rPr>
      </w:pPr>
      <w:r>
        <w:rPr>
          <w:rFonts w:cs="Times"/>
          <w:bCs/>
          <w:iCs/>
          <w:lang w:val="es-ES"/>
        </w:rPr>
        <w:t>d Nacional Autónoma de México.</w:t>
      </w:r>
    </w:p>
    <w:p w:rsidR="00D64DFC" w:rsidRDefault="00D64DFC" w:rsidP="00D64DFC">
      <w:pPr>
        <w:pStyle w:val="Header01"/>
        <w:jc w:val="left"/>
        <w:rPr>
          <w:rFonts w:cs="Times"/>
          <w:bCs/>
          <w:iCs/>
          <w:lang w:val="es-ES"/>
        </w:rPr>
      </w:pPr>
    </w:p>
    <w:p w:rsidR="00D64DFC" w:rsidRDefault="00D64DFC" w:rsidP="00D64DFC">
      <w:pPr>
        <w:pStyle w:val="Header01"/>
        <w:jc w:val="left"/>
        <w:rPr>
          <w:rFonts w:cs="Times"/>
          <w:bCs/>
          <w:iCs/>
          <w:lang w:val="es-ES"/>
        </w:rPr>
      </w:pPr>
    </w:p>
    <w:p w:rsidR="00D64DFC" w:rsidRDefault="00D64DFC" w:rsidP="00D64DFC">
      <w:pPr>
        <w:pStyle w:val="Header01"/>
        <w:jc w:val="left"/>
        <w:rPr>
          <w:rFonts w:cs="Times"/>
          <w:bCs/>
          <w:iCs/>
          <w:lang w:val="es-ES"/>
        </w:rPr>
      </w:pPr>
    </w:p>
    <w:p w:rsidR="00D33809" w:rsidRDefault="00220389" w:rsidP="00D33809">
      <w:pPr>
        <w:pStyle w:val="Prrafodelista"/>
        <w:ind w:left="360"/>
        <w:jc w:val="center"/>
        <w:rPr>
          <w:rFonts w:ascii="Arial" w:hAnsi="Arial" w:cs="Arial"/>
          <w:b/>
          <w:i/>
          <w:sz w:val="32"/>
          <w:szCs w:val="32"/>
          <w:u w:val="single"/>
        </w:rPr>
      </w:pPr>
      <w:r>
        <w:rPr>
          <w:rFonts w:ascii="Arial" w:hAnsi="Arial" w:cs="Arial"/>
          <w:b/>
          <w:i/>
          <w:sz w:val="32"/>
          <w:szCs w:val="32"/>
          <w:u w:val="single"/>
        </w:rPr>
        <w:t>CIENCIAS APLICADAS</w:t>
      </w:r>
    </w:p>
    <w:p w:rsidR="00220389" w:rsidRDefault="00220389" w:rsidP="00D33809">
      <w:pPr>
        <w:pStyle w:val="Prrafodelista"/>
        <w:ind w:left="360"/>
        <w:jc w:val="center"/>
        <w:rPr>
          <w:rFonts w:ascii="Arial" w:hAnsi="Arial" w:cs="Arial"/>
          <w:b/>
          <w:i/>
          <w:sz w:val="32"/>
          <w:szCs w:val="32"/>
          <w:u w:val="single"/>
        </w:rPr>
      </w:pPr>
    </w:p>
    <w:p w:rsidR="00220389" w:rsidRPr="00C924B6" w:rsidRDefault="00220389" w:rsidP="00D33809">
      <w:pPr>
        <w:pStyle w:val="Prrafodelista"/>
        <w:ind w:left="360"/>
        <w:jc w:val="center"/>
        <w:rPr>
          <w:rFonts w:ascii="Arial" w:hAnsi="Arial" w:cs="Arial"/>
          <w:b/>
          <w:i/>
          <w:sz w:val="32"/>
          <w:szCs w:val="32"/>
          <w:u w:val="single"/>
        </w:rPr>
      </w:pPr>
      <w:r>
        <w:rPr>
          <w:rFonts w:ascii="Arial" w:hAnsi="Arial" w:cs="Arial"/>
          <w:b/>
          <w:i/>
          <w:sz w:val="32"/>
          <w:szCs w:val="32"/>
          <w:u w:val="single"/>
        </w:rPr>
        <w:t>2020</w:t>
      </w:r>
    </w:p>
    <w:p w:rsidR="00D64DFC" w:rsidRDefault="00D64DFC" w:rsidP="00D64DFC">
      <w:pPr>
        <w:pStyle w:val="Header01"/>
        <w:jc w:val="center"/>
        <w:rPr>
          <w:rFonts w:cs="Times"/>
          <w:bCs/>
          <w:iCs/>
          <w:lang w:val="es-ES"/>
        </w:rPr>
      </w:pPr>
      <w:r>
        <w:rPr>
          <w:rFonts w:cs="Times"/>
          <w:bCs/>
          <w:iCs/>
          <w:lang w:val="es-ES"/>
        </w:rPr>
        <w:t>rsidad Naci</w:t>
      </w:r>
      <w:bookmarkStart w:id="0" w:name="_GoBack"/>
      <w:bookmarkEnd w:id="0"/>
    </w:p>
    <w:p w:rsidR="00D64DFC" w:rsidRDefault="00D64DFC" w:rsidP="00D64DFC">
      <w:pPr>
        <w:pStyle w:val="Header01"/>
        <w:jc w:val="center"/>
        <w:rPr>
          <w:rFonts w:cs="Times"/>
          <w:bCs/>
          <w:iCs/>
          <w:lang w:val="es-ES"/>
        </w:rPr>
      </w:pPr>
      <w:r>
        <w:rPr>
          <w:rFonts w:cs="Times"/>
          <w:bCs/>
          <w:iCs/>
          <w:lang w:val="es-ES"/>
        </w:rPr>
        <w:t xml:space="preserve">onal Autónoma de </w:t>
      </w:r>
    </w:p>
    <w:p w:rsidR="00D64DFC" w:rsidRDefault="00D64DFC" w:rsidP="00D64DFC">
      <w:pPr>
        <w:widowControl w:val="0"/>
        <w:autoSpaceDE w:val="0"/>
        <w:autoSpaceDN w:val="0"/>
        <w:adjustRightInd w:val="0"/>
        <w:spacing w:after="240"/>
        <w:jc w:val="center"/>
        <w:rPr>
          <w:rFonts w:ascii="Arial" w:hAnsi="Arial" w:cs="Arial"/>
          <w:b/>
          <w:bCs/>
          <w:iCs/>
          <w:sz w:val="32"/>
          <w:szCs w:val="32"/>
        </w:rPr>
      </w:pPr>
    </w:p>
    <w:p w:rsidR="009661A9" w:rsidRPr="00C924B6" w:rsidRDefault="009661A9" w:rsidP="009661A9">
      <w:pPr>
        <w:widowControl w:val="0"/>
        <w:autoSpaceDE w:val="0"/>
        <w:autoSpaceDN w:val="0"/>
        <w:adjustRightInd w:val="0"/>
        <w:spacing w:after="240"/>
        <w:jc w:val="center"/>
        <w:rPr>
          <w:rFonts w:ascii="Arial" w:hAnsi="Arial" w:cs="Arial"/>
          <w:bCs/>
          <w:iCs/>
          <w:sz w:val="32"/>
          <w:szCs w:val="32"/>
        </w:rPr>
      </w:pPr>
      <w:r w:rsidRPr="00C924B6">
        <w:rPr>
          <w:rFonts w:ascii="Arial" w:hAnsi="Arial" w:cs="Arial"/>
          <w:bCs/>
          <w:iCs/>
          <w:sz w:val="32"/>
          <w:szCs w:val="32"/>
        </w:rPr>
        <w:t>Cutberto Romero Meléndez. Universidad Autónoma Metropolitana, Azcapotzalco.</w:t>
      </w:r>
    </w:p>
    <w:p w:rsidR="00D64DFC" w:rsidRPr="00C924B6" w:rsidRDefault="00D64DFC" w:rsidP="00D64DFC">
      <w:pPr>
        <w:widowControl w:val="0"/>
        <w:autoSpaceDE w:val="0"/>
        <w:autoSpaceDN w:val="0"/>
        <w:adjustRightInd w:val="0"/>
        <w:spacing w:after="240"/>
        <w:jc w:val="center"/>
        <w:rPr>
          <w:rFonts w:ascii="Arial" w:hAnsi="Arial" w:cs="Arial"/>
          <w:bCs/>
          <w:iCs/>
          <w:sz w:val="32"/>
          <w:szCs w:val="32"/>
        </w:rPr>
      </w:pPr>
      <w:r w:rsidRPr="00C924B6">
        <w:rPr>
          <w:rFonts w:ascii="Arial" w:hAnsi="Arial" w:cs="Arial"/>
          <w:bCs/>
          <w:iCs/>
          <w:sz w:val="32"/>
          <w:szCs w:val="32"/>
        </w:rPr>
        <w:t>Francisco Montaño Cuahuilaz. Universidad Nacional Autónoma de México.</w:t>
      </w:r>
    </w:p>
    <w:p w:rsidR="00D64DFC" w:rsidRDefault="00D64DFC" w:rsidP="00D64DFC">
      <w:pPr>
        <w:pStyle w:val="Header01"/>
        <w:jc w:val="center"/>
        <w:rPr>
          <w:b/>
          <w:bCs/>
          <w:color w:val="333399"/>
          <w:sz w:val="40"/>
          <w:szCs w:val="40"/>
          <w:lang w:val="es-ES"/>
        </w:rPr>
      </w:pPr>
      <w:r>
        <w:rPr>
          <w:rFonts w:cs="Times"/>
          <w:bCs/>
          <w:iCs/>
          <w:lang w:val="es-ES"/>
        </w:rPr>
        <w:t>México.</w:t>
      </w:r>
    </w:p>
    <w:p w:rsidR="00D64DFC" w:rsidRDefault="00D64DFC" w:rsidP="00D64DFC">
      <w:pPr>
        <w:pStyle w:val="Header01"/>
        <w:jc w:val="center"/>
        <w:rPr>
          <w:b/>
          <w:bCs/>
          <w:color w:val="333399"/>
          <w:sz w:val="40"/>
          <w:szCs w:val="40"/>
          <w:lang w:val="es-ES"/>
        </w:rPr>
      </w:pPr>
    </w:p>
    <w:p w:rsidR="00D64DFC" w:rsidRDefault="00D64DFC" w:rsidP="00D64DFC">
      <w:pPr>
        <w:pStyle w:val="Header01"/>
        <w:jc w:val="center"/>
        <w:rPr>
          <w:b/>
          <w:bCs/>
          <w:color w:val="333399"/>
          <w:sz w:val="40"/>
          <w:szCs w:val="40"/>
          <w:lang w:val="es-ES"/>
        </w:rPr>
      </w:pPr>
      <w:r>
        <w:rPr>
          <w:rFonts w:cs="Times"/>
          <w:bCs/>
          <w:iCs/>
          <w:lang w:val="es-ES"/>
        </w:rPr>
        <w:t>Universidad Nacional Autónoma de México.</w:t>
      </w:r>
    </w:p>
    <w:p w:rsidR="00D64DFC" w:rsidRDefault="00D64DFC" w:rsidP="00D64DFC">
      <w:pPr>
        <w:jc w:val="center"/>
        <w:rPr>
          <w:rFonts w:ascii="Arial" w:hAnsi="Arial"/>
          <w:color w:val="333399"/>
          <w:sz w:val="32"/>
          <w:szCs w:val="32"/>
        </w:rPr>
      </w:pPr>
    </w:p>
    <w:p w:rsidR="00D64DFC" w:rsidRDefault="00D64DFC" w:rsidP="00D64DFC">
      <w:pPr>
        <w:jc w:val="center"/>
        <w:rPr>
          <w:rFonts w:ascii="Arial" w:hAnsi="Arial"/>
          <w:color w:val="333399"/>
          <w:sz w:val="32"/>
          <w:szCs w:val="32"/>
        </w:rPr>
      </w:pPr>
    </w:p>
    <w:p w:rsidR="00D64DFC" w:rsidRPr="00106F8B" w:rsidRDefault="00D64DFC" w:rsidP="00D64DFC">
      <w:pPr>
        <w:rPr>
          <w:rFonts w:ascii="Arial" w:eastAsia="Times New Roman" w:hAnsi="Arial" w:cs="Arial"/>
          <w:color w:val="000000"/>
          <w:lang w:val="es-MX" w:eastAsia="es-MX"/>
        </w:rPr>
      </w:pPr>
      <w:r>
        <w:rPr>
          <w:rFonts w:ascii="Arial" w:hAnsi="Arial"/>
          <w:color w:val="333399"/>
          <w:sz w:val="32"/>
          <w:szCs w:val="32"/>
        </w:rPr>
        <w:br w:type="page"/>
      </w:r>
      <w:r w:rsidRPr="00106F8B">
        <w:rPr>
          <w:rFonts w:ascii="Arial" w:eastAsia="Times New Roman" w:hAnsi="Arial" w:cs="Arial"/>
          <w:b/>
          <w:bCs/>
          <w:color w:val="000000"/>
          <w:lang w:val="es-MX" w:eastAsia="es-MX"/>
        </w:rPr>
        <w:lastRenderedPageBreak/>
        <w:t xml:space="preserve">Universidad Autónoma Metropolitana </w:t>
      </w:r>
    </w:p>
    <w:p w:rsidR="00D64DFC" w:rsidRPr="00106F8B" w:rsidRDefault="00D64DFC" w:rsidP="00D64DFC">
      <w:pPr>
        <w:autoSpaceDE w:val="0"/>
        <w:autoSpaceDN w:val="0"/>
        <w:adjustRightInd w:val="0"/>
        <w:rPr>
          <w:rFonts w:ascii="Arial" w:eastAsia="Times New Roman" w:hAnsi="Arial" w:cs="Arial"/>
          <w:lang w:val="es-MX" w:eastAsia="es-MX"/>
        </w:rPr>
      </w:pPr>
      <w:r w:rsidRPr="00106F8B">
        <w:rPr>
          <w:rFonts w:ascii="Arial" w:eastAsia="Times New Roman" w:hAnsi="Arial" w:cs="Arial"/>
          <w:b/>
          <w:bCs/>
          <w:lang w:val="es-MX" w:eastAsia="es-MX"/>
        </w:rPr>
        <w:t xml:space="preserve">Unidad Azcapotzalco </w:t>
      </w:r>
    </w:p>
    <w:p w:rsidR="00D64DFC" w:rsidRPr="00106F8B" w:rsidRDefault="00D64DFC" w:rsidP="00D64DFC">
      <w:pPr>
        <w:autoSpaceDE w:val="0"/>
        <w:autoSpaceDN w:val="0"/>
        <w:adjustRightInd w:val="0"/>
        <w:rPr>
          <w:rFonts w:ascii="Arial" w:eastAsia="Times New Roman" w:hAnsi="Arial" w:cs="Arial"/>
          <w:lang w:val="es-MX" w:eastAsia="es-MX"/>
        </w:rPr>
      </w:pPr>
      <w:r w:rsidRPr="00106F8B">
        <w:rPr>
          <w:rFonts w:ascii="Arial" w:eastAsia="Times New Roman" w:hAnsi="Arial" w:cs="Arial"/>
          <w:b/>
          <w:bCs/>
          <w:lang w:val="es-MX" w:eastAsia="es-MX"/>
        </w:rPr>
        <w:t xml:space="preserve">Av. San Pablo 180 </w:t>
      </w:r>
    </w:p>
    <w:p w:rsidR="00D64DFC" w:rsidRPr="00106F8B" w:rsidRDefault="00D64DFC" w:rsidP="00D64DFC">
      <w:pPr>
        <w:autoSpaceDE w:val="0"/>
        <w:autoSpaceDN w:val="0"/>
        <w:adjustRightInd w:val="0"/>
        <w:rPr>
          <w:rFonts w:ascii="Arial" w:eastAsia="Times New Roman" w:hAnsi="Arial" w:cs="Arial"/>
          <w:lang w:val="es-MX" w:eastAsia="es-MX"/>
        </w:rPr>
      </w:pPr>
      <w:r w:rsidRPr="00106F8B">
        <w:rPr>
          <w:rFonts w:ascii="Arial" w:eastAsia="Times New Roman" w:hAnsi="Arial" w:cs="Arial"/>
          <w:b/>
          <w:bCs/>
          <w:lang w:val="es-MX" w:eastAsia="es-MX"/>
        </w:rPr>
        <w:t xml:space="preserve">Col. Reynosa Tamaulipas </w:t>
      </w:r>
    </w:p>
    <w:p w:rsidR="00D64DFC" w:rsidRPr="00106F8B" w:rsidRDefault="00D64DFC" w:rsidP="00D64DFC">
      <w:pPr>
        <w:autoSpaceDE w:val="0"/>
        <w:autoSpaceDN w:val="0"/>
        <w:adjustRightInd w:val="0"/>
        <w:rPr>
          <w:rFonts w:ascii="Arial" w:eastAsia="Times New Roman" w:hAnsi="Arial" w:cs="Arial"/>
          <w:lang w:val="es-MX" w:eastAsia="es-MX"/>
        </w:rPr>
      </w:pPr>
      <w:r w:rsidRPr="00106F8B">
        <w:rPr>
          <w:rFonts w:ascii="Arial" w:eastAsia="Times New Roman" w:hAnsi="Arial" w:cs="Arial"/>
          <w:b/>
          <w:bCs/>
          <w:lang w:val="es-MX" w:eastAsia="es-MX"/>
        </w:rPr>
        <w:t xml:space="preserve">Del Azcapotzalco </w:t>
      </w:r>
    </w:p>
    <w:p w:rsidR="00D64DFC" w:rsidRPr="00106F8B" w:rsidRDefault="00D64DFC" w:rsidP="00D64DFC">
      <w:pPr>
        <w:autoSpaceDE w:val="0"/>
        <w:autoSpaceDN w:val="0"/>
        <w:adjustRightInd w:val="0"/>
        <w:rPr>
          <w:rFonts w:ascii="Arial" w:eastAsia="Times New Roman" w:hAnsi="Arial" w:cs="Arial"/>
          <w:lang w:val="es-MX" w:eastAsia="es-MX"/>
        </w:rPr>
      </w:pPr>
      <w:r w:rsidRPr="00106F8B">
        <w:rPr>
          <w:rFonts w:ascii="Arial" w:eastAsia="Times New Roman" w:hAnsi="Arial" w:cs="Arial"/>
          <w:b/>
          <w:bCs/>
          <w:lang w:val="es-MX" w:eastAsia="es-MX"/>
        </w:rPr>
        <w:t xml:space="preserve">C.P. 02200 </w:t>
      </w:r>
    </w:p>
    <w:p w:rsidR="00D64DFC" w:rsidRPr="00106F8B" w:rsidRDefault="00D64DFC" w:rsidP="00D64DFC">
      <w:pPr>
        <w:autoSpaceDE w:val="0"/>
        <w:autoSpaceDN w:val="0"/>
        <w:adjustRightInd w:val="0"/>
        <w:rPr>
          <w:rFonts w:ascii="Arial" w:eastAsia="Times New Roman" w:hAnsi="Arial" w:cs="Arial"/>
          <w:lang w:val="es-MX" w:eastAsia="es-MX"/>
        </w:rPr>
      </w:pPr>
      <w:r w:rsidRPr="00106F8B">
        <w:rPr>
          <w:rFonts w:ascii="Arial" w:eastAsia="Times New Roman" w:hAnsi="Arial" w:cs="Arial"/>
          <w:b/>
          <w:bCs/>
          <w:lang w:val="es-MX" w:eastAsia="es-MX"/>
        </w:rPr>
        <w:t xml:space="preserve">México D.F. </w:t>
      </w:r>
    </w:p>
    <w:p w:rsidR="00D64DFC" w:rsidRPr="00106F8B" w:rsidRDefault="00D64DFC" w:rsidP="00D64DFC">
      <w:pPr>
        <w:autoSpaceDE w:val="0"/>
        <w:autoSpaceDN w:val="0"/>
        <w:adjustRightInd w:val="0"/>
        <w:rPr>
          <w:rFonts w:ascii="Arial" w:eastAsia="Times New Roman" w:hAnsi="Arial" w:cs="Arial"/>
          <w:lang w:val="es-MX" w:eastAsia="es-MX"/>
        </w:rPr>
      </w:pPr>
      <w:r w:rsidRPr="00106F8B">
        <w:rPr>
          <w:rFonts w:ascii="Arial" w:eastAsia="Times New Roman" w:hAnsi="Arial" w:cs="Arial"/>
          <w:b/>
          <w:bCs/>
          <w:lang w:val="es-MX" w:eastAsia="es-MX"/>
        </w:rPr>
        <w:t xml:space="preserve">Rector </w:t>
      </w:r>
    </w:p>
    <w:p w:rsidR="00D64DFC" w:rsidRPr="009661A9" w:rsidRDefault="00D64DFC" w:rsidP="00D64DFC">
      <w:pPr>
        <w:autoSpaceDE w:val="0"/>
        <w:autoSpaceDN w:val="0"/>
        <w:adjustRightInd w:val="0"/>
        <w:rPr>
          <w:rFonts w:ascii="Arial" w:eastAsia="Times New Roman" w:hAnsi="Arial" w:cs="Arial"/>
          <w:color w:val="FF0000"/>
          <w:lang w:val="es-MX" w:eastAsia="es-MX"/>
        </w:rPr>
      </w:pPr>
      <w:r w:rsidRPr="009661A9">
        <w:rPr>
          <w:rFonts w:ascii="Arial" w:eastAsia="Times New Roman" w:hAnsi="Arial" w:cs="Arial"/>
          <w:b/>
          <w:bCs/>
          <w:color w:val="FF0000"/>
          <w:lang w:val="es-MX" w:eastAsia="es-MX"/>
        </w:rPr>
        <w:t xml:space="preserve">Dr. Romualdo López Zárate </w:t>
      </w:r>
    </w:p>
    <w:p w:rsidR="00D64DFC" w:rsidRPr="009661A9" w:rsidRDefault="00D64DFC" w:rsidP="00D64DFC">
      <w:pPr>
        <w:autoSpaceDE w:val="0"/>
        <w:autoSpaceDN w:val="0"/>
        <w:adjustRightInd w:val="0"/>
        <w:rPr>
          <w:rFonts w:ascii="Arial" w:eastAsia="Times New Roman" w:hAnsi="Arial" w:cs="Arial"/>
          <w:b/>
          <w:bCs/>
          <w:color w:val="FF0000"/>
          <w:lang w:val="es-MX" w:eastAsia="es-MX"/>
        </w:rPr>
      </w:pPr>
    </w:p>
    <w:p w:rsidR="00D64DFC" w:rsidRPr="009661A9" w:rsidRDefault="00D64DFC" w:rsidP="00D64DFC">
      <w:pPr>
        <w:autoSpaceDE w:val="0"/>
        <w:autoSpaceDN w:val="0"/>
        <w:adjustRightInd w:val="0"/>
        <w:rPr>
          <w:rFonts w:ascii="Arial" w:eastAsia="Times New Roman" w:hAnsi="Arial" w:cs="Arial"/>
          <w:b/>
          <w:bCs/>
          <w:color w:val="FF0000"/>
          <w:lang w:val="es-MX" w:eastAsia="es-MX"/>
        </w:rPr>
      </w:pPr>
      <w:r w:rsidRPr="009661A9">
        <w:rPr>
          <w:rFonts w:ascii="Arial" w:eastAsia="Times New Roman" w:hAnsi="Arial" w:cs="Arial"/>
          <w:b/>
          <w:bCs/>
          <w:color w:val="FF0000"/>
          <w:lang w:val="es-MX" w:eastAsia="es-MX"/>
        </w:rPr>
        <w:t xml:space="preserve">Secretario </w:t>
      </w:r>
    </w:p>
    <w:p w:rsidR="00D64DFC" w:rsidRPr="009661A9" w:rsidRDefault="00D64DFC" w:rsidP="00D64DFC">
      <w:pPr>
        <w:autoSpaceDE w:val="0"/>
        <w:autoSpaceDN w:val="0"/>
        <w:adjustRightInd w:val="0"/>
        <w:rPr>
          <w:rFonts w:ascii="Arial" w:eastAsia="Times New Roman" w:hAnsi="Arial" w:cs="Arial"/>
          <w:color w:val="FF0000"/>
          <w:lang w:val="es-MX" w:eastAsia="es-MX"/>
        </w:rPr>
      </w:pPr>
      <w:r w:rsidRPr="009661A9">
        <w:rPr>
          <w:rFonts w:ascii="Arial" w:eastAsia="Times New Roman" w:hAnsi="Arial" w:cs="Arial"/>
          <w:b/>
          <w:bCs/>
          <w:color w:val="FF0000"/>
          <w:lang w:val="es-MX" w:eastAsia="es-MX"/>
        </w:rPr>
        <w:t xml:space="preserve">Mtro. Abelardo González Aragón </w:t>
      </w:r>
    </w:p>
    <w:p w:rsidR="00D64DFC" w:rsidRPr="009661A9" w:rsidRDefault="00D64DFC" w:rsidP="00D64DFC">
      <w:pPr>
        <w:autoSpaceDE w:val="0"/>
        <w:autoSpaceDN w:val="0"/>
        <w:adjustRightInd w:val="0"/>
        <w:rPr>
          <w:rFonts w:ascii="Arial" w:eastAsia="Times New Roman" w:hAnsi="Arial" w:cs="Arial"/>
          <w:b/>
          <w:bCs/>
          <w:color w:val="FF0000"/>
          <w:lang w:val="es-MX" w:eastAsia="es-MX"/>
        </w:rPr>
      </w:pPr>
    </w:p>
    <w:p w:rsidR="00D64DFC" w:rsidRPr="009661A9" w:rsidRDefault="00D64DFC" w:rsidP="00D64DFC">
      <w:pPr>
        <w:autoSpaceDE w:val="0"/>
        <w:autoSpaceDN w:val="0"/>
        <w:adjustRightInd w:val="0"/>
        <w:rPr>
          <w:rFonts w:ascii="Arial" w:eastAsia="Times New Roman" w:hAnsi="Arial" w:cs="Arial"/>
          <w:color w:val="FF0000"/>
          <w:lang w:val="es-MX" w:eastAsia="es-MX"/>
        </w:rPr>
      </w:pPr>
      <w:r w:rsidRPr="009661A9">
        <w:rPr>
          <w:rFonts w:ascii="Arial" w:eastAsia="Times New Roman" w:hAnsi="Arial" w:cs="Arial"/>
          <w:b/>
          <w:bCs/>
          <w:color w:val="FF0000"/>
          <w:lang w:val="es-MX" w:eastAsia="es-MX"/>
        </w:rPr>
        <w:t xml:space="preserve">Director CBI </w:t>
      </w:r>
    </w:p>
    <w:p w:rsidR="00D64DFC" w:rsidRPr="009661A9" w:rsidRDefault="00D64DFC" w:rsidP="00D64DFC">
      <w:pPr>
        <w:autoSpaceDE w:val="0"/>
        <w:autoSpaceDN w:val="0"/>
        <w:adjustRightInd w:val="0"/>
        <w:rPr>
          <w:rFonts w:ascii="Arial" w:eastAsia="Times New Roman" w:hAnsi="Arial" w:cs="Arial"/>
          <w:color w:val="FF0000"/>
          <w:lang w:val="es-MX" w:eastAsia="es-MX"/>
        </w:rPr>
      </w:pPr>
      <w:r w:rsidRPr="009661A9">
        <w:rPr>
          <w:rFonts w:ascii="Arial" w:eastAsia="Times New Roman" w:hAnsi="Arial" w:cs="Arial"/>
          <w:b/>
          <w:bCs/>
          <w:color w:val="FF0000"/>
          <w:lang w:val="es-MX" w:eastAsia="es-MX"/>
        </w:rPr>
        <w:t xml:space="preserve">Dr. Luis Enrique Noreña Franco </w:t>
      </w:r>
    </w:p>
    <w:p w:rsidR="00D64DFC" w:rsidRPr="009661A9" w:rsidRDefault="00D64DFC" w:rsidP="00D64DFC">
      <w:pPr>
        <w:autoSpaceDE w:val="0"/>
        <w:autoSpaceDN w:val="0"/>
        <w:adjustRightInd w:val="0"/>
        <w:rPr>
          <w:rFonts w:ascii="Arial" w:eastAsia="Times New Roman" w:hAnsi="Arial" w:cs="Arial"/>
          <w:b/>
          <w:bCs/>
          <w:color w:val="FF0000"/>
          <w:lang w:val="es-MX" w:eastAsia="es-MX"/>
        </w:rPr>
      </w:pPr>
    </w:p>
    <w:p w:rsidR="00D64DFC" w:rsidRPr="009661A9" w:rsidRDefault="00D64DFC" w:rsidP="00D64DFC">
      <w:pPr>
        <w:autoSpaceDE w:val="0"/>
        <w:autoSpaceDN w:val="0"/>
        <w:adjustRightInd w:val="0"/>
        <w:rPr>
          <w:rFonts w:ascii="Arial" w:eastAsia="Times New Roman" w:hAnsi="Arial" w:cs="Arial"/>
          <w:b/>
          <w:bCs/>
          <w:color w:val="FF0000"/>
          <w:lang w:val="es-MX" w:eastAsia="es-MX"/>
        </w:rPr>
      </w:pPr>
    </w:p>
    <w:p w:rsidR="00D64DFC" w:rsidRPr="009661A9" w:rsidRDefault="00D64DFC" w:rsidP="00D64DFC">
      <w:pPr>
        <w:autoSpaceDE w:val="0"/>
        <w:autoSpaceDN w:val="0"/>
        <w:adjustRightInd w:val="0"/>
        <w:rPr>
          <w:rFonts w:ascii="Arial" w:eastAsia="Times New Roman" w:hAnsi="Arial" w:cs="Arial"/>
          <w:b/>
          <w:color w:val="FF0000"/>
          <w:lang w:val="es-MX" w:eastAsia="es-MX"/>
        </w:rPr>
      </w:pPr>
      <w:r w:rsidRPr="009661A9">
        <w:rPr>
          <w:rFonts w:ascii="Arial" w:eastAsia="Times New Roman" w:hAnsi="Arial" w:cs="Arial"/>
          <w:b/>
          <w:bCs/>
          <w:color w:val="FF0000"/>
          <w:lang w:val="es-MX" w:eastAsia="es-MX"/>
        </w:rPr>
        <w:t xml:space="preserve">Universidad Nacional Autónoma de México </w:t>
      </w:r>
    </w:p>
    <w:p w:rsidR="00D64DFC" w:rsidRPr="009661A9" w:rsidRDefault="00D64DFC" w:rsidP="00D64DFC">
      <w:pPr>
        <w:autoSpaceDE w:val="0"/>
        <w:autoSpaceDN w:val="0"/>
        <w:adjustRightInd w:val="0"/>
        <w:rPr>
          <w:rFonts w:ascii="Arial" w:eastAsia="Times New Roman" w:hAnsi="Arial" w:cs="Arial"/>
          <w:b/>
          <w:color w:val="FF0000"/>
          <w:lang w:val="es-MX" w:eastAsia="es-MX"/>
        </w:rPr>
      </w:pPr>
      <w:r w:rsidRPr="009661A9">
        <w:rPr>
          <w:rFonts w:ascii="Arial" w:eastAsia="Times New Roman" w:hAnsi="Arial" w:cs="Arial"/>
          <w:b/>
          <w:bCs/>
          <w:color w:val="FF0000"/>
          <w:lang w:val="es-MX" w:eastAsia="es-MX"/>
        </w:rPr>
        <w:t>"</w:t>
      </w:r>
      <w:r w:rsidRPr="009661A9">
        <w:rPr>
          <w:rStyle w:val="Fuentedeprrafopredeter1"/>
          <w:rFonts w:ascii="Arial" w:hAnsi="Arial" w:cs="Arial"/>
          <w:b/>
          <w:color w:val="FF0000"/>
        </w:rPr>
        <w:t xml:space="preserve"> </w:t>
      </w:r>
      <w:r w:rsidRPr="009661A9">
        <w:rPr>
          <w:rStyle w:val="st1"/>
          <w:rFonts w:ascii="Arial" w:hAnsi="Arial" w:cs="Arial"/>
          <w:b/>
          <w:color w:val="FF0000"/>
        </w:rPr>
        <w:t>Por mi raza hablará el espíritu</w:t>
      </w:r>
      <w:r w:rsidRPr="009661A9">
        <w:rPr>
          <w:rFonts w:ascii="Arial" w:eastAsia="Times New Roman" w:hAnsi="Arial" w:cs="Arial"/>
          <w:b/>
          <w:bCs/>
          <w:color w:val="FF0000"/>
          <w:lang w:val="es-MX" w:eastAsia="es-MX"/>
        </w:rPr>
        <w:t xml:space="preserve">" </w:t>
      </w:r>
    </w:p>
    <w:p w:rsidR="00D64DFC" w:rsidRPr="009661A9" w:rsidRDefault="00D64DFC" w:rsidP="00D64DFC">
      <w:pPr>
        <w:autoSpaceDE w:val="0"/>
        <w:autoSpaceDN w:val="0"/>
        <w:adjustRightInd w:val="0"/>
        <w:rPr>
          <w:rFonts w:ascii="Arial" w:eastAsia="Times New Roman" w:hAnsi="Arial" w:cs="Arial"/>
          <w:b/>
          <w:color w:val="FF0000"/>
          <w:lang w:val="es-MX" w:eastAsia="es-MX"/>
        </w:rPr>
      </w:pPr>
      <w:r w:rsidRPr="009661A9">
        <w:rPr>
          <w:rFonts w:ascii="Arial" w:eastAsia="Times New Roman" w:hAnsi="Arial" w:cs="Arial"/>
          <w:b/>
          <w:bCs/>
          <w:color w:val="FF0000"/>
          <w:lang w:val="es-MX" w:eastAsia="es-MX"/>
        </w:rPr>
        <w:t xml:space="preserve">C.P. 04510 </w:t>
      </w:r>
    </w:p>
    <w:p w:rsidR="00D64DFC" w:rsidRPr="009661A9" w:rsidRDefault="00D64DFC" w:rsidP="00D64DFC">
      <w:pPr>
        <w:autoSpaceDE w:val="0"/>
        <w:autoSpaceDN w:val="0"/>
        <w:adjustRightInd w:val="0"/>
        <w:rPr>
          <w:rFonts w:ascii="Arial" w:eastAsia="Times New Roman" w:hAnsi="Arial" w:cs="Arial"/>
          <w:b/>
          <w:color w:val="FF0000"/>
          <w:lang w:val="es-MX" w:eastAsia="es-MX"/>
        </w:rPr>
      </w:pPr>
      <w:r w:rsidRPr="009661A9">
        <w:rPr>
          <w:rFonts w:ascii="Arial" w:eastAsia="Times New Roman" w:hAnsi="Arial" w:cs="Arial"/>
          <w:b/>
          <w:bCs/>
          <w:color w:val="FF0000"/>
          <w:lang w:val="es-MX" w:eastAsia="es-MX"/>
        </w:rPr>
        <w:t xml:space="preserve">Ciudad Universitaria. </w:t>
      </w:r>
    </w:p>
    <w:p w:rsidR="00D64DFC" w:rsidRPr="009661A9" w:rsidRDefault="00D64DFC" w:rsidP="00D64DFC">
      <w:pPr>
        <w:autoSpaceDE w:val="0"/>
        <w:autoSpaceDN w:val="0"/>
        <w:adjustRightInd w:val="0"/>
        <w:rPr>
          <w:rFonts w:ascii="Arial" w:eastAsia="Times New Roman" w:hAnsi="Arial" w:cs="Arial"/>
          <w:b/>
          <w:color w:val="FF0000"/>
          <w:lang w:val="es-MX" w:eastAsia="es-MX"/>
        </w:rPr>
      </w:pPr>
      <w:r w:rsidRPr="009661A9">
        <w:rPr>
          <w:rFonts w:ascii="Arial" w:eastAsia="Times New Roman" w:hAnsi="Arial" w:cs="Arial"/>
          <w:b/>
          <w:bCs/>
          <w:color w:val="FF0000"/>
          <w:lang w:val="es-MX" w:eastAsia="es-MX"/>
        </w:rPr>
        <w:t xml:space="preserve">Rector </w:t>
      </w:r>
    </w:p>
    <w:p w:rsidR="00D64DFC" w:rsidRPr="009661A9" w:rsidRDefault="00D64DFC" w:rsidP="00D64DFC">
      <w:pPr>
        <w:autoSpaceDE w:val="0"/>
        <w:autoSpaceDN w:val="0"/>
        <w:adjustRightInd w:val="0"/>
        <w:rPr>
          <w:rStyle w:val="st1"/>
          <w:rFonts w:ascii="Arial" w:hAnsi="Arial" w:cs="Arial"/>
          <w:b/>
          <w:color w:val="FF0000"/>
        </w:rPr>
      </w:pPr>
      <w:r w:rsidRPr="009661A9">
        <w:rPr>
          <w:rStyle w:val="st1"/>
          <w:rFonts w:ascii="Arial" w:hAnsi="Arial" w:cs="Arial"/>
          <w:b/>
          <w:color w:val="FF0000"/>
        </w:rPr>
        <w:t xml:space="preserve">Dr. José Narro Robles </w:t>
      </w:r>
    </w:p>
    <w:p w:rsidR="00D64DFC" w:rsidRPr="009661A9" w:rsidRDefault="00D64DFC" w:rsidP="00D64DFC">
      <w:pPr>
        <w:autoSpaceDE w:val="0"/>
        <w:autoSpaceDN w:val="0"/>
        <w:adjustRightInd w:val="0"/>
        <w:rPr>
          <w:rFonts w:ascii="Arial" w:eastAsia="Times New Roman" w:hAnsi="Arial" w:cs="Arial"/>
          <w:b/>
          <w:bCs/>
          <w:color w:val="FF0000"/>
          <w:lang w:val="es-MX" w:eastAsia="es-MX"/>
        </w:rPr>
      </w:pPr>
    </w:p>
    <w:p w:rsidR="00D64DFC" w:rsidRPr="009661A9" w:rsidRDefault="00D64DFC" w:rsidP="00D64DFC">
      <w:pPr>
        <w:autoSpaceDE w:val="0"/>
        <w:autoSpaceDN w:val="0"/>
        <w:adjustRightInd w:val="0"/>
        <w:rPr>
          <w:rFonts w:ascii="Arial" w:eastAsia="Times New Roman" w:hAnsi="Arial" w:cs="Arial"/>
          <w:b/>
          <w:color w:val="FF0000"/>
          <w:lang w:val="es-MX" w:eastAsia="es-MX"/>
        </w:rPr>
      </w:pPr>
      <w:r w:rsidRPr="009661A9">
        <w:rPr>
          <w:rFonts w:ascii="Arial" w:eastAsia="Times New Roman" w:hAnsi="Arial" w:cs="Arial"/>
          <w:b/>
          <w:bCs/>
          <w:color w:val="FF0000"/>
          <w:lang w:val="es-MX" w:eastAsia="es-MX"/>
        </w:rPr>
        <w:t>Secretario general</w:t>
      </w:r>
    </w:p>
    <w:p w:rsidR="00D64DFC" w:rsidRPr="009661A9" w:rsidRDefault="00D64DFC" w:rsidP="00D64DFC">
      <w:pPr>
        <w:autoSpaceDE w:val="0"/>
        <w:autoSpaceDN w:val="0"/>
        <w:adjustRightInd w:val="0"/>
        <w:rPr>
          <w:rFonts w:ascii="Arial" w:hAnsi="Arial" w:cs="Arial"/>
          <w:b/>
          <w:color w:val="FF0000"/>
        </w:rPr>
      </w:pPr>
      <w:r w:rsidRPr="009661A9">
        <w:rPr>
          <w:rFonts w:ascii="Arial" w:hAnsi="Arial" w:cs="Arial"/>
          <w:b/>
          <w:color w:val="FF0000"/>
        </w:rPr>
        <w:t xml:space="preserve">Dr. Eduardo Bárzana García </w:t>
      </w:r>
    </w:p>
    <w:p w:rsidR="00D64DFC" w:rsidRPr="009661A9" w:rsidRDefault="00D64DFC" w:rsidP="00D64DFC">
      <w:pPr>
        <w:autoSpaceDE w:val="0"/>
        <w:autoSpaceDN w:val="0"/>
        <w:adjustRightInd w:val="0"/>
        <w:rPr>
          <w:rFonts w:ascii="Arial" w:hAnsi="Arial" w:cs="Arial"/>
          <w:b/>
          <w:color w:val="FF0000"/>
        </w:rPr>
      </w:pPr>
    </w:p>
    <w:p w:rsidR="00D64DFC" w:rsidRPr="009661A9" w:rsidRDefault="00D64DFC" w:rsidP="00D64DFC">
      <w:pPr>
        <w:autoSpaceDE w:val="0"/>
        <w:autoSpaceDN w:val="0"/>
        <w:adjustRightInd w:val="0"/>
        <w:rPr>
          <w:rFonts w:ascii="Arial" w:hAnsi="Arial" w:cs="Arial"/>
          <w:b/>
          <w:color w:val="FF0000"/>
        </w:rPr>
      </w:pPr>
      <w:r w:rsidRPr="009661A9">
        <w:rPr>
          <w:rFonts w:ascii="Arial" w:hAnsi="Arial" w:cs="Arial"/>
          <w:b/>
          <w:color w:val="FF0000"/>
        </w:rPr>
        <w:t>Director General de Asuntos de Personal Académico</w:t>
      </w:r>
    </w:p>
    <w:p w:rsidR="00D64DFC" w:rsidRPr="009661A9" w:rsidRDefault="00D64DFC" w:rsidP="00D64DFC">
      <w:pPr>
        <w:rPr>
          <w:rFonts w:ascii="Arial" w:hAnsi="Arial" w:cs="Arial"/>
          <w:b/>
          <w:color w:val="FF0000"/>
        </w:rPr>
      </w:pPr>
      <w:r w:rsidRPr="009661A9">
        <w:rPr>
          <w:rFonts w:ascii="Arial" w:eastAsia="Times New Roman" w:hAnsi="Arial" w:cs="Arial"/>
          <w:b/>
          <w:bCs/>
          <w:color w:val="FF0000"/>
          <w:lang w:val="es-MX" w:eastAsia="es-MX"/>
        </w:rPr>
        <w:t>Dr. Dante Jaime Morán Zenteno</w:t>
      </w:r>
    </w:p>
    <w:p w:rsidR="00D64DFC" w:rsidRPr="00204420" w:rsidRDefault="00D64DFC" w:rsidP="00D64DFC">
      <w:pPr>
        <w:autoSpaceDE w:val="0"/>
        <w:autoSpaceDN w:val="0"/>
        <w:adjustRightInd w:val="0"/>
        <w:rPr>
          <w:rFonts w:ascii="Verdana" w:hAnsi="Verdana"/>
          <w:color w:val="000000"/>
        </w:rPr>
      </w:pPr>
    </w:p>
    <w:p w:rsidR="00D64DFC" w:rsidRPr="00204420" w:rsidRDefault="00D64DFC" w:rsidP="00D64DFC">
      <w:pPr>
        <w:autoSpaceDE w:val="0"/>
        <w:autoSpaceDN w:val="0"/>
        <w:adjustRightInd w:val="0"/>
        <w:rPr>
          <w:rFonts w:ascii="Verdana" w:hAnsi="Verdana"/>
          <w:color w:val="000000"/>
        </w:rPr>
      </w:pPr>
    </w:p>
    <w:p w:rsidR="00D64DFC" w:rsidRPr="00204420" w:rsidRDefault="00D64DFC" w:rsidP="00D64DFC">
      <w:pPr>
        <w:autoSpaceDE w:val="0"/>
        <w:autoSpaceDN w:val="0"/>
        <w:adjustRightInd w:val="0"/>
        <w:rPr>
          <w:rFonts w:ascii="Verdana" w:hAnsi="Verdana"/>
          <w:color w:val="000000"/>
        </w:rPr>
      </w:pPr>
    </w:p>
    <w:p w:rsidR="00D64DFC" w:rsidRPr="00204420" w:rsidRDefault="00D64DFC" w:rsidP="00D64DFC">
      <w:pPr>
        <w:autoSpaceDE w:val="0"/>
        <w:autoSpaceDN w:val="0"/>
        <w:adjustRightInd w:val="0"/>
        <w:rPr>
          <w:rFonts w:ascii="Verdana" w:hAnsi="Verdana"/>
          <w:color w:val="000000"/>
        </w:rPr>
      </w:pPr>
    </w:p>
    <w:p w:rsidR="00D64DFC" w:rsidRPr="008E663C" w:rsidRDefault="00D64DFC" w:rsidP="00D64DFC">
      <w:pPr>
        <w:autoSpaceDE w:val="0"/>
        <w:autoSpaceDN w:val="0"/>
        <w:adjustRightInd w:val="0"/>
        <w:rPr>
          <w:rFonts w:eastAsia="Times New Roman"/>
          <w:color w:val="000000"/>
          <w:lang w:val="es-MX" w:eastAsia="es-MX"/>
        </w:rPr>
      </w:pPr>
      <w:r w:rsidRPr="008E663C">
        <w:rPr>
          <w:rFonts w:eastAsia="Times New Roman"/>
          <w:b/>
          <w:bCs/>
          <w:color w:val="000000"/>
          <w:lang w:val="es-MX" w:eastAsia="es-MX"/>
        </w:rPr>
        <w:t xml:space="preserve">© Universidad Autónoma Metropolitana </w:t>
      </w:r>
    </w:p>
    <w:p w:rsidR="00D64DFC" w:rsidRPr="008E663C" w:rsidRDefault="00D64DFC" w:rsidP="00D64DFC">
      <w:pPr>
        <w:autoSpaceDE w:val="0"/>
        <w:autoSpaceDN w:val="0"/>
        <w:adjustRightInd w:val="0"/>
        <w:rPr>
          <w:rFonts w:eastAsia="Times New Roman"/>
          <w:lang w:val="es-MX" w:eastAsia="es-MX"/>
        </w:rPr>
      </w:pPr>
      <w:r w:rsidRPr="008E663C">
        <w:rPr>
          <w:rFonts w:eastAsia="Times New Roman"/>
          <w:b/>
          <w:bCs/>
          <w:lang w:val="es-MX" w:eastAsia="es-MX"/>
        </w:rPr>
        <w:t xml:space="preserve">Unidad Azcapotzalco </w:t>
      </w:r>
    </w:p>
    <w:p w:rsidR="00D64DFC" w:rsidRPr="008E663C" w:rsidRDefault="00D64DFC" w:rsidP="00D64DFC">
      <w:pPr>
        <w:autoSpaceDE w:val="0"/>
        <w:autoSpaceDN w:val="0"/>
        <w:adjustRightInd w:val="0"/>
        <w:rPr>
          <w:rFonts w:eastAsia="Times New Roman"/>
          <w:lang w:val="es-MX" w:eastAsia="es-MX"/>
        </w:rPr>
      </w:pPr>
      <w:r w:rsidRPr="00204420">
        <w:rPr>
          <w:rFonts w:eastAsia="Times New Roman"/>
          <w:b/>
          <w:bCs/>
          <w:lang w:val="es-MX" w:eastAsia="es-MX"/>
        </w:rPr>
        <w:t>Universidad Autónoma nacional Autónoma de México</w:t>
      </w:r>
    </w:p>
    <w:p w:rsidR="00D64DFC" w:rsidRPr="00204420" w:rsidRDefault="00D64DFC" w:rsidP="00D64DFC">
      <w:pPr>
        <w:autoSpaceDE w:val="0"/>
        <w:autoSpaceDN w:val="0"/>
        <w:adjustRightInd w:val="0"/>
        <w:rPr>
          <w:rFonts w:eastAsia="Times New Roman"/>
          <w:b/>
          <w:bCs/>
          <w:lang w:val="es-MX" w:eastAsia="es-MX"/>
        </w:rPr>
      </w:pPr>
    </w:p>
    <w:p w:rsidR="00D64DFC" w:rsidRPr="00204420" w:rsidRDefault="00D64DFC" w:rsidP="00D64DFC">
      <w:pPr>
        <w:autoSpaceDE w:val="0"/>
        <w:autoSpaceDN w:val="0"/>
        <w:adjustRightInd w:val="0"/>
        <w:rPr>
          <w:rFonts w:eastAsia="Times New Roman"/>
          <w:b/>
          <w:bCs/>
          <w:lang w:val="es-MX" w:eastAsia="es-MX"/>
        </w:rPr>
      </w:pPr>
    </w:p>
    <w:p w:rsidR="00D64DFC" w:rsidRDefault="007E53FE" w:rsidP="00D64DFC">
      <w:pPr>
        <w:widowControl w:val="0"/>
        <w:autoSpaceDE w:val="0"/>
        <w:autoSpaceDN w:val="0"/>
        <w:adjustRightInd w:val="0"/>
        <w:spacing w:after="240"/>
        <w:rPr>
          <w:rFonts w:ascii="Arial" w:hAnsi="Arial" w:cs="Arial"/>
          <w:b/>
          <w:bCs/>
          <w:iCs/>
        </w:rPr>
      </w:pPr>
      <w:r>
        <w:rPr>
          <w:rFonts w:ascii="Arial" w:hAnsi="Arial" w:cs="Arial"/>
          <w:b/>
          <w:bCs/>
          <w:iCs/>
        </w:rPr>
        <w:t>Cutberto Romero Meléndez.</w:t>
      </w:r>
    </w:p>
    <w:p w:rsidR="007E53FE" w:rsidRPr="00204420" w:rsidRDefault="007E53FE" w:rsidP="007E53FE">
      <w:pPr>
        <w:widowControl w:val="0"/>
        <w:autoSpaceDE w:val="0"/>
        <w:autoSpaceDN w:val="0"/>
        <w:adjustRightInd w:val="0"/>
        <w:spacing w:after="240"/>
        <w:rPr>
          <w:rFonts w:ascii="Arial" w:hAnsi="Arial" w:cs="Arial"/>
          <w:b/>
          <w:bCs/>
          <w:iCs/>
        </w:rPr>
      </w:pPr>
      <w:r w:rsidRPr="00204420">
        <w:rPr>
          <w:rFonts w:ascii="Arial" w:hAnsi="Arial" w:cs="Arial"/>
          <w:b/>
          <w:bCs/>
          <w:iCs/>
        </w:rPr>
        <w:t xml:space="preserve">Francisco Montaño Cuahuilaz. </w:t>
      </w:r>
    </w:p>
    <w:p w:rsidR="00D64DFC" w:rsidRPr="00204420" w:rsidRDefault="00D64DFC" w:rsidP="00D64DFC">
      <w:pPr>
        <w:pStyle w:val="Prrafodelista"/>
        <w:ind w:left="0"/>
        <w:rPr>
          <w:rFonts w:ascii="Arial" w:hAnsi="Arial" w:cs="Arial"/>
          <w:b/>
          <w:sz w:val="24"/>
          <w:szCs w:val="24"/>
          <w:u w:val="single"/>
        </w:rPr>
      </w:pPr>
      <w:r w:rsidRPr="00204420">
        <w:rPr>
          <w:rFonts w:ascii="Arial" w:hAnsi="Arial" w:cs="Arial"/>
          <w:b/>
          <w:sz w:val="24"/>
          <w:szCs w:val="24"/>
          <w:u w:val="single"/>
        </w:rPr>
        <w:t>CONTRIB</w:t>
      </w:r>
      <w:r w:rsidR="00660293">
        <w:rPr>
          <w:rFonts w:ascii="Arial" w:hAnsi="Arial" w:cs="Arial"/>
          <w:b/>
          <w:sz w:val="24"/>
          <w:szCs w:val="24"/>
          <w:u w:val="single"/>
        </w:rPr>
        <w:t>UCIONES A CIENCIAS APLICADAS 2020</w:t>
      </w:r>
    </w:p>
    <w:p w:rsidR="00D64DFC" w:rsidRPr="00204420" w:rsidRDefault="00660293" w:rsidP="00D64DFC">
      <w:pPr>
        <w:autoSpaceDE w:val="0"/>
        <w:autoSpaceDN w:val="0"/>
        <w:adjustRightInd w:val="0"/>
        <w:rPr>
          <w:rFonts w:ascii="Verdana" w:hAnsi="Verdana"/>
          <w:color w:val="000000"/>
        </w:rPr>
      </w:pPr>
      <w:r>
        <w:rPr>
          <w:rFonts w:eastAsia="Times New Roman"/>
          <w:b/>
          <w:bCs/>
          <w:lang w:val="es-MX" w:eastAsia="es-MX"/>
        </w:rPr>
        <w:t>México 2020</w:t>
      </w:r>
    </w:p>
    <w:p w:rsidR="00D64DFC" w:rsidRDefault="00D64DFC" w:rsidP="00D64DFC">
      <w:pPr>
        <w:jc w:val="both"/>
        <w:rPr>
          <w:rFonts w:ascii="Arial" w:hAnsi="Arial" w:cs="Arial"/>
          <w:b/>
          <w:bCs/>
          <w:sz w:val="28"/>
          <w:szCs w:val="28"/>
        </w:rPr>
      </w:pPr>
      <w:r w:rsidRPr="00A53B93">
        <w:rPr>
          <w:rFonts w:ascii="Arial" w:hAnsi="Arial" w:cs="Arial"/>
          <w:color w:val="000000"/>
          <w:sz w:val="18"/>
          <w:szCs w:val="18"/>
        </w:rPr>
        <w:br w:type="page"/>
      </w:r>
    </w:p>
    <w:p w:rsidR="00D64DFC" w:rsidRDefault="00D64DFC" w:rsidP="00D64DFC">
      <w:pPr>
        <w:jc w:val="both"/>
        <w:rPr>
          <w:rFonts w:ascii="Arial" w:hAnsi="Arial" w:cs="Arial"/>
          <w:b/>
          <w:bCs/>
          <w:sz w:val="28"/>
          <w:szCs w:val="28"/>
        </w:rPr>
      </w:pPr>
    </w:p>
    <w:p w:rsidR="003907BE" w:rsidRPr="003907BE" w:rsidRDefault="003907BE" w:rsidP="003907BE">
      <w:pPr>
        <w:jc w:val="both"/>
        <w:rPr>
          <w:rFonts w:ascii="Arial" w:hAnsi="Arial" w:cs="Arial"/>
          <w:b/>
          <w:bCs/>
          <w:sz w:val="24"/>
          <w:szCs w:val="24"/>
        </w:rPr>
      </w:pPr>
      <w:r w:rsidRPr="003907BE">
        <w:rPr>
          <w:rFonts w:ascii="Arial" w:hAnsi="Arial" w:cs="Arial"/>
          <w:b/>
          <w:bCs/>
          <w:sz w:val="24"/>
          <w:szCs w:val="24"/>
        </w:rPr>
        <w:t>Comité Organizador</w:t>
      </w:r>
    </w:p>
    <w:p w:rsidR="003907BE" w:rsidRPr="003907BE" w:rsidRDefault="003907BE" w:rsidP="003907BE">
      <w:pPr>
        <w:jc w:val="both"/>
        <w:rPr>
          <w:rFonts w:ascii="Arial" w:hAnsi="Arial" w:cs="Arial"/>
          <w:bCs/>
          <w:sz w:val="24"/>
          <w:szCs w:val="24"/>
        </w:rPr>
      </w:pPr>
      <w:r w:rsidRPr="003907BE">
        <w:rPr>
          <w:rFonts w:ascii="Arial" w:hAnsi="Arial" w:cs="Arial"/>
          <w:bCs/>
          <w:sz w:val="24"/>
          <w:szCs w:val="24"/>
        </w:rPr>
        <w:t>Dr. Cutberto Romero Meléndez. Departamento de Ciencias Básicas, Universidad Autónoma Metropolitana, Azcapotzalco México.</w:t>
      </w:r>
    </w:p>
    <w:p w:rsidR="003907BE" w:rsidRPr="003907BE" w:rsidRDefault="003907BE" w:rsidP="003907BE">
      <w:pPr>
        <w:jc w:val="both"/>
        <w:rPr>
          <w:rFonts w:ascii="Arial" w:hAnsi="Arial" w:cs="Arial"/>
          <w:bCs/>
          <w:sz w:val="24"/>
          <w:szCs w:val="24"/>
        </w:rPr>
      </w:pPr>
      <w:r w:rsidRPr="003907BE">
        <w:rPr>
          <w:rFonts w:ascii="Arial" w:hAnsi="Arial" w:cs="Arial"/>
          <w:bCs/>
          <w:sz w:val="24"/>
          <w:szCs w:val="24"/>
        </w:rPr>
        <w:t>Lic. Francisco Montaño Cuahuilaz. Instituto de Geología, Universidad Nacional Autónoma de México.</w:t>
      </w:r>
    </w:p>
    <w:p w:rsidR="003907BE" w:rsidRPr="003907BE" w:rsidRDefault="003907BE" w:rsidP="003907BE">
      <w:pPr>
        <w:jc w:val="both"/>
        <w:rPr>
          <w:rFonts w:ascii="Arial" w:hAnsi="Arial" w:cs="Arial"/>
          <w:bCs/>
          <w:sz w:val="24"/>
          <w:szCs w:val="24"/>
        </w:rPr>
      </w:pPr>
      <w:r w:rsidRPr="003907BE">
        <w:rPr>
          <w:rFonts w:ascii="Arial" w:hAnsi="Arial" w:cs="Arial"/>
          <w:bCs/>
          <w:sz w:val="24"/>
          <w:szCs w:val="24"/>
        </w:rPr>
        <w:t>Dra. María de Lourdes Juárez Mosqueda. Facultad De Medicina Veterinaria Y Zootecnia, Universidad Nacional Autónoma de México</w:t>
      </w:r>
    </w:p>
    <w:p w:rsidR="003907BE" w:rsidRPr="003907BE" w:rsidRDefault="003907BE" w:rsidP="003907BE">
      <w:pPr>
        <w:jc w:val="both"/>
        <w:rPr>
          <w:rFonts w:ascii="Arial" w:hAnsi="Arial" w:cs="Arial"/>
          <w:bCs/>
          <w:sz w:val="24"/>
          <w:szCs w:val="24"/>
        </w:rPr>
      </w:pPr>
      <w:r w:rsidRPr="003907BE">
        <w:rPr>
          <w:rFonts w:ascii="Arial" w:hAnsi="Arial" w:cs="Arial"/>
          <w:bCs/>
          <w:sz w:val="24"/>
          <w:szCs w:val="24"/>
        </w:rPr>
        <w:t>Dra. Martha Beatriz Trejo Salas. Jefa del Departamento de Morfología. Facultad De Medicina Veterinaria Y Zootecnia, Universidad Nacional Autónoma de México</w:t>
      </w:r>
    </w:p>
    <w:p w:rsidR="003907BE" w:rsidRPr="003907BE" w:rsidRDefault="003907BE" w:rsidP="003907BE">
      <w:pPr>
        <w:jc w:val="both"/>
        <w:rPr>
          <w:rFonts w:ascii="Arial" w:hAnsi="Arial" w:cs="Arial"/>
          <w:bCs/>
          <w:sz w:val="24"/>
          <w:szCs w:val="24"/>
        </w:rPr>
      </w:pPr>
      <w:r w:rsidRPr="003907BE">
        <w:rPr>
          <w:rFonts w:ascii="Arial" w:hAnsi="Arial" w:cs="Arial"/>
          <w:bCs/>
          <w:sz w:val="24"/>
          <w:szCs w:val="24"/>
        </w:rPr>
        <w:t>Dr. Francisco López-Serrano Ramos. Facultad de Química, Universidad Nacional Autónoma de México</w:t>
      </w:r>
    </w:p>
    <w:p w:rsidR="003907BE" w:rsidRPr="003907BE" w:rsidRDefault="003907BE" w:rsidP="003907BE">
      <w:pPr>
        <w:jc w:val="both"/>
        <w:rPr>
          <w:rFonts w:ascii="Arial" w:hAnsi="Arial" w:cs="Arial"/>
          <w:bCs/>
          <w:sz w:val="24"/>
          <w:szCs w:val="24"/>
        </w:rPr>
      </w:pPr>
      <w:r w:rsidRPr="003907BE">
        <w:rPr>
          <w:rFonts w:ascii="Arial" w:hAnsi="Arial" w:cs="Arial"/>
          <w:bCs/>
          <w:sz w:val="24"/>
          <w:szCs w:val="24"/>
        </w:rPr>
        <w:t>Dra. Olivia Zamora Martínez. Instituto de Geología Universidad Nacional Autónoma de México</w:t>
      </w:r>
    </w:p>
    <w:p w:rsidR="003907BE" w:rsidRPr="003907BE" w:rsidRDefault="003907BE" w:rsidP="003907BE">
      <w:pPr>
        <w:jc w:val="both"/>
        <w:rPr>
          <w:rFonts w:ascii="Arial" w:hAnsi="Arial" w:cs="Arial"/>
          <w:bCs/>
          <w:sz w:val="24"/>
          <w:szCs w:val="24"/>
        </w:rPr>
      </w:pPr>
      <w:r w:rsidRPr="003907BE">
        <w:rPr>
          <w:rFonts w:ascii="Arial" w:hAnsi="Arial" w:cs="Arial"/>
          <w:bCs/>
          <w:sz w:val="24"/>
          <w:szCs w:val="24"/>
        </w:rPr>
        <w:t>M. en I. Rafaela Gutiérrez Lara. Facultad de Química, Universidad Nacional Autónoma de México</w:t>
      </w:r>
    </w:p>
    <w:p w:rsidR="003907BE" w:rsidRPr="003907BE" w:rsidRDefault="003907BE" w:rsidP="003907BE">
      <w:pPr>
        <w:jc w:val="both"/>
        <w:rPr>
          <w:rFonts w:ascii="Arial" w:hAnsi="Arial" w:cs="Arial"/>
          <w:bCs/>
          <w:sz w:val="24"/>
          <w:szCs w:val="24"/>
        </w:rPr>
      </w:pPr>
      <w:r w:rsidRPr="003907BE">
        <w:rPr>
          <w:rFonts w:ascii="Arial" w:hAnsi="Arial" w:cs="Arial"/>
          <w:bCs/>
          <w:sz w:val="24"/>
          <w:szCs w:val="24"/>
        </w:rPr>
        <w:t>Dr. Baltazar Aguirre Hernández. Departamento de Matemáticas. Universidad Autónoma Metropolitana, Iztapalapa México</w:t>
      </w:r>
    </w:p>
    <w:p w:rsidR="003907BE" w:rsidRPr="00DB755D" w:rsidRDefault="003907BE" w:rsidP="003907BE">
      <w:pPr>
        <w:jc w:val="both"/>
        <w:rPr>
          <w:rFonts w:cstheme="minorHAnsi"/>
          <w:bCs/>
          <w:sz w:val="24"/>
          <w:szCs w:val="24"/>
        </w:rPr>
      </w:pPr>
      <w:r w:rsidRPr="003907BE">
        <w:rPr>
          <w:rFonts w:ascii="Arial" w:hAnsi="Arial" w:cs="Arial"/>
          <w:bCs/>
          <w:sz w:val="24"/>
          <w:szCs w:val="24"/>
        </w:rPr>
        <w:t>Dr. David Parra Guevara. Centro de Ciencias de la Atmósfera, Universidad Nacional Autónoma de México</w:t>
      </w:r>
    </w:p>
    <w:p w:rsidR="003907BE" w:rsidRPr="00DB755D" w:rsidRDefault="003907BE" w:rsidP="00D64DFC">
      <w:pPr>
        <w:jc w:val="both"/>
        <w:rPr>
          <w:rFonts w:cstheme="minorHAnsi"/>
          <w:b/>
          <w:bCs/>
          <w:sz w:val="24"/>
          <w:szCs w:val="24"/>
        </w:rPr>
      </w:pPr>
    </w:p>
    <w:p w:rsidR="00D64DFC" w:rsidRPr="00DB755D" w:rsidRDefault="004C41E1" w:rsidP="00D64DFC">
      <w:pPr>
        <w:jc w:val="both"/>
        <w:rPr>
          <w:rFonts w:cstheme="minorHAnsi"/>
          <w:b/>
          <w:bCs/>
          <w:sz w:val="24"/>
          <w:szCs w:val="24"/>
        </w:rPr>
      </w:pPr>
      <w:r w:rsidRPr="00DB755D">
        <w:rPr>
          <w:rFonts w:cstheme="minorHAnsi"/>
          <w:b/>
          <w:bCs/>
          <w:sz w:val="24"/>
          <w:szCs w:val="24"/>
        </w:rPr>
        <w:t>Comité Científico</w:t>
      </w:r>
    </w:p>
    <w:p w:rsidR="00E47F8C" w:rsidRPr="00C75816" w:rsidRDefault="00E47F8C" w:rsidP="00E47F8C">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 Javier Trejos Zelaya. </w:t>
      </w:r>
      <w:r w:rsidRPr="00C75816">
        <w:rPr>
          <w:rFonts w:eastAsia="Times New Roman" w:cstheme="minorHAnsi"/>
          <w:color w:val="444444"/>
          <w:sz w:val="24"/>
          <w:szCs w:val="24"/>
          <w:lang w:val="es-MX"/>
        </w:rPr>
        <w:t>Facultad de Ciencias, Universidad de Costa Rica.</w:t>
      </w:r>
    </w:p>
    <w:p w:rsidR="00E47F8C" w:rsidRPr="00C75816" w:rsidRDefault="00E47F8C" w:rsidP="00E47F8C">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 Guillermo Salas Banuet. </w:t>
      </w:r>
      <w:r w:rsidRPr="00C75816">
        <w:rPr>
          <w:rFonts w:eastAsia="Times New Roman" w:cstheme="minorHAnsi"/>
          <w:color w:val="444444"/>
          <w:sz w:val="24"/>
          <w:szCs w:val="24"/>
          <w:lang w:val="es-MX"/>
        </w:rPr>
        <w:t>Facultad de Química, Universidad Nacional Autónoma de México</w:t>
      </w:r>
    </w:p>
    <w:p w:rsidR="00E47F8C" w:rsidRPr="00C75816" w:rsidRDefault="00E47F8C" w:rsidP="00E47F8C">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 José Ramón Bergueiro López. </w:t>
      </w:r>
      <w:r w:rsidRPr="00C75816">
        <w:rPr>
          <w:rFonts w:eastAsia="Times New Roman" w:cstheme="minorHAnsi"/>
          <w:color w:val="444444"/>
          <w:sz w:val="24"/>
          <w:szCs w:val="24"/>
          <w:lang w:val="es-MX"/>
        </w:rPr>
        <w:t>Universidad de las Islas Baleares. Palma de Mallorca, España</w:t>
      </w:r>
    </w:p>
    <w:p w:rsidR="00E47F8C" w:rsidRPr="00C75816" w:rsidRDefault="00E47F8C" w:rsidP="00E47F8C">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 Igor Brilla. </w:t>
      </w:r>
      <w:r w:rsidRPr="00C75816">
        <w:rPr>
          <w:rFonts w:eastAsia="Times New Roman" w:cstheme="minorHAnsi"/>
          <w:color w:val="444444"/>
          <w:sz w:val="24"/>
          <w:szCs w:val="24"/>
          <w:lang w:val="es-MX"/>
        </w:rPr>
        <w:t>Slovak University of Technology, Bratislava, Slovakia</w:t>
      </w:r>
    </w:p>
    <w:p w:rsidR="00E47F8C" w:rsidRPr="00C75816" w:rsidRDefault="00E47F8C" w:rsidP="00E47F8C">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Ing. Hugo Alberto Destéfanis. </w:t>
      </w:r>
      <w:r w:rsidRPr="00C75816">
        <w:rPr>
          <w:rFonts w:eastAsia="Times New Roman" w:cstheme="minorHAnsi"/>
          <w:color w:val="444444"/>
          <w:sz w:val="24"/>
          <w:szCs w:val="24"/>
          <w:lang w:val="es-MX"/>
        </w:rPr>
        <w:t>Universidad Nacional de Salta, Salta, Argentina.</w:t>
      </w:r>
    </w:p>
    <w:p w:rsidR="00E47F8C" w:rsidRPr="00C75816" w:rsidRDefault="00E47F8C" w:rsidP="00E47F8C">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Dra. Ingrid Garcés Millas. </w:t>
      </w:r>
      <w:r w:rsidRPr="00C75816">
        <w:rPr>
          <w:rFonts w:eastAsia="Times New Roman" w:cstheme="minorHAnsi"/>
          <w:color w:val="444444"/>
          <w:sz w:val="24"/>
          <w:szCs w:val="24"/>
          <w:lang w:val="es-MX"/>
        </w:rPr>
        <w:t>Universidad de Antofagasta, Chile</w:t>
      </w:r>
    </w:p>
    <w:p w:rsidR="00E47F8C" w:rsidRPr="00C75816" w:rsidRDefault="00E47F8C" w:rsidP="00E47F8C">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lastRenderedPageBreak/>
        <w:t xml:space="preserve">Dr. Edison Gil Pavas. </w:t>
      </w:r>
      <w:r w:rsidRPr="00C75816">
        <w:rPr>
          <w:rFonts w:eastAsia="Times New Roman" w:cstheme="minorHAnsi"/>
          <w:color w:val="444444"/>
          <w:sz w:val="24"/>
          <w:szCs w:val="24"/>
          <w:lang w:val="es-MX"/>
        </w:rPr>
        <w:t>Universidad EAFIT, Medellín, Colombia</w:t>
      </w:r>
    </w:p>
    <w:p w:rsidR="00E47F8C" w:rsidRPr="00C75816" w:rsidRDefault="00E47F8C" w:rsidP="00E47F8C">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 Baltazar Aguirre Hernández. </w:t>
      </w:r>
      <w:r w:rsidRPr="00C75816">
        <w:rPr>
          <w:rFonts w:eastAsia="Times New Roman" w:cstheme="minorHAnsi"/>
          <w:color w:val="444444"/>
          <w:sz w:val="24"/>
          <w:szCs w:val="24"/>
          <w:lang w:val="es-MX"/>
        </w:rPr>
        <w:t>Departamento de Matemáticas. Universidad Autónoma Metropolitana, México</w:t>
      </w:r>
    </w:p>
    <w:p w:rsidR="00E47F8C" w:rsidRPr="00C75816" w:rsidRDefault="00E47F8C" w:rsidP="00E47F8C">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 Héctor Juárez Valencia. </w:t>
      </w:r>
      <w:r w:rsidRPr="00C75816">
        <w:rPr>
          <w:rFonts w:eastAsia="Times New Roman" w:cstheme="minorHAnsi"/>
          <w:color w:val="444444"/>
          <w:sz w:val="24"/>
          <w:szCs w:val="24"/>
          <w:lang w:val="es-MX"/>
        </w:rPr>
        <w:t>Departamento de Matemáticas. Universidad Autónoma Metropolitana, México</w:t>
      </w:r>
    </w:p>
    <w:p w:rsidR="00E47F8C" w:rsidRPr="00C75816" w:rsidRDefault="00E47F8C" w:rsidP="00E47F8C">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 José Hugo Martínez Guerrero. </w:t>
      </w:r>
      <w:r w:rsidRPr="00C75816">
        <w:rPr>
          <w:rFonts w:eastAsia="Times New Roman" w:cstheme="minorHAnsi"/>
          <w:color w:val="444444"/>
          <w:sz w:val="24"/>
          <w:szCs w:val="24"/>
          <w:lang w:val="es-MX"/>
        </w:rPr>
        <w:t>Facultad de Medicina Veterinaria y Zootecnia, Universidad Juárez del Estado de Durango, México</w:t>
      </w:r>
    </w:p>
    <w:p w:rsidR="00E47F8C" w:rsidRPr="00C75816" w:rsidRDefault="00E47F8C" w:rsidP="00E47F8C">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 Octavio Reyes Salas. </w:t>
      </w:r>
      <w:r w:rsidRPr="00C75816">
        <w:rPr>
          <w:rFonts w:eastAsia="Times New Roman" w:cstheme="minorHAnsi"/>
          <w:color w:val="444444"/>
          <w:sz w:val="24"/>
          <w:szCs w:val="24"/>
          <w:lang w:val="es-MX"/>
        </w:rPr>
        <w:t>Facultad de Química. Universidad Nacional Autónoma de México.</w:t>
      </w:r>
    </w:p>
    <w:p w:rsidR="00E47F8C" w:rsidRPr="00C75816" w:rsidRDefault="00E47F8C" w:rsidP="00E47F8C">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M. en I. Rafaela Gutiérrez Lara. </w:t>
      </w:r>
      <w:r w:rsidRPr="00C75816">
        <w:rPr>
          <w:rFonts w:eastAsia="Times New Roman" w:cstheme="minorHAnsi"/>
          <w:color w:val="444444"/>
          <w:sz w:val="24"/>
          <w:szCs w:val="24"/>
          <w:lang w:val="es-MX"/>
        </w:rPr>
        <w:t>Facultad de Química, Universidad Nacional Autónoma de México</w:t>
      </w:r>
    </w:p>
    <w:p w:rsidR="00E47F8C" w:rsidRPr="00C75816" w:rsidRDefault="00E47F8C" w:rsidP="00E47F8C">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 Ing. Alejandro Armando Hossian Corcuera. </w:t>
      </w:r>
      <w:r w:rsidRPr="00C75816">
        <w:rPr>
          <w:rFonts w:eastAsia="Times New Roman" w:cstheme="minorHAnsi"/>
          <w:color w:val="444444"/>
          <w:sz w:val="24"/>
          <w:szCs w:val="24"/>
          <w:lang w:val="es-MX"/>
        </w:rPr>
        <w:t>Universidad Tecnológica Nacional Argentina</w:t>
      </w:r>
    </w:p>
    <w:p w:rsidR="00E47F8C" w:rsidRPr="00C75816" w:rsidRDefault="00E47F8C" w:rsidP="00E47F8C">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 Juan Pablo Aguayo Vallejo. </w:t>
      </w:r>
      <w:r w:rsidRPr="00C75816">
        <w:rPr>
          <w:rFonts w:eastAsia="Times New Roman" w:cstheme="minorHAnsi"/>
          <w:color w:val="444444"/>
          <w:sz w:val="24"/>
          <w:szCs w:val="24"/>
          <w:lang w:val="es-MX"/>
        </w:rPr>
        <w:t>Centro de Ciencias Aplicadas y Desarrollo Tecnológico Universidad Nacional Autónoma de México</w:t>
      </w:r>
    </w:p>
    <w:p w:rsidR="00E47F8C" w:rsidRPr="00C75816" w:rsidRDefault="00E47F8C" w:rsidP="00E47F8C">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Quím. María Patricia Girón García. </w:t>
      </w:r>
      <w:r w:rsidRPr="00C75816">
        <w:rPr>
          <w:rFonts w:eastAsia="Times New Roman" w:cstheme="minorHAnsi"/>
          <w:color w:val="444444"/>
          <w:sz w:val="24"/>
          <w:szCs w:val="24"/>
          <w:lang w:val="es-MX"/>
        </w:rPr>
        <w:t>Instituto de Geología, Universidad Nacional Autónoma de México</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M. en I. Isabel Moromi Nakata. </w:t>
      </w:r>
      <w:r w:rsidRPr="00C75816">
        <w:rPr>
          <w:rFonts w:eastAsia="Times New Roman" w:cstheme="minorHAnsi"/>
          <w:color w:val="444444"/>
          <w:sz w:val="24"/>
          <w:szCs w:val="24"/>
          <w:lang w:val="es-MX"/>
        </w:rPr>
        <w:t>Facultad de Ingeniería Civil Universidad Nacional de Ingeniería, Lima, Perú.</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Quím. Blanca Sonia Ángeles García. </w:t>
      </w:r>
      <w:r w:rsidRPr="00C75816">
        <w:rPr>
          <w:rFonts w:eastAsia="Times New Roman" w:cstheme="minorHAnsi"/>
          <w:color w:val="444444"/>
          <w:sz w:val="24"/>
          <w:szCs w:val="24"/>
          <w:lang w:val="es-MX"/>
        </w:rPr>
        <w:t>Instituto de Geología, Universidad Nacional Autónoma de México</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Ing. Daniel Martínez Gutiérrez. </w:t>
      </w:r>
      <w:r w:rsidRPr="00C75816">
        <w:rPr>
          <w:rFonts w:eastAsia="Times New Roman" w:cstheme="minorHAnsi"/>
          <w:color w:val="444444"/>
          <w:sz w:val="24"/>
          <w:szCs w:val="24"/>
          <w:lang w:val="es-MX"/>
        </w:rPr>
        <w:t>Facultad de Ingeniería. Universidad Nacional Autónoma de México</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 Jaime Salvador Moysen. </w:t>
      </w:r>
      <w:r w:rsidRPr="00C75816">
        <w:rPr>
          <w:rFonts w:eastAsia="Times New Roman" w:cstheme="minorHAnsi"/>
          <w:color w:val="444444"/>
          <w:sz w:val="24"/>
          <w:szCs w:val="24"/>
          <w:lang w:val="es-MX"/>
        </w:rPr>
        <w:t>Instituto de Investigaciones Científicas, Universidad Juárez del Estado de Durango, México</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 René Vargas Aguilar. </w:t>
      </w:r>
      <w:r w:rsidRPr="00C75816">
        <w:rPr>
          <w:rFonts w:eastAsia="Times New Roman" w:cstheme="minorHAnsi"/>
          <w:color w:val="444444"/>
          <w:sz w:val="24"/>
          <w:szCs w:val="24"/>
          <w:lang w:val="es-MX"/>
        </w:rPr>
        <w:t>Instituto Politécnico Nacional, México</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M. en A. Alejandro Silva. </w:t>
      </w:r>
      <w:r w:rsidRPr="00C75816">
        <w:rPr>
          <w:rFonts w:eastAsia="Times New Roman" w:cstheme="minorHAnsi"/>
          <w:color w:val="444444"/>
          <w:sz w:val="24"/>
          <w:szCs w:val="24"/>
          <w:lang w:val="es-MX"/>
        </w:rPr>
        <w:t>Instituto de Geología Universidad Nacional Autónoma de México</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Dra. Olivia Zamora Martínez. </w:t>
      </w:r>
      <w:r w:rsidRPr="00C75816">
        <w:rPr>
          <w:rFonts w:eastAsia="Times New Roman" w:cstheme="minorHAnsi"/>
          <w:color w:val="444444"/>
          <w:sz w:val="24"/>
          <w:szCs w:val="24"/>
          <w:lang w:val="es-MX"/>
        </w:rPr>
        <w:t>Instituto de Geología Universidad Nacional Autónoma de México</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M. en I. Mario Alberto Díaz Cruz. </w:t>
      </w:r>
      <w:r w:rsidRPr="00C75816">
        <w:rPr>
          <w:rFonts w:eastAsia="Times New Roman" w:cstheme="minorHAnsi"/>
          <w:color w:val="444444"/>
          <w:sz w:val="24"/>
          <w:szCs w:val="24"/>
          <w:lang w:val="es-MX"/>
        </w:rPr>
        <w:t>Instituto de Geofísica. Universidad Nacional Autónoma de México.</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Dra. Adela Margarita Reyes Salas. </w:t>
      </w:r>
      <w:r w:rsidRPr="00C75816">
        <w:rPr>
          <w:rFonts w:eastAsia="Times New Roman" w:cstheme="minorHAnsi"/>
          <w:color w:val="444444"/>
          <w:sz w:val="24"/>
          <w:szCs w:val="24"/>
          <w:lang w:val="es-MX"/>
        </w:rPr>
        <w:t>Instituto de Geología, UNAM</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Dra. Sandra Loera Serna. </w:t>
      </w:r>
      <w:r w:rsidRPr="00C75816">
        <w:rPr>
          <w:rFonts w:eastAsia="Times New Roman" w:cstheme="minorHAnsi"/>
          <w:color w:val="444444"/>
          <w:sz w:val="24"/>
          <w:szCs w:val="24"/>
          <w:lang w:val="es-MX"/>
        </w:rPr>
        <w:t>Departamento de Ciencias Básicas, UAM-A</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 Guillermo Montero Martínez. </w:t>
      </w:r>
      <w:r w:rsidRPr="00C75816">
        <w:rPr>
          <w:rFonts w:eastAsia="Times New Roman" w:cstheme="minorHAnsi"/>
          <w:color w:val="444444"/>
          <w:sz w:val="24"/>
          <w:szCs w:val="24"/>
          <w:lang w:val="es-MX"/>
        </w:rPr>
        <w:t>Centro de Ciencias de la Atmósfera. UNAM</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 Ernesto Hernández Mendiola. </w:t>
      </w:r>
      <w:r w:rsidRPr="00C75816">
        <w:rPr>
          <w:rFonts w:eastAsia="Times New Roman" w:cstheme="minorHAnsi"/>
          <w:color w:val="444444"/>
          <w:sz w:val="24"/>
          <w:szCs w:val="24"/>
          <w:lang w:val="es-MX"/>
        </w:rPr>
        <w:t>Instituto de Geología, UNAM</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M. en C. Ericka Gabriela García Contreras. </w:t>
      </w:r>
      <w:r w:rsidRPr="00C75816">
        <w:rPr>
          <w:rFonts w:eastAsia="Times New Roman" w:cstheme="minorHAnsi"/>
          <w:color w:val="444444"/>
          <w:sz w:val="24"/>
          <w:szCs w:val="24"/>
          <w:lang w:val="es-MX"/>
        </w:rPr>
        <w:t>Instituto de Geofísica. UNAM</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lastRenderedPageBreak/>
        <w:t xml:space="preserve">Dr. Juan Adrián Reyes Cervantes. </w:t>
      </w:r>
      <w:r w:rsidRPr="00C75816">
        <w:rPr>
          <w:rFonts w:eastAsia="Times New Roman" w:cstheme="minorHAnsi"/>
          <w:color w:val="444444"/>
          <w:sz w:val="24"/>
          <w:szCs w:val="24"/>
          <w:lang w:val="es-MX"/>
        </w:rPr>
        <w:t>Instituto de Física. UNAM</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Prof. Dr. Yuri N. Skiba. </w:t>
      </w:r>
      <w:r w:rsidRPr="00C75816">
        <w:rPr>
          <w:rFonts w:eastAsia="Times New Roman" w:cstheme="minorHAnsi"/>
          <w:color w:val="444444"/>
          <w:sz w:val="24"/>
          <w:szCs w:val="24"/>
          <w:lang w:val="es-MX"/>
        </w:rPr>
        <w:t>Centro de Ciencias de la Atmósfera. UNAM</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 Benjamín Martínez López. </w:t>
      </w:r>
      <w:r w:rsidRPr="00C75816">
        <w:rPr>
          <w:rFonts w:eastAsia="Times New Roman" w:cstheme="minorHAnsi"/>
          <w:color w:val="444444"/>
          <w:sz w:val="24"/>
          <w:szCs w:val="24"/>
          <w:lang w:val="es-MX"/>
        </w:rPr>
        <w:t>Centro de Ciencias de la Atmósfera. UNAM</w:t>
      </w:r>
    </w:p>
    <w:p w:rsidR="00225510" w:rsidRPr="00C75816" w:rsidRDefault="00225510" w:rsidP="00225510">
      <w:pPr>
        <w:shd w:val="clear" w:color="auto" w:fill="FFFFFF"/>
        <w:spacing w:after="150" w:line="240" w:lineRule="auto"/>
        <w:rPr>
          <w:rFonts w:eastAsia="Times New Roman" w:cstheme="minorHAnsi"/>
          <w:color w:val="444444"/>
          <w:sz w:val="24"/>
          <w:szCs w:val="24"/>
          <w:lang w:val="es-MX"/>
        </w:rPr>
      </w:pPr>
      <w:r w:rsidRPr="00C75816">
        <w:rPr>
          <w:rFonts w:eastAsia="Times New Roman" w:cstheme="minorHAnsi"/>
          <w:bCs/>
          <w:color w:val="444444"/>
          <w:sz w:val="24"/>
          <w:szCs w:val="24"/>
          <w:lang w:val="es-MX"/>
        </w:rPr>
        <w:t xml:space="preserve">Dr. Asur Guadarrama Santana. </w:t>
      </w:r>
      <w:r w:rsidRPr="00C75816">
        <w:rPr>
          <w:rFonts w:eastAsia="Times New Roman" w:cstheme="minorHAnsi"/>
          <w:color w:val="444444"/>
          <w:sz w:val="24"/>
          <w:szCs w:val="24"/>
          <w:lang w:val="es-MX"/>
        </w:rPr>
        <w:t>Instituto de Ciencias Aplicadas y Desarrollo Tecnológico. UNAM</w:t>
      </w:r>
    </w:p>
    <w:p w:rsidR="00225510" w:rsidRPr="00DB755D" w:rsidRDefault="00225510" w:rsidP="00E47F8C">
      <w:pPr>
        <w:shd w:val="clear" w:color="auto" w:fill="FFFFFF"/>
        <w:spacing w:after="150" w:line="240" w:lineRule="auto"/>
        <w:rPr>
          <w:rFonts w:eastAsia="Times New Roman" w:cstheme="minorHAnsi"/>
          <w:color w:val="444444"/>
          <w:sz w:val="24"/>
          <w:szCs w:val="24"/>
          <w:lang w:val="es-MX"/>
        </w:rPr>
      </w:pPr>
    </w:p>
    <w:p w:rsidR="00E47F8C" w:rsidRPr="00DB755D" w:rsidRDefault="00E47F8C" w:rsidP="00D64DFC">
      <w:pPr>
        <w:jc w:val="both"/>
        <w:rPr>
          <w:rFonts w:cstheme="minorHAnsi"/>
          <w:b/>
          <w:bCs/>
          <w:sz w:val="24"/>
          <w:szCs w:val="24"/>
          <w:lang w:val="es-MX"/>
        </w:rPr>
      </w:pPr>
    </w:p>
    <w:p w:rsidR="00E47F8C" w:rsidRPr="00DB755D" w:rsidRDefault="00E47F8C" w:rsidP="00D64DFC">
      <w:pPr>
        <w:jc w:val="both"/>
        <w:rPr>
          <w:rFonts w:cstheme="minorHAnsi"/>
          <w:b/>
          <w:bCs/>
          <w:sz w:val="24"/>
          <w:szCs w:val="24"/>
        </w:rPr>
      </w:pPr>
    </w:p>
    <w:p w:rsidR="00E47F8C" w:rsidRPr="00DB755D" w:rsidRDefault="00E47F8C" w:rsidP="00D64DFC">
      <w:pPr>
        <w:jc w:val="both"/>
        <w:rPr>
          <w:rFonts w:cstheme="minorHAnsi"/>
          <w:b/>
          <w:bCs/>
          <w:sz w:val="24"/>
          <w:szCs w:val="24"/>
        </w:rPr>
      </w:pPr>
    </w:p>
    <w:p w:rsidR="00E47F8C" w:rsidRPr="00DB755D" w:rsidRDefault="00E47F8C" w:rsidP="00D64DFC">
      <w:pPr>
        <w:jc w:val="both"/>
        <w:rPr>
          <w:rFonts w:cstheme="minorHAnsi"/>
          <w:b/>
          <w:bCs/>
          <w:sz w:val="24"/>
          <w:szCs w:val="24"/>
        </w:rPr>
      </w:pPr>
    </w:p>
    <w:p w:rsidR="00506A55" w:rsidRPr="00DB755D" w:rsidRDefault="00506A55" w:rsidP="00506A55">
      <w:pPr>
        <w:jc w:val="both"/>
        <w:rPr>
          <w:rFonts w:cstheme="minorHAnsi"/>
          <w:b/>
          <w:bCs/>
          <w:sz w:val="24"/>
          <w:szCs w:val="24"/>
        </w:rPr>
      </w:pPr>
      <w:r w:rsidRPr="00DB755D">
        <w:rPr>
          <w:rFonts w:cstheme="minorHAnsi"/>
          <w:b/>
          <w:bCs/>
          <w:sz w:val="24"/>
          <w:szCs w:val="24"/>
        </w:rPr>
        <w:t>Comité Organizador Local</w:t>
      </w:r>
    </w:p>
    <w:p w:rsidR="00506A55" w:rsidRPr="00DB755D" w:rsidRDefault="00506A55" w:rsidP="00506A55">
      <w:pPr>
        <w:jc w:val="both"/>
        <w:rPr>
          <w:rFonts w:cstheme="minorHAnsi"/>
          <w:bCs/>
          <w:sz w:val="24"/>
          <w:szCs w:val="24"/>
        </w:rPr>
      </w:pPr>
      <w:r w:rsidRPr="00DB755D">
        <w:rPr>
          <w:rFonts w:cstheme="minorHAnsi"/>
          <w:bCs/>
          <w:sz w:val="24"/>
          <w:szCs w:val="24"/>
        </w:rPr>
        <w:t>M.Sc. Maribelle Vargas-Montero.</w:t>
      </w:r>
      <w:r w:rsidR="00C47BE3">
        <w:rPr>
          <w:rFonts w:cstheme="minorHAnsi"/>
          <w:bCs/>
          <w:sz w:val="24"/>
          <w:szCs w:val="24"/>
        </w:rPr>
        <w:t xml:space="preserve"> </w:t>
      </w:r>
      <w:r w:rsidRPr="00DB755D">
        <w:rPr>
          <w:rFonts w:cstheme="minorHAnsi"/>
          <w:bCs/>
          <w:sz w:val="24"/>
          <w:szCs w:val="24"/>
        </w:rPr>
        <w:t>Directora del Centro de Investigación en Estructuras Microscópicas Universidad de Costa Rica.</w:t>
      </w:r>
    </w:p>
    <w:p w:rsidR="00506A55" w:rsidRPr="00DB755D" w:rsidRDefault="00506A55" w:rsidP="00506A55">
      <w:pPr>
        <w:jc w:val="both"/>
        <w:rPr>
          <w:rFonts w:cstheme="minorHAnsi"/>
          <w:bCs/>
          <w:sz w:val="24"/>
          <w:szCs w:val="24"/>
        </w:rPr>
      </w:pPr>
      <w:r w:rsidRPr="00DB755D">
        <w:rPr>
          <w:rFonts w:cstheme="minorHAnsi"/>
          <w:bCs/>
          <w:sz w:val="24"/>
          <w:szCs w:val="24"/>
        </w:rPr>
        <w:t>M.Sc. Paula Calderón Mesén.</w:t>
      </w:r>
      <w:r w:rsidR="00C47BE3">
        <w:rPr>
          <w:rFonts w:cstheme="minorHAnsi"/>
          <w:bCs/>
          <w:sz w:val="24"/>
          <w:szCs w:val="24"/>
        </w:rPr>
        <w:t xml:space="preserve"> </w:t>
      </w:r>
      <w:r w:rsidRPr="00DB755D">
        <w:rPr>
          <w:rFonts w:cstheme="minorHAnsi"/>
          <w:bCs/>
          <w:sz w:val="24"/>
          <w:szCs w:val="24"/>
        </w:rPr>
        <w:t>Centro de Investigación en Estructuras Microscópicas Universidad de Costa Rica</w:t>
      </w:r>
    </w:p>
    <w:p w:rsidR="00506A55" w:rsidRPr="00DB755D" w:rsidRDefault="00506A55" w:rsidP="00506A55">
      <w:pPr>
        <w:jc w:val="both"/>
        <w:rPr>
          <w:rFonts w:cstheme="minorHAnsi"/>
          <w:bCs/>
          <w:sz w:val="24"/>
          <w:szCs w:val="24"/>
        </w:rPr>
      </w:pPr>
      <w:r w:rsidRPr="00DB755D">
        <w:rPr>
          <w:rFonts w:cstheme="minorHAnsi"/>
          <w:bCs/>
          <w:sz w:val="24"/>
          <w:szCs w:val="24"/>
        </w:rPr>
        <w:t>Dr. Carlos M. Valdés González.</w:t>
      </w:r>
      <w:r w:rsidR="00C47BE3">
        <w:rPr>
          <w:rFonts w:cstheme="minorHAnsi"/>
          <w:bCs/>
          <w:sz w:val="24"/>
          <w:szCs w:val="24"/>
        </w:rPr>
        <w:t xml:space="preserve"> </w:t>
      </w:r>
      <w:r w:rsidRPr="00DB755D">
        <w:rPr>
          <w:rFonts w:cstheme="minorHAnsi"/>
          <w:bCs/>
          <w:sz w:val="24"/>
          <w:szCs w:val="24"/>
        </w:rPr>
        <w:t>Director del Centro de Estudios Mexicanos UNAM, Costa Rica</w:t>
      </w:r>
    </w:p>
    <w:p w:rsidR="00E47F8C" w:rsidRPr="00DB755D" w:rsidRDefault="00506A55" w:rsidP="00506A55">
      <w:pPr>
        <w:jc w:val="both"/>
        <w:rPr>
          <w:rFonts w:cstheme="minorHAnsi"/>
          <w:bCs/>
          <w:sz w:val="24"/>
          <w:szCs w:val="24"/>
        </w:rPr>
      </w:pPr>
      <w:r w:rsidRPr="00DB755D">
        <w:rPr>
          <w:rFonts w:cstheme="minorHAnsi"/>
          <w:bCs/>
          <w:sz w:val="24"/>
          <w:szCs w:val="24"/>
        </w:rPr>
        <w:t>Mtro. Héctor Perdomo Velázquez.</w:t>
      </w:r>
      <w:r w:rsidR="00C47BE3">
        <w:rPr>
          <w:rFonts w:cstheme="minorHAnsi"/>
          <w:bCs/>
          <w:sz w:val="24"/>
          <w:szCs w:val="24"/>
        </w:rPr>
        <w:t xml:space="preserve"> </w:t>
      </w:r>
      <w:r w:rsidRPr="00DB755D">
        <w:rPr>
          <w:rFonts w:cstheme="minorHAnsi"/>
          <w:bCs/>
          <w:sz w:val="24"/>
          <w:szCs w:val="24"/>
        </w:rPr>
        <w:t>Coordinador de Gestión y Relaciones Centro de Estudios Mexicanos UNAM, Costa Rica</w:t>
      </w:r>
    </w:p>
    <w:p w:rsidR="00E47F8C" w:rsidRPr="00A53B93" w:rsidRDefault="00E47F8C" w:rsidP="00D64DFC">
      <w:pPr>
        <w:jc w:val="both"/>
        <w:rPr>
          <w:rFonts w:ascii="Arial" w:hAnsi="Arial" w:cs="Arial"/>
          <w:b/>
          <w:bCs/>
          <w:i/>
          <w:iCs/>
        </w:rPr>
      </w:pPr>
    </w:p>
    <w:p w:rsidR="00D64DFC" w:rsidRPr="00A53B93" w:rsidRDefault="00D64DFC" w:rsidP="00D64DFC">
      <w:pPr>
        <w:autoSpaceDE w:val="0"/>
        <w:autoSpaceDN w:val="0"/>
        <w:adjustRightInd w:val="0"/>
        <w:rPr>
          <w:rFonts w:ascii="Arial" w:hAnsi="Arial" w:cs="Arial"/>
          <w:color w:val="000000"/>
          <w:sz w:val="18"/>
          <w:szCs w:val="18"/>
        </w:rPr>
      </w:pPr>
    </w:p>
    <w:p w:rsidR="00D64DFC" w:rsidRPr="00A53B93" w:rsidRDefault="00D64DFC" w:rsidP="00D64DFC">
      <w:pPr>
        <w:autoSpaceDE w:val="0"/>
        <w:autoSpaceDN w:val="0"/>
        <w:adjustRightInd w:val="0"/>
        <w:rPr>
          <w:rFonts w:ascii="Arial" w:hAnsi="Arial" w:cs="Arial"/>
          <w:color w:val="000000"/>
          <w:sz w:val="18"/>
          <w:szCs w:val="18"/>
        </w:rPr>
      </w:pPr>
    </w:p>
    <w:p w:rsidR="00D64DFC" w:rsidRPr="00067E11" w:rsidRDefault="00D64DFC" w:rsidP="00D64DFC">
      <w:pPr>
        <w:pStyle w:val="Prrafodelista"/>
        <w:ind w:left="0"/>
        <w:rPr>
          <w:rFonts w:ascii="Arial" w:hAnsi="Arial" w:cs="Arial"/>
          <w:b/>
        </w:rPr>
      </w:pPr>
      <w:r>
        <w:rPr>
          <w:rFonts w:ascii="Arial" w:hAnsi="Arial" w:cs="Arial"/>
          <w:color w:val="000000"/>
          <w:sz w:val="18"/>
          <w:szCs w:val="18"/>
        </w:rPr>
        <w:br w:type="page"/>
      </w:r>
      <w:r w:rsidRPr="00067E11">
        <w:rPr>
          <w:rFonts w:ascii="Arial" w:hAnsi="Arial" w:cs="Arial"/>
          <w:b/>
        </w:rPr>
        <w:lastRenderedPageBreak/>
        <w:t>Introducción.</w:t>
      </w:r>
    </w:p>
    <w:p w:rsidR="00D64DFC" w:rsidRPr="00067E11" w:rsidRDefault="00D64DFC" w:rsidP="00D64DFC">
      <w:pPr>
        <w:pStyle w:val="Prrafodelista"/>
        <w:ind w:left="360"/>
        <w:rPr>
          <w:rFonts w:ascii="Arial" w:hAnsi="Arial" w:cs="Arial"/>
        </w:rPr>
      </w:pPr>
    </w:p>
    <w:p w:rsidR="00D64DFC" w:rsidRPr="00067E11" w:rsidRDefault="00D64DFC" w:rsidP="00D64DFC">
      <w:pPr>
        <w:ind w:left="360"/>
        <w:jc w:val="both"/>
        <w:rPr>
          <w:rFonts w:ascii="Arial" w:hAnsi="Arial" w:cs="Arial"/>
        </w:rPr>
      </w:pPr>
      <w:r w:rsidRPr="00067E11">
        <w:rPr>
          <w:rFonts w:ascii="Arial" w:hAnsi="Arial" w:cs="Arial"/>
        </w:rPr>
        <w:t>El lanzamiento de esta publicación científica y académica permite la concurrencia de expertos que desean promover el intercambio de información en áreas relacionadas con la ciencia y sus aplicaciones. Asimismo, contribuye al reconocimiento en nuestra sociedad, de la importancia y viabilidad de la actividad científica y su amplio espectro de aplicaciones. Son escasas las publicaciones científicas y multidisciplinarias en nuestro país, que reúnen especialistas de diversas ramas del conocimiento, con el propósito de resolver problemas relevantes en nuestra sociedad. Esta empresa contribuirá a establecer redes multidisciplinarias que coadyuven al avance, la aplicación del conocimiento y  la difusión de la ciencia y la tecnología.</w:t>
      </w:r>
    </w:p>
    <w:p w:rsidR="00D64DFC" w:rsidRDefault="00D64DFC" w:rsidP="00D64DFC">
      <w:pPr>
        <w:ind w:left="360"/>
        <w:jc w:val="both"/>
        <w:rPr>
          <w:rFonts w:ascii="Arial" w:hAnsi="Arial" w:cs="Arial"/>
          <w:bCs/>
          <w:iCs/>
        </w:rPr>
      </w:pPr>
      <w:r w:rsidRPr="00067E11">
        <w:rPr>
          <w:rFonts w:ascii="Arial" w:hAnsi="Arial" w:cs="Arial"/>
          <w:i/>
        </w:rPr>
        <w:t>CONTRIBUCIONES A CIENCIAS APLICADAS 2014</w:t>
      </w:r>
      <w:r w:rsidRPr="00067E11">
        <w:rPr>
          <w:rFonts w:ascii="Arial" w:hAnsi="Arial" w:cs="Arial"/>
        </w:rPr>
        <w:t xml:space="preserve"> tiene la orientación de estimular la actividad científica y difundir avances recientes en investigación relacionada con la ciencia y su vasto potencial de aplicaciones en áreas tales como: </w:t>
      </w:r>
      <w:r w:rsidRPr="00067E11">
        <w:rPr>
          <w:rFonts w:ascii="Arial" w:hAnsi="Arial" w:cs="Arial"/>
          <w:bCs/>
          <w:iCs/>
        </w:rPr>
        <w:t>Ingeniería Ambiental, Química Aplicada, Computación , Mecatrónica, Control, Matemáticas, Desarrollo de Software, Ingeniería, Polímeros, Materiales Compuestos, Veterinaria, Electrónica, Eléctrica, Física, Tecnología y Simulación. Asimismo, se incluyen los temas de Educación  y Enseñanza.</w:t>
      </w:r>
    </w:p>
    <w:p w:rsidR="009F52D6" w:rsidRPr="00067E11" w:rsidRDefault="009F52D6" w:rsidP="00D64DFC">
      <w:pPr>
        <w:ind w:left="360"/>
        <w:jc w:val="both"/>
        <w:rPr>
          <w:rFonts w:ascii="Arial" w:hAnsi="Arial" w:cs="Arial"/>
          <w:bCs/>
          <w:iCs/>
        </w:rPr>
      </w:pPr>
    </w:p>
    <w:p w:rsidR="00D64DFC" w:rsidRPr="00067E11" w:rsidRDefault="00D64DFC" w:rsidP="00D64DFC">
      <w:pPr>
        <w:ind w:left="360"/>
        <w:jc w:val="both"/>
        <w:rPr>
          <w:rFonts w:ascii="Arial" w:hAnsi="Arial" w:cs="Arial"/>
        </w:rPr>
      </w:pPr>
      <w:r w:rsidRPr="00067E11">
        <w:rPr>
          <w:rFonts w:ascii="Arial" w:hAnsi="Arial" w:cs="Arial"/>
        </w:rPr>
        <w:t xml:space="preserve">La presente publicación contiene una colección de 73 artículos, en su versión extendida, que fueron presentados en el Segundo Congreso Multidisciplinario de Ciencias Aplicadas en Latinoamérica, que se llevó a cabo en la ciudad de Guatemala, Guatemala de 7 al 10 de octubre de 2014.  Estos artículos fueron seleccionados de un total de 150 trabajos, por el Comité Científico de dicho congreso, el cual estuvo conformado por 17 investigadores de diferentes universidades de Latinoamérica.  Algunas de las características comunes de los artículos presentados aquí son su originalidad, relevancia y aplicabilidad a temas afines a nuestra comunidad hispanoparlante, en el dominio de las ingenierías, la física, las matemáticas, la tecnología y la  computación,  entre otras disciplinas. </w:t>
      </w:r>
    </w:p>
    <w:p w:rsidR="00D64DFC" w:rsidRPr="00067E11" w:rsidRDefault="00D64DFC" w:rsidP="00D64DFC">
      <w:pPr>
        <w:ind w:left="360"/>
        <w:jc w:val="both"/>
        <w:rPr>
          <w:rFonts w:ascii="Arial" w:hAnsi="Arial" w:cs="Arial"/>
        </w:rPr>
      </w:pPr>
      <w:r w:rsidRPr="00067E11">
        <w:rPr>
          <w:rFonts w:ascii="Arial" w:hAnsi="Arial" w:cs="Arial"/>
        </w:rPr>
        <w:t>Estamos seguros que este trabajo editorial se traducirá en la ampliación del espectro de las aplicaciones de la ciencia e inducirá el establecimiento de redes de colaboración entre investigadores teóricos y experimentales, académicos y profesionistas interesados en campos relacionados con la ciencia y sus aplicaciones.</w:t>
      </w:r>
    </w:p>
    <w:p w:rsidR="00D64DFC" w:rsidRPr="00067E11" w:rsidRDefault="00D64DFC" w:rsidP="00D64DFC">
      <w:pPr>
        <w:autoSpaceDE w:val="0"/>
        <w:autoSpaceDN w:val="0"/>
        <w:adjustRightInd w:val="0"/>
        <w:rPr>
          <w:rFonts w:ascii="Arial" w:hAnsi="Arial" w:cs="Arial"/>
          <w:color w:val="000000"/>
          <w:sz w:val="18"/>
          <w:szCs w:val="18"/>
        </w:rPr>
      </w:pPr>
    </w:p>
    <w:p w:rsidR="00531F09" w:rsidRDefault="00531F09">
      <w:pPr>
        <w:spacing w:line="276" w:lineRule="auto"/>
      </w:pPr>
      <w:r>
        <w:br w:type="page"/>
      </w:r>
    </w:p>
    <w:sdt>
      <w:sdtPr>
        <w:rPr>
          <w:rFonts w:ascii="Times New Roman" w:eastAsia="Batang" w:hAnsi="Times New Roman" w:cs="Times New Roman"/>
          <w:b/>
          <w:bCs/>
          <w:color w:val="auto"/>
          <w:sz w:val="24"/>
          <w:szCs w:val="24"/>
          <w:lang w:eastAsia="ar-SA"/>
        </w:rPr>
        <w:id w:val="24703289"/>
        <w:docPartObj>
          <w:docPartGallery w:val="Table of Contents"/>
          <w:docPartUnique/>
        </w:docPartObj>
      </w:sdtPr>
      <w:sdtEndPr>
        <w:rPr>
          <w:rFonts w:asciiTheme="minorHAnsi" w:eastAsiaTheme="minorEastAsia" w:hAnsiTheme="minorHAnsi" w:cstheme="minorBidi"/>
          <w:b w:val="0"/>
          <w:bCs w:val="0"/>
          <w:sz w:val="21"/>
          <w:szCs w:val="21"/>
          <w:lang w:eastAsia="en-US"/>
        </w:rPr>
      </w:sdtEndPr>
      <w:sdtContent>
        <w:p w:rsidR="00531F09" w:rsidRDefault="0054204D">
          <w:pPr>
            <w:pStyle w:val="TtuloTDC"/>
          </w:pPr>
          <w:r>
            <w:t>Indice</w:t>
          </w:r>
          <w:r w:rsidR="00633A06">
            <w:t xml:space="preserve"> </w:t>
          </w:r>
        </w:p>
        <w:p w:rsidR="00D57D8A" w:rsidRDefault="008C6E65">
          <w:pPr>
            <w:pStyle w:val="TDC1"/>
            <w:tabs>
              <w:tab w:val="right" w:leader="dot" w:pos="9962"/>
            </w:tabs>
            <w:rPr>
              <w:b w:val="0"/>
              <w:noProof/>
              <w:sz w:val="22"/>
              <w:szCs w:val="22"/>
              <w:lang w:val="en-US" w:eastAsia="en-US"/>
            </w:rPr>
          </w:pPr>
          <w:r w:rsidRPr="005D77CB">
            <w:rPr>
              <w:b w:val="0"/>
            </w:rPr>
            <w:fldChar w:fldCharType="begin"/>
          </w:r>
          <w:r w:rsidR="00531F09" w:rsidRPr="005D77CB">
            <w:rPr>
              <w:b w:val="0"/>
            </w:rPr>
            <w:instrText xml:space="preserve"> TOC \o "1-3" \h \z \u </w:instrText>
          </w:r>
          <w:r w:rsidRPr="005D77CB">
            <w:rPr>
              <w:b w:val="0"/>
            </w:rPr>
            <w:fldChar w:fldCharType="separate"/>
          </w:r>
          <w:hyperlink w:anchor="_Toc50031135" w:history="1">
            <w:r w:rsidR="00D57D8A" w:rsidRPr="00251ABB">
              <w:rPr>
                <w:rStyle w:val="Hipervnculo"/>
                <w:noProof/>
              </w:rPr>
              <w:t>Carta Hidrográfica Urbana</w:t>
            </w:r>
            <w:r w:rsidR="00D57D8A">
              <w:rPr>
                <w:noProof/>
                <w:webHidden/>
              </w:rPr>
              <w:tab/>
            </w:r>
            <w:r w:rsidR="00D57D8A">
              <w:rPr>
                <w:noProof/>
                <w:webHidden/>
              </w:rPr>
              <w:fldChar w:fldCharType="begin"/>
            </w:r>
            <w:r w:rsidR="00D57D8A">
              <w:rPr>
                <w:noProof/>
                <w:webHidden/>
              </w:rPr>
              <w:instrText xml:space="preserve"> PAGEREF _Toc50031135 \h </w:instrText>
            </w:r>
            <w:r w:rsidR="00D57D8A">
              <w:rPr>
                <w:noProof/>
                <w:webHidden/>
              </w:rPr>
            </w:r>
            <w:r w:rsidR="00D57D8A">
              <w:rPr>
                <w:noProof/>
                <w:webHidden/>
              </w:rPr>
              <w:fldChar w:fldCharType="separate"/>
            </w:r>
            <w:r w:rsidR="00D57D8A">
              <w:rPr>
                <w:noProof/>
                <w:webHidden/>
              </w:rPr>
              <w:t>1</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36" w:history="1">
            <w:r w:rsidR="00D57D8A" w:rsidRPr="00251ABB">
              <w:rPr>
                <w:rStyle w:val="Hipervnculo"/>
                <w:noProof/>
              </w:rPr>
              <w:t>1.</w:t>
            </w:r>
            <w:r w:rsidR="00D57D8A">
              <w:rPr>
                <w:b w:val="0"/>
                <w:noProof/>
                <w:sz w:val="22"/>
                <w:szCs w:val="22"/>
                <w:lang w:val="en-US" w:eastAsia="en-US"/>
              </w:rPr>
              <w:tab/>
            </w:r>
            <w:r w:rsidR="00D57D8A" w:rsidRPr="00251ABB">
              <w:rPr>
                <w:rStyle w:val="Hipervnculo"/>
                <w:noProof/>
              </w:rPr>
              <w:t>Resumen</w:t>
            </w:r>
            <w:r w:rsidR="00D57D8A">
              <w:rPr>
                <w:noProof/>
                <w:webHidden/>
              </w:rPr>
              <w:tab/>
            </w:r>
            <w:r w:rsidR="00D57D8A">
              <w:rPr>
                <w:noProof/>
                <w:webHidden/>
              </w:rPr>
              <w:fldChar w:fldCharType="begin"/>
            </w:r>
            <w:r w:rsidR="00D57D8A">
              <w:rPr>
                <w:noProof/>
                <w:webHidden/>
              </w:rPr>
              <w:instrText xml:space="preserve"> PAGEREF _Toc50031136 \h </w:instrText>
            </w:r>
            <w:r w:rsidR="00D57D8A">
              <w:rPr>
                <w:noProof/>
                <w:webHidden/>
              </w:rPr>
            </w:r>
            <w:r w:rsidR="00D57D8A">
              <w:rPr>
                <w:noProof/>
                <w:webHidden/>
              </w:rPr>
              <w:fldChar w:fldCharType="separate"/>
            </w:r>
            <w:r w:rsidR="00D57D8A">
              <w:rPr>
                <w:noProof/>
                <w:webHidden/>
              </w:rPr>
              <w:t>1</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37" w:history="1">
            <w:r w:rsidR="00D57D8A" w:rsidRPr="00251ABB">
              <w:rPr>
                <w:rStyle w:val="Hipervnculo"/>
                <w:noProof/>
              </w:rPr>
              <w:t>2.</w:t>
            </w:r>
            <w:r w:rsidR="00D57D8A">
              <w:rPr>
                <w:b w:val="0"/>
                <w:noProof/>
                <w:sz w:val="22"/>
                <w:szCs w:val="22"/>
                <w:lang w:val="en-US" w:eastAsia="en-US"/>
              </w:rPr>
              <w:tab/>
            </w:r>
            <w:r w:rsidR="00D57D8A" w:rsidRPr="00251ABB">
              <w:rPr>
                <w:rStyle w:val="Hipervnculo"/>
                <w:noProof/>
              </w:rPr>
              <w:t>Introducción</w:t>
            </w:r>
            <w:r w:rsidR="00D57D8A">
              <w:rPr>
                <w:noProof/>
                <w:webHidden/>
              </w:rPr>
              <w:tab/>
            </w:r>
            <w:r w:rsidR="00D57D8A">
              <w:rPr>
                <w:noProof/>
                <w:webHidden/>
              </w:rPr>
              <w:fldChar w:fldCharType="begin"/>
            </w:r>
            <w:r w:rsidR="00D57D8A">
              <w:rPr>
                <w:noProof/>
                <w:webHidden/>
              </w:rPr>
              <w:instrText xml:space="preserve"> PAGEREF _Toc50031137 \h </w:instrText>
            </w:r>
            <w:r w:rsidR="00D57D8A">
              <w:rPr>
                <w:noProof/>
                <w:webHidden/>
              </w:rPr>
            </w:r>
            <w:r w:rsidR="00D57D8A">
              <w:rPr>
                <w:noProof/>
                <w:webHidden/>
              </w:rPr>
              <w:fldChar w:fldCharType="separate"/>
            </w:r>
            <w:r w:rsidR="00D57D8A">
              <w:rPr>
                <w:noProof/>
                <w:webHidden/>
              </w:rPr>
              <w:t>1</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38" w:history="1">
            <w:r w:rsidR="00D57D8A" w:rsidRPr="00251ABB">
              <w:rPr>
                <w:rStyle w:val="Hipervnculo"/>
                <w:noProof/>
              </w:rPr>
              <w:t>3.</w:t>
            </w:r>
            <w:r w:rsidR="00D57D8A">
              <w:rPr>
                <w:b w:val="0"/>
                <w:noProof/>
                <w:sz w:val="22"/>
                <w:szCs w:val="22"/>
                <w:lang w:val="en-US" w:eastAsia="en-US"/>
              </w:rPr>
              <w:tab/>
            </w:r>
            <w:r w:rsidR="00D57D8A" w:rsidRPr="00251ABB">
              <w:rPr>
                <w:rStyle w:val="Hipervnculo"/>
                <w:noProof/>
              </w:rPr>
              <w:t>Carta Hidrográfica Urbana (CHU)</w:t>
            </w:r>
            <w:r w:rsidR="00D57D8A">
              <w:rPr>
                <w:noProof/>
                <w:webHidden/>
              </w:rPr>
              <w:tab/>
            </w:r>
            <w:r w:rsidR="00D57D8A">
              <w:rPr>
                <w:noProof/>
                <w:webHidden/>
              </w:rPr>
              <w:fldChar w:fldCharType="begin"/>
            </w:r>
            <w:r w:rsidR="00D57D8A">
              <w:rPr>
                <w:noProof/>
                <w:webHidden/>
              </w:rPr>
              <w:instrText xml:space="preserve"> PAGEREF _Toc50031138 \h </w:instrText>
            </w:r>
            <w:r w:rsidR="00D57D8A">
              <w:rPr>
                <w:noProof/>
                <w:webHidden/>
              </w:rPr>
            </w:r>
            <w:r w:rsidR="00D57D8A">
              <w:rPr>
                <w:noProof/>
                <w:webHidden/>
              </w:rPr>
              <w:fldChar w:fldCharType="separate"/>
            </w:r>
            <w:r w:rsidR="00D57D8A">
              <w:rPr>
                <w:noProof/>
                <w:webHidden/>
              </w:rPr>
              <w:t>2</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39" w:history="1">
            <w:r w:rsidR="00D57D8A" w:rsidRPr="00251ABB">
              <w:rPr>
                <w:rStyle w:val="Hipervnculo"/>
                <w:noProof/>
              </w:rPr>
              <w:t>4.</w:t>
            </w:r>
            <w:r w:rsidR="00D57D8A">
              <w:rPr>
                <w:b w:val="0"/>
                <w:noProof/>
                <w:sz w:val="22"/>
                <w:szCs w:val="22"/>
                <w:lang w:val="en-US" w:eastAsia="en-US"/>
              </w:rPr>
              <w:tab/>
            </w:r>
            <w:r w:rsidR="00D57D8A" w:rsidRPr="00251ABB">
              <w:rPr>
                <w:rStyle w:val="Hipervnculo"/>
                <w:noProof/>
              </w:rPr>
              <w:t>Análisis hidrográfico en una ZoPI</w:t>
            </w:r>
            <w:r w:rsidR="00D57D8A">
              <w:rPr>
                <w:noProof/>
                <w:webHidden/>
              </w:rPr>
              <w:tab/>
            </w:r>
            <w:r w:rsidR="00D57D8A">
              <w:rPr>
                <w:noProof/>
                <w:webHidden/>
              </w:rPr>
              <w:fldChar w:fldCharType="begin"/>
            </w:r>
            <w:r w:rsidR="00D57D8A">
              <w:rPr>
                <w:noProof/>
                <w:webHidden/>
              </w:rPr>
              <w:instrText xml:space="preserve"> PAGEREF _Toc50031139 \h </w:instrText>
            </w:r>
            <w:r w:rsidR="00D57D8A">
              <w:rPr>
                <w:noProof/>
                <w:webHidden/>
              </w:rPr>
            </w:r>
            <w:r w:rsidR="00D57D8A">
              <w:rPr>
                <w:noProof/>
                <w:webHidden/>
              </w:rPr>
              <w:fldChar w:fldCharType="separate"/>
            </w:r>
            <w:r w:rsidR="00D57D8A">
              <w:rPr>
                <w:noProof/>
                <w:webHidden/>
              </w:rPr>
              <w:t>4</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40" w:history="1">
            <w:r w:rsidR="00D57D8A" w:rsidRPr="00251ABB">
              <w:rPr>
                <w:rStyle w:val="Hipervnculo"/>
                <w:noProof/>
              </w:rPr>
              <w:t>5.</w:t>
            </w:r>
            <w:r w:rsidR="00D57D8A">
              <w:rPr>
                <w:b w:val="0"/>
                <w:noProof/>
                <w:sz w:val="22"/>
                <w:szCs w:val="22"/>
                <w:lang w:val="en-US" w:eastAsia="en-US"/>
              </w:rPr>
              <w:tab/>
            </w:r>
            <w:r w:rsidR="00D57D8A" w:rsidRPr="00251ABB">
              <w:rPr>
                <w:rStyle w:val="Hipervnculo"/>
                <w:noProof/>
              </w:rPr>
              <w:t>Clasificación de los Afluentes Urbanos</w:t>
            </w:r>
            <w:r w:rsidR="00D57D8A">
              <w:rPr>
                <w:noProof/>
                <w:webHidden/>
              </w:rPr>
              <w:tab/>
            </w:r>
            <w:r w:rsidR="00D57D8A">
              <w:rPr>
                <w:noProof/>
                <w:webHidden/>
              </w:rPr>
              <w:fldChar w:fldCharType="begin"/>
            </w:r>
            <w:r w:rsidR="00D57D8A">
              <w:rPr>
                <w:noProof/>
                <w:webHidden/>
              </w:rPr>
              <w:instrText xml:space="preserve"> PAGEREF _Toc50031140 \h </w:instrText>
            </w:r>
            <w:r w:rsidR="00D57D8A">
              <w:rPr>
                <w:noProof/>
                <w:webHidden/>
              </w:rPr>
            </w:r>
            <w:r w:rsidR="00D57D8A">
              <w:rPr>
                <w:noProof/>
                <w:webHidden/>
              </w:rPr>
              <w:fldChar w:fldCharType="separate"/>
            </w:r>
            <w:r w:rsidR="00D57D8A">
              <w:rPr>
                <w:noProof/>
                <w:webHidden/>
              </w:rPr>
              <w:t>6</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41" w:history="1">
            <w:r w:rsidR="00D57D8A" w:rsidRPr="00251ABB">
              <w:rPr>
                <w:rStyle w:val="Hipervnculo"/>
                <w:noProof/>
              </w:rPr>
              <w:t>6.</w:t>
            </w:r>
            <w:r w:rsidR="00D57D8A">
              <w:rPr>
                <w:b w:val="0"/>
                <w:noProof/>
                <w:sz w:val="22"/>
                <w:szCs w:val="22"/>
                <w:lang w:val="en-US" w:eastAsia="en-US"/>
              </w:rPr>
              <w:tab/>
            </w:r>
            <w:r w:rsidR="00D57D8A" w:rsidRPr="00251ABB">
              <w:rPr>
                <w:rStyle w:val="Hipervnculo"/>
                <w:noProof/>
              </w:rPr>
              <w:t>Microcuenca Hidrográfica Urbana (MHU)</w:t>
            </w:r>
            <w:r w:rsidR="00D57D8A">
              <w:rPr>
                <w:noProof/>
                <w:webHidden/>
              </w:rPr>
              <w:tab/>
            </w:r>
            <w:r w:rsidR="00D57D8A">
              <w:rPr>
                <w:noProof/>
                <w:webHidden/>
              </w:rPr>
              <w:fldChar w:fldCharType="begin"/>
            </w:r>
            <w:r w:rsidR="00D57D8A">
              <w:rPr>
                <w:noProof/>
                <w:webHidden/>
              </w:rPr>
              <w:instrText xml:space="preserve"> PAGEREF _Toc50031141 \h </w:instrText>
            </w:r>
            <w:r w:rsidR="00D57D8A">
              <w:rPr>
                <w:noProof/>
                <w:webHidden/>
              </w:rPr>
            </w:r>
            <w:r w:rsidR="00D57D8A">
              <w:rPr>
                <w:noProof/>
                <w:webHidden/>
              </w:rPr>
              <w:fldChar w:fldCharType="separate"/>
            </w:r>
            <w:r w:rsidR="00D57D8A">
              <w:rPr>
                <w:noProof/>
                <w:webHidden/>
              </w:rPr>
              <w:t>6</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42" w:history="1">
            <w:r w:rsidR="00D57D8A" w:rsidRPr="00251ABB">
              <w:rPr>
                <w:rStyle w:val="Hipervnculo"/>
                <w:noProof/>
              </w:rPr>
              <w:t>7.</w:t>
            </w:r>
            <w:r w:rsidR="00D57D8A">
              <w:rPr>
                <w:b w:val="0"/>
                <w:noProof/>
                <w:sz w:val="22"/>
                <w:szCs w:val="22"/>
                <w:lang w:val="en-US" w:eastAsia="en-US"/>
              </w:rPr>
              <w:tab/>
            </w:r>
            <w:r w:rsidR="00D57D8A" w:rsidRPr="00251ABB">
              <w:rPr>
                <w:rStyle w:val="Hipervnculo"/>
                <w:noProof/>
              </w:rPr>
              <w:t>Conclusión</w:t>
            </w:r>
            <w:r w:rsidR="00D57D8A">
              <w:rPr>
                <w:noProof/>
                <w:webHidden/>
              </w:rPr>
              <w:tab/>
            </w:r>
            <w:r w:rsidR="00D57D8A">
              <w:rPr>
                <w:noProof/>
                <w:webHidden/>
              </w:rPr>
              <w:fldChar w:fldCharType="begin"/>
            </w:r>
            <w:r w:rsidR="00D57D8A">
              <w:rPr>
                <w:noProof/>
                <w:webHidden/>
              </w:rPr>
              <w:instrText xml:space="preserve"> PAGEREF _Toc50031142 \h </w:instrText>
            </w:r>
            <w:r w:rsidR="00D57D8A">
              <w:rPr>
                <w:noProof/>
                <w:webHidden/>
              </w:rPr>
            </w:r>
            <w:r w:rsidR="00D57D8A">
              <w:rPr>
                <w:noProof/>
                <w:webHidden/>
              </w:rPr>
              <w:fldChar w:fldCharType="separate"/>
            </w:r>
            <w:r w:rsidR="00D57D8A">
              <w:rPr>
                <w:noProof/>
                <w:webHidden/>
              </w:rPr>
              <w:t>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43" w:history="1">
            <w:r w:rsidR="00D57D8A" w:rsidRPr="00251ABB">
              <w:rPr>
                <w:rStyle w:val="Hipervnculo"/>
                <w:noProof/>
              </w:rPr>
              <w:t>Identificación y análisis de Microcuencas Hidrográficas en zonas urbanas en riesgo de inundación</w:t>
            </w:r>
            <w:r w:rsidR="00D57D8A">
              <w:rPr>
                <w:noProof/>
                <w:webHidden/>
              </w:rPr>
              <w:tab/>
            </w:r>
            <w:r w:rsidR="00D57D8A">
              <w:rPr>
                <w:noProof/>
                <w:webHidden/>
              </w:rPr>
              <w:fldChar w:fldCharType="begin"/>
            </w:r>
            <w:r w:rsidR="00D57D8A">
              <w:rPr>
                <w:noProof/>
                <w:webHidden/>
              </w:rPr>
              <w:instrText xml:space="preserve"> PAGEREF _Toc50031143 \h </w:instrText>
            </w:r>
            <w:r w:rsidR="00D57D8A">
              <w:rPr>
                <w:noProof/>
                <w:webHidden/>
              </w:rPr>
            </w:r>
            <w:r w:rsidR="00D57D8A">
              <w:rPr>
                <w:noProof/>
                <w:webHidden/>
              </w:rPr>
              <w:fldChar w:fldCharType="separate"/>
            </w:r>
            <w:r w:rsidR="00D57D8A">
              <w:rPr>
                <w:noProof/>
                <w:webHidden/>
              </w:rPr>
              <w:t>8</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44" w:history="1">
            <w:r w:rsidR="00D57D8A" w:rsidRPr="00251ABB">
              <w:rPr>
                <w:rStyle w:val="Hipervnculo"/>
                <w:noProof/>
              </w:rPr>
              <w:t>1.</w:t>
            </w:r>
            <w:r w:rsidR="00D57D8A">
              <w:rPr>
                <w:b w:val="0"/>
                <w:noProof/>
                <w:sz w:val="22"/>
                <w:szCs w:val="22"/>
                <w:lang w:val="en-US" w:eastAsia="en-US"/>
              </w:rPr>
              <w:tab/>
            </w:r>
            <w:r w:rsidR="00D57D8A" w:rsidRPr="00251ABB">
              <w:rPr>
                <w:rStyle w:val="Hipervnculo"/>
                <w:noProof/>
              </w:rPr>
              <w:t>Resumen</w:t>
            </w:r>
            <w:r w:rsidR="00D57D8A">
              <w:rPr>
                <w:noProof/>
                <w:webHidden/>
              </w:rPr>
              <w:tab/>
            </w:r>
            <w:r w:rsidR="00D57D8A">
              <w:rPr>
                <w:noProof/>
                <w:webHidden/>
              </w:rPr>
              <w:fldChar w:fldCharType="begin"/>
            </w:r>
            <w:r w:rsidR="00D57D8A">
              <w:rPr>
                <w:noProof/>
                <w:webHidden/>
              </w:rPr>
              <w:instrText xml:space="preserve"> PAGEREF _Toc50031144 \h </w:instrText>
            </w:r>
            <w:r w:rsidR="00D57D8A">
              <w:rPr>
                <w:noProof/>
                <w:webHidden/>
              </w:rPr>
            </w:r>
            <w:r w:rsidR="00D57D8A">
              <w:rPr>
                <w:noProof/>
                <w:webHidden/>
              </w:rPr>
              <w:fldChar w:fldCharType="separate"/>
            </w:r>
            <w:r w:rsidR="00D57D8A">
              <w:rPr>
                <w:noProof/>
                <w:webHidden/>
              </w:rPr>
              <w:t>8</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45" w:history="1">
            <w:r w:rsidR="00D57D8A" w:rsidRPr="00251ABB">
              <w:rPr>
                <w:rStyle w:val="Hipervnculo"/>
                <w:noProof/>
              </w:rPr>
              <w:t>2.</w:t>
            </w:r>
            <w:r w:rsidR="00D57D8A">
              <w:rPr>
                <w:b w:val="0"/>
                <w:noProof/>
                <w:sz w:val="22"/>
                <w:szCs w:val="22"/>
                <w:lang w:val="en-US" w:eastAsia="en-US"/>
              </w:rPr>
              <w:tab/>
            </w:r>
            <w:r w:rsidR="00D57D8A" w:rsidRPr="00251ABB">
              <w:rPr>
                <w:rStyle w:val="Hipervnculo"/>
                <w:noProof/>
              </w:rPr>
              <w:t>Introducción</w:t>
            </w:r>
            <w:r w:rsidR="00D57D8A">
              <w:rPr>
                <w:noProof/>
                <w:webHidden/>
              </w:rPr>
              <w:tab/>
            </w:r>
            <w:r w:rsidR="00D57D8A">
              <w:rPr>
                <w:noProof/>
                <w:webHidden/>
              </w:rPr>
              <w:fldChar w:fldCharType="begin"/>
            </w:r>
            <w:r w:rsidR="00D57D8A">
              <w:rPr>
                <w:noProof/>
                <w:webHidden/>
              </w:rPr>
              <w:instrText xml:space="preserve"> PAGEREF _Toc50031145 \h </w:instrText>
            </w:r>
            <w:r w:rsidR="00D57D8A">
              <w:rPr>
                <w:noProof/>
                <w:webHidden/>
              </w:rPr>
            </w:r>
            <w:r w:rsidR="00D57D8A">
              <w:rPr>
                <w:noProof/>
                <w:webHidden/>
              </w:rPr>
              <w:fldChar w:fldCharType="separate"/>
            </w:r>
            <w:r w:rsidR="00D57D8A">
              <w:rPr>
                <w:noProof/>
                <w:webHidden/>
              </w:rPr>
              <w:t>9</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46" w:history="1">
            <w:r w:rsidR="00D57D8A" w:rsidRPr="00251ABB">
              <w:rPr>
                <w:rStyle w:val="Hipervnculo"/>
                <w:noProof/>
              </w:rPr>
              <w:t>3.</w:t>
            </w:r>
            <w:r w:rsidR="00D57D8A">
              <w:rPr>
                <w:b w:val="0"/>
                <w:noProof/>
                <w:sz w:val="22"/>
                <w:szCs w:val="22"/>
                <w:lang w:val="en-US" w:eastAsia="en-US"/>
              </w:rPr>
              <w:tab/>
            </w:r>
            <w:r w:rsidR="00D57D8A" w:rsidRPr="00251ABB">
              <w:rPr>
                <w:rStyle w:val="Hipervnculo"/>
                <w:noProof/>
              </w:rPr>
              <w:t>Antecedentes</w:t>
            </w:r>
            <w:r w:rsidR="00D57D8A">
              <w:rPr>
                <w:noProof/>
                <w:webHidden/>
              </w:rPr>
              <w:tab/>
            </w:r>
            <w:r w:rsidR="00D57D8A">
              <w:rPr>
                <w:noProof/>
                <w:webHidden/>
              </w:rPr>
              <w:fldChar w:fldCharType="begin"/>
            </w:r>
            <w:r w:rsidR="00D57D8A">
              <w:rPr>
                <w:noProof/>
                <w:webHidden/>
              </w:rPr>
              <w:instrText xml:space="preserve"> PAGEREF _Toc50031146 \h </w:instrText>
            </w:r>
            <w:r w:rsidR="00D57D8A">
              <w:rPr>
                <w:noProof/>
                <w:webHidden/>
              </w:rPr>
            </w:r>
            <w:r w:rsidR="00D57D8A">
              <w:rPr>
                <w:noProof/>
                <w:webHidden/>
              </w:rPr>
              <w:fldChar w:fldCharType="separate"/>
            </w:r>
            <w:r w:rsidR="00D57D8A">
              <w:rPr>
                <w:noProof/>
                <w:webHidden/>
              </w:rPr>
              <w:t>10</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47" w:history="1">
            <w:r w:rsidR="00D57D8A" w:rsidRPr="00251ABB">
              <w:rPr>
                <w:rStyle w:val="Hipervnculo"/>
                <w:noProof/>
              </w:rPr>
              <w:t>4.</w:t>
            </w:r>
            <w:r w:rsidR="00D57D8A">
              <w:rPr>
                <w:b w:val="0"/>
                <w:noProof/>
                <w:sz w:val="22"/>
                <w:szCs w:val="22"/>
                <w:lang w:val="en-US" w:eastAsia="en-US"/>
              </w:rPr>
              <w:tab/>
            </w:r>
            <w:r w:rsidR="00D57D8A" w:rsidRPr="00251ABB">
              <w:rPr>
                <w:rStyle w:val="Hipervnculo"/>
                <w:noProof/>
              </w:rPr>
              <w:t>Resultados y discusión</w:t>
            </w:r>
            <w:r w:rsidR="00D57D8A">
              <w:rPr>
                <w:noProof/>
                <w:webHidden/>
              </w:rPr>
              <w:tab/>
            </w:r>
            <w:r w:rsidR="00D57D8A">
              <w:rPr>
                <w:noProof/>
                <w:webHidden/>
              </w:rPr>
              <w:fldChar w:fldCharType="begin"/>
            </w:r>
            <w:r w:rsidR="00D57D8A">
              <w:rPr>
                <w:noProof/>
                <w:webHidden/>
              </w:rPr>
              <w:instrText xml:space="preserve"> PAGEREF _Toc50031147 \h </w:instrText>
            </w:r>
            <w:r w:rsidR="00D57D8A">
              <w:rPr>
                <w:noProof/>
                <w:webHidden/>
              </w:rPr>
            </w:r>
            <w:r w:rsidR="00D57D8A">
              <w:rPr>
                <w:noProof/>
                <w:webHidden/>
              </w:rPr>
              <w:fldChar w:fldCharType="separate"/>
            </w:r>
            <w:r w:rsidR="00D57D8A">
              <w:rPr>
                <w:noProof/>
                <w:webHidden/>
              </w:rPr>
              <w:t>10</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48" w:history="1">
            <w:r w:rsidR="00D57D8A" w:rsidRPr="00251ABB">
              <w:rPr>
                <w:rStyle w:val="Hipervnculo"/>
                <w:noProof/>
              </w:rPr>
              <w:t>5.</w:t>
            </w:r>
            <w:r w:rsidR="00D57D8A">
              <w:rPr>
                <w:b w:val="0"/>
                <w:noProof/>
                <w:sz w:val="22"/>
                <w:szCs w:val="22"/>
                <w:lang w:val="en-US" w:eastAsia="en-US"/>
              </w:rPr>
              <w:tab/>
            </w:r>
            <w:r w:rsidR="00D57D8A" w:rsidRPr="00251ABB">
              <w:rPr>
                <w:rStyle w:val="Hipervnculo"/>
                <w:noProof/>
              </w:rPr>
              <w:t>Conclusiones</w:t>
            </w:r>
            <w:r w:rsidR="00D57D8A">
              <w:rPr>
                <w:noProof/>
                <w:webHidden/>
              </w:rPr>
              <w:tab/>
            </w:r>
            <w:r w:rsidR="00D57D8A">
              <w:rPr>
                <w:noProof/>
                <w:webHidden/>
              </w:rPr>
              <w:fldChar w:fldCharType="begin"/>
            </w:r>
            <w:r w:rsidR="00D57D8A">
              <w:rPr>
                <w:noProof/>
                <w:webHidden/>
              </w:rPr>
              <w:instrText xml:space="preserve"> PAGEREF _Toc50031148 \h </w:instrText>
            </w:r>
            <w:r w:rsidR="00D57D8A">
              <w:rPr>
                <w:noProof/>
                <w:webHidden/>
              </w:rPr>
            </w:r>
            <w:r w:rsidR="00D57D8A">
              <w:rPr>
                <w:noProof/>
                <w:webHidden/>
              </w:rPr>
              <w:fldChar w:fldCharType="separate"/>
            </w:r>
            <w:r w:rsidR="00D57D8A">
              <w:rPr>
                <w:noProof/>
                <w:webHidden/>
              </w:rPr>
              <w:t>14</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49" w:history="1">
            <w:r w:rsidR="00D57D8A" w:rsidRPr="00251ABB">
              <w:rPr>
                <w:rStyle w:val="Hipervnculo"/>
                <w:noProof/>
              </w:rPr>
              <w:t>6.</w:t>
            </w:r>
            <w:r w:rsidR="00D57D8A">
              <w:rPr>
                <w:b w:val="0"/>
                <w:noProof/>
                <w:sz w:val="22"/>
                <w:szCs w:val="22"/>
                <w:lang w:val="en-US" w:eastAsia="en-US"/>
              </w:rPr>
              <w:tab/>
            </w:r>
            <w:r w:rsidR="00D57D8A" w:rsidRPr="00251ABB">
              <w:rPr>
                <w:rStyle w:val="Hipervnculo"/>
                <w:noProof/>
              </w:rPr>
              <w:t>Bibliografía</w:t>
            </w:r>
            <w:r w:rsidR="00D57D8A">
              <w:rPr>
                <w:noProof/>
                <w:webHidden/>
              </w:rPr>
              <w:tab/>
            </w:r>
            <w:r w:rsidR="00D57D8A">
              <w:rPr>
                <w:noProof/>
                <w:webHidden/>
              </w:rPr>
              <w:fldChar w:fldCharType="begin"/>
            </w:r>
            <w:r w:rsidR="00D57D8A">
              <w:rPr>
                <w:noProof/>
                <w:webHidden/>
              </w:rPr>
              <w:instrText xml:space="preserve"> PAGEREF _Toc50031149 \h </w:instrText>
            </w:r>
            <w:r w:rsidR="00D57D8A">
              <w:rPr>
                <w:noProof/>
                <w:webHidden/>
              </w:rPr>
            </w:r>
            <w:r w:rsidR="00D57D8A">
              <w:rPr>
                <w:noProof/>
                <w:webHidden/>
              </w:rPr>
              <w:fldChar w:fldCharType="separate"/>
            </w:r>
            <w:r w:rsidR="00D57D8A">
              <w:rPr>
                <w:noProof/>
                <w:webHidden/>
              </w:rPr>
              <w:t>15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50" w:history="1">
            <w:r w:rsidR="00D57D8A" w:rsidRPr="00251ABB">
              <w:rPr>
                <w:rStyle w:val="Hipervnculo"/>
                <w:noProof/>
              </w:rPr>
              <w:t>Programación cuadrática y cómputo paralelo aplicados al control puntual de emisiones contaminantes</w:t>
            </w:r>
            <w:r w:rsidR="00D57D8A">
              <w:rPr>
                <w:noProof/>
                <w:webHidden/>
              </w:rPr>
              <w:tab/>
            </w:r>
            <w:r w:rsidR="00D57D8A">
              <w:rPr>
                <w:noProof/>
                <w:webHidden/>
              </w:rPr>
              <w:fldChar w:fldCharType="begin"/>
            </w:r>
            <w:r w:rsidR="00D57D8A">
              <w:rPr>
                <w:noProof/>
                <w:webHidden/>
              </w:rPr>
              <w:instrText xml:space="preserve"> PAGEREF _Toc50031150 \h </w:instrText>
            </w:r>
            <w:r w:rsidR="00D57D8A">
              <w:rPr>
                <w:noProof/>
                <w:webHidden/>
              </w:rPr>
            </w:r>
            <w:r w:rsidR="00D57D8A">
              <w:rPr>
                <w:noProof/>
                <w:webHidden/>
              </w:rPr>
              <w:fldChar w:fldCharType="separate"/>
            </w:r>
            <w:r w:rsidR="00D57D8A">
              <w:rPr>
                <w:noProof/>
                <w:webHidden/>
              </w:rPr>
              <w:t>15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51" w:history="1">
            <w:r w:rsidR="00D57D8A" w:rsidRPr="00251ABB">
              <w:rPr>
                <w:rStyle w:val="Hipervnculo"/>
                <w:rFonts w:ascii="Arial" w:hAnsi="Arial" w:cs="Arial"/>
                <w:i/>
                <w:caps/>
                <w:noProof/>
              </w:rPr>
              <w:t>1. R</w:t>
            </w:r>
            <w:r w:rsidR="00D57D8A" w:rsidRPr="00251ABB">
              <w:rPr>
                <w:rStyle w:val="Hipervnculo"/>
                <w:rFonts w:ascii="Arial" w:hAnsi="Arial" w:cs="Arial"/>
                <w:i/>
                <w:noProof/>
              </w:rPr>
              <w:t>esumen</w:t>
            </w:r>
            <w:r w:rsidR="00D57D8A">
              <w:rPr>
                <w:noProof/>
                <w:webHidden/>
              </w:rPr>
              <w:tab/>
            </w:r>
            <w:r w:rsidR="00D57D8A">
              <w:rPr>
                <w:noProof/>
                <w:webHidden/>
              </w:rPr>
              <w:fldChar w:fldCharType="begin"/>
            </w:r>
            <w:r w:rsidR="00D57D8A">
              <w:rPr>
                <w:noProof/>
                <w:webHidden/>
              </w:rPr>
              <w:instrText xml:space="preserve"> PAGEREF _Toc50031151 \h </w:instrText>
            </w:r>
            <w:r w:rsidR="00D57D8A">
              <w:rPr>
                <w:noProof/>
                <w:webHidden/>
              </w:rPr>
            </w:r>
            <w:r w:rsidR="00D57D8A">
              <w:rPr>
                <w:noProof/>
                <w:webHidden/>
              </w:rPr>
              <w:fldChar w:fldCharType="separate"/>
            </w:r>
            <w:r w:rsidR="00D57D8A">
              <w:rPr>
                <w:noProof/>
                <w:webHidden/>
              </w:rPr>
              <w:t>15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52"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ntroducción</w:t>
            </w:r>
            <w:r w:rsidR="00D57D8A">
              <w:rPr>
                <w:noProof/>
                <w:webHidden/>
              </w:rPr>
              <w:tab/>
            </w:r>
            <w:r w:rsidR="00D57D8A">
              <w:rPr>
                <w:noProof/>
                <w:webHidden/>
              </w:rPr>
              <w:fldChar w:fldCharType="begin"/>
            </w:r>
            <w:r w:rsidR="00D57D8A">
              <w:rPr>
                <w:noProof/>
                <w:webHidden/>
              </w:rPr>
              <w:instrText xml:space="preserve"> PAGEREF _Toc50031152 \h </w:instrText>
            </w:r>
            <w:r w:rsidR="00D57D8A">
              <w:rPr>
                <w:noProof/>
                <w:webHidden/>
              </w:rPr>
            </w:r>
            <w:r w:rsidR="00D57D8A">
              <w:rPr>
                <w:noProof/>
                <w:webHidden/>
              </w:rPr>
              <w:fldChar w:fldCharType="separate"/>
            </w:r>
            <w:r w:rsidR="00D57D8A">
              <w:rPr>
                <w:noProof/>
                <w:webHidden/>
              </w:rPr>
              <w:t>16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53" w:history="1">
            <w:r w:rsidR="00D57D8A" w:rsidRPr="00251ABB">
              <w:rPr>
                <w:rStyle w:val="Hipervnculo"/>
                <w:rFonts w:ascii="Arial" w:hAnsi="Arial" w:cs="Arial"/>
                <w:i/>
                <w:caps/>
                <w:noProof/>
              </w:rPr>
              <w:t xml:space="preserve">3. </w:t>
            </w:r>
            <w:r w:rsidR="00D57D8A" w:rsidRPr="00251ABB">
              <w:rPr>
                <w:rStyle w:val="Hipervnculo"/>
                <w:rFonts w:ascii="Arial" w:hAnsi="Arial" w:cs="Arial"/>
                <w:i/>
                <w:noProof/>
              </w:rPr>
              <w:t>Descripción del modelo de dispersión</w:t>
            </w:r>
            <w:r w:rsidR="00D57D8A">
              <w:rPr>
                <w:noProof/>
                <w:webHidden/>
              </w:rPr>
              <w:tab/>
            </w:r>
            <w:r w:rsidR="00D57D8A">
              <w:rPr>
                <w:noProof/>
                <w:webHidden/>
              </w:rPr>
              <w:fldChar w:fldCharType="begin"/>
            </w:r>
            <w:r w:rsidR="00D57D8A">
              <w:rPr>
                <w:noProof/>
                <w:webHidden/>
              </w:rPr>
              <w:instrText xml:space="preserve"> PAGEREF _Toc50031153 \h </w:instrText>
            </w:r>
            <w:r w:rsidR="00D57D8A">
              <w:rPr>
                <w:noProof/>
                <w:webHidden/>
              </w:rPr>
            </w:r>
            <w:r w:rsidR="00D57D8A">
              <w:rPr>
                <w:noProof/>
                <w:webHidden/>
              </w:rPr>
              <w:fldChar w:fldCharType="separate"/>
            </w:r>
            <w:r w:rsidR="00D57D8A">
              <w:rPr>
                <w:noProof/>
                <w:webHidden/>
              </w:rPr>
              <w:t>17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54" w:history="1">
            <w:r w:rsidR="00D57D8A" w:rsidRPr="00251ABB">
              <w:rPr>
                <w:rStyle w:val="Hipervnculo"/>
                <w:rFonts w:ascii="Arial" w:hAnsi="Arial" w:cs="Arial"/>
                <w:i/>
                <w:caps/>
                <w:noProof/>
              </w:rPr>
              <w:t xml:space="preserve">4. </w:t>
            </w:r>
            <w:r w:rsidR="00D57D8A" w:rsidRPr="00251ABB">
              <w:rPr>
                <w:rStyle w:val="Hipervnculo"/>
                <w:rFonts w:ascii="Arial" w:hAnsi="Arial" w:cs="Arial"/>
                <w:i/>
                <w:noProof/>
              </w:rPr>
              <w:t>Formulación y análisis del modelo de programación cuadrática</w:t>
            </w:r>
            <w:r w:rsidR="00D57D8A">
              <w:rPr>
                <w:noProof/>
                <w:webHidden/>
              </w:rPr>
              <w:tab/>
            </w:r>
            <w:r w:rsidR="00D57D8A">
              <w:rPr>
                <w:noProof/>
                <w:webHidden/>
              </w:rPr>
              <w:fldChar w:fldCharType="begin"/>
            </w:r>
            <w:r w:rsidR="00D57D8A">
              <w:rPr>
                <w:noProof/>
                <w:webHidden/>
              </w:rPr>
              <w:instrText xml:space="preserve"> PAGEREF _Toc50031154 \h </w:instrText>
            </w:r>
            <w:r w:rsidR="00D57D8A">
              <w:rPr>
                <w:noProof/>
                <w:webHidden/>
              </w:rPr>
            </w:r>
            <w:r w:rsidR="00D57D8A">
              <w:rPr>
                <w:noProof/>
                <w:webHidden/>
              </w:rPr>
              <w:fldChar w:fldCharType="separate"/>
            </w:r>
            <w:r w:rsidR="00D57D8A">
              <w:rPr>
                <w:noProof/>
                <w:webHidden/>
              </w:rPr>
              <w:t>18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55" w:history="1">
            <w:r w:rsidR="00D57D8A" w:rsidRPr="00251ABB">
              <w:rPr>
                <w:rStyle w:val="Hipervnculo"/>
                <w:rFonts w:ascii="Arial" w:hAnsi="Arial" w:cs="Arial"/>
                <w:i/>
                <w:caps/>
                <w:noProof/>
              </w:rPr>
              <w:t xml:space="preserve">5. </w:t>
            </w:r>
            <w:r w:rsidR="00D57D8A" w:rsidRPr="00251ABB">
              <w:rPr>
                <w:rStyle w:val="Hipervnculo"/>
                <w:rFonts w:ascii="Arial" w:hAnsi="Arial" w:cs="Arial"/>
                <w:i/>
                <w:noProof/>
              </w:rPr>
              <w:t>Ejemplo numérico de control y discusión</w:t>
            </w:r>
            <w:r w:rsidR="00D57D8A">
              <w:rPr>
                <w:noProof/>
                <w:webHidden/>
              </w:rPr>
              <w:tab/>
            </w:r>
            <w:r w:rsidR="00D57D8A">
              <w:rPr>
                <w:noProof/>
                <w:webHidden/>
              </w:rPr>
              <w:fldChar w:fldCharType="begin"/>
            </w:r>
            <w:r w:rsidR="00D57D8A">
              <w:rPr>
                <w:noProof/>
                <w:webHidden/>
              </w:rPr>
              <w:instrText xml:space="preserve"> PAGEREF _Toc50031155 \h </w:instrText>
            </w:r>
            <w:r w:rsidR="00D57D8A">
              <w:rPr>
                <w:noProof/>
                <w:webHidden/>
              </w:rPr>
            </w:r>
            <w:r w:rsidR="00D57D8A">
              <w:rPr>
                <w:noProof/>
                <w:webHidden/>
              </w:rPr>
              <w:fldChar w:fldCharType="separate"/>
            </w:r>
            <w:r w:rsidR="00D57D8A">
              <w:rPr>
                <w:noProof/>
                <w:webHidden/>
              </w:rPr>
              <w:t>23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56" w:history="1">
            <w:r w:rsidR="00D57D8A" w:rsidRPr="00251ABB">
              <w:rPr>
                <w:rStyle w:val="Hipervnculo"/>
                <w:rFonts w:ascii="Arial" w:hAnsi="Arial" w:cs="Arial"/>
                <w:i/>
                <w:caps/>
                <w:noProof/>
              </w:rPr>
              <w:t xml:space="preserve">6. </w:t>
            </w:r>
            <w:r w:rsidR="00D57D8A" w:rsidRPr="00251ABB">
              <w:rPr>
                <w:rStyle w:val="Hipervnculo"/>
                <w:rFonts w:ascii="Arial" w:hAnsi="Arial" w:cs="Arial"/>
                <w:i/>
                <w:noProof/>
              </w:rPr>
              <w:t>Conclusiones</w:t>
            </w:r>
            <w:r w:rsidR="00D57D8A">
              <w:rPr>
                <w:noProof/>
                <w:webHidden/>
              </w:rPr>
              <w:tab/>
            </w:r>
            <w:r w:rsidR="00D57D8A">
              <w:rPr>
                <w:noProof/>
                <w:webHidden/>
              </w:rPr>
              <w:fldChar w:fldCharType="begin"/>
            </w:r>
            <w:r w:rsidR="00D57D8A">
              <w:rPr>
                <w:noProof/>
                <w:webHidden/>
              </w:rPr>
              <w:instrText xml:space="preserve"> PAGEREF _Toc50031156 \h </w:instrText>
            </w:r>
            <w:r w:rsidR="00D57D8A">
              <w:rPr>
                <w:noProof/>
                <w:webHidden/>
              </w:rPr>
            </w:r>
            <w:r w:rsidR="00D57D8A">
              <w:rPr>
                <w:noProof/>
                <w:webHidden/>
              </w:rPr>
              <w:fldChar w:fldCharType="separate"/>
            </w:r>
            <w:r w:rsidR="00D57D8A">
              <w:rPr>
                <w:noProof/>
                <w:webHidden/>
              </w:rPr>
              <w:t>27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57" w:history="1">
            <w:r w:rsidR="00D57D8A" w:rsidRPr="00251ABB">
              <w:rPr>
                <w:rStyle w:val="Hipervnculo"/>
                <w:rFonts w:ascii="Arial" w:hAnsi="Arial" w:cs="Arial"/>
                <w:i/>
                <w:caps/>
                <w:noProof/>
              </w:rPr>
              <w:t xml:space="preserve">7. </w:t>
            </w:r>
            <w:r w:rsidR="00D57D8A" w:rsidRPr="00251ABB">
              <w:rPr>
                <w:rStyle w:val="Hipervnculo"/>
                <w:rFonts w:ascii="Arial" w:hAnsi="Arial" w:cs="Arial"/>
                <w:i/>
                <w:noProof/>
              </w:rPr>
              <w:t>Agradecimientos</w:t>
            </w:r>
            <w:r w:rsidR="00D57D8A">
              <w:rPr>
                <w:noProof/>
                <w:webHidden/>
              </w:rPr>
              <w:tab/>
            </w:r>
            <w:r w:rsidR="00D57D8A">
              <w:rPr>
                <w:noProof/>
                <w:webHidden/>
              </w:rPr>
              <w:fldChar w:fldCharType="begin"/>
            </w:r>
            <w:r w:rsidR="00D57D8A">
              <w:rPr>
                <w:noProof/>
                <w:webHidden/>
              </w:rPr>
              <w:instrText xml:space="preserve"> PAGEREF _Toc50031157 \h </w:instrText>
            </w:r>
            <w:r w:rsidR="00D57D8A">
              <w:rPr>
                <w:noProof/>
                <w:webHidden/>
              </w:rPr>
            </w:r>
            <w:r w:rsidR="00D57D8A">
              <w:rPr>
                <w:noProof/>
                <w:webHidden/>
              </w:rPr>
              <w:fldChar w:fldCharType="separate"/>
            </w:r>
            <w:r w:rsidR="00D57D8A">
              <w:rPr>
                <w:noProof/>
                <w:webHidden/>
              </w:rPr>
              <w:t>27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58" w:history="1">
            <w:r w:rsidR="00D57D8A" w:rsidRPr="00251ABB">
              <w:rPr>
                <w:rStyle w:val="Hipervnculo"/>
                <w:rFonts w:ascii="Arial" w:hAnsi="Arial" w:cs="Arial"/>
                <w:i/>
                <w:caps/>
                <w:noProof/>
              </w:rPr>
              <w:t xml:space="preserve">8. </w:t>
            </w:r>
            <w:r w:rsidR="00D57D8A" w:rsidRPr="00251ABB">
              <w:rPr>
                <w:rStyle w:val="Hipervnculo"/>
                <w:rFonts w:ascii="Arial" w:hAnsi="Arial" w:cs="Arial"/>
                <w:i/>
                <w:noProof/>
              </w:rPr>
              <w:t>Bibliografía</w:t>
            </w:r>
            <w:r w:rsidR="00D57D8A">
              <w:rPr>
                <w:noProof/>
                <w:webHidden/>
              </w:rPr>
              <w:tab/>
            </w:r>
            <w:r w:rsidR="00D57D8A">
              <w:rPr>
                <w:noProof/>
                <w:webHidden/>
              </w:rPr>
              <w:fldChar w:fldCharType="begin"/>
            </w:r>
            <w:r w:rsidR="00D57D8A">
              <w:rPr>
                <w:noProof/>
                <w:webHidden/>
              </w:rPr>
              <w:instrText xml:space="preserve"> PAGEREF _Toc50031158 \h </w:instrText>
            </w:r>
            <w:r w:rsidR="00D57D8A">
              <w:rPr>
                <w:noProof/>
                <w:webHidden/>
              </w:rPr>
            </w:r>
            <w:r w:rsidR="00D57D8A">
              <w:rPr>
                <w:noProof/>
                <w:webHidden/>
              </w:rPr>
              <w:fldChar w:fldCharType="separate"/>
            </w:r>
            <w:r w:rsidR="00D57D8A">
              <w:rPr>
                <w:noProof/>
                <w:webHidden/>
              </w:rPr>
              <w:t>28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59" w:history="1">
            <w:r w:rsidR="00D57D8A" w:rsidRPr="00251ABB">
              <w:rPr>
                <w:rStyle w:val="Hipervnculo"/>
                <w:noProof/>
              </w:rPr>
              <w:t>Estimación de Características de Materiales Utilizando Energía Electromagnética</w:t>
            </w:r>
            <w:r w:rsidR="00D57D8A">
              <w:rPr>
                <w:noProof/>
                <w:webHidden/>
              </w:rPr>
              <w:tab/>
            </w:r>
            <w:r w:rsidR="00D57D8A">
              <w:rPr>
                <w:noProof/>
                <w:webHidden/>
              </w:rPr>
              <w:fldChar w:fldCharType="begin"/>
            </w:r>
            <w:r w:rsidR="00D57D8A">
              <w:rPr>
                <w:noProof/>
                <w:webHidden/>
              </w:rPr>
              <w:instrText xml:space="preserve"> PAGEREF _Toc50031159 \h </w:instrText>
            </w:r>
            <w:r w:rsidR="00D57D8A">
              <w:rPr>
                <w:noProof/>
                <w:webHidden/>
              </w:rPr>
            </w:r>
            <w:r w:rsidR="00D57D8A">
              <w:rPr>
                <w:noProof/>
                <w:webHidden/>
              </w:rPr>
              <w:fldChar w:fldCharType="separate"/>
            </w:r>
            <w:r w:rsidR="00D57D8A">
              <w:rPr>
                <w:noProof/>
                <w:webHidden/>
              </w:rPr>
              <w:t>29</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60" w:history="1">
            <w:r w:rsidR="00D57D8A" w:rsidRPr="00251ABB">
              <w:rPr>
                <w:rStyle w:val="Hipervnculo"/>
                <w:noProof/>
              </w:rPr>
              <w:t>1.</w:t>
            </w:r>
            <w:r w:rsidR="00D57D8A">
              <w:rPr>
                <w:b w:val="0"/>
                <w:noProof/>
                <w:sz w:val="22"/>
                <w:szCs w:val="22"/>
                <w:lang w:val="en-US" w:eastAsia="en-US"/>
              </w:rPr>
              <w:tab/>
            </w:r>
            <w:r w:rsidR="00D57D8A" w:rsidRPr="00251ABB">
              <w:rPr>
                <w:rStyle w:val="Hipervnculo"/>
                <w:noProof/>
              </w:rPr>
              <w:t>Resumen</w:t>
            </w:r>
            <w:r w:rsidR="00D57D8A">
              <w:rPr>
                <w:noProof/>
                <w:webHidden/>
              </w:rPr>
              <w:tab/>
            </w:r>
            <w:r w:rsidR="00D57D8A">
              <w:rPr>
                <w:noProof/>
                <w:webHidden/>
              </w:rPr>
              <w:fldChar w:fldCharType="begin"/>
            </w:r>
            <w:r w:rsidR="00D57D8A">
              <w:rPr>
                <w:noProof/>
                <w:webHidden/>
              </w:rPr>
              <w:instrText xml:space="preserve"> PAGEREF _Toc50031160 \h </w:instrText>
            </w:r>
            <w:r w:rsidR="00D57D8A">
              <w:rPr>
                <w:noProof/>
                <w:webHidden/>
              </w:rPr>
            </w:r>
            <w:r w:rsidR="00D57D8A">
              <w:rPr>
                <w:noProof/>
                <w:webHidden/>
              </w:rPr>
              <w:fldChar w:fldCharType="separate"/>
            </w:r>
            <w:r w:rsidR="00D57D8A">
              <w:rPr>
                <w:noProof/>
                <w:webHidden/>
              </w:rPr>
              <w:t>29</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61" w:history="1">
            <w:r w:rsidR="00D57D8A" w:rsidRPr="00251ABB">
              <w:rPr>
                <w:rStyle w:val="Hipervnculo"/>
                <w:noProof/>
              </w:rPr>
              <w:t>2.</w:t>
            </w:r>
            <w:r w:rsidR="00D57D8A">
              <w:rPr>
                <w:b w:val="0"/>
                <w:noProof/>
                <w:sz w:val="22"/>
                <w:szCs w:val="22"/>
                <w:lang w:val="en-US" w:eastAsia="en-US"/>
              </w:rPr>
              <w:tab/>
            </w:r>
            <w:r w:rsidR="00D57D8A" w:rsidRPr="00251ABB">
              <w:rPr>
                <w:rStyle w:val="Hipervnculo"/>
                <w:noProof/>
              </w:rPr>
              <w:t>Introducción</w:t>
            </w:r>
            <w:r w:rsidR="00D57D8A">
              <w:rPr>
                <w:noProof/>
                <w:webHidden/>
              </w:rPr>
              <w:tab/>
            </w:r>
            <w:r w:rsidR="00D57D8A">
              <w:rPr>
                <w:noProof/>
                <w:webHidden/>
              </w:rPr>
              <w:fldChar w:fldCharType="begin"/>
            </w:r>
            <w:r w:rsidR="00D57D8A">
              <w:rPr>
                <w:noProof/>
                <w:webHidden/>
              </w:rPr>
              <w:instrText xml:space="preserve"> PAGEREF _Toc50031161 \h </w:instrText>
            </w:r>
            <w:r w:rsidR="00D57D8A">
              <w:rPr>
                <w:noProof/>
                <w:webHidden/>
              </w:rPr>
            </w:r>
            <w:r w:rsidR="00D57D8A">
              <w:rPr>
                <w:noProof/>
                <w:webHidden/>
              </w:rPr>
              <w:fldChar w:fldCharType="separate"/>
            </w:r>
            <w:r w:rsidR="00D57D8A">
              <w:rPr>
                <w:noProof/>
                <w:webHidden/>
              </w:rPr>
              <w:t>29</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62" w:history="1">
            <w:r w:rsidR="00D57D8A" w:rsidRPr="00251ABB">
              <w:rPr>
                <w:rStyle w:val="Hipervnculo"/>
                <w:noProof/>
              </w:rPr>
              <w:t>3.</w:t>
            </w:r>
            <w:r w:rsidR="00D57D8A">
              <w:rPr>
                <w:b w:val="0"/>
                <w:noProof/>
                <w:sz w:val="22"/>
                <w:szCs w:val="22"/>
                <w:lang w:val="en-US" w:eastAsia="en-US"/>
              </w:rPr>
              <w:tab/>
            </w:r>
            <w:r w:rsidR="00D57D8A" w:rsidRPr="00251ABB">
              <w:rPr>
                <w:rStyle w:val="Hipervnculo"/>
                <w:noProof/>
              </w:rPr>
              <w:t>Condiciones experimentales</w:t>
            </w:r>
            <w:r w:rsidR="00D57D8A">
              <w:rPr>
                <w:noProof/>
                <w:webHidden/>
              </w:rPr>
              <w:tab/>
            </w:r>
            <w:r w:rsidR="00D57D8A">
              <w:rPr>
                <w:noProof/>
                <w:webHidden/>
              </w:rPr>
              <w:fldChar w:fldCharType="begin"/>
            </w:r>
            <w:r w:rsidR="00D57D8A">
              <w:rPr>
                <w:noProof/>
                <w:webHidden/>
              </w:rPr>
              <w:instrText xml:space="preserve"> PAGEREF _Toc50031162 \h </w:instrText>
            </w:r>
            <w:r w:rsidR="00D57D8A">
              <w:rPr>
                <w:noProof/>
                <w:webHidden/>
              </w:rPr>
            </w:r>
            <w:r w:rsidR="00D57D8A">
              <w:rPr>
                <w:noProof/>
                <w:webHidden/>
              </w:rPr>
              <w:fldChar w:fldCharType="separate"/>
            </w:r>
            <w:r w:rsidR="00D57D8A">
              <w:rPr>
                <w:noProof/>
                <w:webHidden/>
              </w:rPr>
              <w:t>33</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63" w:history="1">
            <w:r w:rsidR="00D57D8A" w:rsidRPr="00251ABB">
              <w:rPr>
                <w:rStyle w:val="Hipervnculo"/>
                <w:noProof/>
              </w:rPr>
              <w:t>4.</w:t>
            </w:r>
            <w:r w:rsidR="00D57D8A">
              <w:rPr>
                <w:b w:val="0"/>
                <w:noProof/>
                <w:sz w:val="22"/>
                <w:szCs w:val="22"/>
                <w:lang w:val="en-US" w:eastAsia="en-US"/>
              </w:rPr>
              <w:tab/>
            </w:r>
            <w:r w:rsidR="00D57D8A" w:rsidRPr="00251ABB">
              <w:rPr>
                <w:rStyle w:val="Hipervnculo"/>
                <w:noProof/>
              </w:rPr>
              <w:t>Resultados y discusión</w:t>
            </w:r>
            <w:r w:rsidR="00D57D8A">
              <w:rPr>
                <w:noProof/>
                <w:webHidden/>
              </w:rPr>
              <w:tab/>
            </w:r>
            <w:r w:rsidR="00D57D8A">
              <w:rPr>
                <w:noProof/>
                <w:webHidden/>
              </w:rPr>
              <w:fldChar w:fldCharType="begin"/>
            </w:r>
            <w:r w:rsidR="00D57D8A">
              <w:rPr>
                <w:noProof/>
                <w:webHidden/>
              </w:rPr>
              <w:instrText xml:space="preserve"> PAGEREF _Toc50031163 \h </w:instrText>
            </w:r>
            <w:r w:rsidR="00D57D8A">
              <w:rPr>
                <w:noProof/>
                <w:webHidden/>
              </w:rPr>
            </w:r>
            <w:r w:rsidR="00D57D8A">
              <w:rPr>
                <w:noProof/>
                <w:webHidden/>
              </w:rPr>
              <w:fldChar w:fldCharType="separate"/>
            </w:r>
            <w:r w:rsidR="00D57D8A">
              <w:rPr>
                <w:noProof/>
                <w:webHidden/>
              </w:rPr>
              <w:t>36</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64" w:history="1">
            <w:r w:rsidR="00D57D8A" w:rsidRPr="00251ABB">
              <w:rPr>
                <w:rStyle w:val="Hipervnculo"/>
                <w:noProof/>
              </w:rPr>
              <w:t>5.</w:t>
            </w:r>
            <w:r w:rsidR="00D57D8A">
              <w:rPr>
                <w:b w:val="0"/>
                <w:noProof/>
                <w:sz w:val="22"/>
                <w:szCs w:val="22"/>
                <w:lang w:val="en-US" w:eastAsia="en-US"/>
              </w:rPr>
              <w:tab/>
            </w:r>
            <w:r w:rsidR="00D57D8A" w:rsidRPr="00251ABB">
              <w:rPr>
                <w:rStyle w:val="Hipervnculo"/>
                <w:noProof/>
              </w:rPr>
              <w:t>Conclusiones.</w:t>
            </w:r>
            <w:r w:rsidR="00D57D8A">
              <w:rPr>
                <w:noProof/>
                <w:webHidden/>
              </w:rPr>
              <w:tab/>
            </w:r>
            <w:r w:rsidR="00D57D8A">
              <w:rPr>
                <w:noProof/>
                <w:webHidden/>
              </w:rPr>
              <w:fldChar w:fldCharType="begin"/>
            </w:r>
            <w:r w:rsidR="00D57D8A">
              <w:rPr>
                <w:noProof/>
                <w:webHidden/>
              </w:rPr>
              <w:instrText xml:space="preserve"> PAGEREF _Toc50031164 \h </w:instrText>
            </w:r>
            <w:r w:rsidR="00D57D8A">
              <w:rPr>
                <w:noProof/>
                <w:webHidden/>
              </w:rPr>
            </w:r>
            <w:r w:rsidR="00D57D8A">
              <w:rPr>
                <w:noProof/>
                <w:webHidden/>
              </w:rPr>
              <w:fldChar w:fldCharType="separate"/>
            </w:r>
            <w:r w:rsidR="00D57D8A">
              <w:rPr>
                <w:noProof/>
                <w:webHidden/>
              </w:rPr>
              <w:t>38</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65" w:history="1">
            <w:r w:rsidR="00D57D8A" w:rsidRPr="00251ABB">
              <w:rPr>
                <w:rStyle w:val="Hipervnculo"/>
                <w:noProof/>
              </w:rPr>
              <w:t>6.</w:t>
            </w:r>
            <w:r w:rsidR="00D57D8A">
              <w:rPr>
                <w:b w:val="0"/>
                <w:noProof/>
                <w:sz w:val="22"/>
                <w:szCs w:val="22"/>
                <w:lang w:val="en-US" w:eastAsia="en-US"/>
              </w:rPr>
              <w:tab/>
            </w:r>
            <w:r w:rsidR="00D57D8A" w:rsidRPr="00251ABB">
              <w:rPr>
                <w:rStyle w:val="Hipervnculo"/>
                <w:noProof/>
              </w:rPr>
              <w:t>Bibliografía</w:t>
            </w:r>
            <w:r w:rsidR="00D57D8A">
              <w:rPr>
                <w:noProof/>
                <w:webHidden/>
              </w:rPr>
              <w:tab/>
            </w:r>
            <w:r w:rsidR="00D57D8A">
              <w:rPr>
                <w:noProof/>
                <w:webHidden/>
              </w:rPr>
              <w:fldChar w:fldCharType="begin"/>
            </w:r>
            <w:r w:rsidR="00D57D8A">
              <w:rPr>
                <w:noProof/>
                <w:webHidden/>
              </w:rPr>
              <w:instrText xml:space="preserve"> PAGEREF _Toc50031165 \h </w:instrText>
            </w:r>
            <w:r w:rsidR="00D57D8A">
              <w:rPr>
                <w:noProof/>
                <w:webHidden/>
              </w:rPr>
            </w:r>
            <w:r w:rsidR="00D57D8A">
              <w:rPr>
                <w:noProof/>
                <w:webHidden/>
              </w:rPr>
              <w:fldChar w:fldCharType="separate"/>
            </w:r>
            <w:r w:rsidR="00D57D8A">
              <w:rPr>
                <w:noProof/>
                <w:webHidden/>
              </w:rPr>
              <w:t>39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66" w:history="1">
            <w:r w:rsidR="00D57D8A" w:rsidRPr="00251ABB">
              <w:rPr>
                <w:rStyle w:val="Hipervnculo"/>
                <w:noProof/>
              </w:rPr>
              <w:t>Desvulcanización de caucho residual utilizando peróxido de benzoilo como agente desvulcanizante</w:t>
            </w:r>
            <w:r w:rsidR="00D57D8A">
              <w:rPr>
                <w:noProof/>
                <w:webHidden/>
              </w:rPr>
              <w:tab/>
            </w:r>
            <w:r w:rsidR="00D57D8A">
              <w:rPr>
                <w:noProof/>
                <w:webHidden/>
              </w:rPr>
              <w:fldChar w:fldCharType="begin"/>
            </w:r>
            <w:r w:rsidR="00D57D8A">
              <w:rPr>
                <w:noProof/>
                <w:webHidden/>
              </w:rPr>
              <w:instrText xml:space="preserve"> PAGEREF _Toc50031166 \h </w:instrText>
            </w:r>
            <w:r w:rsidR="00D57D8A">
              <w:rPr>
                <w:noProof/>
                <w:webHidden/>
              </w:rPr>
            </w:r>
            <w:r w:rsidR="00D57D8A">
              <w:rPr>
                <w:noProof/>
                <w:webHidden/>
              </w:rPr>
              <w:fldChar w:fldCharType="separate"/>
            </w:r>
            <w:r w:rsidR="00D57D8A">
              <w:rPr>
                <w:noProof/>
                <w:webHidden/>
              </w:rPr>
              <w:t>39</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67" w:history="1">
            <w:r w:rsidR="00D57D8A" w:rsidRPr="00251ABB">
              <w:rPr>
                <w:rStyle w:val="Hipervnculo"/>
                <w:rFonts w:ascii="Arial" w:hAnsi="Arial" w:cs="Arial"/>
                <w:i/>
                <w:noProof/>
              </w:rPr>
              <w:t>1.</w:t>
            </w:r>
            <w:r w:rsidR="00D57D8A">
              <w:rPr>
                <w:b w:val="0"/>
                <w:noProof/>
                <w:sz w:val="22"/>
                <w:szCs w:val="22"/>
                <w:lang w:val="en-US" w:eastAsia="en-US"/>
              </w:rPr>
              <w:tab/>
            </w:r>
            <w:r w:rsidR="00D57D8A" w:rsidRPr="00251ABB">
              <w:rPr>
                <w:rStyle w:val="Hipervnculo"/>
                <w:rFonts w:ascii="Arial" w:hAnsi="Arial" w:cs="Arial"/>
                <w:caps/>
                <w:noProof/>
              </w:rPr>
              <w:t>R</w:t>
            </w:r>
            <w:r w:rsidR="00D57D8A" w:rsidRPr="00251ABB">
              <w:rPr>
                <w:rStyle w:val="Hipervnculo"/>
                <w:rFonts w:ascii="Arial" w:hAnsi="Arial" w:cs="Arial"/>
                <w:noProof/>
              </w:rPr>
              <w:t>esumen</w:t>
            </w:r>
            <w:r w:rsidR="00D57D8A">
              <w:rPr>
                <w:noProof/>
                <w:webHidden/>
              </w:rPr>
              <w:tab/>
            </w:r>
            <w:r w:rsidR="00D57D8A">
              <w:rPr>
                <w:noProof/>
                <w:webHidden/>
              </w:rPr>
              <w:fldChar w:fldCharType="begin"/>
            </w:r>
            <w:r w:rsidR="00D57D8A">
              <w:rPr>
                <w:noProof/>
                <w:webHidden/>
              </w:rPr>
              <w:instrText xml:space="preserve"> PAGEREF _Toc50031167 \h </w:instrText>
            </w:r>
            <w:r w:rsidR="00D57D8A">
              <w:rPr>
                <w:noProof/>
                <w:webHidden/>
              </w:rPr>
            </w:r>
            <w:r w:rsidR="00D57D8A">
              <w:rPr>
                <w:noProof/>
                <w:webHidden/>
              </w:rPr>
              <w:fldChar w:fldCharType="separate"/>
            </w:r>
            <w:r w:rsidR="00D57D8A">
              <w:rPr>
                <w:noProof/>
                <w:webHidden/>
              </w:rPr>
              <w:t>39</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68" w:history="1">
            <w:r w:rsidR="00D57D8A" w:rsidRPr="00251ABB">
              <w:rPr>
                <w:rStyle w:val="Hipervnculo"/>
                <w:rFonts w:ascii="Arial" w:hAnsi="Arial" w:cs="Arial"/>
                <w:i/>
                <w:caps/>
                <w:noProof/>
              </w:rPr>
              <w:t>2.</w:t>
            </w:r>
            <w:r w:rsidR="00D57D8A">
              <w:rPr>
                <w:b w:val="0"/>
                <w:noProof/>
                <w:sz w:val="22"/>
                <w:szCs w:val="22"/>
                <w:lang w:val="en-US" w:eastAsia="en-US"/>
              </w:rPr>
              <w:tab/>
            </w:r>
            <w:r w:rsidR="00D57D8A" w:rsidRPr="00251ABB">
              <w:rPr>
                <w:rStyle w:val="Hipervnculo"/>
                <w:rFonts w:ascii="Arial" w:hAnsi="Arial" w:cs="Arial"/>
                <w:caps/>
                <w:noProof/>
              </w:rPr>
              <w:t>I</w:t>
            </w:r>
            <w:r w:rsidR="00D57D8A" w:rsidRPr="00251ABB">
              <w:rPr>
                <w:rStyle w:val="Hipervnculo"/>
                <w:rFonts w:ascii="Arial" w:hAnsi="Arial" w:cs="Arial"/>
                <w:noProof/>
              </w:rPr>
              <w:t>ntroducción</w:t>
            </w:r>
            <w:r w:rsidR="00D57D8A">
              <w:rPr>
                <w:noProof/>
                <w:webHidden/>
              </w:rPr>
              <w:tab/>
            </w:r>
            <w:r w:rsidR="00D57D8A">
              <w:rPr>
                <w:noProof/>
                <w:webHidden/>
              </w:rPr>
              <w:fldChar w:fldCharType="begin"/>
            </w:r>
            <w:r w:rsidR="00D57D8A">
              <w:rPr>
                <w:noProof/>
                <w:webHidden/>
              </w:rPr>
              <w:instrText xml:space="preserve"> PAGEREF _Toc50031168 \h </w:instrText>
            </w:r>
            <w:r w:rsidR="00D57D8A">
              <w:rPr>
                <w:noProof/>
                <w:webHidden/>
              </w:rPr>
            </w:r>
            <w:r w:rsidR="00D57D8A">
              <w:rPr>
                <w:noProof/>
                <w:webHidden/>
              </w:rPr>
              <w:fldChar w:fldCharType="separate"/>
            </w:r>
            <w:r w:rsidR="00D57D8A">
              <w:rPr>
                <w:noProof/>
                <w:webHidden/>
              </w:rPr>
              <w:t>39</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69" w:history="1">
            <w:r w:rsidR="00D57D8A" w:rsidRPr="00251ABB">
              <w:rPr>
                <w:rStyle w:val="Hipervnculo"/>
                <w:rFonts w:ascii="Arial" w:hAnsi="Arial" w:cs="Arial"/>
                <w:i/>
                <w:noProof/>
              </w:rPr>
              <w:t>3.</w:t>
            </w:r>
            <w:r w:rsidR="00D57D8A">
              <w:rPr>
                <w:b w:val="0"/>
                <w:noProof/>
                <w:sz w:val="22"/>
                <w:szCs w:val="22"/>
                <w:lang w:val="en-US" w:eastAsia="en-US"/>
              </w:rPr>
              <w:tab/>
            </w:r>
            <w:r w:rsidR="00D57D8A" w:rsidRPr="00251ABB">
              <w:rPr>
                <w:rStyle w:val="Hipervnculo"/>
                <w:rFonts w:ascii="Arial" w:hAnsi="Arial" w:cs="Arial"/>
                <w:noProof/>
              </w:rPr>
              <w:t>Metodología</w:t>
            </w:r>
            <w:r w:rsidR="00D57D8A">
              <w:rPr>
                <w:noProof/>
                <w:webHidden/>
              </w:rPr>
              <w:tab/>
            </w:r>
            <w:r w:rsidR="00D57D8A">
              <w:rPr>
                <w:noProof/>
                <w:webHidden/>
              </w:rPr>
              <w:fldChar w:fldCharType="begin"/>
            </w:r>
            <w:r w:rsidR="00D57D8A">
              <w:rPr>
                <w:noProof/>
                <w:webHidden/>
              </w:rPr>
              <w:instrText xml:space="preserve"> PAGEREF _Toc50031169 \h </w:instrText>
            </w:r>
            <w:r w:rsidR="00D57D8A">
              <w:rPr>
                <w:noProof/>
                <w:webHidden/>
              </w:rPr>
            </w:r>
            <w:r w:rsidR="00D57D8A">
              <w:rPr>
                <w:noProof/>
                <w:webHidden/>
              </w:rPr>
              <w:fldChar w:fldCharType="separate"/>
            </w:r>
            <w:r w:rsidR="00D57D8A">
              <w:rPr>
                <w:noProof/>
                <w:webHidden/>
              </w:rPr>
              <w:t>40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70" w:history="1">
            <w:r w:rsidR="00D57D8A" w:rsidRPr="00251ABB">
              <w:rPr>
                <w:rStyle w:val="Hipervnculo"/>
                <w:rFonts w:ascii="Arial" w:hAnsi="Arial" w:cs="Arial"/>
                <w:noProof/>
              </w:rPr>
              <w:t>3.1 Densidad de entrecruzamiento</w:t>
            </w:r>
            <w:r w:rsidR="00D57D8A">
              <w:rPr>
                <w:noProof/>
                <w:webHidden/>
              </w:rPr>
              <w:tab/>
            </w:r>
            <w:r w:rsidR="00D57D8A">
              <w:rPr>
                <w:noProof/>
                <w:webHidden/>
              </w:rPr>
              <w:fldChar w:fldCharType="begin"/>
            </w:r>
            <w:r w:rsidR="00D57D8A">
              <w:rPr>
                <w:noProof/>
                <w:webHidden/>
              </w:rPr>
              <w:instrText xml:space="preserve"> PAGEREF _Toc50031170 \h </w:instrText>
            </w:r>
            <w:r w:rsidR="00D57D8A">
              <w:rPr>
                <w:noProof/>
                <w:webHidden/>
              </w:rPr>
            </w:r>
            <w:r w:rsidR="00D57D8A">
              <w:rPr>
                <w:noProof/>
                <w:webHidden/>
              </w:rPr>
              <w:fldChar w:fldCharType="separate"/>
            </w:r>
            <w:r w:rsidR="00D57D8A">
              <w:rPr>
                <w:noProof/>
                <w:webHidden/>
              </w:rPr>
              <w:t>41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71" w:history="1">
            <w:r w:rsidR="00D57D8A" w:rsidRPr="00251ABB">
              <w:rPr>
                <w:rStyle w:val="Hipervnculo"/>
                <w:rFonts w:ascii="Arial" w:hAnsi="Arial" w:cs="Arial"/>
                <w:noProof/>
              </w:rPr>
              <w:t>3.2 Desvulcanización</w:t>
            </w:r>
            <w:r w:rsidR="00D57D8A">
              <w:rPr>
                <w:noProof/>
                <w:webHidden/>
              </w:rPr>
              <w:tab/>
            </w:r>
            <w:r w:rsidR="00D57D8A">
              <w:rPr>
                <w:noProof/>
                <w:webHidden/>
              </w:rPr>
              <w:fldChar w:fldCharType="begin"/>
            </w:r>
            <w:r w:rsidR="00D57D8A">
              <w:rPr>
                <w:noProof/>
                <w:webHidden/>
              </w:rPr>
              <w:instrText xml:space="preserve"> PAGEREF _Toc50031171 \h </w:instrText>
            </w:r>
            <w:r w:rsidR="00D57D8A">
              <w:rPr>
                <w:noProof/>
                <w:webHidden/>
              </w:rPr>
            </w:r>
            <w:r w:rsidR="00D57D8A">
              <w:rPr>
                <w:noProof/>
                <w:webHidden/>
              </w:rPr>
              <w:fldChar w:fldCharType="separate"/>
            </w:r>
            <w:r w:rsidR="00D57D8A">
              <w:rPr>
                <w:noProof/>
                <w:webHidden/>
              </w:rPr>
              <w:t>42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72" w:history="1">
            <w:r w:rsidR="00D57D8A" w:rsidRPr="00251ABB">
              <w:rPr>
                <w:rStyle w:val="Hipervnculo"/>
                <w:rFonts w:ascii="Arial" w:hAnsi="Arial" w:cs="Arial"/>
                <w:noProof/>
              </w:rPr>
              <w:t>3.3 Agente desvulcanizante</w:t>
            </w:r>
            <w:r w:rsidR="00D57D8A">
              <w:rPr>
                <w:noProof/>
                <w:webHidden/>
              </w:rPr>
              <w:tab/>
            </w:r>
            <w:r w:rsidR="00D57D8A">
              <w:rPr>
                <w:noProof/>
                <w:webHidden/>
              </w:rPr>
              <w:fldChar w:fldCharType="begin"/>
            </w:r>
            <w:r w:rsidR="00D57D8A">
              <w:rPr>
                <w:noProof/>
                <w:webHidden/>
              </w:rPr>
              <w:instrText xml:space="preserve"> PAGEREF _Toc50031172 \h </w:instrText>
            </w:r>
            <w:r w:rsidR="00D57D8A">
              <w:rPr>
                <w:noProof/>
                <w:webHidden/>
              </w:rPr>
            </w:r>
            <w:r w:rsidR="00D57D8A">
              <w:rPr>
                <w:noProof/>
                <w:webHidden/>
              </w:rPr>
              <w:fldChar w:fldCharType="separate"/>
            </w:r>
            <w:r w:rsidR="00D57D8A">
              <w:rPr>
                <w:noProof/>
                <w:webHidden/>
              </w:rPr>
              <w:t>42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73" w:history="1">
            <w:r w:rsidR="00D57D8A" w:rsidRPr="00251ABB">
              <w:rPr>
                <w:rStyle w:val="Hipervnculo"/>
                <w:rFonts w:ascii="Arial" w:hAnsi="Arial" w:cs="Arial"/>
                <w:noProof/>
              </w:rPr>
              <w:t>3.4 Tiempo de reacción</w:t>
            </w:r>
            <w:r w:rsidR="00D57D8A">
              <w:rPr>
                <w:noProof/>
                <w:webHidden/>
              </w:rPr>
              <w:tab/>
            </w:r>
            <w:r w:rsidR="00D57D8A">
              <w:rPr>
                <w:noProof/>
                <w:webHidden/>
              </w:rPr>
              <w:fldChar w:fldCharType="begin"/>
            </w:r>
            <w:r w:rsidR="00D57D8A">
              <w:rPr>
                <w:noProof/>
                <w:webHidden/>
              </w:rPr>
              <w:instrText xml:space="preserve"> PAGEREF _Toc50031173 \h </w:instrText>
            </w:r>
            <w:r w:rsidR="00D57D8A">
              <w:rPr>
                <w:noProof/>
                <w:webHidden/>
              </w:rPr>
            </w:r>
            <w:r w:rsidR="00D57D8A">
              <w:rPr>
                <w:noProof/>
                <w:webHidden/>
              </w:rPr>
              <w:fldChar w:fldCharType="separate"/>
            </w:r>
            <w:r w:rsidR="00D57D8A">
              <w:rPr>
                <w:noProof/>
                <w:webHidden/>
              </w:rPr>
              <w:t>42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74" w:history="1">
            <w:r w:rsidR="00D57D8A" w:rsidRPr="00251ABB">
              <w:rPr>
                <w:rStyle w:val="Hipervnculo"/>
                <w:rFonts w:ascii="Arial" w:hAnsi="Arial" w:cs="Arial"/>
                <w:noProof/>
              </w:rPr>
              <w:t>3.5</w:t>
            </w:r>
            <w:r w:rsidR="00D57D8A" w:rsidRPr="00251ABB">
              <w:rPr>
                <w:rStyle w:val="Hipervnculo"/>
                <w:noProof/>
              </w:rPr>
              <w:t xml:space="preserve"> T</w:t>
            </w:r>
            <w:r w:rsidR="00D57D8A" w:rsidRPr="00251ABB">
              <w:rPr>
                <w:rStyle w:val="Hipervnculo"/>
                <w:rFonts w:ascii="Arial" w:hAnsi="Arial" w:cs="Arial"/>
                <w:noProof/>
              </w:rPr>
              <w:t>emperatura</w:t>
            </w:r>
            <w:r w:rsidR="00D57D8A">
              <w:rPr>
                <w:noProof/>
                <w:webHidden/>
              </w:rPr>
              <w:tab/>
            </w:r>
            <w:r w:rsidR="00D57D8A">
              <w:rPr>
                <w:noProof/>
                <w:webHidden/>
              </w:rPr>
              <w:fldChar w:fldCharType="begin"/>
            </w:r>
            <w:r w:rsidR="00D57D8A">
              <w:rPr>
                <w:noProof/>
                <w:webHidden/>
              </w:rPr>
              <w:instrText xml:space="preserve"> PAGEREF _Toc50031174 \h </w:instrText>
            </w:r>
            <w:r w:rsidR="00D57D8A">
              <w:rPr>
                <w:noProof/>
                <w:webHidden/>
              </w:rPr>
            </w:r>
            <w:r w:rsidR="00D57D8A">
              <w:rPr>
                <w:noProof/>
                <w:webHidden/>
              </w:rPr>
              <w:fldChar w:fldCharType="separate"/>
            </w:r>
            <w:r w:rsidR="00D57D8A">
              <w:rPr>
                <w:noProof/>
                <w:webHidden/>
              </w:rPr>
              <w:t>42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75" w:history="1">
            <w:r w:rsidR="00D57D8A" w:rsidRPr="00251ABB">
              <w:rPr>
                <w:rStyle w:val="Hipervnculo"/>
                <w:rFonts w:ascii="Arial" w:hAnsi="Arial" w:cs="Arial"/>
                <w:noProof/>
              </w:rPr>
              <w:t>3.6 Concentración del agente desvulcanizante</w:t>
            </w:r>
            <w:r w:rsidR="00D57D8A">
              <w:rPr>
                <w:noProof/>
                <w:webHidden/>
              </w:rPr>
              <w:tab/>
            </w:r>
            <w:r w:rsidR="00D57D8A">
              <w:rPr>
                <w:noProof/>
                <w:webHidden/>
              </w:rPr>
              <w:fldChar w:fldCharType="begin"/>
            </w:r>
            <w:r w:rsidR="00D57D8A">
              <w:rPr>
                <w:noProof/>
                <w:webHidden/>
              </w:rPr>
              <w:instrText xml:space="preserve"> PAGEREF _Toc50031175 \h </w:instrText>
            </w:r>
            <w:r w:rsidR="00D57D8A">
              <w:rPr>
                <w:noProof/>
                <w:webHidden/>
              </w:rPr>
            </w:r>
            <w:r w:rsidR="00D57D8A">
              <w:rPr>
                <w:noProof/>
                <w:webHidden/>
              </w:rPr>
              <w:fldChar w:fldCharType="separate"/>
            </w:r>
            <w:r w:rsidR="00D57D8A">
              <w:rPr>
                <w:noProof/>
                <w:webHidden/>
              </w:rPr>
              <w:t>42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76" w:history="1">
            <w:r w:rsidR="00D57D8A" w:rsidRPr="00251ABB">
              <w:rPr>
                <w:rStyle w:val="Hipervnculo"/>
                <w:rFonts w:ascii="Arial" w:hAnsi="Arial" w:cs="Arial"/>
                <w:noProof/>
              </w:rPr>
              <w:t>3.7 Agitación</w:t>
            </w:r>
            <w:r w:rsidR="00D57D8A">
              <w:rPr>
                <w:noProof/>
                <w:webHidden/>
              </w:rPr>
              <w:tab/>
            </w:r>
            <w:r w:rsidR="00D57D8A">
              <w:rPr>
                <w:noProof/>
                <w:webHidden/>
              </w:rPr>
              <w:fldChar w:fldCharType="begin"/>
            </w:r>
            <w:r w:rsidR="00D57D8A">
              <w:rPr>
                <w:noProof/>
                <w:webHidden/>
              </w:rPr>
              <w:instrText xml:space="preserve"> PAGEREF _Toc50031176 \h </w:instrText>
            </w:r>
            <w:r w:rsidR="00D57D8A">
              <w:rPr>
                <w:noProof/>
                <w:webHidden/>
              </w:rPr>
            </w:r>
            <w:r w:rsidR="00D57D8A">
              <w:rPr>
                <w:noProof/>
                <w:webHidden/>
              </w:rPr>
              <w:fldChar w:fldCharType="separate"/>
            </w:r>
            <w:r w:rsidR="00D57D8A">
              <w:rPr>
                <w:noProof/>
                <w:webHidden/>
              </w:rPr>
              <w:t>43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77" w:history="1">
            <w:r w:rsidR="00D57D8A" w:rsidRPr="00251ABB">
              <w:rPr>
                <w:rStyle w:val="Hipervnculo"/>
                <w:rFonts w:ascii="Arial" w:hAnsi="Arial" w:cs="Arial"/>
                <w:caps/>
                <w:noProof/>
              </w:rPr>
              <w:t xml:space="preserve">4. </w:t>
            </w:r>
            <w:r w:rsidR="00D57D8A" w:rsidRPr="00251ABB">
              <w:rPr>
                <w:rStyle w:val="Hipervnculo"/>
                <w:rFonts w:ascii="Arial" w:hAnsi="Arial" w:cs="Arial"/>
                <w:noProof/>
              </w:rPr>
              <w:t>Resultados y discusión</w:t>
            </w:r>
            <w:r w:rsidR="00D57D8A">
              <w:rPr>
                <w:noProof/>
                <w:webHidden/>
              </w:rPr>
              <w:tab/>
            </w:r>
            <w:r w:rsidR="00D57D8A">
              <w:rPr>
                <w:noProof/>
                <w:webHidden/>
              </w:rPr>
              <w:fldChar w:fldCharType="begin"/>
            </w:r>
            <w:r w:rsidR="00D57D8A">
              <w:rPr>
                <w:noProof/>
                <w:webHidden/>
              </w:rPr>
              <w:instrText xml:space="preserve"> PAGEREF _Toc50031177 \h </w:instrText>
            </w:r>
            <w:r w:rsidR="00D57D8A">
              <w:rPr>
                <w:noProof/>
                <w:webHidden/>
              </w:rPr>
            </w:r>
            <w:r w:rsidR="00D57D8A">
              <w:rPr>
                <w:noProof/>
                <w:webHidden/>
              </w:rPr>
              <w:fldChar w:fldCharType="separate"/>
            </w:r>
            <w:r w:rsidR="00D57D8A">
              <w:rPr>
                <w:noProof/>
                <w:webHidden/>
              </w:rPr>
              <w:t>43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78" w:history="1">
            <w:r w:rsidR="00D57D8A" w:rsidRPr="00251ABB">
              <w:rPr>
                <w:rStyle w:val="Hipervnculo"/>
                <w:rFonts w:ascii="Arial" w:hAnsi="Arial" w:cs="Arial"/>
                <w:noProof/>
              </w:rPr>
              <w:t>4.1 Densidad de entrecruzamiento</w:t>
            </w:r>
            <w:r w:rsidR="00D57D8A">
              <w:rPr>
                <w:noProof/>
                <w:webHidden/>
              </w:rPr>
              <w:tab/>
            </w:r>
            <w:r w:rsidR="00D57D8A">
              <w:rPr>
                <w:noProof/>
                <w:webHidden/>
              </w:rPr>
              <w:fldChar w:fldCharType="begin"/>
            </w:r>
            <w:r w:rsidR="00D57D8A">
              <w:rPr>
                <w:noProof/>
                <w:webHidden/>
              </w:rPr>
              <w:instrText xml:space="preserve"> PAGEREF _Toc50031178 \h </w:instrText>
            </w:r>
            <w:r w:rsidR="00D57D8A">
              <w:rPr>
                <w:noProof/>
                <w:webHidden/>
              </w:rPr>
            </w:r>
            <w:r w:rsidR="00D57D8A">
              <w:rPr>
                <w:noProof/>
                <w:webHidden/>
              </w:rPr>
              <w:fldChar w:fldCharType="separate"/>
            </w:r>
            <w:r w:rsidR="00D57D8A">
              <w:rPr>
                <w:noProof/>
                <w:webHidden/>
              </w:rPr>
              <w:t>43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79" w:history="1">
            <w:r w:rsidR="00D57D8A" w:rsidRPr="00251ABB">
              <w:rPr>
                <w:rStyle w:val="Hipervnculo"/>
                <w:noProof/>
              </w:rPr>
              <w:t>4.2  Desvulcanización</w:t>
            </w:r>
            <w:r w:rsidR="00D57D8A">
              <w:rPr>
                <w:noProof/>
                <w:webHidden/>
              </w:rPr>
              <w:tab/>
            </w:r>
            <w:r w:rsidR="00D57D8A">
              <w:rPr>
                <w:noProof/>
                <w:webHidden/>
              </w:rPr>
              <w:fldChar w:fldCharType="begin"/>
            </w:r>
            <w:r w:rsidR="00D57D8A">
              <w:rPr>
                <w:noProof/>
                <w:webHidden/>
              </w:rPr>
              <w:instrText xml:space="preserve"> PAGEREF _Toc50031179 \h </w:instrText>
            </w:r>
            <w:r w:rsidR="00D57D8A">
              <w:rPr>
                <w:noProof/>
                <w:webHidden/>
              </w:rPr>
            </w:r>
            <w:r w:rsidR="00D57D8A">
              <w:rPr>
                <w:noProof/>
                <w:webHidden/>
              </w:rPr>
              <w:fldChar w:fldCharType="separate"/>
            </w:r>
            <w:r w:rsidR="00D57D8A">
              <w:rPr>
                <w:noProof/>
                <w:webHidden/>
              </w:rPr>
              <w:t>44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80" w:history="1">
            <w:r w:rsidR="00D57D8A" w:rsidRPr="00251ABB">
              <w:rPr>
                <w:rStyle w:val="Hipervnculo"/>
                <w:noProof/>
              </w:rPr>
              <w:t>4.3. Agente desvulcanizante</w:t>
            </w:r>
            <w:r w:rsidR="00D57D8A">
              <w:rPr>
                <w:noProof/>
                <w:webHidden/>
              </w:rPr>
              <w:tab/>
            </w:r>
            <w:r w:rsidR="00D57D8A">
              <w:rPr>
                <w:noProof/>
                <w:webHidden/>
              </w:rPr>
              <w:fldChar w:fldCharType="begin"/>
            </w:r>
            <w:r w:rsidR="00D57D8A">
              <w:rPr>
                <w:noProof/>
                <w:webHidden/>
              </w:rPr>
              <w:instrText xml:space="preserve"> PAGEREF _Toc50031180 \h </w:instrText>
            </w:r>
            <w:r w:rsidR="00D57D8A">
              <w:rPr>
                <w:noProof/>
                <w:webHidden/>
              </w:rPr>
            </w:r>
            <w:r w:rsidR="00D57D8A">
              <w:rPr>
                <w:noProof/>
                <w:webHidden/>
              </w:rPr>
              <w:fldChar w:fldCharType="separate"/>
            </w:r>
            <w:r w:rsidR="00D57D8A">
              <w:rPr>
                <w:noProof/>
                <w:webHidden/>
              </w:rPr>
              <w:t>44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81" w:history="1">
            <w:r w:rsidR="00D57D8A" w:rsidRPr="00251ABB">
              <w:rPr>
                <w:rStyle w:val="Hipervnculo"/>
                <w:noProof/>
              </w:rPr>
              <w:t>4.4 Tiempo de reacción</w:t>
            </w:r>
            <w:r w:rsidR="00D57D8A">
              <w:rPr>
                <w:noProof/>
                <w:webHidden/>
              </w:rPr>
              <w:tab/>
            </w:r>
            <w:r w:rsidR="00D57D8A">
              <w:rPr>
                <w:noProof/>
                <w:webHidden/>
              </w:rPr>
              <w:fldChar w:fldCharType="begin"/>
            </w:r>
            <w:r w:rsidR="00D57D8A">
              <w:rPr>
                <w:noProof/>
                <w:webHidden/>
              </w:rPr>
              <w:instrText xml:space="preserve"> PAGEREF _Toc50031181 \h </w:instrText>
            </w:r>
            <w:r w:rsidR="00D57D8A">
              <w:rPr>
                <w:noProof/>
                <w:webHidden/>
              </w:rPr>
            </w:r>
            <w:r w:rsidR="00D57D8A">
              <w:rPr>
                <w:noProof/>
                <w:webHidden/>
              </w:rPr>
              <w:fldChar w:fldCharType="separate"/>
            </w:r>
            <w:r w:rsidR="00D57D8A">
              <w:rPr>
                <w:noProof/>
                <w:webHidden/>
              </w:rPr>
              <w:t>45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82" w:history="1">
            <w:r w:rsidR="00D57D8A" w:rsidRPr="00251ABB">
              <w:rPr>
                <w:rStyle w:val="Hipervnculo"/>
                <w:noProof/>
              </w:rPr>
              <w:t>4.5 Temperatura</w:t>
            </w:r>
            <w:r w:rsidR="00D57D8A">
              <w:rPr>
                <w:noProof/>
                <w:webHidden/>
              </w:rPr>
              <w:tab/>
            </w:r>
            <w:r w:rsidR="00D57D8A">
              <w:rPr>
                <w:noProof/>
                <w:webHidden/>
              </w:rPr>
              <w:fldChar w:fldCharType="begin"/>
            </w:r>
            <w:r w:rsidR="00D57D8A">
              <w:rPr>
                <w:noProof/>
                <w:webHidden/>
              </w:rPr>
              <w:instrText xml:space="preserve"> PAGEREF _Toc50031182 \h </w:instrText>
            </w:r>
            <w:r w:rsidR="00D57D8A">
              <w:rPr>
                <w:noProof/>
                <w:webHidden/>
              </w:rPr>
            </w:r>
            <w:r w:rsidR="00D57D8A">
              <w:rPr>
                <w:noProof/>
                <w:webHidden/>
              </w:rPr>
              <w:fldChar w:fldCharType="separate"/>
            </w:r>
            <w:r w:rsidR="00D57D8A">
              <w:rPr>
                <w:noProof/>
                <w:webHidden/>
              </w:rPr>
              <w:t>46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83" w:history="1">
            <w:r w:rsidR="00D57D8A" w:rsidRPr="00251ABB">
              <w:rPr>
                <w:rStyle w:val="Hipervnculo"/>
                <w:noProof/>
              </w:rPr>
              <w:t>4.6 Concentración del agente desvulcanizante</w:t>
            </w:r>
            <w:r w:rsidR="00D57D8A">
              <w:rPr>
                <w:noProof/>
                <w:webHidden/>
              </w:rPr>
              <w:tab/>
            </w:r>
            <w:r w:rsidR="00D57D8A">
              <w:rPr>
                <w:noProof/>
                <w:webHidden/>
              </w:rPr>
              <w:fldChar w:fldCharType="begin"/>
            </w:r>
            <w:r w:rsidR="00D57D8A">
              <w:rPr>
                <w:noProof/>
                <w:webHidden/>
              </w:rPr>
              <w:instrText xml:space="preserve"> PAGEREF _Toc50031183 \h </w:instrText>
            </w:r>
            <w:r w:rsidR="00D57D8A">
              <w:rPr>
                <w:noProof/>
                <w:webHidden/>
              </w:rPr>
            </w:r>
            <w:r w:rsidR="00D57D8A">
              <w:rPr>
                <w:noProof/>
                <w:webHidden/>
              </w:rPr>
              <w:fldChar w:fldCharType="separate"/>
            </w:r>
            <w:r w:rsidR="00D57D8A">
              <w:rPr>
                <w:noProof/>
                <w:webHidden/>
              </w:rPr>
              <w:t>47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84" w:history="1">
            <w:r w:rsidR="00D57D8A" w:rsidRPr="00251ABB">
              <w:rPr>
                <w:rStyle w:val="Hipervnculo"/>
                <w:noProof/>
              </w:rPr>
              <w:t>4.7 Agitación</w:t>
            </w:r>
            <w:r w:rsidR="00D57D8A">
              <w:rPr>
                <w:noProof/>
                <w:webHidden/>
              </w:rPr>
              <w:tab/>
            </w:r>
            <w:r w:rsidR="00D57D8A">
              <w:rPr>
                <w:noProof/>
                <w:webHidden/>
              </w:rPr>
              <w:fldChar w:fldCharType="begin"/>
            </w:r>
            <w:r w:rsidR="00D57D8A">
              <w:rPr>
                <w:noProof/>
                <w:webHidden/>
              </w:rPr>
              <w:instrText xml:space="preserve"> PAGEREF _Toc50031184 \h </w:instrText>
            </w:r>
            <w:r w:rsidR="00D57D8A">
              <w:rPr>
                <w:noProof/>
                <w:webHidden/>
              </w:rPr>
            </w:r>
            <w:r w:rsidR="00D57D8A">
              <w:rPr>
                <w:noProof/>
                <w:webHidden/>
              </w:rPr>
              <w:fldChar w:fldCharType="separate"/>
            </w:r>
            <w:r w:rsidR="00D57D8A">
              <w:rPr>
                <w:noProof/>
                <w:webHidden/>
              </w:rPr>
              <w:t>48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85" w:history="1">
            <w:r w:rsidR="00D57D8A" w:rsidRPr="00251ABB">
              <w:rPr>
                <w:rStyle w:val="Hipervnculo"/>
                <w:rFonts w:ascii="Arial" w:hAnsi="Arial" w:cs="Arial"/>
                <w:caps/>
                <w:noProof/>
              </w:rPr>
              <w:t xml:space="preserve">5. </w:t>
            </w:r>
            <w:r w:rsidR="00D57D8A" w:rsidRPr="00251ABB">
              <w:rPr>
                <w:rStyle w:val="Hipervnculo"/>
                <w:rFonts w:ascii="Arial" w:hAnsi="Arial" w:cs="Arial"/>
                <w:noProof/>
              </w:rPr>
              <w:t>Conclusiones</w:t>
            </w:r>
            <w:r w:rsidR="00D57D8A">
              <w:rPr>
                <w:noProof/>
                <w:webHidden/>
              </w:rPr>
              <w:tab/>
            </w:r>
            <w:r w:rsidR="00D57D8A">
              <w:rPr>
                <w:noProof/>
                <w:webHidden/>
              </w:rPr>
              <w:fldChar w:fldCharType="begin"/>
            </w:r>
            <w:r w:rsidR="00D57D8A">
              <w:rPr>
                <w:noProof/>
                <w:webHidden/>
              </w:rPr>
              <w:instrText xml:space="preserve"> PAGEREF _Toc50031185 \h </w:instrText>
            </w:r>
            <w:r w:rsidR="00D57D8A">
              <w:rPr>
                <w:noProof/>
                <w:webHidden/>
              </w:rPr>
            </w:r>
            <w:r w:rsidR="00D57D8A">
              <w:rPr>
                <w:noProof/>
                <w:webHidden/>
              </w:rPr>
              <w:fldChar w:fldCharType="separate"/>
            </w:r>
            <w:r w:rsidR="00D57D8A">
              <w:rPr>
                <w:noProof/>
                <w:webHidden/>
              </w:rPr>
              <w:t>49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86" w:history="1">
            <w:r w:rsidR="00D57D8A" w:rsidRPr="00251ABB">
              <w:rPr>
                <w:rStyle w:val="Hipervnculo"/>
                <w:rFonts w:ascii="Arial" w:hAnsi="Arial" w:cs="Arial"/>
                <w:caps/>
                <w:noProof/>
              </w:rPr>
              <w:t xml:space="preserve">6. </w:t>
            </w:r>
            <w:r w:rsidR="00D57D8A" w:rsidRPr="00251ABB">
              <w:rPr>
                <w:rStyle w:val="Hipervnculo"/>
                <w:rFonts w:ascii="Arial" w:hAnsi="Arial" w:cs="Arial"/>
                <w:noProof/>
              </w:rPr>
              <w:t>Referencias</w:t>
            </w:r>
            <w:r w:rsidR="00D57D8A">
              <w:rPr>
                <w:noProof/>
                <w:webHidden/>
              </w:rPr>
              <w:tab/>
            </w:r>
            <w:r w:rsidR="00D57D8A">
              <w:rPr>
                <w:noProof/>
                <w:webHidden/>
              </w:rPr>
              <w:fldChar w:fldCharType="begin"/>
            </w:r>
            <w:r w:rsidR="00D57D8A">
              <w:rPr>
                <w:noProof/>
                <w:webHidden/>
              </w:rPr>
              <w:instrText xml:space="preserve"> PAGEREF _Toc50031186 \h </w:instrText>
            </w:r>
            <w:r w:rsidR="00D57D8A">
              <w:rPr>
                <w:noProof/>
                <w:webHidden/>
              </w:rPr>
            </w:r>
            <w:r w:rsidR="00D57D8A">
              <w:rPr>
                <w:noProof/>
                <w:webHidden/>
              </w:rPr>
              <w:fldChar w:fldCharType="separate"/>
            </w:r>
            <w:r w:rsidR="00D57D8A">
              <w:rPr>
                <w:noProof/>
                <w:webHidden/>
              </w:rPr>
              <w:t>49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87" w:history="1">
            <w:r w:rsidR="00D57D8A" w:rsidRPr="00251ABB">
              <w:rPr>
                <w:rStyle w:val="Hipervnculo"/>
                <w:rFonts w:ascii="Arial" w:hAnsi="Arial" w:cs="Arial"/>
                <w:i/>
                <w:caps/>
                <w:noProof/>
              </w:rPr>
              <w:t>1. Resumen</w:t>
            </w:r>
            <w:r w:rsidR="00D57D8A">
              <w:rPr>
                <w:noProof/>
                <w:webHidden/>
              </w:rPr>
              <w:tab/>
            </w:r>
            <w:r w:rsidR="00D57D8A">
              <w:rPr>
                <w:noProof/>
                <w:webHidden/>
              </w:rPr>
              <w:fldChar w:fldCharType="begin"/>
            </w:r>
            <w:r w:rsidR="00D57D8A">
              <w:rPr>
                <w:noProof/>
                <w:webHidden/>
              </w:rPr>
              <w:instrText xml:space="preserve"> PAGEREF _Toc50031187 \h </w:instrText>
            </w:r>
            <w:r w:rsidR="00D57D8A">
              <w:rPr>
                <w:noProof/>
                <w:webHidden/>
              </w:rPr>
            </w:r>
            <w:r w:rsidR="00D57D8A">
              <w:rPr>
                <w:noProof/>
                <w:webHidden/>
              </w:rPr>
              <w:fldChar w:fldCharType="separate"/>
            </w:r>
            <w:r w:rsidR="00D57D8A">
              <w:rPr>
                <w:noProof/>
                <w:webHidden/>
              </w:rPr>
              <w:t>51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88" w:history="1">
            <w:r w:rsidR="00D57D8A" w:rsidRPr="00251ABB">
              <w:rPr>
                <w:rStyle w:val="Hipervnculo"/>
                <w:rFonts w:ascii="Arial" w:hAnsi="Arial" w:cs="Arial"/>
                <w:caps/>
                <w:noProof/>
              </w:rPr>
              <w:t>2. Introducción</w:t>
            </w:r>
            <w:r w:rsidR="00D57D8A">
              <w:rPr>
                <w:noProof/>
                <w:webHidden/>
              </w:rPr>
              <w:tab/>
            </w:r>
            <w:r w:rsidR="00D57D8A">
              <w:rPr>
                <w:noProof/>
                <w:webHidden/>
              </w:rPr>
              <w:fldChar w:fldCharType="begin"/>
            </w:r>
            <w:r w:rsidR="00D57D8A">
              <w:rPr>
                <w:noProof/>
                <w:webHidden/>
              </w:rPr>
              <w:instrText xml:space="preserve"> PAGEREF _Toc50031188 \h </w:instrText>
            </w:r>
            <w:r w:rsidR="00D57D8A">
              <w:rPr>
                <w:noProof/>
                <w:webHidden/>
              </w:rPr>
            </w:r>
            <w:r w:rsidR="00D57D8A">
              <w:rPr>
                <w:noProof/>
                <w:webHidden/>
              </w:rPr>
              <w:fldChar w:fldCharType="separate"/>
            </w:r>
            <w:r w:rsidR="00D57D8A">
              <w:rPr>
                <w:noProof/>
                <w:webHidden/>
              </w:rPr>
              <w:t>52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89" w:history="1">
            <w:r w:rsidR="00D57D8A" w:rsidRPr="00251ABB">
              <w:rPr>
                <w:rStyle w:val="Hipervnculo"/>
                <w:rFonts w:ascii="Arial" w:hAnsi="Arial" w:cs="Arial"/>
                <w:caps/>
                <w:noProof/>
              </w:rPr>
              <w:t>3. METODOLOGÍa de experimentación</w:t>
            </w:r>
            <w:r w:rsidR="00D57D8A">
              <w:rPr>
                <w:noProof/>
                <w:webHidden/>
              </w:rPr>
              <w:tab/>
            </w:r>
            <w:r w:rsidR="00D57D8A">
              <w:rPr>
                <w:noProof/>
                <w:webHidden/>
              </w:rPr>
              <w:fldChar w:fldCharType="begin"/>
            </w:r>
            <w:r w:rsidR="00D57D8A">
              <w:rPr>
                <w:noProof/>
                <w:webHidden/>
              </w:rPr>
              <w:instrText xml:space="preserve"> PAGEREF _Toc50031189 \h </w:instrText>
            </w:r>
            <w:r w:rsidR="00D57D8A">
              <w:rPr>
                <w:noProof/>
                <w:webHidden/>
              </w:rPr>
            </w:r>
            <w:r w:rsidR="00D57D8A">
              <w:rPr>
                <w:noProof/>
                <w:webHidden/>
              </w:rPr>
              <w:fldChar w:fldCharType="separate"/>
            </w:r>
            <w:r w:rsidR="00D57D8A">
              <w:rPr>
                <w:noProof/>
                <w:webHidden/>
              </w:rPr>
              <w:t>53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90" w:history="1">
            <w:r w:rsidR="00D57D8A" w:rsidRPr="00251ABB">
              <w:rPr>
                <w:rStyle w:val="Hipervnculo"/>
                <w:rFonts w:ascii="Arial" w:hAnsi="Arial" w:cs="Arial"/>
                <w:i/>
                <w:noProof/>
              </w:rPr>
              <w:t>4.1 Microscopía electrónica de barrido (SEM) al sistema poliuretano con arena.</w:t>
            </w:r>
            <w:r w:rsidR="00D57D8A">
              <w:rPr>
                <w:noProof/>
                <w:webHidden/>
              </w:rPr>
              <w:tab/>
            </w:r>
            <w:r w:rsidR="00D57D8A">
              <w:rPr>
                <w:noProof/>
                <w:webHidden/>
              </w:rPr>
              <w:fldChar w:fldCharType="begin"/>
            </w:r>
            <w:r w:rsidR="00D57D8A">
              <w:rPr>
                <w:noProof/>
                <w:webHidden/>
              </w:rPr>
              <w:instrText xml:space="preserve"> PAGEREF _Toc50031190 \h </w:instrText>
            </w:r>
            <w:r w:rsidR="00D57D8A">
              <w:rPr>
                <w:noProof/>
                <w:webHidden/>
              </w:rPr>
            </w:r>
            <w:r w:rsidR="00D57D8A">
              <w:rPr>
                <w:noProof/>
                <w:webHidden/>
              </w:rPr>
              <w:fldChar w:fldCharType="separate"/>
            </w:r>
            <w:r w:rsidR="00D57D8A">
              <w:rPr>
                <w:noProof/>
                <w:webHidden/>
              </w:rPr>
              <w:t>59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91" w:history="1">
            <w:r w:rsidR="00D57D8A" w:rsidRPr="00251ABB">
              <w:rPr>
                <w:rStyle w:val="Hipervnculo"/>
                <w:rFonts w:ascii="Arial" w:hAnsi="Arial" w:cs="Arial"/>
                <w:i/>
                <w:caps/>
                <w:noProof/>
              </w:rPr>
              <w:t>5. Conclusiones</w:t>
            </w:r>
            <w:r w:rsidR="00D57D8A">
              <w:rPr>
                <w:noProof/>
                <w:webHidden/>
              </w:rPr>
              <w:tab/>
            </w:r>
            <w:r w:rsidR="00D57D8A">
              <w:rPr>
                <w:noProof/>
                <w:webHidden/>
              </w:rPr>
              <w:fldChar w:fldCharType="begin"/>
            </w:r>
            <w:r w:rsidR="00D57D8A">
              <w:rPr>
                <w:noProof/>
                <w:webHidden/>
              </w:rPr>
              <w:instrText xml:space="preserve"> PAGEREF _Toc50031191 \h </w:instrText>
            </w:r>
            <w:r w:rsidR="00D57D8A">
              <w:rPr>
                <w:noProof/>
                <w:webHidden/>
              </w:rPr>
            </w:r>
            <w:r w:rsidR="00D57D8A">
              <w:rPr>
                <w:noProof/>
                <w:webHidden/>
              </w:rPr>
              <w:fldChar w:fldCharType="separate"/>
            </w:r>
            <w:r w:rsidR="00D57D8A">
              <w:rPr>
                <w:noProof/>
                <w:webHidden/>
              </w:rPr>
              <w:t>62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92" w:history="1">
            <w:r w:rsidR="00D57D8A" w:rsidRPr="00251ABB">
              <w:rPr>
                <w:rStyle w:val="Hipervnculo"/>
                <w:rFonts w:ascii="Arial" w:hAnsi="Arial" w:cs="Arial"/>
                <w:i/>
                <w:caps/>
                <w:noProof/>
              </w:rPr>
              <w:t>7. Bibliografía</w:t>
            </w:r>
            <w:r w:rsidR="00D57D8A">
              <w:rPr>
                <w:noProof/>
                <w:webHidden/>
              </w:rPr>
              <w:tab/>
            </w:r>
            <w:r w:rsidR="00D57D8A">
              <w:rPr>
                <w:noProof/>
                <w:webHidden/>
              </w:rPr>
              <w:fldChar w:fldCharType="begin"/>
            </w:r>
            <w:r w:rsidR="00D57D8A">
              <w:rPr>
                <w:noProof/>
                <w:webHidden/>
              </w:rPr>
              <w:instrText xml:space="preserve"> PAGEREF _Toc50031192 \h </w:instrText>
            </w:r>
            <w:r w:rsidR="00D57D8A">
              <w:rPr>
                <w:noProof/>
                <w:webHidden/>
              </w:rPr>
            </w:r>
            <w:r w:rsidR="00D57D8A">
              <w:rPr>
                <w:noProof/>
                <w:webHidden/>
              </w:rPr>
              <w:fldChar w:fldCharType="separate"/>
            </w:r>
            <w:r w:rsidR="00D57D8A">
              <w:rPr>
                <w:noProof/>
                <w:webHidden/>
              </w:rPr>
              <w:t>63</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193" w:history="1">
            <w:r w:rsidR="00D57D8A" w:rsidRPr="00251ABB">
              <w:rPr>
                <w:rStyle w:val="Hipervnculo"/>
                <w:noProof/>
              </w:rPr>
              <w:t>7.</w:t>
            </w:r>
            <w:r w:rsidR="00D57D8A">
              <w:rPr>
                <w:b w:val="0"/>
                <w:noProof/>
                <w:sz w:val="22"/>
                <w:szCs w:val="22"/>
                <w:lang w:val="en-US" w:eastAsia="en-US"/>
              </w:rPr>
              <w:tab/>
            </w:r>
            <w:r w:rsidR="00D57D8A" w:rsidRPr="00251ABB">
              <w:rPr>
                <w:rStyle w:val="Hipervnculo"/>
                <w:noProof/>
              </w:rPr>
              <w:t>Implementación de un método electroquímico para la remoción de sólidos disueltos en agua residual Urbana de la planta de Hidrosistemas de San Román en Córdoba Veracruz</w:t>
            </w:r>
            <w:r w:rsidR="00D57D8A">
              <w:rPr>
                <w:noProof/>
                <w:webHidden/>
              </w:rPr>
              <w:tab/>
            </w:r>
            <w:r w:rsidR="00D57D8A">
              <w:rPr>
                <w:noProof/>
                <w:webHidden/>
              </w:rPr>
              <w:fldChar w:fldCharType="begin"/>
            </w:r>
            <w:r w:rsidR="00D57D8A">
              <w:rPr>
                <w:noProof/>
                <w:webHidden/>
              </w:rPr>
              <w:instrText xml:space="preserve"> PAGEREF _Toc50031193 \h </w:instrText>
            </w:r>
            <w:r w:rsidR="00D57D8A">
              <w:rPr>
                <w:noProof/>
                <w:webHidden/>
              </w:rPr>
            </w:r>
            <w:r w:rsidR="00D57D8A">
              <w:rPr>
                <w:noProof/>
                <w:webHidden/>
              </w:rPr>
              <w:fldChar w:fldCharType="separate"/>
            </w:r>
            <w:r w:rsidR="00D57D8A">
              <w:rPr>
                <w:noProof/>
                <w:webHidden/>
              </w:rPr>
              <w:t>64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94" w:history="1">
            <w:r w:rsidR="00D57D8A" w:rsidRPr="00251ABB">
              <w:rPr>
                <w:rStyle w:val="Hipervnculo"/>
                <w:rFonts w:ascii="Arial" w:hAnsi="Arial" w:cs="Arial"/>
                <w:i/>
                <w:caps/>
                <w:noProof/>
              </w:rPr>
              <w:t>1. R</w:t>
            </w:r>
            <w:r w:rsidR="00D57D8A" w:rsidRPr="00251ABB">
              <w:rPr>
                <w:rStyle w:val="Hipervnculo"/>
                <w:rFonts w:ascii="Arial" w:hAnsi="Arial" w:cs="Arial"/>
                <w:i/>
                <w:noProof/>
              </w:rPr>
              <w:t>esumen</w:t>
            </w:r>
            <w:r w:rsidR="00D57D8A">
              <w:rPr>
                <w:noProof/>
                <w:webHidden/>
              </w:rPr>
              <w:tab/>
            </w:r>
            <w:r w:rsidR="00D57D8A">
              <w:rPr>
                <w:noProof/>
                <w:webHidden/>
              </w:rPr>
              <w:fldChar w:fldCharType="begin"/>
            </w:r>
            <w:r w:rsidR="00D57D8A">
              <w:rPr>
                <w:noProof/>
                <w:webHidden/>
              </w:rPr>
              <w:instrText xml:space="preserve"> PAGEREF _Toc50031194 \h </w:instrText>
            </w:r>
            <w:r w:rsidR="00D57D8A">
              <w:rPr>
                <w:noProof/>
                <w:webHidden/>
              </w:rPr>
            </w:r>
            <w:r w:rsidR="00D57D8A">
              <w:rPr>
                <w:noProof/>
                <w:webHidden/>
              </w:rPr>
              <w:fldChar w:fldCharType="separate"/>
            </w:r>
            <w:r w:rsidR="00D57D8A">
              <w:rPr>
                <w:noProof/>
                <w:webHidden/>
              </w:rPr>
              <w:t>64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95"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ntroducción</w:t>
            </w:r>
            <w:r w:rsidR="00D57D8A">
              <w:rPr>
                <w:noProof/>
                <w:webHidden/>
              </w:rPr>
              <w:tab/>
            </w:r>
            <w:r w:rsidR="00D57D8A">
              <w:rPr>
                <w:noProof/>
                <w:webHidden/>
              </w:rPr>
              <w:fldChar w:fldCharType="begin"/>
            </w:r>
            <w:r w:rsidR="00D57D8A">
              <w:rPr>
                <w:noProof/>
                <w:webHidden/>
              </w:rPr>
              <w:instrText xml:space="preserve"> PAGEREF _Toc50031195 \h </w:instrText>
            </w:r>
            <w:r w:rsidR="00D57D8A">
              <w:rPr>
                <w:noProof/>
                <w:webHidden/>
              </w:rPr>
            </w:r>
            <w:r w:rsidR="00D57D8A">
              <w:rPr>
                <w:noProof/>
                <w:webHidden/>
              </w:rPr>
              <w:fldChar w:fldCharType="separate"/>
            </w:r>
            <w:r w:rsidR="00D57D8A">
              <w:rPr>
                <w:noProof/>
                <w:webHidden/>
              </w:rPr>
              <w:t>65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96" w:history="1">
            <w:r w:rsidR="00D57D8A" w:rsidRPr="00251ABB">
              <w:rPr>
                <w:rStyle w:val="Hipervnculo"/>
                <w:rFonts w:ascii="Arial" w:hAnsi="Arial" w:cs="Arial"/>
                <w:i/>
                <w:caps/>
                <w:noProof/>
              </w:rPr>
              <w:t>3. C</w:t>
            </w:r>
            <w:r w:rsidR="00D57D8A" w:rsidRPr="00251ABB">
              <w:rPr>
                <w:rStyle w:val="Hipervnculo"/>
                <w:rFonts w:ascii="Arial" w:hAnsi="Arial" w:cs="Arial"/>
                <w:i/>
                <w:noProof/>
              </w:rPr>
              <w:t>ondiciones experimentales</w:t>
            </w:r>
            <w:r w:rsidR="00D57D8A">
              <w:rPr>
                <w:noProof/>
                <w:webHidden/>
              </w:rPr>
              <w:tab/>
            </w:r>
            <w:r w:rsidR="00D57D8A">
              <w:rPr>
                <w:noProof/>
                <w:webHidden/>
              </w:rPr>
              <w:fldChar w:fldCharType="begin"/>
            </w:r>
            <w:r w:rsidR="00D57D8A">
              <w:rPr>
                <w:noProof/>
                <w:webHidden/>
              </w:rPr>
              <w:instrText xml:space="preserve"> PAGEREF _Toc50031196 \h </w:instrText>
            </w:r>
            <w:r w:rsidR="00D57D8A">
              <w:rPr>
                <w:noProof/>
                <w:webHidden/>
              </w:rPr>
            </w:r>
            <w:r w:rsidR="00D57D8A">
              <w:rPr>
                <w:noProof/>
                <w:webHidden/>
              </w:rPr>
              <w:fldChar w:fldCharType="separate"/>
            </w:r>
            <w:r w:rsidR="00D57D8A">
              <w:rPr>
                <w:noProof/>
                <w:webHidden/>
              </w:rPr>
              <w:t>66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97" w:history="1">
            <w:r w:rsidR="00D57D8A" w:rsidRPr="00251ABB">
              <w:rPr>
                <w:rStyle w:val="Hipervnculo"/>
                <w:rFonts w:ascii="Arial" w:hAnsi="Arial" w:cs="Arial"/>
                <w:i/>
                <w:caps/>
                <w:noProof/>
              </w:rPr>
              <w:t>4. Resultados y discusión</w:t>
            </w:r>
            <w:r w:rsidR="00D57D8A">
              <w:rPr>
                <w:noProof/>
                <w:webHidden/>
              </w:rPr>
              <w:tab/>
            </w:r>
            <w:r w:rsidR="00D57D8A">
              <w:rPr>
                <w:noProof/>
                <w:webHidden/>
              </w:rPr>
              <w:fldChar w:fldCharType="begin"/>
            </w:r>
            <w:r w:rsidR="00D57D8A">
              <w:rPr>
                <w:noProof/>
                <w:webHidden/>
              </w:rPr>
              <w:instrText xml:space="preserve"> PAGEREF _Toc50031197 \h </w:instrText>
            </w:r>
            <w:r w:rsidR="00D57D8A">
              <w:rPr>
                <w:noProof/>
                <w:webHidden/>
              </w:rPr>
            </w:r>
            <w:r w:rsidR="00D57D8A">
              <w:rPr>
                <w:noProof/>
                <w:webHidden/>
              </w:rPr>
              <w:fldChar w:fldCharType="separate"/>
            </w:r>
            <w:r w:rsidR="00D57D8A">
              <w:rPr>
                <w:noProof/>
                <w:webHidden/>
              </w:rPr>
              <w:t>68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98" w:history="1">
            <w:r w:rsidR="00D57D8A" w:rsidRPr="00251ABB">
              <w:rPr>
                <w:rStyle w:val="Hipervnculo"/>
                <w:rFonts w:ascii="Arial" w:hAnsi="Arial" w:cs="Arial"/>
                <w:i/>
                <w:caps/>
                <w:noProof/>
              </w:rPr>
              <w:t xml:space="preserve">5. </w:t>
            </w:r>
            <w:r w:rsidR="00D57D8A" w:rsidRPr="00251ABB">
              <w:rPr>
                <w:rStyle w:val="Hipervnculo"/>
                <w:rFonts w:ascii="Arial" w:hAnsi="Arial" w:cs="Arial"/>
                <w:i/>
                <w:noProof/>
              </w:rPr>
              <w:t>Conclusiones</w:t>
            </w:r>
            <w:r w:rsidR="00D57D8A">
              <w:rPr>
                <w:noProof/>
                <w:webHidden/>
              </w:rPr>
              <w:tab/>
            </w:r>
            <w:r w:rsidR="00D57D8A">
              <w:rPr>
                <w:noProof/>
                <w:webHidden/>
              </w:rPr>
              <w:fldChar w:fldCharType="begin"/>
            </w:r>
            <w:r w:rsidR="00D57D8A">
              <w:rPr>
                <w:noProof/>
                <w:webHidden/>
              </w:rPr>
              <w:instrText xml:space="preserve"> PAGEREF _Toc50031198 \h </w:instrText>
            </w:r>
            <w:r w:rsidR="00D57D8A">
              <w:rPr>
                <w:noProof/>
                <w:webHidden/>
              </w:rPr>
            </w:r>
            <w:r w:rsidR="00D57D8A">
              <w:rPr>
                <w:noProof/>
                <w:webHidden/>
              </w:rPr>
              <w:fldChar w:fldCharType="separate"/>
            </w:r>
            <w:r w:rsidR="00D57D8A">
              <w:rPr>
                <w:noProof/>
                <w:webHidden/>
              </w:rPr>
              <w:t>75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199" w:history="1">
            <w:r w:rsidR="00D57D8A" w:rsidRPr="00251ABB">
              <w:rPr>
                <w:rStyle w:val="Hipervnculo"/>
                <w:rFonts w:ascii="Arial" w:hAnsi="Arial" w:cs="Arial"/>
                <w:i/>
                <w:caps/>
                <w:noProof/>
              </w:rPr>
              <w:t xml:space="preserve">6. </w:t>
            </w:r>
            <w:r w:rsidR="00D57D8A" w:rsidRPr="00251ABB">
              <w:rPr>
                <w:rStyle w:val="Hipervnculo"/>
                <w:rFonts w:ascii="Arial" w:hAnsi="Arial" w:cs="Arial"/>
                <w:i/>
                <w:noProof/>
              </w:rPr>
              <w:t>Bibliografía</w:t>
            </w:r>
            <w:r w:rsidR="00D57D8A">
              <w:rPr>
                <w:noProof/>
                <w:webHidden/>
              </w:rPr>
              <w:tab/>
            </w:r>
            <w:r w:rsidR="00D57D8A">
              <w:rPr>
                <w:noProof/>
                <w:webHidden/>
              </w:rPr>
              <w:fldChar w:fldCharType="begin"/>
            </w:r>
            <w:r w:rsidR="00D57D8A">
              <w:rPr>
                <w:noProof/>
                <w:webHidden/>
              </w:rPr>
              <w:instrText xml:space="preserve"> PAGEREF _Toc50031199 \h </w:instrText>
            </w:r>
            <w:r w:rsidR="00D57D8A">
              <w:rPr>
                <w:noProof/>
                <w:webHidden/>
              </w:rPr>
            </w:r>
            <w:r w:rsidR="00D57D8A">
              <w:rPr>
                <w:noProof/>
                <w:webHidden/>
              </w:rPr>
              <w:fldChar w:fldCharType="separate"/>
            </w:r>
            <w:r w:rsidR="00D57D8A">
              <w:rPr>
                <w:noProof/>
                <w:webHidden/>
              </w:rPr>
              <w:t>75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00" w:history="1">
            <w:r w:rsidR="00D57D8A" w:rsidRPr="00251ABB">
              <w:rPr>
                <w:rStyle w:val="Hipervnculo"/>
                <w:noProof/>
              </w:rPr>
              <w:t>Modelo Electromagnético para LVRPA en el Proceso Fotocatalítico</w:t>
            </w:r>
            <w:r w:rsidR="00D57D8A">
              <w:rPr>
                <w:noProof/>
                <w:webHidden/>
              </w:rPr>
              <w:tab/>
            </w:r>
            <w:r w:rsidR="00D57D8A">
              <w:rPr>
                <w:noProof/>
                <w:webHidden/>
              </w:rPr>
              <w:fldChar w:fldCharType="begin"/>
            </w:r>
            <w:r w:rsidR="00D57D8A">
              <w:rPr>
                <w:noProof/>
                <w:webHidden/>
              </w:rPr>
              <w:instrText xml:space="preserve"> PAGEREF _Toc50031200 \h </w:instrText>
            </w:r>
            <w:r w:rsidR="00D57D8A">
              <w:rPr>
                <w:noProof/>
                <w:webHidden/>
              </w:rPr>
            </w:r>
            <w:r w:rsidR="00D57D8A">
              <w:rPr>
                <w:noProof/>
                <w:webHidden/>
              </w:rPr>
              <w:fldChar w:fldCharType="separate"/>
            </w:r>
            <w:r w:rsidR="00D57D8A">
              <w:rPr>
                <w:noProof/>
                <w:webHidden/>
              </w:rPr>
              <w:t>75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01" w:history="1">
            <w:r w:rsidR="00D57D8A" w:rsidRPr="00251ABB">
              <w:rPr>
                <w:rStyle w:val="Hipervnculo"/>
                <w:rFonts w:ascii="Arial" w:hAnsi="Arial" w:cs="Arial"/>
                <w:i/>
                <w:caps/>
                <w:noProof/>
              </w:rPr>
              <w:t>1. R</w:t>
            </w:r>
            <w:r w:rsidR="00D57D8A" w:rsidRPr="00251ABB">
              <w:rPr>
                <w:rStyle w:val="Hipervnculo"/>
                <w:rFonts w:ascii="Arial" w:hAnsi="Arial" w:cs="Arial"/>
                <w:i/>
                <w:noProof/>
              </w:rPr>
              <w:t>esumen</w:t>
            </w:r>
            <w:r w:rsidR="00D57D8A">
              <w:rPr>
                <w:noProof/>
                <w:webHidden/>
              </w:rPr>
              <w:tab/>
            </w:r>
            <w:r w:rsidR="00D57D8A">
              <w:rPr>
                <w:noProof/>
                <w:webHidden/>
              </w:rPr>
              <w:fldChar w:fldCharType="begin"/>
            </w:r>
            <w:r w:rsidR="00D57D8A">
              <w:rPr>
                <w:noProof/>
                <w:webHidden/>
              </w:rPr>
              <w:instrText xml:space="preserve"> PAGEREF _Toc50031201 \h </w:instrText>
            </w:r>
            <w:r w:rsidR="00D57D8A">
              <w:rPr>
                <w:noProof/>
                <w:webHidden/>
              </w:rPr>
            </w:r>
            <w:r w:rsidR="00D57D8A">
              <w:rPr>
                <w:noProof/>
                <w:webHidden/>
              </w:rPr>
              <w:fldChar w:fldCharType="separate"/>
            </w:r>
            <w:r w:rsidR="00D57D8A">
              <w:rPr>
                <w:noProof/>
                <w:webHidden/>
              </w:rPr>
              <w:t>76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02"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ntroducción</w:t>
            </w:r>
            <w:r w:rsidR="00D57D8A">
              <w:rPr>
                <w:noProof/>
                <w:webHidden/>
              </w:rPr>
              <w:tab/>
            </w:r>
            <w:r w:rsidR="00D57D8A">
              <w:rPr>
                <w:noProof/>
                <w:webHidden/>
              </w:rPr>
              <w:fldChar w:fldCharType="begin"/>
            </w:r>
            <w:r w:rsidR="00D57D8A">
              <w:rPr>
                <w:noProof/>
                <w:webHidden/>
              </w:rPr>
              <w:instrText xml:space="preserve"> PAGEREF _Toc50031202 \h </w:instrText>
            </w:r>
            <w:r w:rsidR="00D57D8A">
              <w:rPr>
                <w:noProof/>
                <w:webHidden/>
              </w:rPr>
            </w:r>
            <w:r w:rsidR="00D57D8A">
              <w:rPr>
                <w:noProof/>
                <w:webHidden/>
              </w:rPr>
              <w:fldChar w:fldCharType="separate"/>
            </w:r>
            <w:r w:rsidR="00D57D8A">
              <w:rPr>
                <w:noProof/>
                <w:webHidden/>
              </w:rPr>
              <w:t>76</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203" w:history="1">
            <w:r w:rsidR="00D57D8A" w:rsidRPr="00251ABB">
              <w:rPr>
                <w:rStyle w:val="Hipervnculo"/>
                <w:noProof/>
              </w:rPr>
              <w:t>4.</w:t>
            </w:r>
            <w:r w:rsidR="00D57D8A">
              <w:rPr>
                <w:b w:val="0"/>
                <w:noProof/>
                <w:sz w:val="22"/>
                <w:szCs w:val="22"/>
                <w:lang w:val="en-US" w:eastAsia="en-US"/>
              </w:rPr>
              <w:tab/>
            </w:r>
            <w:r w:rsidR="00D57D8A" w:rsidRPr="00251ABB">
              <w:rPr>
                <w:rStyle w:val="Hipervnculo"/>
                <w:noProof/>
              </w:rPr>
              <w:t>Conclusiones</w:t>
            </w:r>
            <w:r w:rsidR="00D57D8A">
              <w:rPr>
                <w:noProof/>
                <w:webHidden/>
              </w:rPr>
              <w:tab/>
            </w:r>
            <w:r w:rsidR="00D57D8A">
              <w:rPr>
                <w:noProof/>
                <w:webHidden/>
              </w:rPr>
              <w:fldChar w:fldCharType="begin"/>
            </w:r>
            <w:r w:rsidR="00D57D8A">
              <w:rPr>
                <w:noProof/>
                <w:webHidden/>
              </w:rPr>
              <w:instrText xml:space="preserve"> PAGEREF _Toc50031203 \h </w:instrText>
            </w:r>
            <w:r w:rsidR="00D57D8A">
              <w:rPr>
                <w:noProof/>
                <w:webHidden/>
              </w:rPr>
            </w:r>
            <w:r w:rsidR="00D57D8A">
              <w:rPr>
                <w:noProof/>
                <w:webHidden/>
              </w:rPr>
              <w:fldChar w:fldCharType="separate"/>
            </w:r>
            <w:r w:rsidR="00D57D8A">
              <w:rPr>
                <w:noProof/>
                <w:webHidden/>
              </w:rPr>
              <w:t>84</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204" w:history="1">
            <w:r w:rsidR="00D57D8A" w:rsidRPr="00251ABB">
              <w:rPr>
                <w:rStyle w:val="Hipervnculo"/>
                <w:noProof/>
                <w:lang w:val="en-US"/>
              </w:rPr>
              <w:t>5.</w:t>
            </w:r>
            <w:r w:rsidR="00D57D8A">
              <w:rPr>
                <w:b w:val="0"/>
                <w:noProof/>
                <w:sz w:val="22"/>
                <w:szCs w:val="22"/>
                <w:lang w:val="en-US" w:eastAsia="en-US"/>
              </w:rPr>
              <w:tab/>
            </w:r>
            <w:r w:rsidR="00D57D8A" w:rsidRPr="00251ABB">
              <w:rPr>
                <w:rStyle w:val="Hipervnculo"/>
                <w:noProof/>
                <w:lang w:val="en-US"/>
              </w:rPr>
              <w:t>Bibliografía</w:t>
            </w:r>
            <w:r w:rsidR="00D57D8A">
              <w:rPr>
                <w:noProof/>
                <w:webHidden/>
              </w:rPr>
              <w:tab/>
            </w:r>
            <w:r w:rsidR="00D57D8A">
              <w:rPr>
                <w:noProof/>
                <w:webHidden/>
              </w:rPr>
              <w:fldChar w:fldCharType="begin"/>
            </w:r>
            <w:r w:rsidR="00D57D8A">
              <w:rPr>
                <w:noProof/>
                <w:webHidden/>
              </w:rPr>
              <w:instrText xml:space="preserve"> PAGEREF _Toc50031204 \h </w:instrText>
            </w:r>
            <w:r w:rsidR="00D57D8A">
              <w:rPr>
                <w:noProof/>
                <w:webHidden/>
              </w:rPr>
            </w:r>
            <w:r w:rsidR="00D57D8A">
              <w:rPr>
                <w:noProof/>
                <w:webHidden/>
              </w:rPr>
              <w:fldChar w:fldCharType="separate"/>
            </w:r>
            <w:r w:rsidR="00D57D8A">
              <w:rPr>
                <w:noProof/>
                <w:webHidden/>
              </w:rPr>
              <w:t>86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05" w:history="1">
            <w:r w:rsidR="00D57D8A" w:rsidRPr="00251ABB">
              <w:rPr>
                <w:rStyle w:val="Hipervnculo"/>
                <w:noProof/>
              </w:rPr>
              <w:t>Purificación de ácido benzoico mediante su recristalización</w:t>
            </w:r>
            <w:r w:rsidR="00D57D8A">
              <w:rPr>
                <w:noProof/>
                <w:webHidden/>
              </w:rPr>
              <w:tab/>
            </w:r>
            <w:r w:rsidR="00D57D8A">
              <w:rPr>
                <w:noProof/>
                <w:webHidden/>
              </w:rPr>
              <w:fldChar w:fldCharType="begin"/>
            </w:r>
            <w:r w:rsidR="00D57D8A">
              <w:rPr>
                <w:noProof/>
                <w:webHidden/>
              </w:rPr>
              <w:instrText xml:space="preserve"> PAGEREF _Toc50031205 \h </w:instrText>
            </w:r>
            <w:r w:rsidR="00D57D8A">
              <w:rPr>
                <w:noProof/>
                <w:webHidden/>
              </w:rPr>
            </w:r>
            <w:r w:rsidR="00D57D8A">
              <w:rPr>
                <w:noProof/>
                <w:webHidden/>
              </w:rPr>
              <w:fldChar w:fldCharType="separate"/>
            </w:r>
            <w:r w:rsidR="00D57D8A">
              <w:rPr>
                <w:noProof/>
                <w:webHidden/>
              </w:rPr>
              <w:t>86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06" w:history="1">
            <w:r w:rsidR="00D57D8A" w:rsidRPr="00251ABB">
              <w:rPr>
                <w:rStyle w:val="Hipervnculo"/>
                <w:rFonts w:ascii="Arial" w:hAnsi="Arial" w:cs="Arial"/>
                <w:i/>
                <w:caps/>
                <w:noProof/>
              </w:rPr>
              <w:t>1. R</w:t>
            </w:r>
            <w:r w:rsidR="00D57D8A" w:rsidRPr="00251ABB">
              <w:rPr>
                <w:rStyle w:val="Hipervnculo"/>
                <w:rFonts w:ascii="Arial" w:hAnsi="Arial" w:cs="Arial"/>
                <w:i/>
                <w:noProof/>
              </w:rPr>
              <w:t>esumen</w:t>
            </w:r>
            <w:r w:rsidR="00D57D8A">
              <w:rPr>
                <w:noProof/>
                <w:webHidden/>
              </w:rPr>
              <w:tab/>
            </w:r>
            <w:r w:rsidR="00D57D8A">
              <w:rPr>
                <w:noProof/>
                <w:webHidden/>
              </w:rPr>
              <w:fldChar w:fldCharType="begin"/>
            </w:r>
            <w:r w:rsidR="00D57D8A">
              <w:rPr>
                <w:noProof/>
                <w:webHidden/>
              </w:rPr>
              <w:instrText xml:space="preserve"> PAGEREF _Toc50031206 \h </w:instrText>
            </w:r>
            <w:r w:rsidR="00D57D8A">
              <w:rPr>
                <w:noProof/>
                <w:webHidden/>
              </w:rPr>
            </w:r>
            <w:r w:rsidR="00D57D8A">
              <w:rPr>
                <w:noProof/>
                <w:webHidden/>
              </w:rPr>
              <w:fldChar w:fldCharType="separate"/>
            </w:r>
            <w:r w:rsidR="00D57D8A">
              <w:rPr>
                <w:noProof/>
                <w:webHidden/>
              </w:rPr>
              <w:t>86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07"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ntroducción</w:t>
            </w:r>
            <w:r w:rsidR="00D57D8A">
              <w:rPr>
                <w:noProof/>
                <w:webHidden/>
              </w:rPr>
              <w:tab/>
            </w:r>
            <w:r w:rsidR="00D57D8A">
              <w:rPr>
                <w:noProof/>
                <w:webHidden/>
              </w:rPr>
              <w:fldChar w:fldCharType="begin"/>
            </w:r>
            <w:r w:rsidR="00D57D8A">
              <w:rPr>
                <w:noProof/>
                <w:webHidden/>
              </w:rPr>
              <w:instrText xml:space="preserve"> PAGEREF _Toc50031207 \h </w:instrText>
            </w:r>
            <w:r w:rsidR="00D57D8A">
              <w:rPr>
                <w:noProof/>
                <w:webHidden/>
              </w:rPr>
            </w:r>
            <w:r w:rsidR="00D57D8A">
              <w:rPr>
                <w:noProof/>
                <w:webHidden/>
              </w:rPr>
              <w:fldChar w:fldCharType="separate"/>
            </w:r>
            <w:r w:rsidR="00D57D8A">
              <w:rPr>
                <w:noProof/>
                <w:webHidden/>
              </w:rPr>
              <w:t>87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08" w:history="1">
            <w:r w:rsidR="00D57D8A" w:rsidRPr="00251ABB">
              <w:rPr>
                <w:rStyle w:val="Hipervnculo"/>
                <w:caps/>
                <w:noProof/>
              </w:rPr>
              <w:t>3. C</w:t>
            </w:r>
            <w:r w:rsidR="00D57D8A" w:rsidRPr="00251ABB">
              <w:rPr>
                <w:rStyle w:val="Hipervnculo"/>
                <w:noProof/>
              </w:rPr>
              <w:t>ondiciones experimentales</w:t>
            </w:r>
            <w:r w:rsidR="00D57D8A">
              <w:rPr>
                <w:noProof/>
                <w:webHidden/>
              </w:rPr>
              <w:tab/>
            </w:r>
            <w:r w:rsidR="00D57D8A">
              <w:rPr>
                <w:noProof/>
                <w:webHidden/>
              </w:rPr>
              <w:fldChar w:fldCharType="begin"/>
            </w:r>
            <w:r w:rsidR="00D57D8A">
              <w:rPr>
                <w:noProof/>
                <w:webHidden/>
              </w:rPr>
              <w:instrText xml:space="preserve"> PAGEREF _Toc50031208 \h </w:instrText>
            </w:r>
            <w:r w:rsidR="00D57D8A">
              <w:rPr>
                <w:noProof/>
                <w:webHidden/>
              </w:rPr>
            </w:r>
            <w:r w:rsidR="00D57D8A">
              <w:rPr>
                <w:noProof/>
                <w:webHidden/>
              </w:rPr>
              <w:fldChar w:fldCharType="separate"/>
            </w:r>
            <w:r w:rsidR="00D57D8A">
              <w:rPr>
                <w:noProof/>
                <w:webHidden/>
              </w:rPr>
              <w:t>91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09" w:history="1">
            <w:r w:rsidR="00D57D8A" w:rsidRPr="00251ABB">
              <w:rPr>
                <w:rStyle w:val="Hipervnculo"/>
                <w:rFonts w:ascii="Arial" w:hAnsi="Arial" w:cs="Arial"/>
                <w:i/>
                <w:caps/>
                <w:noProof/>
              </w:rPr>
              <w:t xml:space="preserve">4. </w:t>
            </w:r>
            <w:r w:rsidR="00D57D8A" w:rsidRPr="00251ABB">
              <w:rPr>
                <w:rStyle w:val="Hipervnculo"/>
                <w:rFonts w:ascii="Arial" w:hAnsi="Arial" w:cs="Arial"/>
                <w:i/>
                <w:noProof/>
              </w:rPr>
              <w:t>Resultados y discusión</w:t>
            </w:r>
            <w:r w:rsidR="00D57D8A">
              <w:rPr>
                <w:noProof/>
                <w:webHidden/>
              </w:rPr>
              <w:tab/>
            </w:r>
            <w:r w:rsidR="00D57D8A">
              <w:rPr>
                <w:noProof/>
                <w:webHidden/>
              </w:rPr>
              <w:fldChar w:fldCharType="begin"/>
            </w:r>
            <w:r w:rsidR="00D57D8A">
              <w:rPr>
                <w:noProof/>
                <w:webHidden/>
              </w:rPr>
              <w:instrText xml:space="preserve"> PAGEREF _Toc50031209 \h </w:instrText>
            </w:r>
            <w:r w:rsidR="00D57D8A">
              <w:rPr>
                <w:noProof/>
                <w:webHidden/>
              </w:rPr>
            </w:r>
            <w:r w:rsidR="00D57D8A">
              <w:rPr>
                <w:noProof/>
                <w:webHidden/>
              </w:rPr>
              <w:fldChar w:fldCharType="separate"/>
            </w:r>
            <w:r w:rsidR="00D57D8A">
              <w:rPr>
                <w:noProof/>
                <w:webHidden/>
              </w:rPr>
              <w:t>96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10" w:history="1">
            <w:r w:rsidR="00D57D8A" w:rsidRPr="00251ABB">
              <w:rPr>
                <w:rStyle w:val="Hipervnculo"/>
                <w:rFonts w:ascii="Arial" w:hAnsi="Arial" w:cs="Arial"/>
                <w:i/>
                <w:caps/>
                <w:noProof/>
              </w:rPr>
              <w:t xml:space="preserve">5. </w:t>
            </w:r>
            <w:r w:rsidR="00D57D8A" w:rsidRPr="00251ABB">
              <w:rPr>
                <w:rStyle w:val="Hipervnculo"/>
                <w:rFonts w:ascii="Arial" w:hAnsi="Arial" w:cs="Arial"/>
                <w:i/>
                <w:noProof/>
              </w:rPr>
              <w:t>Conclusiones</w:t>
            </w:r>
            <w:r w:rsidR="00D57D8A">
              <w:rPr>
                <w:noProof/>
                <w:webHidden/>
              </w:rPr>
              <w:tab/>
            </w:r>
            <w:r w:rsidR="00D57D8A">
              <w:rPr>
                <w:noProof/>
                <w:webHidden/>
              </w:rPr>
              <w:fldChar w:fldCharType="begin"/>
            </w:r>
            <w:r w:rsidR="00D57D8A">
              <w:rPr>
                <w:noProof/>
                <w:webHidden/>
              </w:rPr>
              <w:instrText xml:space="preserve"> PAGEREF _Toc50031210 \h </w:instrText>
            </w:r>
            <w:r w:rsidR="00D57D8A">
              <w:rPr>
                <w:noProof/>
                <w:webHidden/>
              </w:rPr>
            </w:r>
            <w:r w:rsidR="00D57D8A">
              <w:rPr>
                <w:noProof/>
                <w:webHidden/>
              </w:rPr>
              <w:fldChar w:fldCharType="separate"/>
            </w:r>
            <w:r w:rsidR="00D57D8A">
              <w:rPr>
                <w:noProof/>
                <w:webHidden/>
              </w:rPr>
              <w:t>99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11" w:history="1">
            <w:r w:rsidR="00D57D8A" w:rsidRPr="00251ABB">
              <w:rPr>
                <w:rStyle w:val="Hipervnculo"/>
                <w:rFonts w:ascii="Arial" w:hAnsi="Arial" w:cs="Arial"/>
                <w:i/>
                <w:caps/>
                <w:noProof/>
              </w:rPr>
              <w:t xml:space="preserve">6. </w:t>
            </w:r>
            <w:r w:rsidR="00D57D8A" w:rsidRPr="00251ABB">
              <w:rPr>
                <w:rStyle w:val="Hipervnculo"/>
                <w:rFonts w:ascii="Arial" w:hAnsi="Arial" w:cs="Arial"/>
                <w:i/>
                <w:noProof/>
              </w:rPr>
              <w:t>Bibliografía</w:t>
            </w:r>
            <w:r w:rsidR="00D57D8A">
              <w:rPr>
                <w:noProof/>
                <w:webHidden/>
              </w:rPr>
              <w:tab/>
            </w:r>
            <w:r w:rsidR="00D57D8A">
              <w:rPr>
                <w:noProof/>
                <w:webHidden/>
              </w:rPr>
              <w:fldChar w:fldCharType="begin"/>
            </w:r>
            <w:r w:rsidR="00D57D8A">
              <w:rPr>
                <w:noProof/>
                <w:webHidden/>
              </w:rPr>
              <w:instrText xml:space="preserve"> PAGEREF _Toc50031211 \h </w:instrText>
            </w:r>
            <w:r w:rsidR="00D57D8A">
              <w:rPr>
                <w:noProof/>
                <w:webHidden/>
              </w:rPr>
            </w:r>
            <w:r w:rsidR="00D57D8A">
              <w:rPr>
                <w:noProof/>
                <w:webHidden/>
              </w:rPr>
              <w:fldChar w:fldCharType="separate"/>
            </w:r>
            <w:r w:rsidR="00D57D8A">
              <w:rPr>
                <w:noProof/>
                <w:webHidden/>
              </w:rPr>
              <w:t>99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12" w:history="1">
            <w:r w:rsidR="00D57D8A" w:rsidRPr="00251ABB">
              <w:rPr>
                <w:rStyle w:val="Hipervnculo"/>
                <w:noProof/>
                <w:lang w:val="en-US"/>
              </w:rPr>
              <w:t>Almost sure exponential robust stability for the Euler-Maruyama scheme in a stochastic controlled Schrödinger equation</w:t>
            </w:r>
            <w:r w:rsidR="00D57D8A">
              <w:rPr>
                <w:noProof/>
                <w:webHidden/>
              </w:rPr>
              <w:tab/>
            </w:r>
            <w:r w:rsidR="00D57D8A">
              <w:rPr>
                <w:noProof/>
                <w:webHidden/>
              </w:rPr>
              <w:fldChar w:fldCharType="begin"/>
            </w:r>
            <w:r w:rsidR="00D57D8A">
              <w:rPr>
                <w:noProof/>
                <w:webHidden/>
              </w:rPr>
              <w:instrText xml:space="preserve"> PAGEREF _Toc50031212 \h </w:instrText>
            </w:r>
            <w:r w:rsidR="00D57D8A">
              <w:rPr>
                <w:noProof/>
                <w:webHidden/>
              </w:rPr>
            </w:r>
            <w:r w:rsidR="00D57D8A">
              <w:rPr>
                <w:noProof/>
                <w:webHidden/>
              </w:rPr>
              <w:fldChar w:fldCharType="separate"/>
            </w:r>
            <w:r w:rsidR="00D57D8A">
              <w:rPr>
                <w:noProof/>
                <w:webHidden/>
              </w:rPr>
              <w:t>99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13" w:history="1">
            <w:r w:rsidR="00D57D8A" w:rsidRPr="00251ABB">
              <w:rPr>
                <w:rStyle w:val="Hipervnculo"/>
                <w:rFonts w:ascii="Arial" w:hAnsi="Arial" w:cs="Arial"/>
                <w:caps/>
                <w:noProof/>
              </w:rPr>
              <w:t xml:space="preserve">1. </w:t>
            </w:r>
            <w:r w:rsidR="00D57D8A" w:rsidRPr="00251ABB">
              <w:rPr>
                <w:rStyle w:val="Hipervnculo"/>
                <w:rFonts w:ascii="Arial" w:hAnsi="Arial" w:cs="Arial"/>
                <w:noProof/>
              </w:rPr>
              <w:t>Abstract</w:t>
            </w:r>
            <w:r w:rsidR="00D57D8A">
              <w:rPr>
                <w:noProof/>
                <w:webHidden/>
              </w:rPr>
              <w:tab/>
            </w:r>
            <w:r w:rsidR="00D57D8A">
              <w:rPr>
                <w:noProof/>
                <w:webHidden/>
              </w:rPr>
              <w:fldChar w:fldCharType="begin"/>
            </w:r>
            <w:r w:rsidR="00D57D8A">
              <w:rPr>
                <w:noProof/>
                <w:webHidden/>
              </w:rPr>
              <w:instrText xml:space="preserve"> PAGEREF _Toc50031213 \h </w:instrText>
            </w:r>
            <w:r w:rsidR="00D57D8A">
              <w:rPr>
                <w:noProof/>
                <w:webHidden/>
              </w:rPr>
            </w:r>
            <w:r w:rsidR="00D57D8A">
              <w:rPr>
                <w:noProof/>
                <w:webHidden/>
              </w:rPr>
              <w:fldChar w:fldCharType="separate"/>
            </w:r>
            <w:r w:rsidR="00D57D8A">
              <w:rPr>
                <w:noProof/>
                <w:webHidden/>
              </w:rPr>
              <w:t>100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14" w:history="1">
            <w:r w:rsidR="00D57D8A" w:rsidRPr="00251ABB">
              <w:rPr>
                <w:rStyle w:val="Hipervnculo"/>
                <w:rFonts w:ascii="Arial" w:hAnsi="Arial" w:cs="Arial"/>
                <w:caps/>
                <w:noProof/>
              </w:rPr>
              <w:t>2. I</w:t>
            </w:r>
            <w:r w:rsidR="00D57D8A" w:rsidRPr="00251ABB">
              <w:rPr>
                <w:rStyle w:val="Hipervnculo"/>
                <w:rFonts w:ascii="Arial" w:hAnsi="Arial" w:cs="Arial"/>
                <w:noProof/>
              </w:rPr>
              <w:t>ntroduction</w:t>
            </w:r>
            <w:r w:rsidR="00D57D8A">
              <w:rPr>
                <w:noProof/>
                <w:webHidden/>
              </w:rPr>
              <w:tab/>
            </w:r>
            <w:r w:rsidR="00D57D8A">
              <w:rPr>
                <w:noProof/>
                <w:webHidden/>
              </w:rPr>
              <w:fldChar w:fldCharType="begin"/>
            </w:r>
            <w:r w:rsidR="00D57D8A">
              <w:rPr>
                <w:noProof/>
                <w:webHidden/>
              </w:rPr>
              <w:instrText xml:space="preserve"> PAGEREF _Toc50031214 \h </w:instrText>
            </w:r>
            <w:r w:rsidR="00D57D8A">
              <w:rPr>
                <w:noProof/>
                <w:webHidden/>
              </w:rPr>
            </w:r>
            <w:r w:rsidR="00D57D8A">
              <w:rPr>
                <w:noProof/>
                <w:webHidden/>
              </w:rPr>
              <w:fldChar w:fldCharType="separate"/>
            </w:r>
            <w:r w:rsidR="00D57D8A">
              <w:rPr>
                <w:noProof/>
                <w:webHidden/>
              </w:rPr>
              <w:t>100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15" w:history="1">
            <w:r w:rsidR="00D57D8A" w:rsidRPr="00251ABB">
              <w:rPr>
                <w:rStyle w:val="Hipervnculo"/>
                <w:rFonts w:ascii="Arial" w:hAnsi="Arial" w:cs="Arial"/>
                <w:caps/>
                <w:noProof/>
              </w:rPr>
              <w:t xml:space="preserve">2.1 </w:t>
            </w:r>
            <w:r w:rsidR="00D57D8A" w:rsidRPr="00251ABB">
              <w:rPr>
                <w:rStyle w:val="Hipervnculo"/>
                <w:rFonts w:ascii="Arial" w:hAnsi="Arial" w:cs="Arial"/>
                <w:noProof/>
              </w:rPr>
              <w:t>Euler-Maruyama method</w:t>
            </w:r>
            <w:r w:rsidR="00D57D8A">
              <w:rPr>
                <w:noProof/>
                <w:webHidden/>
              </w:rPr>
              <w:tab/>
            </w:r>
            <w:r w:rsidR="00D57D8A">
              <w:rPr>
                <w:noProof/>
                <w:webHidden/>
              </w:rPr>
              <w:fldChar w:fldCharType="begin"/>
            </w:r>
            <w:r w:rsidR="00D57D8A">
              <w:rPr>
                <w:noProof/>
                <w:webHidden/>
              </w:rPr>
              <w:instrText xml:space="preserve"> PAGEREF _Toc50031215 \h </w:instrText>
            </w:r>
            <w:r w:rsidR="00D57D8A">
              <w:rPr>
                <w:noProof/>
                <w:webHidden/>
              </w:rPr>
            </w:r>
            <w:r w:rsidR="00D57D8A">
              <w:rPr>
                <w:noProof/>
                <w:webHidden/>
              </w:rPr>
              <w:fldChar w:fldCharType="separate"/>
            </w:r>
            <w:r w:rsidR="00D57D8A">
              <w:rPr>
                <w:noProof/>
                <w:webHidden/>
              </w:rPr>
              <w:t>102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16" w:history="1">
            <w:r w:rsidR="00D57D8A" w:rsidRPr="00251ABB">
              <w:rPr>
                <w:rStyle w:val="Hipervnculo"/>
                <w:rFonts w:ascii="Arial" w:hAnsi="Arial" w:cs="Arial"/>
                <w:caps/>
                <w:noProof/>
                <w:lang w:val="en-US"/>
              </w:rPr>
              <w:t xml:space="preserve">3. </w:t>
            </w:r>
            <w:r w:rsidR="00D57D8A" w:rsidRPr="00251ABB">
              <w:rPr>
                <w:rStyle w:val="Hipervnculo"/>
                <w:rFonts w:ascii="Arial" w:hAnsi="Arial" w:cs="Arial"/>
                <w:noProof/>
                <w:lang w:val="en-US"/>
              </w:rPr>
              <w:t>Almost sure exponential robust stability and asymptotic stability</w:t>
            </w:r>
            <w:r w:rsidR="00D57D8A">
              <w:rPr>
                <w:noProof/>
                <w:webHidden/>
              </w:rPr>
              <w:tab/>
            </w:r>
            <w:r w:rsidR="00D57D8A">
              <w:rPr>
                <w:noProof/>
                <w:webHidden/>
              </w:rPr>
              <w:fldChar w:fldCharType="begin"/>
            </w:r>
            <w:r w:rsidR="00D57D8A">
              <w:rPr>
                <w:noProof/>
                <w:webHidden/>
              </w:rPr>
              <w:instrText xml:space="preserve"> PAGEREF _Toc50031216 \h </w:instrText>
            </w:r>
            <w:r w:rsidR="00D57D8A">
              <w:rPr>
                <w:noProof/>
                <w:webHidden/>
              </w:rPr>
            </w:r>
            <w:r w:rsidR="00D57D8A">
              <w:rPr>
                <w:noProof/>
                <w:webHidden/>
              </w:rPr>
              <w:fldChar w:fldCharType="separate"/>
            </w:r>
            <w:r w:rsidR="00D57D8A">
              <w:rPr>
                <w:noProof/>
                <w:webHidden/>
              </w:rPr>
              <w:t>103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17" w:history="1">
            <w:r w:rsidR="00D57D8A" w:rsidRPr="00251ABB">
              <w:rPr>
                <w:rStyle w:val="Hipervnculo"/>
                <w:rFonts w:ascii="Arial" w:hAnsi="Arial" w:cs="Arial"/>
                <w:caps/>
                <w:noProof/>
              </w:rPr>
              <w:t xml:space="preserve">2. </w:t>
            </w:r>
            <w:r w:rsidR="00D57D8A" w:rsidRPr="00251ABB">
              <w:rPr>
                <w:rStyle w:val="Hipervnculo"/>
                <w:rFonts w:ascii="Arial" w:hAnsi="Arial" w:cs="Arial"/>
                <w:noProof/>
              </w:rPr>
              <w:t>Example.</w:t>
            </w:r>
            <w:r w:rsidR="00D57D8A">
              <w:rPr>
                <w:noProof/>
                <w:webHidden/>
              </w:rPr>
              <w:tab/>
            </w:r>
            <w:r w:rsidR="00D57D8A">
              <w:rPr>
                <w:noProof/>
                <w:webHidden/>
              </w:rPr>
              <w:fldChar w:fldCharType="begin"/>
            </w:r>
            <w:r w:rsidR="00D57D8A">
              <w:rPr>
                <w:noProof/>
                <w:webHidden/>
              </w:rPr>
              <w:instrText xml:space="preserve"> PAGEREF _Toc50031217 \h </w:instrText>
            </w:r>
            <w:r w:rsidR="00D57D8A">
              <w:rPr>
                <w:noProof/>
                <w:webHidden/>
              </w:rPr>
            </w:r>
            <w:r w:rsidR="00D57D8A">
              <w:rPr>
                <w:noProof/>
                <w:webHidden/>
              </w:rPr>
              <w:fldChar w:fldCharType="separate"/>
            </w:r>
            <w:r w:rsidR="00D57D8A">
              <w:rPr>
                <w:noProof/>
                <w:webHidden/>
              </w:rPr>
              <w:t>109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18" w:history="1">
            <w:r w:rsidR="00D57D8A" w:rsidRPr="00251ABB">
              <w:rPr>
                <w:rStyle w:val="Hipervnculo"/>
                <w:rFonts w:ascii="Arial" w:hAnsi="Arial" w:cs="Arial"/>
                <w:caps/>
                <w:noProof/>
              </w:rPr>
              <w:t xml:space="preserve">5. </w:t>
            </w:r>
            <w:r w:rsidR="00D57D8A" w:rsidRPr="00251ABB">
              <w:rPr>
                <w:rStyle w:val="Hipervnculo"/>
                <w:rFonts w:ascii="Arial" w:hAnsi="Arial" w:cs="Arial"/>
                <w:noProof/>
              </w:rPr>
              <w:t>Conclusion</w:t>
            </w:r>
            <w:r w:rsidR="00D57D8A">
              <w:rPr>
                <w:noProof/>
                <w:webHidden/>
              </w:rPr>
              <w:tab/>
            </w:r>
            <w:r w:rsidR="00D57D8A">
              <w:rPr>
                <w:noProof/>
                <w:webHidden/>
              </w:rPr>
              <w:fldChar w:fldCharType="begin"/>
            </w:r>
            <w:r w:rsidR="00D57D8A">
              <w:rPr>
                <w:noProof/>
                <w:webHidden/>
              </w:rPr>
              <w:instrText xml:space="preserve"> PAGEREF _Toc50031218 \h </w:instrText>
            </w:r>
            <w:r w:rsidR="00D57D8A">
              <w:rPr>
                <w:noProof/>
                <w:webHidden/>
              </w:rPr>
            </w:r>
            <w:r w:rsidR="00D57D8A">
              <w:rPr>
                <w:noProof/>
                <w:webHidden/>
              </w:rPr>
              <w:fldChar w:fldCharType="separate"/>
            </w:r>
            <w:r w:rsidR="00D57D8A">
              <w:rPr>
                <w:noProof/>
                <w:webHidden/>
              </w:rPr>
              <w:t>113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19" w:history="1">
            <w:r w:rsidR="00D57D8A" w:rsidRPr="00251ABB">
              <w:rPr>
                <w:rStyle w:val="Hipervnculo"/>
                <w:rFonts w:ascii="Arial" w:hAnsi="Arial" w:cs="Arial"/>
                <w:caps/>
                <w:noProof/>
              </w:rPr>
              <w:t xml:space="preserve">6. </w:t>
            </w:r>
            <w:r w:rsidR="00D57D8A" w:rsidRPr="00251ABB">
              <w:rPr>
                <w:rStyle w:val="Hipervnculo"/>
                <w:rFonts w:ascii="Arial" w:hAnsi="Arial" w:cs="Arial"/>
                <w:noProof/>
              </w:rPr>
              <w:t>References</w:t>
            </w:r>
            <w:r w:rsidR="00D57D8A">
              <w:rPr>
                <w:noProof/>
                <w:webHidden/>
              </w:rPr>
              <w:tab/>
            </w:r>
            <w:r w:rsidR="00D57D8A">
              <w:rPr>
                <w:noProof/>
                <w:webHidden/>
              </w:rPr>
              <w:fldChar w:fldCharType="begin"/>
            </w:r>
            <w:r w:rsidR="00D57D8A">
              <w:rPr>
                <w:noProof/>
                <w:webHidden/>
              </w:rPr>
              <w:instrText xml:space="preserve"> PAGEREF _Toc50031219 \h </w:instrText>
            </w:r>
            <w:r w:rsidR="00D57D8A">
              <w:rPr>
                <w:noProof/>
                <w:webHidden/>
              </w:rPr>
            </w:r>
            <w:r w:rsidR="00D57D8A">
              <w:rPr>
                <w:noProof/>
                <w:webHidden/>
              </w:rPr>
              <w:fldChar w:fldCharType="separate"/>
            </w:r>
            <w:r w:rsidR="00D57D8A">
              <w:rPr>
                <w:noProof/>
                <w:webHidden/>
              </w:rPr>
              <w:t>113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20" w:history="1">
            <w:r w:rsidR="00D57D8A" w:rsidRPr="00251ABB">
              <w:rPr>
                <w:rStyle w:val="Hipervnculo"/>
                <w:noProof/>
              </w:rPr>
              <w:t>Casos confirmados y mortalidad por COVID-19 en Sudamérica: un análisis comparativo por millón de habitantes</w:t>
            </w:r>
            <w:r w:rsidR="00D57D8A">
              <w:rPr>
                <w:noProof/>
                <w:webHidden/>
              </w:rPr>
              <w:tab/>
            </w:r>
            <w:r w:rsidR="00D57D8A">
              <w:rPr>
                <w:noProof/>
                <w:webHidden/>
              </w:rPr>
              <w:fldChar w:fldCharType="begin"/>
            </w:r>
            <w:r w:rsidR="00D57D8A">
              <w:rPr>
                <w:noProof/>
                <w:webHidden/>
              </w:rPr>
              <w:instrText xml:space="preserve"> PAGEREF _Toc50031220 \h </w:instrText>
            </w:r>
            <w:r w:rsidR="00D57D8A">
              <w:rPr>
                <w:noProof/>
                <w:webHidden/>
              </w:rPr>
            </w:r>
            <w:r w:rsidR="00D57D8A">
              <w:rPr>
                <w:noProof/>
                <w:webHidden/>
              </w:rPr>
              <w:fldChar w:fldCharType="separate"/>
            </w:r>
            <w:r w:rsidR="00D57D8A">
              <w:rPr>
                <w:noProof/>
                <w:webHidden/>
              </w:rPr>
              <w:t>114</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221" w:history="1">
            <w:r w:rsidR="00D57D8A" w:rsidRPr="00251ABB">
              <w:rPr>
                <w:rStyle w:val="Hipervnculo"/>
                <w:noProof/>
              </w:rPr>
              <w:t>1.</w:t>
            </w:r>
            <w:r w:rsidR="00D57D8A">
              <w:rPr>
                <w:b w:val="0"/>
                <w:noProof/>
                <w:sz w:val="22"/>
                <w:szCs w:val="22"/>
                <w:lang w:val="en-US" w:eastAsia="en-US"/>
              </w:rPr>
              <w:tab/>
            </w:r>
            <w:r w:rsidR="00D57D8A" w:rsidRPr="00251ABB">
              <w:rPr>
                <w:rStyle w:val="Hipervnculo"/>
                <w:caps/>
                <w:noProof/>
              </w:rPr>
              <w:t>R</w:t>
            </w:r>
            <w:r w:rsidR="00D57D8A" w:rsidRPr="00251ABB">
              <w:rPr>
                <w:rStyle w:val="Hipervnculo"/>
                <w:noProof/>
              </w:rPr>
              <w:t>esumen</w:t>
            </w:r>
            <w:r w:rsidR="00D57D8A">
              <w:rPr>
                <w:noProof/>
                <w:webHidden/>
              </w:rPr>
              <w:tab/>
            </w:r>
            <w:r w:rsidR="00D57D8A">
              <w:rPr>
                <w:noProof/>
                <w:webHidden/>
              </w:rPr>
              <w:fldChar w:fldCharType="begin"/>
            </w:r>
            <w:r w:rsidR="00D57D8A">
              <w:rPr>
                <w:noProof/>
                <w:webHidden/>
              </w:rPr>
              <w:instrText xml:space="preserve"> PAGEREF _Toc50031221 \h </w:instrText>
            </w:r>
            <w:r w:rsidR="00D57D8A">
              <w:rPr>
                <w:noProof/>
                <w:webHidden/>
              </w:rPr>
            </w:r>
            <w:r w:rsidR="00D57D8A">
              <w:rPr>
                <w:noProof/>
                <w:webHidden/>
              </w:rPr>
              <w:fldChar w:fldCharType="separate"/>
            </w:r>
            <w:r w:rsidR="00D57D8A">
              <w:rPr>
                <w:noProof/>
                <w:webHidden/>
              </w:rPr>
              <w:t>114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22" w:history="1">
            <w:r w:rsidR="00D57D8A" w:rsidRPr="00251ABB">
              <w:rPr>
                <w:rStyle w:val="Hipervnculo"/>
                <w:noProof/>
              </w:rPr>
              <w:t>2. Introducción</w:t>
            </w:r>
            <w:r w:rsidR="00D57D8A">
              <w:rPr>
                <w:noProof/>
                <w:webHidden/>
              </w:rPr>
              <w:tab/>
            </w:r>
            <w:r w:rsidR="00D57D8A">
              <w:rPr>
                <w:noProof/>
                <w:webHidden/>
              </w:rPr>
              <w:fldChar w:fldCharType="begin"/>
            </w:r>
            <w:r w:rsidR="00D57D8A">
              <w:rPr>
                <w:noProof/>
                <w:webHidden/>
              </w:rPr>
              <w:instrText xml:space="preserve"> PAGEREF _Toc50031222 \h </w:instrText>
            </w:r>
            <w:r w:rsidR="00D57D8A">
              <w:rPr>
                <w:noProof/>
                <w:webHidden/>
              </w:rPr>
            </w:r>
            <w:r w:rsidR="00D57D8A">
              <w:rPr>
                <w:noProof/>
                <w:webHidden/>
              </w:rPr>
              <w:fldChar w:fldCharType="separate"/>
            </w:r>
            <w:r w:rsidR="00D57D8A">
              <w:rPr>
                <w:noProof/>
                <w:webHidden/>
              </w:rPr>
              <w:t>114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23" w:history="1">
            <w:r w:rsidR="00D57D8A" w:rsidRPr="00251ABB">
              <w:rPr>
                <w:rStyle w:val="Hipervnculo"/>
                <w:noProof/>
                <w:shd w:val="clear" w:color="auto" w:fill="FFFFFF"/>
              </w:rPr>
              <w:t>3. Condiciones experimentales</w:t>
            </w:r>
            <w:r w:rsidR="00D57D8A">
              <w:rPr>
                <w:noProof/>
                <w:webHidden/>
              </w:rPr>
              <w:tab/>
            </w:r>
            <w:r w:rsidR="00D57D8A">
              <w:rPr>
                <w:noProof/>
                <w:webHidden/>
              </w:rPr>
              <w:fldChar w:fldCharType="begin"/>
            </w:r>
            <w:r w:rsidR="00D57D8A">
              <w:rPr>
                <w:noProof/>
                <w:webHidden/>
              </w:rPr>
              <w:instrText xml:space="preserve"> PAGEREF _Toc50031223 \h </w:instrText>
            </w:r>
            <w:r w:rsidR="00D57D8A">
              <w:rPr>
                <w:noProof/>
                <w:webHidden/>
              </w:rPr>
            </w:r>
            <w:r w:rsidR="00D57D8A">
              <w:rPr>
                <w:noProof/>
                <w:webHidden/>
              </w:rPr>
              <w:fldChar w:fldCharType="separate"/>
            </w:r>
            <w:r w:rsidR="00D57D8A">
              <w:rPr>
                <w:noProof/>
                <w:webHidden/>
              </w:rPr>
              <w:t>115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24" w:history="1">
            <w:r w:rsidR="00D57D8A" w:rsidRPr="00251ABB">
              <w:rPr>
                <w:rStyle w:val="Hipervnculo"/>
                <w:noProof/>
                <w:shd w:val="clear" w:color="auto" w:fill="FFFFFF"/>
              </w:rPr>
              <w:t>4. Resultados y discusión</w:t>
            </w:r>
            <w:r w:rsidR="00D57D8A">
              <w:rPr>
                <w:noProof/>
                <w:webHidden/>
              </w:rPr>
              <w:tab/>
            </w:r>
            <w:r w:rsidR="00D57D8A">
              <w:rPr>
                <w:noProof/>
                <w:webHidden/>
              </w:rPr>
              <w:fldChar w:fldCharType="begin"/>
            </w:r>
            <w:r w:rsidR="00D57D8A">
              <w:rPr>
                <w:noProof/>
                <w:webHidden/>
              </w:rPr>
              <w:instrText xml:space="preserve"> PAGEREF _Toc50031224 \h </w:instrText>
            </w:r>
            <w:r w:rsidR="00D57D8A">
              <w:rPr>
                <w:noProof/>
                <w:webHidden/>
              </w:rPr>
            </w:r>
            <w:r w:rsidR="00D57D8A">
              <w:rPr>
                <w:noProof/>
                <w:webHidden/>
              </w:rPr>
              <w:fldChar w:fldCharType="separate"/>
            </w:r>
            <w:r w:rsidR="00D57D8A">
              <w:rPr>
                <w:noProof/>
                <w:webHidden/>
              </w:rPr>
              <w:t>116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25" w:history="1">
            <w:r w:rsidR="00D57D8A" w:rsidRPr="00251ABB">
              <w:rPr>
                <w:rStyle w:val="Hipervnculo"/>
                <w:noProof/>
              </w:rPr>
              <w:t>5. Conclusiones</w:t>
            </w:r>
            <w:r w:rsidR="00D57D8A">
              <w:rPr>
                <w:noProof/>
                <w:webHidden/>
              </w:rPr>
              <w:tab/>
            </w:r>
            <w:r w:rsidR="00D57D8A">
              <w:rPr>
                <w:noProof/>
                <w:webHidden/>
              </w:rPr>
              <w:fldChar w:fldCharType="begin"/>
            </w:r>
            <w:r w:rsidR="00D57D8A">
              <w:rPr>
                <w:noProof/>
                <w:webHidden/>
              </w:rPr>
              <w:instrText xml:space="preserve"> PAGEREF _Toc50031225 \h </w:instrText>
            </w:r>
            <w:r w:rsidR="00D57D8A">
              <w:rPr>
                <w:noProof/>
                <w:webHidden/>
              </w:rPr>
            </w:r>
            <w:r w:rsidR="00D57D8A">
              <w:rPr>
                <w:noProof/>
                <w:webHidden/>
              </w:rPr>
              <w:fldChar w:fldCharType="separate"/>
            </w:r>
            <w:r w:rsidR="00D57D8A">
              <w:rPr>
                <w:noProof/>
                <w:webHidden/>
              </w:rPr>
              <w:t>123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26" w:history="1">
            <w:r w:rsidR="00D57D8A" w:rsidRPr="00251ABB">
              <w:rPr>
                <w:rStyle w:val="Hipervnculo"/>
                <w:noProof/>
              </w:rPr>
              <w:t>6. Bibliografía</w:t>
            </w:r>
            <w:r w:rsidR="00D57D8A">
              <w:rPr>
                <w:noProof/>
                <w:webHidden/>
              </w:rPr>
              <w:tab/>
            </w:r>
            <w:r w:rsidR="00D57D8A">
              <w:rPr>
                <w:noProof/>
                <w:webHidden/>
              </w:rPr>
              <w:fldChar w:fldCharType="begin"/>
            </w:r>
            <w:r w:rsidR="00D57D8A">
              <w:rPr>
                <w:noProof/>
                <w:webHidden/>
              </w:rPr>
              <w:instrText xml:space="preserve"> PAGEREF _Toc50031226 \h </w:instrText>
            </w:r>
            <w:r w:rsidR="00D57D8A">
              <w:rPr>
                <w:noProof/>
                <w:webHidden/>
              </w:rPr>
            </w:r>
            <w:r w:rsidR="00D57D8A">
              <w:rPr>
                <w:noProof/>
                <w:webHidden/>
              </w:rPr>
              <w:fldChar w:fldCharType="separate"/>
            </w:r>
            <w:r w:rsidR="00D57D8A">
              <w:rPr>
                <w:noProof/>
                <w:webHidden/>
              </w:rPr>
              <w:t>123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27" w:history="1">
            <w:r w:rsidR="00D57D8A" w:rsidRPr="00251ABB">
              <w:rPr>
                <w:rStyle w:val="Hipervnculo"/>
                <w:rFonts w:ascii="Arial" w:hAnsi="Arial" w:cs="Arial"/>
                <w:i/>
                <w:caps/>
                <w:noProof/>
              </w:rPr>
              <w:t>1. R</w:t>
            </w:r>
            <w:r w:rsidR="00D57D8A" w:rsidRPr="00251ABB">
              <w:rPr>
                <w:rStyle w:val="Hipervnculo"/>
                <w:rFonts w:ascii="Arial" w:hAnsi="Arial" w:cs="Arial"/>
                <w:i/>
                <w:noProof/>
              </w:rPr>
              <w:t>esumen</w:t>
            </w:r>
            <w:r w:rsidR="00D57D8A">
              <w:rPr>
                <w:noProof/>
                <w:webHidden/>
              </w:rPr>
              <w:tab/>
            </w:r>
            <w:r w:rsidR="00D57D8A">
              <w:rPr>
                <w:noProof/>
                <w:webHidden/>
              </w:rPr>
              <w:fldChar w:fldCharType="begin"/>
            </w:r>
            <w:r w:rsidR="00D57D8A">
              <w:rPr>
                <w:noProof/>
                <w:webHidden/>
              </w:rPr>
              <w:instrText xml:space="preserve"> PAGEREF _Toc50031227 \h </w:instrText>
            </w:r>
            <w:r w:rsidR="00D57D8A">
              <w:rPr>
                <w:noProof/>
                <w:webHidden/>
              </w:rPr>
            </w:r>
            <w:r w:rsidR="00D57D8A">
              <w:rPr>
                <w:noProof/>
                <w:webHidden/>
              </w:rPr>
              <w:fldChar w:fldCharType="separate"/>
            </w:r>
            <w:r w:rsidR="00D57D8A">
              <w:rPr>
                <w:noProof/>
                <w:webHidden/>
              </w:rPr>
              <w:t>125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28"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ntroducción</w:t>
            </w:r>
            <w:r w:rsidR="00D57D8A">
              <w:rPr>
                <w:noProof/>
                <w:webHidden/>
              </w:rPr>
              <w:tab/>
            </w:r>
            <w:r w:rsidR="00D57D8A">
              <w:rPr>
                <w:noProof/>
                <w:webHidden/>
              </w:rPr>
              <w:fldChar w:fldCharType="begin"/>
            </w:r>
            <w:r w:rsidR="00D57D8A">
              <w:rPr>
                <w:noProof/>
                <w:webHidden/>
              </w:rPr>
              <w:instrText xml:space="preserve"> PAGEREF _Toc50031228 \h </w:instrText>
            </w:r>
            <w:r w:rsidR="00D57D8A">
              <w:rPr>
                <w:noProof/>
                <w:webHidden/>
              </w:rPr>
            </w:r>
            <w:r w:rsidR="00D57D8A">
              <w:rPr>
                <w:noProof/>
                <w:webHidden/>
              </w:rPr>
              <w:fldChar w:fldCharType="separate"/>
            </w:r>
            <w:r w:rsidR="00D57D8A">
              <w:rPr>
                <w:noProof/>
                <w:webHidden/>
              </w:rPr>
              <w:t>125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29" w:history="1">
            <w:r w:rsidR="00D57D8A" w:rsidRPr="00251ABB">
              <w:rPr>
                <w:rStyle w:val="Hipervnculo"/>
                <w:rFonts w:ascii="Arial" w:hAnsi="Arial" w:cs="Arial"/>
                <w:i/>
                <w:caps/>
                <w:noProof/>
              </w:rPr>
              <w:t>3. M</w:t>
            </w:r>
            <w:r w:rsidR="00D57D8A" w:rsidRPr="00251ABB">
              <w:rPr>
                <w:rStyle w:val="Hipervnculo"/>
                <w:rFonts w:ascii="Arial" w:hAnsi="Arial" w:cs="Arial"/>
                <w:i/>
                <w:noProof/>
              </w:rPr>
              <w:t>odelos y regularización del problema inverso</w:t>
            </w:r>
            <w:r w:rsidR="00D57D8A">
              <w:rPr>
                <w:noProof/>
                <w:webHidden/>
              </w:rPr>
              <w:tab/>
            </w:r>
            <w:r w:rsidR="00D57D8A">
              <w:rPr>
                <w:noProof/>
                <w:webHidden/>
              </w:rPr>
              <w:fldChar w:fldCharType="begin"/>
            </w:r>
            <w:r w:rsidR="00D57D8A">
              <w:rPr>
                <w:noProof/>
                <w:webHidden/>
              </w:rPr>
              <w:instrText xml:space="preserve"> PAGEREF _Toc50031229 \h </w:instrText>
            </w:r>
            <w:r w:rsidR="00D57D8A">
              <w:rPr>
                <w:noProof/>
                <w:webHidden/>
              </w:rPr>
            </w:r>
            <w:r w:rsidR="00D57D8A">
              <w:rPr>
                <w:noProof/>
                <w:webHidden/>
              </w:rPr>
              <w:fldChar w:fldCharType="separate"/>
            </w:r>
            <w:r w:rsidR="00D57D8A">
              <w:rPr>
                <w:noProof/>
                <w:webHidden/>
              </w:rPr>
              <w:t>126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30" w:history="1">
            <w:r w:rsidR="00D57D8A" w:rsidRPr="00251ABB">
              <w:rPr>
                <w:rStyle w:val="Hipervnculo"/>
                <w:rFonts w:ascii="Arial" w:hAnsi="Arial" w:cs="Arial"/>
                <w:i/>
                <w:caps/>
                <w:noProof/>
              </w:rPr>
              <w:t xml:space="preserve">4. </w:t>
            </w:r>
            <w:r w:rsidR="00D57D8A" w:rsidRPr="00251ABB">
              <w:rPr>
                <w:rStyle w:val="Hipervnculo"/>
                <w:rFonts w:ascii="Arial" w:hAnsi="Arial" w:cs="Arial"/>
                <w:i/>
                <w:noProof/>
              </w:rPr>
              <w:t>Ejemplos numéricos y discusión</w:t>
            </w:r>
            <w:r w:rsidR="00D57D8A">
              <w:rPr>
                <w:noProof/>
                <w:webHidden/>
              </w:rPr>
              <w:tab/>
            </w:r>
            <w:r w:rsidR="00D57D8A">
              <w:rPr>
                <w:noProof/>
                <w:webHidden/>
              </w:rPr>
              <w:fldChar w:fldCharType="begin"/>
            </w:r>
            <w:r w:rsidR="00D57D8A">
              <w:rPr>
                <w:noProof/>
                <w:webHidden/>
              </w:rPr>
              <w:instrText xml:space="preserve"> PAGEREF _Toc50031230 \h </w:instrText>
            </w:r>
            <w:r w:rsidR="00D57D8A">
              <w:rPr>
                <w:noProof/>
                <w:webHidden/>
              </w:rPr>
            </w:r>
            <w:r w:rsidR="00D57D8A">
              <w:rPr>
                <w:noProof/>
                <w:webHidden/>
              </w:rPr>
              <w:fldChar w:fldCharType="separate"/>
            </w:r>
            <w:r w:rsidR="00D57D8A">
              <w:rPr>
                <w:noProof/>
                <w:webHidden/>
              </w:rPr>
              <w:t>130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31" w:history="1">
            <w:r w:rsidR="00D57D8A" w:rsidRPr="00251ABB">
              <w:rPr>
                <w:rStyle w:val="Hipervnculo"/>
                <w:rFonts w:ascii="Arial" w:hAnsi="Arial" w:cs="Arial"/>
                <w:i/>
                <w:caps/>
                <w:noProof/>
              </w:rPr>
              <w:t xml:space="preserve">5. </w:t>
            </w:r>
            <w:r w:rsidR="00D57D8A" w:rsidRPr="00251ABB">
              <w:rPr>
                <w:rStyle w:val="Hipervnculo"/>
                <w:rFonts w:ascii="Arial" w:hAnsi="Arial" w:cs="Arial"/>
                <w:i/>
                <w:noProof/>
              </w:rPr>
              <w:t>Conclusiones</w:t>
            </w:r>
            <w:r w:rsidR="00D57D8A">
              <w:rPr>
                <w:noProof/>
                <w:webHidden/>
              </w:rPr>
              <w:tab/>
            </w:r>
            <w:r w:rsidR="00D57D8A">
              <w:rPr>
                <w:noProof/>
                <w:webHidden/>
              </w:rPr>
              <w:fldChar w:fldCharType="begin"/>
            </w:r>
            <w:r w:rsidR="00D57D8A">
              <w:rPr>
                <w:noProof/>
                <w:webHidden/>
              </w:rPr>
              <w:instrText xml:space="preserve"> PAGEREF _Toc50031231 \h </w:instrText>
            </w:r>
            <w:r w:rsidR="00D57D8A">
              <w:rPr>
                <w:noProof/>
                <w:webHidden/>
              </w:rPr>
            </w:r>
            <w:r w:rsidR="00D57D8A">
              <w:rPr>
                <w:noProof/>
                <w:webHidden/>
              </w:rPr>
              <w:fldChar w:fldCharType="separate"/>
            </w:r>
            <w:r w:rsidR="00D57D8A">
              <w:rPr>
                <w:noProof/>
                <w:webHidden/>
              </w:rPr>
              <w:t>136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32" w:history="1">
            <w:r w:rsidR="00D57D8A" w:rsidRPr="00251ABB">
              <w:rPr>
                <w:rStyle w:val="Hipervnculo"/>
                <w:rFonts w:ascii="Arial" w:hAnsi="Arial" w:cs="Arial"/>
                <w:i/>
                <w:caps/>
                <w:noProof/>
              </w:rPr>
              <w:t xml:space="preserve">6. </w:t>
            </w:r>
            <w:r w:rsidR="00D57D8A" w:rsidRPr="00251ABB">
              <w:rPr>
                <w:rStyle w:val="Hipervnculo"/>
                <w:rFonts w:ascii="Arial" w:hAnsi="Arial" w:cs="Arial"/>
                <w:i/>
                <w:noProof/>
              </w:rPr>
              <w:t>Agradecimientos</w:t>
            </w:r>
            <w:r w:rsidR="00D57D8A">
              <w:rPr>
                <w:noProof/>
                <w:webHidden/>
              </w:rPr>
              <w:tab/>
            </w:r>
            <w:r w:rsidR="00D57D8A">
              <w:rPr>
                <w:noProof/>
                <w:webHidden/>
              </w:rPr>
              <w:fldChar w:fldCharType="begin"/>
            </w:r>
            <w:r w:rsidR="00D57D8A">
              <w:rPr>
                <w:noProof/>
                <w:webHidden/>
              </w:rPr>
              <w:instrText xml:space="preserve"> PAGEREF _Toc50031232 \h </w:instrText>
            </w:r>
            <w:r w:rsidR="00D57D8A">
              <w:rPr>
                <w:noProof/>
                <w:webHidden/>
              </w:rPr>
            </w:r>
            <w:r w:rsidR="00D57D8A">
              <w:rPr>
                <w:noProof/>
                <w:webHidden/>
              </w:rPr>
              <w:fldChar w:fldCharType="separate"/>
            </w:r>
            <w:r w:rsidR="00D57D8A">
              <w:rPr>
                <w:noProof/>
                <w:webHidden/>
              </w:rPr>
              <w:t>136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33" w:history="1">
            <w:r w:rsidR="00D57D8A" w:rsidRPr="00251ABB">
              <w:rPr>
                <w:rStyle w:val="Hipervnculo"/>
                <w:rFonts w:ascii="Arial" w:hAnsi="Arial" w:cs="Arial"/>
                <w:i/>
                <w:caps/>
                <w:noProof/>
              </w:rPr>
              <w:t xml:space="preserve">7. </w:t>
            </w:r>
            <w:r w:rsidR="00D57D8A" w:rsidRPr="00251ABB">
              <w:rPr>
                <w:rStyle w:val="Hipervnculo"/>
                <w:rFonts w:ascii="Arial" w:hAnsi="Arial" w:cs="Arial"/>
                <w:i/>
                <w:noProof/>
              </w:rPr>
              <w:t>Bibliografía</w:t>
            </w:r>
            <w:r w:rsidR="00D57D8A">
              <w:rPr>
                <w:noProof/>
                <w:webHidden/>
              </w:rPr>
              <w:tab/>
            </w:r>
            <w:r w:rsidR="00D57D8A">
              <w:rPr>
                <w:noProof/>
                <w:webHidden/>
              </w:rPr>
              <w:fldChar w:fldCharType="begin"/>
            </w:r>
            <w:r w:rsidR="00D57D8A">
              <w:rPr>
                <w:noProof/>
                <w:webHidden/>
              </w:rPr>
              <w:instrText xml:space="preserve"> PAGEREF _Toc50031233 \h </w:instrText>
            </w:r>
            <w:r w:rsidR="00D57D8A">
              <w:rPr>
                <w:noProof/>
                <w:webHidden/>
              </w:rPr>
            </w:r>
            <w:r w:rsidR="00D57D8A">
              <w:rPr>
                <w:noProof/>
                <w:webHidden/>
              </w:rPr>
              <w:fldChar w:fldCharType="separate"/>
            </w:r>
            <w:r w:rsidR="00D57D8A">
              <w:rPr>
                <w:noProof/>
                <w:webHidden/>
              </w:rPr>
              <w:t>136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34" w:history="1">
            <w:r w:rsidR="00D57D8A" w:rsidRPr="00251ABB">
              <w:rPr>
                <w:rStyle w:val="Hipervnculo"/>
                <w:noProof/>
              </w:rPr>
              <w:t>Metodología Bootstrap en la predicción del Índice de la Bolsa de Valores de Lima, Perú (S&amp;P/BVL)</w:t>
            </w:r>
            <w:r w:rsidR="00D57D8A">
              <w:rPr>
                <w:noProof/>
                <w:webHidden/>
              </w:rPr>
              <w:tab/>
            </w:r>
            <w:r w:rsidR="00D57D8A">
              <w:rPr>
                <w:noProof/>
                <w:webHidden/>
              </w:rPr>
              <w:fldChar w:fldCharType="begin"/>
            </w:r>
            <w:r w:rsidR="00D57D8A">
              <w:rPr>
                <w:noProof/>
                <w:webHidden/>
              </w:rPr>
              <w:instrText xml:space="preserve"> PAGEREF _Toc50031234 \h </w:instrText>
            </w:r>
            <w:r w:rsidR="00D57D8A">
              <w:rPr>
                <w:noProof/>
                <w:webHidden/>
              </w:rPr>
            </w:r>
            <w:r w:rsidR="00D57D8A">
              <w:rPr>
                <w:noProof/>
                <w:webHidden/>
              </w:rPr>
              <w:fldChar w:fldCharType="separate"/>
            </w:r>
            <w:r w:rsidR="00D57D8A">
              <w:rPr>
                <w:noProof/>
                <w:webHidden/>
              </w:rPr>
              <w:t>137</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235" w:history="1">
            <w:r w:rsidR="00D57D8A" w:rsidRPr="00251ABB">
              <w:rPr>
                <w:rStyle w:val="Hipervnculo"/>
                <w:noProof/>
              </w:rPr>
              <w:t>1.</w:t>
            </w:r>
            <w:r w:rsidR="00D57D8A">
              <w:rPr>
                <w:b w:val="0"/>
                <w:noProof/>
                <w:sz w:val="22"/>
                <w:szCs w:val="22"/>
                <w:lang w:val="en-US" w:eastAsia="en-US"/>
              </w:rPr>
              <w:tab/>
            </w:r>
            <w:r w:rsidR="00D57D8A" w:rsidRPr="00251ABB">
              <w:rPr>
                <w:rStyle w:val="Hipervnculo"/>
                <w:noProof/>
              </w:rPr>
              <w:t>Resumen</w:t>
            </w:r>
            <w:r w:rsidR="00D57D8A">
              <w:rPr>
                <w:noProof/>
                <w:webHidden/>
              </w:rPr>
              <w:tab/>
            </w:r>
            <w:r w:rsidR="00D57D8A">
              <w:rPr>
                <w:noProof/>
                <w:webHidden/>
              </w:rPr>
              <w:fldChar w:fldCharType="begin"/>
            </w:r>
            <w:r w:rsidR="00D57D8A">
              <w:rPr>
                <w:noProof/>
                <w:webHidden/>
              </w:rPr>
              <w:instrText xml:space="preserve"> PAGEREF _Toc50031235 \h </w:instrText>
            </w:r>
            <w:r w:rsidR="00D57D8A">
              <w:rPr>
                <w:noProof/>
                <w:webHidden/>
              </w:rPr>
            </w:r>
            <w:r w:rsidR="00D57D8A">
              <w:rPr>
                <w:noProof/>
                <w:webHidden/>
              </w:rPr>
              <w:fldChar w:fldCharType="separate"/>
            </w:r>
            <w:r w:rsidR="00D57D8A">
              <w:rPr>
                <w:noProof/>
                <w:webHidden/>
              </w:rPr>
              <w:t>137</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236" w:history="1">
            <w:r w:rsidR="00D57D8A" w:rsidRPr="00251ABB">
              <w:rPr>
                <w:rStyle w:val="Hipervnculo"/>
                <w:noProof/>
              </w:rPr>
              <w:t>2.</w:t>
            </w:r>
            <w:r w:rsidR="00D57D8A">
              <w:rPr>
                <w:b w:val="0"/>
                <w:noProof/>
                <w:sz w:val="22"/>
                <w:szCs w:val="22"/>
                <w:lang w:val="en-US" w:eastAsia="en-US"/>
              </w:rPr>
              <w:tab/>
            </w:r>
            <w:r w:rsidR="00D57D8A" w:rsidRPr="00251ABB">
              <w:rPr>
                <w:rStyle w:val="Hipervnculo"/>
                <w:noProof/>
              </w:rPr>
              <w:t>Introducción</w:t>
            </w:r>
            <w:r w:rsidR="00D57D8A">
              <w:rPr>
                <w:noProof/>
                <w:webHidden/>
              </w:rPr>
              <w:tab/>
            </w:r>
            <w:r w:rsidR="00D57D8A">
              <w:rPr>
                <w:noProof/>
                <w:webHidden/>
              </w:rPr>
              <w:fldChar w:fldCharType="begin"/>
            </w:r>
            <w:r w:rsidR="00D57D8A">
              <w:rPr>
                <w:noProof/>
                <w:webHidden/>
              </w:rPr>
              <w:instrText xml:space="preserve"> PAGEREF _Toc50031236 \h </w:instrText>
            </w:r>
            <w:r w:rsidR="00D57D8A">
              <w:rPr>
                <w:noProof/>
                <w:webHidden/>
              </w:rPr>
            </w:r>
            <w:r w:rsidR="00D57D8A">
              <w:rPr>
                <w:noProof/>
                <w:webHidden/>
              </w:rPr>
              <w:fldChar w:fldCharType="separate"/>
            </w:r>
            <w:r w:rsidR="00D57D8A">
              <w:rPr>
                <w:noProof/>
                <w:webHidden/>
              </w:rPr>
              <w:t>137</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237" w:history="1">
            <w:r w:rsidR="00D57D8A" w:rsidRPr="00251ABB">
              <w:rPr>
                <w:rStyle w:val="Hipervnculo"/>
                <w:noProof/>
              </w:rPr>
              <w:t>2.</w:t>
            </w:r>
            <w:r w:rsidR="00D57D8A">
              <w:rPr>
                <w:b w:val="0"/>
                <w:noProof/>
                <w:sz w:val="22"/>
                <w:szCs w:val="22"/>
                <w:lang w:val="en-US" w:eastAsia="en-US"/>
              </w:rPr>
              <w:tab/>
            </w:r>
            <w:r w:rsidR="00D57D8A" w:rsidRPr="00251ABB">
              <w:rPr>
                <w:rStyle w:val="Hipervnculo"/>
                <w:noProof/>
              </w:rPr>
              <w:t>Condiciones experimentales</w:t>
            </w:r>
            <w:r w:rsidR="00D57D8A">
              <w:rPr>
                <w:noProof/>
                <w:webHidden/>
              </w:rPr>
              <w:tab/>
            </w:r>
            <w:r w:rsidR="00D57D8A">
              <w:rPr>
                <w:noProof/>
                <w:webHidden/>
              </w:rPr>
              <w:fldChar w:fldCharType="begin"/>
            </w:r>
            <w:r w:rsidR="00D57D8A">
              <w:rPr>
                <w:noProof/>
                <w:webHidden/>
              </w:rPr>
              <w:instrText xml:space="preserve"> PAGEREF _Toc50031237 \h </w:instrText>
            </w:r>
            <w:r w:rsidR="00D57D8A">
              <w:rPr>
                <w:noProof/>
                <w:webHidden/>
              </w:rPr>
            </w:r>
            <w:r w:rsidR="00D57D8A">
              <w:rPr>
                <w:noProof/>
                <w:webHidden/>
              </w:rPr>
              <w:fldChar w:fldCharType="separate"/>
            </w:r>
            <w:r w:rsidR="00D57D8A">
              <w:rPr>
                <w:noProof/>
                <w:webHidden/>
              </w:rPr>
              <w:t>139</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238" w:history="1">
            <w:r w:rsidR="00D57D8A" w:rsidRPr="00251ABB">
              <w:rPr>
                <w:rStyle w:val="Hipervnculo"/>
                <w:noProof/>
              </w:rPr>
              <w:t>3.</w:t>
            </w:r>
            <w:r w:rsidR="00D57D8A">
              <w:rPr>
                <w:b w:val="0"/>
                <w:noProof/>
                <w:sz w:val="22"/>
                <w:szCs w:val="22"/>
                <w:lang w:val="en-US" w:eastAsia="en-US"/>
              </w:rPr>
              <w:tab/>
            </w:r>
            <w:r w:rsidR="00D57D8A" w:rsidRPr="00251ABB">
              <w:rPr>
                <w:rStyle w:val="Hipervnculo"/>
                <w:noProof/>
              </w:rPr>
              <w:t>Resultados y discusión</w:t>
            </w:r>
            <w:r w:rsidR="00D57D8A">
              <w:rPr>
                <w:noProof/>
                <w:webHidden/>
              </w:rPr>
              <w:tab/>
            </w:r>
            <w:r w:rsidR="00D57D8A">
              <w:rPr>
                <w:noProof/>
                <w:webHidden/>
              </w:rPr>
              <w:fldChar w:fldCharType="begin"/>
            </w:r>
            <w:r w:rsidR="00D57D8A">
              <w:rPr>
                <w:noProof/>
                <w:webHidden/>
              </w:rPr>
              <w:instrText xml:space="preserve"> PAGEREF _Toc50031238 \h </w:instrText>
            </w:r>
            <w:r w:rsidR="00D57D8A">
              <w:rPr>
                <w:noProof/>
                <w:webHidden/>
              </w:rPr>
            </w:r>
            <w:r w:rsidR="00D57D8A">
              <w:rPr>
                <w:noProof/>
                <w:webHidden/>
              </w:rPr>
              <w:fldChar w:fldCharType="separate"/>
            </w:r>
            <w:r w:rsidR="00D57D8A">
              <w:rPr>
                <w:noProof/>
                <w:webHidden/>
              </w:rPr>
              <w:t>141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39" w:history="1">
            <w:r w:rsidR="00D57D8A" w:rsidRPr="00251ABB">
              <w:rPr>
                <w:rStyle w:val="Hipervnculo"/>
                <w:noProof/>
              </w:rPr>
              <w:t>4.   Conclusiones</w:t>
            </w:r>
            <w:r w:rsidR="00D57D8A">
              <w:rPr>
                <w:noProof/>
                <w:webHidden/>
              </w:rPr>
              <w:tab/>
            </w:r>
            <w:r w:rsidR="00D57D8A">
              <w:rPr>
                <w:noProof/>
                <w:webHidden/>
              </w:rPr>
              <w:fldChar w:fldCharType="begin"/>
            </w:r>
            <w:r w:rsidR="00D57D8A">
              <w:rPr>
                <w:noProof/>
                <w:webHidden/>
              </w:rPr>
              <w:instrText xml:space="preserve"> PAGEREF _Toc50031239 \h </w:instrText>
            </w:r>
            <w:r w:rsidR="00D57D8A">
              <w:rPr>
                <w:noProof/>
                <w:webHidden/>
              </w:rPr>
            </w:r>
            <w:r w:rsidR="00D57D8A">
              <w:rPr>
                <w:noProof/>
                <w:webHidden/>
              </w:rPr>
              <w:fldChar w:fldCharType="separate"/>
            </w:r>
            <w:r w:rsidR="00D57D8A">
              <w:rPr>
                <w:noProof/>
                <w:webHidden/>
              </w:rPr>
              <w:t>145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40" w:history="1">
            <w:r w:rsidR="00D57D8A" w:rsidRPr="00251ABB">
              <w:rPr>
                <w:rStyle w:val="Hipervnculo"/>
                <w:noProof/>
              </w:rPr>
              <w:t>5. Bibliografía</w:t>
            </w:r>
            <w:r w:rsidR="00D57D8A">
              <w:rPr>
                <w:noProof/>
                <w:webHidden/>
              </w:rPr>
              <w:tab/>
            </w:r>
            <w:r w:rsidR="00D57D8A">
              <w:rPr>
                <w:noProof/>
                <w:webHidden/>
              </w:rPr>
              <w:fldChar w:fldCharType="begin"/>
            </w:r>
            <w:r w:rsidR="00D57D8A">
              <w:rPr>
                <w:noProof/>
                <w:webHidden/>
              </w:rPr>
              <w:instrText xml:space="preserve"> PAGEREF _Toc50031240 \h </w:instrText>
            </w:r>
            <w:r w:rsidR="00D57D8A">
              <w:rPr>
                <w:noProof/>
                <w:webHidden/>
              </w:rPr>
            </w:r>
            <w:r w:rsidR="00D57D8A">
              <w:rPr>
                <w:noProof/>
                <w:webHidden/>
              </w:rPr>
              <w:fldChar w:fldCharType="separate"/>
            </w:r>
            <w:r w:rsidR="00D57D8A">
              <w:rPr>
                <w:noProof/>
                <w:webHidden/>
              </w:rPr>
              <w:t>146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41" w:history="1">
            <w:r w:rsidR="00D57D8A" w:rsidRPr="00251ABB">
              <w:rPr>
                <w:rStyle w:val="Hipervnculo"/>
                <w:noProof/>
              </w:rPr>
              <w:t>Determinación del potencial para la producción de microalgas en México, mediante el uso de modelos en un SIG</w:t>
            </w:r>
            <w:r w:rsidR="00D57D8A">
              <w:rPr>
                <w:noProof/>
                <w:webHidden/>
              </w:rPr>
              <w:tab/>
            </w:r>
            <w:r w:rsidR="00D57D8A">
              <w:rPr>
                <w:noProof/>
                <w:webHidden/>
              </w:rPr>
              <w:fldChar w:fldCharType="begin"/>
            </w:r>
            <w:r w:rsidR="00D57D8A">
              <w:rPr>
                <w:noProof/>
                <w:webHidden/>
              </w:rPr>
              <w:instrText xml:space="preserve"> PAGEREF _Toc50031241 \h </w:instrText>
            </w:r>
            <w:r w:rsidR="00D57D8A">
              <w:rPr>
                <w:noProof/>
                <w:webHidden/>
              </w:rPr>
            </w:r>
            <w:r w:rsidR="00D57D8A">
              <w:rPr>
                <w:noProof/>
                <w:webHidden/>
              </w:rPr>
              <w:fldChar w:fldCharType="separate"/>
            </w:r>
            <w:r w:rsidR="00D57D8A">
              <w:rPr>
                <w:noProof/>
                <w:webHidden/>
              </w:rPr>
              <w:t>146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42" w:history="1">
            <w:r w:rsidR="00D57D8A" w:rsidRPr="00251ABB">
              <w:rPr>
                <w:rStyle w:val="Hipervnculo"/>
                <w:rFonts w:ascii="Arial" w:hAnsi="Arial" w:cs="Arial"/>
                <w:i/>
                <w:caps/>
                <w:noProof/>
              </w:rPr>
              <w:t>1. R</w:t>
            </w:r>
            <w:r w:rsidR="00D57D8A" w:rsidRPr="00251ABB">
              <w:rPr>
                <w:rStyle w:val="Hipervnculo"/>
                <w:rFonts w:ascii="Arial" w:hAnsi="Arial" w:cs="Arial"/>
                <w:i/>
                <w:noProof/>
              </w:rPr>
              <w:t>esumen</w:t>
            </w:r>
            <w:r w:rsidR="00D57D8A">
              <w:rPr>
                <w:noProof/>
                <w:webHidden/>
              </w:rPr>
              <w:tab/>
            </w:r>
            <w:r w:rsidR="00D57D8A">
              <w:rPr>
                <w:noProof/>
                <w:webHidden/>
              </w:rPr>
              <w:fldChar w:fldCharType="begin"/>
            </w:r>
            <w:r w:rsidR="00D57D8A">
              <w:rPr>
                <w:noProof/>
                <w:webHidden/>
              </w:rPr>
              <w:instrText xml:space="preserve"> PAGEREF _Toc50031242 \h </w:instrText>
            </w:r>
            <w:r w:rsidR="00D57D8A">
              <w:rPr>
                <w:noProof/>
                <w:webHidden/>
              </w:rPr>
            </w:r>
            <w:r w:rsidR="00D57D8A">
              <w:rPr>
                <w:noProof/>
                <w:webHidden/>
              </w:rPr>
              <w:fldChar w:fldCharType="separate"/>
            </w:r>
            <w:r w:rsidR="00D57D8A">
              <w:rPr>
                <w:noProof/>
                <w:webHidden/>
              </w:rPr>
              <w:t>147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43"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ntroducción</w:t>
            </w:r>
            <w:r w:rsidR="00D57D8A">
              <w:rPr>
                <w:noProof/>
                <w:webHidden/>
              </w:rPr>
              <w:tab/>
            </w:r>
            <w:r w:rsidR="00D57D8A">
              <w:rPr>
                <w:noProof/>
                <w:webHidden/>
              </w:rPr>
              <w:fldChar w:fldCharType="begin"/>
            </w:r>
            <w:r w:rsidR="00D57D8A">
              <w:rPr>
                <w:noProof/>
                <w:webHidden/>
              </w:rPr>
              <w:instrText xml:space="preserve"> PAGEREF _Toc50031243 \h </w:instrText>
            </w:r>
            <w:r w:rsidR="00D57D8A">
              <w:rPr>
                <w:noProof/>
                <w:webHidden/>
              </w:rPr>
            </w:r>
            <w:r w:rsidR="00D57D8A">
              <w:rPr>
                <w:noProof/>
                <w:webHidden/>
              </w:rPr>
              <w:fldChar w:fldCharType="separate"/>
            </w:r>
            <w:r w:rsidR="00D57D8A">
              <w:rPr>
                <w:noProof/>
                <w:webHidden/>
              </w:rPr>
              <w:t>147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44" w:history="1">
            <w:r w:rsidR="00D57D8A" w:rsidRPr="00251ABB">
              <w:rPr>
                <w:rStyle w:val="Hipervnculo"/>
                <w:rFonts w:ascii="Arial" w:hAnsi="Arial" w:cs="Arial"/>
                <w:i/>
                <w:caps/>
                <w:noProof/>
              </w:rPr>
              <w:t>3. C</w:t>
            </w:r>
            <w:r w:rsidR="00D57D8A" w:rsidRPr="00251ABB">
              <w:rPr>
                <w:rStyle w:val="Hipervnculo"/>
                <w:rFonts w:ascii="Arial" w:hAnsi="Arial" w:cs="Arial"/>
                <w:i/>
                <w:noProof/>
              </w:rPr>
              <w:t>ondiciones experimentales</w:t>
            </w:r>
            <w:r w:rsidR="00D57D8A">
              <w:rPr>
                <w:noProof/>
                <w:webHidden/>
              </w:rPr>
              <w:tab/>
            </w:r>
            <w:r w:rsidR="00D57D8A">
              <w:rPr>
                <w:noProof/>
                <w:webHidden/>
              </w:rPr>
              <w:fldChar w:fldCharType="begin"/>
            </w:r>
            <w:r w:rsidR="00D57D8A">
              <w:rPr>
                <w:noProof/>
                <w:webHidden/>
              </w:rPr>
              <w:instrText xml:space="preserve"> PAGEREF _Toc50031244 \h </w:instrText>
            </w:r>
            <w:r w:rsidR="00D57D8A">
              <w:rPr>
                <w:noProof/>
                <w:webHidden/>
              </w:rPr>
            </w:r>
            <w:r w:rsidR="00D57D8A">
              <w:rPr>
                <w:noProof/>
                <w:webHidden/>
              </w:rPr>
              <w:fldChar w:fldCharType="separate"/>
            </w:r>
            <w:r w:rsidR="00D57D8A">
              <w:rPr>
                <w:noProof/>
                <w:webHidden/>
              </w:rPr>
              <w:t>148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45" w:history="1">
            <w:r w:rsidR="00D57D8A" w:rsidRPr="00251ABB">
              <w:rPr>
                <w:rStyle w:val="Hipervnculo"/>
                <w:rFonts w:ascii="Arial" w:hAnsi="Arial" w:cs="Arial"/>
                <w:i/>
                <w:caps/>
                <w:noProof/>
              </w:rPr>
              <w:t xml:space="preserve">4. </w:t>
            </w:r>
            <w:r w:rsidR="00D57D8A" w:rsidRPr="00251ABB">
              <w:rPr>
                <w:rStyle w:val="Hipervnculo"/>
                <w:rFonts w:ascii="Arial" w:hAnsi="Arial" w:cs="Arial"/>
                <w:i/>
                <w:noProof/>
              </w:rPr>
              <w:t>Resultados y discusión</w:t>
            </w:r>
            <w:r w:rsidR="00D57D8A">
              <w:rPr>
                <w:noProof/>
                <w:webHidden/>
              </w:rPr>
              <w:tab/>
            </w:r>
            <w:r w:rsidR="00D57D8A">
              <w:rPr>
                <w:noProof/>
                <w:webHidden/>
              </w:rPr>
              <w:fldChar w:fldCharType="begin"/>
            </w:r>
            <w:r w:rsidR="00D57D8A">
              <w:rPr>
                <w:noProof/>
                <w:webHidden/>
              </w:rPr>
              <w:instrText xml:space="preserve"> PAGEREF _Toc50031245 \h </w:instrText>
            </w:r>
            <w:r w:rsidR="00D57D8A">
              <w:rPr>
                <w:noProof/>
                <w:webHidden/>
              </w:rPr>
            </w:r>
            <w:r w:rsidR="00D57D8A">
              <w:rPr>
                <w:noProof/>
                <w:webHidden/>
              </w:rPr>
              <w:fldChar w:fldCharType="separate"/>
            </w:r>
            <w:r w:rsidR="00D57D8A">
              <w:rPr>
                <w:noProof/>
                <w:webHidden/>
              </w:rPr>
              <w:t>154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46" w:history="1">
            <w:r w:rsidR="00D57D8A" w:rsidRPr="00251ABB">
              <w:rPr>
                <w:rStyle w:val="Hipervnculo"/>
                <w:rFonts w:ascii="Arial" w:hAnsi="Arial" w:cs="Arial"/>
                <w:i/>
                <w:caps/>
                <w:noProof/>
              </w:rPr>
              <w:t xml:space="preserve">5. </w:t>
            </w:r>
            <w:r w:rsidR="00D57D8A" w:rsidRPr="00251ABB">
              <w:rPr>
                <w:rStyle w:val="Hipervnculo"/>
                <w:rFonts w:ascii="Arial" w:hAnsi="Arial" w:cs="Arial"/>
                <w:i/>
                <w:noProof/>
              </w:rPr>
              <w:t>Conclusiones</w:t>
            </w:r>
            <w:r w:rsidR="00D57D8A">
              <w:rPr>
                <w:noProof/>
                <w:webHidden/>
              </w:rPr>
              <w:tab/>
            </w:r>
            <w:r w:rsidR="00D57D8A">
              <w:rPr>
                <w:noProof/>
                <w:webHidden/>
              </w:rPr>
              <w:fldChar w:fldCharType="begin"/>
            </w:r>
            <w:r w:rsidR="00D57D8A">
              <w:rPr>
                <w:noProof/>
                <w:webHidden/>
              </w:rPr>
              <w:instrText xml:space="preserve"> PAGEREF _Toc50031246 \h </w:instrText>
            </w:r>
            <w:r w:rsidR="00D57D8A">
              <w:rPr>
                <w:noProof/>
                <w:webHidden/>
              </w:rPr>
            </w:r>
            <w:r w:rsidR="00D57D8A">
              <w:rPr>
                <w:noProof/>
                <w:webHidden/>
              </w:rPr>
              <w:fldChar w:fldCharType="separate"/>
            </w:r>
            <w:r w:rsidR="00D57D8A">
              <w:rPr>
                <w:noProof/>
                <w:webHidden/>
              </w:rPr>
              <w:t>157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47" w:history="1">
            <w:r w:rsidR="00D57D8A" w:rsidRPr="00251ABB">
              <w:rPr>
                <w:rStyle w:val="Hipervnculo"/>
                <w:rFonts w:ascii="Arial" w:hAnsi="Arial" w:cs="Arial"/>
                <w:i/>
                <w:caps/>
                <w:noProof/>
              </w:rPr>
              <w:t xml:space="preserve">6. </w:t>
            </w:r>
            <w:r w:rsidR="00D57D8A" w:rsidRPr="00251ABB">
              <w:rPr>
                <w:rStyle w:val="Hipervnculo"/>
                <w:rFonts w:ascii="Arial" w:hAnsi="Arial" w:cs="Arial"/>
                <w:i/>
                <w:noProof/>
              </w:rPr>
              <w:t>Bibliografía</w:t>
            </w:r>
            <w:r w:rsidR="00D57D8A">
              <w:rPr>
                <w:noProof/>
                <w:webHidden/>
              </w:rPr>
              <w:tab/>
            </w:r>
            <w:r w:rsidR="00D57D8A">
              <w:rPr>
                <w:noProof/>
                <w:webHidden/>
              </w:rPr>
              <w:fldChar w:fldCharType="begin"/>
            </w:r>
            <w:r w:rsidR="00D57D8A">
              <w:rPr>
                <w:noProof/>
                <w:webHidden/>
              </w:rPr>
              <w:instrText xml:space="preserve"> PAGEREF _Toc50031247 \h </w:instrText>
            </w:r>
            <w:r w:rsidR="00D57D8A">
              <w:rPr>
                <w:noProof/>
                <w:webHidden/>
              </w:rPr>
            </w:r>
            <w:r w:rsidR="00D57D8A">
              <w:rPr>
                <w:noProof/>
                <w:webHidden/>
              </w:rPr>
              <w:fldChar w:fldCharType="separate"/>
            </w:r>
            <w:r w:rsidR="00D57D8A">
              <w:rPr>
                <w:noProof/>
                <w:webHidden/>
              </w:rPr>
              <w:t>157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48" w:history="1">
            <w:r w:rsidR="00D57D8A" w:rsidRPr="00251ABB">
              <w:rPr>
                <w:rStyle w:val="Hipervnculo"/>
                <w:noProof/>
              </w:rPr>
              <w:t>Sobre los efectos en la salud humana por el campo electromagnético producido por un teléfono celular</w:t>
            </w:r>
            <w:r w:rsidR="00D57D8A">
              <w:rPr>
                <w:noProof/>
                <w:webHidden/>
              </w:rPr>
              <w:tab/>
            </w:r>
            <w:r w:rsidR="00D57D8A">
              <w:rPr>
                <w:noProof/>
                <w:webHidden/>
              </w:rPr>
              <w:fldChar w:fldCharType="begin"/>
            </w:r>
            <w:r w:rsidR="00D57D8A">
              <w:rPr>
                <w:noProof/>
                <w:webHidden/>
              </w:rPr>
              <w:instrText xml:space="preserve"> PAGEREF _Toc50031248 \h </w:instrText>
            </w:r>
            <w:r w:rsidR="00D57D8A">
              <w:rPr>
                <w:noProof/>
                <w:webHidden/>
              </w:rPr>
            </w:r>
            <w:r w:rsidR="00D57D8A">
              <w:rPr>
                <w:noProof/>
                <w:webHidden/>
              </w:rPr>
              <w:fldChar w:fldCharType="separate"/>
            </w:r>
            <w:r w:rsidR="00D57D8A">
              <w:rPr>
                <w:noProof/>
                <w:webHidden/>
              </w:rPr>
              <w:t>158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49" w:history="1">
            <w:r w:rsidR="00D57D8A" w:rsidRPr="00251ABB">
              <w:rPr>
                <w:rStyle w:val="Hipervnculo"/>
                <w:noProof/>
              </w:rPr>
              <w:t>1. Resumen</w:t>
            </w:r>
            <w:r w:rsidR="00D57D8A">
              <w:rPr>
                <w:noProof/>
                <w:webHidden/>
              </w:rPr>
              <w:tab/>
            </w:r>
            <w:r w:rsidR="00D57D8A">
              <w:rPr>
                <w:noProof/>
                <w:webHidden/>
              </w:rPr>
              <w:fldChar w:fldCharType="begin"/>
            </w:r>
            <w:r w:rsidR="00D57D8A">
              <w:rPr>
                <w:noProof/>
                <w:webHidden/>
              </w:rPr>
              <w:instrText xml:space="preserve"> PAGEREF _Toc50031249 \h </w:instrText>
            </w:r>
            <w:r w:rsidR="00D57D8A">
              <w:rPr>
                <w:noProof/>
                <w:webHidden/>
              </w:rPr>
            </w:r>
            <w:r w:rsidR="00D57D8A">
              <w:rPr>
                <w:noProof/>
                <w:webHidden/>
              </w:rPr>
              <w:fldChar w:fldCharType="separate"/>
            </w:r>
            <w:r w:rsidR="00D57D8A">
              <w:rPr>
                <w:noProof/>
                <w:webHidden/>
              </w:rPr>
              <w:t>158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50" w:history="1">
            <w:r w:rsidR="00D57D8A" w:rsidRPr="00251ABB">
              <w:rPr>
                <w:rStyle w:val="Hipervnculo"/>
                <w:noProof/>
              </w:rPr>
              <w:t>2. Introducción</w:t>
            </w:r>
            <w:r w:rsidR="00D57D8A">
              <w:rPr>
                <w:noProof/>
                <w:webHidden/>
              </w:rPr>
              <w:tab/>
            </w:r>
            <w:r w:rsidR="00D57D8A">
              <w:rPr>
                <w:noProof/>
                <w:webHidden/>
              </w:rPr>
              <w:fldChar w:fldCharType="begin"/>
            </w:r>
            <w:r w:rsidR="00D57D8A">
              <w:rPr>
                <w:noProof/>
                <w:webHidden/>
              </w:rPr>
              <w:instrText xml:space="preserve"> PAGEREF _Toc50031250 \h </w:instrText>
            </w:r>
            <w:r w:rsidR="00D57D8A">
              <w:rPr>
                <w:noProof/>
                <w:webHidden/>
              </w:rPr>
            </w:r>
            <w:r w:rsidR="00D57D8A">
              <w:rPr>
                <w:noProof/>
                <w:webHidden/>
              </w:rPr>
              <w:fldChar w:fldCharType="separate"/>
            </w:r>
            <w:r w:rsidR="00D57D8A">
              <w:rPr>
                <w:noProof/>
                <w:webHidden/>
              </w:rPr>
              <w:t>158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51" w:history="1">
            <w:r w:rsidR="00D57D8A" w:rsidRPr="00251ABB">
              <w:rPr>
                <w:rStyle w:val="Hipervnculo"/>
                <w:noProof/>
              </w:rPr>
              <w:t>3. Condiciones experimentales</w:t>
            </w:r>
            <w:r w:rsidR="00D57D8A">
              <w:rPr>
                <w:noProof/>
                <w:webHidden/>
              </w:rPr>
              <w:tab/>
            </w:r>
            <w:r w:rsidR="00D57D8A">
              <w:rPr>
                <w:noProof/>
                <w:webHidden/>
              </w:rPr>
              <w:fldChar w:fldCharType="begin"/>
            </w:r>
            <w:r w:rsidR="00D57D8A">
              <w:rPr>
                <w:noProof/>
                <w:webHidden/>
              </w:rPr>
              <w:instrText xml:space="preserve"> PAGEREF _Toc50031251 \h </w:instrText>
            </w:r>
            <w:r w:rsidR="00D57D8A">
              <w:rPr>
                <w:noProof/>
                <w:webHidden/>
              </w:rPr>
            </w:r>
            <w:r w:rsidR="00D57D8A">
              <w:rPr>
                <w:noProof/>
                <w:webHidden/>
              </w:rPr>
              <w:fldChar w:fldCharType="separate"/>
            </w:r>
            <w:r w:rsidR="00D57D8A">
              <w:rPr>
                <w:noProof/>
                <w:webHidden/>
              </w:rPr>
              <w:t>161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52" w:history="1">
            <w:r w:rsidR="00D57D8A" w:rsidRPr="00251ABB">
              <w:rPr>
                <w:rStyle w:val="Hipervnculo"/>
                <w:noProof/>
              </w:rPr>
              <w:t>4. Resultados y discusión</w:t>
            </w:r>
            <w:r w:rsidR="00D57D8A">
              <w:rPr>
                <w:noProof/>
                <w:webHidden/>
              </w:rPr>
              <w:tab/>
            </w:r>
            <w:r w:rsidR="00D57D8A">
              <w:rPr>
                <w:noProof/>
                <w:webHidden/>
              </w:rPr>
              <w:fldChar w:fldCharType="begin"/>
            </w:r>
            <w:r w:rsidR="00D57D8A">
              <w:rPr>
                <w:noProof/>
                <w:webHidden/>
              </w:rPr>
              <w:instrText xml:space="preserve"> PAGEREF _Toc50031252 \h </w:instrText>
            </w:r>
            <w:r w:rsidR="00D57D8A">
              <w:rPr>
                <w:noProof/>
                <w:webHidden/>
              </w:rPr>
            </w:r>
            <w:r w:rsidR="00D57D8A">
              <w:rPr>
                <w:noProof/>
                <w:webHidden/>
              </w:rPr>
              <w:fldChar w:fldCharType="separate"/>
            </w:r>
            <w:r w:rsidR="00D57D8A">
              <w:rPr>
                <w:noProof/>
                <w:webHidden/>
              </w:rPr>
              <w:t>163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53" w:history="1">
            <w:r w:rsidR="00D57D8A" w:rsidRPr="00251ABB">
              <w:rPr>
                <w:rStyle w:val="Hipervnculo"/>
                <w:noProof/>
              </w:rPr>
              <w:t>5. Conclusiones</w:t>
            </w:r>
            <w:r w:rsidR="00D57D8A">
              <w:rPr>
                <w:noProof/>
                <w:webHidden/>
              </w:rPr>
              <w:tab/>
            </w:r>
            <w:r w:rsidR="00D57D8A">
              <w:rPr>
                <w:noProof/>
                <w:webHidden/>
              </w:rPr>
              <w:fldChar w:fldCharType="begin"/>
            </w:r>
            <w:r w:rsidR="00D57D8A">
              <w:rPr>
                <w:noProof/>
                <w:webHidden/>
              </w:rPr>
              <w:instrText xml:space="preserve"> PAGEREF _Toc50031253 \h </w:instrText>
            </w:r>
            <w:r w:rsidR="00D57D8A">
              <w:rPr>
                <w:noProof/>
                <w:webHidden/>
              </w:rPr>
            </w:r>
            <w:r w:rsidR="00D57D8A">
              <w:rPr>
                <w:noProof/>
                <w:webHidden/>
              </w:rPr>
              <w:fldChar w:fldCharType="separate"/>
            </w:r>
            <w:r w:rsidR="00D57D8A">
              <w:rPr>
                <w:noProof/>
                <w:webHidden/>
              </w:rPr>
              <w:t>166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54" w:history="1">
            <w:r w:rsidR="00D57D8A" w:rsidRPr="00251ABB">
              <w:rPr>
                <w:rStyle w:val="Hipervnculo"/>
                <w:noProof/>
                <w:lang w:val="en-US"/>
              </w:rPr>
              <w:t>6. Bibliografía</w:t>
            </w:r>
            <w:r w:rsidR="00D57D8A">
              <w:rPr>
                <w:noProof/>
                <w:webHidden/>
              </w:rPr>
              <w:tab/>
            </w:r>
            <w:r w:rsidR="00D57D8A">
              <w:rPr>
                <w:noProof/>
                <w:webHidden/>
              </w:rPr>
              <w:fldChar w:fldCharType="begin"/>
            </w:r>
            <w:r w:rsidR="00D57D8A">
              <w:rPr>
                <w:noProof/>
                <w:webHidden/>
              </w:rPr>
              <w:instrText xml:space="preserve"> PAGEREF _Toc50031254 \h </w:instrText>
            </w:r>
            <w:r w:rsidR="00D57D8A">
              <w:rPr>
                <w:noProof/>
                <w:webHidden/>
              </w:rPr>
            </w:r>
            <w:r w:rsidR="00D57D8A">
              <w:rPr>
                <w:noProof/>
                <w:webHidden/>
              </w:rPr>
              <w:fldChar w:fldCharType="separate"/>
            </w:r>
            <w:r w:rsidR="00D57D8A">
              <w:rPr>
                <w:noProof/>
                <w:webHidden/>
              </w:rPr>
              <w:t>166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55" w:history="1">
            <w:r w:rsidR="00D57D8A" w:rsidRPr="00251ABB">
              <w:rPr>
                <w:rStyle w:val="Hipervnculo"/>
                <w:noProof/>
                <w:lang w:val="en-US"/>
              </w:rPr>
              <w:t>SiO</w:t>
            </w:r>
            <w:r w:rsidR="00D57D8A" w:rsidRPr="00251ABB">
              <w:rPr>
                <w:rStyle w:val="Hipervnculo"/>
                <w:noProof/>
                <w:vertAlign w:val="subscript"/>
                <w:lang w:val="en-US"/>
              </w:rPr>
              <w:t>2</w:t>
            </w:r>
            <w:r w:rsidR="00D57D8A" w:rsidRPr="00251ABB">
              <w:rPr>
                <w:rStyle w:val="Hipervnculo"/>
                <w:noProof/>
                <w:lang w:val="en-US"/>
              </w:rPr>
              <w:t>-Based Styrene Emulsion Polymerization: In Search of a Pickering Emulsion</w:t>
            </w:r>
            <w:r w:rsidR="00D57D8A">
              <w:rPr>
                <w:noProof/>
                <w:webHidden/>
              </w:rPr>
              <w:tab/>
            </w:r>
            <w:r w:rsidR="00D57D8A">
              <w:rPr>
                <w:noProof/>
                <w:webHidden/>
              </w:rPr>
              <w:fldChar w:fldCharType="begin"/>
            </w:r>
            <w:r w:rsidR="00D57D8A">
              <w:rPr>
                <w:noProof/>
                <w:webHidden/>
              </w:rPr>
              <w:instrText xml:space="preserve"> PAGEREF _Toc50031255 \h </w:instrText>
            </w:r>
            <w:r w:rsidR="00D57D8A">
              <w:rPr>
                <w:noProof/>
                <w:webHidden/>
              </w:rPr>
            </w:r>
            <w:r w:rsidR="00D57D8A">
              <w:rPr>
                <w:noProof/>
                <w:webHidden/>
              </w:rPr>
              <w:fldChar w:fldCharType="separate"/>
            </w:r>
            <w:r w:rsidR="00D57D8A">
              <w:rPr>
                <w:noProof/>
                <w:webHidden/>
              </w:rPr>
              <w:t>167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56" w:history="1">
            <w:r w:rsidR="00D57D8A" w:rsidRPr="00251ABB">
              <w:rPr>
                <w:rStyle w:val="Hipervnculo"/>
                <w:noProof/>
                <w:lang w:val="en-US"/>
              </w:rPr>
              <w:t>1. Abstract</w:t>
            </w:r>
            <w:r w:rsidR="00D57D8A">
              <w:rPr>
                <w:noProof/>
                <w:webHidden/>
              </w:rPr>
              <w:tab/>
            </w:r>
            <w:r w:rsidR="00D57D8A">
              <w:rPr>
                <w:noProof/>
                <w:webHidden/>
              </w:rPr>
              <w:fldChar w:fldCharType="begin"/>
            </w:r>
            <w:r w:rsidR="00D57D8A">
              <w:rPr>
                <w:noProof/>
                <w:webHidden/>
              </w:rPr>
              <w:instrText xml:space="preserve"> PAGEREF _Toc50031256 \h </w:instrText>
            </w:r>
            <w:r w:rsidR="00D57D8A">
              <w:rPr>
                <w:noProof/>
                <w:webHidden/>
              </w:rPr>
            </w:r>
            <w:r w:rsidR="00D57D8A">
              <w:rPr>
                <w:noProof/>
                <w:webHidden/>
              </w:rPr>
              <w:fldChar w:fldCharType="separate"/>
            </w:r>
            <w:r w:rsidR="00D57D8A">
              <w:rPr>
                <w:noProof/>
                <w:webHidden/>
              </w:rPr>
              <w:t>167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57"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ntroduction</w:t>
            </w:r>
            <w:r w:rsidR="00D57D8A">
              <w:rPr>
                <w:noProof/>
                <w:webHidden/>
              </w:rPr>
              <w:tab/>
            </w:r>
            <w:r w:rsidR="00D57D8A">
              <w:rPr>
                <w:noProof/>
                <w:webHidden/>
              </w:rPr>
              <w:fldChar w:fldCharType="begin"/>
            </w:r>
            <w:r w:rsidR="00D57D8A">
              <w:rPr>
                <w:noProof/>
                <w:webHidden/>
              </w:rPr>
              <w:instrText xml:space="preserve"> PAGEREF _Toc50031257 \h </w:instrText>
            </w:r>
            <w:r w:rsidR="00D57D8A">
              <w:rPr>
                <w:noProof/>
                <w:webHidden/>
              </w:rPr>
            </w:r>
            <w:r w:rsidR="00D57D8A">
              <w:rPr>
                <w:noProof/>
                <w:webHidden/>
              </w:rPr>
              <w:fldChar w:fldCharType="separate"/>
            </w:r>
            <w:r w:rsidR="00D57D8A">
              <w:rPr>
                <w:noProof/>
                <w:webHidden/>
              </w:rPr>
              <w:t>167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58" w:history="1">
            <w:r w:rsidR="00D57D8A" w:rsidRPr="00251ABB">
              <w:rPr>
                <w:rStyle w:val="Hipervnculo"/>
                <w:rFonts w:ascii="Arial" w:hAnsi="Arial" w:cs="Arial"/>
                <w:i/>
                <w:caps/>
                <w:noProof/>
              </w:rPr>
              <w:t>3. E</w:t>
            </w:r>
            <w:r w:rsidR="00D57D8A" w:rsidRPr="00251ABB">
              <w:rPr>
                <w:rStyle w:val="Hipervnculo"/>
                <w:rFonts w:ascii="Arial" w:hAnsi="Arial" w:cs="Arial"/>
                <w:i/>
                <w:noProof/>
              </w:rPr>
              <w:t>xperimental</w:t>
            </w:r>
            <w:r w:rsidR="00D57D8A">
              <w:rPr>
                <w:noProof/>
                <w:webHidden/>
              </w:rPr>
              <w:tab/>
            </w:r>
            <w:r w:rsidR="00D57D8A">
              <w:rPr>
                <w:noProof/>
                <w:webHidden/>
              </w:rPr>
              <w:fldChar w:fldCharType="begin"/>
            </w:r>
            <w:r w:rsidR="00D57D8A">
              <w:rPr>
                <w:noProof/>
                <w:webHidden/>
              </w:rPr>
              <w:instrText xml:space="preserve"> PAGEREF _Toc50031258 \h </w:instrText>
            </w:r>
            <w:r w:rsidR="00D57D8A">
              <w:rPr>
                <w:noProof/>
                <w:webHidden/>
              </w:rPr>
            </w:r>
            <w:r w:rsidR="00D57D8A">
              <w:rPr>
                <w:noProof/>
                <w:webHidden/>
              </w:rPr>
              <w:fldChar w:fldCharType="separate"/>
            </w:r>
            <w:r w:rsidR="00D57D8A">
              <w:rPr>
                <w:noProof/>
                <w:webHidden/>
              </w:rPr>
              <w:t>169</w:t>
            </w:r>
            <w:r w:rsidR="00D57D8A">
              <w:rPr>
                <w:noProof/>
                <w:webHidden/>
              </w:rPr>
              <w:fldChar w:fldCharType="end"/>
            </w:r>
          </w:hyperlink>
        </w:p>
        <w:p w:rsidR="00D57D8A" w:rsidRDefault="001345E4">
          <w:pPr>
            <w:pStyle w:val="TDC3"/>
            <w:tabs>
              <w:tab w:val="right" w:leader="dot" w:pos="9962"/>
            </w:tabs>
            <w:rPr>
              <w:noProof/>
              <w:lang w:val="en-US" w:eastAsia="en-US"/>
            </w:rPr>
          </w:pPr>
          <w:hyperlink w:anchor="_Toc50031259" w:history="1">
            <w:r w:rsidR="00D57D8A" w:rsidRPr="00251ABB">
              <w:rPr>
                <w:rStyle w:val="Hipervnculo"/>
                <w:rFonts w:ascii="Arial" w:hAnsi="Arial" w:cs="Arial"/>
                <w:bCs/>
                <w:noProof/>
                <w:lang w:val="en-US"/>
              </w:rPr>
              <w:t>3.2.1 Buffer Solution Preparation</w:t>
            </w:r>
            <w:r w:rsidR="00D57D8A">
              <w:rPr>
                <w:noProof/>
                <w:webHidden/>
              </w:rPr>
              <w:tab/>
            </w:r>
            <w:r w:rsidR="00D57D8A">
              <w:rPr>
                <w:noProof/>
                <w:webHidden/>
              </w:rPr>
              <w:fldChar w:fldCharType="begin"/>
            </w:r>
            <w:r w:rsidR="00D57D8A">
              <w:rPr>
                <w:noProof/>
                <w:webHidden/>
              </w:rPr>
              <w:instrText xml:space="preserve"> PAGEREF _Toc50031259 \h </w:instrText>
            </w:r>
            <w:r w:rsidR="00D57D8A">
              <w:rPr>
                <w:noProof/>
                <w:webHidden/>
              </w:rPr>
            </w:r>
            <w:r w:rsidR="00D57D8A">
              <w:rPr>
                <w:noProof/>
                <w:webHidden/>
              </w:rPr>
              <w:fldChar w:fldCharType="separate"/>
            </w:r>
            <w:r w:rsidR="00D57D8A">
              <w:rPr>
                <w:noProof/>
                <w:webHidden/>
              </w:rPr>
              <w:t>169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60" w:history="1">
            <w:r w:rsidR="00D57D8A" w:rsidRPr="00251ABB">
              <w:rPr>
                <w:rStyle w:val="Hipervnculo"/>
                <w:rFonts w:ascii="Arial" w:hAnsi="Arial" w:cs="Arial"/>
                <w:i/>
                <w:caps/>
                <w:noProof/>
              </w:rPr>
              <w:t xml:space="preserve">4. </w:t>
            </w:r>
            <w:r w:rsidR="00D57D8A" w:rsidRPr="00251ABB">
              <w:rPr>
                <w:rStyle w:val="Hipervnculo"/>
                <w:rFonts w:ascii="Arial" w:hAnsi="Arial" w:cs="Arial"/>
                <w:i/>
                <w:noProof/>
              </w:rPr>
              <w:t>Results and Discussion</w:t>
            </w:r>
            <w:r w:rsidR="00D57D8A">
              <w:rPr>
                <w:noProof/>
                <w:webHidden/>
              </w:rPr>
              <w:tab/>
            </w:r>
            <w:r w:rsidR="00D57D8A">
              <w:rPr>
                <w:noProof/>
                <w:webHidden/>
              </w:rPr>
              <w:fldChar w:fldCharType="begin"/>
            </w:r>
            <w:r w:rsidR="00D57D8A">
              <w:rPr>
                <w:noProof/>
                <w:webHidden/>
              </w:rPr>
              <w:instrText xml:space="preserve"> PAGEREF _Toc50031260 \h </w:instrText>
            </w:r>
            <w:r w:rsidR="00D57D8A">
              <w:rPr>
                <w:noProof/>
                <w:webHidden/>
              </w:rPr>
            </w:r>
            <w:r w:rsidR="00D57D8A">
              <w:rPr>
                <w:noProof/>
                <w:webHidden/>
              </w:rPr>
              <w:fldChar w:fldCharType="separate"/>
            </w:r>
            <w:r w:rsidR="00D57D8A">
              <w:rPr>
                <w:noProof/>
                <w:webHidden/>
              </w:rPr>
              <w:t>171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61" w:history="1">
            <w:r w:rsidR="00D57D8A" w:rsidRPr="00251ABB">
              <w:rPr>
                <w:rStyle w:val="Hipervnculo"/>
                <w:rFonts w:ascii="Arial" w:hAnsi="Arial" w:cs="Arial"/>
                <w:i/>
                <w:caps/>
                <w:noProof/>
              </w:rPr>
              <w:t xml:space="preserve">5. </w:t>
            </w:r>
            <w:r w:rsidR="00D57D8A" w:rsidRPr="00251ABB">
              <w:rPr>
                <w:rStyle w:val="Hipervnculo"/>
                <w:rFonts w:ascii="Arial" w:hAnsi="Arial" w:cs="Arial"/>
                <w:i/>
                <w:noProof/>
              </w:rPr>
              <w:t>Conclusions</w:t>
            </w:r>
            <w:r w:rsidR="00D57D8A">
              <w:rPr>
                <w:noProof/>
                <w:webHidden/>
              </w:rPr>
              <w:tab/>
            </w:r>
            <w:r w:rsidR="00D57D8A">
              <w:rPr>
                <w:noProof/>
                <w:webHidden/>
              </w:rPr>
              <w:fldChar w:fldCharType="begin"/>
            </w:r>
            <w:r w:rsidR="00D57D8A">
              <w:rPr>
                <w:noProof/>
                <w:webHidden/>
              </w:rPr>
              <w:instrText xml:space="preserve"> PAGEREF _Toc50031261 \h </w:instrText>
            </w:r>
            <w:r w:rsidR="00D57D8A">
              <w:rPr>
                <w:noProof/>
                <w:webHidden/>
              </w:rPr>
            </w:r>
            <w:r w:rsidR="00D57D8A">
              <w:rPr>
                <w:noProof/>
                <w:webHidden/>
              </w:rPr>
              <w:fldChar w:fldCharType="separate"/>
            </w:r>
            <w:r w:rsidR="00D57D8A">
              <w:rPr>
                <w:noProof/>
                <w:webHidden/>
              </w:rPr>
              <w:t>175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62" w:history="1">
            <w:r w:rsidR="00D57D8A" w:rsidRPr="00251ABB">
              <w:rPr>
                <w:rStyle w:val="Hipervnculo"/>
                <w:rFonts w:ascii="Arial" w:hAnsi="Arial" w:cs="Arial"/>
                <w:i/>
                <w:caps/>
                <w:noProof/>
              </w:rPr>
              <w:t xml:space="preserve">6. </w:t>
            </w:r>
            <w:r w:rsidR="00D57D8A" w:rsidRPr="00251ABB">
              <w:rPr>
                <w:rStyle w:val="Hipervnculo"/>
                <w:rFonts w:ascii="Arial" w:hAnsi="Arial" w:cs="Arial"/>
                <w:i/>
                <w:noProof/>
              </w:rPr>
              <w:t>References</w:t>
            </w:r>
            <w:r w:rsidR="00D57D8A">
              <w:rPr>
                <w:noProof/>
                <w:webHidden/>
              </w:rPr>
              <w:tab/>
            </w:r>
            <w:r w:rsidR="00D57D8A">
              <w:rPr>
                <w:noProof/>
                <w:webHidden/>
              </w:rPr>
              <w:fldChar w:fldCharType="begin"/>
            </w:r>
            <w:r w:rsidR="00D57D8A">
              <w:rPr>
                <w:noProof/>
                <w:webHidden/>
              </w:rPr>
              <w:instrText xml:space="preserve"> PAGEREF _Toc50031262 \h </w:instrText>
            </w:r>
            <w:r w:rsidR="00D57D8A">
              <w:rPr>
                <w:noProof/>
                <w:webHidden/>
              </w:rPr>
            </w:r>
            <w:r w:rsidR="00D57D8A">
              <w:rPr>
                <w:noProof/>
                <w:webHidden/>
              </w:rPr>
              <w:fldChar w:fldCharType="separate"/>
            </w:r>
            <w:r w:rsidR="00D57D8A">
              <w:rPr>
                <w:noProof/>
                <w:webHidden/>
              </w:rPr>
              <w:t>176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63" w:history="1">
            <w:r w:rsidR="00D57D8A" w:rsidRPr="00251ABB">
              <w:rPr>
                <w:rStyle w:val="Hipervnculo"/>
                <w:noProof/>
              </w:rPr>
              <w:t>Detección  del ángulo de arribo de  señales de voz en movimiento</w:t>
            </w:r>
            <w:r w:rsidR="00D57D8A">
              <w:rPr>
                <w:noProof/>
                <w:webHidden/>
              </w:rPr>
              <w:tab/>
            </w:r>
            <w:r w:rsidR="00D57D8A">
              <w:rPr>
                <w:noProof/>
                <w:webHidden/>
              </w:rPr>
              <w:fldChar w:fldCharType="begin"/>
            </w:r>
            <w:r w:rsidR="00D57D8A">
              <w:rPr>
                <w:noProof/>
                <w:webHidden/>
              </w:rPr>
              <w:instrText xml:space="preserve"> PAGEREF _Toc50031263 \h </w:instrText>
            </w:r>
            <w:r w:rsidR="00D57D8A">
              <w:rPr>
                <w:noProof/>
                <w:webHidden/>
              </w:rPr>
            </w:r>
            <w:r w:rsidR="00D57D8A">
              <w:rPr>
                <w:noProof/>
                <w:webHidden/>
              </w:rPr>
              <w:fldChar w:fldCharType="separate"/>
            </w:r>
            <w:r w:rsidR="00D57D8A">
              <w:rPr>
                <w:noProof/>
                <w:webHidden/>
              </w:rPr>
              <w:t>178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64" w:history="1">
            <w:r w:rsidR="00D57D8A" w:rsidRPr="00251ABB">
              <w:rPr>
                <w:rStyle w:val="Hipervnculo"/>
                <w:rFonts w:ascii="Arial" w:hAnsi="Arial" w:cs="Arial"/>
                <w:caps/>
                <w:noProof/>
              </w:rPr>
              <w:t>1. R</w:t>
            </w:r>
            <w:r w:rsidR="00D57D8A" w:rsidRPr="00251ABB">
              <w:rPr>
                <w:rStyle w:val="Hipervnculo"/>
                <w:rFonts w:ascii="Arial" w:hAnsi="Arial" w:cs="Arial"/>
                <w:noProof/>
              </w:rPr>
              <w:t>esumen</w:t>
            </w:r>
            <w:r w:rsidR="00D57D8A">
              <w:rPr>
                <w:noProof/>
                <w:webHidden/>
              </w:rPr>
              <w:tab/>
            </w:r>
            <w:r w:rsidR="00D57D8A">
              <w:rPr>
                <w:noProof/>
                <w:webHidden/>
              </w:rPr>
              <w:fldChar w:fldCharType="begin"/>
            </w:r>
            <w:r w:rsidR="00D57D8A">
              <w:rPr>
                <w:noProof/>
                <w:webHidden/>
              </w:rPr>
              <w:instrText xml:space="preserve"> PAGEREF _Toc50031264 \h </w:instrText>
            </w:r>
            <w:r w:rsidR="00D57D8A">
              <w:rPr>
                <w:noProof/>
                <w:webHidden/>
              </w:rPr>
            </w:r>
            <w:r w:rsidR="00D57D8A">
              <w:rPr>
                <w:noProof/>
                <w:webHidden/>
              </w:rPr>
              <w:fldChar w:fldCharType="separate"/>
            </w:r>
            <w:r w:rsidR="00D57D8A">
              <w:rPr>
                <w:noProof/>
                <w:webHidden/>
              </w:rPr>
              <w:t>179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65" w:history="1">
            <w:r w:rsidR="00D57D8A" w:rsidRPr="00251ABB">
              <w:rPr>
                <w:rStyle w:val="Hipervnculo"/>
                <w:rFonts w:ascii="Arial" w:hAnsi="Arial" w:cs="Arial"/>
                <w:caps/>
                <w:noProof/>
              </w:rPr>
              <w:t>2. I</w:t>
            </w:r>
            <w:r w:rsidR="00D57D8A" w:rsidRPr="00251ABB">
              <w:rPr>
                <w:rStyle w:val="Hipervnculo"/>
                <w:rFonts w:ascii="Arial" w:hAnsi="Arial" w:cs="Arial"/>
                <w:noProof/>
              </w:rPr>
              <w:t>ntroducción</w:t>
            </w:r>
            <w:r w:rsidR="00D57D8A">
              <w:rPr>
                <w:noProof/>
                <w:webHidden/>
              </w:rPr>
              <w:tab/>
            </w:r>
            <w:r w:rsidR="00D57D8A">
              <w:rPr>
                <w:noProof/>
                <w:webHidden/>
              </w:rPr>
              <w:fldChar w:fldCharType="begin"/>
            </w:r>
            <w:r w:rsidR="00D57D8A">
              <w:rPr>
                <w:noProof/>
                <w:webHidden/>
              </w:rPr>
              <w:instrText xml:space="preserve"> PAGEREF _Toc50031265 \h </w:instrText>
            </w:r>
            <w:r w:rsidR="00D57D8A">
              <w:rPr>
                <w:noProof/>
                <w:webHidden/>
              </w:rPr>
            </w:r>
            <w:r w:rsidR="00D57D8A">
              <w:rPr>
                <w:noProof/>
                <w:webHidden/>
              </w:rPr>
              <w:fldChar w:fldCharType="separate"/>
            </w:r>
            <w:r w:rsidR="00D57D8A">
              <w:rPr>
                <w:noProof/>
                <w:webHidden/>
              </w:rPr>
              <w:t>179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66" w:history="1">
            <w:r w:rsidR="00D57D8A" w:rsidRPr="00251ABB">
              <w:rPr>
                <w:rStyle w:val="Hipervnculo"/>
                <w:noProof/>
              </w:rPr>
              <w:t>3. Condiciones experimentales</w:t>
            </w:r>
            <w:r w:rsidR="00D57D8A">
              <w:rPr>
                <w:noProof/>
                <w:webHidden/>
              </w:rPr>
              <w:tab/>
            </w:r>
            <w:r w:rsidR="00D57D8A">
              <w:rPr>
                <w:noProof/>
                <w:webHidden/>
              </w:rPr>
              <w:fldChar w:fldCharType="begin"/>
            </w:r>
            <w:r w:rsidR="00D57D8A">
              <w:rPr>
                <w:noProof/>
                <w:webHidden/>
              </w:rPr>
              <w:instrText xml:space="preserve"> PAGEREF _Toc50031266 \h </w:instrText>
            </w:r>
            <w:r w:rsidR="00D57D8A">
              <w:rPr>
                <w:noProof/>
                <w:webHidden/>
              </w:rPr>
            </w:r>
            <w:r w:rsidR="00D57D8A">
              <w:rPr>
                <w:noProof/>
                <w:webHidden/>
              </w:rPr>
              <w:fldChar w:fldCharType="separate"/>
            </w:r>
            <w:r w:rsidR="00D57D8A">
              <w:rPr>
                <w:noProof/>
                <w:webHidden/>
              </w:rPr>
              <w:t>180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67" w:history="1">
            <w:r w:rsidR="00D57D8A" w:rsidRPr="00251ABB">
              <w:rPr>
                <w:rStyle w:val="Hipervnculo"/>
                <w:noProof/>
              </w:rPr>
              <w:t>4. Resultados</w:t>
            </w:r>
            <w:r w:rsidR="00D57D8A">
              <w:rPr>
                <w:noProof/>
                <w:webHidden/>
              </w:rPr>
              <w:tab/>
            </w:r>
            <w:r w:rsidR="00D57D8A">
              <w:rPr>
                <w:noProof/>
                <w:webHidden/>
              </w:rPr>
              <w:fldChar w:fldCharType="begin"/>
            </w:r>
            <w:r w:rsidR="00D57D8A">
              <w:rPr>
                <w:noProof/>
                <w:webHidden/>
              </w:rPr>
              <w:instrText xml:space="preserve"> PAGEREF _Toc50031267 \h </w:instrText>
            </w:r>
            <w:r w:rsidR="00D57D8A">
              <w:rPr>
                <w:noProof/>
                <w:webHidden/>
              </w:rPr>
            </w:r>
            <w:r w:rsidR="00D57D8A">
              <w:rPr>
                <w:noProof/>
                <w:webHidden/>
              </w:rPr>
              <w:fldChar w:fldCharType="separate"/>
            </w:r>
            <w:r w:rsidR="00D57D8A">
              <w:rPr>
                <w:noProof/>
                <w:webHidden/>
              </w:rPr>
              <w:t>184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68" w:history="1">
            <w:r w:rsidR="00D57D8A" w:rsidRPr="00251ABB">
              <w:rPr>
                <w:rStyle w:val="Hipervnculo"/>
                <w:rFonts w:ascii="Arial" w:hAnsi="Arial" w:cs="Arial"/>
                <w:caps/>
                <w:noProof/>
              </w:rPr>
              <w:t xml:space="preserve">5. </w:t>
            </w:r>
            <w:r w:rsidR="00D57D8A" w:rsidRPr="00251ABB">
              <w:rPr>
                <w:rStyle w:val="Hipervnculo"/>
                <w:rFonts w:ascii="Arial" w:hAnsi="Arial" w:cs="Arial"/>
                <w:noProof/>
              </w:rPr>
              <w:t>Conclusiones</w:t>
            </w:r>
            <w:r w:rsidR="00D57D8A">
              <w:rPr>
                <w:noProof/>
                <w:webHidden/>
              </w:rPr>
              <w:tab/>
            </w:r>
            <w:r w:rsidR="00D57D8A">
              <w:rPr>
                <w:noProof/>
                <w:webHidden/>
              </w:rPr>
              <w:fldChar w:fldCharType="begin"/>
            </w:r>
            <w:r w:rsidR="00D57D8A">
              <w:rPr>
                <w:noProof/>
                <w:webHidden/>
              </w:rPr>
              <w:instrText xml:space="preserve"> PAGEREF _Toc50031268 \h </w:instrText>
            </w:r>
            <w:r w:rsidR="00D57D8A">
              <w:rPr>
                <w:noProof/>
                <w:webHidden/>
              </w:rPr>
            </w:r>
            <w:r w:rsidR="00D57D8A">
              <w:rPr>
                <w:noProof/>
                <w:webHidden/>
              </w:rPr>
              <w:fldChar w:fldCharType="separate"/>
            </w:r>
            <w:r w:rsidR="00D57D8A">
              <w:rPr>
                <w:noProof/>
                <w:webHidden/>
              </w:rPr>
              <w:t>186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69" w:history="1">
            <w:r w:rsidR="00D57D8A" w:rsidRPr="00251ABB">
              <w:rPr>
                <w:rStyle w:val="Hipervnculo"/>
                <w:rFonts w:ascii="Arial" w:hAnsi="Arial" w:cs="Arial"/>
                <w:caps/>
                <w:noProof/>
              </w:rPr>
              <w:t xml:space="preserve">6. </w:t>
            </w:r>
            <w:r w:rsidR="00D57D8A" w:rsidRPr="00251ABB">
              <w:rPr>
                <w:rStyle w:val="Hipervnculo"/>
                <w:rFonts w:ascii="Arial" w:hAnsi="Arial" w:cs="Arial"/>
                <w:noProof/>
              </w:rPr>
              <w:t>Bibliografía</w:t>
            </w:r>
            <w:r w:rsidR="00D57D8A">
              <w:rPr>
                <w:noProof/>
                <w:webHidden/>
              </w:rPr>
              <w:tab/>
            </w:r>
            <w:r w:rsidR="00D57D8A">
              <w:rPr>
                <w:noProof/>
                <w:webHidden/>
              </w:rPr>
              <w:fldChar w:fldCharType="begin"/>
            </w:r>
            <w:r w:rsidR="00D57D8A">
              <w:rPr>
                <w:noProof/>
                <w:webHidden/>
              </w:rPr>
              <w:instrText xml:space="preserve"> PAGEREF _Toc50031269 \h </w:instrText>
            </w:r>
            <w:r w:rsidR="00D57D8A">
              <w:rPr>
                <w:noProof/>
                <w:webHidden/>
              </w:rPr>
            </w:r>
            <w:r w:rsidR="00D57D8A">
              <w:rPr>
                <w:noProof/>
                <w:webHidden/>
              </w:rPr>
              <w:fldChar w:fldCharType="separate"/>
            </w:r>
            <w:r w:rsidR="00D57D8A">
              <w:rPr>
                <w:noProof/>
                <w:webHidden/>
              </w:rPr>
              <w:t>187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70" w:history="1">
            <w:r w:rsidR="00D57D8A" w:rsidRPr="00251ABB">
              <w:rPr>
                <w:rStyle w:val="Hipervnculo"/>
                <w:noProof/>
                <w:lang w:val="en-US"/>
              </w:rPr>
              <w:t>Numerical determination of voltage potential inside 2D n</w:t>
            </w:r>
            <w:r w:rsidR="00D57D8A" w:rsidRPr="00251ABB">
              <w:rPr>
                <w:rStyle w:val="Hipervnculo"/>
                <w:noProof/>
                <w:lang w:val="en-US" w:eastAsia="es-ES"/>
              </w:rPr>
              <w:t>onhomogeneous</w:t>
            </w:r>
            <w:r w:rsidR="00D57D8A" w:rsidRPr="00251ABB">
              <w:rPr>
                <w:rStyle w:val="Hipervnculo"/>
                <w:noProof/>
                <w:lang w:val="en-US"/>
              </w:rPr>
              <w:t xml:space="preserve"> media of circular shape using variational method.</w:t>
            </w:r>
            <w:r w:rsidR="00D57D8A">
              <w:rPr>
                <w:noProof/>
                <w:webHidden/>
              </w:rPr>
              <w:tab/>
            </w:r>
            <w:r w:rsidR="00D57D8A">
              <w:rPr>
                <w:noProof/>
                <w:webHidden/>
              </w:rPr>
              <w:fldChar w:fldCharType="begin"/>
            </w:r>
            <w:r w:rsidR="00D57D8A">
              <w:rPr>
                <w:noProof/>
                <w:webHidden/>
              </w:rPr>
              <w:instrText xml:space="preserve"> PAGEREF _Toc50031270 \h </w:instrText>
            </w:r>
            <w:r w:rsidR="00D57D8A">
              <w:rPr>
                <w:noProof/>
                <w:webHidden/>
              </w:rPr>
            </w:r>
            <w:r w:rsidR="00D57D8A">
              <w:rPr>
                <w:noProof/>
                <w:webHidden/>
              </w:rPr>
              <w:fldChar w:fldCharType="separate"/>
            </w:r>
            <w:r w:rsidR="00D57D8A">
              <w:rPr>
                <w:noProof/>
                <w:webHidden/>
              </w:rPr>
              <w:t>187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71" w:history="1">
            <w:r w:rsidR="00D57D8A" w:rsidRPr="00251ABB">
              <w:rPr>
                <w:rStyle w:val="Hipervnculo"/>
                <w:rFonts w:ascii="Arial" w:hAnsi="Arial" w:cs="Arial"/>
                <w:i/>
                <w:caps/>
                <w:noProof/>
              </w:rPr>
              <w:t>1. A</w:t>
            </w:r>
            <w:r w:rsidR="00D57D8A" w:rsidRPr="00251ABB">
              <w:rPr>
                <w:rStyle w:val="Hipervnculo"/>
                <w:rFonts w:ascii="Arial" w:hAnsi="Arial" w:cs="Arial"/>
                <w:i/>
                <w:noProof/>
              </w:rPr>
              <w:t>bstract</w:t>
            </w:r>
            <w:r w:rsidR="00D57D8A">
              <w:rPr>
                <w:noProof/>
                <w:webHidden/>
              </w:rPr>
              <w:tab/>
            </w:r>
            <w:r w:rsidR="00D57D8A">
              <w:rPr>
                <w:noProof/>
                <w:webHidden/>
              </w:rPr>
              <w:fldChar w:fldCharType="begin"/>
            </w:r>
            <w:r w:rsidR="00D57D8A">
              <w:rPr>
                <w:noProof/>
                <w:webHidden/>
              </w:rPr>
              <w:instrText xml:space="preserve"> PAGEREF _Toc50031271 \h </w:instrText>
            </w:r>
            <w:r w:rsidR="00D57D8A">
              <w:rPr>
                <w:noProof/>
                <w:webHidden/>
              </w:rPr>
            </w:r>
            <w:r w:rsidR="00D57D8A">
              <w:rPr>
                <w:noProof/>
                <w:webHidden/>
              </w:rPr>
              <w:fldChar w:fldCharType="separate"/>
            </w:r>
            <w:r w:rsidR="00D57D8A">
              <w:rPr>
                <w:noProof/>
                <w:webHidden/>
              </w:rPr>
              <w:t>188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72" w:history="1">
            <w:r w:rsidR="00D57D8A" w:rsidRPr="00251ABB">
              <w:rPr>
                <w:rStyle w:val="Hipervnculo"/>
                <w:rFonts w:ascii="Arial" w:hAnsi="Arial" w:cs="Arial"/>
                <w:i/>
                <w:caps/>
                <w:noProof/>
              </w:rPr>
              <w:t xml:space="preserve">2. </w:t>
            </w:r>
            <w:r w:rsidR="00D57D8A" w:rsidRPr="00251ABB">
              <w:rPr>
                <w:rStyle w:val="Hipervnculo"/>
                <w:rFonts w:ascii="Arial" w:hAnsi="Arial" w:cs="Arial"/>
                <w:bCs/>
                <w:i/>
                <w:noProof/>
                <w:lang w:val="en-US" w:eastAsia="ar-SA"/>
              </w:rPr>
              <w:t>Introduction</w:t>
            </w:r>
            <w:r w:rsidR="00D57D8A">
              <w:rPr>
                <w:noProof/>
                <w:webHidden/>
              </w:rPr>
              <w:tab/>
            </w:r>
            <w:r w:rsidR="00D57D8A">
              <w:rPr>
                <w:noProof/>
                <w:webHidden/>
              </w:rPr>
              <w:fldChar w:fldCharType="begin"/>
            </w:r>
            <w:r w:rsidR="00D57D8A">
              <w:rPr>
                <w:noProof/>
                <w:webHidden/>
              </w:rPr>
              <w:instrText xml:space="preserve"> PAGEREF _Toc50031272 \h </w:instrText>
            </w:r>
            <w:r w:rsidR="00D57D8A">
              <w:rPr>
                <w:noProof/>
                <w:webHidden/>
              </w:rPr>
            </w:r>
            <w:r w:rsidR="00D57D8A">
              <w:rPr>
                <w:noProof/>
                <w:webHidden/>
              </w:rPr>
              <w:fldChar w:fldCharType="separate"/>
            </w:r>
            <w:r w:rsidR="00D57D8A">
              <w:rPr>
                <w:noProof/>
                <w:webHidden/>
              </w:rPr>
              <w:t>188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73" w:history="1">
            <w:r w:rsidR="00D57D8A" w:rsidRPr="00251ABB">
              <w:rPr>
                <w:rStyle w:val="Hipervnculo"/>
                <w:rFonts w:ascii="Arial" w:hAnsi="Arial" w:cs="Arial"/>
                <w:i/>
                <w:caps/>
                <w:noProof/>
                <w:lang w:val="en-US"/>
              </w:rPr>
              <w:t xml:space="preserve">3. </w:t>
            </w:r>
            <w:r w:rsidR="00D57D8A" w:rsidRPr="00251ABB">
              <w:rPr>
                <w:rStyle w:val="Hipervnculo"/>
                <w:rFonts w:ascii="Arial" w:hAnsi="Arial" w:cs="Arial"/>
                <w:bCs/>
                <w:i/>
                <w:noProof/>
                <w:lang w:val="en-US" w:eastAsia="ar-SA"/>
              </w:rPr>
              <w:t>Formulation of the problem</w:t>
            </w:r>
            <w:r w:rsidR="00D57D8A">
              <w:rPr>
                <w:noProof/>
                <w:webHidden/>
              </w:rPr>
              <w:tab/>
            </w:r>
            <w:r w:rsidR="00D57D8A">
              <w:rPr>
                <w:noProof/>
                <w:webHidden/>
              </w:rPr>
              <w:fldChar w:fldCharType="begin"/>
            </w:r>
            <w:r w:rsidR="00D57D8A">
              <w:rPr>
                <w:noProof/>
                <w:webHidden/>
              </w:rPr>
              <w:instrText xml:space="preserve"> PAGEREF _Toc50031273 \h </w:instrText>
            </w:r>
            <w:r w:rsidR="00D57D8A">
              <w:rPr>
                <w:noProof/>
                <w:webHidden/>
              </w:rPr>
            </w:r>
            <w:r w:rsidR="00D57D8A">
              <w:rPr>
                <w:noProof/>
                <w:webHidden/>
              </w:rPr>
              <w:fldChar w:fldCharType="separate"/>
            </w:r>
            <w:r w:rsidR="00D57D8A">
              <w:rPr>
                <w:noProof/>
                <w:webHidden/>
              </w:rPr>
              <w:t>188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74" w:history="1">
            <w:r w:rsidR="00D57D8A" w:rsidRPr="00251ABB">
              <w:rPr>
                <w:rStyle w:val="Hipervnculo"/>
                <w:noProof/>
                <w:lang w:val="en-US"/>
              </w:rPr>
              <w:t>4. Results and discussion</w:t>
            </w:r>
            <w:r w:rsidR="00D57D8A">
              <w:rPr>
                <w:noProof/>
                <w:webHidden/>
              </w:rPr>
              <w:tab/>
            </w:r>
            <w:r w:rsidR="00D57D8A">
              <w:rPr>
                <w:noProof/>
                <w:webHidden/>
              </w:rPr>
              <w:fldChar w:fldCharType="begin"/>
            </w:r>
            <w:r w:rsidR="00D57D8A">
              <w:rPr>
                <w:noProof/>
                <w:webHidden/>
              </w:rPr>
              <w:instrText xml:space="preserve"> PAGEREF _Toc50031274 \h </w:instrText>
            </w:r>
            <w:r w:rsidR="00D57D8A">
              <w:rPr>
                <w:noProof/>
                <w:webHidden/>
              </w:rPr>
            </w:r>
            <w:r w:rsidR="00D57D8A">
              <w:rPr>
                <w:noProof/>
                <w:webHidden/>
              </w:rPr>
              <w:fldChar w:fldCharType="separate"/>
            </w:r>
            <w:r w:rsidR="00D57D8A">
              <w:rPr>
                <w:noProof/>
                <w:webHidden/>
              </w:rPr>
              <w:t>191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75" w:history="1">
            <w:r w:rsidR="00D57D8A" w:rsidRPr="00251ABB">
              <w:rPr>
                <w:rStyle w:val="Hipervnculo"/>
                <w:caps/>
                <w:noProof/>
                <w:lang w:val="en-US"/>
              </w:rPr>
              <w:t xml:space="preserve">5. </w:t>
            </w:r>
            <w:r w:rsidR="00D57D8A" w:rsidRPr="00251ABB">
              <w:rPr>
                <w:rStyle w:val="Hipervnculo"/>
                <w:noProof/>
                <w:lang w:val="en-US"/>
              </w:rPr>
              <w:t>Conclusion</w:t>
            </w:r>
            <w:r w:rsidR="00D57D8A">
              <w:rPr>
                <w:noProof/>
                <w:webHidden/>
              </w:rPr>
              <w:tab/>
            </w:r>
            <w:r w:rsidR="00D57D8A">
              <w:rPr>
                <w:noProof/>
                <w:webHidden/>
              </w:rPr>
              <w:fldChar w:fldCharType="begin"/>
            </w:r>
            <w:r w:rsidR="00D57D8A">
              <w:rPr>
                <w:noProof/>
                <w:webHidden/>
              </w:rPr>
              <w:instrText xml:space="preserve"> PAGEREF _Toc50031275 \h </w:instrText>
            </w:r>
            <w:r w:rsidR="00D57D8A">
              <w:rPr>
                <w:noProof/>
                <w:webHidden/>
              </w:rPr>
            </w:r>
            <w:r w:rsidR="00D57D8A">
              <w:rPr>
                <w:noProof/>
                <w:webHidden/>
              </w:rPr>
              <w:fldChar w:fldCharType="separate"/>
            </w:r>
            <w:r w:rsidR="00D57D8A">
              <w:rPr>
                <w:noProof/>
                <w:webHidden/>
              </w:rPr>
              <w:t>200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76" w:history="1">
            <w:r w:rsidR="00D57D8A" w:rsidRPr="00251ABB">
              <w:rPr>
                <w:rStyle w:val="Hipervnculo"/>
                <w:noProof/>
                <w:lang w:val="en-US"/>
              </w:rPr>
              <w:t>6. Acknowledgements</w:t>
            </w:r>
            <w:r w:rsidR="00D57D8A">
              <w:rPr>
                <w:noProof/>
                <w:webHidden/>
              </w:rPr>
              <w:tab/>
            </w:r>
            <w:r w:rsidR="00D57D8A">
              <w:rPr>
                <w:noProof/>
                <w:webHidden/>
              </w:rPr>
              <w:fldChar w:fldCharType="begin"/>
            </w:r>
            <w:r w:rsidR="00D57D8A">
              <w:rPr>
                <w:noProof/>
                <w:webHidden/>
              </w:rPr>
              <w:instrText xml:space="preserve"> PAGEREF _Toc50031276 \h </w:instrText>
            </w:r>
            <w:r w:rsidR="00D57D8A">
              <w:rPr>
                <w:noProof/>
                <w:webHidden/>
              </w:rPr>
            </w:r>
            <w:r w:rsidR="00D57D8A">
              <w:rPr>
                <w:noProof/>
                <w:webHidden/>
              </w:rPr>
              <w:fldChar w:fldCharType="separate"/>
            </w:r>
            <w:r w:rsidR="00D57D8A">
              <w:rPr>
                <w:noProof/>
                <w:webHidden/>
              </w:rPr>
              <w:t>201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77" w:history="1">
            <w:r w:rsidR="00D57D8A" w:rsidRPr="00251ABB">
              <w:rPr>
                <w:rStyle w:val="Hipervnculo"/>
                <w:noProof/>
              </w:rPr>
              <w:t>7. References</w:t>
            </w:r>
            <w:r w:rsidR="00D57D8A">
              <w:rPr>
                <w:noProof/>
                <w:webHidden/>
              </w:rPr>
              <w:tab/>
            </w:r>
            <w:r w:rsidR="00D57D8A">
              <w:rPr>
                <w:noProof/>
                <w:webHidden/>
              </w:rPr>
              <w:fldChar w:fldCharType="begin"/>
            </w:r>
            <w:r w:rsidR="00D57D8A">
              <w:rPr>
                <w:noProof/>
                <w:webHidden/>
              </w:rPr>
              <w:instrText xml:space="preserve"> PAGEREF _Toc50031277 \h </w:instrText>
            </w:r>
            <w:r w:rsidR="00D57D8A">
              <w:rPr>
                <w:noProof/>
                <w:webHidden/>
              </w:rPr>
            </w:r>
            <w:r w:rsidR="00D57D8A">
              <w:rPr>
                <w:noProof/>
                <w:webHidden/>
              </w:rPr>
              <w:fldChar w:fldCharType="separate"/>
            </w:r>
            <w:r w:rsidR="00D57D8A">
              <w:rPr>
                <w:noProof/>
                <w:webHidden/>
              </w:rPr>
              <w:t>201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78" w:history="1">
            <w:r w:rsidR="00D57D8A" w:rsidRPr="00251ABB">
              <w:rPr>
                <w:rStyle w:val="Hipervnculo"/>
                <w:caps/>
                <w:noProof/>
              </w:rPr>
              <w:t>1. R</w:t>
            </w:r>
            <w:r w:rsidR="00D57D8A" w:rsidRPr="00251ABB">
              <w:rPr>
                <w:rStyle w:val="Hipervnculo"/>
                <w:noProof/>
              </w:rPr>
              <w:t>esumen</w:t>
            </w:r>
            <w:r w:rsidR="00D57D8A">
              <w:rPr>
                <w:noProof/>
                <w:webHidden/>
              </w:rPr>
              <w:tab/>
            </w:r>
            <w:r w:rsidR="00D57D8A">
              <w:rPr>
                <w:noProof/>
                <w:webHidden/>
              </w:rPr>
              <w:fldChar w:fldCharType="begin"/>
            </w:r>
            <w:r w:rsidR="00D57D8A">
              <w:rPr>
                <w:noProof/>
                <w:webHidden/>
              </w:rPr>
              <w:instrText xml:space="preserve"> PAGEREF _Toc50031278 \h </w:instrText>
            </w:r>
            <w:r w:rsidR="00D57D8A">
              <w:rPr>
                <w:noProof/>
                <w:webHidden/>
              </w:rPr>
            </w:r>
            <w:r w:rsidR="00D57D8A">
              <w:rPr>
                <w:noProof/>
                <w:webHidden/>
              </w:rPr>
              <w:fldChar w:fldCharType="separate"/>
            </w:r>
            <w:r w:rsidR="00D57D8A">
              <w:rPr>
                <w:noProof/>
                <w:webHidden/>
              </w:rPr>
              <w:t>202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79" w:history="1">
            <w:r w:rsidR="00D57D8A" w:rsidRPr="00251ABB">
              <w:rPr>
                <w:rStyle w:val="Hipervnculo"/>
                <w:caps/>
                <w:noProof/>
              </w:rPr>
              <w:t>2. I</w:t>
            </w:r>
            <w:r w:rsidR="00D57D8A" w:rsidRPr="00251ABB">
              <w:rPr>
                <w:rStyle w:val="Hipervnculo"/>
                <w:noProof/>
              </w:rPr>
              <w:t>ntroducción</w:t>
            </w:r>
            <w:r w:rsidR="00D57D8A">
              <w:rPr>
                <w:noProof/>
                <w:webHidden/>
              </w:rPr>
              <w:tab/>
            </w:r>
            <w:r w:rsidR="00D57D8A">
              <w:rPr>
                <w:noProof/>
                <w:webHidden/>
              </w:rPr>
              <w:fldChar w:fldCharType="begin"/>
            </w:r>
            <w:r w:rsidR="00D57D8A">
              <w:rPr>
                <w:noProof/>
                <w:webHidden/>
              </w:rPr>
              <w:instrText xml:space="preserve"> PAGEREF _Toc50031279 \h </w:instrText>
            </w:r>
            <w:r w:rsidR="00D57D8A">
              <w:rPr>
                <w:noProof/>
                <w:webHidden/>
              </w:rPr>
            </w:r>
            <w:r w:rsidR="00D57D8A">
              <w:rPr>
                <w:noProof/>
                <w:webHidden/>
              </w:rPr>
              <w:fldChar w:fldCharType="separate"/>
            </w:r>
            <w:r w:rsidR="00D57D8A">
              <w:rPr>
                <w:noProof/>
                <w:webHidden/>
              </w:rPr>
              <w:t>203</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280" w:history="1">
            <w:r w:rsidR="00D57D8A" w:rsidRPr="00251ABB">
              <w:rPr>
                <w:rStyle w:val="Hipervnculo"/>
                <w:noProof/>
              </w:rPr>
              <w:t>2.1 Planta piloto y generación de agua renovada</w:t>
            </w:r>
            <w:r w:rsidR="00D57D8A">
              <w:rPr>
                <w:noProof/>
                <w:webHidden/>
              </w:rPr>
              <w:tab/>
            </w:r>
            <w:r w:rsidR="00D57D8A">
              <w:rPr>
                <w:noProof/>
                <w:webHidden/>
              </w:rPr>
              <w:fldChar w:fldCharType="begin"/>
            </w:r>
            <w:r w:rsidR="00D57D8A">
              <w:rPr>
                <w:noProof/>
                <w:webHidden/>
              </w:rPr>
              <w:instrText xml:space="preserve"> PAGEREF _Toc50031280 \h </w:instrText>
            </w:r>
            <w:r w:rsidR="00D57D8A">
              <w:rPr>
                <w:noProof/>
                <w:webHidden/>
              </w:rPr>
            </w:r>
            <w:r w:rsidR="00D57D8A">
              <w:rPr>
                <w:noProof/>
                <w:webHidden/>
              </w:rPr>
              <w:fldChar w:fldCharType="separate"/>
            </w:r>
            <w:r w:rsidR="00D57D8A">
              <w:rPr>
                <w:noProof/>
                <w:webHidden/>
              </w:rPr>
              <w:t>203</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281" w:history="1">
            <w:r w:rsidR="00D57D8A" w:rsidRPr="00251ABB">
              <w:rPr>
                <w:rStyle w:val="Hipervnculo"/>
                <w:noProof/>
              </w:rPr>
              <w:t>2.2 El pez cebra (Danio rerio) en bioensayos ecotoxicológicos como herramienta de monitoreo en la gestión del agua renovada</w:t>
            </w:r>
            <w:r w:rsidR="00D57D8A">
              <w:rPr>
                <w:noProof/>
                <w:webHidden/>
              </w:rPr>
              <w:tab/>
            </w:r>
            <w:r w:rsidR="00D57D8A">
              <w:rPr>
                <w:noProof/>
                <w:webHidden/>
              </w:rPr>
              <w:fldChar w:fldCharType="begin"/>
            </w:r>
            <w:r w:rsidR="00D57D8A">
              <w:rPr>
                <w:noProof/>
                <w:webHidden/>
              </w:rPr>
              <w:instrText xml:space="preserve"> PAGEREF _Toc50031281 \h </w:instrText>
            </w:r>
            <w:r w:rsidR="00D57D8A">
              <w:rPr>
                <w:noProof/>
                <w:webHidden/>
              </w:rPr>
            </w:r>
            <w:r w:rsidR="00D57D8A">
              <w:rPr>
                <w:noProof/>
                <w:webHidden/>
              </w:rPr>
              <w:fldChar w:fldCharType="separate"/>
            </w:r>
            <w:r w:rsidR="00D57D8A">
              <w:rPr>
                <w:noProof/>
                <w:webHidden/>
              </w:rPr>
              <w:t>204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82" w:history="1">
            <w:r w:rsidR="00D57D8A" w:rsidRPr="00251ABB">
              <w:rPr>
                <w:rStyle w:val="Hipervnculo"/>
                <w:caps/>
                <w:noProof/>
              </w:rPr>
              <w:t>3. C</w:t>
            </w:r>
            <w:r w:rsidR="00D57D8A" w:rsidRPr="00251ABB">
              <w:rPr>
                <w:rStyle w:val="Hipervnculo"/>
                <w:noProof/>
              </w:rPr>
              <w:t>ondiciones experimentales</w:t>
            </w:r>
            <w:r w:rsidR="00D57D8A">
              <w:rPr>
                <w:noProof/>
                <w:webHidden/>
              </w:rPr>
              <w:tab/>
            </w:r>
            <w:r w:rsidR="00D57D8A">
              <w:rPr>
                <w:noProof/>
                <w:webHidden/>
              </w:rPr>
              <w:fldChar w:fldCharType="begin"/>
            </w:r>
            <w:r w:rsidR="00D57D8A">
              <w:rPr>
                <w:noProof/>
                <w:webHidden/>
              </w:rPr>
              <w:instrText xml:space="preserve"> PAGEREF _Toc50031282 \h </w:instrText>
            </w:r>
            <w:r w:rsidR="00D57D8A">
              <w:rPr>
                <w:noProof/>
                <w:webHidden/>
              </w:rPr>
            </w:r>
            <w:r w:rsidR="00D57D8A">
              <w:rPr>
                <w:noProof/>
                <w:webHidden/>
              </w:rPr>
              <w:fldChar w:fldCharType="separate"/>
            </w:r>
            <w:r w:rsidR="00D57D8A">
              <w:rPr>
                <w:noProof/>
                <w:webHidden/>
              </w:rPr>
              <w:t>205</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283" w:history="1">
            <w:r w:rsidR="00D57D8A" w:rsidRPr="00251ABB">
              <w:rPr>
                <w:rStyle w:val="Hipervnculo"/>
                <w:noProof/>
              </w:rPr>
              <w:t>3.1 Caracterización y cuantificación de la carga de MCO por unidad de proceso de la PTP</w:t>
            </w:r>
            <w:r w:rsidR="00D57D8A">
              <w:rPr>
                <w:noProof/>
                <w:webHidden/>
              </w:rPr>
              <w:tab/>
            </w:r>
            <w:r w:rsidR="00D57D8A">
              <w:rPr>
                <w:noProof/>
                <w:webHidden/>
              </w:rPr>
              <w:fldChar w:fldCharType="begin"/>
            </w:r>
            <w:r w:rsidR="00D57D8A">
              <w:rPr>
                <w:noProof/>
                <w:webHidden/>
              </w:rPr>
              <w:instrText xml:space="preserve"> PAGEREF _Toc50031283 \h </w:instrText>
            </w:r>
            <w:r w:rsidR="00D57D8A">
              <w:rPr>
                <w:noProof/>
                <w:webHidden/>
              </w:rPr>
            </w:r>
            <w:r w:rsidR="00D57D8A">
              <w:rPr>
                <w:noProof/>
                <w:webHidden/>
              </w:rPr>
              <w:fldChar w:fldCharType="separate"/>
            </w:r>
            <w:r w:rsidR="00D57D8A">
              <w:rPr>
                <w:noProof/>
                <w:webHidden/>
              </w:rPr>
              <w:t>205</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284" w:history="1">
            <w:r w:rsidR="00D57D8A" w:rsidRPr="00251ABB">
              <w:rPr>
                <w:rStyle w:val="Hipervnculo"/>
                <w:noProof/>
              </w:rPr>
              <w:t>3.2 Bioensayos con D. rerio</w:t>
            </w:r>
            <w:r w:rsidR="00D57D8A">
              <w:rPr>
                <w:noProof/>
                <w:webHidden/>
              </w:rPr>
              <w:tab/>
            </w:r>
            <w:r w:rsidR="00D57D8A">
              <w:rPr>
                <w:noProof/>
                <w:webHidden/>
              </w:rPr>
              <w:fldChar w:fldCharType="begin"/>
            </w:r>
            <w:r w:rsidR="00D57D8A">
              <w:rPr>
                <w:noProof/>
                <w:webHidden/>
              </w:rPr>
              <w:instrText xml:space="preserve"> PAGEREF _Toc50031284 \h </w:instrText>
            </w:r>
            <w:r w:rsidR="00D57D8A">
              <w:rPr>
                <w:noProof/>
                <w:webHidden/>
              </w:rPr>
            </w:r>
            <w:r w:rsidR="00D57D8A">
              <w:rPr>
                <w:noProof/>
                <w:webHidden/>
              </w:rPr>
              <w:fldChar w:fldCharType="separate"/>
            </w:r>
            <w:r w:rsidR="00D57D8A">
              <w:rPr>
                <w:noProof/>
                <w:webHidden/>
              </w:rPr>
              <w:t>205</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285" w:history="1">
            <w:r w:rsidR="00D57D8A" w:rsidRPr="00251ABB">
              <w:rPr>
                <w:rStyle w:val="Hipervnculo"/>
                <w:noProof/>
              </w:rPr>
              <w:t>3.3 Determinación de la dosis letal 50 (DL50)</w:t>
            </w:r>
            <w:r w:rsidR="00D57D8A">
              <w:rPr>
                <w:noProof/>
                <w:webHidden/>
              </w:rPr>
              <w:tab/>
            </w:r>
            <w:r w:rsidR="00D57D8A">
              <w:rPr>
                <w:noProof/>
                <w:webHidden/>
              </w:rPr>
              <w:fldChar w:fldCharType="begin"/>
            </w:r>
            <w:r w:rsidR="00D57D8A">
              <w:rPr>
                <w:noProof/>
                <w:webHidden/>
              </w:rPr>
              <w:instrText xml:space="preserve"> PAGEREF _Toc50031285 \h </w:instrText>
            </w:r>
            <w:r w:rsidR="00D57D8A">
              <w:rPr>
                <w:noProof/>
                <w:webHidden/>
              </w:rPr>
            </w:r>
            <w:r w:rsidR="00D57D8A">
              <w:rPr>
                <w:noProof/>
                <w:webHidden/>
              </w:rPr>
              <w:fldChar w:fldCharType="separate"/>
            </w:r>
            <w:r w:rsidR="00D57D8A">
              <w:rPr>
                <w:noProof/>
                <w:webHidden/>
              </w:rPr>
              <w:t>206</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286" w:history="1">
            <w:r w:rsidR="00D57D8A" w:rsidRPr="00251ABB">
              <w:rPr>
                <w:rStyle w:val="Hipervnculo"/>
                <w:noProof/>
              </w:rPr>
              <w:t>3.4 Ensayo de comportamiento</w:t>
            </w:r>
            <w:r w:rsidR="00D57D8A">
              <w:rPr>
                <w:noProof/>
                <w:webHidden/>
              </w:rPr>
              <w:tab/>
            </w:r>
            <w:r w:rsidR="00D57D8A">
              <w:rPr>
                <w:noProof/>
                <w:webHidden/>
              </w:rPr>
              <w:fldChar w:fldCharType="begin"/>
            </w:r>
            <w:r w:rsidR="00D57D8A">
              <w:rPr>
                <w:noProof/>
                <w:webHidden/>
              </w:rPr>
              <w:instrText xml:space="preserve"> PAGEREF _Toc50031286 \h </w:instrText>
            </w:r>
            <w:r w:rsidR="00D57D8A">
              <w:rPr>
                <w:noProof/>
                <w:webHidden/>
              </w:rPr>
            </w:r>
            <w:r w:rsidR="00D57D8A">
              <w:rPr>
                <w:noProof/>
                <w:webHidden/>
              </w:rPr>
              <w:fldChar w:fldCharType="separate"/>
            </w:r>
            <w:r w:rsidR="00D57D8A">
              <w:rPr>
                <w:noProof/>
                <w:webHidden/>
              </w:rPr>
              <w:t>206</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287" w:history="1">
            <w:r w:rsidR="00D57D8A" w:rsidRPr="00251ABB">
              <w:rPr>
                <w:rStyle w:val="Hipervnculo"/>
                <w:noProof/>
              </w:rPr>
              <w:t>3.5 Balance económico</w:t>
            </w:r>
            <w:r w:rsidR="00D57D8A">
              <w:rPr>
                <w:noProof/>
                <w:webHidden/>
              </w:rPr>
              <w:tab/>
            </w:r>
            <w:r w:rsidR="00D57D8A">
              <w:rPr>
                <w:noProof/>
                <w:webHidden/>
              </w:rPr>
              <w:fldChar w:fldCharType="begin"/>
            </w:r>
            <w:r w:rsidR="00D57D8A">
              <w:rPr>
                <w:noProof/>
                <w:webHidden/>
              </w:rPr>
              <w:instrText xml:space="preserve"> PAGEREF _Toc50031287 \h </w:instrText>
            </w:r>
            <w:r w:rsidR="00D57D8A">
              <w:rPr>
                <w:noProof/>
                <w:webHidden/>
              </w:rPr>
            </w:r>
            <w:r w:rsidR="00D57D8A">
              <w:rPr>
                <w:noProof/>
                <w:webHidden/>
              </w:rPr>
              <w:fldChar w:fldCharType="separate"/>
            </w:r>
            <w:r w:rsidR="00D57D8A">
              <w:rPr>
                <w:noProof/>
                <w:webHidden/>
              </w:rPr>
              <w:t>207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88" w:history="1">
            <w:r w:rsidR="00D57D8A" w:rsidRPr="00251ABB">
              <w:rPr>
                <w:rStyle w:val="Hipervnculo"/>
                <w:noProof/>
              </w:rPr>
              <w:t>4. Resultados y discusión</w:t>
            </w:r>
            <w:r w:rsidR="00D57D8A">
              <w:rPr>
                <w:noProof/>
                <w:webHidden/>
              </w:rPr>
              <w:tab/>
            </w:r>
            <w:r w:rsidR="00D57D8A">
              <w:rPr>
                <w:noProof/>
                <w:webHidden/>
              </w:rPr>
              <w:fldChar w:fldCharType="begin"/>
            </w:r>
            <w:r w:rsidR="00D57D8A">
              <w:rPr>
                <w:noProof/>
                <w:webHidden/>
              </w:rPr>
              <w:instrText xml:space="preserve"> PAGEREF _Toc50031288 \h </w:instrText>
            </w:r>
            <w:r w:rsidR="00D57D8A">
              <w:rPr>
                <w:noProof/>
                <w:webHidden/>
              </w:rPr>
            </w:r>
            <w:r w:rsidR="00D57D8A">
              <w:rPr>
                <w:noProof/>
                <w:webHidden/>
              </w:rPr>
              <w:fldChar w:fldCharType="separate"/>
            </w:r>
            <w:r w:rsidR="00D57D8A">
              <w:rPr>
                <w:noProof/>
                <w:webHidden/>
              </w:rPr>
              <w:t>207</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289" w:history="1">
            <w:r w:rsidR="00D57D8A" w:rsidRPr="00251ABB">
              <w:rPr>
                <w:rStyle w:val="Hipervnculo"/>
                <w:noProof/>
              </w:rPr>
              <w:t>4.1 Caracterización y cuantificación de la carga de MCO por unidad de proceso</w:t>
            </w:r>
            <w:r w:rsidR="00D57D8A">
              <w:rPr>
                <w:noProof/>
                <w:webHidden/>
              </w:rPr>
              <w:tab/>
            </w:r>
            <w:r w:rsidR="00D57D8A">
              <w:rPr>
                <w:noProof/>
                <w:webHidden/>
              </w:rPr>
              <w:fldChar w:fldCharType="begin"/>
            </w:r>
            <w:r w:rsidR="00D57D8A">
              <w:rPr>
                <w:noProof/>
                <w:webHidden/>
              </w:rPr>
              <w:instrText xml:space="preserve"> PAGEREF _Toc50031289 \h </w:instrText>
            </w:r>
            <w:r w:rsidR="00D57D8A">
              <w:rPr>
                <w:noProof/>
                <w:webHidden/>
              </w:rPr>
            </w:r>
            <w:r w:rsidR="00D57D8A">
              <w:rPr>
                <w:noProof/>
                <w:webHidden/>
              </w:rPr>
              <w:fldChar w:fldCharType="separate"/>
            </w:r>
            <w:r w:rsidR="00D57D8A">
              <w:rPr>
                <w:noProof/>
                <w:webHidden/>
              </w:rPr>
              <w:t>207</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290" w:history="1">
            <w:r w:rsidR="00D57D8A" w:rsidRPr="00251ABB">
              <w:rPr>
                <w:rStyle w:val="Hipervnculo"/>
                <w:noProof/>
              </w:rPr>
              <w:t>4.2 Ensayos de mortalidad y determinación de DL50</w:t>
            </w:r>
            <w:r w:rsidR="00D57D8A">
              <w:rPr>
                <w:noProof/>
                <w:webHidden/>
              </w:rPr>
              <w:tab/>
            </w:r>
            <w:r w:rsidR="00D57D8A">
              <w:rPr>
                <w:noProof/>
                <w:webHidden/>
              </w:rPr>
              <w:fldChar w:fldCharType="begin"/>
            </w:r>
            <w:r w:rsidR="00D57D8A">
              <w:rPr>
                <w:noProof/>
                <w:webHidden/>
              </w:rPr>
              <w:instrText xml:space="preserve"> PAGEREF _Toc50031290 \h </w:instrText>
            </w:r>
            <w:r w:rsidR="00D57D8A">
              <w:rPr>
                <w:noProof/>
                <w:webHidden/>
              </w:rPr>
            </w:r>
            <w:r w:rsidR="00D57D8A">
              <w:rPr>
                <w:noProof/>
                <w:webHidden/>
              </w:rPr>
              <w:fldChar w:fldCharType="separate"/>
            </w:r>
            <w:r w:rsidR="00D57D8A">
              <w:rPr>
                <w:noProof/>
                <w:webHidden/>
              </w:rPr>
              <w:t>208</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291" w:history="1">
            <w:r w:rsidR="00D57D8A" w:rsidRPr="00251ABB">
              <w:rPr>
                <w:rStyle w:val="Hipervnculo"/>
                <w:noProof/>
              </w:rPr>
              <w:t>4.3 Ensayo de Comportamiento Motil</w:t>
            </w:r>
            <w:r w:rsidR="00D57D8A">
              <w:rPr>
                <w:noProof/>
                <w:webHidden/>
              </w:rPr>
              <w:tab/>
            </w:r>
            <w:r w:rsidR="00D57D8A">
              <w:rPr>
                <w:noProof/>
                <w:webHidden/>
              </w:rPr>
              <w:fldChar w:fldCharType="begin"/>
            </w:r>
            <w:r w:rsidR="00D57D8A">
              <w:rPr>
                <w:noProof/>
                <w:webHidden/>
              </w:rPr>
              <w:instrText xml:space="preserve"> PAGEREF _Toc50031291 \h </w:instrText>
            </w:r>
            <w:r w:rsidR="00D57D8A">
              <w:rPr>
                <w:noProof/>
                <w:webHidden/>
              </w:rPr>
            </w:r>
            <w:r w:rsidR="00D57D8A">
              <w:rPr>
                <w:noProof/>
                <w:webHidden/>
              </w:rPr>
              <w:fldChar w:fldCharType="separate"/>
            </w:r>
            <w:r w:rsidR="00D57D8A">
              <w:rPr>
                <w:noProof/>
                <w:webHidden/>
              </w:rPr>
              <w:t>211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92" w:history="1">
            <w:r w:rsidR="00D57D8A" w:rsidRPr="00251ABB">
              <w:rPr>
                <w:rStyle w:val="Hipervnculo"/>
                <w:noProof/>
              </w:rPr>
              <w:t>5. Balance económico: Costos y ventajas obtenidas</w:t>
            </w:r>
            <w:r w:rsidR="00D57D8A">
              <w:rPr>
                <w:noProof/>
                <w:webHidden/>
              </w:rPr>
              <w:tab/>
            </w:r>
            <w:r w:rsidR="00D57D8A">
              <w:rPr>
                <w:noProof/>
                <w:webHidden/>
              </w:rPr>
              <w:fldChar w:fldCharType="begin"/>
            </w:r>
            <w:r w:rsidR="00D57D8A">
              <w:rPr>
                <w:noProof/>
                <w:webHidden/>
              </w:rPr>
              <w:instrText xml:space="preserve"> PAGEREF _Toc50031292 \h </w:instrText>
            </w:r>
            <w:r w:rsidR="00D57D8A">
              <w:rPr>
                <w:noProof/>
                <w:webHidden/>
              </w:rPr>
            </w:r>
            <w:r w:rsidR="00D57D8A">
              <w:rPr>
                <w:noProof/>
                <w:webHidden/>
              </w:rPr>
              <w:fldChar w:fldCharType="separate"/>
            </w:r>
            <w:r w:rsidR="00D57D8A">
              <w:rPr>
                <w:noProof/>
                <w:webHidden/>
              </w:rPr>
              <w:t>213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93" w:history="1">
            <w:r w:rsidR="00D57D8A" w:rsidRPr="00251ABB">
              <w:rPr>
                <w:rStyle w:val="Hipervnculo"/>
                <w:caps/>
                <w:noProof/>
              </w:rPr>
              <w:t xml:space="preserve">6. </w:t>
            </w:r>
            <w:r w:rsidR="00D57D8A" w:rsidRPr="00251ABB">
              <w:rPr>
                <w:rStyle w:val="Hipervnculo"/>
                <w:noProof/>
              </w:rPr>
              <w:t>Conclusiones</w:t>
            </w:r>
            <w:r w:rsidR="00D57D8A">
              <w:rPr>
                <w:noProof/>
                <w:webHidden/>
              </w:rPr>
              <w:tab/>
            </w:r>
            <w:r w:rsidR="00D57D8A">
              <w:rPr>
                <w:noProof/>
                <w:webHidden/>
              </w:rPr>
              <w:fldChar w:fldCharType="begin"/>
            </w:r>
            <w:r w:rsidR="00D57D8A">
              <w:rPr>
                <w:noProof/>
                <w:webHidden/>
              </w:rPr>
              <w:instrText xml:space="preserve"> PAGEREF _Toc50031293 \h </w:instrText>
            </w:r>
            <w:r w:rsidR="00D57D8A">
              <w:rPr>
                <w:noProof/>
                <w:webHidden/>
              </w:rPr>
            </w:r>
            <w:r w:rsidR="00D57D8A">
              <w:rPr>
                <w:noProof/>
                <w:webHidden/>
              </w:rPr>
              <w:fldChar w:fldCharType="separate"/>
            </w:r>
            <w:r w:rsidR="00D57D8A">
              <w:rPr>
                <w:noProof/>
                <w:webHidden/>
              </w:rPr>
              <w:t>215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94" w:history="1">
            <w:r w:rsidR="00D57D8A" w:rsidRPr="00251ABB">
              <w:rPr>
                <w:rStyle w:val="Hipervnculo"/>
                <w:rFonts w:cs="Arial"/>
                <w:i/>
                <w:caps/>
                <w:noProof/>
              </w:rPr>
              <w:t>7. A</w:t>
            </w:r>
            <w:r w:rsidR="00D57D8A" w:rsidRPr="00251ABB">
              <w:rPr>
                <w:rStyle w:val="Hipervnculo"/>
                <w:rFonts w:cs="Arial"/>
                <w:i/>
                <w:noProof/>
              </w:rPr>
              <w:t>gradecimientos</w:t>
            </w:r>
            <w:r w:rsidR="00D57D8A">
              <w:rPr>
                <w:noProof/>
                <w:webHidden/>
              </w:rPr>
              <w:tab/>
            </w:r>
            <w:r w:rsidR="00D57D8A">
              <w:rPr>
                <w:noProof/>
                <w:webHidden/>
              </w:rPr>
              <w:fldChar w:fldCharType="begin"/>
            </w:r>
            <w:r w:rsidR="00D57D8A">
              <w:rPr>
                <w:noProof/>
                <w:webHidden/>
              </w:rPr>
              <w:instrText xml:space="preserve"> PAGEREF _Toc50031294 \h </w:instrText>
            </w:r>
            <w:r w:rsidR="00D57D8A">
              <w:rPr>
                <w:noProof/>
                <w:webHidden/>
              </w:rPr>
            </w:r>
            <w:r w:rsidR="00D57D8A">
              <w:rPr>
                <w:noProof/>
                <w:webHidden/>
              </w:rPr>
              <w:fldChar w:fldCharType="separate"/>
            </w:r>
            <w:r w:rsidR="00D57D8A">
              <w:rPr>
                <w:noProof/>
                <w:webHidden/>
              </w:rPr>
              <w:t>216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95" w:history="1">
            <w:r w:rsidR="00D57D8A" w:rsidRPr="00251ABB">
              <w:rPr>
                <w:rStyle w:val="Hipervnculo"/>
                <w:rFonts w:cs="Arial"/>
                <w:i/>
                <w:caps/>
                <w:noProof/>
              </w:rPr>
              <w:t xml:space="preserve">8. </w:t>
            </w:r>
            <w:r w:rsidR="00D57D8A" w:rsidRPr="00251ABB">
              <w:rPr>
                <w:rStyle w:val="Hipervnculo"/>
                <w:rFonts w:cs="Arial"/>
                <w:i/>
                <w:noProof/>
              </w:rPr>
              <w:t>Bibliografía</w:t>
            </w:r>
            <w:r w:rsidR="00D57D8A">
              <w:rPr>
                <w:noProof/>
                <w:webHidden/>
              </w:rPr>
              <w:tab/>
            </w:r>
            <w:r w:rsidR="00D57D8A">
              <w:rPr>
                <w:noProof/>
                <w:webHidden/>
              </w:rPr>
              <w:fldChar w:fldCharType="begin"/>
            </w:r>
            <w:r w:rsidR="00D57D8A">
              <w:rPr>
                <w:noProof/>
                <w:webHidden/>
              </w:rPr>
              <w:instrText xml:space="preserve"> PAGEREF _Toc50031295 \h </w:instrText>
            </w:r>
            <w:r w:rsidR="00D57D8A">
              <w:rPr>
                <w:noProof/>
                <w:webHidden/>
              </w:rPr>
            </w:r>
            <w:r w:rsidR="00D57D8A">
              <w:rPr>
                <w:noProof/>
                <w:webHidden/>
              </w:rPr>
              <w:fldChar w:fldCharType="separate"/>
            </w:r>
            <w:r w:rsidR="00D57D8A">
              <w:rPr>
                <w:noProof/>
                <w:webHidden/>
              </w:rPr>
              <w:t>216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96" w:history="1">
            <w:r w:rsidR="00D57D8A" w:rsidRPr="00251ABB">
              <w:rPr>
                <w:rStyle w:val="Hipervnculo"/>
                <w:noProof/>
              </w:rPr>
              <w:t>Digestión anaeróbica para la producción de fitorreguladores: efecto del pH inicial y caracterización microbiana del proceso</w:t>
            </w:r>
            <w:r w:rsidR="00D57D8A">
              <w:rPr>
                <w:noProof/>
                <w:webHidden/>
              </w:rPr>
              <w:tab/>
            </w:r>
            <w:r w:rsidR="00D57D8A">
              <w:rPr>
                <w:noProof/>
                <w:webHidden/>
              </w:rPr>
              <w:fldChar w:fldCharType="begin"/>
            </w:r>
            <w:r w:rsidR="00D57D8A">
              <w:rPr>
                <w:noProof/>
                <w:webHidden/>
              </w:rPr>
              <w:instrText xml:space="preserve"> PAGEREF _Toc50031296 \h </w:instrText>
            </w:r>
            <w:r w:rsidR="00D57D8A">
              <w:rPr>
                <w:noProof/>
                <w:webHidden/>
              </w:rPr>
            </w:r>
            <w:r w:rsidR="00D57D8A">
              <w:rPr>
                <w:noProof/>
                <w:webHidden/>
              </w:rPr>
              <w:fldChar w:fldCharType="separate"/>
            </w:r>
            <w:r w:rsidR="00D57D8A">
              <w:rPr>
                <w:noProof/>
                <w:webHidden/>
              </w:rPr>
              <w:t>217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97" w:history="1">
            <w:r w:rsidR="00D57D8A" w:rsidRPr="00251ABB">
              <w:rPr>
                <w:rStyle w:val="Hipervnculo"/>
                <w:rFonts w:cs="Arial"/>
                <w:i/>
                <w:caps/>
                <w:noProof/>
              </w:rPr>
              <w:t>1. R</w:t>
            </w:r>
            <w:r w:rsidR="00D57D8A" w:rsidRPr="00251ABB">
              <w:rPr>
                <w:rStyle w:val="Hipervnculo"/>
                <w:rFonts w:cs="Arial"/>
                <w:i/>
                <w:noProof/>
              </w:rPr>
              <w:t>esumen</w:t>
            </w:r>
            <w:r w:rsidR="00D57D8A">
              <w:rPr>
                <w:noProof/>
                <w:webHidden/>
              </w:rPr>
              <w:tab/>
            </w:r>
            <w:r w:rsidR="00D57D8A">
              <w:rPr>
                <w:noProof/>
                <w:webHidden/>
              </w:rPr>
              <w:fldChar w:fldCharType="begin"/>
            </w:r>
            <w:r w:rsidR="00D57D8A">
              <w:rPr>
                <w:noProof/>
                <w:webHidden/>
              </w:rPr>
              <w:instrText xml:space="preserve"> PAGEREF _Toc50031297 \h </w:instrText>
            </w:r>
            <w:r w:rsidR="00D57D8A">
              <w:rPr>
                <w:noProof/>
                <w:webHidden/>
              </w:rPr>
            </w:r>
            <w:r w:rsidR="00D57D8A">
              <w:rPr>
                <w:noProof/>
                <w:webHidden/>
              </w:rPr>
              <w:fldChar w:fldCharType="separate"/>
            </w:r>
            <w:r w:rsidR="00D57D8A">
              <w:rPr>
                <w:noProof/>
                <w:webHidden/>
              </w:rPr>
              <w:t>217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98" w:history="1">
            <w:r w:rsidR="00D57D8A" w:rsidRPr="00251ABB">
              <w:rPr>
                <w:rStyle w:val="Hipervnculo"/>
                <w:rFonts w:cs="Arial"/>
                <w:i/>
                <w:caps/>
                <w:noProof/>
              </w:rPr>
              <w:t>2. I</w:t>
            </w:r>
            <w:r w:rsidR="00D57D8A" w:rsidRPr="00251ABB">
              <w:rPr>
                <w:rStyle w:val="Hipervnculo"/>
                <w:rFonts w:cs="Arial"/>
                <w:i/>
                <w:noProof/>
              </w:rPr>
              <w:t>ntroducción</w:t>
            </w:r>
            <w:r w:rsidR="00D57D8A">
              <w:rPr>
                <w:noProof/>
                <w:webHidden/>
              </w:rPr>
              <w:tab/>
            </w:r>
            <w:r w:rsidR="00D57D8A">
              <w:rPr>
                <w:noProof/>
                <w:webHidden/>
              </w:rPr>
              <w:fldChar w:fldCharType="begin"/>
            </w:r>
            <w:r w:rsidR="00D57D8A">
              <w:rPr>
                <w:noProof/>
                <w:webHidden/>
              </w:rPr>
              <w:instrText xml:space="preserve"> PAGEREF _Toc50031298 \h </w:instrText>
            </w:r>
            <w:r w:rsidR="00D57D8A">
              <w:rPr>
                <w:noProof/>
                <w:webHidden/>
              </w:rPr>
            </w:r>
            <w:r w:rsidR="00D57D8A">
              <w:rPr>
                <w:noProof/>
                <w:webHidden/>
              </w:rPr>
              <w:fldChar w:fldCharType="separate"/>
            </w:r>
            <w:r w:rsidR="00D57D8A">
              <w:rPr>
                <w:noProof/>
                <w:webHidden/>
              </w:rPr>
              <w:t>218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299" w:history="1">
            <w:r w:rsidR="00D57D8A" w:rsidRPr="00251ABB">
              <w:rPr>
                <w:rStyle w:val="Hipervnculo"/>
                <w:rFonts w:cs="Arial"/>
                <w:i/>
                <w:caps/>
                <w:noProof/>
              </w:rPr>
              <w:t>3. C</w:t>
            </w:r>
            <w:r w:rsidR="00D57D8A" w:rsidRPr="00251ABB">
              <w:rPr>
                <w:rStyle w:val="Hipervnculo"/>
                <w:rFonts w:cs="Arial"/>
                <w:i/>
                <w:noProof/>
              </w:rPr>
              <w:t>ondiciones experimentales</w:t>
            </w:r>
            <w:r w:rsidR="00D57D8A">
              <w:rPr>
                <w:noProof/>
                <w:webHidden/>
              </w:rPr>
              <w:tab/>
            </w:r>
            <w:r w:rsidR="00D57D8A">
              <w:rPr>
                <w:noProof/>
                <w:webHidden/>
              </w:rPr>
              <w:fldChar w:fldCharType="begin"/>
            </w:r>
            <w:r w:rsidR="00D57D8A">
              <w:rPr>
                <w:noProof/>
                <w:webHidden/>
              </w:rPr>
              <w:instrText xml:space="preserve"> PAGEREF _Toc50031299 \h </w:instrText>
            </w:r>
            <w:r w:rsidR="00D57D8A">
              <w:rPr>
                <w:noProof/>
                <w:webHidden/>
              </w:rPr>
            </w:r>
            <w:r w:rsidR="00D57D8A">
              <w:rPr>
                <w:noProof/>
                <w:webHidden/>
              </w:rPr>
              <w:fldChar w:fldCharType="separate"/>
            </w:r>
            <w:r w:rsidR="00D57D8A">
              <w:rPr>
                <w:noProof/>
                <w:webHidden/>
              </w:rPr>
              <w:t>218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00" w:history="1">
            <w:r w:rsidR="00D57D8A" w:rsidRPr="00251ABB">
              <w:rPr>
                <w:rStyle w:val="Hipervnculo"/>
                <w:rFonts w:cs="Arial"/>
                <w:i/>
                <w:caps/>
                <w:noProof/>
              </w:rPr>
              <w:t xml:space="preserve">4. </w:t>
            </w:r>
            <w:r w:rsidR="00D57D8A" w:rsidRPr="00251ABB">
              <w:rPr>
                <w:rStyle w:val="Hipervnculo"/>
                <w:rFonts w:cs="Arial"/>
                <w:i/>
                <w:noProof/>
              </w:rPr>
              <w:t>Resultados y discusión</w:t>
            </w:r>
            <w:r w:rsidR="00D57D8A">
              <w:rPr>
                <w:noProof/>
                <w:webHidden/>
              </w:rPr>
              <w:tab/>
            </w:r>
            <w:r w:rsidR="00D57D8A">
              <w:rPr>
                <w:noProof/>
                <w:webHidden/>
              </w:rPr>
              <w:fldChar w:fldCharType="begin"/>
            </w:r>
            <w:r w:rsidR="00D57D8A">
              <w:rPr>
                <w:noProof/>
                <w:webHidden/>
              </w:rPr>
              <w:instrText xml:space="preserve"> PAGEREF _Toc50031300 \h </w:instrText>
            </w:r>
            <w:r w:rsidR="00D57D8A">
              <w:rPr>
                <w:noProof/>
                <w:webHidden/>
              </w:rPr>
            </w:r>
            <w:r w:rsidR="00D57D8A">
              <w:rPr>
                <w:noProof/>
                <w:webHidden/>
              </w:rPr>
              <w:fldChar w:fldCharType="separate"/>
            </w:r>
            <w:r w:rsidR="00D57D8A">
              <w:rPr>
                <w:noProof/>
                <w:webHidden/>
              </w:rPr>
              <w:t>221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01" w:history="1">
            <w:r w:rsidR="00D57D8A" w:rsidRPr="00251ABB">
              <w:rPr>
                <w:rStyle w:val="Hipervnculo"/>
                <w:rFonts w:cs="Arial"/>
                <w:i/>
                <w:caps/>
                <w:noProof/>
              </w:rPr>
              <w:t xml:space="preserve">5. </w:t>
            </w:r>
            <w:r w:rsidR="00D57D8A" w:rsidRPr="00251ABB">
              <w:rPr>
                <w:rStyle w:val="Hipervnculo"/>
                <w:rFonts w:cs="Arial"/>
                <w:i/>
                <w:noProof/>
              </w:rPr>
              <w:t>Conclusiones</w:t>
            </w:r>
            <w:r w:rsidR="00D57D8A">
              <w:rPr>
                <w:noProof/>
                <w:webHidden/>
              </w:rPr>
              <w:tab/>
            </w:r>
            <w:r w:rsidR="00D57D8A">
              <w:rPr>
                <w:noProof/>
                <w:webHidden/>
              </w:rPr>
              <w:fldChar w:fldCharType="begin"/>
            </w:r>
            <w:r w:rsidR="00D57D8A">
              <w:rPr>
                <w:noProof/>
                <w:webHidden/>
              </w:rPr>
              <w:instrText xml:space="preserve"> PAGEREF _Toc50031301 \h </w:instrText>
            </w:r>
            <w:r w:rsidR="00D57D8A">
              <w:rPr>
                <w:noProof/>
                <w:webHidden/>
              </w:rPr>
            </w:r>
            <w:r w:rsidR="00D57D8A">
              <w:rPr>
                <w:noProof/>
                <w:webHidden/>
              </w:rPr>
              <w:fldChar w:fldCharType="separate"/>
            </w:r>
            <w:r w:rsidR="00D57D8A">
              <w:rPr>
                <w:noProof/>
                <w:webHidden/>
              </w:rPr>
              <w:t>225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02" w:history="1">
            <w:r w:rsidR="00D57D8A" w:rsidRPr="00251ABB">
              <w:rPr>
                <w:rStyle w:val="Hipervnculo"/>
                <w:rFonts w:cs="Arial"/>
                <w:i/>
                <w:caps/>
                <w:noProof/>
                <w:lang w:val="en-US"/>
              </w:rPr>
              <w:t xml:space="preserve">6. </w:t>
            </w:r>
            <w:r w:rsidR="00D57D8A" w:rsidRPr="00251ABB">
              <w:rPr>
                <w:rStyle w:val="Hipervnculo"/>
                <w:rFonts w:cs="Arial"/>
                <w:i/>
                <w:noProof/>
                <w:lang w:val="en-US"/>
              </w:rPr>
              <w:t>Bibliografía</w:t>
            </w:r>
            <w:r w:rsidR="00D57D8A">
              <w:rPr>
                <w:noProof/>
                <w:webHidden/>
              </w:rPr>
              <w:tab/>
            </w:r>
            <w:r w:rsidR="00D57D8A">
              <w:rPr>
                <w:noProof/>
                <w:webHidden/>
              </w:rPr>
              <w:fldChar w:fldCharType="begin"/>
            </w:r>
            <w:r w:rsidR="00D57D8A">
              <w:rPr>
                <w:noProof/>
                <w:webHidden/>
              </w:rPr>
              <w:instrText xml:space="preserve"> PAGEREF _Toc50031302 \h </w:instrText>
            </w:r>
            <w:r w:rsidR="00D57D8A">
              <w:rPr>
                <w:noProof/>
                <w:webHidden/>
              </w:rPr>
            </w:r>
            <w:r w:rsidR="00D57D8A">
              <w:rPr>
                <w:noProof/>
                <w:webHidden/>
              </w:rPr>
              <w:fldChar w:fldCharType="separate"/>
            </w:r>
            <w:r w:rsidR="00D57D8A">
              <w:rPr>
                <w:noProof/>
                <w:webHidden/>
              </w:rPr>
              <w:t>225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03" w:history="1">
            <w:r w:rsidR="00D57D8A" w:rsidRPr="00251ABB">
              <w:rPr>
                <w:rStyle w:val="Hipervnculo"/>
                <w:noProof/>
              </w:rPr>
              <w:t>Efecto fertilizante de digestatos en cultivo de pasto Ballico perenne</w:t>
            </w:r>
            <w:r w:rsidR="00D57D8A">
              <w:rPr>
                <w:noProof/>
                <w:webHidden/>
              </w:rPr>
              <w:tab/>
            </w:r>
            <w:r w:rsidR="00D57D8A">
              <w:rPr>
                <w:noProof/>
                <w:webHidden/>
              </w:rPr>
              <w:fldChar w:fldCharType="begin"/>
            </w:r>
            <w:r w:rsidR="00D57D8A">
              <w:rPr>
                <w:noProof/>
                <w:webHidden/>
              </w:rPr>
              <w:instrText xml:space="preserve"> PAGEREF _Toc50031303 \h </w:instrText>
            </w:r>
            <w:r w:rsidR="00D57D8A">
              <w:rPr>
                <w:noProof/>
                <w:webHidden/>
              </w:rPr>
            </w:r>
            <w:r w:rsidR="00D57D8A">
              <w:rPr>
                <w:noProof/>
                <w:webHidden/>
              </w:rPr>
              <w:fldChar w:fldCharType="separate"/>
            </w:r>
            <w:r w:rsidR="00D57D8A">
              <w:rPr>
                <w:noProof/>
                <w:webHidden/>
              </w:rPr>
              <w:t>227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04" w:history="1">
            <w:r w:rsidR="00D57D8A" w:rsidRPr="00251ABB">
              <w:rPr>
                <w:rStyle w:val="Hipervnculo"/>
                <w:rFonts w:ascii="Arial" w:hAnsi="Arial" w:cs="Arial"/>
                <w:i/>
                <w:caps/>
                <w:noProof/>
              </w:rPr>
              <w:t>1. R</w:t>
            </w:r>
            <w:r w:rsidR="00D57D8A" w:rsidRPr="00251ABB">
              <w:rPr>
                <w:rStyle w:val="Hipervnculo"/>
                <w:rFonts w:ascii="Arial" w:hAnsi="Arial" w:cs="Arial"/>
                <w:i/>
                <w:noProof/>
              </w:rPr>
              <w:t>esumen</w:t>
            </w:r>
            <w:r w:rsidR="00D57D8A">
              <w:rPr>
                <w:noProof/>
                <w:webHidden/>
              </w:rPr>
              <w:tab/>
            </w:r>
            <w:r w:rsidR="00D57D8A">
              <w:rPr>
                <w:noProof/>
                <w:webHidden/>
              </w:rPr>
              <w:fldChar w:fldCharType="begin"/>
            </w:r>
            <w:r w:rsidR="00D57D8A">
              <w:rPr>
                <w:noProof/>
                <w:webHidden/>
              </w:rPr>
              <w:instrText xml:space="preserve"> PAGEREF _Toc50031304 \h </w:instrText>
            </w:r>
            <w:r w:rsidR="00D57D8A">
              <w:rPr>
                <w:noProof/>
                <w:webHidden/>
              </w:rPr>
            </w:r>
            <w:r w:rsidR="00D57D8A">
              <w:rPr>
                <w:noProof/>
                <w:webHidden/>
              </w:rPr>
              <w:fldChar w:fldCharType="separate"/>
            </w:r>
            <w:r w:rsidR="00D57D8A">
              <w:rPr>
                <w:noProof/>
                <w:webHidden/>
              </w:rPr>
              <w:t>227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05"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ntroducción</w:t>
            </w:r>
            <w:r w:rsidR="00D57D8A">
              <w:rPr>
                <w:noProof/>
                <w:webHidden/>
              </w:rPr>
              <w:tab/>
            </w:r>
            <w:r w:rsidR="00D57D8A">
              <w:rPr>
                <w:noProof/>
                <w:webHidden/>
              </w:rPr>
              <w:fldChar w:fldCharType="begin"/>
            </w:r>
            <w:r w:rsidR="00D57D8A">
              <w:rPr>
                <w:noProof/>
                <w:webHidden/>
              </w:rPr>
              <w:instrText xml:space="preserve"> PAGEREF _Toc50031305 \h </w:instrText>
            </w:r>
            <w:r w:rsidR="00D57D8A">
              <w:rPr>
                <w:noProof/>
                <w:webHidden/>
              </w:rPr>
            </w:r>
            <w:r w:rsidR="00D57D8A">
              <w:rPr>
                <w:noProof/>
                <w:webHidden/>
              </w:rPr>
              <w:fldChar w:fldCharType="separate"/>
            </w:r>
            <w:r w:rsidR="00D57D8A">
              <w:rPr>
                <w:noProof/>
                <w:webHidden/>
              </w:rPr>
              <w:t>227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06" w:history="1">
            <w:r w:rsidR="00D57D8A" w:rsidRPr="00251ABB">
              <w:rPr>
                <w:rStyle w:val="Hipervnculo"/>
                <w:rFonts w:ascii="Arial" w:hAnsi="Arial" w:cs="Arial"/>
                <w:i/>
                <w:caps/>
                <w:noProof/>
              </w:rPr>
              <w:t>3. C</w:t>
            </w:r>
            <w:r w:rsidR="00D57D8A" w:rsidRPr="00251ABB">
              <w:rPr>
                <w:rStyle w:val="Hipervnculo"/>
                <w:rFonts w:ascii="Arial" w:hAnsi="Arial" w:cs="Arial"/>
                <w:i/>
                <w:noProof/>
              </w:rPr>
              <w:t>ondiciones experimentales</w:t>
            </w:r>
            <w:r w:rsidR="00D57D8A">
              <w:rPr>
                <w:noProof/>
                <w:webHidden/>
              </w:rPr>
              <w:tab/>
            </w:r>
            <w:r w:rsidR="00D57D8A">
              <w:rPr>
                <w:noProof/>
                <w:webHidden/>
              </w:rPr>
              <w:fldChar w:fldCharType="begin"/>
            </w:r>
            <w:r w:rsidR="00D57D8A">
              <w:rPr>
                <w:noProof/>
                <w:webHidden/>
              </w:rPr>
              <w:instrText xml:space="preserve"> PAGEREF _Toc50031306 \h </w:instrText>
            </w:r>
            <w:r w:rsidR="00D57D8A">
              <w:rPr>
                <w:noProof/>
                <w:webHidden/>
              </w:rPr>
            </w:r>
            <w:r w:rsidR="00D57D8A">
              <w:rPr>
                <w:noProof/>
                <w:webHidden/>
              </w:rPr>
              <w:fldChar w:fldCharType="separate"/>
            </w:r>
            <w:r w:rsidR="00D57D8A">
              <w:rPr>
                <w:noProof/>
                <w:webHidden/>
              </w:rPr>
              <w:t>229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07" w:history="1">
            <w:r w:rsidR="00D57D8A" w:rsidRPr="00251ABB">
              <w:rPr>
                <w:rStyle w:val="Hipervnculo"/>
                <w:rFonts w:ascii="Arial" w:hAnsi="Arial" w:cs="Arial"/>
                <w:i/>
                <w:caps/>
                <w:noProof/>
              </w:rPr>
              <w:t xml:space="preserve">4. </w:t>
            </w:r>
            <w:r w:rsidR="00D57D8A" w:rsidRPr="00251ABB">
              <w:rPr>
                <w:rStyle w:val="Hipervnculo"/>
                <w:rFonts w:ascii="Arial" w:hAnsi="Arial" w:cs="Arial"/>
                <w:i/>
                <w:noProof/>
              </w:rPr>
              <w:t>Resultados y discusión</w:t>
            </w:r>
            <w:r w:rsidR="00D57D8A">
              <w:rPr>
                <w:noProof/>
                <w:webHidden/>
              </w:rPr>
              <w:tab/>
            </w:r>
            <w:r w:rsidR="00D57D8A">
              <w:rPr>
                <w:noProof/>
                <w:webHidden/>
              </w:rPr>
              <w:fldChar w:fldCharType="begin"/>
            </w:r>
            <w:r w:rsidR="00D57D8A">
              <w:rPr>
                <w:noProof/>
                <w:webHidden/>
              </w:rPr>
              <w:instrText xml:space="preserve"> PAGEREF _Toc50031307 \h </w:instrText>
            </w:r>
            <w:r w:rsidR="00D57D8A">
              <w:rPr>
                <w:noProof/>
                <w:webHidden/>
              </w:rPr>
            </w:r>
            <w:r w:rsidR="00D57D8A">
              <w:rPr>
                <w:noProof/>
                <w:webHidden/>
              </w:rPr>
              <w:fldChar w:fldCharType="separate"/>
            </w:r>
            <w:r w:rsidR="00D57D8A">
              <w:rPr>
                <w:noProof/>
                <w:webHidden/>
              </w:rPr>
              <w:t>230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08" w:history="1">
            <w:r w:rsidR="00D57D8A" w:rsidRPr="00251ABB">
              <w:rPr>
                <w:rStyle w:val="Hipervnculo"/>
                <w:rFonts w:ascii="Arial" w:hAnsi="Arial" w:cs="Arial"/>
                <w:i/>
                <w:caps/>
                <w:noProof/>
              </w:rPr>
              <w:t xml:space="preserve">5. </w:t>
            </w:r>
            <w:r w:rsidR="00D57D8A" w:rsidRPr="00251ABB">
              <w:rPr>
                <w:rStyle w:val="Hipervnculo"/>
                <w:rFonts w:ascii="Arial" w:hAnsi="Arial" w:cs="Arial"/>
                <w:i/>
                <w:noProof/>
              </w:rPr>
              <w:t>Conclusiones</w:t>
            </w:r>
            <w:r w:rsidR="00D57D8A">
              <w:rPr>
                <w:noProof/>
                <w:webHidden/>
              </w:rPr>
              <w:tab/>
            </w:r>
            <w:r w:rsidR="00D57D8A">
              <w:rPr>
                <w:noProof/>
                <w:webHidden/>
              </w:rPr>
              <w:fldChar w:fldCharType="begin"/>
            </w:r>
            <w:r w:rsidR="00D57D8A">
              <w:rPr>
                <w:noProof/>
                <w:webHidden/>
              </w:rPr>
              <w:instrText xml:space="preserve"> PAGEREF _Toc50031308 \h </w:instrText>
            </w:r>
            <w:r w:rsidR="00D57D8A">
              <w:rPr>
                <w:noProof/>
                <w:webHidden/>
              </w:rPr>
            </w:r>
            <w:r w:rsidR="00D57D8A">
              <w:rPr>
                <w:noProof/>
                <w:webHidden/>
              </w:rPr>
              <w:fldChar w:fldCharType="separate"/>
            </w:r>
            <w:r w:rsidR="00D57D8A">
              <w:rPr>
                <w:noProof/>
                <w:webHidden/>
              </w:rPr>
              <w:t>233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09" w:history="1">
            <w:r w:rsidR="00D57D8A" w:rsidRPr="00251ABB">
              <w:rPr>
                <w:rStyle w:val="Hipervnculo"/>
                <w:rFonts w:ascii="Arial" w:hAnsi="Arial" w:cs="Arial"/>
                <w:i/>
                <w:caps/>
                <w:noProof/>
              </w:rPr>
              <w:t xml:space="preserve">6. </w:t>
            </w:r>
            <w:r w:rsidR="00D57D8A" w:rsidRPr="00251ABB">
              <w:rPr>
                <w:rStyle w:val="Hipervnculo"/>
                <w:rFonts w:ascii="Arial" w:hAnsi="Arial" w:cs="Arial"/>
                <w:i/>
                <w:noProof/>
              </w:rPr>
              <w:t>Bibliografía</w:t>
            </w:r>
            <w:r w:rsidR="00D57D8A">
              <w:rPr>
                <w:noProof/>
                <w:webHidden/>
              </w:rPr>
              <w:tab/>
            </w:r>
            <w:r w:rsidR="00D57D8A">
              <w:rPr>
                <w:noProof/>
                <w:webHidden/>
              </w:rPr>
              <w:fldChar w:fldCharType="begin"/>
            </w:r>
            <w:r w:rsidR="00D57D8A">
              <w:rPr>
                <w:noProof/>
                <w:webHidden/>
              </w:rPr>
              <w:instrText xml:space="preserve"> PAGEREF _Toc50031309 \h </w:instrText>
            </w:r>
            <w:r w:rsidR="00D57D8A">
              <w:rPr>
                <w:noProof/>
                <w:webHidden/>
              </w:rPr>
            </w:r>
            <w:r w:rsidR="00D57D8A">
              <w:rPr>
                <w:noProof/>
                <w:webHidden/>
              </w:rPr>
              <w:fldChar w:fldCharType="separate"/>
            </w:r>
            <w:r w:rsidR="00D57D8A">
              <w:rPr>
                <w:noProof/>
                <w:webHidden/>
              </w:rPr>
              <w:t>233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10" w:history="1">
            <w:r w:rsidR="00D57D8A" w:rsidRPr="00251ABB">
              <w:rPr>
                <w:rStyle w:val="Hipervnculo"/>
                <w:noProof/>
              </w:rPr>
              <w:t xml:space="preserve">Obtención de glucosa proveniente de la Papa </w:t>
            </w:r>
            <w:r w:rsidR="00D57D8A" w:rsidRPr="00251ABB">
              <w:rPr>
                <w:rStyle w:val="Hipervnculo"/>
                <w:i/>
                <w:iCs/>
                <w:noProof/>
              </w:rPr>
              <w:t>Oxalis Tuberosa</w:t>
            </w:r>
            <w:r w:rsidR="00D57D8A" w:rsidRPr="00251ABB">
              <w:rPr>
                <w:rStyle w:val="Hipervnculo"/>
                <w:noProof/>
              </w:rPr>
              <w:t xml:space="preserve"> empleando dos enzimas comerciales y tres sustratos enzimáticos</w:t>
            </w:r>
            <w:r w:rsidR="00D57D8A">
              <w:rPr>
                <w:noProof/>
                <w:webHidden/>
              </w:rPr>
              <w:tab/>
            </w:r>
            <w:r w:rsidR="00D57D8A">
              <w:rPr>
                <w:noProof/>
                <w:webHidden/>
              </w:rPr>
              <w:fldChar w:fldCharType="begin"/>
            </w:r>
            <w:r w:rsidR="00D57D8A">
              <w:rPr>
                <w:noProof/>
                <w:webHidden/>
              </w:rPr>
              <w:instrText xml:space="preserve"> PAGEREF _Toc50031310 \h </w:instrText>
            </w:r>
            <w:r w:rsidR="00D57D8A">
              <w:rPr>
                <w:noProof/>
                <w:webHidden/>
              </w:rPr>
            </w:r>
            <w:r w:rsidR="00D57D8A">
              <w:rPr>
                <w:noProof/>
                <w:webHidden/>
              </w:rPr>
              <w:fldChar w:fldCharType="separate"/>
            </w:r>
            <w:r w:rsidR="00D57D8A">
              <w:rPr>
                <w:noProof/>
                <w:webHidden/>
              </w:rPr>
              <w:t>234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11" w:history="1">
            <w:r w:rsidR="00D57D8A" w:rsidRPr="00251ABB">
              <w:rPr>
                <w:rStyle w:val="Hipervnculo"/>
                <w:rFonts w:ascii="Arial" w:hAnsi="Arial" w:cs="Arial"/>
                <w:caps/>
                <w:noProof/>
              </w:rPr>
              <w:t>1. R</w:t>
            </w:r>
            <w:r w:rsidR="00D57D8A" w:rsidRPr="00251ABB">
              <w:rPr>
                <w:rStyle w:val="Hipervnculo"/>
                <w:rFonts w:ascii="Arial" w:hAnsi="Arial" w:cs="Arial"/>
                <w:noProof/>
              </w:rPr>
              <w:t>esumen</w:t>
            </w:r>
            <w:r w:rsidR="00D57D8A">
              <w:rPr>
                <w:noProof/>
                <w:webHidden/>
              </w:rPr>
              <w:tab/>
            </w:r>
            <w:r w:rsidR="00D57D8A">
              <w:rPr>
                <w:noProof/>
                <w:webHidden/>
              </w:rPr>
              <w:fldChar w:fldCharType="begin"/>
            </w:r>
            <w:r w:rsidR="00D57D8A">
              <w:rPr>
                <w:noProof/>
                <w:webHidden/>
              </w:rPr>
              <w:instrText xml:space="preserve"> PAGEREF _Toc50031311 \h </w:instrText>
            </w:r>
            <w:r w:rsidR="00D57D8A">
              <w:rPr>
                <w:noProof/>
                <w:webHidden/>
              </w:rPr>
            </w:r>
            <w:r w:rsidR="00D57D8A">
              <w:rPr>
                <w:noProof/>
                <w:webHidden/>
              </w:rPr>
              <w:fldChar w:fldCharType="separate"/>
            </w:r>
            <w:r w:rsidR="00D57D8A">
              <w:rPr>
                <w:noProof/>
                <w:webHidden/>
              </w:rPr>
              <w:t>235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12" w:history="1">
            <w:r w:rsidR="00D57D8A" w:rsidRPr="00251ABB">
              <w:rPr>
                <w:rStyle w:val="Hipervnculo"/>
                <w:rFonts w:ascii="Arial" w:hAnsi="Arial" w:cs="Arial"/>
                <w:caps/>
                <w:noProof/>
              </w:rPr>
              <w:t>2. I</w:t>
            </w:r>
            <w:r w:rsidR="00D57D8A" w:rsidRPr="00251ABB">
              <w:rPr>
                <w:rStyle w:val="Hipervnculo"/>
                <w:rFonts w:ascii="Arial" w:hAnsi="Arial" w:cs="Arial"/>
                <w:noProof/>
              </w:rPr>
              <w:t>ntroducción</w:t>
            </w:r>
            <w:r w:rsidR="00D57D8A">
              <w:rPr>
                <w:noProof/>
                <w:webHidden/>
              </w:rPr>
              <w:tab/>
            </w:r>
            <w:r w:rsidR="00D57D8A">
              <w:rPr>
                <w:noProof/>
                <w:webHidden/>
              </w:rPr>
              <w:fldChar w:fldCharType="begin"/>
            </w:r>
            <w:r w:rsidR="00D57D8A">
              <w:rPr>
                <w:noProof/>
                <w:webHidden/>
              </w:rPr>
              <w:instrText xml:space="preserve"> PAGEREF _Toc50031312 \h </w:instrText>
            </w:r>
            <w:r w:rsidR="00D57D8A">
              <w:rPr>
                <w:noProof/>
                <w:webHidden/>
              </w:rPr>
            </w:r>
            <w:r w:rsidR="00D57D8A">
              <w:rPr>
                <w:noProof/>
                <w:webHidden/>
              </w:rPr>
              <w:fldChar w:fldCharType="separate"/>
            </w:r>
            <w:r w:rsidR="00D57D8A">
              <w:rPr>
                <w:noProof/>
                <w:webHidden/>
              </w:rPr>
              <w:t>235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13" w:history="1">
            <w:r w:rsidR="00D57D8A" w:rsidRPr="00251ABB">
              <w:rPr>
                <w:rStyle w:val="Hipervnculo"/>
                <w:rFonts w:ascii="Arial" w:hAnsi="Arial" w:cs="Arial"/>
                <w:caps/>
                <w:noProof/>
              </w:rPr>
              <w:t>3. C</w:t>
            </w:r>
            <w:r w:rsidR="00D57D8A" w:rsidRPr="00251ABB">
              <w:rPr>
                <w:rStyle w:val="Hipervnculo"/>
                <w:rFonts w:ascii="Arial" w:hAnsi="Arial" w:cs="Arial"/>
                <w:noProof/>
              </w:rPr>
              <w:t>ondiciones experimentales</w:t>
            </w:r>
            <w:r w:rsidR="00D57D8A">
              <w:rPr>
                <w:noProof/>
                <w:webHidden/>
              </w:rPr>
              <w:tab/>
            </w:r>
            <w:r w:rsidR="00D57D8A">
              <w:rPr>
                <w:noProof/>
                <w:webHidden/>
              </w:rPr>
              <w:fldChar w:fldCharType="begin"/>
            </w:r>
            <w:r w:rsidR="00D57D8A">
              <w:rPr>
                <w:noProof/>
                <w:webHidden/>
              </w:rPr>
              <w:instrText xml:space="preserve"> PAGEREF _Toc50031313 \h </w:instrText>
            </w:r>
            <w:r w:rsidR="00D57D8A">
              <w:rPr>
                <w:noProof/>
                <w:webHidden/>
              </w:rPr>
            </w:r>
            <w:r w:rsidR="00D57D8A">
              <w:rPr>
                <w:noProof/>
                <w:webHidden/>
              </w:rPr>
              <w:fldChar w:fldCharType="separate"/>
            </w:r>
            <w:r w:rsidR="00D57D8A">
              <w:rPr>
                <w:noProof/>
                <w:webHidden/>
              </w:rPr>
              <w:t>236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14" w:history="1">
            <w:r w:rsidR="00D57D8A" w:rsidRPr="00251ABB">
              <w:rPr>
                <w:rStyle w:val="Hipervnculo"/>
                <w:rFonts w:ascii="Arial" w:hAnsi="Arial" w:cs="Arial"/>
                <w:caps/>
                <w:noProof/>
              </w:rPr>
              <w:t>4. Resultados y discusión</w:t>
            </w:r>
            <w:r w:rsidR="00D57D8A">
              <w:rPr>
                <w:noProof/>
                <w:webHidden/>
              </w:rPr>
              <w:tab/>
            </w:r>
            <w:r w:rsidR="00D57D8A">
              <w:rPr>
                <w:noProof/>
                <w:webHidden/>
              </w:rPr>
              <w:fldChar w:fldCharType="begin"/>
            </w:r>
            <w:r w:rsidR="00D57D8A">
              <w:rPr>
                <w:noProof/>
                <w:webHidden/>
              </w:rPr>
              <w:instrText xml:space="preserve"> PAGEREF _Toc50031314 \h </w:instrText>
            </w:r>
            <w:r w:rsidR="00D57D8A">
              <w:rPr>
                <w:noProof/>
                <w:webHidden/>
              </w:rPr>
            </w:r>
            <w:r w:rsidR="00D57D8A">
              <w:rPr>
                <w:noProof/>
                <w:webHidden/>
              </w:rPr>
              <w:fldChar w:fldCharType="separate"/>
            </w:r>
            <w:r w:rsidR="00D57D8A">
              <w:rPr>
                <w:noProof/>
                <w:webHidden/>
              </w:rPr>
              <w:t>238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15" w:history="1">
            <w:r w:rsidR="00D57D8A" w:rsidRPr="00251ABB">
              <w:rPr>
                <w:rStyle w:val="Hipervnculo"/>
                <w:rFonts w:ascii="Arial" w:hAnsi="Arial" w:cs="Arial"/>
                <w:caps/>
                <w:noProof/>
              </w:rPr>
              <w:t xml:space="preserve">5. </w:t>
            </w:r>
            <w:r w:rsidR="00D57D8A" w:rsidRPr="00251ABB">
              <w:rPr>
                <w:rStyle w:val="Hipervnculo"/>
                <w:rFonts w:ascii="Arial" w:hAnsi="Arial" w:cs="Arial"/>
                <w:noProof/>
              </w:rPr>
              <w:t>Conclusiones</w:t>
            </w:r>
            <w:r w:rsidR="00D57D8A">
              <w:rPr>
                <w:noProof/>
                <w:webHidden/>
              </w:rPr>
              <w:tab/>
            </w:r>
            <w:r w:rsidR="00D57D8A">
              <w:rPr>
                <w:noProof/>
                <w:webHidden/>
              </w:rPr>
              <w:fldChar w:fldCharType="begin"/>
            </w:r>
            <w:r w:rsidR="00D57D8A">
              <w:rPr>
                <w:noProof/>
                <w:webHidden/>
              </w:rPr>
              <w:instrText xml:space="preserve"> PAGEREF _Toc50031315 \h </w:instrText>
            </w:r>
            <w:r w:rsidR="00D57D8A">
              <w:rPr>
                <w:noProof/>
                <w:webHidden/>
              </w:rPr>
            </w:r>
            <w:r w:rsidR="00D57D8A">
              <w:rPr>
                <w:noProof/>
                <w:webHidden/>
              </w:rPr>
              <w:fldChar w:fldCharType="separate"/>
            </w:r>
            <w:r w:rsidR="00D57D8A">
              <w:rPr>
                <w:noProof/>
                <w:webHidden/>
              </w:rPr>
              <w:t>244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16" w:history="1">
            <w:r w:rsidR="00D57D8A" w:rsidRPr="00251ABB">
              <w:rPr>
                <w:rStyle w:val="Hipervnculo"/>
                <w:rFonts w:ascii="Arial" w:hAnsi="Arial" w:cs="Arial"/>
                <w:caps/>
                <w:noProof/>
              </w:rPr>
              <w:t xml:space="preserve">6. </w:t>
            </w:r>
            <w:r w:rsidR="00D57D8A" w:rsidRPr="00251ABB">
              <w:rPr>
                <w:rStyle w:val="Hipervnculo"/>
                <w:rFonts w:ascii="Arial" w:hAnsi="Arial" w:cs="Arial"/>
                <w:noProof/>
              </w:rPr>
              <w:t>Bibliografía</w:t>
            </w:r>
            <w:r w:rsidR="00D57D8A">
              <w:rPr>
                <w:noProof/>
                <w:webHidden/>
              </w:rPr>
              <w:tab/>
            </w:r>
            <w:r w:rsidR="00D57D8A">
              <w:rPr>
                <w:noProof/>
                <w:webHidden/>
              </w:rPr>
              <w:fldChar w:fldCharType="begin"/>
            </w:r>
            <w:r w:rsidR="00D57D8A">
              <w:rPr>
                <w:noProof/>
                <w:webHidden/>
              </w:rPr>
              <w:instrText xml:space="preserve"> PAGEREF _Toc50031316 \h </w:instrText>
            </w:r>
            <w:r w:rsidR="00D57D8A">
              <w:rPr>
                <w:noProof/>
                <w:webHidden/>
              </w:rPr>
            </w:r>
            <w:r w:rsidR="00D57D8A">
              <w:rPr>
                <w:noProof/>
                <w:webHidden/>
              </w:rPr>
              <w:fldChar w:fldCharType="separate"/>
            </w:r>
            <w:r w:rsidR="00D57D8A">
              <w:rPr>
                <w:noProof/>
                <w:webHidden/>
              </w:rPr>
              <w:t>245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17" w:history="1">
            <w:r w:rsidR="00D57D8A" w:rsidRPr="00251ABB">
              <w:rPr>
                <w:rStyle w:val="Hipervnculo"/>
                <w:noProof/>
              </w:rPr>
              <w:t>Producción de ácido cítrico con Aspergillus niger a partir de mieles finales de la caña de azúcar</w:t>
            </w:r>
            <w:r w:rsidR="00D57D8A">
              <w:rPr>
                <w:noProof/>
                <w:webHidden/>
              </w:rPr>
              <w:tab/>
            </w:r>
            <w:r w:rsidR="00D57D8A">
              <w:rPr>
                <w:noProof/>
                <w:webHidden/>
              </w:rPr>
              <w:fldChar w:fldCharType="begin"/>
            </w:r>
            <w:r w:rsidR="00D57D8A">
              <w:rPr>
                <w:noProof/>
                <w:webHidden/>
              </w:rPr>
              <w:instrText xml:space="preserve"> PAGEREF _Toc50031317 \h </w:instrText>
            </w:r>
            <w:r w:rsidR="00D57D8A">
              <w:rPr>
                <w:noProof/>
                <w:webHidden/>
              </w:rPr>
            </w:r>
            <w:r w:rsidR="00D57D8A">
              <w:rPr>
                <w:noProof/>
                <w:webHidden/>
              </w:rPr>
              <w:fldChar w:fldCharType="separate"/>
            </w:r>
            <w:r w:rsidR="00D57D8A">
              <w:rPr>
                <w:noProof/>
                <w:webHidden/>
              </w:rPr>
              <w:t>245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18" w:history="1">
            <w:r w:rsidR="00D57D8A" w:rsidRPr="00251ABB">
              <w:rPr>
                <w:rStyle w:val="Hipervnculo"/>
                <w:noProof/>
              </w:rPr>
              <w:t>1.- Resumen</w:t>
            </w:r>
            <w:r w:rsidR="00D57D8A">
              <w:rPr>
                <w:noProof/>
                <w:webHidden/>
              </w:rPr>
              <w:tab/>
            </w:r>
            <w:r w:rsidR="00D57D8A">
              <w:rPr>
                <w:noProof/>
                <w:webHidden/>
              </w:rPr>
              <w:fldChar w:fldCharType="begin"/>
            </w:r>
            <w:r w:rsidR="00D57D8A">
              <w:rPr>
                <w:noProof/>
                <w:webHidden/>
              </w:rPr>
              <w:instrText xml:space="preserve"> PAGEREF _Toc50031318 \h </w:instrText>
            </w:r>
            <w:r w:rsidR="00D57D8A">
              <w:rPr>
                <w:noProof/>
                <w:webHidden/>
              </w:rPr>
            </w:r>
            <w:r w:rsidR="00D57D8A">
              <w:rPr>
                <w:noProof/>
                <w:webHidden/>
              </w:rPr>
              <w:fldChar w:fldCharType="separate"/>
            </w:r>
            <w:r w:rsidR="00D57D8A">
              <w:rPr>
                <w:noProof/>
                <w:webHidden/>
              </w:rPr>
              <w:t>246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19" w:history="1">
            <w:r w:rsidR="00D57D8A" w:rsidRPr="00251ABB">
              <w:rPr>
                <w:rStyle w:val="Hipervnculo"/>
                <w:noProof/>
              </w:rPr>
              <w:t>2.- Introducción.</w:t>
            </w:r>
            <w:r w:rsidR="00D57D8A">
              <w:rPr>
                <w:noProof/>
                <w:webHidden/>
              </w:rPr>
              <w:tab/>
            </w:r>
            <w:r w:rsidR="00D57D8A">
              <w:rPr>
                <w:noProof/>
                <w:webHidden/>
              </w:rPr>
              <w:fldChar w:fldCharType="begin"/>
            </w:r>
            <w:r w:rsidR="00D57D8A">
              <w:rPr>
                <w:noProof/>
                <w:webHidden/>
              </w:rPr>
              <w:instrText xml:space="preserve"> PAGEREF _Toc50031319 \h </w:instrText>
            </w:r>
            <w:r w:rsidR="00D57D8A">
              <w:rPr>
                <w:noProof/>
                <w:webHidden/>
              </w:rPr>
            </w:r>
            <w:r w:rsidR="00D57D8A">
              <w:rPr>
                <w:noProof/>
                <w:webHidden/>
              </w:rPr>
              <w:fldChar w:fldCharType="separate"/>
            </w:r>
            <w:r w:rsidR="00D57D8A">
              <w:rPr>
                <w:noProof/>
                <w:webHidden/>
              </w:rPr>
              <w:t>246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20" w:history="1">
            <w:r w:rsidR="00D57D8A" w:rsidRPr="00251ABB">
              <w:rPr>
                <w:rStyle w:val="Hipervnculo"/>
                <w:noProof/>
              </w:rPr>
              <w:t>3. Condiciones experimentales</w:t>
            </w:r>
            <w:r w:rsidR="00D57D8A">
              <w:rPr>
                <w:noProof/>
                <w:webHidden/>
              </w:rPr>
              <w:tab/>
            </w:r>
            <w:r w:rsidR="00D57D8A">
              <w:rPr>
                <w:noProof/>
                <w:webHidden/>
              </w:rPr>
              <w:fldChar w:fldCharType="begin"/>
            </w:r>
            <w:r w:rsidR="00D57D8A">
              <w:rPr>
                <w:noProof/>
                <w:webHidden/>
              </w:rPr>
              <w:instrText xml:space="preserve"> PAGEREF _Toc50031320 \h </w:instrText>
            </w:r>
            <w:r w:rsidR="00D57D8A">
              <w:rPr>
                <w:noProof/>
                <w:webHidden/>
              </w:rPr>
            </w:r>
            <w:r w:rsidR="00D57D8A">
              <w:rPr>
                <w:noProof/>
                <w:webHidden/>
              </w:rPr>
              <w:fldChar w:fldCharType="separate"/>
            </w:r>
            <w:r w:rsidR="00D57D8A">
              <w:rPr>
                <w:noProof/>
                <w:webHidden/>
              </w:rPr>
              <w:t>246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21" w:history="1">
            <w:r w:rsidR="00D57D8A" w:rsidRPr="00251ABB">
              <w:rPr>
                <w:rStyle w:val="Hipervnculo"/>
                <w:noProof/>
              </w:rPr>
              <w:t>5.- Resultados y discusión.</w:t>
            </w:r>
            <w:r w:rsidR="00D57D8A">
              <w:rPr>
                <w:noProof/>
                <w:webHidden/>
              </w:rPr>
              <w:tab/>
            </w:r>
            <w:r w:rsidR="00D57D8A">
              <w:rPr>
                <w:noProof/>
                <w:webHidden/>
              </w:rPr>
              <w:fldChar w:fldCharType="begin"/>
            </w:r>
            <w:r w:rsidR="00D57D8A">
              <w:rPr>
                <w:noProof/>
                <w:webHidden/>
              </w:rPr>
              <w:instrText xml:space="preserve"> PAGEREF _Toc50031321 \h </w:instrText>
            </w:r>
            <w:r w:rsidR="00D57D8A">
              <w:rPr>
                <w:noProof/>
                <w:webHidden/>
              </w:rPr>
            </w:r>
            <w:r w:rsidR="00D57D8A">
              <w:rPr>
                <w:noProof/>
                <w:webHidden/>
              </w:rPr>
              <w:fldChar w:fldCharType="separate"/>
            </w:r>
            <w:r w:rsidR="00D57D8A">
              <w:rPr>
                <w:noProof/>
                <w:webHidden/>
              </w:rPr>
              <w:t>249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22" w:history="1">
            <w:r w:rsidR="00D57D8A" w:rsidRPr="00251ABB">
              <w:rPr>
                <w:rStyle w:val="Hipervnculo"/>
                <w:noProof/>
              </w:rPr>
              <w:t>5.- Conclusiones</w:t>
            </w:r>
            <w:r w:rsidR="00D57D8A">
              <w:rPr>
                <w:noProof/>
                <w:webHidden/>
              </w:rPr>
              <w:tab/>
            </w:r>
            <w:r w:rsidR="00D57D8A">
              <w:rPr>
                <w:noProof/>
                <w:webHidden/>
              </w:rPr>
              <w:fldChar w:fldCharType="begin"/>
            </w:r>
            <w:r w:rsidR="00D57D8A">
              <w:rPr>
                <w:noProof/>
                <w:webHidden/>
              </w:rPr>
              <w:instrText xml:space="preserve"> PAGEREF _Toc50031322 \h </w:instrText>
            </w:r>
            <w:r w:rsidR="00D57D8A">
              <w:rPr>
                <w:noProof/>
                <w:webHidden/>
              </w:rPr>
            </w:r>
            <w:r w:rsidR="00D57D8A">
              <w:rPr>
                <w:noProof/>
                <w:webHidden/>
              </w:rPr>
              <w:fldChar w:fldCharType="separate"/>
            </w:r>
            <w:r w:rsidR="00D57D8A">
              <w:rPr>
                <w:noProof/>
                <w:webHidden/>
              </w:rPr>
              <w:t>250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23" w:history="1">
            <w:r w:rsidR="00D57D8A" w:rsidRPr="00251ABB">
              <w:rPr>
                <w:rStyle w:val="Hipervnculo"/>
                <w:noProof/>
              </w:rPr>
              <w:t>6.- Bibliografía.</w:t>
            </w:r>
            <w:r w:rsidR="00D57D8A">
              <w:rPr>
                <w:noProof/>
                <w:webHidden/>
              </w:rPr>
              <w:tab/>
            </w:r>
            <w:r w:rsidR="00D57D8A">
              <w:rPr>
                <w:noProof/>
                <w:webHidden/>
              </w:rPr>
              <w:fldChar w:fldCharType="begin"/>
            </w:r>
            <w:r w:rsidR="00D57D8A">
              <w:rPr>
                <w:noProof/>
                <w:webHidden/>
              </w:rPr>
              <w:instrText xml:space="preserve"> PAGEREF _Toc50031323 \h </w:instrText>
            </w:r>
            <w:r w:rsidR="00D57D8A">
              <w:rPr>
                <w:noProof/>
                <w:webHidden/>
              </w:rPr>
            </w:r>
            <w:r w:rsidR="00D57D8A">
              <w:rPr>
                <w:noProof/>
                <w:webHidden/>
              </w:rPr>
              <w:fldChar w:fldCharType="separate"/>
            </w:r>
            <w:r w:rsidR="00D57D8A">
              <w:rPr>
                <w:noProof/>
                <w:webHidden/>
              </w:rPr>
              <w:t>251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24" w:history="1">
            <w:r w:rsidR="00D57D8A" w:rsidRPr="00251ABB">
              <w:rPr>
                <w:rStyle w:val="Hipervnculo"/>
                <w:noProof/>
              </w:rPr>
              <w:t>Sistema de control basado en la reconfiguración de una red neuronal artificial para estimar conjuntos de movimientos en robots modulares tipo cadena</w:t>
            </w:r>
            <w:r w:rsidR="00D57D8A">
              <w:rPr>
                <w:noProof/>
                <w:webHidden/>
              </w:rPr>
              <w:tab/>
            </w:r>
            <w:r w:rsidR="00D57D8A">
              <w:rPr>
                <w:noProof/>
                <w:webHidden/>
              </w:rPr>
              <w:fldChar w:fldCharType="begin"/>
            </w:r>
            <w:r w:rsidR="00D57D8A">
              <w:rPr>
                <w:noProof/>
                <w:webHidden/>
              </w:rPr>
              <w:instrText xml:space="preserve"> PAGEREF _Toc50031324 \h </w:instrText>
            </w:r>
            <w:r w:rsidR="00D57D8A">
              <w:rPr>
                <w:noProof/>
                <w:webHidden/>
              </w:rPr>
            </w:r>
            <w:r w:rsidR="00D57D8A">
              <w:rPr>
                <w:noProof/>
                <w:webHidden/>
              </w:rPr>
              <w:fldChar w:fldCharType="separate"/>
            </w:r>
            <w:r w:rsidR="00D57D8A">
              <w:rPr>
                <w:noProof/>
                <w:webHidden/>
              </w:rPr>
              <w:t>251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25" w:history="1">
            <w:r w:rsidR="00D57D8A" w:rsidRPr="00251ABB">
              <w:rPr>
                <w:rStyle w:val="Hipervnculo"/>
                <w:rFonts w:ascii="Arial" w:hAnsi="Arial" w:cs="Arial"/>
                <w:i/>
                <w:caps/>
                <w:noProof/>
              </w:rPr>
              <w:t>1. R</w:t>
            </w:r>
            <w:r w:rsidR="00D57D8A" w:rsidRPr="00251ABB">
              <w:rPr>
                <w:rStyle w:val="Hipervnculo"/>
                <w:rFonts w:ascii="Arial" w:hAnsi="Arial" w:cs="Arial"/>
                <w:i/>
                <w:noProof/>
              </w:rPr>
              <w:t>esumen</w:t>
            </w:r>
            <w:r w:rsidR="00D57D8A">
              <w:rPr>
                <w:noProof/>
                <w:webHidden/>
              </w:rPr>
              <w:tab/>
            </w:r>
            <w:r w:rsidR="00D57D8A">
              <w:rPr>
                <w:noProof/>
                <w:webHidden/>
              </w:rPr>
              <w:fldChar w:fldCharType="begin"/>
            </w:r>
            <w:r w:rsidR="00D57D8A">
              <w:rPr>
                <w:noProof/>
                <w:webHidden/>
              </w:rPr>
              <w:instrText xml:space="preserve"> PAGEREF _Toc50031325 \h </w:instrText>
            </w:r>
            <w:r w:rsidR="00D57D8A">
              <w:rPr>
                <w:noProof/>
                <w:webHidden/>
              </w:rPr>
            </w:r>
            <w:r w:rsidR="00D57D8A">
              <w:rPr>
                <w:noProof/>
                <w:webHidden/>
              </w:rPr>
              <w:fldChar w:fldCharType="separate"/>
            </w:r>
            <w:r w:rsidR="00D57D8A">
              <w:rPr>
                <w:noProof/>
                <w:webHidden/>
              </w:rPr>
              <w:t>252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26"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ntroducción</w:t>
            </w:r>
            <w:r w:rsidR="00D57D8A">
              <w:rPr>
                <w:noProof/>
                <w:webHidden/>
              </w:rPr>
              <w:tab/>
            </w:r>
            <w:r w:rsidR="00D57D8A">
              <w:rPr>
                <w:noProof/>
                <w:webHidden/>
              </w:rPr>
              <w:fldChar w:fldCharType="begin"/>
            </w:r>
            <w:r w:rsidR="00D57D8A">
              <w:rPr>
                <w:noProof/>
                <w:webHidden/>
              </w:rPr>
              <w:instrText xml:space="preserve"> PAGEREF _Toc50031326 \h </w:instrText>
            </w:r>
            <w:r w:rsidR="00D57D8A">
              <w:rPr>
                <w:noProof/>
                <w:webHidden/>
              </w:rPr>
            </w:r>
            <w:r w:rsidR="00D57D8A">
              <w:rPr>
                <w:noProof/>
                <w:webHidden/>
              </w:rPr>
              <w:fldChar w:fldCharType="separate"/>
            </w:r>
            <w:r w:rsidR="00D57D8A">
              <w:rPr>
                <w:noProof/>
                <w:webHidden/>
              </w:rPr>
              <w:t>252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27" w:history="1">
            <w:r w:rsidR="00D57D8A" w:rsidRPr="00251ABB">
              <w:rPr>
                <w:rStyle w:val="Hipervnculo"/>
                <w:noProof/>
              </w:rPr>
              <w:t>3. Desarrollo del sistema</w:t>
            </w:r>
            <w:r w:rsidR="00D57D8A">
              <w:rPr>
                <w:noProof/>
                <w:webHidden/>
              </w:rPr>
              <w:tab/>
            </w:r>
            <w:r w:rsidR="00D57D8A">
              <w:rPr>
                <w:noProof/>
                <w:webHidden/>
              </w:rPr>
              <w:fldChar w:fldCharType="begin"/>
            </w:r>
            <w:r w:rsidR="00D57D8A">
              <w:rPr>
                <w:noProof/>
                <w:webHidden/>
              </w:rPr>
              <w:instrText xml:space="preserve"> PAGEREF _Toc50031327 \h </w:instrText>
            </w:r>
            <w:r w:rsidR="00D57D8A">
              <w:rPr>
                <w:noProof/>
                <w:webHidden/>
              </w:rPr>
            </w:r>
            <w:r w:rsidR="00D57D8A">
              <w:rPr>
                <w:noProof/>
                <w:webHidden/>
              </w:rPr>
              <w:fldChar w:fldCharType="separate"/>
            </w:r>
            <w:r w:rsidR="00D57D8A">
              <w:rPr>
                <w:noProof/>
                <w:webHidden/>
              </w:rPr>
              <w:t>253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28" w:history="1">
            <w:r w:rsidR="00D57D8A" w:rsidRPr="00251ABB">
              <w:rPr>
                <w:rStyle w:val="Hipervnculo"/>
                <w:noProof/>
              </w:rPr>
              <w:t>4. Resultados y discusión</w:t>
            </w:r>
            <w:r w:rsidR="00D57D8A">
              <w:rPr>
                <w:noProof/>
                <w:webHidden/>
              </w:rPr>
              <w:tab/>
            </w:r>
            <w:r w:rsidR="00D57D8A">
              <w:rPr>
                <w:noProof/>
                <w:webHidden/>
              </w:rPr>
              <w:fldChar w:fldCharType="begin"/>
            </w:r>
            <w:r w:rsidR="00D57D8A">
              <w:rPr>
                <w:noProof/>
                <w:webHidden/>
              </w:rPr>
              <w:instrText xml:space="preserve"> PAGEREF _Toc50031328 \h </w:instrText>
            </w:r>
            <w:r w:rsidR="00D57D8A">
              <w:rPr>
                <w:noProof/>
                <w:webHidden/>
              </w:rPr>
            </w:r>
            <w:r w:rsidR="00D57D8A">
              <w:rPr>
                <w:noProof/>
                <w:webHidden/>
              </w:rPr>
              <w:fldChar w:fldCharType="separate"/>
            </w:r>
            <w:r w:rsidR="00D57D8A">
              <w:rPr>
                <w:noProof/>
                <w:webHidden/>
              </w:rPr>
              <w:t>259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29" w:history="1">
            <w:r w:rsidR="00D57D8A" w:rsidRPr="00251ABB">
              <w:rPr>
                <w:rStyle w:val="Hipervnculo"/>
                <w:noProof/>
              </w:rPr>
              <w:t>5. Conclusiones</w:t>
            </w:r>
            <w:r w:rsidR="00D57D8A">
              <w:rPr>
                <w:noProof/>
                <w:webHidden/>
              </w:rPr>
              <w:tab/>
            </w:r>
            <w:r w:rsidR="00D57D8A">
              <w:rPr>
                <w:noProof/>
                <w:webHidden/>
              </w:rPr>
              <w:fldChar w:fldCharType="begin"/>
            </w:r>
            <w:r w:rsidR="00D57D8A">
              <w:rPr>
                <w:noProof/>
                <w:webHidden/>
              </w:rPr>
              <w:instrText xml:space="preserve"> PAGEREF _Toc50031329 \h </w:instrText>
            </w:r>
            <w:r w:rsidR="00D57D8A">
              <w:rPr>
                <w:noProof/>
                <w:webHidden/>
              </w:rPr>
            </w:r>
            <w:r w:rsidR="00D57D8A">
              <w:rPr>
                <w:noProof/>
                <w:webHidden/>
              </w:rPr>
              <w:fldChar w:fldCharType="separate"/>
            </w:r>
            <w:r w:rsidR="00D57D8A">
              <w:rPr>
                <w:noProof/>
                <w:webHidden/>
              </w:rPr>
              <w:t>260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30" w:history="1">
            <w:r w:rsidR="00D57D8A" w:rsidRPr="00251ABB">
              <w:rPr>
                <w:rStyle w:val="Hipervnculo"/>
                <w:noProof/>
              </w:rPr>
              <w:t>6. Bibliografía</w:t>
            </w:r>
            <w:r w:rsidR="00D57D8A">
              <w:rPr>
                <w:noProof/>
                <w:webHidden/>
              </w:rPr>
              <w:tab/>
            </w:r>
            <w:r w:rsidR="00D57D8A">
              <w:rPr>
                <w:noProof/>
                <w:webHidden/>
              </w:rPr>
              <w:fldChar w:fldCharType="begin"/>
            </w:r>
            <w:r w:rsidR="00D57D8A">
              <w:rPr>
                <w:noProof/>
                <w:webHidden/>
              </w:rPr>
              <w:instrText xml:space="preserve"> PAGEREF _Toc50031330 \h </w:instrText>
            </w:r>
            <w:r w:rsidR="00D57D8A">
              <w:rPr>
                <w:noProof/>
                <w:webHidden/>
              </w:rPr>
            </w:r>
            <w:r w:rsidR="00D57D8A">
              <w:rPr>
                <w:noProof/>
                <w:webHidden/>
              </w:rPr>
              <w:fldChar w:fldCharType="separate"/>
            </w:r>
            <w:r w:rsidR="00D57D8A">
              <w:rPr>
                <w:noProof/>
                <w:webHidden/>
              </w:rPr>
              <w:t>261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31" w:history="1">
            <w:r w:rsidR="00D57D8A" w:rsidRPr="00251ABB">
              <w:rPr>
                <w:rStyle w:val="Hipervnculo"/>
                <w:noProof/>
              </w:rPr>
              <w:t>Desarrollo de un módulo de construcción del modelo dinámico inverso para un manipulador robótico industrial</w:t>
            </w:r>
            <w:r w:rsidR="00D57D8A">
              <w:rPr>
                <w:noProof/>
                <w:webHidden/>
              </w:rPr>
              <w:tab/>
            </w:r>
            <w:r w:rsidR="00D57D8A">
              <w:rPr>
                <w:noProof/>
                <w:webHidden/>
              </w:rPr>
              <w:fldChar w:fldCharType="begin"/>
            </w:r>
            <w:r w:rsidR="00D57D8A">
              <w:rPr>
                <w:noProof/>
                <w:webHidden/>
              </w:rPr>
              <w:instrText xml:space="preserve"> PAGEREF _Toc50031331 \h </w:instrText>
            </w:r>
            <w:r w:rsidR="00D57D8A">
              <w:rPr>
                <w:noProof/>
                <w:webHidden/>
              </w:rPr>
            </w:r>
            <w:r w:rsidR="00D57D8A">
              <w:rPr>
                <w:noProof/>
                <w:webHidden/>
              </w:rPr>
              <w:fldChar w:fldCharType="separate"/>
            </w:r>
            <w:r w:rsidR="00D57D8A">
              <w:rPr>
                <w:noProof/>
                <w:webHidden/>
              </w:rPr>
              <w:t>262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32" w:history="1">
            <w:r w:rsidR="00D57D8A" w:rsidRPr="00251ABB">
              <w:rPr>
                <w:rStyle w:val="Hipervnculo"/>
                <w:rFonts w:ascii="Arial" w:hAnsi="Arial" w:cs="Arial"/>
                <w:i/>
                <w:caps/>
                <w:noProof/>
              </w:rPr>
              <w:t>1. R</w:t>
            </w:r>
            <w:r w:rsidR="00D57D8A" w:rsidRPr="00251ABB">
              <w:rPr>
                <w:rStyle w:val="Hipervnculo"/>
                <w:rFonts w:ascii="Arial" w:hAnsi="Arial" w:cs="Arial"/>
                <w:i/>
                <w:noProof/>
              </w:rPr>
              <w:t>esumen</w:t>
            </w:r>
            <w:r w:rsidR="00D57D8A">
              <w:rPr>
                <w:noProof/>
                <w:webHidden/>
              </w:rPr>
              <w:tab/>
            </w:r>
            <w:r w:rsidR="00D57D8A">
              <w:rPr>
                <w:noProof/>
                <w:webHidden/>
              </w:rPr>
              <w:fldChar w:fldCharType="begin"/>
            </w:r>
            <w:r w:rsidR="00D57D8A">
              <w:rPr>
                <w:noProof/>
                <w:webHidden/>
              </w:rPr>
              <w:instrText xml:space="preserve"> PAGEREF _Toc50031332 \h </w:instrText>
            </w:r>
            <w:r w:rsidR="00D57D8A">
              <w:rPr>
                <w:noProof/>
                <w:webHidden/>
              </w:rPr>
            </w:r>
            <w:r w:rsidR="00D57D8A">
              <w:rPr>
                <w:noProof/>
                <w:webHidden/>
              </w:rPr>
              <w:fldChar w:fldCharType="separate"/>
            </w:r>
            <w:r w:rsidR="00D57D8A">
              <w:rPr>
                <w:noProof/>
                <w:webHidden/>
              </w:rPr>
              <w:t>262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33"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ntroducción</w:t>
            </w:r>
            <w:r w:rsidR="00D57D8A">
              <w:rPr>
                <w:noProof/>
                <w:webHidden/>
              </w:rPr>
              <w:tab/>
            </w:r>
            <w:r w:rsidR="00D57D8A">
              <w:rPr>
                <w:noProof/>
                <w:webHidden/>
              </w:rPr>
              <w:fldChar w:fldCharType="begin"/>
            </w:r>
            <w:r w:rsidR="00D57D8A">
              <w:rPr>
                <w:noProof/>
                <w:webHidden/>
              </w:rPr>
              <w:instrText xml:space="preserve"> PAGEREF _Toc50031333 \h </w:instrText>
            </w:r>
            <w:r w:rsidR="00D57D8A">
              <w:rPr>
                <w:noProof/>
                <w:webHidden/>
              </w:rPr>
            </w:r>
            <w:r w:rsidR="00D57D8A">
              <w:rPr>
                <w:noProof/>
                <w:webHidden/>
              </w:rPr>
              <w:fldChar w:fldCharType="separate"/>
            </w:r>
            <w:r w:rsidR="00D57D8A">
              <w:rPr>
                <w:noProof/>
                <w:webHidden/>
              </w:rPr>
              <w:t>263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34" w:history="1">
            <w:r w:rsidR="00D57D8A" w:rsidRPr="00251ABB">
              <w:rPr>
                <w:rStyle w:val="Hipervnculo"/>
                <w:caps/>
                <w:noProof/>
              </w:rPr>
              <w:t>3. C</w:t>
            </w:r>
            <w:r w:rsidR="00D57D8A" w:rsidRPr="00251ABB">
              <w:rPr>
                <w:rStyle w:val="Hipervnculo"/>
                <w:noProof/>
              </w:rPr>
              <w:t>ondiciones experimentales</w:t>
            </w:r>
            <w:r w:rsidR="00D57D8A">
              <w:rPr>
                <w:noProof/>
                <w:webHidden/>
              </w:rPr>
              <w:tab/>
            </w:r>
            <w:r w:rsidR="00D57D8A">
              <w:rPr>
                <w:noProof/>
                <w:webHidden/>
              </w:rPr>
              <w:fldChar w:fldCharType="begin"/>
            </w:r>
            <w:r w:rsidR="00D57D8A">
              <w:rPr>
                <w:noProof/>
                <w:webHidden/>
              </w:rPr>
              <w:instrText xml:space="preserve"> PAGEREF _Toc50031334 \h </w:instrText>
            </w:r>
            <w:r w:rsidR="00D57D8A">
              <w:rPr>
                <w:noProof/>
                <w:webHidden/>
              </w:rPr>
            </w:r>
            <w:r w:rsidR="00D57D8A">
              <w:rPr>
                <w:noProof/>
                <w:webHidden/>
              </w:rPr>
              <w:fldChar w:fldCharType="separate"/>
            </w:r>
            <w:r w:rsidR="00D57D8A">
              <w:rPr>
                <w:noProof/>
                <w:webHidden/>
              </w:rPr>
              <w:t>268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35" w:history="1">
            <w:r w:rsidR="00D57D8A" w:rsidRPr="00251ABB">
              <w:rPr>
                <w:rStyle w:val="Hipervnculo"/>
                <w:caps/>
                <w:noProof/>
              </w:rPr>
              <w:t xml:space="preserve">4. </w:t>
            </w:r>
            <w:r w:rsidR="00D57D8A" w:rsidRPr="00251ABB">
              <w:rPr>
                <w:rStyle w:val="Hipervnculo"/>
                <w:noProof/>
              </w:rPr>
              <w:t>Resultados y discusión</w:t>
            </w:r>
            <w:r w:rsidR="00D57D8A">
              <w:rPr>
                <w:noProof/>
                <w:webHidden/>
              </w:rPr>
              <w:tab/>
            </w:r>
            <w:r w:rsidR="00D57D8A">
              <w:rPr>
                <w:noProof/>
                <w:webHidden/>
              </w:rPr>
              <w:fldChar w:fldCharType="begin"/>
            </w:r>
            <w:r w:rsidR="00D57D8A">
              <w:rPr>
                <w:noProof/>
                <w:webHidden/>
              </w:rPr>
              <w:instrText xml:space="preserve"> PAGEREF _Toc50031335 \h </w:instrText>
            </w:r>
            <w:r w:rsidR="00D57D8A">
              <w:rPr>
                <w:noProof/>
                <w:webHidden/>
              </w:rPr>
            </w:r>
            <w:r w:rsidR="00D57D8A">
              <w:rPr>
                <w:noProof/>
                <w:webHidden/>
              </w:rPr>
              <w:fldChar w:fldCharType="separate"/>
            </w:r>
            <w:r w:rsidR="00D57D8A">
              <w:rPr>
                <w:noProof/>
                <w:webHidden/>
              </w:rPr>
              <w:t>273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36" w:history="1">
            <w:r w:rsidR="00D57D8A" w:rsidRPr="00251ABB">
              <w:rPr>
                <w:rStyle w:val="Hipervnculo"/>
                <w:noProof/>
              </w:rPr>
              <w:t>5. Conclusiones y futuras líneas de investigación</w:t>
            </w:r>
            <w:r w:rsidR="00D57D8A">
              <w:rPr>
                <w:noProof/>
                <w:webHidden/>
              </w:rPr>
              <w:tab/>
            </w:r>
            <w:r w:rsidR="00D57D8A">
              <w:rPr>
                <w:noProof/>
                <w:webHidden/>
              </w:rPr>
              <w:fldChar w:fldCharType="begin"/>
            </w:r>
            <w:r w:rsidR="00D57D8A">
              <w:rPr>
                <w:noProof/>
                <w:webHidden/>
              </w:rPr>
              <w:instrText xml:space="preserve"> PAGEREF _Toc50031336 \h </w:instrText>
            </w:r>
            <w:r w:rsidR="00D57D8A">
              <w:rPr>
                <w:noProof/>
                <w:webHidden/>
              </w:rPr>
            </w:r>
            <w:r w:rsidR="00D57D8A">
              <w:rPr>
                <w:noProof/>
                <w:webHidden/>
              </w:rPr>
              <w:fldChar w:fldCharType="separate"/>
            </w:r>
            <w:r w:rsidR="00D57D8A">
              <w:rPr>
                <w:noProof/>
                <w:webHidden/>
              </w:rPr>
              <w:t>274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37" w:history="1">
            <w:r w:rsidR="00D57D8A" w:rsidRPr="00251ABB">
              <w:rPr>
                <w:rStyle w:val="Hipervnculo"/>
                <w:noProof/>
              </w:rPr>
              <w:t>6. Bibliografía</w:t>
            </w:r>
            <w:r w:rsidR="00D57D8A">
              <w:rPr>
                <w:noProof/>
                <w:webHidden/>
              </w:rPr>
              <w:tab/>
            </w:r>
            <w:r w:rsidR="00D57D8A">
              <w:rPr>
                <w:noProof/>
                <w:webHidden/>
              </w:rPr>
              <w:fldChar w:fldCharType="begin"/>
            </w:r>
            <w:r w:rsidR="00D57D8A">
              <w:rPr>
                <w:noProof/>
                <w:webHidden/>
              </w:rPr>
              <w:instrText xml:space="preserve"> PAGEREF _Toc50031337 \h </w:instrText>
            </w:r>
            <w:r w:rsidR="00D57D8A">
              <w:rPr>
                <w:noProof/>
                <w:webHidden/>
              </w:rPr>
            </w:r>
            <w:r w:rsidR="00D57D8A">
              <w:rPr>
                <w:noProof/>
                <w:webHidden/>
              </w:rPr>
              <w:fldChar w:fldCharType="separate"/>
            </w:r>
            <w:r w:rsidR="00D57D8A">
              <w:rPr>
                <w:noProof/>
                <w:webHidden/>
              </w:rPr>
              <w:t>275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38" w:history="1">
            <w:r w:rsidR="00D57D8A" w:rsidRPr="00251ABB">
              <w:rPr>
                <w:rStyle w:val="Hipervnculo"/>
                <w:noProof/>
              </w:rPr>
              <w:t>Sistema de comunicación basado en radio definido por software para un robot modular</w:t>
            </w:r>
            <w:r w:rsidR="00D57D8A">
              <w:rPr>
                <w:noProof/>
                <w:webHidden/>
              </w:rPr>
              <w:tab/>
            </w:r>
            <w:r w:rsidR="00D57D8A">
              <w:rPr>
                <w:noProof/>
                <w:webHidden/>
              </w:rPr>
              <w:fldChar w:fldCharType="begin"/>
            </w:r>
            <w:r w:rsidR="00D57D8A">
              <w:rPr>
                <w:noProof/>
                <w:webHidden/>
              </w:rPr>
              <w:instrText xml:space="preserve"> PAGEREF _Toc50031338 \h </w:instrText>
            </w:r>
            <w:r w:rsidR="00D57D8A">
              <w:rPr>
                <w:noProof/>
                <w:webHidden/>
              </w:rPr>
            </w:r>
            <w:r w:rsidR="00D57D8A">
              <w:rPr>
                <w:noProof/>
                <w:webHidden/>
              </w:rPr>
              <w:fldChar w:fldCharType="separate"/>
            </w:r>
            <w:r w:rsidR="00D57D8A">
              <w:rPr>
                <w:noProof/>
                <w:webHidden/>
              </w:rPr>
              <w:t>276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39" w:history="1">
            <w:r w:rsidR="00D57D8A" w:rsidRPr="00251ABB">
              <w:rPr>
                <w:rStyle w:val="Hipervnculo"/>
                <w:rFonts w:ascii="Arial" w:hAnsi="Arial" w:cs="Arial"/>
                <w:caps/>
                <w:noProof/>
              </w:rPr>
              <w:t>1. R</w:t>
            </w:r>
            <w:r w:rsidR="00D57D8A" w:rsidRPr="00251ABB">
              <w:rPr>
                <w:rStyle w:val="Hipervnculo"/>
                <w:rFonts w:ascii="Arial" w:hAnsi="Arial" w:cs="Arial"/>
                <w:noProof/>
              </w:rPr>
              <w:t>esumen</w:t>
            </w:r>
            <w:r w:rsidR="00D57D8A">
              <w:rPr>
                <w:noProof/>
                <w:webHidden/>
              </w:rPr>
              <w:tab/>
            </w:r>
            <w:r w:rsidR="00D57D8A">
              <w:rPr>
                <w:noProof/>
                <w:webHidden/>
              </w:rPr>
              <w:fldChar w:fldCharType="begin"/>
            </w:r>
            <w:r w:rsidR="00D57D8A">
              <w:rPr>
                <w:noProof/>
                <w:webHidden/>
              </w:rPr>
              <w:instrText xml:space="preserve"> PAGEREF _Toc50031339 \h </w:instrText>
            </w:r>
            <w:r w:rsidR="00D57D8A">
              <w:rPr>
                <w:noProof/>
                <w:webHidden/>
              </w:rPr>
            </w:r>
            <w:r w:rsidR="00D57D8A">
              <w:rPr>
                <w:noProof/>
                <w:webHidden/>
              </w:rPr>
              <w:fldChar w:fldCharType="separate"/>
            </w:r>
            <w:r w:rsidR="00D57D8A">
              <w:rPr>
                <w:noProof/>
                <w:webHidden/>
              </w:rPr>
              <w:t>276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40" w:history="1">
            <w:r w:rsidR="00D57D8A" w:rsidRPr="00251ABB">
              <w:rPr>
                <w:rStyle w:val="Hipervnculo"/>
                <w:rFonts w:ascii="Arial" w:hAnsi="Arial" w:cs="Arial"/>
                <w:caps/>
                <w:noProof/>
              </w:rPr>
              <w:t>2. I</w:t>
            </w:r>
            <w:r w:rsidR="00D57D8A" w:rsidRPr="00251ABB">
              <w:rPr>
                <w:rStyle w:val="Hipervnculo"/>
                <w:rFonts w:ascii="Arial" w:hAnsi="Arial" w:cs="Arial"/>
                <w:noProof/>
              </w:rPr>
              <w:t>ntroducción</w:t>
            </w:r>
            <w:r w:rsidR="00D57D8A">
              <w:rPr>
                <w:noProof/>
                <w:webHidden/>
              </w:rPr>
              <w:tab/>
            </w:r>
            <w:r w:rsidR="00D57D8A">
              <w:rPr>
                <w:noProof/>
                <w:webHidden/>
              </w:rPr>
              <w:fldChar w:fldCharType="begin"/>
            </w:r>
            <w:r w:rsidR="00D57D8A">
              <w:rPr>
                <w:noProof/>
                <w:webHidden/>
              </w:rPr>
              <w:instrText xml:space="preserve"> PAGEREF _Toc50031340 \h </w:instrText>
            </w:r>
            <w:r w:rsidR="00D57D8A">
              <w:rPr>
                <w:noProof/>
                <w:webHidden/>
              </w:rPr>
            </w:r>
            <w:r w:rsidR="00D57D8A">
              <w:rPr>
                <w:noProof/>
                <w:webHidden/>
              </w:rPr>
              <w:fldChar w:fldCharType="separate"/>
            </w:r>
            <w:r w:rsidR="00D57D8A">
              <w:rPr>
                <w:noProof/>
                <w:webHidden/>
              </w:rPr>
              <w:t>276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41" w:history="1">
            <w:r w:rsidR="00D57D8A" w:rsidRPr="00251ABB">
              <w:rPr>
                <w:rStyle w:val="Hipervnculo"/>
                <w:rFonts w:ascii="Arial" w:hAnsi="Arial" w:cs="Arial"/>
                <w:caps/>
                <w:noProof/>
              </w:rPr>
              <w:t xml:space="preserve">3. </w:t>
            </w:r>
            <w:r w:rsidR="00D57D8A" w:rsidRPr="00251ABB">
              <w:rPr>
                <w:rStyle w:val="Hipervnculo"/>
                <w:rFonts w:ascii="Arial" w:hAnsi="Arial" w:cs="Arial"/>
                <w:noProof/>
              </w:rPr>
              <w:t>Esquema del sistema de comunicación</w:t>
            </w:r>
            <w:r w:rsidR="00D57D8A">
              <w:rPr>
                <w:noProof/>
                <w:webHidden/>
              </w:rPr>
              <w:tab/>
            </w:r>
            <w:r w:rsidR="00D57D8A">
              <w:rPr>
                <w:noProof/>
                <w:webHidden/>
              </w:rPr>
              <w:fldChar w:fldCharType="begin"/>
            </w:r>
            <w:r w:rsidR="00D57D8A">
              <w:rPr>
                <w:noProof/>
                <w:webHidden/>
              </w:rPr>
              <w:instrText xml:space="preserve"> PAGEREF _Toc50031341 \h </w:instrText>
            </w:r>
            <w:r w:rsidR="00D57D8A">
              <w:rPr>
                <w:noProof/>
                <w:webHidden/>
              </w:rPr>
            </w:r>
            <w:r w:rsidR="00D57D8A">
              <w:rPr>
                <w:noProof/>
                <w:webHidden/>
              </w:rPr>
              <w:fldChar w:fldCharType="separate"/>
            </w:r>
            <w:r w:rsidR="00D57D8A">
              <w:rPr>
                <w:noProof/>
                <w:webHidden/>
              </w:rPr>
              <w:t>277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42" w:history="1">
            <w:r w:rsidR="00D57D8A" w:rsidRPr="00251ABB">
              <w:rPr>
                <w:rStyle w:val="Hipervnculo"/>
                <w:rFonts w:ascii="Arial" w:hAnsi="Arial" w:cs="Arial"/>
                <w:caps/>
                <w:noProof/>
              </w:rPr>
              <w:t xml:space="preserve">4. </w:t>
            </w:r>
            <w:r w:rsidR="00D57D8A" w:rsidRPr="00251ABB">
              <w:rPr>
                <w:rStyle w:val="Hipervnculo"/>
                <w:rFonts w:ascii="Arial" w:hAnsi="Arial" w:cs="Arial"/>
                <w:noProof/>
              </w:rPr>
              <w:t>Resultados</w:t>
            </w:r>
            <w:r w:rsidR="00D57D8A">
              <w:rPr>
                <w:noProof/>
                <w:webHidden/>
              </w:rPr>
              <w:tab/>
            </w:r>
            <w:r w:rsidR="00D57D8A">
              <w:rPr>
                <w:noProof/>
                <w:webHidden/>
              </w:rPr>
              <w:fldChar w:fldCharType="begin"/>
            </w:r>
            <w:r w:rsidR="00D57D8A">
              <w:rPr>
                <w:noProof/>
                <w:webHidden/>
              </w:rPr>
              <w:instrText xml:space="preserve"> PAGEREF _Toc50031342 \h </w:instrText>
            </w:r>
            <w:r w:rsidR="00D57D8A">
              <w:rPr>
                <w:noProof/>
                <w:webHidden/>
              </w:rPr>
            </w:r>
            <w:r w:rsidR="00D57D8A">
              <w:rPr>
                <w:noProof/>
                <w:webHidden/>
              </w:rPr>
              <w:fldChar w:fldCharType="separate"/>
            </w:r>
            <w:r w:rsidR="00D57D8A">
              <w:rPr>
                <w:noProof/>
                <w:webHidden/>
              </w:rPr>
              <w:t>282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43" w:history="1">
            <w:r w:rsidR="00D57D8A" w:rsidRPr="00251ABB">
              <w:rPr>
                <w:rStyle w:val="Hipervnculo"/>
                <w:rFonts w:ascii="Arial" w:hAnsi="Arial" w:cs="Arial"/>
                <w:caps/>
                <w:noProof/>
              </w:rPr>
              <w:t xml:space="preserve">5. </w:t>
            </w:r>
            <w:r w:rsidR="00D57D8A" w:rsidRPr="00251ABB">
              <w:rPr>
                <w:rStyle w:val="Hipervnculo"/>
                <w:rFonts w:ascii="Arial" w:hAnsi="Arial" w:cs="Arial"/>
                <w:noProof/>
              </w:rPr>
              <w:t>Conclusiones</w:t>
            </w:r>
            <w:r w:rsidR="00D57D8A">
              <w:rPr>
                <w:noProof/>
                <w:webHidden/>
              </w:rPr>
              <w:tab/>
            </w:r>
            <w:r w:rsidR="00D57D8A">
              <w:rPr>
                <w:noProof/>
                <w:webHidden/>
              </w:rPr>
              <w:fldChar w:fldCharType="begin"/>
            </w:r>
            <w:r w:rsidR="00D57D8A">
              <w:rPr>
                <w:noProof/>
                <w:webHidden/>
              </w:rPr>
              <w:instrText xml:space="preserve"> PAGEREF _Toc50031343 \h </w:instrText>
            </w:r>
            <w:r w:rsidR="00D57D8A">
              <w:rPr>
                <w:noProof/>
                <w:webHidden/>
              </w:rPr>
            </w:r>
            <w:r w:rsidR="00D57D8A">
              <w:rPr>
                <w:noProof/>
                <w:webHidden/>
              </w:rPr>
              <w:fldChar w:fldCharType="separate"/>
            </w:r>
            <w:r w:rsidR="00D57D8A">
              <w:rPr>
                <w:noProof/>
                <w:webHidden/>
              </w:rPr>
              <w:t>286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44" w:history="1">
            <w:r w:rsidR="00D57D8A" w:rsidRPr="00251ABB">
              <w:rPr>
                <w:rStyle w:val="Hipervnculo"/>
                <w:rFonts w:ascii="Arial" w:hAnsi="Arial" w:cs="Arial"/>
                <w:caps/>
                <w:noProof/>
              </w:rPr>
              <w:t xml:space="preserve">6. </w:t>
            </w:r>
            <w:r w:rsidR="00D57D8A" w:rsidRPr="00251ABB">
              <w:rPr>
                <w:rStyle w:val="Hipervnculo"/>
                <w:rFonts w:ascii="Arial" w:hAnsi="Arial" w:cs="Arial"/>
                <w:noProof/>
              </w:rPr>
              <w:t>Bibliografía</w:t>
            </w:r>
            <w:r w:rsidR="00D57D8A">
              <w:rPr>
                <w:noProof/>
                <w:webHidden/>
              </w:rPr>
              <w:tab/>
            </w:r>
            <w:r w:rsidR="00D57D8A">
              <w:rPr>
                <w:noProof/>
                <w:webHidden/>
              </w:rPr>
              <w:fldChar w:fldCharType="begin"/>
            </w:r>
            <w:r w:rsidR="00D57D8A">
              <w:rPr>
                <w:noProof/>
                <w:webHidden/>
              </w:rPr>
              <w:instrText xml:space="preserve"> PAGEREF _Toc50031344 \h </w:instrText>
            </w:r>
            <w:r w:rsidR="00D57D8A">
              <w:rPr>
                <w:noProof/>
                <w:webHidden/>
              </w:rPr>
            </w:r>
            <w:r w:rsidR="00D57D8A">
              <w:rPr>
                <w:noProof/>
                <w:webHidden/>
              </w:rPr>
              <w:fldChar w:fldCharType="separate"/>
            </w:r>
            <w:r w:rsidR="00D57D8A">
              <w:rPr>
                <w:noProof/>
                <w:webHidden/>
              </w:rPr>
              <w:t>287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45" w:history="1">
            <w:r w:rsidR="00D57D8A" w:rsidRPr="00251ABB">
              <w:rPr>
                <w:rStyle w:val="Hipervnculo"/>
                <w:noProof/>
              </w:rPr>
              <w:t>Cálculo del rendimiento de combustible y las emisiones de bióxido de carbono de tractocamiones</w:t>
            </w:r>
            <w:r w:rsidR="00D57D8A">
              <w:rPr>
                <w:noProof/>
                <w:webHidden/>
              </w:rPr>
              <w:tab/>
            </w:r>
            <w:r w:rsidR="00D57D8A">
              <w:rPr>
                <w:noProof/>
                <w:webHidden/>
              </w:rPr>
              <w:fldChar w:fldCharType="begin"/>
            </w:r>
            <w:r w:rsidR="00D57D8A">
              <w:rPr>
                <w:noProof/>
                <w:webHidden/>
              </w:rPr>
              <w:instrText xml:space="preserve"> PAGEREF _Toc50031345 \h </w:instrText>
            </w:r>
            <w:r w:rsidR="00D57D8A">
              <w:rPr>
                <w:noProof/>
                <w:webHidden/>
              </w:rPr>
            </w:r>
            <w:r w:rsidR="00D57D8A">
              <w:rPr>
                <w:noProof/>
                <w:webHidden/>
              </w:rPr>
              <w:fldChar w:fldCharType="separate"/>
            </w:r>
            <w:r w:rsidR="00D57D8A">
              <w:rPr>
                <w:noProof/>
                <w:webHidden/>
              </w:rPr>
              <w:t>288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46" w:history="1">
            <w:r w:rsidR="00D57D8A" w:rsidRPr="00251ABB">
              <w:rPr>
                <w:rStyle w:val="Hipervnculo"/>
                <w:rFonts w:ascii="Arial" w:hAnsi="Arial" w:cs="Arial"/>
                <w:i/>
                <w:caps/>
                <w:noProof/>
              </w:rPr>
              <w:t>1. r</w:t>
            </w:r>
            <w:r w:rsidR="00D57D8A" w:rsidRPr="00251ABB">
              <w:rPr>
                <w:rStyle w:val="Hipervnculo"/>
                <w:rFonts w:ascii="Arial" w:hAnsi="Arial" w:cs="Arial"/>
                <w:i/>
                <w:noProof/>
              </w:rPr>
              <w:t>esumen</w:t>
            </w:r>
            <w:r w:rsidR="00D57D8A">
              <w:rPr>
                <w:noProof/>
                <w:webHidden/>
              </w:rPr>
              <w:tab/>
            </w:r>
            <w:r w:rsidR="00D57D8A">
              <w:rPr>
                <w:noProof/>
                <w:webHidden/>
              </w:rPr>
              <w:fldChar w:fldCharType="begin"/>
            </w:r>
            <w:r w:rsidR="00D57D8A">
              <w:rPr>
                <w:noProof/>
                <w:webHidden/>
              </w:rPr>
              <w:instrText xml:space="preserve"> PAGEREF _Toc50031346 \h </w:instrText>
            </w:r>
            <w:r w:rsidR="00D57D8A">
              <w:rPr>
                <w:noProof/>
                <w:webHidden/>
              </w:rPr>
            </w:r>
            <w:r w:rsidR="00D57D8A">
              <w:rPr>
                <w:noProof/>
                <w:webHidden/>
              </w:rPr>
              <w:fldChar w:fldCharType="separate"/>
            </w:r>
            <w:r w:rsidR="00D57D8A">
              <w:rPr>
                <w:noProof/>
                <w:webHidden/>
              </w:rPr>
              <w:t>288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47"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ntroducción</w:t>
            </w:r>
            <w:r w:rsidR="00D57D8A">
              <w:rPr>
                <w:noProof/>
                <w:webHidden/>
              </w:rPr>
              <w:tab/>
            </w:r>
            <w:r w:rsidR="00D57D8A">
              <w:rPr>
                <w:noProof/>
                <w:webHidden/>
              </w:rPr>
              <w:fldChar w:fldCharType="begin"/>
            </w:r>
            <w:r w:rsidR="00D57D8A">
              <w:rPr>
                <w:noProof/>
                <w:webHidden/>
              </w:rPr>
              <w:instrText xml:space="preserve"> PAGEREF _Toc50031347 \h </w:instrText>
            </w:r>
            <w:r w:rsidR="00D57D8A">
              <w:rPr>
                <w:noProof/>
                <w:webHidden/>
              </w:rPr>
            </w:r>
            <w:r w:rsidR="00D57D8A">
              <w:rPr>
                <w:noProof/>
                <w:webHidden/>
              </w:rPr>
              <w:fldChar w:fldCharType="separate"/>
            </w:r>
            <w:r w:rsidR="00D57D8A">
              <w:rPr>
                <w:noProof/>
                <w:webHidden/>
              </w:rPr>
              <w:t>289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48" w:history="1">
            <w:r w:rsidR="00D57D8A" w:rsidRPr="00251ABB">
              <w:rPr>
                <w:rStyle w:val="Hipervnculo"/>
                <w:noProof/>
              </w:rPr>
              <w:t>3. Cálculo del consumo de combustible y emisiones de CO2</w:t>
            </w:r>
            <w:r w:rsidR="00D57D8A">
              <w:rPr>
                <w:noProof/>
                <w:webHidden/>
              </w:rPr>
              <w:tab/>
            </w:r>
            <w:r w:rsidR="00D57D8A">
              <w:rPr>
                <w:noProof/>
                <w:webHidden/>
              </w:rPr>
              <w:fldChar w:fldCharType="begin"/>
            </w:r>
            <w:r w:rsidR="00D57D8A">
              <w:rPr>
                <w:noProof/>
                <w:webHidden/>
              </w:rPr>
              <w:instrText xml:space="preserve"> PAGEREF _Toc50031348 \h </w:instrText>
            </w:r>
            <w:r w:rsidR="00D57D8A">
              <w:rPr>
                <w:noProof/>
                <w:webHidden/>
              </w:rPr>
            </w:r>
            <w:r w:rsidR="00D57D8A">
              <w:rPr>
                <w:noProof/>
                <w:webHidden/>
              </w:rPr>
              <w:fldChar w:fldCharType="separate"/>
            </w:r>
            <w:r w:rsidR="00D57D8A">
              <w:rPr>
                <w:noProof/>
                <w:webHidden/>
              </w:rPr>
              <w:t>290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49" w:history="1">
            <w:r w:rsidR="00D57D8A" w:rsidRPr="00251ABB">
              <w:rPr>
                <w:rStyle w:val="Hipervnculo"/>
                <w:noProof/>
              </w:rPr>
              <w:t>4. Resultados y discusión</w:t>
            </w:r>
            <w:r w:rsidR="00D57D8A">
              <w:rPr>
                <w:noProof/>
                <w:webHidden/>
              </w:rPr>
              <w:tab/>
            </w:r>
            <w:r w:rsidR="00D57D8A">
              <w:rPr>
                <w:noProof/>
                <w:webHidden/>
              </w:rPr>
              <w:fldChar w:fldCharType="begin"/>
            </w:r>
            <w:r w:rsidR="00D57D8A">
              <w:rPr>
                <w:noProof/>
                <w:webHidden/>
              </w:rPr>
              <w:instrText xml:space="preserve"> PAGEREF _Toc50031349 \h </w:instrText>
            </w:r>
            <w:r w:rsidR="00D57D8A">
              <w:rPr>
                <w:noProof/>
                <w:webHidden/>
              </w:rPr>
            </w:r>
            <w:r w:rsidR="00D57D8A">
              <w:rPr>
                <w:noProof/>
                <w:webHidden/>
              </w:rPr>
              <w:fldChar w:fldCharType="separate"/>
            </w:r>
            <w:r w:rsidR="00D57D8A">
              <w:rPr>
                <w:noProof/>
                <w:webHidden/>
              </w:rPr>
              <w:t>291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50" w:history="1">
            <w:r w:rsidR="00D57D8A" w:rsidRPr="00251ABB">
              <w:rPr>
                <w:rStyle w:val="Hipervnculo"/>
                <w:rFonts w:ascii="Arial" w:hAnsi="Arial" w:cs="Arial"/>
                <w:i/>
                <w:caps/>
                <w:noProof/>
              </w:rPr>
              <w:t>5. C</w:t>
            </w:r>
            <w:r w:rsidR="00D57D8A" w:rsidRPr="00251ABB">
              <w:rPr>
                <w:rStyle w:val="Hipervnculo"/>
                <w:rFonts w:ascii="Arial" w:hAnsi="Arial" w:cs="Arial"/>
                <w:i/>
                <w:noProof/>
              </w:rPr>
              <w:t>onclusiones</w:t>
            </w:r>
            <w:r w:rsidR="00D57D8A">
              <w:rPr>
                <w:noProof/>
                <w:webHidden/>
              </w:rPr>
              <w:tab/>
            </w:r>
            <w:r w:rsidR="00D57D8A">
              <w:rPr>
                <w:noProof/>
                <w:webHidden/>
              </w:rPr>
              <w:fldChar w:fldCharType="begin"/>
            </w:r>
            <w:r w:rsidR="00D57D8A">
              <w:rPr>
                <w:noProof/>
                <w:webHidden/>
              </w:rPr>
              <w:instrText xml:space="preserve"> PAGEREF _Toc50031350 \h </w:instrText>
            </w:r>
            <w:r w:rsidR="00D57D8A">
              <w:rPr>
                <w:noProof/>
                <w:webHidden/>
              </w:rPr>
            </w:r>
            <w:r w:rsidR="00D57D8A">
              <w:rPr>
                <w:noProof/>
                <w:webHidden/>
              </w:rPr>
              <w:fldChar w:fldCharType="separate"/>
            </w:r>
            <w:r w:rsidR="00D57D8A">
              <w:rPr>
                <w:noProof/>
                <w:webHidden/>
              </w:rPr>
              <w:t>299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51" w:history="1">
            <w:r w:rsidR="00D57D8A" w:rsidRPr="00251ABB">
              <w:rPr>
                <w:rStyle w:val="Hipervnculo"/>
                <w:rFonts w:ascii="Arial" w:hAnsi="Arial" w:cs="Arial"/>
                <w:i/>
                <w:caps/>
                <w:noProof/>
              </w:rPr>
              <w:t>6. B</w:t>
            </w:r>
            <w:r w:rsidR="00D57D8A" w:rsidRPr="00251ABB">
              <w:rPr>
                <w:rStyle w:val="Hipervnculo"/>
                <w:rFonts w:ascii="Arial" w:hAnsi="Arial" w:cs="Arial"/>
                <w:i/>
                <w:noProof/>
              </w:rPr>
              <w:t>ibliografía</w:t>
            </w:r>
            <w:r w:rsidR="00D57D8A">
              <w:rPr>
                <w:noProof/>
                <w:webHidden/>
              </w:rPr>
              <w:tab/>
            </w:r>
            <w:r w:rsidR="00D57D8A">
              <w:rPr>
                <w:noProof/>
                <w:webHidden/>
              </w:rPr>
              <w:fldChar w:fldCharType="begin"/>
            </w:r>
            <w:r w:rsidR="00D57D8A">
              <w:rPr>
                <w:noProof/>
                <w:webHidden/>
              </w:rPr>
              <w:instrText xml:space="preserve"> PAGEREF _Toc50031351 \h </w:instrText>
            </w:r>
            <w:r w:rsidR="00D57D8A">
              <w:rPr>
                <w:noProof/>
                <w:webHidden/>
              </w:rPr>
            </w:r>
            <w:r w:rsidR="00D57D8A">
              <w:rPr>
                <w:noProof/>
                <w:webHidden/>
              </w:rPr>
              <w:fldChar w:fldCharType="separate"/>
            </w:r>
            <w:r w:rsidR="00D57D8A">
              <w:rPr>
                <w:noProof/>
                <w:webHidden/>
              </w:rPr>
              <w:t>299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52" w:history="1">
            <w:r w:rsidR="00D57D8A" w:rsidRPr="00251ABB">
              <w:rPr>
                <w:rStyle w:val="Hipervnculo"/>
                <w:noProof/>
              </w:rPr>
              <w:t>Cinemática del flujo en contenedores cilíndricos con impulsores de flujo axial descendente y ascendente</w:t>
            </w:r>
            <w:r w:rsidR="00D57D8A">
              <w:rPr>
                <w:noProof/>
                <w:webHidden/>
              </w:rPr>
              <w:tab/>
            </w:r>
            <w:r w:rsidR="00D57D8A">
              <w:rPr>
                <w:noProof/>
                <w:webHidden/>
              </w:rPr>
              <w:fldChar w:fldCharType="begin"/>
            </w:r>
            <w:r w:rsidR="00D57D8A">
              <w:rPr>
                <w:noProof/>
                <w:webHidden/>
              </w:rPr>
              <w:instrText xml:space="preserve"> PAGEREF _Toc50031352 \h </w:instrText>
            </w:r>
            <w:r w:rsidR="00D57D8A">
              <w:rPr>
                <w:noProof/>
                <w:webHidden/>
              </w:rPr>
            </w:r>
            <w:r w:rsidR="00D57D8A">
              <w:rPr>
                <w:noProof/>
                <w:webHidden/>
              </w:rPr>
              <w:fldChar w:fldCharType="separate"/>
            </w:r>
            <w:r w:rsidR="00D57D8A">
              <w:rPr>
                <w:noProof/>
                <w:webHidden/>
              </w:rPr>
              <w:t>300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53" w:history="1">
            <w:r w:rsidR="00D57D8A" w:rsidRPr="00251ABB">
              <w:rPr>
                <w:rStyle w:val="Hipervnculo"/>
                <w:noProof/>
              </w:rPr>
              <w:t>1. Resumen</w:t>
            </w:r>
            <w:r w:rsidR="00D57D8A">
              <w:rPr>
                <w:noProof/>
                <w:webHidden/>
              </w:rPr>
              <w:tab/>
            </w:r>
            <w:r w:rsidR="00D57D8A">
              <w:rPr>
                <w:noProof/>
                <w:webHidden/>
              </w:rPr>
              <w:fldChar w:fldCharType="begin"/>
            </w:r>
            <w:r w:rsidR="00D57D8A">
              <w:rPr>
                <w:noProof/>
                <w:webHidden/>
              </w:rPr>
              <w:instrText xml:space="preserve"> PAGEREF _Toc50031353 \h </w:instrText>
            </w:r>
            <w:r w:rsidR="00D57D8A">
              <w:rPr>
                <w:noProof/>
                <w:webHidden/>
              </w:rPr>
            </w:r>
            <w:r w:rsidR="00D57D8A">
              <w:rPr>
                <w:noProof/>
                <w:webHidden/>
              </w:rPr>
              <w:fldChar w:fldCharType="separate"/>
            </w:r>
            <w:r w:rsidR="00D57D8A">
              <w:rPr>
                <w:noProof/>
                <w:webHidden/>
              </w:rPr>
              <w:t>300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54" w:history="1">
            <w:r w:rsidR="00D57D8A" w:rsidRPr="00251ABB">
              <w:rPr>
                <w:rStyle w:val="Hipervnculo"/>
                <w:caps/>
                <w:noProof/>
              </w:rPr>
              <w:t>2. I</w:t>
            </w:r>
            <w:r w:rsidR="00D57D8A" w:rsidRPr="00251ABB">
              <w:rPr>
                <w:rStyle w:val="Hipervnculo"/>
                <w:noProof/>
              </w:rPr>
              <w:t>ntroducción</w:t>
            </w:r>
            <w:r w:rsidR="00D57D8A">
              <w:rPr>
                <w:noProof/>
                <w:webHidden/>
              </w:rPr>
              <w:tab/>
            </w:r>
            <w:r w:rsidR="00D57D8A">
              <w:rPr>
                <w:noProof/>
                <w:webHidden/>
              </w:rPr>
              <w:fldChar w:fldCharType="begin"/>
            </w:r>
            <w:r w:rsidR="00D57D8A">
              <w:rPr>
                <w:noProof/>
                <w:webHidden/>
              </w:rPr>
              <w:instrText xml:space="preserve"> PAGEREF _Toc50031354 \h </w:instrText>
            </w:r>
            <w:r w:rsidR="00D57D8A">
              <w:rPr>
                <w:noProof/>
                <w:webHidden/>
              </w:rPr>
            </w:r>
            <w:r w:rsidR="00D57D8A">
              <w:rPr>
                <w:noProof/>
                <w:webHidden/>
              </w:rPr>
              <w:fldChar w:fldCharType="separate"/>
            </w:r>
            <w:r w:rsidR="00D57D8A">
              <w:rPr>
                <w:noProof/>
                <w:webHidden/>
              </w:rPr>
              <w:t>301</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355" w:history="1">
            <w:r w:rsidR="00D57D8A" w:rsidRPr="00251ABB">
              <w:rPr>
                <w:rStyle w:val="Hipervnculo"/>
                <w:noProof/>
              </w:rPr>
              <w:t>3</w:t>
            </w:r>
            <w:r w:rsidR="00D57D8A">
              <w:rPr>
                <w:b w:val="0"/>
                <w:noProof/>
                <w:sz w:val="22"/>
                <w:szCs w:val="22"/>
                <w:lang w:val="en-US" w:eastAsia="en-US"/>
              </w:rPr>
              <w:tab/>
            </w:r>
            <w:r w:rsidR="00D57D8A" w:rsidRPr="00251ABB">
              <w:rPr>
                <w:rStyle w:val="Hipervnculo"/>
                <w:noProof/>
              </w:rPr>
              <w:t>Planteamiento y solución del problema</w:t>
            </w:r>
            <w:r w:rsidR="00D57D8A">
              <w:rPr>
                <w:noProof/>
                <w:webHidden/>
              </w:rPr>
              <w:tab/>
            </w:r>
            <w:r w:rsidR="00D57D8A">
              <w:rPr>
                <w:noProof/>
                <w:webHidden/>
              </w:rPr>
              <w:fldChar w:fldCharType="begin"/>
            </w:r>
            <w:r w:rsidR="00D57D8A">
              <w:rPr>
                <w:noProof/>
                <w:webHidden/>
              </w:rPr>
              <w:instrText xml:space="preserve"> PAGEREF _Toc50031355 \h </w:instrText>
            </w:r>
            <w:r w:rsidR="00D57D8A">
              <w:rPr>
                <w:noProof/>
                <w:webHidden/>
              </w:rPr>
            </w:r>
            <w:r w:rsidR="00D57D8A">
              <w:rPr>
                <w:noProof/>
                <w:webHidden/>
              </w:rPr>
              <w:fldChar w:fldCharType="separate"/>
            </w:r>
            <w:r w:rsidR="00D57D8A">
              <w:rPr>
                <w:noProof/>
                <w:webHidden/>
              </w:rPr>
              <w:t>302</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356" w:history="1">
            <w:r w:rsidR="00D57D8A" w:rsidRPr="00251ABB">
              <w:rPr>
                <w:rStyle w:val="Hipervnculo"/>
                <w:noProof/>
              </w:rPr>
              <w:t>4</w:t>
            </w:r>
            <w:r w:rsidR="00D57D8A">
              <w:rPr>
                <w:b w:val="0"/>
                <w:noProof/>
                <w:sz w:val="22"/>
                <w:szCs w:val="22"/>
                <w:lang w:val="en-US" w:eastAsia="en-US"/>
              </w:rPr>
              <w:tab/>
            </w:r>
            <w:r w:rsidR="00D57D8A" w:rsidRPr="00251ABB">
              <w:rPr>
                <w:rStyle w:val="Hipervnculo"/>
                <w:noProof/>
              </w:rPr>
              <w:t>Resultados y discusión</w:t>
            </w:r>
            <w:r w:rsidR="00D57D8A">
              <w:rPr>
                <w:noProof/>
                <w:webHidden/>
              </w:rPr>
              <w:tab/>
            </w:r>
            <w:r w:rsidR="00D57D8A">
              <w:rPr>
                <w:noProof/>
                <w:webHidden/>
              </w:rPr>
              <w:fldChar w:fldCharType="begin"/>
            </w:r>
            <w:r w:rsidR="00D57D8A">
              <w:rPr>
                <w:noProof/>
                <w:webHidden/>
              </w:rPr>
              <w:instrText xml:space="preserve"> PAGEREF _Toc50031356 \h </w:instrText>
            </w:r>
            <w:r w:rsidR="00D57D8A">
              <w:rPr>
                <w:noProof/>
                <w:webHidden/>
              </w:rPr>
            </w:r>
            <w:r w:rsidR="00D57D8A">
              <w:rPr>
                <w:noProof/>
                <w:webHidden/>
              </w:rPr>
              <w:fldChar w:fldCharType="separate"/>
            </w:r>
            <w:r w:rsidR="00D57D8A">
              <w:rPr>
                <w:noProof/>
                <w:webHidden/>
              </w:rPr>
              <w:t>305</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357" w:history="1">
            <w:r w:rsidR="00D57D8A" w:rsidRPr="00251ABB">
              <w:rPr>
                <w:rStyle w:val="Hipervnculo"/>
                <w:noProof/>
              </w:rPr>
              <w:t>5</w:t>
            </w:r>
            <w:r w:rsidR="00D57D8A">
              <w:rPr>
                <w:b w:val="0"/>
                <w:noProof/>
                <w:sz w:val="22"/>
                <w:szCs w:val="22"/>
                <w:lang w:val="en-US" w:eastAsia="en-US"/>
              </w:rPr>
              <w:tab/>
            </w:r>
            <w:r w:rsidR="00D57D8A" w:rsidRPr="00251ABB">
              <w:rPr>
                <w:rStyle w:val="Hipervnculo"/>
                <w:noProof/>
              </w:rPr>
              <w:t>Conclusiones</w:t>
            </w:r>
            <w:r w:rsidR="00D57D8A">
              <w:rPr>
                <w:noProof/>
                <w:webHidden/>
              </w:rPr>
              <w:tab/>
            </w:r>
            <w:r w:rsidR="00D57D8A">
              <w:rPr>
                <w:noProof/>
                <w:webHidden/>
              </w:rPr>
              <w:fldChar w:fldCharType="begin"/>
            </w:r>
            <w:r w:rsidR="00D57D8A">
              <w:rPr>
                <w:noProof/>
                <w:webHidden/>
              </w:rPr>
              <w:instrText xml:space="preserve"> PAGEREF _Toc50031357 \h </w:instrText>
            </w:r>
            <w:r w:rsidR="00D57D8A">
              <w:rPr>
                <w:noProof/>
                <w:webHidden/>
              </w:rPr>
            </w:r>
            <w:r w:rsidR="00D57D8A">
              <w:rPr>
                <w:noProof/>
                <w:webHidden/>
              </w:rPr>
              <w:fldChar w:fldCharType="separate"/>
            </w:r>
            <w:r w:rsidR="00D57D8A">
              <w:rPr>
                <w:noProof/>
                <w:webHidden/>
              </w:rPr>
              <w:t>310</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358" w:history="1">
            <w:r w:rsidR="00D57D8A" w:rsidRPr="00251ABB">
              <w:rPr>
                <w:rStyle w:val="Hipervnculo"/>
                <w:noProof/>
                <w:lang w:eastAsia="en-US"/>
              </w:rPr>
              <w:t>6</w:t>
            </w:r>
            <w:r w:rsidR="00D57D8A">
              <w:rPr>
                <w:b w:val="0"/>
                <w:noProof/>
                <w:sz w:val="22"/>
                <w:szCs w:val="22"/>
                <w:lang w:val="en-US" w:eastAsia="en-US"/>
              </w:rPr>
              <w:tab/>
            </w:r>
            <w:r w:rsidR="00D57D8A" w:rsidRPr="00251ABB">
              <w:rPr>
                <w:rStyle w:val="Hipervnculo"/>
                <w:noProof/>
              </w:rPr>
              <w:t>Bibliografía</w:t>
            </w:r>
            <w:r w:rsidR="00D57D8A">
              <w:rPr>
                <w:noProof/>
                <w:webHidden/>
              </w:rPr>
              <w:tab/>
            </w:r>
            <w:r w:rsidR="00D57D8A">
              <w:rPr>
                <w:noProof/>
                <w:webHidden/>
              </w:rPr>
              <w:fldChar w:fldCharType="begin"/>
            </w:r>
            <w:r w:rsidR="00D57D8A">
              <w:rPr>
                <w:noProof/>
                <w:webHidden/>
              </w:rPr>
              <w:instrText xml:space="preserve"> PAGEREF _Toc50031358 \h </w:instrText>
            </w:r>
            <w:r w:rsidR="00D57D8A">
              <w:rPr>
                <w:noProof/>
                <w:webHidden/>
              </w:rPr>
            </w:r>
            <w:r w:rsidR="00D57D8A">
              <w:rPr>
                <w:noProof/>
                <w:webHidden/>
              </w:rPr>
              <w:fldChar w:fldCharType="separate"/>
            </w:r>
            <w:r w:rsidR="00D57D8A">
              <w:rPr>
                <w:noProof/>
                <w:webHidden/>
              </w:rPr>
              <w:t>310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59" w:history="1">
            <w:r w:rsidR="00D57D8A" w:rsidRPr="00251ABB">
              <w:rPr>
                <w:rStyle w:val="Hipervnculo"/>
                <w:noProof/>
              </w:rPr>
              <w:t>Comparación del desempeño termohidráulico de intercambiadores de calor de tubo doble con aletas longitudinales y helicoidales</w:t>
            </w:r>
            <w:r w:rsidR="00D57D8A">
              <w:rPr>
                <w:noProof/>
                <w:webHidden/>
              </w:rPr>
              <w:tab/>
            </w:r>
            <w:r w:rsidR="00D57D8A">
              <w:rPr>
                <w:noProof/>
                <w:webHidden/>
              </w:rPr>
              <w:fldChar w:fldCharType="begin"/>
            </w:r>
            <w:r w:rsidR="00D57D8A">
              <w:rPr>
                <w:noProof/>
                <w:webHidden/>
              </w:rPr>
              <w:instrText xml:space="preserve"> PAGEREF _Toc50031359 \h </w:instrText>
            </w:r>
            <w:r w:rsidR="00D57D8A">
              <w:rPr>
                <w:noProof/>
                <w:webHidden/>
              </w:rPr>
            </w:r>
            <w:r w:rsidR="00D57D8A">
              <w:rPr>
                <w:noProof/>
                <w:webHidden/>
              </w:rPr>
              <w:fldChar w:fldCharType="separate"/>
            </w:r>
            <w:r w:rsidR="00D57D8A">
              <w:rPr>
                <w:noProof/>
                <w:webHidden/>
              </w:rPr>
              <w:t>311</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360" w:history="1">
            <w:r w:rsidR="00D57D8A" w:rsidRPr="00251ABB">
              <w:rPr>
                <w:rStyle w:val="Hipervnculo"/>
                <w:noProof/>
              </w:rPr>
              <w:t>1.</w:t>
            </w:r>
            <w:r w:rsidR="00D57D8A">
              <w:rPr>
                <w:b w:val="0"/>
                <w:noProof/>
                <w:sz w:val="22"/>
                <w:szCs w:val="22"/>
                <w:lang w:val="en-US" w:eastAsia="en-US"/>
              </w:rPr>
              <w:tab/>
            </w:r>
            <w:r w:rsidR="00D57D8A" w:rsidRPr="00251ABB">
              <w:rPr>
                <w:rStyle w:val="Hipervnculo"/>
                <w:noProof/>
              </w:rPr>
              <w:t>Resumen</w:t>
            </w:r>
            <w:r w:rsidR="00D57D8A">
              <w:rPr>
                <w:noProof/>
                <w:webHidden/>
              </w:rPr>
              <w:tab/>
            </w:r>
            <w:r w:rsidR="00D57D8A">
              <w:rPr>
                <w:noProof/>
                <w:webHidden/>
              </w:rPr>
              <w:fldChar w:fldCharType="begin"/>
            </w:r>
            <w:r w:rsidR="00D57D8A">
              <w:rPr>
                <w:noProof/>
                <w:webHidden/>
              </w:rPr>
              <w:instrText xml:space="preserve"> PAGEREF _Toc50031360 \h </w:instrText>
            </w:r>
            <w:r w:rsidR="00D57D8A">
              <w:rPr>
                <w:noProof/>
                <w:webHidden/>
              </w:rPr>
            </w:r>
            <w:r w:rsidR="00D57D8A">
              <w:rPr>
                <w:noProof/>
                <w:webHidden/>
              </w:rPr>
              <w:fldChar w:fldCharType="separate"/>
            </w:r>
            <w:r w:rsidR="00D57D8A">
              <w:rPr>
                <w:noProof/>
                <w:webHidden/>
              </w:rPr>
              <w:t>311</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361" w:history="1">
            <w:r w:rsidR="00D57D8A" w:rsidRPr="00251ABB">
              <w:rPr>
                <w:rStyle w:val="Hipervnculo"/>
                <w:caps/>
                <w:noProof/>
              </w:rPr>
              <w:t>2.</w:t>
            </w:r>
            <w:r w:rsidR="00D57D8A">
              <w:rPr>
                <w:b w:val="0"/>
                <w:noProof/>
                <w:sz w:val="22"/>
                <w:szCs w:val="22"/>
                <w:lang w:val="en-US" w:eastAsia="en-US"/>
              </w:rPr>
              <w:tab/>
            </w:r>
            <w:r w:rsidR="00D57D8A" w:rsidRPr="00251ABB">
              <w:rPr>
                <w:rStyle w:val="Hipervnculo"/>
                <w:caps/>
                <w:noProof/>
              </w:rPr>
              <w:t>I</w:t>
            </w:r>
            <w:r w:rsidR="00D57D8A" w:rsidRPr="00251ABB">
              <w:rPr>
                <w:rStyle w:val="Hipervnculo"/>
                <w:noProof/>
              </w:rPr>
              <w:t>ntroducción</w:t>
            </w:r>
            <w:r w:rsidR="00D57D8A">
              <w:rPr>
                <w:noProof/>
                <w:webHidden/>
              </w:rPr>
              <w:tab/>
            </w:r>
            <w:r w:rsidR="00D57D8A">
              <w:rPr>
                <w:noProof/>
                <w:webHidden/>
              </w:rPr>
              <w:fldChar w:fldCharType="begin"/>
            </w:r>
            <w:r w:rsidR="00D57D8A">
              <w:rPr>
                <w:noProof/>
                <w:webHidden/>
              </w:rPr>
              <w:instrText xml:space="preserve"> PAGEREF _Toc50031361 \h </w:instrText>
            </w:r>
            <w:r w:rsidR="00D57D8A">
              <w:rPr>
                <w:noProof/>
                <w:webHidden/>
              </w:rPr>
            </w:r>
            <w:r w:rsidR="00D57D8A">
              <w:rPr>
                <w:noProof/>
                <w:webHidden/>
              </w:rPr>
              <w:fldChar w:fldCharType="separate"/>
            </w:r>
            <w:r w:rsidR="00D57D8A">
              <w:rPr>
                <w:noProof/>
                <w:webHidden/>
              </w:rPr>
              <w:t>311</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362" w:history="1">
            <w:r w:rsidR="00D57D8A" w:rsidRPr="00251ABB">
              <w:rPr>
                <w:rStyle w:val="Hipervnculo"/>
                <w:noProof/>
              </w:rPr>
              <w:t>3.</w:t>
            </w:r>
            <w:r w:rsidR="00D57D8A">
              <w:rPr>
                <w:b w:val="0"/>
                <w:noProof/>
                <w:sz w:val="22"/>
                <w:szCs w:val="22"/>
                <w:lang w:val="en-US" w:eastAsia="en-US"/>
              </w:rPr>
              <w:tab/>
            </w:r>
            <w:r w:rsidR="00D57D8A" w:rsidRPr="00251ABB">
              <w:rPr>
                <w:rStyle w:val="Hipervnculo"/>
                <w:caps/>
                <w:noProof/>
              </w:rPr>
              <w:t>P</w:t>
            </w:r>
            <w:r w:rsidR="00D57D8A" w:rsidRPr="00251ABB">
              <w:rPr>
                <w:rStyle w:val="Hipervnculo"/>
                <w:noProof/>
              </w:rPr>
              <w:t>lanteamiento y solución del problema</w:t>
            </w:r>
            <w:r w:rsidR="00D57D8A">
              <w:rPr>
                <w:noProof/>
                <w:webHidden/>
              </w:rPr>
              <w:tab/>
            </w:r>
            <w:r w:rsidR="00D57D8A">
              <w:rPr>
                <w:noProof/>
                <w:webHidden/>
              </w:rPr>
              <w:fldChar w:fldCharType="begin"/>
            </w:r>
            <w:r w:rsidR="00D57D8A">
              <w:rPr>
                <w:noProof/>
                <w:webHidden/>
              </w:rPr>
              <w:instrText xml:space="preserve"> PAGEREF _Toc50031362 \h </w:instrText>
            </w:r>
            <w:r w:rsidR="00D57D8A">
              <w:rPr>
                <w:noProof/>
                <w:webHidden/>
              </w:rPr>
            </w:r>
            <w:r w:rsidR="00D57D8A">
              <w:rPr>
                <w:noProof/>
                <w:webHidden/>
              </w:rPr>
              <w:fldChar w:fldCharType="separate"/>
            </w:r>
            <w:r w:rsidR="00D57D8A">
              <w:rPr>
                <w:noProof/>
                <w:webHidden/>
              </w:rPr>
              <w:t>314</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363" w:history="1">
            <w:r w:rsidR="00D57D8A" w:rsidRPr="00251ABB">
              <w:rPr>
                <w:rStyle w:val="Hipervnculo"/>
                <w:noProof/>
              </w:rPr>
              <w:t>4.</w:t>
            </w:r>
            <w:r w:rsidR="00D57D8A">
              <w:rPr>
                <w:b w:val="0"/>
                <w:noProof/>
                <w:sz w:val="22"/>
                <w:szCs w:val="22"/>
                <w:lang w:val="en-US" w:eastAsia="en-US"/>
              </w:rPr>
              <w:tab/>
            </w:r>
            <w:r w:rsidR="00D57D8A" w:rsidRPr="00251ABB">
              <w:rPr>
                <w:rStyle w:val="Hipervnculo"/>
                <w:noProof/>
              </w:rPr>
              <w:t>Resultados y discusión</w:t>
            </w:r>
            <w:r w:rsidR="00D57D8A">
              <w:rPr>
                <w:noProof/>
                <w:webHidden/>
              </w:rPr>
              <w:tab/>
            </w:r>
            <w:r w:rsidR="00D57D8A">
              <w:rPr>
                <w:noProof/>
                <w:webHidden/>
              </w:rPr>
              <w:fldChar w:fldCharType="begin"/>
            </w:r>
            <w:r w:rsidR="00D57D8A">
              <w:rPr>
                <w:noProof/>
                <w:webHidden/>
              </w:rPr>
              <w:instrText xml:space="preserve"> PAGEREF _Toc50031363 \h </w:instrText>
            </w:r>
            <w:r w:rsidR="00D57D8A">
              <w:rPr>
                <w:noProof/>
                <w:webHidden/>
              </w:rPr>
            </w:r>
            <w:r w:rsidR="00D57D8A">
              <w:rPr>
                <w:noProof/>
                <w:webHidden/>
              </w:rPr>
              <w:fldChar w:fldCharType="separate"/>
            </w:r>
            <w:r w:rsidR="00D57D8A">
              <w:rPr>
                <w:noProof/>
                <w:webHidden/>
              </w:rPr>
              <w:t>318</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364" w:history="1">
            <w:r w:rsidR="00D57D8A" w:rsidRPr="00251ABB">
              <w:rPr>
                <w:rStyle w:val="Hipervnculo"/>
                <w:noProof/>
              </w:rPr>
              <w:t>5.</w:t>
            </w:r>
            <w:r w:rsidR="00D57D8A">
              <w:rPr>
                <w:b w:val="0"/>
                <w:noProof/>
                <w:sz w:val="22"/>
                <w:szCs w:val="22"/>
                <w:lang w:val="en-US" w:eastAsia="en-US"/>
              </w:rPr>
              <w:tab/>
            </w:r>
            <w:r w:rsidR="00D57D8A" w:rsidRPr="00251ABB">
              <w:rPr>
                <w:rStyle w:val="Hipervnculo"/>
                <w:noProof/>
              </w:rPr>
              <w:t>Conclusiones</w:t>
            </w:r>
            <w:r w:rsidR="00D57D8A">
              <w:rPr>
                <w:noProof/>
                <w:webHidden/>
              </w:rPr>
              <w:tab/>
            </w:r>
            <w:r w:rsidR="00D57D8A">
              <w:rPr>
                <w:noProof/>
                <w:webHidden/>
              </w:rPr>
              <w:fldChar w:fldCharType="begin"/>
            </w:r>
            <w:r w:rsidR="00D57D8A">
              <w:rPr>
                <w:noProof/>
                <w:webHidden/>
              </w:rPr>
              <w:instrText xml:space="preserve"> PAGEREF _Toc50031364 \h </w:instrText>
            </w:r>
            <w:r w:rsidR="00D57D8A">
              <w:rPr>
                <w:noProof/>
                <w:webHidden/>
              </w:rPr>
            </w:r>
            <w:r w:rsidR="00D57D8A">
              <w:rPr>
                <w:noProof/>
                <w:webHidden/>
              </w:rPr>
              <w:fldChar w:fldCharType="separate"/>
            </w:r>
            <w:r w:rsidR="00D57D8A">
              <w:rPr>
                <w:noProof/>
                <w:webHidden/>
              </w:rPr>
              <w:t>320</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365" w:history="1">
            <w:r w:rsidR="00D57D8A" w:rsidRPr="00251ABB">
              <w:rPr>
                <w:rStyle w:val="Hipervnculo"/>
                <w:noProof/>
                <w:lang w:eastAsia="en-US"/>
              </w:rPr>
              <w:t>6.</w:t>
            </w:r>
            <w:r w:rsidR="00D57D8A">
              <w:rPr>
                <w:b w:val="0"/>
                <w:noProof/>
                <w:sz w:val="22"/>
                <w:szCs w:val="22"/>
                <w:lang w:val="en-US" w:eastAsia="en-US"/>
              </w:rPr>
              <w:tab/>
            </w:r>
            <w:r w:rsidR="00D57D8A" w:rsidRPr="00251ABB">
              <w:rPr>
                <w:rStyle w:val="Hipervnculo"/>
                <w:noProof/>
              </w:rPr>
              <w:t>Bibliografía</w:t>
            </w:r>
            <w:r w:rsidR="00D57D8A">
              <w:rPr>
                <w:noProof/>
                <w:webHidden/>
              </w:rPr>
              <w:tab/>
            </w:r>
            <w:r w:rsidR="00D57D8A">
              <w:rPr>
                <w:noProof/>
                <w:webHidden/>
              </w:rPr>
              <w:fldChar w:fldCharType="begin"/>
            </w:r>
            <w:r w:rsidR="00D57D8A">
              <w:rPr>
                <w:noProof/>
                <w:webHidden/>
              </w:rPr>
              <w:instrText xml:space="preserve"> PAGEREF _Toc50031365 \h </w:instrText>
            </w:r>
            <w:r w:rsidR="00D57D8A">
              <w:rPr>
                <w:noProof/>
                <w:webHidden/>
              </w:rPr>
            </w:r>
            <w:r w:rsidR="00D57D8A">
              <w:rPr>
                <w:noProof/>
                <w:webHidden/>
              </w:rPr>
              <w:fldChar w:fldCharType="separate"/>
            </w:r>
            <w:r w:rsidR="00D57D8A">
              <w:rPr>
                <w:noProof/>
                <w:webHidden/>
              </w:rPr>
              <w:t>321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66" w:history="1">
            <w:r w:rsidR="00D57D8A" w:rsidRPr="00251ABB">
              <w:rPr>
                <w:rStyle w:val="Hipervnculo"/>
                <w:noProof/>
              </w:rPr>
              <w:t>Modelo para el cálculo del costo beneficio de una regulación del consumo de combustible y emisiones de bióxido de carbono de tractocamiones</w:t>
            </w:r>
            <w:r w:rsidR="00D57D8A">
              <w:rPr>
                <w:noProof/>
                <w:webHidden/>
              </w:rPr>
              <w:tab/>
            </w:r>
            <w:r w:rsidR="00D57D8A">
              <w:rPr>
                <w:noProof/>
                <w:webHidden/>
              </w:rPr>
              <w:fldChar w:fldCharType="begin"/>
            </w:r>
            <w:r w:rsidR="00D57D8A">
              <w:rPr>
                <w:noProof/>
                <w:webHidden/>
              </w:rPr>
              <w:instrText xml:space="preserve"> PAGEREF _Toc50031366 \h </w:instrText>
            </w:r>
            <w:r w:rsidR="00D57D8A">
              <w:rPr>
                <w:noProof/>
                <w:webHidden/>
              </w:rPr>
            </w:r>
            <w:r w:rsidR="00D57D8A">
              <w:rPr>
                <w:noProof/>
                <w:webHidden/>
              </w:rPr>
              <w:fldChar w:fldCharType="separate"/>
            </w:r>
            <w:r w:rsidR="00D57D8A">
              <w:rPr>
                <w:noProof/>
                <w:webHidden/>
              </w:rPr>
              <w:t>322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67" w:history="1">
            <w:r w:rsidR="00D57D8A" w:rsidRPr="00251ABB">
              <w:rPr>
                <w:rStyle w:val="Hipervnculo"/>
                <w:caps/>
                <w:noProof/>
              </w:rPr>
              <w:t>1. R</w:t>
            </w:r>
            <w:r w:rsidR="00D57D8A" w:rsidRPr="00251ABB">
              <w:rPr>
                <w:rStyle w:val="Hipervnculo"/>
                <w:noProof/>
              </w:rPr>
              <w:t>esumen</w:t>
            </w:r>
            <w:r w:rsidR="00D57D8A">
              <w:rPr>
                <w:noProof/>
                <w:webHidden/>
              </w:rPr>
              <w:tab/>
            </w:r>
            <w:r w:rsidR="00D57D8A">
              <w:rPr>
                <w:noProof/>
                <w:webHidden/>
              </w:rPr>
              <w:fldChar w:fldCharType="begin"/>
            </w:r>
            <w:r w:rsidR="00D57D8A">
              <w:rPr>
                <w:noProof/>
                <w:webHidden/>
              </w:rPr>
              <w:instrText xml:space="preserve"> PAGEREF _Toc50031367 \h </w:instrText>
            </w:r>
            <w:r w:rsidR="00D57D8A">
              <w:rPr>
                <w:noProof/>
                <w:webHidden/>
              </w:rPr>
            </w:r>
            <w:r w:rsidR="00D57D8A">
              <w:rPr>
                <w:noProof/>
                <w:webHidden/>
              </w:rPr>
              <w:fldChar w:fldCharType="separate"/>
            </w:r>
            <w:r w:rsidR="00D57D8A">
              <w:rPr>
                <w:noProof/>
                <w:webHidden/>
              </w:rPr>
              <w:t>322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68" w:history="1">
            <w:r w:rsidR="00D57D8A" w:rsidRPr="00251ABB">
              <w:rPr>
                <w:rStyle w:val="Hipervnculo"/>
                <w:caps/>
                <w:noProof/>
              </w:rPr>
              <w:t>2. I</w:t>
            </w:r>
            <w:r w:rsidR="00D57D8A" w:rsidRPr="00251ABB">
              <w:rPr>
                <w:rStyle w:val="Hipervnculo"/>
                <w:noProof/>
              </w:rPr>
              <w:t>ntroducción</w:t>
            </w:r>
            <w:r w:rsidR="00D57D8A">
              <w:rPr>
                <w:noProof/>
                <w:webHidden/>
              </w:rPr>
              <w:tab/>
            </w:r>
            <w:r w:rsidR="00D57D8A">
              <w:rPr>
                <w:noProof/>
                <w:webHidden/>
              </w:rPr>
              <w:fldChar w:fldCharType="begin"/>
            </w:r>
            <w:r w:rsidR="00D57D8A">
              <w:rPr>
                <w:noProof/>
                <w:webHidden/>
              </w:rPr>
              <w:instrText xml:space="preserve"> PAGEREF _Toc50031368 \h </w:instrText>
            </w:r>
            <w:r w:rsidR="00D57D8A">
              <w:rPr>
                <w:noProof/>
                <w:webHidden/>
              </w:rPr>
            </w:r>
            <w:r w:rsidR="00D57D8A">
              <w:rPr>
                <w:noProof/>
                <w:webHidden/>
              </w:rPr>
              <w:fldChar w:fldCharType="separate"/>
            </w:r>
            <w:r w:rsidR="00D57D8A">
              <w:rPr>
                <w:noProof/>
                <w:webHidden/>
              </w:rPr>
              <w:t>322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69" w:history="1">
            <w:r w:rsidR="00D57D8A" w:rsidRPr="00251ABB">
              <w:rPr>
                <w:rStyle w:val="Hipervnculo"/>
                <w:caps/>
                <w:noProof/>
              </w:rPr>
              <w:t>3. V</w:t>
            </w:r>
            <w:r w:rsidR="00D57D8A" w:rsidRPr="00251ABB">
              <w:rPr>
                <w:rStyle w:val="Hipervnculo"/>
                <w:noProof/>
              </w:rPr>
              <w:t>alor presente neto y tasa de descuento</w:t>
            </w:r>
            <w:r w:rsidR="00D57D8A">
              <w:rPr>
                <w:noProof/>
                <w:webHidden/>
              </w:rPr>
              <w:tab/>
            </w:r>
            <w:r w:rsidR="00D57D8A">
              <w:rPr>
                <w:noProof/>
                <w:webHidden/>
              </w:rPr>
              <w:fldChar w:fldCharType="begin"/>
            </w:r>
            <w:r w:rsidR="00D57D8A">
              <w:rPr>
                <w:noProof/>
                <w:webHidden/>
              </w:rPr>
              <w:instrText xml:space="preserve"> PAGEREF _Toc50031369 \h </w:instrText>
            </w:r>
            <w:r w:rsidR="00D57D8A">
              <w:rPr>
                <w:noProof/>
                <w:webHidden/>
              </w:rPr>
            </w:r>
            <w:r w:rsidR="00D57D8A">
              <w:rPr>
                <w:noProof/>
                <w:webHidden/>
              </w:rPr>
              <w:fldChar w:fldCharType="separate"/>
            </w:r>
            <w:r w:rsidR="00D57D8A">
              <w:rPr>
                <w:noProof/>
                <w:webHidden/>
              </w:rPr>
              <w:t>323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70" w:history="1">
            <w:r w:rsidR="00D57D8A" w:rsidRPr="00251ABB">
              <w:rPr>
                <w:rStyle w:val="Hipervnculo"/>
                <w:caps/>
                <w:noProof/>
              </w:rPr>
              <w:t xml:space="preserve">4. </w:t>
            </w:r>
            <w:r w:rsidR="00D57D8A" w:rsidRPr="00251ABB">
              <w:rPr>
                <w:rStyle w:val="Hipervnculo"/>
                <w:noProof/>
              </w:rPr>
              <w:t>Modelo del costo beneficio de un aumento en la eficiencia energética de un tractocamión</w:t>
            </w:r>
            <w:r w:rsidR="00D57D8A">
              <w:rPr>
                <w:noProof/>
                <w:webHidden/>
              </w:rPr>
              <w:tab/>
            </w:r>
            <w:r w:rsidR="00D57D8A">
              <w:rPr>
                <w:noProof/>
                <w:webHidden/>
              </w:rPr>
              <w:fldChar w:fldCharType="begin"/>
            </w:r>
            <w:r w:rsidR="00D57D8A">
              <w:rPr>
                <w:noProof/>
                <w:webHidden/>
              </w:rPr>
              <w:instrText xml:space="preserve"> PAGEREF _Toc50031370 \h </w:instrText>
            </w:r>
            <w:r w:rsidR="00D57D8A">
              <w:rPr>
                <w:noProof/>
                <w:webHidden/>
              </w:rPr>
            </w:r>
            <w:r w:rsidR="00D57D8A">
              <w:rPr>
                <w:noProof/>
                <w:webHidden/>
              </w:rPr>
              <w:fldChar w:fldCharType="separate"/>
            </w:r>
            <w:r w:rsidR="00D57D8A">
              <w:rPr>
                <w:noProof/>
                <w:webHidden/>
              </w:rPr>
              <w:t>326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71" w:history="1">
            <w:r w:rsidR="00D57D8A" w:rsidRPr="00251ABB">
              <w:rPr>
                <w:rStyle w:val="Hipervnculo"/>
                <w:caps/>
                <w:noProof/>
              </w:rPr>
              <w:t xml:space="preserve">5. </w:t>
            </w:r>
            <w:r w:rsidR="00D57D8A" w:rsidRPr="00251ABB">
              <w:rPr>
                <w:rStyle w:val="Hipervnculo"/>
                <w:noProof/>
              </w:rPr>
              <w:t>Resultados del VPN para un tractocamión en varios años</w:t>
            </w:r>
            <w:r w:rsidR="00D57D8A">
              <w:rPr>
                <w:noProof/>
                <w:webHidden/>
              </w:rPr>
              <w:tab/>
            </w:r>
            <w:r w:rsidR="00D57D8A">
              <w:rPr>
                <w:noProof/>
                <w:webHidden/>
              </w:rPr>
              <w:fldChar w:fldCharType="begin"/>
            </w:r>
            <w:r w:rsidR="00D57D8A">
              <w:rPr>
                <w:noProof/>
                <w:webHidden/>
              </w:rPr>
              <w:instrText xml:space="preserve"> PAGEREF _Toc50031371 \h </w:instrText>
            </w:r>
            <w:r w:rsidR="00D57D8A">
              <w:rPr>
                <w:noProof/>
                <w:webHidden/>
              </w:rPr>
            </w:r>
            <w:r w:rsidR="00D57D8A">
              <w:rPr>
                <w:noProof/>
                <w:webHidden/>
              </w:rPr>
              <w:fldChar w:fldCharType="separate"/>
            </w:r>
            <w:r w:rsidR="00D57D8A">
              <w:rPr>
                <w:noProof/>
                <w:webHidden/>
              </w:rPr>
              <w:t>328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72" w:history="1">
            <w:r w:rsidR="00D57D8A" w:rsidRPr="00251ABB">
              <w:rPr>
                <w:rStyle w:val="Hipervnculo"/>
                <w:caps/>
                <w:noProof/>
              </w:rPr>
              <w:t>6. C</w:t>
            </w:r>
            <w:r w:rsidR="00D57D8A" w:rsidRPr="00251ABB">
              <w:rPr>
                <w:rStyle w:val="Hipervnculo"/>
                <w:noProof/>
              </w:rPr>
              <w:t>onclusiones</w:t>
            </w:r>
            <w:r w:rsidR="00D57D8A">
              <w:rPr>
                <w:noProof/>
                <w:webHidden/>
              </w:rPr>
              <w:tab/>
            </w:r>
            <w:r w:rsidR="00D57D8A">
              <w:rPr>
                <w:noProof/>
                <w:webHidden/>
              </w:rPr>
              <w:fldChar w:fldCharType="begin"/>
            </w:r>
            <w:r w:rsidR="00D57D8A">
              <w:rPr>
                <w:noProof/>
                <w:webHidden/>
              </w:rPr>
              <w:instrText xml:space="preserve"> PAGEREF _Toc50031372 \h </w:instrText>
            </w:r>
            <w:r w:rsidR="00D57D8A">
              <w:rPr>
                <w:noProof/>
                <w:webHidden/>
              </w:rPr>
            </w:r>
            <w:r w:rsidR="00D57D8A">
              <w:rPr>
                <w:noProof/>
                <w:webHidden/>
              </w:rPr>
              <w:fldChar w:fldCharType="separate"/>
            </w:r>
            <w:r w:rsidR="00D57D8A">
              <w:rPr>
                <w:noProof/>
                <w:webHidden/>
              </w:rPr>
              <w:t>333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73" w:history="1">
            <w:r w:rsidR="00D57D8A" w:rsidRPr="00251ABB">
              <w:rPr>
                <w:rStyle w:val="Hipervnculo"/>
                <w:caps/>
                <w:noProof/>
              </w:rPr>
              <w:t>7. B</w:t>
            </w:r>
            <w:r w:rsidR="00D57D8A" w:rsidRPr="00251ABB">
              <w:rPr>
                <w:rStyle w:val="Hipervnculo"/>
                <w:noProof/>
              </w:rPr>
              <w:t>ibliografía</w:t>
            </w:r>
            <w:r w:rsidR="00D57D8A">
              <w:rPr>
                <w:noProof/>
                <w:webHidden/>
              </w:rPr>
              <w:tab/>
            </w:r>
            <w:r w:rsidR="00D57D8A">
              <w:rPr>
                <w:noProof/>
                <w:webHidden/>
              </w:rPr>
              <w:fldChar w:fldCharType="begin"/>
            </w:r>
            <w:r w:rsidR="00D57D8A">
              <w:rPr>
                <w:noProof/>
                <w:webHidden/>
              </w:rPr>
              <w:instrText xml:space="preserve"> PAGEREF _Toc50031373 \h </w:instrText>
            </w:r>
            <w:r w:rsidR="00D57D8A">
              <w:rPr>
                <w:noProof/>
                <w:webHidden/>
              </w:rPr>
            </w:r>
            <w:r w:rsidR="00D57D8A">
              <w:rPr>
                <w:noProof/>
                <w:webHidden/>
              </w:rPr>
              <w:fldChar w:fldCharType="separate"/>
            </w:r>
            <w:r w:rsidR="00D57D8A">
              <w:rPr>
                <w:noProof/>
                <w:webHidden/>
              </w:rPr>
              <w:t>334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74" w:history="1">
            <w:r w:rsidR="00D57D8A" w:rsidRPr="00251ABB">
              <w:rPr>
                <w:rStyle w:val="Hipervnculo"/>
                <w:noProof/>
              </w:rPr>
              <w:t>Software educativo para la construcción de un sistema hidráulico en un entorno virtual</w:t>
            </w:r>
            <w:r w:rsidR="00D57D8A">
              <w:rPr>
                <w:noProof/>
                <w:webHidden/>
              </w:rPr>
              <w:tab/>
            </w:r>
            <w:r w:rsidR="00D57D8A">
              <w:rPr>
                <w:noProof/>
                <w:webHidden/>
              </w:rPr>
              <w:fldChar w:fldCharType="begin"/>
            </w:r>
            <w:r w:rsidR="00D57D8A">
              <w:rPr>
                <w:noProof/>
                <w:webHidden/>
              </w:rPr>
              <w:instrText xml:space="preserve"> PAGEREF _Toc50031374 \h </w:instrText>
            </w:r>
            <w:r w:rsidR="00D57D8A">
              <w:rPr>
                <w:noProof/>
                <w:webHidden/>
              </w:rPr>
            </w:r>
            <w:r w:rsidR="00D57D8A">
              <w:rPr>
                <w:noProof/>
                <w:webHidden/>
              </w:rPr>
              <w:fldChar w:fldCharType="separate"/>
            </w:r>
            <w:r w:rsidR="00D57D8A">
              <w:rPr>
                <w:noProof/>
                <w:webHidden/>
              </w:rPr>
              <w:t>334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75" w:history="1">
            <w:r w:rsidR="00D57D8A" w:rsidRPr="00251ABB">
              <w:rPr>
                <w:rStyle w:val="Hipervnculo"/>
                <w:rFonts w:ascii="Arial" w:hAnsi="Arial" w:cs="Arial"/>
                <w:i/>
                <w:caps/>
                <w:noProof/>
              </w:rPr>
              <w:t>1. R</w:t>
            </w:r>
            <w:r w:rsidR="00D57D8A" w:rsidRPr="00251ABB">
              <w:rPr>
                <w:rStyle w:val="Hipervnculo"/>
                <w:rFonts w:ascii="Arial" w:hAnsi="Arial" w:cs="Arial"/>
                <w:i/>
                <w:noProof/>
              </w:rPr>
              <w:t>esumen</w:t>
            </w:r>
            <w:r w:rsidR="00D57D8A">
              <w:rPr>
                <w:noProof/>
                <w:webHidden/>
              </w:rPr>
              <w:tab/>
            </w:r>
            <w:r w:rsidR="00D57D8A">
              <w:rPr>
                <w:noProof/>
                <w:webHidden/>
              </w:rPr>
              <w:fldChar w:fldCharType="begin"/>
            </w:r>
            <w:r w:rsidR="00D57D8A">
              <w:rPr>
                <w:noProof/>
                <w:webHidden/>
              </w:rPr>
              <w:instrText xml:space="preserve"> PAGEREF _Toc50031375 \h </w:instrText>
            </w:r>
            <w:r w:rsidR="00D57D8A">
              <w:rPr>
                <w:noProof/>
                <w:webHidden/>
              </w:rPr>
            </w:r>
            <w:r w:rsidR="00D57D8A">
              <w:rPr>
                <w:noProof/>
                <w:webHidden/>
              </w:rPr>
              <w:fldChar w:fldCharType="separate"/>
            </w:r>
            <w:r w:rsidR="00D57D8A">
              <w:rPr>
                <w:noProof/>
                <w:webHidden/>
              </w:rPr>
              <w:t>335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76"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ntroducción</w:t>
            </w:r>
            <w:r w:rsidR="00D57D8A">
              <w:rPr>
                <w:noProof/>
                <w:webHidden/>
              </w:rPr>
              <w:tab/>
            </w:r>
            <w:r w:rsidR="00D57D8A">
              <w:rPr>
                <w:noProof/>
                <w:webHidden/>
              </w:rPr>
              <w:fldChar w:fldCharType="begin"/>
            </w:r>
            <w:r w:rsidR="00D57D8A">
              <w:rPr>
                <w:noProof/>
                <w:webHidden/>
              </w:rPr>
              <w:instrText xml:space="preserve"> PAGEREF _Toc50031376 \h </w:instrText>
            </w:r>
            <w:r w:rsidR="00D57D8A">
              <w:rPr>
                <w:noProof/>
                <w:webHidden/>
              </w:rPr>
            </w:r>
            <w:r w:rsidR="00D57D8A">
              <w:rPr>
                <w:noProof/>
                <w:webHidden/>
              </w:rPr>
              <w:fldChar w:fldCharType="separate"/>
            </w:r>
            <w:r w:rsidR="00D57D8A">
              <w:rPr>
                <w:noProof/>
                <w:webHidden/>
              </w:rPr>
              <w:t>335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77" w:history="1">
            <w:r w:rsidR="00D57D8A" w:rsidRPr="00251ABB">
              <w:rPr>
                <w:rStyle w:val="Hipervnculo"/>
                <w:rFonts w:ascii="Arial" w:hAnsi="Arial" w:cs="Arial"/>
                <w:i/>
                <w:caps/>
                <w:noProof/>
              </w:rPr>
              <w:t>3. C</w:t>
            </w:r>
            <w:r w:rsidR="00D57D8A" w:rsidRPr="00251ABB">
              <w:rPr>
                <w:rStyle w:val="Hipervnculo"/>
                <w:rFonts w:ascii="Arial" w:hAnsi="Arial" w:cs="Arial"/>
                <w:i/>
                <w:noProof/>
              </w:rPr>
              <w:t>ondiciones experimentales</w:t>
            </w:r>
            <w:r w:rsidR="00D57D8A">
              <w:rPr>
                <w:noProof/>
                <w:webHidden/>
              </w:rPr>
              <w:tab/>
            </w:r>
            <w:r w:rsidR="00D57D8A">
              <w:rPr>
                <w:noProof/>
                <w:webHidden/>
              </w:rPr>
              <w:fldChar w:fldCharType="begin"/>
            </w:r>
            <w:r w:rsidR="00D57D8A">
              <w:rPr>
                <w:noProof/>
                <w:webHidden/>
              </w:rPr>
              <w:instrText xml:space="preserve"> PAGEREF _Toc50031377 \h </w:instrText>
            </w:r>
            <w:r w:rsidR="00D57D8A">
              <w:rPr>
                <w:noProof/>
                <w:webHidden/>
              </w:rPr>
            </w:r>
            <w:r w:rsidR="00D57D8A">
              <w:rPr>
                <w:noProof/>
                <w:webHidden/>
              </w:rPr>
              <w:fldChar w:fldCharType="separate"/>
            </w:r>
            <w:r w:rsidR="00D57D8A">
              <w:rPr>
                <w:noProof/>
                <w:webHidden/>
              </w:rPr>
              <w:t>336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78" w:history="1">
            <w:r w:rsidR="00D57D8A" w:rsidRPr="00251ABB">
              <w:rPr>
                <w:rStyle w:val="Hipervnculo"/>
                <w:rFonts w:ascii="Arial" w:hAnsi="Arial" w:cs="Arial"/>
                <w:i/>
                <w:caps/>
                <w:noProof/>
              </w:rPr>
              <w:t xml:space="preserve">4. </w:t>
            </w:r>
            <w:r w:rsidR="00D57D8A" w:rsidRPr="00251ABB">
              <w:rPr>
                <w:rStyle w:val="Hipervnculo"/>
                <w:rFonts w:ascii="Arial" w:hAnsi="Arial" w:cs="Arial"/>
                <w:i/>
                <w:noProof/>
              </w:rPr>
              <w:t>Resultados y discusión</w:t>
            </w:r>
            <w:r w:rsidR="00D57D8A">
              <w:rPr>
                <w:noProof/>
                <w:webHidden/>
              </w:rPr>
              <w:tab/>
            </w:r>
            <w:r w:rsidR="00D57D8A">
              <w:rPr>
                <w:noProof/>
                <w:webHidden/>
              </w:rPr>
              <w:fldChar w:fldCharType="begin"/>
            </w:r>
            <w:r w:rsidR="00D57D8A">
              <w:rPr>
                <w:noProof/>
                <w:webHidden/>
              </w:rPr>
              <w:instrText xml:space="preserve"> PAGEREF _Toc50031378 \h </w:instrText>
            </w:r>
            <w:r w:rsidR="00D57D8A">
              <w:rPr>
                <w:noProof/>
                <w:webHidden/>
              </w:rPr>
            </w:r>
            <w:r w:rsidR="00D57D8A">
              <w:rPr>
                <w:noProof/>
                <w:webHidden/>
              </w:rPr>
              <w:fldChar w:fldCharType="separate"/>
            </w:r>
            <w:r w:rsidR="00D57D8A">
              <w:rPr>
                <w:noProof/>
                <w:webHidden/>
              </w:rPr>
              <w:t>343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79" w:history="1">
            <w:r w:rsidR="00D57D8A" w:rsidRPr="00251ABB">
              <w:rPr>
                <w:rStyle w:val="Hipervnculo"/>
                <w:rFonts w:ascii="Arial" w:hAnsi="Arial" w:cs="Arial"/>
                <w:i/>
                <w:caps/>
                <w:noProof/>
              </w:rPr>
              <w:t xml:space="preserve">5. </w:t>
            </w:r>
            <w:r w:rsidR="00D57D8A" w:rsidRPr="00251ABB">
              <w:rPr>
                <w:rStyle w:val="Hipervnculo"/>
                <w:rFonts w:ascii="Arial" w:hAnsi="Arial" w:cs="Arial"/>
                <w:i/>
                <w:noProof/>
              </w:rPr>
              <w:t>Conclusiones</w:t>
            </w:r>
            <w:r w:rsidR="00D57D8A">
              <w:rPr>
                <w:noProof/>
                <w:webHidden/>
              </w:rPr>
              <w:tab/>
            </w:r>
            <w:r w:rsidR="00D57D8A">
              <w:rPr>
                <w:noProof/>
                <w:webHidden/>
              </w:rPr>
              <w:fldChar w:fldCharType="begin"/>
            </w:r>
            <w:r w:rsidR="00D57D8A">
              <w:rPr>
                <w:noProof/>
                <w:webHidden/>
              </w:rPr>
              <w:instrText xml:space="preserve"> PAGEREF _Toc50031379 \h </w:instrText>
            </w:r>
            <w:r w:rsidR="00D57D8A">
              <w:rPr>
                <w:noProof/>
                <w:webHidden/>
              </w:rPr>
            </w:r>
            <w:r w:rsidR="00D57D8A">
              <w:rPr>
                <w:noProof/>
                <w:webHidden/>
              </w:rPr>
              <w:fldChar w:fldCharType="separate"/>
            </w:r>
            <w:r w:rsidR="00D57D8A">
              <w:rPr>
                <w:noProof/>
                <w:webHidden/>
              </w:rPr>
              <w:t>343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80" w:history="1">
            <w:r w:rsidR="00D57D8A" w:rsidRPr="00251ABB">
              <w:rPr>
                <w:rStyle w:val="Hipervnculo"/>
                <w:rFonts w:ascii="Arial" w:hAnsi="Arial" w:cs="Arial"/>
                <w:i/>
                <w:caps/>
                <w:noProof/>
              </w:rPr>
              <w:t xml:space="preserve">6. </w:t>
            </w:r>
            <w:r w:rsidR="00D57D8A" w:rsidRPr="00251ABB">
              <w:rPr>
                <w:rStyle w:val="Hipervnculo"/>
                <w:rFonts w:ascii="Arial" w:hAnsi="Arial" w:cs="Arial"/>
                <w:i/>
                <w:noProof/>
              </w:rPr>
              <w:t>Bibliografía</w:t>
            </w:r>
            <w:r w:rsidR="00D57D8A">
              <w:rPr>
                <w:noProof/>
                <w:webHidden/>
              </w:rPr>
              <w:tab/>
            </w:r>
            <w:r w:rsidR="00D57D8A">
              <w:rPr>
                <w:noProof/>
                <w:webHidden/>
              </w:rPr>
              <w:fldChar w:fldCharType="begin"/>
            </w:r>
            <w:r w:rsidR="00D57D8A">
              <w:rPr>
                <w:noProof/>
                <w:webHidden/>
              </w:rPr>
              <w:instrText xml:space="preserve"> PAGEREF _Toc50031380 \h </w:instrText>
            </w:r>
            <w:r w:rsidR="00D57D8A">
              <w:rPr>
                <w:noProof/>
                <w:webHidden/>
              </w:rPr>
            </w:r>
            <w:r w:rsidR="00D57D8A">
              <w:rPr>
                <w:noProof/>
                <w:webHidden/>
              </w:rPr>
              <w:fldChar w:fldCharType="separate"/>
            </w:r>
            <w:r w:rsidR="00D57D8A">
              <w:rPr>
                <w:noProof/>
                <w:webHidden/>
              </w:rPr>
              <w:t>344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81" w:history="1">
            <w:r w:rsidR="00D57D8A" w:rsidRPr="00251ABB">
              <w:rPr>
                <w:rStyle w:val="Hipervnculo"/>
                <w:noProof/>
              </w:rPr>
              <w:t>Sustracción de gasolinas en México, El uso de tecnologías y resultado de las acciones</w:t>
            </w:r>
            <w:r w:rsidR="00D57D8A" w:rsidRPr="00251ABB">
              <w:rPr>
                <w:rStyle w:val="Hipervnculo"/>
                <w:rFonts w:ascii="Helvetica" w:hAnsi="Helvetica" w:cs="Helvetica"/>
                <w:noProof/>
              </w:rPr>
              <w:t xml:space="preserve"> </w:t>
            </w:r>
            <w:r w:rsidR="00D57D8A" w:rsidRPr="00251ABB">
              <w:rPr>
                <w:rStyle w:val="Hipervnculo"/>
                <w:noProof/>
              </w:rPr>
              <w:t>gubernamentales</w:t>
            </w:r>
            <w:r w:rsidR="00D57D8A">
              <w:rPr>
                <w:noProof/>
                <w:webHidden/>
              </w:rPr>
              <w:tab/>
            </w:r>
            <w:r w:rsidR="00D57D8A">
              <w:rPr>
                <w:noProof/>
                <w:webHidden/>
              </w:rPr>
              <w:fldChar w:fldCharType="begin"/>
            </w:r>
            <w:r w:rsidR="00D57D8A">
              <w:rPr>
                <w:noProof/>
                <w:webHidden/>
              </w:rPr>
              <w:instrText xml:space="preserve"> PAGEREF _Toc50031381 \h </w:instrText>
            </w:r>
            <w:r w:rsidR="00D57D8A">
              <w:rPr>
                <w:noProof/>
                <w:webHidden/>
              </w:rPr>
            </w:r>
            <w:r w:rsidR="00D57D8A">
              <w:rPr>
                <w:noProof/>
                <w:webHidden/>
              </w:rPr>
              <w:fldChar w:fldCharType="separate"/>
            </w:r>
            <w:r w:rsidR="00D57D8A">
              <w:rPr>
                <w:noProof/>
                <w:webHidden/>
              </w:rPr>
              <w:t>344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82" w:history="1">
            <w:r w:rsidR="00D57D8A" w:rsidRPr="00251ABB">
              <w:rPr>
                <w:rStyle w:val="Hipervnculo"/>
                <w:noProof/>
              </w:rPr>
              <w:t>1. Resumen</w:t>
            </w:r>
            <w:r w:rsidR="00D57D8A">
              <w:rPr>
                <w:noProof/>
                <w:webHidden/>
              </w:rPr>
              <w:tab/>
            </w:r>
            <w:r w:rsidR="00D57D8A">
              <w:rPr>
                <w:noProof/>
                <w:webHidden/>
              </w:rPr>
              <w:fldChar w:fldCharType="begin"/>
            </w:r>
            <w:r w:rsidR="00D57D8A">
              <w:rPr>
                <w:noProof/>
                <w:webHidden/>
              </w:rPr>
              <w:instrText xml:space="preserve"> PAGEREF _Toc50031382 \h </w:instrText>
            </w:r>
            <w:r w:rsidR="00D57D8A">
              <w:rPr>
                <w:noProof/>
                <w:webHidden/>
              </w:rPr>
            </w:r>
            <w:r w:rsidR="00D57D8A">
              <w:rPr>
                <w:noProof/>
                <w:webHidden/>
              </w:rPr>
              <w:fldChar w:fldCharType="separate"/>
            </w:r>
            <w:r w:rsidR="00D57D8A">
              <w:rPr>
                <w:noProof/>
                <w:webHidden/>
              </w:rPr>
              <w:t>345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83" w:history="1">
            <w:r w:rsidR="00D57D8A" w:rsidRPr="00251ABB">
              <w:rPr>
                <w:rStyle w:val="Hipervnculo"/>
                <w:noProof/>
              </w:rPr>
              <w:t>2. Introducción e importancia</w:t>
            </w:r>
            <w:r w:rsidR="00D57D8A">
              <w:rPr>
                <w:noProof/>
                <w:webHidden/>
              </w:rPr>
              <w:tab/>
            </w:r>
            <w:r w:rsidR="00D57D8A">
              <w:rPr>
                <w:noProof/>
                <w:webHidden/>
              </w:rPr>
              <w:fldChar w:fldCharType="begin"/>
            </w:r>
            <w:r w:rsidR="00D57D8A">
              <w:rPr>
                <w:noProof/>
                <w:webHidden/>
              </w:rPr>
              <w:instrText xml:space="preserve"> PAGEREF _Toc50031383 \h </w:instrText>
            </w:r>
            <w:r w:rsidR="00D57D8A">
              <w:rPr>
                <w:noProof/>
                <w:webHidden/>
              </w:rPr>
            </w:r>
            <w:r w:rsidR="00D57D8A">
              <w:rPr>
                <w:noProof/>
                <w:webHidden/>
              </w:rPr>
              <w:fldChar w:fldCharType="separate"/>
            </w:r>
            <w:r w:rsidR="00D57D8A">
              <w:rPr>
                <w:noProof/>
                <w:webHidden/>
              </w:rPr>
              <w:t>345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84" w:history="1">
            <w:r w:rsidR="00D57D8A" w:rsidRPr="00251ABB">
              <w:rPr>
                <w:rStyle w:val="Hipervnculo"/>
                <w:noProof/>
              </w:rPr>
              <w:t>3. Metodología</w:t>
            </w:r>
            <w:r w:rsidR="00D57D8A">
              <w:rPr>
                <w:noProof/>
                <w:webHidden/>
              </w:rPr>
              <w:tab/>
            </w:r>
            <w:r w:rsidR="00D57D8A">
              <w:rPr>
                <w:noProof/>
                <w:webHidden/>
              </w:rPr>
              <w:fldChar w:fldCharType="begin"/>
            </w:r>
            <w:r w:rsidR="00D57D8A">
              <w:rPr>
                <w:noProof/>
                <w:webHidden/>
              </w:rPr>
              <w:instrText xml:space="preserve"> PAGEREF _Toc50031384 \h </w:instrText>
            </w:r>
            <w:r w:rsidR="00D57D8A">
              <w:rPr>
                <w:noProof/>
                <w:webHidden/>
              </w:rPr>
            </w:r>
            <w:r w:rsidR="00D57D8A">
              <w:rPr>
                <w:noProof/>
                <w:webHidden/>
              </w:rPr>
              <w:fldChar w:fldCharType="separate"/>
            </w:r>
            <w:r w:rsidR="00D57D8A">
              <w:rPr>
                <w:noProof/>
                <w:webHidden/>
              </w:rPr>
              <w:t>347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85" w:history="1">
            <w:r w:rsidR="00D57D8A" w:rsidRPr="00251ABB">
              <w:rPr>
                <w:rStyle w:val="Hipervnculo"/>
                <w:noProof/>
              </w:rPr>
              <w:t>4. Resultados y discusión</w:t>
            </w:r>
            <w:r w:rsidR="00D57D8A">
              <w:rPr>
                <w:noProof/>
                <w:webHidden/>
              </w:rPr>
              <w:tab/>
            </w:r>
            <w:r w:rsidR="00D57D8A">
              <w:rPr>
                <w:noProof/>
                <w:webHidden/>
              </w:rPr>
              <w:fldChar w:fldCharType="begin"/>
            </w:r>
            <w:r w:rsidR="00D57D8A">
              <w:rPr>
                <w:noProof/>
                <w:webHidden/>
              </w:rPr>
              <w:instrText xml:space="preserve"> PAGEREF _Toc50031385 \h </w:instrText>
            </w:r>
            <w:r w:rsidR="00D57D8A">
              <w:rPr>
                <w:noProof/>
                <w:webHidden/>
              </w:rPr>
            </w:r>
            <w:r w:rsidR="00D57D8A">
              <w:rPr>
                <w:noProof/>
                <w:webHidden/>
              </w:rPr>
              <w:fldChar w:fldCharType="separate"/>
            </w:r>
            <w:r w:rsidR="00D57D8A">
              <w:rPr>
                <w:noProof/>
                <w:webHidden/>
              </w:rPr>
              <w:t>348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86" w:history="1">
            <w:r w:rsidR="00D57D8A" w:rsidRPr="00251ABB">
              <w:rPr>
                <w:rStyle w:val="Hipervnculo"/>
                <w:noProof/>
              </w:rPr>
              <w:t>5. Conclusiones</w:t>
            </w:r>
            <w:r w:rsidR="00D57D8A">
              <w:rPr>
                <w:noProof/>
                <w:webHidden/>
              </w:rPr>
              <w:tab/>
            </w:r>
            <w:r w:rsidR="00D57D8A">
              <w:rPr>
                <w:noProof/>
                <w:webHidden/>
              </w:rPr>
              <w:fldChar w:fldCharType="begin"/>
            </w:r>
            <w:r w:rsidR="00D57D8A">
              <w:rPr>
                <w:noProof/>
                <w:webHidden/>
              </w:rPr>
              <w:instrText xml:space="preserve"> PAGEREF _Toc50031386 \h </w:instrText>
            </w:r>
            <w:r w:rsidR="00D57D8A">
              <w:rPr>
                <w:noProof/>
                <w:webHidden/>
              </w:rPr>
            </w:r>
            <w:r w:rsidR="00D57D8A">
              <w:rPr>
                <w:noProof/>
                <w:webHidden/>
              </w:rPr>
              <w:fldChar w:fldCharType="separate"/>
            </w:r>
            <w:r w:rsidR="00D57D8A">
              <w:rPr>
                <w:noProof/>
                <w:webHidden/>
              </w:rPr>
              <w:t>354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87" w:history="1">
            <w:r w:rsidR="00D57D8A" w:rsidRPr="00251ABB">
              <w:rPr>
                <w:rStyle w:val="Hipervnculo"/>
                <w:noProof/>
              </w:rPr>
              <w:t>6. Bibliografía</w:t>
            </w:r>
            <w:r w:rsidR="00D57D8A">
              <w:rPr>
                <w:noProof/>
                <w:webHidden/>
              </w:rPr>
              <w:tab/>
            </w:r>
            <w:r w:rsidR="00D57D8A">
              <w:rPr>
                <w:noProof/>
                <w:webHidden/>
              </w:rPr>
              <w:fldChar w:fldCharType="begin"/>
            </w:r>
            <w:r w:rsidR="00D57D8A">
              <w:rPr>
                <w:noProof/>
                <w:webHidden/>
              </w:rPr>
              <w:instrText xml:space="preserve"> PAGEREF _Toc50031387 \h </w:instrText>
            </w:r>
            <w:r w:rsidR="00D57D8A">
              <w:rPr>
                <w:noProof/>
                <w:webHidden/>
              </w:rPr>
            </w:r>
            <w:r w:rsidR="00D57D8A">
              <w:rPr>
                <w:noProof/>
                <w:webHidden/>
              </w:rPr>
              <w:fldChar w:fldCharType="separate"/>
            </w:r>
            <w:r w:rsidR="00D57D8A">
              <w:rPr>
                <w:noProof/>
                <w:webHidden/>
              </w:rPr>
              <w:t>354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88" w:history="1">
            <w:r w:rsidR="00D57D8A" w:rsidRPr="00251ABB">
              <w:rPr>
                <w:rStyle w:val="Hipervnculo"/>
                <w:noProof/>
              </w:rPr>
              <w:t>Detección de movimiento usando una tarjeta Arty Z7-10 y OpenCV</w:t>
            </w:r>
            <w:r w:rsidR="00D57D8A">
              <w:rPr>
                <w:noProof/>
                <w:webHidden/>
              </w:rPr>
              <w:tab/>
            </w:r>
            <w:r w:rsidR="00D57D8A">
              <w:rPr>
                <w:noProof/>
                <w:webHidden/>
              </w:rPr>
              <w:fldChar w:fldCharType="begin"/>
            </w:r>
            <w:r w:rsidR="00D57D8A">
              <w:rPr>
                <w:noProof/>
                <w:webHidden/>
              </w:rPr>
              <w:instrText xml:space="preserve"> PAGEREF _Toc50031388 \h </w:instrText>
            </w:r>
            <w:r w:rsidR="00D57D8A">
              <w:rPr>
                <w:noProof/>
                <w:webHidden/>
              </w:rPr>
            </w:r>
            <w:r w:rsidR="00D57D8A">
              <w:rPr>
                <w:noProof/>
                <w:webHidden/>
              </w:rPr>
              <w:fldChar w:fldCharType="separate"/>
            </w:r>
            <w:r w:rsidR="00D57D8A">
              <w:rPr>
                <w:noProof/>
                <w:webHidden/>
              </w:rPr>
              <w:t>355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89" w:history="1">
            <w:r w:rsidR="00D57D8A" w:rsidRPr="00251ABB">
              <w:rPr>
                <w:rStyle w:val="Hipervnculo"/>
                <w:rFonts w:ascii="Arial" w:hAnsi="Arial" w:cs="Arial"/>
                <w:i/>
                <w:caps/>
                <w:noProof/>
              </w:rPr>
              <w:t>1. R</w:t>
            </w:r>
            <w:r w:rsidR="00D57D8A" w:rsidRPr="00251ABB">
              <w:rPr>
                <w:rStyle w:val="Hipervnculo"/>
                <w:rFonts w:ascii="Arial" w:hAnsi="Arial" w:cs="Arial"/>
                <w:i/>
                <w:noProof/>
              </w:rPr>
              <w:t>esumen</w:t>
            </w:r>
            <w:r w:rsidR="00D57D8A">
              <w:rPr>
                <w:noProof/>
                <w:webHidden/>
              </w:rPr>
              <w:tab/>
            </w:r>
            <w:r w:rsidR="00D57D8A">
              <w:rPr>
                <w:noProof/>
                <w:webHidden/>
              </w:rPr>
              <w:fldChar w:fldCharType="begin"/>
            </w:r>
            <w:r w:rsidR="00D57D8A">
              <w:rPr>
                <w:noProof/>
                <w:webHidden/>
              </w:rPr>
              <w:instrText xml:space="preserve"> PAGEREF _Toc50031389 \h </w:instrText>
            </w:r>
            <w:r w:rsidR="00D57D8A">
              <w:rPr>
                <w:noProof/>
                <w:webHidden/>
              </w:rPr>
            </w:r>
            <w:r w:rsidR="00D57D8A">
              <w:rPr>
                <w:noProof/>
                <w:webHidden/>
              </w:rPr>
              <w:fldChar w:fldCharType="separate"/>
            </w:r>
            <w:r w:rsidR="00D57D8A">
              <w:rPr>
                <w:noProof/>
                <w:webHidden/>
              </w:rPr>
              <w:t>355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90"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ntroducción</w:t>
            </w:r>
            <w:r w:rsidR="00D57D8A">
              <w:rPr>
                <w:noProof/>
                <w:webHidden/>
              </w:rPr>
              <w:tab/>
            </w:r>
            <w:r w:rsidR="00D57D8A">
              <w:rPr>
                <w:noProof/>
                <w:webHidden/>
              </w:rPr>
              <w:fldChar w:fldCharType="begin"/>
            </w:r>
            <w:r w:rsidR="00D57D8A">
              <w:rPr>
                <w:noProof/>
                <w:webHidden/>
              </w:rPr>
              <w:instrText xml:space="preserve"> PAGEREF _Toc50031390 \h </w:instrText>
            </w:r>
            <w:r w:rsidR="00D57D8A">
              <w:rPr>
                <w:noProof/>
                <w:webHidden/>
              </w:rPr>
            </w:r>
            <w:r w:rsidR="00D57D8A">
              <w:rPr>
                <w:noProof/>
                <w:webHidden/>
              </w:rPr>
              <w:fldChar w:fldCharType="separate"/>
            </w:r>
            <w:r w:rsidR="00D57D8A">
              <w:rPr>
                <w:noProof/>
                <w:webHidden/>
              </w:rPr>
              <w:t>356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91" w:history="1">
            <w:r w:rsidR="00D57D8A" w:rsidRPr="00251ABB">
              <w:rPr>
                <w:rStyle w:val="Hipervnculo"/>
                <w:rFonts w:ascii="Arial" w:hAnsi="Arial" w:cs="Arial"/>
                <w:i/>
                <w:caps/>
                <w:noProof/>
              </w:rPr>
              <w:t>3. C</w:t>
            </w:r>
            <w:r w:rsidR="00D57D8A" w:rsidRPr="00251ABB">
              <w:rPr>
                <w:rStyle w:val="Hipervnculo"/>
                <w:rFonts w:ascii="Arial" w:hAnsi="Arial" w:cs="Arial"/>
                <w:i/>
                <w:noProof/>
              </w:rPr>
              <w:t>ondiciones experimentales</w:t>
            </w:r>
            <w:r w:rsidR="00D57D8A">
              <w:rPr>
                <w:noProof/>
                <w:webHidden/>
              </w:rPr>
              <w:tab/>
            </w:r>
            <w:r w:rsidR="00D57D8A">
              <w:rPr>
                <w:noProof/>
                <w:webHidden/>
              </w:rPr>
              <w:fldChar w:fldCharType="begin"/>
            </w:r>
            <w:r w:rsidR="00D57D8A">
              <w:rPr>
                <w:noProof/>
                <w:webHidden/>
              </w:rPr>
              <w:instrText xml:space="preserve"> PAGEREF _Toc50031391 \h </w:instrText>
            </w:r>
            <w:r w:rsidR="00D57D8A">
              <w:rPr>
                <w:noProof/>
                <w:webHidden/>
              </w:rPr>
            </w:r>
            <w:r w:rsidR="00D57D8A">
              <w:rPr>
                <w:noProof/>
                <w:webHidden/>
              </w:rPr>
              <w:fldChar w:fldCharType="separate"/>
            </w:r>
            <w:r w:rsidR="00D57D8A">
              <w:rPr>
                <w:noProof/>
                <w:webHidden/>
              </w:rPr>
              <w:t>358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92" w:history="1">
            <w:r w:rsidR="00D57D8A" w:rsidRPr="00251ABB">
              <w:rPr>
                <w:rStyle w:val="Hipervnculo"/>
                <w:rFonts w:ascii="Arial" w:hAnsi="Arial" w:cs="Arial"/>
                <w:i/>
                <w:caps/>
                <w:noProof/>
              </w:rPr>
              <w:t xml:space="preserve">4. </w:t>
            </w:r>
            <w:r w:rsidR="00D57D8A" w:rsidRPr="00251ABB">
              <w:rPr>
                <w:rStyle w:val="Hipervnculo"/>
                <w:rFonts w:ascii="Arial" w:hAnsi="Arial" w:cs="Arial"/>
                <w:i/>
                <w:noProof/>
              </w:rPr>
              <w:t>Resultados y discusión</w:t>
            </w:r>
            <w:r w:rsidR="00D57D8A">
              <w:rPr>
                <w:noProof/>
                <w:webHidden/>
              </w:rPr>
              <w:tab/>
            </w:r>
            <w:r w:rsidR="00D57D8A">
              <w:rPr>
                <w:noProof/>
                <w:webHidden/>
              </w:rPr>
              <w:fldChar w:fldCharType="begin"/>
            </w:r>
            <w:r w:rsidR="00D57D8A">
              <w:rPr>
                <w:noProof/>
                <w:webHidden/>
              </w:rPr>
              <w:instrText xml:space="preserve"> PAGEREF _Toc50031392 \h </w:instrText>
            </w:r>
            <w:r w:rsidR="00D57D8A">
              <w:rPr>
                <w:noProof/>
                <w:webHidden/>
              </w:rPr>
            </w:r>
            <w:r w:rsidR="00D57D8A">
              <w:rPr>
                <w:noProof/>
                <w:webHidden/>
              </w:rPr>
              <w:fldChar w:fldCharType="separate"/>
            </w:r>
            <w:r w:rsidR="00D57D8A">
              <w:rPr>
                <w:noProof/>
                <w:webHidden/>
              </w:rPr>
              <w:t>363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93" w:history="1">
            <w:r w:rsidR="00D57D8A" w:rsidRPr="00251ABB">
              <w:rPr>
                <w:rStyle w:val="Hipervnculo"/>
                <w:rFonts w:ascii="Arial" w:hAnsi="Arial" w:cs="Arial"/>
                <w:i/>
                <w:caps/>
                <w:noProof/>
              </w:rPr>
              <w:t xml:space="preserve">5. </w:t>
            </w:r>
            <w:r w:rsidR="00D57D8A" w:rsidRPr="00251ABB">
              <w:rPr>
                <w:rStyle w:val="Hipervnculo"/>
                <w:rFonts w:ascii="Arial" w:hAnsi="Arial" w:cs="Arial"/>
                <w:i/>
                <w:noProof/>
              </w:rPr>
              <w:t>Conclusiones</w:t>
            </w:r>
            <w:r w:rsidR="00D57D8A">
              <w:rPr>
                <w:noProof/>
                <w:webHidden/>
              </w:rPr>
              <w:tab/>
            </w:r>
            <w:r w:rsidR="00D57D8A">
              <w:rPr>
                <w:noProof/>
                <w:webHidden/>
              </w:rPr>
              <w:fldChar w:fldCharType="begin"/>
            </w:r>
            <w:r w:rsidR="00D57D8A">
              <w:rPr>
                <w:noProof/>
                <w:webHidden/>
              </w:rPr>
              <w:instrText xml:space="preserve"> PAGEREF _Toc50031393 \h </w:instrText>
            </w:r>
            <w:r w:rsidR="00D57D8A">
              <w:rPr>
                <w:noProof/>
                <w:webHidden/>
              </w:rPr>
            </w:r>
            <w:r w:rsidR="00D57D8A">
              <w:rPr>
                <w:noProof/>
                <w:webHidden/>
              </w:rPr>
              <w:fldChar w:fldCharType="separate"/>
            </w:r>
            <w:r w:rsidR="00D57D8A">
              <w:rPr>
                <w:noProof/>
                <w:webHidden/>
              </w:rPr>
              <w:t>365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94" w:history="1">
            <w:r w:rsidR="00D57D8A" w:rsidRPr="00251ABB">
              <w:rPr>
                <w:rStyle w:val="Hipervnculo"/>
                <w:rFonts w:ascii="Arial" w:hAnsi="Arial" w:cs="Arial"/>
                <w:i/>
                <w:caps/>
                <w:noProof/>
              </w:rPr>
              <w:t xml:space="preserve">6. </w:t>
            </w:r>
            <w:r w:rsidR="00D57D8A" w:rsidRPr="00251ABB">
              <w:rPr>
                <w:rStyle w:val="Hipervnculo"/>
                <w:rFonts w:ascii="Arial" w:hAnsi="Arial" w:cs="Arial"/>
                <w:i/>
                <w:noProof/>
              </w:rPr>
              <w:t>Bibliografía</w:t>
            </w:r>
            <w:r w:rsidR="00D57D8A">
              <w:rPr>
                <w:noProof/>
                <w:webHidden/>
              </w:rPr>
              <w:tab/>
            </w:r>
            <w:r w:rsidR="00D57D8A">
              <w:rPr>
                <w:noProof/>
                <w:webHidden/>
              </w:rPr>
              <w:fldChar w:fldCharType="begin"/>
            </w:r>
            <w:r w:rsidR="00D57D8A">
              <w:rPr>
                <w:noProof/>
                <w:webHidden/>
              </w:rPr>
              <w:instrText xml:space="preserve"> PAGEREF _Toc50031394 \h </w:instrText>
            </w:r>
            <w:r w:rsidR="00D57D8A">
              <w:rPr>
                <w:noProof/>
                <w:webHidden/>
              </w:rPr>
            </w:r>
            <w:r w:rsidR="00D57D8A">
              <w:rPr>
                <w:noProof/>
                <w:webHidden/>
              </w:rPr>
              <w:fldChar w:fldCharType="separate"/>
            </w:r>
            <w:r w:rsidR="00D57D8A">
              <w:rPr>
                <w:noProof/>
                <w:webHidden/>
              </w:rPr>
              <w:t>365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95" w:history="1">
            <w:r w:rsidR="00D57D8A" w:rsidRPr="00251ABB">
              <w:rPr>
                <w:rStyle w:val="Hipervnculo"/>
                <w:noProof/>
              </w:rPr>
              <w:t>Red de sensores láser para protección de equipo de cómputo en un centro de datos</w:t>
            </w:r>
            <w:r w:rsidR="00D57D8A">
              <w:rPr>
                <w:noProof/>
                <w:webHidden/>
              </w:rPr>
              <w:tab/>
            </w:r>
            <w:r w:rsidR="00D57D8A">
              <w:rPr>
                <w:noProof/>
                <w:webHidden/>
              </w:rPr>
              <w:fldChar w:fldCharType="begin"/>
            </w:r>
            <w:r w:rsidR="00D57D8A">
              <w:rPr>
                <w:noProof/>
                <w:webHidden/>
              </w:rPr>
              <w:instrText xml:space="preserve"> PAGEREF _Toc50031395 \h </w:instrText>
            </w:r>
            <w:r w:rsidR="00D57D8A">
              <w:rPr>
                <w:noProof/>
                <w:webHidden/>
              </w:rPr>
            </w:r>
            <w:r w:rsidR="00D57D8A">
              <w:rPr>
                <w:noProof/>
                <w:webHidden/>
              </w:rPr>
              <w:fldChar w:fldCharType="separate"/>
            </w:r>
            <w:r w:rsidR="00D57D8A">
              <w:rPr>
                <w:noProof/>
                <w:webHidden/>
              </w:rPr>
              <w:t>367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96" w:history="1">
            <w:r w:rsidR="00D57D8A" w:rsidRPr="00251ABB">
              <w:rPr>
                <w:rStyle w:val="Hipervnculo"/>
                <w:rFonts w:ascii="Arial" w:hAnsi="Arial" w:cs="Arial"/>
                <w:i/>
                <w:caps/>
                <w:noProof/>
              </w:rPr>
              <w:t>1. R</w:t>
            </w:r>
            <w:r w:rsidR="00D57D8A" w:rsidRPr="00251ABB">
              <w:rPr>
                <w:rStyle w:val="Hipervnculo"/>
                <w:rFonts w:ascii="Arial" w:hAnsi="Arial" w:cs="Arial"/>
                <w:i/>
                <w:noProof/>
              </w:rPr>
              <w:t>esumen</w:t>
            </w:r>
            <w:r w:rsidR="00D57D8A">
              <w:rPr>
                <w:noProof/>
                <w:webHidden/>
              </w:rPr>
              <w:tab/>
            </w:r>
            <w:r w:rsidR="00D57D8A">
              <w:rPr>
                <w:noProof/>
                <w:webHidden/>
              </w:rPr>
              <w:fldChar w:fldCharType="begin"/>
            </w:r>
            <w:r w:rsidR="00D57D8A">
              <w:rPr>
                <w:noProof/>
                <w:webHidden/>
              </w:rPr>
              <w:instrText xml:space="preserve"> PAGEREF _Toc50031396 \h </w:instrText>
            </w:r>
            <w:r w:rsidR="00D57D8A">
              <w:rPr>
                <w:noProof/>
                <w:webHidden/>
              </w:rPr>
            </w:r>
            <w:r w:rsidR="00D57D8A">
              <w:rPr>
                <w:noProof/>
                <w:webHidden/>
              </w:rPr>
              <w:fldChar w:fldCharType="separate"/>
            </w:r>
            <w:r w:rsidR="00D57D8A">
              <w:rPr>
                <w:noProof/>
                <w:webHidden/>
              </w:rPr>
              <w:t>367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97"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ntroducción</w:t>
            </w:r>
            <w:r w:rsidR="00D57D8A">
              <w:rPr>
                <w:noProof/>
                <w:webHidden/>
              </w:rPr>
              <w:tab/>
            </w:r>
            <w:r w:rsidR="00D57D8A">
              <w:rPr>
                <w:noProof/>
                <w:webHidden/>
              </w:rPr>
              <w:fldChar w:fldCharType="begin"/>
            </w:r>
            <w:r w:rsidR="00D57D8A">
              <w:rPr>
                <w:noProof/>
                <w:webHidden/>
              </w:rPr>
              <w:instrText xml:space="preserve"> PAGEREF _Toc50031397 \h </w:instrText>
            </w:r>
            <w:r w:rsidR="00D57D8A">
              <w:rPr>
                <w:noProof/>
                <w:webHidden/>
              </w:rPr>
            </w:r>
            <w:r w:rsidR="00D57D8A">
              <w:rPr>
                <w:noProof/>
                <w:webHidden/>
              </w:rPr>
              <w:fldChar w:fldCharType="separate"/>
            </w:r>
            <w:r w:rsidR="00D57D8A">
              <w:rPr>
                <w:noProof/>
                <w:webHidden/>
              </w:rPr>
              <w:t>367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98" w:history="1">
            <w:r w:rsidR="00D57D8A" w:rsidRPr="00251ABB">
              <w:rPr>
                <w:rStyle w:val="Hipervnculo"/>
                <w:rFonts w:ascii="Arial" w:hAnsi="Arial" w:cs="Arial"/>
                <w:i/>
                <w:caps/>
                <w:noProof/>
              </w:rPr>
              <w:t>3. C</w:t>
            </w:r>
            <w:r w:rsidR="00D57D8A" w:rsidRPr="00251ABB">
              <w:rPr>
                <w:rStyle w:val="Hipervnculo"/>
                <w:rFonts w:ascii="Arial" w:hAnsi="Arial" w:cs="Arial"/>
                <w:i/>
                <w:noProof/>
              </w:rPr>
              <w:t>ondiciones experimentales</w:t>
            </w:r>
            <w:r w:rsidR="00D57D8A">
              <w:rPr>
                <w:noProof/>
                <w:webHidden/>
              </w:rPr>
              <w:tab/>
            </w:r>
            <w:r w:rsidR="00D57D8A">
              <w:rPr>
                <w:noProof/>
                <w:webHidden/>
              </w:rPr>
              <w:fldChar w:fldCharType="begin"/>
            </w:r>
            <w:r w:rsidR="00D57D8A">
              <w:rPr>
                <w:noProof/>
                <w:webHidden/>
              </w:rPr>
              <w:instrText xml:space="preserve"> PAGEREF _Toc50031398 \h </w:instrText>
            </w:r>
            <w:r w:rsidR="00D57D8A">
              <w:rPr>
                <w:noProof/>
                <w:webHidden/>
              </w:rPr>
            </w:r>
            <w:r w:rsidR="00D57D8A">
              <w:rPr>
                <w:noProof/>
                <w:webHidden/>
              </w:rPr>
              <w:fldChar w:fldCharType="separate"/>
            </w:r>
            <w:r w:rsidR="00D57D8A">
              <w:rPr>
                <w:noProof/>
                <w:webHidden/>
              </w:rPr>
              <w:t>369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399" w:history="1">
            <w:r w:rsidR="00D57D8A" w:rsidRPr="00251ABB">
              <w:rPr>
                <w:rStyle w:val="Hipervnculo"/>
                <w:rFonts w:ascii="Arial" w:hAnsi="Arial" w:cs="Arial"/>
                <w:i/>
                <w:caps/>
                <w:noProof/>
              </w:rPr>
              <w:t xml:space="preserve">4. </w:t>
            </w:r>
            <w:r w:rsidR="00D57D8A" w:rsidRPr="00251ABB">
              <w:rPr>
                <w:rStyle w:val="Hipervnculo"/>
                <w:rFonts w:ascii="Arial" w:hAnsi="Arial" w:cs="Arial"/>
                <w:i/>
                <w:noProof/>
              </w:rPr>
              <w:t>Resultados y discusión</w:t>
            </w:r>
            <w:r w:rsidR="00D57D8A">
              <w:rPr>
                <w:noProof/>
                <w:webHidden/>
              </w:rPr>
              <w:tab/>
            </w:r>
            <w:r w:rsidR="00D57D8A">
              <w:rPr>
                <w:noProof/>
                <w:webHidden/>
              </w:rPr>
              <w:fldChar w:fldCharType="begin"/>
            </w:r>
            <w:r w:rsidR="00D57D8A">
              <w:rPr>
                <w:noProof/>
                <w:webHidden/>
              </w:rPr>
              <w:instrText xml:space="preserve"> PAGEREF _Toc50031399 \h </w:instrText>
            </w:r>
            <w:r w:rsidR="00D57D8A">
              <w:rPr>
                <w:noProof/>
                <w:webHidden/>
              </w:rPr>
            </w:r>
            <w:r w:rsidR="00D57D8A">
              <w:rPr>
                <w:noProof/>
                <w:webHidden/>
              </w:rPr>
              <w:fldChar w:fldCharType="separate"/>
            </w:r>
            <w:r w:rsidR="00D57D8A">
              <w:rPr>
                <w:noProof/>
                <w:webHidden/>
              </w:rPr>
              <w:t>375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00" w:history="1">
            <w:r w:rsidR="00D57D8A" w:rsidRPr="00251ABB">
              <w:rPr>
                <w:rStyle w:val="Hipervnculo"/>
                <w:rFonts w:ascii="Arial" w:hAnsi="Arial" w:cs="Arial"/>
                <w:i/>
                <w:caps/>
                <w:noProof/>
              </w:rPr>
              <w:t xml:space="preserve">5. </w:t>
            </w:r>
            <w:r w:rsidR="00D57D8A" w:rsidRPr="00251ABB">
              <w:rPr>
                <w:rStyle w:val="Hipervnculo"/>
                <w:rFonts w:ascii="Arial" w:hAnsi="Arial" w:cs="Arial"/>
                <w:i/>
                <w:noProof/>
              </w:rPr>
              <w:t>Conclusiones</w:t>
            </w:r>
            <w:r w:rsidR="00D57D8A">
              <w:rPr>
                <w:noProof/>
                <w:webHidden/>
              </w:rPr>
              <w:tab/>
            </w:r>
            <w:r w:rsidR="00D57D8A">
              <w:rPr>
                <w:noProof/>
                <w:webHidden/>
              </w:rPr>
              <w:fldChar w:fldCharType="begin"/>
            </w:r>
            <w:r w:rsidR="00D57D8A">
              <w:rPr>
                <w:noProof/>
                <w:webHidden/>
              </w:rPr>
              <w:instrText xml:space="preserve"> PAGEREF _Toc50031400 \h </w:instrText>
            </w:r>
            <w:r w:rsidR="00D57D8A">
              <w:rPr>
                <w:noProof/>
                <w:webHidden/>
              </w:rPr>
            </w:r>
            <w:r w:rsidR="00D57D8A">
              <w:rPr>
                <w:noProof/>
                <w:webHidden/>
              </w:rPr>
              <w:fldChar w:fldCharType="separate"/>
            </w:r>
            <w:r w:rsidR="00D57D8A">
              <w:rPr>
                <w:noProof/>
                <w:webHidden/>
              </w:rPr>
              <w:t>377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01" w:history="1">
            <w:r w:rsidR="00D57D8A" w:rsidRPr="00251ABB">
              <w:rPr>
                <w:rStyle w:val="Hipervnculo"/>
                <w:rFonts w:ascii="Arial" w:hAnsi="Arial" w:cs="Arial"/>
                <w:i/>
                <w:caps/>
                <w:noProof/>
              </w:rPr>
              <w:t xml:space="preserve">6. </w:t>
            </w:r>
            <w:r w:rsidR="00D57D8A" w:rsidRPr="00251ABB">
              <w:rPr>
                <w:rStyle w:val="Hipervnculo"/>
                <w:rFonts w:ascii="Arial" w:hAnsi="Arial" w:cs="Arial"/>
                <w:i/>
                <w:noProof/>
              </w:rPr>
              <w:t>Bibliografía</w:t>
            </w:r>
            <w:r w:rsidR="00D57D8A">
              <w:rPr>
                <w:noProof/>
                <w:webHidden/>
              </w:rPr>
              <w:tab/>
            </w:r>
            <w:r w:rsidR="00D57D8A">
              <w:rPr>
                <w:noProof/>
                <w:webHidden/>
              </w:rPr>
              <w:fldChar w:fldCharType="begin"/>
            </w:r>
            <w:r w:rsidR="00D57D8A">
              <w:rPr>
                <w:noProof/>
                <w:webHidden/>
              </w:rPr>
              <w:instrText xml:space="preserve"> PAGEREF _Toc50031401 \h </w:instrText>
            </w:r>
            <w:r w:rsidR="00D57D8A">
              <w:rPr>
                <w:noProof/>
                <w:webHidden/>
              </w:rPr>
            </w:r>
            <w:r w:rsidR="00D57D8A">
              <w:rPr>
                <w:noProof/>
                <w:webHidden/>
              </w:rPr>
              <w:fldChar w:fldCharType="separate"/>
            </w:r>
            <w:r w:rsidR="00D57D8A">
              <w:rPr>
                <w:noProof/>
                <w:webHidden/>
              </w:rPr>
              <w:t>377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02" w:history="1">
            <w:r w:rsidR="00D57D8A" w:rsidRPr="00251ABB">
              <w:rPr>
                <w:rStyle w:val="Hipervnculo"/>
                <w:noProof/>
              </w:rPr>
              <w:t>Solucion Beltsville Thawing (Bts) Permite Mantener La Viabilidad En Los Espermatozoides De Cerdo Incubados Con Nanopartículas Poliméricas De Quitosan. (Resultados Preliminares)</w:t>
            </w:r>
            <w:r w:rsidR="00D57D8A">
              <w:rPr>
                <w:noProof/>
                <w:webHidden/>
              </w:rPr>
              <w:tab/>
            </w:r>
            <w:r w:rsidR="00D57D8A">
              <w:rPr>
                <w:noProof/>
                <w:webHidden/>
              </w:rPr>
              <w:fldChar w:fldCharType="begin"/>
            </w:r>
            <w:r w:rsidR="00D57D8A">
              <w:rPr>
                <w:noProof/>
                <w:webHidden/>
              </w:rPr>
              <w:instrText xml:space="preserve"> PAGEREF _Toc50031402 \h </w:instrText>
            </w:r>
            <w:r w:rsidR="00D57D8A">
              <w:rPr>
                <w:noProof/>
                <w:webHidden/>
              </w:rPr>
            </w:r>
            <w:r w:rsidR="00D57D8A">
              <w:rPr>
                <w:noProof/>
                <w:webHidden/>
              </w:rPr>
              <w:fldChar w:fldCharType="separate"/>
            </w:r>
            <w:r w:rsidR="00D57D8A">
              <w:rPr>
                <w:noProof/>
                <w:webHidden/>
              </w:rPr>
              <w:t>378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03" w:history="1">
            <w:r w:rsidR="00D57D8A" w:rsidRPr="00251ABB">
              <w:rPr>
                <w:rStyle w:val="Hipervnculo"/>
                <w:noProof/>
              </w:rPr>
              <w:t>1.- Resumen</w:t>
            </w:r>
            <w:r w:rsidR="00D57D8A">
              <w:rPr>
                <w:noProof/>
                <w:webHidden/>
              </w:rPr>
              <w:tab/>
            </w:r>
            <w:r w:rsidR="00D57D8A">
              <w:rPr>
                <w:noProof/>
                <w:webHidden/>
              </w:rPr>
              <w:fldChar w:fldCharType="begin"/>
            </w:r>
            <w:r w:rsidR="00D57D8A">
              <w:rPr>
                <w:noProof/>
                <w:webHidden/>
              </w:rPr>
              <w:instrText xml:space="preserve"> PAGEREF _Toc50031403 \h </w:instrText>
            </w:r>
            <w:r w:rsidR="00D57D8A">
              <w:rPr>
                <w:noProof/>
                <w:webHidden/>
              </w:rPr>
            </w:r>
            <w:r w:rsidR="00D57D8A">
              <w:rPr>
                <w:noProof/>
                <w:webHidden/>
              </w:rPr>
              <w:fldChar w:fldCharType="separate"/>
            </w:r>
            <w:r w:rsidR="00D57D8A">
              <w:rPr>
                <w:noProof/>
                <w:webHidden/>
              </w:rPr>
              <w:t>379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04" w:history="1">
            <w:r w:rsidR="00D57D8A" w:rsidRPr="00251ABB">
              <w:rPr>
                <w:rStyle w:val="Hipervnculo"/>
                <w:noProof/>
              </w:rPr>
              <w:t>2.- Introducción</w:t>
            </w:r>
            <w:r w:rsidR="00D57D8A">
              <w:rPr>
                <w:noProof/>
                <w:webHidden/>
              </w:rPr>
              <w:tab/>
            </w:r>
            <w:r w:rsidR="00D57D8A">
              <w:rPr>
                <w:noProof/>
                <w:webHidden/>
              </w:rPr>
              <w:fldChar w:fldCharType="begin"/>
            </w:r>
            <w:r w:rsidR="00D57D8A">
              <w:rPr>
                <w:noProof/>
                <w:webHidden/>
              </w:rPr>
              <w:instrText xml:space="preserve"> PAGEREF _Toc50031404 \h </w:instrText>
            </w:r>
            <w:r w:rsidR="00D57D8A">
              <w:rPr>
                <w:noProof/>
                <w:webHidden/>
              </w:rPr>
            </w:r>
            <w:r w:rsidR="00D57D8A">
              <w:rPr>
                <w:noProof/>
                <w:webHidden/>
              </w:rPr>
              <w:fldChar w:fldCharType="separate"/>
            </w:r>
            <w:r w:rsidR="00D57D8A">
              <w:rPr>
                <w:noProof/>
                <w:webHidden/>
              </w:rPr>
              <w:t>379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05" w:history="1">
            <w:r w:rsidR="00D57D8A" w:rsidRPr="00251ABB">
              <w:rPr>
                <w:rStyle w:val="Hipervnculo"/>
                <w:noProof/>
              </w:rPr>
              <w:t>3.- Condiciones experimentales</w:t>
            </w:r>
            <w:r w:rsidR="00D57D8A">
              <w:rPr>
                <w:noProof/>
                <w:webHidden/>
              </w:rPr>
              <w:tab/>
            </w:r>
            <w:r w:rsidR="00D57D8A">
              <w:rPr>
                <w:noProof/>
                <w:webHidden/>
              </w:rPr>
              <w:fldChar w:fldCharType="begin"/>
            </w:r>
            <w:r w:rsidR="00D57D8A">
              <w:rPr>
                <w:noProof/>
                <w:webHidden/>
              </w:rPr>
              <w:instrText xml:space="preserve"> PAGEREF _Toc50031405 \h </w:instrText>
            </w:r>
            <w:r w:rsidR="00D57D8A">
              <w:rPr>
                <w:noProof/>
                <w:webHidden/>
              </w:rPr>
            </w:r>
            <w:r w:rsidR="00D57D8A">
              <w:rPr>
                <w:noProof/>
                <w:webHidden/>
              </w:rPr>
              <w:fldChar w:fldCharType="separate"/>
            </w:r>
            <w:r w:rsidR="00D57D8A">
              <w:rPr>
                <w:noProof/>
                <w:webHidden/>
              </w:rPr>
              <w:t>380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06" w:history="1">
            <w:r w:rsidR="00D57D8A" w:rsidRPr="00251ABB">
              <w:rPr>
                <w:rStyle w:val="Hipervnculo"/>
                <w:noProof/>
              </w:rPr>
              <w:t>4.- Resultados y discusión</w:t>
            </w:r>
            <w:r w:rsidR="00D57D8A">
              <w:rPr>
                <w:noProof/>
                <w:webHidden/>
              </w:rPr>
              <w:tab/>
            </w:r>
            <w:r w:rsidR="00D57D8A">
              <w:rPr>
                <w:noProof/>
                <w:webHidden/>
              </w:rPr>
              <w:fldChar w:fldCharType="begin"/>
            </w:r>
            <w:r w:rsidR="00D57D8A">
              <w:rPr>
                <w:noProof/>
                <w:webHidden/>
              </w:rPr>
              <w:instrText xml:space="preserve"> PAGEREF _Toc50031406 \h </w:instrText>
            </w:r>
            <w:r w:rsidR="00D57D8A">
              <w:rPr>
                <w:noProof/>
                <w:webHidden/>
              </w:rPr>
            </w:r>
            <w:r w:rsidR="00D57D8A">
              <w:rPr>
                <w:noProof/>
                <w:webHidden/>
              </w:rPr>
              <w:fldChar w:fldCharType="separate"/>
            </w:r>
            <w:r w:rsidR="00D57D8A">
              <w:rPr>
                <w:noProof/>
                <w:webHidden/>
              </w:rPr>
              <w:t>382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07" w:history="1">
            <w:r w:rsidR="00D57D8A" w:rsidRPr="00251ABB">
              <w:rPr>
                <w:rStyle w:val="Hipervnculo"/>
                <w:noProof/>
              </w:rPr>
              <w:t>5.- Conclusiones</w:t>
            </w:r>
            <w:r w:rsidR="00D57D8A">
              <w:rPr>
                <w:noProof/>
                <w:webHidden/>
              </w:rPr>
              <w:tab/>
            </w:r>
            <w:r w:rsidR="00D57D8A">
              <w:rPr>
                <w:noProof/>
                <w:webHidden/>
              </w:rPr>
              <w:fldChar w:fldCharType="begin"/>
            </w:r>
            <w:r w:rsidR="00D57D8A">
              <w:rPr>
                <w:noProof/>
                <w:webHidden/>
              </w:rPr>
              <w:instrText xml:space="preserve"> PAGEREF _Toc50031407 \h </w:instrText>
            </w:r>
            <w:r w:rsidR="00D57D8A">
              <w:rPr>
                <w:noProof/>
                <w:webHidden/>
              </w:rPr>
            </w:r>
            <w:r w:rsidR="00D57D8A">
              <w:rPr>
                <w:noProof/>
                <w:webHidden/>
              </w:rPr>
              <w:fldChar w:fldCharType="separate"/>
            </w:r>
            <w:r w:rsidR="00D57D8A">
              <w:rPr>
                <w:noProof/>
                <w:webHidden/>
              </w:rPr>
              <w:t>388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08" w:history="1">
            <w:r w:rsidR="00D57D8A" w:rsidRPr="00251ABB">
              <w:rPr>
                <w:rStyle w:val="Hipervnculo"/>
                <w:noProof/>
                <w:lang w:val="en-US"/>
              </w:rPr>
              <w:t>6.-Bibliografía</w:t>
            </w:r>
            <w:r w:rsidR="00D57D8A">
              <w:rPr>
                <w:noProof/>
                <w:webHidden/>
              </w:rPr>
              <w:tab/>
            </w:r>
            <w:r w:rsidR="00D57D8A">
              <w:rPr>
                <w:noProof/>
                <w:webHidden/>
              </w:rPr>
              <w:fldChar w:fldCharType="begin"/>
            </w:r>
            <w:r w:rsidR="00D57D8A">
              <w:rPr>
                <w:noProof/>
                <w:webHidden/>
              </w:rPr>
              <w:instrText xml:space="preserve"> PAGEREF _Toc50031408 \h </w:instrText>
            </w:r>
            <w:r w:rsidR="00D57D8A">
              <w:rPr>
                <w:noProof/>
                <w:webHidden/>
              </w:rPr>
            </w:r>
            <w:r w:rsidR="00D57D8A">
              <w:rPr>
                <w:noProof/>
                <w:webHidden/>
              </w:rPr>
              <w:fldChar w:fldCharType="separate"/>
            </w:r>
            <w:r w:rsidR="00D57D8A">
              <w:rPr>
                <w:noProof/>
                <w:webHidden/>
              </w:rPr>
              <w:t>389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09" w:history="1">
            <w:r w:rsidR="00D57D8A" w:rsidRPr="00251ABB">
              <w:rPr>
                <w:rStyle w:val="Hipervnculo"/>
                <w:noProof/>
              </w:rPr>
              <w:t>Anticuerpos contra leptospirosis en vacas lecheras y parámetros reproductivos</w:t>
            </w:r>
            <w:r w:rsidR="00D57D8A">
              <w:rPr>
                <w:noProof/>
                <w:webHidden/>
              </w:rPr>
              <w:tab/>
            </w:r>
            <w:r w:rsidR="00D57D8A">
              <w:rPr>
                <w:noProof/>
                <w:webHidden/>
              </w:rPr>
              <w:fldChar w:fldCharType="begin"/>
            </w:r>
            <w:r w:rsidR="00D57D8A">
              <w:rPr>
                <w:noProof/>
                <w:webHidden/>
              </w:rPr>
              <w:instrText xml:space="preserve"> PAGEREF _Toc50031409 \h </w:instrText>
            </w:r>
            <w:r w:rsidR="00D57D8A">
              <w:rPr>
                <w:noProof/>
                <w:webHidden/>
              </w:rPr>
            </w:r>
            <w:r w:rsidR="00D57D8A">
              <w:rPr>
                <w:noProof/>
                <w:webHidden/>
              </w:rPr>
              <w:fldChar w:fldCharType="separate"/>
            </w:r>
            <w:r w:rsidR="00D57D8A">
              <w:rPr>
                <w:noProof/>
                <w:webHidden/>
              </w:rPr>
              <w:t>391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10" w:history="1">
            <w:r w:rsidR="00D57D8A" w:rsidRPr="00251ABB">
              <w:rPr>
                <w:rStyle w:val="Hipervnculo"/>
                <w:noProof/>
              </w:rPr>
              <w:t>1. Resumen</w:t>
            </w:r>
            <w:r w:rsidR="00D57D8A">
              <w:rPr>
                <w:noProof/>
                <w:webHidden/>
              </w:rPr>
              <w:tab/>
            </w:r>
            <w:r w:rsidR="00D57D8A">
              <w:rPr>
                <w:noProof/>
                <w:webHidden/>
              </w:rPr>
              <w:fldChar w:fldCharType="begin"/>
            </w:r>
            <w:r w:rsidR="00D57D8A">
              <w:rPr>
                <w:noProof/>
                <w:webHidden/>
              </w:rPr>
              <w:instrText xml:space="preserve"> PAGEREF _Toc50031410 \h </w:instrText>
            </w:r>
            <w:r w:rsidR="00D57D8A">
              <w:rPr>
                <w:noProof/>
                <w:webHidden/>
              </w:rPr>
            </w:r>
            <w:r w:rsidR="00D57D8A">
              <w:rPr>
                <w:noProof/>
                <w:webHidden/>
              </w:rPr>
              <w:fldChar w:fldCharType="separate"/>
            </w:r>
            <w:r w:rsidR="00D57D8A">
              <w:rPr>
                <w:noProof/>
                <w:webHidden/>
              </w:rPr>
              <w:t>391</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11" w:history="1">
            <w:r w:rsidR="00D57D8A" w:rsidRPr="00251ABB">
              <w:rPr>
                <w:rStyle w:val="Hipervnculo"/>
                <w:noProof/>
              </w:rPr>
              <w:t>2.</w:t>
            </w:r>
            <w:r w:rsidR="00D57D8A">
              <w:rPr>
                <w:b w:val="0"/>
                <w:noProof/>
                <w:sz w:val="22"/>
                <w:szCs w:val="22"/>
                <w:lang w:val="en-US" w:eastAsia="en-US"/>
              </w:rPr>
              <w:tab/>
            </w:r>
            <w:r w:rsidR="00D57D8A" w:rsidRPr="00251ABB">
              <w:rPr>
                <w:rStyle w:val="Hipervnculo"/>
                <w:noProof/>
              </w:rPr>
              <w:t>Introducción</w:t>
            </w:r>
            <w:r w:rsidR="00D57D8A">
              <w:rPr>
                <w:noProof/>
                <w:webHidden/>
              </w:rPr>
              <w:tab/>
            </w:r>
            <w:r w:rsidR="00D57D8A">
              <w:rPr>
                <w:noProof/>
                <w:webHidden/>
              </w:rPr>
              <w:fldChar w:fldCharType="begin"/>
            </w:r>
            <w:r w:rsidR="00D57D8A">
              <w:rPr>
                <w:noProof/>
                <w:webHidden/>
              </w:rPr>
              <w:instrText xml:space="preserve"> PAGEREF _Toc50031411 \h </w:instrText>
            </w:r>
            <w:r w:rsidR="00D57D8A">
              <w:rPr>
                <w:noProof/>
                <w:webHidden/>
              </w:rPr>
            </w:r>
            <w:r w:rsidR="00D57D8A">
              <w:rPr>
                <w:noProof/>
                <w:webHidden/>
              </w:rPr>
              <w:fldChar w:fldCharType="separate"/>
            </w:r>
            <w:r w:rsidR="00D57D8A">
              <w:rPr>
                <w:noProof/>
                <w:webHidden/>
              </w:rPr>
              <w:t>392</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12" w:history="1">
            <w:r w:rsidR="00D57D8A" w:rsidRPr="00251ABB">
              <w:rPr>
                <w:rStyle w:val="Hipervnculo"/>
                <w:noProof/>
              </w:rPr>
              <w:t>3.</w:t>
            </w:r>
            <w:r w:rsidR="00D57D8A">
              <w:rPr>
                <w:b w:val="0"/>
                <w:noProof/>
                <w:sz w:val="22"/>
                <w:szCs w:val="22"/>
                <w:lang w:val="en-US" w:eastAsia="en-US"/>
              </w:rPr>
              <w:tab/>
            </w:r>
            <w:r w:rsidR="00D57D8A" w:rsidRPr="00251ABB">
              <w:rPr>
                <w:rStyle w:val="Hipervnculo"/>
                <w:noProof/>
              </w:rPr>
              <w:t>Condiciones experimentales</w:t>
            </w:r>
            <w:r w:rsidR="00D57D8A">
              <w:rPr>
                <w:noProof/>
                <w:webHidden/>
              </w:rPr>
              <w:tab/>
            </w:r>
            <w:r w:rsidR="00D57D8A">
              <w:rPr>
                <w:noProof/>
                <w:webHidden/>
              </w:rPr>
              <w:fldChar w:fldCharType="begin"/>
            </w:r>
            <w:r w:rsidR="00D57D8A">
              <w:rPr>
                <w:noProof/>
                <w:webHidden/>
              </w:rPr>
              <w:instrText xml:space="preserve"> PAGEREF _Toc50031412 \h </w:instrText>
            </w:r>
            <w:r w:rsidR="00D57D8A">
              <w:rPr>
                <w:noProof/>
                <w:webHidden/>
              </w:rPr>
            </w:r>
            <w:r w:rsidR="00D57D8A">
              <w:rPr>
                <w:noProof/>
                <w:webHidden/>
              </w:rPr>
              <w:fldChar w:fldCharType="separate"/>
            </w:r>
            <w:r w:rsidR="00D57D8A">
              <w:rPr>
                <w:noProof/>
                <w:webHidden/>
              </w:rPr>
              <w:t>392</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13" w:history="1">
            <w:r w:rsidR="00D57D8A" w:rsidRPr="00251ABB">
              <w:rPr>
                <w:rStyle w:val="Hipervnculo"/>
                <w:noProof/>
              </w:rPr>
              <w:t>4.</w:t>
            </w:r>
            <w:r w:rsidR="00D57D8A">
              <w:rPr>
                <w:b w:val="0"/>
                <w:noProof/>
                <w:sz w:val="22"/>
                <w:szCs w:val="22"/>
                <w:lang w:val="en-US" w:eastAsia="en-US"/>
              </w:rPr>
              <w:tab/>
            </w:r>
            <w:r w:rsidR="00D57D8A" w:rsidRPr="00251ABB">
              <w:rPr>
                <w:rStyle w:val="Hipervnculo"/>
                <w:noProof/>
              </w:rPr>
              <w:t>Resultados y discusión</w:t>
            </w:r>
            <w:r w:rsidR="00D57D8A">
              <w:rPr>
                <w:noProof/>
                <w:webHidden/>
              </w:rPr>
              <w:tab/>
            </w:r>
            <w:r w:rsidR="00D57D8A">
              <w:rPr>
                <w:noProof/>
                <w:webHidden/>
              </w:rPr>
              <w:fldChar w:fldCharType="begin"/>
            </w:r>
            <w:r w:rsidR="00D57D8A">
              <w:rPr>
                <w:noProof/>
                <w:webHidden/>
              </w:rPr>
              <w:instrText xml:space="preserve"> PAGEREF _Toc50031413 \h </w:instrText>
            </w:r>
            <w:r w:rsidR="00D57D8A">
              <w:rPr>
                <w:noProof/>
                <w:webHidden/>
              </w:rPr>
            </w:r>
            <w:r w:rsidR="00D57D8A">
              <w:rPr>
                <w:noProof/>
                <w:webHidden/>
              </w:rPr>
              <w:fldChar w:fldCharType="separate"/>
            </w:r>
            <w:r w:rsidR="00D57D8A">
              <w:rPr>
                <w:noProof/>
                <w:webHidden/>
              </w:rPr>
              <w:t>393</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14" w:history="1">
            <w:r w:rsidR="00D57D8A" w:rsidRPr="00251ABB">
              <w:rPr>
                <w:rStyle w:val="Hipervnculo"/>
                <w:noProof/>
              </w:rPr>
              <w:t>5.</w:t>
            </w:r>
            <w:r w:rsidR="00D57D8A">
              <w:rPr>
                <w:b w:val="0"/>
                <w:noProof/>
                <w:sz w:val="22"/>
                <w:szCs w:val="22"/>
                <w:lang w:val="en-US" w:eastAsia="en-US"/>
              </w:rPr>
              <w:tab/>
            </w:r>
            <w:r w:rsidR="00D57D8A" w:rsidRPr="00251ABB">
              <w:rPr>
                <w:rStyle w:val="Hipervnculo"/>
                <w:noProof/>
              </w:rPr>
              <w:t>Conclusiones</w:t>
            </w:r>
            <w:r w:rsidR="00D57D8A">
              <w:rPr>
                <w:noProof/>
                <w:webHidden/>
              </w:rPr>
              <w:tab/>
            </w:r>
            <w:r w:rsidR="00D57D8A">
              <w:rPr>
                <w:noProof/>
                <w:webHidden/>
              </w:rPr>
              <w:fldChar w:fldCharType="begin"/>
            </w:r>
            <w:r w:rsidR="00D57D8A">
              <w:rPr>
                <w:noProof/>
                <w:webHidden/>
              </w:rPr>
              <w:instrText xml:space="preserve"> PAGEREF _Toc50031414 \h </w:instrText>
            </w:r>
            <w:r w:rsidR="00D57D8A">
              <w:rPr>
                <w:noProof/>
                <w:webHidden/>
              </w:rPr>
            </w:r>
            <w:r w:rsidR="00D57D8A">
              <w:rPr>
                <w:noProof/>
                <w:webHidden/>
              </w:rPr>
              <w:fldChar w:fldCharType="separate"/>
            </w:r>
            <w:r w:rsidR="00D57D8A">
              <w:rPr>
                <w:noProof/>
                <w:webHidden/>
              </w:rPr>
              <w:t>395</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15" w:history="1">
            <w:r w:rsidR="00D57D8A" w:rsidRPr="00251ABB">
              <w:rPr>
                <w:rStyle w:val="Hipervnculo"/>
                <w:noProof/>
              </w:rPr>
              <w:t>6.</w:t>
            </w:r>
            <w:r w:rsidR="00D57D8A">
              <w:rPr>
                <w:b w:val="0"/>
                <w:noProof/>
                <w:sz w:val="22"/>
                <w:szCs w:val="22"/>
                <w:lang w:val="en-US" w:eastAsia="en-US"/>
              </w:rPr>
              <w:tab/>
            </w:r>
            <w:r w:rsidR="00D57D8A" w:rsidRPr="00251ABB">
              <w:rPr>
                <w:rStyle w:val="Hipervnculo"/>
                <w:noProof/>
              </w:rPr>
              <w:t>Bibliografía</w:t>
            </w:r>
            <w:r w:rsidR="00D57D8A">
              <w:rPr>
                <w:noProof/>
                <w:webHidden/>
              </w:rPr>
              <w:tab/>
            </w:r>
            <w:r w:rsidR="00D57D8A">
              <w:rPr>
                <w:noProof/>
                <w:webHidden/>
              </w:rPr>
              <w:fldChar w:fldCharType="begin"/>
            </w:r>
            <w:r w:rsidR="00D57D8A">
              <w:rPr>
                <w:noProof/>
                <w:webHidden/>
              </w:rPr>
              <w:instrText xml:space="preserve"> PAGEREF _Toc50031415 \h </w:instrText>
            </w:r>
            <w:r w:rsidR="00D57D8A">
              <w:rPr>
                <w:noProof/>
                <w:webHidden/>
              </w:rPr>
            </w:r>
            <w:r w:rsidR="00D57D8A">
              <w:rPr>
                <w:noProof/>
                <w:webHidden/>
              </w:rPr>
              <w:fldChar w:fldCharType="separate"/>
            </w:r>
            <w:r w:rsidR="00D57D8A">
              <w:rPr>
                <w:noProof/>
                <w:webHidden/>
              </w:rPr>
              <w:t>395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16" w:history="1">
            <w:r w:rsidR="00D57D8A" w:rsidRPr="00251ABB">
              <w:rPr>
                <w:rStyle w:val="Hipervnculo"/>
                <w:noProof/>
              </w:rPr>
              <w:t>Combinación de α-tocoferol y quercetina como antioxidantes para la congelación de semen de verraco y calidad espermática</w:t>
            </w:r>
            <w:r w:rsidR="00D57D8A">
              <w:rPr>
                <w:noProof/>
                <w:webHidden/>
              </w:rPr>
              <w:tab/>
            </w:r>
            <w:r w:rsidR="00D57D8A">
              <w:rPr>
                <w:noProof/>
                <w:webHidden/>
              </w:rPr>
              <w:fldChar w:fldCharType="begin"/>
            </w:r>
            <w:r w:rsidR="00D57D8A">
              <w:rPr>
                <w:noProof/>
                <w:webHidden/>
              </w:rPr>
              <w:instrText xml:space="preserve"> PAGEREF _Toc50031416 \h </w:instrText>
            </w:r>
            <w:r w:rsidR="00D57D8A">
              <w:rPr>
                <w:noProof/>
                <w:webHidden/>
              </w:rPr>
            </w:r>
            <w:r w:rsidR="00D57D8A">
              <w:rPr>
                <w:noProof/>
                <w:webHidden/>
              </w:rPr>
              <w:fldChar w:fldCharType="separate"/>
            </w:r>
            <w:r w:rsidR="00D57D8A">
              <w:rPr>
                <w:noProof/>
                <w:webHidden/>
              </w:rPr>
              <w:t>396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17" w:history="1">
            <w:r w:rsidR="00D57D8A" w:rsidRPr="00251ABB">
              <w:rPr>
                <w:rStyle w:val="Hipervnculo"/>
                <w:noProof/>
              </w:rPr>
              <w:t>1.Resumen</w:t>
            </w:r>
            <w:r w:rsidR="00D57D8A">
              <w:rPr>
                <w:noProof/>
                <w:webHidden/>
              </w:rPr>
              <w:tab/>
            </w:r>
            <w:r w:rsidR="00D57D8A">
              <w:rPr>
                <w:noProof/>
                <w:webHidden/>
              </w:rPr>
              <w:fldChar w:fldCharType="begin"/>
            </w:r>
            <w:r w:rsidR="00D57D8A">
              <w:rPr>
                <w:noProof/>
                <w:webHidden/>
              </w:rPr>
              <w:instrText xml:space="preserve"> PAGEREF _Toc50031417 \h </w:instrText>
            </w:r>
            <w:r w:rsidR="00D57D8A">
              <w:rPr>
                <w:noProof/>
                <w:webHidden/>
              </w:rPr>
            </w:r>
            <w:r w:rsidR="00D57D8A">
              <w:rPr>
                <w:noProof/>
                <w:webHidden/>
              </w:rPr>
              <w:fldChar w:fldCharType="separate"/>
            </w:r>
            <w:r w:rsidR="00D57D8A">
              <w:rPr>
                <w:noProof/>
                <w:webHidden/>
              </w:rPr>
              <w:t>397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18" w:history="1">
            <w:r w:rsidR="00D57D8A" w:rsidRPr="00251ABB">
              <w:rPr>
                <w:rStyle w:val="Hipervnculo"/>
                <w:noProof/>
              </w:rPr>
              <w:t>2.Introducción</w:t>
            </w:r>
            <w:r w:rsidR="00D57D8A">
              <w:rPr>
                <w:noProof/>
                <w:webHidden/>
              </w:rPr>
              <w:tab/>
            </w:r>
            <w:r w:rsidR="00D57D8A">
              <w:rPr>
                <w:noProof/>
                <w:webHidden/>
              </w:rPr>
              <w:fldChar w:fldCharType="begin"/>
            </w:r>
            <w:r w:rsidR="00D57D8A">
              <w:rPr>
                <w:noProof/>
                <w:webHidden/>
              </w:rPr>
              <w:instrText xml:space="preserve"> PAGEREF _Toc50031418 \h </w:instrText>
            </w:r>
            <w:r w:rsidR="00D57D8A">
              <w:rPr>
                <w:noProof/>
                <w:webHidden/>
              </w:rPr>
            </w:r>
            <w:r w:rsidR="00D57D8A">
              <w:rPr>
                <w:noProof/>
                <w:webHidden/>
              </w:rPr>
              <w:fldChar w:fldCharType="separate"/>
            </w:r>
            <w:r w:rsidR="00D57D8A">
              <w:rPr>
                <w:noProof/>
                <w:webHidden/>
              </w:rPr>
              <w:t>397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19" w:history="1">
            <w:r w:rsidR="00D57D8A" w:rsidRPr="00251ABB">
              <w:rPr>
                <w:rStyle w:val="Hipervnculo"/>
                <w:noProof/>
              </w:rPr>
              <w:t>3.Condiciones experimentales</w:t>
            </w:r>
            <w:r w:rsidR="00D57D8A">
              <w:rPr>
                <w:noProof/>
                <w:webHidden/>
              </w:rPr>
              <w:tab/>
            </w:r>
            <w:r w:rsidR="00D57D8A">
              <w:rPr>
                <w:noProof/>
                <w:webHidden/>
              </w:rPr>
              <w:fldChar w:fldCharType="begin"/>
            </w:r>
            <w:r w:rsidR="00D57D8A">
              <w:rPr>
                <w:noProof/>
                <w:webHidden/>
              </w:rPr>
              <w:instrText xml:space="preserve"> PAGEREF _Toc50031419 \h </w:instrText>
            </w:r>
            <w:r w:rsidR="00D57D8A">
              <w:rPr>
                <w:noProof/>
                <w:webHidden/>
              </w:rPr>
            </w:r>
            <w:r w:rsidR="00D57D8A">
              <w:rPr>
                <w:noProof/>
                <w:webHidden/>
              </w:rPr>
              <w:fldChar w:fldCharType="separate"/>
            </w:r>
            <w:r w:rsidR="00D57D8A">
              <w:rPr>
                <w:noProof/>
                <w:webHidden/>
              </w:rPr>
              <w:t>398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20" w:history="1">
            <w:r w:rsidR="00D57D8A" w:rsidRPr="00251ABB">
              <w:rPr>
                <w:rStyle w:val="Hipervnculo"/>
                <w:noProof/>
              </w:rPr>
              <w:t>4.Resultados y discusión</w:t>
            </w:r>
            <w:r w:rsidR="00D57D8A">
              <w:rPr>
                <w:noProof/>
                <w:webHidden/>
              </w:rPr>
              <w:tab/>
            </w:r>
            <w:r w:rsidR="00D57D8A">
              <w:rPr>
                <w:noProof/>
                <w:webHidden/>
              </w:rPr>
              <w:fldChar w:fldCharType="begin"/>
            </w:r>
            <w:r w:rsidR="00D57D8A">
              <w:rPr>
                <w:noProof/>
                <w:webHidden/>
              </w:rPr>
              <w:instrText xml:space="preserve"> PAGEREF _Toc50031420 \h </w:instrText>
            </w:r>
            <w:r w:rsidR="00D57D8A">
              <w:rPr>
                <w:noProof/>
                <w:webHidden/>
              </w:rPr>
            </w:r>
            <w:r w:rsidR="00D57D8A">
              <w:rPr>
                <w:noProof/>
                <w:webHidden/>
              </w:rPr>
              <w:fldChar w:fldCharType="separate"/>
            </w:r>
            <w:r w:rsidR="00D57D8A">
              <w:rPr>
                <w:noProof/>
                <w:webHidden/>
              </w:rPr>
              <w:t>399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21" w:history="1">
            <w:r w:rsidR="00D57D8A" w:rsidRPr="00251ABB">
              <w:rPr>
                <w:rStyle w:val="Hipervnculo"/>
                <w:noProof/>
                <w:lang w:val="en-US"/>
              </w:rPr>
              <w:t>5.Bibliografía</w:t>
            </w:r>
            <w:r w:rsidR="00D57D8A">
              <w:rPr>
                <w:noProof/>
                <w:webHidden/>
              </w:rPr>
              <w:tab/>
            </w:r>
            <w:r w:rsidR="00D57D8A">
              <w:rPr>
                <w:noProof/>
                <w:webHidden/>
              </w:rPr>
              <w:fldChar w:fldCharType="begin"/>
            </w:r>
            <w:r w:rsidR="00D57D8A">
              <w:rPr>
                <w:noProof/>
                <w:webHidden/>
              </w:rPr>
              <w:instrText xml:space="preserve"> PAGEREF _Toc50031421 \h </w:instrText>
            </w:r>
            <w:r w:rsidR="00D57D8A">
              <w:rPr>
                <w:noProof/>
                <w:webHidden/>
              </w:rPr>
            </w:r>
            <w:r w:rsidR="00D57D8A">
              <w:rPr>
                <w:noProof/>
                <w:webHidden/>
              </w:rPr>
              <w:fldChar w:fldCharType="separate"/>
            </w:r>
            <w:r w:rsidR="00D57D8A">
              <w:rPr>
                <w:noProof/>
                <w:webHidden/>
              </w:rPr>
              <w:t>401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22" w:history="1">
            <w:r w:rsidR="00D57D8A" w:rsidRPr="00251ABB">
              <w:rPr>
                <w:rStyle w:val="Hipervnculo"/>
                <w:noProof/>
              </w:rPr>
              <w:t>Diseño de un material lúdico pedagógico como estrategia metodológica para facilitar el aprendizaje de la tabla periódica (T. P) memorama en la UAM-A</w:t>
            </w:r>
            <w:r w:rsidR="00D57D8A">
              <w:rPr>
                <w:noProof/>
                <w:webHidden/>
              </w:rPr>
              <w:tab/>
            </w:r>
            <w:r w:rsidR="00D57D8A">
              <w:rPr>
                <w:noProof/>
                <w:webHidden/>
              </w:rPr>
              <w:fldChar w:fldCharType="begin"/>
            </w:r>
            <w:r w:rsidR="00D57D8A">
              <w:rPr>
                <w:noProof/>
                <w:webHidden/>
              </w:rPr>
              <w:instrText xml:space="preserve"> PAGEREF _Toc50031422 \h </w:instrText>
            </w:r>
            <w:r w:rsidR="00D57D8A">
              <w:rPr>
                <w:noProof/>
                <w:webHidden/>
              </w:rPr>
            </w:r>
            <w:r w:rsidR="00D57D8A">
              <w:rPr>
                <w:noProof/>
                <w:webHidden/>
              </w:rPr>
              <w:fldChar w:fldCharType="separate"/>
            </w:r>
            <w:r w:rsidR="00D57D8A">
              <w:rPr>
                <w:noProof/>
                <w:webHidden/>
              </w:rPr>
              <w:t>402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23" w:history="1">
            <w:r w:rsidR="00D57D8A" w:rsidRPr="00251ABB">
              <w:rPr>
                <w:rStyle w:val="Hipervnculo"/>
                <w:rFonts w:ascii="Arial" w:hAnsi="Arial" w:cs="Arial"/>
                <w:caps/>
                <w:noProof/>
              </w:rPr>
              <w:t>1. R</w:t>
            </w:r>
            <w:r w:rsidR="00D57D8A" w:rsidRPr="00251ABB">
              <w:rPr>
                <w:rStyle w:val="Hipervnculo"/>
                <w:rFonts w:ascii="Arial" w:hAnsi="Arial" w:cs="Arial"/>
                <w:noProof/>
              </w:rPr>
              <w:t>esumen</w:t>
            </w:r>
            <w:r w:rsidR="00D57D8A">
              <w:rPr>
                <w:noProof/>
                <w:webHidden/>
              </w:rPr>
              <w:tab/>
            </w:r>
            <w:r w:rsidR="00D57D8A">
              <w:rPr>
                <w:noProof/>
                <w:webHidden/>
              </w:rPr>
              <w:fldChar w:fldCharType="begin"/>
            </w:r>
            <w:r w:rsidR="00D57D8A">
              <w:rPr>
                <w:noProof/>
                <w:webHidden/>
              </w:rPr>
              <w:instrText xml:space="preserve"> PAGEREF _Toc50031423 \h </w:instrText>
            </w:r>
            <w:r w:rsidR="00D57D8A">
              <w:rPr>
                <w:noProof/>
                <w:webHidden/>
              </w:rPr>
            </w:r>
            <w:r w:rsidR="00D57D8A">
              <w:rPr>
                <w:noProof/>
                <w:webHidden/>
              </w:rPr>
              <w:fldChar w:fldCharType="separate"/>
            </w:r>
            <w:r w:rsidR="00D57D8A">
              <w:rPr>
                <w:noProof/>
                <w:webHidden/>
              </w:rPr>
              <w:t>402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24" w:history="1">
            <w:r w:rsidR="00D57D8A" w:rsidRPr="00251ABB">
              <w:rPr>
                <w:rStyle w:val="Hipervnculo"/>
                <w:rFonts w:ascii="Arial" w:hAnsi="Arial" w:cs="Arial"/>
                <w:caps/>
                <w:noProof/>
              </w:rPr>
              <w:t>2. I</w:t>
            </w:r>
            <w:r w:rsidR="00D57D8A" w:rsidRPr="00251ABB">
              <w:rPr>
                <w:rStyle w:val="Hipervnculo"/>
                <w:rFonts w:ascii="Arial" w:hAnsi="Arial" w:cs="Arial"/>
                <w:noProof/>
              </w:rPr>
              <w:t>ntroducción</w:t>
            </w:r>
            <w:r w:rsidR="00D57D8A">
              <w:rPr>
                <w:noProof/>
                <w:webHidden/>
              </w:rPr>
              <w:tab/>
            </w:r>
            <w:r w:rsidR="00D57D8A">
              <w:rPr>
                <w:noProof/>
                <w:webHidden/>
              </w:rPr>
              <w:fldChar w:fldCharType="begin"/>
            </w:r>
            <w:r w:rsidR="00D57D8A">
              <w:rPr>
                <w:noProof/>
                <w:webHidden/>
              </w:rPr>
              <w:instrText xml:space="preserve"> PAGEREF _Toc50031424 \h </w:instrText>
            </w:r>
            <w:r w:rsidR="00D57D8A">
              <w:rPr>
                <w:noProof/>
                <w:webHidden/>
              </w:rPr>
            </w:r>
            <w:r w:rsidR="00D57D8A">
              <w:rPr>
                <w:noProof/>
                <w:webHidden/>
              </w:rPr>
              <w:fldChar w:fldCharType="separate"/>
            </w:r>
            <w:r w:rsidR="00D57D8A">
              <w:rPr>
                <w:noProof/>
                <w:webHidden/>
              </w:rPr>
              <w:t>403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25" w:history="1">
            <w:r w:rsidR="00D57D8A" w:rsidRPr="00251ABB">
              <w:rPr>
                <w:rStyle w:val="Hipervnculo"/>
                <w:rFonts w:ascii="Arial" w:hAnsi="Arial" w:cs="Arial"/>
                <w:caps/>
                <w:noProof/>
              </w:rPr>
              <w:t>3. C</w:t>
            </w:r>
            <w:r w:rsidR="00D57D8A" w:rsidRPr="00251ABB">
              <w:rPr>
                <w:rStyle w:val="Hipervnculo"/>
                <w:rFonts w:ascii="Arial" w:hAnsi="Arial" w:cs="Arial"/>
                <w:noProof/>
              </w:rPr>
              <w:t>ondiciones experimentales</w:t>
            </w:r>
            <w:r w:rsidR="00D57D8A">
              <w:rPr>
                <w:noProof/>
                <w:webHidden/>
              </w:rPr>
              <w:tab/>
            </w:r>
            <w:r w:rsidR="00D57D8A">
              <w:rPr>
                <w:noProof/>
                <w:webHidden/>
              </w:rPr>
              <w:fldChar w:fldCharType="begin"/>
            </w:r>
            <w:r w:rsidR="00D57D8A">
              <w:rPr>
                <w:noProof/>
                <w:webHidden/>
              </w:rPr>
              <w:instrText xml:space="preserve"> PAGEREF _Toc50031425 \h </w:instrText>
            </w:r>
            <w:r w:rsidR="00D57D8A">
              <w:rPr>
                <w:noProof/>
                <w:webHidden/>
              </w:rPr>
            </w:r>
            <w:r w:rsidR="00D57D8A">
              <w:rPr>
                <w:noProof/>
                <w:webHidden/>
              </w:rPr>
              <w:fldChar w:fldCharType="separate"/>
            </w:r>
            <w:r w:rsidR="00D57D8A">
              <w:rPr>
                <w:noProof/>
                <w:webHidden/>
              </w:rPr>
              <w:t>404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26" w:history="1">
            <w:r w:rsidR="00D57D8A" w:rsidRPr="00251ABB">
              <w:rPr>
                <w:rStyle w:val="Hipervnculo"/>
                <w:rFonts w:ascii="Arial" w:hAnsi="Arial" w:cs="Arial"/>
                <w:caps/>
                <w:noProof/>
              </w:rPr>
              <w:t xml:space="preserve">4. </w:t>
            </w:r>
            <w:r w:rsidR="00D57D8A" w:rsidRPr="00251ABB">
              <w:rPr>
                <w:rStyle w:val="Hipervnculo"/>
                <w:rFonts w:ascii="Arial" w:hAnsi="Arial" w:cs="Arial"/>
                <w:noProof/>
              </w:rPr>
              <w:t>Resultados y discusión</w:t>
            </w:r>
            <w:r w:rsidR="00D57D8A">
              <w:rPr>
                <w:noProof/>
                <w:webHidden/>
              </w:rPr>
              <w:tab/>
            </w:r>
            <w:r w:rsidR="00D57D8A">
              <w:rPr>
                <w:noProof/>
                <w:webHidden/>
              </w:rPr>
              <w:fldChar w:fldCharType="begin"/>
            </w:r>
            <w:r w:rsidR="00D57D8A">
              <w:rPr>
                <w:noProof/>
                <w:webHidden/>
              </w:rPr>
              <w:instrText xml:space="preserve"> PAGEREF _Toc50031426 \h </w:instrText>
            </w:r>
            <w:r w:rsidR="00D57D8A">
              <w:rPr>
                <w:noProof/>
                <w:webHidden/>
              </w:rPr>
            </w:r>
            <w:r w:rsidR="00D57D8A">
              <w:rPr>
                <w:noProof/>
                <w:webHidden/>
              </w:rPr>
              <w:fldChar w:fldCharType="separate"/>
            </w:r>
            <w:r w:rsidR="00D57D8A">
              <w:rPr>
                <w:noProof/>
                <w:webHidden/>
              </w:rPr>
              <w:t>406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27" w:history="1">
            <w:r w:rsidR="00D57D8A" w:rsidRPr="00251ABB">
              <w:rPr>
                <w:rStyle w:val="Hipervnculo"/>
                <w:rFonts w:ascii="Arial" w:hAnsi="Arial" w:cs="Arial"/>
                <w:caps/>
                <w:noProof/>
              </w:rPr>
              <w:t xml:space="preserve">5. </w:t>
            </w:r>
            <w:r w:rsidR="00D57D8A" w:rsidRPr="00251ABB">
              <w:rPr>
                <w:rStyle w:val="Hipervnculo"/>
                <w:rFonts w:ascii="Arial" w:hAnsi="Arial" w:cs="Arial"/>
                <w:noProof/>
              </w:rPr>
              <w:t>Conclusiones</w:t>
            </w:r>
            <w:r w:rsidR="00D57D8A">
              <w:rPr>
                <w:noProof/>
                <w:webHidden/>
              </w:rPr>
              <w:tab/>
            </w:r>
            <w:r w:rsidR="00D57D8A">
              <w:rPr>
                <w:noProof/>
                <w:webHidden/>
              </w:rPr>
              <w:fldChar w:fldCharType="begin"/>
            </w:r>
            <w:r w:rsidR="00D57D8A">
              <w:rPr>
                <w:noProof/>
                <w:webHidden/>
              </w:rPr>
              <w:instrText xml:space="preserve"> PAGEREF _Toc50031427 \h </w:instrText>
            </w:r>
            <w:r w:rsidR="00D57D8A">
              <w:rPr>
                <w:noProof/>
                <w:webHidden/>
              </w:rPr>
            </w:r>
            <w:r w:rsidR="00D57D8A">
              <w:rPr>
                <w:noProof/>
                <w:webHidden/>
              </w:rPr>
              <w:fldChar w:fldCharType="separate"/>
            </w:r>
            <w:r w:rsidR="00D57D8A">
              <w:rPr>
                <w:noProof/>
                <w:webHidden/>
              </w:rPr>
              <w:t>407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28" w:history="1">
            <w:r w:rsidR="00D57D8A" w:rsidRPr="00251ABB">
              <w:rPr>
                <w:rStyle w:val="Hipervnculo"/>
                <w:rFonts w:ascii="Arial" w:hAnsi="Arial" w:cs="Arial"/>
                <w:caps/>
                <w:noProof/>
              </w:rPr>
              <w:t xml:space="preserve">6. </w:t>
            </w:r>
            <w:r w:rsidR="00D57D8A" w:rsidRPr="00251ABB">
              <w:rPr>
                <w:rStyle w:val="Hipervnculo"/>
                <w:rFonts w:ascii="Arial" w:hAnsi="Arial" w:cs="Arial"/>
                <w:noProof/>
              </w:rPr>
              <w:t>Bibliografía</w:t>
            </w:r>
            <w:r w:rsidR="00D57D8A">
              <w:rPr>
                <w:noProof/>
                <w:webHidden/>
              </w:rPr>
              <w:tab/>
            </w:r>
            <w:r w:rsidR="00D57D8A">
              <w:rPr>
                <w:noProof/>
                <w:webHidden/>
              </w:rPr>
              <w:fldChar w:fldCharType="begin"/>
            </w:r>
            <w:r w:rsidR="00D57D8A">
              <w:rPr>
                <w:noProof/>
                <w:webHidden/>
              </w:rPr>
              <w:instrText xml:space="preserve"> PAGEREF _Toc50031428 \h </w:instrText>
            </w:r>
            <w:r w:rsidR="00D57D8A">
              <w:rPr>
                <w:noProof/>
                <w:webHidden/>
              </w:rPr>
            </w:r>
            <w:r w:rsidR="00D57D8A">
              <w:rPr>
                <w:noProof/>
                <w:webHidden/>
              </w:rPr>
              <w:fldChar w:fldCharType="separate"/>
            </w:r>
            <w:r w:rsidR="00D57D8A">
              <w:rPr>
                <w:noProof/>
                <w:webHidden/>
              </w:rPr>
              <w:t>408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29" w:history="1">
            <w:r w:rsidR="00D57D8A" w:rsidRPr="00251ABB">
              <w:rPr>
                <w:rStyle w:val="Hipervnculo"/>
                <w:noProof/>
              </w:rPr>
              <w:t>Trabajo metodológico en el Año académico, forma básica de gestión de la educación en valores</w:t>
            </w:r>
            <w:r w:rsidR="00D57D8A">
              <w:rPr>
                <w:noProof/>
                <w:webHidden/>
              </w:rPr>
              <w:tab/>
            </w:r>
            <w:r w:rsidR="00D57D8A">
              <w:rPr>
                <w:noProof/>
                <w:webHidden/>
              </w:rPr>
              <w:fldChar w:fldCharType="begin"/>
            </w:r>
            <w:r w:rsidR="00D57D8A">
              <w:rPr>
                <w:noProof/>
                <w:webHidden/>
              </w:rPr>
              <w:instrText xml:space="preserve"> PAGEREF _Toc50031429 \h </w:instrText>
            </w:r>
            <w:r w:rsidR="00D57D8A">
              <w:rPr>
                <w:noProof/>
                <w:webHidden/>
              </w:rPr>
            </w:r>
            <w:r w:rsidR="00D57D8A">
              <w:rPr>
                <w:noProof/>
                <w:webHidden/>
              </w:rPr>
              <w:fldChar w:fldCharType="separate"/>
            </w:r>
            <w:r w:rsidR="00D57D8A">
              <w:rPr>
                <w:noProof/>
                <w:webHidden/>
              </w:rPr>
              <w:t>408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30" w:history="1">
            <w:r w:rsidR="00D57D8A" w:rsidRPr="00251ABB">
              <w:rPr>
                <w:rStyle w:val="Hipervnculo"/>
                <w:noProof/>
              </w:rPr>
              <w:t>1. Resumen</w:t>
            </w:r>
            <w:r w:rsidR="00D57D8A">
              <w:rPr>
                <w:noProof/>
                <w:webHidden/>
              </w:rPr>
              <w:tab/>
            </w:r>
            <w:r w:rsidR="00D57D8A">
              <w:rPr>
                <w:noProof/>
                <w:webHidden/>
              </w:rPr>
              <w:fldChar w:fldCharType="begin"/>
            </w:r>
            <w:r w:rsidR="00D57D8A">
              <w:rPr>
                <w:noProof/>
                <w:webHidden/>
              </w:rPr>
              <w:instrText xml:space="preserve"> PAGEREF _Toc50031430 \h </w:instrText>
            </w:r>
            <w:r w:rsidR="00D57D8A">
              <w:rPr>
                <w:noProof/>
                <w:webHidden/>
              </w:rPr>
            </w:r>
            <w:r w:rsidR="00D57D8A">
              <w:rPr>
                <w:noProof/>
                <w:webHidden/>
              </w:rPr>
              <w:fldChar w:fldCharType="separate"/>
            </w:r>
            <w:r w:rsidR="00D57D8A">
              <w:rPr>
                <w:noProof/>
                <w:webHidden/>
              </w:rPr>
              <w:t>408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31" w:history="1">
            <w:r w:rsidR="00D57D8A" w:rsidRPr="00251ABB">
              <w:rPr>
                <w:rStyle w:val="Hipervnculo"/>
                <w:noProof/>
              </w:rPr>
              <w:t>2. Introducción</w:t>
            </w:r>
            <w:r w:rsidR="00D57D8A">
              <w:rPr>
                <w:noProof/>
                <w:webHidden/>
              </w:rPr>
              <w:tab/>
            </w:r>
            <w:r w:rsidR="00D57D8A">
              <w:rPr>
                <w:noProof/>
                <w:webHidden/>
              </w:rPr>
              <w:fldChar w:fldCharType="begin"/>
            </w:r>
            <w:r w:rsidR="00D57D8A">
              <w:rPr>
                <w:noProof/>
                <w:webHidden/>
              </w:rPr>
              <w:instrText xml:space="preserve"> PAGEREF _Toc50031431 \h </w:instrText>
            </w:r>
            <w:r w:rsidR="00D57D8A">
              <w:rPr>
                <w:noProof/>
                <w:webHidden/>
              </w:rPr>
            </w:r>
            <w:r w:rsidR="00D57D8A">
              <w:rPr>
                <w:noProof/>
                <w:webHidden/>
              </w:rPr>
              <w:fldChar w:fldCharType="separate"/>
            </w:r>
            <w:r w:rsidR="00D57D8A">
              <w:rPr>
                <w:noProof/>
                <w:webHidden/>
              </w:rPr>
              <w:t>408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32" w:history="1">
            <w:r w:rsidR="00D57D8A" w:rsidRPr="00251ABB">
              <w:rPr>
                <w:rStyle w:val="Hipervnculo"/>
                <w:noProof/>
              </w:rPr>
              <w:t>3. Condiciones experimentales</w:t>
            </w:r>
            <w:r w:rsidR="00D57D8A">
              <w:rPr>
                <w:noProof/>
                <w:webHidden/>
              </w:rPr>
              <w:tab/>
            </w:r>
            <w:r w:rsidR="00D57D8A">
              <w:rPr>
                <w:noProof/>
                <w:webHidden/>
              </w:rPr>
              <w:fldChar w:fldCharType="begin"/>
            </w:r>
            <w:r w:rsidR="00D57D8A">
              <w:rPr>
                <w:noProof/>
                <w:webHidden/>
              </w:rPr>
              <w:instrText xml:space="preserve"> PAGEREF _Toc50031432 \h </w:instrText>
            </w:r>
            <w:r w:rsidR="00D57D8A">
              <w:rPr>
                <w:noProof/>
                <w:webHidden/>
              </w:rPr>
            </w:r>
            <w:r w:rsidR="00D57D8A">
              <w:rPr>
                <w:noProof/>
                <w:webHidden/>
              </w:rPr>
              <w:fldChar w:fldCharType="separate"/>
            </w:r>
            <w:r w:rsidR="00D57D8A">
              <w:rPr>
                <w:noProof/>
                <w:webHidden/>
              </w:rPr>
              <w:t>409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33" w:history="1">
            <w:r w:rsidR="00D57D8A" w:rsidRPr="00251ABB">
              <w:rPr>
                <w:rStyle w:val="Hipervnculo"/>
                <w:noProof/>
              </w:rPr>
              <w:t>4. Resultados y discusión</w:t>
            </w:r>
            <w:r w:rsidR="00D57D8A">
              <w:rPr>
                <w:noProof/>
                <w:webHidden/>
              </w:rPr>
              <w:tab/>
            </w:r>
            <w:r w:rsidR="00D57D8A">
              <w:rPr>
                <w:noProof/>
                <w:webHidden/>
              </w:rPr>
              <w:fldChar w:fldCharType="begin"/>
            </w:r>
            <w:r w:rsidR="00D57D8A">
              <w:rPr>
                <w:noProof/>
                <w:webHidden/>
              </w:rPr>
              <w:instrText xml:space="preserve"> PAGEREF _Toc50031433 \h </w:instrText>
            </w:r>
            <w:r w:rsidR="00D57D8A">
              <w:rPr>
                <w:noProof/>
                <w:webHidden/>
              </w:rPr>
            </w:r>
            <w:r w:rsidR="00D57D8A">
              <w:rPr>
                <w:noProof/>
                <w:webHidden/>
              </w:rPr>
              <w:fldChar w:fldCharType="separate"/>
            </w:r>
            <w:r w:rsidR="00D57D8A">
              <w:rPr>
                <w:noProof/>
                <w:webHidden/>
              </w:rPr>
              <w:t>414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34" w:history="1">
            <w:r w:rsidR="00D57D8A" w:rsidRPr="00251ABB">
              <w:rPr>
                <w:rStyle w:val="Hipervnculo"/>
                <w:noProof/>
              </w:rPr>
              <w:t>5.  Conclusiones</w:t>
            </w:r>
            <w:r w:rsidR="00D57D8A">
              <w:rPr>
                <w:noProof/>
                <w:webHidden/>
              </w:rPr>
              <w:tab/>
            </w:r>
            <w:r w:rsidR="00D57D8A">
              <w:rPr>
                <w:noProof/>
                <w:webHidden/>
              </w:rPr>
              <w:fldChar w:fldCharType="begin"/>
            </w:r>
            <w:r w:rsidR="00D57D8A">
              <w:rPr>
                <w:noProof/>
                <w:webHidden/>
              </w:rPr>
              <w:instrText xml:space="preserve"> PAGEREF _Toc50031434 \h </w:instrText>
            </w:r>
            <w:r w:rsidR="00D57D8A">
              <w:rPr>
                <w:noProof/>
                <w:webHidden/>
              </w:rPr>
            </w:r>
            <w:r w:rsidR="00D57D8A">
              <w:rPr>
                <w:noProof/>
                <w:webHidden/>
              </w:rPr>
              <w:fldChar w:fldCharType="separate"/>
            </w:r>
            <w:r w:rsidR="00D57D8A">
              <w:rPr>
                <w:noProof/>
                <w:webHidden/>
              </w:rPr>
              <w:t>416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35" w:history="1">
            <w:r w:rsidR="00D57D8A" w:rsidRPr="00251ABB">
              <w:rPr>
                <w:rStyle w:val="Hipervnculo"/>
                <w:noProof/>
                <w:lang w:val="en-US"/>
              </w:rPr>
              <w:t>6. Bibliografía</w:t>
            </w:r>
            <w:r w:rsidR="00D57D8A">
              <w:rPr>
                <w:noProof/>
                <w:webHidden/>
              </w:rPr>
              <w:tab/>
            </w:r>
            <w:r w:rsidR="00D57D8A">
              <w:rPr>
                <w:noProof/>
                <w:webHidden/>
              </w:rPr>
              <w:fldChar w:fldCharType="begin"/>
            </w:r>
            <w:r w:rsidR="00D57D8A">
              <w:rPr>
                <w:noProof/>
                <w:webHidden/>
              </w:rPr>
              <w:instrText xml:space="preserve"> PAGEREF _Toc50031435 \h </w:instrText>
            </w:r>
            <w:r w:rsidR="00D57D8A">
              <w:rPr>
                <w:noProof/>
                <w:webHidden/>
              </w:rPr>
            </w:r>
            <w:r w:rsidR="00D57D8A">
              <w:rPr>
                <w:noProof/>
                <w:webHidden/>
              </w:rPr>
              <w:fldChar w:fldCharType="separate"/>
            </w:r>
            <w:r w:rsidR="00D57D8A">
              <w:rPr>
                <w:noProof/>
                <w:webHidden/>
              </w:rPr>
              <w:t>416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36" w:history="1">
            <w:r w:rsidR="00D57D8A" w:rsidRPr="00251ABB">
              <w:rPr>
                <w:rStyle w:val="Hipervnculo"/>
                <w:noProof/>
              </w:rPr>
              <w:t>El intercambio educativo como vía para incrementar el poder blando de México</w:t>
            </w:r>
            <w:r w:rsidR="00D57D8A">
              <w:rPr>
                <w:noProof/>
                <w:webHidden/>
              </w:rPr>
              <w:tab/>
            </w:r>
            <w:r w:rsidR="00D57D8A">
              <w:rPr>
                <w:noProof/>
                <w:webHidden/>
              </w:rPr>
              <w:fldChar w:fldCharType="begin"/>
            </w:r>
            <w:r w:rsidR="00D57D8A">
              <w:rPr>
                <w:noProof/>
                <w:webHidden/>
              </w:rPr>
              <w:instrText xml:space="preserve"> PAGEREF _Toc50031436 \h </w:instrText>
            </w:r>
            <w:r w:rsidR="00D57D8A">
              <w:rPr>
                <w:noProof/>
                <w:webHidden/>
              </w:rPr>
            </w:r>
            <w:r w:rsidR="00D57D8A">
              <w:rPr>
                <w:noProof/>
                <w:webHidden/>
              </w:rPr>
              <w:fldChar w:fldCharType="separate"/>
            </w:r>
            <w:r w:rsidR="00D57D8A">
              <w:rPr>
                <w:noProof/>
                <w:webHidden/>
              </w:rPr>
              <w:t>418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37" w:history="1">
            <w:r w:rsidR="00D57D8A" w:rsidRPr="00251ABB">
              <w:rPr>
                <w:rStyle w:val="Hipervnculo"/>
                <w:noProof/>
              </w:rPr>
              <w:t>1.Resumen</w:t>
            </w:r>
            <w:r w:rsidR="00D57D8A">
              <w:rPr>
                <w:noProof/>
                <w:webHidden/>
              </w:rPr>
              <w:tab/>
            </w:r>
            <w:r w:rsidR="00D57D8A">
              <w:rPr>
                <w:noProof/>
                <w:webHidden/>
              </w:rPr>
              <w:fldChar w:fldCharType="begin"/>
            </w:r>
            <w:r w:rsidR="00D57D8A">
              <w:rPr>
                <w:noProof/>
                <w:webHidden/>
              </w:rPr>
              <w:instrText xml:space="preserve"> PAGEREF _Toc50031437 \h </w:instrText>
            </w:r>
            <w:r w:rsidR="00D57D8A">
              <w:rPr>
                <w:noProof/>
                <w:webHidden/>
              </w:rPr>
            </w:r>
            <w:r w:rsidR="00D57D8A">
              <w:rPr>
                <w:noProof/>
                <w:webHidden/>
              </w:rPr>
              <w:fldChar w:fldCharType="separate"/>
            </w:r>
            <w:r w:rsidR="00D57D8A">
              <w:rPr>
                <w:noProof/>
                <w:webHidden/>
              </w:rPr>
              <w:t>418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38" w:history="1">
            <w:r w:rsidR="00D57D8A" w:rsidRPr="00251ABB">
              <w:rPr>
                <w:rStyle w:val="Hipervnculo"/>
                <w:noProof/>
              </w:rPr>
              <w:t>2.Introducción</w:t>
            </w:r>
            <w:r w:rsidR="00D57D8A">
              <w:rPr>
                <w:noProof/>
                <w:webHidden/>
              </w:rPr>
              <w:tab/>
            </w:r>
            <w:r w:rsidR="00D57D8A">
              <w:rPr>
                <w:noProof/>
                <w:webHidden/>
              </w:rPr>
              <w:fldChar w:fldCharType="begin"/>
            </w:r>
            <w:r w:rsidR="00D57D8A">
              <w:rPr>
                <w:noProof/>
                <w:webHidden/>
              </w:rPr>
              <w:instrText xml:space="preserve"> PAGEREF _Toc50031438 \h </w:instrText>
            </w:r>
            <w:r w:rsidR="00D57D8A">
              <w:rPr>
                <w:noProof/>
                <w:webHidden/>
              </w:rPr>
            </w:r>
            <w:r w:rsidR="00D57D8A">
              <w:rPr>
                <w:noProof/>
                <w:webHidden/>
              </w:rPr>
              <w:fldChar w:fldCharType="separate"/>
            </w:r>
            <w:r w:rsidR="00D57D8A">
              <w:rPr>
                <w:noProof/>
                <w:webHidden/>
              </w:rPr>
              <w:t>419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39" w:history="1">
            <w:r w:rsidR="00D57D8A" w:rsidRPr="00251ABB">
              <w:rPr>
                <w:rStyle w:val="Hipervnculo"/>
                <w:noProof/>
              </w:rPr>
              <w:t>3.Condiciones experimentales</w:t>
            </w:r>
            <w:r w:rsidR="00D57D8A">
              <w:rPr>
                <w:noProof/>
                <w:webHidden/>
              </w:rPr>
              <w:tab/>
            </w:r>
            <w:r w:rsidR="00D57D8A">
              <w:rPr>
                <w:noProof/>
                <w:webHidden/>
              </w:rPr>
              <w:fldChar w:fldCharType="begin"/>
            </w:r>
            <w:r w:rsidR="00D57D8A">
              <w:rPr>
                <w:noProof/>
                <w:webHidden/>
              </w:rPr>
              <w:instrText xml:space="preserve"> PAGEREF _Toc50031439 \h </w:instrText>
            </w:r>
            <w:r w:rsidR="00D57D8A">
              <w:rPr>
                <w:noProof/>
                <w:webHidden/>
              </w:rPr>
            </w:r>
            <w:r w:rsidR="00D57D8A">
              <w:rPr>
                <w:noProof/>
                <w:webHidden/>
              </w:rPr>
              <w:fldChar w:fldCharType="separate"/>
            </w:r>
            <w:r w:rsidR="00D57D8A">
              <w:rPr>
                <w:noProof/>
                <w:webHidden/>
              </w:rPr>
              <w:t>420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40" w:history="1">
            <w:r w:rsidR="00D57D8A" w:rsidRPr="00251ABB">
              <w:rPr>
                <w:rStyle w:val="Hipervnculo"/>
                <w:noProof/>
              </w:rPr>
              <w:t>4.Resultados y discusión</w:t>
            </w:r>
            <w:r w:rsidR="00D57D8A">
              <w:rPr>
                <w:noProof/>
                <w:webHidden/>
              </w:rPr>
              <w:tab/>
            </w:r>
            <w:r w:rsidR="00D57D8A">
              <w:rPr>
                <w:noProof/>
                <w:webHidden/>
              </w:rPr>
              <w:fldChar w:fldCharType="begin"/>
            </w:r>
            <w:r w:rsidR="00D57D8A">
              <w:rPr>
                <w:noProof/>
                <w:webHidden/>
              </w:rPr>
              <w:instrText xml:space="preserve"> PAGEREF _Toc50031440 \h </w:instrText>
            </w:r>
            <w:r w:rsidR="00D57D8A">
              <w:rPr>
                <w:noProof/>
                <w:webHidden/>
              </w:rPr>
            </w:r>
            <w:r w:rsidR="00D57D8A">
              <w:rPr>
                <w:noProof/>
                <w:webHidden/>
              </w:rPr>
              <w:fldChar w:fldCharType="separate"/>
            </w:r>
            <w:r w:rsidR="00D57D8A">
              <w:rPr>
                <w:noProof/>
                <w:webHidden/>
              </w:rPr>
              <w:t>420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41" w:history="1">
            <w:r w:rsidR="00D57D8A" w:rsidRPr="00251ABB">
              <w:rPr>
                <w:rStyle w:val="Hipervnculo"/>
                <w:noProof/>
              </w:rPr>
              <w:t>5.Conclusiones</w:t>
            </w:r>
            <w:r w:rsidR="00D57D8A">
              <w:rPr>
                <w:noProof/>
                <w:webHidden/>
              </w:rPr>
              <w:tab/>
            </w:r>
            <w:r w:rsidR="00D57D8A">
              <w:rPr>
                <w:noProof/>
                <w:webHidden/>
              </w:rPr>
              <w:fldChar w:fldCharType="begin"/>
            </w:r>
            <w:r w:rsidR="00D57D8A">
              <w:rPr>
                <w:noProof/>
                <w:webHidden/>
              </w:rPr>
              <w:instrText xml:space="preserve"> PAGEREF _Toc50031441 \h </w:instrText>
            </w:r>
            <w:r w:rsidR="00D57D8A">
              <w:rPr>
                <w:noProof/>
                <w:webHidden/>
              </w:rPr>
            </w:r>
            <w:r w:rsidR="00D57D8A">
              <w:rPr>
                <w:noProof/>
                <w:webHidden/>
              </w:rPr>
              <w:fldChar w:fldCharType="separate"/>
            </w:r>
            <w:r w:rsidR="00D57D8A">
              <w:rPr>
                <w:noProof/>
                <w:webHidden/>
              </w:rPr>
              <w:t>426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42" w:history="1">
            <w:r w:rsidR="00D57D8A" w:rsidRPr="00251ABB">
              <w:rPr>
                <w:rStyle w:val="Hipervnculo"/>
                <w:noProof/>
              </w:rPr>
              <w:t>6.Bibliografía</w:t>
            </w:r>
            <w:r w:rsidR="00D57D8A">
              <w:rPr>
                <w:noProof/>
                <w:webHidden/>
              </w:rPr>
              <w:tab/>
            </w:r>
            <w:r w:rsidR="00D57D8A">
              <w:rPr>
                <w:noProof/>
                <w:webHidden/>
              </w:rPr>
              <w:fldChar w:fldCharType="begin"/>
            </w:r>
            <w:r w:rsidR="00D57D8A">
              <w:rPr>
                <w:noProof/>
                <w:webHidden/>
              </w:rPr>
              <w:instrText xml:space="preserve"> PAGEREF _Toc50031442 \h </w:instrText>
            </w:r>
            <w:r w:rsidR="00D57D8A">
              <w:rPr>
                <w:noProof/>
                <w:webHidden/>
              </w:rPr>
            </w:r>
            <w:r w:rsidR="00D57D8A">
              <w:rPr>
                <w:noProof/>
                <w:webHidden/>
              </w:rPr>
              <w:fldChar w:fldCharType="separate"/>
            </w:r>
            <w:r w:rsidR="00D57D8A">
              <w:rPr>
                <w:noProof/>
                <w:webHidden/>
              </w:rPr>
              <w:t>426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43" w:history="1">
            <w:r w:rsidR="00D57D8A" w:rsidRPr="00251ABB">
              <w:rPr>
                <w:rStyle w:val="Hipervnculo"/>
                <w:noProof/>
              </w:rPr>
              <w:t>Movilidad educativa de estudiantes de ingeniería en la Universidad Autónoma Metropolitana</w:t>
            </w:r>
            <w:r w:rsidR="00D57D8A">
              <w:rPr>
                <w:noProof/>
                <w:webHidden/>
              </w:rPr>
              <w:tab/>
            </w:r>
            <w:r w:rsidR="00D57D8A">
              <w:rPr>
                <w:noProof/>
                <w:webHidden/>
              </w:rPr>
              <w:fldChar w:fldCharType="begin"/>
            </w:r>
            <w:r w:rsidR="00D57D8A">
              <w:rPr>
                <w:noProof/>
                <w:webHidden/>
              </w:rPr>
              <w:instrText xml:space="preserve"> PAGEREF _Toc50031443 \h </w:instrText>
            </w:r>
            <w:r w:rsidR="00D57D8A">
              <w:rPr>
                <w:noProof/>
                <w:webHidden/>
              </w:rPr>
            </w:r>
            <w:r w:rsidR="00D57D8A">
              <w:rPr>
                <w:noProof/>
                <w:webHidden/>
              </w:rPr>
              <w:fldChar w:fldCharType="separate"/>
            </w:r>
            <w:r w:rsidR="00D57D8A">
              <w:rPr>
                <w:noProof/>
                <w:webHidden/>
              </w:rPr>
              <w:t>427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44" w:history="1">
            <w:r w:rsidR="00D57D8A" w:rsidRPr="00251ABB">
              <w:rPr>
                <w:rStyle w:val="Hipervnculo"/>
                <w:noProof/>
              </w:rPr>
              <w:t>1. Resumen</w:t>
            </w:r>
            <w:r w:rsidR="00D57D8A">
              <w:rPr>
                <w:noProof/>
                <w:webHidden/>
              </w:rPr>
              <w:tab/>
            </w:r>
            <w:r w:rsidR="00D57D8A">
              <w:rPr>
                <w:noProof/>
                <w:webHidden/>
              </w:rPr>
              <w:fldChar w:fldCharType="begin"/>
            </w:r>
            <w:r w:rsidR="00D57D8A">
              <w:rPr>
                <w:noProof/>
                <w:webHidden/>
              </w:rPr>
              <w:instrText xml:space="preserve"> PAGEREF _Toc50031444 \h </w:instrText>
            </w:r>
            <w:r w:rsidR="00D57D8A">
              <w:rPr>
                <w:noProof/>
                <w:webHidden/>
              </w:rPr>
            </w:r>
            <w:r w:rsidR="00D57D8A">
              <w:rPr>
                <w:noProof/>
                <w:webHidden/>
              </w:rPr>
              <w:fldChar w:fldCharType="separate"/>
            </w:r>
            <w:r w:rsidR="00D57D8A">
              <w:rPr>
                <w:noProof/>
                <w:webHidden/>
              </w:rPr>
              <w:t>428</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45" w:history="1">
            <w:r w:rsidR="00D57D8A" w:rsidRPr="00251ABB">
              <w:rPr>
                <w:rStyle w:val="Hipervnculo"/>
                <w:noProof/>
              </w:rPr>
              <w:t>1.</w:t>
            </w:r>
            <w:r w:rsidR="00D57D8A">
              <w:rPr>
                <w:b w:val="0"/>
                <w:noProof/>
                <w:sz w:val="22"/>
                <w:szCs w:val="22"/>
                <w:lang w:val="en-US" w:eastAsia="en-US"/>
              </w:rPr>
              <w:tab/>
            </w:r>
            <w:r w:rsidR="00D57D8A" w:rsidRPr="00251ABB">
              <w:rPr>
                <w:rStyle w:val="Hipervnculo"/>
                <w:noProof/>
              </w:rPr>
              <w:t>Introducción</w:t>
            </w:r>
            <w:r w:rsidR="00D57D8A">
              <w:rPr>
                <w:noProof/>
                <w:webHidden/>
              </w:rPr>
              <w:tab/>
            </w:r>
            <w:r w:rsidR="00D57D8A">
              <w:rPr>
                <w:noProof/>
                <w:webHidden/>
              </w:rPr>
              <w:fldChar w:fldCharType="begin"/>
            </w:r>
            <w:r w:rsidR="00D57D8A">
              <w:rPr>
                <w:noProof/>
                <w:webHidden/>
              </w:rPr>
              <w:instrText xml:space="preserve"> PAGEREF _Toc50031445 \h </w:instrText>
            </w:r>
            <w:r w:rsidR="00D57D8A">
              <w:rPr>
                <w:noProof/>
                <w:webHidden/>
              </w:rPr>
            </w:r>
            <w:r w:rsidR="00D57D8A">
              <w:rPr>
                <w:noProof/>
                <w:webHidden/>
              </w:rPr>
              <w:fldChar w:fldCharType="separate"/>
            </w:r>
            <w:r w:rsidR="00D57D8A">
              <w:rPr>
                <w:noProof/>
                <w:webHidden/>
              </w:rPr>
              <w:t>428</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46" w:history="1">
            <w:r w:rsidR="00D57D8A" w:rsidRPr="00251ABB">
              <w:rPr>
                <w:rStyle w:val="Hipervnculo"/>
                <w:noProof/>
              </w:rPr>
              <w:t>2.</w:t>
            </w:r>
            <w:r w:rsidR="00D57D8A">
              <w:rPr>
                <w:b w:val="0"/>
                <w:noProof/>
                <w:sz w:val="22"/>
                <w:szCs w:val="22"/>
                <w:lang w:val="en-US" w:eastAsia="en-US"/>
              </w:rPr>
              <w:tab/>
            </w:r>
            <w:r w:rsidR="00D57D8A" w:rsidRPr="00251ABB">
              <w:rPr>
                <w:rStyle w:val="Hipervnculo"/>
                <w:noProof/>
              </w:rPr>
              <w:t>Condiciones experimentales</w:t>
            </w:r>
            <w:r w:rsidR="00D57D8A">
              <w:rPr>
                <w:noProof/>
                <w:webHidden/>
              </w:rPr>
              <w:tab/>
            </w:r>
            <w:r w:rsidR="00D57D8A">
              <w:rPr>
                <w:noProof/>
                <w:webHidden/>
              </w:rPr>
              <w:fldChar w:fldCharType="begin"/>
            </w:r>
            <w:r w:rsidR="00D57D8A">
              <w:rPr>
                <w:noProof/>
                <w:webHidden/>
              </w:rPr>
              <w:instrText xml:space="preserve"> PAGEREF _Toc50031446 \h </w:instrText>
            </w:r>
            <w:r w:rsidR="00D57D8A">
              <w:rPr>
                <w:noProof/>
                <w:webHidden/>
              </w:rPr>
            </w:r>
            <w:r w:rsidR="00D57D8A">
              <w:rPr>
                <w:noProof/>
                <w:webHidden/>
              </w:rPr>
              <w:fldChar w:fldCharType="separate"/>
            </w:r>
            <w:r w:rsidR="00D57D8A">
              <w:rPr>
                <w:noProof/>
                <w:webHidden/>
              </w:rPr>
              <w:t>429</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47" w:history="1">
            <w:r w:rsidR="00D57D8A" w:rsidRPr="00251ABB">
              <w:rPr>
                <w:rStyle w:val="Hipervnculo"/>
                <w:noProof/>
              </w:rPr>
              <w:t>3.</w:t>
            </w:r>
            <w:r w:rsidR="00D57D8A">
              <w:rPr>
                <w:b w:val="0"/>
                <w:noProof/>
                <w:sz w:val="22"/>
                <w:szCs w:val="22"/>
                <w:lang w:val="en-US" w:eastAsia="en-US"/>
              </w:rPr>
              <w:tab/>
            </w:r>
            <w:r w:rsidR="00D57D8A" w:rsidRPr="00251ABB">
              <w:rPr>
                <w:rStyle w:val="Hipervnculo"/>
                <w:noProof/>
              </w:rPr>
              <w:t>Resultados y Discusión</w:t>
            </w:r>
            <w:r w:rsidR="00D57D8A">
              <w:rPr>
                <w:noProof/>
                <w:webHidden/>
              </w:rPr>
              <w:tab/>
            </w:r>
            <w:r w:rsidR="00D57D8A">
              <w:rPr>
                <w:noProof/>
                <w:webHidden/>
              </w:rPr>
              <w:fldChar w:fldCharType="begin"/>
            </w:r>
            <w:r w:rsidR="00D57D8A">
              <w:rPr>
                <w:noProof/>
                <w:webHidden/>
              </w:rPr>
              <w:instrText xml:space="preserve"> PAGEREF _Toc50031447 \h </w:instrText>
            </w:r>
            <w:r w:rsidR="00D57D8A">
              <w:rPr>
                <w:noProof/>
                <w:webHidden/>
              </w:rPr>
            </w:r>
            <w:r w:rsidR="00D57D8A">
              <w:rPr>
                <w:noProof/>
                <w:webHidden/>
              </w:rPr>
              <w:fldChar w:fldCharType="separate"/>
            </w:r>
            <w:r w:rsidR="00D57D8A">
              <w:rPr>
                <w:noProof/>
                <w:webHidden/>
              </w:rPr>
              <w:t>430</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48" w:history="1">
            <w:r w:rsidR="00D57D8A" w:rsidRPr="00251ABB">
              <w:rPr>
                <w:rStyle w:val="Hipervnculo"/>
                <w:noProof/>
              </w:rPr>
              <w:t>4.</w:t>
            </w:r>
            <w:r w:rsidR="00D57D8A">
              <w:rPr>
                <w:b w:val="0"/>
                <w:noProof/>
                <w:sz w:val="22"/>
                <w:szCs w:val="22"/>
                <w:lang w:val="en-US" w:eastAsia="en-US"/>
              </w:rPr>
              <w:tab/>
            </w:r>
            <w:r w:rsidR="00D57D8A" w:rsidRPr="00251ABB">
              <w:rPr>
                <w:rStyle w:val="Hipervnculo"/>
                <w:noProof/>
              </w:rPr>
              <w:t>Conclusiones</w:t>
            </w:r>
            <w:r w:rsidR="00D57D8A">
              <w:rPr>
                <w:noProof/>
                <w:webHidden/>
              </w:rPr>
              <w:tab/>
            </w:r>
            <w:r w:rsidR="00D57D8A">
              <w:rPr>
                <w:noProof/>
                <w:webHidden/>
              </w:rPr>
              <w:fldChar w:fldCharType="begin"/>
            </w:r>
            <w:r w:rsidR="00D57D8A">
              <w:rPr>
                <w:noProof/>
                <w:webHidden/>
              </w:rPr>
              <w:instrText xml:space="preserve"> PAGEREF _Toc50031448 \h </w:instrText>
            </w:r>
            <w:r w:rsidR="00D57D8A">
              <w:rPr>
                <w:noProof/>
                <w:webHidden/>
              </w:rPr>
            </w:r>
            <w:r w:rsidR="00D57D8A">
              <w:rPr>
                <w:noProof/>
                <w:webHidden/>
              </w:rPr>
              <w:fldChar w:fldCharType="separate"/>
            </w:r>
            <w:r w:rsidR="00D57D8A">
              <w:rPr>
                <w:noProof/>
                <w:webHidden/>
              </w:rPr>
              <w:t>439</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49" w:history="1">
            <w:r w:rsidR="00D57D8A" w:rsidRPr="00251ABB">
              <w:rPr>
                <w:rStyle w:val="Hipervnculo"/>
                <w:noProof/>
              </w:rPr>
              <w:t>5.</w:t>
            </w:r>
            <w:r w:rsidR="00D57D8A">
              <w:rPr>
                <w:b w:val="0"/>
                <w:noProof/>
                <w:sz w:val="22"/>
                <w:szCs w:val="22"/>
                <w:lang w:val="en-US" w:eastAsia="en-US"/>
              </w:rPr>
              <w:tab/>
            </w:r>
            <w:r w:rsidR="00D57D8A" w:rsidRPr="00251ABB">
              <w:rPr>
                <w:rStyle w:val="Hipervnculo"/>
                <w:noProof/>
              </w:rPr>
              <w:t>Referencias Bibliográficas</w:t>
            </w:r>
            <w:r w:rsidR="00D57D8A">
              <w:rPr>
                <w:noProof/>
                <w:webHidden/>
              </w:rPr>
              <w:tab/>
            </w:r>
            <w:r w:rsidR="00D57D8A">
              <w:rPr>
                <w:noProof/>
                <w:webHidden/>
              </w:rPr>
              <w:fldChar w:fldCharType="begin"/>
            </w:r>
            <w:r w:rsidR="00D57D8A">
              <w:rPr>
                <w:noProof/>
                <w:webHidden/>
              </w:rPr>
              <w:instrText xml:space="preserve"> PAGEREF _Toc50031449 \h </w:instrText>
            </w:r>
            <w:r w:rsidR="00D57D8A">
              <w:rPr>
                <w:noProof/>
                <w:webHidden/>
              </w:rPr>
            </w:r>
            <w:r w:rsidR="00D57D8A">
              <w:rPr>
                <w:noProof/>
                <w:webHidden/>
              </w:rPr>
              <w:fldChar w:fldCharType="separate"/>
            </w:r>
            <w:r w:rsidR="00D57D8A">
              <w:rPr>
                <w:noProof/>
                <w:webHidden/>
              </w:rPr>
              <w:t>440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50" w:history="1">
            <w:r w:rsidR="00D57D8A" w:rsidRPr="00251ABB">
              <w:rPr>
                <w:rStyle w:val="Hipervnculo"/>
                <w:noProof/>
              </w:rPr>
              <w:t>Preconceptos y pensamiento abstracto en alumnos de primer ingreso a la Universidad</w:t>
            </w:r>
            <w:r w:rsidR="00D57D8A">
              <w:rPr>
                <w:noProof/>
                <w:webHidden/>
              </w:rPr>
              <w:tab/>
            </w:r>
            <w:r w:rsidR="00D57D8A">
              <w:rPr>
                <w:noProof/>
                <w:webHidden/>
              </w:rPr>
              <w:fldChar w:fldCharType="begin"/>
            </w:r>
            <w:r w:rsidR="00D57D8A">
              <w:rPr>
                <w:noProof/>
                <w:webHidden/>
              </w:rPr>
              <w:instrText xml:space="preserve"> PAGEREF _Toc50031450 \h </w:instrText>
            </w:r>
            <w:r w:rsidR="00D57D8A">
              <w:rPr>
                <w:noProof/>
                <w:webHidden/>
              </w:rPr>
            </w:r>
            <w:r w:rsidR="00D57D8A">
              <w:rPr>
                <w:noProof/>
                <w:webHidden/>
              </w:rPr>
              <w:fldChar w:fldCharType="separate"/>
            </w:r>
            <w:r w:rsidR="00D57D8A">
              <w:rPr>
                <w:noProof/>
                <w:webHidden/>
              </w:rPr>
              <w:t>441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51" w:history="1">
            <w:r w:rsidR="00D57D8A" w:rsidRPr="00251ABB">
              <w:rPr>
                <w:rStyle w:val="Hipervnculo"/>
                <w:noProof/>
              </w:rPr>
              <w:t>1. Resumen.</w:t>
            </w:r>
            <w:r w:rsidR="00D57D8A">
              <w:rPr>
                <w:noProof/>
                <w:webHidden/>
              </w:rPr>
              <w:tab/>
            </w:r>
            <w:r w:rsidR="00D57D8A">
              <w:rPr>
                <w:noProof/>
                <w:webHidden/>
              </w:rPr>
              <w:fldChar w:fldCharType="begin"/>
            </w:r>
            <w:r w:rsidR="00D57D8A">
              <w:rPr>
                <w:noProof/>
                <w:webHidden/>
              </w:rPr>
              <w:instrText xml:space="preserve"> PAGEREF _Toc50031451 \h </w:instrText>
            </w:r>
            <w:r w:rsidR="00D57D8A">
              <w:rPr>
                <w:noProof/>
                <w:webHidden/>
              </w:rPr>
            </w:r>
            <w:r w:rsidR="00D57D8A">
              <w:rPr>
                <w:noProof/>
                <w:webHidden/>
              </w:rPr>
              <w:fldChar w:fldCharType="separate"/>
            </w:r>
            <w:r w:rsidR="00D57D8A">
              <w:rPr>
                <w:noProof/>
                <w:webHidden/>
              </w:rPr>
              <w:t>441</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52" w:history="1">
            <w:r w:rsidR="00D57D8A" w:rsidRPr="00251ABB">
              <w:rPr>
                <w:rStyle w:val="Hipervnculo"/>
                <w:noProof/>
              </w:rPr>
              <w:t>2.</w:t>
            </w:r>
            <w:r w:rsidR="00D57D8A">
              <w:rPr>
                <w:b w:val="0"/>
                <w:noProof/>
                <w:sz w:val="22"/>
                <w:szCs w:val="22"/>
                <w:lang w:val="en-US" w:eastAsia="en-US"/>
              </w:rPr>
              <w:tab/>
            </w:r>
            <w:r w:rsidR="00D57D8A" w:rsidRPr="00251ABB">
              <w:rPr>
                <w:rStyle w:val="Hipervnculo"/>
                <w:noProof/>
              </w:rPr>
              <w:t>Introducción</w:t>
            </w:r>
            <w:r w:rsidR="00D57D8A">
              <w:rPr>
                <w:noProof/>
                <w:webHidden/>
              </w:rPr>
              <w:tab/>
            </w:r>
            <w:r w:rsidR="00D57D8A">
              <w:rPr>
                <w:noProof/>
                <w:webHidden/>
              </w:rPr>
              <w:fldChar w:fldCharType="begin"/>
            </w:r>
            <w:r w:rsidR="00D57D8A">
              <w:rPr>
                <w:noProof/>
                <w:webHidden/>
              </w:rPr>
              <w:instrText xml:space="preserve"> PAGEREF _Toc50031452 \h </w:instrText>
            </w:r>
            <w:r w:rsidR="00D57D8A">
              <w:rPr>
                <w:noProof/>
                <w:webHidden/>
              </w:rPr>
            </w:r>
            <w:r w:rsidR="00D57D8A">
              <w:rPr>
                <w:noProof/>
                <w:webHidden/>
              </w:rPr>
              <w:fldChar w:fldCharType="separate"/>
            </w:r>
            <w:r w:rsidR="00D57D8A">
              <w:rPr>
                <w:noProof/>
                <w:webHidden/>
              </w:rPr>
              <w:t>442</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53" w:history="1">
            <w:r w:rsidR="00D57D8A" w:rsidRPr="00251ABB">
              <w:rPr>
                <w:rStyle w:val="Hipervnculo"/>
                <w:noProof/>
              </w:rPr>
              <w:t>3.</w:t>
            </w:r>
            <w:r w:rsidR="00D57D8A">
              <w:rPr>
                <w:b w:val="0"/>
                <w:noProof/>
                <w:sz w:val="22"/>
                <w:szCs w:val="22"/>
                <w:lang w:val="en-US" w:eastAsia="en-US"/>
              </w:rPr>
              <w:tab/>
            </w:r>
            <w:r w:rsidR="00D57D8A" w:rsidRPr="00251ABB">
              <w:rPr>
                <w:rStyle w:val="Hipervnculo"/>
                <w:noProof/>
              </w:rPr>
              <w:t>Metodología</w:t>
            </w:r>
            <w:r w:rsidR="00D57D8A">
              <w:rPr>
                <w:noProof/>
                <w:webHidden/>
              </w:rPr>
              <w:tab/>
            </w:r>
            <w:r w:rsidR="00D57D8A">
              <w:rPr>
                <w:noProof/>
                <w:webHidden/>
              </w:rPr>
              <w:fldChar w:fldCharType="begin"/>
            </w:r>
            <w:r w:rsidR="00D57D8A">
              <w:rPr>
                <w:noProof/>
                <w:webHidden/>
              </w:rPr>
              <w:instrText xml:space="preserve"> PAGEREF _Toc50031453 \h </w:instrText>
            </w:r>
            <w:r w:rsidR="00D57D8A">
              <w:rPr>
                <w:noProof/>
                <w:webHidden/>
              </w:rPr>
            </w:r>
            <w:r w:rsidR="00D57D8A">
              <w:rPr>
                <w:noProof/>
                <w:webHidden/>
              </w:rPr>
              <w:fldChar w:fldCharType="separate"/>
            </w:r>
            <w:r w:rsidR="00D57D8A">
              <w:rPr>
                <w:noProof/>
                <w:webHidden/>
              </w:rPr>
              <w:t>442</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54" w:history="1">
            <w:r w:rsidR="00D57D8A" w:rsidRPr="00251ABB">
              <w:rPr>
                <w:rStyle w:val="Hipervnculo"/>
                <w:noProof/>
              </w:rPr>
              <w:t>4.</w:t>
            </w:r>
            <w:r w:rsidR="00D57D8A">
              <w:rPr>
                <w:b w:val="0"/>
                <w:noProof/>
                <w:sz w:val="22"/>
                <w:szCs w:val="22"/>
                <w:lang w:val="en-US" w:eastAsia="en-US"/>
              </w:rPr>
              <w:tab/>
            </w:r>
            <w:r w:rsidR="00D57D8A" w:rsidRPr="00251ABB">
              <w:rPr>
                <w:rStyle w:val="Hipervnculo"/>
                <w:noProof/>
              </w:rPr>
              <w:t>Resultados y discusión</w:t>
            </w:r>
            <w:r w:rsidR="00D57D8A">
              <w:rPr>
                <w:noProof/>
                <w:webHidden/>
              </w:rPr>
              <w:tab/>
            </w:r>
            <w:r w:rsidR="00D57D8A">
              <w:rPr>
                <w:noProof/>
                <w:webHidden/>
              </w:rPr>
              <w:fldChar w:fldCharType="begin"/>
            </w:r>
            <w:r w:rsidR="00D57D8A">
              <w:rPr>
                <w:noProof/>
                <w:webHidden/>
              </w:rPr>
              <w:instrText xml:space="preserve"> PAGEREF _Toc50031454 \h </w:instrText>
            </w:r>
            <w:r w:rsidR="00D57D8A">
              <w:rPr>
                <w:noProof/>
                <w:webHidden/>
              </w:rPr>
            </w:r>
            <w:r w:rsidR="00D57D8A">
              <w:rPr>
                <w:noProof/>
                <w:webHidden/>
              </w:rPr>
              <w:fldChar w:fldCharType="separate"/>
            </w:r>
            <w:r w:rsidR="00D57D8A">
              <w:rPr>
                <w:noProof/>
                <w:webHidden/>
              </w:rPr>
              <w:t>443</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55" w:history="1">
            <w:r w:rsidR="00D57D8A" w:rsidRPr="00251ABB">
              <w:rPr>
                <w:rStyle w:val="Hipervnculo"/>
                <w:noProof/>
              </w:rPr>
              <w:t>5.</w:t>
            </w:r>
            <w:r w:rsidR="00D57D8A">
              <w:rPr>
                <w:b w:val="0"/>
                <w:noProof/>
                <w:sz w:val="22"/>
                <w:szCs w:val="22"/>
                <w:lang w:val="en-US" w:eastAsia="en-US"/>
              </w:rPr>
              <w:tab/>
            </w:r>
            <w:r w:rsidR="00D57D8A" w:rsidRPr="00251ABB">
              <w:rPr>
                <w:rStyle w:val="Hipervnculo"/>
                <w:noProof/>
              </w:rPr>
              <w:t>Conclusiones</w:t>
            </w:r>
            <w:r w:rsidR="00D57D8A">
              <w:rPr>
                <w:noProof/>
                <w:webHidden/>
              </w:rPr>
              <w:tab/>
            </w:r>
            <w:r w:rsidR="00D57D8A">
              <w:rPr>
                <w:noProof/>
                <w:webHidden/>
              </w:rPr>
              <w:fldChar w:fldCharType="begin"/>
            </w:r>
            <w:r w:rsidR="00D57D8A">
              <w:rPr>
                <w:noProof/>
                <w:webHidden/>
              </w:rPr>
              <w:instrText xml:space="preserve"> PAGEREF _Toc50031455 \h </w:instrText>
            </w:r>
            <w:r w:rsidR="00D57D8A">
              <w:rPr>
                <w:noProof/>
                <w:webHidden/>
              </w:rPr>
            </w:r>
            <w:r w:rsidR="00D57D8A">
              <w:rPr>
                <w:noProof/>
                <w:webHidden/>
              </w:rPr>
              <w:fldChar w:fldCharType="separate"/>
            </w:r>
            <w:r w:rsidR="00D57D8A">
              <w:rPr>
                <w:noProof/>
                <w:webHidden/>
              </w:rPr>
              <w:t>447</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56" w:history="1">
            <w:r w:rsidR="00D57D8A" w:rsidRPr="00251ABB">
              <w:rPr>
                <w:rStyle w:val="Hipervnculo"/>
                <w:noProof/>
              </w:rPr>
              <w:t>6.</w:t>
            </w:r>
            <w:r w:rsidR="00D57D8A">
              <w:rPr>
                <w:b w:val="0"/>
                <w:noProof/>
                <w:sz w:val="22"/>
                <w:szCs w:val="22"/>
                <w:lang w:val="en-US" w:eastAsia="en-US"/>
              </w:rPr>
              <w:tab/>
            </w:r>
            <w:r w:rsidR="00D57D8A" w:rsidRPr="00251ABB">
              <w:rPr>
                <w:rStyle w:val="Hipervnculo"/>
                <w:noProof/>
              </w:rPr>
              <w:t>Bibliografía</w:t>
            </w:r>
            <w:r w:rsidR="00D57D8A">
              <w:rPr>
                <w:noProof/>
                <w:webHidden/>
              </w:rPr>
              <w:tab/>
            </w:r>
            <w:r w:rsidR="00D57D8A">
              <w:rPr>
                <w:noProof/>
                <w:webHidden/>
              </w:rPr>
              <w:fldChar w:fldCharType="begin"/>
            </w:r>
            <w:r w:rsidR="00D57D8A">
              <w:rPr>
                <w:noProof/>
                <w:webHidden/>
              </w:rPr>
              <w:instrText xml:space="preserve"> PAGEREF _Toc50031456 \h </w:instrText>
            </w:r>
            <w:r w:rsidR="00D57D8A">
              <w:rPr>
                <w:noProof/>
                <w:webHidden/>
              </w:rPr>
            </w:r>
            <w:r w:rsidR="00D57D8A">
              <w:rPr>
                <w:noProof/>
                <w:webHidden/>
              </w:rPr>
              <w:fldChar w:fldCharType="separate"/>
            </w:r>
            <w:r w:rsidR="00D57D8A">
              <w:rPr>
                <w:noProof/>
                <w:webHidden/>
              </w:rPr>
              <w:t>447</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57" w:history="1">
            <w:r w:rsidR="00D57D8A" w:rsidRPr="00251ABB">
              <w:rPr>
                <w:rStyle w:val="Hipervnculo"/>
                <w:noProof/>
              </w:rPr>
              <w:t>7.</w:t>
            </w:r>
            <w:r w:rsidR="00D57D8A">
              <w:rPr>
                <w:b w:val="0"/>
                <w:noProof/>
                <w:sz w:val="22"/>
                <w:szCs w:val="22"/>
                <w:lang w:val="en-US" w:eastAsia="en-US"/>
              </w:rPr>
              <w:tab/>
            </w:r>
            <w:r w:rsidR="00D57D8A" w:rsidRPr="00251ABB">
              <w:rPr>
                <w:rStyle w:val="Hipervnculo"/>
                <w:noProof/>
              </w:rPr>
              <w:t>Cuestionario</w:t>
            </w:r>
            <w:r w:rsidR="00D57D8A">
              <w:rPr>
                <w:noProof/>
                <w:webHidden/>
              </w:rPr>
              <w:tab/>
            </w:r>
            <w:r w:rsidR="00D57D8A">
              <w:rPr>
                <w:noProof/>
                <w:webHidden/>
              </w:rPr>
              <w:fldChar w:fldCharType="begin"/>
            </w:r>
            <w:r w:rsidR="00D57D8A">
              <w:rPr>
                <w:noProof/>
                <w:webHidden/>
              </w:rPr>
              <w:instrText xml:space="preserve"> PAGEREF _Toc50031457 \h </w:instrText>
            </w:r>
            <w:r w:rsidR="00D57D8A">
              <w:rPr>
                <w:noProof/>
                <w:webHidden/>
              </w:rPr>
            </w:r>
            <w:r w:rsidR="00D57D8A">
              <w:rPr>
                <w:noProof/>
                <w:webHidden/>
              </w:rPr>
              <w:fldChar w:fldCharType="separate"/>
            </w:r>
            <w:r w:rsidR="00D57D8A">
              <w:rPr>
                <w:noProof/>
                <w:webHidden/>
              </w:rPr>
              <w:t>448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58" w:history="1">
            <w:r w:rsidR="00D57D8A" w:rsidRPr="00251ABB">
              <w:rPr>
                <w:rStyle w:val="Hipervnculo"/>
                <w:noProof/>
              </w:rPr>
              <w:t>Simulación de un sistema de medición electrónico didáctico basado en demodulación síncrona para determinar la impedancia eléctrica de un circuito reactivo pasivo</w:t>
            </w:r>
            <w:r w:rsidR="00D57D8A">
              <w:rPr>
                <w:noProof/>
                <w:webHidden/>
              </w:rPr>
              <w:tab/>
            </w:r>
            <w:r w:rsidR="00D57D8A">
              <w:rPr>
                <w:noProof/>
                <w:webHidden/>
              </w:rPr>
              <w:fldChar w:fldCharType="begin"/>
            </w:r>
            <w:r w:rsidR="00D57D8A">
              <w:rPr>
                <w:noProof/>
                <w:webHidden/>
              </w:rPr>
              <w:instrText xml:space="preserve"> PAGEREF _Toc50031458 \h </w:instrText>
            </w:r>
            <w:r w:rsidR="00D57D8A">
              <w:rPr>
                <w:noProof/>
                <w:webHidden/>
              </w:rPr>
            </w:r>
            <w:r w:rsidR="00D57D8A">
              <w:rPr>
                <w:noProof/>
                <w:webHidden/>
              </w:rPr>
              <w:fldChar w:fldCharType="separate"/>
            </w:r>
            <w:r w:rsidR="00D57D8A">
              <w:rPr>
                <w:noProof/>
                <w:webHidden/>
              </w:rPr>
              <w:t>450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59" w:history="1">
            <w:r w:rsidR="00D57D8A" w:rsidRPr="00251ABB">
              <w:rPr>
                <w:rStyle w:val="Hipervnculo"/>
                <w:rFonts w:ascii="Arial" w:hAnsi="Arial" w:cs="Arial"/>
                <w:i/>
                <w:caps/>
                <w:noProof/>
              </w:rPr>
              <w:t>1. R</w:t>
            </w:r>
            <w:r w:rsidR="00D57D8A" w:rsidRPr="00251ABB">
              <w:rPr>
                <w:rStyle w:val="Hipervnculo"/>
                <w:rFonts w:ascii="Arial" w:hAnsi="Arial" w:cs="Arial"/>
                <w:i/>
                <w:noProof/>
              </w:rPr>
              <w:t>esumen</w:t>
            </w:r>
            <w:r w:rsidR="00D57D8A">
              <w:rPr>
                <w:noProof/>
                <w:webHidden/>
              </w:rPr>
              <w:tab/>
            </w:r>
            <w:r w:rsidR="00D57D8A">
              <w:rPr>
                <w:noProof/>
                <w:webHidden/>
              </w:rPr>
              <w:fldChar w:fldCharType="begin"/>
            </w:r>
            <w:r w:rsidR="00D57D8A">
              <w:rPr>
                <w:noProof/>
                <w:webHidden/>
              </w:rPr>
              <w:instrText xml:space="preserve"> PAGEREF _Toc50031459 \h </w:instrText>
            </w:r>
            <w:r w:rsidR="00D57D8A">
              <w:rPr>
                <w:noProof/>
                <w:webHidden/>
              </w:rPr>
            </w:r>
            <w:r w:rsidR="00D57D8A">
              <w:rPr>
                <w:noProof/>
                <w:webHidden/>
              </w:rPr>
              <w:fldChar w:fldCharType="separate"/>
            </w:r>
            <w:r w:rsidR="00D57D8A">
              <w:rPr>
                <w:noProof/>
                <w:webHidden/>
              </w:rPr>
              <w:t>451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60"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ntroducción</w:t>
            </w:r>
            <w:r w:rsidR="00D57D8A">
              <w:rPr>
                <w:noProof/>
                <w:webHidden/>
              </w:rPr>
              <w:tab/>
            </w:r>
            <w:r w:rsidR="00D57D8A">
              <w:rPr>
                <w:noProof/>
                <w:webHidden/>
              </w:rPr>
              <w:fldChar w:fldCharType="begin"/>
            </w:r>
            <w:r w:rsidR="00D57D8A">
              <w:rPr>
                <w:noProof/>
                <w:webHidden/>
              </w:rPr>
              <w:instrText xml:space="preserve"> PAGEREF _Toc50031460 \h </w:instrText>
            </w:r>
            <w:r w:rsidR="00D57D8A">
              <w:rPr>
                <w:noProof/>
                <w:webHidden/>
              </w:rPr>
            </w:r>
            <w:r w:rsidR="00D57D8A">
              <w:rPr>
                <w:noProof/>
                <w:webHidden/>
              </w:rPr>
              <w:fldChar w:fldCharType="separate"/>
            </w:r>
            <w:r w:rsidR="00D57D8A">
              <w:rPr>
                <w:noProof/>
                <w:webHidden/>
              </w:rPr>
              <w:t>451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61" w:history="1">
            <w:r w:rsidR="00D57D8A" w:rsidRPr="00251ABB">
              <w:rPr>
                <w:rStyle w:val="Hipervnculo"/>
                <w:rFonts w:ascii="Arial" w:hAnsi="Arial" w:cs="Arial"/>
                <w:i/>
                <w:caps/>
                <w:noProof/>
              </w:rPr>
              <w:t>3. C</w:t>
            </w:r>
            <w:r w:rsidR="00D57D8A" w:rsidRPr="00251ABB">
              <w:rPr>
                <w:rStyle w:val="Hipervnculo"/>
                <w:rFonts w:ascii="Arial" w:hAnsi="Arial" w:cs="Arial"/>
                <w:i/>
                <w:noProof/>
              </w:rPr>
              <w:t>ondiciones experimentales</w:t>
            </w:r>
            <w:r w:rsidR="00D57D8A">
              <w:rPr>
                <w:noProof/>
                <w:webHidden/>
              </w:rPr>
              <w:tab/>
            </w:r>
            <w:r w:rsidR="00D57D8A">
              <w:rPr>
                <w:noProof/>
                <w:webHidden/>
              </w:rPr>
              <w:fldChar w:fldCharType="begin"/>
            </w:r>
            <w:r w:rsidR="00D57D8A">
              <w:rPr>
                <w:noProof/>
                <w:webHidden/>
              </w:rPr>
              <w:instrText xml:space="preserve"> PAGEREF _Toc50031461 \h </w:instrText>
            </w:r>
            <w:r w:rsidR="00D57D8A">
              <w:rPr>
                <w:noProof/>
                <w:webHidden/>
              </w:rPr>
            </w:r>
            <w:r w:rsidR="00D57D8A">
              <w:rPr>
                <w:noProof/>
                <w:webHidden/>
              </w:rPr>
              <w:fldChar w:fldCharType="separate"/>
            </w:r>
            <w:r w:rsidR="00D57D8A">
              <w:rPr>
                <w:noProof/>
                <w:webHidden/>
              </w:rPr>
              <w:t>452</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462" w:history="1">
            <w:r w:rsidR="00D57D8A" w:rsidRPr="00251ABB">
              <w:rPr>
                <w:rStyle w:val="Hipervnculo"/>
                <w:rFonts w:ascii="Arial" w:eastAsia="Times New Roman" w:hAnsi="Arial" w:cs="Arial"/>
                <w:bCs/>
                <w:i/>
                <w:noProof/>
                <w:lang w:val="es-MX"/>
              </w:rPr>
              <w:t>3.1   Amplificación</w:t>
            </w:r>
            <w:r w:rsidR="00D57D8A">
              <w:rPr>
                <w:noProof/>
                <w:webHidden/>
              </w:rPr>
              <w:tab/>
            </w:r>
            <w:r w:rsidR="00D57D8A">
              <w:rPr>
                <w:noProof/>
                <w:webHidden/>
              </w:rPr>
              <w:fldChar w:fldCharType="begin"/>
            </w:r>
            <w:r w:rsidR="00D57D8A">
              <w:rPr>
                <w:noProof/>
                <w:webHidden/>
              </w:rPr>
              <w:instrText xml:space="preserve"> PAGEREF _Toc50031462 \h </w:instrText>
            </w:r>
            <w:r w:rsidR="00D57D8A">
              <w:rPr>
                <w:noProof/>
                <w:webHidden/>
              </w:rPr>
            </w:r>
            <w:r w:rsidR="00D57D8A">
              <w:rPr>
                <w:noProof/>
                <w:webHidden/>
              </w:rPr>
              <w:fldChar w:fldCharType="separate"/>
            </w:r>
            <w:r w:rsidR="00D57D8A">
              <w:rPr>
                <w:noProof/>
                <w:webHidden/>
              </w:rPr>
              <w:t>453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63" w:history="1">
            <w:r w:rsidR="00D57D8A" w:rsidRPr="00251ABB">
              <w:rPr>
                <w:rStyle w:val="Hipervnculo"/>
                <w:noProof/>
              </w:rPr>
              <w:t>4.Resultados</w:t>
            </w:r>
            <w:r w:rsidR="00D57D8A">
              <w:rPr>
                <w:noProof/>
                <w:webHidden/>
              </w:rPr>
              <w:tab/>
            </w:r>
            <w:r w:rsidR="00D57D8A">
              <w:rPr>
                <w:noProof/>
                <w:webHidden/>
              </w:rPr>
              <w:fldChar w:fldCharType="begin"/>
            </w:r>
            <w:r w:rsidR="00D57D8A">
              <w:rPr>
                <w:noProof/>
                <w:webHidden/>
              </w:rPr>
              <w:instrText xml:space="preserve"> PAGEREF _Toc50031463 \h </w:instrText>
            </w:r>
            <w:r w:rsidR="00D57D8A">
              <w:rPr>
                <w:noProof/>
                <w:webHidden/>
              </w:rPr>
            </w:r>
            <w:r w:rsidR="00D57D8A">
              <w:rPr>
                <w:noProof/>
                <w:webHidden/>
              </w:rPr>
              <w:fldChar w:fldCharType="separate"/>
            </w:r>
            <w:r w:rsidR="00D57D8A">
              <w:rPr>
                <w:noProof/>
                <w:webHidden/>
              </w:rPr>
              <w:t>466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64" w:history="1">
            <w:r w:rsidR="00D57D8A" w:rsidRPr="00251ABB">
              <w:rPr>
                <w:rStyle w:val="Hipervnculo"/>
                <w:noProof/>
              </w:rPr>
              <w:t>5.Conclusiones</w:t>
            </w:r>
            <w:r w:rsidR="00D57D8A">
              <w:rPr>
                <w:noProof/>
                <w:webHidden/>
              </w:rPr>
              <w:tab/>
            </w:r>
            <w:r w:rsidR="00D57D8A">
              <w:rPr>
                <w:noProof/>
                <w:webHidden/>
              </w:rPr>
              <w:fldChar w:fldCharType="begin"/>
            </w:r>
            <w:r w:rsidR="00D57D8A">
              <w:rPr>
                <w:noProof/>
                <w:webHidden/>
              </w:rPr>
              <w:instrText xml:space="preserve"> PAGEREF _Toc50031464 \h </w:instrText>
            </w:r>
            <w:r w:rsidR="00D57D8A">
              <w:rPr>
                <w:noProof/>
                <w:webHidden/>
              </w:rPr>
            </w:r>
            <w:r w:rsidR="00D57D8A">
              <w:rPr>
                <w:noProof/>
                <w:webHidden/>
              </w:rPr>
              <w:fldChar w:fldCharType="separate"/>
            </w:r>
            <w:r w:rsidR="00D57D8A">
              <w:rPr>
                <w:noProof/>
                <w:webHidden/>
              </w:rPr>
              <w:t>468</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65" w:history="1">
            <w:r w:rsidR="00D57D8A" w:rsidRPr="00251ABB">
              <w:rPr>
                <w:rStyle w:val="Hipervnculo"/>
                <w:noProof/>
                <w:lang w:eastAsia="en-US"/>
              </w:rPr>
              <w:t>6.</w:t>
            </w:r>
            <w:r w:rsidR="00D57D8A">
              <w:rPr>
                <w:b w:val="0"/>
                <w:noProof/>
                <w:sz w:val="22"/>
                <w:szCs w:val="22"/>
                <w:lang w:val="en-US" w:eastAsia="en-US"/>
              </w:rPr>
              <w:tab/>
            </w:r>
            <w:r w:rsidR="00D57D8A" w:rsidRPr="00251ABB">
              <w:rPr>
                <w:rStyle w:val="Hipervnculo"/>
                <w:noProof/>
              </w:rPr>
              <w:t>Referencias</w:t>
            </w:r>
            <w:r w:rsidR="00D57D8A">
              <w:rPr>
                <w:noProof/>
                <w:webHidden/>
              </w:rPr>
              <w:tab/>
            </w:r>
            <w:r w:rsidR="00D57D8A">
              <w:rPr>
                <w:noProof/>
                <w:webHidden/>
              </w:rPr>
              <w:fldChar w:fldCharType="begin"/>
            </w:r>
            <w:r w:rsidR="00D57D8A">
              <w:rPr>
                <w:noProof/>
                <w:webHidden/>
              </w:rPr>
              <w:instrText xml:space="preserve"> PAGEREF _Toc50031465 \h </w:instrText>
            </w:r>
            <w:r w:rsidR="00D57D8A">
              <w:rPr>
                <w:noProof/>
                <w:webHidden/>
              </w:rPr>
            </w:r>
            <w:r w:rsidR="00D57D8A">
              <w:rPr>
                <w:noProof/>
                <w:webHidden/>
              </w:rPr>
              <w:fldChar w:fldCharType="separate"/>
            </w:r>
            <w:r w:rsidR="00D57D8A">
              <w:rPr>
                <w:noProof/>
                <w:webHidden/>
              </w:rPr>
              <w:t>469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66" w:history="1">
            <w:r w:rsidR="00D57D8A" w:rsidRPr="00251ABB">
              <w:rPr>
                <w:rStyle w:val="Hipervnculo"/>
                <w:noProof/>
                <w:lang w:val="en-US"/>
              </w:rPr>
              <w:t>Student-led scientific research experiences as a tool for early training of young scientists in a computational medical physics research laboratory</w:t>
            </w:r>
            <w:r w:rsidR="00D57D8A">
              <w:rPr>
                <w:noProof/>
                <w:webHidden/>
              </w:rPr>
              <w:tab/>
            </w:r>
            <w:r w:rsidR="00D57D8A">
              <w:rPr>
                <w:noProof/>
                <w:webHidden/>
              </w:rPr>
              <w:fldChar w:fldCharType="begin"/>
            </w:r>
            <w:r w:rsidR="00D57D8A">
              <w:rPr>
                <w:noProof/>
                <w:webHidden/>
              </w:rPr>
              <w:instrText xml:space="preserve"> PAGEREF _Toc50031466 \h </w:instrText>
            </w:r>
            <w:r w:rsidR="00D57D8A">
              <w:rPr>
                <w:noProof/>
                <w:webHidden/>
              </w:rPr>
            </w:r>
            <w:r w:rsidR="00D57D8A">
              <w:rPr>
                <w:noProof/>
                <w:webHidden/>
              </w:rPr>
              <w:fldChar w:fldCharType="separate"/>
            </w:r>
            <w:r w:rsidR="00D57D8A">
              <w:rPr>
                <w:noProof/>
                <w:webHidden/>
              </w:rPr>
              <w:t>469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67" w:history="1">
            <w:r w:rsidR="00D57D8A" w:rsidRPr="00251ABB">
              <w:rPr>
                <w:rStyle w:val="Hipervnculo"/>
                <w:noProof/>
                <w:lang w:val="en-US"/>
              </w:rPr>
              <w:t>1. Abstract</w:t>
            </w:r>
            <w:r w:rsidR="00D57D8A">
              <w:rPr>
                <w:noProof/>
                <w:webHidden/>
              </w:rPr>
              <w:tab/>
            </w:r>
            <w:r w:rsidR="00D57D8A">
              <w:rPr>
                <w:noProof/>
                <w:webHidden/>
              </w:rPr>
              <w:fldChar w:fldCharType="begin"/>
            </w:r>
            <w:r w:rsidR="00D57D8A">
              <w:rPr>
                <w:noProof/>
                <w:webHidden/>
              </w:rPr>
              <w:instrText xml:space="preserve"> PAGEREF _Toc50031467 \h </w:instrText>
            </w:r>
            <w:r w:rsidR="00D57D8A">
              <w:rPr>
                <w:noProof/>
                <w:webHidden/>
              </w:rPr>
            </w:r>
            <w:r w:rsidR="00D57D8A">
              <w:rPr>
                <w:noProof/>
                <w:webHidden/>
              </w:rPr>
              <w:fldChar w:fldCharType="separate"/>
            </w:r>
            <w:r w:rsidR="00D57D8A">
              <w:rPr>
                <w:noProof/>
                <w:webHidden/>
              </w:rPr>
              <w:t>469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68" w:history="1">
            <w:r w:rsidR="00D57D8A" w:rsidRPr="00251ABB">
              <w:rPr>
                <w:rStyle w:val="Hipervnculo"/>
                <w:noProof/>
                <w:lang w:val="en-US"/>
              </w:rPr>
              <w:t>2. Introduction</w:t>
            </w:r>
            <w:r w:rsidR="00D57D8A">
              <w:rPr>
                <w:noProof/>
                <w:webHidden/>
              </w:rPr>
              <w:tab/>
            </w:r>
            <w:r w:rsidR="00D57D8A">
              <w:rPr>
                <w:noProof/>
                <w:webHidden/>
              </w:rPr>
              <w:fldChar w:fldCharType="begin"/>
            </w:r>
            <w:r w:rsidR="00D57D8A">
              <w:rPr>
                <w:noProof/>
                <w:webHidden/>
              </w:rPr>
              <w:instrText xml:space="preserve"> PAGEREF _Toc50031468 \h </w:instrText>
            </w:r>
            <w:r w:rsidR="00D57D8A">
              <w:rPr>
                <w:noProof/>
                <w:webHidden/>
              </w:rPr>
            </w:r>
            <w:r w:rsidR="00D57D8A">
              <w:rPr>
                <w:noProof/>
                <w:webHidden/>
              </w:rPr>
              <w:fldChar w:fldCharType="separate"/>
            </w:r>
            <w:r w:rsidR="00D57D8A">
              <w:rPr>
                <w:noProof/>
                <w:webHidden/>
              </w:rPr>
              <w:t>470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69" w:history="1">
            <w:r w:rsidR="00D57D8A" w:rsidRPr="00251ABB">
              <w:rPr>
                <w:rStyle w:val="Hipervnculo"/>
                <w:noProof/>
                <w:lang w:val="en-US"/>
              </w:rPr>
              <w:t>3. Experimental conditions</w:t>
            </w:r>
            <w:r w:rsidR="00D57D8A">
              <w:rPr>
                <w:noProof/>
                <w:webHidden/>
              </w:rPr>
              <w:tab/>
            </w:r>
            <w:r w:rsidR="00D57D8A">
              <w:rPr>
                <w:noProof/>
                <w:webHidden/>
              </w:rPr>
              <w:fldChar w:fldCharType="begin"/>
            </w:r>
            <w:r w:rsidR="00D57D8A">
              <w:rPr>
                <w:noProof/>
                <w:webHidden/>
              </w:rPr>
              <w:instrText xml:space="preserve"> PAGEREF _Toc50031469 \h </w:instrText>
            </w:r>
            <w:r w:rsidR="00D57D8A">
              <w:rPr>
                <w:noProof/>
                <w:webHidden/>
              </w:rPr>
            </w:r>
            <w:r w:rsidR="00D57D8A">
              <w:rPr>
                <w:noProof/>
                <w:webHidden/>
              </w:rPr>
              <w:fldChar w:fldCharType="separate"/>
            </w:r>
            <w:r w:rsidR="00D57D8A">
              <w:rPr>
                <w:noProof/>
                <w:webHidden/>
              </w:rPr>
              <w:t>471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70" w:history="1">
            <w:r w:rsidR="00D57D8A" w:rsidRPr="00251ABB">
              <w:rPr>
                <w:rStyle w:val="Hipervnculo"/>
                <w:noProof/>
                <w:lang w:val="en-US"/>
              </w:rPr>
              <w:t>4. Results and discussion</w:t>
            </w:r>
            <w:r w:rsidR="00D57D8A">
              <w:rPr>
                <w:noProof/>
                <w:webHidden/>
              </w:rPr>
              <w:tab/>
            </w:r>
            <w:r w:rsidR="00D57D8A">
              <w:rPr>
                <w:noProof/>
                <w:webHidden/>
              </w:rPr>
              <w:fldChar w:fldCharType="begin"/>
            </w:r>
            <w:r w:rsidR="00D57D8A">
              <w:rPr>
                <w:noProof/>
                <w:webHidden/>
              </w:rPr>
              <w:instrText xml:space="preserve"> PAGEREF _Toc50031470 \h </w:instrText>
            </w:r>
            <w:r w:rsidR="00D57D8A">
              <w:rPr>
                <w:noProof/>
                <w:webHidden/>
              </w:rPr>
            </w:r>
            <w:r w:rsidR="00D57D8A">
              <w:rPr>
                <w:noProof/>
                <w:webHidden/>
              </w:rPr>
              <w:fldChar w:fldCharType="separate"/>
            </w:r>
            <w:r w:rsidR="00D57D8A">
              <w:rPr>
                <w:noProof/>
                <w:webHidden/>
              </w:rPr>
              <w:t>474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71" w:history="1">
            <w:r w:rsidR="00D57D8A" w:rsidRPr="00251ABB">
              <w:rPr>
                <w:rStyle w:val="Hipervnculo"/>
                <w:noProof/>
                <w:lang w:val="en-US"/>
              </w:rPr>
              <w:t>5. Conclusions</w:t>
            </w:r>
            <w:r w:rsidR="00D57D8A">
              <w:rPr>
                <w:noProof/>
                <w:webHidden/>
              </w:rPr>
              <w:tab/>
            </w:r>
            <w:r w:rsidR="00D57D8A">
              <w:rPr>
                <w:noProof/>
                <w:webHidden/>
              </w:rPr>
              <w:fldChar w:fldCharType="begin"/>
            </w:r>
            <w:r w:rsidR="00D57D8A">
              <w:rPr>
                <w:noProof/>
                <w:webHidden/>
              </w:rPr>
              <w:instrText xml:space="preserve"> PAGEREF _Toc50031471 \h </w:instrText>
            </w:r>
            <w:r w:rsidR="00D57D8A">
              <w:rPr>
                <w:noProof/>
                <w:webHidden/>
              </w:rPr>
            </w:r>
            <w:r w:rsidR="00D57D8A">
              <w:rPr>
                <w:noProof/>
                <w:webHidden/>
              </w:rPr>
              <w:fldChar w:fldCharType="separate"/>
            </w:r>
            <w:r w:rsidR="00D57D8A">
              <w:rPr>
                <w:noProof/>
                <w:webHidden/>
              </w:rPr>
              <w:t>476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72" w:history="1">
            <w:r w:rsidR="00D57D8A" w:rsidRPr="00251ABB">
              <w:rPr>
                <w:rStyle w:val="Hipervnculo"/>
                <w:noProof/>
              </w:rPr>
              <w:t>6. Bibliography</w:t>
            </w:r>
            <w:r w:rsidR="00D57D8A">
              <w:rPr>
                <w:noProof/>
                <w:webHidden/>
              </w:rPr>
              <w:tab/>
            </w:r>
            <w:r w:rsidR="00D57D8A">
              <w:rPr>
                <w:noProof/>
                <w:webHidden/>
              </w:rPr>
              <w:fldChar w:fldCharType="begin"/>
            </w:r>
            <w:r w:rsidR="00D57D8A">
              <w:rPr>
                <w:noProof/>
                <w:webHidden/>
              </w:rPr>
              <w:instrText xml:space="preserve"> PAGEREF _Toc50031472 \h </w:instrText>
            </w:r>
            <w:r w:rsidR="00D57D8A">
              <w:rPr>
                <w:noProof/>
                <w:webHidden/>
              </w:rPr>
            </w:r>
            <w:r w:rsidR="00D57D8A">
              <w:rPr>
                <w:noProof/>
                <w:webHidden/>
              </w:rPr>
              <w:fldChar w:fldCharType="separate"/>
            </w:r>
            <w:r w:rsidR="00D57D8A">
              <w:rPr>
                <w:noProof/>
                <w:webHidden/>
              </w:rPr>
              <w:t>477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73" w:history="1">
            <w:r w:rsidR="00D57D8A" w:rsidRPr="00251ABB">
              <w:rPr>
                <w:rStyle w:val="Hipervnculo"/>
                <w:noProof/>
              </w:rPr>
              <w:t>Estudio comparativo de la adsorción de aluminio de soluciones acuosas usando quitosano y cascarilla de arroz</w:t>
            </w:r>
            <w:r w:rsidR="00D57D8A">
              <w:rPr>
                <w:noProof/>
                <w:webHidden/>
              </w:rPr>
              <w:tab/>
            </w:r>
            <w:r w:rsidR="00D57D8A">
              <w:rPr>
                <w:noProof/>
                <w:webHidden/>
              </w:rPr>
              <w:fldChar w:fldCharType="begin"/>
            </w:r>
            <w:r w:rsidR="00D57D8A">
              <w:rPr>
                <w:noProof/>
                <w:webHidden/>
              </w:rPr>
              <w:instrText xml:space="preserve"> PAGEREF _Toc50031473 \h </w:instrText>
            </w:r>
            <w:r w:rsidR="00D57D8A">
              <w:rPr>
                <w:noProof/>
                <w:webHidden/>
              </w:rPr>
            </w:r>
            <w:r w:rsidR="00D57D8A">
              <w:rPr>
                <w:noProof/>
                <w:webHidden/>
              </w:rPr>
              <w:fldChar w:fldCharType="separate"/>
            </w:r>
            <w:r w:rsidR="00D57D8A">
              <w:rPr>
                <w:noProof/>
                <w:webHidden/>
              </w:rPr>
              <w:t>477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74" w:history="1">
            <w:r w:rsidR="00D57D8A" w:rsidRPr="00251ABB">
              <w:rPr>
                <w:rStyle w:val="Hipervnculo"/>
                <w:rFonts w:ascii="Arial" w:hAnsi="Arial" w:cs="Arial"/>
                <w:i/>
                <w:caps/>
                <w:noProof/>
              </w:rPr>
              <w:t>1. R</w:t>
            </w:r>
            <w:r w:rsidR="00D57D8A" w:rsidRPr="00251ABB">
              <w:rPr>
                <w:rStyle w:val="Hipervnculo"/>
                <w:rFonts w:ascii="Arial" w:hAnsi="Arial" w:cs="Arial"/>
                <w:i/>
                <w:noProof/>
              </w:rPr>
              <w:t>esumen</w:t>
            </w:r>
            <w:r w:rsidR="00D57D8A">
              <w:rPr>
                <w:noProof/>
                <w:webHidden/>
              </w:rPr>
              <w:tab/>
            </w:r>
            <w:r w:rsidR="00D57D8A">
              <w:rPr>
                <w:noProof/>
                <w:webHidden/>
              </w:rPr>
              <w:fldChar w:fldCharType="begin"/>
            </w:r>
            <w:r w:rsidR="00D57D8A">
              <w:rPr>
                <w:noProof/>
                <w:webHidden/>
              </w:rPr>
              <w:instrText xml:space="preserve"> PAGEREF _Toc50031474 \h </w:instrText>
            </w:r>
            <w:r w:rsidR="00D57D8A">
              <w:rPr>
                <w:noProof/>
                <w:webHidden/>
              </w:rPr>
            </w:r>
            <w:r w:rsidR="00D57D8A">
              <w:rPr>
                <w:noProof/>
                <w:webHidden/>
              </w:rPr>
              <w:fldChar w:fldCharType="separate"/>
            </w:r>
            <w:r w:rsidR="00D57D8A">
              <w:rPr>
                <w:noProof/>
                <w:webHidden/>
              </w:rPr>
              <w:t>478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75"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ntroducción</w:t>
            </w:r>
            <w:r w:rsidR="00D57D8A">
              <w:rPr>
                <w:noProof/>
                <w:webHidden/>
              </w:rPr>
              <w:tab/>
            </w:r>
            <w:r w:rsidR="00D57D8A">
              <w:rPr>
                <w:noProof/>
                <w:webHidden/>
              </w:rPr>
              <w:fldChar w:fldCharType="begin"/>
            </w:r>
            <w:r w:rsidR="00D57D8A">
              <w:rPr>
                <w:noProof/>
                <w:webHidden/>
              </w:rPr>
              <w:instrText xml:space="preserve"> PAGEREF _Toc50031475 \h </w:instrText>
            </w:r>
            <w:r w:rsidR="00D57D8A">
              <w:rPr>
                <w:noProof/>
                <w:webHidden/>
              </w:rPr>
            </w:r>
            <w:r w:rsidR="00D57D8A">
              <w:rPr>
                <w:noProof/>
                <w:webHidden/>
              </w:rPr>
              <w:fldChar w:fldCharType="separate"/>
            </w:r>
            <w:r w:rsidR="00D57D8A">
              <w:rPr>
                <w:noProof/>
                <w:webHidden/>
              </w:rPr>
              <w:t>478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76" w:history="1">
            <w:r w:rsidR="00D57D8A" w:rsidRPr="00251ABB">
              <w:rPr>
                <w:rStyle w:val="Hipervnculo"/>
                <w:noProof/>
              </w:rPr>
              <w:t>3. Condiciones experimentales</w:t>
            </w:r>
            <w:r w:rsidR="00D57D8A">
              <w:rPr>
                <w:noProof/>
                <w:webHidden/>
              </w:rPr>
              <w:tab/>
            </w:r>
            <w:r w:rsidR="00D57D8A">
              <w:rPr>
                <w:noProof/>
                <w:webHidden/>
              </w:rPr>
              <w:fldChar w:fldCharType="begin"/>
            </w:r>
            <w:r w:rsidR="00D57D8A">
              <w:rPr>
                <w:noProof/>
                <w:webHidden/>
              </w:rPr>
              <w:instrText xml:space="preserve"> PAGEREF _Toc50031476 \h </w:instrText>
            </w:r>
            <w:r w:rsidR="00D57D8A">
              <w:rPr>
                <w:noProof/>
                <w:webHidden/>
              </w:rPr>
            </w:r>
            <w:r w:rsidR="00D57D8A">
              <w:rPr>
                <w:noProof/>
                <w:webHidden/>
              </w:rPr>
              <w:fldChar w:fldCharType="separate"/>
            </w:r>
            <w:r w:rsidR="00D57D8A">
              <w:rPr>
                <w:noProof/>
                <w:webHidden/>
              </w:rPr>
              <w:t>479</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477" w:history="1">
            <w:r w:rsidR="00D57D8A" w:rsidRPr="00251ABB">
              <w:rPr>
                <w:rStyle w:val="Hipervnculo"/>
                <w:rFonts w:ascii="Arial" w:hAnsi="Arial" w:cs="Arial"/>
                <w:bCs/>
                <w:i/>
                <w:noProof/>
              </w:rPr>
              <w:t>3.2 Efecto del pH inicial en el porcentaje de remoción de aluminio</w:t>
            </w:r>
            <w:r w:rsidR="00D57D8A">
              <w:rPr>
                <w:noProof/>
                <w:webHidden/>
              </w:rPr>
              <w:tab/>
            </w:r>
            <w:r w:rsidR="00D57D8A">
              <w:rPr>
                <w:noProof/>
                <w:webHidden/>
              </w:rPr>
              <w:fldChar w:fldCharType="begin"/>
            </w:r>
            <w:r w:rsidR="00D57D8A">
              <w:rPr>
                <w:noProof/>
                <w:webHidden/>
              </w:rPr>
              <w:instrText xml:space="preserve"> PAGEREF _Toc50031477 \h </w:instrText>
            </w:r>
            <w:r w:rsidR="00D57D8A">
              <w:rPr>
                <w:noProof/>
                <w:webHidden/>
              </w:rPr>
            </w:r>
            <w:r w:rsidR="00D57D8A">
              <w:rPr>
                <w:noProof/>
                <w:webHidden/>
              </w:rPr>
              <w:fldChar w:fldCharType="separate"/>
            </w:r>
            <w:r w:rsidR="00D57D8A">
              <w:rPr>
                <w:noProof/>
                <w:webHidden/>
              </w:rPr>
              <w:t>479</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478" w:history="1">
            <w:r w:rsidR="00D57D8A" w:rsidRPr="00251ABB">
              <w:rPr>
                <w:rStyle w:val="Hipervnculo"/>
                <w:rFonts w:ascii="Arial" w:hAnsi="Arial" w:cs="Arial"/>
                <w:i/>
                <w:noProof/>
              </w:rPr>
              <w:t>3.3 Determinación de las isotermas de adsorción de Aluminio</w:t>
            </w:r>
            <w:r w:rsidR="00D57D8A">
              <w:rPr>
                <w:noProof/>
                <w:webHidden/>
              </w:rPr>
              <w:tab/>
            </w:r>
            <w:r w:rsidR="00D57D8A">
              <w:rPr>
                <w:noProof/>
                <w:webHidden/>
              </w:rPr>
              <w:fldChar w:fldCharType="begin"/>
            </w:r>
            <w:r w:rsidR="00D57D8A">
              <w:rPr>
                <w:noProof/>
                <w:webHidden/>
              </w:rPr>
              <w:instrText xml:space="preserve"> PAGEREF _Toc50031478 \h </w:instrText>
            </w:r>
            <w:r w:rsidR="00D57D8A">
              <w:rPr>
                <w:noProof/>
                <w:webHidden/>
              </w:rPr>
            </w:r>
            <w:r w:rsidR="00D57D8A">
              <w:rPr>
                <w:noProof/>
                <w:webHidden/>
              </w:rPr>
              <w:fldChar w:fldCharType="separate"/>
            </w:r>
            <w:r w:rsidR="00D57D8A">
              <w:rPr>
                <w:noProof/>
                <w:webHidden/>
              </w:rPr>
              <w:t>480</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479" w:history="1">
            <w:r w:rsidR="00D57D8A" w:rsidRPr="00251ABB">
              <w:rPr>
                <w:rStyle w:val="Hipervnculo"/>
                <w:rFonts w:ascii="Arial" w:hAnsi="Arial" w:cs="Arial"/>
                <w:i/>
                <w:noProof/>
              </w:rPr>
              <w:t>3.4 Cinética de adsorción de Aluminio</w:t>
            </w:r>
            <w:r w:rsidR="00D57D8A">
              <w:rPr>
                <w:noProof/>
                <w:webHidden/>
              </w:rPr>
              <w:tab/>
            </w:r>
            <w:r w:rsidR="00D57D8A">
              <w:rPr>
                <w:noProof/>
                <w:webHidden/>
              </w:rPr>
              <w:fldChar w:fldCharType="begin"/>
            </w:r>
            <w:r w:rsidR="00D57D8A">
              <w:rPr>
                <w:noProof/>
                <w:webHidden/>
              </w:rPr>
              <w:instrText xml:space="preserve"> PAGEREF _Toc50031479 \h </w:instrText>
            </w:r>
            <w:r w:rsidR="00D57D8A">
              <w:rPr>
                <w:noProof/>
                <w:webHidden/>
              </w:rPr>
            </w:r>
            <w:r w:rsidR="00D57D8A">
              <w:rPr>
                <w:noProof/>
                <w:webHidden/>
              </w:rPr>
              <w:fldChar w:fldCharType="separate"/>
            </w:r>
            <w:r w:rsidR="00D57D8A">
              <w:rPr>
                <w:noProof/>
                <w:webHidden/>
              </w:rPr>
              <w:t>480</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480" w:history="1">
            <w:r w:rsidR="00D57D8A" w:rsidRPr="00251ABB">
              <w:rPr>
                <w:rStyle w:val="Hipervnculo"/>
                <w:rFonts w:ascii="Arial" w:hAnsi="Arial" w:cs="Arial"/>
                <w:i/>
                <w:noProof/>
              </w:rPr>
              <w:t>3.5 Aplicación de los bioadsorbentes en agua potable</w:t>
            </w:r>
            <w:r w:rsidR="00D57D8A">
              <w:rPr>
                <w:noProof/>
                <w:webHidden/>
              </w:rPr>
              <w:tab/>
            </w:r>
            <w:r w:rsidR="00D57D8A">
              <w:rPr>
                <w:noProof/>
                <w:webHidden/>
              </w:rPr>
              <w:fldChar w:fldCharType="begin"/>
            </w:r>
            <w:r w:rsidR="00D57D8A">
              <w:rPr>
                <w:noProof/>
                <w:webHidden/>
              </w:rPr>
              <w:instrText xml:space="preserve"> PAGEREF _Toc50031480 \h </w:instrText>
            </w:r>
            <w:r w:rsidR="00D57D8A">
              <w:rPr>
                <w:noProof/>
                <w:webHidden/>
              </w:rPr>
            </w:r>
            <w:r w:rsidR="00D57D8A">
              <w:rPr>
                <w:noProof/>
                <w:webHidden/>
              </w:rPr>
              <w:fldChar w:fldCharType="separate"/>
            </w:r>
            <w:r w:rsidR="00D57D8A">
              <w:rPr>
                <w:noProof/>
                <w:webHidden/>
              </w:rPr>
              <w:t>481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81" w:history="1">
            <w:r w:rsidR="00D57D8A" w:rsidRPr="00251ABB">
              <w:rPr>
                <w:rStyle w:val="Hipervnculo"/>
                <w:noProof/>
              </w:rPr>
              <w:t>4. Resultados y discusión</w:t>
            </w:r>
            <w:r w:rsidR="00D57D8A">
              <w:rPr>
                <w:noProof/>
                <w:webHidden/>
              </w:rPr>
              <w:tab/>
            </w:r>
            <w:r w:rsidR="00D57D8A">
              <w:rPr>
                <w:noProof/>
                <w:webHidden/>
              </w:rPr>
              <w:fldChar w:fldCharType="begin"/>
            </w:r>
            <w:r w:rsidR="00D57D8A">
              <w:rPr>
                <w:noProof/>
                <w:webHidden/>
              </w:rPr>
              <w:instrText xml:space="preserve"> PAGEREF _Toc50031481 \h </w:instrText>
            </w:r>
            <w:r w:rsidR="00D57D8A">
              <w:rPr>
                <w:noProof/>
                <w:webHidden/>
              </w:rPr>
            </w:r>
            <w:r w:rsidR="00D57D8A">
              <w:rPr>
                <w:noProof/>
                <w:webHidden/>
              </w:rPr>
              <w:fldChar w:fldCharType="separate"/>
            </w:r>
            <w:r w:rsidR="00D57D8A">
              <w:rPr>
                <w:noProof/>
                <w:webHidden/>
              </w:rPr>
              <w:t>481</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482" w:history="1">
            <w:r w:rsidR="00D57D8A" w:rsidRPr="00251ABB">
              <w:rPr>
                <w:rStyle w:val="Hipervnculo"/>
                <w:rFonts w:ascii="Arial" w:hAnsi="Arial" w:cs="Arial"/>
                <w:i/>
                <w:noProof/>
              </w:rPr>
              <w:t>4.1 Caracterización de los bioadsorbente por Espectroscopia IR</w:t>
            </w:r>
            <w:r w:rsidR="00D57D8A">
              <w:rPr>
                <w:noProof/>
                <w:webHidden/>
              </w:rPr>
              <w:tab/>
            </w:r>
            <w:r w:rsidR="00D57D8A">
              <w:rPr>
                <w:noProof/>
                <w:webHidden/>
              </w:rPr>
              <w:fldChar w:fldCharType="begin"/>
            </w:r>
            <w:r w:rsidR="00D57D8A">
              <w:rPr>
                <w:noProof/>
                <w:webHidden/>
              </w:rPr>
              <w:instrText xml:space="preserve"> PAGEREF _Toc50031482 \h </w:instrText>
            </w:r>
            <w:r w:rsidR="00D57D8A">
              <w:rPr>
                <w:noProof/>
                <w:webHidden/>
              </w:rPr>
            </w:r>
            <w:r w:rsidR="00D57D8A">
              <w:rPr>
                <w:noProof/>
                <w:webHidden/>
              </w:rPr>
              <w:fldChar w:fldCharType="separate"/>
            </w:r>
            <w:r w:rsidR="00D57D8A">
              <w:rPr>
                <w:noProof/>
                <w:webHidden/>
              </w:rPr>
              <w:t>481</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483" w:history="1">
            <w:r w:rsidR="00D57D8A" w:rsidRPr="00251ABB">
              <w:rPr>
                <w:rStyle w:val="Hipervnculo"/>
                <w:rFonts w:ascii="Arial" w:hAnsi="Arial" w:cs="Arial"/>
                <w:bCs/>
                <w:i/>
                <w:noProof/>
              </w:rPr>
              <w:t>4.2 Efecto del pH inicial en el porcentaje de remoción de aluminio</w:t>
            </w:r>
            <w:r w:rsidR="00D57D8A">
              <w:rPr>
                <w:noProof/>
                <w:webHidden/>
              </w:rPr>
              <w:tab/>
            </w:r>
            <w:r w:rsidR="00D57D8A">
              <w:rPr>
                <w:noProof/>
                <w:webHidden/>
              </w:rPr>
              <w:fldChar w:fldCharType="begin"/>
            </w:r>
            <w:r w:rsidR="00D57D8A">
              <w:rPr>
                <w:noProof/>
                <w:webHidden/>
              </w:rPr>
              <w:instrText xml:space="preserve"> PAGEREF _Toc50031483 \h </w:instrText>
            </w:r>
            <w:r w:rsidR="00D57D8A">
              <w:rPr>
                <w:noProof/>
                <w:webHidden/>
              </w:rPr>
            </w:r>
            <w:r w:rsidR="00D57D8A">
              <w:rPr>
                <w:noProof/>
                <w:webHidden/>
              </w:rPr>
              <w:fldChar w:fldCharType="separate"/>
            </w:r>
            <w:r w:rsidR="00D57D8A">
              <w:rPr>
                <w:noProof/>
                <w:webHidden/>
              </w:rPr>
              <w:t>483</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484" w:history="1">
            <w:r w:rsidR="00D57D8A" w:rsidRPr="00251ABB">
              <w:rPr>
                <w:rStyle w:val="Hipervnculo"/>
                <w:rFonts w:ascii="Arial" w:hAnsi="Arial" w:cs="Arial"/>
                <w:bCs/>
                <w:i/>
                <w:noProof/>
              </w:rPr>
              <w:t>4.3 Determinación de las isotermas de adsorción de Aluminio</w:t>
            </w:r>
            <w:r w:rsidR="00D57D8A">
              <w:rPr>
                <w:noProof/>
                <w:webHidden/>
              </w:rPr>
              <w:tab/>
            </w:r>
            <w:r w:rsidR="00D57D8A">
              <w:rPr>
                <w:noProof/>
                <w:webHidden/>
              </w:rPr>
              <w:fldChar w:fldCharType="begin"/>
            </w:r>
            <w:r w:rsidR="00D57D8A">
              <w:rPr>
                <w:noProof/>
                <w:webHidden/>
              </w:rPr>
              <w:instrText xml:space="preserve"> PAGEREF _Toc50031484 \h </w:instrText>
            </w:r>
            <w:r w:rsidR="00D57D8A">
              <w:rPr>
                <w:noProof/>
                <w:webHidden/>
              </w:rPr>
            </w:r>
            <w:r w:rsidR="00D57D8A">
              <w:rPr>
                <w:noProof/>
                <w:webHidden/>
              </w:rPr>
              <w:fldChar w:fldCharType="separate"/>
            </w:r>
            <w:r w:rsidR="00D57D8A">
              <w:rPr>
                <w:noProof/>
                <w:webHidden/>
              </w:rPr>
              <w:t>484</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485" w:history="1">
            <w:r w:rsidR="00D57D8A" w:rsidRPr="00251ABB">
              <w:rPr>
                <w:rStyle w:val="Hipervnculo"/>
                <w:rFonts w:ascii="Arial" w:hAnsi="Arial" w:cs="Arial"/>
                <w:bCs/>
                <w:i/>
                <w:noProof/>
              </w:rPr>
              <w:t>4.4 Cinética de adsorción de Aluminio</w:t>
            </w:r>
            <w:r w:rsidR="00D57D8A">
              <w:rPr>
                <w:noProof/>
                <w:webHidden/>
              </w:rPr>
              <w:tab/>
            </w:r>
            <w:r w:rsidR="00D57D8A">
              <w:rPr>
                <w:noProof/>
                <w:webHidden/>
              </w:rPr>
              <w:fldChar w:fldCharType="begin"/>
            </w:r>
            <w:r w:rsidR="00D57D8A">
              <w:rPr>
                <w:noProof/>
                <w:webHidden/>
              </w:rPr>
              <w:instrText xml:space="preserve"> PAGEREF _Toc50031485 \h </w:instrText>
            </w:r>
            <w:r w:rsidR="00D57D8A">
              <w:rPr>
                <w:noProof/>
                <w:webHidden/>
              </w:rPr>
            </w:r>
            <w:r w:rsidR="00D57D8A">
              <w:rPr>
                <w:noProof/>
                <w:webHidden/>
              </w:rPr>
              <w:fldChar w:fldCharType="separate"/>
            </w:r>
            <w:r w:rsidR="00D57D8A">
              <w:rPr>
                <w:noProof/>
                <w:webHidden/>
              </w:rPr>
              <w:t>486</w:t>
            </w:r>
            <w:r w:rsidR="00D57D8A">
              <w:rPr>
                <w:noProof/>
                <w:webHidden/>
              </w:rPr>
              <w:fldChar w:fldCharType="end"/>
            </w:r>
          </w:hyperlink>
        </w:p>
        <w:p w:rsidR="00D57D8A" w:rsidRDefault="001345E4">
          <w:pPr>
            <w:pStyle w:val="TDC2"/>
            <w:tabs>
              <w:tab w:val="right" w:leader="dot" w:pos="9962"/>
            </w:tabs>
            <w:rPr>
              <w:b w:val="0"/>
              <w:noProof/>
              <w:lang w:val="en-US" w:eastAsia="en-US"/>
            </w:rPr>
          </w:pPr>
          <w:hyperlink w:anchor="_Toc50031486" w:history="1">
            <w:r w:rsidR="00D57D8A" w:rsidRPr="00251ABB">
              <w:rPr>
                <w:rStyle w:val="Hipervnculo"/>
                <w:rFonts w:ascii="Arial" w:hAnsi="Arial" w:cs="Arial"/>
                <w:bCs/>
                <w:i/>
                <w:noProof/>
              </w:rPr>
              <w:t>4.5 Aplicación de los bioadsorbentes en agua de consumo</w:t>
            </w:r>
            <w:r w:rsidR="00D57D8A">
              <w:rPr>
                <w:noProof/>
                <w:webHidden/>
              </w:rPr>
              <w:tab/>
            </w:r>
            <w:r w:rsidR="00D57D8A">
              <w:rPr>
                <w:noProof/>
                <w:webHidden/>
              </w:rPr>
              <w:fldChar w:fldCharType="begin"/>
            </w:r>
            <w:r w:rsidR="00D57D8A">
              <w:rPr>
                <w:noProof/>
                <w:webHidden/>
              </w:rPr>
              <w:instrText xml:space="preserve"> PAGEREF _Toc50031486 \h </w:instrText>
            </w:r>
            <w:r w:rsidR="00D57D8A">
              <w:rPr>
                <w:noProof/>
                <w:webHidden/>
              </w:rPr>
            </w:r>
            <w:r w:rsidR="00D57D8A">
              <w:rPr>
                <w:noProof/>
                <w:webHidden/>
              </w:rPr>
              <w:fldChar w:fldCharType="separate"/>
            </w:r>
            <w:r w:rsidR="00D57D8A">
              <w:rPr>
                <w:noProof/>
                <w:webHidden/>
              </w:rPr>
              <w:t>487</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87" w:history="1">
            <w:r w:rsidR="00D57D8A" w:rsidRPr="00251ABB">
              <w:rPr>
                <w:rStyle w:val="Hipervnculo"/>
                <w:rFonts w:ascii="Arial" w:hAnsi="Arial" w:cs="Arial"/>
                <w:i/>
                <w:caps/>
                <w:noProof/>
              </w:rPr>
              <w:t xml:space="preserve">5. </w:t>
            </w:r>
            <w:r w:rsidR="00D57D8A" w:rsidRPr="00251ABB">
              <w:rPr>
                <w:rStyle w:val="Hipervnculo"/>
                <w:rFonts w:ascii="Arial" w:hAnsi="Arial" w:cs="Arial"/>
                <w:i/>
                <w:noProof/>
              </w:rPr>
              <w:t>Conclusiones</w:t>
            </w:r>
            <w:r w:rsidR="00D57D8A">
              <w:rPr>
                <w:noProof/>
                <w:webHidden/>
              </w:rPr>
              <w:tab/>
            </w:r>
            <w:r w:rsidR="00D57D8A">
              <w:rPr>
                <w:noProof/>
                <w:webHidden/>
              </w:rPr>
              <w:fldChar w:fldCharType="begin"/>
            </w:r>
            <w:r w:rsidR="00D57D8A">
              <w:rPr>
                <w:noProof/>
                <w:webHidden/>
              </w:rPr>
              <w:instrText xml:space="preserve"> PAGEREF _Toc50031487 \h </w:instrText>
            </w:r>
            <w:r w:rsidR="00D57D8A">
              <w:rPr>
                <w:noProof/>
                <w:webHidden/>
              </w:rPr>
            </w:r>
            <w:r w:rsidR="00D57D8A">
              <w:rPr>
                <w:noProof/>
                <w:webHidden/>
              </w:rPr>
              <w:fldChar w:fldCharType="separate"/>
            </w:r>
            <w:r w:rsidR="00D57D8A">
              <w:rPr>
                <w:noProof/>
                <w:webHidden/>
              </w:rPr>
              <w:t>488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88" w:history="1">
            <w:r w:rsidR="00D57D8A" w:rsidRPr="00251ABB">
              <w:rPr>
                <w:rStyle w:val="Hipervnculo"/>
                <w:rFonts w:ascii="Arial" w:hAnsi="Arial" w:cs="Arial"/>
                <w:i/>
                <w:caps/>
                <w:noProof/>
              </w:rPr>
              <w:t xml:space="preserve">6. </w:t>
            </w:r>
            <w:r w:rsidR="00D57D8A" w:rsidRPr="00251ABB">
              <w:rPr>
                <w:rStyle w:val="Hipervnculo"/>
                <w:rFonts w:ascii="Arial" w:hAnsi="Arial" w:cs="Arial"/>
                <w:i/>
                <w:noProof/>
              </w:rPr>
              <w:t>Bibliografía</w:t>
            </w:r>
            <w:r w:rsidR="00D57D8A">
              <w:rPr>
                <w:noProof/>
                <w:webHidden/>
              </w:rPr>
              <w:tab/>
            </w:r>
            <w:r w:rsidR="00D57D8A">
              <w:rPr>
                <w:noProof/>
                <w:webHidden/>
              </w:rPr>
              <w:fldChar w:fldCharType="begin"/>
            </w:r>
            <w:r w:rsidR="00D57D8A">
              <w:rPr>
                <w:noProof/>
                <w:webHidden/>
              </w:rPr>
              <w:instrText xml:space="preserve"> PAGEREF _Toc50031488 \h </w:instrText>
            </w:r>
            <w:r w:rsidR="00D57D8A">
              <w:rPr>
                <w:noProof/>
                <w:webHidden/>
              </w:rPr>
            </w:r>
            <w:r w:rsidR="00D57D8A">
              <w:rPr>
                <w:noProof/>
                <w:webHidden/>
              </w:rPr>
              <w:fldChar w:fldCharType="separate"/>
            </w:r>
            <w:r w:rsidR="00D57D8A">
              <w:rPr>
                <w:noProof/>
                <w:webHidden/>
              </w:rPr>
              <w:t>488</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89" w:history="1">
            <w:r w:rsidR="00D57D8A" w:rsidRPr="00251ABB">
              <w:rPr>
                <w:rStyle w:val="Hipervnculo"/>
                <w:noProof/>
              </w:rPr>
              <w:t>Diseño de una planta recicladora de plásticos de uso agrícola como alternativa para la contaminación en México por estos residuos</w:t>
            </w:r>
            <w:r w:rsidR="00D57D8A">
              <w:rPr>
                <w:noProof/>
                <w:webHidden/>
              </w:rPr>
              <w:tab/>
            </w:r>
            <w:r w:rsidR="00D57D8A">
              <w:rPr>
                <w:noProof/>
                <w:webHidden/>
              </w:rPr>
              <w:fldChar w:fldCharType="begin"/>
            </w:r>
            <w:r w:rsidR="00D57D8A">
              <w:rPr>
                <w:noProof/>
                <w:webHidden/>
              </w:rPr>
              <w:instrText xml:space="preserve"> PAGEREF _Toc50031489 \h </w:instrText>
            </w:r>
            <w:r w:rsidR="00D57D8A">
              <w:rPr>
                <w:noProof/>
                <w:webHidden/>
              </w:rPr>
            </w:r>
            <w:r w:rsidR="00D57D8A">
              <w:rPr>
                <w:noProof/>
                <w:webHidden/>
              </w:rPr>
              <w:fldChar w:fldCharType="separate"/>
            </w:r>
            <w:r w:rsidR="00D57D8A">
              <w:rPr>
                <w:noProof/>
                <w:webHidden/>
              </w:rPr>
              <w:t>489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90" w:history="1">
            <w:r w:rsidR="00D57D8A" w:rsidRPr="00251ABB">
              <w:rPr>
                <w:rStyle w:val="Hipervnculo"/>
                <w:noProof/>
              </w:rPr>
              <w:t>1. Resumen</w:t>
            </w:r>
            <w:r w:rsidR="00D57D8A">
              <w:rPr>
                <w:noProof/>
                <w:webHidden/>
              </w:rPr>
              <w:tab/>
            </w:r>
            <w:r w:rsidR="00D57D8A">
              <w:rPr>
                <w:noProof/>
                <w:webHidden/>
              </w:rPr>
              <w:fldChar w:fldCharType="begin"/>
            </w:r>
            <w:r w:rsidR="00D57D8A">
              <w:rPr>
                <w:noProof/>
                <w:webHidden/>
              </w:rPr>
              <w:instrText xml:space="preserve"> PAGEREF _Toc50031490 \h </w:instrText>
            </w:r>
            <w:r w:rsidR="00D57D8A">
              <w:rPr>
                <w:noProof/>
                <w:webHidden/>
              </w:rPr>
            </w:r>
            <w:r w:rsidR="00D57D8A">
              <w:rPr>
                <w:noProof/>
                <w:webHidden/>
              </w:rPr>
              <w:fldChar w:fldCharType="separate"/>
            </w:r>
            <w:r w:rsidR="00D57D8A">
              <w:rPr>
                <w:noProof/>
                <w:webHidden/>
              </w:rPr>
              <w:t>489</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91" w:history="1">
            <w:r w:rsidR="00D57D8A" w:rsidRPr="00251ABB">
              <w:rPr>
                <w:rStyle w:val="Hipervnculo"/>
                <w:noProof/>
              </w:rPr>
              <w:t>1.</w:t>
            </w:r>
            <w:r w:rsidR="00D57D8A">
              <w:rPr>
                <w:b w:val="0"/>
                <w:noProof/>
                <w:sz w:val="22"/>
                <w:szCs w:val="22"/>
                <w:lang w:val="en-US" w:eastAsia="en-US"/>
              </w:rPr>
              <w:tab/>
            </w:r>
            <w:r w:rsidR="00D57D8A" w:rsidRPr="00251ABB">
              <w:rPr>
                <w:rStyle w:val="Hipervnculo"/>
                <w:noProof/>
              </w:rPr>
              <w:t>Introducción</w:t>
            </w:r>
            <w:r w:rsidR="00D57D8A">
              <w:rPr>
                <w:noProof/>
                <w:webHidden/>
              </w:rPr>
              <w:tab/>
            </w:r>
            <w:r w:rsidR="00D57D8A">
              <w:rPr>
                <w:noProof/>
                <w:webHidden/>
              </w:rPr>
              <w:fldChar w:fldCharType="begin"/>
            </w:r>
            <w:r w:rsidR="00D57D8A">
              <w:rPr>
                <w:noProof/>
                <w:webHidden/>
              </w:rPr>
              <w:instrText xml:space="preserve"> PAGEREF _Toc50031491 \h </w:instrText>
            </w:r>
            <w:r w:rsidR="00D57D8A">
              <w:rPr>
                <w:noProof/>
                <w:webHidden/>
              </w:rPr>
            </w:r>
            <w:r w:rsidR="00D57D8A">
              <w:rPr>
                <w:noProof/>
                <w:webHidden/>
              </w:rPr>
              <w:fldChar w:fldCharType="separate"/>
            </w:r>
            <w:r w:rsidR="00D57D8A">
              <w:rPr>
                <w:noProof/>
                <w:webHidden/>
              </w:rPr>
              <w:t>490</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92" w:history="1">
            <w:r w:rsidR="00D57D8A" w:rsidRPr="00251ABB">
              <w:rPr>
                <w:rStyle w:val="Hipervnculo"/>
                <w:noProof/>
              </w:rPr>
              <w:t>2.</w:t>
            </w:r>
            <w:r w:rsidR="00D57D8A">
              <w:rPr>
                <w:b w:val="0"/>
                <w:noProof/>
                <w:sz w:val="22"/>
                <w:szCs w:val="22"/>
                <w:lang w:val="en-US" w:eastAsia="en-US"/>
              </w:rPr>
              <w:tab/>
            </w:r>
            <w:r w:rsidR="00D57D8A" w:rsidRPr="00251ABB">
              <w:rPr>
                <w:rStyle w:val="Hipervnculo"/>
                <w:noProof/>
              </w:rPr>
              <w:t>Metodología</w:t>
            </w:r>
            <w:r w:rsidR="00D57D8A">
              <w:rPr>
                <w:noProof/>
                <w:webHidden/>
              </w:rPr>
              <w:tab/>
            </w:r>
            <w:r w:rsidR="00D57D8A">
              <w:rPr>
                <w:noProof/>
                <w:webHidden/>
              </w:rPr>
              <w:fldChar w:fldCharType="begin"/>
            </w:r>
            <w:r w:rsidR="00D57D8A">
              <w:rPr>
                <w:noProof/>
                <w:webHidden/>
              </w:rPr>
              <w:instrText xml:space="preserve"> PAGEREF _Toc50031492 \h </w:instrText>
            </w:r>
            <w:r w:rsidR="00D57D8A">
              <w:rPr>
                <w:noProof/>
                <w:webHidden/>
              </w:rPr>
            </w:r>
            <w:r w:rsidR="00D57D8A">
              <w:rPr>
                <w:noProof/>
                <w:webHidden/>
              </w:rPr>
              <w:fldChar w:fldCharType="separate"/>
            </w:r>
            <w:r w:rsidR="00D57D8A">
              <w:rPr>
                <w:noProof/>
                <w:webHidden/>
              </w:rPr>
              <w:t>492</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93" w:history="1">
            <w:r w:rsidR="00D57D8A" w:rsidRPr="00251ABB">
              <w:rPr>
                <w:rStyle w:val="Hipervnculo"/>
                <w:noProof/>
              </w:rPr>
              <w:t>3.</w:t>
            </w:r>
            <w:r w:rsidR="00D57D8A">
              <w:rPr>
                <w:b w:val="0"/>
                <w:noProof/>
                <w:sz w:val="22"/>
                <w:szCs w:val="22"/>
                <w:lang w:val="en-US" w:eastAsia="en-US"/>
              </w:rPr>
              <w:tab/>
            </w:r>
            <w:r w:rsidR="00D57D8A" w:rsidRPr="00251ABB">
              <w:rPr>
                <w:rStyle w:val="Hipervnculo"/>
                <w:noProof/>
              </w:rPr>
              <w:t>Resultados y discusión</w:t>
            </w:r>
            <w:r w:rsidR="00D57D8A">
              <w:rPr>
                <w:noProof/>
                <w:webHidden/>
              </w:rPr>
              <w:tab/>
            </w:r>
            <w:r w:rsidR="00D57D8A">
              <w:rPr>
                <w:noProof/>
                <w:webHidden/>
              </w:rPr>
              <w:fldChar w:fldCharType="begin"/>
            </w:r>
            <w:r w:rsidR="00D57D8A">
              <w:rPr>
                <w:noProof/>
                <w:webHidden/>
              </w:rPr>
              <w:instrText xml:space="preserve"> PAGEREF _Toc50031493 \h </w:instrText>
            </w:r>
            <w:r w:rsidR="00D57D8A">
              <w:rPr>
                <w:noProof/>
                <w:webHidden/>
              </w:rPr>
            </w:r>
            <w:r w:rsidR="00D57D8A">
              <w:rPr>
                <w:noProof/>
                <w:webHidden/>
              </w:rPr>
              <w:fldChar w:fldCharType="separate"/>
            </w:r>
            <w:r w:rsidR="00D57D8A">
              <w:rPr>
                <w:noProof/>
                <w:webHidden/>
              </w:rPr>
              <w:t>494</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94" w:history="1">
            <w:r w:rsidR="00D57D8A" w:rsidRPr="00251ABB">
              <w:rPr>
                <w:rStyle w:val="Hipervnculo"/>
                <w:noProof/>
              </w:rPr>
              <w:t>4.</w:t>
            </w:r>
            <w:r w:rsidR="00D57D8A">
              <w:rPr>
                <w:b w:val="0"/>
                <w:noProof/>
                <w:sz w:val="22"/>
                <w:szCs w:val="22"/>
                <w:lang w:val="en-US" w:eastAsia="en-US"/>
              </w:rPr>
              <w:tab/>
            </w:r>
            <w:r w:rsidR="00D57D8A" w:rsidRPr="00251ABB">
              <w:rPr>
                <w:rStyle w:val="Hipervnculo"/>
                <w:noProof/>
              </w:rPr>
              <w:t>Conclusiones</w:t>
            </w:r>
            <w:r w:rsidR="00D57D8A">
              <w:rPr>
                <w:noProof/>
                <w:webHidden/>
              </w:rPr>
              <w:tab/>
            </w:r>
            <w:r w:rsidR="00D57D8A">
              <w:rPr>
                <w:noProof/>
                <w:webHidden/>
              </w:rPr>
              <w:fldChar w:fldCharType="begin"/>
            </w:r>
            <w:r w:rsidR="00D57D8A">
              <w:rPr>
                <w:noProof/>
                <w:webHidden/>
              </w:rPr>
              <w:instrText xml:space="preserve"> PAGEREF _Toc50031494 \h </w:instrText>
            </w:r>
            <w:r w:rsidR="00D57D8A">
              <w:rPr>
                <w:noProof/>
                <w:webHidden/>
              </w:rPr>
            </w:r>
            <w:r w:rsidR="00D57D8A">
              <w:rPr>
                <w:noProof/>
                <w:webHidden/>
              </w:rPr>
              <w:fldChar w:fldCharType="separate"/>
            </w:r>
            <w:r w:rsidR="00D57D8A">
              <w:rPr>
                <w:noProof/>
                <w:webHidden/>
              </w:rPr>
              <w:t>499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95" w:history="1">
            <w:r w:rsidR="00D57D8A" w:rsidRPr="00251ABB">
              <w:rPr>
                <w:rStyle w:val="Hipervnculo"/>
                <w:noProof/>
              </w:rPr>
              <w:t>6. Perspectivas a futuro</w:t>
            </w:r>
            <w:r w:rsidR="00D57D8A">
              <w:rPr>
                <w:noProof/>
                <w:webHidden/>
              </w:rPr>
              <w:tab/>
            </w:r>
            <w:r w:rsidR="00D57D8A">
              <w:rPr>
                <w:noProof/>
                <w:webHidden/>
              </w:rPr>
              <w:fldChar w:fldCharType="begin"/>
            </w:r>
            <w:r w:rsidR="00D57D8A">
              <w:rPr>
                <w:noProof/>
                <w:webHidden/>
              </w:rPr>
              <w:instrText xml:space="preserve"> PAGEREF _Toc50031495 \h </w:instrText>
            </w:r>
            <w:r w:rsidR="00D57D8A">
              <w:rPr>
                <w:noProof/>
                <w:webHidden/>
              </w:rPr>
            </w:r>
            <w:r w:rsidR="00D57D8A">
              <w:rPr>
                <w:noProof/>
                <w:webHidden/>
              </w:rPr>
              <w:fldChar w:fldCharType="separate"/>
            </w:r>
            <w:r w:rsidR="00D57D8A">
              <w:rPr>
                <w:noProof/>
                <w:webHidden/>
              </w:rPr>
              <w:t>499</w:t>
            </w:r>
            <w:r w:rsidR="00D57D8A">
              <w:rPr>
                <w:noProof/>
                <w:webHidden/>
              </w:rPr>
              <w:fldChar w:fldCharType="end"/>
            </w:r>
          </w:hyperlink>
        </w:p>
        <w:p w:rsidR="00D57D8A" w:rsidRDefault="001345E4">
          <w:pPr>
            <w:pStyle w:val="TDC1"/>
            <w:tabs>
              <w:tab w:val="left" w:pos="480"/>
              <w:tab w:val="right" w:leader="dot" w:pos="9962"/>
            </w:tabs>
            <w:rPr>
              <w:b w:val="0"/>
              <w:noProof/>
              <w:sz w:val="22"/>
              <w:szCs w:val="22"/>
              <w:lang w:val="en-US" w:eastAsia="en-US"/>
            </w:rPr>
          </w:pPr>
          <w:hyperlink w:anchor="_Toc50031496" w:history="1">
            <w:r w:rsidR="00D57D8A" w:rsidRPr="00251ABB">
              <w:rPr>
                <w:rStyle w:val="Hipervnculo"/>
                <w:noProof/>
              </w:rPr>
              <w:t>7.</w:t>
            </w:r>
            <w:r w:rsidR="00D57D8A">
              <w:rPr>
                <w:b w:val="0"/>
                <w:noProof/>
                <w:sz w:val="22"/>
                <w:szCs w:val="22"/>
                <w:lang w:val="en-US" w:eastAsia="en-US"/>
              </w:rPr>
              <w:tab/>
            </w:r>
            <w:r w:rsidR="00D57D8A" w:rsidRPr="00251ABB">
              <w:rPr>
                <w:rStyle w:val="Hipervnculo"/>
                <w:noProof/>
              </w:rPr>
              <w:t>Referencias</w:t>
            </w:r>
            <w:r w:rsidR="00D57D8A">
              <w:rPr>
                <w:noProof/>
                <w:webHidden/>
              </w:rPr>
              <w:tab/>
            </w:r>
            <w:r w:rsidR="00D57D8A">
              <w:rPr>
                <w:noProof/>
                <w:webHidden/>
              </w:rPr>
              <w:fldChar w:fldCharType="begin"/>
            </w:r>
            <w:r w:rsidR="00D57D8A">
              <w:rPr>
                <w:noProof/>
                <w:webHidden/>
              </w:rPr>
              <w:instrText xml:space="preserve"> PAGEREF _Toc50031496 \h </w:instrText>
            </w:r>
            <w:r w:rsidR="00D57D8A">
              <w:rPr>
                <w:noProof/>
                <w:webHidden/>
              </w:rPr>
            </w:r>
            <w:r w:rsidR="00D57D8A">
              <w:rPr>
                <w:noProof/>
                <w:webHidden/>
              </w:rPr>
              <w:fldChar w:fldCharType="separate"/>
            </w:r>
            <w:r w:rsidR="00D57D8A">
              <w:rPr>
                <w:noProof/>
                <w:webHidden/>
              </w:rPr>
              <w:t>499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97" w:history="1">
            <w:r w:rsidR="00D57D8A" w:rsidRPr="00251ABB">
              <w:rPr>
                <w:rStyle w:val="Hipervnculo"/>
                <w:noProof/>
              </w:rPr>
              <w:t>Plan integral para la gestión de residuos peligrosos en la Facultad de Medicina de la UNAM</w:t>
            </w:r>
            <w:r w:rsidR="00D57D8A">
              <w:rPr>
                <w:noProof/>
                <w:webHidden/>
              </w:rPr>
              <w:tab/>
            </w:r>
            <w:r w:rsidR="00D57D8A">
              <w:rPr>
                <w:noProof/>
                <w:webHidden/>
              </w:rPr>
              <w:fldChar w:fldCharType="begin"/>
            </w:r>
            <w:r w:rsidR="00D57D8A">
              <w:rPr>
                <w:noProof/>
                <w:webHidden/>
              </w:rPr>
              <w:instrText xml:space="preserve"> PAGEREF _Toc50031497 \h </w:instrText>
            </w:r>
            <w:r w:rsidR="00D57D8A">
              <w:rPr>
                <w:noProof/>
                <w:webHidden/>
              </w:rPr>
            </w:r>
            <w:r w:rsidR="00D57D8A">
              <w:rPr>
                <w:noProof/>
                <w:webHidden/>
              </w:rPr>
              <w:fldChar w:fldCharType="separate"/>
            </w:r>
            <w:r w:rsidR="00D57D8A">
              <w:rPr>
                <w:noProof/>
                <w:webHidden/>
              </w:rPr>
              <w:t>500</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98" w:history="1">
            <w:r w:rsidR="00D57D8A" w:rsidRPr="00251ABB">
              <w:rPr>
                <w:rStyle w:val="Hipervnculo"/>
                <w:rFonts w:ascii="Arial" w:eastAsia="Arial" w:hAnsi="Arial" w:cs="Arial"/>
                <w:smallCaps/>
                <w:noProof/>
              </w:rPr>
              <w:t>1. R</w:t>
            </w:r>
            <w:r w:rsidR="00D57D8A" w:rsidRPr="00251ABB">
              <w:rPr>
                <w:rStyle w:val="Hipervnculo"/>
                <w:rFonts w:ascii="Arial" w:eastAsia="Arial" w:hAnsi="Arial" w:cs="Arial"/>
                <w:noProof/>
              </w:rPr>
              <w:t>esumen</w:t>
            </w:r>
            <w:r w:rsidR="00D57D8A">
              <w:rPr>
                <w:noProof/>
                <w:webHidden/>
              </w:rPr>
              <w:tab/>
            </w:r>
            <w:r w:rsidR="00D57D8A">
              <w:rPr>
                <w:noProof/>
                <w:webHidden/>
              </w:rPr>
              <w:fldChar w:fldCharType="begin"/>
            </w:r>
            <w:r w:rsidR="00D57D8A">
              <w:rPr>
                <w:noProof/>
                <w:webHidden/>
              </w:rPr>
              <w:instrText xml:space="preserve"> PAGEREF _Toc50031498 \h </w:instrText>
            </w:r>
            <w:r w:rsidR="00D57D8A">
              <w:rPr>
                <w:noProof/>
                <w:webHidden/>
              </w:rPr>
            </w:r>
            <w:r w:rsidR="00D57D8A">
              <w:rPr>
                <w:noProof/>
                <w:webHidden/>
              </w:rPr>
              <w:fldChar w:fldCharType="separate"/>
            </w:r>
            <w:r w:rsidR="00D57D8A">
              <w:rPr>
                <w:noProof/>
                <w:webHidden/>
              </w:rPr>
              <w:t>501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499" w:history="1">
            <w:r w:rsidR="00D57D8A" w:rsidRPr="00251ABB">
              <w:rPr>
                <w:rStyle w:val="Hipervnculo"/>
                <w:rFonts w:ascii="Arial" w:eastAsia="Arial" w:hAnsi="Arial" w:cs="Arial"/>
                <w:smallCaps/>
                <w:noProof/>
              </w:rPr>
              <w:t>2. I</w:t>
            </w:r>
            <w:r w:rsidR="00D57D8A" w:rsidRPr="00251ABB">
              <w:rPr>
                <w:rStyle w:val="Hipervnculo"/>
                <w:rFonts w:ascii="Arial" w:eastAsia="Arial" w:hAnsi="Arial" w:cs="Arial"/>
                <w:noProof/>
              </w:rPr>
              <w:t>ntroducción</w:t>
            </w:r>
            <w:r w:rsidR="00D57D8A">
              <w:rPr>
                <w:noProof/>
                <w:webHidden/>
              </w:rPr>
              <w:tab/>
            </w:r>
            <w:r w:rsidR="00D57D8A">
              <w:rPr>
                <w:noProof/>
                <w:webHidden/>
              </w:rPr>
              <w:fldChar w:fldCharType="begin"/>
            </w:r>
            <w:r w:rsidR="00D57D8A">
              <w:rPr>
                <w:noProof/>
                <w:webHidden/>
              </w:rPr>
              <w:instrText xml:space="preserve"> PAGEREF _Toc50031499 \h </w:instrText>
            </w:r>
            <w:r w:rsidR="00D57D8A">
              <w:rPr>
                <w:noProof/>
                <w:webHidden/>
              </w:rPr>
            </w:r>
            <w:r w:rsidR="00D57D8A">
              <w:rPr>
                <w:noProof/>
                <w:webHidden/>
              </w:rPr>
              <w:fldChar w:fldCharType="separate"/>
            </w:r>
            <w:r w:rsidR="00D57D8A">
              <w:rPr>
                <w:noProof/>
                <w:webHidden/>
              </w:rPr>
              <w:t>501</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500" w:history="1">
            <w:r w:rsidR="00D57D8A" w:rsidRPr="00251ABB">
              <w:rPr>
                <w:rStyle w:val="Hipervnculo"/>
                <w:rFonts w:ascii="Arial" w:eastAsia="Arial" w:hAnsi="Arial" w:cs="Arial"/>
                <w:smallCaps/>
                <w:noProof/>
              </w:rPr>
              <w:t>3. C</w:t>
            </w:r>
            <w:r w:rsidR="00D57D8A" w:rsidRPr="00251ABB">
              <w:rPr>
                <w:rStyle w:val="Hipervnculo"/>
                <w:rFonts w:ascii="Arial" w:eastAsia="Arial" w:hAnsi="Arial" w:cs="Arial"/>
                <w:noProof/>
              </w:rPr>
              <w:t>ondiciones experimentales</w:t>
            </w:r>
            <w:r w:rsidR="00D57D8A">
              <w:rPr>
                <w:noProof/>
                <w:webHidden/>
              </w:rPr>
              <w:tab/>
            </w:r>
            <w:r w:rsidR="00D57D8A">
              <w:rPr>
                <w:noProof/>
                <w:webHidden/>
              </w:rPr>
              <w:fldChar w:fldCharType="begin"/>
            </w:r>
            <w:r w:rsidR="00D57D8A">
              <w:rPr>
                <w:noProof/>
                <w:webHidden/>
              </w:rPr>
              <w:instrText xml:space="preserve"> PAGEREF _Toc50031500 \h </w:instrText>
            </w:r>
            <w:r w:rsidR="00D57D8A">
              <w:rPr>
                <w:noProof/>
                <w:webHidden/>
              </w:rPr>
            </w:r>
            <w:r w:rsidR="00D57D8A">
              <w:rPr>
                <w:noProof/>
                <w:webHidden/>
              </w:rPr>
              <w:fldChar w:fldCharType="separate"/>
            </w:r>
            <w:r w:rsidR="00D57D8A">
              <w:rPr>
                <w:noProof/>
                <w:webHidden/>
              </w:rPr>
              <w:t>503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501" w:history="1">
            <w:r w:rsidR="00D57D8A" w:rsidRPr="00251ABB">
              <w:rPr>
                <w:rStyle w:val="Hipervnculo"/>
                <w:rFonts w:ascii="Arial" w:eastAsia="Arial" w:hAnsi="Arial" w:cs="Arial"/>
                <w:smallCaps/>
                <w:noProof/>
              </w:rPr>
              <w:t xml:space="preserve">4. </w:t>
            </w:r>
            <w:r w:rsidR="00D57D8A" w:rsidRPr="00251ABB">
              <w:rPr>
                <w:rStyle w:val="Hipervnculo"/>
                <w:rFonts w:ascii="Arial" w:eastAsia="Arial" w:hAnsi="Arial" w:cs="Arial"/>
                <w:noProof/>
              </w:rPr>
              <w:t>Resultados y discusión</w:t>
            </w:r>
            <w:r w:rsidR="00D57D8A">
              <w:rPr>
                <w:noProof/>
                <w:webHidden/>
              </w:rPr>
              <w:tab/>
            </w:r>
            <w:r w:rsidR="00D57D8A">
              <w:rPr>
                <w:noProof/>
                <w:webHidden/>
              </w:rPr>
              <w:fldChar w:fldCharType="begin"/>
            </w:r>
            <w:r w:rsidR="00D57D8A">
              <w:rPr>
                <w:noProof/>
                <w:webHidden/>
              </w:rPr>
              <w:instrText xml:space="preserve"> PAGEREF _Toc50031501 \h </w:instrText>
            </w:r>
            <w:r w:rsidR="00D57D8A">
              <w:rPr>
                <w:noProof/>
                <w:webHidden/>
              </w:rPr>
            </w:r>
            <w:r w:rsidR="00D57D8A">
              <w:rPr>
                <w:noProof/>
                <w:webHidden/>
              </w:rPr>
              <w:fldChar w:fldCharType="separate"/>
            </w:r>
            <w:r w:rsidR="00D57D8A">
              <w:rPr>
                <w:noProof/>
                <w:webHidden/>
              </w:rPr>
              <w:t>513</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502" w:history="1">
            <w:r w:rsidR="00D57D8A" w:rsidRPr="00251ABB">
              <w:rPr>
                <w:rStyle w:val="Hipervnculo"/>
                <w:rFonts w:ascii="Arial" w:eastAsia="Arial" w:hAnsi="Arial" w:cs="Arial"/>
                <w:smallCaps/>
                <w:noProof/>
              </w:rPr>
              <w:t xml:space="preserve">5. </w:t>
            </w:r>
            <w:r w:rsidR="00D57D8A" w:rsidRPr="00251ABB">
              <w:rPr>
                <w:rStyle w:val="Hipervnculo"/>
                <w:rFonts w:ascii="Arial" w:eastAsia="Arial" w:hAnsi="Arial" w:cs="Arial"/>
                <w:noProof/>
              </w:rPr>
              <w:t>Conclusiones</w:t>
            </w:r>
            <w:r w:rsidR="00D57D8A">
              <w:rPr>
                <w:noProof/>
                <w:webHidden/>
              </w:rPr>
              <w:tab/>
            </w:r>
            <w:r w:rsidR="00D57D8A">
              <w:rPr>
                <w:noProof/>
                <w:webHidden/>
              </w:rPr>
              <w:fldChar w:fldCharType="begin"/>
            </w:r>
            <w:r w:rsidR="00D57D8A">
              <w:rPr>
                <w:noProof/>
                <w:webHidden/>
              </w:rPr>
              <w:instrText xml:space="preserve"> PAGEREF _Toc50031502 \h </w:instrText>
            </w:r>
            <w:r w:rsidR="00D57D8A">
              <w:rPr>
                <w:noProof/>
                <w:webHidden/>
              </w:rPr>
            </w:r>
            <w:r w:rsidR="00D57D8A">
              <w:rPr>
                <w:noProof/>
                <w:webHidden/>
              </w:rPr>
              <w:fldChar w:fldCharType="separate"/>
            </w:r>
            <w:r w:rsidR="00D57D8A">
              <w:rPr>
                <w:noProof/>
                <w:webHidden/>
              </w:rPr>
              <w:t>515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503" w:history="1">
            <w:r w:rsidR="00D57D8A" w:rsidRPr="00251ABB">
              <w:rPr>
                <w:rStyle w:val="Hipervnculo"/>
                <w:rFonts w:ascii="Arial" w:eastAsia="Arial" w:hAnsi="Arial" w:cs="Arial"/>
                <w:smallCaps/>
                <w:noProof/>
              </w:rPr>
              <w:t xml:space="preserve">6. </w:t>
            </w:r>
            <w:r w:rsidR="00D57D8A" w:rsidRPr="00251ABB">
              <w:rPr>
                <w:rStyle w:val="Hipervnculo"/>
                <w:rFonts w:ascii="Arial" w:eastAsia="Arial" w:hAnsi="Arial" w:cs="Arial"/>
                <w:noProof/>
              </w:rPr>
              <w:t>Bibliografía</w:t>
            </w:r>
            <w:r w:rsidR="00D57D8A">
              <w:rPr>
                <w:noProof/>
                <w:webHidden/>
              </w:rPr>
              <w:tab/>
            </w:r>
            <w:r w:rsidR="00D57D8A">
              <w:rPr>
                <w:noProof/>
                <w:webHidden/>
              </w:rPr>
              <w:fldChar w:fldCharType="begin"/>
            </w:r>
            <w:r w:rsidR="00D57D8A">
              <w:rPr>
                <w:noProof/>
                <w:webHidden/>
              </w:rPr>
              <w:instrText xml:space="preserve"> PAGEREF _Toc50031503 \h </w:instrText>
            </w:r>
            <w:r w:rsidR="00D57D8A">
              <w:rPr>
                <w:noProof/>
                <w:webHidden/>
              </w:rPr>
            </w:r>
            <w:r w:rsidR="00D57D8A">
              <w:rPr>
                <w:noProof/>
                <w:webHidden/>
              </w:rPr>
              <w:fldChar w:fldCharType="separate"/>
            </w:r>
            <w:r w:rsidR="00D57D8A">
              <w:rPr>
                <w:noProof/>
                <w:webHidden/>
              </w:rPr>
              <w:t>515</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504" w:history="1">
            <w:r w:rsidR="00D57D8A" w:rsidRPr="00251ABB">
              <w:rPr>
                <w:rStyle w:val="Hipervnculo"/>
                <w:noProof/>
              </w:rPr>
              <w:t>Exploración en el dimensionamiento de sistemas de energía solar térmica para ACS usando redes neuronales artificiales</w:t>
            </w:r>
            <w:r w:rsidR="00D57D8A">
              <w:rPr>
                <w:noProof/>
                <w:webHidden/>
              </w:rPr>
              <w:tab/>
            </w:r>
            <w:r w:rsidR="00D57D8A">
              <w:rPr>
                <w:noProof/>
                <w:webHidden/>
              </w:rPr>
              <w:fldChar w:fldCharType="begin"/>
            </w:r>
            <w:r w:rsidR="00D57D8A">
              <w:rPr>
                <w:noProof/>
                <w:webHidden/>
              </w:rPr>
              <w:instrText xml:space="preserve"> PAGEREF _Toc50031504 \h </w:instrText>
            </w:r>
            <w:r w:rsidR="00D57D8A">
              <w:rPr>
                <w:noProof/>
                <w:webHidden/>
              </w:rPr>
            </w:r>
            <w:r w:rsidR="00D57D8A">
              <w:rPr>
                <w:noProof/>
                <w:webHidden/>
              </w:rPr>
              <w:fldChar w:fldCharType="separate"/>
            </w:r>
            <w:r w:rsidR="00D57D8A">
              <w:rPr>
                <w:noProof/>
                <w:webHidden/>
              </w:rPr>
              <w:t>516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505" w:history="1">
            <w:r w:rsidR="00D57D8A" w:rsidRPr="00251ABB">
              <w:rPr>
                <w:rStyle w:val="Hipervnculo"/>
                <w:rFonts w:ascii="Arial" w:hAnsi="Arial" w:cs="Arial"/>
                <w:i/>
                <w:caps/>
                <w:noProof/>
              </w:rPr>
              <w:t>1. R</w:t>
            </w:r>
            <w:r w:rsidR="00D57D8A" w:rsidRPr="00251ABB">
              <w:rPr>
                <w:rStyle w:val="Hipervnculo"/>
                <w:rFonts w:ascii="Arial" w:hAnsi="Arial" w:cs="Arial"/>
                <w:i/>
                <w:noProof/>
              </w:rPr>
              <w:t>esumen</w:t>
            </w:r>
            <w:r w:rsidR="00D57D8A">
              <w:rPr>
                <w:noProof/>
                <w:webHidden/>
              </w:rPr>
              <w:tab/>
            </w:r>
            <w:r w:rsidR="00D57D8A">
              <w:rPr>
                <w:noProof/>
                <w:webHidden/>
              </w:rPr>
              <w:fldChar w:fldCharType="begin"/>
            </w:r>
            <w:r w:rsidR="00D57D8A">
              <w:rPr>
                <w:noProof/>
                <w:webHidden/>
              </w:rPr>
              <w:instrText xml:space="preserve"> PAGEREF _Toc50031505 \h </w:instrText>
            </w:r>
            <w:r w:rsidR="00D57D8A">
              <w:rPr>
                <w:noProof/>
                <w:webHidden/>
              </w:rPr>
            </w:r>
            <w:r w:rsidR="00D57D8A">
              <w:rPr>
                <w:noProof/>
                <w:webHidden/>
              </w:rPr>
              <w:fldChar w:fldCharType="separate"/>
            </w:r>
            <w:r w:rsidR="00D57D8A">
              <w:rPr>
                <w:noProof/>
                <w:webHidden/>
              </w:rPr>
              <w:t>516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506" w:history="1">
            <w:r w:rsidR="00D57D8A" w:rsidRPr="00251ABB">
              <w:rPr>
                <w:rStyle w:val="Hipervnculo"/>
                <w:rFonts w:ascii="Arial" w:hAnsi="Arial" w:cs="Arial"/>
                <w:i/>
                <w:caps/>
                <w:noProof/>
              </w:rPr>
              <w:t>2. I</w:t>
            </w:r>
            <w:r w:rsidR="00D57D8A" w:rsidRPr="00251ABB">
              <w:rPr>
                <w:rStyle w:val="Hipervnculo"/>
                <w:rFonts w:ascii="Arial" w:hAnsi="Arial" w:cs="Arial"/>
                <w:i/>
                <w:noProof/>
              </w:rPr>
              <w:t>ntroducción</w:t>
            </w:r>
            <w:r w:rsidR="00D57D8A">
              <w:rPr>
                <w:noProof/>
                <w:webHidden/>
              </w:rPr>
              <w:tab/>
            </w:r>
            <w:r w:rsidR="00D57D8A">
              <w:rPr>
                <w:noProof/>
                <w:webHidden/>
              </w:rPr>
              <w:fldChar w:fldCharType="begin"/>
            </w:r>
            <w:r w:rsidR="00D57D8A">
              <w:rPr>
                <w:noProof/>
                <w:webHidden/>
              </w:rPr>
              <w:instrText xml:space="preserve"> PAGEREF _Toc50031506 \h </w:instrText>
            </w:r>
            <w:r w:rsidR="00D57D8A">
              <w:rPr>
                <w:noProof/>
                <w:webHidden/>
              </w:rPr>
            </w:r>
            <w:r w:rsidR="00D57D8A">
              <w:rPr>
                <w:noProof/>
                <w:webHidden/>
              </w:rPr>
              <w:fldChar w:fldCharType="separate"/>
            </w:r>
            <w:r w:rsidR="00D57D8A">
              <w:rPr>
                <w:noProof/>
                <w:webHidden/>
              </w:rPr>
              <w:t>516</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507" w:history="1">
            <w:r w:rsidR="00D57D8A" w:rsidRPr="00251ABB">
              <w:rPr>
                <w:rStyle w:val="Hipervnculo"/>
                <w:rFonts w:ascii="Arial" w:hAnsi="Arial" w:cs="Arial"/>
                <w:i/>
                <w:caps/>
                <w:noProof/>
              </w:rPr>
              <w:t>3. C</w:t>
            </w:r>
            <w:r w:rsidR="00D57D8A" w:rsidRPr="00251ABB">
              <w:rPr>
                <w:rStyle w:val="Hipervnculo"/>
                <w:rFonts w:ascii="Arial" w:hAnsi="Arial" w:cs="Arial"/>
                <w:i/>
                <w:noProof/>
              </w:rPr>
              <w:t>ondiciones experimentales</w:t>
            </w:r>
            <w:r w:rsidR="00D57D8A">
              <w:rPr>
                <w:noProof/>
                <w:webHidden/>
              </w:rPr>
              <w:tab/>
            </w:r>
            <w:r w:rsidR="00D57D8A">
              <w:rPr>
                <w:noProof/>
                <w:webHidden/>
              </w:rPr>
              <w:fldChar w:fldCharType="begin"/>
            </w:r>
            <w:r w:rsidR="00D57D8A">
              <w:rPr>
                <w:noProof/>
                <w:webHidden/>
              </w:rPr>
              <w:instrText xml:space="preserve"> PAGEREF _Toc50031507 \h </w:instrText>
            </w:r>
            <w:r w:rsidR="00D57D8A">
              <w:rPr>
                <w:noProof/>
                <w:webHidden/>
              </w:rPr>
            </w:r>
            <w:r w:rsidR="00D57D8A">
              <w:rPr>
                <w:noProof/>
                <w:webHidden/>
              </w:rPr>
              <w:fldChar w:fldCharType="separate"/>
            </w:r>
            <w:r w:rsidR="00D57D8A">
              <w:rPr>
                <w:noProof/>
                <w:webHidden/>
              </w:rPr>
              <w:t>519</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508" w:history="1">
            <w:r w:rsidR="00D57D8A" w:rsidRPr="00251ABB">
              <w:rPr>
                <w:rStyle w:val="Hipervnculo"/>
                <w:rFonts w:ascii="Arial" w:hAnsi="Arial" w:cs="Arial"/>
                <w:i/>
                <w:caps/>
                <w:noProof/>
              </w:rPr>
              <w:t xml:space="preserve">4. </w:t>
            </w:r>
            <w:r w:rsidR="00D57D8A" w:rsidRPr="00251ABB">
              <w:rPr>
                <w:rStyle w:val="Hipervnculo"/>
                <w:rFonts w:ascii="Arial" w:hAnsi="Arial" w:cs="Arial"/>
                <w:i/>
                <w:noProof/>
              </w:rPr>
              <w:t>Resultados y discusión</w:t>
            </w:r>
            <w:r w:rsidR="00D57D8A">
              <w:rPr>
                <w:noProof/>
                <w:webHidden/>
              </w:rPr>
              <w:tab/>
            </w:r>
            <w:r w:rsidR="00D57D8A">
              <w:rPr>
                <w:noProof/>
                <w:webHidden/>
              </w:rPr>
              <w:fldChar w:fldCharType="begin"/>
            </w:r>
            <w:r w:rsidR="00D57D8A">
              <w:rPr>
                <w:noProof/>
                <w:webHidden/>
              </w:rPr>
              <w:instrText xml:space="preserve"> PAGEREF _Toc50031508 \h </w:instrText>
            </w:r>
            <w:r w:rsidR="00D57D8A">
              <w:rPr>
                <w:noProof/>
                <w:webHidden/>
              </w:rPr>
            </w:r>
            <w:r w:rsidR="00D57D8A">
              <w:rPr>
                <w:noProof/>
                <w:webHidden/>
              </w:rPr>
              <w:fldChar w:fldCharType="separate"/>
            </w:r>
            <w:r w:rsidR="00D57D8A">
              <w:rPr>
                <w:noProof/>
                <w:webHidden/>
              </w:rPr>
              <w:t>522</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509" w:history="1">
            <w:r w:rsidR="00D57D8A" w:rsidRPr="00251ABB">
              <w:rPr>
                <w:rStyle w:val="Hipervnculo"/>
                <w:rFonts w:ascii="Arial" w:hAnsi="Arial" w:cs="Arial"/>
                <w:i/>
                <w:caps/>
                <w:noProof/>
              </w:rPr>
              <w:t xml:space="preserve">5. </w:t>
            </w:r>
            <w:r w:rsidR="00D57D8A" w:rsidRPr="00251ABB">
              <w:rPr>
                <w:rStyle w:val="Hipervnculo"/>
                <w:rFonts w:ascii="Arial" w:hAnsi="Arial" w:cs="Arial"/>
                <w:i/>
                <w:noProof/>
              </w:rPr>
              <w:t>Conclusiones</w:t>
            </w:r>
            <w:r w:rsidR="00D57D8A">
              <w:rPr>
                <w:noProof/>
                <w:webHidden/>
              </w:rPr>
              <w:tab/>
            </w:r>
            <w:r w:rsidR="00D57D8A">
              <w:rPr>
                <w:noProof/>
                <w:webHidden/>
              </w:rPr>
              <w:fldChar w:fldCharType="begin"/>
            </w:r>
            <w:r w:rsidR="00D57D8A">
              <w:rPr>
                <w:noProof/>
                <w:webHidden/>
              </w:rPr>
              <w:instrText xml:space="preserve"> PAGEREF _Toc50031509 \h </w:instrText>
            </w:r>
            <w:r w:rsidR="00D57D8A">
              <w:rPr>
                <w:noProof/>
                <w:webHidden/>
              </w:rPr>
            </w:r>
            <w:r w:rsidR="00D57D8A">
              <w:rPr>
                <w:noProof/>
                <w:webHidden/>
              </w:rPr>
              <w:fldChar w:fldCharType="separate"/>
            </w:r>
            <w:r w:rsidR="00D57D8A">
              <w:rPr>
                <w:noProof/>
                <w:webHidden/>
              </w:rPr>
              <w:t>524</w:t>
            </w:r>
            <w:r w:rsidR="00D57D8A">
              <w:rPr>
                <w:noProof/>
                <w:webHidden/>
              </w:rPr>
              <w:fldChar w:fldCharType="end"/>
            </w:r>
          </w:hyperlink>
        </w:p>
        <w:p w:rsidR="00D57D8A" w:rsidRDefault="001345E4">
          <w:pPr>
            <w:pStyle w:val="TDC1"/>
            <w:tabs>
              <w:tab w:val="right" w:leader="dot" w:pos="9962"/>
            </w:tabs>
            <w:rPr>
              <w:b w:val="0"/>
              <w:noProof/>
              <w:sz w:val="22"/>
              <w:szCs w:val="22"/>
              <w:lang w:val="en-US" w:eastAsia="en-US"/>
            </w:rPr>
          </w:pPr>
          <w:hyperlink w:anchor="_Toc50031510" w:history="1">
            <w:r w:rsidR="00D57D8A" w:rsidRPr="00251ABB">
              <w:rPr>
                <w:rStyle w:val="Hipervnculo"/>
                <w:rFonts w:ascii="Arial" w:hAnsi="Arial" w:cs="Arial"/>
                <w:i/>
                <w:caps/>
                <w:noProof/>
              </w:rPr>
              <w:t xml:space="preserve">6. </w:t>
            </w:r>
            <w:r w:rsidR="00D57D8A" w:rsidRPr="00251ABB">
              <w:rPr>
                <w:rStyle w:val="Hipervnculo"/>
                <w:rFonts w:ascii="Arial" w:hAnsi="Arial" w:cs="Arial"/>
                <w:i/>
                <w:noProof/>
              </w:rPr>
              <w:t>Bibliografía</w:t>
            </w:r>
            <w:r w:rsidR="00D57D8A">
              <w:rPr>
                <w:noProof/>
                <w:webHidden/>
              </w:rPr>
              <w:tab/>
            </w:r>
            <w:r w:rsidR="00D57D8A">
              <w:rPr>
                <w:noProof/>
                <w:webHidden/>
              </w:rPr>
              <w:fldChar w:fldCharType="begin"/>
            </w:r>
            <w:r w:rsidR="00D57D8A">
              <w:rPr>
                <w:noProof/>
                <w:webHidden/>
              </w:rPr>
              <w:instrText xml:space="preserve"> PAGEREF _Toc50031510 \h </w:instrText>
            </w:r>
            <w:r w:rsidR="00D57D8A">
              <w:rPr>
                <w:noProof/>
                <w:webHidden/>
              </w:rPr>
            </w:r>
            <w:r w:rsidR="00D57D8A">
              <w:rPr>
                <w:noProof/>
                <w:webHidden/>
              </w:rPr>
              <w:fldChar w:fldCharType="separate"/>
            </w:r>
            <w:r w:rsidR="00D57D8A">
              <w:rPr>
                <w:noProof/>
                <w:webHidden/>
              </w:rPr>
              <w:t>525</w:t>
            </w:r>
            <w:r w:rsidR="00D57D8A">
              <w:rPr>
                <w:noProof/>
                <w:webHidden/>
              </w:rPr>
              <w:fldChar w:fldCharType="end"/>
            </w:r>
          </w:hyperlink>
        </w:p>
        <w:p w:rsidR="00531F09" w:rsidRDefault="008C6E65">
          <w:r w:rsidRPr="005D77CB">
            <w:fldChar w:fldCharType="end"/>
          </w:r>
        </w:p>
      </w:sdtContent>
    </w:sdt>
    <w:p w:rsidR="005A3503" w:rsidRDefault="005A3503">
      <w:pPr>
        <w:spacing w:line="276" w:lineRule="auto"/>
        <w:sectPr w:rsidR="005A3503" w:rsidSect="00B70A53">
          <w:headerReference w:type="default" r:id="rId13"/>
          <w:footerReference w:type="default" r:id="rId14"/>
          <w:pgSz w:w="12240" w:h="15840"/>
          <w:pgMar w:top="1418" w:right="1134" w:bottom="1418" w:left="1134" w:header="709" w:footer="709" w:gutter="0"/>
          <w:pgNumType w:start="20"/>
          <w:cols w:space="720"/>
          <w:docGrid w:linePitch="360"/>
        </w:sectPr>
      </w:pPr>
    </w:p>
    <w:p w:rsidR="00AE0459" w:rsidRDefault="00AE0459" w:rsidP="00AE0459">
      <w:pPr>
        <w:pStyle w:val="Reference"/>
        <w:numPr>
          <w:ilvl w:val="0"/>
          <w:numId w:val="0"/>
        </w:numPr>
        <w:snapToGrid w:val="0"/>
        <w:spacing w:line="264" w:lineRule="auto"/>
        <w:ind w:left="420" w:hanging="420"/>
        <w:rPr>
          <w:rFonts w:ascii="Arial" w:hAnsi="Arial" w:cs="Arial"/>
          <w:sz w:val="24"/>
          <w:szCs w:val="24"/>
        </w:rPr>
      </w:pPr>
    </w:p>
    <w:p w:rsidR="00AE0459" w:rsidRPr="008358CC" w:rsidRDefault="00AE0459" w:rsidP="00AE0459">
      <w:pPr>
        <w:pStyle w:val="1Titulo"/>
        <w:numPr>
          <w:ilvl w:val="0"/>
          <w:numId w:val="0"/>
        </w:numPr>
        <w:ind w:left="357"/>
        <w:jc w:val="center"/>
        <w:rPr>
          <w:sz w:val="28"/>
          <w:szCs w:val="28"/>
        </w:rPr>
      </w:pPr>
      <w:bookmarkStart w:id="1" w:name="_Toc50031135"/>
      <w:r w:rsidRPr="008358CC">
        <w:rPr>
          <w:sz w:val="28"/>
          <w:szCs w:val="28"/>
        </w:rPr>
        <w:t>Carta Hidrográfica Urbana</w:t>
      </w:r>
      <w:bookmarkEnd w:id="1"/>
    </w:p>
    <w:p w:rsidR="00AE0459" w:rsidRPr="005A4982" w:rsidRDefault="00AE0459" w:rsidP="00AE0459">
      <w:pPr>
        <w:spacing w:line="240" w:lineRule="auto"/>
        <w:jc w:val="center"/>
        <w:rPr>
          <w:rFonts w:ascii="Arial" w:hAnsi="Arial" w:cs="Arial"/>
          <w:szCs w:val="24"/>
        </w:rPr>
      </w:pPr>
      <w:r w:rsidRPr="005A4982">
        <w:rPr>
          <w:rFonts w:ascii="Arial" w:hAnsi="Arial" w:cs="Arial"/>
          <w:szCs w:val="24"/>
        </w:rPr>
        <w:t>Juan Carlos Mora Chaparro</w:t>
      </w:r>
    </w:p>
    <w:p w:rsidR="00AE0459" w:rsidRPr="005A4982" w:rsidRDefault="00AE0459" w:rsidP="00AE0459">
      <w:pPr>
        <w:spacing w:line="240" w:lineRule="auto"/>
        <w:jc w:val="center"/>
        <w:rPr>
          <w:rFonts w:ascii="Arial" w:hAnsi="Arial" w:cs="Arial"/>
          <w:szCs w:val="24"/>
        </w:rPr>
      </w:pPr>
      <w:r w:rsidRPr="005A4982">
        <w:rPr>
          <w:rFonts w:ascii="Arial" w:hAnsi="Arial" w:cs="Arial"/>
          <w:szCs w:val="24"/>
        </w:rPr>
        <w:t>Universidad Nacional Autónoma de México</w:t>
      </w:r>
    </w:p>
    <w:p w:rsidR="00AE0459" w:rsidRPr="005A4982" w:rsidRDefault="00AE0459" w:rsidP="00AE0459">
      <w:pPr>
        <w:spacing w:line="240" w:lineRule="auto"/>
        <w:jc w:val="center"/>
        <w:rPr>
          <w:rFonts w:ascii="Arial" w:hAnsi="Arial" w:cs="Arial"/>
          <w:szCs w:val="24"/>
        </w:rPr>
      </w:pPr>
      <w:r w:rsidRPr="005A4982">
        <w:rPr>
          <w:rFonts w:ascii="Arial" w:hAnsi="Arial" w:cs="Arial"/>
          <w:szCs w:val="24"/>
        </w:rPr>
        <w:t>Unidad Morelia, Instituto de Geofísica UNAM</w:t>
      </w:r>
    </w:p>
    <w:p w:rsidR="00AE0459" w:rsidRPr="005A4982" w:rsidRDefault="00AE0459" w:rsidP="00AE0459">
      <w:pPr>
        <w:spacing w:line="240" w:lineRule="auto"/>
        <w:rPr>
          <w:rFonts w:ascii="Arial" w:hAnsi="Arial" w:cs="Arial"/>
          <w:szCs w:val="24"/>
        </w:rPr>
      </w:pPr>
    </w:p>
    <w:p w:rsidR="00AE0459" w:rsidRPr="005A4982" w:rsidRDefault="00AE0459" w:rsidP="00AE0459">
      <w:pPr>
        <w:pStyle w:val="1Titulo"/>
      </w:pPr>
      <w:bookmarkStart w:id="2" w:name="_Toc50031136"/>
      <w:r w:rsidRPr="005A4982">
        <w:t>Resumen</w:t>
      </w:r>
      <w:bookmarkEnd w:id="2"/>
    </w:p>
    <w:p w:rsidR="00AE0459" w:rsidRPr="005A4982" w:rsidRDefault="00AE0459" w:rsidP="003135F4">
      <w:pPr>
        <w:spacing w:line="240" w:lineRule="auto"/>
        <w:jc w:val="both"/>
        <w:rPr>
          <w:rFonts w:ascii="Arial" w:hAnsi="Arial" w:cs="Arial"/>
          <w:szCs w:val="24"/>
        </w:rPr>
      </w:pPr>
      <w:r w:rsidRPr="005A4982">
        <w:rPr>
          <w:rFonts w:ascii="Arial" w:hAnsi="Arial" w:cs="Arial"/>
          <w:szCs w:val="24"/>
        </w:rPr>
        <w:t>Elaborar una Carta Hidrográfica Urbana</w:t>
      </w:r>
      <w:r>
        <w:rPr>
          <w:rFonts w:ascii="Arial" w:hAnsi="Arial" w:cs="Arial"/>
          <w:szCs w:val="24"/>
        </w:rPr>
        <w:t xml:space="preserve"> (CHU)</w:t>
      </w:r>
      <w:r w:rsidRPr="005A4982">
        <w:rPr>
          <w:rFonts w:ascii="Arial" w:hAnsi="Arial" w:cs="Arial"/>
          <w:szCs w:val="24"/>
        </w:rPr>
        <w:t xml:space="preserve"> es indispensable en la actualidad para fomentar un mejor desarrollo urbano y la no construcción social de nuevas zonas de inundación, además </w:t>
      </w:r>
      <w:r>
        <w:rPr>
          <w:rFonts w:ascii="Arial" w:hAnsi="Arial" w:cs="Arial"/>
          <w:szCs w:val="24"/>
        </w:rPr>
        <w:t xml:space="preserve">de que va a servir como una herramienta para </w:t>
      </w:r>
      <w:r w:rsidRPr="005A4982">
        <w:rPr>
          <w:rFonts w:ascii="Arial" w:hAnsi="Arial" w:cs="Arial"/>
          <w:szCs w:val="24"/>
        </w:rPr>
        <w:t xml:space="preserve">controlar el flujo de agua por las calles y </w:t>
      </w:r>
      <w:r>
        <w:rPr>
          <w:rFonts w:ascii="Arial" w:hAnsi="Arial" w:cs="Arial"/>
          <w:szCs w:val="24"/>
        </w:rPr>
        <w:t xml:space="preserve">con ello proponer obras y programas preventivos para </w:t>
      </w:r>
      <w:r w:rsidRPr="005A4982">
        <w:rPr>
          <w:rFonts w:ascii="Arial" w:hAnsi="Arial" w:cs="Arial"/>
          <w:szCs w:val="24"/>
        </w:rPr>
        <w:t xml:space="preserve">disminuir las inundaciones y los daños que causan. Una Carta Hidrográfica Urbana se </w:t>
      </w:r>
      <w:r>
        <w:rPr>
          <w:rFonts w:ascii="Arial" w:hAnsi="Arial" w:cs="Arial"/>
          <w:szCs w:val="24"/>
        </w:rPr>
        <w:t xml:space="preserve">debe elaborar </w:t>
      </w:r>
      <w:r w:rsidRPr="005A4982">
        <w:rPr>
          <w:rFonts w:ascii="Arial" w:hAnsi="Arial" w:cs="Arial"/>
          <w:szCs w:val="24"/>
        </w:rPr>
        <w:t>sobre la carta urbana y está compuesta de Afluentes Urbanos (AU), Microcuencas Hidrográficas Urbanas</w:t>
      </w:r>
      <w:r>
        <w:rPr>
          <w:rFonts w:ascii="Arial" w:hAnsi="Arial" w:cs="Arial"/>
          <w:szCs w:val="24"/>
        </w:rPr>
        <w:t xml:space="preserve"> (MHU)</w:t>
      </w:r>
      <w:r w:rsidRPr="005A4982">
        <w:rPr>
          <w:rFonts w:ascii="Arial" w:hAnsi="Arial" w:cs="Arial"/>
          <w:szCs w:val="24"/>
        </w:rPr>
        <w:t xml:space="preserve"> y las Zonas en Peligro de Inundación</w:t>
      </w:r>
      <w:r>
        <w:rPr>
          <w:rFonts w:ascii="Arial" w:hAnsi="Arial" w:cs="Arial"/>
          <w:szCs w:val="24"/>
        </w:rPr>
        <w:t xml:space="preserve"> (ZOPI)</w:t>
      </w:r>
      <w:r w:rsidRPr="005A4982">
        <w:rPr>
          <w:rFonts w:ascii="Arial" w:hAnsi="Arial" w:cs="Arial"/>
          <w:szCs w:val="24"/>
        </w:rPr>
        <w:t xml:space="preserve">, la Vulnerabilidad Social Expuesta y la Vulnerabilidad Física expuesta. </w:t>
      </w:r>
    </w:p>
    <w:p w:rsidR="00AE0459" w:rsidRPr="005A4982" w:rsidRDefault="00AE0459" w:rsidP="003135F4">
      <w:pPr>
        <w:spacing w:line="240" w:lineRule="auto"/>
        <w:jc w:val="both"/>
        <w:rPr>
          <w:rFonts w:ascii="Arial" w:hAnsi="Arial" w:cs="Arial"/>
          <w:szCs w:val="24"/>
        </w:rPr>
      </w:pPr>
      <w:r w:rsidRPr="005A4982">
        <w:rPr>
          <w:rFonts w:ascii="Arial" w:hAnsi="Arial" w:cs="Arial"/>
          <w:szCs w:val="24"/>
        </w:rPr>
        <w:t xml:space="preserve">Una CHU es la representación a detalle de la dirección del flujo de agua </w:t>
      </w:r>
      <w:r>
        <w:rPr>
          <w:rFonts w:ascii="Arial" w:hAnsi="Arial" w:cs="Arial"/>
          <w:szCs w:val="24"/>
        </w:rPr>
        <w:t>pluvial en</w:t>
      </w:r>
      <w:r w:rsidRPr="005A4982">
        <w:rPr>
          <w:rFonts w:ascii="Arial" w:hAnsi="Arial" w:cs="Arial"/>
          <w:szCs w:val="24"/>
        </w:rPr>
        <w:t xml:space="preserve"> toda una zona urbana desde su origen</w:t>
      </w:r>
      <w:r>
        <w:rPr>
          <w:rFonts w:ascii="Arial" w:hAnsi="Arial" w:cs="Arial"/>
          <w:szCs w:val="24"/>
        </w:rPr>
        <w:t xml:space="preserve">, siguiendo </w:t>
      </w:r>
      <w:r w:rsidRPr="005A4982">
        <w:rPr>
          <w:rFonts w:ascii="Arial" w:hAnsi="Arial" w:cs="Arial"/>
          <w:szCs w:val="24"/>
        </w:rPr>
        <w:t>la trayectoria que sigue</w:t>
      </w:r>
      <w:r>
        <w:rPr>
          <w:rFonts w:ascii="Arial" w:hAnsi="Arial" w:cs="Arial"/>
          <w:szCs w:val="24"/>
        </w:rPr>
        <w:t xml:space="preserve"> por cada una de sus calles, </w:t>
      </w:r>
      <w:r w:rsidRPr="005A4982">
        <w:rPr>
          <w:rFonts w:ascii="Arial" w:hAnsi="Arial" w:cs="Arial"/>
          <w:szCs w:val="24"/>
        </w:rPr>
        <w:t>hasta su desfogue en un cauce, canal, otra calle o una zona de inundación. Una CHU sirve para identificar de donde viene el agua que convierte las calles en ríos urbanos y las zonas donde el agua se acumula</w:t>
      </w:r>
      <w:r>
        <w:rPr>
          <w:rFonts w:ascii="Arial" w:hAnsi="Arial" w:cs="Arial"/>
          <w:szCs w:val="24"/>
        </w:rPr>
        <w:t xml:space="preserve">, </w:t>
      </w:r>
      <w:r w:rsidRPr="005A4982">
        <w:rPr>
          <w:rFonts w:ascii="Arial" w:hAnsi="Arial" w:cs="Arial"/>
          <w:szCs w:val="24"/>
        </w:rPr>
        <w:t xml:space="preserve">en </w:t>
      </w:r>
      <w:r>
        <w:rPr>
          <w:rFonts w:ascii="Arial" w:hAnsi="Arial" w:cs="Arial"/>
          <w:szCs w:val="24"/>
        </w:rPr>
        <w:t xml:space="preserve">zonas de </w:t>
      </w:r>
      <w:r w:rsidRPr="005A4982">
        <w:rPr>
          <w:rFonts w:ascii="Arial" w:hAnsi="Arial" w:cs="Arial"/>
          <w:szCs w:val="24"/>
        </w:rPr>
        <w:t>peligro de inundación.</w:t>
      </w:r>
      <w:r>
        <w:rPr>
          <w:rFonts w:ascii="Arial" w:hAnsi="Arial" w:cs="Arial"/>
          <w:szCs w:val="24"/>
        </w:rPr>
        <w:t xml:space="preserve"> Una CHU deben ser realizadas en todas las zonas urbanas, ya que son una herramienta para identificar el origen y la dirección que sigue el agua que provoca inundaciones, y para hacer mejores programas de desarrollo urbano.</w:t>
      </w:r>
      <w:r w:rsidRPr="005A4982">
        <w:rPr>
          <w:rFonts w:ascii="Arial" w:hAnsi="Arial" w:cs="Arial"/>
          <w:szCs w:val="24"/>
        </w:rPr>
        <w:t xml:space="preserve"> </w:t>
      </w:r>
    </w:p>
    <w:p w:rsidR="00AE0459" w:rsidRPr="005A4982" w:rsidRDefault="00AE0459" w:rsidP="00AE0459">
      <w:pPr>
        <w:spacing w:line="240" w:lineRule="auto"/>
        <w:rPr>
          <w:rFonts w:ascii="Arial" w:hAnsi="Arial" w:cs="Arial"/>
          <w:szCs w:val="24"/>
        </w:rPr>
      </w:pPr>
    </w:p>
    <w:p w:rsidR="00AE0459" w:rsidRPr="005A4982" w:rsidRDefault="00AE0459" w:rsidP="00AE0459">
      <w:pPr>
        <w:pStyle w:val="1Titulo"/>
      </w:pPr>
      <w:bookmarkStart w:id="3" w:name="_Toc50031137"/>
      <w:r w:rsidRPr="005A4982">
        <w:t>Introducción</w:t>
      </w:r>
      <w:bookmarkEnd w:id="3"/>
    </w:p>
    <w:p w:rsidR="00AE0459" w:rsidRPr="005A4982" w:rsidRDefault="00AE0459" w:rsidP="003135F4">
      <w:pPr>
        <w:spacing w:line="240" w:lineRule="auto"/>
        <w:jc w:val="both"/>
        <w:rPr>
          <w:rFonts w:ascii="Arial" w:hAnsi="Arial" w:cs="Arial"/>
          <w:szCs w:val="24"/>
        </w:rPr>
      </w:pPr>
      <w:r w:rsidRPr="005A4982">
        <w:rPr>
          <w:rFonts w:ascii="Arial" w:hAnsi="Arial" w:cs="Arial"/>
          <w:szCs w:val="24"/>
        </w:rPr>
        <w:t>La Organización de las Naciones Unidas</w:t>
      </w:r>
      <w:r>
        <w:rPr>
          <w:rFonts w:ascii="Arial" w:hAnsi="Arial" w:cs="Arial"/>
          <w:szCs w:val="24"/>
        </w:rPr>
        <w:t xml:space="preserve"> </w:t>
      </w:r>
      <w:r w:rsidRPr="005A4982">
        <w:rPr>
          <w:rFonts w:ascii="Arial" w:hAnsi="Arial" w:cs="Arial"/>
          <w:szCs w:val="24"/>
        </w:rPr>
        <w:t>menciona que América Latina y el Caribe es la segunda región más propensa a desastres naturales, del año 2000 hasta enero del 2020 la región ha enfrentado un promedio de 17 huracanes anuales y 23 de ellos han sido de categoría 5</w:t>
      </w:r>
      <w:r>
        <w:rPr>
          <w:rFonts w:ascii="Arial" w:hAnsi="Arial" w:cs="Arial"/>
          <w:szCs w:val="24"/>
        </w:rPr>
        <w:t xml:space="preserve"> </w:t>
      </w:r>
      <w:r w:rsidRPr="00726A81">
        <w:rPr>
          <w:rFonts w:ascii="Arial" w:hAnsi="Arial" w:cs="Arial"/>
          <w:szCs w:val="24"/>
          <w:vertAlign w:val="superscript"/>
        </w:rPr>
        <w:t>[1]</w:t>
      </w:r>
      <w:r w:rsidRPr="005A4982">
        <w:rPr>
          <w:rFonts w:ascii="Arial" w:hAnsi="Arial" w:cs="Arial"/>
          <w:szCs w:val="24"/>
        </w:rPr>
        <w:t>. La Tormentas más frecuentes e intensas en la región significa que hay menos tiempo para la recuperación entre eventos, en los últimos 20 años, los países más afectados por las tormentas en la región han sido Cuba, México y Haití con 110 tormentas, 5000 muertes, 29 millones de personas siniestradas y 39.000 millones de dólares en daños totales</w:t>
      </w:r>
      <w:r>
        <w:rPr>
          <w:rFonts w:ascii="Arial" w:hAnsi="Arial" w:cs="Arial"/>
          <w:szCs w:val="24"/>
        </w:rPr>
        <w:t xml:space="preserve"> </w:t>
      </w:r>
      <w:r w:rsidRPr="00726A81">
        <w:rPr>
          <w:rFonts w:ascii="Arial" w:hAnsi="Arial" w:cs="Arial"/>
          <w:szCs w:val="24"/>
          <w:vertAlign w:val="superscript"/>
        </w:rPr>
        <w:t>[1]</w:t>
      </w:r>
      <w:r w:rsidRPr="005A4982">
        <w:rPr>
          <w:rFonts w:ascii="Arial" w:hAnsi="Arial" w:cs="Arial"/>
          <w:szCs w:val="24"/>
        </w:rPr>
        <w:t xml:space="preserve">. Las inundaciones son el desastre más común en la mayoría de las ciudades en América y El Caribe. Las inundaciones se consideran una de las catástrofes naturales más costosas debido a la gran variedad y al alcance de los daños. Unos 34 millones de personas han sido afectadas en América y El Caribe, especialmente en México y las islas del Caribe, </w:t>
      </w:r>
      <w:r>
        <w:rPr>
          <w:rFonts w:ascii="Arial" w:hAnsi="Arial" w:cs="Arial"/>
          <w:szCs w:val="24"/>
        </w:rPr>
        <w:t xml:space="preserve">se encuentran </w:t>
      </w:r>
      <w:r w:rsidRPr="005A4982">
        <w:rPr>
          <w:rFonts w:ascii="Arial" w:hAnsi="Arial" w:cs="Arial"/>
          <w:szCs w:val="24"/>
        </w:rPr>
        <w:t>afectados por estos fenómenos naturales en los pasados 20 años. Brasil se encuentra entre los principales países del mundo con mayor población expuesta a estas catástrofes, pero Colombia, Panamá, Costa Rica, Venezuela, Perú, Bolivia, Uruguay y Argentina también han sido afectados. Según la ONU las tormentas que afectan a Centroamérica y el Caribe son cada vez más poderosas y producen un aumento de las precipitaciones</w:t>
      </w:r>
      <w:r w:rsidRPr="00726A81">
        <w:rPr>
          <w:rFonts w:ascii="Arial" w:hAnsi="Arial" w:cs="Arial"/>
          <w:szCs w:val="24"/>
          <w:vertAlign w:val="superscript"/>
        </w:rPr>
        <w:t xml:space="preserve"> [1]</w:t>
      </w:r>
      <w:r w:rsidRPr="005A4982">
        <w:rPr>
          <w:rFonts w:ascii="Arial" w:hAnsi="Arial" w:cs="Arial"/>
          <w:szCs w:val="24"/>
        </w:rPr>
        <w:t>.</w:t>
      </w:r>
    </w:p>
    <w:p w:rsidR="00AE0459" w:rsidRPr="005A4982" w:rsidRDefault="00AE0459" w:rsidP="00AE0459">
      <w:pPr>
        <w:spacing w:line="240" w:lineRule="auto"/>
        <w:rPr>
          <w:rFonts w:ascii="Arial" w:hAnsi="Arial" w:cs="Arial"/>
          <w:szCs w:val="24"/>
        </w:rPr>
      </w:pPr>
      <w:r w:rsidRPr="005A4982">
        <w:rPr>
          <w:rFonts w:ascii="Arial" w:hAnsi="Arial" w:cs="Arial"/>
          <w:szCs w:val="24"/>
        </w:rPr>
        <w:t>Las zonas urbanas, en general, se han establecido en una cuenca o subcuenca hidrológica, las cuales reciben el agua de sus diferentes afluentes y cada afluente tiene su propia microcuenca.</w:t>
      </w:r>
    </w:p>
    <w:p w:rsidR="00AE0459" w:rsidRPr="005A4982" w:rsidRDefault="00AE0459" w:rsidP="003135F4">
      <w:pPr>
        <w:spacing w:line="240" w:lineRule="auto"/>
        <w:jc w:val="both"/>
        <w:rPr>
          <w:rFonts w:ascii="Arial" w:hAnsi="Arial" w:cs="Arial"/>
          <w:szCs w:val="24"/>
        </w:rPr>
      </w:pPr>
      <w:r w:rsidRPr="005A4982">
        <w:rPr>
          <w:rFonts w:ascii="Arial" w:hAnsi="Arial" w:cs="Arial"/>
          <w:szCs w:val="24"/>
        </w:rPr>
        <w:lastRenderedPageBreak/>
        <w:t>Las cuencas, subcuencas y microcuencas naturales han sufrido una drástica y acelerada transformación, y ha traído como consecuencia diferentes afectaciones tanto en la superficie como en el subsuelo. La transformación es causada principalmente por la deforestación y el recubrimiento de los suelos, a los cuales ha convertido en suelos impermeables, lo que ha dado origen a la consecuente disminución de la filtración del agua en el subsuelo y el incremento exponencial del agua de escorrentía. Lo anterior ha provocado el desbordamiento de los ríos y afluentes, además del incremento del agua que corre en las calles, las cuales se convierten en ríos que llegan hasta las zonas más bajas y provocan severas inundaciones con numerosos e incuantificables daños a la actividad económica y social donde se presentan.</w:t>
      </w:r>
    </w:p>
    <w:p w:rsidR="00AE0459" w:rsidRPr="005A4982" w:rsidRDefault="00AE0459" w:rsidP="003135F4">
      <w:pPr>
        <w:spacing w:line="240" w:lineRule="auto"/>
        <w:jc w:val="both"/>
        <w:rPr>
          <w:rFonts w:ascii="Arial" w:hAnsi="Arial" w:cs="Arial"/>
          <w:szCs w:val="24"/>
        </w:rPr>
      </w:pPr>
      <w:r w:rsidRPr="005A4982">
        <w:rPr>
          <w:rFonts w:ascii="Arial" w:hAnsi="Arial" w:cs="Arial"/>
          <w:szCs w:val="24"/>
        </w:rPr>
        <w:t>Antes de iniciar el desarrollo urbano en cada cuenca, subcuenca o microcuenca existía un flujo de agua natural, en el que se concentraban sus afluentes a un río principal. Con el desarrollo urbano los usos del suelo en las cuencas cambiaron drásticamente de suelos de bosques a suelos agrícolas y posteriormente a suelos urbanos.</w:t>
      </w:r>
    </w:p>
    <w:p w:rsidR="00AE0459" w:rsidRPr="005A4982" w:rsidRDefault="00AE0459" w:rsidP="003135F4">
      <w:pPr>
        <w:spacing w:line="240" w:lineRule="auto"/>
        <w:jc w:val="both"/>
        <w:rPr>
          <w:rFonts w:ascii="Arial" w:hAnsi="Arial" w:cs="Arial"/>
          <w:szCs w:val="24"/>
        </w:rPr>
      </w:pPr>
      <w:r w:rsidRPr="005A4982">
        <w:rPr>
          <w:rFonts w:ascii="Arial" w:hAnsi="Arial" w:cs="Arial"/>
          <w:szCs w:val="24"/>
        </w:rPr>
        <w:t>Durante este crecimiento urbano los cauces tanto de los afluentes como del río principal de las cuencas, subcuencas o microcuencas hidrográficas naturales, han sufrido numerosas modificaciones: han sido entubados, embovedados o convertidos en canales a cielo abierto; en general, se ha reducido su área hidráulica original y otros han pasado a ser calles asfaltadas o pavimentadas. Esto ha generado la transformación de la Red Hidrográfica Natural en una nueva Red Hidrográfica Urbana y, por consiguiente, en la conformación de la red hidrográfica urbana.</w:t>
      </w:r>
    </w:p>
    <w:p w:rsidR="00AE0459" w:rsidRPr="005A4982" w:rsidRDefault="00AE0459" w:rsidP="003135F4">
      <w:pPr>
        <w:spacing w:line="240" w:lineRule="auto"/>
        <w:jc w:val="both"/>
        <w:rPr>
          <w:rFonts w:ascii="Arial" w:hAnsi="Arial" w:cs="Arial"/>
          <w:color w:val="000000"/>
          <w:szCs w:val="24"/>
        </w:rPr>
      </w:pPr>
      <w:r>
        <w:rPr>
          <w:rFonts w:ascii="Arial" w:hAnsi="Arial" w:cs="Arial"/>
          <w:color w:val="000000"/>
          <w:szCs w:val="24"/>
        </w:rPr>
        <w:t xml:space="preserve">Diversos investigadores </w:t>
      </w:r>
      <w:r w:rsidRPr="005A4982">
        <w:rPr>
          <w:rFonts w:ascii="Arial" w:hAnsi="Arial" w:cs="Arial"/>
          <w:color w:val="000000"/>
          <w:szCs w:val="24"/>
        </w:rPr>
        <w:t>evidenciaron que los actuales procesos de urbanización e industrialización generan mayores riesgos en las ciudades</w:t>
      </w:r>
      <w:r w:rsidRPr="00726A81">
        <w:rPr>
          <w:rFonts w:ascii="Arial" w:hAnsi="Arial" w:cs="Arial"/>
          <w:color w:val="000000"/>
          <w:szCs w:val="24"/>
          <w:vertAlign w:val="superscript"/>
        </w:rPr>
        <w:t xml:space="preserve"> [2][3]</w:t>
      </w:r>
      <w:r>
        <w:rPr>
          <w:rFonts w:ascii="Arial" w:hAnsi="Arial" w:cs="Arial"/>
          <w:color w:val="000000"/>
          <w:szCs w:val="24"/>
        </w:rPr>
        <w:t xml:space="preserve">. El incremento del riesgo </w:t>
      </w:r>
      <w:r w:rsidRPr="005A4982">
        <w:rPr>
          <w:rFonts w:ascii="Arial" w:hAnsi="Arial" w:cs="Arial"/>
          <w:color w:val="000000"/>
          <w:szCs w:val="24"/>
        </w:rPr>
        <w:t>en el ámbito urbano</w:t>
      </w:r>
      <w:r>
        <w:rPr>
          <w:rFonts w:ascii="Arial" w:hAnsi="Arial" w:cs="Arial"/>
          <w:color w:val="000000"/>
          <w:szCs w:val="24"/>
        </w:rPr>
        <w:t xml:space="preserve">, se atribuye a </w:t>
      </w:r>
      <w:r w:rsidRPr="005A4982">
        <w:rPr>
          <w:rFonts w:ascii="Arial" w:hAnsi="Arial" w:cs="Arial"/>
          <w:color w:val="000000"/>
          <w:szCs w:val="24"/>
        </w:rPr>
        <w:t xml:space="preserve">los elevados índices de vulnerabilidad y las condiciones de marginalidad </w:t>
      </w:r>
      <w:r>
        <w:rPr>
          <w:rFonts w:ascii="Arial" w:hAnsi="Arial" w:cs="Arial"/>
          <w:color w:val="000000"/>
          <w:szCs w:val="24"/>
        </w:rPr>
        <w:t xml:space="preserve">que </w:t>
      </w:r>
      <w:r w:rsidRPr="005A4982">
        <w:rPr>
          <w:rFonts w:ascii="Arial" w:hAnsi="Arial" w:cs="Arial"/>
          <w:color w:val="000000"/>
          <w:szCs w:val="24"/>
        </w:rPr>
        <w:t>son un factor determinante</w:t>
      </w:r>
      <w:r w:rsidRPr="00726A81">
        <w:rPr>
          <w:rFonts w:ascii="Arial" w:hAnsi="Arial" w:cs="Arial"/>
          <w:color w:val="000000"/>
          <w:szCs w:val="24"/>
          <w:vertAlign w:val="superscript"/>
        </w:rPr>
        <w:t xml:space="preserve"> [4]</w:t>
      </w:r>
      <w:r w:rsidRPr="005A4982">
        <w:rPr>
          <w:rFonts w:ascii="Arial" w:hAnsi="Arial" w:cs="Arial"/>
          <w:color w:val="000000"/>
          <w:szCs w:val="24"/>
        </w:rPr>
        <w:t>. Los usos urbanos (edificaciones, viviendas e infraestructura urbana) y la red de transporte intervienen o, en ocasiones, reemplazan los cursos naturales de agua, afectando la geometría de la red de drenaje y reduciendo sistemáticamente la densidad de la misma</w:t>
      </w:r>
      <w:r w:rsidRPr="00726A81">
        <w:rPr>
          <w:rFonts w:ascii="Arial" w:hAnsi="Arial" w:cs="Arial"/>
          <w:color w:val="000000"/>
          <w:szCs w:val="24"/>
          <w:vertAlign w:val="superscript"/>
        </w:rPr>
        <w:t xml:space="preserve"> [5]</w:t>
      </w:r>
      <w:r w:rsidRPr="005A4982">
        <w:rPr>
          <w:rFonts w:ascii="Arial" w:hAnsi="Arial" w:cs="Arial"/>
          <w:color w:val="000000"/>
          <w:szCs w:val="24"/>
        </w:rPr>
        <w:t>.</w:t>
      </w:r>
    </w:p>
    <w:p w:rsidR="00AE0459" w:rsidRPr="005A4982" w:rsidRDefault="00AE0459" w:rsidP="003135F4">
      <w:pPr>
        <w:spacing w:line="240" w:lineRule="auto"/>
        <w:jc w:val="both"/>
        <w:rPr>
          <w:rFonts w:ascii="Arial" w:hAnsi="Arial" w:cs="Arial"/>
          <w:szCs w:val="24"/>
        </w:rPr>
      </w:pPr>
      <w:r>
        <w:rPr>
          <w:rFonts w:ascii="Arial" w:hAnsi="Arial" w:cs="Arial"/>
          <w:szCs w:val="24"/>
        </w:rPr>
        <w:t xml:space="preserve">La </w:t>
      </w:r>
      <w:r w:rsidRPr="005A4982">
        <w:rPr>
          <w:rFonts w:ascii="Arial" w:hAnsi="Arial" w:cs="Arial"/>
          <w:szCs w:val="24"/>
        </w:rPr>
        <w:t>urbanización ha modificado considerablemente los ciclos naturales en las cuencas hidrológicas con el constante cambio de uso del suelo, en el que existe un aumento del área impermeabilizada y una disminución o eliminación de la cobertura vegetal</w:t>
      </w:r>
      <w:r>
        <w:rPr>
          <w:rFonts w:ascii="Arial" w:hAnsi="Arial" w:cs="Arial"/>
          <w:szCs w:val="24"/>
        </w:rPr>
        <w:t xml:space="preserve"> </w:t>
      </w:r>
      <w:r w:rsidRPr="00726A81">
        <w:rPr>
          <w:rFonts w:ascii="Arial" w:hAnsi="Arial" w:cs="Arial"/>
          <w:szCs w:val="24"/>
          <w:vertAlign w:val="superscript"/>
        </w:rPr>
        <w:t>[6]</w:t>
      </w:r>
      <w:r w:rsidRPr="005A4982">
        <w:rPr>
          <w:rFonts w:ascii="Arial" w:hAnsi="Arial" w:cs="Arial"/>
          <w:szCs w:val="24"/>
        </w:rPr>
        <w:t>.</w:t>
      </w:r>
    </w:p>
    <w:p w:rsidR="00AE0459" w:rsidRPr="005A4982" w:rsidRDefault="00AE0459" w:rsidP="003135F4">
      <w:pPr>
        <w:spacing w:line="240" w:lineRule="auto"/>
        <w:jc w:val="both"/>
        <w:rPr>
          <w:rFonts w:ascii="Arial" w:hAnsi="Arial" w:cs="Arial"/>
          <w:szCs w:val="24"/>
        </w:rPr>
      </w:pPr>
      <w:r w:rsidRPr="005A4982">
        <w:rPr>
          <w:rFonts w:ascii="Arial" w:hAnsi="Arial" w:cs="Arial"/>
          <w:szCs w:val="24"/>
        </w:rPr>
        <w:t xml:space="preserve">Una Carta Hidrográfica Urbana (CHU) es la representación a detalle de la dirección del flujo de agua pluvial que sigue la pendiente de cada una de las calles en una zona urbana. Una CHU sirve para identificar el origen del agua que convierte a las calles en ríos urbanos y que, al acumularse, en ciertos sitios, se convierte en un peligro de inundación, </w:t>
      </w:r>
      <w:r>
        <w:rPr>
          <w:rFonts w:ascii="Arial" w:hAnsi="Arial" w:cs="Arial"/>
          <w:szCs w:val="24"/>
        </w:rPr>
        <w:t xml:space="preserve">cuando </w:t>
      </w:r>
      <w:r w:rsidRPr="005A4982">
        <w:rPr>
          <w:rFonts w:ascii="Arial" w:hAnsi="Arial" w:cs="Arial"/>
          <w:szCs w:val="24"/>
        </w:rPr>
        <w:t xml:space="preserve">ambos se presentan provocan severos daños a sus habitantes. </w:t>
      </w:r>
    </w:p>
    <w:p w:rsidR="00AE0459" w:rsidRPr="005A4982" w:rsidRDefault="00AE0459" w:rsidP="003135F4">
      <w:pPr>
        <w:spacing w:line="240" w:lineRule="auto"/>
        <w:jc w:val="both"/>
        <w:rPr>
          <w:rFonts w:ascii="Arial" w:hAnsi="Arial" w:cs="Arial"/>
          <w:szCs w:val="24"/>
        </w:rPr>
      </w:pPr>
      <w:r w:rsidRPr="005A4982">
        <w:rPr>
          <w:rFonts w:ascii="Arial" w:hAnsi="Arial" w:cs="Arial"/>
          <w:szCs w:val="24"/>
        </w:rPr>
        <w:t xml:space="preserve">En la actualidad el desarrollo urbano no ha tomado en cuenta el flujo de agua por las calles, por lo que durante su crecimiento se incrementa la escorrentía superficial por la impermeabilización del terreno y al conectar las nuevas vialidades con las ya existentes, se direcciona y concentra el flujo de agua que corre por las mismas, hasta convertirlas en ríos o afluentes urbanos y zonas de inundación. Una CHU al tener la dirección que sigue el agua por las calles, las calles que se convierten en ríos y las zonas de inundación, va a servir como una herramienta para la toma de decisiones y evitar inundaciones, así como para promover un crecimiento urbano sin fomentar la construcción del riesgo de inundación.   </w:t>
      </w:r>
    </w:p>
    <w:p w:rsidR="00AE0459" w:rsidRDefault="00AE0459" w:rsidP="00AE0459">
      <w:pPr>
        <w:spacing w:line="240" w:lineRule="auto"/>
        <w:rPr>
          <w:rFonts w:ascii="Arial" w:hAnsi="Arial" w:cs="Arial"/>
          <w:szCs w:val="24"/>
        </w:rPr>
      </w:pPr>
      <w:r w:rsidRPr="005A4982">
        <w:rPr>
          <w:rFonts w:ascii="Arial" w:hAnsi="Arial" w:cs="Arial"/>
          <w:szCs w:val="24"/>
        </w:rPr>
        <w:t>En este trabajo se presenta qué es una Carta Hidrográfica Urbana (CHU)</w:t>
      </w:r>
      <w:r>
        <w:rPr>
          <w:rFonts w:ascii="Arial" w:hAnsi="Arial" w:cs="Arial"/>
          <w:szCs w:val="24"/>
        </w:rPr>
        <w:t>, cual podría ser uso</w:t>
      </w:r>
      <w:r w:rsidRPr="005A4982">
        <w:rPr>
          <w:rFonts w:ascii="Arial" w:hAnsi="Arial" w:cs="Arial"/>
          <w:szCs w:val="24"/>
        </w:rPr>
        <w:t>, como se elabora y cuáles son los beneficios asociados.</w:t>
      </w:r>
    </w:p>
    <w:p w:rsidR="00AE0459" w:rsidRPr="005A4982" w:rsidRDefault="00AE0459" w:rsidP="00AE0459">
      <w:pPr>
        <w:pStyle w:val="1Titulo"/>
      </w:pPr>
      <w:r w:rsidRPr="005A4982">
        <w:t xml:space="preserve">      </w:t>
      </w:r>
      <w:bookmarkStart w:id="4" w:name="_Toc50031138"/>
      <w:r w:rsidRPr="005A4982">
        <w:t>Carta Hidrográfica Urbana (CHU)</w:t>
      </w:r>
      <w:bookmarkEnd w:id="4"/>
    </w:p>
    <w:p w:rsidR="00AE0459" w:rsidRDefault="00AE0459" w:rsidP="003135F4">
      <w:pPr>
        <w:spacing w:line="240" w:lineRule="auto"/>
        <w:jc w:val="both"/>
        <w:rPr>
          <w:rFonts w:ascii="Arial" w:hAnsi="Arial" w:cs="Arial"/>
          <w:szCs w:val="24"/>
        </w:rPr>
      </w:pPr>
      <w:r w:rsidRPr="005A4982">
        <w:rPr>
          <w:rFonts w:ascii="Arial" w:hAnsi="Arial" w:cs="Arial"/>
          <w:szCs w:val="24"/>
        </w:rPr>
        <w:lastRenderedPageBreak/>
        <w:t>La</w:t>
      </w:r>
      <w:r>
        <w:rPr>
          <w:rFonts w:ascii="Arial" w:hAnsi="Arial" w:cs="Arial"/>
          <w:szCs w:val="24"/>
        </w:rPr>
        <w:t>s</w:t>
      </w:r>
      <w:r w:rsidRPr="005A4982">
        <w:rPr>
          <w:rFonts w:ascii="Arial" w:hAnsi="Arial" w:cs="Arial"/>
          <w:szCs w:val="24"/>
        </w:rPr>
        <w:t xml:space="preserve"> zona</w:t>
      </w:r>
      <w:r>
        <w:rPr>
          <w:rFonts w:ascii="Arial" w:hAnsi="Arial" w:cs="Arial"/>
          <w:szCs w:val="24"/>
        </w:rPr>
        <w:t>s</w:t>
      </w:r>
      <w:r w:rsidRPr="005A4982">
        <w:rPr>
          <w:rFonts w:ascii="Arial" w:hAnsi="Arial" w:cs="Arial"/>
          <w:szCs w:val="24"/>
        </w:rPr>
        <w:t xml:space="preserve"> urbana</w:t>
      </w:r>
      <w:r>
        <w:rPr>
          <w:rFonts w:ascii="Arial" w:hAnsi="Arial" w:cs="Arial"/>
          <w:szCs w:val="24"/>
        </w:rPr>
        <w:t>s</w:t>
      </w:r>
      <w:r w:rsidRPr="005A4982">
        <w:rPr>
          <w:rFonts w:ascii="Arial" w:hAnsi="Arial" w:cs="Arial"/>
          <w:szCs w:val="24"/>
        </w:rPr>
        <w:t xml:space="preserve"> </w:t>
      </w:r>
      <w:r>
        <w:rPr>
          <w:rFonts w:ascii="Arial" w:hAnsi="Arial" w:cs="Arial"/>
          <w:szCs w:val="24"/>
        </w:rPr>
        <w:t xml:space="preserve">inician su desarrollo los valles que se localizan al lado de los ríos, los cuales forman parte de </w:t>
      </w:r>
      <w:r w:rsidRPr="005A4982">
        <w:rPr>
          <w:rFonts w:ascii="Arial" w:hAnsi="Arial" w:cs="Arial"/>
          <w:szCs w:val="24"/>
        </w:rPr>
        <w:t>una Cuenca o Subcuenca Hidrográfica Natural, en la</w:t>
      </w:r>
      <w:r>
        <w:rPr>
          <w:rFonts w:ascii="Arial" w:hAnsi="Arial" w:cs="Arial"/>
          <w:szCs w:val="24"/>
        </w:rPr>
        <w:t>s</w:t>
      </w:r>
      <w:r w:rsidRPr="005A4982">
        <w:rPr>
          <w:rFonts w:ascii="Arial" w:hAnsi="Arial" w:cs="Arial"/>
          <w:szCs w:val="24"/>
        </w:rPr>
        <w:t xml:space="preserve"> que </w:t>
      </w:r>
      <w:r>
        <w:rPr>
          <w:rFonts w:ascii="Arial" w:hAnsi="Arial" w:cs="Arial"/>
          <w:szCs w:val="24"/>
        </w:rPr>
        <w:t xml:space="preserve">por naturaleza </w:t>
      </w:r>
      <w:r w:rsidRPr="005A4982">
        <w:rPr>
          <w:rFonts w:ascii="Arial" w:hAnsi="Arial" w:cs="Arial"/>
          <w:szCs w:val="24"/>
        </w:rPr>
        <w:t>existe</w:t>
      </w:r>
      <w:r>
        <w:rPr>
          <w:rFonts w:ascii="Arial" w:hAnsi="Arial" w:cs="Arial"/>
          <w:szCs w:val="24"/>
        </w:rPr>
        <w:t>n</w:t>
      </w:r>
      <w:r w:rsidRPr="005A4982">
        <w:rPr>
          <w:rFonts w:ascii="Arial" w:hAnsi="Arial" w:cs="Arial"/>
          <w:szCs w:val="24"/>
        </w:rPr>
        <w:t xml:space="preserve"> una intensa biodiversidad, bosques, suelos fértiles y </w:t>
      </w:r>
      <w:r>
        <w:rPr>
          <w:rFonts w:ascii="Arial" w:hAnsi="Arial" w:cs="Arial"/>
          <w:szCs w:val="24"/>
        </w:rPr>
        <w:t xml:space="preserve">abundante </w:t>
      </w:r>
      <w:r w:rsidRPr="005A4982">
        <w:rPr>
          <w:rFonts w:ascii="Arial" w:hAnsi="Arial" w:cs="Arial"/>
          <w:szCs w:val="24"/>
        </w:rPr>
        <w:t xml:space="preserve">agua. </w:t>
      </w:r>
      <w:r>
        <w:rPr>
          <w:rFonts w:ascii="Arial" w:hAnsi="Arial" w:cs="Arial"/>
          <w:szCs w:val="24"/>
        </w:rPr>
        <w:t xml:space="preserve">El agua en una cuenca se infiltra hacia el subsuelo y recarga los acuíferos, y escurre </w:t>
      </w:r>
      <w:r w:rsidRPr="005A4982">
        <w:rPr>
          <w:rFonts w:ascii="Arial" w:hAnsi="Arial" w:cs="Arial"/>
          <w:szCs w:val="24"/>
        </w:rPr>
        <w:t>desde sus partes más altas</w:t>
      </w:r>
      <w:r>
        <w:rPr>
          <w:rFonts w:ascii="Arial" w:hAnsi="Arial" w:cs="Arial"/>
          <w:szCs w:val="24"/>
        </w:rPr>
        <w:t xml:space="preserve"> (p</w:t>
      </w:r>
      <w:r w:rsidRPr="005A4982">
        <w:rPr>
          <w:rFonts w:ascii="Arial" w:hAnsi="Arial" w:cs="Arial"/>
          <w:szCs w:val="24"/>
        </w:rPr>
        <w:t>arteaguas</w:t>
      </w:r>
      <w:r>
        <w:rPr>
          <w:rFonts w:ascii="Arial" w:hAnsi="Arial" w:cs="Arial"/>
          <w:szCs w:val="24"/>
        </w:rPr>
        <w:t>)</w:t>
      </w:r>
      <w:r w:rsidRPr="005A4982">
        <w:rPr>
          <w:rFonts w:ascii="Arial" w:hAnsi="Arial" w:cs="Arial"/>
          <w:szCs w:val="24"/>
        </w:rPr>
        <w:t>, hacia las zonas más bajas a través de</w:t>
      </w:r>
      <w:r>
        <w:rPr>
          <w:rFonts w:ascii="Arial" w:hAnsi="Arial" w:cs="Arial"/>
          <w:szCs w:val="24"/>
        </w:rPr>
        <w:t xml:space="preserve"> </w:t>
      </w:r>
      <w:r w:rsidRPr="005A4982">
        <w:rPr>
          <w:rFonts w:ascii="Arial" w:hAnsi="Arial" w:cs="Arial"/>
          <w:szCs w:val="24"/>
        </w:rPr>
        <w:t>los afluentes</w:t>
      </w:r>
      <w:r>
        <w:rPr>
          <w:rFonts w:ascii="Arial" w:hAnsi="Arial" w:cs="Arial"/>
          <w:szCs w:val="24"/>
        </w:rPr>
        <w:t xml:space="preserve"> hasta </w:t>
      </w:r>
      <w:r w:rsidRPr="005A4982">
        <w:rPr>
          <w:rFonts w:ascii="Arial" w:hAnsi="Arial" w:cs="Arial"/>
          <w:szCs w:val="24"/>
        </w:rPr>
        <w:t>descarga</w:t>
      </w:r>
      <w:r>
        <w:rPr>
          <w:rFonts w:ascii="Arial" w:hAnsi="Arial" w:cs="Arial"/>
          <w:szCs w:val="24"/>
        </w:rPr>
        <w:t xml:space="preserve">r las mismas en </w:t>
      </w:r>
      <w:r w:rsidRPr="005A4982">
        <w:rPr>
          <w:rFonts w:ascii="Arial" w:hAnsi="Arial" w:cs="Arial"/>
          <w:szCs w:val="24"/>
        </w:rPr>
        <w:t>el río principal. Las comunidades</w:t>
      </w:r>
      <w:r>
        <w:rPr>
          <w:rFonts w:ascii="Arial" w:hAnsi="Arial" w:cs="Arial"/>
          <w:szCs w:val="24"/>
        </w:rPr>
        <w:t xml:space="preserve"> para aprovechar los suelos y el agua en la cuenca,</w:t>
      </w:r>
      <w:r w:rsidRPr="005A4982">
        <w:rPr>
          <w:rFonts w:ascii="Arial" w:hAnsi="Arial" w:cs="Arial"/>
          <w:szCs w:val="24"/>
        </w:rPr>
        <w:t xml:space="preserve"> se establecen en las zonas medias y altas, mientras que, en las zonas bajas </w:t>
      </w:r>
      <w:r>
        <w:rPr>
          <w:rFonts w:ascii="Arial" w:hAnsi="Arial" w:cs="Arial"/>
          <w:szCs w:val="24"/>
        </w:rPr>
        <w:t xml:space="preserve">los </w:t>
      </w:r>
      <w:r w:rsidRPr="005A4982">
        <w:rPr>
          <w:rFonts w:ascii="Arial" w:hAnsi="Arial" w:cs="Arial"/>
          <w:szCs w:val="24"/>
        </w:rPr>
        <w:t xml:space="preserve">valles, se desarrolla un mayor crecimiento urbano, </w:t>
      </w:r>
      <w:r>
        <w:rPr>
          <w:rFonts w:ascii="Arial" w:hAnsi="Arial" w:cs="Arial"/>
          <w:szCs w:val="24"/>
        </w:rPr>
        <w:t xml:space="preserve">que se convierte en una </w:t>
      </w:r>
      <w:r w:rsidRPr="005A4982">
        <w:rPr>
          <w:rFonts w:ascii="Arial" w:hAnsi="Arial" w:cs="Arial"/>
          <w:szCs w:val="24"/>
        </w:rPr>
        <w:t xml:space="preserve">ciudad (Figura 1). El crecimiento urbano en el valle cubre con carpeta asfáltica los suelos naturales y crea calles, los cauces naturales de los afluentes son entubados, embovedados, se convierten en canales o pasan a </w:t>
      </w:r>
      <w:r>
        <w:rPr>
          <w:rFonts w:ascii="Arial" w:hAnsi="Arial" w:cs="Arial"/>
          <w:szCs w:val="24"/>
        </w:rPr>
        <w:t>ser las calles</w:t>
      </w:r>
      <w:r w:rsidRPr="005A4982">
        <w:rPr>
          <w:rFonts w:ascii="Arial" w:hAnsi="Arial" w:cs="Arial"/>
          <w:szCs w:val="24"/>
        </w:rPr>
        <w:t xml:space="preserve"> (Figura 1). </w:t>
      </w:r>
    </w:p>
    <w:p w:rsidR="00AE0459" w:rsidRPr="004212A2" w:rsidRDefault="00AE0459" w:rsidP="00AE0459">
      <w:pPr>
        <w:spacing w:line="240" w:lineRule="auto"/>
        <w:rPr>
          <w:rFonts w:ascii="Arial" w:hAnsi="Arial" w:cs="Arial"/>
          <w:szCs w:val="24"/>
        </w:rPr>
      </w:pPr>
      <w:r w:rsidRPr="004212A2">
        <w:rPr>
          <w:rFonts w:ascii="Arial" w:hAnsi="Arial" w:cs="Arial"/>
          <w:szCs w:val="24"/>
        </w:rPr>
        <w:t>Una Carta Hidrográfica Urbana se elabora siguiendo los siguientes pasos.</w:t>
      </w:r>
    </w:p>
    <w:p w:rsidR="00AE0459" w:rsidRPr="004212A2" w:rsidRDefault="00AE0459" w:rsidP="003135F4">
      <w:pPr>
        <w:spacing w:line="240" w:lineRule="auto"/>
        <w:jc w:val="both"/>
        <w:rPr>
          <w:rFonts w:ascii="Arial" w:hAnsi="Arial" w:cs="Arial"/>
          <w:szCs w:val="24"/>
        </w:rPr>
      </w:pPr>
      <w:r w:rsidRPr="004212A2">
        <w:rPr>
          <w:rFonts w:ascii="Arial" w:hAnsi="Arial" w:cs="Arial"/>
          <w:szCs w:val="24"/>
        </w:rPr>
        <w:t xml:space="preserve">- Se elije la zona urbana, la zona de estudio debe contar con la carta urbana donde se tengan identificadas las calles de la misma, si no se tiene, se debe de elaborar, ya que es la base para la CHU. </w:t>
      </w:r>
    </w:p>
    <w:p w:rsidR="00AE0459" w:rsidRPr="004212A2" w:rsidRDefault="00AE0459" w:rsidP="00AE0459">
      <w:pPr>
        <w:spacing w:line="240" w:lineRule="auto"/>
        <w:rPr>
          <w:rFonts w:ascii="Arial" w:hAnsi="Arial" w:cs="Arial"/>
          <w:szCs w:val="24"/>
        </w:rPr>
      </w:pPr>
      <w:r w:rsidRPr="004212A2">
        <w:rPr>
          <w:rFonts w:ascii="Arial" w:hAnsi="Arial" w:cs="Arial"/>
          <w:szCs w:val="24"/>
        </w:rPr>
        <w:t>- Se localiza la zona urbana dentro de la Cuenca o Subcuenca Hidrológica a la que pertenece.</w:t>
      </w:r>
    </w:p>
    <w:p w:rsidR="00AE0459" w:rsidRPr="004212A2" w:rsidRDefault="00AE0459" w:rsidP="00AE0459">
      <w:pPr>
        <w:spacing w:line="240" w:lineRule="auto"/>
        <w:rPr>
          <w:rFonts w:ascii="Arial" w:hAnsi="Arial" w:cs="Arial"/>
          <w:szCs w:val="24"/>
        </w:rPr>
      </w:pPr>
      <w:r w:rsidRPr="004212A2">
        <w:rPr>
          <w:rFonts w:ascii="Arial" w:hAnsi="Arial" w:cs="Arial"/>
          <w:szCs w:val="24"/>
        </w:rPr>
        <w:t>- Se obtiene la carta topográfica de la Cuenca o Subcuenca Hidrológica.</w:t>
      </w:r>
    </w:p>
    <w:p w:rsidR="00AE0459" w:rsidRPr="004212A2" w:rsidRDefault="00AE0459" w:rsidP="00AE0459">
      <w:pPr>
        <w:spacing w:line="240" w:lineRule="auto"/>
        <w:rPr>
          <w:rFonts w:ascii="Arial" w:hAnsi="Arial" w:cs="Arial"/>
          <w:szCs w:val="24"/>
        </w:rPr>
      </w:pPr>
      <w:r w:rsidRPr="004212A2">
        <w:rPr>
          <w:rFonts w:ascii="Arial" w:hAnsi="Arial" w:cs="Arial"/>
          <w:szCs w:val="24"/>
        </w:rPr>
        <w:t>- Se obtiene la Carta Hidrográfica Natural.</w:t>
      </w:r>
    </w:p>
    <w:p w:rsidR="00AE0459" w:rsidRPr="004212A2" w:rsidRDefault="00AE0459" w:rsidP="00AE0459">
      <w:pPr>
        <w:spacing w:line="240" w:lineRule="auto"/>
        <w:rPr>
          <w:rFonts w:ascii="Arial" w:hAnsi="Arial" w:cs="Arial"/>
          <w:szCs w:val="24"/>
        </w:rPr>
      </w:pPr>
      <w:r w:rsidRPr="004212A2">
        <w:rPr>
          <w:rFonts w:ascii="Arial" w:hAnsi="Arial" w:cs="Arial"/>
          <w:szCs w:val="24"/>
        </w:rPr>
        <w:t>- Se obtienen todas las Zonas de Peligro de Inundación.</w:t>
      </w:r>
    </w:p>
    <w:p w:rsidR="00AE0459" w:rsidRPr="004212A2" w:rsidRDefault="00AE0459" w:rsidP="003135F4">
      <w:pPr>
        <w:spacing w:line="240" w:lineRule="auto"/>
        <w:jc w:val="both"/>
        <w:rPr>
          <w:rFonts w:ascii="Arial" w:hAnsi="Arial" w:cs="Arial"/>
          <w:szCs w:val="24"/>
        </w:rPr>
      </w:pPr>
      <w:r w:rsidRPr="004212A2">
        <w:rPr>
          <w:rFonts w:ascii="Arial" w:hAnsi="Arial" w:cs="Arial"/>
          <w:szCs w:val="24"/>
        </w:rPr>
        <w:t>- Se sobreponen las cartas anteriores y se obtiene el mapa base con la topografía, las calles, avenidas, arroyos, zonas de conducción o acumulación de agua, ríos y cruces entre calles y calles y ríos o arroyos.</w:t>
      </w:r>
    </w:p>
    <w:p w:rsidR="00AE0459" w:rsidRPr="004212A2" w:rsidRDefault="00AE0459" w:rsidP="003135F4">
      <w:pPr>
        <w:spacing w:line="240" w:lineRule="auto"/>
        <w:jc w:val="both"/>
        <w:rPr>
          <w:rFonts w:ascii="Arial" w:hAnsi="Arial" w:cs="Arial"/>
          <w:szCs w:val="24"/>
        </w:rPr>
      </w:pPr>
      <w:r w:rsidRPr="004212A2">
        <w:rPr>
          <w:rFonts w:ascii="Arial" w:hAnsi="Arial" w:cs="Arial"/>
          <w:szCs w:val="24"/>
        </w:rPr>
        <w:t xml:space="preserve">- Sobre el mapa base y siguiendo la pendiente, curvas de nivel del mapa topográfico, se registra la dirección que sigue el flujo de agua y se identifica la intersección durante su trayecto con arroyos, cauces de arroyo o canales. En esta etapa se relaciona el flujo de agua por las calles con las zonas de Peligro de Inundación. </w:t>
      </w:r>
    </w:p>
    <w:p w:rsidR="00AE0459" w:rsidRPr="004212A2" w:rsidRDefault="00AE0459" w:rsidP="003135F4">
      <w:pPr>
        <w:spacing w:line="240" w:lineRule="auto"/>
        <w:jc w:val="both"/>
        <w:rPr>
          <w:rFonts w:ascii="Arial" w:hAnsi="Arial" w:cs="Arial"/>
          <w:szCs w:val="24"/>
        </w:rPr>
      </w:pPr>
      <w:r w:rsidRPr="004212A2">
        <w:rPr>
          <w:rFonts w:ascii="Arial" w:hAnsi="Arial" w:cs="Arial"/>
          <w:szCs w:val="24"/>
        </w:rPr>
        <w:t xml:space="preserve">- La carta resultante se utiliza como base para el trabajo de campo, en el que se va a verificar la pendiente, obstáculos o barreras, cruce de calles y cauces, además se va a verificar la delimitación de las Zonas de Peligro de Inundación y la altura que alcanza el agua en las mismas, a través de realizar encuestas a la población del lugar. </w:t>
      </w:r>
    </w:p>
    <w:p w:rsidR="00AE0459" w:rsidRPr="004212A2" w:rsidRDefault="00AE0459" w:rsidP="003135F4">
      <w:pPr>
        <w:spacing w:line="240" w:lineRule="auto"/>
        <w:rPr>
          <w:rFonts w:ascii="Arial" w:hAnsi="Arial" w:cs="Arial"/>
          <w:szCs w:val="24"/>
        </w:rPr>
      </w:pPr>
      <w:r w:rsidRPr="004212A2">
        <w:rPr>
          <w:rFonts w:ascii="Arial" w:hAnsi="Arial" w:cs="Arial"/>
          <w:szCs w:val="24"/>
        </w:rPr>
        <w:t>- Con los resultados obtenidos en campo, se incorporan y se obtiene la Carta Hidrográfica Urbana con las Microcuencas Hidrográficas Urbanas asociadas o no a las Zonas de Peligro de Inundación.</w:t>
      </w:r>
    </w:p>
    <w:p w:rsidR="00AE0459" w:rsidRDefault="00AE0459" w:rsidP="003135F4">
      <w:pPr>
        <w:spacing w:line="240" w:lineRule="auto"/>
        <w:jc w:val="both"/>
        <w:rPr>
          <w:rFonts w:ascii="Arial" w:hAnsi="Arial" w:cs="Arial"/>
          <w:szCs w:val="24"/>
        </w:rPr>
      </w:pPr>
      <w:r w:rsidRPr="004212A2">
        <w:rPr>
          <w:rFonts w:ascii="Arial" w:hAnsi="Arial" w:cs="Arial"/>
          <w:szCs w:val="24"/>
        </w:rPr>
        <w:t>- Una vez identificadas las Microcuencas Hidrográficas Urbanas asociadas a las Zonas de Peligro de Inundación, se realizará un mayor detalle en cada una de estas microcuencas para identificar las calles y las áreas que aportan un mayor volumen de agua, mediante la clasificación de los niveles de cada afluente e identificación de los afluentes principales.</w:t>
      </w:r>
    </w:p>
    <w:p w:rsidR="00AE0459" w:rsidRDefault="00AE0459" w:rsidP="00AE0459">
      <w:pPr>
        <w:spacing w:line="240" w:lineRule="auto"/>
        <w:rPr>
          <w:rFonts w:ascii="Arial" w:hAnsi="Arial" w:cs="Arial"/>
          <w:szCs w:val="24"/>
        </w:rPr>
      </w:pPr>
    </w:p>
    <w:p w:rsidR="00AE0459" w:rsidRPr="005A4982" w:rsidRDefault="00AE0459" w:rsidP="00AE0459">
      <w:pPr>
        <w:spacing w:line="240" w:lineRule="auto"/>
        <w:rPr>
          <w:rFonts w:ascii="Arial" w:hAnsi="Arial" w:cs="Arial"/>
          <w:szCs w:val="24"/>
        </w:rPr>
      </w:pPr>
      <w:r w:rsidRPr="005A4982">
        <w:rPr>
          <w:rFonts w:ascii="Arial" w:hAnsi="Arial" w:cs="Arial"/>
          <w:noProof/>
          <w:szCs w:val="24"/>
          <w:lang w:val="en-US"/>
        </w:rPr>
        <w:lastRenderedPageBreak/>
        <w:drawing>
          <wp:anchor distT="0" distB="0" distL="114300" distR="114300" simplePos="0" relativeHeight="251772928" behindDoc="0" locked="0" layoutInCell="1" allowOverlap="1" wp14:anchorId="5FAC3E0F" wp14:editId="6DD5A9C7">
            <wp:simplePos x="0" y="0"/>
            <wp:positionH relativeFrom="column">
              <wp:posOffset>3061970</wp:posOffset>
            </wp:positionH>
            <wp:positionV relativeFrom="paragraph">
              <wp:posOffset>0</wp:posOffset>
            </wp:positionV>
            <wp:extent cx="2738755" cy="1924050"/>
            <wp:effectExtent l="0" t="0" r="4445" b="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8755" cy="1924050"/>
                    </a:xfrm>
                    <a:prstGeom prst="rect">
                      <a:avLst/>
                    </a:prstGeom>
                    <a:noFill/>
                  </pic:spPr>
                </pic:pic>
              </a:graphicData>
            </a:graphic>
            <wp14:sizeRelH relativeFrom="margin">
              <wp14:pctWidth>0</wp14:pctWidth>
            </wp14:sizeRelH>
            <wp14:sizeRelV relativeFrom="margin">
              <wp14:pctHeight>0</wp14:pctHeight>
            </wp14:sizeRelV>
          </wp:anchor>
        </w:drawing>
      </w:r>
      <w:r w:rsidRPr="005A4982">
        <w:rPr>
          <w:rFonts w:ascii="Arial" w:hAnsi="Arial" w:cs="Arial"/>
          <w:noProof/>
          <w:szCs w:val="24"/>
          <w:lang w:val="en-US"/>
        </w:rPr>
        <w:drawing>
          <wp:anchor distT="0" distB="0" distL="114300" distR="114300" simplePos="0" relativeHeight="251771904" behindDoc="0" locked="0" layoutInCell="1" allowOverlap="1" wp14:anchorId="38DF1973" wp14:editId="61E028D1">
            <wp:simplePos x="0" y="0"/>
            <wp:positionH relativeFrom="margin">
              <wp:posOffset>88900</wp:posOffset>
            </wp:positionH>
            <wp:positionV relativeFrom="paragraph">
              <wp:posOffset>0</wp:posOffset>
            </wp:positionV>
            <wp:extent cx="2715895" cy="1955800"/>
            <wp:effectExtent l="0" t="0" r="8255" b="635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15895" cy="1955800"/>
                    </a:xfrm>
                    <a:prstGeom prst="rect">
                      <a:avLst/>
                    </a:prstGeom>
                    <a:noFill/>
                  </pic:spPr>
                </pic:pic>
              </a:graphicData>
            </a:graphic>
            <wp14:sizeRelH relativeFrom="margin">
              <wp14:pctWidth>0</wp14:pctWidth>
            </wp14:sizeRelH>
            <wp14:sizeRelV relativeFrom="margin">
              <wp14:pctHeight>0</wp14:pctHeight>
            </wp14:sizeRelV>
          </wp:anchor>
        </w:drawing>
      </w:r>
    </w:p>
    <w:p w:rsidR="00AE0459" w:rsidRPr="005A4982" w:rsidRDefault="00AE0459" w:rsidP="00AE0459">
      <w:pPr>
        <w:spacing w:line="240" w:lineRule="auto"/>
        <w:jc w:val="center"/>
        <w:rPr>
          <w:rFonts w:ascii="Arial" w:hAnsi="Arial" w:cs="Arial"/>
          <w:i/>
          <w:iCs/>
          <w:sz w:val="20"/>
          <w:szCs w:val="20"/>
        </w:rPr>
      </w:pPr>
      <w:r w:rsidRPr="005A4982">
        <w:rPr>
          <w:rFonts w:ascii="Arial" w:hAnsi="Arial" w:cs="Arial"/>
          <w:i/>
          <w:iCs/>
          <w:sz w:val="20"/>
          <w:szCs w:val="20"/>
        </w:rPr>
        <w:t>Figura 1.- A) Dibujo representativo de una Cuenca Hidrográfica Natural y la localización de las zonas urbanas comunidades y ciudades. B) Dibujo que muestra una ampliación de la zona urbana, Ciudad, y como los cauces de los afluentes son entubados, embovedados o pasan a ser calles.</w:t>
      </w:r>
    </w:p>
    <w:p w:rsidR="00AE0459" w:rsidRDefault="00AE0459" w:rsidP="00AE0459">
      <w:pPr>
        <w:spacing w:line="240" w:lineRule="auto"/>
        <w:rPr>
          <w:rFonts w:ascii="Arial" w:hAnsi="Arial" w:cs="Arial"/>
          <w:szCs w:val="24"/>
        </w:rPr>
      </w:pPr>
    </w:p>
    <w:p w:rsidR="00AE0459" w:rsidRPr="005A4982" w:rsidRDefault="00AE0459" w:rsidP="003135F4">
      <w:pPr>
        <w:spacing w:line="240" w:lineRule="auto"/>
        <w:jc w:val="both"/>
        <w:rPr>
          <w:rFonts w:ascii="Arial" w:hAnsi="Arial" w:cs="Arial"/>
          <w:szCs w:val="24"/>
        </w:rPr>
      </w:pPr>
      <w:r w:rsidRPr="005A4982">
        <w:rPr>
          <w:rFonts w:ascii="Arial" w:hAnsi="Arial" w:cs="Arial"/>
          <w:szCs w:val="24"/>
        </w:rPr>
        <w:t>La</w:t>
      </w:r>
      <w:r>
        <w:rPr>
          <w:rFonts w:ascii="Arial" w:hAnsi="Arial" w:cs="Arial"/>
          <w:szCs w:val="24"/>
        </w:rPr>
        <w:t xml:space="preserve">s calles en la </w:t>
      </w:r>
      <w:r w:rsidRPr="005A4982">
        <w:rPr>
          <w:rFonts w:ascii="Arial" w:hAnsi="Arial" w:cs="Arial"/>
          <w:szCs w:val="24"/>
        </w:rPr>
        <w:t>mayoría de las zonas urbanas siguen las pendientes naturales y conservan el cauce del río principal</w:t>
      </w:r>
      <w:r>
        <w:rPr>
          <w:rFonts w:ascii="Arial" w:hAnsi="Arial" w:cs="Arial"/>
          <w:szCs w:val="24"/>
        </w:rPr>
        <w:t xml:space="preserve"> y crecen alrededor del mismo</w:t>
      </w:r>
      <w:r w:rsidRPr="005A4982">
        <w:rPr>
          <w:rFonts w:ascii="Arial" w:hAnsi="Arial" w:cs="Arial"/>
          <w:szCs w:val="24"/>
        </w:rPr>
        <w:t xml:space="preserve">. </w:t>
      </w:r>
      <w:r>
        <w:rPr>
          <w:rFonts w:ascii="Arial" w:hAnsi="Arial" w:cs="Arial"/>
          <w:szCs w:val="24"/>
        </w:rPr>
        <w:t>En una zona urbana l</w:t>
      </w:r>
      <w:r w:rsidRPr="005A4982">
        <w:rPr>
          <w:rFonts w:ascii="Arial" w:hAnsi="Arial" w:cs="Arial"/>
          <w:szCs w:val="24"/>
        </w:rPr>
        <w:t xml:space="preserve">as calles se conectan unas con otras y en la temporada de lluvias el agua escurre </w:t>
      </w:r>
      <w:r>
        <w:rPr>
          <w:rFonts w:ascii="Arial" w:hAnsi="Arial" w:cs="Arial"/>
          <w:szCs w:val="24"/>
        </w:rPr>
        <w:t xml:space="preserve">por las mismas, </w:t>
      </w:r>
      <w:r w:rsidRPr="005A4982">
        <w:rPr>
          <w:rFonts w:ascii="Arial" w:hAnsi="Arial" w:cs="Arial"/>
          <w:szCs w:val="24"/>
        </w:rPr>
        <w:t xml:space="preserve">de las partes más altas a las partes más bajas, </w:t>
      </w:r>
      <w:r>
        <w:rPr>
          <w:rFonts w:ascii="Arial" w:hAnsi="Arial" w:cs="Arial"/>
          <w:szCs w:val="24"/>
        </w:rPr>
        <w:t xml:space="preserve">entre más cruces de calles existen aumenta el volumen y flujo de agua, es por ello que se convierten en ríos y donde se </w:t>
      </w:r>
      <w:r w:rsidRPr="005A4982">
        <w:rPr>
          <w:rFonts w:ascii="Arial" w:hAnsi="Arial" w:cs="Arial"/>
          <w:szCs w:val="24"/>
        </w:rPr>
        <w:t>acumula provoca inundaciones (Figura 2).</w:t>
      </w:r>
    </w:p>
    <w:p w:rsidR="00AE0459" w:rsidRPr="005A4982" w:rsidRDefault="00AE0459" w:rsidP="003135F4">
      <w:pPr>
        <w:spacing w:line="240" w:lineRule="auto"/>
        <w:jc w:val="both"/>
        <w:rPr>
          <w:rFonts w:ascii="Arial" w:hAnsi="Arial" w:cs="Arial"/>
          <w:szCs w:val="24"/>
        </w:rPr>
      </w:pPr>
      <w:r w:rsidRPr="005A4982">
        <w:rPr>
          <w:rFonts w:ascii="Arial" w:hAnsi="Arial" w:cs="Arial"/>
          <w:noProof/>
          <w:szCs w:val="24"/>
          <w:lang w:val="en-US"/>
        </w:rPr>
        <w:drawing>
          <wp:anchor distT="0" distB="0" distL="114300" distR="114300" simplePos="0" relativeHeight="251774976" behindDoc="0" locked="0" layoutInCell="1" allowOverlap="1" wp14:anchorId="6F8AC42C" wp14:editId="3994BB8E">
            <wp:simplePos x="0" y="0"/>
            <wp:positionH relativeFrom="margin">
              <wp:posOffset>2871470</wp:posOffset>
            </wp:positionH>
            <wp:positionV relativeFrom="paragraph">
              <wp:posOffset>1083310</wp:posOffset>
            </wp:positionV>
            <wp:extent cx="2647950" cy="1657350"/>
            <wp:effectExtent l="0" t="0" r="0" b="0"/>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47950" cy="1657350"/>
                    </a:xfrm>
                    <a:prstGeom prst="rect">
                      <a:avLst/>
                    </a:prstGeom>
                    <a:noFill/>
                  </pic:spPr>
                </pic:pic>
              </a:graphicData>
            </a:graphic>
            <wp14:sizeRelH relativeFrom="margin">
              <wp14:pctWidth>0</wp14:pctWidth>
            </wp14:sizeRelH>
            <wp14:sizeRelV relativeFrom="margin">
              <wp14:pctHeight>0</wp14:pctHeight>
            </wp14:sizeRelV>
          </wp:anchor>
        </w:drawing>
      </w:r>
      <w:r w:rsidRPr="005A4982">
        <w:rPr>
          <w:rFonts w:ascii="Arial" w:hAnsi="Arial" w:cs="Arial"/>
          <w:noProof/>
          <w:szCs w:val="24"/>
          <w:lang w:val="en-US"/>
        </w:rPr>
        <w:drawing>
          <wp:anchor distT="0" distB="0" distL="114300" distR="114300" simplePos="0" relativeHeight="251773952" behindDoc="0" locked="0" layoutInCell="1" allowOverlap="1" wp14:anchorId="19EBFBE6" wp14:editId="0D2B5AB5">
            <wp:simplePos x="0" y="0"/>
            <wp:positionH relativeFrom="column">
              <wp:posOffset>147320</wp:posOffset>
            </wp:positionH>
            <wp:positionV relativeFrom="paragraph">
              <wp:posOffset>1146810</wp:posOffset>
            </wp:positionV>
            <wp:extent cx="2635250" cy="1582420"/>
            <wp:effectExtent l="0" t="0" r="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5250" cy="1582420"/>
                    </a:xfrm>
                    <a:prstGeom prst="rect">
                      <a:avLst/>
                    </a:prstGeom>
                    <a:noFill/>
                  </pic:spPr>
                </pic:pic>
              </a:graphicData>
            </a:graphic>
            <wp14:sizeRelH relativeFrom="margin">
              <wp14:pctWidth>0</wp14:pctWidth>
            </wp14:sizeRelH>
            <wp14:sizeRelV relativeFrom="margin">
              <wp14:pctHeight>0</wp14:pctHeight>
            </wp14:sizeRelV>
          </wp:anchor>
        </w:drawing>
      </w:r>
      <w:r w:rsidRPr="005A4982">
        <w:rPr>
          <w:rFonts w:ascii="Arial" w:hAnsi="Arial" w:cs="Arial"/>
          <w:szCs w:val="24"/>
        </w:rPr>
        <w:t>La Carta Hidrográfica Urbana es la representación de la dirección del flujo de agua de escorrentía por cada una de las calles de la zona urbana, desde su origen hasta su desfogue final, ya sea a otra calle, una avenida, un canal, el cauce de un rio, un lago o una zona de inundación. Sobre la Carta Urbana de la zona de estudio se le sobrepone la pendiente que sigue el terreno natural y si existe la topografía del lugar (Figura 2).</w:t>
      </w:r>
    </w:p>
    <w:p w:rsidR="00AE0459" w:rsidRPr="005A4982" w:rsidRDefault="00AE0459" w:rsidP="00AE0459">
      <w:pPr>
        <w:spacing w:line="240" w:lineRule="auto"/>
        <w:rPr>
          <w:rFonts w:ascii="Arial" w:hAnsi="Arial" w:cs="Arial"/>
          <w:szCs w:val="24"/>
        </w:rPr>
      </w:pPr>
    </w:p>
    <w:p w:rsidR="00AE0459" w:rsidRPr="005A4982" w:rsidRDefault="00AE0459" w:rsidP="00AE0459">
      <w:pPr>
        <w:spacing w:line="240" w:lineRule="auto"/>
        <w:jc w:val="center"/>
        <w:rPr>
          <w:rFonts w:ascii="Arial" w:hAnsi="Arial" w:cs="Arial"/>
          <w:i/>
          <w:iCs/>
          <w:sz w:val="20"/>
          <w:szCs w:val="20"/>
        </w:rPr>
      </w:pPr>
      <w:r w:rsidRPr="005A4982">
        <w:rPr>
          <w:rFonts w:ascii="Arial" w:hAnsi="Arial" w:cs="Arial"/>
          <w:i/>
          <w:iCs/>
          <w:sz w:val="20"/>
          <w:szCs w:val="20"/>
        </w:rPr>
        <w:t>Figura 2.- Dibujos esquemáticos que ayudan a explicar, A) La dirección de la pendiente original prevalece en las calles de la zona urbana, solo que ahora es redireccionada por la misma construcción de las viviendas e infraestructura. B) Dibujo donde se localizan tres zonas de inundación dentro de la zona urbana y que van a servir de ejemplo para su análisis.</w:t>
      </w:r>
    </w:p>
    <w:p w:rsidR="00AE0459" w:rsidRDefault="00AE0459" w:rsidP="00AE0459">
      <w:pPr>
        <w:spacing w:line="240" w:lineRule="auto"/>
        <w:rPr>
          <w:rFonts w:ascii="Arial" w:hAnsi="Arial" w:cs="Arial"/>
          <w:szCs w:val="24"/>
        </w:rPr>
      </w:pPr>
    </w:p>
    <w:p w:rsidR="00AE0459" w:rsidRPr="005A4982" w:rsidRDefault="00AE0459" w:rsidP="00AE0459">
      <w:pPr>
        <w:pStyle w:val="1Titulo"/>
      </w:pPr>
      <w:bookmarkStart w:id="5" w:name="_Toc50031139"/>
      <w:r w:rsidRPr="005A4982">
        <w:t>Análisis hidrográfico en una ZoPI</w:t>
      </w:r>
      <w:bookmarkEnd w:id="5"/>
    </w:p>
    <w:p w:rsidR="00AE0459" w:rsidRPr="005A4982" w:rsidRDefault="00AE0459" w:rsidP="003135F4">
      <w:pPr>
        <w:spacing w:line="240" w:lineRule="auto"/>
        <w:jc w:val="both"/>
        <w:rPr>
          <w:rFonts w:ascii="Arial" w:hAnsi="Arial" w:cs="Arial"/>
          <w:szCs w:val="24"/>
        </w:rPr>
      </w:pPr>
      <w:r w:rsidRPr="005A4982">
        <w:rPr>
          <w:rFonts w:ascii="Arial" w:hAnsi="Arial" w:cs="Arial"/>
          <w:szCs w:val="24"/>
        </w:rPr>
        <w:lastRenderedPageBreak/>
        <w:t xml:space="preserve">Una Carta Hidrográfica Urbana (CHU) está compuesta por Afluentes Urbanos (Au), Zonas en Peligro de Inundación (ZoPI) y Microcuencas Hidrográficas Urbanas (MHU). La Carta Hidrográfica Urbana debe de tener la dirección que sigue el agua en cada uno de los Afluentes Urbanos, hasta su zona de descarga. En general el agua escurre por las calles, ahora denominadas </w:t>
      </w:r>
      <w:r>
        <w:rPr>
          <w:rFonts w:ascii="Arial" w:hAnsi="Arial" w:cs="Arial"/>
          <w:szCs w:val="24"/>
        </w:rPr>
        <w:t>a</w:t>
      </w:r>
      <w:r w:rsidRPr="005A4982">
        <w:rPr>
          <w:rFonts w:ascii="Arial" w:hAnsi="Arial" w:cs="Arial"/>
          <w:szCs w:val="24"/>
        </w:rPr>
        <w:t>fluente</w:t>
      </w:r>
      <w:r>
        <w:rPr>
          <w:rFonts w:ascii="Arial" w:hAnsi="Arial" w:cs="Arial"/>
          <w:szCs w:val="24"/>
        </w:rPr>
        <w:t>s</w:t>
      </w:r>
      <w:r w:rsidRPr="005A4982">
        <w:rPr>
          <w:rFonts w:ascii="Arial" w:hAnsi="Arial" w:cs="Arial"/>
          <w:szCs w:val="24"/>
        </w:rPr>
        <w:t xml:space="preserve"> urbano</w:t>
      </w:r>
      <w:r>
        <w:rPr>
          <w:rFonts w:ascii="Arial" w:hAnsi="Arial" w:cs="Arial"/>
          <w:szCs w:val="24"/>
        </w:rPr>
        <w:t>s</w:t>
      </w:r>
      <w:r w:rsidRPr="005A4982">
        <w:rPr>
          <w:rFonts w:ascii="Arial" w:hAnsi="Arial" w:cs="Arial"/>
          <w:szCs w:val="24"/>
        </w:rPr>
        <w:t>, sigu</w:t>
      </w:r>
      <w:r>
        <w:rPr>
          <w:rFonts w:ascii="Arial" w:hAnsi="Arial" w:cs="Arial"/>
          <w:szCs w:val="24"/>
        </w:rPr>
        <w:t xml:space="preserve">e </w:t>
      </w:r>
      <w:r w:rsidRPr="005A4982">
        <w:rPr>
          <w:rFonts w:ascii="Arial" w:hAnsi="Arial" w:cs="Arial"/>
          <w:szCs w:val="24"/>
        </w:rPr>
        <w:t>la pendiente natural</w:t>
      </w:r>
      <w:r>
        <w:rPr>
          <w:rFonts w:ascii="Arial" w:hAnsi="Arial" w:cs="Arial"/>
          <w:szCs w:val="24"/>
        </w:rPr>
        <w:t xml:space="preserve"> del terreno</w:t>
      </w:r>
      <w:r w:rsidRPr="005A4982">
        <w:rPr>
          <w:rFonts w:ascii="Arial" w:hAnsi="Arial" w:cs="Arial"/>
          <w:szCs w:val="24"/>
        </w:rPr>
        <w:t xml:space="preserve">, solo que ahora la dirección se va modificando conforme encuentra </w:t>
      </w:r>
      <w:r>
        <w:rPr>
          <w:rFonts w:ascii="Arial" w:hAnsi="Arial" w:cs="Arial"/>
          <w:szCs w:val="24"/>
        </w:rPr>
        <w:t xml:space="preserve">obstáculos </w:t>
      </w:r>
      <w:r w:rsidRPr="005A4982">
        <w:rPr>
          <w:rFonts w:ascii="Arial" w:hAnsi="Arial" w:cs="Arial"/>
          <w:szCs w:val="24"/>
        </w:rPr>
        <w:t>por las mismas construcciones y cambia su dirección. En la CHU es necesario seguir toda</w:t>
      </w:r>
      <w:r>
        <w:rPr>
          <w:rFonts w:ascii="Arial" w:hAnsi="Arial" w:cs="Arial"/>
          <w:szCs w:val="24"/>
        </w:rPr>
        <w:t>s</w:t>
      </w:r>
      <w:r w:rsidRPr="005A4982">
        <w:rPr>
          <w:rFonts w:ascii="Arial" w:hAnsi="Arial" w:cs="Arial"/>
          <w:szCs w:val="24"/>
        </w:rPr>
        <w:t xml:space="preserve"> la</w:t>
      </w:r>
      <w:r>
        <w:rPr>
          <w:rFonts w:ascii="Arial" w:hAnsi="Arial" w:cs="Arial"/>
          <w:szCs w:val="24"/>
        </w:rPr>
        <w:t>s</w:t>
      </w:r>
      <w:r w:rsidRPr="005A4982">
        <w:rPr>
          <w:rFonts w:ascii="Arial" w:hAnsi="Arial" w:cs="Arial"/>
          <w:szCs w:val="24"/>
        </w:rPr>
        <w:t xml:space="preserve"> direcci</w:t>
      </w:r>
      <w:r>
        <w:rPr>
          <w:rFonts w:ascii="Arial" w:hAnsi="Arial" w:cs="Arial"/>
          <w:szCs w:val="24"/>
        </w:rPr>
        <w:t xml:space="preserve">ones que sigue el agua por las calles </w:t>
      </w:r>
      <w:r w:rsidRPr="005A4982">
        <w:rPr>
          <w:rFonts w:ascii="Arial" w:hAnsi="Arial" w:cs="Arial"/>
          <w:szCs w:val="24"/>
        </w:rPr>
        <w:t>hasta su descarga</w:t>
      </w:r>
      <w:r>
        <w:rPr>
          <w:rFonts w:ascii="Arial" w:hAnsi="Arial" w:cs="Arial"/>
          <w:szCs w:val="24"/>
        </w:rPr>
        <w:t xml:space="preserve"> final</w:t>
      </w:r>
      <w:r w:rsidRPr="005A4982">
        <w:rPr>
          <w:rFonts w:ascii="Arial" w:hAnsi="Arial" w:cs="Arial"/>
          <w:szCs w:val="24"/>
        </w:rPr>
        <w:t xml:space="preserve"> (Figura 3). </w:t>
      </w:r>
    </w:p>
    <w:p w:rsidR="00AE0459" w:rsidRDefault="00AE0459" w:rsidP="00AE0459">
      <w:pPr>
        <w:spacing w:line="240" w:lineRule="auto"/>
        <w:rPr>
          <w:rFonts w:ascii="Arial" w:hAnsi="Arial" w:cs="Arial"/>
          <w:szCs w:val="24"/>
        </w:rPr>
      </w:pPr>
      <w:r w:rsidRPr="005A4982">
        <w:rPr>
          <w:rFonts w:ascii="Arial" w:hAnsi="Arial" w:cs="Arial"/>
          <w:noProof/>
          <w:szCs w:val="24"/>
          <w:lang w:val="en-US"/>
        </w:rPr>
        <w:drawing>
          <wp:anchor distT="0" distB="0" distL="114300" distR="114300" simplePos="0" relativeHeight="251779072" behindDoc="0" locked="0" layoutInCell="1" allowOverlap="1" wp14:anchorId="5343956A" wp14:editId="62C7DE2B">
            <wp:simplePos x="0" y="0"/>
            <wp:positionH relativeFrom="column">
              <wp:posOffset>2861310</wp:posOffset>
            </wp:positionH>
            <wp:positionV relativeFrom="paragraph">
              <wp:posOffset>2427605</wp:posOffset>
            </wp:positionV>
            <wp:extent cx="2798445" cy="1863090"/>
            <wp:effectExtent l="0" t="0" r="1905" b="381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98445" cy="1863090"/>
                    </a:xfrm>
                    <a:prstGeom prst="rect">
                      <a:avLst/>
                    </a:prstGeom>
                    <a:noFill/>
                  </pic:spPr>
                </pic:pic>
              </a:graphicData>
            </a:graphic>
            <wp14:sizeRelH relativeFrom="margin">
              <wp14:pctWidth>0</wp14:pctWidth>
            </wp14:sizeRelH>
            <wp14:sizeRelV relativeFrom="margin">
              <wp14:pctHeight>0</wp14:pctHeight>
            </wp14:sizeRelV>
          </wp:anchor>
        </w:drawing>
      </w:r>
      <w:r w:rsidRPr="005A4982">
        <w:rPr>
          <w:rFonts w:ascii="Arial" w:hAnsi="Arial" w:cs="Arial"/>
          <w:noProof/>
          <w:szCs w:val="24"/>
          <w:lang w:val="en-US"/>
        </w:rPr>
        <w:drawing>
          <wp:anchor distT="0" distB="0" distL="114300" distR="114300" simplePos="0" relativeHeight="251778048" behindDoc="0" locked="0" layoutInCell="1" allowOverlap="1" wp14:anchorId="28A30F95" wp14:editId="1299998E">
            <wp:simplePos x="0" y="0"/>
            <wp:positionH relativeFrom="column">
              <wp:posOffset>455295</wp:posOffset>
            </wp:positionH>
            <wp:positionV relativeFrom="paragraph">
              <wp:posOffset>2327910</wp:posOffset>
            </wp:positionV>
            <wp:extent cx="2426970" cy="1930400"/>
            <wp:effectExtent l="0" t="0" r="0" b="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26970" cy="1930400"/>
                    </a:xfrm>
                    <a:prstGeom prst="rect">
                      <a:avLst/>
                    </a:prstGeom>
                    <a:noFill/>
                  </pic:spPr>
                </pic:pic>
              </a:graphicData>
            </a:graphic>
            <wp14:sizeRelH relativeFrom="margin">
              <wp14:pctWidth>0</wp14:pctWidth>
            </wp14:sizeRelH>
            <wp14:sizeRelV relativeFrom="margin">
              <wp14:pctHeight>0</wp14:pctHeight>
            </wp14:sizeRelV>
          </wp:anchor>
        </w:drawing>
      </w:r>
      <w:r w:rsidRPr="005A4982">
        <w:rPr>
          <w:rFonts w:ascii="Arial" w:hAnsi="Arial" w:cs="Arial"/>
          <w:noProof/>
          <w:szCs w:val="24"/>
          <w:lang w:val="en-US"/>
        </w:rPr>
        <w:drawing>
          <wp:anchor distT="0" distB="0" distL="114300" distR="114300" simplePos="0" relativeHeight="251776000" behindDoc="0" locked="0" layoutInCell="1" allowOverlap="1" wp14:anchorId="29A48892" wp14:editId="2818146B">
            <wp:simplePos x="0" y="0"/>
            <wp:positionH relativeFrom="column">
              <wp:posOffset>3012440</wp:posOffset>
            </wp:positionH>
            <wp:positionV relativeFrom="paragraph">
              <wp:posOffset>225425</wp:posOffset>
            </wp:positionV>
            <wp:extent cx="2614263" cy="2058230"/>
            <wp:effectExtent l="0" t="0" r="0" b="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14263" cy="2058230"/>
                    </a:xfrm>
                    <a:prstGeom prst="rect">
                      <a:avLst/>
                    </a:prstGeom>
                    <a:noFill/>
                  </pic:spPr>
                </pic:pic>
              </a:graphicData>
            </a:graphic>
          </wp:anchor>
        </w:drawing>
      </w:r>
      <w:r w:rsidRPr="005A4982">
        <w:rPr>
          <w:rFonts w:ascii="Arial" w:hAnsi="Arial" w:cs="Arial"/>
          <w:noProof/>
          <w:szCs w:val="24"/>
          <w:lang w:val="en-US"/>
        </w:rPr>
        <w:drawing>
          <wp:anchor distT="0" distB="0" distL="114300" distR="114300" simplePos="0" relativeHeight="251777024" behindDoc="0" locked="0" layoutInCell="1" allowOverlap="1" wp14:anchorId="3ED41C5F" wp14:editId="6A5137A2">
            <wp:simplePos x="0" y="0"/>
            <wp:positionH relativeFrom="column">
              <wp:posOffset>295910</wp:posOffset>
            </wp:positionH>
            <wp:positionV relativeFrom="paragraph">
              <wp:posOffset>196215</wp:posOffset>
            </wp:positionV>
            <wp:extent cx="2546350" cy="1993265"/>
            <wp:effectExtent l="0" t="0" r="6350" b="6985"/>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46350" cy="1993265"/>
                    </a:xfrm>
                    <a:prstGeom prst="rect">
                      <a:avLst/>
                    </a:prstGeom>
                    <a:noFill/>
                  </pic:spPr>
                </pic:pic>
              </a:graphicData>
            </a:graphic>
            <wp14:sizeRelH relativeFrom="margin">
              <wp14:pctWidth>0</wp14:pctWidth>
            </wp14:sizeRelH>
            <wp14:sizeRelV relativeFrom="margin">
              <wp14:pctHeight>0</wp14:pctHeight>
            </wp14:sizeRelV>
          </wp:anchor>
        </w:drawing>
      </w:r>
    </w:p>
    <w:p w:rsidR="00AE0459" w:rsidRDefault="00AE0459" w:rsidP="00AE0459">
      <w:pPr>
        <w:spacing w:line="240" w:lineRule="auto"/>
        <w:rPr>
          <w:rFonts w:ascii="Arial" w:hAnsi="Arial" w:cs="Arial"/>
          <w:szCs w:val="24"/>
        </w:rPr>
      </w:pPr>
    </w:p>
    <w:p w:rsidR="00AE0459" w:rsidRPr="005A4982" w:rsidRDefault="00AE0459" w:rsidP="00AE0459">
      <w:pPr>
        <w:spacing w:line="240" w:lineRule="auto"/>
        <w:rPr>
          <w:rFonts w:ascii="Arial" w:hAnsi="Arial" w:cs="Arial"/>
          <w:i/>
          <w:iCs/>
          <w:sz w:val="20"/>
          <w:szCs w:val="20"/>
        </w:rPr>
      </w:pPr>
      <w:r w:rsidRPr="005A4982">
        <w:rPr>
          <w:rFonts w:ascii="Arial" w:hAnsi="Arial" w:cs="Arial"/>
          <w:i/>
          <w:iCs/>
          <w:sz w:val="20"/>
          <w:szCs w:val="20"/>
        </w:rPr>
        <w:t xml:space="preserve">Figura 3.- Dibujos que representan una parte de la zona urbana donde hay una Zona en Peligro de Inundación (ZoPI 1). A) Representación general de la pendiente natural del terreno y la dirección de la corriente pluvial hacia ZoPI 1. B) Identificación detallada de la dirección que sigue el agua en cada Afluente urbano (calle). C) Análisis de los niveles de cada Afluente urbano Au1, Au2 y Au3, que descargan sus aguas hasta ZoPI 1. D) Representación de los Afluentes y sus niveles, sin las calles.  </w:t>
      </w:r>
    </w:p>
    <w:p w:rsidR="00AE0459" w:rsidRDefault="00AE0459" w:rsidP="00AE0459">
      <w:pPr>
        <w:spacing w:line="240" w:lineRule="auto"/>
        <w:rPr>
          <w:rFonts w:ascii="Arial" w:hAnsi="Arial" w:cs="Arial"/>
          <w:szCs w:val="24"/>
        </w:rPr>
      </w:pPr>
    </w:p>
    <w:p w:rsidR="00AE0459" w:rsidRPr="005A4982" w:rsidRDefault="00AE0459" w:rsidP="003135F4">
      <w:pPr>
        <w:spacing w:line="240" w:lineRule="auto"/>
        <w:jc w:val="both"/>
        <w:rPr>
          <w:rFonts w:ascii="Arial" w:hAnsi="Arial" w:cs="Arial"/>
          <w:szCs w:val="24"/>
        </w:rPr>
      </w:pPr>
      <w:r w:rsidRPr="005A4982">
        <w:rPr>
          <w:rFonts w:ascii="Arial" w:hAnsi="Arial" w:cs="Arial"/>
          <w:szCs w:val="24"/>
        </w:rPr>
        <w:t xml:space="preserve">Un afluente Urbano (Au) es la calle por donde fluye el agua pluvial, el agua sigue la dirección de la pendiente de la vía de comunicación hasta llegar a otra calle, un cauce de río, un canal o una zona de inundación (Figura 4). A manera de ejemplo vamos hacer el análisis </w:t>
      </w:r>
      <w:r>
        <w:rPr>
          <w:rFonts w:ascii="Arial" w:hAnsi="Arial" w:cs="Arial"/>
          <w:szCs w:val="24"/>
        </w:rPr>
        <w:t>d</w:t>
      </w:r>
      <w:r w:rsidRPr="005A4982">
        <w:rPr>
          <w:rFonts w:ascii="Arial" w:hAnsi="Arial" w:cs="Arial"/>
          <w:szCs w:val="24"/>
        </w:rPr>
        <w:t>e la ZoPI 1 de nuestras ilustraciones (Figura 4). Un Afluente urbano puede ser; a) la calle donde el agua comienza su escurrimiento, b) la calle que recibe el agua que viene del cauce de un río, arroyo o canal natural que termina</w:t>
      </w:r>
      <w:r>
        <w:rPr>
          <w:rFonts w:ascii="Arial" w:hAnsi="Arial" w:cs="Arial"/>
          <w:szCs w:val="24"/>
        </w:rPr>
        <w:t xml:space="preserve"> </w:t>
      </w:r>
      <w:r w:rsidRPr="005A4982">
        <w:rPr>
          <w:rFonts w:ascii="Arial" w:hAnsi="Arial" w:cs="Arial"/>
          <w:szCs w:val="24"/>
        </w:rPr>
        <w:t>donde inicia la calle</w:t>
      </w:r>
      <w:r>
        <w:rPr>
          <w:rFonts w:ascii="Arial" w:hAnsi="Arial" w:cs="Arial"/>
          <w:szCs w:val="24"/>
        </w:rPr>
        <w:t>,</w:t>
      </w:r>
      <w:r w:rsidRPr="005A4982">
        <w:rPr>
          <w:rFonts w:ascii="Arial" w:hAnsi="Arial" w:cs="Arial"/>
          <w:szCs w:val="24"/>
        </w:rPr>
        <w:t xml:space="preserve"> o c) la calle que recibe el agua de otros afluentes urbanos.</w:t>
      </w:r>
    </w:p>
    <w:p w:rsidR="00AE0459" w:rsidRDefault="00AE0459" w:rsidP="00AE0459">
      <w:pPr>
        <w:spacing w:line="240" w:lineRule="auto"/>
        <w:rPr>
          <w:rFonts w:ascii="Arial" w:hAnsi="Arial" w:cs="Arial"/>
          <w:szCs w:val="24"/>
        </w:rPr>
      </w:pPr>
      <w:r w:rsidRPr="005A4982">
        <w:rPr>
          <w:rFonts w:ascii="Arial" w:hAnsi="Arial" w:cs="Arial"/>
          <w:szCs w:val="24"/>
        </w:rPr>
        <w:lastRenderedPageBreak/>
        <w:tab/>
      </w:r>
    </w:p>
    <w:p w:rsidR="00AE0459" w:rsidRPr="005A4982" w:rsidRDefault="00AE0459" w:rsidP="00AE0459">
      <w:pPr>
        <w:pStyle w:val="1Titulo"/>
      </w:pPr>
      <w:bookmarkStart w:id="6" w:name="_Toc50031140"/>
      <w:r w:rsidRPr="005A4982">
        <w:t>Clasificación de los Afluentes Urbanos</w:t>
      </w:r>
      <w:bookmarkEnd w:id="6"/>
    </w:p>
    <w:p w:rsidR="00AE0459" w:rsidRPr="005A4982" w:rsidRDefault="00AE0459" w:rsidP="00AE0459">
      <w:pPr>
        <w:spacing w:line="240" w:lineRule="auto"/>
        <w:rPr>
          <w:rFonts w:ascii="Arial" w:hAnsi="Arial" w:cs="Arial"/>
          <w:szCs w:val="24"/>
        </w:rPr>
      </w:pPr>
      <w:r w:rsidRPr="005A4982">
        <w:rPr>
          <w:rFonts w:ascii="Arial" w:hAnsi="Arial" w:cs="Arial"/>
          <w:szCs w:val="24"/>
        </w:rPr>
        <w:tab/>
        <w:t>Siguiendo la clasificación de los afluentes en una cuenca hidrológica</w:t>
      </w:r>
      <w:r>
        <w:rPr>
          <w:rFonts w:ascii="Arial" w:hAnsi="Arial" w:cs="Arial"/>
          <w:szCs w:val="24"/>
        </w:rPr>
        <w:t xml:space="preserve"> </w:t>
      </w:r>
      <w:r w:rsidRPr="00726A81">
        <w:rPr>
          <w:rFonts w:ascii="Arial" w:hAnsi="Arial" w:cs="Arial"/>
          <w:szCs w:val="24"/>
          <w:vertAlign w:val="superscript"/>
        </w:rPr>
        <w:t>[7]</w:t>
      </w:r>
      <w:r w:rsidRPr="005A4982">
        <w:rPr>
          <w:rFonts w:ascii="Arial" w:hAnsi="Arial" w:cs="Arial"/>
          <w:szCs w:val="24"/>
        </w:rPr>
        <w:t>, pero aplicada a una zona urbana tenemos que los Au se clasifican de la manera siguiente:</w:t>
      </w:r>
    </w:p>
    <w:p w:rsidR="00AE0459" w:rsidRPr="005A4982" w:rsidRDefault="00AE0459" w:rsidP="00AE0459">
      <w:pPr>
        <w:spacing w:line="240" w:lineRule="auto"/>
        <w:rPr>
          <w:rFonts w:ascii="Arial" w:hAnsi="Arial" w:cs="Arial"/>
          <w:szCs w:val="24"/>
        </w:rPr>
      </w:pPr>
      <w:r w:rsidRPr="005A4982">
        <w:rPr>
          <w:rFonts w:ascii="Arial" w:hAnsi="Arial" w:cs="Arial"/>
          <w:szCs w:val="24"/>
        </w:rPr>
        <w:t>Afluente urbano nivel 1 (Au1). - Es el primer Au por donde comienza a escurrir el agua pluvial y que ahora corre por la superficie de la calle.</w:t>
      </w:r>
    </w:p>
    <w:p w:rsidR="00AE0459" w:rsidRPr="005A4982" w:rsidRDefault="00AE0459" w:rsidP="003135F4">
      <w:pPr>
        <w:spacing w:line="240" w:lineRule="auto"/>
        <w:jc w:val="both"/>
        <w:rPr>
          <w:rFonts w:ascii="Arial" w:hAnsi="Arial" w:cs="Arial"/>
          <w:szCs w:val="24"/>
        </w:rPr>
      </w:pPr>
      <w:r w:rsidRPr="005A4982">
        <w:rPr>
          <w:rFonts w:ascii="Arial" w:hAnsi="Arial" w:cs="Arial"/>
          <w:szCs w:val="24"/>
        </w:rPr>
        <w:t xml:space="preserve">Afluente Urbano nivel 2 (Au2). – Es el Au que recibe el agua de la unión de dos Au de nivel 1. Un Au incrementa su nivel, sólo cuando recibe el agua de dos afluentes urbanos del mismo nivel. </w:t>
      </w:r>
      <w:r>
        <w:rPr>
          <w:rFonts w:ascii="Arial" w:hAnsi="Arial" w:cs="Arial"/>
          <w:szCs w:val="24"/>
        </w:rPr>
        <w:t>Como por ejemplo</w:t>
      </w:r>
      <w:r w:rsidRPr="005A4982">
        <w:rPr>
          <w:rFonts w:ascii="Arial" w:hAnsi="Arial" w:cs="Arial"/>
          <w:szCs w:val="24"/>
        </w:rPr>
        <w:t>, si se unen dos afluentes de nivel 2 (Au2), aumentan su nivel a Au3; si se unen dos afluentes urbanos de nivel 3 (Au3), cambia a nivel 4 (Au4) (Figura 4).</w:t>
      </w:r>
    </w:p>
    <w:p w:rsidR="00AE0459" w:rsidRPr="005A4982" w:rsidRDefault="00AE0459" w:rsidP="003135F4">
      <w:pPr>
        <w:spacing w:line="240" w:lineRule="auto"/>
        <w:jc w:val="both"/>
        <w:rPr>
          <w:rFonts w:ascii="Arial" w:hAnsi="Arial" w:cs="Arial"/>
          <w:szCs w:val="24"/>
        </w:rPr>
      </w:pPr>
      <w:r w:rsidRPr="005A4982">
        <w:rPr>
          <w:rFonts w:ascii="Arial" w:hAnsi="Arial" w:cs="Arial"/>
          <w:szCs w:val="24"/>
        </w:rPr>
        <w:t>Cuando se unen dos afluentes de diferente nivel, entonces el Au resultante mantendrá la clasificación del afluente de mayor nivel. Ejemplo, si se unen un afluente de nivel 1 (Au1) y un afluente de nivel 2 (Au2), el afluente resultante tendrá la clasificación del nivel 2 (Au2); si se une un afluente de nivel 1 (Au1) y un afluente de nivel 3 (Au3), el resultante tendrá una clasificación de nivel 3 (Au3) (Figura 4).</w:t>
      </w:r>
    </w:p>
    <w:p w:rsidR="00AE0459" w:rsidRPr="005A4982" w:rsidRDefault="00AE0459" w:rsidP="00AE0459">
      <w:pPr>
        <w:spacing w:line="240" w:lineRule="auto"/>
        <w:rPr>
          <w:rFonts w:ascii="Arial" w:hAnsi="Arial" w:cs="Arial"/>
          <w:szCs w:val="24"/>
        </w:rPr>
      </w:pPr>
      <w:r w:rsidRPr="005A4982">
        <w:rPr>
          <w:rFonts w:ascii="Arial" w:hAnsi="Arial" w:cs="Arial"/>
          <w:szCs w:val="24"/>
        </w:rPr>
        <w:t>Zona de Peligro de Inundación (ZoPI).</w:t>
      </w:r>
    </w:p>
    <w:p w:rsidR="00AE0459" w:rsidRDefault="00AE0459" w:rsidP="00AE0459">
      <w:pPr>
        <w:spacing w:line="240" w:lineRule="auto"/>
        <w:rPr>
          <w:rFonts w:ascii="Arial" w:hAnsi="Arial" w:cs="Arial"/>
          <w:szCs w:val="24"/>
        </w:rPr>
      </w:pPr>
      <w:r w:rsidRPr="005A4982">
        <w:rPr>
          <w:rFonts w:ascii="Arial" w:hAnsi="Arial" w:cs="Arial"/>
          <w:szCs w:val="24"/>
        </w:rPr>
        <w:t xml:space="preserve">La Zona de Peligro de Inundación (ZoPI) es el área donde el agua se acumula y provoca daños a la población, está delimitada por el perímetro que circunscribe el agua acumulada. Estas zonas pueden recibir el agua de uno o varios </w:t>
      </w:r>
      <w:r>
        <w:rPr>
          <w:rFonts w:ascii="Arial" w:hAnsi="Arial" w:cs="Arial"/>
          <w:szCs w:val="24"/>
        </w:rPr>
        <w:t>a</w:t>
      </w:r>
      <w:r w:rsidRPr="005A4982">
        <w:rPr>
          <w:rFonts w:ascii="Arial" w:hAnsi="Arial" w:cs="Arial"/>
          <w:szCs w:val="24"/>
        </w:rPr>
        <w:t>fluentes urbanos, con diferente nivel de clasificación.</w:t>
      </w:r>
    </w:p>
    <w:p w:rsidR="00AE0459" w:rsidRPr="005A4982" w:rsidRDefault="00AE0459" w:rsidP="00AE0459">
      <w:pPr>
        <w:spacing w:line="240" w:lineRule="auto"/>
        <w:rPr>
          <w:rFonts w:ascii="Arial" w:hAnsi="Arial" w:cs="Arial"/>
          <w:szCs w:val="24"/>
        </w:rPr>
      </w:pPr>
    </w:p>
    <w:p w:rsidR="00AE0459" w:rsidRPr="005A4982" w:rsidRDefault="00AE0459" w:rsidP="00AE0459">
      <w:pPr>
        <w:pStyle w:val="1Titulo"/>
      </w:pPr>
      <w:bookmarkStart w:id="7" w:name="_Toc50031141"/>
      <w:r w:rsidRPr="00726A81">
        <w:t>Microcuenca Hidrográfica Urbana (MHU)</w:t>
      </w:r>
      <w:bookmarkEnd w:id="7"/>
    </w:p>
    <w:p w:rsidR="00AE0459" w:rsidRPr="005A4982" w:rsidRDefault="00AE0459" w:rsidP="00AE0459">
      <w:pPr>
        <w:spacing w:line="240" w:lineRule="auto"/>
        <w:rPr>
          <w:rFonts w:ascii="Arial" w:hAnsi="Arial" w:cs="Arial"/>
          <w:szCs w:val="24"/>
        </w:rPr>
      </w:pPr>
      <w:r w:rsidRPr="005A4982">
        <w:rPr>
          <w:rFonts w:ascii="Arial" w:hAnsi="Arial" w:cs="Arial"/>
          <w:szCs w:val="24"/>
        </w:rPr>
        <w:t xml:space="preserve">La Microcuenca Hidrográfica Urbana es la superficie por donde escurre el agua por los diferentes </w:t>
      </w:r>
      <w:r>
        <w:rPr>
          <w:rFonts w:ascii="Arial" w:hAnsi="Arial" w:cs="Arial"/>
          <w:szCs w:val="24"/>
        </w:rPr>
        <w:t>a</w:t>
      </w:r>
      <w:r w:rsidRPr="005A4982">
        <w:rPr>
          <w:rFonts w:ascii="Arial" w:hAnsi="Arial" w:cs="Arial"/>
          <w:szCs w:val="24"/>
        </w:rPr>
        <w:t>fluentes urbanos</w:t>
      </w:r>
      <w:r>
        <w:rPr>
          <w:rFonts w:ascii="Arial" w:hAnsi="Arial" w:cs="Arial"/>
          <w:szCs w:val="24"/>
        </w:rPr>
        <w:t>,</w:t>
      </w:r>
      <w:r w:rsidRPr="005A4982">
        <w:rPr>
          <w:rFonts w:ascii="Arial" w:hAnsi="Arial" w:cs="Arial"/>
          <w:szCs w:val="24"/>
        </w:rPr>
        <w:t xml:space="preserve"> hasta su descarga final</w:t>
      </w:r>
      <w:r>
        <w:rPr>
          <w:rFonts w:ascii="Arial" w:hAnsi="Arial" w:cs="Arial"/>
          <w:szCs w:val="24"/>
        </w:rPr>
        <w:t>.</w:t>
      </w:r>
    </w:p>
    <w:p w:rsidR="00AE0459" w:rsidRPr="005A4982" w:rsidRDefault="00AE0459" w:rsidP="00AE0459">
      <w:pPr>
        <w:spacing w:line="240" w:lineRule="auto"/>
        <w:rPr>
          <w:rFonts w:ascii="Arial" w:hAnsi="Arial" w:cs="Arial"/>
          <w:szCs w:val="24"/>
        </w:rPr>
      </w:pPr>
      <w:r w:rsidRPr="005A4982">
        <w:rPr>
          <w:rFonts w:ascii="Arial" w:hAnsi="Arial" w:cs="Arial"/>
          <w:szCs w:val="24"/>
        </w:rPr>
        <w:t xml:space="preserve">La Microcuenca Hidrográfica Urbana podrá, o no, recibir el nombre de </w:t>
      </w:r>
      <w:r>
        <w:rPr>
          <w:rFonts w:ascii="Arial" w:hAnsi="Arial" w:cs="Arial"/>
          <w:szCs w:val="24"/>
        </w:rPr>
        <w:t>una calle, colonia o del afluente natural</w:t>
      </w:r>
      <w:r w:rsidRPr="005A4982">
        <w:rPr>
          <w:rFonts w:ascii="Arial" w:hAnsi="Arial" w:cs="Arial"/>
          <w:szCs w:val="24"/>
        </w:rPr>
        <w:t xml:space="preserve">. </w:t>
      </w:r>
    </w:p>
    <w:p w:rsidR="00AE0459" w:rsidRPr="005A4982" w:rsidRDefault="00AE0459" w:rsidP="003135F4">
      <w:pPr>
        <w:spacing w:line="240" w:lineRule="auto"/>
        <w:jc w:val="both"/>
        <w:rPr>
          <w:rFonts w:ascii="Arial" w:hAnsi="Arial" w:cs="Arial"/>
          <w:szCs w:val="24"/>
        </w:rPr>
      </w:pPr>
      <w:r w:rsidRPr="005A4982">
        <w:rPr>
          <w:rFonts w:ascii="Arial" w:hAnsi="Arial" w:cs="Arial"/>
          <w:szCs w:val="24"/>
        </w:rPr>
        <w:t>Para cada una de las MHU obtenidas, en la Carta Hidrográfica Urbana, se debe determinar su perímetro en metros lineales (m) y su superficie en metros cuadrados (m2). Tomando el registro de la precipitación de agua, altura de agua precipitada en un evento pluvial, se puede calcular el volumen de agua que escurre por cada MHU (Figura 4).</w:t>
      </w:r>
    </w:p>
    <w:p w:rsidR="00AE0459" w:rsidRPr="005A4982" w:rsidRDefault="00AE0459" w:rsidP="00AE0459">
      <w:pPr>
        <w:spacing w:line="240" w:lineRule="auto"/>
        <w:rPr>
          <w:rFonts w:ascii="Arial" w:hAnsi="Arial" w:cs="Arial"/>
          <w:szCs w:val="24"/>
        </w:rPr>
      </w:pPr>
      <w:r w:rsidRPr="005A4982">
        <w:rPr>
          <w:rFonts w:ascii="Arial" w:hAnsi="Arial" w:cs="Arial"/>
          <w:noProof/>
          <w:szCs w:val="24"/>
          <w:lang w:val="en-US"/>
        </w:rPr>
        <w:lastRenderedPageBreak/>
        <w:drawing>
          <wp:anchor distT="0" distB="0" distL="114300" distR="114300" simplePos="0" relativeHeight="251781120" behindDoc="0" locked="0" layoutInCell="1" allowOverlap="1" wp14:anchorId="48D03ADC" wp14:editId="776EF12C">
            <wp:simplePos x="0" y="0"/>
            <wp:positionH relativeFrom="column">
              <wp:posOffset>2958465</wp:posOffset>
            </wp:positionH>
            <wp:positionV relativeFrom="paragraph">
              <wp:posOffset>330200</wp:posOffset>
            </wp:positionV>
            <wp:extent cx="2771775" cy="1999615"/>
            <wp:effectExtent l="0" t="0" r="9525"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1775" cy="1999615"/>
                    </a:xfrm>
                    <a:prstGeom prst="rect">
                      <a:avLst/>
                    </a:prstGeom>
                    <a:noFill/>
                  </pic:spPr>
                </pic:pic>
              </a:graphicData>
            </a:graphic>
            <wp14:sizeRelH relativeFrom="margin">
              <wp14:pctWidth>0</wp14:pctWidth>
            </wp14:sizeRelH>
            <wp14:sizeRelV relativeFrom="margin">
              <wp14:pctHeight>0</wp14:pctHeight>
            </wp14:sizeRelV>
          </wp:anchor>
        </w:drawing>
      </w:r>
      <w:r w:rsidRPr="005A4982">
        <w:rPr>
          <w:rFonts w:ascii="Arial" w:hAnsi="Arial" w:cs="Arial"/>
          <w:noProof/>
          <w:szCs w:val="24"/>
          <w:lang w:val="en-US"/>
        </w:rPr>
        <w:drawing>
          <wp:anchor distT="0" distB="0" distL="114300" distR="114300" simplePos="0" relativeHeight="251780096" behindDoc="0" locked="0" layoutInCell="1" allowOverlap="1" wp14:anchorId="76270A5C" wp14:editId="52C5627B">
            <wp:simplePos x="0" y="0"/>
            <wp:positionH relativeFrom="column">
              <wp:posOffset>106045</wp:posOffset>
            </wp:positionH>
            <wp:positionV relativeFrom="paragraph">
              <wp:posOffset>252095</wp:posOffset>
            </wp:positionV>
            <wp:extent cx="2729448" cy="2123432"/>
            <wp:effectExtent l="0" t="0" r="0" b="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29448" cy="2123432"/>
                    </a:xfrm>
                    <a:prstGeom prst="rect">
                      <a:avLst/>
                    </a:prstGeom>
                    <a:noFill/>
                  </pic:spPr>
                </pic:pic>
              </a:graphicData>
            </a:graphic>
          </wp:anchor>
        </w:drawing>
      </w:r>
    </w:p>
    <w:p w:rsidR="00AE0459" w:rsidRDefault="00AE0459" w:rsidP="00AE0459">
      <w:pPr>
        <w:spacing w:line="240" w:lineRule="auto"/>
        <w:rPr>
          <w:rFonts w:ascii="Arial" w:hAnsi="Arial" w:cs="Arial"/>
          <w:szCs w:val="24"/>
        </w:rPr>
      </w:pPr>
    </w:p>
    <w:p w:rsidR="00AE0459" w:rsidRPr="00726A81" w:rsidRDefault="00AE0459" w:rsidP="00AE0459">
      <w:pPr>
        <w:spacing w:line="240" w:lineRule="auto"/>
        <w:jc w:val="center"/>
        <w:rPr>
          <w:rFonts w:ascii="Arial" w:hAnsi="Arial" w:cs="Arial"/>
          <w:i/>
          <w:iCs/>
          <w:sz w:val="20"/>
          <w:szCs w:val="20"/>
        </w:rPr>
      </w:pPr>
      <w:r w:rsidRPr="00726A81">
        <w:rPr>
          <w:rFonts w:ascii="Arial" w:hAnsi="Arial" w:cs="Arial"/>
          <w:i/>
          <w:iCs/>
          <w:sz w:val="20"/>
          <w:szCs w:val="20"/>
        </w:rPr>
        <w:t>Figura 4.- A) Dibujo con los niveles de cada Afluente urbano y la delimitación de las áreas que conforman cada Microcuenca Hidrográfica Urbana (MCHU 1…. MCHU 8). B) Dibujo que ilustra como podemos calcular el volumen de agua que escurre en cada microcuenca, conociendo la cantidad de lluvia en la zona.</w:t>
      </w:r>
    </w:p>
    <w:p w:rsidR="00AE0459" w:rsidRDefault="00AE0459" w:rsidP="00AE0459">
      <w:pPr>
        <w:spacing w:line="240" w:lineRule="auto"/>
        <w:rPr>
          <w:rFonts w:ascii="Arial" w:hAnsi="Arial" w:cs="Arial"/>
          <w:szCs w:val="24"/>
        </w:rPr>
      </w:pPr>
    </w:p>
    <w:p w:rsidR="00AE0459" w:rsidRDefault="00AE0459" w:rsidP="003135F4">
      <w:pPr>
        <w:spacing w:line="240" w:lineRule="auto"/>
        <w:jc w:val="both"/>
        <w:rPr>
          <w:rFonts w:ascii="Arial" w:hAnsi="Arial" w:cs="Arial"/>
          <w:szCs w:val="24"/>
        </w:rPr>
      </w:pPr>
      <w:r w:rsidRPr="005A4982">
        <w:rPr>
          <w:rFonts w:ascii="Arial" w:hAnsi="Arial" w:cs="Arial"/>
          <w:szCs w:val="24"/>
        </w:rPr>
        <w:t>En la CHU se van a tener la dirección que sigue el agua por cada una de los afluentes, su interconexión y el nivel de agua que desfoga, en este caso en una zona de inundación, aunado al volumen de agua que aporta cada Microcuenca Hidrográfica Urbana</w:t>
      </w:r>
      <w:r>
        <w:rPr>
          <w:rFonts w:ascii="Arial" w:hAnsi="Arial" w:cs="Arial"/>
          <w:szCs w:val="24"/>
        </w:rPr>
        <w:t>.</w:t>
      </w:r>
    </w:p>
    <w:p w:rsidR="00AE0459" w:rsidRPr="005A4982" w:rsidRDefault="00AE0459" w:rsidP="00AE0459">
      <w:pPr>
        <w:spacing w:line="240" w:lineRule="auto"/>
        <w:rPr>
          <w:rFonts w:ascii="Arial" w:hAnsi="Arial" w:cs="Arial"/>
          <w:szCs w:val="24"/>
        </w:rPr>
      </w:pPr>
    </w:p>
    <w:p w:rsidR="00AE0459" w:rsidRPr="005A4982" w:rsidRDefault="00AE0459" w:rsidP="00AE0459">
      <w:pPr>
        <w:pStyle w:val="1Titulo"/>
      </w:pPr>
      <w:bookmarkStart w:id="8" w:name="_Toc50031142"/>
      <w:r w:rsidRPr="00726A81">
        <w:t>Conclusión</w:t>
      </w:r>
      <w:bookmarkEnd w:id="8"/>
    </w:p>
    <w:p w:rsidR="00AE0459" w:rsidRPr="005A4982" w:rsidRDefault="00AE0459" w:rsidP="003135F4">
      <w:pPr>
        <w:spacing w:line="240" w:lineRule="auto"/>
        <w:jc w:val="both"/>
        <w:rPr>
          <w:rFonts w:ascii="Arial" w:hAnsi="Arial" w:cs="Arial"/>
          <w:szCs w:val="24"/>
        </w:rPr>
      </w:pPr>
      <w:r w:rsidRPr="005A4982">
        <w:rPr>
          <w:rFonts w:ascii="Arial" w:hAnsi="Arial" w:cs="Arial"/>
          <w:szCs w:val="24"/>
        </w:rPr>
        <w:t>Una Carta Hidrográfica Urbana es una herramienta que puede servir para alcanzar y lograr que una zona urbana sea mejor habitable, sustentable, que promueva y coadyuve con el desarrollo sostenible de sus habitantes, ya que permitirá, al ser utilizada, buenas prácticas de políticas públicas, estrategias, normas e instrumentos urbanos, en materia de desarrollo y mejoramiento, basados en la planeación estratégica.</w:t>
      </w:r>
    </w:p>
    <w:p w:rsidR="00AE0459" w:rsidRPr="005A4982" w:rsidRDefault="00AE0459" w:rsidP="00AE0459">
      <w:pPr>
        <w:spacing w:line="240" w:lineRule="auto"/>
        <w:rPr>
          <w:rFonts w:ascii="Arial" w:hAnsi="Arial" w:cs="Arial"/>
          <w:szCs w:val="24"/>
        </w:rPr>
      </w:pPr>
      <w:r w:rsidRPr="005A4982">
        <w:rPr>
          <w:rFonts w:ascii="Arial" w:hAnsi="Arial" w:cs="Arial"/>
          <w:szCs w:val="24"/>
        </w:rPr>
        <w:tab/>
        <w:t>La Carta Hidrográfica Urbana es una herramienta fundamental que permite:</w:t>
      </w:r>
    </w:p>
    <w:p w:rsidR="00AE0459" w:rsidRPr="005A4982" w:rsidRDefault="00AE0459" w:rsidP="00AE0459">
      <w:pPr>
        <w:spacing w:line="240" w:lineRule="auto"/>
        <w:rPr>
          <w:rFonts w:ascii="Arial" w:hAnsi="Arial" w:cs="Arial"/>
          <w:szCs w:val="24"/>
        </w:rPr>
      </w:pPr>
      <w:r w:rsidRPr="005A4982">
        <w:rPr>
          <w:rFonts w:ascii="Arial" w:hAnsi="Arial" w:cs="Arial"/>
          <w:szCs w:val="24"/>
        </w:rPr>
        <w:t>-</w:t>
      </w:r>
      <w:r w:rsidRPr="005A4982">
        <w:rPr>
          <w:rFonts w:ascii="Arial" w:hAnsi="Arial" w:cs="Arial"/>
          <w:szCs w:val="24"/>
        </w:rPr>
        <w:tab/>
        <w:t>Identificar, dimensionar y proponer soluciones a los problemas urbanos, sobre todo lo relacionado con el fenómeno hídrico.</w:t>
      </w:r>
    </w:p>
    <w:p w:rsidR="00AE0459" w:rsidRPr="005A4982" w:rsidRDefault="00AE0459" w:rsidP="00AE0459">
      <w:pPr>
        <w:spacing w:line="240" w:lineRule="auto"/>
        <w:rPr>
          <w:rFonts w:ascii="Arial" w:hAnsi="Arial" w:cs="Arial"/>
          <w:szCs w:val="24"/>
        </w:rPr>
      </w:pPr>
      <w:r w:rsidRPr="005A4982">
        <w:rPr>
          <w:rFonts w:ascii="Arial" w:hAnsi="Arial" w:cs="Arial"/>
          <w:szCs w:val="24"/>
        </w:rPr>
        <w:t>-</w:t>
      </w:r>
      <w:r w:rsidRPr="005A4982">
        <w:rPr>
          <w:rFonts w:ascii="Arial" w:hAnsi="Arial" w:cs="Arial"/>
          <w:szCs w:val="24"/>
        </w:rPr>
        <w:tab/>
        <w:t>Prever los requerimientos y normativas urbanas del futuro para el manejo y el uso de sus recursos naturales, principalmente el agua y los cambios de uso de suelo.</w:t>
      </w:r>
    </w:p>
    <w:p w:rsidR="00AE0459" w:rsidRPr="005A4982" w:rsidRDefault="00AE0459" w:rsidP="00AE0459">
      <w:pPr>
        <w:spacing w:line="240" w:lineRule="auto"/>
        <w:rPr>
          <w:rFonts w:ascii="Arial" w:hAnsi="Arial" w:cs="Arial"/>
          <w:szCs w:val="24"/>
        </w:rPr>
      </w:pPr>
      <w:r w:rsidRPr="005A4982">
        <w:rPr>
          <w:rFonts w:ascii="Arial" w:hAnsi="Arial" w:cs="Arial"/>
          <w:szCs w:val="24"/>
        </w:rPr>
        <w:t>-</w:t>
      </w:r>
      <w:r w:rsidRPr="005A4982">
        <w:rPr>
          <w:rFonts w:ascii="Arial" w:hAnsi="Arial" w:cs="Arial"/>
          <w:szCs w:val="24"/>
        </w:rPr>
        <w:tab/>
        <w:t>Servir como una guía y una herramienta que oriente a las autoridades y particulares, para modificar la ciudad y su crecimiento con orden, sustentabilidad y sostenibilidad, cuidando y protegiendo a su población del incremento y la creación de zonas inundables.</w:t>
      </w:r>
    </w:p>
    <w:p w:rsidR="00AE0459" w:rsidRPr="005A4982" w:rsidRDefault="00AE0459" w:rsidP="00AE0459">
      <w:pPr>
        <w:spacing w:line="240" w:lineRule="auto"/>
        <w:rPr>
          <w:rFonts w:ascii="Arial" w:hAnsi="Arial" w:cs="Arial"/>
          <w:szCs w:val="24"/>
        </w:rPr>
      </w:pPr>
      <w:r w:rsidRPr="005A4982">
        <w:rPr>
          <w:rFonts w:ascii="Arial" w:hAnsi="Arial" w:cs="Arial"/>
          <w:szCs w:val="24"/>
        </w:rPr>
        <w:t>-</w:t>
      </w:r>
      <w:r w:rsidRPr="005A4982">
        <w:rPr>
          <w:rFonts w:ascii="Arial" w:hAnsi="Arial" w:cs="Arial"/>
          <w:szCs w:val="24"/>
        </w:rPr>
        <w:tab/>
        <w:t>Cuidar que las nuevas construcciones no contribuyan a la carga vehicular, a la sobrecarga de los drenes pluviales y de aguas negras, y a la escorrentía superficial que pueda desencadenar en nuevas zonas de inundación.</w:t>
      </w:r>
    </w:p>
    <w:p w:rsidR="00AE0459" w:rsidRPr="005A4982" w:rsidRDefault="00AE0459" w:rsidP="003135F4">
      <w:pPr>
        <w:spacing w:line="240" w:lineRule="auto"/>
        <w:jc w:val="both"/>
        <w:rPr>
          <w:rFonts w:ascii="Arial" w:hAnsi="Arial" w:cs="Arial"/>
          <w:szCs w:val="24"/>
        </w:rPr>
      </w:pPr>
      <w:r w:rsidRPr="005A4982">
        <w:rPr>
          <w:rFonts w:ascii="Arial" w:hAnsi="Arial" w:cs="Arial"/>
          <w:szCs w:val="24"/>
        </w:rPr>
        <w:lastRenderedPageBreak/>
        <w:tab/>
        <w:t>La propuesta de que las zonas urbanas cuenten con su Carta Hidrográfica Urbana es con el principal objetivo de que se puedan realizar mejores programas de desarrollo urbano, ya que al tener representadas en la carta urbana la dirección que sigue el agua por sus calles, desde su origen hasta las zonas de inundación o desfogue, les va a permitir que las zonas de crecimiento no contribuyan con un mayor aporte de agua a esas zonas, no construir nuevas zonas de peligro de inundación e identificar los sitios donde deben de construir obras preventivas para impedir el flujo de agua; así como también les va a servir para realizar programas preventivos y disminuir los daños que las inundaciones provocan.</w:t>
      </w:r>
    </w:p>
    <w:p w:rsidR="00AE0459" w:rsidRPr="005A4982" w:rsidRDefault="00AE0459" w:rsidP="00AE0459">
      <w:pPr>
        <w:spacing w:line="240" w:lineRule="auto"/>
        <w:rPr>
          <w:rFonts w:ascii="Arial" w:hAnsi="Arial" w:cs="Arial"/>
          <w:szCs w:val="24"/>
        </w:rPr>
      </w:pPr>
      <w:r w:rsidRPr="005A4982">
        <w:rPr>
          <w:rFonts w:ascii="Arial" w:hAnsi="Arial" w:cs="Arial"/>
          <w:szCs w:val="24"/>
        </w:rPr>
        <w:t>Bibliografía</w:t>
      </w:r>
    </w:p>
    <w:p w:rsidR="00AE0459" w:rsidRDefault="00AE0459" w:rsidP="00257D10">
      <w:pPr>
        <w:pStyle w:val="Prrafodelista"/>
        <w:numPr>
          <w:ilvl w:val="0"/>
          <w:numId w:val="6"/>
        </w:numPr>
        <w:spacing w:after="160" w:line="240" w:lineRule="auto"/>
        <w:rPr>
          <w:rFonts w:ascii="Arial" w:hAnsi="Arial" w:cs="Arial"/>
          <w:szCs w:val="24"/>
        </w:rPr>
      </w:pPr>
      <w:r w:rsidRPr="00726A81">
        <w:rPr>
          <w:rFonts w:ascii="Arial" w:hAnsi="Arial" w:cs="Arial"/>
          <w:szCs w:val="24"/>
        </w:rPr>
        <w:t>ONU (2020). América Latina y el Caribe: la segunda región más propensa a los desastres naturales. Noticias 6 de enero 2020. (</w:t>
      </w:r>
      <w:hyperlink r:id="rId25" w:history="1">
        <w:r w:rsidRPr="00726A81">
          <w:rPr>
            <w:rStyle w:val="Hipervnculo"/>
            <w:rFonts w:ascii="Arial" w:hAnsi="Arial" w:cs="Arial"/>
            <w:szCs w:val="24"/>
          </w:rPr>
          <w:t>http://www.onu.org.mx/america-latina-y-el-caribe-la-segunda-region-mas-propensa-a-los-desastres-naturales/</w:t>
        </w:r>
      </w:hyperlink>
      <w:r w:rsidRPr="00726A81">
        <w:rPr>
          <w:rFonts w:ascii="Arial" w:hAnsi="Arial" w:cs="Arial"/>
          <w:szCs w:val="24"/>
        </w:rPr>
        <w:t>). Documento digital, recuperado 14 de marzo 2020.</w:t>
      </w:r>
    </w:p>
    <w:p w:rsidR="00AE0459" w:rsidRPr="00AE0459" w:rsidRDefault="00AE0459" w:rsidP="00257D10">
      <w:pPr>
        <w:pStyle w:val="Prrafodelista"/>
        <w:numPr>
          <w:ilvl w:val="0"/>
          <w:numId w:val="6"/>
        </w:numPr>
        <w:spacing w:after="160" w:line="240" w:lineRule="auto"/>
        <w:rPr>
          <w:rFonts w:ascii="Arial" w:hAnsi="Arial" w:cs="Arial"/>
          <w:szCs w:val="24"/>
          <w:lang w:val="en-US"/>
        </w:rPr>
      </w:pPr>
      <w:r w:rsidRPr="00AE0459">
        <w:rPr>
          <w:rFonts w:ascii="Arial" w:hAnsi="Arial" w:cs="Arial"/>
          <w:szCs w:val="24"/>
          <w:lang w:val="en-US"/>
        </w:rPr>
        <w:t>Quarantelli, E. L. (1996). The future is not the past repeated: Projecting disasters in the 21st century from current trends. Journal of Contingencies and Crisis Management. https://doi.org/10.1111/j.1468-5973.1996.tb00097.</w:t>
      </w:r>
    </w:p>
    <w:p w:rsidR="00AE0459" w:rsidRDefault="00AE0459" w:rsidP="00257D10">
      <w:pPr>
        <w:pStyle w:val="Prrafodelista"/>
        <w:numPr>
          <w:ilvl w:val="0"/>
          <w:numId w:val="6"/>
        </w:numPr>
        <w:spacing w:after="160" w:line="240" w:lineRule="auto"/>
        <w:rPr>
          <w:rFonts w:ascii="Arial" w:hAnsi="Arial" w:cs="Arial"/>
          <w:szCs w:val="24"/>
        </w:rPr>
      </w:pPr>
      <w:r w:rsidRPr="00726A81">
        <w:rPr>
          <w:rFonts w:ascii="Arial" w:hAnsi="Arial" w:cs="Arial"/>
          <w:szCs w:val="24"/>
        </w:rPr>
        <w:t>Lavell, A. (1996). Degradación ambiental, riesgo y desastre urbano: Problemas y conceptos. In Ciudades en riesgo.</w:t>
      </w:r>
    </w:p>
    <w:p w:rsidR="00AE0459" w:rsidRDefault="00AE0459" w:rsidP="00257D10">
      <w:pPr>
        <w:pStyle w:val="Prrafodelista"/>
        <w:numPr>
          <w:ilvl w:val="0"/>
          <w:numId w:val="6"/>
        </w:numPr>
        <w:spacing w:after="160" w:line="240" w:lineRule="auto"/>
        <w:rPr>
          <w:rFonts w:ascii="Arial" w:hAnsi="Arial" w:cs="Arial"/>
          <w:szCs w:val="24"/>
        </w:rPr>
      </w:pPr>
      <w:r w:rsidRPr="00726A81">
        <w:rPr>
          <w:rFonts w:ascii="Arial" w:hAnsi="Arial" w:cs="Arial"/>
          <w:szCs w:val="24"/>
        </w:rPr>
        <w:t>Mansilla, E. (2010). Riesgo urbano y políticas públicas en América Latina: la irregularidad y el acceso al suelo. Global Assessment Report on Disaster Risk Reduction. ISDR, UNDP</w:t>
      </w:r>
      <w:r>
        <w:rPr>
          <w:rFonts w:ascii="Arial" w:hAnsi="Arial" w:cs="Arial"/>
          <w:szCs w:val="24"/>
        </w:rPr>
        <w:t>.</w:t>
      </w:r>
    </w:p>
    <w:p w:rsidR="00AE0459" w:rsidRPr="00726A81" w:rsidRDefault="00AE0459" w:rsidP="00257D10">
      <w:pPr>
        <w:pStyle w:val="Prrafodelista"/>
        <w:numPr>
          <w:ilvl w:val="0"/>
          <w:numId w:val="6"/>
        </w:numPr>
        <w:spacing w:after="160" w:line="240" w:lineRule="auto"/>
        <w:rPr>
          <w:rFonts w:ascii="Arial" w:hAnsi="Arial" w:cs="Arial"/>
          <w:szCs w:val="24"/>
        </w:rPr>
      </w:pPr>
      <w:r w:rsidRPr="00AE0459">
        <w:rPr>
          <w:rFonts w:ascii="Arial" w:hAnsi="Arial" w:cs="Arial"/>
          <w:szCs w:val="24"/>
          <w:lang w:val="en-US"/>
        </w:rPr>
        <w:t xml:space="preserve">Robbins, C. H. (1984). Effects of Urbanization on the Magnitude and Frequency on Small Streams in Tennessee. </w:t>
      </w:r>
      <w:r w:rsidRPr="00726A81">
        <w:rPr>
          <w:rFonts w:ascii="Arial" w:hAnsi="Arial" w:cs="Arial"/>
          <w:szCs w:val="24"/>
        </w:rPr>
        <w:t>January, 35.</w:t>
      </w:r>
    </w:p>
    <w:p w:rsidR="00AE0459" w:rsidRPr="00726A81" w:rsidRDefault="00AE0459" w:rsidP="00257D10">
      <w:pPr>
        <w:pStyle w:val="Prrafodelista"/>
        <w:numPr>
          <w:ilvl w:val="0"/>
          <w:numId w:val="6"/>
        </w:numPr>
        <w:spacing w:after="160" w:line="240" w:lineRule="auto"/>
        <w:rPr>
          <w:rFonts w:ascii="Arial" w:hAnsi="Arial" w:cs="Arial"/>
          <w:szCs w:val="24"/>
        </w:rPr>
      </w:pPr>
      <w:r w:rsidRPr="00726A81">
        <w:rPr>
          <w:rFonts w:ascii="Arial" w:hAnsi="Arial" w:cs="Arial"/>
          <w:szCs w:val="24"/>
        </w:rPr>
        <w:t>Rey Valencia, D. M., y Zambrano, J. D. (2018). Estudio de la respuesta hidrológica en la cuenca urbana de montaña San Luis-Palogrande. Revista UIS Ingenierías, 13(1), 115–126. https://doi.org/10.18273/revuin.v17n1-2018011</w:t>
      </w:r>
    </w:p>
    <w:p w:rsidR="00AE0459" w:rsidRPr="00726A81" w:rsidRDefault="00AE0459" w:rsidP="00257D10">
      <w:pPr>
        <w:pStyle w:val="Prrafodelista"/>
        <w:numPr>
          <w:ilvl w:val="0"/>
          <w:numId w:val="6"/>
        </w:numPr>
        <w:spacing w:after="160" w:line="240" w:lineRule="auto"/>
        <w:rPr>
          <w:rFonts w:ascii="Arial" w:hAnsi="Arial" w:cs="Arial"/>
          <w:szCs w:val="24"/>
        </w:rPr>
      </w:pPr>
      <w:r w:rsidRPr="00AE0459">
        <w:rPr>
          <w:rFonts w:ascii="Arial" w:hAnsi="Arial" w:cs="Arial"/>
          <w:szCs w:val="24"/>
          <w:lang w:val="en-US"/>
        </w:rPr>
        <w:t xml:space="preserve">Mora, J. C. (2019). Mapping the Risk of Flood, Mass Movement and Local Subsidence. A New Proposal for Major Cities. (Springer Briefs in Earth Sciences. eBook (ed.)). </w:t>
      </w:r>
      <w:r w:rsidRPr="00726A81">
        <w:rPr>
          <w:rFonts w:ascii="Arial" w:hAnsi="Arial" w:cs="Arial"/>
          <w:szCs w:val="24"/>
        </w:rPr>
        <w:t>Springer. https://doi.org/DOI 10.1007/978-3-030-22472-1.</w:t>
      </w:r>
    </w:p>
    <w:p w:rsidR="00AE0459" w:rsidRPr="00D97AFC" w:rsidRDefault="00AE0459" w:rsidP="00257D10">
      <w:pPr>
        <w:pStyle w:val="Prrafodelista"/>
        <w:numPr>
          <w:ilvl w:val="0"/>
          <w:numId w:val="6"/>
        </w:numPr>
        <w:spacing w:after="160" w:line="240" w:lineRule="auto"/>
        <w:rPr>
          <w:rFonts w:ascii="Arial" w:hAnsi="Arial" w:cs="Arial"/>
          <w:szCs w:val="24"/>
          <w:lang w:val="en-US"/>
        </w:rPr>
      </w:pPr>
      <w:r w:rsidRPr="00D97AFC">
        <w:rPr>
          <w:rFonts w:ascii="Arial" w:hAnsi="Arial" w:cs="Arial"/>
          <w:szCs w:val="24"/>
          <w:lang w:val="en-US"/>
        </w:rPr>
        <w:t>Strahler, A. N. (1952), "Hypsometric (area-altitude) analysis of erosional topology", Geological Society of America Bulletin, 63 (11): 1117–1142, doi:10.1130/0016-7606(1952)63[1117:HAAOET]2.0.CO;2.</w:t>
      </w:r>
    </w:p>
    <w:p w:rsidR="00811E7D" w:rsidRDefault="00811E7D" w:rsidP="00AE0459">
      <w:pPr>
        <w:pStyle w:val="Reference"/>
        <w:numPr>
          <w:ilvl w:val="0"/>
          <w:numId w:val="0"/>
        </w:numPr>
        <w:snapToGrid w:val="0"/>
        <w:spacing w:line="264" w:lineRule="auto"/>
        <w:ind w:left="420" w:hanging="420"/>
        <w:rPr>
          <w:rFonts w:ascii="Arial" w:hAnsi="Arial" w:cs="Arial"/>
          <w:sz w:val="24"/>
          <w:szCs w:val="24"/>
        </w:rPr>
      </w:pPr>
    </w:p>
    <w:p w:rsidR="00811E7D" w:rsidRPr="008358CC" w:rsidRDefault="00811E7D" w:rsidP="00811E7D">
      <w:pPr>
        <w:pStyle w:val="1Titulo"/>
        <w:numPr>
          <w:ilvl w:val="0"/>
          <w:numId w:val="0"/>
        </w:numPr>
        <w:ind w:left="357"/>
        <w:jc w:val="center"/>
        <w:rPr>
          <w:sz w:val="28"/>
          <w:szCs w:val="28"/>
        </w:rPr>
      </w:pPr>
      <w:bookmarkStart w:id="9" w:name="_Toc50031143"/>
      <w:r w:rsidRPr="008358CC">
        <w:rPr>
          <w:sz w:val="28"/>
          <w:szCs w:val="28"/>
        </w:rPr>
        <w:t>Identificación y análisis de Microcuencas Hidrográficas en zonas urbanas en riesgo de inundación</w:t>
      </w:r>
      <w:bookmarkEnd w:id="9"/>
    </w:p>
    <w:p w:rsidR="00811E7D" w:rsidRPr="00397861" w:rsidRDefault="00811E7D" w:rsidP="00811E7D">
      <w:pPr>
        <w:pStyle w:val="Sinespaciado"/>
      </w:pPr>
    </w:p>
    <w:p w:rsidR="00811E7D" w:rsidRPr="003531E6" w:rsidRDefault="00811E7D" w:rsidP="00811E7D">
      <w:pPr>
        <w:pStyle w:val="Sinespaciado"/>
      </w:pPr>
      <w:r w:rsidRPr="003531E6">
        <w:t>Mora, J. C</w:t>
      </w:r>
      <w:r w:rsidRPr="003531E6">
        <w:rPr>
          <w:vertAlign w:val="superscript"/>
        </w:rPr>
        <w:t>1</w:t>
      </w:r>
      <w:r w:rsidRPr="003531E6">
        <w:t>., Hernández, E. E</w:t>
      </w:r>
      <w:r w:rsidRPr="003531E6">
        <w:rPr>
          <w:vertAlign w:val="superscript"/>
        </w:rPr>
        <w:t>2</w:t>
      </w:r>
      <w:r w:rsidRPr="003531E6">
        <w:t>., y Mora, L.L</w:t>
      </w:r>
      <w:r w:rsidRPr="003531E6">
        <w:rPr>
          <w:vertAlign w:val="superscript"/>
        </w:rPr>
        <w:t>3</w:t>
      </w:r>
      <w:r w:rsidRPr="003531E6">
        <w:t>.</w:t>
      </w:r>
    </w:p>
    <w:p w:rsidR="00811E7D" w:rsidRPr="00D83BF7" w:rsidRDefault="00811E7D" w:rsidP="00811E7D">
      <w:pPr>
        <w:pStyle w:val="Sinespaciado"/>
      </w:pPr>
    </w:p>
    <w:p w:rsidR="00811E7D" w:rsidRPr="00380E73" w:rsidRDefault="00811E7D" w:rsidP="00257D10">
      <w:pPr>
        <w:pStyle w:val="Sinespaciado"/>
        <w:numPr>
          <w:ilvl w:val="0"/>
          <w:numId w:val="16"/>
        </w:numPr>
        <w:spacing w:line="360" w:lineRule="auto"/>
        <w:rPr>
          <w:sz w:val="20"/>
          <w:szCs w:val="20"/>
        </w:rPr>
      </w:pPr>
      <w:r w:rsidRPr="00380E73">
        <w:rPr>
          <w:sz w:val="20"/>
          <w:szCs w:val="20"/>
        </w:rPr>
        <w:t>Universidad Nacional Autónoma de México, Instituto de Geofísica. Unidad Morelia.</w:t>
      </w:r>
    </w:p>
    <w:p w:rsidR="00811E7D" w:rsidRPr="00380E73" w:rsidRDefault="00811E7D" w:rsidP="00257D10">
      <w:pPr>
        <w:pStyle w:val="Sinespaciado"/>
        <w:numPr>
          <w:ilvl w:val="0"/>
          <w:numId w:val="16"/>
        </w:numPr>
        <w:spacing w:line="360" w:lineRule="auto"/>
        <w:rPr>
          <w:sz w:val="20"/>
          <w:szCs w:val="20"/>
        </w:rPr>
      </w:pPr>
      <w:r w:rsidRPr="00380E73">
        <w:rPr>
          <w:sz w:val="20"/>
          <w:szCs w:val="20"/>
        </w:rPr>
        <w:t xml:space="preserve">Posgrado Escuela Nacional de Protección Civil, Campus Chiapas. </w:t>
      </w:r>
    </w:p>
    <w:p w:rsidR="00811E7D" w:rsidRPr="00380E73" w:rsidRDefault="00811E7D" w:rsidP="00257D10">
      <w:pPr>
        <w:pStyle w:val="Sinespaciado"/>
        <w:numPr>
          <w:ilvl w:val="0"/>
          <w:numId w:val="16"/>
        </w:numPr>
        <w:spacing w:line="360" w:lineRule="auto"/>
        <w:rPr>
          <w:sz w:val="20"/>
          <w:szCs w:val="20"/>
        </w:rPr>
      </w:pPr>
      <w:r w:rsidRPr="00380E73">
        <w:rPr>
          <w:sz w:val="20"/>
          <w:szCs w:val="20"/>
        </w:rPr>
        <w:t xml:space="preserve">Programa jóvenes construyendo el futuro, Chiapas. *Responsable: </w:t>
      </w:r>
      <w:hyperlink r:id="rId26" w:history="1">
        <w:r w:rsidRPr="00380E73">
          <w:rPr>
            <w:rStyle w:val="Hipervnculo"/>
            <w:sz w:val="20"/>
            <w:szCs w:val="20"/>
          </w:rPr>
          <w:t>jcmora@geofisica.unam.mx</w:t>
        </w:r>
      </w:hyperlink>
      <w:r w:rsidRPr="00380E73">
        <w:rPr>
          <w:sz w:val="20"/>
          <w:szCs w:val="20"/>
        </w:rPr>
        <w:t xml:space="preserve">; </w:t>
      </w:r>
      <w:hyperlink r:id="rId27" w:history="1">
        <w:r w:rsidRPr="00380E73">
          <w:rPr>
            <w:rStyle w:val="Hipervnculo"/>
            <w:sz w:val="20"/>
            <w:szCs w:val="20"/>
          </w:rPr>
          <w:t>elizabetha1708@gmail.com</w:t>
        </w:r>
      </w:hyperlink>
      <w:r w:rsidRPr="00380E73">
        <w:rPr>
          <w:sz w:val="20"/>
          <w:szCs w:val="20"/>
        </w:rPr>
        <w:t xml:space="preserve">; </w:t>
      </w:r>
      <w:hyperlink r:id="rId28" w:history="1">
        <w:r w:rsidRPr="00380E73">
          <w:rPr>
            <w:rStyle w:val="Hipervnculo"/>
            <w:sz w:val="20"/>
            <w:szCs w:val="20"/>
          </w:rPr>
          <w:t>luis.mora.krz@gmail.com</w:t>
        </w:r>
      </w:hyperlink>
      <w:r w:rsidRPr="00380E73">
        <w:rPr>
          <w:sz w:val="20"/>
          <w:szCs w:val="20"/>
        </w:rPr>
        <w:t>.</w:t>
      </w:r>
    </w:p>
    <w:p w:rsidR="00811E7D" w:rsidRPr="007A391C" w:rsidRDefault="00811E7D" w:rsidP="00811E7D">
      <w:pPr>
        <w:pStyle w:val="Sinespaciado"/>
        <w:rPr>
          <w:sz w:val="20"/>
          <w:szCs w:val="20"/>
        </w:rPr>
      </w:pPr>
    </w:p>
    <w:p w:rsidR="00811E7D" w:rsidRPr="00397861" w:rsidRDefault="00811E7D" w:rsidP="00811E7D">
      <w:pPr>
        <w:pStyle w:val="Sinespaciado"/>
      </w:pPr>
    </w:p>
    <w:p w:rsidR="00811E7D" w:rsidRPr="00A05E4F" w:rsidRDefault="00811E7D" w:rsidP="00257D10">
      <w:pPr>
        <w:pStyle w:val="1Titulo"/>
        <w:numPr>
          <w:ilvl w:val="0"/>
          <w:numId w:val="17"/>
        </w:numPr>
      </w:pPr>
      <w:bookmarkStart w:id="10" w:name="_Toc50031144"/>
      <w:r w:rsidRPr="00A05E4F">
        <w:t>Resumen</w:t>
      </w:r>
      <w:bookmarkEnd w:id="10"/>
    </w:p>
    <w:p w:rsidR="00811E7D" w:rsidRDefault="00811E7D" w:rsidP="00811E7D">
      <w:pPr>
        <w:pStyle w:val="Sinespaciado"/>
        <w:jc w:val="both"/>
      </w:pPr>
      <w:r w:rsidRPr="00602082">
        <w:lastRenderedPageBreak/>
        <w:t>El desarrollo urbano se inicia en los valles al lado de los ríos, en busca de la satisfacción del recurso agua. Estos ríos son parte de una cuenca hidrológica, formada por las subcuencas y microcuencas de los afluentes, que descargan sus aguas al mismo.</w:t>
      </w:r>
    </w:p>
    <w:p w:rsidR="00811E7D" w:rsidRDefault="00811E7D" w:rsidP="00811E7D">
      <w:pPr>
        <w:pStyle w:val="Sinespaciado"/>
        <w:jc w:val="both"/>
      </w:pPr>
      <w:r w:rsidRPr="00602082">
        <w:t>El crecimiento poblacional va acompañado de la tala inmoderada y del cambio de uso de suelo de bosque a agrícola, hasta llegar a suelos urbanos. Todo esto hace incrementar de forma exponencial el agua que escurre y disminuir, de igual manera, el agua que se filtra en estos terrenos</w:t>
      </w:r>
      <w:r>
        <w:t>. Las microcuencas que solo tenían suelos naturales, (Microcuencas Hidrográficas Naturales) ahora han cambiado a suelos urbanos (Microcuencas Hidrográficas en zonas urbanas; MCH), o suelos urbanos y remanentes naturales.  El origen del agua que llega a las zonas en riesgo de inundación de las zonas urbanas, proviene de la escorrentía solo en zonas urbanas (MCH) o escorrentía de las zonas remanentes naturales que continua en la zona urbana. Al identificar el origen del agua en las zonas en riesgo de inundación, es factible localizar los sitios para desviar la misma o para construir obras de retención, zonas de inundación provocada o zonas de filtración, y con ello disminuir los daños que provocan a la población expuesta.</w:t>
      </w:r>
    </w:p>
    <w:p w:rsidR="00811E7D" w:rsidRDefault="00811E7D" w:rsidP="00811E7D">
      <w:pPr>
        <w:pStyle w:val="Sinespaciado"/>
        <w:jc w:val="both"/>
      </w:pPr>
      <w:r w:rsidRPr="003531E6">
        <w:t xml:space="preserve">En Tuxtla Gutiérrez existían 33 </w:t>
      </w:r>
      <w:r>
        <w:t xml:space="preserve">Microcuencas Hidrográficas que fueron transformadas a Zonas Hidrográficas Urbanas </w:t>
      </w:r>
      <w:r w:rsidRPr="00A05E4F">
        <w:t xml:space="preserve">(12) y </w:t>
      </w:r>
      <w:r>
        <w:t xml:space="preserve">microcuencas que tienen Zonas Hidrográficas Urbanas y Zonas Hidrográficas Naturales (21). </w:t>
      </w:r>
      <w:r w:rsidRPr="00993EEC">
        <w:t>En Tuxtla Gutiérrez se identificaron en riesgo de inundación 88 colonias con 58 888 viviendas (vulnerabilidad física expuesta) y</w:t>
      </w:r>
      <w:r>
        <w:t xml:space="preserve"> </w:t>
      </w:r>
      <w:r w:rsidRPr="00993EEC">
        <w:t>70 980 personas expuestas (vulnerabilidad social expuesta)</w:t>
      </w:r>
      <w:r>
        <w:t>.</w:t>
      </w:r>
    </w:p>
    <w:p w:rsidR="00811E7D" w:rsidRDefault="00811E7D" w:rsidP="00811E7D">
      <w:pPr>
        <w:pStyle w:val="Sinespaciado"/>
        <w:jc w:val="both"/>
      </w:pPr>
    </w:p>
    <w:p w:rsidR="00811E7D" w:rsidRPr="00993EEC" w:rsidRDefault="00811E7D" w:rsidP="00257D10">
      <w:pPr>
        <w:pStyle w:val="1Titulo"/>
        <w:numPr>
          <w:ilvl w:val="0"/>
          <w:numId w:val="17"/>
        </w:numPr>
      </w:pPr>
      <w:bookmarkStart w:id="11" w:name="_Toc50031145"/>
      <w:r w:rsidRPr="00A05E4F">
        <w:t>Introducción</w:t>
      </w:r>
      <w:bookmarkEnd w:id="11"/>
    </w:p>
    <w:p w:rsidR="00811E7D" w:rsidRPr="00993EEC" w:rsidRDefault="00811E7D" w:rsidP="00811E7D">
      <w:pPr>
        <w:pStyle w:val="Sinespaciado"/>
        <w:jc w:val="both"/>
      </w:pPr>
      <w:r w:rsidRPr="00993EEC">
        <w:t>Las zonas urbanas, en general, se han establecido en una cuenca</w:t>
      </w:r>
      <w:r w:rsidRPr="005F115E">
        <w:t xml:space="preserve"> o </w:t>
      </w:r>
      <w:r w:rsidRPr="00993EEC">
        <w:t>subcuenca</w:t>
      </w:r>
      <w:r w:rsidRPr="005F115E">
        <w:t xml:space="preserve"> </w:t>
      </w:r>
      <w:r w:rsidRPr="00993EEC">
        <w:t>hidrológica</w:t>
      </w:r>
      <w:r w:rsidRPr="005F115E">
        <w:t xml:space="preserve"> </w:t>
      </w:r>
      <w:r>
        <w:t xml:space="preserve">con una red hidrográfica natural, los ríos principales reciben </w:t>
      </w:r>
      <w:r w:rsidRPr="00993EEC">
        <w:t>el agua de sus diferentes afluentes</w:t>
      </w:r>
      <w:r>
        <w:t xml:space="preserve"> y para cada afluente existe una </w:t>
      </w:r>
      <w:r w:rsidRPr="00993EEC">
        <w:t>microcuenca.</w:t>
      </w:r>
      <w:r>
        <w:t xml:space="preserve"> </w:t>
      </w:r>
      <w:r w:rsidRPr="00993EEC">
        <w:t xml:space="preserve">Las cuencas, subcuencas y microcuencas </w:t>
      </w:r>
      <w:r>
        <w:t xml:space="preserve">donde se han establecido zonas urbanas </w:t>
      </w:r>
      <w:r w:rsidRPr="00993EEC">
        <w:t xml:space="preserve">han sufrido una drástica y acelerada transformación, </w:t>
      </w:r>
      <w:r>
        <w:t xml:space="preserve">lo que </w:t>
      </w:r>
      <w:r w:rsidRPr="00993EEC">
        <w:t xml:space="preserve">ha traído como consecuencia diferentes afectaciones tanto en </w:t>
      </w:r>
      <w:r>
        <w:t>su</w:t>
      </w:r>
      <w:r w:rsidRPr="00993EEC">
        <w:t xml:space="preserve"> superficie como en el subsuelo. </w:t>
      </w:r>
      <w:r>
        <w:t xml:space="preserve">Éstas son </w:t>
      </w:r>
      <w:r w:rsidRPr="00993EEC">
        <w:t>causada</w:t>
      </w:r>
      <w:r>
        <w:t>s</w:t>
      </w:r>
      <w:r w:rsidRPr="00993EEC">
        <w:t xml:space="preserve"> principalmente por la deforestación y el recubrimiento de los suelos</w:t>
      </w:r>
      <w:r>
        <w:t xml:space="preserve"> con asfalto y cemento</w:t>
      </w:r>
      <w:r w:rsidRPr="00993EEC">
        <w:t xml:space="preserve">, </w:t>
      </w:r>
      <w:r>
        <w:t xml:space="preserve">que ha convertido los suelos naturales permeables en </w:t>
      </w:r>
      <w:r w:rsidRPr="00993EEC">
        <w:t xml:space="preserve">suelos impermeables, lo que ha dado origen a </w:t>
      </w:r>
      <w:r>
        <w:t xml:space="preserve">una fuerte </w:t>
      </w:r>
      <w:r w:rsidRPr="00993EEC">
        <w:t xml:space="preserve">disminución de la filtración del agua en el subsuelo y </w:t>
      </w:r>
      <w:r>
        <w:t>a</w:t>
      </w:r>
      <w:r w:rsidRPr="00993EEC">
        <w:t xml:space="preserve">l incremento exponencial del agua de escorrentía. Lo anterior ha provocado el desbordamiento de los ríos y afluentes, además del incremento del agua que </w:t>
      </w:r>
      <w:r w:rsidRPr="005F115E">
        <w:t xml:space="preserve">escurre por </w:t>
      </w:r>
      <w:r w:rsidRPr="00993EEC">
        <w:t xml:space="preserve">las calles, las cuales se convierten en ríos que </w:t>
      </w:r>
      <w:r>
        <w:t xml:space="preserve">al llegar a </w:t>
      </w:r>
      <w:r w:rsidRPr="00993EEC">
        <w:t>las zonas más bajas y provocan severas inundaciones con numerosos e incuantificables daños</w:t>
      </w:r>
      <w:r>
        <w:t>,</w:t>
      </w:r>
      <w:r w:rsidRPr="00993EEC">
        <w:t xml:space="preserve"> a la actividad económica y social donde se presentan.</w:t>
      </w:r>
    </w:p>
    <w:p w:rsidR="00811E7D" w:rsidRPr="00993EEC" w:rsidRDefault="00811E7D" w:rsidP="00811E7D">
      <w:pPr>
        <w:pStyle w:val="Sinespaciado"/>
        <w:jc w:val="both"/>
      </w:pPr>
      <w:r w:rsidRPr="00993EEC">
        <w:t>El incremento de la escorrentía y la disminución de la infiltración de agua en el subsuelo ha llevado a la erosión y desertificación de los suelos naturales y a la disminución en la recarga de los mantos acuíferos. Las consecuencias de estas alteraciones del ciclo natural se han traducido en el constante incremento de la construcción social de las zonas en riesgo de inundación, la escasez de agua, erosión y la desertificación de los suelos, así como del incremento de la temperatura en las zonas urbanas.</w:t>
      </w:r>
    </w:p>
    <w:p w:rsidR="00811E7D" w:rsidRPr="00993EEC" w:rsidRDefault="00811E7D" w:rsidP="00811E7D">
      <w:pPr>
        <w:pStyle w:val="Sinespaciado"/>
        <w:jc w:val="both"/>
      </w:pPr>
      <w:bookmarkStart w:id="12" w:name="_heading=h.3znysh7" w:colFirst="0" w:colLast="0"/>
      <w:bookmarkEnd w:id="12"/>
      <w:r>
        <w:t>L</w:t>
      </w:r>
      <w:r w:rsidRPr="00993EEC">
        <w:t xml:space="preserve">as zonas urbanas, en su mayoría, comenzaron su desarrollo en el valle, a los lados del cauce del río principal, </w:t>
      </w:r>
      <w:r>
        <w:t xml:space="preserve">este río recibe el </w:t>
      </w:r>
      <w:r w:rsidRPr="00993EEC">
        <w:t>aporte de agua por medio de sus afluentes que vienen de las partes topográficas más altas. El crecimiento subsecuente del área urbana se ha dado a su alrededor, y poco a poco fue incursionando hacia las zonas medias y altas. Durante este crecimiento los cauces tanto de los afluentes como del río principal, han sido entubados, embovedados o convertidos en canales a cielo abierto; en general, se ha reducido su área hidráulica original y otros han pasado a ser calles asfaltadas o pavimentadas. Esto ha generado la transformación de la Red Hidrográfica Natural en una nueva Red Hidrográfica Urbana y, por consiguiente, en la conformación de Microcuencas Hidrográficas Urbanas</w:t>
      </w:r>
      <w:r>
        <w:t xml:space="preserve"> y Microcuencas Hidrográficas Mixtas</w:t>
      </w:r>
      <w:r w:rsidRPr="00993EEC">
        <w:t>.</w:t>
      </w:r>
    </w:p>
    <w:p w:rsidR="00811E7D" w:rsidRDefault="00811E7D" w:rsidP="00811E7D">
      <w:pPr>
        <w:pStyle w:val="Sinespaciado"/>
        <w:jc w:val="both"/>
      </w:pPr>
      <w:r>
        <w:t>E</w:t>
      </w:r>
      <w:r w:rsidRPr="00993EEC">
        <w:t xml:space="preserve">l presente estudio se realizó en la zona urbana de Tuxtla Gutiérrez, Chiapas como un ejemplo de cómo a través de la caracterización del flujo de agua por las calles en las zonas urbanas se pueden identificar y delimitar Microcuencas Hidrográficas </w:t>
      </w:r>
      <w:r>
        <w:t xml:space="preserve">Urbanas compuestas por Zonas Hidrográficas Urbanas y Zonas Hidrográficas Naturales, </w:t>
      </w:r>
      <w:r w:rsidRPr="00993EEC">
        <w:t xml:space="preserve">como una herramienta para una mejor Gestión del Riesgo </w:t>
      </w:r>
      <w:r w:rsidRPr="00993EEC">
        <w:lastRenderedPageBreak/>
        <w:t xml:space="preserve">de Desastres por Inundaciones y </w:t>
      </w:r>
      <w:r>
        <w:t xml:space="preserve">para el desarrollo de </w:t>
      </w:r>
      <w:r w:rsidRPr="00993EEC">
        <w:t>mejores Planes de Desarrollo Urbano</w:t>
      </w:r>
      <w:r>
        <w:t xml:space="preserve"> Sustentable y Sostenible</w:t>
      </w:r>
      <w:r w:rsidRPr="00993EEC">
        <w:t>.</w:t>
      </w:r>
    </w:p>
    <w:p w:rsidR="00811E7D" w:rsidRPr="00993EEC" w:rsidRDefault="00811E7D" w:rsidP="00811E7D">
      <w:pPr>
        <w:pStyle w:val="Sinespaciado"/>
        <w:jc w:val="both"/>
      </w:pPr>
    </w:p>
    <w:p w:rsidR="00811E7D" w:rsidRPr="00A05E4F" w:rsidRDefault="00811E7D" w:rsidP="00257D10">
      <w:pPr>
        <w:pStyle w:val="1Titulo"/>
        <w:numPr>
          <w:ilvl w:val="0"/>
          <w:numId w:val="17"/>
        </w:numPr>
      </w:pPr>
      <w:bookmarkStart w:id="13" w:name="_Toc50031146"/>
      <w:r w:rsidRPr="00A05E4F">
        <w:t>Antecedentes</w:t>
      </w:r>
      <w:bookmarkEnd w:id="13"/>
    </w:p>
    <w:p w:rsidR="00811E7D" w:rsidRPr="00C43AFA" w:rsidRDefault="00811E7D" w:rsidP="00811E7D">
      <w:pPr>
        <w:pStyle w:val="Sinespaciado"/>
        <w:jc w:val="both"/>
      </w:pPr>
      <w:r w:rsidRPr="00C43AFA">
        <w:t>Autores</w:t>
      </w:r>
      <w:r>
        <w:rPr>
          <w:vertAlign w:val="superscript"/>
        </w:rPr>
        <w:t>[1]</w:t>
      </w:r>
      <w:r w:rsidRPr="00D351E7">
        <w:rPr>
          <w:vertAlign w:val="superscript"/>
        </w:rPr>
        <w:t xml:space="preserve"> [2]</w:t>
      </w:r>
      <w:r w:rsidRPr="00C43AFA">
        <w:t xml:space="preserve"> evidenciaron que los actuales procesos de urbanización e industrialización generan mayores riesgos en las ciudades. </w:t>
      </w:r>
    </w:p>
    <w:p w:rsidR="00811E7D" w:rsidRPr="00C43AFA" w:rsidRDefault="00811E7D" w:rsidP="00811E7D">
      <w:pPr>
        <w:pStyle w:val="Sinespaciado"/>
        <w:jc w:val="both"/>
      </w:pPr>
      <w:r>
        <w:t xml:space="preserve">En el 2006 </w:t>
      </w:r>
      <w:r w:rsidRPr="00D351E7">
        <w:rPr>
          <w:vertAlign w:val="superscript"/>
        </w:rPr>
        <w:t>[3]</w:t>
      </w:r>
      <w:r w:rsidRPr="00C43AFA">
        <w:t xml:space="preserve"> </w:t>
      </w:r>
      <w:r>
        <w:t xml:space="preserve">menciona </w:t>
      </w:r>
      <w:r w:rsidRPr="00C43AFA">
        <w:t>que el crecimiento urbano en los países en desarrollo se ha dado de manera insustentable, con deterioro de la calidad de vida y del medio ambiente.</w:t>
      </w:r>
    </w:p>
    <w:p w:rsidR="00811E7D" w:rsidRPr="00C43AFA" w:rsidRDefault="00811E7D" w:rsidP="00811E7D">
      <w:pPr>
        <w:pStyle w:val="Sinespaciado"/>
        <w:jc w:val="both"/>
      </w:pPr>
      <w:r>
        <w:t xml:space="preserve">En 2008 </w:t>
      </w:r>
      <w:r w:rsidRPr="00D351E7">
        <w:rPr>
          <w:vertAlign w:val="superscript"/>
        </w:rPr>
        <w:t>[4]</w:t>
      </w:r>
      <w:r>
        <w:t xml:space="preserve"> describe </w:t>
      </w:r>
      <w:r w:rsidRPr="00C43AFA">
        <w:t>que el número de eventos ha crecido a una velocidad vertiginosa, particularmente en áreas urbanas, impactando de manera negativa el funcionamiento normal de los sectores social, de servicios, económico y financiero, entre otros, dejando en mayor vulnerabilidad a la población con menos recursos.</w:t>
      </w:r>
    </w:p>
    <w:p w:rsidR="00811E7D" w:rsidRPr="00C43AFA" w:rsidRDefault="00811E7D" w:rsidP="00811E7D">
      <w:pPr>
        <w:pStyle w:val="Sinespaciado"/>
        <w:jc w:val="both"/>
      </w:pPr>
      <w:r>
        <w:t xml:space="preserve">En 2010 </w:t>
      </w:r>
      <w:r w:rsidRPr="00D351E7">
        <w:rPr>
          <w:vertAlign w:val="superscript"/>
        </w:rPr>
        <w:t>[5]</w:t>
      </w:r>
      <w:r>
        <w:t xml:space="preserve"> </w:t>
      </w:r>
      <w:r w:rsidRPr="00C43AFA">
        <w:t xml:space="preserve">reflexiona sobre el riesgo en el ámbito urbano y plantea que los elevados índices de vulnerabilidad y las condiciones de marginalidad son un factor determinante. </w:t>
      </w:r>
    </w:p>
    <w:p w:rsidR="00811E7D" w:rsidRPr="00C43AFA" w:rsidRDefault="00811E7D" w:rsidP="00811E7D">
      <w:pPr>
        <w:pStyle w:val="Sinespaciado"/>
        <w:jc w:val="both"/>
      </w:pPr>
      <w:r>
        <w:t xml:space="preserve">En el año 2018 </w:t>
      </w:r>
      <w:r w:rsidRPr="002F04CE">
        <w:rPr>
          <w:vertAlign w:val="superscript"/>
        </w:rPr>
        <w:t>[6]</w:t>
      </w:r>
      <w:r w:rsidRPr="00C43AFA">
        <w:t xml:space="preserve"> mencionan que la urbanización ha modificado considerablemente los ciclos naturales en las cuencas hidrológicas con el constante cambio de uso del suelo, en el que existe un aumento del área impermeabilizada y una disminución o eliminación de la cobertura vegetal.</w:t>
      </w:r>
    </w:p>
    <w:p w:rsidR="00811E7D" w:rsidRDefault="00811E7D" w:rsidP="00811E7D">
      <w:pPr>
        <w:pStyle w:val="Sinespaciado"/>
        <w:jc w:val="both"/>
      </w:pPr>
      <w:r>
        <w:t xml:space="preserve">En el 2019 </w:t>
      </w:r>
      <w:r w:rsidRPr="002F04CE">
        <w:rPr>
          <w:vertAlign w:val="superscript"/>
        </w:rPr>
        <w:t>[7]</w:t>
      </w:r>
      <w:r>
        <w:t xml:space="preserve"> p</w:t>
      </w:r>
      <w:r w:rsidRPr="00C43AFA">
        <w:t>resenta nuevas metodologías para realizar un mapeo específico de los niveles de inundación en zonas urbanas, además de cómo contabilizar y registrar la vulnerabilidad física y social expuesta en las mismas.</w:t>
      </w:r>
    </w:p>
    <w:p w:rsidR="00811E7D" w:rsidRDefault="00811E7D" w:rsidP="00811E7D">
      <w:pPr>
        <w:pStyle w:val="Sinespaciado"/>
        <w:jc w:val="both"/>
      </w:pPr>
    </w:p>
    <w:p w:rsidR="00811E7D" w:rsidRDefault="00811E7D" w:rsidP="00811E7D">
      <w:pPr>
        <w:pStyle w:val="Sinespaciado"/>
        <w:jc w:val="both"/>
      </w:pPr>
    </w:p>
    <w:p w:rsidR="00811E7D" w:rsidRDefault="00811E7D" w:rsidP="00811E7D">
      <w:pPr>
        <w:pStyle w:val="Sinespaciado"/>
        <w:jc w:val="both"/>
      </w:pPr>
    </w:p>
    <w:p w:rsidR="00811E7D" w:rsidRDefault="00811E7D" w:rsidP="00811E7D">
      <w:pPr>
        <w:pStyle w:val="Sinespaciado"/>
        <w:jc w:val="both"/>
      </w:pPr>
    </w:p>
    <w:p w:rsidR="00811E7D" w:rsidRPr="00993EEC" w:rsidRDefault="00811E7D" w:rsidP="00257D10">
      <w:pPr>
        <w:pStyle w:val="1Titulo"/>
        <w:numPr>
          <w:ilvl w:val="0"/>
          <w:numId w:val="17"/>
        </w:numPr>
      </w:pPr>
      <w:bookmarkStart w:id="14" w:name="_Toc50031147"/>
      <w:r w:rsidRPr="00A05E4F">
        <w:t>Resultados y discusión</w:t>
      </w:r>
      <w:bookmarkEnd w:id="14"/>
    </w:p>
    <w:p w:rsidR="00811E7D" w:rsidRPr="00993EEC" w:rsidRDefault="00811E7D" w:rsidP="00811E7D">
      <w:pPr>
        <w:pStyle w:val="Sinespaciado"/>
        <w:jc w:val="both"/>
      </w:pPr>
      <w:r>
        <w:t>El presente estudio se llevó a cabo en la c</w:t>
      </w:r>
      <w:r w:rsidRPr="00993EEC">
        <w:t>iudad de Tuxtla Gutiérrez</w:t>
      </w:r>
      <w:r>
        <w:t xml:space="preserve">, la cual se </w:t>
      </w:r>
      <w:r w:rsidRPr="00993EEC">
        <w:t>ubica en la parte central del estado de Chiapas y se asienta en el valle de</w:t>
      </w:r>
      <w:r>
        <w:t xml:space="preserve"> la subcuenca del </w:t>
      </w:r>
      <w:r w:rsidRPr="00993EEC">
        <w:t xml:space="preserve">río Sabinal (Figura 1). </w:t>
      </w:r>
    </w:p>
    <w:p w:rsidR="00811E7D" w:rsidRPr="00993EEC" w:rsidRDefault="00811E7D" w:rsidP="00811E7D">
      <w:pPr>
        <w:pStyle w:val="Sinespaciado"/>
        <w:jc w:val="both"/>
      </w:pPr>
      <w:r w:rsidRPr="005F115E">
        <w:rPr>
          <w:noProof/>
          <w:lang w:val="en-US"/>
        </w:rPr>
        <w:drawing>
          <wp:inline distT="0" distB="0" distL="0" distR="0" wp14:anchorId="795FFAA5" wp14:editId="721F96B5">
            <wp:extent cx="4387850" cy="33909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87850" cy="3390900"/>
                    </a:xfrm>
                    <a:prstGeom prst="rect">
                      <a:avLst/>
                    </a:prstGeom>
                    <a:noFill/>
                    <a:ln>
                      <a:noFill/>
                    </a:ln>
                  </pic:spPr>
                </pic:pic>
              </a:graphicData>
            </a:graphic>
          </wp:inline>
        </w:drawing>
      </w:r>
    </w:p>
    <w:p w:rsidR="00811E7D" w:rsidRPr="00A05E4F" w:rsidRDefault="00811E7D" w:rsidP="00811E7D">
      <w:pPr>
        <w:pStyle w:val="Sinespaciado"/>
        <w:jc w:val="both"/>
        <w:rPr>
          <w:sz w:val="20"/>
          <w:szCs w:val="20"/>
        </w:rPr>
      </w:pPr>
      <w:r w:rsidRPr="00A05E4F">
        <w:rPr>
          <w:sz w:val="20"/>
          <w:szCs w:val="20"/>
        </w:rPr>
        <w:t>Figura 1. Mapa con la localización de la Subcuenca del río Sabinal en el municipio de Tuxtla Gutiérrez en el estado de Chiapas y la República Mexicana.</w:t>
      </w:r>
    </w:p>
    <w:p w:rsidR="00811E7D" w:rsidRDefault="00811E7D" w:rsidP="00811E7D">
      <w:pPr>
        <w:pStyle w:val="Sinespaciado"/>
        <w:jc w:val="both"/>
      </w:pPr>
    </w:p>
    <w:p w:rsidR="00811E7D" w:rsidRPr="00993EEC" w:rsidRDefault="00811E7D" w:rsidP="00811E7D">
      <w:pPr>
        <w:pStyle w:val="Sinespaciado"/>
        <w:jc w:val="both"/>
      </w:pPr>
      <w:r w:rsidRPr="00993EEC">
        <w:t>El crecimiento urbano se inició en el valle del río Sabinal y poco a poco se fue extendiendo hacia las zonas altas. Las inundaciones registradas en la ciudad de Tuxtla Gutiérrez se han generado por el desbordamiento del río Sabinal y sus afluentes y, principalmente, por la acumulación del agua que escurre por sus calles, en donde se acumula y ocasiona severos daños.</w:t>
      </w:r>
    </w:p>
    <w:p w:rsidR="00811E7D" w:rsidRDefault="00811E7D" w:rsidP="00811E7D">
      <w:pPr>
        <w:pStyle w:val="Sinespaciado"/>
        <w:jc w:val="both"/>
      </w:pPr>
      <w:r>
        <w:t>E</w:t>
      </w:r>
      <w:r w:rsidRPr="00993EEC">
        <w:t xml:space="preserve">n Tuxtla Gutiérrez se han emitido siete declaratorias de emergencia y desastre </w:t>
      </w:r>
      <w:r>
        <w:t>desde</w:t>
      </w:r>
      <w:r w:rsidRPr="00993EEC">
        <w:t xml:space="preserve"> 1999 </w:t>
      </w:r>
      <w:r>
        <w:t xml:space="preserve">hasta </w:t>
      </w:r>
      <w:r w:rsidRPr="00993EEC">
        <w:t>2017</w:t>
      </w:r>
      <w:r>
        <w:t xml:space="preserve"> </w:t>
      </w:r>
      <w:r w:rsidRPr="002F04CE">
        <w:rPr>
          <w:vertAlign w:val="superscript"/>
        </w:rPr>
        <w:t>[8]</w:t>
      </w:r>
      <w:r>
        <w:t xml:space="preserve">, debido a las lluvias severas que han provocado las. </w:t>
      </w:r>
    </w:p>
    <w:p w:rsidR="00811E7D" w:rsidRPr="00993EEC" w:rsidRDefault="00811E7D" w:rsidP="00811E7D">
      <w:pPr>
        <w:pStyle w:val="Sinespaciado"/>
        <w:jc w:val="both"/>
      </w:pPr>
      <w:r>
        <w:t xml:space="preserve">Con base en la topografía y las curvas de nivel se delimitó el parte aguas para cada uno de los afluentes que llegan al río Sabinal, identificando 33 Microcuencas Hidrográficas (MCH). En cada microcuenca se delimito el área ocupada por las construcciones y se denominó, Zona Hidrográfica Urbana (ZHU) y el remanente natural, denominado Zona Hidrográfica Natural (ZHN) (Figura 2).  </w:t>
      </w:r>
    </w:p>
    <w:p w:rsidR="00811E7D" w:rsidRPr="00993EEC" w:rsidRDefault="00811E7D" w:rsidP="00811E7D">
      <w:pPr>
        <w:pStyle w:val="Sinespaciado"/>
        <w:jc w:val="both"/>
      </w:pPr>
    </w:p>
    <w:p w:rsidR="00811E7D" w:rsidRPr="00A05E4F" w:rsidRDefault="00811E7D" w:rsidP="00811E7D">
      <w:pPr>
        <w:pStyle w:val="Sinespaciado"/>
        <w:jc w:val="both"/>
        <w:rPr>
          <w:sz w:val="20"/>
          <w:szCs w:val="20"/>
        </w:rPr>
      </w:pPr>
      <w:r w:rsidRPr="005F115E">
        <w:rPr>
          <w:noProof/>
          <w:lang w:val="en-US"/>
        </w:rPr>
        <w:drawing>
          <wp:anchor distT="0" distB="0" distL="114300" distR="114300" simplePos="0" relativeHeight="251785216" behindDoc="0" locked="0" layoutInCell="1" allowOverlap="1" wp14:anchorId="40E586E1" wp14:editId="40743995">
            <wp:simplePos x="0" y="0"/>
            <wp:positionH relativeFrom="column">
              <wp:posOffset>295275</wp:posOffset>
            </wp:positionH>
            <wp:positionV relativeFrom="paragraph">
              <wp:posOffset>0</wp:posOffset>
            </wp:positionV>
            <wp:extent cx="4902200" cy="3786505"/>
            <wp:effectExtent l="0" t="0" r="0" b="4445"/>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02200" cy="3786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5E4F">
        <w:rPr>
          <w:sz w:val="20"/>
          <w:szCs w:val="20"/>
        </w:rPr>
        <w:t xml:space="preserve">Figura 2. </w:t>
      </w:r>
      <w:r>
        <w:rPr>
          <w:sz w:val="20"/>
          <w:szCs w:val="20"/>
        </w:rPr>
        <w:t xml:space="preserve">En esta imagen se observa la </w:t>
      </w:r>
      <w:r w:rsidRPr="00A05E4F">
        <w:rPr>
          <w:sz w:val="20"/>
          <w:szCs w:val="20"/>
        </w:rPr>
        <w:t xml:space="preserve">subcuenca del río Sabinal </w:t>
      </w:r>
      <w:r>
        <w:rPr>
          <w:sz w:val="20"/>
          <w:szCs w:val="20"/>
        </w:rPr>
        <w:t xml:space="preserve">que atraviesa de poniente a oriente a la mitad de la imagen. Con línea de color negro se tienen delimitadas cada una de las 33 microcuencas (MCH 1- 33) de los afluentes que descargan sus aguas al río principal. Con líneas delgadas se representan las curvas de nivel y las diferencias de color verde a ocre la morfología. </w:t>
      </w:r>
    </w:p>
    <w:p w:rsidR="00811E7D" w:rsidRDefault="00811E7D" w:rsidP="00811E7D">
      <w:pPr>
        <w:pStyle w:val="Sinespaciado"/>
        <w:jc w:val="both"/>
      </w:pPr>
    </w:p>
    <w:p w:rsidR="00811E7D" w:rsidRDefault="00811E7D" w:rsidP="00811E7D">
      <w:pPr>
        <w:pStyle w:val="Sinespaciado"/>
        <w:jc w:val="both"/>
      </w:pPr>
      <w:r>
        <w:t>El río Sabinal d</w:t>
      </w:r>
      <w:r w:rsidRPr="00993EEC">
        <w:t xml:space="preserve">urante su trayecto recibe la descarga de las aguas de los afluentes, con sus respectivas microcuencas, que descienden de la parte norte (MCH1 hasta MCH 17) y también recibe el agua de los afluentes de la zona sur (MCH 20 hasta MCH 33). </w:t>
      </w:r>
    </w:p>
    <w:p w:rsidR="00811E7D" w:rsidRPr="00993EEC" w:rsidRDefault="00811E7D" w:rsidP="00811E7D">
      <w:pPr>
        <w:pStyle w:val="Sinespaciado"/>
        <w:jc w:val="both"/>
      </w:pPr>
      <w:r w:rsidRPr="00993EEC">
        <w:t>En la Tabla 1 se tienen las 33 microcuencas</w:t>
      </w:r>
      <w:r>
        <w:t xml:space="preserve"> con </w:t>
      </w:r>
      <w:r w:rsidRPr="00993EEC">
        <w:t>el área total, así como el área para cada una de las zonas (ZHN y ZHU) que las componen (Figura 2).</w:t>
      </w:r>
    </w:p>
    <w:p w:rsidR="00811E7D" w:rsidRDefault="00811E7D" w:rsidP="00811E7D">
      <w:pPr>
        <w:pStyle w:val="Sinespaciado"/>
        <w:jc w:val="both"/>
        <w:rPr>
          <w:sz w:val="20"/>
          <w:szCs w:val="20"/>
        </w:rPr>
      </w:pPr>
      <w:r w:rsidRPr="007C0DB5">
        <w:rPr>
          <w:noProof/>
          <w:lang w:val="en-US"/>
        </w:rPr>
        <w:lastRenderedPageBreak/>
        <w:drawing>
          <wp:anchor distT="0" distB="0" distL="114300" distR="114300" simplePos="0" relativeHeight="251783168" behindDoc="0" locked="0" layoutInCell="1" allowOverlap="1" wp14:anchorId="45D1ECC9" wp14:editId="2175A4D3">
            <wp:simplePos x="0" y="0"/>
            <wp:positionH relativeFrom="margin">
              <wp:align>center</wp:align>
            </wp:positionH>
            <wp:positionV relativeFrom="paragraph">
              <wp:posOffset>764247</wp:posOffset>
            </wp:positionV>
            <wp:extent cx="3043555" cy="6851650"/>
            <wp:effectExtent l="0" t="0" r="4445" b="635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3555" cy="6851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5E4F">
        <w:rPr>
          <w:sz w:val="20"/>
          <w:szCs w:val="20"/>
        </w:rPr>
        <w:t xml:space="preserve">Tabla 1. </w:t>
      </w:r>
      <w:r>
        <w:rPr>
          <w:sz w:val="20"/>
          <w:szCs w:val="20"/>
        </w:rPr>
        <w:t>Se presentan las 33 Microcuencas Hidrográficas (MCH) con su área (metros cuadrador, m2) y perímetro (metros, m). Cada MCH esta compuesta por una Zona Hidrográfica Natural (ZHN) y una Zona Hidrográfica Urbana (ZHU), también con los datos de su área y perímetro</w:t>
      </w:r>
      <w:r w:rsidRPr="00A05E4F">
        <w:rPr>
          <w:sz w:val="20"/>
          <w:szCs w:val="20"/>
        </w:rPr>
        <w:t>.</w:t>
      </w:r>
    </w:p>
    <w:p w:rsidR="00811E7D" w:rsidRPr="00993EEC" w:rsidRDefault="00811E7D" w:rsidP="00811E7D">
      <w:pPr>
        <w:pStyle w:val="Sinespaciado"/>
        <w:jc w:val="both"/>
      </w:pPr>
    </w:p>
    <w:p w:rsidR="00811E7D" w:rsidRPr="00993EEC" w:rsidRDefault="00811E7D" w:rsidP="00811E7D">
      <w:pPr>
        <w:pStyle w:val="Sinespaciado"/>
        <w:jc w:val="both"/>
      </w:pPr>
      <w:r w:rsidRPr="00993EEC">
        <w:t xml:space="preserve">La componente urbana en las microcuencas nos índica el cambio de uso de suelo que han sufrido la subcuenca y las microcuencas hidrográficas por el acelerado crecimiento poblacional y urbano. Este fenómeno de crecimiento de las zonas más bajas hacia las zonas altas de las cuencas, subcuencas y microcuencas ha provocado el desequilibrio natural en todo el sistema y, principalmente, en el ciclo </w:t>
      </w:r>
      <w:r w:rsidRPr="00993EEC">
        <w:lastRenderedPageBreak/>
        <w:t>de filtración y escurrimiento del agua, ya que favorece la disminución del primero y el incremento exponencial del segundo.</w:t>
      </w:r>
    </w:p>
    <w:p w:rsidR="00811E7D" w:rsidRPr="00A05E4F" w:rsidRDefault="00811E7D" w:rsidP="00811E7D">
      <w:pPr>
        <w:pStyle w:val="Sinespaciado"/>
        <w:jc w:val="both"/>
        <w:rPr>
          <w:sz w:val="20"/>
          <w:szCs w:val="20"/>
        </w:rPr>
      </w:pPr>
      <w:r w:rsidRPr="005F115E">
        <w:rPr>
          <w:noProof/>
          <w:lang w:val="en-US"/>
        </w:rPr>
        <w:drawing>
          <wp:anchor distT="0" distB="0" distL="114300" distR="114300" simplePos="0" relativeHeight="251784192" behindDoc="0" locked="0" layoutInCell="1" allowOverlap="1" wp14:anchorId="39410945" wp14:editId="0F0D7502">
            <wp:simplePos x="0" y="0"/>
            <wp:positionH relativeFrom="column">
              <wp:posOffset>693420</wp:posOffset>
            </wp:positionH>
            <wp:positionV relativeFrom="paragraph">
              <wp:posOffset>477520</wp:posOffset>
            </wp:positionV>
            <wp:extent cx="4274185" cy="5892800"/>
            <wp:effectExtent l="0" t="0" r="0" b="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74185" cy="589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5E4F">
        <w:rPr>
          <w:sz w:val="20"/>
          <w:szCs w:val="20"/>
        </w:rPr>
        <w:t xml:space="preserve">Tabla 2. </w:t>
      </w:r>
      <w:r>
        <w:rPr>
          <w:sz w:val="20"/>
          <w:szCs w:val="20"/>
        </w:rPr>
        <w:t xml:space="preserve">Se presenta cada una de las 33 MCH con las </w:t>
      </w:r>
      <w:r w:rsidRPr="00A05E4F">
        <w:rPr>
          <w:sz w:val="20"/>
          <w:szCs w:val="20"/>
        </w:rPr>
        <w:t xml:space="preserve">zonas </w:t>
      </w:r>
      <w:r>
        <w:rPr>
          <w:sz w:val="20"/>
          <w:szCs w:val="20"/>
        </w:rPr>
        <w:t>por colonia en peligro de inundación y con</w:t>
      </w:r>
      <w:r w:rsidRPr="00A05E4F">
        <w:rPr>
          <w:sz w:val="20"/>
          <w:szCs w:val="20"/>
        </w:rPr>
        <w:t xml:space="preserve"> el registro de la Vulnerabilidad Física Expuesta</w:t>
      </w:r>
      <w:r>
        <w:rPr>
          <w:sz w:val="20"/>
          <w:szCs w:val="20"/>
        </w:rPr>
        <w:t xml:space="preserve"> (</w:t>
      </w:r>
      <w:r w:rsidRPr="00A05E4F">
        <w:rPr>
          <w:sz w:val="20"/>
          <w:szCs w:val="20"/>
        </w:rPr>
        <w:t>Viviendas</w:t>
      </w:r>
      <w:r>
        <w:rPr>
          <w:sz w:val="20"/>
          <w:szCs w:val="20"/>
        </w:rPr>
        <w:t>)</w:t>
      </w:r>
      <w:r w:rsidRPr="00A05E4F">
        <w:rPr>
          <w:sz w:val="20"/>
          <w:szCs w:val="20"/>
        </w:rPr>
        <w:t xml:space="preserve"> y la Vulnerabilidad Social Expuesta</w:t>
      </w:r>
      <w:r>
        <w:rPr>
          <w:sz w:val="20"/>
          <w:szCs w:val="20"/>
        </w:rPr>
        <w:t xml:space="preserve"> (población)</w:t>
      </w:r>
      <w:r w:rsidRPr="00A05E4F">
        <w:rPr>
          <w:sz w:val="20"/>
          <w:szCs w:val="20"/>
        </w:rPr>
        <w:t>.</w:t>
      </w:r>
    </w:p>
    <w:p w:rsidR="00811E7D" w:rsidRDefault="00811E7D" w:rsidP="00811E7D">
      <w:pPr>
        <w:pStyle w:val="Sinespaciado"/>
        <w:jc w:val="both"/>
      </w:pPr>
      <w:r w:rsidRPr="00993EEC">
        <w:t xml:space="preserve">Identificar las condiciones en las que actualmente se encuentran cada una de las microcuencas y cauces naturales, los usos del suelo y su transformación con el desarrollo urbano, nos permite identificar el curso y la dirección que sigue el agua hasta su descarga final, ya sea al cauce del río principal o a la zona urbana afectada por la inundación. </w:t>
      </w:r>
    </w:p>
    <w:p w:rsidR="00811E7D" w:rsidRDefault="00811E7D" w:rsidP="00811E7D">
      <w:pPr>
        <w:pStyle w:val="Sinespaciado"/>
        <w:jc w:val="both"/>
      </w:pPr>
    </w:p>
    <w:p w:rsidR="00811E7D" w:rsidRDefault="00811E7D" w:rsidP="00811E7D">
      <w:pPr>
        <w:pStyle w:val="Sinespaciado"/>
        <w:jc w:val="both"/>
      </w:pPr>
      <w:r w:rsidRPr="00993EEC">
        <w:t>El análisis de las Zonas Hidrográficas Naturales y las Zonas Hidrográficas Urbanas que componen cada microcuenca y su relación con las zonas afectadas por inundación nos permite conocer la influencia de cada microcuenca, su transformación y el origen del agua que llega a las zonas afectadas.</w:t>
      </w:r>
    </w:p>
    <w:p w:rsidR="00811E7D" w:rsidRDefault="00811E7D" w:rsidP="00811E7D">
      <w:pPr>
        <w:pStyle w:val="Sinespaciado"/>
        <w:jc w:val="both"/>
      </w:pPr>
    </w:p>
    <w:p w:rsidR="00811E7D" w:rsidRPr="00993EEC" w:rsidRDefault="00811E7D" w:rsidP="00811E7D">
      <w:pPr>
        <w:pStyle w:val="Sinespaciado"/>
        <w:jc w:val="both"/>
      </w:pPr>
      <w:r w:rsidRPr="00993EEC">
        <w:lastRenderedPageBreak/>
        <w:t xml:space="preserve">En Tuxtla Gutiérrez se identificaron en riesgo de inundación 88 colonias con 58 888 viviendas (vulnerabilidad física expuesta) y 70 980 personas expuestas (vulnerabilidad social expuesta) al peligro por inundación (Tabla 2). Estas Zonas en Riesgo de Inundación se presentan en 21 microcuencas de las 33 identificadas en este estudio. </w:t>
      </w:r>
    </w:p>
    <w:p w:rsidR="00811E7D" w:rsidRPr="00993EEC" w:rsidRDefault="00811E7D" w:rsidP="00811E7D">
      <w:pPr>
        <w:pStyle w:val="Sinespaciado"/>
        <w:jc w:val="both"/>
      </w:pPr>
    </w:p>
    <w:p w:rsidR="00811E7D" w:rsidRPr="00993EEC" w:rsidRDefault="00811E7D" w:rsidP="00257D10">
      <w:pPr>
        <w:pStyle w:val="1Titulo"/>
        <w:numPr>
          <w:ilvl w:val="0"/>
          <w:numId w:val="17"/>
        </w:numPr>
      </w:pPr>
      <w:bookmarkStart w:id="15" w:name="_Toc50031148"/>
      <w:r w:rsidRPr="00A05E4F">
        <w:t>Conclusiones</w:t>
      </w:r>
      <w:bookmarkEnd w:id="15"/>
    </w:p>
    <w:p w:rsidR="00811E7D" w:rsidRPr="00993EEC" w:rsidRDefault="00811E7D" w:rsidP="00811E7D">
      <w:pPr>
        <w:pStyle w:val="Sinespaciado"/>
        <w:jc w:val="both"/>
      </w:pPr>
      <w:r w:rsidRPr="00993EEC">
        <w:t>El crecimiento urbano conlleva cambios drásticos de uso de suelo y de la red hidrográfica natural, genera un desequilibrio en el ciclo del agua donde se incrementa de forma exponencial la escorrentía, se inhibe la filtración de agua con la deforestación excesiva y la impermeabilización de los terrenos al ser cubiertos por asfalto, pavimento y empedrados. El crecimiento ha llevado a la construcción social del riesgo y al fomento del desarrollo sin sustentabilidad y sin sostenibilidad en los valles, zonas medias y altas de las cuencas, subcuencas y microcuencas hidrológicas.</w:t>
      </w:r>
    </w:p>
    <w:p w:rsidR="00811E7D" w:rsidRDefault="00811E7D" w:rsidP="00811E7D">
      <w:pPr>
        <w:pStyle w:val="Sinespaciado"/>
        <w:jc w:val="both"/>
      </w:pPr>
    </w:p>
    <w:p w:rsidR="00811E7D" w:rsidRPr="00993EEC" w:rsidRDefault="00811E7D" w:rsidP="00811E7D">
      <w:pPr>
        <w:pStyle w:val="Sinespaciado"/>
        <w:jc w:val="both"/>
      </w:pPr>
      <w:r w:rsidRPr="00993EEC">
        <w:t xml:space="preserve">Las cuencas, subcuencas y microcuencas naturales </w:t>
      </w:r>
      <w:r>
        <w:t>san sido invadidas y se ha alterado la red hidrográfica natural, los cauces de los ríos y afluentes han sido modificados y reducidos, algunos</w:t>
      </w:r>
      <w:r w:rsidRPr="00993EEC">
        <w:t xml:space="preserve"> </w:t>
      </w:r>
      <w:r>
        <w:t xml:space="preserve">se han entubado, </w:t>
      </w:r>
      <w:r w:rsidRPr="00993EEC">
        <w:t>emboveda</w:t>
      </w:r>
      <w:r>
        <w:t>dos</w:t>
      </w:r>
      <w:r w:rsidRPr="00993EEC">
        <w:t xml:space="preserve"> y </w:t>
      </w:r>
      <w:r>
        <w:t>otros han pasado directamente a ser calles</w:t>
      </w:r>
      <w:r w:rsidRPr="00993EEC">
        <w:t xml:space="preserve">, </w:t>
      </w:r>
      <w:r>
        <w:t>los cuales determinan una</w:t>
      </w:r>
      <w:r w:rsidRPr="00993EEC">
        <w:t xml:space="preserve"> nueva red hidrográfica en la zona urbana: </w:t>
      </w:r>
      <w:r>
        <w:t xml:space="preserve">Estos cambios </w:t>
      </w:r>
      <w:r w:rsidRPr="00993EEC">
        <w:t>deben de ser identificad</w:t>
      </w:r>
      <w:r>
        <w:t>o</w:t>
      </w:r>
      <w:r w:rsidRPr="00993EEC">
        <w:t>s y delimitad</w:t>
      </w:r>
      <w:r>
        <w:t>o</w:t>
      </w:r>
      <w:r w:rsidRPr="00993EEC">
        <w:t>s</w:t>
      </w:r>
      <w:r>
        <w:t xml:space="preserve">, </w:t>
      </w:r>
      <w:r w:rsidRPr="00993EEC">
        <w:t>para entender porque las calles se convierten en ríos</w:t>
      </w:r>
      <w:r>
        <w:t xml:space="preserve"> </w:t>
      </w:r>
      <w:r w:rsidRPr="00993EEC">
        <w:t>que conducen el agua hasta las zonas</w:t>
      </w:r>
      <w:r>
        <w:t xml:space="preserve"> más bajas, donde las descargan</w:t>
      </w:r>
      <w:r w:rsidRPr="00993EEC">
        <w:t xml:space="preserve"> y provocan severas inundaciones.</w:t>
      </w:r>
    </w:p>
    <w:p w:rsidR="00811E7D" w:rsidRDefault="00811E7D" w:rsidP="00811E7D">
      <w:pPr>
        <w:pStyle w:val="Sinespaciado"/>
        <w:jc w:val="both"/>
      </w:pPr>
    </w:p>
    <w:p w:rsidR="00811E7D" w:rsidRPr="00993EEC" w:rsidRDefault="00811E7D" w:rsidP="00811E7D">
      <w:pPr>
        <w:pStyle w:val="Sinespaciado"/>
        <w:jc w:val="both"/>
      </w:pPr>
      <w:r w:rsidRPr="00993EEC">
        <w:t xml:space="preserve">En este trabajo se obtuvieron las Microcuencas Hidrográficas que se relacionan con la zona urbana de Tuxtla Gutiérrez Chiapas, en donde cada una, en la actualidad, se compone de </w:t>
      </w:r>
      <w:r>
        <w:t xml:space="preserve">una o </w:t>
      </w:r>
      <w:r w:rsidRPr="00993EEC">
        <w:t xml:space="preserve">dos zonas por donde escurre el agua hasta el río principal; una zona natural, que corresponde a el área natural remanente, identificada como Zona Hidrográfica Natural (ZHN), y una </w:t>
      </w:r>
      <w:r>
        <w:t>zona urbana</w:t>
      </w:r>
      <w:r w:rsidRPr="00993EEC">
        <w:t>, que corresponde a la zona invadida por las construcciones urbanas, denominada aquí como Zona Hidrográfica Urbana (ZHU).</w:t>
      </w:r>
    </w:p>
    <w:p w:rsidR="00811E7D" w:rsidRDefault="00811E7D" w:rsidP="00811E7D">
      <w:pPr>
        <w:pStyle w:val="Sinespaciado"/>
        <w:jc w:val="both"/>
      </w:pPr>
    </w:p>
    <w:p w:rsidR="00811E7D" w:rsidRDefault="00811E7D" w:rsidP="00811E7D">
      <w:pPr>
        <w:pStyle w:val="Sinespaciado"/>
        <w:jc w:val="both"/>
      </w:pPr>
      <w:r w:rsidRPr="00993EEC">
        <w:t>En Tuxtla Gutiérrez Chiapas existían 33 microcuencas hidrográficas naturales, las cuales han sufrido cambios en el uso del suelo de bosques, agrícolas hasta urbanos, en algunos casos, hasta del 100%. Esto provocó cambios en el régimen hidrológico que ahora se manifiesta con un mayor volumen de agua que escurre y que ha generado numerosas zonas en riesgo de inundación en la mayoría de las Microcuencas Hidrográficas. Este cambio ha generado que el agua de escorrentía siga la pendiente y la dirección de las calles, que en conjunto siguen el flujo vehicular hacia las calles principales. En ocasiones, esto genera que el volumen de agua se acumule en estas últimas y se convierta en ríos caudalosos.</w:t>
      </w:r>
    </w:p>
    <w:p w:rsidR="00811E7D" w:rsidRPr="00993EEC" w:rsidRDefault="00811E7D" w:rsidP="00811E7D">
      <w:pPr>
        <w:pStyle w:val="Sinespaciado"/>
        <w:jc w:val="both"/>
      </w:pPr>
      <w:r>
        <w:t xml:space="preserve">El trabajo consistió en identificar la dirección del flujo de agua por cada una de las calles en cada microcuenca, su intersección con otras calles, con canales o cauces de ríos que atraviesan la zona urbana. El levantamiento se llevó a cabo en campo y permitió delimitar las nuevas Microcuencas Hidrográficas Urbanas y su red hidrográfica y las áreas que aportan el agua a cada una de las zonas en peligro de inundación. Con los datos anteriores se realizaron mapas para cada una de las Microcuencas Hidrográficas Urbanas delimitadas.    </w:t>
      </w:r>
    </w:p>
    <w:p w:rsidR="00811E7D" w:rsidRPr="00993EEC" w:rsidRDefault="00811E7D" w:rsidP="00811E7D">
      <w:pPr>
        <w:pStyle w:val="Sinespaciado"/>
        <w:jc w:val="both"/>
      </w:pPr>
      <w:r w:rsidRPr="00993EEC">
        <w:t xml:space="preserve">Esperemos que, con los mapas generados </w:t>
      </w:r>
      <w:r>
        <w:t xml:space="preserve">con la dirección del flujo de agua en cada </w:t>
      </w:r>
      <w:r w:rsidRPr="00993EEC">
        <w:t>Microcuenca Hidrográfica</w:t>
      </w:r>
      <w:r>
        <w:t xml:space="preserve"> Urbana</w:t>
      </w:r>
      <w:r w:rsidRPr="00993EEC">
        <w:t xml:space="preserve"> </w:t>
      </w:r>
      <w:r>
        <w:t xml:space="preserve">y con las áreas de recarga a las zonas de inundación, </w:t>
      </w:r>
      <w:r w:rsidRPr="00993EEC">
        <w:t xml:space="preserve">sirvan de base para identificar </w:t>
      </w:r>
      <w:r>
        <w:t xml:space="preserve">sitios estratégicos para la </w:t>
      </w:r>
      <w:r w:rsidRPr="00993EEC">
        <w:t xml:space="preserve">desviación </w:t>
      </w:r>
      <w:r>
        <w:t xml:space="preserve">del flujo de agua, retención y retardo del agua que llega a las calles y sitios o zonas estratégicas para inundaciones provocadas o inducidas que pueden ser </w:t>
      </w:r>
      <w:r w:rsidRPr="00993EEC">
        <w:t>jardines</w:t>
      </w:r>
      <w:r>
        <w:t>, parques</w:t>
      </w:r>
      <w:r w:rsidRPr="00993EEC">
        <w:t>, campos, baldíos u otros.</w:t>
      </w:r>
    </w:p>
    <w:p w:rsidR="00811E7D" w:rsidRDefault="00811E7D" w:rsidP="00811E7D">
      <w:pPr>
        <w:pStyle w:val="Sinespaciado"/>
        <w:jc w:val="both"/>
      </w:pPr>
      <w:r w:rsidRPr="00993EEC">
        <w:t>También con los resultados de este estudio</w:t>
      </w:r>
      <w:r>
        <w:t xml:space="preserve"> las autoridades pueden </w:t>
      </w:r>
      <w:r w:rsidRPr="00993EEC">
        <w:t>desarrollar o proponer las nuevas zonas de crecimiento urbano</w:t>
      </w:r>
      <w:r>
        <w:t xml:space="preserve"> sin que se incrementen las zonas de inundación existentes, se conserven los suelos naturales remanentes, se promueva la no construcción social del riesgo y se promueva el desarrollo sustentable y sostenible.</w:t>
      </w:r>
    </w:p>
    <w:p w:rsidR="00811E7D" w:rsidRDefault="00811E7D" w:rsidP="00811E7D">
      <w:pPr>
        <w:pStyle w:val="Sinespaciado"/>
        <w:jc w:val="both"/>
      </w:pPr>
    </w:p>
    <w:p w:rsidR="00811E7D" w:rsidRDefault="00811E7D" w:rsidP="00811E7D">
      <w:pPr>
        <w:pStyle w:val="Sinespaciado"/>
        <w:jc w:val="both"/>
      </w:pPr>
    </w:p>
    <w:p w:rsidR="00811E7D" w:rsidRPr="00993EEC" w:rsidRDefault="00811E7D" w:rsidP="00811E7D">
      <w:pPr>
        <w:pStyle w:val="Sinespaciado"/>
        <w:jc w:val="both"/>
      </w:pPr>
    </w:p>
    <w:p w:rsidR="00811E7D" w:rsidRPr="00993EEC" w:rsidRDefault="00811E7D" w:rsidP="00811E7D">
      <w:pPr>
        <w:pStyle w:val="Sinespaciado"/>
        <w:jc w:val="both"/>
      </w:pPr>
    </w:p>
    <w:p w:rsidR="00811E7D" w:rsidRPr="00A05E4F" w:rsidRDefault="00811E7D" w:rsidP="00257D10">
      <w:pPr>
        <w:pStyle w:val="1Titulo"/>
        <w:numPr>
          <w:ilvl w:val="0"/>
          <w:numId w:val="18"/>
        </w:numPr>
      </w:pPr>
      <w:bookmarkStart w:id="16" w:name="_Toc50031149"/>
      <w:r>
        <w:t>Bibliografía</w:t>
      </w:r>
      <w:bookmarkEnd w:id="16"/>
    </w:p>
    <w:p w:rsidR="00811E7D" w:rsidRPr="00C7769C" w:rsidRDefault="00811E7D" w:rsidP="00811E7D">
      <w:pPr>
        <w:pStyle w:val="Sinespaciado"/>
        <w:jc w:val="both"/>
        <w:rPr>
          <w:lang w:val="en-US"/>
        </w:rPr>
      </w:pPr>
    </w:p>
    <w:p w:rsidR="00811E7D" w:rsidRPr="00C7769C" w:rsidRDefault="00811E7D" w:rsidP="00811E7D">
      <w:pPr>
        <w:pStyle w:val="Sinespaciado"/>
        <w:jc w:val="both"/>
      </w:pPr>
      <w:r>
        <w:rPr>
          <w:lang w:val="en-CA"/>
        </w:rPr>
        <w:t xml:space="preserve">1. </w:t>
      </w:r>
      <w:r w:rsidRPr="00C43AFA">
        <w:rPr>
          <w:lang w:val="en-CA"/>
        </w:rPr>
        <w:t xml:space="preserve">Quarantelli, E. L. (1996). The future is not the past repeated: Projecting disasters in the 21st century from current trends. </w:t>
      </w:r>
      <w:r w:rsidRPr="00C7769C">
        <w:t>Journal of contingencies and crisis management, 4(4), 228-240.</w:t>
      </w:r>
    </w:p>
    <w:p w:rsidR="00811E7D" w:rsidRDefault="00811E7D" w:rsidP="00811E7D">
      <w:pPr>
        <w:pStyle w:val="Sinespaciado"/>
        <w:jc w:val="both"/>
      </w:pPr>
      <w:r w:rsidRPr="00C7769C">
        <w:t xml:space="preserve">2. </w:t>
      </w:r>
      <w:r w:rsidRPr="00C43AFA">
        <w:t>Lavell, A. (1996). Degradación ambiental, riesgo y desastre urbano. Problemas y conceptos: hacia la definición de una agenda de investigación. Fernández, AM (comp.), Ciudades en Riesgo-Degradación Ambiental, Riesgos Urbanos y Desastres, La Red, Lima.</w:t>
      </w:r>
    </w:p>
    <w:p w:rsidR="00811E7D" w:rsidRPr="00C43AFA" w:rsidRDefault="00811E7D" w:rsidP="00811E7D">
      <w:pPr>
        <w:pStyle w:val="Sinespaciado"/>
        <w:jc w:val="both"/>
      </w:pPr>
      <w:r>
        <w:t xml:space="preserve">3. </w:t>
      </w:r>
      <w:r w:rsidRPr="00C43AFA">
        <w:t>Morelli Tucci, C. E., (2006). Curso de gestión de inundaciones urbanas. Porto Alegre-RS -Brasil: Secretaría de la Organización Meteorológica Mundial.</w:t>
      </w:r>
    </w:p>
    <w:p w:rsidR="00811E7D" w:rsidRPr="00C43AFA" w:rsidRDefault="00811E7D" w:rsidP="00811E7D">
      <w:pPr>
        <w:pStyle w:val="Sinespaciado"/>
        <w:jc w:val="both"/>
        <w:rPr>
          <w:lang w:val="en-CA"/>
        </w:rPr>
      </w:pPr>
      <w:r w:rsidRPr="00C7769C">
        <w:rPr>
          <w:lang w:val="en-US"/>
        </w:rPr>
        <w:t xml:space="preserve">4. Benjamín, M. (2008). Investigating physical and social dimensions. </w:t>
      </w:r>
      <w:r w:rsidRPr="00C43AFA">
        <w:rPr>
          <w:lang w:val="en-CA"/>
        </w:rPr>
        <w:t>MSc thesis. Cape Town, South Africa: University of Cape Town.</w:t>
      </w:r>
    </w:p>
    <w:p w:rsidR="00811E7D" w:rsidRPr="00C43AFA" w:rsidRDefault="00811E7D" w:rsidP="00811E7D">
      <w:pPr>
        <w:pStyle w:val="Sinespaciado"/>
        <w:jc w:val="both"/>
        <w:rPr>
          <w:lang w:val="en-CA"/>
        </w:rPr>
      </w:pPr>
      <w:r>
        <w:t xml:space="preserve">5. </w:t>
      </w:r>
      <w:r w:rsidRPr="00C43AFA">
        <w:t xml:space="preserve">Mansilla, Elizabeth (2010). Riesgo urbano y políticas públicas en América Latina: la irregularidad y el acceso al suelo. </w:t>
      </w:r>
      <w:r w:rsidRPr="00C43AFA">
        <w:rPr>
          <w:lang w:val="en-CA"/>
        </w:rPr>
        <w:t>Global Assessment Report on Disaster Risk Reduction 2011, ISDR y UNDP.</w:t>
      </w:r>
    </w:p>
    <w:p w:rsidR="00811E7D" w:rsidRDefault="00811E7D" w:rsidP="00811E7D">
      <w:pPr>
        <w:pStyle w:val="Sinespaciado"/>
        <w:jc w:val="both"/>
      </w:pPr>
      <w:r>
        <w:t xml:space="preserve">6.- </w:t>
      </w:r>
      <w:r w:rsidRPr="00C43AFA">
        <w:t>Rey-Valencia, D., y Zambrano, J. (2018). Estudio de la respuesta hidrológica en la cuenca urbana de montaña San Luis-Palo grande. Revista UIS Ingenierías [en línea] 2018, 17 (January-June): [Fecha de consulta: 10 de julio de 2019] Disponible en:&lt;http://4www.redalyc.org/articulo.oa?id=553756967012&gt; ISSN 1657-4583.</w:t>
      </w:r>
    </w:p>
    <w:p w:rsidR="00811E7D" w:rsidRPr="00C43AFA" w:rsidRDefault="00811E7D" w:rsidP="00811E7D">
      <w:pPr>
        <w:pStyle w:val="Sinespaciado"/>
        <w:jc w:val="both"/>
      </w:pPr>
      <w:r>
        <w:rPr>
          <w:lang w:val="en-CA"/>
        </w:rPr>
        <w:t xml:space="preserve">7. </w:t>
      </w:r>
      <w:r w:rsidRPr="00C43AFA">
        <w:rPr>
          <w:lang w:val="en-CA"/>
        </w:rPr>
        <w:t xml:space="preserve">Mora, J. C. (2019). Mapping the Risk of Flood, Mass Movement and Local Subsidence. A New Proposal for Major Cities. Springer Briefs in Earth Sciences. eBook ISBN 978-3-030-22472-1 DOI 10.1007/978-3-030-22472-1. </w:t>
      </w:r>
      <w:r w:rsidRPr="00C43AFA">
        <w:t>XlX, 58p.</w:t>
      </w:r>
    </w:p>
    <w:p w:rsidR="00811E7D" w:rsidRPr="00C43AFA" w:rsidRDefault="00811E7D" w:rsidP="00811E7D">
      <w:pPr>
        <w:pStyle w:val="Sinespaciado"/>
        <w:jc w:val="both"/>
      </w:pPr>
      <w:r w:rsidRPr="00C7769C">
        <w:t xml:space="preserve">8. Protección Civil (2018). </w:t>
      </w:r>
      <w:r w:rsidRPr="00C43AFA">
        <w:t>Reportes inéditos, Secretaría de Protección Civil del Municipio de Tuxtla Gutiérrez, de las inundaciones desde el año 2005 hasta el 2018.</w:t>
      </w:r>
    </w:p>
    <w:p w:rsidR="00811E7D" w:rsidRDefault="00811E7D" w:rsidP="00AE0459">
      <w:pPr>
        <w:pStyle w:val="Reference"/>
        <w:numPr>
          <w:ilvl w:val="0"/>
          <w:numId w:val="0"/>
        </w:numPr>
        <w:snapToGrid w:val="0"/>
        <w:spacing w:line="264" w:lineRule="auto"/>
        <w:ind w:left="420" w:hanging="420"/>
        <w:rPr>
          <w:rFonts w:ascii="Arial" w:hAnsi="Arial" w:cs="Arial"/>
          <w:sz w:val="24"/>
          <w:szCs w:val="24"/>
          <w:lang w:val="es-ES"/>
        </w:rPr>
      </w:pPr>
    </w:p>
    <w:p w:rsidR="00212B85" w:rsidRPr="00811E7D" w:rsidRDefault="00212B85" w:rsidP="00AE0459">
      <w:pPr>
        <w:pStyle w:val="Reference"/>
        <w:numPr>
          <w:ilvl w:val="0"/>
          <w:numId w:val="0"/>
        </w:numPr>
        <w:snapToGrid w:val="0"/>
        <w:spacing w:line="264" w:lineRule="auto"/>
        <w:ind w:left="420" w:hanging="420"/>
        <w:rPr>
          <w:rFonts w:ascii="Arial" w:hAnsi="Arial" w:cs="Arial"/>
          <w:sz w:val="24"/>
          <w:szCs w:val="24"/>
          <w:lang w:val="es-ES"/>
        </w:rPr>
      </w:pPr>
    </w:p>
    <w:p w:rsidR="00212B85" w:rsidRPr="008358CC" w:rsidRDefault="00212B85" w:rsidP="00212B85">
      <w:pPr>
        <w:pStyle w:val="1Titulo"/>
        <w:numPr>
          <w:ilvl w:val="0"/>
          <w:numId w:val="0"/>
        </w:numPr>
        <w:ind w:left="357"/>
        <w:jc w:val="center"/>
        <w:rPr>
          <w:sz w:val="28"/>
          <w:szCs w:val="28"/>
        </w:rPr>
      </w:pPr>
      <w:bookmarkStart w:id="17" w:name="_Toc50031150"/>
      <w:r w:rsidRPr="008358CC">
        <w:rPr>
          <w:sz w:val="28"/>
          <w:szCs w:val="28"/>
        </w:rPr>
        <w:t>Programación cuadrática y cómputo paralelo aplicados al control puntual de emisiones contaminantes</w:t>
      </w:r>
      <w:bookmarkEnd w:id="17"/>
    </w:p>
    <w:p w:rsidR="00212B85" w:rsidRPr="00236A64" w:rsidRDefault="00212B85" w:rsidP="00212B85">
      <w:pPr>
        <w:jc w:val="center"/>
        <w:rPr>
          <w:sz w:val="28"/>
          <w:szCs w:val="28"/>
        </w:rPr>
      </w:pPr>
    </w:p>
    <w:p w:rsidR="00212B85" w:rsidRPr="00236A64" w:rsidRDefault="00212B85" w:rsidP="00212B85">
      <w:pPr>
        <w:pStyle w:val="Author"/>
        <w:rPr>
          <w:rFonts w:ascii="Arial" w:hAnsi="Arial" w:cs="Arial"/>
          <w:szCs w:val="24"/>
          <w:vertAlign w:val="superscript"/>
          <w:lang w:val="es-ES"/>
        </w:rPr>
      </w:pPr>
      <w:r w:rsidRPr="00236A64">
        <w:rPr>
          <w:rFonts w:ascii="Arial" w:hAnsi="Arial" w:cs="Arial"/>
          <w:szCs w:val="24"/>
          <w:u w:val="single"/>
          <w:lang w:val="es-ES"/>
        </w:rPr>
        <w:t>Daniel Peña-Maciel</w:t>
      </w:r>
      <w:r w:rsidRPr="00236A64">
        <w:rPr>
          <w:rFonts w:ascii="Arial" w:hAnsi="Arial" w:cs="Arial"/>
          <w:szCs w:val="24"/>
          <w:u w:val="single"/>
          <w:vertAlign w:val="superscript"/>
          <w:lang w:val="es-ES"/>
        </w:rPr>
        <w:t>1</w:t>
      </w:r>
      <w:r w:rsidRPr="00236A64">
        <w:rPr>
          <w:rFonts w:ascii="Arial" w:hAnsi="Arial" w:cs="Arial"/>
          <w:szCs w:val="24"/>
          <w:lang w:val="es-ES"/>
        </w:rPr>
        <w:t>, David Parra-Guevara</w:t>
      </w:r>
      <w:r w:rsidRPr="00236A64">
        <w:rPr>
          <w:rFonts w:ascii="Arial" w:hAnsi="Arial" w:cs="Arial"/>
          <w:szCs w:val="24"/>
          <w:vertAlign w:val="superscript"/>
          <w:lang w:val="es-ES"/>
        </w:rPr>
        <w:t>2</w:t>
      </w:r>
    </w:p>
    <w:p w:rsidR="00212B85" w:rsidRPr="00236A64" w:rsidRDefault="00212B85" w:rsidP="00212B85">
      <w:pPr>
        <w:pStyle w:val="affiliation"/>
        <w:rPr>
          <w:rFonts w:ascii="Arial" w:hAnsi="Arial" w:cs="Arial"/>
          <w:sz w:val="24"/>
          <w:szCs w:val="24"/>
          <w:lang w:val="es-ES"/>
        </w:rPr>
      </w:pPr>
      <w:r w:rsidRPr="00236A64">
        <w:rPr>
          <w:rFonts w:ascii="Arial" w:hAnsi="Arial" w:cs="Arial"/>
          <w:sz w:val="24"/>
          <w:szCs w:val="24"/>
          <w:vertAlign w:val="superscript"/>
          <w:lang w:val="es-ES"/>
        </w:rPr>
        <w:t>1</w:t>
      </w:r>
      <w:r w:rsidRPr="00236A64">
        <w:rPr>
          <w:rFonts w:ascii="Arial" w:hAnsi="Arial" w:cs="Arial"/>
          <w:sz w:val="24"/>
          <w:szCs w:val="24"/>
          <w:lang w:val="es-ES"/>
        </w:rPr>
        <w:t>Posgrado en Ciencias de la Tierra, Centro de Ciencias de la Atmósfera, Universidad Nacional Autónoma de México</w:t>
      </w:r>
    </w:p>
    <w:p w:rsidR="00212B85" w:rsidRPr="00236A64" w:rsidRDefault="00212B85" w:rsidP="00212B85">
      <w:pPr>
        <w:pStyle w:val="affiliation"/>
        <w:rPr>
          <w:rFonts w:ascii="Arial" w:hAnsi="Arial" w:cs="Arial"/>
          <w:sz w:val="24"/>
          <w:szCs w:val="24"/>
          <w:lang w:val="es-ES"/>
        </w:rPr>
      </w:pPr>
      <w:r w:rsidRPr="00236A64">
        <w:rPr>
          <w:rFonts w:ascii="Arial" w:hAnsi="Arial" w:cs="Arial"/>
          <w:sz w:val="24"/>
          <w:szCs w:val="24"/>
          <w:vertAlign w:val="superscript"/>
          <w:lang w:val="es-ES"/>
        </w:rPr>
        <w:t>2</w:t>
      </w:r>
      <w:r w:rsidRPr="00236A64">
        <w:rPr>
          <w:rFonts w:ascii="Arial" w:hAnsi="Arial" w:cs="Arial"/>
          <w:sz w:val="24"/>
          <w:szCs w:val="24"/>
          <w:lang w:val="es-ES"/>
        </w:rPr>
        <w:t>Centro de Ciencias de la Atmósfera, Universidad Nacional Autónoma de México</w:t>
      </w:r>
    </w:p>
    <w:p w:rsidR="00212B85" w:rsidRPr="008358CC" w:rsidRDefault="00212B85" w:rsidP="00212B85">
      <w:pPr>
        <w:pStyle w:val="affiliation"/>
        <w:rPr>
          <w:rFonts w:ascii="Arial" w:hAnsi="Arial" w:cs="Arial"/>
          <w:sz w:val="24"/>
          <w:szCs w:val="24"/>
          <w:u w:val="single"/>
          <w:lang w:val="es-ES"/>
        </w:rPr>
      </w:pPr>
      <w:r w:rsidRPr="008358CC">
        <w:rPr>
          <w:rFonts w:ascii="Arial" w:hAnsi="Arial" w:cs="Arial"/>
          <w:sz w:val="24"/>
          <w:szCs w:val="24"/>
          <w:lang w:val="es-ES"/>
        </w:rPr>
        <w:t>dpmaciel@atmosfera.unam.mx, pdavid@atmosfera.unam.mx</w:t>
      </w:r>
    </w:p>
    <w:p w:rsidR="00212B85" w:rsidRPr="008358CC" w:rsidRDefault="00212B85" w:rsidP="00212B85">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p>
    <w:p w:rsidR="00212B85" w:rsidRPr="008358CC" w:rsidRDefault="00212B85" w:rsidP="00212B85">
      <w:pPr>
        <w:pStyle w:val="Ttulo1"/>
        <w:keepLines w:val="0"/>
        <w:numPr>
          <w:ilvl w:val="0"/>
          <w:numId w:val="1"/>
        </w:numPr>
        <w:tabs>
          <w:tab w:val="clear" w:pos="432"/>
          <w:tab w:val="left" w:pos="0"/>
        </w:tabs>
        <w:suppressAutoHyphens/>
        <w:spacing w:before="0" w:after="0"/>
        <w:ind w:left="0" w:firstLine="0"/>
        <w:rPr>
          <w:rFonts w:ascii="Arial" w:hAnsi="Arial" w:cs="Arial"/>
          <w:i/>
          <w:caps/>
          <w:sz w:val="24"/>
          <w:szCs w:val="24"/>
        </w:rPr>
      </w:pPr>
      <w:bookmarkStart w:id="18" w:name="_Toc50031151"/>
      <w:r w:rsidRPr="008358CC">
        <w:rPr>
          <w:rFonts w:ascii="Arial" w:hAnsi="Arial" w:cs="Arial"/>
          <w:i/>
          <w:caps/>
          <w:sz w:val="24"/>
          <w:szCs w:val="24"/>
        </w:rPr>
        <w:t>1. R</w:t>
      </w:r>
      <w:r w:rsidRPr="008358CC">
        <w:rPr>
          <w:rFonts w:ascii="Arial" w:hAnsi="Arial" w:cs="Arial"/>
          <w:i/>
          <w:sz w:val="24"/>
          <w:szCs w:val="24"/>
        </w:rPr>
        <w:t>esumen</w:t>
      </w:r>
      <w:bookmarkEnd w:id="18"/>
    </w:p>
    <w:p w:rsidR="00212B85" w:rsidRPr="008358CC" w:rsidRDefault="00212B85" w:rsidP="00212B85">
      <w:pPr>
        <w:rPr>
          <w:rFonts w:ascii="Arial" w:hAnsi="Arial" w:cs="Arial"/>
          <w:sz w:val="24"/>
          <w:szCs w:val="24"/>
        </w:rPr>
      </w:pPr>
    </w:p>
    <w:p w:rsidR="00212B85" w:rsidRPr="008358CC" w:rsidRDefault="00212B85" w:rsidP="00212B85">
      <w:pPr>
        <w:ind w:firstLine="567"/>
        <w:jc w:val="both"/>
        <w:rPr>
          <w:rFonts w:ascii="Arial" w:hAnsi="Arial" w:cs="Arial"/>
          <w:sz w:val="24"/>
          <w:szCs w:val="24"/>
        </w:rPr>
      </w:pPr>
      <w:r w:rsidRPr="008358CC">
        <w:rPr>
          <w:rFonts w:ascii="Arial" w:hAnsi="Arial" w:cs="Arial"/>
          <w:sz w:val="24"/>
          <w:szCs w:val="24"/>
        </w:rPr>
        <w:lastRenderedPageBreak/>
        <w:t>En este trabajo se formula un modelo de programación cuadrática para calcular los coeficientes óptimos que deben regular las emisiones de fuentes contaminantes. El objetivo es disminuir la concentración de una sustancia en todos los puntos de una zona de control y en cualquier momento dentro de cierto intervalo de tiempo, a fin de satisfacer la norma de la calidad del aire respectiva a un costo mínimo. Se considera un modelo lineal de dispersión de contaminantes en la atmósfera que está bien formulado, cuyas soluciones particulares se utilizan para definir las restricciones en el problema de optimización, mientras que la función objetivo se define por el costo que las fuentes pagan por disminuir sus emisiones. La formulación permite emplear cómputo paralelo para calcular dichas soluciones particulares, lo cual mejora el tiempo de cómputo necesario para implementar dicha estrategia de control de corto plazo. Se presenta un ejemplo sintético de control.</w:t>
      </w:r>
    </w:p>
    <w:p w:rsidR="00212B85" w:rsidRPr="008358CC" w:rsidRDefault="00212B85" w:rsidP="00212B85">
      <w:pPr>
        <w:jc w:val="both"/>
        <w:rPr>
          <w:rFonts w:ascii="Arial" w:hAnsi="Arial" w:cs="Arial"/>
          <w:sz w:val="24"/>
          <w:szCs w:val="24"/>
        </w:rPr>
      </w:pPr>
    </w:p>
    <w:p w:rsidR="00212B85" w:rsidRPr="008358CC" w:rsidRDefault="00212B85" w:rsidP="00212B85">
      <w:pPr>
        <w:pStyle w:val="Ttulo1"/>
        <w:keepLines w:val="0"/>
        <w:numPr>
          <w:ilvl w:val="0"/>
          <w:numId w:val="1"/>
        </w:numPr>
        <w:tabs>
          <w:tab w:val="clear" w:pos="432"/>
          <w:tab w:val="left" w:pos="0"/>
        </w:tabs>
        <w:suppressAutoHyphens/>
        <w:spacing w:before="0" w:after="0"/>
        <w:ind w:left="0" w:firstLine="0"/>
        <w:rPr>
          <w:rFonts w:ascii="Arial" w:hAnsi="Arial" w:cs="Arial"/>
          <w:i/>
          <w:caps/>
          <w:sz w:val="24"/>
          <w:szCs w:val="24"/>
        </w:rPr>
      </w:pPr>
      <w:bookmarkStart w:id="19" w:name="_Toc50031152"/>
      <w:r w:rsidRPr="008358CC">
        <w:rPr>
          <w:rFonts w:ascii="Arial" w:hAnsi="Arial" w:cs="Arial"/>
          <w:i/>
          <w:caps/>
          <w:sz w:val="24"/>
          <w:szCs w:val="24"/>
        </w:rPr>
        <w:t>2. I</w:t>
      </w:r>
      <w:r w:rsidRPr="008358CC">
        <w:rPr>
          <w:rFonts w:ascii="Arial" w:hAnsi="Arial" w:cs="Arial"/>
          <w:i/>
          <w:sz w:val="24"/>
          <w:szCs w:val="24"/>
        </w:rPr>
        <w:t>ntroducción</w:t>
      </w:r>
      <w:bookmarkEnd w:id="19"/>
    </w:p>
    <w:p w:rsidR="00212B85" w:rsidRPr="008358CC" w:rsidRDefault="00212B85" w:rsidP="00212B85">
      <w:pPr>
        <w:rPr>
          <w:rFonts w:ascii="Arial" w:hAnsi="Arial" w:cs="Arial"/>
          <w:sz w:val="24"/>
          <w:szCs w:val="24"/>
        </w:rPr>
      </w:pPr>
    </w:p>
    <w:p w:rsidR="00212B85" w:rsidRPr="008358CC" w:rsidRDefault="00212B85" w:rsidP="00212B85">
      <w:pPr>
        <w:jc w:val="both"/>
        <w:rPr>
          <w:rFonts w:ascii="Arial" w:hAnsi="Arial" w:cs="Arial"/>
          <w:sz w:val="24"/>
          <w:szCs w:val="24"/>
        </w:rPr>
      </w:pPr>
      <w:r w:rsidRPr="008358CC">
        <w:rPr>
          <w:sz w:val="24"/>
          <w:szCs w:val="24"/>
        </w:rPr>
        <w:t xml:space="preserve">         </w:t>
      </w:r>
      <w:r w:rsidRPr="008358CC">
        <w:rPr>
          <w:rFonts w:ascii="Arial" w:hAnsi="Arial" w:cs="Arial"/>
          <w:sz w:val="24"/>
          <w:szCs w:val="24"/>
        </w:rPr>
        <w:t>La contaminación del aire en zonas urbanas es un problema de gran preocupación debido al deterioro en la calidad de vida de la población que está expuesta a altas concentraciones de los contaminantes. Por ello, durante las últimas décadas se han propuesto diversas estrategias para el control de la contaminación del aire que se basan en modelos de optimización</w:t>
      </w:r>
      <w:r w:rsidRPr="008358CC">
        <w:rPr>
          <w:rFonts w:ascii="Arial" w:hAnsi="Arial" w:cs="Arial"/>
          <w:sz w:val="24"/>
          <w:szCs w:val="24"/>
          <w:vertAlign w:val="superscript"/>
        </w:rPr>
        <w:t xml:space="preserve"> [1,2]</w:t>
      </w:r>
      <w:r w:rsidRPr="008358CC">
        <w:rPr>
          <w:rFonts w:ascii="Arial" w:hAnsi="Arial" w:cs="Arial"/>
          <w:sz w:val="24"/>
          <w:szCs w:val="24"/>
        </w:rPr>
        <w:t xml:space="preserve">. Los diversos factores que influyen en el problema de la contaminación del aire hacen que los modelos de control que se han desarrollado resuelvan sólo situaciones específicas, por lo que éstos consideran diferentes clases de metas ecológicas y económicas. En particular, ante un evento de corto plazo (cuya duración va de pocas horas a varios días), donde una débil dispersión en la atmósfera favorece la acumulación de los contaminantes hasta niveles peligrosos, es necesario definir con prontitud las restricciones en las emisiones que pueden mantener las concentraciones de los contaminantes por debajo de las normas sanitarias respectivas </w:t>
      </w:r>
      <w:r w:rsidRPr="008358CC">
        <w:rPr>
          <w:rFonts w:ascii="Arial" w:hAnsi="Arial" w:cs="Arial"/>
          <w:sz w:val="24"/>
          <w:szCs w:val="24"/>
          <w:vertAlign w:val="superscript"/>
        </w:rPr>
        <w:t>[3</w:t>
      </w:r>
      <w:r w:rsidRPr="008358CC">
        <w:rPr>
          <w:rFonts w:ascii="Arial" w:hAnsi="Arial" w:cs="Arial"/>
          <w:color w:val="000000"/>
          <w:sz w:val="24"/>
          <w:szCs w:val="24"/>
          <w:vertAlign w:val="superscript"/>
        </w:rPr>
        <w:t>]</w:t>
      </w:r>
      <w:r w:rsidRPr="008358CC">
        <w:rPr>
          <w:rFonts w:ascii="Arial" w:hAnsi="Arial" w:cs="Arial"/>
          <w:color w:val="000000"/>
          <w:sz w:val="24"/>
          <w:szCs w:val="24"/>
        </w:rPr>
        <w:t>. Por otra parte, es importante notar que las computadoras son esenciales en el planteamiento y desarrollo de algunos de dichos modelos de optimización, los</w:t>
      </w:r>
      <w:r w:rsidRPr="008358CC">
        <w:rPr>
          <w:rFonts w:ascii="Arial" w:hAnsi="Arial" w:cs="Arial"/>
          <w:color w:val="000000"/>
          <w:sz w:val="24"/>
          <w:szCs w:val="24"/>
          <w:vertAlign w:val="superscript"/>
        </w:rPr>
        <w:t xml:space="preserve"> </w:t>
      </w:r>
      <w:r w:rsidRPr="008358CC">
        <w:rPr>
          <w:rFonts w:ascii="Arial" w:hAnsi="Arial" w:cs="Arial"/>
          <w:color w:val="000000"/>
          <w:sz w:val="24"/>
          <w:szCs w:val="24"/>
        </w:rPr>
        <w:t xml:space="preserve">cuales permiten controlar los niveles de contaminación en el aire; en este sentido, las llamadas computadoras paralelas, ejecutan múltiples tareas simultáneamente y resuelven problemas más grandes en menos tiempo </w:t>
      </w:r>
      <w:r w:rsidRPr="008358CC">
        <w:rPr>
          <w:rFonts w:ascii="Arial" w:hAnsi="Arial" w:cs="Arial"/>
          <w:color w:val="000000"/>
          <w:sz w:val="24"/>
          <w:szCs w:val="24"/>
          <w:vertAlign w:val="superscript"/>
        </w:rPr>
        <w:t>[4]</w:t>
      </w:r>
      <w:r w:rsidRPr="008358CC">
        <w:rPr>
          <w:rFonts w:ascii="Arial" w:hAnsi="Arial" w:cs="Arial"/>
          <w:color w:val="000000"/>
          <w:sz w:val="24"/>
          <w:szCs w:val="24"/>
        </w:rPr>
        <w:t>.</w:t>
      </w:r>
      <w:r w:rsidRPr="008358CC">
        <w:rPr>
          <w:rFonts w:ascii="Arial" w:hAnsi="Arial" w:cs="Arial"/>
          <w:sz w:val="24"/>
          <w:szCs w:val="24"/>
        </w:rPr>
        <w:t xml:space="preserve"> En este trabajo se formula un modelo de programación cuadrática que permite calcular los coeficientes de amortiguamiento óptimos que han de regular las emisiones a corto plazo de fuentes contaminantes al costo más bajo. El objetivo es disminuir la concentración de un contaminante en todos los puntos de una zona específica y en cualquier momento del intervalo de tiempo de control, </w:t>
      </w:r>
      <w:r w:rsidRPr="008358CC">
        <w:rPr>
          <w:rFonts w:ascii="Arial" w:hAnsi="Arial" w:cs="Arial"/>
          <w:sz w:val="24"/>
          <w:szCs w:val="24"/>
        </w:rPr>
        <w:lastRenderedPageBreak/>
        <w:t>a fin de satisfacer la norma de la calidad del aire. Las soluciones del modelo de dispersión calculadas independientemente para cada fuente tienen un papel importante en la determinación de esta estrategia de control, por ello, con el acceso a un sistema de cómputo paralelo, dicha estrategia permite aprovechar múltiples unidades de procesamiento para resolver varios modelos de dispersión de forma casi simultánea y así, obtener rápidamente los coeficientes óptimos que deben regular las emisiones. Éste es el procedimiento computacional que se destaca en este trabajo de investigación.</w:t>
      </w:r>
    </w:p>
    <w:p w:rsidR="00212B85" w:rsidRPr="008358CC" w:rsidRDefault="00212B85" w:rsidP="00212B85">
      <w:pPr>
        <w:jc w:val="both"/>
        <w:rPr>
          <w:rFonts w:ascii="Arial" w:hAnsi="Arial" w:cs="Arial"/>
          <w:sz w:val="24"/>
          <w:szCs w:val="24"/>
        </w:rPr>
      </w:pPr>
    </w:p>
    <w:p w:rsidR="00212B85" w:rsidRPr="008358CC" w:rsidRDefault="00212B85" w:rsidP="00212B85">
      <w:pPr>
        <w:pStyle w:val="Ttulo1"/>
        <w:keepLines w:val="0"/>
        <w:numPr>
          <w:ilvl w:val="0"/>
          <w:numId w:val="1"/>
        </w:numPr>
        <w:tabs>
          <w:tab w:val="clear" w:pos="432"/>
          <w:tab w:val="num" w:pos="0"/>
        </w:tabs>
        <w:suppressAutoHyphens/>
        <w:spacing w:before="0" w:after="0"/>
        <w:ind w:left="0" w:firstLine="0"/>
        <w:rPr>
          <w:rFonts w:ascii="Arial" w:hAnsi="Arial" w:cs="Arial"/>
          <w:i/>
          <w:sz w:val="24"/>
          <w:szCs w:val="24"/>
        </w:rPr>
      </w:pPr>
      <w:bookmarkStart w:id="20" w:name="_Toc50031153"/>
      <w:r w:rsidRPr="008358CC">
        <w:rPr>
          <w:rFonts w:ascii="Arial" w:hAnsi="Arial" w:cs="Arial"/>
          <w:i/>
          <w:caps/>
          <w:sz w:val="24"/>
          <w:szCs w:val="24"/>
        </w:rPr>
        <w:t xml:space="preserve">3. </w:t>
      </w:r>
      <w:r w:rsidRPr="008358CC">
        <w:rPr>
          <w:rFonts w:ascii="Arial" w:hAnsi="Arial" w:cs="Arial"/>
          <w:i/>
          <w:sz w:val="24"/>
          <w:szCs w:val="24"/>
        </w:rPr>
        <w:t>Descripción del modelo de dispersión</w:t>
      </w:r>
      <w:bookmarkEnd w:id="20"/>
    </w:p>
    <w:p w:rsidR="00212B85" w:rsidRPr="008358CC" w:rsidRDefault="00212B85" w:rsidP="00212B85">
      <w:pPr>
        <w:rPr>
          <w:rFonts w:ascii="Arial" w:hAnsi="Arial" w:cs="Arial"/>
          <w:sz w:val="24"/>
          <w:szCs w:val="24"/>
        </w:rPr>
      </w:pPr>
    </w:p>
    <w:p w:rsidR="00212B85" w:rsidRPr="008358CC" w:rsidRDefault="00212B85" w:rsidP="00212B85">
      <w:pPr>
        <w:pStyle w:val="Textoindependiente"/>
        <w:jc w:val="both"/>
        <w:rPr>
          <w:rFonts w:ascii="Arial" w:hAnsi="Arial" w:cs="Arial"/>
          <w:b w:val="0"/>
          <w:i/>
          <w:sz w:val="24"/>
          <w:szCs w:val="24"/>
          <w:lang w:val="es-MX"/>
        </w:rPr>
      </w:pPr>
      <w:r w:rsidRPr="008358CC">
        <w:rPr>
          <w:rFonts w:ascii="Arial" w:hAnsi="Arial" w:cs="Arial"/>
          <w:b w:val="0"/>
          <w:sz w:val="24"/>
          <w:szCs w:val="24"/>
        </w:rPr>
        <w:t xml:space="preserve">          A continuación, se describe un modelo que es posible utilizar para predecir la dispersión de una sustancia emitida desde varias fuentes contaminantes </w:t>
      </w:r>
      <w:r w:rsidRPr="008358CC">
        <w:rPr>
          <w:rFonts w:ascii="Arial" w:hAnsi="Arial" w:cs="Arial"/>
          <w:b w:val="0"/>
          <w:sz w:val="24"/>
          <w:szCs w:val="24"/>
          <w:vertAlign w:val="superscript"/>
        </w:rPr>
        <w:t>[5]</w:t>
      </w:r>
      <w:r w:rsidRPr="008358CC">
        <w:rPr>
          <w:rFonts w:ascii="Arial" w:hAnsi="Arial" w:cs="Arial"/>
          <w:b w:val="0"/>
          <w:sz w:val="24"/>
          <w:szCs w:val="24"/>
        </w:rPr>
        <w:t xml:space="preserve">. Sea </w:t>
      </w:r>
      <w:r w:rsidRPr="008358CC">
        <w:rPr>
          <w:rFonts w:ascii="Arial" w:hAnsi="Arial" w:cs="Arial"/>
          <w:b w:val="0"/>
          <w:i/>
          <w:sz w:val="24"/>
          <w:szCs w:val="24"/>
        </w:rPr>
        <w:t>ϕ</w:t>
      </w:r>
      <w:r w:rsidRPr="008358CC">
        <w:rPr>
          <w:rFonts w:ascii="Arial" w:hAnsi="Arial" w:cs="Arial"/>
          <w:b w:val="0"/>
          <w:sz w:val="24"/>
          <w:szCs w:val="24"/>
        </w:rPr>
        <w:t>(</w:t>
      </w:r>
      <w:r w:rsidRPr="008358CC">
        <w:rPr>
          <w:rFonts w:ascii="Arial" w:hAnsi="Arial" w:cs="Arial"/>
          <w:sz w:val="24"/>
          <w:szCs w:val="24"/>
        </w:rPr>
        <w:t>r</w:t>
      </w:r>
      <w:r w:rsidRPr="008358CC">
        <w:rPr>
          <w:rFonts w:ascii="Arial" w:hAnsi="Arial" w:cs="Arial"/>
          <w:b w:val="0"/>
          <w:i/>
          <w:sz w:val="24"/>
          <w:szCs w:val="24"/>
        </w:rPr>
        <w:t>,t</w:t>
      </w:r>
      <w:r w:rsidRPr="008358CC">
        <w:rPr>
          <w:rFonts w:ascii="Arial" w:hAnsi="Arial" w:cs="Arial"/>
          <w:b w:val="0"/>
          <w:sz w:val="24"/>
          <w:szCs w:val="24"/>
        </w:rPr>
        <w:t>)</w:t>
      </w:r>
      <w:r w:rsidRPr="008358CC">
        <w:rPr>
          <w:sz w:val="24"/>
          <w:szCs w:val="24"/>
          <w:lang w:val="es-MX"/>
        </w:rPr>
        <w:t xml:space="preserve"> </w:t>
      </w:r>
      <w:r w:rsidRPr="008358CC">
        <w:rPr>
          <w:rFonts w:ascii="Arial" w:hAnsi="Arial" w:cs="Arial"/>
          <w:b w:val="0"/>
          <w:sz w:val="24"/>
          <w:szCs w:val="24"/>
        </w:rPr>
        <w:t xml:space="preserve">la concentración de un contaminante en el punto </w:t>
      </w:r>
      <w:r w:rsidRPr="008358CC">
        <w:rPr>
          <w:rFonts w:ascii="Arial" w:hAnsi="Arial" w:cs="Arial"/>
          <w:sz w:val="24"/>
          <w:szCs w:val="24"/>
          <w:lang w:val="es-MX"/>
        </w:rPr>
        <w:t>r</w:t>
      </w:r>
      <w:r w:rsidRPr="008358CC">
        <w:rPr>
          <w:rFonts w:ascii="Arial" w:hAnsi="Arial" w:cs="Arial"/>
          <w:b w:val="0"/>
          <w:sz w:val="24"/>
          <w:szCs w:val="24"/>
        </w:rPr>
        <w:t xml:space="preserve"> de una región </w:t>
      </w:r>
      <w:r w:rsidRPr="008358CC">
        <w:rPr>
          <w:rFonts w:ascii="Arial" w:hAnsi="Arial" w:cs="Arial"/>
          <w:sz w:val="24"/>
          <w:szCs w:val="24"/>
          <w:lang w:val="es-MX"/>
        </w:rPr>
        <w:t>D</w:t>
      </w:r>
      <w:r w:rsidRPr="008358CC">
        <w:rPr>
          <w:rFonts w:ascii="Arial" w:hAnsi="Arial" w:cs="Arial"/>
          <w:b w:val="0"/>
          <w:sz w:val="24"/>
          <w:szCs w:val="24"/>
        </w:rPr>
        <w:t xml:space="preserve"> al tiempo </w:t>
      </w:r>
      <w:r w:rsidRPr="008358CC">
        <w:rPr>
          <w:rFonts w:ascii="Arial" w:hAnsi="Arial" w:cs="Arial"/>
          <w:b w:val="0"/>
          <w:i/>
          <w:sz w:val="24"/>
          <w:szCs w:val="24"/>
          <w:lang w:val="es-MX"/>
        </w:rPr>
        <w:t>t</w:t>
      </w:r>
      <w:r w:rsidRPr="008358CC">
        <w:rPr>
          <w:rFonts w:ascii="Arial" w:hAnsi="Arial" w:cs="Arial"/>
          <w:b w:val="0"/>
          <w:sz w:val="24"/>
          <w:szCs w:val="24"/>
        </w:rPr>
        <w:t xml:space="preserve">. La región </w:t>
      </w:r>
      <w:r w:rsidRPr="008358CC">
        <w:rPr>
          <w:rFonts w:ascii="Arial" w:hAnsi="Arial" w:cs="Arial"/>
          <w:sz w:val="24"/>
          <w:szCs w:val="24"/>
          <w:lang w:val="es-MX"/>
        </w:rPr>
        <w:t>D</w:t>
      </w:r>
      <w:r w:rsidRPr="008358CC">
        <w:rPr>
          <w:rFonts w:ascii="Arial" w:hAnsi="Arial" w:cs="Arial"/>
          <w:b w:val="0"/>
          <w:sz w:val="24"/>
          <w:szCs w:val="24"/>
          <w:lang w:val="es-MX"/>
        </w:rPr>
        <w:t>=</w:t>
      </w:r>
      <w:r w:rsidRPr="008358CC">
        <w:rPr>
          <w:rFonts w:ascii="Arial" w:hAnsi="Arial" w:cs="Arial"/>
          <w:b w:val="0"/>
          <w:i/>
          <w:sz w:val="24"/>
          <w:szCs w:val="24"/>
          <w:lang w:val="es-MX"/>
        </w:rPr>
        <w:t xml:space="preserve">D </w:t>
      </w:r>
      <w:r w:rsidRPr="008358CC">
        <w:rPr>
          <w:rFonts w:ascii="Arial" w:hAnsi="Arial" w:cs="Arial"/>
          <w:b w:val="0"/>
          <w:sz w:val="24"/>
          <w:szCs w:val="24"/>
          <w:lang w:val="es-MX"/>
        </w:rPr>
        <w:t>× (0,</w:t>
      </w:r>
      <w:r w:rsidRPr="008358CC">
        <w:rPr>
          <w:rFonts w:ascii="Arial" w:hAnsi="Arial" w:cs="Arial"/>
          <w:b w:val="0"/>
          <w:i/>
          <w:sz w:val="24"/>
          <w:szCs w:val="24"/>
          <w:lang w:val="es-MX"/>
        </w:rPr>
        <w:t>H</w:t>
      </w:r>
      <w:r w:rsidRPr="008358CC">
        <w:rPr>
          <w:rFonts w:ascii="Arial" w:hAnsi="Arial" w:cs="Arial"/>
          <w:b w:val="0"/>
          <w:sz w:val="24"/>
          <w:szCs w:val="24"/>
          <w:lang w:val="es-MX"/>
        </w:rPr>
        <w:t>)</w:t>
      </w:r>
      <w:r w:rsidRPr="008358CC">
        <w:rPr>
          <w:rFonts w:ascii="Arial" w:hAnsi="Arial" w:cs="Arial"/>
          <w:b w:val="0"/>
          <w:sz w:val="24"/>
          <w:szCs w:val="24"/>
        </w:rPr>
        <w:t xml:space="preserve"> es un dominio acotado tridimensional con frontera abierta  </w:t>
      </w:r>
      <w:r w:rsidRPr="008358CC">
        <w:rPr>
          <w:rFonts w:ascii="Arial" w:hAnsi="Arial" w:cs="Arial"/>
          <w:b w:val="0"/>
          <w:sz w:val="24"/>
          <w:szCs w:val="24"/>
          <w:lang w:val="es-MX"/>
        </w:rPr>
        <w:t>∂</w:t>
      </w:r>
      <w:r w:rsidRPr="008358CC">
        <w:rPr>
          <w:rFonts w:ascii="Arial" w:hAnsi="Arial" w:cs="Arial"/>
          <w:sz w:val="24"/>
          <w:szCs w:val="24"/>
          <w:lang w:val="es-MX"/>
        </w:rPr>
        <w:t>D</w:t>
      </w:r>
      <w:r w:rsidRPr="008358CC">
        <w:rPr>
          <w:rFonts w:ascii="Arial" w:hAnsi="Arial" w:cs="Arial"/>
          <w:b w:val="0"/>
          <w:sz w:val="24"/>
          <w:szCs w:val="24"/>
          <w:lang w:val="es-MX"/>
        </w:rPr>
        <w:t>=</w:t>
      </w:r>
      <w:r w:rsidRPr="008358CC">
        <w:rPr>
          <w:rFonts w:ascii="Arial" w:hAnsi="Arial" w:cs="Arial"/>
          <w:b w:val="0"/>
          <w:i/>
          <w:sz w:val="24"/>
          <w:szCs w:val="24"/>
          <w:lang w:val="es-MX"/>
        </w:rPr>
        <w:t>S</w:t>
      </w:r>
      <w:r w:rsidRPr="008358CC">
        <w:rPr>
          <w:rFonts w:ascii="Arial" w:hAnsi="Arial" w:cs="Arial"/>
          <w:b w:val="0"/>
          <w:i/>
          <w:sz w:val="24"/>
          <w:szCs w:val="24"/>
          <w:vertAlign w:val="subscript"/>
          <w:lang w:val="es-MX"/>
        </w:rPr>
        <w:t>0</w:t>
      </w:r>
      <w:r w:rsidRPr="008358CC">
        <w:rPr>
          <w:rFonts w:ascii="Arial" w:hAnsi="Arial" w:cs="Arial"/>
          <w:b w:val="0"/>
          <w:sz w:val="24"/>
          <w:szCs w:val="24"/>
          <w:vertAlign w:val="subscript"/>
          <w:lang w:val="es-MX"/>
        </w:rPr>
        <w:t xml:space="preserve"> </w:t>
      </w:r>
      <w:r w:rsidRPr="008358CC">
        <w:rPr>
          <w:rFonts w:ascii="Arial" w:hAnsi="Arial" w:cs="Arial"/>
          <w:b w:val="0"/>
          <w:sz w:val="24"/>
          <w:szCs w:val="24"/>
          <w:lang w:val="es-MX"/>
        </w:rPr>
        <w:t xml:space="preserve">U </w:t>
      </w:r>
      <w:r w:rsidRPr="008358CC">
        <w:rPr>
          <w:rFonts w:ascii="Arial" w:hAnsi="Arial" w:cs="Arial"/>
          <w:b w:val="0"/>
          <w:i/>
          <w:sz w:val="24"/>
          <w:szCs w:val="24"/>
          <w:lang w:val="es-MX"/>
        </w:rPr>
        <w:t>S</w:t>
      </w:r>
      <w:r w:rsidRPr="008358CC">
        <w:rPr>
          <w:rFonts w:ascii="Arial" w:hAnsi="Arial" w:cs="Arial"/>
          <w:b w:val="0"/>
          <w:sz w:val="24"/>
          <w:szCs w:val="24"/>
          <w:lang w:val="es-MX"/>
        </w:rPr>
        <w:t xml:space="preserve"> U </w:t>
      </w:r>
      <w:r w:rsidRPr="008358CC">
        <w:rPr>
          <w:rFonts w:ascii="Arial" w:hAnsi="Arial" w:cs="Arial"/>
          <w:b w:val="0"/>
          <w:i/>
          <w:sz w:val="24"/>
          <w:szCs w:val="24"/>
          <w:lang w:val="es-MX"/>
        </w:rPr>
        <w:t>S</w:t>
      </w:r>
      <w:r w:rsidRPr="008358CC">
        <w:rPr>
          <w:rFonts w:ascii="Arial" w:hAnsi="Arial" w:cs="Arial"/>
          <w:b w:val="0"/>
          <w:i/>
          <w:sz w:val="24"/>
          <w:szCs w:val="24"/>
          <w:vertAlign w:val="subscript"/>
          <w:lang w:val="es-MX"/>
        </w:rPr>
        <w:t>H</w:t>
      </w:r>
      <w:r w:rsidRPr="008358CC">
        <w:rPr>
          <w:rFonts w:ascii="Arial" w:hAnsi="Arial" w:cs="Arial"/>
          <w:b w:val="0"/>
          <w:sz w:val="24"/>
          <w:szCs w:val="24"/>
        </w:rPr>
        <w:t xml:space="preserve">, la cual es la unión de la superficie lateral cilíndrica </w:t>
      </w:r>
      <w:r w:rsidRPr="008358CC">
        <w:rPr>
          <w:rFonts w:ascii="Arial" w:hAnsi="Arial" w:cs="Arial"/>
          <w:b w:val="0"/>
          <w:i/>
          <w:sz w:val="24"/>
          <w:szCs w:val="24"/>
          <w:lang w:val="es-MX"/>
        </w:rPr>
        <w:t>S</w:t>
      </w:r>
      <w:r w:rsidRPr="008358CC">
        <w:rPr>
          <w:rFonts w:ascii="Arial" w:hAnsi="Arial" w:cs="Arial"/>
          <w:b w:val="0"/>
          <w:sz w:val="24"/>
          <w:szCs w:val="24"/>
        </w:rPr>
        <w:t xml:space="preserve">, la base </w:t>
      </w:r>
      <w:r w:rsidRPr="008358CC">
        <w:rPr>
          <w:rFonts w:ascii="Arial" w:hAnsi="Arial" w:cs="Arial"/>
          <w:b w:val="0"/>
          <w:i/>
          <w:sz w:val="24"/>
          <w:szCs w:val="24"/>
          <w:lang w:val="es-MX"/>
        </w:rPr>
        <w:t>S</w:t>
      </w:r>
      <w:r w:rsidRPr="008358CC">
        <w:rPr>
          <w:rFonts w:ascii="Arial" w:hAnsi="Arial" w:cs="Arial"/>
          <w:b w:val="0"/>
          <w:i/>
          <w:sz w:val="24"/>
          <w:szCs w:val="24"/>
          <w:vertAlign w:val="subscript"/>
          <w:lang w:val="es-MX"/>
        </w:rPr>
        <w:t>0</w:t>
      </w:r>
      <w:r w:rsidRPr="008358CC">
        <w:rPr>
          <w:rFonts w:ascii="Arial" w:hAnsi="Arial" w:cs="Arial"/>
          <w:b w:val="0"/>
          <w:sz w:val="24"/>
          <w:szCs w:val="24"/>
        </w:rPr>
        <w:t xml:space="preserve"> en el fondo y la cubierta </w:t>
      </w:r>
      <w:r w:rsidRPr="008358CC">
        <w:rPr>
          <w:rFonts w:ascii="Arial" w:hAnsi="Arial" w:cs="Arial"/>
          <w:b w:val="0"/>
          <w:sz w:val="24"/>
          <w:szCs w:val="24"/>
          <w:lang w:val="es-MX"/>
        </w:rPr>
        <w:t>S</w:t>
      </w:r>
      <w:r w:rsidRPr="008358CC">
        <w:rPr>
          <w:rFonts w:ascii="Arial" w:hAnsi="Arial" w:cs="Arial"/>
          <w:b w:val="0"/>
          <w:sz w:val="24"/>
          <w:szCs w:val="24"/>
          <w:vertAlign w:val="subscript"/>
          <w:lang w:val="es-MX"/>
        </w:rPr>
        <w:t>H</w:t>
      </w:r>
      <w:r w:rsidRPr="008358CC">
        <w:rPr>
          <w:sz w:val="24"/>
          <w:szCs w:val="24"/>
          <w:lang w:val="es-MX"/>
        </w:rPr>
        <w:t xml:space="preserve"> </w:t>
      </w:r>
      <w:r w:rsidRPr="008358CC">
        <w:rPr>
          <w:rFonts w:ascii="Arial" w:hAnsi="Arial" w:cs="Arial"/>
          <w:b w:val="0"/>
          <w:sz w:val="24"/>
          <w:szCs w:val="24"/>
        </w:rPr>
        <w:t xml:space="preserve">en </w:t>
      </w:r>
      <w:r w:rsidRPr="008358CC">
        <w:rPr>
          <w:rFonts w:ascii="Arial" w:hAnsi="Arial" w:cs="Arial"/>
          <w:b w:val="0"/>
          <w:i/>
          <w:sz w:val="24"/>
          <w:szCs w:val="24"/>
          <w:lang w:val="es-MX"/>
        </w:rPr>
        <w:t>z=H</w:t>
      </w:r>
      <w:r w:rsidRPr="008358CC">
        <w:rPr>
          <w:rFonts w:ascii="Arial" w:hAnsi="Arial" w:cs="Arial"/>
          <w:b w:val="0"/>
          <w:sz w:val="24"/>
          <w:szCs w:val="24"/>
        </w:rPr>
        <w:t xml:space="preserve">. Se denotan por </w:t>
      </w:r>
      <w:r w:rsidRPr="008358CC">
        <w:rPr>
          <w:rFonts w:ascii="Arial" w:hAnsi="Arial" w:cs="Arial"/>
          <w:sz w:val="24"/>
          <w:szCs w:val="24"/>
          <w:lang w:val="es-MX"/>
        </w:rPr>
        <w:t>r</w:t>
      </w:r>
      <w:r w:rsidRPr="008358CC">
        <w:rPr>
          <w:rFonts w:ascii="Arial" w:hAnsi="Arial" w:cs="Arial"/>
          <w:b w:val="0"/>
          <w:i/>
          <w:sz w:val="24"/>
          <w:szCs w:val="24"/>
          <w:vertAlign w:val="subscript"/>
          <w:lang w:val="es-MX"/>
        </w:rPr>
        <w:t>i</w:t>
      </w:r>
      <w:r w:rsidRPr="008358CC">
        <w:rPr>
          <w:rFonts w:ascii="Arial" w:hAnsi="Arial" w:cs="Arial"/>
          <w:b w:val="0"/>
          <w:sz w:val="24"/>
          <w:szCs w:val="24"/>
          <w:lang w:val="es-MX"/>
        </w:rPr>
        <w:t>(</w:t>
      </w:r>
      <w:r w:rsidRPr="008358CC">
        <w:rPr>
          <w:rFonts w:ascii="Arial" w:hAnsi="Arial" w:cs="Arial"/>
          <w:b w:val="0"/>
          <w:i/>
          <w:sz w:val="24"/>
          <w:szCs w:val="24"/>
          <w:lang w:val="es-MX"/>
        </w:rPr>
        <w:t>x</w:t>
      </w:r>
      <w:r w:rsidRPr="008358CC">
        <w:rPr>
          <w:rFonts w:ascii="Arial" w:hAnsi="Arial" w:cs="Arial"/>
          <w:b w:val="0"/>
          <w:i/>
          <w:sz w:val="24"/>
          <w:szCs w:val="24"/>
          <w:vertAlign w:val="subscript"/>
          <w:lang w:val="es-MX"/>
        </w:rPr>
        <w:t>i</w:t>
      </w:r>
      <w:r w:rsidRPr="008358CC">
        <w:rPr>
          <w:rFonts w:ascii="Arial" w:hAnsi="Arial" w:cs="Arial"/>
          <w:b w:val="0"/>
          <w:i/>
          <w:sz w:val="24"/>
          <w:szCs w:val="24"/>
          <w:lang w:val="es-MX"/>
        </w:rPr>
        <w:t>,y</w:t>
      </w:r>
      <w:r w:rsidRPr="008358CC">
        <w:rPr>
          <w:rFonts w:ascii="Arial" w:hAnsi="Arial" w:cs="Arial"/>
          <w:b w:val="0"/>
          <w:i/>
          <w:sz w:val="24"/>
          <w:szCs w:val="24"/>
          <w:vertAlign w:val="subscript"/>
          <w:lang w:val="es-MX"/>
        </w:rPr>
        <w:t>i</w:t>
      </w:r>
      <w:r w:rsidRPr="008358CC">
        <w:rPr>
          <w:rFonts w:ascii="Arial" w:hAnsi="Arial" w:cs="Arial"/>
          <w:b w:val="0"/>
          <w:i/>
          <w:sz w:val="24"/>
          <w:szCs w:val="24"/>
          <w:lang w:val="es-MX"/>
        </w:rPr>
        <w:t>,z</w:t>
      </w:r>
      <w:r w:rsidRPr="008358CC">
        <w:rPr>
          <w:rFonts w:ascii="Arial" w:hAnsi="Arial" w:cs="Arial"/>
          <w:b w:val="0"/>
          <w:i/>
          <w:sz w:val="24"/>
          <w:szCs w:val="24"/>
          <w:vertAlign w:val="subscript"/>
          <w:lang w:val="es-MX"/>
        </w:rPr>
        <w:t>i</w:t>
      </w:r>
      <w:r w:rsidRPr="008358CC">
        <w:rPr>
          <w:rFonts w:ascii="Arial" w:hAnsi="Arial" w:cs="Arial"/>
          <w:b w:val="0"/>
          <w:sz w:val="24"/>
          <w:szCs w:val="24"/>
          <w:lang w:val="es-MX"/>
        </w:rPr>
        <w:t xml:space="preserve">) </w:t>
      </w:r>
      <w:r w:rsidRPr="008358CC">
        <w:rPr>
          <w:rFonts w:ascii="Arial" w:hAnsi="Arial" w:cs="Arial"/>
          <w:b w:val="0"/>
          <w:sz w:val="24"/>
          <w:szCs w:val="24"/>
          <w:lang w:val="en-US"/>
        </w:rPr>
        <w:t>ϵ</w:t>
      </w:r>
      <w:r w:rsidRPr="008358CC">
        <w:rPr>
          <w:rFonts w:ascii="Arial" w:hAnsi="Arial" w:cs="Arial"/>
          <w:b w:val="0"/>
          <w:sz w:val="24"/>
          <w:szCs w:val="24"/>
          <w:lang w:val="es-MX"/>
        </w:rPr>
        <w:t xml:space="preserve"> </w:t>
      </w:r>
      <w:r w:rsidRPr="008358CC">
        <w:rPr>
          <w:rFonts w:ascii="Arial" w:hAnsi="Arial" w:cs="Arial"/>
          <w:sz w:val="24"/>
          <w:szCs w:val="24"/>
          <w:lang w:val="es-MX"/>
        </w:rPr>
        <w:t>D</w:t>
      </w:r>
      <w:r w:rsidRPr="008358CC">
        <w:rPr>
          <w:rFonts w:ascii="Arial" w:hAnsi="Arial" w:cs="Arial"/>
          <w:b w:val="0"/>
          <w:sz w:val="24"/>
          <w:szCs w:val="24"/>
        </w:rPr>
        <w:t xml:space="preserve">, los puntos donde se ubican las </w:t>
      </w:r>
      <w:r w:rsidRPr="008358CC">
        <w:rPr>
          <w:rFonts w:ascii="Arial" w:hAnsi="Arial" w:cs="Arial"/>
          <w:b w:val="0"/>
          <w:i/>
          <w:sz w:val="24"/>
          <w:szCs w:val="24"/>
          <w:lang w:val="es-MX"/>
        </w:rPr>
        <w:t>N</w:t>
      </w:r>
      <w:r w:rsidRPr="008358CC">
        <w:rPr>
          <w:rFonts w:ascii="Arial" w:hAnsi="Arial" w:cs="Arial"/>
          <w:b w:val="0"/>
          <w:sz w:val="24"/>
          <w:szCs w:val="24"/>
        </w:rPr>
        <w:t xml:space="preserve"> fuentes que emiten un contaminante y se supone que la región </w:t>
      </w:r>
      <w:r w:rsidRPr="008358CC">
        <w:rPr>
          <w:rFonts w:ascii="Arial" w:hAnsi="Arial" w:cs="Arial"/>
          <w:sz w:val="24"/>
          <w:szCs w:val="24"/>
          <w:lang w:val="es-MX"/>
        </w:rPr>
        <w:t>D</w:t>
      </w:r>
      <w:r w:rsidRPr="008358CC">
        <w:rPr>
          <w:rFonts w:ascii="Arial" w:hAnsi="Arial" w:cs="Arial"/>
          <w:b w:val="0"/>
          <w:sz w:val="24"/>
          <w:szCs w:val="24"/>
        </w:rPr>
        <w:t xml:space="preserve"> contiene a todas las fuentes de emisión, por lo tanto, no habrá contribuciones externas a la contaminación dentro del dominio. La dispersión del contaminante en la atmósfera se describe mediante el siguiente sistema diferencial:</w:t>
      </w:r>
    </w:p>
    <w:p w:rsidR="00212B85" w:rsidRPr="008358CC" w:rsidRDefault="00212B85" w:rsidP="00212B85">
      <w:pPr>
        <w:pStyle w:val="Textoindependiente"/>
        <w:jc w:val="both"/>
        <w:rPr>
          <w:rFonts w:ascii="Arial" w:hAnsi="Arial" w:cs="Arial"/>
          <w:b w:val="0"/>
          <w:sz w:val="24"/>
          <w:szCs w:val="24"/>
        </w:rPr>
      </w:pPr>
    </w:p>
    <w:p w:rsidR="00212B85" w:rsidRPr="008358CC" w:rsidRDefault="00212B85" w:rsidP="00212B85">
      <w:pPr>
        <w:pStyle w:val="BodyMath"/>
        <w:jc w:val="right"/>
        <w:rPr>
          <w:rFonts w:ascii="Arial" w:hAnsi="Arial" w:cs="Arial"/>
        </w:rPr>
      </w:pPr>
      <w:r w:rsidRPr="008358CC">
        <w:rPr>
          <w:rFonts w:ascii="Arial" w:hAnsi="Arial" w:cs="Arial"/>
          <w:position w:val="-24"/>
          <w:lang w:val="en-GB"/>
        </w:rPr>
        <w:object w:dxaOrig="7339"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75pt;height:30.75pt" o:ole="">
            <v:imagedata r:id="rId33" o:title=""/>
          </v:shape>
          <o:OLEObject Type="Embed" ProgID="Equation.DSMT4" ShapeID="_x0000_i1025" DrawAspect="Content" ObjectID="_1660649122" r:id="rId34"/>
        </w:object>
      </w:r>
      <w:r w:rsidRPr="008358CC">
        <w:rPr>
          <w:rFonts w:ascii="Arial" w:hAnsi="Arial" w:cs="Arial"/>
        </w:rPr>
        <w:t xml:space="preserve">                   (1)</w:t>
      </w:r>
    </w:p>
    <w:p w:rsidR="00212B85" w:rsidRPr="008358CC" w:rsidRDefault="00212B85" w:rsidP="00212B85">
      <w:pPr>
        <w:pStyle w:val="BodyMath"/>
        <w:jc w:val="right"/>
        <w:rPr>
          <w:rFonts w:ascii="Arial" w:hAnsi="Arial" w:cs="Arial"/>
        </w:rPr>
      </w:pPr>
      <w:r w:rsidRPr="008358CC">
        <w:rPr>
          <w:rFonts w:ascii="Arial" w:hAnsi="Arial" w:cs="Arial"/>
          <w:position w:val="-10"/>
          <w:lang w:val="en-GB"/>
        </w:rPr>
        <w:object w:dxaOrig="2120" w:dyaOrig="360">
          <v:shape id="_x0000_i1026" type="#_x0000_t75" style="width:105.75pt;height:18pt" o:ole="">
            <v:imagedata r:id="rId35" o:title=""/>
          </v:shape>
          <o:OLEObject Type="Embed" ProgID="Equation.DSMT4" ShapeID="_x0000_i1026" DrawAspect="Content" ObjectID="_1660649123" r:id="rId36"/>
        </w:object>
      </w:r>
      <w:r w:rsidRPr="008358CC">
        <w:rPr>
          <w:rFonts w:ascii="Arial" w:hAnsi="Arial" w:cs="Arial"/>
        </w:rPr>
        <w:t xml:space="preserve">                                                            (2)</w:t>
      </w:r>
    </w:p>
    <w:p w:rsidR="00212B85" w:rsidRPr="008358CC" w:rsidRDefault="00212B85" w:rsidP="00212B85">
      <w:pPr>
        <w:pStyle w:val="BodyMath"/>
        <w:jc w:val="right"/>
        <w:rPr>
          <w:rFonts w:ascii="Arial" w:hAnsi="Arial" w:cs="Arial"/>
        </w:rPr>
      </w:pPr>
      <w:r w:rsidRPr="008358CC">
        <w:rPr>
          <w:rFonts w:ascii="Arial" w:hAnsi="Arial" w:cs="Arial"/>
          <w:position w:val="-12"/>
          <w:lang w:val="en-GB"/>
        </w:rPr>
        <w:object w:dxaOrig="1980" w:dyaOrig="400">
          <v:shape id="_x0000_i1027" type="#_x0000_t75" style="width:99pt;height:20.25pt" o:ole="">
            <v:imagedata r:id="rId37" o:title=""/>
          </v:shape>
          <o:OLEObject Type="Embed" ProgID="Equation.DSMT4" ShapeID="_x0000_i1027" DrawAspect="Content" ObjectID="_1660649124" r:id="rId38"/>
        </w:object>
      </w:r>
      <w:r w:rsidRPr="008358CC">
        <w:rPr>
          <w:rFonts w:ascii="Arial" w:hAnsi="Arial" w:cs="Arial"/>
        </w:rPr>
        <w:t xml:space="preserve">                                                             (3)</w:t>
      </w:r>
    </w:p>
    <w:p w:rsidR="00212B85" w:rsidRPr="008358CC" w:rsidRDefault="00212B85" w:rsidP="00212B85">
      <w:pPr>
        <w:pStyle w:val="BodyMath"/>
        <w:jc w:val="right"/>
        <w:rPr>
          <w:rFonts w:ascii="Arial" w:hAnsi="Arial" w:cs="Arial"/>
        </w:rPr>
      </w:pPr>
      <w:r w:rsidRPr="008358CC">
        <w:rPr>
          <w:rFonts w:ascii="Arial" w:hAnsi="Arial" w:cs="Arial"/>
          <w:position w:val="-24"/>
          <w:lang w:val="en-GB"/>
        </w:rPr>
        <w:object w:dxaOrig="5000" w:dyaOrig="620">
          <v:shape id="_x0000_i1028" type="#_x0000_t75" style="width:249.75pt;height:30.75pt" o:ole="">
            <v:imagedata r:id="rId39" o:title=""/>
          </v:shape>
          <o:OLEObject Type="Embed" ProgID="Equation.DSMT4" ShapeID="_x0000_i1028" DrawAspect="Content" ObjectID="_1660649125" r:id="rId40"/>
        </w:object>
      </w:r>
      <w:r w:rsidRPr="008358CC">
        <w:rPr>
          <w:rFonts w:ascii="Arial" w:hAnsi="Arial" w:cs="Arial"/>
        </w:rPr>
        <w:t xml:space="preserve">                                    (4)</w:t>
      </w:r>
    </w:p>
    <w:p w:rsidR="00212B85" w:rsidRPr="008358CC" w:rsidRDefault="00212B85" w:rsidP="00212B85">
      <w:pPr>
        <w:pStyle w:val="BodyMath"/>
        <w:jc w:val="right"/>
        <w:rPr>
          <w:rFonts w:ascii="Arial" w:hAnsi="Arial" w:cs="Arial"/>
        </w:rPr>
      </w:pPr>
      <w:r w:rsidRPr="008358CC">
        <w:rPr>
          <w:rFonts w:ascii="Arial" w:hAnsi="Arial" w:cs="Arial"/>
          <w:position w:val="-12"/>
          <w:lang w:val="en-GB"/>
        </w:rPr>
        <w:object w:dxaOrig="4819" w:dyaOrig="380">
          <v:shape id="_x0000_i1029" type="#_x0000_t75" style="width:240.75pt;height:18.75pt" o:ole="">
            <v:imagedata r:id="rId41" o:title=""/>
          </v:shape>
          <o:OLEObject Type="Embed" ProgID="Equation.DSMT4" ShapeID="_x0000_i1029" DrawAspect="Content" ObjectID="_1660649126" r:id="rId42"/>
        </w:object>
      </w:r>
      <w:r w:rsidRPr="008358CC">
        <w:rPr>
          <w:rFonts w:ascii="Arial" w:hAnsi="Arial" w:cs="Arial"/>
        </w:rPr>
        <w:t xml:space="preserve">                                     (5)</w:t>
      </w:r>
    </w:p>
    <w:p w:rsidR="00212B85" w:rsidRPr="008358CC" w:rsidRDefault="00212B85" w:rsidP="00212B85">
      <w:pPr>
        <w:pStyle w:val="BodyMath"/>
        <w:jc w:val="right"/>
        <w:rPr>
          <w:rFonts w:ascii="Arial" w:hAnsi="Arial" w:cs="Arial"/>
        </w:rPr>
      </w:pPr>
      <w:r w:rsidRPr="008358CC">
        <w:rPr>
          <w:rFonts w:ascii="Arial" w:hAnsi="Arial" w:cs="Arial"/>
          <w:position w:val="-12"/>
          <w:lang w:val="en-GB"/>
        </w:rPr>
        <w:object w:dxaOrig="1939" w:dyaOrig="400">
          <v:shape id="_x0000_i1030" type="#_x0000_t75" style="width:96.75pt;height:20.25pt" o:ole="">
            <v:imagedata r:id="rId43" o:title=""/>
          </v:shape>
          <o:OLEObject Type="Embed" ProgID="Equation.DSMT4" ShapeID="_x0000_i1030" DrawAspect="Content" ObjectID="_1660649127" r:id="rId44"/>
        </w:object>
      </w:r>
      <w:r w:rsidRPr="008358CC">
        <w:rPr>
          <w:rFonts w:ascii="Arial" w:hAnsi="Arial" w:cs="Arial"/>
        </w:rPr>
        <w:t xml:space="preserve">                                                           (6)</w:t>
      </w:r>
    </w:p>
    <w:p w:rsidR="00212B85" w:rsidRPr="008358CC" w:rsidRDefault="00212B85" w:rsidP="00212B85">
      <w:pPr>
        <w:pStyle w:val="BodyMath"/>
        <w:jc w:val="right"/>
        <w:rPr>
          <w:rFonts w:ascii="Arial" w:hAnsi="Arial" w:cs="Arial"/>
        </w:rPr>
      </w:pPr>
      <w:r w:rsidRPr="008358CC">
        <w:rPr>
          <w:rFonts w:ascii="Arial" w:hAnsi="Arial" w:cs="Arial"/>
          <w:position w:val="-28"/>
          <w:lang w:val="en-GB"/>
        </w:rPr>
        <w:object w:dxaOrig="3260" w:dyaOrig="660">
          <v:shape id="_x0000_i1031" type="#_x0000_t75" style="width:162.75pt;height:33pt" o:ole="">
            <v:imagedata r:id="rId45" o:title=""/>
          </v:shape>
          <o:OLEObject Type="Embed" ProgID="Equation.DSMT4" ShapeID="_x0000_i1031" DrawAspect="Content" ObjectID="_1660649128" r:id="rId46"/>
        </w:object>
      </w:r>
      <w:r w:rsidRPr="008358CC">
        <w:rPr>
          <w:rFonts w:ascii="Arial" w:hAnsi="Arial" w:cs="Arial"/>
        </w:rPr>
        <w:t xml:space="preserve">                                                (7)</w:t>
      </w:r>
    </w:p>
    <w:p w:rsidR="00212B85" w:rsidRPr="008358CC" w:rsidRDefault="00212B85" w:rsidP="00212B85">
      <w:pPr>
        <w:pStyle w:val="Textoindependiente"/>
        <w:jc w:val="both"/>
        <w:rPr>
          <w:rFonts w:ascii="Arial" w:hAnsi="Arial" w:cs="Arial"/>
          <w:b w:val="0"/>
          <w:sz w:val="24"/>
          <w:szCs w:val="24"/>
        </w:rPr>
      </w:pPr>
    </w:p>
    <w:p w:rsidR="00212B85" w:rsidRPr="008358CC" w:rsidRDefault="00212B85" w:rsidP="00212B85">
      <w:pPr>
        <w:pStyle w:val="Textoindependiente"/>
        <w:ind w:firstLine="567"/>
        <w:jc w:val="both"/>
        <w:rPr>
          <w:rFonts w:ascii="Arial" w:hAnsi="Arial" w:cs="Arial"/>
          <w:b w:val="0"/>
          <w:sz w:val="24"/>
          <w:szCs w:val="24"/>
        </w:rPr>
      </w:pPr>
      <w:r w:rsidRPr="008358CC">
        <w:rPr>
          <w:rFonts w:ascii="Arial" w:hAnsi="Arial" w:cs="Arial" w:hint="eastAsia"/>
          <w:b w:val="0"/>
          <w:sz w:val="24"/>
          <w:szCs w:val="24"/>
        </w:rPr>
        <w:t>Se asume que la velocidad del viento</w:t>
      </w:r>
      <w:r w:rsidRPr="008358CC">
        <w:rPr>
          <w:rFonts w:ascii="Arial" w:hAnsi="Arial" w:cs="Arial"/>
          <w:b w:val="0"/>
          <w:sz w:val="24"/>
          <w:szCs w:val="24"/>
        </w:rPr>
        <w:t xml:space="preserve"> </w:t>
      </w:r>
      <w:r w:rsidRPr="008358CC">
        <w:rPr>
          <w:rFonts w:ascii="Arial" w:hAnsi="Arial" w:cs="Arial"/>
          <w:iCs/>
          <w:sz w:val="24"/>
          <w:szCs w:val="24"/>
        </w:rPr>
        <w:t>U</w:t>
      </w:r>
      <w:r w:rsidRPr="008358CC">
        <w:rPr>
          <w:rFonts w:ascii="Arial" w:hAnsi="Arial" w:cs="Arial"/>
          <w:b w:val="0"/>
          <w:sz w:val="24"/>
          <w:szCs w:val="24"/>
        </w:rPr>
        <w:t>(</w:t>
      </w:r>
      <w:r w:rsidRPr="008358CC">
        <w:rPr>
          <w:rFonts w:ascii="Arial" w:hAnsi="Arial" w:cs="Arial"/>
          <w:sz w:val="24"/>
          <w:szCs w:val="24"/>
        </w:rPr>
        <w:t>r</w:t>
      </w:r>
      <w:r w:rsidRPr="008358CC">
        <w:rPr>
          <w:rFonts w:ascii="Arial" w:hAnsi="Arial" w:cs="Arial"/>
          <w:b w:val="0"/>
          <w:i/>
          <w:sz w:val="24"/>
          <w:szCs w:val="24"/>
        </w:rPr>
        <w:t>,t</w:t>
      </w:r>
      <w:r w:rsidRPr="008358CC">
        <w:rPr>
          <w:rFonts w:ascii="Arial" w:hAnsi="Arial" w:cs="Arial"/>
          <w:b w:val="0"/>
          <w:sz w:val="24"/>
          <w:szCs w:val="24"/>
        </w:rPr>
        <w:t xml:space="preserve">) </w:t>
      </w:r>
      <w:r w:rsidRPr="008358CC">
        <w:rPr>
          <w:rFonts w:ascii="Arial" w:hAnsi="Arial" w:cs="Arial" w:hint="eastAsia"/>
          <w:b w:val="0"/>
          <w:sz w:val="24"/>
          <w:szCs w:val="24"/>
        </w:rPr>
        <w:t xml:space="preserve">en </w:t>
      </w:r>
      <w:r w:rsidRPr="008358CC">
        <w:rPr>
          <w:rFonts w:ascii="Arial" w:hAnsi="Arial" w:cs="Arial"/>
          <w:sz w:val="24"/>
          <w:szCs w:val="24"/>
          <w:lang w:val="es-MX"/>
        </w:rPr>
        <w:t>D</w:t>
      </w:r>
      <w:r w:rsidRPr="008358CC">
        <w:rPr>
          <w:rFonts w:ascii="Arial" w:hAnsi="Arial" w:cs="Arial" w:hint="eastAsia"/>
          <w:b w:val="0"/>
          <w:sz w:val="24"/>
          <w:szCs w:val="24"/>
        </w:rPr>
        <w:t xml:space="preserve"> cumple la ecuación de continuidad (</w:t>
      </w:r>
      <w:r w:rsidRPr="008358CC">
        <w:rPr>
          <w:rFonts w:ascii="Arial" w:hAnsi="Arial" w:cs="Arial"/>
          <w:b w:val="0"/>
          <w:sz w:val="24"/>
          <w:szCs w:val="24"/>
        </w:rPr>
        <w:t>7</w:t>
      </w:r>
      <w:r w:rsidRPr="008358CC">
        <w:rPr>
          <w:rFonts w:ascii="Arial" w:hAnsi="Arial" w:cs="Arial" w:hint="eastAsia"/>
          <w:b w:val="0"/>
          <w:sz w:val="24"/>
          <w:szCs w:val="24"/>
        </w:rPr>
        <w:t xml:space="preserve">). </w:t>
      </w:r>
    </w:p>
    <w:p w:rsidR="00212B85" w:rsidRPr="008358CC" w:rsidRDefault="00212B85" w:rsidP="00212B85">
      <w:pPr>
        <w:pStyle w:val="Textoindependiente"/>
        <w:jc w:val="both"/>
        <w:rPr>
          <w:rFonts w:ascii="Arial" w:hAnsi="Arial" w:cs="Arial"/>
          <w:b w:val="0"/>
          <w:sz w:val="24"/>
          <w:szCs w:val="24"/>
        </w:rPr>
      </w:pPr>
      <w:r w:rsidRPr="008358CC">
        <w:rPr>
          <w:rFonts w:ascii="Arial" w:hAnsi="Arial" w:cs="Arial"/>
          <w:b w:val="0"/>
          <w:sz w:val="24"/>
          <w:szCs w:val="24"/>
        </w:rPr>
        <w:lastRenderedPageBreak/>
        <w:t xml:space="preserve">En (1), </w:t>
      </w:r>
      <w:r w:rsidRPr="008358CC">
        <w:rPr>
          <w:rFonts w:ascii="Arial" w:hAnsi="Arial" w:cs="Arial"/>
          <w:b w:val="0"/>
          <w:i/>
          <w:sz w:val="24"/>
          <w:szCs w:val="24"/>
        </w:rPr>
        <w:t>σ</w:t>
      </w:r>
      <w:r w:rsidRPr="008358CC">
        <w:rPr>
          <w:rFonts w:ascii="Arial" w:hAnsi="Arial" w:cs="Arial"/>
          <w:b w:val="0"/>
          <w:sz w:val="24"/>
          <w:szCs w:val="24"/>
        </w:rPr>
        <w:t>(</w:t>
      </w:r>
      <w:r w:rsidRPr="008358CC">
        <w:rPr>
          <w:rFonts w:ascii="Arial" w:hAnsi="Arial" w:cs="Arial"/>
          <w:sz w:val="24"/>
          <w:szCs w:val="24"/>
        </w:rPr>
        <w:t>r</w:t>
      </w:r>
      <w:r w:rsidRPr="008358CC">
        <w:rPr>
          <w:rFonts w:ascii="Arial" w:hAnsi="Arial" w:cs="Arial"/>
          <w:b w:val="0"/>
          <w:i/>
          <w:sz w:val="24"/>
          <w:szCs w:val="24"/>
        </w:rPr>
        <w:t>,t</w:t>
      </w:r>
      <w:r w:rsidRPr="008358CC">
        <w:rPr>
          <w:rFonts w:ascii="Arial" w:hAnsi="Arial" w:cs="Arial"/>
          <w:b w:val="0"/>
          <w:sz w:val="24"/>
          <w:szCs w:val="24"/>
        </w:rPr>
        <w:t>) ≥ 0</w:t>
      </w:r>
      <w:r w:rsidRPr="008358CC">
        <w:rPr>
          <w:sz w:val="24"/>
          <w:szCs w:val="24"/>
          <w:lang w:val="es-MX"/>
        </w:rPr>
        <w:t xml:space="preserve"> </w:t>
      </w:r>
      <w:r w:rsidRPr="008358CC">
        <w:rPr>
          <w:rFonts w:ascii="Arial" w:hAnsi="Arial" w:cs="Arial" w:hint="eastAsia"/>
          <w:b w:val="0"/>
          <w:sz w:val="24"/>
          <w:szCs w:val="24"/>
        </w:rPr>
        <w:t>es el coeficiente de transformación química del contaminante y</w:t>
      </w:r>
      <w:r w:rsidRPr="008358CC">
        <w:rPr>
          <w:rFonts w:ascii="Arial" w:hAnsi="Arial" w:cs="Arial"/>
          <w:b w:val="0"/>
          <w:sz w:val="24"/>
          <w:szCs w:val="24"/>
        </w:rPr>
        <w:t xml:space="preserve"> ͡</w:t>
      </w:r>
      <w:r w:rsidRPr="008358CC">
        <w:rPr>
          <w:rFonts w:ascii="Arial" w:hAnsi="Arial" w:cs="Arial"/>
          <w:b w:val="0"/>
          <w:i/>
          <w:sz w:val="24"/>
          <w:szCs w:val="24"/>
        </w:rPr>
        <w:t>μ</w:t>
      </w:r>
      <w:r w:rsidRPr="008358CC">
        <w:rPr>
          <w:rFonts w:ascii="Arial" w:hAnsi="Arial" w:cs="Arial"/>
          <w:b w:val="0"/>
          <w:sz w:val="24"/>
          <w:szCs w:val="24"/>
        </w:rPr>
        <w:t>(</w:t>
      </w:r>
      <w:r w:rsidRPr="008358CC">
        <w:rPr>
          <w:rFonts w:ascii="Arial" w:hAnsi="Arial" w:cs="Arial"/>
          <w:color w:val="000000"/>
          <w:sz w:val="24"/>
          <w:szCs w:val="24"/>
        </w:rPr>
        <w:t>r</w:t>
      </w:r>
      <w:r w:rsidRPr="008358CC">
        <w:rPr>
          <w:rFonts w:ascii="Arial" w:hAnsi="Arial" w:cs="Arial"/>
          <w:b w:val="0"/>
          <w:i/>
          <w:color w:val="000000"/>
          <w:sz w:val="24"/>
          <w:szCs w:val="24"/>
        </w:rPr>
        <w:t>,t</w:t>
      </w:r>
      <w:r w:rsidRPr="008358CC">
        <w:rPr>
          <w:rFonts w:ascii="Arial" w:hAnsi="Arial" w:cs="Arial"/>
          <w:b w:val="0"/>
          <w:color w:val="000000"/>
          <w:sz w:val="24"/>
          <w:szCs w:val="24"/>
        </w:rPr>
        <w:t>) = diag{</w:t>
      </w:r>
      <w:r w:rsidRPr="008358CC">
        <w:rPr>
          <w:rFonts w:ascii="Arial" w:hAnsi="Arial" w:cs="Arial"/>
          <w:b w:val="0"/>
          <w:i/>
          <w:color w:val="000000"/>
          <w:sz w:val="24"/>
          <w:szCs w:val="24"/>
        </w:rPr>
        <w:t xml:space="preserve">μ, μ, </w:t>
      </w:r>
      <w:r w:rsidRPr="008358CC">
        <w:rPr>
          <w:rFonts w:ascii="Arial" w:hAnsi="Arial" w:cs="Arial"/>
          <w:b w:val="0"/>
          <w:color w:val="000000"/>
          <w:sz w:val="24"/>
          <w:szCs w:val="24"/>
          <w:lang w:val="es-MX"/>
        </w:rPr>
        <w:t>ʋ</w:t>
      </w:r>
      <w:r w:rsidRPr="008358CC">
        <w:rPr>
          <w:rFonts w:ascii="Arial" w:hAnsi="Arial" w:cs="Arial"/>
          <w:b w:val="0"/>
          <w:color w:val="000000"/>
          <w:sz w:val="24"/>
          <w:szCs w:val="24"/>
        </w:rPr>
        <w:t>}&gt;0</w:t>
      </w:r>
      <w:r w:rsidRPr="008358CC">
        <w:rPr>
          <w:sz w:val="24"/>
          <w:szCs w:val="24"/>
          <w:lang w:val="es-MX"/>
        </w:rPr>
        <w:t xml:space="preserve"> </w:t>
      </w:r>
      <w:r w:rsidRPr="008358CC">
        <w:rPr>
          <w:rFonts w:ascii="Arial" w:hAnsi="Arial" w:cs="Arial" w:hint="eastAsia"/>
          <w:b w:val="0"/>
          <w:sz w:val="24"/>
          <w:szCs w:val="24"/>
        </w:rPr>
        <w:t>es la matriz de difusión turbulenta</w:t>
      </w:r>
      <w:r w:rsidRPr="008358CC">
        <w:rPr>
          <w:rFonts w:ascii="Arial" w:hAnsi="Arial" w:cs="Arial"/>
          <w:b w:val="0"/>
          <w:sz w:val="24"/>
          <w:szCs w:val="24"/>
        </w:rPr>
        <w:t xml:space="preserve">, mientras que el </w:t>
      </w:r>
      <w:r w:rsidRPr="008358CC">
        <w:rPr>
          <w:rFonts w:ascii="Arial" w:hAnsi="Arial" w:cs="Arial" w:hint="eastAsia"/>
          <w:b w:val="0"/>
          <w:sz w:val="24"/>
          <w:szCs w:val="24"/>
        </w:rPr>
        <w:t>término</w:t>
      </w:r>
      <w:r w:rsidRPr="008358CC">
        <w:rPr>
          <w:rFonts w:ascii="Arial" w:hAnsi="Arial" w:cs="Arial"/>
          <w:b w:val="0"/>
          <w:sz w:val="24"/>
          <w:szCs w:val="24"/>
        </w:rPr>
        <w:t xml:space="preserve"> </w:t>
      </w:r>
      <w:r w:rsidRPr="008358CC">
        <w:rPr>
          <w:rFonts w:ascii="Arial" w:hAnsi="Arial" w:cs="Arial"/>
          <w:b w:val="0"/>
          <w:iCs/>
          <w:color w:val="000000"/>
          <w:sz w:val="24"/>
          <w:szCs w:val="24"/>
        </w:rPr>
        <w:t>div</w:t>
      </w:r>
      <w:r w:rsidRPr="008358CC">
        <w:rPr>
          <w:rFonts w:ascii="Arial" w:hAnsi="Arial" w:cs="Arial"/>
          <w:b w:val="0"/>
          <w:i/>
          <w:color w:val="000000"/>
          <w:sz w:val="24"/>
          <w:szCs w:val="24"/>
        </w:rPr>
        <w:t>{ ϕ</w:t>
      </w:r>
      <w:r w:rsidRPr="008358CC">
        <w:rPr>
          <w:rFonts w:ascii="Arial" w:hAnsi="Arial" w:cs="Arial"/>
          <w:b w:val="0"/>
          <w:color w:val="000000"/>
          <w:sz w:val="24"/>
          <w:szCs w:val="24"/>
          <w:lang w:val="es-MX"/>
        </w:rPr>
        <w:t>ˉ͐</w:t>
      </w:r>
      <w:r w:rsidRPr="008358CC">
        <w:rPr>
          <w:rFonts w:ascii="Arial" w:hAnsi="Arial" w:cs="Arial"/>
          <w:b w:val="0"/>
          <w:i/>
          <w:color w:val="000000"/>
          <w:sz w:val="24"/>
          <w:szCs w:val="24"/>
          <w:vertAlign w:val="superscript"/>
        </w:rPr>
        <w:t>s</w:t>
      </w:r>
      <w:r w:rsidRPr="008358CC">
        <w:rPr>
          <w:rFonts w:ascii="Arial" w:hAnsi="Arial" w:cs="Arial"/>
          <w:b w:val="0"/>
          <w:i/>
          <w:color w:val="000000"/>
          <w:sz w:val="24"/>
          <w:szCs w:val="24"/>
        </w:rPr>
        <w:t>}</w:t>
      </w:r>
      <w:r w:rsidRPr="008358CC">
        <w:rPr>
          <w:rFonts w:ascii="Arial" w:hAnsi="Arial" w:cs="Arial" w:hint="eastAsia"/>
          <w:b w:val="0"/>
          <w:sz w:val="24"/>
          <w:szCs w:val="24"/>
        </w:rPr>
        <w:t xml:space="preserve"> describe el cambio en la concentración de las partículas por unidad de tiempo debido a la sedimentación, la cual está caracterizada por una velocidad constante de sedimentación </w:t>
      </w:r>
      <w:r w:rsidRPr="008358CC">
        <w:rPr>
          <w:rFonts w:ascii="Arial" w:hAnsi="Arial" w:cs="Arial"/>
          <w:b w:val="0"/>
          <w:i/>
          <w:sz w:val="24"/>
          <w:szCs w:val="24"/>
        </w:rPr>
        <w:t>v</w:t>
      </w:r>
      <w:r w:rsidRPr="008358CC">
        <w:rPr>
          <w:rFonts w:ascii="Arial" w:hAnsi="Arial" w:cs="Arial"/>
          <w:b w:val="0"/>
          <w:i/>
          <w:sz w:val="24"/>
          <w:szCs w:val="24"/>
          <w:vertAlign w:val="superscript"/>
        </w:rPr>
        <w:t>s</w:t>
      </w:r>
      <w:r w:rsidRPr="008358CC">
        <w:rPr>
          <w:rFonts w:ascii="Arial" w:hAnsi="Arial" w:cs="Arial"/>
          <w:b w:val="0"/>
          <w:sz w:val="24"/>
          <w:szCs w:val="24"/>
        </w:rPr>
        <w:t xml:space="preserve"> &gt; 0</w:t>
      </w:r>
      <w:r w:rsidRPr="008358CC">
        <w:rPr>
          <w:rFonts w:ascii="Arial" w:hAnsi="Arial" w:cs="Arial" w:hint="eastAsia"/>
          <w:b w:val="0"/>
          <w:sz w:val="24"/>
          <w:szCs w:val="24"/>
        </w:rPr>
        <w:t>. La ecuación (</w:t>
      </w:r>
      <w:r w:rsidRPr="008358CC">
        <w:rPr>
          <w:rFonts w:ascii="Arial" w:hAnsi="Arial" w:cs="Arial"/>
          <w:b w:val="0"/>
          <w:sz w:val="24"/>
          <w:szCs w:val="24"/>
        </w:rPr>
        <w:t>2</w:t>
      </w:r>
      <w:r w:rsidRPr="008358CC">
        <w:rPr>
          <w:rFonts w:ascii="Arial" w:hAnsi="Arial" w:cs="Arial" w:hint="eastAsia"/>
          <w:b w:val="0"/>
          <w:sz w:val="24"/>
          <w:szCs w:val="24"/>
        </w:rPr>
        <w:t xml:space="preserve">) define a </w:t>
      </w:r>
      <w:r w:rsidRPr="008358CC">
        <w:rPr>
          <w:rFonts w:ascii="Arial" w:hAnsi="Arial" w:cs="Arial"/>
          <w:b w:val="0"/>
          <w:i/>
          <w:sz w:val="24"/>
          <w:szCs w:val="24"/>
        </w:rPr>
        <w:t>ϕ</w:t>
      </w:r>
      <w:r w:rsidRPr="008358CC">
        <w:rPr>
          <w:rFonts w:ascii="Arial" w:hAnsi="Arial" w:cs="Arial"/>
          <w:b w:val="0"/>
          <w:i/>
          <w:sz w:val="24"/>
          <w:szCs w:val="24"/>
          <w:vertAlign w:val="superscript"/>
        </w:rPr>
        <w:t>0</w:t>
      </w:r>
      <w:r w:rsidRPr="008358CC">
        <w:rPr>
          <w:rFonts w:ascii="Arial" w:hAnsi="Arial" w:cs="Arial"/>
          <w:b w:val="0"/>
          <w:sz w:val="24"/>
          <w:szCs w:val="24"/>
        </w:rPr>
        <w:t>(</w:t>
      </w:r>
      <w:r w:rsidRPr="008358CC">
        <w:rPr>
          <w:rFonts w:ascii="Arial" w:hAnsi="Arial" w:cs="Arial"/>
          <w:sz w:val="24"/>
          <w:szCs w:val="24"/>
        </w:rPr>
        <w:t>r</w:t>
      </w:r>
      <w:r w:rsidRPr="008358CC">
        <w:rPr>
          <w:rFonts w:ascii="Arial" w:hAnsi="Arial" w:cs="Arial"/>
          <w:b w:val="0"/>
          <w:sz w:val="24"/>
          <w:szCs w:val="24"/>
        </w:rPr>
        <w:t>)</w:t>
      </w:r>
      <w:r w:rsidRPr="008358CC">
        <w:rPr>
          <w:rFonts w:ascii="Arial" w:hAnsi="Arial" w:cs="Arial" w:hint="eastAsia"/>
          <w:b w:val="0"/>
          <w:sz w:val="24"/>
          <w:szCs w:val="24"/>
        </w:rPr>
        <w:t xml:space="preserve"> co</w:t>
      </w:r>
      <w:r w:rsidRPr="008358CC">
        <w:rPr>
          <w:rFonts w:ascii="Arial" w:hAnsi="Arial" w:cs="Arial"/>
          <w:b w:val="0"/>
          <w:sz w:val="24"/>
          <w:szCs w:val="24"/>
        </w:rPr>
        <w:t xml:space="preserve">mo la distribución espacial del contaminante al tiempo </w:t>
      </w:r>
      <w:r w:rsidRPr="008358CC">
        <w:rPr>
          <w:rFonts w:ascii="Arial" w:hAnsi="Arial" w:cs="Arial"/>
          <w:b w:val="0"/>
          <w:i/>
          <w:sz w:val="24"/>
          <w:szCs w:val="24"/>
        </w:rPr>
        <w:t xml:space="preserve">t = </w:t>
      </w:r>
      <w:r w:rsidRPr="008358CC">
        <w:rPr>
          <w:rFonts w:ascii="Arial" w:hAnsi="Arial" w:cs="Arial"/>
          <w:b w:val="0"/>
          <w:sz w:val="24"/>
          <w:szCs w:val="24"/>
        </w:rPr>
        <w:t>0</w:t>
      </w:r>
      <w:r w:rsidRPr="008358CC">
        <w:rPr>
          <w:rFonts w:ascii="Arial" w:hAnsi="Arial" w:cs="Arial" w:hint="eastAsia"/>
          <w:b w:val="0"/>
          <w:sz w:val="24"/>
          <w:szCs w:val="24"/>
        </w:rPr>
        <w:t xml:space="preserve"> sobre </w:t>
      </w:r>
      <w:r w:rsidRPr="008358CC">
        <w:rPr>
          <w:rFonts w:ascii="Arial" w:hAnsi="Arial" w:cs="Arial"/>
          <w:sz w:val="24"/>
          <w:szCs w:val="24"/>
          <w:lang w:val="es-MX"/>
        </w:rPr>
        <w:t>D</w:t>
      </w:r>
      <w:r w:rsidRPr="008358CC">
        <w:rPr>
          <w:rFonts w:ascii="Arial" w:hAnsi="Arial" w:cs="Arial"/>
          <w:b w:val="0"/>
          <w:sz w:val="24"/>
          <w:szCs w:val="24"/>
        </w:rPr>
        <w:t xml:space="preserve">. </w:t>
      </w:r>
      <w:r w:rsidRPr="008358CC">
        <w:rPr>
          <w:rFonts w:ascii="Arial" w:hAnsi="Arial" w:cs="Arial" w:hint="eastAsia"/>
          <w:b w:val="0"/>
          <w:sz w:val="24"/>
          <w:szCs w:val="24"/>
        </w:rPr>
        <w:t>La frontera</w:t>
      </w:r>
      <w:r w:rsidRPr="008358CC">
        <w:rPr>
          <w:rFonts w:ascii="Arial" w:hAnsi="Arial" w:cs="Arial"/>
          <w:b w:val="0"/>
          <w:sz w:val="24"/>
          <w:szCs w:val="24"/>
        </w:rPr>
        <w:t xml:space="preserve"> </w:t>
      </w:r>
      <w:r w:rsidRPr="008358CC">
        <w:rPr>
          <w:rFonts w:ascii="Arial" w:hAnsi="Arial" w:cs="Arial" w:hint="eastAsia"/>
          <w:b w:val="0"/>
          <w:sz w:val="24"/>
          <w:szCs w:val="24"/>
        </w:rPr>
        <w:t xml:space="preserve"> </w:t>
      </w:r>
      <w:r w:rsidRPr="008358CC">
        <w:rPr>
          <w:rFonts w:ascii="Arial" w:hAnsi="Arial" w:cs="Arial"/>
          <w:b w:val="0"/>
          <w:sz w:val="24"/>
          <w:szCs w:val="24"/>
          <w:lang w:val="es-MX"/>
        </w:rPr>
        <w:t>∂</w:t>
      </w:r>
      <w:r w:rsidRPr="008358CC">
        <w:rPr>
          <w:rFonts w:ascii="Arial" w:hAnsi="Arial" w:cs="Arial"/>
          <w:sz w:val="24"/>
          <w:szCs w:val="24"/>
          <w:lang w:val="es-MX"/>
        </w:rPr>
        <w:t>D</w:t>
      </w:r>
      <w:r w:rsidRPr="008358CC">
        <w:rPr>
          <w:rFonts w:ascii="Arial" w:hAnsi="Arial" w:cs="Arial"/>
          <w:b w:val="0"/>
          <w:sz w:val="24"/>
          <w:szCs w:val="24"/>
        </w:rPr>
        <w:t xml:space="preserve"> </w:t>
      </w:r>
      <w:r w:rsidRPr="008358CC">
        <w:rPr>
          <w:rFonts w:ascii="Arial" w:hAnsi="Arial" w:cs="Arial" w:hint="eastAsia"/>
          <w:b w:val="0"/>
          <w:sz w:val="24"/>
          <w:szCs w:val="24"/>
        </w:rPr>
        <w:t>se ha dividido en cinc</w:t>
      </w:r>
      <w:r w:rsidRPr="008358CC">
        <w:rPr>
          <w:rFonts w:ascii="Arial" w:hAnsi="Arial" w:cs="Arial"/>
          <w:b w:val="0"/>
          <w:sz w:val="24"/>
          <w:szCs w:val="24"/>
        </w:rPr>
        <w:t xml:space="preserve">o partes: dos para el flujo horizontal, es decir, </w:t>
      </w:r>
      <w:r w:rsidRPr="008358CC">
        <w:rPr>
          <w:rFonts w:ascii="Arial" w:hAnsi="Arial" w:cs="Arial"/>
          <w:b w:val="0"/>
          <w:i/>
          <w:iCs/>
          <w:sz w:val="24"/>
          <w:szCs w:val="24"/>
          <w:lang w:val="es-MX"/>
        </w:rPr>
        <w:t>S</w:t>
      </w:r>
      <w:r w:rsidRPr="008358CC">
        <w:rPr>
          <w:rFonts w:ascii="Arial" w:hAnsi="Arial" w:cs="Arial"/>
          <w:b w:val="0"/>
          <w:i/>
          <w:sz w:val="24"/>
          <w:szCs w:val="24"/>
          <w:vertAlign w:val="superscript"/>
          <w:lang w:val="es-MX"/>
        </w:rPr>
        <w:t>+</w:t>
      </w:r>
      <w:r w:rsidRPr="008358CC">
        <w:rPr>
          <w:rFonts w:ascii="Arial" w:hAnsi="Arial" w:cs="Arial"/>
          <w:b w:val="0"/>
          <w:sz w:val="24"/>
          <w:szCs w:val="24"/>
          <w:lang w:val="es-MX"/>
        </w:rPr>
        <w:t xml:space="preserve"> </w:t>
      </w:r>
      <w:r w:rsidRPr="008358CC">
        <w:rPr>
          <w:rFonts w:ascii="Arial" w:hAnsi="Arial" w:cs="Arial"/>
          <w:b w:val="0"/>
          <w:sz w:val="24"/>
          <w:szCs w:val="24"/>
        </w:rPr>
        <w:t xml:space="preserve">se define como los puntos de </w:t>
      </w:r>
      <w:r w:rsidRPr="008358CC">
        <w:rPr>
          <w:rFonts w:ascii="Arial" w:hAnsi="Arial" w:cs="Arial"/>
          <w:b w:val="0"/>
          <w:i/>
          <w:iCs/>
          <w:sz w:val="24"/>
          <w:szCs w:val="24"/>
          <w:lang w:val="es-MX"/>
        </w:rPr>
        <w:t>S</w:t>
      </w:r>
      <w:r w:rsidRPr="008358CC">
        <w:rPr>
          <w:rFonts w:ascii="Arial" w:hAnsi="Arial" w:cs="Arial"/>
          <w:b w:val="0"/>
          <w:sz w:val="24"/>
          <w:szCs w:val="24"/>
        </w:rPr>
        <w:t xml:space="preserve"> tal que </w:t>
      </w:r>
      <w:r w:rsidRPr="008358CC">
        <w:rPr>
          <w:rFonts w:ascii="Arial" w:hAnsi="Arial" w:cs="Arial"/>
          <w:b w:val="0"/>
          <w:i/>
          <w:sz w:val="24"/>
          <w:szCs w:val="24"/>
          <w:lang w:val="es-MX"/>
        </w:rPr>
        <w:t>U</w:t>
      </w:r>
      <w:r w:rsidRPr="008358CC">
        <w:rPr>
          <w:rFonts w:ascii="Arial" w:hAnsi="Arial" w:cs="Arial"/>
          <w:b w:val="0"/>
          <w:sz w:val="24"/>
          <w:szCs w:val="24"/>
          <w:vertAlign w:val="subscript"/>
          <w:lang w:val="es-MX"/>
        </w:rPr>
        <w:t>n</w:t>
      </w:r>
      <w:r w:rsidRPr="008358CC">
        <w:rPr>
          <w:rFonts w:ascii="Arial" w:hAnsi="Arial" w:cs="Arial"/>
          <w:b w:val="0"/>
          <w:sz w:val="24"/>
          <w:szCs w:val="24"/>
          <w:lang w:val="es-MX"/>
        </w:rPr>
        <w:t xml:space="preserve"> = </w:t>
      </w:r>
      <w:r w:rsidRPr="008358CC">
        <w:rPr>
          <w:rFonts w:ascii="Arial" w:hAnsi="Arial" w:cs="Arial"/>
          <w:sz w:val="24"/>
          <w:szCs w:val="24"/>
          <w:lang w:val="es-MX"/>
        </w:rPr>
        <w:t>U ∙</w:t>
      </w:r>
      <w:r w:rsidRPr="008358CC">
        <w:rPr>
          <w:rFonts w:ascii="Arial" w:hAnsi="Arial" w:cs="Arial"/>
          <w:b w:val="0"/>
          <w:sz w:val="24"/>
          <w:szCs w:val="24"/>
          <w:lang w:val="es-MX"/>
        </w:rPr>
        <w:t xml:space="preserve"> </w:t>
      </w:r>
      <w:r w:rsidRPr="008358CC">
        <w:rPr>
          <w:rFonts w:ascii="Arial" w:hAnsi="Arial" w:cs="Arial"/>
          <w:b w:val="0"/>
          <w:i/>
          <w:sz w:val="24"/>
          <w:szCs w:val="24"/>
          <w:lang w:val="es-MX"/>
        </w:rPr>
        <w:t>n</w:t>
      </w:r>
      <w:r w:rsidRPr="008358CC">
        <w:rPr>
          <w:rFonts w:ascii="Arial" w:hAnsi="Arial" w:cs="Arial"/>
          <w:b w:val="0"/>
          <w:sz w:val="24"/>
          <w:szCs w:val="24"/>
          <w:lang w:val="es-MX"/>
        </w:rPr>
        <w:t>ˉ͐ &gt; 0</w:t>
      </w:r>
      <w:r w:rsidRPr="008358CC">
        <w:rPr>
          <w:rFonts w:ascii="Arial" w:hAnsi="Arial" w:cs="Arial"/>
          <w:b w:val="0"/>
          <w:sz w:val="24"/>
          <w:szCs w:val="24"/>
        </w:rPr>
        <w:t xml:space="preserve">, donde </w:t>
      </w:r>
      <w:r w:rsidRPr="008358CC">
        <w:rPr>
          <w:rFonts w:ascii="Arial" w:hAnsi="Arial" w:cs="Arial"/>
          <w:b w:val="0"/>
          <w:i/>
          <w:sz w:val="24"/>
          <w:szCs w:val="24"/>
          <w:lang w:val="es-MX"/>
        </w:rPr>
        <w:t>n</w:t>
      </w:r>
      <w:r w:rsidRPr="008358CC">
        <w:rPr>
          <w:rFonts w:ascii="Arial" w:hAnsi="Arial" w:cs="Arial"/>
          <w:b w:val="0"/>
          <w:sz w:val="24"/>
          <w:szCs w:val="24"/>
          <w:lang w:val="es-MX"/>
        </w:rPr>
        <w:t>ˉ͐</w:t>
      </w:r>
      <w:r w:rsidRPr="008358CC">
        <w:rPr>
          <w:rFonts w:ascii="Arial" w:hAnsi="Arial" w:cs="Arial"/>
          <w:b w:val="0"/>
          <w:sz w:val="24"/>
          <w:szCs w:val="24"/>
        </w:rPr>
        <w:t xml:space="preserve"> es el vector normal exterior y </w:t>
      </w:r>
      <w:r w:rsidRPr="008358CC">
        <w:rPr>
          <w:rFonts w:ascii="Arial" w:hAnsi="Arial" w:cs="Arial"/>
          <w:b w:val="0"/>
          <w:i/>
          <w:iCs/>
          <w:sz w:val="24"/>
          <w:szCs w:val="24"/>
          <w:lang w:val="es-MX"/>
        </w:rPr>
        <w:t>S</w:t>
      </w:r>
      <w:r w:rsidRPr="008358CC">
        <w:rPr>
          <w:rFonts w:ascii="Arial" w:hAnsi="Arial" w:cs="Arial"/>
          <w:b w:val="0"/>
          <w:sz w:val="24"/>
          <w:szCs w:val="24"/>
          <w:vertAlign w:val="superscript"/>
          <w:lang w:val="es-MX"/>
        </w:rPr>
        <w:t>-</w:t>
      </w:r>
      <w:r w:rsidRPr="008358CC">
        <w:rPr>
          <w:rFonts w:ascii="Arial" w:hAnsi="Arial" w:cs="Arial"/>
          <w:b w:val="0"/>
          <w:sz w:val="24"/>
          <w:szCs w:val="24"/>
        </w:rPr>
        <w:t xml:space="preserve"> se define como el complemento (</w:t>
      </w:r>
      <w:r w:rsidRPr="008358CC">
        <w:rPr>
          <w:rFonts w:ascii="Arial" w:hAnsi="Arial" w:cs="Arial"/>
          <w:b w:val="0"/>
          <w:i/>
          <w:sz w:val="24"/>
          <w:szCs w:val="24"/>
          <w:lang w:val="es-MX"/>
        </w:rPr>
        <w:t>U</w:t>
      </w:r>
      <w:r w:rsidRPr="008358CC">
        <w:rPr>
          <w:rFonts w:ascii="Arial" w:hAnsi="Arial" w:cs="Arial"/>
          <w:b w:val="0"/>
          <w:sz w:val="24"/>
          <w:szCs w:val="24"/>
          <w:vertAlign w:val="subscript"/>
          <w:lang w:val="es-MX"/>
        </w:rPr>
        <w:t>n</w:t>
      </w:r>
      <w:r w:rsidRPr="008358CC">
        <w:rPr>
          <w:rFonts w:ascii="Arial" w:hAnsi="Arial" w:cs="Arial"/>
          <w:b w:val="0"/>
          <w:sz w:val="24"/>
          <w:szCs w:val="24"/>
          <w:lang w:val="es-MX"/>
        </w:rPr>
        <w:t xml:space="preserve"> = </w:t>
      </w:r>
      <w:r w:rsidRPr="008358CC">
        <w:rPr>
          <w:rFonts w:ascii="Arial" w:hAnsi="Arial" w:cs="Arial"/>
          <w:sz w:val="24"/>
          <w:szCs w:val="24"/>
          <w:lang w:val="es-MX"/>
        </w:rPr>
        <w:t>U ∙</w:t>
      </w:r>
      <w:r w:rsidRPr="008358CC">
        <w:rPr>
          <w:rFonts w:ascii="Arial" w:hAnsi="Arial" w:cs="Arial"/>
          <w:b w:val="0"/>
          <w:sz w:val="24"/>
          <w:szCs w:val="24"/>
          <w:lang w:val="es-MX"/>
        </w:rPr>
        <w:t xml:space="preserve"> </w:t>
      </w:r>
      <w:r w:rsidRPr="008358CC">
        <w:rPr>
          <w:rFonts w:ascii="Arial" w:hAnsi="Arial" w:cs="Arial"/>
          <w:b w:val="0"/>
          <w:i/>
          <w:sz w:val="24"/>
          <w:szCs w:val="24"/>
          <w:lang w:val="es-MX"/>
        </w:rPr>
        <w:t>n</w:t>
      </w:r>
      <w:r w:rsidRPr="008358CC">
        <w:rPr>
          <w:rFonts w:ascii="Arial" w:hAnsi="Arial" w:cs="Arial"/>
          <w:b w:val="0"/>
          <w:sz w:val="24"/>
          <w:szCs w:val="24"/>
          <w:lang w:val="es-MX"/>
        </w:rPr>
        <w:t>ˉ͐ ≤ 0</w:t>
      </w:r>
      <w:r w:rsidRPr="008358CC">
        <w:rPr>
          <w:rFonts w:ascii="Arial" w:hAnsi="Arial" w:cs="Arial"/>
          <w:b w:val="0"/>
          <w:sz w:val="24"/>
          <w:szCs w:val="24"/>
        </w:rPr>
        <w:t xml:space="preserve">); dos secciones para la frontera superior: </w:t>
      </w:r>
      <w:r w:rsidRPr="008358CC">
        <w:rPr>
          <w:rFonts w:ascii="Arial" w:hAnsi="Arial" w:cs="Arial"/>
          <w:b w:val="0"/>
          <w:i/>
          <w:iCs/>
          <w:sz w:val="24"/>
          <w:szCs w:val="24"/>
          <w:lang w:val="es-MX"/>
        </w:rPr>
        <w:t>S</w:t>
      </w:r>
      <w:r w:rsidRPr="008358CC">
        <w:rPr>
          <w:rFonts w:ascii="Arial" w:hAnsi="Arial" w:cs="Arial"/>
          <w:b w:val="0"/>
          <w:i/>
          <w:iCs/>
          <w:sz w:val="24"/>
          <w:szCs w:val="24"/>
          <w:vertAlign w:val="superscript"/>
          <w:lang w:val="es-MX"/>
        </w:rPr>
        <w:t>-</w:t>
      </w:r>
      <w:r w:rsidRPr="008358CC">
        <w:rPr>
          <w:rFonts w:ascii="Arial" w:hAnsi="Arial" w:cs="Arial"/>
          <w:b w:val="0"/>
          <w:i/>
          <w:iCs/>
          <w:sz w:val="24"/>
          <w:szCs w:val="24"/>
          <w:vertAlign w:val="subscript"/>
          <w:lang w:val="es-MX"/>
        </w:rPr>
        <w:t>H</w:t>
      </w:r>
      <w:r w:rsidRPr="008358CC">
        <w:rPr>
          <w:rFonts w:ascii="Arial" w:hAnsi="Arial" w:cs="Arial"/>
          <w:b w:val="0"/>
          <w:sz w:val="24"/>
          <w:szCs w:val="24"/>
        </w:rPr>
        <w:t xml:space="preserve"> es la frontera donde la sedimentación es el resultado de la difusión menos la advección y, </w:t>
      </w:r>
      <w:r w:rsidRPr="008358CC">
        <w:rPr>
          <w:rFonts w:ascii="Arial" w:hAnsi="Arial" w:cs="Arial"/>
          <w:b w:val="0"/>
          <w:i/>
          <w:iCs/>
          <w:sz w:val="24"/>
          <w:szCs w:val="24"/>
          <w:lang w:val="es-MX"/>
        </w:rPr>
        <w:t>S</w:t>
      </w:r>
      <w:r w:rsidRPr="008358CC">
        <w:rPr>
          <w:rFonts w:ascii="Arial" w:hAnsi="Arial" w:cs="Arial"/>
          <w:b w:val="0"/>
          <w:i/>
          <w:iCs/>
          <w:sz w:val="24"/>
          <w:szCs w:val="24"/>
          <w:vertAlign w:val="superscript"/>
          <w:lang w:val="es-MX"/>
        </w:rPr>
        <w:t>+</w:t>
      </w:r>
      <w:r w:rsidRPr="008358CC">
        <w:rPr>
          <w:rFonts w:ascii="Arial" w:hAnsi="Arial" w:cs="Arial"/>
          <w:b w:val="0"/>
          <w:i/>
          <w:iCs/>
          <w:sz w:val="24"/>
          <w:szCs w:val="24"/>
          <w:vertAlign w:val="subscript"/>
          <w:lang w:val="es-MX"/>
        </w:rPr>
        <w:t>H</w:t>
      </w:r>
      <w:r w:rsidRPr="008358CC">
        <w:rPr>
          <w:rFonts w:ascii="Arial" w:hAnsi="Arial" w:cs="Arial"/>
          <w:b w:val="0"/>
          <w:sz w:val="24"/>
          <w:szCs w:val="24"/>
        </w:rPr>
        <w:t xml:space="preserve"> implica que la sedimentación es igual a la difusión (ecuación 4); en la frontera inferior </w:t>
      </w:r>
      <w:r w:rsidRPr="008358CC">
        <w:rPr>
          <w:rFonts w:ascii="Arial" w:hAnsi="Arial" w:cs="Arial"/>
          <w:b w:val="0"/>
          <w:i/>
          <w:iCs/>
          <w:sz w:val="24"/>
          <w:szCs w:val="24"/>
          <w:lang w:val="es-MX"/>
        </w:rPr>
        <w:t>S</w:t>
      </w:r>
      <w:r w:rsidRPr="008358CC">
        <w:rPr>
          <w:rFonts w:ascii="Arial" w:hAnsi="Arial" w:cs="Arial"/>
          <w:b w:val="0"/>
          <w:i/>
          <w:iCs/>
          <w:sz w:val="24"/>
          <w:szCs w:val="24"/>
          <w:vertAlign w:val="subscript"/>
          <w:lang w:val="es-MX"/>
        </w:rPr>
        <w:t>0</w:t>
      </w:r>
      <w:r w:rsidRPr="008358CC">
        <w:rPr>
          <w:rFonts w:ascii="Arial" w:hAnsi="Arial" w:cs="Arial"/>
          <w:b w:val="0"/>
          <w:sz w:val="24"/>
          <w:szCs w:val="24"/>
        </w:rPr>
        <w:t>, se tiene que la difusión es cero debido a que el flujo es tangente a la superficie irregular (ecuación 6). Por último, s</w:t>
      </w:r>
      <w:r w:rsidRPr="008358CC">
        <w:rPr>
          <w:rFonts w:ascii="Arial" w:hAnsi="Arial" w:cs="Arial" w:hint="eastAsia"/>
          <w:b w:val="0"/>
          <w:sz w:val="24"/>
          <w:szCs w:val="24"/>
        </w:rPr>
        <w:t>e asume que</w:t>
      </w:r>
      <w:r w:rsidRPr="008358CC">
        <w:rPr>
          <w:rFonts w:ascii="Arial" w:hAnsi="Arial" w:cs="Arial"/>
          <w:b w:val="0"/>
          <w:sz w:val="24"/>
          <w:szCs w:val="24"/>
        </w:rPr>
        <w:t xml:space="preserve"> el forzamiento en (1),</w:t>
      </w:r>
    </w:p>
    <w:p w:rsidR="00212B85" w:rsidRPr="008358CC" w:rsidRDefault="00212B85" w:rsidP="00212B85">
      <w:pPr>
        <w:pStyle w:val="BodyMath"/>
        <w:ind w:left="708" w:hanging="708"/>
        <w:jc w:val="right"/>
        <w:rPr>
          <w:rFonts w:ascii="Arial" w:hAnsi="Arial" w:cs="Arial"/>
        </w:rPr>
      </w:pPr>
      <w:r w:rsidRPr="008358CC">
        <w:rPr>
          <w:rFonts w:ascii="Arial" w:hAnsi="Arial" w:cs="Arial"/>
          <w:position w:val="-28"/>
          <w:lang w:val="en-GB"/>
        </w:rPr>
        <w:object w:dxaOrig="1640" w:dyaOrig="680">
          <v:shape id="_x0000_i1032" type="#_x0000_t75" style="width:81.75pt;height:33.75pt" o:ole="">
            <v:imagedata r:id="rId47" o:title=""/>
          </v:shape>
          <o:OLEObject Type="Embed" ProgID="Equation.DSMT4" ShapeID="_x0000_i1032" DrawAspect="Content" ObjectID="_1660649129" r:id="rId48"/>
        </w:object>
      </w:r>
      <w:r w:rsidRPr="008358CC">
        <w:rPr>
          <w:rFonts w:ascii="Arial" w:hAnsi="Arial" w:cs="Arial"/>
        </w:rPr>
        <w:t xml:space="preserve">                                                            (8)</w:t>
      </w:r>
    </w:p>
    <w:p w:rsidR="00212B85" w:rsidRPr="008358CC" w:rsidRDefault="00212B85" w:rsidP="00212B85">
      <w:pPr>
        <w:pStyle w:val="Textoindependiente"/>
        <w:jc w:val="both"/>
        <w:rPr>
          <w:rFonts w:ascii="Arial" w:hAnsi="Arial" w:cs="Arial"/>
          <w:b w:val="0"/>
          <w:sz w:val="24"/>
          <w:szCs w:val="24"/>
        </w:rPr>
      </w:pPr>
    </w:p>
    <w:p w:rsidR="00212B85" w:rsidRPr="008358CC" w:rsidRDefault="00212B85" w:rsidP="00212B85">
      <w:pPr>
        <w:pStyle w:val="Textoindependiente"/>
        <w:jc w:val="both"/>
        <w:rPr>
          <w:rFonts w:ascii="Arial" w:hAnsi="Arial" w:cs="Arial"/>
          <w:b w:val="0"/>
          <w:sz w:val="24"/>
          <w:szCs w:val="24"/>
          <w:lang w:val="es-MX"/>
        </w:rPr>
      </w:pPr>
      <w:r w:rsidRPr="008358CC">
        <w:rPr>
          <w:rFonts w:ascii="Arial" w:hAnsi="Arial" w:cs="Arial"/>
          <w:b w:val="0"/>
          <w:sz w:val="24"/>
          <w:szCs w:val="24"/>
        </w:rPr>
        <w:t xml:space="preserve">está formado por fuentes de emisión puntuales, de línea o área </w:t>
      </w:r>
      <w:r w:rsidRPr="008358CC">
        <w:rPr>
          <w:rFonts w:ascii="Arial" w:hAnsi="Arial" w:cs="Arial"/>
          <w:b w:val="0"/>
          <w:i/>
          <w:sz w:val="24"/>
          <w:szCs w:val="24"/>
          <w:lang w:val="es-MX"/>
        </w:rPr>
        <w:t>f</w:t>
      </w:r>
      <w:r w:rsidRPr="008358CC">
        <w:rPr>
          <w:rFonts w:ascii="Arial" w:hAnsi="Arial" w:cs="Arial"/>
          <w:b w:val="0"/>
          <w:i/>
          <w:sz w:val="24"/>
          <w:szCs w:val="24"/>
          <w:vertAlign w:val="subscript"/>
          <w:lang w:val="es-MX"/>
        </w:rPr>
        <w:t>i</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i/>
          <w:sz w:val="24"/>
          <w:szCs w:val="24"/>
          <w:lang w:val="es-MX"/>
        </w:rPr>
        <w:t>,t</w:t>
      </w:r>
      <w:r w:rsidRPr="008358CC">
        <w:rPr>
          <w:rFonts w:ascii="Arial" w:hAnsi="Arial" w:cs="Arial"/>
          <w:b w:val="0"/>
          <w:sz w:val="24"/>
          <w:szCs w:val="24"/>
          <w:lang w:val="es-MX"/>
        </w:rPr>
        <w:t>)</w:t>
      </w:r>
      <w:r w:rsidRPr="008358CC">
        <w:rPr>
          <w:rFonts w:ascii="Arial" w:hAnsi="Arial" w:cs="Arial"/>
          <w:b w:val="0"/>
          <w:sz w:val="24"/>
          <w:szCs w:val="24"/>
        </w:rPr>
        <w:t xml:space="preserve"> </w:t>
      </w:r>
      <w:r w:rsidRPr="008358CC">
        <w:rPr>
          <w:rFonts w:ascii="Arial" w:hAnsi="Arial" w:cs="Arial"/>
          <w:b w:val="0"/>
          <w:sz w:val="24"/>
          <w:szCs w:val="24"/>
          <w:vertAlign w:val="superscript"/>
        </w:rPr>
        <w:t>[2]</w:t>
      </w:r>
      <w:r w:rsidRPr="008358CC">
        <w:rPr>
          <w:rFonts w:ascii="Arial" w:hAnsi="Arial" w:cs="Arial"/>
          <w:b w:val="0"/>
          <w:sz w:val="24"/>
          <w:szCs w:val="24"/>
        </w:rPr>
        <w:t xml:space="preserve">. En particular, cuando una fuente es puntual, </w:t>
      </w:r>
      <w:r w:rsidRPr="008358CC">
        <w:rPr>
          <w:rFonts w:ascii="Arial" w:hAnsi="Arial" w:cs="Arial"/>
          <w:b w:val="0"/>
          <w:i/>
          <w:sz w:val="24"/>
          <w:szCs w:val="24"/>
          <w:lang w:val="es-MX"/>
        </w:rPr>
        <w:t>f</w:t>
      </w:r>
      <w:r w:rsidRPr="008358CC">
        <w:rPr>
          <w:rFonts w:ascii="Arial" w:hAnsi="Arial" w:cs="Arial"/>
          <w:b w:val="0"/>
          <w:i/>
          <w:sz w:val="24"/>
          <w:szCs w:val="24"/>
          <w:vertAlign w:val="subscript"/>
          <w:lang w:val="es-MX"/>
        </w:rPr>
        <w:t>j</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i/>
          <w:sz w:val="24"/>
          <w:szCs w:val="24"/>
          <w:lang w:val="es-MX"/>
        </w:rPr>
        <w:t>,t</w:t>
      </w:r>
      <w:r w:rsidRPr="008358CC">
        <w:rPr>
          <w:rFonts w:ascii="Arial" w:hAnsi="Arial" w:cs="Arial"/>
          <w:b w:val="0"/>
          <w:sz w:val="24"/>
          <w:szCs w:val="24"/>
          <w:lang w:val="es-MX"/>
        </w:rPr>
        <w:t xml:space="preserve">) = </w:t>
      </w:r>
      <w:r w:rsidRPr="008358CC">
        <w:rPr>
          <w:rFonts w:ascii="Arial" w:hAnsi="Arial" w:cs="Arial"/>
          <w:b w:val="0"/>
          <w:i/>
          <w:sz w:val="24"/>
          <w:szCs w:val="24"/>
          <w:lang w:val="es-MX"/>
        </w:rPr>
        <w:t>Q</w:t>
      </w:r>
      <w:r w:rsidRPr="008358CC">
        <w:rPr>
          <w:rFonts w:ascii="Arial" w:hAnsi="Arial" w:cs="Arial"/>
          <w:b w:val="0"/>
          <w:i/>
          <w:sz w:val="24"/>
          <w:szCs w:val="24"/>
          <w:vertAlign w:val="subscript"/>
          <w:lang w:val="es-MX"/>
        </w:rPr>
        <w:t>j</w:t>
      </w:r>
      <w:r w:rsidRPr="008358CC">
        <w:rPr>
          <w:rFonts w:ascii="Arial" w:hAnsi="Arial" w:cs="Arial"/>
          <w:b w:val="0"/>
          <w:sz w:val="24"/>
          <w:szCs w:val="24"/>
          <w:lang w:val="es-MX"/>
        </w:rPr>
        <w:t>(</w:t>
      </w:r>
      <w:r w:rsidRPr="008358CC">
        <w:rPr>
          <w:rFonts w:ascii="Arial" w:hAnsi="Arial" w:cs="Arial"/>
          <w:b w:val="0"/>
          <w:i/>
          <w:sz w:val="24"/>
          <w:szCs w:val="24"/>
          <w:lang w:val="es-MX"/>
        </w:rPr>
        <w:t>t</w:t>
      </w:r>
      <w:r w:rsidRPr="008358CC">
        <w:rPr>
          <w:rFonts w:ascii="Arial" w:hAnsi="Arial" w:cs="Arial"/>
          <w:b w:val="0"/>
          <w:sz w:val="24"/>
          <w:szCs w:val="24"/>
          <w:lang w:val="es-MX"/>
        </w:rPr>
        <w:t xml:space="preserve">) </w:t>
      </w:r>
      <w:r w:rsidRPr="008358CC">
        <w:rPr>
          <w:rFonts w:ascii="Arial" w:hAnsi="Arial" w:cs="Arial"/>
          <w:b w:val="0"/>
          <w:i/>
          <w:sz w:val="24"/>
          <w:szCs w:val="24"/>
          <w:lang w:val="en-US"/>
        </w:rPr>
        <w:t>δ</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i/>
          <w:sz w:val="24"/>
          <w:szCs w:val="24"/>
          <w:lang w:val="es-MX"/>
        </w:rPr>
        <w:t>-</w:t>
      </w:r>
      <w:r w:rsidRPr="008358CC">
        <w:rPr>
          <w:rFonts w:ascii="Arial" w:hAnsi="Arial" w:cs="Arial"/>
          <w:sz w:val="24"/>
          <w:szCs w:val="24"/>
          <w:lang w:val="es-MX"/>
        </w:rPr>
        <w:t>r</w:t>
      </w:r>
      <w:r w:rsidRPr="008358CC">
        <w:rPr>
          <w:rFonts w:ascii="Arial" w:hAnsi="Arial" w:cs="Arial"/>
          <w:b w:val="0"/>
          <w:i/>
          <w:sz w:val="24"/>
          <w:szCs w:val="24"/>
          <w:vertAlign w:val="subscript"/>
          <w:lang w:val="es-MX"/>
        </w:rPr>
        <w:t>j</w:t>
      </w:r>
      <w:r w:rsidRPr="008358CC">
        <w:rPr>
          <w:rFonts w:ascii="Arial" w:hAnsi="Arial" w:cs="Arial"/>
          <w:b w:val="0"/>
          <w:sz w:val="24"/>
          <w:szCs w:val="24"/>
          <w:lang w:val="es-MX"/>
        </w:rPr>
        <w:t>)</w:t>
      </w:r>
      <w:r w:rsidRPr="008358CC">
        <w:rPr>
          <w:rFonts w:ascii="Arial" w:hAnsi="Arial" w:cs="Arial"/>
          <w:b w:val="0"/>
          <w:sz w:val="24"/>
          <w:szCs w:val="24"/>
        </w:rPr>
        <w:t xml:space="preserve">, donde la función delta es la medida de Dirac si </w:t>
      </w:r>
      <w:r w:rsidRPr="008358CC">
        <w:rPr>
          <w:rFonts w:ascii="Arial" w:hAnsi="Arial" w:cs="Arial"/>
          <w:b w:val="0"/>
          <w:i/>
          <w:sz w:val="24"/>
          <w:szCs w:val="24"/>
          <w:lang w:val="en-US"/>
        </w:rPr>
        <w:t>δ</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i/>
          <w:sz w:val="24"/>
          <w:szCs w:val="24"/>
          <w:lang w:val="es-MX"/>
        </w:rPr>
        <w:t>-</w:t>
      </w:r>
      <w:r w:rsidRPr="008358CC">
        <w:rPr>
          <w:rFonts w:ascii="Arial" w:hAnsi="Arial" w:cs="Arial"/>
          <w:sz w:val="24"/>
          <w:szCs w:val="24"/>
          <w:lang w:val="es-MX"/>
        </w:rPr>
        <w:t>r</w:t>
      </w:r>
      <w:r w:rsidRPr="008358CC">
        <w:rPr>
          <w:rFonts w:ascii="Arial" w:hAnsi="Arial" w:cs="Arial"/>
          <w:b w:val="0"/>
          <w:i/>
          <w:sz w:val="24"/>
          <w:szCs w:val="24"/>
          <w:vertAlign w:val="subscript"/>
          <w:lang w:val="es-MX"/>
        </w:rPr>
        <w:t>j</w:t>
      </w:r>
      <w:r w:rsidRPr="008358CC">
        <w:rPr>
          <w:rFonts w:ascii="Arial" w:hAnsi="Arial" w:cs="Arial"/>
          <w:b w:val="0"/>
          <w:sz w:val="24"/>
          <w:szCs w:val="24"/>
          <w:lang w:val="es-MX"/>
        </w:rPr>
        <w:t xml:space="preserve">)=1 cuando </w:t>
      </w:r>
      <w:r w:rsidRPr="008358CC">
        <w:rPr>
          <w:rFonts w:ascii="Arial" w:hAnsi="Arial" w:cs="Arial"/>
          <w:sz w:val="24"/>
          <w:szCs w:val="24"/>
          <w:lang w:val="es-MX"/>
        </w:rPr>
        <w:t>r</w:t>
      </w:r>
      <w:r w:rsidRPr="008358CC">
        <w:rPr>
          <w:rFonts w:ascii="Arial" w:hAnsi="Arial" w:cs="Arial"/>
          <w:b w:val="0"/>
          <w:i/>
          <w:sz w:val="24"/>
          <w:szCs w:val="24"/>
          <w:lang w:val="es-MX"/>
        </w:rPr>
        <w:t>=</w:t>
      </w:r>
      <w:r w:rsidRPr="008358CC">
        <w:rPr>
          <w:rFonts w:ascii="Arial" w:hAnsi="Arial" w:cs="Arial"/>
          <w:sz w:val="24"/>
          <w:szCs w:val="24"/>
          <w:lang w:val="es-MX"/>
        </w:rPr>
        <w:t>r</w:t>
      </w:r>
      <w:r w:rsidRPr="008358CC">
        <w:rPr>
          <w:rFonts w:ascii="Arial" w:hAnsi="Arial" w:cs="Arial"/>
          <w:b w:val="0"/>
          <w:i/>
          <w:sz w:val="24"/>
          <w:szCs w:val="24"/>
          <w:vertAlign w:val="subscript"/>
          <w:lang w:val="es-MX"/>
        </w:rPr>
        <w:t>j</w:t>
      </w:r>
      <w:r w:rsidRPr="008358CC">
        <w:rPr>
          <w:rFonts w:ascii="Arial" w:hAnsi="Arial" w:cs="Arial"/>
          <w:b w:val="0"/>
          <w:sz w:val="24"/>
          <w:szCs w:val="24"/>
        </w:rPr>
        <w:t xml:space="preserve"> e indica el punto de emisión </w:t>
      </w:r>
      <w:r w:rsidRPr="008358CC">
        <w:rPr>
          <w:rFonts w:ascii="Arial" w:hAnsi="Arial" w:cs="Arial"/>
          <w:sz w:val="24"/>
          <w:szCs w:val="24"/>
          <w:lang w:val="es-MX"/>
        </w:rPr>
        <w:t>r</w:t>
      </w:r>
      <w:r w:rsidRPr="008358CC">
        <w:rPr>
          <w:rFonts w:ascii="Arial" w:hAnsi="Arial" w:cs="Arial"/>
          <w:b w:val="0"/>
          <w:i/>
          <w:sz w:val="24"/>
          <w:szCs w:val="24"/>
          <w:vertAlign w:val="subscript"/>
          <w:lang w:val="es-MX"/>
        </w:rPr>
        <w:t>j</w:t>
      </w:r>
      <w:r w:rsidRPr="008358CC">
        <w:rPr>
          <w:rFonts w:ascii="Arial" w:hAnsi="Arial" w:cs="Arial"/>
          <w:b w:val="0"/>
          <w:sz w:val="24"/>
          <w:szCs w:val="24"/>
        </w:rPr>
        <w:t xml:space="preserve"> de la fuente contaminante, mientras que </w:t>
      </w:r>
      <w:r w:rsidRPr="008358CC">
        <w:rPr>
          <w:rFonts w:ascii="Arial" w:hAnsi="Arial" w:cs="Arial"/>
          <w:b w:val="0"/>
          <w:i/>
          <w:sz w:val="24"/>
          <w:szCs w:val="24"/>
          <w:lang w:val="es-MX"/>
        </w:rPr>
        <w:t>Q</w:t>
      </w:r>
      <w:r w:rsidRPr="008358CC">
        <w:rPr>
          <w:rFonts w:ascii="Arial" w:hAnsi="Arial" w:cs="Arial"/>
          <w:b w:val="0"/>
          <w:i/>
          <w:sz w:val="24"/>
          <w:szCs w:val="24"/>
          <w:vertAlign w:val="subscript"/>
          <w:lang w:val="es-MX"/>
        </w:rPr>
        <w:t>j</w:t>
      </w:r>
      <w:r w:rsidRPr="008358CC">
        <w:rPr>
          <w:rFonts w:ascii="Arial" w:hAnsi="Arial" w:cs="Arial"/>
          <w:b w:val="0"/>
          <w:sz w:val="24"/>
          <w:szCs w:val="24"/>
          <w:lang w:val="es-MX"/>
        </w:rPr>
        <w:t>(</w:t>
      </w:r>
      <w:r w:rsidRPr="008358CC">
        <w:rPr>
          <w:rFonts w:ascii="Arial" w:hAnsi="Arial" w:cs="Arial"/>
          <w:b w:val="0"/>
          <w:i/>
          <w:sz w:val="24"/>
          <w:szCs w:val="24"/>
          <w:lang w:val="es-MX"/>
        </w:rPr>
        <w:t>t</w:t>
      </w:r>
      <w:r w:rsidRPr="008358CC">
        <w:rPr>
          <w:rFonts w:ascii="Arial" w:hAnsi="Arial" w:cs="Arial"/>
          <w:b w:val="0"/>
          <w:sz w:val="24"/>
          <w:szCs w:val="24"/>
          <w:lang w:val="es-MX"/>
        </w:rPr>
        <w:t>)</w:t>
      </w:r>
      <w:r w:rsidRPr="008358CC">
        <w:rPr>
          <w:rFonts w:ascii="Arial" w:hAnsi="Arial" w:cs="Arial"/>
          <w:b w:val="0"/>
          <w:bCs w:val="0"/>
          <w:sz w:val="24"/>
          <w:szCs w:val="24"/>
          <w:lang w:val="es-MX"/>
        </w:rPr>
        <w:t xml:space="preserve"> denota </w:t>
      </w:r>
      <w:r w:rsidRPr="008358CC">
        <w:rPr>
          <w:rFonts w:ascii="Arial" w:hAnsi="Arial" w:cs="Arial"/>
          <w:b w:val="0"/>
          <w:sz w:val="24"/>
          <w:szCs w:val="24"/>
        </w:rPr>
        <w:t xml:space="preserve">la tasa de emisión respectiva. </w:t>
      </w:r>
    </w:p>
    <w:p w:rsidR="00212B85" w:rsidRPr="008358CC" w:rsidRDefault="00212B85" w:rsidP="00212B85">
      <w:pPr>
        <w:pStyle w:val="Textoindependiente"/>
        <w:ind w:firstLine="567"/>
        <w:jc w:val="both"/>
        <w:rPr>
          <w:rFonts w:ascii="Arial" w:hAnsi="Arial" w:cs="Arial"/>
          <w:b w:val="0"/>
          <w:sz w:val="24"/>
          <w:szCs w:val="24"/>
        </w:rPr>
      </w:pPr>
      <w:r w:rsidRPr="008358CC">
        <w:rPr>
          <w:rFonts w:ascii="Arial" w:hAnsi="Arial" w:cs="Arial"/>
          <w:b w:val="0"/>
          <w:sz w:val="24"/>
          <w:szCs w:val="24"/>
        </w:rPr>
        <w:t>Las condiciones de frontera (4)-(6) hacen del modelo de dispersión un problema bien formulado en el sentido de Hadamard, es decir, la solución de dicho problema es única y estable respecto de pequeñas perturbaciones en las condiciones iniciales y del for</w:t>
      </w:r>
      <w:r w:rsidRPr="008358CC">
        <w:rPr>
          <w:rFonts w:ascii="Arial" w:hAnsi="Arial" w:cs="Arial" w:hint="eastAsia"/>
          <w:b w:val="0"/>
          <w:sz w:val="24"/>
          <w:szCs w:val="24"/>
        </w:rPr>
        <w:t xml:space="preserve">zamiento.  Este resultado es consecuencia de que el operador </w:t>
      </w:r>
      <w:r w:rsidRPr="008358CC">
        <w:rPr>
          <w:rFonts w:ascii="Arial" w:hAnsi="Arial" w:cs="Arial"/>
          <w:b w:val="0"/>
          <w:i/>
          <w:sz w:val="24"/>
          <w:szCs w:val="24"/>
          <w:lang w:val="es-MX"/>
        </w:rPr>
        <w:t>A</w:t>
      </w:r>
      <w:r w:rsidRPr="008358CC">
        <w:rPr>
          <w:rFonts w:ascii="Arial" w:hAnsi="Arial" w:cs="Arial" w:hint="eastAsia"/>
          <w:b w:val="0"/>
          <w:sz w:val="24"/>
          <w:szCs w:val="24"/>
        </w:rPr>
        <w:t xml:space="preserve"> en la ecuación (</w:t>
      </w:r>
      <w:r w:rsidRPr="008358CC">
        <w:rPr>
          <w:rFonts w:ascii="Arial" w:hAnsi="Arial" w:cs="Arial"/>
          <w:b w:val="0"/>
          <w:sz w:val="24"/>
          <w:szCs w:val="24"/>
        </w:rPr>
        <w:t>1</w:t>
      </w:r>
      <w:r w:rsidRPr="008358CC">
        <w:rPr>
          <w:rFonts w:ascii="Arial" w:hAnsi="Arial" w:cs="Arial" w:hint="eastAsia"/>
          <w:b w:val="0"/>
          <w:sz w:val="24"/>
          <w:szCs w:val="24"/>
        </w:rPr>
        <w:t>), es positivo semidefinido</w:t>
      </w:r>
      <w:r w:rsidRPr="008358CC">
        <w:rPr>
          <w:rFonts w:ascii="Arial" w:hAnsi="Arial" w:cs="Arial"/>
          <w:b w:val="0"/>
          <w:sz w:val="24"/>
          <w:szCs w:val="24"/>
        </w:rPr>
        <w:t xml:space="preserve"> </w:t>
      </w:r>
      <w:r w:rsidRPr="008358CC">
        <w:rPr>
          <w:rFonts w:ascii="Arial" w:hAnsi="Arial" w:cs="Arial"/>
          <w:b w:val="0"/>
          <w:sz w:val="24"/>
          <w:szCs w:val="24"/>
          <w:vertAlign w:val="superscript"/>
        </w:rPr>
        <w:t>[5]</w:t>
      </w:r>
      <w:r w:rsidRPr="008358CC">
        <w:rPr>
          <w:rFonts w:ascii="Arial" w:hAnsi="Arial" w:cs="Arial" w:hint="eastAsia"/>
          <w:b w:val="0"/>
          <w:sz w:val="24"/>
          <w:szCs w:val="24"/>
        </w:rPr>
        <w:t xml:space="preserve">: </w:t>
      </w:r>
      <w:r w:rsidRPr="008358CC">
        <w:rPr>
          <w:rFonts w:ascii="Arial" w:hAnsi="Arial" w:cs="Arial"/>
          <w:b w:val="0"/>
          <w:i/>
          <w:sz w:val="24"/>
          <w:szCs w:val="24"/>
          <w:lang w:val="es-MX"/>
        </w:rPr>
        <w:t>(A</w:t>
      </w:r>
      <w:r w:rsidRPr="008358CC">
        <w:rPr>
          <w:rFonts w:ascii="Arial" w:hAnsi="Arial" w:cs="Arial"/>
          <w:b w:val="0"/>
          <w:i/>
          <w:sz w:val="24"/>
          <w:szCs w:val="24"/>
        </w:rPr>
        <w:t>ϕ</w:t>
      </w:r>
      <w:r w:rsidRPr="008358CC">
        <w:rPr>
          <w:rFonts w:ascii="Arial" w:hAnsi="Arial" w:cs="Arial"/>
          <w:b w:val="0"/>
          <w:i/>
          <w:sz w:val="24"/>
          <w:szCs w:val="24"/>
          <w:lang w:val="es-MX"/>
        </w:rPr>
        <w:t>,</w:t>
      </w:r>
      <w:r w:rsidRPr="008358CC">
        <w:rPr>
          <w:rFonts w:ascii="Arial" w:hAnsi="Arial" w:cs="Arial"/>
          <w:b w:val="0"/>
          <w:i/>
          <w:sz w:val="24"/>
          <w:szCs w:val="24"/>
        </w:rPr>
        <w:t>ϕ</w:t>
      </w:r>
      <w:r w:rsidRPr="008358CC">
        <w:rPr>
          <w:rFonts w:ascii="Arial" w:hAnsi="Arial" w:cs="Arial"/>
          <w:b w:val="0"/>
          <w:sz w:val="24"/>
          <w:szCs w:val="24"/>
          <w:lang w:val="es-MX"/>
        </w:rPr>
        <w:t>) ≥ 0</w:t>
      </w:r>
      <w:r w:rsidRPr="008358CC">
        <w:rPr>
          <w:rFonts w:ascii="Arial" w:hAnsi="Arial" w:cs="Arial" w:hint="eastAsia"/>
          <w:b w:val="0"/>
          <w:sz w:val="24"/>
          <w:szCs w:val="24"/>
        </w:rPr>
        <w:t xml:space="preserve">, donde </w:t>
      </w:r>
      <w:r w:rsidRPr="008358CC">
        <w:rPr>
          <w:rFonts w:ascii="Arial" w:hAnsi="Arial" w:cs="Arial"/>
          <w:b w:val="0"/>
          <w:i/>
          <w:sz w:val="24"/>
          <w:szCs w:val="24"/>
          <w:lang w:val="es-MX"/>
        </w:rPr>
        <w:t>(</w:t>
      </w:r>
      <w:r w:rsidRPr="008358CC">
        <w:rPr>
          <w:rFonts w:ascii="Arial" w:hAnsi="Arial" w:cs="Arial"/>
          <w:b w:val="0"/>
          <w:i/>
          <w:sz w:val="24"/>
          <w:szCs w:val="24"/>
        </w:rPr>
        <w:t>ϕ</w:t>
      </w:r>
      <w:r w:rsidRPr="008358CC">
        <w:rPr>
          <w:rFonts w:ascii="Arial" w:hAnsi="Arial" w:cs="Arial"/>
          <w:b w:val="0"/>
          <w:i/>
          <w:sz w:val="24"/>
          <w:szCs w:val="24"/>
          <w:lang w:val="es-MX"/>
        </w:rPr>
        <w:t>,</w:t>
      </w:r>
      <w:r w:rsidRPr="008358CC">
        <w:rPr>
          <w:rFonts w:ascii="Arial" w:hAnsi="Arial" w:cs="Arial"/>
          <w:b w:val="0"/>
          <w:i/>
          <w:sz w:val="24"/>
          <w:szCs w:val="24"/>
        </w:rPr>
        <w:t>η</w:t>
      </w:r>
      <w:r w:rsidRPr="008358CC">
        <w:rPr>
          <w:rFonts w:ascii="Arial" w:hAnsi="Arial" w:cs="Arial"/>
          <w:b w:val="0"/>
          <w:sz w:val="24"/>
          <w:szCs w:val="24"/>
          <w:lang w:val="es-MX"/>
        </w:rPr>
        <w:t xml:space="preserve">) = </w:t>
      </w:r>
      <w:r w:rsidRPr="008358CC">
        <w:rPr>
          <w:rFonts w:ascii="Arial" w:hAnsi="Arial" w:cs="Arial"/>
          <w:b w:val="0"/>
          <w:sz w:val="24"/>
          <w:szCs w:val="24"/>
        </w:rPr>
        <w:t>∫</w:t>
      </w:r>
      <w:r w:rsidRPr="008358CC">
        <w:rPr>
          <w:rFonts w:ascii="Arial" w:hAnsi="Arial" w:cs="Arial"/>
          <w:sz w:val="24"/>
          <w:szCs w:val="24"/>
          <w:vertAlign w:val="subscript"/>
          <w:lang w:val="es-MX"/>
        </w:rPr>
        <w:t>D</w:t>
      </w:r>
      <w:r w:rsidRPr="008358CC">
        <w:rPr>
          <w:rFonts w:ascii="Arial" w:hAnsi="Arial" w:cs="Arial"/>
          <w:b w:val="0"/>
          <w:sz w:val="24"/>
          <w:szCs w:val="24"/>
          <w:lang w:val="es-MX"/>
        </w:rPr>
        <w:t xml:space="preserve"> </w:t>
      </w:r>
      <w:r w:rsidRPr="008358CC">
        <w:rPr>
          <w:rFonts w:ascii="Arial" w:hAnsi="Arial" w:cs="Arial"/>
          <w:b w:val="0"/>
          <w:i/>
          <w:sz w:val="24"/>
          <w:szCs w:val="24"/>
        </w:rPr>
        <w:t>ϕ</w:t>
      </w:r>
      <w:r w:rsidRPr="008358CC">
        <w:rPr>
          <w:rFonts w:ascii="Arial" w:hAnsi="Arial" w:cs="Arial"/>
          <w:b w:val="0"/>
          <w:i/>
          <w:sz w:val="24"/>
          <w:szCs w:val="24"/>
          <w:lang w:val="es-MX"/>
        </w:rPr>
        <w:t xml:space="preserve"> </w:t>
      </w:r>
      <w:r w:rsidRPr="008358CC">
        <w:rPr>
          <w:rFonts w:ascii="Arial" w:hAnsi="Arial" w:cs="Arial"/>
          <w:b w:val="0"/>
          <w:i/>
          <w:sz w:val="24"/>
          <w:szCs w:val="24"/>
        </w:rPr>
        <w:t>η</w:t>
      </w:r>
      <w:r w:rsidRPr="008358CC">
        <w:rPr>
          <w:rFonts w:ascii="Arial" w:hAnsi="Arial" w:cs="Arial"/>
          <w:b w:val="0"/>
          <w:i/>
          <w:sz w:val="24"/>
          <w:szCs w:val="24"/>
          <w:lang w:val="es-MX"/>
        </w:rPr>
        <w:t xml:space="preserve"> d</w:t>
      </w:r>
      <w:r w:rsidRPr="008358CC">
        <w:rPr>
          <w:rFonts w:ascii="Arial" w:hAnsi="Arial" w:cs="Arial"/>
          <w:sz w:val="24"/>
          <w:szCs w:val="24"/>
          <w:lang w:val="es-MX"/>
        </w:rPr>
        <w:t>r</w:t>
      </w:r>
      <w:r w:rsidRPr="008358CC">
        <w:rPr>
          <w:rFonts w:ascii="Arial" w:hAnsi="Arial" w:cs="Arial"/>
          <w:b w:val="0"/>
          <w:sz w:val="24"/>
          <w:szCs w:val="24"/>
        </w:rPr>
        <w:t xml:space="preserve"> es el producto interior. De aquí se sigue la estimación que establece la unicidad y la estabilidad de la solución del modelo (1)-(7):</w:t>
      </w:r>
    </w:p>
    <w:p w:rsidR="00212B85" w:rsidRPr="008358CC" w:rsidRDefault="00212B85" w:rsidP="00212B85">
      <w:pPr>
        <w:pStyle w:val="Textoindependiente"/>
        <w:jc w:val="both"/>
        <w:rPr>
          <w:rFonts w:ascii="Arial" w:hAnsi="Arial" w:cs="Arial"/>
          <w:b w:val="0"/>
          <w:sz w:val="24"/>
          <w:szCs w:val="24"/>
          <w:vertAlign w:val="superscript"/>
          <w:lang w:val="es-MX"/>
        </w:rPr>
      </w:pPr>
      <w:r w:rsidRPr="008358CC">
        <w:rPr>
          <w:rFonts w:ascii="Arial" w:hAnsi="Arial" w:cs="Arial"/>
          <w:b w:val="0"/>
          <w:sz w:val="24"/>
          <w:szCs w:val="24"/>
        </w:rPr>
        <w:t xml:space="preserve"> </w:t>
      </w:r>
      <w:r w:rsidRPr="008358CC">
        <w:rPr>
          <w:rFonts w:ascii="Arial" w:hAnsi="Arial" w:cs="Arial"/>
          <w:b w:val="0"/>
          <w:sz w:val="24"/>
          <w:szCs w:val="24"/>
          <w:lang w:val="es-MX"/>
        </w:rPr>
        <w:t>||</w:t>
      </w:r>
      <w:r w:rsidRPr="008358CC">
        <w:rPr>
          <w:rFonts w:ascii="Arial" w:hAnsi="Arial" w:cs="Arial"/>
          <w:b w:val="0"/>
          <w:i/>
          <w:sz w:val="24"/>
          <w:szCs w:val="24"/>
        </w:rPr>
        <w:t>ϕ</w:t>
      </w:r>
      <w:r w:rsidRPr="008358CC">
        <w:rPr>
          <w:rFonts w:ascii="Arial" w:hAnsi="Arial" w:cs="Arial"/>
          <w:b w:val="0"/>
          <w:sz w:val="24"/>
          <w:szCs w:val="24"/>
          <w:lang w:val="es-MX"/>
        </w:rPr>
        <w:t xml:space="preserve">|| ≤ </w:t>
      </w:r>
      <w:r w:rsidRPr="008358CC">
        <w:rPr>
          <w:rFonts w:ascii="Arial" w:hAnsi="Arial" w:cs="Arial"/>
          <w:b w:val="0"/>
          <w:i/>
          <w:sz w:val="24"/>
          <w:szCs w:val="24"/>
          <w:lang w:val="es-MX"/>
        </w:rPr>
        <w:t xml:space="preserve">T </w:t>
      </w:r>
      <w:r w:rsidRPr="008358CC">
        <w:rPr>
          <w:rFonts w:ascii="Arial" w:hAnsi="Arial" w:cs="Arial"/>
          <w:b w:val="0"/>
          <w:sz w:val="24"/>
          <w:szCs w:val="24"/>
          <w:lang w:val="es-MX"/>
        </w:rPr>
        <w:t>max</w:t>
      </w:r>
      <w:r w:rsidRPr="008358CC">
        <w:rPr>
          <w:rFonts w:ascii="Arial" w:hAnsi="Arial" w:cs="Arial"/>
          <w:b w:val="0"/>
          <w:sz w:val="24"/>
          <w:szCs w:val="24"/>
          <w:vertAlign w:val="subscript"/>
          <w:lang w:val="es-MX"/>
        </w:rPr>
        <w:t>0≤</w:t>
      </w:r>
      <w:r w:rsidRPr="008358CC">
        <w:rPr>
          <w:rFonts w:ascii="Arial" w:hAnsi="Arial" w:cs="Arial"/>
          <w:b w:val="0"/>
          <w:i/>
          <w:sz w:val="24"/>
          <w:szCs w:val="24"/>
          <w:vertAlign w:val="subscript"/>
          <w:lang w:val="es-MX"/>
        </w:rPr>
        <w:t>t</w:t>
      </w:r>
      <w:r w:rsidRPr="008358CC">
        <w:rPr>
          <w:rFonts w:ascii="Arial" w:hAnsi="Arial" w:cs="Arial"/>
          <w:b w:val="0"/>
          <w:sz w:val="24"/>
          <w:szCs w:val="24"/>
          <w:vertAlign w:val="subscript"/>
          <w:lang w:val="es-MX"/>
        </w:rPr>
        <w:t>≤</w:t>
      </w:r>
      <w:r w:rsidRPr="008358CC">
        <w:rPr>
          <w:rFonts w:ascii="Arial" w:hAnsi="Arial" w:cs="Arial"/>
          <w:b w:val="0"/>
          <w:i/>
          <w:sz w:val="24"/>
          <w:szCs w:val="24"/>
          <w:vertAlign w:val="subscript"/>
          <w:lang w:val="es-MX"/>
        </w:rPr>
        <w:t>T</w:t>
      </w:r>
      <w:r w:rsidRPr="008358CC">
        <w:rPr>
          <w:rFonts w:ascii="Arial" w:hAnsi="Arial" w:cs="Arial"/>
          <w:b w:val="0"/>
          <w:sz w:val="24"/>
          <w:szCs w:val="24"/>
          <w:lang w:val="es-MX"/>
        </w:rPr>
        <w:t xml:space="preserve"> ||</w:t>
      </w:r>
      <w:r w:rsidRPr="008358CC">
        <w:rPr>
          <w:rFonts w:ascii="Arial" w:hAnsi="Arial" w:cs="Arial"/>
          <w:b w:val="0"/>
          <w:i/>
          <w:sz w:val="24"/>
          <w:szCs w:val="24"/>
          <w:lang w:val="es-MX"/>
        </w:rPr>
        <w:t xml:space="preserve"> f</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i/>
          <w:sz w:val="24"/>
          <w:szCs w:val="24"/>
          <w:lang w:val="es-MX"/>
        </w:rPr>
        <w:t>,t</w:t>
      </w:r>
      <w:r w:rsidRPr="008358CC">
        <w:rPr>
          <w:rFonts w:ascii="Arial" w:hAnsi="Arial" w:cs="Arial"/>
          <w:b w:val="0"/>
          <w:sz w:val="24"/>
          <w:szCs w:val="24"/>
          <w:lang w:val="es-MX"/>
        </w:rPr>
        <w:t>) ||+||</w:t>
      </w:r>
      <w:r w:rsidRPr="008358CC">
        <w:rPr>
          <w:rFonts w:ascii="Arial" w:hAnsi="Arial" w:cs="Arial"/>
          <w:b w:val="0"/>
          <w:i/>
          <w:sz w:val="24"/>
          <w:szCs w:val="24"/>
          <w:lang w:val="es-MX"/>
        </w:rPr>
        <w:t xml:space="preserve"> </w:t>
      </w:r>
      <w:r w:rsidRPr="008358CC">
        <w:rPr>
          <w:rFonts w:ascii="Arial" w:hAnsi="Arial" w:cs="Arial"/>
          <w:b w:val="0"/>
          <w:i/>
          <w:sz w:val="24"/>
          <w:szCs w:val="24"/>
        </w:rPr>
        <w:t>ϕ</w:t>
      </w:r>
      <w:r w:rsidRPr="008358CC">
        <w:rPr>
          <w:rFonts w:ascii="Arial" w:hAnsi="Arial" w:cs="Arial"/>
          <w:b w:val="0"/>
          <w:i/>
          <w:sz w:val="24"/>
          <w:szCs w:val="24"/>
          <w:vertAlign w:val="superscript"/>
          <w:lang w:val="es-MX"/>
        </w:rPr>
        <w:t>0</w:t>
      </w:r>
      <w:r w:rsidRPr="008358CC">
        <w:rPr>
          <w:rFonts w:ascii="Arial" w:hAnsi="Arial" w:cs="Arial"/>
          <w:b w:val="0"/>
          <w:sz w:val="24"/>
          <w:szCs w:val="24"/>
          <w:lang w:val="es-MX"/>
        </w:rPr>
        <w:t>||</w:t>
      </w:r>
      <w:r w:rsidRPr="008358CC">
        <w:rPr>
          <w:rFonts w:ascii="Arial" w:hAnsi="Arial" w:cs="Arial"/>
          <w:b w:val="0"/>
          <w:sz w:val="24"/>
          <w:szCs w:val="24"/>
        </w:rPr>
        <w:t xml:space="preserve">, con </w:t>
      </w:r>
      <w:r w:rsidRPr="008358CC">
        <w:rPr>
          <w:rFonts w:ascii="Arial" w:hAnsi="Arial" w:cs="Arial"/>
          <w:b w:val="0"/>
          <w:sz w:val="24"/>
          <w:szCs w:val="24"/>
          <w:lang w:val="es-MX"/>
        </w:rPr>
        <w:t>||</w:t>
      </w:r>
      <w:r w:rsidRPr="008358CC">
        <w:rPr>
          <w:rFonts w:ascii="Arial" w:hAnsi="Arial" w:cs="Arial"/>
          <w:b w:val="0"/>
          <w:i/>
          <w:sz w:val="24"/>
          <w:szCs w:val="24"/>
        </w:rPr>
        <w:t>ϕ</w:t>
      </w:r>
      <w:r w:rsidRPr="008358CC">
        <w:rPr>
          <w:rFonts w:ascii="Arial" w:hAnsi="Arial" w:cs="Arial"/>
          <w:b w:val="0"/>
          <w:sz w:val="24"/>
          <w:szCs w:val="24"/>
          <w:lang w:val="es-MX"/>
        </w:rPr>
        <w:t>||</w:t>
      </w:r>
      <w:r w:rsidRPr="008358CC">
        <w:rPr>
          <w:rFonts w:ascii="Arial" w:hAnsi="Arial" w:cs="Arial"/>
          <w:b w:val="0"/>
          <w:sz w:val="24"/>
          <w:szCs w:val="24"/>
          <w:vertAlign w:val="subscript"/>
          <w:lang w:val="es-MX"/>
        </w:rPr>
        <w:t>2</w:t>
      </w:r>
      <w:r w:rsidRPr="008358CC">
        <w:rPr>
          <w:rFonts w:ascii="Arial" w:hAnsi="Arial" w:cs="Arial"/>
          <w:b w:val="0"/>
          <w:sz w:val="24"/>
          <w:szCs w:val="24"/>
          <w:lang w:val="es-MX"/>
        </w:rPr>
        <w:t xml:space="preserve"> =  (</w:t>
      </w:r>
      <w:r w:rsidRPr="008358CC">
        <w:rPr>
          <w:rFonts w:ascii="Arial" w:hAnsi="Arial" w:cs="Arial"/>
          <w:b w:val="0"/>
          <w:sz w:val="24"/>
          <w:szCs w:val="24"/>
        </w:rPr>
        <w:t>∫</w:t>
      </w:r>
      <w:r w:rsidRPr="008358CC">
        <w:rPr>
          <w:rFonts w:ascii="Arial" w:hAnsi="Arial" w:cs="Arial"/>
          <w:sz w:val="24"/>
          <w:szCs w:val="24"/>
          <w:vertAlign w:val="subscript"/>
          <w:lang w:val="es-MX"/>
        </w:rPr>
        <w:t>D</w:t>
      </w:r>
      <w:r w:rsidRPr="008358CC">
        <w:rPr>
          <w:rFonts w:ascii="Arial" w:hAnsi="Arial" w:cs="Arial"/>
          <w:b w:val="0"/>
          <w:sz w:val="24"/>
          <w:szCs w:val="24"/>
          <w:lang w:val="es-MX"/>
        </w:rPr>
        <w:t xml:space="preserve"> </w:t>
      </w:r>
      <w:r w:rsidRPr="008358CC">
        <w:rPr>
          <w:rFonts w:ascii="Arial" w:hAnsi="Arial" w:cs="Arial"/>
          <w:b w:val="0"/>
          <w:i/>
          <w:sz w:val="24"/>
          <w:szCs w:val="24"/>
        </w:rPr>
        <w:t>ϕ</w:t>
      </w:r>
      <w:r w:rsidRPr="008358CC">
        <w:rPr>
          <w:rFonts w:ascii="Arial" w:hAnsi="Arial" w:cs="Arial"/>
          <w:b w:val="0"/>
          <w:i/>
          <w:sz w:val="24"/>
          <w:szCs w:val="24"/>
          <w:vertAlign w:val="superscript"/>
          <w:lang w:val="es-MX"/>
        </w:rPr>
        <w:t>2</w:t>
      </w:r>
      <w:r w:rsidRPr="008358CC">
        <w:rPr>
          <w:rFonts w:ascii="Arial" w:hAnsi="Arial" w:cs="Arial"/>
          <w:b w:val="0"/>
          <w:sz w:val="24"/>
          <w:szCs w:val="24"/>
          <w:lang w:val="es-MX"/>
        </w:rPr>
        <w:t xml:space="preserve"> </w:t>
      </w:r>
      <w:r w:rsidRPr="008358CC">
        <w:rPr>
          <w:rFonts w:ascii="Arial" w:hAnsi="Arial" w:cs="Arial"/>
          <w:b w:val="0"/>
          <w:i/>
          <w:sz w:val="24"/>
          <w:szCs w:val="24"/>
          <w:lang w:val="es-MX"/>
        </w:rPr>
        <w:t>d</w:t>
      </w:r>
      <w:r w:rsidRPr="008358CC">
        <w:rPr>
          <w:rFonts w:ascii="Arial" w:hAnsi="Arial" w:cs="Arial"/>
          <w:sz w:val="24"/>
          <w:szCs w:val="24"/>
          <w:lang w:val="es-MX"/>
        </w:rPr>
        <w:t xml:space="preserve">r </w:t>
      </w:r>
      <w:r w:rsidRPr="008358CC">
        <w:rPr>
          <w:rFonts w:ascii="Arial" w:hAnsi="Arial" w:cs="Arial"/>
          <w:b w:val="0"/>
          <w:sz w:val="24"/>
          <w:szCs w:val="24"/>
          <w:lang w:val="es-MX"/>
        </w:rPr>
        <w:t>)</w:t>
      </w:r>
      <w:r w:rsidRPr="008358CC">
        <w:rPr>
          <w:rFonts w:ascii="Arial" w:hAnsi="Arial" w:cs="Arial"/>
          <w:b w:val="0"/>
          <w:sz w:val="24"/>
          <w:szCs w:val="24"/>
          <w:vertAlign w:val="superscript"/>
          <w:lang w:val="es-MX"/>
        </w:rPr>
        <w:t>1/2</w:t>
      </w:r>
      <w:r w:rsidRPr="008358CC">
        <w:rPr>
          <w:rFonts w:ascii="Arial" w:hAnsi="Arial" w:cs="Arial"/>
          <w:b w:val="0"/>
          <w:sz w:val="24"/>
          <w:szCs w:val="24"/>
        </w:rPr>
        <w:t>.</w:t>
      </w:r>
    </w:p>
    <w:p w:rsidR="00212B85" w:rsidRPr="008358CC" w:rsidRDefault="00212B85" w:rsidP="00212B85">
      <w:pPr>
        <w:pStyle w:val="Textoindependiente"/>
        <w:jc w:val="both"/>
        <w:rPr>
          <w:rFonts w:ascii="Arial" w:hAnsi="Arial" w:cs="Arial"/>
          <w:b w:val="0"/>
          <w:sz w:val="24"/>
          <w:szCs w:val="24"/>
        </w:rPr>
      </w:pPr>
      <w:r w:rsidRPr="008358CC">
        <w:rPr>
          <w:rFonts w:ascii="Arial" w:hAnsi="Arial" w:cs="Arial"/>
          <w:b w:val="0"/>
          <w:sz w:val="24"/>
          <w:szCs w:val="24"/>
        </w:rPr>
        <w:t xml:space="preserve"> </w:t>
      </w:r>
    </w:p>
    <w:p w:rsidR="00212B85" w:rsidRPr="008358CC" w:rsidRDefault="00212B85" w:rsidP="00212B85">
      <w:pPr>
        <w:pStyle w:val="Ttulo1"/>
        <w:keepLines w:val="0"/>
        <w:numPr>
          <w:ilvl w:val="0"/>
          <w:numId w:val="1"/>
        </w:numPr>
        <w:tabs>
          <w:tab w:val="clear" w:pos="432"/>
          <w:tab w:val="num" w:pos="0"/>
        </w:tabs>
        <w:suppressAutoHyphens/>
        <w:spacing w:before="0" w:after="0"/>
        <w:ind w:left="0" w:firstLine="0"/>
        <w:rPr>
          <w:rFonts w:ascii="Arial" w:hAnsi="Arial" w:cs="Arial"/>
          <w:i/>
          <w:sz w:val="24"/>
          <w:szCs w:val="24"/>
        </w:rPr>
      </w:pPr>
      <w:bookmarkStart w:id="21" w:name="_Toc50031154"/>
      <w:r w:rsidRPr="008358CC">
        <w:rPr>
          <w:rFonts w:ascii="Arial" w:hAnsi="Arial" w:cs="Arial"/>
          <w:i/>
          <w:caps/>
          <w:sz w:val="24"/>
          <w:szCs w:val="24"/>
        </w:rPr>
        <w:t xml:space="preserve">4. </w:t>
      </w:r>
      <w:r w:rsidRPr="008358CC">
        <w:rPr>
          <w:rFonts w:ascii="Arial" w:hAnsi="Arial" w:cs="Arial"/>
          <w:i/>
          <w:sz w:val="24"/>
          <w:szCs w:val="24"/>
        </w:rPr>
        <w:t>Formulación y análisis del modelo de programación cuadrática</w:t>
      </w:r>
      <w:bookmarkEnd w:id="21"/>
    </w:p>
    <w:p w:rsidR="00212B85" w:rsidRPr="008358CC" w:rsidRDefault="00212B85" w:rsidP="00212B85">
      <w:pPr>
        <w:rPr>
          <w:b/>
          <w:bCs/>
          <w:sz w:val="24"/>
          <w:szCs w:val="24"/>
        </w:rPr>
      </w:pPr>
    </w:p>
    <w:p w:rsidR="00212B85" w:rsidRPr="008358CC" w:rsidRDefault="00212B85" w:rsidP="00212B85">
      <w:pPr>
        <w:pStyle w:val="Textoindependiente"/>
        <w:ind w:firstLine="567"/>
        <w:jc w:val="both"/>
        <w:rPr>
          <w:sz w:val="24"/>
          <w:szCs w:val="24"/>
          <w:lang w:val="es-MX"/>
        </w:rPr>
      </w:pPr>
      <w:r w:rsidRPr="008358CC">
        <w:rPr>
          <w:rFonts w:ascii="Arial" w:hAnsi="Arial" w:cs="Arial"/>
          <w:b w:val="0"/>
          <w:sz w:val="24"/>
          <w:szCs w:val="24"/>
        </w:rPr>
        <w:t>Para simplificar el planteamiento de la estrategia de control, el modelo de dispersión (1)-(7) se escribe en la forma</w:t>
      </w:r>
    </w:p>
    <w:p w:rsidR="00212B85" w:rsidRPr="008358CC" w:rsidRDefault="00212B85" w:rsidP="00212B85">
      <w:pPr>
        <w:pStyle w:val="Textoindependiente"/>
        <w:rPr>
          <w:rFonts w:ascii="Arial" w:hAnsi="Arial" w:cs="Arial"/>
          <w:b w:val="0"/>
          <w:sz w:val="24"/>
          <w:szCs w:val="24"/>
          <w:lang w:val="es-MX"/>
        </w:rPr>
      </w:pPr>
    </w:p>
    <w:p w:rsidR="00212B85" w:rsidRPr="008358CC" w:rsidRDefault="00212B85" w:rsidP="00212B85">
      <w:pPr>
        <w:pStyle w:val="BodyMath"/>
        <w:jc w:val="right"/>
        <w:rPr>
          <w:rFonts w:ascii="Arial" w:hAnsi="Arial" w:cs="Arial"/>
        </w:rPr>
      </w:pPr>
      <w:r w:rsidRPr="008358CC">
        <w:rPr>
          <w:rFonts w:ascii="Arial" w:hAnsi="Arial" w:cs="Arial"/>
          <w:position w:val="-24"/>
          <w:lang w:val="en-GB"/>
        </w:rPr>
        <w:object w:dxaOrig="3940" w:dyaOrig="620">
          <v:shape id="_x0000_i1033" type="#_x0000_t75" style="width:197.25pt;height:30.75pt" o:ole="">
            <v:imagedata r:id="rId49" o:title=""/>
          </v:shape>
          <o:OLEObject Type="Embed" ProgID="Equation.DSMT4" ShapeID="_x0000_i1033" DrawAspect="Content" ObjectID="_1660649130" r:id="rId50"/>
        </w:object>
      </w:r>
      <w:r w:rsidRPr="008358CC">
        <w:rPr>
          <w:rFonts w:ascii="Arial" w:hAnsi="Arial" w:cs="Arial"/>
        </w:rPr>
        <w:t xml:space="preserve">                                           (9)</w:t>
      </w:r>
    </w:p>
    <w:p w:rsidR="00212B85" w:rsidRPr="008358CC" w:rsidRDefault="00212B85" w:rsidP="00212B85">
      <w:pPr>
        <w:pStyle w:val="Textoindependiente"/>
        <w:rPr>
          <w:rFonts w:ascii="Arial" w:hAnsi="Arial" w:cs="Arial"/>
          <w:b w:val="0"/>
          <w:sz w:val="24"/>
          <w:szCs w:val="24"/>
          <w:lang w:val="es-MX"/>
        </w:rPr>
      </w:pPr>
    </w:p>
    <w:p w:rsidR="00212B85" w:rsidRPr="008358CC" w:rsidRDefault="00212B85" w:rsidP="00212B85">
      <w:pPr>
        <w:pStyle w:val="Textoindependiente"/>
        <w:jc w:val="both"/>
        <w:rPr>
          <w:rFonts w:ascii="Arial" w:hAnsi="Arial" w:cs="Arial"/>
          <w:b w:val="0"/>
          <w:i/>
          <w:sz w:val="24"/>
          <w:szCs w:val="24"/>
          <w:lang w:val="es-MX"/>
        </w:rPr>
      </w:pPr>
      <w:r w:rsidRPr="008358CC">
        <w:rPr>
          <w:rFonts w:ascii="Arial" w:hAnsi="Arial" w:cs="Arial"/>
          <w:b w:val="0"/>
          <w:sz w:val="24"/>
          <w:szCs w:val="24"/>
          <w:lang w:val="es-MX"/>
        </w:rPr>
        <w:t xml:space="preserve">Donde el operador lineal </w:t>
      </w:r>
      <w:r w:rsidRPr="008358CC">
        <w:rPr>
          <w:rFonts w:ascii="Arial" w:hAnsi="Arial" w:cs="Arial"/>
          <w:b w:val="0"/>
          <w:i/>
          <w:sz w:val="24"/>
          <w:szCs w:val="24"/>
          <w:lang w:val="es-MX"/>
        </w:rPr>
        <w:t>A</w:t>
      </w:r>
      <w:r w:rsidRPr="008358CC">
        <w:rPr>
          <w:rFonts w:ascii="Arial" w:hAnsi="Arial" w:cs="Arial"/>
          <w:b w:val="0"/>
          <w:sz w:val="24"/>
          <w:szCs w:val="24"/>
        </w:rPr>
        <w:t xml:space="preserve"> incluye los </w:t>
      </w:r>
      <w:r w:rsidRPr="008358CC">
        <w:rPr>
          <w:rFonts w:ascii="Arial" w:hAnsi="Arial" w:cs="Arial"/>
          <w:b w:val="0"/>
          <w:sz w:val="24"/>
          <w:szCs w:val="24"/>
          <w:lang w:val="es-MX"/>
        </w:rPr>
        <w:t xml:space="preserve">procesos físicos y químicos, así como las respectivas condiciones de frontera descritos para el modelo </w:t>
      </w:r>
      <w:r w:rsidRPr="008358CC">
        <w:rPr>
          <w:rFonts w:ascii="Arial" w:hAnsi="Arial" w:cs="Arial"/>
          <w:b w:val="0"/>
          <w:sz w:val="24"/>
          <w:szCs w:val="24"/>
        </w:rPr>
        <w:t>(1)-(7)</w:t>
      </w:r>
      <w:r w:rsidRPr="008358CC">
        <w:rPr>
          <w:rFonts w:ascii="Arial" w:hAnsi="Arial" w:cs="Arial"/>
          <w:b w:val="0"/>
          <w:sz w:val="24"/>
          <w:szCs w:val="24"/>
          <w:lang w:val="es-MX"/>
        </w:rPr>
        <w:t xml:space="preserve"> y </w:t>
      </w:r>
      <w:r w:rsidRPr="008358CC">
        <w:rPr>
          <w:rFonts w:ascii="Arial" w:hAnsi="Arial" w:cs="Arial"/>
          <w:b w:val="0"/>
          <w:i/>
          <w:sz w:val="24"/>
          <w:szCs w:val="24"/>
          <w:lang w:val="es-MX"/>
        </w:rPr>
        <w:t>f</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i/>
          <w:sz w:val="24"/>
          <w:szCs w:val="24"/>
          <w:lang w:val="es-MX"/>
        </w:rPr>
        <w:t>,t</w:t>
      </w:r>
      <w:r w:rsidRPr="008358CC">
        <w:rPr>
          <w:rFonts w:ascii="Arial" w:hAnsi="Arial" w:cs="Arial"/>
          <w:b w:val="0"/>
          <w:sz w:val="24"/>
          <w:szCs w:val="24"/>
          <w:lang w:val="es-MX"/>
        </w:rPr>
        <w:t xml:space="preserve">) está dado por </w:t>
      </w:r>
      <w:r w:rsidRPr="008358CC">
        <w:rPr>
          <w:rFonts w:ascii="Arial" w:hAnsi="Arial" w:cs="Arial"/>
          <w:b w:val="0"/>
          <w:sz w:val="24"/>
          <w:szCs w:val="24"/>
        </w:rPr>
        <w:t>(8)</w:t>
      </w:r>
      <w:r w:rsidRPr="008358CC">
        <w:rPr>
          <w:rFonts w:ascii="Arial" w:hAnsi="Arial" w:cs="Arial"/>
          <w:b w:val="0"/>
          <w:sz w:val="24"/>
          <w:szCs w:val="24"/>
          <w:lang w:val="es-MX"/>
        </w:rPr>
        <w:t xml:space="preserve">. </w:t>
      </w:r>
    </w:p>
    <w:p w:rsidR="00212B85" w:rsidRPr="008358CC" w:rsidRDefault="00212B85" w:rsidP="00212B85">
      <w:pPr>
        <w:pStyle w:val="Textoindependiente"/>
        <w:ind w:firstLine="567"/>
        <w:jc w:val="both"/>
        <w:rPr>
          <w:rFonts w:ascii="Arial" w:hAnsi="Arial" w:cs="Arial"/>
          <w:b w:val="0"/>
          <w:sz w:val="24"/>
          <w:szCs w:val="24"/>
          <w:lang w:val="es-MX"/>
        </w:rPr>
      </w:pPr>
      <w:r w:rsidRPr="008358CC">
        <w:rPr>
          <w:rFonts w:ascii="Arial" w:hAnsi="Arial" w:cs="Arial"/>
          <w:b w:val="0"/>
          <w:sz w:val="24"/>
          <w:szCs w:val="24"/>
        </w:rPr>
        <w:t xml:space="preserve">Se asume que el pronóstico de la concentración de un contaminante en la región </w:t>
      </w:r>
      <w:r w:rsidRPr="008358CC">
        <w:rPr>
          <w:rFonts w:ascii="Arial" w:hAnsi="Arial" w:cs="Arial"/>
          <w:sz w:val="24"/>
          <w:szCs w:val="24"/>
          <w:lang w:val="es-MX"/>
        </w:rPr>
        <w:t xml:space="preserve">D </w:t>
      </w:r>
      <w:r w:rsidRPr="008358CC">
        <w:rPr>
          <w:rFonts w:ascii="Arial" w:hAnsi="Arial" w:cs="Arial"/>
          <w:b w:val="0"/>
          <w:sz w:val="24"/>
          <w:szCs w:val="24"/>
        </w:rPr>
        <w:t xml:space="preserve">obtenido mediante el modelo (9) es desfavorable durante el intervalo de tiempo </w:t>
      </w:r>
      <w:r w:rsidRPr="008358CC">
        <w:rPr>
          <w:rFonts w:ascii="Arial" w:hAnsi="Arial" w:cs="Arial"/>
          <w:b w:val="0"/>
          <w:sz w:val="24"/>
          <w:szCs w:val="24"/>
          <w:lang w:val="es-MX"/>
        </w:rPr>
        <w:t>(0</w:t>
      </w:r>
      <w:r w:rsidRPr="008358CC">
        <w:rPr>
          <w:rFonts w:ascii="Arial" w:hAnsi="Arial" w:cs="Arial"/>
          <w:b w:val="0"/>
          <w:i/>
          <w:sz w:val="24"/>
          <w:szCs w:val="24"/>
          <w:lang w:val="es-MX"/>
        </w:rPr>
        <w:t>,T</w:t>
      </w:r>
      <w:r w:rsidRPr="008358CC">
        <w:rPr>
          <w:rFonts w:ascii="Arial" w:hAnsi="Arial" w:cs="Arial"/>
          <w:b w:val="0"/>
          <w:sz w:val="24"/>
          <w:szCs w:val="24"/>
          <w:lang w:val="es-MX"/>
        </w:rPr>
        <w:t>)</w:t>
      </w:r>
      <w:r w:rsidRPr="008358CC">
        <w:rPr>
          <w:rFonts w:ascii="Arial" w:hAnsi="Arial" w:cs="Arial"/>
          <w:b w:val="0"/>
          <w:sz w:val="24"/>
          <w:szCs w:val="24"/>
        </w:rPr>
        <w:t xml:space="preserve">, es decir, la concentración </w:t>
      </w:r>
      <w:r w:rsidRPr="008358CC">
        <w:rPr>
          <w:rFonts w:ascii="Arial" w:hAnsi="Arial" w:cs="Arial"/>
          <w:b w:val="0"/>
          <w:i/>
          <w:sz w:val="24"/>
          <w:szCs w:val="24"/>
        </w:rPr>
        <w:t>ϕ</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i/>
          <w:sz w:val="24"/>
          <w:szCs w:val="24"/>
          <w:lang w:val="es-MX"/>
        </w:rPr>
        <w:t>,t</w:t>
      </w:r>
      <w:r w:rsidRPr="008358CC">
        <w:rPr>
          <w:rFonts w:ascii="Arial" w:hAnsi="Arial" w:cs="Arial"/>
          <w:b w:val="0"/>
          <w:sz w:val="24"/>
          <w:szCs w:val="24"/>
          <w:lang w:val="es-MX"/>
        </w:rPr>
        <w:t>)</w:t>
      </w:r>
      <w:r w:rsidRPr="008358CC">
        <w:rPr>
          <w:rFonts w:ascii="Arial" w:hAnsi="Arial" w:cs="Arial"/>
          <w:b w:val="0"/>
          <w:sz w:val="24"/>
          <w:szCs w:val="24"/>
        </w:rPr>
        <w:t xml:space="preserve"> excede la norma de la calidad del aire </w:t>
      </w:r>
      <w:r w:rsidRPr="008358CC">
        <w:rPr>
          <w:rFonts w:ascii="Arial" w:hAnsi="Arial" w:cs="Arial"/>
          <w:b w:val="0"/>
          <w:i/>
          <w:sz w:val="24"/>
          <w:szCs w:val="24"/>
          <w:lang w:val="es-MX"/>
        </w:rPr>
        <w:t>J</w:t>
      </w:r>
      <w:r w:rsidRPr="008358CC">
        <w:rPr>
          <w:rFonts w:ascii="Arial" w:hAnsi="Arial" w:cs="Arial"/>
          <w:b w:val="0"/>
          <w:i/>
          <w:sz w:val="24"/>
          <w:szCs w:val="24"/>
          <w:vertAlign w:val="subscript"/>
          <w:lang w:val="es-MX"/>
        </w:rPr>
        <w:t>0</w:t>
      </w:r>
      <w:r w:rsidRPr="008358CC">
        <w:rPr>
          <w:sz w:val="24"/>
          <w:szCs w:val="24"/>
          <w:lang w:val="es-MX"/>
        </w:rPr>
        <w:t xml:space="preserve"> </w:t>
      </w:r>
      <w:r w:rsidRPr="008358CC">
        <w:rPr>
          <w:rFonts w:ascii="Arial" w:hAnsi="Arial" w:cs="Arial"/>
          <w:b w:val="0"/>
          <w:sz w:val="24"/>
          <w:szCs w:val="24"/>
        </w:rPr>
        <w:t xml:space="preserve">en algunos puntos dentro de la zona </w:t>
      </w:r>
      <w:r w:rsidRPr="008358CC">
        <w:rPr>
          <w:rFonts w:ascii="Arial" w:hAnsi="Arial" w:cs="Arial"/>
          <w:b w:val="0"/>
          <w:sz w:val="24"/>
          <w:szCs w:val="24"/>
          <w:lang w:val="en-US"/>
        </w:rPr>
        <w:t>Ω</w:t>
      </w:r>
      <w:r w:rsidRPr="008358CC">
        <w:rPr>
          <w:rFonts w:ascii="Arial" w:hAnsi="Arial" w:cs="Arial"/>
          <w:b w:val="0"/>
          <w:sz w:val="24"/>
          <w:szCs w:val="24"/>
        </w:rPr>
        <w:t xml:space="preserve"> contenida en </w:t>
      </w:r>
      <w:r w:rsidRPr="008358CC">
        <w:rPr>
          <w:rFonts w:ascii="Arial" w:hAnsi="Arial" w:cs="Arial"/>
          <w:sz w:val="24"/>
          <w:szCs w:val="24"/>
          <w:lang w:val="es-MX"/>
        </w:rPr>
        <w:t>D</w:t>
      </w:r>
      <w:r w:rsidRPr="008358CC">
        <w:rPr>
          <w:rFonts w:ascii="Arial" w:hAnsi="Arial" w:cs="Arial"/>
          <w:b w:val="0"/>
          <w:sz w:val="24"/>
          <w:szCs w:val="24"/>
        </w:rPr>
        <w:t xml:space="preserve">. Esto como una consecuencia de la mala dispersión atmosférica y la intensidad de las emisiones. Así, para evitar una concentración excesiva del contaminante en la zona </w:t>
      </w:r>
      <w:r w:rsidRPr="008358CC">
        <w:rPr>
          <w:rFonts w:ascii="Arial" w:hAnsi="Arial" w:cs="Arial"/>
          <w:b w:val="0"/>
          <w:sz w:val="24"/>
          <w:szCs w:val="24"/>
          <w:lang w:val="en-US"/>
        </w:rPr>
        <w:t>Ω</w:t>
      </w:r>
      <w:r w:rsidRPr="008358CC">
        <w:rPr>
          <w:rFonts w:ascii="Arial" w:hAnsi="Arial" w:cs="Arial"/>
          <w:b w:val="0"/>
          <w:sz w:val="24"/>
          <w:szCs w:val="24"/>
        </w:rPr>
        <w:t xml:space="preserve">, se debe aplicar un control a corto plazo con el objeto de establecer una intensidad adecuada de todas las fuentes de contaminación dentro del intervalo </w:t>
      </w:r>
      <w:r w:rsidRPr="008358CC">
        <w:rPr>
          <w:rFonts w:ascii="Arial" w:hAnsi="Arial" w:cs="Arial"/>
          <w:b w:val="0"/>
          <w:sz w:val="24"/>
          <w:szCs w:val="24"/>
          <w:lang w:val="es-MX"/>
        </w:rPr>
        <w:t>(0</w:t>
      </w:r>
      <w:r w:rsidRPr="008358CC">
        <w:rPr>
          <w:rFonts w:ascii="Arial" w:hAnsi="Arial" w:cs="Arial"/>
          <w:b w:val="0"/>
          <w:i/>
          <w:sz w:val="24"/>
          <w:szCs w:val="24"/>
          <w:lang w:val="es-MX"/>
        </w:rPr>
        <w:t>,T</w:t>
      </w:r>
      <w:r w:rsidRPr="008358CC">
        <w:rPr>
          <w:rFonts w:ascii="Arial" w:hAnsi="Arial" w:cs="Arial"/>
          <w:b w:val="0"/>
          <w:sz w:val="24"/>
          <w:szCs w:val="24"/>
          <w:lang w:val="es-MX"/>
        </w:rPr>
        <w:t>)</w:t>
      </w:r>
      <w:r w:rsidRPr="008358CC">
        <w:rPr>
          <w:rFonts w:ascii="Arial" w:hAnsi="Arial" w:cs="Arial"/>
          <w:b w:val="0"/>
          <w:sz w:val="24"/>
          <w:szCs w:val="24"/>
        </w:rPr>
        <w:t>, de manera que se cumpla la norma de la calidad del aire:</w:t>
      </w:r>
    </w:p>
    <w:p w:rsidR="00212B85" w:rsidRPr="008358CC" w:rsidRDefault="00212B85" w:rsidP="00212B85">
      <w:pPr>
        <w:pStyle w:val="Textoindependiente"/>
        <w:jc w:val="both"/>
        <w:rPr>
          <w:rFonts w:ascii="Arial" w:hAnsi="Arial" w:cs="Arial"/>
          <w:b w:val="0"/>
          <w:sz w:val="24"/>
          <w:szCs w:val="24"/>
        </w:rPr>
      </w:pPr>
    </w:p>
    <w:p w:rsidR="00212B85" w:rsidRPr="008358CC" w:rsidRDefault="00212B85" w:rsidP="00212B85">
      <w:pPr>
        <w:pStyle w:val="BodyMath"/>
        <w:jc w:val="right"/>
        <w:rPr>
          <w:rFonts w:ascii="Arial" w:hAnsi="Arial" w:cs="Arial"/>
        </w:rPr>
      </w:pPr>
      <w:r w:rsidRPr="008358CC">
        <w:rPr>
          <w:rFonts w:ascii="Arial" w:hAnsi="Arial" w:cs="Arial"/>
          <w:position w:val="-12"/>
          <w:lang w:val="en-GB"/>
        </w:rPr>
        <w:object w:dxaOrig="1240" w:dyaOrig="360">
          <v:shape id="_x0000_i1034" type="#_x0000_t75" style="width:62.25pt;height:18.75pt" o:ole="">
            <v:imagedata r:id="rId51" o:title=""/>
          </v:shape>
          <o:OLEObject Type="Embed" ProgID="Equation.DSMT4" ShapeID="_x0000_i1034" DrawAspect="Content" ObjectID="_1660649131" r:id="rId52"/>
        </w:object>
      </w:r>
      <w:r w:rsidRPr="008358CC">
        <w:rPr>
          <w:rFonts w:ascii="Arial" w:hAnsi="Arial" w:cs="Arial"/>
        </w:rPr>
        <w:t xml:space="preserve">  para todo  </w:t>
      </w:r>
      <w:r w:rsidRPr="008358CC">
        <w:rPr>
          <w:rFonts w:ascii="Arial" w:hAnsi="Arial" w:cs="Arial"/>
          <w:position w:val="-4"/>
          <w:lang w:val="en-GB"/>
        </w:rPr>
        <w:object w:dxaOrig="620" w:dyaOrig="260">
          <v:shape id="_x0000_i1035" type="#_x0000_t75" style="width:30.75pt;height:13.5pt" o:ole="">
            <v:imagedata r:id="rId53" o:title=""/>
          </v:shape>
          <o:OLEObject Type="Embed" ProgID="Equation.DSMT4" ShapeID="_x0000_i1035" DrawAspect="Content" ObjectID="_1660649132" r:id="rId54"/>
        </w:object>
      </w:r>
      <w:r w:rsidRPr="008358CC">
        <w:rPr>
          <w:rFonts w:ascii="Arial" w:hAnsi="Arial" w:cs="Arial"/>
        </w:rPr>
        <w:t xml:space="preserve">   y </w:t>
      </w:r>
      <w:r w:rsidRPr="008358CC">
        <w:rPr>
          <w:rFonts w:ascii="Arial" w:hAnsi="Arial" w:cs="Arial"/>
          <w:position w:val="-10"/>
        </w:rPr>
        <w:object w:dxaOrig="1060" w:dyaOrig="320">
          <v:shape id="_x0000_i1036" type="#_x0000_t75" style="width:53.25pt;height:15.75pt" o:ole="">
            <v:imagedata r:id="rId55" o:title=""/>
          </v:shape>
          <o:OLEObject Type="Embed" ProgID="Equation.DSMT4" ShapeID="_x0000_i1036" DrawAspect="Content" ObjectID="_1660649133" r:id="rId56"/>
        </w:object>
      </w:r>
      <w:r w:rsidRPr="008358CC">
        <w:rPr>
          <w:rFonts w:ascii="Arial" w:hAnsi="Arial" w:cs="Arial"/>
        </w:rPr>
        <w:t xml:space="preserve">                                   (10)</w:t>
      </w:r>
    </w:p>
    <w:p w:rsidR="00212B85" w:rsidRPr="008358CC" w:rsidRDefault="00212B85" w:rsidP="00212B85">
      <w:pPr>
        <w:pStyle w:val="Textoindependiente"/>
        <w:jc w:val="both"/>
        <w:rPr>
          <w:rFonts w:ascii="Arial" w:hAnsi="Arial" w:cs="Arial"/>
          <w:b w:val="0"/>
          <w:sz w:val="24"/>
          <w:szCs w:val="24"/>
        </w:rPr>
      </w:pPr>
    </w:p>
    <w:p w:rsidR="00212B85" w:rsidRPr="008358CC" w:rsidRDefault="00212B85" w:rsidP="00212B85">
      <w:pPr>
        <w:pStyle w:val="Textoindependiente"/>
        <w:ind w:firstLine="567"/>
        <w:jc w:val="both"/>
        <w:rPr>
          <w:rFonts w:ascii="Arial" w:hAnsi="Arial" w:cs="Arial"/>
          <w:b w:val="0"/>
          <w:sz w:val="24"/>
          <w:szCs w:val="24"/>
        </w:rPr>
      </w:pPr>
      <w:r w:rsidRPr="008358CC">
        <w:rPr>
          <w:rFonts w:ascii="Arial" w:hAnsi="Arial" w:cs="Arial"/>
          <w:b w:val="0"/>
          <w:sz w:val="24"/>
          <w:szCs w:val="24"/>
        </w:rPr>
        <w:t xml:space="preserve">De esta forma, el problema de control de emisiones consiste en hallar los parámetros </w:t>
      </w:r>
      <w:r w:rsidRPr="008358CC">
        <w:rPr>
          <w:rFonts w:ascii="Arial" w:hAnsi="Arial" w:cs="Arial"/>
          <w:b w:val="0"/>
          <w:sz w:val="24"/>
          <w:szCs w:val="24"/>
          <w:lang w:val="en-US"/>
        </w:rPr>
        <w:t>λ</w:t>
      </w:r>
      <w:r w:rsidRPr="008358CC">
        <w:rPr>
          <w:rFonts w:ascii="Arial" w:hAnsi="Arial" w:cs="Arial"/>
          <w:b w:val="0"/>
          <w:i/>
          <w:sz w:val="24"/>
          <w:szCs w:val="24"/>
          <w:vertAlign w:val="subscript"/>
          <w:lang w:val="es-MX"/>
        </w:rPr>
        <w:t>i</w:t>
      </w:r>
    </w:p>
    <w:p w:rsidR="00212B85" w:rsidRPr="008358CC" w:rsidRDefault="00212B85" w:rsidP="00212B85">
      <w:pPr>
        <w:pStyle w:val="Textoindependiente"/>
        <w:jc w:val="both"/>
        <w:rPr>
          <w:rFonts w:ascii="Arial" w:hAnsi="Arial" w:cs="Arial"/>
          <w:b w:val="0"/>
          <w:i/>
          <w:sz w:val="24"/>
          <w:szCs w:val="24"/>
          <w:lang w:val="es-MX"/>
        </w:rPr>
      </w:pPr>
      <w:r w:rsidRPr="008358CC">
        <w:rPr>
          <w:rFonts w:ascii="Arial" w:hAnsi="Arial" w:cs="Arial"/>
          <w:b w:val="0"/>
          <w:sz w:val="24"/>
          <w:szCs w:val="24"/>
          <w:lang w:val="es-MX"/>
        </w:rPr>
        <w:t xml:space="preserve">(0 ≤ </w:t>
      </w:r>
      <w:r w:rsidRPr="008358CC">
        <w:rPr>
          <w:rFonts w:ascii="Arial" w:hAnsi="Arial" w:cs="Arial"/>
          <w:b w:val="0"/>
          <w:sz w:val="24"/>
          <w:szCs w:val="24"/>
          <w:lang w:val="en-US"/>
        </w:rPr>
        <w:t>λ</w:t>
      </w:r>
      <w:r w:rsidRPr="008358CC">
        <w:rPr>
          <w:rFonts w:ascii="Arial" w:hAnsi="Arial" w:cs="Arial"/>
          <w:b w:val="0"/>
          <w:i/>
          <w:sz w:val="24"/>
          <w:szCs w:val="24"/>
          <w:vertAlign w:val="subscript"/>
          <w:lang w:val="es-MX"/>
        </w:rPr>
        <w:t>i</w:t>
      </w:r>
      <w:r w:rsidRPr="008358CC">
        <w:rPr>
          <w:rFonts w:ascii="Arial" w:hAnsi="Arial" w:cs="Arial"/>
          <w:b w:val="0"/>
          <w:sz w:val="24"/>
          <w:szCs w:val="24"/>
          <w:lang w:val="es-MX"/>
        </w:rPr>
        <w:t xml:space="preserve"> ≤ 1</w:t>
      </w:r>
      <w:r w:rsidRPr="008358CC">
        <w:rPr>
          <w:rFonts w:ascii="Arial" w:hAnsi="Arial" w:cs="Arial"/>
          <w:b w:val="0"/>
          <w:sz w:val="24"/>
          <w:szCs w:val="24"/>
        </w:rPr>
        <w:t xml:space="preserve">) tal que con las emisiones corregidas </w:t>
      </w:r>
      <w:r w:rsidRPr="008358CC">
        <w:rPr>
          <w:rFonts w:ascii="Arial" w:hAnsi="Arial" w:cs="Arial"/>
          <w:b w:val="0"/>
          <w:sz w:val="24"/>
          <w:szCs w:val="24"/>
          <w:lang w:val="en-US"/>
        </w:rPr>
        <w:t>λ</w:t>
      </w:r>
      <w:r w:rsidRPr="008358CC">
        <w:rPr>
          <w:rFonts w:ascii="Arial" w:hAnsi="Arial" w:cs="Arial"/>
          <w:b w:val="0"/>
          <w:i/>
          <w:sz w:val="24"/>
          <w:szCs w:val="24"/>
          <w:vertAlign w:val="subscript"/>
          <w:lang w:val="es-MX"/>
        </w:rPr>
        <w:t>i</w:t>
      </w:r>
      <w:r w:rsidRPr="008358CC">
        <w:rPr>
          <w:rFonts w:ascii="Arial" w:hAnsi="Arial" w:cs="Arial"/>
          <w:b w:val="0"/>
          <w:i/>
          <w:sz w:val="24"/>
          <w:szCs w:val="24"/>
          <w:lang w:val="es-MX"/>
        </w:rPr>
        <w:t>f</w:t>
      </w:r>
      <w:r w:rsidRPr="008358CC">
        <w:rPr>
          <w:rFonts w:ascii="Arial" w:hAnsi="Arial" w:cs="Arial"/>
          <w:b w:val="0"/>
          <w:i/>
          <w:sz w:val="24"/>
          <w:szCs w:val="24"/>
          <w:vertAlign w:val="subscript"/>
          <w:lang w:val="es-MX"/>
        </w:rPr>
        <w:t>i</w:t>
      </w:r>
      <w:r w:rsidRPr="008358CC">
        <w:rPr>
          <w:rFonts w:ascii="Arial" w:hAnsi="Arial" w:cs="Arial"/>
          <w:b w:val="0"/>
          <w:sz w:val="24"/>
          <w:szCs w:val="24"/>
        </w:rPr>
        <w:t xml:space="preserve">, la nueva función de concentración </w:t>
      </w:r>
      <w:r w:rsidRPr="008358CC">
        <w:rPr>
          <w:rFonts w:ascii="Arial" w:hAnsi="Arial" w:cs="Arial"/>
          <w:b w:val="0"/>
          <w:i/>
          <w:sz w:val="24"/>
          <w:szCs w:val="24"/>
          <w:lang w:val="es-MX"/>
        </w:rPr>
        <w:t>φ</w:t>
      </w:r>
      <w:r w:rsidRPr="008358CC">
        <w:rPr>
          <w:rFonts w:ascii="Arial" w:hAnsi="Arial" w:cs="Arial"/>
          <w:b w:val="0"/>
          <w:sz w:val="24"/>
          <w:szCs w:val="24"/>
        </w:rPr>
        <w:t xml:space="preserve"> cumpla la norma de la calidad del aire.</w:t>
      </w:r>
    </w:p>
    <w:p w:rsidR="00212B85" w:rsidRPr="008358CC" w:rsidRDefault="00212B85" w:rsidP="00212B85">
      <w:pPr>
        <w:pStyle w:val="Textoindependiente"/>
        <w:jc w:val="both"/>
        <w:rPr>
          <w:rFonts w:ascii="Arial" w:hAnsi="Arial" w:cs="Arial"/>
          <w:b w:val="0"/>
          <w:bCs w:val="0"/>
          <w:sz w:val="24"/>
          <w:szCs w:val="24"/>
          <w:lang w:val="es-MX"/>
        </w:rPr>
      </w:pPr>
    </w:p>
    <w:p w:rsidR="00212B85" w:rsidRPr="008358CC" w:rsidRDefault="00212B85" w:rsidP="00212B85">
      <w:pPr>
        <w:pStyle w:val="BodyMath"/>
        <w:jc w:val="right"/>
        <w:rPr>
          <w:rFonts w:ascii="Arial" w:hAnsi="Arial" w:cs="Arial"/>
        </w:rPr>
      </w:pPr>
      <w:r w:rsidRPr="008358CC">
        <w:rPr>
          <w:rFonts w:ascii="Arial" w:hAnsi="Arial" w:cs="Arial"/>
          <w:position w:val="-12"/>
          <w:lang w:val="en-GB"/>
        </w:rPr>
        <w:object w:dxaOrig="2880" w:dyaOrig="360">
          <v:shape id="_x0000_i1037" type="#_x0000_t75" style="width:2in;height:18.75pt" o:ole="">
            <v:imagedata r:id="rId57" o:title=""/>
          </v:shape>
          <o:OLEObject Type="Embed" ProgID="Equation.DSMT4" ShapeID="_x0000_i1037" DrawAspect="Content" ObjectID="_1660649134" r:id="rId58"/>
        </w:object>
      </w:r>
      <w:r w:rsidRPr="008358CC">
        <w:rPr>
          <w:rFonts w:ascii="Arial" w:hAnsi="Arial" w:cs="Arial"/>
        </w:rPr>
        <w:t xml:space="preserve">                                                   (11)</w:t>
      </w:r>
    </w:p>
    <w:p w:rsidR="00212B85" w:rsidRPr="008358CC" w:rsidRDefault="00212B85" w:rsidP="00212B85">
      <w:pPr>
        <w:pStyle w:val="BodyMath"/>
        <w:jc w:val="both"/>
        <w:rPr>
          <w:rFonts w:ascii="Arial" w:hAnsi="Arial" w:cs="Arial"/>
        </w:rPr>
      </w:pPr>
    </w:p>
    <w:p w:rsidR="00212B85" w:rsidRPr="008358CC" w:rsidRDefault="00212B85" w:rsidP="00212B85">
      <w:pPr>
        <w:pStyle w:val="Textoindependiente"/>
        <w:jc w:val="both"/>
        <w:rPr>
          <w:rFonts w:ascii="Arial" w:hAnsi="Arial" w:cs="Arial"/>
          <w:b w:val="0"/>
          <w:bCs w:val="0"/>
          <w:sz w:val="24"/>
          <w:szCs w:val="24"/>
          <w:lang w:val="es-MX"/>
        </w:rPr>
      </w:pPr>
      <w:r w:rsidRPr="008358CC">
        <w:rPr>
          <w:rFonts w:ascii="Arial" w:hAnsi="Arial" w:cs="Arial"/>
          <w:b w:val="0"/>
          <w:sz w:val="24"/>
          <w:szCs w:val="24"/>
        </w:rPr>
        <w:t xml:space="preserve">Note que el porcentaje de reducción para la </w:t>
      </w:r>
      <w:r w:rsidRPr="008358CC">
        <w:rPr>
          <w:rFonts w:ascii="Arial" w:hAnsi="Arial" w:cs="Arial"/>
          <w:b w:val="0"/>
          <w:i/>
          <w:sz w:val="24"/>
          <w:szCs w:val="24"/>
          <w:lang w:val="es-MX"/>
        </w:rPr>
        <w:t>i</w:t>
      </w:r>
      <w:r w:rsidRPr="008358CC">
        <w:rPr>
          <w:rFonts w:ascii="Arial" w:hAnsi="Arial" w:cs="Arial"/>
          <w:b w:val="0"/>
          <w:sz w:val="24"/>
          <w:szCs w:val="24"/>
        </w:rPr>
        <w:t xml:space="preserve">-ésima fuente de contaminación es </w:t>
      </w:r>
      <w:r w:rsidRPr="008358CC">
        <w:rPr>
          <w:rFonts w:ascii="Arial" w:hAnsi="Arial" w:cs="Arial"/>
          <w:b w:val="0"/>
          <w:sz w:val="24"/>
          <w:szCs w:val="24"/>
          <w:lang w:val="es-MX"/>
        </w:rPr>
        <w:t xml:space="preserve">(1- </w:t>
      </w:r>
      <w:r w:rsidRPr="008358CC">
        <w:rPr>
          <w:rFonts w:ascii="Arial" w:hAnsi="Arial" w:cs="Arial"/>
          <w:b w:val="0"/>
          <w:sz w:val="24"/>
          <w:szCs w:val="24"/>
          <w:lang w:val="en-US"/>
        </w:rPr>
        <w:t>λ</w:t>
      </w:r>
      <w:r w:rsidRPr="008358CC">
        <w:rPr>
          <w:rFonts w:ascii="Arial" w:hAnsi="Arial" w:cs="Arial"/>
          <w:b w:val="0"/>
          <w:i/>
          <w:sz w:val="24"/>
          <w:szCs w:val="24"/>
          <w:vertAlign w:val="subscript"/>
          <w:lang w:val="es-MX"/>
        </w:rPr>
        <w:t>i</w:t>
      </w:r>
      <w:r w:rsidRPr="008358CC">
        <w:rPr>
          <w:rFonts w:ascii="Arial" w:hAnsi="Arial" w:cs="Arial"/>
          <w:b w:val="0"/>
          <w:sz w:val="24"/>
          <w:szCs w:val="24"/>
          <w:lang w:val="es-MX"/>
        </w:rPr>
        <w:t>) × 100</w:t>
      </w:r>
      <w:r w:rsidRPr="008358CC">
        <w:rPr>
          <w:rFonts w:ascii="Arial" w:hAnsi="Arial" w:cs="Arial"/>
          <w:b w:val="0"/>
          <w:bCs w:val="0"/>
          <w:sz w:val="24"/>
          <w:szCs w:val="24"/>
          <w:lang w:val="es-MX"/>
        </w:rPr>
        <w:t>.</w:t>
      </w:r>
    </w:p>
    <w:p w:rsidR="00212B85" w:rsidRPr="008358CC" w:rsidRDefault="00212B85" w:rsidP="00212B85">
      <w:pPr>
        <w:pStyle w:val="Textoindependiente"/>
        <w:ind w:firstLine="567"/>
        <w:jc w:val="both"/>
        <w:rPr>
          <w:rFonts w:ascii="Arial" w:hAnsi="Arial" w:cs="Arial"/>
          <w:b w:val="0"/>
          <w:i/>
          <w:sz w:val="24"/>
          <w:szCs w:val="24"/>
          <w:lang w:val="es-MX"/>
        </w:rPr>
      </w:pPr>
      <w:r w:rsidRPr="008358CC">
        <w:rPr>
          <w:rFonts w:ascii="Arial" w:hAnsi="Arial" w:cs="Arial"/>
          <w:b w:val="0"/>
          <w:sz w:val="24"/>
          <w:szCs w:val="24"/>
        </w:rPr>
        <w:t xml:space="preserve">En la ecuación (11) </w:t>
      </w:r>
      <w:r w:rsidRPr="008358CC">
        <w:rPr>
          <w:rFonts w:ascii="Arial" w:hAnsi="Arial" w:cs="Arial"/>
          <w:b w:val="0"/>
          <w:i/>
          <w:sz w:val="24"/>
          <w:szCs w:val="24"/>
          <w:lang w:val="es-MX"/>
        </w:rPr>
        <w:t>φ</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i/>
          <w:sz w:val="24"/>
          <w:szCs w:val="24"/>
          <w:lang w:val="es-MX"/>
        </w:rPr>
        <w:t>,t</w:t>
      </w:r>
      <w:r w:rsidRPr="008358CC">
        <w:rPr>
          <w:rFonts w:ascii="Arial" w:hAnsi="Arial" w:cs="Arial"/>
          <w:b w:val="0"/>
          <w:sz w:val="24"/>
          <w:szCs w:val="24"/>
          <w:lang w:val="es-MX"/>
        </w:rPr>
        <w:t>)</w:t>
      </w:r>
      <w:r w:rsidRPr="008358CC">
        <w:rPr>
          <w:rFonts w:ascii="Arial" w:hAnsi="Arial" w:cs="Arial"/>
          <w:b w:val="0"/>
          <w:sz w:val="24"/>
          <w:szCs w:val="24"/>
        </w:rPr>
        <w:t xml:space="preserve"> es la solución del siguiente problema de dispersión</w:t>
      </w:r>
    </w:p>
    <w:p w:rsidR="00212B85" w:rsidRPr="008358CC" w:rsidRDefault="00212B85" w:rsidP="00212B85">
      <w:pPr>
        <w:pStyle w:val="Textoindependiente"/>
        <w:rPr>
          <w:rFonts w:ascii="Arial" w:hAnsi="Arial" w:cs="Arial"/>
          <w:b w:val="0"/>
          <w:sz w:val="24"/>
          <w:szCs w:val="24"/>
          <w:lang w:val="es-MX"/>
        </w:rPr>
      </w:pPr>
    </w:p>
    <w:p w:rsidR="00212B85" w:rsidRPr="008358CC" w:rsidRDefault="00212B85" w:rsidP="00212B85">
      <w:pPr>
        <w:pStyle w:val="BodyMath"/>
        <w:jc w:val="right"/>
        <w:rPr>
          <w:rFonts w:ascii="Arial" w:hAnsi="Arial" w:cs="Arial"/>
        </w:rPr>
      </w:pPr>
      <w:r w:rsidRPr="008358CC">
        <w:rPr>
          <w:rFonts w:ascii="Arial" w:hAnsi="Arial" w:cs="Arial"/>
          <w:position w:val="-28"/>
          <w:lang w:val="en-GB"/>
        </w:rPr>
        <w:object w:dxaOrig="4540" w:dyaOrig="680">
          <v:shape id="_x0000_i1038" type="#_x0000_t75" style="width:227.25pt;height:33.75pt" o:ole="">
            <v:imagedata r:id="rId59" o:title=""/>
          </v:shape>
          <o:OLEObject Type="Embed" ProgID="Equation.DSMT4" ShapeID="_x0000_i1038" DrawAspect="Content" ObjectID="_1660649135" r:id="rId60"/>
        </w:object>
      </w:r>
      <w:r w:rsidRPr="008358CC">
        <w:rPr>
          <w:rFonts w:ascii="Arial" w:hAnsi="Arial" w:cs="Arial"/>
        </w:rPr>
        <w:t xml:space="preserve">                                    (12)</w:t>
      </w:r>
    </w:p>
    <w:p w:rsidR="00212B85" w:rsidRPr="008358CC" w:rsidRDefault="00212B85" w:rsidP="00212B85">
      <w:pPr>
        <w:pStyle w:val="Textoindependiente"/>
        <w:rPr>
          <w:rFonts w:ascii="Arial" w:hAnsi="Arial" w:cs="Arial"/>
          <w:b w:val="0"/>
          <w:sz w:val="24"/>
          <w:szCs w:val="24"/>
        </w:rPr>
      </w:pPr>
    </w:p>
    <w:p w:rsidR="00212B85" w:rsidRPr="008358CC" w:rsidRDefault="00212B85" w:rsidP="00212B85">
      <w:pPr>
        <w:pStyle w:val="Textoindependiente"/>
        <w:jc w:val="both"/>
        <w:rPr>
          <w:rFonts w:ascii="Arial" w:hAnsi="Arial" w:cs="Arial"/>
          <w:b w:val="0"/>
          <w:sz w:val="24"/>
          <w:szCs w:val="24"/>
        </w:rPr>
      </w:pPr>
      <w:r w:rsidRPr="008358CC">
        <w:rPr>
          <w:rFonts w:ascii="Arial" w:hAnsi="Arial" w:cs="Arial"/>
          <w:b w:val="0"/>
          <w:sz w:val="24"/>
          <w:szCs w:val="24"/>
        </w:rPr>
        <w:t>Además, ya que el modelo de dispersión (1)-(7) es lineal y tiene solución única, la solución del problema (12) se puede escribir como la siguiente combinación lineal de funciones de concentración</w:t>
      </w:r>
    </w:p>
    <w:p w:rsidR="00212B85" w:rsidRPr="008358CC" w:rsidRDefault="00212B85" w:rsidP="00212B85">
      <w:pPr>
        <w:pStyle w:val="Textoindependiente"/>
        <w:jc w:val="both"/>
        <w:rPr>
          <w:rFonts w:ascii="Arial" w:hAnsi="Arial" w:cs="Arial"/>
          <w:b w:val="0"/>
          <w:sz w:val="24"/>
          <w:szCs w:val="24"/>
          <w:lang w:val="es-MX"/>
        </w:rPr>
      </w:pPr>
    </w:p>
    <w:p w:rsidR="00212B85" w:rsidRPr="008358CC" w:rsidRDefault="00212B85" w:rsidP="00212B85">
      <w:pPr>
        <w:pStyle w:val="BodyMath"/>
        <w:jc w:val="right"/>
        <w:rPr>
          <w:rFonts w:ascii="Arial" w:hAnsi="Arial" w:cs="Arial"/>
        </w:rPr>
      </w:pPr>
      <w:r w:rsidRPr="008358CC">
        <w:rPr>
          <w:rFonts w:ascii="Arial" w:hAnsi="Arial" w:cs="Arial"/>
          <w:position w:val="-28"/>
          <w:lang w:val="en-GB"/>
        </w:rPr>
        <w:object w:dxaOrig="4680" w:dyaOrig="680">
          <v:shape id="_x0000_i1039" type="#_x0000_t75" style="width:235.5pt;height:33.75pt" o:ole="">
            <v:imagedata r:id="rId61" o:title=""/>
          </v:shape>
          <o:OLEObject Type="Embed" ProgID="Equation.DSMT4" ShapeID="_x0000_i1039" DrawAspect="Content" ObjectID="_1660649136" r:id="rId62"/>
        </w:object>
      </w:r>
      <w:r w:rsidRPr="008358CC">
        <w:rPr>
          <w:rFonts w:ascii="Arial" w:hAnsi="Arial" w:cs="Arial"/>
        </w:rPr>
        <w:t xml:space="preserve">                                  (13)</w:t>
      </w:r>
    </w:p>
    <w:p w:rsidR="00212B85" w:rsidRPr="008358CC" w:rsidRDefault="00212B85" w:rsidP="00212B85">
      <w:pPr>
        <w:pStyle w:val="BodyMath"/>
        <w:jc w:val="both"/>
        <w:rPr>
          <w:rFonts w:ascii="Arial" w:hAnsi="Arial" w:cs="Arial"/>
        </w:rPr>
      </w:pPr>
    </w:p>
    <w:p w:rsidR="00212B85" w:rsidRPr="008358CC" w:rsidRDefault="00212B85" w:rsidP="00212B85">
      <w:pPr>
        <w:pStyle w:val="Textoindependiente"/>
        <w:jc w:val="both"/>
        <w:rPr>
          <w:rFonts w:ascii="Arial" w:hAnsi="Arial" w:cs="Arial"/>
          <w:b w:val="0"/>
          <w:sz w:val="24"/>
          <w:szCs w:val="24"/>
          <w:lang w:val="es-MX"/>
        </w:rPr>
      </w:pPr>
      <w:r w:rsidRPr="008358CC">
        <w:rPr>
          <w:rFonts w:ascii="Arial" w:hAnsi="Arial" w:cs="Arial"/>
          <w:b w:val="0"/>
          <w:sz w:val="24"/>
          <w:szCs w:val="24"/>
        </w:rPr>
        <w:t xml:space="preserve">para cualquier conjunto de coeficientes de amortiguamiento no negativos </w:t>
      </w:r>
      <w:r w:rsidRPr="008358CC">
        <w:rPr>
          <w:rFonts w:ascii="Arial" w:hAnsi="Arial" w:cs="Arial"/>
          <w:b w:val="0"/>
          <w:sz w:val="24"/>
          <w:szCs w:val="24"/>
          <w:lang w:val="en-US"/>
        </w:rPr>
        <w:t>λ</w:t>
      </w:r>
      <w:r w:rsidRPr="008358CC">
        <w:rPr>
          <w:rFonts w:ascii="Arial" w:hAnsi="Arial" w:cs="Arial"/>
          <w:b w:val="0"/>
          <w:i/>
          <w:sz w:val="24"/>
          <w:szCs w:val="24"/>
          <w:vertAlign w:val="subscript"/>
          <w:lang w:val="es-MX"/>
        </w:rPr>
        <w:t>i</w:t>
      </w:r>
      <w:r w:rsidRPr="008358CC">
        <w:rPr>
          <w:rFonts w:ascii="Arial" w:hAnsi="Arial" w:cs="Arial"/>
          <w:b w:val="0"/>
          <w:sz w:val="24"/>
          <w:szCs w:val="24"/>
          <w:lang w:val="es-MX"/>
        </w:rPr>
        <w:t xml:space="preserve"> ≤ 1, </w:t>
      </w:r>
      <w:r w:rsidRPr="008358CC">
        <w:rPr>
          <w:rFonts w:ascii="Arial" w:hAnsi="Arial" w:cs="Arial"/>
          <w:b w:val="0"/>
          <w:i/>
          <w:sz w:val="24"/>
          <w:szCs w:val="24"/>
          <w:lang w:val="es-MX"/>
        </w:rPr>
        <w:t xml:space="preserve">i = </w:t>
      </w:r>
      <w:r w:rsidRPr="008358CC">
        <w:rPr>
          <w:rFonts w:ascii="Arial" w:hAnsi="Arial" w:cs="Arial"/>
          <w:b w:val="0"/>
          <w:sz w:val="24"/>
          <w:szCs w:val="24"/>
          <w:lang w:val="es-MX"/>
        </w:rPr>
        <w:t>1</w:t>
      </w:r>
      <w:r w:rsidRPr="008358CC">
        <w:rPr>
          <w:rFonts w:ascii="Arial" w:hAnsi="Arial" w:cs="Arial"/>
          <w:b w:val="0"/>
          <w:i/>
          <w:sz w:val="24"/>
          <w:szCs w:val="24"/>
          <w:lang w:val="es-MX"/>
        </w:rPr>
        <w:t>,…,N</w:t>
      </w:r>
      <w:r w:rsidRPr="008358CC">
        <w:rPr>
          <w:sz w:val="24"/>
          <w:szCs w:val="24"/>
        </w:rPr>
        <w:t>,</w:t>
      </w:r>
      <w:r w:rsidRPr="008358CC">
        <w:rPr>
          <w:rFonts w:ascii="Arial" w:hAnsi="Arial" w:cs="Arial"/>
          <w:b w:val="0"/>
          <w:sz w:val="24"/>
          <w:szCs w:val="24"/>
        </w:rPr>
        <w:t xml:space="preserve"> y donde</w:t>
      </w:r>
      <w:r w:rsidRPr="008358CC">
        <w:rPr>
          <w:b w:val="0"/>
          <w:sz w:val="24"/>
          <w:szCs w:val="24"/>
        </w:rPr>
        <w:t xml:space="preserve"> </w:t>
      </w:r>
      <w:r w:rsidRPr="008358CC">
        <w:rPr>
          <w:rFonts w:ascii="Arial" w:hAnsi="Arial" w:cs="Arial"/>
          <w:b w:val="0"/>
          <w:i/>
          <w:sz w:val="24"/>
          <w:szCs w:val="24"/>
          <w:lang w:val="es-MX"/>
        </w:rPr>
        <w:t>C</w:t>
      </w:r>
      <w:r w:rsidRPr="008358CC">
        <w:rPr>
          <w:rFonts w:ascii="Arial" w:hAnsi="Arial" w:cs="Arial"/>
          <w:b w:val="0"/>
          <w:i/>
          <w:sz w:val="24"/>
          <w:szCs w:val="24"/>
          <w:vertAlign w:val="subscript"/>
          <w:lang w:val="es-MX"/>
        </w:rPr>
        <w:t>i</w:t>
      </w:r>
      <w:r w:rsidRPr="008358CC">
        <w:rPr>
          <w:rFonts w:ascii="Arial" w:hAnsi="Arial" w:cs="Arial"/>
          <w:b w:val="0"/>
          <w:sz w:val="24"/>
          <w:szCs w:val="24"/>
          <w:lang w:val="es-MX"/>
        </w:rPr>
        <w:t xml:space="preserve"> = </w:t>
      </w:r>
      <w:r w:rsidRPr="008358CC">
        <w:rPr>
          <w:rFonts w:ascii="Arial" w:hAnsi="Arial" w:cs="Arial"/>
          <w:b w:val="0"/>
          <w:i/>
          <w:sz w:val="24"/>
          <w:szCs w:val="24"/>
          <w:lang w:val="es-MX"/>
        </w:rPr>
        <w:t>C</w:t>
      </w:r>
      <w:r w:rsidRPr="008358CC">
        <w:rPr>
          <w:rFonts w:ascii="Arial" w:hAnsi="Arial" w:cs="Arial"/>
          <w:b w:val="0"/>
          <w:i/>
          <w:sz w:val="24"/>
          <w:szCs w:val="24"/>
          <w:vertAlign w:val="subscript"/>
          <w:lang w:val="es-MX"/>
        </w:rPr>
        <w:t xml:space="preserve">i </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i/>
          <w:sz w:val="24"/>
          <w:szCs w:val="24"/>
          <w:lang w:val="es-MX"/>
        </w:rPr>
        <w:t>,t</w:t>
      </w:r>
      <w:r w:rsidRPr="008358CC">
        <w:rPr>
          <w:rFonts w:ascii="Arial" w:hAnsi="Arial" w:cs="Arial"/>
          <w:b w:val="0"/>
          <w:sz w:val="24"/>
          <w:szCs w:val="24"/>
          <w:lang w:val="es-MX"/>
        </w:rPr>
        <w:t xml:space="preserve">),  </w:t>
      </w:r>
      <w:r w:rsidRPr="008358CC">
        <w:rPr>
          <w:rFonts w:ascii="Arial" w:hAnsi="Arial" w:cs="Arial"/>
          <w:b w:val="0"/>
          <w:i/>
          <w:sz w:val="24"/>
          <w:szCs w:val="24"/>
          <w:lang w:val="es-MX"/>
        </w:rPr>
        <w:t xml:space="preserve">i = </w:t>
      </w:r>
      <w:r w:rsidRPr="008358CC">
        <w:rPr>
          <w:rFonts w:ascii="Arial" w:hAnsi="Arial" w:cs="Arial"/>
          <w:b w:val="0"/>
          <w:sz w:val="24"/>
          <w:szCs w:val="24"/>
          <w:lang w:val="es-MX"/>
        </w:rPr>
        <w:t>0</w:t>
      </w:r>
      <w:r w:rsidRPr="008358CC">
        <w:rPr>
          <w:rFonts w:ascii="Arial" w:hAnsi="Arial" w:cs="Arial"/>
          <w:b w:val="0"/>
          <w:i/>
          <w:sz w:val="24"/>
          <w:szCs w:val="24"/>
          <w:lang w:val="es-MX"/>
        </w:rPr>
        <w:t>,… N</w:t>
      </w:r>
      <w:r w:rsidRPr="008358CC">
        <w:rPr>
          <w:rFonts w:ascii="Arial" w:hAnsi="Arial" w:cs="Arial"/>
          <w:b w:val="0"/>
          <w:sz w:val="24"/>
          <w:szCs w:val="24"/>
        </w:rPr>
        <w:t>, son las soluciones de los siguientes problemas de dispersión:</w:t>
      </w:r>
    </w:p>
    <w:p w:rsidR="00212B85" w:rsidRPr="008358CC" w:rsidRDefault="00212B85" w:rsidP="00212B85">
      <w:pPr>
        <w:pStyle w:val="Textoindependiente"/>
        <w:rPr>
          <w:rFonts w:ascii="Arial" w:hAnsi="Arial" w:cs="Arial"/>
          <w:b w:val="0"/>
          <w:sz w:val="24"/>
          <w:szCs w:val="24"/>
        </w:rPr>
      </w:pPr>
    </w:p>
    <w:p w:rsidR="00212B85" w:rsidRPr="008358CC" w:rsidRDefault="00212B85" w:rsidP="00212B85">
      <w:pPr>
        <w:pStyle w:val="BodyMath"/>
        <w:jc w:val="right"/>
        <w:rPr>
          <w:rFonts w:ascii="Arial" w:hAnsi="Arial" w:cs="Arial"/>
        </w:rPr>
      </w:pPr>
      <w:r w:rsidRPr="008358CC">
        <w:rPr>
          <w:rFonts w:ascii="Arial" w:hAnsi="Arial" w:cs="Arial"/>
          <w:position w:val="-24"/>
          <w:lang w:val="en-GB"/>
        </w:rPr>
        <w:object w:dxaOrig="4000" w:dyaOrig="639">
          <v:shape id="_x0000_i1040" type="#_x0000_t75" style="width:199.5pt;height:32.25pt" o:ole="">
            <v:imagedata r:id="rId63" o:title=""/>
          </v:shape>
          <o:OLEObject Type="Embed" ProgID="Equation.DSMT4" ShapeID="_x0000_i1040" DrawAspect="Content" ObjectID="_1660649137" r:id="rId64"/>
        </w:object>
      </w:r>
      <w:r w:rsidRPr="008358CC">
        <w:rPr>
          <w:rFonts w:ascii="Arial" w:hAnsi="Arial" w:cs="Arial"/>
        </w:rPr>
        <w:t xml:space="preserve">                                          (14)</w:t>
      </w:r>
    </w:p>
    <w:p w:rsidR="00212B85" w:rsidRPr="008358CC" w:rsidRDefault="00212B85" w:rsidP="00212B85">
      <w:pPr>
        <w:pStyle w:val="Textoindependiente"/>
        <w:rPr>
          <w:rFonts w:ascii="Arial" w:hAnsi="Arial" w:cs="Arial"/>
          <w:b w:val="0"/>
          <w:sz w:val="24"/>
          <w:szCs w:val="24"/>
        </w:rPr>
      </w:pPr>
    </w:p>
    <w:p w:rsidR="00212B85" w:rsidRPr="008358CC" w:rsidRDefault="00212B85" w:rsidP="00212B85">
      <w:pPr>
        <w:pStyle w:val="Textoindependiente"/>
        <w:rPr>
          <w:rFonts w:ascii="Arial" w:hAnsi="Arial" w:cs="Arial"/>
          <w:b w:val="0"/>
          <w:sz w:val="24"/>
          <w:szCs w:val="24"/>
        </w:rPr>
      </w:pPr>
      <w:r w:rsidRPr="008358CC">
        <w:rPr>
          <w:rFonts w:ascii="Arial" w:hAnsi="Arial" w:cs="Arial"/>
          <w:b w:val="0"/>
          <w:sz w:val="24"/>
          <w:szCs w:val="24"/>
        </w:rPr>
        <w:t>y</w:t>
      </w:r>
    </w:p>
    <w:p w:rsidR="00212B85" w:rsidRPr="008358CC" w:rsidRDefault="00212B85" w:rsidP="00212B85">
      <w:pPr>
        <w:pStyle w:val="BodyMath"/>
        <w:jc w:val="right"/>
        <w:rPr>
          <w:rFonts w:ascii="Arial" w:hAnsi="Arial" w:cs="Arial"/>
        </w:rPr>
      </w:pPr>
      <w:r w:rsidRPr="008358CC">
        <w:rPr>
          <w:rFonts w:ascii="Arial" w:hAnsi="Arial" w:cs="Arial"/>
          <w:position w:val="-24"/>
          <w:lang w:val="en-GB"/>
        </w:rPr>
        <w:object w:dxaOrig="5200" w:dyaOrig="639">
          <v:shape id="_x0000_i1041" type="#_x0000_t75" style="width:260.25pt;height:32.25pt" o:ole="">
            <v:imagedata r:id="rId65" o:title=""/>
          </v:shape>
          <o:OLEObject Type="Embed" ProgID="Equation.DSMT4" ShapeID="_x0000_i1041" DrawAspect="Content" ObjectID="_1660649138" r:id="rId66"/>
        </w:object>
      </w:r>
      <w:r w:rsidRPr="008358CC">
        <w:rPr>
          <w:rFonts w:ascii="Arial" w:hAnsi="Arial" w:cs="Arial"/>
        </w:rPr>
        <w:t xml:space="preserve">                                (15)</w:t>
      </w:r>
    </w:p>
    <w:p w:rsidR="00212B85" w:rsidRPr="008358CC" w:rsidRDefault="00212B85" w:rsidP="00212B85">
      <w:pPr>
        <w:pStyle w:val="Textoindependiente"/>
        <w:rPr>
          <w:rFonts w:ascii="Arial" w:hAnsi="Arial" w:cs="Arial"/>
          <w:b w:val="0"/>
          <w:sz w:val="24"/>
          <w:szCs w:val="24"/>
          <w:lang w:val="es-MX"/>
        </w:rPr>
      </w:pPr>
    </w:p>
    <w:p w:rsidR="00212B85" w:rsidRPr="008358CC" w:rsidRDefault="00212B85" w:rsidP="00212B85">
      <w:pPr>
        <w:pStyle w:val="Textoindependiente"/>
        <w:ind w:firstLine="567"/>
        <w:jc w:val="both"/>
        <w:rPr>
          <w:rFonts w:ascii="Arial" w:hAnsi="Arial" w:cs="Arial"/>
          <w:b w:val="0"/>
          <w:sz w:val="24"/>
          <w:szCs w:val="24"/>
        </w:rPr>
      </w:pPr>
      <w:r w:rsidRPr="008358CC">
        <w:rPr>
          <w:rFonts w:ascii="Arial" w:hAnsi="Arial" w:cs="Arial"/>
          <w:b w:val="0"/>
          <w:sz w:val="24"/>
          <w:szCs w:val="24"/>
          <w:lang w:val="es-MX"/>
        </w:rPr>
        <w:t>Debido a</w:t>
      </w:r>
      <w:r w:rsidRPr="008358CC">
        <w:rPr>
          <w:rFonts w:ascii="Arial" w:hAnsi="Arial" w:cs="Arial"/>
          <w:b w:val="0"/>
          <w:sz w:val="24"/>
          <w:szCs w:val="24"/>
        </w:rPr>
        <w:t xml:space="preserve"> la ecuación (13), la condición (10) es equivalente a la siguiente relación:</w:t>
      </w:r>
    </w:p>
    <w:p w:rsidR="00212B85" w:rsidRPr="008358CC" w:rsidRDefault="00212B85" w:rsidP="00212B85">
      <w:pPr>
        <w:pStyle w:val="Textoindependiente"/>
        <w:jc w:val="both"/>
        <w:rPr>
          <w:rFonts w:ascii="Arial" w:hAnsi="Arial" w:cs="Arial"/>
          <w:b w:val="0"/>
          <w:sz w:val="24"/>
          <w:szCs w:val="24"/>
        </w:rPr>
      </w:pPr>
    </w:p>
    <w:p w:rsidR="00212B85" w:rsidRPr="008358CC" w:rsidRDefault="00212B85" w:rsidP="00212B85">
      <w:pPr>
        <w:pStyle w:val="BodyMath"/>
        <w:jc w:val="right"/>
        <w:rPr>
          <w:rFonts w:ascii="Arial" w:hAnsi="Arial" w:cs="Arial"/>
        </w:rPr>
      </w:pPr>
      <w:r w:rsidRPr="008358CC">
        <w:rPr>
          <w:rFonts w:ascii="Arial" w:hAnsi="Arial" w:cs="Arial"/>
          <w:position w:val="-28"/>
          <w:lang w:val="en-GB"/>
        </w:rPr>
        <w:object w:dxaOrig="3980" w:dyaOrig="680">
          <v:shape id="_x0000_i1042" type="#_x0000_t75" style="width:200.25pt;height:33.75pt" o:ole="">
            <v:imagedata r:id="rId67" o:title=""/>
          </v:shape>
          <o:OLEObject Type="Embed" ProgID="Equation.DSMT4" ShapeID="_x0000_i1042" DrawAspect="Content" ObjectID="_1660649139" r:id="rId68"/>
        </w:object>
      </w:r>
      <w:r w:rsidRPr="008358CC">
        <w:rPr>
          <w:rFonts w:ascii="Arial" w:hAnsi="Arial" w:cs="Arial"/>
        </w:rPr>
        <w:t xml:space="preserve">                                        (16)</w:t>
      </w:r>
    </w:p>
    <w:p w:rsidR="00212B85" w:rsidRPr="008358CC" w:rsidRDefault="00212B85" w:rsidP="00212B85">
      <w:pPr>
        <w:pStyle w:val="Textoindependiente"/>
        <w:rPr>
          <w:rFonts w:ascii="Arial" w:hAnsi="Arial" w:cs="Arial"/>
          <w:b w:val="0"/>
          <w:sz w:val="24"/>
          <w:szCs w:val="24"/>
        </w:rPr>
      </w:pPr>
    </w:p>
    <w:p w:rsidR="00212B85" w:rsidRPr="008358CC" w:rsidRDefault="00212B85" w:rsidP="00212B85">
      <w:pPr>
        <w:pStyle w:val="Textoindependiente"/>
        <w:jc w:val="both"/>
        <w:rPr>
          <w:rFonts w:ascii="Arial" w:hAnsi="Arial" w:cs="Arial"/>
          <w:b w:val="0"/>
          <w:sz w:val="24"/>
          <w:szCs w:val="24"/>
          <w:lang w:val="es-MX"/>
        </w:rPr>
      </w:pPr>
      <w:r w:rsidRPr="008358CC">
        <w:rPr>
          <w:rFonts w:ascii="Arial" w:hAnsi="Arial" w:cs="Arial"/>
          <w:b w:val="0"/>
          <w:sz w:val="24"/>
          <w:szCs w:val="24"/>
        </w:rPr>
        <w:t xml:space="preserve">En donde </w:t>
      </w:r>
      <w:r w:rsidRPr="008358CC">
        <w:rPr>
          <w:rFonts w:ascii="Arial" w:hAnsi="Arial" w:cs="Arial"/>
          <w:b w:val="0"/>
          <w:i/>
          <w:iCs/>
          <w:sz w:val="24"/>
          <w:szCs w:val="24"/>
          <w:lang w:val="en-US"/>
        </w:rPr>
        <w:t>α</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i/>
          <w:sz w:val="24"/>
          <w:szCs w:val="24"/>
          <w:lang w:val="es-MX"/>
        </w:rPr>
        <w:t>,t</w:t>
      </w:r>
      <w:r w:rsidRPr="008358CC">
        <w:rPr>
          <w:rFonts w:ascii="Arial" w:hAnsi="Arial" w:cs="Arial"/>
          <w:b w:val="0"/>
          <w:sz w:val="24"/>
          <w:szCs w:val="24"/>
          <w:lang w:val="es-MX"/>
        </w:rPr>
        <w:t xml:space="preserve">) = </w:t>
      </w:r>
      <w:r w:rsidRPr="008358CC">
        <w:rPr>
          <w:rFonts w:ascii="Arial" w:hAnsi="Arial" w:cs="Arial"/>
          <w:b w:val="0"/>
          <w:i/>
          <w:sz w:val="24"/>
          <w:szCs w:val="24"/>
          <w:lang w:val="es-MX"/>
        </w:rPr>
        <w:t>J</w:t>
      </w:r>
      <w:r w:rsidRPr="008358CC">
        <w:rPr>
          <w:rFonts w:ascii="Arial" w:hAnsi="Arial" w:cs="Arial"/>
          <w:b w:val="0"/>
          <w:i/>
          <w:sz w:val="24"/>
          <w:szCs w:val="24"/>
          <w:vertAlign w:val="subscript"/>
          <w:lang w:val="es-MX"/>
        </w:rPr>
        <w:t>0</w:t>
      </w:r>
      <w:r w:rsidRPr="008358CC">
        <w:rPr>
          <w:rFonts w:ascii="Arial" w:hAnsi="Arial" w:cs="Arial"/>
          <w:b w:val="0"/>
          <w:sz w:val="24"/>
          <w:szCs w:val="24"/>
          <w:lang w:val="es-MX"/>
        </w:rPr>
        <w:t xml:space="preserve"> </w:t>
      </w:r>
      <w:r w:rsidRPr="008358CC">
        <w:rPr>
          <w:rFonts w:ascii="Arial" w:hAnsi="Arial" w:cs="Arial"/>
          <w:b w:val="0"/>
          <w:i/>
          <w:sz w:val="24"/>
          <w:szCs w:val="24"/>
          <w:lang w:val="es-MX"/>
        </w:rPr>
        <w:t>– C</w:t>
      </w:r>
      <w:r w:rsidRPr="008358CC">
        <w:rPr>
          <w:rFonts w:ascii="Arial" w:hAnsi="Arial" w:cs="Arial"/>
          <w:b w:val="0"/>
          <w:i/>
          <w:sz w:val="24"/>
          <w:szCs w:val="24"/>
          <w:vertAlign w:val="subscript"/>
          <w:lang w:val="es-MX"/>
        </w:rPr>
        <w:t>0</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i/>
          <w:sz w:val="24"/>
          <w:szCs w:val="24"/>
          <w:lang w:val="es-MX"/>
        </w:rPr>
        <w:t>,t</w:t>
      </w:r>
      <w:r w:rsidRPr="008358CC">
        <w:rPr>
          <w:rFonts w:ascii="Arial" w:hAnsi="Arial" w:cs="Arial"/>
          <w:b w:val="0"/>
          <w:sz w:val="24"/>
          <w:szCs w:val="24"/>
          <w:lang w:val="es-MX"/>
        </w:rPr>
        <w:t>)</w:t>
      </w:r>
      <w:r w:rsidRPr="008358CC">
        <w:rPr>
          <w:rFonts w:ascii="Arial" w:hAnsi="Arial" w:cs="Arial"/>
          <w:b w:val="0"/>
          <w:sz w:val="24"/>
          <w:szCs w:val="24"/>
        </w:rPr>
        <w:t xml:space="preserve"> es una función continua que indica diferentes casos para el problema de control. Al definir el parámetro </w:t>
      </w:r>
      <w:r w:rsidRPr="008358CC">
        <w:rPr>
          <w:rFonts w:ascii="Arial" w:hAnsi="Arial" w:cs="Arial"/>
          <w:b w:val="0"/>
          <w:i/>
          <w:iCs/>
          <w:sz w:val="24"/>
          <w:szCs w:val="24"/>
          <w:lang w:val="en-US"/>
        </w:rPr>
        <w:t>α</w:t>
      </w:r>
      <w:r w:rsidRPr="008358CC">
        <w:rPr>
          <w:rFonts w:ascii="Arial" w:hAnsi="Arial" w:cs="Arial"/>
          <w:b w:val="0"/>
          <w:i/>
          <w:sz w:val="24"/>
          <w:szCs w:val="24"/>
          <w:vertAlign w:val="subscript"/>
          <w:lang w:val="es-MX"/>
        </w:rPr>
        <w:t>0</w:t>
      </w:r>
      <w:r w:rsidRPr="008358CC">
        <w:rPr>
          <w:rFonts w:ascii="Arial" w:hAnsi="Arial" w:cs="Arial"/>
          <w:b w:val="0"/>
          <w:sz w:val="24"/>
          <w:szCs w:val="24"/>
        </w:rPr>
        <w:t xml:space="preserve"> como</w:t>
      </w:r>
    </w:p>
    <w:p w:rsidR="00212B85" w:rsidRPr="008358CC" w:rsidRDefault="00212B85" w:rsidP="00212B85">
      <w:pPr>
        <w:pStyle w:val="BodyMath"/>
        <w:rPr>
          <w:rFonts w:ascii="Arial" w:hAnsi="Arial" w:cs="Arial"/>
        </w:rPr>
      </w:pPr>
    </w:p>
    <w:p w:rsidR="00212B85" w:rsidRPr="008358CC" w:rsidRDefault="00212B85" w:rsidP="00212B85">
      <w:pPr>
        <w:pStyle w:val="Textoindependiente"/>
        <w:jc w:val="right"/>
        <w:rPr>
          <w:rFonts w:ascii="Arial" w:hAnsi="Arial" w:cs="Arial"/>
          <w:b w:val="0"/>
          <w:sz w:val="24"/>
          <w:szCs w:val="24"/>
          <w:lang w:val="es-MX"/>
        </w:rPr>
      </w:pPr>
      <w:r w:rsidRPr="008358CC">
        <w:rPr>
          <w:rFonts w:ascii="Arial" w:hAnsi="Arial" w:cs="Arial"/>
          <w:b w:val="0"/>
          <w:position w:val="-18"/>
          <w:sz w:val="24"/>
          <w:szCs w:val="24"/>
          <w:lang w:val="en-GB"/>
        </w:rPr>
        <w:object w:dxaOrig="3620" w:dyaOrig="480">
          <v:shape id="_x0000_i1043" type="#_x0000_t75" style="width:180.75pt;height:24pt" o:ole="">
            <v:imagedata r:id="rId69" o:title=""/>
          </v:shape>
          <o:OLEObject Type="Embed" ProgID="Equation.DSMT4" ShapeID="_x0000_i1043" DrawAspect="Content" ObjectID="_1660649140" r:id="rId70"/>
        </w:object>
      </w:r>
      <w:r w:rsidRPr="008358CC">
        <w:rPr>
          <w:rFonts w:ascii="Arial" w:hAnsi="Arial" w:cs="Arial"/>
          <w:b w:val="0"/>
          <w:sz w:val="24"/>
          <w:szCs w:val="24"/>
          <w:lang w:val="es-MX"/>
        </w:rPr>
        <w:t xml:space="preserve">                                         (17)</w:t>
      </w:r>
    </w:p>
    <w:p w:rsidR="00212B85" w:rsidRPr="008358CC" w:rsidRDefault="00212B85" w:rsidP="00212B85">
      <w:pPr>
        <w:pStyle w:val="BodyMath"/>
        <w:jc w:val="both"/>
        <w:rPr>
          <w:rFonts w:ascii="Arial" w:hAnsi="Arial" w:cs="Arial"/>
        </w:rPr>
      </w:pPr>
    </w:p>
    <w:p w:rsidR="00212B85" w:rsidRPr="008358CC" w:rsidRDefault="00212B85" w:rsidP="00212B85">
      <w:pPr>
        <w:pStyle w:val="Textoindependiente"/>
        <w:jc w:val="both"/>
        <w:rPr>
          <w:rFonts w:ascii="Arial" w:hAnsi="Arial" w:cs="Arial"/>
          <w:b w:val="0"/>
          <w:sz w:val="24"/>
          <w:szCs w:val="24"/>
          <w:lang w:val="es-MX"/>
        </w:rPr>
      </w:pPr>
      <w:r w:rsidRPr="008358CC">
        <w:rPr>
          <w:rFonts w:ascii="Arial" w:hAnsi="Arial" w:cs="Arial"/>
          <w:b w:val="0"/>
          <w:sz w:val="24"/>
          <w:szCs w:val="24"/>
        </w:rPr>
        <w:lastRenderedPageBreak/>
        <w:t>se establece que el problema de control tiene solución no trivial si</w:t>
      </w:r>
      <w:r w:rsidRPr="008358CC">
        <w:rPr>
          <w:b w:val="0"/>
          <w:sz w:val="24"/>
          <w:szCs w:val="24"/>
          <w:lang w:val="es-MX"/>
        </w:rPr>
        <w:t xml:space="preserve"> </w:t>
      </w:r>
      <w:r w:rsidRPr="008358CC">
        <w:rPr>
          <w:rFonts w:ascii="Arial" w:hAnsi="Arial" w:cs="Arial"/>
          <w:b w:val="0"/>
          <w:i/>
          <w:iCs/>
          <w:sz w:val="24"/>
          <w:szCs w:val="24"/>
          <w:lang w:val="en-US"/>
        </w:rPr>
        <w:t>α</w:t>
      </w:r>
      <w:r w:rsidRPr="008358CC">
        <w:rPr>
          <w:rFonts w:ascii="Arial" w:hAnsi="Arial" w:cs="Arial"/>
          <w:b w:val="0"/>
          <w:i/>
          <w:sz w:val="24"/>
          <w:szCs w:val="24"/>
          <w:vertAlign w:val="subscript"/>
          <w:lang w:val="es-MX"/>
        </w:rPr>
        <w:t>0</w:t>
      </w:r>
      <w:r w:rsidRPr="008358CC">
        <w:rPr>
          <w:rFonts w:ascii="Arial" w:hAnsi="Arial" w:cs="Arial"/>
          <w:b w:val="0"/>
          <w:sz w:val="24"/>
          <w:szCs w:val="24"/>
          <w:lang w:val="es-MX"/>
        </w:rPr>
        <w:t xml:space="preserve"> &gt; 0</w:t>
      </w:r>
      <w:r w:rsidRPr="008358CC">
        <w:rPr>
          <w:rFonts w:ascii="Arial" w:hAnsi="Arial" w:cs="Arial"/>
          <w:sz w:val="24"/>
          <w:szCs w:val="24"/>
        </w:rPr>
        <w:t xml:space="preserve">, </w:t>
      </w:r>
      <w:r w:rsidRPr="008358CC">
        <w:rPr>
          <w:rFonts w:ascii="Arial" w:hAnsi="Arial" w:cs="Arial"/>
          <w:b w:val="0"/>
          <w:sz w:val="24"/>
          <w:szCs w:val="24"/>
        </w:rPr>
        <w:t xml:space="preserve">de otra forma, la concentración inicial del contaminante es tan grande que la única opción para controlar la contaminación es definir </w:t>
      </w:r>
      <w:r w:rsidRPr="008358CC">
        <w:rPr>
          <w:rFonts w:ascii="Arial" w:hAnsi="Arial" w:cs="Arial"/>
          <w:b w:val="0"/>
          <w:sz w:val="24"/>
          <w:szCs w:val="24"/>
          <w:lang w:val="en-US"/>
        </w:rPr>
        <w:t>λ</w:t>
      </w:r>
      <w:r w:rsidRPr="008358CC">
        <w:rPr>
          <w:rFonts w:ascii="Arial" w:hAnsi="Arial" w:cs="Arial"/>
          <w:b w:val="0"/>
          <w:i/>
          <w:sz w:val="24"/>
          <w:szCs w:val="24"/>
          <w:vertAlign w:val="subscript"/>
          <w:lang w:val="es-MX"/>
        </w:rPr>
        <w:t>i</w:t>
      </w:r>
      <w:r w:rsidRPr="008358CC">
        <w:rPr>
          <w:rFonts w:ascii="Arial" w:hAnsi="Arial" w:cs="Arial"/>
          <w:b w:val="0"/>
          <w:sz w:val="24"/>
          <w:szCs w:val="24"/>
          <w:lang w:val="es-MX"/>
        </w:rPr>
        <w:t xml:space="preserve"> = 0, </w:t>
      </w:r>
      <w:r w:rsidRPr="008358CC">
        <w:rPr>
          <w:rFonts w:ascii="Arial" w:hAnsi="Arial" w:cs="Arial"/>
          <w:b w:val="0"/>
          <w:i/>
          <w:sz w:val="24"/>
          <w:szCs w:val="24"/>
          <w:lang w:val="es-MX"/>
        </w:rPr>
        <w:t xml:space="preserve">i = </w:t>
      </w:r>
      <w:r w:rsidRPr="008358CC">
        <w:rPr>
          <w:rFonts w:ascii="Arial" w:hAnsi="Arial" w:cs="Arial"/>
          <w:b w:val="0"/>
          <w:sz w:val="24"/>
          <w:szCs w:val="24"/>
          <w:lang w:val="es-MX"/>
        </w:rPr>
        <w:t>1</w:t>
      </w:r>
      <w:r w:rsidRPr="008358CC">
        <w:rPr>
          <w:rFonts w:ascii="Arial" w:hAnsi="Arial" w:cs="Arial"/>
          <w:b w:val="0"/>
          <w:i/>
          <w:sz w:val="24"/>
          <w:szCs w:val="24"/>
          <w:lang w:val="es-MX"/>
        </w:rPr>
        <w:t>,…,N</w:t>
      </w:r>
      <w:r w:rsidRPr="008358CC">
        <w:rPr>
          <w:rFonts w:ascii="Arial" w:hAnsi="Arial" w:cs="Arial"/>
          <w:b w:val="0"/>
          <w:sz w:val="24"/>
          <w:szCs w:val="24"/>
        </w:rPr>
        <w:t xml:space="preserve"> (suspender todas las emisiones). Además, las cotas superiores </w:t>
      </w:r>
      <w:r w:rsidRPr="008358CC">
        <w:rPr>
          <w:rFonts w:ascii="Arial" w:hAnsi="Arial" w:cs="Arial"/>
          <w:b w:val="0"/>
          <w:sz w:val="24"/>
          <w:szCs w:val="24"/>
          <w:lang w:val="en-US"/>
        </w:rPr>
        <w:t>λ</w:t>
      </w:r>
      <w:r w:rsidRPr="008358CC">
        <w:rPr>
          <w:rFonts w:ascii="Arial" w:hAnsi="Arial" w:cs="Arial"/>
          <w:b w:val="0"/>
          <w:i/>
          <w:sz w:val="24"/>
          <w:szCs w:val="24"/>
          <w:vertAlign w:val="subscript"/>
          <w:lang w:val="es-MX"/>
        </w:rPr>
        <w:t>i</w:t>
      </w:r>
      <w:r w:rsidRPr="008358CC">
        <w:rPr>
          <w:rFonts w:ascii="Arial" w:hAnsi="Arial" w:cs="Arial"/>
          <w:b w:val="0"/>
          <w:sz w:val="24"/>
          <w:szCs w:val="24"/>
          <w:vertAlign w:val="superscript"/>
          <w:lang w:val="es-MX"/>
        </w:rPr>
        <w:t>u</w:t>
      </w:r>
      <w:r w:rsidRPr="008358CC">
        <w:rPr>
          <w:rFonts w:ascii="Arial" w:hAnsi="Arial" w:cs="Arial"/>
          <w:b w:val="0"/>
          <w:sz w:val="24"/>
          <w:szCs w:val="24"/>
        </w:rPr>
        <w:t xml:space="preserve"> para los coeficientes de amortiguamiento </w:t>
      </w:r>
      <w:r w:rsidRPr="008358CC">
        <w:rPr>
          <w:rFonts w:ascii="Arial" w:hAnsi="Arial" w:cs="Arial"/>
          <w:b w:val="0"/>
          <w:sz w:val="24"/>
          <w:szCs w:val="24"/>
          <w:lang w:val="en-US"/>
        </w:rPr>
        <w:t>λ</w:t>
      </w:r>
      <w:r w:rsidRPr="008358CC">
        <w:rPr>
          <w:rFonts w:ascii="Arial" w:hAnsi="Arial" w:cs="Arial"/>
          <w:b w:val="0"/>
          <w:i/>
          <w:sz w:val="24"/>
          <w:szCs w:val="24"/>
          <w:vertAlign w:val="subscript"/>
          <w:lang w:val="es-MX"/>
        </w:rPr>
        <w:t>i</w:t>
      </w:r>
      <w:r w:rsidRPr="008358CC">
        <w:rPr>
          <w:rFonts w:ascii="Arial" w:hAnsi="Arial" w:cs="Arial"/>
          <w:b w:val="0"/>
          <w:sz w:val="24"/>
          <w:szCs w:val="24"/>
        </w:rPr>
        <w:t xml:space="preserve">, en cualquier estrategia de control que cumpla con la condición ambiental (10), están dados como sigue: </w:t>
      </w:r>
      <w:r w:rsidRPr="008358CC">
        <w:rPr>
          <w:rFonts w:ascii="Arial" w:hAnsi="Arial" w:cs="Arial"/>
          <w:b w:val="0"/>
          <w:sz w:val="24"/>
          <w:szCs w:val="24"/>
          <w:vertAlign w:val="superscript"/>
        </w:rPr>
        <w:t>[2]</w:t>
      </w:r>
    </w:p>
    <w:p w:rsidR="00212B85" w:rsidRPr="008358CC" w:rsidRDefault="00212B85" w:rsidP="00212B85">
      <w:pPr>
        <w:pStyle w:val="BodyMath"/>
        <w:jc w:val="both"/>
        <w:rPr>
          <w:rFonts w:ascii="Arial" w:hAnsi="Arial" w:cs="Arial"/>
        </w:rPr>
      </w:pPr>
    </w:p>
    <w:p w:rsidR="00212B85" w:rsidRPr="008358CC" w:rsidRDefault="00212B85" w:rsidP="00212B85">
      <w:pPr>
        <w:pStyle w:val="Textoindependiente"/>
        <w:jc w:val="right"/>
        <w:rPr>
          <w:rFonts w:ascii="Arial" w:hAnsi="Arial" w:cs="Arial"/>
          <w:b w:val="0"/>
          <w:sz w:val="24"/>
          <w:szCs w:val="24"/>
          <w:lang w:val="es-MX"/>
        </w:rPr>
      </w:pPr>
      <w:r w:rsidRPr="008358CC">
        <w:rPr>
          <w:rFonts w:ascii="Arial" w:hAnsi="Arial" w:cs="Arial"/>
          <w:b w:val="0"/>
          <w:position w:val="-14"/>
          <w:sz w:val="24"/>
          <w:szCs w:val="24"/>
          <w:lang w:val="en-GB"/>
        </w:rPr>
        <w:object w:dxaOrig="2840" w:dyaOrig="400">
          <v:shape id="_x0000_i1044" type="#_x0000_t75" style="width:141.75pt;height:20.25pt" o:ole="">
            <v:imagedata r:id="rId71" o:title=""/>
          </v:shape>
          <o:OLEObject Type="Embed" ProgID="Equation.DSMT4" ShapeID="_x0000_i1044" DrawAspect="Content" ObjectID="_1660649141" r:id="rId72"/>
        </w:object>
      </w:r>
      <w:r w:rsidRPr="008358CC">
        <w:rPr>
          <w:rFonts w:ascii="Arial" w:hAnsi="Arial" w:cs="Arial"/>
          <w:b w:val="0"/>
          <w:sz w:val="24"/>
          <w:szCs w:val="24"/>
          <w:lang w:val="es-MX"/>
        </w:rPr>
        <w:t>,                                               (18)</w:t>
      </w:r>
    </w:p>
    <w:p w:rsidR="00212B85" w:rsidRPr="008358CC" w:rsidRDefault="00212B85" w:rsidP="00212B85">
      <w:pPr>
        <w:pStyle w:val="Textoindependiente"/>
        <w:jc w:val="both"/>
        <w:rPr>
          <w:rFonts w:ascii="Arial" w:hAnsi="Arial" w:cs="Arial"/>
          <w:b w:val="0"/>
          <w:sz w:val="24"/>
          <w:szCs w:val="24"/>
          <w:lang w:val="es-MX"/>
        </w:rPr>
      </w:pPr>
      <w:r w:rsidRPr="008358CC">
        <w:rPr>
          <w:rFonts w:ascii="Arial" w:hAnsi="Arial" w:cs="Arial"/>
          <w:b w:val="0"/>
          <w:sz w:val="24"/>
          <w:szCs w:val="24"/>
          <w:lang w:val="es-MX"/>
        </w:rPr>
        <w:t>Donde</w:t>
      </w:r>
    </w:p>
    <w:p w:rsidR="00212B85" w:rsidRPr="008358CC" w:rsidRDefault="00212B85" w:rsidP="00212B85">
      <w:pPr>
        <w:pStyle w:val="Textoindependiente"/>
        <w:jc w:val="both"/>
        <w:rPr>
          <w:rFonts w:ascii="Arial" w:hAnsi="Arial" w:cs="Arial"/>
          <w:b w:val="0"/>
          <w:sz w:val="24"/>
          <w:szCs w:val="24"/>
          <w:lang w:val="es-MX"/>
        </w:rPr>
      </w:pPr>
    </w:p>
    <w:p w:rsidR="00212B85" w:rsidRPr="008358CC" w:rsidRDefault="00212B85" w:rsidP="00212B85">
      <w:pPr>
        <w:pStyle w:val="Textoindependiente"/>
        <w:jc w:val="center"/>
        <w:rPr>
          <w:rFonts w:ascii="Arial" w:hAnsi="Arial" w:cs="Arial"/>
          <w:b w:val="0"/>
          <w:bCs w:val="0"/>
          <w:iCs/>
          <w:sz w:val="24"/>
          <w:szCs w:val="24"/>
          <w:lang w:val="es-MX"/>
        </w:rPr>
      </w:pPr>
      <w:r w:rsidRPr="008358CC">
        <w:rPr>
          <w:rFonts w:ascii="Arial" w:hAnsi="Arial" w:cs="Arial"/>
          <w:b w:val="0"/>
          <w:position w:val="-70"/>
          <w:sz w:val="24"/>
          <w:szCs w:val="24"/>
          <w:lang w:val="en-GB"/>
        </w:rPr>
        <w:object w:dxaOrig="9300" w:dyaOrig="1520">
          <v:shape id="_x0000_i1045" type="#_x0000_t75" style="width:462.75pt;height:75.75pt" o:ole="">
            <v:imagedata r:id="rId73" o:title=""/>
          </v:shape>
          <o:OLEObject Type="Embed" ProgID="Equation.DSMT4" ShapeID="_x0000_i1045" DrawAspect="Content" ObjectID="_1660649142" r:id="rId74"/>
        </w:object>
      </w:r>
    </w:p>
    <w:p w:rsidR="00212B85" w:rsidRPr="008358CC" w:rsidRDefault="00212B85" w:rsidP="00212B85">
      <w:pPr>
        <w:pStyle w:val="BodyMath"/>
        <w:jc w:val="both"/>
        <w:rPr>
          <w:rFonts w:ascii="Arial" w:hAnsi="Arial" w:cs="Arial"/>
        </w:rPr>
      </w:pPr>
    </w:p>
    <w:p w:rsidR="00212B85" w:rsidRPr="008358CC" w:rsidRDefault="00212B85" w:rsidP="00212B85">
      <w:pPr>
        <w:pStyle w:val="BodyMath"/>
        <w:ind w:firstLine="567"/>
        <w:jc w:val="both"/>
        <w:rPr>
          <w:rFonts w:ascii="Arial" w:hAnsi="Arial" w:cs="Arial"/>
        </w:rPr>
      </w:pPr>
      <w:r w:rsidRPr="008358CC">
        <w:rPr>
          <w:rFonts w:ascii="Arial" w:hAnsi="Arial" w:cs="Arial"/>
        </w:rPr>
        <w:t>Considerando el planteamiento anterior, los parámetros de reducción óptimos para el control de las fuentes de emisión se obtienen como la solución del siguiente problema de programación cuadrática:</w:t>
      </w:r>
    </w:p>
    <w:p w:rsidR="00212B85" w:rsidRPr="008358CC" w:rsidRDefault="00212B85" w:rsidP="00212B85">
      <w:pPr>
        <w:pStyle w:val="Textoindependiente"/>
        <w:rPr>
          <w:rFonts w:ascii="Arial" w:hAnsi="Arial" w:cs="Arial"/>
          <w:b w:val="0"/>
          <w:sz w:val="24"/>
          <w:szCs w:val="24"/>
        </w:rPr>
      </w:pPr>
    </w:p>
    <w:p w:rsidR="00212B85" w:rsidRPr="008358CC" w:rsidRDefault="00212B85" w:rsidP="00212B85">
      <w:pPr>
        <w:pStyle w:val="BodyMath"/>
        <w:jc w:val="right"/>
        <w:rPr>
          <w:rFonts w:ascii="Arial" w:hAnsi="Arial" w:cs="Arial"/>
        </w:rPr>
      </w:pPr>
      <w:r w:rsidRPr="008358CC">
        <w:rPr>
          <w:rFonts w:ascii="Arial" w:hAnsi="Arial" w:cs="Arial"/>
          <w:position w:val="-28"/>
          <w:lang w:val="en-GB"/>
        </w:rPr>
        <w:object w:dxaOrig="3860" w:dyaOrig="680">
          <v:shape id="_x0000_i1046" type="#_x0000_t75" style="width:194.25pt;height:33.75pt" o:ole="">
            <v:imagedata r:id="rId75" o:title=""/>
          </v:shape>
          <o:OLEObject Type="Embed" ProgID="Equation.DSMT4" ShapeID="_x0000_i1046" DrawAspect="Content" ObjectID="_1660649143" r:id="rId76"/>
        </w:object>
      </w:r>
      <w:r w:rsidRPr="008358CC">
        <w:rPr>
          <w:rFonts w:ascii="Arial" w:hAnsi="Arial" w:cs="Arial"/>
        </w:rPr>
        <w:t xml:space="preserve">                                           (19) </w:t>
      </w:r>
      <w:r w:rsidRPr="008358CC">
        <w:rPr>
          <w:rFonts w:ascii="Arial" w:hAnsi="Arial" w:cs="Arial"/>
          <w:position w:val="-50"/>
          <w:lang w:val="en-GB"/>
        </w:rPr>
        <w:object w:dxaOrig="6080" w:dyaOrig="1120">
          <v:shape id="_x0000_i1047" type="#_x0000_t75" style="width:303.75pt;height:56.25pt" o:ole="">
            <v:imagedata r:id="rId77" o:title=""/>
          </v:shape>
          <o:OLEObject Type="Embed" ProgID="Equation.DSMT4" ShapeID="_x0000_i1047" DrawAspect="Content" ObjectID="_1660649144" r:id="rId78"/>
        </w:object>
      </w:r>
      <w:r w:rsidRPr="008358CC">
        <w:rPr>
          <w:rFonts w:ascii="Arial" w:hAnsi="Arial" w:cs="Arial"/>
        </w:rPr>
        <w:t xml:space="preserve">                           (20)</w:t>
      </w:r>
    </w:p>
    <w:p w:rsidR="00212B85" w:rsidRPr="008358CC" w:rsidRDefault="00212B85" w:rsidP="00212B85">
      <w:pPr>
        <w:pStyle w:val="BodyMath"/>
        <w:jc w:val="center"/>
      </w:pPr>
    </w:p>
    <w:p w:rsidR="00212B85" w:rsidRPr="008358CC" w:rsidRDefault="00212B85" w:rsidP="00212B85">
      <w:pPr>
        <w:pStyle w:val="Textoindependiente"/>
        <w:jc w:val="both"/>
        <w:rPr>
          <w:rFonts w:ascii="Arial" w:hAnsi="Arial" w:cs="Arial"/>
          <w:b w:val="0"/>
          <w:i/>
          <w:sz w:val="24"/>
          <w:szCs w:val="24"/>
        </w:rPr>
      </w:pPr>
      <w:r w:rsidRPr="008358CC">
        <w:rPr>
          <w:rFonts w:ascii="Arial" w:hAnsi="Arial" w:cs="Arial"/>
          <w:b w:val="0"/>
          <w:sz w:val="24"/>
          <w:szCs w:val="24"/>
        </w:rPr>
        <w:t>donde</w:t>
      </w:r>
      <w:r w:rsidRPr="008358CC">
        <w:rPr>
          <w:rFonts w:ascii="Arial" w:hAnsi="Arial" w:cs="Arial"/>
          <w:sz w:val="24"/>
          <w:szCs w:val="24"/>
        </w:rPr>
        <w:t xml:space="preserve"> </w:t>
      </w:r>
      <w:r w:rsidRPr="008358CC">
        <w:rPr>
          <w:rFonts w:ascii="Arial" w:hAnsi="Arial" w:cs="Arial"/>
          <w:b w:val="0"/>
          <w:i/>
          <w:sz w:val="24"/>
          <w:szCs w:val="24"/>
          <w:lang w:val="es-MX"/>
        </w:rPr>
        <w:t>x</w:t>
      </w:r>
      <w:r w:rsidRPr="008358CC">
        <w:rPr>
          <w:rFonts w:ascii="Arial" w:hAnsi="Arial" w:cs="Arial"/>
          <w:b w:val="0"/>
          <w:i/>
          <w:sz w:val="24"/>
          <w:szCs w:val="24"/>
          <w:vertAlign w:val="subscript"/>
          <w:lang w:val="es-MX"/>
        </w:rPr>
        <w:t>jk</w:t>
      </w:r>
      <w:r w:rsidRPr="008358CC">
        <w:rPr>
          <w:rFonts w:ascii="Arial" w:hAnsi="Arial" w:cs="Arial"/>
          <w:b w:val="0"/>
          <w:sz w:val="24"/>
          <w:szCs w:val="24"/>
          <w:lang w:val="es-MX"/>
        </w:rPr>
        <w:t xml:space="preserve"> = (</w:t>
      </w:r>
      <w:r w:rsidRPr="008358CC">
        <w:rPr>
          <w:rFonts w:ascii="Arial" w:hAnsi="Arial" w:cs="Arial"/>
          <w:sz w:val="24"/>
          <w:szCs w:val="24"/>
          <w:lang w:val="es-MX"/>
        </w:rPr>
        <w:t>r</w:t>
      </w:r>
      <w:r w:rsidRPr="008358CC">
        <w:rPr>
          <w:rFonts w:ascii="Arial" w:hAnsi="Arial" w:cs="Arial"/>
          <w:b w:val="0"/>
          <w:i/>
          <w:sz w:val="24"/>
          <w:szCs w:val="24"/>
          <w:vertAlign w:val="subscript"/>
          <w:lang w:val="es-MX"/>
        </w:rPr>
        <w:t>j</w:t>
      </w:r>
      <w:r w:rsidRPr="008358CC">
        <w:rPr>
          <w:rFonts w:ascii="Arial" w:hAnsi="Arial" w:cs="Arial"/>
          <w:b w:val="0"/>
          <w:i/>
          <w:sz w:val="24"/>
          <w:szCs w:val="24"/>
          <w:lang w:val="es-MX"/>
        </w:rPr>
        <w:t>,t</w:t>
      </w:r>
      <w:r w:rsidRPr="008358CC">
        <w:rPr>
          <w:rFonts w:ascii="Arial" w:hAnsi="Arial" w:cs="Arial"/>
          <w:b w:val="0"/>
          <w:i/>
          <w:sz w:val="24"/>
          <w:szCs w:val="24"/>
          <w:vertAlign w:val="subscript"/>
          <w:lang w:val="es-MX"/>
        </w:rPr>
        <w:t>k</w:t>
      </w:r>
      <w:r w:rsidRPr="008358CC">
        <w:rPr>
          <w:rFonts w:ascii="Arial" w:hAnsi="Arial" w:cs="Arial"/>
          <w:b w:val="0"/>
          <w:sz w:val="24"/>
          <w:szCs w:val="24"/>
          <w:lang w:val="es-MX"/>
        </w:rPr>
        <w:t>)</w:t>
      </w:r>
      <w:r w:rsidRPr="008358CC">
        <w:rPr>
          <w:rFonts w:ascii="Arial" w:hAnsi="Arial" w:cs="Arial"/>
          <w:sz w:val="24"/>
          <w:szCs w:val="24"/>
        </w:rPr>
        <w:t xml:space="preserve"> </w:t>
      </w:r>
      <w:r w:rsidRPr="008358CC">
        <w:rPr>
          <w:rFonts w:ascii="Arial" w:hAnsi="Arial" w:cs="Arial"/>
          <w:b w:val="0"/>
          <w:sz w:val="24"/>
          <w:szCs w:val="24"/>
        </w:rPr>
        <w:t xml:space="preserve">son los nodos de la malla en el dominio </w:t>
      </w:r>
      <w:r w:rsidRPr="008358CC">
        <w:rPr>
          <w:rFonts w:ascii="Arial" w:hAnsi="Arial" w:cs="Arial"/>
          <w:b w:val="0"/>
          <w:sz w:val="24"/>
          <w:szCs w:val="24"/>
          <w:lang w:val="en-US"/>
        </w:rPr>
        <w:t>Ω</w:t>
      </w:r>
      <w:r w:rsidRPr="008358CC">
        <w:rPr>
          <w:rFonts w:ascii="Arial" w:hAnsi="Arial" w:cs="Arial"/>
          <w:b w:val="0"/>
          <w:sz w:val="24"/>
          <w:szCs w:val="24"/>
          <w:lang w:val="es-MX"/>
        </w:rPr>
        <w:t xml:space="preserve"> × (0</w:t>
      </w:r>
      <w:r w:rsidRPr="008358CC">
        <w:rPr>
          <w:rFonts w:ascii="Arial" w:hAnsi="Arial" w:cs="Arial"/>
          <w:b w:val="0"/>
          <w:i/>
          <w:sz w:val="24"/>
          <w:szCs w:val="24"/>
          <w:lang w:val="es-MX"/>
        </w:rPr>
        <w:t>,T</w:t>
      </w:r>
      <w:r w:rsidRPr="008358CC">
        <w:rPr>
          <w:rFonts w:ascii="Arial" w:hAnsi="Arial" w:cs="Arial"/>
          <w:b w:val="0"/>
          <w:sz w:val="24"/>
          <w:szCs w:val="24"/>
          <w:lang w:val="es-MX"/>
        </w:rPr>
        <w:t>)</w:t>
      </w:r>
      <w:r w:rsidRPr="008358CC">
        <w:rPr>
          <w:rFonts w:ascii="Arial" w:hAnsi="Arial" w:cs="Arial"/>
          <w:b w:val="0"/>
          <w:sz w:val="24"/>
          <w:szCs w:val="24"/>
        </w:rPr>
        <w:t xml:space="preserve">, y cada coeficiente </w:t>
      </w:r>
      <w:r w:rsidRPr="008358CC">
        <w:rPr>
          <w:rFonts w:ascii="Arial" w:hAnsi="Arial" w:cs="Arial"/>
          <w:b w:val="0"/>
          <w:i/>
          <w:sz w:val="24"/>
          <w:szCs w:val="24"/>
          <w:lang w:val="es-MX"/>
        </w:rPr>
        <w:t>c</w:t>
      </w:r>
      <w:r w:rsidRPr="008358CC">
        <w:rPr>
          <w:rFonts w:ascii="Arial" w:hAnsi="Arial" w:cs="Arial"/>
          <w:b w:val="0"/>
          <w:i/>
          <w:sz w:val="24"/>
          <w:szCs w:val="24"/>
          <w:vertAlign w:val="subscript"/>
          <w:lang w:val="es-MX"/>
        </w:rPr>
        <w:t>i</w:t>
      </w:r>
      <w:r w:rsidRPr="008358CC">
        <w:rPr>
          <w:rFonts w:ascii="Arial" w:hAnsi="Arial" w:cs="Arial"/>
          <w:b w:val="0"/>
          <w:sz w:val="24"/>
          <w:szCs w:val="24"/>
          <w:lang w:val="es-MX"/>
        </w:rPr>
        <w:t xml:space="preserve"> &gt; 0 </w:t>
      </w:r>
      <w:r w:rsidRPr="008358CC">
        <w:rPr>
          <w:rFonts w:ascii="Arial" w:hAnsi="Arial" w:cs="Arial"/>
          <w:b w:val="0"/>
          <w:sz w:val="24"/>
          <w:szCs w:val="24"/>
        </w:rPr>
        <w:t xml:space="preserve">representa el costo que la fuente </w:t>
      </w:r>
      <w:r w:rsidRPr="008358CC">
        <w:rPr>
          <w:rFonts w:ascii="Arial" w:hAnsi="Arial" w:cs="Arial"/>
          <w:b w:val="0"/>
          <w:i/>
          <w:sz w:val="24"/>
          <w:szCs w:val="24"/>
          <w:lang w:val="es-MX"/>
        </w:rPr>
        <w:t>i</w:t>
      </w:r>
      <w:r w:rsidRPr="008358CC">
        <w:rPr>
          <w:rFonts w:ascii="Arial" w:hAnsi="Arial" w:cs="Arial"/>
          <w:b w:val="0"/>
          <w:sz w:val="24"/>
          <w:szCs w:val="24"/>
        </w:rPr>
        <w:t>-ésima paga por reducir sus emisiones.</w:t>
      </w:r>
    </w:p>
    <w:p w:rsidR="00212B85" w:rsidRPr="008358CC" w:rsidRDefault="00212B85" w:rsidP="00212B85">
      <w:pPr>
        <w:pStyle w:val="Textoindependiente"/>
        <w:ind w:firstLine="567"/>
        <w:jc w:val="both"/>
        <w:rPr>
          <w:rFonts w:ascii="Arial" w:hAnsi="Arial" w:cs="Arial"/>
          <w:b w:val="0"/>
          <w:sz w:val="24"/>
          <w:szCs w:val="24"/>
        </w:rPr>
      </w:pPr>
      <w:r w:rsidRPr="008358CC">
        <w:rPr>
          <w:rFonts w:ascii="Arial" w:hAnsi="Arial" w:cs="Arial"/>
          <w:b w:val="0"/>
          <w:sz w:val="24"/>
          <w:szCs w:val="24"/>
        </w:rPr>
        <w:t xml:space="preserve">El conjunto de restricciones (20) (espacio factible) forma un conjunto compacto no vacío en </w:t>
      </w:r>
      <w:r w:rsidRPr="008358CC">
        <w:rPr>
          <w:rFonts w:ascii="Arial" w:hAnsi="Arial" w:cs="Arial"/>
          <w:sz w:val="24"/>
          <w:szCs w:val="24"/>
          <w:lang w:val="es-MX"/>
        </w:rPr>
        <w:t>Ɍ</w:t>
      </w:r>
      <w:r w:rsidRPr="008358CC">
        <w:rPr>
          <w:rFonts w:ascii="Arial" w:hAnsi="Arial" w:cs="Arial"/>
          <w:b w:val="0"/>
          <w:i/>
          <w:sz w:val="24"/>
          <w:szCs w:val="24"/>
          <w:vertAlign w:val="superscript"/>
          <w:lang w:val="es-MX"/>
        </w:rPr>
        <w:t>N</w:t>
      </w:r>
      <w:r w:rsidRPr="008358CC">
        <w:rPr>
          <w:rFonts w:ascii="Arial" w:hAnsi="Arial" w:cs="Arial"/>
          <w:b w:val="0"/>
          <w:sz w:val="24"/>
          <w:szCs w:val="24"/>
        </w:rPr>
        <w:t xml:space="preserve">, mientras que la función objetivo </w:t>
      </w:r>
      <w:r w:rsidRPr="008358CC">
        <w:rPr>
          <w:rFonts w:ascii="Arial" w:hAnsi="Arial" w:cs="Arial"/>
          <w:b w:val="0"/>
          <w:i/>
          <w:sz w:val="24"/>
          <w:szCs w:val="24"/>
          <w:lang w:val="es-MX"/>
        </w:rPr>
        <w:t>F</w:t>
      </w:r>
      <w:r w:rsidRPr="008358CC">
        <w:rPr>
          <w:rFonts w:ascii="Arial" w:hAnsi="Arial" w:cs="Arial"/>
          <w:b w:val="0"/>
          <w:sz w:val="24"/>
          <w:szCs w:val="24"/>
          <w:lang w:val="es-MX"/>
        </w:rPr>
        <w:t>(</w:t>
      </w:r>
      <w:r w:rsidRPr="008358CC">
        <w:rPr>
          <w:rFonts w:ascii="Arial" w:hAnsi="Arial" w:cs="Arial"/>
          <w:b w:val="0"/>
          <w:sz w:val="24"/>
          <w:szCs w:val="24"/>
          <w:lang w:val="en-US"/>
        </w:rPr>
        <w:t>λ</w:t>
      </w:r>
      <w:r w:rsidRPr="008358CC">
        <w:rPr>
          <w:rFonts w:ascii="Arial" w:hAnsi="Arial" w:cs="Arial"/>
          <w:b w:val="0"/>
          <w:i/>
          <w:sz w:val="24"/>
          <w:szCs w:val="24"/>
          <w:vertAlign w:val="subscript"/>
          <w:lang w:val="es-MX"/>
        </w:rPr>
        <w:t>1</w:t>
      </w:r>
      <w:r w:rsidRPr="008358CC">
        <w:rPr>
          <w:rFonts w:ascii="Arial" w:hAnsi="Arial" w:cs="Arial"/>
          <w:b w:val="0"/>
          <w:sz w:val="24"/>
          <w:szCs w:val="24"/>
          <w:lang w:val="es-MX"/>
        </w:rPr>
        <w:t xml:space="preserve"> ,…, </w:t>
      </w:r>
      <w:r w:rsidRPr="008358CC">
        <w:rPr>
          <w:rFonts w:ascii="Arial" w:hAnsi="Arial" w:cs="Arial"/>
          <w:b w:val="0"/>
          <w:sz w:val="24"/>
          <w:szCs w:val="24"/>
          <w:lang w:val="en-US"/>
        </w:rPr>
        <w:t>λ</w:t>
      </w:r>
      <w:r w:rsidRPr="008358CC">
        <w:rPr>
          <w:rFonts w:ascii="Arial" w:hAnsi="Arial" w:cs="Arial"/>
          <w:b w:val="0"/>
          <w:i/>
          <w:sz w:val="24"/>
          <w:szCs w:val="24"/>
          <w:vertAlign w:val="subscript"/>
          <w:lang w:val="es-MX"/>
        </w:rPr>
        <w:t>N</w:t>
      </w:r>
      <w:r w:rsidRPr="008358CC">
        <w:rPr>
          <w:rFonts w:ascii="Arial" w:hAnsi="Arial" w:cs="Arial"/>
          <w:b w:val="0"/>
          <w:sz w:val="24"/>
          <w:szCs w:val="24"/>
          <w:lang w:val="es-MX"/>
        </w:rPr>
        <w:t xml:space="preserve">) </w:t>
      </w:r>
      <w:r w:rsidRPr="008358CC">
        <w:rPr>
          <w:rFonts w:ascii="Arial" w:hAnsi="Arial" w:cs="Arial"/>
          <w:b w:val="0"/>
          <w:sz w:val="24"/>
          <w:szCs w:val="24"/>
        </w:rPr>
        <w:t xml:space="preserve"> es continua, por lo que de acuerdo al Teorema de Weierstrass</w:t>
      </w:r>
      <w:r w:rsidRPr="008358CC">
        <w:rPr>
          <w:rFonts w:ascii="Arial" w:hAnsi="Arial" w:cs="Arial"/>
          <w:b w:val="0"/>
          <w:sz w:val="24"/>
          <w:szCs w:val="24"/>
          <w:vertAlign w:val="superscript"/>
        </w:rPr>
        <w:t>[6]</w:t>
      </w:r>
      <w:r w:rsidRPr="008358CC">
        <w:rPr>
          <w:rFonts w:ascii="Arial" w:hAnsi="Arial" w:cs="Arial"/>
          <w:b w:val="0"/>
          <w:sz w:val="24"/>
          <w:szCs w:val="24"/>
        </w:rPr>
        <w:t xml:space="preserve">, la solución del problema de programación cuadrática (19)-(20) siempre existe. Además, al ser el espacio factible un conjunto convexo (ya que es la intersección de conjuntos convexos) y </w:t>
      </w:r>
      <w:r w:rsidRPr="008358CC">
        <w:rPr>
          <w:rFonts w:ascii="Arial" w:hAnsi="Arial" w:cs="Arial"/>
          <w:b w:val="0"/>
          <w:i/>
          <w:sz w:val="24"/>
          <w:szCs w:val="24"/>
          <w:lang w:val="es-MX"/>
        </w:rPr>
        <w:t>F</w:t>
      </w:r>
      <w:r w:rsidRPr="008358CC">
        <w:rPr>
          <w:rFonts w:ascii="Arial" w:hAnsi="Arial" w:cs="Arial"/>
          <w:b w:val="0"/>
          <w:sz w:val="24"/>
          <w:szCs w:val="24"/>
        </w:rPr>
        <w:t xml:space="preserve"> una función estrictamente </w:t>
      </w:r>
      <w:r w:rsidRPr="008358CC">
        <w:rPr>
          <w:rFonts w:ascii="Arial" w:hAnsi="Arial" w:cs="Arial"/>
          <w:b w:val="0"/>
          <w:sz w:val="24"/>
          <w:szCs w:val="24"/>
        </w:rPr>
        <w:lastRenderedPageBreak/>
        <w:t xml:space="preserve">convexa (porque su </w:t>
      </w:r>
      <w:r w:rsidRPr="008358CC">
        <w:rPr>
          <w:rFonts w:ascii="Arial" w:hAnsi="Arial" w:cs="Arial"/>
          <w:b w:val="0"/>
          <w:i/>
          <w:sz w:val="24"/>
          <w:szCs w:val="24"/>
        </w:rPr>
        <w:t>Hessiano</w:t>
      </w:r>
      <w:r w:rsidRPr="008358CC">
        <w:rPr>
          <w:rFonts w:ascii="Arial" w:hAnsi="Arial" w:cs="Arial"/>
          <w:b w:val="0"/>
          <w:sz w:val="24"/>
          <w:szCs w:val="24"/>
        </w:rPr>
        <w:t xml:space="preserve"> es una matriz definida positiva </w:t>
      </w:r>
      <w:r w:rsidRPr="008358CC">
        <w:rPr>
          <w:rFonts w:ascii="Arial" w:hAnsi="Arial" w:cs="Arial"/>
          <w:b w:val="0"/>
          <w:sz w:val="24"/>
          <w:szCs w:val="24"/>
          <w:vertAlign w:val="superscript"/>
        </w:rPr>
        <w:t>[6]</w:t>
      </w:r>
      <w:r w:rsidRPr="008358CC">
        <w:rPr>
          <w:rFonts w:ascii="Arial" w:hAnsi="Arial" w:cs="Arial"/>
          <w:b w:val="0"/>
          <w:sz w:val="24"/>
          <w:szCs w:val="24"/>
        </w:rPr>
        <w:t xml:space="preserve">), la solución del problema de optimización (19)-(20) es un mínimo global, por lo que ésta es única </w:t>
      </w:r>
      <w:r w:rsidRPr="008358CC">
        <w:rPr>
          <w:rFonts w:ascii="Arial" w:hAnsi="Arial" w:cs="Arial"/>
          <w:b w:val="0"/>
          <w:sz w:val="24"/>
          <w:szCs w:val="24"/>
          <w:vertAlign w:val="superscript"/>
        </w:rPr>
        <w:t>[6]</w:t>
      </w:r>
      <w:r w:rsidRPr="008358CC">
        <w:rPr>
          <w:rFonts w:ascii="Arial" w:hAnsi="Arial" w:cs="Arial"/>
          <w:b w:val="0"/>
          <w:sz w:val="24"/>
          <w:szCs w:val="24"/>
        </w:rPr>
        <w:t xml:space="preserve">. </w:t>
      </w:r>
    </w:p>
    <w:p w:rsidR="00212B85" w:rsidRPr="008358CC" w:rsidRDefault="00212B85" w:rsidP="00212B85">
      <w:pPr>
        <w:pStyle w:val="Textoindependiente"/>
        <w:ind w:firstLine="567"/>
        <w:jc w:val="both"/>
        <w:rPr>
          <w:rFonts w:ascii="Arial" w:hAnsi="Arial" w:cs="Arial"/>
          <w:b w:val="0"/>
          <w:sz w:val="24"/>
          <w:szCs w:val="24"/>
        </w:rPr>
      </w:pPr>
      <w:r w:rsidRPr="008358CC">
        <w:rPr>
          <w:rFonts w:ascii="Arial" w:hAnsi="Arial" w:cs="Arial"/>
          <w:b w:val="0"/>
          <w:sz w:val="24"/>
          <w:szCs w:val="24"/>
        </w:rPr>
        <w:t xml:space="preserve">En la práctica, la malla introducida en el dominio </w:t>
      </w:r>
      <w:r w:rsidRPr="008358CC">
        <w:rPr>
          <w:rFonts w:ascii="Arial" w:hAnsi="Arial" w:cs="Arial"/>
          <w:b w:val="0"/>
          <w:sz w:val="24"/>
          <w:szCs w:val="24"/>
          <w:lang w:val="en-US"/>
        </w:rPr>
        <w:t>Ω</w:t>
      </w:r>
      <w:r w:rsidRPr="008358CC">
        <w:rPr>
          <w:rFonts w:ascii="Arial" w:hAnsi="Arial" w:cs="Arial"/>
          <w:b w:val="0"/>
          <w:sz w:val="24"/>
          <w:szCs w:val="24"/>
          <w:lang w:val="es-MX"/>
        </w:rPr>
        <w:t xml:space="preserve"> × (0</w:t>
      </w:r>
      <w:r w:rsidRPr="008358CC">
        <w:rPr>
          <w:rFonts w:ascii="Arial" w:hAnsi="Arial" w:cs="Arial"/>
          <w:b w:val="0"/>
          <w:i/>
          <w:sz w:val="24"/>
          <w:szCs w:val="24"/>
          <w:lang w:val="es-MX"/>
        </w:rPr>
        <w:t>,T</w:t>
      </w:r>
      <w:r w:rsidRPr="008358CC">
        <w:rPr>
          <w:rFonts w:ascii="Arial" w:hAnsi="Arial" w:cs="Arial"/>
          <w:b w:val="0"/>
          <w:sz w:val="24"/>
          <w:szCs w:val="24"/>
          <w:lang w:val="es-MX"/>
        </w:rPr>
        <w:t>)</w:t>
      </w:r>
      <w:r w:rsidRPr="008358CC">
        <w:rPr>
          <w:rFonts w:ascii="Arial" w:hAnsi="Arial" w:cs="Arial"/>
          <w:b w:val="0"/>
          <w:sz w:val="24"/>
          <w:szCs w:val="24"/>
        </w:rPr>
        <w:t xml:space="preserve"> es parte de la malla utilizada para calcular la solución numérica del modelo de dispersión en </w:t>
      </w:r>
      <w:r w:rsidRPr="008358CC">
        <w:rPr>
          <w:rFonts w:ascii="Arial" w:hAnsi="Arial" w:cs="Arial"/>
          <w:sz w:val="24"/>
          <w:szCs w:val="24"/>
          <w:lang w:val="es-MX"/>
        </w:rPr>
        <w:t>D</w:t>
      </w:r>
      <w:r w:rsidRPr="008358CC">
        <w:rPr>
          <w:rFonts w:ascii="Arial" w:hAnsi="Arial" w:cs="Arial"/>
          <w:b w:val="0"/>
          <w:sz w:val="24"/>
          <w:szCs w:val="24"/>
          <w:lang w:val="es-MX"/>
        </w:rPr>
        <w:t xml:space="preserve"> × (0</w:t>
      </w:r>
      <w:r w:rsidRPr="008358CC">
        <w:rPr>
          <w:rFonts w:ascii="Arial" w:hAnsi="Arial" w:cs="Arial"/>
          <w:b w:val="0"/>
          <w:i/>
          <w:sz w:val="24"/>
          <w:szCs w:val="24"/>
          <w:lang w:val="es-MX"/>
        </w:rPr>
        <w:t>,T</w:t>
      </w:r>
      <w:r w:rsidRPr="008358CC">
        <w:rPr>
          <w:rFonts w:ascii="Arial" w:hAnsi="Arial" w:cs="Arial"/>
          <w:b w:val="0"/>
          <w:sz w:val="24"/>
          <w:szCs w:val="24"/>
          <w:lang w:val="es-MX"/>
        </w:rPr>
        <w:t>)</w:t>
      </w:r>
      <w:r w:rsidRPr="008358CC">
        <w:rPr>
          <w:rFonts w:ascii="Arial" w:hAnsi="Arial" w:cs="Arial"/>
          <w:b w:val="0"/>
          <w:sz w:val="24"/>
          <w:szCs w:val="24"/>
        </w:rPr>
        <w:t xml:space="preserve">. Asumimos que para algunos nodos en </w:t>
      </w:r>
      <w:r w:rsidRPr="008358CC">
        <w:rPr>
          <w:rFonts w:ascii="Arial" w:hAnsi="Arial" w:cs="Arial"/>
          <w:b w:val="0"/>
          <w:sz w:val="24"/>
          <w:szCs w:val="24"/>
          <w:lang w:val="en-US"/>
        </w:rPr>
        <w:t>Ω</w:t>
      </w:r>
      <w:r w:rsidRPr="008358CC">
        <w:rPr>
          <w:rFonts w:ascii="Arial" w:hAnsi="Arial" w:cs="Arial"/>
          <w:b w:val="0"/>
          <w:sz w:val="24"/>
          <w:szCs w:val="24"/>
          <w:lang w:val="es-MX"/>
        </w:rPr>
        <w:t xml:space="preserve"> × (0</w:t>
      </w:r>
      <w:r w:rsidRPr="008358CC">
        <w:rPr>
          <w:rFonts w:ascii="Arial" w:hAnsi="Arial" w:cs="Arial"/>
          <w:b w:val="0"/>
          <w:i/>
          <w:sz w:val="24"/>
          <w:szCs w:val="24"/>
          <w:lang w:val="es-MX"/>
        </w:rPr>
        <w:t>,T</w:t>
      </w:r>
      <w:r w:rsidRPr="008358CC">
        <w:rPr>
          <w:rFonts w:ascii="Arial" w:hAnsi="Arial" w:cs="Arial"/>
          <w:b w:val="0"/>
          <w:sz w:val="24"/>
          <w:szCs w:val="24"/>
          <w:lang w:val="es-MX"/>
        </w:rPr>
        <w:t>)</w:t>
      </w:r>
      <w:r w:rsidRPr="008358CC">
        <w:rPr>
          <w:rFonts w:ascii="Arial" w:hAnsi="Arial" w:cs="Arial"/>
          <w:b w:val="0"/>
          <w:sz w:val="24"/>
          <w:szCs w:val="24"/>
        </w:rPr>
        <w:t xml:space="preserve">  la concentración del contaminante es más alta que la norma de calidad del aire; de lo contrario no hay un problema de control de la contaminación del aire.</w:t>
      </w:r>
    </w:p>
    <w:p w:rsidR="00212B85" w:rsidRPr="008358CC" w:rsidRDefault="00212B85" w:rsidP="00212B85">
      <w:pPr>
        <w:pStyle w:val="Textoindependiente"/>
        <w:ind w:firstLine="567"/>
        <w:jc w:val="both"/>
        <w:rPr>
          <w:rFonts w:ascii="Arial" w:hAnsi="Arial" w:cs="Arial"/>
          <w:sz w:val="24"/>
          <w:szCs w:val="24"/>
          <w:lang w:val="es-MX"/>
        </w:rPr>
      </w:pPr>
      <w:r w:rsidRPr="008358CC">
        <w:rPr>
          <w:rFonts w:ascii="Arial" w:eastAsia="Times New Roman" w:hAnsi="Arial" w:cs="Arial"/>
          <w:b w:val="0"/>
          <w:bCs w:val="0"/>
          <w:sz w:val="24"/>
          <w:szCs w:val="24"/>
          <w:lang w:val="es-MX" w:eastAsia="es-MX"/>
        </w:rPr>
        <w:t xml:space="preserve">Por otra parte, para obtener </w:t>
      </w:r>
      <w:r w:rsidRPr="008358CC">
        <w:rPr>
          <w:rFonts w:ascii="Arial" w:hAnsi="Arial" w:cs="Arial"/>
          <w:b w:val="0"/>
          <w:sz w:val="24"/>
          <w:szCs w:val="24"/>
        </w:rPr>
        <w:t xml:space="preserve">las restricciones en la ecuación (20) es necesario calcular las funciones </w:t>
      </w:r>
      <w:r w:rsidRPr="008358CC">
        <w:rPr>
          <w:rFonts w:ascii="Arial" w:hAnsi="Arial" w:cs="Arial"/>
          <w:b w:val="0"/>
          <w:i/>
          <w:sz w:val="24"/>
          <w:szCs w:val="24"/>
          <w:lang w:val="es-MX"/>
        </w:rPr>
        <w:t>C</w:t>
      </w:r>
      <w:r w:rsidRPr="008358CC">
        <w:rPr>
          <w:rFonts w:ascii="Arial" w:hAnsi="Arial" w:cs="Arial"/>
          <w:b w:val="0"/>
          <w:i/>
          <w:sz w:val="24"/>
          <w:szCs w:val="24"/>
          <w:vertAlign w:val="subscript"/>
          <w:lang w:val="es-MX"/>
        </w:rPr>
        <w:t>i</w:t>
      </w:r>
      <w:r w:rsidRPr="008358CC">
        <w:rPr>
          <w:rFonts w:ascii="Arial" w:hAnsi="Arial" w:cs="Arial"/>
          <w:b w:val="0"/>
          <w:sz w:val="24"/>
          <w:szCs w:val="24"/>
          <w:lang w:val="es-MX"/>
        </w:rPr>
        <w:t xml:space="preserve"> = </w:t>
      </w:r>
      <w:r w:rsidRPr="008358CC">
        <w:rPr>
          <w:rFonts w:ascii="Arial" w:hAnsi="Arial" w:cs="Arial"/>
          <w:b w:val="0"/>
          <w:i/>
          <w:sz w:val="24"/>
          <w:szCs w:val="24"/>
          <w:lang w:val="es-MX"/>
        </w:rPr>
        <w:t>C</w:t>
      </w:r>
      <w:r w:rsidRPr="008358CC">
        <w:rPr>
          <w:rFonts w:ascii="Arial" w:hAnsi="Arial" w:cs="Arial"/>
          <w:b w:val="0"/>
          <w:i/>
          <w:sz w:val="24"/>
          <w:szCs w:val="24"/>
          <w:vertAlign w:val="subscript"/>
          <w:lang w:val="es-MX"/>
        </w:rPr>
        <w:t xml:space="preserve">i </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i/>
          <w:sz w:val="24"/>
          <w:szCs w:val="24"/>
          <w:lang w:val="es-MX"/>
        </w:rPr>
        <w:t>,t</w:t>
      </w:r>
      <w:r w:rsidRPr="008358CC">
        <w:rPr>
          <w:rFonts w:ascii="Arial" w:hAnsi="Arial" w:cs="Arial"/>
          <w:b w:val="0"/>
          <w:sz w:val="24"/>
          <w:szCs w:val="24"/>
          <w:lang w:val="es-MX"/>
        </w:rPr>
        <w:t xml:space="preserve">),  </w:t>
      </w:r>
      <w:r w:rsidRPr="008358CC">
        <w:rPr>
          <w:rFonts w:ascii="Arial" w:hAnsi="Arial" w:cs="Arial"/>
          <w:b w:val="0"/>
          <w:i/>
          <w:sz w:val="24"/>
          <w:szCs w:val="24"/>
          <w:lang w:val="es-MX"/>
        </w:rPr>
        <w:t xml:space="preserve">i = </w:t>
      </w:r>
      <w:r w:rsidRPr="008358CC">
        <w:rPr>
          <w:rFonts w:ascii="Arial" w:hAnsi="Arial" w:cs="Arial"/>
          <w:b w:val="0"/>
          <w:sz w:val="24"/>
          <w:szCs w:val="24"/>
          <w:lang w:val="es-MX"/>
        </w:rPr>
        <w:t>0</w:t>
      </w:r>
      <w:r w:rsidRPr="008358CC">
        <w:rPr>
          <w:rFonts w:ascii="Arial" w:hAnsi="Arial" w:cs="Arial"/>
          <w:b w:val="0"/>
          <w:i/>
          <w:sz w:val="24"/>
          <w:szCs w:val="24"/>
          <w:lang w:val="es-MX"/>
        </w:rPr>
        <w:t>,…,N</w:t>
      </w:r>
      <w:r w:rsidRPr="008358CC">
        <w:rPr>
          <w:rFonts w:ascii="Arial" w:hAnsi="Arial" w:cs="Arial"/>
          <w:sz w:val="24"/>
          <w:szCs w:val="24"/>
          <w:lang w:val="es-MX"/>
        </w:rPr>
        <w:t xml:space="preserve"> </w:t>
      </w:r>
      <w:r w:rsidRPr="008358CC">
        <w:rPr>
          <w:rFonts w:ascii="Arial" w:hAnsi="Arial" w:cs="Arial"/>
          <w:b w:val="0"/>
          <w:sz w:val="24"/>
          <w:szCs w:val="24"/>
        </w:rPr>
        <w:t>, al resolver los problemas de dispersión (14) (para la condición inicial) y (15) (para cada fuente de emisión), por lo tanto, el tiempo de cómputo aumenta con el número de fuentes, además, el problema de control a corto plazo requiere una respuesta rápida, por ello, proponemos utilizar un procedimiento de cómputo paralelo adecuado que permita obtener las funciones de concentración de forma rápida y eficiente: la programación SPMD (</w:t>
      </w:r>
      <w:r w:rsidRPr="008358CC">
        <w:rPr>
          <w:rFonts w:ascii="Arial" w:hAnsi="Arial" w:cs="Arial"/>
          <w:b w:val="0"/>
          <w:i/>
          <w:sz w:val="24"/>
          <w:szCs w:val="24"/>
          <w:lang w:val="es-MX"/>
        </w:rPr>
        <w:t>single program multiple data</w:t>
      </w:r>
      <w:r w:rsidRPr="008358CC">
        <w:rPr>
          <w:rFonts w:ascii="Arial" w:hAnsi="Arial" w:cs="Arial"/>
          <w:b w:val="0"/>
          <w:sz w:val="24"/>
          <w:szCs w:val="24"/>
          <w:lang w:val="es-MX"/>
        </w:rPr>
        <w:t>).</w:t>
      </w:r>
      <w:r w:rsidRPr="008358CC">
        <w:rPr>
          <w:rFonts w:ascii="Arial" w:hAnsi="Arial" w:cs="Arial"/>
          <w:b w:val="0"/>
          <w:sz w:val="24"/>
          <w:szCs w:val="24"/>
        </w:rPr>
        <w:t xml:space="preserve"> En un programa SPMD, todas las</w:t>
      </w:r>
      <w:r w:rsidRPr="008358CC">
        <w:rPr>
          <w:rFonts w:ascii="Arial" w:hAnsi="Arial" w:cs="Arial"/>
          <w:b w:val="0"/>
          <w:color w:val="000000"/>
          <w:sz w:val="24"/>
          <w:szCs w:val="24"/>
        </w:rPr>
        <w:t xml:space="preserve"> unidades de procesamiento ejecutan el mismo programa (programa único) en paralelo, pero cada una tiene su propio conjunto de datos (datos múltiples); diferentes unidades de procesamiento pueden seguir diferentes caminos a través del programa, esto se logra usando un parámetro que etiqueta de forma exclusiva cada unidad (por ejemplo, un identificador de proceso). Los programas SPMD están estrechamente alineados con los entornos de programación basados en el paso de mensajes (por ejemplo, </w:t>
      </w:r>
      <w:r w:rsidRPr="008358CC">
        <w:rPr>
          <w:rFonts w:ascii="Arial" w:hAnsi="Arial" w:cs="Arial"/>
          <w:b w:val="0"/>
          <w:i/>
          <w:color w:val="000000"/>
          <w:sz w:val="24"/>
          <w:szCs w:val="24"/>
        </w:rPr>
        <w:t>MPI</w:t>
      </w:r>
      <w:r w:rsidRPr="008358CC">
        <w:rPr>
          <w:rFonts w:ascii="Arial" w:hAnsi="Arial" w:cs="Arial"/>
          <w:b w:val="0"/>
          <w:color w:val="000000"/>
          <w:sz w:val="24"/>
          <w:szCs w:val="24"/>
        </w:rPr>
        <w:t xml:space="preserve">), sin embargo, es posible usar el patrón SPMD con </w:t>
      </w:r>
      <w:r w:rsidRPr="008358CC">
        <w:rPr>
          <w:rFonts w:ascii="Arial" w:hAnsi="Arial" w:cs="Arial"/>
          <w:b w:val="0"/>
          <w:i/>
          <w:color w:val="000000"/>
          <w:sz w:val="24"/>
          <w:szCs w:val="24"/>
        </w:rPr>
        <w:t>OpenMP</w:t>
      </w:r>
      <w:r w:rsidRPr="008358CC">
        <w:rPr>
          <w:rFonts w:ascii="Arial" w:hAnsi="Arial" w:cs="Arial"/>
          <w:color w:val="000000"/>
          <w:sz w:val="24"/>
          <w:szCs w:val="24"/>
        </w:rPr>
        <w:t xml:space="preserve"> </w:t>
      </w:r>
      <w:r w:rsidRPr="008358CC">
        <w:rPr>
          <w:rFonts w:ascii="Arial" w:hAnsi="Arial" w:cs="Arial"/>
          <w:b w:val="0"/>
          <w:color w:val="000000"/>
          <w:sz w:val="24"/>
          <w:szCs w:val="24"/>
          <w:vertAlign w:val="superscript"/>
        </w:rPr>
        <w:t>[4]</w:t>
      </w:r>
      <w:r w:rsidRPr="008358CC">
        <w:rPr>
          <w:rFonts w:ascii="Arial" w:hAnsi="Arial" w:cs="Arial"/>
          <w:b w:val="0"/>
          <w:color w:val="000000"/>
          <w:sz w:val="24"/>
          <w:szCs w:val="24"/>
        </w:rPr>
        <w:t>.</w:t>
      </w:r>
      <w:r w:rsidRPr="008358CC">
        <w:rPr>
          <w:rFonts w:ascii="Arial" w:hAnsi="Arial" w:cs="Arial"/>
          <w:b w:val="0"/>
          <w:sz w:val="24"/>
          <w:szCs w:val="24"/>
        </w:rPr>
        <w:t xml:space="preserve"> Así, si se tiene un sistema de cómputo con </w:t>
      </w:r>
      <w:r w:rsidRPr="008358CC">
        <w:rPr>
          <w:rFonts w:ascii="Arial" w:hAnsi="Arial" w:cs="Arial"/>
          <w:b w:val="0"/>
          <w:i/>
          <w:sz w:val="24"/>
          <w:szCs w:val="24"/>
          <w:lang w:val="es-MX"/>
        </w:rPr>
        <w:t>H</w:t>
      </w:r>
      <w:r w:rsidRPr="008358CC">
        <w:rPr>
          <w:rFonts w:ascii="Arial" w:hAnsi="Arial" w:cs="Arial"/>
          <w:b w:val="0"/>
          <w:sz w:val="24"/>
          <w:szCs w:val="24"/>
        </w:rPr>
        <w:t xml:space="preserve"> hilos (cada uno asociado a un procesador), la formulación presentada anteriormente y el patrón SPMD, sugieren resolver </w:t>
      </w:r>
      <w:r w:rsidRPr="008358CC">
        <w:rPr>
          <w:rFonts w:ascii="Arial" w:hAnsi="Arial" w:cs="Arial"/>
          <w:b w:val="0"/>
          <w:i/>
          <w:sz w:val="24"/>
          <w:szCs w:val="24"/>
          <w:lang w:val="es-MX"/>
        </w:rPr>
        <w:t>H</w:t>
      </w:r>
      <w:r w:rsidRPr="008358CC">
        <w:rPr>
          <w:rFonts w:ascii="Arial" w:hAnsi="Arial" w:cs="Arial"/>
          <w:sz w:val="24"/>
          <w:szCs w:val="24"/>
          <w:lang w:val="es-MX"/>
        </w:rPr>
        <w:t xml:space="preserve"> </w:t>
      </w:r>
      <w:r w:rsidRPr="008358CC">
        <w:rPr>
          <w:rFonts w:ascii="Arial" w:hAnsi="Arial" w:cs="Arial"/>
          <w:b w:val="0"/>
          <w:sz w:val="24"/>
          <w:szCs w:val="24"/>
        </w:rPr>
        <w:t>problemas de dispersión (</w:t>
      </w:r>
      <w:r w:rsidRPr="008358CC">
        <w:rPr>
          <w:rFonts w:ascii="Arial" w:hAnsi="Arial" w:cs="Arial"/>
          <w:b w:val="0"/>
          <w:i/>
          <w:sz w:val="24"/>
          <w:szCs w:val="24"/>
          <w:lang w:val="es-MX"/>
        </w:rPr>
        <w:t>H = N + 1</w:t>
      </w:r>
      <w:r w:rsidRPr="008358CC">
        <w:rPr>
          <w:rFonts w:ascii="Arial" w:hAnsi="Arial" w:cs="Arial"/>
          <w:b w:val="0"/>
          <w:sz w:val="24"/>
          <w:szCs w:val="24"/>
        </w:rPr>
        <w:t xml:space="preserve"> si </w:t>
      </w:r>
      <w:r w:rsidRPr="008358CC">
        <w:rPr>
          <w:rFonts w:ascii="Arial" w:hAnsi="Arial" w:cs="Arial"/>
          <w:b w:val="0"/>
          <w:i/>
          <w:sz w:val="24"/>
          <w:szCs w:val="24"/>
        </w:rPr>
        <w:t>ϕ</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i/>
          <w:sz w:val="24"/>
          <w:szCs w:val="24"/>
          <w:lang w:val="es-MX"/>
        </w:rPr>
        <w:t>,</w:t>
      </w:r>
      <w:r w:rsidRPr="008358CC">
        <w:rPr>
          <w:rFonts w:ascii="Arial" w:hAnsi="Arial" w:cs="Arial"/>
          <w:b w:val="0"/>
          <w:sz w:val="24"/>
          <w:szCs w:val="24"/>
          <w:lang w:val="es-MX"/>
        </w:rPr>
        <w:t xml:space="preserve">0) = </w:t>
      </w:r>
      <w:r w:rsidRPr="008358CC">
        <w:rPr>
          <w:rFonts w:ascii="Arial" w:hAnsi="Arial" w:cs="Arial"/>
          <w:b w:val="0"/>
          <w:i/>
          <w:sz w:val="24"/>
          <w:szCs w:val="24"/>
        </w:rPr>
        <w:t>ϕ</w:t>
      </w:r>
      <w:r w:rsidRPr="008358CC">
        <w:rPr>
          <w:rFonts w:ascii="Arial" w:hAnsi="Arial" w:cs="Arial"/>
          <w:b w:val="0"/>
          <w:i/>
          <w:sz w:val="24"/>
          <w:szCs w:val="24"/>
          <w:vertAlign w:val="superscript"/>
          <w:lang w:val="es-MX"/>
        </w:rPr>
        <w:t>0</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sz w:val="24"/>
          <w:szCs w:val="24"/>
          <w:lang w:val="es-MX"/>
        </w:rPr>
        <w:t xml:space="preserve">) en </w:t>
      </w:r>
      <w:r w:rsidRPr="008358CC">
        <w:rPr>
          <w:rFonts w:ascii="Arial" w:hAnsi="Arial" w:cs="Arial"/>
          <w:sz w:val="24"/>
          <w:szCs w:val="24"/>
          <w:lang w:val="es-MX"/>
        </w:rPr>
        <w:t>D</w:t>
      </w:r>
      <w:r w:rsidRPr="008358CC">
        <w:rPr>
          <w:rFonts w:ascii="Arial" w:hAnsi="Arial" w:cs="Arial"/>
          <w:b w:val="0"/>
          <w:sz w:val="24"/>
          <w:szCs w:val="24"/>
        </w:rPr>
        <w:t xml:space="preserve"> y </w:t>
      </w:r>
      <w:r w:rsidRPr="008358CC">
        <w:rPr>
          <w:rFonts w:ascii="Arial" w:hAnsi="Arial" w:cs="Arial"/>
          <w:b w:val="0"/>
          <w:i/>
          <w:sz w:val="24"/>
          <w:szCs w:val="24"/>
          <w:lang w:val="es-MX"/>
        </w:rPr>
        <w:t>H = N</w:t>
      </w:r>
      <w:r w:rsidRPr="008358CC">
        <w:rPr>
          <w:rFonts w:ascii="Arial" w:hAnsi="Arial" w:cs="Arial"/>
          <w:b w:val="0"/>
          <w:sz w:val="24"/>
          <w:szCs w:val="24"/>
        </w:rPr>
        <w:t xml:space="preserve"> si </w:t>
      </w:r>
      <w:r w:rsidRPr="008358CC">
        <w:rPr>
          <w:rFonts w:ascii="Arial" w:hAnsi="Arial" w:cs="Arial"/>
          <w:b w:val="0"/>
          <w:i/>
          <w:sz w:val="24"/>
          <w:szCs w:val="24"/>
        </w:rPr>
        <w:t>ϕ</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i/>
          <w:sz w:val="24"/>
          <w:szCs w:val="24"/>
          <w:lang w:val="es-MX"/>
        </w:rPr>
        <w:t>,</w:t>
      </w:r>
      <w:r w:rsidRPr="008358CC">
        <w:rPr>
          <w:rFonts w:ascii="Arial" w:hAnsi="Arial" w:cs="Arial"/>
          <w:b w:val="0"/>
          <w:sz w:val="24"/>
          <w:szCs w:val="24"/>
          <w:lang w:val="es-MX"/>
        </w:rPr>
        <w:t>0) =</w:t>
      </w:r>
      <w:r w:rsidRPr="008358CC">
        <w:rPr>
          <w:rFonts w:ascii="Arial" w:hAnsi="Arial" w:cs="Arial"/>
          <w:b w:val="0"/>
          <w:i/>
          <w:sz w:val="24"/>
          <w:szCs w:val="24"/>
        </w:rPr>
        <w:t xml:space="preserve"> </w:t>
      </w:r>
      <w:r w:rsidRPr="008358CC">
        <w:rPr>
          <w:rFonts w:ascii="Arial" w:hAnsi="Arial" w:cs="Arial"/>
          <w:b w:val="0"/>
          <w:sz w:val="24"/>
          <w:szCs w:val="24"/>
        </w:rPr>
        <w:t>0</w:t>
      </w:r>
      <w:r w:rsidRPr="008358CC">
        <w:rPr>
          <w:rFonts w:ascii="Arial" w:hAnsi="Arial" w:cs="Arial"/>
          <w:b w:val="0"/>
          <w:sz w:val="24"/>
          <w:szCs w:val="24"/>
          <w:lang w:val="es-MX"/>
        </w:rPr>
        <w:t xml:space="preserve"> en </w:t>
      </w:r>
      <w:r w:rsidRPr="008358CC">
        <w:rPr>
          <w:rFonts w:ascii="Arial" w:hAnsi="Arial" w:cs="Arial"/>
          <w:sz w:val="24"/>
          <w:szCs w:val="24"/>
          <w:lang w:val="es-MX"/>
        </w:rPr>
        <w:t>D</w:t>
      </w:r>
      <w:r w:rsidRPr="008358CC">
        <w:rPr>
          <w:rFonts w:ascii="Arial" w:hAnsi="Arial" w:cs="Arial"/>
          <w:b w:val="0"/>
          <w:sz w:val="24"/>
          <w:szCs w:val="24"/>
        </w:rPr>
        <w:t xml:space="preserve">) de forma casi simultánea, al usar cada procesador para resolver un modelo de dispersión. </w:t>
      </w:r>
    </w:p>
    <w:p w:rsidR="00212B85" w:rsidRPr="008358CC" w:rsidRDefault="00212B85" w:rsidP="00212B85">
      <w:pPr>
        <w:pStyle w:val="Textoindependiente"/>
        <w:ind w:firstLine="567"/>
        <w:jc w:val="both"/>
        <w:rPr>
          <w:rFonts w:ascii="Arial" w:hAnsi="Arial" w:cs="Arial"/>
          <w:b w:val="0"/>
          <w:sz w:val="24"/>
          <w:szCs w:val="24"/>
          <w:lang w:val="es-MX"/>
        </w:rPr>
      </w:pPr>
      <w:r w:rsidRPr="008358CC">
        <w:rPr>
          <w:rFonts w:ascii="Arial" w:hAnsi="Arial" w:cs="Arial"/>
          <w:b w:val="0"/>
          <w:sz w:val="24"/>
          <w:szCs w:val="24"/>
        </w:rPr>
        <w:t xml:space="preserve">Es importante notar que el espacio factible (20) se simplifica al omitir las restricciones que corresponden a los nodos donde la concentración del contaminante satisface la norma de calidad del aire: </w:t>
      </w:r>
      <w:r w:rsidRPr="008358CC">
        <w:rPr>
          <w:rFonts w:ascii="Arial" w:hAnsi="Arial" w:cs="Arial"/>
          <w:b w:val="0"/>
          <w:i/>
          <w:sz w:val="24"/>
          <w:szCs w:val="24"/>
        </w:rPr>
        <w:t>ϕ</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i/>
          <w:sz w:val="24"/>
          <w:szCs w:val="24"/>
          <w:vertAlign w:val="subscript"/>
          <w:lang w:val="es-MX"/>
        </w:rPr>
        <w:t>j</w:t>
      </w:r>
      <w:r w:rsidRPr="008358CC">
        <w:rPr>
          <w:rFonts w:ascii="Arial" w:hAnsi="Arial" w:cs="Arial"/>
          <w:b w:val="0"/>
          <w:i/>
          <w:sz w:val="24"/>
          <w:szCs w:val="24"/>
          <w:lang w:val="es-MX"/>
        </w:rPr>
        <w:t>,t</w:t>
      </w:r>
      <w:r w:rsidRPr="008358CC">
        <w:rPr>
          <w:rFonts w:ascii="Arial" w:hAnsi="Arial" w:cs="Arial"/>
          <w:b w:val="0"/>
          <w:i/>
          <w:sz w:val="24"/>
          <w:szCs w:val="24"/>
          <w:vertAlign w:val="subscript"/>
          <w:lang w:val="es-MX"/>
        </w:rPr>
        <w:t>k</w:t>
      </w:r>
      <w:r w:rsidRPr="008358CC">
        <w:rPr>
          <w:rFonts w:ascii="Arial" w:hAnsi="Arial" w:cs="Arial"/>
          <w:b w:val="0"/>
          <w:sz w:val="24"/>
          <w:szCs w:val="24"/>
          <w:lang w:val="es-MX"/>
        </w:rPr>
        <w:t xml:space="preserve">) ≤ </w:t>
      </w:r>
      <w:r w:rsidRPr="008358CC">
        <w:rPr>
          <w:rFonts w:ascii="Arial" w:hAnsi="Arial" w:cs="Arial"/>
          <w:b w:val="0"/>
          <w:i/>
          <w:sz w:val="24"/>
          <w:szCs w:val="24"/>
          <w:lang w:val="es-MX"/>
        </w:rPr>
        <w:t>J</w:t>
      </w:r>
      <w:r w:rsidRPr="008358CC">
        <w:rPr>
          <w:rFonts w:ascii="Arial" w:hAnsi="Arial" w:cs="Arial"/>
          <w:b w:val="0"/>
          <w:i/>
          <w:sz w:val="24"/>
          <w:szCs w:val="24"/>
          <w:vertAlign w:val="subscript"/>
          <w:lang w:val="es-MX"/>
        </w:rPr>
        <w:t>0</w:t>
      </w:r>
      <w:r w:rsidRPr="008358CC">
        <w:rPr>
          <w:rFonts w:ascii="Arial" w:hAnsi="Arial" w:cs="Arial"/>
          <w:b w:val="0"/>
          <w:sz w:val="24"/>
          <w:szCs w:val="24"/>
        </w:rPr>
        <w:t xml:space="preserve">. Esta simplificación reduce el esfuerzo computacional requerido para resolver el problema de control. Por otro lado, la solución del problema de programación cuadrática (19)-(20) se puede calcular en forma serial, mediante la función de optimización </w:t>
      </w:r>
      <w:r w:rsidRPr="008358CC">
        <w:rPr>
          <w:rFonts w:ascii="Arial" w:hAnsi="Arial" w:cs="Arial"/>
          <w:b w:val="0"/>
          <w:i/>
          <w:sz w:val="24"/>
          <w:szCs w:val="24"/>
        </w:rPr>
        <w:t>qpsolve</w:t>
      </w:r>
      <w:r w:rsidRPr="008358CC">
        <w:rPr>
          <w:rFonts w:ascii="Arial" w:hAnsi="Arial" w:cs="Arial"/>
          <w:b w:val="0"/>
          <w:sz w:val="24"/>
          <w:szCs w:val="24"/>
        </w:rPr>
        <w:t xml:space="preserve"> que pertenece al entorno </w:t>
      </w:r>
      <w:r w:rsidRPr="008358CC">
        <w:rPr>
          <w:rFonts w:ascii="Arial" w:hAnsi="Arial" w:cs="Arial"/>
          <w:b w:val="0"/>
          <w:i/>
          <w:sz w:val="24"/>
          <w:szCs w:val="24"/>
        </w:rPr>
        <w:t>Scilab</w:t>
      </w:r>
      <w:r w:rsidRPr="008358CC">
        <w:rPr>
          <w:rFonts w:ascii="Arial" w:hAnsi="Arial" w:cs="Arial"/>
          <w:b w:val="0"/>
          <w:sz w:val="24"/>
          <w:szCs w:val="24"/>
        </w:rPr>
        <w:t xml:space="preserve">. Dicha función está implementada en </w:t>
      </w:r>
      <w:r w:rsidRPr="008358CC">
        <w:rPr>
          <w:rFonts w:ascii="Arial" w:hAnsi="Arial" w:cs="Arial"/>
          <w:b w:val="0"/>
          <w:i/>
          <w:sz w:val="24"/>
          <w:szCs w:val="24"/>
        </w:rPr>
        <w:t>Fortran 77</w:t>
      </w:r>
      <w:r w:rsidRPr="008358CC">
        <w:rPr>
          <w:rFonts w:ascii="Arial" w:hAnsi="Arial" w:cs="Arial"/>
          <w:b w:val="0"/>
          <w:sz w:val="24"/>
          <w:szCs w:val="24"/>
        </w:rPr>
        <w:t xml:space="preserve"> y se basa en un algoritmo estable primal-dual desarrollado por Goldfarb e Idnani</w:t>
      </w:r>
      <w:r w:rsidRPr="008358CC">
        <w:rPr>
          <w:rFonts w:ascii="Arial" w:hAnsi="Arial" w:cs="Arial"/>
          <w:b w:val="0"/>
          <w:sz w:val="24"/>
          <w:szCs w:val="24"/>
          <w:vertAlign w:val="superscript"/>
        </w:rPr>
        <w:t>[7]</w:t>
      </w:r>
      <w:r w:rsidRPr="008358CC">
        <w:rPr>
          <w:rFonts w:ascii="Arial" w:hAnsi="Arial" w:cs="Arial"/>
          <w:b w:val="0"/>
          <w:sz w:val="24"/>
          <w:szCs w:val="24"/>
        </w:rPr>
        <w:t>. La rutina es capaz de resolver problemas de programación cuadrática estrictamente convexos para miles de variables y restricciones en sólo unos minutos.</w:t>
      </w:r>
    </w:p>
    <w:p w:rsidR="00212B85" w:rsidRPr="008358CC" w:rsidRDefault="00212B85" w:rsidP="00212B85">
      <w:pPr>
        <w:pStyle w:val="Textoindependiente"/>
        <w:jc w:val="both"/>
        <w:rPr>
          <w:rFonts w:ascii="Arial" w:hAnsi="Arial" w:cs="Arial"/>
          <w:b w:val="0"/>
          <w:sz w:val="24"/>
          <w:szCs w:val="24"/>
        </w:rPr>
      </w:pPr>
    </w:p>
    <w:p w:rsidR="00212B85" w:rsidRPr="008358CC" w:rsidRDefault="00212B85" w:rsidP="00212B85">
      <w:pPr>
        <w:pStyle w:val="Ttulo1"/>
        <w:keepLines w:val="0"/>
        <w:numPr>
          <w:ilvl w:val="0"/>
          <w:numId w:val="1"/>
        </w:numPr>
        <w:tabs>
          <w:tab w:val="clear" w:pos="432"/>
          <w:tab w:val="num" w:pos="0"/>
        </w:tabs>
        <w:suppressAutoHyphens/>
        <w:spacing w:before="0" w:after="0"/>
        <w:ind w:left="0" w:firstLine="0"/>
        <w:rPr>
          <w:rFonts w:ascii="Arial" w:hAnsi="Arial" w:cs="Arial"/>
          <w:i/>
          <w:sz w:val="24"/>
          <w:szCs w:val="24"/>
        </w:rPr>
      </w:pPr>
      <w:bookmarkStart w:id="22" w:name="_Toc50031155"/>
      <w:r w:rsidRPr="008358CC">
        <w:rPr>
          <w:rFonts w:ascii="Arial" w:hAnsi="Arial" w:cs="Arial"/>
          <w:i/>
          <w:caps/>
          <w:sz w:val="24"/>
          <w:szCs w:val="24"/>
        </w:rPr>
        <w:t xml:space="preserve">5. </w:t>
      </w:r>
      <w:r w:rsidRPr="008358CC">
        <w:rPr>
          <w:rFonts w:ascii="Arial" w:hAnsi="Arial" w:cs="Arial"/>
          <w:i/>
          <w:sz w:val="24"/>
          <w:szCs w:val="24"/>
        </w:rPr>
        <w:t>Ejemplo numérico de control y discusión</w:t>
      </w:r>
      <w:bookmarkEnd w:id="22"/>
    </w:p>
    <w:p w:rsidR="00212B85" w:rsidRPr="008358CC" w:rsidRDefault="00212B85" w:rsidP="00212B85">
      <w:pPr>
        <w:rPr>
          <w:sz w:val="24"/>
          <w:szCs w:val="24"/>
        </w:rPr>
      </w:pPr>
    </w:p>
    <w:p w:rsidR="00212B85" w:rsidRPr="008358CC" w:rsidRDefault="00212B85" w:rsidP="00212B85">
      <w:pPr>
        <w:pStyle w:val="Textoindependiente"/>
        <w:ind w:firstLine="567"/>
        <w:jc w:val="both"/>
        <w:rPr>
          <w:rFonts w:ascii="Arial" w:hAnsi="Arial" w:cs="Arial"/>
          <w:b w:val="0"/>
          <w:sz w:val="24"/>
          <w:szCs w:val="24"/>
        </w:rPr>
      </w:pPr>
      <w:r w:rsidRPr="008358CC">
        <w:rPr>
          <w:rFonts w:ascii="Arial" w:hAnsi="Arial" w:cs="Arial"/>
          <w:b w:val="0"/>
          <w:sz w:val="24"/>
          <w:szCs w:val="24"/>
        </w:rPr>
        <w:t xml:space="preserve">El siguiente ejemplo numérico, plantea una situación sintética y utiliza la versión bidimensional del modelo descrito en la sección 3. Se considera que en la región </w:t>
      </w:r>
      <w:r w:rsidRPr="008358CC">
        <w:rPr>
          <w:rFonts w:ascii="Arial" w:hAnsi="Arial" w:cs="Arial"/>
          <w:sz w:val="24"/>
          <w:szCs w:val="24"/>
          <w:lang w:val="es-MX"/>
        </w:rPr>
        <w:t xml:space="preserve">D </w:t>
      </w:r>
      <w:r w:rsidRPr="008358CC">
        <w:rPr>
          <w:rFonts w:ascii="Arial" w:hAnsi="Arial" w:cs="Arial"/>
          <w:b w:val="0"/>
          <w:sz w:val="24"/>
          <w:szCs w:val="24"/>
          <w:lang w:val="es-MX"/>
        </w:rPr>
        <w:t>= (0,3)</w:t>
      </w:r>
      <w:r w:rsidRPr="008358CC">
        <w:rPr>
          <w:rFonts w:ascii="Arial" w:hAnsi="Arial" w:cs="Arial"/>
          <w:b w:val="0"/>
          <w:i/>
          <w:sz w:val="24"/>
          <w:szCs w:val="24"/>
          <w:lang w:val="es-MX"/>
        </w:rPr>
        <w:t xml:space="preserve"> </w:t>
      </w:r>
      <w:r w:rsidRPr="008358CC">
        <w:rPr>
          <w:rFonts w:ascii="Arial" w:hAnsi="Arial" w:cs="Arial"/>
          <w:b w:val="0"/>
          <w:sz w:val="24"/>
          <w:szCs w:val="24"/>
          <w:lang w:val="es-MX"/>
        </w:rPr>
        <w:t>× (0,3) de 9 km</w:t>
      </w:r>
      <w:r w:rsidRPr="008358CC">
        <w:rPr>
          <w:rFonts w:ascii="Arial" w:hAnsi="Arial" w:cs="Arial"/>
          <w:b w:val="0"/>
          <w:sz w:val="24"/>
          <w:szCs w:val="24"/>
          <w:vertAlign w:val="superscript"/>
          <w:lang w:val="es-MX"/>
        </w:rPr>
        <w:t>2</w:t>
      </w:r>
      <w:r w:rsidRPr="008358CC">
        <w:rPr>
          <w:rFonts w:ascii="Arial" w:hAnsi="Arial" w:cs="Arial"/>
          <w:b w:val="0"/>
          <w:sz w:val="24"/>
          <w:szCs w:val="24"/>
          <w:lang w:val="es-MX"/>
        </w:rPr>
        <w:t>,</w:t>
      </w:r>
      <w:r w:rsidRPr="008358CC">
        <w:rPr>
          <w:rFonts w:ascii="Arial" w:hAnsi="Arial" w:cs="Arial"/>
          <w:sz w:val="24"/>
          <w:szCs w:val="24"/>
          <w:lang w:val="es-MX"/>
        </w:rPr>
        <w:t xml:space="preserve"> </w:t>
      </w:r>
      <w:r w:rsidRPr="008358CC">
        <w:rPr>
          <w:rFonts w:ascii="Arial" w:hAnsi="Arial" w:cs="Arial"/>
          <w:b w:val="0"/>
          <w:sz w:val="24"/>
          <w:szCs w:val="24"/>
        </w:rPr>
        <w:t>hay setenta y un fuentes puntuales de emisión de</w:t>
      </w:r>
      <w:r w:rsidRPr="008358CC">
        <w:rPr>
          <w:rFonts w:ascii="Arial" w:hAnsi="Arial" w:cs="Arial"/>
          <w:sz w:val="24"/>
          <w:szCs w:val="24"/>
          <w:lang w:val="es-MX"/>
        </w:rPr>
        <w:t xml:space="preserve"> </w:t>
      </w:r>
      <w:r w:rsidRPr="008358CC">
        <w:rPr>
          <w:rFonts w:ascii="Arial" w:hAnsi="Arial" w:cs="Arial"/>
          <w:b w:val="0"/>
          <w:i/>
          <w:sz w:val="24"/>
          <w:szCs w:val="24"/>
          <w:lang w:val="es-MX"/>
        </w:rPr>
        <w:t>SO</w:t>
      </w:r>
      <w:r w:rsidRPr="008358CC">
        <w:rPr>
          <w:rFonts w:ascii="Arial" w:hAnsi="Arial" w:cs="Arial"/>
          <w:b w:val="0"/>
          <w:i/>
          <w:sz w:val="24"/>
          <w:szCs w:val="24"/>
          <w:vertAlign w:val="subscript"/>
          <w:lang w:val="es-MX"/>
        </w:rPr>
        <w:t>2</w:t>
      </w:r>
      <w:r w:rsidRPr="008358CC">
        <w:rPr>
          <w:rFonts w:ascii="Arial" w:hAnsi="Arial" w:cs="Arial"/>
          <w:b w:val="0"/>
          <w:sz w:val="24"/>
          <w:szCs w:val="24"/>
        </w:rPr>
        <w:t>, las cuales emiten el contaminante con una de las siete tasas no estacionarias siguientes (</w:t>
      </w:r>
      <w:r w:rsidRPr="008358CC">
        <w:rPr>
          <w:rFonts w:ascii="Arial" w:hAnsi="Arial" w:cs="Arial"/>
          <w:b w:val="0"/>
          <w:i/>
          <w:sz w:val="24"/>
          <w:szCs w:val="24"/>
          <w:lang w:val="es-MX"/>
        </w:rPr>
        <w:t xml:space="preserve">l = </w:t>
      </w:r>
      <w:r w:rsidRPr="008358CC">
        <w:rPr>
          <w:rFonts w:ascii="Arial" w:hAnsi="Arial" w:cs="Arial"/>
          <w:b w:val="0"/>
          <w:sz w:val="24"/>
          <w:szCs w:val="24"/>
          <w:lang w:val="es-MX"/>
        </w:rPr>
        <w:t>1,…,7</w:t>
      </w:r>
      <w:r w:rsidRPr="008358CC">
        <w:rPr>
          <w:rFonts w:ascii="Arial" w:hAnsi="Arial" w:cs="Arial"/>
          <w:b w:val="0"/>
          <w:sz w:val="24"/>
          <w:szCs w:val="24"/>
        </w:rPr>
        <w:t>; Figura 1a):</w:t>
      </w:r>
    </w:p>
    <w:p w:rsidR="00212B85" w:rsidRPr="008358CC" w:rsidRDefault="00212B85" w:rsidP="00212B85">
      <w:pPr>
        <w:pStyle w:val="Textoindependiente"/>
        <w:jc w:val="both"/>
        <w:rPr>
          <w:rFonts w:ascii="Arial" w:hAnsi="Arial" w:cs="Arial"/>
          <w:b w:val="0"/>
          <w:sz w:val="24"/>
          <w:szCs w:val="24"/>
          <w:lang w:val="es-MX"/>
        </w:rPr>
      </w:pPr>
    </w:p>
    <w:p w:rsidR="00212B85" w:rsidRPr="008358CC" w:rsidRDefault="00212B85" w:rsidP="00212B85">
      <w:pPr>
        <w:pStyle w:val="Textoindependiente"/>
        <w:ind w:firstLine="539"/>
        <w:jc w:val="center"/>
        <w:rPr>
          <w:rFonts w:ascii="Arial" w:hAnsi="Arial" w:cs="Arial"/>
          <w:b w:val="0"/>
          <w:sz w:val="24"/>
          <w:szCs w:val="24"/>
          <w:lang w:val="es-MX"/>
        </w:rPr>
      </w:pPr>
      <w:r w:rsidRPr="008358CC">
        <w:rPr>
          <w:rFonts w:ascii="Arial" w:hAnsi="Arial" w:cs="Arial"/>
          <w:b w:val="0"/>
          <w:position w:val="-12"/>
          <w:sz w:val="24"/>
          <w:szCs w:val="24"/>
          <w:lang w:val="en-GB"/>
        </w:rPr>
        <w:object w:dxaOrig="1800" w:dyaOrig="360">
          <v:shape id="_x0000_i1048" type="#_x0000_t75" style="width:90pt;height:18pt" o:ole="">
            <v:imagedata r:id="rId79" o:title=""/>
          </v:shape>
          <o:OLEObject Type="Embed" ProgID="Equation.DSMT4" ShapeID="_x0000_i1048" DrawAspect="Content" ObjectID="_1660649145" r:id="rId80"/>
        </w:object>
      </w:r>
      <w:r w:rsidRPr="008358CC">
        <w:rPr>
          <w:rFonts w:ascii="Arial" w:hAnsi="Arial" w:cs="Arial"/>
          <w:b w:val="0"/>
          <w:sz w:val="24"/>
          <w:szCs w:val="24"/>
          <w:lang w:val="es-MX"/>
        </w:rPr>
        <w:t xml:space="preserve">,    </w:t>
      </w:r>
      <w:r w:rsidRPr="008358CC">
        <w:rPr>
          <w:rFonts w:ascii="Arial" w:hAnsi="Arial" w:cs="Arial"/>
          <w:b w:val="0"/>
          <w:position w:val="-12"/>
          <w:sz w:val="24"/>
          <w:szCs w:val="24"/>
          <w:lang w:val="en-GB"/>
        </w:rPr>
        <w:object w:dxaOrig="1160" w:dyaOrig="360">
          <v:shape id="_x0000_i1049" type="#_x0000_t75" style="width:57.75pt;height:18pt" o:ole="">
            <v:imagedata r:id="rId81" o:title=""/>
          </v:shape>
          <o:OLEObject Type="Embed" ProgID="Equation.DSMT4" ShapeID="_x0000_i1049" DrawAspect="Content" ObjectID="_1660649146" r:id="rId82"/>
        </w:object>
      </w:r>
      <w:r w:rsidRPr="008358CC">
        <w:rPr>
          <w:rFonts w:ascii="Arial" w:hAnsi="Arial" w:cs="Arial"/>
          <w:b w:val="0"/>
          <w:sz w:val="24"/>
          <w:szCs w:val="24"/>
          <w:lang w:val="es-MX"/>
        </w:rPr>
        <w:t xml:space="preserve">,    </w:t>
      </w:r>
      <w:r w:rsidRPr="008358CC">
        <w:rPr>
          <w:rFonts w:ascii="Arial" w:hAnsi="Arial" w:cs="Arial"/>
          <w:b w:val="0"/>
          <w:position w:val="-12"/>
          <w:sz w:val="24"/>
          <w:szCs w:val="24"/>
          <w:lang w:val="en-GB"/>
        </w:rPr>
        <w:object w:dxaOrig="3100" w:dyaOrig="420">
          <v:shape id="_x0000_i1050" type="#_x0000_t75" style="width:155.25pt;height:21pt" o:ole="">
            <v:imagedata r:id="rId83" o:title=""/>
          </v:shape>
          <o:OLEObject Type="Embed" ProgID="Equation.DSMT4" ShapeID="_x0000_i1050" DrawAspect="Content" ObjectID="_1660649147" r:id="rId84"/>
        </w:object>
      </w:r>
      <w:r w:rsidRPr="008358CC">
        <w:rPr>
          <w:rFonts w:ascii="Arial" w:hAnsi="Arial" w:cs="Arial"/>
          <w:b w:val="0"/>
          <w:sz w:val="24"/>
          <w:szCs w:val="24"/>
          <w:lang w:val="es-MX"/>
        </w:rPr>
        <w:t>,</w:t>
      </w:r>
    </w:p>
    <w:p w:rsidR="00212B85" w:rsidRPr="008358CC" w:rsidRDefault="00212B85" w:rsidP="00212B85">
      <w:pPr>
        <w:pStyle w:val="Textoindependiente"/>
        <w:ind w:firstLine="539"/>
        <w:jc w:val="center"/>
        <w:rPr>
          <w:rFonts w:ascii="Arial" w:hAnsi="Arial" w:cs="Arial"/>
          <w:b w:val="0"/>
          <w:sz w:val="24"/>
          <w:szCs w:val="24"/>
          <w:lang w:val="es-MX"/>
        </w:rPr>
      </w:pPr>
      <w:r w:rsidRPr="008358CC">
        <w:rPr>
          <w:rFonts w:ascii="Arial" w:hAnsi="Arial" w:cs="Arial"/>
          <w:b w:val="0"/>
          <w:position w:val="-12"/>
          <w:sz w:val="24"/>
          <w:szCs w:val="24"/>
          <w:lang w:val="en-GB"/>
        </w:rPr>
        <w:object w:dxaOrig="3080" w:dyaOrig="420">
          <v:shape id="_x0000_i1051" type="#_x0000_t75" style="width:153.75pt;height:21pt" o:ole="">
            <v:imagedata r:id="rId85" o:title=""/>
          </v:shape>
          <o:OLEObject Type="Embed" ProgID="Equation.DSMT4" ShapeID="_x0000_i1051" DrawAspect="Content" ObjectID="_1660649148" r:id="rId86"/>
        </w:object>
      </w:r>
      <w:r w:rsidRPr="008358CC">
        <w:rPr>
          <w:rFonts w:ascii="Arial" w:hAnsi="Arial" w:cs="Arial"/>
          <w:b w:val="0"/>
          <w:sz w:val="24"/>
          <w:szCs w:val="24"/>
          <w:lang w:val="es-MX"/>
        </w:rPr>
        <w:t xml:space="preserve">,     </w:t>
      </w:r>
      <w:r w:rsidRPr="008358CC">
        <w:rPr>
          <w:rFonts w:ascii="Arial" w:hAnsi="Arial" w:cs="Arial"/>
          <w:b w:val="0"/>
          <w:position w:val="-12"/>
          <w:sz w:val="24"/>
          <w:szCs w:val="24"/>
          <w:lang w:val="en-GB"/>
        </w:rPr>
        <w:object w:dxaOrig="3100" w:dyaOrig="420">
          <v:shape id="_x0000_i1052" type="#_x0000_t75" style="width:155.25pt;height:21pt" o:ole="">
            <v:imagedata r:id="rId87" o:title=""/>
          </v:shape>
          <o:OLEObject Type="Embed" ProgID="Equation.DSMT4" ShapeID="_x0000_i1052" DrawAspect="Content" ObjectID="_1660649149" r:id="rId88"/>
        </w:object>
      </w:r>
      <w:r w:rsidRPr="008358CC">
        <w:rPr>
          <w:rFonts w:ascii="Arial" w:hAnsi="Arial" w:cs="Arial"/>
          <w:b w:val="0"/>
          <w:sz w:val="24"/>
          <w:szCs w:val="24"/>
          <w:lang w:val="es-MX"/>
        </w:rPr>
        <w:t>,</w:t>
      </w:r>
    </w:p>
    <w:p w:rsidR="00212B85" w:rsidRPr="008358CC" w:rsidRDefault="00212B85" w:rsidP="00212B85">
      <w:pPr>
        <w:pStyle w:val="BodyMath"/>
        <w:jc w:val="center"/>
        <w:rPr>
          <w:rFonts w:ascii="Arial" w:hAnsi="Arial" w:cs="Arial"/>
        </w:rPr>
      </w:pPr>
      <w:r w:rsidRPr="008358CC">
        <w:rPr>
          <w:rFonts w:ascii="Arial" w:hAnsi="Arial" w:cs="Arial"/>
          <w:position w:val="-140"/>
          <w:lang w:val="en-GB"/>
        </w:rPr>
        <w:object w:dxaOrig="4180" w:dyaOrig="2920">
          <v:shape id="_x0000_i1053" type="#_x0000_t75" style="width:209.25pt;height:146.25pt" o:ole="">
            <v:imagedata r:id="rId89" o:title=""/>
          </v:shape>
          <o:OLEObject Type="Embed" ProgID="Equation.DSMT4" ShapeID="_x0000_i1053" DrawAspect="Content" ObjectID="_1660649150" r:id="rId90"/>
        </w:object>
      </w:r>
      <w:r w:rsidRPr="008358CC">
        <w:rPr>
          <w:rFonts w:ascii="Arial" w:hAnsi="Arial" w:cs="Arial"/>
        </w:rPr>
        <w:t xml:space="preserve">y   </w:t>
      </w:r>
      <w:r w:rsidRPr="008358CC">
        <w:rPr>
          <w:rFonts w:ascii="Arial" w:hAnsi="Arial" w:cs="Arial"/>
          <w:position w:val="-98"/>
          <w:lang w:val="en-GB"/>
        </w:rPr>
        <w:object w:dxaOrig="4120" w:dyaOrig="2079">
          <v:shape id="_x0000_i1054" type="#_x0000_t75" style="width:206.25pt;height:104.25pt" o:ole="">
            <v:imagedata r:id="rId91" o:title=""/>
          </v:shape>
          <o:OLEObject Type="Embed" ProgID="Equation.DSMT4" ShapeID="_x0000_i1054" DrawAspect="Content" ObjectID="_1660649151" r:id="rId92"/>
        </w:object>
      </w:r>
      <w:r w:rsidRPr="008358CC">
        <w:rPr>
          <w:rFonts w:ascii="Arial" w:hAnsi="Arial" w:cs="Arial"/>
        </w:rPr>
        <w:t>.</w:t>
      </w:r>
    </w:p>
    <w:p w:rsidR="00212B85" w:rsidRPr="008358CC" w:rsidRDefault="00212B85" w:rsidP="00212B85">
      <w:pPr>
        <w:pStyle w:val="Textoindependiente"/>
        <w:rPr>
          <w:rFonts w:ascii="Arial" w:hAnsi="Arial" w:cs="Arial"/>
          <w:b w:val="0"/>
          <w:sz w:val="24"/>
          <w:szCs w:val="24"/>
        </w:rPr>
      </w:pPr>
    </w:p>
    <w:p w:rsidR="00212B85" w:rsidRPr="008358CC" w:rsidRDefault="00212B85" w:rsidP="00212B85">
      <w:pPr>
        <w:pStyle w:val="Textoindependiente"/>
        <w:ind w:firstLine="567"/>
        <w:jc w:val="both"/>
        <w:rPr>
          <w:rFonts w:ascii="Arial" w:hAnsi="Arial" w:cs="Arial"/>
          <w:b w:val="0"/>
          <w:sz w:val="24"/>
          <w:szCs w:val="24"/>
          <w:lang w:val="es-MX"/>
        </w:rPr>
      </w:pPr>
      <w:r w:rsidRPr="008358CC">
        <w:rPr>
          <w:rFonts w:ascii="Arial" w:hAnsi="Arial" w:cs="Arial"/>
          <w:b w:val="0"/>
          <w:sz w:val="24"/>
          <w:szCs w:val="24"/>
        </w:rPr>
        <w:t>Para esta región se considera que la condición inicial es</w:t>
      </w:r>
      <w:r w:rsidRPr="008358CC">
        <w:rPr>
          <w:rFonts w:ascii="Arial" w:hAnsi="Arial" w:cs="Arial"/>
          <w:sz w:val="24"/>
          <w:szCs w:val="24"/>
          <w:lang w:val="es-MX"/>
        </w:rPr>
        <w:t xml:space="preserve"> </w:t>
      </w:r>
      <w:r w:rsidRPr="008358CC">
        <w:rPr>
          <w:rFonts w:ascii="Arial" w:hAnsi="Arial" w:cs="Arial"/>
          <w:b w:val="0"/>
          <w:i/>
          <w:sz w:val="24"/>
          <w:szCs w:val="24"/>
        </w:rPr>
        <w:t>ϕ</w:t>
      </w:r>
      <w:r w:rsidRPr="008358CC">
        <w:rPr>
          <w:rFonts w:ascii="Arial" w:hAnsi="Arial" w:cs="Arial"/>
          <w:b w:val="0"/>
          <w:i/>
          <w:sz w:val="24"/>
          <w:szCs w:val="24"/>
          <w:vertAlign w:val="superscript"/>
          <w:lang w:val="es-MX"/>
        </w:rPr>
        <w:t>0</w:t>
      </w:r>
      <w:r w:rsidRPr="008358CC">
        <w:rPr>
          <w:rFonts w:ascii="Arial" w:hAnsi="Arial" w:cs="Arial"/>
          <w:b w:val="0"/>
          <w:sz w:val="24"/>
          <w:szCs w:val="24"/>
          <w:lang w:val="es-MX"/>
        </w:rPr>
        <w:t>(</w:t>
      </w:r>
      <w:r w:rsidRPr="008358CC">
        <w:rPr>
          <w:rFonts w:ascii="Arial" w:hAnsi="Arial" w:cs="Arial"/>
          <w:b w:val="0"/>
          <w:i/>
          <w:sz w:val="24"/>
          <w:szCs w:val="24"/>
          <w:lang w:val="es-MX"/>
        </w:rPr>
        <w:t>x</w:t>
      </w:r>
      <w:r w:rsidRPr="008358CC">
        <w:rPr>
          <w:rFonts w:ascii="Arial" w:hAnsi="Arial" w:cs="Arial"/>
          <w:b w:val="0"/>
          <w:sz w:val="24"/>
          <w:szCs w:val="24"/>
          <w:lang w:val="es-MX"/>
        </w:rPr>
        <w:t>,</w:t>
      </w:r>
      <w:r w:rsidRPr="008358CC">
        <w:rPr>
          <w:rFonts w:ascii="Arial" w:hAnsi="Arial" w:cs="Arial"/>
          <w:b w:val="0"/>
          <w:i/>
          <w:sz w:val="24"/>
          <w:szCs w:val="24"/>
          <w:lang w:val="es-MX"/>
        </w:rPr>
        <w:t>y</w:t>
      </w:r>
      <w:r w:rsidRPr="008358CC">
        <w:rPr>
          <w:rFonts w:ascii="Arial" w:hAnsi="Arial" w:cs="Arial"/>
          <w:b w:val="0"/>
          <w:sz w:val="24"/>
          <w:szCs w:val="24"/>
          <w:lang w:val="es-MX"/>
        </w:rPr>
        <w:t>) = 75</w:t>
      </w:r>
      <w:r w:rsidRPr="008358CC">
        <w:rPr>
          <w:rFonts w:ascii="Arial" w:hAnsi="Arial" w:cs="Arial"/>
          <w:b w:val="0"/>
          <w:i/>
          <w:sz w:val="24"/>
          <w:szCs w:val="24"/>
        </w:rPr>
        <w:t>exp</w:t>
      </w:r>
      <w:r w:rsidRPr="008358CC">
        <w:rPr>
          <w:rFonts w:ascii="Arial" w:hAnsi="Arial" w:cs="Arial"/>
          <w:b w:val="0"/>
          <w:sz w:val="24"/>
          <w:szCs w:val="24"/>
          <w:lang w:val="es-MX"/>
        </w:rPr>
        <w:t>(-(</w:t>
      </w:r>
      <w:r w:rsidRPr="008358CC">
        <w:rPr>
          <w:rFonts w:ascii="Arial" w:hAnsi="Arial" w:cs="Arial"/>
          <w:b w:val="0"/>
          <w:i/>
          <w:sz w:val="24"/>
          <w:szCs w:val="24"/>
          <w:lang w:val="es-MX"/>
        </w:rPr>
        <w:t>x-</w:t>
      </w:r>
      <w:r w:rsidRPr="008358CC">
        <w:rPr>
          <w:rFonts w:ascii="Arial" w:hAnsi="Arial" w:cs="Arial"/>
          <w:b w:val="0"/>
          <w:sz w:val="24"/>
          <w:szCs w:val="24"/>
          <w:lang w:val="es-MX"/>
        </w:rPr>
        <w:t>1.55)</w:t>
      </w:r>
      <w:r w:rsidRPr="008358CC">
        <w:rPr>
          <w:rFonts w:ascii="Arial" w:hAnsi="Arial" w:cs="Arial"/>
          <w:b w:val="0"/>
          <w:sz w:val="24"/>
          <w:szCs w:val="24"/>
          <w:vertAlign w:val="superscript"/>
          <w:lang w:val="es-MX"/>
        </w:rPr>
        <w:t>2</w:t>
      </w:r>
      <w:r w:rsidRPr="008358CC">
        <w:rPr>
          <w:rFonts w:ascii="Arial" w:hAnsi="Arial" w:cs="Arial"/>
          <w:b w:val="0"/>
          <w:i/>
          <w:sz w:val="24"/>
          <w:szCs w:val="24"/>
          <w:lang w:val="es-MX"/>
        </w:rPr>
        <w:t xml:space="preserve"> - </w:t>
      </w:r>
      <w:r w:rsidRPr="008358CC">
        <w:rPr>
          <w:rFonts w:ascii="Arial" w:hAnsi="Arial" w:cs="Arial"/>
          <w:b w:val="0"/>
          <w:sz w:val="24"/>
          <w:szCs w:val="24"/>
          <w:lang w:val="es-MX"/>
        </w:rPr>
        <w:t>(y</w:t>
      </w:r>
      <w:r w:rsidRPr="008358CC">
        <w:rPr>
          <w:rFonts w:ascii="Arial" w:hAnsi="Arial" w:cs="Arial"/>
          <w:b w:val="0"/>
          <w:i/>
          <w:sz w:val="24"/>
          <w:szCs w:val="24"/>
          <w:lang w:val="es-MX"/>
        </w:rPr>
        <w:t>-</w:t>
      </w:r>
      <w:r w:rsidRPr="008358CC">
        <w:rPr>
          <w:rFonts w:ascii="Arial" w:hAnsi="Arial" w:cs="Arial"/>
          <w:b w:val="0"/>
          <w:sz w:val="24"/>
          <w:szCs w:val="24"/>
          <w:lang w:val="es-MX"/>
        </w:rPr>
        <w:t>0.25)</w:t>
      </w:r>
      <w:r w:rsidRPr="008358CC">
        <w:rPr>
          <w:rFonts w:ascii="Arial" w:hAnsi="Arial" w:cs="Arial"/>
          <w:b w:val="0"/>
          <w:sz w:val="24"/>
          <w:szCs w:val="24"/>
          <w:vertAlign w:val="superscript"/>
          <w:lang w:val="es-MX"/>
        </w:rPr>
        <w:t xml:space="preserve"> 2</w:t>
      </w:r>
      <w:r w:rsidRPr="008358CC">
        <w:rPr>
          <w:rFonts w:ascii="Arial" w:hAnsi="Arial" w:cs="Arial"/>
          <w:b w:val="0"/>
          <w:sz w:val="24"/>
          <w:szCs w:val="24"/>
          <w:lang w:val="es-MX"/>
        </w:rPr>
        <w:t>) +</w:t>
      </w:r>
      <w:r w:rsidRPr="008358CC">
        <w:rPr>
          <w:rFonts w:ascii="Arial" w:hAnsi="Arial" w:cs="Arial"/>
          <w:b w:val="0"/>
          <w:i/>
          <w:sz w:val="24"/>
          <w:szCs w:val="24"/>
          <w:lang w:val="es-MX"/>
        </w:rPr>
        <w:t xml:space="preserve"> </w:t>
      </w:r>
      <w:r w:rsidRPr="008358CC">
        <w:rPr>
          <w:rFonts w:ascii="Arial" w:hAnsi="Arial" w:cs="Arial"/>
          <w:b w:val="0"/>
          <w:sz w:val="24"/>
          <w:szCs w:val="24"/>
          <w:lang w:val="es-MX"/>
        </w:rPr>
        <w:t>50</w:t>
      </w:r>
      <w:r w:rsidRPr="008358CC">
        <w:rPr>
          <w:rFonts w:ascii="Arial" w:hAnsi="Arial" w:cs="Arial"/>
          <w:b w:val="0"/>
          <w:i/>
          <w:sz w:val="24"/>
          <w:szCs w:val="24"/>
        </w:rPr>
        <w:t>exp</w:t>
      </w:r>
      <w:r w:rsidRPr="008358CC">
        <w:rPr>
          <w:rFonts w:ascii="Arial" w:hAnsi="Arial" w:cs="Arial"/>
          <w:b w:val="0"/>
          <w:sz w:val="24"/>
          <w:szCs w:val="24"/>
          <w:lang w:val="es-MX"/>
        </w:rPr>
        <w:t>(-(</w:t>
      </w:r>
      <w:r w:rsidRPr="008358CC">
        <w:rPr>
          <w:rFonts w:ascii="Arial" w:hAnsi="Arial" w:cs="Arial"/>
          <w:b w:val="0"/>
          <w:i/>
          <w:sz w:val="24"/>
          <w:szCs w:val="24"/>
          <w:lang w:val="es-MX"/>
        </w:rPr>
        <w:t>x-</w:t>
      </w:r>
      <w:r w:rsidRPr="008358CC">
        <w:rPr>
          <w:rFonts w:ascii="Arial" w:hAnsi="Arial" w:cs="Arial"/>
          <w:b w:val="0"/>
          <w:sz w:val="24"/>
          <w:szCs w:val="24"/>
          <w:lang w:val="es-MX"/>
        </w:rPr>
        <w:t>0.55)</w:t>
      </w:r>
      <w:r w:rsidRPr="008358CC">
        <w:rPr>
          <w:rFonts w:ascii="Arial" w:hAnsi="Arial" w:cs="Arial"/>
          <w:b w:val="0"/>
          <w:sz w:val="24"/>
          <w:szCs w:val="24"/>
          <w:vertAlign w:val="superscript"/>
          <w:lang w:val="es-MX"/>
        </w:rPr>
        <w:t>2</w:t>
      </w:r>
      <w:r w:rsidRPr="008358CC">
        <w:rPr>
          <w:rFonts w:ascii="Arial" w:hAnsi="Arial" w:cs="Arial"/>
          <w:b w:val="0"/>
          <w:i/>
          <w:sz w:val="24"/>
          <w:szCs w:val="24"/>
          <w:lang w:val="es-MX"/>
        </w:rPr>
        <w:t xml:space="preserve"> - </w:t>
      </w:r>
      <w:r w:rsidRPr="008358CC">
        <w:rPr>
          <w:rFonts w:ascii="Arial" w:hAnsi="Arial" w:cs="Arial"/>
          <w:b w:val="0"/>
          <w:sz w:val="24"/>
          <w:szCs w:val="24"/>
          <w:lang w:val="es-MX"/>
        </w:rPr>
        <w:t>(y-2.05)</w:t>
      </w:r>
      <w:r w:rsidRPr="008358CC">
        <w:rPr>
          <w:rFonts w:ascii="Arial" w:hAnsi="Arial" w:cs="Arial"/>
          <w:b w:val="0"/>
          <w:sz w:val="24"/>
          <w:szCs w:val="24"/>
          <w:vertAlign w:val="superscript"/>
          <w:lang w:val="es-MX"/>
        </w:rPr>
        <w:t>2</w:t>
      </w:r>
      <w:r w:rsidRPr="008358CC">
        <w:rPr>
          <w:rFonts w:ascii="Arial" w:hAnsi="Arial" w:cs="Arial"/>
          <w:b w:val="0"/>
          <w:sz w:val="24"/>
          <w:szCs w:val="24"/>
          <w:lang w:val="es-MX"/>
        </w:rPr>
        <w:t>)</w:t>
      </w:r>
      <w:r w:rsidRPr="008358CC">
        <w:rPr>
          <w:rFonts w:ascii="Arial" w:hAnsi="Arial" w:cs="Arial"/>
          <w:b w:val="0"/>
          <w:sz w:val="24"/>
          <w:szCs w:val="24"/>
        </w:rPr>
        <w:t xml:space="preserve">, mientras que los coeficientes en la ecuación de transporte son: </w:t>
      </w:r>
      <w:r w:rsidRPr="008358CC">
        <w:rPr>
          <w:rFonts w:ascii="Arial" w:hAnsi="Arial" w:cs="Arial"/>
          <w:b w:val="0"/>
          <w:i/>
          <w:sz w:val="24"/>
          <w:szCs w:val="24"/>
        </w:rPr>
        <w:t>σ</w:t>
      </w:r>
      <w:r w:rsidRPr="008358CC">
        <w:rPr>
          <w:rFonts w:ascii="Arial" w:hAnsi="Arial" w:cs="Arial"/>
          <w:b w:val="0"/>
          <w:sz w:val="24"/>
          <w:szCs w:val="24"/>
        </w:rPr>
        <w:t xml:space="preserve"> = 0.36 h</w:t>
      </w:r>
      <w:r w:rsidRPr="008358CC">
        <w:rPr>
          <w:rFonts w:ascii="Arial" w:hAnsi="Arial" w:cs="Arial"/>
          <w:b w:val="0"/>
          <w:sz w:val="24"/>
          <w:szCs w:val="24"/>
          <w:vertAlign w:val="superscript"/>
        </w:rPr>
        <w:t>-1</w:t>
      </w:r>
      <w:r w:rsidRPr="008358CC">
        <w:rPr>
          <w:rFonts w:ascii="Arial" w:hAnsi="Arial" w:cs="Arial"/>
          <w:b w:val="0"/>
          <w:sz w:val="24"/>
          <w:szCs w:val="24"/>
        </w:rPr>
        <w:t xml:space="preserve">,  </w:t>
      </w:r>
      <w:r w:rsidRPr="008358CC">
        <w:rPr>
          <w:rFonts w:ascii="Arial" w:hAnsi="Arial" w:cs="Arial"/>
          <w:b w:val="0"/>
          <w:i/>
          <w:sz w:val="24"/>
          <w:szCs w:val="24"/>
        </w:rPr>
        <w:t xml:space="preserve">μ </w:t>
      </w:r>
      <w:r w:rsidRPr="008358CC">
        <w:rPr>
          <w:rFonts w:ascii="Arial" w:hAnsi="Arial" w:cs="Arial"/>
          <w:b w:val="0"/>
          <w:sz w:val="24"/>
          <w:szCs w:val="24"/>
        </w:rPr>
        <w:t>= 1.8 km</w:t>
      </w:r>
      <w:r w:rsidRPr="008358CC">
        <w:rPr>
          <w:rFonts w:ascii="Arial" w:hAnsi="Arial" w:cs="Arial"/>
          <w:b w:val="0"/>
          <w:sz w:val="24"/>
          <w:szCs w:val="24"/>
          <w:vertAlign w:val="superscript"/>
        </w:rPr>
        <w:t>2</w:t>
      </w:r>
      <w:r w:rsidRPr="008358CC">
        <w:rPr>
          <w:rFonts w:ascii="Arial" w:hAnsi="Arial" w:cs="Arial"/>
          <w:b w:val="0"/>
          <w:sz w:val="24"/>
          <w:szCs w:val="24"/>
        </w:rPr>
        <w:t>h</w:t>
      </w:r>
      <w:r w:rsidRPr="008358CC">
        <w:rPr>
          <w:rFonts w:ascii="Arial" w:hAnsi="Arial" w:cs="Arial"/>
          <w:b w:val="0"/>
          <w:sz w:val="24"/>
          <w:szCs w:val="24"/>
          <w:vertAlign w:val="superscript"/>
        </w:rPr>
        <w:t>-1</w:t>
      </w:r>
      <w:r w:rsidRPr="008358CC">
        <w:rPr>
          <w:rFonts w:ascii="Arial" w:hAnsi="Arial" w:cs="Arial"/>
          <w:b w:val="0"/>
          <w:sz w:val="24"/>
          <w:szCs w:val="24"/>
        </w:rPr>
        <w:t xml:space="preserve">,  </w:t>
      </w:r>
      <w:r w:rsidRPr="008358CC">
        <w:rPr>
          <w:rFonts w:ascii="Arial" w:hAnsi="Arial" w:cs="Arial"/>
          <w:b w:val="0"/>
          <w:i/>
          <w:sz w:val="24"/>
          <w:szCs w:val="24"/>
        </w:rPr>
        <w:t xml:space="preserve">u </w:t>
      </w:r>
      <w:r w:rsidRPr="008358CC">
        <w:rPr>
          <w:rFonts w:ascii="Arial" w:hAnsi="Arial" w:cs="Arial"/>
          <w:b w:val="0"/>
          <w:sz w:val="24"/>
          <w:szCs w:val="24"/>
        </w:rPr>
        <w:t>= 5 kmh</w:t>
      </w:r>
      <w:r w:rsidRPr="008358CC">
        <w:rPr>
          <w:rFonts w:ascii="Arial" w:hAnsi="Arial" w:cs="Arial"/>
          <w:b w:val="0"/>
          <w:sz w:val="24"/>
          <w:szCs w:val="24"/>
          <w:vertAlign w:val="superscript"/>
        </w:rPr>
        <w:t>-1</w:t>
      </w:r>
      <w:r w:rsidRPr="008358CC">
        <w:rPr>
          <w:rFonts w:ascii="Arial" w:hAnsi="Arial" w:cs="Arial"/>
          <w:b w:val="0"/>
          <w:sz w:val="24"/>
          <w:szCs w:val="24"/>
        </w:rPr>
        <w:t xml:space="preserve"> y </w:t>
      </w:r>
      <w:r w:rsidRPr="008358CC">
        <w:rPr>
          <w:rFonts w:ascii="Arial" w:hAnsi="Arial" w:cs="Arial"/>
          <w:b w:val="0"/>
          <w:i/>
          <w:sz w:val="24"/>
          <w:szCs w:val="24"/>
        </w:rPr>
        <w:t xml:space="preserve">v </w:t>
      </w:r>
      <w:r w:rsidRPr="008358CC">
        <w:rPr>
          <w:rFonts w:ascii="Arial" w:hAnsi="Arial" w:cs="Arial"/>
          <w:b w:val="0"/>
          <w:sz w:val="24"/>
          <w:szCs w:val="24"/>
        </w:rPr>
        <w:t>= (10/3)</w:t>
      </w:r>
      <w:r w:rsidRPr="008358CC">
        <w:rPr>
          <w:rFonts w:ascii="Arial" w:hAnsi="Arial" w:cs="Arial"/>
          <w:b w:val="0"/>
          <w:i/>
          <w:sz w:val="24"/>
          <w:szCs w:val="24"/>
        </w:rPr>
        <w:t>x</w:t>
      </w:r>
      <w:r w:rsidRPr="008358CC">
        <w:rPr>
          <w:rFonts w:ascii="Arial" w:hAnsi="Arial" w:cs="Arial"/>
          <w:b w:val="0"/>
          <w:sz w:val="24"/>
          <w:szCs w:val="24"/>
        </w:rPr>
        <w:t xml:space="preserve"> kmh</w:t>
      </w:r>
      <w:r w:rsidRPr="008358CC">
        <w:rPr>
          <w:rFonts w:ascii="Arial" w:hAnsi="Arial" w:cs="Arial"/>
          <w:b w:val="0"/>
          <w:sz w:val="24"/>
          <w:szCs w:val="24"/>
          <w:vertAlign w:val="superscript"/>
        </w:rPr>
        <w:t>-1</w:t>
      </w:r>
      <w:r w:rsidRPr="008358CC">
        <w:rPr>
          <w:rFonts w:ascii="Arial" w:hAnsi="Arial" w:cs="Arial"/>
          <w:b w:val="0"/>
          <w:sz w:val="24"/>
          <w:szCs w:val="24"/>
        </w:rPr>
        <w:t xml:space="preserve">. Note que el viento con dirección de suroeste a noreste transporta el contaminante desde las fuentes a toda la región </w:t>
      </w:r>
      <w:r w:rsidRPr="008358CC">
        <w:rPr>
          <w:rFonts w:ascii="Arial" w:hAnsi="Arial" w:cs="Arial"/>
          <w:sz w:val="24"/>
          <w:szCs w:val="24"/>
          <w:lang w:val="es-MX"/>
        </w:rPr>
        <w:t>D</w:t>
      </w:r>
      <w:r w:rsidRPr="008358CC">
        <w:rPr>
          <w:rFonts w:ascii="Arial" w:hAnsi="Arial" w:cs="Arial"/>
          <w:b w:val="0"/>
          <w:sz w:val="24"/>
          <w:szCs w:val="24"/>
        </w:rPr>
        <w:t xml:space="preserve">. El problema de control se considera en la zona </w:t>
      </w:r>
      <w:r w:rsidRPr="008358CC">
        <w:rPr>
          <w:rFonts w:ascii="Arial" w:hAnsi="Arial" w:cs="Arial"/>
          <w:b w:val="0"/>
          <w:sz w:val="24"/>
          <w:szCs w:val="24"/>
          <w:lang w:val="en-US"/>
        </w:rPr>
        <w:t>Ω</w:t>
      </w:r>
      <w:r w:rsidRPr="008358CC">
        <w:rPr>
          <w:rFonts w:ascii="Arial" w:hAnsi="Arial" w:cs="Arial"/>
          <w:b w:val="0"/>
          <w:sz w:val="24"/>
          <w:szCs w:val="24"/>
        </w:rPr>
        <w:t xml:space="preserve"> durante el intervalo de tiempo </w:t>
      </w:r>
      <w:r w:rsidRPr="008358CC">
        <w:rPr>
          <w:rFonts w:ascii="Arial" w:hAnsi="Arial" w:cs="Arial"/>
          <w:b w:val="0"/>
          <w:sz w:val="24"/>
          <w:szCs w:val="24"/>
          <w:lang w:val="es-MX"/>
        </w:rPr>
        <w:t>(0</w:t>
      </w:r>
      <w:r w:rsidRPr="008358CC">
        <w:rPr>
          <w:rFonts w:ascii="Arial" w:hAnsi="Arial" w:cs="Arial"/>
          <w:b w:val="0"/>
          <w:i/>
          <w:sz w:val="24"/>
          <w:szCs w:val="24"/>
          <w:lang w:val="es-MX"/>
        </w:rPr>
        <w:t>,T</w:t>
      </w:r>
      <w:r w:rsidRPr="008358CC">
        <w:rPr>
          <w:rFonts w:ascii="Arial" w:hAnsi="Arial" w:cs="Arial"/>
          <w:b w:val="0"/>
          <w:sz w:val="24"/>
          <w:szCs w:val="24"/>
          <w:lang w:val="es-MX"/>
        </w:rPr>
        <w:t>)</w:t>
      </w:r>
      <w:r w:rsidRPr="008358CC">
        <w:rPr>
          <w:rFonts w:ascii="Arial" w:hAnsi="Arial" w:cs="Arial"/>
          <w:b w:val="0"/>
          <w:sz w:val="24"/>
          <w:szCs w:val="24"/>
        </w:rPr>
        <w:t xml:space="preserve">, </w:t>
      </w:r>
      <w:r w:rsidRPr="008358CC">
        <w:rPr>
          <w:rFonts w:ascii="Arial" w:hAnsi="Arial" w:cs="Arial"/>
          <w:b w:val="0"/>
          <w:i/>
          <w:sz w:val="24"/>
          <w:szCs w:val="24"/>
          <w:lang w:val="es-MX"/>
        </w:rPr>
        <w:t xml:space="preserve">T= </w:t>
      </w:r>
      <w:r w:rsidRPr="008358CC">
        <w:rPr>
          <w:rFonts w:ascii="Arial" w:hAnsi="Arial" w:cs="Arial"/>
          <w:b w:val="0"/>
          <w:sz w:val="24"/>
          <w:szCs w:val="24"/>
          <w:lang w:val="es-MX"/>
        </w:rPr>
        <w:t>8</w:t>
      </w:r>
      <w:r w:rsidRPr="008358CC">
        <w:rPr>
          <w:rFonts w:ascii="Arial" w:hAnsi="Arial" w:cs="Arial"/>
          <w:b w:val="0"/>
          <w:i/>
          <w:sz w:val="24"/>
          <w:szCs w:val="24"/>
          <w:lang w:val="es-MX"/>
        </w:rPr>
        <w:t xml:space="preserve"> </w:t>
      </w:r>
      <w:r w:rsidRPr="008358CC">
        <w:rPr>
          <w:rFonts w:ascii="Arial" w:hAnsi="Arial" w:cs="Arial"/>
          <w:b w:val="0"/>
          <w:sz w:val="24"/>
          <w:szCs w:val="24"/>
          <w:lang w:val="es-MX"/>
        </w:rPr>
        <w:t>h</w:t>
      </w:r>
      <w:r w:rsidRPr="008358CC">
        <w:rPr>
          <w:rFonts w:ascii="Arial" w:hAnsi="Arial" w:cs="Arial"/>
          <w:b w:val="0"/>
          <w:sz w:val="24"/>
          <w:szCs w:val="24"/>
        </w:rPr>
        <w:t xml:space="preserve">. </w:t>
      </w:r>
    </w:p>
    <w:p w:rsidR="00212B85" w:rsidRPr="008358CC" w:rsidRDefault="00212B85" w:rsidP="00212B85">
      <w:pPr>
        <w:pStyle w:val="Textoindependiente"/>
        <w:ind w:firstLine="567"/>
        <w:jc w:val="both"/>
        <w:rPr>
          <w:rFonts w:ascii="Arial" w:hAnsi="Arial" w:cs="Arial"/>
          <w:b w:val="0"/>
          <w:sz w:val="24"/>
          <w:szCs w:val="24"/>
          <w:vertAlign w:val="superscript"/>
          <w:lang w:val="es-MX"/>
        </w:rPr>
      </w:pPr>
      <w:r w:rsidRPr="008358CC">
        <w:rPr>
          <w:rFonts w:ascii="Arial" w:hAnsi="Arial" w:cs="Arial"/>
          <w:b w:val="0"/>
          <w:sz w:val="24"/>
          <w:szCs w:val="24"/>
        </w:rPr>
        <w:t xml:space="preserve">Para observar la evolución de la concentración con el tiempo en la zona </w:t>
      </w:r>
      <w:r w:rsidRPr="008358CC">
        <w:rPr>
          <w:rFonts w:ascii="Arial" w:hAnsi="Arial" w:cs="Arial"/>
          <w:b w:val="0"/>
          <w:sz w:val="24"/>
          <w:szCs w:val="24"/>
          <w:lang w:val="en-US"/>
        </w:rPr>
        <w:t>Ω</w:t>
      </w:r>
      <w:r w:rsidRPr="008358CC">
        <w:rPr>
          <w:rFonts w:ascii="Arial" w:hAnsi="Arial" w:cs="Arial"/>
          <w:b w:val="0"/>
          <w:sz w:val="24"/>
          <w:szCs w:val="24"/>
        </w:rPr>
        <w:t xml:space="preserve">, consideramos cinco puntos de monitoreo distribuidos en esta área: </w:t>
      </w:r>
      <w:r w:rsidRPr="008358CC">
        <w:rPr>
          <w:rFonts w:ascii="Arial" w:hAnsi="Arial" w:cs="Arial"/>
          <w:sz w:val="24"/>
          <w:szCs w:val="24"/>
          <w:lang w:val="es-MX"/>
        </w:rPr>
        <w:t>R</w:t>
      </w:r>
      <w:r w:rsidRPr="008358CC">
        <w:rPr>
          <w:rFonts w:ascii="Arial" w:hAnsi="Arial" w:cs="Arial"/>
          <w:b w:val="0"/>
          <w:i/>
          <w:sz w:val="24"/>
          <w:szCs w:val="24"/>
          <w:vertAlign w:val="subscript"/>
          <w:lang w:val="es-MX"/>
        </w:rPr>
        <w:t>1</w:t>
      </w:r>
      <w:r w:rsidRPr="008358CC">
        <w:rPr>
          <w:rFonts w:ascii="Arial" w:hAnsi="Arial" w:cs="Arial"/>
          <w:b w:val="0"/>
          <w:i/>
          <w:sz w:val="24"/>
          <w:szCs w:val="24"/>
          <w:lang w:val="es-MX"/>
        </w:rPr>
        <w:t xml:space="preserve"> = </w:t>
      </w:r>
      <w:r w:rsidRPr="008358CC">
        <w:rPr>
          <w:rFonts w:ascii="Arial" w:hAnsi="Arial" w:cs="Arial"/>
          <w:b w:val="0"/>
          <w:sz w:val="24"/>
          <w:szCs w:val="24"/>
          <w:lang w:val="es-MX"/>
        </w:rPr>
        <w:t xml:space="preserve">(1.05,1.05), </w:t>
      </w:r>
      <w:r w:rsidRPr="008358CC">
        <w:rPr>
          <w:rFonts w:ascii="Arial" w:hAnsi="Arial" w:cs="Arial"/>
          <w:sz w:val="24"/>
          <w:szCs w:val="24"/>
          <w:lang w:val="es-MX"/>
        </w:rPr>
        <w:t>R</w:t>
      </w:r>
      <w:r w:rsidRPr="008358CC">
        <w:rPr>
          <w:rFonts w:ascii="Arial" w:hAnsi="Arial" w:cs="Arial"/>
          <w:b w:val="0"/>
          <w:i/>
          <w:sz w:val="24"/>
          <w:szCs w:val="24"/>
          <w:vertAlign w:val="subscript"/>
          <w:lang w:val="es-MX"/>
        </w:rPr>
        <w:t>2</w:t>
      </w:r>
      <w:r w:rsidRPr="008358CC">
        <w:rPr>
          <w:rFonts w:ascii="Arial" w:hAnsi="Arial" w:cs="Arial"/>
          <w:b w:val="0"/>
          <w:i/>
          <w:sz w:val="24"/>
          <w:szCs w:val="24"/>
          <w:lang w:val="es-MX"/>
        </w:rPr>
        <w:t xml:space="preserve"> = </w:t>
      </w:r>
      <w:r w:rsidRPr="008358CC">
        <w:rPr>
          <w:rFonts w:ascii="Arial" w:hAnsi="Arial" w:cs="Arial"/>
          <w:b w:val="0"/>
          <w:sz w:val="24"/>
          <w:szCs w:val="24"/>
          <w:lang w:val="es-MX"/>
        </w:rPr>
        <w:t xml:space="preserve">(1.95,1.05), </w:t>
      </w:r>
      <w:r w:rsidRPr="008358CC">
        <w:rPr>
          <w:rFonts w:ascii="Arial" w:hAnsi="Arial" w:cs="Arial"/>
          <w:sz w:val="24"/>
          <w:szCs w:val="24"/>
          <w:lang w:val="es-MX"/>
        </w:rPr>
        <w:t>R</w:t>
      </w:r>
      <w:r w:rsidRPr="008358CC">
        <w:rPr>
          <w:rFonts w:ascii="Arial" w:hAnsi="Arial" w:cs="Arial"/>
          <w:b w:val="0"/>
          <w:i/>
          <w:sz w:val="24"/>
          <w:szCs w:val="24"/>
          <w:vertAlign w:val="subscript"/>
          <w:lang w:val="es-MX"/>
        </w:rPr>
        <w:t>3</w:t>
      </w:r>
      <w:r w:rsidRPr="008358CC">
        <w:rPr>
          <w:rFonts w:ascii="Arial" w:hAnsi="Arial" w:cs="Arial"/>
          <w:b w:val="0"/>
          <w:i/>
          <w:sz w:val="24"/>
          <w:szCs w:val="24"/>
          <w:lang w:val="es-MX"/>
        </w:rPr>
        <w:t xml:space="preserve"> = </w:t>
      </w:r>
      <w:r w:rsidRPr="008358CC">
        <w:rPr>
          <w:rFonts w:ascii="Arial" w:hAnsi="Arial" w:cs="Arial"/>
          <w:b w:val="0"/>
          <w:sz w:val="24"/>
          <w:szCs w:val="24"/>
          <w:lang w:val="es-MX"/>
        </w:rPr>
        <w:t xml:space="preserve">(1.55,1.55), </w:t>
      </w:r>
      <w:r w:rsidRPr="008358CC">
        <w:rPr>
          <w:rFonts w:ascii="Arial" w:hAnsi="Arial" w:cs="Arial"/>
          <w:sz w:val="24"/>
          <w:szCs w:val="24"/>
          <w:lang w:val="es-MX"/>
        </w:rPr>
        <w:t>R</w:t>
      </w:r>
      <w:r w:rsidRPr="008358CC">
        <w:rPr>
          <w:rFonts w:ascii="Arial" w:hAnsi="Arial" w:cs="Arial"/>
          <w:b w:val="0"/>
          <w:i/>
          <w:sz w:val="24"/>
          <w:szCs w:val="24"/>
          <w:vertAlign w:val="subscript"/>
          <w:lang w:val="es-MX"/>
        </w:rPr>
        <w:t>4</w:t>
      </w:r>
      <w:r w:rsidRPr="008358CC">
        <w:rPr>
          <w:rFonts w:ascii="Arial" w:hAnsi="Arial" w:cs="Arial"/>
          <w:b w:val="0"/>
          <w:i/>
          <w:sz w:val="24"/>
          <w:szCs w:val="24"/>
          <w:lang w:val="es-MX"/>
        </w:rPr>
        <w:t xml:space="preserve"> = </w:t>
      </w:r>
      <w:r w:rsidRPr="008358CC">
        <w:rPr>
          <w:rFonts w:ascii="Arial" w:hAnsi="Arial" w:cs="Arial"/>
          <w:b w:val="0"/>
          <w:sz w:val="24"/>
          <w:szCs w:val="24"/>
          <w:lang w:val="es-MX"/>
        </w:rPr>
        <w:t xml:space="preserve">(1.05,1.95) y </w:t>
      </w:r>
      <w:r w:rsidRPr="008358CC">
        <w:rPr>
          <w:rFonts w:ascii="Arial" w:hAnsi="Arial" w:cs="Arial"/>
          <w:sz w:val="24"/>
          <w:szCs w:val="24"/>
          <w:lang w:val="es-MX"/>
        </w:rPr>
        <w:t>R</w:t>
      </w:r>
      <w:r w:rsidRPr="008358CC">
        <w:rPr>
          <w:rFonts w:ascii="Arial" w:hAnsi="Arial" w:cs="Arial"/>
          <w:b w:val="0"/>
          <w:i/>
          <w:sz w:val="24"/>
          <w:szCs w:val="24"/>
          <w:vertAlign w:val="subscript"/>
          <w:lang w:val="es-MX"/>
        </w:rPr>
        <w:t>5</w:t>
      </w:r>
      <w:r w:rsidRPr="008358CC">
        <w:rPr>
          <w:rFonts w:ascii="Arial" w:hAnsi="Arial" w:cs="Arial"/>
          <w:b w:val="0"/>
          <w:i/>
          <w:sz w:val="24"/>
          <w:szCs w:val="24"/>
          <w:lang w:val="es-MX"/>
        </w:rPr>
        <w:t xml:space="preserve"> = </w:t>
      </w:r>
      <w:r w:rsidRPr="008358CC">
        <w:rPr>
          <w:rFonts w:ascii="Arial" w:hAnsi="Arial" w:cs="Arial"/>
          <w:b w:val="0"/>
          <w:sz w:val="24"/>
          <w:szCs w:val="24"/>
          <w:lang w:val="es-MX"/>
        </w:rPr>
        <w:t>(1.95,1.95)</w:t>
      </w:r>
      <w:r w:rsidRPr="008358CC">
        <w:rPr>
          <w:rFonts w:ascii="Arial" w:hAnsi="Arial" w:cs="Arial"/>
          <w:b w:val="0"/>
          <w:sz w:val="24"/>
          <w:szCs w:val="24"/>
        </w:rPr>
        <w:t>.</w:t>
      </w:r>
      <w:r w:rsidRPr="008358CC">
        <w:rPr>
          <w:rFonts w:ascii="Arial" w:hAnsi="Arial" w:cs="Arial"/>
          <w:sz w:val="24"/>
          <w:szCs w:val="24"/>
          <w:lang w:val="es-MX"/>
        </w:rPr>
        <w:t xml:space="preserve"> </w:t>
      </w:r>
      <w:r w:rsidRPr="008358CC">
        <w:rPr>
          <w:rFonts w:ascii="Arial" w:hAnsi="Arial" w:cs="Arial"/>
          <w:b w:val="0"/>
          <w:sz w:val="24"/>
          <w:szCs w:val="24"/>
        </w:rPr>
        <w:t xml:space="preserve">La Figura 2a muestra las concentraciones respectivas </w:t>
      </w:r>
      <w:r w:rsidRPr="008358CC">
        <w:rPr>
          <w:rFonts w:ascii="Arial" w:hAnsi="Arial" w:cs="Arial"/>
          <w:b w:val="0"/>
          <w:i/>
          <w:sz w:val="24"/>
          <w:szCs w:val="24"/>
        </w:rPr>
        <w:t>ϕ</w:t>
      </w:r>
      <w:r w:rsidRPr="008358CC">
        <w:rPr>
          <w:rFonts w:ascii="Arial" w:hAnsi="Arial" w:cs="Arial"/>
          <w:b w:val="0"/>
          <w:sz w:val="24"/>
          <w:szCs w:val="24"/>
          <w:lang w:val="es-MX"/>
        </w:rPr>
        <w:t>(</w:t>
      </w:r>
      <w:r w:rsidRPr="008358CC">
        <w:rPr>
          <w:rFonts w:ascii="Arial" w:hAnsi="Arial" w:cs="Arial"/>
          <w:sz w:val="24"/>
          <w:szCs w:val="24"/>
          <w:lang w:val="es-MX"/>
        </w:rPr>
        <w:t>R</w:t>
      </w:r>
      <w:r w:rsidRPr="008358CC">
        <w:rPr>
          <w:rFonts w:ascii="Arial" w:hAnsi="Arial" w:cs="Arial"/>
          <w:b w:val="0"/>
          <w:i/>
          <w:sz w:val="24"/>
          <w:szCs w:val="24"/>
          <w:vertAlign w:val="subscript"/>
          <w:lang w:val="es-MX"/>
        </w:rPr>
        <w:t>i</w:t>
      </w:r>
      <w:r w:rsidRPr="008358CC">
        <w:rPr>
          <w:rFonts w:ascii="Arial" w:hAnsi="Arial" w:cs="Arial"/>
          <w:b w:val="0"/>
          <w:sz w:val="24"/>
          <w:szCs w:val="24"/>
          <w:lang w:val="es-MX"/>
        </w:rPr>
        <w:t>,</w:t>
      </w:r>
      <w:r w:rsidRPr="008358CC">
        <w:rPr>
          <w:rFonts w:ascii="Arial" w:hAnsi="Arial" w:cs="Arial"/>
          <w:b w:val="0"/>
          <w:i/>
          <w:sz w:val="24"/>
          <w:szCs w:val="24"/>
          <w:lang w:val="es-MX"/>
        </w:rPr>
        <w:t>t</w:t>
      </w:r>
      <w:r w:rsidRPr="008358CC">
        <w:rPr>
          <w:rFonts w:ascii="Arial" w:hAnsi="Arial" w:cs="Arial"/>
          <w:b w:val="0"/>
          <w:sz w:val="24"/>
          <w:szCs w:val="24"/>
          <w:lang w:val="es-MX"/>
        </w:rPr>
        <w:t xml:space="preserve">), </w:t>
      </w:r>
      <w:r w:rsidRPr="008358CC">
        <w:rPr>
          <w:rFonts w:ascii="Arial" w:hAnsi="Arial" w:cs="Arial"/>
          <w:b w:val="0"/>
          <w:i/>
          <w:sz w:val="24"/>
          <w:szCs w:val="24"/>
          <w:lang w:val="es-MX"/>
        </w:rPr>
        <w:t xml:space="preserve">i= 1,…,5  </w:t>
      </w:r>
      <w:r w:rsidRPr="008358CC">
        <w:rPr>
          <w:rFonts w:ascii="Arial" w:hAnsi="Arial" w:cs="Arial"/>
          <w:b w:val="0"/>
          <w:sz w:val="24"/>
          <w:szCs w:val="24"/>
        </w:rPr>
        <w:t xml:space="preserve">y, el límite permitido (norma de calidad del aire) para la concentración del contaminante </w:t>
      </w:r>
      <w:r w:rsidRPr="008358CC">
        <w:rPr>
          <w:rFonts w:ascii="Arial" w:hAnsi="Arial" w:cs="Arial"/>
          <w:b w:val="0"/>
          <w:i/>
          <w:sz w:val="24"/>
          <w:szCs w:val="24"/>
          <w:lang w:val="es-MX"/>
        </w:rPr>
        <w:t>J</w:t>
      </w:r>
      <w:r w:rsidRPr="008358CC">
        <w:rPr>
          <w:rFonts w:ascii="Arial" w:hAnsi="Arial" w:cs="Arial"/>
          <w:b w:val="0"/>
          <w:i/>
          <w:sz w:val="24"/>
          <w:szCs w:val="24"/>
          <w:vertAlign w:val="subscript"/>
          <w:lang w:val="es-MX"/>
        </w:rPr>
        <w:t>0</w:t>
      </w:r>
      <w:r w:rsidRPr="008358CC">
        <w:rPr>
          <w:rFonts w:ascii="Arial" w:hAnsi="Arial" w:cs="Arial"/>
          <w:b w:val="0"/>
          <w:sz w:val="24"/>
          <w:szCs w:val="24"/>
          <w:lang w:val="es-MX"/>
        </w:rPr>
        <w:t xml:space="preserve"> = 210 </w:t>
      </w:r>
      <w:r w:rsidRPr="008358CC">
        <w:rPr>
          <w:rFonts w:ascii="Arial" w:hAnsi="Arial" w:cs="Arial"/>
          <w:b w:val="0"/>
          <w:i/>
          <w:sz w:val="24"/>
          <w:szCs w:val="24"/>
        </w:rPr>
        <w:t>μg / m</w:t>
      </w:r>
      <w:r w:rsidRPr="008358CC">
        <w:rPr>
          <w:rFonts w:ascii="Arial" w:hAnsi="Arial" w:cs="Arial"/>
          <w:b w:val="0"/>
          <w:i/>
          <w:sz w:val="24"/>
          <w:szCs w:val="24"/>
          <w:vertAlign w:val="superscript"/>
        </w:rPr>
        <w:t>3</w:t>
      </w:r>
      <w:r w:rsidRPr="008358CC">
        <w:rPr>
          <w:rFonts w:ascii="Arial" w:hAnsi="Arial" w:cs="Arial"/>
          <w:sz w:val="24"/>
          <w:szCs w:val="24"/>
          <w:lang w:val="es-MX"/>
        </w:rPr>
        <w:t xml:space="preserve"> </w:t>
      </w:r>
      <w:r w:rsidRPr="008358CC">
        <w:rPr>
          <w:rFonts w:ascii="Arial" w:hAnsi="Arial" w:cs="Arial"/>
          <w:b w:val="0"/>
          <w:sz w:val="24"/>
          <w:szCs w:val="24"/>
        </w:rPr>
        <w:t xml:space="preserve">para las ocho horas de exposición. </w:t>
      </w:r>
    </w:p>
    <w:p w:rsidR="00212B85" w:rsidRPr="008358CC" w:rsidRDefault="00212B85" w:rsidP="00212B85">
      <w:pPr>
        <w:pStyle w:val="Textoindependiente"/>
        <w:ind w:firstLine="567"/>
        <w:jc w:val="both"/>
        <w:rPr>
          <w:rFonts w:ascii="Arial" w:hAnsi="Arial" w:cs="Arial"/>
          <w:b w:val="0"/>
          <w:sz w:val="24"/>
          <w:szCs w:val="24"/>
          <w:lang w:val="es-MX"/>
        </w:rPr>
      </w:pPr>
    </w:p>
    <w:p w:rsidR="00212B85" w:rsidRPr="008358CC" w:rsidRDefault="00212B85" w:rsidP="00212B85">
      <w:pPr>
        <w:pStyle w:val="Textoindependiente"/>
        <w:ind w:firstLine="567"/>
        <w:jc w:val="both"/>
        <w:rPr>
          <w:rFonts w:ascii="Arial" w:hAnsi="Arial" w:cs="Arial"/>
          <w:sz w:val="24"/>
          <w:szCs w:val="24"/>
          <w:lang w:val="es-MX"/>
        </w:rPr>
      </w:pPr>
    </w:p>
    <w:p w:rsidR="00212B85" w:rsidRPr="008358CC" w:rsidRDefault="00212B85" w:rsidP="00212B85">
      <w:pPr>
        <w:pStyle w:val="Textoindependiente"/>
        <w:jc w:val="center"/>
        <w:rPr>
          <w:rFonts w:ascii="Arial" w:hAnsi="Arial" w:cs="Arial"/>
          <w:b w:val="0"/>
          <w:sz w:val="24"/>
          <w:szCs w:val="24"/>
        </w:rPr>
      </w:pPr>
      <w:r w:rsidRPr="008358CC">
        <w:rPr>
          <w:rFonts w:ascii="Arial" w:hAnsi="Arial" w:cs="Arial"/>
          <w:b w:val="0"/>
          <w:noProof/>
          <w:sz w:val="24"/>
          <w:szCs w:val="24"/>
          <w:lang w:val="en-US"/>
        </w:rPr>
        <mc:AlternateContent>
          <mc:Choice Requires="wps">
            <w:drawing>
              <wp:anchor distT="0" distB="0" distL="114300" distR="114300" simplePos="0" relativeHeight="251787264" behindDoc="0" locked="0" layoutInCell="1" allowOverlap="1" wp14:anchorId="124E9882" wp14:editId="6C3D7157">
                <wp:simplePos x="0" y="0"/>
                <wp:positionH relativeFrom="column">
                  <wp:posOffset>728345</wp:posOffset>
                </wp:positionH>
                <wp:positionV relativeFrom="paragraph">
                  <wp:posOffset>2674620</wp:posOffset>
                </wp:positionV>
                <wp:extent cx="361315" cy="305435"/>
                <wp:effectExtent l="0" t="0" r="635" b="0"/>
                <wp:wrapNone/>
                <wp:docPr id="20"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315" cy="305435"/>
                        </a:xfrm>
                        <a:prstGeom prst="rect">
                          <a:avLst/>
                        </a:prstGeom>
                        <a:solidFill>
                          <a:sysClr val="window" lastClr="FFFFFF"/>
                        </a:solidFill>
                        <a:ln w="6350">
                          <a:noFill/>
                        </a:ln>
                        <a:effectLst/>
                      </wps:spPr>
                      <wps:txbx>
                        <w:txbxContent>
                          <w:p w:rsidR="00C20C0F" w:rsidRPr="008A0520" w:rsidRDefault="00C20C0F" w:rsidP="00212B85">
                            <w:pPr>
                              <w:spacing w:after="160" w:line="259" w:lineRule="auto"/>
                              <w:contextualSpacing/>
                              <w:rPr>
                                <w:rFonts w:ascii="Arial" w:hAnsi="Arial" w:cs="Arial"/>
                                <w:sz w:val="20"/>
                                <w:szCs w:val="20"/>
                              </w:rPr>
                            </w:pPr>
                            <w:r w:rsidRPr="008A0520">
                              <w:rPr>
                                <w:rFonts w:ascii="Arial" w:hAnsi="Arial" w:cs="Arial"/>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124E9882" id="_x0000_t202" coordsize="21600,21600" o:spt="202" path="m,l,21600r21600,l21600,xe">
                <v:stroke joinstyle="miter"/>
                <v:path gradientshapeok="t" o:connecttype="rect"/>
              </v:shapetype>
              <v:shape id="Cuadro de texto 20" o:spid="_x0000_s1026" type="#_x0000_t202" style="position:absolute;left:0;text-align:left;margin-left:57.35pt;margin-top:210.6pt;width:28.45pt;height:24.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xq8XgIAALkEAAAOAAAAZHJzL2Uyb0RvYy54bWysVE1v2zAMvQ/YfxB0X53PrgvqFFmKDAOC&#10;tkA79KzIcmJMFjVJiZ39+j3JTpt1Ow3LQaHEJz6RfPT1TVtrdlDOV2RyPrwYcKaMpKIy25x/e1p9&#10;uOLMB2EKocmonB+V5zfz9++uGztTI9qRLpRjCGL8rLE534VgZ1nm5U7Vwl+QVQbOklwtArZumxVO&#10;NIhe62w0GFxmDbnCOpLKe5zedk4+T/HLUslwX5ZeBaZzjreFtLq0buKaza/FbOuE3VWyf4b4h1fU&#10;ojIgfQl1K4Jge1f9EaqupCNPZbiQVGdUlpVUKQdkMxy8yeZxJ6xKuaA43r6Uyf+/sPLu8OBYVeR8&#10;hPIYUaNHy70oHLFCsaDaQAwelKmxfgb0owU+tJ+pRbtTyt6uSX73gGRnmO6CBzqWpS1dHf+RMMNF&#10;UB1fqg8OJnE4vhyOh1POJFzjwXQynkba7PWydT58UVSzaOTcobnpAeKw9qGDniCRy5OuilWlddoc&#10;/VI7dhDQAeRTUMOZFj7gMOer9OvZfrumDWtyfjmeDhKToRivo9ImxlVJYz1/TL/LOFqh3bSARnND&#10;xRFlc9Tpz1u5qpDDGg94EA6CQ0EwROEeS6kJlNRbnO3I/fzbecRDB/By1kDAOfc/9sIp5PXVQCGf&#10;hpNJVHzaTKYfY3/duWdz7jH7ekmozRDjamUyIz7ok1k6qp8xa4vICpcwEtw5DydzGbqxwqxKtVgk&#10;EDRuRVibRytPaokdemqfhbN9G6PG7ugkdTF7080OG0ttaLEPVFap1a9V7WWH+Uhi6Wc5DuD5PqFe&#10;vzjzXwAAAP//AwBQSwMEFAAGAAgAAAAhAJLaxRfgAAAACwEAAA8AAABkcnMvZG93bnJldi54bWxM&#10;j8tOwzAQRfdI/IM1SOyo4yRKS4hTQUVXbIqhgqWTDHGEH1HstOHvcVewvDNHd85U28VocsLJD85y&#10;YKsECNrWdYPtOby/7e82QHyQtpPaWeTwgx629fVVJcvOne0rnkToSSyxvpQcVAhjSalvFRrpV25E&#10;G3dfbjIyxDj1tJvkOZYbTdMkKaiRg40XlBxxp7D9FrPhcFSfQrAme9ZPh+xjf3gRLp93nN/eLI8P&#10;QAIu4Q+Gi35Uhzo6NW62nSc6ZpavI8ohT1kK5EKsWQGkiZPiPgNaV/T/D/UvAAAA//8DAFBLAQIt&#10;ABQABgAIAAAAIQC2gziS/gAAAOEBAAATAAAAAAAAAAAAAAAAAAAAAABbQ29udGVudF9UeXBlc10u&#10;eG1sUEsBAi0AFAAGAAgAAAAhADj9If/WAAAAlAEAAAsAAAAAAAAAAAAAAAAALwEAAF9yZWxzLy5y&#10;ZWxzUEsBAi0AFAAGAAgAAAAhAFTDGrxeAgAAuQQAAA4AAAAAAAAAAAAAAAAALgIAAGRycy9lMm9E&#10;b2MueG1sUEsBAi0AFAAGAAgAAAAhAJLaxRfgAAAACwEAAA8AAAAAAAAAAAAAAAAAuAQAAGRycy9k&#10;b3ducmV2LnhtbFBLBQYAAAAABAAEAPMAAADFBQAAAAA=&#10;" fillcolor="window" stroked="f" strokeweight=".5pt">
                <v:path arrowok="t"/>
                <v:textbox>
                  <w:txbxContent>
                    <w:p w:rsidR="00C20C0F" w:rsidRPr="008A0520" w:rsidRDefault="00C20C0F" w:rsidP="00212B85">
                      <w:pPr>
                        <w:spacing w:after="160" w:line="259" w:lineRule="auto"/>
                        <w:contextualSpacing/>
                        <w:rPr>
                          <w:rFonts w:ascii="Arial" w:hAnsi="Arial" w:cs="Arial"/>
                          <w:sz w:val="20"/>
                          <w:szCs w:val="20"/>
                        </w:rPr>
                      </w:pPr>
                      <w:r w:rsidRPr="008A0520">
                        <w:rPr>
                          <w:rFonts w:ascii="Arial" w:hAnsi="Arial" w:cs="Arial"/>
                          <w:sz w:val="20"/>
                          <w:szCs w:val="20"/>
                        </w:rPr>
                        <w:t>a)</w:t>
                      </w:r>
                    </w:p>
                  </w:txbxContent>
                </v:textbox>
              </v:shape>
            </w:pict>
          </mc:Fallback>
        </mc:AlternateContent>
      </w:r>
      <w:r w:rsidRPr="008358CC">
        <w:rPr>
          <w:rFonts w:ascii="Arial" w:hAnsi="Arial" w:cs="Arial"/>
          <w:b w:val="0"/>
          <w:noProof/>
          <w:sz w:val="24"/>
          <w:szCs w:val="24"/>
          <w:lang w:val="en-US"/>
        </w:rPr>
        <mc:AlternateContent>
          <mc:Choice Requires="wps">
            <w:drawing>
              <wp:anchor distT="0" distB="0" distL="114300" distR="114300" simplePos="0" relativeHeight="251788288" behindDoc="0" locked="0" layoutInCell="1" allowOverlap="1" wp14:anchorId="0C3206B4" wp14:editId="7637D0AC">
                <wp:simplePos x="0" y="0"/>
                <wp:positionH relativeFrom="column">
                  <wp:posOffset>3404870</wp:posOffset>
                </wp:positionH>
                <wp:positionV relativeFrom="paragraph">
                  <wp:posOffset>2667000</wp:posOffset>
                </wp:positionV>
                <wp:extent cx="361315" cy="305435"/>
                <wp:effectExtent l="0" t="0" r="635" b="0"/>
                <wp:wrapNone/>
                <wp:docPr id="19" name="Cuadro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315" cy="305435"/>
                        </a:xfrm>
                        <a:prstGeom prst="rect">
                          <a:avLst/>
                        </a:prstGeom>
                        <a:solidFill>
                          <a:sysClr val="window" lastClr="FFFFFF"/>
                        </a:solidFill>
                        <a:ln w="6350">
                          <a:noFill/>
                        </a:ln>
                        <a:effectLst/>
                      </wps:spPr>
                      <wps:txbx>
                        <w:txbxContent>
                          <w:p w:rsidR="00C20C0F" w:rsidRPr="008A0520" w:rsidRDefault="00C20C0F" w:rsidP="00212B85">
                            <w:pPr>
                              <w:spacing w:after="160" w:line="259" w:lineRule="auto"/>
                              <w:contextualSpacing/>
                              <w:rPr>
                                <w:rFonts w:ascii="Arial" w:hAnsi="Arial" w:cs="Arial"/>
                                <w:sz w:val="20"/>
                                <w:szCs w:val="20"/>
                              </w:rPr>
                            </w:pPr>
                            <w:r>
                              <w:rPr>
                                <w:rFonts w:ascii="Arial" w:hAnsi="Arial" w:cs="Arial"/>
                                <w:sz w:val="20"/>
                                <w:szCs w:val="20"/>
                              </w:rPr>
                              <w:t>b</w:t>
                            </w:r>
                            <w:r w:rsidRPr="008A0520">
                              <w:rPr>
                                <w:rFonts w:ascii="Arial" w:hAnsi="Arial" w:cs="Arial"/>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C3206B4" id="Cuadro de texto 19" o:spid="_x0000_s1027" type="#_x0000_t202" style="position:absolute;left:0;text-align:left;margin-left:268.1pt;margin-top:210pt;width:28.45pt;height:24.0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QYQIAAMAEAAAOAAAAZHJzL2Uyb0RvYy54bWysVE1v2zAMvQ/YfxB0X53Pbg3qFFmKDAOC&#10;tkA79KzIcmJMFjVJiZ39+j3JTpt1Ow3LQaHEJ1J8fPT1TVtrdlDOV2RyPrwYcKaMpKIy25x/e1p9&#10;+MSZD8IUQpNROT8qz2/m799dN3amRrQjXSjHEMT4WWNzvgvBzrLMy52qhb8gqwycJblaBGzdNiuc&#10;aBC91tloMLjMGnKFdSSV9zi97Zx8nuKXpZLhviy9CkznHG8LaXVp3cQ1m1+L2dYJu6tk/wzxD6+o&#10;RWWQ9CXUrQiC7V31R6i6ko48leFCUp1RWVZSpRpQzXDwpprHnbAq1QJyvH2hyf+/sPLu8OBYVaB3&#10;V5wZUaNHy70oHLFCsaDaQAwe0NRYPwP60QIf2s/U4koq2ds1ye8ekOwM013wQEda2tLV8R8FM1xE&#10;J44v7CMHkzgcXw7HwylnEq7xYDoZT2Pa7PWydT58UVSzaOTcobnpAeKw9qGDniAxlyddFatK67Q5&#10;+qV27CCgA8inoIYzLXzAYc5X6ddn++2aNqzJ+eV4OkiZDMV4XSptYlyVNNbnj+V3FUcrtJu2Y/ZE&#10;34aKI9hz1MnQW7mqUMoa73gQDroDL5ilcI+l1ITM1Fuc7cj9/Nt5xEMO8HLWQMc59z/2wimU99VA&#10;KFfDySQKP20m048jbNy5Z3PuMft6SaBoiKm1MpkRH/TJLB3Vzxi5RcwKlzASuXMeTuYydNOFkZVq&#10;sUggSN2KsDaPVp5EExv11D4LZ/tuRqnd0UnxYvamqR02Mm5osQ9UVqnjkeeO1V59GJOkmX6k4xye&#10;7xPq9cMz/wUAAP//AwBQSwMEFAAGAAgAAAAhALUOXrvgAAAACwEAAA8AAABkcnMvZG93bnJldi54&#10;bWxMj8FOwzAMhu9IvENkJG4s7bpVozSdYGInLiMwjWPamKaiSaom3crbY05wtP3p/z+X29n27Ixj&#10;6LwTkC4SYOgarzvXCnh/299tgIWonFa9dyjgGwNsq+urUhXaX9wrnmVsGYW4UCgBJsah4Dw0Bq0K&#10;Cz+go9unH62KNI4t16O6ULjt+TJJcm5V56jBqAF3BpsvOVkBR/MhZVpnz/3TITvtDy/Sr6adELc3&#10;8+MDsIhz/IPhV5/UoSKn2k9OB9YLWGf5klABK+oBRsT6PkuB1bTJNynwquT/f6h+AAAA//8DAFBL&#10;AQItABQABgAIAAAAIQC2gziS/gAAAOEBAAATAAAAAAAAAAAAAAAAAAAAAABbQ29udGVudF9UeXBl&#10;c10ueG1sUEsBAi0AFAAGAAgAAAAhADj9If/WAAAAlAEAAAsAAAAAAAAAAAAAAAAALwEAAF9yZWxz&#10;Ly5yZWxzUEsBAi0AFAAGAAgAAAAhAPL/4tBhAgAAwAQAAA4AAAAAAAAAAAAAAAAALgIAAGRycy9l&#10;Mm9Eb2MueG1sUEsBAi0AFAAGAAgAAAAhALUOXrvgAAAACwEAAA8AAAAAAAAAAAAAAAAAuwQAAGRy&#10;cy9kb3ducmV2LnhtbFBLBQYAAAAABAAEAPMAAADIBQAAAAA=&#10;" fillcolor="window" stroked="f" strokeweight=".5pt">
                <v:path arrowok="t"/>
                <v:textbox>
                  <w:txbxContent>
                    <w:p w:rsidR="00C20C0F" w:rsidRPr="008A0520" w:rsidRDefault="00C20C0F" w:rsidP="00212B85">
                      <w:pPr>
                        <w:spacing w:after="160" w:line="259" w:lineRule="auto"/>
                        <w:contextualSpacing/>
                        <w:rPr>
                          <w:rFonts w:ascii="Arial" w:hAnsi="Arial" w:cs="Arial"/>
                          <w:sz w:val="20"/>
                          <w:szCs w:val="20"/>
                        </w:rPr>
                      </w:pPr>
                      <w:r>
                        <w:rPr>
                          <w:rFonts w:ascii="Arial" w:hAnsi="Arial" w:cs="Arial"/>
                          <w:sz w:val="20"/>
                          <w:szCs w:val="20"/>
                        </w:rPr>
                        <w:t>b</w:t>
                      </w:r>
                      <w:r w:rsidRPr="008A0520">
                        <w:rPr>
                          <w:rFonts w:ascii="Arial" w:hAnsi="Arial" w:cs="Arial"/>
                          <w:sz w:val="20"/>
                          <w:szCs w:val="20"/>
                        </w:rPr>
                        <w:t>)</w:t>
                      </w:r>
                    </w:p>
                  </w:txbxContent>
                </v:textbox>
              </v:shape>
            </w:pict>
          </mc:Fallback>
        </mc:AlternateContent>
      </w:r>
      <w:r w:rsidRPr="008358CC">
        <w:rPr>
          <w:rFonts w:ascii="Arial" w:hAnsi="Arial" w:cs="Arial"/>
          <w:b w:val="0"/>
          <w:noProof/>
          <w:sz w:val="24"/>
          <w:szCs w:val="24"/>
          <w:lang w:val="en-US"/>
        </w:rPr>
        <w:drawing>
          <wp:inline distT="0" distB="0" distL="0" distR="0" wp14:anchorId="564D59E8" wp14:editId="707F0A32">
            <wp:extent cx="2781300" cy="2752725"/>
            <wp:effectExtent l="0" t="0" r="0" b="9525"/>
            <wp:docPr id="15" name="Imagen 15" descr="Exp7_TipoFuentesD_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xp7_TipoFuentesD_Art"/>
                    <pic:cNvPicPr>
                      <a:picLocks noChangeAspect="1" noChangeArrowheads="1"/>
                    </pic:cNvPicPr>
                  </pic:nvPicPr>
                  <pic:blipFill>
                    <a:blip r:embed="rId93">
                      <a:extLst>
                        <a:ext uri="{28A0092B-C50C-407E-A947-70E740481C1C}">
                          <a14:useLocalDpi xmlns:a14="http://schemas.microsoft.com/office/drawing/2010/main" val="0"/>
                        </a:ext>
                      </a:extLst>
                    </a:blip>
                    <a:srcRect l="28300" t="5641" r="27650" b="4063"/>
                    <a:stretch>
                      <a:fillRect/>
                    </a:stretch>
                  </pic:blipFill>
                  <pic:spPr bwMode="auto">
                    <a:xfrm>
                      <a:off x="0" y="0"/>
                      <a:ext cx="2781300" cy="2752725"/>
                    </a:xfrm>
                    <a:prstGeom prst="rect">
                      <a:avLst/>
                    </a:prstGeom>
                    <a:noFill/>
                    <a:ln>
                      <a:noFill/>
                    </a:ln>
                  </pic:spPr>
                </pic:pic>
              </a:graphicData>
            </a:graphic>
          </wp:inline>
        </w:drawing>
      </w:r>
      <w:r w:rsidRPr="008358CC">
        <w:rPr>
          <w:rFonts w:ascii="Arial" w:hAnsi="Arial" w:cs="Arial"/>
          <w:b w:val="0"/>
          <w:noProof/>
          <w:sz w:val="24"/>
          <w:szCs w:val="24"/>
          <w:lang w:val="en-US"/>
        </w:rPr>
        <w:drawing>
          <wp:inline distT="0" distB="0" distL="0" distR="0" wp14:anchorId="54B7161A" wp14:editId="0ED7B9B1">
            <wp:extent cx="2809875" cy="2771775"/>
            <wp:effectExtent l="0" t="0" r="9525" b="9525"/>
            <wp:docPr id="14" name="Imagen 14" descr="Exp7_NumsFuentesD_PorcentsRed_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xp7_NumsFuentesD_PorcentsRed_Art"/>
                    <pic:cNvPicPr>
                      <a:picLocks noChangeAspect="1" noChangeArrowheads="1"/>
                    </pic:cNvPicPr>
                  </pic:nvPicPr>
                  <pic:blipFill>
                    <a:blip r:embed="rId94">
                      <a:extLst>
                        <a:ext uri="{28A0092B-C50C-407E-A947-70E740481C1C}">
                          <a14:useLocalDpi xmlns:a14="http://schemas.microsoft.com/office/drawing/2010/main" val="0"/>
                        </a:ext>
                      </a:extLst>
                    </a:blip>
                    <a:srcRect l="28406" t="5717" r="27309" b="3987"/>
                    <a:stretch>
                      <a:fillRect/>
                    </a:stretch>
                  </pic:blipFill>
                  <pic:spPr bwMode="auto">
                    <a:xfrm>
                      <a:off x="0" y="0"/>
                      <a:ext cx="2809875" cy="2771775"/>
                    </a:xfrm>
                    <a:prstGeom prst="rect">
                      <a:avLst/>
                    </a:prstGeom>
                    <a:noFill/>
                    <a:ln>
                      <a:noFill/>
                    </a:ln>
                  </pic:spPr>
                </pic:pic>
              </a:graphicData>
            </a:graphic>
          </wp:inline>
        </w:drawing>
      </w:r>
    </w:p>
    <w:p w:rsidR="00212B85" w:rsidRPr="008358CC" w:rsidRDefault="00212B85" w:rsidP="00212B85">
      <w:pPr>
        <w:pStyle w:val="Textoindependiente"/>
        <w:jc w:val="center"/>
        <w:rPr>
          <w:rFonts w:ascii="Arial" w:hAnsi="Arial" w:cs="Arial"/>
          <w:b w:val="0"/>
          <w:sz w:val="24"/>
          <w:szCs w:val="24"/>
        </w:rPr>
      </w:pPr>
    </w:p>
    <w:p w:rsidR="00212B85" w:rsidRPr="008358CC" w:rsidRDefault="00212B85" w:rsidP="00212B85">
      <w:pPr>
        <w:jc w:val="center"/>
        <w:rPr>
          <w:rFonts w:ascii="Arial" w:hAnsi="Arial" w:cs="Arial"/>
          <w:bCs/>
          <w:i/>
          <w:sz w:val="24"/>
          <w:szCs w:val="24"/>
        </w:rPr>
      </w:pPr>
      <w:r w:rsidRPr="008358CC">
        <w:rPr>
          <w:rFonts w:ascii="Arial" w:hAnsi="Arial" w:cs="Arial"/>
          <w:bCs/>
          <w:i/>
          <w:sz w:val="24"/>
          <w:szCs w:val="24"/>
        </w:rPr>
        <w:t xml:space="preserve">Figura 1. </w:t>
      </w:r>
      <w:r w:rsidRPr="008358CC">
        <w:rPr>
          <w:rFonts w:ascii="Arial" w:hAnsi="Arial" w:cs="Arial"/>
          <w:b/>
          <w:bCs/>
          <w:i/>
          <w:sz w:val="24"/>
          <w:szCs w:val="24"/>
        </w:rPr>
        <w:t xml:space="preserve">a) </w:t>
      </w:r>
      <w:r w:rsidRPr="008358CC">
        <w:rPr>
          <w:rFonts w:ascii="Arial" w:hAnsi="Arial" w:cs="Arial"/>
          <w:bCs/>
          <w:i/>
          <w:sz w:val="24"/>
          <w:szCs w:val="24"/>
        </w:rPr>
        <w:t xml:space="preserve">Distribución de las fuentes de emisión en </w:t>
      </w:r>
      <w:r w:rsidRPr="008358CC">
        <w:rPr>
          <w:rFonts w:ascii="Arial" w:hAnsi="Arial" w:cs="Arial"/>
          <w:b/>
          <w:sz w:val="24"/>
          <w:szCs w:val="24"/>
          <w:lang w:val="es-MX"/>
        </w:rPr>
        <w:t>D</w:t>
      </w:r>
      <w:r w:rsidRPr="008358CC">
        <w:rPr>
          <w:rFonts w:ascii="Arial" w:hAnsi="Arial" w:cs="Arial"/>
          <w:bCs/>
          <w:i/>
          <w:sz w:val="24"/>
          <w:szCs w:val="24"/>
        </w:rPr>
        <w:t xml:space="preserve"> y tipos de éstas;</w:t>
      </w:r>
    </w:p>
    <w:p w:rsidR="00212B85" w:rsidRPr="008358CC" w:rsidRDefault="00212B85" w:rsidP="00212B85">
      <w:pPr>
        <w:jc w:val="center"/>
        <w:rPr>
          <w:rFonts w:ascii="Arial" w:hAnsi="Arial" w:cs="Arial"/>
          <w:bCs/>
          <w:i/>
          <w:sz w:val="24"/>
          <w:szCs w:val="24"/>
        </w:rPr>
      </w:pPr>
      <w:r w:rsidRPr="008358CC">
        <w:rPr>
          <w:rFonts w:ascii="Arial" w:hAnsi="Arial" w:cs="Arial"/>
          <w:bCs/>
          <w:i/>
          <w:sz w:val="24"/>
          <w:szCs w:val="24"/>
        </w:rPr>
        <w:t xml:space="preserve"> </w:t>
      </w:r>
      <w:r w:rsidRPr="008358CC">
        <w:rPr>
          <w:rFonts w:ascii="Arial" w:hAnsi="Arial" w:cs="Arial"/>
          <w:b/>
          <w:bCs/>
          <w:i/>
          <w:sz w:val="24"/>
          <w:szCs w:val="24"/>
        </w:rPr>
        <w:t xml:space="preserve">b) </w:t>
      </w:r>
      <w:r w:rsidRPr="008358CC">
        <w:rPr>
          <w:rFonts w:ascii="Arial" w:hAnsi="Arial" w:cs="Arial"/>
          <w:bCs/>
          <w:i/>
          <w:sz w:val="24"/>
          <w:szCs w:val="24"/>
        </w:rPr>
        <w:t>porcentaje de reducción de emisiones para cada fuente.</w:t>
      </w:r>
    </w:p>
    <w:p w:rsidR="00212B85" w:rsidRPr="008358CC" w:rsidRDefault="00212B85" w:rsidP="00212B85">
      <w:pPr>
        <w:pStyle w:val="Textoindependiente"/>
        <w:jc w:val="both"/>
        <w:rPr>
          <w:rFonts w:ascii="Arial" w:hAnsi="Arial" w:cs="Arial"/>
          <w:b w:val="0"/>
          <w:sz w:val="24"/>
          <w:szCs w:val="24"/>
        </w:rPr>
      </w:pPr>
    </w:p>
    <w:p w:rsidR="00212B85" w:rsidRPr="008358CC" w:rsidRDefault="00212B85" w:rsidP="00212B85">
      <w:pPr>
        <w:pStyle w:val="Textoindependiente"/>
        <w:ind w:firstLine="567"/>
        <w:jc w:val="both"/>
        <w:rPr>
          <w:rFonts w:ascii="Arial" w:hAnsi="Arial" w:cs="Arial"/>
          <w:b w:val="0"/>
          <w:sz w:val="24"/>
          <w:szCs w:val="24"/>
        </w:rPr>
      </w:pPr>
      <w:r w:rsidRPr="008358CC">
        <w:rPr>
          <w:rFonts w:ascii="Arial" w:hAnsi="Arial" w:cs="Arial"/>
          <w:b w:val="0"/>
          <w:sz w:val="24"/>
          <w:szCs w:val="24"/>
        </w:rPr>
        <w:t xml:space="preserve">Se observa que la concentración del contaminante en los cinco sitios de monitoreo está por encima de este límite, aproximadamente de </w:t>
      </w:r>
      <w:r w:rsidRPr="008358CC">
        <w:rPr>
          <w:rFonts w:ascii="Arial" w:hAnsi="Arial" w:cs="Arial"/>
          <w:b w:val="0"/>
          <w:i/>
          <w:sz w:val="24"/>
          <w:szCs w:val="24"/>
          <w:lang w:val="es-MX"/>
        </w:rPr>
        <w:t xml:space="preserve">t </w:t>
      </w:r>
      <w:r w:rsidRPr="008358CC">
        <w:rPr>
          <w:rFonts w:ascii="Arial" w:hAnsi="Arial" w:cs="Arial"/>
          <w:b w:val="0"/>
          <w:sz w:val="24"/>
          <w:szCs w:val="24"/>
          <w:lang w:val="es-MX"/>
        </w:rPr>
        <w:t>= 1</w:t>
      </w:r>
      <w:r w:rsidRPr="008358CC">
        <w:rPr>
          <w:rFonts w:ascii="Arial" w:hAnsi="Arial" w:cs="Arial"/>
          <w:b w:val="0"/>
          <w:sz w:val="24"/>
          <w:szCs w:val="24"/>
        </w:rPr>
        <w:t xml:space="preserve"> a </w:t>
      </w:r>
      <w:r w:rsidRPr="008358CC">
        <w:rPr>
          <w:rFonts w:ascii="Arial" w:hAnsi="Arial" w:cs="Arial"/>
          <w:b w:val="0"/>
          <w:i/>
          <w:sz w:val="24"/>
          <w:szCs w:val="24"/>
          <w:lang w:val="es-MX"/>
        </w:rPr>
        <w:t xml:space="preserve">t </w:t>
      </w:r>
      <w:r w:rsidRPr="008358CC">
        <w:rPr>
          <w:rFonts w:ascii="Arial" w:hAnsi="Arial" w:cs="Arial"/>
          <w:b w:val="0"/>
          <w:sz w:val="24"/>
          <w:szCs w:val="24"/>
          <w:lang w:val="es-MX"/>
        </w:rPr>
        <w:t>= 8</w:t>
      </w:r>
      <w:r w:rsidRPr="008358CC">
        <w:rPr>
          <w:rFonts w:ascii="Arial" w:hAnsi="Arial" w:cs="Arial"/>
          <w:b w:val="0"/>
          <w:sz w:val="24"/>
          <w:szCs w:val="24"/>
        </w:rPr>
        <w:t xml:space="preserve">, lo que representa una violación de la norma sanitaria correspondiente en casi todo el intervalo de tiempo. En este caso, el parámetro </w:t>
      </w:r>
      <w:r w:rsidRPr="008358CC">
        <w:rPr>
          <w:rFonts w:ascii="Arial" w:hAnsi="Arial" w:cs="Arial"/>
          <w:b w:val="0"/>
          <w:i/>
          <w:iCs/>
          <w:sz w:val="24"/>
          <w:szCs w:val="24"/>
          <w:lang w:val="en-US"/>
        </w:rPr>
        <w:t>α</w:t>
      </w:r>
      <w:r w:rsidRPr="008358CC">
        <w:rPr>
          <w:rFonts w:ascii="Arial" w:hAnsi="Arial" w:cs="Arial"/>
          <w:b w:val="0"/>
          <w:i/>
          <w:sz w:val="24"/>
          <w:szCs w:val="24"/>
          <w:vertAlign w:val="subscript"/>
          <w:lang w:val="es-MX"/>
        </w:rPr>
        <w:t>0</w:t>
      </w:r>
      <w:r w:rsidRPr="008358CC">
        <w:rPr>
          <w:rFonts w:ascii="Arial" w:hAnsi="Arial" w:cs="Arial"/>
          <w:b w:val="0"/>
          <w:sz w:val="24"/>
          <w:szCs w:val="24"/>
          <w:lang w:val="es-MX"/>
        </w:rPr>
        <w:t xml:space="preserve"> = 160.1294 &gt; 0</w:t>
      </w:r>
      <w:r w:rsidRPr="008358CC">
        <w:rPr>
          <w:rFonts w:ascii="Arial" w:hAnsi="Arial" w:cs="Arial"/>
          <w:b w:val="0"/>
          <w:sz w:val="24"/>
          <w:szCs w:val="24"/>
        </w:rPr>
        <w:t xml:space="preserve"> por lo que el problema de control tiene solución no trivial.</w:t>
      </w:r>
    </w:p>
    <w:p w:rsidR="00212B85" w:rsidRPr="008358CC" w:rsidRDefault="00212B85" w:rsidP="00212B85">
      <w:pPr>
        <w:pStyle w:val="Textoindependiente"/>
        <w:jc w:val="both"/>
        <w:rPr>
          <w:rFonts w:ascii="Arial" w:hAnsi="Arial" w:cs="Arial"/>
          <w:b w:val="0"/>
          <w:sz w:val="24"/>
          <w:szCs w:val="24"/>
        </w:rPr>
      </w:pPr>
    </w:p>
    <w:p w:rsidR="00212B85" w:rsidRPr="008358CC" w:rsidRDefault="00212B85" w:rsidP="00212B85">
      <w:pPr>
        <w:pStyle w:val="Textoindependiente"/>
        <w:jc w:val="center"/>
        <w:rPr>
          <w:rFonts w:ascii="Arial" w:hAnsi="Arial" w:cs="Arial"/>
          <w:b w:val="0"/>
          <w:sz w:val="24"/>
          <w:szCs w:val="24"/>
        </w:rPr>
      </w:pPr>
      <w:r w:rsidRPr="008358CC">
        <w:rPr>
          <w:rFonts w:ascii="Arial" w:hAnsi="Arial" w:cs="Arial"/>
          <w:b w:val="0"/>
          <w:noProof/>
          <w:sz w:val="24"/>
          <w:szCs w:val="24"/>
          <w:lang w:val="en-US"/>
        </w:rPr>
        <w:lastRenderedPageBreak/>
        <mc:AlternateContent>
          <mc:Choice Requires="wps">
            <w:drawing>
              <wp:anchor distT="0" distB="0" distL="114300" distR="114300" simplePos="0" relativeHeight="251790336" behindDoc="0" locked="0" layoutInCell="1" allowOverlap="1" wp14:anchorId="04FB7167" wp14:editId="3D3A3570">
                <wp:simplePos x="0" y="0"/>
                <wp:positionH relativeFrom="column">
                  <wp:posOffset>3469005</wp:posOffset>
                </wp:positionH>
                <wp:positionV relativeFrom="paragraph">
                  <wp:posOffset>2681605</wp:posOffset>
                </wp:positionV>
                <wp:extent cx="361315" cy="305435"/>
                <wp:effectExtent l="0" t="0" r="635" b="0"/>
                <wp:wrapNone/>
                <wp:docPr id="17" name="Cuadro de tex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315" cy="305435"/>
                        </a:xfrm>
                        <a:prstGeom prst="rect">
                          <a:avLst/>
                        </a:prstGeom>
                        <a:solidFill>
                          <a:sysClr val="window" lastClr="FFFFFF"/>
                        </a:solidFill>
                        <a:ln w="6350">
                          <a:noFill/>
                        </a:ln>
                        <a:effectLst/>
                      </wps:spPr>
                      <wps:txbx>
                        <w:txbxContent>
                          <w:p w:rsidR="00C20C0F" w:rsidRPr="008A0520" w:rsidRDefault="00C20C0F" w:rsidP="00212B85">
                            <w:pPr>
                              <w:spacing w:after="160" w:line="259" w:lineRule="auto"/>
                              <w:contextualSpacing/>
                              <w:rPr>
                                <w:rFonts w:ascii="Arial" w:hAnsi="Arial" w:cs="Arial"/>
                                <w:sz w:val="20"/>
                                <w:szCs w:val="20"/>
                              </w:rPr>
                            </w:pPr>
                            <w:r>
                              <w:rPr>
                                <w:rFonts w:ascii="Arial" w:hAnsi="Arial" w:cs="Arial"/>
                                <w:sz w:val="20"/>
                                <w:szCs w:val="20"/>
                              </w:rPr>
                              <w:t>b</w:t>
                            </w:r>
                            <w:r w:rsidRPr="008A0520">
                              <w:rPr>
                                <w:rFonts w:ascii="Arial" w:hAnsi="Arial" w:cs="Arial"/>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4FB7167" id="Cuadro de texto 17" o:spid="_x0000_s1028" type="#_x0000_t202" style="position:absolute;left:0;text-align:left;margin-left:273.15pt;margin-top:211.15pt;width:28.45pt;height:24.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kgdYgIAAMAEAAAOAAAAZHJzL2Uyb0RvYy54bWysVE1v2zAMvQ/YfxB0X53PdgvqFFmKDAOC&#10;tkA69KzIcmNMFjVJiZ39+j3JTpt1Ow3LQaHEJ1J8fPT1TVtrdlDOV2RyPrwYcKaMpKIyzzn/9rj6&#10;8JEzH4QphCajcn5Unt/M37+7buxMjWhHulCOIYjxs8bmfBeCnWWZlztVC39BVhk4S3K1CNi656xw&#10;okH0WmejweAya8gV1pFU3uP0tnPyeYpflkqG+7L0KjCdc7wtpNWldRvXbH4tZs9O2F0l+2eIf3hF&#10;LSqDpC+hbkUQbO+qP0LVlXTkqQwXkuqMyrKSKtWAaoaDN9VsdsKqVAvI8faFJv//wsq7w4NjVYHe&#10;XXFmRI0eLfeicMQKxYJqAzF4QFNj/QzojQU+tJ+pxZVUsrdrkt89INkZprvggY60tKWr4z8KZriI&#10;Thxf2EcOJnE4vhyOh1POJFzjwXQynsa02etl63z4oqhm0ci5Q3PTA8Rh7UMHPUFiLk+6KlaV1mlz&#10;9Evt2EFAB5BPQQ1nWviAw5yv0q/P9ts1bViT88vxdJAyGYrxulTaxLgqaazPH8vvKo5WaLdtYnZ0&#10;om9LxRHsOepk6K1cVShljXc8CAfdgRfMUrjHUmpCZuotznbkfv7tPOIhB3g5a6DjnPsfe+EUyvtq&#10;IJRPw8kkCj9tJtOrETbu3LM995h9vSRQNMTUWpnMiA/6ZJaO6ieM3CJmhUsYidw5DydzGbrpwshK&#10;tVgkEKRuRVibjZUn0cRGPbZPwtm+m1Fqd3RSvJi9aWqHjYwbWuwDlVXqeOS5Y7VXH8YkaaYf6TiH&#10;5/uEev3wzH8BAAD//wMAUEsDBBQABgAIAAAAIQAcyujH3wAAAAsBAAAPAAAAZHJzL2Rvd25yZXYu&#10;eG1sTI/LTsMwEEX3SPyDNUjsqN0kpCjEqaCiKzbFUMHSiU0c4UcUO234e4YV7OZxdOdMvV2cJSc9&#10;xSF4DusVA6J9F9Tgew5vr/ubOyAxSa+kDV5z+NYRts3lRS0rFc7+RZ9E6gmG+FhJDialsaI0dkY7&#10;GVdh1B53n2FyMmE79VRN8ozhztKMsZI6OXi8YOSod0Z3X2J2HI7mQ4h1mz/Zx0P+vj88i1DMO86v&#10;r5aHeyBJL+kPhl99VIcGndowexWJ5XBblDmiHIoswwKJkuUZkBYnG1YAbWr6/4fmBwAA//8DAFBL&#10;AQItABQABgAIAAAAIQC2gziS/gAAAOEBAAATAAAAAAAAAAAAAAAAAAAAAABbQ29udGVudF9UeXBl&#10;c10ueG1sUEsBAi0AFAAGAAgAAAAhADj9If/WAAAAlAEAAAsAAAAAAAAAAAAAAAAALwEAAF9yZWxz&#10;Ly5yZWxzUEsBAi0AFAAGAAgAAAAhAOGWSB1iAgAAwAQAAA4AAAAAAAAAAAAAAAAALgIAAGRycy9l&#10;Mm9Eb2MueG1sUEsBAi0AFAAGAAgAAAAhABzK6MffAAAACwEAAA8AAAAAAAAAAAAAAAAAvAQAAGRy&#10;cy9kb3ducmV2LnhtbFBLBQYAAAAABAAEAPMAAADIBQAAAAA=&#10;" fillcolor="window" stroked="f" strokeweight=".5pt">
                <v:path arrowok="t"/>
                <v:textbox>
                  <w:txbxContent>
                    <w:p w:rsidR="00C20C0F" w:rsidRPr="008A0520" w:rsidRDefault="00C20C0F" w:rsidP="00212B85">
                      <w:pPr>
                        <w:spacing w:after="160" w:line="259" w:lineRule="auto"/>
                        <w:contextualSpacing/>
                        <w:rPr>
                          <w:rFonts w:ascii="Arial" w:hAnsi="Arial" w:cs="Arial"/>
                          <w:sz w:val="20"/>
                          <w:szCs w:val="20"/>
                        </w:rPr>
                      </w:pPr>
                      <w:r>
                        <w:rPr>
                          <w:rFonts w:ascii="Arial" w:hAnsi="Arial" w:cs="Arial"/>
                          <w:sz w:val="20"/>
                          <w:szCs w:val="20"/>
                        </w:rPr>
                        <w:t>b</w:t>
                      </w:r>
                      <w:r w:rsidRPr="008A0520">
                        <w:rPr>
                          <w:rFonts w:ascii="Arial" w:hAnsi="Arial" w:cs="Arial"/>
                          <w:sz w:val="20"/>
                          <w:szCs w:val="20"/>
                        </w:rPr>
                        <w:t>)</w:t>
                      </w:r>
                    </w:p>
                  </w:txbxContent>
                </v:textbox>
              </v:shape>
            </w:pict>
          </mc:Fallback>
        </mc:AlternateContent>
      </w:r>
      <w:r w:rsidRPr="008358CC">
        <w:rPr>
          <w:rFonts w:ascii="Arial" w:hAnsi="Arial" w:cs="Arial"/>
          <w:b w:val="0"/>
          <w:noProof/>
          <w:sz w:val="24"/>
          <w:szCs w:val="24"/>
          <w:lang w:val="en-US"/>
        </w:rPr>
        <mc:AlternateContent>
          <mc:Choice Requires="wps">
            <w:drawing>
              <wp:anchor distT="0" distB="0" distL="114300" distR="114300" simplePos="0" relativeHeight="251789312" behindDoc="0" locked="0" layoutInCell="1" allowOverlap="1" wp14:anchorId="7D20EC4A" wp14:editId="7315D495">
                <wp:simplePos x="0" y="0"/>
                <wp:positionH relativeFrom="column">
                  <wp:posOffset>728345</wp:posOffset>
                </wp:positionH>
                <wp:positionV relativeFrom="paragraph">
                  <wp:posOffset>2667635</wp:posOffset>
                </wp:positionV>
                <wp:extent cx="361315" cy="305435"/>
                <wp:effectExtent l="0" t="0" r="635" b="0"/>
                <wp:wrapNone/>
                <wp:docPr id="16" name="Cuadro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315" cy="305435"/>
                        </a:xfrm>
                        <a:prstGeom prst="rect">
                          <a:avLst/>
                        </a:prstGeom>
                        <a:solidFill>
                          <a:sysClr val="window" lastClr="FFFFFF"/>
                        </a:solidFill>
                        <a:ln w="6350">
                          <a:noFill/>
                        </a:ln>
                        <a:effectLst/>
                      </wps:spPr>
                      <wps:txbx>
                        <w:txbxContent>
                          <w:p w:rsidR="00C20C0F" w:rsidRPr="008A0520" w:rsidRDefault="00C20C0F" w:rsidP="00212B85">
                            <w:pPr>
                              <w:spacing w:after="160" w:line="259" w:lineRule="auto"/>
                              <w:contextualSpacing/>
                              <w:rPr>
                                <w:rFonts w:ascii="Arial" w:hAnsi="Arial" w:cs="Arial"/>
                                <w:sz w:val="20"/>
                                <w:szCs w:val="20"/>
                              </w:rPr>
                            </w:pPr>
                            <w:r w:rsidRPr="008A0520">
                              <w:rPr>
                                <w:rFonts w:ascii="Arial" w:hAnsi="Arial" w:cs="Arial"/>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D20EC4A" id="Cuadro de texto 16" o:spid="_x0000_s1029" type="#_x0000_t202" style="position:absolute;left:0;text-align:left;margin-left:57.35pt;margin-top:210.05pt;width:28.45pt;height:24.0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mPgYwIAAMAEAAAOAAAAZHJzL2Uyb0RvYy54bWysVE1v2zAMvQ/YfxB0X500H+uCOkWWIsOA&#10;oC2QDj0rstwYk0VNUmJnv35PstNm3U7DclAo8YkUHx99fdPWmh2U8xWZnA8vBpwpI6mozHPOvz2u&#10;Plxx5oMwhdBkVM6PyvOb+ft3142dqUvakS6UYwhi/KyxOd+FYGdZ5uVO1cJfkFUGzpJcLQK27jkr&#10;nGgQvdbZ5WAwzRpyhXUklfc4ve2cfJ7il6WS4b4svQpM5xxvC2l1ad3GNZtfi9mzE3ZXyf4Z4h9e&#10;UYvKIOlLqFsRBNu76o9QdSUdeSrDhaQ6o7KspEo1oJrh4E01m52wKtUCcrx9ocn/v7Dy7vDgWFWg&#10;d1POjKjRo+VeFI5YoVhQbSAGD2hqrJ8BvbHAh/YztbiSSvZ2TfK7ByQ7w3QXPNCRlrZ0dfxHwQwX&#10;0YnjC/vIwSQOR9PhaDjhTMI1GkzGo0lMm71ets6HL4pqFo2cOzQ3PUAc1j500BMk5vKkq2JVaZ02&#10;R7/Ujh0EdAD5FNRwpoUPOMz5Kv36bL9d04Y1OZ+OJoOUyVCM16XSJsZVSWN9/lh+V3G0QrttE7Oj&#10;E31bKo5gz1EnQ2/lqkIpa7zjQTjoDrxglsI9llITMlNvcbYj9/Nv5xEPOcDLWQMd59z/2AunUN5X&#10;A6F8Go7HUfhpM558vMTGnXu25x6zr5cEioaYWiuTGfFBn8zSUf2EkVvErHAJI5E75+FkLkM3XRhZ&#10;qRaLBILUrQhrs7HyJJrYqMf2STjbdzNK7Y5OihezN03tsJFxQ4t9oLJKHY88d6z26sOYJM30Ix3n&#10;8HyfUK8fnvkvAAAA//8DAFBLAwQUAAYACAAAACEADqOpct8AAAALAQAADwAAAGRycy9kb3ducmV2&#10;LnhtbEyPsU7DMBCGdyTewTokNuo4jdIqxKmgohNLMSAYndjEEfY5ip02vD3uBON/9+m/7+rd4iw5&#10;6SkMHjmwVQZEY+fVgD2Ht9fD3RZIiBKVtB41hx8dYNdcX9WyUv6ML/okYk9SCYZKcjAxjhWloTPa&#10;ybDyo8a0+/KTkzHFqadqkudU7izNs6ykTg6YLhg56r3R3beYHYd38ykEa9dP9vG4/jgcn4Uv5j3n&#10;tzfLwz2QqJf4B8NFP6lDk5xaP6MKxKbMik1CORR5xoBciA0rgbRpUm5zoE1N///Q/AIAAP//AwBQ&#10;SwECLQAUAAYACAAAACEAtoM4kv4AAADhAQAAEwAAAAAAAAAAAAAAAAAAAAAAW0NvbnRlbnRfVHlw&#10;ZXNdLnhtbFBLAQItABQABgAIAAAAIQA4/SH/1gAAAJQBAAALAAAAAAAAAAAAAAAAAC8BAABfcmVs&#10;cy8ucmVsc1BLAQItABQABgAIAAAAIQDdVmPgYwIAAMAEAAAOAAAAAAAAAAAAAAAAAC4CAABkcnMv&#10;ZTJvRG9jLnhtbFBLAQItABQABgAIAAAAIQAOo6ly3wAAAAsBAAAPAAAAAAAAAAAAAAAAAL0EAABk&#10;cnMvZG93bnJldi54bWxQSwUGAAAAAAQABADzAAAAyQUAAAAA&#10;" fillcolor="window" stroked="f" strokeweight=".5pt">
                <v:path arrowok="t"/>
                <v:textbox>
                  <w:txbxContent>
                    <w:p w:rsidR="00C20C0F" w:rsidRPr="008A0520" w:rsidRDefault="00C20C0F" w:rsidP="00212B85">
                      <w:pPr>
                        <w:spacing w:after="160" w:line="259" w:lineRule="auto"/>
                        <w:contextualSpacing/>
                        <w:rPr>
                          <w:rFonts w:ascii="Arial" w:hAnsi="Arial" w:cs="Arial"/>
                          <w:sz w:val="20"/>
                          <w:szCs w:val="20"/>
                        </w:rPr>
                      </w:pPr>
                      <w:r w:rsidRPr="008A0520">
                        <w:rPr>
                          <w:rFonts w:ascii="Arial" w:hAnsi="Arial" w:cs="Arial"/>
                          <w:sz w:val="20"/>
                          <w:szCs w:val="20"/>
                        </w:rPr>
                        <w:t>a)</w:t>
                      </w:r>
                    </w:p>
                  </w:txbxContent>
                </v:textbox>
              </v:shape>
            </w:pict>
          </mc:Fallback>
        </mc:AlternateContent>
      </w:r>
      <w:r w:rsidRPr="008358CC">
        <w:rPr>
          <w:rFonts w:ascii="Arial" w:hAnsi="Arial" w:cs="Arial"/>
          <w:b w:val="0"/>
          <w:noProof/>
          <w:sz w:val="24"/>
          <w:szCs w:val="24"/>
          <w:lang w:val="en-US"/>
        </w:rPr>
        <w:drawing>
          <wp:inline distT="0" distB="0" distL="0" distR="0" wp14:anchorId="27894227" wp14:editId="57BBACE8">
            <wp:extent cx="2867025" cy="2752725"/>
            <wp:effectExtent l="0" t="0" r="9525" b="9525"/>
            <wp:docPr id="7" name="Imagen 7" descr="Exp7_2_Par_ST_nt8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xp7_2_Par_ST_nt8001"/>
                    <pic:cNvPicPr>
                      <a:picLocks noChangeAspect="1" noChangeArrowheads="1"/>
                    </pic:cNvPicPr>
                  </pic:nvPicPr>
                  <pic:blipFill>
                    <a:blip r:embed="rId95">
                      <a:extLst>
                        <a:ext uri="{28A0092B-C50C-407E-A947-70E740481C1C}">
                          <a14:useLocalDpi xmlns:a14="http://schemas.microsoft.com/office/drawing/2010/main" val="0"/>
                        </a:ext>
                      </a:extLst>
                    </a:blip>
                    <a:srcRect l="29309" t="5873" r="28159" b="3621"/>
                    <a:stretch>
                      <a:fillRect/>
                    </a:stretch>
                  </pic:blipFill>
                  <pic:spPr bwMode="auto">
                    <a:xfrm>
                      <a:off x="0" y="0"/>
                      <a:ext cx="2867025" cy="2752725"/>
                    </a:xfrm>
                    <a:prstGeom prst="rect">
                      <a:avLst/>
                    </a:prstGeom>
                    <a:noFill/>
                    <a:ln>
                      <a:noFill/>
                    </a:ln>
                  </pic:spPr>
                </pic:pic>
              </a:graphicData>
            </a:graphic>
          </wp:inline>
        </w:drawing>
      </w:r>
      <w:r w:rsidRPr="008358CC">
        <w:rPr>
          <w:rFonts w:ascii="Arial" w:hAnsi="Arial" w:cs="Arial"/>
          <w:b w:val="0"/>
          <w:noProof/>
          <w:sz w:val="24"/>
          <w:szCs w:val="24"/>
          <w:lang w:val="en-US"/>
        </w:rPr>
        <w:drawing>
          <wp:inline distT="0" distB="0" distL="0" distR="0" wp14:anchorId="55E518D8" wp14:editId="50F70B22">
            <wp:extent cx="2867025" cy="2762250"/>
            <wp:effectExtent l="0" t="0" r="9525" b="0"/>
            <wp:docPr id="4" name="Imagen 4" descr="Exp7_3_Par_ST_LOpt_nt8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xp7_3_Par_ST_LOpt_nt8001"/>
                    <pic:cNvPicPr>
                      <a:picLocks noChangeAspect="1" noChangeArrowheads="1"/>
                    </pic:cNvPicPr>
                  </pic:nvPicPr>
                  <pic:blipFill>
                    <a:blip r:embed="rId96">
                      <a:extLst>
                        <a:ext uri="{28A0092B-C50C-407E-A947-70E740481C1C}">
                          <a14:useLocalDpi xmlns:a14="http://schemas.microsoft.com/office/drawing/2010/main" val="0"/>
                        </a:ext>
                      </a:extLst>
                    </a:blip>
                    <a:srcRect l="29416" t="5873" r="28471" b="3784"/>
                    <a:stretch>
                      <a:fillRect/>
                    </a:stretch>
                  </pic:blipFill>
                  <pic:spPr bwMode="auto">
                    <a:xfrm>
                      <a:off x="0" y="0"/>
                      <a:ext cx="2867025" cy="2762250"/>
                    </a:xfrm>
                    <a:prstGeom prst="rect">
                      <a:avLst/>
                    </a:prstGeom>
                    <a:noFill/>
                    <a:ln>
                      <a:noFill/>
                    </a:ln>
                  </pic:spPr>
                </pic:pic>
              </a:graphicData>
            </a:graphic>
          </wp:inline>
        </w:drawing>
      </w:r>
    </w:p>
    <w:p w:rsidR="00212B85" w:rsidRPr="008358CC" w:rsidRDefault="00212B85" w:rsidP="00212B85">
      <w:pPr>
        <w:pStyle w:val="Textoindependiente"/>
        <w:rPr>
          <w:rFonts w:ascii="Arial" w:hAnsi="Arial" w:cs="Arial"/>
          <w:b w:val="0"/>
          <w:sz w:val="24"/>
          <w:szCs w:val="24"/>
        </w:rPr>
      </w:pPr>
    </w:p>
    <w:p w:rsidR="00212B85" w:rsidRPr="008358CC" w:rsidRDefault="00212B85" w:rsidP="00212B85">
      <w:pPr>
        <w:pStyle w:val="Textoindependiente"/>
        <w:rPr>
          <w:rFonts w:ascii="Arial" w:hAnsi="Arial" w:cs="Arial"/>
          <w:b w:val="0"/>
          <w:sz w:val="24"/>
          <w:szCs w:val="24"/>
        </w:rPr>
      </w:pPr>
    </w:p>
    <w:p w:rsidR="00212B85" w:rsidRPr="008358CC" w:rsidRDefault="00212B85" w:rsidP="00212B85">
      <w:pPr>
        <w:jc w:val="center"/>
        <w:rPr>
          <w:rFonts w:ascii="Arial" w:hAnsi="Arial" w:cs="Arial"/>
          <w:bCs/>
          <w:i/>
          <w:sz w:val="24"/>
          <w:szCs w:val="24"/>
        </w:rPr>
      </w:pPr>
      <w:r w:rsidRPr="008358CC">
        <w:rPr>
          <w:rFonts w:ascii="Arial" w:hAnsi="Arial" w:cs="Arial"/>
          <w:bCs/>
          <w:i/>
          <w:sz w:val="24"/>
          <w:szCs w:val="24"/>
        </w:rPr>
        <w:t xml:space="preserve">Figura 2. Evolución en el tiempo de la concentración del contaminante en cinco sitios de monitoreo en </w:t>
      </w:r>
      <w:r w:rsidRPr="008358CC">
        <w:rPr>
          <w:rFonts w:ascii="Arial" w:hAnsi="Arial" w:cs="Arial"/>
          <w:sz w:val="24"/>
          <w:szCs w:val="24"/>
          <w:lang w:val="en-US"/>
        </w:rPr>
        <w:t>Ω</w:t>
      </w:r>
      <w:r w:rsidRPr="008358CC">
        <w:rPr>
          <w:rFonts w:ascii="Arial" w:hAnsi="Arial" w:cs="Arial"/>
          <w:bCs/>
          <w:i/>
          <w:sz w:val="24"/>
          <w:szCs w:val="24"/>
        </w:rPr>
        <w:t>:</w:t>
      </w:r>
    </w:p>
    <w:p w:rsidR="00212B85" w:rsidRPr="008358CC" w:rsidRDefault="00212B85" w:rsidP="00212B85">
      <w:pPr>
        <w:jc w:val="center"/>
        <w:rPr>
          <w:rFonts w:ascii="Arial" w:hAnsi="Arial" w:cs="Arial"/>
          <w:b/>
          <w:sz w:val="24"/>
          <w:szCs w:val="24"/>
        </w:rPr>
      </w:pPr>
      <w:r w:rsidRPr="008358CC">
        <w:rPr>
          <w:rFonts w:ascii="Arial" w:hAnsi="Arial" w:cs="Arial"/>
          <w:bCs/>
          <w:i/>
          <w:sz w:val="24"/>
          <w:szCs w:val="24"/>
        </w:rPr>
        <w:t xml:space="preserve"> </w:t>
      </w:r>
      <w:r w:rsidRPr="008358CC">
        <w:rPr>
          <w:rFonts w:ascii="Arial" w:hAnsi="Arial" w:cs="Arial"/>
          <w:b/>
          <w:bCs/>
          <w:i/>
          <w:sz w:val="24"/>
          <w:szCs w:val="24"/>
        </w:rPr>
        <w:t>a)</w:t>
      </w:r>
      <w:r w:rsidRPr="008358CC">
        <w:rPr>
          <w:rFonts w:ascii="Arial" w:hAnsi="Arial" w:cs="Arial"/>
          <w:bCs/>
          <w:i/>
          <w:sz w:val="24"/>
          <w:szCs w:val="24"/>
        </w:rPr>
        <w:t xml:space="preserve"> antes de aplicar el control de emisiones; </w:t>
      </w:r>
      <w:r w:rsidRPr="008358CC">
        <w:rPr>
          <w:rFonts w:ascii="Arial" w:hAnsi="Arial" w:cs="Arial"/>
          <w:b/>
          <w:bCs/>
          <w:i/>
          <w:sz w:val="24"/>
          <w:szCs w:val="24"/>
        </w:rPr>
        <w:t>b)</w:t>
      </w:r>
      <w:r w:rsidRPr="008358CC">
        <w:rPr>
          <w:rFonts w:ascii="Arial" w:hAnsi="Arial" w:cs="Arial"/>
          <w:bCs/>
          <w:i/>
          <w:sz w:val="24"/>
          <w:szCs w:val="24"/>
        </w:rPr>
        <w:t xml:space="preserve"> después de aplicar la estrategia óptima de control de emisiones.</w:t>
      </w:r>
    </w:p>
    <w:p w:rsidR="00212B85" w:rsidRPr="008358CC" w:rsidRDefault="00212B85" w:rsidP="00212B85">
      <w:pPr>
        <w:pStyle w:val="Textoindependiente"/>
        <w:ind w:firstLine="539"/>
        <w:jc w:val="both"/>
        <w:rPr>
          <w:rFonts w:ascii="Arial" w:hAnsi="Arial" w:cs="Arial"/>
          <w:b w:val="0"/>
          <w:sz w:val="24"/>
          <w:szCs w:val="24"/>
        </w:rPr>
      </w:pPr>
    </w:p>
    <w:p w:rsidR="00212B85" w:rsidRPr="008358CC" w:rsidRDefault="00212B85" w:rsidP="00212B85">
      <w:pPr>
        <w:pStyle w:val="Textoindependiente"/>
        <w:ind w:firstLine="539"/>
        <w:jc w:val="both"/>
        <w:rPr>
          <w:rFonts w:ascii="Arial" w:hAnsi="Arial" w:cs="Arial"/>
          <w:b w:val="0"/>
          <w:sz w:val="24"/>
          <w:szCs w:val="24"/>
        </w:rPr>
      </w:pPr>
    </w:p>
    <w:p w:rsidR="00212B85" w:rsidRPr="008358CC" w:rsidRDefault="00212B85" w:rsidP="00212B85">
      <w:pPr>
        <w:pStyle w:val="Textoindependiente"/>
        <w:ind w:firstLine="567"/>
        <w:jc w:val="both"/>
        <w:rPr>
          <w:rFonts w:ascii="Arial" w:hAnsi="Arial" w:cs="Arial"/>
          <w:b w:val="0"/>
          <w:sz w:val="24"/>
          <w:szCs w:val="24"/>
        </w:rPr>
      </w:pPr>
      <w:r w:rsidRPr="008358CC">
        <w:rPr>
          <w:rFonts w:ascii="Arial" w:hAnsi="Arial" w:cs="Arial"/>
          <w:b w:val="0"/>
          <w:sz w:val="24"/>
          <w:szCs w:val="24"/>
        </w:rPr>
        <w:t xml:space="preserve">Por otro lado, las cotas superiores para los parámetros de amortiguamiento son </w:t>
      </w:r>
      <w:r w:rsidRPr="008358CC">
        <w:rPr>
          <w:rFonts w:ascii="Arial" w:hAnsi="Arial" w:cs="Arial"/>
          <w:b w:val="0"/>
          <w:sz w:val="24"/>
          <w:szCs w:val="24"/>
          <w:lang w:val="en-US"/>
        </w:rPr>
        <w:t>λ</w:t>
      </w:r>
      <w:r w:rsidRPr="008358CC">
        <w:rPr>
          <w:rFonts w:ascii="Arial" w:hAnsi="Arial" w:cs="Arial"/>
          <w:b w:val="0"/>
          <w:sz w:val="24"/>
          <w:szCs w:val="24"/>
          <w:vertAlign w:val="subscript"/>
          <w:lang w:val="es-MX"/>
        </w:rPr>
        <w:t>i</w:t>
      </w:r>
      <w:r w:rsidRPr="008358CC">
        <w:rPr>
          <w:rFonts w:ascii="Arial" w:hAnsi="Arial" w:cs="Arial"/>
          <w:b w:val="0"/>
          <w:sz w:val="24"/>
          <w:szCs w:val="24"/>
          <w:vertAlign w:val="superscript"/>
          <w:lang w:val="es-MX"/>
        </w:rPr>
        <w:t>u</w:t>
      </w:r>
      <w:r w:rsidRPr="008358CC">
        <w:rPr>
          <w:rFonts w:ascii="Arial" w:hAnsi="Arial" w:cs="Arial"/>
          <w:b w:val="0"/>
          <w:sz w:val="24"/>
          <w:szCs w:val="24"/>
          <w:lang w:val="es-MX"/>
        </w:rPr>
        <w:t xml:space="preserve"> = 1, i = 1,…,71</w:t>
      </w:r>
      <w:r w:rsidRPr="008358CC">
        <w:rPr>
          <w:rFonts w:ascii="Arial" w:hAnsi="Arial" w:cs="Arial"/>
          <w:b w:val="0"/>
          <w:sz w:val="24"/>
          <w:szCs w:val="24"/>
        </w:rPr>
        <w:t xml:space="preserve">, este resultado es una consecuencia de la baja concentración de dióxido de azufre producida por cada fuente en la zona </w:t>
      </w:r>
      <w:r w:rsidRPr="008358CC">
        <w:rPr>
          <w:rFonts w:ascii="Arial" w:hAnsi="Arial" w:cs="Arial"/>
          <w:b w:val="0"/>
          <w:sz w:val="24"/>
          <w:szCs w:val="24"/>
          <w:lang w:val="en-US"/>
        </w:rPr>
        <w:t>Ω</w:t>
      </w:r>
      <w:r w:rsidRPr="008358CC">
        <w:rPr>
          <w:rFonts w:ascii="Arial" w:hAnsi="Arial" w:cs="Arial"/>
          <w:b w:val="0"/>
          <w:sz w:val="24"/>
          <w:szCs w:val="24"/>
        </w:rPr>
        <w:t xml:space="preserve"> (ver ecuación 18). De todos los valores máximos </w:t>
      </w:r>
      <w:r w:rsidRPr="008358CC">
        <w:rPr>
          <w:rFonts w:ascii="Arial" w:hAnsi="Arial" w:cs="Arial"/>
          <w:b w:val="0"/>
          <w:i/>
          <w:sz w:val="24"/>
          <w:szCs w:val="24"/>
          <w:lang w:val="es-MX"/>
        </w:rPr>
        <w:t>M</w:t>
      </w:r>
      <w:r w:rsidRPr="008358CC">
        <w:rPr>
          <w:rFonts w:ascii="Arial" w:hAnsi="Arial" w:cs="Arial"/>
          <w:b w:val="0"/>
          <w:i/>
          <w:sz w:val="24"/>
          <w:szCs w:val="24"/>
          <w:vertAlign w:val="subscript"/>
          <w:lang w:val="es-MX"/>
        </w:rPr>
        <w:t>i</w:t>
      </w:r>
      <w:r w:rsidRPr="008358CC">
        <w:rPr>
          <w:rFonts w:ascii="Arial" w:hAnsi="Arial" w:cs="Arial"/>
          <w:b w:val="0"/>
          <w:sz w:val="24"/>
          <w:szCs w:val="24"/>
        </w:rPr>
        <w:t xml:space="preserve">, </w:t>
      </w:r>
      <w:r w:rsidRPr="008358CC">
        <w:rPr>
          <w:rFonts w:ascii="Arial" w:hAnsi="Arial" w:cs="Arial"/>
          <w:b w:val="0"/>
          <w:i/>
          <w:sz w:val="24"/>
          <w:szCs w:val="24"/>
          <w:lang w:val="es-MX"/>
        </w:rPr>
        <w:t>M</w:t>
      </w:r>
      <w:r w:rsidRPr="008358CC">
        <w:rPr>
          <w:rFonts w:ascii="Arial" w:hAnsi="Arial" w:cs="Arial"/>
          <w:b w:val="0"/>
          <w:i/>
          <w:sz w:val="24"/>
          <w:szCs w:val="24"/>
          <w:vertAlign w:val="subscript"/>
          <w:lang w:val="es-MX"/>
        </w:rPr>
        <w:t>62</w:t>
      </w:r>
      <w:r w:rsidRPr="008358CC">
        <w:rPr>
          <w:rFonts w:ascii="Arial" w:hAnsi="Arial" w:cs="Arial"/>
          <w:b w:val="0"/>
          <w:sz w:val="24"/>
          <w:szCs w:val="24"/>
          <w:vertAlign w:val="superscript"/>
          <w:lang w:val="es-MX"/>
        </w:rPr>
        <w:t xml:space="preserve"> </w:t>
      </w:r>
      <w:r w:rsidRPr="008358CC">
        <w:rPr>
          <w:rFonts w:ascii="Arial" w:hAnsi="Arial" w:cs="Arial"/>
          <w:b w:val="0"/>
          <w:i/>
          <w:sz w:val="24"/>
          <w:szCs w:val="24"/>
          <w:lang w:val="es-MX"/>
        </w:rPr>
        <w:t xml:space="preserve">= </w:t>
      </w:r>
      <w:r w:rsidRPr="008358CC">
        <w:rPr>
          <w:rFonts w:ascii="Arial" w:hAnsi="Arial" w:cs="Arial"/>
          <w:b w:val="0"/>
          <w:sz w:val="24"/>
          <w:szCs w:val="24"/>
          <w:lang w:val="es-MX"/>
        </w:rPr>
        <w:t>57.0447</w:t>
      </w:r>
      <w:r w:rsidRPr="008358CC">
        <w:rPr>
          <w:rFonts w:ascii="Arial" w:hAnsi="Arial" w:cs="Arial"/>
          <w:b w:val="0"/>
          <w:sz w:val="24"/>
          <w:szCs w:val="24"/>
        </w:rPr>
        <w:t xml:space="preserve"> es el más grande, por lo tanto, cada fuente no produce la violación de la norma sanitaria y la concentración excesiva de contaminantes es el resultado de las emisiones de todas las fuentes.</w:t>
      </w:r>
    </w:p>
    <w:p w:rsidR="00212B85" w:rsidRPr="008358CC" w:rsidRDefault="00212B85" w:rsidP="00212B85">
      <w:pPr>
        <w:pStyle w:val="Textoindependiente"/>
        <w:ind w:firstLine="567"/>
        <w:jc w:val="both"/>
        <w:rPr>
          <w:rFonts w:ascii="Arial" w:hAnsi="Arial" w:cs="Arial"/>
          <w:sz w:val="24"/>
          <w:szCs w:val="24"/>
          <w:lang w:val="es-MX"/>
        </w:rPr>
      </w:pPr>
      <w:r w:rsidRPr="008358CC">
        <w:rPr>
          <w:rFonts w:ascii="Arial" w:hAnsi="Arial" w:cs="Arial"/>
          <w:b w:val="0"/>
          <w:sz w:val="24"/>
          <w:szCs w:val="24"/>
        </w:rPr>
        <w:t xml:space="preserve">El valor de cada coeficiente de costo es </w:t>
      </w:r>
      <w:r w:rsidRPr="008358CC">
        <w:rPr>
          <w:rFonts w:ascii="Arial" w:hAnsi="Arial" w:cs="Arial"/>
          <w:b w:val="0"/>
          <w:i/>
          <w:sz w:val="24"/>
          <w:szCs w:val="24"/>
          <w:lang w:val="es-MX"/>
        </w:rPr>
        <w:t>c</w:t>
      </w:r>
      <w:r w:rsidRPr="008358CC">
        <w:rPr>
          <w:rFonts w:ascii="Arial" w:hAnsi="Arial" w:cs="Arial"/>
          <w:b w:val="0"/>
          <w:i/>
          <w:sz w:val="24"/>
          <w:szCs w:val="24"/>
          <w:vertAlign w:val="subscript"/>
          <w:lang w:val="es-MX"/>
        </w:rPr>
        <w:t>i</w:t>
      </w:r>
      <w:r w:rsidRPr="008358CC">
        <w:rPr>
          <w:rFonts w:ascii="Arial" w:hAnsi="Arial" w:cs="Arial"/>
          <w:b w:val="0"/>
          <w:sz w:val="24"/>
          <w:szCs w:val="24"/>
          <w:lang w:val="es-MX"/>
        </w:rPr>
        <w:t xml:space="preserve"> = 10, </w:t>
      </w:r>
      <w:r w:rsidRPr="008358CC">
        <w:rPr>
          <w:rFonts w:ascii="Arial" w:hAnsi="Arial" w:cs="Arial"/>
          <w:b w:val="0"/>
          <w:i/>
          <w:sz w:val="24"/>
          <w:szCs w:val="24"/>
          <w:lang w:val="es-MX"/>
        </w:rPr>
        <w:t xml:space="preserve">i = </w:t>
      </w:r>
      <w:r w:rsidRPr="008358CC">
        <w:rPr>
          <w:rFonts w:ascii="Arial" w:hAnsi="Arial" w:cs="Arial"/>
          <w:b w:val="0"/>
          <w:sz w:val="24"/>
          <w:szCs w:val="24"/>
          <w:lang w:val="es-MX"/>
        </w:rPr>
        <w:t>1,…,71</w:t>
      </w:r>
      <w:r w:rsidRPr="008358CC">
        <w:rPr>
          <w:rFonts w:ascii="Arial" w:hAnsi="Arial" w:cs="Arial"/>
          <w:b w:val="0"/>
          <w:sz w:val="24"/>
          <w:szCs w:val="24"/>
        </w:rPr>
        <w:t xml:space="preserve">. Con respecto a los parámetros de amortiguamiento óptimos, el más grande corresponde a </w:t>
      </w:r>
      <w:r w:rsidRPr="008358CC">
        <w:rPr>
          <w:rFonts w:ascii="Arial" w:hAnsi="Arial" w:cs="Arial"/>
          <w:b w:val="0"/>
          <w:i/>
          <w:sz w:val="24"/>
          <w:szCs w:val="24"/>
          <w:lang w:val="en-US"/>
        </w:rPr>
        <w:t>λ</w:t>
      </w:r>
      <w:r w:rsidRPr="008358CC">
        <w:rPr>
          <w:rFonts w:ascii="Arial" w:hAnsi="Arial" w:cs="Arial"/>
          <w:b w:val="0"/>
          <w:i/>
          <w:sz w:val="24"/>
          <w:szCs w:val="24"/>
          <w:vertAlign w:val="superscript"/>
          <w:lang w:val="es-MX"/>
        </w:rPr>
        <w:t>*</w:t>
      </w:r>
      <w:r w:rsidRPr="008358CC">
        <w:rPr>
          <w:rFonts w:ascii="Arial" w:hAnsi="Arial" w:cs="Arial"/>
          <w:b w:val="0"/>
          <w:i/>
          <w:sz w:val="24"/>
          <w:szCs w:val="24"/>
          <w:vertAlign w:val="subscript"/>
          <w:lang w:val="es-MX"/>
        </w:rPr>
        <w:t>33</w:t>
      </w:r>
      <w:r w:rsidRPr="008358CC">
        <w:rPr>
          <w:rFonts w:ascii="Arial" w:hAnsi="Arial" w:cs="Arial"/>
          <w:b w:val="0"/>
          <w:i/>
          <w:sz w:val="24"/>
          <w:szCs w:val="24"/>
          <w:lang w:val="es-MX"/>
        </w:rPr>
        <w:t xml:space="preserve"> = </w:t>
      </w:r>
      <w:r w:rsidRPr="008358CC">
        <w:rPr>
          <w:rFonts w:ascii="Arial" w:hAnsi="Arial" w:cs="Arial"/>
          <w:b w:val="0"/>
          <w:sz w:val="24"/>
          <w:szCs w:val="24"/>
          <w:lang w:val="es-MX"/>
        </w:rPr>
        <w:t>0.9994</w:t>
      </w:r>
      <w:r w:rsidRPr="008358CC">
        <w:rPr>
          <w:rFonts w:ascii="Arial" w:hAnsi="Arial" w:cs="Arial"/>
          <w:b w:val="0"/>
          <w:sz w:val="24"/>
          <w:szCs w:val="24"/>
        </w:rPr>
        <w:t xml:space="preserve"> mientras que el más bajo es </w:t>
      </w:r>
      <w:r w:rsidRPr="008358CC">
        <w:rPr>
          <w:rFonts w:ascii="Arial" w:hAnsi="Arial" w:cs="Arial"/>
          <w:b w:val="0"/>
          <w:i/>
          <w:sz w:val="24"/>
          <w:szCs w:val="24"/>
          <w:lang w:val="en-US"/>
        </w:rPr>
        <w:t>λ</w:t>
      </w:r>
      <w:r w:rsidRPr="008358CC">
        <w:rPr>
          <w:rFonts w:ascii="Arial" w:hAnsi="Arial" w:cs="Arial"/>
          <w:b w:val="0"/>
          <w:i/>
          <w:sz w:val="24"/>
          <w:szCs w:val="24"/>
          <w:vertAlign w:val="superscript"/>
          <w:lang w:val="es-MX"/>
        </w:rPr>
        <w:t>*</w:t>
      </w:r>
      <w:r w:rsidRPr="008358CC">
        <w:rPr>
          <w:rFonts w:ascii="Arial" w:hAnsi="Arial" w:cs="Arial"/>
          <w:b w:val="0"/>
          <w:i/>
          <w:sz w:val="24"/>
          <w:szCs w:val="24"/>
          <w:vertAlign w:val="subscript"/>
          <w:lang w:val="es-MX"/>
        </w:rPr>
        <w:t>59</w:t>
      </w:r>
      <w:r w:rsidRPr="008358CC">
        <w:rPr>
          <w:rFonts w:ascii="Arial" w:hAnsi="Arial" w:cs="Arial"/>
          <w:b w:val="0"/>
          <w:i/>
          <w:sz w:val="24"/>
          <w:szCs w:val="24"/>
          <w:lang w:val="es-MX"/>
        </w:rPr>
        <w:t xml:space="preserve"> = </w:t>
      </w:r>
      <w:r w:rsidRPr="008358CC">
        <w:rPr>
          <w:rFonts w:ascii="Arial" w:hAnsi="Arial" w:cs="Arial"/>
          <w:b w:val="0"/>
          <w:sz w:val="24"/>
          <w:szCs w:val="24"/>
          <w:lang w:val="es-MX"/>
        </w:rPr>
        <w:t>0.1393</w:t>
      </w:r>
      <w:r w:rsidRPr="008358CC">
        <w:rPr>
          <w:rFonts w:ascii="Arial" w:hAnsi="Arial" w:cs="Arial"/>
          <w:b w:val="0"/>
          <w:sz w:val="24"/>
          <w:szCs w:val="24"/>
        </w:rPr>
        <w:t>, es decir, de todas las fuentes, la número 59 es la que debería reducir más sus emisiones (</w:t>
      </w:r>
      <w:r w:rsidRPr="008358CC">
        <w:rPr>
          <w:rFonts w:ascii="Arial" w:hAnsi="Arial" w:cs="Arial"/>
          <w:b w:val="0"/>
          <w:sz w:val="24"/>
          <w:szCs w:val="24"/>
          <w:lang w:val="es-MX"/>
        </w:rPr>
        <w:t>86 %</w:t>
      </w:r>
      <w:r w:rsidRPr="008358CC">
        <w:rPr>
          <w:rFonts w:ascii="Arial" w:hAnsi="Arial" w:cs="Arial"/>
          <w:b w:val="0"/>
          <w:sz w:val="24"/>
          <w:szCs w:val="24"/>
        </w:rPr>
        <w:t>), mientras que la fuente número 33 es la que menos debería reducir su actividad (</w:t>
      </w:r>
      <w:r w:rsidRPr="008358CC">
        <w:rPr>
          <w:rFonts w:ascii="Arial" w:hAnsi="Arial" w:cs="Arial"/>
          <w:b w:val="0"/>
          <w:sz w:val="24"/>
          <w:szCs w:val="24"/>
          <w:lang w:val="es-MX"/>
        </w:rPr>
        <w:t>0.06 %</w:t>
      </w:r>
      <w:r w:rsidRPr="008358CC">
        <w:rPr>
          <w:rFonts w:ascii="Arial" w:hAnsi="Arial" w:cs="Arial"/>
          <w:b w:val="0"/>
          <w:sz w:val="24"/>
          <w:szCs w:val="24"/>
        </w:rPr>
        <w:t xml:space="preserve">). Con base en cada coeficiente de amortiguamiento, introducimos ahora tres intervalos en los que podemos incluir el total </w:t>
      </w:r>
      <w:r w:rsidRPr="008358CC">
        <w:rPr>
          <w:rFonts w:ascii="Arial" w:hAnsi="Arial" w:cs="Arial"/>
          <w:b w:val="0"/>
          <w:sz w:val="24"/>
          <w:szCs w:val="24"/>
        </w:rPr>
        <w:lastRenderedPageBreak/>
        <w:t xml:space="preserve">de las fuentes, dependiendo de su porcentaje respectivo de reducción. Resumimos esto en la Tabla 1, por lo tanto, podemos ver que debido a la concentración excesivamente alta en la zona </w:t>
      </w:r>
      <w:r w:rsidRPr="008358CC">
        <w:rPr>
          <w:rFonts w:ascii="Arial" w:hAnsi="Arial" w:cs="Arial"/>
          <w:b w:val="0"/>
          <w:sz w:val="24"/>
          <w:szCs w:val="24"/>
          <w:lang w:val="en-US"/>
        </w:rPr>
        <w:t>Ω</w:t>
      </w:r>
      <w:r w:rsidRPr="008358CC">
        <w:rPr>
          <w:rFonts w:ascii="Arial" w:hAnsi="Arial" w:cs="Arial"/>
          <w:b w:val="0"/>
          <w:sz w:val="24"/>
          <w:szCs w:val="24"/>
        </w:rPr>
        <w:t xml:space="preserve">, una fuente debe reducir drásticamente sus actividades, mientras que diez de ellas deben operar de una manera baja a muy baja, las sesenta restantes deben hacerlo de manera moderada a alta. La Figura 1b muestra la ubicación de cada fuente en </w:t>
      </w:r>
      <w:r w:rsidRPr="008358CC">
        <w:rPr>
          <w:rFonts w:ascii="Arial" w:hAnsi="Arial" w:cs="Arial"/>
          <w:sz w:val="24"/>
          <w:szCs w:val="24"/>
          <w:lang w:val="es-MX"/>
        </w:rPr>
        <w:t>D</w:t>
      </w:r>
      <w:r w:rsidRPr="008358CC">
        <w:rPr>
          <w:rFonts w:ascii="Arial" w:hAnsi="Arial" w:cs="Arial"/>
          <w:b w:val="0"/>
          <w:sz w:val="24"/>
          <w:szCs w:val="24"/>
        </w:rPr>
        <w:t xml:space="preserve"> y el intervalo de reducción al que pertenece cada una.</w:t>
      </w:r>
    </w:p>
    <w:p w:rsidR="00212B85" w:rsidRPr="008358CC" w:rsidRDefault="00212B85" w:rsidP="00212B85">
      <w:pPr>
        <w:pStyle w:val="Textoindependiente"/>
        <w:jc w:val="both"/>
        <w:rPr>
          <w:rFonts w:ascii="Arial" w:hAnsi="Arial" w:cs="Arial"/>
          <w:b w:val="0"/>
          <w:sz w:val="24"/>
          <w:szCs w:val="24"/>
        </w:rPr>
      </w:pPr>
    </w:p>
    <w:p w:rsidR="00212B85" w:rsidRPr="008358CC" w:rsidRDefault="00212B85" w:rsidP="00212B85">
      <w:pPr>
        <w:pStyle w:val="Textoindependiente"/>
        <w:jc w:val="both"/>
        <w:rPr>
          <w:rFonts w:ascii="Arial" w:hAnsi="Arial" w:cs="Arial"/>
          <w:b w:val="0"/>
          <w:sz w:val="24"/>
          <w:szCs w:val="24"/>
        </w:rPr>
      </w:pPr>
    </w:p>
    <w:p w:rsidR="00212B85" w:rsidRPr="008358CC" w:rsidRDefault="00212B85" w:rsidP="00212B85">
      <w:pPr>
        <w:numPr>
          <w:ilvl w:val="0"/>
          <w:numId w:val="1"/>
        </w:numPr>
        <w:tabs>
          <w:tab w:val="clear" w:pos="432"/>
          <w:tab w:val="num" w:pos="0"/>
        </w:tabs>
        <w:suppressAutoHyphens/>
        <w:spacing w:after="0" w:line="240" w:lineRule="auto"/>
        <w:ind w:left="0" w:firstLine="0"/>
        <w:jc w:val="center"/>
        <w:rPr>
          <w:rFonts w:ascii="Arial" w:eastAsia="Times New Roman" w:hAnsi="Arial" w:cs="Arial"/>
          <w:bCs/>
          <w:i/>
          <w:noProof/>
          <w:sz w:val="24"/>
          <w:szCs w:val="24"/>
          <w:lang w:eastAsia="en-GB"/>
        </w:rPr>
      </w:pPr>
      <w:r w:rsidRPr="008358CC">
        <w:rPr>
          <w:rFonts w:ascii="Arial" w:eastAsia="Times New Roman" w:hAnsi="Arial" w:cs="Arial"/>
          <w:bCs/>
          <w:i/>
          <w:noProof/>
          <w:sz w:val="24"/>
          <w:szCs w:val="24"/>
          <w:lang w:eastAsia="en-GB"/>
        </w:rPr>
        <w:t xml:space="preserve">Tabla 1. Porcentaje y número de fuentes encontradas en cada uno de los intervalos, </w:t>
      </w:r>
    </w:p>
    <w:p w:rsidR="00212B85" w:rsidRPr="008358CC" w:rsidRDefault="00212B85" w:rsidP="00212B85">
      <w:pPr>
        <w:numPr>
          <w:ilvl w:val="0"/>
          <w:numId w:val="1"/>
        </w:numPr>
        <w:tabs>
          <w:tab w:val="clear" w:pos="432"/>
          <w:tab w:val="num" w:pos="0"/>
        </w:tabs>
        <w:suppressAutoHyphens/>
        <w:spacing w:after="0" w:line="240" w:lineRule="auto"/>
        <w:ind w:left="0" w:firstLine="0"/>
        <w:jc w:val="center"/>
        <w:rPr>
          <w:rFonts w:ascii="Arial" w:eastAsia="Times New Roman" w:hAnsi="Arial" w:cs="Arial"/>
          <w:bCs/>
          <w:i/>
          <w:noProof/>
          <w:sz w:val="24"/>
          <w:szCs w:val="24"/>
          <w:lang w:eastAsia="en-GB"/>
        </w:rPr>
      </w:pPr>
      <w:r w:rsidRPr="008358CC">
        <w:rPr>
          <w:rFonts w:ascii="Arial" w:eastAsia="Times New Roman" w:hAnsi="Arial" w:cs="Arial"/>
          <w:bCs/>
          <w:i/>
          <w:noProof/>
          <w:sz w:val="24"/>
          <w:szCs w:val="24"/>
          <w:lang w:eastAsia="en-GB"/>
        </w:rPr>
        <w:t>según el porcentaje de reducción de emisiones correspondiente.</w:t>
      </w:r>
    </w:p>
    <w:p w:rsidR="00212B85" w:rsidRPr="008358CC" w:rsidRDefault="00212B85" w:rsidP="00212B85">
      <w:pPr>
        <w:numPr>
          <w:ilvl w:val="0"/>
          <w:numId w:val="1"/>
        </w:numPr>
        <w:tabs>
          <w:tab w:val="clear" w:pos="432"/>
          <w:tab w:val="num" w:pos="0"/>
        </w:tabs>
        <w:suppressAutoHyphens/>
        <w:spacing w:after="0" w:line="240" w:lineRule="auto"/>
        <w:ind w:left="0" w:firstLine="0"/>
        <w:jc w:val="center"/>
        <w:rPr>
          <w:rFonts w:ascii="Arial" w:eastAsia="Times New Roman" w:hAnsi="Arial" w:cs="Arial"/>
          <w:bCs/>
          <w:i/>
          <w:noProof/>
          <w:sz w:val="24"/>
          <w:szCs w:val="24"/>
          <w:lang w:eastAsia="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11"/>
        <w:gridCol w:w="2835"/>
      </w:tblGrid>
      <w:tr w:rsidR="00212B85" w:rsidRPr="008358CC" w:rsidTr="00B81843">
        <w:trPr>
          <w:jc w:val="center"/>
        </w:trPr>
        <w:tc>
          <w:tcPr>
            <w:tcW w:w="1611" w:type="dxa"/>
            <w:tcBorders>
              <w:bottom w:val="nil"/>
            </w:tcBorders>
            <w:vAlign w:val="center"/>
          </w:tcPr>
          <w:p w:rsidR="00212B85" w:rsidRPr="008358CC" w:rsidRDefault="00212B85" w:rsidP="00B81843">
            <w:pPr>
              <w:keepLines/>
              <w:spacing w:before="60" w:after="60"/>
              <w:jc w:val="center"/>
              <w:rPr>
                <w:rFonts w:ascii="Arial" w:eastAsia="Times New Roman" w:hAnsi="Arial"/>
                <w:b/>
                <w:sz w:val="24"/>
                <w:szCs w:val="24"/>
                <w:lang w:eastAsia="es-ES"/>
              </w:rPr>
            </w:pPr>
            <w:r w:rsidRPr="008358CC">
              <w:rPr>
                <w:rFonts w:ascii="Arial" w:eastAsia="Times New Roman" w:hAnsi="Arial"/>
                <w:b/>
                <w:sz w:val="24"/>
                <w:szCs w:val="24"/>
                <w:lang w:eastAsia="es-ES"/>
              </w:rPr>
              <w:t>% de reducción</w:t>
            </w:r>
          </w:p>
        </w:tc>
        <w:tc>
          <w:tcPr>
            <w:tcW w:w="2835" w:type="dxa"/>
            <w:tcBorders>
              <w:bottom w:val="nil"/>
            </w:tcBorders>
            <w:vAlign w:val="center"/>
          </w:tcPr>
          <w:p w:rsidR="00212B85" w:rsidRPr="008358CC" w:rsidRDefault="00212B85" w:rsidP="00B81843">
            <w:pPr>
              <w:keepLines/>
              <w:spacing w:before="60" w:after="60"/>
              <w:jc w:val="center"/>
              <w:rPr>
                <w:rFonts w:ascii="Arial" w:eastAsia="Times New Roman" w:hAnsi="Arial"/>
                <w:b/>
                <w:sz w:val="24"/>
                <w:szCs w:val="24"/>
                <w:lang w:eastAsia="es-ES"/>
              </w:rPr>
            </w:pPr>
            <w:r w:rsidRPr="008358CC">
              <w:rPr>
                <w:rFonts w:ascii="Arial" w:eastAsia="Times New Roman" w:hAnsi="Arial"/>
                <w:b/>
                <w:sz w:val="24"/>
                <w:szCs w:val="24"/>
                <w:lang w:eastAsia="es-ES"/>
              </w:rPr>
              <w:t>% de fuentes (número de)</w:t>
            </w:r>
          </w:p>
        </w:tc>
      </w:tr>
      <w:tr w:rsidR="00212B85" w:rsidRPr="008358CC" w:rsidTr="00B81843">
        <w:trPr>
          <w:jc w:val="center"/>
        </w:trPr>
        <w:tc>
          <w:tcPr>
            <w:tcW w:w="1611" w:type="dxa"/>
            <w:tcBorders>
              <w:bottom w:val="nil"/>
            </w:tcBorders>
            <w:vAlign w:val="center"/>
          </w:tcPr>
          <w:p w:rsidR="00212B85" w:rsidRPr="008358CC" w:rsidRDefault="00212B85" w:rsidP="00B81843">
            <w:pPr>
              <w:keepLines/>
              <w:spacing w:before="60"/>
              <w:jc w:val="center"/>
              <w:rPr>
                <w:rFonts w:ascii="Arial" w:eastAsia="Times New Roman" w:hAnsi="Arial"/>
                <w:sz w:val="24"/>
                <w:szCs w:val="24"/>
                <w:lang w:eastAsia="es-ES"/>
              </w:rPr>
            </w:pPr>
            <w:r w:rsidRPr="008358CC">
              <w:rPr>
                <w:rFonts w:ascii="Arial" w:eastAsia="Times New Roman" w:hAnsi="Arial"/>
                <w:sz w:val="24"/>
                <w:szCs w:val="24"/>
                <w:lang w:eastAsia="es-ES"/>
              </w:rPr>
              <w:t>[86,100]</w:t>
            </w:r>
          </w:p>
        </w:tc>
        <w:tc>
          <w:tcPr>
            <w:tcW w:w="2835" w:type="dxa"/>
            <w:tcBorders>
              <w:bottom w:val="nil"/>
            </w:tcBorders>
            <w:vAlign w:val="center"/>
          </w:tcPr>
          <w:p w:rsidR="00212B85" w:rsidRPr="008358CC" w:rsidRDefault="00212B85" w:rsidP="00B81843">
            <w:pPr>
              <w:keepLines/>
              <w:spacing w:before="60"/>
              <w:jc w:val="center"/>
              <w:rPr>
                <w:rFonts w:ascii="Arial" w:eastAsia="Times New Roman" w:hAnsi="Arial"/>
                <w:sz w:val="24"/>
                <w:szCs w:val="24"/>
                <w:lang w:eastAsia="es-ES"/>
              </w:rPr>
            </w:pPr>
            <w:r w:rsidRPr="008358CC">
              <w:rPr>
                <w:rFonts w:ascii="Arial" w:eastAsia="Times New Roman" w:hAnsi="Arial"/>
                <w:sz w:val="24"/>
                <w:szCs w:val="24"/>
                <w:lang w:eastAsia="es-ES"/>
              </w:rPr>
              <w:t>1.41 (1 fuente)</w:t>
            </w:r>
          </w:p>
        </w:tc>
      </w:tr>
      <w:tr w:rsidR="00212B85" w:rsidRPr="008358CC" w:rsidTr="00B81843">
        <w:trPr>
          <w:jc w:val="center"/>
        </w:trPr>
        <w:tc>
          <w:tcPr>
            <w:tcW w:w="1611" w:type="dxa"/>
            <w:tcBorders>
              <w:top w:val="nil"/>
            </w:tcBorders>
            <w:vAlign w:val="center"/>
          </w:tcPr>
          <w:p w:rsidR="00212B85" w:rsidRPr="008358CC" w:rsidRDefault="00212B85" w:rsidP="00B81843">
            <w:pPr>
              <w:keepLines/>
              <w:spacing w:before="60" w:after="60"/>
              <w:jc w:val="center"/>
              <w:rPr>
                <w:rFonts w:ascii="Arial" w:eastAsia="Times New Roman" w:hAnsi="Arial"/>
                <w:sz w:val="24"/>
                <w:szCs w:val="24"/>
                <w:lang w:eastAsia="es-ES"/>
              </w:rPr>
            </w:pPr>
            <w:r w:rsidRPr="008358CC">
              <w:rPr>
                <w:rFonts w:ascii="Arial" w:eastAsia="Times New Roman" w:hAnsi="Arial"/>
                <w:sz w:val="24"/>
                <w:szCs w:val="24"/>
                <w:lang w:eastAsia="es-ES"/>
              </w:rPr>
              <w:t>[51, 86)</w:t>
            </w:r>
          </w:p>
          <w:p w:rsidR="00212B85" w:rsidRPr="008358CC" w:rsidRDefault="00212B85" w:rsidP="00B81843">
            <w:pPr>
              <w:keepLines/>
              <w:spacing w:before="60" w:after="60"/>
              <w:jc w:val="center"/>
              <w:rPr>
                <w:rFonts w:ascii="Arial" w:eastAsia="Times New Roman" w:hAnsi="Arial"/>
                <w:sz w:val="24"/>
                <w:szCs w:val="24"/>
                <w:lang w:eastAsia="es-ES"/>
              </w:rPr>
            </w:pPr>
            <w:r w:rsidRPr="008358CC">
              <w:rPr>
                <w:rFonts w:ascii="Arial" w:eastAsia="Times New Roman" w:hAnsi="Arial"/>
                <w:sz w:val="24"/>
                <w:szCs w:val="24"/>
                <w:lang w:eastAsia="es-ES"/>
              </w:rPr>
              <w:t>[0, 51)</w:t>
            </w:r>
          </w:p>
        </w:tc>
        <w:tc>
          <w:tcPr>
            <w:tcW w:w="2835" w:type="dxa"/>
            <w:tcBorders>
              <w:top w:val="nil"/>
            </w:tcBorders>
            <w:vAlign w:val="center"/>
          </w:tcPr>
          <w:p w:rsidR="00212B85" w:rsidRPr="008358CC" w:rsidRDefault="00212B85" w:rsidP="00B81843">
            <w:pPr>
              <w:keepLines/>
              <w:spacing w:before="60" w:after="60"/>
              <w:jc w:val="center"/>
              <w:rPr>
                <w:rFonts w:ascii="Arial" w:eastAsia="Times New Roman" w:hAnsi="Arial"/>
                <w:sz w:val="24"/>
                <w:szCs w:val="24"/>
                <w:lang w:eastAsia="es-ES"/>
              </w:rPr>
            </w:pPr>
            <w:r w:rsidRPr="008358CC">
              <w:rPr>
                <w:rFonts w:ascii="Arial" w:eastAsia="Times New Roman" w:hAnsi="Arial"/>
                <w:sz w:val="24"/>
                <w:szCs w:val="24"/>
                <w:lang w:eastAsia="es-ES"/>
              </w:rPr>
              <w:t>14.08 (10 fuentes)</w:t>
            </w:r>
          </w:p>
          <w:p w:rsidR="00212B85" w:rsidRPr="008358CC" w:rsidRDefault="00212B85" w:rsidP="00B81843">
            <w:pPr>
              <w:keepLines/>
              <w:spacing w:before="60" w:after="60"/>
              <w:jc w:val="center"/>
              <w:rPr>
                <w:rFonts w:ascii="Arial" w:eastAsia="Times New Roman" w:hAnsi="Arial"/>
                <w:sz w:val="24"/>
                <w:szCs w:val="24"/>
                <w:lang w:eastAsia="es-ES"/>
              </w:rPr>
            </w:pPr>
            <w:r w:rsidRPr="008358CC">
              <w:rPr>
                <w:rFonts w:ascii="Arial" w:eastAsia="Times New Roman" w:hAnsi="Arial"/>
                <w:sz w:val="24"/>
                <w:szCs w:val="24"/>
                <w:lang w:eastAsia="es-ES"/>
              </w:rPr>
              <w:t>84.51 (60 fuentes)</w:t>
            </w:r>
          </w:p>
        </w:tc>
      </w:tr>
    </w:tbl>
    <w:p w:rsidR="00212B85" w:rsidRPr="008358CC" w:rsidRDefault="00212B85" w:rsidP="00212B85">
      <w:pPr>
        <w:pStyle w:val="Textoindependiente"/>
        <w:jc w:val="both"/>
        <w:rPr>
          <w:rFonts w:ascii="Arial" w:hAnsi="Arial" w:cs="Arial"/>
          <w:b w:val="0"/>
          <w:sz w:val="24"/>
          <w:szCs w:val="24"/>
        </w:rPr>
      </w:pPr>
    </w:p>
    <w:p w:rsidR="00212B85" w:rsidRPr="008358CC" w:rsidRDefault="00212B85" w:rsidP="00212B85">
      <w:pPr>
        <w:pStyle w:val="Textoindependiente"/>
        <w:jc w:val="both"/>
        <w:rPr>
          <w:rFonts w:ascii="Arial" w:hAnsi="Arial" w:cs="Arial"/>
          <w:b w:val="0"/>
          <w:sz w:val="24"/>
          <w:szCs w:val="24"/>
        </w:rPr>
      </w:pPr>
    </w:p>
    <w:p w:rsidR="00212B85" w:rsidRPr="008358CC" w:rsidRDefault="00212B85" w:rsidP="00212B85">
      <w:pPr>
        <w:pStyle w:val="Textoindependiente"/>
        <w:ind w:firstLine="567"/>
        <w:jc w:val="both"/>
        <w:rPr>
          <w:rFonts w:ascii="Arial" w:hAnsi="Arial" w:cs="Arial"/>
          <w:b w:val="0"/>
          <w:sz w:val="24"/>
          <w:szCs w:val="24"/>
          <w:vertAlign w:val="superscript"/>
          <w:lang w:val="es-MX"/>
        </w:rPr>
      </w:pPr>
      <w:r w:rsidRPr="008358CC">
        <w:rPr>
          <w:rFonts w:ascii="Arial" w:hAnsi="Arial" w:cs="Arial"/>
          <w:b w:val="0"/>
          <w:sz w:val="24"/>
          <w:szCs w:val="24"/>
        </w:rPr>
        <w:t>La Figura 2b muestra las concentraciones obtenidas con las nuevas tasas de emisión. En todos los sitios de monitoreo</w:t>
      </w:r>
      <w:r w:rsidRPr="008358CC">
        <w:rPr>
          <w:rFonts w:ascii="Arial" w:hAnsi="Arial" w:cs="Arial"/>
          <w:sz w:val="24"/>
          <w:szCs w:val="24"/>
          <w:lang w:val="es-MX"/>
        </w:rPr>
        <w:t xml:space="preserve"> R</w:t>
      </w:r>
      <w:r w:rsidRPr="008358CC">
        <w:rPr>
          <w:rFonts w:ascii="Arial" w:hAnsi="Arial" w:cs="Arial"/>
          <w:b w:val="0"/>
          <w:i/>
          <w:sz w:val="24"/>
          <w:szCs w:val="24"/>
          <w:vertAlign w:val="subscript"/>
          <w:lang w:val="es-MX"/>
        </w:rPr>
        <w:t>i</w:t>
      </w:r>
      <w:r w:rsidRPr="008358CC">
        <w:rPr>
          <w:rFonts w:ascii="Arial" w:hAnsi="Arial" w:cs="Arial"/>
          <w:b w:val="0"/>
          <w:sz w:val="24"/>
          <w:szCs w:val="24"/>
          <w:lang w:val="es-MX"/>
        </w:rPr>
        <w:t xml:space="preserve">, </w:t>
      </w:r>
      <w:r w:rsidRPr="008358CC">
        <w:rPr>
          <w:rFonts w:ascii="Arial" w:hAnsi="Arial" w:cs="Arial"/>
          <w:b w:val="0"/>
          <w:i/>
          <w:sz w:val="24"/>
          <w:szCs w:val="24"/>
          <w:lang w:val="es-MX"/>
        </w:rPr>
        <w:t>i= 1,…,5</w:t>
      </w:r>
      <w:r w:rsidRPr="008358CC">
        <w:rPr>
          <w:rFonts w:ascii="Arial" w:hAnsi="Arial" w:cs="Arial"/>
          <w:b w:val="0"/>
          <w:sz w:val="24"/>
          <w:szCs w:val="24"/>
        </w:rPr>
        <w:t xml:space="preserve">, la concentración del contaminante satisface la norma de calidad del aire en todo el intervalo de tiempo, de hecho, el valor máximo de la función de concentración </w:t>
      </w:r>
      <w:r w:rsidRPr="008358CC">
        <w:rPr>
          <w:rFonts w:ascii="Arial" w:hAnsi="Arial" w:cs="Arial"/>
          <w:b w:val="0"/>
          <w:i/>
          <w:sz w:val="24"/>
          <w:szCs w:val="24"/>
        </w:rPr>
        <w:t>ϕ</w:t>
      </w:r>
      <w:r w:rsidRPr="008358CC">
        <w:rPr>
          <w:rFonts w:ascii="Arial" w:hAnsi="Arial" w:cs="Arial"/>
          <w:b w:val="0"/>
          <w:sz w:val="24"/>
          <w:szCs w:val="24"/>
          <w:vertAlign w:val="superscript"/>
        </w:rPr>
        <w:t>*</w:t>
      </w:r>
      <w:r w:rsidRPr="008358CC">
        <w:rPr>
          <w:rFonts w:ascii="Arial" w:hAnsi="Arial" w:cs="Arial"/>
          <w:b w:val="0"/>
          <w:sz w:val="24"/>
          <w:szCs w:val="24"/>
        </w:rPr>
        <w:t xml:space="preserve"> en el dominio </w:t>
      </w:r>
      <w:r w:rsidRPr="008358CC">
        <w:rPr>
          <w:rFonts w:ascii="Arial" w:hAnsi="Arial" w:cs="Arial"/>
          <w:b w:val="0"/>
          <w:sz w:val="24"/>
          <w:szCs w:val="24"/>
          <w:lang w:val="en-US"/>
        </w:rPr>
        <w:t>Ω</w:t>
      </w:r>
      <w:r w:rsidRPr="008358CC">
        <w:rPr>
          <w:rFonts w:ascii="Arial" w:hAnsi="Arial" w:cs="Arial"/>
          <w:b w:val="0"/>
          <w:sz w:val="24"/>
          <w:szCs w:val="24"/>
          <w:lang w:val="es-MX"/>
        </w:rPr>
        <w:t xml:space="preserve"> × (0</w:t>
      </w:r>
      <w:r w:rsidRPr="008358CC">
        <w:rPr>
          <w:rFonts w:ascii="Arial" w:hAnsi="Arial" w:cs="Arial"/>
          <w:b w:val="0"/>
          <w:i/>
          <w:sz w:val="24"/>
          <w:szCs w:val="24"/>
          <w:lang w:val="es-MX"/>
        </w:rPr>
        <w:t>,T</w:t>
      </w:r>
      <w:r w:rsidRPr="008358CC">
        <w:rPr>
          <w:rFonts w:ascii="Arial" w:hAnsi="Arial" w:cs="Arial"/>
          <w:b w:val="0"/>
          <w:sz w:val="24"/>
          <w:szCs w:val="24"/>
          <w:lang w:val="es-MX"/>
        </w:rPr>
        <w:t>)</w:t>
      </w:r>
      <w:r w:rsidRPr="008358CC">
        <w:rPr>
          <w:rFonts w:ascii="Arial" w:hAnsi="Arial" w:cs="Arial"/>
          <w:b w:val="0"/>
          <w:sz w:val="24"/>
          <w:szCs w:val="24"/>
        </w:rPr>
        <w:t xml:space="preserve"> es</w:t>
      </w:r>
      <w:r w:rsidRPr="008358CC">
        <w:rPr>
          <w:rFonts w:ascii="Arial" w:hAnsi="Arial" w:cs="Arial"/>
          <w:b w:val="0"/>
          <w:i/>
          <w:sz w:val="24"/>
          <w:szCs w:val="24"/>
          <w:lang w:val="es-MX"/>
        </w:rPr>
        <w:t xml:space="preserve"> J</w:t>
      </w:r>
      <w:r w:rsidRPr="008358CC">
        <w:rPr>
          <w:rFonts w:ascii="Arial" w:hAnsi="Arial" w:cs="Arial"/>
          <w:b w:val="0"/>
          <w:i/>
          <w:sz w:val="24"/>
          <w:szCs w:val="24"/>
          <w:vertAlign w:val="subscript"/>
          <w:lang w:val="es-MX"/>
        </w:rPr>
        <w:t>0</w:t>
      </w:r>
      <w:r w:rsidRPr="008358CC">
        <w:rPr>
          <w:rFonts w:ascii="Arial" w:hAnsi="Arial" w:cs="Arial"/>
          <w:b w:val="0"/>
          <w:sz w:val="24"/>
          <w:szCs w:val="24"/>
        </w:rPr>
        <w:t>. Es decir, la condición ambiental (10) se satisface.</w:t>
      </w:r>
    </w:p>
    <w:p w:rsidR="00212B85" w:rsidRPr="008358CC" w:rsidRDefault="00212B85" w:rsidP="00212B85">
      <w:pPr>
        <w:pStyle w:val="Textoindependiente"/>
        <w:ind w:firstLine="567"/>
        <w:jc w:val="both"/>
        <w:rPr>
          <w:rFonts w:ascii="Arial" w:hAnsi="Arial" w:cs="Arial"/>
          <w:b w:val="0"/>
          <w:sz w:val="24"/>
          <w:szCs w:val="24"/>
        </w:rPr>
      </w:pPr>
      <w:r w:rsidRPr="008358CC">
        <w:rPr>
          <w:rFonts w:ascii="Arial" w:hAnsi="Arial" w:cs="Arial"/>
          <w:b w:val="0"/>
          <w:sz w:val="24"/>
          <w:szCs w:val="24"/>
        </w:rPr>
        <w:t xml:space="preserve">Para obtener las funciones de concentración </w:t>
      </w:r>
      <w:r w:rsidRPr="008358CC">
        <w:rPr>
          <w:rFonts w:ascii="Arial" w:hAnsi="Arial" w:cs="Arial"/>
          <w:b w:val="0"/>
          <w:i/>
          <w:sz w:val="24"/>
          <w:szCs w:val="24"/>
          <w:lang w:val="es-MX"/>
        </w:rPr>
        <w:t>C</w:t>
      </w:r>
      <w:r w:rsidRPr="008358CC">
        <w:rPr>
          <w:rFonts w:ascii="Arial" w:hAnsi="Arial" w:cs="Arial"/>
          <w:b w:val="0"/>
          <w:i/>
          <w:sz w:val="24"/>
          <w:szCs w:val="24"/>
          <w:vertAlign w:val="subscript"/>
          <w:lang w:val="es-MX"/>
        </w:rPr>
        <w:t>i</w:t>
      </w:r>
      <w:r w:rsidRPr="008358CC">
        <w:rPr>
          <w:rFonts w:ascii="Arial" w:hAnsi="Arial" w:cs="Arial"/>
          <w:b w:val="0"/>
          <w:sz w:val="24"/>
          <w:szCs w:val="24"/>
          <w:lang w:val="es-MX"/>
        </w:rPr>
        <w:t xml:space="preserve"> </w:t>
      </w:r>
      <w:r w:rsidRPr="008358CC">
        <w:rPr>
          <w:rFonts w:ascii="Arial" w:hAnsi="Arial" w:cs="Arial"/>
          <w:b w:val="0"/>
          <w:sz w:val="24"/>
          <w:szCs w:val="24"/>
        </w:rPr>
        <w:t xml:space="preserve">se resolvieron en paralelo </w:t>
      </w:r>
      <w:r w:rsidRPr="008358CC">
        <w:rPr>
          <w:rFonts w:ascii="Arial" w:hAnsi="Arial" w:cs="Arial"/>
          <w:b w:val="0"/>
          <w:i/>
          <w:sz w:val="24"/>
          <w:szCs w:val="24"/>
          <w:lang w:val="es-MX"/>
        </w:rPr>
        <w:t xml:space="preserve">H = </w:t>
      </w:r>
      <w:r w:rsidRPr="008358CC">
        <w:rPr>
          <w:rFonts w:ascii="Arial" w:hAnsi="Arial" w:cs="Arial"/>
          <w:b w:val="0"/>
          <w:sz w:val="24"/>
          <w:szCs w:val="24"/>
          <w:lang w:val="es-MX"/>
        </w:rPr>
        <w:t xml:space="preserve">71 + 1 = 72 </w:t>
      </w:r>
      <w:r w:rsidRPr="008358CC">
        <w:rPr>
          <w:rFonts w:ascii="Arial" w:hAnsi="Arial" w:cs="Arial"/>
          <w:b w:val="0"/>
          <w:sz w:val="24"/>
          <w:szCs w:val="24"/>
        </w:rPr>
        <w:t xml:space="preserve">modelos de dispersión bajo el patrón SPMD, usando 3 nodos de cálculo (cada uno con 24 procesadores) del clúster </w:t>
      </w:r>
      <w:r w:rsidRPr="008358CC">
        <w:rPr>
          <w:rFonts w:ascii="Arial" w:hAnsi="Arial" w:cs="Arial"/>
          <w:b w:val="0"/>
          <w:color w:val="000000"/>
          <w:sz w:val="24"/>
          <w:szCs w:val="24"/>
        </w:rPr>
        <w:t xml:space="preserve">Ometeotl </w:t>
      </w:r>
      <w:r w:rsidRPr="008358CC">
        <w:rPr>
          <w:rFonts w:ascii="Arial" w:hAnsi="Arial" w:cs="Arial"/>
          <w:b w:val="0"/>
          <w:color w:val="000000"/>
          <w:sz w:val="24"/>
          <w:szCs w:val="24"/>
          <w:vertAlign w:val="superscript"/>
        </w:rPr>
        <w:t>[8,9]</w:t>
      </w:r>
      <w:r w:rsidRPr="008358CC">
        <w:rPr>
          <w:rFonts w:ascii="Arial" w:hAnsi="Arial" w:cs="Arial"/>
          <w:b w:val="0"/>
          <w:sz w:val="24"/>
          <w:szCs w:val="24"/>
        </w:rPr>
        <w:t xml:space="preserve">. El tiempo de cómputo correspondiente, seleccionado como el valor de tiempo máximo entre todos los obtenidos por todos los hilos utilizados, cuando cada uno resuelve un modelo de dispersión, es </w:t>
      </w:r>
      <w:r w:rsidRPr="008358CC">
        <w:rPr>
          <w:rFonts w:ascii="Arial" w:hAnsi="Arial" w:cs="Arial"/>
          <w:b w:val="0"/>
          <w:i/>
          <w:sz w:val="24"/>
          <w:szCs w:val="24"/>
          <w:lang w:val="es-MX"/>
        </w:rPr>
        <w:t>T</w:t>
      </w:r>
      <w:r w:rsidRPr="008358CC">
        <w:rPr>
          <w:rFonts w:ascii="Arial" w:hAnsi="Arial" w:cs="Arial"/>
          <w:b w:val="0"/>
          <w:i/>
          <w:sz w:val="24"/>
          <w:szCs w:val="24"/>
          <w:vertAlign w:val="subscript"/>
          <w:lang w:val="es-MX"/>
        </w:rPr>
        <w:t>c</w:t>
      </w:r>
      <w:r w:rsidRPr="008358CC">
        <w:rPr>
          <w:rFonts w:ascii="Arial" w:hAnsi="Arial" w:cs="Arial"/>
          <w:b w:val="0"/>
          <w:i/>
          <w:sz w:val="24"/>
          <w:szCs w:val="24"/>
          <w:lang w:val="es-MX"/>
        </w:rPr>
        <w:t xml:space="preserve"> = </w:t>
      </w:r>
      <w:r w:rsidRPr="008358CC">
        <w:rPr>
          <w:rFonts w:ascii="Arial" w:hAnsi="Arial" w:cs="Arial"/>
          <w:b w:val="0"/>
          <w:sz w:val="24"/>
          <w:szCs w:val="24"/>
          <w:lang w:val="es-MX"/>
        </w:rPr>
        <w:t>85.20 [s]</w:t>
      </w:r>
      <w:r w:rsidRPr="008358CC">
        <w:rPr>
          <w:rFonts w:ascii="Arial" w:hAnsi="Arial" w:cs="Arial"/>
          <w:b w:val="0"/>
          <w:sz w:val="24"/>
          <w:szCs w:val="24"/>
        </w:rPr>
        <w:t xml:space="preserve">. Cabe mencionar que cada modelo de dispersión se resuelve numéricamente aplicando un esquema de separación de operadores por componentes </w:t>
      </w:r>
      <w:r w:rsidRPr="008358CC">
        <w:rPr>
          <w:rFonts w:ascii="Arial" w:hAnsi="Arial" w:cs="Arial"/>
          <w:b w:val="0"/>
          <w:sz w:val="24"/>
          <w:szCs w:val="24"/>
          <w:vertAlign w:val="superscript"/>
        </w:rPr>
        <w:t>[5]</w:t>
      </w:r>
      <w:r w:rsidRPr="008358CC">
        <w:rPr>
          <w:rFonts w:ascii="Arial" w:hAnsi="Arial" w:cs="Arial"/>
          <w:b w:val="0"/>
          <w:sz w:val="24"/>
          <w:szCs w:val="24"/>
        </w:rPr>
        <w:t xml:space="preserve">, los programas correspondientes están implementados en </w:t>
      </w:r>
      <w:r w:rsidRPr="008358CC">
        <w:rPr>
          <w:rFonts w:ascii="Arial" w:hAnsi="Arial" w:cs="Arial"/>
          <w:b w:val="0"/>
          <w:i/>
          <w:sz w:val="24"/>
          <w:szCs w:val="24"/>
        </w:rPr>
        <w:t>Fortran 90</w:t>
      </w:r>
      <w:r w:rsidRPr="008358CC">
        <w:rPr>
          <w:rFonts w:ascii="Arial" w:hAnsi="Arial" w:cs="Arial"/>
          <w:b w:val="0"/>
          <w:sz w:val="24"/>
          <w:szCs w:val="24"/>
        </w:rPr>
        <w:t xml:space="preserve"> y </w:t>
      </w:r>
      <w:r w:rsidRPr="008358CC">
        <w:rPr>
          <w:rFonts w:ascii="Arial" w:hAnsi="Arial" w:cs="Arial"/>
          <w:b w:val="0"/>
          <w:i/>
          <w:sz w:val="24"/>
          <w:szCs w:val="24"/>
        </w:rPr>
        <w:t>OpenMP</w:t>
      </w:r>
      <w:r w:rsidRPr="008358CC">
        <w:rPr>
          <w:rFonts w:ascii="Arial" w:hAnsi="Arial" w:cs="Arial"/>
          <w:b w:val="0"/>
          <w:sz w:val="24"/>
          <w:szCs w:val="24"/>
        </w:rPr>
        <w:t>.</w:t>
      </w:r>
    </w:p>
    <w:p w:rsidR="00212B85" w:rsidRPr="008358CC" w:rsidRDefault="00212B85" w:rsidP="00212B85">
      <w:pPr>
        <w:pStyle w:val="Textoindependiente"/>
        <w:ind w:firstLine="567"/>
        <w:jc w:val="both"/>
        <w:rPr>
          <w:rFonts w:ascii="Arial" w:hAnsi="Arial" w:cs="Arial"/>
          <w:b w:val="0"/>
          <w:sz w:val="24"/>
          <w:szCs w:val="24"/>
          <w:lang w:val="es-MX"/>
        </w:rPr>
      </w:pPr>
      <w:r w:rsidRPr="008358CC">
        <w:rPr>
          <w:rFonts w:ascii="Arial" w:hAnsi="Arial" w:cs="Arial"/>
          <w:b w:val="0"/>
          <w:sz w:val="24"/>
          <w:szCs w:val="24"/>
        </w:rPr>
        <w:t xml:space="preserve">Por otra parte, el procesamiento de los archivos de salida para todos los modelos de dispersión, así como la resolución del problema de programación cuadrática </w:t>
      </w:r>
      <w:r w:rsidRPr="008358CC">
        <w:rPr>
          <w:rFonts w:ascii="Arial" w:hAnsi="Arial" w:cs="Arial"/>
          <w:b w:val="0"/>
          <w:sz w:val="24"/>
          <w:szCs w:val="24"/>
        </w:rPr>
        <w:lastRenderedPageBreak/>
        <w:t xml:space="preserve">correspondiente, se realizaron usando cómputo serial, en una computadora portátil con </w:t>
      </w:r>
      <w:r w:rsidRPr="008358CC">
        <w:rPr>
          <w:rFonts w:ascii="Arial" w:hAnsi="Arial" w:cs="Arial"/>
          <w:b w:val="0"/>
          <w:sz w:val="24"/>
          <w:szCs w:val="24"/>
          <w:lang w:val="es-MX"/>
        </w:rPr>
        <w:t xml:space="preserve">procesador </w:t>
      </w:r>
      <w:r w:rsidRPr="008358CC">
        <w:rPr>
          <w:rFonts w:ascii="Arial" w:hAnsi="Arial" w:cs="Arial"/>
          <w:b w:val="0"/>
          <w:i/>
          <w:sz w:val="24"/>
          <w:szCs w:val="24"/>
          <w:lang w:val="es-MX"/>
        </w:rPr>
        <w:t>Dual</w:t>
      </w:r>
      <w:r w:rsidRPr="008358CC">
        <w:rPr>
          <w:rFonts w:ascii="Arial" w:hAnsi="Arial" w:cs="Arial"/>
          <w:b w:val="0"/>
          <w:sz w:val="24"/>
          <w:szCs w:val="24"/>
          <w:lang w:val="es-MX"/>
        </w:rPr>
        <w:t xml:space="preserve"> </w:t>
      </w:r>
      <w:r w:rsidRPr="008358CC">
        <w:rPr>
          <w:rFonts w:ascii="Arial" w:hAnsi="Arial" w:cs="Arial"/>
          <w:b w:val="0"/>
          <w:i/>
          <w:sz w:val="24"/>
          <w:szCs w:val="24"/>
          <w:lang w:val="es-MX"/>
        </w:rPr>
        <w:t>core</w:t>
      </w:r>
      <w:r w:rsidRPr="008358CC">
        <w:rPr>
          <w:rFonts w:ascii="Arial" w:hAnsi="Arial" w:cs="Arial"/>
          <w:b w:val="0"/>
          <w:sz w:val="24"/>
          <w:szCs w:val="24"/>
          <w:lang w:val="es-MX"/>
        </w:rPr>
        <w:t xml:space="preserve"> AMD A9-9400 de 2.4 GHz, mediante el entorno </w:t>
      </w:r>
      <w:r w:rsidRPr="008358CC">
        <w:rPr>
          <w:rFonts w:ascii="Arial" w:hAnsi="Arial" w:cs="Arial"/>
          <w:b w:val="0"/>
          <w:i/>
          <w:sz w:val="24"/>
          <w:szCs w:val="24"/>
          <w:lang w:val="es-MX"/>
        </w:rPr>
        <w:t>Scilab</w:t>
      </w:r>
      <w:r w:rsidRPr="008358CC">
        <w:rPr>
          <w:rFonts w:ascii="Arial" w:hAnsi="Arial" w:cs="Arial"/>
          <w:b w:val="0"/>
          <w:sz w:val="24"/>
          <w:szCs w:val="24"/>
          <w:lang w:val="es-MX"/>
        </w:rPr>
        <w:t xml:space="preserve">; </w:t>
      </w:r>
      <w:r w:rsidRPr="008358CC">
        <w:rPr>
          <w:rFonts w:ascii="Arial" w:hAnsi="Arial" w:cs="Arial"/>
          <w:b w:val="0"/>
          <w:sz w:val="24"/>
          <w:szCs w:val="24"/>
        </w:rPr>
        <w:t xml:space="preserve">la malla del dominio usada en el problema de programación cuadrática (19)-(20) contiene </w:t>
      </w:r>
      <w:r w:rsidRPr="008358CC">
        <w:rPr>
          <w:rFonts w:ascii="Arial" w:hAnsi="Arial" w:cs="Arial"/>
          <w:b w:val="0"/>
          <w:sz w:val="24"/>
          <w:szCs w:val="24"/>
          <w:lang w:val="es-MX"/>
        </w:rPr>
        <w:t>10 × 10 × 8000 = 800000</w:t>
      </w:r>
      <w:r w:rsidRPr="008358CC">
        <w:rPr>
          <w:rFonts w:ascii="Arial" w:hAnsi="Arial" w:cs="Arial"/>
          <w:b w:val="0"/>
          <w:sz w:val="24"/>
          <w:szCs w:val="24"/>
        </w:rPr>
        <w:t xml:space="preserve"> nodos y su solución se calculó mediante la rutina </w:t>
      </w:r>
      <w:r w:rsidRPr="008358CC">
        <w:rPr>
          <w:rFonts w:ascii="Arial" w:hAnsi="Arial" w:cs="Arial"/>
          <w:b w:val="0"/>
          <w:i/>
          <w:sz w:val="24"/>
          <w:szCs w:val="24"/>
        </w:rPr>
        <w:t>qpsolve</w:t>
      </w:r>
      <w:r w:rsidRPr="008358CC">
        <w:rPr>
          <w:rFonts w:ascii="Arial" w:hAnsi="Arial" w:cs="Arial"/>
          <w:b w:val="0"/>
          <w:sz w:val="24"/>
          <w:szCs w:val="24"/>
        </w:rPr>
        <w:t xml:space="preserve"> con el mismo número de restricciones y setenta y un variables. El tiempo de procesamiento correspondiente es </w:t>
      </w:r>
      <w:r w:rsidRPr="008358CC">
        <w:rPr>
          <w:rFonts w:ascii="Arial" w:hAnsi="Arial" w:cs="Arial"/>
          <w:b w:val="0"/>
          <w:i/>
          <w:sz w:val="24"/>
          <w:szCs w:val="24"/>
          <w:lang w:val="es-MX"/>
        </w:rPr>
        <w:t>T</w:t>
      </w:r>
      <w:r w:rsidRPr="008358CC">
        <w:rPr>
          <w:rFonts w:ascii="Arial" w:hAnsi="Arial" w:cs="Arial"/>
          <w:b w:val="0"/>
          <w:i/>
          <w:sz w:val="24"/>
          <w:szCs w:val="24"/>
          <w:vertAlign w:val="subscript"/>
          <w:lang w:val="es-MX"/>
        </w:rPr>
        <w:t>p</w:t>
      </w:r>
      <w:r w:rsidRPr="008358CC">
        <w:rPr>
          <w:rFonts w:ascii="Arial" w:hAnsi="Arial" w:cs="Arial"/>
          <w:b w:val="0"/>
          <w:i/>
          <w:sz w:val="24"/>
          <w:szCs w:val="24"/>
          <w:lang w:val="es-MX"/>
        </w:rPr>
        <w:t xml:space="preserve"> = </w:t>
      </w:r>
      <w:r w:rsidRPr="008358CC">
        <w:rPr>
          <w:rFonts w:ascii="Arial" w:hAnsi="Arial" w:cs="Arial"/>
          <w:b w:val="0"/>
          <w:sz w:val="24"/>
          <w:szCs w:val="24"/>
          <w:lang w:val="es-MX"/>
        </w:rPr>
        <w:t>123.65 [s]</w:t>
      </w:r>
      <w:r w:rsidRPr="008358CC">
        <w:rPr>
          <w:rFonts w:ascii="Arial" w:hAnsi="Arial" w:cs="Arial"/>
          <w:b w:val="0"/>
          <w:sz w:val="24"/>
          <w:szCs w:val="24"/>
        </w:rPr>
        <w:t xml:space="preserve">. De esta forma, el tiempo de cálculo estimado, requerido para implementar la </w:t>
      </w:r>
      <w:r w:rsidRPr="008358CC">
        <w:rPr>
          <w:rFonts w:ascii="Arial" w:hAnsi="Arial" w:cs="Arial"/>
          <w:b w:val="0"/>
          <w:bCs w:val="0"/>
          <w:sz w:val="24"/>
          <w:szCs w:val="24"/>
        </w:rPr>
        <w:t>estrategia óptima de control</w:t>
      </w:r>
      <w:r w:rsidRPr="008358CC">
        <w:rPr>
          <w:rFonts w:ascii="Arial" w:hAnsi="Arial" w:cs="Arial"/>
          <w:b w:val="0"/>
          <w:sz w:val="24"/>
          <w:szCs w:val="24"/>
        </w:rPr>
        <w:t xml:space="preserve"> a corto plazo usando el patrón SPMD para este ejemplo es </w:t>
      </w:r>
      <w:r w:rsidRPr="008358CC">
        <w:rPr>
          <w:rFonts w:ascii="Arial" w:hAnsi="Arial" w:cs="Arial"/>
          <w:b w:val="0"/>
          <w:i/>
          <w:sz w:val="24"/>
          <w:szCs w:val="24"/>
          <w:lang w:val="es-MX"/>
        </w:rPr>
        <w:t>T</w:t>
      </w:r>
      <w:r w:rsidRPr="008358CC">
        <w:rPr>
          <w:rFonts w:ascii="Arial" w:hAnsi="Arial" w:cs="Arial"/>
          <w:b w:val="0"/>
          <w:i/>
          <w:sz w:val="24"/>
          <w:szCs w:val="24"/>
          <w:vertAlign w:val="subscript"/>
          <w:lang w:val="es-MX"/>
        </w:rPr>
        <w:t>EOC</w:t>
      </w:r>
      <w:r w:rsidRPr="008358CC">
        <w:rPr>
          <w:rFonts w:ascii="Arial" w:hAnsi="Arial" w:cs="Arial"/>
          <w:b w:val="0"/>
          <w:i/>
          <w:sz w:val="24"/>
          <w:szCs w:val="24"/>
          <w:lang w:val="es-MX"/>
        </w:rPr>
        <w:t xml:space="preserve"> = T</w:t>
      </w:r>
      <w:r w:rsidRPr="008358CC">
        <w:rPr>
          <w:rFonts w:ascii="Arial" w:hAnsi="Arial" w:cs="Arial"/>
          <w:b w:val="0"/>
          <w:i/>
          <w:sz w:val="24"/>
          <w:szCs w:val="24"/>
          <w:vertAlign w:val="subscript"/>
          <w:lang w:val="es-MX"/>
        </w:rPr>
        <w:t>c</w:t>
      </w:r>
      <w:r w:rsidRPr="008358CC">
        <w:rPr>
          <w:rFonts w:ascii="Arial" w:hAnsi="Arial" w:cs="Arial"/>
          <w:b w:val="0"/>
          <w:i/>
          <w:sz w:val="24"/>
          <w:szCs w:val="24"/>
          <w:lang w:val="es-MX"/>
        </w:rPr>
        <w:t xml:space="preserve"> + T</w:t>
      </w:r>
      <w:r w:rsidRPr="008358CC">
        <w:rPr>
          <w:rFonts w:ascii="Arial" w:hAnsi="Arial" w:cs="Arial"/>
          <w:b w:val="0"/>
          <w:i/>
          <w:sz w:val="24"/>
          <w:szCs w:val="24"/>
          <w:vertAlign w:val="subscript"/>
          <w:lang w:val="es-MX"/>
        </w:rPr>
        <w:t>p</w:t>
      </w:r>
      <w:r w:rsidRPr="008358CC">
        <w:rPr>
          <w:rFonts w:ascii="Arial" w:hAnsi="Arial" w:cs="Arial"/>
          <w:b w:val="0"/>
          <w:i/>
          <w:sz w:val="24"/>
          <w:szCs w:val="24"/>
          <w:lang w:val="es-MX"/>
        </w:rPr>
        <w:t xml:space="preserve"> = </w:t>
      </w:r>
      <w:r w:rsidRPr="008358CC">
        <w:rPr>
          <w:rFonts w:ascii="Arial" w:hAnsi="Arial" w:cs="Arial"/>
          <w:b w:val="0"/>
          <w:sz w:val="24"/>
          <w:szCs w:val="24"/>
          <w:lang w:val="es-MX"/>
        </w:rPr>
        <w:t>208.86 [s] (4.9 minutos)</w:t>
      </w:r>
      <w:r w:rsidRPr="008358CC">
        <w:rPr>
          <w:rFonts w:ascii="Arial" w:hAnsi="Arial" w:cs="Arial"/>
          <w:b w:val="0"/>
          <w:sz w:val="24"/>
          <w:szCs w:val="24"/>
        </w:rPr>
        <w:t>.</w:t>
      </w:r>
    </w:p>
    <w:p w:rsidR="00212B85" w:rsidRPr="008358CC" w:rsidRDefault="00212B85" w:rsidP="00212B85">
      <w:pPr>
        <w:pStyle w:val="Textoindependiente"/>
        <w:rPr>
          <w:rFonts w:ascii="Arial" w:hAnsi="Arial" w:cs="Arial"/>
          <w:sz w:val="24"/>
          <w:szCs w:val="24"/>
        </w:rPr>
      </w:pPr>
    </w:p>
    <w:p w:rsidR="00212B85" w:rsidRPr="008358CC" w:rsidRDefault="00212B85" w:rsidP="00212B85">
      <w:pPr>
        <w:pStyle w:val="Ttulo1"/>
        <w:keepLines w:val="0"/>
        <w:numPr>
          <w:ilvl w:val="0"/>
          <w:numId w:val="1"/>
        </w:numPr>
        <w:tabs>
          <w:tab w:val="clear" w:pos="432"/>
          <w:tab w:val="left" w:pos="0"/>
        </w:tabs>
        <w:suppressAutoHyphens/>
        <w:spacing w:before="0" w:after="0"/>
        <w:ind w:left="0" w:firstLine="0"/>
        <w:rPr>
          <w:rFonts w:ascii="Arial" w:hAnsi="Arial" w:cs="Arial"/>
          <w:i/>
          <w:sz w:val="24"/>
          <w:szCs w:val="24"/>
        </w:rPr>
      </w:pPr>
      <w:bookmarkStart w:id="23" w:name="_Toc50031156"/>
      <w:r w:rsidRPr="008358CC">
        <w:rPr>
          <w:rFonts w:ascii="Arial" w:hAnsi="Arial" w:cs="Arial"/>
          <w:i/>
          <w:caps/>
          <w:sz w:val="24"/>
          <w:szCs w:val="24"/>
        </w:rPr>
        <w:t xml:space="preserve">6. </w:t>
      </w:r>
      <w:r w:rsidRPr="008358CC">
        <w:rPr>
          <w:rFonts w:ascii="Arial" w:hAnsi="Arial" w:cs="Arial"/>
          <w:i/>
          <w:sz w:val="24"/>
          <w:szCs w:val="24"/>
        </w:rPr>
        <w:t>Conclusiones</w:t>
      </w:r>
      <w:bookmarkEnd w:id="23"/>
    </w:p>
    <w:p w:rsidR="00212B85" w:rsidRPr="008358CC" w:rsidRDefault="00212B85" w:rsidP="00212B85">
      <w:pPr>
        <w:rPr>
          <w:sz w:val="24"/>
          <w:szCs w:val="24"/>
        </w:rPr>
      </w:pPr>
    </w:p>
    <w:p w:rsidR="00212B85" w:rsidRPr="008358CC" w:rsidRDefault="00212B85" w:rsidP="00212B85">
      <w:pPr>
        <w:pStyle w:val="Textoindependiente"/>
        <w:ind w:firstLine="630"/>
        <w:jc w:val="both"/>
        <w:rPr>
          <w:rFonts w:ascii="Arial" w:hAnsi="Arial" w:cs="Arial"/>
          <w:b w:val="0"/>
          <w:sz w:val="24"/>
          <w:szCs w:val="24"/>
        </w:rPr>
      </w:pPr>
      <w:r w:rsidRPr="008358CC">
        <w:rPr>
          <w:rFonts w:ascii="Arial" w:hAnsi="Arial" w:cs="Arial"/>
          <w:b w:val="0"/>
          <w:sz w:val="24"/>
          <w:szCs w:val="24"/>
        </w:rPr>
        <w:t>En este trabajo se desarrolló y analizó una estrategia de control de la contaminación del aire a corto plazo, basada en el cómputo en paralelo y la solución de un modelo de programación cuadrática. Los resultados numéricos muestran que la aplicación de dicho modelo de optimización reduce hasta niveles aceptables la concentración del contaminante en todo punto de la zona de control y en cada instante del intervalo de tiempo de control. Además, dicho método de control tiene dos cualidades importantes: se puede aplicar a cualquier modelo de dispersión lineal y, permite obtener parámetros de amortiguamiento para cualquier tipo de fuentes de contaminación, ya sean puntuales, lineales o superficiales. Esta estrategia es la mejor opción de control para este tipo de problema y modelo de optimización, cuando el poder de cómputo no es una limitación, ya que permite distribuir el trabajo de cómputo que implica más tiempo (la solución de los modelos de dispersión) por medio del cómputo paralelo y el patrón SPMD y, por lo tanto, plantear y resolver el problema de la programación cuadrática con el mayor detalle posible (considerando una cantidad considerable de restricciones y variables).</w:t>
      </w:r>
    </w:p>
    <w:p w:rsidR="00212B85" w:rsidRPr="008358CC" w:rsidRDefault="00212B85" w:rsidP="00212B85">
      <w:pPr>
        <w:pStyle w:val="Textoindependiente"/>
        <w:rPr>
          <w:rFonts w:ascii="Arial" w:hAnsi="Arial" w:cs="Arial"/>
          <w:b w:val="0"/>
          <w:sz w:val="24"/>
          <w:szCs w:val="24"/>
        </w:rPr>
      </w:pPr>
    </w:p>
    <w:p w:rsidR="00212B85" w:rsidRPr="008358CC" w:rsidRDefault="00212B85" w:rsidP="00212B85">
      <w:pPr>
        <w:pStyle w:val="Ttulo1"/>
        <w:keepLines w:val="0"/>
        <w:numPr>
          <w:ilvl w:val="0"/>
          <w:numId w:val="1"/>
        </w:numPr>
        <w:tabs>
          <w:tab w:val="clear" w:pos="432"/>
          <w:tab w:val="left" w:pos="0"/>
        </w:tabs>
        <w:suppressAutoHyphens/>
        <w:spacing w:before="0" w:after="0"/>
        <w:ind w:left="0" w:firstLine="0"/>
        <w:rPr>
          <w:rFonts w:ascii="Arial" w:hAnsi="Arial" w:cs="Arial"/>
          <w:i/>
          <w:sz w:val="24"/>
          <w:szCs w:val="24"/>
        </w:rPr>
      </w:pPr>
      <w:bookmarkStart w:id="24" w:name="_Toc50031157"/>
      <w:r w:rsidRPr="008358CC">
        <w:rPr>
          <w:rFonts w:ascii="Arial" w:hAnsi="Arial" w:cs="Arial"/>
          <w:i/>
          <w:caps/>
          <w:sz w:val="24"/>
          <w:szCs w:val="24"/>
        </w:rPr>
        <w:t xml:space="preserve">7. </w:t>
      </w:r>
      <w:r w:rsidRPr="008358CC">
        <w:rPr>
          <w:rFonts w:ascii="Arial" w:hAnsi="Arial" w:cs="Arial"/>
          <w:i/>
          <w:sz w:val="24"/>
          <w:szCs w:val="24"/>
        </w:rPr>
        <w:t>Agradecimientos</w:t>
      </w:r>
      <w:bookmarkEnd w:id="24"/>
    </w:p>
    <w:p w:rsidR="00212B85" w:rsidRPr="008358CC" w:rsidRDefault="00212B85" w:rsidP="00212B85">
      <w:pPr>
        <w:rPr>
          <w:sz w:val="24"/>
          <w:szCs w:val="24"/>
        </w:rPr>
      </w:pPr>
    </w:p>
    <w:p w:rsidR="00212B85" w:rsidRPr="008358CC" w:rsidRDefault="00212B85" w:rsidP="00212B85">
      <w:pPr>
        <w:pStyle w:val="Textoindependiente"/>
        <w:jc w:val="both"/>
        <w:rPr>
          <w:rFonts w:ascii="Arial" w:hAnsi="Arial" w:cs="Arial"/>
          <w:b w:val="0"/>
          <w:sz w:val="24"/>
          <w:szCs w:val="24"/>
        </w:rPr>
      </w:pPr>
      <w:r w:rsidRPr="008358CC">
        <w:rPr>
          <w:rFonts w:ascii="Arial" w:hAnsi="Arial" w:cs="Arial"/>
          <w:b w:val="0"/>
          <w:sz w:val="24"/>
          <w:szCs w:val="24"/>
        </w:rPr>
        <w:t>Este trabajo fue apoyado por las becas: CONACyT, CVU No. 445746, y SNI-CONACyT No. 25170. Los autores agradecen al Dr. Jorge Zavala Hidalgo, jefe del grupo de investigación “Interacción Océano-Atmósfera” del Centro de Ciencias de la Atmósfera de la Universidad Nacional Autónoma de México, por la asignación de una cuenta en el clúster Ometeotl.</w:t>
      </w:r>
    </w:p>
    <w:p w:rsidR="00212B85" w:rsidRPr="008358CC" w:rsidRDefault="00212B85" w:rsidP="00212B85">
      <w:pPr>
        <w:pStyle w:val="Textoindependiente"/>
        <w:rPr>
          <w:rFonts w:ascii="Arial" w:hAnsi="Arial" w:cs="Arial"/>
          <w:b w:val="0"/>
          <w:sz w:val="24"/>
          <w:szCs w:val="24"/>
        </w:rPr>
      </w:pPr>
    </w:p>
    <w:p w:rsidR="00212B85" w:rsidRPr="008358CC" w:rsidRDefault="00212B85" w:rsidP="00212B85">
      <w:pPr>
        <w:pStyle w:val="Ttulo1"/>
        <w:keepLines w:val="0"/>
        <w:numPr>
          <w:ilvl w:val="0"/>
          <w:numId w:val="1"/>
        </w:numPr>
        <w:tabs>
          <w:tab w:val="clear" w:pos="432"/>
          <w:tab w:val="left" w:pos="0"/>
        </w:tabs>
        <w:suppressAutoHyphens/>
        <w:spacing w:before="0" w:after="0"/>
        <w:ind w:left="0" w:firstLine="0"/>
        <w:rPr>
          <w:rFonts w:ascii="Arial" w:hAnsi="Arial" w:cs="Arial"/>
          <w:i/>
          <w:sz w:val="24"/>
          <w:szCs w:val="24"/>
        </w:rPr>
      </w:pPr>
      <w:bookmarkStart w:id="25" w:name="_Toc50031158"/>
      <w:r w:rsidRPr="008358CC">
        <w:rPr>
          <w:rFonts w:ascii="Arial" w:hAnsi="Arial" w:cs="Arial"/>
          <w:i/>
          <w:caps/>
          <w:sz w:val="24"/>
          <w:szCs w:val="24"/>
        </w:rPr>
        <w:lastRenderedPageBreak/>
        <w:t xml:space="preserve">8. </w:t>
      </w:r>
      <w:r w:rsidRPr="008358CC">
        <w:rPr>
          <w:rFonts w:ascii="Arial" w:hAnsi="Arial" w:cs="Arial"/>
          <w:i/>
          <w:sz w:val="24"/>
          <w:szCs w:val="24"/>
        </w:rPr>
        <w:t>Bibliografía</w:t>
      </w:r>
      <w:bookmarkEnd w:id="25"/>
    </w:p>
    <w:p w:rsidR="00212B85" w:rsidRPr="00E35D60" w:rsidRDefault="00212B85" w:rsidP="00212B85">
      <w:pPr>
        <w:rPr>
          <w:rFonts w:ascii="Arial" w:hAnsi="Arial" w:cs="Arial"/>
        </w:rPr>
      </w:pPr>
    </w:p>
    <w:p w:rsidR="00212B85" w:rsidRPr="00236A64" w:rsidRDefault="00212B85" w:rsidP="00257D10">
      <w:pPr>
        <w:numPr>
          <w:ilvl w:val="0"/>
          <w:numId w:val="19"/>
        </w:numPr>
        <w:suppressAutoHyphens/>
        <w:spacing w:after="0" w:line="240" w:lineRule="auto"/>
        <w:jc w:val="both"/>
        <w:rPr>
          <w:rFonts w:ascii="Arial" w:hAnsi="Arial" w:cs="Arial"/>
          <w:lang w:val="en-US"/>
        </w:rPr>
      </w:pPr>
      <w:r w:rsidRPr="00236A64">
        <w:rPr>
          <w:rFonts w:ascii="Arial" w:hAnsi="Arial" w:cs="Arial"/>
          <w:lang w:val="en-US"/>
        </w:rPr>
        <w:t>Cooper W. W., Hemphill H., Huang Z., Li S., Lelas V., Sullivan D. W. Survey of Mathematical Programming Models in Air Pollution Management. European Journal of</w:t>
      </w:r>
    </w:p>
    <w:p w:rsidR="00212B85" w:rsidRDefault="00212B85" w:rsidP="00212B85">
      <w:pPr>
        <w:ind w:firstLine="708"/>
        <w:jc w:val="both"/>
        <w:rPr>
          <w:rFonts w:ascii="Arial" w:hAnsi="Arial" w:cs="Arial"/>
          <w:lang w:val="en-US"/>
        </w:rPr>
      </w:pPr>
      <w:r w:rsidRPr="00236A64">
        <w:rPr>
          <w:rFonts w:ascii="Arial" w:hAnsi="Arial" w:cs="Arial"/>
          <w:lang w:val="en-US"/>
        </w:rPr>
        <w:t>Operational Research, 96(1), 1-35 (1996).</w:t>
      </w:r>
    </w:p>
    <w:p w:rsidR="00212B85" w:rsidRPr="00236A64" w:rsidRDefault="00212B85" w:rsidP="00257D10">
      <w:pPr>
        <w:numPr>
          <w:ilvl w:val="0"/>
          <w:numId w:val="19"/>
        </w:numPr>
        <w:suppressAutoHyphens/>
        <w:spacing w:after="0" w:line="240" w:lineRule="auto"/>
        <w:jc w:val="both"/>
        <w:rPr>
          <w:rFonts w:ascii="Arial" w:hAnsi="Arial" w:cs="Arial"/>
          <w:lang w:val="en-US"/>
        </w:rPr>
      </w:pPr>
      <w:r w:rsidRPr="00236A64">
        <w:rPr>
          <w:rFonts w:ascii="Arial" w:hAnsi="Arial" w:cs="Arial"/>
          <w:lang w:val="es-MX"/>
        </w:rPr>
        <w:t xml:space="preserve">Parra-Guevara, D., Yu. N. Skiba and D. Peña-Maciel. </w:t>
      </w:r>
      <w:r w:rsidRPr="00236A64">
        <w:rPr>
          <w:rFonts w:ascii="Arial" w:hAnsi="Arial" w:cs="Arial"/>
          <w:lang w:val="en-US"/>
        </w:rPr>
        <w:t>Controlling the Forcing of the Linear Transport Equation to Meet Air Quality Norms at Every Point. International Journal of Applied Mathematics, 30(6), 527-545 (2017).</w:t>
      </w:r>
    </w:p>
    <w:p w:rsidR="00212B85" w:rsidRPr="00236A64" w:rsidRDefault="00212B85" w:rsidP="00212B85">
      <w:pPr>
        <w:jc w:val="both"/>
        <w:rPr>
          <w:rFonts w:ascii="Arial" w:hAnsi="Arial" w:cs="Arial"/>
          <w:lang w:val="en-US"/>
        </w:rPr>
      </w:pPr>
    </w:p>
    <w:p w:rsidR="00212B85" w:rsidRDefault="00212B85" w:rsidP="00257D10">
      <w:pPr>
        <w:numPr>
          <w:ilvl w:val="0"/>
          <w:numId w:val="19"/>
        </w:numPr>
        <w:suppressAutoHyphens/>
        <w:spacing w:after="0" w:line="240" w:lineRule="auto"/>
        <w:jc w:val="both"/>
        <w:rPr>
          <w:rFonts w:ascii="Arial" w:hAnsi="Arial" w:cs="Arial"/>
          <w:lang w:val="en-US"/>
        </w:rPr>
      </w:pPr>
      <w:r w:rsidRPr="00236A64">
        <w:rPr>
          <w:rFonts w:ascii="Arial" w:hAnsi="Arial" w:cs="Arial"/>
          <w:lang w:val="en-US"/>
        </w:rPr>
        <w:t>Flagan R. C., Seinfeld J. H. Fundamentals of Air Pollution Engineering, Prentice-Hall (1988).</w:t>
      </w:r>
    </w:p>
    <w:p w:rsidR="00212B85" w:rsidRDefault="00212B85" w:rsidP="00212B85">
      <w:pPr>
        <w:pStyle w:val="Prrafodelista"/>
        <w:rPr>
          <w:rFonts w:ascii="Arial" w:hAnsi="Arial" w:cs="Arial"/>
          <w:lang w:val="en-US"/>
        </w:rPr>
      </w:pPr>
    </w:p>
    <w:p w:rsidR="00212B85" w:rsidRPr="00E661D7" w:rsidRDefault="00212B85" w:rsidP="00257D10">
      <w:pPr>
        <w:numPr>
          <w:ilvl w:val="0"/>
          <w:numId w:val="19"/>
        </w:numPr>
        <w:suppressAutoHyphens/>
        <w:spacing w:after="0" w:line="240" w:lineRule="auto"/>
        <w:jc w:val="both"/>
        <w:rPr>
          <w:rFonts w:ascii="Arial" w:hAnsi="Arial" w:cs="Arial"/>
          <w:lang w:val="en-US"/>
        </w:rPr>
      </w:pPr>
      <w:r w:rsidRPr="00E661D7">
        <w:rPr>
          <w:rFonts w:ascii="Arial" w:hAnsi="Arial" w:cs="Arial"/>
          <w:lang w:val="en-US"/>
        </w:rPr>
        <w:t>Mattson, T. G., Sanders, B. A., Massingill, B. L. Patterns for Parallel Programming. Software Patterns Series. Addison-Wesley (2005).</w:t>
      </w:r>
    </w:p>
    <w:p w:rsidR="00212B85" w:rsidRPr="00236A64" w:rsidRDefault="00212B85" w:rsidP="00212B85">
      <w:pPr>
        <w:pStyle w:val="Prrafodelista"/>
        <w:rPr>
          <w:rFonts w:ascii="Arial" w:hAnsi="Arial" w:cs="Arial"/>
          <w:lang w:val="en-US"/>
        </w:rPr>
      </w:pPr>
    </w:p>
    <w:p w:rsidR="00212B85" w:rsidRPr="00236A64" w:rsidRDefault="00212B85" w:rsidP="00257D10">
      <w:pPr>
        <w:numPr>
          <w:ilvl w:val="0"/>
          <w:numId w:val="19"/>
        </w:numPr>
        <w:suppressAutoHyphens/>
        <w:spacing w:after="0" w:line="240" w:lineRule="auto"/>
        <w:jc w:val="both"/>
        <w:rPr>
          <w:rFonts w:ascii="Arial" w:hAnsi="Arial" w:cs="Arial"/>
          <w:lang w:val="en-US"/>
        </w:rPr>
      </w:pPr>
      <w:r w:rsidRPr="00236A64">
        <w:rPr>
          <w:rFonts w:ascii="Arial" w:hAnsi="Arial" w:cs="Arial"/>
          <w:lang w:val="en-US"/>
        </w:rPr>
        <w:t>Parra-Guevara D., Skiba Y. N. Quadratic Programming Formulation for Controlling the Emissions of Air Pollution Point Sources. In: Horizons in Computer Science Research (T. S. Clary Editor), Vol. 14. Nova Science Publishers, Inc., NY, USA. 207-248 (2017).</w:t>
      </w:r>
    </w:p>
    <w:p w:rsidR="00212B85" w:rsidRPr="00236A64" w:rsidRDefault="00212B85" w:rsidP="00212B85">
      <w:pPr>
        <w:jc w:val="both"/>
        <w:rPr>
          <w:rFonts w:ascii="Arial" w:hAnsi="Arial" w:cs="Arial"/>
          <w:lang w:val="en-US"/>
        </w:rPr>
      </w:pPr>
    </w:p>
    <w:p w:rsidR="00212B85" w:rsidRPr="00236A64" w:rsidRDefault="00212B85" w:rsidP="00257D10">
      <w:pPr>
        <w:numPr>
          <w:ilvl w:val="0"/>
          <w:numId w:val="19"/>
        </w:numPr>
        <w:suppressAutoHyphens/>
        <w:spacing w:after="0" w:line="240" w:lineRule="auto"/>
        <w:jc w:val="both"/>
        <w:rPr>
          <w:rFonts w:ascii="Arial" w:hAnsi="Arial" w:cs="Arial"/>
          <w:lang w:val="en-US"/>
        </w:rPr>
      </w:pPr>
      <w:r w:rsidRPr="00236A64">
        <w:rPr>
          <w:rFonts w:ascii="Arial" w:hAnsi="Arial" w:cs="Arial"/>
          <w:lang w:val="en-US"/>
        </w:rPr>
        <w:t>Luenberger D. G. Linear and Nonlinear Programming. Addison-Wesley, Mass. (1984).</w:t>
      </w:r>
    </w:p>
    <w:p w:rsidR="00212B85" w:rsidRPr="00236A64" w:rsidRDefault="00212B85" w:rsidP="00212B85">
      <w:pPr>
        <w:pStyle w:val="Prrafodelista"/>
        <w:rPr>
          <w:rFonts w:ascii="Arial" w:hAnsi="Arial" w:cs="Arial"/>
          <w:lang w:val="en-US"/>
        </w:rPr>
      </w:pPr>
    </w:p>
    <w:p w:rsidR="00212B85" w:rsidRPr="00496FE2" w:rsidRDefault="00212B85" w:rsidP="00257D10">
      <w:pPr>
        <w:numPr>
          <w:ilvl w:val="0"/>
          <w:numId w:val="19"/>
        </w:numPr>
        <w:suppressAutoHyphens/>
        <w:spacing w:after="0" w:line="240" w:lineRule="auto"/>
        <w:jc w:val="both"/>
        <w:rPr>
          <w:rFonts w:ascii="Arial" w:hAnsi="Arial" w:cs="Arial"/>
          <w:lang w:val="en-US"/>
        </w:rPr>
      </w:pPr>
      <w:r w:rsidRPr="00975E94">
        <w:rPr>
          <w:rFonts w:ascii="Arial" w:hAnsi="Arial" w:cs="Arial"/>
          <w:lang w:val="en-US"/>
        </w:rPr>
        <w:t>Goldfarb D., Idnani A. A numerically stable dual method for solving strictly convex quadratic programs. Mathematical Programming, 27, 1-33 (1982).</w:t>
      </w:r>
    </w:p>
    <w:p w:rsidR="00212B85" w:rsidRDefault="00212B85" w:rsidP="00212B85">
      <w:pPr>
        <w:pStyle w:val="Prrafodelista"/>
        <w:rPr>
          <w:rFonts w:ascii="Arial" w:hAnsi="Arial" w:cs="Arial"/>
          <w:color w:val="FF0000"/>
          <w:lang w:val="en-US"/>
        </w:rPr>
      </w:pPr>
    </w:p>
    <w:p w:rsidR="00212B85" w:rsidRPr="00496FE2" w:rsidRDefault="00212B85" w:rsidP="00257D10">
      <w:pPr>
        <w:numPr>
          <w:ilvl w:val="0"/>
          <w:numId w:val="19"/>
        </w:numPr>
        <w:suppressAutoHyphens/>
        <w:spacing w:after="0" w:line="240" w:lineRule="auto"/>
        <w:jc w:val="both"/>
        <w:rPr>
          <w:rFonts w:ascii="Arial" w:hAnsi="Arial" w:cs="Arial"/>
          <w:lang w:val="es-MX"/>
        </w:rPr>
      </w:pPr>
      <w:r w:rsidRPr="00225A5F">
        <w:rPr>
          <w:rFonts w:ascii="Arial" w:hAnsi="Arial" w:cs="Arial"/>
          <w:lang w:val="es-MX"/>
        </w:rPr>
        <w:t>Centro​ ​de​ ​Ciencias​ ​de​ ​la​ ​Atmósfera, Universidad​ ​Nacional​ ​Autónoma​ ​de​ ​México. Desarrollo​ ​de​ ​un​ ​sistema​ ​de​ ​pronóstico​ ​operacional​ ​de​ ​eventos extremos​ ​basado​ ​en​ ​modelos​ ​numéricos​ ​de​ ​predicción​ ​de​ ​las condiciones​ ​meteorológicas,​ ​de​ ​oleaje​ ​y​ ​marea​ ​de​ ​tormenta, incluyendo​ ​la​ ​evaluación​ ​del​ ​desempeño​ ​de​ ​los​ ​modelos​ ​y​ ​la determinación​ ​de​ ​incertidumbres,​ ​con​ ​fines​ ​de​ ​alertamiento (2017). Recuperado 16/Abril/2020:</w:t>
      </w:r>
      <w:r>
        <w:rPr>
          <w:rFonts w:ascii="Arial" w:hAnsi="Arial" w:cs="Arial"/>
          <w:lang w:val="es-MX"/>
        </w:rPr>
        <w:t xml:space="preserve"> </w:t>
      </w:r>
      <w:r w:rsidRPr="00225A5F">
        <w:rPr>
          <w:rFonts w:ascii="Arial" w:hAnsi="Arial" w:cs="Arial"/>
          <w:lang w:val="es-MX"/>
        </w:rPr>
        <w:t>http://www1.cenapred.unam.mx/SUBCUENTA/19a%20SESI%C3%93N%20ORDINARIA/IX.%20Desarrollo%20de%20un%20sistema%20de%20pron%C3%B3stico.pdf</w:t>
      </w:r>
    </w:p>
    <w:p w:rsidR="00212B85" w:rsidRPr="00496FE2" w:rsidRDefault="00212B85" w:rsidP="00212B85">
      <w:pPr>
        <w:pStyle w:val="Prrafodelista"/>
        <w:rPr>
          <w:rFonts w:ascii="Arial" w:hAnsi="Arial" w:cs="Arial"/>
          <w:color w:val="FF0000"/>
          <w:lang w:val="es-MX"/>
        </w:rPr>
      </w:pPr>
    </w:p>
    <w:p w:rsidR="00212B85" w:rsidRDefault="00212B85" w:rsidP="00257D10">
      <w:pPr>
        <w:numPr>
          <w:ilvl w:val="0"/>
          <w:numId w:val="19"/>
        </w:numPr>
        <w:suppressAutoHyphens/>
        <w:spacing w:after="0" w:line="240" w:lineRule="auto"/>
        <w:jc w:val="both"/>
        <w:rPr>
          <w:rFonts w:ascii="Arial" w:hAnsi="Arial" w:cs="Arial"/>
          <w:lang w:val="es-MX"/>
        </w:rPr>
      </w:pPr>
      <w:r w:rsidRPr="00E661D7">
        <w:rPr>
          <w:rFonts w:ascii="Arial" w:hAnsi="Arial" w:cs="Arial"/>
          <w:lang w:val="es-MX"/>
        </w:rPr>
        <w:t>Oropeza-Alfaro Pavel, Cruz-Santiago Pedro, Herrera-Moro Dulce, Zavala-Hidalgo Jorge y García Agustín. Implementación del clúster Ometeotl en el CCA-UNAM. Boletín informativo de la Unión Geofísica Mexicana, A. C., Geos, Vol. 38, No. 1, Noviembre,</w:t>
      </w:r>
      <w:r>
        <w:rPr>
          <w:rFonts w:ascii="Arial" w:hAnsi="Arial" w:cs="Arial"/>
          <w:lang w:val="es-MX"/>
        </w:rPr>
        <w:t xml:space="preserve"> </w:t>
      </w:r>
      <w:r w:rsidRPr="00E661D7">
        <w:rPr>
          <w:rFonts w:ascii="Arial" w:hAnsi="Arial" w:cs="Arial"/>
          <w:lang w:val="es-MX"/>
        </w:rPr>
        <w:t>2018 (pp. 230). Recuperado</w:t>
      </w:r>
      <w:r>
        <w:rPr>
          <w:rFonts w:ascii="Arial" w:hAnsi="Arial" w:cs="Arial"/>
          <w:lang w:val="es-MX"/>
        </w:rPr>
        <w:t xml:space="preserve"> </w:t>
      </w:r>
      <w:r w:rsidRPr="00225A5F">
        <w:rPr>
          <w:rFonts w:ascii="Arial" w:hAnsi="Arial" w:cs="Arial"/>
          <w:lang w:val="es-MX"/>
        </w:rPr>
        <w:t>16</w:t>
      </w:r>
      <w:r w:rsidRPr="00E661D7">
        <w:rPr>
          <w:rFonts w:ascii="Arial" w:hAnsi="Arial" w:cs="Arial"/>
          <w:lang w:val="es-MX"/>
        </w:rPr>
        <w:t xml:space="preserve">/Abril/2020: </w:t>
      </w:r>
    </w:p>
    <w:p w:rsidR="00212B85" w:rsidRDefault="00212B85" w:rsidP="00212B85">
      <w:pPr>
        <w:jc w:val="both"/>
        <w:rPr>
          <w:rFonts w:ascii="Arial" w:hAnsi="Arial" w:cs="Arial"/>
          <w:lang w:val="es-MX"/>
        </w:rPr>
      </w:pPr>
      <w:r>
        <w:rPr>
          <w:rFonts w:ascii="Arial" w:hAnsi="Arial" w:cs="Arial"/>
          <w:lang w:val="es-MX"/>
        </w:rPr>
        <w:t xml:space="preserve">           </w:t>
      </w:r>
      <w:r w:rsidRPr="00E661D7">
        <w:rPr>
          <w:rFonts w:ascii="Arial" w:hAnsi="Arial" w:cs="Arial"/>
          <w:lang w:val="es-MX"/>
        </w:rPr>
        <w:t>https://www.raugm.org.mx/2018/docs/geos/geos38-1.pdf</w:t>
      </w:r>
    </w:p>
    <w:p w:rsidR="00811E7D" w:rsidRPr="00811E7D" w:rsidRDefault="00811E7D" w:rsidP="00AE0459">
      <w:pPr>
        <w:pStyle w:val="Reference"/>
        <w:numPr>
          <w:ilvl w:val="0"/>
          <w:numId w:val="0"/>
        </w:numPr>
        <w:snapToGrid w:val="0"/>
        <w:spacing w:line="264" w:lineRule="auto"/>
        <w:ind w:left="420" w:hanging="420"/>
        <w:rPr>
          <w:rFonts w:ascii="Arial" w:hAnsi="Arial" w:cs="Arial"/>
          <w:sz w:val="24"/>
          <w:szCs w:val="24"/>
          <w:lang w:val="es-MX"/>
        </w:rPr>
      </w:pPr>
    </w:p>
    <w:p w:rsidR="00811E7D" w:rsidRPr="00811E7D" w:rsidRDefault="00811E7D" w:rsidP="00AE0459">
      <w:pPr>
        <w:pStyle w:val="Reference"/>
        <w:numPr>
          <w:ilvl w:val="0"/>
          <w:numId w:val="0"/>
        </w:numPr>
        <w:snapToGrid w:val="0"/>
        <w:spacing w:line="264" w:lineRule="auto"/>
        <w:ind w:left="420" w:hanging="420"/>
        <w:rPr>
          <w:rFonts w:ascii="Arial" w:hAnsi="Arial" w:cs="Arial"/>
          <w:sz w:val="24"/>
          <w:szCs w:val="24"/>
          <w:lang w:val="es-MX"/>
        </w:rPr>
      </w:pPr>
    </w:p>
    <w:p w:rsidR="001B1A13" w:rsidRPr="001B1A13" w:rsidRDefault="001B1A13" w:rsidP="001B1A13">
      <w:pPr>
        <w:pStyle w:val="1Titulo"/>
        <w:numPr>
          <w:ilvl w:val="0"/>
          <w:numId w:val="0"/>
        </w:numPr>
        <w:ind w:left="357"/>
        <w:jc w:val="center"/>
        <w:rPr>
          <w:sz w:val="28"/>
          <w:szCs w:val="28"/>
        </w:rPr>
      </w:pPr>
      <w:bookmarkStart w:id="26" w:name="_Toc50031159"/>
      <w:r w:rsidRPr="001B1A13">
        <w:rPr>
          <w:sz w:val="28"/>
          <w:szCs w:val="28"/>
        </w:rPr>
        <w:lastRenderedPageBreak/>
        <w:t>Estimación de Características de Materiales Utilizando Energía Electromagnética</w:t>
      </w:r>
      <w:bookmarkEnd w:id="26"/>
    </w:p>
    <w:p w:rsidR="001B1A13" w:rsidRDefault="001B1A13" w:rsidP="001B1A13">
      <w:pPr>
        <w:jc w:val="center"/>
        <w:rPr>
          <w:rFonts w:ascii="Arial" w:hAnsi="Arial" w:cs="Arial"/>
          <w:bCs/>
          <w:sz w:val="24"/>
          <w:szCs w:val="24"/>
        </w:rPr>
      </w:pPr>
      <w:r w:rsidRPr="00405E2B">
        <w:rPr>
          <w:rFonts w:ascii="Arial" w:hAnsi="Arial" w:cs="Arial"/>
          <w:bCs/>
          <w:sz w:val="24"/>
          <w:szCs w:val="24"/>
          <w:u w:val="single"/>
        </w:rPr>
        <w:t>Calva G</w:t>
      </w:r>
      <w:r w:rsidRPr="00405E2B">
        <w:rPr>
          <w:rFonts w:ascii="Arial" w:hAnsi="Arial" w:cs="Arial"/>
          <w:bCs/>
          <w:sz w:val="24"/>
          <w:szCs w:val="24"/>
          <w:vertAlign w:val="superscript"/>
        </w:rPr>
        <w:t>1</w:t>
      </w:r>
      <w:r w:rsidRPr="00405E2B">
        <w:rPr>
          <w:rFonts w:ascii="Arial" w:hAnsi="Arial" w:cs="Arial"/>
          <w:bCs/>
          <w:sz w:val="24"/>
          <w:szCs w:val="24"/>
        </w:rPr>
        <w:t>, Herrera A</w:t>
      </w:r>
      <w:r w:rsidRPr="00405E2B">
        <w:rPr>
          <w:rFonts w:ascii="Arial" w:hAnsi="Arial" w:cs="Arial"/>
          <w:bCs/>
          <w:sz w:val="24"/>
          <w:szCs w:val="24"/>
          <w:vertAlign w:val="superscript"/>
        </w:rPr>
        <w:t>1</w:t>
      </w:r>
      <w:r w:rsidRPr="00405E2B">
        <w:rPr>
          <w:rFonts w:ascii="Arial" w:hAnsi="Arial" w:cs="Arial"/>
          <w:bCs/>
          <w:sz w:val="24"/>
          <w:szCs w:val="24"/>
        </w:rPr>
        <w:t>, Prieto R</w:t>
      </w:r>
      <w:r w:rsidRPr="00405E2B">
        <w:rPr>
          <w:rFonts w:ascii="Arial" w:hAnsi="Arial" w:cs="Arial"/>
          <w:bCs/>
          <w:sz w:val="24"/>
          <w:szCs w:val="24"/>
          <w:vertAlign w:val="superscript"/>
        </w:rPr>
        <w:t>1</w:t>
      </w:r>
      <w:r w:rsidRPr="00405E2B">
        <w:rPr>
          <w:rFonts w:ascii="Arial" w:hAnsi="Arial" w:cs="Arial"/>
          <w:bCs/>
          <w:sz w:val="24"/>
          <w:szCs w:val="24"/>
        </w:rPr>
        <w:t>, Padrón A</w:t>
      </w:r>
      <w:r w:rsidRPr="00405E2B">
        <w:rPr>
          <w:rFonts w:ascii="Arial" w:hAnsi="Arial" w:cs="Arial"/>
          <w:bCs/>
          <w:sz w:val="24"/>
          <w:szCs w:val="24"/>
          <w:vertAlign w:val="superscript"/>
        </w:rPr>
        <w:t>1</w:t>
      </w:r>
      <w:r>
        <w:rPr>
          <w:rFonts w:ascii="Arial" w:hAnsi="Arial" w:cs="Arial"/>
          <w:bCs/>
          <w:sz w:val="24"/>
          <w:szCs w:val="24"/>
          <w:vertAlign w:val="superscript"/>
        </w:rPr>
        <w:t>,</w:t>
      </w:r>
      <w:r w:rsidRPr="00405E2B">
        <w:rPr>
          <w:rFonts w:ascii="Arial" w:hAnsi="Arial" w:cs="Arial"/>
          <w:bCs/>
          <w:sz w:val="24"/>
          <w:szCs w:val="24"/>
        </w:rPr>
        <w:t xml:space="preserve"> Pacchiano M</w:t>
      </w:r>
      <w:r w:rsidRPr="00405E2B">
        <w:rPr>
          <w:rFonts w:ascii="Arial" w:hAnsi="Arial" w:cs="Arial"/>
          <w:bCs/>
          <w:sz w:val="24"/>
          <w:szCs w:val="24"/>
          <w:vertAlign w:val="superscript"/>
        </w:rPr>
        <w:t>2</w:t>
      </w:r>
      <w:r w:rsidRPr="00405E2B">
        <w:rPr>
          <w:rFonts w:ascii="Arial" w:hAnsi="Arial" w:cs="Arial"/>
          <w:bCs/>
          <w:sz w:val="24"/>
          <w:szCs w:val="24"/>
        </w:rPr>
        <w:t xml:space="preserve"> </w:t>
      </w:r>
    </w:p>
    <w:p w:rsidR="001B1A13" w:rsidRDefault="001B1A13" w:rsidP="001B1A13">
      <w:pPr>
        <w:contextualSpacing/>
        <w:jc w:val="center"/>
        <w:rPr>
          <w:rFonts w:ascii="Arial" w:hAnsi="Arial" w:cs="Arial"/>
          <w:bCs/>
          <w:sz w:val="24"/>
          <w:szCs w:val="24"/>
        </w:rPr>
      </w:pPr>
      <w:r w:rsidRPr="00405E2B">
        <w:rPr>
          <w:rFonts w:ascii="Arial" w:hAnsi="Arial" w:cs="Arial"/>
          <w:bCs/>
          <w:sz w:val="24"/>
          <w:szCs w:val="24"/>
          <w:vertAlign w:val="superscript"/>
        </w:rPr>
        <w:t>1</w:t>
      </w:r>
      <w:r>
        <w:rPr>
          <w:rFonts w:ascii="Arial" w:hAnsi="Arial" w:cs="Arial"/>
          <w:bCs/>
          <w:sz w:val="24"/>
          <w:szCs w:val="24"/>
        </w:rPr>
        <w:t>Grupo de Modelado y Simulación de Procesos. Instituto de Ciencias Aplicadas y Tecnología. UNAM. Circuito Exterior. Ciudad Universitaria. Apdo. postal 70-186, Coyoacán. 04510. Ciudad de México. México. Tel. (01-55) 56228602. Ext. 1303</w:t>
      </w:r>
    </w:p>
    <w:p w:rsidR="001B1A13" w:rsidRDefault="001B1A13" w:rsidP="001B1A13">
      <w:pPr>
        <w:contextualSpacing/>
        <w:jc w:val="center"/>
        <w:rPr>
          <w:rFonts w:ascii="Arial" w:hAnsi="Arial" w:cs="Arial"/>
          <w:bCs/>
          <w:sz w:val="24"/>
          <w:szCs w:val="24"/>
        </w:rPr>
      </w:pPr>
      <w:r w:rsidRPr="00405E2B">
        <w:rPr>
          <w:rFonts w:ascii="Arial" w:hAnsi="Arial" w:cs="Arial"/>
          <w:bCs/>
          <w:sz w:val="24"/>
          <w:szCs w:val="24"/>
          <w:vertAlign w:val="superscript"/>
        </w:rPr>
        <w:t>2</w:t>
      </w:r>
      <w:r>
        <w:rPr>
          <w:rFonts w:ascii="Arial" w:hAnsi="Arial" w:cs="Arial"/>
          <w:bCs/>
          <w:sz w:val="24"/>
          <w:szCs w:val="24"/>
        </w:rPr>
        <w:t>Universidad Anáhuac del Sur. Av de las Torres 131, Torres de Potrero, 01780. Ciudad de México. México.</w:t>
      </w:r>
    </w:p>
    <w:p w:rsidR="001B1A13" w:rsidRPr="00405E2B" w:rsidRDefault="001B1A13" w:rsidP="001B1A13">
      <w:pPr>
        <w:contextualSpacing/>
        <w:jc w:val="center"/>
        <w:rPr>
          <w:rFonts w:ascii="Arial" w:hAnsi="Arial" w:cs="Arial"/>
          <w:bCs/>
          <w:sz w:val="24"/>
          <w:szCs w:val="24"/>
        </w:rPr>
      </w:pPr>
      <w:r>
        <w:rPr>
          <w:rFonts w:ascii="Arial" w:hAnsi="Arial" w:cs="Arial"/>
          <w:bCs/>
          <w:sz w:val="24"/>
          <w:szCs w:val="24"/>
        </w:rPr>
        <w:t xml:space="preserve">e-mail: </w:t>
      </w:r>
      <w:hyperlink r:id="rId97" w:history="1">
        <w:r w:rsidRPr="00E02935">
          <w:rPr>
            <w:rStyle w:val="Hipervnculo"/>
            <w:rFonts w:ascii="Arial" w:hAnsi="Arial" w:cs="Arial"/>
            <w:bCs/>
            <w:sz w:val="24"/>
            <w:szCs w:val="24"/>
          </w:rPr>
          <w:t>gerardo.calva@icat.unam.mx</w:t>
        </w:r>
      </w:hyperlink>
      <w:r>
        <w:rPr>
          <w:rFonts w:ascii="Arial" w:hAnsi="Arial" w:cs="Arial"/>
          <w:bCs/>
          <w:sz w:val="24"/>
          <w:szCs w:val="24"/>
        </w:rPr>
        <w:t xml:space="preserve">; </w:t>
      </w:r>
      <w:hyperlink r:id="rId98" w:history="1">
        <w:r w:rsidRPr="00E02935">
          <w:rPr>
            <w:rStyle w:val="Hipervnculo"/>
            <w:rFonts w:ascii="Arial" w:hAnsi="Arial" w:cs="Arial"/>
            <w:bCs/>
            <w:sz w:val="24"/>
            <w:szCs w:val="24"/>
          </w:rPr>
          <w:t>alberto.herrera@icat.unam.mx</w:t>
        </w:r>
      </w:hyperlink>
      <w:r>
        <w:rPr>
          <w:rFonts w:ascii="Arial" w:hAnsi="Arial" w:cs="Arial"/>
          <w:bCs/>
          <w:sz w:val="24"/>
          <w:szCs w:val="24"/>
        </w:rPr>
        <w:t xml:space="preserve">; </w:t>
      </w:r>
      <w:hyperlink r:id="rId99" w:history="1">
        <w:r w:rsidRPr="00E02935">
          <w:rPr>
            <w:rStyle w:val="Hipervnculo"/>
            <w:rFonts w:ascii="Arial" w:hAnsi="Arial" w:cs="Arial"/>
            <w:bCs/>
            <w:sz w:val="24"/>
            <w:szCs w:val="24"/>
          </w:rPr>
          <w:t>rafael.prieto@icat.unam.mx</w:t>
        </w:r>
      </w:hyperlink>
      <w:r>
        <w:rPr>
          <w:rFonts w:ascii="Arial" w:hAnsi="Arial" w:cs="Arial"/>
          <w:bCs/>
          <w:sz w:val="24"/>
          <w:szCs w:val="24"/>
        </w:rPr>
        <w:t xml:space="preserve">; </w:t>
      </w:r>
      <w:hyperlink r:id="rId100" w:history="1">
        <w:r w:rsidRPr="00E02935">
          <w:rPr>
            <w:rStyle w:val="Hipervnculo"/>
            <w:rFonts w:ascii="Arial" w:hAnsi="Arial" w:cs="Arial"/>
            <w:bCs/>
            <w:sz w:val="24"/>
            <w:szCs w:val="24"/>
          </w:rPr>
          <w:t>alejandro.padron@icat.unam.mx</w:t>
        </w:r>
      </w:hyperlink>
      <w:r>
        <w:rPr>
          <w:rFonts w:ascii="Arial" w:hAnsi="Arial" w:cs="Arial"/>
          <w:bCs/>
          <w:sz w:val="24"/>
          <w:szCs w:val="24"/>
        </w:rPr>
        <w:t xml:space="preserve">; </w:t>
      </w:r>
      <w:hyperlink r:id="rId101" w:history="1">
        <w:r w:rsidRPr="00E02935">
          <w:rPr>
            <w:rStyle w:val="Hipervnculo"/>
            <w:rFonts w:ascii="Arial" w:hAnsi="Arial" w:cs="Arial"/>
            <w:bCs/>
            <w:sz w:val="24"/>
            <w:szCs w:val="24"/>
          </w:rPr>
          <w:t>mpg01@yahoo.com</w:t>
        </w:r>
      </w:hyperlink>
      <w:r>
        <w:rPr>
          <w:rFonts w:ascii="Arial" w:hAnsi="Arial" w:cs="Arial"/>
          <w:bCs/>
          <w:sz w:val="24"/>
          <w:szCs w:val="24"/>
        </w:rPr>
        <w:t xml:space="preserve"> </w:t>
      </w:r>
    </w:p>
    <w:p w:rsidR="001B1A13" w:rsidRDefault="001B1A13" w:rsidP="001B1A13">
      <w:pPr>
        <w:spacing w:line="360" w:lineRule="auto"/>
        <w:contextualSpacing/>
        <w:jc w:val="both"/>
        <w:rPr>
          <w:rFonts w:ascii="Arial" w:hAnsi="Arial" w:cs="Arial"/>
          <w:b/>
          <w:color w:val="000000"/>
          <w:sz w:val="24"/>
          <w:szCs w:val="24"/>
        </w:rPr>
      </w:pPr>
    </w:p>
    <w:p w:rsidR="001B1A13" w:rsidRDefault="001B1A13" w:rsidP="00257D10">
      <w:pPr>
        <w:pStyle w:val="1Titulo"/>
        <w:numPr>
          <w:ilvl w:val="0"/>
          <w:numId w:val="20"/>
        </w:numPr>
      </w:pPr>
      <w:bookmarkStart w:id="27" w:name="_Toc50031160"/>
      <w:r w:rsidRPr="003D5A11">
        <w:t>Resumen</w:t>
      </w:r>
      <w:bookmarkEnd w:id="27"/>
    </w:p>
    <w:p w:rsidR="001B1A13" w:rsidRDefault="001B1A13" w:rsidP="001B1A13">
      <w:pPr>
        <w:spacing w:line="240" w:lineRule="auto"/>
        <w:ind w:firstLine="708"/>
        <w:contextualSpacing/>
        <w:jc w:val="both"/>
        <w:rPr>
          <w:rFonts w:ascii="Arial" w:hAnsi="Arial" w:cs="Arial"/>
          <w:bCs/>
          <w:color w:val="000000"/>
          <w:sz w:val="24"/>
          <w:szCs w:val="24"/>
        </w:rPr>
      </w:pPr>
      <w:r w:rsidRPr="008F423A">
        <w:rPr>
          <w:rFonts w:ascii="Arial" w:hAnsi="Arial" w:cs="Arial"/>
          <w:bCs/>
          <w:color w:val="000000"/>
          <w:sz w:val="24"/>
          <w:szCs w:val="24"/>
        </w:rPr>
        <w:t xml:space="preserve">En este trabajo se presentan los resultados de aplicar dos tipos de pruebas sobre materiales granulados </w:t>
      </w:r>
      <w:r>
        <w:rPr>
          <w:rFonts w:ascii="Arial" w:hAnsi="Arial" w:cs="Arial"/>
          <w:bCs/>
          <w:color w:val="000000"/>
          <w:sz w:val="24"/>
          <w:szCs w:val="24"/>
        </w:rPr>
        <w:t xml:space="preserve">puestos entre dos portaobjetos el espacio para el material es de 1mm de espesor; se </w:t>
      </w:r>
      <w:r w:rsidRPr="008F423A">
        <w:rPr>
          <w:rFonts w:ascii="Arial" w:hAnsi="Arial" w:cs="Arial"/>
          <w:bCs/>
          <w:color w:val="000000"/>
          <w:sz w:val="24"/>
          <w:szCs w:val="24"/>
        </w:rPr>
        <w:t>utiliza energía electromagnética a 3.1 cm de longitud de onda con una potencia que no excede los 47mW. Cada prueba genera datos suficientes para obtener la Transmitancia; absorbencia; SWR y coeficiente de reflexión</w:t>
      </w:r>
      <w:r>
        <w:rPr>
          <w:rFonts w:ascii="Arial" w:hAnsi="Arial" w:cs="Arial"/>
          <w:bCs/>
          <w:color w:val="000000"/>
          <w:sz w:val="24"/>
          <w:szCs w:val="24"/>
        </w:rPr>
        <w:t xml:space="preserve"> del material bajo prueba</w:t>
      </w:r>
      <w:r w:rsidRPr="008F423A">
        <w:rPr>
          <w:rFonts w:ascii="Arial" w:hAnsi="Arial" w:cs="Arial"/>
          <w:bCs/>
          <w:color w:val="000000"/>
          <w:sz w:val="24"/>
          <w:szCs w:val="24"/>
        </w:rPr>
        <w:t>.</w:t>
      </w:r>
      <w:r>
        <w:rPr>
          <w:rFonts w:ascii="Arial" w:hAnsi="Arial" w:cs="Arial"/>
          <w:bCs/>
          <w:color w:val="000000"/>
          <w:sz w:val="24"/>
          <w:szCs w:val="24"/>
        </w:rPr>
        <w:t xml:space="preserve"> Se establece que es posible analizar materiales utilizando energía electromagnética a esta longitud de onda y potencia; abre la posibilidad para una caracterización de materiales utilizando técnicas no destructivas como la aquí utilizada. Se hace énfasis en que se utiliza una longitud de onda en específico para las pruebas, por lo que, cualquier prueba que se haga sobre material similar al aquí utilizado, a una longitud de onda diferente, no necesariamente se obtendrán los mismos valores.</w:t>
      </w:r>
    </w:p>
    <w:p w:rsidR="001B1A13" w:rsidRPr="008F423A" w:rsidRDefault="001B1A13" w:rsidP="001B1A13">
      <w:pPr>
        <w:spacing w:line="240" w:lineRule="auto"/>
        <w:contextualSpacing/>
        <w:jc w:val="both"/>
        <w:rPr>
          <w:rFonts w:ascii="Arial" w:hAnsi="Arial" w:cs="Arial"/>
          <w:bCs/>
          <w:color w:val="000000"/>
          <w:sz w:val="24"/>
          <w:szCs w:val="24"/>
        </w:rPr>
      </w:pPr>
    </w:p>
    <w:p w:rsidR="001B1A13" w:rsidRPr="00996A3E" w:rsidRDefault="001B1A13" w:rsidP="00257D10">
      <w:pPr>
        <w:pStyle w:val="1Titulo"/>
        <w:numPr>
          <w:ilvl w:val="0"/>
          <w:numId w:val="20"/>
        </w:numPr>
      </w:pPr>
      <w:bookmarkStart w:id="28" w:name="_Toc50031161"/>
      <w:r w:rsidRPr="00996A3E">
        <w:t>Introducción</w:t>
      </w:r>
      <w:bookmarkEnd w:id="28"/>
    </w:p>
    <w:p w:rsidR="001B1A13" w:rsidRPr="004C7C55" w:rsidRDefault="001B1A13" w:rsidP="001B1A13">
      <w:pPr>
        <w:ind w:firstLine="708"/>
        <w:jc w:val="both"/>
        <w:rPr>
          <w:rFonts w:ascii="Arial" w:hAnsi="Arial" w:cs="Arial"/>
          <w:sz w:val="24"/>
          <w:szCs w:val="24"/>
        </w:rPr>
      </w:pPr>
      <w:r>
        <w:rPr>
          <w:rFonts w:ascii="Arial" w:hAnsi="Arial" w:cs="Arial"/>
          <w:sz w:val="24"/>
          <w:szCs w:val="24"/>
        </w:rPr>
        <w:t>R</w:t>
      </w:r>
      <w:r w:rsidRPr="004C7C55">
        <w:rPr>
          <w:rFonts w:ascii="Arial" w:hAnsi="Arial" w:cs="Arial"/>
          <w:sz w:val="24"/>
          <w:szCs w:val="24"/>
        </w:rPr>
        <w:t>eflexión/refracción/absorción/dispersión</w:t>
      </w:r>
      <w:r>
        <w:rPr>
          <w:rFonts w:ascii="Arial" w:hAnsi="Arial" w:cs="Arial"/>
          <w:sz w:val="24"/>
          <w:szCs w:val="24"/>
        </w:rPr>
        <w:t>, son algunos de los términos con los que se puede llegar a caracterizar a un material. Cada material responde de cierta forma cuando es analizado, y esto dependerá del tipo de análisis que se le aplique. Cuando la intención es realizar un análisis utilizando tecnologías no destructivas por lo general se lanza energía sobre el material del que se desea saber sobre sus características. Lo que se busca es no alterar las características físicas de la muestra, por ello es por lo que se utiliza una cierta cantidad de energía electromagnética, para ser arrojada (aplicada) sobre la muestra, para luego recolectar parte de esa energía, la que ya interactuó con la muestra de material. En estos experimentos que se realizaron, se utilizó una señal con una longitud de onda de 3.1 cm con una potencia aproximada de 47mW.</w:t>
      </w:r>
    </w:p>
    <w:p w:rsidR="001B1A13" w:rsidRDefault="001B1A13" w:rsidP="001B1A13">
      <w:pPr>
        <w:ind w:firstLine="708"/>
        <w:jc w:val="both"/>
        <w:rPr>
          <w:rFonts w:ascii="Arial" w:hAnsi="Arial" w:cs="Arial"/>
          <w:sz w:val="24"/>
          <w:szCs w:val="24"/>
        </w:rPr>
      </w:pPr>
      <w:r w:rsidRPr="004C7C55">
        <w:rPr>
          <w:rFonts w:ascii="Arial" w:hAnsi="Arial" w:cs="Arial"/>
          <w:sz w:val="24"/>
          <w:szCs w:val="24"/>
        </w:rPr>
        <w:lastRenderedPageBreak/>
        <w:t xml:space="preserve">Cuando se aplica energía electromagnética sobre materiales se debe tener en consideración que esto puede dar cabida a fenómenos de </w:t>
      </w:r>
      <w:r>
        <w:rPr>
          <w:rFonts w:ascii="Arial" w:hAnsi="Arial" w:cs="Arial"/>
          <w:sz w:val="24"/>
          <w:szCs w:val="24"/>
        </w:rPr>
        <w:t xml:space="preserve">transmisión; </w:t>
      </w:r>
      <w:r w:rsidRPr="004C7C55">
        <w:rPr>
          <w:rFonts w:ascii="Arial" w:hAnsi="Arial" w:cs="Arial"/>
          <w:sz w:val="24"/>
          <w:szCs w:val="24"/>
        </w:rPr>
        <w:t>reflexión; refracción; absorción; dispersión, cada uno de ello</w:t>
      </w:r>
      <w:r>
        <w:rPr>
          <w:rFonts w:ascii="Arial" w:hAnsi="Arial" w:cs="Arial"/>
          <w:sz w:val="24"/>
          <w:szCs w:val="24"/>
        </w:rPr>
        <w:t>s</w:t>
      </w:r>
      <w:r w:rsidRPr="004C7C55">
        <w:rPr>
          <w:rFonts w:ascii="Arial" w:hAnsi="Arial" w:cs="Arial"/>
          <w:sz w:val="24"/>
          <w:szCs w:val="24"/>
        </w:rPr>
        <w:t xml:space="preserve"> se puede llegar a presentar en lo individual o en conjunto, dando paso a una pérdida de energía electromagnética que se debe restar del total de energía aplicada inicialmente sobre el material</w:t>
      </w:r>
      <w:r>
        <w:rPr>
          <w:rFonts w:ascii="Arial" w:hAnsi="Arial" w:cs="Arial"/>
          <w:sz w:val="24"/>
          <w:szCs w:val="24"/>
        </w:rPr>
        <w:t xml:space="preserve">. Lo importante en estas pruebas es generar los suficientes datos tanto de las condiciones de la muestra como de los resultados que se obtienen de aplicar energía sobre la muestra, lo anterior posibilita una correlación entre las condiciones de la muestra y los resultados obtenidos, de esta manera al volver a aplicar energía sobre una muestra desconocida y comprobar los datos que genera para compararlos con los que ya se tienen. Se podrá suponer o estimar en qué condiciones se encuentra la muestra de la que se desconocen sus características. </w:t>
      </w:r>
      <w:r w:rsidRPr="004C7C55">
        <w:rPr>
          <w:rFonts w:ascii="Arial" w:hAnsi="Arial" w:cs="Arial"/>
          <w:sz w:val="24"/>
          <w:szCs w:val="24"/>
        </w:rPr>
        <w:t xml:space="preserve"> </w:t>
      </w:r>
    </w:p>
    <w:p w:rsidR="001B1A13" w:rsidRPr="004C7C55" w:rsidRDefault="001B1A13" w:rsidP="001B1A13">
      <w:pPr>
        <w:ind w:firstLine="708"/>
        <w:jc w:val="both"/>
        <w:rPr>
          <w:rFonts w:ascii="Arial" w:hAnsi="Arial" w:cs="Arial"/>
          <w:sz w:val="24"/>
          <w:szCs w:val="24"/>
        </w:rPr>
      </w:pPr>
      <w:r>
        <w:rPr>
          <w:rFonts w:ascii="Arial" w:hAnsi="Arial" w:cs="Arial"/>
          <w:sz w:val="24"/>
          <w:szCs w:val="24"/>
        </w:rPr>
        <w:t>M</w:t>
      </w:r>
      <w:r w:rsidRPr="004C7C55">
        <w:rPr>
          <w:rFonts w:ascii="Arial" w:hAnsi="Arial" w:cs="Arial"/>
          <w:sz w:val="24"/>
          <w:szCs w:val="24"/>
        </w:rPr>
        <w:t xml:space="preserve">ediante una correlación se </w:t>
      </w:r>
      <w:r>
        <w:rPr>
          <w:rFonts w:ascii="Arial" w:hAnsi="Arial" w:cs="Arial"/>
          <w:sz w:val="24"/>
          <w:szCs w:val="24"/>
        </w:rPr>
        <w:t>puede estimar</w:t>
      </w:r>
      <w:r w:rsidRPr="004C7C55">
        <w:rPr>
          <w:rFonts w:ascii="Arial" w:hAnsi="Arial" w:cs="Arial"/>
          <w:sz w:val="24"/>
          <w:szCs w:val="24"/>
        </w:rPr>
        <w:t>, alguna de sus características.</w:t>
      </w:r>
    </w:p>
    <w:p w:rsidR="001B1A13" w:rsidRPr="004C7C55" w:rsidRDefault="001B1A13" w:rsidP="001B1A13">
      <w:pPr>
        <w:ind w:firstLine="708"/>
        <w:jc w:val="both"/>
        <w:rPr>
          <w:rFonts w:ascii="Arial" w:hAnsi="Arial" w:cs="Arial"/>
          <w:sz w:val="24"/>
          <w:szCs w:val="24"/>
        </w:rPr>
      </w:pPr>
      <w:r w:rsidRPr="004C7C55">
        <w:rPr>
          <w:rFonts w:ascii="Arial" w:hAnsi="Arial" w:cs="Arial"/>
          <w:sz w:val="24"/>
          <w:szCs w:val="24"/>
        </w:rPr>
        <w:t>Cada uno de los términos mencionados se sucede o está incluida dentro de la respuesta que resulta de la aplicación o envío de energía electromagnética sobre un medio; como también ya se mencionó, esto se sucede de manera individual y/o en combinación entre ellos.</w:t>
      </w:r>
    </w:p>
    <w:p w:rsidR="001B1A13" w:rsidRDefault="001B1A13" w:rsidP="001B1A13">
      <w:pPr>
        <w:ind w:firstLine="708"/>
        <w:jc w:val="both"/>
        <w:rPr>
          <w:rFonts w:ascii="Arial" w:hAnsi="Arial" w:cs="Arial"/>
          <w:sz w:val="24"/>
          <w:szCs w:val="24"/>
        </w:rPr>
      </w:pPr>
      <w:r w:rsidRPr="004C7C55">
        <w:rPr>
          <w:rFonts w:ascii="Arial" w:hAnsi="Arial" w:cs="Arial"/>
          <w:sz w:val="24"/>
          <w:szCs w:val="24"/>
        </w:rPr>
        <w:t>Al aplicar energía electromagnética sobre un dieléctrico que actúa como frontera con un material del cual se quiere conocer alguna propiedad, y se aplica la energía electromagnética con un cierto ángulo de inclinación, se presentará la</w:t>
      </w:r>
      <w:r>
        <w:rPr>
          <w:rFonts w:ascii="Arial" w:hAnsi="Arial" w:cs="Arial"/>
          <w:sz w:val="24"/>
          <w:szCs w:val="24"/>
        </w:rPr>
        <w:t xml:space="preserve"> </w:t>
      </w:r>
      <w:r w:rsidRPr="004C7C55">
        <w:rPr>
          <w:rFonts w:ascii="Arial" w:hAnsi="Arial" w:cs="Arial"/>
          <w:sz w:val="24"/>
          <w:szCs w:val="24"/>
        </w:rPr>
        <w:t>refracción</w:t>
      </w:r>
      <w:r>
        <w:rPr>
          <w:rFonts w:ascii="Arial" w:hAnsi="Arial" w:cs="Arial"/>
          <w:sz w:val="24"/>
          <w:szCs w:val="24"/>
        </w:rPr>
        <w:t>.</w:t>
      </w:r>
    </w:p>
    <w:p w:rsidR="001B1A13" w:rsidRPr="004C7C55" w:rsidRDefault="001B1A13" w:rsidP="001B1A13">
      <w:pPr>
        <w:ind w:firstLine="708"/>
        <w:jc w:val="both"/>
        <w:rPr>
          <w:rFonts w:ascii="Arial" w:hAnsi="Arial" w:cs="Arial"/>
          <w:sz w:val="24"/>
          <w:szCs w:val="24"/>
        </w:rPr>
      </w:pPr>
      <w:r>
        <w:rPr>
          <w:rFonts w:ascii="Arial" w:hAnsi="Arial" w:cs="Arial"/>
          <w:sz w:val="24"/>
          <w:szCs w:val="24"/>
        </w:rPr>
        <w:t>C</w:t>
      </w:r>
      <w:r w:rsidRPr="004C7C55">
        <w:rPr>
          <w:rFonts w:ascii="Arial" w:hAnsi="Arial" w:cs="Arial"/>
          <w:sz w:val="24"/>
          <w:szCs w:val="24"/>
        </w:rPr>
        <w:t xml:space="preserve">uando </w:t>
      </w:r>
      <w:r>
        <w:rPr>
          <w:rFonts w:ascii="Arial" w:hAnsi="Arial" w:cs="Arial"/>
          <w:sz w:val="24"/>
          <w:szCs w:val="24"/>
        </w:rPr>
        <w:t xml:space="preserve">en experimentos de laboratorio está involucrada la luz, se tienen ciertas suposiciones, como que al aplicar luz sobre una superficie, se puede considerar como una línea o rayo que se aplica; esto resulta muy conveniente </w:t>
      </w:r>
      <w:r w:rsidRPr="004C7C55">
        <w:rPr>
          <w:rFonts w:ascii="Arial" w:hAnsi="Arial" w:cs="Arial"/>
          <w:sz w:val="24"/>
          <w:szCs w:val="24"/>
        </w:rPr>
        <w:t xml:space="preserve">cuando se está </w:t>
      </w:r>
      <w:r>
        <w:rPr>
          <w:rFonts w:ascii="Arial" w:hAnsi="Arial" w:cs="Arial"/>
          <w:sz w:val="24"/>
          <w:szCs w:val="24"/>
        </w:rPr>
        <w:t xml:space="preserve">usando </w:t>
      </w:r>
      <w:r w:rsidRPr="004C7C55">
        <w:rPr>
          <w:rFonts w:ascii="Arial" w:hAnsi="Arial" w:cs="Arial"/>
          <w:sz w:val="24"/>
          <w:szCs w:val="24"/>
        </w:rPr>
        <w:t xml:space="preserve">una onda electromagnética </w:t>
      </w:r>
      <w:r>
        <w:rPr>
          <w:rFonts w:ascii="Arial" w:hAnsi="Arial" w:cs="Arial"/>
          <w:sz w:val="24"/>
          <w:szCs w:val="24"/>
        </w:rPr>
        <w:t>(</w:t>
      </w:r>
      <w:r w:rsidRPr="004C7C55">
        <w:rPr>
          <w:rFonts w:ascii="Arial" w:hAnsi="Arial" w:cs="Arial"/>
          <w:sz w:val="24"/>
          <w:szCs w:val="24"/>
        </w:rPr>
        <w:t>esto cuando la longitud de onda es pequeña en comparación con las dimensiones de la superficie que actúa como frontera</w:t>
      </w:r>
      <w:r>
        <w:rPr>
          <w:rFonts w:ascii="Arial" w:hAnsi="Arial" w:cs="Arial"/>
          <w:sz w:val="24"/>
          <w:szCs w:val="24"/>
        </w:rPr>
        <w:t xml:space="preserve"> entre dos medios); </w:t>
      </w:r>
      <w:r w:rsidRPr="004C7C55">
        <w:rPr>
          <w:rFonts w:ascii="Arial" w:hAnsi="Arial" w:cs="Arial"/>
          <w:sz w:val="24"/>
          <w:szCs w:val="24"/>
        </w:rPr>
        <w:t>utilizar geometría óptica simplifica de manera muy eficiente la aplicación de energía sobre un material</w:t>
      </w:r>
      <w:r>
        <w:rPr>
          <w:rFonts w:ascii="Arial" w:hAnsi="Arial" w:cs="Arial"/>
          <w:sz w:val="24"/>
          <w:szCs w:val="24"/>
        </w:rPr>
        <w:t>.</w:t>
      </w:r>
      <w:r w:rsidRPr="004C7C55">
        <w:rPr>
          <w:rFonts w:ascii="Arial" w:hAnsi="Arial" w:cs="Arial"/>
          <w:sz w:val="24"/>
          <w:szCs w:val="24"/>
        </w:rPr>
        <w:t xml:space="preserve"> </w:t>
      </w:r>
      <w:r>
        <w:rPr>
          <w:rFonts w:ascii="Arial" w:hAnsi="Arial" w:cs="Arial"/>
          <w:sz w:val="24"/>
          <w:szCs w:val="24"/>
        </w:rPr>
        <w:t>A</w:t>
      </w:r>
      <w:r w:rsidRPr="004C7C55">
        <w:rPr>
          <w:rFonts w:ascii="Arial" w:hAnsi="Arial" w:cs="Arial"/>
          <w:sz w:val="24"/>
          <w:szCs w:val="24"/>
        </w:rPr>
        <w:t>l considerar la teoría de un rayo, el cual se representa con una línea recta</w:t>
      </w:r>
      <w:r>
        <w:rPr>
          <w:rFonts w:ascii="Arial" w:hAnsi="Arial" w:cs="Arial"/>
          <w:sz w:val="24"/>
          <w:szCs w:val="24"/>
        </w:rPr>
        <w:t xml:space="preserve"> facilita de </w:t>
      </w:r>
      <w:r w:rsidRPr="004C7C55">
        <w:rPr>
          <w:rFonts w:ascii="Arial" w:hAnsi="Arial" w:cs="Arial"/>
          <w:sz w:val="24"/>
          <w:szCs w:val="24"/>
        </w:rPr>
        <w:t>manera importante</w:t>
      </w:r>
      <w:r>
        <w:rPr>
          <w:rFonts w:ascii="Arial" w:hAnsi="Arial" w:cs="Arial"/>
          <w:sz w:val="24"/>
          <w:szCs w:val="24"/>
        </w:rPr>
        <w:t xml:space="preserve"> el desarrollo teórico, y la explicación de los experimentos </w:t>
      </w:r>
      <w:r w:rsidRPr="004C7C55">
        <w:rPr>
          <w:rFonts w:ascii="Arial" w:hAnsi="Arial" w:cs="Arial"/>
          <w:sz w:val="24"/>
          <w:szCs w:val="24"/>
        </w:rPr>
        <w:t>de</w:t>
      </w:r>
      <w:r>
        <w:rPr>
          <w:rFonts w:ascii="Arial" w:hAnsi="Arial" w:cs="Arial"/>
          <w:sz w:val="24"/>
          <w:szCs w:val="24"/>
        </w:rPr>
        <w:t xml:space="preserve"> a</w:t>
      </w:r>
      <w:r w:rsidRPr="004C7C55">
        <w:rPr>
          <w:rFonts w:ascii="Arial" w:hAnsi="Arial" w:cs="Arial"/>
          <w:sz w:val="24"/>
          <w:szCs w:val="24"/>
        </w:rPr>
        <w:t xml:space="preserve">plicación de energía electromagnética, ya que no se obliga a representar la energía aplicada, en términos de campo eléctrico </w:t>
      </w:r>
      <w:r>
        <w:rPr>
          <w:rFonts w:ascii="Arial" w:hAnsi="Arial" w:cs="Arial"/>
          <w:sz w:val="24"/>
          <w:szCs w:val="24"/>
        </w:rPr>
        <w:t>€</w:t>
      </w:r>
      <w:r w:rsidRPr="004C7C55">
        <w:rPr>
          <w:rFonts w:ascii="Arial" w:hAnsi="Arial" w:cs="Arial"/>
          <w:sz w:val="24"/>
          <w:szCs w:val="24"/>
        </w:rPr>
        <w:t xml:space="preserve"> y campo magnético (</w:t>
      </w:r>
      <w:r w:rsidRPr="004C7C55">
        <w:rPr>
          <w:rFonts w:ascii="Arial" w:hAnsi="Arial" w:cs="Arial"/>
          <w:b/>
          <w:sz w:val="24"/>
          <w:szCs w:val="24"/>
        </w:rPr>
        <w:t>H</w:t>
      </w:r>
      <w:r w:rsidRPr="004C7C55">
        <w:rPr>
          <w:rFonts w:ascii="Arial" w:hAnsi="Arial" w:cs="Arial"/>
          <w:sz w:val="24"/>
          <w:szCs w:val="24"/>
        </w:rPr>
        <w:t>).</w:t>
      </w:r>
    </w:p>
    <w:p w:rsidR="001B1A13" w:rsidRPr="004C7C55" w:rsidRDefault="001B1A13" w:rsidP="001B1A13">
      <w:pPr>
        <w:ind w:firstLine="708"/>
        <w:jc w:val="both"/>
        <w:rPr>
          <w:rFonts w:ascii="Arial" w:hAnsi="Arial" w:cs="Arial"/>
          <w:sz w:val="24"/>
          <w:szCs w:val="24"/>
        </w:rPr>
      </w:pPr>
      <w:r w:rsidRPr="004C7C55">
        <w:rPr>
          <w:rFonts w:ascii="Arial" w:hAnsi="Arial" w:cs="Arial"/>
          <w:sz w:val="24"/>
          <w:szCs w:val="24"/>
        </w:rPr>
        <w:t>Cuando una onda electromagnética cae sobre una superficie definida como dieléctrica, y si se define también un punto de incidencia (aprovechando las teorías de un rayo) y esta energía incide en el material de manera oblicua, se podrán obtener dos ondas. Una de ellas definida como onda refractada y otra como onda reflectada. Para ilustrar este fenómeno se representa</w:t>
      </w:r>
      <w:r>
        <w:rPr>
          <w:rFonts w:ascii="Arial" w:hAnsi="Arial" w:cs="Arial"/>
          <w:sz w:val="24"/>
          <w:szCs w:val="24"/>
        </w:rPr>
        <w:t xml:space="preserve"> con un dibujo </w:t>
      </w:r>
      <w:r w:rsidRPr="004C7C55">
        <w:rPr>
          <w:rFonts w:ascii="Arial" w:hAnsi="Arial" w:cs="Arial"/>
          <w:sz w:val="24"/>
          <w:szCs w:val="24"/>
        </w:rPr>
        <w:t>en la siguiente figura.</w:t>
      </w:r>
    </w:p>
    <w:p w:rsidR="001B1A13" w:rsidRPr="004C7C55" w:rsidRDefault="001B1A13" w:rsidP="001B1A13">
      <w:pPr>
        <w:jc w:val="center"/>
        <w:rPr>
          <w:rFonts w:ascii="Arial" w:hAnsi="Arial" w:cs="Arial"/>
          <w:sz w:val="24"/>
          <w:szCs w:val="24"/>
        </w:rPr>
      </w:pPr>
      <w:r w:rsidRPr="004C7C55">
        <w:rPr>
          <w:rFonts w:ascii="Arial" w:hAnsi="Arial" w:cs="Arial"/>
          <w:noProof/>
          <w:sz w:val="24"/>
          <w:szCs w:val="24"/>
          <w:lang w:val="en-US"/>
        </w:rPr>
        <w:lastRenderedPageBreak/>
        <w:drawing>
          <wp:inline distT="0" distB="0" distL="0" distR="0" wp14:anchorId="3072EA13" wp14:editId="438AA2C2">
            <wp:extent cx="1458103" cy="1425982"/>
            <wp:effectExtent l="0" t="0" r="8890"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02139" cy="1469048"/>
                    </a:xfrm>
                    <a:prstGeom prst="rect">
                      <a:avLst/>
                    </a:prstGeom>
                    <a:noFill/>
                    <a:ln>
                      <a:noFill/>
                    </a:ln>
                  </pic:spPr>
                </pic:pic>
              </a:graphicData>
            </a:graphic>
          </wp:inline>
        </w:drawing>
      </w:r>
    </w:p>
    <w:p w:rsidR="001B1A13" w:rsidRPr="00E33380" w:rsidRDefault="001B1A13" w:rsidP="001B1A13">
      <w:pPr>
        <w:jc w:val="center"/>
        <w:rPr>
          <w:rFonts w:ascii="Arial" w:hAnsi="Arial" w:cs="Arial"/>
          <w:i/>
          <w:iCs/>
          <w:sz w:val="20"/>
          <w:szCs w:val="20"/>
        </w:rPr>
      </w:pPr>
      <w:r w:rsidRPr="00E33380">
        <w:rPr>
          <w:rFonts w:ascii="Arial" w:hAnsi="Arial" w:cs="Arial"/>
          <w:i/>
          <w:iCs/>
          <w:sz w:val="20"/>
          <w:szCs w:val="20"/>
        </w:rPr>
        <w:t>Figura 1. Dibujo que ilustra de manera sencilla la aplicación de energía electromagnética, teniendo como principio la teoría óptica de aplicación de un rayo.</w:t>
      </w:r>
    </w:p>
    <w:p w:rsidR="001B1A13" w:rsidRPr="004C7C55" w:rsidRDefault="001B1A13" w:rsidP="001B1A13">
      <w:pPr>
        <w:jc w:val="both"/>
        <w:rPr>
          <w:rFonts w:ascii="Arial" w:hAnsi="Arial" w:cs="Arial"/>
          <w:sz w:val="24"/>
          <w:szCs w:val="24"/>
        </w:rPr>
      </w:pPr>
    </w:p>
    <w:p w:rsidR="001B1A13" w:rsidRPr="004C7C55" w:rsidRDefault="001B1A13" w:rsidP="001B1A13">
      <w:pPr>
        <w:ind w:firstLine="708"/>
        <w:jc w:val="both"/>
        <w:rPr>
          <w:rFonts w:ascii="Arial" w:hAnsi="Arial" w:cs="Arial"/>
          <w:sz w:val="24"/>
          <w:szCs w:val="24"/>
        </w:rPr>
      </w:pPr>
      <w:r w:rsidRPr="004C7C55">
        <w:rPr>
          <w:rFonts w:ascii="Arial" w:hAnsi="Arial" w:cs="Arial"/>
          <w:sz w:val="24"/>
          <w:szCs w:val="24"/>
        </w:rPr>
        <w:t>Pero cuando la energía electromagnética se aplica de manera directa</w:t>
      </w:r>
      <w:r>
        <w:rPr>
          <w:rFonts w:ascii="Arial" w:hAnsi="Arial" w:cs="Arial"/>
          <w:sz w:val="24"/>
          <w:szCs w:val="24"/>
        </w:rPr>
        <w:t>,</w:t>
      </w:r>
      <w:r w:rsidRPr="004C7C55">
        <w:rPr>
          <w:rFonts w:ascii="Arial" w:hAnsi="Arial" w:cs="Arial"/>
          <w:sz w:val="24"/>
          <w:szCs w:val="24"/>
        </w:rPr>
        <w:t xml:space="preserve"> sin un cierto ángulo de inclinación se podrá considerar (mediante la teoría de rayo) que la energía se está aplicando sobre un eje imaginario que atraviesa la muestra</w:t>
      </w:r>
      <w:r>
        <w:rPr>
          <w:rFonts w:ascii="Arial" w:hAnsi="Arial" w:cs="Arial"/>
          <w:sz w:val="24"/>
          <w:szCs w:val="24"/>
        </w:rPr>
        <w:t xml:space="preserve"> y que está perpendicular a ella</w:t>
      </w:r>
      <w:r w:rsidRPr="004C7C55">
        <w:rPr>
          <w:rFonts w:ascii="Arial" w:hAnsi="Arial" w:cs="Arial"/>
          <w:sz w:val="24"/>
          <w:szCs w:val="24"/>
        </w:rPr>
        <w:t>.</w:t>
      </w:r>
    </w:p>
    <w:p w:rsidR="001B1A13" w:rsidRPr="004C7C55" w:rsidRDefault="001B1A13" w:rsidP="001B1A13">
      <w:pPr>
        <w:jc w:val="center"/>
        <w:rPr>
          <w:rFonts w:ascii="Arial" w:hAnsi="Arial" w:cs="Arial"/>
          <w:sz w:val="24"/>
          <w:szCs w:val="24"/>
        </w:rPr>
      </w:pPr>
      <w:r w:rsidRPr="004C7C55">
        <w:rPr>
          <w:rFonts w:ascii="Arial" w:hAnsi="Arial" w:cs="Arial"/>
          <w:noProof/>
          <w:sz w:val="24"/>
          <w:szCs w:val="24"/>
          <w:lang w:val="en-US"/>
        </w:rPr>
        <w:drawing>
          <wp:inline distT="0" distB="0" distL="0" distR="0" wp14:anchorId="3892CDBC" wp14:editId="72EB764B">
            <wp:extent cx="2429510" cy="1951355"/>
            <wp:effectExtent l="0" t="0" r="889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29510" cy="1951355"/>
                    </a:xfrm>
                    <a:prstGeom prst="rect">
                      <a:avLst/>
                    </a:prstGeom>
                    <a:noFill/>
                    <a:ln>
                      <a:noFill/>
                    </a:ln>
                  </pic:spPr>
                </pic:pic>
              </a:graphicData>
            </a:graphic>
          </wp:inline>
        </w:drawing>
      </w:r>
    </w:p>
    <w:p w:rsidR="001B1A13" w:rsidRPr="004C7C55" w:rsidRDefault="001B1A13" w:rsidP="001B1A13">
      <w:pPr>
        <w:jc w:val="center"/>
        <w:rPr>
          <w:rFonts w:ascii="Arial" w:hAnsi="Arial" w:cs="Arial"/>
          <w:sz w:val="24"/>
          <w:szCs w:val="24"/>
        </w:rPr>
      </w:pPr>
    </w:p>
    <w:p w:rsidR="001B1A13" w:rsidRPr="00E33380" w:rsidRDefault="001B1A13" w:rsidP="001B1A13">
      <w:pPr>
        <w:jc w:val="center"/>
        <w:rPr>
          <w:rFonts w:ascii="Arial" w:hAnsi="Arial" w:cs="Arial"/>
          <w:i/>
          <w:iCs/>
          <w:sz w:val="20"/>
          <w:szCs w:val="20"/>
        </w:rPr>
      </w:pPr>
      <w:r w:rsidRPr="00E33380">
        <w:rPr>
          <w:rFonts w:ascii="Arial" w:hAnsi="Arial" w:cs="Arial"/>
          <w:i/>
          <w:iCs/>
          <w:sz w:val="20"/>
          <w:szCs w:val="20"/>
        </w:rPr>
        <w:t>Figura 2. Dibujo que ilustra el concepto de aplicación de energía electromagnética, en línea recta.</w:t>
      </w:r>
    </w:p>
    <w:p w:rsidR="001B1A13" w:rsidRPr="004C7C55" w:rsidRDefault="001B1A13" w:rsidP="001B1A13">
      <w:pPr>
        <w:jc w:val="center"/>
        <w:rPr>
          <w:rFonts w:ascii="Arial" w:hAnsi="Arial" w:cs="Arial"/>
          <w:sz w:val="24"/>
          <w:szCs w:val="24"/>
        </w:rPr>
      </w:pPr>
    </w:p>
    <w:p w:rsidR="001B1A13" w:rsidRDefault="001B1A13" w:rsidP="001B1A13">
      <w:pPr>
        <w:ind w:firstLine="708"/>
        <w:contextualSpacing/>
        <w:jc w:val="both"/>
        <w:rPr>
          <w:rFonts w:ascii="Arial" w:hAnsi="Arial" w:cs="Arial"/>
          <w:sz w:val="24"/>
          <w:szCs w:val="24"/>
        </w:rPr>
      </w:pPr>
      <w:r>
        <w:rPr>
          <w:rFonts w:ascii="Arial" w:hAnsi="Arial" w:cs="Arial"/>
          <w:sz w:val="24"/>
          <w:szCs w:val="24"/>
        </w:rPr>
        <w:t>La energía incidente siempre será mayor que la energía reflejada la relación de energía incidente y energía reflejada se expresa por el coeficiente de reflexión el cual estará comprendido entre cero y uno.</w:t>
      </w:r>
    </w:p>
    <w:p w:rsidR="001B1A13" w:rsidRDefault="001B1A13" w:rsidP="001B1A13">
      <w:pPr>
        <w:ind w:firstLine="708"/>
        <w:contextualSpacing/>
        <w:jc w:val="both"/>
        <w:rPr>
          <w:rFonts w:ascii="Arial" w:hAnsi="Arial" w:cs="Arial"/>
          <w:sz w:val="24"/>
          <w:szCs w:val="24"/>
        </w:rPr>
      </w:pPr>
    </w:p>
    <w:p w:rsidR="001B1A13" w:rsidRDefault="001B1A13" w:rsidP="001B1A13">
      <w:pPr>
        <w:contextualSpacing/>
        <w:jc w:val="both"/>
        <w:rPr>
          <w:rFonts w:ascii="Arial" w:hAnsi="Arial" w:cs="Arial"/>
          <w:sz w:val="24"/>
          <w:szCs w:val="24"/>
        </w:rPr>
      </w:pPr>
      <w:r w:rsidRPr="00A8402E">
        <w:rPr>
          <w:rFonts w:ascii="Arial" w:hAnsi="Arial" w:cs="Arial"/>
          <w:i/>
          <w:iCs/>
          <w:sz w:val="24"/>
          <w:szCs w:val="24"/>
        </w:rPr>
        <w:t>2.1 Transmitancia</w:t>
      </w:r>
      <w:r>
        <w:rPr>
          <w:rFonts w:ascii="Arial" w:hAnsi="Arial" w:cs="Arial"/>
          <w:sz w:val="24"/>
          <w:szCs w:val="24"/>
        </w:rPr>
        <w:t xml:space="preserve">. </w:t>
      </w:r>
    </w:p>
    <w:p w:rsidR="001B1A13" w:rsidRPr="004C7C55" w:rsidRDefault="001B1A13" w:rsidP="001B1A13">
      <w:pPr>
        <w:ind w:firstLine="708"/>
        <w:contextualSpacing/>
        <w:jc w:val="both"/>
        <w:rPr>
          <w:rFonts w:ascii="Arial" w:hAnsi="Arial" w:cs="Arial"/>
          <w:sz w:val="24"/>
          <w:szCs w:val="24"/>
        </w:rPr>
      </w:pPr>
      <w:r w:rsidRPr="004C7C55">
        <w:rPr>
          <w:rFonts w:ascii="Arial" w:hAnsi="Arial" w:cs="Arial"/>
          <w:sz w:val="24"/>
          <w:szCs w:val="24"/>
        </w:rPr>
        <w:t>Ley de Lambert Beer o ley de Bourguer</w:t>
      </w:r>
    </w:p>
    <w:p w:rsidR="001B1A13" w:rsidRDefault="001B1A13" w:rsidP="001B1A13">
      <w:pPr>
        <w:contextualSpacing/>
        <w:jc w:val="both"/>
        <w:rPr>
          <w:rFonts w:ascii="Arial" w:hAnsi="Arial" w:cs="Arial"/>
          <w:sz w:val="24"/>
          <w:szCs w:val="24"/>
        </w:rPr>
      </w:pPr>
    </w:p>
    <w:p w:rsidR="001B1A13" w:rsidRDefault="001B1A13" w:rsidP="001B1A13">
      <w:pPr>
        <w:ind w:firstLine="708"/>
        <w:contextualSpacing/>
        <w:jc w:val="both"/>
        <w:rPr>
          <w:rFonts w:ascii="Arial" w:hAnsi="Arial" w:cs="Arial"/>
          <w:sz w:val="24"/>
          <w:szCs w:val="24"/>
        </w:rPr>
      </w:pPr>
      <w:r w:rsidRPr="004C7C55">
        <w:rPr>
          <w:rFonts w:ascii="Arial" w:hAnsi="Arial" w:cs="Arial"/>
          <w:sz w:val="24"/>
          <w:szCs w:val="24"/>
        </w:rPr>
        <w:lastRenderedPageBreak/>
        <w:t>Transmitancia.</w:t>
      </w:r>
      <w:r>
        <w:rPr>
          <w:rFonts w:ascii="Arial" w:hAnsi="Arial" w:cs="Arial"/>
          <w:sz w:val="24"/>
          <w:szCs w:val="24"/>
        </w:rPr>
        <w:t xml:space="preserve"> La transmitancia se expresa en función de la energía que se le aplica y de la energía que es detectada, después de pasar, a través del material.</w:t>
      </w:r>
    </w:p>
    <w:p w:rsidR="001B1A13" w:rsidRPr="004C7C55" w:rsidRDefault="001B1A13" w:rsidP="001B1A13">
      <w:pPr>
        <w:ind w:firstLine="708"/>
        <w:contextualSpacing/>
        <w:jc w:val="both"/>
        <w:rPr>
          <w:rFonts w:ascii="Arial" w:hAnsi="Arial" w:cs="Arial"/>
          <w:sz w:val="24"/>
          <w:szCs w:val="24"/>
        </w:rPr>
      </w:pPr>
    </w:p>
    <w:p w:rsidR="001B1A13" w:rsidRPr="004C7C55" w:rsidRDefault="001B1A13" w:rsidP="001B1A13">
      <w:pPr>
        <w:contextualSpacing/>
        <w:jc w:val="right"/>
        <w:rPr>
          <w:rFonts w:ascii="Arial" w:hAnsi="Arial" w:cs="Arial"/>
          <w:sz w:val="24"/>
          <w:szCs w:val="24"/>
        </w:rPr>
      </w:pPr>
      <m:oMath>
        <m:r>
          <w:rPr>
            <w:rFonts w:ascii="Cambria Math" w:hAnsi="Cambria Math" w:cs="Arial"/>
            <w:sz w:val="24"/>
            <w:szCs w:val="24"/>
          </w:rPr>
          <m:t xml:space="preserve">T= </m:t>
        </m:r>
        <m:f>
          <m:fPr>
            <m:ctrlPr>
              <w:rPr>
                <w:rFonts w:ascii="Cambria Math" w:hAnsi="Cambria Math" w:cs="Arial"/>
                <w:i/>
                <w:sz w:val="24"/>
                <w:szCs w:val="24"/>
              </w:rPr>
            </m:ctrlPr>
          </m:fPr>
          <m:num>
            <m:r>
              <w:rPr>
                <w:rFonts w:ascii="Cambria Math" w:hAnsi="Cambria Math" w:cs="Arial"/>
                <w:sz w:val="24"/>
                <w:szCs w:val="24"/>
              </w:rPr>
              <m:t>I</m:t>
            </m:r>
          </m:num>
          <m:den>
            <m:sSub>
              <m:sSubPr>
                <m:ctrlPr>
                  <w:rPr>
                    <w:rFonts w:ascii="Cambria Math" w:hAnsi="Cambria Math" w:cs="Arial"/>
                    <w:i/>
                    <w:sz w:val="24"/>
                    <w:szCs w:val="24"/>
                  </w:rPr>
                </m:ctrlPr>
              </m:sSubPr>
              <m:e>
                <m:r>
                  <w:rPr>
                    <w:rFonts w:ascii="Cambria Math" w:hAnsi="Cambria Math" w:cs="Arial"/>
                    <w:sz w:val="24"/>
                    <w:szCs w:val="24"/>
                  </w:rPr>
                  <m:t>I</m:t>
                </m:r>
              </m:e>
              <m:sub>
                <m:r>
                  <w:rPr>
                    <w:rFonts w:ascii="Cambria Math" w:hAnsi="Cambria Math" w:cs="Arial"/>
                    <w:sz w:val="24"/>
                    <w:szCs w:val="24"/>
                  </w:rPr>
                  <m:t>o</m:t>
                </m:r>
              </m:sub>
            </m:sSub>
          </m:den>
        </m:f>
      </m:oMath>
      <w:r>
        <w:rPr>
          <w:rFonts w:ascii="Arial" w:hAnsi="Arial" w:cs="Arial"/>
          <w:sz w:val="24"/>
          <w:szCs w:val="24"/>
        </w:rPr>
        <w:t xml:space="preserve">                                                                       (1)</w:t>
      </w:r>
    </w:p>
    <w:p w:rsidR="001B1A13" w:rsidRPr="004C7C55" w:rsidRDefault="001B1A13" w:rsidP="001B1A13">
      <w:pPr>
        <w:ind w:firstLine="708"/>
        <w:contextualSpacing/>
        <w:jc w:val="both"/>
        <w:rPr>
          <w:rFonts w:ascii="Arial" w:hAnsi="Arial" w:cs="Arial"/>
          <w:sz w:val="24"/>
          <w:szCs w:val="24"/>
        </w:rPr>
      </w:pPr>
      <w:r w:rsidRPr="004C7C55">
        <w:rPr>
          <w:rFonts w:ascii="Arial" w:hAnsi="Arial" w:cs="Arial"/>
          <w:sz w:val="24"/>
          <w:szCs w:val="24"/>
        </w:rPr>
        <w:t>I</w:t>
      </w:r>
      <w:r w:rsidRPr="004C7C55">
        <w:rPr>
          <w:rFonts w:ascii="Arial" w:hAnsi="Arial" w:cs="Arial"/>
          <w:sz w:val="24"/>
          <w:szCs w:val="24"/>
          <w:vertAlign w:val="subscript"/>
        </w:rPr>
        <w:t>o</w:t>
      </w:r>
      <w:r w:rsidRPr="004C7C55">
        <w:rPr>
          <w:rFonts w:ascii="Arial" w:hAnsi="Arial" w:cs="Arial"/>
          <w:sz w:val="24"/>
          <w:szCs w:val="24"/>
        </w:rPr>
        <w:t xml:space="preserve"> Energía aplicada</w:t>
      </w:r>
    </w:p>
    <w:p w:rsidR="001B1A13" w:rsidRPr="004C7C55" w:rsidRDefault="001B1A13" w:rsidP="001B1A13">
      <w:pPr>
        <w:ind w:firstLine="708"/>
        <w:contextualSpacing/>
        <w:jc w:val="both"/>
        <w:rPr>
          <w:rFonts w:ascii="Arial" w:hAnsi="Arial" w:cs="Arial"/>
          <w:sz w:val="24"/>
          <w:szCs w:val="24"/>
        </w:rPr>
      </w:pPr>
      <w:r w:rsidRPr="004C7C55">
        <w:rPr>
          <w:rFonts w:ascii="Arial" w:hAnsi="Arial" w:cs="Arial"/>
          <w:sz w:val="24"/>
          <w:szCs w:val="24"/>
        </w:rPr>
        <w:t>I Energía detectada (salida)</w:t>
      </w:r>
    </w:p>
    <w:p w:rsidR="001B1A13" w:rsidRPr="004C7C55" w:rsidRDefault="001B1A13" w:rsidP="001B1A13">
      <w:pPr>
        <w:contextualSpacing/>
        <w:jc w:val="both"/>
        <w:rPr>
          <w:rFonts w:ascii="Arial" w:hAnsi="Arial" w:cs="Arial"/>
          <w:sz w:val="24"/>
          <w:szCs w:val="24"/>
        </w:rPr>
      </w:pPr>
    </w:p>
    <w:p w:rsidR="001B1A13" w:rsidRPr="00A8402E" w:rsidRDefault="001B1A13" w:rsidP="001B1A13">
      <w:pPr>
        <w:contextualSpacing/>
        <w:jc w:val="both"/>
        <w:rPr>
          <w:rFonts w:ascii="Arial" w:hAnsi="Arial" w:cs="Arial"/>
          <w:i/>
          <w:iCs/>
          <w:sz w:val="24"/>
          <w:szCs w:val="24"/>
        </w:rPr>
      </w:pPr>
      <w:r w:rsidRPr="00A8402E">
        <w:rPr>
          <w:rFonts w:ascii="Arial" w:hAnsi="Arial" w:cs="Arial"/>
          <w:i/>
          <w:iCs/>
          <w:sz w:val="24"/>
          <w:szCs w:val="24"/>
        </w:rPr>
        <w:t>2.2 Absorción. Absorbencia (Coeficiente de Extinción).</w:t>
      </w:r>
    </w:p>
    <w:p w:rsidR="001B1A13" w:rsidRDefault="001B1A13" w:rsidP="001B1A13">
      <w:pPr>
        <w:contextualSpacing/>
        <w:jc w:val="both"/>
        <w:rPr>
          <w:rFonts w:ascii="Arial" w:hAnsi="Arial" w:cs="Arial"/>
          <w:sz w:val="24"/>
          <w:szCs w:val="24"/>
        </w:rPr>
      </w:pPr>
    </w:p>
    <w:p w:rsidR="001B1A13" w:rsidRPr="004C7C55" w:rsidRDefault="001B1A13" w:rsidP="001B1A13">
      <w:pPr>
        <w:ind w:firstLine="708"/>
        <w:jc w:val="both"/>
        <w:rPr>
          <w:rFonts w:ascii="Arial" w:hAnsi="Arial" w:cs="Arial"/>
          <w:sz w:val="24"/>
          <w:szCs w:val="24"/>
        </w:rPr>
      </w:pPr>
      <w:r>
        <w:rPr>
          <w:rFonts w:ascii="Arial" w:hAnsi="Arial" w:cs="Arial"/>
          <w:sz w:val="24"/>
          <w:szCs w:val="24"/>
        </w:rPr>
        <w:t xml:space="preserve">Se expresa como: menos el logaritmo decimal de la transmitancia </w:t>
      </w:r>
    </w:p>
    <w:p w:rsidR="001B1A13" w:rsidRPr="004C7C55" w:rsidRDefault="001B1A13" w:rsidP="001B1A13">
      <w:pPr>
        <w:jc w:val="right"/>
        <w:rPr>
          <w:rFonts w:ascii="Arial" w:hAnsi="Arial" w:cs="Arial"/>
          <w:sz w:val="24"/>
          <w:szCs w:val="24"/>
        </w:rPr>
      </w:pPr>
      <w:r w:rsidRPr="004C7C55">
        <w:rPr>
          <w:rFonts w:ascii="Arial" w:hAnsi="Arial" w:cs="Arial"/>
          <w:sz w:val="24"/>
          <w:szCs w:val="24"/>
        </w:rPr>
        <w:t xml:space="preserve">                                              </w:t>
      </w:r>
      <m:oMath>
        <m:r>
          <w:rPr>
            <w:rFonts w:ascii="Cambria Math" w:hAnsi="Cambria Math" w:cs="Arial"/>
            <w:sz w:val="24"/>
            <w:szCs w:val="24"/>
          </w:rPr>
          <m:t>A= -</m:t>
        </m:r>
        <m:func>
          <m:funcPr>
            <m:ctrlPr>
              <w:rPr>
                <w:rFonts w:ascii="Cambria Math" w:hAnsi="Cambria Math" w:cs="Arial"/>
                <w:i/>
                <w:sz w:val="24"/>
                <w:szCs w:val="24"/>
              </w:rPr>
            </m:ctrlPr>
          </m:funcPr>
          <m:fName>
            <m:sSub>
              <m:sSubPr>
                <m:ctrlPr>
                  <w:rPr>
                    <w:rFonts w:ascii="Cambria Math" w:hAnsi="Cambria Math" w:cs="Arial"/>
                    <w:i/>
                    <w:sz w:val="24"/>
                    <w:szCs w:val="24"/>
                  </w:rPr>
                </m:ctrlPr>
              </m:sSubPr>
              <m:e>
                <m:r>
                  <m:rPr>
                    <m:sty m:val="p"/>
                  </m:rPr>
                  <w:rPr>
                    <w:rFonts w:ascii="Cambria Math" w:hAnsi="Cambria Math" w:cs="Arial"/>
                    <w:sz w:val="24"/>
                    <w:szCs w:val="24"/>
                  </w:rPr>
                  <m:t>log</m:t>
                </m:r>
              </m:e>
              <m:sub>
                <m:r>
                  <w:rPr>
                    <w:rFonts w:ascii="Cambria Math" w:hAnsi="Cambria Math" w:cs="Arial"/>
                    <w:sz w:val="24"/>
                    <w:szCs w:val="24"/>
                  </w:rPr>
                  <m:t>10</m:t>
                </m:r>
              </m:sub>
            </m:sSub>
          </m:fName>
          <m:e>
            <m:d>
              <m:dPr>
                <m:ctrlPr>
                  <w:rPr>
                    <w:rFonts w:ascii="Cambria Math" w:hAnsi="Cambria Math" w:cs="Arial"/>
                    <w:i/>
                    <w:sz w:val="24"/>
                    <w:szCs w:val="24"/>
                  </w:rPr>
                </m:ctrlPr>
              </m:dPr>
              <m:e>
                <m:r>
                  <w:rPr>
                    <w:rFonts w:ascii="Cambria Math" w:hAnsi="Cambria Math" w:cs="Arial"/>
                    <w:sz w:val="24"/>
                    <w:szCs w:val="24"/>
                  </w:rPr>
                  <m:t>T</m:t>
                </m:r>
              </m:e>
            </m:d>
          </m:e>
        </m:func>
      </m:oMath>
      <w:r>
        <w:rPr>
          <w:rFonts w:ascii="Arial" w:hAnsi="Arial" w:cs="Arial"/>
          <w:sz w:val="24"/>
          <w:szCs w:val="24"/>
        </w:rPr>
        <w:t xml:space="preserve">                                                             (2)</w:t>
      </w:r>
    </w:p>
    <w:p w:rsidR="001B1A13" w:rsidRPr="004C7C55" w:rsidRDefault="001B1A13" w:rsidP="001B1A13">
      <w:pPr>
        <w:ind w:firstLine="708"/>
        <w:jc w:val="both"/>
        <w:rPr>
          <w:rFonts w:ascii="Arial" w:hAnsi="Arial" w:cs="Arial"/>
          <w:sz w:val="24"/>
          <w:szCs w:val="24"/>
        </w:rPr>
      </w:pPr>
      <w:r>
        <w:rPr>
          <w:rFonts w:ascii="Arial" w:hAnsi="Arial" w:cs="Arial"/>
          <w:sz w:val="24"/>
          <w:szCs w:val="24"/>
        </w:rPr>
        <w:t>Esta r</w:t>
      </w:r>
      <w:r w:rsidRPr="004C7C55">
        <w:rPr>
          <w:rFonts w:ascii="Arial" w:hAnsi="Arial" w:cs="Arial"/>
          <w:sz w:val="24"/>
          <w:szCs w:val="24"/>
        </w:rPr>
        <w:t>elación empírica que relaciona la absorción</w:t>
      </w:r>
      <w:r>
        <w:rPr>
          <w:rFonts w:ascii="Arial" w:hAnsi="Arial" w:cs="Arial"/>
          <w:sz w:val="24"/>
          <w:szCs w:val="24"/>
        </w:rPr>
        <w:t xml:space="preserve"> </w:t>
      </w:r>
      <w:r w:rsidRPr="004C7C55">
        <w:rPr>
          <w:rFonts w:ascii="Arial" w:hAnsi="Arial" w:cs="Arial"/>
          <w:sz w:val="24"/>
          <w:szCs w:val="24"/>
        </w:rPr>
        <w:t xml:space="preserve">con las propiedades del material </w:t>
      </w:r>
      <w:r>
        <w:rPr>
          <w:rFonts w:ascii="Arial" w:hAnsi="Arial" w:cs="Arial"/>
          <w:sz w:val="24"/>
          <w:szCs w:val="24"/>
        </w:rPr>
        <w:t xml:space="preserve">por el cual se intenta </w:t>
      </w:r>
      <w:r w:rsidRPr="004C7C55">
        <w:rPr>
          <w:rFonts w:ascii="Arial" w:hAnsi="Arial" w:cs="Arial"/>
          <w:sz w:val="24"/>
          <w:szCs w:val="24"/>
        </w:rPr>
        <w:t>atravesa</w:t>
      </w:r>
      <w:r>
        <w:rPr>
          <w:rFonts w:ascii="Arial" w:hAnsi="Arial" w:cs="Arial"/>
          <w:sz w:val="24"/>
          <w:szCs w:val="24"/>
        </w:rPr>
        <w:t>r el haz de energía electromagnética</w:t>
      </w:r>
      <w:r w:rsidRPr="004C7C55">
        <w:rPr>
          <w:rFonts w:ascii="Arial" w:hAnsi="Arial" w:cs="Arial"/>
          <w:sz w:val="24"/>
          <w:szCs w:val="24"/>
        </w:rPr>
        <w:t>.</w:t>
      </w:r>
    </w:p>
    <w:p w:rsidR="001B1A13" w:rsidRDefault="001B1A13" w:rsidP="001B1A13">
      <w:pPr>
        <w:jc w:val="both"/>
        <w:rPr>
          <w:rFonts w:ascii="Arial" w:hAnsi="Arial" w:cs="Arial"/>
          <w:sz w:val="24"/>
          <w:szCs w:val="24"/>
        </w:rPr>
      </w:pPr>
    </w:p>
    <w:p w:rsidR="001B1A13" w:rsidRPr="00A8402E" w:rsidRDefault="001B1A13" w:rsidP="001B1A13">
      <w:pPr>
        <w:jc w:val="both"/>
        <w:rPr>
          <w:rFonts w:ascii="Arial" w:hAnsi="Arial" w:cs="Arial"/>
          <w:i/>
          <w:iCs/>
          <w:sz w:val="24"/>
          <w:szCs w:val="24"/>
        </w:rPr>
      </w:pPr>
      <w:r w:rsidRPr="00A8402E">
        <w:rPr>
          <w:rFonts w:ascii="Arial" w:hAnsi="Arial" w:cs="Arial"/>
          <w:i/>
          <w:iCs/>
          <w:sz w:val="24"/>
          <w:szCs w:val="24"/>
        </w:rPr>
        <w:t>2.3 SWR</w:t>
      </w:r>
    </w:p>
    <w:p w:rsidR="001B1A13" w:rsidRDefault="001B1A13" w:rsidP="001B1A13">
      <w:pPr>
        <w:ind w:firstLine="708"/>
        <w:jc w:val="both"/>
        <w:rPr>
          <w:rFonts w:ascii="Arial" w:hAnsi="Arial" w:cs="Arial"/>
          <w:sz w:val="24"/>
          <w:szCs w:val="24"/>
        </w:rPr>
      </w:pPr>
      <w:r>
        <w:rPr>
          <w:rFonts w:ascii="Arial" w:hAnsi="Arial" w:cs="Arial"/>
          <w:sz w:val="24"/>
          <w:szCs w:val="24"/>
        </w:rPr>
        <w:t xml:space="preserve">El SWR es la relación de onda estacionaria, por sus siglas en inglés. La onda estacionaria se forma cuando la energía que se emite no avanza completamente en la dirección en la que es dirigida, parte de esa energía emitida es regresada sobre el eje de propagación. </w:t>
      </w:r>
      <w:r w:rsidRPr="00D13D8C">
        <w:rPr>
          <w:rFonts w:ascii="Arial" w:hAnsi="Arial" w:cs="Arial"/>
          <w:sz w:val="24"/>
          <w:szCs w:val="24"/>
          <w:vertAlign w:val="superscript"/>
        </w:rPr>
        <w:t>[1]</w:t>
      </w:r>
      <w:r>
        <w:rPr>
          <w:rFonts w:ascii="Arial" w:hAnsi="Arial" w:cs="Arial"/>
          <w:sz w:val="24"/>
          <w:szCs w:val="24"/>
        </w:rPr>
        <w:t xml:space="preserve"> en algunos textos no se especifica de manera directa el significado de las siglas asignadas para la medición de la onda estacionaria, por ello aquí se define como: </w:t>
      </w:r>
    </w:p>
    <w:p w:rsidR="001B1A13" w:rsidRDefault="001B1A13" w:rsidP="001B1A13">
      <w:pPr>
        <w:ind w:firstLine="708"/>
        <w:jc w:val="right"/>
        <w:rPr>
          <w:rFonts w:ascii="Arial" w:hAnsi="Arial" w:cs="Arial"/>
          <w:sz w:val="24"/>
          <w:szCs w:val="24"/>
        </w:rPr>
      </w:pPr>
      <m:oMath>
        <m:r>
          <w:rPr>
            <w:rFonts w:ascii="Cambria Math" w:hAnsi="Cambria Math" w:cs="Arial"/>
            <w:sz w:val="24"/>
            <w:szCs w:val="24"/>
          </w:rPr>
          <m:t>VSWR =SWR =ISWR</m:t>
        </m:r>
      </m:oMath>
      <w:r>
        <w:rPr>
          <w:rFonts w:ascii="Arial" w:hAnsi="Arial" w:cs="Arial"/>
          <w:sz w:val="24"/>
          <w:szCs w:val="24"/>
        </w:rPr>
        <w:t xml:space="preserve">                                                         (3)</w:t>
      </w:r>
    </w:p>
    <w:p w:rsidR="001B1A13" w:rsidRPr="00115E16" w:rsidRDefault="001B1A13" w:rsidP="001B1A13">
      <w:pPr>
        <w:jc w:val="both"/>
        <w:rPr>
          <w:rFonts w:ascii="Arial" w:hAnsi="Arial" w:cs="Arial"/>
          <w:sz w:val="24"/>
          <w:szCs w:val="24"/>
        </w:rPr>
      </w:pPr>
      <w:r>
        <w:rPr>
          <w:rFonts w:ascii="Arial" w:hAnsi="Arial" w:cs="Arial"/>
          <w:sz w:val="24"/>
          <w:szCs w:val="24"/>
        </w:rPr>
        <w:t xml:space="preserve">Así se evitarán confusiones </w:t>
      </w:r>
      <w:r w:rsidRPr="00115E16">
        <w:rPr>
          <w:rFonts w:ascii="Arial" w:hAnsi="Arial" w:cs="Arial"/>
          <w:sz w:val="24"/>
          <w:szCs w:val="24"/>
          <w:vertAlign w:val="superscript"/>
        </w:rPr>
        <w:t>[2]</w:t>
      </w:r>
      <w:r>
        <w:rPr>
          <w:rFonts w:ascii="Arial" w:hAnsi="Arial" w:cs="Arial"/>
          <w:sz w:val="24"/>
          <w:szCs w:val="24"/>
          <w:vertAlign w:val="superscript"/>
        </w:rPr>
        <w:t xml:space="preserve"> </w:t>
      </w:r>
      <w:r>
        <w:rPr>
          <w:rFonts w:ascii="Arial" w:hAnsi="Arial" w:cs="Arial"/>
          <w:sz w:val="24"/>
          <w:szCs w:val="24"/>
        </w:rPr>
        <w:t>.</w:t>
      </w:r>
    </w:p>
    <w:p w:rsidR="001B1A13" w:rsidRDefault="001B1A13" w:rsidP="001B1A13">
      <w:pPr>
        <w:ind w:firstLine="708"/>
        <w:jc w:val="both"/>
        <w:rPr>
          <w:rFonts w:ascii="Arial" w:hAnsi="Arial" w:cs="Arial"/>
          <w:sz w:val="24"/>
          <w:szCs w:val="24"/>
        </w:rPr>
      </w:pPr>
      <w:r>
        <w:rPr>
          <w:rFonts w:ascii="Arial" w:hAnsi="Arial" w:cs="Arial"/>
          <w:sz w:val="24"/>
          <w:szCs w:val="24"/>
        </w:rPr>
        <w:t>Se define la relación de onda estacionaria como:</w:t>
      </w:r>
    </w:p>
    <w:p w:rsidR="001B1A13" w:rsidRPr="00F73EEE" w:rsidRDefault="001B1A13" w:rsidP="001B1A13">
      <w:pPr>
        <w:jc w:val="right"/>
        <w:rPr>
          <w:rFonts w:ascii="Arial" w:hAnsi="Arial" w:cs="Arial"/>
          <w:sz w:val="24"/>
          <w:szCs w:val="24"/>
        </w:rPr>
      </w:pPr>
      <m:oMath>
        <m:r>
          <w:rPr>
            <w:rFonts w:ascii="Cambria Math" w:hAnsi="Cambria Math" w:cs="Arial"/>
            <w:sz w:val="24"/>
            <w:szCs w:val="24"/>
          </w:rPr>
          <m:t xml:space="preserve">SWR = </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max</m:t>
                </m:r>
              </m:sub>
            </m:sSub>
          </m:num>
          <m:den>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min</m:t>
                </m:r>
              </m:sub>
            </m:sSub>
          </m:den>
        </m:f>
      </m:oMath>
      <w:r>
        <w:rPr>
          <w:rFonts w:ascii="Arial" w:hAnsi="Arial" w:cs="Arial"/>
          <w:sz w:val="24"/>
          <w:szCs w:val="24"/>
        </w:rPr>
        <w:t xml:space="preserve">                                                                     (4)</w:t>
      </w:r>
    </w:p>
    <w:p w:rsidR="001B1A13" w:rsidRPr="004C65D7" w:rsidRDefault="001B1A13" w:rsidP="001B1A13">
      <w:pPr>
        <w:contextualSpacing/>
        <w:jc w:val="both"/>
        <w:rPr>
          <w:rFonts w:ascii="Arial" w:hAnsi="Arial" w:cs="Arial"/>
          <w:sz w:val="24"/>
          <w:szCs w:val="24"/>
        </w:rPr>
      </w:pPr>
    </w:p>
    <w:p w:rsidR="001B1A13" w:rsidRPr="004F7D7E" w:rsidRDefault="001345E4" w:rsidP="001B1A13">
      <w:pPr>
        <w:jc w:val="both"/>
        <w:rPr>
          <w:rFonts w:ascii="Arial" w:hAnsi="Arial" w:cs="Arial"/>
          <w:sz w:val="24"/>
          <w:szCs w:val="24"/>
        </w:rPr>
      </w:pPr>
      <m:oMathPara>
        <m:oMathParaPr>
          <m:jc m:val="left"/>
        </m:oMathParaP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max</m:t>
              </m:r>
            </m:sub>
          </m:sSub>
          <m:r>
            <w:rPr>
              <w:rFonts w:ascii="Cambria Math" w:hAnsi="Cambria Math" w:cs="Arial"/>
              <w:sz w:val="24"/>
              <w:szCs w:val="24"/>
            </w:rPr>
            <m:t>=Valor máximo</m:t>
          </m:r>
        </m:oMath>
      </m:oMathPara>
    </w:p>
    <w:p w:rsidR="001B1A13" w:rsidRPr="004F7D7E" w:rsidRDefault="001345E4" w:rsidP="001B1A13">
      <w:pPr>
        <w:jc w:val="both"/>
        <w:rPr>
          <w:rFonts w:ascii="Arial" w:hAnsi="Arial" w:cs="Arial"/>
          <w:sz w:val="24"/>
          <w:szCs w:val="24"/>
        </w:rPr>
      </w:pPr>
      <m:oMathPara>
        <m:oMathParaPr>
          <m:jc m:val="left"/>
        </m:oMathParaP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min</m:t>
              </m:r>
            </m:sub>
          </m:sSub>
          <m:r>
            <w:rPr>
              <w:rFonts w:ascii="Cambria Math" w:hAnsi="Cambria Math" w:cs="Arial"/>
              <w:sz w:val="24"/>
              <w:szCs w:val="24"/>
            </w:rPr>
            <m:t xml:space="preserve"> =Valor mínimo</m:t>
          </m:r>
        </m:oMath>
      </m:oMathPara>
    </w:p>
    <w:p w:rsidR="001B1A13" w:rsidRDefault="001B1A13" w:rsidP="001B1A13">
      <w:pPr>
        <w:jc w:val="both"/>
        <w:rPr>
          <w:rFonts w:ascii="Arial" w:hAnsi="Arial" w:cs="Arial"/>
          <w:i/>
          <w:iCs/>
          <w:sz w:val="24"/>
          <w:szCs w:val="24"/>
        </w:rPr>
      </w:pPr>
    </w:p>
    <w:p w:rsidR="001B1A13" w:rsidRPr="00A8402E" w:rsidRDefault="001B1A13" w:rsidP="001B1A13">
      <w:pPr>
        <w:jc w:val="both"/>
        <w:rPr>
          <w:rFonts w:ascii="Arial" w:hAnsi="Arial" w:cs="Arial"/>
          <w:i/>
          <w:iCs/>
          <w:sz w:val="24"/>
          <w:szCs w:val="24"/>
        </w:rPr>
      </w:pPr>
      <w:r w:rsidRPr="00A8402E">
        <w:rPr>
          <w:rFonts w:ascii="Arial" w:hAnsi="Arial" w:cs="Arial"/>
          <w:i/>
          <w:iCs/>
          <w:sz w:val="24"/>
          <w:szCs w:val="24"/>
        </w:rPr>
        <w:t>2.4 Coeficiente de reflexión</w:t>
      </w:r>
    </w:p>
    <w:p w:rsidR="001B1A13" w:rsidRDefault="001B1A13" w:rsidP="001B1A13">
      <w:pPr>
        <w:ind w:firstLine="708"/>
        <w:jc w:val="both"/>
        <w:rPr>
          <w:rFonts w:ascii="Arial" w:hAnsi="Arial" w:cs="Arial"/>
          <w:sz w:val="24"/>
          <w:szCs w:val="24"/>
        </w:rPr>
      </w:pPr>
      <w:r>
        <w:rPr>
          <w:rFonts w:ascii="Arial" w:hAnsi="Arial" w:cs="Arial"/>
          <w:sz w:val="24"/>
          <w:szCs w:val="24"/>
        </w:rPr>
        <w:lastRenderedPageBreak/>
        <w:t>El coeficiente de reflexión es un número que representa un porcentaje de la energía que se aplicó pero que no llegó o no pasó, y que se regresa hacia la fuente que la emitió. La energía se supone que se regresa a través de la misma línea por donde inicialmente avanzó hacia su destino, la carga de la línea, pero que por alguna razón no se pudo entregar esa energía a dicha carga. Esto por supuesto que representa un problema que se vuelve bastante grave, cuando se utilizan potencias elevadas de energía, porque puede llegar a destruir el emisor y es por ello por lo que se procura que en la línea sea mínima la energía que se está reflejando hacia la fuente emisora. Las causas por las que la energía se está regresando en vez de avanzar pueden ser variadas, sin embargo, se puede resumir en que las impedancias no están acopladas.</w:t>
      </w:r>
    </w:p>
    <w:p w:rsidR="001B1A13" w:rsidRDefault="001B1A13" w:rsidP="001B1A13">
      <w:pPr>
        <w:ind w:firstLine="708"/>
        <w:jc w:val="both"/>
        <w:rPr>
          <w:rFonts w:ascii="Arial" w:hAnsi="Arial" w:cs="Arial"/>
          <w:sz w:val="24"/>
          <w:szCs w:val="24"/>
        </w:rPr>
      </w:pPr>
      <w:r>
        <w:rPr>
          <w:rFonts w:ascii="Arial" w:hAnsi="Arial" w:cs="Arial"/>
          <w:sz w:val="24"/>
          <w:szCs w:val="24"/>
        </w:rPr>
        <w:t>Por supuesto que por diseño lo principal es que la energía avance se entregue a la carga, sin embargo, existen situaciones o experimentos como los realizados en este trabajo que intencionalmente se busca medir la onda estacionaria que se está generando debido a que se ha dispuesto un material entre el emisor y el sensor.</w:t>
      </w:r>
    </w:p>
    <w:p w:rsidR="001B1A13" w:rsidRPr="00485064" w:rsidRDefault="001B1A13" w:rsidP="001B1A13">
      <w:pPr>
        <w:ind w:firstLine="708"/>
        <w:jc w:val="both"/>
        <w:rPr>
          <w:rFonts w:ascii="Arial" w:hAnsi="Arial" w:cs="Arial"/>
          <w:sz w:val="24"/>
          <w:szCs w:val="24"/>
        </w:rPr>
      </w:pPr>
      <w:r>
        <w:rPr>
          <w:rFonts w:ascii="Arial" w:hAnsi="Arial" w:cs="Arial"/>
          <w:sz w:val="24"/>
          <w:szCs w:val="24"/>
        </w:rPr>
        <w:t>El coeficiente de reflexión para una línea de transmisión se puede obtener de diferentes maneras, dependiendo de qué información se obtenga, de que datos se dispone.</w:t>
      </w:r>
    </w:p>
    <w:p w:rsidR="001B1A13" w:rsidRPr="00485064" w:rsidRDefault="001B1A13" w:rsidP="001B1A13">
      <w:pPr>
        <w:jc w:val="right"/>
        <w:rPr>
          <w:rFonts w:ascii="Arial" w:hAnsi="Arial" w:cs="Arial"/>
          <w:sz w:val="24"/>
          <w:szCs w:val="24"/>
        </w:rPr>
      </w:pPr>
      <m:oMath>
        <m:r>
          <m:rPr>
            <m:sty m:val="p"/>
          </m:rPr>
          <w:rPr>
            <w:rFonts w:ascii="Cambria Math" w:hAnsi="Cambria Math" w:cs="Arial"/>
            <w:sz w:val="24"/>
            <w:szCs w:val="24"/>
          </w:rPr>
          <m:t>Γ</m:t>
        </m:r>
        <m:r>
          <w:rPr>
            <w:rFonts w:ascii="Cambria Math" w:hAnsi="Cambria Math" w:cs="Arial"/>
            <w:sz w:val="24"/>
            <w:szCs w:val="24"/>
          </w:rPr>
          <m:t xml:space="preserve">= </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reflejada</m:t>
                </m:r>
              </m:sub>
            </m:sSub>
          </m:num>
          <m:den>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aplicada</m:t>
                </m:r>
              </m:sub>
            </m:sSub>
          </m:den>
        </m:f>
        <m:r>
          <w:rPr>
            <w:rFonts w:ascii="Cambria Math" w:hAnsi="Cambria Math" w:cs="Arial"/>
            <w:sz w:val="24"/>
            <w:szCs w:val="24"/>
          </w:rPr>
          <m:t xml:space="preserve"> = </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max</m:t>
                </m:r>
              </m:sub>
            </m:sSub>
            <m:r>
              <w:rPr>
                <w:rFonts w:ascii="Cambria Math" w:hAnsi="Cambria Math" w:cs="Arial"/>
                <w:sz w:val="24"/>
                <w:szCs w:val="24"/>
              </w:rPr>
              <m:t xml:space="preserve"> – </m:t>
            </m:r>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min</m:t>
                </m:r>
              </m:sub>
            </m:sSub>
          </m:num>
          <m:den>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max</m:t>
                </m:r>
              </m:sub>
            </m:sSub>
            <m:r>
              <w:rPr>
                <w:rFonts w:ascii="Cambria Math" w:hAnsi="Cambria Math" w:cs="Arial"/>
                <w:sz w:val="24"/>
                <w:szCs w:val="24"/>
              </w:rPr>
              <m:t xml:space="preserve"> + </m:t>
            </m:r>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min</m:t>
                </m:r>
              </m:sub>
            </m:sSub>
          </m:den>
        </m:f>
        <m:r>
          <w:rPr>
            <w:rFonts w:ascii="Cambria Math" w:hAnsi="Cambria Math" w:cs="Arial"/>
            <w:sz w:val="24"/>
            <w:szCs w:val="24"/>
          </w:rPr>
          <m:t xml:space="preserve"> = </m:t>
        </m:r>
        <m:f>
          <m:fPr>
            <m:ctrlPr>
              <w:rPr>
                <w:rFonts w:ascii="Cambria Math" w:hAnsi="Cambria Math" w:cs="Arial"/>
                <w:i/>
                <w:sz w:val="24"/>
                <w:szCs w:val="24"/>
              </w:rPr>
            </m:ctrlPr>
          </m:fPr>
          <m:num>
            <m:r>
              <w:rPr>
                <w:rFonts w:ascii="Cambria Math" w:hAnsi="Cambria Math" w:cs="Arial"/>
                <w:sz w:val="24"/>
                <w:szCs w:val="24"/>
              </w:rPr>
              <m:t>SWR -1</m:t>
            </m:r>
          </m:num>
          <m:den>
            <m:r>
              <w:rPr>
                <w:rFonts w:ascii="Cambria Math" w:hAnsi="Cambria Math" w:cs="Arial"/>
                <w:sz w:val="24"/>
                <w:szCs w:val="24"/>
              </w:rPr>
              <m:t>SWR +1</m:t>
            </m:r>
          </m:den>
        </m:f>
        <m:r>
          <w:rPr>
            <w:rFonts w:ascii="Cambria Math" w:hAnsi="Cambria Math" w:cs="Arial"/>
            <w:sz w:val="24"/>
            <w:szCs w:val="24"/>
          </w:rPr>
          <m:t xml:space="preserve"> = </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Z</m:t>
                </m:r>
              </m:e>
              <m:sub>
                <m:r>
                  <w:rPr>
                    <w:rFonts w:ascii="Cambria Math" w:hAnsi="Cambria Math" w:cs="Arial"/>
                    <w:sz w:val="24"/>
                    <w:szCs w:val="24"/>
                  </w:rPr>
                  <m:t>L</m:t>
                </m:r>
              </m:sub>
            </m:sSub>
            <m:r>
              <w:rPr>
                <w:rFonts w:ascii="Cambria Math" w:hAnsi="Cambria Math" w:cs="Arial"/>
                <w:sz w:val="24"/>
                <w:szCs w:val="24"/>
              </w:rPr>
              <m:t xml:space="preserve"> – </m:t>
            </m:r>
            <m:sSub>
              <m:sSubPr>
                <m:ctrlPr>
                  <w:rPr>
                    <w:rFonts w:ascii="Cambria Math" w:hAnsi="Cambria Math" w:cs="Arial"/>
                    <w:i/>
                    <w:sz w:val="24"/>
                    <w:szCs w:val="24"/>
                  </w:rPr>
                </m:ctrlPr>
              </m:sSubPr>
              <m:e>
                <m:r>
                  <w:rPr>
                    <w:rFonts w:ascii="Cambria Math" w:hAnsi="Cambria Math" w:cs="Arial"/>
                    <w:sz w:val="24"/>
                    <w:szCs w:val="24"/>
                  </w:rPr>
                  <m:t>Z</m:t>
                </m:r>
              </m:e>
              <m:sub>
                <m:r>
                  <w:rPr>
                    <w:rFonts w:ascii="Cambria Math" w:hAnsi="Cambria Math" w:cs="Arial"/>
                    <w:sz w:val="24"/>
                    <w:szCs w:val="24"/>
                  </w:rPr>
                  <m:t>O</m:t>
                </m:r>
              </m:sub>
            </m:sSub>
          </m:num>
          <m:den>
            <m:sSub>
              <m:sSubPr>
                <m:ctrlPr>
                  <w:rPr>
                    <w:rFonts w:ascii="Cambria Math" w:hAnsi="Cambria Math" w:cs="Arial"/>
                    <w:i/>
                    <w:sz w:val="24"/>
                    <w:szCs w:val="24"/>
                  </w:rPr>
                </m:ctrlPr>
              </m:sSubPr>
              <m:e>
                <m:r>
                  <w:rPr>
                    <w:rFonts w:ascii="Cambria Math" w:hAnsi="Cambria Math" w:cs="Arial"/>
                    <w:sz w:val="24"/>
                    <w:szCs w:val="24"/>
                  </w:rPr>
                  <m:t>Z</m:t>
                </m:r>
              </m:e>
              <m:sub>
                <m:r>
                  <w:rPr>
                    <w:rFonts w:ascii="Cambria Math" w:hAnsi="Cambria Math" w:cs="Arial"/>
                    <w:sz w:val="24"/>
                    <w:szCs w:val="24"/>
                  </w:rPr>
                  <m:t>L</m:t>
                </m:r>
              </m:sub>
            </m:sSub>
            <m:r>
              <w:rPr>
                <w:rFonts w:ascii="Cambria Math" w:hAnsi="Cambria Math" w:cs="Arial"/>
                <w:sz w:val="24"/>
                <w:szCs w:val="24"/>
              </w:rPr>
              <m:t xml:space="preserve"> + </m:t>
            </m:r>
            <m:sSub>
              <m:sSubPr>
                <m:ctrlPr>
                  <w:rPr>
                    <w:rFonts w:ascii="Cambria Math" w:hAnsi="Cambria Math" w:cs="Arial"/>
                    <w:i/>
                    <w:sz w:val="24"/>
                    <w:szCs w:val="24"/>
                  </w:rPr>
                </m:ctrlPr>
              </m:sSubPr>
              <m:e>
                <m:r>
                  <w:rPr>
                    <w:rFonts w:ascii="Cambria Math" w:hAnsi="Cambria Math" w:cs="Arial"/>
                    <w:sz w:val="24"/>
                    <w:szCs w:val="24"/>
                  </w:rPr>
                  <m:t>Z</m:t>
                </m:r>
              </m:e>
              <m:sub>
                <m:r>
                  <w:rPr>
                    <w:rFonts w:ascii="Cambria Math" w:hAnsi="Cambria Math" w:cs="Arial"/>
                    <w:sz w:val="24"/>
                    <w:szCs w:val="24"/>
                  </w:rPr>
                  <m:t>O</m:t>
                </m:r>
              </m:sub>
            </m:sSub>
          </m:den>
        </m:f>
      </m:oMath>
      <w:r>
        <w:rPr>
          <w:rFonts w:ascii="Arial" w:hAnsi="Arial" w:cs="Arial"/>
          <w:sz w:val="24"/>
          <w:szCs w:val="24"/>
        </w:rPr>
        <w:t xml:space="preserve">                                   (5)</w:t>
      </w:r>
    </w:p>
    <w:p w:rsidR="001B1A13" w:rsidRPr="00485064" w:rsidRDefault="001B1A13" w:rsidP="001B1A13">
      <w:pPr>
        <w:jc w:val="both"/>
        <w:rPr>
          <w:rFonts w:ascii="Arial" w:hAnsi="Arial" w:cs="Arial"/>
          <w:sz w:val="24"/>
          <w:szCs w:val="24"/>
        </w:rPr>
      </w:pPr>
    </w:p>
    <w:p w:rsidR="001B1A13" w:rsidRPr="00996A3E" w:rsidRDefault="000D32D1" w:rsidP="00257D10">
      <w:pPr>
        <w:pStyle w:val="1Titulo"/>
        <w:numPr>
          <w:ilvl w:val="0"/>
          <w:numId w:val="20"/>
        </w:numPr>
      </w:pPr>
      <w:bookmarkStart w:id="29" w:name="_Toc50031162"/>
      <w:r>
        <w:t>Condiciones experimentales</w:t>
      </w:r>
      <w:bookmarkEnd w:id="29"/>
    </w:p>
    <w:p w:rsidR="001B1A13" w:rsidRDefault="001B1A13" w:rsidP="001B1A13">
      <w:pPr>
        <w:ind w:firstLine="708"/>
        <w:jc w:val="both"/>
        <w:rPr>
          <w:rFonts w:ascii="Arial" w:hAnsi="Arial" w:cs="Arial"/>
          <w:sz w:val="24"/>
          <w:szCs w:val="24"/>
        </w:rPr>
      </w:pPr>
      <w:r w:rsidRPr="004C7C55">
        <w:rPr>
          <w:rFonts w:ascii="Arial" w:hAnsi="Arial" w:cs="Arial"/>
          <w:sz w:val="24"/>
          <w:szCs w:val="24"/>
        </w:rPr>
        <w:t>En todas y cada una de las pruebas que se hicieron, se optó por realizar únicamente mediciones en amplitud de la señal detectada; estas se especifican en unidades de Volts.</w:t>
      </w:r>
      <w:r>
        <w:rPr>
          <w:rFonts w:ascii="Arial" w:hAnsi="Arial" w:cs="Arial"/>
          <w:sz w:val="24"/>
          <w:szCs w:val="24"/>
        </w:rPr>
        <w:t xml:space="preserve"> En la figura siguiente, figura 3, se presenta un dibujo con la configuración general del equipo utilizado en las pruebas.</w:t>
      </w:r>
    </w:p>
    <w:p w:rsidR="001B1A13" w:rsidRDefault="001B1A13" w:rsidP="001B1A13">
      <w:pPr>
        <w:ind w:firstLine="708"/>
        <w:jc w:val="center"/>
        <w:rPr>
          <w:rFonts w:ascii="Arial" w:hAnsi="Arial" w:cs="Arial"/>
          <w:sz w:val="24"/>
          <w:szCs w:val="24"/>
        </w:rPr>
      </w:pPr>
      <w:r>
        <w:rPr>
          <w:rFonts w:ascii="Arial" w:hAnsi="Arial" w:cs="Arial"/>
          <w:noProof/>
          <w:sz w:val="24"/>
          <w:szCs w:val="24"/>
          <w:lang w:val="en-US"/>
        </w:rPr>
        <w:drawing>
          <wp:inline distT="0" distB="0" distL="0" distR="0" wp14:anchorId="4E2602A6" wp14:editId="23406742">
            <wp:extent cx="3786235" cy="1401925"/>
            <wp:effectExtent l="0" t="0" r="5080" b="82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902136" cy="1444840"/>
                    </a:xfrm>
                    <a:prstGeom prst="rect">
                      <a:avLst/>
                    </a:prstGeom>
                    <a:noFill/>
                    <a:ln>
                      <a:noFill/>
                    </a:ln>
                  </pic:spPr>
                </pic:pic>
              </a:graphicData>
            </a:graphic>
          </wp:inline>
        </w:drawing>
      </w:r>
    </w:p>
    <w:p w:rsidR="001B1A13" w:rsidRDefault="001B1A13" w:rsidP="001B1A13">
      <w:pPr>
        <w:ind w:firstLine="709"/>
        <w:contextualSpacing/>
        <w:jc w:val="center"/>
        <w:rPr>
          <w:rFonts w:ascii="Arial" w:hAnsi="Arial" w:cs="Arial"/>
          <w:i/>
          <w:iCs/>
          <w:sz w:val="20"/>
          <w:szCs w:val="20"/>
        </w:rPr>
      </w:pPr>
      <w:r w:rsidRPr="00E33380">
        <w:rPr>
          <w:rFonts w:ascii="Arial" w:hAnsi="Arial" w:cs="Arial"/>
          <w:i/>
          <w:iCs/>
          <w:sz w:val="20"/>
          <w:szCs w:val="20"/>
        </w:rPr>
        <w:t>Figura 3. Dibujo que representa la configuración general utilizada en las pruebas en materiales.</w:t>
      </w:r>
    </w:p>
    <w:p w:rsidR="001B1A13" w:rsidRPr="009A4FDF" w:rsidRDefault="001B1A13" w:rsidP="001B1A13">
      <w:pPr>
        <w:ind w:firstLine="709"/>
        <w:contextualSpacing/>
        <w:jc w:val="both"/>
        <w:rPr>
          <w:rFonts w:ascii="Arial" w:hAnsi="Arial" w:cs="Arial"/>
          <w:sz w:val="24"/>
          <w:szCs w:val="24"/>
        </w:rPr>
      </w:pPr>
    </w:p>
    <w:p w:rsidR="001B1A13" w:rsidRPr="009A4FDF" w:rsidRDefault="001B1A13" w:rsidP="001B1A13">
      <w:pPr>
        <w:ind w:firstLine="709"/>
        <w:contextualSpacing/>
        <w:jc w:val="both"/>
        <w:rPr>
          <w:rFonts w:ascii="Arial" w:hAnsi="Arial" w:cs="Arial"/>
          <w:sz w:val="24"/>
          <w:szCs w:val="24"/>
        </w:rPr>
      </w:pPr>
      <w:r w:rsidRPr="009A4FDF">
        <w:rPr>
          <w:rFonts w:ascii="Arial" w:hAnsi="Arial" w:cs="Arial"/>
          <w:sz w:val="24"/>
          <w:szCs w:val="24"/>
        </w:rPr>
        <w:lastRenderedPageBreak/>
        <w:t>Se puede utilizar el arreglo ejemplificado en la figura 3, o reagrupar la configuración para que s</w:t>
      </w:r>
      <w:r>
        <w:rPr>
          <w:rFonts w:ascii="Arial" w:hAnsi="Arial" w:cs="Arial"/>
          <w:sz w:val="24"/>
          <w:szCs w:val="24"/>
        </w:rPr>
        <w:t>ó</w:t>
      </w:r>
      <w:r w:rsidRPr="009A4FDF">
        <w:rPr>
          <w:rFonts w:ascii="Arial" w:hAnsi="Arial" w:cs="Arial"/>
          <w:sz w:val="24"/>
          <w:szCs w:val="24"/>
        </w:rPr>
        <w:t>lo sirva a una de las pruebas, todo dependerá del orden en que se realicen las pruebas y de las condiciones a las que se sujetaran dichas pruebas.</w:t>
      </w:r>
    </w:p>
    <w:p w:rsidR="001B1A13" w:rsidRDefault="001B1A13" w:rsidP="001B1A13">
      <w:pPr>
        <w:ind w:firstLine="708"/>
        <w:jc w:val="both"/>
        <w:rPr>
          <w:rFonts w:ascii="Arial" w:hAnsi="Arial" w:cs="Arial"/>
          <w:sz w:val="24"/>
          <w:szCs w:val="24"/>
        </w:rPr>
      </w:pPr>
      <w:r>
        <w:rPr>
          <w:rFonts w:ascii="Arial" w:hAnsi="Arial" w:cs="Arial"/>
          <w:sz w:val="24"/>
          <w:szCs w:val="24"/>
        </w:rPr>
        <w:t>Las pruebas se realizan en el material depositado en un contenedor formado por placas de vidrio, las placas de vidrio tienen un espesor de 1 mm ± 0.1 mm. El contenedor con el material a prueba se sitúa frente al emisor de energía; el detector de energía está dispuesto a una distancia de no más de 10.5 cm en el lado opuesto al arreglo emisor contenedor. Similar al arreglo que se presenta en el dibujo de la figura 2.</w:t>
      </w:r>
    </w:p>
    <w:p w:rsidR="001B1A13" w:rsidRDefault="001B1A13" w:rsidP="001B1A13">
      <w:pPr>
        <w:ind w:firstLine="708"/>
        <w:jc w:val="both"/>
        <w:rPr>
          <w:rFonts w:ascii="Arial" w:hAnsi="Arial" w:cs="Arial"/>
          <w:sz w:val="24"/>
          <w:szCs w:val="24"/>
        </w:rPr>
      </w:pPr>
      <w:r>
        <w:rPr>
          <w:rFonts w:ascii="Arial" w:hAnsi="Arial" w:cs="Arial"/>
          <w:sz w:val="24"/>
          <w:szCs w:val="24"/>
        </w:rPr>
        <w:t>El emisor de energía electromagnética es un oscilador acoplado, con una longitud de onda de 3.1 cm, el cual proporciona una potencia máxima de 50 mW. Esta potencia que proporciona el generador se puede mantener, y posteriormente disminuirla sin alterar en si al mismo generador; mediante el uso de un atenuador que se integra en la línea de viaje de la energía se logra disminuirla, previo a ser aplicada a la muestra. Algunos materiales pueden ser sensibles a la energía electromagnética, aun aplicándose en estos pequeños márgenes de valores. El resultado de la aplicación excesiva de energía puede resultar en variaciones de las características del material; lo que alejaría a este tipo de aplicación, de los métodos no destructivos de análisis.</w:t>
      </w:r>
    </w:p>
    <w:p w:rsidR="001B1A13" w:rsidRDefault="001B1A13" w:rsidP="001B1A13">
      <w:pPr>
        <w:ind w:firstLine="708"/>
        <w:jc w:val="both"/>
        <w:rPr>
          <w:rFonts w:ascii="Arial" w:hAnsi="Arial" w:cs="Arial"/>
          <w:sz w:val="24"/>
          <w:szCs w:val="24"/>
        </w:rPr>
      </w:pPr>
      <w:r>
        <w:rPr>
          <w:rFonts w:ascii="Arial" w:hAnsi="Arial" w:cs="Arial"/>
          <w:sz w:val="24"/>
          <w:szCs w:val="24"/>
        </w:rPr>
        <w:t xml:space="preserve">Cabe señalar, que existe una tendencia a utilizar señales con una potencia máxima de 10 mW, potencia aplicada sobre la muestra; es factible que se proponga esta potencia debido a que se puede optar por los nuevos generadores de señales, que entregan esta potencia como máximo. </w:t>
      </w:r>
    </w:p>
    <w:p w:rsidR="001B1A13" w:rsidRDefault="001B1A13" w:rsidP="001B1A13">
      <w:pPr>
        <w:ind w:firstLine="708"/>
        <w:jc w:val="both"/>
        <w:rPr>
          <w:rFonts w:ascii="Arial" w:hAnsi="Arial" w:cs="Arial"/>
          <w:sz w:val="24"/>
          <w:szCs w:val="24"/>
        </w:rPr>
      </w:pPr>
      <w:r>
        <w:rPr>
          <w:rFonts w:ascii="Arial" w:hAnsi="Arial" w:cs="Arial"/>
          <w:sz w:val="24"/>
          <w:szCs w:val="24"/>
        </w:rPr>
        <w:t>En configuraciones tradicionales, se dispone de elementos de prueba como lo es el atenuador, que permite disminuir la potencia aplicada a la muestra, sin alterar la frecuencia de la señal y la potencia que genera el arreglo.</w:t>
      </w:r>
    </w:p>
    <w:p w:rsidR="001B1A13" w:rsidRDefault="001B1A13" w:rsidP="001B1A13">
      <w:pPr>
        <w:ind w:firstLine="708"/>
        <w:jc w:val="both"/>
        <w:rPr>
          <w:rFonts w:ascii="Arial" w:hAnsi="Arial" w:cs="Arial"/>
          <w:sz w:val="24"/>
          <w:szCs w:val="24"/>
        </w:rPr>
      </w:pPr>
      <w:r>
        <w:rPr>
          <w:rFonts w:ascii="Arial" w:hAnsi="Arial" w:cs="Arial"/>
          <w:sz w:val="24"/>
          <w:szCs w:val="24"/>
        </w:rPr>
        <w:t>Por definición la energía que se refleja es energía que por obvias razones no ha sido refractada absorbida dispersada ni ha podido transmitirse a través del material, como bien se representó en el dibujo de la figura 1.</w:t>
      </w:r>
    </w:p>
    <w:p w:rsidR="001B1A13" w:rsidRDefault="001B1A13" w:rsidP="001B1A13">
      <w:pPr>
        <w:ind w:firstLine="708"/>
        <w:jc w:val="both"/>
        <w:rPr>
          <w:rFonts w:ascii="Arial" w:hAnsi="Arial" w:cs="Arial"/>
          <w:sz w:val="24"/>
          <w:szCs w:val="24"/>
        </w:rPr>
      </w:pPr>
      <w:r>
        <w:rPr>
          <w:rFonts w:ascii="Arial" w:hAnsi="Arial" w:cs="Arial"/>
          <w:sz w:val="24"/>
          <w:szCs w:val="24"/>
        </w:rPr>
        <w:t xml:space="preserve">Los experimentos se llevaron a cabo en el mismo sitio del laboratorio con el mismo equipo y a una temperatura ambiente de: 23.6 </w:t>
      </w:r>
      <w:r w:rsidRPr="002414E0">
        <w:rPr>
          <w:rFonts w:ascii="Arial" w:hAnsi="Arial" w:cs="Arial"/>
          <w:sz w:val="24"/>
          <w:szCs w:val="24"/>
          <w:vertAlign w:val="superscript"/>
        </w:rPr>
        <w:t>o</w:t>
      </w:r>
      <w:r>
        <w:rPr>
          <w:rFonts w:ascii="Arial" w:hAnsi="Arial" w:cs="Arial"/>
          <w:sz w:val="24"/>
          <w:szCs w:val="24"/>
        </w:rPr>
        <w:t xml:space="preserve">C ±1.5 </w:t>
      </w:r>
      <w:r w:rsidRPr="002414E0">
        <w:rPr>
          <w:rFonts w:ascii="Arial" w:hAnsi="Arial" w:cs="Arial"/>
          <w:sz w:val="24"/>
          <w:szCs w:val="24"/>
          <w:vertAlign w:val="superscript"/>
        </w:rPr>
        <w:t>o</w:t>
      </w:r>
      <w:r>
        <w:rPr>
          <w:rFonts w:ascii="Arial" w:hAnsi="Arial" w:cs="Arial"/>
          <w:sz w:val="24"/>
          <w:szCs w:val="24"/>
        </w:rPr>
        <w:t xml:space="preserve">C. </w:t>
      </w:r>
    </w:p>
    <w:p w:rsidR="001B1A13" w:rsidRPr="004C7C55" w:rsidRDefault="001B1A13" w:rsidP="001B1A13">
      <w:pPr>
        <w:spacing w:line="240" w:lineRule="auto"/>
        <w:contextualSpacing/>
        <w:jc w:val="both"/>
        <w:rPr>
          <w:rFonts w:ascii="Arial" w:hAnsi="Arial" w:cs="Arial"/>
          <w:sz w:val="24"/>
          <w:szCs w:val="24"/>
        </w:rPr>
      </w:pPr>
    </w:p>
    <w:p w:rsidR="001B1A13" w:rsidRDefault="001B1A13" w:rsidP="001B1A13">
      <w:pPr>
        <w:jc w:val="both"/>
        <w:rPr>
          <w:rFonts w:ascii="Arial" w:hAnsi="Arial" w:cs="Arial"/>
          <w:sz w:val="24"/>
          <w:szCs w:val="24"/>
        </w:rPr>
      </w:pPr>
      <w:r w:rsidRPr="00A8402E">
        <w:rPr>
          <w:rFonts w:ascii="Arial" w:hAnsi="Arial" w:cs="Arial"/>
          <w:i/>
          <w:iCs/>
          <w:sz w:val="24"/>
          <w:szCs w:val="24"/>
        </w:rPr>
        <w:t>3.1 Experimentos</w:t>
      </w:r>
      <w:r>
        <w:rPr>
          <w:rFonts w:ascii="Arial" w:hAnsi="Arial" w:cs="Arial"/>
          <w:sz w:val="24"/>
          <w:szCs w:val="24"/>
        </w:rPr>
        <w:t xml:space="preserve">. </w:t>
      </w:r>
    </w:p>
    <w:p w:rsidR="001B1A13" w:rsidRDefault="001B1A13" w:rsidP="001B1A13">
      <w:pPr>
        <w:ind w:firstLine="708"/>
        <w:jc w:val="both"/>
        <w:rPr>
          <w:rFonts w:ascii="Arial" w:hAnsi="Arial" w:cs="Arial"/>
          <w:sz w:val="24"/>
          <w:szCs w:val="24"/>
        </w:rPr>
      </w:pPr>
      <w:r>
        <w:rPr>
          <w:rFonts w:ascii="Arial" w:hAnsi="Arial" w:cs="Arial"/>
          <w:sz w:val="24"/>
          <w:szCs w:val="24"/>
        </w:rPr>
        <w:t xml:space="preserve">En los experimentos se sitúa una porción de material entre dos placas de vidrio de dimensiones: 25.4 x 76.2 mm y con un espesor de 1mm ±0.1mm cada placa. </w:t>
      </w:r>
    </w:p>
    <w:p w:rsidR="001B1A13" w:rsidRDefault="001B1A13" w:rsidP="001B1A13">
      <w:pPr>
        <w:ind w:firstLine="708"/>
        <w:contextualSpacing/>
        <w:jc w:val="both"/>
        <w:rPr>
          <w:rFonts w:ascii="Arial" w:hAnsi="Arial" w:cs="Arial"/>
          <w:sz w:val="24"/>
          <w:szCs w:val="24"/>
        </w:rPr>
      </w:pPr>
      <w:r>
        <w:rPr>
          <w:rFonts w:ascii="Arial" w:hAnsi="Arial" w:cs="Arial"/>
          <w:sz w:val="24"/>
          <w:szCs w:val="24"/>
        </w:rPr>
        <w:lastRenderedPageBreak/>
        <w:t>El material se aloja entre las piezas de vidrio rectangular (portaobjetos) permitiendo una capa de 1mm de espesor. Este espesor se conservó para todas las pruebas; para lograr un acomodo del material; se fue llenando manualmente el compartimiento cuando la celda ya estaba armada. Por lo que, cualquier objeto mayor a esas dimensiones, propio del material o lo que sea considerado como basura (u objeto extraño al material) fue desechado.</w:t>
      </w:r>
    </w:p>
    <w:p w:rsidR="001B1A13" w:rsidRDefault="001B1A13" w:rsidP="001B1A13">
      <w:pPr>
        <w:spacing w:line="240" w:lineRule="auto"/>
        <w:ind w:firstLine="708"/>
        <w:contextualSpacing/>
        <w:jc w:val="both"/>
        <w:rPr>
          <w:rFonts w:ascii="Arial" w:hAnsi="Arial" w:cs="Arial"/>
          <w:sz w:val="24"/>
          <w:szCs w:val="24"/>
        </w:rPr>
      </w:pPr>
    </w:p>
    <w:p w:rsidR="001B1A13" w:rsidRPr="00A8402E" w:rsidRDefault="001B1A13" w:rsidP="001B1A13">
      <w:pPr>
        <w:contextualSpacing/>
        <w:jc w:val="both"/>
        <w:rPr>
          <w:rFonts w:ascii="Arial" w:hAnsi="Arial" w:cs="Arial"/>
          <w:i/>
          <w:iCs/>
          <w:sz w:val="24"/>
          <w:szCs w:val="24"/>
        </w:rPr>
      </w:pPr>
      <w:r w:rsidRPr="00A8402E">
        <w:rPr>
          <w:rFonts w:ascii="Arial" w:hAnsi="Arial" w:cs="Arial"/>
          <w:i/>
          <w:iCs/>
          <w:sz w:val="24"/>
          <w:szCs w:val="24"/>
        </w:rPr>
        <w:t>3.2 Metodología.</w:t>
      </w:r>
    </w:p>
    <w:p w:rsidR="001B1A13" w:rsidRDefault="001B1A13" w:rsidP="001B1A13">
      <w:pPr>
        <w:ind w:firstLine="708"/>
        <w:contextualSpacing/>
        <w:jc w:val="both"/>
        <w:rPr>
          <w:rFonts w:ascii="Arial" w:hAnsi="Arial" w:cs="Arial"/>
          <w:sz w:val="24"/>
          <w:szCs w:val="24"/>
        </w:rPr>
      </w:pPr>
      <w:r>
        <w:rPr>
          <w:rFonts w:ascii="Arial" w:hAnsi="Arial" w:cs="Arial"/>
          <w:sz w:val="24"/>
          <w:szCs w:val="24"/>
        </w:rPr>
        <w:t xml:space="preserve">En estos experimentos se sigue el método de aplicar la energía electromagnética en línea recta, directa sobre la celda que contiene la muestra de material sin ángulo de incidencia, tratando de minimizar las pérdidas de la energía aplicada. Se procura que el material ofrezca un frente a la señal; se deposita en el contenedor de tal modo que esté uniformemente distribuido en toda la celda. </w:t>
      </w:r>
    </w:p>
    <w:p w:rsidR="001B1A13" w:rsidRDefault="001B1A13" w:rsidP="001B1A13">
      <w:pPr>
        <w:ind w:firstLine="708"/>
        <w:jc w:val="both"/>
        <w:rPr>
          <w:rFonts w:ascii="Arial" w:hAnsi="Arial" w:cs="Arial"/>
          <w:sz w:val="24"/>
          <w:szCs w:val="24"/>
        </w:rPr>
      </w:pPr>
      <w:r>
        <w:rPr>
          <w:rFonts w:ascii="Arial" w:hAnsi="Arial" w:cs="Arial"/>
          <w:sz w:val="24"/>
          <w:szCs w:val="24"/>
        </w:rPr>
        <w:t>Se plantean dos experimentos: (a) midiendo valores de voltaje recibido a través de la muestra y, (b) midiendo el VSWR que se genera por el material.</w:t>
      </w:r>
    </w:p>
    <w:p w:rsidR="001B1A13" w:rsidRDefault="001B1A13" w:rsidP="001B1A13">
      <w:pPr>
        <w:contextualSpacing/>
        <w:jc w:val="both"/>
        <w:rPr>
          <w:rFonts w:ascii="Arial" w:hAnsi="Arial" w:cs="Arial"/>
          <w:sz w:val="24"/>
          <w:szCs w:val="24"/>
        </w:rPr>
      </w:pPr>
    </w:p>
    <w:p w:rsidR="001B1A13" w:rsidRPr="00A8402E" w:rsidRDefault="001B1A13" w:rsidP="001B1A13">
      <w:pPr>
        <w:jc w:val="both"/>
        <w:rPr>
          <w:rFonts w:ascii="Arial" w:hAnsi="Arial" w:cs="Arial"/>
          <w:i/>
          <w:iCs/>
          <w:sz w:val="24"/>
          <w:szCs w:val="24"/>
        </w:rPr>
      </w:pPr>
      <w:r w:rsidRPr="00A8402E">
        <w:rPr>
          <w:rFonts w:ascii="Arial" w:hAnsi="Arial" w:cs="Arial"/>
          <w:i/>
          <w:iCs/>
          <w:sz w:val="24"/>
          <w:szCs w:val="24"/>
        </w:rPr>
        <w:t>3.3 Protocolo para los experimentos.</w:t>
      </w:r>
    </w:p>
    <w:p w:rsidR="001B1A13" w:rsidRDefault="001B1A13" w:rsidP="001B1A13">
      <w:pPr>
        <w:jc w:val="both"/>
        <w:rPr>
          <w:rFonts w:ascii="Arial" w:hAnsi="Arial" w:cs="Arial"/>
          <w:sz w:val="24"/>
          <w:szCs w:val="24"/>
        </w:rPr>
      </w:pPr>
      <w:r>
        <w:rPr>
          <w:rFonts w:ascii="Arial" w:hAnsi="Arial" w:cs="Arial"/>
          <w:sz w:val="24"/>
          <w:szCs w:val="24"/>
        </w:rPr>
        <w:t>1)Se define el tipo de experimento a realizar. Experimento a; Experimento b.</w:t>
      </w:r>
    </w:p>
    <w:p w:rsidR="001B1A13" w:rsidRDefault="001B1A13" w:rsidP="001B1A13">
      <w:pPr>
        <w:jc w:val="both"/>
        <w:rPr>
          <w:rFonts w:ascii="Arial" w:hAnsi="Arial" w:cs="Arial"/>
          <w:sz w:val="24"/>
          <w:szCs w:val="24"/>
        </w:rPr>
      </w:pPr>
      <w:r>
        <w:rPr>
          <w:rFonts w:ascii="Arial" w:hAnsi="Arial" w:cs="Arial"/>
          <w:sz w:val="24"/>
          <w:szCs w:val="24"/>
        </w:rPr>
        <w:t xml:space="preserve">2)Se prepara la celda con la muestra que será utilizada. Como ya se especificó. </w:t>
      </w:r>
    </w:p>
    <w:p w:rsidR="001B1A13" w:rsidRDefault="001B1A13" w:rsidP="001B1A13">
      <w:pPr>
        <w:jc w:val="both"/>
        <w:rPr>
          <w:rFonts w:ascii="Arial" w:hAnsi="Arial" w:cs="Arial"/>
          <w:sz w:val="24"/>
          <w:szCs w:val="24"/>
        </w:rPr>
      </w:pPr>
      <w:r>
        <w:rPr>
          <w:rFonts w:ascii="Arial" w:hAnsi="Arial" w:cs="Arial"/>
          <w:sz w:val="24"/>
          <w:szCs w:val="24"/>
        </w:rPr>
        <w:t>3)Se dispone la instrumentación según el experimento.</w:t>
      </w:r>
    </w:p>
    <w:p w:rsidR="001B1A13" w:rsidRDefault="001B1A13" w:rsidP="001B1A13">
      <w:pPr>
        <w:jc w:val="both"/>
        <w:rPr>
          <w:rFonts w:ascii="Arial" w:hAnsi="Arial" w:cs="Arial"/>
          <w:sz w:val="24"/>
          <w:szCs w:val="24"/>
        </w:rPr>
      </w:pPr>
      <w:r>
        <w:rPr>
          <w:rFonts w:ascii="Arial" w:hAnsi="Arial" w:cs="Arial"/>
          <w:sz w:val="24"/>
          <w:szCs w:val="24"/>
        </w:rPr>
        <w:t xml:space="preserve">    a. Generador; guía; soporte de sensor (ajuste de celda con material); sensor;     </w:t>
      </w:r>
    </w:p>
    <w:p w:rsidR="001B1A13" w:rsidRDefault="001B1A13" w:rsidP="001B1A13">
      <w:pPr>
        <w:jc w:val="both"/>
        <w:rPr>
          <w:rFonts w:ascii="Arial" w:hAnsi="Arial" w:cs="Arial"/>
          <w:sz w:val="24"/>
          <w:szCs w:val="24"/>
        </w:rPr>
      </w:pPr>
      <w:r>
        <w:rPr>
          <w:rFonts w:ascii="Arial" w:hAnsi="Arial" w:cs="Arial"/>
          <w:sz w:val="24"/>
          <w:szCs w:val="24"/>
        </w:rPr>
        <w:t xml:space="preserve">          medidor.</w:t>
      </w:r>
    </w:p>
    <w:p w:rsidR="001B1A13" w:rsidRDefault="001B1A13" w:rsidP="001B1A13">
      <w:pPr>
        <w:jc w:val="both"/>
        <w:rPr>
          <w:rFonts w:ascii="Arial" w:hAnsi="Arial" w:cs="Arial"/>
          <w:sz w:val="24"/>
          <w:szCs w:val="24"/>
        </w:rPr>
      </w:pPr>
      <w:r>
        <w:rPr>
          <w:rFonts w:ascii="Arial" w:hAnsi="Arial" w:cs="Arial"/>
          <w:sz w:val="24"/>
          <w:szCs w:val="24"/>
        </w:rPr>
        <w:t xml:space="preserve">    b. Generador; guía; carro guía detector; medidor; soporte de sensor (ajuste de   </w:t>
      </w:r>
    </w:p>
    <w:p w:rsidR="001B1A13" w:rsidRDefault="001B1A13" w:rsidP="001B1A13">
      <w:pPr>
        <w:jc w:val="both"/>
        <w:rPr>
          <w:rFonts w:ascii="Arial" w:hAnsi="Arial" w:cs="Arial"/>
          <w:sz w:val="24"/>
          <w:szCs w:val="24"/>
        </w:rPr>
      </w:pPr>
      <w:r>
        <w:rPr>
          <w:rFonts w:ascii="Arial" w:hAnsi="Arial" w:cs="Arial"/>
          <w:sz w:val="24"/>
          <w:szCs w:val="24"/>
        </w:rPr>
        <w:t xml:space="preserve">           celda con material).</w:t>
      </w:r>
    </w:p>
    <w:p w:rsidR="001B1A13" w:rsidRDefault="001B1A13" w:rsidP="001B1A13">
      <w:pPr>
        <w:jc w:val="both"/>
        <w:rPr>
          <w:rFonts w:ascii="Arial" w:hAnsi="Arial" w:cs="Arial"/>
          <w:sz w:val="24"/>
          <w:szCs w:val="24"/>
        </w:rPr>
      </w:pPr>
      <w:r>
        <w:rPr>
          <w:rFonts w:ascii="Arial" w:hAnsi="Arial" w:cs="Arial"/>
          <w:sz w:val="24"/>
          <w:szCs w:val="24"/>
        </w:rPr>
        <w:t>4)Se activa el generador y se procura un tiempo de estabilización del equipo.</w:t>
      </w:r>
    </w:p>
    <w:p w:rsidR="001B1A13" w:rsidRDefault="001B1A13" w:rsidP="001B1A13">
      <w:pPr>
        <w:jc w:val="both"/>
        <w:rPr>
          <w:rFonts w:ascii="Arial" w:hAnsi="Arial" w:cs="Arial"/>
          <w:sz w:val="24"/>
          <w:szCs w:val="24"/>
        </w:rPr>
      </w:pPr>
      <w:r>
        <w:rPr>
          <w:rFonts w:ascii="Arial" w:hAnsi="Arial" w:cs="Arial"/>
          <w:sz w:val="24"/>
          <w:szCs w:val="24"/>
        </w:rPr>
        <w:t>5)Se procede a realizar las mediciones según el experimento.</w:t>
      </w:r>
    </w:p>
    <w:p w:rsidR="001B1A13" w:rsidRDefault="001B1A13" w:rsidP="001B1A13">
      <w:pPr>
        <w:jc w:val="both"/>
        <w:rPr>
          <w:rFonts w:ascii="Arial" w:hAnsi="Arial" w:cs="Arial"/>
          <w:sz w:val="24"/>
          <w:szCs w:val="24"/>
        </w:rPr>
      </w:pPr>
      <w:r>
        <w:rPr>
          <w:rFonts w:ascii="Arial" w:hAnsi="Arial" w:cs="Arial"/>
          <w:sz w:val="24"/>
          <w:szCs w:val="24"/>
        </w:rPr>
        <w:t xml:space="preserve">    a. Se procede a determinar el valor máximo recibido sin celda de muestra.</w:t>
      </w:r>
    </w:p>
    <w:p w:rsidR="001B1A13" w:rsidRDefault="001B1A13" w:rsidP="001B1A13">
      <w:pPr>
        <w:jc w:val="both"/>
        <w:rPr>
          <w:rFonts w:ascii="Arial" w:hAnsi="Arial" w:cs="Arial"/>
          <w:sz w:val="24"/>
          <w:szCs w:val="24"/>
        </w:rPr>
      </w:pPr>
      <w:r>
        <w:rPr>
          <w:rFonts w:ascii="Arial" w:hAnsi="Arial" w:cs="Arial"/>
          <w:sz w:val="24"/>
          <w:szCs w:val="24"/>
        </w:rPr>
        <w:t xml:space="preserve">    b. Se sitúa la celda con la muestra frente al emisor. Se desplaza el carro con el detector para determinar un valor máximo; inmediatamente después se desliza hasta encontrar un valor mínimo.</w:t>
      </w:r>
    </w:p>
    <w:p w:rsidR="001B1A13" w:rsidRDefault="001B1A13" w:rsidP="001B1A13">
      <w:pPr>
        <w:jc w:val="both"/>
        <w:rPr>
          <w:rFonts w:ascii="Arial" w:hAnsi="Arial" w:cs="Arial"/>
          <w:sz w:val="24"/>
          <w:szCs w:val="24"/>
        </w:rPr>
      </w:pPr>
      <w:r>
        <w:rPr>
          <w:rFonts w:ascii="Arial" w:hAnsi="Arial" w:cs="Arial"/>
          <w:sz w:val="24"/>
          <w:szCs w:val="24"/>
        </w:rPr>
        <w:lastRenderedPageBreak/>
        <w:t>6)Se registran los valores obtenidos.</w:t>
      </w:r>
    </w:p>
    <w:p w:rsidR="001B1A13" w:rsidRDefault="001B1A13" w:rsidP="001B1A13">
      <w:pPr>
        <w:contextualSpacing/>
        <w:jc w:val="both"/>
        <w:rPr>
          <w:rFonts w:ascii="Arial" w:hAnsi="Arial" w:cs="Arial"/>
          <w:sz w:val="24"/>
          <w:szCs w:val="24"/>
        </w:rPr>
      </w:pPr>
    </w:p>
    <w:p w:rsidR="001B1A13" w:rsidRPr="00A8402E" w:rsidRDefault="001B1A13" w:rsidP="001B1A13">
      <w:pPr>
        <w:jc w:val="both"/>
        <w:rPr>
          <w:rFonts w:ascii="Arial" w:hAnsi="Arial" w:cs="Arial"/>
          <w:i/>
          <w:iCs/>
          <w:sz w:val="24"/>
          <w:szCs w:val="24"/>
        </w:rPr>
      </w:pPr>
      <w:r w:rsidRPr="00A8402E">
        <w:rPr>
          <w:rFonts w:ascii="Arial" w:hAnsi="Arial" w:cs="Arial"/>
          <w:i/>
          <w:iCs/>
          <w:sz w:val="24"/>
          <w:szCs w:val="24"/>
        </w:rPr>
        <w:t>3.4 Especificaciones de los experimentos.</w:t>
      </w:r>
    </w:p>
    <w:p w:rsidR="001B1A13" w:rsidRPr="004A3622" w:rsidRDefault="001B1A13" w:rsidP="001B1A13">
      <w:pPr>
        <w:ind w:firstLine="708"/>
        <w:jc w:val="both"/>
        <w:rPr>
          <w:rFonts w:ascii="Arial" w:hAnsi="Arial" w:cs="Arial"/>
          <w:sz w:val="24"/>
          <w:szCs w:val="24"/>
        </w:rPr>
      </w:pPr>
      <w:r>
        <w:rPr>
          <w:rFonts w:ascii="Arial" w:hAnsi="Arial" w:cs="Arial"/>
          <w:sz w:val="24"/>
          <w:szCs w:val="24"/>
        </w:rPr>
        <w:t xml:space="preserve">a) </w:t>
      </w:r>
      <w:r w:rsidRPr="004A3622">
        <w:rPr>
          <w:rFonts w:ascii="Arial" w:hAnsi="Arial" w:cs="Arial"/>
          <w:sz w:val="24"/>
          <w:szCs w:val="24"/>
        </w:rPr>
        <w:t>Experimento. Detección de la energía que logra atravesar el material.</w:t>
      </w:r>
    </w:p>
    <w:p w:rsidR="001B1A13" w:rsidRDefault="001B1A13" w:rsidP="001B1A13">
      <w:pPr>
        <w:ind w:firstLine="708"/>
        <w:jc w:val="both"/>
        <w:rPr>
          <w:rFonts w:ascii="Arial" w:hAnsi="Arial" w:cs="Arial"/>
          <w:sz w:val="24"/>
          <w:szCs w:val="24"/>
        </w:rPr>
      </w:pPr>
      <w:r>
        <w:rPr>
          <w:rFonts w:ascii="Arial" w:hAnsi="Arial" w:cs="Arial"/>
          <w:sz w:val="24"/>
          <w:szCs w:val="24"/>
        </w:rPr>
        <w:t>Se sitúa la celda que contiene el material (1 mm de espesor de material) en la salida del emisor; y el detector está fijo en aproximadamente a: 10.5 cm de distancia, en línea recta. Una vez activo el generador, se procede a registrar los valores.</w:t>
      </w:r>
    </w:p>
    <w:p w:rsidR="001B1A13" w:rsidRDefault="001B1A13" w:rsidP="001B1A13">
      <w:pPr>
        <w:ind w:firstLine="708"/>
        <w:jc w:val="both"/>
        <w:rPr>
          <w:rFonts w:ascii="Arial" w:hAnsi="Arial" w:cs="Arial"/>
          <w:sz w:val="24"/>
          <w:szCs w:val="24"/>
        </w:rPr>
      </w:pPr>
      <w:r>
        <w:rPr>
          <w:rFonts w:ascii="Arial" w:hAnsi="Arial" w:cs="Arial"/>
          <w:sz w:val="24"/>
          <w:szCs w:val="24"/>
        </w:rPr>
        <w:t>En primer término, se sigue el protocolo:  primero detectar el máximo valor que se recibe cuando no está la celda de prueba. En segundo paso, se sitúa la muestra en la salida del generador y se procede a registrar el valor que se obtiene.</w:t>
      </w:r>
    </w:p>
    <w:p w:rsidR="001B1A13" w:rsidRDefault="001B1A13" w:rsidP="001B1A13">
      <w:pPr>
        <w:ind w:firstLine="708"/>
        <w:jc w:val="both"/>
        <w:rPr>
          <w:rFonts w:ascii="Arial" w:hAnsi="Arial" w:cs="Arial"/>
          <w:sz w:val="24"/>
          <w:szCs w:val="24"/>
        </w:rPr>
      </w:pPr>
      <w:r>
        <w:rPr>
          <w:rFonts w:ascii="Arial" w:hAnsi="Arial" w:cs="Arial"/>
          <w:sz w:val="24"/>
          <w:szCs w:val="24"/>
        </w:rPr>
        <w:t>b) Experimento. Se determina el SWR generado durante la prueba.</w:t>
      </w:r>
    </w:p>
    <w:p w:rsidR="001B1A13" w:rsidRDefault="001B1A13" w:rsidP="001B1A13">
      <w:pPr>
        <w:ind w:firstLine="708"/>
        <w:jc w:val="both"/>
        <w:rPr>
          <w:rFonts w:ascii="Arial" w:hAnsi="Arial" w:cs="Arial"/>
          <w:sz w:val="24"/>
          <w:szCs w:val="24"/>
        </w:rPr>
      </w:pPr>
      <w:r>
        <w:rPr>
          <w:rFonts w:ascii="Arial" w:hAnsi="Arial" w:cs="Arial"/>
          <w:sz w:val="24"/>
          <w:szCs w:val="24"/>
        </w:rPr>
        <w:t xml:space="preserve">Una vez situada la celda que contiene el material bajo prueba, se sigue el protocolo del experimento para lograr registrar en este caso en específico, las lecturas Máxima y mínima que se detectan con el medidor de SWR. En este experimento se avanza el carro con el sensor y se localiza el valor mínimo: </w:t>
      </w: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min</m:t>
            </m:r>
          </m:sub>
        </m:sSub>
      </m:oMath>
      <w:r>
        <w:rPr>
          <w:rFonts w:ascii="Arial" w:hAnsi="Arial" w:cs="Arial"/>
          <w:sz w:val="24"/>
          <w:szCs w:val="24"/>
        </w:rPr>
        <w:t xml:space="preserve"> (máximo) y se continúa avanzando hasta encontrar un valor máximo: </w:t>
      </w: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max</m:t>
            </m:r>
          </m:sub>
        </m:sSub>
      </m:oMath>
      <w:r>
        <w:rPr>
          <w:rFonts w:ascii="Arial" w:hAnsi="Arial" w:cs="Arial"/>
          <w:sz w:val="24"/>
          <w:szCs w:val="24"/>
        </w:rPr>
        <w:t xml:space="preserve"> (mínimo). Estos valores son los que se generan cuando se tiene una onda estacionaria, y con base en estos valores es que se pueden conocer algunas características del material bajo prueba.</w:t>
      </w:r>
    </w:p>
    <w:p w:rsidR="001B1A13" w:rsidRDefault="000D32D1" w:rsidP="00257D10">
      <w:pPr>
        <w:pStyle w:val="1Titulo"/>
        <w:numPr>
          <w:ilvl w:val="0"/>
          <w:numId w:val="20"/>
        </w:numPr>
      </w:pPr>
      <w:bookmarkStart w:id="30" w:name="_Toc50031163"/>
      <w:r>
        <w:t>Resultados y discusión</w:t>
      </w:r>
      <w:bookmarkEnd w:id="30"/>
    </w:p>
    <w:p w:rsidR="001B1A13" w:rsidRPr="00C025AC" w:rsidRDefault="001B1A13" w:rsidP="001B1A13">
      <w:pPr>
        <w:ind w:firstLine="708"/>
        <w:jc w:val="both"/>
        <w:rPr>
          <w:rFonts w:ascii="Arial" w:hAnsi="Arial" w:cs="Arial"/>
          <w:sz w:val="24"/>
          <w:szCs w:val="24"/>
        </w:rPr>
      </w:pPr>
      <w:r w:rsidRPr="00C025AC">
        <w:rPr>
          <w:rFonts w:ascii="Arial" w:hAnsi="Arial" w:cs="Arial"/>
          <w:sz w:val="24"/>
          <w:szCs w:val="24"/>
        </w:rPr>
        <w:t>Con los valores obtenidos en los experimentos se definen algunas características del material muestra puesto en la celda de prueba.</w:t>
      </w:r>
    </w:p>
    <w:p w:rsidR="001B1A13" w:rsidRDefault="001B1A13" w:rsidP="001B1A13">
      <w:pPr>
        <w:jc w:val="both"/>
        <w:rPr>
          <w:rFonts w:ascii="Arial" w:hAnsi="Arial" w:cs="Arial"/>
          <w:sz w:val="24"/>
          <w:szCs w:val="24"/>
        </w:rPr>
      </w:pPr>
      <w:r>
        <w:rPr>
          <w:rFonts w:ascii="Arial" w:hAnsi="Arial" w:cs="Arial"/>
          <w:sz w:val="24"/>
          <w:szCs w:val="24"/>
        </w:rPr>
        <w:t xml:space="preserve">i) Transmitancia </w:t>
      </w:r>
    </w:p>
    <w:p w:rsidR="001B1A13" w:rsidRDefault="001B1A13" w:rsidP="001B1A13">
      <w:pPr>
        <w:ind w:firstLine="709"/>
        <w:contextualSpacing/>
        <w:jc w:val="both"/>
        <w:rPr>
          <w:rFonts w:ascii="Arial" w:hAnsi="Arial" w:cs="Arial"/>
          <w:sz w:val="24"/>
          <w:szCs w:val="24"/>
        </w:rPr>
      </w:pPr>
      <w:r>
        <w:rPr>
          <w:rFonts w:ascii="Arial" w:hAnsi="Arial" w:cs="Arial"/>
          <w:sz w:val="24"/>
          <w:szCs w:val="24"/>
        </w:rPr>
        <w:t>Si consideramos que son los niveles de amplitud de la señal aplicada (</w:t>
      </w: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0</m:t>
            </m:r>
          </m:sub>
        </m:sSub>
      </m:oMath>
      <w:r>
        <w:rPr>
          <w:rFonts w:ascii="Arial" w:hAnsi="Arial" w:cs="Arial"/>
          <w:sz w:val="24"/>
          <w:szCs w:val="24"/>
        </w:rPr>
        <w:t>) y de la señal resultante (</w:t>
      </w:r>
      <m:oMath>
        <m:r>
          <w:rPr>
            <w:rFonts w:ascii="Cambria Math" w:hAnsi="Cambria Math" w:cs="Arial"/>
            <w:sz w:val="24"/>
            <w:szCs w:val="24"/>
          </w:rPr>
          <m:t>V</m:t>
        </m:r>
      </m:oMath>
      <w:r>
        <w:rPr>
          <w:rFonts w:ascii="Arial" w:hAnsi="Arial" w:cs="Arial"/>
          <w:sz w:val="24"/>
          <w:szCs w:val="24"/>
        </w:rPr>
        <w:t>), señal que se detecta después de interactuar con la muestra de material.</w:t>
      </w:r>
    </w:p>
    <w:p w:rsidR="001B1A13" w:rsidRPr="007E0A35" w:rsidRDefault="001B1A13" w:rsidP="001B1A13">
      <w:pPr>
        <w:jc w:val="right"/>
        <w:rPr>
          <w:rFonts w:ascii="Arial" w:hAnsi="Arial" w:cs="Arial"/>
          <w:sz w:val="24"/>
          <w:szCs w:val="24"/>
        </w:rPr>
      </w:pPr>
      <m:oMath>
        <m:r>
          <w:rPr>
            <w:rFonts w:ascii="Cambria Math" w:hAnsi="Cambria Math" w:cs="Arial"/>
            <w:sz w:val="24"/>
            <w:szCs w:val="24"/>
          </w:rPr>
          <m:t xml:space="preserve">T = </m:t>
        </m:r>
        <m:f>
          <m:fPr>
            <m:ctrlPr>
              <w:rPr>
                <w:rFonts w:ascii="Cambria Math" w:hAnsi="Cambria Math" w:cs="Arial"/>
                <w:i/>
                <w:sz w:val="24"/>
                <w:szCs w:val="24"/>
              </w:rPr>
            </m:ctrlPr>
          </m:fPr>
          <m:num>
            <m:r>
              <w:rPr>
                <w:rFonts w:ascii="Cambria Math" w:hAnsi="Cambria Math" w:cs="Arial"/>
                <w:sz w:val="24"/>
                <w:szCs w:val="24"/>
              </w:rPr>
              <m:t>V</m:t>
            </m:r>
          </m:num>
          <m:den>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0</m:t>
                </m:r>
              </m:sub>
            </m:sSub>
          </m:den>
        </m:f>
      </m:oMath>
      <w:r>
        <w:rPr>
          <w:rFonts w:ascii="Arial" w:hAnsi="Arial" w:cs="Arial"/>
          <w:sz w:val="24"/>
          <w:szCs w:val="24"/>
        </w:rPr>
        <w:t xml:space="preserve">                                                                         (6)</w:t>
      </w:r>
    </w:p>
    <w:p w:rsidR="001B1A13" w:rsidRDefault="001B1A13" w:rsidP="001B1A13">
      <w:pPr>
        <w:jc w:val="both"/>
        <w:rPr>
          <w:rFonts w:ascii="Arial" w:hAnsi="Arial" w:cs="Arial"/>
          <w:sz w:val="24"/>
          <w:szCs w:val="24"/>
        </w:rPr>
      </w:pPr>
      <w:r>
        <w:rPr>
          <w:rFonts w:ascii="Arial" w:hAnsi="Arial" w:cs="Arial"/>
          <w:sz w:val="24"/>
          <w:szCs w:val="24"/>
        </w:rPr>
        <w:t>Valores en Volts, detectados durante el experimento:</w:t>
      </w:r>
    </w:p>
    <w:p w:rsidR="001B1A13" w:rsidRPr="003124BB" w:rsidRDefault="001B1A13" w:rsidP="001B1A13">
      <w:pPr>
        <w:jc w:val="right"/>
        <w:rPr>
          <w:rFonts w:ascii="Arial" w:hAnsi="Arial" w:cs="Arial"/>
          <w:sz w:val="24"/>
          <w:szCs w:val="24"/>
        </w:rPr>
      </w:pPr>
      <m:oMath>
        <m:r>
          <w:rPr>
            <w:rFonts w:ascii="Cambria Math" w:hAnsi="Cambria Math" w:cs="Arial"/>
            <w:sz w:val="24"/>
            <w:szCs w:val="24"/>
          </w:rPr>
          <m:t xml:space="preserve">V =0.347 </m:t>
        </m:r>
      </m:oMath>
      <w:r>
        <w:rPr>
          <w:rFonts w:ascii="Arial" w:hAnsi="Arial" w:cs="Arial"/>
          <w:sz w:val="24"/>
          <w:szCs w:val="24"/>
        </w:rPr>
        <w:t xml:space="preserve">                                                                   (7)</w:t>
      </w:r>
    </w:p>
    <w:p w:rsidR="001B1A13" w:rsidRPr="004F7D7E" w:rsidRDefault="001345E4" w:rsidP="001B1A13">
      <w:pPr>
        <w:jc w:val="right"/>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 xml:space="preserve">0 </m:t>
            </m:r>
          </m:sub>
        </m:sSub>
        <m:r>
          <w:rPr>
            <w:rFonts w:ascii="Cambria Math" w:hAnsi="Cambria Math" w:cs="Arial"/>
            <w:sz w:val="24"/>
            <w:szCs w:val="24"/>
          </w:rPr>
          <m:t xml:space="preserve"> =0.4767</m:t>
        </m:r>
      </m:oMath>
      <w:r w:rsidR="001B1A13">
        <w:rPr>
          <w:rFonts w:ascii="Arial" w:hAnsi="Arial" w:cs="Arial"/>
          <w:sz w:val="24"/>
          <w:szCs w:val="24"/>
        </w:rPr>
        <w:t xml:space="preserve">                                                                  (8)</w:t>
      </w:r>
    </w:p>
    <w:p w:rsidR="001B1A13" w:rsidRDefault="001B1A13" w:rsidP="001B1A13">
      <w:pPr>
        <w:jc w:val="both"/>
        <w:rPr>
          <w:rFonts w:ascii="Arial" w:hAnsi="Arial" w:cs="Arial"/>
          <w:sz w:val="24"/>
          <w:szCs w:val="24"/>
        </w:rPr>
      </w:pPr>
      <w:r>
        <w:rPr>
          <w:rFonts w:ascii="Arial" w:hAnsi="Arial" w:cs="Arial"/>
          <w:sz w:val="24"/>
          <w:szCs w:val="24"/>
        </w:rPr>
        <w:lastRenderedPageBreak/>
        <w:t xml:space="preserve">Se obtendrá que: </w:t>
      </w:r>
    </w:p>
    <w:p w:rsidR="001B1A13" w:rsidRDefault="001B1A13" w:rsidP="001B1A13">
      <w:pPr>
        <w:jc w:val="right"/>
        <w:rPr>
          <w:rFonts w:ascii="Arial" w:hAnsi="Arial" w:cs="Arial"/>
          <w:sz w:val="24"/>
          <w:szCs w:val="24"/>
        </w:rPr>
      </w:pPr>
      <w:r>
        <w:rPr>
          <w:rFonts w:ascii="Arial" w:hAnsi="Arial" w:cs="Arial"/>
          <w:sz w:val="24"/>
          <w:szCs w:val="24"/>
        </w:rPr>
        <w:t xml:space="preserve"> </w:t>
      </w:r>
      <m:oMath>
        <m:r>
          <w:rPr>
            <w:rFonts w:ascii="Cambria Math" w:hAnsi="Cambria Math" w:cs="Arial"/>
            <w:sz w:val="24"/>
            <w:szCs w:val="24"/>
          </w:rPr>
          <m:t>T =0.7279</m:t>
        </m:r>
      </m:oMath>
      <w:r>
        <w:rPr>
          <w:rFonts w:ascii="Arial" w:hAnsi="Arial" w:cs="Arial"/>
          <w:sz w:val="24"/>
          <w:szCs w:val="24"/>
        </w:rPr>
        <w:t xml:space="preserve">                                                                  (9)</w:t>
      </w:r>
    </w:p>
    <w:p w:rsidR="001B1A13" w:rsidRDefault="001B1A13" w:rsidP="001B1A13">
      <w:pPr>
        <w:jc w:val="both"/>
        <w:rPr>
          <w:rFonts w:ascii="Arial" w:hAnsi="Arial" w:cs="Arial"/>
          <w:sz w:val="24"/>
          <w:szCs w:val="24"/>
        </w:rPr>
      </w:pPr>
    </w:p>
    <w:p w:rsidR="001B1A13" w:rsidRPr="004C7C55" w:rsidRDefault="001B1A13" w:rsidP="001B1A13">
      <w:pPr>
        <w:jc w:val="both"/>
        <w:rPr>
          <w:rFonts w:ascii="Arial" w:hAnsi="Arial" w:cs="Arial"/>
          <w:sz w:val="24"/>
          <w:szCs w:val="24"/>
        </w:rPr>
      </w:pPr>
      <w:r>
        <w:rPr>
          <w:rFonts w:ascii="Arial" w:hAnsi="Arial" w:cs="Arial"/>
          <w:sz w:val="24"/>
          <w:szCs w:val="24"/>
        </w:rPr>
        <w:t xml:space="preserve">ii) </w:t>
      </w:r>
      <w:r w:rsidRPr="004C7C55">
        <w:rPr>
          <w:rFonts w:ascii="Arial" w:hAnsi="Arial" w:cs="Arial"/>
          <w:sz w:val="24"/>
          <w:szCs w:val="24"/>
        </w:rPr>
        <w:t>Absorbencia o Coeficiente de Extinción.</w:t>
      </w:r>
    </w:p>
    <w:p w:rsidR="001B1A13" w:rsidRDefault="001B1A13" w:rsidP="001B1A13">
      <w:pPr>
        <w:ind w:firstLine="708"/>
        <w:jc w:val="both"/>
        <w:rPr>
          <w:rFonts w:ascii="Arial" w:hAnsi="Arial" w:cs="Arial"/>
          <w:sz w:val="24"/>
          <w:szCs w:val="24"/>
        </w:rPr>
      </w:pPr>
      <w:r>
        <w:rPr>
          <w:rFonts w:ascii="Arial" w:hAnsi="Arial" w:cs="Arial"/>
          <w:sz w:val="24"/>
          <w:szCs w:val="24"/>
        </w:rPr>
        <w:t>Según la expresión para la absorbencia esta se obtiene:</w:t>
      </w:r>
    </w:p>
    <w:p w:rsidR="001B1A13" w:rsidRPr="001413B1" w:rsidRDefault="001B1A13" w:rsidP="001B1A13">
      <w:pPr>
        <w:jc w:val="right"/>
        <w:rPr>
          <w:rFonts w:ascii="Arial" w:hAnsi="Arial" w:cs="Arial"/>
          <w:sz w:val="24"/>
          <w:szCs w:val="24"/>
        </w:rPr>
      </w:pPr>
      <m:oMath>
        <m:r>
          <w:rPr>
            <w:rFonts w:ascii="Cambria Math" w:hAnsi="Cambria Math" w:cs="Arial"/>
            <w:sz w:val="24"/>
            <w:szCs w:val="24"/>
          </w:rPr>
          <m:t xml:space="preserve">A = - </m:t>
        </m:r>
        <m:func>
          <m:funcPr>
            <m:ctrlPr>
              <w:rPr>
                <w:rFonts w:ascii="Cambria Math" w:hAnsi="Cambria Math" w:cs="Arial"/>
                <w:i/>
                <w:sz w:val="24"/>
                <w:szCs w:val="24"/>
              </w:rPr>
            </m:ctrlPr>
          </m:funcPr>
          <m:fName>
            <m:sSub>
              <m:sSubPr>
                <m:ctrlPr>
                  <w:rPr>
                    <w:rFonts w:ascii="Cambria Math" w:hAnsi="Cambria Math" w:cs="Arial"/>
                    <w:i/>
                    <w:sz w:val="24"/>
                    <w:szCs w:val="24"/>
                  </w:rPr>
                </m:ctrlPr>
              </m:sSubPr>
              <m:e>
                <m:r>
                  <m:rPr>
                    <m:sty m:val="p"/>
                  </m:rPr>
                  <w:rPr>
                    <w:rFonts w:ascii="Cambria Math" w:hAnsi="Cambria Math" w:cs="Arial"/>
                    <w:sz w:val="24"/>
                    <w:szCs w:val="24"/>
                  </w:rPr>
                  <m:t>log</m:t>
                </m:r>
              </m:e>
              <m:sub>
                <m:r>
                  <w:rPr>
                    <w:rFonts w:ascii="Cambria Math" w:hAnsi="Cambria Math" w:cs="Arial"/>
                    <w:sz w:val="24"/>
                    <w:szCs w:val="24"/>
                  </w:rPr>
                  <m:t>10</m:t>
                </m:r>
              </m:sub>
            </m:sSub>
          </m:fName>
          <m:e>
            <m:d>
              <m:dPr>
                <m:ctrlPr>
                  <w:rPr>
                    <w:rFonts w:ascii="Cambria Math" w:hAnsi="Cambria Math" w:cs="Arial"/>
                    <w:i/>
                    <w:sz w:val="24"/>
                    <w:szCs w:val="24"/>
                  </w:rPr>
                </m:ctrlPr>
              </m:dPr>
              <m:e>
                <m:r>
                  <w:rPr>
                    <w:rFonts w:ascii="Cambria Math" w:hAnsi="Cambria Math" w:cs="Arial"/>
                    <w:sz w:val="24"/>
                    <w:szCs w:val="24"/>
                  </w:rPr>
                  <m:t>0.7279</m:t>
                </m:r>
              </m:e>
            </m:d>
          </m:e>
        </m:func>
      </m:oMath>
      <w:r>
        <w:rPr>
          <w:rFonts w:ascii="Arial" w:hAnsi="Arial" w:cs="Arial"/>
          <w:sz w:val="24"/>
          <w:szCs w:val="24"/>
        </w:rPr>
        <w:t xml:space="preserve">                                                      (10)</w:t>
      </w:r>
    </w:p>
    <w:p w:rsidR="001B1A13" w:rsidRDefault="001B1A13" w:rsidP="001B1A13">
      <w:pPr>
        <w:jc w:val="both"/>
        <w:rPr>
          <w:rFonts w:ascii="Arial" w:hAnsi="Arial" w:cs="Arial"/>
          <w:sz w:val="24"/>
          <w:szCs w:val="24"/>
        </w:rPr>
      </w:pPr>
      <w:r>
        <w:rPr>
          <w:rFonts w:ascii="Arial" w:hAnsi="Arial" w:cs="Arial"/>
          <w:sz w:val="24"/>
          <w:szCs w:val="24"/>
        </w:rPr>
        <w:t xml:space="preserve">Lo que resulta en:  </w:t>
      </w:r>
    </w:p>
    <w:p w:rsidR="001B1A13" w:rsidRDefault="001B1A13" w:rsidP="001B1A13">
      <w:pPr>
        <w:jc w:val="right"/>
        <w:rPr>
          <w:rFonts w:ascii="Arial" w:hAnsi="Arial" w:cs="Arial"/>
          <w:sz w:val="24"/>
          <w:szCs w:val="24"/>
        </w:rPr>
      </w:pPr>
      <w:r>
        <w:rPr>
          <w:rFonts w:ascii="Arial" w:hAnsi="Arial" w:cs="Arial"/>
          <w:sz w:val="24"/>
          <w:szCs w:val="24"/>
        </w:rPr>
        <w:t xml:space="preserve">  </w:t>
      </w:r>
      <m:oMath>
        <m:r>
          <w:rPr>
            <w:rFonts w:ascii="Cambria Math" w:hAnsi="Cambria Math" w:cs="Arial"/>
            <w:sz w:val="24"/>
            <w:szCs w:val="24"/>
          </w:rPr>
          <m:t>A =0.1379</m:t>
        </m:r>
      </m:oMath>
      <w:r>
        <w:rPr>
          <w:rFonts w:ascii="Arial" w:hAnsi="Arial" w:cs="Arial"/>
          <w:sz w:val="24"/>
          <w:szCs w:val="24"/>
        </w:rPr>
        <w:t xml:space="preserve">                                                                     (11)</w:t>
      </w:r>
    </w:p>
    <w:p w:rsidR="001B1A13" w:rsidRDefault="001B1A13" w:rsidP="001B1A13">
      <w:pPr>
        <w:jc w:val="both"/>
        <w:rPr>
          <w:rFonts w:ascii="Arial" w:hAnsi="Arial" w:cs="Arial"/>
          <w:sz w:val="24"/>
          <w:szCs w:val="24"/>
        </w:rPr>
      </w:pPr>
      <w:r>
        <w:rPr>
          <w:rFonts w:ascii="Arial" w:hAnsi="Arial" w:cs="Arial"/>
          <w:sz w:val="24"/>
          <w:szCs w:val="24"/>
        </w:rPr>
        <w:t>Estos datos nos arrojan ciertas características sobre esta prueba o resultado de experimento.</w:t>
      </w:r>
    </w:p>
    <w:p w:rsidR="001B1A13" w:rsidRDefault="001B1A13" w:rsidP="001B1A13">
      <w:pPr>
        <w:ind w:firstLine="708"/>
        <w:jc w:val="both"/>
        <w:rPr>
          <w:rFonts w:ascii="Arial" w:hAnsi="Arial" w:cs="Arial"/>
          <w:sz w:val="24"/>
          <w:szCs w:val="24"/>
        </w:rPr>
      </w:pPr>
      <w:r>
        <w:rPr>
          <w:rFonts w:ascii="Arial" w:hAnsi="Arial" w:cs="Arial"/>
          <w:sz w:val="24"/>
          <w:szCs w:val="24"/>
        </w:rPr>
        <w:t xml:space="preserve">Por principio. La transmitancia de este material, que pudiera estar situada entre 0 y 1. (cero para una opacidad total a la energía electromagnética aplicada, y uno para una transparencia completa) Está indicando que la mayoría de la energía aplicada está siendo bloqueada. En términos de porcentaje se puede considerar que más del setenta por ciento de dicha energía ha sido bloqueada, para esta longitud de onda. </w:t>
      </w:r>
    </w:p>
    <w:p w:rsidR="001B1A13" w:rsidRDefault="001B1A13" w:rsidP="001B1A13">
      <w:pPr>
        <w:ind w:firstLine="708"/>
        <w:jc w:val="both"/>
        <w:rPr>
          <w:rFonts w:ascii="Arial" w:hAnsi="Arial" w:cs="Arial"/>
          <w:sz w:val="24"/>
          <w:szCs w:val="24"/>
        </w:rPr>
      </w:pPr>
      <w:r>
        <w:rPr>
          <w:rFonts w:ascii="Arial" w:hAnsi="Arial" w:cs="Arial"/>
          <w:sz w:val="24"/>
          <w:szCs w:val="24"/>
        </w:rPr>
        <w:t>En segunda observación de los resultados. La Absorbencia indica que es muy poca la energía electromagnética que se está absorbiendo lo cual puede resultar congruente ya que, si no pasa energía a través de la materia, esta no podrá o no estará en posibilidad de absorber; el material absorberá únicamente la poca energía que estará en su superficie.</w:t>
      </w:r>
    </w:p>
    <w:p w:rsidR="001B1A13" w:rsidRDefault="001B1A13" w:rsidP="001B1A13">
      <w:pPr>
        <w:ind w:firstLine="708"/>
        <w:jc w:val="both"/>
        <w:rPr>
          <w:rFonts w:ascii="Arial" w:hAnsi="Arial" w:cs="Arial"/>
          <w:sz w:val="24"/>
          <w:szCs w:val="24"/>
        </w:rPr>
      </w:pPr>
      <w:r>
        <w:rPr>
          <w:rFonts w:ascii="Arial" w:hAnsi="Arial" w:cs="Arial"/>
          <w:sz w:val="24"/>
          <w:szCs w:val="24"/>
        </w:rPr>
        <w:t>La energía que llega al sensor del detector pudiera ser la que, por rebote en el mismo soporte de la celda de material, está alcanzando el extremo donde está situado dicho detector, además de la energía que por los extremos de la celda de material pudiera estar logrando cruzar.</w:t>
      </w:r>
    </w:p>
    <w:p w:rsidR="001B1A13" w:rsidRPr="004A3622" w:rsidRDefault="001B1A13" w:rsidP="001B1A13">
      <w:pPr>
        <w:jc w:val="both"/>
        <w:rPr>
          <w:rFonts w:ascii="Arial" w:hAnsi="Arial" w:cs="Arial"/>
          <w:sz w:val="24"/>
          <w:szCs w:val="24"/>
        </w:rPr>
      </w:pPr>
      <w:r>
        <w:rPr>
          <w:rFonts w:ascii="Arial" w:hAnsi="Arial" w:cs="Arial"/>
          <w:sz w:val="24"/>
          <w:szCs w:val="24"/>
        </w:rPr>
        <w:t xml:space="preserve">iii) Coeficiente de Reflexión / </w:t>
      </w:r>
      <w:r w:rsidRPr="004A3622">
        <w:rPr>
          <w:rFonts w:ascii="Arial" w:hAnsi="Arial" w:cs="Arial"/>
          <w:sz w:val="24"/>
          <w:szCs w:val="24"/>
        </w:rPr>
        <w:t>Mediciones de VSWR</w:t>
      </w:r>
    </w:p>
    <w:p w:rsidR="001B1A13" w:rsidRDefault="001345E4" w:rsidP="001B1A13">
      <w:pPr>
        <w:jc w:val="right"/>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max</m:t>
            </m:r>
          </m:sub>
        </m:sSub>
        <m:r>
          <w:rPr>
            <w:rFonts w:ascii="Cambria Math" w:hAnsi="Cambria Math" w:cs="Arial"/>
            <w:sz w:val="24"/>
            <w:szCs w:val="24"/>
          </w:rPr>
          <m:t xml:space="preserve"> =23.9</m:t>
        </m:r>
      </m:oMath>
      <w:r w:rsidR="001B1A13">
        <w:rPr>
          <w:rFonts w:ascii="Arial" w:hAnsi="Arial" w:cs="Arial"/>
          <w:sz w:val="24"/>
          <w:szCs w:val="24"/>
        </w:rPr>
        <w:t xml:space="preserve">                                                              (12)</w:t>
      </w:r>
    </w:p>
    <w:p w:rsidR="001B1A13" w:rsidRDefault="001345E4" w:rsidP="001B1A13">
      <w:pPr>
        <w:jc w:val="right"/>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min</m:t>
            </m:r>
          </m:sub>
        </m:sSub>
        <m:r>
          <w:rPr>
            <w:rFonts w:ascii="Cambria Math" w:hAnsi="Cambria Math" w:cs="Arial"/>
            <w:sz w:val="24"/>
            <w:szCs w:val="24"/>
          </w:rPr>
          <m:t xml:space="preserve"> =2.2</m:t>
        </m:r>
      </m:oMath>
      <w:r w:rsidR="001B1A13">
        <w:rPr>
          <w:rFonts w:ascii="Arial" w:hAnsi="Arial" w:cs="Arial"/>
          <w:sz w:val="24"/>
          <w:szCs w:val="24"/>
        </w:rPr>
        <w:t xml:space="preserve">                                                                (13)</w:t>
      </w:r>
    </w:p>
    <w:p w:rsidR="001B1A13" w:rsidRDefault="001B1A13" w:rsidP="001B1A13">
      <w:pPr>
        <w:jc w:val="right"/>
        <w:rPr>
          <w:rFonts w:ascii="Arial" w:hAnsi="Arial" w:cs="Arial"/>
          <w:sz w:val="24"/>
          <w:szCs w:val="24"/>
        </w:rPr>
      </w:pPr>
      <m:oMath>
        <m:r>
          <w:rPr>
            <w:rFonts w:ascii="Cambria Math" w:hAnsi="Cambria Math" w:cs="Arial"/>
            <w:sz w:val="24"/>
            <w:szCs w:val="24"/>
          </w:rPr>
          <m:t xml:space="preserve">VSWR = </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max</m:t>
                </m:r>
              </m:sub>
            </m:sSub>
          </m:num>
          <m:den>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min</m:t>
                </m:r>
              </m:sub>
            </m:sSub>
          </m:den>
        </m:f>
        <m:r>
          <w:rPr>
            <w:rFonts w:ascii="Cambria Math" w:hAnsi="Cambria Math" w:cs="Arial"/>
            <w:sz w:val="24"/>
            <w:szCs w:val="24"/>
          </w:rPr>
          <m:t xml:space="preserve"> =10.86</m:t>
        </m:r>
      </m:oMath>
      <w:r>
        <w:rPr>
          <w:rFonts w:ascii="Arial" w:hAnsi="Arial" w:cs="Arial"/>
          <w:sz w:val="24"/>
          <w:szCs w:val="24"/>
        </w:rPr>
        <w:t xml:space="preserve">                                                     (14)</w:t>
      </w:r>
    </w:p>
    <w:p w:rsidR="001B1A13" w:rsidRDefault="001B1A13" w:rsidP="001B1A13">
      <w:pPr>
        <w:ind w:firstLine="708"/>
        <w:jc w:val="both"/>
        <w:rPr>
          <w:rFonts w:ascii="Arial" w:hAnsi="Arial" w:cs="Arial"/>
          <w:sz w:val="24"/>
          <w:szCs w:val="24"/>
        </w:rPr>
      </w:pPr>
      <w:r>
        <w:rPr>
          <w:rFonts w:ascii="Arial" w:hAnsi="Arial" w:cs="Arial"/>
          <w:sz w:val="24"/>
          <w:szCs w:val="24"/>
        </w:rPr>
        <w:lastRenderedPageBreak/>
        <w:t xml:space="preserve">Se obtiene el valor del VSWR, a partir de los datos generados del experimento; con el valor del VSWR se calcula el coeficiente de reflexión. Según la expresión matemática siguiente: </w:t>
      </w:r>
    </w:p>
    <w:p w:rsidR="001B1A13" w:rsidRPr="008311BB" w:rsidRDefault="001B1A13" w:rsidP="001B1A13">
      <w:pPr>
        <w:jc w:val="right"/>
        <w:rPr>
          <w:rFonts w:ascii="Arial" w:hAnsi="Arial" w:cs="Arial"/>
          <w:sz w:val="24"/>
          <w:szCs w:val="24"/>
        </w:rPr>
      </w:pPr>
      <m:oMath>
        <m:r>
          <m:rPr>
            <m:sty m:val="p"/>
          </m:rPr>
          <w:rPr>
            <w:rFonts w:ascii="Cambria Math" w:hAnsi="Cambria Math" w:cs="Arial"/>
            <w:sz w:val="24"/>
            <w:szCs w:val="24"/>
          </w:rPr>
          <m:t>Γ</m:t>
        </m:r>
        <m:r>
          <w:rPr>
            <w:rFonts w:ascii="Cambria Math" w:hAnsi="Cambria Math" w:cs="Arial"/>
            <w:sz w:val="24"/>
            <w:szCs w:val="24"/>
          </w:rPr>
          <m:t xml:space="preserve"> = </m:t>
        </m:r>
        <m:f>
          <m:fPr>
            <m:ctrlPr>
              <w:rPr>
                <w:rFonts w:ascii="Cambria Math" w:hAnsi="Cambria Math" w:cs="Arial"/>
                <w:i/>
                <w:sz w:val="24"/>
                <w:szCs w:val="24"/>
              </w:rPr>
            </m:ctrlPr>
          </m:fPr>
          <m:num>
            <m:r>
              <w:rPr>
                <w:rFonts w:ascii="Cambria Math" w:hAnsi="Cambria Math" w:cs="Arial"/>
                <w:sz w:val="24"/>
                <w:szCs w:val="24"/>
              </w:rPr>
              <m:t>VSWR-1</m:t>
            </m:r>
          </m:num>
          <m:den>
            <m:r>
              <w:rPr>
                <w:rFonts w:ascii="Cambria Math" w:hAnsi="Cambria Math" w:cs="Arial"/>
                <w:sz w:val="24"/>
                <w:szCs w:val="24"/>
              </w:rPr>
              <m:t>VSWR+1</m:t>
            </m:r>
          </m:den>
        </m:f>
      </m:oMath>
      <w:r>
        <w:rPr>
          <w:rFonts w:ascii="Arial" w:hAnsi="Arial" w:cs="Arial"/>
          <w:sz w:val="24"/>
          <w:szCs w:val="24"/>
        </w:rPr>
        <w:t xml:space="preserve">                                                                  (15)</w:t>
      </w:r>
    </w:p>
    <w:p w:rsidR="001B1A13" w:rsidRDefault="001B1A13" w:rsidP="001B1A13">
      <w:pPr>
        <w:ind w:firstLine="708"/>
        <w:jc w:val="both"/>
        <w:rPr>
          <w:rFonts w:ascii="Arial" w:hAnsi="Arial" w:cs="Arial"/>
          <w:sz w:val="24"/>
          <w:szCs w:val="24"/>
        </w:rPr>
      </w:pPr>
      <w:r>
        <w:rPr>
          <w:rFonts w:ascii="Arial" w:hAnsi="Arial" w:cs="Arial"/>
          <w:sz w:val="24"/>
          <w:szCs w:val="24"/>
        </w:rPr>
        <w:t>Sustituyendo por los valores correspondientes, se obtiene que el coeficiente de reflexión será:</w:t>
      </w:r>
    </w:p>
    <w:p w:rsidR="001B1A13" w:rsidRDefault="001B1A13" w:rsidP="001B1A13">
      <w:pPr>
        <w:jc w:val="right"/>
        <w:rPr>
          <w:rFonts w:ascii="Arial" w:hAnsi="Arial" w:cs="Arial"/>
          <w:sz w:val="24"/>
          <w:szCs w:val="24"/>
        </w:rPr>
      </w:pPr>
      <m:oMath>
        <m:r>
          <m:rPr>
            <m:sty m:val="p"/>
          </m:rPr>
          <w:rPr>
            <w:rFonts w:ascii="Cambria Math" w:hAnsi="Cambria Math" w:cs="Arial"/>
            <w:sz w:val="24"/>
            <w:szCs w:val="24"/>
          </w:rPr>
          <m:t>Γ</m:t>
        </m:r>
        <m:r>
          <w:rPr>
            <w:rFonts w:ascii="Cambria Math" w:hAnsi="Cambria Math" w:cs="Arial"/>
            <w:sz w:val="24"/>
            <w:szCs w:val="24"/>
          </w:rPr>
          <m:t xml:space="preserve"> =0.83</m:t>
        </m:r>
      </m:oMath>
      <w:r>
        <w:rPr>
          <w:rFonts w:ascii="Arial" w:hAnsi="Arial" w:cs="Arial"/>
          <w:sz w:val="24"/>
          <w:szCs w:val="24"/>
        </w:rPr>
        <w:t xml:space="preserve">                                                                       (16)</w:t>
      </w:r>
    </w:p>
    <w:p w:rsidR="001B1A13" w:rsidRDefault="001B1A13" w:rsidP="001B1A13">
      <w:pPr>
        <w:ind w:firstLine="708"/>
        <w:jc w:val="both"/>
        <w:rPr>
          <w:rFonts w:ascii="Arial" w:hAnsi="Arial" w:cs="Arial"/>
          <w:sz w:val="24"/>
          <w:szCs w:val="24"/>
        </w:rPr>
      </w:pPr>
      <w:r>
        <w:rPr>
          <w:rFonts w:ascii="Arial" w:hAnsi="Arial" w:cs="Arial"/>
          <w:sz w:val="24"/>
          <w:szCs w:val="24"/>
        </w:rPr>
        <w:t xml:space="preserve">El valor del SWR de momento puede impresionar bastante si se está acostumbrado a manejar valores de SWR cercanos en magnitud a dos, sin embargo, en algunos textos podemos encontrar pruebas sobre elementos de conmutación que reportan valores de SWR de 50 </w:t>
      </w:r>
      <w:r w:rsidRPr="00D13D8C">
        <w:rPr>
          <w:rFonts w:ascii="Arial" w:hAnsi="Arial" w:cs="Arial"/>
          <w:sz w:val="24"/>
          <w:szCs w:val="24"/>
          <w:vertAlign w:val="superscript"/>
        </w:rPr>
        <w:t>[3]</w:t>
      </w:r>
      <w:r>
        <w:rPr>
          <w:rFonts w:ascii="Arial" w:hAnsi="Arial" w:cs="Arial"/>
          <w:sz w:val="24"/>
          <w:szCs w:val="24"/>
        </w:rPr>
        <w:t xml:space="preserve">. Lo que pudiera parecer impensable. </w:t>
      </w:r>
    </w:p>
    <w:p w:rsidR="001B1A13" w:rsidRDefault="001B1A13" w:rsidP="001B1A13">
      <w:pPr>
        <w:ind w:firstLine="708"/>
        <w:jc w:val="both"/>
        <w:rPr>
          <w:rFonts w:ascii="Arial" w:hAnsi="Arial" w:cs="Arial"/>
          <w:sz w:val="24"/>
          <w:szCs w:val="24"/>
        </w:rPr>
      </w:pPr>
      <w:r>
        <w:rPr>
          <w:rFonts w:ascii="Arial" w:hAnsi="Arial" w:cs="Arial"/>
          <w:sz w:val="24"/>
          <w:szCs w:val="24"/>
        </w:rPr>
        <w:t>Siguiendo los protocolos establecidos aquí se procedió a probar diferentes materiales destacándose dos muestras de material. Los resultados se presentan en la tabla 1.</w:t>
      </w:r>
    </w:p>
    <w:p w:rsidR="001B1A13" w:rsidRPr="00A77BD6" w:rsidRDefault="001B1A13" w:rsidP="001B1A13">
      <w:pPr>
        <w:spacing w:line="240" w:lineRule="auto"/>
        <w:ind w:firstLine="709"/>
        <w:contextualSpacing/>
        <w:jc w:val="center"/>
        <w:rPr>
          <w:rFonts w:ascii="Times New Roman" w:hAnsi="Times New Roman" w:cs="Times New Roman"/>
          <w:i/>
          <w:iCs/>
          <w:sz w:val="20"/>
          <w:szCs w:val="20"/>
        </w:rPr>
      </w:pPr>
      <w:r w:rsidRPr="00A77BD6">
        <w:rPr>
          <w:rFonts w:ascii="Times New Roman" w:hAnsi="Times New Roman" w:cs="Times New Roman"/>
          <w:i/>
          <w:iCs/>
          <w:sz w:val="20"/>
          <w:szCs w:val="20"/>
        </w:rPr>
        <w:t>Tabla 1. Se muestran los resultados obtenidos en las pruebas.</w:t>
      </w:r>
    </w:p>
    <w:tbl>
      <w:tblPr>
        <w:tblStyle w:val="Tablaconcuadrcula"/>
        <w:tblW w:w="0" w:type="auto"/>
        <w:jc w:val="center"/>
        <w:tblLook w:val="04A0" w:firstRow="1" w:lastRow="0" w:firstColumn="1" w:lastColumn="0" w:noHBand="0" w:noVBand="1"/>
      </w:tblPr>
      <w:tblGrid>
        <w:gridCol w:w="1448"/>
        <w:gridCol w:w="1724"/>
        <w:gridCol w:w="1647"/>
        <w:gridCol w:w="1134"/>
        <w:gridCol w:w="3020"/>
      </w:tblGrid>
      <w:tr w:rsidR="001B1A13" w:rsidTr="00B81843">
        <w:trPr>
          <w:jc w:val="center"/>
        </w:trPr>
        <w:tc>
          <w:tcPr>
            <w:tcW w:w="1448" w:type="dxa"/>
          </w:tcPr>
          <w:p w:rsidR="001B1A13" w:rsidRDefault="001B1A13" w:rsidP="00B81843">
            <w:pPr>
              <w:jc w:val="center"/>
              <w:rPr>
                <w:rFonts w:ascii="Arial" w:hAnsi="Arial" w:cs="Arial"/>
                <w:sz w:val="24"/>
                <w:szCs w:val="24"/>
              </w:rPr>
            </w:pPr>
            <w:r>
              <w:rPr>
                <w:rFonts w:ascii="Arial" w:hAnsi="Arial" w:cs="Arial"/>
                <w:sz w:val="24"/>
                <w:szCs w:val="24"/>
              </w:rPr>
              <w:t>Muestra de</w:t>
            </w:r>
          </w:p>
          <w:p w:rsidR="001B1A13" w:rsidRDefault="001B1A13" w:rsidP="00B81843">
            <w:pPr>
              <w:jc w:val="center"/>
              <w:rPr>
                <w:rFonts w:ascii="Arial" w:hAnsi="Arial" w:cs="Arial"/>
                <w:sz w:val="24"/>
                <w:szCs w:val="24"/>
              </w:rPr>
            </w:pPr>
            <w:r>
              <w:rPr>
                <w:rFonts w:ascii="Arial" w:hAnsi="Arial" w:cs="Arial"/>
                <w:sz w:val="24"/>
                <w:szCs w:val="24"/>
              </w:rPr>
              <w:t>Material</w:t>
            </w:r>
          </w:p>
        </w:tc>
        <w:tc>
          <w:tcPr>
            <w:tcW w:w="1724" w:type="dxa"/>
          </w:tcPr>
          <w:p w:rsidR="001B1A13" w:rsidRDefault="001B1A13" w:rsidP="00B81843">
            <w:pPr>
              <w:jc w:val="center"/>
              <w:rPr>
                <w:rFonts w:ascii="Arial" w:hAnsi="Arial" w:cs="Arial"/>
                <w:sz w:val="24"/>
                <w:szCs w:val="24"/>
              </w:rPr>
            </w:pPr>
            <w:r>
              <w:rPr>
                <w:rFonts w:ascii="Arial" w:hAnsi="Arial" w:cs="Arial"/>
                <w:sz w:val="24"/>
                <w:szCs w:val="24"/>
              </w:rPr>
              <w:t>Transmitancia</w:t>
            </w:r>
          </w:p>
          <w:p w:rsidR="001B1A13" w:rsidRDefault="001B1A13" w:rsidP="00B81843">
            <w:pPr>
              <w:jc w:val="center"/>
              <w:rPr>
                <w:rFonts w:ascii="Arial" w:hAnsi="Arial" w:cs="Arial"/>
                <w:sz w:val="24"/>
                <w:szCs w:val="24"/>
              </w:rPr>
            </w:pPr>
            <w:r>
              <w:rPr>
                <w:rFonts w:ascii="Arial" w:hAnsi="Arial" w:cs="Arial"/>
                <w:sz w:val="24"/>
                <w:szCs w:val="24"/>
              </w:rPr>
              <w:t>(T)</w:t>
            </w:r>
          </w:p>
        </w:tc>
        <w:tc>
          <w:tcPr>
            <w:tcW w:w="1647" w:type="dxa"/>
          </w:tcPr>
          <w:p w:rsidR="001B1A13" w:rsidRDefault="001B1A13" w:rsidP="00B81843">
            <w:pPr>
              <w:jc w:val="center"/>
              <w:rPr>
                <w:rFonts w:ascii="Arial" w:hAnsi="Arial" w:cs="Arial"/>
                <w:sz w:val="24"/>
                <w:szCs w:val="24"/>
              </w:rPr>
            </w:pPr>
            <w:r>
              <w:rPr>
                <w:rFonts w:ascii="Arial" w:hAnsi="Arial" w:cs="Arial"/>
                <w:sz w:val="24"/>
                <w:szCs w:val="24"/>
              </w:rPr>
              <w:t>Absorbencia</w:t>
            </w:r>
          </w:p>
          <w:p w:rsidR="001B1A13" w:rsidRDefault="001B1A13" w:rsidP="00B81843">
            <w:pPr>
              <w:jc w:val="center"/>
              <w:rPr>
                <w:rFonts w:ascii="Arial" w:hAnsi="Arial" w:cs="Arial"/>
                <w:sz w:val="24"/>
                <w:szCs w:val="24"/>
              </w:rPr>
            </w:pPr>
            <w:r>
              <w:rPr>
                <w:rFonts w:ascii="Arial" w:hAnsi="Arial" w:cs="Arial"/>
                <w:sz w:val="24"/>
                <w:szCs w:val="24"/>
              </w:rPr>
              <w:t>(A)</w:t>
            </w:r>
          </w:p>
        </w:tc>
        <w:tc>
          <w:tcPr>
            <w:tcW w:w="1134" w:type="dxa"/>
          </w:tcPr>
          <w:p w:rsidR="001B1A13" w:rsidRDefault="001B1A13" w:rsidP="00B81843">
            <w:pPr>
              <w:jc w:val="center"/>
              <w:rPr>
                <w:rFonts w:ascii="Arial" w:hAnsi="Arial" w:cs="Arial"/>
                <w:sz w:val="24"/>
                <w:szCs w:val="24"/>
              </w:rPr>
            </w:pPr>
            <w:r>
              <w:rPr>
                <w:rFonts w:ascii="Arial" w:hAnsi="Arial" w:cs="Arial"/>
                <w:sz w:val="24"/>
                <w:szCs w:val="24"/>
              </w:rPr>
              <w:t>VSWR</w:t>
            </w:r>
          </w:p>
        </w:tc>
        <w:tc>
          <w:tcPr>
            <w:tcW w:w="3020" w:type="dxa"/>
          </w:tcPr>
          <w:p w:rsidR="001B1A13" w:rsidRDefault="001B1A13" w:rsidP="00B81843">
            <w:pPr>
              <w:jc w:val="center"/>
              <w:rPr>
                <w:rFonts w:ascii="Arial" w:hAnsi="Arial" w:cs="Arial"/>
                <w:sz w:val="24"/>
                <w:szCs w:val="24"/>
              </w:rPr>
            </w:pPr>
            <w:r>
              <w:rPr>
                <w:rFonts w:ascii="Arial" w:hAnsi="Arial" w:cs="Arial"/>
                <w:sz w:val="24"/>
                <w:szCs w:val="24"/>
              </w:rPr>
              <w:t>Coeficiente de Reflexión. (Γ)</w:t>
            </w:r>
          </w:p>
        </w:tc>
      </w:tr>
      <w:tr w:rsidR="001B1A13" w:rsidTr="00B81843">
        <w:trPr>
          <w:jc w:val="center"/>
        </w:trPr>
        <w:tc>
          <w:tcPr>
            <w:tcW w:w="1448" w:type="dxa"/>
          </w:tcPr>
          <w:p w:rsidR="001B1A13" w:rsidRDefault="001B1A13" w:rsidP="00B81843">
            <w:pPr>
              <w:jc w:val="center"/>
              <w:rPr>
                <w:rFonts w:ascii="Arial" w:hAnsi="Arial" w:cs="Arial"/>
                <w:sz w:val="24"/>
                <w:szCs w:val="24"/>
              </w:rPr>
            </w:pPr>
            <w:r>
              <w:rPr>
                <w:rFonts w:ascii="Arial" w:hAnsi="Arial" w:cs="Arial"/>
                <w:sz w:val="24"/>
                <w:szCs w:val="24"/>
              </w:rPr>
              <w:t>A</w:t>
            </w:r>
          </w:p>
        </w:tc>
        <w:tc>
          <w:tcPr>
            <w:tcW w:w="1724" w:type="dxa"/>
          </w:tcPr>
          <w:p w:rsidR="001B1A13" w:rsidRDefault="001B1A13" w:rsidP="00B81843">
            <w:pPr>
              <w:jc w:val="center"/>
              <w:rPr>
                <w:rFonts w:ascii="Arial" w:hAnsi="Arial" w:cs="Arial"/>
                <w:sz w:val="24"/>
                <w:szCs w:val="24"/>
              </w:rPr>
            </w:pPr>
            <w:r>
              <w:rPr>
                <w:rFonts w:ascii="Arial" w:hAnsi="Arial" w:cs="Arial"/>
                <w:sz w:val="24"/>
                <w:szCs w:val="24"/>
              </w:rPr>
              <w:t>0.7279</w:t>
            </w:r>
          </w:p>
        </w:tc>
        <w:tc>
          <w:tcPr>
            <w:tcW w:w="1647" w:type="dxa"/>
          </w:tcPr>
          <w:p w:rsidR="001B1A13" w:rsidRDefault="001B1A13" w:rsidP="00B81843">
            <w:pPr>
              <w:jc w:val="center"/>
              <w:rPr>
                <w:rFonts w:ascii="Arial" w:hAnsi="Arial" w:cs="Arial"/>
                <w:sz w:val="24"/>
                <w:szCs w:val="24"/>
              </w:rPr>
            </w:pPr>
            <w:r>
              <w:rPr>
                <w:rFonts w:ascii="Arial" w:hAnsi="Arial" w:cs="Arial"/>
                <w:sz w:val="24"/>
                <w:szCs w:val="24"/>
              </w:rPr>
              <w:t>0.1379</w:t>
            </w:r>
          </w:p>
        </w:tc>
        <w:tc>
          <w:tcPr>
            <w:tcW w:w="1134" w:type="dxa"/>
          </w:tcPr>
          <w:p w:rsidR="001B1A13" w:rsidRDefault="001B1A13" w:rsidP="00B81843">
            <w:pPr>
              <w:jc w:val="center"/>
              <w:rPr>
                <w:rFonts w:ascii="Arial" w:hAnsi="Arial" w:cs="Arial"/>
                <w:sz w:val="24"/>
                <w:szCs w:val="24"/>
              </w:rPr>
            </w:pPr>
            <w:r>
              <w:rPr>
                <w:rFonts w:ascii="Arial" w:hAnsi="Arial" w:cs="Arial"/>
                <w:sz w:val="24"/>
                <w:szCs w:val="24"/>
              </w:rPr>
              <w:t>10.86</w:t>
            </w:r>
          </w:p>
        </w:tc>
        <w:tc>
          <w:tcPr>
            <w:tcW w:w="3020" w:type="dxa"/>
          </w:tcPr>
          <w:p w:rsidR="001B1A13" w:rsidRDefault="001B1A13" w:rsidP="00B81843">
            <w:pPr>
              <w:jc w:val="center"/>
              <w:rPr>
                <w:rFonts w:ascii="Arial" w:hAnsi="Arial" w:cs="Arial"/>
                <w:sz w:val="24"/>
                <w:szCs w:val="24"/>
              </w:rPr>
            </w:pPr>
            <w:r>
              <w:rPr>
                <w:rFonts w:ascii="Arial" w:hAnsi="Arial" w:cs="Arial"/>
                <w:sz w:val="24"/>
                <w:szCs w:val="24"/>
              </w:rPr>
              <w:t>0.83</w:t>
            </w:r>
          </w:p>
        </w:tc>
      </w:tr>
      <w:tr w:rsidR="001B1A13" w:rsidTr="00B81843">
        <w:trPr>
          <w:jc w:val="center"/>
        </w:trPr>
        <w:tc>
          <w:tcPr>
            <w:tcW w:w="1448" w:type="dxa"/>
          </w:tcPr>
          <w:p w:rsidR="001B1A13" w:rsidRDefault="001B1A13" w:rsidP="00B81843">
            <w:pPr>
              <w:jc w:val="center"/>
              <w:rPr>
                <w:rFonts w:ascii="Arial" w:hAnsi="Arial" w:cs="Arial"/>
                <w:sz w:val="24"/>
                <w:szCs w:val="24"/>
              </w:rPr>
            </w:pPr>
            <w:r>
              <w:rPr>
                <w:rFonts w:ascii="Arial" w:hAnsi="Arial" w:cs="Arial"/>
                <w:sz w:val="24"/>
                <w:szCs w:val="24"/>
              </w:rPr>
              <w:t>B</w:t>
            </w:r>
          </w:p>
        </w:tc>
        <w:tc>
          <w:tcPr>
            <w:tcW w:w="1724" w:type="dxa"/>
          </w:tcPr>
          <w:p w:rsidR="001B1A13" w:rsidRDefault="001B1A13" w:rsidP="00B81843">
            <w:pPr>
              <w:jc w:val="center"/>
              <w:rPr>
                <w:rFonts w:ascii="Arial" w:hAnsi="Arial" w:cs="Arial"/>
                <w:sz w:val="24"/>
                <w:szCs w:val="24"/>
              </w:rPr>
            </w:pPr>
            <w:r>
              <w:rPr>
                <w:rFonts w:ascii="Arial" w:hAnsi="Arial" w:cs="Arial"/>
                <w:sz w:val="24"/>
                <w:szCs w:val="24"/>
              </w:rPr>
              <w:t>0.796562</w:t>
            </w:r>
          </w:p>
        </w:tc>
        <w:tc>
          <w:tcPr>
            <w:tcW w:w="1647" w:type="dxa"/>
          </w:tcPr>
          <w:p w:rsidR="001B1A13" w:rsidRDefault="001B1A13" w:rsidP="00B81843">
            <w:pPr>
              <w:jc w:val="center"/>
              <w:rPr>
                <w:rFonts w:ascii="Arial" w:hAnsi="Arial" w:cs="Arial"/>
                <w:sz w:val="24"/>
                <w:szCs w:val="24"/>
              </w:rPr>
            </w:pPr>
            <w:r>
              <w:rPr>
                <w:rFonts w:ascii="Arial" w:hAnsi="Arial" w:cs="Arial"/>
                <w:sz w:val="24"/>
                <w:szCs w:val="24"/>
              </w:rPr>
              <w:t>0.09878</w:t>
            </w:r>
          </w:p>
        </w:tc>
        <w:tc>
          <w:tcPr>
            <w:tcW w:w="1134" w:type="dxa"/>
          </w:tcPr>
          <w:p w:rsidR="001B1A13" w:rsidRDefault="001B1A13" w:rsidP="00B81843">
            <w:pPr>
              <w:jc w:val="center"/>
              <w:rPr>
                <w:rFonts w:ascii="Arial" w:hAnsi="Arial" w:cs="Arial"/>
                <w:sz w:val="24"/>
                <w:szCs w:val="24"/>
              </w:rPr>
            </w:pPr>
            <w:r>
              <w:rPr>
                <w:rFonts w:ascii="Arial" w:hAnsi="Arial" w:cs="Arial"/>
                <w:sz w:val="24"/>
                <w:szCs w:val="24"/>
              </w:rPr>
              <w:t>8.952</w:t>
            </w:r>
          </w:p>
        </w:tc>
        <w:tc>
          <w:tcPr>
            <w:tcW w:w="3020" w:type="dxa"/>
          </w:tcPr>
          <w:p w:rsidR="001B1A13" w:rsidRDefault="001B1A13" w:rsidP="00B81843">
            <w:pPr>
              <w:jc w:val="center"/>
              <w:rPr>
                <w:rFonts w:ascii="Arial" w:hAnsi="Arial" w:cs="Arial"/>
                <w:sz w:val="24"/>
                <w:szCs w:val="24"/>
              </w:rPr>
            </w:pPr>
            <w:r>
              <w:rPr>
                <w:rFonts w:ascii="Arial" w:hAnsi="Arial" w:cs="Arial"/>
                <w:sz w:val="24"/>
                <w:szCs w:val="24"/>
              </w:rPr>
              <w:t>0.799</w:t>
            </w:r>
          </w:p>
        </w:tc>
      </w:tr>
    </w:tbl>
    <w:p w:rsidR="001B1A13" w:rsidRPr="000D32D1" w:rsidRDefault="001B1A13" w:rsidP="001B1A13">
      <w:pPr>
        <w:jc w:val="both"/>
        <w:rPr>
          <w:rFonts w:ascii="Arial" w:hAnsi="Arial" w:cs="Arial"/>
          <w:bCs/>
          <w:sz w:val="24"/>
          <w:szCs w:val="24"/>
        </w:rPr>
      </w:pPr>
    </w:p>
    <w:p w:rsidR="001B1A13" w:rsidRPr="000D32D1" w:rsidRDefault="001B1A13" w:rsidP="00257D10">
      <w:pPr>
        <w:pStyle w:val="1Titulo"/>
        <w:numPr>
          <w:ilvl w:val="0"/>
          <w:numId w:val="20"/>
        </w:numPr>
        <w:rPr>
          <w:b w:val="0"/>
        </w:rPr>
      </w:pPr>
      <w:bookmarkStart w:id="31" w:name="_Toc50031164"/>
      <w:r w:rsidRPr="000D32D1">
        <w:rPr>
          <w:rStyle w:val="1TituloCar"/>
          <w:b/>
        </w:rPr>
        <w:t>Conclusiones.</w:t>
      </w:r>
      <w:bookmarkEnd w:id="31"/>
    </w:p>
    <w:p w:rsidR="001B1A13" w:rsidRPr="00AA060E" w:rsidRDefault="001B1A13" w:rsidP="001B1A13">
      <w:pPr>
        <w:ind w:firstLine="708"/>
        <w:jc w:val="both"/>
        <w:rPr>
          <w:rFonts w:ascii="Arial" w:hAnsi="Arial" w:cs="Arial"/>
          <w:sz w:val="24"/>
          <w:szCs w:val="24"/>
        </w:rPr>
      </w:pPr>
      <w:r>
        <w:rPr>
          <w:rFonts w:ascii="Arial" w:hAnsi="Arial" w:cs="Arial"/>
          <w:sz w:val="24"/>
          <w:szCs w:val="24"/>
        </w:rPr>
        <w:t>Si se asocian los valores detectados de VSWR y del coeficiente de reflexión, con las características físicas que tiene el material probado en los experimentos, será posible por correlación determinar en pruebas subsecuentes, los valores que posee un material, midiendo solamente el VSWR. Lo mismo sucederá con los valores de Transmitancia y de Absorbencia; por correlación se podrán identificar valores similares para materiales desconocidos con solo los valores máximos y mínimos de detección.</w:t>
      </w:r>
    </w:p>
    <w:p w:rsidR="001B1A13" w:rsidRPr="00AA060E" w:rsidRDefault="001B1A13" w:rsidP="001B1A13">
      <w:pPr>
        <w:spacing w:after="0" w:line="240" w:lineRule="auto"/>
        <w:ind w:firstLine="708"/>
        <w:jc w:val="both"/>
        <w:rPr>
          <w:rFonts w:ascii="Arial" w:eastAsia="Times New Roman" w:hAnsi="Arial" w:cs="Arial"/>
          <w:color w:val="000000"/>
          <w:sz w:val="24"/>
          <w:szCs w:val="24"/>
          <w:lang w:eastAsia="es-MX"/>
        </w:rPr>
      </w:pPr>
      <w:r w:rsidRPr="00AA060E">
        <w:rPr>
          <w:rFonts w:ascii="Arial" w:eastAsia="Times New Roman" w:hAnsi="Arial" w:cs="Arial"/>
          <w:color w:val="000000"/>
          <w:sz w:val="24"/>
          <w:szCs w:val="24"/>
          <w:shd w:val="clear" w:color="auto" w:fill="FFFFFF"/>
          <w:lang w:eastAsia="es-MX"/>
        </w:rPr>
        <w:t>Se debe tener en consideración que las prueba realizadas se hicieron utilizando energía electromagnética con una longitud de onda de 3.1 cm, y que para esta longitud de onda no es posible atravesar con facilidad algunos materiales, no si no se está bajo ciertas consideraciones que no se han planteado en estás pruebas</w:t>
      </w:r>
      <w:r>
        <w:rPr>
          <w:rFonts w:ascii="Arial" w:eastAsia="Times New Roman" w:hAnsi="Arial" w:cs="Arial"/>
          <w:color w:val="000000"/>
          <w:sz w:val="24"/>
          <w:szCs w:val="24"/>
          <w:shd w:val="clear" w:color="auto" w:fill="FFFFFF"/>
          <w:lang w:eastAsia="es-MX"/>
        </w:rPr>
        <w:t>; y</w:t>
      </w:r>
      <w:r w:rsidRPr="00AA060E">
        <w:rPr>
          <w:rFonts w:ascii="Arial" w:eastAsia="Times New Roman" w:hAnsi="Arial" w:cs="Arial"/>
          <w:color w:val="000000"/>
          <w:sz w:val="24"/>
          <w:szCs w:val="24"/>
          <w:lang w:eastAsia="es-MX"/>
        </w:rPr>
        <w:t xml:space="preserve"> bajo una cierta metodología no tratada en el presente trabajo.</w:t>
      </w:r>
      <w:r>
        <w:rPr>
          <w:rFonts w:ascii="Arial" w:eastAsia="Times New Roman" w:hAnsi="Arial" w:cs="Arial"/>
          <w:color w:val="000000"/>
          <w:sz w:val="24"/>
          <w:szCs w:val="24"/>
          <w:lang w:eastAsia="es-MX"/>
        </w:rPr>
        <w:t xml:space="preserve"> </w:t>
      </w:r>
      <w:r w:rsidRPr="00AA060E">
        <w:rPr>
          <w:rFonts w:ascii="Arial" w:eastAsia="Times New Roman" w:hAnsi="Arial" w:cs="Arial"/>
          <w:color w:val="000000"/>
          <w:sz w:val="24"/>
          <w:szCs w:val="24"/>
          <w:lang w:eastAsia="es-MX"/>
        </w:rPr>
        <w:t>Cada material tiene una cierta respuesta según la longitud de onda usada en su análisis.</w:t>
      </w:r>
    </w:p>
    <w:p w:rsidR="001B1A13" w:rsidRDefault="001B1A13" w:rsidP="001B1A13">
      <w:pPr>
        <w:ind w:firstLine="709"/>
        <w:contextualSpacing/>
        <w:jc w:val="both"/>
        <w:rPr>
          <w:rFonts w:ascii="Arial" w:hAnsi="Arial" w:cs="Arial"/>
          <w:sz w:val="24"/>
          <w:szCs w:val="24"/>
        </w:rPr>
      </w:pPr>
    </w:p>
    <w:p w:rsidR="001B1A13" w:rsidRDefault="001B1A13" w:rsidP="001B1A13">
      <w:pPr>
        <w:ind w:firstLine="708"/>
        <w:jc w:val="both"/>
        <w:rPr>
          <w:rFonts w:ascii="Arial" w:hAnsi="Arial" w:cs="Arial"/>
          <w:sz w:val="24"/>
          <w:szCs w:val="24"/>
        </w:rPr>
      </w:pPr>
      <w:r>
        <w:rPr>
          <w:rFonts w:ascii="Arial" w:hAnsi="Arial" w:cs="Arial"/>
          <w:sz w:val="24"/>
          <w:szCs w:val="24"/>
        </w:rPr>
        <w:lastRenderedPageBreak/>
        <w:t>Estos resultados aquí obtenidos durante los experimentos ameritan mayor profundidad de estudio.</w:t>
      </w:r>
    </w:p>
    <w:p w:rsidR="001B1A13" w:rsidRDefault="000D32D1" w:rsidP="00257D10">
      <w:pPr>
        <w:pStyle w:val="1Titulo"/>
        <w:numPr>
          <w:ilvl w:val="0"/>
          <w:numId w:val="20"/>
        </w:numPr>
      </w:pPr>
      <w:bookmarkStart w:id="32" w:name="_Toc50031165"/>
      <w:r>
        <w:t>Bibliografía</w:t>
      </w:r>
      <w:bookmarkEnd w:id="32"/>
    </w:p>
    <w:p w:rsidR="001B1A13" w:rsidRPr="001B1A13" w:rsidRDefault="001B1A13" w:rsidP="001B1A13">
      <w:pPr>
        <w:jc w:val="both"/>
        <w:rPr>
          <w:rFonts w:ascii="Arial" w:hAnsi="Arial" w:cs="Arial"/>
          <w:sz w:val="24"/>
          <w:szCs w:val="24"/>
          <w:lang w:val="en-US"/>
        </w:rPr>
      </w:pPr>
      <w:r w:rsidRPr="00705D32">
        <w:rPr>
          <w:rFonts w:ascii="Arial" w:hAnsi="Arial" w:cs="Arial"/>
          <w:sz w:val="24"/>
          <w:szCs w:val="24"/>
          <w:lang w:val="en-US"/>
        </w:rPr>
        <w:t>1.  F.R. Connor. ¨Waves¨ 2</w:t>
      </w:r>
      <w:r w:rsidRPr="00705D32">
        <w:rPr>
          <w:rFonts w:ascii="Arial" w:hAnsi="Arial" w:cs="Arial"/>
          <w:sz w:val="24"/>
          <w:szCs w:val="24"/>
          <w:vertAlign w:val="superscript"/>
          <w:lang w:val="en-US"/>
        </w:rPr>
        <w:t>nd</w:t>
      </w:r>
      <w:r w:rsidRPr="00705D32">
        <w:rPr>
          <w:rFonts w:ascii="Arial" w:hAnsi="Arial" w:cs="Arial"/>
          <w:sz w:val="24"/>
          <w:szCs w:val="24"/>
          <w:lang w:val="en-US"/>
        </w:rPr>
        <w:t xml:space="preserve">. </w:t>
      </w:r>
      <w:r w:rsidRPr="00ED35CB">
        <w:rPr>
          <w:rFonts w:ascii="Arial" w:hAnsi="Arial" w:cs="Arial"/>
          <w:sz w:val="24"/>
          <w:szCs w:val="24"/>
          <w:lang w:val="en-US"/>
        </w:rPr>
        <w:t xml:space="preserve">Ed. Edward Arnold. </w:t>
      </w:r>
      <w:r w:rsidRPr="001B1A13">
        <w:rPr>
          <w:rFonts w:ascii="Arial" w:hAnsi="Arial" w:cs="Arial"/>
          <w:sz w:val="24"/>
          <w:szCs w:val="24"/>
          <w:lang w:val="en-US"/>
        </w:rPr>
        <w:t>1986</w:t>
      </w:r>
    </w:p>
    <w:p w:rsidR="001B1A13" w:rsidRPr="001B1A13" w:rsidRDefault="001B1A13" w:rsidP="001B1A13">
      <w:pPr>
        <w:jc w:val="both"/>
        <w:rPr>
          <w:rFonts w:ascii="Arial" w:hAnsi="Arial" w:cs="Arial"/>
          <w:sz w:val="24"/>
          <w:szCs w:val="24"/>
          <w:lang w:val="en-US"/>
        </w:rPr>
      </w:pPr>
      <w:r w:rsidRPr="001B1A13">
        <w:rPr>
          <w:rFonts w:ascii="Arial" w:hAnsi="Arial" w:cs="Arial"/>
          <w:sz w:val="24"/>
          <w:szCs w:val="24"/>
          <w:lang w:val="en-US"/>
        </w:rPr>
        <w:t xml:space="preserve">2.  Michael Steer. </w:t>
      </w:r>
      <w:r w:rsidRPr="00ED35CB">
        <w:rPr>
          <w:rFonts w:ascii="Arial" w:hAnsi="Arial" w:cs="Arial"/>
          <w:i/>
          <w:iCs/>
          <w:sz w:val="24"/>
          <w:szCs w:val="24"/>
          <w:lang w:val="en-US"/>
        </w:rPr>
        <w:t>¨Microwave and RF design</w:t>
      </w:r>
      <w:r w:rsidRPr="00ED35CB">
        <w:rPr>
          <w:rFonts w:ascii="Arial" w:hAnsi="Arial" w:cs="Arial"/>
          <w:sz w:val="24"/>
          <w:szCs w:val="24"/>
          <w:lang w:val="en-US"/>
        </w:rPr>
        <w:t>¨. 2</w:t>
      </w:r>
      <w:r w:rsidRPr="00ED35CB">
        <w:rPr>
          <w:rFonts w:ascii="Arial" w:hAnsi="Arial" w:cs="Arial"/>
          <w:sz w:val="24"/>
          <w:szCs w:val="24"/>
          <w:vertAlign w:val="superscript"/>
          <w:lang w:val="en-US"/>
        </w:rPr>
        <w:t>nd</w:t>
      </w:r>
      <w:r w:rsidRPr="00ED35CB">
        <w:rPr>
          <w:rFonts w:ascii="Arial" w:hAnsi="Arial" w:cs="Arial"/>
          <w:sz w:val="24"/>
          <w:szCs w:val="24"/>
          <w:lang w:val="en-US"/>
        </w:rPr>
        <w:t xml:space="preserve"> edition. </w:t>
      </w:r>
      <w:r w:rsidRPr="001B1A13">
        <w:rPr>
          <w:rFonts w:ascii="Arial" w:hAnsi="Arial" w:cs="Arial"/>
          <w:sz w:val="24"/>
          <w:szCs w:val="24"/>
          <w:lang w:val="en-US"/>
        </w:rPr>
        <w:t>Scitech publishing. 2013</w:t>
      </w:r>
    </w:p>
    <w:p w:rsidR="001B1A13" w:rsidRPr="00ED35CB" w:rsidRDefault="001B1A13" w:rsidP="001B1A13">
      <w:pPr>
        <w:jc w:val="both"/>
        <w:rPr>
          <w:rFonts w:ascii="Arial" w:hAnsi="Arial" w:cs="Arial"/>
          <w:sz w:val="24"/>
          <w:szCs w:val="24"/>
          <w:lang w:val="en-US"/>
        </w:rPr>
      </w:pPr>
      <w:r w:rsidRPr="001B1A13">
        <w:rPr>
          <w:rFonts w:ascii="Arial" w:hAnsi="Arial" w:cs="Arial"/>
          <w:sz w:val="24"/>
          <w:szCs w:val="24"/>
          <w:lang w:val="en-US"/>
        </w:rPr>
        <w:t xml:space="preserve">3.  Roberts. </w:t>
      </w:r>
      <w:r w:rsidRPr="00ED35CB">
        <w:rPr>
          <w:rFonts w:ascii="Arial" w:hAnsi="Arial" w:cs="Arial"/>
          <w:sz w:val="24"/>
          <w:szCs w:val="24"/>
          <w:lang w:val="en-US"/>
        </w:rPr>
        <w:t xml:space="preserve">L.W. </w:t>
      </w:r>
      <w:r w:rsidRPr="00ED35CB">
        <w:rPr>
          <w:rFonts w:ascii="Arial" w:hAnsi="Arial" w:cs="Arial"/>
          <w:i/>
          <w:iCs/>
          <w:sz w:val="24"/>
          <w:szCs w:val="24"/>
          <w:lang w:val="en-US"/>
        </w:rPr>
        <w:t>¨Duplexing tube characteristics¨</w:t>
      </w:r>
      <w:r w:rsidRPr="00ED35CB">
        <w:rPr>
          <w:rFonts w:ascii="Arial" w:hAnsi="Arial" w:cs="Arial"/>
          <w:sz w:val="24"/>
          <w:szCs w:val="24"/>
          <w:lang w:val="en-US"/>
        </w:rPr>
        <w:t xml:space="preserve"> Chapter XXII. 1960</w:t>
      </w:r>
    </w:p>
    <w:p w:rsidR="00811E7D" w:rsidRPr="00705D32" w:rsidRDefault="00811E7D" w:rsidP="0049551D">
      <w:pPr>
        <w:rPr>
          <w:lang w:val="en-US"/>
        </w:rPr>
      </w:pPr>
    </w:p>
    <w:p w:rsidR="00A12C8C" w:rsidRPr="00A12C8C" w:rsidRDefault="00A12C8C" w:rsidP="00A12C8C">
      <w:pPr>
        <w:pStyle w:val="1Titulo"/>
        <w:numPr>
          <w:ilvl w:val="0"/>
          <w:numId w:val="0"/>
        </w:numPr>
        <w:ind w:left="357"/>
        <w:jc w:val="center"/>
        <w:rPr>
          <w:color w:val="000000"/>
          <w:sz w:val="28"/>
          <w:szCs w:val="28"/>
        </w:rPr>
      </w:pPr>
      <w:bookmarkStart w:id="33" w:name="_Toc50031166"/>
      <w:r w:rsidRPr="00A12C8C">
        <w:rPr>
          <w:sz w:val="28"/>
          <w:szCs w:val="28"/>
        </w:rPr>
        <w:t>Desvulcanización de caucho residual utilizando peróxido de benzoilo como agente desvulcanizante</w:t>
      </w:r>
      <w:bookmarkEnd w:id="33"/>
    </w:p>
    <w:p w:rsidR="00A12C8C" w:rsidRDefault="00A12C8C" w:rsidP="00A12C8C">
      <w:pPr>
        <w:jc w:val="center"/>
        <w:rPr>
          <w:color w:val="000000"/>
          <w:sz w:val="28"/>
          <w:szCs w:val="28"/>
        </w:rPr>
      </w:pPr>
    </w:p>
    <w:p w:rsidR="00A12C8C" w:rsidRDefault="00A12C8C" w:rsidP="00A12C8C">
      <w:pPr>
        <w:pStyle w:val="Author"/>
        <w:rPr>
          <w:rFonts w:ascii="Arial" w:hAnsi="Arial" w:cs="Arial"/>
          <w:vertAlign w:val="superscript"/>
          <w:lang w:val="es-ES"/>
        </w:rPr>
      </w:pPr>
      <w:r w:rsidRPr="001A42A7">
        <w:rPr>
          <w:rFonts w:ascii="Arial" w:hAnsi="Arial" w:cs="Arial"/>
          <w:u w:val="single"/>
          <w:lang w:val="es-ES"/>
        </w:rPr>
        <w:t>Álvarez-Maya, D. G.</w:t>
      </w:r>
      <w:r w:rsidRPr="06D618A9">
        <w:rPr>
          <w:rFonts w:ascii="Arial" w:hAnsi="Arial" w:cs="Arial"/>
          <w:lang w:val="es-ES"/>
        </w:rPr>
        <w:t>,</w:t>
      </w:r>
      <w:r w:rsidRPr="06D618A9">
        <w:rPr>
          <w:rFonts w:ascii="Arial" w:hAnsi="Arial" w:cs="Arial"/>
          <w:vertAlign w:val="superscript"/>
          <w:lang w:val="es-ES"/>
        </w:rPr>
        <w:t>1</w:t>
      </w:r>
      <w:r w:rsidRPr="06D618A9">
        <w:rPr>
          <w:rFonts w:ascii="Arial" w:hAnsi="Arial" w:cs="Arial"/>
          <w:lang w:val="es-ES"/>
        </w:rPr>
        <w:t xml:space="preserve"> Sánchez-Rosete Estrada, R.,</w:t>
      </w:r>
      <w:r w:rsidRPr="06D618A9">
        <w:rPr>
          <w:rFonts w:ascii="Arial" w:hAnsi="Arial" w:cs="Arial"/>
          <w:vertAlign w:val="superscript"/>
          <w:lang w:val="es-ES"/>
        </w:rPr>
        <w:t>1</w:t>
      </w:r>
      <w:r w:rsidRPr="06D618A9">
        <w:rPr>
          <w:rFonts w:ascii="Arial" w:hAnsi="Arial" w:cs="Arial"/>
          <w:lang w:val="es-ES"/>
        </w:rPr>
        <w:t xml:space="preserve"> Vásquez-Salinas, A.</w:t>
      </w:r>
      <w:r w:rsidRPr="06D618A9">
        <w:rPr>
          <w:rFonts w:ascii="Arial" w:hAnsi="Arial" w:cs="Arial"/>
          <w:vertAlign w:val="superscript"/>
          <w:lang w:val="es-ES"/>
        </w:rPr>
        <w:t xml:space="preserve">1 </w:t>
      </w:r>
      <w:r w:rsidRPr="06D618A9">
        <w:rPr>
          <w:rFonts w:ascii="Arial" w:hAnsi="Arial" w:cs="Arial"/>
          <w:lang w:val="es-ES"/>
        </w:rPr>
        <w:t>Rojas-Rodríguez, A.</w:t>
      </w:r>
      <w:r w:rsidRPr="0062131E">
        <w:rPr>
          <w:rFonts w:ascii="Arial" w:hAnsi="Arial" w:cs="Arial"/>
          <w:vertAlign w:val="superscript"/>
          <w:lang w:val="es-ES"/>
        </w:rPr>
        <w:t>1</w:t>
      </w:r>
    </w:p>
    <w:p w:rsidR="00A12C8C" w:rsidRDefault="00A12C8C" w:rsidP="00A12C8C">
      <w:pPr>
        <w:pStyle w:val="affiliation"/>
        <w:rPr>
          <w:rFonts w:ascii="Arial" w:hAnsi="Arial" w:cs="Arial"/>
          <w:sz w:val="24"/>
          <w:szCs w:val="24"/>
          <w:vertAlign w:val="superscript"/>
          <w:lang w:val="es-ES"/>
        </w:rPr>
      </w:pPr>
      <w:r>
        <w:rPr>
          <w:rFonts w:ascii="Arial" w:hAnsi="Arial" w:cs="Arial"/>
          <w:sz w:val="24"/>
          <w:szCs w:val="24"/>
          <w:vertAlign w:val="superscript"/>
          <w:lang w:val="es-ES"/>
        </w:rPr>
        <w:t>1</w:t>
      </w:r>
      <w:r>
        <w:rPr>
          <w:rFonts w:ascii="Arial" w:hAnsi="Arial" w:cs="Arial"/>
          <w:sz w:val="24"/>
          <w:szCs w:val="24"/>
          <w:lang w:val="es-ES"/>
        </w:rPr>
        <w:t xml:space="preserve">Facultad de Ingeniería, Universidad Anáhuac </w:t>
      </w:r>
      <w:r w:rsidRPr="06D618A9">
        <w:rPr>
          <w:rFonts w:ascii="Arial" w:hAnsi="Arial" w:cs="Arial"/>
          <w:sz w:val="24"/>
          <w:szCs w:val="24"/>
          <w:lang w:val="es-ES"/>
        </w:rPr>
        <w:t xml:space="preserve">México </w:t>
      </w:r>
      <w:r>
        <w:rPr>
          <w:rFonts w:ascii="Arial" w:hAnsi="Arial" w:cs="Arial"/>
          <w:sz w:val="24"/>
          <w:szCs w:val="24"/>
          <w:lang w:val="es-ES"/>
        </w:rPr>
        <w:t xml:space="preserve">Campus Norte. </w:t>
      </w:r>
    </w:p>
    <w:p w:rsidR="00A12C8C" w:rsidRPr="00617CB7" w:rsidRDefault="00A12C8C" w:rsidP="00A12C8C">
      <w:pPr>
        <w:pStyle w:val="affiliation"/>
        <w:rPr>
          <w:rFonts w:ascii="Arial" w:hAnsi="Arial" w:cs="Arial"/>
          <w:sz w:val="24"/>
          <w:szCs w:val="24"/>
          <w:u w:val="single"/>
          <w:lang w:val="es-MX"/>
        </w:rPr>
      </w:pPr>
      <w:r>
        <w:rPr>
          <w:rFonts w:ascii="Arial" w:hAnsi="Arial" w:cs="Arial"/>
          <w:sz w:val="24"/>
          <w:szCs w:val="24"/>
          <w:lang w:val="es-ES"/>
        </w:rPr>
        <w:t>d</w:t>
      </w:r>
      <w:r w:rsidRPr="1FEADDF4">
        <w:rPr>
          <w:rFonts w:ascii="Arial" w:hAnsi="Arial" w:cs="Arial"/>
          <w:sz w:val="24"/>
          <w:szCs w:val="24"/>
          <w:lang w:val="es-ES"/>
        </w:rPr>
        <w:t>anielg1122@gmail.com,</w:t>
      </w:r>
      <w:r w:rsidRPr="00182F57">
        <w:rPr>
          <w:lang w:val="es-ES"/>
        </w:rPr>
        <w:t xml:space="preserve"> </w:t>
      </w:r>
      <w:r w:rsidRPr="00182F57">
        <w:rPr>
          <w:rFonts w:ascii="Arial" w:hAnsi="Arial" w:cs="Arial"/>
          <w:sz w:val="24"/>
          <w:szCs w:val="24"/>
          <w:lang w:val="es-ES"/>
        </w:rPr>
        <w:t>reginarosete12@gmail.com</w:t>
      </w:r>
      <w:r w:rsidRPr="1FEADDF4">
        <w:rPr>
          <w:rFonts w:ascii="Arial" w:hAnsi="Arial" w:cs="Arial"/>
          <w:sz w:val="24"/>
          <w:szCs w:val="24"/>
          <w:lang w:val="es-ES"/>
        </w:rPr>
        <w:t>, alina.vasal129@gmail.com</w:t>
      </w:r>
      <w:r w:rsidRPr="728D9EA2">
        <w:rPr>
          <w:rFonts w:ascii="Arial" w:hAnsi="Arial" w:cs="Arial"/>
          <w:sz w:val="24"/>
          <w:szCs w:val="24"/>
          <w:lang w:val="es-ES"/>
        </w:rPr>
        <w:t>, alma.rojas@anahuac.mx</w:t>
      </w:r>
    </w:p>
    <w:p w:rsidR="00A12C8C" w:rsidRPr="001A42A7" w:rsidRDefault="00A12C8C" w:rsidP="00A12C8C">
      <w:pPr>
        <w:pStyle w:val="affiliation"/>
        <w:rPr>
          <w:rFonts w:ascii="Arial" w:eastAsia="Batang" w:hAnsi="Arial" w:cs="Arial"/>
          <w:b/>
          <w:caps/>
          <w:sz w:val="24"/>
          <w:szCs w:val="24"/>
          <w:lang w:val="es-ES"/>
        </w:rPr>
      </w:pPr>
    </w:p>
    <w:p w:rsidR="00A12C8C" w:rsidRPr="00844E6E" w:rsidRDefault="00A12C8C" w:rsidP="00257D10">
      <w:pPr>
        <w:pStyle w:val="Ttulo1"/>
        <w:keepLines w:val="0"/>
        <w:numPr>
          <w:ilvl w:val="0"/>
          <w:numId w:val="15"/>
        </w:numPr>
        <w:tabs>
          <w:tab w:val="left" w:pos="0"/>
        </w:tabs>
        <w:suppressAutoHyphens/>
        <w:spacing w:before="0" w:after="0" w:line="360" w:lineRule="auto"/>
        <w:rPr>
          <w:rFonts w:asciiTheme="minorHAnsi" w:eastAsiaTheme="minorEastAsia" w:hAnsiTheme="minorHAnsi" w:cstheme="minorBidi"/>
          <w:i/>
          <w:sz w:val="24"/>
          <w:szCs w:val="24"/>
        </w:rPr>
      </w:pPr>
      <w:bookmarkStart w:id="34" w:name="_Toc50031167"/>
      <w:r w:rsidRPr="00844E6E">
        <w:rPr>
          <w:rFonts w:ascii="Arial" w:hAnsi="Arial" w:cs="Arial"/>
          <w:caps/>
          <w:sz w:val="24"/>
          <w:szCs w:val="24"/>
        </w:rPr>
        <w:t>R</w:t>
      </w:r>
      <w:r w:rsidRPr="00844E6E">
        <w:rPr>
          <w:rFonts w:ascii="Arial" w:hAnsi="Arial" w:cs="Arial"/>
          <w:sz w:val="24"/>
          <w:szCs w:val="24"/>
        </w:rPr>
        <w:t>esumen</w:t>
      </w:r>
      <w:bookmarkEnd w:id="34"/>
      <w:r w:rsidRPr="00844E6E">
        <w:rPr>
          <w:rFonts w:ascii="Arial" w:hAnsi="Arial" w:cs="Arial"/>
          <w:caps/>
          <w:sz w:val="24"/>
          <w:szCs w:val="24"/>
        </w:rPr>
        <w:t xml:space="preserve"> </w:t>
      </w:r>
    </w:p>
    <w:p w:rsidR="00A12C8C" w:rsidRDefault="00A12C8C" w:rsidP="00A12C8C">
      <w:pPr>
        <w:ind w:firstLine="567"/>
        <w:jc w:val="both"/>
        <w:rPr>
          <w:rFonts w:ascii="Arial" w:hAnsi="Arial" w:cs="Arial"/>
        </w:rPr>
      </w:pPr>
      <w:r w:rsidRPr="009A1AC6">
        <w:rPr>
          <w:rFonts w:ascii="Arial" w:hAnsi="Arial" w:cs="Arial"/>
        </w:rPr>
        <w:t xml:space="preserve">La desvulcanización de residuos de caucho sintético se llevó acabo utilizando peróxido de benzoilo (BPO) como agente desvulcanizante y xileno como disolvente. </w:t>
      </w:r>
      <w:r w:rsidRPr="06D618A9">
        <w:rPr>
          <w:rFonts w:ascii="Arial" w:hAnsi="Arial" w:cs="Arial"/>
        </w:rPr>
        <w:t>Se</w:t>
      </w:r>
      <w:r w:rsidRPr="009A1AC6">
        <w:rPr>
          <w:rFonts w:ascii="Arial" w:hAnsi="Arial" w:cs="Arial"/>
        </w:rPr>
        <w:t xml:space="preserve"> obtuvo un porcentaje de desvulcanización de 24.</w:t>
      </w:r>
      <w:r w:rsidRPr="06D618A9">
        <w:rPr>
          <w:rFonts w:ascii="Arial" w:hAnsi="Arial" w:cs="Arial"/>
        </w:rPr>
        <w:t>2</w:t>
      </w:r>
      <w:r w:rsidRPr="009A1AC6">
        <w:rPr>
          <w:rFonts w:ascii="Arial" w:hAnsi="Arial" w:cs="Arial"/>
        </w:rPr>
        <w:t xml:space="preserve">% con </w:t>
      </w:r>
      <w:r w:rsidRPr="06D618A9">
        <w:rPr>
          <w:rFonts w:ascii="Arial" w:hAnsi="Arial" w:cs="Arial"/>
        </w:rPr>
        <w:t>las siguientes condiciones de operación:</w:t>
      </w:r>
      <w:r w:rsidRPr="009A1AC6">
        <w:rPr>
          <w:rFonts w:ascii="Arial" w:hAnsi="Arial" w:cs="Arial"/>
        </w:rPr>
        <w:t xml:space="preserve"> concentración de 5 g/L</w:t>
      </w:r>
      <w:r w:rsidRPr="06D618A9">
        <w:rPr>
          <w:rFonts w:ascii="Arial" w:hAnsi="Arial" w:cs="Arial"/>
        </w:rPr>
        <w:t xml:space="preserve"> de agente desvulcanizante, 4 horas de </w:t>
      </w:r>
      <w:r w:rsidRPr="009A1AC6">
        <w:rPr>
          <w:rFonts w:ascii="Arial" w:hAnsi="Arial" w:cs="Arial"/>
        </w:rPr>
        <w:t>tiempo de reacción</w:t>
      </w:r>
      <w:r w:rsidRPr="06D618A9">
        <w:rPr>
          <w:rFonts w:ascii="Arial" w:hAnsi="Arial" w:cs="Arial"/>
        </w:rPr>
        <w:t xml:space="preserve">, </w:t>
      </w:r>
      <w:r w:rsidRPr="009A1AC6">
        <w:rPr>
          <w:rFonts w:ascii="Arial" w:hAnsi="Arial" w:cs="Arial"/>
        </w:rPr>
        <w:t xml:space="preserve">85 °C y velocidad de agitación de </w:t>
      </w:r>
      <w:r>
        <w:rPr>
          <w:rFonts w:ascii="Arial" w:hAnsi="Arial" w:cs="Arial"/>
        </w:rPr>
        <w:t>300</w:t>
      </w:r>
      <w:r w:rsidRPr="009A1AC6">
        <w:rPr>
          <w:rFonts w:ascii="Arial" w:hAnsi="Arial" w:cs="Arial"/>
        </w:rPr>
        <w:t xml:space="preserve"> RPM.</w:t>
      </w:r>
    </w:p>
    <w:p w:rsidR="00A12C8C" w:rsidRDefault="00A12C8C" w:rsidP="00A12C8C">
      <w:pPr>
        <w:ind w:firstLine="567"/>
        <w:jc w:val="both"/>
        <w:rPr>
          <w:rFonts w:ascii="Arial" w:hAnsi="Arial" w:cs="Arial"/>
        </w:rPr>
      </w:pPr>
    </w:p>
    <w:p w:rsidR="00A12C8C" w:rsidRPr="00844E6E" w:rsidRDefault="00A12C8C" w:rsidP="00257D10">
      <w:pPr>
        <w:pStyle w:val="Ttulo1"/>
        <w:keepLines w:val="0"/>
        <w:numPr>
          <w:ilvl w:val="0"/>
          <w:numId w:val="15"/>
        </w:numPr>
        <w:tabs>
          <w:tab w:val="left" w:pos="0"/>
        </w:tabs>
        <w:suppressAutoHyphens/>
        <w:spacing w:before="0" w:after="0" w:line="360" w:lineRule="auto"/>
        <w:rPr>
          <w:rFonts w:asciiTheme="minorHAnsi" w:eastAsiaTheme="minorEastAsia" w:hAnsiTheme="minorHAnsi" w:cstheme="minorBidi"/>
          <w:i/>
          <w:caps/>
          <w:sz w:val="24"/>
          <w:szCs w:val="24"/>
        </w:rPr>
      </w:pPr>
      <w:bookmarkStart w:id="35" w:name="_Toc50031168"/>
      <w:r w:rsidRPr="00844E6E">
        <w:rPr>
          <w:rFonts w:ascii="Arial" w:hAnsi="Arial" w:cs="Arial"/>
          <w:caps/>
          <w:sz w:val="24"/>
          <w:szCs w:val="24"/>
        </w:rPr>
        <w:t>I</w:t>
      </w:r>
      <w:r w:rsidRPr="00844E6E">
        <w:rPr>
          <w:rFonts w:ascii="Arial" w:hAnsi="Arial" w:cs="Arial"/>
          <w:sz w:val="24"/>
          <w:szCs w:val="24"/>
        </w:rPr>
        <w:t>ntroducción</w:t>
      </w:r>
      <w:bookmarkEnd w:id="35"/>
      <w:r w:rsidRPr="00844E6E">
        <w:rPr>
          <w:rFonts w:ascii="Arial" w:hAnsi="Arial" w:cs="Arial"/>
          <w:caps/>
          <w:sz w:val="24"/>
          <w:szCs w:val="24"/>
        </w:rPr>
        <w:t xml:space="preserve"> </w:t>
      </w:r>
    </w:p>
    <w:p w:rsidR="00A12C8C" w:rsidRDefault="00A12C8C" w:rsidP="00A12C8C">
      <w:pPr>
        <w:ind w:firstLine="720"/>
        <w:jc w:val="both"/>
        <w:rPr>
          <w:rFonts w:ascii="Arial" w:hAnsi="Arial" w:cs="Arial"/>
        </w:rPr>
      </w:pPr>
      <w:r w:rsidRPr="00C8366E">
        <w:rPr>
          <w:rFonts w:ascii="Arial" w:hAnsi="Arial" w:cs="Arial"/>
        </w:rPr>
        <w:t>El caucho es un material polimérico conformado a partir de monómeros de isopreno. Después de ser vulcanizado, es decir, de entrecruzar las cadenas mediante azufre el caucho es convierte en un producto elástico más estable y resistente.</w:t>
      </w:r>
    </w:p>
    <w:p w:rsidR="00A12C8C" w:rsidRDefault="00A12C8C" w:rsidP="00A12C8C">
      <w:pPr>
        <w:ind w:firstLine="720"/>
        <w:jc w:val="both"/>
        <w:rPr>
          <w:rFonts w:ascii="Arial" w:hAnsi="Arial" w:cs="Arial"/>
        </w:rPr>
      </w:pPr>
    </w:p>
    <w:p w:rsidR="00A12C8C" w:rsidRPr="00EA2A3C" w:rsidRDefault="00A12C8C" w:rsidP="00A12C8C">
      <w:pPr>
        <w:ind w:firstLine="720"/>
        <w:jc w:val="both"/>
        <w:rPr>
          <w:rFonts w:ascii="Arial" w:hAnsi="Arial" w:cs="Arial"/>
        </w:rPr>
      </w:pPr>
      <w:r>
        <w:rPr>
          <w:rFonts w:ascii="Arial" w:hAnsi="Arial" w:cs="Arial"/>
        </w:rPr>
        <w:t>Se</w:t>
      </w:r>
      <w:r w:rsidRPr="006F093C">
        <w:rPr>
          <w:rFonts w:ascii="Arial" w:hAnsi="Arial" w:cs="Arial"/>
        </w:rPr>
        <w:t xml:space="preserve"> cuenta con desechos de caucho de un proceso de manufactura de rodillos, que son </w:t>
      </w:r>
      <w:r w:rsidRPr="00EA2A3C">
        <w:rPr>
          <w:rFonts w:ascii="Arial" w:hAnsi="Arial" w:cs="Arial"/>
        </w:rPr>
        <w:t xml:space="preserve">clasificados como residuos de manejo especial, por lo que se requiere un proceso para reducir el impacto ambiental de los mismos, para ello se propone hacerlo a través de la desvulcanización del mismo. Para la desvulcanización del caucho se han propuestos métodos físicos y químicos, de la </w:t>
      </w:r>
      <w:r w:rsidRPr="00EA2A3C">
        <w:rPr>
          <w:rFonts w:ascii="Arial" w:hAnsi="Arial" w:cs="Arial"/>
        </w:rPr>
        <w:lastRenderedPageBreak/>
        <w:t>primera clasificación se encuentra la desvulcanización mecánica, termo-mecánica, térmica, microondas y ultrasónica. De la segunda clasificación, está la desvulcanización química, químico-mecánica y termoquímica. De las metodologías revisadas se decidió escoger la desvulcanización química, debido a que tiene un mayor porcentaje de reutilización que cualquier proceso físico, por lo que se puede obtener la mayor recuperación posible.</w:t>
      </w:r>
    </w:p>
    <w:p w:rsidR="00A12C8C" w:rsidRPr="00EA2A3C" w:rsidRDefault="00A12C8C" w:rsidP="00A12C8C">
      <w:pPr>
        <w:jc w:val="both"/>
        <w:rPr>
          <w:rFonts w:ascii="Arial" w:hAnsi="Arial" w:cs="Arial"/>
        </w:rPr>
      </w:pPr>
    </w:p>
    <w:p w:rsidR="00A12C8C" w:rsidRPr="00EA2A3C" w:rsidRDefault="00A12C8C" w:rsidP="00A12C8C">
      <w:pPr>
        <w:ind w:firstLine="720"/>
        <w:jc w:val="both"/>
        <w:rPr>
          <w:rFonts w:ascii="Arial" w:hAnsi="Arial" w:cs="Arial"/>
        </w:rPr>
      </w:pPr>
      <w:r w:rsidRPr="00EA2A3C">
        <w:rPr>
          <w:rFonts w:ascii="Arial" w:hAnsi="Arial" w:cs="Arial"/>
        </w:rPr>
        <w:t xml:space="preserve">En trabajos realizados por L. Asaro et al (2018), B. Sripornsawat et al (2016) y G. Jana, (2007) se utilizó como agente desvulcanizante, disulfuro de difenilo, pero en cada uno modifican el proceso de molienda y el disolvente utilizado. Obteniendo como resultado que las fuerzas mecánicas del caucho desvulcanizado contras el vulcanizado, en el primero no se vio afectada, en el segundo ésta disminuyó y en el tercero fueron muy parecida. Adicionalmente, en el experimento en el Laboratorio de Química en Beijing [DOI: 10.1002/app.37542], K. Jiang (2012), realizaron la desvulcanización de caucho butilo, con dióxido de carbono supercrítico junto con sulfuro de difenilo como agente desvulcanizante. P. Sutanto et al (2006) realizó la desvulcanización de caucho etileno-propileno-dieno (EPDM) para desarrollar un modelo cinético para dicho proceso. Se utilizó hexadecilamina (HDA) como agente desvulcanizante, aceite parafínico 150 Sunpar® como disolvente orgánico y se aplicó una fuerza mecánica. </w:t>
      </w:r>
    </w:p>
    <w:p w:rsidR="00A12C8C" w:rsidRDefault="00A12C8C" w:rsidP="00A12C8C">
      <w:pPr>
        <w:ind w:firstLine="720"/>
        <w:jc w:val="both"/>
        <w:rPr>
          <w:rFonts w:ascii="Arial" w:hAnsi="Arial" w:cs="Arial"/>
          <w:color w:val="4F81BD" w:themeColor="accent1"/>
        </w:rPr>
      </w:pPr>
    </w:p>
    <w:p w:rsidR="00A12C8C" w:rsidRPr="00EA2A3C" w:rsidRDefault="00A12C8C" w:rsidP="00A12C8C">
      <w:pPr>
        <w:ind w:firstLine="720"/>
        <w:jc w:val="both"/>
        <w:rPr>
          <w:rFonts w:ascii="Arial" w:hAnsi="Arial" w:cs="Arial"/>
        </w:rPr>
      </w:pPr>
      <w:r w:rsidRPr="00EA2A3C">
        <w:rPr>
          <w:rFonts w:ascii="Arial" w:hAnsi="Arial" w:cs="Arial"/>
        </w:rPr>
        <w:t xml:space="preserve">Una desventaja de estos procedimientos es que los agentes químicos que se utilizan son de alta toxicidad, como lo son el sulfuro de difenilo y la amina, o se requieren condiciones de alta presión, lo cual también es peligroso. Sin embargo, es importante conocer qué otros métodos existen para saber los agentes desvulcanizantes utilizados, así como la innovación de la desvulcanización química. </w:t>
      </w:r>
      <w:r w:rsidRPr="00EA2A3C">
        <w:rPr>
          <w:rFonts w:ascii="Arial" w:hAnsi="Arial" w:cs="Arial"/>
        </w:rPr>
        <w:tab/>
      </w:r>
    </w:p>
    <w:p w:rsidR="00A12C8C" w:rsidRPr="006F093C" w:rsidRDefault="00A12C8C" w:rsidP="00A12C8C">
      <w:pPr>
        <w:jc w:val="both"/>
        <w:rPr>
          <w:rFonts w:ascii="Arial" w:hAnsi="Arial" w:cs="Arial"/>
        </w:rPr>
      </w:pPr>
    </w:p>
    <w:p w:rsidR="00A12C8C" w:rsidRDefault="00A12C8C" w:rsidP="00A12C8C">
      <w:pPr>
        <w:ind w:firstLine="720"/>
        <w:jc w:val="both"/>
        <w:rPr>
          <w:rFonts w:ascii="Arial" w:hAnsi="Arial" w:cs="Arial"/>
        </w:rPr>
      </w:pPr>
      <w:r w:rsidRPr="006F093C">
        <w:rPr>
          <w:rFonts w:ascii="Arial" w:hAnsi="Arial" w:cs="Arial"/>
        </w:rPr>
        <w:t xml:space="preserve">En el presente trabajo se explican los principios del método químico seleccionado, así como del hinchamiento de las estructuras poliméricas entrecruzadas para determinar el porcentaje de vulcanización de un caucho, los agentes desvulcanizantes a usar y el efecto del tiempo de reacción y temperatura. Además, se presenta la metodología y los resultados de la prueba de densidad de entrecruzamiento, de la reproducción de las condiciones experimentales y de la optimización de la variable </w:t>
      </w:r>
      <w:r w:rsidRPr="00FA6B98">
        <w:rPr>
          <w:rFonts w:ascii="Arial" w:hAnsi="Arial" w:cs="Arial"/>
        </w:rPr>
        <w:t>agente desvulcanizante, tiempo de reacción, temperatura, volumen y agitación</w:t>
      </w:r>
      <w:r>
        <w:rPr>
          <w:rFonts w:ascii="Arial" w:hAnsi="Arial" w:cs="Arial"/>
        </w:rPr>
        <w:t>.</w:t>
      </w:r>
    </w:p>
    <w:p w:rsidR="00A12C8C" w:rsidRDefault="00A12C8C" w:rsidP="00A12C8C">
      <w:pPr>
        <w:jc w:val="both"/>
      </w:pPr>
    </w:p>
    <w:p w:rsidR="00A12C8C" w:rsidRPr="00844E6E" w:rsidRDefault="00A12C8C" w:rsidP="00257D10">
      <w:pPr>
        <w:pStyle w:val="Ttulo1"/>
        <w:keepLines w:val="0"/>
        <w:numPr>
          <w:ilvl w:val="0"/>
          <w:numId w:val="15"/>
        </w:numPr>
        <w:tabs>
          <w:tab w:val="left" w:pos="0"/>
        </w:tabs>
        <w:suppressAutoHyphens/>
        <w:spacing w:before="0" w:after="0" w:line="360" w:lineRule="auto"/>
        <w:rPr>
          <w:rFonts w:asciiTheme="minorHAnsi" w:eastAsiaTheme="minorEastAsia" w:hAnsiTheme="minorHAnsi" w:cstheme="minorBidi"/>
          <w:i/>
          <w:sz w:val="24"/>
          <w:szCs w:val="24"/>
        </w:rPr>
      </w:pPr>
      <w:bookmarkStart w:id="36" w:name="_Toc50031169"/>
      <w:r w:rsidRPr="00844E6E">
        <w:rPr>
          <w:rFonts w:ascii="Arial" w:hAnsi="Arial" w:cs="Arial"/>
          <w:sz w:val="24"/>
          <w:szCs w:val="24"/>
        </w:rPr>
        <w:t>Metodología</w:t>
      </w:r>
      <w:bookmarkEnd w:id="36"/>
    </w:p>
    <w:p w:rsidR="00A12C8C" w:rsidRDefault="00A12C8C" w:rsidP="00A12C8C">
      <w:pPr>
        <w:jc w:val="both"/>
        <w:rPr>
          <w:rFonts w:ascii="Arial" w:hAnsi="Arial" w:cs="Arial"/>
        </w:rPr>
      </w:pPr>
      <w:r w:rsidRPr="00D03450">
        <w:rPr>
          <w:rFonts w:ascii="Arial" w:hAnsi="Arial" w:cs="Arial"/>
        </w:rPr>
        <w:t>Todas las pruebas descritas a conti</w:t>
      </w:r>
      <w:r>
        <w:rPr>
          <w:rFonts w:ascii="Arial" w:hAnsi="Arial" w:cs="Arial"/>
        </w:rPr>
        <w:t xml:space="preserve">nuación fueron realizadas por triplicado con el objetivo de estudiar la desviación de los resultados. </w:t>
      </w:r>
    </w:p>
    <w:p w:rsidR="00A12C8C" w:rsidRPr="003A4C54" w:rsidRDefault="00A12C8C" w:rsidP="00A12C8C">
      <w:pPr>
        <w:rPr>
          <w:rFonts w:ascii="Arial" w:hAnsi="Arial" w:cs="Arial"/>
        </w:rPr>
      </w:pPr>
    </w:p>
    <w:p w:rsidR="00A12C8C" w:rsidRPr="00844E6E" w:rsidRDefault="00A12C8C" w:rsidP="00A12C8C">
      <w:pPr>
        <w:pStyle w:val="Ttulo1"/>
        <w:tabs>
          <w:tab w:val="left" w:pos="0"/>
        </w:tabs>
        <w:spacing w:line="360" w:lineRule="auto"/>
        <w:rPr>
          <w:rFonts w:ascii="Arial" w:hAnsi="Arial" w:cs="Arial"/>
          <w:b/>
          <w:bCs/>
          <w:iCs/>
          <w:sz w:val="24"/>
          <w:szCs w:val="24"/>
        </w:rPr>
      </w:pPr>
      <w:bookmarkStart w:id="37" w:name="_Toc50031170"/>
      <w:r w:rsidRPr="00844E6E">
        <w:rPr>
          <w:rFonts w:ascii="Arial" w:hAnsi="Arial" w:cs="Arial"/>
          <w:sz w:val="24"/>
          <w:szCs w:val="24"/>
        </w:rPr>
        <w:lastRenderedPageBreak/>
        <w:t>3.1 Densidad de entrecruzamiento</w:t>
      </w:r>
      <w:bookmarkEnd w:id="37"/>
    </w:p>
    <w:p w:rsidR="00A12C8C" w:rsidRDefault="00A12C8C" w:rsidP="00A12C8C">
      <w:pPr>
        <w:jc w:val="both"/>
        <w:rPr>
          <w:rFonts w:ascii="Arial" w:hAnsi="Arial" w:cs="Arial"/>
        </w:rPr>
      </w:pPr>
      <w:r>
        <w:rPr>
          <w:rFonts w:ascii="Arial" w:hAnsi="Arial" w:cs="Arial"/>
        </w:rPr>
        <w:t>Una muestra</w:t>
      </w:r>
      <w:r w:rsidRPr="008A2D6C">
        <w:rPr>
          <w:rFonts w:ascii="Arial" w:hAnsi="Arial" w:cs="Arial"/>
        </w:rPr>
        <w:t xml:space="preserve"> caucho previamente pesada se introduj</w:t>
      </w:r>
      <w:r>
        <w:rPr>
          <w:rFonts w:ascii="Arial" w:hAnsi="Arial" w:cs="Arial"/>
        </w:rPr>
        <w:t>o</w:t>
      </w:r>
      <w:r w:rsidRPr="008A2D6C">
        <w:rPr>
          <w:rFonts w:ascii="Arial" w:hAnsi="Arial" w:cs="Arial"/>
        </w:rPr>
        <w:t xml:space="preserve"> en tolueno dentro de </w:t>
      </w:r>
      <w:r>
        <w:rPr>
          <w:rFonts w:ascii="Arial" w:hAnsi="Arial" w:cs="Arial"/>
        </w:rPr>
        <w:t>una</w:t>
      </w:r>
      <w:r w:rsidRPr="008A2D6C">
        <w:rPr>
          <w:rFonts w:ascii="Arial" w:hAnsi="Arial" w:cs="Arial"/>
        </w:rPr>
        <w:t xml:space="preserve"> estufa a </w:t>
      </w:r>
      <w:r w:rsidRPr="007D7181">
        <w:rPr>
          <w:rFonts w:ascii="Arial" w:hAnsi="Arial" w:cs="Arial"/>
        </w:rPr>
        <w:t>una temperatura de 30 °C; cada hora se retiró la muestra del tolueno y se pesó en balanza analítica rápidamente para evitar la evaporación del disolvente. Se repitió el procedimiento hasta no observar cambios significativos en la masa (hinchamiento al equilibrio) [1</w:t>
      </w:r>
      <w:r>
        <w:rPr>
          <w:rFonts w:ascii="Arial" w:hAnsi="Arial" w:cs="Arial"/>
        </w:rPr>
        <w:t>5</w:t>
      </w:r>
      <w:r w:rsidRPr="007D7181">
        <w:rPr>
          <w:rFonts w:ascii="Arial" w:hAnsi="Arial" w:cs="Arial"/>
        </w:rPr>
        <w:t xml:space="preserve">]. Con el valor obtenido, se determinó la densidad de entrecruzamiento usando las siguientes </w:t>
      </w:r>
      <w:r>
        <w:rPr>
          <w:rFonts w:ascii="Arial" w:hAnsi="Arial" w:cs="Arial"/>
        </w:rPr>
        <w:t>fórmulas (prueba de hinchamiento).</w:t>
      </w:r>
    </w:p>
    <w:p w:rsidR="00A12C8C" w:rsidRDefault="00A12C8C" w:rsidP="00A12C8C">
      <w:pPr>
        <w:jc w:val="both"/>
        <w:rPr>
          <w:rFonts w:ascii="Arial" w:hAnsi="Arial"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6"/>
      </w:tblGrid>
      <w:tr w:rsidR="00A12C8C" w:rsidTr="00B81843">
        <w:trPr>
          <w:trHeight w:val="737"/>
        </w:trPr>
        <w:tc>
          <w:tcPr>
            <w:tcW w:w="8784" w:type="dxa"/>
          </w:tcPr>
          <w:p w:rsidR="00A12C8C" w:rsidRDefault="00A12C8C" w:rsidP="00B81843">
            <w:pPr>
              <w:jc w:val="center"/>
              <w:rPr>
                <w:rFonts w:ascii="Arial" w:hAnsi="Arial" w:cs="Arial"/>
              </w:rPr>
            </w:pPr>
            <w:r w:rsidRPr="00181CBE">
              <w:rPr>
                <w:rFonts w:asciiTheme="minorHAnsi" w:eastAsiaTheme="minorEastAsia" w:hAnsiTheme="minorHAnsi" w:cstheme="minorBidi"/>
                <w:noProof/>
                <w:position w:val="-32"/>
                <w:sz w:val="21"/>
                <w:szCs w:val="21"/>
                <w:lang w:val="es-ES" w:eastAsia="en-US"/>
              </w:rPr>
              <w:object w:dxaOrig="2740" w:dyaOrig="740">
                <v:shape id="_x0000_i1055" type="#_x0000_t75" style="width:117.75pt;height:32.25pt" o:ole="">
                  <v:imagedata r:id="rId105" o:title=""/>
                </v:shape>
                <o:OLEObject Type="Embed" ProgID="Equation.DSMT4" ShapeID="_x0000_i1055" DrawAspect="Content" ObjectID="_1660649152" r:id="rId106"/>
              </w:object>
            </w:r>
          </w:p>
        </w:tc>
        <w:tc>
          <w:tcPr>
            <w:tcW w:w="566" w:type="dxa"/>
            <w:vAlign w:val="center"/>
          </w:tcPr>
          <w:p w:rsidR="00A12C8C" w:rsidRDefault="00A12C8C" w:rsidP="00B81843">
            <w:pPr>
              <w:jc w:val="center"/>
              <w:rPr>
                <w:rFonts w:ascii="Arial" w:hAnsi="Arial" w:cs="Arial"/>
              </w:rPr>
            </w:pPr>
            <w:r>
              <w:rPr>
                <w:rFonts w:ascii="Arial" w:hAnsi="Arial" w:cs="Arial"/>
              </w:rPr>
              <w:t>(1)</w:t>
            </w:r>
          </w:p>
        </w:tc>
      </w:tr>
      <w:tr w:rsidR="00A12C8C" w:rsidTr="00B81843">
        <w:trPr>
          <w:trHeight w:val="737"/>
        </w:trPr>
        <w:tc>
          <w:tcPr>
            <w:tcW w:w="8784" w:type="dxa"/>
          </w:tcPr>
          <w:p w:rsidR="00A12C8C" w:rsidRDefault="00A12C8C" w:rsidP="00B81843">
            <w:pPr>
              <w:jc w:val="center"/>
              <w:rPr>
                <w:rFonts w:ascii="Arial" w:hAnsi="Arial" w:cs="Arial"/>
              </w:rPr>
            </w:pPr>
            <w:r w:rsidRPr="0051243C">
              <w:rPr>
                <w:rFonts w:asciiTheme="minorHAnsi" w:eastAsiaTheme="minorEastAsia" w:hAnsiTheme="minorHAnsi" w:cstheme="minorBidi"/>
                <w:noProof/>
                <w:position w:val="-30"/>
                <w:sz w:val="21"/>
                <w:szCs w:val="21"/>
                <w:lang w:val="es-ES" w:eastAsia="en-US"/>
              </w:rPr>
              <w:object w:dxaOrig="4599" w:dyaOrig="700">
                <v:shape id="_x0000_i1056" type="#_x0000_t75" style="width:198.75pt;height:30.75pt" o:ole="">
                  <v:imagedata r:id="rId107" o:title=""/>
                </v:shape>
                <o:OLEObject Type="Embed" ProgID="Equation.DSMT4" ShapeID="_x0000_i1056" DrawAspect="Content" ObjectID="_1660649153" r:id="rId108"/>
              </w:object>
            </w:r>
          </w:p>
        </w:tc>
        <w:tc>
          <w:tcPr>
            <w:tcW w:w="566" w:type="dxa"/>
            <w:vAlign w:val="center"/>
          </w:tcPr>
          <w:p w:rsidR="00A12C8C" w:rsidRDefault="00A12C8C" w:rsidP="00B81843">
            <w:pPr>
              <w:jc w:val="center"/>
              <w:rPr>
                <w:rFonts w:ascii="Arial" w:hAnsi="Arial" w:cs="Arial"/>
              </w:rPr>
            </w:pPr>
            <w:r>
              <w:rPr>
                <w:rFonts w:ascii="Arial" w:hAnsi="Arial" w:cs="Arial"/>
              </w:rPr>
              <w:t>(2)</w:t>
            </w:r>
          </w:p>
        </w:tc>
      </w:tr>
      <w:tr w:rsidR="00A12C8C" w:rsidTr="00B81843">
        <w:trPr>
          <w:trHeight w:val="737"/>
        </w:trPr>
        <w:tc>
          <w:tcPr>
            <w:tcW w:w="8784" w:type="dxa"/>
          </w:tcPr>
          <w:p w:rsidR="00A12C8C" w:rsidRPr="0051243C" w:rsidRDefault="00A12C8C" w:rsidP="00B81843">
            <w:pPr>
              <w:jc w:val="center"/>
              <w:rPr>
                <w:noProof/>
              </w:rPr>
            </w:pPr>
            <w:r w:rsidRPr="0051243C">
              <w:rPr>
                <w:rFonts w:asciiTheme="minorHAnsi" w:eastAsiaTheme="minorEastAsia" w:hAnsiTheme="minorHAnsi" w:cstheme="minorBidi"/>
                <w:noProof/>
                <w:position w:val="-30"/>
                <w:sz w:val="21"/>
                <w:szCs w:val="21"/>
                <w:lang w:val="es-ES" w:eastAsia="en-US"/>
              </w:rPr>
              <w:object w:dxaOrig="980" w:dyaOrig="680">
                <v:shape id="_x0000_i1057" type="#_x0000_t75" style="width:42.75pt;height:30.75pt" o:ole="">
                  <v:imagedata r:id="rId109" o:title=""/>
                </v:shape>
                <o:OLEObject Type="Embed" ProgID="Equation.DSMT4" ShapeID="_x0000_i1057" DrawAspect="Content" ObjectID="_1660649154" r:id="rId110"/>
              </w:object>
            </w:r>
          </w:p>
        </w:tc>
        <w:tc>
          <w:tcPr>
            <w:tcW w:w="566" w:type="dxa"/>
            <w:vAlign w:val="center"/>
          </w:tcPr>
          <w:p w:rsidR="00A12C8C" w:rsidRDefault="00A12C8C" w:rsidP="00B81843">
            <w:pPr>
              <w:jc w:val="center"/>
              <w:rPr>
                <w:rFonts w:ascii="Arial" w:hAnsi="Arial" w:cs="Arial"/>
              </w:rPr>
            </w:pPr>
            <w:r>
              <w:rPr>
                <w:rFonts w:ascii="Arial" w:hAnsi="Arial" w:cs="Arial"/>
              </w:rPr>
              <w:t>(3)</w:t>
            </w:r>
          </w:p>
        </w:tc>
      </w:tr>
    </w:tbl>
    <w:p w:rsidR="00A12C8C" w:rsidRDefault="00A12C8C" w:rsidP="00A12C8C">
      <w:pPr>
        <w:jc w:val="both"/>
        <w:rPr>
          <w:rFonts w:ascii="Arial" w:hAnsi="Arial" w:cs="Arial"/>
        </w:rPr>
      </w:pPr>
    </w:p>
    <w:p w:rsidR="00A12C8C" w:rsidRDefault="00A12C8C" w:rsidP="00A12C8C">
      <w:pPr>
        <w:rPr>
          <w:rFonts w:ascii="Arial" w:hAnsi="Arial" w:cs="Arial"/>
        </w:rPr>
      </w:pPr>
      <w:r>
        <w:rPr>
          <w:rFonts w:ascii="Arial" w:hAnsi="Arial" w:cs="Arial"/>
        </w:rPr>
        <w:t xml:space="preserve">Donde: </w:t>
      </w:r>
    </w:p>
    <w:p w:rsidR="00A12C8C" w:rsidRDefault="00A12C8C" w:rsidP="00A12C8C">
      <w:pPr>
        <w:rPr>
          <w:rFonts w:ascii="Arial" w:hAnsi="Arial" w:cs="Arial"/>
        </w:rPr>
      </w:pPr>
    </w:p>
    <w:p w:rsidR="00A12C8C" w:rsidRPr="00255148" w:rsidRDefault="00A12C8C" w:rsidP="00257D10">
      <w:pPr>
        <w:pStyle w:val="Prrafodelista"/>
        <w:numPr>
          <w:ilvl w:val="0"/>
          <w:numId w:val="14"/>
        </w:numPr>
        <w:spacing w:after="0" w:line="240" w:lineRule="auto"/>
        <w:ind w:left="709"/>
        <w:jc w:val="both"/>
        <w:rPr>
          <w:rFonts w:ascii="Arial" w:hAnsi="Arial" w:cs="Arial"/>
        </w:rPr>
      </w:pPr>
      <w:r w:rsidRPr="00255148">
        <w:rPr>
          <w:rFonts w:ascii="Arial" w:hAnsi="Arial" w:cs="Arial"/>
        </w:rPr>
        <w:t>H es la masa de la muestra</w:t>
      </w:r>
    </w:p>
    <w:p w:rsidR="00A12C8C" w:rsidRPr="00255148" w:rsidRDefault="00A12C8C" w:rsidP="00257D10">
      <w:pPr>
        <w:pStyle w:val="Prrafodelista"/>
        <w:numPr>
          <w:ilvl w:val="0"/>
          <w:numId w:val="14"/>
        </w:numPr>
        <w:spacing w:after="0" w:line="240" w:lineRule="auto"/>
        <w:ind w:left="709"/>
        <w:jc w:val="both"/>
        <w:rPr>
          <w:rFonts w:ascii="Arial" w:hAnsi="Arial" w:cs="Arial"/>
        </w:rPr>
      </w:pPr>
      <w:r w:rsidRPr="00255148">
        <w:rPr>
          <w:rFonts w:ascii="Arial" w:hAnsi="Arial" w:cs="Arial"/>
        </w:rPr>
        <w:t>D es la masa de la muestra hinchada</w:t>
      </w:r>
    </w:p>
    <w:p w:rsidR="00A12C8C" w:rsidRPr="00255148" w:rsidRDefault="00A12C8C" w:rsidP="00257D10">
      <w:pPr>
        <w:pStyle w:val="Prrafodelista"/>
        <w:numPr>
          <w:ilvl w:val="0"/>
          <w:numId w:val="14"/>
        </w:numPr>
        <w:spacing w:after="0" w:line="240" w:lineRule="auto"/>
        <w:ind w:left="709"/>
        <w:jc w:val="both"/>
        <w:rPr>
          <w:rFonts w:ascii="Arial" w:hAnsi="Arial" w:cs="Arial"/>
        </w:rPr>
      </w:pPr>
      <w:r w:rsidRPr="00255148">
        <w:rPr>
          <w:rFonts w:ascii="Arial" w:hAnsi="Arial" w:cs="Arial"/>
        </w:rPr>
        <w:t>F es masa de la fracción de compuestos insolubles F=H/D</w:t>
      </w:r>
    </w:p>
    <w:p w:rsidR="00A12C8C" w:rsidRPr="00255148" w:rsidRDefault="00A12C8C" w:rsidP="00257D10">
      <w:pPr>
        <w:pStyle w:val="Prrafodelista"/>
        <w:numPr>
          <w:ilvl w:val="0"/>
          <w:numId w:val="14"/>
        </w:numPr>
        <w:spacing w:after="0" w:line="240" w:lineRule="auto"/>
        <w:ind w:left="709"/>
        <w:jc w:val="both"/>
        <w:rPr>
          <w:rFonts w:ascii="Arial" w:hAnsi="Arial" w:cs="Arial"/>
        </w:rPr>
      </w:pPr>
      <w:r w:rsidRPr="00255148">
        <w:rPr>
          <w:rFonts w:ascii="Arial" w:hAnsi="Arial" w:cs="Arial"/>
        </w:rPr>
        <w:t>A</w:t>
      </w:r>
      <w:r w:rsidRPr="00255148">
        <w:rPr>
          <w:rFonts w:ascii="Arial" w:hAnsi="Arial" w:cs="Arial"/>
          <w:vertAlign w:val="subscript"/>
        </w:rPr>
        <w:t>0</w:t>
      </w:r>
      <w:r w:rsidRPr="00255148">
        <w:rPr>
          <w:rFonts w:ascii="Arial" w:hAnsi="Arial" w:cs="Arial"/>
        </w:rPr>
        <w:t xml:space="preserve"> es la masa del disolvente absorbido A</w:t>
      </w:r>
      <w:r w:rsidRPr="00255148">
        <w:rPr>
          <w:rFonts w:ascii="Arial" w:hAnsi="Arial" w:cs="Arial"/>
          <w:vertAlign w:val="subscript"/>
        </w:rPr>
        <w:t>0</w:t>
      </w:r>
      <w:r w:rsidRPr="00255148">
        <w:rPr>
          <w:rFonts w:ascii="Arial" w:hAnsi="Arial" w:cs="Arial"/>
        </w:rPr>
        <w:t>= D-H</w:t>
      </w:r>
    </w:p>
    <w:p w:rsidR="00A12C8C" w:rsidRPr="00255148" w:rsidRDefault="00A12C8C" w:rsidP="00257D10">
      <w:pPr>
        <w:pStyle w:val="Prrafodelista"/>
        <w:numPr>
          <w:ilvl w:val="0"/>
          <w:numId w:val="14"/>
        </w:numPr>
        <w:spacing w:after="0" w:line="240" w:lineRule="auto"/>
        <w:ind w:left="709"/>
        <w:jc w:val="both"/>
        <w:rPr>
          <w:rFonts w:ascii="Arial" w:hAnsi="Arial" w:cs="Arial"/>
        </w:rPr>
      </w:pPr>
      <w:r w:rsidRPr="00255148">
        <w:rPr>
          <w:rFonts w:ascii="Arial" w:hAnsi="Arial" w:cs="Arial"/>
        </w:rPr>
        <w:t>ρ</w:t>
      </w:r>
      <w:r w:rsidRPr="00255148">
        <w:rPr>
          <w:rFonts w:ascii="Arial" w:hAnsi="Arial" w:cs="Arial"/>
          <w:vertAlign w:val="subscript"/>
        </w:rPr>
        <w:t xml:space="preserve">r </w:t>
      </w:r>
      <w:r w:rsidRPr="00255148">
        <w:rPr>
          <w:rFonts w:ascii="Arial" w:hAnsi="Arial" w:cs="Arial"/>
        </w:rPr>
        <w:t>es la densidad el caucho</w:t>
      </w:r>
    </w:p>
    <w:p w:rsidR="00A12C8C" w:rsidRPr="00255148" w:rsidRDefault="00A12C8C" w:rsidP="00257D10">
      <w:pPr>
        <w:pStyle w:val="Prrafodelista"/>
        <w:numPr>
          <w:ilvl w:val="0"/>
          <w:numId w:val="14"/>
        </w:numPr>
        <w:spacing w:after="0" w:line="240" w:lineRule="auto"/>
        <w:ind w:left="709"/>
        <w:jc w:val="both"/>
        <w:rPr>
          <w:rFonts w:ascii="Arial" w:hAnsi="Arial" w:cs="Arial"/>
        </w:rPr>
      </w:pPr>
      <w:r w:rsidRPr="00255148">
        <w:rPr>
          <w:rFonts w:ascii="Arial" w:hAnsi="Arial" w:cs="Arial"/>
        </w:rPr>
        <w:t>ρ</w:t>
      </w:r>
      <w:r w:rsidRPr="00255148">
        <w:rPr>
          <w:rFonts w:ascii="Arial" w:hAnsi="Arial" w:cs="Arial"/>
          <w:vertAlign w:val="subscript"/>
        </w:rPr>
        <w:t>s</w:t>
      </w:r>
      <w:r w:rsidRPr="00255148">
        <w:rPr>
          <w:rFonts w:ascii="Arial" w:hAnsi="Arial" w:cs="Arial"/>
        </w:rPr>
        <w:t xml:space="preserve"> es la densidad del disolvente</w:t>
      </w:r>
    </w:p>
    <w:p w:rsidR="00A12C8C" w:rsidRPr="00255148" w:rsidRDefault="00A12C8C" w:rsidP="00257D10">
      <w:pPr>
        <w:pStyle w:val="Prrafodelista"/>
        <w:numPr>
          <w:ilvl w:val="0"/>
          <w:numId w:val="14"/>
        </w:numPr>
        <w:spacing w:after="0" w:line="240" w:lineRule="auto"/>
        <w:ind w:left="709"/>
        <w:jc w:val="both"/>
        <w:rPr>
          <w:rFonts w:ascii="Arial" w:hAnsi="Arial" w:cs="Arial"/>
        </w:rPr>
      </w:pPr>
      <w:r w:rsidRPr="00255148">
        <w:rPr>
          <w:rFonts w:ascii="Arial" w:hAnsi="Arial" w:cs="Arial"/>
        </w:rPr>
        <w:t>V</w:t>
      </w:r>
      <w:r w:rsidRPr="00255148">
        <w:rPr>
          <w:rFonts w:ascii="Arial" w:hAnsi="Arial" w:cs="Arial"/>
          <w:vertAlign w:val="subscript"/>
        </w:rPr>
        <w:t>r</w:t>
      </w:r>
      <w:r w:rsidRPr="00255148">
        <w:rPr>
          <w:rFonts w:ascii="Arial" w:hAnsi="Arial" w:cs="Arial"/>
        </w:rPr>
        <w:t xml:space="preserve"> es la fracción de volumen de caucho en el gel hinchado</w:t>
      </w:r>
    </w:p>
    <w:p w:rsidR="00A12C8C" w:rsidRPr="00255148" w:rsidRDefault="00A12C8C" w:rsidP="00257D10">
      <w:pPr>
        <w:pStyle w:val="Prrafodelista"/>
        <w:numPr>
          <w:ilvl w:val="0"/>
          <w:numId w:val="14"/>
        </w:numPr>
        <w:spacing w:after="0" w:line="240" w:lineRule="auto"/>
        <w:ind w:left="709"/>
        <w:jc w:val="both"/>
        <w:rPr>
          <w:rFonts w:ascii="Arial" w:hAnsi="Arial" w:cs="Arial"/>
        </w:rPr>
      </w:pPr>
      <w:r w:rsidRPr="00255148">
        <w:rPr>
          <w:rFonts w:ascii="Arial" w:hAnsi="Arial" w:cs="Arial"/>
        </w:rPr>
        <w:t>ρ</w:t>
      </w:r>
      <w:r w:rsidRPr="00255148">
        <w:rPr>
          <w:rFonts w:ascii="Arial" w:hAnsi="Arial" w:cs="Arial"/>
          <w:vertAlign w:val="subscript"/>
        </w:rPr>
        <w:t xml:space="preserve">r </w:t>
      </w:r>
      <w:r w:rsidRPr="00255148">
        <w:rPr>
          <w:rFonts w:ascii="Arial" w:hAnsi="Arial" w:cs="Arial"/>
        </w:rPr>
        <w:t>es la densidad el caucho</w:t>
      </w:r>
    </w:p>
    <w:p w:rsidR="00A12C8C" w:rsidRPr="007D7181" w:rsidRDefault="00A12C8C" w:rsidP="00257D10">
      <w:pPr>
        <w:pStyle w:val="Prrafodelista"/>
        <w:numPr>
          <w:ilvl w:val="0"/>
          <w:numId w:val="14"/>
        </w:numPr>
        <w:spacing w:after="0" w:line="240" w:lineRule="auto"/>
        <w:ind w:left="709"/>
        <w:jc w:val="both"/>
        <w:rPr>
          <w:rFonts w:ascii="Arial" w:hAnsi="Arial" w:cs="Arial"/>
        </w:rPr>
      </w:pPr>
      <w:r w:rsidRPr="00255148">
        <w:rPr>
          <w:rFonts w:ascii="Arial" w:hAnsi="Arial" w:cs="Arial"/>
        </w:rPr>
        <w:t xml:space="preserve">χ es el parámetro de interacción del disolvente con el </w:t>
      </w:r>
      <w:r w:rsidRPr="007D7181">
        <w:rPr>
          <w:rFonts w:ascii="Arial" w:hAnsi="Arial" w:cs="Arial"/>
        </w:rPr>
        <w:t>polímero χ=0.39 [1</w:t>
      </w:r>
      <w:r>
        <w:rPr>
          <w:rFonts w:ascii="Arial" w:hAnsi="Arial" w:cs="Arial"/>
        </w:rPr>
        <w:t>3</w:t>
      </w:r>
      <w:r w:rsidRPr="007D7181">
        <w:rPr>
          <w:rFonts w:ascii="Arial" w:hAnsi="Arial" w:cs="Arial"/>
        </w:rPr>
        <w:t>]</w:t>
      </w:r>
    </w:p>
    <w:p w:rsidR="00A12C8C" w:rsidRPr="007D7181" w:rsidRDefault="00A12C8C" w:rsidP="00257D10">
      <w:pPr>
        <w:pStyle w:val="Prrafodelista"/>
        <w:numPr>
          <w:ilvl w:val="0"/>
          <w:numId w:val="14"/>
        </w:numPr>
        <w:spacing w:after="0" w:line="240" w:lineRule="auto"/>
        <w:ind w:left="709"/>
        <w:jc w:val="both"/>
        <w:rPr>
          <w:rFonts w:ascii="Arial" w:hAnsi="Arial" w:cs="Arial"/>
        </w:rPr>
      </w:pPr>
      <w:r w:rsidRPr="007D7181">
        <w:rPr>
          <w:rFonts w:ascii="Arial" w:hAnsi="Arial" w:cs="Arial"/>
        </w:rPr>
        <w:t>V</w:t>
      </w:r>
      <w:r w:rsidRPr="007D7181">
        <w:rPr>
          <w:rFonts w:ascii="Arial" w:hAnsi="Arial" w:cs="Arial"/>
          <w:vertAlign w:val="subscript"/>
        </w:rPr>
        <w:t>s</w:t>
      </w:r>
      <w:r w:rsidRPr="007D7181">
        <w:rPr>
          <w:rFonts w:ascii="Arial" w:hAnsi="Arial" w:cs="Arial"/>
        </w:rPr>
        <w:t xml:space="preserve"> es el volumen molar del disolvente</w:t>
      </w:r>
    </w:p>
    <w:p w:rsidR="00A12C8C" w:rsidRDefault="00A12C8C" w:rsidP="00A12C8C">
      <w:pPr>
        <w:rPr>
          <w:rFonts w:ascii="Arial" w:hAnsi="Arial" w:cs="Arial"/>
        </w:rPr>
      </w:pPr>
    </w:p>
    <w:p w:rsidR="00A12C8C" w:rsidRDefault="00A12C8C" w:rsidP="00A12C8C">
      <w:pPr>
        <w:rPr>
          <w:rFonts w:ascii="Arial" w:hAnsi="Arial" w:cs="Arial"/>
        </w:rPr>
      </w:pPr>
      <w:r>
        <w:rPr>
          <w:rFonts w:ascii="Arial" w:hAnsi="Arial" w:cs="Arial"/>
        </w:rPr>
        <w:t>Para determinar el porcentaje de desvulcanización de las muestras tratadas, utilizó la siguiente formula.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6"/>
      </w:tblGrid>
      <w:tr w:rsidR="00A12C8C" w:rsidTr="00B81843">
        <w:tc>
          <w:tcPr>
            <w:tcW w:w="8784" w:type="dxa"/>
          </w:tcPr>
          <w:p w:rsidR="00A12C8C" w:rsidRDefault="00A12C8C" w:rsidP="00B81843">
            <w:pPr>
              <w:jc w:val="center"/>
              <w:rPr>
                <w:rFonts w:ascii="Arial" w:hAnsi="Arial" w:cs="Arial"/>
              </w:rPr>
            </w:pPr>
            <w:r w:rsidRPr="0051243C">
              <w:rPr>
                <w:rFonts w:asciiTheme="minorHAnsi" w:eastAsiaTheme="minorEastAsia" w:hAnsiTheme="minorHAnsi" w:cstheme="minorBidi"/>
                <w:noProof/>
                <w:position w:val="-30"/>
                <w:sz w:val="21"/>
                <w:szCs w:val="21"/>
                <w:lang w:val="es-ES" w:eastAsia="en-US"/>
              </w:rPr>
              <w:object w:dxaOrig="3500" w:dyaOrig="680">
                <v:shape id="_x0000_i1058" type="#_x0000_t75" style="width:172.5pt;height:36pt" o:ole="">
                  <v:imagedata r:id="rId111" o:title=""/>
                </v:shape>
                <o:OLEObject Type="Embed" ProgID="Equation.DSMT4" ShapeID="_x0000_i1058" DrawAspect="Content" ObjectID="_1660649155" r:id="rId112"/>
              </w:object>
            </w:r>
          </w:p>
        </w:tc>
        <w:tc>
          <w:tcPr>
            <w:tcW w:w="566" w:type="dxa"/>
            <w:vAlign w:val="center"/>
          </w:tcPr>
          <w:p w:rsidR="00A12C8C" w:rsidRDefault="00A12C8C" w:rsidP="00B81843">
            <w:pPr>
              <w:jc w:val="center"/>
              <w:rPr>
                <w:rFonts w:ascii="Arial" w:hAnsi="Arial" w:cs="Arial"/>
              </w:rPr>
            </w:pPr>
            <w:r>
              <w:rPr>
                <w:rFonts w:ascii="Arial" w:hAnsi="Arial" w:cs="Arial"/>
              </w:rPr>
              <w:t>(4)</w:t>
            </w:r>
          </w:p>
        </w:tc>
      </w:tr>
    </w:tbl>
    <w:p w:rsidR="00A12C8C" w:rsidRPr="004A27D4" w:rsidRDefault="00A12C8C" w:rsidP="00A12C8C">
      <w:pPr>
        <w:rPr>
          <w:rFonts w:ascii="Arial" w:hAnsi="Arial" w:cs="Arial"/>
        </w:rPr>
      </w:pPr>
    </w:p>
    <w:p w:rsidR="00A12C8C" w:rsidRPr="004A27D4" w:rsidRDefault="00A12C8C" w:rsidP="00A12C8C">
      <w:pPr>
        <w:rPr>
          <w:rFonts w:ascii="Arial" w:hAnsi="Arial" w:cs="Arial"/>
        </w:rPr>
      </w:pPr>
      <w:r w:rsidRPr="004A27D4">
        <w:rPr>
          <w:rFonts w:ascii="Arial" w:hAnsi="Arial" w:cs="Arial"/>
        </w:rPr>
        <w:t>Donde v</w:t>
      </w:r>
      <w:r w:rsidRPr="004A27D4">
        <w:rPr>
          <w:rFonts w:ascii="Arial" w:hAnsi="Arial" w:cs="Arial"/>
          <w:vertAlign w:val="subscript"/>
        </w:rPr>
        <w:t>c1</w:t>
      </w:r>
      <w:r w:rsidRPr="004A27D4">
        <w:rPr>
          <w:rFonts w:ascii="Arial" w:hAnsi="Arial" w:cs="Arial"/>
        </w:rPr>
        <w:t xml:space="preserve"> y v</w:t>
      </w:r>
      <w:r w:rsidRPr="004A27D4">
        <w:rPr>
          <w:rFonts w:ascii="Arial" w:hAnsi="Arial" w:cs="Arial"/>
          <w:vertAlign w:val="subscript"/>
        </w:rPr>
        <w:t>c2</w:t>
      </w:r>
      <w:r w:rsidRPr="004A27D4">
        <w:rPr>
          <w:rFonts w:ascii="Arial" w:hAnsi="Arial" w:cs="Arial"/>
        </w:rPr>
        <w:t xml:space="preserve"> son las densidades aparentes de entrecruzamiento antes y después de la desvulcanización, respectivamente.</w:t>
      </w:r>
    </w:p>
    <w:p w:rsidR="00A12C8C" w:rsidRPr="00476D3A" w:rsidRDefault="00A12C8C" w:rsidP="00A12C8C">
      <w:pPr>
        <w:rPr>
          <w:rFonts w:ascii="Arial" w:hAnsi="Arial" w:cs="Arial"/>
        </w:rPr>
      </w:pPr>
    </w:p>
    <w:p w:rsidR="00A12C8C" w:rsidRPr="00844E6E" w:rsidRDefault="00A12C8C" w:rsidP="00A12C8C">
      <w:pPr>
        <w:pStyle w:val="Ttulo1"/>
        <w:tabs>
          <w:tab w:val="left" w:pos="0"/>
        </w:tabs>
        <w:spacing w:line="360" w:lineRule="auto"/>
        <w:rPr>
          <w:rFonts w:ascii="Arial" w:hAnsi="Arial" w:cs="Arial"/>
          <w:b/>
          <w:bCs/>
          <w:iCs/>
          <w:sz w:val="24"/>
          <w:szCs w:val="24"/>
        </w:rPr>
      </w:pPr>
      <w:bookmarkStart w:id="38" w:name="_Toc50031171"/>
      <w:r w:rsidRPr="00844E6E">
        <w:rPr>
          <w:rFonts w:ascii="Arial" w:hAnsi="Arial" w:cs="Arial"/>
          <w:sz w:val="24"/>
          <w:szCs w:val="24"/>
        </w:rPr>
        <w:lastRenderedPageBreak/>
        <w:t>3.2 Desvulcanización</w:t>
      </w:r>
      <w:bookmarkEnd w:id="38"/>
    </w:p>
    <w:p w:rsidR="00A12C8C" w:rsidRPr="001F591C" w:rsidRDefault="00A12C8C" w:rsidP="00A12C8C">
      <w:pPr>
        <w:jc w:val="both"/>
        <w:rPr>
          <w:rFonts w:ascii="Arial" w:hAnsi="Arial" w:cs="Arial"/>
          <w:lang w:val="es-MX"/>
        </w:rPr>
      </w:pPr>
      <w:r w:rsidRPr="06D618A9">
        <w:rPr>
          <w:rFonts w:ascii="Arial" w:hAnsi="Arial" w:cs="Arial"/>
          <w:lang w:val="es-MX"/>
        </w:rPr>
        <w:t>Se tomó como base</w:t>
      </w:r>
      <w:r w:rsidRPr="00664D77">
        <w:rPr>
          <w:rFonts w:ascii="Arial" w:hAnsi="Arial" w:cs="Arial"/>
          <w:lang w:val="es-MX"/>
        </w:rPr>
        <w:t xml:space="preserve"> el procedimiento del artículo </w:t>
      </w:r>
      <w:r w:rsidRPr="008C01F5">
        <w:rPr>
          <w:rFonts w:ascii="Arial" w:hAnsi="Arial" w:cs="Arial"/>
          <w:i/>
          <w:iCs/>
          <w:lang w:val="es-MX"/>
        </w:rPr>
        <w:t>New Route for Devulcanization of Rubber and the Properties of Devulcani</w:t>
      </w:r>
      <w:r w:rsidRPr="001F591C">
        <w:rPr>
          <w:rFonts w:ascii="Arial" w:hAnsi="Arial" w:cs="Arial"/>
          <w:i/>
          <w:iCs/>
          <w:lang w:val="es-MX"/>
        </w:rPr>
        <w:t xml:space="preserve">zed Rubber </w:t>
      </w:r>
      <w:r w:rsidRPr="001F591C">
        <w:rPr>
          <w:rFonts w:ascii="Arial" w:hAnsi="Arial" w:cs="Arial"/>
          <w:lang w:val="es-MX"/>
        </w:rPr>
        <w:t>[1</w:t>
      </w:r>
      <w:r>
        <w:rPr>
          <w:rFonts w:ascii="Arial" w:hAnsi="Arial" w:cs="Arial"/>
          <w:lang w:val="es-MX"/>
        </w:rPr>
        <w:t>3</w:t>
      </w:r>
      <w:r w:rsidRPr="001F591C">
        <w:rPr>
          <w:rFonts w:ascii="Arial" w:hAnsi="Arial" w:cs="Arial"/>
          <w:lang w:val="es-MX"/>
        </w:rPr>
        <w:t xml:space="preserve">], se colocó una muestra de caucho previamente pesada en una disolución de peróxido de benzoilo (BPO) en xileno de 50 mL (5 g/L). Esta se introdujo en una estufa a 80 °C durante una hora; posteriormente, se retiró la muestra de la disolución y se reintrodujo a la estufa a 60 °C durante 4 horas para su secado. Finalmente, se determinó su densidad de entrecruzamiento con la prueba de hinchamiento descrita anteriormente.  </w:t>
      </w:r>
    </w:p>
    <w:p w:rsidR="00A12C8C" w:rsidRPr="001F591C" w:rsidRDefault="00A12C8C" w:rsidP="00A12C8C">
      <w:pPr>
        <w:jc w:val="both"/>
        <w:rPr>
          <w:rFonts w:ascii="Arial" w:hAnsi="Arial" w:cs="Arial"/>
          <w:lang w:val="es-MX"/>
        </w:rPr>
      </w:pPr>
    </w:p>
    <w:p w:rsidR="00A12C8C" w:rsidRPr="00844E6E" w:rsidRDefault="00A12C8C" w:rsidP="00A12C8C">
      <w:pPr>
        <w:pStyle w:val="Ttulo1"/>
        <w:tabs>
          <w:tab w:val="left" w:pos="0"/>
        </w:tabs>
        <w:spacing w:line="360" w:lineRule="auto"/>
        <w:rPr>
          <w:rFonts w:ascii="Arial" w:hAnsi="Arial" w:cs="Arial"/>
          <w:b/>
          <w:bCs/>
          <w:iCs/>
          <w:sz w:val="24"/>
          <w:szCs w:val="24"/>
        </w:rPr>
      </w:pPr>
      <w:bookmarkStart w:id="39" w:name="_Toc50031172"/>
      <w:r w:rsidRPr="00844E6E">
        <w:rPr>
          <w:rFonts w:ascii="Arial" w:hAnsi="Arial" w:cs="Arial"/>
          <w:sz w:val="24"/>
          <w:szCs w:val="24"/>
        </w:rPr>
        <w:t>3.3 Agente desvulcanizante</w:t>
      </w:r>
      <w:bookmarkEnd w:id="39"/>
    </w:p>
    <w:p w:rsidR="00A12C8C" w:rsidRPr="001F591C" w:rsidRDefault="00A12C8C" w:rsidP="00A12C8C">
      <w:pPr>
        <w:jc w:val="both"/>
        <w:rPr>
          <w:rFonts w:ascii="Arial" w:hAnsi="Arial" w:cs="Arial"/>
        </w:rPr>
      </w:pPr>
      <w:r w:rsidRPr="001F591C">
        <w:rPr>
          <w:rFonts w:ascii="Arial" w:hAnsi="Arial" w:cs="Arial"/>
        </w:rPr>
        <w:t>Se repitió el procedimiento de la sección 3.2 modificando el agente desvulcanizante. Se analizó el efecto sobre el porcentaje de desvulcanización utilizando peróxido de benzoilo (BPO), azobisisobutironitrilo (AIBN) y peróxido de hidrógeno (H</w:t>
      </w:r>
      <w:r w:rsidRPr="001F591C">
        <w:rPr>
          <w:rFonts w:ascii="Arial" w:hAnsi="Arial" w:cs="Arial"/>
          <w:vertAlign w:val="subscript"/>
        </w:rPr>
        <w:t>2</w:t>
      </w:r>
      <w:r w:rsidRPr="001F591C">
        <w:rPr>
          <w:rFonts w:ascii="Arial" w:hAnsi="Arial" w:cs="Arial"/>
        </w:rPr>
        <w:t>O</w:t>
      </w:r>
      <w:r w:rsidRPr="001F591C">
        <w:rPr>
          <w:rFonts w:ascii="Arial" w:hAnsi="Arial" w:cs="Arial"/>
          <w:vertAlign w:val="subscript"/>
        </w:rPr>
        <w:t>2</w:t>
      </w:r>
      <w:r w:rsidRPr="001F591C">
        <w:rPr>
          <w:rFonts w:ascii="Arial" w:hAnsi="Arial" w:cs="Arial"/>
        </w:rPr>
        <w:t xml:space="preserve">). Se escogieron dichos agentes desvulcanizantes porque presentan una descomposición radicalaria, la cual favorece a la ruptura de los enlaces S-S del caucho a tratar. El agente seleccionado para las pruebas posteriores será el que obtenga un mayor porcentaje de desvulcanización. </w:t>
      </w:r>
    </w:p>
    <w:p w:rsidR="00A12C8C" w:rsidRPr="001F591C" w:rsidRDefault="00A12C8C" w:rsidP="00A12C8C">
      <w:pPr>
        <w:rPr>
          <w:rFonts w:ascii="Arial" w:hAnsi="Arial" w:cs="Arial"/>
        </w:rPr>
      </w:pPr>
    </w:p>
    <w:p w:rsidR="00A12C8C" w:rsidRPr="00844E6E" w:rsidRDefault="00A12C8C" w:rsidP="00A12C8C">
      <w:pPr>
        <w:pStyle w:val="Ttulo1"/>
        <w:tabs>
          <w:tab w:val="left" w:pos="0"/>
        </w:tabs>
        <w:spacing w:line="360" w:lineRule="auto"/>
        <w:rPr>
          <w:rFonts w:ascii="Arial" w:hAnsi="Arial" w:cs="Arial"/>
          <w:b/>
          <w:bCs/>
          <w:iCs/>
          <w:sz w:val="24"/>
          <w:szCs w:val="24"/>
        </w:rPr>
      </w:pPr>
      <w:bookmarkStart w:id="40" w:name="_Toc50031173"/>
      <w:r w:rsidRPr="00844E6E">
        <w:rPr>
          <w:rFonts w:ascii="Arial" w:hAnsi="Arial" w:cs="Arial"/>
          <w:sz w:val="24"/>
          <w:szCs w:val="24"/>
        </w:rPr>
        <w:t>3.4 Tiempo de reacción</w:t>
      </w:r>
      <w:bookmarkEnd w:id="40"/>
    </w:p>
    <w:p w:rsidR="00A12C8C" w:rsidRPr="001F591C" w:rsidRDefault="00A12C8C" w:rsidP="00A12C8C">
      <w:pPr>
        <w:jc w:val="both"/>
        <w:rPr>
          <w:rFonts w:ascii="Arial" w:hAnsi="Arial" w:cs="Arial"/>
        </w:rPr>
      </w:pPr>
      <w:r w:rsidRPr="001F591C">
        <w:rPr>
          <w:rFonts w:ascii="Arial" w:hAnsi="Arial" w:cs="Arial"/>
        </w:rPr>
        <w:t>Se replicó el procedimiento de la sección 3.2, con el agente desvulcanizante de mayor eficiencia, respetando las condiciones de concentración (5 g/L) y temperatura (80 °C), variando el tiempo de reacción: 30, 60, 90, 120, 180, 240 y 300 min. Se analizaron las muestras con la prueba de hinchamiento para determinar el tiempo óptimo.</w:t>
      </w:r>
    </w:p>
    <w:p w:rsidR="00A12C8C" w:rsidRPr="001F591C" w:rsidRDefault="00A12C8C" w:rsidP="00A12C8C"/>
    <w:p w:rsidR="00A12C8C" w:rsidRPr="00844E6E" w:rsidRDefault="00A12C8C" w:rsidP="00A12C8C">
      <w:pPr>
        <w:pStyle w:val="Ttulo1"/>
        <w:tabs>
          <w:tab w:val="left" w:pos="0"/>
        </w:tabs>
        <w:spacing w:line="360" w:lineRule="auto"/>
        <w:rPr>
          <w:rFonts w:ascii="Arial" w:hAnsi="Arial" w:cs="Arial"/>
          <w:b/>
          <w:bCs/>
          <w:iCs/>
          <w:sz w:val="24"/>
          <w:szCs w:val="24"/>
        </w:rPr>
      </w:pPr>
      <w:bookmarkStart w:id="41" w:name="_Toc50031174"/>
      <w:r w:rsidRPr="00844E6E">
        <w:rPr>
          <w:rFonts w:ascii="Arial" w:hAnsi="Arial" w:cs="Arial"/>
          <w:sz w:val="24"/>
          <w:szCs w:val="24"/>
        </w:rPr>
        <w:t>3.5</w:t>
      </w:r>
      <w:r w:rsidRPr="00844E6E">
        <w:rPr>
          <w:sz w:val="24"/>
          <w:szCs w:val="24"/>
        </w:rPr>
        <w:t xml:space="preserve"> T</w:t>
      </w:r>
      <w:r w:rsidRPr="00844E6E">
        <w:rPr>
          <w:rFonts w:ascii="Arial" w:hAnsi="Arial" w:cs="Arial"/>
          <w:sz w:val="24"/>
          <w:szCs w:val="24"/>
        </w:rPr>
        <w:t>emperatura</w:t>
      </w:r>
      <w:bookmarkEnd w:id="41"/>
    </w:p>
    <w:p w:rsidR="00A12C8C" w:rsidRPr="001F591C" w:rsidRDefault="00A12C8C" w:rsidP="00A12C8C">
      <w:pPr>
        <w:jc w:val="both"/>
        <w:rPr>
          <w:rFonts w:ascii="Arial" w:hAnsi="Arial" w:cs="Arial"/>
        </w:rPr>
      </w:pPr>
      <w:r w:rsidRPr="001F591C">
        <w:rPr>
          <w:rFonts w:ascii="Arial" w:hAnsi="Arial" w:cs="Arial"/>
        </w:rPr>
        <w:t>Se replicó el procedimiento de la sección 3.2, con el agente desvulcanizante de mayor eficiencia, respetando la concentración (5 g/L), con el tiempo resultante de la optimización de la variable, variando la temperatura: 80, 85 y 90 °C. Se determinaron estos intervalos por cuestiones de seguridad. Se analizaron las muestras con la prueba de hinchamiento para determinar la temperatura óptima.</w:t>
      </w:r>
    </w:p>
    <w:p w:rsidR="00A12C8C" w:rsidRPr="001F591C" w:rsidRDefault="00A12C8C" w:rsidP="00A12C8C">
      <w:pPr>
        <w:rPr>
          <w:rFonts w:ascii="Arial" w:hAnsi="Arial" w:cs="Arial"/>
        </w:rPr>
      </w:pPr>
    </w:p>
    <w:p w:rsidR="00A12C8C" w:rsidRPr="00844E6E" w:rsidRDefault="00A12C8C" w:rsidP="00A12C8C">
      <w:pPr>
        <w:pStyle w:val="Ttulo1"/>
        <w:tabs>
          <w:tab w:val="left" w:pos="0"/>
        </w:tabs>
        <w:spacing w:line="360" w:lineRule="auto"/>
        <w:rPr>
          <w:rFonts w:ascii="Arial" w:hAnsi="Arial" w:cs="Arial"/>
          <w:b/>
          <w:bCs/>
          <w:iCs/>
          <w:sz w:val="24"/>
          <w:szCs w:val="24"/>
        </w:rPr>
      </w:pPr>
      <w:bookmarkStart w:id="42" w:name="_Toc50031175"/>
      <w:r w:rsidRPr="00844E6E">
        <w:rPr>
          <w:rFonts w:ascii="Arial" w:hAnsi="Arial" w:cs="Arial"/>
          <w:sz w:val="24"/>
          <w:szCs w:val="24"/>
        </w:rPr>
        <w:t>3.6 Concentración del agente desvulcanizante</w:t>
      </w:r>
      <w:bookmarkEnd w:id="42"/>
    </w:p>
    <w:p w:rsidR="00A12C8C" w:rsidRPr="001F591C" w:rsidRDefault="00A12C8C" w:rsidP="00A12C8C">
      <w:pPr>
        <w:jc w:val="both"/>
        <w:rPr>
          <w:rFonts w:ascii="Arial" w:hAnsi="Arial" w:cs="Arial"/>
        </w:rPr>
      </w:pPr>
      <w:r w:rsidRPr="001F591C">
        <w:rPr>
          <w:rFonts w:ascii="Arial" w:hAnsi="Arial" w:cs="Arial"/>
        </w:rPr>
        <w:t>Se replicó el procedimiento de la sección 3.2, con el agente desvulcanizante de mayor eficiencia, con el tiempo y temperatura resultantes de la optimización de las variables, variando la concentración a: 2.5, 5, 10, 20 g/L. Se analizaron las muestras con la prueba de hinchamiento para determinar la concentración óptima.</w:t>
      </w:r>
    </w:p>
    <w:p w:rsidR="00A12C8C" w:rsidRPr="001F591C" w:rsidRDefault="00A12C8C" w:rsidP="00A12C8C"/>
    <w:p w:rsidR="00A12C8C" w:rsidRPr="00844E6E" w:rsidRDefault="00A12C8C" w:rsidP="00A12C8C">
      <w:pPr>
        <w:pStyle w:val="Ttulo1"/>
        <w:tabs>
          <w:tab w:val="left" w:pos="0"/>
        </w:tabs>
        <w:spacing w:line="360" w:lineRule="auto"/>
        <w:rPr>
          <w:rFonts w:ascii="Arial" w:hAnsi="Arial" w:cs="Arial"/>
          <w:b/>
          <w:bCs/>
          <w:iCs/>
          <w:sz w:val="24"/>
          <w:szCs w:val="24"/>
        </w:rPr>
      </w:pPr>
      <w:bookmarkStart w:id="43" w:name="_Toc50031176"/>
      <w:r w:rsidRPr="00844E6E">
        <w:rPr>
          <w:rFonts w:ascii="Arial" w:hAnsi="Arial" w:cs="Arial"/>
          <w:sz w:val="24"/>
          <w:szCs w:val="24"/>
        </w:rPr>
        <w:t>3.7 Agitación</w:t>
      </w:r>
      <w:bookmarkEnd w:id="43"/>
    </w:p>
    <w:p w:rsidR="00A12C8C" w:rsidRDefault="00A12C8C" w:rsidP="00A12C8C">
      <w:pPr>
        <w:jc w:val="both"/>
        <w:rPr>
          <w:rFonts w:ascii="Arial" w:hAnsi="Arial" w:cs="Arial"/>
        </w:rPr>
      </w:pPr>
      <w:r w:rsidRPr="001F591C">
        <w:rPr>
          <w:rFonts w:ascii="Arial" w:hAnsi="Arial" w:cs="Arial"/>
        </w:rPr>
        <w:t>Se replicó el procedimiento de la sección 3.2, con el agente desvulcanizante de mayor eficiencia a la temperatura, tiempo de reacción y concentración óptimas. Se analizó el efecto de la agitación 100 RPM y 300 RPM, siendo estos valores para provocar el movimiento del caucho y evitar la formación de vórtices, respectivamente</w:t>
      </w:r>
      <w:r>
        <w:rPr>
          <w:rFonts w:ascii="Arial" w:hAnsi="Arial" w:cs="Arial"/>
        </w:rPr>
        <w:t xml:space="preserve">. </w:t>
      </w:r>
    </w:p>
    <w:p w:rsidR="00A12C8C" w:rsidRPr="00041AEA" w:rsidRDefault="00A12C8C" w:rsidP="00A12C8C">
      <w:pPr>
        <w:jc w:val="both"/>
        <w:rPr>
          <w:rFonts w:ascii="Arial" w:hAnsi="Arial" w:cs="Arial"/>
        </w:rPr>
      </w:pPr>
    </w:p>
    <w:p w:rsidR="00A12C8C" w:rsidRPr="00844E6E" w:rsidRDefault="00A12C8C" w:rsidP="00A12C8C">
      <w:pPr>
        <w:pStyle w:val="Ttulo1"/>
        <w:tabs>
          <w:tab w:val="left" w:pos="0"/>
        </w:tabs>
        <w:spacing w:line="360" w:lineRule="auto"/>
        <w:rPr>
          <w:rFonts w:ascii="Arial" w:hAnsi="Arial" w:cs="Arial"/>
          <w:i/>
          <w:sz w:val="24"/>
          <w:szCs w:val="24"/>
        </w:rPr>
      </w:pPr>
      <w:bookmarkStart w:id="44" w:name="_Toc50031177"/>
      <w:r w:rsidRPr="00844E6E">
        <w:rPr>
          <w:rFonts w:ascii="Arial" w:hAnsi="Arial" w:cs="Arial"/>
          <w:caps/>
          <w:sz w:val="24"/>
          <w:szCs w:val="24"/>
        </w:rPr>
        <w:t xml:space="preserve">4. </w:t>
      </w:r>
      <w:r w:rsidRPr="00844E6E">
        <w:rPr>
          <w:rFonts w:ascii="Arial" w:hAnsi="Arial" w:cs="Arial"/>
          <w:sz w:val="24"/>
          <w:szCs w:val="24"/>
        </w:rPr>
        <w:t>Resultados y discusión</w:t>
      </w:r>
      <w:bookmarkEnd w:id="44"/>
    </w:p>
    <w:p w:rsidR="00A12C8C" w:rsidRPr="007F4E60" w:rsidRDefault="00A12C8C" w:rsidP="00A12C8C">
      <w:pPr>
        <w:jc w:val="both"/>
        <w:rPr>
          <w:rFonts w:ascii="Arial" w:hAnsi="Arial" w:cs="Arial"/>
          <w:bCs/>
        </w:rPr>
      </w:pPr>
      <w:r w:rsidRPr="007F4E60">
        <w:rPr>
          <w:rFonts w:ascii="Arial" w:hAnsi="Arial" w:cs="Arial"/>
          <w:bCs/>
        </w:rPr>
        <w:t>Se muestran los resultados promedio de las pruebas de optimización de las variables tiempo de reacción, temperatura, volumen y agitación. Para determinar cuáles son</w:t>
      </w:r>
      <w:r>
        <w:rPr>
          <w:rFonts w:ascii="Arial" w:hAnsi="Arial" w:cs="Arial"/>
          <w:bCs/>
        </w:rPr>
        <w:t xml:space="preserve"> </w:t>
      </w:r>
      <w:r w:rsidRPr="00365318">
        <w:rPr>
          <w:rFonts w:ascii="Arial" w:hAnsi="Arial" w:cs="Arial"/>
          <w:bCs/>
        </w:rPr>
        <w:t>los valores óptimos, se escogió aqu</w:t>
      </w:r>
      <w:r>
        <w:rPr>
          <w:rFonts w:ascii="Arial" w:hAnsi="Arial" w:cs="Arial"/>
          <w:bCs/>
        </w:rPr>
        <w:t>e</w:t>
      </w:r>
      <w:r w:rsidRPr="00365318">
        <w:rPr>
          <w:rFonts w:ascii="Arial" w:hAnsi="Arial" w:cs="Arial"/>
          <w:bCs/>
        </w:rPr>
        <w:t>l que obtuvo un mayor grado de desvulcanización.</w:t>
      </w:r>
    </w:p>
    <w:p w:rsidR="00A12C8C" w:rsidRPr="002754AD" w:rsidRDefault="00A12C8C" w:rsidP="00A12C8C"/>
    <w:p w:rsidR="00A12C8C" w:rsidRPr="00844E6E" w:rsidRDefault="00A12C8C" w:rsidP="00A12C8C">
      <w:pPr>
        <w:pStyle w:val="Ttulo1"/>
        <w:tabs>
          <w:tab w:val="left" w:pos="0"/>
        </w:tabs>
        <w:spacing w:line="360" w:lineRule="auto"/>
        <w:rPr>
          <w:rFonts w:ascii="Arial" w:hAnsi="Arial" w:cs="Arial"/>
          <w:i/>
          <w:sz w:val="24"/>
          <w:szCs w:val="24"/>
        </w:rPr>
      </w:pPr>
      <w:bookmarkStart w:id="45" w:name="_Toc50031178"/>
      <w:r w:rsidRPr="00844E6E">
        <w:rPr>
          <w:rFonts w:ascii="Arial" w:hAnsi="Arial" w:cs="Arial"/>
          <w:sz w:val="24"/>
          <w:szCs w:val="24"/>
        </w:rPr>
        <w:t>4.1 Densidad de entrecruzamiento</w:t>
      </w:r>
      <w:bookmarkEnd w:id="45"/>
    </w:p>
    <w:p w:rsidR="00A12C8C" w:rsidRPr="007F0313" w:rsidRDefault="00A12C8C" w:rsidP="00A12C8C">
      <w:pPr>
        <w:pStyle w:val="Textoindependiente"/>
        <w:ind w:firstLine="539"/>
        <w:jc w:val="both"/>
        <w:rPr>
          <w:rFonts w:ascii="Arial" w:hAnsi="Arial" w:cs="Arial"/>
          <w:b w:val="0"/>
          <w:sz w:val="24"/>
        </w:rPr>
      </w:pPr>
      <w:r w:rsidRPr="007F0313">
        <w:rPr>
          <w:rFonts w:ascii="Arial" w:hAnsi="Arial" w:cs="Arial"/>
          <w:b w:val="0"/>
          <w:sz w:val="24"/>
        </w:rPr>
        <w:t xml:space="preserve">Como se puede observar en la figura </w:t>
      </w:r>
      <w:r>
        <w:rPr>
          <w:rFonts w:ascii="Arial" w:hAnsi="Arial" w:cs="Arial"/>
          <w:b w:val="0"/>
          <w:sz w:val="24"/>
        </w:rPr>
        <w:t>1</w:t>
      </w:r>
      <w:r w:rsidRPr="007F0313">
        <w:rPr>
          <w:rFonts w:ascii="Arial" w:hAnsi="Arial" w:cs="Arial"/>
          <w:b w:val="0"/>
          <w:sz w:val="24"/>
        </w:rPr>
        <w:t>, el hinchamiento en equilibrio se alcanza a las 6 horas; a partir de este punto, la variación con respecto al tiempo no es relevante.</w:t>
      </w:r>
      <w:r>
        <w:rPr>
          <w:rFonts w:ascii="Arial" w:hAnsi="Arial" w:cs="Arial"/>
          <w:b w:val="0"/>
          <w:sz w:val="24"/>
        </w:rPr>
        <w:t xml:space="preserve"> </w:t>
      </w:r>
      <w:r w:rsidRPr="007F0313">
        <w:rPr>
          <w:rFonts w:ascii="Arial" w:hAnsi="Arial" w:cs="Arial"/>
          <w:b w:val="0"/>
          <w:sz w:val="24"/>
        </w:rPr>
        <w:t>Este tiempo se utilizará como parámetro para determinar la densidad de</w:t>
      </w:r>
      <w:r>
        <w:rPr>
          <w:rFonts w:ascii="Arial" w:hAnsi="Arial" w:cs="Arial"/>
          <w:b w:val="0"/>
          <w:sz w:val="24"/>
        </w:rPr>
        <w:t xml:space="preserve"> e</w:t>
      </w:r>
      <w:r w:rsidRPr="007F0313">
        <w:rPr>
          <w:rFonts w:ascii="Arial" w:hAnsi="Arial" w:cs="Arial"/>
          <w:b w:val="0"/>
          <w:sz w:val="24"/>
        </w:rPr>
        <w:t>ntrecruzamiento en pruebas posteriores. Los datos presentan una desviación estándar media de 0.00296 g y una máxima de 0.00262 g.</w:t>
      </w:r>
    </w:p>
    <w:p w:rsidR="00A12C8C" w:rsidRPr="007F0313" w:rsidRDefault="00A12C8C" w:rsidP="00A12C8C">
      <w:pPr>
        <w:pStyle w:val="Textoindependiente"/>
        <w:ind w:firstLine="539"/>
        <w:rPr>
          <w:rFonts w:ascii="Arial" w:hAnsi="Arial" w:cs="Arial"/>
          <w:b w:val="0"/>
          <w:sz w:val="24"/>
        </w:rPr>
      </w:pPr>
      <w:r w:rsidRPr="007F0313">
        <w:rPr>
          <w:rFonts w:ascii="Arial" w:hAnsi="Arial" w:cs="Arial"/>
          <w:b w:val="0"/>
          <w:sz w:val="24"/>
        </w:rPr>
        <w:t xml:space="preserve"> </w:t>
      </w:r>
    </w:p>
    <w:p w:rsidR="00A12C8C" w:rsidRDefault="00A12C8C" w:rsidP="00A12C8C">
      <w:pPr>
        <w:pStyle w:val="Textoindependiente"/>
        <w:jc w:val="center"/>
        <w:rPr>
          <w:rFonts w:ascii="Arial" w:hAnsi="Arial" w:cs="Arial"/>
          <w:b w:val="0"/>
          <w:sz w:val="24"/>
        </w:rPr>
      </w:pPr>
      <w:r>
        <w:rPr>
          <w:noProof/>
          <w:lang w:val="en-US"/>
        </w:rPr>
        <w:drawing>
          <wp:inline distT="0" distB="0" distL="0" distR="0" wp14:anchorId="78C6175B" wp14:editId="627AE9BB">
            <wp:extent cx="3615055" cy="2170430"/>
            <wp:effectExtent l="0" t="0" r="4445" b="1270"/>
            <wp:docPr id="202662364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13">
                      <a:extLst>
                        <a:ext uri="{28A0092B-C50C-407E-A947-70E740481C1C}">
                          <a14:useLocalDpi xmlns:a14="http://schemas.microsoft.com/office/drawing/2010/main" val="0"/>
                        </a:ext>
                      </a:extLst>
                    </a:blip>
                    <a:stretch>
                      <a:fillRect/>
                    </a:stretch>
                  </pic:blipFill>
                  <pic:spPr>
                    <a:xfrm>
                      <a:off x="0" y="0"/>
                      <a:ext cx="3615055" cy="2170430"/>
                    </a:xfrm>
                    <a:prstGeom prst="rect">
                      <a:avLst/>
                    </a:prstGeom>
                  </pic:spPr>
                </pic:pic>
              </a:graphicData>
            </a:graphic>
          </wp:inline>
        </w:drawing>
      </w:r>
    </w:p>
    <w:p w:rsidR="00A12C8C" w:rsidRPr="00501376" w:rsidRDefault="00A12C8C" w:rsidP="00A12C8C">
      <w:pPr>
        <w:pStyle w:val="Textoindependiente"/>
        <w:jc w:val="center"/>
        <w:rPr>
          <w:rFonts w:ascii="Arial" w:hAnsi="Arial" w:cs="Arial"/>
          <w:b w:val="0"/>
          <w:i/>
          <w:iCs/>
          <w:sz w:val="22"/>
          <w:szCs w:val="22"/>
        </w:rPr>
      </w:pPr>
      <w:r w:rsidRPr="00501376">
        <w:rPr>
          <w:rFonts w:ascii="Arial" w:hAnsi="Arial" w:cs="Arial"/>
          <w:b w:val="0"/>
          <w:i/>
          <w:iCs/>
          <w:sz w:val="22"/>
          <w:szCs w:val="22"/>
        </w:rPr>
        <w:t>Figura 1. Gráfica de masa hinchada contra tiempo.</w:t>
      </w:r>
    </w:p>
    <w:p w:rsidR="00A12C8C" w:rsidRPr="007F0313" w:rsidRDefault="00A12C8C" w:rsidP="00A12C8C">
      <w:pPr>
        <w:pStyle w:val="Textoindependiente"/>
        <w:ind w:firstLine="539"/>
        <w:rPr>
          <w:rFonts w:ascii="Arial" w:hAnsi="Arial" w:cs="Arial"/>
          <w:b w:val="0"/>
          <w:sz w:val="24"/>
        </w:rPr>
      </w:pPr>
    </w:p>
    <w:p w:rsidR="00A12C8C" w:rsidRDefault="00A12C8C" w:rsidP="00A12C8C">
      <w:pPr>
        <w:pStyle w:val="Textoindependiente"/>
        <w:ind w:firstLine="539"/>
        <w:jc w:val="both"/>
        <w:rPr>
          <w:rFonts w:ascii="Arial" w:hAnsi="Arial" w:cs="Arial"/>
          <w:b w:val="0"/>
          <w:sz w:val="24"/>
        </w:rPr>
      </w:pPr>
      <w:r w:rsidRPr="007F0313">
        <w:rPr>
          <w:rFonts w:ascii="Arial" w:hAnsi="Arial" w:cs="Arial"/>
          <w:b w:val="0"/>
          <w:sz w:val="24"/>
        </w:rPr>
        <w:lastRenderedPageBreak/>
        <w:t xml:space="preserve">En el caso del caucho analizado sin tratar, se encontró que promedio de la densidad aparente de entrecruzamiento fue de 0.6991 mmol/g. Este valor se usará para determinar el porcentaje de desvulcanización de cada una de las muestras tratadas. Además, el </w:t>
      </w:r>
      <w:r w:rsidRPr="00083ADD">
        <w:rPr>
          <w:rFonts w:ascii="Arial" w:hAnsi="Arial" w:cs="Arial"/>
          <w:b w:val="0"/>
          <w:sz w:val="24"/>
        </w:rPr>
        <w:t xml:space="preserve">parámetro indica el número de entrecruzamientos entre cadenas en una red polimérica </w:t>
      </w:r>
      <w:r w:rsidRPr="004F7F86">
        <w:rPr>
          <w:rFonts w:ascii="Arial" w:hAnsi="Arial" w:cs="Arial"/>
          <w:b w:val="0"/>
          <w:sz w:val="24"/>
        </w:rPr>
        <w:t>[</w:t>
      </w:r>
      <w:r>
        <w:rPr>
          <w:rFonts w:ascii="Arial" w:hAnsi="Arial" w:cs="Arial"/>
          <w:b w:val="0"/>
          <w:sz w:val="24"/>
        </w:rPr>
        <w:t>5</w:t>
      </w:r>
      <w:r w:rsidRPr="004F7F86">
        <w:rPr>
          <w:rFonts w:ascii="Arial" w:hAnsi="Arial" w:cs="Arial"/>
          <w:b w:val="0"/>
          <w:sz w:val="24"/>
        </w:rPr>
        <w:t>]</w:t>
      </w:r>
      <w:r w:rsidRPr="00083ADD">
        <w:rPr>
          <w:rFonts w:ascii="Arial" w:hAnsi="Arial" w:cs="Arial"/>
          <w:b w:val="0"/>
          <w:sz w:val="24"/>
        </w:rPr>
        <w:t>, la</w:t>
      </w:r>
      <w:r w:rsidRPr="007F0313">
        <w:rPr>
          <w:rFonts w:ascii="Arial" w:hAnsi="Arial" w:cs="Arial"/>
          <w:b w:val="0"/>
          <w:sz w:val="24"/>
        </w:rPr>
        <w:t xml:space="preserve"> modificación de este parámetro tiene un impacto notable sobre las propiedades del polímero. Una densidad alta le proporciona rigidez y estabilidad al estar bajo estrés mecánico o térmico, mientras que una baja densidad imparte propiedades de recuperación en los elastómeros. </w:t>
      </w:r>
    </w:p>
    <w:p w:rsidR="00A12C8C" w:rsidRPr="007F0313" w:rsidRDefault="00A12C8C" w:rsidP="00A12C8C">
      <w:pPr>
        <w:pStyle w:val="Textoindependiente"/>
        <w:ind w:firstLine="539"/>
        <w:jc w:val="both"/>
        <w:rPr>
          <w:rFonts w:ascii="Arial" w:hAnsi="Arial" w:cs="Arial"/>
          <w:b w:val="0"/>
          <w:sz w:val="24"/>
        </w:rPr>
      </w:pPr>
    </w:p>
    <w:p w:rsidR="00A12C8C" w:rsidRPr="00EA2A3C" w:rsidRDefault="00A12C8C" w:rsidP="00844E6E">
      <w:pPr>
        <w:pStyle w:val="1Titulo"/>
        <w:numPr>
          <w:ilvl w:val="0"/>
          <w:numId w:val="0"/>
        </w:numPr>
        <w:ind w:left="357"/>
      </w:pPr>
      <w:bookmarkStart w:id="46" w:name="_Toc50031179"/>
      <w:r w:rsidRPr="06D618A9">
        <w:t>4</w:t>
      </w:r>
      <w:r w:rsidRPr="00EA2A3C">
        <w:t>.2</w:t>
      </w:r>
      <w:r w:rsidR="00844E6E">
        <w:t xml:space="preserve"> </w:t>
      </w:r>
      <w:r w:rsidRPr="00EA2A3C">
        <w:t xml:space="preserve"> Desvulcanización</w:t>
      </w:r>
      <w:bookmarkEnd w:id="46"/>
      <w:r w:rsidRPr="00EA2A3C">
        <w:tab/>
      </w:r>
    </w:p>
    <w:p w:rsidR="00A12C8C" w:rsidRPr="00EA2A3C" w:rsidRDefault="00A12C8C" w:rsidP="00A12C8C">
      <w:pPr>
        <w:pStyle w:val="Textoindependiente"/>
        <w:ind w:firstLine="539"/>
        <w:rPr>
          <w:rFonts w:ascii="Arial" w:hAnsi="Arial" w:cs="Arial"/>
          <w:b w:val="0"/>
          <w:i/>
          <w:iCs/>
          <w:sz w:val="24"/>
        </w:rPr>
      </w:pPr>
    </w:p>
    <w:p w:rsidR="00A12C8C" w:rsidRPr="00EA2A3C" w:rsidRDefault="00A12C8C" w:rsidP="00A12C8C">
      <w:pPr>
        <w:pStyle w:val="Textoindependiente"/>
        <w:ind w:firstLine="539"/>
        <w:jc w:val="both"/>
        <w:rPr>
          <w:rFonts w:ascii="Arial" w:hAnsi="Arial" w:cs="Arial"/>
          <w:b w:val="0"/>
          <w:bCs w:val="0"/>
          <w:sz w:val="24"/>
        </w:rPr>
      </w:pPr>
      <w:r w:rsidRPr="00EA2A3C">
        <w:rPr>
          <w:rFonts w:ascii="Arial" w:hAnsi="Arial" w:cs="Arial"/>
          <w:b w:val="0"/>
          <w:bCs w:val="0"/>
          <w:sz w:val="24"/>
        </w:rPr>
        <w:t>Se obtuvo un porcentaje promedio de desvulcanización de 2.3197%. Este valor se obtuvo al seguir las condiciones descritas en artículo</w:t>
      </w:r>
      <w:r w:rsidRPr="00EA2A3C">
        <w:rPr>
          <w:rFonts w:ascii="Arial" w:hAnsi="Arial" w:cs="Arial"/>
          <w:b w:val="0"/>
          <w:bCs w:val="0"/>
          <w:i/>
          <w:iCs/>
          <w:sz w:val="24"/>
        </w:rPr>
        <w:t xml:space="preserve"> New Route for Devulcanization of Rubber and the Properties of Devulcanized Rubber</w:t>
      </w:r>
      <w:r w:rsidRPr="00EA2A3C">
        <w:rPr>
          <w:rFonts w:ascii="Arial" w:hAnsi="Arial" w:cs="Arial"/>
          <w:b w:val="0"/>
          <w:bCs w:val="0"/>
          <w:sz w:val="24"/>
        </w:rPr>
        <w:t xml:space="preserve"> [1</w:t>
      </w:r>
      <w:r>
        <w:rPr>
          <w:rFonts w:ascii="Arial" w:hAnsi="Arial" w:cs="Arial"/>
          <w:b w:val="0"/>
          <w:bCs w:val="0"/>
          <w:sz w:val="24"/>
        </w:rPr>
        <w:t>3</w:t>
      </w:r>
      <w:r w:rsidRPr="00EA2A3C">
        <w:rPr>
          <w:rFonts w:ascii="Arial" w:hAnsi="Arial" w:cs="Arial"/>
          <w:b w:val="0"/>
          <w:bCs w:val="0"/>
          <w:sz w:val="24"/>
        </w:rPr>
        <w:t xml:space="preserve">]. Por lo tanto, se comprobó que, siguiendo la metodología descrita, se consigue una desvulcanización del caucho residual. Esto se debe a que el agente desvulcanizante presenta una descomposición radicalaria, la cual origina radicales fenilos que atacan los enlaces carbono-azufre y azufre-azufre del caucho vulcanizado, generando dióxido de azufre y caucho desvulcanizado. Considerando este resultado como base, se modificaron las variables del proceso: agente desvulcanizante, tiempo de reacción, temperatura, concentración y agitación para incrementar el porcentaje obtenido.  </w:t>
      </w:r>
    </w:p>
    <w:p w:rsidR="00A12C8C" w:rsidRDefault="00A12C8C" w:rsidP="00A12C8C">
      <w:pPr>
        <w:pStyle w:val="Textoindependiente"/>
        <w:ind w:firstLine="539"/>
        <w:jc w:val="both"/>
        <w:rPr>
          <w:rFonts w:ascii="Arial" w:hAnsi="Arial" w:cs="Arial"/>
          <w:b w:val="0"/>
          <w:color w:val="FF0000"/>
          <w:sz w:val="24"/>
        </w:rPr>
      </w:pPr>
    </w:p>
    <w:p w:rsidR="00A12C8C" w:rsidRDefault="00844E6E" w:rsidP="00844E6E">
      <w:pPr>
        <w:pStyle w:val="1Titulo"/>
        <w:numPr>
          <w:ilvl w:val="0"/>
          <w:numId w:val="0"/>
        </w:numPr>
        <w:ind w:left="357"/>
      </w:pPr>
      <w:bookmarkStart w:id="47" w:name="_Toc50031180"/>
      <w:r>
        <w:t xml:space="preserve">4.3. </w:t>
      </w:r>
      <w:r w:rsidR="00A12C8C" w:rsidRPr="06D618A9">
        <w:t>Agente</w:t>
      </w:r>
      <w:r w:rsidR="00A12C8C" w:rsidRPr="00875BE4">
        <w:t xml:space="preserve"> desvulcanizante</w:t>
      </w:r>
      <w:bookmarkEnd w:id="47"/>
    </w:p>
    <w:p w:rsidR="00A12C8C" w:rsidRPr="00875BE4" w:rsidRDefault="00A12C8C" w:rsidP="00A12C8C">
      <w:pPr>
        <w:pStyle w:val="Textoindependiente"/>
        <w:rPr>
          <w:rFonts w:ascii="Arial" w:hAnsi="Arial" w:cs="Arial"/>
          <w:b w:val="0"/>
          <w:i/>
          <w:iCs/>
          <w:sz w:val="24"/>
        </w:rPr>
      </w:pPr>
    </w:p>
    <w:p w:rsidR="00A12C8C" w:rsidRPr="007F0313" w:rsidRDefault="00A12C8C" w:rsidP="00A12C8C">
      <w:pPr>
        <w:pStyle w:val="Textoindependiente"/>
        <w:ind w:firstLine="539"/>
        <w:jc w:val="both"/>
        <w:rPr>
          <w:rFonts w:ascii="Arial" w:hAnsi="Arial" w:cs="Arial"/>
          <w:b w:val="0"/>
          <w:sz w:val="24"/>
        </w:rPr>
      </w:pPr>
      <w:r w:rsidRPr="007F0313">
        <w:rPr>
          <w:rFonts w:ascii="Arial" w:hAnsi="Arial" w:cs="Arial"/>
          <w:b w:val="0"/>
          <w:sz w:val="24"/>
        </w:rPr>
        <w:t xml:space="preserve">En la figura </w:t>
      </w:r>
      <w:r>
        <w:rPr>
          <w:rFonts w:ascii="Arial" w:hAnsi="Arial" w:cs="Arial"/>
          <w:b w:val="0"/>
          <w:sz w:val="24"/>
        </w:rPr>
        <w:t>2</w:t>
      </w:r>
      <w:r w:rsidRPr="007F0313">
        <w:rPr>
          <w:rFonts w:ascii="Arial" w:hAnsi="Arial" w:cs="Arial"/>
          <w:b w:val="0"/>
          <w:sz w:val="24"/>
        </w:rPr>
        <w:t xml:space="preserve">, se puede observar los tres agentes de desvulcanización utilizados con sus respectivos porcentajes de desvulcanización promedio. </w:t>
      </w:r>
    </w:p>
    <w:p w:rsidR="00A12C8C" w:rsidRPr="007F0313" w:rsidRDefault="00A12C8C" w:rsidP="00A12C8C">
      <w:pPr>
        <w:pStyle w:val="Textoindependiente"/>
        <w:jc w:val="center"/>
        <w:rPr>
          <w:rFonts w:ascii="Arial" w:hAnsi="Arial" w:cs="Arial"/>
          <w:b w:val="0"/>
          <w:sz w:val="24"/>
        </w:rPr>
      </w:pPr>
      <w:r>
        <w:rPr>
          <w:noProof/>
          <w:lang w:val="en-US"/>
        </w:rPr>
        <w:lastRenderedPageBreak/>
        <w:drawing>
          <wp:inline distT="0" distB="0" distL="0" distR="0" wp14:anchorId="20658586" wp14:editId="71C0304E">
            <wp:extent cx="3615055" cy="2170430"/>
            <wp:effectExtent l="0" t="0" r="4445" b="1270"/>
            <wp:docPr id="78127638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114">
                      <a:extLst>
                        <a:ext uri="{28A0092B-C50C-407E-A947-70E740481C1C}">
                          <a14:useLocalDpi xmlns:a14="http://schemas.microsoft.com/office/drawing/2010/main" val="0"/>
                        </a:ext>
                      </a:extLst>
                    </a:blip>
                    <a:stretch>
                      <a:fillRect/>
                    </a:stretch>
                  </pic:blipFill>
                  <pic:spPr>
                    <a:xfrm>
                      <a:off x="0" y="0"/>
                      <a:ext cx="3615055" cy="2170430"/>
                    </a:xfrm>
                    <a:prstGeom prst="rect">
                      <a:avLst/>
                    </a:prstGeom>
                  </pic:spPr>
                </pic:pic>
              </a:graphicData>
            </a:graphic>
          </wp:inline>
        </w:drawing>
      </w:r>
    </w:p>
    <w:p w:rsidR="00A12C8C" w:rsidRPr="00501376" w:rsidRDefault="00A12C8C" w:rsidP="00A12C8C">
      <w:pPr>
        <w:pStyle w:val="Textoindependiente"/>
        <w:jc w:val="center"/>
        <w:rPr>
          <w:rFonts w:ascii="Arial" w:hAnsi="Arial" w:cs="Arial"/>
          <w:b w:val="0"/>
          <w:i/>
          <w:iCs/>
          <w:sz w:val="22"/>
          <w:szCs w:val="22"/>
        </w:rPr>
      </w:pPr>
      <w:r w:rsidRPr="00501376">
        <w:rPr>
          <w:rFonts w:ascii="Arial" w:hAnsi="Arial" w:cs="Arial"/>
          <w:b w:val="0"/>
          <w:i/>
          <w:iCs/>
          <w:sz w:val="22"/>
          <w:szCs w:val="22"/>
        </w:rPr>
        <w:t>Figura 2. Gráfica de porcentaje desvulcanización con diferentes agentes desvulcanizante.</w:t>
      </w:r>
    </w:p>
    <w:p w:rsidR="00A12C8C" w:rsidRPr="007F0313" w:rsidRDefault="00A12C8C" w:rsidP="00A12C8C">
      <w:pPr>
        <w:pStyle w:val="Textoindependiente"/>
        <w:ind w:firstLine="539"/>
        <w:rPr>
          <w:rFonts w:ascii="Arial" w:hAnsi="Arial" w:cs="Arial"/>
          <w:b w:val="0"/>
          <w:sz w:val="24"/>
        </w:rPr>
      </w:pPr>
    </w:p>
    <w:p w:rsidR="00A12C8C" w:rsidRPr="007F0313" w:rsidRDefault="00A12C8C" w:rsidP="00A12C8C">
      <w:pPr>
        <w:pStyle w:val="Textoindependiente"/>
        <w:ind w:firstLine="539"/>
        <w:jc w:val="both"/>
        <w:rPr>
          <w:rFonts w:ascii="Arial" w:hAnsi="Arial" w:cs="Arial"/>
          <w:b w:val="0"/>
          <w:sz w:val="24"/>
        </w:rPr>
      </w:pPr>
      <w:r w:rsidRPr="007F0313">
        <w:rPr>
          <w:rFonts w:ascii="Arial" w:hAnsi="Arial" w:cs="Arial"/>
          <w:b w:val="0"/>
          <w:sz w:val="24"/>
        </w:rPr>
        <w:t>El promedio de los porcentajes de desvulcanización fueron de 2.3197% para BPO, 0.9948% para AIBN y -0.1035% para H2O2. El BPO obtuvo un porcentaje mayor debido a que el radical fenilo que se genera ataca de manera más efectiva al enlace S-S del caucho al vulcanizar, comparado con el radical 2-cianoprop-2-il generado por el AIBN.</w:t>
      </w:r>
    </w:p>
    <w:p w:rsidR="00A12C8C" w:rsidRPr="007F0313" w:rsidRDefault="00A12C8C" w:rsidP="00A12C8C">
      <w:pPr>
        <w:pStyle w:val="Textoindependiente"/>
        <w:ind w:firstLine="539"/>
        <w:rPr>
          <w:rFonts w:ascii="Arial" w:hAnsi="Arial" w:cs="Arial"/>
          <w:b w:val="0"/>
          <w:sz w:val="24"/>
        </w:rPr>
      </w:pPr>
    </w:p>
    <w:p w:rsidR="00A12C8C" w:rsidRPr="007F0313" w:rsidRDefault="00A12C8C" w:rsidP="00A12C8C">
      <w:pPr>
        <w:pStyle w:val="Textoindependiente"/>
        <w:ind w:firstLine="539"/>
        <w:jc w:val="both"/>
        <w:rPr>
          <w:rFonts w:ascii="Arial" w:hAnsi="Arial" w:cs="Arial"/>
          <w:b w:val="0"/>
          <w:sz w:val="24"/>
        </w:rPr>
      </w:pPr>
      <w:r w:rsidRPr="007F0313">
        <w:rPr>
          <w:rFonts w:ascii="Arial" w:hAnsi="Arial" w:cs="Arial"/>
          <w:b w:val="0"/>
          <w:sz w:val="24"/>
        </w:rPr>
        <w:t xml:space="preserve">Por otra parte, al utilizar el peróxido de hidrógeno, la reacción que se obtuvo fue de vulcanización. Esto puede deberse a que dicho reactivo puede ser utilizado como agente vulcanizante; sin embargo, no es utilizado con frecuencia, pues su baja reactividad y eficiencia para el proceso de vulcanización. A pesar de que las muestras aumentaron su porcentaje de vulcanización, éste no fue significativo. </w:t>
      </w:r>
    </w:p>
    <w:p w:rsidR="00A12C8C" w:rsidRPr="007F0313" w:rsidRDefault="00A12C8C" w:rsidP="00A12C8C">
      <w:pPr>
        <w:pStyle w:val="Textoindependiente"/>
        <w:ind w:firstLine="539"/>
        <w:rPr>
          <w:rFonts w:ascii="Arial" w:hAnsi="Arial" w:cs="Arial"/>
          <w:b w:val="0"/>
          <w:sz w:val="24"/>
        </w:rPr>
      </w:pPr>
    </w:p>
    <w:p w:rsidR="00A12C8C" w:rsidRPr="007F0313" w:rsidRDefault="00A12C8C" w:rsidP="00A12C8C">
      <w:pPr>
        <w:pStyle w:val="Textoindependiente"/>
        <w:ind w:firstLine="539"/>
        <w:jc w:val="both"/>
        <w:rPr>
          <w:rFonts w:ascii="Arial" w:hAnsi="Arial" w:cs="Arial"/>
          <w:b w:val="0"/>
          <w:sz w:val="24"/>
        </w:rPr>
      </w:pPr>
      <w:r w:rsidRPr="007F0313">
        <w:rPr>
          <w:rFonts w:ascii="Arial" w:hAnsi="Arial" w:cs="Arial"/>
          <w:b w:val="0"/>
          <w:sz w:val="24"/>
        </w:rPr>
        <w:t xml:space="preserve">Por lo tanto, para las posteriores pruebas se utilizará como agente desvulcanizante el BPO, pues fue el que mejores resultados presentó. La desviación promedio de las muestras fue de 0.1915% y una máxima de 0.17105%. </w:t>
      </w:r>
    </w:p>
    <w:p w:rsidR="00A12C8C" w:rsidRDefault="00A12C8C" w:rsidP="00A12C8C">
      <w:pPr>
        <w:pStyle w:val="Textoindependiente"/>
        <w:rPr>
          <w:rFonts w:ascii="Arial" w:hAnsi="Arial" w:cs="Arial"/>
          <w:b w:val="0"/>
          <w:sz w:val="24"/>
        </w:rPr>
      </w:pPr>
    </w:p>
    <w:p w:rsidR="00A12C8C" w:rsidRDefault="00A12C8C" w:rsidP="00844E6E">
      <w:pPr>
        <w:pStyle w:val="1Titulo"/>
        <w:numPr>
          <w:ilvl w:val="0"/>
          <w:numId w:val="0"/>
        </w:numPr>
        <w:ind w:left="357" w:hanging="357"/>
      </w:pPr>
      <w:bookmarkStart w:id="48" w:name="_Toc50031181"/>
      <w:r w:rsidRPr="06D618A9">
        <w:t>4.4 Tiempo de reacción</w:t>
      </w:r>
      <w:bookmarkEnd w:id="48"/>
    </w:p>
    <w:p w:rsidR="00A12C8C" w:rsidRPr="0043059C" w:rsidRDefault="00A12C8C" w:rsidP="00A12C8C">
      <w:pPr>
        <w:pStyle w:val="Textoindependiente"/>
        <w:rPr>
          <w:rFonts w:ascii="Arial" w:hAnsi="Arial" w:cs="Arial"/>
          <w:b w:val="0"/>
          <w:i/>
          <w:iCs/>
          <w:sz w:val="24"/>
        </w:rPr>
      </w:pPr>
    </w:p>
    <w:p w:rsidR="00A12C8C" w:rsidRDefault="00A12C8C" w:rsidP="00A12C8C">
      <w:pPr>
        <w:pStyle w:val="Textoindependiente"/>
        <w:ind w:firstLine="539"/>
        <w:jc w:val="both"/>
        <w:rPr>
          <w:rFonts w:ascii="Arial" w:hAnsi="Arial" w:cs="Arial"/>
          <w:b w:val="0"/>
          <w:sz w:val="24"/>
        </w:rPr>
      </w:pPr>
      <w:r w:rsidRPr="007F0313">
        <w:rPr>
          <w:rFonts w:ascii="Arial" w:hAnsi="Arial" w:cs="Arial"/>
          <w:b w:val="0"/>
          <w:sz w:val="24"/>
        </w:rPr>
        <w:lastRenderedPageBreak/>
        <w:t xml:space="preserve">En la figura </w:t>
      </w:r>
      <w:r>
        <w:rPr>
          <w:rFonts w:ascii="Arial" w:hAnsi="Arial" w:cs="Arial"/>
          <w:b w:val="0"/>
          <w:sz w:val="24"/>
        </w:rPr>
        <w:t>3</w:t>
      </w:r>
      <w:r w:rsidRPr="007F0313">
        <w:rPr>
          <w:rFonts w:ascii="Arial" w:hAnsi="Arial" w:cs="Arial"/>
          <w:b w:val="0"/>
          <w:sz w:val="24"/>
        </w:rPr>
        <w:t xml:space="preserve">, se puede observar los diferentes intervalos de tiempo que se utilizaron para realizar las pruebas. </w:t>
      </w:r>
      <w:r w:rsidRPr="06D618A9">
        <w:rPr>
          <w:rFonts w:ascii="Arial" w:hAnsi="Arial" w:cs="Arial"/>
          <w:b w:val="0"/>
          <w:bCs w:val="0"/>
          <w:sz w:val="24"/>
        </w:rPr>
        <w:t>Se</w:t>
      </w:r>
      <w:r w:rsidRPr="007F0313">
        <w:rPr>
          <w:rFonts w:ascii="Arial" w:hAnsi="Arial" w:cs="Arial"/>
          <w:b w:val="0"/>
          <w:sz w:val="24"/>
        </w:rPr>
        <w:t xml:space="preserve"> observó que la reacción de desvulcanización es reversible, por lo que no se alcanza una conversión total de reactivos a productos.</w:t>
      </w:r>
    </w:p>
    <w:p w:rsidR="00A12C8C" w:rsidRDefault="00A12C8C" w:rsidP="00A12C8C">
      <w:pPr>
        <w:pStyle w:val="Textoindependiente"/>
        <w:ind w:firstLine="539"/>
        <w:rPr>
          <w:rFonts w:ascii="Arial" w:hAnsi="Arial" w:cs="Arial"/>
          <w:b w:val="0"/>
          <w:sz w:val="24"/>
        </w:rPr>
      </w:pPr>
    </w:p>
    <w:p w:rsidR="00A12C8C" w:rsidRPr="007F0313" w:rsidRDefault="00A12C8C" w:rsidP="00A12C8C">
      <w:pPr>
        <w:pStyle w:val="Textoindependiente"/>
        <w:jc w:val="center"/>
        <w:rPr>
          <w:rFonts w:ascii="Arial" w:hAnsi="Arial" w:cs="Arial"/>
          <w:b w:val="0"/>
          <w:sz w:val="24"/>
        </w:rPr>
      </w:pPr>
      <w:r>
        <w:rPr>
          <w:noProof/>
          <w:lang w:val="en-US"/>
        </w:rPr>
        <w:drawing>
          <wp:inline distT="0" distB="0" distL="0" distR="0" wp14:anchorId="750A1D3D" wp14:editId="2010A592">
            <wp:extent cx="3615055" cy="2170430"/>
            <wp:effectExtent l="0" t="0" r="4445" b="1270"/>
            <wp:docPr id="141357137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115">
                      <a:extLst>
                        <a:ext uri="{28A0092B-C50C-407E-A947-70E740481C1C}">
                          <a14:useLocalDpi xmlns:a14="http://schemas.microsoft.com/office/drawing/2010/main" val="0"/>
                        </a:ext>
                      </a:extLst>
                    </a:blip>
                    <a:stretch>
                      <a:fillRect/>
                    </a:stretch>
                  </pic:blipFill>
                  <pic:spPr>
                    <a:xfrm>
                      <a:off x="0" y="0"/>
                      <a:ext cx="3615055" cy="2170430"/>
                    </a:xfrm>
                    <a:prstGeom prst="rect">
                      <a:avLst/>
                    </a:prstGeom>
                  </pic:spPr>
                </pic:pic>
              </a:graphicData>
            </a:graphic>
          </wp:inline>
        </w:drawing>
      </w:r>
    </w:p>
    <w:p w:rsidR="00A12C8C" w:rsidRPr="00501376" w:rsidRDefault="00A12C8C" w:rsidP="00A12C8C">
      <w:pPr>
        <w:pStyle w:val="Textoindependiente"/>
        <w:jc w:val="center"/>
        <w:rPr>
          <w:rFonts w:ascii="Arial" w:hAnsi="Arial" w:cs="Arial"/>
          <w:b w:val="0"/>
          <w:i/>
          <w:iCs/>
          <w:sz w:val="22"/>
          <w:szCs w:val="22"/>
        </w:rPr>
      </w:pPr>
      <w:r w:rsidRPr="00501376">
        <w:rPr>
          <w:rFonts w:ascii="Arial" w:hAnsi="Arial" w:cs="Arial"/>
          <w:b w:val="0"/>
          <w:i/>
          <w:iCs/>
          <w:sz w:val="22"/>
          <w:szCs w:val="22"/>
        </w:rPr>
        <w:t>Figura 3. Gráfica del efecto del tiempo de reacción sobre el porcentaje de desvulcanización.</w:t>
      </w:r>
    </w:p>
    <w:p w:rsidR="00A12C8C" w:rsidRPr="007F0313" w:rsidRDefault="00A12C8C" w:rsidP="00A12C8C">
      <w:pPr>
        <w:pStyle w:val="Textoindependiente"/>
        <w:ind w:firstLine="539"/>
        <w:rPr>
          <w:rFonts w:ascii="Arial" w:hAnsi="Arial" w:cs="Arial"/>
          <w:b w:val="0"/>
          <w:sz w:val="24"/>
        </w:rPr>
      </w:pPr>
    </w:p>
    <w:p w:rsidR="00A12C8C" w:rsidRDefault="00A12C8C" w:rsidP="00A12C8C">
      <w:pPr>
        <w:pStyle w:val="Textoindependiente"/>
        <w:ind w:firstLine="539"/>
        <w:jc w:val="both"/>
        <w:rPr>
          <w:rFonts w:ascii="Arial" w:hAnsi="Arial" w:cs="Arial"/>
          <w:b w:val="0"/>
          <w:sz w:val="24"/>
        </w:rPr>
      </w:pPr>
      <w:r w:rsidRPr="007F0313">
        <w:rPr>
          <w:rFonts w:ascii="Arial" w:hAnsi="Arial" w:cs="Arial"/>
          <w:b w:val="0"/>
          <w:sz w:val="24"/>
        </w:rPr>
        <w:t xml:space="preserve">El porcentaje de desvulcanización máximo (9.6457%) se alcanzó en 240 min, pasando este punto, el porcentaje comienza a disminuir (9.3878%), indicando el punto de reversibilidad de la reacción. Por lo tanto, para las siguientes pruebas se utilizará como tiempo de reacción 240 min. La desviación promedio de las muestras fue de 0.1089% mientras que la máxima fue de 1.2755%. </w:t>
      </w:r>
    </w:p>
    <w:p w:rsidR="00A12C8C" w:rsidRPr="007F0313" w:rsidRDefault="00A12C8C" w:rsidP="00A12C8C">
      <w:pPr>
        <w:pStyle w:val="Textoindependiente"/>
        <w:ind w:firstLine="539"/>
        <w:jc w:val="both"/>
        <w:rPr>
          <w:rFonts w:ascii="Arial" w:hAnsi="Arial" w:cs="Arial"/>
          <w:b w:val="0"/>
          <w:sz w:val="24"/>
        </w:rPr>
      </w:pPr>
    </w:p>
    <w:p w:rsidR="00A12C8C" w:rsidRDefault="00A12C8C" w:rsidP="00844E6E">
      <w:pPr>
        <w:pStyle w:val="1Titulo"/>
        <w:numPr>
          <w:ilvl w:val="0"/>
          <w:numId w:val="0"/>
        </w:numPr>
        <w:ind w:left="357"/>
      </w:pPr>
      <w:bookmarkStart w:id="49" w:name="_Toc50031182"/>
      <w:r w:rsidRPr="06D618A9">
        <w:t>4.5 Temperatura</w:t>
      </w:r>
      <w:bookmarkEnd w:id="49"/>
    </w:p>
    <w:p w:rsidR="00A12C8C" w:rsidRPr="00BA11E5" w:rsidRDefault="00A12C8C" w:rsidP="00A12C8C">
      <w:pPr>
        <w:pStyle w:val="Textoindependiente"/>
        <w:rPr>
          <w:rFonts w:ascii="Arial" w:hAnsi="Arial" w:cs="Arial"/>
          <w:b w:val="0"/>
          <w:i/>
          <w:iCs/>
          <w:sz w:val="24"/>
        </w:rPr>
      </w:pPr>
    </w:p>
    <w:p w:rsidR="00A12C8C" w:rsidRPr="007F0313" w:rsidRDefault="00A12C8C" w:rsidP="00A12C8C">
      <w:pPr>
        <w:pStyle w:val="Textoindependiente"/>
        <w:ind w:firstLine="539"/>
        <w:jc w:val="both"/>
        <w:rPr>
          <w:rFonts w:ascii="Arial" w:hAnsi="Arial" w:cs="Arial"/>
          <w:b w:val="0"/>
          <w:sz w:val="24"/>
        </w:rPr>
      </w:pPr>
      <w:r w:rsidRPr="007F0313">
        <w:rPr>
          <w:rFonts w:ascii="Arial" w:hAnsi="Arial" w:cs="Arial"/>
          <w:b w:val="0"/>
          <w:sz w:val="24"/>
        </w:rPr>
        <w:t xml:space="preserve">En la figura </w:t>
      </w:r>
      <w:r>
        <w:rPr>
          <w:rFonts w:ascii="Arial" w:hAnsi="Arial" w:cs="Arial"/>
          <w:b w:val="0"/>
          <w:sz w:val="24"/>
        </w:rPr>
        <w:t>4</w:t>
      </w:r>
      <w:r w:rsidRPr="007F0313">
        <w:rPr>
          <w:rFonts w:ascii="Arial" w:hAnsi="Arial" w:cs="Arial"/>
          <w:b w:val="0"/>
          <w:sz w:val="24"/>
        </w:rPr>
        <w:t xml:space="preserve">, se puede observar las tres temperaturas a las que se llevó a cabo la reacción para realizar las pruebas. La optimización de la variable temperatura está limitada por dos temperaturas, por la de descomposición como límite inferior y la de autoignición como límite </w:t>
      </w:r>
      <w:r w:rsidRPr="006F6DB4">
        <w:rPr>
          <w:rFonts w:ascii="Arial" w:hAnsi="Arial" w:cs="Arial"/>
          <w:b w:val="0"/>
          <w:sz w:val="24"/>
        </w:rPr>
        <w:t>superior, 80 °C y 104 °C, respectivamente</w:t>
      </w:r>
      <w:r>
        <w:rPr>
          <w:rFonts w:ascii="Arial" w:hAnsi="Arial" w:cs="Arial"/>
          <w:b w:val="0"/>
          <w:bCs w:val="0"/>
          <w:sz w:val="24"/>
        </w:rPr>
        <w:t xml:space="preserve"> [3].</w:t>
      </w:r>
      <w:r w:rsidRPr="007F0313">
        <w:rPr>
          <w:rFonts w:ascii="Arial" w:hAnsi="Arial" w:cs="Arial"/>
          <w:b w:val="0"/>
          <w:sz w:val="24"/>
        </w:rPr>
        <w:t xml:space="preserve"> La máxima temperatura propuesta fue de 90 °C para trabajar por debajo de 107 °C de manera segura.</w:t>
      </w:r>
    </w:p>
    <w:p w:rsidR="00A12C8C" w:rsidRPr="007F0313" w:rsidRDefault="00A12C8C" w:rsidP="00A12C8C">
      <w:pPr>
        <w:pStyle w:val="Textoindependiente"/>
        <w:ind w:firstLine="539"/>
        <w:rPr>
          <w:rFonts w:ascii="Arial" w:hAnsi="Arial" w:cs="Arial"/>
          <w:b w:val="0"/>
          <w:sz w:val="24"/>
        </w:rPr>
      </w:pPr>
    </w:p>
    <w:p w:rsidR="00A12C8C" w:rsidRPr="007F0313" w:rsidRDefault="00A12C8C" w:rsidP="00A12C8C">
      <w:pPr>
        <w:pStyle w:val="Textoindependiente"/>
        <w:jc w:val="center"/>
        <w:rPr>
          <w:rFonts w:ascii="Arial" w:hAnsi="Arial" w:cs="Arial"/>
          <w:b w:val="0"/>
          <w:sz w:val="24"/>
        </w:rPr>
      </w:pPr>
      <w:r>
        <w:rPr>
          <w:noProof/>
          <w:lang w:val="en-US"/>
        </w:rPr>
        <w:lastRenderedPageBreak/>
        <w:drawing>
          <wp:inline distT="0" distB="0" distL="0" distR="0" wp14:anchorId="39ACA7FC" wp14:editId="2FB52F23">
            <wp:extent cx="3615055" cy="2170430"/>
            <wp:effectExtent l="0" t="0" r="4445" b="1270"/>
            <wp:docPr id="26946967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116">
                      <a:extLst>
                        <a:ext uri="{28A0092B-C50C-407E-A947-70E740481C1C}">
                          <a14:useLocalDpi xmlns:a14="http://schemas.microsoft.com/office/drawing/2010/main" val="0"/>
                        </a:ext>
                      </a:extLst>
                    </a:blip>
                    <a:stretch>
                      <a:fillRect/>
                    </a:stretch>
                  </pic:blipFill>
                  <pic:spPr>
                    <a:xfrm>
                      <a:off x="0" y="0"/>
                      <a:ext cx="3615055" cy="2170430"/>
                    </a:xfrm>
                    <a:prstGeom prst="rect">
                      <a:avLst/>
                    </a:prstGeom>
                  </pic:spPr>
                </pic:pic>
              </a:graphicData>
            </a:graphic>
          </wp:inline>
        </w:drawing>
      </w:r>
    </w:p>
    <w:p w:rsidR="00A12C8C" w:rsidRPr="00501376" w:rsidRDefault="00A12C8C" w:rsidP="00A12C8C">
      <w:pPr>
        <w:pStyle w:val="Textoindependiente"/>
        <w:jc w:val="center"/>
        <w:rPr>
          <w:rFonts w:ascii="Arial" w:hAnsi="Arial" w:cs="Arial"/>
          <w:b w:val="0"/>
          <w:i/>
          <w:iCs/>
          <w:sz w:val="22"/>
          <w:szCs w:val="22"/>
        </w:rPr>
      </w:pPr>
      <w:r w:rsidRPr="00501376">
        <w:rPr>
          <w:rFonts w:ascii="Arial" w:hAnsi="Arial" w:cs="Arial"/>
          <w:b w:val="0"/>
          <w:i/>
          <w:iCs/>
          <w:sz w:val="22"/>
          <w:szCs w:val="22"/>
        </w:rPr>
        <w:t>Figura 4. Gráfica del efecto de la temperatura sobre el porcentaje de desvulcanización.</w:t>
      </w:r>
    </w:p>
    <w:p w:rsidR="00A12C8C" w:rsidRPr="007F0313" w:rsidRDefault="00A12C8C" w:rsidP="00A12C8C">
      <w:pPr>
        <w:pStyle w:val="Textoindependiente"/>
        <w:ind w:firstLine="539"/>
        <w:rPr>
          <w:rFonts w:ascii="Arial" w:hAnsi="Arial" w:cs="Arial"/>
          <w:b w:val="0"/>
          <w:sz w:val="24"/>
        </w:rPr>
      </w:pPr>
    </w:p>
    <w:p w:rsidR="00A12C8C" w:rsidRPr="007F0313" w:rsidRDefault="00A12C8C" w:rsidP="00A12C8C">
      <w:pPr>
        <w:pStyle w:val="Textoindependiente"/>
        <w:ind w:firstLine="539"/>
        <w:jc w:val="both"/>
        <w:rPr>
          <w:rFonts w:ascii="Arial" w:hAnsi="Arial" w:cs="Arial"/>
          <w:b w:val="0"/>
          <w:sz w:val="24"/>
        </w:rPr>
      </w:pPr>
      <w:r w:rsidRPr="007F0313">
        <w:rPr>
          <w:rFonts w:ascii="Arial" w:hAnsi="Arial" w:cs="Arial"/>
          <w:b w:val="0"/>
          <w:sz w:val="24"/>
        </w:rPr>
        <w:t xml:space="preserve">Como se puede observar en la figura </w:t>
      </w:r>
      <w:r>
        <w:rPr>
          <w:rFonts w:ascii="Arial" w:hAnsi="Arial" w:cs="Arial"/>
          <w:b w:val="0"/>
          <w:sz w:val="24"/>
        </w:rPr>
        <w:t>4</w:t>
      </w:r>
      <w:r w:rsidRPr="007F0313">
        <w:rPr>
          <w:rFonts w:ascii="Arial" w:hAnsi="Arial" w:cs="Arial"/>
          <w:b w:val="0"/>
          <w:sz w:val="24"/>
        </w:rPr>
        <w:t xml:space="preserve">, la temperatura óptima para la desvulcanización utilizando BPO como agente es de 85 °C, con esta se obtuvo un porcentaje de 9.7833%. Respecto al límite inferior presenta un ligero aumento en el porcentaje de desvulcanización, mientras que para el límite superior el porcentaje disminuye considerablemente. Al incrementar la temperatura, la velocidad de reacción química aumenta, pues incrementa la energía cinética de las moléculas, así como el número de choques que da a lugar a la generación de productos. Sin embargo, al llevar a cabo la reacción a 90 °C, el porcentaje de desvulcanización es menor. Esto se debe a que un aumento de temperatura </w:t>
      </w:r>
      <w:r w:rsidRPr="00BA5E3E">
        <w:rPr>
          <w:rFonts w:ascii="Arial" w:hAnsi="Arial" w:cs="Arial"/>
          <w:b w:val="0"/>
          <w:sz w:val="24"/>
        </w:rPr>
        <w:t xml:space="preserve">significativo afecta a las propiedades mecanoquímicas del caucho y consecuentemente, a la reacción </w:t>
      </w:r>
      <w:r w:rsidRPr="007C16CF">
        <w:rPr>
          <w:rFonts w:ascii="Arial" w:hAnsi="Arial" w:cs="Arial"/>
          <w:b w:val="0"/>
          <w:sz w:val="24"/>
        </w:rPr>
        <w:t>[</w:t>
      </w:r>
      <w:r>
        <w:rPr>
          <w:rFonts w:ascii="Arial" w:hAnsi="Arial" w:cs="Arial"/>
          <w:b w:val="0"/>
          <w:sz w:val="24"/>
        </w:rPr>
        <w:t>18</w:t>
      </w:r>
      <w:r w:rsidRPr="007C16CF">
        <w:rPr>
          <w:rFonts w:ascii="Arial" w:hAnsi="Arial" w:cs="Arial"/>
          <w:b w:val="0"/>
          <w:sz w:val="24"/>
        </w:rPr>
        <w:t>].</w:t>
      </w:r>
    </w:p>
    <w:p w:rsidR="00A12C8C" w:rsidRPr="007F0313" w:rsidRDefault="00A12C8C" w:rsidP="00A12C8C">
      <w:pPr>
        <w:pStyle w:val="Textoindependiente"/>
        <w:ind w:firstLine="539"/>
        <w:rPr>
          <w:rFonts w:ascii="Arial" w:hAnsi="Arial" w:cs="Arial"/>
          <w:b w:val="0"/>
          <w:sz w:val="24"/>
        </w:rPr>
      </w:pPr>
    </w:p>
    <w:p w:rsidR="00A12C8C" w:rsidRPr="007F0313" w:rsidRDefault="00A12C8C" w:rsidP="00A12C8C">
      <w:pPr>
        <w:pStyle w:val="Textoindependiente"/>
        <w:ind w:firstLine="539"/>
        <w:jc w:val="both"/>
        <w:rPr>
          <w:rFonts w:ascii="Arial" w:hAnsi="Arial" w:cs="Arial"/>
          <w:b w:val="0"/>
          <w:sz w:val="24"/>
        </w:rPr>
      </w:pPr>
      <w:r w:rsidRPr="007F0313">
        <w:rPr>
          <w:rFonts w:ascii="Arial" w:hAnsi="Arial" w:cs="Arial"/>
          <w:b w:val="0"/>
          <w:sz w:val="24"/>
        </w:rPr>
        <w:t xml:space="preserve">Por lo tanto, la temperatura se utilizará para pruebas posteriores es la de 85 °C. La desviación promedio de las muestras fue de 0.6468% mientras que la máxima fue de 0.8708%. </w:t>
      </w:r>
    </w:p>
    <w:p w:rsidR="00A12C8C" w:rsidRPr="007F0313" w:rsidRDefault="00A12C8C" w:rsidP="00A12C8C">
      <w:pPr>
        <w:pStyle w:val="Textoindependiente"/>
        <w:ind w:firstLine="539"/>
        <w:jc w:val="both"/>
        <w:rPr>
          <w:rFonts w:ascii="Arial" w:hAnsi="Arial" w:cs="Arial"/>
          <w:b w:val="0"/>
          <w:sz w:val="24"/>
        </w:rPr>
      </w:pPr>
    </w:p>
    <w:p w:rsidR="00A12C8C" w:rsidRDefault="00A12C8C" w:rsidP="00844E6E">
      <w:pPr>
        <w:pStyle w:val="1Titulo"/>
        <w:numPr>
          <w:ilvl w:val="0"/>
          <w:numId w:val="0"/>
        </w:numPr>
        <w:ind w:left="357" w:hanging="357"/>
      </w:pPr>
      <w:bookmarkStart w:id="50" w:name="_Toc50031183"/>
      <w:r w:rsidRPr="06D618A9">
        <w:t>4.6 Concentración del agente desvulcanizante</w:t>
      </w:r>
      <w:bookmarkEnd w:id="50"/>
    </w:p>
    <w:p w:rsidR="00A12C8C" w:rsidRPr="00BA11E5" w:rsidRDefault="00A12C8C" w:rsidP="00A12C8C">
      <w:pPr>
        <w:pStyle w:val="Textoindependiente"/>
        <w:rPr>
          <w:rFonts w:ascii="Arial" w:hAnsi="Arial" w:cs="Arial"/>
          <w:b w:val="0"/>
          <w:i/>
          <w:iCs/>
          <w:sz w:val="24"/>
        </w:rPr>
      </w:pPr>
    </w:p>
    <w:p w:rsidR="00A12C8C" w:rsidRPr="007F0313" w:rsidRDefault="00A12C8C" w:rsidP="00A12C8C">
      <w:pPr>
        <w:pStyle w:val="Textoindependiente"/>
        <w:ind w:firstLine="539"/>
        <w:jc w:val="both"/>
        <w:rPr>
          <w:rFonts w:ascii="Arial" w:hAnsi="Arial" w:cs="Arial"/>
          <w:b w:val="0"/>
          <w:sz w:val="24"/>
        </w:rPr>
      </w:pPr>
      <w:r w:rsidRPr="007F0313">
        <w:rPr>
          <w:rFonts w:ascii="Arial" w:hAnsi="Arial" w:cs="Arial"/>
          <w:b w:val="0"/>
          <w:sz w:val="24"/>
        </w:rPr>
        <w:t xml:space="preserve">En la figura </w:t>
      </w:r>
      <w:r>
        <w:rPr>
          <w:rFonts w:ascii="Arial" w:hAnsi="Arial" w:cs="Arial"/>
          <w:b w:val="0"/>
          <w:sz w:val="24"/>
        </w:rPr>
        <w:t>5</w:t>
      </w:r>
      <w:r w:rsidRPr="007F0313">
        <w:rPr>
          <w:rFonts w:ascii="Arial" w:hAnsi="Arial" w:cs="Arial"/>
          <w:b w:val="0"/>
          <w:sz w:val="24"/>
        </w:rPr>
        <w:t xml:space="preserve">, se muestran las diferentes concentraciones que se utilizaron para realizar las pruebas. Se observó anteriormente que la reacción de desvulcanización es reversible, por lo que no se alcanza una conversión total de reactivos a productos. Esto </w:t>
      </w:r>
      <w:r w:rsidRPr="007F0313">
        <w:rPr>
          <w:rFonts w:ascii="Arial" w:hAnsi="Arial" w:cs="Arial"/>
          <w:b w:val="0"/>
          <w:sz w:val="24"/>
        </w:rPr>
        <w:lastRenderedPageBreak/>
        <w:t>implica que a medida que la reacción avanza los reactivos son regenerados en proporción más importante para la reacción en sentido inverso.</w:t>
      </w:r>
    </w:p>
    <w:p w:rsidR="00A12C8C" w:rsidRPr="007F0313" w:rsidRDefault="00A12C8C" w:rsidP="00A12C8C">
      <w:pPr>
        <w:pStyle w:val="Textoindependiente"/>
        <w:ind w:firstLine="539"/>
        <w:rPr>
          <w:rFonts w:ascii="Arial" w:hAnsi="Arial" w:cs="Arial"/>
          <w:b w:val="0"/>
          <w:sz w:val="24"/>
        </w:rPr>
      </w:pPr>
    </w:p>
    <w:p w:rsidR="00A12C8C" w:rsidRPr="007F0313" w:rsidRDefault="00A12C8C" w:rsidP="00A12C8C">
      <w:pPr>
        <w:pStyle w:val="Textoindependiente"/>
        <w:jc w:val="center"/>
        <w:rPr>
          <w:rFonts w:ascii="Arial" w:hAnsi="Arial" w:cs="Arial"/>
          <w:b w:val="0"/>
          <w:sz w:val="24"/>
        </w:rPr>
      </w:pPr>
      <w:r>
        <w:rPr>
          <w:noProof/>
          <w:lang w:val="en-US"/>
        </w:rPr>
        <w:drawing>
          <wp:inline distT="0" distB="0" distL="0" distR="0" wp14:anchorId="54DE1B38" wp14:editId="67C71473">
            <wp:extent cx="3615055" cy="2170430"/>
            <wp:effectExtent l="0" t="0" r="4445" b="1270"/>
            <wp:docPr id="29803891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117">
                      <a:extLst>
                        <a:ext uri="{28A0092B-C50C-407E-A947-70E740481C1C}">
                          <a14:useLocalDpi xmlns:a14="http://schemas.microsoft.com/office/drawing/2010/main" val="0"/>
                        </a:ext>
                      </a:extLst>
                    </a:blip>
                    <a:stretch>
                      <a:fillRect/>
                    </a:stretch>
                  </pic:blipFill>
                  <pic:spPr>
                    <a:xfrm>
                      <a:off x="0" y="0"/>
                      <a:ext cx="3615055" cy="2170430"/>
                    </a:xfrm>
                    <a:prstGeom prst="rect">
                      <a:avLst/>
                    </a:prstGeom>
                  </pic:spPr>
                </pic:pic>
              </a:graphicData>
            </a:graphic>
          </wp:inline>
        </w:drawing>
      </w:r>
    </w:p>
    <w:p w:rsidR="00A12C8C" w:rsidRPr="00501376" w:rsidRDefault="00A12C8C" w:rsidP="00A12C8C">
      <w:pPr>
        <w:pStyle w:val="Textoindependiente"/>
        <w:jc w:val="center"/>
        <w:rPr>
          <w:rFonts w:ascii="Arial" w:hAnsi="Arial" w:cs="Arial"/>
          <w:b w:val="0"/>
          <w:i/>
          <w:iCs/>
          <w:sz w:val="22"/>
          <w:szCs w:val="22"/>
        </w:rPr>
      </w:pPr>
      <w:r w:rsidRPr="00501376">
        <w:rPr>
          <w:rFonts w:ascii="Arial" w:hAnsi="Arial" w:cs="Arial"/>
          <w:b w:val="0"/>
          <w:i/>
          <w:iCs/>
          <w:sz w:val="22"/>
          <w:szCs w:val="22"/>
        </w:rPr>
        <w:t>Figura 5. Gráfica del efecto de la concentración contra el porcentaje de desvulcanización.</w:t>
      </w:r>
    </w:p>
    <w:p w:rsidR="00A12C8C" w:rsidRPr="007F0313" w:rsidRDefault="00A12C8C" w:rsidP="00A12C8C">
      <w:pPr>
        <w:pStyle w:val="Textoindependiente"/>
        <w:ind w:firstLine="539"/>
        <w:rPr>
          <w:rFonts w:ascii="Arial" w:hAnsi="Arial" w:cs="Arial"/>
          <w:b w:val="0"/>
          <w:sz w:val="24"/>
        </w:rPr>
      </w:pPr>
    </w:p>
    <w:p w:rsidR="00A12C8C" w:rsidRDefault="00A12C8C" w:rsidP="00A12C8C">
      <w:pPr>
        <w:pStyle w:val="Textoindependiente"/>
        <w:ind w:firstLine="539"/>
        <w:jc w:val="both"/>
        <w:rPr>
          <w:rFonts w:ascii="Arial" w:hAnsi="Arial" w:cs="Arial"/>
          <w:b w:val="0"/>
          <w:sz w:val="24"/>
        </w:rPr>
      </w:pPr>
      <w:r w:rsidRPr="007F0313">
        <w:rPr>
          <w:rFonts w:ascii="Arial" w:hAnsi="Arial" w:cs="Arial"/>
          <w:b w:val="0"/>
          <w:sz w:val="24"/>
        </w:rPr>
        <w:t>Se observa que el valor máximo de desvulcanización (9.7833%) se encuentra a una concentración de 5 g/L. A partir de dicha concentración, la reacción se vuelve reversible, por lo que a una menor o mayor concentración que 5 g/L, el porcentaje de desvulcanización disminuye. Por lo tanto, para las siguientes pruebas se utilizará una concentración de 5 g/L. La desviación promedio de las muestras fue de 0.1762% mientras que la máxima fue de 0.4774%.</w:t>
      </w:r>
    </w:p>
    <w:p w:rsidR="00A12C8C" w:rsidRPr="007F0313" w:rsidRDefault="00A12C8C" w:rsidP="00A12C8C">
      <w:pPr>
        <w:pStyle w:val="Textoindependiente"/>
        <w:ind w:firstLine="539"/>
        <w:jc w:val="both"/>
        <w:rPr>
          <w:rFonts w:ascii="Arial" w:hAnsi="Arial" w:cs="Arial"/>
          <w:b w:val="0"/>
          <w:sz w:val="24"/>
        </w:rPr>
      </w:pPr>
    </w:p>
    <w:p w:rsidR="00A12C8C" w:rsidRDefault="00A12C8C" w:rsidP="00844E6E">
      <w:pPr>
        <w:pStyle w:val="1Titulo"/>
        <w:numPr>
          <w:ilvl w:val="0"/>
          <w:numId w:val="0"/>
        </w:numPr>
        <w:ind w:left="357"/>
      </w:pPr>
      <w:bookmarkStart w:id="51" w:name="_Toc50031184"/>
      <w:r w:rsidRPr="06D618A9">
        <w:t>4.7 Agitación</w:t>
      </w:r>
      <w:bookmarkEnd w:id="51"/>
    </w:p>
    <w:p w:rsidR="00A12C8C" w:rsidRPr="00BA11E5" w:rsidRDefault="00A12C8C" w:rsidP="00A12C8C">
      <w:pPr>
        <w:pStyle w:val="Textoindependiente"/>
        <w:jc w:val="both"/>
        <w:rPr>
          <w:rFonts w:ascii="Arial" w:hAnsi="Arial" w:cs="Arial"/>
          <w:b w:val="0"/>
          <w:i/>
          <w:iCs/>
          <w:sz w:val="24"/>
        </w:rPr>
      </w:pPr>
    </w:p>
    <w:p w:rsidR="00A12C8C" w:rsidRPr="007F0313" w:rsidRDefault="00A12C8C" w:rsidP="00A12C8C">
      <w:pPr>
        <w:pStyle w:val="Textoindependiente"/>
        <w:ind w:firstLine="539"/>
        <w:jc w:val="both"/>
        <w:rPr>
          <w:rFonts w:ascii="Arial" w:hAnsi="Arial" w:cs="Arial"/>
          <w:b w:val="0"/>
          <w:sz w:val="24"/>
        </w:rPr>
      </w:pPr>
      <w:r w:rsidRPr="007F0313">
        <w:rPr>
          <w:rFonts w:ascii="Arial" w:hAnsi="Arial" w:cs="Arial"/>
          <w:b w:val="0"/>
          <w:sz w:val="24"/>
        </w:rPr>
        <w:t xml:space="preserve">En la figura </w:t>
      </w:r>
      <w:r>
        <w:rPr>
          <w:rFonts w:ascii="Arial" w:hAnsi="Arial" w:cs="Arial"/>
          <w:b w:val="0"/>
          <w:sz w:val="24"/>
        </w:rPr>
        <w:t>6</w:t>
      </w:r>
      <w:r w:rsidRPr="007F0313">
        <w:rPr>
          <w:rFonts w:ascii="Arial" w:hAnsi="Arial" w:cs="Arial"/>
          <w:b w:val="0"/>
          <w:sz w:val="24"/>
        </w:rPr>
        <w:t>, se puede observar las diferentes velocidades de agitación que se utilizaron para realizar las pruebas. La agitación favorece la difusión de los reactivos y, por lo tanto, a la reacción de desvulcanización. Cabe mencionar que se determinó como velocidad máxima 300 RPM, ya que a velocidades mayores se generaba un vórtice.</w:t>
      </w:r>
    </w:p>
    <w:p w:rsidR="00A12C8C" w:rsidRPr="007F0313" w:rsidRDefault="00A12C8C" w:rsidP="00A12C8C">
      <w:pPr>
        <w:pStyle w:val="Textoindependiente"/>
        <w:ind w:firstLine="539"/>
        <w:rPr>
          <w:rFonts w:ascii="Arial" w:hAnsi="Arial" w:cs="Arial"/>
          <w:b w:val="0"/>
          <w:sz w:val="24"/>
        </w:rPr>
      </w:pPr>
    </w:p>
    <w:p w:rsidR="00A12C8C" w:rsidRPr="007F0313" w:rsidRDefault="00A12C8C" w:rsidP="00A12C8C">
      <w:pPr>
        <w:pStyle w:val="Textoindependiente"/>
        <w:jc w:val="center"/>
        <w:rPr>
          <w:rFonts w:ascii="Arial" w:hAnsi="Arial" w:cs="Arial"/>
          <w:b w:val="0"/>
          <w:sz w:val="24"/>
        </w:rPr>
      </w:pPr>
      <w:r>
        <w:rPr>
          <w:noProof/>
          <w:lang w:val="en-US"/>
        </w:rPr>
        <w:lastRenderedPageBreak/>
        <w:drawing>
          <wp:inline distT="0" distB="0" distL="0" distR="0" wp14:anchorId="5B686933" wp14:editId="4F98B92B">
            <wp:extent cx="3615055" cy="2170430"/>
            <wp:effectExtent l="0" t="0" r="4445" b="1270"/>
            <wp:docPr id="1674859461" name="Imagen 1050378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0378593"/>
                    <pic:cNvPicPr/>
                  </pic:nvPicPr>
                  <pic:blipFill>
                    <a:blip r:embed="rId118">
                      <a:extLst>
                        <a:ext uri="{28A0092B-C50C-407E-A947-70E740481C1C}">
                          <a14:useLocalDpi xmlns:a14="http://schemas.microsoft.com/office/drawing/2010/main" val="0"/>
                        </a:ext>
                      </a:extLst>
                    </a:blip>
                    <a:stretch>
                      <a:fillRect/>
                    </a:stretch>
                  </pic:blipFill>
                  <pic:spPr>
                    <a:xfrm>
                      <a:off x="0" y="0"/>
                      <a:ext cx="3615055" cy="2170430"/>
                    </a:xfrm>
                    <a:prstGeom prst="rect">
                      <a:avLst/>
                    </a:prstGeom>
                  </pic:spPr>
                </pic:pic>
              </a:graphicData>
            </a:graphic>
          </wp:inline>
        </w:drawing>
      </w:r>
    </w:p>
    <w:p w:rsidR="00A12C8C" w:rsidRPr="00501376" w:rsidRDefault="00A12C8C" w:rsidP="00A12C8C">
      <w:pPr>
        <w:pStyle w:val="Textoindependiente"/>
        <w:jc w:val="center"/>
        <w:rPr>
          <w:rFonts w:ascii="Arial" w:hAnsi="Arial" w:cs="Arial"/>
          <w:b w:val="0"/>
          <w:i/>
          <w:iCs/>
          <w:sz w:val="22"/>
          <w:szCs w:val="22"/>
        </w:rPr>
      </w:pPr>
      <w:r w:rsidRPr="00501376">
        <w:rPr>
          <w:rFonts w:ascii="Arial" w:hAnsi="Arial" w:cs="Arial"/>
          <w:b w:val="0"/>
          <w:i/>
          <w:iCs/>
          <w:sz w:val="22"/>
          <w:szCs w:val="22"/>
        </w:rPr>
        <w:t>Figura 6. Gráfica del efecto de la agitación contra el porcentaje de desvulcanización.</w:t>
      </w:r>
    </w:p>
    <w:p w:rsidR="00A12C8C" w:rsidRPr="007F0313" w:rsidRDefault="00A12C8C" w:rsidP="00A12C8C">
      <w:pPr>
        <w:pStyle w:val="Textoindependiente"/>
        <w:ind w:firstLine="539"/>
        <w:rPr>
          <w:rFonts w:ascii="Arial" w:hAnsi="Arial" w:cs="Arial"/>
          <w:b w:val="0"/>
          <w:sz w:val="24"/>
        </w:rPr>
      </w:pPr>
    </w:p>
    <w:p w:rsidR="00A12C8C" w:rsidRDefault="00A12C8C" w:rsidP="00A12C8C">
      <w:pPr>
        <w:pStyle w:val="Textoindependiente"/>
        <w:ind w:firstLine="539"/>
        <w:jc w:val="both"/>
        <w:rPr>
          <w:rFonts w:ascii="Arial" w:hAnsi="Arial" w:cs="Arial"/>
          <w:b w:val="0"/>
          <w:sz w:val="24"/>
        </w:rPr>
      </w:pPr>
      <w:r>
        <w:rPr>
          <w:rFonts w:ascii="Arial" w:hAnsi="Arial" w:cs="Arial"/>
          <w:b w:val="0"/>
          <w:sz w:val="24"/>
        </w:rPr>
        <w:t>Se observa que el valor máximo</w:t>
      </w:r>
      <w:r w:rsidRPr="007F0313">
        <w:rPr>
          <w:rFonts w:ascii="Arial" w:hAnsi="Arial" w:cs="Arial"/>
          <w:b w:val="0"/>
          <w:sz w:val="24"/>
        </w:rPr>
        <w:t xml:space="preserve"> de desvulcanización </w:t>
      </w:r>
      <w:r>
        <w:rPr>
          <w:rFonts w:ascii="Arial" w:hAnsi="Arial" w:cs="Arial"/>
          <w:b w:val="0"/>
          <w:sz w:val="24"/>
        </w:rPr>
        <w:t>(</w:t>
      </w:r>
      <w:r w:rsidRPr="00294BF0">
        <w:rPr>
          <w:rFonts w:ascii="Arial" w:hAnsi="Arial" w:cs="Arial"/>
          <w:b w:val="0"/>
          <w:sz w:val="24"/>
        </w:rPr>
        <w:t>26.863</w:t>
      </w:r>
      <w:r>
        <w:rPr>
          <w:rFonts w:ascii="Arial" w:hAnsi="Arial" w:cs="Arial"/>
          <w:b w:val="0"/>
          <w:sz w:val="24"/>
        </w:rPr>
        <w:t xml:space="preserve">6%) se obtuvo a </w:t>
      </w:r>
      <w:r>
        <w:rPr>
          <w:rFonts w:ascii="Arial" w:hAnsi="Arial" w:cs="Arial"/>
          <w:b w:val="0"/>
          <w:sz w:val="24"/>
        </w:rPr>
        <w:br/>
      </w:r>
      <w:r w:rsidRPr="007F0313">
        <w:rPr>
          <w:rFonts w:ascii="Arial" w:hAnsi="Arial" w:cs="Arial"/>
          <w:b w:val="0"/>
          <w:sz w:val="24"/>
        </w:rPr>
        <w:t>300 RPM</w:t>
      </w:r>
      <w:r>
        <w:rPr>
          <w:rFonts w:ascii="Arial" w:hAnsi="Arial" w:cs="Arial"/>
          <w:b w:val="0"/>
          <w:sz w:val="24"/>
        </w:rPr>
        <w:t xml:space="preserve">. Esto se debe a que la </w:t>
      </w:r>
      <w:r w:rsidRPr="007F0313">
        <w:rPr>
          <w:rFonts w:ascii="Arial" w:hAnsi="Arial" w:cs="Arial"/>
          <w:b w:val="0"/>
          <w:sz w:val="24"/>
        </w:rPr>
        <w:t xml:space="preserve">agitación </w:t>
      </w:r>
      <w:r>
        <w:rPr>
          <w:rFonts w:ascii="Arial" w:hAnsi="Arial" w:cs="Arial"/>
          <w:b w:val="0"/>
          <w:sz w:val="24"/>
        </w:rPr>
        <w:t>favorece la difusión de los reactivos y la colisión entre las partículas, favoreciendo la reacción de desvulcanización.</w:t>
      </w:r>
      <w:r w:rsidRPr="007F0313">
        <w:rPr>
          <w:rFonts w:ascii="Arial" w:hAnsi="Arial" w:cs="Arial"/>
          <w:b w:val="0"/>
          <w:sz w:val="24"/>
        </w:rPr>
        <w:t xml:space="preserve"> La desviación promedio de las muestras fue de 0.2538% mientras que la máxima fue de 0.4774%.</w:t>
      </w:r>
    </w:p>
    <w:p w:rsidR="00A12C8C" w:rsidRDefault="00A12C8C" w:rsidP="00A12C8C">
      <w:pPr>
        <w:pStyle w:val="Textoindependiente"/>
        <w:ind w:firstLine="539"/>
        <w:rPr>
          <w:rFonts w:ascii="Arial" w:hAnsi="Arial" w:cs="Arial"/>
          <w:sz w:val="24"/>
        </w:rPr>
      </w:pPr>
    </w:p>
    <w:p w:rsidR="00A12C8C" w:rsidRPr="00844E6E" w:rsidRDefault="00A12C8C" w:rsidP="00A12C8C">
      <w:pPr>
        <w:pStyle w:val="Ttulo1"/>
        <w:tabs>
          <w:tab w:val="left" w:pos="0"/>
        </w:tabs>
        <w:spacing w:line="360" w:lineRule="auto"/>
        <w:rPr>
          <w:rFonts w:ascii="Arial" w:hAnsi="Arial" w:cs="Arial"/>
          <w:i/>
          <w:sz w:val="24"/>
          <w:szCs w:val="24"/>
        </w:rPr>
      </w:pPr>
      <w:bookmarkStart w:id="52" w:name="_Toc50031185"/>
      <w:r w:rsidRPr="00844E6E">
        <w:rPr>
          <w:rFonts w:ascii="Arial" w:hAnsi="Arial" w:cs="Arial"/>
          <w:caps/>
          <w:sz w:val="24"/>
          <w:szCs w:val="24"/>
        </w:rPr>
        <w:t xml:space="preserve">5. </w:t>
      </w:r>
      <w:r w:rsidRPr="00844E6E">
        <w:rPr>
          <w:rFonts w:ascii="Arial" w:hAnsi="Arial" w:cs="Arial"/>
          <w:sz w:val="24"/>
          <w:szCs w:val="24"/>
        </w:rPr>
        <w:t>Conclusiones</w:t>
      </w:r>
      <w:bookmarkEnd w:id="52"/>
    </w:p>
    <w:p w:rsidR="00A12C8C" w:rsidRPr="000D1169" w:rsidRDefault="00A12C8C" w:rsidP="00A12C8C">
      <w:pPr>
        <w:pStyle w:val="Textoindependiente"/>
        <w:ind w:firstLine="720"/>
        <w:jc w:val="both"/>
        <w:rPr>
          <w:rFonts w:ascii="Arial" w:hAnsi="Arial" w:cs="Arial"/>
          <w:b w:val="0"/>
          <w:bCs w:val="0"/>
          <w:sz w:val="24"/>
        </w:rPr>
      </w:pPr>
      <w:r w:rsidRPr="26B92554">
        <w:rPr>
          <w:rFonts w:ascii="Arial" w:hAnsi="Arial" w:cs="Arial"/>
          <w:b w:val="0"/>
          <w:bCs w:val="0"/>
          <w:sz w:val="24"/>
        </w:rPr>
        <w:t xml:space="preserve">Se determinó </w:t>
      </w:r>
      <w:r>
        <w:rPr>
          <w:rFonts w:ascii="Arial" w:hAnsi="Arial" w:cs="Arial"/>
          <w:b w:val="0"/>
          <w:bCs w:val="0"/>
          <w:sz w:val="24"/>
        </w:rPr>
        <w:t>l</w:t>
      </w:r>
      <w:r w:rsidRPr="00617CB7">
        <w:rPr>
          <w:rFonts w:ascii="Arial" w:hAnsi="Arial" w:cs="Arial"/>
          <w:b w:val="0"/>
          <w:bCs w:val="0"/>
          <w:sz w:val="24"/>
        </w:rPr>
        <w:t xml:space="preserve">as variables optimizadas del proceso para obtener el porcentaje más alto de desvulcanización </w:t>
      </w:r>
      <w:r w:rsidRPr="00294BF0">
        <w:rPr>
          <w:rFonts w:ascii="Arial" w:hAnsi="Arial" w:cs="Arial"/>
          <w:b w:val="0"/>
          <w:sz w:val="24"/>
        </w:rPr>
        <w:t>26.863</w:t>
      </w:r>
      <w:r>
        <w:rPr>
          <w:rFonts w:ascii="Arial" w:hAnsi="Arial" w:cs="Arial"/>
          <w:b w:val="0"/>
          <w:sz w:val="24"/>
        </w:rPr>
        <w:t>6</w:t>
      </w:r>
      <w:r w:rsidRPr="00617CB7">
        <w:rPr>
          <w:rFonts w:ascii="Arial" w:hAnsi="Arial" w:cs="Arial"/>
          <w:b w:val="0"/>
          <w:bCs w:val="0"/>
          <w:sz w:val="24"/>
        </w:rPr>
        <w:t>% son</w:t>
      </w:r>
      <w:r>
        <w:rPr>
          <w:rFonts w:ascii="Arial" w:hAnsi="Arial" w:cs="Arial"/>
          <w:b w:val="0"/>
          <w:bCs w:val="0"/>
          <w:sz w:val="24"/>
        </w:rPr>
        <w:t xml:space="preserve"> peróxido de benzoilo como a</w:t>
      </w:r>
      <w:r w:rsidRPr="000D1169">
        <w:rPr>
          <w:rFonts w:ascii="Arial" w:hAnsi="Arial" w:cs="Arial"/>
          <w:b w:val="0"/>
          <w:bCs w:val="0"/>
          <w:sz w:val="24"/>
        </w:rPr>
        <w:t xml:space="preserve">gente desvulcanizante a una concentración de 5 g/L, un tiempo de reacción de 4 horas, una temperatura de 85 °C, aplicando una agitación de </w:t>
      </w:r>
      <w:r>
        <w:rPr>
          <w:rFonts w:ascii="Arial" w:hAnsi="Arial" w:cs="Arial"/>
          <w:b w:val="0"/>
          <w:bCs w:val="0"/>
          <w:sz w:val="24"/>
        </w:rPr>
        <w:t>300</w:t>
      </w:r>
      <w:r w:rsidRPr="000D1169">
        <w:rPr>
          <w:rFonts w:ascii="Arial" w:hAnsi="Arial" w:cs="Arial"/>
          <w:b w:val="0"/>
          <w:bCs w:val="0"/>
          <w:sz w:val="24"/>
        </w:rPr>
        <w:t xml:space="preserve"> RPM</w:t>
      </w:r>
      <w:r>
        <w:rPr>
          <w:rFonts w:ascii="Arial" w:hAnsi="Arial" w:cs="Arial"/>
          <w:b w:val="0"/>
          <w:bCs w:val="0"/>
          <w:sz w:val="24"/>
        </w:rPr>
        <w:t>.</w:t>
      </w:r>
    </w:p>
    <w:p w:rsidR="00A12C8C" w:rsidRPr="00FA5EA4" w:rsidRDefault="00A12C8C" w:rsidP="00A12C8C">
      <w:pPr>
        <w:pStyle w:val="Textoindependiente"/>
        <w:ind w:left="720" w:hanging="181"/>
        <w:rPr>
          <w:rFonts w:ascii="Arial" w:hAnsi="Arial" w:cs="Arial"/>
          <w:b w:val="0"/>
          <w:sz w:val="24"/>
        </w:rPr>
      </w:pPr>
      <w:r w:rsidRPr="00FA5EA4">
        <w:rPr>
          <w:rFonts w:ascii="Arial" w:hAnsi="Arial" w:cs="Arial"/>
          <w:b w:val="0"/>
          <w:sz w:val="24"/>
        </w:rPr>
        <w:t xml:space="preserve"> </w:t>
      </w:r>
    </w:p>
    <w:p w:rsidR="00A12C8C" w:rsidRPr="00844E6E" w:rsidRDefault="00A12C8C" w:rsidP="00A12C8C">
      <w:pPr>
        <w:pStyle w:val="Ttulo1"/>
        <w:tabs>
          <w:tab w:val="left" w:pos="0"/>
        </w:tabs>
        <w:spacing w:line="360" w:lineRule="auto"/>
        <w:rPr>
          <w:rFonts w:ascii="Arial" w:hAnsi="Arial" w:cs="Arial"/>
          <w:sz w:val="24"/>
          <w:szCs w:val="24"/>
        </w:rPr>
      </w:pPr>
      <w:bookmarkStart w:id="53" w:name="_Toc50031186"/>
      <w:r w:rsidRPr="00844E6E">
        <w:rPr>
          <w:rFonts w:ascii="Arial" w:hAnsi="Arial" w:cs="Arial"/>
          <w:caps/>
          <w:sz w:val="24"/>
          <w:szCs w:val="24"/>
        </w:rPr>
        <w:t xml:space="preserve">6. </w:t>
      </w:r>
      <w:r w:rsidRPr="00844E6E">
        <w:rPr>
          <w:rFonts w:ascii="Arial" w:hAnsi="Arial" w:cs="Arial"/>
          <w:sz w:val="24"/>
          <w:szCs w:val="24"/>
        </w:rPr>
        <w:t>Referencias</w:t>
      </w:r>
      <w:bookmarkEnd w:id="53"/>
    </w:p>
    <w:p w:rsidR="00A12C8C" w:rsidRPr="00B7558A" w:rsidRDefault="00A12C8C" w:rsidP="00257D10">
      <w:pPr>
        <w:pStyle w:val="Prrafodelista"/>
        <w:numPr>
          <w:ilvl w:val="0"/>
          <w:numId w:val="13"/>
        </w:numPr>
        <w:tabs>
          <w:tab w:val="left" w:pos="750"/>
        </w:tabs>
        <w:suppressAutoHyphens/>
        <w:spacing w:after="0" w:line="240" w:lineRule="auto"/>
        <w:jc w:val="both"/>
        <w:textAlignment w:val="baseline"/>
        <w:rPr>
          <w:rStyle w:val="normaltextrun"/>
          <w:rFonts w:ascii="Arial" w:hAnsi="Arial" w:cs="Arial"/>
          <w:lang w:val="en-US"/>
        </w:rPr>
      </w:pPr>
      <w:r w:rsidRPr="00C436E4">
        <w:rPr>
          <w:rStyle w:val="eop"/>
          <w:rFonts w:ascii="Arial" w:hAnsi="Arial" w:cs="Arial"/>
          <w:lang w:val="en-US"/>
        </w:rPr>
        <w:t> </w:t>
      </w:r>
      <w:r w:rsidRPr="00C436E4">
        <w:rPr>
          <w:rStyle w:val="normaltextrun"/>
          <w:rFonts w:ascii="Arial" w:hAnsi="Arial" w:cs="Arial"/>
          <w:shd w:val="clear" w:color="auto" w:fill="FFFFFF"/>
          <w:lang w:val="en-US"/>
        </w:rPr>
        <w:t xml:space="preserve">Asaro, L., Gratton, M., Seghar, S., &amp; Hocine, N. A. (2018). </w:t>
      </w:r>
      <w:r w:rsidRPr="00B7558A">
        <w:rPr>
          <w:rStyle w:val="normaltextrun"/>
          <w:rFonts w:ascii="Arial" w:hAnsi="Arial" w:cs="Arial"/>
          <w:shd w:val="clear" w:color="auto" w:fill="FFFFFF"/>
          <w:lang w:val="en-US"/>
        </w:rPr>
        <w:t>Recycling of rubber wastes by devulcanization. </w:t>
      </w:r>
      <w:r w:rsidRPr="00B7558A">
        <w:rPr>
          <w:rStyle w:val="normaltextrun"/>
          <w:rFonts w:ascii="Arial" w:hAnsi="Arial" w:cs="Arial"/>
          <w:i/>
          <w:iCs/>
          <w:lang w:val="en-US"/>
        </w:rPr>
        <w:t>Resources, Conservation and Recycling</w:t>
      </w:r>
      <w:r w:rsidRPr="00B7558A">
        <w:rPr>
          <w:rStyle w:val="normaltextrun"/>
          <w:rFonts w:ascii="Arial" w:hAnsi="Arial" w:cs="Arial"/>
          <w:shd w:val="clear" w:color="auto" w:fill="FFFFFF"/>
          <w:lang w:val="en-US"/>
        </w:rPr>
        <w:t>, </w:t>
      </w:r>
      <w:r w:rsidRPr="00B7558A">
        <w:rPr>
          <w:rStyle w:val="normaltextrun"/>
          <w:rFonts w:ascii="Arial" w:hAnsi="Arial" w:cs="Arial"/>
          <w:i/>
          <w:iCs/>
          <w:lang w:val="en-US"/>
        </w:rPr>
        <w:t>133</w:t>
      </w:r>
      <w:r w:rsidRPr="00B7558A">
        <w:rPr>
          <w:rStyle w:val="normaltextrun"/>
          <w:rFonts w:ascii="Arial" w:hAnsi="Arial" w:cs="Arial"/>
          <w:shd w:val="clear" w:color="auto" w:fill="FFFFFF"/>
          <w:lang w:val="en-US"/>
        </w:rPr>
        <w:t>, 250–262. doi: 10.1016/j.resconrec.2018.02.016</w:t>
      </w:r>
    </w:p>
    <w:p w:rsidR="00A12C8C" w:rsidRPr="00B7558A" w:rsidRDefault="00A12C8C" w:rsidP="00257D10">
      <w:pPr>
        <w:pStyle w:val="paragraph"/>
        <w:numPr>
          <w:ilvl w:val="0"/>
          <w:numId w:val="13"/>
        </w:numPr>
        <w:spacing w:before="0" w:beforeAutospacing="0" w:after="0" w:afterAutospacing="0"/>
        <w:jc w:val="both"/>
        <w:textAlignment w:val="baseline"/>
        <w:rPr>
          <w:rStyle w:val="normaltextrun"/>
          <w:rFonts w:ascii="Arial" w:hAnsi="Arial" w:cs="Arial"/>
        </w:rPr>
      </w:pPr>
      <w:r w:rsidRPr="001714B0">
        <w:rPr>
          <w:rStyle w:val="normaltextrun"/>
          <w:rFonts w:ascii="Arial" w:hAnsi="Arial" w:cs="Arial"/>
          <w:lang w:val="es-419"/>
        </w:rPr>
        <w:t>Fábrica de Neumáticos Francesa Michelín. </w:t>
      </w:r>
      <w:r w:rsidRPr="001714B0">
        <w:rPr>
          <w:rStyle w:val="normaltextrun"/>
          <w:rFonts w:ascii="Arial" w:hAnsi="Arial" w:cs="Arial"/>
          <w:lang w:val="en-US"/>
        </w:rPr>
        <w:t>(2016). </w:t>
      </w:r>
      <w:r w:rsidRPr="001714B0">
        <w:rPr>
          <w:rStyle w:val="normaltextrun"/>
          <w:rFonts w:ascii="Arial" w:hAnsi="Arial" w:cs="Arial"/>
          <w:i/>
          <w:iCs/>
          <w:lang w:val="en-US"/>
        </w:rPr>
        <w:t>Process for drying a natural rubber</w:t>
      </w:r>
      <w:r w:rsidRPr="001714B0">
        <w:rPr>
          <w:rStyle w:val="normaltextrun"/>
          <w:rFonts w:ascii="Arial" w:hAnsi="Arial" w:cs="Arial"/>
          <w:lang w:val="en-US"/>
        </w:rPr>
        <w:t> (WO 2017/207912 Al). </w:t>
      </w:r>
      <w:r w:rsidRPr="001714B0">
        <w:rPr>
          <w:rStyle w:val="normaltextrun"/>
          <w:rFonts w:ascii="Arial" w:hAnsi="Arial" w:cs="Arial"/>
          <w:lang w:val="es-419"/>
        </w:rPr>
        <w:t>Francia.</w:t>
      </w:r>
    </w:p>
    <w:p w:rsidR="00A12C8C" w:rsidRPr="00244A7E" w:rsidRDefault="00A12C8C" w:rsidP="00257D10">
      <w:pPr>
        <w:pStyle w:val="paragraph"/>
        <w:numPr>
          <w:ilvl w:val="0"/>
          <w:numId w:val="13"/>
        </w:numPr>
        <w:spacing w:before="0" w:beforeAutospacing="0" w:after="0" w:afterAutospacing="0"/>
        <w:jc w:val="both"/>
        <w:textAlignment w:val="baseline"/>
        <w:rPr>
          <w:rFonts w:ascii="Arial" w:hAnsi="Arial" w:cs="Arial"/>
        </w:rPr>
      </w:pPr>
      <w:r w:rsidRPr="00244A7E">
        <w:rPr>
          <w:rStyle w:val="normaltextrun"/>
          <w:rFonts w:ascii="Arial" w:hAnsi="Arial" w:cs="Arial"/>
          <w:shd w:val="clear" w:color="auto" w:fill="FFFFFF"/>
        </w:rPr>
        <w:t>International Labour Organization. (abril 2002). </w:t>
      </w:r>
      <w:r w:rsidRPr="00244A7E">
        <w:rPr>
          <w:rStyle w:val="normaltextrun"/>
          <w:rFonts w:ascii="Arial" w:hAnsi="Arial" w:cs="Arial"/>
          <w:i/>
          <w:iCs/>
          <w:shd w:val="clear" w:color="auto" w:fill="FFFFFF"/>
        </w:rPr>
        <w:t>Peróxido de benzoilo.</w:t>
      </w:r>
      <w:r w:rsidRPr="00244A7E">
        <w:rPr>
          <w:rStyle w:val="normaltextrun"/>
          <w:rFonts w:ascii="Arial" w:hAnsi="Arial" w:cs="Arial"/>
          <w:shd w:val="clear" w:color="auto" w:fill="FFFFFF"/>
        </w:rPr>
        <w:t> International Labour Organization. </w:t>
      </w:r>
      <w:r w:rsidRPr="00244A7E">
        <w:rPr>
          <w:rStyle w:val="normaltextrun"/>
          <w:rFonts w:ascii="Arial" w:hAnsi="Arial" w:cs="Arial"/>
        </w:rPr>
        <w:t>Recuperado el 20 de febrero de 2020,</w:t>
      </w:r>
      <w:r w:rsidRPr="00244A7E">
        <w:rPr>
          <w:rStyle w:val="eop"/>
          <w:rFonts w:ascii="Arial" w:eastAsiaTheme="minorEastAsia" w:hAnsi="Arial" w:cs="Arial"/>
        </w:rPr>
        <w:t> </w:t>
      </w:r>
    </w:p>
    <w:p w:rsidR="00A12C8C" w:rsidRPr="00375624" w:rsidRDefault="00A12C8C" w:rsidP="00A12C8C">
      <w:pPr>
        <w:pStyle w:val="paragraph"/>
        <w:spacing w:before="0" w:beforeAutospacing="0" w:after="0" w:afterAutospacing="0"/>
        <w:ind w:left="720"/>
        <w:jc w:val="both"/>
        <w:textAlignment w:val="baseline"/>
        <w:rPr>
          <w:rFonts w:ascii="Arial" w:hAnsi="Arial" w:cs="Arial"/>
        </w:rPr>
      </w:pPr>
      <w:r w:rsidRPr="00375624">
        <w:rPr>
          <w:rStyle w:val="normaltextrun"/>
          <w:rFonts w:ascii="Arial" w:hAnsi="Arial" w:cs="Arial"/>
          <w:shd w:val="clear" w:color="auto" w:fill="FFFFFF"/>
          <w:lang w:val="es-419"/>
        </w:rPr>
        <w:t>https://www.ilo.org/dyn/icsc/showcard.display?p_lang=es&amp;p_card_id=0225&amp;p_version=2</w:t>
      </w:r>
      <w:r w:rsidRPr="00375624">
        <w:rPr>
          <w:rStyle w:val="eop"/>
          <w:rFonts w:ascii="Arial" w:eastAsiaTheme="minorEastAsia" w:hAnsi="Arial" w:cs="Arial"/>
        </w:rPr>
        <w:t> </w:t>
      </w:r>
    </w:p>
    <w:p w:rsidR="00A12C8C" w:rsidRPr="00375624" w:rsidRDefault="00A12C8C" w:rsidP="00257D10">
      <w:pPr>
        <w:pStyle w:val="paragraph"/>
        <w:numPr>
          <w:ilvl w:val="0"/>
          <w:numId w:val="13"/>
        </w:numPr>
        <w:spacing w:before="0" w:beforeAutospacing="0" w:after="0" w:afterAutospacing="0"/>
        <w:jc w:val="both"/>
        <w:textAlignment w:val="baseline"/>
        <w:rPr>
          <w:rFonts w:ascii="Arial" w:hAnsi="Arial" w:cs="Arial"/>
          <w:lang w:val="en-US"/>
        </w:rPr>
      </w:pPr>
      <w:r w:rsidRPr="00375624">
        <w:rPr>
          <w:rStyle w:val="normaltextrun"/>
          <w:rFonts w:ascii="Arial" w:hAnsi="Arial" w:cs="Arial"/>
          <w:shd w:val="clear" w:color="auto" w:fill="FFFFFF"/>
          <w:lang w:val="en-US"/>
        </w:rPr>
        <w:lastRenderedPageBreak/>
        <w:t>Jana, G. K., Mahaling, R. N., Rath, T., Kozlowska, A., Kozlowski, M., &amp; Das, C. K. (2007). Mechano-chemical recycling of sulfur cured natural rubber. </w:t>
      </w:r>
      <w:r w:rsidRPr="00375624">
        <w:rPr>
          <w:rStyle w:val="normaltextrun"/>
          <w:rFonts w:ascii="Arial" w:hAnsi="Arial" w:cs="Arial"/>
          <w:i/>
          <w:iCs/>
          <w:lang w:val="en-US"/>
        </w:rPr>
        <w:t>Polimery</w:t>
      </w:r>
      <w:r w:rsidRPr="00375624">
        <w:rPr>
          <w:rStyle w:val="normaltextrun"/>
          <w:rFonts w:ascii="Arial" w:hAnsi="Arial" w:cs="Arial"/>
          <w:shd w:val="clear" w:color="auto" w:fill="FFFFFF"/>
          <w:lang w:val="en-US"/>
        </w:rPr>
        <w:t>, </w:t>
      </w:r>
      <w:r w:rsidRPr="00375624">
        <w:rPr>
          <w:rStyle w:val="normaltextrun"/>
          <w:rFonts w:ascii="Arial" w:hAnsi="Arial" w:cs="Arial"/>
          <w:i/>
          <w:iCs/>
          <w:lang w:val="en-US"/>
        </w:rPr>
        <w:t>52</w:t>
      </w:r>
      <w:r w:rsidRPr="00375624">
        <w:rPr>
          <w:rStyle w:val="normaltextrun"/>
          <w:rFonts w:ascii="Arial" w:hAnsi="Arial" w:cs="Arial"/>
          <w:shd w:val="clear" w:color="auto" w:fill="FFFFFF"/>
          <w:lang w:val="en-US"/>
        </w:rPr>
        <w:t>(02), 131–136. doi: 10.14314/polimery.2007.131</w:t>
      </w:r>
      <w:r w:rsidRPr="00375624">
        <w:rPr>
          <w:rStyle w:val="eop"/>
          <w:rFonts w:ascii="Arial" w:eastAsiaTheme="minorEastAsia" w:hAnsi="Arial" w:cs="Arial"/>
          <w:lang w:val="en-US"/>
        </w:rPr>
        <w:t> </w:t>
      </w:r>
    </w:p>
    <w:p w:rsidR="00A12C8C" w:rsidRPr="00375624" w:rsidRDefault="00A12C8C" w:rsidP="00257D10">
      <w:pPr>
        <w:pStyle w:val="paragraph"/>
        <w:numPr>
          <w:ilvl w:val="0"/>
          <w:numId w:val="13"/>
        </w:numPr>
        <w:spacing w:before="0" w:beforeAutospacing="0" w:after="0" w:afterAutospacing="0"/>
        <w:jc w:val="both"/>
        <w:textAlignment w:val="baseline"/>
        <w:rPr>
          <w:rFonts w:ascii="Arial" w:hAnsi="Arial" w:cs="Arial"/>
        </w:rPr>
      </w:pPr>
      <w:r w:rsidRPr="00375624">
        <w:rPr>
          <w:rStyle w:val="normaltextrun"/>
          <w:rFonts w:ascii="Arial" w:hAnsi="Arial" w:cs="Arial"/>
          <w:shd w:val="clear" w:color="auto" w:fill="FFFFFF"/>
          <w:lang w:val="de-DE"/>
        </w:rPr>
        <w:t>Jenkins, A., Kratochvíl, P., Stepto, R., &amp; Suter, U. (1996). </w:t>
      </w:r>
      <w:r w:rsidRPr="00375624">
        <w:rPr>
          <w:rStyle w:val="normaltextrun"/>
          <w:rFonts w:ascii="Arial" w:hAnsi="Arial" w:cs="Arial"/>
          <w:shd w:val="clear" w:color="auto" w:fill="FFFFFF"/>
          <w:lang w:val="en-US"/>
        </w:rPr>
        <w:t>Glossary of basic terms un polymer science. </w:t>
      </w:r>
      <w:r w:rsidRPr="00375624">
        <w:rPr>
          <w:rStyle w:val="normaltextrun"/>
          <w:rFonts w:ascii="Arial" w:hAnsi="Arial" w:cs="Arial"/>
          <w:shd w:val="clear" w:color="auto" w:fill="FFFFFF"/>
        </w:rPr>
        <w:t>Recuperdo el 2 de marzo de 2020, de</w:t>
      </w:r>
      <w:r w:rsidRPr="00375624">
        <w:rPr>
          <w:rStyle w:val="eop"/>
          <w:rFonts w:ascii="Arial" w:eastAsiaTheme="minorEastAsia" w:hAnsi="Arial" w:cs="Arial"/>
        </w:rPr>
        <w:t> </w:t>
      </w:r>
    </w:p>
    <w:p w:rsidR="00A12C8C" w:rsidRPr="00375624" w:rsidRDefault="00A12C8C" w:rsidP="00A12C8C">
      <w:pPr>
        <w:pStyle w:val="paragraph"/>
        <w:spacing w:before="0" w:beforeAutospacing="0" w:after="0" w:afterAutospacing="0"/>
        <w:ind w:left="720"/>
        <w:jc w:val="both"/>
        <w:textAlignment w:val="baseline"/>
        <w:rPr>
          <w:rFonts w:ascii="Arial" w:hAnsi="Arial" w:cs="Arial"/>
        </w:rPr>
      </w:pPr>
      <w:r w:rsidRPr="00375624">
        <w:rPr>
          <w:rStyle w:val="normaltextrun"/>
          <w:rFonts w:ascii="Arial" w:hAnsi="Arial" w:cs="Arial"/>
        </w:rPr>
        <w:t>http://publications.iupac.org/pac/pdf/1996/pdf/6812x2287.pdf</w:t>
      </w:r>
      <w:r w:rsidRPr="00375624">
        <w:rPr>
          <w:rStyle w:val="eop"/>
          <w:rFonts w:ascii="Arial" w:eastAsiaTheme="minorEastAsia" w:hAnsi="Arial" w:cs="Arial"/>
        </w:rPr>
        <w:t> </w:t>
      </w:r>
    </w:p>
    <w:p w:rsidR="00A12C8C" w:rsidRPr="001714B0" w:rsidRDefault="00A12C8C" w:rsidP="00257D10">
      <w:pPr>
        <w:pStyle w:val="paragraph"/>
        <w:numPr>
          <w:ilvl w:val="0"/>
          <w:numId w:val="13"/>
        </w:numPr>
        <w:spacing w:before="0" w:beforeAutospacing="0" w:after="0" w:afterAutospacing="0"/>
        <w:jc w:val="both"/>
        <w:textAlignment w:val="baseline"/>
        <w:rPr>
          <w:rFonts w:ascii="Arial" w:hAnsi="Arial" w:cs="Arial"/>
        </w:rPr>
      </w:pPr>
      <w:r w:rsidRPr="00C42F18">
        <w:rPr>
          <w:rStyle w:val="normaltextrun"/>
          <w:rFonts w:ascii="Arial" w:hAnsi="Arial" w:cs="Arial"/>
          <w:lang w:val="de-DE"/>
        </w:rPr>
        <w:t xml:space="preserve">Jiang K., Shi J., Ge Y., et al. </w:t>
      </w:r>
      <w:r w:rsidRPr="00375624">
        <w:rPr>
          <w:rStyle w:val="normaltextrun"/>
          <w:rFonts w:ascii="Arial" w:hAnsi="Arial" w:cs="Arial"/>
          <w:lang w:val="en-US"/>
        </w:rPr>
        <w:t>(2012) Complete Devulcanization of Sulfur-Cured Butyl Rubber by Using Supercritical Carbon Dioxide. Beijing University of Chemical Technology. DOI: 10.1002/app.37542</w:t>
      </w:r>
      <w:r w:rsidRPr="00375624">
        <w:rPr>
          <w:rStyle w:val="eop"/>
          <w:rFonts w:ascii="Arial" w:eastAsiaTheme="minorEastAsia" w:hAnsi="Arial" w:cs="Arial"/>
        </w:rPr>
        <w:t> </w:t>
      </w:r>
    </w:p>
    <w:p w:rsidR="00A12C8C" w:rsidRDefault="00A12C8C" w:rsidP="00257D10">
      <w:pPr>
        <w:pStyle w:val="paragraph"/>
        <w:numPr>
          <w:ilvl w:val="0"/>
          <w:numId w:val="13"/>
        </w:numPr>
        <w:spacing w:before="0" w:beforeAutospacing="0" w:after="0" w:afterAutospacing="0"/>
        <w:jc w:val="both"/>
        <w:textAlignment w:val="baseline"/>
        <w:rPr>
          <w:rFonts w:ascii="Arial" w:hAnsi="Arial" w:cs="Arial"/>
          <w:lang w:val="en-US"/>
        </w:rPr>
      </w:pPr>
      <w:r w:rsidRPr="00375624">
        <w:rPr>
          <w:rStyle w:val="normaltextrun"/>
          <w:rFonts w:ascii="Arial" w:hAnsi="Arial" w:cs="Arial"/>
          <w:shd w:val="clear" w:color="auto" w:fill="FFFFFF"/>
        </w:rPr>
        <w:t>Kruželák, J., Sýkora, R., &amp; Hudec, I. (2017). </w:t>
      </w:r>
      <w:r w:rsidRPr="00375624">
        <w:rPr>
          <w:rStyle w:val="normaltextrun"/>
          <w:rFonts w:ascii="Arial" w:hAnsi="Arial" w:cs="Arial"/>
          <w:shd w:val="clear" w:color="auto" w:fill="FFFFFF"/>
          <w:lang w:val="en-US"/>
        </w:rPr>
        <w:t>Vulcanization Of Rubber Compounds With Peroxide Curing Systems. </w:t>
      </w:r>
      <w:r w:rsidRPr="00375624">
        <w:rPr>
          <w:rStyle w:val="normaltextrun"/>
          <w:rFonts w:ascii="Arial" w:hAnsi="Arial" w:cs="Arial"/>
          <w:i/>
          <w:iCs/>
          <w:lang w:val="en-US"/>
        </w:rPr>
        <w:t>Rubber Chemistry and Technology</w:t>
      </w:r>
      <w:r w:rsidRPr="00375624">
        <w:rPr>
          <w:rStyle w:val="normaltextrun"/>
          <w:rFonts w:ascii="Arial" w:hAnsi="Arial" w:cs="Arial"/>
          <w:shd w:val="clear" w:color="auto" w:fill="FFFFFF"/>
          <w:lang w:val="en-US"/>
        </w:rPr>
        <w:t>, </w:t>
      </w:r>
      <w:r w:rsidRPr="00375624">
        <w:rPr>
          <w:rStyle w:val="normaltextrun"/>
          <w:rFonts w:ascii="Arial" w:hAnsi="Arial" w:cs="Arial"/>
          <w:i/>
          <w:iCs/>
          <w:lang w:val="en-US"/>
        </w:rPr>
        <w:t>90</w:t>
      </w:r>
      <w:r w:rsidRPr="00375624">
        <w:rPr>
          <w:rStyle w:val="normaltextrun"/>
          <w:rFonts w:ascii="Arial" w:hAnsi="Arial" w:cs="Arial"/>
          <w:shd w:val="clear" w:color="auto" w:fill="FFFFFF"/>
          <w:lang w:val="en-US"/>
        </w:rPr>
        <w:t>(1), 60–88. doi: 10.5254/rct.16.83758</w:t>
      </w:r>
      <w:r w:rsidRPr="00375624">
        <w:rPr>
          <w:rStyle w:val="eop"/>
          <w:rFonts w:ascii="Arial" w:eastAsiaTheme="minorEastAsia" w:hAnsi="Arial" w:cs="Arial"/>
          <w:lang w:val="en-US"/>
        </w:rPr>
        <w:t> </w:t>
      </w:r>
    </w:p>
    <w:p w:rsidR="00A12C8C" w:rsidRDefault="00A12C8C" w:rsidP="00257D10">
      <w:pPr>
        <w:pStyle w:val="paragraph"/>
        <w:numPr>
          <w:ilvl w:val="0"/>
          <w:numId w:val="13"/>
        </w:numPr>
        <w:spacing w:before="0" w:beforeAutospacing="0" w:after="0" w:afterAutospacing="0"/>
        <w:jc w:val="both"/>
        <w:textAlignment w:val="baseline"/>
        <w:rPr>
          <w:rFonts w:ascii="Arial" w:hAnsi="Arial" w:cs="Arial"/>
        </w:rPr>
      </w:pPr>
      <w:r w:rsidRPr="00244A7E">
        <w:rPr>
          <w:rStyle w:val="normaltextrun"/>
          <w:rFonts w:ascii="Arial" w:hAnsi="Arial" w:cs="Arial"/>
          <w:shd w:val="clear" w:color="auto" w:fill="FFFFFF"/>
        </w:rPr>
        <w:t>Logan, S. R., García-Pumarino, C. P., &amp; Antonio, R. R. J. (2001). </w:t>
      </w:r>
      <w:r w:rsidRPr="00244A7E">
        <w:rPr>
          <w:rStyle w:val="normaltextrun"/>
          <w:rFonts w:ascii="Arial" w:hAnsi="Arial" w:cs="Arial"/>
          <w:i/>
          <w:iCs/>
          <w:lang w:val="es-419"/>
        </w:rPr>
        <w:t>Fundamentos de cinética química</w:t>
      </w:r>
      <w:r w:rsidRPr="00244A7E">
        <w:rPr>
          <w:rStyle w:val="normaltextrun"/>
          <w:rFonts w:ascii="Arial" w:hAnsi="Arial" w:cs="Arial"/>
          <w:shd w:val="clear" w:color="auto" w:fill="FFFFFF"/>
          <w:lang w:val="es-419"/>
        </w:rPr>
        <w:t>. Madrid: Addison Wesley.</w:t>
      </w:r>
      <w:r w:rsidRPr="00244A7E">
        <w:rPr>
          <w:rStyle w:val="eop"/>
          <w:rFonts w:ascii="Arial" w:eastAsiaTheme="minorEastAsia" w:hAnsi="Arial" w:cs="Arial"/>
        </w:rPr>
        <w:t> </w:t>
      </w:r>
    </w:p>
    <w:p w:rsidR="00A12C8C" w:rsidRDefault="00A12C8C" w:rsidP="00257D10">
      <w:pPr>
        <w:pStyle w:val="paragraph"/>
        <w:numPr>
          <w:ilvl w:val="0"/>
          <w:numId w:val="13"/>
        </w:numPr>
        <w:spacing w:before="0" w:beforeAutospacing="0" w:after="0" w:afterAutospacing="0"/>
        <w:jc w:val="both"/>
        <w:textAlignment w:val="baseline"/>
        <w:rPr>
          <w:rFonts w:ascii="Arial" w:hAnsi="Arial" w:cs="Arial"/>
        </w:rPr>
      </w:pPr>
      <w:r w:rsidRPr="00244A7E">
        <w:rPr>
          <w:rStyle w:val="normaltextrun"/>
          <w:rFonts w:ascii="Arial" w:hAnsi="Arial" w:cs="Arial"/>
          <w:lang w:val="es-419"/>
        </w:rPr>
        <w:t>Matador Rubber s.r.o. (2007). </w:t>
      </w:r>
      <w:r w:rsidRPr="00244A7E">
        <w:rPr>
          <w:rStyle w:val="normaltextrun"/>
          <w:rFonts w:ascii="Arial" w:hAnsi="Arial" w:cs="Arial"/>
          <w:i/>
          <w:iCs/>
        </w:rPr>
        <w:t>Rubber Chemsitry. </w:t>
      </w:r>
      <w:r w:rsidRPr="00244A7E">
        <w:rPr>
          <w:rStyle w:val="normaltextrun"/>
          <w:rFonts w:ascii="Arial" w:hAnsi="Arial" w:cs="Arial"/>
        </w:rPr>
        <w:t>Vert.</w:t>
      </w:r>
      <w:r w:rsidRPr="00244A7E">
        <w:rPr>
          <w:rStyle w:val="normaltextrun"/>
          <w:rFonts w:ascii="Arial" w:hAnsi="Arial" w:cs="Arial"/>
          <w:i/>
          <w:iCs/>
        </w:rPr>
        <w:t> </w:t>
      </w:r>
      <w:r w:rsidRPr="00244A7E">
        <w:rPr>
          <w:rStyle w:val="normaltextrun"/>
          <w:rFonts w:ascii="Arial" w:hAnsi="Arial" w:cs="Arial"/>
        </w:rPr>
        <w:t>Recuperado el 23 de febrero de 2020, de https://laroverket.com/wp-content/uploads/2015/03/rubber_chemistry.pdf</w:t>
      </w:r>
      <w:r w:rsidRPr="00244A7E">
        <w:rPr>
          <w:rStyle w:val="eop"/>
          <w:rFonts w:ascii="Arial" w:eastAsiaTheme="minorEastAsia" w:hAnsi="Arial" w:cs="Arial"/>
        </w:rPr>
        <w:t> </w:t>
      </w:r>
    </w:p>
    <w:p w:rsidR="00A12C8C" w:rsidRPr="00A700F2" w:rsidRDefault="00A12C8C" w:rsidP="00257D10">
      <w:pPr>
        <w:pStyle w:val="paragraph"/>
        <w:numPr>
          <w:ilvl w:val="0"/>
          <w:numId w:val="13"/>
        </w:numPr>
        <w:spacing w:before="0" w:beforeAutospacing="0" w:after="0" w:afterAutospacing="0"/>
        <w:jc w:val="both"/>
        <w:textAlignment w:val="baseline"/>
        <w:rPr>
          <w:rFonts w:ascii="Arial" w:hAnsi="Arial" w:cs="Arial"/>
        </w:rPr>
      </w:pPr>
      <w:r w:rsidRPr="00A700F2">
        <w:rPr>
          <w:rStyle w:val="normaltextrun"/>
          <w:rFonts w:ascii="Arial" w:hAnsi="Arial" w:cs="Arial"/>
        </w:rPr>
        <w:t>Ramis, J.X. (1994). </w:t>
      </w:r>
      <w:r w:rsidRPr="00A700F2">
        <w:rPr>
          <w:rStyle w:val="normaltextrun"/>
          <w:rFonts w:ascii="Arial" w:hAnsi="Arial" w:cs="Arial"/>
          <w:i/>
          <w:iCs/>
        </w:rPr>
        <w:t xml:space="preserve">Estudio de la Eficiencia de Sistemas Químicos de Iniciación del Curado de Resinas de Poliéster Insaturado </w:t>
      </w:r>
      <w:r w:rsidRPr="00A700F2">
        <w:rPr>
          <w:rStyle w:val="normaltextrun"/>
          <w:rFonts w:ascii="Arial" w:hAnsi="Arial" w:cs="Arial"/>
        </w:rPr>
        <w:t>(Tesis doctoral). Universitat Politécnica de Catalunya, España.</w:t>
      </w:r>
      <w:r w:rsidRPr="00A700F2">
        <w:rPr>
          <w:rFonts w:ascii="Arial" w:hAnsi="Arial" w:cs="Arial"/>
        </w:rPr>
        <w:t xml:space="preserve"> </w:t>
      </w:r>
    </w:p>
    <w:p w:rsidR="00A12C8C" w:rsidRPr="00244A7E" w:rsidRDefault="00A12C8C" w:rsidP="00257D10">
      <w:pPr>
        <w:pStyle w:val="paragraph"/>
        <w:numPr>
          <w:ilvl w:val="0"/>
          <w:numId w:val="13"/>
        </w:numPr>
        <w:spacing w:before="0" w:beforeAutospacing="0" w:after="0" w:afterAutospacing="0"/>
        <w:jc w:val="both"/>
        <w:textAlignment w:val="baseline"/>
        <w:rPr>
          <w:rFonts w:ascii="Arial" w:hAnsi="Arial" w:cs="Arial"/>
        </w:rPr>
      </w:pPr>
      <w:r w:rsidRPr="00244A7E">
        <w:rPr>
          <w:rStyle w:val="normaltextrun"/>
          <w:rFonts w:ascii="Arial" w:hAnsi="Arial" w:cs="Arial"/>
        </w:rPr>
        <w:t>Ripoli, E. (s.f.). </w:t>
      </w:r>
      <w:r w:rsidRPr="00244A7E">
        <w:rPr>
          <w:rStyle w:val="normaltextrun"/>
          <w:rFonts w:ascii="Arial" w:hAnsi="Arial" w:cs="Arial"/>
          <w:i/>
          <w:iCs/>
        </w:rPr>
        <w:t>Ecuación de Arrhenius.</w:t>
      </w:r>
      <w:r w:rsidRPr="00244A7E">
        <w:rPr>
          <w:rStyle w:val="normaltextrun"/>
          <w:rFonts w:ascii="Arial" w:hAnsi="Arial" w:cs="Arial"/>
        </w:rPr>
        <w:t> Proyecto Descartes. Recuperado el 20 de febrero de 2020, de</w:t>
      </w:r>
      <w:r w:rsidRPr="00244A7E">
        <w:rPr>
          <w:rStyle w:val="eop"/>
          <w:rFonts w:ascii="Arial" w:eastAsiaTheme="minorEastAsia" w:hAnsi="Arial" w:cs="Arial"/>
        </w:rPr>
        <w:t> </w:t>
      </w:r>
    </w:p>
    <w:p w:rsidR="00A12C8C" w:rsidRDefault="00A12C8C" w:rsidP="00A12C8C">
      <w:pPr>
        <w:pStyle w:val="paragraph"/>
        <w:spacing w:before="0" w:beforeAutospacing="0" w:after="0" w:afterAutospacing="0"/>
        <w:ind w:left="720"/>
        <w:jc w:val="both"/>
        <w:textAlignment w:val="baseline"/>
        <w:rPr>
          <w:rFonts w:ascii="Arial" w:hAnsi="Arial" w:cs="Arial"/>
        </w:rPr>
      </w:pPr>
      <w:r w:rsidRPr="00375624">
        <w:rPr>
          <w:rStyle w:val="normaltextrun"/>
          <w:rFonts w:ascii="Arial" w:hAnsi="Arial" w:cs="Arial"/>
        </w:rPr>
        <w:t>https://proyectodescartes.org/ingenieria/materiales_didacticos/cinetica_quimica_descartes-JS/ecuacin_de_arrhenius_i.html</w:t>
      </w:r>
      <w:r w:rsidRPr="00375624">
        <w:rPr>
          <w:rStyle w:val="eop"/>
          <w:rFonts w:ascii="Arial" w:eastAsiaTheme="minorEastAsia" w:hAnsi="Arial" w:cs="Arial"/>
        </w:rPr>
        <w:t> </w:t>
      </w:r>
    </w:p>
    <w:p w:rsidR="00A12C8C" w:rsidRPr="00375624" w:rsidRDefault="00A12C8C" w:rsidP="00257D10">
      <w:pPr>
        <w:pStyle w:val="paragraph"/>
        <w:numPr>
          <w:ilvl w:val="0"/>
          <w:numId w:val="13"/>
        </w:numPr>
        <w:spacing w:before="0" w:beforeAutospacing="0" w:after="0" w:afterAutospacing="0"/>
        <w:jc w:val="both"/>
        <w:textAlignment w:val="baseline"/>
        <w:rPr>
          <w:rFonts w:ascii="Arial" w:hAnsi="Arial" w:cs="Arial"/>
        </w:rPr>
      </w:pPr>
      <w:r w:rsidRPr="00375624">
        <w:rPr>
          <w:rStyle w:val="normaltextrun"/>
          <w:rFonts w:ascii="Arial" w:hAnsi="Arial" w:cs="Arial"/>
        </w:rPr>
        <w:t>Ripoli, E. (s.f.). </w:t>
      </w:r>
      <w:r w:rsidRPr="00375624">
        <w:rPr>
          <w:rStyle w:val="normaltextrun"/>
          <w:rFonts w:ascii="Arial" w:hAnsi="Arial" w:cs="Arial"/>
          <w:i/>
          <w:iCs/>
        </w:rPr>
        <w:t>La velocidad de reacción.</w:t>
      </w:r>
      <w:r w:rsidRPr="00375624">
        <w:rPr>
          <w:rStyle w:val="normaltextrun"/>
          <w:rFonts w:ascii="Arial" w:hAnsi="Arial" w:cs="Arial"/>
        </w:rPr>
        <w:t> Proyecto Descartes. Recuperado el 20 de febrero de 2020, de</w:t>
      </w:r>
      <w:r w:rsidRPr="00375624">
        <w:rPr>
          <w:rStyle w:val="eop"/>
          <w:rFonts w:ascii="Arial" w:eastAsiaTheme="minorEastAsia" w:hAnsi="Arial" w:cs="Arial"/>
        </w:rPr>
        <w:t> </w:t>
      </w:r>
    </w:p>
    <w:p w:rsidR="00A12C8C" w:rsidRPr="00375624" w:rsidRDefault="00A12C8C" w:rsidP="00A12C8C">
      <w:pPr>
        <w:pStyle w:val="paragraph"/>
        <w:spacing w:before="0" w:beforeAutospacing="0" w:after="0" w:afterAutospacing="0"/>
        <w:ind w:left="720"/>
        <w:jc w:val="both"/>
        <w:textAlignment w:val="baseline"/>
        <w:rPr>
          <w:rFonts w:ascii="Arial" w:hAnsi="Arial" w:cs="Arial"/>
        </w:rPr>
      </w:pPr>
      <w:r w:rsidRPr="00375624">
        <w:rPr>
          <w:rStyle w:val="normaltextrun"/>
          <w:rFonts w:ascii="Arial" w:hAnsi="Arial" w:cs="Arial"/>
        </w:rPr>
        <w:t>https://proyectodescartes.org/ingenieria/materiales_didacticos/cinetica_quimica_descartes-JS/la_velocidad_de_reaccin.html</w:t>
      </w:r>
      <w:r w:rsidRPr="00375624">
        <w:rPr>
          <w:rStyle w:val="eop"/>
          <w:rFonts w:ascii="Arial" w:eastAsiaTheme="minorEastAsia" w:hAnsi="Arial" w:cs="Arial"/>
        </w:rPr>
        <w:t> </w:t>
      </w:r>
    </w:p>
    <w:p w:rsidR="00A12C8C" w:rsidRPr="001714B0" w:rsidRDefault="00A12C8C" w:rsidP="00257D10">
      <w:pPr>
        <w:pStyle w:val="paragraph"/>
        <w:numPr>
          <w:ilvl w:val="0"/>
          <w:numId w:val="13"/>
        </w:numPr>
        <w:spacing w:before="0" w:beforeAutospacing="0" w:after="0" w:afterAutospacing="0"/>
        <w:jc w:val="both"/>
        <w:textAlignment w:val="baseline"/>
        <w:rPr>
          <w:rFonts w:ascii="Arial" w:hAnsi="Arial" w:cs="Arial"/>
        </w:rPr>
      </w:pPr>
      <w:r w:rsidRPr="00375624">
        <w:rPr>
          <w:rStyle w:val="normaltextrun"/>
          <w:rFonts w:ascii="Arial" w:hAnsi="Arial" w:cs="Arial"/>
          <w:lang w:val="en-US"/>
        </w:rPr>
        <w:t>Rooj, S., Basak, G. C., Maji, P. K., &amp; Bhowmick, A. K. (2011). </w:t>
      </w:r>
      <w:r w:rsidRPr="00375624">
        <w:rPr>
          <w:rStyle w:val="normaltextrun"/>
          <w:rFonts w:ascii="Arial" w:hAnsi="Arial" w:cs="Arial"/>
          <w:i/>
          <w:iCs/>
          <w:lang w:val="en-US"/>
        </w:rPr>
        <w:t>New Route for Devulcanization of Natural Rubber and the Properties of Devulcanized Rubber</w:t>
      </w:r>
      <w:r w:rsidRPr="00375624">
        <w:rPr>
          <w:rStyle w:val="normaltextrun"/>
          <w:rFonts w:ascii="Arial" w:hAnsi="Arial" w:cs="Arial"/>
          <w:lang w:val="en-US"/>
        </w:rPr>
        <w:t>. Journal of Polymers &amp; the Environment, 19(2), 382–390. https://doi.org/10.1007/s10924-011-0293-5</w:t>
      </w:r>
      <w:r w:rsidRPr="00375624">
        <w:rPr>
          <w:rStyle w:val="eop"/>
          <w:rFonts w:ascii="Arial" w:eastAsiaTheme="minorEastAsia" w:hAnsi="Arial" w:cs="Arial"/>
        </w:rPr>
        <w:t> </w:t>
      </w:r>
    </w:p>
    <w:p w:rsidR="00A12C8C" w:rsidRPr="001714B0" w:rsidRDefault="00A12C8C" w:rsidP="00257D10">
      <w:pPr>
        <w:pStyle w:val="paragraph"/>
        <w:numPr>
          <w:ilvl w:val="0"/>
          <w:numId w:val="13"/>
        </w:numPr>
        <w:spacing w:before="0" w:beforeAutospacing="0" w:after="0" w:afterAutospacing="0"/>
        <w:jc w:val="both"/>
        <w:textAlignment w:val="baseline"/>
        <w:rPr>
          <w:rFonts w:ascii="Arial" w:hAnsi="Arial" w:cs="Arial"/>
          <w:lang w:val="en-US"/>
        </w:rPr>
      </w:pPr>
      <w:r w:rsidRPr="00375624">
        <w:rPr>
          <w:rStyle w:val="normaltextrun"/>
          <w:rFonts w:ascii="Arial" w:hAnsi="Arial" w:cs="Arial"/>
          <w:shd w:val="clear" w:color="auto" w:fill="FFFFFF"/>
          <w:lang w:val="en-US"/>
        </w:rPr>
        <w:t>Sabzekar, M., Chenar, M. P., Mortazavi, S. M., Kariminejad, M., Asadi, S., &amp; Zohuri, G. (2015). Influence of process variables on chemical devulcanization of sulfur-cured natural rubber. </w:t>
      </w:r>
      <w:r w:rsidRPr="00375624">
        <w:rPr>
          <w:rStyle w:val="normaltextrun"/>
          <w:rFonts w:ascii="Arial" w:hAnsi="Arial" w:cs="Arial"/>
          <w:i/>
          <w:iCs/>
          <w:lang w:val="en-US"/>
        </w:rPr>
        <w:t>Polymer Degradation and Stability</w:t>
      </w:r>
      <w:r w:rsidRPr="00375624">
        <w:rPr>
          <w:rStyle w:val="normaltextrun"/>
          <w:rFonts w:ascii="Arial" w:hAnsi="Arial" w:cs="Arial"/>
          <w:shd w:val="clear" w:color="auto" w:fill="FFFFFF"/>
          <w:lang w:val="en-US"/>
        </w:rPr>
        <w:t>, </w:t>
      </w:r>
      <w:r w:rsidRPr="00375624">
        <w:rPr>
          <w:rStyle w:val="normaltextrun"/>
          <w:rFonts w:ascii="Arial" w:hAnsi="Arial" w:cs="Arial"/>
          <w:i/>
          <w:iCs/>
          <w:lang w:val="en-US"/>
        </w:rPr>
        <w:t>118</w:t>
      </w:r>
      <w:r w:rsidRPr="00375624">
        <w:rPr>
          <w:rStyle w:val="normaltextrun"/>
          <w:rFonts w:ascii="Arial" w:hAnsi="Arial" w:cs="Arial"/>
          <w:shd w:val="clear" w:color="auto" w:fill="FFFFFF"/>
          <w:lang w:val="en-US"/>
        </w:rPr>
        <w:t>, 88–95. doi: 10.1016/j.polymdegradstab.2015.04.013</w:t>
      </w:r>
      <w:r w:rsidRPr="00375624">
        <w:rPr>
          <w:rStyle w:val="eop"/>
          <w:rFonts w:ascii="Arial" w:eastAsiaTheme="minorEastAsia" w:hAnsi="Arial" w:cs="Arial"/>
          <w:lang w:val="en-US"/>
        </w:rPr>
        <w:t> </w:t>
      </w:r>
    </w:p>
    <w:p w:rsidR="00A12C8C" w:rsidRPr="001714B0" w:rsidRDefault="00A12C8C" w:rsidP="00257D10">
      <w:pPr>
        <w:pStyle w:val="paragraph"/>
        <w:numPr>
          <w:ilvl w:val="0"/>
          <w:numId w:val="13"/>
        </w:numPr>
        <w:spacing w:before="0" w:beforeAutospacing="0" w:after="0" w:afterAutospacing="0"/>
        <w:jc w:val="both"/>
        <w:textAlignment w:val="baseline"/>
        <w:rPr>
          <w:rFonts w:ascii="Arial" w:hAnsi="Arial" w:cs="Arial"/>
        </w:rPr>
      </w:pPr>
      <w:r w:rsidRPr="00375624">
        <w:rPr>
          <w:rStyle w:val="normaltextrun"/>
          <w:rFonts w:ascii="Arial" w:hAnsi="Arial" w:cs="Arial"/>
        </w:rPr>
        <w:t>Sáez, V., Heráez, E., &amp; Angulo, L. S. (2003). </w:t>
      </w:r>
      <w:r w:rsidRPr="00375624">
        <w:rPr>
          <w:rStyle w:val="normaltextrun"/>
          <w:rFonts w:ascii="Arial" w:hAnsi="Arial" w:cs="Arial"/>
          <w:i/>
          <w:iCs/>
          <w:lang w:val="es-419"/>
        </w:rPr>
        <w:t>Liberación Controlada de Fármacos Hidrogeles. Revista Iberoamericana De Polímeros</w:t>
      </w:r>
      <w:r w:rsidRPr="00375624">
        <w:rPr>
          <w:rStyle w:val="normaltextrun"/>
          <w:rFonts w:ascii="Arial" w:hAnsi="Arial" w:cs="Arial"/>
          <w:lang w:val="es-419"/>
        </w:rPr>
        <w:t>, 4 (1). </w:t>
      </w:r>
      <w:r w:rsidRPr="00375624">
        <w:rPr>
          <w:rStyle w:val="normaltextrun"/>
          <w:rFonts w:ascii="Arial" w:hAnsi="Arial" w:cs="Arial"/>
        </w:rPr>
        <w:t>Recuperado de http://ehu.eus/reviberpol/pdf/ENE03/Virginia2003.PDF</w:t>
      </w:r>
      <w:r w:rsidRPr="00375624">
        <w:rPr>
          <w:rStyle w:val="eop"/>
          <w:rFonts w:ascii="Arial" w:eastAsiaTheme="minorEastAsia" w:hAnsi="Arial" w:cs="Arial"/>
        </w:rPr>
        <w:t> </w:t>
      </w:r>
    </w:p>
    <w:p w:rsidR="00A12C8C" w:rsidRPr="001714B0" w:rsidRDefault="00A12C8C" w:rsidP="00257D10">
      <w:pPr>
        <w:pStyle w:val="paragraph"/>
        <w:numPr>
          <w:ilvl w:val="0"/>
          <w:numId w:val="13"/>
        </w:numPr>
        <w:spacing w:before="0" w:beforeAutospacing="0" w:after="0" w:afterAutospacing="0"/>
        <w:jc w:val="both"/>
        <w:textAlignment w:val="baseline"/>
        <w:rPr>
          <w:rFonts w:ascii="Arial" w:hAnsi="Arial" w:cs="Arial"/>
          <w:lang w:val="en-US"/>
        </w:rPr>
      </w:pPr>
      <w:r w:rsidRPr="00375624">
        <w:rPr>
          <w:rStyle w:val="normaltextrun"/>
          <w:rFonts w:ascii="Arial" w:hAnsi="Arial" w:cs="Arial"/>
          <w:shd w:val="clear" w:color="auto" w:fill="FFFFFF"/>
          <w:lang w:val="en-US"/>
        </w:rPr>
        <w:t>Smith, J. M., C., V. N. H., Abbott, M. M., &amp; Swihart, M. T. (2018). </w:t>
      </w:r>
      <w:r w:rsidRPr="00375624">
        <w:rPr>
          <w:rStyle w:val="normaltextrun"/>
          <w:rFonts w:ascii="Arial" w:hAnsi="Arial" w:cs="Arial"/>
          <w:i/>
          <w:iCs/>
          <w:lang w:val="en-US"/>
        </w:rPr>
        <w:t>Introduction to chemical engineering thermodynamics</w:t>
      </w:r>
      <w:r w:rsidRPr="00375624">
        <w:rPr>
          <w:rStyle w:val="normaltextrun"/>
          <w:rFonts w:ascii="Arial" w:hAnsi="Arial" w:cs="Arial"/>
          <w:shd w:val="clear" w:color="auto" w:fill="FFFFFF"/>
          <w:lang w:val="en-US"/>
        </w:rPr>
        <w:t>. New York, NY: McGraw-Hill Education.</w:t>
      </w:r>
      <w:r w:rsidRPr="001714B0">
        <w:rPr>
          <w:rStyle w:val="eop"/>
          <w:rFonts w:ascii="Arial" w:eastAsiaTheme="minorEastAsia" w:hAnsi="Arial" w:cs="Arial"/>
          <w:lang w:val="en-US"/>
        </w:rPr>
        <w:t> </w:t>
      </w:r>
    </w:p>
    <w:p w:rsidR="00A12C8C" w:rsidRPr="001714B0" w:rsidRDefault="00A12C8C" w:rsidP="00257D10">
      <w:pPr>
        <w:pStyle w:val="paragraph"/>
        <w:numPr>
          <w:ilvl w:val="0"/>
          <w:numId w:val="13"/>
        </w:numPr>
        <w:spacing w:before="0" w:beforeAutospacing="0" w:after="0" w:afterAutospacing="0"/>
        <w:jc w:val="both"/>
        <w:textAlignment w:val="baseline"/>
        <w:rPr>
          <w:rFonts w:ascii="Arial" w:hAnsi="Arial" w:cs="Arial"/>
          <w:lang w:val="en-US"/>
        </w:rPr>
      </w:pPr>
      <w:r w:rsidRPr="00375624">
        <w:rPr>
          <w:rStyle w:val="normaltextrun"/>
          <w:rFonts w:ascii="Arial" w:hAnsi="Arial" w:cs="Arial"/>
          <w:shd w:val="clear" w:color="auto" w:fill="FFFFFF"/>
          <w:lang w:val="en-US"/>
        </w:rPr>
        <w:t>Sripornsawat, B., Saiwari, S., Pichaiyut, S., &amp; Nakason, C. (2016). Influence of ground tire rubber devulcanization conditions on properties of its thermoplastic vulcanizate blends with copolyester. </w:t>
      </w:r>
      <w:r w:rsidRPr="00375624">
        <w:rPr>
          <w:rStyle w:val="normaltextrun"/>
          <w:rFonts w:ascii="Arial" w:hAnsi="Arial" w:cs="Arial"/>
          <w:i/>
          <w:iCs/>
          <w:lang w:val="en-US"/>
        </w:rPr>
        <w:t>European Polymer Journal</w:t>
      </w:r>
      <w:r w:rsidRPr="00375624">
        <w:rPr>
          <w:rStyle w:val="normaltextrun"/>
          <w:rFonts w:ascii="Arial" w:hAnsi="Arial" w:cs="Arial"/>
          <w:shd w:val="clear" w:color="auto" w:fill="FFFFFF"/>
          <w:lang w:val="en-US"/>
        </w:rPr>
        <w:t>, </w:t>
      </w:r>
      <w:r w:rsidRPr="00375624">
        <w:rPr>
          <w:rStyle w:val="normaltextrun"/>
          <w:rFonts w:ascii="Arial" w:hAnsi="Arial" w:cs="Arial"/>
          <w:i/>
          <w:iCs/>
          <w:lang w:val="en-US"/>
        </w:rPr>
        <w:t>85</w:t>
      </w:r>
      <w:r w:rsidRPr="00375624">
        <w:rPr>
          <w:rStyle w:val="normaltextrun"/>
          <w:rFonts w:ascii="Arial" w:hAnsi="Arial" w:cs="Arial"/>
          <w:shd w:val="clear" w:color="auto" w:fill="FFFFFF"/>
          <w:lang w:val="en-US"/>
        </w:rPr>
        <w:t>, 279–297. doi: 10.1016/j.eurpolymj.2016.10.031</w:t>
      </w:r>
      <w:r w:rsidRPr="00375624">
        <w:rPr>
          <w:rStyle w:val="eop"/>
          <w:rFonts w:ascii="Arial" w:eastAsiaTheme="minorEastAsia" w:hAnsi="Arial" w:cs="Arial"/>
          <w:lang w:val="en-US"/>
        </w:rPr>
        <w:t> </w:t>
      </w:r>
    </w:p>
    <w:p w:rsidR="00A12C8C" w:rsidRPr="0080246B" w:rsidRDefault="00A12C8C" w:rsidP="00257D10">
      <w:pPr>
        <w:pStyle w:val="paragraph"/>
        <w:numPr>
          <w:ilvl w:val="0"/>
          <w:numId w:val="13"/>
        </w:numPr>
        <w:spacing w:before="0" w:beforeAutospacing="0" w:after="0" w:afterAutospacing="0"/>
        <w:jc w:val="both"/>
        <w:textAlignment w:val="baseline"/>
        <w:rPr>
          <w:rStyle w:val="eop"/>
          <w:rFonts w:ascii="Arial" w:hAnsi="Arial" w:cs="Arial"/>
        </w:rPr>
      </w:pPr>
      <w:r w:rsidRPr="00375624">
        <w:rPr>
          <w:rStyle w:val="normaltextrun"/>
          <w:rFonts w:ascii="Arial" w:hAnsi="Arial" w:cs="Arial"/>
          <w:lang w:val="en-US"/>
        </w:rPr>
        <w:lastRenderedPageBreak/>
        <w:t>Sutanto, P., Laksmana, F. L., Picchioni, E., Janssen, L. P. B. M., &amp; Picchioni, F. (2006). Modeling on the kinetics of an EPDM devulcanization in an internal batch mixer using an amine as the devulcanizing agent. </w:t>
      </w:r>
      <w:r w:rsidRPr="00375624">
        <w:rPr>
          <w:rStyle w:val="normaltextrun"/>
          <w:rFonts w:ascii="Arial" w:hAnsi="Arial" w:cs="Arial"/>
        </w:rPr>
        <w:t xml:space="preserve">Chemical Engineering Science, 61(19), 6442-6453. </w:t>
      </w:r>
      <w:r w:rsidRPr="0080246B">
        <w:rPr>
          <w:rStyle w:val="normaltextrun"/>
          <w:rFonts w:ascii="Arial" w:hAnsi="Arial" w:cs="Arial"/>
        </w:rPr>
        <w:t>https://doi.org/(...)16/j.ces.2006.05.024</w:t>
      </w:r>
      <w:r w:rsidRPr="00375624">
        <w:rPr>
          <w:rStyle w:val="eop"/>
          <w:rFonts w:ascii="Arial" w:eastAsiaTheme="minorEastAsia" w:hAnsi="Arial" w:cs="Arial"/>
        </w:rPr>
        <w:t> </w:t>
      </w:r>
    </w:p>
    <w:p w:rsidR="00A12C8C" w:rsidRPr="00375624" w:rsidRDefault="00A12C8C" w:rsidP="00A12C8C">
      <w:pPr>
        <w:rPr>
          <w:rFonts w:ascii="Arial" w:hAnsi="Arial" w:cs="Arial"/>
          <w:lang w:val="es-MX"/>
        </w:rPr>
      </w:pPr>
    </w:p>
    <w:p w:rsidR="0049551D" w:rsidRDefault="0049551D" w:rsidP="0049551D"/>
    <w:p w:rsidR="0049551D" w:rsidRDefault="0049551D" w:rsidP="0049551D"/>
    <w:p w:rsidR="00197CC0" w:rsidRPr="00F670A6" w:rsidRDefault="00197CC0" w:rsidP="00197CC0">
      <w:pPr>
        <w:pStyle w:val="Author"/>
        <w:rPr>
          <w:rFonts w:ascii="Arial" w:hAnsi="Arial"/>
          <w:b/>
          <w:kern w:val="1"/>
          <w:sz w:val="28"/>
          <w:lang w:val="es-419"/>
        </w:rPr>
      </w:pPr>
      <w:r>
        <w:rPr>
          <w:rFonts w:ascii="Arial" w:hAnsi="Arial"/>
          <w:b/>
          <w:kern w:val="1"/>
          <w:sz w:val="28"/>
          <w:lang w:val="es-419"/>
        </w:rPr>
        <w:t>Estudio experimental del desempeño catalítico de formulaciones de trialquilaminas utilizadas en el proceso de caja fría (COLDBOX)</w:t>
      </w:r>
    </w:p>
    <w:p w:rsidR="00197CC0" w:rsidRDefault="00197CC0" w:rsidP="00197CC0">
      <w:pPr>
        <w:pStyle w:val="Author"/>
        <w:rPr>
          <w:rFonts w:ascii="Arial" w:hAnsi="Arial" w:cs="Arial"/>
          <w:b/>
          <w:szCs w:val="24"/>
          <w:lang w:val="pt-BR"/>
        </w:rPr>
      </w:pPr>
    </w:p>
    <w:p w:rsidR="00197CC0" w:rsidRPr="00F670A6" w:rsidRDefault="00197CC0" w:rsidP="00197CC0">
      <w:pPr>
        <w:pStyle w:val="Author"/>
        <w:rPr>
          <w:rFonts w:ascii="Arial" w:hAnsi="Arial" w:cs="Arial"/>
          <w:szCs w:val="24"/>
          <w:lang w:val="pt-BR"/>
        </w:rPr>
      </w:pPr>
      <w:r w:rsidRPr="00543726">
        <w:rPr>
          <w:rFonts w:ascii="Arial" w:hAnsi="Arial" w:cs="Arial"/>
          <w:b/>
          <w:szCs w:val="24"/>
          <w:lang w:val="pt-BR"/>
        </w:rPr>
        <w:t>Rosas-Ramírez, F. de J.</w:t>
      </w:r>
      <w:r w:rsidRPr="00F670A6">
        <w:rPr>
          <w:rFonts w:ascii="Arial" w:hAnsi="Arial" w:cs="Arial"/>
          <w:szCs w:val="24"/>
          <w:lang w:val="pt-BR"/>
        </w:rPr>
        <w:t xml:space="preserve">, </w:t>
      </w:r>
      <w:r>
        <w:rPr>
          <w:rFonts w:ascii="Arial" w:hAnsi="Arial" w:cs="Arial"/>
          <w:szCs w:val="24"/>
          <w:lang w:val="pt-BR"/>
        </w:rPr>
        <w:t>Sustaita-Martínez</w:t>
      </w:r>
      <w:r w:rsidRPr="00F670A6">
        <w:rPr>
          <w:rFonts w:ascii="Arial" w:hAnsi="Arial" w:cs="Arial"/>
          <w:szCs w:val="24"/>
          <w:lang w:val="pt-BR"/>
        </w:rPr>
        <w:t xml:space="preserve">, </w:t>
      </w:r>
      <w:r>
        <w:rPr>
          <w:rFonts w:ascii="Arial" w:hAnsi="Arial" w:cs="Arial"/>
          <w:szCs w:val="24"/>
          <w:lang w:val="pt-BR"/>
        </w:rPr>
        <w:t>J.I</w:t>
      </w:r>
      <w:r w:rsidRPr="00F670A6">
        <w:rPr>
          <w:rFonts w:ascii="Arial" w:hAnsi="Arial" w:cs="Arial"/>
          <w:szCs w:val="24"/>
          <w:lang w:val="pt-BR"/>
        </w:rPr>
        <w:t>.,</w:t>
      </w:r>
      <w:r>
        <w:rPr>
          <w:rFonts w:ascii="Arial" w:hAnsi="Arial" w:cs="Arial"/>
          <w:szCs w:val="24"/>
          <w:lang w:val="pt-BR"/>
        </w:rPr>
        <w:t xml:space="preserve"> Macías Valadez-Ávila,</w:t>
      </w:r>
      <w:r w:rsidRPr="00266597">
        <w:rPr>
          <w:rFonts w:ascii="Arial" w:hAnsi="Arial" w:cs="Arial"/>
          <w:szCs w:val="24"/>
          <w:lang w:val="pt-BR"/>
        </w:rPr>
        <w:t xml:space="preserve"> </w:t>
      </w:r>
      <w:r>
        <w:rPr>
          <w:rFonts w:ascii="Arial" w:hAnsi="Arial" w:cs="Arial"/>
          <w:szCs w:val="24"/>
          <w:lang w:val="pt-BR"/>
        </w:rPr>
        <w:t>G</w:t>
      </w:r>
      <w:r w:rsidRPr="00F670A6">
        <w:rPr>
          <w:rFonts w:ascii="Arial" w:hAnsi="Arial" w:cs="Arial"/>
          <w:szCs w:val="24"/>
          <w:lang w:val="pt-BR"/>
        </w:rPr>
        <w:t>.</w:t>
      </w:r>
      <w:r>
        <w:rPr>
          <w:rFonts w:ascii="Arial" w:hAnsi="Arial" w:cs="Arial"/>
          <w:szCs w:val="24"/>
          <w:lang w:val="pt-BR"/>
        </w:rPr>
        <w:t>, Ortega-Romero, C.M., Taxilaga-Pérez J.C.</w:t>
      </w:r>
      <w:r>
        <w:rPr>
          <w:rFonts w:ascii="Arial" w:hAnsi="Arial" w:cs="Arial"/>
          <w:szCs w:val="24"/>
          <w:vertAlign w:val="superscript"/>
          <w:lang w:val="pt-BR"/>
        </w:rPr>
        <w:t>2</w:t>
      </w:r>
      <w:r w:rsidRPr="00F670A6">
        <w:rPr>
          <w:rFonts w:ascii="Arial" w:hAnsi="Arial" w:cs="Arial"/>
          <w:szCs w:val="24"/>
          <w:lang w:val="pt-BR"/>
        </w:rPr>
        <w:t xml:space="preserve">, </w:t>
      </w:r>
      <w:r w:rsidRPr="00F670A6">
        <w:rPr>
          <w:rFonts w:ascii="Arial" w:hAnsi="Arial" w:cs="Arial"/>
          <w:szCs w:val="24"/>
          <w:u w:val="single"/>
          <w:lang w:val="pt-BR"/>
        </w:rPr>
        <w:t>Cruz-Gómez M. J.</w:t>
      </w:r>
      <w:r w:rsidRPr="00F670A6">
        <w:rPr>
          <w:rFonts w:ascii="Arial" w:hAnsi="Arial" w:cs="Arial"/>
          <w:szCs w:val="24"/>
          <w:u w:val="single"/>
          <w:vertAlign w:val="superscript"/>
          <w:lang w:val="pt-BR"/>
        </w:rPr>
        <w:t>1</w:t>
      </w:r>
    </w:p>
    <w:p w:rsidR="00197CC0" w:rsidRPr="00CE25BD" w:rsidRDefault="00197CC0" w:rsidP="00197CC0">
      <w:pPr>
        <w:pStyle w:val="Author"/>
        <w:rPr>
          <w:rFonts w:ascii="Arial" w:hAnsi="Arial" w:cs="Arial"/>
          <w:szCs w:val="24"/>
          <w:lang w:val="es-MX"/>
        </w:rPr>
      </w:pPr>
      <w:r w:rsidRPr="00CE25BD">
        <w:rPr>
          <w:rFonts w:ascii="Arial" w:hAnsi="Arial" w:cs="Arial"/>
          <w:szCs w:val="24"/>
          <w:lang w:val="es-MX"/>
        </w:rPr>
        <w:t>Departamento de Ingeniería Química, Facultad de Química</w:t>
      </w:r>
      <w:r w:rsidRPr="00CE25BD">
        <w:rPr>
          <w:rFonts w:ascii="Arial" w:hAnsi="Arial" w:cs="Arial"/>
          <w:szCs w:val="24"/>
          <w:vertAlign w:val="superscript"/>
          <w:lang w:val="es-MX"/>
        </w:rPr>
        <w:t>1</w:t>
      </w:r>
      <w:r w:rsidRPr="00CE25BD">
        <w:rPr>
          <w:rFonts w:ascii="Arial" w:hAnsi="Arial" w:cs="Arial"/>
          <w:szCs w:val="24"/>
          <w:lang w:val="es-MX"/>
        </w:rPr>
        <w:t xml:space="preserve">, </w:t>
      </w:r>
    </w:p>
    <w:p w:rsidR="00197CC0" w:rsidRPr="00CE25BD" w:rsidRDefault="00197CC0" w:rsidP="00197CC0">
      <w:pPr>
        <w:pStyle w:val="Author"/>
        <w:rPr>
          <w:rFonts w:ascii="Arial" w:hAnsi="Arial" w:cs="Arial"/>
          <w:szCs w:val="24"/>
          <w:lang w:val="es-MX"/>
        </w:rPr>
      </w:pPr>
      <w:r w:rsidRPr="00CE25BD">
        <w:rPr>
          <w:rFonts w:ascii="Arial" w:hAnsi="Arial" w:cs="Arial"/>
          <w:szCs w:val="24"/>
          <w:lang w:val="es-MX"/>
        </w:rPr>
        <w:t xml:space="preserve">Universidad Nacional Autónoma de México (UNAM), Ciudad Universitaria, </w:t>
      </w:r>
    </w:p>
    <w:p w:rsidR="00197CC0" w:rsidRDefault="00197CC0" w:rsidP="00197CC0">
      <w:pPr>
        <w:pStyle w:val="Author"/>
        <w:rPr>
          <w:rFonts w:ascii="Arial" w:hAnsi="Arial" w:cs="Arial"/>
          <w:szCs w:val="24"/>
          <w:lang w:val="es-MX"/>
        </w:rPr>
      </w:pPr>
      <w:r w:rsidRPr="00CE25BD">
        <w:rPr>
          <w:rFonts w:ascii="Arial" w:hAnsi="Arial" w:cs="Arial"/>
          <w:szCs w:val="24"/>
          <w:lang w:val="es-MX"/>
        </w:rPr>
        <w:t>04510 Ciudad de México, México.</w:t>
      </w:r>
    </w:p>
    <w:p w:rsidR="00197CC0" w:rsidRPr="00AC308E" w:rsidRDefault="00197CC0" w:rsidP="00197CC0">
      <w:pPr>
        <w:pStyle w:val="Author"/>
        <w:rPr>
          <w:rFonts w:ascii="Arial" w:hAnsi="Arial" w:cs="Arial"/>
          <w:szCs w:val="24"/>
          <w:lang w:val="es-MX"/>
        </w:rPr>
      </w:pPr>
      <w:r>
        <w:rPr>
          <w:rFonts w:ascii="Arial" w:hAnsi="Arial" w:cs="Arial"/>
          <w:szCs w:val="24"/>
          <w:lang w:val="es-MX"/>
        </w:rPr>
        <w:t>Centro de Desarrollo Tecnológico IDESA, PETRAMIN</w:t>
      </w:r>
      <w:r>
        <w:rPr>
          <w:rFonts w:ascii="Arial" w:hAnsi="Arial" w:cs="Arial"/>
          <w:szCs w:val="24"/>
          <w:vertAlign w:val="superscript"/>
          <w:lang w:val="es-MX"/>
        </w:rPr>
        <w:t>2</w:t>
      </w:r>
      <w:r>
        <w:rPr>
          <w:rFonts w:ascii="Arial" w:hAnsi="Arial" w:cs="Arial"/>
          <w:szCs w:val="24"/>
          <w:lang w:val="es-MX"/>
        </w:rPr>
        <w:t xml:space="preserve">, </w:t>
      </w:r>
      <w:r w:rsidRPr="00AC308E">
        <w:rPr>
          <w:rFonts w:ascii="Arial" w:hAnsi="Arial" w:cs="Arial"/>
          <w:szCs w:val="24"/>
          <w:lang w:val="es-MX"/>
        </w:rPr>
        <w:t>Camino Viejo a Salamanca, Ciudad Industrial, 36541 Irapuato, Gto</w:t>
      </w:r>
      <w:r>
        <w:rPr>
          <w:rFonts w:ascii="Arial" w:hAnsi="Arial" w:cs="Arial"/>
          <w:szCs w:val="24"/>
          <w:lang w:val="es-MX"/>
        </w:rPr>
        <w:t>.</w:t>
      </w:r>
    </w:p>
    <w:p w:rsidR="00197CC0" w:rsidRPr="00F670A6" w:rsidRDefault="00197CC0" w:rsidP="00197CC0">
      <w:pPr>
        <w:pStyle w:val="Author"/>
        <w:rPr>
          <w:rFonts w:ascii="Arial" w:hAnsi="Arial" w:cs="Arial"/>
          <w:lang w:val="pt-BR"/>
        </w:rPr>
      </w:pPr>
      <w:r w:rsidRPr="00F670A6">
        <w:rPr>
          <w:rFonts w:ascii="Arial" w:hAnsi="Arial" w:cs="Arial"/>
          <w:szCs w:val="24"/>
          <w:lang w:val="pt-BR"/>
        </w:rPr>
        <w:t xml:space="preserve">E-mails: </w:t>
      </w:r>
      <w:r w:rsidRPr="00543726">
        <w:rPr>
          <w:rFonts w:ascii="Arial" w:hAnsi="Arial" w:cs="Arial"/>
          <w:b/>
          <w:szCs w:val="24"/>
          <w:lang w:val="pt-BR"/>
        </w:rPr>
        <w:t>iqfer_rosas@hotmail.com</w:t>
      </w:r>
      <w:r w:rsidRPr="00F670A6">
        <w:rPr>
          <w:rFonts w:ascii="Arial" w:hAnsi="Arial" w:cs="Arial"/>
          <w:szCs w:val="24"/>
          <w:lang w:val="pt-BR"/>
        </w:rPr>
        <w:t xml:space="preserve">, </w:t>
      </w:r>
      <w:r w:rsidRPr="00AC308E">
        <w:rPr>
          <w:rFonts w:ascii="Arial" w:hAnsi="Arial" w:cs="Arial"/>
          <w:szCs w:val="24"/>
          <w:lang w:val="pt-BR"/>
        </w:rPr>
        <w:t>jsustaita@idesa.com.mx</w:t>
      </w:r>
      <w:r>
        <w:rPr>
          <w:rFonts w:ascii="Arial" w:hAnsi="Arial" w:cs="Arial"/>
          <w:szCs w:val="24"/>
          <w:lang w:val="pt-BR"/>
        </w:rPr>
        <w:t xml:space="preserve">, carlos.ort.rom@gmail.com, </w:t>
      </w:r>
      <w:r w:rsidRPr="00AC308E">
        <w:rPr>
          <w:rFonts w:ascii="Arial" w:hAnsi="Arial" w:cs="Arial"/>
          <w:lang w:val="pt-BR"/>
        </w:rPr>
        <w:t>ger97@live.com.mx</w:t>
      </w:r>
      <w:r w:rsidRPr="00F670A6">
        <w:rPr>
          <w:rFonts w:ascii="Arial" w:hAnsi="Arial" w:cs="Arial"/>
          <w:szCs w:val="24"/>
          <w:lang w:val="pt-BR"/>
        </w:rPr>
        <w:t>,</w:t>
      </w:r>
    </w:p>
    <w:p w:rsidR="00197CC0" w:rsidRPr="004C5DFC" w:rsidRDefault="00197CC0" w:rsidP="00197CC0">
      <w:pPr>
        <w:pStyle w:val="Author"/>
        <w:rPr>
          <w:rFonts w:ascii="Arial" w:hAnsi="Arial" w:cs="Arial"/>
          <w:szCs w:val="24"/>
          <w:vertAlign w:val="superscript"/>
          <w:lang w:val="es-MX"/>
        </w:rPr>
      </w:pPr>
      <w:r w:rsidRPr="00AC308E">
        <w:rPr>
          <w:rFonts w:ascii="Arial" w:hAnsi="Arial" w:cs="Arial"/>
          <w:lang w:val="es-MX"/>
        </w:rPr>
        <w:t>jtaxilaga@idesa.com.mx</w:t>
      </w:r>
      <w:r>
        <w:rPr>
          <w:rFonts w:ascii="Arial" w:hAnsi="Arial" w:cs="Arial"/>
          <w:vertAlign w:val="superscript"/>
          <w:lang w:val="es-MX"/>
        </w:rPr>
        <w:t>2</w:t>
      </w:r>
      <w:r w:rsidRPr="00CE25BD">
        <w:rPr>
          <w:rFonts w:ascii="Arial" w:hAnsi="Arial" w:cs="Arial"/>
          <w:szCs w:val="24"/>
          <w:lang w:val="es-MX"/>
        </w:rPr>
        <w:t xml:space="preserve"> y </w:t>
      </w:r>
      <w:r w:rsidRPr="00543726">
        <w:rPr>
          <w:rFonts w:ascii="Arial" w:hAnsi="Arial" w:cs="Arial"/>
          <w:szCs w:val="24"/>
          <w:u w:val="single"/>
          <w:lang w:val="es-MX"/>
        </w:rPr>
        <w:t>mjcg@unam.mx</w:t>
      </w:r>
      <w:r w:rsidRPr="00543726">
        <w:rPr>
          <w:rFonts w:ascii="Arial" w:hAnsi="Arial" w:cs="Arial"/>
          <w:szCs w:val="24"/>
          <w:u w:val="single"/>
          <w:vertAlign w:val="superscript"/>
          <w:lang w:val="es-MX"/>
        </w:rPr>
        <w:t>1</w:t>
      </w:r>
    </w:p>
    <w:p w:rsidR="00197CC0" w:rsidRPr="00197CC0" w:rsidRDefault="00197CC0" w:rsidP="00197CC0">
      <w:pPr>
        <w:pStyle w:val="Author"/>
        <w:rPr>
          <w:rFonts w:ascii="Arial" w:hAnsi="Arial" w:cs="Arial"/>
          <w:sz w:val="24"/>
          <w:szCs w:val="24"/>
          <w:lang w:val="es-MX"/>
        </w:rPr>
      </w:pPr>
    </w:p>
    <w:p w:rsidR="00197CC0" w:rsidRPr="00197CC0" w:rsidRDefault="00197CC0" w:rsidP="00197CC0">
      <w:pPr>
        <w:pStyle w:val="Ttulo1"/>
        <w:keepLines w:val="0"/>
        <w:numPr>
          <w:ilvl w:val="0"/>
          <w:numId w:val="1"/>
        </w:numPr>
        <w:tabs>
          <w:tab w:val="clear" w:pos="432"/>
          <w:tab w:val="left" w:pos="0"/>
        </w:tabs>
        <w:spacing w:before="0" w:after="0" w:line="276" w:lineRule="auto"/>
        <w:ind w:left="0" w:firstLine="0"/>
        <w:jc w:val="both"/>
        <w:rPr>
          <w:rFonts w:ascii="Arial" w:hAnsi="Arial" w:cs="Arial"/>
          <w:i/>
          <w:color w:val="000000"/>
          <w:sz w:val="24"/>
          <w:szCs w:val="24"/>
        </w:rPr>
      </w:pPr>
      <w:bookmarkStart w:id="54" w:name="_Toc50031187"/>
      <w:r w:rsidRPr="00197CC0">
        <w:rPr>
          <w:rFonts w:ascii="Arial" w:hAnsi="Arial" w:cs="Arial"/>
          <w:i/>
          <w:caps/>
          <w:sz w:val="24"/>
          <w:szCs w:val="24"/>
        </w:rPr>
        <w:t>1. Resumen</w:t>
      </w:r>
      <w:bookmarkEnd w:id="54"/>
      <w:r w:rsidRPr="00197CC0">
        <w:rPr>
          <w:rFonts w:ascii="Arial" w:hAnsi="Arial" w:cs="Arial"/>
          <w:i/>
          <w:caps/>
          <w:sz w:val="24"/>
          <w:szCs w:val="24"/>
        </w:rPr>
        <w:t xml:space="preserve"> </w:t>
      </w:r>
    </w:p>
    <w:p w:rsidR="00197CC0" w:rsidRDefault="00197CC0" w:rsidP="00197CC0">
      <w:pPr>
        <w:rPr>
          <w:rFonts w:ascii="Arial" w:hAnsi="Arial" w:cs="Arial"/>
          <w:color w:val="000000"/>
        </w:rPr>
      </w:pPr>
      <w:r>
        <w:rPr>
          <w:rFonts w:ascii="Arial" w:hAnsi="Arial" w:cs="Arial"/>
          <w:color w:val="000000"/>
        </w:rPr>
        <w:t xml:space="preserve">Atender las nuevas demandas en el mercado, así como la constante investigación de los productos que se desarrollan para la industria, son clave para tener una dinámica constructiva con los nuevos y los actuales clientes. La meta del presente trabajo es generar conocimiento técnico a partir de investigación aplicada. El proceso de COLDBOX es utilizado ampliamente y aunque ya es plenamente conocido en su fundamento desde el siglo pasado, en los últimos 20 años han surgido fuertes cambios sobre todo en la innovación de resinas de poliol/poliisocianato y en las formulaciones de catalizadores amínicos. Dichas mejoras, persiguen mayores y mejores procesos de producción, optimizados en términos de calidad, tiempo, desempeño, etc. En el presente trabajo se reportan los resultados de resistencias a la tracción (cuyo parámetro está directamente relacionado con la calidad del molde y el desempeño catalítico), obtenidos de probetas hechas a nivel laboratorio a través del proceso COLDBOX, utilizando 4 formulaciones de </w:t>
      </w:r>
      <w:r w:rsidRPr="00B62188">
        <w:rPr>
          <w:rFonts w:ascii="Arial" w:hAnsi="Arial" w:cs="Arial"/>
        </w:rPr>
        <w:t xml:space="preserve">catalizadores petramin 1, petramin 2, petramin 3 y petramin 4, así como dos proveedores de resinas (A y B). Las </w:t>
      </w:r>
      <w:r w:rsidRPr="00B62188">
        <w:rPr>
          <w:rFonts w:ascii="Arial" w:hAnsi="Arial" w:cs="Arial"/>
        </w:rPr>
        <w:lastRenderedPageBreak/>
        <w:t>evidencias muestran que el desempeño catalítico de petramin 1 es ligeramente mejor que todas, incluso su sinergia con petramin 3 y petramin 4 es aceptable (para el proveedor</w:t>
      </w:r>
      <w:r>
        <w:rPr>
          <w:rFonts w:ascii="Arial" w:hAnsi="Arial" w:cs="Arial"/>
          <w:color w:val="000000"/>
        </w:rPr>
        <w:t xml:space="preserve"> A). Las resinas del proveedor A mostraron mejores resultados respecto del proveedor B, en cualquier caso de estudio. Estos comportamientos se observaron para cantidades de resinas del 1.3 y 1.5 %, cuyos porcentajes son los que usualmente se manejan a nivel industrial, para cubrir las demandas de resistencia de los diferentes moldes automotrices. La relación poliol/poliisocianato para obtener mejores resistencias, debe ser 50/50 en peso. Las caracterizaciones hechas con SEM de las probetas, confirman el mejor funcionamiento de petramin 1. Las caracterizaciones de resistencia a la tracción y de pesos moleculares (vía GPC) hechas a probetas de poliuretano del proveedor A sin arena, revelan que el sistema reactivo de la síntesis de poliuretano es totalmente diferente en presencia de arena y que para el proceso de COLDBOX se requiere de un catalizador que genere cadenas poliméricas relativamente grandes y con cierta dispersión para que sea efectivo el proceso de aglutinación.</w:t>
      </w:r>
    </w:p>
    <w:p w:rsidR="00197CC0" w:rsidRPr="00197CC0" w:rsidRDefault="00197CC0" w:rsidP="00197CC0">
      <w:pPr>
        <w:pStyle w:val="Ttulo1"/>
        <w:keepLines w:val="0"/>
        <w:numPr>
          <w:ilvl w:val="0"/>
          <w:numId w:val="1"/>
        </w:numPr>
        <w:tabs>
          <w:tab w:val="clear" w:pos="432"/>
          <w:tab w:val="left" w:pos="0"/>
        </w:tabs>
        <w:spacing w:before="0" w:after="0" w:line="276" w:lineRule="auto"/>
        <w:ind w:left="0" w:firstLine="0"/>
        <w:jc w:val="both"/>
        <w:rPr>
          <w:sz w:val="24"/>
          <w:szCs w:val="24"/>
        </w:rPr>
      </w:pPr>
      <w:bookmarkStart w:id="55" w:name="_Toc50031188"/>
      <w:r w:rsidRPr="00197CC0">
        <w:rPr>
          <w:rFonts w:ascii="Arial" w:hAnsi="Arial" w:cs="Arial"/>
          <w:caps/>
          <w:sz w:val="24"/>
          <w:szCs w:val="24"/>
        </w:rPr>
        <w:t>2. Introducción</w:t>
      </w:r>
      <w:bookmarkEnd w:id="55"/>
      <w:r w:rsidRPr="00197CC0">
        <w:rPr>
          <w:rFonts w:ascii="Arial" w:hAnsi="Arial" w:cs="Arial"/>
          <w:caps/>
          <w:sz w:val="24"/>
          <w:szCs w:val="24"/>
        </w:rPr>
        <w:t xml:space="preserve"> </w:t>
      </w:r>
    </w:p>
    <w:p w:rsidR="00197CC0" w:rsidRPr="00CE25BD" w:rsidRDefault="00197CC0" w:rsidP="00197CC0">
      <w:pPr>
        <w:rPr>
          <w:rFonts w:ascii="Arial" w:hAnsi="Arial" w:cs="Arial"/>
          <w:color w:val="000000"/>
        </w:rPr>
      </w:pPr>
      <w:r w:rsidRPr="000506A6">
        <w:rPr>
          <w:rFonts w:ascii="Arial" w:hAnsi="Arial" w:cs="Arial"/>
          <w:color w:val="000000"/>
        </w:rPr>
        <w:t>La industria automotriz es una de las industrias más dinámicas y competitivas de México y de las que más aporta al crecimiento económico y a la generación de divisas</w:t>
      </w:r>
      <w:r>
        <w:rPr>
          <w:rFonts w:ascii="Arial" w:hAnsi="Arial" w:cs="Arial"/>
          <w:color w:val="000000"/>
        </w:rPr>
        <w:t>. Según datos del 2019, a</w:t>
      </w:r>
      <w:r w:rsidRPr="000506A6">
        <w:rPr>
          <w:rFonts w:ascii="Arial" w:hAnsi="Arial" w:cs="Arial"/>
          <w:color w:val="000000"/>
        </w:rPr>
        <w:t xml:space="preserve">proximadamente el sector aporta el 3% del Producto Interno Bruto (PIB) nacional y </w:t>
      </w:r>
      <w:r>
        <w:rPr>
          <w:rFonts w:ascii="Arial" w:hAnsi="Arial" w:cs="Arial"/>
          <w:color w:val="000000"/>
        </w:rPr>
        <w:t>20.7</w:t>
      </w:r>
      <w:r w:rsidRPr="000506A6">
        <w:rPr>
          <w:rFonts w:ascii="Arial" w:hAnsi="Arial" w:cs="Arial"/>
          <w:color w:val="000000"/>
        </w:rPr>
        <w:t>% del PIB manufacture</w:t>
      </w:r>
      <w:r>
        <w:rPr>
          <w:rFonts w:ascii="Arial" w:hAnsi="Arial" w:cs="Arial"/>
          <w:color w:val="000000"/>
        </w:rPr>
        <w:t>ro, genera divisas por más de 88</w:t>
      </w:r>
      <w:r w:rsidRPr="000506A6">
        <w:rPr>
          <w:rFonts w:ascii="Arial" w:hAnsi="Arial" w:cs="Arial"/>
          <w:color w:val="000000"/>
        </w:rPr>
        <w:t>,000 millones de dólares al año, y es responsable de alrededor de 900,000 empleos directos en todo el país</w:t>
      </w:r>
      <w:r>
        <w:rPr>
          <w:rFonts w:ascii="Arial" w:hAnsi="Arial" w:cs="Arial"/>
          <w:color w:val="000000"/>
        </w:rPr>
        <w:t>, a pesar de sufrir una fuerte caída del mercado respecto del 2018</w:t>
      </w:r>
      <w:r w:rsidRPr="000506A6">
        <w:rPr>
          <w:rFonts w:ascii="Arial" w:hAnsi="Arial" w:cs="Arial"/>
          <w:color w:val="000000"/>
        </w:rPr>
        <w:t xml:space="preserve">. </w:t>
      </w:r>
      <w:r>
        <w:rPr>
          <w:rFonts w:ascii="Arial" w:hAnsi="Arial" w:cs="Arial"/>
          <w:color w:val="000000"/>
        </w:rPr>
        <w:t>México se mantiene</w:t>
      </w:r>
      <w:r w:rsidRPr="000506A6">
        <w:rPr>
          <w:rFonts w:ascii="Arial" w:hAnsi="Arial" w:cs="Arial"/>
          <w:color w:val="000000"/>
        </w:rPr>
        <w:t xml:space="preserve"> como el primer lugar en exportación de tractocamiones en el mundo, por arriba de Alemania que hasta 2013 era el principal generador mundial de este tipo de vehículos</w:t>
      </w:r>
      <w:r>
        <w:rPr>
          <w:rFonts w:ascii="Arial" w:hAnsi="Arial" w:cs="Arial"/>
          <w:color w:val="000000"/>
        </w:rPr>
        <w:t xml:space="preserve"> y se ubica como el sexto productor de vehículos en el mundo (AMIA, 2019). </w:t>
      </w:r>
      <w:r w:rsidRPr="000506A6">
        <w:rPr>
          <w:rFonts w:ascii="Arial" w:hAnsi="Arial" w:cs="Arial"/>
          <w:color w:val="000000"/>
        </w:rPr>
        <w:t>Uno de los procesos de moldeo más utilizado en la industria automotriz para la fabricación de motores es el proceso de caja fría de poliuretano (PUCB, por sus siglas en inglés), debido a que es un método de alto rendimiento, especialmente apto para la producción de grandes series de piezas fundidas, y se caracteriza por la alta fiabilidad y productividad que ofrece, además de que proporciona mayor calidad en comparación con otros procesos de moldeo (Aguirre Rojo, 2013).</w:t>
      </w:r>
      <w:r>
        <w:rPr>
          <w:rFonts w:ascii="Arial" w:hAnsi="Arial" w:cs="Arial"/>
          <w:color w:val="000000"/>
        </w:rPr>
        <w:t xml:space="preserve"> </w:t>
      </w:r>
      <w:r w:rsidRPr="000506A6">
        <w:rPr>
          <w:rFonts w:ascii="Arial" w:hAnsi="Arial" w:cs="Arial"/>
          <w:color w:val="000000"/>
        </w:rPr>
        <w:t>De manera general, el proceso PUCB consiste en un sistema de 3 partes: arena, resina</w:t>
      </w:r>
      <w:r>
        <w:rPr>
          <w:rFonts w:ascii="Arial" w:hAnsi="Arial" w:cs="Arial"/>
          <w:color w:val="000000"/>
        </w:rPr>
        <w:t>s</w:t>
      </w:r>
      <w:r w:rsidRPr="000506A6">
        <w:rPr>
          <w:rFonts w:ascii="Arial" w:hAnsi="Arial" w:cs="Arial"/>
          <w:color w:val="000000"/>
        </w:rPr>
        <w:t xml:space="preserve"> y un catalizador. Primero, se prepara una mezcla de arena y resina, donde la función de la</w:t>
      </w:r>
      <w:r>
        <w:rPr>
          <w:rFonts w:ascii="Arial" w:hAnsi="Arial" w:cs="Arial"/>
          <w:color w:val="000000"/>
        </w:rPr>
        <w:t>s</w:t>
      </w:r>
      <w:r w:rsidRPr="000506A6">
        <w:rPr>
          <w:rFonts w:ascii="Arial" w:hAnsi="Arial" w:cs="Arial"/>
          <w:color w:val="000000"/>
        </w:rPr>
        <w:t xml:space="preserve"> resina</w:t>
      </w:r>
      <w:r>
        <w:rPr>
          <w:rFonts w:ascii="Arial" w:hAnsi="Arial" w:cs="Arial"/>
          <w:color w:val="000000"/>
        </w:rPr>
        <w:t>s</w:t>
      </w:r>
      <w:r w:rsidRPr="000506A6">
        <w:rPr>
          <w:rFonts w:ascii="Arial" w:hAnsi="Arial" w:cs="Arial"/>
          <w:color w:val="000000"/>
        </w:rPr>
        <w:t xml:space="preserve"> es endurecer los moldes y corazones de arena fabricados por este proceso. La mezcla de arena con resina</w:t>
      </w:r>
      <w:r>
        <w:rPr>
          <w:rFonts w:ascii="Arial" w:hAnsi="Arial" w:cs="Arial"/>
          <w:color w:val="000000"/>
        </w:rPr>
        <w:t>s</w:t>
      </w:r>
      <w:r w:rsidRPr="000506A6">
        <w:rPr>
          <w:rFonts w:ascii="Arial" w:hAnsi="Arial" w:cs="Arial"/>
          <w:color w:val="000000"/>
        </w:rPr>
        <w:t xml:space="preserve"> necesita de un agente de curado, que en este caso corresponde a una amina terciaria la cual actúa como catalizador. Esta amina terciaria, se </w:t>
      </w:r>
      <w:r>
        <w:rPr>
          <w:rFonts w:ascii="Arial" w:hAnsi="Arial" w:cs="Arial"/>
          <w:color w:val="000000"/>
        </w:rPr>
        <w:t>gasifica</w:t>
      </w:r>
      <w:r w:rsidRPr="000506A6">
        <w:rPr>
          <w:rFonts w:ascii="Arial" w:hAnsi="Arial" w:cs="Arial"/>
          <w:color w:val="000000"/>
        </w:rPr>
        <w:t xml:space="preserve"> a la mezcla de arena para acelerar la velocidad de curado, es decir, cuando el </w:t>
      </w:r>
      <w:r>
        <w:rPr>
          <w:rFonts w:ascii="Arial" w:hAnsi="Arial" w:cs="Arial"/>
          <w:color w:val="000000"/>
        </w:rPr>
        <w:t xml:space="preserve">poli </w:t>
      </w:r>
      <w:r w:rsidRPr="000506A6">
        <w:rPr>
          <w:rFonts w:ascii="Arial" w:hAnsi="Arial" w:cs="Arial"/>
          <w:color w:val="000000"/>
        </w:rPr>
        <w:t>isocianato entra en contacto con el poliol, la acción catalítica de la amina inicia la reacción que conduce a la formación de un</w:t>
      </w:r>
      <w:r>
        <w:rPr>
          <w:rFonts w:ascii="Arial" w:hAnsi="Arial" w:cs="Arial"/>
          <w:color w:val="000000"/>
        </w:rPr>
        <w:t xml:space="preserve"> producto</w:t>
      </w:r>
      <w:r w:rsidRPr="000506A6">
        <w:rPr>
          <w:rFonts w:ascii="Arial" w:hAnsi="Arial" w:cs="Arial"/>
          <w:color w:val="000000"/>
        </w:rPr>
        <w:t xml:space="preserve"> sólid</w:t>
      </w:r>
      <w:r>
        <w:rPr>
          <w:rFonts w:ascii="Arial" w:hAnsi="Arial" w:cs="Arial"/>
          <w:color w:val="000000"/>
        </w:rPr>
        <w:t>o</w:t>
      </w:r>
      <w:r w:rsidRPr="000506A6">
        <w:rPr>
          <w:rFonts w:ascii="Arial" w:hAnsi="Arial" w:cs="Arial"/>
          <w:color w:val="000000"/>
        </w:rPr>
        <w:t xml:space="preserve"> de poliuretano, que es la responsable de unir los granos de arena en el molde (Martin &amp; William R. Dunnavant, 1981).</w:t>
      </w:r>
      <w:r>
        <w:rPr>
          <w:rFonts w:ascii="Arial" w:hAnsi="Arial" w:cs="Arial"/>
          <w:color w:val="000000"/>
        </w:rPr>
        <w:t xml:space="preserve"> Diversas formulaciones como petramin 1, 2, 3 y 4, </w:t>
      </w:r>
      <w:r w:rsidRPr="000506A6">
        <w:rPr>
          <w:rFonts w:ascii="Arial" w:hAnsi="Arial" w:cs="Arial"/>
          <w:color w:val="000000"/>
        </w:rPr>
        <w:t xml:space="preserve">son producidas en PETRAMIN mediante reacciones catalíticas heterogéneas. </w:t>
      </w:r>
      <w:r>
        <w:rPr>
          <w:rFonts w:ascii="Arial" w:hAnsi="Arial" w:cs="Arial"/>
          <w:color w:val="000000"/>
        </w:rPr>
        <w:t>El objetivo del presente trabajo es evaluar experimentalmente y a nivel laboratorio, la capacidad catalítica de algunas formulaciones desarrolladas con trialquilaminas, en la reacción de síntesis de poliuretano para el proceso COLDBOX.</w:t>
      </w:r>
      <w:r w:rsidRPr="000506A6">
        <w:rPr>
          <w:rFonts w:ascii="Arial" w:hAnsi="Arial" w:cs="Arial"/>
          <w:color w:val="000000"/>
        </w:rPr>
        <w:t xml:space="preserve"> PETRAMIN S.A. de C.V. es una empresa que siempre busca nuevas áreas de </w:t>
      </w:r>
      <w:r>
        <w:rPr>
          <w:rFonts w:ascii="Arial" w:hAnsi="Arial" w:cs="Arial"/>
          <w:color w:val="000000"/>
        </w:rPr>
        <w:t>desarrollo e investigación aplicadas</w:t>
      </w:r>
      <w:r w:rsidRPr="000506A6">
        <w:rPr>
          <w:rFonts w:ascii="Arial" w:hAnsi="Arial" w:cs="Arial"/>
          <w:color w:val="000000"/>
        </w:rPr>
        <w:t xml:space="preserve"> que le permitan diversificar su mercado, innovar en ideas </w:t>
      </w:r>
      <w:r>
        <w:rPr>
          <w:rFonts w:ascii="Arial" w:hAnsi="Arial" w:cs="Arial"/>
          <w:color w:val="000000"/>
        </w:rPr>
        <w:t xml:space="preserve">prácticas </w:t>
      </w:r>
      <w:r w:rsidRPr="000506A6">
        <w:rPr>
          <w:rFonts w:ascii="Arial" w:hAnsi="Arial" w:cs="Arial"/>
          <w:color w:val="000000"/>
        </w:rPr>
        <w:t xml:space="preserve">y mantenerse a la vanguardia, mediante </w:t>
      </w:r>
      <w:r>
        <w:rPr>
          <w:rFonts w:ascii="Arial" w:hAnsi="Arial" w:cs="Arial"/>
          <w:color w:val="000000"/>
        </w:rPr>
        <w:t>el conocimiento profundo en</w:t>
      </w:r>
      <w:r w:rsidRPr="000506A6">
        <w:rPr>
          <w:rFonts w:ascii="Arial" w:hAnsi="Arial" w:cs="Arial"/>
          <w:color w:val="000000"/>
        </w:rPr>
        <w:t xml:space="preserve"> el uso de sus </w:t>
      </w:r>
      <w:r w:rsidRPr="000506A6">
        <w:rPr>
          <w:rFonts w:ascii="Arial" w:hAnsi="Arial" w:cs="Arial"/>
          <w:color w:val="000000"/>
        </w:rPr>
        <w:lastRenderedPageBreak/>
        <w:t xml:space="preserve">productos que cubran con las necesidades de sus clientes, sin dejar a un lado </w:t>
      </w:r>
      <w:r>
        <w:rPr>
          <w:rFonts w:ascii="Arial" w:hAnsi="Arial" w:cs="Arial"/>
          <w:color w:val="000000"/>
        </w:rPr>
        <w:t xml:space="preserve">su compromiso </w:t>
      </w:r>
      <w:r w:rsidRPr="000506A6">
        <w:rPr>
          <w:rFonts w:ascii="Arial" w:hAnsi="Arial" w:cs="Arial"/>
          <w:color w:val="000000"/>
        </w:rPr>
        <w:t>social y ambiental.</w:t>
      </w:r>
      <w:r>
        <w:rPr>
          <w:rFonts w:ascii="Arial" w:hAnsi="Arial" w:cs="Arial"/>
          <w:color w:val="000000"/>
        </w:rPr>
        <w:t xml:space="preserve"> </w:t>
      </w:r>
    </w:p>
    <w:p w:rsidR="00197CC0" w:rsidRPr="00CE25BD" w:rsidRDefault="00197CC0" w:rsidP="00197CC0">
      <w:pPr>
        <w:rPr>
          <w:rFonts w:ascii="Arial" w:hAnsi="Arial" w:cs="Arial"/>
          <w:color w:val="000000"/>
        </w:rPr>
      </w:pPr>
    </w:p>
    <w:p w:rsidR="00197CC0" w:rsidRPr="00197CC0" w:rsidRDefault="00197CC0" w:rsidP="00197CC0">
      <w:pPr>
        <w:pStyle w:val="Ttulo1"/>
        <w:keepLines w:val="0"/>
        <w:numPr>
          <w:ilvl w:val="0"/>
          <w:numId w:val="1"/>
        </w:numPr>
        <w:tabs>
          <w:tab w:val="clear" w:pos="432"/>
          <w:tab w:val="left" w:pos="0"/>
        </w:tabs>
        <w:spacing w:before="0" w:after="0" w:line="276" w:lineRule="auto"/>
        <w:ind w:left="0" w:firstLine="0"/>
        <w:jc w:val="both"/>
        <w:rPr>
          <w:rFonts w:ascii="Arial" w:hAnsi="Arial" w:cs="Arial"/>
          <w:sz w:val="24"/>
          <w:szCs w:val="24"/>
        </w:rPr>
      </w:pPr>
      <w:bookmarkStart w:id="56" w:name="_Toc50031189"/>
      <w:r w:rsidRPr="00197CC0">
        <w:rPr>
          <w:rFonts w:ascii="Arial" w:hAnsi="Arial" w:cs="Arial"/>
          <w:caps/>
          <w:sz w:val="24"/>
          <w:szCs w:val="24"/>
        </w:rPr>
        <w:t>3. METODOLOGÍa de experimentación</w:t>
      </w:r>
      <w:bookmarkEnd w:id="56"/>
      <w:r w:rsidRPr="00197CC0">
        <w:rPr>
          <w:rFonts w:ascii="Arial" w:hAnsi="Arial" w:cs="Arial"/>
          <w:caps/>
          <w:sz w:val="24"/>
          <w:szCs w:val="24"/>
        </w:rPr>
        <w:t xml:space="preserve"> </w:t>
      </w:r>
    </w:p>
    <w:p w:rsidR="00197CC0" w:rsidRDefault="00197CC0" w:rsidP="00197CC0">
      <w:pPr>
        <w:pStyle w:val="Textoindependiente"/>
        <w:rPr>
          <w:rFonts w:ascii="Arial" w:hAnsi="Arial" w:cs="Arial"/>
          <w:b w:val="0"/>
          <w:sz w:val="24"/>
        </w:rPr>
      </w:pPr>
      <w:r w:rsidRPr="004E3BFD">
        <w:rPr>
          <w:rFonts w:ascii="Arial" w:hAnsi="Arial" w:cs="Arial"/>
          <w:b w:val="0"/>
          <w:sz w:val="24"/>
        </w:rPr>
        <w:t xml:space="preserve">Para </w:t>
      </w:r>
      <w:r>
        <w:rPr>
          <w:rFonts w:ascii="Arial" w:hAnsi="Arial" w:cs="Arial"/>
          <w:b w:val="0"/>
          <w:sz w:val="24"/>
        </w:rPr>
        <w:t xml:space="preserve">el desarrollo experimental, se realizaron cargas de 600 </w:t>
      </w:r>
      <w:r w:rsidRPr="00ED4373">
        <w:rPr>
          <w:rFonts w:ascii="Arial" w:hAnsi="Arial" w:cs="Arial"/>
          <w:b w:val="0"/>
          <w:sz w:val="24"/>
        </w:rPr>
        <w:t>a 800 g</w:t>
      </w:r>
      <w:r>
        <w:rPr>
          <w:rFonts w:ascii="Arial" w:hAnsi="Arial" w:cs="Arial"/>
          <w:b w:val="0"/>
          <w:sz w:val="24"/>
        </w:rPr>
        <w:t xml:space="preserve"> de mezcla (arena y resinas). Con dicha cantidad fue posible fabricar hasta 5 probetas, a las que se les midió su resistencia a la tracción, cada 15 minutos (0, 15, 30, 45 y 60 min). La metodología de trabajo se orientó a los siguientes puntos de interés:</w:t>
      </w:r>
    </w:p>
    <w:p w:rsidR="00197CC0" w:rsidRDefault="00197CC0" w:rsidP="00197CC0">
      <w:pPr>
        <w:pStyle w:val="Textoindependiente"/>
        <w:rPr>
          <w:rFonts w:ascii="Arial" w:hAnsi="Arial" w:cs="Arial"/>
          <w:b w:val="0"/>
          <w:sz w:val="24"/>
        </w:rPr>
      </w:pPr>
    </w:p>
    <w:p w:rsidR="00197CC0" w:rsidRDefault="00197CC0" w:rsidP="00257D10">
      <w:pPr>
        <w:pStyle w:val="Textoindependiente"/>
        <w:numPr>
          <w:ilvl w:val="0"/>
          <w:numId w:val="23"/>
        </w:numPr>
        <w:spacing w:after="0" w:line="240" w:lineRule="auto"/>
        <w:jc w:val="both"/>
        <w:rPr>
          <w:rFonts w:ascii="Arial" w:hAnsi="Arial" w:cs="Arial"/>
          <w:b w:val="0"/>
          <w:sz w:val="24"/>
        </w:rPr>
      </w:pPr>
      <w:r>
        <w:rPr>
          <w:rFonts w:ascii="Arial" w:hAnsi="Arial" w:cs="Arial"/>
          <w:b w:val="0"/>
          <w:sz w:val="24"/>
        </w:rPr>
        <w:t xml:space="preserve">Cantidad mínima de catalizador requerida </w:t>
      </w:r>
      <w:r w:rsidRPr="003C5769">
        <w:rPr>
          <w:rFonts w:ascii="Arial" w:hAnsi="Arial" w:cs="Arial"/>
          <w:b w:val="0"/>
          <w:sz w:val="24"/>
        </w:rPr>
        <w:t>para fabricar una pr</w:t>
      </w:r>
      <w:r>
        <w:rPr>
          <w:rFonts w:ascii="Arial" w:hAnsi="Arial" w:cs="Arial"/>
          <w:b w:val="0"/>
          <w:sz w:val="24"/>
        </w:rPr>
        <w:t>obeta completa que no presente</w:t>
      </w:r>
      <w:r w:rsidRPr="003C5769">
        <w:rPr>
          <w:rFonts w:ascii="Arial" w:hAnsi="Arial" w:cs="Arial"/>
          <w:b w:val="0"/>
          <w:sz w:val="24"/>
        </w:rPr>
        <w:t xml:space="preserve"> defectos </w:t>
      </w:r>
      <w:r>
        <w:rPr>
          <w:rFonts w:ascii="Arial" w:hAnsi="Arial" w:cs="Arial"/>
          <w:b w:val="0"/>
          <w:sz w:val="24"/>
        </w:rPr>
        <w:t>visiblemente externos.</w:t>
      </w:r>
    </w:p>
    <w:p w:rsidR="00197CC0" w:rsidRDefault="00197CC0" w:rsidP="00257D10">
      <w:pPr>
        <w:pStyle w:val="Textoindependiente"/>
        <w:numPr>
          <w:ilvl w:val="0"/>
          <w:numId w:val="23"/>
        </w:numPr>
        <w:spacing w:after="0" w:line="240" w:lineRule="auto"/>
        <w:jc w:val="both"/>
        <w:rPr>
          <w:rFonts w:ascii="Arial" w:hAnsi="Arial" w:cs="Arial"/>
          <w:b w:val="0"/>
          <w:sz w:val="24"/>
        </w:rPr>
      </w:pPr>
      <w:r>
        <w:rPr>
          <w:rFonts w:ascii="Arial" w:hAnsi="Arial" w:cs="Arial"/>
          <w:b w:val="0"/>
          <w:sz w:val="24"/>
        </w:rPr>
        <w:t xml:space="preserve">Comparación del desempeño de resistencias comparando 1.3 y 1.5 % de resina total para distintos catalizadores a una misma concentración. </w:t>
      </w:r>
    </w:p>
    <w:p w:rsidR="00197CC0" w:rsidRDefault="00197CC0" w:rsidP="00257D10">
      <w:pPr>
        <w:numPr>
          <w:ilvl w:val="0"/>
          <w:numId w:val="23"/>
        </w:numPr>
        <w:spacing w:after="0" w:line="240" w:lineRule="auto"/>
        <w:jc w:val="both"/>
        <w:rPr>
          <w:rFonts w:ascii="Arial" w:hAnsi="Arial" w:cs="Arial"/>
          <w:bCs/>
        </w:rPr>
      </w:pPr>
      <w:r w:rsidRPr="00751180">
        <w:rPr>
          <w:rFonts w:ascii="Arial" w:hAnsi="Arial" w:cs="Arial"/>
        </w:rPr>
        <w:t>Comparación del desempeño de resistencias v</w:t>
      </w:r>
      <w:r w:rsidRPr="00751180">
        <w:rPr>
          <w:rFonts w:ascii="Arial" w:hAnsi="Arial" w:cs="Arial"/>
          <w:bCs/>
        </w:rPr>
        <w:t xml:space="preserve">ariando las proporciones de </w:t>
      </w:r>
      <w:r>
        <w:rPr>
          <w:rFonts w:ascii="Arial" w:hAnsi="Arial" w:cs="Arial"/>
          <w:bCs/>
        </w:rPr>
        <w:t xml:space="preserve">la parte I y parte II de la </w:t>
      </w:r>
      <w:r w:rsidRPr="00751180">
        <w:rPr>
          <w:rFonts w:ascii="Arial" w:hAnsi="Arial" w:cs="Arial"/>
          <w:bCs/>
        </w:rPr>
        <w:t xml:space="preserve">resina empleando un mismo catalizador. Las proporciones a </w:t>
      </w:r>
      <w:r>
        <w:rPr>
          <w:rFonts w:ascii="Arial" w:hAnsi="Arial" w:cs="Arial"/>
          <w:bCs/>
        </w:rPr>
        <w:t>probar,</w:t>
      </w:r>
      <w:r w:rsidRPr="00751180">
        <w:rPr>
          <w:rFonts w:ascii="Arial" w:hAnsi="Arial" w:cs="Arial"/>
          <w:bCs/>
        </w:rPr>
        <w:t xml:space="preserve"> </w:t>
      </w:r>
      <w:r>
        <w:rPr>
          <w:rFonts w:ascii="Arial" w:hAnsi="Arial" w:cs="Arial"/>
          <w:bCs/>
        </w:rPr>
        <w:t>parte I</w:t>
      </w:r>
      <w:r w:rsidRPr="00751180">
        <w:rPr>
          <w:rFonts w:ascii="Arial" w:hAnsi="Arial" w:cs="Arial"/>
          <w:bCs/>
        </w:rPr>
        <w:t>/</w:t>
      </w:r>
      <w:r>
        <w:rPr>
          <w:rFonts w:ascii="Arial" w:hAnsi="Arial" w:cs="Arial"/>
          <w:bCs/>
        </w:rPr>
        <w:t>parte II, fueron</w:t>
      </w:r>
      <w:r w:rsidRPr="00751180">
        <w:rPr>
          <w:rFonts w:ascii="Arial" w:hAnsi="Arial" w:cs="Arial"/>
          <w:bCs/>
        </w:rPr>
        <w:t xml:space="preserve">: 60/40, 40/60, 65/35, 35/65, 30/70 y 70/30. </w:t>
      </w:r>
    </w:p>
    <w:p w:rsidR="00197CC0" w:rsidRPr="00C444E3" w:rsidRDefault="00197CC0" w:rsidP="00257D10">
      <w:pPr>
        <w:numPr>
          <w:ilvl w:val="0"/>
          <w:numId w:val="23"/>
        </w:numPr>
        <w:spacing w:after="0" w:line="240" w:lineRule="auto"/>
        <w:jc w:val="both"/>
        <w:rPr>
          <w:rFonts w:ascii="Arial" w:hAnsi="Arial" w:cs="Arial"/>
          <w:bCs/>
        </w:rPr>
      </w:pPr>
      <w:r>
        <w:rPr>
          <w:rFonts w:ascii="Arial" w:hAnsi="Arial" w:cs="Arial"/>
          <w:bCs/>
        </w:rPr>
        <w:t xml:space="preserve">Sinergias entre </w:t>
      </w:r>
      <w:r w:rsidRPr="003814BA">
        <w:rPr>
          <w:rFonts w:ascii="Arial" w:hAnsi="Arial" w:cs="Arial"/>
          <w:bCs/>
        </w:rPr>
        <w:t>componente1</w:t>
      </w:r>
      <w:r w:rsidRPr="00751180">
        <w:rPr>
          <w:rFonts w:ascii="Arial" w:hAnsi="Arial" w:cs="Arial"/>
          <w:bCs/>
        </w:rPr>
        <w:t>/</w:t>
      </w:r>
      <w:r w:rsidRPr="003814BA">
        <w:rPr>
          <w:rFonts w:ascii="Arial" w:hAnsi="Arial" w:cs="Arial"/>
          <w:bCs/>
        </w:rPr>
        <w:t>componente2</w:t>
      </w:r>
      <w:r>
        <w:rPr>
          <w:rFonts w:ascii="Arial" w:hAnsi="Arial" w:cs="Arial"/>
          <w:bCs/>
        </w:rPr>
        <w:t xml:space="preserve"> de resinas de diferentes proveedores </w:t>
      </w:r>
      <w:r w:rsidRPr="00C444E3">
        <w:rPr>
          <w:rFonts w:ascii="Arial" w:hAnsi="Arial" w:cs="Arial"/>
          <w:bCs/>
        </w:rPr>
        <w:t>(PrA y PrB).</w:t>
      </w:r>
    </w:p>
    <w:p w:rsidR="00197CC0" w:rsidRDefault="00197CC0" w:rsidP="00257D10">
      <w:pPr>
        <w:numPr>
          <w:ilvl w:val="0"/>
          <w:numId w:val="23"/>
        </w:numPr>
        <w:spacing w:after="0" w:line="240" w:lineRule="auto"/>
        <w:jc w:val="both"/>
        <w:rPr>
          <w:rFonts w:ascii="Arial" w:hAnsi="Arial" w:cs="Arial"/>
          <w:bCs/>
        </w:rPr>
      </w:pPr>
      <w:r>
        <w:rPr>
          <w:rFonts w:ascii="Arial" w:hAnsi="Arial" w:cs="Arial"/>
          <w:bCs/>
        </w:rPr>
        <w:t xml:space="preserve">Sinergias entre formulaciones de catalizadores. </w:t>
      </w:r>
    </w:p>
    <w:p w:rsidR="00197CC0" w:rsidRPr="00751180" w:rsidRDefault="00197CC0" w:rsidP="00197CC0">
      <w:pPr>
        <w:rPr>
          <w:rFonts w:ascii="Arial" w:hAnsi="Arial" w:cs="Arial"/>
          <w:bCs/>
        </w:rPr>
      </w:pPr>
    </w:p>
    <w:p w:rsidR="00197CC0" w:rsidRDefault="00197CC0" w:rsidP="00197CC0">
      <w:pPr>
        <w:pStyle w:val="Textoindependiente"/>
        <w:rPr>
          <w:rFonts w:ascii="Arial" w:hAnsi="Arial" w:cs="Arial"/>
          <w:b w:val="0"/>
          <w:sz w:val="24"/>
        </w:rPr>
      </w:pPr>
      <w:r>
        <w:rPr>
          <w:rFonts w:ascii="Arial" w:hAnsi="Arial" w:cs="Arial"/>
          <w:b w:val="0"/>
          <w:sz w:val="24"/>
        </w:rPr>
        <w:t>El sistema COLDBOX a nivel laboratorio está integrado por las siguientes secciones:</w:t>
      </w:r>
    </w:p>
    <w:p w:rsidR="00197CC0" w:rsidRDefault="00197CC0" w:rsidP="00197CC0">
      <w:pPr>
        <w:pStyle w:val="Textoindependiente"/>
        <w:rPr>
          <w:rFonts w:ascii="Arial" w:hAnsi="Arial" w:cs="Arial"/>
          <w:b w:val="0"/>
          <w:sz w:val="24"/>
        </w:rPr>
      </w:pPr>
    </w:p>
    <w:p w:rsidR="00197CC0" w:rsidRPr="00887A97" w:rsidRDefault="00197CC0" w:rsidP="00197CC0">
      <w:pPr>
        <w:pStyle w:val="Textoindependiente"/>
        <w:rPr>
          <w:rFonts w:ascii="Arial" w:hAnsi="Arial" w:cs="Arial"/>
          <w:sz w:val="24"/>
        </w:rPr>
      </w:pPr>
      <w:r w:rsidRPr="00887A97">
        <w:rPr>
          <w:rFonts w:ascii="Arial" w:hAnsi="Arial" w:cs="Arial"/>
          <w:sz w:val="24"/>
        </w:rPr>
        <w:t>Tabla 1.</w:t>
      </w:r>
      <w:r>
        <w:rPr>
          <w:rFonts w:ascii="Arial" w:hAnsi="Arial" w:cs="Arial"/>
          <w:sz w:val="24"/>
        </w:rPr>
        <w:t xml:space="preserve"> Sistema COLDBOX</w:t>
      </w:r>
      <w:r w:rsidRPr="00887A97">
        <w:rPr>
          <w:rFonts w:ascii="Arial" w:hAnsi="Arial" w:cs="Arial"/>
          <w:sz w:val="24"/>
        </w:rPr>
        <w:t>.</w:t>
      </w:r>
    </w:p>
    <w:p w:rsidR="00197CC0" w:rsidRDefault="00197CC0" w:rsidP="00197CC0">
      <w:pPr>
        <w:pStyle w:val="Textoindependiente"/>
        <w:rPr>
          <w:rFonts w:ascii="Arial" w:hAnsi="Arial" w:cs="Arial"/>
          <w:b w:val="0"/>
          <w:sz w:val="24"/>
        </w:rPr>
      </w:pPr>
    </w:p>
    <w:tbl>
      <w:tblPr>
        <w:tblW w:w="0" w:type="auto"/>
        <w:jc w:val="center"/>
        <w:tblBorders>
          <w:insideH w:val="single" w:sz="4" w:space="0" w:color="auto"/>
        </w:tblBorders>
        <w:tblLook w:val="04A0" w:firstRow="1" w:lastRow="0" w:firstColumn="1" w:lastColumn="0" w:noHBand="0" w:noVBand="1"/>
      </w:tblPr>
      <w:tblGrid>
        <w:gridCol w:w="3922"/>
        <w:gridCol w:w="3167"/>
        <w:gridCol w:w="2315"/>
      </w:tblGrid>
      <w:tr w:rsidR="00197CC0" w:rsidRPr="00A67DE9" w:rsidTr="00B81843">
        <w:trPr>
          <w:jc w:val="center"/>
        </w:trPr>
        <w:tc>
          <w:tcPr>
            <w:tcW w:w="4237" w:type="dxa"/>
            <w:shd w:val="clear" w:color="auto" w:fill="auto"/>
          </w:tcPr>
          <w:p w:rsidR="00197CC0" w:rsidRPr="00A67DE9" w:rsidRDefault="00197CC0" w:rsidP="00B81843">
            <w:pPr>
              <w:pStyle w:val="Textoindependiente"/>
              <w:jc w:val="center"/>
              <w:rPr>
                <w:rFonts w:ascii="Arial" w:hAnsi="Arial" w:cs="Arial"/>
                <w:sz w:val="24"/>
              </w:rPr>
            </w:pPr>
            <w:r>
              <w:rPr>
                <w:rFonts w:ascii="Arial" w:hAnsi="Arial" w:cs="Arial"/>
                <w:sz w:val="24"/>
              </w:rPr>
              <w:t>Parte</w:t>
            </w:r>
          </w:p>
        </w:tc>
        <w:tc>
          <w:tcPr>
            <w:tcW w:w="3382" w:type="dxa"/>
            <w:shd w:val="clear" w:color="auto" w:fill="auto"/>
          </w:tcPr>
          <w:p w:rsidR="00197CC0" w:rsidRPr="00A67DE9" w:rsidRDefault="00197CC0" w:rsidP="00B81843">
            <w:pPr>
              <w:pStyle w:val="Textoindependiente"/>
              <w:jc w:val="center"/>
              <w:rPr>
                <w:rFonts w:ascii="Arial" w:hAnsi="Arial" w:cs="Arial"/>
                <w:sz w:val="24"/>
              </w:rPr>
            </w:pPr>
            <w:r>
              <w:rPr>
                <w:rFonts w:ascii="Arial" w:hAnsi="Arial" w:cs="Arial"/>
                <w:sz w:val="24"/>
              </w:rPr>
              <w:t>Equipo</w:t>
            </w:r>
          </w:p>
        </w:tc>
        <w:tc>
          <w:tcPr>
            <w:tcW w:w="2569" w:type="dxa"/>
          </w:tcPr>
          <w:p w:rsidR="00197CC0" w:rsidRDefault="00197CC0" w:rsidP="00B81843">
            <w:pPr>
              <w:pStyle w:val="Textoindependiente"/>
              <w:jc w:val="center"/>
              <w:rPr>
                <w:rFonts w:ascii="Arial" w:hAnsi="Arial" w:cs="Arial"/>
                <w:sz w:val="24"/>
              </w:rPr>
            </w:pPr>
            <w:r>
              <w:rPr>
                <w:rFonts w:ascii="Arial" w:hAnsi="Arial" w:cs="Arial"/>
                <w:sz w:val="24"/>
              </w:rPr>
              <w:t>Figura</w:t>
            </w:r>
          </w:p>
        </w:tc>
      </w:tr>
      <w:tr w:rsidR="00197CC0" w:rsidRPr="00A67DE9" w:rsidTr="00B81843">
        <w:trPr>
          <w:jc w:val="center"/>
        </w:trPr>
        <w:tc>
          <w:tcPr>
            <w:tcW w:w="4237" w:type="dxa"/>
            <w:shd w:val="clear" w:color="auto" w:fill="auto"/>
            <w:vAlign w:val="center"/>
          </w:tcPr>
          <w:p w:rsidR="00197CC0" w:rsidRPr="00A67DE9" w:rsidRDefault="00197CC0" w:rsidP="00257D10">
            <w:pPr>
              <w:pStyle w:val="Textoindependiente"/>
              <w:numPr>
                <w:ilvl w:val="0"/>
                <w:numId w:val="21"/>
              </w:numPr>
              <w:spacing w:after="0" w:line="240" w:lineRule="auto"/>
              <w:jc w:val="center"/>
              <w:rPr>
                <w:rFonts w:ascii="Arial" w:hAnsi="Arial" w:cs="Arial"/>
                <w:b w:val="0"/>
                <w:sz w:val="24"/>
              </w:rPr>
            </w:pPr>
            <w:r>
              <w:rPr>
                <w:rFonts w:ascii="Arial" w:hAnsi="Arial" w:cs="Arial"/>
                <w:b w:val="0"/>
                <w:sz w:val="24"/>
              </w:rPr>
              <w:t>Vaporizador automático de amina</w:t>
            </w:r>
          </w:p>
        </w:tc>
        <w:tc>
          <w:tcPr>
            <w:tcW w:w="3382" w:type="dxa"/>
            <w:shd w:val="clear" w:color="auto" w:fill="auto"/>
            <w:vAlign w:val="center"/>
          </w:tcPr>
          <w:p w:rsidR="00197CC0" w:rsidRPr="00A67DE9" w:rsidRDefault="00197CC0" w:rsidP="00B81843">
            <w:pPr>
              <w:pStyle w:val="Textoindependiente"/>
              <w:jc w:val="center"/>
              <w:rPr>
                <w:rFonts w:ascii="Arial" w:hAnsi="Arial" w:cs="Arial"/>
                <w:b w:val="0"/>
                <w:sz w:val="24"/>
              </w:rPr>
            </w:pPr>
            <w:r w:rsidRPr="002E5270">
              <w:rPr>
                <w:rFonts w:ascii="Arial" w:hAnsi="Arial" w:cs="Arial"/>
                <w:b w:val="0"/>
                <w:noProof/>
                <w:sz w:val="24"/>
                <w:lang w:val="en-US"/>
              </w:rPr>
              <w:drawing>
                <wp:inline distT="0" distB="0" distL="0" distR="0" wp14:anchorId="31049930" wp14:editId="187595DD">
                  <wp:extent cx="809625" cy="1028700"/>
                  <wp:effectExtent l="0" t="0" r="9525" b="0"/>
                  <wp:docPr id="1674859472" name="Imagen 167485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l="18877" t="42148" r="62248" b="14584"/>
                          <a:stretch>
                            <a:fillRect/>
                          </a:stretch>
                        </pic:blipFill>
                        <pic:spPr bwMode="auto">
                          <a:xfrm>
                            <a:off x="0" y="0"/>
                            <a:ext cx="809625" cy="1028700"/>
                          </a:xfrm>
                          <a:prstGeom prst="rect">
                            <a:avLst/>
                          </a:prstGeom>
                          <a:noFill/>
                          <a:ln>
                            <a:noFill/>
                          </a:ln>
                        </pic:spPr>
                      </pic:pic>
                    </a:graphicData>
                  </a:graphic>
                </wp:inline>
              </w:drawing>
            </w:r>
          </w:p>
        </w:tc>
        <w:tc>
          <w:tcPr>
            <w:tcW w:w="2569" w:type="dxa"/>
            <w:vAlign w:val="center"/>
          </w:tcPr>
          <w:p w:rsidR="00197CC0" w:rsidRDefault="00197CC0" w:rsidP="00B81843">
            <w:pPr>
              <w:pStyle w:val="Textoindependiente"/>
              <w:jc w:val="center"/>
              <w:rPr>
                <w:rFonts w:ascii="Arial" w:hAnsi="Arial" w:cs="Arial"/>
                <w:sz w:val="24"/>
              </w:rPr>
            </w:pPr>
            <w:r>
              <w:rPr>
                <w:rFonts w:ascii="Arial" w:hAnsi="Arial" w:cs="Arial"/>
                <w:sz w:val="24"/>
              </w:rPr>
              <w:t>Figura 1</w:t>
            </w:r>
          </w:p>
        </w:tc>
      </w:tr>
      <w:tr w:rsidR="00197CC0" w:rsidRPr="00A67DE9" w:rsidTr="00B81843">
        <w:trPr>
          <w:jc w:val="center"/>
        </w:trPr>
        <w:tc>
          <w:tcPr>
            <w:tcW w:w="4237" w:type="dxa"/>
            <w:shd w:val="clear" w:color="auto" w:fill="auto"/>
            <w:vAlign w:val="center"/>
          </w:tcPr>
          <w:p w:rsidR="00197CC0" w:rsidRPr="00A67DE9" w:rsidRDefault="00197CC0" w:rsidP="00257D10">
            <w:pPr>
              <w:pStyle w:val="Textoindependiente"/>
              <w:numPr>
                <w:ilvl w:val="0"/>
                <w:numId w:val="21"/>
              </w:numPr>
              <w:spacing w:after="0" w:line="240" w:lineRule="auto"/>
              <w:jc w:val="center"/>
              <w:rPr>
                <w:rFonts w:ascii="Arial" w:hAnsi="Arial" w:cs="Arial"/>
                <w:b w:val="0"/>
                <w:sz w:val="24"/>
              </w:rPr>
            </w:pPr>
            <w:r>
              <w:rPr>
                <w:rFonts w:ascii="Arial" w:hAnsi="Arial" w:cs="Arial"/>
                <w:b w:val="0"/>
                <w:sz w:val="24"/>
              </w:rPr>
              <w:lastRenderedPageBreak/>
              <w:t>Soplador de piezas de arena</w:t>
            </w:r>
          </w:p>
        </w:tc>
        <w:tc>
          <w:tcPr>
            <w:tcW w:w="3382" w:type="dxa"/>
            <w:shd w:val="clear" w:color="auto" w:fill="auto"/>
            <w:vAlign w:val="center"/>
          </w:tcPr>
          <w:p w:rsidR="00197CC0" w:rsidRPr="00A67DE9" w:rsidRDefault="00197CC0" w:rsidP="00B81843">
            <w:pPr>
              <w:pStyle w:val="Textoindependiente"/>
              <w:jc w:val="center"/>
              <w:rPr>
                <w:rFonts w:ascii="Arial" w:hAnsi="Arial" w:cs="Arial"/>
                <w:b w:val="0"/>
                <w:sz w:val="24"/>
              </w:rPr>
            </w:pPr>
            <w:r w:rsidRPr="002E5270">
              <w:rPr>
                <w:rFonts w:ascii="Arial" w:hAnsi="Arial" w:cs="Arial"/>
                <w:b w:val="0"/>
                <w:noProof/>
                <w:sz w:val="24"/>
                <w:lang w:val="en-US"/>
              </w:rPr>
              <w:drawing>
                <wp:inline distT="0" distB="0" distL="0" distR="0" wp14:anchorId="72030770" wp14:editId="794150D1">
                  <wp:extent cx="923925" cy="1038225"/>
                  <wp:effectExtent l="0" t="0" r="9525" b="9525"/>
                  <wp:docPr id="1674859471" name="Imagen 1674859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l="18649" t="36537" r="58556" b="18109"/>
                          <a:stretch>
                            <a:fillRect/>
                          </a:stretch>
                        </pic:blipFill>
                        <pic:spPr bwMode="auto">
                          <a:xfrm>
                            <a:off x="0" y="0"/>
                            <a:ext cx="923925" cy="1038225"/>
                          </a:xfrm>
                          <a:prstGeom prst="rect">
                            <a:avLst/>
                          </a:prstGeom>
                          <a:noFill/>
                          <a:ln>
                            <a:noFill/>
                          </a:ln>
                        </pic:spPr>
                      </pic:pic>
                    </a:graphicData>
                  </a:graphic>
                </wp:inline>
              </w:drawing>
            </w:r>
          </w:p>
        </w:tc>
        <w:tc>
          <w:tcPr>
            <w:tcW w:w="2569" w:type="dxa"/>
            <w:vAlign w:val="center"/>
          </w:tcPr>
          <w:p w:rsidR="00197CC0" w:rsidRDefault="00197CC0" w:rsidP="00B81843">
            <w:pPr>
              <w:pStyle w:val="Textoindependiente"/>
              <w:jc w:val="center"/>
              <w:rPr>
                <w:rFonts w:ascii="Arial" w:hAnsi="Arial" w:cs="Arial"/>
                <w:sz w:val="24"/>
              </w:rPr>
            </w:pPr>
            <w:r>
              <w:rPr>
                <w:rFonts w:ascii="Arial" w:hAnsi="Arial" w:cs="Arial"/>
                <w:sz w:val="24"/>
              </w:rPr>
              <w:t>Figura 2</w:t>
            </w:r>
          </w:p>
        </w:tc>
      </w:tr>
      <w:tr w:rsidR="00197CC0" w:rsidRPr="00A67DE9" w:rsidTr="00B81843">
        <w:trPr>
          <w:jc w:val="center"/>
        </w:trPr>
        <w:tc>
          <w:tcPr>
            <w:tcW w:w="4237" w:type="dxa"/>
            <w:shd w:val="clear" w:color="auto" w:fill="auto"/>
            <w:vAlign w:val="center"/>
          </w:tcPr>
          <w:p w:rsidR="00197CC0" w:rsidRPr="00A67DE9" w:rsidRDefault="00197CC0" w:rsidP="00257D10">
            <w:pPr>
              <w:pStyle w:val="Textoindependiente"/>
              <w:numPr>
                <w:ilvl w:val="0"/>
                <w:numId w:val="21"/>
              </w:numPr>
              <w:spacing w:after="0" w:line="240" w:lineRule="auto"/>
              <w:jc w:val="center"/>
              <w:rPr>
                <w:rFonts w:ascii="Arial" w:hAnsi="Arial" w:cs="Arial"/>
                <w:b w:val="0"/>
                <w:sz w:val="24"/>
              </w:rPr>
            </w:pPr>
            <w:r>
              <w:rPr>
                <w:rFonts w:ascii="Arial" w:hAnsi="Arial" w:cs="Arial"/>
                <w:b w:val="0"/>
                <w:sz w:val="24"/>
              </w:rPr>
              <w:t>Máquina de prueba de tracción</w:t>
            </w:r>
            <w:r>
              <w:rPr>
                <w:rFonts w:ascii="Arial" w:hAnsi="Arial" w:cs="Arial"/>
                <w:b w:val="0"/>
                <w:sz w:val="24"/>
                <w:vertAlign w:val="superscript"/>
              </w:rPr>
              <w:t>1</w:t>
            </w:r>
          </w:p>
        </w:tc>
        <w:tc>
          <w:tcPr>
            <w:tcW w:w="3382" w:type="dxa"/>
            <w:shd w:val="clear" w:color="auto" w:fill="auto"/>
            <w:vAlign w:val="center"/>
          </w:tcPr>
          <w:p w:rsidR="00197CC0" w:rsidRPr="00A67DE9" w:rsidRDefault="00197CC0" w:rsidP="00B81843">
            <w:pPr>
              <w:pStyle w:val="Textoindependiente"/>
              <w:jc w:val="center"/>
              <w:rPr>
                <w:rFonts w:ascii="Arial" w:hAnsi="Arial" w:cs="Arial"/>
                <w:b w:val="0"/>
                <w:sz w:val="24"/>
              </w:rPr>
            </w:pPr>
            <w:r w:rsidRPr="002E5270">
              <w:rPr>
                <w:rFonts w:ascii="Arial" w:hAnsi="Arial" w:cs="Arial"/>
                <w:b w:val="0"/>
                <w:noProof/>
                <w:sz w:val="24"/>
                <w:lang w:val="en-US"/>
              </w:rPr>
              <w:drawing>
                <wp:inline distT="0" distB="0" distL="0" distR="0" wp14:anchorId="59C648F3" wp14:editId="26E98931">
                  <wp:extent cx="1133475" cy="866775"/>
                  <wp:effectExtent l="0" t="0" r="9525" b="9525"/>
                  <wp:docPr id="1674859470" name="Imagen 167485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extLst>
                              <a:ext uri="{28A0092B-C50C-407E-A947-70E740481C1C}">
                                <a14:useLocalDpi xmlns:a14="http://schemas.microsoft.com/office/drawing/2010/main" val="0"/>
                              </a:ext>
                            </a:extLst>
                          </a:blip>
                          <a:srcRect l="11517" t="36630" r="55482" b="18803"/>
                          <a:stretch>
                            <a:fillRect/>
                          </a:stretch>
                        </pic:blipFill>
                        <pic:spPr bwMode="auto">
                          <a:xfrm>
                            <a:off x="0" y="0"/>
                            <a:ext cx="1133475" cy="866775"/>
                          </a:xfrm>
                          <a:prstGeom prst="rect">
                            <a:avLst/>
                          </a:prstGeom>
                          <a:noFill/>
                          <a:ln>
                            <a:noFill/>
                          </a:ln>
                        </pic:spPr>
                      </pic:pic>
                    </a:graphicData>
                  </a:graphic>
                </wp:inline>
              </w:drawing>
            </w:r>
          </w:p>
        </w:tc>
        <w:tc>
          <w:tcPr>
            <w:tcW w:w="2569" w:type="dxa"/>
            <w:vAlign w:val="center"/>
          </w:tcPr>
          <w:p w:rsidR="00197CC0" w:rsidRDefault="00197CC0" w:rsidP="00B81843">
            <w:pPr>
              <w:pStyle w:val="Textoindependiente"/>
              <w:jc w:val="center"/>
              <w:rPr>
                <w:rFonts w:ascii="Arial" w:hAnsi="Arial" w:cs="Arial"/>
                <w:sz w:val="24"/>
              </w:rPr>
            </w:pPr>
            <w:r>
              <w:rPr>
                <w:rFonts w:ascii="Arial" w:hAnsi="Arial" w:cs="Arial"/>
                <w:sz w:val="24"/>
              </w:rPr>
              <w:t>Figura 3</w:t>
            </w:r>
          </w:p>
        </w:tc>
      </w:tr>
      <w:tr w:rsidR="00197CC0" w:rsidRPr="00A67DE9" w:rsidTr="00B81843">
        <w:trPr>
          <w:jc w:val="center"/>
        </w:trPr>
        <w:tc>
          <w:tcPr>
            <w:tcW w:w="10188" w:type="dxa"/>
            <w:gridSpan w:val="3"/>
            <w:shd w:val="clear" w:color="auto" w:fill="auto"/>
          </w:tcPr>
          <w:p w:rsidR="00197CC0" w:rsidRDefault="00197CC0" w:rsidP="00B81843">
            <w:pPr>
              <w:pStyle w:val="Textoindependiente"/>
              <w:rPr>
                <w:rFonts w:ascii="Arial" w:hAnsi="Arial" w:cs="Arial"/>
                <w:b w:val="0"/>
                <w:sz w:val="24"/>
              </w:rPr>
            </w:pPr>
            <w:r w:rsidRPr="00A67DE9">
              <w:rPr>
                <w:rFonts w:ascii="Arial" w:hAnsi="Arial" w:cs="Arial"/>
                <w:b w:val="0"/>
                <w:sz w:val="24"/>
                <w:vertAlign w:val="superscript"/>
              </w:rPr>
              <w:t>1</w:t>
            </w:r>
            <w:r>
              <w:rPr>
                <w:rFonts w:ascii="Arial" w:hAnsi="Arial" w:cs="Arial"/>
                <w:b w:val="0"/>
                <w:sz w:val="24"/>
              </w:rPr>
              <w:t xml:space="preserve"> Prueba de resistencia a la tracción (resistencia temprana para moldes COLDBOX). </w:t>
            </w:r>
          </w:p>
          <w:p w:rsidR="00197CC0" w:rsidRPr="00077FD9" w:rsidRDefault="00197CC0" w:rsidP="00B81843">
            <w:pPr>
              <w:pStyle w:val="Textoindependiente"/>
              <w:rPr>
                <w:rFonts w:ascii="Arial" w:hAnsi="Arial" w:cs="Arial"/>
                <w:b w:val="0"/>
                <w:sz w:val="18"/>
                <w:vertAlign w:val="superscript"/>
              </w:rPr>
            </w:pPr>
            <w:r w:rsidRPr="00077FD9">
              <w:rPr>
                <w:rFonts w:ascii="Arial" w:hAnsi="Arial" w:cs="Arial"/>
                <w:b w:val="0"/>
                <w:sz w:val="20"/>
              </w:rPr>
              <w:t>Anónimo, “Operating Instructions; Catalyst vaporizer – Model 42109” (2015), publicado por: Simpson Technologies, Estados Unidos, pp</w:t>
            </w:r>
            <w:r>
              <w:rPr>
                <w:rFonts w:ascii="Arial" w:hAnsi="Arial" w:cs="Arial"/>
                <w:b w:val="0"/>
                <w:sz w:val="20"/>
              </w:rPr>
              <w:t>.</w:t>
            </w:r>
            <w:r w:rsidRPr="00077FD9">
              <w:rPr>
                <w:rFonts w:ascii="Arial" w:hAnsi="Arial" w:cs="Arial"/>
                <w:b w:val="0"/>
                <w:sz w:val="20"/>
              </w:rPr>
              <w:t xml:space="preserve"> (7-24).</w:t>
            </w:r>
          </w:p>
        </w:tc>
      </w:tr>
    </w:tbl>
    <w:p w:rsidR="00197CC0" w:rsidRPr="00CE25BD" w:rsidRDefault="00197CC0" w:rsidP="00197CC0">
      <w:pPr>
        <w:spacing w:line="360" w:lineRule="auto"/>
        <w:rPr>
          <w:rFonts w:ascii="Arial" w:hAnsi="Arial" w:cs="Arial"/>
          <w:b/>
          <w:i/>
        </w:rPr>
      </w:pPr>
      <w:r w:rsidRPr="00CE25BD">
        <w:rPr>
          <w:rFonts w:ascii="Arial" w:hAnsi="Arial" w:cs="Arial"/>
          <w:b/>
          <w:i/>
          <w:color w:val="000000"/>
        </w:rPr>
        <w:t xml:space="preserve">3.1 </w:t>
      </w:r>
      <w:r>
        <w:rPr>
          <w:rFonts w:ascii="Arial" w:hAnsi="Arial" w:cs="Arial"/>
          <w:b/>
          <w:i/>
          <w:color w:val="000000"/>
        </w:rPr>
        <w:t>Sistema reactivo</w:t>
      </w:r>
    </w:p>
    <w:p w:rsidR="00197CC0" w:rsidRDefault="00197CC0" w:rsidP="00197CC0">
      <w:pPr>
        <w:pStyle w:val="Index"/>
        <w:jc w:val="center"/>
        <w:rPr>
          <w:rFonts w:ascii="Arial" w:hAnsi="Arial" w:cs="Arial"/>
        </w:rPr>
      </w:pPr>
      <w:r w:rsidRPr="00CB584B">
        <w:rPr>
          <w:rFonts w:ascii="Arial" w:hAnsi="Arial" w:cs="Arial"/>
          <w:noProof/>
          <w:lang w:val="en-US" w:eastAsia="en-US"/>
        </w:rPr>
        <w:drawing>
          <wp:inline distT="0" distB="0" distL="0" distR="0" wp14:anchorId="6840DA64" wp14:editId="1B071402">
            <wp:extent cx="3514725" cy="1066800"/>
            <wp:effectExtent l="0" t="0" r="9525" b="0"/>
            <wp:docPr id="1674859469" name="Imagen 1674859469"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 Clippi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514725" cy="1066800"/>
                    </a:xfrm>
                    <a:prstGeom prst="rect">
                      <a:avLst/>
                    </a:prstGeom>
                    <a:noFill/>
                    <a:ln>
                      <a:noFill/>
                    </a:ln>
                  </pic:spPr>
                </pic:pic>
              </a:graphicData>
            </a:graphic>
          </wp:inline>
        </w:drawing>
      </w:r>
    </w:p>
    <w:p w:rsidR="00197CC0" w:rsidRDefault="00197CC0" w:rsidP="00197CC0">
      <w:pPr>
        <w:pStyle w:val="Index"/>
        <w:jc w:val="center"/>
        <w:rPr>
          <w:rFonts w:ascii="Arial" w:hAnsi="Arial" w:cs="Arial"/>
        </w:rPr>
      </w:pPr>
      <w:r w:rsidRPr="00022802">
        <w:rPr>
          <w:rFonts w:ascii="Arial" w:hAnsi="Arial" w:cs="Arial"/>
          <w:b/>
        </w:rPr>
        <w:t>Figura 4</w:t>
      </w:r>
      <w:r>
        <w:rPr>
          <w:rFonts w:ascii="Arial" w:hAnsi="Arial" w:cs="Arial"/>
        </w:rPr>
        <w:t>. Representación genérica del sistema reactivo involucrado en la síntesis de poliuretano.</w:t>
      </w:r>
    </w:p>
    <w:p w:rsidR="00197CC0" w:rsidRDefault="00197CC0" w:rsidP="00197CC0">
      <w:pPr>
        <w:pStyle w:val="Index"/>
        <w:rPr>
          <w:rFonts w:ascii="Arial" w:hAnsi="Arial" w:cs="Arial"/>
        </w:rPr>
      </w:pPr>
      <w:r>
        <w:rPr>
          <w:rFonts w:ascii="Arial" w:hAnsi="Arial" w:cs="Arial"/>
        </w:rPr>
        <w:t>Para poder llevar a cabo la reacción de síntesis de poliuretano para el proceso de COLDBOX, se requirieron los siguientes reactivos, catalizadores y agregado:</w:t>
      </w:r>
    </w:p>
    <w:p w:rsidR="00197CC0" w:rsidRDefault="00197CC0" w:rsidP="00197CC0">
      <w:pPr>
        <w:pStyle w:val="Textoindependiente"/>
        <w:rPr>
          <w:rFonts w:ascii="Arial" w:hAnsi="Arial" w:cs="Arial"/>
          <w:sz w:val="24"/>
        </w:rPr>
      </w:pPr>
    </w:p>
    <w:p w:rsidR="00197CC0" w:rsidRPr="00887A97" w:rsidRDefault="00197CC0" w:rsidP="00197CC0">
      <w:pPr>
        <w:pStyle w:val="Textoindependiente"/>
        <w:rPr>
          <w:rFonts w:ascii="Arial" w:hAnsi="Arial" w:cs="Arial"/>
          <w:sz w:val="24"/>
        </w:rPr>
      </w:pPr>
      <w:r w:rsidRPr="00887A97">
        <w:rPr>
          <w:rFonts w:ascii="Arial" w:hAnsi="Arial" w:cs="Arial"/>
          <w:sz w:val="24"/>
        </w:rPr>
        <w:t>Tabla 2.</w:t>
      </w:r>
      <w:r>
        <w:rPr>
          <w:rFonts w:ascii="Arial" w:hAnsi="Arial" w:cs="Arial"/>
          <w:sz w:val="24"/>
        </w:rPr>
        <w:t xml:space="preserve"> Sistema reaccionante para la síntesis de poliuretano en COLDBOX</w:t>
      </w:r>
      <w:r w:rsidRPr="00887A97">
        <w:rPr>
          <w:rFonts w:ascii="Arial" w:hAnsi="Arial" w:cs="Arial"/>
          <w:sz w:val="24"/>
        </w:rPr>
        <w:t>.</w:t>
      </w:r>
    </w:p>
    <w:p w:rsidR="00197CC0" w:rsidRDefault="00197CC0" w:rsidP="00197CC0">
      <w:pPr>
        <w:pStyle w:val="Textoindependiente"/>
        <w:rPr>
          <w:rFonts w:ascii="Arial" w:hAnsi="Arial" w:cs="Arial"/>
        </w:rPr>
      </w:pPr>
    </w:p>
    <w:tbl>
      <w:tblPr>
        <w:tblW w:w="0" w:type="auto"/>
        <w:jc w:val="center"/>
        <w:tblBorders>
          <w:insideH w:val="single" w:sz="4" w:space="0" w:color="auto"/>
        </w:tblBorders>
        <w:tblLook w:val="04A0" w:firstRow="1" w:lastRow="0" w:firstColumn="1" w:lastColumn="0" w:noHBand="0" w:noVBand="1"/>
      </w:tblPr>
      <w:tblGrid>
        <w:gridCol w:w="2798"/>
        <w:gridCol w:w="109"/>
        <w:gridCol w:w="3255"/>
        <w:gridCol w:w="3242"/>
      </w:tblGrid>
      <w:tr w:rsidR="00197CC0" w:rsidRPr="00A67DE9" w:rsidTr="00B81843">
        <w:trPr>
          <w:jc w:val="center"/>
        </w:trPr>
        <w:tc>
          <w:tcPr>
            <w:tcW w:w="3543" w:type="dxa"/>
            <w:shd w:val="clear" w:color="auto" w:fill="auto"/>
            <w:vAlign w:val="center"/>
          </w:tcPr>
          <w:p w:rsidR="00197CC0" w:rsidRPr="00A67DE9" w:rsidRDefault="00197CC0" w:rsidP="00B81843">
            <w:pPr>
              <w:pStyle w:val="Textoindependiente"/>
              <w:jc w:val="center"/>
              <w:rPr>
                <w:rFonts w:ascii="Arial" w:hAnsi="Arial" w:cs="Arial"/>
                <w:sz w:val="24"/>
              </w:rPr>
            </w:pPr>
            <w:r>
              <w:rPr>
                <w:rFonts w:ascii="Arial" w:hAnsi="Arial" w:cs="Arial"/>
                <w:sz w:val="24"/>
              </w:rPr>
              <w:t>Reactivos comerciales</w:t>
            </w:r>
          </w:p>
        </w:tc>
        <w:tc>
          <w:tcPr>
            <w:tcW w:w="3384" w:type="dxa"/>
            <w:gridSpan w:val="2"/>
            <w:shd w:val="clear" w:color="auto" w:fill="auto"/>
            <w:vAlign w:val="center"/>
          </w:tcPr>
          <w:p w:rsidR="00197CC0" w:rsidRPr="00A67DE9" w:rsidRDefault="00197CC0" w:rsidP="00B81843">
            <w:pPr>
              <w:pStyle w:val="Textoindependiente"/>
              <w:jc w:val="center"/>
              <w:rPr>
                <w:rFonts w:ascii="Arial" w:hAnsi="Arial" w:cs="Arial"/>
                <w:sz w:val="24"/>
              </w:rPr>
            </w:pPr>
            <w:r>
              <w:rPr>
                <w:rFonts w:ascii="Arial" w:hAnsi="Arial" w:cs="Arial"/>
                <w:sz w:val="24"/>
              </w:rPr>
              <w:t>Compuesto</w:t>
            </w:r>
          </w:p>
        </w:tc>
        <w:tc>
          <w:tcPr>
            <w:tcW w:w="3261" w:type="dxa"/>
            <w:shd w:val="clear" w:color="auto" w:fill="auto"/>
            <w:vAlign w:val="center"/>
          </w:tcPr>
          <w:p w:rsidR="00197CC0" w:rsidRPr="00A67DE9" w:rsidRDefault="00197CC0" w:rsidP="00B81843">
            <w:pPr>
              <w:pStyle w:val="Textoindependiente"/>
              <w:jc w:val="center"/>
              <w:rPr>
                <w:rFonts w:ascii="Arial" w:hAnsi="Arial" w:cs="Arial"/>
                <w:sz w:val="24"/>
              </w:rPr>
            </w:pPr>
            <w:r>
              <w:rPr>
                <w:rFonts w:ascii="Arial" w:hAnsi="Arial" w:cs="Arial"/>
                <w:sz w:val="24"/>
              </w:rPr>
              <w:t>Estructuras</w:t>
            </w:r>
          </w:p>
        </w:tc>
      </w:tr>
      <w:tr w:rsidR="00197CC0" w:rsidRPr="00A67DE9" w:rsidTr="00B81843">
        <w:trPr>
          <w:jc w:val="center"/>
        </w:trPr>
        <w:tc>
          <w:tcPr>
            <w:tcW w:w="3543" w:type="dxa"/>
            <w:tcBorders>
              <w:bottom w:val="nil"/>
            </w:tcBorders>
            <w:shd w:val="clear" w:color="auto" w:fill="auto"/>
            <w:vAlign w:val="center"/>
          </w:tcPr>
          <w:p w:rsidR="00197CC0" w:rsidRPr="00993047" w:rsidRDefault="00197CC0" w:rsidP="00B81843">
            <w:pPr>
              <w:pStyle w:val="Textoindependiente"/>
              <w:jc w:val="center"/>
              <w:rPr>
                <w:rFonts w:ascii="Arial" w:hAnsi="Arial" w:cs="Arial"/>
                <w:b w:val="0"/>
                <w:sz w:val="24"/>
                <w:vertAlign w:val="superscript"/>
              </w:rPr>
            </w:pPr>
            <w:r>
              <w:rPr>
                <w:rFonts w:ascii="Arial" w:hAnsi="Arial" w:cs="Arial"/>
                <w:b w:val="0"/>
                <w:sz w:val="24"/>
              </w:rPr>
              <w:t>Parte I. Poliol</w:t>
            </w:r>
            <w:r>
              <w:rPr>
                <w:rFonts w:ascii="Arial" w:hAnsi="Arial" w:cs="Arial"/>
                <w:b w:val="0"/>
                <w:sz w:val="24"/>
                <w:vertAlign w:val="superscript"/>
              </w:rPr>
              <w:t>1</w:t>
            </w:r>
          </w:p>
        </w:tc>
        <w:tc>
          <w:tcPr>
            <w:tcW w:w="3384" w:type="dxa"/>
            <w:gridSpan w:val="2"/>
            <w:tcBorders>
              <w:bottom w:val="nil"/>
            </w:tcBorders>
            <w:shd w:val="clear" w:color="auto" w:fill="auto"/>
            <w:vAlign w:val="center"/>
          </w:tcPr>
          <w:p w:rsidR="00197CC0" w:rsidRPr="00A67DE9" w:rsidRDefault="00197CC0" w:rsidP="00B81843">
            <w:pPr>
              <w:pStyle w:val="Textoindependiente"/>
              <w:jc w:val="center"/>
              <w:rPr>
                <w:rFonts w:ascii="Arial" w:hAnsi="Arial" w:cs="Arial"/>
                <w:b w:val="0"/>
                <w:sz w:val="24"/>
              </w:rPr>
            </w:pPr>
            <w:r>
              <w:rPr>
                <w:rFonts w:ascii="Arial" w:hAnsi="Arial" w:cs="Arial"/>
                <w:b w:val="0"/>
                <w:sz w:val="24"/>
              </w:rPr>
              <w:t>Resina de fenol formaldehído</w:t>
            </w:r>
          </w:p>
        </w:tc>
        <w:tc>
          <w:tcPr>
            <w:tcW w:w="3261" w:type="dxa"/>
            <w:tcBorders>
              <w:bottom w:val="nil"/>
            </w:tcBorders>
            <w:shd w:val="clear" w:color="auto" w:fill="auto"/>
            <w:vAlign w:val="center"/>
          </w:tcPr>
          <w:p w:rsidR="00197CC0" w:rsidRPr="00A67DE9" w:rsidRDefault="00197CC0" w:rsidP="00B81843">
            <w:pPr>
              <w:pStyle w:val="Textoindependiente"/>
              <w:jc w:val="center"/>
              <w:rPr>
                <w:rFonts w:ascii="Arial" w:hAnsi="Arial" w:cs="Arial"/>
                <w:b w:val="0"/>
                <w:sz w:val="24"/>
              </w:rPr>
            </w:pPr>
            <w:r w:rsidRPr="005B1AF6">
              <w:rPr>
                <w:rFonts w:ascii="Arial" w:hAnsi="Arial" w:cs="Arial"/>
                <w:b w:val="0"/>
                <w:noProof/>
                <w:sz w:val="24"/>
                <w:lang w:val="en-US"/>
              </w:rPr>
              <w:drawing>
                <wp:inline distT="0" distB="0" distL="0" distR="0" wp14:anchorId="799756DB" wp14:editId="3DEC105C">
                  <wp:extent cx="1895475" cy="790575"/>
                  <wp:effectExtent l="0" t="0" r="9525" b="9525"/>
                  <wp:docPr id="1674859468" name="Imagen 1674859468"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 Clippi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95475" cy="790575"/>
                          </a:xfrm>
                          <a:prstGeom prst="rect">
                            <a:avLst/>
                          </a:prstGeom>
                          <a:noFill/>
                          <a:ln>
                            <a:noFill/>
                          </a:ln>
                        </pic:spPr>
                      </pic:pic>
                    </a:graphicData>
                  </a:graphic>
                </wp:inline>
              </w:drawing>
            </w:r>
          </w:p>
        </w:tc>
      </w:tr>
      <w:tr w:rsidR="00197CC0" w:rsidRPr="00A67DE9" w:rsidTr="00B81843">
        <w:trPr>
          <w:jc w:val="center"/>
        </w:trPr>
        <w:tc>
          <w:tcPr>
            <w:tcW w:w="3543" w:type="dxa"/>
            <w:tcBorders>
              <w:top w:val="nil"/>
              <w:bottom w:val="single" w:sz="4" w:space="0" w:color="auto"/>
            </w:tcBorders>
            <w:shd w:val="clear" w:color="auto" w:fill="auto"/>
            <w:vAlign w:val="center"/>
          </w:tcPr>
          <w:p w:rsidR="00197CC0" w:rsidRDefault="00197CC0" w:rsidP="00B81843">
            <w:pPr>
              <w:pStyle w:val="Textoindependiente"/>
              <w:jc w:val="center"/>
              <w:rPr>
                <w:rFonts w:ascii="Arial" w:hAnsi="Arial" w:cs="Arial"/>
                <w:b w:val="0"/>
                <w:sz w:val="24"/>
              </w:rPr>
            </w:pPr>
          </w:p>
        </w:tc>
        <w:tc>
          <w:tcPr>
            <w:tcW w:w="3384" w:type="dxa"/>
            <w:gridSpan w:val="2"/>
            <w:tcBorders>
              <w:top w:val="nil"/>
              <w:bottom w:val="single" w:sz="4" w:space="0" w:color="auto"/>
            </w:tcBorders>
            <w:shd w:val="clear" w:color="auto" w:fill="auto"/>
            <w:vAlign w:val="center"/>
          </w:tcPr>
          <w:p w:rsidR="00197CC0" w:rsidRDefault="00197CC0" w:rsidP="00B81843">
            <w:pPr>
              <w:pStyle w:val="Textoindependiente"/>
              <w:jc w:val="center"/>
              <w:rPr>
                <w:rFonts w:ascii="Arial" w:hAnsi="Arial" w:cs="Arial"/>
                <w:b w:val="0"/>
                <w:sz w:val="24"/>
              </w:rPr>
            </w:pPr>
          </w:p>
        </w:tc>
        <w:tc>
          <w:tcPr>
            <w:tcW w:w="3261" w:type="dxa"/>
            <w:tcBorders>
              <w:top w:val="nil"/>
              <w:bottom w:val="single" w:sz="4" w:space="0" w:color="auto"/>
            </w:tcBorders>
            <w:shd w:val="clear" w:color="auto" w:fill="auto"/>
            <w:vAlign w:val="center"/>
          </w:tcPr>
          <w:p w:rsidR="00197CC0" w:rsidRPr="00077FD9" w:rsidRDefault="00197CC0" w:rsidP="00B81843">
            <w:pPr>
              <w:pStyle w:val="Textoindependiente"/>
              <w:jc w:val="center"/>
              <w:rPr>
                <w:rFonts w:ascii="Arial" w:hAnsi="Arial" w:cs="Arial"/>
                <w:noProof/>
                <w:sz w:val="24"/>
                <w:lang w:eastAsia="es-MX"/>
              </w:rPr>
            </w:pPr>
            <w:r w:rsidRPr="00077FD9">
              <w:rPr>
                <w:rFonts w:ascii="Arial" w:hAnsi="Arial" w:cs="Arial"/>
                <w:noProof/>
                <w:sz w:val="24"/>
                <w:lang w:eastAsia="es-MX"/>
              </w:rPr>
              <w:t xml:space="preserve">Figura 5 </w:t>
            </w:r>
          </w:p>
        </w:tc>
      </w:tr>
      <w:tr w:rsidR="00197CC0" w:rsidRPr="00A67DE9" w:rsidTr="00B81843">
        <w:trPr>
          <w:jc w:val="center"/>
        </w:trPr>
        <w:tc>
          <w:tcPr>
            <w:tcW w:w="3543" w:type="dxa"/>
            <w:tcBorders>
              <w:top w:val="single" w:sz="4" w:space="0" w:color="auto"/>
              <w:bottom w:val="nil"/>
            </w:tcBorders>
            <w:shd w:val="clear" w:color="auto" w:fill="auto"/>
            <w:vAlign w:val="center"/>
          </w:tcPr>
          <w:p w:rsidR="00197CC0" w:rsidRPr="00993047" w:rsidRDefault="00197CC0" w:rsidP="00B81843">
            <w:pPr>
              <w:pStyle w:val="Textoindependiente"/>
              <w:jc w:val="center"/>
              <w:rPr>
                <w:rFonts w:ascii="Arial" w:hAnsi="Arial" w:cs="Arial"/>
                <w:b w:val="0"/>
                <w:sz w:val="24"/>
                <w:vertAlign w:val="superscript"/>
              </w:rPr>
            </w:pPr>
            <w:r>
              <w:rPr>
                <w:rFonts w:ascii="Arial" w:hAnsi="Arial" w:cs="Arial"/>
                <w:b w:val="0"/>
                <w:sz w:val="24"/>
              </w:rPr>
              <w:t>Parte II. Poliisocianato</w:t>
            </w:r>
            <w:r>
              <w:rPr>
                <w:rFonts w:ascii="Arial" w:hAnsi="Arial" w:cs="Arial"/>
                <w:b w:val="0"/>
                <w:sz w:val="24"/>
                <w:vertAlign w:val="superscript"/>
              </w:rPr>
              <w:t>1</w:t>
            </w:r>
          </w:p>
        </w:tc>
        <w:tc>
          <w:tcPr>
            <w:tcW w:w="3384" w:type="dxa"/>
            <w:gridSpan w:val="2"/>
            <w:tcBorders>
              <w:top w:val="single" w:sz="4" w:space="0" w:color="auto"/>
              <w:bottom w:val="nil"/>
            </w:tcBorders>
            <w:shd w:val="clear" w:color="auto" w:fill="auto"/>
            <w:vAlign w:val="center"/>
          </w:tcPr>
          <w:p w:rsidR="00197CC0" w:rsidRPr="00A67DE9" w:rsidRDefault="00197CC0" w:rsidP="00B81843">
            <w:pPr>
              <w:pStyle w:val="Textoindependiente"/>
              <w:jc w:val="center"/>
              <w:rPr>
                <w:rFonts w:ascii="Arial" w:hAnsi="Arial" w:cs="Arial"/>
                <w:b w:val="0"/>
                <w:sz w:val="24"/>
              </w:rPr>
            </w:pPr>
            <w:r>
              <w:rPr>
                <w:rFonts w:ascii="Arial" w:hAnsi="Arial" w:cs="Arial"/>
                <w:b w:val="0"/>
                <w:sz w:val="24"/>
              </w:rPr>
              <w:t>MDI (metilendifenildiisocianato) polimérico</w:t>
            </w:r>
          </w:p>
        </w:tc>
        <w:tc>
          <w:tcPr>
            <w:tcW w:w="3261" w:type="dxa"/>
            <w:tcBorders>
              <w:top w:val="single" w:sz="4" w:space="0" w:color="auto"/>
              <w:bottom w:val="nil"/>
            </w:tcBorders>
            <w:shd w:val="clear" w:color="auto" w:fill="auto"/>
            <w:vAlign w:val="center"/>
          </w:tcPr>
          <w:p w:rsidR="00197CC0" w:rsidRPr="00A67DE9" w:rsidRDefault="00197CC0" w:rsidP="00B81843">
            <w:pPr>
              <w:pStyle w:val="Textoindependiente"/>
              <w:jc w:val="center"/>
              <w:rPr>
                <w:rFonts w:ascii="Arial" w:hAnsi="Arial" w:cs="Arial"/>
                <w:b w:val="0"/>
                <w:sz w:val="24"/>
              </w:rPr>
            </w:pPr>
            <w:r w:rsidRPr="005B1AF6">
              <w:rPr>
                <w:rFonts w:ascii="Arial" w:hAnsi="Arial" w:cs="Arial"/>
                <w:b w:val="0"/>
                <w:noProof/>
                <w:sz w:val="24"/>
                <w:lang w:val="en-US"/>
              </w:rPr>
              <w:drawing>
                <wp:inline distT="0" distB="0" distL="0" distR="0" wp14:anchorId="243C7C8E" wp14:editId="3F8312FA">
                  <wp:extent cx="1543050" cy="790575"/>
                  <wp:effectExtent l="0" t="0" r="0" b="9525"/>
                  <wp:docPr id="1674859467" name="Imagen 1674859467" descr="Screen Clippi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descr="Screen Clipping"/>
                          <pic:cNvPicPr>
                            <a:picLocks noGrp="1"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43050" cy="790575"/>
                          </a:xfrm>
                          <a:prstGeom prst="rect">
                            <a:avLst/>
                          </a:prstGeom>
                          <a:noFill/>
                          <a:ln>
                            <a:noFill/>
                          </a:ln>
                        </pic:spPr>
                      </pic:pic>
                    </a:graphicData>
                  </a:graphic>
                </wp:inline>
              </w:drawing>
            </w:r>
          </w:p>
        </w:tc>
      </w:tr>
      <w:tr w:rsidR="00197CC0" w:rsidRPr="00A67DE9" w:rsidTr="00B81843">
        <w:trPr>
          <w:jc w:val="center"/>
        </w:trPr>
        <w:tc>
          <w:tcPr>
            <w:tcW w:w="3543" w:type="dxa"/>
            <w:tcBorders>
              <w:top w:val="nil"/>
              <w:bottom w:val="single" w:sz="4" w:space="0" w:color="auto"/>
            </w:tcBorders>
            <w:shd w:val="clear" w:color="auto" w:fill="auto"/>
            <w:vAlign w:val="center"/>
          </w:tcPr>
          <w:p w:rsidR="00197CC0" w:rsidRDefault="00197CC0" w:rsidP="00B81843">
            <w:pPr>
              <w:pStyle w:val="Textoindependiente"/>
              <w:jc w:val="center"/>
              <w:rPr>
                <w:rFonts w:ascii="Arial" w:hAnsi="Arial" w:cs="Arial"/>
                <w:b w:val="0"/>
                <w:sz w:val="24"/>
              </w:rPr>
            </w:pPr>
          </w:p>
        </w:tc>
        <w:tc>
          <w:tcPr>
            <w:tcW w:w="3384" w:type="dxa"/>
            <w:gridSpan w:val="2"/>
            <w:tcBorders>
              <w:top w:val="nil"/>
              <w:bottom w:val="single" w:sz="4" w:space="0" w:color="auto"/>
            </w:tcBorders>
            <w:shd w:val="clear" w:color="auto" w:fill="auto"/>
            <w:vAlign w:val="center"/>
          </w:tcPr>
          <w:p w:rsidR="00197CC0" w:rsidRDefault="00197CC0" w:rsidP="00B81843">
            <w:pPr>
              <w:pStyle w:val="Textoindependiente"/>
              <w:jc w:val="center"/>
              <w:rPr>
                <w:rFonts w:ascii="Arial" w:hAnsi="Arial" w:cs="Arial"/>
                <w:b w:val="0"/>
                <w:sz w:val="24"/>
              </w:rPr>
            </w:pPr>
          </w:p>
        </w:tc>
        <w:tc>
          <w:tcPr>
            <w:tcW w:w="3261" w:type="dxa"/>
            <w:tcBorders>
              <w:top w:val="nil"/>
              <w:bottom w:val="single" w:sz="4" w:space="0" w:color="auto"/>
            </w:tcBorders>
            <w:shd w:val="clear" w:color="auto" w:fill="auto"/>
            <w:vAlign w:val="center"/>
          </w:tcPr>
          <w:p w:rsidR="00197CC0" w:rsidRPr="00077FD9" w:rsidRDefault="00197CC0" w:rsidP="00B81843">
            <w:pPr>
              <w:pStyle w:val="Textoindependiente"/>
              <w:jc w:val="center"/>
              <w:rPr>
                <w:rFonts w:ascii="Arial" w:hAnsi="Arial" w:cs="Arial"/>
                <w:noProof/>
                <w:sz w:val="24"/>
                <w:lang w:eastAsia="es-MX"/>
              </w:rPr>
            </w:pPr>
            <w:r w:rsidRPr="00077FD9">
              <w:rPr>
                <w:rFonts w:ascii="Arial" w:hAnsi="Arial" w:cs="Arial"/>
                <w:noProof/>
                <w:sz w:val="24"/>
                <w:lang w:eastAsia="es-MX"/>
              </w:rPr>
              <w:t>Figura 6</w:t>
            </w:r>
          </w:p>
        </w:tc>
      </w:tr>
      <w:tr w:rsidR="00197CC0" w:rsidRPr="00A67DE9" w:rsidTr="00B81843">
        <w:trPr>
          <w:trHeight w:val="173"/>
          <w:jc w:val="center"/>
        </w:trPr>
        <w:tc>
          <w:tcPr>
            <w:tcW w:w="3543" w:type="dxa"/>
            <w:vMerge w:val="restart"/>
            <w:tcBorders>
              <w:top w:val="single" w:sz="4" w:space="0" w:color="auto"/>
            </w:tcBorders>
            <w:shd w:val="clear" w:color="auto" w:fill="auto"/>
            <w:vAlign w:val="center"/>
          </w:tcPr>
          <w:p w:rsidR="00197CC0" w:rsidRPr="00993047" w:rsidRDefault="00197CC0" w:rsidP="00B81843">
            <w:pPr>
              <w:pStyle w:val="Textoindependiente"/>
              <w:jc w:val="center"/>
              <w:rPr>
                <w:rFonts w:ascii="Arial" w:hAnsi="Arial" w:cs="Arial"/>
                <w:b w:val="0"/>
                <w:sz w:val="24"/>
                <w:vertAlign w:val="superscript"/>
              </w:rPr>
            </w:pPr>
            <w:r>
              <w:rPr>
                <w:rFonts w:ascii="Arial" w:hAnsi="Arial" w:cs="Arial"/>
                <w:b w:val="0"/>
                <w:sz w:val="24"/>
              </w:rPr>
              <w:t>Alquilaminas comerciales</w:t>
            </w:r>
            <w:r>
              <w:rPr>
                <w:rFonts w:ascii="Arial" w:hAnsi="Arial" w:cs="Arial"/>
                <w:b w:val="0"/>
                <w:sz w:val="24"/>
                <w:vertAlign w:val="superscript"/>
              </w:rPr>
              <w:t>2</w:t>
            </w:r>
          </w:p>
        </w:tc>
        <w:tc>
          <w:tcPr>
            <w:tcW w:w="3384" w:type="dxa"/>
            <w:gridSpan w:val="2"/>
            <w:tcBorders>
              <w:top w:val="single" w:sz="4" w:space="0" w:color="auto"/>
              <w:bottom w:val="nil"/>
            </w:tcBorders>
            <w:shd w:val="clear" w:color="auto" w:fill="auto"/>
            <w:vAlign w:val="center"/>
          </w:tcPr>
          <w:p w:rsidR="00197CC0" w:rsidRPr="00A67DE9" w:rsidRDefault="00197CC0" w:rsidP="00257D10">
            <w:pPr>
              <w:pStyle w:val="Textoindependiente"/>
              <w:numPr>
                <w:ilvl w:val="0"/>
                <w:numId w:val="22"/>
              </w:numPr>
              <w:spacing w:after="0" w:line="240" w:lineRule="auto"/>
              <w:jc w:val="center"/>
              <w:rPr>
                <w:rFonts w:ascii="Arial" w:hAnsi="Arial" w:cs="Arial"/>
                <w:b w:val="0"/>
                <w:sz w:val="24"/>
              </w:rPr>
            </w:pPr>
            <w:r>
              <w:rPr>
                <w:rFonts w:ascii="Arial" w:hAnsi="Arial" w:cs="Arial"/>
                <w:b w:val="0"/>
                <w:sz w:val="24"/>
              </w:rPr>
              <w:t xml:space="preserve">Parte activa DMEA (dimetiletilamina) </w:t>
            </w:r>
          </w:p>
        </w:tc>
        <w:tc>
          <w:tcPr>
            <w:tcW w:w="3261" w:type="dxa"/>
            <w:tcBorders>
              <w:top w:val="single" w:sz="4" w:space="0" w:color="auto"/>
              <w:bottom w:val="nil"/>
            </w:tcBorders>
            <w:shd w:val="clear" w:color="auto" w:fill="auto"/>
            <w:vAlign w:val="center"/>
          </w:tcPr>
          <w:p w:rsidR="00197CC0" w:rsidRPr="00A67DE9" w:rsidRDefault="00197CC0" w:rsidP="00B81843">
            <w:pPr>
              <w:pStyle w:val="Textoindependiente"/>
              <w:jc w:val="center"/>
              <w:rPr>
                <w:rFonts w:ascii="Arial" w:hAnsi="Arial" w:cs="Arial"/>
                <w:b w:val="0"/>
                <w:sz w:val="24"/>
                <w:lang w:val="en-US"/>
              </w:rPr>
            </w:pPr>
            <w:r w:rsidRPr="005B1AF6">
              <w:rPr>
                <w:rFonts w:ascii="Arial" w:hAnsi="Arial" w:cs="Arial"/>
                <w:b w:val="0"/>
                <w:noProof/>
                <w:sz w:val="24"/>
                <w:lang w:val="en-US"/>
              </w:rPr>
              <w:drawing>
                <wp:inline distT="0" distB="0" distL="0" distR="0" wp14:anchorId="227BCDEC" wp14:editId="0297AD0E">
                  <wp:extent cx="790575" cy="466725"/>
                  <wp:effectExtent l="0" t="0" r="9525" b="9525"/>
                  <wp:docPr id="1674859466" name="Imagen 1674859466" descr="Screen Clippi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7" descr="Screen Clipping"/>
                          <pic:cNvPicPr>
                            <a:picLocks noGrp="1"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90575" cy="466725"/>
                          </a:xfrm>
                          <a:prstGeom prst="rect">
                            <a:avLst/>
                          </a:prstGeom>
                          <a:noFill/>
                          <a:ln>
                            <a:noFill/>
                          </a:ln>
                        </pic:spPr>
                      </pic:pic>
                    </a:graphicData>
                  </a:graphic>
                </wp:inline>
              </w:drawing>
            </w:r>
          </w:p>
        </w:tc>
      </w:tr>
      <w:tr w:rsidR="00197CC0" w:rsidRPr="00A67DE9" w:rsidTr="00B81843">
        <w:trPr>
          <w:trHeight w:val="173"/>
          <w:jc w:val="center"/>
        </w:trPr>
        <w:tc>
          <w:tcPr>
            <w:tcW w:w="3543" w:type="dxa"/>
            <w:vMerge/>
            <w:tcBorders>
              <w:top w:val="single" w:sz="4" w:space="0" w:color="auto"/>
            </w:tcBorders>
            <w:shd w:val="clear" w:color="auto" w:fill="auto"/>
            <w:vAlign w:val="center"/>
          </w:tcPr>
          <w:p w:rsidR="00197CC0" w:rsidRDefault="00197CC0" w:rsidP="00B81843">
            <w:pPr>
              <w:pStyle w:val="Textoindependiente"/>
              <w:jc w:val="center"/>
              <w:rPr>
                <w:rFonts w:ascii="Arial" w:hAnsi="Arial" w:cs="Arial"/>
                <w:b w:val="0"/>
                <w:sz w:val="24"/>
              </w:rPr>
            </w:pPr>
          </w:p>
        </w:tc>
        <w:tc>
          <w:tcPr>
            <w:tcW w:w="3384" w:type="dxa"/>
            <w:gridSpan w:val="2"/>
            <w:tcBorders>
              <w:top w:val="nil"/>
              <w:bottom w:val="single" w:sz="4" w:space="0" w:color="auto"/>
            </w:tcBorders>
            <w:shd w:val="clear" w:color="auto" w:fill="auto"/>
            <w:vAlign w:val="center"/>
          </w:tcPr>
          <w:p w:rsidR="00197CC0" w:rsidRDefault="00197CC0" w:rsidP="00B81843">
            <w:pPr>
              <w:pStyle w:val="Textoindependiente"/>
              <w:ind w:left="360"/>
              <w:jc w:val="center"/>
              <w:rPr>
                <w:rFonts w:ascii="Arial" w:hAnsi="Arial" w:cs="Arial"/>
                <w:b w:val="0"/>
                <w:sz w:val="24"/>
              </w:rPr>
            </w:pPr>
          </w:p>
        </w:tc>
        <w:tc>
          <w:tcPr>
            <w:tcW w:w="3261" w:type="dxa"/>
            <w:tcBorders>
              <w:top w:val="nil"/>
              <w:bottom w:val="single" w:sz="4" w:space="0" w:color="auto"/>
            </w:tcBorders>
            <w:shd w:val="clear" w:color="auto" w:fill="auto"/>
            <w:vAlign w:val="center"/>
          </w:tcPr>
          <w:p w:rsidR="00197CC0" w:rsidRPr="00077FD9" w:rsidRDefault="00197CC0" w:rsidP="00B81843">
            <w:pPr>
              <w:pStyle w:val="Textoindependiente"/>
              <w:jc w:val="center"/>
              <w:rPr>
                <w:rFonts w:ascii="Arial" w:hAnsi="Arial" w:cs="Arial"/>
                <w:noProof/>
                <w:sz w:val="24"/>
                <w:lang w:eastAsia="es-MX"/>
              </w:rPr>
            </w:pPr>
            <w:r w:rsidRPr="00077FD9">
              <w:rPr>
                <w:rFonts w:ascii="Arial" w:hAnsi="Arial" w:cs="Arial"/>
                <w:noProof/>
                <w:sz w:val="24"/>
                <w:lang w:eastAsia="es-MX"/>
              </w:rPr>
              <w:t>Figura 7</w:t>
            </w:r>
          </w:p>
        </w:tc>
      </w:tr>
      <w:tr w:rsidR="00197CC0" w:rsidRPr="00A67DE9" w:rsidTr="00B81843">
        <w:trPr>
          <w:trHeight w:val="173"/>
          <w:jc w:val="center"/>
        </w:trPr>
        <w:tc>
          <w:tcPr>
            <w:tcW w:w="3543" w:type="dxa"/>
            <w:vMerge/>
            <w:tcBorders>
              <w:bottom w:val="nil"/>
            </w:tcBorders>
            <w:shd w:val="clear" w:color="auto" w:fill="auto"/>
            <w:vAlign w:val="center"/>
          </w:tcPr>
          <w:p w:rsidR="00197CC0" w:rsidRDefault="00197CC0" w:rsidP="00B81843">
            <w:pPr>
              <w:pStyle w:val="Textoindependiente"/>
              <w:jc w:val="center"/>
              <w:rPr>
                <w:rFonts w:ascii="Arial" w:hAnsi="Arial" w:cs="Arial"/>
                <w:b w:val="0"/>
                <w:sz w:val="24"/>
              </w:rPr>
            </w:pPr>
          </w:p>
        </w:tc>
        <w:tc>
          <w:tcPr>
            <w:tcW w:w="3384" w:type="dxa"/>
            <w:gridSpan w:val="2"/>
            <w:tcBorders>
              <w:top w:val="single" w:sz="4" w:space="0" w:color="auto"/>
              <w:bottom w:val="nil"/>
            </w:tcBorders>
            <w:shd w:val="clear" w:color="auto" w:fill="auto"/>
            <w:vAlign w:val="center"/>
          </w:tcPr>
          <w:p w:rsidR="00197CC0" w:rsidRPr="00A67DE9" w:rsidRDefault="00197CC0" w:rsidP="00257D10">
            <w:pPr>
              <w:pStyle w:val="Textoindependiente"/>
              <w:numPr>
                <w:ilvl w:val="0"/>
                <w:numId w:val="22"/>
              </w:numPr>
              <w:spacing w:after="0" w:line="240" w:lineRule="auto"/>
              <w:jc w:val="center"/>
              <w:rPr>
                <w:rFonts w:ascii="Arial" w:hAnsi="Arial" w:cs="Arial"/>
                <w:b w:val="0"/>
                <w:sz w:val="24"/>
              </w:rPr>
            </w:pPr>
            <w:r>
              <w:rPr>
                <w:rFonts w:ascii="Arial" w:hAnsi="Arial" w:cs="Arial"/>
                <w:b w:val="0"/>
                <w:sz w:val="24"/>
              </w:rPr>
              <w:t>Parte activa DMPA (dimetilpropilamina)</w:t>
            </w:r>
          </w:p>
        </w:tc>
        <w:tc>
          <w:tcPr>
            <w:tcW w:w="3261" w:type="dxa"/>
            <w:tcBorders>
              <w:top w:val="single" w:sz="4" w:space="0" w:color="auto"/>
              <w:bottom w:val="nil"/>
            </w:tcBorders>
            <w:shd w:val="clear" w:color="auto" w:fill="auto"/>
            <w:vAlign w:val="center"/>
          </w:tcPr>
          <w:p w:rsidR="00197CC0" w:rsidRPr="00A67DE9" w:rsidRDefault="00197CC0" w:rsidP="00B81843">
            <w:pPr>
              <w:pStyle w:val="Textoindependiente"/>
              <w:jc w:val="center"/>
              <w:rPr>
                <w:rFonts w:ascii="Arial" w:hAnsi="Arial" w:cs="Arial"/>
                <w:b w:val="0"/>
                <w:sz w:val="24"/>
                <w:lang w:val="en-US"/>
              </w:rPr>
            </w:pPr>
            <w:r w:rsidRPr="005B1AF6">
              <w:rPr>
                <w:rFonts w:ascii="Arial" w:hAnsi="Arial" w:cs="Arial"/>
                <w:b w:val="0"/>
                <w:noProof/>
                <w:sz w:val="24"/>
                <w:lang w:val="en-US"/>
              </w:rPr>
              <w:drawing>
                <wp:inline distT="0" distB="0" distL="0" distR="0" wp14:anchorId="0FD6AF28" wp14:editId="3A0A466F">
                  <wp:extent cx="981075" cy="466725"/>
                  <wp:effectExtent l="0" t="0" r="9525" b="9525"/>
                  <wp:docPr id="1674859465" name="Imagen 1674859465" descr="Screen Clippi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descr="Screen Clipping"/>
                          <pic:cNvPicPr>
                            <a:picLocks noGrp="1"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981075" cy="466725"/>
                          </a:xfrm>
                          <a:prstGeom prst="rect">
                            <a:avLst/>
                          </a:prstGeom>
                          <a:noFill/>
                          <a:ln>
                            <a:noFill/>
                          </a:ln>
                        </pic:spPr>
                      </pic:pic>
                    </a:graphicData>
                  </a:graphic>
                </wp:inline>
              </w:drawing>
            </w:r>
          </w:p>
        </w:tc>
      </w:tr>
      <w:tr w:rsidR="00197CC0" w:rsidRPr="00A67DE9" w:rsidTr="00B81843">
        <w:trPr>
          <w:trHeight w:val="173"/>
          <w:jc w:val="center"/>
        </w:trPr>
        <w:tc>
          <w:tcPr>
            <w:tcW w:w="3543" w:type="dxa"/>
            <w:vMerge/>
            <w:tcBorders>
              <w:top w:val="nil"/>
              <w:bottom w:val="single" w:sz="4" w:space="0" w:color="auto"/>
            </w:tcBorders>
            <w:shd w:val="clear" w:color="auto" w:fill="auto"/>
            <w:vAlign w:val="center"/>
          </w:tcPr>
          <w:p w:rsidR="00197CC0" w:rsidRDefault="00197CC0" w:rsidP="00B81843">
            <w:pPr>
              <w:pStyle w:val="Textoindependiente"/>
              <w:jc w:val="center"/>
              <w:rPr>
                <w:rFonts w:ascii="Arial" w:hAnsi="Arial" w:cs="Arial"/>
                <w:b w:val="0"/>
                <w:sz w:val="24"/>
              </w:rPr>
            </w:pPr>
          </w:p>
        </w:tc>
        <w:tc>
          <w:tcPr>
            <w:tcW w:w="3384" w:type="dxa"/>
            <w:gridSpan w:val="2"/>
            <w:tcBorders>
              <w:top w:val="nil"/>
              <w:bottom w:val="single" w:sz="4" w:space="0" w:color="auto"/>
            </w:tcBorders>
            <w:shd w:val="clear" w:color="auto" w:fill="auto"/>
            <w:vAlign w:val="center"/>
          </w:tcPr>
          <w:p w:rsidR="00197CC0" w:rsidRDefault="00197CC0" w:rsidP="00B81843">
            <w:pPr>
              <w:pStyle w:val="Textoindependiente"/>
              <w:ind w:left="360"/>
              <w:jc w:val="center"/>
              <w:rPr>
                <w:rFonts w:ascii="Arial" w:hAnsi="Arial" w:cs="Arial"/>
                <w:b w:val="0"/>
                <w:sz w:val="24"/>
              </w:rPr>
            </w:pPr>
          </w:p>
        </w:tc>
        <w:tc>
          <w:tcPr>
            <w:tcW w:w="3261" w:type="dxa"/>
            <w:tcBorders>
              <w:top w:val="nil"/>
              <w:bottom w:val="single" w:sz="4" w:space="0" w:color="auto"/>
            </w:tcBorders>
            <w:shd w:val="clear" w:color="auto" w:fill="auto"/>
            <w:vAlign w:val="center"/>
          </w:tcPr>
          <w:p w:rsidR="00197CC0" w:rsidRPr="00077FD9" w:rsidRDefault="00197CC0" w:rsidP="00B81843">
            <w:pPr>
              <w:pStyle w:val="Textoindependiente"/>
              <w:jc w:val="center"/>
              <w:rPr>
                <w:rFonts w:ascii="Arial" w:hAnsi="Arial" w:cs="Arial"/>
                <w:noProof/>
                <w:sz w:val="24"/>
                <w:lang w:eastAsia="es-MX"/>
              </w:rPr>
            </w:pPr>
            <w:r w:rsidRPr="00077FD9">
              <w:rPr>
                <w:rFonts w:ascii="Arial" w:hAnsi="Arial" w:cs="Arial"/>
                <w:noProof/>
                <w:sz w:val="24"/>
                <w:lang w:eastAsia="es-MX"/>
              </w:rPr>
              <w:t>Figura 8</w:t>
            </w:r>
          </w:p>
        </w:tc>
      </w:tr>
      <w:tr w:rsidR="00197CC0" w:rsidRPr="00A67DE9" w:rsidTr="00B81843">
        <w:trPr>
          <w:trHeight w:val="914"/>
          <w:jc w:val="center"/>
        </w:trPr>
        <w:tc>
          <w:tcPr>
            <w:tcW w:w="3543" w:type="dxa"/>
            <w:vMerge/>
            <w:tcBorders>
              <w:top w:val="single" w:sz="4" w:space="0" w:color="auto"/>
            </w:tcBorders>
            <w:shd w:val="clear" w:color="auto" w:fill="auto"/>
            <w:vAlign w:val="center"/>
          </w:tcPr>
          <w:p w:rsidR="00197CC0" w:rsidRDefault="00197CC0" w:rsidP="00B81843">
            <w:pPr>
              <w:pStyle w:val="Textoindependiente"/>
              <w:jc w:val="center"/>
              <w:rPr>
                <w:rFonts w:ascii="Arial" w:hAnsi="Arial" w:cs="Arial"/>
                <w:b w:val="0"/>
                <w:sz w:val="24"/>
              </w:rPr>
            </w:pPr>
          </w:p>
        </w:tc>
        <w:tc>
          <w:tcPr>
            <w:tcW w:w="3384" w:type="dxa"/>
            <w:gridSpan w:val="2"/>
            <w:tcBorders>
              <w:top w:val="single" w:sz="4" w:space="0" w:color="auto"/>
              <w:bottom w:val="nil"/>
            </w:tcBorders>
            <w:shd w:val="clear" w:color="auto" w:fill="auto"/>
            <w:vAlign w:val="center"/>
          </w:tcPr>
          <w:p w:rsidR="00197CC0" w:rsidRPr="00A67DE9" w:rsidRDefault="00197CC0" w:rsidP="00257D10">
            <w:pPr>
              <w:pStyle w:val="Textoindependiente"/>
              <w:numPr>
                <w:ilvl w:val="0"/>
                <w:numId w:val="22"/>
              </w:numPr>
              <w:spacing w:after="0" w:line="240" w:lineRule="auto"/>
              <w:jc w:val="center"/>
              <w:rPr>
                <w:rFonts w:ascii="Arial" w:hAnsi="Arial" w:cs="Arial"/>
                <w:b w:val="0"/>
                <w:sz w:val="24"/>
              </w:rPr>
            </w:pPr>
            <w:r>
              <w:rPr>
                <w:rFonts w:ascii="Arial" w:hAnsi="Arial" w:cs="Arial"/>
                <w:b w:val="0"/>
                <w:sz w:val="24"/>
              </w:rPr>
              <w:t>Parte activa DMIPA (dimetilisopropilamina)</w:t>
            </w:r>
          </w:p>
        </w:tc>
        <w:tc>
          <w:tcPr>
            <w:tcW w:w="3261" w:type="dxa"/>
            <w:tcBorders>
              <w:top w:val="single" w:sz="4" w:space="0" w:color="auto"/>
              <w:bottom w:val="nil"/>
            </w:tcBorders>
            <w:shd w:val="clear" w:color="auto" w:fill="auto"/>
            <w:vAlign w:val="center"/>
          </w:tcPr>
          <w:p w:rsidR="00197CC0" w:rsidRPr="00A67DE9" w:rsidRDefault="00197CC0" w:rsidP="00B81843">
            <w:pPr>
              <w:pStyle w:val="Textoindependiente"/>
              <w:jc w:val="center"/>
              <w:rPr>
                <w:rFonts w:ascii="Arial" w:hAnsi="Arial" w:cs="Arial"/>
                <w:b w:val="0"/>
                <w:sz w:val="24"/>
                <w:lang w:val="en-US"/>
              </w:rPr>
            </w:pPr>
            <w:r w:rsidRPr="005B1AF6">
              <w:rPr>
                <w:rFonts w:ascii="Arial" w:hAnsi="Arial" w:cs="Arial"/>
                <w:b w:val="0"/>
                <w:noProof/>
                <w:sz w:val="24"/>
                <w:lang w:val="en-US"/>
              </w:rPr>
              <w:drawing>
                <wp:inline distT="0" distB="0" distL="0" distR="0" wp14:anchorId="373CE3F2" wp14:editId="360189AA">
                  <wp:extent cx="771525" cy="542925"/>
                  <wp:effectExtent l="0" t="0" r="9525" b="9525"/>
                  <wp:docPr id="1674859464" name="Imagen 1674859464" descr="Screen Clippi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4" descr="Screen Clipping"/>
                          <pic:cNvPicPr>
                            <a:picLocks noGrp="1"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771525" cy="542925"/>
                          </a:xfrm>
                          <a:prstGeom prst="rect">
                            <a:avLst/>
                          </a:prstGeom>
                          <a:noFill/>
                          <a:ln>
                            <a:noFill/>
                          </a:ln>
                        </pic:spPr>
                      </pic:pic>
                    </a:graphicData>
                  </a:graphic>
                </wp:inline>
              </w:drawing>
            </w:r>
          </w:p>
        </w:tc>
      </w:tr>
      <w:tr w:rsidR="00197CC0" w:rsidRPr="00A67DE9" w:rsidTr="00B81843">
        <w:trPr>
          <w:trHeight w:val="176"/>
          <w:jc w:val="center"/>
        </w:trPr>
        <w:tc>
          <w:tcPr>
            <w:tcW w:w="3543" w:type="dxa"/>
            <w:vMerge/>
            <w:tcBorders>
              <w:top w:val="single" w:sz="4" w:space="0" w:color="auto"/>
            </w:tcBorders>
            <w:shd w:val="clear" w:color="auto" w:fill="auto"/>
            <w:vAlign w:val="center"/>
          </w:tcPr>
          <w:p w:rsidR="00197CC0" w:rsidRDefault="00197CC0" w:rsidP="00B81843">
            <w:pPr>
              <w:pStyle w:val="Textoindependiente"/>
              <w:jc w:val="center"/>
              <w:rPr>
                <w:rFonts w:ascii="Arial" w:hAnsi="Arial" w:cs="Arial"/>
                <w:b w:val="0"/>
                <w:sz w:val="24"/>
              </w:rPr>
            </w:pPr>
          </w:p>
        </w:tc>
        <w:tc>
          <w:tcPr>
            <w:tcW w:w="3384" w:type="dxa"/>
            <w:gridSpan w:val="2"/>
            <w:tcBorders>
              <w:top w:val="nil"/>
              <w:bottom w:val="single" w:sz="4" w:space="0" w:color="auto"/>
            </w:tcBorders>
            <w:shd w:val="clear" w:color="auto" w:fill="auto"/>
            <w:vAlign w:val="center"/>
          </w:tcPr>
          <w:p w:rsidR="00197CC0" w:rsidRDefault="00197CC0" w:rsidP="00B81843">
            <w:pPr>
              <w:pStyle w:val="Textoindependiente"/>
              <w:rPr>
                <w:rFonts w:ascii="Arial" w:hAnsi="Arial" w:cs="Arial"/>
                <w:b w:val="0"/>
                <w:sz w:val="24"/>
              </w:rPr>
            </w:pPr>
          </w:p>
        </w:tc>
        <w:tc>
          <w:tcPr>
            <w:tcW w:w="3261" w:type="dxa"/>
            <w:tcBorders>
              <w:top w:val="nil"/>
              <w:bottom w:val="single" w:sz="4" w:space="0" w:color="auto"/>
            </w:tcBorders>
            <w:shd w:val="clear" w:color="auto" w:fill="auto"/>
            <w:vAlign w:val="center"/>
          </w:tcPr>
          <w:p w:rsidR="00197CC0" w:rsidRPr="000F3E45" w:rsidRDefault="00197CC0" w:rsidP="00B81843">
            <w:pPr>
              <w:pStyle w:val="Textoindependiente"/>
              <w:jc w:val="center"/>
              <w:rPr>
                <w:rFonts w:ascii="Arial" w:hAnsi="Arial" w:cs="Arial"/>
                <w:noProof/>
                <w:sz w:val="24"/>
                <w:lang w:eastAsia="es-MX"/>
              </w:rPr>
            </w:pPr>
            <w:r w:rsidRPr="000F3E45">
              <w:rPr>
                <w:rFonts w:ascii="Arial" w:hAnsi="Arial" w:cs="Arial"/>
                <w:noProof/>
                <w:sz w:val="24"/>
                <w:lang w:eastAsia="es-MX"/>
              </w:rPr>
              <w:t>Figura 9</w:t>
            </w:r>
          </w:p>
        </w:tc>
      </w:tr>
      <w:tr w:rsidR="00197CC0" w:rsidRPr="00A67DE9" w:rsidTr="00B81843">
        <w:trPr>
          <w:trHeight w:val="173"/>
          <w:jc w:val="center"/>
        </w:trPr>
        <w:tc>
          <w:tcPr>
            <w:tcW w:w="3543" w:type="dxa"/>
            <w:vMerge/>
            <w:tcBorders>
              <w:bottom w:val="nil"/>
            </w:tcBorders>
            <w:shd w:val="clear" w:color="auto" w:fill="auto"/>
            <w:vAlign w:val="center"/>
          </w:tcPr>
          <w:p w:rsidR="00197CC0" w:rsidRDefault="00197CC0" w:rsidP="00B81843">
            <w:pPr>
              <w:pStyle w:val="Textoindependiente"/>
              <w:jc w:val="center"/>
              <w:rPr>
                <w:rFonts w:ascii="Arial" w:hAnsi="Arial" w:cs="Arial"/>
                <w:b w:val="0"/>
                <w:sz w:val="24"/>
              </w:rPr>
            </w:pPr>
          </w:p>
        </w:tc>
        <w:tc>
          <w:tcPr>
            <w:tcW w:w="3384" w:type="dxa"/>
            <w:gridSpan w:val="2"/>
            <w:tcBorders>
              <w:top w:val="single" w:sz="4" w:space="0" w:color="auto"/>
              <w:bottom w:val="nil"/>
            </w:tcBorders>
            <w:shd w:val="clear" w:color="auto" w:fill="auto"/>
            <w:vAlign w:val="center"/>
          </w:tcPr>
          <w:p w:rsidR="00197CC0" w:rsidRPr="00A67DE9" w:rsidRDefault="00197CC0" w:rsidP="00257D10">
            <w:pPr>
              <w:pStyle w:val="Textoindependiente"/>
              <w:numPr>
                <w:ilvl w:val="0"/>
                <w:numId w:val="22"/>
              </w:numPr>
              <w:spacing w:after="0" w:line="240" w:lineRule="auto"/>
              <w:jc w:val="center"/>
              <w:rPr>
                <w:rFonts w:ascii="Arial" w:hAnsi="Arial" w:cs="Arial"/>
                <w:b w:val="0"/>
                <w:sz w:val="24"/>
              </w:rPr>
            </w:pPr>
            <w:r>
              <w:rPr>
                <w:rFonts w:ascii="Arial" w:hAnsi="Arial" w:cs="Arial"/>
                <w:b w:val="0"/>
                <w:sz w:val="24"/>
              </w:rPr>
              <w:t>Parte activa TEA (trietilamina)</w:t>
            </w:r>
          </w:p>
        </w:tc>
        <w:tc>
          <w:tcPr>
            <w:tcW w:w="3261" w:type="dxa"/>
            <w:tcBorders>
              <w:top w:val="single" w:sz="4" w:space="0" w:color="auto"/>
              <w:bottom w:val="nil"/>
            </w:tcBorders>
            <w:shd w:val="clear" w:color="auto" w:fill="auto"/>
            <w:vAlign w:val="center"/>
          </w:tcPr>
          <w:p w:rsidR="00197CC0" w:rsidRPr="00A67DE9" w:rsidRDefault="00197CC0" w:rsidP="00B81843">
            <w:pPr>
              <w:pStyle w:val="Textoindependiente"/>
              <w:jc w:val="center"/>
              <w:rPr>
                <w:rFonts w:ascii="Arial" w:hAnsi="Arial" w:cs="Arial"/>
                <w:b w:val="0"/>
                <w:sz w:val="24"/>
                <w:lang w:val="en-US"/>
              </w:rPr>
            </w:pPr>
            <w:r w:rsidRPr="005B1AF6">
              <w:rPr>
                <w:rFonts w:ascii="Arial" w:hAnsi="Arial" w:cs="Arial"/>
                <w:b w:val="0"/>
                <w:noProof/>
                <w:sz w:val="24"/>
                <w:lang w:val="en-US"/>
              </w:rPr>
              <w:drawing>
                <wp:inline distT="0" distB="0" distL="0" distR="0" wp14:anchorId="740B14EC" wp14:editId="682E9D97">
                  <wp:extent cx="1000125" cy="428625"/>
                  <wp:effectExtent l="0" t="0" r="9525" b="9525"/>
                  <wp:docPr id="1674859463" name="Imagen 1674859463" descr="Screen Clippi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descr="Screen Clipping"/>
                          <pic:cNvPicPr>
                            <a:picLocks noGrp="1"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00125" cy="428625"/>
                          </a:xfrm>
                          <a:prstGeom prst="rect">
                            <a:avLst/>
                          </a:prstGeom>
                          <a:noFill/>
                          <a:ln>
                            <a:noFill/>
                          </a:ln>
                        </pic:spPr>
                      </pic:pic>
                    </a:graphicData>
                  </a:graphic>
                </wp:inline>
              </w:drawing>
            </w:r>
          </w:p>
        </w:tc>
      </w:tr>
      <w:tr w:rsidR="00197CC0" w:rsidRPr="00A67DE9" w:rsidTr="00B81843">
        <w:trPr>
          <w:trHeight w:val="173"/>
          <w:jc w:val="center"/>
        </w:trPr>
        <w:tc>
          <w:tcPr>
            <w:tcW w:w="3543" w:type="dxa"/>
            <w:tcBorders>
              <w:top w:val="nil"/>
              <w:bottom w:val="single" w:sz="4" w:space="0" w:color="auto"/>
            </w:tcBorders>
            <w:shd w:val="clear" w:color="auto" w:fill="auto"/>
            <w:vAlign w:val="center"/>
          </w:tcPr>
          <w:p w:rsidR="00197CC0" w:rsidRDefault="00197CC0" w:rsidP="00B81843">
            <w:pPr>
              <w:pStyle w:val="Textoindependiente"/>
              <w:jc w:val="center"/>
              <w:rPr>
                <w:rFonts w:ascii="Arial" w:hAnsi="Arial" w:cs="Arial"/>
                <w:b w:val="0"/>
                <w:sz w:val="24"/>
              </w:rPr>
            </w:pPr>
          </w:p>
        </w:tc>
        <w:tc>
          <w:tcPr>
            <w:tcW w:w="3384" w:type="dxa"/>
            <w:gridSpan w:val="2"/>
            <w:tcBorders>
              <w:top w:val="nil"/>
              <w:bottom w:val="single" w:sz="4" w:space="0" w:color="auto"/>
            </w:tcBorders>
            <w:shd w:val="clear" w:color="auto" w:fill="auto"/>
            <w:vAlign w:val="center"/>
          </w:tcPr>
          <w:p w:rsidR="00197CC0" w:rsidRDefault="00197CC0" w:rsidP="00B81843">
            <w:pPr>
              <w:pStyle w:val="Textoindependiente"/>
              <w:rPr>
                <w:rFonts w:ascii="Arial" w:hAnsi="Arial" w:cs="Arial"/>
                <w:b w:val="0"/>
                <w:sz w:val="24"/>
              </w:rPr>
            </w:pPr>
          </w:p>
        </w:tc>
        <w:tc>
          <w:tcPr>
            <w:tcW w:w="3261" w:type="dxa"/>
            <w:tcBorders>
              <w:top w:val="nil"/>
              <w:bottom w:val="single" w:sz="4" w:space="0" w:color="auto"/>
            </w:tcBorders>
            <w:shd w:val="clear" w:color="auto" w:fill="auto"/>
            <w:vAlign w:val="center"/>
          </w:tcPr>
          <w:p w:rsidR="00197CC0" w:rsidRPr="000F3E45" w:rsidRDefault="00197CC0" w:rsidP="00B81843">
            <w:pPr>
              <w:pStyle w:val="Textoindependiente"/>
              <w:jc w:val="center"/>
              <w:rPr>
                <w:rFonts w:ascii="Arial" w:hAnsi="Arial" w:cs="Arial"/>
                <w:noProof/>
                <w:sz w:val="24"/>
                <w:lang w:eastAsia="es-MX"/>
              </w:rPr>
            </w:pPr>
            <w:r w:rsidRPr="000F3E45">
              <w:rPr>
                <w:rFonts w:ascii="Arial" w:hAnsi="Arial" w:cs="Arial"/>
                <w:noProof/>
                <w:sz w:val="24"/>
                <w:lang w:eastAsia="es-MX"/>
              </w:rPr>
              <w:t>Figura 10</w:t>
            </w:r>
          </w:p>
        </w:tc>
      </w:tr>
      <w:tr w:rsidR="00197CC0" w:rsidRPr="00A67DE9" w:rsidTr="00B81843">
        <w:trPr>
          <w:jc w:val="center"/>
        </w:trPr>
        <w:tc>
          <w:tcPr>
            <w:tcW w:w="3652" w:type="dxa"/>
            <w:gridSpan w:val="2"/>
            <w:tcBorders>
              <w:top w:val="single" w:sz="4" w:space="0" w:color="auto"/>
            </w:tcBorders>
            <w:shd w:val="clear" w:color="auto" w:fill="auto"/>
            <w:vAlign w:val="center"/>
          </w:tcPr>
          <w:p w:rsidR="00197CC0" w:rsidRPr="00A67DE9" w:rsidRDefault="00197CC0" w:rsidP="00B81843">
            <w:pPr>
              <w:pStyle w:val="Textoindependiente"/>
              <w:jc w:val="center"/>
              <w:rPr>
                <w:rFonts w:ascii="Arial" w:hAnsi="Arial" w:cs="Arial"/>
                <w:b w:val="0"/>
                <w:sz w:val="24"/>
              </w:rPr>
            </w:pPr>
            <w:r>
              <w:rPr>
                <w:rFonts w:ascii="Arial" w:hAnsi="Arial" w:cs="Arial"/>
                <w:b w:val="0"/>
                <w:sz w:val="24"/>
              </w:rPr>
              <w:t>Agregado</w:t>
            </w:r>
          </w:p>
        </w:tc>
        <w:tc>
          <w:tcPr>
            <w:tcW w:w="3275" w:type="dxa"/>
            <w:tcBorders>
              <w:top w:val="single" w:sz="4" w:space="0" w:color="auto"/>
            </w:tcBorders>
            <w:shd w:val="clear" w:color="auto" w:fill="auto"/>
            <w:vAlign w:val="center"/>
          </w:tcPr>
          <w:p w:rsidR="00197CC0" w:rsidRPr="00A67DE9" w:rsidRDefault="00197CC0" w:rsidP="00B81843">
            <w:pPr>
              <w:pStyle w:val="Textoindependiente"/>
              <w:jc w:val="center"/>
              <w:rPr>
                <w:rFonts w:ascii="Arial" w:hAnsi="Arial" w:cs="Arial"/>
                <w:b w:val="0"/>
                <w:sz w:val="24"/>
              </w:rPr>
            </w:pPr>
            <w:r>
              <w:rPr>
                <w:rFonts w:ascii="Arial" w:hAnsi="Arial" w:cs="Arial"/>
                <w:b w:val="0"/>
                <w:sz w:val="24"/>
              </w:rPr>
              <w:t>Arena malla 50</w:t>
            </w:r>
          </w:p>
        </w:tc>
        <w:tc>
          <w:tcPr>
            <w:tcW w:w="3261" w:type="dxa"/>
            <w:tcBorders>
              <w:top w:val="single" w:sz="4" w:space="0" w:color="auto"/>
            </w:tcBorders>
            <w:shd w:val="clear" w:color="auto" w:fill="auto"/>
            <w:vAlign w:val="center"/>
          </w:tcPr>
          <w:p w:rsidR="00197CC0" w:rsidRPr="00A67DE9" w:rsidRDefault="00197CC0" w:rsidP="00B81843">
            <w:pPr>
              <w:pStyle w:val="Textoindependiente"/>
              <w:jc w:val="center"/>
              <w:rPr>
                <w:rFonts w:ascii="Arial" w:hAnsi="Arial" w:cs="Arial"/>
                <w:b w:val="0"/>
                <w:sz w:val="24"/>
                <w:lang w:val="en-US"/>
              </w:rPr>
            </w:pPr>
            <w:r>
              <w:rPr>
                <w:rFonts w:ascii="Arial" w:hAnsi="Arial" w:cs="Arial"/>
                <w:b w:val="0"/>
                <w:sz w:val="24"/>
                <w:lang w:val="en-US"/>
              </w:rPr>
              <w:t>-</w:t>
            </w:r>
          </w:p>
        </w:tc>
      </w:tr>
      <w:tr w:rsidR="00197CC0" w:rsidRPr="00AE225A" w:rsidTr="00B81843">
        <w:trPr>
          <w:jc w:val="center"/>
        </w:trPr>
        <w:tc>
          <w:tcPr>
            <w:tcW w:w="10188" w:type="dxa"/>
            <w:gridSpan w:val="4"/>
            <w:shd w:val="clear" w:color="auto" w:fill="auto"/>
            <w:vAlign w:val="center"/>
          </w:tcPr>
          <w:p w:rsidR="00197CC0" w:rsidRPr="00417512" w:rsidRDefault="00197CC0" w:rsidP="00B81843">
            <w:pPr>
              <w:pStyle w:val="Textoindependiente"/>
              <w:rPr>
                <w:rFonts w:ascii="Arial" w:hAnsi="Arial" w:cs="Arial"/>
                <w:b w:val="0"/>
                <w:i/>
                <w:sz w:val="24"/>
              </w:rPr>
            </w:pPr>
            <w:r w:rsidRPr="00417512">
              <w:rPr>
                <w:rFonts w:ascii="Arial" w:hAnsi="Arial" w:cs="Arial"/>
                <w:b w:val="0"/>
                <w:i/>
                <w:sz w:val="24"/>
                <w:vertAlign w:val="superscript"/>
              </w:rPr>
              <w:t>1</w:t>
            </w:r>
            <w:r w:rsidRPr="00417512">
              <w:rPr>
                <w:rFonts w:ascii="Arial" w:hAnsi="Arial" w:cs="Arial"/>
                <w:b w:val="0"/>
                <w:i/>
                <w:sz w:val="24"/>
              </w:rPr>
              <w:t xml:space="preserve"> Las partes I y II son formulaciones en tándem que comercialmente se adquirieron con dos proveedores (Proveedor A y B, referidos aquí como PrA y PrB, respectivamente).</w:t>
            </w:r>
          </w:p>
          <w:p w:rsidR="00197CC0" w:rsidRPr="002524FC" w:rsidRDefault="00197CC0" w:rsidP="00B81843">
            <w:pPr>
              <w:pStyle w:val="Textoindependiente"/>
              <w:rPr>
                <w:rFonts w:ascii="Arial" w:hAnsi="Arial" w:cs="Arial"/>
                <w:b w:val="0"/>
                <w:sz w:val="24"/>
              </w:rPr>
            </w:pPr>
            <w:r w:rsidRPr="00417512">
              <w:rPr>
                <w:rFonts w:ascii="Arial" w:hAnsi="Arial" w:cs="Arial"/>
                <w:b w:val="0"/>
                <w:i/>
                <w:sz w:val="24"/>
                <w:vertAlign w:val="superscript"/>
              </w:rPr>
              <w:t xml:space="preserve">2 </w:t>
            </w:r>
            <w:r w:rsidRPr="00417512">
              <w:rPr>
                <w:rFonts w:ascii="Arial" w:hAnsi="Arial" w:cs="Arial"/>
                <w:b w:val="0"/>
                <w:i/>
                <w:sz w:val="24"/>
              </w:rPr>
              <w:t>Son la parte activa de las formulaciones que se prepararon</w:t>
            </w:r>
            <w:r>
              <w:rPr>
                <w:rFonts w:ascii="Arial" w:hAnsi="Arial" w:cs="Arial"/>
                <w:b w:val="0"/>
                <w:sz w:val="24"/>
              </w:rPr>
              <w:t>.</w:t>
            </w:r>
          </w:p>
        </w:tc>
      </w:tr>
    </w:tbl>
    <w:p w:rsidR="00197CC0" w:rsidRDefault="00197CC0" w:rsidP="00197CC0">
      <w:pPr>
        <w:spacing w:line="360" w:lineRule="auto"/>
        <w:rPr>
          <w:rFonts w:ascii="Arial" w:hAnsi="Arial" w:cs="Arial"/>
          <w:b/>
          <w:i/>
          <w:color w:val="000000"/>
        </w:rPr>
      </w:pPr>
    </w:p>
    <w:p w:rsidR="00197CC0" w:rsidRDefault="00197CC0" w:rsidP="00197CC0">
      <w:pPr>
        <w:spacing w:line="276" w:lineRule="auto"/>
        <w:rPr>
          <w:rFonts w:ascii="Arial" w:hAnsi="Arial" w:cs="Arial"/>
          <w:b/>
          <w:i/>
          <w:color w:val="000000"/>
        </w:rPr>
      </w:pPr>
      <w:r>
        <w:rPr>
          <w:rFonts w:ascii="Arial" w:hAnsi="Arial" w:cs="Arial"/>
          <w:b/>
          <w:i/>
          <w:color w:val="000000"/>
        </w:rPr>
        <w:t>4</w:t>
      </w:r>
      <w:r w:rsidRPr="00CE25BD">
        <w:rPr>
          <w:rFonts w:ascii="Arial" w:hAnsi="Arial" w:cs="Arial"/>
          <w:b/>
          <w:i/>
          <w:color w:val="000000"/>
        </w:rPr>
        <w:t xml:space="preserve">. </w:t>
      </w:r>
      <w:r>
        <w:rPr>
          <w:rFonts w:ascii="Arial" w:hAnsi="Arial" w:cs="Arial"/>
          <w:b/>
          <w:i/>
          <w:color w:val="000000"/>
        </w:rPr>
        <w:t>RESULTADOS Y DISCUSIÓN</w:t>
      </w:r>
    </w:p>
    <w:p w:rsidR="00197CC0" w:rsidRPr="00CA3EC2" w:rsidRDefault="00197CC0" w:rsidP="00197CC0">
      <w:pPr>
        <w:rPr>
          <w:rFonts w:ascii="Arial" w:hAnsi="Arial" w:cs="Arial"/>
        </w:rPr>
      </w:pPr>
      <w:r w:rsidRPr="00CA3EC2">
        <w:rPr>
          <w:rFonts w:ascii="Arial" w:hAnsi="Arial" w:cs="Arial"/>
        </w:rPr>
        <w:t xml:space="preserve">Se realizaron pruebas con diferentes volúmenes de formulaciones de amina para determinar la cantidad mínima necesaria para obtener una probeta completa sin defectos como orillas incompletas </w:t>
      </w:r>
      <w:r w:rsidRPr="00CA3EC2">
        <w:rPr>
          <w:rFonts w:ascii="Arial" w:hAnsi="Arial" w:cs="Arial"/>
        </w:rPr>
        <w:lastRenderedPageBreak/>
        <w:t>o bordes frágiles. De acuerdo con los resultados, cuando la mezcla contiene 1.3% de resina total del proveedor A se requieren mínimo 70 a 90μL de petramin 1, 60 a 80μL de petramin 2 y 50 a 70μL para petramin 3 y petramin 4, y para un porcentaje de 1.5%, se requiere al menos 75 a 95μL de petramin 1, 70 a 90μL de petramin 2 y 55 a 75μL para petramin 3 y petramin 4. Para el proveedor B, se requiere menor cantidad de catalizador de manera general, para 1.3% de resina total son requeridos 60 a 80μL de petramin 1, 40 a 60μL de petramin 2, 30 a 50μL de petramin 4 y 25 a 45μL para petramin 3, mientras que para 1.5%, los valores son 60 a 80μL de petramin 1, 50 a 70μL de petramin 2 y 35 a 55μL para petramin 3 y petramin 4. Con un menor volumen de formulación y el mismo desempeño, petramin 3 y petramin 4 presentarían aparentemente mejores capacidades catalíticas respecto de petramin 1 y petramin 2, sin embargo, al ensayar las resistencias de dichas probetas, presentaban valores bajos y una gran variabilidad de resultados, además de deficiencias de curado interno. Para el caso de la petramin 1 y petramin 2, este efecto fue mínimo, por ello, se decidió tomar los valores máximos de dosificación de la petramin 1 y realizar los experimentos siguientes a una misma concentración de amina para observar el efecto catalítico de cada molécula de sustancia activa (amina).</w:t>
      </w:r>
    </w:p>
    <w:p w:rsidR="00197CC0" w:rsidRDefault="00197CC0" w:rsidP="00197CC0">
      <w:pPr>
        <w:pStyle w:val="Prrafodelista"/>
        <w:rPr>
          <w:rFonts w:ascii="Arial" w:hAnsi="Arial" w:cs="Arial"/>
          <w:b/>
        </w:rPr>
      </w:pPr>
    </w:p>
    <w:tbl>
      <w:tblPr>
        <w:tblW w:w="10188" w:type="dxa"/>
        <w:tblInd w:w="-38" w:type="dxa"/>
        <w:tblCellMar>
          <w:left w:w="70" w:type="dxa"/>
          <w:right w:w="70" w:type="dxa"/>
        </w:tblCellMar>
        <w:tblLook w:val="04A0" w:firstRow="1" w:lastRow="0" w:firstColumn="1" w:lastColumn="0" w:noHBand="0" w:noVBand="1"/>
      </w:tblPr>
      <w:tblGrid>
        <w:gridCol w:w="6213"/>
        <w:gridCol w:w="3975"/>
      </w:tblGrid>
      <w:tr w:rsidR="00197CC0" w:rsidRPr="00381338" w:rsidTr="00B81843">
        <w:trPr>
          <w:trHeight w:val="95"/>
        </w:trPr>
        <w:tc>
          <w:tcPr>
            <w:tcW w:w="6213" w:type="dxa"/>
            <w:shd w:val="clear" w:color="auto" w:fill="auto"/>
          </w:tcPr>
          <w:p w:rsidR="00197CC0" w:rsidRPr="00381338" w:rsidRDefault="00197CC0" w:rsidP="00B81843">
            <w:pPr>
              <w:jc w:val="center"/>
              <w:rPr>
                <w:rFonts w:ascii="Arial" w:eastAsia="Calibri" w:hAnsi="Arial" w:cs="Arial"/>
                <w:noProof/>
                <w:lang w:eastAsia="es-MX"/>
              </w:rPr>
            </w:pPr>
            <w:r w:rsidRPr="00AB6D5F">
              <w:rPr>
                <w:noProof/>
                <w:lang w:val="en-US"/>
              </w:rPr>
              <w:drawing>
                <wp:inline distT="0" distB="0" distL="0" distR="0" wp14:anchorId="5F608D6F" wp14:editId="161EC487">
                  <wp:extent cx="2370455" cy="1837690"/>
                  <wp:effectExtent l="0" t="0" r="10795" b="10160"/>
                  <wp:docPr id="1674859459" name="Gráfico 16748594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197CC0" w:rsidRPr="00381338" w:rsidRDefault="00197CC0" w:rsidP="00B81843">
            <w:pPr>
              <w:jc w:val="center"/>
              <w:rPr>
                <w:rFonts w:ascii="Arial" w:hAnsi="Arial" w:cs="Arial"/>
              </w:rPr>
            </w:pPr>
            <w:r>
              <w:rPr>
                <w:rFonts w:ascii="Arial" w:hAnsi="Arial" w:cs="Arial"/>
                <w:b/>
              </w:rPr>
              <w:t>Figura 11</w:t>
            </w:r>
            <w:r w:rsidRPr="00381338">
              <w:rPr>
                <w:rFonts w:ascii="Arial" w:hAnsi="Arial" w:cs="Arial"/>
              </w:rPr>
              <w:t>. Volumen</w:t>
            </w:r>
            <w:r>
              <w:rPr>
                <w:rFonts w:ascii="Arial" w:hAnsi="Arial" w:cs="Arial"/>
              </w:rPr>
              <w:t xml:space="preserve"> promedio</w:t>
            </w:r>
            <w:r w:rsidRPr="00381338">
              <w:rPr>
                <w:rFonts w:ascii="Arial" w:hAnsi="Arial" w:cs="Arial"/>
              </w:rPr>
              <w:t xml:space="preserve"> mínimo necesario para fabricar una probeta sin defectos en COLDBOX</w:t>
            </w:r>
            <w:r>
              <w:rPr>
                <w:rFonts w:ascii="Arial" w:hAnsi="Arial" w:cs="Arial"/>
              </w:rPr>
              <w:t>.</w:t>
            </w:r>
          </w:p>
          <w:p w:rsidR="00197CC0" w:rsidRPr="00381338" w:rsidRDefault="00197CC0" w:rsidP="00197CC0">
            <w:pPr>
              <w:pStyle w:val="Textoindependiente"/>
              <w:numPr>
                <w:ilvl w:val="0"/>
                <w:numId w:val="1"/>
              </w:numPr>
              <w:tabs>
                <w:tab w:val="clear" w:pos="432"/>
                <w:tab w:val="num" w:pos="0"/>
              </w:tabs>
              <w:spacing w:after="0" w:line="240" w:lineRule="auto"/>
              <w:ind w:left="0" w:firstLine="0"/>
              <w:jc w:val="both"/>
              <w:rPr>
                <w:rFonts w:ascii="Arial" w:hAnsi="Arial" w:cs="Arial"/>
                <w:b w:val="0"/>
                <w:sz w:val="24"/>
              </w:rPr>
            </w:pPr>
          </w:p>
        </w:tc>
        <w:tc>
          <w:tcPr>
            <w:tcW w:w="3975" w:type="dxa"/>
            <w:shd w:val="clear" w:color="auto" w:fill="auto"/>
          </w:tcPr>
          <w:p w:rsidR="00197CC0" w:rsidRPr="00381338" w:rsidRDefault="00197CC0" w:rsidP="00B81843">
            <w:pPr>
              <w:jc w:val="center"/>
              <w:rPr>
                <w:rFonts w:ascii="Arial" w:hAnsi="Arial" w:cs="Arial"/>
                <w:b/>
              </w:rPr>
            </w:pPr>
            <w:r w:rsidRPr="00381338">
              <w:rPr>
                <w:rFonts w:ascii="Arial" w:hAnsi="Arial" w:cs="Arial"/>
                <w:b/>
                <w:noProof/>
                <w:lang w:val="en-US"/>
              </w:rPr>
              <w:drawing>
                <wp:inline distT="0" distB="0" distL="0" distR="0" wp14:anchorId="3566236B" wp14:editId="2A699870">
                  <wp:extent cx="1847850" cy="1343025"/>
                  <wp:effectExtent l="4762" t="0" r="4763" b="4762"/>
                  <wp:docPr id="1674859458" name="Imagen 1674859458" descr="C:\Users\DELL 6430\Desktop\probet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 6430\Desktop\probetas 2.jpg"/>
                          <pic:cNvPicPr>
                            <a:picLocks noChangeAspect="1" noChangeArrowheads="1"/>
                          </pic:cNvPicPr>
                        </pic:nvPicPr>
                        <pic:blipFill>
                          <a:blip r:embed="rId130" cstate="print">
                            <a:extLst>
                              <a:ext uri="{28A0092B-C50C-407E-A947-70E740481C1C}">
                                <a14:useLocalDpi xmlns:a14="http://schemas.microsoft.com/office/drawing/2010/main" val="0"/>
                              </a:ext>
                            </a:extLst>
                          </a:blip>
                          <a:srcRect t="3467" b="21884"/>
                          <a:stretch>
                            <a:fillRect/>
                          </a:stretch>
                        </pic:blipFill>
                        <pic:spPr bwMode="auto">
                          <a:xfrm rot="-5400000">
                            <a:off x="0" y="0"/>
                            <a:ext cx="1847850" cy="1343025"/>
                          </a:xfrm>
                          <a:prstGeom prst="rect">
                            <a:avLst/>
                          </a:prstGeom>
                          <a:noFill/>
                          <a:ln>
                            <a:noFill/>
                          </a:ln>
                        </pic:spPr>
                      </pic:pic>
                    </a:graphicData>
                  </a:graphic>
                </wp:inline>
              </w:drawing>
            </w:r>
          </w:p>
          <w:p w:rsidR="00197CC0" w:rsidRPr="00381338" w:rsidRDefault="00197CC0" w:rsidP="00B81843">
            <w:pPr>
              <w:jc w:val="center"/>
              <w:rPr>
                <w:rFonts w:ascii="Arial" w:eastAsia="Calibri" w:hAnsi="Arial" w:cs="Arial"/>
                <w:i/>
                <w:iCs/>
              </w:rPr>
            </w:pPr>
            <w:r>
              <w:rPr>
                <w:rFonts w:ascii="Arial" w:hAnsi="Arial" w:cs="Arial"/>
                <w:b/>
              </w:rPr>
              <w:t>Figura 12</w:t>
            </w:r>
            <w:r w:rsidRPr="00381338">
              <w:rPr>
                <w:rFonts w:ascii="Arial" w:hAnsi="Arial" w:cs="Arial"/>
              </w:rPr>
              <w:t>. Probetas con y sin defectos</w:t>
            </w:r>
            <w:r>
              <w:rPr>
                <w:rFonts w:ascii="Arial" w:hAnsi="Arial" w:cs="Arial"/>
              </w:rPr>
              <w:t>.</w:t>
            </w:r>
          </w:p>
          <w:p w:rsidR="00197CC0" w:rsidRPr="00381338" w:rsidRDefault="00197CC0" w:rsidP="00197CC0">
            <w:pPr>
              <w:pStyle w:val="Textoindependiente"/>
              <w:numPr>
                <w:ilvl w:val="0"/>
                <w:numId w:val="1"/>
              </w:numPr>
              <w:tabs>
                <w:tab w:val="clear" w:pos="432"/>
                <w:tab w:val="num" w:pos="0"/>
              </w:tabs>
              <w:spacing w:after="0" w:line="240" w:lineRule="auto"/>
              <w:ind w:left="0" w:firstLine="0"/>
              <w:jc w:val="both"/>
              <w:rPr>
                <w:rFonts w:ascii="Arial" w:hAnsi="Arial" w:cs="Arial"/>
                <w:b w:val="0"/>
                <w:sz w:val="24"/>
              </w:rPr>
            </w:pPr>
          </w:p>
        </w:tc>
      </w:tr>
    </w:tbl>
    <w:p w:rsidR="00197CC0" w:rsidRDefault="00197CC0" w:rsidP="00197CC0">
      <w:pPr>
        <w:pStyle w:val="Textoindependiente"/>
        <w:rPr>
          <w:rFonts w:ascii="Arial" w:hAnsi="Arial" w:cs="Arial"/>
          <w:b w:val="0"/>
          <w:sz w:val="24"/>
        </w:rPr>
      </w:pPr>
      <w:r>
        <w:rPr>
          <w:rFonts w:ascii="Arial" w:hAnsi="Arial" w:cs="Arial"/>
          <w:b w:val="0"/>
          <w:sz w:val="24"/>
        </w:rPr>
        <w:t>Como se puede observar en las figuras 13 y 14, u</w:t>
      </w:r>
      <w:r w:rsidRPr="00B952D5">
        <w:rPr>
          <w:rFonts w:ascii="Arial" w:hAnsi="Arial" w:cs="Arial"/>
          <w:b w:val="0"/>
          <w:sz w:val="24"/>
        </w:rPr>
        <w:t>tilizando la misma cantidad de amina en peso, los resultados de resistencias de las probetas con el proveedor A y B al 1.3% de resina total se observan en el siguiente orden para cada proveedor:</w:t>
      </w:r>
    </w:p>
    <w:p w:rsidR="00197CC0" w:rsidRPr="00CD5ACA" w:rsidRDefault="00197CC0" w:rsidP="00197CC0">
      <w:pPr>
        <w:pStyle w:val="Prrafodelista"/>
        <w:numPr>
          <w:ilvl w:val="0"/>
          <w:numId w:val="1"/>
        </w:numPr>
        <w:tabs>
          <w:tab w:val="clear" w:pos="432"/>
          <w:tab w:val="num" w:pos="0"/>
        </w:tabs>
        <w:spacing w:after="0" w:line="240" w:lineRule="auto"/>
        <w:ind w:left="0" w:firstLine="0"/>
        <w:contextualSpacing w:val="0"/>
        <w:jc w:val="center"/>
        <w:rPr>
          <w:rFonts w:ascii="Arial" w:hAnsi="Arial" w:cs="Arial"/>
          <w:b/>
        </w:rPr>
      </w:pPr>
      <w:r>
        <w:rPr>
          <w:rFonts w:ascii="Arial" w:hAnsi="Arial" w:cs="Arial"/>
          <w:b/>
        </w:rPr>
        <w:t>Pr</w:t>
      </w:r>
      <w:r w:rsidRPr="00D03208">
        <w:rPr>
          <w:rFonts w:ascii="Arial" w:hAnsi="Arial" w:cs="Arial"/>
          <w:b/>
        </w:rPr>
        <w:t>A</w:t>
      </w:r>
      <w:r>
        <w:rPr>
          <w:rFonts w:ascii="Arial" w:hAnsi="Arial" w:cs="Arial"/>
          <w:b/>
        </w:rPr>
        <w:t>: petramin 1 &gt; petramin 3 &gt; petramin 2 &gt; petramin 4</w:t>
      </w:r>
    </w:p>
    <w:p w:rsidR="00197CC0" w:rsidRPr="00CD5ACA" w:rsidRDefault="00197CC0" w:rsidP="00197CC0">
      <w:pPr>
        <w:pStyle w:val="Prrafodelista"/>
        <w:numPr>
          <w:ilvl w:val="0"/>
          <w:numId w:val="1"/>
        </w:numPr>
        <w:tabs>
          <w:tab w:val="clear" w:pos="432"/>
          <w:tab w:val="num" w:pos="0"/>
        </w:tabs>
        <w:spacing w:after="0" w:line="240" w:lineRule="auto"/>
        <w:ind w:left="0" w:firstLine="0"/>
        <w:contextualSpacing w:val="0"/>
        <w:jc w:val="center"/>
        <w:rPr>
          <w:rFonts w:ascii="Arial" w:hAnsi="Arial" w:cs="Arial"/>
          <w:b/>
        </w:rPr>
      </w:pPr>
      <w:r>
        <w:rPr>
          <w:rFonts w:ascii="Arial" w:hAnsi="Arial" w:cs="Arial"/>
          <w:b/>
        </w:rPr>
        <w:t>PrB: petramin 2 &gt; petramin 1 &gt; petramin 4 &gt; petramin 3</w:t>
      </w:r>
    </w:p>
    <w:p w:rsidR="00197CC0" w:rsidRDefault="00197CC0" w:rsidP="00197CC0">
      <w:pPr>
        <w:pStyle w:val="Prrafodelista"/>
        <w:ind w:left="0"/>
        <w:rPr>
          <w:rFonts w:ascii="Arial" w:hAnsi="Arial" w:cs="Arial"/>
          <w:b/>
        </w:rPr>
      </w:pPr>
    </w:p>
    <w:p w:rsidR="00197CC0" w:rsidRDefault="00197CC0" w:rsidP="00197CC0">
      <w:pPr>
        <w:pStyle w:val="Prrafodelista"/>
        <w:ind w:left="0"/>
        <w:rPr>
          <w:rFonts w:ascii="Arial" w:hAnsi="Arial" w:cs="Arial"/>
        </w:rPr>
      </w:pPr>
      <w:r>
        <w:rPr>
          <w:rFonts w:ascii="Arial" w:hAnsi="Arial" w:cs="Arial"/>
        </w:rPr>
        <w:t>De manera análoga, para 1.5 % de resina total, el orden de resistencias es el siguiente:</w:t>
      </w:r>
    </w:p>
    <w:p w:rsidR="00197CC0" w:rsidRPr="00D03208" w:rsidRDefault="00197CC0" w:rsidP="00197CC0">
      <w:pPr>
        <w:pStyle w:val="Prrafodelista"/>
        <w:ind w:left="0"/>
        <w:jc w:val="center"/>
        <w:rPr>
          <w:rFonts w:ascii="Arial" w:hAnsi="Arial" w:cs="Arial"/>
          <w:b/>
        </w:rPr>
      </w:pPr>
      <w:r>
        <w:rPr>
          <w:rFonts w:ascii="Arial" w:hAnsi="Arial" w:cs="Arial"/>
          <w:b/>
        </w:rPr>
        <w:t>PrA: petramin 1 &gt; petramin 2 &gt; petramin 3 &gt; petramin 4</w:t>
      </w:r>
    </w:p>
    <w:p w:rsidR="00197CC0" w:rsidRDefault="00197CC0" w:rsidP="00197CC0">
      <w:pPr>
        <w:pStyle w:val="Prrafodelista"/>
        <w:ind w:left="0"/>
        <w:jc w:val="center"/>
        <w:rPr>
          <w:rFonts w:ascii="Arial" w:hAnsi="Arial" w:cs="Arial"/>
          <w:b/>
        </w:rPr>
      </w:pPr>
      <w:r>
        <w:rPr>
          <w:rFonts w:ascii="Arial" w:hAnsi="Arial" w:cs="Arial"/>
          <w:b/>
        </w:rPr>
        <w:t>PrB:  petramin 1 &gt; petramin 3 &gt; petramin 4 &gt; petramin 2</w:t>
      </w:r>
    </w:p>
    <w:p w:rsidR="00197CC0" w:rsidRDefault="00197CC0" w:rsidP="00197CC0">
      <w:pPr>
        <w:pStyle w:val="Textoindependiente"/>
        <w:numPr>
          <w:ilvl w:val="0"/>
          <w:numId w:val="1"/>
        </w:numPr>
        <w:tabs>
          <w:tab w:val="clear" w:pos="432"/>
          <w:tab w:val="num" w:pos="0"/>
        </w:tabs>
        <w:spacing w:after="0" w:line="240" w:lineRule="auto"/>
        <w:ind w:left="0" w:firstLine="0"/>
        <w:jc w:val="both"/>
        <w:rPr>
          <w:rFonts w:ascii="Arial" w:hAnsi="Arial" w:cs="Arial"/>
          <w:b w:val="0"/>
          <w:sz w:val="24"/>
        </w:rPr>
      </w:pPr>
    </w:p>
    <w:p w:rsidR="00197CC0" w:rsidRPr="004426EF" w:rsidRDefault="00197CC0" w:rsidP="00197CC0">
      <w:pPr>
        <w:pStyle w:val="Textoindependiente"/>
        <w:numPr>
          <w:ilvl w:val="0"/>
          <w:numId w:val="1"/>
        </w:numPr>
        <w:tabs>
          <w:tab w:val="clear" w:pos="432"/>
          <w:tab w:val="num" w:pos="0"/>
        </w:tabs>
        <w:spacing w:after="0" w:line="240" w:lineRule="auto"/>
        <w:ind w:left="0" w:firstLine="0"/>
        <w:jc w:val="both"/>
        <w:rPr>
          <w:rFonts w:ascii="Arial" w:hAnsi="Arial" w:cs="Arial"/>
          <w:b w:val="0"/>
          <w:sz w:val="24"/>
        </w:rPr>
      </w:pPr>
      <w:r w:rsidRPr="004426EF">
        <w:rPr>
          <w:rFonts w:ascii="Arial" w:hAnsi="Arial" w:cs="Arial"/>
          <w:b w:val="0"/>
          <w:sz w:val="24"/>
        </w:rPr>
        <w:lastRenderedPageBreak/>
        <w:t>Notoriamente las probetas fabricadas con el proveedor B son considerablemente inferiores en cuestión de resistencia de tracción que las del proveedor A. Incluso, el comportamiento de la resistencia en función del tiempo de curado es diferente entre resinas, para el PrA presenta un aumento en los primeros 15 minutos y después se mantiene prácticamente constante, mientras que, para el PrB las resistencias de las probetas se incrementan, después disminuyen y finalmente vuelven a subir. Para cualquier porcentaje de resina, el mejor dese</w:t>
      </w:r>
      <w:r>
        <w:rPr>
          <w:rFonts w:ascii="Arial" w:hAnsi="Arial" w:cs="Arial"/>
          <w:b w:val="0"/>
          <w:sz w:val="24"/>
        </w:rPr>
        <w:t>mpeño mostrado fue el de petramin 1, aunque petramin 2</w:t>
      </w:r>
      <w:r w:rsidRPr="004426EF">
        <w:rPr>
          <w:rFonts w:ascii="Arial" w:hAnsi="Arial" w:cs="Arial"/>
          <w:b w:val="0"/>
          <w:sz w:val="24"/>
        </w:rPr>
        <w:t xml:space="preserve"> también destacó en algunas pruebas. Todas las probetas </w:t>
      </w:r>
      <w:r>
        <w:rPr>
          <w:rFonts w:ascii="Arial" w:hAnsi="Arial" w:cs="Arial"/>
          <w:b w:val="0"/>
          <w:sz w:val="24"/>
        </w:rPr>
        <w:t>prob</w:t>
      </w:r>
      <w:r w:rsidRPr="004426EF">
        <w:rPr>
          <w:rFonts w:ascii="Arial" w:hAnsi="Arial" w:cs="Arial"/>
          <w:b w:val="0"/>
          <w:sz w:val="24"/>
        </w:rPr>
        <w:t>adas para cualquier catalizador mostraban muy buena integridad externa e interna de curado.</w:t>
      </w:r>
    </w:p>
    <w:tbl>
      <w:tblPr>
        <w:tblW w:w="10456" w:type="dxa"/>
        <w:tblInd w:w="-38" w:type="dxa"/>
        <w:tblCellMar>
          <w:left w:w="70" w:type="dxa"/>
          <w:right w:w="70" w:type="dxa"/>
        </w:tblCellMar>
        <w:tblLook w:val="04A0" w:firstRow="1" w:lastRow="0" w:firstColumn="1" w:lastColumn="0" w:noHBand="0" w:noVBand="1"/>
      </w:tblPr>
      <w:tblGrid>
        <w:gridCol w:w="5456"/>
        <w:gridCol w:w="5000"/>
      </w:tblGrid>
      <w:tr w:rsidR="00197CC0" w:rsidRPr="00381338" w:rsidTr="00B81843">
        <w:trPr>
          <w:trHeight w:val="4723"/>
        </w:trPr>
        <w:tc>
          <w:tcPr>
            <w:tcW w:w="5456" w:type="dxa"/>
            <w:shd w:val="clear" w:color="auto" w:fill="auto"/>
          </w:tcPr>
          <w:p w:rsidR="00197CC0" w:rsidRPr="00381338" w:rsidRDefault="00197CC0" w:rsidP="00B81843">
            <w:pPr>
              <w:rPr>
                <w:rFonts w:ascii="Arial" w:eastAsia="Calibri" w:hAnsi="Arial" w:cs="Arial"/>
                <w:noProof/>
                <w:lang w:eastAsia="es-MX"/>
              </w:rPr>
            </w:pPr>
            <w:r w:rsidRPr="00AB6D5F">
              <w:rPr>
                <w:noProof/>
                <w:lang w:val="en-US"/>
              </w:rPr>
              <w:drawing>
                <wp:inline distT="0" distB="0" distL="0" distR="0" wp14:anchorId="3009CEFD" wp14:editId="035692A3">
                  <wp:extent cx="3155315" cy="2562225"/>
                  <wp:effectExtent l="0" t="0" r="6985" b="9525"/>
                  <wp:docPr id="1674859457" name="Gráfico 16748594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197CC0" w:rsidRPr="00381338" w:rsidRDefault="00197CC0" w:rsidP="00B81843">
            <w:pPr>
              <w:jc w:val="center"/>
              <w:rPr>
                <w:rFonts w:ascii="Arial" w:hAnsi="Arial" w:cs="Arial"/>
              </w:rPr>
            </w:pPr>
            <w:r>
              <w:rPr>
                <w:rFonts w:ascii="Arial" w:hAnsi="Arial" w:cs="Arial"/>
                <w:b/>
              </w:rPr>
              <w:t>Figura 13</w:t>
            </w:r>
            <w:r w:rsidRPr="00381338">
              <w:rPr>
                <w:rFonts w:ascii="Arial" w:hAnsi="Arial" w:cs="Arial"/>
              </w:rPr>
              <w:t>. Resistencias en función del tiempo de curado para una misma concentración de amina para 1.3% de resina total</w:t>
            </w:r>
            <w:r>
              <w:rPr>
                <w:rFonts w:ascii="Arial" w:hAnsi="Arial" w:cs="Arial"/>
              </w:rPr>
              <w:t>.</w:t>
            </w:r>
          </w:p>
          <w:p w:rsidR="00197CC0" w:rsidRPr="00381338" w:rsidRDefault="00197CC0" w:rsidP="00197CC0">
            <w:pPr>
              <w:pStyle w:val="Textoindependiente"/>
              <w:numPr>
                <w:ilvl w:val="0"/>
                <w:numId w:val="1"/>
              </w:numPr>
              <w:tabs>
                <w:tab w:val="clear" w:pos="432"/>
                <w:tab w:val="num" w:pos="0"/>
              </w:tabs>
              <w:spacing w:after="0" w:line="240" w:lineRule="auto"/>
              <w:ind w:left="0" w:firstLine="0"/>
              <w:jc w:val="both"/>
              <w:rPr>
                <w:rFonts w:ascii="Arial" w:hAnsi="Arial" w:cs="Arial"/>
                <w:b w:val="0"/>
                <w:sz w:val="24"/>
              </w:rPr>
            </w:pPr>
          </w:p>
        </w:tc>
        <w:tc>
          <w:tcPr>
            <w:tcW w:w="5000" w:type="dxa"/>
            <w:shd w:val="clear" w:color="auto" w:fill="auto"/>
          </w:tcPr>
          <w:p w:rsidR="00197CC0" w:rsidRPr="00381338" w:rsidRDefault="00197CC0" w:rsidP="00B81843">
            <w:pPr>
              <w:rPr>
                <w:rFonts w:ascii="Arial" w:hAnsi="Arial" w:cs="Arial"/>
                <w:b/>
              </w:rPr>
            </w:pPr>
            <w:r w:rsidRPr="00AB6D5F">
              <w:rPr>
                <w:noProof/>
                <w:lang w:val="en-US"/>
              </w:rPr>
              <w:drawing>
                <wp:inline distT="0" distB="0" distL="0" distR="0" wp14:anchorId="2B4418B6" wp14:editId="6E74B902">
                  <wp:extent cx="3037205" cy="2560955"/>
                  <wp:effectExtent l="0" t="0" r="10795" b="10795"/>
                  <wp:docPr id="1674859456" name="Gráfico 16748594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197CC0" w:rsidRPr="00381338" w:rsidRDefault="00197CC0" w:rsidP="00B81843">
            <w:pPr>
              <w:jc w:val="center"/>
              <w:rPr>
                <w:rFonts w:ascii="Arial" w:eastAsia="Calibri" w:hAnsi="Arial" w:cs="Arial"/>
                <w:i/>
                <w:iCs/>
              </w:rPr>
            </w:pPr>
            <w:r>
              <w:rPr>
                <w:rFonts w:ascii="Arial" w:hAnsi="Arial" w:cs="Arial"/>
                <w:b/>
              </w:rPr>
              <w:t>Figura 14</w:t>
            </w:r>
            <w:r w:rsidRPr="00381338">
              <w:rPr>
                <w:rFonts w:ascii="Arial" w:hAnsi="Arial" w:cs="Arial"/>
              </w:rPr>
              <w:t>. Resistencias en función del tiempo de curado para una misma concentración de amina para 1.5% de resina total</w:t>
            </w:r>
            <w:r>
              <w:rPr>
                <w:rFonts w:ascii="Arial" w:hAnsi="Arial" w:cs="Arial"/>
              </w:rPr>
              <w:t>.</w:t>
            </w:r>
          </w:p>
          <w:p w:rsidR="00197CC0" w:rsidRPr="00381338" w:rsidRDefault="00197CC0" w:rsidP="00B81843">
            <w:pPr>
              <w:pStyle w:val="Textoindependiente"/>
              <w:rPr>
                <w:rFonts w:ascii="Arial" w:hAnsi="Arial" w:cs="Arial"/>
                <w:b w:val="0"/>
                <w:sz w:val="24"/>
              </w:rPr>
            </w:pPr>
          </w:p>
        </w:tc>
      </w:tr>
    </w:tbl>
    <w:p w:rsidR="00197CC0" w:rsidRPr="00417512" w:rsidRDefault="00197CC0" w:rsidP="00197CC0">
      <w:pPr>
        <w:numPr>
          <w:ilvl w:val="0"/>
          <w:numId w:val="1"/>
        </w:numPr>
        <w:tabs>
          <w:tab w:val="clear" w:pos="432"/>
          <w:tab w:val="num" w:pos="0"/>
        </w:tabs>
        <w:spacing w:after="0" w:line="240" w:lineRule="auto"/>
        <w:ind w:left="0" w:firstLine="0"/>
        <w:jc w:val="both"/>
        <w:rPr>
          <w:rFonts w:ascii="Arial" w:hAnsi="Arial" w:cs="Arial"/>
          <w:bCs/>
        </w:rPr>
      </w:pPr>
      <w:r w:rsidRPr="00CA3EC2">
        <w:rPr>
          <w:rFonts w:ascii="Arial" w:hAnsi="Arial" w:cs="Arial"/>
        </w:rPr>
        <w:t>Buscando obtener una posible ventaja entre las proporciones de parte 1 (poliol) y parte 2 (poliisocianato), se compararon los desempeños de resistencias v</w:t>
      </w:r>
      <w:r w:rsidRPr="00CA3EC2">
        <w:rPr>
          <w:rFonts w:ascii="Arial" w:hAnsi="Arial" w:cs="Arial"/>
          <w:bCs/>
        </w:rPr>
        <w:t>ariando las proporciones de parte I/parte II (para el caso del PrA) en: 60/40, 40/60, 65/35, 35/65, 30/70 y 70/30.</w:t>
      </w:r>
      <w:r>
        <w:rPr>
          <w:rFonts w:ascii="Arial" w:hAnsi="Arial" w:cs="Arial"/>
        </w:rPr>
        <w:t xml:space="preserve"> Como se observa en la figura 15</w:t>
      </w:r>
      <w:r w:rsidRPr="00CA3EC2">
        <w:rPr>
          <w:rFonts w:ascii="Arial" w:hAnsi="Arial" w:cs="Arial"/>
        </w:rPr>
        <w:t>, se ratificó que la proporción de 50/50 es la más apropiada, pues generó mayores resistencias.</w:t>
      </w:r>
    </w:p>
    <w:p w:rsidR="00197CC0" w:rsidRPr="00417512" w:rsidRDefault="00197CC0" w:rsidP="00197CC0">
      <w:pPr>
        <w:numPr>
          <w:ilvl w:val="0"/>
          <w:numId w:val="1"/>
        </w:numPr>
        <w:tabs>
          <w:tab w:val="clear" w:pos="432"/>
          <w:tab w:val="num" w:pos="0"/>
        </w:tabs>
        <w:spacing w:after="0" w:line="240" w:lineRule="auto"/>
        <w:ind w:left="0" w:firstLine="0"/>
        <w:jc w:val="both"/>
        <w:rPr>
          <w:rFonts w:ascii="Arial" w:hAnsi="Arial" w:cs="Arial"/>
          <w:bCs/>
        </w:rPr>
      </w:pPr>
    </w:p>
    <w:p w:rsidR="00197CC0" w:rsidRPr="00CA3EC2" w:rsidRDefault="00197CC0" w:rsidP="00197CC0">
      <w:pPr>
        <w:numPr>
          <w:ilvl w:val="0"/>
          <w:numId w:val="1"/>
        </w:numPr>
        <w:tabs>
          <w:tab w:val="clear" w:pos="432"/>
          <w:tab w:val="num" w:pos="0"/>
        </w:tabs>
        <w:spacing w:after="0" w:line="240" w:lineRule="auto"/>
        <w:ind w:left="0" w:firstLine="0"/>
        <w:jc w:val="both"/>
        <w:rPr>
          <w:rFonts w:ascii="Arial" w:hAnsi="Arial" w:cs="Arial"/>
          <w:bCs/>
        </w:rPr>
      </w:pPr>
      <w:r w:rsidRPr="00CA3EC2">
        <w:rPr>
          <w:rFonts w:ascii="Arial" w:hAnsi="Arial" w:cs="Arial"/>
        </w:rPr>
        <w:t>De las proporciones modificadas, aquellas en que la cantidad de parte I es mayor a la parte II muestran mejores resistencias, que en las que la parte II está en mayor cantidad, y no solo eso, además no lograban curar por completo, pues terminaban con malformaciones en las orillas o totalmente incompletas en la parte posterior a la que se hace la adición del catalizador. Cabe mencionar, que todas las pruebas anteriores a esta sección, fueron realizadas al 50/50. Con base en las evidencias experimentales, esta sección y las subsecuentes fueron realizadas tomando como modelo a la formulación de petramin 1 por su mejor capacidad catalítica y con un porcentaje de 1.3 % de resina total por conveniencia. Los resul</w:t>
      </w:r>
      <w:r>
        <w:rPr>
          <w:rFonts w:ascii="Arial" w:hAnsi="Arial" w:cs="Arial"/>
        </w:rPr>
        <w:t>tados observados en la figura 16</w:t>
      </w:r>
      <w:r w:rsidRPr="00CA3EC2">
        <w:rPr>
          <w:rFonts w:ascii="Arial" w:hAnsi="Arial" w:cs="Arial"/>
        </w:rPr>
        <w:t xml:space="preserve"> p</w:t>
      </w:r>
      <w:r w:rsidRPr="00CA3EC2">
        <w:rPr>
          <w:rFonts w:ascii="Arial" w:hAnsi="Arial" w:cs="Arial"/>
          <w:bCs/>
        </w:rPr>
        <w:t>ara el caso de las sinergias entre Parte 1/Parte 2 de resinas de diferentes proveedores (PrA y PrB), muestran los resultados en orden de resistencias:</w:t>
      </w:r>
    </w:p>
    <w:p w:rsidR="00197CC0" w:rsidRPr="00AE1B9E" w:rsidRDefault="00197CC0" w:rsidP="00197CC0">
      <w:pPr>
        <w:numPr>
          <w:ilvl w:val="0"/>
          <w:numId w:val="1"/>
        </w:numPr>
        <w:tabs>
          <w:tab w:val="clear" w:pos="432"/>
          <w:tab w:val="num" w:pos="0"/>
        </w:tabs>
        <w:spacing w:after="0" w:line="240" w:lineRule="auto"/>
        <w:ind w:left="0" w:firstLine="0"/>
        <w:jc w:val="center"/>
        <w:rPr>
          <w:rFonts w:ascii="Arial" w:hAnsi="Arial" w:cs="Arial"/>
          <w:b/>
          <w:bCs/>
        </w:rPr>
      </w:pPr>
      <w:r>
        <w:rPr>
          <w:rFonts w:ascii="Arial" w:hAnsi="Arial" w:cs="Arial"/>
          <w:b/>
          <w:bCs/>
        </w:rPr>
        <w:t>Pr</w:t>
      </w:r>
      <w:r w:rsidRPr="00AE1B9E">
        <w:rPr>
          <w:rFonts w:ascii="Arial" w:hAnsi="Arial" w:cs="Arial"/>
          <w:b/>
          <w:bCs/>
        </w:rPr>
        <w:t>A &gt; P</w:t>
      </w:r>
      <w:r>
        <w:rPr>
          <w:rFonts w:ascii="Arial" w:hAnsi="Arial" w:cs="Arial"/>
          <w:b/>
          <w:bCs/>
        </w:rPr>
        <w:t>arte1</w:t>
      </w:r>
      <w:r w:rsidRPr="00AE1B9E">
        <w:rPr>
          <w:rFonts w:ascii="Arial" w:hAnsi="Arial" w:cs="Arial"/>
          <w:b/>
          <w:bCs/>
        </w:rPr>
        <w:t>(</w:t>
      </w:r>
      <w:r>
        <w:rPr>
          <w:rFonts w:ascii="Arial" w:hAnsi="Arial" w:cs="Arial"/>
          <w:b/>
          <w:bCs/>
        </w:rPr>
        <w:t>Pr</w:t>
      </w:r>
      <w:r w:rsidRPr="00AE1B9E">
        <w:rPr>
          <w:rFonts w:ascii="Arial" w:hAnsi="Arial" w:cs="Arial"/>
          <w:b/>
          <w:bCs/>
        </w:rPr>
        <w:t>A)/P</w:t>
      </w:r>
      <w:r>
        <w:rPr>
          <w:rFonts w:ascii="Arial" w:hAnsi="Arial" w:cs="Arial"/>
          <w:b/>
          <w:bCs/>
        </w:rPr>
        <w:t>arte2</w:t>
      </w:r>
      <w:r w:rsidRPr="00AE1B9E">
        <w:rPr>
          <w:rFonts w:ascii="Arial" w:hAnsi="Arial" w:cs="Arial"/>
          <w:b/>
          <w:bCs/>
        </w:rPr>
        <w:t>(</w:t>
      </w:r>
      <w:r>
        <w:rPr>
          <w:rFonts w:ascii="Arial" w:hAnsi="Arial" w:cs="Arial"/>
          <w:b/>
          <w:bCs/>
        </w:rPr>
        <w:t>PrB</w:t>
      </w:r>
      <w:r w:rsidRPr="00AE1B9E">
        <w:rPr>
          <w:rFonts w:ascii="Arial" w:hAnsi="Arial" w:cs="Arial"/>
          <w:b/>
          <w:bCs/>
        </w:rPr>
        <w:t xml:space="preserve">) &gt; </w:t>
      </w:r>
      <w:r>
        <w:rPr>
          <w:rFonts w:ascii="Arial" w:hAnsi="Arial" w:cs="Arial"/>
          <w:b/>
          <w:bCs/>
        </w:rPr>
        <w:t>PrB</w:t>
      </w:r>
      <w:r w:rsidRPr="00AE1B9E">
        <w:rPr>
          <w:rFonts w:ascii="Arial" w:hAnsi="Arial" w:cs="Arial"/>
          <w:b/>
          <w:bCs/>
        </w:rPr>
        <w:t xml:space="preserve"> &gt; P</w:t>
      </w:r>
      <w:r>
        <w:rPr>
          <w:rFonts w:ascii="Arial" w:hAnsi="Arial" w:cs="Arial"/>
          <w:b/>
          <w:bCs/>
        </w:rPr>
        <w:t>arte1</w:t>
      </w:r>
      <w:r w:rsidRPr="00AE1B9E">
        <w:rPr>
          <w:rFonts w:ascii="Arial" w:hAnsi="Arial" w:cs="Arial"/>
          <w:b/>
          <w:bCs/>
        </w:rPr>
        <w:t>(</w:t>
      </w:r>
      <w:r>
        <w:rPr>
          <w:rFonts w:ascii="Arial" w:hAnsi="Arial" w:cs="Arial"/>
          <w:b/>
          <w:bCs/>
        </w:rPr>
        <w:t>PrB</w:t>
      </w:r>
      <w:r w:rsidRPr="00AE1B9E">
        <w:rPr>
          <w:rFonts w:ascii="Arial" w:hAnsi="Arial" w:cs="Arial"/>
          <w:b/>
          <w:bCs/>
        </w:rPr>
        <w:t>)/P</w:t>
      </w:r>
      <w:r>
        <w:rPr>
          <w:rFonts w:ascii="Arial" w:hAnsi="Arial" w:cs="Arial"/>
          <w:b/>
          <w:bCs/>
        </w:rPr>
        <w:t>arte2</w:t>
      </w:r>
      <w:r w:rsidRPr="00AE1B9E">
        <w:rPr>
          <w:rFonts w:ascii="Arial" w:hAnsi="Arial" w:cs="Arial"/>
          <w:b/>
          <w:bCs/>
        </w:rPr>
        <w:t>(</w:t>
      </w:r>
      <w:r>
        <w:rPr>
          <w:rFonts w:ascii="Arial" w:hAnsi="Arial" w:cs="Arial"/>
          <w:b/>
          <w:bCs/>
        </w:rPr>
        <w:t>Pr</w:t>
      </w:r>
      <w:r w:rsidRPr="00AE1B9E">
        <w:rPr>
          <w:rFonts w:ascii="Arial" w:hAnsi="Arial" w:cs="Arial"/>
          <w:b/>
          <w:bCs/>
        </w:rPr>
        <w:t>A)</w:t>
      </w:r>
    </w:p>
    <w:p w:rsidR="00197CC0" w:rsidRDefault="00197CC0" w:rsidP="00197CC0">
      <w:pPr>
        <w:rPr>
          <w:rFonts w:ascii="Arial" w:hAnsi="Arial" w:cs="Arial"/>
          <w:bCs/>
        </w:rPr>
      </w:pPr>
    </w:p>
    <w:p w:rsidR="00197CC0" w:rsidRDefault="00197CC0" w:rsidP="00197CC0">
      <w:pPr>
        <w:rPr>
          <w:rFonts w:ascii="Arial" w:hAnsi="Arial" w:cs="Arial"/>
          <w:bCs/>
        </w:rPr>
      </w:pPr>
      <w:r w:rsidRPr="00D87FA9">
        <w:rPr>
          <w:rFonts w:ascii="Arial" w:hAnsi="Arial" w:cs="Arial"/>
          <w:bCs/>
        </w:rPr>
        <w:lastRenderedPageBreak/>
        <w:t xml:space="preserve">Los resultados muestran principalmente que las </w:t>
      </w:r>
      <w:r>
        <w:rPr>
          <w:rFonts w:ascii="Arial" w:hAnsi="Arial" w:cs="Arial"/>
          <w:bCs/>
        </w:rPr>
        <w:t>partes 1 y 2</w:t>
      </w:r>
      <w:r w:rsidRPr="00D87FA9">
        <w:rPr>
          <w:rFonts w:ascii="Arial" w:hAnsi="Arial" w:cs="Arial"/>
          <w:bCs/>
        </w:rPr>
        <w:t xml:space="preserve"> del proveedor A proveen mayores resistencias a diferencia de </w:t>
      </w:r>
      <w:r>
        <w:rPr>
          <w:rFonts w:ascii="Arial" w:hAnsi="Arial" w:cs="Arial"/>
          <w:bCs/>
        </w:rPr>
        <w:t>las generadas por el proveedor B. L</w:t>
      </w:r>
      <w:r w:rsidRPr="00D87FA9">
        <w:rPr>
          <w:rFonts w:ascii="Arial" w:hAnsi="Arial" w:cs="Arial"/>
          <w:bCs/>
        </w:rPr>
        <w:t xml:space="preserve">a parte </w:t>
      </w:r>
      <w:r>
        <w:rPr>
          <w:rFonts w:ascii="Arial" w:hAnsi="Arial" w:cs="Arial"/>
          <w:bCs/>
        </w:rPr>
        <w:t>1</w:t>
      </w:r>
      <w:r w:rsidRPr="00D87FA9">
        <w:rPr>
          <w:rFonts w:ascii="Arial" w:hAnsi="Arial" w:cs="Arial"/>
          <w:bCs/>
        </w:rPr>
        <w:t xml:space="preserve"> (poliol)</w:t>
      </w:r>
      <w:r>
        <w:rPr>
          <w:rFonts w:ascii="Arial" w:hAnsi="Arial" w:cs="Arial"/>
          <w:bCs/>
        </w:rPr>
        <w:t xml:space="preserve"> </w:t>
      </w:r>
      <w:r w:rsidRPr="00D87FA9">
        <w:rPr>
          <w:rFonts w:ascii="Arial" w:hAnsi="Arial" w:cs="Arial"/>
          <w:bCs/>
        </w:rPr>
        <w:t xml:space="preserve">otorga la </w:t>
      </w:r>
      <w:r>
        <w:rPr>
          <w:rFonts w:ascii="Arial" w:hAnsi="Arial" w:cs="Arial"/>
          <w:bCs/>
        </w:rPr>
        <w:t xml:space="preserve">mejor </w:t>
      </w:r>
      <w:r w:rsidRPr="00D87FA9">
        <w:rPr>
          <w:rFonts w:ascii="Arial" w:hAnsi="Arial" w:cs="Arial"/>
          <w:bCs/>
        </w:rPr>
        <w:t xml:space="preserve">resistencia al poliuretano, ya que, </w:t>
      </w:r>
      <w:r>
        <w:rPr>
          <w:rFonts w:ascii="Arial" w:hAnsi="Arial" w:cs="Arial"/>
          <w:bCs/>
        </w:rPr>
        <w:t xml:space="preserve">en cualquier caso, </w:t>
      </w:r>
      <w:r w:rsidRPr="00D87FA9">
        <w:rPr>
          <w:rFonts w:ascii="Arial" w:hAnsi="Arial" w:cs="Arial"/>
          <w:bCs/>
        </w:rPr>
        <w:t>cuando se emplea el poliol de</w:t>
      </w:r>
      <w:r>
        <w:rPr>
          <w:rFonts w:ascii="Arial" w:hAnsi="Arial" w:cs="Arial"/>
          <w:bCs/>
        </w:rPr>
        <w:t>l PrA</w:t>
      </w:r>
      <w:r w:rsidRPr="00D87FA9">
        <w:rPr>
          <w:rFonts w:ascii="Arial" w:hAnsi="Arial" w:cs="Arial"/>
          <w:bCs/>
        </w:rPr>
        <w:t xml:space="preserve"> la res</w:t>
      </w:r>
      <w:r>
        <w:rPr>
          <w:rFonts w:ascii="Arial" w:hAnsi="Arial" w:cs="Arial"/>
          <w:bCs/>
        </w:rPr>
        <w:t>istencia es notablemente mayor que</w:t>
      </w:r>
      <w:r w:rsidRPr="00D87FA9">
        <w:rPr>
          <w:rFonts w:ascii="Arial" w:hAnsi="Arial" w:cs="Arial"/>
          <w:bCs/>
        </w:rPr>
        <w:t xml:space="preserve"> cuando se emplea el poliol de</w:t>
      </w:r>
      <w:r>
        <w:rPr>
          <w:rFonts w:ascii="Arial" w:hAnsi="Arial" w:cs="Arial"/>
          <w:bCs/>
        </w:rPr>
        <w:t>l PrB</w:t>
      </w:r>
      <w:r w:rsidRPr="00D87FA9">
        <w:rPr>
          <w:rFonts w:ascii="Arial" w:hAnsi="Arial" w:cs="Arial"/>
          <w:bCs/>
        </w:rPr>
        <w:t>.</w:t>
      </w:r>
    </w:p>
    <w:p w:rsidR="00197CC0" w:rsidRDefault="00197CC0" w:rsidP="00197CC0">
      <w:pPr>
        <w:rPr>
          <w:rFonts w:ascii="Arial" w:hAnsi="Arial" w:cs="Arial"/>
          <w:bCs/>
        </w:rPr>
      </w:pPr>
    </w:p>
    <w:tbl>
      <w:tblPr>
        <w:tblW w:w="10452" w:type="dxa"/>
        <w:tblLook w:val="04A0" w:firstRow="1" w:lastRow="0" w:firstColumn="1" w:lastColumn="0" w:noHBand="0" w:noVBand="1"/>
      </w:tblPr>
      <w:tblGrid>
        <w:gridCol w:w="5144"/>
        <w:gridCol w:w="5308"/>
      </w:tblGrid>
      <w:tr w:rsidR="00197CC0" w:rsidRPr="00381338" w:rsidTr="00B81843">
        <w:trPr>
          <w:trHeight w:val="3509"/>
        </w:trPr>
        <w:tc>
          <w:tcPr>
            <w:tcW w:w="5144" w:type="dxa"/>
            <w:shd w:val="clear" w:color="auto" w:fill="auto"/>
          </w:tcPr>
          <w:p w:rsidR="00197CC0" w:rsidRPr="00381338" w:rsidRDefault="00197CC0" w:rsidP="00B81843">
            <w:pPr>
              <w:jc w:val="center"/>
              <w:rPr>
                <w:rFonts w:ascii="Arial" w:eastAsia="Calibri" w:hAnsi="Arial" w:cs="Arial"/>
                <w:noProof/>
                <w:lang w:eastAsia="es-MX"/>
              </w:rPr>
            </w:pPr>
            <w:r w:rsidRPr="00E0447D">
              <w:rPr>
                <w:noProof/>
                <w:lang w:val="en-US"/>
              </w:rPr>
              <w:drawing>
                <wp:inline distT="0" distB="0" distL="0" distR="0" wp14:anchorId="0EEA7917" wp14:editId="54342878">
                  <wp:extent cx="2819400" cy="2085975"/>
                  <wp:effectExtent l="0" t="0" r="0" b="9525"/>
                  <wp:docPr id="31" name="Imagen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5"/>
                          <pic:cNvPicPr>
                            <a:picLocks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19400" cy="2085975"/>
                          </a:xfrm>
                          <a:prstGeom prst="rect">
                            <a:avLst/>
                          </a:prstGeom>
                          <a:noFill/>
                          <a:ln>
                            <a:noFill/>
                          </a:ln>
                        </pic:spPr>
                      </pic:pic>
                    </a:graphicData>
                  </a:graphic>
                </wp:inline>
              </w:drawing>
            </w:r>
          </w:p>
          <w:p w:rsidR="00197CC0" w:rsidRPr="00381338" w:rsidRDefault="00197CC0" w:rsidP="00B81843">
            <w:pPr>
              <w:jc w:val="center"/>
              <w:rPr>
                <w:rFonts w:ascii="Arial" w:eastAsia="Calibri" w:hAnsi="Arial" w:cs="Arial"/>
                <w:i/>
                <w:iCs/>
              </w:rPr>
            </w:pPr>
            <w:r>
              <w:rPr>
                <w:rFonts w:ascii="Arial" w:hAnsi="Arial" w:cs="Arial"/>
                <w:b/>
              </w:rPr>
              <w:t>Figura 15</w:t>
            </w:r>
            <w:r w:rsidRPr="00381338">
              <w:rPr>
                <w:rFonts w:ascii="Arial" w:hAnsi="Arial" w:cs="Arial"/>
                <w:b/>
              </w:rPr>
              <w:t>.</w:t>
            </w:r>
            <w:r w:rsidRPr="00381338">
              <w:rPr>
                <w:rFonts w:ascii="Arial" w:hAnsi="Arial" w:cs="Arial"/>
              </w:rPr>
              <w:t xml:space="preserve"> </w:t>
            </w:r>
            <w:r w:rsidRPr="00381338">
              <w:rPr>
                <w:rFonts w:ascii="Arial" w:eastAsia="Calibri" w:hAnsi="Arial" w:cs="Arial"/>
                <w:iCs/>
              </w:rPr>
              <w:t xml:space="preserve">Resistencias obtenidas para diferentes relaciones de Parte </w:t>
            </w:r>
            <w:r>
              <w:rPr>
                <w:rFonts w:ascii="Arial" w:eastAsia="Calibri" w:hAnsi="Arial" w:cs="Arial"/>
                <w:iCs/>
              </w:rPr>
              <w:t>I</w:t>
            </w:r>
            <w:r w:rsidRPr="00381338">
              <w:rPr>
                <w:rFonts w:ascii="Arial" w:eastAsia="Calibri" w:hAnsi="Arial" w:cs="Arial"/>
                <w:iCs/>
              </w:rPr>
              <w:t xml:space="preserve">/Parte </w:t>
            </w:r>
            <w:r>
              <w:rPr>
                <w:rFonts w:ascii="Arial" w:eastAsia="Calibri" w:hAnsi="Arial" w:cs="Arial"/>
                <w:iCs/>
              </w:rPr>
              <w:t>II, Proveedor A, petramin 1</w:t>
            </w:r>
            <w:r w:rsidRPr="00381338">
              <w:rPr>
                <w:rFonts w:ascii="Arial" w:eastAsia="Calibri" w:hAnsi="Arial" w:cs="Arial"/>
                <w:iCs/>
              </w:rPr>
              <w:t xml:space="preserve">, </w:t>
            </w:r>
            <w:r w:rsidRPr="00381338">
              <w:rPr>
                <w:rFonts w:ascii="Arial" w:hAnsi="Arial" w:cs="Arial"/>
              </w:rPr>
              <w:t>1.3% de resina total</w:t>
            </w:r>
            <w:r>
              <w:rPr>
                <w:rFonts w:ascii="Arial" w:hAnsi="Arial" w:cs="Arial"/>
              </w:rPr>
              <w:t>.</w:t>
            </w:r>
          </w:p>
          <w:p w:rsidR="00197CC0" w:rsidRPr="00381338" w:rsidRDefault="00197CC0" w:rsidP="00B81843">
            <w:pPr>
              <w:rPr>
                <w:rFonts w:ascii="Arial" w:hAnsi="Arial" w:cs="Arial"/>
                <w:bCs/>
              </w:rPr>
            </w:pPr>
          </w:p>
        </w:tc>
        <w:tc>
          <w:tcPr>
            <w:tcW w:w="5308" w:type="dxa"/>
            <w:shd w:val="clear" w:color="auto" w:fill="auto"/>
          </w:tcPr>
          <w:p w:rsidR="00197CC0" w:rsidRPr="00381338" w:rsidRDefault="00197CC0" w:rsidP="00B81843">
            <w:pPr>
              <w:jc w:val="center"/>
              <w:rPr>
                <w:rFonts w:ascii="Arial" w:hAnsi="Arial" w:cs="Arial"/>
                <w:b/>
              </w:rPr>
            </w:pPr>
            <w:r w:rsidRPr="00824A0F">
              <w:rPr>
                <w:noProof/>
                <w:lang w:val="en-US"/>
              </w:rPr>
              <w:drawing>
                <wp:inline distT="0" distB="0" distL="0" distR="0" wp14:anchorId="70015783" wp14:editId="7E872736">
                  <wp:extent cx="2876550" cy="2085975"/>
                  <wp:effectExtent l="0" t="0" r="0" b="9525"/>
                  <wp:docPr id="30" name="Imagen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76550" cy="2085975"/>
                          </a:xfrm>
                          <a:prstGeom prst="rect">
                            <a:avLst/>
                          </a:prstGeom>
                          <a:noFill/>
                          <a:ln>
                            <a:noFill/>
                          </a:ln>
                        </pic:spPr>
                      </pic:pic>
                    </a:graphicData>
                  </a:graphic>
                </wp:inline>
              </w:drawing>
            </w:r>
          </w:p>
          <w:p w:rsidR="00197CC0" w:rsidRPr="00381338" w:rsidRDefault="00197CC0" w:rsidP="00B81843">
            <w:pPr>
              <w:jc w:val="center"/>
              <w:rPr>
                <w:rFonts w:ascii="Arial" w:eastAsia="Calibri" w:hAnsi="Arial" w:cs="Arial"/>
                <w:i/>
                <w:iCs/>
              </w:rPr>
            </w:pPr>
            <w:r>
              <w:rPr>
                <w:rFonts w:ascii="Arial" w:hAnsi="Arial" w:cs="Arial"/>
                <w:b/>
              </w:rPr>
              <w:t>Figura 16</w:t>
            </w:r>
            <w:r w:rsidRPr="00381338">
              <w:rPr>
                <w:rFonts w:ascii="Arial" w:hAnsi="Arial" w:cs="Arial"/>
                <w:b/>
              </w:rPr>
              <w:t xml:space="preserve">. </w:t>
            </w:r>
            <w:r w:rsidRPr="00381338">
              <w:rPr>
                <w:rFonts w:ascii="Arial" w:eastAsia="Calibri" w:hAnsi="Arial" w:cs="Arial"/>
                <w:iCs/>
              </w:rPr>
              <w:t xml:space="preserve">Resistencias obtenidas para sinergias Parte </w:t>
            </w:r>
            <w:r>
              <w:rPr>
                <w:rFonts w:ascii="Arial" w:eastAsia="Calibri" w:hAnsi="Arial" w:cs="Arial"/>
                <w:iCs/>
              </w:rPr>
              <w:t>I</w:t>
            </w:r>
            <w:r w:rsidRPr="00381338">
              <w:rPr>
                <w:rFonts w:ascii="Arial" w:eastAsia="Calibri" w:hAnsi="Arial" w:cs="Arial"/>
                <w:iCs/>
              </w:rPr>
              <w:t xml:space="preserve">/Parte </w:t>
            </w:r>
            <w:r>
              <w:rPr>
                <w:rFonts w:ascii="Arial" w:eastAsia="Calibri" w:hAnsi="Arial" w:cs="Arial"/>
                <w:iCs/>
              </w:rPr>
              <w:t>II al 50/50, Pr A y Pr B, petramin 1</w:t>
            </w:r>
            <w:r w:rsidRPr="00381338">
              <w:rPr>
                <w:rFonts w:ascii="Arial" w:eastAsia="Calibri" w:hAnsi="Arial" w:cs="Arial"/>
                <w:iCs/>
              </w:rPr>
              <w:t xml:space="preserve">, </w:t>
            </w:r>
            <w:r w:rsidRPr="00381338">
              <w:rPr>
                <w:rFonts w:ascii="Arial" w:hAnsi="Arial" w:cs="Arial"/>
              </w:rPr>
              <w:t>1.3% de resina total</w:t>
            </w:r>
            <w:r>
              <w:rPr>
                <w:rFonts w:ascii="Arial" w:hAnsi="Arial" w:cs="Arial"/>
              </w:rPr>
              <w:t>.</w:t>
            </w:r>
          </w:p>
          <w:p w:rsidR="00197CC0" w:rsidRPr="00381338" w:rsidRDefault="00197CC0" w:rsidP="00B81843">
            <w:pPr>
              <w:rPr>
                <w:rFonts w:ascii="Arial" w:hAnsi="Arial" w:cs="Arial"/>
                <w:bCs/>
              </w:rPr>
            </w:pPr>
          </w:p>
        </w:tc>
      </w:tr>
    </w:tbl>
    <w:p w:rsidR="00197CC0" w:rsidRDefault="00197CC0" w:rsidP="00197CC0">
      <w:pPr>
        <w:pStyle w:val="Textoindependiente"/>
        <w:rPr>
          <w:rFonts w:ascii="Arial" w:hAnsi="Arial" w:cs="Arial"/>
          <w:b w:val="0"/>
          <w:sz w:val="24"/>
        </w:rPr>
      </w:pPr>
      <w:r>
        <w:rPr>
          <w:rFonts w:ascii="Arial" w:hAnsi="Arial" w:cs="Arial"/>
          <w:b w:val="0"/>
          <w:sz w:val="24"/>
        </w:rPr>
        <w:t xml:space="preserve">Para la </w:t>
      </w:r>
      <w:r w:rsidRPr="00FF1DE7">
        <w:rPr>
          <w:rFonts w:ascii="Arial" w:hAnsi="Arial" w:cs="Arial"/>
          <w:b w:val="0"/>
          <w:sz w:val="24"/>
        </w:rPr>
        <w:t xml:space="preserve">sinergia de </w:t>
      </w:r>
      <w:r>
        <w:rPr>
          <w:rFonts w:ascii="Arial" w:hAnsi="Arial" w:cs="Arial"/>
          <w:b w:val="0"/>
          <w:sz w:val="24"/>
        </w:rPr>
        <w:t>formulaciones de</w:t>
      </w:r>
      <w:r w:rsidRPr="00FF1DE7">
        <w:rPr>
          <w:rFonts w:ascii="Arial" w:hAnsi="Arial" w:cs="Arial"/>
          <w:b w:val="0"/>
          <w:sz w:val="24"/>
        </w:rPr>
        <w:t xml:space="preserve"> catalizadores</w:t>
      </w:r>
      <w:r>
        <w:rPr>
          <w:rFonts w:ascii="Arial" w:hAnsi="Arial" w:cs="Arial"/>
          <w:b w:val="0"/>
          <w:sz w:val="24"/>
        </w:rPr>
        <w:t xml:space="preserve"> mostradas en la figura 17, se prepararon mezclas 50/</w:t>
      </w:r>
      <w:r w:rsidRPr="00FF1DE7">
        <w:rPr>
          <w:rFonts w:ascii="Arial" w:hAnsi="Arial" w:cs="Arial"/>
          <w:b w:val="0"/>
          <w:sz w:val="24"/>
        </w:rPr>
        <w:t xml:space="preserve">50 </w:t>
      </w:r>
      <w:r>
        <w:rPr>
          <w:rFonts w:ascii="Arial" w:hAnsi="Arial" w:cs="Arial"/>
          <w:b w:val="0"/>
          <w:sz w:val="24"/>
        </w:rPr>
        <w:t>en peso de petramin 2/petramin 1, petramin 4/petramin 1 y petramin 3/petramin 1</w:t>
      </w:r>
      <w:r w:rsidRPr="00FF1DE7">
        <w:rPr>
          <w:rFonts w:ascii="Arial" w:hAnsi="Arial" w:cs="Arial"/>
          <w:b w:val="0"/>
          <w:sz w:val="24"/>
        </w:rPr>
        <w:t xml:space="preserve">. </w:t>
      </w:r>
      <w:r>
        <w:rPr>
          <w:rFonts w:ascii="Arial" w:hAnsi="Arial" w:cs="Arial"/>
          <w:b w:val="0"/>
          <w:sz w:val="24"/>
        </w:rPr>
        <w:t>A</w:t>
      </w:r>
      <w:r w:rsidRPr="00000F1B">
        <w:rPr>
          <w:rFonts w:ascii="Arial" w:hAnsi="Arial" w:cs="Arial"/>
          <w:b w:val="0"/>
          <w:sz w:val="24"/>
        </w:rPr>
        <w:t xml:space="preserve"> continuación, se muestran los resultados en orden de resistencias</w:t>
      </w:r>
      <w:r>
        <w:rPr>
          <w:rFonts w:ascii="Arial" w:hAnsi="Arial" w:cs="Arial"/>
          <w:b w:val="0"/>
          <w:sz w:val="24"/>
        </w:rPr>
        <w:t xml:space="preserve"> para cada proveedor</w:t>
      </w:r>
      <w:r w:rsidRPr="00000F1B">
        <w:rPr>
          <w:rFonts w:ascii="Arial" w:hAnsi="Arial" w:cs="Arial"/>
          <w:b w:val="0"/>
          <w:sz w:val="24"/>
        </w:rPr>
        <w:t>:</w:t>
      </w:r>
      <w:r>
        <w:rPr>
          <w:rFonts w:ascii="Arial" w:hAnsi="Arial" w:cs="Arial"/>
          <w:b w:val="0"/>
          <w:sz w:val="24"/>
        </w:rPr>
        <w:t xml:space="preserve"> </w:t>
      </w:r>
      <w:r w:rsidRPr="00417512">
        <w:rPr>
          <w:rFonts w:ascii="Arial" w:hAnsi="Arial" w:cs="Arial"/>
          <w:bCs w:val="0"/>
          <w:sz w:val="23"/>
          <w:szCs w:val="23"/>
        </w:rPr>
        <w:t>PrA</w:t>
      </w:r>
      <w:r w:rsidRPr="00A14C04">
        <w:rPr>
          <w:rFonts w:ascii="Arial" w:hAnsi="Arial" w:cs="Arial"/>
          <w:b w:val="0"/>
          <w:bCs w:val="0"/>
          <w:sz w:val="23"/>
          <w:szCs w:val="23"/>
        </w:rPr>
        <w:t xml:space="preserve"> petramin 1 &gt; petramin 4/petramin 1 &gt; petramin 3/petramin 1 &gt; petramin 2/petramin 1</w:t>
      </w:r>
      <w:r>
        <w:rPr>
          <w:rFonts w:ascii="Arial" w:hAnsi="Arial" w:cs="Arial"/>
          <w:b w:val="0"/>
          <w:bCs w:val="0"/>
          <w:sz w:val="23"/>
          <w:szCs w:val="23"/>
        </w:rPr>
        <w:t xml:space="preserve"> y </w:t>
      </w:r>
      <w:r w:rsidRPr="00417512">
        <w:rPr>
          <w:rFonts w:ascii="Arial" w:hAnsi="Arial" w:cs="Arial"/>
          <w:bCs w:val="0"/>
          <w:sz w:val="23"/>
          <w:szCs w:val="23"/>
        </w:rPr>
        <w:t>Pr B</w:t>
      </w:r>
      <w:r w:rsidRPr="00A14C04">
        <w:rPr>
          <w:rFonts w:ascii="Arial" w:hAnsi="Arial" w:cs="Arial"/>
          <w:b w:val="0"/>
          <w:bCs w:val="0"/>
          <w:sz w:val="23"/>
          <w:szCs w:val="23"/>
        </w:rPr>
        <w:t xml:space="preserve"> petramin 1 &gt; petramin 4/petramin 1 &gt; petramin 2/petramin 1 &gt; petramin 3/petramin 1</w:t>
      </w:r>
      <w:r>
        <w:rPr>
          <w:rFonts w:ascii="Arial" w:hAnsi="Arial" w:cs="Arial"/>
          <w:b w:val="0"/>
          <w:bCs w:val="0"/>
          <w:sz w:val="23"/>
          <w:szCs w:val="23"/>
        </w:rPr>
        <w:t xml:space="preserve">. </w:t>
      </w:r>
      <w:r>
        <w:rPr>
          <w:rFonts w:ascii="Arial" w:hAnsi="Arial" w:cs="Arial"/>
          <w:b w:val="0"/>
          <w:sz w:val="24"/>
        </w:rPr>
        <w:t>En definitiva, para ambos proveedores, la formulación petramin 1 es la mejor opción, sin embargo,</w:t>
      </w:r>
      <w:r w:rsidRPr="00FF1DE7">
        <w:rPr>
          <w:rFonts w:ascii="Arial" w:hAnsi="Arial" w:cs="Arial"/>
          <w:b w:val="0"/>
          <w:sz w:val="24"/>
        </w:rPr>
        <w:t xml:space="preserve"> </w:t>
      </w:r>
      <w:r>
        <w:rPr>
          <w:rFonts w:ascii="Arial" w:hAnsi="Arial" w:cs="Arial"/>
          <w:b w:val="0"/>
          <w:sz w:val="24"/>
        </w:rPr>
        <w:t xml:space="preserve">para el proveedor A el desempeño de </w:t>
      </w:r>
      <w:r w:rsidRPr="00FF1DE7">
        <w:rPr>
          <w:rFonts w:ascii="Arial" w:hAnsi="Arial" w:cs="Arial"/>
          <w:b w:val="0"/>
          <w:sz w:val="24"/>
        </w:rPr>
        <w:t xml:space="preserve">la </w:t>
      </w:r>
      <w:r>
        <w:rPr>
          <w:rFonts w:ascii="Arial" w:hAnsi="Arial" w:cs="Arial"/>
          <w:b w:val="0"/>
          <w:sz w:val="24"/>
        </w:rPr>
        <w:t>sinergia petramin 4/petramin 1 no se encuentra tan lejana</w:t>
      </w:r>
      <w:r w:rsidRPr="00FF1DE7">
        <w:rPr>
          <w:rFonts w:ascii="Arial" w:hAnsi="Arial" w:cs="Arial"/>
          <w:b w:val="0"/>
          <w:sz w:val="24"/>
        </w:rPr>
        <w:t xml:space="preserve">, lo cual podría deberse a </w:t>
      </w:r>
      <w:r>
        <w:rPr>
          <w:rFonts w:ascii="Arial" w:hAnsi="Arial" w:cs="Arial"/>
          <w:b w:val="0"/>
          <w:sz w:val="24"/>
        </w:rPr>
        <w:t>la compatibilidad estructural (</w:t>
      </w:r>
      <w:r w:rsidRPr="00FF1DE7">
        <w:rPr>
          <w:rFonts w:ascii="Arial" w:hAnsi="Arial" w:cs="Arial"/>
          <w:b w:val="0"/>
          <w:sz w:val="24"/>
        </w:rPr>
        <w:t>isómeros</w:t>
      </w:r>
      <w:r>
        <w:rPr>
          <w:rFonts w:ascii="Arial" w:hAnsi="Arial" w:cs="Arial"/>
          <w:b w:val="0"/>
          <w:sz w:val="24"/>
        </w:rPr>
        <w:t>). La mezcla petramin 3/petramin 1</w:t>
      </w:r>
      <w:r w:rsidRPr="00FF1DE7">
        <w:rPr>
          <w:rFonts w:ascii="Arial" w:hAnsi="Arial" w:cs="Arial"/>
          <w:b w:val="0"/>
          <w:sz w:val="24"/>
        </w:rPr>
        <w:t xml:space="preserve"> presenta resistencias levemente </w:t>
      </w:r>
      <w:r>
        <w:rPr>
          <w:rFonts w:ascii="Arial" w:hAnsi="Arial" w:cs="Arial"/>
          <w:b w:val="0"/>
          <w:sz w:val="24"/>
        </w:rPr>
        <w:t>menores a las de la mezcla petramin 4/petramin 1, mientras que la petramin 2/petramin 1</w:t>
      </w:r>
      <w:r w:rsidRPr="00FF1DE7">
        <w:rPr>
          <w:rFonts w:ascii="Arial" w:hAnsi="Arial" w:cs="Arial"/>
          <w:b w:val="0"/>
          <w:sz w:val="24"/>
        </w:rPr>
        <w:t xml:space="preserve"> presenta en los primeros 15 minutos resistencias considerablemente menores (aprox. 60 p</w:t>
      </w:r>
      <w:r>
        <w:rPr>
          <w:rFonts w:ascii="Arial" w:hAnsi="Arial" w:cs="Arial"/>
          <w:b w:val="0"/>
          <w:sz w:val="24"/>
        </w:rPr>
        <w:t>si) a las demás mezclas y a petramin 1</w:t>
      </w:r>
      <w:r w:rsidRPr="00FF1DE7">
        <w:rPr>
          <w:rFonts w:ascii="Arial" w:hAnsi="Arial" w:cs="Arial"/>
          <w:b w:val="0"/>
          <w:sz w:val="24"/>
        </w:rPr>
        <w:t>, no obstante, sus resistencias a tiempos más largos (45 min.</w:t>
      </w:r>
      <w:r>
        <w:rPr>
          <w:rFonts w:ascii="Arial" w:hAnsi="Arial" w:cs="Arial"/>
          <w:b w:val="0"/>
          <w:sz w:val="24"/>
        </w:rPr>
        <w:t>) son más parecidas a las de petramin 3/petramin 1</w:t>
      </w:r>
      <w:r w:rsidRPr="00FF1DE7">
        <w:rPr>
          <w:rFonts w:ascii="Arial" w:hAnsi="Arial" w:cs="Arial"/>
          <w:b w:val="0"/>
          <w:sz w:val="24"/>
        </w:rPr>
        <w:t xml:space="preserve">. El </w:t>
      </w:r>
      <w:r>
        <w:rPr>
          <w:rFonts w:ascii="Arial" w:hAnsi="Arial" w:cs="Arial"/>
          <w:b w:val="0"/>
          <w:sz w:val="24"/>
        </w:rPr>
        <w:t>punto de la media hora para petramin 2/petramin 1</w:t>
      </w:r>
      <w:r w:rsidRPr="00FF1DE7">
        <w:rPr>
          <w:rFonts w:ascii="Arial" w:hAnsi="Arial" w:cs="Arial"/>
          <w:b w:val="0"/>
          <w:sz w:val="24"/>
        </w:rPr>
        <w:t xml:space="preserve"> tiene una resistencia muy baja </w:t>
      </w:r>
      <w:r>
        <w:rPr>
          <w:rFonts w:ascii="Arial" w:hAnsi="Arial" w:cs="Arial"/>
          <w:b w:val="0"/>
          <w:sz w:val="24"/>
        </w:rPr>
        <w:t xml:space="preserve">e inusual, incluso por debajo de la desarrollada por la petramin 1 con el proveedor B. Para el PrB, </w:t>
      </w:r>
      <w:r w:rsidRPr="00FF1DE7">
        <w:rPr>
          <w:rFonts w:ascii="Arial" w:hAnsi="Arial" w:cs="Arial"/>
          <w:b w:val="0"/>
          <w:sz w:val="24"/>
        </w:rPr>
        <w:t>no hay diferencia</w:t>
      </w:r>
      <w:r>
        <w:rPr>
          <w:rFonts w:ascii="Arial" w:hAnsi="Arial" w:cs="Arial"/>
          <w:b w:val="0"/>
          <w:sz w:val="24"/>
        </w:rPr>
        <w:t>s</w:t>
      </w:r>
      <w:r w:rsidRPr="00FF1DE7">
        <w:rPr>
          <w:rFonts w:ascii="Arial" w:hAnsi="Arial" w:cs="Arial"/>
          <w:b w:val="0"/>
          <w:sz w:val="24"/>
        </w:rPr>
        <w:t xml:space="preserve"> considerable</w:t>
      </w:r>
      <w:r>
        <w:rPr>
          <w:rFonts w:ascii="Arial" w:hAnsi="Arial" w:cs="Arial"/>
          <w:b w:val="0"/>
          <w:sz w:val="24"/>
        </w:rPr>
        <w:t>s</w:t>
      </w:r>
      <w:r w:rsidRPr="00FF1DE7">
        <w:rPr>
          <w:rFonts w:ascii="Arial" w:hAnsi="Arial" w:cs="Arial"/>
          <w:b w:val="0"/>
          <w:sz w:val="24"/>
        </w:rPr>
        <w:t xml:space="preserve"> entre las resistencias obtenidas por las mezclas, no obstante, se observa </w:t>
      </w:r>
      <w:r w:rsidRPr="00FF1DE7">
        <w:rPr>
          <w:rFonts w:ascii="Arial" w:hAnsi="Arial" w:cs="Arial"/>
          <w:b w:val="0"/>
          <w:sz w:val="24"/>
        </w:rPr>
        <w:lastRenderedPageBreak/>
        <w:t xml:space="preserve">que a excepción de los primeros 15 minutos las resistencias de las </w:t>
      </w:r>
      <w:r>
        <w:rPr>
          <w:rFonts w:ascii="Arial" w:hAnsi="Arial" w:cs="Arial"/>
          <w:b w:val="0"/>
          <w:sz w:val="24"/>
        </w:rPr>
        <w:t>sinergias son sustancialmente menores que las catalizadas por petramin 1</w:t>
      </w:r>
      <w:r w:rsidRPr="00FF1DE7">
        <w:rPr>
          <w:rFonts w:ascii="Arial" w:hAnsi="Arial" w:cs="Arial"/>
          <w:b w:val="0"/>
          <w:sz w:val="24"/>
        </w:rPr>
        <w:t>.</w:t>
      </w:r>
    </w:p>
    <w:p w:rsidR="00197CC0" w:rsidRDefault="00197CC0" w:rsidP="00197CC0">
      <w:pPr>
        <w:pStyle w:val="Textoindependiente"/>
        <w:rPr>
          <w:rFonts w:ascii="Arial" w:hAnsi="Arial" w:cs="Arial"/>
          <w:b w:val="0"/>
          <w:sz w:val="24"/>
        </w:rPr>
      </w:pPr>
    </w:p>
    <w:p w:rsidR="00197CC0" w:rsidRDefault="00197CC0" w:rsidP="00197CC0">
      <w:pPr>
        <w:jc w:val="center"/>
        <w:rPr>
          <w:rFonts w:ascii="Arial" w:hAnsi="Arial" w:cs="Arial"/>
        </w:rPr>
      </w:pPr>
      <w:r w:rsidRPr="00AB6D5F">
        <w:rPr>
          <w:noProof/>
          <w:lang w:val="en-US"/>
        </w:rPr>
        <w:drawing>
          <wp:inline distT="0" distB="0" distL="0" distR="0" wp14:anchorId="21F82EBE" wp14:editId="4925E6B2">
            <wp:extent cx="4019550" cy="191452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019550" cy="1914525"/>
                    </a:xfrm>
                    <a:prstGeom prst="rect">
                      <a:avLst/>
                    </a:prstGeom>
                    <a:noFill/>
                    <a:ln>
                      <a:noFill/>
                    </a:ln>
                  </pic:spPr>
                </pic:pic>
              </a:graphicData>
            </a:graphic>
          </wp:inline>
        </w:drawing>
      </w:r>
    </w:p>
    <w:p w:rsidR="00197CC0" w:rsidRDefault="00197CC0" w:rsidP="00197CC0">
      <w:pPr>
        <w:jc w:val="center"/>
        <w:rPr>
          <w:rFonts w:ascii="Arial" w:hAnsi="Arial" w:cs="Arial"/>
        </w:rPr>
      </w:pPr>
      <w:r w:rsidRPr="002E2EE4">
        <w:rPr>
          <w:rFonts w:ascii="Arial" w:hAnsi="Arial" w:cs="Arial"/>
          <w:b/>
        </w:rPr>
        <w:t xml:space="preserve">Figura </w:t>
      </w:r>
      <w:r>
        <w:rPr>
          <w:rFonts w:ascii="Arial" w:hAnsi="Arial" w:cs="Arial"/>
          <w:b/>
        </w:rPr>
        <w:t xml:space="preserve">17. </w:t>
      </w:r>
      <w:r w:rsidRPr="00B2515A">
        <w:rPr>
          <w:rFonts w:ascii="Arial" w:hAnsi="Arial" w:cs="Arial"/>
        </w:rPr>
        <w:t>R</w:t>
      </w:r>
      <w:r w:rsidRPr="00FD4551">
        <w:rPr>
          <w:rFonts w:ascii="Arial" w:hAnsi="Arial" w:cs="Arial"/>
        </w:rPr>
        <w:t>esistencia</w:t>
      </w:r>
      <w:r>
        <w:rPr>
          <w:rFonts w:ascii="Arial" w:hAnsi="Arial" w:cs="Arial"/>
        </w:rPr>
        <w:t>s de sinergias amínicas en función del tiempo, base 50/50 en peso para petramin 2, petramin 4, petramin 3/petramin 1, 1.3 % de resina total.</w:t>
      </w:r>
    </w:p>
    <w:p w:rsidR="00197CC0" w:rsidRDefault="00197CC0" w:rsidP="00197CC0">
      <w:pPr>
        <w:jc w:val="center"/>
        <w:rPr>
          <w:rFonts w:ascii="Arial" w:hAnsi="Arial" w:cs="Arial"/>
        </w:rPr>
      </w:pPr>
    </w:p>
    <w:p w:rsidR="00197CC0" w:rsidRPr="00197CC0" w:rsidRDefault="00197CC0" w:rsidP="00197CC0">
      <w:pPr>
        <w:pStyle w:val="Ttulo1"/>
        <w:keepLines w:val="0"/>
        <w:numPr>
          <w:ilvl w:val="0"/>
          <w:numId w:val="1"/>
        </w:numPr>
        <w:tabs>
          <w:tab w:val="clear" w:pos="432"/>
          <w:tab w:val="left" w:pos="0"/>
        </w:tabs>
        <w:spacing w:before="0" w:after="0" w:line="360" w:lineRule="auto"/>
        <w:ind w:left="0" w:firstLine="0"/>
        <w:jc w:val="both"/>
        <w:rPr>
          <w:rFonts w:ascii="Arial" w:hAnsi="Arial" w:cs="Arial"/>
          <w:i/>
          <w:sz w:val="24"/>
          <w:szCs w:val="24"/>
        </w:rPr>
      </w:pPr>
      <w:bookmarkStart w:id="57" w:name="_Toc50031190"/>
      <w:r w:rsidRPr="00197CC0">
        <w:rPr>
          <w:rFonts w:ascii="Arial" w:hAnsi="Arial" w:cs="Arial"/>
          <w:i/>
          <w:sz w:val="24"/>
          <w:szCs w:val="24"/>
        </w:rPr>
        <w:t>4.1 Microscopía electrónica de barrido (SEM) al sistema poliuretano con arena.</w:t>
      </w:r>
      <w:bookmarkEnd w:id="57"/>
    </w:p>
    <w:tbl>
      <w:tblPr>
        <w:tblW w:w="0" w:type="auto"/>
        <w:jc w:val="center"/>
        <w:tblLook w:val="04A0" w:firstRow="1" w:lastRow="0" w:firstColumn="1" w:lastColumn="0" w:noHBand="0" w:noVBand="1"/>
      </w:tblPr>
      <w:tblGrid>
        <w:gridCol w:w="4696"/>
        <w:gridCol w:w="4708"/>
      </w:tblGrid>
      <w:tr w:rsidR="00197CC0" w:rsidTr="00B81843">
        <w:trPr>
          <w:jc w:val="center"/>
        </w:trPr>
        <w:tc>
          <w:tcPr>
            <w:tcW w:w="5056" w:type="dxa"/>
            <w:shd w:val="clear" w:color="auto" w:fill="auto"/>
          </w:tcPr>
          <w:p w:rsidR="00197CC0" w:rsidRDefault="00197CC0" w:rsidP="00B81843">
            <w:pPr>
              <w:jc w:val="center"/>
            </w:pPr>
            <w:r w:rsidRPr="00022802">
              <w:rPr>
                <w:noProof/>
                <w:lang w:val="en-US"/>
              </w:rPr>
              <w:drawing>
                <wp:inline distT="0" distB="0" distL="0" distR="0" wp14:anchorId="4E1012EE" wp14:editId="59B30D40">
                  <wp:extent cx="1857375" cy="1466850"/>
                  <wp:effectExtent l="0" t="0" r="9525" b="0"/>
                  <wp:docPr id="28" name="Imagen 28" descr="DMPA-ASK-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MPA-ASK-1-0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57375" cy="1466850"/>
                          </a:xfrm>
                          <a:prstGeom prst="rect">
                            <a:avLst/>
                          </a:prstGeom>
                          <a:noFill/>
                          <a:ln>
                            <a:noFill/>
                          </a:ln>
                        </pic:spPr>
                      </pic:pic>
                    </a:graphicData>
                  </a:graphic>
                </wp:inline>
              </w:drawing>
            </w:r>
          </w:p>
          <w:p w:rsidR="00197CC0" w:rsidRDefault="00197CC0" w:rsidP="00B81843">
            <w:pPr>
              <w:jc w:val="center"/>
            </w:pPr>
            <w:r>
              <w:rPr>
                <w:rFonts w:ascii="Arial" w:hAnsi="Arial" w:cs="Arial"/>
                <w:b/>
              </w:rPr>
              <w:t>Figura 18</w:t>
            </w:r>
            <w:r w:rsidRPr="00746B4E">
              <w:rPr>
                <w:rFonts w:ascii="Arial" w:hAnsi="Arial" w:cs="Arial"/>
                <w:b/>
              </w:rPr>
              <w:t xml:space="preserve">. </w:t>
            </w:r>
            <w:r w:rsidRPr="00746B4E">
              <w:rPr>
                <w:rFonts w:ascii="Arial" w:hAnsi="Arial" w:cs="Arial"/>
              </w:rPr>
              <w:t xml:space="preserve">SEM petramin 1, 100 </w:t>
            </w:r>
            <w:r w:rsidRPr="00746B4E">
              <w:rPr>
                <w:rFonts w:ascii="Symbol" w:hAnsi="Symbol" w:cs="Arial"/>
              </w:rPr>
              <w:t></w:t>
            </w:r>
            <w:r w:rsidRPr="00746B4E">
              <w:rPr>
                <w:rFonts w:ascii="Arial" w:hAnsi="Arial" w:cs="Arial"/>
              </w:rPr>
              <w:t>m</w:t>
            </w:r>
            <w:r>
              <w:rPr>
                <w:rFonts w:ascii="Arial" w:hAnsi="Arial" w:cs="Arial"/>
              </w:rPr>
              <w:t>.</w:t>
            </w:r>
          </w:p>
        </w:tc>
        <w:tc>
          <w:tcPr>
            <w:tcW w:w="5056" w:type="dxa"/>
            <w:shd w:val="clear" w:color="auto" w:fill="auto"/>
          </w:tcPr>
          <w:p w:rsidR="00197CC0" w:rsidRDefault="00197CC0" w:rsidP="00B81843">
            <w:pPr>
              <w:jc w:val="center"/>
            </w:pPr>
            <w:r w:rsidRPr="00BC0D08">
              <w:rPr>
                <w:noProof/>
                <w:lang w:val="en-US"/>
              </w:rPr>
              <w:drawing>
                <wp:inline distT="0" distB="0" distL="0" distR="0" wp14:anchorId="45103374" wp14:editId="1992D5DD">
                  <wp:extent cx="1876425" cy="1485900"/>
                  <wp:effectExtent l="0" t="0" r="9525" b="0"/>
                  <wp:docPr id="27" name="Imagen 27" descr="DMPA-ASK-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MPA-ASK-1-0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76425" cy="1485900"/>
                          </a:xfrm>
                          <a:prstGeom prst="rect">
                            <a:avLst/>
                          </a:prstGeom>
                          <a:noFill/>
                          <a:ln>
                            <a:noFill/>
                          </a:ln>
                        </pic:spPr>
                      </pic:pic>
                    </a:graphicData>
                  </a:graphic>
                </wp:inline>
              </w:drawing>
            </w:r>
          </w:p>
          <w:p w:rsidR="00197CC0" w:rsidRPr="00746B4E" w:rsidRDefault="00197CC0" w:rsidP="00B81843">
            <w:pPr>
              <w:jc w:val="center"/>
              <w:rPr>
                <w:rFonts w:ascii="Arial" w:hAnsi="Arial" w:cs="Arial"/>
              </w:rPr>
            </w:pPr>
            <w:r>
              <w:rPr>
                <w:rFonts w:ascii="Arial" w:hAnsi="Arial" w:cs="Arial"/>
                <w:b/>
              </w:rPr>
              <w:t>Figura 19</w:t>
            </w:r>
            <w:r w:rsidRPr="00746B4E">
              <w:rPr>
                <w:rFonts w:ascii="Arial" w:hAnsi="Arial" w:cs="Arial"/>
                <w:b/>
              </w:rPr>
              <w:t xml:space="preserve">. </w:t>
            </w:r>
            <w:r w:rsidRPr="00746B4E">
              <w:rPr>
                <w:rFonts w:ascii="Arial" w:hAnsi="Arial" w:cs="Arial"/>
              </w:rPr>
              <w:t xml:space="preserve">SEM petramin 1, 20 </w:t>
            </w:r>
            <w:r w:rsidRPr="00746B4E">
              <w:rPr>
                <w:rFonts w:ascii="Symbol" w:hAnsi="Symbol" w:cs="Arial"/>
              </w:rPr>
              <w:t></w:t>
            </w:r>
            <w:r w:rsidRPr="00746B4E">
              <w:rPr>
                <w:rFonts w:ascii="Arial" w:hAnsi="Arial" w:cs="Arial"/>
              </w:rPr>
              <w:t>m.</w:t>
            </w:r>
          </w:p>
        </w:tc>
      </w:tr>
      <w:tr w:rsidR="00197CC0" w:rsidTr="00B81843">
        <w:trPr>
          <w:jc w:val="center"/>
        </w:trPr>
        <w:tc>
          <w:tcPr>
            <w:tcW w:w="5056" w:type="dxa"/>
            <w:shd w:val="clear" w:color="auto" w:fill="auto"/>
          </w:tcPr>
          <w:p w:rsidR="00197CC0" w:rsidRDefault="00197CC0" w:rsidP="00B81843">
            <w:pPr>
              <w:jc w:val="center"/>
            </w:pPr>
            <w:r w:rsidRPr="00BC0D08">
              <w:rPr>
                <w:noProof/>
                <w:lang w:val="en-US"/>
              </w:rPr>
              <w:drawing>
                <wp:inline distT="0" distB="0" distL="0" distR="0" wp14:anchorId="31234844" wp14:editId="31982F65">
                  <wp:extent cx="1847850" cy="1343025"/>
                  <wp:effectExtent l="0" t="0" r="0" b="9525"/>
                  <wp:docPr id="26" name="Imagen 26" descr="DMEA-ASK-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MEA-ASK-1-0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47850" cy="1343025"/>
                          </a:xfrm>
                          <a:prstGeom prst="rect">
                            <a:avLst/>
                          </a:prstGeom>
                          <a:noFill/>
                          <a:ln>
                            <a:noFill/>
                          </a:ln>
                        </pic:spPr>
                      </pic:pic>
                    </a:graphicData>
                  </a:graphic>
                </wp:inline>
              </w:drawing>
            </w:r>
          </w:p>
          <w:p w:rsidR="00197CC0" w:rsidRDefault="00197CC0" w:rsidP="00B81843">
            <w:pPr>
              <w:jc w:val="center"/>
            </w:pPr>
            <w:r>
              <w:rPr>
                <w:rFonts w:ascii="Arial" w:hAnsi="Arial" w:cs="Arial"/>
                <w:b/>
              </w:rPr>
              <w:t>Figura 20</w:t>
            </w:r>
            <w:r w:rsidRPr="00746B4E">
              <w:rPr>
                <w:rFonts w:ascii="Arial" w:hAnsi="Arial" w:cs="Arial"/>
                <w:b/>
              </w:rPr>
              <w:t xml:space="preserve">. </w:t>
            </w:r>
            <w:r w:rsidRPr="00746B4E">
              <w:rPr>
                <w:rFonts w:ascii="Arial" w:hAnsi="Arial" w:cs="Arial"/>
              </w:rPr>
              <w:t xml:space="preserve">SEM petramin 2, 20 </w:t>
            </w:r>
            <w:r w:rsidRPr="00746B4E">
              <w:rPr>
                <w:rFonts w:ascii="Symbol" w:hAnsi="Symbol" w:cs="Arial"/>
              </w:rPr>
              <w:t></w:t>
            </w:r>
            <w:r w:rsidRPr="00746B4E">
              <w:rPr>
                <w:rFonts w:ascii="Arial" w:hAnsi="Arial" w:cs="Arial"/>
              </w:rPr>
              <w:t>m</w:t>
            </w:r>
            <w:r>
              <w:rPr>
                <w:rFonts w:ascii="Arial" w:hAnsi="Arial" w:cs="Arial"/>
              </w:rPr>
              <w:t>.</w:t>
            </w:r>
          </w:p>
        </w:tc>
        <w:tc>
          <w:tcPr>
            <w:tcW w:w="5056" w:type="dxa"/>
            <w:shd w:val="clear" w:color="auto" w:fill="auto"/>
          </w:tcPr>
          <w:p w:rsidR="00197CC0" w:rsidRDefault="00197CC0" w:rsidP="00B81843">
            <w:pPr>
              <w:jc w:val="center"/>
            </w:pPr>
            <w:r w:rsidRPr="00BC0D08">
              <w:rPr>
                <w:noProof/>
                <w:lang w:val="en-US"/>
              </w:rPr>
              <w:drawing>
                <wp:inline distT="0" distB="0" distL="0" distR="0" wp14:anchorId="365F159A" wp14:editId="78CC7B99">
                  <wp:extent cx="1905000" cy="1371600"/>
                  <wp:effectExtent l="0" t="0" r="0" b="0"/>
                  <wp:docPr id="25" name="Imagen 25" descr="TEA-HA-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TEA-HA-1-0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05000" cy="1371600"/>
                          </a:xfrm>
                          <a:prstGeom prst="rect">
                            <a:avLst/>
                          </a:prstGeom>
                          <a:noFill/>
                          <a:ln>
                            <a:noFill/>
                          </a:ln>
                        </pic:spPr>
                      </pic:pic>
                    </a:graphicData>
                  </a:graphic>
                </wp:inline>
              </w:drawing>
            </w:r>
          </w:p>
          <w:p w:rsidR="00197CC0" w:rsidRDefault="00197CC0" w:rsidP="00B81843">
            <w:pPr>
              <w:jc w:val="center"/>
            </w:pPr>
            <w:r>
              <w:rPr>
                <w:rFonts w:ascii="Arial" w:hAnsi="Arial" w:cs="Arial"/>
                <w:b/>
              </w:rPr>
              <w:t>Figura 21</w:t>
            </w:r>
            <w:r w:rsidRPr="00746B4E">
              <w:rPr>
                <w:rFonts w:ascii="Arial" w:hAnsi="Arial" w:cs="Arial"/>
                <w:b/>
              </w:rPr>
              <w:t xml:space="preserve">. </w:t>
            </w:r>
            <w:r w:rsidRPr="00746B4E">
              <w:rPr>
                <w:rFonts w:ascii="Arial" w:hAnsi="Arial" w:cs="Arial"/>
              </w:rPr>
              <w:t xml:space="preserve">SEM petramin 3, 20 </w:t>
            </w:r>
            <w:r w:rsidRPr="00746B4E">
              <w:rPr>
                <w:rFonts w:ascii="Symbol" w:hAnsi="Symbol" w:cs="Arial"/>
              </w:rPr>
              <w:t></w:t>
            </w:r>
            <w:r w:rsidRPr="00746B4E">
              <w:rPr>
                <w:rFonts w:ascii="Arial" w:hAnsi="Arial" w:cs="Arial"/>
              </w:rPr>
              <w:t>m.</w:t>
            </w:r>
          </w:p>
        </w:tc>
      </w:tr>
    </w:tbl>
    <w:p w:rsidR="00197CC0" w:rsidRDefault="00197CC0" w:rsidP="00197CC0">
      <w:pPr>
        <w:pStyle w:val="Textoindependiente"/>
        <w:spacing w:line="192" w:lineRule="auto"/>
        <w:rPr>
          <w:rFonts w:ascii="Arial" w:hAnsi="Arial" w:cs="Arial"/>
          <w:b w:val="0"/>
          <w:sz w:val="24"/>
        </w:rPr>
      </w:pPr>
    </w:p>
    <w:p w:rsidR="00197CC0" w:rsidRDefault="00197CC0" w:rsidP="00197CC0">
      <w:pPr>
        <w:pStyle w:val="Textoindependiente"/>
        <w:rPr>
          <w:rFonts w:ascii="Arial" w:hAnsi="Arial" w:cs="Arial"/>
          <w:b w:val="0"/>
          <w:sz w:val="24"/>
        </w:rPr>
      </w:pPr>
      <w:r>
        <w:rPr>
          <w:rFonts w:ascii="Arial" w:hAnsi="Arial" w:cs="Arial"/>
          <w:b w:val="0"/>
          <w:sz w:val="24"/>
        </w:rPr>
        <w:lastRenderedPageBreak/>
        <w:t xml:space="preserve">En las SEM obtenidas para las diferentes formulaciones de aminas, se puede observar que, para el caso de la formulación petramin 1, las superficies de los gránulos de arena se encuentran muy bien cubiertas y uniformes de poliuretano, además que los puentes de unión son sustancialmente más densos, lo que deriva en una mejor aglutinación en comparación con aquellos observados en las formulaciones de petramin 2 y petramin 3, en cuyas microscopías se pueden ver detalles de defectos de recubrimiento de poliuretano, además de uniones de poliuretano más sobrias entre los gránulos de arena. Las figuras 19, 20 y 21 poseen la misma distancia y resolución. Esto podría explicar el mejor desempeño de resistencias por parte de la petramin 1. </w:t>
      </w:r>
    </w:p>
    <w:p w:rsidR="00197CC0" w:rsidRDefault="00197CC0" w:rsidP="00197CC0">
      <w:pPr>
        <w:pStyle w:val="Textoindependiente"/>
        <w:rPr>
          <w:rFonts w:ascii="Arial" w:hAnsi="Arial" w:cs="Arial"/>
          <w:b w:val="0"/>
          <w:sz w:val="24"/>
        </w:rPr>
      </w:pPr>
    </w:p>
    <w:p w:rsidR="00197CC0" w:rsidRDefault="00197CC0" w:rsidP="00197CC0">
      <w:pPr>
        <w:pStyle w:val="Textoindependiente"/>
        <w:rPr>
          <w:rFonts w:ascii="Arial" w:hAnsi="Arial" w:cs="Arial"/>
          <w:i/>
          <w:sz w:val="24"/>
        </w:rPr>
      </w:pPr>
      <w:r w:rsidRPr="00BF04EC">
        <w:rPr>
          <w:rFonts w:ascii="Arial" w:hAnsi="Arial" w:cs="Arial"/>
          <w:i/>
          <w:sz w:val="24"/>
        </w:rPr>
        <w:t>4.2 Pruebas de resistencia de tracción (prensa mecánica) y pesos moleculares (vía GPC) al sistema poliuretano sin arena</w:t>
      </w:r>
    </w:p>
    <w:p w:rsidR="00197CC0" w:rsidRDefault="00197CC0" w:rsidP="00197CC0">
      <w:pPr>
        <w:pStyle w:val="Textoindependiente"/>
        <w:spacing w:line="120" w:lineRule="auto"/>
        <w:rPr>
          <w:rFonts w:ascii="Arial" w:hAnsi="Arial" w:cs="Arial"/>
          <w:i/>
          <w:sz w:val="24"/>
        </w:rPr>
      </w:pPr>
    </w:p>
    <w:tbl>
      <w:tblPr>
        <w:tblW w:w="0" w:type="auto"/>
        <w:jc w:val="center"/>
        <w:tblLook w:val="04A0" w:firstRow="1" w:lastRow="0" w:firstColumn="1" w:lastColumn="0" w:noHBand="0" w:noVBand="1"/>
      </w:tblPr>
      <w:tblGrid>
        <w:gridCol w:w="4713"/>
        <w:gridCol w:w="4691"/>
      </w:tblGrid>
      <w:tr w:rsidR="00197CC0" w:rsidRPr="00746B4E" w:rsidTr="00B81843">
        <w:trPr>
          <w:jc w:val="center"/>
        </w:trPr>
        <w:tc>
          <w:tcPr>
            <w:tcW w:w="5056" w:type="dxa"/>
            <w:shd w:val="clear" w:color="auto" w:fill="auto"/>
          </w:tcPr>
          <w:p w:rsidR="00197CC0" w:rsidRPr="00746B4E" w:rsidRDefault="00197CC0" w:rsidP="00B81843">
            <w:pPr>
              <w:jc w:val="center"/>
              <w:rPr>
                <w:rFonts w:ascii="Arial" w:eastAsia="Calibri" w:hAnsi="Arial" w:cs="Arial"/>
                <w:noProof/>
                <w:lang w:eastAsia="es-MX"/>
              </w:rPr>
            </w:pPr>
            <w:r w:rsidRPr="00746B4E">
              <w:rPr>
                <w:rFonts w:ascii="Arial" w:eastAsia="Calibri" w:hAnsi="Arial" w:cs="Arial"/>
                <w:noProof/>
                <w:lang w:val="en-US"/>
              </w:rPr>
              <w:drawing>
                <wp:inline distT="0" distB="0" distL="0" distR="0" wp14:anchorId="57AEA7CC" wp14:editId="626829D4">
                  <wp:extent cx="1076325" cy="1162050"/>
                  <wp:effectExtent l="0" t="0" r="9525" b="0"/>
                  <wp:docPr id="24" name="Imagen 24" descr="IMG_20190715_20200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90715_202004236"/>
                          <pic:cNvPicPr>
                            <a:picLocks noChangeAspect="1" noChangeArrowheads="1"/>
                          </pic:cNvPicPr>
                        </pic:nvPicPr>
                        <pic:blipFill>
                          <a:blip r:embed="rId140" cstate="print">
                            <a:extLst>
                              <a:ext uri="{28A0092B-C50C-407E-A947-70E740481C1C}">
                                <a14:useLocalDpi xmlns:a14="http://schemas.microsoft.com/office/drawing/2010/main" val="0"/>
                              </a:ext>
                            </a:extLst>
                          </a:blip>
                          <a:srcRect t="20427"/>
                          <a:stretch>
                            <a:fillRect/>
                          </a:stretch>
                        </pic:blipFill>
                        <pic:spPr bwMode="auto">
                          <a:xfrm>
                            <a:off x="0" y="0"/>
                            <a:ext cx="1076325" cy="1162050"/>
                          </a:xfrm>
                          <a:prstGeom prst="rect">
                            <a:avLst/>
                          </a:prstGeom>
                          <a:noFill/>
                          <a:ln>
                            <a:noFill/>
                          </a:ln>
                        </pic:spPr>
                      </pic:pic>
                    </a:graphicData>
                  </a:graphic>
                </wp:inline>
              </w:drawing>
            </w:r>
          </w:p>
          <w:p w:rsidR="00197CC0" w:rsidRPr="00746B4E" w:rsidRDefault="00197CC0" w:rsidP="00B81843">
            <w:pPr>
              <w:pStyle w:val="Textoindependiente"/>
              <w:jc w:val="center"/>
              <w:rPr>
                <w:rFonts w:ascii="Arial" w:hAnsi="Arial" w:cs="Arial"/>
                <w:b w:val="0"/>
                <w:sz w:val="24"/>
              </w:rPr>
            </w:pPr>
            <w:r>
              <w:rPr>
                <w:rFonts w:ascii="Arial" w:hAnsi="Arial" w:cs="Arial"/>
                <w:sz w:val="24"/>
              </w:rPr>
              <w:t>Figura 22</w:t>
            </w:r>
            <w:r w:rsidRPr="00C86673">
              <w:rPr>
                <w:rFonts w:ascii="Arial" w:hAnsi="Arial" w:cs="Arial"/>
                <w:sz w:val="24"/>
              </w:rPr>
              <w:t>.</w:t>
            </w:r>
            <w:r w:rsidRPr="00746B4E">
              <w:rPr>
                <w:rFonts w:ascii="Arial" w:hAnsi="Arial" w:cs="Arial"/>
                <w:b w:val="0"/>
                <w:sz w:val="24"/>
              </w:rPr>
              <w:t xml:space="preserve"> Probetas fabricadas con resinas para COLDBOX sin arena</w:t>
            </w:r>
            <w:r w:rsidRPr="00746B4E">
              <w:rPr>
                <w:rFonts w:ascii="Arial" w:hAnsi="Arial" w:cs="Arial"/>
                <w:sz w:val="24"/>
              </w:rPr>
              <w:t>.</w:t>
            </w:r>
          </w:p>
        </w:tc>
        <w:tc>
          <w:tcPr>
            <w:tcW w:w="5056" w:type="dxa"/>
            <w:shd w:val="clear" w:color="auto" w:fill="auto"/>
          </w:tcPr>
          <w:p w:rsidR="00197CC0" w:rsidRPr="00746B4E" w:rsidRDefault="00197CC0" w:rsidP="00B81843">
            <w:pPr>
              <w:jc w:val="center"/>
              <w:rPr>
                <w:rFonts w:ascii="Arial" w:hAnsi="Arial" w:cs="Arial"/>
                <w:b/>
              </w:rPr>
            </w:pPr>
            <w:r w:rsidRPr="00746B4E">
              <w:rPr>
                <w:rFonts w:ascii="Arial" w:hAnsi="Arial" w:cs="Arial"/>
                <w:b/>
                <w:noProof/>
                <w:lang w:val="en-US"/>
              </w:rPr>
              <w:drawing>
                <wp:inline distT="0" distB="0" distL="0" distR="0" wp14:anchorId="5119995C" wp14:editId="5E1D351D">
                  <wp:extent cx="952500" cy="1143000"/>
                  <wp:effectExtent l="0" t="0" r="0" b="0"/>
                  <wp:docPr id="1674859475" name="Imagen 167485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52500" cy="1143000"/>
                          </a:xfrm>
                          <a:prstGeom prst="rect">
                            <a:avLst/>
                          </a:prstGeom>
                          <a:noFill/>
                        </pic:spPr>
                      </pic:pic>
                    </a:graphicData>
                  </a:graphic>
                </wp:inline>
              </w:drawing>
            </w:r>
          </w:p>
          <w:p w:rsidR="00197CC0" w:rsidRDefault="00197CC0" w:rsidP="00B81843">
            <w:pPr>
              <w:pStyle w:val="Textoindependiente"/>
              <w:jc w:val="center"/>
              <w:rPr>
                <w:rFonts w:ascii="Arial" w:hAnsi="Arial" w:cs="Arial"/>
                <w:b w:val="0"/>
                <w:sz w:val="24"/>
              </w:rPr>
            </w:pPr>
            <w:r>
              <w:rPr>
                <w:rFonts w:ascii="Arial" w:hAnsi="Arial" w:cs="Arial"/>
                <w:sz w:val="24"/>
              </w:rPr>
              <w:t>Figura 23</w:t>
            </w:r>
            <w:r w:rsidRPr="00C86673">
              <w:rPr>
                <w:rFonts w:ascii="Arial" w:hAnsi="Arial" w:cs="Arial"/>
                <w:sz w:val="24"/>
              </w:rPr>
              <w:t>.</w:t>
            </w:r>
            <w:r w:rsidRPr="00746B4E">
              <w:rPr>
                <w:rFonts w:ascii="Arial" w:hAnsi="Arial" w:cs="Arial"/>
                <w:b w:val="0"/>
                <w:sz w:val="24"/>
              </w:rPr>
              <w:t xml:space="preserve"> Prensa para pruebas de resistencia de materiales marca Shimadzu</w:t>
            </w:r>
            <w:r w:rsidRPr="00746B4E">
              <w:rPr>
                <w:rFonts w:ascii="Arial" w:hAnsi="Arial" w:cs="Arial"/>
                <w:b w:val="0"/>
                <w:sz w:val="24"/>
                <w:vertAlign w:val="superscript"/>
              </w:rPr>
              <w:t>1</w:t>
            </w:r>
            <w:r>
              <w:rPr>
                <w:rFonts w:ascii="Arial" w:hAnsi="Arial" w:cs="Arial"/>
                <w:b w:val="0"/>
                <w:sz w:val="24"/>
              </w:rPr>
              <w:t>.</w:t>
            </w:r>
          </w:p>
          <w:p w:rsidR="00197CC0" w:rsidRPr="006F462C" w:rsidRDefault="00197CC0" w:rsidP="00B81843">
            <w:pPr>
              <w:pStyle w:val="Textoindependiente"/>
              <w:jc w:val="center"/>
              <w:rPr>
                <w:rFonts w:ascii="Arial" w:hAnsi="Arial" w:cs="Arial"/>
                <w:b w:val="0"/>
                <w:sz w:val="24"/>
              </w:rPr>
            </w:pPr>
          </w:p>
        </w:tc>
      </w:tr>
      <w:tr w:rsidR="00197CC0" w:rsidRPr="00C643BD" w:rsidTr="00B81843">
        <w:trPr>
          <w:jc w:val="center"/>
        </w:trPr>
        <w:tc>
          <w:tcPr>
            <w:tcW w:w="10112" w:type="dxa"/>
            <w:gridSpan w:val="2"/>
            <w:shd w:val="clear" w:color="auto" w:fill="auto"/>
          </w:tcPr>
          <w:p w:rsidR="00197CC0" w:rsidRPr="00496707" w:rsidRDefault="00197CC0" w:rsidP="00B81843">
            <w:pPr>
              <w:rPr>
                <w:i/>
                <w:lang w:val="en-US"/>
              </w:rPr>
            </w:pPr>
            <w:r w:rsidRPr="00496707">
              <w:rPr>
                <w:rFonts w:ascii="Arial" w:hAnsi="Arial" w:cs="Arial"/>
                <w:i/>
                <w:vertAlign w:val="superscript"/>
                <w:lang w:val="en-US"/>
              </w:rPr>
              <w:t>1</w:t>
            </w:r>
            <w:r w:rsidRPr="00496707">
              <w:rPr>
                <w:rFonts w:ascii="Arial" w:hAnsi="Arial" w:cs="Arial"/>
                <w:i/>
                <w:lang w:val="en-US"/>
              </w:rPr>
              <w:t>Esfuerzo-deformación, ASTM 638, Standard Test Method For Tensile Properties of Plastics.</w:t>
            </w:r>
          </w:p>
        </w:tc>
      </w:tr>
      <w:tr w:rsidR="00197CC0" w:rsidRPr="00C643BD" w:rsidTr="00B81843">
        <w:trPr>
          <w:jc w:val="center"/>
        </w:trPr>
        <w:tc>
          <w:tcPr>
            <w:tcW w:w="10112" w:type="dxa"/>
            <w:gridSpan w:val="2"/>
            <w:shd w:val="clear" w:color="auto" w:fill="auto"/>
          </w:tcPr>
          <w:p w:rsidR="00197CC0" w:rsidRPr="00496707" w:rsidRDefault="00197CC0" w:rsidP="00B81843">
            <w:pPr>
              <w:rPr>
                <w:rFonts w:ascii="Arial" w:hAnsi="Arial" w:cs="Arial"/>
                <w:i/>
                <w:vertAlign w:val="superscript"/>
                <w:lang w:val="en-US"/>
              </w:rPr>
            </w:pPr>
          </w:p>
        </w:tc>
      </w:tr>
    </w:tbl>
    <w:p w:rsidR="00197CC0" w:rsidRDefault="00197CC0" w:rsidP="00197CC0">
      <w:pPr>
        <w:jc w:val="center"/>
        <w:rPr>
          <w:noProof/>
          <w:lang w:eastAsia="es-MX"/>
        </w:rPr>
      </w:pPr>
      <w:r>
        <w:rPr>
          <w:noProof/>
          <w:lang w:val="en-US"/>
        </w:rPr>
        <w:lastRenderedPageBreak/>
        <w:drawing>
          <wp:inline distT="0" distB="0" distL="0" distR="0" wp14:anchorId="218B7972" wp14:editId="7EBED111">
            <wp:extent cx="3585845" cy="2125345"/>
            <wp:effectExtent l="0" t="0" r="0" b="8255"/>
            <wp:docPr id="1674859474" name="Imagen 1674859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585845" cy="2125345"/>
                    </a:xfrm>
                    <a:prstGeom prst="rect">
                      <a:avLst/>
                    </a:prstGeom>
                    <a:noFill/>
                  </pic:spPr>
                </pic:pic>
              </a:graphicData>
            </a:graphic>
          </wp:inline>
        </w:drawing>
      </w:r>
    </w:p>
    <w:p w:rsidR="00197CC0" w:rsidRDefault="00197CC0" w:rsidP="00197CC0">
      <w:pPr>
        <w:jc w:val="center"/>
        <w:rPr>
          <w:rFonts w:ascii="Arial" w:hAnsi="Arial" w:cs="Arial"/>
          <w:szCs w:val="22"/>
        </w:rPr>
      </w:pPr>
      <w:r w:rsidRPr="002E2EE4">
        <w:rPr>
          <w:rFonts w:ascii="Arial" w:hAnsi="Arial" w:cs="Arial"/>
          <w:b/>
        </w:rPr>
        <w:t xml:space="preserve">Figura </w:t>
      </w:r>
      <w:r>
        <w:rPr>
          <w:rFonts w:ascii="Arial" w:hAnsi="Arial" w:cs="Arial"/>
          <w:b/>
        </w:rPr>
        <w:t xml:space="preserve">24. </w:t>
      </w:r>
      <w:r w:rsidRPr="002B4269">
        <w:rPr>
          <w:rFonts w:ascii="Arial" w:hAnsi="Arial" w:cs="Arial"/>
          <w:szCs w:val="22"/>
        </w:rPr>
        <w:t>Pr</w:t>
      </w:r>
      <w:r>
        <w:rPr>
          <w:rFonts w:ascii="Arial" w:hAnsi="Arial" w:cs="Arial"/>
          <w:szCs w:val="22"/>
        </w:rPr>
        <w:t>omedio de esfuerzos a la tracción para sistema poliuretano sin arena.</w:t>
      </w:r>
    </w:p>
    <w:p w:rsidR="00197CC0" w:rsidRDefault="00197CC0" w:rsidP="00197CC0">
      <w:pPr>
        <w:spacing w:line="120" w:lineRule="auto"/>
        <w:jc w:val="center"/>
        <w:rPr>
          <w:rFonts w:ascii="Arial" w:hAnsi="Arial" w:cs="Arial"/>
          <w:szCs w:val="22"/>
        </w:rPr>
      </w:pPr>
    </w:p>
    <w:p w:rsidR="00197CC0" w:rsidRDefault="00197CC0" w:rsidP="00197CC0">
      <w:pPr>
        <w:pStyle w:val="Textoindependiente"/>
        <w:rPr>
          <w:rFonts w:ascii="Arial" w:hAnsi="Arial" w:cs="Arial"/>
          <w:b w:val="0"/>
          <w:sz w:val="24"/>
        </w:rPr>
      </w:pPr>
      <w:r>
        <w:rPr>
          <w:rFonts w:ascii="Arial" w:hAnsi="Arial" w:cs="Arial"/>
          <w:b w:val="0"/>
          <w:sz w:val="24"/>
        </w:rPr>
        <w:t xml:space="preserve">Los valores de resistencia a la tracción observadas en la figura 24 muestran la siguiente tendencia: </w:t>
      </w:r>
      <w:r>
        <w:rPr>
          <w:rFonts w:ascii="Arial" w:hAnsi="Arial" w:cs="Arial"/>
          <w:sz w:val="24"/>
        </w:rPr>
        <w:t xml:space="preserve">petramin 3 </w:t>
      </w:r>
      <w:r w:rsidRPr="0035234C">
        <w:rPr>
          <w:rFonts w:ascii="Arial" w:hAnsi="Arial" w:cs="Arial"/>
          <w:sz w:val="24"/>
        </w:rPr>
        <w:t>&gt;</w:t>
      </w:r>
      <w:r>
        <w:rPr>
          <w:rFonts w:ascii="Arial" w:hAnsi="Arial" w:cs="Arial"/>
          <w:sz w:val="24"/>
        </w:rPr>
        <w:t xml:space="preserve"> petramin 1 </w:t>
      </w:r>
      <w:r w:rsidRPr="0035234C">
        <w:rPr>
          <w:rFonts w:ascii="Arial" w:hAnsi="Arial" w:cs="Arial"/>
          <w:sz w:val="24"/>
        </w:rPr>
        <w:t>&gt;</w:t>
      </w:r>
      <w:r>
        <w:rPr>
          <w:rFonts w:ascii="Arial" w:hAnsi="Arial" w:cs="Arial"/>
          <w:sz w:val="24"/>
        </w:rPr>
        <w:t xml:space="preserve"> petramin 4 </w:t>
      </w:r>
      <w:r w:rsidRPr="0035234C">
        <w:rPr>
          <w:rFonts w:ascii="Arial" w:hAnsi="Arial" w:cs="Arial"/>
          <w:sz w:val="24"/>
        </w:rPr>
        <w:t>&gt;</w:t>
      </w:r>
      <w:r>
        <w:rPr>
          <w:rFonts w:ascii="Arial" w:hAnsi="Arial" w:cs="Arial"/>
          <w:sz w:val="24"/>
        </w:rPr>
        <w:t xml:space="preserve"> petramin 2</w:t>
      </w:r>
      <w:r>
        <w:rPr>
          <w:rFonts w:ascii="Arial" w:hAnsi="Arial" w:cs="Arial"/>
          <w:b w:val="0"/>
          <w:sz w:val="24"/>
        </w:rPr>
        <w:t>, obteniéndose para petramin 1, alrededor de un 70% de resistencia generada por la formulación petramin 3 y un valor apenas por encima de la formulación petramin 4. Dichos resultados no concuerdan con la tendencia mostrada anteriormente para las pruebas en probetas COLDBOX, debido a la ausencia de arena. Al ser un sistema sin arena, el desempeño catalítico únicamente depende de la capacidad reactiva del sistema poliol/poliisocianato y su interacción con el catalizador en cuestión. Para este caso la formulación petramin 3 parece tener un mejor funcionamiento como catalizador. De acuerdo con</w:t>
      </w:r>
      <w:r w:rsidRPr="001C3063">
        <w:rPr>
          <w:rFonts w:ascii="Arial" w:hAnsi="Arial" w:cs="Arial"/>
          <w:b w:val="0"/>
          <w:sz w:val="24"/>
        </w:rPr>
        <w:t xml:space="preserve"> los resultados</w:t>
      </w:r>
      <w:r>
        <w:rPr>
          <w:rFonts w:ascii="Arial" w:hAnsi="Arial" w:cs="Arial"/>
          <w:b w:val="0"/>
          <w:sz w:val="24"/>
        </w:rPr>
        <w:t xml:space="preserve"> de pesos moleculares</w:t>
      </w:r>
      <w:r w:rsidRPr="001C3063">
        <w:rPr>
          <w:rFonts w:ascii="Arial" w:hAnsi="Arial" w:cs="Arial"/>
          <w:b w:val="0"/>
          <w:sz w:val="24"/>
        </w:rPr>
        <w:t xml:space="preserve">, </w:t>
      </w:r>
      <w:r>
        <w:rPr>
          <w:rFonts w:ascii="Arial" w:hAnsi="Arial" w:cs="Arial"/>
          <w:b w:val="0"/>
          <w:sz w:val="24"/>
        </w:rPr>
        <w:t>el</w:t>
      </w:r>
      <w:r w:rsidRPr="001C3063">
        <w:rPr>
          <w:rFonts w:ascii="Arial" w:hAnsi="Arial" w:cs="Arial"/>
          <w:b w:val="0"/>
          <w:sz w:val="24"/>
        </w:rPr>
        <w:t xml:space="preserve"> poliuretano de mayor peso molecular</w:t>
      </w:r>
      <w:r>
        <w:rPr>
          <w:rFonts w:ascii="Arial" w:hAnsi="Arial" w:cs="Arial"/>
          <w:b w:val="0"/>
          <w:sz w:val="24"/>
        </w:rPr>
        <w:t xml:space="preserve"> es el de petramin 1, seguido de petramin 2, petramin 3 y por último petramin 4 (ver figuras 25 y 26)</w:t>
      </w:r>
      <w:r w:rsidRPr="001C3063">
        <w:rPr>
          <w:rFonts w:ascii="Arial" w:hAnsi="Arial" w:cs="Arial"/>
          <w:b w:val="0"/>
          <w:sz w:val="24"/>
        </w:rPr>
        <w:t xml:space="preserve">. </w:t>
      </w:r>
      <w:r>
        <w:rPr>
          <w:rFonts w:ascii="Arial" w:hAnsi="Arial" w:cs="Arial"/>
          <w:b w:val="0"/>
          <w:sz w:val="24"/>
        </w:rPr>
        <w:t>Esta tendencia coincide con la capacidad de curado en las probetas de COLDBOX por lo que podrían estar correlacionadas. Al parecer, el poliuretano que se requiere para poder interactuar entre los intersticios de los gránulos de arena, necesita polimerizar en cadenas relativamente largas con pesos moleculares altos, pero con cierta variabilidad de distribución de cadena. Justamente esto último se atribuye, a que la arena a pesar de tener unas dimensiones más o menos similares, poseen simetrías y formas diferentes (ver figura 18).</w:t>
      </w:r>
    </w:p>
    <w:p w:rsidR="00197CC0" w:rsidRDefault="00197CC0" w:rsidP="00197CC0">
      <w:pPr>
        <w:pStyle w:val="Textoindependiente"/>
        <w:spacing w:line="120" w:lineRule="auto"/>
        <w:rPr>
          <w:rFonts w:ascii="Arial" w:hAnsi="Arial" w:cs="Arial"/>
          <w:b w:val="0"/>
          <w:sz w:val="24"/>
        </w:rPr>
      </w:pPr>
    </w:p>
    <w:tbl>
      <w:tblPr>
        <w:tblW w:w="0" w:type="auto"/>
        <w:tblLook w:val="04A0" w:firstRow="1" w:lastRow="0" w:firstColumn="1" w:lastColumn="0" w:noHBand="0" w:noVBand="1"/>
      </w:tblPr>
      <w:tblGrid>
        <w:gridCol w:w="4537"/>
        <w:gridCol w:w="4867"/>
      </w:tblGrid>
      <w:tr w:rsidR="00197CC0" w:rsidRPr="00746B4E" w:rsidTr="00B81843">
        <w:tc>
          <w:tcPr>
            <w:tcW w:w="5056" w:type="dxa"/>
            <w:shd w:val="clear" w:color="auto" w:fill="auto"/>
          </w:tcPr>
          <w:p w:rsidR="00197CC0" w:rsidRPr="00746B4E" w:rsidRDefault="00197CC0" w:rsidP="00B81843">
            <w:pPr>
              <w:spacing w:line="120" w:lineRule="auto"/>
              <w:jc w:val="center"/>
              <w:rPr>
                <w:rFonts w:ascii="Arial" w:hAnsi="Arial" w:cs="Arial"/>
                <w:b/>
              </w:rPr>
            </w:pPr>
            <w:r w:rsidRPr="00746B4E">
              <w:rPr>
                <w:rFonts w:ascii="Arial" w:hAnsi="Arial" w:cs="Arial"/>
                <w:b/>
                <w:noProof/>
                <w:lang w:val="en-US"/>
              </w:rPr>
              <w:lastRenderedPageBreak/>
              <w:drawing>
                <wp:inline distT="0" distB="0" distL="0" distR="0" wp14:anchorId="79678464" wp14:editId="134EDD0D">
                  <wp:extent cx="1905000" cy="17907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43" cstate="print">
                            <a:extLst>
                              <a:ext uri="{28A0092B-C50C-407E-A947-70E740481C1C}">
                                <a14:useLocalDpi xmlns:a14="http://schemas.microsoft.com/office/drawing/2010/main" val="0"/>
                              </a:ext>
                            </a:extLst>
                          </a:blip>
                          <a:srcRect l="27696" r="27063"/>
                          <a:stretch>
                            <a:fillRect/>
                          </a:stretch>
                        </pic:blipFill>
                        <pic:spPr bwMode="auto">
                          <a:xfrm>
                            <a:off x="0" y="0"/>
                            <a:ext cx="1905000" cy="1790700"/>
                          </a:xfrm>
                          <a:prstGeom prst="rect">
                            <a:avLst/>
                          </a:prstGeom>
                          <a:noFill/>
                          <a:ln>
                            <a:noFill/>
                          </a:ln>
                        </pic:spPr>
                      </pic:pic>
                    </a:graphicData>
                  </a:graphic>
                </wp:inline>
              </w:drawing>
            </w:r>
          </w:p>
          <w:p w:rsidR="00197CC0" w:rsidRPr="00746B4E" w:rsidRDefault="00197CC0" w:rsidP="00B81843">
            <w:pPr>
              <w:jc w:val="center"/>
              <w:rPr>
                <w:rFonts w:ascii="Arial" w:hAnsi="Arial" w:cs="Arial"/>
                <w:szCs w:val="22"/>
              </w:rPr>
            </w:pPr>
            <w:r>
              <w:rPr>
                <w:rFonts w:ascii="Arial" w:hAnsi="Arial" w:cs="Arial"/>
                <w:b/>
              </w:rPr>
              <w:t>Figura 25</w:t>
            </w:r>
            <w:r w:rsidRPr="00746B4E">
              <w:rPr>
                <w:rFonts w:ascii="Arial" w:hAnsi="Arial" w:cs="Arial"/>
                <w:b/>
              </w:rPr>
              <w:t>.</w:t>
            </w:r>
            <w:r w:rsidRPr="00746B4E">
              <w:rPr>
                <w:rFonts w:ascii="Arial" w:hAnsi="Arial" w:cs="Arial"/>
              </w:rPr>
              <w:t xml:space="preserve"> PDI y PM número y masa </w:t>
            </w:r>
            <w:r w:rsidRPr="00746B4E">
              <w:rPr>
                <w:rFonts w:ascii="Arial" w:hAnsi="Arial" w:cs="Arial"/>
                <w:szCs w:val="22"/>
              </w:rPr>
              <w:t>(</w:t>
            </w:r>
            <w:r>
              <w:rPr>
                <w:rFonts w:ascii="Arial" w:hAnsi="Arial" w:cs="Arial"/>
                <w:szCs w:val="22"/>
              </w:rPr>
              <w:t xml:space="preserve">vía </w:t>
            </w:r>
            <w:r w:rsidRPr="00746B4E">
              <w:rPr>
                <w:rFonts w:ascii="Arial" w:hAnsi="Arial" w:cs="Arial"/>
                <w:szCs w:val="22"/>
              </w:rPr>
              <w:t>GPC</w:t>
            </w:r>
            <w:r w:rsidRPr="00746B4E">
              <w:rPr>
                <w:rFonts w:ascii="Arial" w:hAnsi="Arial" w:cs="Arial"/>
                <w:szCs w:val="22"/>
                <w:vertAlign w:val="superscript"/>
              </w:rPr>
              <w:t>1</w:t>
            </w:r>
            <w:r w:rsidRPr="00746B4E">
              <w:rPr>
                <w:rFonts w:ascii="Arial" w:hAnsi="Arial" w:cs="Arial"/>
                <w:szCs w:val="22"/>
              </w:rPr>
              <w:t>)</w:t>
            </w:r>
            <w:r>
              <w:rPr>
                <w:rFonts w:ascii="Arial" w:hAnsi="Arial" w:cs="Arial"/>
                <w:szCs w:val="22"/>
              </w:rPr>
              <w:t>.</w:t>
            </w:r>
          </w:p>
        </w:tc>
        <w:tc>
          <w:tcPr>
            <w:tcW w:w="5056" w:type="dxa"/>
            <w:shd w:val="clear" w:color="auto" w:fill="auto"/>
          </w:tcPr>
          <w:p w:rsidR="00197CC0" w:rsidRDefault="00197CC0" w:rsidP="00B81843">
            <w:pPr>
              <w:jc w:val="center"/>
            </w:pPr>
            <w:r>
              <w:rPr>
                <w:noProof/>
                <w:lang w:val="en-US"/>
              </w:rPr>
              <w:drawing>
                <wp:inline distT="0" distB="0" distL="0" distR="0" wp14:anchorId="538304C7" wp14:editId="645B23F4">
                  <wp:extent cx="2642235" cy="1831975"/>
                  <wp:effectExtent l="0" t="0" r="5715" b="0"/>
                  <wp:docPr id="1674859473" name="Imagen 167485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42235" cy="1831975"/>
                          </a:xfrm>
                          <a:prstGeom prst="rect">
                            <a:avLst/>
                          </a:prstGeom>
                          <a:noFill/>
                        </pic:spPr>
                      </pic:pic>
                    </a:graphicData>
                  </a:graphic>
                </wp:inline>
              </w:drawing>
            </w:r>
          </w:p>
          <w:p w:rsidR="00197CC0" w:rsidRPr="00814CED" w:rsidRDefault="00197CC0" w:rsidP="00B81843">
            <w:pPr>
              <w:jc w:val="center"/>
              <w:rPr>
                <w:rFonts w:ascii="Arial" w:hAnsi="Arial" w:cs="Arial"/>
                <w:szCs w:val="22"/>
              </w:rPr>
            </w:pPr>
            <w:r>
              <w:rPr>
                <w:rFonts w:ascii="Arial" w:hAnsi="Arial" w:cs="Arial"/>
                <w:b/>
              </w:rPr>
              <w:t>Figura 26</w:t>
            </w:r>
            <w:r w:rsidRPr="00746B4E">
              <w:rPr>
                <w:rFonts w:ascii="Arial" w:hAnsi="Arial" w:cs="Arial"/>
                <w:b/>
              </w:rPr>
              <w:t xml:space="preserve">. </w:t>
            </w:r>
            <w:r w:rsidRPr="00746B4E">
              <w:rPr>
                <w:rFonts w:ascii="Arial" w:hAnsi="Arial" w:cs="Arial"/>
                <w:szCs w:val="22"/>
              </w:rPr>
              <w:t>Peso molecular en masa</w:t>
            </w:r>
            <w:r>
              <w:rPr>
                <w:rFonts w:ascii="Arial" w:hAnsi="Arial" w:cs="Arial"/>
                <w:szCs w:val="22"/>
              </w:rPr>
              <w:t>.</w:t>
            </w:r>
          </w:p>
        </w:tc>
      </w:tr>
      <w:tr w:rsidR="00197CC0" w:rsidRPr="005F437F" w:rsidTr="00B81843">
        <w:tc>
          <w:tcPr>
            <w:tcW w:w="10112" w:type="dxa"/>
            <w:gridSpan w:val="2"/>
            <w:shd w:val="clear" w:color="auto" w:fill="auto"/>
          </w:tcPr>
          <w:p w:rsidR="00197CC0" w:rsidRPr="009D4453" w:rsidRDefault="00197CC0" w:rsidP="00B81843">
            <w:r w:rsidRPr="00381338">
              <w:rPr>
                <w:rFonts w:ascii="Arial" w:hAnsi="Arial" w:cs="Arial"/>
                <w:vertAlign w:val="superscript"/>
              </w:rPr>
              <w:t xml:space="preserve">1 </w:t>
            </w:r>
            <w:r w:rsidRPr="00381338">
              <w:rPr>
                <w:rFonts w:ascii="Arial" w:hAnsi="Arial" w:cs="Arial"/>
              </w:rPr>
              <w:t>La técnica se determinó en un equipo de HPLC-</w:t>
            </w:r>
            <w:r>
              <w:rPr>
                <w:rFonts w:ascii="Arial" w:hAnsi="Arial" w:cs="Arial"/>
              </w:rPr>
              <w:t>RI con patrones de poliestireno.</w:t>
            </w:r>
          </w:p>
        </w:tc>
      </w:tr>
    </w:tbl>
    <w:p w:rsidR="00197CC0" w:rsidRDefault="00197CC0" w:rsidP="00197CC0">
      <w:pPr>
        <w:pStyle w:val="Textoindependiente"/>
        <w:spacing w:line="120" w:lineRule="auto"/>
        <w:rPr>
          <w:rFonts w:ascii="Arial" w:hAnsi="Arial" w:cs="Arial"/>
          <w:b w:val="0"/>
          <w:sz w:val="24"/>
        </w:rPr>
      </w:pPr>
    </w:p>
    <w:p w:rsidR="00197CC0" w:rsidRDefault="00197CC0" w:rsidP="00197CC0">
      <w:pPr>
        <w:pStyle w:val="Textoindependiente"/>
        <w:spacing w:line="120" w:lineRule="auto"/>
        <w:rPr>
          <w:rFonts w:ascii="Arial" w:hAnsi="Arial" w:cs="Arial"/>
          <w:b w:val="0"/>
          <w:sz w:val="24"/>
        </w:rPr>
      </w:pPr>
    </w:p>
    <w:p w:rsidR="00197CC0" w:rsidRDefault="00197CC0" w:rsidP="00197CC0">
      <w:pPr>
        <w:pStyle w:val="Textoindependiente"/>
        <w:rPr>
          <w:rFonts w:ascii="Arial" w:hAnsi="Arial" w:cs="Arial"/>
          <w:b w:val="0"/>
          <w:sz w:val="24"/>
        </w:rPr>
      </w:pPr>
      <w:r>
        <w:rPr>
          <w:rFonts w:ascii="Arial" w:hAnsi="Arial" w:cs="Arial"/>
          <w:b w:val="0"/>
          <w:sz w:val="24"/>
        </w:rPr>
        <w:t>El comportamiento reactivo con poliuretano sin arena es distinto del de COLDBOX,</w:t>
      </w:r>
      <w:r w:rsidRPr="001C3063">
        <w:rPr>
          <w:rFonts w:ascii="Arial" w:hAnsi="Arial" w:cs="Arial"/>
          <w:b w:val="0"/>
          <w:sz w:val="24"/>
        </w:rPr>
        <w:t xml:space="preserve"> </w:t>
      </w:r>
      <w:r>
        <w:rPr>
          <w:rFonts w:ascii="Arial" w:hAnsi="Arial" w:cs="Arial"/>
          <w:b w:val="0"/>
          <w:sz w:val="24"/>
        </w:rPr>
        <w:t>ya que la petramin 3</w:t>
      </w:r>
      <w:r w:rsidRPr="001C3063">
        <w:rPr>
          <w:rFonts w:ascii="Arial" w:hAnsi="Arial" w:cs="Arial"/>
          <w:b w:val="0"/>
          <w:sz w:val="24"/>
        </w:rPr>
        <w:t xml:space="preserve"> presenta la m</w:t>
      </w:r>
      <w:r>
        <w:rPr>
          <w:rFonts w:ascii="Arial" w:hAnsi="Arial" w:cs="Arial"/>
          <w:b w:val="0"/>
          <w:sz w:val="24"/>
        </w:rPr>
        <w:t>ayor</w:t>
      </w:r>
      <w:r w:rsidRPr="001C3063">
        <w:rPr>
          <w:rFonts w:ascii="Arial" w:hAnsi="Arial" w:cs="Arial"/>
          <w:b w:val="0"/>
          <w:sz w:val="24"/>
        </w:rPr>
        <w:t xml:space="preserve"> resistencia con casi el menor peso molecular, </w:t>
      </w:r>
      <w:r>
        <w:rPr>
          <w:rFonts w:ascii="Arial" w:hAnsi="Arial" w:cs="Arial"/>
          <w:b w:val="0"/>
          <w:sz w:val="24"/>
        </w:rPr>
        <w:t>lo que podría estar</w:t>
      </w:r>
      <w:r w:rsidRPr="001C3063">
        <w:rPr>
          <w:rFonts w:ascii="Arial" w:hAnsi="Arial" w:cs="Arial"/>
          <w:b w:val="0"/>
          <w:sz w:val="24"/>
        </w:rPr>
        <w:t xml:space="preserve"> </w:t>
      </w:r>
      <w:r>
        <w:rPr>
          <w:rFonts w:ascii="Arial" w:hAnsi="Arial" w:cs="Arial"/>
          <w:b w:val="0"/>
          <w:sz w:val="24"/>
        </w:rPr>
        <w:t>correlacionado con su tendencia a ser más monodisperso, lo que implica que, así como comúnmente sucede en polímeros, la uniformidad de cadenas poliméricas expresa un mejor desempeño del material</w:t>
      </w:r>
      <w:r w:rsidRPr="001C3063">
        <w:rPr>
          <w:rFonts w:ascii="Arial" w:hAnsi="Arial" w:cs="Arial"/>
          <w:b w:val="0"/>
          <w:sz w:val="24"/>
        </w:rPr>
        <w:t>.</w:t>
      </w:r>
      <w:r>
        <w:rPr>
          <w:rFonts w:ascii="Arial" w:hAnsi="Arial" w:cs="Arial"/>
          <w:b w:val="0"/>
          <w:sz w:val="24"/>
        </w:rPr>
        <w:t xml:space="preserve"> Petramin 1</w:t>
      </w:r>
      <w:r w:rsidRPr="001C3063">
        <w:rPr>
          <w:rFonts w:ascii="Arial" w:hAnsi="Arial" w:cs="Arial"/>
          <w:b w:val="0"/>
          <w:sz w:val="24"/>
        </w:rPr>
        <w:t xml:space="preserve"> presenta casi el d</w:t>
      </w:r>
      <w:r>
        <w:rPr>
          <w:rFonts w:ascii="Arial" w:hAnsi="Arial" w:cs="Arial"/>
          <w:b w:val="0"/>
          <w:sz w:val="24"/>
        </w:rPr>
        <w:t>oble de peso molecular que petramin 4</w:t>
      </w:r>
      <w:r w:rsidRPr="001C3063">
        <w:rPr>
          <w:rFonts w:ascii="Arial" w:hAnsi="Arial" w:cs="Arial"/>
          <w:b w:val="0"/>
          <w:sz w:val="24"/>
        </w:rPr>
        <w:t xml:space="preserve">, </w:t>
      </w:r>
      <w:r>
        <w:rPr>
          <w:rFonts w:ascii="Arial" w:hAnsi="Arial" w:cs="Arial"/>
          <w:b w:val="0"/>
          <w:sz w:val="24"/>
        </w:rPr>
        <w:t xml:space="preserve">no obstante, </w:t>
      </w:r>
      <w:r w:rsidRPr="001C3063">
        <w:rPr>
          <w:rFonts w:ascii="Arial" w:hAnsi="Arial" w:cs="Arial"/>
          <w:b w:val="0"/>
          <w:sz w:val="24"/>
        </w:rPr>
        <w:t xml:space="preserve">sus resistencias son similares, lo que </w:t>
      </w:r>
      <w:r>
        <w:rPr>
          <w:rFonts w:ascii="Arial" w:hAnsi="Arial" w:cs="Arial"/>
          <w:b w:val="0"/>
          <w:sz w:val="24"/>
        </w:rPr>
        <w:t xml:space="preserve">se presume </w:t>
      </w:r>
      <w:r w:rsidRPr="001C3063">
        <w:rPr>
          <w:rFonts w:ascii="Arial" w:hAnsi="Arial" w:cs="Arial"/>
          <w:b w:val="0"/>
          <w:sz w:val="24"/>
        </w:rPr>
        <w:t xml:space="preserve">que </w:t>
      </w:r>
      <w:r>
        <w:rPr>
          <w:rFonts w:ascii="Arial" w:hAnsi="Arial" w:cs="Arial"/>
          <w:b w:val="0"/>
          <w:sz w:val="24"/>
        </w:rPr>
        <w:t>la formulación de petramin 4</w:t>
      </w:r>
      <w:r w:rsidRPr="001C3063">
        <w:rPr>
          <w:rFonts w:ascii="Arial" w:hAnsi="Arial" w:cs="Arial"/>
          <w:b w:val="0"/>
          <w:sz w:val="24"/>
        </w:rPr>
        <w:t xml:space="preserve"> </w:t>
      </w:r>
      <w:r>
        <w:rPr>
          <w:rFonts w:ascii="Arial" w:hAnsi="Arial" w:cs="Arial"/>
          <w:b w:val="0"/>
          <w:sz w:val="24"/>
        </w:rPr>
        <w:t xml:space="preserve">podría </w:t>
      </w:r>
      <w:r w:rsidRPr="001C3063">
        <w:rPr>
          <w:rFonts w:ascii="Arial" w:hAnsi="Arial" w:cs="Arial"/>
          <w:b w:val="0"/>
          <w:sz w:val="24"/>
        </w:rPr>
        <w:t>favorece</w:t>
      </w:r>
      <w:r>
        <w:rPr>
          <w:rFonts w:ascii="Arial" w:hAnsi="Arial" w:cs="Arial"/>
          <w:b w:val="0"/>
          <w:sz w:val="24"/>
        </w:rPr>
        <w:t>r</w:t>
      </w:r>
      <w:r w:rsidRPr="001C3063">
        <w:rPr>
          <w:rFonts w:ascii="Arial" w:hAnsi="Arial" w:cs="Arial"/>
          <w:b w:val="0"/>
          <w:sz w:val="24"/>
        </w:rPr>
        <w:t xml:space="preserve"> entrecruzamiento</w:t>
      </w:r>
      <w:r>
        <w:rPr>
          <w:rFonts w:ascii="Arial" w:hAnsi="Arial" w:cs="Arial"/>
          <w:b w:val="0"/>
          <w:sz w:val="24"/>
        </w:rPr>
        <w:t>s poliméricos útiles en el</w:t>
      </w:r>
      <w:r w:rsidRPr="004E3AA0">
        <w:rPr>
          <w:rFonts w:ascii="Arial" w:hAnsi="Arial" w:cs="Arial"/>
          <w:b w:val="0"/>
          <w:sz w:val="24"/>
        </w:rPr>
        <w:t xml:space="preserve"> </w:t>
      </w:r>
      <w:r>
        <w:rPr>
          <w:rFonts w:ascii="Arial" w:hAnsi="Arial" w:cs="Arial"/>
          <w:b w:val="0"/>
          <w:sz w:val="24"/>
        </w:rPr>
        <w:t>sistema de poliuretano sin arena, por lo que su polímero</w:t>
      </w:r>
      <w:r w:rsidRPr="001C3063">
        <w:rPr>
          <w:rFonts w:ascii="Arial" w:hAnsi="Arial" w:cs="Arial"/>
          <w:b w:val="0"/>
          <w:sz w:val="24"/>
        </w:rPr>
        <w:t xml:space="preserve"> formado a pesar de no ser de alto peso molecular, </w:t>
      </w:r>
      <w:r>
        <w:rPr>
          <w:rFonts w:ascii="Arial" w:hAnsi="Arial" w:cs="Arial"/>
          <w:b w:val="0"/>
          <w:sz w:val="24"/>
        </w:rPr>
        <w:t>genera una</w:t>
      </w:r>
      <w:r w:rsidRPr="001C3063">
        <w:rPr>
          <w:rFonts w:ascii="Arial" w:hAnsi="Arial" w:cs="Arial"/>
          <w:b w:val="0"/>
          <w:sz w:val="24"/>
        </w:rPr>
        <w:t xml:space="preserve"> resistencia</w:t>
      </w:r>
      <w:r>
        <w:rPr>
          <w:rFonts w:ascii="Arial" w:hAnsi="Arial" w:cs="Arial"/>
          <w:b w:val="0"/>
          <w:sz w:val="24"/>
        </w:rPr>
        <w:t xml:space="preserve"> aceptable</w:t>
      </w:r>
      <w:r w:rsidRPr="001C3063">
        <w:rPr>
          <w:rFonts w:ascii="Arial" w:hAnsi="Arial" w:cs="Arial"/>
          <w:b w:val="0"/>
          <w:sz w:val="24"/>
        </w:rPr>
        <w:t>.</w:t>
      </w:r>
      <w:r>
        <w:rPr>
          <w:rFonts w:ascii="Arial" w:hAnsi="Arial" w:cs="Arial"/>
          <w:b w:val="0"/>
          <w:sz w:val="24"/>
        </w:rPr>
        <w:t xml:space="preserve"> Sin embargo, esto no es tan sustancialmente efectivo en el sistema COLDBOX, a menos que actúen en sinergia con la formulación petramin 1, como se puede ver en los resultados de la figura 17.</w:t>
      </w:r>
    </w:p>
    <w:p w:rsidR="00197CC0" w:rsidRDefault="00197CC0" w:rsidP="00197CC0">
      <w:pPr>
        <w:pStyle w:val="Textoindependiente"/>
        <w:spacing w:line="120" w:lineRule="auto"/>
        <w:rPr>
          <w:rFonts w:ascii="Arial" w:hAnsi="Arial" w:cs="Arial"/>
          <w:b w:val="0"/>
          <w:sz w:val="24"/>
        </w:rPr>
      </w:pPr>
    </w:p>
    <w:p w:rsidR="00197CC0" w:rsidRPr="00197CC0" w:rsidRDefault="00197CC0" w:rsidP="00197CC0">
      <w:pPr>
        <w:pStyle w:val="Ttulo1"/>
        <w:keepLines w:val="0"/>
        <w:numPr>
          <w:ilvl w:val="0"/>
          <w:numId w:val="1"/>
        </w:numPr>
        <w:tabs>
          <w:tab w:val="clear" w:pos="432"/>
          <w:tab w:val="left" w:pos="0"/>
        </w:tabs>
        <w:spacing w:before="0" w:after="0" w:line="276" w:lineRule="auto"/>
        <w:ind w:left="0" w:firstLine="0"/>
        <w:jc w:val="both"/>
        <w:rPr>
          <w:rFonts w:ascii="Arial" w:hAnsi="Arial" w:cs="Arial"/>
          <w:i/>
          <w:caps/>
          <w:sz w:val="24"/>
          <w:szCs w:val="24"/>
        </w:rPr>
      </w:pPr>
      <w:bookmarkStart w:id="58" w:name="_Toc50031191"/>
      <w:r w:rsidRPr="00197CC0">
        <w:rPr>
          <w:rFonts w:ascii="Arial" w:hAnsi="Arial" w:cs="Arial"/>
          <w:i/>
          <w:caps/>
          <w:sz w:val="24"/>
          <w:szCs w:val="24"/>
        </w:rPr>
        <w:t>5. Conclusiones</w:t>
      </w:r>
      <w:bookmarkEnd w:id="58"/>
    </w:p>
    <w:p w:rsidR="00197CC0" w:rsidRDefault="00197CC0" w:rsidP="00197CC0">
      <w:pPr>
        <w:pStyle w:val="Textoindependiente"/>
        <w:rPr>
          <w:rFonts w:ascii="Arial" w:hAnsi="Arial" w:cs="Arial"/>
          <w:b w:val="0"/>
          <w:sz w:val="24"/>
        </w:rPr>
      </w:pPr>
      <w:r>
        <w:rPr>
          <w:rFonts w:ascii="Arial" w:hAnsi="Arial" w:cs="Arial"/>
          <w:b w:val="0"/>
          <w:sz w:val="24"/>
        </w:rPr>
        <w:t xml:space="preserve">La formulación cuya sustancia activa es la petramin 1 mostró los mejores desempeños catalíticos, aunque los generados por las demás aminas no son despreciables, en especial la petramin 2. En términos de sinergias, petramin 4/petramin 1 y petramin 3/petramin 1 presentaron un desempeño parecido al de la petramin 1, al menos para el proveedor A. Dicho proveedor mostró en cualquier caso los mejores resultados de resistencias en comparación con el proveedor B. Para obtener mejores resistencias es siempre apropiado utilizar una relación parte 1/parte 2 igual a 50/50 en peso.  Las evidencias obtenidas por SEM, respaldan los resultados obtenidos. Los sistemas reactivos de poliuretano, con y sin arena, funcionan de manera totalmente diferente, </w:t>
      </w:r>
      <w:r>
        <w:rPr>
          <w:rFonts w:ascii="Arial" w:hAnsi="Arial" w:cs="Arial"/>
          <w:b w:val="0"/>
          <w:sz w:val="24"/>
        </w:rPr>
        <w:lastRenderedPageBreak/>
        <w:t xml:space="preserve">debido al tipo de cadenas poliméricas requeridas para hacer el proceso de aglutinación con la diversidad de formas y tamaños de los gránulos de arena.  </w:t>
      </w:r>
    </w:p>
    <w:p w:rsidR="00197CC0" w:rsidRPr="004B3AE2" w:rsidRDefault="00197CC0" w:rsidP="00197CC0">
      <w:pPr>
        <w:pStyle w:val="Textoindependiente"/>
        <w:spacing w:line="120" w:lineRule="auto"/>
        <w:rPr>
          <w:rFonts w:ascii="Arial" w:hAnsi="Arial" w:cs="Arial"/>
          <w:b w:val="0"/>
          <w:sz w:val="24"/>
        </w:rPr>
      </w:pPr>
    </w:p>
    <w:p w:rsidR="00197CC0" w:rsidRDefault="00197CC0" w:rsidP="00197CC0">
      <w:pPr>
        <w:pStyle w:val="Textoindependiente"/>
        <w:spacing w:line="276" w:lineRule="auto"/>
        <w:rPr>
          <w:rFonts w:ascii="Arial" w:hAnsi="Arial" w:cs="Arial"/>
          <w:sz w:val="24"/>
        </w:rPr>
      </w:pPr>
      <w:r w:rsidRPr="00CE25BD">
        <w:rPr>
          <w:rFonts w:ascii="Arial" w:hAnsi="Arial" w:cs="Arial"/>
          <w:sz w:val="24"/>
        </w:rPr>
        <w:t>6. AGRADECIMIENTOS</w:t>
      </w:r>
    </w:p>
    <w:p w:rsidR="00197CC0" w:rsidRDefault="00197CC0" w:rsidP="00197CC0">
      <w:pPr>
        <w:pStyle w:val="Textoindependiente"/>
        <w:rPr>
          <w:rFonts w:ascii="Arial" w:hAnsi="Arial" w:cs="Arial"/>
          <w:b w:val="0"/>
          <w:sz w:val="24"/>
        </w:rPr>
      </w:pPr>
      <w:r>
        <w:rPr>
          <w:rFonts w:ascii="Arial" w:hAnsi="Arial" w:cs="Arial"/>
          <w:b w:val="0"/>
          <w:sz w:val="24"/>
        </w:rPr>
        <w:t>Se agradece a la Dirección General de Asuntos del Personal Académico (DGAPA) por el apoyo financiero a través del proyecto IT101919 del Programa de Apoyo a Proyectos de Investigación Aplicada e Innovación Tecnológica (PAPIIT), asimismo extendemos las gracias al personal técnico del Centro de Desarrollo Tecnológico IDESA, así como el apoyo de la empresa PETRAMIN S.A. de C.V.</w:t>
      </w:r>
    </w:p>
    <w:p w:rsidR="00197CC0" w:rsidRPr="00197CC0" w:rsidRDefault="00197CC0" w:rsidP="00197CC0">
      <w:pPr>
        <w:pStyle w:val="Ttulo1"/>
        <w:tabs>
          <w:tab w:val="left" w:pos="0"/>
        </w:tabs>
        <w:spacing w:before="240" w:line="259" w:lineRule="auto"/>
        <w:rPr>
          <w:rFonts w:ascii="Arial" w:hAnsi="Arial" w:cs="Arial"/>
          <w:i/>
          <w:caps/>
          <w:sz w:val="24"/>
          <w:szCs w:val="24"/>
        </w:rPr>
      </w:pPr>
      <w:bookmarkStart w:id="59" w:name="_Toc50031192"/>
      <w:r w:rsidRPr="00197CC0">
        <w:rPr>
          <w:rFonts w:ascii="Arial" w:hAnsi="Arial" w:cs="Arial"/>
          <w:i/>
          <w:caps/>
          <w:sz w:val="24"/>
          <w:szCs w:val="24"/>
        </w:rPr>
        <w:t>7. Bibliografía</w:t>
      </w:r>
      <w:bookmarkEnd w:id="59"/>
    </w:p>
    <w:p w:rsidR="00197CC0" w:rsidRPr="00480472" w:rsidRDefault="00197CC0" w:rsidP="00197CC0">
      <w:pPr>
        <w:spacing w:line="120" w:lineRule="auto"/>
      </w:pPr>
    </w:p>
    <w:p w:rsidR="00197CC0" w:rsidRPr="009D1271" w:rsidRDefault="00197CC0" w:rsidP="00197CC0">
      <w:pPr>
        <w:pStyle w:val="Bibliografa"/>
        <w:spacing w:line="194" w:lineRule="auto"/>
        <w:jc w:val="both"/>
        <w:rPr>
          <w:rFonts w:ascii="Arial" w:hAnsi="Arial" w:cs="Arial"/>
          <w:noProof/>
          <w:sz w:val="20"/>
          <w:szCs w:val="21"/>
        </w:rPr>
      </w:pPr>
      <w:r w:rsidRPr="00197CC0">
        <w:rPr>
          <w:rFonts w:ascii="Arial" w:hAnsi="Arial" w:cs="Arial"/>
          <w:noProof/>
          <w:sz w:val="20"/>
          <w:szCs w:val="21"/>
          <w:lang w:val="es-MX"/>
        </w:rPr>
        <w:t xml:space="preserve">Aguirre Rojo, I. (2013). </w:t>
      </w:r>
      <w:r w:rsidRPr="00197CC0">
        <w:rPr>
          <w:rFonts w:ascii="Arial" w:hAnsi="Arial" w:cs="Arial"/>
          <w:i/>
          <w:noProof/>
          <w:sz w:val="20"/>
          <w:szCs w:val="21"/>
          <w:lang w:val="es-MX"/>
        </w:rPr>
        <w:t xml:space="preserve">Uso de nanopartículas de carbono en la fabricación de corazones de arena para la fundición de aluminio </w:t>
      </w:r>
      <w:r w:rsidRPr="00197CC0">
        <w:rPr>
          <w:rFonts w:ascii="Arial" w:hAnsi="Arial" w:cs="Arial"/>
          <w:i/>
          <w:iCs/>
          <w:noProof/>
          <w:sz w:val="20"/>
          <w:szCs w:val="21"/>
          <w:lang w:val="es-MX"/>
        </w:rPr>
        <w:t>(Tesis de doctorado).</w:t>
      </w:r>
      <w:r w:rsidRPr="00197CC0">
        <w:rPr>
          <w:rFonts w:ascii="Arial" w:hAnsi="Arial" w:cs="Arial"/>
          <w:noProof/>
          <w:sz w:val="20"/>
          <w:szCs w:val="21"/>
          <w:lang w:val="es-MX"/>
        </w:rPr>
        <w:t xml:space="preserve"> </w:t>
      </w:r>
      <w:r>
        <w:rPr>
          <w:rFonts w:ascii="Arial" w:hAnsi="Arial" w:cs="Arial"/>
          <w:noProof/>
          <w:sz w:val="20"/>
          <w:szCs w:val="21"/>
        </w:rPr>
        <w:t>UANL</w:t>
      </w:r>
      <w:r w:rsidRPr="009D1271">
        <w:rPr>
          <w:rFonts w:ascii="Arial" w:hAnsi="Arial" w:cs="Arial"/>
          <w:noProof/>
          <w:sz w:val="20"/>
          <w:szCs w:val="21"/>
        </w:rPr>
        <w:t>, Ciudad Universitaria, Nuevo León.</w:t>
      </w:r>
    </w:p>
    <w:p w:rsidR="00197CC0" w:rsidRPr="00705D32" w:rsidRDefault="00197CC0" w:rsidP="00197CC0">
      <w:pPr>
        <w:pStyle w:val="Bibliografa"/>
        <w:spacing w:line="194" w:lineRule="auto"/>
        <w:jc w:val="both"/>
        <w:rPr>
          <w:rFonts w:ascii="Arial" w:hAnsi="Arial" w:cs="Arial"/>
          <w:noProof/>
          <w:sz w:val="20"/>
          <w:szCs w:val="21"/>
        </w:rPr>
      </w:pPr>
      <w:r w:rsidRPr="009D1271">
        <w:rPr>
          <w:rFonts w:ascii="Arial" w:hAnsi="Arial" w:cs="Arial"/>
          <w:noProof/>
          <w:sz w:val="20"/>
          <w:szCs w:val="21"/>
        </w:rPr>
        <w:t xml:space="preserve">Albrecht, W., &amp; Stephenson, </w:t>
      </w:r>
      <w:r w:rsidRPr="00D90E71">
        <w:rPr>
          <w:rFonts w:ascii="Arial" w:hAnsi="Arial" w:cs="Arial"/>
          <w:noProof/>
          <w:sz w:val="20"/>
          <w:szCs w:val="21"/>
        </w:rPr>
        <w:t xml:space="preserve">R. (1988). </w:t>
      </w:r>
      <w:r w:rsidRPr="00D90E71">
        <w:rPr>
          <w:rFonts w:ascii="Arial" w:hAnsi="Arial" w:cs="Arial"/>
          <w:i/>
          <w:noProof/>
          <w:sz w:val="20"/>
          <w:szCs w:val="21"/>
        </w:rPr>
        <w:t>Health hazards of tertiary amine catalysts</w:t>
      </w:r>
      <w:r w:rsidRPr="00D90E71">
        <w:rPr>
          <w:rFonts w:ascii="Arial" w:hAnsi="Arial" w:cs="Arial"/>
          <w:noProof/>
          <w:sz w:val="20"/>
          <w:szCs w:val="21"/>
        </w:rPr>
        <w:t xml:space="preserve">. </w:t>
      </w:r>
      <w:r w:rsidRPr="00705D32">
        <w:rPr>
          <w:rFonts w:ascii="Arial" w:hAnsi="Arial" w:cs="Arial"/>
          <w:iCs/>
          <w:noProof/>
          <w:sz w:val="20"/>
          <w:szCs w:val="21"/>
        </w:rPr>
        <w:t>Scandinavian Journal of Work, Environment &amp; Health</w:t>
      </w:r>
      <w:r w:rsidRPr="00705D32">
        <w:rPr>
          <w:rFonts w:ascii="Arial" w:hAnsi="Arial" w:cs="Arial"/>
          <w:noProof/>
          <w:sz w:val="20"/>
          <w:szCs w:val="21"/>
        </w:rPr>
        <w:t>, 209-219.</w:t>
      </w:r>
    </w:p>
    <w:p w:rsidR="00197CC0" w:rsidRPr="009D1271" w:rsidRDefault="00197CC0" w:rsidP="00197CC0">
      <w:pPr>
        <w:pStyle w:val="Bibliografa"/>
        <w:spacing w:line="194" w:lineRule="auto"/>
        <w:jc w:val="both"/>
        <w:rPr>
          <w:rFonts w:ascii="Arial" w:hAnsi="Arial" w:cs="Arial"/>
          <w:noProof/>
          <w:sz w:val="20"/>
          <w:szCs w:val="21"/>
          <w:lang w:val="es-419"/>
        </w:rPr>
      </w:pPr>
      <w:r w:rsidRPr="009D1271">
        <w:rPr>
          <w:rFonts w:ascii="Arial" w:hAnsi="Arial" w:cs="Arial"/>
          <w:noProof/>
          <w:sz w:val="20"/>
          <w:szCs w:val="21"/>
          <w:lang w:val="es-419"/>
        </w:rPr>
        <w:t xml:space="preserve">Anónimo (2019). </w:t>
      </w:r>
      <w:r w:rsidRPr="009D1271">
        <w:rPr>
          <w:rFonts w:ascii="Arial" w:hAnsi="Arial" w:cs="Arial"/>
          <w:i/>
          <w:noProof/>
          <w:sz w:val="20"/>
          <w:szCs w:val="21"/>
          <w:lang w:val="es-419"/>
        </w:rPr>
        <w:t>Boletín de Prensa de Cifras 2019.</w:t>
      </w:r>
      <w:r w:rsidRPr="009D1271">
        <w:rPr>
          <w:rFonts w:ascii="Arial" w:hAnsi="Arial" w:cs="Arial"/>
          <w:noProof/>
          <w:sz w:val="20"/>
          <w:szCs w:val="21"/>
          <w:lang w:val="es-419"/>
        </w:rPr>
        <w:t xml:space="preserve"> Asociación Mexicana de la Industria Automotriz, México. </w:t>
      </w:r>
    </w:p>
    <w:p w:rsidR="00197CC0" w:rsidRPr="009D1271" w:rsidRDefault="00197CC0" w:rsidP="00197CC0">
      <w:pPr>
        <w:pStyle w:val="Bibliografa"/>
        <w:spacing w:line="240" w:lineRule="auto"/>
        <w:jc w:val="both"/>
        <w:rPr>
          <w:rFonts w:ascii="Arial" w:hAnsi="Arial" w:cs="Arial"/>
          <w:noProof/>
          <w:sz w:val="20"/>
          <w:szCs w:val="21"/>
          <w:lang w:val="es-419"/>
        </w:rPr>
      </w:pPr>
      <w:r w:rsidRPr="009D1271">
        <w:rPr>
          <w:rFonts w:ascii="Arial" w:hAnsi="Arial" w:cs="Arial"/>
          <w:noProof/>
          <w:sz w:val="20"/>
          <w:szCs w:val="21"/>
          <w:lang w:val="es-419"/>
        </w:rPr>
        <w:t xml:space="preserve">Anónimo, (2015). </w:t>
      </w:r>
      <w:r w:rsidRPr="009D1271">
        <w:rPr>
          <w:rFonts w:ascii="Arial" w:hAnsi="Arial" w:cs="Arial"/>
          <w:i/>
          <w:noProof/>
          <w:sz w:val="20"/>
          <w:szCs w:val="21"/>
          <w:lang w:val="es-419"/>
        </w:rPr>
        <w:t>Operating Instructions; Catalyst vaporizer – Model 42109</w:t>
      </w:r>
      <w:r w:rsidRPr="009D1271">
        <w:rPr>
          <w:rFonts w:ascii="Arial" w:hAnsi="Arial" w:cs="Arial"/>
          <w:noProof/>
          <w:sz w:val="20"/>
          <w:szCs w:val="21"/>
          <w:lang w:val="es-419"/>
        </w:rPr>
        <w:t xml:space="preserve"> Simpson Technologies, Estados Unidos, 7-24.</w:t>
      </w:r>
    </w:p>
    <w:p w:rsidR="00197CC0" w:rsidRPr="00705D32" w:rsidRDefault="00197CC0" w:rsidP="00197CC0">
      <w:pPr>
        <w:pStyle w:val="Bibliografa"/>
        <w:spacing w:line="194" w:lineRule="auto"/>
        <w:jc w:val="both"/>
        <w:rPr>
          <w:rFonts w:ascii="Arial" w:hAnsi="Arial" w:cs="Arial"/>
          <w:noProof/>
          <w:sz w:val="20"/>
          <w:szCs w:val="21"/>
          <w:lang w:val="es-MX"/>
        </w:rPr>
      </w:pPr>
      <w:r w:rsidRPr="009D1271">
        <w:rPr>
          <w:rFonts w:ascii="Arial" w:hAnsi="Arial" w:cs="Arial"/>
          <w:noProof/>
          <w:sz w:val="20"/>
          <w:szCs w:val="21"/>
          <w:lang w:val="es-419"/>
        </w:rPr>
        <w:t xml:space="preserve">Barrera Franco, A., &amp; Pulido Morán, F. (2016). </w:t>
      </w:r>
      <w:r w:rsidRPr="00197CC0">
        <w:rPr>
          <w:rFonts w:ascii="Arial" w:hAnsi="Arial" w:cs="Arial"/>
          <w:i/>
          <w:iCs/>
          <w:noProof/>
          <w:sz w:val="20"/>
          <w:szCs w:val="21"/>
          <w:lang w:val="es-MX"/>
        </w:rPr>
        <w:t xml:space="preserve">Cuadernillo La industría Automotriz Mexicana: situación actual, retos y oportunidades. </w:t>
      </w:r>
      <w:r w:rsidRPr="00705D32">
        <w:rPr>
          <w:rFonts w:ascii="Arial" w:hAnsi="Arial" w:cs="Arial"/>
          <w:noProof/>
          <w:sz w:val="20"/>
          <w:szCs w:val="21"/>
          <w:lang w:val="es-MX"/>
        </w:rPr>
        <w:t xml:space="preserve">PROMÉXICO: Secretaría de Economía. Ciudad de México </w:t>
      </w:r>
    </w:p>
    <w:p w:rsidR="00197CC0" w:rsidRPr="00705D32" w:rsidRDefault="00197CC0" w:rsidP="00197CC0">
      <w:pPr>
        <w:pStyle w:val="Bibliografa"/>
        <w:spacing w:line="194" w:lineRule="auto"/>
        <w:jc w:val="both"/>
        <w:rPr>
          <w:rFonts w:ascii="Arial" w:hAnsi="Arial" w:cs="Arial"/>
          <w:noProof/>
          <w:sz w:val="20"/>
          <w:szCs w:val="21"/>
          <w:lang w:val="es-MX"/>
        </w:rPr>
      </w:pPr>
      <w:r w:rsidRPr="00197CC0">
        <w:rPr>
          <w:rFonts w:ascii="Arial" w:hAnsi="Arial" w:cs="Arial"/>
          <w:noProof/>
          <w:sz w:val="20"/>
          <w:szCs w:val="21"/>
          <w:lang w:val="es-MX"/>
        </w:rPr>
        <w:t xml:space="preserve">Campos Moreno, A. (2005). </w:t>
      </w:r>
      <w:r w:rsidRPr="00197CC0">
        <w:rPr>
          <w:rFonts w:ascii="Arial" w:hAnsi="Arial" w:cs="Arial"/>
          <w:i/>
          <w:noProof/>
          <w:sz w:val="20"/>
          <w:szCs w:val="21"/>
          <w:lang w:val="es-MX"/>
        </w:rPr>
        <w:t>Desarrollo e implementación de pruebas de laboratorio para arenas de fundición (</w:t>
      </w:r>
      <w:r w:rsidRPr="00197CC0">
        <w:rPr>
          <w:rFonts w:ascii="Arial" w:hAnsi="Arial" w:cs="Arial"/>
          <w:i/>
          <w:iCs/>
          <w:noProof/>
          <w:sz w:val="20"/>
          <w:szCs w:val="21"/>
          <w:lang w:val="es-MX"/>
        </w:rPr>
        <w:t>Tesis de grado).</w:t>
      </w:r>
      <w:r w:rsidRPr="00197CC0">
        <w:rPr>
          <w:rFonts w:ascii="Arial" w:hAnsi="Arial" w:cs="Arial"/>
          <w:noProof/>
          <w:sz w:val="20"/>
          <w:szCs w:val="21"/>
          <w:lang w:val="es-MX"/>
        </w:rPr>
        <w:t xml:space="preserve"> </w:t>
      </w:r>
      <w:r w:rsidRPr="00705D32">
        <w:rPr>
          <w:rFonts w:ascii="Arial" w:hAnsi="Arial" w:cs="Arial"/>
          <w:noProof/>
          <w:sz w:val="20"/>
          <w:szCs w:val="21"/>
          <w:lang w:val="es-MX"/>
        </w:rPr>
        <w:t>Universidad Centroamericana , El Salvador.</w:t>
      </w:r>
    </w:p>
    <w:p w:rsidR="00197CC0" w:rsidRPr="009D1271" w:rsidRDefault="00197CC0" w:rsidP="00197CC0">
      <w:pPr>
        <w:pStyle w:val="Bibliografa"/>
        <w:spacing w:line="194" w:lineRule="auto"/>
        <w:jc w:val="both"/>
        <w:rPr>
          <w:rFonts w:ascii="Arial" w:hAnsi="Arial" w:cs="Arial"/>
          <w:noProof/>
          <w:sz w:val="20"/>
          <w:szCs w:val="21"/>
        </w:rPr>
      </w:pPr>
      <w:r w:rsidRPr="00197CC0">
        <w:rPr>
          <w:rFonts w:ascii="Arial" w:hAnsi="Arial" w:cs="Arial"/>
          <w:noProof/>
          <w:sz w:val="20"/>
          <w:szCs w:val="21"/>
          <w:lang w:val="es-MX"/>
        </w:rPr>
        <w:t xml:space="preserve">Anónimo. (2015). </w:t>
      </w:r>
      <w:r w:rsidRPr="00197CC0">
        <w:rPr>
          <w:rFonts w:ascii="Arial" w:hAnsi="Arial" w:cs="Arial"/>
          <w:i/>
          <w:iCs/>
          <w:noProof/>
          <w:sz w:val="20"/>
          <w:szCs w:val="21"/>
          <w:lang w:val="es-MX"/>
        </w:rPr>
        <w:t>Centro de Estudios de Finanzas Públicas.</w:t>
      </w:r>
      <w:r w:rsidRPr="00197CC0">
        <w:rPr>
          <w:rFonts w:ascii="Arial" w:hAnsi="Arial" w:cs="Arial"/>
          <w:noProof/>
          <w:sz w:val="20"/>
          <w:szCs w:val="21"/>
          <w:lang w:val="es-MX"/>
        </w:rPr>
        <w:t xml:space="preserve"> Obtenido de La Industria Automotriz y el Sector Externo de México: Boletín sectorial: Industria y comercio exterior. </w:t>
      </w:r>
      <w:r w:rsidRPr="009D1271">
        <w:rPr>
          <w:rFonts w:ascii="Arial" w:hAnsi="Arial" w:cs="Arial"/>
          <w:noProof/>
          <w:sz w:val="20"/>
          <w:szCs w:val="21"/>
        </w:rPr>
        <w:t>México.</w:t>
      </w:r>
    </w:p>
    <w:p w:rsidR="00197CC0" w:rsidRPr="009D1271" w:rsidRDefault="00197CC0" w:rsidP="00197CC0">
      <w:pPr>
        <w:pStyle w:val="Bibliografa"/>
        <w:spacing w:line="240" w:lineRule="auto"/>
        <w:jc w:val="both"/>
        <w:rPr>
          <w:rFonts w:ascii="Arial" w:hAnsi="Arial" w:cs="Arial"/>
          <w:noProof/>
          <w:sz w:val="20"/>
          <w:szCs w:val="21"/>
        </w:rPr>
      </w:pPr>
      <w:r w:rsidRPr="009D1271">
        <w:rPr>
          <w:rFonts w:ascii="Arial" w:hAnsi="Arial" w:cs="Arial"/>
          <w:noProof/>
          <w:sz w:val="20"/>
          <w:szCs w:val="21"/>
        </w:rPr>
        <w:t xml:space="preserve">Diether-KochJens, M.-C. R.-H.-B. (2008). </w:t>
      </w:r>
      <w:r w:rsidRPr="009D1271">
        <w:rPr>
          <w:rFonts w:ascii="Arial" w:hAnsi="Arial" w:cs="Arial"/>
          <w:i/>
          <w:iCs/>
          <w:noProof/>
          <w:sz w:val="20"/>
          <w:szCs w:val="21"/>
        </w:rPr>
        <w:t>Process for making foundry shaped cores and for casting metals 1955791A1.</w:t>
      </w:r>
      <w:r w:rsidRPr="009D1271">
        <w:rPr>
          <w:rFonts w:ascii="Arial" w:hAnsi="Arial" w:cs="Arial"/>
          <w:noProof/>
          <w:sz w:val="20"/>
          <w:szCs w:val="21"/>
        </w:rPr>
        <w:t xml:space="preserve"> Francia.</w:t>
      </w:r>
    </w:p>
    <w:p w:rsidR="00197CC0" w:rsidRPr="009D1271" w:rsidRDefault="00197CC0" w:rsidP="00197CC0">
      <w:pPr>
        <w:pStyle w:val="Bibliografa"/>
        <w:spacing w:line="194" w:lineRule="auto"/>
        <w:jc w:val="both"/>
        <w:rPr>
          <w:rFonts w:ascii="Arial" w:hAnsi="Arial" w:cs="Arial"/>
          <w:noProof/>
          <w:sz w:val="20"/>
          <w:szCs w:val="21"/>
          <w:lang w:val="es-419"/>
        </w:rPr>
      </w:pPr>
      <w:r w:rsidRPr="009D1271">
        <w:rPr>
          <w:rFonts w:ascii="Arial" w:hAnsi="Arial" w:cs="Arial"/>
          <w:noProof/>
          <w:sz w:val="20"/>
          <w:szCs w:val="21"/>
        </w:rPr>
        <w:t xml:space="preserve">Gónzalez L., J. R., Colás, R., &amp; Valtierra, S. (2011). Characteristics of Phenolic-Urethane Cold Box Sand Cores for Aluminum Casting. </w:t>
      </w:r>
      <w:r w:rsidRPr="009D1271">
        <w:rPr>
          <w:rFonts w:ascii="Arial" w:hAnsi="Arial" w:cs="Arial"/>
          <w:i/>
          <w:iCs/>
          <w:noProof/>
          <w:sz w:val="20"/>
          <w:szCs w:val="21"/>
          <w:lang w:val="es-419"/>
        </w:rPr>
        <w:t>American Foundry Society</w:t>
      </w:r>
      <w:r w:rsidRPr="009D1271">
        <w:rPr>
          <w:rFonts w:ascii="Arial" w:hAnsi="Arial" w:cs="Arial"/>
          <w:noProof/>
          <w:sz w:val="20"/>
          <w:szCs w:val="21"/>
          <w:lang w:val="es-419"/>
        </w:rPr>
        <w:t>, 41-48.</w:t>
      </w:r>
    </w:p>
    <w:p w:rsidR="00197CC0" w:rsidRPr="009D1271" w:rsidRDefault="00197CC0" w:rsidP="00197CC0">
      <w:pPr>
        <w:pStyle w:val="Bibliografa"/>
        <w:spacing w:line="194" w:lineRule="auto"/>
        <w:ind w:left="720" w:hanging="720"/>
        <w:jc w:val="both"/>
        <w:rPr>
          <w:rFonts w:ascii="Arial" w:hAnsi="Arial" w:cs="Arial"/>
          <w:noProof/>
          <w:sz w:val="20"/>
          <w:szCs w:val="21"/>
        </w:rPr>
      </w:pPr>
      <w:r w:rsidRPr="009D1271">
        <w:rPr>
          <w:rFonts w:ascii="Arial" w:hAnsi="Arial" w:cs="Arial"/>
          <w:noProof/>
          <w:sz w:val="20"/>
          <w:szCs w:val="21"/>
          <w:lang w:val="es-419"/>
        </w:rPr>
        <w:t xml:space="preserve">Gutsche, C. D., &amp; Pasto, D. J. (1978). </w:t>
      </w:r>
      <w:r w:rsidRPr="00197CC0">
        <w:rPr>
          <w:rFonts w:ascii="Arial" w:hAnsi="Arial" w:cs="Arial"/>
          <w:i/>
          <w:iCs/>
          <w:noProof/>
          <w:sz w:val="20"/>
          <w:szCs w:val="21"/>
          <w:lang w:val="es-MX"/>
        </w:rPr>
        <w:t>Fundamentos de química orgánica.</w:t>
      </w:r>
      <w:r w:rsidRPr="00197CC0">
        <w:rPr>
          <w:rFonts w:ascii="Arial" w:hAnsi="Arial" w:cs="Arial"/>
          <w:noProof/>
          <w:sz w:val="20"/>
          <w:szCs w:val="21"/>
          <w:lang w:val="es-MX"/>
        </w:rPr>
        <w:t xml:space="preserve"> </w:t>
      </w:r>
      <w:r w:rsidRPr="009D1271">
        <w:rPr>
          <w:rFonts w:ascii="Arial" w:hAnsi="Arial" w:cs="Arial"/>
          <w:noProof/>
          <w:sz w:val="20"/>
          <w:szCs w:val="21"/>
        </w:rPr>
        <w:t>Ed. Reverté. España.</w:t>
      </w:r>
    </w:p>
    <w:p w:rsidR="00197CC0" w:rsidRPr="009D1271" w:rsidRDefault="00197CC0" w:rsidP="00197CC0">
      <w:pPr>
        <w:pStyle w:val="Bibliografa"/>
        <w:spacing w:line="194" w:lineRule="auto"/>
        <w:ind w:left="720" w:hanging="720"/>
        <w:jc w:val="both"/>
        <w:rPr>
          <w:rFonts w:ascii="Arial" w:hAnsi="Arial" w:cs="Arial"/>
          <w:noProof/>
          <w:sz w:val="20"/>
          <w:szCs w:val="21"/>
        </w:rPr>
      </w:pPr>
      <w:r w:rsidRPr="009D1271">
        <w:rPr>
          <w:rFonts w:ascii="Arial" w:hAnsi="Arial" w:cs="Arial"/>
          <w:noProof/>
          <w:sz w:val="20"/>
          <w:szCs w:val="21"/>
        </w:rPr>
        <w:t>J. Skoglund , M. (2001).</w:t>
      </w:r>
      <w:r w:rsidRPr="009D1271">
        <w:rPr>
          <w:rFonts w:ascii="Arial" w:hAnsi="Arial" w:cs="Arial"/>
          <w:i/>
          <w:iCs/>
          <w:noProof/>
          <w:sz w:val="20"/>
          <w:szCs w:val="21"/>
        </w:rPr>
        <w:t xml:space="preserve"> Patente nº 6288139B1, </w:t>
      </w:r>
      <w:r w:rsidRPr="009D1271">
        <w:rPr>
          <w:rFonts w:ascii="Arial" w:hAnsi="Arial" w:cs="Arial"/>
          <w:iCs/>
          <w:noProof/>
          <w:sz w:val="20"/>
          <w:szCs w:val="21"/>
        </w:rPr>
        <w:t>Dublin</w:t>
      </w:r>
      <w:r w:rsidRPr="009D1271">
        <w:rPr>
          <w:rFonts w:ascii="Arial" w:hAnsi="Arial" w:cs="Arial"/>
          <w:i/>
          <w:iCs/>
          <w:noProof/>
          <w:sz w:val="20"/>
          <w:szCs w:val="21"/>
        </w:rPr>
        <w:t>.</w:t>
      </w:r>
      <w:r w:rsidRPr="009D1271">
        <w:rPr>
          <w:rFonts w:ascii="Arial" w:hAnsi="Arial" w:cs="Arial"/>
          <w:noProof/>
          <w:sz w:val="20"/>
          <w:szCs w:val="21"/>
        </w:rPr>
        <w:t xml:space="preserve"> </w:t>
      </w:r>
    </w:p>
    <w:p w:rsidR="00197CC0" w:rsidRPr="009D1271" w:rsidRDefault="00197CC0" w:rsidP="00197CC0">
      <w:pPr>
        <w:pStyle w:val="Bibliografa"/>
        <w:spacing w:line="194" w:lineRule="auto"/>
        <w:jc w:val="both"/>
        <w:rPr>
          <w:rFonts w:ascii="Arial" w:hAnsi="Arial" w:cs="Arial"/>
          <w:noProof/>
          <w:sz w:val="20"/>
          <w:szCs w:val="21"/>
        </w:rPr>
      </w:pPr>
      <w:r w:rsidRPr="009D1271">
        <w:rPr>
          <w:rFonts w:ascii="Arial" w:hAnsi="Arial" w:cs="Arial"/>
          <w:noProof/>
          <w:sz w:val="20"/>
          <w:szCs w:val="21"/>
        </w:rPr>
        <w:t xml:space="preserve">Khandelwal, H., &amp; Ravi, B. (2016). </w:t>
      </w:r>
      <w:r w:rsidRPr="009D1271">
        <w:rPr>
          <w:rFonts w:ascii="Arial" w:hAnsi="Arial" w:cs="Arial"/>
          <w:i/>
          <w:noProof/>
          <w:sz w:val="20"/>
          <w:szCs w:val="21"/>
        </w:rPr>
        <w:t>Effect of molding parameters on chemically bonded sand mold properties</w:t>
      </w:r>
      <w:r w:rsidRPr="009D1271">
        <w:rPr>
          <w:rFonts w:ascii="Arial" w:hAnsi="Arial" w:cs="Arial"/>
          <w:noProof/>
          <w:sz w:val="20"/>
          <w:szCs w:val="21"/>
        </w:rPr>
        <w:t xml:space="preserve">. </w:t>
      </w:r>
      <w:r w:rsidRPr="009D1271">
        <w:rPr>
          <w:rFonts w:ascii="Arial" w:hAnsi="Arial" w:cs="Arial"/>
          <w:iCs/>
          <w:noProof/>
          <w:sz w:val="20"/>
          <w:szCs w:val="21"/>
        </w:rPr>
        <w:t>Journal of Manufacturing Processes</w:t>
      </w:r>
      <w:r w:rsidRPr="009D1271">
        <w:rPr>
          <w:rFonts w:ascii="Arial" w:hAnsi="Arial" w:cs="Arial"/>
          <w:noProof/>
          <w:sz w:val="20"/>
          <w:szCs w:val="21"/>
        </w:rPr>
        <w:t>, 127-133.</w:t>
      </w:r>
    </w:p>
    <w:p w:rsidR="00197CC0" w:rsidRPr="009D1271" w:rsidRDefault="00197CC0" w:rsidP="00197CC0">
      <w:pPr>
        <w:pStyle w:val="Bibliografa"/>
        <w:spacing w:line="194" w:lineRule="auto"/>
        <w:jc w:val="both"/>
        <w:rPr>
          <w:rFonts w:ascii="Arial" w:hAnsi="Arial" w:cs="Arial"/>
          <w:noProof/>
          <w:sz w:val="20"/>
          <w:szCs w:val="21"/>
        </w:rPr>
      </w:pPr>
      <w:r w:rsidRPr="009D1271">
        <w:rPr>
          <w:rFonts w:ascii="Arial" w:hAnsi="Arial" w:cs="Arial"/>
          <w:noProof/>
          <w:sz w:val="20"/>
          <w:szCs w:val="21"/>
        </w:rPr>
        <w:t xml:space="preserve">Martin, R. D., &amp; William R. Dunnavant, G. P. (1981). </w:t>
      </w:r>
      <w:r w:rsidRPr="009D1271">
        <w:rPr>
          <w:rFonts w:ascii="Arial" w:hAnsi="Arial" w:cs="Arial"/>
          <w:i/>
          <w:iCs/>
          <w:noProof/>
          <w:sz w:val="20"/>
          <w:szCs w:val="21"/>
        </w:rPr>
        <w:t xml:space="preserve">Urethane Binder compositions for no-bake and cold box foundry </w:t>
      </w:r>
      <w:r>
        <w:rPr>
          <w:rFonts w:ascii="Arial" w:hAnsi="Arial" w:cs="Arial"/>
          <w:i/>
          <w:iCs/>
          <w:noProof/>
          <w:sz w:val="20"/>
          <w:szCs w:val="21"/>
        </w:rPr>
        <w:t>application utilizing isocyanate</w:t>
      </w:r>
      <w:r w:rsidRPr="009D1271">
        <w:rPr>
          <w:rFonts w:ascii="Arial" w:hAnsi="Arial" w:cs="Arial"/>
          <w:i/>
          <w:iCs/>
          <w:noProof/>
          <w:sz w:val="20"/>
          <w:szCs w:val="21"/>
        </w:rPr>
        <w:t>-urethane polymers US4293480A.</w:t>
      </w:r>
      <w:r w:rsidRPr="009D1271">
        <w:rPr>
          <w:rFonts w:ascii="Arial" w:hAnsi="Arial" w:cs="Arial"/>
          <w:noProof/>
          <w:sz w:val="20"/>
          <w:szCs w:val="21"/>
        </w:rPr>
        <w:t xml:space="preserve"> Estados Unidos.</w:t>
      </w:r>
    </w:p>
    <w:p w:rsidR="00197CC0" w:rsidRPr="00197CC0" w:rsidRDefault="00197CC0" w:rsidP="00197CC0">
      <w:pPr>
        <w:pStyle w:val="Bibliografa"/>
        <w:spacing w:line="194" w:lineRule="auto"/>
        <w:ind w:left="720" w:hanging="720"/>
        <w:jc w:val="both"/>
        <w:rPr>
          <w:rFonts w:ascii="Arial" w:hAnsi="Arial" w:cs="Arial"/>
          <w:noProof/>
          <w:sz w:val="20"/>
          <w:szCs w:val="21"/>
          <w:lang w:val="es-MX"/>
        </w:rPr>
      </w:pPr>
      <w:r w:rsidRPr="009D1271">
        <w:rPr>
          <w:rFonts w:ascii="Arial" w:hAnsi="Arial" w:cs="Arial"/>
          <w:noProof/>
          <w:sz w:val="20"/>
          <w:szCs w:val="21"/>
        </w:rPr>
        <w:t xml:space="preserve">Pilato, L. (2010). </w:t>
      </w:r>
      <w:r w:rsidRPr="009D1271">
        <w:rPr>
          <w:rFonts w:ascii="Arial" w:hAnsi="Arial" w:cs="Arial"/>
          <w:i/>
          <w:iCs/>
          <w:noProof/>
          <w:sz w:val="20"/>
          <w:szCs w:val="21"/>
        </w:rPr>
        <w:t>Phenolic Resins A Century of Progress.</w:t>
      </w:r>
      <w:r w:rsidRPr="009D1271">
        <w:rPr>
          <w:rFonts w:ascii="Arial" w:hAnsi="Arial" w:cs="Arial"/>
          <w:noProof/>
          <w:sz w:val="20"/>
          <w:szCs w:val="21"/>
        </w:rPr>
        <w:t xml:space="preserve"> </w:t>
      </w:r>
      <w:r w:rsidRPr="00197CC0">
        <w:rPr>
          <w:rFonts w:ascii="Arial" w:hAnsi="Arial" w:cs="Arial"/>
          <w:noProof/>
          <w:sz w:val="20"/>
          <w:szCs w:val="21"/>
          <w:lang w:val="es-MX"/>
        </w:rPr>
        <w:t>Springer, Estados Unidos.</w:t>
      </w:r>
    </w:p>
    <w:p w:rsidR="00197CC0" w:rsidRPr="009D1271" w:rsidRDefault="00197CC0" w:rsidP="00197CC0">
      <w:pPr>
        <w:pStyle w:val="Bibliografa"/>
        <w:spacing w:line="194" w:lineRule="auto"/>
        <w:ind w:left="720" w:hanging="720"/>
        <w:jc w:val="both"/>
        <w:rPr>
          <w:rFonts w:ascii="Arial" w:hAnsi="Arial" w:cs="Arial"/>
          <w:noProof/>
          <w:sz w:val="20"/>
          <w:szCs w:val="21"/>
          <w:lang w:val="pt-BR"/>
        </w:rPr>
      </w:pPr>
      <w:r w:rsidRPr="009D1271">
        <w:rPr>
          <w:rFonts w:ascii="Arial" w:hAnsi="Arial" w:cs="Arial"/>
          <w:noProof/>
          <w:sz w:val="20"/>
          <w:szCs w:val="21"/>
          <w:lang w:val="pt-BR"/>
        </w:rPr>
        <w:t>Pius Schmid, H., &amp; Karlskoga. (1976).</w:t>
      </w:r>
      <w:r w:rsidRPr="009D1271">
        <w:rPr>
          <w:rFonts w:ascii="Arial" w:hAnsi="Arial" w:cs="Arial"/>
          <w:i/>
          <w:iCs/>
          <w:noProof/>
          <w:sz w:val="20"/>
          <w:szCs w:val="21"/>
          <w:lang w:val="pt-BR"/>
        </w:rPr>
        <w:t xml:space="preserve"> Patente nº 3933727, </w:t>
      </w:r>
      <w:r w:rsidRPr="009D1271">
        <w:rPr>
          <w:rFonts w:ascii="Arial" w:hAnsi="Arial" w:cs="Arial"/>
          <w:iCs/>
          <w:noProof/>
          <w:sz w:val="20"/>
          <w:szCs w:val="21"/>
          <w:lang w:val="pt-BR"/>
        </w:rPr>
        <w:t>Suiza</w:t>
      </w:r>
      <w:r w:rsidRPr="009D1271">
        <w:rPr>
          <w:rFonts w:ascii="Arial" w:hAnsi="Arial" w:cs="Arial"/>
          <w:i/>
          <w:iCs/>
          <w:noProof/>
          <w:sz w:val="20"/>
          <w:szCs w:val="21"/>
          <w:lang w:val="pt-BR"/>
        </w:rPr>
        <w:t>.</w:t>
      </w:r>
      <w:r w:rsidRPr="009D1271">
        <w:rPr>
          <w:rFonts w:ascii="Arial" w:hAnsi="Arial" w:cs="Arial"/>
          <w:noProof/>
          <w:sz w:val="20"/>
          <w:szCs w:val="21"/>
          <w:lang w:val="pt-BR"/>
        </w:rPr>
        <w:t xml:space="preserve"> </w:t>
      </w:r>
    </w:p>
    <w:p w:rsidR="00197CC0" w:rsidRPr="00197CC0" w:rsidRDefault="00197CC0" w:rsidP="00197CC0">
      <w:pPr>
        <w:pStyle w:val="Bibliografa"/>
        <w:spacing w:line="194" w:lineRule="auto"/>
        <w:ind w:left="720" w:hanging="720"/>
        <w:jc w:val="both"/>
        <w:rPr>
          <w:rFonts w:ascii="Arial" w:hAnsi="Arial" w:cs="Arial"/>
          <w:noProof/>
          <w:sz w:val="20"/>
          <w:szCs w:val="21"/>
        </w:rPr>
      </w:pPr>
      <w:r w:rsidRPr="009D1271">
        <w:rPr>
          <w:rFonts w:ascii="Arial" w:hAnsi="Arial" w:cs="Arial"/>
          <w:noProof/>
          <w:sz w:val="20"/>
          <w:szCs w:val="21"/>
          <w:lang w:val="es-419"/>
        </w:rPr>
        <w:t>Robins, J. (1971).</w:t>
      </w:r>
      <w:r w:rsidRPr="009D1271">
        <w:rPr>
          <w:rFonts w:ascii="Arial" w:hAnsi="Arial" w:cs="Arial"/>
          <w:i/>
          <w:iCs/>
          <w:noProof/>
          <w:sz w:val="20"/>
          <w:szCs w:val="21"/>
          <w:lang w:val="es-419"/>
        </w:rPr>
        <w:t xml:space="preserve"> </w:t>
      </w:r>
      <w:r w:rsidRPr="00197CC0">
        <w:rPr>
          <w:rFonts w:ascii="Arial" w:hAnsi="Arial" w:cs="Arial"/>
          <w:i/>
          <w:iCs/>
          <w:noProof/>
          <w:sz w:val="20"/>
          <w:szCs w:val="21"/>
        </w:rPr>
        <w:t>Patente nº 3676392, Houston, Texas.</w:t>
      </w:r>
      <w:r w:rsidRPr="00197CC0">
        <w:rPr>
          <w:rFonts w:ascii="Arial" w:hAnsi="Arial" w:cs="Arial"/>
          <w:noProof/>
          <w:sz w:val="20"/>
          <w:szCs w:val="21"/>
        </w:rPr>
        <w:t xml:space="preserve"> </w:t>
      </w:r>
    </w:p>
    <w:p w:rsidR="00197CC0" w:rsidRPr="00197CC0" w:rsidRDefault="00197CC0" w:rsidP="00197CC0">
      <w:pPr>
        <w:pStyle w:val="Bibliografa"/>
        <w:spacing w:line="216" w:lineRule="auto"/>
        <w:jc w:val="both"/>
        <w:rPr>
          <w:rFonts w:ascii="Arial" w:hAnsi="Arial" w:cs="Arial"/>
          <w:noProof/>
          <w:sz w:val="20"/>
          <w:szCs w:val="21"/>
          <w:lang w:val="es-MX"/>
        </w:rPr>
      </w:pPr>
      <w:r w:rsidRPr="009D1271">
        <w:rPr>
          <w:rFonts w:ascii="Arial" w:hAnsi="Arial" w:cs="Arial"/>
          <w:noProof/>
          <w:sz w:val="20"/>
          <w:szCs w:val="21"/>
        </w:rPr>
        <w:lastRenderedPageBreak/>
        <w:t xml:space="preserve">Sáenz Valdez, A. (2010). </w:t>
      </w:r>
      <w:r w:rsidRPr="00197CC0">
        <w:rPr>
          <w:rFonts w:ascii="Arial" w:hAnsi="Arial" w:cs="Arial"/>
          <w:i/>
          <w:noProof/>
          <w:sz w:val="20"/>
          <w:szCs w:val="21"/>
          <w:lang w:val="es-MX"/>
        </w:rPr>
        <w:t>Desarrollo de un aglutinante inorgánico para la producción de corazones de arena en la industria automotriz (</w:t>
      </w:r>
      <w:r w:rsidRPr="00197CC0">
        <w:rPr>
          <w:rFonts w:ascii="Arial" w:hAnsi="Arial" w:cs="Arial"/>
          <w:i/>
          <w:iCs/>
          <w:noProof/>
          <w:sz w:val="20"/>
          <w:szCs w:val="21"/>
          <w:lang w:val="es-MX"/>
        </w:rPr>
        <w:t>Tesis de maestría).</w:t>
      </w:r>
      <w:r w:rsidRPr="00197CC0">
        <w:rPr>
          <w:rFonts w:ascii="Arial" w:hAnsi="Arial" w:cs="Arial"/>
          <w:noProof/>
          <w:sz w:val="20"/>
          <w:szCs w:val="21"/>
          <w:lang w:val="es-MX"/>
        </w:rPr>
        <w:t xml:space="preserve"> UANL, Ciudad Universitaria, Nuevo León.</w:t>
      </w:r>
    </w:p>
    <w:p w:rsidR="00197CC0" w:rsidRPr="00197CC0" w:rsidRDefault="00197CC0" w:rsidP="00197CC0">
      <w:pPr>
        <w:pStyle w:val="Bibliografa"/>
        <w:spacing w:line="240" w:lineRule="auto"/>
        <w:jc w:val="both"/>
        <w:rPr>
          <w:rFonts w:ascii="Arial" w:hAnsi="Arial" w:cs="Arial"/>
          <w:noProof/>
          <w:sz w:val="20"/>
          <w:szCs w:val="21"/>
          <w:lang w:val="es-MX"/>
        </w:rPr>
      </w:pPr>
      <w:r w:rsidRPr="009D1271">
        <w:rPr>
          <w:rFonts w:ascii="Arial" w:hAnsi="Arial" w:cs="Arial"/>
          <w:noProof/>
          <w:sz w:val="20"/>
          <w:szCs w:val="21"/>
          <w:lang w:val="es-419"/>
        </w:rPr>
        <w:t xml:space="preserve">Svidró Tamás, J., Diószegi, A., Svidró, J., &amp; Ferenczi, T. (2017). </w:t>
      </w:r>
      <w:r w:rsidRPr="009D1271">
        <w:rPr>
          <w:rFonts w:ascii="Arial" w:hAnsi="Arial" w:cs="Arial"/>
          <w:i/>
          <w:noProof/>
          <w:sz w:val="20"/>
          <w:szCs w:val="21"/>
        </w:rPr>
        <w:t xml:space="preserve">The effect of different binder levels on the heat absorption capacity of moulding mixtures made by the phenolic urethane cold-box process. </w:t>
      </w:r>
      <w:r w:rsidRPr="00197CC0">
        <w:rPr>
          <w:rFonts w:ascii="Arial" w:hAnsi="Arial" w:cs="Arial"/>
          <w:iCs/>
          <w:noProof/>
          <w:sz w:val="20"/>
          <w:szCs w:val="21"/>
          <w:lang w:val="es-MX"/>
        </w:rPr>
        <w:t>J Therm Anal Calorim</w:t>
      </w:r>
      <w:r w:rsidRPr="00197CC0">
        <w:rPr>
          <w:rFonts w:ascii="Arial" w:hAnsi="Arial" w:cs="Arial"/>
          <w:noProof/>
          <w:sz w:val="20"/>
          <w:szCs w:val="21"/>
          <w:lang w:val="es-MX"/>
        </w:rPr>
        <w:t>, 1769-1777.</w:t>
      </w:r>
    </w:p>
    <w:p w:rsidR="00197CC0" w:rsidRPr="00197CC0" w:rsidRDefault="00197CC0" w:rsidP="00197CC0">
      <w:pPr>
        <w:pStyle w:val="Bibliografa"/>
        <w:spacing w:line="194" w:lineRule="auto"/>
        <w:jc w:val="both"/>
        <w:rPr>
          <w:rFonts w:ascii="Arial" w:hAnsi="Arial" w:cs="Arial"/>
          <w:noProof/>
          <w:sz w:val="20"/>
          <w:szCs w:val="21"/>
          <w:lang w:val="es-MX"/>
        </w:rPr>
      </w:pPr>
      <w:r w:rsidRPr="00197CC0">
        <w:rPr>
          <w:rFonts w:ascii="Arial" w:hAnsi="Arial" w:cs="Arial"/>
          <w:noProof/>
          <w:sz w:val="20"/>
          <w:szCs w:val="21"/>
          <w:lang w:val="es-MX"/>
        </w:rPr>
        <w:t xml:space="preserve">Villabon Ahumada, W. (2016). </w:t>
      </w:r>
      <w:r w:rsidRPr="00197CC0">
        <w:rPr>
          <w:rFonts w:ascii="Arial" w:hAnsi="Arial" w:cs="Arial"/>
          <w:i/>
          <w:noProof/>
          <w:sz w:val="20"/>
          <w:szCs w:val="21"/>
          <w:lang w:val="es-MX"/>
        </w:rPr>
        <w:t xml:space="preserve">Diseño de una nueva línea de moldeo en sistema de cold box para la planta de fundición de Fundicom Mosquera </w:t>
      </w:r>
      <w:r w:rsidRPr="00197CC0">
        <w:rPr>
          <w:rFonts w:ascii="Arial" w:hAnsi="Arial" w:cs="Arial"/>
          <w:i/>
          <w:iCs/>
          <w:noProof/>
          <w:sz w:val="20"/>
          <w:szCs w:val="21"/>
          <w:lang w:val="es-MX"/>
        </w:rPr>
        <w:t>(Tesis de grado).</w:t>
      </w:r>
      <w:r w:rsidRPr="00197CC0">
        <w:rPr>
          <w:rFonts w:ascii="Arial" w:hAnsi="Arial" w:cs="Arial"/>
          <w:noProof/>
          <w:sz w:val="20"/>
          <w:szCs w:val="21"/>
          <w:lang w:val="es-MX"/>
        </w:rPr>
        <w:t xml:space="preserve"> Universidad Distrital Francisco José de Caldas, Bogotá.</w:t>
      </w:r>
    </w:p>
    <w:p w:rsidR="00197CC0" w:rsidRPr="00762B76" w:rsidRDefault="00197CC0" w:rsidP="00197CC0">
      <w:pPr>
        <w:pStyle w:val="Bibliografa"/>
        <w:spacing w:line="240" w:lineRule="auto"/>
        <w:jc w:val="both"/>
        <w:rPr>
          <w:rFonts w:ascii="Arial" w:hAnsi="Arial" w:cs="Arial"/>
          <w:noProof/>
          <w:sz w:val="20"/>
          <w:szCs w:val="21"/>
          <w:lang w:val="es-MX"/>
        </w:rPr>
      </w:pPr>
      <w:r w:rsidRPr="00197CC0">
        <w:rPr>
          <w:rFonts w:ascii="Arial" w:hAnsi="Arial" w:cs="Arial"/>
          <w:noProof/>
          <w:sz w:val="20"/>
          <w:szCs w:val="21"/>
          <w:lang w:val="es-MX"/>
        </w:rPr>
        <w:t xml:space="preserve">Villacís Tulcán , E. N. (2015). </w:t>
      </w:r>
      <w:r w:rsidRPr="00197CC0">
        <w:rPr>
          <w:rFonts w:ascii="Arial" w:hAnsi="Arial" w:cs="Arial"/>
          <w:i/>
          <w:noProof/>
          <w:sz w:val="20"/>
          <w:szCs w:val="21"/>
          <w:lang w:val="es-MX"/>
        </w:rPr>
        <w:t>Análisis de la conducta de mezclas de moldeo para fundición aglomeradas con resinas autofraguantes fenólico uretanas (</w:t>
      </w:r>
      <w:r w:rsidRPr="00197CC0">
        <w:rPr>
          <w:rFonts w:ascii="Arial" w:hAnsi="Arial" w:cs="Arial"/>
          <w:i/>
          <w:iCs/>
          <w:noProof/>
          <w:sz w:val="20"/>
          <w:szCs w:val="21"/>
          <w:lang w:val="es-MX"/>
        </w:rPr>
        <w:t>Tesis de grado).</w:t>
      </w:r>
      <w:r w:rsidRPr="00197CC0">
        <w:rPr>
          <w:rFonts w:ascii="Arial" w:hAnsi="Arial" w:cs="Arial"/>
          <w:i/>
          <w:noProof/>
          <w:sz w:val="20"/>
          <w:szCs w:val="21"/>
          <w:lang w:val="es-MX"/>
        </w:rPr>
        <w:t xml:space="preserve"> </w:t>
      </w:r>
      <w:r w:rsidRPr="00762B76">
        <w:rPr>
          <w:rFonts w:ascii="Arial" w:hAnsi="Arial" w:cs="Arial"/>
          <w:noProof/>
          <w:sz w:val="20"/>
          <w:szCs w:val="21"/>
          <w:lang w:val="es-MX"/>
        </w:rPr>
        <w:t>Escuela Politécnica Nacional, Quito.</w:t>
      </w:r>
    </w:p>
    <w:p w:rsidR="0049551D" w:rsidRDefault="0049551D" w:rsidP="0049551D"/>
    <w:p w:rsidR="0049551D" w:rsidRDefault="0049551D" w:rsidP="0049551D"/>
    <w:p w:rsidR="0049551D" w:rsidRDefault="0049551D" w:rsidP="0049551D"/>
    <w:p w:rsidR="00762B76" w:rsidRPr="00762B76" w:rsidRDefault="00762B76" w:rsidP="00762B76">
      <w:pPr>
        <w:pStyle w:val="1Titulo"/>
        <w:jc w:val="center"/>
        <w:rPr>
          <w:sz w:val="28"/>
          <w:szCs w:val="28"/>
        </w:rPr>
      </w:pPr>
      <w:bookmarkStart w:id="60" w:name="_Toc50031193"/>
      <w:r w:rsidRPr="00762B76">
        <w:rPr>
          <w:sz w:val="28"/>
          <w:szCs w:val="28"/>
        </w:rPr>
        <w:t>Implementación de un método electroquímico para la remoción de sólidos disueltos en agua residual Urbana de la planta de Hidrosistemas de San Román en Córdoba Veracruz</w:t>
      </w:r>
      <w:bookmarkEnd w:id="60"/>
    </w:p>
    <w:p w:rsidR="00762B76" w:rsidRPr="00A34838" w:rsidRDefault="00762B76" w:rsidP="00762B76">
      <w:pPr>
        <w:jc w:val="center"/>
        <w:rPr>
          <w:color w:val="000000"/>
          <w:sz w:val="28"/>
          <w:szCs w:val="28"/>
        </w:rPr>
      </w:pPr>
    </w:p>
    <w:p w:rsidR="00762B76" w:rsidRPr="00A34838" w:rsidRDefault="00762B76" w:rsidP="00762B76">
      <w:pPr>
        <w:pStyle w:val="Author"/>
        <w:rPr>
          <w:rFonts w:ascii="Arial" w:hAnsi="Arial" w:cs="Arial"/>
          <w:szCs w:val="24"/>
          <w:vertAlign w:val="superscript"/>
          <w:lang w:val="es-MX"/>
        </w:rPr>
      </w:pPr>
      <w:r w:rsidRPr="00A34838">
        <w:rPr>
          <w:rFonts w:ascii="Arial" w:hAnsi="Arial" w:cs="Arial"/>
          <w:szCs w:val="24"/>
          <w:lang w:val="es-MX"/>
        </w:rPr>
        <w:t>Sánchez, B. I.,</w:t>
      </w:r>
      <w:r w:rsidRPr="00A34838">
        <w:rPr>
          <w:rFonts w:ascii="Arial" w:hAnsi="Arial" w:cs="Arial"/>
          <w:szCs w:val="24"/>
          <w:vertAlign w:val="superscript"/>
          <w:lang w:val="es-MX"/>
        </w:rPr>
        <w:t>1</w:t>
      </w:r>
      <w:r w:rsidRPr="00A34838">
        <w:rPr>
          <w:rFonts w:ascii="Arial" w:hAnsi="Arial" w:cs="Arial"/>
          <w:szCs w:val="24"/>
          <w:lang w:val="es-MX"/>
        </w:rPr>
        <w:t xml:space="preserve"> </w:t>
      </w:r>
      <w:r w:rsidRPr="00EF1751">
        <w:rPr>
          <w:rFonts w:ascii="Arial" w:hAnsi="Arial" w:cs="Arial"/>
          <w:szCs w:val="24"/>
          <w:lang w:val="es-MX"/>
        </w:rPr>
        <w:t>Juárez, R. V.,</w:t>
      </w:r>
      <w:r w:rsidRPr="00EF1751">
        <w:rPr>
          <w:rFonts w:ascii="Arial" w:hAnsi="Arial" w:cs="Arial"/>
          <w:szCs w:val="24"/>
          <w:vertAlign w:val="superscript"/>
          <w:lang w:val="es-MX"/>
        </w:rPr>
        <w:t>2</w:t>
      </w:r>
      <w:r w:rsidRPr="00EF1751">
        <w:rPr>
          <w:rFonts w:ascii="Arial" w:hAnsi="Arial" w:cs="Arial"/>
          <w:szCs w:val="24"/>
          <w:lang w:val="es-MX"/>
        </w:rPr>
        <w:t xml:space="preserve"> </w:t>
      </w:r>
      <w:r w:rsidRPr="00A34838">
        <w:rPr>
          <w:rFonts w:ascii="Arial" w:hAnsi="Arial" w:cs="Arial"/>
          <w:szCs w:val="24"/>
          <w:lang w:val="es-MX"/>
        </w:rPr>
        <w:t>Gutiérrez, C. N.,</w:t>
      </w:r>
      <w:r w:rsidRPr="00A34838">
        <w:rPr>
          <w:rFonts w:ascii="Arial" w:hAnsi="Arial" w:cs="Arial"/>
          <w:szCs w:val="24"/>
          <w:vertAlign w:val="superscript"/>
          <w:lang w:val="es-MX"/>
        </w:rPr>
        <w:t xml:space="preserve"> 1</w:t>
      </w:r>
      <w:r w:rsidRPr="00A34838">
        <w:rPr>
          <w:rFonts w:ascii="Arial" w:hAnsi="Arial" w:cs="Arial"/>
          <w:szCs w:val="24"/>
          <w:lang w:val="es-MX"/>
        </w:rPr>
        <w:t xml:space="preserve"> Diaz, C. K.,</w:t>
      </w:r>
      <w:r w:rsidRPr="00A34838">
        <w:rPr>
          <w:rFonts w:ascii="Arial" w:hAnsi="Arial" w:cs="Arial"/>
          <w:szCs w:val="24"/>
          <w:vertAlign w:val="superscript"/>
          <w:lang w:val="es-MX"/>
        </w:rPr>
        <w:t>1</w:t>
      </w:r>
      <w:r w:rsidRPr="00A34838">
        <w:rPr>
          <w:rFonts w:ascii="Arial" w:hAnsi="Arial" w:cs="Arial"/>
          <w:szCs w:val="24"/>
          <w:lang w:val="es-MX"/>
        </w:rPr>
        <w:t xml:space="preserve"> Hernández, A. E.,</w:t>
      </w:r>
      <w:r w:rsidRPr="00A34838">
        <w:rPr>
          <w:rFonts w:ascii="Arial" w:hAnsi="Arial" w:cs="Arial"/>
          <w:szCs w:val="24"/>
          <w:vertAlign w:val="superscript"/>
          <w:lang w:val="es-MX"/>
        </w:rPr>
        <w:t>1</w:t>
      </w:r>
      <w:r w:rsidRPr="00A34838">
        <w:rPr>
          <w:rFonts w:ascii="Arial" w:hAnsi="Arial" w:cs="Arial"/>
          <w:szCs w:val="24"/>
          <w:lang w:val="es-MX"/>
        </w:rPr>
        <w:t xml:space="preserve"> Aranda, P. A. S.,</w:t>
      </w:r>
      <w:r w:rsidRPr="00A34838">
        <w:rPr>
          <w:rFonts w:ascii="Arial" w:hAnsi="Arial" w:cs="Arial"/>
          <w:szCs w:val="24"/>
          <w:vertAlign w:val="superscript"/>
          <w:lang w:val="es-MX"/>
        </w:rPr>
        <w:t>1</w:t>
      </w:r>
      <w:r w:rsidRPr="00A34838">
        <w:rPr>
          <w:rFonts w:ascii="Arial" w:hAnsi="Arial" w:cs="Arial"/>
          <w:szCs w:val="24"/>
          <w:lang w:val="es-MX"/>
        </w:rPr>
        <w:t xml:space="preserve"> Sánchez, B. L. A.,</w:t>
      </w:r>
      <w:r w:rsidRPr="00A34838">
        <w:rPr>
          <w:rFonts w:ascii="Arial" w:hAnsi="Arial" w:cs="Arial"/>
          <w:szCs w:val="24"/>
          <w:vertAlign w:val="superscript"/>
          <w:lang w:val="es-MX"/>
        </w:rPr>
        <w:t>1</w:t>
      </w:r>
    </w:p>
    <w:p w:rsidR="00762B76" w:rsidRDefault="00762B76" w:rsidP="00762B76">
      <w:pPr>
        <w:pStyle w:val="affiliation"/>
        <w:rPr>
          <w:rFonts w:ascii="Arial" w:hAnsi="Arial" w:cs="Arial"/>
          <w:sz w:val="24"/>
          <w:szCs w:val="24"/>
          <w:lang w:val="es-MX"/>
        </w:rPr>
      </w:pPr>
      <w:r w:rsidRPr="00A34838">
        <w:rPr>
          <w:rFonts w:ascii="Arial" w:hAnsi="Arial" w:cs="Arial"/>
          <w:sz w:val="24"/>
          <w:szCs w:val="24"/>
          <w:vertAlign w:val="superscript"/>
          <w:lang w:val="es-MX"/>
        </w:rPr>
        <w:t>1</w:t>
      </w:r>
      <w:r w:rsidRPr="00A34838">
        <w:rPr>
          <w:rFonts w:ascii="Arial" w:hAnsi="Arial" w:cs="Arial"/>
          <w:sz w:val="24"/>
          <w:szCs w:val="24"/>
          <w:lang w:val="es-MX"/>
        </w:rPr>
        <w:t>Universidad Veracruzana, Facultad de Ciencias Químicas, Orizaba, Veracruz, México.</w:t>
      </w:r>
    </w:p>
    <w:p w:rsidR="00762B76" w:rsidRPr="00EF1751" w:rsidRDefault="00762B76" w:rsidP="00762B76">
      <w:pPr>
        <w:pStyle w:val="affiliation"/>
        <w:rPr>
          <w:rFonts w:ascii="Arial" w:hAnsi="Arial" w:cs="Arial"/>
          <w:sz w:val="24"/>
          <w:szCs w:val="24"/>
          <w:vertAlign w:val="superscript"/>
          <w:lang w:val="es-MX"/>
        </w:rPr>
      </w:pPr>
      <w:r w:rsidRPr="00EF1751">
        <w:rPr>
          <w:rFonts w:ascii="Arial" w:hAnsi="Arial" w:cs="Arial"/>
          <w:sz w:val="24"/>
          <w:szCs w:val="24"/>
          <w:vertAlign w:val="superscript"/>
          <w:lang w:val="es-MX"/>
        </w:rPr>
        <w:t>2</w:t>
      </w:r>
      <w:r w:rsidRPr="00EF1751">
        <w:rPr>
          <w:rFonts w:ascii="Arial" w:hAnsi="Arial" w:cs="Arial"/>
          <w:sz w:val="24"/>
          <w:szCs w:val="24"/>
          <w:lang w:val="es-MX"/>
        </w:rPr>
        <w:t>Universidad Veracruzana, Facultad de Ingeniería, Ixtaczoquitlán, Veracruz, México.</w:t>
      </w:r>
    </w:p>
    <w:p w:rsidR="00762B76" w:rsidRPr="00A34838" w:rsidRDefault="00762B76" w:rsidP="00762B76">
      <w:pPr>
        <w:pStyle w:val="affiliation"/>
        <w:rPr>
          <w:rFonts w:ascii="Arial" w:hAnsi="Arial" w:cs="Arial"/>
          <w:sz w:val="24"/>
          <w:szCs w:val="24"/>
          <w:vertAlign w:val="superscript"/>
          <w:lang w:val="es-MX"/>
        </w:rPr>
      </w:pPr>
    </w:p>
    <w:p w:rsidR="00762B76" w:rsidRPr="00A34838" w:rsidRDefault="001345E4" w:rsidP="00762B76">
      <w:pPr>
        <w:pStyle w:val="affiliation"/>
        <w:rPr>
          <w:rFonts w:ascii="Arial" w:hAnsi="Arial" w:cs="Arial"/>
          <w:sz w:val="24"/>
          <w:szCs w:val="24"/>
          <w:lang w:val="es-MX"/>
        </w:rPr>
      </w:pPr>
      <w:hyperlink r:id="rId145" w:history="1">
        <w:r w:rsidR="00762B76" w:rsidRPr="00A34838">
          <w:rPr>
            <w:rStyle w:val="Hipervnculo"/>
            <w:rFonts w:ascii="Arial" w:hAnsi="Arial" w:cs="Arial"/>
            <w:sz w:val="24"/>
            <w:szCs w:val="24"/>
            <w:lang w:val="es-MX"/>
          </w:rPr>
          <w:t>igsanchez@uv.mx</w:t>
        </w:r>
      </w:hyperlink>
      <w:r w:rsidR="00762B76" w:rsidRPr="00A34838">
        <w:rPr>
          <w:rFonts w:ascii="Arial" w:hAnsi="Arial" w:cs="Arial"/>
          <w:sz w:val="24"/>
          <w:szCs w:val="24"/>
          <w:lang w:val="es-MX"/>
        </w:rPr>
        <w:t xml:space="preserve">, </w:t>
      </w:r>
      <w:hyperlink r:id="rId146" w:history="1">
        <w:r w:rsidR="00762B76" w:rsidRPr="00FB2DF6">
          <w:rPr>
            <w:rStyle w:val="Hipervnculo"/>
            <w:rFonts w:ascii="Arial" w:hAnsi="Arial" w:cs="Arial"/>
            <w:sz w:val="24"/>
            <w:szCs w:val="24"/>
            <w:lang w:val="es-MX"/>
          </w:rPr>
          <w:t>vijuarez@uv.mx</w:t>
        </w:r>
      </w:hyperlink>
      <w:r w:rsidR="00762B76" w:rsidRPr="0085423E">
        <w:rPr>
          <w:rStyle w:val="Hipervnculo"/>
          <w:rFonts w:ascii="Arial" w:hAnsi="Arial" w:cs="Arial"/>
          <w:sz w:val="24"/>
          <w:szCs w:val="24"/>
          <w:lang w:val="es-MX"/>
        </w:rPr>
        <w:t>,</w:t>
      </w:r>
      <w:r w:rsidR="00762B76">
        <w:rPr>
          <w:rStyle w:val="Hipervnculo"/>
          <w:rFonts w:ascii="Arial" w:hAnsi="Arial" w:cs="Arial"/>
          <w:sz w:val="24"/>
          <w:szCs w:val="24"/>
          <w:lang w:val="es-MX"/>
        </w:rPr>
        <w:t xml:space="preserve"> </w:t>
      </w:r>
      <w:hyperlink r:id="rId147" w:history="1">
        <w:r w:rsidR="00762B76" w:rsidRPr="00BE5864">
          <w:rPr>
            <w:rStyle w:val="Hipervnculo"/>
            <w:rFonts w:ascii="Arial" w:hAnsi="Arial" w:cs="Arial"/>
            <w:sz w:val="24"/>
            <w:szCs w:val="24"/>
            <w:lang w:val="es-MX"/>
          </w:rPr>
          <w:t>nagutierez@uv.mx</w:t>
        </w:r>
      </w:hyperlink>
      <w:r w:rsidR="00762B76" w:rsidRPr="00A34838">
        <w:rPr>
          <w:rFonts w:ascii="Arial" w:hAnsi="Arial" w:cs="Arial"/>
          <w:sz w:val="24"/>
          <w:szCs w:val="24"/>
          <w:lang w:val="es-MX"/>
        </w:rPr>
        <w:t xml:space="preserve">, </w:t>
      </w:r>
      <w:hyperlink r:id="rId148" w:history="1">
        <w:r w:rsidR="00762B76" w:rsidRPr="00BE5864">
          <w:rPr>
            <w:rStyle w:val="Hipervnculo"/>
            <w:rFonts w:ascii="Arial" w:hAnsi="Arial" w:cs="Arial"/>
            <w:sz w:val="24"/>
            <w:szCs w:val="24"/>
            <w:lang w:val="es-MX"/>
          </w:rPr>
          <w:t>kadiaz@uv.mx</w:t>
        </w:r>
      </w:hyperlink>
      <w:r w:rsidR="00762B76" w:rsidRPr="00A34838">
        <w:rPr>
          <w:rFonts w:ascii="Arial" w:hAnsi="Arial" w:cs="Arial"/>
          <w:sz w:val="24"/>
          <w:szCs w:val="24"/>
          <w:lang w:val="es-MX"/>
        </w:rPr>
        <w:t xml:space="preserve">, </w:t>
      </w:r>
      <w:hyperlink r:id="rId149" w:history="1">
        <w:r w:rsidR="00762B76" w:rsidRPr="00A34838">
          <w:rPr>
            <w:rStyle w:val="Hipervnculo"/>
            <w:rFonts w:ascii="Arial" w:hAnsi="Arial" w:cs="Arial"/>
            <w:sz w:val="24"/>
            <w:szCs w:val="24"/>
            <w:lang w:val="es-MX"/>
          </w:rPr>
          <w:t>e</w:t>
        </w:r>
        <w:r w:rsidR="00762B76" w:rsidRPr="00BE5864">
          <w:rPr>
            <w:rStyle w:val="Hipervnculo"/>
            <w:rFonts w:ascii="Arial" w:hAnsi="Arial" w:cs="Arial"/>
            <w:sz w:val="24"/>
            <w:szCs w:val="24"/>
            <w:lang w:val="es-MX"/>
          </w:rPr>
          <w:t>duherandez@uv.mx</w:t>
        </w:r>
      </w:hyperlink>
      <w:r w:rsidR="00762B76" w:rsidRPr="00A34838">
        <w:rPr>
          <w:rFonts w:ascii="Arial" w:hAnsi="Arial" w:cs="Arial"/>
          <w:sz w:val="24"/>
          <w:szCs w:val="24"/>
          <w:lang w:val="es-MX"/>
        </w:rPr>
        <w:t xml:space="preserve">, </w:t>
      </w:r>
      <w:hyperlink r:id="rId150" w:history="1">
        <w:r w:rsidR="00762B76" w:rsidRPr="00BE5864">
          <w:rPr>
            <w:rStyle w:val="Hipervnculo"/>
            <w:rFonts w:ascii="Arial" w:hAnsi="Arial" w:cs="Arial"/>
            <w:sz w:val="24"/>
            <w:szCs w:val="24"/>
            <w:lang w:val="es-MX"/>
          </w:rPr>
          <w:t>araranda@uv.mx</w:t>
        </w:r>
      </w:hyperlink>
      <w:r w:rsidR="00762B76" w:rsidRPr="00A34838">
        <w:rPr>
          <w:rFonts w:ascii="Arial" w:hAnsi="Arial" w:cs="Arial"/>
          <w:sz w:val="24"/>
          <w:szCs w:val="24"/>
          <w:lang w:val="es-MX"/>
        </w:rPr>
        <w:t>,</w:t>
      </w:r>
      <w:r w:rsidR="00762B76">
        <w:rPr>
          <w:rFonts w:ascii="Arial" w:hAnsi="Arial" w:cs="Arial"/>
          <w:sz w:val="24"/>
          <w:szCs w:val="24"/>
          <w:lang w:val="es-MX"/>
        </w:rPr>
        <w:t xml:space="preserve"> </w:t>
      </w:r>
      <w:r w:rsidR="00762B76" w:rsidRPr="00BE5864">
        <w:rPr>
          <w:rFonts w:ascii="Arial" w:hAnsi="Arial" w:cs="Arial"/>
          <w:sz w:val="24"/>
          <w:szCs w:val="24"/>
          <w:u w:val="single"/>
          <w:lang w:val="es-MX"/>
        </w:rPr>
        <w:t>l</w:t>
      </w:r>
      <w:hyperlink r:id="rId151" w:history="1">
        <w:r w:rsidR="00762B76" w:rsidRPr="00A34838">
          <w:rPr>
            <w:rStyle w:val="Hipervnculo"/>
            <w:rFonts w:ascii="Arial" w:hAnsi="Arial" w:cs="Arial"/>
            <w:sz w:val="24"/>
            <w:szCs w:val="24"/>
            <w:lang w:val="es-MX"/>
          </w:rPr>
          <w:t>uisasanchez@uv.mx</w:t>
        </w:r>
      </w:hyperlink>
    </w:p>
    <w:p w:rsidR="00762B76" w:rsidRPr="00A34838" w:rsidRDefault="00762B76" w:rsidP="00762B76">
      <w:pPr>
        <w:pStyle w:val="affiliation"/>
        <w:rPr>
          <w:rFonts w:ascii="Arial" w:eastAsia="Batang" w:hAnsi="Arial" w:cs="Arial"/>
          <w:b/>
          <w:bCs/>
          <w:i/>
          <w:iCs/>
          <w:caps/>
          <w:sz w:val="24"/>
          <w:szCs w:val="24"/>
          <w:lang w:val="es-MX"/>
        </w:rPr>
      </w:pPr>
    </w:p>
    <w:p w:rsidR="00762B76" w:rsidRPr="00762B76" w:rsidRDefault="00762B76" w:rsidP="00762B76">
      <w:pPr>
        <w:pStyle w:val="Ttulo1"/>
        <w:keepLines w:val="0"/>
        <w:numPr>
          <w:ilvl w:val="0"/>
          <w:numId w:val="1"/>
        </w:numPr>
        <w:tabs>
          <w:tab w:val="clear" w:pos="432"/>
          <w:tab w:val="left" w:pos="0"/>
        </w:tabs>
        <w:spacing w:before="0" w:after="0" w:line="360" w:lineRule="auto"/>
        <w:ind w:left="0" w:firstLine="0"/>
        <w:rPr>
          <w:rFonts w:ascii="Arial" w:hAnsi="Arial" w:cs="Arial"/>
          <w:i/>
          <w:color w:val="000000"/>
          <w:sz w:val="24"/>
          <w:szCs w:val="24"/>
        </w:rPr>
      </w:pPr>
      <w:bookmarkStart w:id="61" w:name="_Toc50031194"/>
      <w:r w:rsidRPr="00762B76">
        <w:rPr>
          <w:rFonts w:ascii="Arial" w:hAnsi="Arial" w:cs="Arial"/>
          <w:i/>
          <w:caps/>
          <w:sz w:val="24"/>
          <w:szCs w:val="24"/>
        </w:rPr>
        <w:t>1. R</w:t>
      </w:r>
      <w:r w:rsidRPr="00762B76">
        <w:rPr>
          <w:rFonts w:ascii="Arial" w:hAnsi="Arial" w:cs="Arial"/>
          <w:i/>
          <w:sz w:val="24"/>
          <w:szCs w:val="24"/>
        </w:rPr>
        <w:t>esumen</w:t>
      </w:r>
      <w:bookmarkEnd w:id="61"/>
      <w:r w:rsidRPr="00762B76">
        <w:rPr>
          <w:rFonts w:ascii="Arial" w:hAnsi="Arial" w:cs="Arial"/>
          <w:i/>
          <w:caps/>
          <w:sz w:val="24"/>
          <w:szCs w:val="24"/>
        </w:rPr>
        <w:t xml:space="preserve"> </w:t>
      </w:r>
    </w:p>
    <w:p w:rsidR="00762B76" w:rsidRDefault="00762B76" w:rsidP="00762B76">
      <w:pPr>
        <w:ind w:firstLine="567"/>
        <w:jc w:val="both"/>
        <w:rPr>
          <w:rFonts w:ascii="Arial" w:hAnsi="Arial" w:cs="Arial"/>
          <w:color w:val="000000"/>
        </w:rPr>
      </w:pPr>
      <w:bookmarkStart w:id="62" w:name="_Hlk44639802"/>
      <w:r w:rsidRPr="00A34838">
        <w:rPr>
          <w:rFonts w:ascii="Arial" w:hAnsi="Arial" w:cs="Arial"/>
          <w:color w:val="000000"/>
        </w:rPr>
        <w:t>Las aguas residuales urbanas son un problema que dañan la vida del ecosistema acuático. Los sólidos suspendidos generados por agua residual requieren ser tratados a través de nuevas alternativas cuyo objetivo principal es aportar una solución. Una alternativa es la electroquímica, esta se define como el proceso donde se utiliza carga eléctrica y electrodos para degradar sustancias. Actualmente se utiliza en el tratamiento de aguas residuales</w:t>
      </w:r>
      <w:r>
        <w:rPr>
          <w:rFonts w:ascii="Arial" w:hAnsi="Arial" w:cs="Arial"/>
          <w:color w:val="000000"/>
        </w:rPr>
        <w:t>,</w:t>
      </w:r>
      <w:r w:rsidRPr="00A34838">
        <w:rPr>
          <w:rFonts w:ascii="Arial" w:hAnsi="Arial" w:cs="Arial"/>
          <w:color w:val="000000"/>
        </w:rPr>
        <w:t xml:space="preserve"> debido a que es un proceso versátil que representan una tecnología limpia, económica, sencilla y bajo costo de operación, donde se generan pocos residuos y materiales tóxicos. La ciudad de Córdoba, Veracruz, México, presenta grandes </w:t>
      </w:r>
      <w:r w:rsidRPr="00A34838">
        <w:rPr>
          <w:rFonts w:ascii="Arial" w:hAnsi="Arial" w:cs="Arial"/>
          <w:color w:val="000000"/>
        </w:rPr>
        <w:lastRenderedPageBreak/>
        <w:t>problemas de contaminación de agua en sus afluentes, aunado, sus plantas de tratamiento de aguas residuales</w:t>
      </w:r>
      <w:r>
        <w:rPr>
          <w:rFonts w:ascii="Arial" w:hAnsi="Arial" w:cs="Arial"/>
          <w:color w:val="000000"/>
        </w:rPr>
        <w:t xml:space="preserve"> están </w:t>
      </w:r>
      <w:r w:rsidRPr="00A34838">
        <w:rPr>
          <w:rFonts w:ascii="Arial" w:hAnsi="Arial" w:cs="Arial"/>
          <w:color w:val="000000"/>
        </w:rPr>
        <w:t>inactivas</w:t>
      </w:r>
      <w:bookmarkEnd w:id="62"/>
      <w:r w:rsidRPr="00A34838">
        <w:rPr>
          <w:rFonts w:ascii="Arial" w:hAnsi="Arial" w:cs="Arial"/>
          <w:color w:val="000000"/>
        </w:rPr>
        <w:t xml:space="preserve">, por ello, se implementa la electroquímica para la degradación de </w:t>
      </w:r>
      <w:r>
        <w:rPr>
          <w:rFonts w:ascii="Arial" w:hAnsi="Arial" w:cs="Arial"/>
          <w:color w:val="000000"/>
        </w:rPr>
        <w:t>solidos, Dureza, Dureza de Calcio, aceites y grasas con cinco voltajes diferentes en un lapso de tres horas. Determinado que el optimo para dicha operación es voltaje de 80 V en tiempo de 2 horas.</w:t>
      </w:r>
    </w:p>
    <w:p w:rsidR="00762B76" w:rsidRDefault="00762B76" w:rsidP="00762B76">
      <w:pPr>
        <w:ind w:firstLine="567"/>
        <w:jc w:val="both"/>
        <w:rPr>
          <w:rFonts w:ascii="Arial" w:hAnsi="Arial" w:cs="Arial"/>
          <w:color w:val="000000"/>
        </w:rPr>
      </w:pPr>
    </w:p>
    <w:p w:rsidR="00762B76" w:rsidRPr="00762B76" w:rsidRDefault="00762B76" w:rsidP="00762B76">
      <w:pPr>
        <w:pStyle w:val="Ttulo1"/>
        <w:keepLines w:val="0"/>
        <w:numPr>
          <w:ilvl w:val="0"/>
          <w:numId w:val="1"/>
        </w:numPr>
        <w:tabs>
          <w:tab w:val="clear" w:pos="432"/>
          <w:tab w:val="left" w:pos="0"/>
        </w:tabs>
        <w:spacing w:before="0" w:after="0" w:line="360" w:lineRule="auto"/>
        <w:ind w:left="0" w:firstLine="0"/>
        <w:rPr>
          <w:rFonts w:ascii="Arial" w:hAnsi="Arial" w:cs="Arial"/>
          <w:i/>
          <w:caps/>
          <w:sz w:val="24"/>
          <w:szCs w:val="24"/>
        </w:rPr>
      </w:pPr>
      <w:bookmarkStart w:id="63" w:name="_Toc50031195"/>
      <w:r w:rsidRPr="00762B76">
        <w:rPr>
          <w:rFonts w:ascii="Arial" w:hAnsi="Arial" w:cs="Arial"/>
          <w:i/>
          <w:caps/>
          <w:sz w:val="24"/>
          <w:szCs w:val="24"/>
        </w:rPr>
        <w:t>2. I</w:t>
      </w:r>
      <w:r w:rsidRPr="00762B76">
        <w:rPr>
          <w:rFonts w:ascii="Arial" w:hAnsi="Arial" w:cs="Arial"/>
          <w:i/>
          <w:sz w:val="24"/>
          <w:szCs w:val="24"/>
        </w:rPr>
        <w:t>ntroducción</w:t>
      </w:r>
      <w:bookmarkEnd w:id="63"/>
      <w:r w:rsidRPr="00762B76">
        <w:rPr>
          <w:rFonts w:ascii="Arial" w:hAnsi="Arial" w:cs="Arial"/>
          <w:i/>
          <w:caps/>
          <w:sz w:val="24"/>
          <w:szCs w:val="24"/>
        </w:rPr>
        <w:t xml:space="preserve"> </w:t>
      </w:r>
    </w:p>
    <w:p w:rsidR="00762B76" w:rsidRDefault="00762B76" w:rsidP="00762B76">
      <w:pPr>
        <w:ind w:firstLine="567"/>
        <w:jc w:val="both"/>
        <w:rPr>
          <w:rFonts w:ascii="Arial" w:hAnsi="Arial" w:cs="Arial"/>
          <w:color w:val="000000"/>
        </w:rPr>
      </w:pPr>
      <w:r w:rsidRPr="00A34838">
        <w:rPr>
          <w:rFonts w:ascii="Arial" w:hAnsi="Arial" w:cs="Arial"/>
          <w:color w:val="000000"/>
        </w:rPr>
        <w:t>La contaminación ha sido originada a partir de las actividades del hombre desde que este comienza a manejar el fuego para su beneficio. Antes se sufría la contaminación natural por erupciones volcánicas o incendios espontáneos. Actualmente a medida que la población se incrementa la contaminación</w:t>
      </w:r>
      <w:r>
        <w:rPr>
          <w:rFonts w:ascii="Arial" w:hAnsi="Arial" w:cs="Arial"/>
          <w:color w:val="000000"/>
        </w:rPr>
        <w:t xml:space="preserve"> lo hace igual</w:t>
      </w:r>
      <w:r w:rsidRPr="00A34838">
        <w:rPr>
          <w:rFonts w:ascii="Arial" w:hAnsi="Arial" w:cs="Arial"/>
          <w:color w:val="000000"/>
        </w:rPr>
        <w:t>, presentando niveles que puedan alterar la salud de los seres vivos y también de los ecosistemas</w:t>
      </w:r>
      <w:r w:rsidRPr="00A34838">
        <w:rPr>
          <w:rFonts w:ascii="Arial" w:hAnsi="Arial" w:cs="Arial"/>
          <w:color w:val="000000"/>
          <w:vertAlign w:val="superscript"/>
        </w:rPr>
        <w:t>1</w:t>
      </w:r>
      <w:r w:rsidRPr="00A34838">
        <w:rPr>
          <w:rFonts w:ascii="Arial" w:hAnsi="Arial" w:cs="Arial"/>
          <w:color w:val="000000"/>
        </w:rPr>
        <w:t>. Al mundo se le conoce como el planeta azul ya que tres cuartas partes de éste, está constituida por agua, está en forma de  mares, ríos y lagos. Ningún ser vivo puede prescindir del agua por ello esta relación marca las posibilidades de vida que tenemos como especie humana ya que constituye el 70% de composición de todos los seres vivos.</w:t>
      </w:r>
      <w:r>
        <w:rPr>
          <w:rFonts w:ascii="Arial" w:hAnsi="Arial" w:cs="Arial"/>
          <w:color w:val="000000"/>
        </w:rPr>
        <w:t xml:space="preserve"> </w:t>
      </w:r>
      <w:r w:rsidRPr="00A34838">
        <w:rPr>
          <w:rFonts w:ascii="Arial" w:hAnsi="Arial" w:cs="Arial"/>
          <w:color w:val="000000"/>
        </w:rPr>
        <w:t>En México, una problemática radica en que</w:t>
      </w:r>
      <w:r>
        <w:rPr>
          <w:rFonts w:ascii="Arial" w:hAnsi="Arial" w:cs="Arial"/>
          <w:color w:val="000000"/>
        </w:rPr>
        <w:t xml:space="preserve"> se</w:t>
      </w:r>
      <w:r w:rsidRPr="00A34838">
        <w:rPr>
          <w:rFonts w:ascii="Arial" w:hAnsi="Arial" w:cs="Arial"/>
          <w:color w:val="000000"/>
        </w:rPr>
        <w:t xml:space="preserve"> presentan una contaminación alarmante en ríos, arroyos, lagunas y mares, esto se debe a la descarga incontrolada de aguas residuales sin tratamiento el cual contamina los recursos hídricos superficiales y subterráneos, propiciando la transmisión de enfermedades debido a la presencia de elementos químicos y bacteriológicos. Por ello, es necesario proponer alternativas de tratamientos de aguas residuales que implementen procesos actuales y versátiles. A través de la utilización de procesos que se pueden englobar en anaerobios, aerobios y mixtos estos involucran diversas técnicas</w:t>
      </w:r>
      <w:r w:rsidRPr="00A34838">
        <w:rPr>
          <w:rFonts w:ascii="Arial" w:hAnsi="Arial" w:cs="Arial"/>
          <w:color w:val="000000"/>
          <w:vertAlign w:val="superscript"/>
        </w:rPr>
        <w:t>2</w:t>
      </w:r>
      <w:r w:rsidRPr="00A34838">
        <w:rPr>
          <w:rFonts w:ascii="Arial" w:hAnsi="Arial" w:cs="Arial"/>
          <w:color w:val="000000"/>
        </w:rPr>
        <w:t xml:space="preserve">. </w:t>
      </w:r>
    </w:p>
    <w:p w:rsidR="00762B76" w:rsidRPr="00A34838" w:rsidRDefault="00762B76" w:rsidP="00762B76">
      <w:pPr>
        <w:ind w:firstLine="567"/>
        <w:jc w:val="both"/>
        <w:rPr>
          <w:rFonts w:ascii="Arial" w:hAnsi="Arial" w:cs="Arial"/>
          <w:color w:val="000000"/>
        </w:rPr>
      </w:pPr>
      <w:r w:rsidRPr="00A34838">
        <w:rPr>
          <w:rFonts w:ascii="Arial" w:hAnsi="Arial" w:cs="Arial"/>
          <w:color w:val="000000"/>
        </w:rPr>
        <w:t>En la ciudad de Córdoba, Ver</w:t>
      </w:r>
      <w:r>
        <w:rPr>
          <w:rFonts w:ascii="Arial" w:hAnsi="Arial" w:cs="Arial"/>
          <w:color w:val="000000"/>
        </w:rPr>
        <w:t>acruz</w:t>
      </w:r>
      <w:r w:rsidRPr="00A34838">
        <w:rPr>
          <w:rFonts w:ascii="Arial" w:hAnsi="Arial" w:cs="Arial"/>
          <w:color w:val="000000"/>
        </w:rPr>
        <w:t>, cuenta con una población estimada de 132</w:t>
      </w:r>
      <w:r>
        <w:rPr>
          <w:rFonts w:ascii="Arial" w:hAnsi="Arial" w:cs="Arial"/>
          <w:color w:val="000000"/>
        </w:rPr>
        <w:t>,</w:t>
      </w:r>
      <w:r w:rsidRPr="00A34838">
        <w:rPr>
          <w:rFonts w:ascii="Arial" w:hAnsi="Arial" w:cs="Arial"/>
          <w:color w:val="000000"/>
        </w:rPr>
        <w:t xml:space="preserve"> 091 habitantes</w:t>
      </w:r>
      <w:r>
        <w:rPr>
          <w:rFonts w:ascii="Arial" w:hAnsi="Arial" w:cs="Arial"/>
          <w:color w:val="000000"/>
        </w:rPr>
        <w:t>, l</w:t>
      </w:r>
      <w:r w:rsidRPr="00A34838">
        <w:rPr>
          <w:rFonts w:ascii="Arial" w:hAnsi="Arial" w:cs="Arial"/>
          <w:color w:val="000000"/>
        </w:rPr>
        <w:t>os ríos de esta ciudad presentan grandes problemáticas debido a la descarga de drenaje de la ciudad y la de los residuos sólidos en las riberas del rio, toda esta agua de ríos no presentan ningún tratamiento para reducir sus contaminantes y eliminar los agentes químicos más peligrosos para aumentar la calidad de vida  de esas familia y el futuro de las próximas generaciones</w:t>
      </w:r>
      <w:r w:rsidRPr="00A34838">
        <w:rPr>
          <w:rFonts w:ascii="Arial" w:hAnsi="Arial" w:cs="Arial"/>
          <w:color w:val="000000"/>
          <w:vertAlign w:val="superscript"/>
        </w:rPr>
        <w:t>3</w:t>
      </w:r>
      <w:r w:rsidRPr="00A34838">
        <w:rPr>
          <w:rFonts w:ascii="Arial" w:hAnsi="Arial" w:cs="Arial"/>
          <w:color w:val="000000"/>
        </w:rPr>
        <w:t>.</w:t>
      </w:r>
      <w:r>
        <w:rPr>
          <w:rFonts w:ascii="Arial" w:hAnsi="Arial" w:cs="Arial"/>
          <w:color w:val="000000"/>
        </w:rPr>
        <w:t xml:space="preserve"> </w:t>
      </w:r>
      <w:r w:rsidRPr="00A34838">
        <w:rPr>
          <w:rFonts w:ascii="Arial" w:hAnsi="Arial" w:cs="Arial"/>
          <w:color w:val="000000"/>
        </w:rPr>
        <w:t>Una de las técnicas</w:t>
      </w:r>
      <w:r>
        <w:rPr>
          <w:rFonts w:ascii="Arial" w:hAnsi="Arial" w:cs="Arial"/>
          <w:color w:val="000000"/>
        </w:rPr>
        <w:t xml:space="preserve"> para </w:t>
      </w:r>
      <w:r w:rsidRPr="00A34838">
        <w:rPr>
          <w:rFonts w:ascii="Arial" w:hAnsi="Arial" w:cs="Arial"/>
          <w:color w:val="000000"/>
        </w:rPr>
        <w:t>el tratamiento de aguas residuales</w:t>
      </w:r>
      <w:r>
        <w:rPr>
          <w:rFonts w:ascii="Arial" w:hAnsi="Arial" w:cs="Arial"/>
          <w:color w:val="000000"/>
        </w:rPr>
        <w:t xml:space="preserve"> alternativas </w:t>
      </w:r>
      <w:r w:rsidRPr="00A34838">
        <w:rPr>
          <w:rFonts w:ascii="Arial" w:hAnsi="Arial" w:cs="Arial"/>
          <w:color w:val="000000"/>
        </w:rPr>
        <w:t>es la electroquímica, está adquie</w:t>
      </w:r>
      <w:r>
        <w:rPr>
          <w:rFonts w:ascii="Arial" w:hAnsi="Arial" w:cs="Arial"/>
          <w:color w:val="000000"/>
        </w:rPr>
        <w:t>re</w:t>
      </w:r>
      <w:r w:rsidRPr="00A34838">
        <w:rPr>
          <w:rFonts w:ascii="Arial" w:hAnsi="Arial" w:cs="Arial"/>
          <w:color w:val="000000"/>
        </w:rPr>
        <w:t xml:space="preserve"> relevancia gracias a su bajo costo de instalación, mantenimiento y operación, fundamentándose en el flujo de corriente eléctrica a través de ánodos y cátodos para la remoción de metales y materia orgánica en el seno de las soluciones </w:t>
      </w:r>
      <w:r>
        <w:rPr>
          <w:rFonts w:ascii="Arial" w:hAnsi="Arial" w:cs="Arial"/>
          <w:color w:val="000000"/>
        </w:rPr>
        <w:t>propiciando</w:t>
      </w:r>
      <w:r w:rsidRPr="00A34838">
        <w:rPr>
          <w:rFonts w:ascii="Arial" w:hAnsi="Arial" w:cs="Arial"/>
          <w:color w:val="000000"/>
        </w:rPr>
        <w:t xml:space="preserve"> electrodeposición. </w:t>
      </w:r>
      <w:r>
        <w:rPr>
          <w:rFonts w:ascii="Arial" w:hAnsi="Arial" w:cs="Arial"/>
          <w:color w:val="000000"/>
        </w:rPr>
        <w:t xml:space="preserve">La </w:t>
      </w:r>
      <w:r w:rsidRPr="00A34838">
        <w:rPr>
          <w:rFonts w:ascii="Arial" w:hAnsi="Arial" w:cs="Arial"/>
          <w:color w:val="000000"/>
        </w:rPr>
        <w:t>presente</w:t>
      </w:r>
      <w:r>
        <w:rPr>
          <w:rFonts w:ascii="Arial" w:hAnsi="Arial" w:cs="Arial"/>
          <w:color w:val="000000"/>
        </w:rPr>
        <w:t xml:space="preserve"> investigación</w:t>
      </w:r>
      <w:r w:rsidRPr="00A34838">
        <w:rPr>
          <w:rFonts w:ascii="Arial" w:hAnsi="Arial" w:cs="Arial"/>
          <w:color w:val="000000"/>
        </w:rPr>
        <w:t xml:space="preserve"> tiene la finalidad implementar un proceso electroquímico para el tratamiento de aguas residuales  urbanas en la planta de Hidrosistemas en San Román en la ciudad de Córdoba,</w:t>
      </w:r>
      <w:r>
        <w:rPr>
          <w:rFonts w:ascii="Arial" w:hAnsi="Arial" w:cs="Arial"/>
          <w:color w:val="000000"/>
        </w:rPr>
        <w:t xml:space="preserve"> donde</w:t>
      </w:r>
      <w:r w:rsidRPr="00A34838">
        <w:rPr>
          <w:rFonts w:ascii="Arial" w:hAnsi="Arial" w:cs="Arial"/>
          <w:color w:val="000000"/>
        </w:rPr>
        <w:t xml:space="preserve"> se implementará un método electroquímico </w:t>
      </w:r>
      <w:r>
        <w:rPr>
          <w:rFonts w:ascii="Arial" w:hAnsi="Arial" w:cs="Arial"/>
          <w:color w:val="000000"/>
        </w:rPr>
        <w:t xml:space="preserve">empleando electrodos de aluminio que se conoce su eficacia para la degradación de grasas, detergente y aceites, además de electrodos de Hierro o Fierro eficaz para la degradación de metales y materia orgánica, al agua residual de esta </w:t>
      </w:r>
      <w:r w:rsidRPr="00FA1375">
        <w:rPr>
          <w:rFonts w:ascii="Arial" w:hAnsi="Arial" w:cs="Arial"/>
          <w:color w:val="000000"/>
        </w:rPr>
        <w:t>planta de tratamiento, al realizarán las pruebas electroquímicas y determinar que hasta un 35% de remoción de contaminantes del agua residual urbana.</w:t>
      </w:r>
    </w:p>
    <w:p w:rsidR="00762B76" w:rsidRPr="00A34838" w:rsidRDefault="00762B76" w:rsidP="00762B76"/>
    <w:p w:rsidR="00762B76" w:rsidRPr="00762B76" w:rsidRDefault="00762B76" w:rsidP="00762B76">
      <w:pPr>
        <w:pStyle w:val="Ttulo1"/>
        <w:keepLines w:val="0"/>
        <w:numPr>
          <w:ilvl w:val="0"/>
          <w:numId w:val="1"/>
        </w:numPr>
        <w:tabs>
          <w:tab w:val="clear" w:pos="432"/>
          <w:tab w:val="left" w:pos="0"/>
        </w:tabs>
        <w:spacing w:before="0" w:after="0" w:line="360" w:lineRule="auto"/>
        <w:ind w:left="0" w:firstLine="0"/>
        <w:rPr>
          <w:rFonts w:ascii="Arial" w:hAnsi="Arial" w:cs="Arial"/>
          <w:i/>
          <w:sz w:val="24"/>
          <w:szCs w:val="24"/>
        </w:rPr>
      </w:pPr>
      <w:bookmarkStart w:id="64" w:name="_Toc50031196"/>
      <w:r w:rsidRPr="00762B76">
        <w:rPr>
          <w:rFonts w:ascii="Arial" w:hAnsi="Arial" w:cs="Arial"/>
          <w:i/>
          <w:caps/>
          <w:sz w:val="24"/>
          <w:szCs w:val="24"/>
        </w:rPr>
        <w:lastRenderedPageBreak/>
        <w:t>3. C</w:t>
      </w:r>
      <w:r w:rsidRPr="00762B76">
        <w:rPr>
          <w:rFonts w:ascii="Arial" w:hAnsi="Arial" w:cs="Arial"/>
          <w:i/>
          <w:sz w:val="24"/>
          <w:szCs w:val="24"/>
        </w:rPr>
        <w:t>ondiciones experimentales</w:t>
      </w:r>
      <w:bookmarkEnd w:id="64"/>
    </w:p>
    <w:p w:rsidR="00762B76" w:rsidRPr="00A34838" w:rsidRDefault="00762B76" w:rsidP="00762B76">
      <w:pPr>
        <w:ind w:firstLine="567"/>
        <w:jc w:val="both"/>
        <w:rPr>
          <w:rFonts w:ascii="Arial" w:hAnsi="Arial" w:cs="Arial"/>
          <w:color w:val="000000"/>
        </w:rPr>
      </w:pPr>
      <w:r w:rsidRPr="00A34838">
        <w:rPr>
          <w:rFonts w:ascii="Arial" w:hAnsi="Arial" w:cs="Arial"/>
          <w:color w:val="000000"/>
        </w:rPr>
        <w:t xml:space="preserve">En la </w:t>
      </w:r>
      <w:r w:rsidRPr="00A34838">
        <w:rPr>
          <w:rFonts w:ascii="Arial" w:hAnsi="Arial" w:cs="Arial"/>
          <w:i/>
          <w:iCs/>
          <w:color w:val="000000"/>
        </w:rPr>
        <w:t>Figura 1</w:t>
      </w:r>
      <w:r w:rsidRPr="00A34838">
        <w:rPr>
          <w:rFonts w:ascii="Arial" w:hAnsi="Arial" w:cs="Arial"/>
          <w:color w:val="000000"/>
        </w:rPr>
        <w:t xml:space="preserve"> se presenta la metodología experimental del proceso electroquímico para disminuir los niveles contaminantes del agua residual urbana en la planta de tratamiento de la  Colonia San Román en la Ciudad de Córdoba</w:t>
      </w:r>
      <w:r>
        <w:rPr>
          <w:rFonts w:ascii="Arial" w:hAnsi="Arial" w:cs="Arial"/>
          <w:color w:val="000000"/>
        </w:rPr>
        <w:t>,</w:t>
      </w:r>
      <w:r w:rsidRPr="00A34838">
        <w:rPr>
          <w:rFonts w:ascii="Arial" w:hAnsi="Arial" w:cs="Arial"/>
          <w:color w:val="000000"/>
        </w:rPr>
        <w:t xml:space="preserve"> Veracruz, México</w:t>
      </w:r>
      <w:r>
        <w:rPr>
          <w:rFonts w:ascii="Arial" w:hAnsi="Arial" w:cs="Arial"/>
          <w:color w:val="000000"/>
        </w:rPr>
        <w:t>, primeramente se obtiene el agua residual, para posteriormente realizar el análisis preliminar y poder compararla con el agua tratada electroquímicamente, determinado la correlación que existe entre el tiempo de experimentación, el voltaje y la cantidad de solidos que se degrada, a través de un las tres horas de  experimentación.</w:t>
      </w:r>
    </w:p>
    <w:p w:rsidR="00762B76" w:rsidRPr="00A34838" w:rsidRDefault="00762B76" w:rsidP="00762B76">
      <w:pPr>
        <w:ind w:firstLine="567"/>
        <w:jc w:val="center"/>
        <w:rPr>
          <w:rFonts w:ascii="Arial" w:hAnsi="Arial" w:cs="Arial"/>
          <w:color w:val="000000"/>
        </w:rPr>
      </w:pPr>
      <w:r w:rsidRPr="00B721C7">
        <w:rPr>
          <w:rFonts w:ascii="Aril" w:hAnsi="Aril"/>
          <w:noProof/>
          <w:lang w:val="en-US"/>
        </w:rPr>
        <w:drawing>
          <wp:inline distT="0" distB="0" distL="0" distR="0" wp14:anchorId="177F236E" wp14:editId="037EF9FF">
            <wp:extent cx="2847975" cy="2905125"/>
            <wp:effectExtent l="0" t="0" r="9525" b="9525"/>
            <wp:docPr id="1674859486" name="Imagen 167485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47975" cy="2905125"/>
                    </a:xfrm>
                    <a:prstGeom prst="rect">
                      <a:avLst/>
                    </a:prstGeom>
                    <a:noFill/>
                    <a:ln>
                      <a:noFill/>
                    </a:ln>
                  </pic:spPr>
                </pic:pic>
              </a:graphicData>
            </a:graphic>
          </wp:inline>
        </w:drawing>
      </w:r>
    </w:p>
    <w:p w:rsidR="00762B76" w:rsidRDefault="00762B76" w:rsidP="00762B76">
      <w:pPr>
        <w:ind w:firstLine="567"/>
        <w:jc w:val="center"/>
        <w:rPr>
          <w:rFonts w:ascii="Arial" w:hAnsi="Arial" w:cs="Arial"/>
          <w:bCs/>
          <w:i/>
          <w:sz w:val="20"/>
          <w:szCs w:val="20"/>
        </w:rPr>
      </w:pPr>
      <w:r w:rsidRPr="00A34838">
        <w:rPr>
          <w:rFonts w:ascii="Arial" w:hAnsi="Arial" w:cs="Arial"/>
          <w:bCs/>
          <w:i/>
          <w:sz w:val="20"/>
          <w:szCs w:val="20"/>
        </w:rPr>
        <w:t>Figura 1. Metodología del tratamiento electroquímico del agua residual urbana</w:t>
      </w:r>
    </w:p>
    <w:p w:rsidR="00762B76" w:rsidRPr="00A34838" w:rsidRDefault="00762B76" w:rsidP="00762B76">
      <w:pPr>
        <w:spacing w:line="360" w:lineRule="auto"/>
        <w:jc w:val="both"/>
        <w:rPr>
          <w:rFonts w:ascii="Arial" w:hAnsi="Arial" w:cs="Arial"/>
          <w:i/>
          <w:color w:val="000000"/>
        </w:rPr>
      </w:pPr>
      <w:r w:rsidRPr="00A34838">
        <w:rPr>
          <w:rFonts w:ascii="Arial" w:hAnsi="Arial" w:cs="Arial"/>
          <w:i/>
          <w:color w:val="000000"/>
        </w:rPr>
        <w:t>3.1 Análisis preliminares</w:t>
      </w:r>
    </w:p>
    <w:p w:rsidR="00762B76" w:rsidRPr="00A34838" w:rsidRDefault="00762B76" w:rsidP="00762B76">
      <w:pPr>
        <w:ind w:firstLine="567"/>
        <w:jc w:val="both"/>
        <w:rPr>
          <w:rFonts w:ascii="Arial" w:hAnsi="Arial" w:cs="Arial"/>
          <w:color w:val="000000"/>
        </w:rPr>
      </w:pPr>
      <w:r w:rsidRPr="00A34838">
        <w:rPr>
          <w:rFonts w:ascii="Arial" w:hAnsi="Arial" w:cs="Arial"/>
          <w:color w:val="000000"/>
        </w:rPr>
        <w:t xml:space="preserve">Estos se </w:t>
      </w:r>
      <w:r>
        <w:rPr>
          <w:rFonts w:ascii="Arial" w:hAnsi="Arial" w:cs="Arial"/>
          <w:color w:val="000000"/>
        </w:rPr>
        <w:t xml:space="preserve">realizar para tener la certeza de que </w:t>
      </w:r>
      <w:r w:rsidRPr="00A34838">
        <w:rPr>
          <w:rFonts w:ascii="Arial" w:hAnsi="Arial" w:cs="Arial"/>
          <w:color w:val="000000"/>
        </w:rPr>
        <w:t xml:space="preserve">este método electroquímico de electrocoagulación  </w:t>
      </w:r>
      <w:r>
        <w:rPr>
          <w:rFonts w:ascii="Arial" w:hAnsi="Arial" w:cs="Arial"/>
          <w:color w:val="000000"/>
        </w:rPr>
        <w:t>es</w:t>
      </w:r>
      <w:r w:rsidRPr="00A34838">
        <w:rPr>
          <w:rFonts w:ascii="Arial" w:hAnsi="Arial" w:cs="Arial"/>
          <w:color w:val="000000"/>
        </w:rPr>
        <w:t xml:space="preserve"> efectivo y </w:t>
      </w:r>
      <w:r>
        <w:rPr>
          <w:rFonts w:ascii="Arial" w:hAnsi="Arial" w:cs="Arial"/>
          <w:color w:val="000000"/>
        </w:rPr>
        <w:t xml:space="preserve">determinar el </w:t>
      </w:r>
      <w:r w:rsidRPr="00A34838">
        <w:rPr>
          <w:rFonts w:ascii="Arial" w:hAnsi="Arial" w:cs="Arial"/>
          <w:color w:val="000000"/>
        </w:rPr>
        <w:t xml:space="preserve">tiempo </w:t>
      </w:r>
      <w:r>
        <w:rPr>
          <w:rFonts w:ascii="Arial" w:hAnsi="Arial" w:cs="Arial"/>
          <w:color w:val="000000"/>
        </w:rPr>
        <w:t>donde se lleva a cabo la</w:t>
      </w:r>
      <w:r w:rsidRPr="00A34838">
        <w:rPr>
          <w:rFonts w:ascii="Arial" w:hAnsi="Arial" w:cs="Arial"/>
          <w:color w:val="000000"/>
        </w:rPr>
        <w:t xml:space="preserve"> reacción </w:t>
      </w:r>
      <w:r>
        <w:rPr>
          <w:rFonts w:ascii="Arial" w:hAnsi="Arial" w:cs="Arial"/>
          <w:color w:val="000000"/>
        </w:rPr>
        <w:t xml:space="preserve">de los </w:t>
      </w:r>
      <w:r w:rsidRPr="00A34838">
        <w:rPr>
          <w:rFonts w:ascii="Arial" w:hAnsi="Arial" w:cs="Arial"/>
          <w:color w:val="000000"/>
        </w:rPr>
        <w:t xml:space="preserve">electrodos </w:t>
      </w:r>
      <w:r>
        <w:rPr>
          <w:rFonts w:ascii="Arial" w:hAnsi="Arial" w:cs="Arial"/>
          <w:color w:val="000000"/>
        </w:rPr>
        <w:t xml:space="preserve">con el </w:t>
      </w:r>
      <w:r w:rsidRPr="00A34838">
        <w:rPr>
          <w:rFonts w:ascii="Arial" w:hAnsi="Arial" w:cs="Arial"/>
          <w:color w:val="000000"/>
        </w:rPr>
        <w:t>agua</w:t>
      </w:r>
      <w:r>
        <w:rPr>
          <w:rFonts w:ascii="Arial" w:hAnsi="Arial" w:cs="Arial"/>
          <w:color w:val="000000"/>
        </w:rPr>
        <w:t xml:space="preserve"> residual</w:t>
      </w:r>
      <w:r w:rsidRPr="00A34838">
        <w:rPr>
          <w:rFonts w:ascii="Arial" w:hAnsi="Arial" w:cs="Arial"/>
          <w:color w:val="000000"/>
        </w:rPr>
        <w:t xml:space="preserve"> aplicando 100 V durante 3 horas, pasado el tiempo se observa la claridad del agua y en el fondo se puede ver la acumulación de flóculos contaminantes sedimentados y en la parte superior las espumas que es el hidrógeno desprendido en el experimento.</w:t>
      </w:r>
    </w:p>
    <w:p w:rsidR="00762B76" w:rsidRPr="00A34838" w:rsidRDefault="00762B76" w:rsidP="00762B76">
      <w:pPr>
        <w:spacing w:line="360" w:lineRule="auto"/>
        <w:jc w:val="both"/>
        <w:rPr>
          <w:rFonts w:ascii="Arial" w:hAnsi="Arial" w:cs="Arial"/>
          <w:i/>
          <w:color w:val="000000"/>
        </w:rPr>
      </w:pPr>
    </w:p>
    <w:p w:rsidR="00762B76" w:rsidRPr="00A34838" w:rsidRDefault="00762B76" w:rsidP="00762B76">
      <w:pPr>
        <w:spacing w:line="360" w:lineRule="auto"/>
        <w:jc w:val="both"/>
        <w:rPr>
          <w:rFonts w:ascii="Arial" w:hAnsi="Arial" w:cs="Arial"/>
          <w:i/>
          <w:color w:val="000000"/>
        </w:rPr>
      </w:pPr>
      <w:r w:rsidRPr="00A34838">
        <w:rPr>
          <w:rFonts w:ascii="Arial" w:hAnsi="Arial" w:cs="Arial"/>
          <w:i/>
          <w:color w:val="000000"/>
        </w:rPr>
        <w:t>3.2. Ubicación de la toma de muestras de agua residual</w:t>
      </w:r>
    </w:p>
    <w:p w:rsidR="00762B76" w:rsidRPr="00A34838" w:rsidRDefault="00762B76" w:rsidP="00762B76">
      <w:pPr>
        <w:ind w:firstLine="567"/>
        <w:jc w:val="both"/>
        <w:rPr>
          <w:rFonts w:ascii="Arial" w:hAnsi="Arial" w:cs="Arial"/>
          <w:color w:val="000000"/>
        </w:rPr>
      </w:pPr>
      <w:r>
        <w:rPr>
          <w:rFonts w:ascii="Arial" w:hAnsi="Arial" w:cs="Arial"/>
          <w:color w:val="000000"/>
        </w:rPr>
        <w:t>La muestras son tomas e</w:t>
      </w:r>
      <w:r w:rsidRPr="00A34838">
        <w:rPr>
          <w:rFonts w:ascii="Arial" w:hAnsi="Arial" w:cs="Arial"/>
          <w:color w:val="000000"/>
        </w:rPr>
        <w:t xml:space="preserve">n la colonia de San Román de la ciudad de Córdoba, Veracruz para realizar los análisis pertinentes. En la </w:t>
      </w:r>
      <w:r w:rsidRPr="00A34838">
        <w:rPr>
          <w:rFonts w:ascii="Arial" w:hAnsi="Arial" w:cs="Arial"/>
          <w:i/>
          <w:iCs/>
          <w:color w:val="000000"/>
        </w:rPr>
        <w:t>Figura 2(a)</w:t>
      </w:r>
      <w:r w:rsidRPr="00A34838">
        <w:rPr>
          <w:rFonts w:ascii="Arial" w:hAnsi="Arial" w:cs="Arial"/>
          <w:color w:val="000000"/>
        </w:rPr>
        <w:t xml:space="preserve"> se muestra el mapa vía satelital </w:t>
      </w:r>
      <w:r>
        <w:rPr>
          <w:rFonts w:ascii="Arial" w:hAnsi="Arial" w:cs="Arial"/>
          <w:color w:val="000000"/>
        </w:rPr>
        <w:t xml:space="preserve">de </w:t>
      </w:r>
      <w:r w:rsidRPr="00A34838">
        <w:rPr>
          <w:rFonts w:ascii="Arial" w:hAnsi="Arial" w:cs="Arial"/>
          <w:color w:val="000000"/>
        </w:rPr>
        <w:t xml:space="preserve">la planta </w:t>
      </w:r>
      <w:r>
        <w:rPr>
          <w:rFonts w:ascii="Arial" w:hAnsi="Arial" w:cs="Arial"/>
          <w:color w:val="000000"/>
        </w:rPr>
        <w:t xml:space="preserve">esta </w:t>
      </w:r>
      <w:r w:rsidRPr="00A34838">
        <w:rPr>
          <w:rFonts w:ascii="Arial" w:hAnsi="Arial" w:cs="Arial"/>
          <w:color w:val="000000"/>
        </w:rPr>
        <w:t xml:space="preserve">se encuentra sobre la Av. Santa Rosa detrás de la iglesia Espíritu Santo y en la </w:t>
      </w:r>
      <w:r w:rsidRPr="00A34838">
        <w:rPr>
          <w:rFonts w:ascii="Arial" w:hAnsi="Arial" w:cs="Arial"/>
          <w:i/>
          <w:iCs/>
          <w:color w:val="000000"/>
        </w:rPr>
        <w:t>Figura 2(b)</w:t>
      </w:r>
      <w:r w:rsidRPr="00A34838">
        <w:rPr>
          <w:rFonts w:ascii="Arial" w:hAnsi="Arial" w:cs="Arial"/>
          <w:color w:val="000000"/>
        </w:rPr>
        <w:t xml:space="preserve"> se </w:t>
      </w:r>
      <w:r>
        <w:rPr>
          <w:rFonts w:ascii="Arial" w:hAnsi="Arial" w:cs="Arial"/>
          <w:color w:val="000000"/>
        </w:rPr>
        <w:t xml:space="preserve">visualiza </w:t>
      </w:r>
      <w:r w:rsidRPr="00A34838">
        <w:rPr>
          <w:rFonts w:ascii="Arial" w:hAnsi="Arial" w:cs="Arial"/>
          <w:color w:val="000000"/>
        </w:rPr>
        <w:t>la planta</w:t>
      </w:r>
      <w:r>
        <w:rPr>
          <w:rFonts w:ascii="Arial" w:hAnsi="Arial" w:cs="Arial"/>
          <w:color w:val="000000"/>
        </w:rPr>
        <w:t xml:space="preserve"> en condiciones reales</w:t>
      </w:r>
      <w:r w:rsidRPr="00A34838">
        <w:rPr>
          <w:rFonts w:ascii="Arial" w:hAnsi="Arial" w:cs="Arial"/>
          <w:color w:val="000000"/>
        </w:rPr>
        <w:t>.</w:t>
      </w:r>
    </w:p>
    <w:p w:rsidR="00762B76" w:rsidRPr="00A34838" w:rsidRDefault="00762B76" w:rsidP="00762B76">
      <w:pPr>
        <w:ind w:firstLine="567"/>
        <w:jc w:val="center"/>
      </w:pPr>
      <w:r w:rsidRPr="00A34838">
        <w:rPr>
          <w:rFonts w:ascii="Arial" w:hAnsi="Arial" w:cs="Arial"/>
          <w:color w:val="000000"/>
        </w:rPr>
        <w:lastRenderedPageBreak/>
        <w:t xml:space="preserve"> </w:t>
      </w:r>
      <w:r w:rsidRPr="00A34838">
        <w:rPr>
          <w:noProof/>
          <w:lang w:val="en-US"/>
        </w:rPr>
        <w:drawing>
          <wp:inline distT="0" distB="0" distL="0" distR="0" wp14:anchorId="3949669B" wp14:editId="4FF22046">
            <wp:extent cx="2238375" cy="1295400"/>
            <wp:effectExtent l="0" t="0" r="9525" b="0"/>
            <wp:docPr id="1674859485" name="Imagen 167485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3">
                      <a:extLst>
                        <a:ext uri="{28A0092B-C50C-407E-A947-70E740481C1C}">
                          <a14:useLocalDpi xmlns:a14="http://schemas.microsoft.com/office/drawing/2010/main" val="0"/>
                        </a:ext>
                      </a:extLst>
                    </a:blip>
                    <a:srcRect r="37720"/>
                    <a:stretch>
                      <a:fillRect/>
                    </a:stretch>
                  </pic:blipFill>
                  <pic:spPr bwMode="auto">
                    <a:xfrm>
                      <a:off x="0" y="0"/>
                      <a:ext cx="2238375" cy="1295400"/>
                    </a:xfrm>
                    <a:prstGeom prst="rect">
                      <a:avLst/>
                    </a:prstGeom>
                    <a:noFill/>
                    <a:ln>
                      <a:noFill/>
                    </a:ln>
                  </pic:spPr>
                </pic:pic>
              </a:graphicData>
            </a:graphic>
          </wp:inline>
        </w:drawing>
      </w:r>
      <w:r>
        <w:t xml:space="preserve">                    </w:t>
      </w:r>
      <w:r w:rsidRPr="00A34838">
        <w:rPr>
          <w:rFonts w:ascii="Arial" w:hAnsi="Arial" w:cs="Arial"/>
          <w:color w:val="000000"/>
        </w:rPr>
        <w:t xml:space="preserve">   </w:t>
      </w:r>
      <w:r w:rsidRPr="00A34838">
        <w:rPr>
          <w:noProof/>
          <w:lang w:val="en-US"/>
        </w:rPr>
        <w:drawing>
          <wp:inline distT="0" distB="0" distL="0" distR="0" wp14:anchorId="16CD00B6" wp14:editId="51A11371">
            <wp:extent cx="2276475" cy="1276350"/>
            <wp:effectExtent l="0" t="0" r="9525" b="0"/>
            <wp:docPr id="1674859484" name="Imagen 1674859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76475" cy="1276350"/>
                    </a:xfrm>
                    <a:prstGeom prst="rect">
                      <a:avLst/>
                    </a:prstGeom>
                    <a:noFill/>
                    <a:ln>
                      <a:noFill/>
                    </a:ln>
                  </pic:spPr>
                </pic:pic>
              </a:graphicData>
            </a:graphic>
          </wp:inline>
        </w:drawing>
      </w:r>
    </w:p>
    <w:p w:rsidR="00762B76" w:rsidRPr="00A34838" w:rsidRDefault="00762B76" w:rsidP="00762B76">
      <w:pPr>
        <w:ind w:left="927"/>
        <w:rPr>
          <w:rFonts w:ascii="Arial" w:hAnsi="Arial" w:cs="Arial"/>
          <w:color w:val="000000"/>
        </w:rPr>
      </w:pPr>
      <w:r w:rsidRPr="00A34838">
        <w:t xml:space="preserve">                        (a)   </w:t>
      </w:r>
      <w:r>
        <w:t xml:space="preserve">          </w:t>
      </w:r>
      <w:r w:rsidRPr="00A34838">
        <w:t xml:space="preserve">                        </w:t>
      </w:r>
      <w:r>
        <w:t xml:space="preserve">                   </w:t>
      </w:r>
      <w:r w:rsidRPr="00A34838">
        <w:t xml:space="preserve">                        (b)</w:t>
      </w:r>
    </w:p>
    <w:p w:rsidR="00762B76" w:rsidRPr="00A34838" w:rsidRDefault="00762B76" w:rsidP="00762B76">
      <w:pPr>
        <w:ind w:firstLine="567"/>
        <w:jc w:val="center"/>
        <w:rPr>
          <w:rFonts w:ascii="Arial" w:hAnsi="Arial" w:cs="Arial"/>
          <w:bCs/>
          <w:i/>
          <w:sz w:val="20"/>
          <w:szCs w:val="20"/>
        </w:rPr>
      </w:pPr>
      <w:r w:rsidRPr="00A34838">
        <w:rPr>
          <w:rFonts w:ascii="Arial" w:hAnsi="Arial" w:cs="Arial"/>
          <w:bCs/>
          <w:i/>
          <w:sz w:val="20"/>
          <w:szCs w:val="20"/>
        </w:rPr>
        <w:t>Figura 2. (a) Mapa de localización de la planta y (b) Planta de tratamientos de agua residual</w:t>
      </w:r>
    </w:p>
    <w:p w:rsidR="00762B76" w:rsidRPr="00A34838" w:rsidRDefault="00762B76" w:rsidP="00762B76">
      <w:pPr>
        <w:spacing w:line="360" w:lineRule="auto"/>
        <w:jc w:val="both"/>
        <w:rPr>
          <w:rFonts w:ascii="Arial" w:hAnsi="Arial" w:cs="Arial"/>
          <w:i/>
          <w:color w:val="000000"/>
        </w:rPr>
      </w:pPr>
    </w:p>
    <w:p w:rsidR="00762B76" w:rsidRPr="00A34838" w:rsidRDefault="00762B76" w:rsidP="00762B76">
      <w:pPr>
        <w:spacing w:line="360" w:lineRule="auto"/>
        <w:jc w:val="both"/>
        <w:rPr>
          <w:rFonts w:ascii="Arial" w:hAnsi="Arial" w:cs="Arial"/>
          <w:i/>
          <w:color w:val="000000"/>
        </w:rPr>
      </w:pPr>
      <w:r w:rsidRPr="00A34838">
        <w:rPr>
          <w:rFonts w:ascii="Arial" w:hAnsi="Arial" w:cs="Arial"/>
          <w:i/>
          <w:color w:val="000000"/>
        </w:rPr>
        <w:t>3.3 Sistema electroquímico</w:t>
      </w:r>
    </w:p>
    <w:p w:rsidR="00762B76" w:rsidRPr="00A34838" w:rsidRDefault="00762B76" w:rsidP="00762B76">
      <w:pPr>
        <w:ind w:firstLine="567"/>
        <w:jc w:val="both"/>
        <w:rPr>
          <w:rFonts w:ascii="Arial" w:hAnsi="Arial" w:cs="Arial"/>
          <w:color w:val="000000"/>
        </w:rPr>
      </w:pPr>
      <w:r w:rsidRPr="00A34838">
        <w:rPr>
          <w:rFonts w:ascii="Arial" w:hAnsi="Arial" w:cs="Arial"/>
          <w:color w:val="000000"/>
        </w:rPr>
        <w:t>El reactor fue construido con polietileno a escala 1:1000 el cual fue dividida en dos partes para manejar diferentes voltajes en cada parte del reactor. El diseño corresponde a una similitud de los tanques de Imhoff de</w:t>
      </w:r>
      <w:r>
        <w:rPr>
          <w:rFonts w:ascii="Arial" w:hAnsi="Arial" w:cs="Arial"/>
          <w:color w:val="000000"/>
        </w:rPr>
        <w:t xml:space="preserve"> </w:t>
      </w:r>
      <w:r w:rsidRPr="00A34838">
        <w:rPr>
          <w:rFonts w:ascii="Arial" w:hAnsi="Arial" w:cs="Arial"/>
          <w:color w:val="000000"/>
        </w:rPr>
        <w:t xml:space="preserve">la planta de tratamiento de San Román en la Ciudad de Córdoba, ya que son tanques alargados con cierta profundidad que cuenta  la planta tratamientos de agua de Hidrosistemas de Córdoba, Veracruz. Se utilizó un cantidad de tres litros de agua residual urbana de dicha planta para cada prueba, las cuales se llevaron a cabo en un tiempo de tres horas, tomando una muestra de agua residual cada hora para realizar los análisis pertinentes del degradado de solidos disueltos, pH, dureza total, aceites y grasas. En la </w:t>
      </w:r>
      <w:r w:rsidRPr="00A34838">
        <w:rPr>
          <w:rFonts w:ascii="Arial" w:hAnsi="Arial" w:cs="Arial"/>
          <w:i/>
          <w:iCs/>
          <w:color w:val="000000"/>
        </w:rPr>
        <w:t>Figura 3</w:t>
      </w:r>
      <w:r w:rsidRPr="00A34838">
        <w:rPr>
          <w:rFonts w:ascii="Arial" w:hAnsi="Arial" w:cs="Arial"/>
          <w:color w:val="000000"/>
        </w:rPr>
        <w:t xml:space="preserve"> se presenta el diagrama del reactor electroquímico que se diseñó</w:t>
      </w:r>
      <w:r>
        <w:rPr>
          <w:rFonts w:ascii="Arial" w:hAnsi="Arial" w:cs="Arial"/>
          <w:color w:val="000000"/>
        </w:rPr>
        <w:t>, con una distancia de 10.5 cm entre electrodos</w:t>
      </w:r>
      <w:r w:rsidRPr="00A34838">
        <w:rPr>
          <w:rFonts w:ascii="Arial" w:hAnsi="Arial" w:cs="Arial"/>
          <w:color w:val="000000"/>
        </w:rPr>
        <w:t>.</w:t>
      </w:r>
    </w:p>
    <w:p w:rsidR="00762B76" w:rsidRPr="00A34838" w:rsidRDefault="00762B76" w:rsidP="00762B76">
      <w:pPr>
        <w:ind w:firstLine="567"/>
        <w:jc w:val="center"/>
        <w:rPr>
          <w:rFonts w:ascii="Arial" w:hAnsi="Arial" w:cs="Arial"/>
          <w:color w:val="000000"/>
        </w:rPr>
      </w:pPr>
      <w:r w:rsidRPr="00A34838">
        <w:rPr>
          <w:rFonts w:ascii="Arial" w:hAnsi="Arial" w:cs="Arial"/>
          <w:noProof/>
          <w:color w:val="000000"/>
          <w:lang w:val="en-US"/>
        </w:rPr>
        <w:drawing>
          <wp:inline distT="0" distB="0" distL="0" distR="0" wp14:anchorId="2B73C146" wp14:editId="12CA7180">
            <wp:extent cx="2771775" cy="1476375"/>
            <wp:effectExtent l="0" t="0" r="9525" b="9525"/>
            <wp:docPr id="1674859483" name="Imagen 1674859483" descr="C:\Users\davidosiris\Pictures\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C:\Users\davidosiris\Pictures\Sin título.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71775" cy="1476375"/>
                    </a:xfrm>
                    <a:prstGeom prst="rect">
                      <a:avLst/>
                    </a:prstGeom>
                    <a:noFill/>
                    <a:ln>
                      <a:noFill/>
                    </a:ln>
                  </pic:spPr>
                </pic:pic>
              </a:graphicData>
            </a:graphic>
          </wp:inline>
        </w:drawing>
      </w:r>
    </w:p>
    <w:p w:rsidR="00762B76" w:rsidRPr="00A34838" w:rsidRDefault="00762B76" w:rsidP="00762B76">
      <w:pPr>
        <w:ind w:firstLine="567"/>
        <w:jc w:val="center"/>
        <w:rPr>
          <w:rFonts w:ascii="Arial" w:hAnsi="Arial" w:cs="Arial"/>
          <w:bCs/>
          <w:i/>
          <w:sz w:val="20"/>
          <w:szCs w:val="20"/>
        </w:rPr>
      </w:pPr>
      <w:bookmarkStart w:id="65" w:name="_Toc483334920"/>
      <w:r w:rsidRPr="00A34838">
        <w:rPr>
          <w:rFonts w:ascii="Arial" w:hAnsi="Arial" w:cs="Arial"/>
          <w:bCs/>
          <w:i/>
          <w:sz w:val="20"/>
          <w:szCs w:val="20"/>
        </w:rPr>
        <w:t>Figura 3. Distribución del reactor electroquímico diseñado</w:t>
      </w:r>
      <w:bookmarkEnd w:id="65"/>
    </w:p>
    <w:p w:rsidR="00762B76" w:rsidRPr="00A34838" w:rsidRDefault="00762B76" w:rsidP="00762B76">
      <w:pPr>
        <w:spacing w:line="360" w:lineRule="auto"/>
        <w:jc w:val="both"/>
        <w:rPr>
          <w:rFonts w:ascii="Arial" w:hAnsi="Arial" w:cs="Arial"/>
          <w:i/>
          <w:color w:val="000000"/>
        </w:rPr>
      </w:pPr>
      <w:r w:rsidRPr="00A34838">
        <w:rPr>
          <w:rFonts w:ascii="Arial" w:hAnsi="Arial" w:cs="Arial"/>
          <w:i/>
          <w:color w:val="000000"/>
        </w:rPr>
        <w:t xml:space="preserve">3.4. Caracterización del reactor </w:t>
      </w:r>
    </w:p>
    <w:p w:rsidR="00762B76" w:rsidRPr="00A34838" w:rsidRDefault="00762B76" w:rsidP="00762B76">
      <w:pPr>
        <w:ind w:firstLine="567"/>
        <w:jc w:val="both"/>
        <w:rPr>
          <w:rFonts w:ascii="Arial" w:hAnsi="Arial" w:cs="Arial"/>
        </w:rPr>
      </w:pPr>
      <w:r w:rsidRPr="00A34838">
        <w:rPr>
          <w:rFonts w:ascii="Arial" w:hAnsi="Arial" w:cs="Arial"/>
        </w:rPr>
        <w:t xml:space="preserve">Se realizan </w:t>
      </w:r>
      <w:r>
        <w:rPr>
          <w:rFonts w:ascii="Arial" w:hAnsi="Arial" w:cs="Arial"/>
        </w:rPr>
        <w:t>cinco</w:t>
      </w:r>
      <w:r w:rsidRPr="00A34838">
        <w:rPr>
          <w:rFonts w:ascii="Arial" w:hAnsi="Arial" w:cs="Arial"/>
        </w:rPr>
        <w:t xml:space="preserve"> pruebas con diferencia de voltaje los cuales fueron 1V, 5V, 50V, 80V y 100V durante un </w:t>
      </w:r>
      <w:r>
        <w:rPr>
          <w:rFonts w:ascii="Arial" w:hAnsi="Arial" w:cs="Arial"/>
        </w:rPr>
        <w:t xml:space="preserve">lapso </w:t>
      </w:r>
      <w:r w:rsidRPr="00A34838">
        <w:rPr>
          <w:rFonts w:ascii="Arial" w:hAnsi="Arial" w:cs="Arial"/>
        </w:rPr>
        <w:t>de tres horas,</w:t>
      </w:r>
      <w:r>
        <w:rPr>
          <w:rFonts w:ascii="Arial" w:hAnsi="Arial" w:cs="Arial"/>
        </w:rPr>
        <w:t xml:space="preserve"> </w:t>
      </w:r>
      <w:r w:rsidRPr="00A34838">
        <w:rPr>
          <w:rFonts w:ascii="Arial" w:hAnsi="Arial" w:cs="Arial"/>
        </w:rPr>
        <w:t>tomando muestras</w:t>
      </w:r>
      <w:r>
        <w:rPr>
          <w:rFonts w:ascii="Arial" w:hAnsi="Arial" w:cs="Arial"/>
        </w:rPr>
        <w:t xml:space="preserve"> cada</w:t>
      </w:r>
      <w:r w:rsidRPr="00A34838">
        <w:rPr>
          <w:rFonts w:ascii="Arial" w:hAnsi="Arial" w:cs="Arial"/>
        </w:rPr>
        <w:t xml:space="preserve"> hora, en cada experimento </w:t>
      </w:r>
      <w:r>
        <w:rPr>
          <w:rFonts w:ascii="Arial" w:hAnsi="Arial" w:cs="Arial"/>
        </w:rPr>
        <w:t xml:space="preserve">se </w:t>
      </w:r>
      <w:r w:rsidRPr="00A34838">
        <w:rPr>
          <w:rFonts w:ascii="Arial" w:hAnsi="Arial" w:cs="Arial"/>
        </w:rPr>
        <w:t>mant</w:t>
      </w:r>
      <w:r>
        <w:rPr>
          <w:rFonts w:ascii="Arial" w:hAnsi="Arial" w:cs="Arial"/>
        </w:rPr>
        <w:t>i</w:t>
      </w:r>
      <w:r w:rsidRPr="00A34838">
        <w:rPr>
          <w:rFonts w:ascii="Arial" w:hAnsi="Arial" w:cs="Arial"/>
        </w:rPr>
        <w:t>ene estable el potencial.</w:t>
      </w:r>
    </w:p>
    <w:p w:rsidR="00762B76" w:rsidRPr="00A34838" w:rsidRDefault="00762B76" w:rsidP="00762B76">
      <w:pPr>
        <w:ind w:firstLine="567"/>
        <w:jc w:val="both"/>
        <w:rPr>
          <w:rFonts w:ascii="Arial" w:hAnsi="Arial" w:cs="Arial"/>
        </w:rPr>
      </w:pPr>
    </w:p>
    <w:p w:rsidR="00762B76" w:rsidRPr="00A34838" w:rsidRDefault="00762B76" w:rsidP="00762B76">
      <w:pPr>
        <w:spacing w:line="360" w:lineRule="auto"/>
        <w:jc w:val="both"/>
        <w:rPr>
          <w:rFonts w:ascii="Arial" w:hAnsi="Arial" w:cs="Arial"/>
          <w:i/>
          <w:color w:val="000000"/>
        </w:rPr>
      </w:pPr>
      <w:bookmarkStart w:id="66" w:name="_Toc483335025"/>
      <w:r w:rsidRPr="00A34838">
        <w:rPr>
          <w:rFonts w:ascii="Arial" w:hAnsi="Arial" w:cs="Arial"/>
          <w:i/>
          <w:color w:val="000000"/>
        </w:rPr>
        <w:t>3.5. Cálculo del tiempo de residencia</w:t>
      </w:r>
      <w:bookmarkEnd w:id="66"/>
    </w:p>
    <w:p w:rsidR="00762B76" w:rsidRPr="00A34838" w:rsidRDefault="00762B76" w:rsidP="00762B76">
      <w:pPr>
        <w:ind w:firstLine="567"/>
        <w:jc w:val="both"/>
        <w:rPr>
          <w:rFonts w:ascii="Arial" w:hAnsi="Arial" w:cs="Arial"/>
        </w:rPr>
      </w:pPr>
      <w:r w:rsidRPr="00A34838">
        <w:rPr>
          <w:rFonts w:ascii="Arial" w:hAnsi="Arial" w:cs="Arial"/>
        </w:rPr>
        <w:lastRenderedPageBreak/>
        <w:t xml:space="preserve">Se </w:t>
      </w:r>
      <w:r>
        <w:rPr>
          <w:rFonts w:ascii="Arial" w:hAnsi="Arial" w:cs="Arial"/>
        </w:rPr>
        <w:t xml:space="preserve">realiza </w:t>
      </w:r>
      <w:r w:rsidRPr="00A34838">
        <w:rPr>
          <w:rFonts w:ascii="Arial" w:hAnsi="Arial" w:cs="Arial"/>
        </w:rPr>
        <w:t xml:space="preserve">el cálculo de este parámetro </w:t>
      </w:r>
      <w:r>
        <w:rPr>
          <w:rFonts w:ascii="Arial" w:hAnsi="Arial" w:cs="Arial"/>
        </w:rPr>
        <w:t xml:space="preserve">para </w:t>
      </w:r>
      <w:r w:rsidRPr="00A34838">
        <w:rPr>
          <w:rFonts w:ascii="Arial" w:hAnsi="Arial" w:cs="Arial"/>
        </w:rPr>
        <w:t xml:space="preserve">obtener el </w:t>
      </w:r>
      <w:r>
        <w:rPr>
          <w:rFonts w:ascii="Arial" w:hAnsi="Arial" w:cs="Arial"/>
        </w:rPr>
        <w:t>T</w:t>
      </w:r>
      <w:r w:rsidRPr="00A34838">
        <w:rPr>
          <w:rFonts w:ascii="Arial" w:hAnsi="Arial" w:cs="Arial"/>
        </w:rPr>
        <w:t xml:space="preserve">iempo en que la sustancia reacciona en el reactor y obtener mejores resultados en la degradación de los agentes contaminantes del agua residual urbana. Mediante la aplicación de la ecuación 1 donde tiempo de residencia </w:t>
      </w:r>
      <m:oMath>
        <m:sSub>
          <m:sSubPr>
            <m:ctrlPr>
              <w:rPr>
                <w:rFonts w:ascii="Cambria Math" w:hAnsi="Cambria Math"/>
                <w:i/>
                <w:sz w:val="22"/>
              </w:rPr>
            </m:ctrlPr>
          </m:sSubPr>
          <m:e>
            <m:r>
              <w:rPr>
                <w:rFonts w:ascii="Cambria Math" w:hAnsi="Cambria Math"/>
                <w:sz w:val="22"/>
              </w:rPr>
              <m:t>T</m:t>
            </m:r>
          </m:e>
          <m:sub>
            <m:r>
              <w:rPr>
                <w:rFonts w:ascii="Cambria Math" w:hAnsi="Cambria Math"/>
                <w:sz w:val="22"/>
              </w:rPr>
              <m:t>R</m:t>
            </m:r>
          </m:sub>
        </m:sSub>
      </m:oMath>
      <w:r w:rsidRPr="00A34838">
        <w:rPr>
          <w:rFonts w:ascii="Arial" w:hAnsi="Arial" w:cs="Arial"/>
        </w:rPr>
        <w:t xml:space="preserve">, volumen de reactor </w:t>
      </w:r>
      <m:oMath>
        <m:sSub>
          <m:sSubPr>
            <m:ctrlPr>
              <w:rPr>
                <w:rFonts w:ascii="Cambria Math" w:hAnsi="Cambria Math"/>
                <w:i/>
                <w:sz w:val="22"/>
              </w:rPr>
            </m:ctrlPr>
          </m:sSubPr>
          <m:e>
            <m:r>
              <w:rPr>
                <w:rFonts w:ascii="Cambria Math" w:hAnsi="Cambria Math"/>
                <w:sz w:val="22"/>
              </w:rPr>
              <m:t>V</m:t>
            </m:r>
          </m:e>
          <m:sub>
            <m:r>
              <w:rPr>
                <w:rFonts w:ascii="Cambria Math" w:hAnsi="Cambria Math"/>
                <w:sz w:val="22"/>
              </w:rPr>
              <m:t>R</m:t>
            </m:r>
          </m:sub>
        </m:sSub>
      </m:oMath>
      <w:r w:rsidRPr="00A34838">
        <w:rPr>
          <w:rFonts w:ascii="Arial" w:hAnsi="Arial" w:cs="Arial"/>
        </w:rPr>
        <w:t xml:space="preserve">, caudal volumétrico </w:t>
      </w:r>
      <m:oMath>
        <m:sSub>
          <m:sSubPr>
            <m:ctrlPr>
              <w:rPr>
                <w:rFonts w:ascii="Cambria Math" w:hAnsi="Cambria Math"/>
                <w:i/>
                <w:sz w:val="22"/>
              </w:rPr>
            </m:ctrlPr>
          </m:sSubPr>
          <m:e>
            <m:r>
              <w:rPr>
                <w:rFonts w:ascii="Cambria Math" w:hAnsi="Cambria Math"/>
                <w:sz w:val="22"/>
              </w:rPr>
              <m:t>Q</m:t>
            </m:r>
          </m:e>
          <m:sub>
            <m:r>
              <w:rPr>
                <w:rFonts w:ascii="Cambria Math" w:hAnsi="Cambria Math"/>
                <w:sz w:val="22"/>
              </w:rPr>
              <m:t>V</m:t>
            </m:r>
          </m:sub>
        </m:sSub>
      </m:oMath>
      <w:r w:rsidRPr="00A34838">
        <w:rPr>
          <w:rFonts w:ascii="Arial" w:hAnsi="Arial" w:cs="Arial"/>
        </w:rPr>
        <w:t>.</w:t>
      </w:r>
    </w:p>
    <w:p w:rsidR="00762B76" w:rsidRPr="00A34838" w:rsidRDefault="00762B76" w:rsidP="00762B76">
      <w:pPr>
        <w:tabs>
          <w:tab w:val="left" w:pos="1683"/>
        </w:tabs>
        <w:jc w:val="center"/>
      </w:pPr>
      <w:r w:rsidRPr="00A34838">
        <w:t xml:space="preserve">                                                                  </w:t>
      </w:r>
      <m:oMath>
        <m:sSub>
          <m:sSubPr>
            <m:ctrlPr>
              <w:rPr>
                <w:rFonts w:ascii="Cambria Math" w:hAnsi="Cambria Math"/>
                <w:i/>
                <w:sz w:val="22"/>
              </w:rPr>
            </m:ctrlPr>
          </m:sSubPr>
          <m:e>
            <m:r>
              <w:rPr>
                <w:rFonts w:ascii="Cambria Math" w:hAnsi="Cambria Math"/>
                <w:sz w:val="22"/>
              </w:rPr>
              <m:t>T</m:t>
            </m:r>
          </m:e>
          <m:sub>
            <m:r>
              <w:rPr>
                <w:rFonts w:ascii="Cambria Math" w:hAnsi="Cambria Math"/>
                <w:sz w:val="22"/>
              </w:rPr>
              <m:t>R</m:t>
            </m:r>
          </m:sub>
        </m:sSub>
        <m:r>
          <w:rPr>
            <w:rFonts w:ascii="Cambria Math" w:hAnsi="Cambria Math"/>
            <w:sz w:val="22"/>
          </w:rPr>
          <m:t>=</m:t>
        </m:r>
        <m:f>
          <m:fPr>
            <m:ctrlPr>
              <w:rPr>
                <w:rFonts w:ascii="Cambria Math" w:hAnsi="Cambria Math"/>
                <w:i/>
                <w:sz w:val="22"/>
              </w:rPr>
            </m:ctrlPr>
          </m:fPr>
          <m:num>
            <m:sSub>
              <m:sSubPr>
                <m:ctrlPr>
                  <w:rPr>
                    <w:rFonts w:ascii="Cambria Math" w:hAnsi="Cambria Math"/>
                    <w:i/>
                    <w:sz w:val="22"/>
                  </w:rPr>
                </m:ctrlPr>
              </m:sSubPr>
              <m:e>
                <m:r>
                  <w:rPr>
                    <w:rFonts w:ascii="Cambria Math" w:hAnsi="Cambria Math"/>
                    <w:sz w:val="22"/>
                  </w:rPr>
                  <m:t>V</m:t>
                </m:r>
              </m:e>
              <m:sub>
                <m:r>
                  <w:rPr>
                    <w:rFonts w:ascii="Cambria Math" w:hAnsi="Cambria Math"/>
                    <w:sz w:val="22"/>
                  </w:rPr>
                  <m:t>R</m:t>
                </m:r>
              </m:sub>
            </m:sSub>
          </m:num>
          <m:den>
            <m:sSub>
              <m:sSubPr>
                <m:ctrlPr>
                  <w:rPr>
                    <w:rFonts w:ascii="Cambria Math" w:hAnsi="Cambria Math"/>
                    <w:i/>
                    <w:sz w:val="22"/>
                  </w:rPr>
                </m:ctrlPr>
              </m:sSubPr>
              <m:e>
                <m:r>
                  <w:rPr>
                    <w:rFonts w:ascii="Cambria Math" w:hAnsi="Cambria Math"/>
                    <w:sz w:val="22"/>
                  </w:rPr>
                  <m:t>Q</m:t>
                </m:r>
              </m:e>
              <m:sub>
                <m:r>
                  <w:rPr>
                    <w:rFonts w:ascii="Cambria Math" w:hAnsi="Cambria Math"/>
                    <w:sz w:val="22"/>
                  </w:rPr>
                  <m:t>V</m:t>
                </m:r>
              </m:sub>
            </m:sSub>
          </m:den>
        </m:f>
      </m:oMath>
      <w:r w:rsidRPr="00A34838">
        <w:t xml:space="preserve">                                                                (1)</w:t>
      </w:r>
    </w:p>
    <w:p w:rsidR="00762B76" w:rsidRPr="00A34838" w:rsidRDefault="00762B76" w:rsidP="00762B76">
      <w:pPr>
        <w:tabs>
          <w:tab w:val="left" w:pos="1683"/>
        </w:tabs>
      </w:pPr>
    </w:p>
    <w:p w:rsidR="00762B76" w:rsidRPr="00F8123E" w:rsidRDefault="00762B76" w:rsidP="00762B76">
      <w:pPr>
        <w:spacing w:line="360" w:lineRule="auto"/>
        <w:jc w:val="both"/>
        <w:rPr>
          <w:rFonts w:ascii="Arial" w:hAnsi="Arial" w:cs="Arial"/>
          <w:i/>
          <w:color w:val="000000"/>
        </w:rPr>
      </w:pPr>
      <w:bookmarkStart w:id="67" w:name="_Toc483335026"/>
      <w:r w:rsidRPr="00A34838">
        <w:rPr>
          <w:rFonts w:ascii="Arial" w:hAnsi="Arial" w:cs="Arial"/>
          <w:i/>
          <w:color w:val="000000"/>
        </w:rPr>
        <w:t>3.6</w:t>
      </w:r>
      <w:r w:rsidRPr="00F8123E">
        <w:rPr>
          <w:rFonts w:ascii="Arial" w:hAnsi="Arial" w:cs="Arial"/>
          <w:i/>
          <w:color w:val="000000"/>
        </w:rPr>
        <w:t>. Análisis fisicoquímico de las muestras de agua residual urbana</w:t>
      </w:r>
      <w:bookmarkEnd w:id="67"/>
      <w:r w:rsidRPr="00F8123E">
        <w:rPr>
          <w:rFonts w:ascii="Arial" w:hAnsi="Arial" w:cs="Arial"/>
          <w:i/>
          <w:color w:val="000000"/>
        </w:rPr>
        <w:t xml:space="preserve"> </w:t>
      </w:r>
    </w:p>
    <w:p w:rsidR="00762B76" w:rsidRPr="00A34838" w:rsidRDefault="00762B76" w:rsidP="00762B76">
      <w:pPr>
        <w:ind w:firstLine="567"/>
        <w:jc w:val="both"/>
        <w:rPr>
          <w:rFonts w:ascii="Arial" w:hAnsi="Arial" w:cs="Arial"/>
        </w:rPr>
      </w:pPr>
      <w:r w:rsidRPr="00F8123E">
        <w:rPr>
          <w:rFonts w:ascii="Arial" w:hAnsi="Arial" w:cs="Arial"/>
        </w:rPr>
        <w:t xml:space="preserve">Se realiza el análisis fisicoquímicos con forme a las normas mexicanas que se muestran en la </w:t>
      </w:r>
      <w:r w:rsidRPr="00F8123E">
        <w:rPr>
          <w:rFonts w:ascii="Arial" w:hAnsi="Arial" w:cs="Arial"/>
          <w:i/>
          <w:iCs/>
        </w:rPr>
        <w:t>Tabla 1</w:t>
      </w:r>
      <w:r w:rsidRPr="00F8123E">
        <w:rPr>
          <w:rFonts w:ascii="Arial" w:hAnsi="Arial" w:cs="Arial"/>
        </w:rPr>
        <w:t>, los cuales son: determinación de sólidos totales, sólidos suspendidos, pH, dureza de agua, aceites y grasas de forma inicial aplicar el tratamiento electroquímico y para obtener los resultados de la degradación a diferentes voltajes, comparar dichos resultados de degradación.</w:t>
      </w:r>
      <w:bookmarkStart w:id="68" w:name="_Toc483335027"/>
    </w:p>
    <w:p w:rsidR="00762B76" w:rsidRPr="00A34838" w:rsidRDefault="00762B76" w:rsidP="00762B76">
      <w:pPr>
        <w:ind w:firstLine="567"/>
        <w:jc w:val="both"/>
        <w:rPr>
          <w:rFonts w:ascii="Arial" w:hAnsi="Arial" w:cs="Arial"/>
        </w:rPr>
      </w:pPr>
    </w:p>
    <w:p w:rsidR="00762B76" w:rsidRPr="00A34838" w:rsidRDefault="00762B76" w:rsidP="00762B76">
      <w:pPr>
        <w:jc w:val="center"/>
        <w:rPr>
          <w:rFonts w:ascii="Arial" w:hAnsi="Arial" w:cs="Arial"/>
          <w:bCs/>
          <w:i/>
          <w:noProof/>
          <w:sz w:val="20"/>
          <w:szCs w:val="20"/>
          <w:lang w:eastAsia="en-GB"/>
        </w:rPr>
      </w:pPr>
      <w:r w:rsidRPr="00A34838">
        <w:rPr>
          <w:rFonts w:ascii="Arial" w:hAnsi="Arial" w:cs="Arial"/>
          <w:bCs/>
          <w:i/>
          <w:noProof/>
          <w:sz w:val="20"/>
          <w:szCs w:val="20"/>
          <w:lang w:eastAsia="en-GB"/>
        </w:rPr>
        <w:t>Tabla 1. No</w:t>
      </w:r>
      <w:r>
        <w:rPr>
          <w:rFonts w:ascii="Arial" w:hAnsi="Arial" w:cs="Arial"/>
          <w:bCs/>
          <w:i/>
          <w:noProof/>
          <w:sz w:val="20"/>
          <w:szCs w:val="20"/>
          <w:lang w:eastAsia="en-GB"/>
        </w:rPr>
        <w:t>r</w:t>
      </w:r>
      <w:r w:rsidRPr="00A34838">
        <w:rPr>
          <w:rFonts w:ascii="Arial" w:hAnsi="Arial" w:cs="Arial"/>
          <w:bCs/>
          <w:i/>
          <w:noProof/>
          <w:sz w:val="20"/>
          <w:szCs w:val="20"/>
          <w:lang w:eastAsia="en-GB"/>
        </w:rPr>
        <w:t>matividad Mexicana Anal</w:t>
      </w:r>
      <w:r>
        <w:rPr>
          <w:rFonts w:ascii="Arial" w:hAnsi="Arial" w:cs="Arial"/>
          <w:bCs/>
          <w:i/>
          <w:noProof/>
          <w:sz w:val="20"/>
          <w:szCs w:val="20"/>
          <w:lang w:eastAsia="en-GB"/>
        </w:rPr>
        <w:t>i</w:t>
      </w:r>
      <w:r w:rsidRPr="00A34838">
        <w:rPr>
          <w:rFonts w:ascii="Arial" w:hAnsi="Arial" w:cs="Arial"/>
          <w:bCs/>
          <w:i/>
          <w:noProof/>
          <w:sz w:val="20"/>
          <w:szCs w:val="20"/>
          <w:lang w:eastAsia="en-GB"/>
        </w:rPr>
        <w:t>sis de agua residual</w:t>
      </w:r>
    </w:p>
    <w:tbl>
      <w:tblPr>
        <w:tblW w:w="0" w:type="auto"/>
        <w:jc w:val="center"/>
        <w:tblBorders>
          <w:top w:val="single" w:sz="4" w:space="0" w:color="auto"/>
          <w:bottom w:val="single" w:sz="4" w:space="0" w:color="auto"/>
        </w:tblBorders>
        <w:tblLook w:val="04A0" w:firstRow="1" w:lastRow="0" w:firstColumn="1" w:lastColumn="0" w:noHBand="0" w:noVBand="1"/>
      </w:tblPr>
      <w:tblGrid>
        <w:gridCol w:w="3992"/>
        <w:gridCol w:w="2969"/>
      </w:tblGrid>
      <w:tr w:rsidR="00762B76" w:rsidRPr="00A34838" w:rsidTr="00B81843">
        <w:trPr>
          <w:trHeight w:val="247"/>
          <w:jc w:val="center"/>
        </w:trPr>
        <w:tc>
          <w:tcPr>
            <w:tcW w:w="3992" w:type="dxa"/>
            <w:tcBorders>
              <w:top w:val="single" w:sz="4" w:space="0" w:color="auto"/>
              <w:bottom w:val="single" w:sz="4" w:space="0" w:color="auto"/>
            </w:tcBorders>
            <w:shd w:val="clear" w:color="auto" w:fill="auto"/>
            <w:vAlign w:val="center"/>
          </w:tcPr>
          <w:p w:rsidR="00762B76" w:rsidRPr="007014CE" w:rsidRDefault="00762B76" w:rsidP="00B81843">
            <w:pPr>
              <w:jc w:val="center"/>
              <w:rPr>
                <w:rFonts w:ascii="Arial" w:hAnsi="Arial" w:cs="Arial"/>
                <w:b/>
                <w:bCs/>
                <w:noProof/>
                <w:sz w:val="20"/>
                <w:szCs w:val="20"/>
                <w:shd w:val="clear" w:color="auto" w:fill="FFFFFF"/>
              </w:rPr>
            </w:pPr>
            <w:r w:rsidRPr="007014CE">
              <w:rPr>
                <w:rFonts w:ascii="Arial" w:hAnsi="Arial" w:cs="Arial"/>
                <w:b/>
                <w:bCs/>
                <w:noProof/>
                <w:sz w:val="20"/>
                <w:szCs w:val="20"/>
                <w:shd w:val="clear" w:color="auto" w:fill="FFFFFF"/>
              </w:rPr>
              <w:t>Determinación</w:t>
            </w:r>
          </w:p>
        </w:tc>
        <w:tc>
          <w:tcPr>
            <w:tcW w:w="2969" w:type="dxa"/>
            <w:tcBorders>
              <w:top w:val="single" w:sz="4" w:space="0" w:color="auto"/>
              <w:bottom w:val="single" w:sz="4" w:space="0" w:color="auto"/>
            </w:tcBorders>
            <w:shd w:val="clear" w:color="auto" w:fill="auto"/>
            <w:vAlign w:val="center"/>
          </w:tcPr>
          <w:p w:rsidR="00762B76" w:rsidRPr="00A34838" w:rsidRDefault="00762B76" w:rsidP="00B81843">
            <w:pPr>
              <w:jc w:val="center"/>
              <w:rPr>
                <w:rFonts w:ascii="Arial" w:hAnsi="Arial" w:cs="Arial"/>
                <w:b/>
                <w:bCs/>
                <w:noProof/>
                <w:sz w:val="20"/>
                <w:szCs w:val="20"/>
                <w:shd w:val="clear" w:color="auto" w:fill="FFFFFF"/>
              </w:rPr>
            </w:pPr>
            <w:r w:rsidRPr="00A34838">
              <w:rPr>
                <w:rFonts w:ascii="Arial" w:hAnsi="Arial" w:cs="Arial"/>
                <w:b/>
                <w:bCs/>
                <w:noProof/>
                <w:sz w:val="20"/>
                <w:szCs w:val="20"/>
                <w:shd w:val="clear" w:color="auto" w:fill="FFFFFF"/>
              </w:rPr>
              <w:t>Norma</w:t>
            </w:r>
          </w:p>
        </w:tc>
      </w:tr>
      <w:tr w:rsidR="00762B76" w:rsidRPr="00A34838" w:rsidTr="00B81843">
        <w:trPr>
          <w:trHeight w:val="123"/>
          <w:jc w:val="center"/>
        </w:trPr>
        <w:tc>
          <w:tcPr>
            <w:tcW w:w="3992" w:type="dxa"/>
            <w:tcBorders>
              <w:top w:val="single" w:sz="4" w:space="0" w:color="auto"/>
            </w:tcBorders>
            <w:shd w:val="clear" w:color="auto" w:fill="auto"/>
            <w:vAlign w:val="center"/>
          </w:tcPr>
          <w:p w:rsidR="00762B76" w:rsidRPr="007014CE" w:rsidRDefault="00762B76" w:rsidP="00B81843">
            <w:pPr>
              <w:jc w:val="center"/>
              <w:rPr>
                <w:rFonts w:ascii="Arial" w:hAnsi="Arial" w:cs="Arial"/>
                <w:b/>
                <w:bCs/>
                <w:noProof/>
                <w:sz w:val="20"/>
                <w:szCs w:val="20"/>
                <w:shd w:val="clear" w:color="auto" w:fill="FFFFFF"/>
              </w:rPr>
            </w:pPr>
            <w:r w:rsidRPr="007014CE">
              <w:rPr>
                <w:rFonts w:ascii="Arial" w:hAnsi="Arial" w:cs="Arial"/>
                <w:b/>
                <w:bCs/>
                <w:noProof/>
                <w:sz w:val="20"/>
                <w:szCs w:val="20"/>
                <w:shd w:val="clear" w:color="auto" w:fill="FFFFFF"/>
              </w:rPr>
              <w:t>Solidos Totales</w:t>
            </w:r>
          </w:p>
        </w:tc>
        <w:tc>
          <w:tcPr>
            <w:tcW w:w="2969" w:type="dxa"/>
            <w:tcBorders>
              <w:top w:val="single" w:sz="4" w:space="0" w:color="auto"/>
            </w:tcBorders>
            <w:shd w:val="clear" w:color="auto" w:fill="auto"/>
            <w:vAlign w:val="center"/>
          </w:tcPr>
          <w:p w:rsidR="00762B76" w:rsidRPr="00A34838" w:rsidRDefault="00762B76" w:rsidP="00B81843">
            <w:pPr>
              <w:jc w:val="center"/>
              <w:rPr>
                <w:rFonts w:ascii="Arial" w:hAnsi="Arial" w:cs="Arial"/>
                <w:noProof/>
                <w:sz w:val="20"/>
                <w:szCs w:val="20"/>
                <w:shd w:val="clear" w:color="auto" w:fill="FFFFFF"/>
              </w:rPr>
            </w:pPr>
            <w:r w:rsidRPr="00A34838">
              <w:rPr>
                <w:rFonts w:ascii="Arial" w:hAnsi="Arial" w:cs="Arial"/>
                <w:sz w:val="20"/>
                <w:szCs w:val="20"/>
              </w:rPr>
              <w:t>NMX-AA-034-SCFI-2015</w:t>
            </w:r>
          </w:p>
        </w:tc>
      </w:tr>
      <w:tr w:rsidR="00762B76" w:rsidRPr="00A34838" w:rsidTr="00B81843">
        <w:trPr>
          <w:trHeight w:val="269"/>
          <w:jc w:val="center"/>
        </w:trPr>
        <w:tc>
          <w:tcPr>
            <w:tcW w:w="3992" w:type="dxa"/>
            <w:shd w:val="clear" w:color="auto" w:fill="auto"/>
            <w:vAlign w:val="center"/>
          </w:tcPr>
          <w:p w:rsidR="00762B76" w:rsidRPr="007014CE" w:rsidRDefault="00762B76" w:rsidP="00B81843">
            <w:pPr>
              <w:jc w:val="center"/>
              <w:rPr>
                <w:rFonts w:ascii="Arial" w:hAnsi="Arial" w:cs="Arial"/>
                <w:b/>
                <w:bCs/>
                <w:noProof/>
                <w:sz w:val="20"/>
                <w:szCs w:val="20"/>
                <w:shd w:val="clear" w:color="auto" w:fill="FFFFFF"/>
              </w:rPr>
            </w:pPr>
            <w:r w:rsidRPr="007014CE">
              <w:rPr>
                <w:rFonts w:ascii="Arial" w:hAnsi="Arial" w:cs="Arial"/>
                <w:b/>
                <w:bCs/>
                <w:noProof/>
                <w:sz w:val="20"/>
                <w:szCs w:val="20"/>
                <w:shd w:val="clear" w:color="auto" w:fill="FFFFFF"/>
              </w:rPr>
              <w:t>Solidos Suspendidos</w:t>
            </w:r>
          </w:p>
        </w:tc>
        <w:tc>
          <w:tcPr>
            <w:tcW w:w="2969" w:type="dxa"/>
            <w:shd w:val="clear" w:color="auto" w:fill="auto"/>
            <w:vAlign w:val="center"/>
          </w:tcPr>
          <w:p w:rsidR="00762B76" w:rsidRPr="00A34838" w:rsidRDefault="00762B76" w:rsidP="00B81843">
            <w:pPr>
              <w:jc w:val="center"/>
              <w:rPr>
                <w:rFonts w:ascii="Arial" w:hAnsi="Arial" w:cs="Arial"/>
                <w:noProof/>
                <w:sz w:val="20"/>
                <w:szCs w:val="20"/>
                <w:shd w:val="clear" w:color="auto" w:fill="FFFFFF"/>
              </w:rPr>
            </w:pPr>
            <w:r w:rsidRPr="00A34838">
              <w:rPr>
                <w:rFonts w:ascii="Arial" w:hAnsi="Arial" w:cs="Arial"/>
                <w:sz w:val="20"/>
                <w:szCs w:val="20"/>
              </w:rPr>
              <w:t>NMX-AA-034-SCFI-2015</w:t>
            </w:r>
          </w:p>
        </w:tc>
      </w:tr>
      <w:tr w:rsidR="00762B76" w:rsidRPr="00A34838" w:rsidTr="00B81843">
        <w:trPr>
          <w:trHeight w:val="145"/>
          <w:jc w:val="center"/>
        </w:trPr>
        <w:tc>
          <w:tcPr>
            <w:tcW w:w="3992" w:type="dxa"/>
            <w:shd w:val="clear" w:color="auto" w:fill="auto"/>
            <w:vAlign w:val="center"/>
          </w:tcPr>
          <w:p w:rsidR="00762B76" w:rsidRPr="007014CE" w:rsidRDefault="00762B76" w:rsidP="00B81843">
            <w:pPr>
              <w:jc w:val="center"/>
              <w:rPr>
                <w:rFonts w:ascii="Arial" w:hAnsi="Arial" w:cs="Arial"/>
                <w:b/>
                <w:bCs/>
                <w:noProof/>
                <w:sz w:val="20"/>
                <w:szCs w:val="20"/>
                <w:shd w:val="clear" w:color="auto" w:fill="FFFFFF"/>
              </w:rPr>
            </w:pPr>
            <w:r w:rsidRPr="007014CE">
              <w:rPr>
                <w:rFonts w:ascii="Arial" w:hAnsi="Arial" w:cs="Arial"/>
                <w:b/>
                <w:bCs/>
                <w:noProof/>
                <w:sz w:val="20"/>
                <w:szCs w:val="20"/>
                <w:shd w:val="clear" w:color="auto" w:fill="FFFFFF"/>
              </w:rPr>
              <w:t>pH</w:t>
            </w:r>
          </w:p>
        </w:tc>
        <w:tc>
          <w:tcPr>
            <w:tcW w:w="2969" w:type="dxa"/>
            <w:shd w:val="clear" w:color="auto" w:fill="auto"/>
            <w:vAlign w:val="center"/>
          </w:tcPr>
          <w:p w:rsidR="00762B76" w:rsidRPr="00A34838" w:rsidRDefault="00762B76" w:rsidP="00B81843">
            <w:pPr>
              <w:jc w:val="center"/>
              <w:rPr>
                <w:rFonts w:ascii="Arial" w:hAnsi="Arial" w:cs="Arial"/>
                <w:noProof/>
                <w:sz w:val="20"/>
                <w:szCs w:val="20"/>
                <w:shd w:val="clear" w:color="auto" w:fill="FFFFFF"/>
              </w:rPr>
            </w:pPr>
            <w:r w:rsidRPr="00A34838">
              <w:rPr>
                <w:rFonts w:ascii="Arial" w:hAnsi="Arial" w:cs="Arial"/>
                <w:sz w:val="20"/>
                <w:szCs w:val="20"/>
              </w:rPr>
              <w:t>NMX-AA-008-SCFI-2011</w:t>
            </w:r>
          </w:p>
        </w:tc>
      </w:tr>
      <w:tr w:rsidR="00762B76" w:rsidRPr="00A34838" w:rsidTr="00B81843">
        <w:trPr>
          <w:trHeight w:val="205"/>
          <w:jc w:val="center"/>
        </w:trPr>
        <w:tc>
          <w:tcPr>
            <w:tcW w:w="3992" w:type="dxa"/>
            <w:shd w:val="clear" w:color="auto" w:fill="auto"/>
            <w:vAlign w:val="center"/>
          </w:tcPr>
          <w:p w:rsidR="00762B76" w:rsidRPr="007014CE" w:rsidRDefault="00762B76" w:rsidP="00B81843">
            <w:pPr>
              <w:jc w:val="center"/>
              <w:rPr>
                <w:rFonts w:ascii="Arial" w:hAnsi="Arial" w:cs="Arial"/>
                <w:b/>
                <w:bCs/>
                <w:noProof/>
                <w:sz w:val="20"/>
                <w:szCs w:val="20"/>
                <w:shd w:val="clear" w:color="auto" w:fill="FFFFFF"/>
              </w:rPr>
            </w:pPr>
            <w:r w:rsidRPr="007014CE">
              <w:rPr>
                <w:rFonts w:ascii="Arial" w:hAnsi="Arial" w:cs="Arial"/>
                <w:b/>
                <w:bCs/>
                <w:noProof/>
                <w:sz w:val="20"/>
                <w:szCs w:val="20"/>
                <w:shd w:val="clear" w:color="auto" w:fill="FFFFFF"/>
              </w:rPr>
              <w:t>Dureza del Agua</w:t>
            </w:r>
          </w:p>
        </w:tc>
        <w:tc>
          <w:tcPr>
            <w:tcW w:w="2969" w:type="dxa"/>
            <w:shd w:val="clear" w:color="auto" w:fill="auto"/>
            <w:vAlign w:val="center"/>
          </w:tcPr>
          <w:p w:rsidR="00762B76" w:rsidRPr="00A34838" w:rsidRDefault="00762B76" w:rsidP="00B81843">
            <w:pPr>
              <w:jc w:val="center"/>
              <w:rPr>
                <w:rFonts w:ascii="Arial" w:hAnsi="Arial" w:cs="Arial"/>
                <w:noProof/>
                <w:sz w:val="20"/>
                <w:szCs w:val="20"/>
                <w:shd w:val="clear" w:color="auto" w:fill="FFFFFF"/>
              </w:rPr>
            </w:pPr>
            <w:r w:rsidRPr="00A34838">
              <w:rPr>
                <w:rFonts w:ascii="Arial" w:hAnsi="Arial" w:cs="Arial"/>
                <w:sz w:val="20"/>
                <w:szCs w:val="20"/>
              </w:rPr>
              <w:t>NMX-AA-072-SCFI-2001</w:t>
            </w:r>
          </w:p>
        </w:tc>
      </w:tr>
      <w:tr w:rsidR="00762B76" w:rsidRPr="00A34838" w:rsidTr="00B81843">
        <w:trPr>
          <w:trHeight w:val="265"/>
          <w:jc w:val="center"/>
        </w:trPr>
        <w:tc>
          <w:tcPr>
            <w:tcW w:w="3992" w:type="dxa"/>
            <w:shd w:val="clear" w:color="auto" w:fill="auto"/>
            <w:vAlign w:val="center"/>
          </w:tcPr>
          <w:p w:rsidR="00762B76" w:rsidRPr="007014CE" w:rsidRDefault="00762B76" w:rsidP="00B81843">
            <w:pPr>
              <w:jc w:val="center"/>
              <w:rPr>
                <w:rFonts w:ascii="Arial" w:hAnsi="Arial" w:cs="Arial"/>
                <w:b/>
                <w:bCs/>
                <w:noProof/>
                <w:sz w:val="20"/>
                <w:szCs w:val="20"/>
                <w:shd w:val="clear" w:color="auto" w:fill="FFFFFF"/>
              </w:rPr>
            </w:pPr>
            <w:r w:rsidRPr="007014CE">
              <w:rPr>
                <w:rFonts w:ascii="Arial" w:hAnsi="Arial" w:cs="Arial"/>
                <w:b/>
                <w:bCs/>
                <w:noProof/>
                <w:sz w:val="20"/>
                <w:szCs w:val="20"/>
                <w:shd w:val="clear" w:color="auto" w:fill="FFFFFF"/>
              </w:rPr>
              <w:t>Determinación de dureza de calcio</w:t>
            </w:r>
          </w:p>
        </w:tc>
        <w:tc>
          <w:tcPr>
            <w:tcW w:w="2969" w:type="dxa"/>
            <w:shd w:val="clear" w:color="auto" w:fill="auto"/>
            <w:vAlign w:val="center"/>
          </w:tcPr>
          <w:p w:rsidR="00762B76" w:rsidRPr="00A34838" w:rsidRDefault="00762B76" w:rsidP="00B81843">
            <w:pPr>
              <w:jc w:val="center"/>
              <w:rPr>
                <w:rFonts w:ascii="Arial" w:hAnsi="Arial" w:cs="Arial"/>
                <w:noProof/>
                <w:sz w:val="20"/>
                <w:szCs w:val="20"/>
                <w:shd w:val="clear" w:color="auto" w:fill="FFFFFF"/>
              </w:rPr>
            </w:pPr>
            <w:r w:rsidRPr="00A34838">
              <w:rPr>
                <w:rFonts w:ascii="Arial" w:hAnsi="Arial" w:cs="Arial"/>
                <w:sz w:val="20"/>
                <w:szCs w:val="20"/>
              </w:rPr>
              <w:t>NMX-AA-072-SCFI-2001</w:t>
            </w:r>
          </w:p>
        </w:tc>
      </w:tr>
      <w:tr w:rsidR="00762B76" w:rsidRPr="00A34838" w:rsidTr="00B81843">
        <w:trPr>
          <w:trHeight w:val="283"/>
          <w:jc w:val="center"/>
        </w:trPr>
        <w:tc>
          <w:tcPr>
            <w:tcW w:w="3992" w:type="dxa"/>
            <w:shd w:val="clear" w:color="auto" w:fill="auto"/>
            <w:vAlign w:val="center"/>
          </w:tcPr>
          <w:p w:rsidR="00762B76" w:rsidRPr="007014CE" w:rsidRDefault="00762B76" w:rsidP="00B81843">
            <w:pPr>
              <w:jc w:val="center"/>
              <w:rPr>
                <w:rFonts w:ascii="Arial" w:hAnsi="Arial" w:cs="Arial"/>
                <w:b/>
                <w:bCs/>
                <w:noProof/>
                <w:sz w:val="20"/>
                <w:szCs w:val="20"/>
                <w:shd w:val="clear" w:color="auto" w:fill="FFFFFF"/>
              </w:rPr>
            </w:pPr>
            <w:r w:rsidRPr="007014CE">
              <w:rPr>
                <w:rFonts w:ascii="Arial" w:hAnsi="Arial" w:cs="Arial"/>
                <w:b/>
                <w:bCs/>
                <w:noProof/>
                <w:sz w:val="20"/>
                <w:szCs w:val="20"/>
                <w:shd w:val="clear" w:color="auto" w:fill="FFFFFF"/>
              </w:rPr>
              <w:t>Aceites y Grasas</w:t>
            </w:r>
          </w:p>
        </w:tc>
        <w:tc>
          <w:tcPr>
            <w:tcW w:w="2969" w:type="dxa"/>
            <w:shd w:val="clear" w:color="auto" w:fill="auto"/>
            <w:vAlign w:val="center"/>
          </w:tcPr>
          <w:p w:rsidR="00762B76" w:rsidRPr="00A34838" w:rsidRDefault="00762B76" w:rsidP="00B81843">
            <w:pPr>
              <w:jc w:val="center"/>
              <w:rPr>
                <w:rFonts w:ascii="Arial" w:hAnsi="Arial" w:cs="Arial"/>
                <w:sz w:val="20"/>
                <w:szCs w:val="20"/>
              </w:rPr>
            </w:pPr>
            <w:r w:rsidRPr="00A34838">
              <w:rPr>
                <w:rFonts w:ascii="Arial" w:hAnsi="Arial" w:cs="Arial"/>
                <w:sz w:val="20"/>
                <w:szCs w:val="20"/>
              </w:rPr>
              <w:t>NMX-AA-005-SCFI-2013</w:t>
            </w:r>
          </w:p>
        </w:tc>
      </w:tr>
    </w:tbl>
    <w:p w:rsidR="00762B76" w:rsidRPr="00A34838" w:rsidRDefault="00762B76" w:rsidP="00762B76">
      <w:pPr>
        <w:spacing w:line="360" w:lineRule="auto"/>
        <w:rPr>
          <w:noProof/>
          <w:color w:val="000000"/>
          <w:highlight w:val="yellow"/>
          <w:shd w:val="clear" w:color="auto" w:fill="FFFFFF"/>
        </w:rPr>
      </w:pPr>
    </w:p>
    <w:p w:rsidR="00762B76" w:rsidRPr="00762B76" w:rsidRDefault="00762B76" w:rsidP="00762B76">
      <w:pPr>
        <w:pStyle w:val="Ttulo1"/>
        <w:keepLines w:val="0"/>
        <w:numPr>
          <w:ilvl w:val="0"/>
          <w:numId w:val="1"/>
        </w:numPr>
        <w:tabs>
          <w:tab w:val="clear" w:pos="432"/>
          <w:tab w:val="left" w:pos="0"/>
        </w:tabs>
        <w:spacing w:before="0" w:after="0" w:line="360" w:lineRule="auto"/>
        <w:ind w:left="0" w:firstLine="0"/>
        <w:rPr>
          <w:rFonts w:ascii="Arial" w:hAnsi="Arial" w:cs="Arial"/>
          <w:i/>
          <w:caps/>
          <w:sz w:val="24"/>
          <w:szCs w:val="24"/>
        </w:rPr>
      </w:pPr>
      <w:bookmarkStart w:id="69" w:name="_Toc50031197"/>
      <w:bookmarkEnd w:id="68"/>
      <w:r w:rsidRPr="00762B76">
        <w:rPr>
          <w:rFonts w:ascii="Arial" w:hAnsi="Arial" w:cs="Arial"/>
          <w:i/>
          <w:caps/>
          <w:sz w:val="24"/>
          <w:szCs w:val="24"/>
        </w:rPr>
        <w:t>4. Resultados y discusión</w:t>
      </w:r>
      <w:bookmarkEnd w:id="69"/>
    </w:p>
    <w:p w:rsidR="00762B76" w:rsidRPr="00A34838" w:rsidRDefault="00762B76" w:rsidP="00762B76">
      <w:pPr>
        <w:ind w:firstLine="567"/>
        <w:jc w:val="both"/>
        <w:rPr>
          <w:rFonts w:ascii="Arial" w:hAnsi="Arial" w:cs="Arial"/>
          <w:color w:val="000000"/>
        </w:rPr>
      </w:pPr>
      <w:r>
        <w:rPr>
          <w:rFonts w:ascii="Arial" w:hAnsi="Arial" w:cs="Arial"/>
          <w:color w:val="000000"/>
        </w:rPr>
        <w:t>S</w:t>
      </w:r>
      <w:r w:rsidRPr="00A34838">
        <w:rPr>
          <w:rFonts w:ascii="Arial" w:hAnsi="Arial" w:cs="Arial"/>
          <w:color w:val="000000"/>
        </w:rPr>
        <w:t xml:space="preserve">e presentan los resultados obtenidos </w:t>
      </w:r>
      <w:r>
        <w:rPr>
          <w:rFonts w:ascii="Arial" w:hAnsi="Arial" w:cs="Arial"/>
          <w:color w:val="000000"/>
        </w:rPr>
        <w:t xml:space="preserve">de </w:t>
      </w:r>
      <w:r w:rsidRPr="00A34838">
        <w:rPr>
          <w:rFonts w:ascii="Arial" w:hAnsi="Arial" w:cs="Arial"/>
          <w:color w:val="000000"/>
        </w:rPr>
        <w:t>los análisis del agua residual urbana donde se mostraran los análisis con diferentes voltajes cada uno ellos con respeto al tiempo. Se llevó acabo el cálculo con las fórmulas que anteriormente se mencionaron, donde el tiempo de residencia es 0.000833 h</w:t>
      </w:r>
      <w:r>
        <w:rPr>
          <w:rFonts w:ascii="Arial" w:hAnsi="Arial" w:cs="Arial"/>
          <w:color w:val="000000"/>
        </w:rPr>
        <w:t>/m</w:t>
      </w:r>
      <w:r w:rsidRPr="004901F6">
        <w:rPr>
          <w:rFonts w:ascii="Arial" w:hAnsi="Arial" w:cs="Arial"/>
          <w:color w:val="000000"/>
          <w:vertAlign w:val="superscript"/>
        </w:rPr>
        <w:t>3</w:t>
      </w:r>
      <w:r w:rsidRPr="00A34838">
        <w:rPr>
          <w:rFonts w:ascii="Arial" w:hAnsi="Arial" w:cs="Arial"/>
          <w:color w:val="000000"/>
        </w:rPr>
        <w:t xml:space="preserve"> en el reactor que se diseñó.</w:t>
      </w:r>
    </w:p>
    <w:p w:rsidR="00762B76" w:rsidRPr="00A34838" w:rsidRDefault="00762B76" w:rsidP="00762B76">
      <w:pPr>
        <w:ind w:firstLine="567"/>
        <w:jc w:val="both"/>
        <w:rPr>
          <w:rFonts w:ascii="Arial" w:hAnsi="Arial" w:cs="Arial"/>
        </w:rPr>
      </w:pPr>
    </w:p>
    <w:p w:rsidR="00762B76" w:rsidRPr="00A34838" w:rsidRDefault="00762B76" w:rsidP="00762B76">
      <w:pPr>
        <w:spacing w:line="360" w:lineRule="auto"/>
        <w:jc w:val="both"/>
        <w:rPr>
          <w:rFonts w:ascii="Arial" w:hAnsi="Arial" w:cs="Arial"/>
          <w:i/>
          <w:color w:val="000000"/>
        </w:rPr>
      </w:pPr>
      <w:bookmarkStart w:id="70" w:name="_Toc483335043"/>
      <w:r w:rsidRPr="00A34838">
        <w:rPr>
          <w:rFonts w:ascii="Arial" w:hAnsi="Arial" w:cs="Arial"/>
          <w:i/>
          <w:color w:val="000000"/>
        </w:rPr>
        <w:t xml:space="preserve">4.1. </w:t>
      </w:r>
      <w:bookmarkStart w:id="71" w:name="_Hlk44638963"/>
      <w:r w:rsidRPr="00A34838">
        <w:rPr>
          <w:rFonts w:ascii="Arial" w:hAnsi="Arial" w:cs="Arial"/>
          <w:i/>
          <w:color w:val="000000"/>
        </w:rPr>
        <w:t>Análisis del Agua Residual no tratada</w:t>
      </w:r>
      <w:bookmarkEnd w:id="70"/>
      <w:bookmarkEnd w:id="71"/>
    </w:p>
    <w:p w:rsidR="00762B76" w:rsidRDefault="00762B76" w:rsidP="00762B76">
      <w:pPr>
        <w:ind w:firstLine="567"/>
        <w:jc w:val="both"/>
        <w:rPr>
          <w:rFonts w:ascii="Arial" w:hAnsi="Arial" w:cs="Arial"/>
          <w:color w:val="000000"/>
        </w:rPr>
      </w:pPr>
      <w:bookmarkStart w:id="72" w:name="_Hlk44639067"/>
      <w:r w:rsidRPr="00F8123E">
        <w:rPr>
          <w:rFonts w:ascii="Arial" w:hAnsi="Arial" w:cs="Arial"/>
          <w:color w:val="000000"/>
        </w:rPr>
        <w:t>Se llevó a cabo la experimentación de la muestra de agua residual sin tratar para obtener los resultados preliminar</w:t>
      </w:r>
      <w:r w:rsidRPr="00F8123E">
        <w:rPr>
          <w:rFonts w:ascii="Arial" w:hAnsi="Arial" w:cs="Arial"/>
        </w:rPr>
        <w:t>, el</w:t>
      </w:r>
      <w:r w:rsidRPr="00F8123E">
        <w:rPr>
          <w:rFonts w:ascii="Arial" w:hAnsi="Arial" w:cs="Arial"/>
          <w:color w:val="000000"/>
        </w:rPr>
        <w:t xml:space="preserve"> análisis de </w:t>
      </w:r>
      <w:r>
        <w:rPr>
          <w:rFonts w:ascii="Arial" w:hAnsi="Arial" w:cs="Arial"/>
          <w:color w:val="000000"/>
        </w:rPr>
        <w:t>p</w:t>
      </w:r>
      <w:r w:rsidRPr="00F8123E">
        <w:rPr>
          <w:rFonts w:ascii="Arial" w:hAnsi="Arial" w:cs="Arial"/>
          <w:color w:val="000000"/>
        </w:rPr>
        <w:t>H se</w:t>
      </w:r>
      <w:r w:rsidRPr="00F8123E">
        <w:rPr>
          <w:rFonts w:ascii="Arial" w:hAnsi="Arial" w:cs="Arial"/>
          <w:color w:val="FF0000"/>
        </w:rPr>
        <w:t xml:space="preserve"> </w:t>
      </w:r>
      <w:r w:rsidRPr="00F8123E">
        <w:rPr>
          <w:rFonts w:ascii="Arial" w:hAnsi="Arial" w:cs="Arial"/>
          <w:color w:val="000000"/>
        </w:rPr>
        <w:t xml:space="preserve">tiene un valor neutro de 7.6 este se encuentra entre los </w:t>
      </w:r>
      <w:r w:rsidRPr="00F8123E">
        <w:rPr>
          <w:rFonts w:ascii="Arial" w:hAnsi="Arial" w:cs="Arial"/>
          <w:color w:val="000000"/>
        </w:rPr>
        <w:lastRenderedPageBreak/>
        <w:t>rangos permisibles de 5.5 y 10, el análisis de aceites y grasas presenta un resultado de 10.13 mg/L se encuentra por debajo basado a la norma mexicana: NOM-002-ECOL-1996 donde nos indica que el límite máximo permisibles es de 75 mg/L.</w:t>
      </w:r>
      <w:bookmarkStart w:id="73" w:name="_Hlk44639122"/>
      <w:bookmarkEnd w:id="72"/>
      <w:r w:rsidRPr="00F8123E">
        <w:rPr>
          <w:rFonts w:ascii="Arial" w:hAnsi="Arial" w:cs="Arial"/>
          <w:color w:val="000000"/>
        </w:rPr>
        <w:t xml:space="preserve"> El análisis de sólidos disueltos totales presenta un valor de 138 mg/L este se encuentra por abajo de los datos permisibles que es de 500 mg/L; el análisis de sólidos totales volátiles presenta un valor de 86 mg/L el cual se encuentran por debajo de los datos permisibles de 300 mg/L señalado por las normas oficial mexicana:NOM-127-SSA1-1994; el análisis de sólidos suspendidos totales presenta un valor de 140 mg/L este esta por arriba del valor permisibles de 125 mg/L y el análisis de sólidos suspendidos volátiles se obtiene el valor de 102 mg/L el cual nos indica que se encuentra por arriba del valor permisible de 80 mg/L esto debido a que presentan de sólidos mayor tamaño señalados por la NOM-001-SEMARNAT-1996. </w:t>
      </w:r>
    </w:p>
    <w:p w:rsidR="00762B76" w:rsidRDefault="00762B76" w:rsidP="00762B76">
      <w:pPr>
        <w:ind w:firstLine="567"/>
        <w:jc w:val="both"/>
        <w:rPr>
          <w:rFonts w:ascii="Arial" w:hAnsi="Arial" w:cs="Arial"/>
          <w:color w:val="000000"/>
        </w:rPr>
      </w:pPr>
    </w:p>
    <w:p w:rsidR="00762B76" w:rsidRDefault="00762B76" w:rsidP="00762B76">
      <w:pPr>
        <w:ind w:firstLine="567"/>
        <w:jc w:val="both"/>
        <w:rPr>
          <w:rFonts w:ascii="Arial" w:hAnsi="Arial" w:cs="Arial"/>
          <w:color w:val="000000"/>
        </w:rPr>
      </w:pPr>
      <w:r w:rsidRPr="00F8123E">
        <w:rPr>
          <w:rFonts w:ascii="Arial" w:hAnsi="Arial" w:cs="Arial"/>
          <w:color w:val="000000"/>
        </w:rPr>
        <w:t>Para el análisis de la dureza de agua en presenta 556.46 ppm por ello el agua es dura y está por arriba de los datos permisibles de la dureza total que es de 150-300 ppm, para la dureza de calcio presenta 388.35 ppm en comparación con el valor permisible de 100 ppm y para dureza de magnesio presenta un valor de 168.11 ppm esta por encima del valor máximo permisible de 50 ppm basado a la norma NOM-001-ECOL-1996</w:t>
      </w:r>
      <w:r>
        <w:rPr>
          <w:rFonts w:ascii="Arial" w:hAnsi="Arial" w:cs="Arial"/>
          <w:color w:val="000000"/>
        </w:rPr>
        <w:t>, como se muestra en la Tabla 2.</w:t>
      </w:r>
    </w:p>
    <w:p w:rsidR="00762B76" w:rsidRDefault="00762B76" w:rsidP="00762B76">
      <w:pPr>
        <w:jc w:val="center"/>
        <w:rPr>
          <w:rFonts w:ascii="Arial" w:hAnsi="Arial" w:cs="Arial"/>
          <w:bCs/>
          <w:i/>
          <w:noProof/>
          <w:sz w:val="20"/>
          <w:szCs w:val="20"/>
          <w:lang w:eastAsia="en-GB"/>
        </w:rPr>
      </w:pPr>
    </w:p>
    <w:p w:rsidR="00762B76" w:rsidRPr="00F8123E" w:rsidRDefault="00762B76" w:rsidP="00762B76">
      <w:pPr>
        <w:jc w:val="center"/>
        <w:rPr>
          <w:rFonts w:ascii="Arial" w:hAnsi="Arial" w:cs="Arial"/>
          <w:bCs/>
          <w:i/>
          <w:noProof/>
          <w:sz w:val="20"/>
          <w:szCs w:val="20"/>
          <w:lang w:eastAsia="en-GB"/>
        </w:rPr>
      </w:pPr>
      <w:r w:rsidRPr="00A34838">
        <w:rPr>
          <w:rFonts w:ascii="Arial" w:hAnsi="Arial" w:cs="Arial"/>
          <w:bCs/>
          <w:i/>
          <w:noProof/>
          <w:sz w:val="20"/>
          <w:szCs w:val="20"/>
          <w:lang w:eastAsia="en-GB"/>
        </w:rPr>
        <w:t xml:space="preserve">Tabla </w:t>
      </w:r>
      <w:r>
        <w:rPr>
          <w:rFonts w:ascii="Arial" w:hAnsi="Arial" w:cs="Arial"/>
          <w:bCs/>
          <w:i/>
          <w:noProof/>
          <w:sz w:val="20"/>
          <w:szCs w:val="20"/>
          <w:lang w:eastAsia="en-GB"/>
        </w:rPr>
        <w:t>2</w:t>
      </w:r>
      <w:r w:rsidRPr="00A34838">
        <w:rPr>
          <w:rFonts w:ascii="Arial" w:hAnsi="Arial" w:cs="Arial"/>
          <w:bCs/>
          <w:i/>
          <w:noProof/>
          <w:sz w:val="20"/>
          <w:szCs w:val="20"/>
          <w:lang w:eastAsia="en-GB"/>
        </w:rPr>
        <w:t>. Anal</w:t>
      </w:r>
      <w:r>
        <w:rPr>
          <w:rFonts w:ascii="Arial" w:hAnsi="Arial" w:cs="Arial"/>
          <w:bCs/>
          <w:i/>
          <w:noProof/>
          <w:sz w:val="20"/>
          <w:szCs w:val="20"/>
          <w:lang w:eastAsia="en-GB"/>
        </w:rPr>
        <w:t>i</w:t>
      </w:r>
      <w:r w:rsidRPr="00A34838">
        <w:rPr>
          <w:rFonts w:ascii="Arial" w:hAnsi="Arial" w:cs="Arial"/>
          <w:bCs/>
          <w:i/>
          <w:noProof/>
          <w:sz w:val="20"/>
          <w:szCs w:val="20"/>
          <w:lang w:eastAsia="en-GB"/>
        </w:rPr>
        <w:t>sis de agua residual</w:t>
      </w:r>
      <w:r>
        <w:rPr>
          <w:rFonts w:ascii="Arial" w:hAnsi="Arial" w:cs="Arial"/>
          <w:bCs/>
          <w:i/>
          <w:noProof/>
          <w:sz w:val="20"/>
          <w:szCs w:val="20"/>
          <w:lang w:eastAsia="en-GB"/>
        </w:rPr>
        <w:t xml:space="preserve"> sin tratar</w:t>
      </w:r>
    </w:p>
    <w:tbl>
      <w:tblPr>
        <w:tblW w:w="6410" w:type="dxa"/>
        <w:jc w:val="center"/>
        <w:tblLook w:val="04A0" w:firstRow="1" w:lastRow="0" w:firstColumn="1" w:lastColumn="0" w:noHBand="0" w:noVBand="1"/>
      </w:tblPr>
      <w:tblGrid>
        <w:gridCol w:w="3039"/>
        <w:gridCol w:w="1780"/>
        <w:gridCol w:w="1591"/>
      </w:tblGrid>
      <w:tr w:rsidR="00762B76" w:rsidRPr="008F0683" w:rsidTr="00B81843">
        <w:trPr>
          <w:jc w:val="center"/>
        </w:trPr>
        <w:tc>
          <w:tcPr>
            <w:tcW w:w="3039" w:type="dxa"/>
            <w:tcBorders>
              <w:top w:val="single" w:sz="12" w:space="0" w:color="auto"/>
              <w:bottom w:val="single" w:sz="12" w:space="0" w:color="auto"/>
            </w:tcBorders>
            <w:shd w:val="clear" w:color="auto" w:fill="auto"/>
            <w:vAlign w:val="center"/>
          </w:tcPr>
          <w:p w:rsidR="00762B76" w:rsidRPr="008F0683" w:rsidRDefault="00762B76" w:rsidP="00B81843">
            <w:pPr>
              <w:jc w:val="center"/>
              <w:rPr>
                <w:rFonts w:ascii="Arial" w:hAnsi="Arial" w:cs="Arial"/>
                <w:b/>
                <w:bCs/>
                <w:noProof/>
                <w:sz w:val="20"/>
                <w:szCs w:val="20"/>
                <w:shd w:val="clear" w:color="auto" w:fill="FFFFFF"/>
              </w:rPr>
            </w:pPr>
            <w:r w:rsidRPr="008F0683">
              <w:rPr>
                <w:rFonts w:ascii="Arial" w:hAnsi="Arial" w:cs="Arial"/>
                <w:b/>
                <w:bCs/>
                <w:noProof/>
                <w:sz w:val="20"/>
                <w:szCs w:val="20"/>
                <w:shd w:val="clear" w:color="auto" w:fill="FFFFFF"/>
              </w:rPr>
              <w:t>Parámetro</w:t>
            </w:r>
          </w:p>
        </w:tc>
        <w:tc>
          <w:tcPr>
            <w:tcW w:w="1780" w:type="dxa"/>
            <w:tcBorders>
              <w:top w:val="single" w:sz="12" w:space="0" w:color="auto"/>
              <w:bottom w:val="single" w:sz="12" w:space="0" w:color="auto"/>
            </w:tcBorders>
            <w:shd w:val="clear" w:color="auto" w:fill="auto"/>
            <w:vAlign w:val="center"/>
          </w:tcPr>
          <w:p w:rsidR="00762B76" w:rsidRPr="008F0683" w:rsidRDefault="00762B76" w:rsidP="00B81843">
            <w:pPr>
              <w:jc w:val="center"/>
              <w:rPr>
                <w:rFonts w:ascii="Arial" w:hAnsi="Arial" w:cs="Arial"/>
                <w:b/>
                <w:bCs/>
                <w:noProof/>
                <w:sz w:val="20"/>
                <w:szCs w:val="20"/>
                <w:shd w:val="clear" w:color="auto" w:fill="FFFFFF"/>
              </w:rPr>
            </w:pPr>
            <w:r w:rsidRPr="008F0683">
              <w:rPr>
                <w:rFonts w:ascii="Arial" w:hAnsi="Arial" w:cs="Arial"/>
                <w:b/>
                <w:bCs/>
                <w:noProof/>
                <w:sz w:val="20"/>
                <w:szCs w:val="20"/>
                <w:shd w:val="clear" w:color="auto" w:fill="FFFFFF"/>
              </w:rPr>
              <w:t>Valor</w:t>
            </w:r>
          </w:p>
          <w:p w:rsidR="00762B76" w:rsidRPr="008F0683" w:rsidRDefault="00762B76" w:rsidP="00B81843">
            <w:pPr>
              <w:jc w:val="center"/>
              <w:rPr>
                <w:rFonts w:ascii="Arial" w:hAnsi="Arial" w:cs="Arial"/>
                <w:b/>
                <w:bCs/>
                <w:noProof/>
                <w:sz w:val="20"/>
                <w:szCs w:val="20"/>
                <w:shd w:val="clear" w:color="auto" w:fill="FFFFFF"/>
              </w:rPr>
            </w:pPr>
            <w:r w:rsidRPr="008F0683">
              <w:rPr>
                <w:rFonts w:ascii="Arial" w:hAnsi="Arial" w:cs="Arial"/>
                <w:b/>
                <w:bCs/>
                <w:noProof/>
                <w:sz w:val="20"/>
                <w:szCs w:val="20"/>
                <w:shd w:val="clear" w:color="auto" w:fill="FFFFFF"/>
              </w:rPr>
              <w:t>(Norma)</w:t>
            </w:r>
          </w:p>
        </w:tc>
        <w:tc>
          <w:tcPr>
            <w:tcW w:w="1591" w:type="dxa"/>
            <w:tcBorders>
              <w:top w:val="single" w:sz="12" w:space="0" w:color="auto"/>
              <w:bottom w:val="single" w:sz="12" w:space="0" w:color="auto"/>
            </w:tcBorders>
            <w:shd w:val="clear" w:color="auto" w:fill="auto"/>
            <w:vAlign w:val="center"/>
          </w:tcPr>
          <w:p w:rsidR="00762B76" w:rsidRPr="008F0683" w:rsidRDefault="00762B76" w:rsidP="00B81843">
            <w:pPr>
              <w:jc w:val="center"/>
              <w:rPr>
                <w:rFonts w:ascii="Arial" w:hAnsi="Arial" w:cs="Arial"/>
                <w:b/>
                <w:bCs/>
                <w:noProof/>
                <w:sz w:val="20"/>
                <w:szCs w:val="20"/>
                <w:shd w:val="clear" w:color="auto" w:fill="FFFFFF"/>
              </w:rPr>
            </w:pPr>
            <w:r w:rsidRPr="008F0683">
              <w:rPr>
                <w:rFonts w:ascii="Arial" w:hAnsi="Arial" w:cs="Arial"/>
                <w:b/>
                <w:bCs/>
                <w:noProof/>
                <w:sz w:val="20"/>
                <w:szCs w:val="20"/>
                <w:shd w:val="clear" w:color="auto" w:fill="FFFFFF"/>
              </w:rPr>
              <w:t>Valor</w:t>
            </w:r>
          </w:p>
          <w:p w:rsidR="00762B76" w:rsidRPr="008F0683" w:rsidRDefault="00762B76" w:rsidP="00B81843">
            <w:pPr>
              <w:jc w:val="center"/>
              <w:rPr>
                <w:rFonts w:ascii="Arial" w:hAnsi="Arial" w:cs="Arial"/>
                <w:b/>
                <w:bCs/>
                <w:noProof/>
                <w:sz w:val="20"/>
                <w:szCs w:val="20"/>
                <w:shd w:val="clear" w:color="auto" w:fill="FFFFFF"/>
              </w:rPr>
            </w:pPr>
            <w:r w:rsidRPr="008F0683">
              <w:rPr>
                <w:rFonts w:ascii="Arial" w:hAnsi="Arial" w:cs="Arial"/>
                <w:b/>
                <w:bCs/>
                <w:noProof/>
                <w:sz w:val="20"/>
                <w:szCs w:val="20"/>
                <w:shd w:val="clear" w:color="auto" w:fill="FFFFFF"/>
              </w:rPr>
              <w:t>(Análisis)</w:t>
            </w:r>
          </w:p>
        </w:tc>
      </w:tr>
      <w:tr w:rsidR="00762B76" w:rsidRPr="008F0683" w:rsidTr="00B81843">
        <w:trPr>
          <w:jc w:val="center"/>
        </w:trPr>
        <w:tc>
          <w:tcPr>
            <w:tcW w:w="3039" w:type="dxa"/>
            <w:tcBorders>
              <w:top w:val="single" w:sz="12" w:space="0" w:color="auto"/>
            </w:tcBorders>
            <w:shd w:val="clear" w:color="auto" w:fill="auto"/>
            <w:vAlign w:val="center"/>
          </w:tcPr>
          <w:p w:rsidR="00762B76" w:rsidRPr="007014CE" w:rsidRDefault="00762B76" w:rsidP="00B81843">
            <w:pPr>
              <w:jc w:val="center"/>
              <w:rPr>
                <w:rFonts w:ascii="Arial" w:hAnsi="Arial" w:cs="Arial"/>
                <w:b/>
                <w:bCs/>
                <w:noProof/>
                <w:sz w:val="20"/>
                <w:szCs w:val="20"/>
                <w:shd w:val="clear" w:color="auto" w:fill="FFFFFF"/>
              </w:rPr>
            </w:pPr>
            <w:r w:rsidRPr="007014CE">
              <w:rPr>
                <w:rFonts w:ascii="Arial" w:hAnsi="Arial" w:cs="Arial"/>
                <w:b/>
                <w:bCs/>
                <w:noProof/>
                <w:sz w:val="20"/>
                <w:szCs w:val="20"/>
                <w:shd w:val="clear" w:color="auto" w:fill="FFFFFF"/>
              </w:rPr>
              <w:t>pH</w:t>
            </w:r>
          </w:p>
        </w:tc>
        <w:tc>
          <w:tcPr>
            <w:tcW w:w="1780" w:type="dxa"/>
            <w:tcBorders>
              <w:top w:val="single" w:sz="12" w:space="0" w:color="auto"/>
              <w:left w:val="nil"/>
            </w:tcBorders>
            <w:shd w:val="clear" w:color="auto" w:fill="auto"/>
            <w:vAlign w:val="center"/>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5.5 - 10</w:t>
            </w:r>
          </w:p>
        </w:tc>
        <w:tc>
          <w:tcPr>
            <w:tcW w:w="1591" w:type="dxa"/>
            <w:tcBorders>
              <w:top w:val="single" w:sz="12" w:space="0" w:color="auto"/>
            </w:tcBorders>
            <w:shd w:val="clear" w:color="auto" w:fill="auto"/>
            <w:vAlign w:val="center"/>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7.6</w:t>
            </w:r>
          </w:p>
        </w:tc>
      </w:tr>
      <w:tr w:rsidR="00762B76" w:rsidRPr="008F0683" w:rsidTr="00B81843">
        <w:trPr>
          <w:jc w:val="center"/>
        </w:trPr>
        <w:tc>
          <w:tcPr>
            <w:tcW w:w="3039" w:type="dxa"/>
            <w:shd w:val="clear" w:color="auto" w:fill="auto"/>
            <w:vAlign w:val="center"/>
          </w:tcPr>
          <w:p w:rsidR="00762B76" w:rsidRPr="007014CE" w:rsidRDefault="00762B76" w:rsidP="00B81843">
            <w:pPr>
              <w:jc w:val="center"/>
              <w:rPr>
                <w:rFonts w:ascii="Arial" w:hAnsi="Arial" w:cs="Arial"/>
                <w:b/>
                <w:bCs/>
                <w:noProof/>
                <w:sz w:val="20"/>
                <w:szCs w:val="20"/>
                <w:shd w:val="clear" w:color="auto" w:fill="FFFFFF"/>
              </w:rPr>
            </w:pPr>
            <w:r w:rsidRPr="007014CE">
              <w:rPr>
                <w:rFonts w:ascii="Arial" w:hAnsi="Arial" w:cs="Arial"/>
                <w:b/>
                <w:bCs/>
                <w:noProof/>
                <w:sz w:val="20"/>
                <w:szCs w:val="20"/>
                <w:shd w:val="clear" w:color="auto" w:fill="FFFFFF"/>
              </w:rPr>
              <w:t>Grasas y Aceites</w:t>
            </w:r>
          </w:p>
        </w:tc>
        <w:tc>
          <w:tcPr>
            <w:tcW w:w="1780" w:type="dxa"/>
            <w:tcBorders>
              <w:left w:val="nil"/>
            </w:tcBorders>
            <w:shd w:val="clear" w:color="auto" w:fill="auto"/>
            <w:vAlign w:val="center"/>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7.5 mg/L</w:t>
            </w:r>
          </w:p>
        </w:tc>
        <w:tc>
          <w:tcPr>
            <w:tcW w:w="1591" w:type="dxa"/>
            <w:shd w:val="clear" w:color="auto" w:fill="auto"/>
            <w:vAlign w:val="center"/>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10.13 mg/L</w:t>
            </w:r>
          </w:p>
        </w:tc>
      </w:tr>
      <w:tr w:rsidR="00762B76" w:rsidRPr="008F0683" w:rsidTr="00B81843">
        <w:trPr>
          <w:jc w:val="center"/>
        </w:trPr>
        <w:tc>
          <w:tcPr>
            <w:tcW w:w="3039" w:type="dxa"/>
            <w:shd w:val="clear" w:color="auto" w:fill="auto"/>
            <w:vAlign w:val="center"/>
          </w:tcPr>
          <w:p w:rsidR="00762B76" w:rsidRPr="007014CE" w:rsidRDefault="00762B76" w:rsidP="00B81843">
            <w:pPr>
              <w:jc w:val="center"/>
              <w:rPr>
                <w:rFonts w:ascii="Arial" w:hAnsi="Arial" w:cs="Arial"/>
                <w:b/>
                <w:bCs/>
                <w:noProof/>
                <w:sz w:val="20"/>
                <w:szCs w:val="20"/>
                <w:shd w:val="clear" w:color="auto" w:fill="FFFFFF"/>
              </w:rPr>
            </w:pPr>
            <w:r w:rsidRPr="007014CE">
              <w:rPr>
                <w:rFonts w:ascii="Arial" w:hAnsi="Arial" w:cs="Arial"/>
                <w:b/>
                <w:bCs/>
                <w:noProof/>
                <w:sz w:val="20"/>
                <w:szCs w:val="20"/>
                <w:shd w:val="clear" w:color="auto" w:fill="FFFFFF"/>
              </w:rPr>
              <w:t>S. Totales</w:t>
            </w:r>
          </w:p>
        </w:tc>
        <w:tc>
          <w:tcPr>
            <w:tcW w:w="1780" w:type="dxa"/>
            <w:tcBorders>
              <w:left w:val="nil"/>
            </w:tcBorders>
            <w:shd w:val="clear" w:color="auto" w:fill="auto"/>
            <w:vAlign w:val="center"/>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500 mg/L</w:t>
            </w:r>
          </w:p>
        </w:tc>
        <w:tc>
          <w:tcPr>
            <w:tcW w:w="1591" w:type="dxa"/>
            <w:shd w:val="clear" w:color="auto" w:fill="auto"/>
            <w:vAlign w:val="center"/>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138 mg/L</w:t>
            </w:r>
          </w:p>
        </w:tc>
      </w:tr>
      <w:tr w:rsidR="00762B76" w:rsidRPr="008F0683" w:rsidTr="00B81843">
        <w:trPr>
          <w:jc w:val="center"/>
        </w:trPr>
        <w:tc>
          <w:tcPr>
            <w:tcW w:w="3039" w:type="dxa"/>
            <w:shd w:val="clear" w:color="auto" w:fill="auto"/>
            <w:vAlign w:val="center"/>
          </w:tcPr>
          <w:p w:rsidR="00762B76" w:rsidRPr="007014CE" w:rsidRDefault="00762B76" w:rsidP="00B81843">
            <w:pPr>
              <w:jc w:val="center"/>
              <w:rPr>
                <w:rFonts w:ascii="Arial" w:hAnsi="Arial" w:cs="Arial"/>
                <w:b/>
                <w:bCs/>
                <w:noProof/>
                <w:sz w:val="20"/>
                <w:szCs w:val="20"/>
                <w:shd w:val="clear" w:color="auto" w:fill="FFFFFF"/>
              </w:rPr>
            </w:pPr>
            <w:r w:rsidRPr="007014CE">
              <w:rPr>
                <w:rFonts w:ascii="Arial" w:hAnsi="Arial" w:cs="Arial"/>
                <w:b/>
                <w:bCs/>
                <w:noProof/>
                <w:sz w:val="20"/>
                <w:szCs w:val="20"/>
                <w:shd w:val="clear" w:color="auto" w:fill="FFFFFF"/>
              </w:rPr>
              <w:t>S. Totales Volátiles</w:t>
            </w:r>
          </w:p>
        </w:tc>
        <w:tc>
          <w:tcPr>
            <w:tcW w:w="1780" w:type="dxa"/>
            <w:tcBorders>
              <w:left w:val="nil"/>
            </w:tcBorders>
            <w:shd w:val="clear" w:color="auto" w:fill="auto"/>
            <w:vAlign w:val="center"/>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300 mg/L</w:t>
            </w:r>
          </w:p>
        </w:tc>
        <w:tc>
          <w:tcPr>
            <w:tcW w:w="1591" w:type="dxa"/>
            <w:shd w:val="clear" w:color="auto" w:fill="auto"/>
            <w:vAlign w:val="center"/>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86 mg/L</w:t>
            </w:r>
          </w:p>
        </w:tc>
      </w:tr>
      <w:tr w:rsidR="00762B76" w:rsidRPr="008F0683" w:rsidTr="00B81843">
        <w:trPr>
          <w:jc w:val="center"/>
        </w:trPr>
        <w:tc>
          <w:tcPr>
            <w:tcW w:w="3039" w:type="dxa"/>
            <w:shd w:val="clear" w:color="auto" w:fill="auto"/>
            <w:vAlign w:val="center"/>
          </w:tcPr>
          <w:p w:rsidR="00762B76" w:rsidRPr="007014CE" w:rsidRDefault="00762B76" w:rsidP="00B81843">
            <w:pPr>
              <w:jc w:val="center"/>
              <w:rPr>
                <w:rFonts w:ascii="Arial" w:hAnsi="Arial" w:cs="Arial"/>
                <w:b/>
                <w:bCs/>
                <w:noProof/>
                <w:sz w:val="20"/>
                <w:szCs w:val="20"/>
                <w:shd w:val="clear" w:color="auto" w:fill="FFFFFF"/>
              </w:rPr>
            </w:pPr>
            <w:r w:rsidRPr="007014CE">
              <w:rPr>
                <w:rFonts w:ascii="Arial" w:hAnsi="Arial" w:cs="Arial"/>
                <w:b/>
                <w:bCs/>
                <w:noProof/>
                <w:sz w:val="20"/>
                <w:szCs w:val="20"/>
                <w:shd w:val="clear" w:color="auto" w:fill="FFFFFF"/>
              </w:rPr>
              <w:t>S. SuspendidosTotales</w:t>
            </w:r>
          </w:p>
        </w:tc>
        <w:tc>
          <w:tcPr>
            <w:tcW w:w="1780" w:type="dxa"/>
            <w:tcBorders>
              <w:left w:val="nil"/>
            </w:tcBorders>
            <w:shd w:val="clear" w:color="auto" w:fill="auto"/>
            <w:vAlign w:val="center"/>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125 mg/L</w:t>
            </w:r>
          </w:p>
        </w:tc>
        <w:tc>
          <w:tcPr>
            <w:tcW w:w="1591" w:type="dxa"/>
            <w:shd w:val="clear" w:color="auto" w:fill="auto"/>
            <w:vAlign w:val="center"/>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140 mg/L</w:t>
            </w:r>
          </w:p>
        </w:tc>
      </w:tr>
      <w:tr w:rsidR="00762B76" w:rsidRPr="008F0683" w:rsidTr="00B81843">
        <w:trPr>
          <w:jc w:val="center"/>
        </w:trPr>
        <w:tc>
          <w:tcPr>
            <w:tcW w:w="3039" w:type="dxa"/>
            <w:shd w:val="clear" w:color="auto" w:fill="auto"/>
            <w:vAlign w:val="center"/>
          </w:tcPr>
          <w:p w:rsidR="00762B76" w:rsidRPr="007014CE" w:rsidRDefault="00762B76" w:rsidP="00B81843">
            <w:pPr>
              <w:jc w:val="center"/>
              <w:rPr>
                <w:rFonts w:ascii="Arial" w:hAnsi="Arial" w:cs="Arial"/>
                <w:b/>
                <w:bCs/>
                <w:noProof/>
                <w:sz w:val="20"/>
                <w:szCs w:val="20"/>
                <w:shd w:val="clear" w:color="auto" w:fill="FFFFFF"/>
              </w:rPr>
            </w:pPr>
            <w:r w:rsidRPr="007014CE">
              <w:rPr>
                <w:rFonts w:ascii="Arial" w:hAnsi="Arial" w:cs="Arial"/>
                <w:b/>
                <w:bCs/>
                <w:noProof/>
                <w:sz w:val="20"/>
                <w:szCs w:val="20"/>
                <w:shd w:val="clear" w:color="auto" w:fill="FFFFFF"/>
              </w:rPr>
              <w:t>S. Suspendidos Volátiles</w:t>
            </w:r>
          </w:p>
        </w:tc>
        <w:tc>
          <w:tcPr>
            <w:tcW w:w="1780" w:type="dxa"/>
            <w:tcBorders>
              <w:left w:val="nil"/>
            </w:tcBorders>
            <w:shd w:val="clear" w:color="auto" w:fill="auto"/>
            <w:vAlign w:val="center"/>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85 mg/L</w:t>
            </w:r>
          </w:p>
        </w:tc>
        <w:tc>
          <w:tcPr>
            <w:tcW w:w="1591" w:type="dxa"/>
            <w:shd w:val="clear" w:color="auto" w:fill="auto"/>
            <w:vAlign w:val="center"/>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102 mg/L</w:t>
            </w:r>
          </w:p>
        </w:tc>
      </w:tr>
      <w:tr w:rsidR="00762B76" w:rsidRPr="008F0683" w:rsidTr="00B81843">
        <w:trPr>
          <w:jc w:val="center"/>
        </w:trPr>
        <w:tc>
          <w:tcPr>
            <w:tcW w:w="3039" w:type="dxa"/>
            <w:shd w:val="clear" w:color="auto" w:fill="auto"/>
            <w:vAlign w:val="center"/>
          </w:tcPr>
          <w:p w:rsidR="00762B76" w:rsidRPr="007014CE" w:rsidRDefault="00762B76" w:rsidP="00B81843">
            <w:pPr>
              <w:jc w:val="center"/>
              <w:rPr>
                <w:rFonts w:ascii="Arial" w:hAnsi="Arial" w:cs="Arial"/>
                <w:b/>
                <w:bCs/>
                <w:noProof/>
                <w:sz w:val="20"/>
                <w:szCs w:val="20"/>
                <w:shd w:val="clear" w:color="auto" w:fill="FFFFFF"/>
              </w:rPr>
            </w:pPr>
            <w:r w:rsidRPr="007014CE">
              <w:rPr>
                <w:rFonts w:ascii="Arial" w:hAnsi="Arial" w:cs="Arial"/>
                <w:b/>
                <w:bCs/>
                <w:noProof/>
                <w:sz w:val="20"/>
                <w:szCs w:val="20"/>
                <w:shd w:val="clear" w:color="auto" w:fill="FFFFFF"/>
              </w:rPr>
              <w:t>Dureza Total</w:t>
            </w:r>
          </w:p>
        </w:tc>
        <w:tc>
          <w:tcPr>
            <w:tcW w:w="1780" w:type="dxa"/>
            <w:tcBorders>
              <w:left w:val="nil"/>
            </w:tcBorders>
            <w:shd w:val="clear" w:color="auto" w:fill="auto"/>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150-300 ppm</w:t>
            </w:r>
          </w:p>
        </w:tc>
        <w:tc>
          <w:tcPr>
            <w:tcW w:w="1591" w:type="dxa"/>
            <w:shd w:val="clear" w:color="auto" w:fill="auto"/>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556.46 ppm</w:t>
            </w:r>
          </w:p>
        </w:tc>
      </w:tr>
      <w:tr w:rsidR="00762B76" w:rsidRPr="008F0683" w:rsidTr="00B81843">
        <w:trPr>
          <w:jc w:val="center"/>
        </w:trPr>
        <w:tc>
          <w:tcPr>
            <w:tcW w:w="3039" w:type="dxa"/>
            <w:shd w:val="clear" w:color="auto" w:fill="auto"/>
            <w:vAlign w:val="center"/>
          </w:tcPr>
          <w:p w:rsidR="00762B76" w:rsidRPr="007014CE" w:rsidRDefault="00762B76" w:rsidP="00B81843">
            <w:pPr>
              <w:jc w:val="center"/>
              <w:rPr>
                <w:rFonts w:ascii="Arial" w:hAnsi="Arial" w:cs="Arial"/>
                <w:b/>
                <w:bCs/>
                <w:noProof/>
                <w:sz w:val="20"/>
                <w:szCs w:val="20"/>
                <w:shd w:val="clear" w:color="auto" w:fill="FFFFFF"/>
              </w:rPr>
            </w:pPr>
            <w:r w:rsidRPr="007014CE">
              <w:rPr>
                <w:rFonts w:ascii="Arial" w:hAnsi="Arial" w:cs="Arial"/>
                <w:b/>
                <w:bCs/>
                <w:noProof/>
                <w:sz w:val="20"/>
                <w:szCs w:val="20"/>
                <w:shd w:val="clear" w:color="auto" w:fill="FFFFFF"/>
              </w:rPr>
              <w:t>Dureza Calcio</w:t>
            </w:r>
          </w:p>
        </w:tc>
        <w:tc>
          <w:tcPr>
            <w:tcW w:w="1780" w:type="dxa"/>
            <w:tcBorders>
              <w:left w:val="nil"/>
            </w:tcBorders>
            <w:shd w:val="clear" w:color="auto" w:fill="auto"/>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100 ppm</w:t>
            </w:r>
          </w:p>
        </w:tc>
        <w:tc>
          <w:tcPr>
            <w:tcW w:w="1591" w:type="dxa"/>
            <w:shd w:val="clear" w:color="auto" w:fill="auto"/>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388.35 ppm</w:t>
            </w:r>
          </w:p>
        </w:tc>
      </w:tr>
      <w:tr w:rsidR="00762B76" w:rsidRPr="008F0683" w:rsidTr="00B81843">
        <w:trPr>
          <w:jc w:val="center"/>
        </w:trPr>
        <w:tc>
          <w:tcPr>
            <w:tcW w:w="3039" w:type="dxa"/>
            <w:tcBorders>
              <w:bottom w:val="single" w:sz="12" w:space="0" w:color="auto"/>
            </w:tcBorders>
            <w:shd w:val="clear" w:color="auto" w:fill="auto"/>
            <w:vAlign w:val="center"/>
          </w:tcPr>
          <w:p w:rsidR="00762B76" w:rsidRPr="007014CE" w:rsidRDefault="00762B76" w:rsidP="00B81843">
            <w:pPr>
              <w:jc w:val="center"/>
              <w:rPr>
                <w:rFonts w:ascii="Arial" w:hAnsi="Arial" w:cs="Arial"/>
                <w:b/>
                <w:bCs/>
                <w:noProof/>
                <w:sz w:val="20"/>
                <w:szCs w:val="20"/>
                <w:shd w:val="clear" w:color="auto" w:fill="FFFFFF"/>
              </w:rPr>
            </w:pPr>
            <w:r w:rsidRPr="007014CE">
              <w:rPr>
                <w:rFonts w:ascii="Arial" w:hAnsi="Arial" w:cs="Arial"/>
                <w:b/>
                <w:bCs/>
                <w:noProof/>
                <w:sz w:val="20"/>
                <w:szCs w:val="20"/>
                <w:shd w:val="clear" w:color="auto" w:fill="FFFFFF"/>
              </w:rPr>
              <w:t>Dureza Magnesio</w:t>
            </w:r>
          </w:p>
        </w:tc>
        <w:tc>
          <w:tcPr>
            <w:tcW w:w="1780" w:type="dxa"/>
            <w:tcBorders>
              <w:left w:val="nil"/>
              <w:bottom w:val="single" w:sz="12" w:space="0" w:color="auto"/>
            </w:tcBorders>
            <w:shd w:val="clear" w:color="auto" w:fill="auto"/>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50 ppm</w:t>
            </w:r>
          </w:p>
        </w:tc>
        <w:tc>
          <w:tcPr>
            <w:tcW w:w="1591" w:type="dxa"/>
            <w:tcBorders>
              <w:bottom w:val="single" w:sz="12" w:space="0" w:color="auto"/>
            </w:tcBorders>
            <w:shd w:val="clear" w:color="auto" w:fill="auto"/>
          </w:tcPr>
          <w:p w:rsidR="00762B76" w:rsidRPr="008F0683" w:rsidRDefault="00762B76" w:rsidP="00B81843">
            <w:pPr>
              <w:jc w:val="center"/>
              <w:rPr>
                <w:rFonts w:ascii="Arial" w:hAnsi="Arial" w:cs="Arial"/>
                <w:noProof/>
                <w:sz w:val="20"/>
                <w:szCs w:val="20"/>
                <w:shd w:val="clear" w:color="auto" w:fill="FFFFFF"/>
              </w:rPr>
            </w:pPr>
            <w:r w:rsidRPr="008F0683">
              <w:rPr>
                <w:rFonts w:ascii="Arial" w:hAnsi="Arial" w:cs="Arial"/>
                <w:noProof/>
                <w:sz w:val="20"/>
                <w:szCs w:val="20"/>
                <w:shd w:val="clear" w:color="auto" w:fill="FFFFFF"/>
              </w:rPr>
              <w:t>168.11ppm</w:t>
            </w:r>
          </w:p>
        </w:tc>
      </w:tr>
    </w:tbl>
    <w:p w:rsidR="00762B76" w:rsidRPr="00A34838" w:rsidRDefault="00762B76" w:rsidP="00762B76">
      <w:pPr>
        <w:ind w:firstLine="567"/>
        <w:jc w:val="both"/>
        <w:rPr>
          <w:rFonts w:ascii="Arial" w:hAnsi="Arial" w:cs="Arial"/>
          <w:color w:val="000000"/>
        </w:rPr>
      </w:pPr>
    </w:p>
    <w:p w:rsidR="00762B76" w:rsidRPr="00A34838" w:rsidRDefault="00762B76" w:rsidP="00762B76">
      <w:pPr>
        <w:spacing w:line="360" w:lineRule="auto"/>
        <w:jc w:val="both"/>
        <w:rPr>
          <w:rFonts w:ascii="Arial" w:hAnsi="Arial" w:cs="Arial"/>
          <w:i/>
          <w:color w:val="000000"/>
        </w:rPr>
      </w:pPr>
      <w:bookmarkStart w:id="74" w:name="_Toc483335051"/>
      <w:bookmarkStart w:id="75" w:name="_Hlk44640729"/>
      <w:bookmarkEnd w:id="73"/>
      <w:r w:rsidRPr="00A34838">
        <w:rPr>
          <w:rFonts w:ascii="Arial" w:hAnsi="Arial" w:cs="Arial"/>
          <w:i/>
          <w:color w:val="000000"/>
        </w:rPr>
        <w:t>4.</w:t>
      </w:r>
      <w:r>
        <w:rPr>
          <w:rFonts w:ascii="Arial" w:hAnsi="Arial" w:cs="Arial"/>
          <w:i/>
          <w:color w:val="000000"/>
        </w:rPr>
        <w:t>2</w:t>
      </w:r>
      <w:r w:rsidRPr="00A34838">
        <w:rPr>
          <w:rFonts w:ascii="Arial" w:hAnsi="Arial" w:cs="Arial"/>
          <w:i/>
          <w:color w:val="000000"/>
        </w:rPr>
        <w:t xml:space="preserve">. </w:t>
      </w:r>
      <w:r>
        <w:rPr>
          <w:rFonts w:ascii="Arial" w:hAnsi="Arial" w:cs="Arial"/>
          <w:i/>
          <w:color w:val="000000"/>
        </w:rPr>
        <w:t>Perfil de</w:t>
      </w:r>
      <w:r w:rsidRPr="00A34838">
        <w:rPr>
          <w:rFonts w:ascii="Arial" w:hAnsi="Arial" w:cs="Arial"/>
          <w:i/>
          <w:color w:val="000000"/>
        </w:rPr>
        <w:t xml:space="preserve"> pH</w:t>
      </w:r>
      <w:bookmarkEnd w:id="74"/>
      <w:r>
        <w:rPr>
          <w:rFonts w:ascii="Arial" w:hAnsi="Arial" w:cs="Arial"/>
          <w:i/>
          <w:color w:val="000000"/>
        </w:rPr>
        <w:t>,</w:t>
      </w:r>
      <w:r w:rsidRPr="00A34838">
        <w:rPr>
          <w:rFonts w:ascii="Arial" w:hAnsi="Arial" w:cs="Arial"/>
          <w:i/>
          <w:color w:val="000000"/>
        </w:rPr>
        <w:t xml:space="preserve"> Grasas y Aceites del Agua Residual tratada con electroquímica</w:t>
      </w:r>
    </w:p>
    <w:p w:rsidR="00762B76" w:rsidRDefault="00762B76" w:rsidP="00762B76">
      <w:pPr>
        <w:ind w:firstLine="567"/>
        <w:jc w:val="both"/>
        <w:rPr>
          <w:rFonts w:ascii="Arial" w:hAnsi="Arial" w:cs="Arial"/>
          <w:color w:val="000000"/>
        </w:rPr>
      </w:pPr>
      <w:r w:rsidRPr="00A34838">
        <w:rPr>
          <w:rFonts w:ascii="Arial" w:hAnsi="Arial" w:cs="Arial"/>
          <w:color w:val="000000"/>
        </w:rPr>
        <w:lastRenderedPageBreak/>
        <w:t xml:space="preserve">En la </w:t>
      </w:r>
      <w:r w:rsidRPr="00A34838">
        <w:rPr>
          <w:rFonts w:ascii="Arial" w:hAnsi="Arial" w:cs="Arial"/>
          <w:i/>
          <w:iCs/>
          <w:color w:val="000000"/>
        </w:rPr>
        <w:t>Figura 4</w:t>
      </w:r>
      <w:r w:rsidRPr="00A34838">
        <w:rPr>
          <w:rFonts w:ascii="Arial" w:hAnsi="Arial" w:cs="Arial"/>
          <w:color w:val="000000"/>
        </w:rPr>
        <w:t xml:space="preserve"> se muestra como tiempo 0 el valor del análisis de pH sin tratamiento electroquímico se puede observar que a mayor aumento del potencial, el pH se vuelve más acido, esto se debe a la reacción que se da en el electrodo de aluminio donde se libera hidrogeno. Es favorable aplicar un potencial de 1 V a 50 V ya que los valores de pH se encuentran permisibles dentro de la norma oficial mexicana de 10-5.5 pH.</w:t>
      </w:r>
      <w:r>
        <w:rPr>
          <w:rFonts w:ascii="Arial" w:hAnsi="Arial" w:cs="Arial"/>
          <w:color w:val="000000"/>
        </w:rPr>
        <w:t xml:space="preserve"> </w:t>
      </w:r>
      <w:r w:rsidRPr="00A34838">
        <w:rPr>
          <w:rFonts w:ascii="Arial" w:hAnsi="Arial" w:cs="Arial"/>
          <w:color w:val="000000"/>
        </w:rPr>
        <w:t xml:space="preserve">En la </w:t>
      </w:r>
      <w:r w:rsidRPr="004901F6">
        <w:rPr>
          <w:rFonts w:ascii="Arial" w:hAnsi="Arial" w:cs="Arial"/>
          <w:i/>
          <w:iCs/>
          <w:color w:val="000000"/>
        </w:rPr>
        <w:t>Figura 5</w:t>
      </w:r>
      <w:r w:rsidRPr="004901F6">
        <w:rPr>
          <w:rFonts w:ascii="Arial" w:hAnsi="Arial" w:cs="Arial"/>
          <w:color w:val="000000"/>
        </w:rPr>
        <w:t xml:space="preserve"> </w:t>
      </w:r>
      <w:r>
        <w:rPr>
          <w:rFonts w:ascii="Arial" w:hAnsi="Arial" w:cs="Arial"/>
          <w:color w:val="000000"/>
        </w:rPr>
        <w:t>s</w:t>
      </w:r>
      <w:r w:rsidRPr="004901F6">
        <w:rPr>
          <w:rFonts w:ascii="Arial" w:hAnsi="Arial" w:cs="Arial"/>
          <w:color w:val="000000"/>
        </w:rPr>
        <w:t>e</w:t>
      </w:r>
      <w:r w:rsidRPr="00A34838">
        <w:rPr>
          <w:rFonts w:ascii="Arial" w:hAnsi="Arial" w:cs="Arial"/>
          <w:color w:val="000000"/>
        </w:rPr>
        <w:t xml:space="preserve"> presentan los resultados de aceites y grasas a diferen</w:t>
      </w:r>
      <w:r>
        <w:rPr>
          <w:rFonts w:ascii="Arial" w:hAnsi="Arial" w:cs="Arial"/>
          <w:color w:val="000000"/>
        </w:rPr>
        <w:t>te</w:t>
      </w:r>
      <w:r w:rsidRPr="00A34838">
        <w:rPr>
          <w:rFonts w:ascii="Arial" w:hAnsi="Arial" w:cs="Arial"/>
          <w:color w:val="000000"/>
        </w:rPr>
        <w:t xml:space="preserve">s voltajes donde se analiza </w:t>
      </w:r>
      <w:r>
        <w:rPr>
          <w:rFonts w:ascii="Arial" w:hAnsi="Arial" w:cs="Arial"/>
          <w:color w:val="000000"/>
        </w:rPr>
        <w:t xml:space="preserve">la </w:t>
      </w:r>
      <w:r w:rsidRPr="00A34838">
        <w:rPr>
          <w:rFonts w:ascii="Arial" w:hAnsi="Arial" w:cs="Arial"/>
          <w:color w:val="000000"/>
        </w:rPr>
        <w:t>degrada</w:t>
      </w:r>
      <w:r>
        <w:rPr>
          <w:rFonts w:ascii="Arial" w:hAnsi="Arial" w:cs="Arial"/>
          <w:color w:val="000000"/>
        </w:rPr>
        <w:t>ció</w:t>
      </w:r>
      <w:r w:rsidRPr="00A34838">
        <w:rPr>
          <w:rFonts w:ascii="Arial" w:hAnsi="Arial" w:cs="Arial"/>
          <w:color w:val="000000"/>
        </w:rPr>
        <w:t xml:space="preserve">n a mayor aumento de potencial en cada experimento. </w:t>
      </w:r>
      <w:r>
        <w:rPr>
          <w:rFonts w:ascii="Arial" w:hAnsi="Arial" w:cs="Arial"/>
          <w:color w:val="000000"/>
        </w:rPr>
        <w:t xml:space="preserve">Se tiene los </w:t>
      </w:r>
      <w:r w:rsidRPr="00A34838">
        <w:rPr>
          <w:rFonts w:ascii="Arial" w:hAnsi="Arial" w:cs="Arial"/>
          <w:color w:val="000000"/>
        </w:rPr>
        <w:t xml:space="preserve">valores de aceites y grasas en el agua residual </w:t>
      </w:r>
      <w:r>
        <w:rPr>
          <w:rFonts w:ascii="Arial" w:hAnsi="Arial" w:cs="Arial"/>
          <w:color w:val="000000"/>
        </w:rPr>
        <w:t xml:space="preserve">dentro del limite </w:t>
      </w:r>
      <w:r w:rsidRPr="00A34838">
        <w:rPr>
          <w:rFonts w:ascii="Arial" w:hAnsi="Arial" w:cs="Arial"/>
          <w:color w:val="000000"/>
        </w:rPr>
        <w:t>permisible para cada experimento</w:t>
      </w:r>
      <w:r>
        <w:rPr>
          <w:rFonts w:ascii="Arial" w:hAnsi="Arial" w:cs="Arial"/>
          <w:color w:val="000000"/>
        </w:rPr>
        <w:t>,</w:t>
      </w:r>
      <w:r w:rsidRPr="00A34838">
        <w:rPr>
          <w:rFonts w:ascii="Arial" w:hAnsi="Arial" w:cs="Arial"/>
          <w:color w:val="000000"/>
        </w:rPr>
        <w:t xml:space="preserve"> no es necesario reducir los niveles de aceites y grasas en el agua residual pero a pesar de ello </w:t>
      </w:r>
      <w:r>
        <w:rPr>
          <w:rFonts w:ascii="Arial" w:hAnsi="Arial" w:cs="Arial"/>
          <w:color w:val="000000"/>
        </w:rPr>
        <w:t>ante</w:t>
      </w:r>
      <w:r w:rsidRPr="00A34838">
        <w:rPr>
          <w:rFonts w:ascii="Arial" w:hAnsi="Arial" w:cs="Arial"/>
          <w:color w:val="000000"/>
        </w:rPr>
        <w:t xml:space="preserve"> cualquier </w:t>
      </w:r>
      <w:r>
        <w:rPr>
          <w:rFonts w:ascii="Arial" w:hAnsi="Arial" w:cs="Arial"/>
          <w:color w:val="000000"/>
        </w:rPr>
        <w:t xml:space="preserve">eventualidad futura </w:t>
      </w:r>
      <w:r w:rsidRPr="00A34838">
        <w:rPr>
          <w:rFonts w:ascii="Arial" w:hAnsi="Arial" w:cs="Arial"/>
          <w:color w:val="000000"/>
        </w:rPr>
        <w:t>donde se exceda</w:t>
      </w:r>
      <w:r>
        <w:rPr>
          <w:rFonts w:ascii="Arial" w:hAnsi="Arial" w:cs="Arial"/>
          <w:color w:val="000000"/>
        </w:rPr>
        <w:t>n</w:t>
      </w:r>
      <w:r w:rsidRPr="00A34838">
        <w:rPr>
          <w:rFonts w:ascii="Arial" w:hAnsi="Arial" w:cs="Arial"/>
          <w:color w:val="000000"/>
        </w:rPr>
        <w:t xml:space="preserve"> estos niveles, </w:t>
      </w:r>
      <w:r>
        <w:rPr>
          <w:rFonts w:ascii="Arial" w:hAnsi="Arial" w:cs="Arial"/>
          <w:color w:val="000000"/>
        </w:rPr>
        <w:t xml:space="preserve">es factible </w:t>
      </w:r>
      <w:r w:rsidRPr="00A34838">
        <w:rPr>
          <w:rFonts w:ascii="Arial" w:hAnsi="Arial" w:cs="Arial"/>
          <w:color w:val="000000"/>
        </w:rPr>
        <w:t xml:space="preserve">aplicar un potencial de 50 V a 80 V </w:t>
      </w:r>
      <w:r>
        <w:rPr>
          <w:rFonts w:ascii="Arial" w:hAnsi="Arial" w:cs="Arial"/>
          <w:color w:val="000000"/>
        </w:rPr>
        <w:t>para su</w:t>
      </w:r>
      <w:r w:rsidRPr="00A34838">
        <w:rPr>
          <w:rFonts w:ascii="Arial" w:hAnsi="Arial" w:cs="Arial"/>
          <w:color w:val="000000"/>
        </w:rPr>
        <w:t xml:space="preserve"> la degradación.</w:t>
      </w:r>
    </w:p>
    <w:p w:rsidR="00762B76" w:rsidRDefault="00762B76" w:rsidP="00762B76">
      <w:pPr>
        <w:ind w:firstLine="567"/>
        <w:jc w:val="both"/>
        <w:rPr>
          <w:rFonts w:ascii="Arial" w:hAnsi="Arial" w:cs="Arial"/>
          <w:color w:val="000000"/>
        </w:rPr>
      </w:pPr>
    </w:p>
    <w:p w:rsidR="00762B76" w:rsidRPr="00B721C7" w:rsidRDefault="00762B76" w:rsidP="00762B76">
      <w:pPr>
        <w:jc w:val="center"/>
        <w:rPr>
          <w:rFonts w:ascii="Arial" w:hAnsi="Arial" w:cs="Arial"/>
          <w:color w:val="000000"/>
        </w:rPr>
      </w:pPr>
      <w:r w:rsidRPr="00B721C7">
        <w:rPr>
          <w:rFonts w:ascii="Arial" w:hAnsi="Arial" w:cs="Arial"/>
        </w:rPr>
        <w:t xml:space="preserve">  </w:t>
      </w:r>
      <w:r w:rsidRPr="00B721C7">
        <w:rPr>
          <w:rFonts w:ascii="Arial" w:hAnsi="Arial" w:cs="Arial"/>
          <w:noProof/>
          <w:lang w:val="en-US"/>
        </w:rPr>
        <w:drawing>
          <wp:inline distT="0" distB="0" distL="0" distR="0" wp14:anchorId="7B70F185" wp14:editId="36EE7A19">
            <wp:extent cx="2828925" cy="1343025"/>
            <wp:effectExtent l="0" t="0" r="9525" b="9525"/>
            <wp:docPr id="1674859482" name="Imagen 167485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28925" cy="1343025"/>
                    </a:xfrm>
                    <a:prstGeom prst="rect">
                      <a:avLst/>
                    </a:prstGeom>
                    <a:noFill/>
                    <a:ln>
                      <a:noFill/>
                    </a:ln>
                  </pic:spPr>
                </pic:pic>
              </a:graphicData>
            </a:graphic>
          </wp:inline>
        </w:drawing>
      </w:r>
      <w:r w:rsidRPr="00B721C7">
        <w:rPr>
          <w:rFonts w:ascii="Arial" w:hAnsi="Arial" w:cs="Arial"/>
        </w:rPr>
        <w:t xml:space="preserve">    </w:t>
      </w:r>
      <w:r w:rsidRPr="00B721C7">
        <w:rPr>
          <w:rFonts w:ascii="Arial" w:hAnsi="Arial" w:cs="Arial"/>
          <w:noProof/>
          <w:lang w:val="en-US"/>
        </w:rPr>
        <w:drawing>
          <wp:inline distT="0" distB="0" distL="0" distR="0" wp14:anchorId="75CED171" wp14:editId="1A45DD61">
            <wp:extent cx="2733675" cy="1381125"/>
            <wp:effectExtent l="0" t="0" r="9525" b="9525"/>
            <wp:docPr id="1674859481" name="Imagen 167485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33675" cy="1381125"/>
                    </a:xfrm>
                    <a:prstGeom prst="rect">
                      <a:avLst/>
                    </a:prstGeom>
                    <a:noFill/>
                    <a:ln>
                      <a:noFill/>
                    </a:ln>
                  </pic:spPr>
                </pic:pic>
              </a:graphicData>
            </a:graphic>
          </wp:inline>
        </w:drawing>
      </w:r>
    </w:p>
    <w:p w:rsidR="00762B76" w:rsidRPr="004901F6" w:rsidRDefault="00762B76" w:rsidP="00762B76">
      <w:pPr>
        <w:jc w:val="center"/>
        <w:rPr>
          <w:rFonts w:ascii="Arial" w:hAnsi="Arial" w:cs="Arial"/>
          <w:bCs/>
          <w:i/>
          <w:sz w:val="20"/>
          <w:szCs w:val="20"/>
        </w:rPr>
      </w:pPr>
      <w:r>
        <w:rPr>
          <w:rFonts w:ascii="Arial" w:hAnsi="Arial" w:cs="Arial"/>
          <w:bCs/>
          <w:i/>
          <w:sz w:val="20"/>
          <w:szCs w:val="20"/>
        </w:rPr>
        <w:t xml:space="preserve">            </w:t>
      </w:r>
      <w:r w:rsidRPr="004901F6">
        <w:rPr>
          <w:rFonts w:ascii="Arial" w:hAnsi="Arial" w:cs="Arial"/>
          <w:bCs/>
          <w:i/>
          <w:sz w:val="20"/>
          <w:szCs w:val="20"/>
        </w:rPr>
        <w:t xml:space="preserve">Figura 4. </w:t>
      </w:r>
      <w:r>
        <w:rPr>
          <w:rFonts w:ascii="Arial" w:hAnsi="Arial" w:cs="Arial"/>
          <w:bCs/>
          <w:i/>
          <w:sz w:val="20"/>
          <w:szCs w:val="20"/>
        </w:rPr>
        <w:t>Perfiles</w:t>
      </w:r>
      <w:r w:rsidRPr="004901F6">
        <w:rPr>
          <w:rFonts w:ascii="Arial" w:hAnsi="Arial" w:cs="Arial"/>
          <w:bCs/>
          <w:i/>
          <w:sz w:val="20"/>
          <w:szCs w:val="20"/>
        </w:rPr>
        <w:t xml:space="preserve"> de pH </w:t>
      </w:r>
      <w:r>
        <w:rPr>
          <w:rFonts w:ascii="Arial" w:hAnsi="Arial" w:cs="Arial"/>
          <w:bCs/>
          <w:i/>
          <w:sz w:val="20"/>
          <w:szCs w:val="20"/>
        </w:rPr>
        <w:t>vs V</w:t>
      </w:r>
      <w:r w:rsidRPr="004901F6">
        <w:rPr>
          <w:rFonts w:ascii="Arial" w:hAnsi="Arial" w:cs="Arial"/>
          <w:bCs/>
          <w:i/>
          <w:sz w:val="20"/>
          <w:szCs w:val="20"/>
        </w:rPr>
        <w:t>oltaje</w:t>
      </w:r>
      <w:r>
        <w:rPr>
          <w:rFonts w:ascii="Arial" w:hAnsi="Arial" w:cs="Arial"/>
          <w:bCs/>
          <w:i/>
          <w:sz w:val="20"/>
          <w:szCs w:val="20"/>
        </w:rPr>
        <w:t>-T</w:t>
      </w:r>
      <w:r w:rsidRPr="004901F6">
        <w:rPr>
          <w:rFonts w:ascii="Arial" w:hAnsi="Arial" w:cs="Arial"/>
          <w:bCs/>
          <w:i/>
          <w:sz w:val="20"/>
          <w:szCs w:val="20"/>
        </w:rPr>
        <w:t>iempo</w:t>
      </w:r>
      <w:r>
        <w:rPr>
          <w:rFonts w:ascii="Arial" w:hAnsi="Arial" w:cs="Arial"/>
          <w:bCs/>
          <w:i/>
          <w:sz w:val="20"/>
          <w:szCs w:val="20"/>
        </w:rPr>
        <w:t xml:space="preserve"> </w:t>
      </w:r>
      <w:r w:rsidRPr="004901F6">
        <w:rPr>
          <w:rFonts w:ascii="Arial" w:hAnsi="Arial" w:cs="Arial"/>
          <w:bCs/>
          <w:i/>
          <w:sz w:val="20"/>
          <w:szCs w:val="20"/>
        </w:rPr>
        <w:t xml:space="preserve"> </w:t>
      </w:r>
      <w:r>
        <w:rPr>
          <w:rFonts w:ascii="Arial" w:hAnsi="Arial" w:cs="Arial"/>
          <w:bCs/>
          <w:i/>
          <w:sz w:val="20"/>
          <w:szCs w:val="20"/>
        </w:rPr>
        <w:t xml:space="preserve">   </w:t>
      </w:r>
      <w:r w:rsidRPr="004901F6">
        <w:rPr>
          <w:rFonts w:ascii="Arial" w:hAnsi="Arial" w:cs="Arial"/>
          <w:bCs/>
          <w:i/>
          <w:sz w:val="20"/>
          <w:szCs w:val="20"/>
        </w:rPr>
        <w:t xml:space="preserve">Figura 5. </w:t>
      </w:r>
      <w:r>
        <w:rPr>
          <w:rFonts w:ascii="Arial" w:hAnsi="Arial" w:cs="Arial"/>
          <w:bCs/>
          <w:i/>
          <w:sz w:val="20"/>
          <w:szCs w:val="20"/>
        </w:rPr>
        <w:t xml:space="preserve">Perfiles </w:t>
      </w:r>
      <w:r w:rsidRPr="004901F6">
        <w:rPr>
          <w:rFonts w:ascii="Arial" w:hAnsi="Arial" w:cs="Arial"/>
          <w:bCs/>
          <w:i/>
          <w:sz w:val="20"/>
          <w:szCs w:val="20"/>
        </w:rPr>
        <w:t>de grasas</w:t>
      </w:r>
      <w:r>
        <w:rPr>
          <w:rFonts w:ascii="Arial" w:hAnsi="Arial" w:cs="Arial"/>
          <w:bCs/>
          <w:i/>
          <w:sz w:val="20"/>
          <w:szCs w:val="20"/>
        </w:rPr>
        <w:t>-</w:t>
      </w:r>
      <w:r w:rsidRPr="004901F6">
        <w:rPr>
          <w:rFonts w:ascii="Arial" w:hAnsi="Arial" w:cs="Arial"/>
          <w:bCs/>
          <w:i/>
          <w:sz w:val="20"/>
          <w:szCs w:val="20"/>
        </w:rPr>
        <w:t xml:space="preserve">aceites </w:t>
      </w:r>
      <w:r>
        <w:rPr>
          <w:rFonts w:ascii="Arial" w:hAnsi="Arial" w:cs="Arial"/>
          <w:bCs/>
          <w:i/>
          <w:sz w:val="20"/>
          <w:szCs w:val="20"/>
        </w:rPr>
        <w:t xml:space="preserve">vs </w:t>
      </w:r>
      <w:r w:rsidRPr="004901F6">
        <w:rPr>
          <w:rFonts w:ascii="Arial" w:hAnsi="Arial" w:cs="Arial"/>
          <w:bCs/>
          <w:i/>
          <w:sz w:val="20"/>
          <w:szCs w:val="20"/>
        </w:rPr>
        <w:t>voltaje</w:t>
      </w:r>
      <w:r>
        <w:rPr>
          <w:rFonts w:ascii="Arial" w:hAnsi="Arial" w:cs="Arial"/>
          <w:bCs/>
          <w:i/>
          <w:sz w:val="20"/>
          <w:szCs w:val="20"/>
        </w:rPr>
        <w:t>-</w:t>
      </w:r>
      <w:r w:rsidRPr="004901F6">
        <w:rPr>
          <w:rFonts w:ascii="Arial" w:hAnsi="Arial" w:cs="Arial"/>
          <w:bCs/>
          <w:i/>
          <w:sz w:val="20"/>
          <w:szCs w:val="20"/>
        </w:rPr>
        <w:t>tiempo</w:t>
      </w:r>
    </w:p>
    <w:p w:rsidR="00762B76" w:rsidRPr="00A34838" w:rsidRDefault="00762B76" w:rsidP="00762B76">
      <w:pPr>
        <w:spacing w:line="360" w:lineRule="auto"/>
        <w:jc w:val="both"/>
        <w:rPr>
          <w:rFonts w:ascii="Arial" w:hAnsi="Arial" w:cs="Arial"/>
          <w:i/>
          <w:color w:val="000000"/>
        </w:rPr>
      </w:pPr>
      <w:bookmarkStart w:id="76" w:name="_Toc483335052"/>
      <w:r w:rsidRPr="00A34838">
        <w:rPr>
          <w:rFonts w:ascii="Arial" w:hAnsi="Arial" w:cs="Arial"/>
          <w:i/>
          <w:color w:val="000000"/>
        </w:rPr>
        <w:t>4.</w:t>
      </w:r>
      <w:r>
        <w:rPr>
          <w:rFonts w:ascii="Arial" w:hAnsi="Arial" w:cs="Arial"/>
          <w:i/>
          <w:color w:val="000000"/>
        </w:rPr>
        <w:t>3</w:t>
      </w:r>
      <w:r w:rsidRPr="00A34838">
        <w:rPr>
          <w:rFonts w:ascii="Arial" w:hAnsi="Arial" w:cs="Arial"/>
          <w:i/>
          <w:color w:val="000000"/>
        </w:rPr>
        <w:t xml:space="preserve">. </w:t>
      </w:r>
      <w:r>
        <w:rPr>
          <w:rFonts w:ascii="Arial" w:hAnsi="Arial" w:cs="Arial"/>
          <w:i/>
          <w:color w:val="000000"/>
        </w:rPr>
        <w:t xml:space="preserve">Perfil </w:t>
      </w:r>
      <w:r w:rsidRPr="00A34838">
        <w:rPr>
          <w:rFonts w:ascii="Arial" w:hAnsi="Arial" w:cs="Arial"/>
          <w:i/>
          <w:color w:val="000000"/>
        </w:rPr>
        <w:t xml:space="preserve">de Dureza </w:t>
      </w:r>
      <w:r>
        <w:rPr>
          <w:rFonts w:ascii="Arial" w:hAnsi="Arial" w:cs="Arial"/>
          <w:i/>
          <w:color w:val="000000"/>
        </w:rPr>
        <w:t xml:space="preserve">Total, Calcio y Magnesio </w:t>
      </w:r>
      <w:r w:rsidRPr="00A34838">
        <w:rPr>
          <w:rFonts w:ascii="Arial" w:hAnsi="Arial" w:cs="Arial"/>
          <w:i/>
          <w:color w:val="000000"/>
        </w:rPr>
        <w:t>de</w:t>
      </w:r>
      <w:bookmarkEnd w:id="76"/>
      <w:r w:rsidRPr="00A34838">
        <w:rPr>
          <w:rFonts w:ascii="Arial" w:hAnsi="Arial" w:cs="Arial"/>
          <w:i/>
          <w:color w:val="000000"/>
        </w:rPr>
        <w:t>l Agua Residual tratada con electroquímica</w:t>
      </w:r>
    </w:p>
    <w:p w:rsidR="00762B76" w:rsidRDefault="00762B76" w:rsidP="00762B76">
      <w:pPr>
        <w:ind w:firstLine="567"/>
        <w:jc w:val="both"/>
        <w:rPr>
          <w:rFonts w:ascii="Arial" w:hAnsi="Arial" w:cs="Arial"/>
          <w:color w:val="000000"/>
        </w:rPr>
      </w:pPr>
      <w:r w:rsidRPr="00A34838">
        <w:rPr>
          <w:rFonts w:ascii="Arial" w:hAnsi="Arial" w:cs="Arial"/>
          <w:color w:val="000000"/>
        </w:rPr>
        <w:t xml:space="preserve">En la </w:t>
      </w:r>
      <w:r w:rsidRPr="00A34838">
        <w:rPr>
          <w:rFonts w:ascii="Arial" w:hAnsi="Arial" w:cs="Arial"/>
          <w:i/>
          <w:iCs/>
          <w:color w:val="000000"/>
        </w:rPr>
        <w:t xml:space="preserve">Figura </w:t>
      </w:r>
      <w:r>
        <w:rPr>
          <w:rFonts w:ascii="Arial" w:hAnsi="Arial" w:cs="Arial"/>
          <w:i/>
          <w:iCs/>
          <w:color w:val="000000"/>
        </w:rPr>
        <w:t>6</w:t>
      </w:r>
      <w:r w:rsidRPr="00A34838">
        <w:rPr>
          <w:rFonts w:ascii="Arial" w:hAnsi="Arial" w:cs="Arial"/>
          <w:color w:val="000000"/>
        </w:rPr>
        <w:t xml:space="preserve"> se presenta como se degrada la dureza total con respecto al tiempo comparando los </w:t>
      </w:r>
      <w:r>
        <w:rPr>
          <w:rFonts w:ascii="Arial" w:hAnsi="Arial" w:cs="Arial"/>
          <w:color w:val="000000"/>
        </w:rPr>
        <w:t>cinco</w:t>
      </w:r>
      <w:r w:rsidRPr="00A34838">
        <w:rPr>
          <w:rFonts w:ascii="Arial" w:hAnsi="Arial" w:cs="Arial"/>
          <w:color w:val="000000"/>
        </w:rPr>
        <w:t xml:space="preserve"> experimentos donde se muestra que es más eficaz utilizar un potencial entre 50 V a 100 V ya que los resultados de los análisis se encuentran entre los datos permisibles bajo las normas mexicanas.</w:t>
      </w:r>
      <w:bookmarkStart w:id="77" w:name="_Toc483334939"/>
      <w:r>
        <w:rPr>
          <w:rFonts w:ascii="Arial" w:hAnsi="Arial" w:cs="Arial"/>
          <w:color w:val="000000"/>
        </w:rPr>
        <w:t xml:space="preserve"> </w:t>
      </w:r>
      <w:r w:rsidRPr="00A34838">
        <w:rPr>
          <w:rFonts w:ascii="Arial" w:hAnsi="Arial" w:cs="Arial"/>
          <w:color w:val="000000"/>
        </w:rPr>
        <w:t xml:space="preserve">En la </w:t>
      </w:r>
      <w:r w:rsidRPr="00A34838">
        <w:rPr>
          <w:rFonts w:ascii="Arial" w:hAnsi="Arial" w:cs="Arial"/>
          <w:i/>
          <w:iCs/>
          <w:color w:val="000000"/>
        </w:rPr>
        <w:t xml:space="preserve">Figura </w:t>
      </w:r>
      <w:r>
        <w:rPr>
          <w:rFonts w:ascii="Arial" w:hAnsi="Arial" w:cs="Arial"/>
          <w:i/>
          <w:iCs/>
          <w:color w:val="000000"/>
        </w:rPr>
        <w:t>7</w:t>
      </w:r>
      <w:r w:rsidRPr="00A34838">
        <w:rPr>
          <w:rFonts w:ascii="Arial" w:hAnsi="Arial" w:cs="Arial"/>
          <w:color w:val="000000"/>
        </w:rPr>
        <w:t xml:space="preserve"> las curvas que se presentan una mayor remoción son de 80V a 100V en 1 hora  transcurrida es debido a que el primer valor de tiempo 0 hora es con respecto al resultado del análisis del agua residual sin tratar y es más eficaz. Los resultados obtenidos en los análisis se encuentran dentro limites permisibles bajo las normas mexicanas.</w:t>
      </w:r>
    </w:p>
    <w:p w:rsidR="00762B76" w:rsidRPr="00A34838" w:rsidRDefault="00762B76" w:rsidP="00762B76">
      <w:pPr>
        <w:ind w:firstLine="567"/>
        <w:jc w:val="both"/>
        <w:rPr>
          <w:rFonts w:ascii="Arial" w:hAnsi="Arial" w:cs="Arial"/>
          <w:color w:val="000000"/>
        </w:rPr>
      </w:pPr>
    </w:p>
    <w:p w:rsidR="00762B76" w:rsidRPr="00B721C7" w:rsidRDefault="00762B76" w:rsidP="00762B76">
      <w:pPr>
        <w:jc w:val="center"/>
        <w:rPr>
          <w:rFonts w:ascii="Arial" w:hAnsi="Arial" w:cs="Arial"/>
          <w:color w:val="000000"/>
        </w:rPr>
      </w:pPr>
      <w:r w:rsidRPr="00B721C7">
        <w:rPr>
          <w:rFonts w:ascii="Arial" w:hAnsi="Arial" w:cs="Arial"/>
        </w:rPr>
        <w:t xml:space="preserve"> </w:t>
      </w:r>
      <w:r w:rsidRPr="00B721C7">
        <w:rPr>
          <w:rFonts w:ascii="Arial" w:hAnsi="Arial" w:cs="Arial"/>
          <w:noProof/>
          <w:lang w:val="en-US"/>
        </w:rPr>
        <w:drawing>
          <wp:inline distT="0" distB="0" distL="0" distR="0" wp14:anchorId="054A9980" wp14:editId="19EF6D03">
            <wp:extent cx="2752725" cy="1343025"/>
            <wp:effectExtent l="0" t="0" r="9525" b="9525"/>
            <wp:docPr id="1674859480" name="Imagen 167485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52725" cy="1343025"/>
                    </a:xfrm>
                    <a:prstGeom prst="rect">
                      <a:avLst/>
                    </a:prstGeom>
                    <a:noFill/>
                    <a:ln>
                      <a:noFill/>
                    </a:ln>
                  </pic:spPr>
                </pic:pic>
              </a:graphicData>
            </a:graphic>
          </wp:inline>
        </w:drawing>
      </w:r>
      <w:r w:rsidRPr="00B721C7">
        <w:rPr>
          <w:rFonts w:ascii="Arial" w:hAnsi="Arial" w:cs="Arial"/>
        </w:rPr>
        <w:t xml:space="preserve">         </w:t>
      </w:r>
      <w:r w:rsidRPr="00B721C7">
        <w:rPr>
          <w:rFonts w:ascii="Arial" w:hAnsi="Arial" w:cs="Arial"/>
          <w:noProof/>
          <w:lang w:val="en-US"/>
        </w:rPr>
        <w:drawing>
          <wp:inline distT="0" distB="0" distL="0" distR="0" wp14:anchorId="1135D7B2" wp14:editId="59A085B4">
            <wp:extent cx="2695575" cy="1352550"/>
            <wp:effectExtent l="0" t="0" r="9525" b="0"/>
            <wp:docPr id="1674859479" name="Imagen 167485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695575" cy="1352550"/>
                    </a:xfrm>
                    <a:prstGeom prst="rect">
                      <a:avLst/>
                    </a:prstGeom>
                    <a:noFill/>
                    <a:ln>
                      <a:noFill/>
                    </a:ln>
                  </pic:spPr>
                </pic:pic>
              </a:graphicData>
            </a:graphic>
          </wp:inline>
        </w:drawing>
      </w:r>
    </w:p>
    <w:p w:rsidR="00762B76" w:rsidRPr="004901F6" w:rsidRDefault="00762B76" w:rsidP="00762B76">
      <w:pPr>
        <w:rPr>
          <w:rFonts w:ascii="Arial" w:hAnsi="Arial" w:cs="Arial"/>
          <w:bCs/>
          <w:i/>
          <w:sz w:val="20"/>
          <w:szCs w:val="20"/>
        </w:rPr>
      </w:pPr>
      <w:r w:rsidRPr="004901F6">
        <w:rPr>
          <w:rFonts w:ascii="Arial" w:hAnsi="Arial" w:cs="Arial"/>
          <w:bCs/>
          <w:i/>
          <w:sz w:val="20"/>
          <w:szCs w:val="20"/>
        </w:rPr>
        <w:t xml:space="preserve">Figura 6. </w:t>
      </w:r>
      <w:r>
        <w:rPr>
          <w:rFonts w:ascii="Arial" w:hAnsi="Arial" w:cs="Arial"/>
          <w:bCs/>
          <w:i/>
          <w:sz w:val="20"/>
          <w:szCs w:val="20"/>
        </w:rPr>
        <w:t>Perfiles</w:t>
      </w:r>
      <w:r w:rsidRPr="004901F6">
        <w:rPr>
          <w:rFonts w:ascii="Arial" w:hAnsi="Arial" w:cs="Arial"/>
          <w:bCs/>
          <w:i/>
          <w:sz w:val="20"/>
          <w:szCs w:val="20"/>
        </w:rPr>
        <w:t xml:space="preserve"> de dureza total</w:t>
      </w:r>
      <w:r w:rsidRPr="00944009">
        <w:rPr>
          <w:rFonts w:ascii="Arial" w:hAnsi="Arial" w:cs="Arial"/>
          <w:bCs/>
          <w:i/>
          <w:sz w:val="20"/>
          <w:szCs w:val="20"/>
        </w:rPr>
        <w:t xml:space="preserve"> </w:t>
      </w:r>
      <w:r>
        <w:rPr>
          <w:rFonts w:ascii="Arial" w:hAnsi="Arial" w:cs="Arial"/>
          <w:bCs/>
          <w:i/>
          <w:sz w:val="20"/>
          <w:szCs w:val="20"/>
        </w:rPr>
        <w:t>vs V</w:t>
      </w:r>
      <w:r w:rsidRPr="004901F6">
        <w:rPr>
          <w:rFonts w:ascii="Arial" w:hAnsi="Arial" w:cs="Arial"/>
          <w:bCs/>
          <w:i/>
          <w:sz w:val="20"/>
          <w:szCs w:val="20"/>
        </w:rPr>
        <w:t>oltaje</w:t>
      </w:r>
      <w:r>
        <w:rPr>
          <w:rFonts w:ascii="Arial" w:hAnsi="Arial" w:cs="Arial"/>
          <w:bCs/>
          <w:i/>
          <w:sz w:val="20"/>
          <w:szCs w:val="20"/>
        </w:rPr>
        <w:t>-T</w:t>
      </w:r>
      <w:r w:rsidRPr="004901F6">
        <w:rPr>
          <w:rFonts w:ascii="Arial" w:hAnsi="Arial" w:cs="Arial"/>
          <w:bCs/>
          <w:i/>
          <w:sz w:val="20"/>
          <w:szCs w:val="20"/>
        </w:rPr>
        <w:t xml:space="preserve">iempo  Figura 7. </w:t>
      </w:r>
      <w:r>
        <w:rPr>
          <w:rFonts w:ascii="Arial" w:hAnsi="Arial" w:cs="Arial"/>
          <w:bCs/>
          <w:i/>
          <w:sz w:val="20"/>
          <w:szCs w:val="20"/>
        </w:rPr>
        <w:t xml:space="preserve">Perfiles </w:t>
      </w:r>
      <w:r w:rsidRPr="004901F6">
        <w:rPr>
          <w:rFonts w:ascii="Arial" w:hAnsi="Arial" w:cs="Arial"/>
          <w:bCs/>
          <w:i/>
          <w:sz w:val="20"/>
          <w:szCs w:val="20"/>
        </w:rPr>
        <w:t xml:space="preserve">de dureza de </w:t>
      </w:r>
      <w:r>
        <w:rPr>
          <w:rFonts w:ascii="Arial" w:hAnsi="Arial" w:cs="Arial"/>
          <w:bCs/>
          <w:i/>
          <w:sz w:val="20"/>
          <w:szCs w:val="20"/>
        </w:rPr>
        <w:t>Ca vs V</w:t>
      </w:r>
      <w:r w:rsidRPr="004901F6">
        <w:rPr>
          <w:rFonts w:ascii="Arial" w:hAnsi="Arial" w:cs="Arial"/>
          <w:bCs/>
          <w:i/>
          <w:sz w:val="20"/>
          <w:szCs w:val="20"/>
        </w:rPr>
        <w:t>oltaje</w:t>
      </w:r>
      <w:r>
        <w:rPr>
          <w:rFonts w:ascii="Arial" w:hAnsi="Arial" w:cs="Arial"/>
          <w:bCs/>
          <w:i/>
          <w:sz w:val="20"/>
          <w:szCs w:val="20"/>
        </w:rPr>
        <w:t>-T</w:t>
      </w:r>
      <w:r w:rsidRPr="004901F6">
        <w:rPr>
          <w:rFonts w:ascii="Arial" w:hAnsi="Arial" w:cs="Arial"/>
          <w:bCs/>
          <w:i/>
          <w:sz w:val="20"/>
          <w:szCs w:val="20"/>
        </w:rPr>
        <w:t>iempo</w:t>
      </w:r>
    </w:p>
    <w:bookmarkEnd w:id="77"/>
    <w:p w:rsidR="00762B76" w:rsidRPr="00A34838" w:rsidRDefault="00762B76" w:rsidP="00762B76">
      <w:pPr>
        <w:jc w:val="both"/>
        <w:rPr>
          <w:rFonts w:ascii="Arial" w:hAnsi="Arial" w:cs="Arial"/>
          <w:color w:val="000000"/>
        </w:rPr>
      </w:pPr>
    </w:p>
    <w:p w:rsidR="00762B76" w:rsidRPr="00A34838" w:rsidRDefault="00762B76" w:rsidP="00762B76">
      <w:pPr>
        <w:ind w:firstLine="567"/>
        <w:jc w:val="both"/>
        <w:rPr>
          <w:rFonts w:ascii="Arial" w:hAnsi="Arial" w:cs="Arial"/>
          <w:color w:val="000000"/>
        </w:rPr>
      </w:pPr>
      <w:r w:rsidRPr="00A34838">
        <w:rPr>
          <w:rFonts w:ascii="Arial" w:hAnsi="Arial" w:cs="Arial"/>
          <w:color w:val="000000"/>
        </w:rPr>
        <w:t xml:space="preserve">En la figura </w:t>
      </w:r>
      <w:r>
        <w:rPr>
          <w:rFonts w:ascii="Arial" w:hAnsi="Arial" w:cs="Arial"/>
          <w:color w:val="000000"/>
        </w:rPr>
        <w:t>8</w:t>
      </w:r>
      <w:r w:rsidRPr="00A34838">
        <w:rPr>
          <w:rFonts w:ascii="Arial" w:hAnsi="Arial" w:cs="Arial"/>
          <w:color w:val="000000"/>
        </w:rPr>
        <w:t xml:space="preserve"> se muestra la degradación de la dureza de </w:t>
      </w:r>
      <w:r>
        <w:rPr>
          <w:rFonts w:ascii="Arial" w:hAnsi="Arial" w:cs="Arial"/>
          <w:color w:val="000000"/>
        </w:rPr>
        <w:t>Magnesio</w:t>
      </w:r>
      <w:r w:rsidRPr="00A34838">
        <w:rPr>
          <w:rFonts w:ascii="Arial" w:hAnsi="Arial" w:cs="Arial"/>
          <w:color w:val="000000"/>
        </w:rPr>
        <w:t xml:space="preserve"> con respecto al tiempo comparando los </w:t>
      </w:r>
      <w:r>
        <w:rPr>
          <w:rFonts w:ascii="Arial" w:hAnsi="Arial" w:cs="Arial"/>
          <w:color w:val="000000"/>
        </w:rPr>
        <w:t>cinco</w:t>
      </w:r>
      <w:r w:rsidRPr="00A34838">
        <w:rPr>
          <w:rFonts w:ascii="Arial" w:hAnsi="Arial" w:cs="Arial"/>
          <w:color w:val="000000"/>
        </w:rPr>
        <w:t xml:space="preserve"> experimentos, con lo anterior es mas eficiente utilizar el potencia de 100 V ya que cumple con los datos permisibles basado en la norma mexicana.</w:t>
      </w:r>
    </w:p>
    <w:p w:rsidR="00762B76" w:rsidRPr="00A34838" w:rsidRDefault="00762B76" w:rsidP="00762B76">
      <w:pPr>
        <w:jc w:val="center"/>
        <w:rPr>
          <w:rFonts w:ascii="Arial" w:hAnsi="Arial" w:cs="Arial"/>
          <w:color w:val="000000"/>
        </w:rPr>
      </w:pPr>
      <w:r w:rsidRPr="00B721C7">
        <w:rPr>
          <w:rFonts w:ascii="Arial" w:hAnsi="Arial" w:cs="Arial"/>
          <w:noProof/>
          <w:lang w:val="en-US"/>
        </w:rPr>
        <w:drawing>
          <wp:inline distT="0" distB="0" distL="0" distR="0" wp14:anchorId="7E363383" wp14:editId="006322BA">
            <wp:extent cx="3057525" cy="1343025"/>
            <wp:effectExtent l="0" t="0" r="9525" b="9525"/>
            <wp:docPr id="1674859478" name="Imagen 167485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057525" cy="1343025"/>
                    </a:xfrm>
                    <a:prstGeom prst="rect">
                      <a:avLst/>
                    </a:prstGeom>
                    <a:noFill/>
                    <a:ln>
                      <a:noFill/>
                    </a:ln>
                  </pic:spPr>
                </pic:pic>
              </a:graphicData>
            </a:graphic>
          </wp:inline>
        </w:drawing>
      </w:r>
    </w:p>
    <w:p w:rsidR="00762B76" w:rsidRPr="00A34838" w:rsidRDefault="00762B76" w:rsidP="00762B76">
      <w:pPr>
        <w:jc w:val="center"/>
        <w:rPr>
          <w:rFonts w:ascii="Arial" w:hAnsi="Arial" w:cs="Arial"/>
          <w:bCs/>
          <w:i/>
          <w:sz w:val="20"/>
          <w:szCs w:val="20"/>
        </w:rPr>
      </w:pPr>
      <w:r w:rsidRPr="002D3F6C">
        <w:rPr>
          <w:rFonts w:ascii="Arial" w:hAnsi="Arial" w:cs="Arial"/>
          <w:bCs/>
          <w:i/>
          <w:sz w:val="20"/>
          <w:szCs w:val="20"/>
        </w:rPr>
        <w:t>Figura 8. Perfiles de dureza de Mg vs Voltaje-Tiempo</w:t>
      </w:r>
    </w:p>
    <w:p w:rsidR="00762B76" w:rsidRPr="00A34838" w:rsidRDefault="00762B76" w:rsidP="00762B76">
      <w:pPr>
        <w:jc w:val="both"/>
        <w:rPr>
          <w:rFonts w:ascii="Arial" w:hAnsi="Arial" w:cs="Arial"/>
          <w:color w:val="000000"/>
        </w:rPr>
      </w:pPr>
    </w:p>
    <w:p w:rsidR="00762B76" w:rsidRPr="00B721C7" w:rsidRDefault="00762B76" w:rsidP="00762B76">
      <w:pPr>
        <w:spacing w:line="360" w:lineRule="auto"/>
        <w:jc w:val="both"/>
        <w:rPr>
          <w:rFonts w:ascii="Arial" w:hAnsi="Arial" w:cs="Arial"/>
          <w:i/>
          <w:color w:val="000000"/>
        </w:rPr>
      </w:pPr>
      <w:r w:rsidRPr="00B721C7">
        <w:rPr>
          <w:rFonts w:ascii="Arial" w:hAnsi="Arial" w:cs="Arial"/>
          <w:i/>
          <w:color w:val="000000"/>
        </w:rPr>
        <w:t xml:space="preserve">4.4. Análisis de solidos del Agua Residual tratada con electroquímica </w:t>
      </w:r>
    </w:p>
    <w:p w:rsidR="00762B76" w:rsidRDefault="00762B76" w:rsidP="00762B76">
      <w:pPr>
        <w:ind w:firstLine="567"/>
        <w:jc w:val="both"/>
        <w:rPr>
          <w:rFonts w:ascii="Arial" w:hAnsi="Arial" w:cs="Arial"/>
          <w:color w:val="000000"/>
        </w:rPr>
      </w:pPr>
      <w:bookmarkStart w:id="78" w:name="_Hlk44639192"/>
      <w:r w:rsidRPr="00D01BFA">
        <w:rPr>
          <w:rFonts w:ascii="Arial" w:hAnsi="Arial" w:cs="Arial"/>
          <w:color w:val="000000"/>
        </w:rPr>
        <w:t>En la Tabla 3 se presenta los resultados de la experimentación de Solidos del agua residual sometida a tratamiento electroquímico, se consideran cinco diferentes niveles de voltaje a lo largo de tres horas de experimentación. Inicialmente se tiene los valores de Solidos Totales y Solidos Totales Volátiles dentro de los niveles permisibles</w:t>
      </w:r>
      <w:r>
        <w:rPr>
          <w:rFonts w:ascii="Arial" w:hAnsi="Arial" w:cs="Arial"/>
          <w:color w:val="000000"/>
        </w:rPr>
        <w:t xml:space="preserve"> en las normas Mexicanas</w:t>
      </w:r>
      <w:r w:rsidRPr="00D01BFA">
        <w:rPr>
          <w:rFonts w:ascii="Arial" w:hAnsi="Arial" w:cs="Arial"/>
          <w:color w:val="000000"/>
        </w:rPr>
        <w:t xml:space="preserve">, y fuera de </w:t>
      </w:r>
      <w:r>
        <w:rPr>
          <w:rFonts w:ascii="Arial" w:hAnsi="Arial" w:cs="Arial"/>
          <w:color w:val="000000"/>
        </w:rPr>
        <w:t xml:space="preserve">los valores </w:t>
      </w:r>
      <w:r w:rsidRPr="00D01BFA">
        <w:rPr>
          <w:rFonts w:ascii="Arial" w:hAnsi="Arial" w:cs="Arial"/>
          <w:color w:val="000000"/>
        </w:rPr>
        <w:t xml:space="preserve">norma los solidos Suspendidos Totales y solidos Suspendidos Volátiles a pesar de ello ante cualquier eventualidad futura donde se excedan estos niveles, es factible aplicar </w:t>
      </w:r>
      <w:r>
        <w:rPr>
          <w:rFonts w:ascii="Arial" w:hAnsi="Arial" w:cs="Arial"/>
          <w:color w:val="000000"/>
        </w:rPr>
        <w:t xml:space="preserve">en método de remoción de solidos empleando electroquímica, a través </w:t>
      </w:r>
      <w:r w:rsidRPr="00D01BFA">
        <w:rPr>
          <w:rFonts w:ascii="Arial" w:hAnsi="Arial" w:cs="Arial"/>
          <w:color w:val="000000"/>
        </w:rPr>
        <w:t>un análisis estadístico para correlacionar la degradación con respecto al voltaje.</w:t>
      </w:r>
    </w:p>
    <w:p w:rsidR="00762B76" w:rsidRPr="0065627A" w:rsidRDefault="00762B76" w:rsidP="00762B76">
      <w:pPr>
        <w:ind w:firstLine="567"/>
        <w:jc w:val="both"/>
        <w:rPr>
          <w:rFonts w:ascii="Arial" w:hAnsi="Arial" w:cs="Arial"/>
          <w:color w:val="000000"/>
          <w:highlight w:val="yellow"/>
        </w:rPr>
      </w:pPr>
    </w:p>
    <w:p w:rsidR="00762B76" w:rsidRPr="00547ABF" w:rsidRDefault="00762B76" w:rsidP="00762B76">
      <w:pPr>
        <w:numPr>
          <w:ilvl w:val="0"/>
          <w:numId w:val="1"/>
        </w:numPr>
        <w:tabs>
          <w:tab w:val="clear" w:pos="432"/>
          <w:tab w:val="num" w:pos="0"/>
        </w:tabs>
        <w:spacing w:after="0" w:line="240" w:lineRule="auto"/>
        <w:ind w:left="0" w:firstLine="0"/>
        <w:jc w:val="center"/>
        <w:rPr>
          <w:rFonts w:ascii="Arial" w:hAnsi="Arial" w:cs="Arial"/>
          <w:bCs/>
          <w:i/>
          <w:noProof/>
          <w:sz w:val="20"/>
          <w:szCs w:val="20"/>
          <w:lang w:eastAsia="en-GB"/>
        </w:rPr>
      </w:pPr>
      <w:r w:rsidRPr="00547ABF">
        <w:rPr>
          <w:rFonts w:ascii="Arial" w:hAnsi="Arial" w:cs="Arial"/>
          <w:bCs/>
          <w:i/>
          <w:noProof/>
          <w:sz w:val="20"/>
          <w:szCs w:val="20"/>
          <w:lang w:eastAsia="en-GB"/>
        </w:rPr>
        <w:t>Tabla 3. Resultados de Solidos del agua resudial Tratada a diverso</w:t>
      </w:r>
      <w:r>
        <w:rPr>
          <w:rFonts w:ascii="Arial" w:hAnsi="Arial" w:cs="Arial"/>
          <w:bCs/>
          <w:i/>
          <w:noProof/>
          <w:sz w:val="20"/>
          <w:szCs w:val="20"/>
          <w:lang w:eastAsia="en-GB"/>
        </w:rPr>
        <w:t>s</w:t>
      </w:r>
      <w:r w:rsidRPr="00547ABF">
        <w:rPr>
          <w:rFonts w:ascii="Arial" w:hAnsi="Arial" w:cs="Arial"/>
          <w:bCs/>
          <w:i/>
          <w:noProof/>
          <w:sz w:val="20"/>
          <w:szCs w:val="20"/>
          <w:lang w:eastAsia="en-GB"/>
        </w:rPr>
        <w:t xml:space="preserve"> Voltaje</w:t>
      </w:r>
      <w:r>
        <w:rPr>
          <w:rFonts w:ascii="Arial" w:hAnsi="Arial" w:cs="Arial"/>
          <w:bCs/>
          <w:i/>
          <w:noProof/>
          <w:sz w:val="20"/>
          <w:szCs w:val="20"/>
          <w:lang w:eastAsia="en-GB"/>
        </w:rPr>
        <w:t>s</w:t>
      </w:r>
      <w:r w:rsidRPr="00547ABF">
        <w:rPr>
          <w:rFonts w:ascii="Arial" w:hAnsi="Arial" w:cs="Arial"/>
          <w:bCs/>
          <w:i/>
          <w:noProof/>
          <w:sz w:val="20"/>
          <w:szCs w:val="20"/>
          <w:lang w:eastAsia="en-GB"/>
        </w:rPr>
        <w:t xml:space="preserve"> </w:t>
      </w:r>
    </w:p>
    <w:tbl>
      <w:tblPr>
        <w:tblW w:w="9621" w:type="dxa"/>
        <w:jc w:val="center"/>
        <w:tblLayout w:type="fixed"/>
        <w:tblLook w:val="04A0" w:firstRow="1" w:lastRow="0" w:firstColumn="1" w:lastColumn="0" w:noHBand="0" w:noVBand="1"/>
      </w:tblPr>
      <w:tblGrid>
        <w:gridCol w:w="1207"/>
        <w:gridCol w:w="458"/>
        <w:gridCol w:w="567"/>
        <w:gridCol w:w="567"/>
        <w:gridCol w:w="567"/>
        <w:gridCol w:w="567"/>
        <w:gridCol w:w="567"/>
        <w:gridCol w:w="567"/>
        <w:gridCol w:w="585"/>
        <w:gridCol w:w="567"/>
        <w:gridCol w:w="567"/>
        <w:gridCol w:w="567"/>
        <w:gridCol w:w="567"/>
        <w:gridCol w:w="567"/>
        <w:gridCol w:w="567"/>
        <w:gridCol w:w="567"/>
      </w:tblGrid>
      <w:tr w:rsidR="00762B76" w:rsidRPr="009C24E3" w:rsidTr="00B81843">
        <w:trPr>
          <w:trHeight w:val="148"/>
          <w:jc w:val="center"/>
        </w:trPr>
        <w:tc>
          <w:tcPr>
            <w:tcW w:w="1207" w:type="dxa"/>
            <w:vMerge w:val="restart"/>
            <w:tcBorders>
              <w:top w:val="single" w:sz="12" w:space="0" w:color="auto"/>
            </w:tcBorders>
            <w:shd w:val="clear" w:color="auto" w:fill="auto"/>
            <w:vAlign w:val="center"/>
          </w:tcPr>
          <w:p w:rsidR="00762B76" w:rsidRPr="009C24E3" w:rsidRDefault="00762B76" w:rsidP="00B81843">
            <w:pPr>
              <w:jc w:val="center"/>
              <w:rPr>
                <w:rFonts w:ascii="Arial" w:hAnsi="Arial" w:cs="Arial"/>
                <w:b/>
                <w:bCs/>
                <w:sz w:val="18"/>
                <w:szCs w:val="18"/>
              </w:rPr>
            </w:pPr>
            <w:bookmarkStart w:id="79" w:name="_Toc483335049"/>
            <w:bookmarkEnd w:id="78"/>
            <w:r w:rsidRPr="009C24E3">
              <w:rPr>
                <w:rFonts w:ascii="Arial" w:hAnsi="Arial" w:cs="Arial"/>
                <w:b/>
                <w:bCs/>
                <w:sz w:val="18"/>
                <w:szCs w:val="18"/>
              </w:rPr>
              <w:t>Parámetro</w:t>
            </w:r>
          </w:p>
          <w:p w:rsidR="00762B76" w:rsidRPr="009C24E3" w:rsidRDefault="00762B76" w:rsidP="00B81843">
            <w:pPr>
              <w:jc w:val="center"/>
              <w:rPr>
                <w:rFonts w:ascii="Arial" w:hAnsi="Arial" w:cs="Arial"/>
                <w:b/>
                <w:bCs/>
                <w:sz w:val="18"/>
                <w:szCs w:val="18"/>
              </w:rPr>
            </w:pPr>
            <w:r w:rsidRPr="009C24E3">
              <w:rPr>
                <w:rFonts w:ascii="Arial" w:hAnsi="Arial" w:cs="Arial"/>
                <w:b/>
                <w:bCs/>
                <w:sz w:val="18"/>
                <w:szCs w:val="18"/>
              </w:rPr>
              <w:t>(Mg/L)</w:t>
            </w:r>
          </w:p>
        </w:tc>
        <w:tc>
          <w:tcPr>
            <w:tcW w:w="8414" w:type="dxa"/>
            <w:gridSpan w:val="15"/>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b/>
                <w:bCs/>
                <w:sz w:val="18"/>
                <w:szCs w:val="18"/>
              </w:rPr>
            </w:pPr>
            <w:r w:rsidRPr="009C24E3">
              <w:rPr>
                <w:rFonts w:ascii="Arial" w:hAnsi="Arial" w:cs="Arial"/>
                <w:b/>
                <w:bCs/>
                <w:sz w:val="18"/>
                <w:szCs w:val="18"/>
              </w:rPr>
              <w:t>AGUA RESIDUAL TRATADA</w:t>
            </w:r>
          </w:p>
        </w:tc>
      </w:tr>
      <w:tr w:rsidR="00762B76" w:rsidRPr="009C24E3" w:rsidTr="00B81843">
        <w:trPr>
          <w:jc w:val="center"/>
        </w:trPr>
        <w:tc>
          <w:tcPr>
            <w:tcW w:w="1207" w:type="dxa"/>
            <w:vMerge/>
            <w:tcBorders>
              <w:bottom w:val="single" w:sz="12" w:space="0" w:color="auto"/>
            </w:tcBorders>
            <w:shd w:val="clear" w:color="auto" w:fill="auto"/>
            <w:vAlign w:val="center"/>
          </w:tcPr>
          <w:p w:rsidR="00762B76" w:rsidRPr="009C24E3" w:rsidRDefault="00762B76" w:rsidP="00B81843">
            <w:pPr>
              <w:jc w:val="center"/>
              <w:rPr>
                <w:rFonts w:ascii="Arial" w:hAnsi="Arial" w:cs="Arial"/>
                <w:sz w:val="18"/>
                <w:szCs w:val="18"/>
              </w:rPr>
            </w:pPr>
          </w:p>
        </w:tc>
        <w:tc>
          <w:tcPr>
            <w:tcW w:w="1592" w:type="dxa"/>
            <w:gridSpan w:val="3"/>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b/>
                <w:bCs/>
                <w:sz w:val="18"/>
                <w:szCs w:val="18"/>
              </w:rPr>
            </w:pPr>
            <w:r w:rsidRPr="009C24E3">
              <w:rPr>
                <w:rFonts w:ascii="Arial" w:hAnsi="Arial" w:cs="Arial"/>
                <w:b/>
                <w:bCs/>
                <w:sz w:val="18"/>
                <w:szCs w:val="18"/>
              </w:rPr>
              <w:t>1 V</w:t>
            </w:r>
          </w:p>
        </w:tc>
        <w:tc>
          <w:tcPr>
            <w:tcW w:w="1701" w:type="dxa"/>
            <w:gridSpan w:val="3"/>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b/>
                <w:bCs/>
                <w:sz w:val="18"/>
                <w:szCs w:val="18"/>
              </w:rPr>
            </w:pPr>
            <w:r w:rsidRPr="009C24E3">
              <w:rPr>
                <w:rFonts w:ascii="Arial" w:hAnsi="Arial" w:cs="Arial"/>
                <w:b/>
                <w:bCs/>
                <w:sz w:val="18"/>
                <w:szCs w:val="18"/>
              </w:rPr>
              <w:t>5 V</w:t>
            </w:r>
          </w:p>
        </w:tc>
        <w:tc>
          <w:tcPr>
            <w:tcW w:w="1719" w:type="dxa"/>
            <w:gridSpan w:val="3"/>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b/>
                <w:bCs/>
                <w:sz w:val="18"/>
                <w:szCs w:val="18"/>
              </w:rPr>
            </w:pPr>
            <w:r w:rsidRPr="009C24E3">
              <w:rPr>
                <w:rFonts w:ascii="Arial" w:hAnsi="Arial" w:cs="Arial"/>
                <w:b/>
                <w:bCs/>
                <w:sz w:val="18"/>
                <w:szCs w:val="18"/>
              </w:rPr>
              <w:t>50 V</w:t>
            </w:r>
          </w:p>
        </w:tc>
        <w:tc>
          <w:tcPr>
            <w:tcW w:w="1701" w:type="dxa"/>
            <w:gridSpan w:val="3"/>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b/>
                <w:bCs/>
                <w:sz w:val="18"/>
                <w:szCs w:val="18"/>
              </w:rPr>
            </w:pPr>
            <w:r w:rsidRPr="009C24E3">
              <w:rPr>
                <w:rFonts w:ascii="Arial" w:hAnsi="Arial" w:cs="Arial"/>
                <w:b/>
                <w:bCs/>
                <w:sz w:val="18"/>
                <w:szCs w:val="18"/>
              </w:rPr>
              <w:t>80 V</w:t>
            </w:r>
          </w:p>
        </w:tc>
        <w:tc>
          <w:tcPr>
            <w:tcW w:w="1701" w:type="dxa"/>
            <w:gridSpan w:val="3"/>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b/>
                <w:bCs/>
                <w:sz w:val="18"/>
                <w:szCs w:val="18"/>
              </w:rPr>
            </w:pPr>
            <w:r w:rsidRPr="009C24E3">
              <w:rPr>
                <w:rFonts w:ascii="Arial" w:hAnsi="Arial" w:cs="Arial"/>
                <w:b/>
                <w:bCs/>
                <w:sz w:val="18"/>
                <w:szCs w:val="18"/>
              </w:rPr>
              <w:t>100 V</w:t>
            </w:r>
          </w:p>
        </w:tc>
      </w:tr>
      <w:tr w:rsidR="00762B76" w:rsidTr="00B81843">
        <w:trPr>
          <w:jc w:val="center"/>
        </w:trPr>
        <w:tc>
          <w:tcPr>
            <w:tcW w:w="120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b/>
                <w:bCs/>
                <w:sz w:val="18"/>
                <w:szCs w:val="18"/>
              </w:rPr>
            </w:pPr>
            <w:r w:rsidRPr="009C24E3">
              <w:rPr>
                <w:rFonts w:ascii="Arial" w:hAnsi="Arial" w:cs="Arial"/>
                <w:b/>
                <w:bCs/>
                <w:sz w:val="18"/>
                <w:szCs w:val="18"/>
              </w:rPr>
              <w:t>Tiempo</w:t>
            </w:r>
          </w:p>
          <w:p w:rsidR="00762B76" w:rsidRPr="009C24E3" w:rsidRDefault="00762B76" w:rsidP="00B81843">
            <w:pPr>
              <w:jc w:val="center"/>
              <w:rPr>
                <w:rFonts w:ascii="Arial" w:hAnsi="Arial" w:cs="Arial"/>
                <w:b/>
                <w:bCs/>
                <w:sz w:val="18"/>
                <w:szCs w:val="18"/>
              </w:rPr>
            </w:pPr>
            <w:r w:rsidRPr="009C24E3">
              <w:rPr>
                <w:rFonts w:ascii="Arial" w:hAnsi="Arial" w:cs="Arial"/>
                <w:b/>
                <w:bCs/>
                <w:sz w:val="18"/>
                <w:szCs w:val="18"/>
              </w:rPr>
              <w:t>(Horas)</w:t>
            </w:r>
          </w:p>
        </w:tc>
        <w:tc>
          <w:tcPr>
            <w:tcW w:w="458"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w:t>
            </w:r>
          </w:p>
        </w:tc>
        <w:tc>
          <w:tcPr>
            <w:tcW w:w="56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2</w:t>
            </w:r>
          </w:p>
        </w:tc>
        <w:tc>
          <w:tcPr>
            <w:tcW w:w="56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3</w:t>
            </w:r>
          </w:p>
        </w:tc>
        <w:tc>
          <w:tcPr>
            <w:tcW w:w="56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w:t>
            </w:r>
          </w:p>
        </w:tc>
        <w:tc>
          <w:tcPr>
            <w:tcW w:w="56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2</w:t>
            </w:r>
          </w:p>
        </w:tc>
        <w:tc>
          <w:tcPr>
            <w:tcW w:w="56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3</w:t>
            </w:r>
          </w:p>
        </w:tc>
        <w:tc>
          <w:tcPr>
            <w:tcW w:w="56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w:t>
            </w:r>
          </w:p>
        </w:tc>
        <w:tc>
          <w:tcPr>
            <w:tcW w:w="585"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2</w:t>
            </w:r>
          </w:p>
        </w:tc>
        <w:tc>
          <w:tcPr>
            <w:tcW w:w="56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3</w:t>
            </w:r>
          </w:p>
        </w:tc>
        <w:tc>
          <w:tcPr>
            <w:tcW w:w="56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w:t>
            </w:r>
          </w:p>
        </w:tc>
        <w:tc>
          <w:tcPr>
            <w:tcW w:w="56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2</w:t>
            </w:r>
          </w:p>
        </w:tc>
        <w:tc>
          <w:tcPr>
            <w:tcW w:w="56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3</w:t>
            </w:r>
          </w:p>
        </w:tc>
        <w:tc>
          <w:tcPr>
            <w:tcW w:w="56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w:t>
            </w:r>
          </w:p>
        </w:tc>
        <w:tc>
          <w:tcPr>
            <w:tcW w:w="56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2</w:t>
            </w:r>
          </w:p>
        </w:tc>
        <w:tc>
          <w:tcPr>
            <w:tcW w:w="56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3</w:t>
            </w:r>
          </w:p>
        </w:tc>
      </w:tr>
      <w:tr w:rsidR="00762B76" w:rsidTr="00B81843">
        <w:trPr>
          <w:jc w:val="center"/>
        </w:trPr>
        <w:tc>
          <w:tcPr>
            <w:tcW w:w="1207" w:type="dxa"/>
            <w:tcBorders>
              <w:top w:val="single" w:sz="12" w:space="0" w:color="auto"/>
            </w:tcBorders>
            <w:shd w:val="clear" w:color="auto" w:fill="auto"/>
            <w:vAlign w:val="center"/>
          </w:tcPr>
          <w:p w:rsidR="00762B76" w:rsidRPr="009C24E3" w:rsidRDefault="00762B76" w:rsidP="00B81843">
            <w:pPr>
              <w:jc w:val="center"/>
              <w:rPr>
                <w:rFonts w:ascii="Arial" w:hAnsi="Arial" w:cs="Arial"/>
                <w:b/>
                <w:bCs/>
                <w:sz w:val="18"/>
                <w:szCs w:val="18"/>
              </w:rPr>
            </w:pPr>
            <w:r w:rsidRPr="009C24E3">
              <w:rPr>
                <w:rFonts w:ascii="Arial" w:hAnsi="Arial" w:cs="Arial"/>
                <w:b/>
                <w:bCs/>
                <w:sz w:val="18"/>
                <w:szCs w:val="18"/>
              </w:rPr>
              <w:t>S. Totales</w:t>
            </w:r>
          </w:p>
        </w:tc>
        <w:tc>
          <w:tcPr>
            <w:tcW w:w="458" w:type="dxa"/>
            <w:tcBorders>
              <w:top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138</w:t>
            </w:r>
          </w:p>
        </w:tc>
        <w:tc>
          <w:tcPr>
            <w:tcW w:w="567" w:type="dxa"/>
            <w:tcBorders>
              <w:top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138</w:t>
            </w:r>
          </w:p>
        </w:tc>
        <w:tc>
          <w:tcPr>
            <w:tcW w:w="567" w:type="dxa"/>
            <w:tcBorders>
              <w:top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137.8</w:t>
            </w:r>
          </w:p>
        </w:tc>
        <w:tc>
          <w:tcPr>
            <w:tcW w:w="567" w:type="dxa"/>
            <w:tcBorders>
              <w:top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137</w:t>
            </w:r>
          </w:p>
        </w:tc>
        <w:tc>
          <w:tcPr>
            <w:tcW w:w="567" w:type="dxa"/>
            <w:tcBorders>
              <w:top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136.5</w:t>
            </w:r>
          </w:p>
        </w:tc>
        <w:tc>
          <w:tcPr>
            <w:tcW w:w="567" w:type="dxa"/>
            <w:tcBorders>
              <w:top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135.2</w:t>
            </w:r>
          </w:p>
        </w:tc>
        <w:tc>
          <w:tcPr>
            <w:tcW w:w="567" w:type="dxa"/>
            <w:tcBorders>
              <w:top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123</w:t>
            </w:r>
          </w:p>
        </w:tc>
        <w:tc>
          <w:tcPr>
            <w:tcW w:w="585" w:type="dxa"/>
            <w:tcBorders>
              <w:top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122.3</w:t>
            </w:r>
          </w:p>
        </w:tc>
        <w:tc>
          <w:tcPr>
            <w:tcW w:w="567" w:type="dxa"/>
            <w:tcBorders>
              <w:top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120</w:t>
            </w:r>
          </w:p>
        </w:tc>
        <w:tc>
          <w:tcPr>
            <w:tcW w:w="567" w:type="dxa"/>
            <w:tcBorders>
              <w:top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116</w:t>
            </w:r>
          </w:p>
        </w:tc>
        <w:tc>
          <w:tcPr>
            <w:tcW w:w="567" w:type="dxa"/>
            <w:tcBorders>
              <w:top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113</w:t>
            </w:r>
          </w:p>
        </w:tc>
        <w:tc>
          <w:tcPr>
            <w:tcW w:w="567" w:type="dxa"/>
            <w:tcBorders>
              <w:top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108</w:t>
            </w:r>
          </w:p>
        </w:tc>
        <w:tc>
          <w:tcPr>
            <w:tcW w:w="567" w:type="dxa"/>
            <w:tcBorders>
              <w:top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99.6</w:t>
            </w:r>
          </w:p>
        </w:tc>
        <w:tc>
          <w:tcPr>
            <w:tcW w:w="567" w:type="dxa"/>
            <w:tcBorders>
              <w:top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92</w:t>
            </w:r>
          </w:p>
        </w:tc>
        <w:tc>
          <w:tcPr>
            <w:tcW w:w="567" w:type="dxa"/>
            <w:tcBorders>
              <w:top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83.7</w:t>
            </w:r>
          </w:p>
        </w:tc>
      </w:tr>
      <w:tr w:rsidR="00762B76" w:rsidTr="00B81843">
        <w:trPr>
          <w:jc w:val="center"/>
        </w:trPr>
        <w:tc>
          <w:tcPr>
            <w:tcW w:w="1207" w:type="dxa"/>
            <w:shd w:val="clear" w:color="auto" w:fill="auto"/>
            <w:vAlign w:val="center"/>
          </w:tcPr>
          <w:p w:rsidR="00762B76" w:rsidRPr="009C24E3" w:rsidRDefault="00762B76" w:rsidP="00B81843">
            <w:pPr>
              <w:jc w:val="center"/>
              <w:rPr>
                <w:rFonts w:ascii="Arial" w:hAnsi="Arial" w:cs="Arial"/>
                <w:b/>
                <w:bCs/>
                <w:sz w:val="18"/>
                <w:szCs w:val="18"/>
              </w:rPr>
            </w:pPr>
            <w:r w:rsidRPr="009C24E3">
              <w:rPr>
                <w:rFonts w:ascii="Arial" w:hAnsi="Arial" w:cs="Arial"/>
                <w:b/>
                <w:bCs/>
                <w:sz w:val="18"/>
                <w:szCs w:val="18"/>
              </w:rPr>
              <w:t>S. Tot.</w:t>
            </w:r>
          </w:p>
          <w:p w:rsidR="00762B76" w:rsidRPr="009C24E3" w:rsidRDefault="00762B76" w:rsidP="00B81843">
            <w:pPr>
              <w:jc w:val="center"/>
              <w:rPr>
                <w:rFonts w:ascii="Arial" w:hAnsi="Arial" w:cs="Arial"/>
                <w:b/>
                <w:bCs/>
                <w:sz w:val="18"/>
                <w:szCs w:val="18"/>
              </w:rPr>
            </w:pPr>
            <w:r w:rsidRPr="009C24E3">
              <w:rPr>
                <w:rFonts w:ascii="Arial" w:hAnsi="Arial" w:cs="Arial"/>
                <w:b/>
                <w:bCs/>
                <w:sz w:val="18"/>
                <w:szCs w:val="18"/>
              </w:rPr>
              <w:t>volátiles</w:t>
            </w:r>
          </w:p>
        </w:tc>
        <w:tc>
          <w:tcPr>
            <w:tcW w:w="458"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85</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85</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83.4</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82.7</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81.6</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80</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75.6</w:t>
            </w:r>
          </w:p>
        </w:tc>
        <w:tc>
          <w:tcPr>
            <w:tcW w:w="585"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73.7</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72</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69.3</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68.3</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64.5</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56.4</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55</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51.4</w:t>
            </w:r>
          </w:p>
        </w:tc>
      </w:tr>
      <w:tr w:rsidR="00762B76" w:rsidTr="00B81843">
        <w:trPr>
          <w:jc w:val="center"/>
        </w:trPr>
        <w:tc>
          <w:tcPr>
            <w:tcW w:w="1207" w:type="dxa"/>
            <w:shd w:val="clear" w:color="auto" w:fill="auto"/>
            <w:vAlign w:val="center"/>
          </w:tcPr>
          <w:p w:rsidR="00762B76" w:rsidRPr="009C24E3" w:rsidRDefault="00762B76" w:rsidP="00B81843">
            <w:pPr>
              <w:jc w:val="center"/>
              <w:rPr>
                <w:rFonts w:ascii="Arial" w:hAnsi="Arial" w:cs="Arial"/>
                <w:b/>
                <w:bCs/>
                <w:sz w:val="18"/>
                <w:szCs w:val="18"/>
              </w:rPr>
            </w:pPr>
            <w:r w:rsidRPr="009C24E3">
              <w:rPr>
                <w:rFonts w:ascii="Arial" w:hAnsi="Arial" w:cs="Arial"/>
                <w:b/>
                <w:bCs/>
                <w:sz w:val="18"/>
                <w:szCs w:val="18"/>
              </w:rPr>
              <w:t>S. Susp.</w:t>
            </w:r>
          </w:p>
          <w:p w:rsidR="00762B76" w:rsidRPr="009C24E3" w:rsidRDefault="00762B76" w:rsidP="00B81843">
            <w:pPr>
              <w:jc w:val="center"/>
              <w:rPr>
                <w:rFonts w:ascii="Arial" w:hAnsi="Arial" w:cs="Arial"/>
                <w:b/>
                <w:bCs/>
                <w:sz w:val="18"/>
                <w:szCs w:val="18"/>
              </w:rPr>
            </w:pPr>
            <w:r w:rsidRPr="009C24E3">
              <w:rPr>
                <w:rFonts w:ascii="Arial" w:hAnsi="Arial" w:cs="Arial"/>
                <w:b/>
                <w:bCs/>
                <w:sz w:val="18"/>
                <w:szCs w:val="18"/>
              </w:rPr>
              <w:lastRenderedPageBreak/>
              <w:t>Tot.</w:t>
            </w:r>
          </w:p>
        </w:tc>
        <w:tc>
          <w:tcPr>
            <w:tcW w:w="458"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lastRenderedPageBreak/>
              <w:t>140</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139</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138</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137</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135.6</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132.4</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130</w:t>
            </w:r>
          </w:p>
        </w:tc>
        <w:tc>
          <w:tcPr>
            <w:tcW w:w="585"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128.2</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125.3</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120</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118</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109.4</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110.2</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98.3</w:t>
            </w:r>
          </w:p>
        </w:tc>
        <w:tc>
          <w:tcPr>
            <w:tcW w:w="567" w:type="dxa"/>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94.8</w:t>
            </w:r>
          </w:p>
        </w:tc>
      </w:tr>
      <w:tr w:rsidR="00762B76" w:rsidTr="00B81843">
        <w:trPr>
          <w:jc w:val="center"/>
        </w:trPr>
        <w:tc>
          <w:tcPr>
            <w:tcW w:w="1207" w:type="dxa"/>
            <w:tcBorders>
              <w:bottom w:val="single" w:sz="12" w:space="0" w:color="auto"/>
            </w:tcBorders>
            <w:shd w:val="clear" w:color="auto" w:fill="auto"/>
            <w:vAlign w:val="center"/>
          </w:tcPr>
          <w:p w:rsidR="00762B76" w:rsidRPr="009C24E3" w:rsidRDefault="00762B76" w:rsidP="00B81843">
            <w:pPr>
              <w:jc w:val="center"/>
              <w:rPr>
                <w:rFonts w:ascii="Arial" w:hAnsi="Arial" w:cs="Arial"/>
                <w:b/>
                <w:bCs/>
                <w:sz w:val="18"/>
                <w:szCs w:val="18"/>
              </w:rPr>
            </w:pPr>
            <w:r w:rsidRPr="009C24E3">
              <w:rPr>
                <w:rFonts w:ascii="Arial" w:hAnsi="Arial" w:cs="Arial"/>
                <w:b/>
                <w:bCs/>
                <w:sz w:val="18"/>
                <w:szCs w:val="18"/>
              </w:rPr>
              <w:lastRenderedPageBreak/>
              <w:t>S. Susp.</w:t>
            </w:r>
          </w:p>
          <w:p w:rsidR="00762B76" w:rsidRPr="009C24E3" w:rsidRDefault="00762B76" w:rsidP="00B81843">
            <w:pPr>
              <w:jc w:val="center"/>
              <w:rPr>
                <w:rFonts w:ascii="Arial" w:hAnsi="Arial" w:cs="Arial"/>
                <w:b/>
                <w:bCs/>
                <w:sz w:val="18"/>
                <w:szCs w:val="18"/>
              </w:rPr>
            </w:pPr>
            <w:r w:rsidRPr="009C24E3">
              <w:rPr>
                <w:rFonts w:ascii="Arial" w:hAnsi="Arial" w:cs="Arial"/>
                <w:b/>
                <w:bCs/>
                <w:sz w:val="18"/>
                <w:szCs w:val="18"/>
              </w:rPr>
              <w:t>volátiles</w:t>
            </w:r>
          </w:p>
        </w:tc>
        <w:tc>
          <w:tcPr>
            <w:tcW w:w="458" w:type="dxa"/>
            <w:tcBorders>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102</w:t>
            </w:r>
          </w:p>
        </w:tc>
        <w:tc>
          <w:tcPr>
            <w:tcW w:w="567" w:type="dxa"/>
            <w:tcBorders>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101</w:t>
            </w:r>
          </w:p>
        </w:tc>
        <w:tc>
          <w:tcPr>
            <w:tcW w:w="567" w:type="dxa"/>
            <w:tcBorders>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100</w:t>
            </w:r>
          </w:p>
        </w:tc>
        <w:tc>
          <w:tcPr>
            <w:tcW w:w="567" w:type="dxa"/>
            <w:tcBorders>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98.2</w:t>
            </w:r>
          </w:p>
        </w:tc>
        <w:tc>
          <w:tcPr>
            <w:tcW w:w="567" w:type="dxa"/>
            <w:tcBorders>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96.8</w:t>
            </w:r>
          </w:p>
        </w:tc>
        <w:tc>
          <w:tcPr>
            <w:tcW w:w="567" w:type="dxa"/>
            <w:tcBorders>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94.8</w:t>
            </w:r>
          </w:p>
        </w:tc>
        <w:tc>
          <w:tcPr>
            <w:tcW w:w="567" w:type="dxa"/>
            <w:tcBorders>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91.8</w:t>
            </w:r>
          </w:p>
        </w:tc>
        <w:tc>
          <w:tcPr>
            <w:tcW w:w="585" w:type="dxa"/>
            <w:tcBorders>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90.2</w:t>
            </w:r>
          </w:p>
        </w:tc>
        <w:tc>
          <w:tcPr>
            <w:tcW w:w="567" w:type="dxa"/>
            <w:tcBorders>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88.2</w:t>
            </w:r>
          </w:p>
        </w:tc>
        <w:tc>
          <w:tcPr>
            <w:tcW w:w="567" w:type="dxa"/>
            <w:tcBorders>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85</w:t>
            </w:r>
          </w:p>
        </w:tc>
        <w:tc>
          <w:tcPr>
            <w:tcW w:w="567" w:type="dxa"/>
            <w:tcBorders>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83</w:t>
            </w:r>
          </w:p>
        </w:tc>
        <w:tc>
          <w:tcPr>
            <w:tcW w:w="567" w:type="dxa"/>
            <w:tcBorders>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80</w:t>
            </w:r>
          </w:p>
        </w:tc>
        <w:tc>
          <w:tcPr>
            <w:tcW w:w="567" w:type="dxa"/>
            <w:tcBorders>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73.2</w:t>
            </w:r>
          </w:p>
        </w:tc>
        <w:tc>
          <w:tcPr>
            <w:tcW w:w="567" w:type="dxa"/>
            <w:tcBorders>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71.2</w:t>
            </w:r>
          </w:p>
        </w:tc>
        <w:tc>
          <w:tcPr>
            <w:tcW w:w="567" w:type="dxa"/>
            <w:tcBorders>
              <w:bottom w:val="single" w:sz="12" w:space="0" w:color="auto"/>
            </w:tcBorders>
            <w:shd w:val="clear" w:color="auto" w:fill="auto"/>
            <w:vAlign w:val="center"/>
          </w:tcPr>
          <w:p w:rsidR="00762B76" w:rsidRPr="009C24E3" w:rsidRDefault="00762B76" w:rsidP="00B81843">
            <w:pPr>
              <w:jc w:val="center"/>
              <w:rPr>
                <w:rFonts w:ascii="Arial" w:hAnsi="Arial" w:cs="Arial"/>
                <w:sz w:val="14"/>
                <w:szCs w:val="14"/>
              </w:rPr>
            </w:pPr>
            <w:r w:rsidRPr="009C24E3">
              <w:rPr>
                <w:rFonts w:ascii="Arial" w:hAnsi="Arial" w:cs="Arial"/>
                <w:sz w:val="14"/>
                <w:szCs w:val="14"/>
              </w:rPr>
              <w:t>68</w:t>
            </w:r>
          </w:p>
        </w:tc>
      </w:tr>
    </w:tbl>
    <w:p w:rsidR="00762B76" w:rsidRDefault="00762B76" w:rsidP="00762B76"/>
    <w:p w:rsidR="00762B76" w:rsidRDefault="00762B76" w:rsidP="00762B76">
      <w:pPr>
        <w:jc w:val="both"/>
      </w:pPr>
      <w:r w:rsidRPr="0095295A">
        <w:t>A través de un modelo lineal se generan los gráficos de</w:t>
      </w:r>
      <w:r>
        <w:t xml:space="preserve"> medias ajustadas para los</w:t>
      </w:r>
      <w:r w:rsidRPr="0095295A">
        <w:t xml:space="preserve"> efectos principales </w:t>
      </w:r>
      <w:r>
        <w:t xml:space="preserve">de </w:t>
      </w:r>
      <w:r w:rsidRPr="0095295A">
        <w:t>solidos y la correlación del tiempo</w:t>
      </w:r>
      <w:r>
        <w:t>-</w:t>
      </w:r>
      <w:r w:rsidRPr="0095295A">
        <w:t xml:space="preserve">voltaje, en la Figura 9 se presenta la medias ajustadas de solidos Totales donde se obtiene que la mejor correlación es el tiempo dos que corresponde a la segunda hora de experimentación y el voltaje uno que corresponde a 1V de experimentación, </w:t>
      </w:r>
      <w:r>
        <w:t xml:space="preserve">en la Figura 10 </w:t>
      </w:r>
      <w:r w:rsidRPr="0095295A">
        <w:t xml:space="preserve">se presenta el mismo efecto en las medias ajustadas para los solidos Totales </w:t>
      </w:r>
      <w:r>
        <w:t>V</w:t>
      </w:r>
      <w:r w:rsidRPr="0095295A">
        <w:t>olátiles donde la mejor correlación es la segunda hora de experimentación y el voltaje uno que corresponde a 1V de experimentación.</w:t>
      </w:r>
    </w:p>
    <w:p w:rsidR="00762B76" w:rsidRPr="00547ABF" w:rsidRDefault="00762B76" w:rsidP="00762B76"/>
    <w:p w:rsidR="00762B76" w:rsidRDefault="00762B76" w:rsidP="00762B76">
      <w:r>
        <w:rPr>
          <w:noProof/>
          <w:lang w:val="en-US"/>
        </w:rPr>
        <w:drawing>
          <wp:inline distT="0" distB="0" distL="0" distR="0" wp14:anchorId="7637F00A" wp14:editId="5B00B1DC">
            <wp:extent cx="2914015" cy="1642110"/>
            <wp:effectExtent l="0" t="0" r="63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1">
                      <a:extLst>
                        <a:ext uri="{28A0092B-C50C-407E-A947-70E740481C1C}">
                          <a14:useLocalDpi xmlns:a14="http://schemas.microsoft.com/office/drawing/2010/main" val="0"/>
                        </a:ext>
                      </a:extLst>
                    </a:blip>
                    <a:srcRect l="1697" t="15318" r="3371" b="4549"/>
                    <a:stretch>
                      <a:fillRect/>
                    </a:stretch>
                  </pic:blipFill>
                  <pic:spPr bwMode="auto">
                    <a:xfrm>
                      <a:off x="0" y="0"/>
                      <a:ext cx="2914015" cy="1642110"/>
                    </a:xfrm>
                    <a:prstGeom prst="rect">
                      <a:avLst/>
                    </a:prstGeom>
                    <a:noFill/>
                  </pic:spPr>
                </pic:pic>
              </a:graphicData>
            </a:graphic>
          </wp:inline>
        </w:drawing>
      </w:r>
      <w:r>
        <w:t xml:space="preserve">     </w:t>
      </w:r>
      <w:r w:rsidRPr="00547ABF">
        <w:rPr>
          <w:noProof/>
          <w:lang w:val="en-US"/>
        </w:rPr>
        <w:drawing>
          <wp:inline distT="0" distB="0" distL="0" distR="0" wp14:anchorId="44B4214F" wp14:editId="4D6EAC1D">
            <wp:extent cx="2857500" cy="1647825"/>
            <wp:effectExtent l="0" t="0" r="0" b="9525"/>
            <wp:docPr id="1674859477" name="Imagen 167485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2">
                      <a:extLst>
                        <a:ext uri="{28A0092B-C50C-407E-A947-70E740481C1C}">
                          <a14:useLocalDpi xmlns:a14="http://schemas.microsoft.com/office/drawing/2010/main" val="0"/>
                        </a:ext>
                      </a:extLst>
                    </a:blip>
                    <a:srcRect l="2040" t="14534" r="3400" b="3685"/>
                    <a:stretch>
                      <a:fillRect/>
                    </a:stretch>
                  </pic:blipFill>
                  <pic:spPr bwMode="auto">
                    <a:xfrm>
                      <a:off x="0" y="0"/>
                      <a:ext cx="2857500" cy="1647825"/>
                    </a:xfrm>
                    <a:prstGeom prst="rect">
                      <a:avLst/>
                    </a:prstGeom>
                    <a:noFill/>
                    <a:ln>
                      <a:noFill/>
                    </a:ln>
                  </pic:spPr>
                </pic:pic>
              </a:graphicData>
            </a:graphic>
          </wp:inline>
        </w:drawing>
      </w:r>
    </w:p>
    <w:p w:rsidR="00762B76" w:rsidRDefault="00762B76" w:rsidP="00762B76">
      <w:pPr>
        <w:rPr>
          <w:rFonts w:ascii="Arial" w:hAnsi="Arial" w:cs="Arial"/>
          <w:bCs/>
          <w:i/>
          <w:sz w:val="20"/>
          <w:szCs w:val="20"/>
        </w:rPr>
      </w:pPr>
      <w:r>
        <w:rPr>
          <w:rFonts w:ascii="Arial" w:hAnsi="Arial" w:cs="Arial"/>
          <w:bCs/>
          <w:i/>
          <w:sz w:val="20"/>
          <w:szCs w:val="20"/>
        </w:rPr>
        <w:t xml:space="preserve">           </w:t>
      </w:r>
      <w:r w:rsidRPr="002D3F6C">
        <w:rPr>
          <w:rFonts w:ascii="Arial" w:hAnsi="Arial" w:cs="Arial"/>
          <w:bCs/>
          <w:i/>
          <w:sz w:val="20"/>
          <w:szCs w:val="20"/>
        </w:rPr>
        <w:t xml:space="preserve">Figura </w:t>
      </w:r>
      <w:r>
        <w:rPr>
          <w:rFonts w:ascii="Arial" w:hAnsi="Arial" w:cs="Arial"/>
          <w:bCs/>
          <w:i/>
          <w:sz w:val="20"/>
          <w:szCs w:val="20"/>
        </w:rPr>
        <w:t>9</w:t>
      </w:r>
      <w:r w:rsidRPr="002D3F6C">
        <w:rPr>
          <w:rFonts w:ascii="Arial" w:hAnsi="Arial" w:cs="Arial"/>
          <w:bCs/>
          <w:i/>
          <w:sz w:val="20"/>
          <w:szCs w:val="20"/>
        </w:rPr>
        <w:t xml:space="preserve">. </w:t>
      </w:r>
      <w:r>
        <w:rPr>
          <w:rFonts w:ascii="Arial" w:hAnsi="Arial" w:cs="Arial"/>
          <w:bCs/>
          <w:i/>
          <w:sz w:val="20"/>
          <w:szCs w:val="20"/>
        </w:rPr>
        <w:t xml:space="preserve">Grafica de medias Ajustadas                     </w:t>
      </w:r>
      <w:r w:rsidRPr="002D3F6C">
        <w:rPr>
          <w:rFonts w:ascii="Arial" w:hAnsi="Arial" w:cs="Arial"/>
          <w:bCs/>
          <w:i/>
          <w:sz w:val="20"/>
          <w:szCs w:val="20"/>
        </w:rPr>
        <w:t xml:space="preserve">Figura </w:t>
      </w:r>
      <w:r>
        <w:rPr>
          <w:rFonts w:ascii="Arial" w:hAnsi="Arial" w:cs="Arial"/>
          <w:bCs/>
          <w:i/>
          <w:sz w:val="20"/>
          <w:szCs w:val="20"/>
        </w:rPr>
        <w:t>10</w:t>
      </w:r>
      <w:r w:rsidRPr="002D3F6C">
        <w:rPr>
          <w:rFonts w:ascii="Arial" w:hAnsi="Arial" w:cs="Arial"/>
          <w:bCs/>
          <w:i/>
          <w:sz w:val="20"/>
          <w:szCs w:val="20"/>
        </w:rPr>
        <w:t xml:space="preserve">. </w:t>
      </w:r>
      <w:r>
        <w:rPr>
          <w:rFonts w:ascii="Arial" w:hAnsi="Arial" w:cs="Arial"/>
          <w:bCs/>
          <w:i/>
          <w:sz w:val="20"/>
          <w:szCs w:val="20"/>
        </w:rPr>
        <w:t xml:space="preserve">Grafica de medias Ajustadas </w:t>
      </w:r>
    </w:p>
    <w:p w:rsidR="00762B76" w:rsidRPr="00A34838" w:rsidRDefault="00762B76" w:rsidP="00762B76">
      <w:pPr>
        <w:rPr>
          <w:rFonts w:ascii="Arial" w:hAnsi="Arial" w:cs="Arial"/>
          <w:bCs/>
          <w:i/>
          <w:sz w:val="20"/>
          <w:szCs w:val="20"/>
        </w:rPr>
      </w:pPr>
      <w:r>
        <w:rPr>
          <w:rFonts w:ascii="Arial" w:hAnsi="Arial" w:cs="Arial"/>
          <w:bCs/>
          <w:i/>
          <w:sz w:val="20"/>
          <w:szCs w:val="20"/>
        </w:rPr>
        <w:t xml:space="preserve">                         para solidos totales                                                   para solidos totales volátiles</w:t>
      </w:r>
    </w:p>
    <w:p w:rsidR="00762B76" w:rsidRDefault="00762B76" w:rsidP="00762B76"/>
    <w:p w:rsidR="00762B76" w:rsidRPr="00864F04" w:rsidRDefault="00762B76" w:rsidP="00762B76">
      <w:pPr>
        <w:jc w:val="both"/>
        <w:rPr>
          <w:rFonts w:ascii="Arial" w:hAnsi="Arial" w:cs="Arial"/>
        </w:rPr>
      </w:pPr>
      <w:r w:rsidRPr="00864F04">
        <w:rPr>
          <w:rFonts w:ascii="Arial" w:hAnsi="Arial" w:cs="Arial"/>
        </w:rPr>
        <w:t>A través de un modelo lineal se generan los gráficos de medias ajustadas para los efectos principales de solidos Suspendidos y la correlación del tiempo-voltaje, en la Figura 11 se presenta la medias ajustadas de solidos Suspendidos Totales donde se obtiene que la mejor correlación es el tiempo dos que corresponde a la segunda hora de experimentación y el voltaje cuatro que corresponde a 80V de experimentación ya que con esta relación se ajusta a los parámetros de la norma que tiene un valor permisible de 125 mg/L, en la Figura 12 se presenta el mismo efecto en las medias ajustadas para los solidos Suspendidos Volátiles donde la mejor correlación es la segunda hora de experimentación y el voltaje cuatro que corresponde a 80V de experimentación, ya que con esta relación se ajusta a los parámetros de la norma que tiene un valor permisible de 85 mg/L.</w:t>
      </w:r>
    </w:p>
    <w:p w:rsidR="00762B76" w:rsidRPr="00864F04" w:rsidRDefault="00762B76" w:rsidP="00762B76">
      <w:pPr>
        <w:rPr>
          <w:rFonts w:ascii="Arial" w:hAnsi="Arial" w:cs="Arial"/>
        </w:rPr>
      </w:pPr>
    </w:p>
    <w:p w:rsidR="00762B76" w:rsidRDefault="00762B76" w:rsidP="00762B76">
      <w:r>
        <w:lastRenderedPageBreak/>
        <w:t xml:space="preserve">  </w:t>
      </w:r>
      <w:r w:rsidRPr="00547ABF">
        <w:rPr>
          <w:noProof/>
          <w:lang w:val="en-US"/>
        </w:rPr>
        <w:drawing>
          <wp:inline distT="0" distB="0" distL="0" distR="0" wp14:anchorId="29CDBB43" wp14:editId="5495D44D">
            <wp:extent cx="2781300" cy="1590675"/>
            <wp:effectExtent l="0" t="0" r="0" b="9525"/>
            <wp:docPr id="1674859476" name="Imagen 167485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3">
                      <a:extLst>
                        <a:ext uri="{28A0092B-C50C-407E-A947-70E740481C1C}">
                          <a14:useLocalDpi xmlns:a14="http://schemas.microsoft.com/office/drawing/2010/main" val="0"/>
                        </a:ext>
                      </a:extLst>
                    </a:blip>
                    <a:srcRect l="1967" t="14827" r="4070" b="4584"/>
                    <a:stretch>
                      <a:fillRect/>
                    </a:stretch>
                  </pic:blipFill>
                  <pic:spPr bwMode="auto">
                    <a:xfrm>
                      <a:off x="0" y="0"/>
                      <a:ext cx="2781300" cy="1590675"/>
                    </a:xfrm>
                    <a:prstGeom prst="rect">
                      <a:avLst/>
                    </a:prstGeom>
                    <a:noFill/>
                    <a:ln>
                      <a:noFill/>
                    </a:ln>
                  </pic:spPr>
                </pic:pic>
              </a:graphicData>
            </a:graphic>
          </wp:inline>
        </w:drawing>
      </w:r>
      <w:r>
        <w:t xml:space="preserve">        </w:t>
      </w:r>
      <w:r>
        <w:rPr>
          <w:noProof/>
          <w:lang w:val="en-US"/>
        </w:rPr>
        <w:drawing>
          <wp:inline distT="0" distB="0" distL="0" distR="0" wp14:anchorId="12FE7B72" wp14:editId="47D2865A">
            <wp:extent cx="2805430" cy="1599565"/>
            <wp:effectExtent l="0" t="0" r="0" b="635"/>
            <wp:docPr id="1674859487" name="Imagen 1674859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a:extLst>
                        <a:ext uri="{28A0092B-C50C-407E-A947-70E740481C1C}">
                          <a14:useLocalDpi xmlns:a14="http://schemas.microsoft.com/office/drawing/2010/main" val="0"/>
                        </a:ext>
                      </a:extLst>
                    </a:blip>
                    <a:srcRect l="1909" t="15358" r="3705" b="3822"/>
                    <a:stretch>
                      <a:fillRect/>
                    </a:stretch>
                  </pic:blipFill>
                  <pic:spPr bwMode="auto">
                    <a:xfrm>
                      <a:off x="0" y="0"/>
                      <a:ext cx="2805430" cy="1599565"/>
                    </a:xfrm>
                    <a:prstGeom prst="rect">
                      <a:avLst/>
                    </a:prstGeom>
                    <a:noFill/>
                  </pic:spPr>
                </pic:pic>
              </a:graphicData>
            </a:graphic>
          </wp:inline>
        </w:drawing>
      </w:r>
    </w:p>
    <w:p w:rsidR="00762B76" w:rsidRDefault="00762B76" w:rsidP="00762B76">
      <w:pPr>
        <w:rPr>
          <w:rFonts w:ascii="Arial" w:hAnsi="Arial" w:cs="Arial"/>
          <w:bCs/>
          <w:i/>
          <w:sz w:val="20"/>
          <w:szCs w:val="20"/>
        </w:rPr>
      </w:pPr>
      <w:r>
        <w:rPr>
          <w:rFonts w:ascii="Arial" w:hAnsi="Arial" w:cs="Arial"/>
          <w:bCs/>
          <w:i/>
          <w:sz w:val="20"/>
          <w:szCs w:val="20"/>
        </w:rPr>
        <w:t xml:space="preserve">    </w:t>
      </w:r>
      <w:r w:rsidRPr="002D3F6C">
        <w:rPr>
          <w:rFonts w:ascii="Arial" w:hAnsi="Arial" w:cs="Arial"/>
          <w:bCs/>
          <w:i/>
          <w:sz w:val="20"/>
          <w:szCs w:val="20"/>
        </w:rPr>
        <w:t xml:space="preserve">Figura </w:t>
      </w:r>
      <w:r>
        <w:rPr>
          <w:rFonts w:ascii="Arial" w:hAnsi="Arial" w:cs="Arial"/>
          <w:bCs/>
          <w:i/>
          <w:sz w:val="20"/>
          <w:szCs w:val="20"/>
        </w:rPr>
        <w:t>11</w:t>
      </w:r>
      <w:r w:rsidRPr="002D3F6C">
        <w:rPr>
          <w:rFonts w:ascii="Arial" w:hAnsi="Arial" w:cs="Arial"/>
          <w:bCs/>
          <w:i/>
          <w:sz w:val="20"/>
          <w:szCs w:val="20"/>
        </w:rPr>
        <w:t xml:space="preserve">. </w:t>
      </w:r>
      <w:r>
        <w:rPr>
          <w:rFonts w:ascii="Arial" w:hAnsi="Arial" w:cs="Arial"/>
          <w:bCs/>
          <w:i/>
          <w:sz w:val="20"/>
          <w:szCs w:val="20"/>
        </w:rPr>
        <w:t>Grafica de medias Ajustadas</w:t>
      </w:r>
      <w:r w:rsidRPr="0095295A">
        <w:rPr>
          <w:rFonts w:ascii="Arial" w:hAnsi="Arial" w:cs="Arial"/>
          <w:bCs/>
          <w:i/>
          <w:sz w:val="20"/>
          <w:szCs w:val="20"/>
        </w:rPr>
        <w:t xml:space="preserve"> </w:t>
      </w:r>
      <w:r>
        <w:rPr>
          <w:rFonts w:ascii="Arial" w:hAnsi="Arial" w:cs="Arial"/>
          <w:bCs/>
          <w:i/>
          <w:sz w:val="20"/>
          <w:szCs w:val="20"/>
        </w:rPr>
        <w:t xml:space="preserve">para                 </w:t>
      </w:r>
      <w:r w:rsidRPr="002D3F6C">
        <w:rPr>
          <w:rFonts w:ascii="Arial" w:hAnsi="Arial" w:cs="Arial"/>
          <w:bCs/>
          <w:i/>
          <w:sz w:val="20"/>
          <w:szCs w:val="20"/>
        </w:rPr>
        <w:t xml:space="preserve">Figura </w:t>
      </w:r>
      <w:r>
        <w:rPr>
          <w:rFonts w:ascii="Arial" w:hAnsi="Arial" w:cs="Arial"/>
          <w:bCs/>
          <w:i/>
          <w:sz w:val="20"/>
          <w:szCs w:val="20"/>
        </w:rPr>
        <w:t>12</w:t>
      </w:r>
      <w:r w:rsidRPr="002D3F6C">
        <w:rPr>
          <w:rFonts w:ascii="Arial" w:hAnsi="Arial" w:cs="Arial"/>
          <w:bCs/>
          <w:i/>
          <w:sz w:val="20"/>
          <w:szCs w:val="20"/>
        </w:rPr>
        <w:t xml:space="preserve">. </w:t>
      </w:r>
      <w:r>
        <w:rPr>
          <w:rFonts w:ascii="Arial" w:hAnsi="Arial" w:cs="Arial"/>
          <w:bCs/>
          <w:i/>
          <w:sz w:val="20"/>
          <w:szCs w:val="20"/>
        </w:rPr>
        <w:t>Grafica de medias Ajustadas para</w:t>
      </w:r>
    </w:p>
    <w:p w:rsidR="00762B76" w:rsidRPr="00A34838" w:rsidRDefault="00762B76" w:rsidP="00762B76">
      <w:pPr>
        <w:rPr>
          <w:rFonts w:ascii="Arial" w:hAnsi="Arial" w:cs="Arial"/>
          <w:bCs/>
          <w:i/>
          <w:sz w:val="20"/>
          <w:szCs w:val="20"/>
        </w:rPr>
      </w:pPr>
      <w:r>
        <w:rPr>
          <w:rFonts w:ascii="Arial" w:hAnsi="Arial" w:cs="Arial"/>
          <w:bCs/>
          <w:i/>
          <w:sz w:val="20"/>
          <w:szCs w:val="20"/>
        </w:rPr>
        <w:t xml:space="preserve">                  Solidos Suspendidos Totales                                         Solidos Suspendidos volátiles</w:t>
      </w:r>
    </w:p>
    <w:p w:rsidR="00762B76" w:rsidRDefault="00762B76" w:rsidP="00762B76"/>
    <w:p w:rsidR="00762B76" w:rsidRPr="00864F04" w:rsidRDefault="00762B76" w:rsidP="00762B76">
      <w:pPr>
        <w:jc w:val="both"/>
        <w:rPr>
          <w:rFonts w:ascii="Arial" w:hAnsi="Arial" w:cs="Arial"/>
          <w:color w:val="000000"/>
        </w:rPr>
      </w:pPr>
      <w:r w:rsidRPr="00864F04">
        <w:rPr>
          <w:rFonts w:ascii="Arial" w:hAnsi="Arial" w:cs="Arial"/>
        </w:rPr>
        <w:t>Se genera un análisis estadístico de varianza (anova), estos resultados se presentan en la tabla 4. Determina la correlación de solidos y Voltaje-Tiempo, para los parámetros: Solidos Totales, Solidos Totales volátiles, Solidos Suspendidos Totales y Solidos Suspendidos Volátiles, en base al valor “Pearson” que especifica una asociación positiva entre el voltaje y el tiempo de experimentación, ya son factores que determinan la degradación de dichos solidos, al presentar un valor tendiente a “Cero”.  También se analiza que el porcentaje de determinación múltiple tiene un error menor al 5 % con ello el ajuste es adecuado</w:t>
      </w:r>
      <w:r w:rsidRPr="00864F04">
        <w:rPr>
          <w:rFonts w:ascii="Arial" w:hAnsi="Arial" w:cs="Arial"/>
          <w:color w:val="000000"/>
        </w:rPr>
        <w:t>.</w:t>
      </w:r>
    </w:p>
    <w:p w:rsidR="00762B76" w:rsidRDefault="00762B76" w:rsidP="00762B76"/>
    <w:p w:rsidR="00762B76" w:rsidRPr="007014CE" w:rsidRDefault="00762B76" w:rsidP="00762B76">
      <w:pPr>
        <w:numPr>
          <w:ilvl w:val="0"/>
          <w:numId w:val="1"/>
        </w:numPr>
        <w:tabs>
          <w:tab w:val="clear" w:pos="432"/>
          <w:tab w:val="num" w:pos="0"/>
        </w:tabs>
        <w:spacing w:after="0" w:line="240" w:lineRule="auto"/>
        <w:ind w:left="0" w:firstLine="0"/>
        <w:jc w:val="center"/>
        <w:rPr>
          <w:rFonts w:ascii="Arial" w:hAnsi="Arial" w:cs="Arial"/>
          <w:bCs/>
          <w:i/>
          <w:noProof/>
          <w:sz w:val="20"/>
          <w:szCs w:val="20"/>
          <w:highlight w:val="yellow"/>
          <w:lang w:eastAsia="en-GB"/>
        </w:rPr>
      </w:pPr>
      <w:r w:rsidRPr="00547ABF">
        <w:rPr>
          <w:rFonts w:ascii="Arial" w:hAnsi="Arial" w:cs="Arial"/>
          <w:bCs/>
          <w:i/>
          <w:noProof/>
          <w:sz w:val="20"/>
          <w:szCs w:val="20"/>
          <w:lang w:eastAsia="en-GB"/>
        </w:rPr>
        <w:t xml:space="preserve">Tabla </w:t>
      </w:r>
      <w:r>
        <w:rPr>
          <w:rFonts w:ascii="Arial" w:hAnsi="Arial" w:cs="Arial"/>
          <w:bCs/>
          <w:i/>
          <w:noProof/>
          <w:sz w:val="20"/>
          <w:szCs w:val="20"/>
          <w:lang w:eastAsia="en-GB"/>
        </w:rPr>
        <w:t>4</w:t>
      </w:r>
      <w:r w:rsidRPr="00547ABF">
        <w:rPr>
          <w:rFonts w:ascii="Arial" w:hAnsi="Arial" w:cs="Arial"/>
          <w:bCs/>
          <w:i/>
          <w:noProof/>
          <w:sz w:val="20"/>
          <w:szCs w:val="20"/>
          <w:lang w:eastAsia="en-GB"/>
        </w:rPr>
        <w:t xml:space="preserve">. </w:t>
      </w:r>
      <w:r>
        <w:rPr>
          <w:rFonts w:ascii="Arial" w:hAnsi="Arial" w:cs="Arial"/>
          <w:bCs/>
          <w:i/>
          <w:noProof/>
          <w:sz w:val="20"/>
          <w:szCs w:val="20"/>
          <w:lang w:eastAsia="en-GB"/>
        </w:rPr>
        <w:t>Análisis de correlacion de parametros de Solidos, el tiempo de experimentación y el voltaje</w:t>
      </w:r>
    </w:p>
    <w:tbl>
      <w:tblPr>
        <w:tblW w:w="8648" w:type="dxa"/>
        <w:jc w:val="center"/>
        <w:tblLayout w:type="fixed"/>
        <w:tblLook w:val="04A0" w:firstRow="1" w:lastRow="0" w:firstColumn="1" w:lastColumn="0" w:noHBand="0" w:noVBand="1"/>
      </w:tblPr>
      <w:tblGrid>
        <w:gridCol w:w="1107"/>
        <w:gridCol w:w="807"/>
        <w:gridCol w:w="780"/>
        <w:gridCol w:w="850"/>
        <w:gridCol w:w="851"/>
        <w:gridCol w:w="709"/>
        <w:gridCol w:w="567"/>
        <w:gridCol w:w="851"/>
        <w:gridCol w:w="850"/>
        <w:gridCol w:w="1276"/>
      </w:tblGrid>
      <w:tr w:rsidR="00762B76" w:rsidRPr="009C24E3" w:rsidTr="00B81843">
        <w:trPr>
          <w:jc w:val="center"/>
        </w:trPr>
        <w:tc>
          <w:tcPr>
            <w:tcW w:w="110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eastAsia="Calibri" w:hAnsi="Arial" w:cs="Arial"/>
                <w:b/>
                <w:bCs/>
                <w:sz w:val="18"/>
                <w:szCs w:val="18"/>
              </w:rPr>
            </w:pPr>
            <w:bookmarkStart w:id="80" w:name="_Hlk48399040"/>
            <w:bookmarkEnd w:id="75"/>
            <w:bookmarkEnd w:id="79"/>
            <w:r w:rsidRPr="009C24E3">
              <w:rPr>
                <w:rFonts w:ascii="Arial" w:eastAsia="Calibri" w:hAnsi="Arial" w:cs="Arial"/>
                <w:b/>
                <w:bCs/>
                <w:sz w:val="18"/>
                <w:szCs w:val="18"/>
              </w:rPr>
              <w:t>Parámetro</w:t>
            </w:r>
          </w:p>
        </w:tc>
        <w:tc>
          <w:tcPr>
            <w:tcW w:w="80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Fuente</w:t>
            </w:r>
          </w:p>
        </w:tc>
        <w:tc>
          <w:tcPr>
            <w:tcW w:w="780"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Grad.</w:t>
            </w:r>
          </w:p>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Libert.</w:t>
            </w:r>
          </w:p>
        </w:tc>
        <w:tc>
          <w:tcPr>
            <w:tcW w:w="850"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S C</w:t>
            </w:r>
          </w:p>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Ajust.</w:t>
            </w:r>
          </w:p>
        </w:tc>
        <w:tc>
          <w:tcPr>
            <w:tcW w:w="851"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M C</w:t>
            </w:r>
          </w:p>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Ajust.</w:t>
            </w:r>
          </w:p>
        </w:tc>
        <w:tc>
          <w:tcPr>
            <w:tcW w:w="709"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Valor</w:t>
            </w:r>
          </w:p>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P</w:t>
            </w:r>
          </w:p>
        </w:tc>
        <w:tc>
          <w:tcPr>
            <w:tcW w:w="567"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S</w:t>
            </w:r>
          </w:p>
        </w:tc>
        <w:tc>
          <w:tcPr>
            <w:tcW w:w="851"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R Cua.</w:t>
            </w:r>
          </w:p>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w:t>
            </w:r>
          </w:p>
        </w:tc>
        <w:tc>
          <w:tcPr>
            <w:tcW w:w="850"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R Cua.</w:t>
            </w:r>
          </w:p>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Ajust.</w:t>
            </w:r>
          </w:p>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w:t>
            </w:r>
          </w:p>
        </w:tc>
        <w:tc>
          <w:tcPr>
            <w:tcW w:w="1276" w:type="dxa"/>
            <w:tcBorders>
              <w:top w:val="single" w:sz="12" w:space="0" w:color="auto"/>
              <w:bottom w:val="single" w:sz="12" w:space="0" w:color="auto"/>
            </w:tcBorders>
            <w:shd w:val="clear" w:color="auto" w:fill="auto"/>
            <w:vAlign w:val="center"/>
          </w:tcPr>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R Cua.</w:t>
            </w:r>
          </w:p>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Predeterm.</w:t>
            </w:r>
          </w:p>
        </w:tc>
      </w:tr>
      <w:tr w:rsidR="00762B76" w:rsidRPr="009C24E3" w:rsidTr="00B81843">
        <w:trPr>
          <w:jc w:val="center"/>
        </w:trPr>
        <w:tc>
          <w:tcPr>
            <w:tcW w:w="1107" w:type="dxa"/>
            <w:vMerge w:val="restart"/>
            <w:tcBorders>
              <w:top w:val="single" w:sz="12" w:space="0" w:color="auto"/>
            </w:tcBorders>
            <w:shd w:val="clear" w:color="auto" w:fill="auto"/>
            <w:vAlign w:val="center"/>
          </w:tcPr>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S. Totales</w:t>
            </w:r>
          </w:p>
        </w:tc>
        <w:tc>
          <w:tcPr>
            <w:tcW w:w="807" w:type="dxa"/>
            <w:tcBorders>
              <w:top w:val="single" w:sz="12" w:space="0" w:color="auto"/>
            </w:tcBorders>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T(hr)</w:t>
            </w:r>
          </w:p>
        </w:tc>
        <w:tc>
          <w:tcPr>
            <w:tcW w:w="780" w:type="dxa"/>
            <w:tcBorders>
              <w:top w:val="single" w:sz="12" w:space="0" w:color="auto"/>
            </w:tcBorders>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2</w:t>
            </w:r>
          </w:p>
        </w:tc>
        <w:tc>
          <w:tcPr>
            <w:tcW w:w="850" w:type="dxa"/>
            <w:tcBorders>
              <w:top w:val="single" w:sz="12" w:space="0" w:color="auto"/>
            </w:tcBorders>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84.46</w:t>
            </w:r>
          </w:p>
        </w:tc>
        <w:tc>
          <w:tcPr>
            <w:tcW w:w="851" w:type="dxa"/>
            <w:tcBorders>
              <w:top w:val="single" w:sz="12" w:space="0" w:color="auto"/>
            </w:tcBorders>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42.2</w:t>
            </w:r>
          </w:p>
        </w:tc>
        <w:tc>
          <w:tcPr>
            <w:tcW w:w="709" w:type="dxa"/>
            <w:tcBorders>
              <w:top w:val="single" w:sz="12" w:space="0" w:color="auto"/>
            </w:tcBorders>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0.05</w:t>
            </w:r>
          </w:p>
        </w:tc>
        <w:tc>
          <w:tcPr>
            <w:tcW w:w="567" w:type="dxa"/>
            <w:vMerge w:val="restart"/>
            <w:tcBorders>
              <w:top w:val="single" w:sz="12" w:space="0" w:color="auto"/>
            </w:tcBorders>
            <w:shd w:val="clear" w:color="auto" w:fill="auto"/>
            <w:vAlign w:val="center"/>
          </w:tcPr>
          <w:p w:rsidR="00762B76" w:rsidRPr="009C24E3" w:rsidRDefault="00762B76" w:rsidP="00B81843">
            <w:pPr>
              <w:jc w:val="center"/>
              <w:rPr>
                <w:rFonts w:ascii="Arial" w:hAnsi="Arial" w:cs="Arial"/>
                <w:sz w:val="18"/>
                <w:szCs w:val="18"/>
              </w:rPr>
            </w:pPr>
            <w:r w:rsidRPr="009C24E3">
              <w:rPr>
                <w:rFonts w:ascii="Arial" w:hAnsi="Arial" w:cs="Arial"/>
                <w:sz w:val="18"/>
                <w:szCs w:val="18"/>
              </w:rPr>
              <w:t>3.18</w:t>
            </w:r>
          </w:p>
        </w:tc>
        <w:tc>
          <w:tcPr>
            <w:tcW w:w="851" w:type="dxa"/>
            <w:vMerge w:val="restart"/>
            <w:tcBorders>
              <w:top w:val="single" w:sz="12" w:space="0" w:color="auto"/>
            </w:tcBorders>
            <w:shd w:val="clear" w:color="auto" w:fill="auto"/>
            <w:vAlign w:val="center"/>
          </w:tcPr>
          <w:p w:rsidR="00762B76" w:rsidRPr="009C24E3" w:rsidRDefault="00762B76" w:rsidP="00B81843">
            <w:pPr>
              <w:jc w:val="center"/>
              <w:rPr>
                <w:rFonts w:ascii="Arial" w:hAnsi="Arial" w:cs="Arial"/>
                <w:sz w:val="18"/>
                <w:szCs w:val="18"/>
              </w:rPr>
            </w:pPr>
            <w:r w:rsidRPr="009C24E3">
              <w:rPr>
                <w:rFonts w:ascii="Arial" w:hAnsi="Arial" w:cs="Arial"/>
                <w:sz w:val="18"/>
                <w:szCs w:val="18"/>
              </w:rPr>
              <w:t>98.19%</w:t>
            </w:r>
          </w:p>
        </w:tc>
        <w:tc>
          <w:tcPr>
            <w:tcW w:w="850" w:type="dxa"/>
            <w:vMerge w:val="restart"/>
            <w:tcBorders>
              <w:top w:val="single" w:sz="12" w:space="0" w:color="auto"/>
            </w:tcBorders>
            <w:shd w:val="clear" w:color="auto" w:fill="auto"/>
            <w:vAlign w:val="center"/>
          </w:tcPr>
          <w:p w:rsidR="00762B76" w:rsidRPr="009C24E3" w:rsidRDefault="00762B76" w:rsidP="00B81843">
            <w:pPr>
              <w:jc w:val="center"/>
              <w:rPr>
                <w:rFonts w:ascii="Arial" w:hAnsi="Arial" w:cs="Arial"/>
                <w:sz w:val="18"/>
                <w:szCs w:val="18"/>
              </w:rPr>
            </w:pPr>
            <w:r w:rsidRPr="009C24E3">
              <w:rPr>
                <w:rFonts w:ascii="Arial" w:hAnsi="Arial" w:cs="Arial"/>
                <w:sz w:val="18"/>
                <w:szCs w:val="18"/>
              </w:rPr>
              <w:t>96.83%</w:t>
            </w:r>
          </w:p>
        </w:tc>
        <w:tc>
          <w:tcPr>
            <w:tcW w:w="1276" w:type="dxa"/>
            <w:vMerge w:val="restart"/>
            <w:tcBorders>
              <w:top w:val="single" w:sz="12" w:space="0" w:color="auto"/>
            </w:tcBorders>
            <w:shd w:val="clear" w:color="auto" w:fill="auto"/>
            <w:vAlign w:val="center"/>
          </w:tcPr>
          <w:p w:rsidR="00762B76" w:rsidRPr="009C24E3" w:rsidRDefault="00762B76" w:rsidP="00B81843">
            <w:pPr>
              <w:jc w:val="center"/>
              <w:rPr>
                <w:rFonts w:ascii="Arial" w:hAnsi="Arial" w:cs="Arial"/>
                <w:sz w:val="18"/>
                <w:szCs w:val="18"/>
              </w:rPr>
            </w:pPr>
            <w:r w:rsidRPr="009C24E3">
              <w:rPr>
                <w:rFonts w:ascii="Arial" w:hAnsi="Arial" w:cs="Arial"/>
                <w:sz w:val="18"/>
                <w:szCs w:val="18"/>
              </w:rPr>
              <w:t>93.64%</w:t>
            </w:r>
          </w:p>
        </w:tc>
      </w:tr>
      <w:tr w:rsidR="00762B76" w:rsidRPr="009C24E3" w:rsidTr="00B81843">
        <w:trPr>
          <w:jc w:val="center"/>
        </w:trPr>
        <w:tc>
          <w:tcPr>
            <w:tcW w:w="1107" w:type="dxa"/>
            <w:vMerge/>
            <w:shd w:val="clear" w:color="auto" w:fill="auto"/>
            <w:vAlign w:val="center"/>
          </w:tcPr>
          <w:p w:rsidR="00762B76" w:rsidRPr="009C24E3" w:rsidRDefault="00762B76" w:rsidP="00B81843">
            <w:pPr>
              <w:jc w:val="center"/>
              <w:rPr>
                <w:rFonts w:ascii="Arial" w:eastAsia="Calibri" w:hAnsi="Arial" w:cs="Arial"/>
                <w:b/>
                <w:bCs/>
                <w:sz w:val="18"/>
                <w:szCs w:val="18"/>
              </w:rPr>
            </w:pPr>
          </w:p>
        </w:tc>
        <w:tc>
          <w:tcPr>
            <w:tcW w:w="807"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V</w:t>
            </w:r>
          </w:p>
        </w:tc>
        <w:tc>
          <w:tcPr>
            <w:tcW w:w="780"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3</w:t>
            </w:r>
          </w:p>
        </w:tc>
        <w:tc>
          <w:tcPr>
            <w:tcW w:w="850"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4332.4</w:t>
            </w:r>
          </w:p>
        </w:tc>
        <w:tc>
          <w:tcPr>
            <w:tcW w:w="851"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1083.1</w:t>
            </w:r>
          </w:p>
        </w:tc>
        <w:tc>
          <w:tcPr>
            <w:tcW w:w="709"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0.00</w:t>
            </w:r>
          </w:p>
        </w:tc>
        <w:tc>
          <w:tcPr>
            <w:tcW w:w="567" w:type="dxa"/>
            <w:vMerge/>
            <w:shd w:val="clear" w:color="auto" w:fill="auto"/>
            <w:vAlign w:val="center"/>
          </w:tcPr>
          <w:p w:rsidR="00762B76" w:rsidRPr="009C24E3" w:rsidRDefault="00762B76" w:rsidP="00B81843">
            <w:pPr>
              <w:jc w:val="center"/>
              <w:rPr>
                <w:rFonts w:ascii="Arial" w:hAnsi="Arial" w:cs="Arial"/>
                <w:sz w:val="18"/>
                <w:szCs w:val="18"/>
              </w:rPr>
            </w:pPr>
          </w:p>
        </w:tc>
        <w:tc>
          <w:tcPr>
            <w:tcW w:w="851" w:type="dxa"/>
            <w:vMerge/>
            <w:shd w:val="clear" w:color="auto" w:fill="auto"/>
            <w:vAlign w:val="center"/>
          </w:tcPr>
          <w:p w:rsidR="00762B76" w:rsidRPr="009C24E3" w:rsidRDefault="00762B76" w:rsidP="00B81843">
            <w:pPr>
              <w:jc w:val="center"/>
              <w:rPr>
                <w:rFonts w:ascii="Arial" w:hAnsi="Arial" w:cs="Arial"/>
                <w:sz w:val="18"/>
                <w:szCs w:val="18"/>
              </w:rPr>
            </w:pPr>
          </w:p>
        </w:tc>
        <w:tc>
          <w:tcPr>
            <w:tcW w:w="850" w:type="dxa"/>
            <w:vMerge/>
            <w:shd w:val="clear" w:color="auto" w:fill="auto"/>
            <w:vAlign w:val="center"/>
          </w:tcPr>
          <w:p w:rsidR="00762B76" w:rsidRPr="009C24E3" w:rsidRDefault="00762B76" w:rsidP="00B81843">
            <w:pPr>
              <w:jc w:val="center"/>
              <w:rPr>
                <w:rFonts w:ascii="Arial" w:hAnsi="Arial" w:cs="Arial"/>
                <w:sz w:val="18"/>
                <w:szCs w:val="18"/>
              </w:rPr>
            </w:pPr>
          </w:p>
        </w:tc>
        <w:tc>
          <w:tcPr>
            <w:tcW w:w="1276" w:type="dxa"/>
            <w:vMerge/>
            <w:shd w:val="clear" w:color="auto" w:fill="auto"/>
            <w:vAlign w:val="center"/>
          </w:tcPr>
          <w:p w:rsidR="00762B76" w:rsidRPr="009C24E3" w:rsidRDefault="00762B76" w:rsidP="00B81843">
            <w:pPr>
              <w:jc w:val="center"/>
              <w:rPr>
                <w:rFonts w:ascii="Arial" w:hAnsi="Arial" w:cs="Arial"/>
                <w:sz w:val="18"/>
                <w:szCs w:val="18"/>
              </w:rPr>
            </w:pPr>
          </w:p>
        </w:tc>
      </w:tr>
      <w:tr w:rsidR="00762B76" w:rsidRPr="009C24E3" w:rsidTr="00B81843">
        <w:trPr>
          <w:jc w:val="center"/>
        </w:trPr>
        <w:tc>
          <w:tcPr>
            <w:tcW w:w="1107" w:type="dxa"/>
            <w:vMerge w:val="restart"/>
            <w:shd w:val="clear" w:color="auto" w:fill="auto"/>
            <w:vAlign w:val="center"/>
          </w:tcPr>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S. Tot.</w:t>
            </w:r>
          </w:p>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volátiles</w:t>
            </w:r>
          </w:p>
        </w:tc>
        <w:tc>
          <w:tcPr>
            <w:tcW w:w="807"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T(hr)</w:t>
            </w:r>
          </w:p>
        </w:tc>
        <w:tc>
          <w:tcPr>
            <w:tcW w:w="780"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2</w:t>
            </w:r>
          </w:p>
        </w:tc>
        <w:tc>
          <w:tcPr>
            <w:tcW w:w="850"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32.9</w:t>
            </w:r>
          </w:p>
        </w:tc>
        <w:tc>
          <w:tcPr>
            <w:tcW w:w="851"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16.4</w:t>
            </w:r>
          </w:p>
        </w:tc>
        <w:tc>
          <w:tcPr>
            <w:tcW w:w="709"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0.00</w:t>
            </w:r>
          </w:p>
        </w:tc>
        <w:tc>
          <w:tcPr>
            <w:tcW w:w="567" w:type="dxa"/>
            <w:vMerge w:val="restart"/>
            <w:shd w:val="clear" w:color="auto" w:fill="auto"/>
            <w:vAlign w:val="center"/>
          </w:tcPr>
          <w:p w:rsidR="00762B76" w:rsidRPr="009C24E3" w:rsidRDefault="00762B76" w:rsidP="00B81843">
            <w:pPr>
              <w:jc w:val="center"/>
              <w:rPr>
                <w:rFonts w:ascii="Arial" w:hAnsi="Arial" w:cs="Arial"/>
                <w:sz w:val="18"/>
                <w:szCs w:val="18"/>
              </w:rPr>
            </w:pPr>
            <w:r w:rsidRPr="009C24E3">
              <w:rPr>
                <w:rFonts w:ascii="Arial" w:hAnsi="Arial" w:cs="Arial"/>
                <w:sz w:val="18"/>
                <w:szCs w:val="18"/>
              </w:rPr>
              <w:t>0.79</w:t>
            </w:r>
          </w:p>
        </w:tc>
        <w:tc>
          <w:tcPr>
            <w:tcW w:w="851" w:type="dxa"/>
            <w:vMerge w:val="restart"/>
            <w:shd w:val="clear" w:color="auto" w:fill="auto"/>
            <w:vAlign w:val="center"/>
          </w:tcPr>
          <w:p w:rsidR="00762B76" w:rsidRPr="009C24E3" w:rsidRDefault="00762B76" w:rsidP="00B81843">
            <w:pPr>
              <w:jc w:val="center"/>
              <w:rPr>
                <w:rFonts w:ascii="Arial" w:hAnsi="Arial" w:cs="Arial"/>
                <w:sz w:val="18"/>
                <w:szCs w:val="18"/>
              </w:rPr>
            </w:pPr>
            <w:r w:rsidRPr="009C24E3">
              <w:rPr>
                <w:rFonts w:ascii="Arial" w:hAnsi="Arial" w:cs="Arial"/>
                <w:sz w:val="18"/>
                <w:szCs w:val="18"/>
              </w:rPr>
              <w:t>99.71%</w:t>
            </w:r>
          </w:p>
        </w:tc>
        <w:tc>
          <w:tcPr>
            <w:tcW w:w="850" w:type="dxa"/>
            <w:vMerge w:val="restart"/>
            <w:shd w:val="clear" w:color="auto" w:fill="auto"/>
            <w:vAlign w:val="center"/>
          </w:tcPr>
          <w:p w:rsidR="00762B76" w:rsidRPr="009C24E3" w:rsidRDefault="00762B76" w:rsidP="00B81843">
            <w:pPr>
              <w:jc w:val="center"/>
              <w:rPr>
                <w:rFonts w:ascii="Arial" w:hAnsi="Arial" w:cs="Arial"/>
                <w:sz w:val="18"/>
                <w:szCs w:val="18"/>
              </w:rPr>
            </w:pPr>
            <w:r w:rsidRPr="009C24E3">
              <w:rPr>
                <w:rFonts w:ascii="Arial" w:hAnsi="Arial" w:cs="Arial"/>
                <w:sz w:val="18"/>
                <w:szCs w:val="18"/>
              </w:rPr>
              <w:t>99.50%</w:t>
            </w:r>
          </w:p>
        </w:tc>
        <w:tc>
          <w:tcPr>
            <w:tcW w:w="1276" w:type="dxa"/>
            <w:vMerge w:val="restart"/>
            <w:shd w:val="clear" w:color="auto" w:fill="auto"/>
            <w:vAlign w:val="center"/>
          </w:tcPr>
          <w:p w:rsidR="00762B76" w:rsidRPr="009C24E3" w:rsidRDefault="00762B76" w:rsidP="00B81843">
            <w:pPr>
              <w:jc w:val="center"/>
              <w:rPr>
                <w:rFonts w:ascii="Arial" w:hAnsi="Arial" w:cs="Arial"/>
                <w:sz w:val="18"/>
                <w:szCs w:val="18"/>
              </w:rPr>
            </w:pPr>
            <w:r w:rsidRPr="009C24E3">
              <w:rPr>
                <w:rFonts w:ascii="Arial" w:hAnsi="Arial" w:cs="Arial"/>
                <w:sz w:val="18"/>
                <w:szCs w:val="18"/>
              </w:rPr>
              <w:t>99.00%</w:t>
            </w:r>
          </w:p>
        </w:tc>
      </w:tr>
      <w:tr w:rsidR="00762B76" w:rsidRPr="009C24E3" w:rsidTr="00B81843">
        <w:trPr>
          <w:jc w:val="center"/>
        </w:trPr>
        <w:tc>
          <w:tcPr>
            <w:tcW w:w="1107" w:type="dxa"/>
            <w:vMerge/>
            <w:shd w:val="clear" w:color="auto" w:fill="auto"/>
            <w:vAlign w:val="center"/>
          </w:tcPr>
          <w:p w:rsidR="00762B76" w:rsidRPr="009C24E3" w:rsidRDefault="00762B76" w:rsidP="00B81843">
            <w:pPr>
              <w:jc w:val="center"/>
              <w:rPr>
                <w:rFonts w:ascii="Arial" w:eastAsia="Calibri" w:hAnsi="Arial" w:cs="Arial"/>
                <w:b/>
                <w:bCs/>
                <w:sz w:val="18"/>
                <w:szCs w:val="18"/>
              </w:rPr>
            </w:pPr>
          </w:p>
        </w:tc>
        <w:tc>
          <w:tcPr>
            <w:tcW w:w="807"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V</w:t>
            </w:r>
          </w:p>
        </w:tc>
        <w:tc>
          <w:tcPr>
            <w:tcW w:w="780"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3</w:t>
            </w:r>
          </w:p>
        </w:tc>
        <w:tc>
          <w:tcPr>
            <w:tcW w:w="850"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1749.3</w:t>
            </w:r>
          </w:p>
        </w:tc>
        <w:tc>
          <w:tcPr>
            <w:tcW w:w="851"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437.3</w:t>
            </w:r>
          </w:p>
        </w:tc>
        <w:tc>
          <w:tcPr>
            <w:tcW w:w="709"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0.00</w:t>
            </w:r>
          </w:p>
        </w:tc>
        <w:tc>
          <w:tcPr>
            <w:tcW w:w="567" w:type="dxa"/>
            <w:vMerge/>
            <w:shd w:val="clear" w:color="auto" w:fill="auto"/>
            <w:vAlign w:val="center"/>
          </w:tcPr>
          <w:p w:rsidR="00762B76" w:rsidRPr="009C24E3" w:rsidRDefault="00762B76" w:rsidP="00B81843">
            <w:pPr>
              <w:jc w:val="center"/>
              <w:rPr>
                <w:rFonts w:ascii="Arial" w:hAnsi="Arial" w:cs="Arial"/>
                <w:sz w:val="18"/>
                <w:szCs w:val="18"/>
              </w:rPr>
            </w:pPr>
          </w:p>
        </w:tc>
        <w:tc>
          <w:tcPr>
            <w:tcW w:w="851" w:type="dxa"/>
            <w:vMerge/>
            <w:shd w:val="clear" w:color="auto" w:fill="auto"/>
            <w:vAlign w:val="center"/>
          </w:tcPr>
          <w:p w:rsidR="00762B76" w:rsidRPr="009C24E3" w:rsidRDefault="00762B76" w:rsidP="00B81843">
            <w:pPr>
              <w:jc w:val="center"/>
              <w:rPr>
                <w:rFonts w:ascii="Arial" w:hAnsi="Arial" w:cs="Arial"/>
                <w:sz w:val="18"/>
                <w:szCs w:val="18"/>
              </w:rPr>
            </w:pPr>
          </w:p>
        </w:tc>
        <w:tc>
          <w:tcPr>
            <w:tcW w:w="850" w:type="dxa"/>
            <w:vMerge/>
            <w:shd w:val="clear" w:color="auto" w:fill="auto"/>
            <w:vAlign w:val="center"/>
          </w:tcPr>
          <w:p w:rsidR="00762B76" w:rsidRPr="009C24E3" w:rsidRDefault="00762B76" w:rsidP="00B81843">
            <w:pPr>
              <w:jc w:val="center"/>
              <w:rPr>
                <w:rFonts w:ascii="Arial" w:hAnsi="Arial" w:cs="Arial"/>
                <w:sz w:val="18"/>
                <w:szCs w:val="18"/>
              </w:rPr>
            </w:pPr>
          </w:p>
        </w:tc>
        <w:tc>
          <w:tcPr>
            <w:tcW w:w="1276" w:type="dxa"/>
            <w:vMerge/>
            <w:shd w:val="clear" w:color="auto" w:fill="auto"/>
            <w:vAlign w:val="center"/>
          </w:tcPr>
          <w:p w:rsidR="00762B76" w:rsidRPr="009C24E3" w:rsidRDefault="00762B76" w:rsidP="00B81843">
            <w:pPr>
              <w:jc w:val="center"/>
              <w:rPr>
                <w:rFonts w:ascii="Arial" w:hAnsi="Arial" w:cs="Arial"/>
                <w:sz w:val="18"/>
                <w:szCs w:val="18"/>
              </w:rPr>
            </w:pPr>
          </w:p>
        </w:tc>
      </w:tr>
      <w:tr w:rsidR="00762B76" w:rsidRPr="009C24E3" w:rsidTr="00B81843">
        <w:trPr>
          <w:jc w:val="center"/>
        </w:trPr>
        <w:tc>
          <w:tcPr>
            <w:tcW w:w="1107" w:type="dxa"/>
            <w:vMerge w:val="restart"/>
            <w:shd w:val="clear" w:color="auto" w:fill="auto"/>
            <w:vAlign w:val="center"/>
          </w:tcPr>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S. Susp.</w:t>
            </w:r>
          </w:p>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Tot.</w:t>
            </w:r>
          </w:p>
        </w:tc>
        <w:tc>
          <w:tcPr>
            <w:tcW w:w="807"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T(hr)</w:t>
            </w:r>
          </w:p>
        </w:tc>
        <w:tc>
          <w:tcPr>
            <w:tcW w:w="780"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2</w:t>
            </w:r>
          </w:p>
        </w:tc>
        <w:tc>
          <w:tcPr>
            <w:tcW w:w="850"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139.1</w:t>
            </w:r>
          </w:p>
        </w:tc>
        <w:tc>
          <w:tcPr>
            <w:tcW w:w="851"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69.5</w:t>
            </w:r>
          </w:p>
        </w:tc>
        <w:tc>
          <w:tcPr>
            <w:tcW w:w="709"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0.01</w:t>
            </w:r>
          </w:p>
        </w:tc>
        <w:tc>
          <w:tcPr>
            <w:tcW w:w="567" w:type="dxa"/>
            <w:vMerge w:val="restart"/>
            <w:shd w:val="clear" w:color="auto" w:fill="auto"/>
            <w:vAlign w:val="center"/>
          </w:tcPr>
          <w:p w:rsidR="00762B76" w:rsidRPr="009C24E3" w:rsidRDefault="00762B76" w:rsidP="00B81843">
            <w:pPr>
              <w:jc w:val="center"/>
              <w:rPr>
                <w:rFonts w:ascii="Arial" w:hAnsi="Arial" w:cs="Arial"/>
                <w:sz w:val="18"/>
                <w:szCs w:val="18"/>
              </w:rPr>
            </w:pPr>
            <w:r w:rsidRPr="009C24E3">
              <w:rPr>
                <w:rFonts w:ascii="Arial" w:hAnsi="Arial" w:cs="Arial"/>
                <w:sz w:val="18"/>
                <w:szCs w:val="18"/>
              </w:rPr>
              <w:t>3.14</w:t>
            </w:r>
          </w:p>
        </w:tc>
        <w:tc>
          <w:tcPr>
            <w:tcW w:w="851" w:type="dxa"/>
            <w:vMerge w:val="restart"/>
            <w:shd w:val="clear" w:color="auto" w:fill="auto"/>
            <w:vAlign w:val="center"/>
          </w:tcPr>
          <w:p w:rsidR="00762B76" w:rsidRPr="009C24E3" w:rsidRDefault="00762B76" w:rsidP="00B81843">
            <w:pPr>
              <w:jc w:val="center"/>
              <w:rPr>
                <w:rFonts w:ascii="Arial" w:hAnsi="Arial" w:cs="Arial"/>
                <w:sz w:val="18"/>
                <w:szCs w:val="18"/>
              </w:rPr>
            </w:pPr>
            <w:r w:rsidRPr="009C24E3">
              <w:rPr>
                <w:rFonts w:ascii="Arial" w:hAnsi="Arial" w:cs="Arial"/>
                <w:sz w:val="18"/>
                <w:szCs w:val="18"/>
              </w:rPr>
              <w:t>97.43%</w:t>
            </w:r>
          </w:p>
        </w:tc>
        <w:tc>
          <w:tcPr>
            <w:tcW w:w="850" w:type="dxa"/>
            <w:vMerge w:val="restart"/>
            <w:shd w:val="clear" w:color="auto" w:fill="auto"/>
            <w:vAlign w:val="center"/>
          </w:tcPr>
          <w:p w:rsidR="00762B76" w:rsidRPr="009C24E3" w:rsidRDefault="00762B76" w:rsidP="00B81843">
            <w:pPr>
              <w:jc w:val="center"/>
              <w:rPr>
                <w:rFonts w:ascii="Arial" w:hAnsi="Arial" w:cs="Arial"/>
                <w:sz w:val="18"/>
                <w:szCs w:val="18"/>
              </w:rPr>
            </w:pPr>
            <w:r w:rsidRPr="009C24E3">
              <w:rPr>
                <w:rFonts w:ascii="Arial" w:hAnsi="Arial" w:cs="Arial"/>
                <w:sz w:val="18"/>
                <w:szCs w:val="18"/>
              </w:rPr>
              <w:t>95.50%</w:t>
            </w:r>
          </w:p>
        </w:tc>
        <w:tc>
          <w:tcPr>
            <w:tcW w:w="1276" w:type="dxa"/>
            <w:vMerge w:val="restart"/>
            <w:shd w:val="clear" w:color="auto" w:fill="auto"/>
            <w:vAlign w:val="center"/>
          </w:tcPr>
          <w:p w:rsidR="00762B76" w:rsidRPr="009C24E3" w:rsidRDefault="00762B76" w:rsidP="00B81843">
            <w:pPr>
              <w:jc w:val="center"/>
              <w:rPr>
                <w:rFonts w:ascii="Arial" w:hAnsi="Arial" w:cs="Arial"/>
                <w:sz w:val="18"/>
                <w:szCs w:val="18"/>
              </w:rPr>
            </w:pPr>
            <w:r w:rsidRPr="009C24E3">
              <w:rPr>
                <w:rFonts w:ascii="Arial" w:hAnsi="Arial" w:cs="Arial"/>
                <w:sz w:val="18"/>
                <w:szCs w:val="18"/>
              </w:rPr>
              <w:t>90.97%</w:t>
            </w:r>
          </w:p>
        </w:tc>
      </w:tr>
      <w:tr w:rsidR="00762B76" w:rsidRPr="009C24E3" w:rsidTr="00B81843">
        <w:trPr>
          <w:jc w:val="center"/>
        </w:trPr>
        <w:tc>
          <w:tcPr>
            <w:tcW w:w="1107" w:type="dxa"/>
            <w:vMerge/>
            <w:shd w:val="clear" w:color="auto" w:fill="auto"/>
            <w:vAlign w:val="center"/>
          </w:tcPr>
          <w:p w:rsidR="00762B76" w:rsidRPr="009C24E3" w:rsidRDefault="00762B76" w:rsidP="00B81843">
            <w:pPr>
              <w:jc w:val="center"/>
              <w:rPr>
                <w:rFonts w:ascii="Arial" w:eastAsia="Calibri" w:hAnsi="Arial" w:cs="Arial"/>
                <w:b/>
                <w:bCs/>
                <w:sz w:val="18"/>
                <w:szCs w:val="18"/>
              </w:rPr>
            </w:pPr>
          </w:p>
        </w:tc>
        <w:tc>
          <w:tcPr>
            <w:tcW w:w="807"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V</w:t>
            </w:r>
          </w:p>
        </w:tc>
        <w:tc>
          <w:tcPr>
            <w:tcW w:w="780"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4</w:t>
            </w:r>
          </w:p>
        </w:tc>
        <w:tc>
          <w:tcPr>
            <w:tcW w:w="850"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2856.0</w:t>
            </w:r>
          </w:p>
        </w:tc>
        <w:tc>
          <w:tcPr>
            <w:tcW w:w="851"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714.0</w:t>
            </w:r>
          </w:p>
        </w:tc>
        <w:tc>
          <w:tcPr>
            <w:tcW w:w="709"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0.00</w:t>
            </w:r>
          </w:p>
        </w:tc>
        <w:tc>
          <w:tcPr>
            <w:tcW w:w="567" w:type="dxa"/>
            <w:vMerge/>
            <w:shd w:val="clear" w:color="auto" w:fill="auto"/>
            <w:vAlign w:val="center"/>
          </w:tcPr>
          <w:p w:rsidR="00762B76" w:rsidRPr="009C24E3" w:rsidRDefault="00762B76" w:rsidP="00B81843">
            <w:pPr>
              <w:jc w:val="center"/>
              <w:rPr>
                <w:rFonts w:ascii="Arial" w:hAnsi="Arial" w:cs="Arial"/>
                <w:sz w:val="18"/>
                <w:szCs w:val="18"/>
              </w:rPr>
            </w:pPr>
          </w:p>
        </w:tc>
        <w:tc>
          <w:tcPr>
            <w:tcW w:w="851" w:type="dxa"/>
            <w:vMerge/>
            <w:shd w:val="clear" w:color="auto" w:fill="auto"/>
            <w:vAlign w:val="center"/>
          </w:tcPr>
          <w:p w:rsidR="00762B76" w:rsidRPr="009C24E3" w:rsidRDefault="00762B76" w:rsidP="00B81843">
            <w:pPr>
              <w:jc w:val="center"/>
              <w:rPr>
                <w:rFonts w:ascii="Arial" w:hAnsi="Arial" w:cs="Arial"/>
                <w:sz w:val="18"/>
                <w:szCs w:val="18"/>
              </w:rPr>
            </w:pPr>
          </w:p>
        </w:tc>
        <w:tc>
          <w:tcPr>
            <w:tcW w:w="850" w:type="dxa"/>
            <w:vMerge/>
            <w:shd w:val="clear" w:color="auto" w:fill="auto"/>
            <w:vAlign w:val="center"/>
          </w:tcPr>
          <w:p w:rsidR="00762B76" w:rsidRPr="009C24E3" w:rsidRDefault="00762B76" w:rsidP="00B81843">
            <w:pPr>
              <w:jc w:val="center"/>
              <w:rPr>
                <w:rFonts w:ascii="Arial" w:hAnsi="Arial" w:cs="Arial"/>
                <w:sz w:val="18"/>
                <w:szCs w:val="18"/>
              </w:rPr>
            </w:pPr>
          </w:p>
        </w:tc>
        <w:tc>
          <w:tcPr>
            <w:tcW w:w="1276" w:type="dxa"/>
            <w:vMerge/>
            <w:shd w:val="clear" w:color="auto" w:fill="auto"/>
            <w:vAlign w:val="center"/>
          </w:tcPr>
          <w:p w:rsidR="00762B76" w:rsidRPr="009C24E3" w:rsidRDefault="00762B76" w:rsidP="00B81843">
            <w:pPr>
              <w:jc w:val="center"/>
              <w:rPr>
                <w:rFonts w:ascii="Arial" w:hAnsi="Arial" w:cs="Arial"/>
                <w:sz w:val="18"/>
                <w:szCs w:val="18"/>
              </w:rPr>
            </w:pPr>
          </w:p>
        </w:tc>
      </w:tr>
      <w:tr w:rsidR="00762B76" w:rsidRPr="009C24E3" w:rsidTr="00B81843">
        <w:trPr>
          <w:jc w:val="center"/>
        </w:trPr>
        <w:tc>
          <w:tcPr>
            <w:tcW w:w="1107" w:type="dxa"/>
            <w:vMerge w:val="restart"/>
            <w:shd w:val="clear" w:color="auto" w:fill="auto"/>
            <w:vAlign w:val="center"/>
          </w:tcPr>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S. Susp.</w:t>
            </w:r>
          </w:p>
          <w:p w:rsidR="00762B76" w:rsidRPr="009C24E3" w:rsidRDefault="00762B76" w:rsidP="00B81843">
            <w:pPr>
              <w:jc w:val="center"/>
              <w:rPr>
                <w:rFonts w:ascii="Arial" w:eastAsia="Calibri" w:hAnsi="Arial" w:cs="Arial"/>
                <w:b/>
                <w:bCs/>
                <w:sz w:val="18"/>
                <w:szCs w:val="18"/>
              </w:rPr>
            </w:pPr>
            <w:r w:rsidRPr="009C24E3">
              <w:rPr>
                <w:rFonts w:ascii="Arial" w:eastAsia="Calibri" w:hAnsi="Arial" w:cs="Arial"/>
                <w:b/>
                <w:bCs/>
                <w:sz w:val="18"/>
                <w:szCs w:val="18"/>
              </w:rPr>
              <w:t>volátiles</w:t>
            </w:r>
          </w:p>
        </w:tc>
        <w:tc>
          <w:tcPr>
            <w:tcW w:w="807"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T(hr)</w:t>
            </w:r>
          </w:p>
        </w:tc>
        <w:tc>
          <w:tcPr>
            <w:tcW w:w="780"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2</w:t>
            </w:r>
          </w:p>
        </w:tc>
        <w:tc>
          <w:tcPr>
            <w:tcW w:w="850"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37.2</w:t>
            </w:r>
          </w:p>
        </w:tc>
        <w:tc>
          <w:tcPr>
            <w:tcW w:w="851"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18.6</w:t>
            </w:r>
          </w:p>
        </w:tc>
        <w:tc>
          <w:tcPr>
            <w:tcW w:w="709" w:type="dxa"/>
            <w:shd w:val="clear" w:color="auto" w:fill="auto"/>
            <w:vAlign w:val="center"/>
          </w:tcPr>
          <w:p w:rsidR="00762B76" w:rsidRPr="009C24E3" w:rsidRDefault="00762B76" w:rsidP="00B81843">
            <w:pPr>
              <w:jc w:val="center"/>
              <w:rPr>
                <w:rFonts w:ascii="Arial" w:eastAsia="Calibri" w:hAnsi="Arial" w:cs="Arial"/>
                <w:sz w:val="18"/>
                <w:szCs w:val="18"/>
              </w:rPr>
            </w:pPr>
            <w:r w:rsidRPr="009C24E3">
              <w:rPr>
                <w:rFonts w:ascii="Arial" w:hAnsi="Arial" w:cs="Arial"/>
                <w:sz w:val="18"/>
                <w:szCs w:val="18"/>
              </w:rPr>
              <w:t>0.00</w:t>
            </w:r>
          </w:p>
        </w:tc>
        <w:tc>
          <w:tcPr>
            <w:tcW w:w="567" w:type="dxa"/>
            <w:vMerge w:val="restart"/>
            <w:shd w:val="clear" w:color="auto" w:fill="auto"/>
            <w:vAlign w:val="center"/>
          </w:tcPr>
          <w:p w:rsidR="00762B76" w:rsidRPr="009C24E3" w:rsidRDefault="00762B76" w:rsidP="00B81843">
            <w:pPr>
              <w:jc w:val="center"/>
              <w:rPr>
                <w:rFonts w:ascii="Arial" w:hAnsi="Arial" w:cs="Arial"/>
                <w:sz w:val="18"/>
                <w:szCs w:val="18"/>
              </w:rPr>
            </w:pPr>
            <w:r w:rsidRPr="009C24E3">
              <w:rPr>
                <w:rFonts w:ascii="Arial" w:hAnsi="Arial" w:cs="Arial"/>
                <w:sz w:val="18"/>
                <w:szCs w:val="18"/>
              </w:rPr>
              <w:t>0.66</w:t>
            </w:r>
          </w:p>
        </w:tc>
        <w:tc>
          <w:tcPr>
            <w:tcW w:w="851" w:type="dxa"/>
            <w:vMerge w:val="restart"/>
            <w:shd w:val="clear" w:color="auto" w:fill="auto"/>
            <w:vAlign w:val="center"/>
          </w:tcPr>
          <w:p w:rsidR="00762B76" w:rsidRPr="009C24E3" w:rsidRDefault="00762B76" w:rsidP="00B81843">
            <w:pPr>
              <w:jc w:val="center"/>
              <w:rPr>
                <w:rFonts w:ascii="Arial" w:hAnsi="Arial" w:cs="Arial"/>
                <w:sz w:val="18"/>
                <w:szCs w:val="18"/>
              </w:rPr>
            </w:pPr>
            <w:r w:rsidRPr="009C24E3">
              <w:rPr>
                <w:rFonts w:ascii="Arial" w:hAnsi="Arial" w:cs="Arial"/>
                <w:sz w:val="18"/>
                <w:szCs w:val="18"/>
              </w:rPr>
              <w:t>99.80%</w:t>
            </w:r>
          </w:p>
        </w:tc>
        <w:tc>
          <w:tcPr>
            <w:tcW w:w="850" w:type="dxa"/>
            <w:vMerge w:val="restart"/>
            <w:shd w:val="clear" w:color="auto" w:fill="auto"/>
            <w:vAlign w:val="center"/>
          </w:tcPr>
          <w:p w:rsidR="00762B76" w:rsidRPr="009C24E3" w:rsidRDefault="00762B76" w:rsidP="00B81843">
            <w:pPr>
              <w:jc w:val="center"/>
              <w:rPr>
                <w:rFonts w:ascii="Arial" w:hAnsi="Arial" w:cs="Arial"/>
                <w:sz w:val="18"/>
                <w:szCs w:val="18"/>
              </w:rPr>
            </w:pPr>
            <w:r w:rsidRPr="009C24E3">
              <w:rPr>
                <w:rFonts w:ascii="Arial" w:hAnsi="Arial" w:cs="Arial"/>
                <w:sz w:val="18"/>
                <w:szCs w:val="18"/>
              </w:rPr>
              <w:t>99.64%</w:t>
            </w:r>
          </w:p>
        </w:tc>
        <w:tc>
          <w:tcPr>
            <w:tcW w:w="1276" w:type="dxa"/>
            <w:vMerge w:val="restart"/>
            <w:shd w:val="clear" w:color="auto" w:fill="auto"/>
            <w:vAlign w:val="center"/>
          </w:tcPr>
          <w:p w:rsidR="00762B76" w:rsidRPr="009C24E3" w:rsidRDefault="00762B76" w:rsidP="00B81843">
            <w:pPr>
              <w:jc w:val="center"/>
              <w:rPr>
                <w:rFonts w:ascii="Arial" w:hAnsi="Arial" w:cs="Arial"/>
                <w:sz w:val="18"/>
                <w:szCs w:val="18"/>
              </w:rPr>
            </w:pPr>
            <w:r w:rsidRPr="009C24E3">
              <w:rPr>
                <w:rFonts w:ascii="Arial" w:hAnsi="Arial" w:cs="Arial"/>
                <w:sz w:val="18"/>
                <w:szCs w:val="18"/>
              </w:rPr>
              <w:t>99.29%</w:t>
            </w:r>
          </w:p>
        </w:tc>
      </w:tr>
      <w:tr w:rsidR="00762B76" w:rsidRPr="009C24E3" w:rsidTr="00B81843">
        <w:trPr>
          <w:jc w:val="center"/>
        </w:trPr>
        <w:tc>
          <w:tcPr>
            <w:tcW w:w="1107" w:type="dxa"/>
            <w:vMerge/>
            <w:tcBorders>
              <w:bottom w:val="single" w:sz="12" w:space="0" w:color="auto"/>
            </w:tcBorders>
            <w:shd w:val="clear" w:color="auto" w:fill="auto"/>
            <w:vAlign w:val="center"/>
          </w:tcPr>
          <w:p w:rsidR="00762B76" w:rsidRPr="009C24E3" w:rsidRDefault="00762B76" w:rsidP="00B81843">
            <w:pPr>
              <w:jc w:val="center"/>
              <w:rPr>
                <w:rFonts w:ascii="Arial" w:eastAsia="Calibri" w:hAnsi="Arial" w:cs="Arial"/>
                <w:sz w:val="20"/>
                <w:szCs w:val="20"/>
              </w:rPr>
            </w:pPr>
          </w:p>
        </w:tc>
        <w:tc>
          <w:tcPr>
            <w:tcW w:w="807" w:type="dxa"/>
            <w:tcBorders>
              <w:bottom w:val="single" w:sz="12" w:space="0" w:color="auto"/>
            </w:tcBorders>
            <w:shd w:val="clear" w:color="auto" w:fill="auto"/>
            <w:vAlign w:val="center"/>
          </w:tcPr>
          <w:p w:rsidR="00762B76" w:rsidRPr="009C24E3" w:rsidRDefault="00762B76" w:rsidP="00B81843">
            <w:pPr>
              <w:jc w:val="center"/>
              <w:rPr>
                <w:rFonts w:ascii="Arial" w:eastAsia="Calibri" w:hAnsi="Arial" w:cs="Arial"/>
                <w:sz w:val="20"/>
                <w:szCs w:val="20"/>
              </w:rPr>
            </w:pPr>
            <w:r w:rsidRPr="009C24E3">
              <w:rPr>
                <w:rFonts w:ascii="Arial" w:hAnsi="Arial" w:cs="Arial"/>
                <w:sz w:val="20"/>
                <w:szCs w:val="20"/>
              </w:rPr>
              <w:t>V</w:t>
            </w:r>
          </w:p>
        </w:tc>
        <w:tc>
          <w:tcPr>
            <w:tcW w:w="780" w:type="dxa"/>
            <w:tcBorders>
              <w:bottom w:val="single" w:sz="12" w:space="0" w:color="auto"/>
            </w:tcBorders>
            <w:shd w:val="clear" w:color="auto" w:fill="auto"/>
            <w:vAlign w:val="center"/>
          </w:tcPr>
          <w:p w:rsidR="00762B76" w:rsidRPr="009C24E3" w:rsidRDefault="00762B76" w:rsidP="00B81843">
            <w:pPr>
              <w:jc w:val="center"/>
              <w:rPr>
                <w:rFonts w:ascii="Arial" w:eastAsia="Calibri" w:hAnsi="Arial" w:cs="Arial"/>
                <w:sz w:val="20"/>
                <w:szCs w:val="20"/>
              </w:rPr>
            </w:pPr>
            <w:r w:rsidRPr="009C24E3">
              <w:rPr>
                <w:rFonts w:ascii="Arial" w:hAnsi="Arial" w:cs="Arial"/>
                <w:sz w:val="20"/>
                <w:szCs w:val="20"/>
              </w:rPr>
              <w:t>4</w:t>
            </w:r>
          </w:p>
        </w:tc>
        <w:tc>
          <w:tcPr>
            <w:tcW w:w="850" w:type="dxa"/>
            <w:tcBorders>
              <w:bottom w:val="single" w:sz="12" w:space="0" w:color="auto"/>
            </w:tcBorders>
            <w:shd w:val="clear" w:color="auto" w:fill="auto"/>
            <w:vAlign w:val="center"/>
          </w:tcPr>
          <w:p w:rsidR="00762B76" w:rsidRPr="009C24E3" w:rsidRDefault="00762B76" w:rsidP="00B81843">
            <w:pPr>
              <w:jc w:val="center"/>
              <w:rPr>
                <w:rFonts w:ascii="Arial" w:hAnsi="Arial" w:cs="Arial"/>
                <w:sz w:val="20"/>
                <w:szCs w:val="20"/>
              </w:rPr>
            </w:pPr>
            <w:r w:rsidRPr="009C24E3">
              <w:rPr>
                <w:rFonts w:ascii="Arial" w:hAnsi="Arial" w:cs="Arial"/>
                <w:sz w:val="20"/>
                <w:szCs w:val="20"/>
              </w:rPr>
              <w:t>1713.7</w:t>
            </w:r>
          </w:p>
        </w:tc>
        <w:tc>
          <w:tcPr>
            <w:tcW w:w="851" w:type="dxa"/>
            <w:tcBorders>
              <w:bottom w:val="single" w:sz="12" w:space="0" w:color="auto"/>
            </w:tcBorders>
            <w:shd w:val="clear" w:color="auto" w:fill="auto"/>
            <w:vAlign w:val="center"/>
          </w:tcPr>
          <w:p w:rsidR="00762B76" w:rsidRPr="009C24E3" w:rsidRDefault="00762B76" w:rsidP="00B81843">
            <w:pPr>
              <w:jc w:val="center"/>
              <w:rPr>
                <w:rFonts w:ascii="Arial" w:eastAsia="Calibri" w:hAnsi="Arial" w:cs="Arial"/>
                <w:sz w:val="20"/>
                <w:szCs w:val="20"/>
              </w:rPr>
            </w:pPr>
            <w:r w:rsidRPr="009C24E3">
              <w:rPr>
                <w:rFonts w:ascii="Arial" w:hAnsi="Arial" w:cs="Arial"/>
                <w:sz w:val="20"/>
                <w:szCs w:val="20"/>
              </w:rPr>
              <w:t>428.4</w:t>
            </w:r>
          </w:p>
        </w:tc>
        <w:tc>
          <w:tcPr>
            <w:tcW w:w="709" w:type="dxa"/>
            <w:tcBorders>
              <w:bottom w:val="single" w:sz="12" w:space="0" w:color="auto"/>
            </w:tcBorders>
            <w:shd w:val="clear" w:color="auto" w:fill="auto"/>
            <w:vAlign w:val="center"/>
          </w:tcPr>
          <w:p w:rsidR="00762B76" w:rsidRPr="009C24E3" w:rsidRDefault="00762B76" w:rsidP="00B81843">
            <w:pPr>
              <w:jc w:val="center"/>
              <w:rPr>
                <w:rFonts w:ascii="Arial" w:eastAsia="Calibri" w:hAnsi="Arial" w:cs="Arial"/>
                <w:sz w:val="20"/>
                <w:szCs w:val="20"/>
              </w:rPr>
            </w:pPr>
            <w:r w:rsidRPr="009C24E3">
              <w:rPr>
                <w:rFonts w:ascii="Arial" w:hAnsi="Arial" w:cs="Arial"/>
                <w:sz w:val="20"/>
                <w:szCs w:val="20"/>
              </w:rPr>
              <w:t>0.00</w:t>
            </w:r>
          </w:p>
        </w:tc>
        <w:tc>
          <w:tcPr>
            <w:tcW w:w="567" w:type="dxa"/>
            <w:vMerge/>
            <w:tcBorders>
              <w:bottom w:val="single" w:sz="12" w:space="0" w:color="auto"/>
            </w:tcBorders>
            <w:shd w:val="clear" w:color="auto" w:fill="auto"/>
          </w:tcPr>
          <w:p w:rsidR="00762B76" w:rsidRPr="009C24E3" w:rsidRDefault="00762B76" w:rsidP="00B81843">
            <w:pPr>
              <w:jc w:val="center"/>
              <w:rPr>
                <w:rFonts w:ascii="Arial" w:hAnsi="Arial" w:cs="Arial"/>
                <w:sz w:val="20"/>
                <w:szCs w:val="20"/>
              </w:rPr>
            </w:pPr>
          </w:p>
        </w:tc>
        <w:tc>
          <w:tcPr>
            <w:tcW w:w="851" w:type="dxa"/>
            <w:vMerge/>
            <w:tcBorders>
              <w:bottom w:val="single" w:sz="12" w:space="0" w:color="auto"/>
            </w:tcBorders>
            <w:shd w:val="clear" w:color="auto" w:fill="auto"/>
          </w:tcPr>
          <w:p w:rsidR="00762B76" w:rsidRPr="009C24E3" w:rsidRDefault="00762B76" w:rsidP="00B81843">
            <w:pPr>
              <w:jc w:val="center"/>
              <w:rPr>
                <w:rFonts w:ascii="Arial" w:hAnsi="Arial" w:cs="Arial"/>
                <w:sz w:val="20"/>
                <w:szCs w:val="20"/>
              </w:rPr>
            </w:pPr>
          </w:p>
        </w:tc>
        <w:tc>
          <w:tcPr>
            <w:tcW w:w="850" w:type="dxa"/>
            <w:vMerge/>
            <w:tcBorders>
              <w:bottom w:val="single" w:sz="12" w:space="0" w:color="auto"/>
            </w:tcBorders>
            <w:shd w:val="clear" w:color="auto" w:fill="auto"/>
          </w:tcPr>
          <w:p w:rsidR="00762B76" w:rsidRPr="009C24E3" w:rsidRDefault="00762B76" w:rsidP="00B81843">
            <w:pPr>
              <w:jc w:val="center"/>
              <w:rPr>
                <w:rFonts w:ascii="Arial" w:hAnsi="Arial" w:cs="Arial"/>
                <w:sz w:val="20"/>
                <w:szCs w:val="20"/>
              </w:rPr>
            </w:pPr>
          </w:p>
        </w:tc>
        <w:tc>
          <w:tcPr>
            <w:tcW w:w="1276" w:type="dxa"/>
            <w:vMerge/>
            <w:tcBorders>
              <w:bottom w:val="single" w:sz="12" w:space="0" w:color="auto"/>
            </w:tcBorders>
            <w:shd w:val="clear" w:color="auto" w:fill="auto"/>
          </w:tcPr>
          <w:p w:rsidR="00762B76" w:rsidRPr="009C24E3" w:rsidRDefault="00762B76" w:rsidP="00B81843">
            <w:pPr>
              <w:jc w:val="center"/>
              <w:rPr>
                <w:rFonts w:ascii="Arial" w:hAnsi="Arial" w:cs="Arial"/>
                <w:sz w:val="20"/>
                <w:szCs w:val="20"/>
              </w:rPr>
            </w:pPr>
          </w:p>
        </w:tc>
      </w:tr>
      <w:bookmarkEnd w:id="80"/>
    </w:tbl>
    <w:p w:rsidR="00762B76" w:rsidRDefault="00762B76" w:rsidP="00762B76">
      <w:pPr>
        <w:jc w:val="both"/>
        <w:rPr>
          <w:rFonts w:ascii="Arial" w:hAnsi="Arial" w:cs="Arial"/>
          <w:color w:val="000000"/>
        </w:rPr>
      </w:pPr>
    </w:p>
    <w:p w:rsidR="00762B76" w:rsidRDefault="00762B76" w:rsidP="00762B76">
      <w:pPr>
        <w:ind w:firstLine="567"/>
        <w:jc w:val="both"/>
        <w:rPr>
          <w:rFonts w:ascii="Arial" w:hAnsi="Arial" w:cs="Arial"/>
          <w:color w:val="000000"/>
        </w:rPr>
      </w:pPr>
      <w:r>
        <w:rPr>
          <w:rFonts w:ascii="Arial" w:hAnsi="Arial" w:cs="Arial"/>
          <w:color w:val="000000"/>
        </w:rPr>
        <w:lastRenderedPageBreak/>
        <w:t>Para futuros trabajos de generan ecuaciones de regresión Lineal que permiten correlacionar los cinco niveles de voltaje con respecto a las tres horas de experimentación y las intenciones de los solidos Totales, Solidos Totales Volátiles, Solidos Suspendidos Totales y Solidos Suspendidos Volátiles, estas ecuaciones se presentan en la Tabla 5.</w:t>
      </w:r>
    </w:p>
    <w:p w:rsidR="00762B76" w:rsidRDefault="00762B76" w:rsidP="00762B76">
      <w:pPr>
        <w:ind w:firstLine="567"/>
        <w:jc w:val="both"/>
        <w:rPr>
          <w:rFonts w:ascii="Arial" w:hAnsi="Arial" w:cs="Arial"/>
          <w:color w:val="000000"/>
        </w:rPr>
      </w:pPr>
    </w:p>
    <w:p w:rsidR="00762B76" w:rsidRPr="00492785" w:rsidRDefault="00762B76" w:rsidP="00762B76">
      <w:pPr>
        <w:numPr>
          <w:ilvl w:val="0"/>
          <w:numId w:val="1"/>
        </w:numPr>
        <w:tabs>
          <w:tab w:val="clear" w:pos="432"/>
          <w:tab w:val="num" w:pos="0"/>
        </w:tabs>
        <w:spacing w:after="0" w:line="240" w:lineRule="auto"/>
        <w:ind w:left="0" w:firstLine="0"/>
        <w:jc w:val="center"/>
        <w:rPr>
          <w:rFonts w:ascii="Arial" w:hAnsi="Arial" w:cs="Arial"/>
          <w:color w:val="000000"/>
        </w:rPr>
      </w:pPr>
      <w:r w:rsidRPr="00492785">
        <w:rPr>
          <w:rFonts w:ascii="Arial" w:hAnsi="Arial" w:cs="Arial"/>
          <w:bCs/>
          <w:i/>
          <w:noProof/>
          <w:sz w:val="20"/>
          <w:szCs w:val="20"/>
          <w:lang w:eastAsia="en-GB"/>
        </w:rPr>
        <w:t>Tabla 5. Ecuaciones de Regresion linela para solidos totales</w:t>
      </w:r>
    </w:p>
    <w:tbl>
      <w:tblPr>
        <w:tblW w:w="9221" w:type="dxa"/>
        <w:jc w:val="center"/>
        <w:tblLook w:val="04A0" w:firstRow="1" w:lastRow="0" w:firstColumn="1" w:lastColumn="0" w:noHBand="0" w:noVBand="1"/>
      </w:tblPr>
      <w:tblGrid>
        <w:gridCol w:w="1383"/>
        <w:gridCol w:w="7838"/>
      </w:tblGrid>
      <w:tr w:rsidR="00762B76" w:rsidRPr="009C24E3" w:rsidTr="00B81843">
        <w:trPr>
          <w:jc w:val="center"/>
        </w:trPr>
        <w:tc>
          <w:tcPr>
            <w:tcW w:w="1383" w:type="dxa"/>
            <w:tcBorders>
              <w:top w:val="single" w:sz="12" w:space="0" w:color="auto"/>
              <w:bottom w:val="single" w:sz="12" w:space="0" w:color="auto"/>
            </w:tcBorders>
            <w:shd w:val="clear" w:color="auto" w:fill="auto"/>
          </w:tcPr>
          <w:p w:rsidR="00762B76" w:rsidRPr="009C24E3" w:rsidRDefault="00762B76" w:rsidP="00B81843">
            <w:pPr>
              <w:jc w:val="center"/>
              <w:rPr>
                <w:rFonts w:ascii="Arial" w:eastAsia="Calibri" w:hAnsi="Arial" w:cs="Arial"/>
                <w:b/>
                <w:bCs/>
                <w:sz w:val="20"/>
                <w:szCs w:val="20"/>
              </w:rPr>
            </w:pPr>
            <w:r w:rsidRPr="009C24E3">
              <w:rPr>
                <w:rFonts w:ascii="Arial" w:eastAsia="Calibri" w:hAnsi="Arial" w:cs="Arial"/>
                <w:b/>
                <w:bCs/>
                <w:sz w:val="20"/>
                <w:szCs w:val="20"/>
              </w:rPr>
              <w:t>Parámetro</w:t>
            </w:r>
          </w:p>
        </w:tc>
        <w:tc>
          <w:tcPr>
            <w:tcW w:w="7838" w:type="dxa"/>
            <w:tcBorders>
              <w:top w:val="single" w:sz="12" w:space="0" w:color="auto"/>
              <w:bottom w:val="single" w:sz="12" w:space="0" w:color="auto"/>
            </w:tcBorders>
            <w:shd w:val="clear" w:color="auto" w:fill="auto"/>
          </w:tcPr>
          <w:p w:rsidR="00762B76" w:rsidRPr="009C24E3" w:rsidRDefault="00762B76" w:rsidP="00B81843">
            <w:pPr>
              <w:jc w:val="center"/>
              <w:rPr>
                <w:rFonts w:ascii="Arial" w:eastAsia="Calibri" w:hAnsi="Arial" w:cs="Arial"/>
                <w:b/>
                <w:bCs/>
                <w:sz w:val="20"/>
                <w:szCs w:val="20"/>
              </w:rPr>
            </w:pPr>
            <w:r w:rsidRPr="009C24E3">
              <w:rPr>
                <w:rFonts w:ascii="Arial" w:eastAsia="Calibri" w:hAnsi="Arial" w:cs="Arial"/>
                <w:b/>
                <w:bCs/>
                <w:sz w:val="20"/>
                <w:szCs w:val="20"/>
              </w:rPr>
              <w:t>Ecuación de Regresión</w:t>
            </w:r>
          </w:p>
        </w:tc>
      </w:tr>
      <w:tr w:rsidR="00762B76" w:rsidRPr="009C24E3" w:rsidTr="00B81843">
        <w:trPr>
          <w:jc w:val="center"/>
        </w:trPr>
        <w:tc>
          <w:tcPr>
            <w:tcW w:w="1383" w:type="dxa"/>
            <w:tcBorders>
              <w:top w:val="single" w:sz="12" w:space="0" w:color="auto"/>
            </w:tcBorders>
            <w:shd w:val="clear" w:color="auto" w:fill="auto"/>
            <w:vAlign w:val="center"/>
          </w:tcPr>
          <w:p w:rsidR="00762B76" w:rsidRPr="009C24E3" w:rsidRDefault="00762B76" w:rsidP="00B81843">
            <w:pPr>
              <w:jc w:val="center"/>
              <w:rPr>
                <w:rFonts w:ascii="Arial" w:eastAsia="Calibri" w:hAnsi="Arial" w:cs="Arial"/>
                <w:b/>
                <w:bCs/>
                <w:sz w:val="20"/>
                <w:szCs w:val="20"/>
              </w:rPr>
            </w:pPr>
            <w:r w:rsidRPr="009C24E3">
              <w:rPr>
                <w:rFonts w:ascii="Arial" w:eastAsia="Calibri" w:hAnsi="Arial" w:cs="Arial"/>
                <w:b/>
                <w:bCs/>
                <w:sz w:val="20"/>
                <w:szCs w:val="20"/>
              </w:rPr>
              <w:t>S. Totales</w:t>
            </w:r>
          </w:p>
        </w:tc>
        <w:tc>
          <w:tcPr>
            <w:tcW w:w="7838" w:type="dxa"/>
            <w:tcBorders>
              <w:top w:val="single" w:sz="12" w:space="0" w:color="auto"/>
            </w:tcBorders>
            <w:shd w:val="clear" w:color="auto" w:fill="auto"/>
            <w:vAlign w:val="center"/>
          </w:tcPr>
          <w:p w:rsidR="00762B76" w:rsidRPr="009C24E3" w:rsidRDefault="00762B76" w:rsidP="00B81843">
            <w:pPr>
              <w:jc w:val="both"/>
              <w:rPr>
                <w:rFonts w:ascii="Arial" w:eastAsia="Calibri" w:hAnsi="Arial" w:cs="Arial"/>
                <w:sz w:val="18"/>
                <w:szCs w:val="18"/>
              </w:rPr>
            </w:pPr>
            <w:r w:rsidRPr="009C24E3">
              <w:rPr>
                <w:rFonts w:ascii="Arial" w:eastAsia="Calibri" w:hAnsi="Arial" w:cs="Arial"/>
                <w:sz w:val="18"/>
                <w:szCs w:val="18"/>
              </w:rPr>
              <w:t>120.007 + 2.71 tiempo_1 + 0.35 tiempo_2 - 3.07 tiempo_3 + 17.93 voltaje_1+ 16.23 voltaje_2 + 1.76 voltaje_3 - 7.67 voltaje_4 - 28.24 voltaje_5</w:t>
            </w:r>
          </w:p>
        </w:tc>
      </w:tr>
      <w:tr w:rsidR="00762B76" w:rsidRPr="009C24E3" w:rsidTr="00B81843">
        <w:trPr>
          <w:jc w:val="center"/>
        </w:trPr>
        <w:tc>
          <w:tcPr>
            <w:tcW w:w="1383" w:type="dxa"/>
            <w:shd w:val="clear" w:color="auto" w:fill="auto"/>
            <w:vAlign w:val="center"/>
          </w:tcPr>
          <w:p w:rsidR="00762B76" w:rsidRPr="009C24E3" w:rsidRDefault="00762B76" w:rsidP="00B81843">
            <w:pPr>
              <w:jc w:val="center"/>
              <w:rPr>
                <w:rFonts w:ascii="Arial" w:eastAsia="Calibri" w:hAnsi="Arial" w:cs="Arial"/>
                <w:b/>
                <w:bCs/>
                <w:sz w:val="20"/>
                <w:szCs w:val="20"/>
              </w:rPr>
            </w:pPr>
            <w:r w:rsidRPr="009C24E3">
              <w:rPr>
                <w:rFonts w:ascii="Arial" w:eastAsia="Calibri" w:hAnsi="Arial" w:cs="Arial"/>
                <w:b/>
                <w:bCs/>
                <w:sz w:val="20"/>
                <w:szCs w:val="20"/>
              </w:rPr>
              <w:t>S. Tot.</w:t>
            </w:r>
          </w:p>
          <w:p w:rsidR="00762B76" w:rsidRPr="009C24E3" w:rsidRDefault="00762B76" w:rsidP="00B81843">
            <w:pPr>
              <w:jc w:val="center"/>
              <w:rPr>
                <w:rFonts w:ascii="Arial" w:eastAsia="Calibri" w:hAnsi="Arial" w:cs="Arial"/>
                <w:b/>
                <w:bCs/>
                <w:sz w:val="20"/>
                <w:szCs w:val="20"/>
              </w:rPr>
            </w:pPr>
            <w:r w:rsidRPr="009C24E3">
              <w:rPr>
                <w:rFonts w:ascii="Arial" w:eastAsia="Calibri" w:hAnsi="Arial" w:cs="Arial"/>
                <w:b/>
                <w:bCs/>
                <w:sz w:val="20"/>
                <w:szCs w:val="20"/>
              </w:rPr>
              <w:t>Volátiles</w:t>
            </w:r>
          </w:p>
        </w:tc>
        <w:tc>
          <w:tcPr>
            <w:tcW w:w="7838" w:type="dxa"/>
            <w:shd w:val="clear" w:color="auto" w:fill="auto"/>
            <w:vAlign w:val="center"/>
          </w:tcPr>
          <w:p w:rsidR="00762B76" w:rsidRPr="009C24E3" w:rsidRDefault="00762B76" w:rsidP="00B81843">
            <w:pPr>
              <w:jc w:val="both"/>
              <w:rPr>
                <w:rFonts w:ascii="Arial" w:eastAsia="Calibri" w:hAnsi="Arial" w:cs="Arial"/>
                <w:sz w:val="18"/>
                <w:szCs w:val="18"/>
              </w:rPr>
            </w:pPr>
            <w:r w:rsidRPr="009C24E3">
              <w:rPr>
                <w:rFonts w:ascii="Arial" w:hAnsi="Arial" w:cs="Arial"/>
                <w:sz w:val="18"/>
                <w:szCs w:val="18"/>
              </w:rPr>
              <w:t>72.260 + 1.540 tiempo_1 + 0.460 tiempo_2 - 2.000 tiempo_3 + 12.207 voltaje_1 + 9.173 voltaje_2 + 1.507 voltaje_3- 4.893 voltaje_4 - 17.993 voltaje_5</w:t>
            </w:r>
          </w:p>
        </w:tc>
      </w:tr>
      <w:tr w:rsidR="00762B76" w:rsidRPr="009C24E3" w:rsidTr="00B81843">
        <w:trPr>
          <w:jc w:val="center"/>
        </w:trPr>
        <w:tc>
          <w:tcPr>
            <w:tcW w:w="1383" w:type="dxa"/>
            <w:shd w:val="clear" w:color="auto" w:fill="auto"/>
            <w:vAlign w:val="center"/>
          </w:tcPr>
          <w:p w:rsidR="00762B76" w:rsidRPr="009C24E3" w:rsidRDefault="00762B76" w:rsidP="00B81843">
            <w:pPr>
              <w:jc w:val="center"/>
              <w:rPr>
                <w:rFonts w:ascii="Arial" w:eastAsia="Calibri" w:hAnsi="Arial" w:cs="Arial"/>
                <w:b/>
                <w:bCs/>
                <w:sz w:val="20"/>
                <w:szCs w:val="20"/>
              </w:rPr>
            </w:pPr>
            <w:r w:rsidRPr="009C24E3">
              <w:rPr>
                <w:rFonts w:ascii="Arial" w:eastAsia="Calibri" w:hAnsi="Arial" w:cs="Arial"/>
                <w:b/>
                <w:bCs/>
                <w:sz w:val="20"/>
                <w:szCs w:val="20"/>
              </w:rPr>
              <w:t>S. Susp. Tot.</w:t>
            </w:r>
          </w:p>
        </w:tc>
        <w:tc>
          <w:tcPr>
            <w:tcW w:w="7838" w:type="dxa"/>
            <w:shd w:val="clear" w:color="auto" w:fill="auto"/>
            <w:vAlign w:val="center"/>
          </w:tcPr>
          <w:p w:rsidR="00762B76" w:rsidRPr="009C24E3" w:rsidRDefault="00762B76" w:rsidP="00B81843">
            <w:pPr>
              <w:jc w:val="both"/>
              <w:rPr>
                <w:rFonts w:ascii="Arial" w:eastAsia="Calibri" w:hAnsi="Arial" w:cs="Arial"/>
                <w:sz w:val="18"/>
                <w:szCs w:val="18"/>
              </w:rPr>
            </w:pPr>
            <w:r w:rsidRPr="009C24E3">
              <w:rPr>
                <w:rFonts w:ascii="Arial" w:hAnsi="Arial" w:cs="Arial"/>
                <w:sz w:val="18"/>
                <w:szCs w:val="18"/>
              </w:rPr>
              <w:t>123.747 + 3.69 tiempo_1 + 0.07 tiempo_2 - 3.77 tiempo_3 + 15.25 voltaje_1 + 11.25 voltaje_2 + 4.09 voltaje_3 - 7.95 voltaje_4 - 22.65 voltaje_5</w:t>
            </w:r>
          </w:p>
        </w:tc>
      </w:tr>
      <w:tr w:rsidR="00762B76" w:rsidRPr="009C24E3" w:rsidTr="00B81843">
        <w:trPr>
          <w:jc w:val="center"/>
        </w:trPr>
        <w:tc>
          <w:tcPr>
            <w:tcW w:w="1383" w:type="dxa"/>
            <w:tcBorders>
              <w:bottom w:val="single" w:sz="12" w:space="0" w:color="auto"/>
            </w:tcBorders>
            <w:shd w:val="clear" w:color="auto" w:fill="auto"/>
            <w:vAlign w:val="center"/>
          </w:tcPr>
          <w:p w:rsidR="00762B76" w:rsidRPr="009C24E3" w:rsidRDefault="00762B76" w:rsidP="00B81843">
            <w:pPr>
              <w:jc w:val="center"/>
              <w:rPr>
                <w:rFonts w:ascii="Arial" w:eastAsia="Calibri" w:hAnsi="Arial" w:cs="Arial"/>
                <w:b/>
                <w:bCs/>
                <w:sz w:val="20"/>
                <w:szCs w:val="20"/>
              </w:rPr>
            </w:pPr>
            <w:r w:rsidRPr="009C24E3">
              <w:rPr>
                <w:rFonts w:ascii="Arial" w:eastAsia="Calibri" w:hAnsi="Arial" w:cs="Arial"/>
                <w:b/>
                <w:bCs/>
                <w:sz w:val="20"/>
                <w:szCs w:val="20"/>
              </w:rPr>
              <w:t>S. Susp.</w:t>
            </w:r>
          </w:p>
          <w:p w:rsidR="00762B76" w:rsidRPr="009C24E3" w:rsidRDefault="00762B76" w:rsidP="00B81843">
            <w:pPr>
              <w:jc w:val="center"/>
              <w:rPr>
                <w:rFonts w:ascii="Arial" w:eastAsia="Calibri" w:hAnsi="Arial" w:cs="Arial"/>
                <w:b/>
                <w:bCs/>
                <w:sz w:val="20"/>
                <w:szCs w:val="20"/>
              </w:rPr>
            </w:pPr>
            <w:r w:rsidRPr="009C24E3">
              <w:rPr>
                <w:rFonts w:ascii="Arial" w:eastAsia="Calibri" w:hAnsi="Arial" w:cs="Arial"/>
                <w:b/>
                <w:bCs/>
                <w:sz w:val="20"/>
                <w:szCs w:val="20"/>
              </w:rPr>
              <w:t>volátiles</w:t>
            </w:r>
          </w:p>
        </w:tc>
        <w:tc>
          <w:tcPr>
            <w:tcW w:w="7838" w:type="dxa"/>
            <w:tcBorders>
              <w:bottom w:val="single" w:sz="12" w:space="0" w:color="auto"/>
            </w:tcBorders>
            <w:shd w:val="clear" w:color="auto" w:fill="auto"/>
            <w:vAlign w:val="center"/>
          </w:tcPr>
          <w:p w:rsidR="00762B76" w:rsidRPr="009C24E3" w:rsidRDefault="00762B76" w:rsidP="00B81843">
            <w:pPr>
              <w:jc w:val="both"/>
              <w:rPr>
                <w:rFonts w:ascii="Arial" w:eastAsia="Calibri" w:hAnsi="Arial" w:cs="Arial"/>
                <w:sz w:val="18"/>
                <w:szCs w:val="18"/>
              </w:rPr>
            </w:pPr>
            <w:r w:rsidRPr="009C24E3">
              <w:rPr>
                <w:rFonts w:ascii="Arial" w:hAnsi="Arial" w:cs="Arial"/>
                <w:sz w:val="18"/>
                <w:szCs w:val="18"/>
              </w:rPr>
              <w:t>88.227 + 1.813 tiempo_1 + 0.213 tiempo_2 - 2.027 tiempo_3 + 12.773 voltaje_1 + 8.373 voltaje_2 + 1.840 voltaje_3 - 5.560 voltaje_4 - 17.427 voltaje_5</w:t>
            </w:r>
          </w:p>
        </w:tc>
      </w:tr>
    </w:tbl>
    <w:p w:rsidR="00762B76" w:rsidRPr="007014CE" w:rsidRDefault="00762B76" w:rsidP="00762B76"/>
    <w:p w:rsidR="00762B76" w:rsidRPr="00B721C7" w:rsidRDefault="00762B76" w:rsidP="00762B76">
      <w:pPr>
        <w:spacing w:line="360" w:lineRule="auto"/>
        <w:jc w:val="both"/>
        <w:rPr>
          <w:rFonts w:ascii="Arial" w:hAnsi="Arial" w:cs="Arial"/>
          <w:i/>
          <w:color w:val="000000"/>
        </w:rPr>
      </w:pPr>
      <w:r w:rsidRPr="00B721C7">
        <w:rPr>
          <w:rFonts w:ascii="Arial" w:hAnsi="Arial" w:cs="Arial"/>
          <w:i/>
          <w:color w:val="000000"/>
        </w:rPr>
        <w:t>4.</w:t>
      </w:r>
      <w:r>
        <w:rPr>
          <w:rFonts w:ascii="Arial" w:hAnsi="Arial" w:cs="Arial"/>
          <w:i/>
          <w:color w:val="000000"/>
        </w:rPr>
        <w:t>5</w:t>
      </w:r>
      <w:r w:rsidRPr="00B721C7">
        <w:rPr>
          <w:rFonts w:ascii="Arial" w:hAnsi="Arial" w:cs="Arial"/>
          <w:i/>
          <w:color w:val="000000"/>
        </w:rPr>
        <w:t>. Análisis de</w:t>
      </w:r>
      <w:r>
        <w:rPr>
          <w:rFonts w:ascii="Arial" w:hAnsi="Arial" w:cs="Arial"/>
          <w:i/>
          <w:color w:val="000000"/>
        </w:rPr>
        <w:t xml:space="preserve">l porcentaje de remoción de </w:t>
      </w:r>
      <w:r w:rsidRPr="00B721C7">
        <w:rPr>
          <w:rFonts w:ascii="Arial" w:hAnsi="Arial" w:cs="Arial"/>
          <w:i/>
          <w:color w:val="000000"/>
        </w:rPr>
        <w:t xml:space="preserve">solidos del Agua Residual tratada con electroquímica </w:t>
      </w:r>
    </w:p>
    <w:p w:rsidR="00762B76" w:rsidRPr="00D918D2" w:rsidRDefault="00762B76" w:rsidP="00762B76">
      <w:pPr>
        <w:ind w:firstLine="567"/>
        <w:jc w:val="both"/>
        <w:rPr>
          <w:rFonts w:ascii="Arial" w:hAnsi="Arial" w:cs="Arial"/>
          <w:color w:val="000000"/>
        </w:rPr>
      </w:pPr>
      <w:r w:rsidRPr="00D918D2">
        <w:rPr>
          <w:rFonts w:ascii="Arial" w:hAnsi="Arial" w:cs="Arial"/>
          <w:color w:val="000000"/>
        </w:rPr>
        <w:t xml:space="preserve">Para el análisis de remoción de solidos Totales y Solidos Totales Volátiles se presentan una mayor remoción al emplear un voltaje de 80V. Es necesario realizar una mayor experimentación ya que inicialmente estos solidos estas dentro el rango estipulado por las normas mexicanas, por otro lado en los </w:t>
      </w:r>
      <w:bookmarkStart w:id="81" w:name="_Hlk48431901"/>
      <w:r w:rsidRPr="00D918D2">
        <w:rPr>
          <w:rFonts w:ascii="Arial" w:hAnsi="Arial" w:cs="Arial"/>
          <w:color w:val="000000"/>
        </w:rPr>
        <w:t>solidos suspendidos totales</w:t>
      </w:r>
      <w:bookmarkEnd w:id="81"/>
      <w:r w:rsidRPr="00D918D2">
        <w:rPr>
          <w:rFonts w:ascii="Arial" w:hAnsi="Arial" w:cs="Arial"/>
          <w:color w:val="000000"/>
        </w:rPr>
        <w:t xml:space="preserve"> y solidos suspendidos volátiles se ajusta a los parámetros estipulados por la normas mexicanas al utilizar un voltaje de 50 V. lo antes mencionado se puede visualizar en la Tabla 6.</w:t>
      </w:r>
    </w:p>
    <w:p w:rsidR="00762B76" w:rsidRPr="00D918D2" w:rsidRDefault="00762B76" w:rsidP="00762B76">
      <w:pPr>
        <w:ind w:firstLine="567"/>
        <w:jc w:val="both"/>
        <w:rPr>
          <w:rFonts w:ascii="Arial" w:hAnsi="Arial" w:cs="Arial"/>
          <w:color w:val="000000"/>
        </w:rPr>
      </w:pPr>
    </w:p>
    <w:p w:rsidR="00762B76" w:rsidRPr="00D918D2" w:rsidRDefault="00762B76" w:rsidP="00762B76">
      <w:pPr>
        <w:numPr>
          <w:ilvl w:val="0"/>
          <w:numId w:val="1"/>
        </w:numPr>
        <w:tabs>
          <w:tab w:val="clear" w:pos="432"/>
          <w:tab w:val="num" w:pos="0"/>
        </w:tabs>
        <w:spacing w:after="0" w:line="240" w:lineRule="auto"/>
        <w:ind w:left="0" w:firstLine="0"/>
        <w:jc w:val="center"/>
        <w:rPr>
          <w:rFonts w:ascii="Arial" w:hAnsi="Arial" w:cs="Arial"/>
          <w:color w:val="000000"/>
        </w:rPr>
      </w:pPr>
      <w:r w:rsidRPr="00492785">
        <w:rPr>
          <w:rFonts w:ascii="Arial" w:hAnsi="Arial" w:cs="Arial"/>
          <w:bCs/>
          <w:i/>
          <w:noProof/>
          <w:sz w:val="20"/>
          <w:szCs w:val="20"/>
          <w:lang w:eastAsia="en-GB"/>
        </w:rPr>
        <w:t xml:space="preserve">Tabla </w:t>
      </w:r>
      <w:r>
        <w:rPr>
          <w:rFonts w:ascii="Arial" w:hAnsi="Arial" w:cs="Arial"/>
          <w:bCs/>
          <w:i/>
          <w:noProof/>
          <w:sz w:val="20"/>
          <w:szCs w:val="20"/>
          <w:lang w:eastAsia="en-GB"/>
        </w:rPr>
        <w:t>6</w:t>
      </w:r>
      <w:r w:rsidRPr="00492785">
        <w:rPr>
          <w:rFonts w:ascii="Arial" w:hAnsi="Arial" w:cs="Arial"/>
          <w:bCs/>
          <w:i/>
          <w:noProof/>
          <w:sz w:val="20"/>
          <w:szCs w:val="20"/>
          <w:lang w:eastAsia="en-GB"/>
        </w:rPr>
        <w:t>. Ecuaciones de Regresion linela para solidos totales</w:t>
      </w:r>
    </w:p>
    <w:tbl>
      <w:tblPr>
        <w:tblW w:w="6834" w:type="dxa"/>
        <w:jc w:val="center"/>
        <w:tblCellMar>
          <w:left w:w="70" w:type="dxa"/>
          <w:right w:w="70" w:type="dxa"/>
        </w:tblCellMar>
        <w:tblLook w:val="04A0" w:firstRow="1" w:lastRow="0" w:firstColumn="1" w:lastColumn="0" w:noHBand="0" w:noVBand="1"/>
      </w:tblPr>
      <w:tblGrid>
        <w:gridCol w:w="1984"/>
        <w:gridCol w:w="851"/>
        <w:gridCol w:w="992"/>
        <w:gridCol w:w="992"/>
        <w:gridCol w:w="1022"/>
        <w:gridCol w:w="993"/>
      </w:tblGrid>
      <w:tr w:rsidR="00762B76" w:rsidRPr="007014CE" w:rsidTr="00B81843">
        <w:trPr>
          <w:trHeight w:val="243"/>
          <w:jc w:val="center"/>
        </w:trPr>
        <w:tc>
          <w:tcPr>
            <w:tcW w:w="1984" w:type="dxa"/>
            <w:vMerge w:val="restart"/>
            <w:tcBorders>
              <w:top w:val="single" w:sz="12" w:space="0" w:color="auto"/>
            </w:tcBorders>
            <w:shd w:val="clear" w:color="auto" w:fill="auto"/>
            <w:vAlign w:val="bottom"/>
          </w:tcPr>
          <w:p w:rsidR="00762B76" w:rsidRPr="007014CE" w:rsidRDefault="00762B76" w:rsidP="00B81843">
            <w:pPr>
              <w:jc w:val="center"/>
              <w:rPr>
                <w:rFonts w:ascii="Arial" w:hAnsi="Arial" w:cs="Arial"/>
                <w:b/>
                <w:bCs/>
                <w:sz w:val="20"/>
                <w:szCs w:val="20"/>
              </w:rPr>
            </w:pPr>
            <w:r w:rsidRPr="007014CE">
              <w:rPr>
                <w:rFonts w:ascii="Arial" w:hAnsi="Arial" w:cs="Arial"/>
                <w:b/>
                <w:bCs/>
                <w:sz w:val="20"/>
                <w:szCs w:val="20"/>
              </w:rPr>
              <w:t>PARAMETRO</w:t>
            </w:r>
          </w:p>
        </w:tc>
        <w:tc>
          <w:tcPr>
            <w:tcW w:w="4850" w:type="dxa"/>
            <w:gridSpan w:val="5"/>
            <w:tcBorders>
              <w:top w:val="single" w:sz="12" w:space="0" w:color="auto"/>
              <w:bottom w:val="single" w:sz="12" w:space="0" w:color="auto"/>
            </w:tcBorders>
            <w:shd w:val="clear" w:color="auto" w:fill="auto"/>
            <w:noWrap/>
            <w:vAlign w:val="bottom"/>
          </w:tcPr>
          <w:p w:rsidR="00762B76" w:rsidRPr="007014CE" w:rsidRDefault="00762B76" w:rsidP="00B81843">
            <w:pPr>
              <w:jc w:val="center"/>
              <w:rPr>
                <w:rFonts w:ascii="Arial" w:hAnsi="Arial" w:cs="Arial"/>
                <w:b/>
                <w:bCs/>
                <w:sz w:val="20"/>
                <w:szCs w:val="20"/>
              </w:rPr>
            </w:pPr>
            <w:r>
              <w:rPr>
                <w:rFonts w:ascii="Arial" w:hAnsi="Arial" w:cs="Arial"/>
                <w:b/>
                <w:bCs/>
                <w:sz w:val="20"/>
                <w:szCs w:val="20"/>
              </w:rPr>
              <w:t xml:space="preserve">Voltaje </w:t>
            </w:r>
          </w:p>
        </w:tc>
      </w:tr>
      <w:tr w:rsidR="00762B76" w:rsidRPr="007014CE" w:rsidTr="00B81843">
        <w:trPr>
          <w:trHeight w:val="243"/>
          <w:jc w:val="center"/>
        </w:trPr>
        <w:tc>
          <w:tcPr>
            <w:tcW w:w="1984" w:type="dxa"/>
            <w:vMerge/>
            <w:tcBorders>
              <w:bottom w:val="single" w:sz="12" w:space="0" w:color="auto"/>
            </w:tcBorders>
            <w:shd w:val="clear" w:color="auto" w:fill="auto"/>
            <w:vAlign w:val="bottom"/>
          </w:tcPr>
          <w:p w:rsidR="00762B76" w:rsidRPr="007014CE" w:rsidRDefault="00762B76" w:rsidP="00B81843">
            <w:pPr>
              <w:jc w:val="center"/>
              <w:rPr>
                <w:rFonts w:ascii="Arial" w:hAnsi="Arial" w:cs="Arial"/>
                <w:b/>
                <w:bCs/>
                <w:sz w:val="20"/>
                <w:szCs w:val="20"/>
              </w:rPr>
            </w:pPr>
          </w:p>
        </w:tc>
        <w:tc>
          <w:tcPr>
            <w:tcW w:w="851" w:type="dxa"/>
            <w:tcBorders>
              <w:top w:val="single" w:sz="12" w:space="0" w:color="auto"/>
              <w:bottom w:val="single" w:sz="12" w:space="0" w:color="auto"/>
            </w:tcBorders>
            <w:shd w:val="clear" w:color="auto" w:fill="auto"/>
            <w:noWrap/>
            <w:vAlign w:val="bottom"/>
          </w:tcPr>
          <w:p w:rsidR="00762B76" w:rsidRPr="007014CE" w:rsidRDefault="00762B76" w:rsidP="00B81843">
            <w:pPr>
              <w:jc w:val="center"/>
              <w:rPr>
                <w:rFonts w:ascii="Arial" w:hAnsi="Arial" w:cs="Arial"/>
                <w:b/>
                <w:bCs/>
                <w:sz w:val="20"/>
                <w:szCs w:val="20"/>
              </w:rPr>
            </w:pPr>
            <w:r w:rsidRPr="007014CE">
              <w:rPr>
                <w:rFonts w:ascii="Arial" w:hAnsi="Arial" w:cs="Arial"/>
                <w:b/>
                <w:bCs/>
                <w:sz w:val="20"/>
                <w:szCs w:val="20"/>
              </w:rPr>
              <w:t>1V</w:t>
            </w:r>
          </w:p>
        </w:tc>
        <w:tc>
          <w:tcPr>
            <w:tcW w:w="992" w:type="dxa"/>
            <w:tcBorders>
              <w:top w:val="single" w:sz="12" w:space="0" w:color="auto"/>
              <w:bottom w:val="single" w:sz="12" w:space="0" w:color="auto"/>
            </w:tcBorders>
            <w:shd w:val="clear" w:color="auto" w:fill="auto"/>
            <w:noWrap/>
            <w:vAlign w:val="bottom"/>
          </w:tcPr>
          <w:p w:rsidR="00762B76" w:rsidRPr="007014CE" w:rsidRDefault="00762B76" w:rsidP="00B81843">
            <w:pPr>
              <w:jc w:val="center"/>
              <w:rPr>
                <w:rFonts w:ascii="Arial" w:hAnsi="Arial" w:cs="Arial"/>
                <w:b/>
                <w:bCs/>
                <w:sz w:val="20"/>
                <w:szCs w:val="20"/>
              </w:rPr>
            </w:pPr>
            <w:r w:rsidRPr="007014CE">
              <w:rPr>
                <w:rFonts w:ascii="Arial" w:hAnsi="Arial" w:cs="Arial"/>
                <w:b/>
                <w:bCs/>
                <w:sz w:val="20"/>
                <w:szCs w:val="20"/>
              </w:rPr>
              <w:t>5V</w:t>
            </w:r>
          </w:p>
        </w:tc>
        <w:tc>
          <w:tcPr>
            <w:tcW w:w="992" w:type="dxa"/>
            <w:tcBorders>
              <w:top w:val="single" w:sz="12" w:space="0" w:color="auto"/>
              <w:bottom w:val="single" w:sz="12" w:space="0" w:color="auto"/>
            </w:tcBorders>
            <w:shd w:val="clear" w:color="auto" w:fill="auto"/>
            <w:noWrap/>
            <w:vAlign w:val="bottom"/>
          </w:tcPr>
          <w:p w:rsidR="00762B76" w:rsidRPr="007014CE" w:rsidRDefault="00762B76" w:rsidP="00B81843">
            <w:pPr>
              <w:jc w:val="center"/>
              <w:rPr>
                <w:rFonts w:ascii="Arial" w:hAnsi="Arial" w:cs="Arial"/>
                <w:b/>
                <w:bCs/>
                <w:sz w:val="20"/>
                <w:szCs w:val="20"/>
              </w:rPr>
            </w:pPr>
            <w:r w:rsidRPr="007014CE">
              <w:rPr>
                <w:rFonts w:ascii="Arial" w:hAnsi="Arial" w:cs="Arial"/>
                <w:b/>
                <w:bCs/>
                <w:sz w:val="20"/>
                <w:szCs w:val="20"/>
              </w:rPr>
              <w:t>50V</w:t>
            </w:r>
          </w:p>
        </w:tc>
        <w:tc>
          <w:tcPr>
            <w:tcW w:w="1022" w:type="dxa"/>
            <w:tcBorders>
              <w:top w:val="single" w:sz="12" w:space="0" w:color="auto"/>
              <w:bottom w:val="single" w:sz="12" w:space="0" w:color="auto"/>
            </w:tcBorders>
            <w:shd w:val="clear" w:color="auto" w:fill="auto"/>
            <w:noWrap/>
            <w:vAlign w:val="bottom"/>
          </w:tcPr>
          <w:p w:rsidR="00762B76" w:rsidRPr="007014CE" w:rsidRDefault="00762B76" w:rsidP="00B81843">
            <w:pPr>
              <w:jc w:val="center"/>
              <w:rPr>
                <w:rFonts w:ascii="Arial" w:hAnsi="Arial" w:cs="Arial"/>
                <w:b/>
                <w:bCs/>
                <w:sz w:val="20"/>
                <w:szCs w:val="20"/>
              </w:rPr>
            </w:pPr>
            <w:r w:rsidRPr="007014CE">
              <w:rPr>
                <w:rFonts w:ascii="Arial" w:hAnsi="Arial" w:cs="Arial"/>
                <w:b/>
                <w:bCs/>
                <w:sz w:val="20"/>
                <w:szCs w:val="20"/>
              </w:rPr>
              <w:t>80V</w:t>
            </w:r>
          </w:p>
        </w:tc>
        <w:tc>
          <w:tcPr>
            <w:tcW w:w="993" w:type="dxa"/>
            <w:tcBorders>
              <w:top w:val="single" w:sz="12" w:space="0" w:color="auto"/>
              <w:bottom w:val="single" w:sz="12" w:space="0" w:color="auto"/>
            </w:tcBorders>
            <w:shd w:val="clear" w:color="auto" w:fill="auto"/>
            <w:noWrap/>
            <w:vAlign w:val="bottom"/>
          </w:tcPr>
          <w:p w:rsidR="00762B76" w:rsidRPr="007014CE" w:rsidRDefault="00762B76" w:rsidP="00B81843">
            <w:pPr>
              <w:jc w:val="center"/>
              <w:rPr>
                <w:rFonts w:ascii="Arial" w:hAnsi="Arial" w:cs="Arial"/>
                <w:b/>
                <w:bCs/>
                <w:sz w:val="20"/>
                <w:szCs w:val="20"/>
              </w:rPr>
            </w:pPr>
            <w:r w:rsidRPr="007014CE">
              <w:rPr>
                <w:rFonts w:ascii="Arial" w:hAnsi="Arial" w:cs="Arial"/>
                <w:b/>
                <w:bCs/>
                <w:sz w:val="20"/>
                <w:szCs w:val="20"/>
              </w:rPr>
              <w:t>100V</w:t>
            </w:r>
          </w:p>
        </w:tc>
      </w:tr>
      <w:tr w:rsidR="00762B76" w:rsidRPr="007014CE" w:rsidTr="00B81843">
        <w:trPr>
          <w:trHeight w:val="290"/>
          <w:jc w:val="center"/>
        </w:trPr>
        <w:tc>
          <w:tcPr>
            <w:tcW w:w="1984" w:type="dxa"/>
            <w:tcBorders>
              <w:top w:val="single" w:sz="12" w:space="0" w:color="auto"/>
            </w:tcBorders>
            <w:shd w:val="clear" w:color="auto" w:fill="auto"/>
            <w:vAlign w:val="bottom"/>
            <w:hideMark/>
          </w:tcPr>
          <w:p w:rsidR="00762B76" w:rsidRPr="007014CE" w:rsidRDefault="00762B76" w:rsidP="00B81843">
            <w:pPr>
              <w:jc w:val="center"/>
              <w:rPr>
                <w:rFonts w:ascii="Arial" w:hAnsi="Arial" w:cs="Arial"/>
                <w:b/>
                <w:bCs/>
                <w:color w:val="000000"/>
                <w:sz w:val="20"/>
                <w:szCs w:val="20"/>
              </w:rPr>
            </w:pPr>
            <w:r w:rsidRPr="007014CE">
              <w:rPr>
                <w:rFonts w:ascii="Arial" w:hAnsi="Arial" w:cs="Arial"/>
                <w:b/>
                <w:bCs/>
                <w:color w:val="000000"/>
                <w:sz w:val="20"/>
                <w:szCs w:val="20"/>
              </w:rPr>
              <w:t>S. Totales</w:t>
            </w:r>
          </w:p>
        </w:tc>
        <w:tc>
          <w:tcPr>
            <w:tcW w:w="851" w:type="dxa"/>
            <w:tcBorders>
              <w:top w:val="single" w:sz="12" w:space="0" w:color="auto"/>
            </w:tcBorders>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1.23</w:t>
            </w:r>
            <w:r>
              <w:rPr>
                <w:rFonts w:ascii="Arial" w:hAnsi="Arial" w:cs="Arial"/>
                <w:color w:val="000000"/>
                <w:sz w:val="20"/>
                <w:szCs w:val="20"/>
              </w:rPr>
              <w:t xml:space="preserve"> %</w:t>
            </w:r>
          </w:p>
        </w:tc>
        <w:tc>
          <w:tcPr>
            <w:tcW w:w="992" w:type="dxa"/>
            <w:tcBorders>
              <w:top w:val="single" w:sz="12" w:space="0" w:color="auto"/>
            </w:tcBorders>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11.72</w:t>
            </w:r>
            <w:r>
              <w:rPr>
                <w:rFonts w:ascii="Arial" w:hAnsi="Arial" w:cs="Arial"/>
                <w:color w:val="000000"/>
                <w:sz w:val="20"/>
                <w:szCs w:val="20"/>
              </w:rPr>
              <w:t xml:space="preserve"> %</w:t>
            </w:r>
          </w:p>
        </w:tc>
        <w:tc>
          <w:tcPr>
            <w:tcW w:w="992" w:type="dxa"/>
            <w:tcBorders>
              <w:top w:val="single" w:sz="12" w:space="0" w:color="auto"/>
            </w:tcBorders>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18.56</w:t>
            </w:r>
            <w:r>
              <w:rPr>
                <w:rFonts w:ascii="Arial" w:hAnsi="Arial" w:cs="Arial"/>
                <w:color w:val="000000"/>
                <w:sz w:val="20"/>
                <w:szCs w:val="20"/>
              </w:rPr>
              <w:t xml:space="preserve"> %</w:t>
            </w:r>
          </w:p>
        </w:tc>
        <w:tc>
          <w:tcPr>
            <w:tcW w:w="1022" w:type="dxa"/>
            <w:tcBorders>
              <w:top w:val="single" w:sz="12" w:space="0" w:color="auto"/>
            </w:tcBorders>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33.47</w:t>
            </w:r>
            <w:r>
              <w:rPr>
                <w:rFonts w:ascii="Arial" w:hAnsi="Arial" w:cs="Arial"/>
                <w:color w:val="000000"/>
                <w:sz w:val="20"/>
                <w:szCs w:val="20"/>
              </w:rPr>
              <w:t xml:space="preserve"> %</w:t>
            </w:r>
          </w:p>
        </w:tc>
        <w:tc>
          <w:tcPr>
            <w:tcW w:w="993" w:type="dxa"/>
            <w:tcBorders>
              <w:top w:val="single" w:sz="12" w:space="0" w:color="auto"/>
            </w:tcBorders>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33.47</w:t>
            </w:r>
            <w:r>
              <w:rPr>
                <w:rFonts w:ascii="Arial" w:hAnsi="Arial" w:cs="Arial"/>
                <w:color w:val="000000"/>
                <w:sz w:val="20"/>
                <w:szCs w:val="20"/>
              </w:rPr>
              <w:t xml:space="preserve"> %</w:t>
            </w:r>
          </w:p>
        </w:tc>
      </w:tr>
      <w:tr w:rsidR="00762B76" w:rsidRPr="007014CE" w:rsidTr="00B81843">
        <w:trPr>
          <w:trHeight w:val="110"/>
          <w:jc w:val="center"/>
        </w:trPr>
        <w:tc>
          <w:tcPr>
            <w:tcW w:w="1984" w:type="dxa"/>
            <w:shd w:val="clear" w:color="auto" w:fill="auto"/>
            <w:vAlign w:val="bottom"/>
            <w:hideMark/>
          </w:tcPr>
          <w:p w:rsidR="00762B76" w:rsidRPr="007014CE" w:rsidRDefault="00762B76" w:rsidP="00B81843">
            <w:pPr>
              <w:jc w:val="center"/>
              <w:rPr>
                <w:rFonts w:ascii="Arial" w:hAnsi="Arial" w:cs="Arial"/>
                <w:b/>
                <w:bCs/>
                <w:color w:val="000000"/>
                <w:sz w:val="20"/>
                <w:szCs w:val="20"/>
              </w:rPr>
            </w:pPr>
            <w:r w:rsidRPr="007014CE">
              <w:rPr>
                <w:rFonts w:ascii="Arial" w:hAnsi="Arial" w:cs="Arial"/>
                <w:b/>
                <w:bCs/>
                <w:color w:val="000000"/>
                <w:sz w:val="20"/>
                <w:szCs w:val="20"/>
              </w:rPr>
              <w:t>S. Tot. Volátiles</w:t>
            </w:r>
          </w:p>
        </w:tc>
        <w:tc>
          <w:tcPr>
            <w:tcW w:w="851" w:type="dxa"/>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3.59</w:t>
            </w:r>
            <w:r>
              <w:rPr>
                <w:rFonts w:ascii="Arial" w:hAnsi="Arial" w:cs="Arial"/>
                <w:color w:val="000000"/>
                <w:sz w:val="20"/>
                <w:szCs w:val="20"/>
              </w:rPr>
              <w:t xml:space="preserve"> %</w:t>
            </w:r>
          </w:p>
        </w:tc>
        <w:tc>
          <w:tcPr>
            <w:tcW w:w="992" w:type="dxa"/>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12.67</w:t>
            </w:r>
            <w:r>
              <w:rPr>
                <w:rFonts w:ascii="Arial" w:hAnsi="Arial" w:cs="Arial"/>
                <w:color w:val="000000"/>
                <w:sz w:val="20"/>
                <w:szCs w:val="20"/>
              </w:rPr>
              <w:t xml:space="preserve"> %</w:t>
            </w:r>
          </w:p>
        </w:tc>
        <w:tc>
          <w:tcPr>
            <w:tcW w:w="992" w:type="dxa"/>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20.24</w:t>
            </w:r>
            <w:r>
              <w:rPr>
                <w:rFonts w:ascii="Arial" w:hAnsi="Arial" w:cs="Arial"/>
                <w:color w:val="000000"/>
                <w:sz w:val="20"/>
                <w:szCs w:val="20"/>
              </w:rPr>
              <w:t xml:space="preserve"> %</w:t>
            </w:r>
          </w:p>
        </w:tc>
        <w:tc>
          <w:tcPr>
            <w:tcW w:w="1022" w:type="dxa"/>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35.75</w:t>
            </w:r>
            <w:r>
              <w:rPr>
                <w:rFonts w:ascii="Arial" w:hAnsi="Arial" w:cs="Arial"/>
                <w:color w:val="000000"/>
                <w:sz w:val="20"/>
                <w:szCs w:val="20"/>
              </w:rPr>
              <w:t xml:space="preserve"> %</w:t>
            </w:r>
          </w:p>
        </w:tc>
        <w:tc>
          <w:tcPr>
            <w:tcW w:w="993" w:type="dxa"/>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35.75</w:t>
            </w:r>
            <w:r>
              <w:rPr>
                <w:rFonts w:ascii="Arial" w:hAnsi="Arial" w:cs="Arial"/>
                <w:color w:val="000000"/>
                <w:sz w:val="20"/>
                <w:szCs w:val="20"/>
              </w:rPr>
              <w:t xml:space="preserve"> %</w:t>
            </w:r>
          </w:p>
        </w:tc>
      </w:tr>
      <w:tr w:rsidR="00762B76" w:rsidRPr="007014CE" w:rsidTr="00B81843">
        <w:trPr>
          <w:trHeight w:val="256"/>
          <w:jc w:val="center"/>
        </w:trPr>
        <w:tc>
          <w:tcPr>
            <w:tcW w:w="1984" w:type="dxa"/>
            <w:shd w:val="clear" w:color="auto" w:fill="auto"/>
            <w:vAlign w:val="bottom"/>
            <w:hideMark/>
          </w:tcPr>
          <w:p w:rsidR="00762B76" w:rsidRPr="007014CE" w:rsidRDefault="00762B76" w:rsidP="00B81843">
            <w:pPr>
              <w:jc w:val="center"/>
              <w:rPr>
                <w:rFonts w:ascii="Arial" w:hAnsi="Arial" w:cs="Arial"/>
                <w:b/>
                <w:bCs/>
                <w:color w:val="000000"/>
                <w:sz w:val="20"/>
                <w:szCs w:val="20"/>
              </w:rPr>
            </w:pPr>
            <w:r w:rsidRPr="007014CE">
              <w:rPr>
                <w:rFonts w:ascii="Arial" w:hAnsi="Arial" w:cs="Arial"/>
                <w:b/>
                <w:bCs/>
                <w:color w:val="000000"/>
                <w:sz w:val="20"/>
                <w:szCs w:val="20"/>
              </w:rPr>
              <w:t>S. Susp. Tot.</w:t>
            </w:r>
          </w:p>
        </w:tc>
        <w:tc>
          <w:tcPr>
            <w:tcW w:w="851" w:type="dxa"/>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2.88</w:t>
            </w:r>
            <w:r>
              <w:rPr>
                <w:rFonts w:ascii="Arial" w:hAnsi="Arial" w:cs="Arial"/>
                <w:color w:val="000000"/>
                <w:sz w:val="20"/>
                <w:szCs w:val="20"/>
              </w:rPr>
              <w:t xml:space="preserve"> %</w:t>
            </w:r>
          </w:p>
        </w:tc>
        <w:tc>
          <w:tcPr>
            <w:tcW w:w="992" w:type="dxa"/>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8.03</w:t>
            </w:r>
            <w:r>
              <w:rPr>
                <w:rFonts w:ascii="Arial" w:hAnsi="Arial" w:cs="Arial"/>
                <w:color w:val="000000"/>
                <w:sz w:val="20"/>
                <w:szCs w:val="20"/>
              </w:rPr>
              <w:t xml:space="preserve"> %</w:t>
            </w:r>
          </w:p>
        </w:tc>
        <w:tc>
          <w:tcPr>
            <w:tcW w:w="992" w:type="dxa"/>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16.69</w:t>
            </w:r>
            <w:r>
              <w:rPr>
                <w:rFonts w:ascii="Arial" w:hAnsi="Arial" w:cs="Arial"/>
                <w:color w:val="000000"/>
                <w:sz w:val="20"/>
                <w:szCs w:val="20"/>
              </w:rPr>
              <w:t xml:space="preserve"> %</w:t>
            </w:r>
          </w:p>
        </w:tc>
        <w:tc>
          <w:tcPr>
            <w:tcW w:w="1022" w:type="dxa"/>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27.27</w:t>
            </w:r>
            <w:r>
              <w:rPr>
                <w:rFonts w:ascii="Arial" w:hAnsi="Arial" w:cs="Arial"/>
                <w:color w:val="000000"/>
                <w:sz w:val="20"/>
                <w:szCs w:val="20"/>
              </w:rPr>
              <w:t xml:space="preserve"> %</w:t>
            </w:r>
          </w:p>
        </w:tc>
        <w:tc>
          <w:tcPr>
            <w:tcW w:w="993" w:type="dxa"/>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27.27</w:t>
            </w:r>
            <w:r>
              <w:rPr>
                <w:rFonts w:ascii="Arial" w:hAnsi="Arial" w:cs="Arial"/>
                <w:color w:val="000000"/>
                <w:sz w:val="20"/>
                <w:szCs w:val="20"/>
              </w:rPr>
              <w:t xml:space="preserve"> %</w:t>
            </w:r>
          </w:p>
        </w:tc>
      </w:tr>
      <w:tr w:rsidR="00762B76" w:rsidRPr="007014CE" w:rsidTr="00B81843">
        <w:trPr>
          <w:trHeight w:val="132"/>
          <w:jc w:val="center"/>
        </w:trPr>
        <w:tc>
          <w:tcPr>
            <w:tcW w:w="1984" w:type="dxa"/>
            <w:tcBorders>
              <w:bottom w:val="single" w:sz="12" w:space="0" w:color="auto"/>
            </w:tcBorders>
            <w:shd w:val="clear" w:color="auto" w:fill="auto"/>
            <w:vAlign w:val="bottom"/>
            <w:hideMark/>
          </w:tcPr>
          <w:p w:rsidR="00762B76" w:rsidRPr="007014CE" w:rsidRDefault="00762B76" w:rsidP="00B81843">
            <w:pPr>
              <w:jc w:val="center"/>
              <w:rPr>
                <w:rFonts w:ascii="Arial" w:hAnsi="Arial" w:cs="Arial"/>
                <w:b/>
                <w:bCs/>
                <w:color w:val="000000"/>
                <w:sz w:val="20"/>
                <w:szCs w:val="20"/>
              </w:rPr>
            </w:pPr>
            <w:r w:rsidRPr="007014CE">
              <w:rPr>
                <w:rFonts w:ascii="Arial" w:hAnsi="Arial" w:cs="Arial"/>
                <w:b/>
                <w:bCs/>
                <w:color w:val="000000"/>
                <w:sz w:val="20"/>
                <w:szCs w:val="20"/>
              </w:rPr>
              <w:t>S. Susp. Volátiles</w:t>
            </w:r>
          </w:p>
        </w:tc>
        <w:tc>
          <w:tcPr>
            <w:tcW w:w="851" w:type="dxa"/>
            <w:tcBorders>
              <w:bottom w:val="single" w:sz="12" w:space="0" w:color="auto"/>
            </w:tcBorders>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4.36</w:t>
            </w:r>
            <w:r>
              <w:rPr>
                <w:rFonts w:ascii="Arial" w:hAnsi="Arial" w:cs="Arial"/>
                <w:color w:val="000000"/>
                <w:sz w:val="20"/>
                <w:szCs w:val="20"/>
              </w:rPr>
              <w:t xml:space="preserve"> %</w:t>
            </w:r>
          </w:p>
        </w:tc>
        <w:tc>
          <w:tcPr>
            <w:tcW w:w="992" w:type="dxa"/>
            <w:tcBorders>
              <w:bottom w:val="single" w:sz="12" w:space="0" w:color="auto"/>
            </w:tcBorders>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10.83</w:t>
            </w:r>
            <w:r>
              <w:rPr>
                <w:rFonts w:ascii="Arial" w:hAnsi="Arial" w:cs="Arial"/>
                <w:color w:val="000000"/>
                <w:sz w:val="20"/>
                <w:szCs w:val="20"/>
              </w:rPr>
              <w:t xml:space="preserve"> %</w:t>
            </w:r>
          </w:p>
        </w:tc>
        <w:tc>
          <w:tcPr>
            <w:tcW w:w="992" w:type="dxa"/>
            <w:tcBorders>
              <w:bottom w:val="single" w:sz="12" w:space="0" w:color="auto"/>
            </w:tcBorders>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18.15</w:t>
            </w:r>
            <w:r>
              <w:rPr>
                <w:rFonts w:ascii="Arial" w:hAnsi="Arial" w:cs="Arial"/>
                <w:color w:val="000000"/>
                <w:sz w:val="20"/>
                <w:szCs w:val="20"/>
              </w:rPr>
              <w:t xml:space="preserve"> %</w:t>
            </w:r>
          </w:p>
        </w:tc>
        <w:tc>
          <w:tcPr>
            <w:tcW w:w="1022" w:type="dxa"/>
            <w:tcBorders>
              <w:bottom w:val="single" w:sz="12" w:space="0" w:color="auto"/>
            </w:tcBorders>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29.90</w:t>
            </w:r>
            <w:r>
              <w:rPr>
                <w:rFonts w:ascii="Arial" w:hAnsi="Arial" w:cs="Arial"/>
                <w:color w:val="000000"/>
                <w:sz w:val="20"/>
                <w:szCs w:val="20"/>
              </w:rPr>
              <w:t xml:space="preserve"> %</w:t>
            </w:r>
          </w:p>
        </w:tc>
        <w:tc>
          <w:tcPr>
            <w:tcW w:w="993" w:type="dxa"/>
            <w:tcBorders>
              <w:bottom w:val="single" w:sz="12" w:space="0" w:color="auto"/>
            </w:tcBorders>
            <w:shd w:val="clear" w:color="auto" w:fill="auto"/>
            <w:noWrap/>
            <w:vAlign w:val="bottom"/>
            <w:hideMark/>
          </w:tcPr>
          <w:p w:rsidR="00762B76" w:rsidRPr="007014CE" w:rsidRDefault="00762B76" w:rsidP="00B81843">
            <w:pPr>
              <w:jc w:val="center"/>
              <w:rPr>
                <w:rFonts w:ascii="Arial" w:hAnsi="Arial" w:cs="Arial"/>
                <w:color w:val="000000"/>
                <w:sz w:val="20"/>
                <w:szCs w:val="20"/>
              </w:rPr>
            </w:pPr>
            <w:r w:rsidRPr="007014CE">
              <w:rPr>
                <w:rFonts w:ascii="Arial" w:hAnsi="Arial" w:cs="Arial"/>
                <w:color w:val="000000"/>
                <w:sz w:val="20"/>
                <w:szCs w:val="20"/>
              </w:rPr>
              <w:t>29.90</w:t>
            </w:r>
            <w:r>
              <w:rPr>
                <w:rFonts w:ascii="Arial" w:hAnsi="Arial" w:cs="Arial"/>
                <w:color w:val="000000"/>
                <w:sz w:val="20"/>
                <w:szCs w:val="20"/>
              </w:rPr>
              <w:t xml:space="preserve"> %</w:t>
            </w:r>
          </w:p>
        </w:tc>
      </w:tr>
    </w:tbl>
    <w:p w:rsidR="00762B76" w:rsidRDefault="00762B76" w:rsidP="00762B76"/>
    <w:p w:rsidR="00762B76" w:rsidRPr="00762B76" w:rsidRDefault="00762B76" w:rsidP="00762B76">
      <w:pPr>
        <w:pStyle w:val="Ttulo1"/>
        <w:keepLines w:val="0"/>
        <w:numPr>
          <w:ilvl w:val="0"/>
          <w:numId w:val="1"/>
        </w:numPr>
        <w:tabs>
          <w:tab w:val="clear" w:pos="432"/>
          <w:tab w:val="left" w:pos="0"/>
        </w:tabs>
        <w:spacing w:before="0" w:after="0" w:line="360" w:lineRule="auto"/>
        <w:ind w:left="0" w:firstLine="0"/>
        <w:rPr>
          <w:rFonts w:ascii="Arial" w:hAnsi="Arial" w:cs="Arial"/>
          <w:i/>
          <w:sz w:val="24"/>
          <w:szCs w:val="24"/>
        </w:rPr>
      </w:pPr>
      <w:bookmarkStart w:id="82" w:name="_Toc50031198"/>
      <w:r w:rsidRPr="00762B76">
        <w:rPr>
          <w:rFonts w:ascii="Arial" w:hAnsi="Arial" w:cs="Arial"/>
          <w:i/>
          <w:caps/>
          <w:sz w:val="24"/>
          <w:szCs w:val="24"/>
        </w:rPr>
        <w:t xml:space="preserve">5. </w:t>
      </w:r>
      <w:r w:rsidRPr="00762B76">
        <w:rPr>
          <w:rFonts w:ascii="Arial" w:hAnsi="Arial" w:cs="Arial"/>
          <w:i/>
          <w:sz w:val="24"/>
          <w:szCs w:val="24"/>
        </w:rPr>
        <w:t>Conclusiones</w:t>
      </w:r>
      <w:bookmarkEnd w:id="82"/>
    </w:p>
    <w:p w:rsidR="00762B76" w:rsidRPr="00A34838" w:rsidRDefault="00762B76" w:rsidP="00762B76">
      <w:pPr>
        <w:pStyle w:val="Textoindependiente"/>
        <w:ind w:firstLine="539"/>
        <w:rPr>
          <w:rFonts w:ascii="Arial" w:hAnsi="Arial" w:cs="Arial"/>
          <w:b w:val="0"/>
          <w:sz w:val="24"/>
        </w:rPr>
      </w:pPr>
    </w:p>
    <w:p w:rsidR="00762B76" w:rsidRPr="00A34838" w:rsidRDefault="00762B76" w:rsidP="00762B76">
      <w:pPr>
        <w:ind w:firstLine="567"/>
        <w:jc w:val="both"/>
        <w:rPr>
          <w:rFonts w:ascii="Arial" w:hAnsi="Arial" w:cs="Arial"/>
          <w:color w:val="000000"/>
        </w:rPr>
      </w:pPr>
      <w:bookmarkStart w:id="83" w:name="_Hlk44637621"/>
      <w:r w:rsidRPr="00A34838">
        <w:rPr>
          <w:rFonts w:ascii="Arial" w:hAnsi="Arial" w:cs="Arial"/>
          <w:color w:val="000000"/>
        </w:rPr>
        <w:t>Se implementar un proceso electroquímico para la remoción de sólidos y degradación de agentes contaminantes del agua residual urbana de Córdoba Veracruz.</w:t>
      </w:r>
    </w:p>
    <w:p w:rsidR="00762B76" w:rsidRPr="00A34838" w:rsidRDefault="00762B76" w:rsidP="00762B76">
      <w:pPr>
        <w:ind w:firstLine="567"/>
        <w:jc w:val="both"/>
        <w:rPr>
          <w:rFonts w:ascii="Arial" w:hAnsi="Arial" w:cs="Arial"/>
          <w:color w:val="000000"/>
        </w:rPr>
      </w:pPr>
    </w:p>
    <w:p w:rsidR="00762B76" w:rsidRPr="00A34838" w:rsidRDefault="00762B76" w:rsidP="00762B76">
      <w:pPr>
        <w:ind w:firstLine="567"/>
        <w:jc w:val="both"/>
        <w:rPr>
          <w:rFonts w:ascii="Arial" w:hAnsi="Arial" w:cs="Arial"/>
          <w:color w:val="000000"/>
        </w:rPr>
      </w:pPr>
      <w:r w:rsidRPr="00A34838">
        <w:rPr>
          <w:rFonts w:ascii="Arial" w:hAnsi="Arial" w:cs="Arial"/>
          <w:color w:val="000000"/>
        </w:rPr>
        <w:t xml:space="preserve">La electrocoagulación es el proceso electroquímico eficaz para tratar aguas residuales urbanas utilizando los electrodos de Aluminio </w:t>
      </w:r>
      <w:r>
        <w:rPr>
          <w:rFonts w:ascii="Arial" w:hAnsi="Arial" w:cs="Arial"/>
          <w:color w:val="000000"/>
        </w:rPr>
        <w:t>y</w:t>
      </w:r>
      <w:r w:rsidRPr="00A34838">
        <w:rPr>
          <w:rFonts w:ascii="Arial" w:hAnsi="Arial" w:cs="Arial"/>
          <w:color w:val="000000"/>
        </w:rPr>
        <w:t xml:space="preserve"> Fierro.</w:t>
      </w:r>
    </w:p>
    <w:p w:rsidR="00762B76" w:rsidRPr="00A34838" w:rsidRDefault="00762B76" w:rsidP="00762B76">
      <w:pPr>
        <w:ind w:firstLine="567"/>
        <w:jc w:val="both"/>
        <w:rPr>
          <w:rFonts w:ascii="Arial" w:hAnsi="Arial" w:cs="Arial"/>
          <w:color w:val="000000"/>
        </w:rPr>
      </w:pPr>
    </w:p>
    <w:p w:rsidR="00762B76" w:rsidRPr="00A34838" w:rsidRDefault="00762B76" w:rsidP="00762B76">
      <w:pPr>
        <w:ind w:firstLine="567"/>
        <w:jc w:val="both"/>
        <w:rPr>
          <w:rFonts w:ascii="Arial" w:hAnsi="Arial" w:cs="Arial"/>
          <w:color w:val="000000"/>
        </w:rPr>
      </w:pPr>
      <w:r w:rsidRPr="00A34838">
        <w:rPr>
          <w:rFonts w:ascii="Arial" w:hAnsi="Arial" w:cs="Arial"/>
          <w:color w:val="000000"/>
        </w:rPr>
        <w:t>Se ha de</w:t>
      </w:r>
      <w:r>
        <w:rPr>
          <w:rFonts w:ascii="Arial" w:hAnsi="Arial" w:cs="Arial"/>
          <w:color w:val="000000"/>
        </w:rPr>
        <w:t>termina</w:t>
      </w:r>
      <w:r w:rsidRPr="00A34838">
        <w:rPr>
          <w:rFonts w:ascii="Arial" w:hAnsi="Arial" w:cs="Arial"/>
          <w:color w:val="000000"/>
        </w:rPr>
        <w:t xml:space="preserve"> que a mayor potencial eléctrico aplicado (Voltaje) el agua residual tiene </w:t>
      </w:r>
      <w:r>
        <w:rPr>
          <w:rFonts w:ascii="Arial" w:hAnsi="Arial" w:cs="Arial"/>
          <w:color w:val="000000"/>
        </w:rPr>
        <w:t>una mayor</w:t>
      </w:r>
      <w:r w:rsidRPr="00A34838">
        <w:rPr>
          <w:rFonts w:ascii="Arial" w:hAnsi="Arial" w:cs="Arial"/>
          <w:color w:val="000000"/>
        </w:rPr>
        <w:t xml:space="preserve"> degradación en las pruebas realizadas y que se obtienen mejores resultados en un menor tiempo. </w:t>
      </w:r>
    </w:p>
    <w:p w:rsidR="00762B76" w:rsidRPr="00A34838" w:rsidRDefault="00762B76" w:rsidP="00762B76">
      <w:pPr>
        <w:ind w:firstLine="567"/>
        <w:jc w:val="both"/>
        <w:rPr>
          <w:rFonts w:ascii="Arial" w:hAnsi="Arial" w:cs="Arial"/>
          <w:color w:val="000000"/>
        </w:rPr>
      </w:pPr>
    </w:p>
    <w:p w:rsidR="00762B76" w:rsidRPr="00A34838" w:rsidRDefault="00762B76" w:rsidP="00762B76">
      <w:pPr>
        <w:ind w:firstLine="567"/>
        <w:jc w:val="both"/>
        <w:rPr>
          <w:rFonts w:ascii="Arial" w:hAnsi="Arial" w:cs="Arial"/>
          <w:color w:val="000000"/>
        </w:rPr>
      </w:pPr>
      <w:r w:rsidRPr="00A34838">
        <w:rPr>
          <w:rFonts w:ascii="Arial" w:hAnsi="Arial" w:cs="Arial"/>
          <w:color w:val="000000"/>
        </w:rPr>
        <w:t>Determino que entre un potencial eléctrico de 50 V a 80 V es adecuado para implementar para la obteniendo de una buena degradación manteniendo los parámetros permisibles del agua residual bajo las normas oficiales mexicanas.</w:t>
      </w:r>
    </w:p>
    <w:bookmarkEnd w:id="83"/>
    <w:p w:rsidR="00762B76" w:rsidRPr="00A34838" w:rsidRDefault="00762B76" w:rsidP="00762B76">
      <w:pPr>
        <w:pStyle w:val="Textoindependiente"/>
        <w:ind w:firstLine="539"/>
        <w:rPr>
          <w:rFonts w:ascii="Arial" w:hAnsi="Arial" w:cs="Arial"/>
          <w:b w:val="0"/>
          <w:sz w:val="24"/>
        </w:rPr>
      </w:pPr>
    </w:p>
    <w:p w:rsidR="00762B76" w:rsidRPr="00762B76" w:rsidRDefault="00762B76" w:rsidP="00762B76">
      <w:pPr>
        <w:pStyle w:val="Ttulo1"/>
        <w:keepLines w:val="0"/>
        <w:numPr>
          <w:ilvl w:val="0"/>
          <w:numId w:val="1"/>
        </w:numPr>
        <w:tabs>
          <w:tab w:val="clear" w:pos="432"/>
          <w:tab w:val="left" w:pos="0"/>
        </w:tabs>
        <w:spacing w:before="0" w:after="0" w:line="360" w:lineRule="auto"/>
        <w:ind w:left="0" w:firstLine="0"/>
        <w:rPr>
          <w:rFonts w:ascii="Arial" w:hAnsi="Arial" w:cs="Arial"/>
          <w:i/>
          <w:sz w:val="24"/>
          <w:szCs w:val="24"/>
        </w:rPr>
      </w:pPr>
      <w:bookmarkStart w:id="84" w:name="_Toc50031199"/>
      <w:r w:rsidRPr="00762B76">
        <w:rPr>
          <w:rFonts w:ascii="Arial" w:hAnsi="Arial" w:cs="Arial"/>
          <w:i/>
          <w:caps/>
          <w:sz w:val="24"/>
          <w:szCs w:val="24"/>
        </w:rPr>
        <w:t xml:space="preserve">6. </w:t>
      </w:r>
      <w:r w:rsidRPr="00762B76">
        <w:rPr>
          <w:rFonts w:ascii="Arial" w:hAnsi="Arial" w:cs="Arial"/>
          <w:i/>
          <w:sz w:val="24"/>
          <w:szCs w:val="24"/>
        </w:rPr>
        <w:t>Bibliografía</w:t>
      </w:r>
      <w:bookmarkEnd w:id="84"/>
    </w:p>
    <w:p w:rsidR="00762B76" w:rsidRPr="00762B76" w:rsidRDefault="00762B76" w:rsidP="00257D10">
      <w:pPr>
        <w:numPr>
          <w:ilvl w:val="0"/>
          <w:numId w:val="7"/>
        </w:numPr>
        <w:tabs>
          <w:tab w:val="left" w:pos="750"/>
        </w:tabs>
        <w:spacing w:after="0" w:line="240" w:lineRule="auto"/>
        <w:jc w:val="both"/>
        <w:rPr>
          <w:rFonts w:ascii="Arial" w:hAnsi="Arial" w:cs="Arial"/>
          <w:lang w:val="en-US"/>
        </w:rPr>
      </w:pPr>
      <w:r w:rsidRPr="00870A56">
        <w:rPr>
          <w:rFonts w:ascii="Arial" w:hAnsi="Arial" w:cs="Arial"/>
        </w:rPr>
        <w:t xml:space="preserve">A. K. Darban, A. Shahedi, F. Taghipour, A. Jamshidi-Zanjani. </w:t>
      </w:r>
      <w:r w:rsidRPr="00762B76">
        <w:rPr>
          <w:rFonts w:ascii="Arial" w:hAnsi="Arial" w:cs="Arial"/>
          <w:lang w:val="en-US"/>
        </w:rPr>
        <w:t>A review on industrial wastewater treatment via electrocoagulation processes Current Opinion in ElectrochemistryIn press, journal pre-proofAvailable online 2020.</w:t>
      </w:r>
    </w:p>
    <w:p w:rsidR="00762B76" w:rsidRPr="00870A56" w:rsidRDefault="00762B76" w:rsidP="00257D10">
      <w:pPr>
        <w:numPr>
          <w:ilvl w:val="0"/>
          <w:numId w:val="7"/>
        </w:numPr>
        <w:tabs>
          <w:tab w:val="left" w:pos="750"/>
        </w:tabs>
        <w:spacing w:after="0" w:line="240" w:lineRule="auto"/>
        <w:jc w:val="both"/>
        <w:rPr>
          <w:rFonts w:ascii="Arial" w:hAnsi="Arial" w:cs="Arial"/>
        </w:rPr>
      </w:pPr>
      <w:r w:rsidRPr="00870A56">
        <w:rPr>
          <w:rFonts w:ascii="Arial" w:hAnsi="Arial" w:cs="Arial"/>
        </w:rPr>
        <w:t xml:space="preserve">Alexandre Loukanov, Nouha El Allaoui, Anass Omor, Fatima Zahra Elmadani, Seiichiro Nakabayashi. </w:t>
      </w:r>
      <w:r w:rsidRPr="00762B76">
        <w:rPr>
          <w:rFonts w:ascii="Arial" w:hAnsi="Arial" w:cs="Arial"/>
          <w:lang w:val="en-US"/>
        </w:rPr>
        <w:t xml:space="preserve">Large-scale removal of colloidal contaminants from artisanal wastewater by bipolar electrocoagulation with aluminum sacrificial electrodes. </w:t>
      </w:r>
      <w:r w:rsidRPr="00870A56">
        <w:rPr>
          <w:rFonts w:ascii="Arial" w:hAnsi="Arial" w:cs="Arial"/>
        </w:rPr>
        <w:t>Results in Chemistry, 2, 2020, 100038.</w:t>
      </w:r>
    </w:p>
    <w:p w:rsidR="00762B76" w:rsidRPr="00870A56" w:rsidRDefault="00762B76" w:rsidP="00257D10">
      <w:pPr>
        <w:numPr>
          <w:ilvl w:val="0"/>
          <w:numId w:val="7"/>
        </w:numPr>
        <w:tabs>
          <w:tab w:val="left" w:pos="750"/>
        </w:tabs>
        <w:spacing w:after="0" w:line="240" w:lineRule="auto"/>
        <w:ind w:left="360"/>
        <w:jc w:val="both"/>
        <w:rPr>
          <w:rFonts w:ascii="Arial" w:hAnsi="Arial" w:cs="Arial"/>
        </w:rPr>
      </w:pPr>
      <w:r w:rsidRPr="00762B76">
        <w:rPr>
          <w:rFonts w:ascii="Arial" w:hAnsi="Arial" w:cs="Arial"/>
          <w:lang w:val="en-US"/>
        </w:rPr>
        <w:t xml:space="preserve">Amina Tahreen, Mohammed Saedi Jami, Fathilah Ali. Role of electrocoagulation in wastewater treatment: A developmental review. </w:t>
      </w:r>
      <w:r w:rsidRPr="00870A56">
        <w:rPr>
          <w:rFonts w:ascii="Arial" w:hAnsi="Arial" w:cs="Arial"/>
        </w:rPr>
        <w:t>Journal of Water Process Engineering, 37, 2020, 101440.</w:t>
      </w:r>
    </w:p>
    <w:p w:rsidR="0049551D" w:rsidRDefault="0049551D" w:rsidP="0049551D">
      <w:pPr>
        <w:rPr>
          <w:lang w:val="en-US"/>
        </w:rPr>
      </w:pPr>
    </w:p>
    <w:p w:rsidR="00705D32" w:rsidRPr="00705D32" w:rsidRDefault="00705D32" w:rsidP="0049551D">
      <w:pPr>
        <w:rPr>
          <w:b/>
          <w:sz w:val="28"/>
          <w:szCs w:val="28"/>
          <w:lang w:val="en-US"/>
        </w:rPr>
      </w:pPr>
    </w:p>
    <w:p w:rsidR="00705D32" w:rsidRPr="00705D32" w:rsidRDefault="00705D32" w:rsidP="00705D32">
      <w:pPr>
        <w:pStyle w:val="1Titulo"/>
        <w:numPr>
          <w:ilvl w:val="0"/>
          <w:numId w:val="0"/>
        </w:numPr>
        <w:ind w:left="357" w:hanging="357"/>
        <w:rPr>
          <w:rFonts w:cs="Times New Roman"/>
          <w:color w:val="000000"/>
          <w:sz w:val="28"/>
          <w:szCs w:val="28"/>
        </w:rPr>
      </w:pPr>
      <w:bookmarkStart w:id="85" w:name="_Toc50031200"/>
      <w:r w:rsidRPr="00705D32">
        <w:rPr>
          <w:sz w:val="28"/>
          <w:szCs w:val="28"/>
        </w:rPr>
        <w:t xml:space="preserve">Modelo Electromagnético para </w:t>
      </w:r>
      <w:r w:rsidRPr="00705D32">
        <w:rPr>
          <w:rStyle w:val="1TituloCar"/>
          <w:b/>
          <w:sz w:val="28"/>
          <w:szCs w:val="28"/>
        </w:rPr>
        <w:t>LVRPA en el Proceso Fotocatalítico</w:t>
      </w:r>
      <w:bookmarkEnd w:id="85"/>
    </w:p>
    <w:p w:rsidR="00705D32" w:rsidRDefault="00705D32" w:rsidP="00705D32">
      <w:pPr>
        <w:jc w:val="center"/>
        <w:rPr>
          <w:color w:val="000000"/>
          <w:sz w:val="28"/>
          <w:szCs w:val="28"/>
        </w:rPr>
      </w:pPr>
    </w:p>
    <w:p w:rsidR="00705D32" w:rsidRPr="008C6A57" w:rsidRDefault="00705D32" w:rsidP="00705D32">
      <w:pPr>
        <w:pStyle w:val="Author"/>
        <w:rPr>
          <w:rFonts w:ascii="Arial" w:hAnsi="Arial" w:cs="Arial"/>
          <w:szCs w:val="24"/>
          <w:vertAlign w:val="superscript"/>
          <w:lang w:val="es-ES"/>
        </w:rPr>
      </w:pPr>
      <w:r w:rsidRPr="003239E2">
        <w:rPr>
          <w:rFonts w:ascii="Arial" w:hAnsi="Arial" w:cs="Arial"/>
          <w:szCs w:val="24"/>
          <w:u w:val="single"/>
          <w:lang w:val="es-ES"/>
        </w:rPr>
        <w:t>Ramos, G,</w:t>
      </w:r>
      <w:r>
        <w:rPr>
          <w:rFonts w:ascii="Arial" w:hAnsi="Arial" w:cs="Arial"/>
          <w:szCs w:val="24"/>
          <w:vertAlign w:val="superscript"/>
          <w:lang w:val="es-ES"/>
        </w:rPr>
        <w:t>1</w:t>
      </w:r>
      <w:r>
        <w:rPr>
          <w:rFonts w:ascii="Arial" w:hAnsi="Arial" w:cs="Arial"/>
          <w:szCs w:val="24"/>
          <w:lang w:val="es-ES"/>
        </w:rPr>
        <w:t xml:space="preserve"> Bolívar, A,</w:t>
      </w:r>
      <w:r>
        <w:rPr>
          <w:rFonts w:ascii="Arial" w:hAnsi="Arial" w:cs="Arial"/>
          <w:szCs w:val="24"/>
          <w:vertAlign w:val="superscript"/>
          <w:lang w:val="es-ES"/>
        </w:rPr>
        <w:t xml:space="preserve">2 </w:t>
      </w:r>
      <w:r>
        <w:rPr>
          <w:rFonts w:ascii="Arial" w:hAnsi="Arial" w:cs="Arial"/>
          <w:szCs w:val="24"/>
          <w:lang w:val="es-ES"/>
        </w:rPr>
        <w:t>Ayala, E.</w:t>
      </w:r>
      <w:r>
        <w:rPr>
          <w:rFonts w:ascii="Arial" w:hAnsi="Arial" w:cs="Arial"/>
          <w:szCs w:val="24"/>
          <w:vertAlign w:val="superscript"/>
          <w:lang w:val="es-ES"/>
        </w:rPr>
        <w:t>3</w:t>
      </w:r>
    </w:p>
    <w:p w:rsidR="00705D32" w:rsidRDefault="00705D32" w:rsidP="00705D32">
      <w:pPr>
        <w:pStyle w:val="affiliation"/>
        <w:rPr>
          <w:rFonts w:ascii="Arial" w:hAnsi="Arial" w:cs="Arial"/>
          <w:sz w:val="24"/>
          <w:szCs w:val="24"/>
          <w:vertAlign w:val="superscript"/>
          <w:lang w:val="es-ES"/>
        </w:rPr>
      </w:pPr>
      <w:r>
        <w:rPr>
          <w:rFonts w:ascii="Arial" w:hAnsi="Arial" w:cs="Arial"/>
          <w:sz w:val="24"/>
          <w:szCs w:val="24"/>
          <w:vertAlign w:val="superscript"/>
          <w:lang w:val="es-ES"/>
        </w:rPr>
        <w:t>1</w:t>
      </w:r>
      <w:r>
        <w:rPr>
          <w:rFonts w:ascii="Arial" w:hAnsi="Arial" w:cs="Arial"/>
          <w:sz w:val="24"/>
          <w:szCs w:val="24"/>
          <w:lang w:val="es-ES"/>
        </w:rPr>
        <w:t xml:space="preserve">Universidad Cooperativa de Colombia. </w:t>
      </w:r>
    </w:p>
    <w:p w:rsidR="00705D32" w:rsidRDefault="00705D32" w:rsidP="00705D32">
      <w:pPr>
        <w:pStyle w:val="affiliation"/>
        <w:rPr>
          <w:rFonts w:ascii="Arial" w:hAnsi="Arial" w:cs="Arial"/>
          <w:sz w:val="24"/>
          <w:szCs w:val="24"/>
          <w:lang w:val="es-ES"/>
        </w:rPr>
      </w:pPr>
      <w:r>
        <w:rPr>
          <w:rFonts w:ascii="Arial" w:hAnsi="Arial" w:cs="Arial"/>
          <w:sz w:val="24"/>
          <w:szCs w:val="24"/>
          <w:vertAlign w:val="superscript"/>
          <w:lang w:val="es-ES"/>
        </w:rPr>
        <w:lastRenderedPageBreak/>
        <w:t>2</w:t>
      </w:r>
      <w:r>
        <w:rPr>
          <w:rFonts w:ascii="Arial" w:hAnsi="Arial" w:cs="Arial"/>
          <w:sz w:val="24"/>
          <w:szCs w:val="24"/>
          <w:lang w:val="es-ES"/>
        </w:rPr>
        <w:t>Fundación Unipanamericana.</w:t>
      </w:r>
    </w:p>
    <w:p w:rsidR="00705D32" w:rsidRPr="008C6A57" w:rsidRDefault="00705D32" w:rsidP="00705D32">
      <w:pPr>
        <w:pStyle w:val="affiliation"/>
        <w:rPr>
          <w:rFonts w:ascii="Arial" w:hAnsi="Arial" w:cs="Arial"/>
          <w:sz w:val="24"/>
          <w:szCs w:val="24"/>
          <w:lang w:val="es-ES"/>
        </w:rPr>
      </w:pPr>
      <w:r>
        <w:rPr>
          <w:rFonts w:ascii="Arial" w:hAnsi="Arial" w:cs="Arial"/>
          <w:sz w:val="24"/>
          <w:szCs w:val="24"/>
          <w:vertAlign w:val="superscript"/>
          <w:lang w:val="es-ES"/>
        </w:rPr>
        <w:t>3</w:t>
      </w:r>
      <w:r w:rsidRPr="00315508">
        <w:rPr>
          <w:rFonts w:ascii="Arial" w:hAnsi="Arial" w:cs="Arial"/>
          <w:sz w:val="24"/>
          <w:szCs w:val="24"/>
          <w:lang w:val="es-ES"/>
        </w:rPr>
        <w:t xml:space="preserve"> </w:t>
      </w:r>
      <w:r>
        <w:rPr>
          <w:rFonts w:ascii="Arial" w:hAnsi="Arial" w:cs="Arial"/>
          <w:sz w:val="24"/>
          <w:szCs w:val="24"/>
          <w:lang w:val="es-ES"/>
        </w:rPr>
        <w:t>Fundación Unipanamericana</w:t>
      </w:r>
    </w:p>
    <w:p w:rsidR="00705D32" w:rsidRPr="00E15791" w:rsidRDefault="001345E4" w:rsidP="00705D32">
      <w:pPr>
        <w:pStyle w:val="affiliation"/>
        <w:rPr>
          <w:rFonts w:ascii="Arial" w:hAnsi="Arial" w:cs="Arial"/>
          <w:sz w:val="24"/>
          <w:szCs w:val="24"/>
          <w:lang w:val="es-ES"/>
        </w:rPr>
      </w:pPr>
      <w:hyperlink r:id="rId165" w:history="1">
        <w:r w:rsidR="00705D32" w:rsidRPr="00E15791">
          <w:rPr>
            <w:rStyle w:val="Hipervnculo"/>
            <w:rFonts w:ascii="Arial" w:hAnsi="Arial" w:cs="Arial"/>
            <w:sz w:val="24"/>
            <w:szCs w:val="24"/>
            <w:lang w:val="es-ES"/>
          </w:rPr>
          <w:t>German.ramos@campusucc.edu.co</w:t>
        </w:r>
      </w:hyperlink>
      <w:r w:rsidR="00705D32" w:rsidRPr="00E15791">
        <w:rPr>
          <w:rFonts w:ascii="Arial" w:hAnsi="Arial" w:cs="Arial"/>
          <w:sz w:val="24"/>
          <w:szCs w:val="24"/>
          <w:lang w:val="es-ES"/>
        </w:rPr>
        <w:t xml:space="preserve"> </w:t>
      </w:r>
    </w:p>
    <w:p w:rsidR="00705D32" w:rsidRPr="0044122F" w:rsidRDefault="001345E4" w:rsidP="00705D32">
      <w:pPr>
        <w:pStyle w:val="affiliation"/>
        <w:rPr>
          <w:rFonts w:ascii="Arial" w:hAnsi="Arial" w:cs="Arial"/>
          <w:sz w:val="24"/>
          <w:szCs w:val="24"/>
          <w:lang w:val="es-ES"/>
        </w:rPr>
      </w:pPr>
      <w:hyperlink r:id="rId166" w:history="1">
        <w:r w:rsidR="00705D32" w:rsidRPr="0044122F">
          <w:rPr>
            <w:rStyle w:val="Hipervnculo"/>
            <w:rFonts w:ascii="Arial" w:hAnsi="Arial" w:cs="Arial"/>
            <w:sz w:val="24"/>
            <w:szCs w:val="24"/>
            <w:lang w:val="es-ES"/>
          </w:rPr>
          <w:t>nabolivarm@unipanamericana.edu.co</w:t>
        </w:r>
      </w:hyperlink>
    </w:p>
    <w:p w:rsidR="00705D32" w:rsidRPr="0044122F" w:rsidRDefault="001345E4" w:rsidP="00705D32">
      <w:pPr>
        <w:pStyle w:val="affiliation"/>
        <w:rPr>
          <w:rFonts w:ascii="Arial" w:hAnsi="Arial" w:cs="Arial"/>
          <w:sz w:val="24"/>
          <w:szCs w:val="24"/>
          <w:lang w:val="es-ES"/>
        </w:rPr>
      </w:pPr>
      <w:hyperlink r:id="rId167" w:history="1">
        <w:r w:rsidR="00705D32" w:rsidRPr="0044122F">
          <w:rPr>
            <w:rStyle w:val="Hipervnculo"/>
            <w:rFonts w:ascii="Arial" w:hAnsi="Arial" w:cs="Arial"/>
            <w:sz w:val="24"/>
            <w:szCs w:val="24"/>
            <w:lang w:val="es-ES"/>
          </w:rPr>
          <w:t>elisabethayala@unipanamericana.edu.co</w:t>
        </w:r>
      </w:hyperlink>
    </w:p>
    <w:p w:rsidR="00705D32" w:rsidRDefault="00705D32" w:rsidP="00705D32">
      <w:pPr>
        <w:pStyle w:val="affiliation"/>
        <w:rPr>
          <w:rFonts w:ascii="Arial" w:hAnsi="Arial" w:cs="Arial"/>
          <w:sz w:val="24"/>
          <w:szCs w:val="24"/>
          <w:lang w:val="es-ES"/>
        </w:rPr>
      </w:pPr>
    </w:p>
    <w:p w:rsidR="00705D32" w:rsidRPr="00705D32" w:rsidRDefault="00705D32" w:rsidP="00705D32">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olor w:val="000000"/>
          <w:sz w:val="24"/>
          <w:szCs w:val="24"/>
        </w:rPr>
      </w:pPr>
      <w:bookmarkStart w:id="86" w:name="_Toc50031201"/>
      <w:r w:rsidRPr="00705D32">
        <w:rPr>
          <w:rFonts w:ascii="Arial" w:hAnsi="Arial" w:cs="Arial"/>
          <w:i/>
          <w:caps/>
          <w:sz w:val="24"/>
          <w:szCs w:val="24"/>
        </w:rPr>
        <w:t>1. R</w:t>
      </w:r>
      <w:r w:rsidRPr="00705D32">
        <w:rPr>
          <w:rFonts w:ascii="Arial" w:hAnsi="Arial" w:cs="Arial"/>
          <w:i/>
          <w:sz w:val="24"/>
          <w:szCs w:val="24"/>
        </w:rPr>
        <w:t>esumen</w:t>
      </w:r>
      <w:bookmarkEnd w:id="86"/>
      <w:r w:rsidRPr="00705D32">
        <w:rPr>
          <w:rFonts w:ascii="Arial" w:hAnsi="Arial" w:cs="Arial"/>
          <w:i/>
          <w:caps/>
          <w:sz w:val="24"/>
          <w:szCs w:val="24"/>
        </w:rPr>
        <w:t xml:space="preserve"> </w:t>
      </w:r>
    </w:p>
    <w:p w:rsidR="00705D32" w:rsidRPr="008C6A57" w:rsidRDefault="00705D32" w:rsidP="00705D32">
      <w:pPr>
        <w:numPr>
          <w:ilvl w:val="0"/>
          <w:numId w:val="1"/>
        </w:numPr>
        <w:tabs>
          <w:tab w:val="clear" w:pos="432"/>
          <w:tab w:val="num" w:pos="0"/>
        </w:tabs>
        <w:suppressAutoHyphens/>
        <w:spacing w:after="0" w:line="240" w:lineRule="auto"/>
        <w:ind w:left="0" w:firstLine="567"/>
        <w:jc w:val="both"/>
        <w:rPr>
          <w:rFonts w:ascii="Arial" w:hAnsi="Arial" w:cs="Arial"/>
        </w:rPr>
      </w:pPr>
      <w:r>
        <w:rPr>
          <w:rFonts w:ascii="Arial" w:hAnsi="Arial" w:cs="Arial"/>
        </w:rPr>
        <w:t>Un modelo electromagnético para la determinación de la velocidad de absorción fotónica se desarrolló en función de las características eléctricas y magnéticas del medio</w:t>
      </w:r>
      <w:r w:rsidRPr="009C60D3">
        <w:rPr>
          <w:rFonts w:ascii="Arial" w:hAnsi="Arial" w:cs="Arial"/>
          <w:vertAlign w:val="superscript"/>
        </w:rPr>
        <w:t>[1]</w:t>
      </w:r>
      <w:r>
        <w:rPr>
          <w:rFonts w:ascii="Arial" w:hAnsi="Arial" w:cs="Arial"/>
        </w:rPr>
        <w:t>, considerando factores de fase y atenuación de la suspensión a tratar. Dicho modelo se presenta como una alternativa nueva para los procesos fotocatalíticos y con miras a la escalabilidad del proceso del laboratorio a la industria. Para tal fin se evaluó experimentalmente la permitividad, permeabilidad y conductividad de la suspensión. Se empleó el modelo de seis flujos para simular la absorción fotónica. Se realizaron aproximaciones en relación con la conductividad del medio participante, para poder obtener modelos que permitan establecer el escalado del proceso a nivel industrial.</w:t>
      </w:r>
      <w:r w:rsidRPr="008C6A57">
        <w:rPr>
          <w:rFonts w:ascii="Arial" w:hAnsi="Arial" w:cs="Arial"/>
          <w:color w:val="000000"/>
        </w:rPr>
        <w:t xml:space="preserve"> </w:t>
      </w:r>
    </w:p>
    <w:p w:rsidR="00705D32" w:rsidRDefault="00705D32" w:rsidP="00705D32">
      <w:pPr>
        <w:ind w:firstLine="567"/>
        <w:jc w:val="both"/>
        <w:rPr>
          <w:rFonts w:ascii="Arial" w:hAnsi="Arial" w:cs="Arial"/>
        </w:rPr>
      </w:pPr>
    </w:p>
    <w:p w:rsidR="00705D32" w:rsidRPr="00705D32" w:rsidRDefault="00705D32" w:rsidP="00705D32">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aps/>
          <w:sz w:val="24"/>
          <w:szCs w:val="24"/>
        </w:rPr>
      </w:pPr>
      <w:bookmarkStart w:id="87" w:name="_Toc50031202"/>
      <w:r w:rsidRPr="00705D32">
        <w:rPr>
          <w:rFonts w:ascii="Arial" w:hAnsi="Arial" w:cs="Arial"/>
          <w:i/>
          <w:caps/>
          <w:sz w:val="24"/>
          <w:szCs w:val="24"/>
        </w:rPr>
        <w:t>2. I</w:t>
      </w:r>
      <w:r w:rsidRPr="00705D32">
        <w:rPr>
          <w:rFonts w:ascii="Arial" w:hAnsi="Arial" w:cs="Arial"/>
          <w:i/>
          <w:sz w:val="24"/>
          <w:szCs w:val="24"/>
        </w:rPr>
        <w:t>ntroducción</w:t>
      </w:r>
      <w:bookmarkEnd w:id="87"/>
      <w:r w:rsidRPr="00705D32">
        <w:rPr>
          <w:rFonts w:ascii="Arial" w:hAnsi="Arial" w:cs="Arial"/>
          <w:i/>
          <w:caps/>
          <w:sz w:val="24"/>
          <w:szCs w:val="24"/>
        </w:rPr>
        <w:t xml:space="preserve"> </w:t>
      </w:r>
    </w:p>
    <w:p w:rsidR="00705D32" w:rsidRDefault="00705D32" w:rsidP="00705D32">
      <w:pPr>
        <w:numPr>
          <w:ilvl w:val="2"/>
          <w:numId w:val="1"/>
        </w:numPr>
        <w:tabs>
          <w:tab w:val="clear" w:pos="720"/>
          <w:tab w:val="num" w:pos="0"/>
        </w:tabs>
        <w:suppressAutoHyphens/>
        <w:autoSpaceDE w:val="0"/>
        <w:autoSpaceDN w:val="0"/>
        <w:adjustRightInd w:val="0"/>
        <w:spacing w:after="0" w:line="240" w:lineRule="auto"/>
        <w:ind w:left="0" w:firstLine="567"/>
        <w:jc w:val="both"/>
        <w:rPr>
          <w:rFonts w:ascii="Arial" w:hAnsi="Arial" w:cs="Arial"/>
          <w:color w:val="000000"/>
        </w:rPr>
      </w:pPr>
      <w:r w:rsidRPr="00CF0B4F">
        <w:rPr>
          <w:rFonts w:ascii="Arial" w:hAnsi="Arial" w:cs="Arial"/>
          <w:color w:val="000000"/>
        </w:rPr>
        <w:t>En los últimos años se ha producido un creciente interés por el desarrollo de nuevos métodos que conduzcan a la destrucción de determinados contaminantes del agua o del aire. Uno de los procesos que ha recibido mayor atención, es el basado en la acción de la radiación ultravioleta sobre partículas sólidas de un semiconductor (generalmente, dióxido de titanio). La acción combinada de la radiación UV y el fotocatalizador, en presencia de un oxidante (por ejemplo, aire, oxígeno u ozono), permite la transformación de los compuestos orgánicos presentes en el agua contaminada en productos no tóxicos, principalmente agua y dióxido de carbono (mineralización del contaminante).</w:t>
      </w:r>
    </w:p>
    <w:p w:rsidR="00705D32" w:rsidRDefault="00705D32" w:rsidP="00705D32">
      <w:pPr>
        <w:numPr>
          <w:ilvl w:val="0"/>
          <w:numId w:val="1"/>
        </w:numPr>
        <w:tabs>
          <w:tab w:val="clear" w:pos="432"/>
          <w:tab w:val="num" w:pos="0"/>
        </w:tabs>
        <w:suppressAutoHyphens/>
        <w:spacing w:after="0" w:line="240" w:lineRule="auto"/>
        <w:ind w:left="0" w:firstLine="709"/>
        <w:jc w:val="both"/>
      </w:pPr>
      <w:r>
        <w:rPr>
          <w:rFonts w:ascii="Arial" w:hAnsi="Arial" w:cs="Arial"/>
        </w:rPr>
        <w:t xml:space="preserve">El rendimiento cuántico se puede determinar </w:t>
      </w:r>
      <w:r w:rsidRPr="00172D85">
        <w:rPr>
          <w:rFonts w:ascii="Arial" w:hAnsi="Arial" w:cs="Arial"/>
        </w:rPr>
        <w:t>cuándo las distribuciones espaciales y direccionales de intensidades de radiación se conocen</w:t>
      </w:r>
      <w:r>
        <w:rPr>
          <w:rFonts w:ascii="Arial" w:hAnsi="Arial" w:cs="Arial"/>
        </w:rPr>
        <w:t xml:space="preserve"> en la suspensión</w:t>
      </w:r>
      <w:r w:rsidRPr="00172D85">
        <w:rPr>
          <w:rFonts w:ascii="Arial" w:hAnsi="Arial" w:cs="Arial"/>
        </w:rPr>
        <w:t>, resolviendo en parte el problema de la velocidad de reacción</w:t>
      </w:r>
      <w:r>
        <w:rPr>
          <w:rFonts w:ascii="Arial" w:hAnsi="Arial" w:cs="Arial"/>
        </w:rPr>
        <w:t xml:space="preserve">. Esta relación es descrita mediante la velocidad de absorción local de fotones (LVRPA) que representa la distribución espacial o disponibilidad fotónica en el reactor. </w:t>
      </w:r>
      <w:r w:rsidRPr="00172D85">
        <w:rPr>
          <w:rFonts w:ascii="Arial" w:hAnsi="Arial" w:cs="Arial"/>
          <w:lang w:eastAsia="es-ES"/>
        </w:rPr>
        <w:t xml:space="preserve">Las ondas electromagnéticas </w:t>
      </w:r>
      <w:r>
        <w:rPr>
          <w:rFonts w:ascii="Arial" w:hAnsi="Arial" w:cs="Arial"/>
          <w:lang w:eastAsia="es-ES"/>
        </w:rPr>
        <w:t xml:space="preserve">(fotones) </w:t>
      </w:r>
      <w:r w:rsidRPr="00172D85">
        <w:rPr>
          <w:rFonts w:ascii="Arial" w:hAnsi="Arial" w:cs="Arial"/>
          <w:lang w:eastAsia="es-ES"/>
        </w:rPr>
        <w:t>que son las encargadas del proceso de activación del catalizador cuando penetran en el medio</w:t>
      </w:r>
      <w:r>
        <w:rPr>
          <w:rFonts w:ascii="Arial" w:hAnsi="Arial" w:cs="Arial"/>
          <w:lang w:eastAsia="es-ES"/>
        </w:rPr>
        <w:t>,</w:t>
      </w:r>
      <w:r w:rsidRPr="00172D85">
        <w:rPr>
          <w:rFonts w:ascii="Arial" w:hAnsi="Arial" w:cs="Arial"/>
          <w:lang w:eastAsia="es-ES"/>
        </w:rPr>
        <w:t xml:space="preserve"> son dispersadas, absorbidas y reflejadas</w:t>
      </w:r>
      <w:r>
        <w:rPr>
          <w:rFonts w:ascii="Arial" w:hAnsi="Arial" w:cs="Arial"/>
          <w:lang w:eastAsia="es-ES"/>
        </w:rPr>
        <w:t xml:space="preserve"> por la suspensión</w:t>
      </w:r>
      <w:r w:rsidRPr="00172D85">
        <w:rPr>
          <w:rFonts w:ascii="Arial" w:hAnsi="Arial" w:cs="Arial"/>
          <w:lang w:eastAsia="es-ES"/>
        </w:rPr>
        <w:t xml:space="preserve">. La descripción de este complejo proceso se realiza mediante un modelo físico matemático, al que se le conoce como </w:t>
      </w:r>
      <w:r>
        <w:rPr>
          <w:rFonts w:ascii="Arial" w:hAnsi="Arial" w:cs="Arial"/>
          <w:lang w:eastAsia="es-ES"/>
        </w:rPr>
        <w:t>e</w:t>
      </w:r>
      <w:r w:rsidRPr="00172D85">
        <w:rPr>
          <w:rFonts w:ascii="Arial" w:hAnsi="Arial" w:cs="Arial"/>
          <w:lang w:eastAsia="es-ES"/>
        </w:rPr>
        <w:t xml:space="preserve">cuación de </w:t>
      </w:r>
      <w:r>
        <w:rPr>
          <w:rFonts w:ascii="Arial" w:hAnsi="Arial" w:cs="Arial"/>
          <w:lang w:eastAsia="es-ES"/>
        </w:rPr>
        <w:t>t</w:t>
      </w:r>
      <w:r w:rsidRPr="00172D85">
        <w:rPr>
          <w:rFonts w:ascii="Arial" w:hAnsi="Arial" w:cs="Arial"/>
          <w:lang w:eastAsia="es-ES"/>
        </w:rPr>
        <w:t>ra</w:t>
      </w:r>
      <w:r>
        <w:rPr>
          <w:rFonts w:ascii="Arial" w:hAnsi="Arial" w:cs="Arial"/>
          <w:lang w:eastAsia="es-ES"/>
        </w:rPr>
        <w:t>n</w:t>
      </w:r>
      <w:r w:rsidRPr="00172D85">
        <w:rPr>
          <w:rFonts w:ascii="Arial" w:hAnsi="Arial" w:cs="Arial"/>
          <w:lang w:eastAsia="es-ES"/>
        </w:rPr>
        <w:t xml:space="preserve">sferencia </w:t>
      </w:r>
      <w:r>
        <w:rPr>
          <w:rFonts w:ascii="Arial" w:hAnsi="Arial" w:cs="Arial"/>
          <w:lang w:eastAsia="es-ES"/>
        </w:rPr>
        <w:t>r</w:t>
      </w:r>
      <w:r w:rsidRPr="00172D85">
        <w:rPr>
          <w:rFonts w:ascii="Arial" w:hAnsi="Arial" w:cs="Arial"/>
          <w:lang w:eastAsia="es-ES"/>
        </w:rPr>
        <w:t>adiactiva (ETR).</w:t>
      </w:r>
      <w:r>
        <w:t xml:space="preserve">         </w:t>
      </w:r>
    </w:p>
    <w:p w:rsidR="00705D32" w:rsidRDefault="00705D32" w:rsidP="00705D32">
      <w:pPr>
        <w:jc w:val="both"/>
        <w:rPr>
          <w:rFonts w:ascii="Arial" w:hAnsi="Arial" w:cs="Arial"/>
        </w:rPr>
      </w:pPr>
      <w:r>
        <w:rPr>
          <w:rFonts w:ascii="Arial" w:hAnsi="Arial" w:cs="Arial"/>
        </w:rPr>
        <w:t>El objetivo del presente escrito es la determinación de la velocidad de absorción fotónica con miras a la escalabilidad del proceso fotocatalítico a la industria. Para tal fin se realiza un análisis de las formas de afrontar el cálculo de la LVRPA.</w:t>
      </w:r>
    </w:p>
    <w:p w:rsidR="00705D32" w:rsidRDefault="00705D32" w:rsidP="00705D32">
      <w:pPr>
        <w:jc w:val="both"/>
        <w:rPr>
          <w:rFonts w:ascii="Arial" w:hAnsi="Arial" w:cs="Arial"/>
        </w:rPr>
      </w:pPr>
    </w:p>
    <w:p w:rsidR="00705D32" w:rsidRDefault="00705D32" w:rsidP="00705D32">
      <w:pPr>
        <w:rPr>
          <w:rFonts w:ascii="Arial" w:hAnsi="Arial" w:cs="Arial"/>
          <w:i/>
        </w:rPr>
      </w:pPr>
      <w:r w:rsidRPr="00AE76CA">
        <w:rPr>
          <w:rFonts w:ascii="Arial" w:hAnsi="Arial" w:cs="Arial"/>
          <w:i/>
        </w:rPr>
        <w:t>2.1 Modelo de dos flujos (TFM)</w:t>
      </w:r>
    </w:p>
    <w:p w:rsidR="00705D32" w:rsidRPr="00AE76CA" w:rsidRDefault="00705D32" w:rsidP="00705D32">
      <w:pPr>
        <w:rPr>
          <w:rFonts w:ascii="Arial" w:hAnsi="Arial" w:cs="Arial"/>
          <w:i/>
        </w:rPr>
      </w:pPr>
    </w:p>
    <w:p w:rsidR="00705D32" w:rsidRPr="00C16191" w:rsidRDefault="00705D32" w:rsidP="00705D32">
      <w:pPr>
        <w:ind w:firstLine="567"/>
        <w:jc w:val="both"/>
        <w:rPr>
          <w:rFonts w:ascii="Arial" w:hAnsi="Arial" w:cs="Arial"/>
        </w:rPr>
      </w:pPr>
      <w:r w:rsidRPr="00C16191">
        <w:rPr>
          <w:rFonts w:ascii="Arial" w:hAnsi="Arial" w:cs="Arial"/>
        </w:rPr>
        <w:lastRenderedPageBreak/>
        <w:t>Cuando un fotón choca con una partícula sólida opaca, puede ser absorbido o dispersado en varias direcciones</w:t>
      </w:r>
      <w:r>
        <w:rPr>
          <w:rFonts w:ascii="Arial" w:hAnsi="Arial" w:cs="Arial"/>
        </w:rPr>
        <w:t xml:space="preserve"> </w:t>
      </w:r>
      <w:r w:rsidRPr="009C60D3">
        <w:rPr>
          <w:rFonts w:ascii="Arial" w:hAnsi="Arial" w:cs="Arial"/>
          <w:vertAlign w:val="superscript"/>
        </w:rPr>
        <w:t>[2]</w:t>
      </w:r>
      <w:r w:rsidRPr="00C16191">
        <w:rPr>
          <w:rFonts w:ascii="Arial" w:hAnsi="Arial" w:cs="Arial"/>
        </w:rPr>
        <w:t>. Si la partícula es op</w:t>
      </w:r>
      <w:r>
        <w:rPr>
          <w:rFonts w:ascii="Arial" w:hAnsi="Arial" w:cs="Arial"/>
        </w:rPr>
        <w:t xml:space="preserve">aca y su superficie una esfera </w:t>
      </w:r>
      <w:r w:rsidRPr="00C16191">
        <w:rPr>
          <w:rFonts w:ascii="Arial" w:hAnsi="Arial" w:cs="Arial"/>
        </w:rPr>
        <w:t xml:space="preserve">la dispersión </w:t>
      </w:r>
      <w:r>
        <w:rPr>
          <w:rFonts w:ascii="Arial" w:hAnsi="Arial" w:cs="Arial"/>
        </w:rPr>
        <w:t xml:space="preserve">es </w:t>
      </w:r>
      <w:r w:rsidRPr="00C16191">
        <w:rPr>
          <w:rFonts w:ascii="Arial" w:hAnsi="Arial" w:cs="Arial"/>
        </w:rPr>
        <w:t xml:space="preserve">difusa, la probabilidad </w:t>
      </w:r>
      <m:oMath>
        <m:r>
          <m:rPr>
            <m:sty m:val="p"/>
          </m:rPr>
          <w:rPr>
            <w:rFonts w:ascii="Cambria Math" w:hAnsi="Cambria Math" w:cs="Arial"/>
          </w:rPr>
          <m:t>Φ</m:t>
        </m:r>
        <m:d>
          <m:dPr>
            <m:ctrlPr>
              <w:rPr>
                <w:rFonts w:ascii="Cambria Math" w:hAnsi="Cambria Math" w:cs="Arial"/>
                <w:i/>
              </w:rPr>
            </m:ctrlPr>
          </m:dPr>
          <m:e>
            <m:r>
              <w:rPr>
                <w:rFonts w:ascii="Cambria Math" w:hAnsi="Cambria Math" w:cs="Arial"/>
              </w:rPr>
              <m:t>φ</m:t>
            </m:r>
          </m:e>
        </m:d>
        <m:r>
          <w:rPr>
            <w:rFonts w:ascii="Cambria Math" w:hAnsi="Cambria Math" w:cs="Arial"/>
          </w:rPr>
          <m:t xml:space="preserve"> </m:t>
        </m:r>
      </m:oMath>
      <w:r w:rsidRPr="00C16191">
        <w:rPr>
          <w:rFonts w:ascii="Arial" w:hAnsi="Arial" w:cs="Arial"/>
        </w:rPr>
        <w:t xml:space="preserve">de </w:t>
      </w:r>
      <w:r>
        <w:rPr>
          <w:rFonts w:ascii="Arial" w:hAnsi="Arial" w:cs="Arial"/>
        </w:rPr>
        <w:t>ser</w:t>
      </w:r>
      <w:r w:rsidRPr="00C16191">
        <w:rPr>
          <w:rFonts w:ascii="Arial" w:hAnsi="Arial" w:cs="Arial"/>
        </w:rPr>
        <w:t xml:space="preserve"> disperso en una dirección que forma un ángulo de </w:t>
      </w:r>
      <m:oMath>
        <m:r>
          <w:rPr>
            <w:rFonts w:ascii="Cambria Math" w:hAnsi="Cambria Math" w:cs="Arial"/>
          </w:rPr>
          <m:t>φ</m:t>
        </m:r>
      </m:oMath>
      <w:r w:rsidRPr="00C16191">
        <w:rPr>
          <w:rFonts w:ascii="Arial" w:hAnsi="Arial" w:cs="Arial"/>
        </w:rPr>
        <w:t xml:space="preserve"> con la dirección incidente</w:t>
      </w:r>
      <w:r w:rsidRPr="009C60D3">
        <w:rPr>
          <w:rFonts w:ascii="Arial" w:hAnsi="Arial" w:cs="Arial"/>
          <w:vertAlign w:val="superscript"/>
        </w:rPr>
        <w:t>[3]</w:t>
      </w:r>
      <w:r w:rsidRPr="00C16191">
        <w:rPr>
          <w:rFonts w:ascii="Arial" w:hAnsi="Arial" w:cs="Arial"/>
        </w:rPr>
        <w:t xml:space="preserve">, está </w:t>
      </w:r>
      <w:r>
        <w:rPr>
          <w:rFonts w:ascii="Arial" w:hAnsi="Arial" w:cs="Arial"/>
        </w:rPr>
        <w:t xml:space="preserve">dada por Ec. 1 </w:t>
      </w:r>
    </w:p>
    <w:tbl>
      <w:tblPr>
        <w:tblW w:w="0" w:type="auto"/>
        <w:jc w:val="center"/>
        <w:tblLook w:val="04A0" w:firstRow="1" w:lastRow="0" w:firstColumn="1" w:lastColumn="0" w:noHBand="0" w:noVBand="1"/>
      </w:tblPr>
      <w:tblGrid>
        <w:gridCol w:w="8189"/>
        <w:gridCol w:w="649"/>
      </w:tblGrid>
      <w:tr w:rsidR="00705D32" w:rsidRPr="00C16191" w:rsidTr="00B81843">
        <w:trPr>
          <w:jc w:val="center"/>
        </w:trPr>
        <w:tc>
          <w:tcPr>
            <w:tcW w:w="8189" w:type="dxa"/>
            <w:shd w:val="clear" w:color="auto" w:fill="auto"/>
          </w:tcPr>
          <w:p w:rsidR="00705D32" w:rsidRPr="00705D32" w:rsidRDefault="00705D32" w:rsidP="00B81843">
            <w:pPr>
              <w:jc w:val="center"/>
              <w:rPr>
                <w:rFonts w:ascii="Arial" w:hAnsi="Arial" w:cs="Arial"/>
              </w:rPr>
            </w:pPr>
            <m:oMathPara>
              <m:oMathParaPr>
                <m:jc m:val="center"/>
              </m:oMathParaPr>
              <m:oMath>
                <m:r>
                  <m:rPr>
                    <m:sty m:val="p"/>
                  </m:rPr>
                  <w:rPr>
                    <w:rFonts w:ascii="Cambria Math" w:hAnsi="Cambria Math" w:cs="Arial"/>
                  </w:rPr>
                  <m:t>Φ</m:t>
                </m:r>
                <m:d>
                  <m:dPr>
                    <m:ctrlPr>
                      <w:rPr>
                        <w:rFonts w:ascii="Cambria Math" w:hAnsi="Cambria Math" w:cs="Arial"/>
                        <w:i/>
                      </w:rPr>
                    </m:ctrlPr>
                  </m:dPr>
                  <m:e>
                    <m:r>
                      <w:rPr>
                        <w:rFonts w:ascii="Cambria Math" w:hAnsi="Cambria Math" w:cs="Arial"/>
                      </w:rPr>
                      <m:t>φ</m:t>
                    </m:r>
                  </m:e>
                </m:d>
                <m:r>
                  <w:rPr>
                    <w:rFonts w:ascii="Cambria Math" w:hAnsi="Cambria Math" w:cs="Arial"/>
                  </w:rPr>
                  <m:t>=</m:t>
                </m:r>
                <m:f>
                  <m:fPr>
                    <m:ctrlPr>
                      <w:rPr>
                        <w:rFonts w:ascii="Cambria Math" w:hAnsi="Cambria Math" w:cs="Arial"/>
                        <w:i/>
                      </w:rPr>
                    </m:ctrlPr>
                  </m:fPr>
                  <m:num>
                    <m:r>
                      <w:rPr>
                        <w:rFonts w:ascii="Cambria Math" w:hAnsi="Cambria Math" w:cs="Arial"/>
                      </w:rPr>
                      <m:t>8</m:t>
                    </m:r>
                  </m:num>
                  <m:den>
                    <m:r>
                      <w:rPr>
                        <w:rFonts w:ascii="Cambria Math" w:hAnsi="Cambria Math" w:cs="Arial"/>
                      </w:rPr>
                      <m:t>3π</m:t>
                    </m:r>
                  </m:den>
                </m:f>
                <m:d>
                  <m:dPr>
                    <m:begChr m:val="{"/>
                    <m:endChr m:val="}"/>
                    <m:ctrlPr>
                      <w:rPr>
                        <w:rFonts w:ascii="Cambria Math" w:hAnsi="Cambria Math" w:cs="Arial"/>
                        <w:i/>
                      </w:rPr>
                    </m:ctrlPr>
                  </m:dPr>
                  <m:e>
                    <m:r>
                      <w:rPr>
                        <w:rFonts w:ascii="Cambria Math" w:hAnsi="Cambria Math" w:cs="Arial"/>
                      </w:rPr>
                      <m:t>sen</m:t>
                    </m:r>
                    <m:d>
                      <m:dPr>
                        <m:ctrlPr>
                          <w:rPr>
                            <w:rFonts w:ascii="Cambria Math" w:hAnsi="Cambria Math" w:cs="Arial"/>
                            <w:i/>
                          </w:rPr>
                        </m:ctrlPr>
                      </m:dPr>
                      <m:e>
                        <m:r>
                          <w:rPr>
                            <w:rFonts w:ascii="Cambria Math" w:hAnsi="Cambria Math" w:cs="Arial"/>
                          </w:rPr>
                          <m:t>φ</m:t>
                        </m:r>
                      </m:e>
                    </m:d>
                    <m:r>
                      <w:rPr>
                        <w:rFonts w:ascii="Cambria Math" w:hAnsi="Cambria Math" w:cs="Arial"/>
                      </w:rPr>
                      <m:t>-φcos</m:t>
                    </m:r>
                    <m:d>
                      <m:dPr>
                        <m:ctrlPr>
                          <w:rPr>
                            <w:rFonts w:ascii="Cambria Math" w:hAnsi="Cambria Math" w:cs="Arial"/>
                            <w:i/>
                          </w:rPr>
                        </m:ctrlPr>
                      </m:dPr>
                      <m:e>
                        <m:r>
                          <w:rPr>
                            <w:rFonts w:ascii="Cambria Math" w:hAnsi="Cambria Math" w:cs="Arial"/>
                          </w:rPr>
                          <m:t>φ</m:t>
                        </m:r>
                      </m:e>
                    </m:d>
                  </m:e>
                </m:d>
              </m:oMath>
            </m:oMathPara>
          </w:p>
        </w:tc>
        <w:tc>
          <w:tcPr>
            <w:tcW w:w="649" w:type="dxa"/>
            <w:shd w:val="clear" w:color="auto" w:fill="auto"/>
          </w:tcPr>
          <w:p w:rsidR="00705D32" w:rsidRPr="0052084F" w:rsidRDefault="00705D32" w:rsidP="00B81843">
            <w:pPr>
              <w:jc w:val="both"/>
              <w:rPr>
                <w:rFonts w:ascii="Arial" w:hAnsi="Arial" w:cs="Arial"/>
              </w:rPr>
            </w:pPr>
            <w:r w:rsidRPr="0052084F">
              <w:rPr>
                <w:rFonts w:ascii="Arial" w:hAnsi="Arial" w:cs="Arial"/>
              </w:rPr>
              <w:t>(1)</w:t>
            </w:r>
          </w:p>
        </w:tc>
      </w:tr>
    </w:tbl>
    <w:p w:rsidR="00705D32" w:rsidRDefault="00705D32" w:rsidP="00705D32">
      <w:pPr>
        <w:jc w:val="both"/>
        <w:rPr>
          <w:rFonts w:ascii="Arial" w:hAnsi="Arial" w:cs="Arial"/>
          <w:i/>
        </w:rPr>
      </w:pPr>
    </w:p>
    <w:p w:rsidR="00705D32" w:rsidRPr="00AE76CA" w:rsidRDefault="00705D32" w:rsidP="00705D32">
      <w:pPr>
        <w:jc w:val="both"/>
        <w:rPr>
          <w:rStyle w:val="apple-style-span"/>
          <w:rFonts w:ascii="Arial" w:hAnsi="Arial" w:cs="Arial"/>
          <w:i/>
          <w:shd w:val="clear" w:color="auto" w:fill="FFFFFF"/>
        </w:rPr>
      </w:pPr>
      <w:r w:rsidRPr="00AE76CA">
        <w:rPr>
          <w:rFonts w:ascii="Arial" w:hAnsi="Arial" w:cs="Arial"/>
          <w:i/>
        </w:rPr>
        <w:t>2.2 Modelo de seis flujos (SFM)</w:t>
      </w:r>
    </w:p>
    <w:p w:rsidR="00705D32" w:rsidRDefault="00705D32" w:rsidP="00705D32">
      <w:pPr>
        <w:jc w:val="both"/>
        <w:rPr>
          <w:rStyle w:val="apple-style-span"/>
          <w:rFonts w:ascii="Arial" w:hAnsi="Arial" w:cs="Arial"/>
          <w:shd w:val="clear" w:color="auto" w:fill="FFFFFF"/>
        </w:rPr>
      </w:pPr>
    </w:p>
    <w:p w:rsidR="00705D32" w:rsidRDefault="00705D32" w:rsidP="00705D32">
      <w:pPr>
        <w:ind w:firstLine="567"/>
        <w:jc w:val="both"/>
        <w:rPr>
          <w:rStyle w:val="apple-converted-space"/>
          <w:rFonts w:ascii="Arial" w:hAnsi="Arial" w:cs="Arial"/>
          <w:shd w:val="clear" w:color="auto" w:fill="FFFFFF"/>
        </w:rPr>
      </w:pPr>
      <w:r w:rsidRPr="006F54C3">
        <w:rPr>
          <w:rStyle w:val="apple-style-span"/>
          <w:rFonts w:ascii="Arial" w:hAnsi="Arial" w:cs="Arial"/>
          <w:shd w:val="clear" w:color="auto" w:fill="FFFFFF"/>
        </w:rPr>
        <w:t xml:space="preserve">Con el fin de superar las limitaciones observadas </w:t>
      </w:r>
      <w:r>
        <w:rPr>
          <w:rStyle w:val="apple-style-span"/>
          <w:rFonts w:ascii="Arial" w:hAnsi="Arial" w:cs="Arial"/>
          <w:shd w:val="clear" w:color="auto" w:fill="FFFFFF"/>
        </w:rPr>
        <w:t>en el</w:t>
      </w:r>
      <w:r w:rsidRPr="006F54C3">
        <w:rPr>
          <w:rStyle w:val="apple-style-span"/>
          <w:rFonts w:ascii="Arial" w:hAnsi="Arial" w:cs="Arial"/>
          <w:shd w:val="clear" w:color="auto" w:fill="FFFFFF"/>
        </w:rPr>
        <w:t xml:space="preserve"> TFM, </w:t>
      </w:r>
      <w:r>
        <w:rPr>
          <w:rStyle w:val="apple-style-span"/>
          <w:rFonts w:ascii="Arial" w:hAnsi="Arial" w:cs="Arial"/>
          <w:shd w:val="clear" w:color="auto" w:fill="FFFFFF"/>
        </w:rPr>
        <w:t xml:space="preserve">fue creado </w:t>
      </w:r>
      <w:r w:rsidRPr="006F54C3">
        <w:rPr>
          <w:rStyle w:val="apple-style-span"/>
          <w:rFonts w:ascii="Arial" w:hAnsi="Arial" w:cs="Arial"/>
          <w:shd w:val="clear" w:color="auto" w:fill="FFFFFF"/>
        </w:rPr>
        <w:t xml:space="preserve">un </w:t>
      </w:r>
      <w:r>
        <w:rPr>
          <w:rStyle w:val="apple-style-span"/>
          <w:rFonts w:ascii="Arial" w:hAnsi="Arial" w:cs="Arial"/>
          <w:shd w:val="clear" w:color="auto" w:fill="FFFFFF"/>
        </w:rPr>
        <w:t>nuevo modelo</w:t>
      </w:r>
      <w:r w:rsidRPr="006F54C3">
        <w:rPr>
          <w:rStyle w:val="apple-style-span"/>
          <w:rFonts w:ascii="Arial" w:hAnsi="Arial" w:cs="Arial"/>
          <w:shd w:val="clear" w:color="auto" w:fill="FFFFFF"/>
        </w:rPr>
        <w:t>,</w:t>
      </w:r>
      <w:r>
        <w:rPr>
          <w:rStyle w:val="apple-style-span"/>
          <w:rFonts w:ascii="Arial" w:hAnsi="Arial" w:cs="Arial"/>
          <w:shd w:val="clear" w:color="auto" w:fill="FFFFFF"/>
        </w:rPr>
        <w:t xml:space="preserve"> en éste se supone que </w:t>
      </w:r>
      <w:r w:rsidRPr="006F54C3">
        <w:rPr>
          <w:rStyle w:val="apple-style-span"/>
          <w:rFonts w:ascii="Arial" w:hAnsi="Arial" w:cs="Arial"/>
          <w:shd w:val="clear" w:color="auto" w:fill="FFFFFF"/>
        </w:rPr>
        <w:t xml:space="preserve">los fotones </w:t>
      </w:r>
      <w:r>
        <w:rPr>
          <w:rStyle w:val="apple-style-span"/>
          <w:rFonts w:ascii="Arial" w:hAnsi="Arial" w:cs="Arial"/>
          <w:shd w:val="clear" w:color="auto" w:fill="FFFFFF"/>
        </w:rPr>
        <w:t>serán dispersados</w:t>
      </w:r>
      <w:r w:rsidRPr="006F54C3">
        <w:rPr>
          <w:rStyle w:val="apple-style-span"/>
          <w:rFonts w:ascii="Arial" w:hAnsi="Arial" w:cs="Arial"/>
          <w:shd w:val="clear" w:color="auto" w:fill="FFFFFF"/>
        </w:rPr>
        <w:t xml:space="preserve"> en cualquiera de las seis direcciones principales con respecto a la radiación entrante</w:t>
      </w:r>
      <w:r>
        <w:rPr>
          <w:rStyle w:val="apple-style-span"/>
          <w:rFonts w:ascii="Arial" w:hAnsi="Arial" w:cs="Arial"/>
          <w:shd w:val="clear" w:color="auto" w:fill="FFFFFF"/>
        </w:rPr>
        <w:t xml:space="preserve"> ver Figura 1</w:t>
      </w:r>
      <w:r w:rsidRPr="006F54C3">
        <w:rPr>
          <w:rStyle w:val="apple-converted-space"/>
          <w:rFonts w:ascii="Arial" w:hAnsi="Arial" w:cs="Arial"/>
          <w:shd w:val="clear" w:color="auto" w:fill="FFFFFF"/>
        </w:rPr>
        <w:t> </w:t>
      </w:r>
      <w:r>
        <w:rPr>
          <w:rStyle w:val="apple-converted-space"/>
          <w:rFonts w:ascii="Arial" w:hAnsi="Arial" w:cs="Arial"/>
          <w:shd w:val="clear" w:color="auto" w:fill="FFFFFF"/>
        </w:rPr>
        <w:t>y se consideran sus seis flujos [</w:t>
      </w:r>
      <w:r w:rsidRPr="003A5317">
        <w:rPr>
          <w:rStyle w:val="apple-converted-space"/>
          <w:rFonts w:ascii="Arial" w:hAnsi="Arial" w:cs="Arial"/>
          <w:shd w:val="clear" w:color="auto" w:fill="FFFFFF"/>
        </w:rPr>
        <w:t>4</w:t>
      </w:r>
      <w:r>
        <w:rPr>
          <w:rStyle w:val="apple-converted-space"/>
          <w:rFonts w:ascii="Arial" w:hAnsi="Arial" w:cs="Arial"/>
          <w:shd w:val="clear" w:color="auto" w:fill="FFFFFF"/>
        </w:rPr>
        <w:t>].</w:t>
      </w:r>
    </w:p>
    <w:p w:rsidR="00705D32" w:rsidRDefault="00705D32" w:rsidP="00705D32">
      <w:pPr>
        <w:jc w:val="center"/>
        <w:rPr>
          <w:rStyle w:val="apple-converted-space"/>
          <w:rFonts w:ascii="Arial" w:hAnsi="Arial" w:cs="Arial"/>
          <w:shd w:val="clear" w:color="auto" w:fill="FFFFFF"/>
        </w:rPr>
      </w:pPr>
      <w:r w:rsidRPr="00BD06F7">
        <w:rPr>
          <w:rFonts w:ascii="Arial" w:hAnsi="Arial" w:cs="Arial"/>
          <w:noProof/>
          <w:shd w:val="clear" w:color="auto" w:fill="FFFFFF"/>
          <w:lang w:val="en-US"/>
        </w:rPr>
        <w:drawing>
          <wp:inline distT="0" distB="0" distL="0" distR="0" wp14:anchorId="7278FE8A" wp14:editId="26C9D7CA">
            <wp:extent cx="4638675" cy="2247900"/>
            <wp:effectExtent l="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638675" cy="2247900"/>
                    </a:xfrm>
                    <a:prstGeom prst="rect">
                      <a:avLst/>
                    </a:prstGeom>
                    <a:noFill/>
                    <a:ln>
                      <a:noFill/>
                    </a:ln>
                  </pic:spPr>
                </pic:pic>
              </a:graphicData>
            </a:graphic>
          </wp:inline>
        </w:drawing>
      </w:r>
    </w:p>
    <w:p w:rsidR="00705D32" w:rsidRDefault="00705D32" w:rsidP="00705D32">
      <w:pPr>
        <w:jc w:val="center"/>
        <w:rPr>
          <w:rStyle w:val="apple-converted-space"/>
          <w:rFonts w:ascii="Arial" w:hAnsi="Arial" w:cs="Arial"/>
          <w:shd w:val="clear" w:color="auto" w:fill="FFFFFF"/>
        </w:rPr>
      </w:pPr>
      <w:r w:rsidRPr="00CD649B">
        <w:rPr>
          <w:rFonts w:ascii="Arial" w:hAnsi="Arial" w:cs="Arial"/>
          <w:sz w:val="20"/>
          <w:szCs w:val="20"/>
        </w:rPr>
        <w:t xml:space="preserve">Figura </w:t>
      </w:r>
      <w:r>
        <w:rPr>
          <w:rFonts w:ascii="Arial" w:hAnsi="Arial" w:cs="Arial"/>
          <w:sz w:val="20"/>
          <w:szCs w:val="20"/>
        </w:rPr>
        <w:t>1</w:t>
      </w:r>
      <w:r w:rsidRPr="00CD649B">
        <w:rPr>
          <w:rFonts w:ascii="Arial" w:hAnsi="Arial" w:cs="Arial"/>
          <w:sz w:val="20"/>
          <w:szCs w:val="20"/>
        </w:rPr>
        <w:t xml:space="preserve">. </w:t>
      </w:r>
      <w:r>
        <w:rPr>
          <w:rFonts w:ascii="Arial" w:hAnsi="Arial" w:cs="Arial"/>
          <w:sz w:val="20"/>
          <w:szCs w:val="20"/>
        </w:rPr>
        <w:t xml:space="preserve">a). </w:t>
      </w:r>
      <w:r w:rsidRPr="00CD649B">
        <w:rPr>
          <w:rFonts w:ascii="Arial" w:hAnsi="Arial" w:cs="Arial"/>
          <w:sz w:val="20"/>
          <w:szCs w:val="20"/>
        </w:rPr>
        <w:t>Representación de flujos dispersados en las</w:t>
      </w:r>
      <w:r>
        <w:rPr>
          <w:rFonts w:ascii="Arial" w:hAnsi="Arial" w:cs="Arial"/>
          <w:sz w:val="20"/>
          <w:szCs w:val="20"/>
        </w:rPr>
        <w:t xml:space="preserve"> seis </w:t>
      </w:r>
      <w:r w:rsidRPr="00CD649B">
        <w:rPr>
          <w:rFonts w:ascii="Arial" w:hAnsi="Arial" w:cs="Arial"/>
          <w:sz w:val="20"/>
          <w:szCs w:val="20"/>
        </w:rPr>
        <w:t>direcciones</w:t>
      </w:r>
      <w:r>
        <w:rPr>
          <w:rFonts w:ascii="Arial" w:hAnsi="Arial" w:cs="Arial"/>
          <w:sz w:val="20"/>
          <w:szCs w:val="20"/>
        </w:rPr>
        <w:t xml:space="preserve"> (SFM) respecto a la partícula. b) </w:t>
      </w:r>
      <w:r w:rsidRPr="00891266">
        <w:rPr>
          <w:rStyle w:val="apple-converted-space"/>
          <w:rFonts w:ascii="Arial" w:hAnsi="Arial" w:cs="Arial"/>
          <w:sz w:val="20"/>
          <w:szCs w:val="20"/>
        </w:rPr>
        <w:t>Modelo diferencial para el balance de energía radiante</w:t>
      </w:r>
      <w:r>
        <w:rPr>
          <w:rStyle w:val="apple-converted-space"/>
          <w:rFonts w:ascii="Arial" w:hAnsi="Arial" w:cs="Arial"/>
          <w:sz w:val="20"/>
          <w:szCs w:val="20"/>
        </w:rPr>
        <w:t>.</w:t>
      </w:r>
      <w:r>
        <w:rPr>
          <w:rFonts w:ascii="Arial" w:hAnsi="Arial" w:cs="Arial"/>
          <w:sz w:val="20"/>
          <w:szCs w:val="20"/>
        </w:rPr>
        <w:t xml:space="preserve">[4]. </w:t>
      </w:r>
    </w:p>
    <w:p w:rsidR="00705D32" w:rsidRDefault="00705D32" w:rsidP="00705D32">
      <w:pPr>
        <w:autoSpaceDE w:val="0"/>
        <w:autoSpaceDN w:val="0"/>
        <w:adjustRightInd w:val="0"/>
        <w:jc w:val="both"/>
        <w:rPr>
          <w:rFonts w:ascii="Arial" w:hAnsi="Arial" w:cs="Arial"/>
          <w:b/>
        </w:rPr>
      </w:pPr>
    </w:p>
    <w:p w:rsidR="00705D32" w:rsidRDefault="00705D32" w:rsidP="00705D32">
      <w:pPr>
        <w:autoSpaceDE w:val="0"/>
        <w:autoSpaceDN w:val="0"/>
        <w:adjustRightInd w:val="0"/>
        <w:ind w:left="567"/>
        <w:jc w:val="both"/>
        <w:rPr>
          <w:rFonts w:ascii="Arial" w:hAnsi="Arial" w:cs="Arial"/>
          <w:b/>
        </w:rPr>
      </w:pPr>
    </w:p>
    <w:p w:rsidR="00705D32" w:rsidRDefault="00705D32" w:rsidP="00705D32">
      <w:pPr>
        <w:autoSpaceDE w:val="0"/>
        <w:autoSpaceDN w:val="0"/>
        <w:adjustRightInd w:val="0"/>
        <w:ind w:left="567"/>
        <w:jc w:val="both"/>
        <w:rPr>
          <w:rFonts w:ascii="Arial" w:hAnsi="Arial" w:cs="Arial"/>
          <w:b/>
        </w:rPr>
      </w:pPr>
      <w:r>
        <w:rPr>
          <w:rFonts w:ascii="Arial" w:hAnsi="Arial" w:cs="Arial"/>
          <w:b/>
        </w:rPr>
        <w:t>3. Resultados y discusión</w:t>
      </w:r>
    </w:p>
    <w:p w:rsidR="00705D32" w:rsidRDefault="00705D32" w:rsidP="00705D32">
      <w:pPr>
        <w:autoSpaceDE w:val="0"/>
        <w:autoSpaceDN w:val="0"/>
        <w:adjustRightInd w:val="0"/>
        <w:jc w:val="both"/>
        <w:rPr>
          <w:rFonts w:ascii="Arial" w:hAnsi="Arial" w:cs="Arial"/>
          <w:b/>
        </w:rPr>
      </w:pPr>
    </w:p>
    <w:p w:rsidR="00705D32" w:rsidRPr="00AE76CA" w:rsidRDefault="00705D32" w:rsidP="00705D32">
      <w:pPr>
        <w:autoSpaceDE w:val="0"/>
        <w:autoSpaceDN w:val="0"/>
        <w:adjustRightInd w:val="0"/>
        <w:jc w:val="both"/>
        <w:rPr>
          <w:rFonts w:ascii="Arial" w:hAnsi="Arial" w:cs="Arial"/>
          <w:i/>
        </w:rPr>
      </w:pPr>
      <w:r w:rsidRPr="00AE76CA">
        <w:rPr>
          <w:rFonts w:ascii="Arial" w:hAnsi="Arial" w:cs="Arial"/>
          <w:i/>
        </w:rPr>
        <w:t>3.1 Formulación del modelo de LVRPA</w:t>
      </w:r>
    </w:p>
    <w:p w:rsidR="00705D32" w:rsidRDefault="00705D32" w:rsidP="00705D32">
      <w:pPr>
        <w:autoSpaceDE w:val="0"/>
        <w:autoSpaceDN w:val="0"/>
        <w:adjustRightInd w:val="0"/>
        <w:jc w:val="both"/>
        <w:rPr>
          <w:rFonts w:ascii="Arial" w:hAnsi="Arial" w:cs="Arial"/>
        </w:rPr>
      </w:pPr>
    </w:p>
    <w:p w:rsidR="00705D32" w:rsidRDefault="00705D32" w:rsidP="00705D32">
      <w:pPr>
        <w:autoSpaceDE w:val="0"/>
        <w:autoSpaceDN w:val="0"/>
        <w:adjustRightInd w:val="0"/>
        <w:ind w:firstLine="567"/>
        <w:jc w:val="both"/>
        <w:rPr>
          <w:rFonts w:ascii="Arial" w:hAnsi="Arial" w:cs="Arial"/>
        </w:rPr>
      </w:pPr>
      <w:r w:rsidRPr="00373468">
        <w:rPr>
          <w:rFonts w:ascii="Arial" w:hAnsi="Arial" w:cs="Arial"/>
        </w:rPr>
        <w:t xml:space="preserve">Se utilizó el enfoque de seis flujos SFM para la elaboración del modelo de la LVRPA </w:t>
      </w:r>
      <w:r>
        <w:rPr>
          <w:rFonts w:ascii="Arial" w:hAnsi="Arial" w:cs="Arial"/>
        </w:rPr>
        <w:t xml:space="preserve">(Local Volumetric Rate Photonic Absortion) </w:t>
      </w:r>
      <w:r w:rsidRPr="00373468">
        <w:rPr>
          <w:rFonts w:ascii="Arial" w:hAnsi="Arial" w:cs="Arial"/>
        </w:rPr>
        <w:t>propuesto. Utilizando la teoría e</w:t>
      </w:r>
      <w:r>
        <w:rPr>
          <w:rFonts w:ascii="Arial" w:hAnsi="Arial" w:cs="Arial"/>
        </w:rPr>
        <w:t>lectromagnética se presentó una</w:t>
      </w:r>
      <w:r w:rsidRPr="00373468">
        <w:rPr>
          <w:rFonts w:ascii="Arial" w:hAnsi="Arial" w:cs="Arial"/>
        </w:rPr>
        <w:t xml:space="preserve"> </w:t>
      </w:r>
      <w:r w:rsidRPr="00373468">
        <w:rPr>
          <w:rFonts w:ascii="Arial" w:hAnsi="Arial" w:cs="Arial"/>
        </w:rPr>
        <w:lastRenderedPageBreak/>
        <w:t xml:space="preserve">forma de establecer la LVRPA a partir de las características del medio y de la frecuencia de los rayos </w:t>
      </w:r>
      <w:r>
        <w:rPr>
          <w:rFonts w:ascii="Arial" w:hAnsi="Arial" w:cs="Arial"/>
        </w:rPr>
        <w:t>incidentes sobre el medio participante</w:t>
      </w:r>
      <w:r w:rsidRPr="00373468">
        <w:rPr>
          <w:rFonts w:ascii="Arial" w:hAnsi="Arial" w:cs="Arial"/>
        </w:rPr>
        <w:t xml:space="preserve">, los cuales corresponden a los rayos reflejados por la superficie reflectante del </w:t>
      </w:r>
      <w:r>
        <w:rPr>
          <w:rFonts w:ascii="Arial" w:hAnsi="Arial" w:cs="Arial"/>
        </w:rPr>
        <w:t>colector</w:t>
      </w:r>
      <w:r w:rsidRPr="00373468">
        <w:rPr>
          <w:rFonts w:ascii="Arial" w:hAnsi="Arial" w:cs="Arial"/>
        </w:rPr>
        <w:t>.</w:t>
      </w:r>
    </w:p>
    <w:p w:rsidR="00705D32" w:rsidRDefault="00705D32" w:rsidP="00705D32">
      <w:pPr>
        <w:jc w:val="both"/>
        <w:rPr>
          <w:rFonts w:ascii="Arial" w:eastAsia="Times New Roman" w:hAnsi="Arial" w:cs="Arial"/>
        </w:rPr>
      </w:pPr>
    </w:p>
    <w:p w:rsidR="00705D32" w:rsidRDefault="00705D32" w:rsidP="00705D32">
      <w:pPr>
        <w:jc w:val="both"/>
        <w:rPr>
          <w:rFonts w:ascii="Arial" w:eastAsia="Times New Roman" w:hAnsi="Arial" w:cs="Arial"/>
        </w:rPr>
      </w:pPr>
      <w:r>
        <w:rPr>
          <w:rFonts w:ascii="Arial" w:eastAsia="Times New Roman" w:hAnsi="Arial" w:cs="Arial"/>
        </w:rPr>
        <w:t>C</w:t>
      </w:r>
      <w:r w:rsidRPr="00C76117">
        <w:rPr>
          <w:rFonts w:ascii="Arial" w:eastAsia="Times New Roman" w:hAnsi="Arial" w:cs="Arial"/>
        </w:rPr>
        <w:t xml:space="preserve">on el fin de delimitar el estudio, </w:t>
      </w:r>
      <w:r>
        <w:rPr>
          <w:rFonts w:ascii="Arial" w:eastAsia="Times New Roman" w:hAnsi="Arial" w:cs="Arial"/>
        </w:rPr>
        <w:t>(ver Figura 2), se realizaron las siguientes simplificaciones para llegar al modelo:</w:t>
      </w:r>
      <w:r w:rsidRPr="00C76117">
        <w:rPr>
          <w:rFonts w:ascii="Arial" w:eastAsia="Times New Roman" w:hAnsi="Arial" w:cs="Arial"/>
        </w:rPr>
        <w:t xml:space="preserve"> </w:t>
      </w:r>
    </w:p>
    <w:p w:rsidR="00705D32" w:rsidRPr="00C76117" w:rsidRDefault="00705D32" w:rsidP="00705D32">
      <w:pPr>
        <w:jc w:val="both"/>
        <w:rPr>
          <w:rFonts w:ascii="Arial" w:eastAsia="Times New Roman" w:hAnsi="Arial" w:cs="Arial"/>
        </w:rPr>
      </w:pPr>
    </w:p>
    <w:p w:rsidR="00705D32" w:rsidRPr="00C76117" w:rsidRDefault="00705D32" w:rsidP="00257D10">
      <w:pPr>
        <w:pStyle w:val="Prrafodelista"/>
        <w:numPr>
          <w:ilvl w:val="0"/>
          <w:numId w:val="24"/>
        </w:numPr>
        <w:spacing w:after="0" w:line="240" w:lineRule="auto"/>
        <w:ind w:left="360"/>
        <w:jc w:val="both"/>
        <w:rPr>
          <w:rFonts w:ascii="Arial" w:hAnsi="Arial" w:cs="Arial"/>
          <w:sz w:val="24"/>
          <w:szCs w:val="24"/>
        </w:rPr>
      </w:pPr>
      <w:r w:rsidRPr="00C76117">
        <w:rPr>
          <w:rFonts w:ascii="Arial" w:hAnsi="Arial" w:cs="Arial"/>
          <w:sz w:val="24"/>
          <w:szCs w:val="24"/>
        </w:rPr>
        <w:t xml:space="preserve">Sistema de </w:t>
      </w:r>
      <w:r>
        <w:rPr>
          <w:rFonts w:ascii="Arial" w:hAnsi="Arial" w:cs="Arial"/>
          <w:sz w:val="24"/>
          <w:szCs w:val="24"/>
        </w:rPr>
        <w:t>c</w:t>
      </w:r>
      <w:r w:rsidRPr="00C76117">
        <w:rPr>
          <w:rFonts w:ascii="Arial" w:hAnsi="Arial" w:cs="Arial"/>
          <w:sz w:val="24"/>
          <w:szCs w:val="24"/>
        </w:rPr>
        <w:t xml:space="preserve">oordenadas </w:t>
      </w:r>
      <w:r>
        <w:rPr>
          <w:rFonts w:ascii="Arial" w:hAnsi="Arial" w:cs="Arial"/>
          <w:sz w:val="24"/>
          <w:szCs w:val="24"/>
        </w:rPr>
        <w:t>c</w:t>
      </w:r>
      <w:r w:rsidRPr="00C76117">
        <w:rPr>
          <w:rFonts w:ascii="Arial" w:hAnsi="Arial" w:cs="Arial"/>
          <w:sz w:val="24"/>
          <w:szCs w:val="24"/>
        </w:rPr>
        <w:t>ilíndricas</w:t>
      </w:r>
      <w:r>
        <w:rPr>
          <w:rFonts w:ascii="Arial" w:hAnsi="Arial" w:cs="Arial"/>
          <w:sz w:val="24"/>
          <w:szCs w:val="24"/>
        </w:rPr>
        <w:t>, describen de la mejor manera el comportamiento de los rayos reflejados por el colector, sobre el tubo cilíndrico de vidrio por el que discurre la suspensión</w:t>
      </w:r>
      <w:r w:rsidRPr="00C76117">
        <w:rPr>
          <w:rFonts w:ascii="Arial" w:hAnsi="Arial" w:cs="Arial"/>
          <w:sz w:val="24"/>
          <w:szCs w:val="24"/>
        </w:rPr>
        <w:t>.</w:t>
      </w:r>
    </w:p>
    <w:p w:rsidR="00705D32" w:rsidRPr="00C76117" w:rsidRDefault="00705D32" w:rsidP="00257D10">
      <w:pPr>
        <w:pStyle w:val="Prrafodelista"/>
        <w:numPr>
          <w:ilvl w:val="0"/>
          <w:numId w:val="24"/>
        </w:numPr>
        <w:spacing w:after="0" w:line="240" w:lineRule="auto"/>
        <w:ind w:left="360"/>
        <w:jc w:val="both"/>
        <w:rPr>
          <w:rFonts w:ascii="Arial" w:hAnsi="Arial" w:cs="Arial"/>
          <w:sz w:val="24"/>
          <w:szCs w:val="24"/>
        </w:rPr>
      </w:pPr>
      <w:r w:rsidRPr="00C76117">
        <w:rPr>
          <w:rFonts w:ascii="Arial" w:hAnsi="Arial" w:cs="Arial"/>
          <w:sz w:val="24"/>
          <w:szCs w:val="24"/>
        </w:rPr>
        <w:t>La dirección de incidencia de los rayos es radial</w:t>
      </w:r>
      <w:r>
        <w:rPr>
          <w:rFonts w:ascii="Arial" w:hAnsi="Arial" w:cs="Arial"/>
          <w:sz w:val="24"/>
          <w:szCs w:val="24"/>
        </w:rPr>
        <w:t xml:space="preserve"> respecto al sistema de coordenadas cilíndrico propuesto ver Figura 2.</w:t>
      </w:r>
    </w:p>
    <w:p w:rsidR="00705D32" w:rsidRPr="00C76117" w:rsidRDefault="00705D32" w:rsidP="00257D10">
      <w:pPr>
        <w:pStyle w:val="Prrafodelista"/>
        <w:numPr>
          <w:ilvl w:val="0"/>
          <w:numId w:val="24"/>
        </w:numPr>
        <w:spacing w:after="0" w:line="240" w:lineRule="auto"/>
        <w:ind w:left="360"/>
        <w:jc w:val="both"/>
        <w:rPr>
          <w:rFonts w:ascii="Arial" w:hAnsi="Arial" w:cs="Arial"/>
          <w:sz w:val="24"/>
          <w:szCs w:val="24"/>
        </w:rPr>
      </w:pPr>
      <w:r w:rsidRPr="00C76117">
        <w:rPr>
          <w:rFonts w:ascii="Arial" w:hAnsi="Arial" w:cs="Arial"/>
          <w:sz w:val="24"/>
          <w:szCs w:val="24"/>
        </w:rPr>
        <w:t xml:space="preserve">Existen </w:t>
      </w:r>
      <w:r w:rsidRPr="00BD06F7">
        <w:rPr>
          <w:rFonts w:ascii="Times New Roman" w:hAnsi="Times New Roman"/>
          <w:i/>
          <w:iCs/>
          <w:sz w:val="24"/>
          <w:szCs w:val="24"/>
        </w:rPr>
        <w:t>n</w:t>
      </w:r>
      <w:r w:rsidRPr="00C76117">
        <w:rPr>
          <w:rFonts w:ascii="Arial" w:hAnsi="Arial" w:cs="Arial"/>
          <w:sz w:val="24"/>
          <w:szCs w:val="24"/>
        </w:rPr>
        <w:t xml:space="preserve"> planos con la misma forma de distribución de partículas.</w:t>
      </w:r>
    </w:p>
    <w:p w:rsidR="00705D32" w:rsidRPr="00C76117" w:rsidRDefault="00705D32" w:rsidP="00257D10">
      <w:pPr>
        <w:numPr>
          <w:ilvl w:val="0"/>
          <w:numId w:val="24"/>
        </w:numPr>
        <w:spacing w:after="0" w:line="240" w:lineRule="auto"/>
        <w:ind w:left="360"/>
        <w:jc w:val="both"/>
        <w:rPr>
          <w:rFonts w:ascii="Arial" w:eastAsia="Times New Roman" w:hAnsi="Arial" w:cs="Arial"/>
        </w:rPr>
      </w:pPr>
      <w:r w:rsidRPr="00C76117">
        <w:rPr>
          <w:rFonts w:ascii="Arial" w:eastAsia="Times New Roman" w:hAnsi="Arial" w:cs="Arial"/>
        </w:rPr>
        <w:t xml:space="preserve">Los rayos incidentes serán reflejados con un ángulo </w:t>
      </w:r>
      <m:oMath>
        <m:r>
          <w:rPr>
            <w:rFonts w:ascii="Cambria Math" w:eastAsia="Times New Roman" w:hAnsi="Cambria Math" w:cs="Arial"/>
          </w:rPr>
          <m:t>θ</m:t>
        </m:r>
      </m:oMath>
      <w:r w:rsidRPr="00C76117">
        <w:rPr>
          <w:rFonts w:ascii="Arial" w:eastAsia="Times New Roman" w:hAnsi="Arial" w:cs="Arial"/>
        </w:rPr>
        <w:t xml:space="preserve"> respecto a la dirección radial.</w:t>
      </w:r>
    </w:p>
    <w:p w:rsidR="00705D32" w:rsidRPr="0002170F" w:rsidRDefault="00705D32" w:rsidP="00257D10">
      <w:pPr>
        <w:pStyle w:val="Prrafodelista"/>
        <w:numPr>
          <w:ilvl w:val="0"/>
          <w:numId w:val="24"/>
        </w:numPr>
        <w:spacing w:after="0" w:line="240" w:lineRule="auto"/>
        <w:ind w:left="360"/>
        <w:jc w:val="both"/>
        <w:rPr>
          <w:rFonts w:ascii="Arial" w:hAnsi="Arial" w:cs="Arial"/>
          <w:sz w:val="24"/>
          <w:szCs w:val="24"/>
        </w:rPr>
      </w:pPr>
      <w:r w:rsidRPr="0002170F">
        <w:rPr>
          <w:rFonts w:ascii="Arial" w:hAnsi="Arial" w:cs="Arial"/>
          <w:sz w:val="24"/>
          <w:szCs w:val="24"/>
        </w:rPr>
        <w:t>El catalizador absorbe toda la radiación local</w:t>
      </w:r>
      <w:r>
        <w:rPr>
          <w:rFonts w:ascii="Arial" w:hAnsi="Arial" w:cs="Arial"/>
          <w:sz w:val="24"/>
          <w:szCs w:val="24"/>
        </w:rPr>
        <w:t>, debido a esto se hace necesario calcular el factor de atenuación de las ondas electromagnéticas en el medio.</w:t>
      </w:r>
    </w:p>
    <w:p w:rsidR="00705D32" w:rsidRPr="00C76117" w:rsidRDefault="00705D32" w:rsidP="00257D10">
      <w:pPr>
        <w:pStyle w:val="Prrafodelista"/>
        <w:numPr>
          <w:ilvl w:val="0"/>
          <w:numId w:val="24"/>
        </w:numPr>
        <w:spacing w:after="0" w:line="240" w:lineRule="auto"/>
        <w:ind w:left="360"/>
        <w:jc w:val="both"/>
        <w:rPr>
          <w:rFonts w:ascii="Arial" w:hAnsi="Arial" w:cs="Arial"/>
          <w:sz w:val="24"/>
          <w:szCs w:val="24"/>
        </w:rPr>
      </w:pPr>
      <w:r w:rsidRPr="00C76117">
        <w:rPr>
          <w:rFonts w:ascii="Arial" w:hAnsi="Arial" w:cs="Arial"/>
          <w:sz w:val="24"/>
          <w:szCs w:val="24"/>
        </w:rPr>
        <w:t>No hay emisión por el sistema heterogéneo</w:t>
      </w:r>
    </w:p>
    <w:p w:rsidR="00705D32" w:rsidRDefault="00705D32" w:rsidP="00705D32">
      <w:pPr>
        <w:autoSpaceDE w:val="0"/>
        <w:autoSpaceDN w:val="0"/>
        <w:adjustRightInd w:val="0"/>
        <w:jc w:val="both"/>
        <w:rPr>
          <w:rFonts w:ascii="Arial" w:hAnsi="Arial" w:cs="Arial"/>
        </w:rPr>
      </w:pPr>
    </w:p>
    <w:p w:rsidR="00705D32" w:rsidRDefault="00705D32" w:rsidP="00705D32">
      <w:pPr>
        <w:jc w:val="center"/>
        <w:rPr>
          <w:rFonts w:ascii="Arial" w:eastAsia="Times New Roman" w:hAnsi="Arial" w:cs="Arial"/>
        </w:rPr>
      </w:pPr>
      <w:r w:rsidRPr="00BD06F7">
        <w:rPr>
          <w:rFonts w:ascii="Arial" w:eastAsia="Times New Roman" w:hAnsi="Arial" w:cs="Arial"/>
          <w:noProof/>
          <w:lang w:val="en-US"/>
        </w:rPr>
        <w:drawing>
          <wp:inline distT="0" distB="0" distL="0" distR="0" wp14:anchorId="28682A57" wp14:editId="3F2D09CC">
            <wp:extent cx="3657600" cy="196215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657600" cy="1962150"/>
                    </a:xfrm>
                    <a:prstGeom prst="rect">
                      <a:avLst/>
                    </a:prstGeom>
                    <a:noFill/>
                    <a:ln>
                      <a:noFill/>
                    </a:ln>
                  </pic:spPr>
                </pic:pic>
              </a:graphicData>
            </a:graphic>
          </wp:inline>
        </w:drawing>
      </w:r>
    </w:p>
    <w:p w:rsidR="00705D32" w:rsidRPr="00CD649B" w:rsidRDefault="00705D32" w:rsidP="00705D32">
      <w:pPr>
        <w:jc w:val="center"/>
        <w:rPr>
          <w:rFonts w:ascii="Arial" w:eastAsia="Times New Roman" w:hAnsi="Arial" w:cs="Arial"/>
          <w:sz w:val="20"/>
          <w:szCs w:val="20"/>
        </w:rPr>
      </w:pPr>
      <w:r w:rsidRPr="00CD649B">
        <w:rPr>
          <w:rFonts w:ascii="Arial" w:eastAsia="Times New Roman" w:hAnsi="Arial" w:cs="Arial"/>
          <w:sz w:val="20"/>
          <w:szCs w:val="20"/>
        </w:rPr>
        <w:t xml:space="preserve">Figura </w:t>
      </w:r>
      <w:r>
        <w:rPr>
          <w:rFonts w:ascii="Arial" w:eastAsia="Times New Roman" w:hAnsi="Arial" w:cs="Arial"/>
          <w:sz w:val="20"/>
          <w:szCs w:val="20"/>
        </w:rPr>
        <w:t>2</w:t>
      </w:r>
      <w:r w:rsidRPr="00CD649B">
        <w:rPr>
          <w:rFonts w:ascii="Arial" w:eastAsia="Times New Roman" w:hAnsi="Arial" w:cs="Arial"/>
          <w:sz w:val="20"/>
          <w:szCs w:val="20"/>
        </w:rPr>
        <w:t>. Representación de los planos en el reactor cilíndrico. Rayos incidentes radiales y distribución del TiO</w:t>
      </w:r>
      <w:r w:rsidRPr="00CD649B">
        <w:rPr>
          <w:rFonts w:ascii="Arial" w:eastAsia="Times New Roman" w:hAnsi="Arial" w:cs="Arial"/>
          <w:sz w:val="20"/>
          <w:szCs w:val="20"/>
          <w:vertAlign w:val="subscript"/>
        </w:rPr>
        <w:t>2</w:t>
      </w:r>
      <w:r>
        <w:rPr>
          <w:rFonts w:ascii="Arial" w:eastAsia="Times New Roman" w:hAnsi="Arial" w:cs="Arial"/>
          <w:sz w:val="20"/>
          <w:szCs w:val="20"/>
        </w:rPr>
        <w:t xml:space="preserve"> </w:t>
      </w:r>
      <w:r w:rsidRPr="00CD649B">
        <w:rPr>
          <w:rFonts w:ascii="Arial" w:eastAsia="Times New Roman" w:hAnsi="Arial" w:cs="Arial"/>
          <w:sz w:val="20"/>
          <w:szCs w:val="20"/>
        </w:rPr>
        <w:t xml:space="preserve">en </w:t>
      </w:r>
      <w:r>
        <w:rPr>
          <w:rFonts w:ascii="Arial" w:eastAsia="Times New Roman" w:hAnsi="Arial" w:cs="Arial"/>
          <w:sz w:val="20"/>
          <w:szCs w:val="20"/>
        </w:rPr>
        <w:t>suspensión</w:t>
      </w:r>
    </w:p>
    <w:p w:rsidR="00705D32" w:rsidRDefault="00705D32" w:rsidP="00705D32">
      <w:pPr>
        <w:autoSpaceDE w:val="0"/>
        <w:autoSpaceDN w:val="0"/>
        <w:adjustRightInd w:val="0"/>
        <w:jc w:val="both"/>
        <w:rPr>
          <w:rFonts w:ascii="Arial" w:hAnsi="Arial" w:cs="Arial"/>
          <w:color w:val="000000"/>
          <w:lang w:eastAsia="es-ES"/>
        </w:rPr>
      </w:pPr>
    </w:p>
    <w:p w:rsidR="00705D32" w:rsidRDefault="00705D32" w:rsidP="00705D32">
      <w:pPr>
        <w:autoSpaceDE w:val="0"/>
        <w:autoSpaceDN w:val="0"/>
        <w:adjustRightInd w:val="0"/>
        <w:jc w:val="both"/>
        <w:rPr>
          <w:rFonts w:ascii="Arial" w:hAnsi="Arial" w:cs="Arial"/>
          <w:color w:val="000000"/>
          <w:lang w:eastAsia="es-ES"/>
        </w:rPr>
      </w:pPr>
      <w:r>
        <w:rPr>
          <w:rFonts w:ascii="Arial" w:hAnsi="Arial" w:cs="Arial"/>
          <w:color w:val="000000"/>
          <w:lang w:eastAsia="es-ES"/>
        </w:rPr>
        <w:t>El procedimiento para la obtención del modelo se describe a continuación:</w:t>
      </w:r>
    </w:p>
    <w:p w:rsidR="00705D32" w:rsidRDefault="00705D32" w:rsidP="00705D32">
      <w:pPr>
        <w:autoSpaceDE w:val="0"/>
        <w:autoSpaceDN w:val="0"/>
        <w:adjustRightInd w:val="0"/>
        <w:jc w:val="both"/>
        <w:rPr>
          <w:rFonts w:ascii="Arial" w:hAnsi="Arial" w:cs="Arial"/>
          <w:color w:val="000000"/>
          <w:lang w:eastAsia="es-ES"/>
        </w:rPr>
      </w:pPr>
    </w:p>
    <w:p w:rsidR="00705D32" w:rsidRDefault="00705D32" w:rsidP="00257D10">
      <w:pPr>
        <w:pStyle w:val="Prrafodelista"/>
        <w:numPr>
          <w:ilvl w:val="0"/>
          <w:numId w:val="25"/>
        </w:numPr>
        <w:autoSpaceDE w:val="0"/>
        <w:autoSpaceDN w:val="0"/>
        <w:adjustRightInd w:val="0"/>
        <w:spacing w:after="0" w:line="240" w:lineRule="auto"/>
        <w:ind w:left="360"/>
        <w:jc w:val="both"/>
        <w:rPr>
          <w:rFonts w:ascii="Arial" w:hAnsi="Arial" w:cs="Arial"/>
          <w:color w:val="000000"/>
          <w:sz w:val="24"/>
          <w:szCs w:val="24"/>
          <w:lang w:eastAsia="es-ES"/>
        </w:rPr>
      </w:pPr>
      <w:r>
        <w:rPr>
          <w:rFonts w:ascii="Arial" w:hAnsi="Arial" w:cs="Arial"/>
          <w:color w:val="000000"/>
          <w:sz w:val="24"/>
          <w:szCs w:val="24"/>
          <w:lang w:eastAsia="es-ES"/>
        </w:rPr>
        <w:t xml:space="preserve">Elección de los modelos de flujos: El modelo de flujos representa una manera de describir la forma en cómo los fotones interactúan con la suspensión. El flujo de fotones fue modelado suponiendo que los fotones interactuando con el medio, presentaban solamente dos direcciones posibles de dispersión (adelante–atrás). El </w:t>
      </w:r>
      <w:r>
        <w:rPr>
          <w:rFonts w:ascii="Arial" w:hAnsi="Arial" w:cs="Arial"/>
          <w:color w:val="000000"/>
          <w:sz w:val="24"/>
          <w:szCs w:val="24"/>
          <w:lang w:eastAsia="es-ES"/>
        </w:rPr>
        <w:lastRenderedPageBreak/>
        <w:t>modelo de seis flujos representa el modelo de dos flujos llevado a tres coordenadas rectangulares de tal manera que existirían seis posibles direcciones de dispersión (seis flujos). Este hecho establece la posibilidad de tener el modelo de seis flujos ya no en coordenadas cartesianas sino en coordenadas cilíndricas.</w:t>
      </w:r>
    </w:p>
    <w:p w:rsidR="00705D32" w:rsidRDefault="00705D32" w:rsidP="00257D10">
      <w:pPr>
        <w:pStyle w:val="Prrafodelista"/>
        <w:numPr>
          <w:ilvl w:val="0"/>
          <w:numId w:val="25"/>
        </w:numPr>
        <w:autoSpaceDE w:val="0"/>
        <w:autoSpaceDN w:val="0"/>
        <w:adjustRightInd w:val="0"/>
        <w:spacing w:after="0" w:line="240" w:lineRule="auto"/>
        <w:ind w:left="360"/>
        <w:jc w:val="both"/>
        <w:rPr>
          <w:rFonts w:ascii="Arial" w:hAnsi="Arial" w:cs="Arial"/>
          <w:color w:val="000000"/>
          <w:sz w:val="24"/>
          <w:szCs w:val="24"/>
          <w:lang w:eastAsia="es-ES"/>
        </w:rPr>
      </w:pPr>
      <w:r>
        <w:rPr>
          <w:rFonts w:ascii="Arial" w:hAnsi="Arial" w:cs="Arial"/>
          <w:color w:val="000000"/>
          <w:sz w:val="24"/>
          <w:szCs w:val="24"/>
          <w:lang w:eastAsia="es-ES"/>
        </w:rPr>
        <w:t>Sustituto de la derivación: Se presentó un desarrollo matemático para establecer el sustituto adecuado a la derivación total (tasa de cambio en una dimensión). Se estableció que el sustituto adecuado para la derivada unidimensional es la divergencia.</w:t>
      </w:r>
    </w:p>
    <w:p w:rsidR="00705D32" w:rsidRDefault="00705D32" w:rsidP="00257D10">
      <w:pPr>
        <w:pStyle w:val="Prrafodelista"/>
        <w:numPr>
          <w:ilvl w:val="0"/>
          <w:numId w:val="25"/>
        </w:numPr>
        <w:autoSpaceDE w:val="0"/>
        <w:autoSpaceDN w:val="0"/>
        <w:adjustRightInd w:val="0"/>
        <w:spacing w:after="0" w:line="240" w:lineRule="auto"/>
        <w:ind w:left="360"/>
        <w:jc w:val="both"/>
        <w:rPr>
          <w:rFonts w:ascii="Arial" w:hAnsi="Arial" w:cs="Arial"/>
          <w:color w:val="000000"/>
          <w:sz w:val="24"/>
          <w:szCs w:val="24"/>
          <w:lang w:eastAsia="es-ES"/>
        </w:rPr>
      </w:pPr>
      <w:r>
        <w:rPr>
          <w:rFonts w:ascii="Arial" w:hAnsi="Arial" w:cs="Arial"/>
          <w:color w:val="000000"/>
          <w:sz w:val="24"/>
          <w:szCs w:val="24"/>
          <w:lang w:eastAsia="es-ES"/>
        </w:rPr>
        <w:t>Modelo propuesto: Los modelos de dos y seis flujos representan aproximaciones de cómo los fotones interactúan con el medio. Se propuso entonces que el flujo de fotones por unidad de área que impactan la partícula debe ser proporcionales a la cantidad de fotones que penetran la suspensión.</w:t>
      </w:r>
    </w:p>
    <w:p w:rsidR="00705D32" w:rsidRDefault="00705D32" w:rsidP="00257D10">
      <w:pPr>
        <w:pStyle w:val="Prrafodelista"/>
        <w:numPr>
          <w:ilvl w:val="0"/>
          <w:numId w:val="25"/>
        </w:numPr>
        <w:autoSpaceDE w:val="0"/>
        <w:autoSpaceDN w:val="0"/>
        <w:adjustRightInd w:val="0"/>
        <w:spacing w:after="0" w:line="240" w:lineRule="auto"/>
        <w:ind w:left="360"/>
        <w:jc w:val="both"/>
        <w:rPr>
          <w:rFonts w:ascii="Arial" w:hAnsi="Arial" w:cs="Arial"/>
          <w:color w:val="000000"/>
          <w:sz w:val="24"/>
          <w:szCs w:val="24"/>
          <w:lang w:eastAsia="es-ES"/>
        </w:rPr>
      </w:pPr>
      <w:r w:rsidRPr="00A47C8D">
        <w:rPr>
          <w:rFonts w:ascii="Arial" w:hAnsi="Arial" w:cs="Arial"/>
          <w:color w:val="000000"/>
          <w:sz w:val="24"/>
          <w:szCs w:val="24"/>
          <w:lang w:eastAsia="es-ES"/>
        </w:rPr>
        <w:t>Solución de la ecuación propuesta: Tomando la divergencia en coordenadas cilíndricas se solucion</w:t>
      </w:r>
      <w:r>
        <w:rPr>
          <w:rFonts w:ascii="Arial" w:hAnsi="Arial" w:cs="Arial"/>
          <w:color w:val="000000"/>
          <w:sz w:val="24"/>
          <w:szCs w:val="24"/>
          <w:lang w:eastAsia="es-ES"/>
        </w:rPr>
        <w:t>ó</w:t>
      </w:r>
      <w:r w:rsidRPr="00A47C8D">
        <w:rPr>
          <w:rFonts w:ascii="Arial" w:hAnsi="Arial" w:cs="Arial"/>
          <w:color w:val="000000"/>
          <w:sz w:val="24"/>
          <w:szCs w:val="24"/>
          <w:lang w:eastAsia="es-ES"/>
        </w:rPr>
        <w:t xml:space="preserve"> la ecuación </w:t>
      </w:r>
      <w:r>
        <w:rPr>
          <w:rFonts w:ascii="Arial" w:hAnsi="Arial" w:cs="Arial"/>
          <w:color w:val="000000"/>
          <w:sz w:val="24"/>
          <w:szCs w:val="24"/>
          <w:lang w:eastAsia="es-ES"/>
        </w:rPr>
        <w:t>diferencial parcial utilizando el método de separación de variables de Fourier, donde apareció una constante (dependiente de las condiciones iniciales) y un valor propio (dependiente de las condiciones de frontera), las cuales debieron ser determinadas para la obtención del modelo electromagnético propuesto, que a todas luces representa una nueva forma de afrontar el problema.</w:t>
      </w:r>
    </w:p>
    <w:p w:rsidR="00705D32" w:rsidRDefault="00705D32" w:rsidP="00257D10">
      <w:pPr>
        <w:pStyle w:val="Prrafodelista"/>
        <w:numPr>
          <w:ilvl w:val="0"/>
          <w:numId w:val="25"/>
        </w:numPr>
        <w:autoSpaceDE w:val="0"/>
        <w:autoSpaceDN w:val="0"/>
        <w:adjustRightInd w:val="0"/>
        <w:spacing w:after="0" w:line="240" w:lineRule="auto"/>
        <w:ind w:left="360"/>
        <w:jc w:val="both"/>
        <w:rPr>
          <w:rFonts w:ascii="Arial" w:hAnsi="Arial" w:cs="Arial"/>
          <w:color w:val="000000"/>
          <w:sz w:val="24"/>
          <w:szCs w:val="24"/>
          <w:lang w:eastAsia="es-ES"/>
        </w:rPr>
      </w:pPr>
      <w:r>
        <w:rPr>
          <w:rFonts w:ascii="Arial" w:hAnsi="Arial" w:cs="Arial"/>
          <w:color w:val="000000"/>
          <w:sz w:val="24"/>
          <w:szCs w:val="24"/>
          <w:lang w:eastAsia="es-ES"/>
        </w:rPr>
        <w:t>Determinación de las constantes: Para determinar las constantes se aplicaron los conceptos de factor de atenuación, fase y de propagación, en un medio en donde la densidad o distribución de cargas no es significativa. Los factores de atenuación y fase están relacionados con las constantes.</w:t>
      </w:r>
    </w:p>
    <w:p w:rsidR="00705D32" w:rsidRDefault="00705D32" w:rsidP="00257D10">
      <w:pPr>
        <w:pStyle w:val="Prrafodelista"/>
        <w:numPr>
          <w:ilvl w:val="0"/>
          <w:numId w:val="25"/>
        </w:numPr>
        <w:autoSpaceDE w:val="0"/>
        <w:autoSpaceDN w:val="0"/>
        <w:adjustRightInd w:val="0"/>
        <w:spacing w:after="0" w:line="240" w:lineRule="auto"/>
        <w:ind w:left="360"/>
        <w:jc w:val="both"/>
        <w:rPr>
          <w:rFonts w:ascii="Arial" w:hAnsi="Arial" w:cs="Arial"/>
          <w:color w:val="000000"/>
          <w:sz w:val="24"/>
          <w:szCs w:val="24"/>
          <w:lang w:eastAsia="es-ES"/>
        </w:rPr>
      </w:pPr>
      <w:r>
        <w:rPr>
          <w:rFonts w:ascii="Arial" w:hAnsi="Arial" w:cs="Arial"/>
          <w:color w:val="000000"/>
          <w:sz w:val="24"/>
          <w:szCs w:val="24"/>
          <w:lang w:eastAsia="es-ES"/>
        </w:rPr>
        <w:t>Para delimitar el modelo se realizaron las consideraciones para los cuales, el medio presenta conductividad cero, conductividad pequeña (pero no despreciable) y conductividad alta.</w:t>
      </w:r>
    </w:p>
    <w:p w:rsidR="00705D32" w:rsidRDefault="00705D32" w:rsidP="00705D32">
      <w:pPr>
        <w:autoSpaceDE w:val="0"/>
        <w:autoSpaceDN w:val="0"/>
        <w:adjustRightInd w:val="0"/>
        <w:jc w:val="both"/>
        <w:rPr>
          <w:rFonts w:ascii="Arial" w:hAnsi="Arial" w:cs="Arial"/>
          <w:color w:val="000000"/>
          <w:lang w:eastAsia="es-ES"/>
        </w:rPr>
      </w:pPr>
    </w:p>
    <w:p w:rsidR="00705D32" w:rsidRPr="00AE76CA" w:rsidRDefault="00705D32" w:rsidP="00705D32">
      <w:pPr>
        <w:rPr>
          <w:rFonts w:ascii="Arial" w:eastAsia="Times New Roman" w:hAnsi="Arial" w:cs="Arial"/>
          <w:bCs/>
          <w:i/>
        </w:rPr>
      </w:pPr>
      <w:r w:rsidRPr="00AE76CA">
        <w:rPr>
          <w:rFonts w:ascii="Arial" w:hAnsi="Arial" w:cs="Arial"/>
          <w:i/>
        </w:rPr>
        <w:t>3.</w:t>
      </w:r>
      <w:r>
        <w:rPr>
          <w:rFonts w:ascii="Arial" w:hAnsi="Arial" w:cs="Arial"/>
          <w:i/>
        </w:rPr>
        <w:t>2</w:t>
      </w:r>
      <w:r w:rsidRPr="00AE76CA">
        <w:rPr>
          <w:rFonts w:ascii="Arial" w:hAnsi="Arial" w:cs="Arial"/>
          <w:i/>
        </w:rPr>
        <w:t xml:space="preserve"> Modelo propuesto para el cálculo de la LVRPA</w:t>
      </w:r>
      <w:r w:rsidRPr="00AE76CA">
        <w:rPr>
          <w:rFonts w:ascii="Arial" w:eastAsia="Times New Roman" w:hAnsi="Arial" w:cs="Arial"/>
          <w:bCs/>
          <w:i/>
        </w:rPr>
        <w:t xml:space="preserve"> </w:t>
      </w:r>
    </w:p>
    <w:p w:rsidR="00705D32" w:rsidRDefault="00705D32" w:rsidP="00705D32">
      <w:pPr>
        <w:jc w:val="both"/>
        <w:rPr>
          <w:rFonts w:ascii="Arial" w:eastAsia="Times New Roman" w:hAnsi="Arial" w:cs="Arial"/>
        </w:rPr>
      </w:pPr>
    </w:p>
    <w:p w:rsidR="00705D32" w:rsidRDefault="00705D32" w:rsidP="00705D32">
      <w:pPr>
        <w:ind w:firstLine="567"/>
        <w:jc w:val="both"/>
        <w:rPr>
          <w:rFonts w:ascii="Arial" w:eastAsia="Times New Roman" w:hAnsi="Arial" w:cs="Arial"/>
        </w:rPr>
      </w:pPr>
      <w:r w:rsidRPr="00C76117">
        <w:rPr>
          <w:rFonts w:ascii="Arial" w:eastAsia="Times New Roman" w:hAnsi="Arial" w:cs="Arial"/>
        </w:rPr>
        <w:t xml:space="preserve">Considérese un campo vectorial en </w:t>
      </w:r>
      <m:oMath>
        <m:sSup>
          <m:sSupPr>
            <m:ctrlPr>
              <w:rPr>
                <w:rFonts w:ascii="Cambria Math" w:eastAsia="Times New Roman" w:hAnsi="Arial" w:cs="Arial"/>
                <w:i/>
              </w:rPr>
            </m:ctrlPr>
          </m:sSupPr>
          <m:e>
            <m:r>
              <m:rPr>
                <m:scr m:val="double-struck"/>
              </m:rPr>
              <w:rPr>
                <w:rFonts w:ascii="Cambria Math" w:eastAsia="Times New Roman" w:hAnsi="Cambria Math" w:cs="Arial"/>
              </w:rPr>
              <m:t>R</m:t>
            </m:r>
          </m:e>
          <m:sup>
            <m:r>
              <w:rPr>
                <w:rFonts w:ascii="Cambria Math" w:eastAsia="Times New Roman" w:hAnsi="Arial" w:cs="Arial"/>
              </w:rPr>
              <m:t>3</m:t>
            </m:r>
          </m:sup>
        </m:sSup>
      </m:oMath>
      <w:r w:rsidRPr="00C76117">
        <w:rPr>
          <w:rFonts w:ascii="Arial" w:eastAsia="Times New Roman" w:hAnsi="Arial" w:cs="Arial"/>
        </w:rPr>
        <w:t>, es decir</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705D32" w:rsidP="00B81843">
            <w:pPr>
              <w:jc w:val="center"/>
              <w:rPr>
                <w:rFonts w:ascii="Arial" w:eastAsia="Times New Roman" w:hAnsi="Arial" w:cs="Arial"/>
              </w:rPr>
            </w:pPr>
            <m:oMathPara>
              <m:oMath>
                <m:r>
                  <w:rPr>
                    <w:rFonts w:ascii="Cambria Math" w:eastAsia="Times New Roman" w:hAnsi="Cambria Math" w:cs="Arial"/>
                  </w:rPr>
                  <m:t>U</m:t>
                </m:r>
                <m:d>
                  <m:dPr>
                    <m:ctrlPr>
                      <w:rPr>
                        <w:rFonts w:ascii="Cambria Math" w:eastAsia="Times New Roman" w:hAnsi="Cambria Math" w:cs="Arial"/>
                        <w:i/>
                      </w:rPr>
                    </m:ctrlPr>
                  </m:dPr>
                  <m:e>
                    <m:r>
                      <w:rPr>
                        <w:rFonts w:ascii="Cambria Math" w:eastAsia="Times New Roman" w:hAnsi="Cambria Math" w:cs="Arial"/>
                      </w:rPr>
                      <m:t>x,y,z</m:t>
                    </m:r>
                  </m:e>
                </m:d>
                <m:r>
                  <w:rPr>
                    <w:rFonts w:ascii="Cambria Math" w:eastAsia="Times New Roman" w:hAnsi="Cambria Math" w:cs="Arial"/>
                  </w:rPr>
                  <m:t>=u</m:t>
                </m:r>
                <m:d>
                  <m:dPr>
                    <m:ctrlPr>
                      <w:rPr>
                        <w:rFonts w:ascii="Cambria Math" w:eastAsia="Times New Roman" w:hAnsi="Cambria Math" w:cs="Arial"/>
                        <w:i/>
                      </w:rPr>
                    </m:ctrlPr>
                  </m:dPr>
                  <m:e>
                    <m:r>
                      <w:rPr>
                        <w:rFonts w:ascii="Cambria Math" w:eastAsia="Times New Roman" w:hAnsi="Cambria Math" w:cs="Arial"/>
                      </w:rPr>
                      <m:t>x,y,z</m:t>
                    </m:r>
                  </m:e>
                </m:d>
                <m:acc>
                  <m:accPr>
                    <m:ctrlPr>
                      <w:rPr>
                        <w:rFonts w:ascii="Cambria Math" w:eastAsia="Times New Roman" w:hAnsi="Cambria Math" w:cs="Arial"/>
                        <w:i/>
                      </w:rPr>
                    </m:ctrlPr>
                  </m:accPr>
                  <m:e>
                    <m:sSub>
                      <m:sSubPr>
                        <m:ctrlPr>
                          <w:rPr>
                            <w:rFonts w:ascii="Cambria Math" w:eastAsia="Times New Roman" w:hAnsi="Cambria Math" w:cs="Arial"/>
                            <w:i/>
                          </w:rPr>
                        </m:ctrlPr>
                      </m:sSubPr>
                      <m:e>
                        <m:r>
                          <w:rPr>
                            <w:rFonts w:ascii="Cambria Math" w:eastAsia="Times New Roman" w:hAnsi="Cambria Math" w:cs="Arial"/>
                          </w:rPr>
                          <m:t>e</m:t>
                        </m:r>
                      </m:e>
                      <m:sub>
                        <m:r>
                          <w:rPr>
                            <w:rFonts w:ascii="Cambria Math" w:eastAsia="Times New Roman" w:hAnsi="Cambria Math" w:cs="Arial"/>
                          </w:rPr>
                          <m:t>1</m:t>
                        </m:r>
                      </m:sub>
                    </m:sSub>
                  </m:e>
                </m:acc>
                <m:r>
                  <w:rPr>
                    <w:rFonts w:ascii="Cambria Math" w:eastAsia="Times New Roman" w:hAnsi="Cambria Math" w:cs="Arial"/>
                  </w:rPr>
                  <m:t>+v</m:t>
                </m:r>
                <m:d>
                  <m:dPr>
                    <m:ctrlPr>
                      <w:rPr>
                        <w:rFonts w:ascii="Cambria Math" w:eastAsia="Times New Roman" w:hAnsi="Cambria Math" w:cs="Arial"/>
                        <w:i/>
                      </w:rPr>
                    </m:ctrlPr>
                  </m:dPr>
                  <m:e>
                    <m:r>
                      <w:rPr>
                        <w:rFonts w:ascii="Cambria Math" w:eastAsia="Times New Roman" w:hAnsi="Cambria Math" w:cs="Arial"/>
                      </w:rPr>
                      <m:t>x,y,z</m:t>
                    </m:r>
                  </m:e>
                </m:d>
                <m:acc>
                  <m:accPr>
                    <m:ctrlPr>
                      <w:rPr>
                        <w:rFonts w:ascii="Cambria Math" w:eastAsia="Times New Roman" w:hAnsi="Cambria Math" w:cs="Arial"/>
                        <w:i/>
                      </w:rPr>
                    </m:ctrlPr>
                  </m:accPr>
                  <m:e>
                    <m:sSub>
                      <m:sSubPr>
                        <m:ctrlPr>
                          <w:rPr>
                            <w:rFonts w:ascii="Cambria Math" w:eastAsia="Times New Roman" w:hAnsi="Cambria Math" w:cs="Arial"/>
                            <w:i/>
                          </w:rPr>
                        </m:ctrlPr>
                      </m:sSubPr>
                      <m:e>
                        <m:r>
                          <w:rPr>
                            <w:rFonts w:ascii="Cambria Math" w:eastAsia="Times New Roman" w:hAnsi="Cambria Math" w:cs="Arial"/>
                          </w:rPr>
                          <m:t>e</m:t>
                        </m:r>
                      </m:e>
                      <m:sub>
                        <m:r>
                          <w:rPr>
                            <w:rFonts w:ascii="Cambria Math" w:eastAsia="Times New Roman" w:hAnsi="Cambria Math" w:cs="Arial"/>
                          </w:rPr>
                          <m:t>2</m:t>
                        </m:r>
                      </m:sub>
                    </m:sSub>
                  </m:e>
                </m:acc>
                <m:r>
                  <w:rPr>
                    <w:rFonts w:ascii="Cambria Math" w:eastAsia="Times New Roman" w:hAnsi="Cambria Math" w:cs="Arial"/>
                  </w:rPr>
                  <m:t>+w(x,y,z)</m:t>
                </m:r>
                <m:acc>
                  <m:accPr>
                    <m:ctrlPr>
                      <w:rPr>
                        <w:rFonts w:ascii="Cambria Math" w:eastAsia="Times New Roman" w:hAnsi="Cambria Math" w:cs="Arial"/>
                        <w:i/>
                      </w:rPr>
                    </m:ctrlPr>
                  </m:accPr>
                  <m:e>
                    <m:sSub>
                      <m:sSubPr>
                        <m:ctrlPr>
                          <w:rPr>
                            <w:rFonts w:ascii="Cambria Math" w:eastAsia="Times New Roman" w:hAnsi="Cambria Math" w:cs="Arial"/>
                            <w:i/>
                          </w:rPr>
                        </m:ctrlPr>
                      </m:sSubPr>
                      <m:e>
                        <m:r>
                          <w:rPr>
                            <w:rFonts w:ascii="Cambria Math" w:eastAsia="Times New Roman" w:hAnsi="Cambria Math" w:cs="Arial"/>
                          </w:rPr>
                          <m:t>e</m:t>
                        </m:r>
                      </m:e>
                      <m:sub>
                        <m:r>
                          <w:rPr>
                            <w:rFonts w:ascii="Cambria Math" w:eastAsia="Times New Roman" w:hAnsi="Cambria Math" w:cs="Arial"/>
                          </w:rPr>
                          <m:t>3</m:t>
                        </m:r>
                      </m:sub>
                    </m:sSub>
                  </m:e>
                </m:acc>
              </m:oMath>
            </m:oMathPara>
          </w:p>
        </w:tc>
        <w:tc>
          <w:tcPr>
            <w:tcW w:w="652" w:type="dxa"/>
            <w:shd w:val="clear" w:color="auto" w:fill="auto"/>
          </w:tcPr>
          <w:p w:rsidR="00705D32" w:rsidRPr="0052084F" w:rsidRDefault="00705D32" w:rsidP="00B81843">
            <w:pPr>
              <w:jc w:val="both"/>
              <w:rPr>
                <w:rFonts w:ascii="Arial" w:hAnsi="Arial" w:cs="Arial"/>
              </w:rPr>
            </w:pPr>
            <w:r w:rsidRPr="0052084F">
              <w:rPr>
                <w:rFonts w:ascii="Arial" w:hAnsi="Arial" w:cs="Arial"/>
              </w:rPr>
              <w:t>(2)</w:t>
            </w:r>
          </w:p>
        </w:tc>
      </w:tr>
    </w:tbl>
    <w:p w:rsidR="00705D32" w:rsidRDefault="00705D32" w:rsidP="00705D32">
      <w:pPr>
        <w:jc w:val="both"/>
        <w:rPr>
          <w:rFonts w:ascii="Arial" w:eastAsia="Times New Roman" w:hAnsi="Arial" w:cs="Arial"/>
        </w:rPr>
      </w:pPr>
      <w:r w:rsidRPr="00C76117">
        <w:rPr>
          <w:rFonts w:ascii="Arial" w:eastAsia="Times New Roman" w:hAnsi="Arial" w:cs="Arial"/>
        </w:rPr>
        <w:t xml:space="preserve">En donde los vectores </w:t>
      </w:r>
      <m:oMath>
        <m:d>
          <m:dPr>
            <m:begChr m:val="{"/>
            <m:endChr m:val="}"/>
            <m:ctrlPr>
              <w:rPr>
                <w:rFonts w:ascii="Cambria Math" w:eastAsia="Times New Roman" w:hAnsi="Arial" w:cs="Arial"/>
                <w:i/>
              </w:rPr>
            </m:ctrlPr>
          </m:dPr>
          <m:e>
            <m:acc>
              <m:accPr>
                <m:ctrlPr>
                  <w:rPr>
                    <w:rFonts w:ascii="Cambria Math" w:eastAsia="Times New Roman" w:hAnsi="Arial" w:cs="Arial"/>
                    <w:i/>
                  </w:rPr>
                </m:ctrlPr>
              </m:accPr>
              <m:e>
                <m:sSub>
                  <m:sSubPr>
                    <m:ctrlPr>
                      <w:rPr>
                        <w:rFonts w:ascii="Cambria Math" w:eastAsia="Times New Roman" w:hAnsi="Arial" w:cs="Arial"/>
                        <w:i/>
                      </w:rPr>
                    </m:ctrlPr>
                  </m:sSubPr>
                  <m:e>
                    <m:r>
                      <w:rPr>
                        <w:rFonts w:ascii="Cambria Math" w:eastAsia="Times New Roman" w:hAnsi="Cambria Math" w:cs="Arial"/>
                      </w:rPr>
                      <m:t>e</m:t>
                    </m:r>
                  </m:e>
                  <m:sub>
                    <m:r>
                      <w:rPr>
                        <w:rFonts w:ascii="Cambria Math" w:eastAsia="Times New Roman" w:hAnsi="Arial" w:cs="Arial"/>
                      </w:rPr>
                      <m:t>1</m:t>
                    </m:r>
                  </m:sub>
                </m:sSub>
              </m:e>
            </m:acc>
            <m:r>
              <w:rPr>
                <w:rFonts w:ascii="Cambria Math" w:eastAsia="Times New Roman" w:hAnsi="Arial" w:cs="Arial"/>
              </w:rPr>
              <m:t>,</m:t>
            </m:r>
            <m:acc>
              <m:accPr>
                <m:ctrlPr>
                  <w:rPr>
                    <w:rFonts w:ascii="Cambria Math" w:eastAsia="Times New Roman" w:hAnsi="Arial" w:cs="Arial"/>
                    <w:i/>
                  </w:rPr>
                </m:ctrlPr>
              </m:accPr>
              <m:e>
                <m:sSub>
                  <m:sSubPr>
                    <m:ctrlPr>
                      <w:rPr>
                        <w:rFonts w:ascii="Cambria Math" w:eastAsia="Times New Roman" w:hAnsi="Arial" w:cs="Arial"/>
                        <w:i/>
                      </w:rPr>
                    </m:ctrlPr>
                  </m:sSubPr>
                  <m:e>
                    <m:r>
                      <w:rPr>
                        <w:rFonts w:ascii="Cambria Math" w:eastAsia="Times New Roman" w:hAnsi="Cambria Math" w:cs="Arial"/>
                      </w:rPr>
                      <m:t>e</m:t>
                    </m:r>
                  </m:e>
                  <m:sub>
                    <m:r>
                      <w:rPr>
                        <w:rFonts w:ascii="Cambria Math" w:eastAsia="Times New Roman" w:hAnsi="Arial" w:cs="Arial"/>
                      </w:rPr>
                      <m:t>2</m:t>
                    </m:r>
                  </m:sub>
                </m:sSub>
              </m:e>
            </m:acc>
            <m:acc>
              <m:accPr>
                <m:ctrlPr>
                  <w:rPr>
                    <w:rFonts w:ascii="Cambria Math" w:eastAsia="Times New Roman" w:hAnsi="Arial" w:cs="Arial"/>
                    <w:i/>
                  </w:rPr>
                </m:ctrlPr>
              </m:accPr>
              <m:e>
                <m:sSub>
                  <m:sSubPr>
                    <m:ctrlPr>
                      <w:rPr>
                        <w:rFonts w:ascii="Cambria Math" w:eastAsia="Times New Roman" w:hAnsi="Arial" w:cs="Arial"/>
                        <w:i/>
                      </w:rPr>
                    </m:ctrlPr>
                  </m:sSubPr>
                  <m:e>
                    <m:r>
                      <w:rPr>
                        <w:rFonts w:ascii="Cambria Math" w:eastAsia="Times New Roman" w:hAnsi="Arial" w:cs="Arial"/>
                      </w:rPr>
                      <m:t>,</m:t>
                    </m:r>
                    <m:r>
                      <w:rPr>
                        <w:rFonts w:ascii="Cambria Math" w:eastAsia="Times New Roman" w:hAnsi="Cambria Math" w:cs="Arial"/>
                      </w:rPr>
                      <m:t>e</m:t>
                    </m:r>
                  </m:e>
                  <m:sub>
                    <m:r>
                      <w:rPr>
                        <w:rFonts w:ascii="Cambria Math" w:eastAsia="Times New Roman" w:hAnsi="Arial" w:cs="Arial"/>
                      </w:rPr>
                      <m:t>3</m:t>
                    </m:r>
                  </m:sub>
                </m:sSub>
              </m:e>
            </m:acc>
          </m:e>
        </m:d>
      </m:oMath>
      <w:r w:rsidRPr="00C76117">
        <w:rPr>
          <w:rFonts w:ascii="Arial" w:eastAsia="Times New Roman" w:hAnsi="Arial" w:cs="Arial"/>
        </w:rPr>
        <w:t xml:space="preserve"> son una base canónica en un sistema de coordenadas curvilíneas </w:t>
      </w:r>
      <w:r w:rsidRPr="00E92913">
        <w:rPr>
          <w:rFonts w:ascii="Arial" w:eastAsia="Times New Roman" w:hAnsi="Arial" w:cs="Arial"/>
        </w:rPr>
        <w:t xml:space="preserve">ortogonales </w:t>
      </w:r>
      <w:r w:rsidRPr="009C60D3">
        <w:rPr>
          <w:rFonts w:ascii="Arial" w:eastAsia="Times New Roman" w:hAnsi="Arial" w:cs="Arial"/>
          <w:vertAlign w:val="superscript"/>
        </w:rPr>
        <w:t>[5]</w:t>
      </w:r>
      <w:r w:rsidRPr="00E92913">
        <w:rPr>
          <w:rFonts w:ascii="Arial" w:eastAsia="Times New Roman" w:hAnsi="Arial" w:cs="Arial"/>
        </w:rPr>
        <w:t>.</w:t>
      </w:r>
    </w:p>
    <w:p w:rsidR="00705D32" w:rsidRPr="00C76117" w:rsidRDefault="00705D32" w:rsidP="00705D32">
      <w:pPr>
        <w:jc w:val="both"/>
        <w:rPr>
          <w:rFonts w:ascii="Arial" w:eastAsia="Times New Roman" w:hAnsi="Arial" w:cs="Arial"/>
        </w:rPr>
      </w:pPr>
    </w:p>
    <w:p w:rsidR="00705D32" w:rsidRPr="00C76117" w:rsidRDefault="00705D32" w:rsidP="00705D32">
      <w:pPr>
        <w:jc w:val="both"/>
        <w:rPr>
          <w:rFonts w:ascii="Arial" w:eastAsia="Times New Roman" w:hAnsi="Arial" w:cs="Arial"/>
        </w:rPr>
      </w:pPr>
      <w:r w:rsidRPr="00C76117">
        <w:rPr>
          <w:rFonts w:ascii="Arial" w:eastAsia="Times New Roman" w:hAnsi="Arial" w:cs="Arial"/>
        </w:rPr>
        <w:t>S</w:t>
      </w:r>
      <w:r>
        <w:rPr>
          <w:rFonts w:ascii="Arial" w:eastAsia="Times New Roman" w:hAnsi="Arial" w:cs="Arial"/>
        </w:rPr>
        <w:t xml:space="preserve">upóngase </w:t>
      </w:r>
      <w:r w:rsidRPr="00C76117">
        <w:rPr>
          <w:rFonts w:ascii="Arial" w:eastAsia="Times New Roman" w:hAnsi="Arial" w:cs="Arial"/>
        </w:rPr>
        <w:t xml:space="preserve">que </w:t>
      </w:r>
      <m:oMath>
        <m:r>
          <w:rPr>
            <w:rFonts w:ascii="Cambria Math" w:eastAsia="Times New Roman" w:hAnsi="Cambria Math" w:cs="Arial"/>
          </w:rPr>
          <m:t>U</m:t>
        </m:r>
      </m:oMath>
      <w:r w:rsidRPr="00C76117">
        <w:rPr>
          <w:rFonts w:ascii="Arial" w:eastAsia="Times New Roman" w:hAnsi="Arial" w:cs="Arial"/>
        </w:rPr>
        <w:t xml:space="preserve"> es un campo de fuerza</w:t>
      </w:r>
      <w:r>
        <w:rPr>
          <w:rFonts w:ascii="Arial" w:eastAsia="Times New Roman" w:hAnsi="Arial" w:cs="Arial"/>
        </w:rPr>
        <w:t xml:space="preserve">. Supóngase además </w:t>
      </w:r>
      <w:r w:rsidRPr="00C76117">
        <w:rPr>
          <w:rFonts w:ascii="Arial" w:eastAsia="Times New Roman" w:hAnsi="Arial" w:cs="Arial"/>
        </w:rPr>
        <w:t xml:space="preserve">que </w:t>
      </w:r>
      <m:oMath>
        <m:r>
          <m:rPr>
            <m:sty m:val="p"/>
          </m:rPr>
          <w:rPr>
            <w:rFonts w:ascii="Cambria Math" w:eastAsia="Times New Roman" w:hAnsi="Arial" w:cs="Arial"/>
          </w:rPr>
          <m:t>Ω</m:t>
        </m:r>
      </m:oMath>
      <w:r w:rsidRPr="00C76117">
        <w:rPr>
          <w:rFonts w:ascii="Arial" w:eastAsia="Times New Roman" w:hAnsi="Arial" w:cs="Arial"/>
        </w:rPr>
        <w:t xml:space="preserve"> es una región acotada de </w:t>
      </w:r>
      <m:oMath>
        <m:sSup>
          <m:sSupPr>
            <m:ctrlPr>
              <w:rPr>
                <w:rFonts w:ascii="Cambria Math" w:eastAsia="Times New Roman" w:hAnsi="Arial" w:cs="Arial"/>
                <w:i/>
              </w:rPr>
            </m:ctrlPr>
          </m:sSupPr>
          <m:e>
            <m:r>
              <m:rPr>
                <m:scr m:val="double-struck"/>
              </m:rPr>
              <w:rPr>
                <w:rFonts w:ascii="Cambria Math" w:eastAsia="Times New Roman" w:hAnsi="Cambria Math" w:cs="Arial"/>
              </w:rPr>
              <m:t>R</m:t>
            </m:r>
          </m:e>
          <m:sup>
            <m:r>
              <w:rPr>
                <w:rFonts w:ascii="Cambria Math" w:eastAsia="Times New Roman" w:hAnsi="Arial" w:cs="Arial"/>
              </w:rPr>
              <m:t>3</m:t>
            </m:r>
          </m:sup>
        </m:sSup>
      </m:oMath>
      <w:r>
        <w:rPr>
          <w:rFonts w:ascii="Arial" w:eastAsia="Times New Roman" w:hAnsi="Arial" w:cs="Arial"/>
        </w:rPr>
        <w:t xml:space="preserve"> y </w:t>
      </w:r>
      <w:r w:rsidRPr="00C76117">
        <w:rPr>
          <w:rFonts w:ascii="Arial" w:eastAsia="Times New Roman" w:hAnsi="Arial" w:cs="Arial"/>
        </w:rPr>
        <w:t xml:space="preserve">adicionalmente la regularidad de la función </w:t>
      </w:r>
      <m:oMath>
        <m:r>
          <w:rPr>
            <w:rFonts w:ascii="Cambria Math" w:eastAsia="Times New Roman" w:hAnsi="Cambria Math" w:cs="Arial"/>
          </w:rPr>
          <m:t>U</m:t>
        </m:r>
      </m:oMath>
      <w:r w:rsidRPr="00C76117">
        <w:rPr>
          <w:rFonts w:ascii="Arial" w:eastAsia="Times New Roman" w:hAnsi="Arial" w:cs="Arial"/>
        </w:rPr>
        <w:t xml:space="preserve"> de </w:t>
      </w:r>
      <m:oMath>
        <m:sSup>
          <m:sSupPr>
            <m:ctrlPr>
              <w:rPr>
                <w:rFonts w:ascii="Cambria Math" w:eastAsia="Times New Roman" w:hAnsi="Arial" w:cs="Arial"/>
                <w:i/>
              </w:rPr>
            </m:ctrlPr>
          </m:sSupPr>
          <m:e>
            <m:r>
              <m:rPr>
                <m:scr m:val="double-struck"/>
              </m:rPr>
              <w:rPr>
                <w:rFonts w:ascii="Cambria Math" w:eastAsia="Times New Roman" w:hAnsi="Cambria Math" w:cs="Arial"/>
              </w:rPr>
              <m:t>R</m:t>
            </m:r>
          </m:e>
          <m:sup>
            <m:r>
              <w:rPr>
                <w:rFonts w:ascii="Cambria Math" w:eastAsia="Times New Roman" w:hAnsi="Arial" w:cs="Arial"/>
              </w:rPr>
              <m:t>3</m:t>
            </m:r>
          </m:sup>
        </m:sSup>
      </m:oMath>
      <w:r>
        <w:rPr>
          <w:rFonts w:ascii="Arial" w:eastAsia="Times New Roman" w:hAnsi="Arial" w:cs="Arial"/>
        </w:rPr>
        <w:t xml:space="preserve"> </w:t>
      </w:r>
      <w:r w:rsidRPr="00C76117">
        <w:rPr>
          <w:rFonts w:ascii="Arial" w:eastAsia="Times New Roman" w:hAnsi="Arial" w:cs="Arial"/>
        </w:rPr>
        <w:t xml:space="preserve">en </w:t>
      </w:r>
      <m:oMath>
        <m:sSup>
          <m:sSupPr>
            <m:ctrlPr>
              <w:rPr>
                <w:rFonts w:ascii="Cambria Math" w:eastAsia="Times New Roman" w:hAnsi="Arial" w:cs="Arial"/>
                <w:i/>
              </w:rPr>
            </m:ctrlPr>
          </m:sSupPr>
          <m:e>
            <m:r>
              <m:rPr>
                <m:scr m:val="double-struck"/>
              </m:rPr>
              <w:rPr>
                <w:rFonts w:ascii="Cambria Math" w:eastAsia="Times New Roman" w:hAnsi="Cambria Math" w:cs="Arial"/>
              </w:rPr>
              <m:t>R</m:t>
            </m:r>
          </m:e>
          <m:sup>
            <m:r>
              <w:rPr>
                <w:rFonts w:ascii="Cambria Math" w:eastAsia="Times New Roman" w:hAnsi="Arial" w:cs="Arial"/>
              </w:rPr>
              <m:t>3</m:t>
            </m:r>
          </m:sup>
        </m:sSup>
      </m:oMath>
      <w:r w:rsidRPr="00C76117">
        <w:rPr>
          <w:rFonts w:ascii="Arial" w:eastAsia="Times New Roman" w:hAnsi="Arial" w:cs="Arial"/>
        </w:rPr>
        <w:t xml:space="preserve"> qué define el campo. Esto quiere decir que </w:t>
      </w:r>
      <m:oMath>
        <m:r>
          <w:rPr>
            <w:rFonts w:ascii="Cambria Math" w:eastAsia="Times New Roman" w:hAnsi="Cambria Math" w:cs="Arial"/>
          </w:rPr>
          <m:t>U∈</m:t>
        </m:r>
        <m:sSup>
          <m:sSupPr>
            <m:ctrlPr>
              <w:rPr>
                <w:rFonts w:ascii="Cambria Math" w:eastAsia="Times New Roman" w:hAnsi="Arial" w:cs="Arial"/>
                <w:i/>
              </w:rPr>
            </m:ctrlPr>
          </m:sSupPr>
          <m:e>
            <m:r>
              <w:rPr>
                <w:rFonts w:ascii="Cambria Math" w:eastAsia="Times New Roman" w:hAnsi="Cambria Math" w:cs="Arial"/>
              </w:rPr>
              <m:t>∁</m:t>
            </m:r>
          </m:e>
          <m:sup>
            <m:r>
              <w:rPr>
                <w:rFonts w:ascii="Cambria Math" w:eastAsia="Times New Roman" w:hAnsi="Arial" w:cs="Arial"/>
              </w:rPr>
              <m:t>1</m:t>
            </m:r>
          </m:sup>
        </m:sSup>
        <m:d>
          <m:dPr>
            <m:ctrlPr>
              <w:rPr>
                <w:rFonts w:ascii="Cambria Math" w:eastAsia="Times New Roman" w:hAnsi="Arial" w:cs="Arial"/>
                <w:i/>
              </w:rPr>
            </m:ctrlPr>
          </m:dPr>
          <m:e>
            <m:sSup>
              <m:sSupPr>
                <m:ctrlPr>
                  <w:rPr>
                    <w:rFonts w:ascii="Cambria Math" w:eastAsia="Times New Roman" w:hAnsi="Arial" w:cs="Arial"/>
                    <w:i/>
                  </w:rPr>
                </m:ctrlPr>
              </m:sSupPr>
              <m:e>
                <m:r>
                  <m:rPr>
                    <m:scr m:val="double-struck"/>
                  </m:rPr>
                  <w:rPr>
                    <w:rFonts w:ascii="Cambria Math" w:eastAsia="Times New Roman" w:hAnsi="Cambria Math" w:cs="Arial"/>
                  </w:rPr>
                  <m:t>R</m:t>
                </m:r>
              </m:e>
              <m:sup>
                <m:r>
                  <w:rPr>
                    <w:rFonts w:ascii="Cambria Math" w:eastAsia="Times New Roman" w:hAnsi="Arial" w:cs="Arial"/>
                  </w:rPr>
                  <m:t>3</m:t>
                </m:r>
              </m:sup>
            </m:sSup>
          </m:e>
        </m:d>
      </m:oMath>
      <w:r>
        <w:rPr>
          <w:rFonts w:ascii="Arial" w:eastAsia="Times New Roman" w:hAnsi="Arial" w:cs="Arial"/>
        </w:rPr>
        <w:t xml:space="preserve">, </w:t>
      </w:r>
      <w:r w:rsidRPr="00C76117">
        <w:rPr>
          <w:rFonts w:ascii="Arial" w:eastAsia="Times New Roman" w:hAnsi="Arial" w:cs="Arial"/>
        </w:rPr>
        <w:t xml:space="preserve">lo que significa que </w:t>
      </w:r>
      <m:oMath>
        <m:r>
          <w:rPr>
            <w:rFonts w:ascii="Cambria Math" w:eastAsia="Times New Roman" w:hAnsi="Cambria Math" w:cs="Arial"/>
          </w:rPr>
          <m:t>U</m:t>
        </m:r>
      </m:oMath>
      <w:r w:rsidRPr="00C76117">
        <w:rPr>
          <w:rFonts w:ascii="Arial" w:eastAsia="Times New Roman" w:hAnsi="Arial" w:cs="Arial"/>
        </w:rPr>
        <w:t xml:space="preserve"> y sus derivadas de primer orden son continuas.</w:t>
      </w:r>
    </w:p>
    <w:p w:rsidR="00705D32" w:rsidRDefault="00705D32" w:rsidP="00705D32">
      <w:pPr>
        <w:jc w:val="both"/>
        <w:rPr>
          <w:rFonts w:ascii="Arial" w:eastAsia="Times New Roman" w:hAnsi="Arial" w:cs="Arial"/>
        </w:rPr>
      </w:pPr>
    </w:p>
    <w:p w:rsidR="00705D32" w:rsidRDefault="00705D32" w:rsidP="00705D32">
      <w:pPr>
        <w:jc w:val="both"/>
        <w:rPr>
          <w:rFonts w:ascii="Arial" w:eastAsia="Times New Roman" w:hAnsi="Arial" w:cs="Arial"/>
        </w:rPr>
      </w:pPr>
      <w:r w:rsidRPr="00C76117">
        <w:rPr>
          <w:rFonts w:ascii="Arial" w:eastAsia="Times New Roman" w:hAnsi="Arial" w:cs="Arial"/>
        </w:rPr>
        <w:lastRenderedPageBreak/>
        <w:t xml:space="preserve">Aplicando el teorema de Taylor, se tiene </w:t>
      </w:r>
      <w:r>
        <w:rPr>
          <w:rFonts w:ascii="Arial" w:eastAsia="Times New Roman" w:hAnsi="Arial" w:cs="Arial"/>
        </w:rPr>
        <w:t xml:space="preserve">en la Ec. 2 </w:t>
      </w:r>
      <w:r w:rsidRPr="00C76117">
        <w:rPr>
          <w:rFonts w:ascii="Arial" w:eastAsia="Times New Roman" w:hAnsi="Arial" w:cs="Arial"/>
        </w:rPr>
        <w:t>que</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705D32" w:rsidP="00B81843">
            <w:pPr>
              <w:jc w:val="center"/>
              <w:rPr>
                <w:rFonts w:ascii="Arial" w:eastAsia="Times New Roman" w:hAnsi="Arial" w:cs="Arial"/>
              </w:rPr>
            </w:pPr>
            <m:oMathPara>
              <m:oMath>
                <m:r>
                  <w:rPr>
                    <w:rFonts w:ascii="Cambria Math" w:eastAsia="Times New Roman" w:hAnsi="Cambria Math" w:cs="Arial"/>
                  </w:rPr>
                  <m:t>U</m:t>
                </m:r>
                <m:d>
                  <m:dPr>
                    <m:ctrlPr>
                      <w:rPr>
                        <w:rFonts w:ascii="Cambria Math" w:eastAsia="Times New Roman" w:hAnsi="Cambria Math" w:cs="Arial"/>
                        <w:i/>
                      </w:rPr>
                    </m:ctrlPr>
                  </m:dPr>
                  <m:e>
                    <m:acc>
                      <m:accPr>
                        <m:chr m:val="⃗"/>
                        <m:ctrlPr>
                          <w:rPr>
                            <w:rFonts w:ascii="Cambria Math" w:eastAsia="Times New Roman" w:hAnsi="Cambria Math" w:cs="Arial"/>
                            <w:i/>
                          </w:rPr>
                        </m:ctrlPr>
                      </m:accPr>
                      <m:e>
                        <m:r>
                          <w:rPr>
                            <w:rFonts w:ascii="Cambria Math" w:eastAsia="Times New Roman" w:hAnsi="Cambria Math" w:cs="Arial"/>
                          </w:rPr>
                          <m:t>x</m:t>
                        </m:r>
                      </m:e>
                    </m:acc>
                    <m:r>
                      <w:rPr>
                        <w:rFonts w:ascii="Cambria Math" w:eastAsia="Times New Roman" w:hAnsi="Cambria Math" w:cs="Arial"/>
                      </w:rPr>
                      <m:t>+</m:t>
                    </m:r>
                    <m:acc>
                      <m:accPr>
                        <m:chr m:val="⃗"/>
                        <m:ctrlPr>
                          <w:rPr>
                            <w:rFonts w:ascii="Cambria Math" w:eastAsia="Times New Roman" w:hAnsi="Cambria Math" w:cs="Arial"/>
                            <w:i/>
                          </w:rPr>
                        </m:ctrlPr>
                      </m:accPr>
                      <m:e>
                        <m:r>
                          <w:rPr>
                            <w:rFonts w:ascii="Cambria Math" w:eastAsia="Times New Roman" w:hAnsi="Cambria Math" w:cs="Arial"/>
                          </w:rPr>
                          <m:t>h</m:t>
                        </m:r>
                      </m:e>
                    </m:acc>
                  </m:e>
                </m:d>
                <m:r>
                  <w:rPr>
                    <w:rFonts w:ascii="Cambria Math" w:eastAsia="Times New Roman" w:hAnsi="Cambria Math" w:cs="Arial"/>
                  </w:rPr>
                  <m:t>=U</m:t>
                </m:r>
                <m:d>
                  <m:dPr>
                    <m:ctrlPr>
                      <w:rPr>
                        <w:rFonts w:ascii="Cambria Math" w:eastAsia="Times New Roman" w:hAnsi="Cambria Math" w:cs="Arial"/>
                        <w:i/>
                      </w:rPr>
                    </m:ctrlPr>
                  </m:dPr>
                  <m:e>
                    <m:acc>
                      <m:accPr>
                        <m:chr m:val="⃗"/>
                        <m:ctrlPr>
                          <w:rPr>
                            <w:rFonts w:ascii="Cambria Math" w:eastAsia="Times New Roman" w:hAnsi="Cambria Math" w:cs="Arial"/>
                            <w:i/>
                          </w:rPr>
                        </m:ctrlPr>
                      </m:accPr>
                      <m:e>
                        <m:r>
                          <w:rPr>
                            <w:rFonts w:ascii="Cambria Math" w:eastAsia="Times New Roman" w:hAnsi="Cambria Math" w:cs="Arial"/>
                          </w:rPr>
                          <m:t>x</m:t>
                        </m:r>
                      </m:e>
                    </m:acc>
                  </m:e>
                </m:d>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J</m:t>
                    </m:r>
                  </m:e>
                  <m:sub>
                    <m:acc>
                      <m:accPr>
                        <m:chr m:val="⃗"/>
                        <m:ctrlPr>
                          <w:rPr>
                            <w:rFonts w:ascii="Cambria Math" w:eastAsia="Times New Roman" w:hAnsi="Cambria Math" w:cs="Arial"/>
                            <w:i/>
                          </w:rPr>
                        </m:ctrlPr>
                      </m:accPr>
                      <m:e>
                        <m:r>
                          <w:rPr>
                            <w:rFonts w:ascii="Cambria Math" w:eastAsia="Times New Roman" w:hAnsi="Cambria Math" w:cs="Arial"/>
                          </w:rPr>
                          <m:t>z</m:t>
                        </m:r>
                      </m:e>
                    </m:acc>
                  </m:sub>
                </m:sSub>
                <m:r>
                  <w:rPr>
                    <w:rFonts w:ascii="Cambria Math" w:eastAsia="Times New Roman" w:hAnsi="Cambria Math" w:cs="Arial"/>
                  </w:rPr>
                  <m:t>U</m:t>
                </m:r>
                <m:d>
                  <m:dPr>
                    <m:ctrlPr>
                      <w:rPr>
                        <w:rFonts w:ascii="Cambria Math" w:eastAsia="Times New Roman" w:hAnsi="Cambria Math" w:cs="Arial"/>
                        <w:i/>
                      </w:rPr>
                    </m:ctrlPr>
                  </m:dPr>
                  <m:e>
                    <m:acc>
                      <m:accPr>
                        <m:chr m:val="⃗"/>
                        <m:ctrlPr>
                          <w:rPr>
                            <w:rFonts w:ascii="Cambria Math" w:eastAsia="Times New Roman" w:hAnsi="Cambria Math" w:cs="Arial"/>
                            <w:i/>
                          </w:rPr>
                        </m:ctrlPr>
                      </m:accPr>
                      <m:e>
                        <m:r>
                          <w:rPr>
                            <w:rFonts w:ascii="Cambria Math" w:eastAsia="Times New Roman" w:hAnsi="Cambria Math" w:cs="Arial"/>
                          </w:rPr>
                          <m:t>x</m:t>
                        </m:r>
                      </m:e>
                    </m:acc>
                  </m:e>
                </m:d>
                <m:acc>
                  <m:accPr>
                    <m:chr m:val="⃗"/>
                    <m:ctrlPr>
                      <w:rPr>
                        <w:rFonts w:ascii="Cambria Math" w:eastAsia="Times New Roman" w:hAnsi="Cambria Math" w:cs="Arial"/>
                        <w:i/>
                      </w:rPr>
                    </m:ctrlPr>
                  </m:accPr>
                  <m:e>
                    <m:r>
                      <w:rPr>
                        <w:rFonts w:ascii="Cambria Math" w:eastAsia="Times New Roman" w:hAnsi="Cambria Math" w:cs="Arial"/>
                      </w:rPr>
                      <m:t>h</m:t>
                    </m:r>
                  </m:e>
                </m:acc>
                <m:r>
                  <w:rPr>
                    <w:rFonts w:ascii="Cambria Math" w:eastAsia="Times New Roman" w:hAnsi="Cambria Math" w:cs="Arial"/>
                  </w:rPr>
                  <m:t>+o</m:t>
                </m:r>
                <m:d>
                  <m:dPr>
                    <m:ctrlPr>
                      <w:rPr>
                        <w:rFonts w:ascii="Cambria Math" w:eastAsia="Times New Roman" w:hAnsi="Cambria Math" w:cs="Arial"/>
                        <w:i/>
                      </w:rPr>
                    </m:ctrlPr>
                  </m:dPr>
                  <m:e>
                    <m:sSup>
                      <m:sSupPr>
                        <m:ctrlPr>
                          <w:rPr>
                            <w:rFonts w:ascii="Cambria Math" w:eastAsia="Times New Roman" w:hAnsi="Cambria Math" w:cs="Arial"/>
                            <w:i/>
                          </w:rPr>
                        </m:ctrlPr>
                      </m:sSupPr>
                      <m:e>
                        <m:d>
                          <m:dPr>
                            <m:begChr m:val="|"/>
                            <m:endChr m:val="|"/>
                            <m:ctrlPr>
                              <w:rPr>
                                <w:rFonts w:ascii="Cambria Math" w:eastAsia="Times New Roman" w:hAnsi="Cambria Math" w:cs="Arial"/>
                                <w:i/>
                              </w:rPr>
                            </m:ctrlPr>
                          </m:dPr>
                          <m:e>
                            <m:acc>
                              <m:accPr>
                                <m:chr m:val="⃗"/>
                                <m:ctrlPr>
                                  <w:rPr>
                                    <w:rFonts w:ascii="Cambria Math" w:eastAsia="Times New Roman" w:hAnsi="Cambria Math" w:cs="Arial"/>
                                    <w:i/>
                                  </w:rPr>
                                </m:ctrlPr>
                              </m:accPr>
                              <m:e>
                                <m:r>
                                  <w:rPr>
                                    <w:rFonts w:ascii="Cambria Math" w:eastAsia="Times New Roman" w:hAnsi="Cambria Math" w:cs="Arial"/>
                                  </w:rPr>
                                  <m:t>h</m:t>
                                </m:r>
                              </m:e>
                            </m:acc>
                          </m:e>
                        </m:d>
                      </m:e>
                      <m:sup>
                        <m:r>
                          <w:rPr>
                            <w:rFonts w:ascii="Cambria Math" w:eastAsia="Times New Roman" w:hAnsi="Cambria Math" w:cs="Arial"/>
                          </w:rPr>
                          <m:t>2</m:t>
                        </m:r>
                      </m:sup>
                    </m:sSup>
                  </m:e>
                </m:d>
              </m:oMath>
            </m:oMathPara>
          </w:p>
        </w:tc>
        <w:tc>
          <w:tcPr>
            <w:tcW w:w="652" w:type="dxa"/>
            <w:shd w:val="clear" w:color="auto" w:fill="auto"/>
          </w:tcPr>
          <w:p w:rsidR="00705D32" w:rsidRPr="0052084F" w:rsidRDefault="00705D32" w:rsidP="00B81843">
            <w:pPr>
              <w:jc w:val="both"/>
              <w:rPr>
                <w:rFonts w:ascii="Arial" w:hAnsi="Arial" w:cs="Arial"/>
              </w:rPr>
            </w:pPr>
          </w:p>
        </w:tc>
      </w:tr>
    </w:tbl>
    <w:p w:rsidR="00705D32" w:rsidRDefault="00705D32" w:rsidP="00705D32">
      <w:pPr>
        <w:jc w:val="both"/>
        <w:rPr>
          <w:rFonts w:ascii="Arial" w:eastAsia="Times New Roman" w:hAnsi="Arial" w:cs="Arial"/>
        </w:rPr>
      </w:pPr>
      <w:r w:rsidRPr="00C76117">
        <w:rPr>
          <w:rFonts w:ascii="Arial" w:eastAsia="Times New Roman" w:hAnsi="Arial" w:cs="Arial"/>
        </w:rPr>
        <w:t xml:space="preserve">En donde </w:t>
      </w:r>
      <m:oMath>
        <m:acc>
          <m:accPr>
            <m:chr m:val="⃗"/>
            <m:ctrlPr>
              <w:rPr>
                <w:rFonts w:ascii="Cambria Math" w:eastAsia="Times New Roman" w:hAnsi="Arial" w:cs="Arial"/>
                <w:i/>
              </w:rPr>
            </m:ctrlPr>
          </m:accPr>
          <m:e>
            <m:r>
              <w:rPr>
                <w:rFonts w:ascii="Cambria Math" w:eastAsia="Times New Roman" w:hAnsi="Cambria Math" w:cs="Arial"/>
              </w:rPr>
              <m:t>x</m:t>
            </m:r>
          </m:e>
        </m:acc>
        <m:r>
          <w:rPr>
            <w:rFonts w:ascii="Cambria Math" w:eastAsia="Times New Roman" w:hAnsi="Arial" w:cs="Arial"/>
          </w:rPr>
          <m:t>=</m:t>
        </m:r>
        <m:d>
          <m:dPr>
            <m:ctrlPr>
              <w:rPr>
                <w:rFonts w:ascii="Cambria Math" w:eastAsia="Times New Roman" w:hAnsi="Arial" w:cs="Arial"/>
                <w:i/>
              </w:rPr>
            </m:ctrlPr>
          </m:dPr>
          <m:e>
            <m:r>
              <w:rPr>
                <w:rFonts w:ascii="Cambria Math" w:eastAsia="Times New Roman" w:hAnsi="Cambria Math" w:cs="Arial"/>
              </w:rPr>
              <m:t>x</m:t>
            </m:r>
            <m:r>
              <w:rPr>
                <w:rFonts w:ascii="Cambria Math" w:eastAsia="Times New Roman" w:hAnsi="Arial" w:cs="Arial"/>
              </w:rPr>
              <m:t>,</m:t>
            </m:r>
            <m:r>
              <w:rPr>
                <w:rFonts w:ascii="Cambria Math" w:eastAsia="Times New Roman" w:hAnsi="Cambria Math" w:cs="Arial"/>
              </w:rPr>
              <m:t>y</m:t>
            </m:r>
            <m:r>
              <w:rPr>
                <w:rFonts w:ascii="Cambria Math" w:eastAsia="Times New Roman" w:hAnsi="Arial" w:cs="Arial"/>
              </w:rPr>
              <m:t>,</m:t>
            </m:r>
            <m:r>
              <w:rPr>
                <w:rFonts w:ascii="Cambria Math" w:eastAsia="Times New Roman" w:hAnsi="Cambria Math" w:cs="Arial"/>
              </w:rPr>
              <m:t>z</m:t>
            </m:r>
          </m:e>
        </m:d>
      </m:oMath>
      <w:r w:rsidRPr="00C76117">
        <w:rPr>
          <w:rFonts w:ascii="Arial" w:eastAsia="Times New Roman" w:hAnsi="Arial" w:cs="Arial"/>
        </w:rPr>
        <w:t xml:space="preserve">, </w:t>
      </w:r>
      <m:oMath>
        <m:acc>
          <m:accPr>
            <m:chr m:val="⃗"/>
            <m:ctrlPr>
              <w:rPr>
                <w:rFonts w:ascii="Cambria Math" w:eastAsia="Times New Roman" w:hAnsi="Arial" w:cs="Arial"/>
                <w:i/>
              </w:rPr>
            </m:ctrlPr>
          </m:accPr>
          <m:e>
            <m:r>
              <w:rPr>
                <w:rFonts w:ascii="Cambria Math" w:eastAsia="Times New Roman" w:hAnsi="Cambria Math" w:cs="Arial"/>
              </w:rPr>
              <m:t>h</m:t>
            </m:r>
          </m:e>
        </m:acc>
        <m:r>
          <w:rPr>
            <w:rFonts w:ascii="Cambria Math" w:eastAsia="Times New Roman" w:hAnsi="Arial" w:cs="Arial"/>
          </w:rPr>
          <m:t>=</m:t>
        </m:r>
        <m:d>
          <m:dPr>
            <m:ctrlPr>
              <w:rPr>
                <w:rFonts w:ascii="Cambria Math" w:eastAsia="Times New Roman" w:hAnsi="Arial" w:cs="Arial"/>
                <w:i/>
              </w:rPr>
            </m:ctrlPr>
          </m:dPr>
          <m:e>
            <m:sSub>
              <m:sSubPr>
                <m:ctrlPr>
                  <w:rPr>
                    <w:rFonts w:ascii="Cambria Math" w:eastAsia="Times New Roman" w:hAnsi="Arial" w:cs="Arial"/>
                    <w:i/>
                  </w:rPr>
                </m:ctrlPr>
              </m:sSubPr>
              <m:e>
                <m:r>
                  <w:rPr>
                    <w:rFonts w:ascii="Cambria Math" w:eastAsia="Times New Roman" w:hAnsi="Cambria Math" w:cs="Arial"/>
                  </w:rPr>
                  <m:t>h</m:t>
                </m:r>
              </m:e>
              <m:sub>
                <m:r>
                  <w:rPr>
                    <w:rFonts w:ascii="Cambria Math" w:eastAsia="Times New Roman" w:hAnsi="Arial" w:cs="Arial"/>
                  </w:rPr>
                  <m:t>1</m:t>
                </m:r>
              </m:sub>
            </m:sSub>
            <m:r>
              <w:rPr>
                <w:rFonts w:ascii="Cambria Math" w:eastAsia="Times New Roman" w:hAnsi="Arial" w:cs="Arial"/>
              </w:rPr>
              <m:t>,</m:t>
            </m:r>
            <m:sSub>
              <m:sSubPr>
                <m:ctrlPr>
                  <w:rPr>
                    <w:rFonts w:ascii="Cambria Math" w:eastAsia="Times New Roman" w:hAnsi="Arial" w:cs="Arial"/>
                    <w:i/>
                  </w:rPr>
                </m:ctrlPr>
              </m:sSubPr>
              <m:e>
                <m:r>
                  <w:rPr>
                    <w:rFonts w:ascii="Cambria Math" w:eastAsia="Times New Roman" w:hAnsi="Cambria Math" w:cs="Arial"/>
                  </w:rPr>
                  <m:t>h</m:t>
                </m:r>
              </m:e>
              <m:sub>
                <m:r>
                  <w:rPr>
                    <w:rFonts w:ascii="Cambria Math" w:eastAsia="Times New Roman" w:hAnsi="Arial" w:cs="Arial"/>
                  </w:rPr>
                  <m:t>2</m:t>
                </m:r>
              </m:sub>
            </m:sSub>
            <m:r>
              <w:rPr>
                <w:rFonts w:ascii="Cambria Math" w:eastAsia="Times New Roman" w:hAnsi="Arial" w:cs="Arial"/>
              </w:rPr>
              <m:t>,</m:t>
            </m:r>
            <m:sSub>
              <m:sSubPr>
                <m:ctrlPr>
                  <w:rPr>
                    <w:rFonts w:ascii="Cambria Math" w:eastAsia="Times New Roman" w:hAnsi="Arial" w:cs="Arial"/>
                    <w:i/>
                  </w:rPr>
                </m:ctrlPr>
              </m:sSubPr>
              <m:e>
                <m:r>
                  <w:rPr>
                    <w:rFonts w:ascii="Cambria Math" w:eastAsia="Times New Roman" w:hAnsi="Cambria Math" w:cs="Arial"/>
                  </w:rPr>
                  <m:t>h</m:t>
                </m:r>
              </m:e>
              <m:sub>
                <m:r>
                  <w:rPr>
                    <w:rFonts w:ascii="Cambria Math" w:eastAsia="Times New Roman" w:hAnsi="Arial" w:cs="Arial"/>
                  </w:rPr>
                  <m:t>3</m:t>
                </m:r>
              </m:sub>
            </m:sSub>
          </m:e>
        </m:d>
      </m:oMath>
      <w:r w:rsidRPr="00C76117">
        <w:rPr>
          <w:rFonts w:ascii="Arial" w:eastAsia="Times New Roman" w:hAnsi="Arial" w:cs="Arial"/>
        </w:rPr>
        <w:t xml:space="preserve"> y </w:t>
      </w:r>
      <m:oMath>
        <m:sSub>
          <m:sSubPr>
            <m:ctrlPr>
              <w:rPr>
                <w:rFonts w:ascii="Cambria Math" w:eastAsia="Times New Roman" w:hAnsi="Arial" w:cs="Arial"/>
                <w:i/>
              </w:rPr>
            </m:ctrlPr>
          </m:sSubPr>
          <m:e>
            <m:r>
              <w:rPr>
                <w:rFonts w:ascii="Cambria Math" w:eastAsia="Times New Roman" w:hAnsi="Cambria Math" w:cs="Arial"/>
              </w:rPr>
              <m:t>J</m:t>
            </m:r>
          </m:e>
          <m:sub>
            <m:acc>
              <m:accPr>
                <m:chr m:val="⃗"/>
                <m:ctrlPr>
                  <w:rPr>
                    <w:rFonts w:ascii="Cambria Math" w:eastAsia="Times New Roman" w:hAnsi="Arial" w:cs="Arial"/>
                    <w:i/>
                  </w:rPr>
                </m:ctrlPr>
              </m:accPr>
              <m:e>
                <m:r>
                  <w:rPr>
                    <w:rFonts w:ascii="Cambria Math" w:eastAsia="Times New Roman" w:hAnsi="Cambria Math" w:cs="Arial"/>
                  </w:rPr>
                  <m:t>z</m:t>
                </m:r>
              </m:e>
            </m:acc>
          </m:sub>
        </m:sSub>
        <m:r>
          <w:rPr>
            <w:rFonts w:ascii="Cambria Math" w:eastAsia="Times New Roman" w:hAnsi="Cambria Math" w:cs="Arial"/>
          </w:rPr>
          <m:t>U</m:t>
        </m:r>
        <m:d>
          <m:dPr>
            <m:ctrlPr>
              <w:rPr>
                <w:rFonts w:ascii="Cambria Math" w:eastAsia="Times New Roman" w:hAnsi="Arial" w:cs="Arial"/>
                <w:i/>
              </w:rPr>
            </m:ctrlPr>
          </m:dPr>
          <m:e>
            <m:acc>
              <m:accPr>
                <m:chr m:val="⃗"/>
                <m:ctrlPr>
                  <w:rPr>
                    <w:rFonts w:ascii="Cambria Math" w:eastAsia="Times New Roman" w:hAnsi="Arial" w:cs="Arial"/>
                    <w:i/>
                  </w:rPr>
                </m:ctrlPr>
              </m:accPr>
              <m:e>
                <m:r>
                  <w:rPr>
                    <w:rFonts w:ascii="Cambria Math" w:eastAsia="Times New Roman" w:hAnsi="Cambria Math" w:cs="Arial"/>
                  </w:rPr>
                  <m:t>x</m:t>
                </m:r>
              </m:e>
            </m:acc>
          </m:e>
        </m:d>
      </m:oMath>
      <w:r w:rsidRPr="00C76117">
        <w:rPr>
          <w:rFonts w:ascii="Arial" w:eastAsia="Times New Roman" w:hAnsi="Arial" w:cs="Arial"/>
        </w:rPr>
        <w:t xml:space="preserve"> es el Jacobiano de </w:t>
      </w:r>
      <m:oMath>
        <m:r>
          <w:rPr>
            <w:rFonts w:ascii="Cambria Math" w:eastAsia="Times New Roman" w:hAnsi="Cambria Math" w:cs="Arial"/>
          </w:rPr>
          <m:t>U</m:t>
        </m:r>
      </m:oMath>
      <w:r w:rsidRPr="00C76117">
        <w:rPr>
          <w:rFonts w:ascii="Arial" w:eastAsia="Times New Roman" w:hAnsi="Arial" w:cs="Arial"/>
        </w:rPr>
        <w:t xml:space="preserve"> en el punto </w:t>
      </w:r>
      <m:oMath>
        <m:acc>
          <m:accPr>
            <m:chr m:val="⃗"/>
            <m:ctrlPr>
              <w:rPr>
                <w:rFonts w:ascii="Cambria Math" w:eastAsia="Times New Roman" w:hAnsi="Arial" w:cs="Arial"/>
                <w:i/>
              </w:rPr>
            </m:ctrlPr>
          </m:accPr>
          <m:e>
            <m:r>
              <w:rPr>
                <w:rFonts w:ascii="Cambria Math" w:eastAsia="Times New Roman" w:hAnsi="Cambria Math" w:cs="Arial"/>
              </w:rPr>
              <m:t>x</m:t>
            </m:r>
          </m:e>
        </m:acc>
      </m:oMath>
      <w:r w:rsidRPr="00C76117">
        <w:rPr>
          <w:rFonts w:ascii="Arial" w:eastAsia="Times New Roman" w:hAnsi="Arial" w:cs="Arial"/>
        </w:rPr>
        <w:t xml:space="preserve">. Si </w:t>
      </w:r>
      <m:oMath>
        <m:acc>
          <m:accPr>
            <m:chr m:val="⃗"/>
            <m:ctrlPr>
              <w:rPr>
                <w:rFonts w:ascii="Cambria Math" w:eastAsia="Times New Roman" w:hAnsi="Arial" w:cs="Arial"/>
                <w:i/>
              </w:rPr>
            </m:ctrlPr>
          </m:accPr>
          <m:e>
            <m:r>
              <w:rPr>
                <w:rFonts w:ascii="Cambria Math" w:eastAsia="Times New Roman" w:hAnsi="Cambria Math" w:cs="Arial"/>
              </w:rPr>
              <m:t>h</m:t>
            </m:r>
          </m:e>
        </m:acc>
        <m:r>
          <w:rPr>
            <w:rFonts w:ascii="Cambria Math" w:eastAsia="Times New Roman" w:hAnsi="Arial" w:cs="Arial"/>
          </w:rPr>
          <m:t>→</m:t>
        </m:r>
        <m:r>
          <w:rPr>
            <w:rFonts w:ascii="Cambria Math" w:eastAsia="Times New Roman" w:hAnsi="Arial" w:cs="Arial"/>
          </w:rPr>
          <m:t>0</m:t>
        </m:r>
      </m:oMath>
      <w:r w:rsidRPr="00C76117">
        <w:rPr>
          <w:rFonts w:ascii="Arial" w:eastAsia="Times New Roman" w:hAnsi="Arial" w:cs="Arial"/>
        </w:rPr>
        <w:t xml:space="preserve"> se puede tomar a </w:t>
      </w:r>
      <m:oMath>
        <m:r>
          <w:rPr>
            <w:rFonts w:ascii="Cambria Math" w:eastAsia="Times New Roman" w:hAnsi="Cambria Math" w:cs="Arial"/>
          </w:rPr>
          <m:t>U</m:t>
        </m:r>
        <m:d>
          <m:dPr>
            <m:ctrlPr>
              <w:rPr>
                <w:rFonts w:ascii="Cambria Math" w:eastAsia="Times New Roman" w:hAnsi="Arial" w:cs="Arial"/>
                <w:i/>
              </w:rPr>
            </m:ctrlPr>
          </m:dPr>
          <m:e>
            <m:acc>
              <m:accPr>
                <m:chr m:val="⃗"/>
                <m:ctrlPr>
                  <w:rPr>
                    <w:rFonts w:ascii="Cambria Math" w:eastAsia="Times New Roman" w:hAnsi="Arial" w:cs="Arial"/>
                    <w:i/>
                  </w:rPr>
                </m:ctrlPr>
              </m:accPr>
              <m:e>
                <m:r>
                  <w:rPr>
                    <w:rFonts w:ascii="Cambria Math" w:eastAsia="Times New Roman" w:hAnsi="Cambria Math" w:cs="Arial"/>
                  </w:rPr>
                  <m:t>x</m:t>
                </m:r>
              </m:e>
            </m:acc>
          </m:e>
        </m:d>
        <m:r>
          <w:rPr>
            <w:rFonts w:ascii="Cambria Math" w:eastAsia="Times New Roman" w:hAnsi="Arial" w:cs="Arial"/>
          </w:rPr>
          <m:t>+</m:t>
        </m:r>
        <m:sSub>
          <m:sSubPr>
            <m:ctrlPr>
              <w:rPr>
                <w:rFonts w:ascii="Cambria Math" w:eastAsia="Times New Roman" w:hAnsi="Arial" w:cs="Arial"/>
                <w:i/>
              </w:rPr>
            </m:ctrlPr>
          </m:sSubPr>
          <m:e>
            <m:r>
              <w:rPr>
                <w:rFonts w:ascii="Cambria Math" w:eastAsia="Times New Roman" w:hAnsi="Cambria Math" w:cs="Arial"/>
              </w:rPr>
              <m:t>J</m:t>
            </m:r>
          </m:e>
          <m:sub>
            <m:acc>
              <m:accPr>
                <m:chr m:val="⃗"/>
                <m:ctrlPr>
                  <w:rPr>
                    <w:rFonts w:ascii="Cambria Math" w:eastAsia="Times New Roman" w:hAnsi="Arial" w:cs="Arial"/>
                    <w:i/>
                  </w:rPr>
                </m:ctrlPr>
              </m:accPr>
              <m:e>
                <m:r>
                  <w:rPr>
                    <w:rFonts w:ascii="Cambria Math" w:eastAsia="Times New Roman" w:hAnsi="Cambria Math" w:cs="Arial"/>
                  </w:rPr>
                  <m:t>z</m:t>
                </m:r>
              </m:e>
            </m:acc>
          </m:sub>
        </m:sSub>
        <m:r>
          <w:rPr>
            <w:rFonts w:ascii="Cambria Math" w:eastAsia="Times New Roman" w:hAnsi="Cambria Math" w:cs="Arial"/>
          </w:rPr>
          <m:t>U</m:t>
        </m:r>
        <m:d>
          <m:dPr>
            <m:ctrlPr>
              <w:rPr>
                <w:rFonts w:ascii="Cambria Math" w:eastAsia="Times New Roman" w:hAnsi="Arial" w:cs="Arial"/>
                <w:i/>
              </w:rPr>
            </m:ctrlPr>
          </m:dPr>
          <m:e>
            <m:acc>
              <m:accPr>
                <m:chr m:val="⃗"/>
                <m:ctrlPr>
                  <w:rPr>
                    <w:rFonts w:ascii="Cambria Math" w:eastAsia="Times New Roman" w:hAnsi="Arial" w:cs="Arial"/>
                    <w:i/>
                  </w:rPr>
                </m:ctrlPr>
              </m:accPr>
              <m:e>
                <m:r>
                  <w:rPr>
                    <w:rFonts w:ascii="Cambria Math" w:eastAsia="Times New Roman" w:hAnsi="Cambria Math" w:cs="Arial"/>
                  </w:rPr>
                  <m:t>x</m:t>
                </m:r>
              </m:e>
            </m:acc>
          </m:e>
        </m:d>
        <m:acc>
          <m:accPr>
            <m:chr m:val="⃗"/>
            <m:ctrlPr>
              <w:rPr>
                <w:rFonts w:ascii="Cambria Math" w:eastAsia="Times New Roman" w:hAnsi="Arial" w:cs="Arial"/>
                <w:i/>
              </w:rPr>
            </m:ctrlPr>
          </m:accPr>
          <m:e>
            <m:r>
              <w:rPr>
                <w:rFonts w:ascii="Cambria Math" w:eastAsia="Times New Roman" w:hAnsi="Cambria Math" w:cs="Arial"/>
              </w:rPr>
              <m:t>h</m:t>
            </m:r>
          </m:e>
        </m:acc>
      </m:oMath>
      <w:r w:rsidRPr="00C76117">
        <w:rPr>
          <w:rFonts w:ascii="Arial" w:eastAsia="Times New Roman" w:hAnsi="Arial" w:cs="Arial"/>
        </w:rPr>
        <w:t xml:space="preserve"> como el valor aproximado de </w:t>
      </w:r>
      <m:oMath>
        <m:r>
          <w:rPr>
            <w:rFonts w:ascii="Cambria Math" w:eastAsia="Times New Roman" w:hAnsi="Cambria Math" w:cs="Arial"/>
          </w:rPr>
          <m:t>U</m:t>
        </m:r>
        <m:d>
          <m:dPr>
            <m:ctrlPr>
              <w:rPr>
                <w:rFonts w:ascii="Cambria Math" w:eastAsia="Times New Roman" w:hAnsi="Arial" w:cs="Arial"/>
                <w:i/>
              </w:rPr>
            </m:ctrlPr>
          </m:dPr>
          <m:e>
            <m:acc>
              <m:accPr>
                <m:chr m:val="⃗"/>
                <m:ctrlPr>
                  <w:rPr>
                    <w:rFonts w:ascii="Cambria Math" w:eastAsia="Times New Roman" w:hAnsi="Arial" w:cs="Arial"/>
                    <w:i/>
                  </w:rPr>
                </m:ctrlPr>
              </m:accPr>
              <m:e>
                <m:r>
                  <w:rPr>
                    <w:rFonts w:ascii="Cambria Math" w:eastAsia="Times New Roman" w:hAnsi="Cambria Math" w:cs="Arial"/>
                  </w:rPr>
                  <m:t>x</m:t>
                </m:r>
              </m:e>
            </m:acc>
            <m:r>
              <w:rPr>
                <w:rFonts w:ascii="Cambria Math" w:eastAsia="Times New Roman" w:hAnsi="Arial" w:cs="Arial"/>
              </w:rPr>
              <m:t>+</m:t>
            </m:r>
            <m:acc>
              <m:accPr>
                <m:chr m:val="⃗"/>
                <m:ctrlPr>
                  <w:rPr>
                    <w:rFonts w:ascii="Cambria Math" w:eastAsia="Times New Roman" w:hAnsi="Arial" w:cs="Arial"/>
                    <w:i/>
                  </w:rPr>
                </m:ctrlPr>
              </m:accPr>
              <m:e>
                <m:r>
                  <w:rPr>
                    <w:rFonts w:ascii="Cambria Math" w:eastAsia="Times New Roman" w:hAnsi="Cambria Math" w:cs="Arial"/>
                  </w:rPr>
                  <m:t>h</m:t>
                </m:r>
              </m:e>
            </m:acc>
          </m:e>
        </m:d>
      </m:oMath>
      <w:r w:rsidRPr="00C76117">
        <w:rPr>
          <w:rFonts w:ascii="Arial" w:eastAsia="Times New Roman" w:hAnsi="Arial" w:cs="Arial"/>
        </w:rPr>
        <w:t>.</w:t>
      </w:r>
    </w:p>
    <w:p w:rsidR="00705D32" w:rsidRPr="00C76117" w:rsidRDefault="00705D32" w:rsidP="00705D32">
      <w:pPr>
        <w:jc w:val="both"/>
        <w:rPr>
          <w:rFonts w:ascii="Arial" w:eastAsia="Times New Roman" w:hAnsi="Arial" w:cs="Arial"/>
        </w:rPr>
      </w:pPr>
    </w:p>
    <w:p w:rsidR="00705D32" w:rsidRDefault="00705D32" w:rsidP="00705D32">
      <w:pPr>
        <w:jc w:val="both"/>
        <w:rPr>
          <w:rFonts w:ascii="Arial" w:eastAsia="Times New Roman" w:hAnsi="Arial" w:cs="Arial"/>
        </w:rPr>
      </w:pPr>
      <m:oMath>
        <m:r>
          <w:rPr>
            <w:rFonts w:ascii="Cambria Math" w:eastAsia="Times New Roman" w:hAnsi="Cambria Math" w:cs="Arial"/>
          </w:rPr>
          <m:t>U</m:t>
        </m:r>
        <m:d>
          <m:dPr>
            <m:ctrlPr>
              <w:rPr>
                <w:rFonts w:ascii="Cambria Math" w:eastAsia="Times New Roman" w:hAnsi="Cambria Math" w:cs="Arial"/>
                <w:i/>
              </w:rPr>
            </m:ctrlPr>
          </m:dPr>
          <m:e>
            <m:acc>
              <m:accPr>
                <m:chr m:val="⃗"/>
                <m:ctrlPr>
                  <w:rPr>
                    <w:rFonts w:ascii="Cambria Math" w:eastAsia="Times New Roman" w:hAnsi="Cambria Math" w:cs="Arial"/>
                    <w:i/>
                  </w:rPr>
                </m:ctrlPr>
              </m:accPr>
              <m:e>
                <m:r>
                  <w:rPr>
                    <w:rFonts w:ascii="Cambria Math" w:eastAsia="Times New Roman" w:hAnsi="Cambria Math" w:cs="Arial"/>
                  </w:rPr>
                  <m:t>x</m:t>
                </m:r>
              </m:e>
            </m:acc>
          </m:e>
        </m:d>
        <m:r>
          <w:rPr>
            <w:rFonts w:ascii="Cambria Math" w:eastAsia="Times New Roman" w:hAnsi="Cambria Math" w:cs="Arial"/>
          </w:rPr>
          <m:t xml:space="preserve"> </m:t>
        </m:r>
      </m:oMath>
      <w:r>
        <w:rPr>
          <w:rFonts w:ascii="Arial" w:eastAsia="Times New Roman" w:hAnsi="Arial" w:cs="Arial"/>
        </w:rPr>
        <w:t xml:space="preserve">Representa una translación, en tanto que </w:t>
      </w:r>
      <m:oMath>
        <m:sSub>
          <m:sSubPr>
            <m:ctrlPr>
              <w:rPr>
                <w:rFonts w:ascii="Cambria Math" w:eastAsia="Times New Roman" w:hAnsi="Cambria Math" w:cs="Arial"/>
                <w:i/>
              </w:rPr>
            </m:ctrlPr>
          </m:sSubPr>
          <m:e>
            <m:r>
              <w:rPr>
                <w:rFonts w:ascii="Cambria Math" w:eastAsia="Times New Roman" w:hAnsi="Cambria Math" w:cs="Arial"/>
              </w:rPr>
              <m:t>J</m:t>
            </m:r>
          </m:e>
          <m:sub>
            <m:acc>
              <m:accPr>
                <m:chr m:val="⃗"/>
                <m:ctrlPr>
                  <w:rPr>
                    <w:rFonts w:ascii="Cambria Math" w:eastAsia="Times New Roman" w:hAnsi="Cambria Math" w:cs="Arial"/>
                    <w:i/>
                  </w:rPr>
                </m:ctrlPr>
              </m:accPr>
              <m:e>
                <m:r>
                  <w:rPr>
                    <w:rFonts w:ascii="Cambria Math" w:eastAsia="Times New Roman" w:hAnsi="Cambria Math" w:cs="Arial"/>
                  </w:rPr>
                  <m:t>z</m:t>
                </m:r>
              </m:e>
            </m:acc>
          </m:sub>
        </m:sSub>
        <m:r>
          <w:rPr>
            <w:rFonts w:ascii="Cambria Math" w:eastAsia="Times New Roman" w:hAnsi="Cambria Math" w:cs="Arial"/>
          </w:rPr>
          <m:t>U</m:t>
        </m:r>
        <m:d>
          <m:dPr>
            <m:ctrlPr>
              <w:rPr>
                <w:rFonts w:ascii="Cambria Math" w:eastAsia="Times New Roman" w:hAnsi="Cambria Math" w:cs="Arial"/>
                <w:i/>
              </w:rPr>
            </m:ctrlPr>
          </m:dPr>
          <m:e>
            <m:acc>
              <m:accPr>
                <m:chr m:val="⃗"/>
                <m:ctrlPr>
                  <w:rPr>
                    <w:rFonts w:ascii="Cambria Math" w:eastAsia="Times New Roman" w:hAnsi="Cambria Math" w:cs="Arial"/>
                    <w:i/>
                  </w:rPr>
                </m:ctrlPr>
              </m:accPr>
              <m:e>
                <m:r>
                  <w:rPr>
                    <w:rFonts w:ascii="Cambria Math" w:eastAsia="Times New Roman" w:hAnsi="Cambria Math" w:cs="Arial"/>
                  </w:rPr>
                  <m:t>x</m:t>
                </m:r>
              </m:e>
            </m:acc>
          </m:e>
        </m:d>
        <m:acc>
          <m:accPr>
            <m:chr m:val="⃗"/>
            <m:ctrlPr>
              <w:rPr>
                <w:rFonts w:ascii="Cambria Math" w:eastAsia="Times New Roman" w:hAnsi="Cambria Math" w:cs="Arial"/>
                <w:i/>
              </w:rPr>
            </m:ctrlPr>
          </m:accPr>
          <m:e>
            <m:r>
              <w:rPr>
                <w:rFonts w:ascii="Cambria Math" w:eastAsia="Times New Roman" w:hAnsi="Cambria Math" w:cs="Arial"/>
              </w:rPr>
              <m:t>h</m:t>
            </m:r>
          </m:e>
        </m:acc>
      </m:oMath>
      <w:r>
        <w:rPr>
          <w:rFonts w:ascii="Arial" w:eastAsia="Times New Roman" w:hAnsi="Arial" w:cs="Arial"/>
        </w:rPr>
        <w:t xml:space="preserve"> se escribe como</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1345E4" w:rsidP="00B81843">
            <w:pPr>
              <w:jc w:val="center"/>
              <w:rPr>
                <w:rFonts w:ascii="Arial" w:eastAsia="Times New Roman" w:hAnsi="Arial" w:cs="Arial"/>
              </w:rPr>
            </w:pPr>
            <m:oMathPara>
              <m:oMath>
                <m:sSub>
                  <m:sSubPr>
                    <m:ctrlPr>
                      <w:rPr>
                        <w:rFonts w:ascii="Cambria Math" w:eastAsia="Times New Roman" w:hAnsi="Cambria Math" w:cs="Arial"/>
                        <w:i/>
                      </w:rPr>
                    </m:ctrlPr>
                  </m:sSubPr>
                  <m:e>
                    <m:r>
                      <w:rPr>
                        <w:rFonts w:ascii="Cambria Math" w:eastAsia="Times New Roman" w:hAnsi="Cambria Math" w:cs="Arial"/>
                      </w:rPr>
                      <m:t>J</m:t>
                    </m:r>
                  </m:e>
                  <m:sub>
                    <m:acc>
                      <m:accPr>
                        <m:chr m:val="⃗"/>
                        <m:ctrlPr>
                          <w:rPr>
                            <w:rFonts w:ascii="Cambria Math" w:eastAsia="Times New Roman" w:hAnsi="Cambria Math" w:cs="Arial"/>
                            <w:i/>
                          </w:rPr>
                        </m:ctrlPr>
                      </m:accPr>
                      <m:e>
                        <m:r>
                          <w:rPr>
                            <w:rFonts w:ascii="Cambria Math" w:eastAsia="Times New Roman" w:hAnsi="Cambria Math" w:cs="Arial"/>
                          </w:rPr>
                          <m:t>z</m:t>
                        </m:r>
                      </m:e>
                    </m:acc>
                  </m:sub>
                </m:sSub>
                <m:r>
                  <w:rPr>
                    <w:rFonts w:ascii="Cambria Math" w:eastAsia="Times New Roman" w:hAnsi="Cambria Math" w:cs="Arial"/>
                  </w:rPr>
                  <m:t>U</m:t>
                </m:r>
                <m:d>
                  <m:dPr>
                    <m:ctrlPr>
                      <w:rPr>
                        <w:rFonts w:ascii="Cambria Math" w:eastAsia="Times New Roman" w:hAnsi="Cambria Math" w:cs="Arial"/>
                        <w:i/>
                      </w:rPr>
                    </m:ctrlPr>
                  </m:dPr>
                  <m:e>
                    <m:acc>
                      <m:accPr>
                        <m:chr m:val="⃗"/>
                        <m:ctrlPr>
                          <w:rPr>
                            <w:rFonts w:ascii="Cambria Math" w:eastAsia="Times New Roman" w:hAnsi="Cambria Math" w:cs="Arial"/>
                            <w:i/>
                          </w:rPr>
                        </m:ctrlPr>
                      </m:accPr>
                      <m:e>
                        <m:r>
                          <w:rPr>
                            <w:rFonts w:ascii="Cambria Math" w:eastAsia="Times New Roman" w:hAnsi="Cambria Math" w:cs="Arial"/>
                          </w:rPr>
                          <m:t>x</m:t>
                        </m:r>
                      </m:e>
                    </m:acc>
                  </m:e>
                </m:d>
                <m:acc>
                  <m:accPr>
                    <m:chr m:val="⃗"/>
                    <m:ctrlPr>
                      <w:rPr>
                        <w:rFonts w:ascii="Cambria Math" w:eastAsia="Times New Roman" w:hAnsi="Cambria Math" w:cs="Arial"/>
                        <w:i/>
                      </w:rPr>
                    </m:ctrlPr>
                  </m:accPr>
                  <m:e>
                    <m:r>
                      <w:rPr>
                        <w:rFonts w:ascii="Cambria Math" w:eastAsia="Times New Roman" w:hAnsi="Cambria Math" w:cs="Arial"/>
                      </w:rPr>
                      <m:t>h</m:t>
                    </m:r>
                  </m:e>
                </m:acc>
                <m:r>
                  <w:rPr>
                    <w:rFonts w:ascii="Cambria Math" w:eastAsia="Times New Roman" w:hAnsi="Cambria Math" w:cs="Arial"/>
                  </w:rPr>
                  <m:t>=</m:t>
                </m:r>
                <m:d>
                  <m:dPr>
                    <m:ctrlPr>
                      <w:rPr>
                        <w:rFonts w:ascii="Cambria Math" w:eastAsia="Times New Roman" w:hAnsi="Cambria Math" w:cs="Arial"/>
                        <w:i/>
                      </w:rPr>
                    </m:ctrlPr>
                  </m:dPr>
                  <m:e>
                    <m:m>
                      <m:mPr>
                        <m:mcs>
                          <m:mc>
                            <m:mcPr>
                              <m:count m:val="3"/>
                              <m:mcJc m:val="center"/>
                            </m:mcPr>
                          </m:mc>
                        </m:mcs>
                        <m:ctrlPr>
                          <w:rPr>
                            <w:rFonts w:ascii="Cambria Math" w:eastAsia="Times New Roman" w:hAnsi="Cambria Math" w:cs="Arial"/>
                            <w:i/>
                          </w:rPr>
                        </m:ctrlPr>
                      </m:mPr>
                      <m:mr>
                        <m:e>
                          <m:sSub>
                            <m:sSubPr>
                              <m:ctrlPr>
                                <w:rPr>
                                  <w:rFonts w:ascii="Cambria Math" w:eastAsia="Times New Roman" w:hAnsi="Cambria Math" w:cs="Arial"/>
                                  <w:i/>
                                </w:rPr>
                              </m:ctrlPr>
                            </m:sSubPr>
                            <m:e>
                              <m:r>
                                <w:rPr>
                                  <w:rFonts w:ascii="Cambria Math" w:eastAsia="Times New Roman" w:hAnsi="Cambria Math" w:cs="Arial"/>
                                </w:rPr>
                                <m:t>u</m:t>
                              </m:r>
                            </m:e>
                            <m:sub>
                              <m:r>
                                <w:rPr>
                                  <w:rFonts w:ascii="Cambria Math" w:eastAsia="Times New Roman" w:hAnsi="Cambria Math" w:cs="Arial"/>
                                </w:rPr>
                                <m:t>x</m:t>
                              </m:r>
                            </m:sub>
                          </m:sSub>
                        </m:e>
                        <m:e>
                          <m:sSub>
                            <m:sSubPr>
                              <m:ctrlPr>
                                <w:rPr>
                                  <w:rFonts w:ascii="Cambria Math" w:eastAsia="Times New Roman" w:hAnsi="Cambria Math" w:cs="Arial"/>
                                  <w:i/>
                                </w:rPr>
                              </m:ctrlPr>
                            </m:sSubPr>
                            <m:e>
                              <m:r>
                                <w:rPr>
                                  <w:rFonts w:ascii="Cambria Math" w:eastAsia="Times New Roman" w:hAnsi="Cambria Math" w:cs="Arial"/>
                                </w:rPr>
                                <m:t>u</m:t>
                              </m:r>
                            </m:e>
                            <m:sub>
                              <m:r>
                                <w:rPr>
                                  <w:rFonts w:ascii="Cambria Math" w:eastAsia="Times New Roman" w:hAnsi="Cambria Math" w:cs="Arial"/>
                                </w:rPr>
                                <m:t>y</m:t>
                              </m:r>
                            </m:sub>
                          </m:sSub>
                        </m:e>
                        <m:e>
                          <m:sSub>
                            <m:sSubPr>
                              <m:ctrlPr>
                                <w:rPr>
                                  <w:rFonts w:ascii="Cambria Math" w:eastAsia="Times New Roman" w:hAnsi="Cambria Math" w:cs="Arial"/>
                                  <w:i/>
                                </w:rPr>
                              </m:ctrlPr>
                            </m:sSubPr>
                            <m:e>
                              <m:r>
                                <w:rPr>
                                  <w:rFonts w:ascii="Cambria Math" w:eastAsia="Times New Roman" w:hAnsi="Cambria Math" w:cs="Arial"/>
                                </w:rPr>
                                <m:t>u</m:t>
                              </m:r>
                            </m:e>
                            <m:sub>
                              <m:r>
                                <w:rPr>
                                  <w:rFonts w:ascii="Cambria Math" w:eastAsia="Times New Roman" w:hAnsi="Cambria Math" w:cs="Arial"/>
                                </w:rPr>
                                <m:t>z</m:t>
                              </m:r>
                            </m:sub>
                          </m:sSub>
                        </m:e>
                      </m:mr>
                      <m:mr>
                        <m:e>
                          <m:sSub>
                            <m:sSubPr>
                              <m:ctrlPr>
                                <w:rPr>
                                  <w:rFonts w:ascii="Cambria Math" w:eastAsia="Times New Roman" w:hAnsi="Cambria Math" w:cs="Arial"/>
                                  <w:i/>
                                </w:rPr>
                              </m:ctrlPr>
                            </m:sSubPr>
                            <m:e>
                              <m:r>
                                <w:rPr>
                                  <w:rFonts w:ascii="Cambria Math" w:eastAsia="Times New Roman" w:hAnsi="Cambria Math" w:cs="Arial"/>
                                </w:rPr>
                                <m:t>v</m:t>
                              </m:r>
                            </m:e>
                            <m:sub>
                              <m:r>
                                <w:rPr>
                                  <w:rFonts w:ascii="Cambria Math" w:eastAsia="Times New Roman" w:hAnsi="Cambria Math" w:cs="Arial"/>
                                </w:rPr>
                                <m:t>x</m:t>
                              </m:r>
                            </m:sub>
                          </m:sSub>
                        </m:e>
                        <m:e>
                          <m:sSub>
                            <m:sSubPr>
                              <m:ctrlPr>
                                <w:rPr>
                                  <w:rFonts w:ascii="Cambria Math" w:eastAsia="Times New Roman" w:hAnsi="Cambria Math" w:cs="Arial"/>
                                  <w:i/>
                                </w:rPr>
                              </m:ctrlPr>
                            </m:sSubPr>
                            <m:e>
                              <m:r>
                                <w:rPr>
                                  <w:rFonts w:ascii="Cambria Math" w:eastAsia="Times New Roman" w:hAnsi="Cambria Math" w:cs="Arial"/>
                                </w:rPr>
                                <m:t>v</m:t>
                              </m:r>
                            </m:e>
                            <m:sub>
                              <m:r>
                                <w:rPr>
                                  <w:rFonts w:ascii="Cambria Math" w:eastAsia="Times New Roman" w:hAnsi="Cambria Math" w:cs="Arial"/>
                                </w:rPr>
                                <m:t>y</m:t>
                              </m:r>
                            </m:sub>
                          </m:sSub>
                        </m:e>
                        <m:e>
                          <m:sSub>
                            <m:sSubPr>
                              <m:ctrlPr>
                                <w:rPr>
                                  <w:rFonts w:ascii="Cambria Math" w:eastAsia="Times New Roman" w:hAnsi="Cambria Math" w:cs="Arial"/>
                                  <w:i/>
                                </w:rPr>
                              </m:ctrlPr>
                            </m:sSubPr>
                            <m:e>
                              <m:r>
                                <w:rPr>
                                  <w:rFonts w:ascii="Cambria Math" w:eastAsia="Times New Roman" w:hAnsi="Cambria Math" w:cs="Arial"/>
                                </w:rPr>
                                <m:t>v</m:t>
                              </m:r>
                            </m:e>
                            <m:sub>
                              <m:r>
                                <w:rPr>
                                  <w:rFonts w:ascii="Cambria Math" w:eastAsia="Times New Roman" w:hAnsi="Cambria Math" w:cs="Arial"/>
                                </w:rPr>
                                <m:t>z</m:t>
                              </m:r>
                            </m:sub>
                          </m:sSub>
                        </m:e>
                      </m:mr>
                      <m:mr>
                        <m:e>
                          <m:sSub>
                            <m:sSubPr>
                              <m:ctrlPr>
                                <w:rPr>
                                  <w:rFonts w:ascii="Cambria Math" w:eastAsia="Times New Roman" w:hAnsi="Cambria Math" w:cs="Arial"/>
                                  <w:i/>
                                </w:rPr>
                              </m:ctrlPr>
                            </m:sSubPr>
                            <m:e>
                              <m:r>
                                <w:rPr>
                                  <w:rFonts w:ascii="Cambria Math" w:eastAsia="Times New Roman" w:hAnsi="Cambria Math" w:cs="Arial"/>
                                </w:rPr>
                                <m:t>w</m:t>
                              </m:r>
                            </m:e>
                            <m:sub>
                              <m:r>
                                <w:rPr>
                                  <w:rFonts w:ascii="Cambria Math" w:eastAsia="Times New Roman" w:hAnsi="Cambria Math" w:cs="Arial"/>
                                </w:rPr>
                                <m:t>x</m:t>
                              </m:r>
                            </m:sub>
                          </m:sSub>
                        </m:e>
                        <m:e>
                          <m:sSub>
                            <m:sSubPr>
                              <m:ctrlPr>
                                <w:rPr>
                                  <w:rFonts w:ascii="Cambria Math" w:eastAsia="Times New Roman" w:hAnsi="Cambria Math" w:cs="Arial"/>
                                  <w:i/>
                                </w:rPr>
                              </m:ctrlPr>
                            </m:sSubPr>
                            <m:e>
                              <m:r>
                                <w:rPr>
                                  <w:rFonts w:ascii="Cambria Math" w:eastAsia="Times New Roman" w:hAnsi="Cambria Math" w:cs="Arial"/>
                                </w:rPr>
                                <m:t>w</m:t>
                              </m:r>
                            </m:e>
                            <m:sub>
                              <m:r>
                                <w:rPr>
                                  <w:rFonts w:ascii="Cambria Math" w:eastAsia="Times New Roman" w:hAnsi="Cambria Math" w:cs="Arial"/>
                                </w:rPr>
                                <m:t>y</m:t>
                              </m:r>
                            </m:sub>
                          </m:sSub>
                        </m:e>
                        <m:e>
                          <m:sSub>
                            <m:sSubPr>
                              <m:ctrlPr>
                                <w:rPr>
                                  <w:rFonts w:ascii="Cambria Math" w:eastAsia="Times New Roman" w:hAnsi="Cambria Math" w:cs="Arial"/>
                                  <w:i/>
                                </w:rPr>
                              </m:ctrlPr>
                            </m:sSubPr>
                            <m:e>
                              <m:r>
                                <w:rPr>
                                  <w:rFonts w:ascii="Cambria Math" w:eastAsia="Times New Roman" w:hAnsi="Cambria Math" w:cs="Arial"/>
                                </w:rPr>
                                <m:t>w</m:t>
                              </m:r>
                            </m:e>
                            <m:sub>
                              <m:r>
                                <w:rPr>
                                  <w:rFonts w:ascii="Cambria Math" w:eastAsia="Times New Roman" w:hAnsi="Cambria Math" w:cs="Arial"/>
                                </w:rPr>
                                <m:t>z</m:t>
                              </m:r>
                            </m:sub>
                          </m:sSub>
                        </m:e>
                      </m:mr>
                    </m:m>
                  </m:e>
                </m:d>
                <m:d>
                  <m:dPr>
                    <m:ctrlPr>
                      <w:rPr>
                        <w:rFonts w:ascii="Cambria Math" w:eastAsia="Times New Roman" w:hAnsi="Cambria Math" w:cs="Arial"/>
                        <w:i/>
                      </w:rPr>
                    </m:ctrlPr>
                  </m:dPr>
                  <m:e>
                    <m:m>
                      <m:mPr>
                        <m:mcs>
                          <m:mc>
                            <m:mcPr>
                              <m:count m:val="1"/>
                              <m:mcJc m:val="center"/>
                            </m:mcPr>
                          </m:mc>
                        </m:mcs>
                        <m:ctrlPr>
                          <w:rPr>
                            <w:rFonts w:ascii="Cambria Math" w:eastAsia="Times New Roman" w:hAnsi="Cambria Math" w:cs="Arial"/>
                            <w:i/>
                          </w:rPr>
                        </m:ctrlPr>
                      </m:mPr>
                      <m:mr>
                        <m:e>
                          <m:sSub>
                            <m:sSubPr>
                              <m:ctrlPr>
                                <w:rPr>
                                  <w:rFonts w:ascii="Cambria Math" w:eastAsia="Times New Roman" w:hAnsi="Cambria Math" w:cs="Arial"/>
                                  <w:i/>
                                </w:rPr>
                              </m:ctrlPr>
                            </m:sSubPr>
                            <m:e>
                              <m:r>
                                <w:rPr>
                                  <w:rFonts w:ascii="Cambria Math" w:eastAsia="Times New Roman" w:hAnsi="Cambria Math" w:cs="Arial"/>
                                </w:rPr>
                                <m:t>h</m:t>
                              </m:r>
                            </m:e>
                            <m:sub>
                              <m:r>
                                <w:rPr>
                                  <w:rFonts w:ascii="Cambria Math" w:eastAsia="Times New Roman" w:hAnsi="Cambria Math" w:cs="Arial"/>
                                </w:rPr>
                                <m:t>1</m:t>
                              </m:r>
                            </m:sub>
                          </m:sSub>
                        </m:e>
                      </m:mr>
                      <m:mr>
                        <m:e>
                          <m:sSub>
                            <m:sSubPr>
                              <m:ctrlPr>
                                <w:rPr>
                                  <w:rFonts w:ascii="Cambria Math" w:eastAsia="Times New Roman" w:hAnsi="Cambria Math" w:cs="Arial"/>
                                  <w:i/>
                                </w:rPr>
                              </m:ctrlPr>
                            </m:sSubPr>
                            <m:e>
                              <m:r>
                                <w:rPr>
                                  <w:rFonts w:ascii="Cambria Math" w:eastAsia="Times New Roman" w:hAnsi="Cambria Math" w:cs="Arial"/>
                                </w:rPr>
                                <m:t>h</m:t>
                              </m:r>
                            </m:e>
                            <m:sub>
                              <m:r>
                                <w:rPr>
                                  <w:rFonts w:ascii="Cambria Math" w:eastAsia="Times New Roman" w:hAnsi="Cambria Math" w:cs="Arial"/>
                                </w:rPr>
                                <m:t>2</m:t>
                              </m:r>
                            </m:sub>
                          </m:sSub>
                        </m:e>
                      </m:mr>
                      <m:mr>
                        <m:e>
                          <m:sSub>
                            <m:sSubPr>
                              <m:ctrlPr>
                                <w:rPr>
                                  <w:rFonts w:ascii="Cambria Math" w:eastAsia="Times New Roman" w:hAnsi="Cambria Math" w:cs="Arial"/>
                                  <w:i/>
                                </w:rPr>
                              </m:ctrlPr>
                            </m:sSubPr>
                            <m:e>
                              <m:r>
                                <w:rPr>
                                  <w:rFonts w:ascii="Cambria Math" w:eastAsia="Times New Roman" w:hAnsi="Cambria Math" w:cs="Arial"/>
                                </w:rPr>
                                <m:t>h</m:t>
                              </m:r>
                            </m:e>
                            <m:sub>
                              <m:r>
                                <w:rPr>
                                  <w:rFonts w:ascii="Cambria Math" w:eastAsia="Times New Roman" w:hAnsi="Cambria Math" w:cs="Arial"/>
                                </w:rPr>
                                <m:t>3</m:t>
                              </m:r>
                            </m:sub>
                          </m:sSub>
                        </m:e>
                      </m:mr>
                    </m:m>
                  </m:e>
                </m:d>
                <m:r>
                  <w:rPr>
                    <w:rFonts w:ascii="Cambria Math" w:eastAsia="Times New Roman" w:hAnsi="Cambria Math" w:cs="Arial"/>
                  </w:rPr>
                  <m:t>≡A</m:t>
                </m:r>
                <m:acc>
                  <m:accPr>
                    <m:chr m:val="⃗"/>
                    <m:ctrlPr>
                      <w:rPr>
                        <w:rFonts w:ascii="Cambria Math" w:eastAsia="Times New Roman" w:hAnsi="Cambria Math" w:cs="Arial"/>
                        <w:i/>
                      </w:rPr>
                    </m:ctrlPr>
                  </m:accPr>
                  <m:e>
                    <m:r>
                      <w:rPr>
                        <w:rFonts w:ascii="Cambria Math" w:eastAsia="Times New Roman" w:hAnsi="Cambria Math" w:cs="Arial"/>
                      </w:rPr>
                      <m:t>h</m:t>
                    </m:r>
                  </m:e>
                </m:acc>
              </m:oMath>
            </m:oMathPara>
          </w:p>
        </w:tc>
        <w:tc>
          <w:tcPr>
            <w:tcW w:w="652" w:type="dxa"/>
            <w:shd w:val="clear" w:color="auto" w:fill="auto"/>
          </w:tcPr>
          <w:p w:rsidR="00705D32" w:rsidRPr="0052084F" w:rsidRDefault="00705D32" w:rsidP="00B81843">
            <w:pPr>
              <w:jc w:val="both"/>
              <w:rPr>
                <w:rFonts w:ascii="Arial" w:hAnsi="Arial" w:cs="Arial"/>
              </w:rPr>
            </w:pPr>
          </w:p>
        </w:tc>
      </w:tr>
    </w:tbl>
    <w:p w:rsidR="00705D32" w:rsidRDefault="00705D32" w:rsidP="00705D32">
      <w:pPr>
        <w:jc w:val="both"/>
        <w:rPr>
          <w:rFonts w:ascii="Arial" w:eastAsia="Times New Roman" w:hAnsi="Arial" w:cs="Arial"/>
        </w:rPr>
      </w:pPr>
      <w:r>
        <w:rPr>
          <w:rFonts w:ascii="Arial" w:eastAsia="Times New Roman" w:hAnsi="Arial" w:cs="Arial"/>
        </w:rPr>
        <w:t>Considerando la parte simétrica y antisimétrica de A es decir,</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705D32" w:rsidP="00B81843">
            <w:pPr>
              <w:jc w:val="center"/>
              <w:rPr>
                <w:rFonts w:ascii="Arial" w:eastAsia="Times New Roman" w:hAnsi="Arial" w:cs="Arial"/>
              </w:rPr>
            </w:pPr>
            <m:oMathPara>
              <m:oMath>
                <m:r>
                  <w:rPr>
                    <w:rFonts w:ascii="Cambria Math" w:eastAsia="Times New Roman" w:hAnsi="Cambria Math" w:cs="Arial"/>
                  </w:rPr>
                  <m:t>D=</m:t>
                </m:r>
                <m:f>
                  <m:fPr>
                    <m:ctrlPr>
                      <w:rPr>
                        <w:rFonts w:ascii="Cambria Math" w:eastAsia="Times New Roman" w:hAnsi="Cambria Math" w:cs="Arial"/>
                        <w:i/>
                      </w:rPr>
                    </m:ctrlPr>
                  </m:fPr>
                  <m:num>
                    <m:r>
                      <w:rPr>
                        <w:rFonts w:ascii="Cambria Math" w:eastAsia="Times New Roman" w:hAnsi="Cambria Math" w:cs="Arial"/>
                      </w:rPr>
                      <m:t>1</m:t>
                    </m:r>
                  </m:num>
                  <m:den>
                    <m:r>
                      <w:rPr>
                        <w:rFonts w:ascii="Cambria Math" w:eastAsia="Times New Roman" w:hAnsi="Cambria Math" w:cs="Arial"/>
                      </w:rPr>
                      <m:t>2</m:t>
                    </m:r>
                  </m:den>
                </m:f>
                <m:d>
                  <m:dPr>
                    <m:ctrlPr>
                      <w:rPr>
                        <w:rFonts w:ascii="Cambria Math" w:eastAsia="Times New Roman" w:hAnsi="Cambria Math" w:cs="Arial"/>
                        <w:i/>
                      </w:rPr>
                    </m:ctrlPr>
                  </m:dPr>
                  <m:e>
                    <m:r>
                      <w:rPr>
                        <w:rFonts w:ascii="Cambria Math" w:eastAsia="Times New Roman" w:hAnsi="Cambria Math" w:cs="Arial"/>
                      </w:rPr>
                      <m:t>A+</m:t>
                    </m:r>
                    <m:sSup>
                      <m:sSupPr>
                        <m:ctrlPr>
                          <w:rPr>
                            <w:rFonts w:ascii="Cambria Math" w:eastAsia="Times New Roman" w:hAnsi="Cambria Math" w:cs="Arial"/>
                            <w:i/>
                          </w:rPr>
                        </m:ctrlPr>
                      </m:sSupPr>
                      <m:e>
                        <m:r>
                          <w:rPr>
                            <w:rFonts w:ascii="Cambria Math" w:eastAsia="Times New Roman" w:hAnsi="Cambria Math" w:cs="Arial"/>
                          </w:rPr>
                          <m:t>A</m:t>
                        </m:r>
                      </m:e>
                      <m:sup>
                        <m:r>
                          <w:rPr>
                            <w:rFonts w:ascii="Cambria Math" w:eastAsia="Times New Roman" w:hAnsi="Cambria Math" w:cs="Arial"/>
                          </w:rPr>
                          <m:t>t</m:t>
                        </m:r>
                      </m:sup>
                    </m:sSup>
                  </m:e>
                </m:d>
                <m:r>
                  <w:rPr>
                    <w:rFonts w:ascii="Cambria Math" w:eastAsia="Times New Roman" w:hAnsi="Cambria Math" w:cs="Arial"/>
                  </w:rPr>
                  <m:t xml:space="preserve">      y      R=</m:t>
                </m:r>
                <m:f>
                  <m:fPr>
                    <m:ctrlPr>
                      <w:rPr>
                        <w:rFonts w:ascii="Cambria Math" w:eastAsia="Times New Roman" w:hAnsi="Cambria Math" w:cs="Arial"/>
                        <w:i/>
                      </w:rPr>
                    </m:ctrlPr>
                  </m:fPr>
                  <m:num>
                    <m:r>
                      <w:rPr>
                        <w:rFonts w:ascii="Cambria Math" w:eastAsia="Times New Roman" w:hAnsi="Cambria Math" w:cs="Arial"/>
                      </w:rPr>
                      <m:t>1</m:t>
                    </m:r>
                  </m:num>
                  <m:den>
                    <m:r>
                      <w:rPr>
                        <w:rFonts w:ascii="Cambria Math" w:eastAsia="Times New Roman" w:hAnsi="Cambria Math" w:cs="Arial"/>
                      </w:rPr>
                      <m:t>2</m:t>
                    </m:r>
                  </m:den>
                </m:f>
                <m:d>
                  <m:dPr>
                    <m:ctrlPr>
                      <w:rPr>
                        <w:rFonts w:ascii="Cambria Math" w:eastAsia="Times New Roman" w:hAnsi="Cambria Math" w:cs="Arial"/>
                        <w:i/>
                      </w:rPr>
                    </m:ctrlPr>
                  </m:dPr>
                  <m:e>
                    <m:r>
                      <w:rPr>
                        <w:rFonts w:ascii="Cambria Math" w:eastAsia="Times New Roman" w:hAnsi="Cambria Math" w:cs="Arial"/>
                      </w:rPr>
                      <m:t>A-</m:t>
                    </m:r>
                    <m:sSup>
                      <m:sSupPr>
                        <m:ctrlPr>
                          <w:rPr>
                            <w:rFonts w:ascii="Cambria Math" w:eastAsia="Times New Roman" w:hAnsi="Cambria Math" w:cs="Arial"/>
                            <w:i/>
                          </w:rPr>
                        </m:ctrlPr>
                      </m:sSupPr>
                      <m:e>
                        <m:r>
                          <w:rPr>
                            <w:rFonts w:ascii="Cambria Math" w:eastAsia="Times New Roman" w:hAnsi="Cambria Math" w:cs="Arial"/>
                          </w:rPr>
                          <m:t>A</m:t>
                        </m:r>
                      </m:e>
                      <m:sup>
                        <m:r>
                          <w:rPr>
                            <w:rFonts w:ascii="Cambria Math" w:eastAsia="Times New Roman" w:hAnsi="Cambria Math" w:cs="Arial"/>
                          </w:rPr>
                          <m:t>t</m:t>
                        </m:r>
                      </m:sup>
                    </m:sSup>
                  </m:e>
                </m:d>
              </m:oMath>
            </m:oMathPara>
          </w:p>
        </w:tc>
        <w:tc>
          <w:tcPr>
            <w:tcW w:w="652" w:type="dxa"/>
            <w:shd w:val="clear" w:color="auto" w:fill="auto"/>
          </w:tcPr>
          <w:p w:rsidR="00705D32" w:rsidRPr="0052084F" w:rsidRDefault="00705D32" w:rsidP="00B81843">
            <w:pPr>
              <w:jc w:val="both"/>
              <w:rPr>
                <w:rFonts w:ascii="Arial" w:hAnsi="Arial" w:cs="Arial"/>
              </w:rPr>
            </w:pPr>
          </w:p>
        </w:tc>
      </w:tr>
    </w:tbl>
    <w:p w:rsidR="00705D32" w:rsidRDefault="00705D32" w:rsidP="00705D32">
      <w:pPr>
        <w:jc w:val="both"/>
        <w:rPr>
          <w:rFonts w:ascii="Arial" w:eastAsia="Times New Roman" w:hAnsi="Arial" w:cs="Arial"/>
        </w:rPr>
      </w:pPr>
      <w:r>
        <w:rPr>
          <w:rFonts w:ascii="Arial" w:eastAsia="Times New Roman" w:hAnsi="Arial" w:cs="Arial"/>
        </w:rPr>
        <w:t xml:space="preserve">El valor aproximado de </w:t>
      </w:r>
      <m:oMath>
        <m:r>
          <w:rPr>
            <w:rFonts w:ascii="Cambria Math" w:eastAsia="Times New Roman" w:hAnsi="Cambria Math" w:cs="Arial"/>
          </w:rPr>
          <m:t>U</m:t>
        </m:r>
        <m:d>
          <m:dPr>
            <m:ctrlPr>
              <w:rPr>
                <w:rFonts w:ascii="Cambria Math" w:eastAsia="Times New Roman" w:hAnsi="Cambria Math" w:cs="Arial"/>
                <w:i/>
              </w:rPr>
            </m:ctrlPr>
          </m:dPr>
          <m:e>
            <m:acc>
              <m:accPr>
                <m:chr m:val="⃗"/>
                <m:ctrlPr>
                  <w:rPr>
                    <w:rFonts w:ascii="Cambria Math" w:eastAsia="Times New Roman" w:hAnsi="Cambria Math" w:cs="Arial"/>
                    <w:i/>
                  </w:rPr>
                </m:ctrlPr>
              </m:accPr>
              <m:e>
                <m:r>
                  <w:rPr>
                    <w:rFonts w:ascii="Cambria Math" w:eastAsia="Times New Roman" w:hAnsi="Cambria Math" w:cs="Arial"/>
                  </w:rPr>
                  <m:t>x</m:t>
                </m:r>
              </m:e>
            </m:acc>
            <m:r>
              <w:rPr>
                <w:rFonts w:ascii="Cambria Math" w:eastAsia="Times New Roman" w:hAnsi="Cambria Math" w:cs="Arial"/>
              </w:rPr>
              <m:t>+</m:t>
            </m:r>
            <m:acc>
              <m:accPr>
                <m:chr m:val="⃗"/>
                <m:ctrlPr>
                  <w:rPr>
                    <w:rFonts w:ascii="Cambria Math" w:eastAsia="Times New Roman" w:hAnsi="Cambria Math" w:cs="Arial"/>
                    <w:i/>
                  </w:rPr>
                </m:ctrlPr>
              </m:accPr>
              <m:e>
                <m:r>
                  <w:rPr>
                    <w:rFonts w:ascii="Cambria Math" w:eastAsia="Times New Roman" w:hAnsi="Cambria Math" w:cs="Arial"/>
                  </w:rPr>
                  <m:t>h</m:t>
                </m:r>
              </m:e>
            </m:acc>
          </m:e>
        </m:d>
      </m:oMath>
      <w:r>
        <w:rPr>
          <w:rFonts w:ascii="Arial" w:eastAsia="Times New Roman" w:hAnsi="Arial" w:cs="Arial"/>
        </w:rPr>
        <w:t xml:space="preserve"> se puede expresar como</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705D32" w:rsidP="00B81843">
            <w:pPr>
              <w:jc w:val="center"/>
              <w:rPr>
                <w:rFonts w:ascii="Arial" w:eastAsia="Times New Roman" w:hAnsi="Arial" w:cs="Arial"/>
              </w:rPr>
            </w:pPr>
            <m:oMathPara>
              <m:oMath>
                <m:r>
                  <w:rPr>
                    <w:rFonts w:ascii="Cambria Math" w:eastAsia="Times New Roman" w:hAnsi="Cambria Math" w:cs="Arial"/>
                  </w:rPr>
                  <m:t>U</m:t>
                </m:r>
                <m:d>
                  <m:dPr>
                    <m:ctrlPr>
                      <w:rPr>
                        <w:rFonts w:ascii="Cambria Math" w:eastAsia="Times New Roman" w:hAnsi="Cambria Math" w:cs="Arial"/>
                        <w:i/>
                      </w:rPr>
                    </m:ctrlPr>
                  </m:dPr>
                  <m:e>
                    <m:acc>
                      <m:accPr>
                        <m:chr m:val="⃗"/>
                        <m:ctrlPr>
                          <w:rPr>
                            <w:rFonts w:ascii="Cambria Math" w:eastAsia="Times New Roman" w:hAnsi="Cambria Math" w:cs="Arial"/>
                            <w:i/>
                          </w:rPr>
                        </m:ctrlPr>
                      </m:accPr>
                      <m:e>
                        <m:r>
                          <w:rPr>
                            <w:rFonts w:ascii="Cambria Math" w:eastAsia="Times New Roman" w:hAnsi="Cambria Math" w:cs="Arial"/>
                          </w:rPr>
                          <m:t>x</m:t>
                        </m:r>
                      </m:e>
                    </m:acc>
                  </m:e>
                </m:d>
                <m:r>
                  <w:rPr>
                    <w:rFonts w:ascii="Cambria Math" w:eastAsia="Times New Roman" w:hAnsi="Cambria Math" w:cs="Arial"/>
                  </w:rPr>
                  <m:t>=D</m:t>
                </m:r>
                <m:acc>
                  <m:accPr>
                    <m:chr m:val="⃗"/>
                    <m:ctrlPr>
                      <w:rPr>
                        <w:rFonts w:ascii="Cambria Math" w:eastAsia="Times New Roman" w:hAnsi="Cambria Math" w:cs="Arial"/>
                        <w:i/>
                      </w:rPr>
                    </m:ctrlPr>
                  </m:accPr>
                  <m:e>
                    <m:r>
                      <w:rPr>
                        <w:rFonts w:ascii="Cambria Math" w:eastAsia="Times New Roman" w:hAnsi="Cambria Math" w:cs="Arial"/>
                      </w:rPr>
                      <m:t>h</m:t>
                    </m:r>
                  </m:e>
                </m:acc>
                <m:r>
                  <w:rPr>
                    <w:rFonts w:ascii="Cambria Math" w:eastAsia="Times New Roman" w:hAnsi="Cambria Math" w:cs="Arial"/>
                  </w:rPr>
                  <m:t>+R</m:t>
                </m:r>
                <m:acc>
                  <m:accPr>
                    <m:chr m:val="⃗"/>
                    <m:ctrlPr>
                      <w:rPr>
                        <w:rFonts w:ascii="Cambria Math" w:eastAsia="Times New Roman" w:hAnsi="Cambria Math" w:cs="Arial"/>
                        <w:i/>
                      </w:rPr>
                    </m:ctrlPr>
                  </m:accPr>
                  <m:e>
                    <m:r>
                      <w:rPr>
                        <w:rFonts w:ascii="Cambria Math" w:eastAsia="Times New Roman" w:hAnsi="Cambria Math" w:cs="Arial"/>
                      </w:rPr>
                      <m:t>h</m:t>
                    </m:r>
                  </m:e>
                </m:acc>
              </m:oMath>
            </m:oMathPara>
          </w:p>
        </w:tc>
        <w:tc>
          <w:tcPr>
            <w:tcW w:w="652" w:type="dxa"/>
            <w:shd w:val="clear" w:color="auto" w:fill="auto"/>
          </w:tcPr>
          <w:p w:rsidR="00705D32" w:rsidRPr="0052084F" w:rsidRDefault="00705D32" w:rsidP="00B81843">
            <w:pPr>
              <w:jc w:val="both"/>
              <w:rPr>
                <w:rFonts w:ascii="Arial" w:hAnsi="Arial" w:cs="Arial"/>
              </w:rPr>
            </w:pPr>
          </w:p>
        </w:tc>
      </w:tr>
    </w:tbl>
    <w:p w:rsidR="00705D32" w:rsidRDefault="00705D32" w:rsidP="00705D32">
      <w:pPr>
        <w:jc w:val="both"/>
        <w:rPr>
          <w:rFonts w:ascii="Arial" w:eastAsia="Times New Roman" w:hAnsi="Arial" w:cs="Arial"/>
        </w:rPr>
      </w:pPr>
      <w:r>
        <w:rPr>
          <w:rFonts w:ascii="Arial" w:eastAsia="Times New Roman" w:hAnsi="Arial" w:cs="Arial"/>
        </w:rPr>
        <w:t>Además</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705D32" w:rsidP="00B81843">
            <w:pPr>
              <w:jc w:val="center"/>
              <w:rPr>
                <w:rFonts w:ascii="Arial" w:eastAsia="Times New Roman" w:hAnsi="Arial" w:cs="Arial"/>
              </w:rPr>
            </w:pPr>
            <m:oMathPara>
              <m:oMath>
                <m:r>
                  <w:rPr>
                    <w:rFonts w:ascii="Cambria Math" w:eastAsia="Times New Roman" w:hAnsi="Cambria Math" w:cs="Arial"/>
                  </w:rPr>
                  <m:t>D=</m:t>
                </m:r>
                <m:d>
                  <m:dPr>
                    <m:ctrlPr>
                      <w:rPr>
                        <w:rFonts w:ascii="Cambria Math" w:eastAsia="Times New Roman" w:hAnsi="Cambria Math" w:cs="Arial"/>
                        <w:i/>
                      </w:rPr>
                    </m:ctrlPr>
                  </m:dPr>
                  <m:e>
                    <m:m>
                      <m:mPr>
                        <m:mcs>
                          <m:mc>
                            <m:mcPr>
                              <m:count m:val="3"/>
                              <m:mcJc m:val="center"/>
                            </m:mcPr>
                          </m:mc>
                        </m:mcs>
                        <m:ctrlPr>
                          <w:rPr>
                            <w:rFonts w:ascii="Cambria Math" w:eastAsia="Times New Roman" w:hAnsi="Cambria Math" w:cs="Arial"/>
                            <w:i/>
                          </w:rPr>
                        </m:ctrlPr>
                      </m:mPr>
                      <m:mr>
                        <m:e>
                          <m:sSub>
                            <m:sSubPr>
                              <m:ctrlPr>
                                <w:rPr>
                                  <w:rFonts w:ascii="Cambria Math" w:eastAsia="Times New Roman" w:hAnsi="Cambria Math" w:cs="Arial"/>
                                  <w:i/>
                                </w:rPr>
                              </m:ctrlPr>
                            </m:sSubPr>
                            <m:e>
                              <m:r>
                                <w:rPr>
                                  <w:rFonts w:ascii="Cambria Math" w:eastAsia="Times New Roman" w:hAnsi="Cambria Math" w:cs="Arial"/>
                                </w:rPr>
                                <m:t>u</m:t>
                              </m:r>
                            </m:e>
                            <m:sub>
                              <m:r>
                                <w:rPr>
                                  <w:rFonts w:ascii="Cambria Math" w:eastAsia="Times New Roman" w:hAnsi="Cambria Math" w:cs="Arial"/>
                                </w:rPr>
                                <m:t>x</m:t>
                              </m:r>
                            </m:sub>
                          </m:sSub>
                        </m:e>
                        <m:e>
                          <m:f>
                            <m:fPr>
                              <m:ctrlPr>
                                <w:rPr>
                                  <w:rFonts w:ascii="Cambria Math" w:eastAsia="Times New Roman" w:hAnsi="Cambria Math" w:cs="Arial"/>
                                  <w:i/>
                                </w:rPr>
                              </m:ctrlPr>
                            </m:fPr>
                            <m:num>
                              <m:r>
                                <w:rPr>
                                  <w:rFonts w:ascii="Cambria Math" w:eastAsia="Times New Roman" w:hAnsi="Cambria Math" w:cs="Arial"/>
                                </w:rPr>
                                <m:t>1</m:t>
                              </m:r>
                            </m:num>
                            <m:den>
                              <m:r>
                                <w:rPr>
                                  <w:rFonts w:ascii="Cambria Math" w:eastAsia="Times New Roman" w:hAnsi="Cambria Math" w:cs="Arial"/>
                                </w:rPr>
                                <m:t>2</m:t>
                              </m:r>
                            </m:den>
                          </m:f>
                          <m:d>
                            <m:dPr>
                              <m:ctrlPr>
                                <w:rPr>
                                  <w:rFonts w:ascii="Cambria Math" w:eastAsia="Times New Roman" w:hAnsi="Cambria Math" w:cs="Arial"/>
                                  <w:i/>
                                </w:rPr>
                              </m:ctrlPr>
                            </m:dPr>
                            <m:e>
                              <m:sSub>
                                <m:sSubPr>
                                  <m:ctrlPr>
                                    <w:rPr>
                                      <w:rFonts w:ascii="Cambria Math" w:eastAsia="Times New Roman" w:hAnsi="Cambria Math" w:cs="Arial"/>
                                      <w:i/>
                                    </w:rPr>
                                  </m:ctrlPr>
                                </m:sSubPr>
                                <m:e>
                                  <m:r>
                                    <w:rPr>
                                      <w:rFonts w:ascii="Cambria Math" w:eastAsia="Times New Roman" w:hAnsi="Cambria Math" w:cs="Arial"/>
                                    </w:rPr>
                                    <m:t>u</m:t>
                                  </m:r>
                                </m:e>
                                <m:sub>
                                  <m:r>
                                    <w:rPr>
                                      <w:rFonts w:ascii="Cambria Math" w:eastAsia="Times New Roman" w:hAnsi="Cambria Math" w:cs="Arial"/>
                                    </w:rPr>
                                    <m:t>y</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v</m:t>
                                  </m:r>
                                </m:e>
                                <m:sub>
                                  <m:r>
                                    <w:rPr>
                                      <w:rFonts w:ascii="Cambria Math" w:eastAsia="Times New Roman" w:hAnsi="Cambria Math" w:cs="Arial"/>
                                    </w:rPr>
                                    <m:t>x</m:t>
                                  </m:r>
                                </m:sub>
                              </m:sSub>
                            </m:e>
                          </m:d>
                        </m:e>
                        <m:e>
                          <m:f>
                            <m:fPr>
                              <m:ctrlPr>
                                <w:rPr>
                                  <w:rFonts w:ascii="Cambria Math" w:eastAsia="Times New Roman" w:hAnsi="Cambria Math" w:cs="Arial"/>
                                  <w:i/>
                                </w:rPr>
                              </m:ctrlPr>
                            </m:fPr>
                            <m:num>
                              <m:r>
                                <w:rPr>
                                  <w:rFonts w:ascii="Cambria Math" w:eastAsia="Times New Roman" w:hAnsi="Cambria Math" w:cs="Arial"/>
                                </w:rPr>
                                <m:t>1</m:t>
                              </m:r>
                            </m:num>
                            <m:den>
                              <m:r>
                                <w:rPr>
                                  <w:rFonts w:ascii="Cambria Math" w:eastAsia="Times New Roman" w:hAnsi="Cambria Math" w:cs="Arial"/>
                                </w:rPr>
                                <m:t>2</m:t>
                              </m:r>
                            </m:den>
                          </m:f>
                          <m:d>
                            <m:dPr>
                              <m:ctrlPr>
                                <w:rPr>
                                  <w:rFonts w:ascii="Cambria Math" w:eastAsia="Times New Roman" w:hAnsi="Cambria Math" w:cs="Arial"/>
                                  <w:i/>
                                </w:rPr>
                              </m:ctrlPr>
                            </m:dPr>
                            <m:e>
                              <m:sSub>
                                <m:sSubPr>
                                  <m:ctrlPr>
                                    <w:rPr>
                                      <w:rFonts w:ascii="Cambria Math" w:eastAsia="Times New Roman" w:hAnsi="Cambria Math" w:cs="Arial"/>
                                      <w:i/>
                                    </w:rPr>
                                  </m:ctrlPr>
                                </m:sSubPr>
                                <m:e>
                                  <m:r>
                                    <w:rPr>
                                      <w:rFonts w:ascii="Cambria Math" w:eastAsia="Times New Roman" w:hAnsi="Cambria Math" w:cs="Arial"/>
                                    </w:rPr>
                                    <m:t>u</m:t>
                                  </m:r>
                                </m:e>
                                <m:sub>
                                  <m:r>
                                    <w:rPr>
                                      <w:rFonts w:ascii="Cambria Math" w:eastAsia="Times New Roman" w:hAnsi="Cambria Math" w:cs="Arial"/>
                                    </w:rPr>
                                    <m:t>z</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w</m:t>
                                  </m:r>
                                </m:e>
                                <m:sub>
                                  <m:r>
                                    <w:rPr>
                                      <w:rFonts w:ascii="Cambria Math" w:eastAsia="Times New Roman" w:hAnsi="Cambria Math" w:cs="Arial"/>
                                    </w:rPr>
                                    <m:t>x</m:t>
                                  </m:r>
                                </m:sub>
                              </m:sSub>
                            </m:e>
                          </m:d>
                        </m:e>
                      </m:mr>
                      <m:mr>
                        <m:e>
                          <m:f>
                            <m:fPr>
                              <m:ctrlPr>
                                <w:rPr>
                                  <w:rFonts w:ascii="Cambria Math" w:eastAsia="Times New Roman" w:hAnsi="Cambria Math" w:cs="Arial"/>
                                  <w:i/>
                                </w:rPr>
                              </m:ctrlPr>
                            </m:fPr>
                            <m:num>
                              <m:r>
                                <w:rPr>
                                  <w:rFonts w:ascii="Cambria Math" w:eastAsia="Times New Roman" w:hAnsi="Cambria Math" w:cs="Arial"/>
                                </w:rPr>
                                <m:t>1</m:t>
                              </m:r>
                            </m:num>
                            <m:den>
                              <m:r>
                                <w:rPr>
                                  <w:rFonts w:ascii="Cambria Math" w:eastAsia="Times New Roman" w:hAnsi="Cambria Math" w:cs="Arial"/>
                                </w:rPr>
                                <m:t>2</m:t>
                              </m:r>
                            </m:den>
                          </m:f>
                          <m:d>
                            <m:dPr>
                              <m:ctrlPr>
                                <w:rPr>
                                  <w:rFonts w:ascii="Cambria Math" w:eastAsia="Times New Roman" w:hAnsi="Cambria Math" w:cs="Arial"/>
                                  <w:i/>
                                </w:rPr>
                              </m:ctrlPr>
                            </m:dPr>
                            <m:e>
                              <m:sSub>
                                <m:sSubPr>
                                  <m:ctrlPr>
                                    <w:rPr>
                                      <w:rFonts w:ascii="Cambria Math" w:eastAsia="Times New Roman" w:hAnsi="Cambria Math" w:cs="Arial"/>
                                      <w:i/>
                                    </w:rPr>
                                  </m:ctrlPr>
                                </m:sSubPr>
                                <m:e>
                                  <m:r>
                                    <w:rPr>
                                      <w:rFonts w:ascii="Cambria Math" w:eastAsia="Times New Roman" w:hAnsi="Cambria Math" w:cs="Arial"/>
                                    </w:rPr>
                                    <m:t>u</m:t>
                                  </m:r>
                                </m:e>
                                <m:sub>
                                  <m:r>
                                    <w:rPr>
                                      <w:rFonts w:ascii="Cambria Math" w:eastAsia="Times New Roman" w:hAnsi="Cambria Math" w:cs="Arial"/>
                                    </w:rPr>
                                    <m:t>y</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v</m:t>
                                  </m:r>
                                </m:e>
                                <m:sub>
                                  <m:r>
                                    <w:rPr>
                                      <w:rFonts w:ascii="Cambria Math" w:eastAsia="Times New Roman" w:hAnsi="Cambria Math" w:cs="Arial"/>
                                    </w:rPr>
                                    <m:t>x</m:t>
                                  </m:r>
                                </m:sub>
                              </m:sSub>
                            </m:e>
                          </m:d>
                        </m:e>
                        <m:e>
                          <m:sSub>
                            <m:sSubPr>
                              <m:ctrlPr>
                                <w:rPr>
                                  <w:rFonts w:ascii="Cambria Math" w:eastAsia="Times New Roman" w:hAnsi="Cambria Math" w:cs="Arial"/>
                                  <w:i/>
                                </w:rPr>
                              </m:ctrlPr>
                            </m:sSubPr>
                            <m:e>
                              <m:r>
                                <w:rPr>
                                  <w:rFonts w:ascii="Cambria Math" w:eastAsia="Times New Roman" w:hAnsi="Cambria Math" w:cs="Arial"/>
                                </w:rPr>
                                <m:t>v</m:t>
                              </m:r>
                            </m:e>
                            <m:sub>
                              <m:r>
                                <w:rPr>
                                  <w:rFonts w:ascii="Cambria Math" w:eastAsia="Times New Roman" w:hAnsi="Cambria Math" w:cs="Arial"/>
                                </w:rPr>
                                <m:t>y</m:t>
                              </m:r>
                            </m:sub>
                          </m:sSub>
                        </m:e>
                        <m:e>
                          <m:f>
                            <m:fPr>
                              <m:ctrlPr>
                                <w:rPr>
                                  <w:rFonts w:ascii="Cambria Math" w:eastAsia="Times New Roman" w:hAnsi="Cambria Math" w:cs="Arial"/>
                                  <w:i/>
                                </w:rPr>
                              </m:ctrlPr>
                            </m:fPr>
                            <m:num>
                              <m:r>
                                <w:rPr>
                                  <w:rFonts w:ascii="Cambria Math" w:eastAsia="Times New Roman" w:hAnsi="Cambria Math" w:cs="Arial"/>
                                </w:rPr>
                                <m:t>1</m:t>
                              </m:r>
                            </m:num>
                            <m:den>
                              <m:r>
                                <w:rPr>
                                  <w:rFonts w:ascii="Cambria Math" w:eastAsia="Times New Roman" w:hAnsi="Cambria Math" w:cs="Arial"/>
                                </w:rPr>
                                <m:t>2</m:t>
                              </m:r>
                            </m:den>
                          </m:f>
                          <m:d>
                            <m:dPr>
                              <m:ctrlPr>
                                <w:rPr>
                                  <w:rFonts w:ascii="Cambria Math" w:eastAsia="Times New Roman" w:hAnsi="Cambria Math" w:cs="Arial"/>
                                  <w:i/>
                                </w:rPr>
                              </m:ctrlPr>
                            </m:dPr>
                            <m:e>
                              <m:sSub>
                                <m:sSubPr>
                                  <m:ctrlPr>
                                    <w:rPr>
                                      <w:rFonts w:ascii="Cambria Math" w:eastAsia="Times New Roman" w:hAnsi="Cambria Math" w:cs="Arial"/>
                                      <w:i/>
                                    </w:rPr>
                                  </m:ctrlPr>
                                </m:sSubPr>
                                <m:e>
                                  <m:r>
                                    <w:rPr>
                                      <w:rFonts w:ascii="Cambria Math" w:eastAsia="Times New Roman" w:hAnsi="Cambria Math" w:cs="Arial"/>
                                    </w:rPr>
                                    <m:t>v</m:t>
                                  </m:r>
                                </m:e>
                                <m:sub>
                                  <m:r>
                                    <w:rPr>
                                      <w:rFonts w:ascii="Cambria Math" w:eastAsia="Times New Roman" w:hAnsi="Cambria Math" w:cs="Arial"/>
                                    </w:rPr>
                                    <m:t>z</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w</m:t>
                                  </m:r>
                                </m:e>
                                <m:sub>
                                  <m:r>
                                    <w:rPr>
                                      <w:rFonts w:ascii="Cambria Math" w:eastAsia="Times New Roman" w:hAnsi="Cambria Math" w:cs="Arial"/>
                                    </w:rPr>
                                    <m:t>y</m:t>
                                  </m:r>
                                </m:sub>
                              </m:sSub>
                            </m:e>
                          </m:d>
                        </m:e>
                      </m:mr>
                      <m:mr>
                        <m:e>
                          <m:f>
                            <m:fPr>
                              <m:ctrlPr>
                                <w:rPr>
                                  <w:rFonts w:ascii="Cambria Math" w:eastAsia="Times New Roman" w:hAnsi="Cambria Math" w:cs="Arial"/>
                                  <w:i/>
                                </w:rPr>
                              </m:ctrlPr>
                            </m:fPr>
                            <m:num>
                              <m:r>
                                <w:rPr>
                                  <w:rFonts w:ascii="Cambria Math" w:eastAsia="Times New Roman" w:hAnsi="Cambria Math" w:cs="Arial"/>
                                </w:rPr>
                                <m:t>1</m:t>
                              </m:r>
                            </m:num>
                            <m:den>
                              <m:r>
                                <w:rPr>
                                  <w:rFonts w:ascii="Cambria Math" w:eastAsia="Times New Roman" w:hAnsi="Cambria Math" w:cs="Arial"/>
                                </w:rPr>
                                <m:t>2</m:t>
                              </m:r>
                            </m:den>
                          </m:f>
                          <m:d>
                            <m:dPr>
                              <m:ctrlPr>
                                <w:rPr>
                                  <w:rFonts w:ascii="Cambria Math" w:eastAsia="Times New Roman" w:hAnsi="Cambria Math" w:cs="Arial"/>
                                  <w:i/>
                                </w:rPr>
                              </m:ctrlPr>
                            </m:dPr>
                            <m:e>
                              <m:sSub>
                                <m:sSubPr>
                                  <m:ctrlPr>
                                    <w:rPr>
                                      <w:rFonts w:ascii="Cambria Math" w:eastAsia="Times New Roman" w:hAnsi="Cambria Math" w:cs="Arial"/>
                                      <w:i/>
                                    </w:rPr>
                                  </m:ctrlPr>
                                </m:sSubPr>
                                <m:e>
                                  <m:r>
                                    <w:rPr>
                                      <w:rFonts w:ascii="Cambria Math" w:eastAsia="Times New Roman" w:hAnsi="Cambria Math" w:cs="Arial"/>
                                    </w:rPr>
                                    <m:t>u</m:t>
                                  </m:r>
                                </m:e>
                                <m:sub>
                                  <m:r>
                                    <w:rPr>
                                      <w:rFonts w:ascii="Cambria Math" w:eastAsia="Times New Roman" w:hAnsi="Cambria Math" w:cs="Arial"/>
                                    </w:rPr>
                                    <m:t>z</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w</m:t>
                                  </m:r>
                                </m:e>
                                <m:sub>
                                  <m:r>
                                    <w:rPr>
                                      <w:rFonts w:ascii="Cambria Math" w:eastAsia="Times New Roman" w:hAnsi="Cambria Math" w:cs="Arial"/>
                                    </w:rPr>
                                    <m:t>x</m:t>
                                  </m:r>
                                </m:sub>
                              </m:sSub>
                            </m:e>
                          </m:d>
                        </m:e>
                        <m:e>
                          <m:f>
                            <m:fPr>
                              <m:ctrlPr>
                                <w:rPr>
                                  <w:rFonts w:ascii="Cambria Math" w:eastAsia="Times New Roman" w:hAnsi="Cambria Math" w:cs="Arial"/>
                                  <w:i/>
                                </w:rPr>
                              </m:ctrlPr>
                            </m:fPr>
                            <m:num>
                              <m:r>
                                <w:rPr>
                                  <w:rFonts w:ascii="Cambria Math" w:eastAsia="Times New Roman" w:hAnsi="Cambria Math" w:cs="Arial"/>
                                </w:rPr>
                                <m:t>1</m:t>
                              </m:r>
                            </m:num>
                            <m:den>
                              <m:r>
                                <w:rPr>
                                  <w:rFonts w:ascii="Cambria Math" w:eastAsia="Times New Roman" w:hAnsi="Cambria Math" w:cs="Arial"/>
                                </w:rPr>
                                <m:t>2</m:t>
                              </m:r>
                            </m:den>
                          </m:f>
                          <m:d>
                            <m:dPr>
                              <m:ctrlPr>
                                <w:rPr>
                                  <w:rFonts w:ascii="Cambria Math" w:eastAsia="Times New Roman" w:hAnsi="Cambria Math" w:cs="Arial"/>
                                  <w:i/>
                                </w:rPr>
                              </m:ctrlPr>
                            </m:dPr>
                            <m:e>
                              <m:sSub>
                                <m:sSubPr>
                                  <m:ctrlPr>
                                    <w:rPr>
                                      <w:rFonts w:ascii="Cambria Math" w:eastAsia="Times New Roman" w:hAnsi="Cambria Math" w:cs="Arial"/>
                                      <w:i/>
                                    </w:rPr>
                                  </m:ctrlPr>
                                </m:sSubPr>
                                <m:e>
                                  <m:r>
                                    <w:rPr>
                                      <w:rFonts w:ascii="Cambria Math" w:eastAsia="Times New Roman" w:hAnsi="Cambria Math" w:cs="Arial"/>
                                    </w:rPr>
                                    <m:t>v</m:t>
                                  </m:r>
                                </m:e>
                                <m:sub>
                                  <m:r>
                                    <w:rPr>
                                      <w:rFonts w:ascii="Cambria Math" w:eastAsia="Times New Roman" w:hAnsi="Cambria Math" w:cs="Arial"/>
                                    </w:rPr>
                                    <m:t>z</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w</m:t>
                                  </m:r>
                                </m:e>
                                <m:sub>
                                  <m:r>
                                    <w:rPr>
                                      <w:rFonts w:ascii="Cambria Math" w:eastAsia="Times New Roman" w:hAnsi="Cambria Math" w:cs="Arial"/>
                                    </w:rPr>
                                    <m:t>y</m:t>
                                  </m:r>
                                </m:sub>
                              </m:sSub>
                            </m:e>
                          </m:d>
                        </m:e>
                        <m:e>
                          <m:sSub>
                            <m:sSubPr>
                              <m:ctrlPr>
                                <w:rPr>
                                  <w:rFonts w:ascii="Cambria Math" w:eastAsia="Times New Roman" w:hAnsi="Cambria Math" w:cs="Arial"/>
                                  <w:i/>
                                </w:rPr>
                              </m:ctrlPr>
                            </m:sSubPr>
                            <m:e>
                              <m:r>
                                <w:rPr>
                                  <w:rFonts w:ascii="Cambria Math" w:eastAsia="Times New Roman" w:hAnsi="Cambria Math" w:cs="Arial"/>
                                </w:rPr>
                                <m:t>w</m:t>
                              </m:r>
                            </m:e>
                            <m:sub>
                              <m:r>
                                <w:rPr>
                                  <w:rFonts w:ascii="Cambria Math" w:eastAsia="Times New Roman" w:hAnsi="Cambria Math" w:cs="Arial"/>
                                </w:rPr>
                                <m:t>z</m:t>
                              </m:r>
                            </m:sub>
                          </m:sSub>
                        </m:e>
                      </m:mr>
                    </m:m>
                  </m:e>
                </m:d>
              </m:oMath>
            </m:oMathPara>
          </w:p>
        </w:tc>
        <w:tc>
          <w:tcPr>
            <w:tcW w:w="652" w:type="dxa"/>
            <w:shd w:val="clear" w:color="auto" w:fill="auto"/>
          </w:tcPr>
          <w:p w:rsidR="00705D32" w:rsidRPr="0052084F" w:rsidRDefault="00705D32" w:rsidP="00B81843">
            <w:pPr>
              <w:jc w:val="both"/>
              <w:rPr>
                <w:rFonts w:ascii="Arial" w:hAnsi="Arial" w:cs="Arial"/>
              </w:rPr>
            </w:pPr>
          </w:p>
        </w:tc>
      </w:tr>
    </w:tbl>
    <w:p w:rsidR="00705D32" w:rsidRDefault="00705D32" w:rsidP="00705D32">
      <w:pPr>
        <w:jc w:val="both"/>
        <w:rPr>
          <w:rFonts w:ascii="Arial" w:eastAsia="Times New Roman" w:hAnsi="Arial" w:cs="Arial"/>
        </w:rPr>
      </w:pPr>
      <w:r>
        <w:rPr>
          <w:rFonts w:ascii="Arial" w:eastAsia="Times New Roman" w:hAnsi="Arial" w:cs="Arial"/>
        </w:rPr>
        <w:t>Por tanto</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705D32" w:rsidP="00B81843">
            <w:pPr>
              <w:jc w:val="center"/>
              <w:rPr>
                <w:rFonts w:ascii="Arial" w:eastAsia="Times New Roman" w:hAnsi="Arial" w:cs="Arial"/>
              </w:rPr>
            </w:pPr>
            <m:oMathPara>
              <m:oMath>
                <m:r>
                  <w:rPr>
                    <w:rFonts w:ascii="Cambria Math" w:eastAsia="Times New Roman" w:hAnsi="Cambria Math" w:cs="Arial"/>
                  </w:rPr>
                  <m:t>Traza</m:t>
                </m:r>
                <m:d>
                  <m:dPr>
                    <m:ctrlPr>
                      <w:rPr>
                        <w:rFonts w:ascii="Cambria Math" w:eastAsia="Times New Roman" w:hAnsi="Cambria Math" w:cs="Arial"/>
                        <w:i/>
                      </w:rPr>
                    </m:ctrlPr>
                  </m:dPr>
                  <m:e>
                    <m:r>
                      <w:rPr>
                        <w:rFonts w:ascii="Cambria Math" w:eastAsia="Times New Roman" w:hAnsi="Cambria Math" w:cs="Arial"/>
                      </w:rPr>
                      <m:t>D</m:t>
                    </m:r>
                  </m:e>
                </m:d>
                <m:r>
                  <w:rPr>
                    <w:rFonts w:ascii="Cambria Math" w:eastAsia="Times New Roman" w:hAnsi="Cambria Math" w:cs="Arial"/>
                  </w:rPr>
                  <m:t>=</m:t>
                </m:r>
                <m:r>
                  <m:rPr>
                    <m:sty m:val="p"/>
                  </m:rPr>
                  <w:rPr>
                    <w:rFonts w:ascii="Cambria Math" w:eastAsia="Times New Roman" w:hAnsi="Cambria Math" w:cs="Arial"/>
                  </w:rPr>
                  <m:t>∇</m:t>
                </m:r>
                <m:r>
                  <w:rPr>
                    <w:rFonts w:ascii="Cambria Math" w:eastAsia="Times New Roman" w:hAnsi="Cambria Math" w:cs="Arial"/>
                  </w:rPr>
                  <m:t>∙U</m:t>
                </m:r>
              </m:oMath>
            </m:oMathPara>
          </w:p>
        </w:tc>
        <w:tc>
          <w:tcPr>
            <w:tcW w:w="652" w:type="dxa"/>
            <w:shd w:val="clear" w:color="auto" w:fill="auto"/>
          </w:tcPr>
          <w:p w:rsidR="00705D32" w:rsidRPr="0052084F" w:rsidRDefault="00705D32" w:rsidP="00B81843">
            <w:pPr>
              <w:jc w:val="both"/>
              <w:rPr>
                <w:rFonts w:ascii="Arial" w:hAnsi="Arial" w:cs="Arial"/>
              </w:rPr>
            </w:pPr>
          </w:p>
        </w:tc>
      </w:tr>
    </w:tbl>
    <w:p w:rsidR="00705D32" w:rsidRDefault="00705D32" w:rsidP="00705D32">
      <w:pPr>
        <w:jc w:val="both"/>
        <w:rPr>
          <w:rFonts w:ascii="Arial" w:eastAsia="Times New Roman" w:hAnsi="Arial" w:cs="Arial"/>
        </w:rPr>
      </w:pPr>
    </w:p>
    <w:p w:rsidR="00705D32" w:rsidRDefault="00705D32" w:rsidP="00705D32">
      <w:pPr>
        <w:jc w:val="both"/>
        <w:rPr>
          <w:rFonts w:ascii="Arial" w:eastAsia="Times New Roman" w:hAnsi="Arial" w:cs="Arial"/>
        </w:rPr>
      </w:pPr>
      <w:r>
        <w:rPr>
          <w:rFonts w:ascii="Arial" w:eastAsia="Times New Roman" w:hAnsi="Arial" w:cs="Arial"/>
        </w:rPr>
        <w:t xml:space="preserve">Al aplicar un cambio de coordenadas curvilíneas ortogonales se puede cambiar la matriz D en una matriz diagonal </w:t>
      </w:r>
      <m:oMath>
        <m:acc>
          <m:accPr>
            <m:chr m:val="̃"/>
            <m:ctrlPr>
              <w:rPr>
                <w:rFonts w:ascii="Cambria Math" w:eastAsia="Times New Roman" w:hAnsi="Cambria Math" w:cs="Arial"/>
                <w:i/>
              </w:rPr>
            </m:ctrlPr>
          </m:accPr>
          <m:e>
            <m:r>
              <w:rPr>
                <w:rFonts w:ascii="Cambria Math" w:eastAsia="Times New Roman" w:hAnsi="Cambria Math" w:cs="Arial"/>
              </w:rPr>
              <m:t>D</m:t>
            </m:r>
          </m:e>
        </m:acc>
      </m:oMath>
      <w:r>
        <w:rPr>
          <w:rFonts w:ascii="Arial" w:eastAsia="Times New Roman" w:hAnsi="Arial" w:cs="Arial"/>
        </w:rPr>
        <w:t xml:space="preserve"> de la forma</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1345E4" w:rsidP="00B81843">
            <w:pPr>
              <w:jc w:val="center"/>
              <w:rPr>
                <w:rFonts w:ascii="Arial" w:eastAsia="Times New Roman" w:hAnsi="Arial" w:cs="Arial"/>
              </w:rPr>
            </w:pPr>
            <m:oMathPara>
              <m:oMath>
                <m:acc>
                  <m:accPr>
                    <m:chr m:val="̃"/>
                    <m:ctrlPr>
                      <w:rPr>
                        <w:rFonts w:ascii="Cambria Math" w:eastAsia="Times New Roman" w:hAnsi="Cambria Math" w:cs="Arial"/>
                        <w:i/>
                      </w:rPr>
                    </m:ctrlPr>
                  </m:accPr>
                  <m:e>
                    <m:r>
                      <w:rPr>
                        <w:rFonts w:ascii="Cambria Math" w:eastAsia="Times New Roman" w:hAnsi="Cambria Math" w:cs="Arial"/>
                      </w:rPr>
                      <m:t>D</m:t>
                    </m:r>
                  </m:e>
                </m:acc>
                <m:r>
                  <w:rPr>
                    <w:rFonts w:ascii="Cambria Math" w:eastAsia="Times New Roman" w:hAnsi="Cambria Math" w:cs="Arial"/>
                  </w:rPr>
                  <m:t>=</m:t>
                </m:r>
                <m:d>
                  <m:dPr>
                    <m:ctrlPr>
                      <w:rPr>
                        <w:rFonts w:ascii="Cambria Math" w:eastAsia="Times New Roman" w:hAnsi="Cambria Math" w:cs="Arial"/>
                        <w:i/>
                      </w:rPr>
                    </m:ctrlPr>
                  </m:dPr>
                  <m:e>
                    <m:m>
                      <m:mPr>
                        <m:mcs>
                          <m:mc>
                            <m:mcPr>
                              <m:count m:val="3"/>
                              <m:mcJc m:val="center"/>
                            </m:mcPr>
                          </m:mc>
                        </m:mcs>
                        <m:ctrlPr>
                          <w:rPr>
                            <w:rFonts w:ascii="Cambria Math" w:eastAsia="Times New Roman" w:hAnsi="Cambria Math" w:cs="Arial"/>
                            <w:i/>
                          </w:rPr>
                        </m:ctrlPr>
                      </m:mPr>
                      <m:mr>
                        <m:e>
                          <m:sSub>
                            <m:sSubPr>
                              <m:ctrlPr>
                                <w:rPr>
                                  <w:rFonts w:ascii="Cambria Math" w:eastAsia="Times New Roman" w:hAnsi="Cambria Math" w:cs="Arial"/>
                                  <w:i/>
                                </w:rPr>
                              </m:ctrlPr>
                            </m:sSubPr>
                            <m:e>
                              <m:r>
                                <w:rPr>
                                  <w:rFonts w:ascii="Cambria Math" w:eastAsia="Times New Roman" w:hAnsi="Cambria Math" w:cs="Arial"/>
                                </w:rPr>
                                <m:t>d</m:t>
                              </m:r>
                            </m:e>
                            <m:sub>
                              <m:r>
                                <w:rPr>
                                  <w:rFonts w:ascii="Cambria Math" w:eastAsia="Times New Roman" w:hAnsi="Cambria Math" w:cs="Arial"/>
                                </w:rPr>
                                <m:t>1</m:t>
                              </m:r>
                            </m:sub>
                          </m:sSub>
                        </m:e>
                        <m:e>
                          <m:r>
                            <w:rPr>
                              <w:rFonts w:ascii="Cambria Math" w:eastAsia="Times New Roman" w:hAnsi="Cambria Math" w:cs="Arial"/>
                            </w:rPr>
                            <m:t>0</m:t>
                          </m:r>
                        </m:e>
                        <m:e>
                          <m:r>
                            <w:rPr>
                              <w:rFonts w:ascii="Cambria Math" w:eastAsia="Times New Roman" w:hAnsi="Cambria Math" w:cs="Arial"/>
                            </w:rPr>
                            <m:t>0</m:t>
                          </m:r>
                        </m:e>
                      </m:mr>
                      <m:mr>
                        <m:e>
                          <m:r>
                            <w:rPr>
                              <w:rFonts w:ascii="Cambria Math" w:eastAsia="Times New Roman" w:hAnsi="Cambria Math" w:cs="Arial"/>
                            </w:rPr>
                            <m:t>0</m:t>
                          </m:r>
                        </m:e>
                        <m:e>
                          <m:sSub>
                            <m:sSubPr>
                              <m:ctrlPr>
                                <w:rPr>
                                  <w:rFonts w:ascii="Cambria Math" w:eastAsia="Times New Roman" w:hAnsi="Cambria Math" w:cs="Arial"/>
                                  <w:i/>
                                </w:rPr>
                              </m:ctrlPr>
                            </m:sSubPr>
                            <m:e>
                              <m:r>
                                <w:rPr>
                                  <w:rFonts w:ascii="Cambria Math" w:eastAsia="Times New Roman" w:hAnsi="Cambria Math" w:cs="Arial"/>
                                </w:rPr>
                                <m:t>d</m:t>
                              </m:r>
                            </m:e>
                            <m:sub>
                              <m:r>
                                <w:rPr>
                                  <w:rFonts w:ascii="Cambria Math" w:eastAsia="Times New Roman" w:hAnsi="Cambria Math" w:cs="Arial"/>
                                </w:rPr>
                                <m:t>2</m:t>
                              </m:r>
                            </m:sub>
                          </m:sSub>
                        </m:e>
                        <m:e>
                          <m:r>
                            <w:rPr>
                              <w:rFonts w:ascii="Cambria Math" w:eastAsia="Times New Roman" w:hAnsi="Cambria Math" w:cs="Arial"/>
                            </w:rPr>
                            <m:t>0</m:t>
                          </m:r>
                        </m:e>
                      </m:mr>
                      <m:mr>
                        <m:e>
                          <m:r>
                            <w:rPr>
                              <w:rFonts w:ascii="Cambria Math" w:eastAsia="Times New Roman" w:hAnsi="Cambria Math" w:cs="Arial"/>
                            </w:rPr>
                            <m:t>0</m:t>
                          </m:r>
                        </m:e>
                        <m:e>
                          <m:r>
                            <w:rPr>
                              <w:rFonts w:ascii="Cambria Math" w:eastAsia="Times New Roman" w:hAnsi="Cambria Math" w:cs="Arial"/>
                            </w:rPr>
                            <m:t>0</m:t>
                          </m:r>
                        </m:e>
                        <m:e>
                          <m:sSub>
                            <m:sSubPr>
                              <m:ctrlPr>
                                <w:rPr>
                                  <w:rFonts w:ascii="Cambria Math" w:eastAsia="Times New Roman" w:hAnsi="Cambria Math" w:cs="Arial"/>
                                  <w:i/>
                                </w:rPr>
                              </m:ctrlPr>
                            </m:sSubPr>
                            <m:e>
                              <m:r>
                                <w:rPr>
                                  <w:rFonts w:ascii="Cambria Math" w:eastAsia="Times New Roman" w:hAnsi="Cambria Math" w:cs="Arial"/>
                                </w:rPr>
                                <m:t>d</m:t>
                              </m:r>
                            </m:e>
                            <m:sub>
                              <m:r>
                                <w:rPr>
                                  <w:rFonts w:ascii="Cambria Math" w:eastAsia="Times New Roman" w:hAnsi="Cambria Math" w:cs="Arial"/>
                                </w:rPr>
                                <m:t>3</m:t>
                              </m:r>
                            </m:sub>
                          </m:sSub>
                        </m:e>
                      </m:mr>
                    </m:m>
                  </m:e>
                </m:d>
              </m:oMath>
            </m:oMathPara>
          </w:p>
        </w:tc>
        <w:tc>
          <w:tcPr>
            <w:tcW w:w="652" w:type="dxa"/>
            <w:shd w:val="clear" w:color="auto" w:fill="auto"/>
          </w:tcPr>
          <w:p w:rsidR="00705D32" w:rsidRPr="0052084F" w:rsidRDefault="00705D32" w:rsidP="00B81843">
            <w:pPr>
              <w:jc w:val="both"/>
              <w:rPr>
                <w:rFonts w:ascii="Arial" w:hAnsi="Arial" w:cs="Arial"/>
              </w:rPr>
            </w:pPr>
          </w:p>
        </w:tc>
      </w:tr>
    </w:tbl>
    <w:p w:rsidR="00705D32" w:rsidRDefault="00705D32" w:rsidP="00705D32">
      <w:pPr>
        <w:jc w:val="both"/>
        <w:rPr>
          <w:rFonts w:ascii="Arial" w:eastAsia="Times New Roman" w:hAnsi="Arial" w:cs="Arial"/>
        </w:rPr>
      </w:pPr>
      <w:r>
        <w:rPr>
          <w:rFonts w:ascii="Arial" w:eastAsia="Times New Roman" w:hAnsi="Arial" w:cs="Arial"/>
        </w:rPr>
        <w:t xml:space="preserve">y se tiene que </w:t>
      </w:r>
      <m:oMath>
        <m:r>
          <w:rPr>
            <w:rFonts w:ascii="Cambria Math" w:eastAsia="Times New Roman" w:hAnsi="Cambria Math" w:cs="Arial"/>
          </w:rPr>
          <m:t>Traza</m:t>
        </m:r>
        <m:d>
          <m:dPr>
            <m:ctrlPr>
              <w:rPr>
                <w:rFonts w:ascii="Cambria Math" w:eastAsia="Times New Roman" w:hAnsi="Cambria Math" w:cs="Arial"/>
                <w:i/>
              </w:rPr>
            </m:ctrlPr>
          </m:dPr>
          <m:e>
            <m:r>
              <w:rPr>
                <w:rFonts w:ascii="Cambria Math" w:eastAsia="Times New Roman" w:hAnsi="Cambria Math" w:cs="Arial"/>
              </w:rPr>
              <m:t>D</m:t>
            </m:r>
          </m:e>
        </m:d>
        <m:r>
          <w:rPr>
            <w:rFonts w:ascii="Cambria Math" w:eastAsia="Times New Roman" w:hAnsi="Cambria Math" w:cs="Arial"/>
          </w:rPr>
          <m:t>=</m:t>
        </m:r>
        <m:r>
          <m:rPr>
            <m:sty m:val="p"/>
          </m:rPr>
          <w:rPr>
            <w:rFonts w:ascii="Cambria Math" w:eastAsia="Times New Roman" w:hAnsi="Cambria Math" w:cs="Arial"/>
          </w:rPr>
          <m:t>∇</m:t>
        </m:r>
        <m:r>
          <w:rPr>
            <w:rFonts w:ascii="Cambria Math" w:eastAsia="Times New Roman" w:hAnsi="Cambria Math" w:cs="Arial"/>
          </w:rPr>
          <m:t>∙U,</m:t>
        </m:r>
      </m:oMath>
      <w:r>
        <w:rPr>
          <w:rFonts w:ascii="Arial" w:eastAsia="Times New Roman" w:hAnsi="Arial" w:cs="Arial"/>
        </w:rPr>
        <w:t xml:space="preserve"> puesto que la </w:t>
      </w:r>
      <w:r w:rsidRPr="00BD06F7">
        <w:rPr>
          <w:rFonts w:eastAsia="Times New Roman"/>
          <w:i/>
          <w:iCs/>
        </w:rPr>
        <w:t>Traza</w:t>
      </w:r>
      <w:r>
        <w:rPr>
          <w:rFonts w:ascii="Arial" w:eastAsia="Times New Roman" w:hAnsi="Arial" w:cs="Arial"/>
        </w:rPr>
        <w:t xml:space="preserve"> es un invariante bajo la transformación de coordenadas curvilíneas ortogonales. Los valores </w:t>
      </w:r>
      <m:oMath>
        <m:sSub>
          <m:sSubPr>
            <m:ctrlPr>
              <w:rPr>
                <w:rFonts w:ascii="Cambria Math" w:eastAsia="Times New Roman" w:hAnsi="Cambria Math" w:cs="Arial"/>
                <w:i/>
              </w:rPr>
            </m:ctrlPr>
          </m:sSubPr>
          <m:e>
            <m:r>
              <w:rPr>
                <w:rFonts w:ascii="Cambria Math" w:eastAsia="Times New Roman" w:hAnsi="Cambria Math" w:cs="Arial"/>
              </w:rPr>
              <m:t>d</m:t>
            </m:r>
          </m:e>
          <m:sub>
            <m:r>
              <w:rPr>
                <w:rFonts w:ascii="Cambria Math" w:eastAsia="Times New Roman" w:hAnsi="Cambria Math" w:cs="Arial"/>
              </w:rPr>
              <m:t>i</m:t>
            </m:r>
          </m:sub>
        </m:sSub>
      </m:oMath>
      <w:r>
        <w:rPr>
          <w:rFonts w:ascii="Arial" w:eastAsia="Times New Roman" w:hAnsi="Arial" w:cs="Arial"/>
        </w:rPr>
        <w:t xml:space="preserve"> están relacionados con los factores de escala propios de cada sistema de coordenadas.</w:t>
      </w:r>
    </w:p>
    <w:p w:rsidR="00705D32" w:rsidRDefault="00705D32" w:rsidP="00705D32">
      <w:pPr>
        <w:jc w:val="both"/>
        <w:rPr>
          <w:rFonts w:ascii="Arial" w:eastAsia="Times New Roman" w:hAnsi="Arial" w:cs="Arial"/>
        </w:rPr>
      </w:pPr>
      <w:r>
        <w:rPr>
          <w:rFonts w:ascii="Arial" w:eastAsia="Times New Roman" w:hAnsi="Arial" w:cs="Arial"/>
        </w:rPr>
        <w:lastRenderedPageBreak/>
        <w:t xml:space="preserve">Así pues, </w:t>
      </w:r>
      <m:oMath>
        <m:r>
          <w:rPr>
            <w:rFonts w:ascii="Cambria Math" w:eastAsia="Times New Roman" w:hAnsi="Cambria Math" w:cs="Arial"/>
          </w:rPr>
          <m:t>D</m:t>
        </m:r>
        <m:acc>
          <m:accPr>
            <m:chr m:val="⃗"/>
            <m:ctrlPr>
              <w:rPr>
                <w:rFonts w:ascii="Cambria Math" w:eastAsia="Times New Roman" w:hAnsi="Cambria Math" w:cs="Arial"/>
                <w:i/>
              </w:rPr>
            </m:ctrlPr>
          </m:accPr>
          <m:e>
            <m:r>
              <w:rPr>
                <w:rFonts w:ascii="Cambria Math" w:eastAsia="Times New Roman" w:hAnsi="Cambria Math" w:cs="Arial"/>
              </w:rPr>
              <m:t>h</m:t>
            </m:r>
          </m:e>
        </m:acc>
      </m:oMath>
      <w:r>
        <w:rPr>
          <w:rFonts w:ascii="Arial" w:eastAsia="Times New Roman" w:hAnsi="Arial" w:cs="Arial"/>
        </w:rPr>
        <w:t xml:space="preserve"> se interpreta de la siguiente manera. Sea </w:t>
      </w:r>
      <w:r w:rsidRPr="00BD06F7">
        <w:rPr>
          <w:rFonts w:eastAsia="Times New Roman"/>
          <w:i/>
          <w:iCs/>
        </w:rPr>
        <w:t>P</w:t>
      </w:r>
      <w:r w:rsidRPr="00BD06F7">
        <w:rPr>
          <w:rFonts w:eastAsia="Times New Roman"/>
          <w:i/>
          <w:iCs/>
          <w:vertAlign w:val="subscript"/>
        </w:rPr>
        <w:t>o</w:t>
      </w:r>
      <w:r>
        <w:rPr>
          <w:rFonts w:ascii="Arial" w:eastAsia="Times New Roman" w:hAnsi="Arial" w:cs="Arial"/>
        </w:rPr>
        <w:t xml:space="preserve"> un paralelepípedo y </w:t>
      </w:r>
      <w:r w:rsidRPr="00BD06F7">
        <w:rPr>
          <w:rFonts w:eastAsia="Times New Roman"/>
          <w:i/>
          <w:iCs/>
        </w:rPr>
        <w:t>P(t)</w:t>
      </w:r>
      <w:r>
        <w:rPr>
          <w:rFonts w:ascii="Arial" w:eastAsia="Times New Roman" w:hAnsi="Arial" w:cs="Arial"/>
        </w:rPr>
        <w:t xml:space="preserve"> la evolución de </w:t>
      </w:r>
      <w:r w:rsidRPr="00BD06F7">
        <w:rPr>
          <w:rFonts w:eastAsia="Times New Roman"/>
          <w:i/>
          <w:iCs/>
        </w:rPr>
        <w:t>P</w:t>
      </w:r>
      <w:r w:rsidRPr="00BD06F7">
        <w:rPr>
          <w:rFonts w:eastAsia="Times New Roman"/>
          <w:i/>
          <w:iCs/>
          <w:vertAlign w:val="subscript"/>
        </w:rPr>
        <w:t>o</w:t>
      </w:r>
      <w:r>
        <w:rPr>
          <w:rFonts w:ascii="Arial" w:eastAsia="Times New Roman" w:hAnsi="Arial" w:cs="Arial"/>
        </w:rPr>
        <w:t xml:space="preserve"> en el tiempo </w:t>
      </w:r>
      <w:r w:rsidRPr="00BD06F7">
        <w:rPr>
          <w:rFonts w:eastAsia="Times New Roman"/>
          <w:i/>
          <w:iCs/>
        </w:rPr>
        <w:t>t</w:t>
      </w:r>
      <w:r>
        <w:rPr>
          <w:rFonts w:ascii="Arial" w:eastAsia="Times New Roman" w:hAnsi="Arial" w:cs="Arial"/>
        </w:rPr>
        <w:t xml:space="preserve"> es decir, si </w:t>
      </w:r>
      <m:oMath>
        <m:acc>
          <m:accPr>
            <m:chr m:val="⃗"/>
            <m:ctrlPr>
              <w:rPr>
                <w:rFonts w:ascii="Cambria Math" w:eastAsia="Times New Roman" w:hAnsi="Cambria Math" w:cs="Arial"/>
                <w:i/>
              </w:rPr>
            </m:ctrlPr>
          </m:accPr>
          <m:e>
            <m:r>
              <w:rPr>
                <w:rFonts w:ascii="Cambria Math" w:eastAsia="Times New Roman" w:hAnsi="Cambria Math" w:cs="Arial"/>
              </w:rPr>
              <m:t>h</m:t>
            </m:r>
          </m:e>
        </m:acc>
        <m:d>
          <m:dPr>
            <m:ctrlPr>
              <w:rPr>
                <w:rFonts w:ascii="Cambria Math" w:eastAsia="Times New Roman" w:hAnsi="Cambria Math" w:cs="Arial"/>
                <w:i/>
              </w:rPr>
            </m:ctrlPr>
          </m:dPr>
          <m:e>
            <m:r>
              <w:rPr>
                <w:rFonts w:ascii="Cambria Math" w:eastAsia="Times New Roman" w:hAnsi="Cambria Math" w:cs="Arial"/>
              </w:rPr>
              <m:t>t</m:t>
            </m:r>
          </m:e>
        </m:d>
        <m:r>
          <w:rPr>
            <w:rFonts w:ascii="Cambria Math" w:eastAsia="Times New Roman" w:hAnsi="Cambria Math" w:cs="Arial"/>
          </w:rPr>
          <m:t>=</m:t>
        </m:r>
        <m:sSup>
          <m:sSupPr>
            <m:ctrlPr>
              <w:rPr>
                <w:rFonts w:ascii="Cambria Math" w:eastAsia="Times New Roman" w:hAnsi="Cambria Math" w:cs="Arial"/>
                <w:i/>
              </w:rPr>
            </m:ctrlPr>
          </m:sSupPr>
          <m:e>
            <m:d>
              <m:dPr>
                <m:ctrlPr>
                  <w:rPr>
                    <w:rFonts w:ascii="Cambria Math" w:eastAsia="Times New Roman" w:hAnsi="Cambria Math" w:cs="Arial"/>
                    <w:i/>
                  </w:rPr>
                </m:ctrlPr>
              </m:dPr>
              <m:e>
                <m:sSub>
                  <m:sSubPr>
                    <m:ctrlPr>
                      <w:rPr>
                        <w:rFonts w:ascii="Cambria Math" w:eastAsia="Times New Roman" w:hAnsi="Cambria Math" w:cs="Arial"/>
                        <w:i/>
                      </w:rPr>
                    </m:ctrlPr>
                  </m:sSubPr>
                  <m:e>
                    <m:r>
                      <w:rPr>
                        <w:rFonts w:ascii="Cambria Math" w:eastAsia="Times New Roman" w:hAnsi="Cambria Math" w:cs="Arial"/>
                      </w:rPr>
                      <m:t>h</m:t>
                    </m:r>
                  </m:e>
                  <m:sub>
                    <m:r>
                      <w:rPr>
                        <w:rFonts w:ascii="Cambria Math" w:eastAsia="Times New Roman" w:hAnsi="Cambria Math" w:cs="Arial"/>
                      </w:rPr>
                      <m:t>1</m:t>
                    </m:r>
                  </m:sub>
                </m:sSub>
                <m:d>
                  <m:dPr>
                    <m:ctrlPr>
                      <w:rPr>
                        <w:rFonts w:ascii="Cambria Math" w:eastAsia="Times New Roman" w:hAnsi="Cambria Math" w:cs="Arial"/>
                        <w:i/>
                      </w:rPr>
                    </m:ctrlPr>
                  </m:dPr>
                  <m:e>
                    <m:r>
                      <w:rPr>
                        <w:rFonts w:ascii="Cambria Math" w:eastAsia="Times New Roman" w:hAnsi="Cambria Math" w:cs="Arial"/>
                      </w:rPr>
                      <m:t>t</m:t>
                    </m:r>
                  </m:e>
                </m:d>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h</m:t>
                    </m:r>
                  </m:e>
                  <m:sub>
                    <m:r>
                      <w:rPr>
                        <w:rFonts w:ascii="Cambria Math" w:eastAsia="Times New Roman" w:hAnsi="Cambria Math" w:cs="Arial"/>
                      </w:rPr>
                      <m:t>2</m:t>
                    </m:r>
                  </m:sub>
                </m:sSub>
                <m:d>
                  <m:dPr>
                    <m:ctrlPr>
                      <w:rPr>
                        <w:rFonts w:ascii="Cambria Math" w:eastAsia="Times New Roman" w:hAnsi="Cambria Math" w:cs="Arial"/>
                        <w:i/>
                      </w:rPr>
                    </m:ctrlPr>
                  </m:dPr>
                  <m:e>
                    <m:r>
                      <w:rPr>
                        <w:rFonts w:ascii="Cambria Math" w:eastAsia="Times New Roman" w:hAnsi="Cambria Math" w:cs="Arial"/>
                      </w:rPr>
                      <m:t>t</m:t>
                    </m:r>
                  </m:e>
                </m:d>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h</m:t>
                    </m:r>
                  </m:e>
                  <m:sub>
                    <m:r>
                      <w:rPr>
                        <w:rFonts w:ascii="Cambria Math" w:eastAsia="Times New Roman" w:hAnsi="Cambria Math" w:cs="Arial"/>
                      </w:rPr>
                      <m:t>3</m:t>
                    </m:r>
                  </m:sub>
                </m:sSub>
                <m:d>
                  <m:dPr>
                    <m:ctrlPr>
                      <w:rPr>
                        <w:rFonts w:ascii="Cambria Math" w:eastAsia="Times New Roman" w:hAnsi="Cambria Math" w:cs="Arial"/>
                        <w:i/>
                      </w:rPr>
                    </m:ctrlPr>
                  </m:dPr>
                  <m:e>
                    <m:r>
                      <w:rPr>
                        <w:rFonts w:ascii="Cambria Math" w:eastAsia="Times New Roman" w:hAnsi="Cambria Math" w:cs="Arial"/>
                      </w:rPr>
                      <m:t>t</m:t>
                    </m:r>
                  </m:e>
                </m:d>
              </m:e>
            </m:d>
          </m:e>
          <m:sup>
            <m:r>
              <w:rPr>
                <w:rFonts w:ascii="Cambria Math" w:eastAsia="Times New Roman" w:hAnsi="Cambria Math" w:cs="Arial"/>
              </w:rPr>
              <m:t>t</m:t>
            </m:r>
          </m:sup>
        </m:sSup>
      </m:oMath>
      <w:r>
        <w:rPr>
          <w:rFonts w:ascii="Arial" w:eastAsia="Times New Roman" w:hAnsi="Arial" w:cs="Arial"/>
        </w:rPr>
        <w:t xml:space="preserve">son los lados de </w:t>
      </w:r>
      <w:r w:rsidRPr="00BD06F7">
        <w:rPr>
          <w:rFonts w:eastAsia="Times New Roman"/>
          <w:i/>
          <w:iCs/>
        </w:rPr>
        <w:t>P(t)</w:t>
      </w:r>
      <w:r>
        <w:rPr>
          <w:rFonts w:ascii="Arial" w:eastAsia="Times New Roman" w:hAnsi="Arial" w:cs="Arial"/>
        </w:rPr>
        <w:t xml:space="preserve"> y </w:t>
      </w:r>
      <m:oMath>
        <m:sSub>
          <m:sSubPr>
            <m:ctrlPr>
              <w:rPr>
                <w:rFonts w:ascii="Cambria Math" w:eastAsia="Times New Roman" w:hAnsi="Cambria Math" w:cs="Arial"/>
                <w:i/>
              </w:rPr>
            </m:ctrlPr>
          </m:sSubPr>
          <m:e>
            <m:acc>
              <m:accPr>
                <m:chr m:val="⃗"/>
                <m:ctrlPr>
                  <w:rPr>
                    <w:rFonts w:ascii="Cambria Math" w:eastAsia="Times New Roman" w:hAnsi="Cambria Math" w:cs="Arial"/>
                    <w:i/>
                  </w:rPr>
                </m:ctrlPr>
              </m:accPr>
              <m:e>
                <m:r>
                  <w:rPr>
                    <w:rFonts w:ascii="Cambria Math" w:eastAsia="Times New Roman" w:hAnsi="Cambria Math" w:cs="Arial"/>
                  </w:rPr>
                  <m:t>h</m:t>
                </m:r>
              </m:e>
            </m:acc>
          </m:e>
          <m:sub>
            <m:r>
              <w:rPr>
                <w:rFonts w:ascii="Cambria Math" w:eastAsia="Times New Roman" w:hAnsi="Cambria Math" w:cs="Arial"/>
              </w:rPr>
              <m:t>0</m:t>
            </m:r>
          </m:sub>
        </m:sSub>
        <m:r>
          <w:rPr>
            <w:rFonts w:ascii="Cambria Math" w:eastAsia="Times New Roman" w:hAnsi="Cambria Math" w:cs="Arial"/>
          </w:rPr>
          <m:t>=</m:t>
        </m:r>
        <m:sSup>
          <m:sSupPr>
            <m:ctrlPr>
              <w:rPr>
                <w:rFonts w:ascii="Cambria Math" w:eastAsia="Times New Roman" w:hAnsi="Cambria Math" w:cs="Arial"/>
                <w:i/>
              </w:rPr>
            </m:ctrlPr>
          </m:sSupPr>
          <m:e>
            <m:d>
              <m:dPr>
                <m:ctrlPr>
                  <w:rPr>
                    <w:rFonts w:ascii="Cambria Math" w:eastAsia="Times New Roman" w:hAnsi="Cambria Math" w:cs="Arial"/>
                    <w:i/>
                  </w:rPr>
                </m:ctrlPr>
              </m:dPr>
              <m:e>
                <m:sSub>
                  <m:sSubPr>
                    <m:ctrlPr>
                      <w:rPr>
                        <w:rFonts w:ascii="Cambria Math" w:eastAsia="Times New Roman" w:hAnsi="Cambria Math" w:cs="Arial"/>
                        <w:i/>
                      </w:rPr>
                    </m:ctrlPr>
                  </m:sSubPr>
                  <m:e>
                    <m:r>
                      <w:rPr>
                        <w:rFonts w:ascii="Cambria Math" w:eastAsia="Times New Roman" w:hAnsi="Cambria Math" w:cs="Arial"/>
                      </w:rPr>
                      <m:t>h</m:t>
                    </m:r>
                  </m:e>
                  <m:sub>
                    <m:r>
                      <w:rPr>
                        <w:rFonts w:ascii="Cambria Math" w:eastAsia="Times New Roman" w:hAnsi="Cambria Math" w:cs="Arial"/>
                      </w:rPr>
                      <m:t>01</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h</m:t>
                    </m:r>
                  </m:e>
                  <m:sub>
                    <m:r>
                      <w:rPr>
                        <w:rFonts w:ascii="Cambria Math" w:eastAsia="Times New Roman" w:hAnsi="Cambria Math" w:cs="Arial"/>
                      </w:rPr>
                      <m:t>02</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h</m:t>
                    </m:r>
                  </m:e>
                  <m:sub>
                    <m:r>
                      <w:rPr>
                        <w:rFonts w:ascii="Cambria Math" w:eastAsia="Times New Roman" w:hAnsi="Cambria Math" w:cs="Arial"/>
                      </w:rPr>
                      <m:t>03</m:t>
                    </m:r>
                  </m:sub>
                </m:sSub>
              </m:e>
            </m:d>
          </m:e>
          <m:sup>
            <m:r>
              <w:rPr>
                <w:rFonts w:ascii="Cambria Math" w:eastAsia="Times New Roman" w:hAnsi="Cambria Math" w:cs="Arial"/>
              </w:rPr>
              <m:t>t</m:t>
            </m:r>
          </m:sup>
        </m:sSup>
      </m:oMath>
      <w:r>
        <w:rPr>
          <w:rFonts w:ascii="Arial" w:eastAsia="Times New Roman" w:hAnsi="Arial" w:cs="Arial"/>
        </w:rPr>
        <w:t xml:space="preserve">los lados de </w:t>
      </w:r>
      <w:r w:rsidRPr="00BD06F7">
        <w:rPr>
          <w:rFonts w:eastAsia="Times New Roman"/>
          <w:i/>
          <w:iCs/>
        </w:rPr>
        <w:t>P</w:t>
      </w:r>
      <w:r w:rsidRPr="00BD06F7">
        <w:rPr>
          <w:rFonts w:eastAsia="Times New Roman"/>
          <w:i/>
          <w:iCs/>
          <w:vertAlign w:val="subscript"/>
        </w:rPr>
        <w:t>o</w:t>
      </w:r>
      <w:r>
        <w:rPr>
          <w:rFonts w:ascii="Arial" w:eastAsia="Times New Roman" w:hAnsi="Arial" w:cs="Arial"/>
        </w:rPr>
        <w:t xml:space="preserve"> se verifica </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1345E4" w:rsidP="00B81843">
            <w:pPr>
              <w:jc w:val="center"/>
              <w:rPr>
                <w:rFonts w:ascii="Arial" w:eastAsia="Times New Roman" w:hAnsi="Arial" w:cs="Arial"/>
              </w:rPr>
            </w:pPr>
            <m:oMathPara>
              <m:oMath>
                <m:d>
                  <m:dPr>
                    <m:begChr m:val="{"/>
                    <m:endChr m:val=""/>
                    <m:ctrlPr>
                      <w:rPr>
                        <w:rFonts w:ascii="Cambria Math" w:eastAsia="Times New Roman" w:hAnsi="Cambria Math" w:cs="Arial"/>
                        <w:i/>
                      </w:rPr>
                    </m:ctrlPr>
                  </m:dPr>
                  <m:e>
                    <m:m>
                      <m:mPr>
                        <m:mcs>
                          <m:mc>
                            <m:mcPr>
                              <m:count m:val="2"/>
                              <m:mcJc m:val="center"/>
                            </m:mcPr>
                          </m:mc>
                        </m:mcs>
                        <m:ctrlPr>
                          <w:rPr>
                            <w:rFonts w:ascii="Cambria Math" w:eastAsia="Times New Roman" w:hAnsi="Cambria Math" w:cs="Arial"/>
                            <w:i/>
                          </w:rPr>
                        </m:ctrlPr>
                      </m:mPr>
                      <m:mr>
                        <m:e>
                          <m:f>
                            <m:fPr>
                              <m:ctrlPr>
                                <w:rPr>
                                  <w:rFonts w:ascii="Cambria Math" w:eastAsia="Times New Roman" w:hAnsi="Cambria Math" w:cs="Arial"/>
                                  <w:i/>
                                </w:rPr>
                              </m:ctrlPr>
                            </m:fPr>
                            <m:num>
                              <m:r>
                                <w:rPr>
                                  <w:rFonts w:ascii="Cambria Math" w:eastAsia="Times New Roman" w:hAnsi="Cambria Math" w:cs="Arial"/>
                                </w:rPr>
                                <m:t>d</m:t>
                              </m:r>
                              <m:acc>
                                <m:accPr>
                                  <m:chr m:val="⃗"/>
                                  <m:ctrlPr>
                                    <w:rPr>
                                      <w:rFonts w:ascii="Cambria Math" w:eastAsia="Times New Roman" w:hAnsi="Cambria Math" w:cs="Arial"/>
                                      <w:i/>
                                    </w:rPr>
                                  </m:ctrlPr>
                                </m:accPr>
                                <m:e>
                                  <m:r>
                                    <w:rPr>
                                      <w:rFonts w:ascii="Cambria Math" w:eastAsia="Times New Roman" w:hAnsi="Cambria Math" w:cs="Arial"/>
                                    </w:rPr>
                                    <m:t>h</m:t>
                                  </m:r>
                                </m:e>
                              </m:acc>
                            </m:num>
                            <m:den>
                              <m:r>
                                <w:rPr>
                                  <w:rFonts w:ascii="Cambria Math" w:eastAsia="Times New Roman" w:hAnsi="Cambria Math" w:cs="Arial"/>
                                </w:rPr>
                                <m:t>dt</m:t>
                              </m:r>
                            </m:den>
                          </m:f>
                          <m:d>
                            <m:dPr>
                              <m:ctrlPr>
                                <w:rPr>
                                  <w:rFonts w:ascii="Cambria Math" w:eastAsia="Times New Roman" w:hAnsi="Cambria Math" w:cs="Arial"/>
                                  <w:i/>
                                </w:rPr>
                              </m:ctrlPr>
                            </m:dPr>
                            <m:e>
                              <m:r>
                                <w:rPr>
                                  <w:rFonts w:ascii="Cambria Math" w:eastAsia="Times New Roman" w:hAnsi="Cambria Math" w:cs="Arial"/>
                                </w:rPr>
                                <m:t>t</m:t>
                              </m:r>
                            </m:e>
                          </m:d>
                        </m:e>
                        <m:e>
                          <m:r>
                            <w:rPr>
                              <w:rFonts w:ascii="Cambria Math" w:eastAsia="Times New Roman" w:hAnsi="Cambria Math" w:cs="Arial"/>
                            </w:rPr>
                            <m:t>=D</m:t>
                          </m:r>
                          <m:acc>
                            <m:accPr>
                              <m:chr m:val="⃗"/>
                              <m:ctrlPr>
                                <w:rPr>
                                  <w:rFonts w:ascii="Cambria Math" w:eastAsia="Times New Roman" w:hAnsi="Cambria Math" w:cs="Arial"/>
                                  <w:i/>
                                </w:rPr>
                              </m:ctrlPr>
                            </m:accPr>
                            <m:e>
                              <m:r>
                                <w:rPr>
                                  <w:rFonts w:ascii="Cambria Math" w:eastAsia="Times New Roman" w:hAnsi="Cambria Math" w:cs="Arial"/>
                                </w:rPr>
                                <m:t>h</m:t>
                              </m:r>
                            </m:e>
                          </m:acc>
                          <m:d>
                            <m:dPr>
                              <m:ctrlPr>
                                <w:rPr>
                                  <w:rFonts w:ascii="Cambria Math" w:eastAsia="Times New Roman" w:hAnsi="Cambria Math" w:cs="Arial"/>
                                  <w:i/>
                                </w:rPr>
                              </m:ctrlPr>
                            </m:dPr>
                            <m:e>
                              <m:r>
                                <w:rPr>
                                  <w:rFonts w:ascii="Cambria Math" w:eastAsia="Times New Roman" w:hAnsi="Cambria Math" w:cs="Arial"/>
                                </w:rPr>
                                <m:t>t</m:t>
                              </m:r>
                            </m:e>
                          </m:d>
                        </m:e>
                      </m:mr>
                      <m:mr>
                        <m:e>
                          <m:acc>
                            <m:accPr>
                              <m:chr m:val="⃗"/>
                              <m:ctrlPr>
                                <w:rPr>
                                  <w:rFonts w:ascii="Cambria Math" w:eastAsia="Times New Roman" w:hAnsi="Cambria Math" w:cs="Arial"/>
                                  <w:i/>
                                </w:rPr>
                              </m:ctrlPr>
                            </m:accPr>
                            <m:e>
                              <m:r>
                                <w:rPr>
                                  <w:rFonts w:ascii="Cambria Math" w:eastAsia="Times New Roman" w:hAnsi="Cambria Math" w:cs="Arial"/>
                                </w:rPr>
                                <m:t>h</m:t>
                              </m:r>
                            </m:e>
                          </m:acc>
                          <m:d>
                            <m:dPr>
                              <m:ctrlPr>
                                <w:rPr>
                                  <w:rFonts w:ascii="Cambria Math" w:eastAsia="Times New Roman" w:hAnsi="Cambria Math" w:cs="Arial"/>
                                  <w:i/>
                                </w:rPr>
                              </m:ctrlPr>
                            </m:dPr>
                            <m:e>
                              <m:r>
                                <w:rPr>
                                  <w:rFonts w:ascii="Cambria Math" w:eastAsia="Times New Roman" w:hAnsi="Cambria Math" w:cs="Arial"/>
                                </w:rPr>
                                <m:t>0</m:t>
                              </m:r>
                            </m:e>
                          </m:d>
                        </m:e>
                        <m:e>
                          <m:r>
                            <w:rPr>
                              <w:rFonts w:ascii="Cambria Math" w:eastAsia="Times New Roman" w:hAnsi="Cambria Math" w:cs="Arial"/>
                            </w:rPr>
                            <m:t>=</m:t>
                          </m:r>
                          <m:sSub>
                            <m:sSubPr>
                              <m:ctrlPr>
                                <w:rPr>
                                  <w:rFonts w:ascii="Cambria Math" w:eastAsia="Times New Roman" w:hAnsi="Cambria Math" w:cs="Arial"/>
                                  <w:i/>
                                </w:rPr>
                              </m:ctrlPr>
                            </m:sSubPr>
                            <m:e>
                              <m:acc>
                                <m:accPr>
                                  <m:chr m:val="⃗"/>
                                  <m:ctrlPr>
                                    <w:rPr>
                                      <w:rFonts w:ascii="Cambria Math" w:eastAsia="Times New Roman" w:hAnsi="Cambria Math" w:cs="Arial"/>
                                      <w:i/>
                                    </w:rPr>
                                  </m:ctrlPr>
                                </m:accPr>
                                <m:e>
                                  <m:r>
                                    <w:rPr>
                                      <w:rFonts w:ascii="Cambria Math" w:eastAsia="Times New Roman" w:hAnsi="Cambria Math" w:cs="Arial"/>
                                    </w:rPr>
                                    <m:t>h</m:t>
                                  </m:r>
                                </m:e>
                              </m:acc>
                            </m:e>
                            <m:sub>
                              <m:r>
                                <w:rPr>
                                  <w:rFonts w:ascii="Cambria Math" w:eastAsia="Times New Roman" w:hAnsi="Cambria Math" w:cs="Arial"/>
                                </w:rPr>
                                <m:t>0</m:t>
                              </m:r>
                            </m:sub>
                          </m:sSub>
                        </m:e>
                      </m:mr>
                    </m:m>
                  </m:e>
                </m:d>
              </m:oMath>
            </m:oMathPara>
          </w:p>
        </w:tc>
        <w:tc>
          <w:tcPr>
            <w:tcW w:w="652" w:type="dxa"/>
            <w:shd w:val="clear" w:color="auto" w:fill="auto"/>
          </w:tcPr>
          <w:p w:rsidR="00705D32" w:rsidRPr="0052084F" w:rsidRDefault="00705D32" w:rsidP="00B81843">
            <w:pPr>
              <w:jc w:val="both"/>
              <w:rPr>
                <w:rFonts w:ascii="Arial" w:hAnsi="Arial" w:cs="Arial"/>
              </w:rPr>
            </w:pPr>
          </w:p>
        </w:tc>
      </w:tr>
    </w:tbl>
    <w:p w:rsidR="00705D32" w:rsidRDefault="00705D32" w:rsidP="00705D32">
      <w:pPr>
        <w:jc w:val="both"/>
        <w:rPr>
          <w:rFonts w:ascii="Arial" w:eastAsia="Times New Roman" w:hAnsi="Arial" w:cs="Arial"/>
        </w:rPr>
      </w:pPr>
      <w:r>
        <w:rPr>
          <w:rFonts w:ascii="Arial" w:eastAsia="Times New Roman" w:hAnsi="Arial" w:cs="Arial"/>
        </w:rPr>
        <w:t xml:space="preserve">Los </w:t>
      </w:r>
      <m:oMath>
        <m:sSub>
          <m:sSubPr>
            <m:ctrlPr>
              <w:rPr>
                <w:rFonts w:ascii="Cambria Math" w:eastAsia="Times New Roman" w:hAnsi="Cambria Math" w:cs="Arial"/>
                <w:i/>
              </w:rPr>
            </m:ctrlPr>
          </m:sSubPr>
          <m:e>
            <m:acc>
              <m:accPr>
                <m:chr m:val="̃"/>
                <m:ctrlPr>
                  <w:rPr>
                    <w:rFonts w:ascii="Cambria Math" w:eastAsia="Times New Roman" w:hAnsi="Cambria Math" w:cs="Arial"/>
                    <w:i/>
                  </w:rPr>
                </m:ctrlPr>
              </m:accPr>
              <m:e>
                <m:r>
                  <w:rPr>
                    <w:rFonts w:ascii="Cambria Math" w:eastAsia="Times New Roman" w:hAnsi="Cambria Math" w:cs="Arial"/>
                  </w:rPr>
                  <m:t>h</m:t>
                </m:r>
              </m:e>
            </m:acc>
          </m:e>
          <m:sub>
            <m:r>
              <w:rPr>
                <w:rFonts w:ascii="Cambria Math" w:eastAsia="Times New Roman" w:hAnsi="Cambria Math" w:cs="Arial"/>
              </w:rPr>
              <m:t>i</m:t>
            </m:r>
          </m:sub>
        </m:sSub>
        <m:r>
          <w:rPr>
            <w:rFonts w:ascii="Cambria Math" w:eastAsia="Times New Roman" w:hAnsi="Cambria Math" w:cs="Arial"/>
          </w:rPr>
          <m:t>, i=1,2,3</m:t>
        </m:r>
      </m:oMath>
      <w:r>
        <w:rPr>
          <w:rFonts w:ascii="Arial" w:eastAsia="Times New Roman" w:hAnsi="Arial" w:cs="Arial"/>
        </w:rPr>
        <w:t xml:space="preserve"> los transformados de los </w:t>
      </w:r>
      <m:oMath>
        <m:sSub>
          <m:sSubPr>
            <m:ctrlPr>
              <w:rPr>
                <w:rFonts w:ascii="Cambria Math" w:eastAsia="Times New Roman" w:hAnsi="Cambria Math" w:cs="Arial"/>
                <w:i/>
              </w:rPr>
            </m:ctrlPr>
          </m:sSubPr>
          <m:e>
            <m:r>
              <w:rPr>
                <w:rFonts w:ascii="Cambria Math" w:eastAsia="Times New Roman" w:hAnsi="Cambria Math" w:cs="Arial"/>
              </w:rPr>
              <m:t>h</m:t>
            </m:r>
          </m:e>
          <m:sub>
            <m:r>
              <w:rPr>
                <w:rFonts w:ascii="Cambria Math" w:eastAsia="Times New Roman" w:hAnsi="Cambria Math" w:cs="Arial"/>
              </w:rPr>
              <m:t>i</m:t>
            </m:r>
          </m:sub>
        </m:sSub>
      </m:oMath>
      <w:r>
        <w:rPr>
          <w:rFonts w:ascii="Arial" w:eastAsia="Times New Roman" w:hAnsi="Arial" w:cs="Arial"/>
        </w:rPr>
        <w:t xml:space="preserve"> factores de escala de la transformación de coordenadas curvilíneas ortogonales.</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1345E4" w:rsidP="00B81843">
            <w:pPr>
              <w:jc w:val="center"/>
              <w:rPr>
                <w:rFonts w:ascii="Arial" w:eastAsia="Times New Roman" w:hAnsi="Arial" w:cs="Arial"/>
              </w:rPr>
            </w:pPr>
            <m:oMathPara>
              <m:oMath>
                <m:f>
                  <m:fPr>
                    <m:ctrlPr>
                      <w:rPr>
                        <w:rFonts w:ascii="Cambria Math" w:eastAsia="Times New Roman" w:hAnsi="Cambria Math" w:cs="Arial"/>
                        <w:i/>
                      </w:rPr>
                    </m:ctrlPr>
                  </m:fPr>
                  <m:num>
                    <m:r>
                      <w:rPr>
                        <w:rFonts w:ascii="Cambria Math" w:eastAsia="Times New Roman" w:hAnsi="Cambria Math" w:cs="Arial"/>
                      </w:rPr>
                      <m:t>d</m:t>
                    </m:r>
                    <m:sSub>
                      <m:sSubPr>
                        <m:ctrlPr>
                          <w:rPr>
                            <w:rFonts w:ascii="Cambria Math" w:eastAsia="Times New Roman" w:hAnsi="Cambria Math" w:cs="Arial"/>
                            <w:i/>
                          </w:rPr>
                        </m:ctrlPr>
                      </m:sSubPr>
                      <m:e>
                        <m:acc>
                          <m:accPr>
                            <m:chr m:val="̃"/>
                            <m:ctrlPr>
                              <w:rPr>
                                <w:rFonts w:ascii="Cambria Math" w:eastAsia="Times New Roman" w:hAnsi="Cambria Math" w:cs="Arial"/>
                                <w:i/>
                              </w:rPr>
                            </m:ctrlPr>
                          </m:accPr>
                          <m:e>
                            <m:r>
                              <w:rPr>
                                <w:rFonts w:ascii="Cambria Math" w:eastAsia="Times New Roman" w:hAnsi="Cambria Math" w:cs="Arial"/>
                              </w:rPr>
                              <m:t>h</m:t>
                            </m:r>
                          </m:e>
                        </m:acc>
                      </m:e>
                      <m:sub>
                        <m:r>
                          <w:rPr>
                            <w:rFonts w:ascii="Cambria Math" w:eastAsia="Times New Roman" w:hAnsi="Cambria Math" w:cs="Arial"/>
                          </w:rPr>
                          <m:t>i</m:t>
                        </m:r>
                      </m:sub>
                    </m:sSub>
                    <m:d>
                      <m:dPr>
                        <m:ctrlPr>
                          <w:rPr>
                            <w:rFonts w:ascii="Cambria Math" w:eastAsia="Times New Roman" w:hAnsi="Cambria Math" w:cs="Arial"/>
                            <w:i/>
                          </w:rPr>
                        </m:ctrlPr>
                      </m:dPr>
                      <m:e>
                        <m:r>
                          <w:rPr>
                            <w:rFonts w:ascii="Cambria Math" w:eastAsia="Times New Roman" w:hAnsi="Cambria Math" w:cs="Arial"/>
                          </w:rPr>
                          <m:t>t</m:t>
                        </m:r>
                      </m:e>
                    </m:d>
                  </m:num>
                  <m:den>
                    <m:r>
                      <w:rPr>
                        <w:rFonts w:ascii="Cambria Math" w:eastAsia="Times New Roman" w:hAnsi="Cambria Math" w:cs="Arial"/>
                      </w:rPr>
                      <m:t>dt</m:t>
                    </m:r>
                  </m:den>
                </m:f>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d</m:t>
                    </m:r>
                  </m:e>
                  <m:sub>
                    <m:r>
                      <w:rPr>
                        <w:rFonts w:ascii="Cambria Math" w:eastAsia="Times New Roman" w:hAnsi="Cambria Math" w:cs="Arial"/>
                      </w:rPr>
                      <m:t>i</m:t>
                    </m:r>
                  </m:sub>
                </m:sSub>
                <m:sSub>
                  <m:sSubPr>
                    <m:ctrlPr>
                      <w:rPr>
                        <w:rFonts w:ascii="Cambria Math" w:eastAsia="Times New Roman" w:hAnsi="Cambria Math" w:cs="Arial"/>
                        <w:i/>
                      </w:rPr>
                    </m:ctrlPr>
                  </m:sSubPr>
                  <m:e>
                    <m:acc>
                      <m:accPr>
                        <m:chr m:val="̃"/>
                        <m:ctrlPr>
                          <w:rPr>
                            <w:rFonts w:ascii="Cambria Math" w:eastAsia="Times New Roman" w:hAnsi="Cambria Math" w:cs="Arial"/>
                            <w:i/>
                          </w:rPr>
                        </m:ctrlPr>
                      </m:accPr>
                      <m:e>
                        <m:r>
                          <w:rPr>
                            <w:rFonts w:ascii="Cambria Math" w:eastAsia="Times New Roman" w:hAnsi="Cambria Math" w:cs="Arial"/>
                          </w:rPr>
                          <m:t>h</m:t>
                        </m:r>
                      </m:e>
                    </m:acc>
                  </m:e>
                  <m:sub>
                    <m:r>
                      <w:rPr>
                        <w:rFonts w:ascii="Cambria Math" w:eastAsia="Times New Roman" w:hAnsi="Cambria Math" w:cs="Arial"/>
                      </w:rPr>
                      <m:t>i</m:t>
                    </m:r>
                  </m:sub>
                </m:sSub>
                <m:d>
                  <m:dPr>
                    <m:ctrlPr>
                      <w:rPr>
                        <w:rFonts w:ascii="Cambria Math" w:eastAsia="Times New Roman" w:hAnsi="Cambria Math" w:cs="Arial"/>
                        <w:i/>
                      </w:rPr>
                    </m:ctrlPr>
                  </m:dPr>
                  <m:e>
                    <m:r>
                      <w:rPr>
                        <w:rFonts w:ascii="Cambria Math" w:eastAsia="Times New Roman" w:hAnsi="Cambria Math" w:cs="Arial"/>
                      </w:rPr>
                      <m:t>t</m:t>
                    </m:r>
                  </m:e>
                </m:d>
                <m:r>
                  <w:rPr>
                    <w:rFonts w:ascii="Cambria Math" w:eastAsia="Times New Roman" w:hAnsi="Cambria Math" w:cs="Arial"/>
                  </w:rPr>
                  <m:t>,      i=1,2,3</m:t>
                </m:r>
              </m:oMath>
            </m:oMathPara>
          </w:p>
        </w:tc>
        <w:tc>
          <w:tcPr>
            <w:tcW w:w="652" w:type="dxa"/>
            <w:shd w:val="clear" w:color="auto" w:fill="auto"/>
          </w:tcPr>
          <w:p w:rsidR="00705D32" w:rsidRPr="0052084F" w:rsidRDefault="00705D32" w:rsidP="00B81843">
            <w:pPr>
              <w:jc w:val="both"/>
              <w:rPr>
                <w:rFonts w:ascii="Arial" w:hAnsi="Arial" w:cs="Arial"/>
              </w:rPr>
            </w:pPr>
          </w:p>
        </w:tc>
      </w:tr>
    </w:tbl>
    <w:p w:rsidR="00705D32" w:rsidRDefault="00705D32" w:rsidP="00705D32">
      <w:pPr>
        <w:jc w:val="both"/>
        <w:rPr>
          <w:rFonts w:ascii="Arial" w:eastAsia="Times New Roman" w:hAnsi="Arial" w:cs="Arial"/>
        </w:rPr>
      </w:pPr>
      <w:r>
        <w:rPr>
          <w:rFonts w:ascii="Arial" w:eastAsia="Times New Roman" w:hAnsi="Arial" w:cs="Arial"/>
        </w:rPr>
        <w:t>y por tanto,</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1345E4" w:rsidP="00B81843">
            <w:pPr>
              <w:jc w:val="both"/>
              <w:rPr>
                <w:rFonts w:ascii="Arial" w:eastAsia="Times New Roman" w:hAnsi="Arial" w:cs="Arial"/>
              </w:rPr>
            </w:pPr>
            <m:oMathPara>
              <m:oMath>
                <m:f>
                  <m:fPr>
                    <m:ctrlPr>
                      <w:rPr>
                        <w:rFonts w:ascii="Cambria Math" w:eastAsia="Times New Roman" w:hAnsi="Cambria Math" w:cs="Arial"/>
                        <w:i/>
                      </w:rPr>
                    </m:ctrlPr>
                  </m:fPr>
                  <m:num>
                    <m:r>
                      <w:rPr>
                        <w:rFonts w:ascii="Cambria Math" w:eastAsia="Times New Roman" w:hAnsi="Cambria Math" w:cs="Arial"/>
                      </w:rPr>
                      <m:t>d</m:t>
                    </m:r>
                  </m:num>
                  <m:den>
                    <m:r>
                      <w:rPr>
                        <w:rFonts w:ascii="Cambria Math" w:eastAsia="Times New Roman" w:hAnsi="Cambria Math" w:cs="Arial"/>
                      </w:rPr>
                      <m:t>dt</m:t>
                    </m:r>
                  </m:den>
                </m:f>
                <m:r>
                  <w:rPr>
                    <w:rFonts w:ascii="Cambria Math" w:eastAsia="Times New Roman" w:hAnsi="Cambria Math" w:cs="Arial"/>
                  </w:rPr>
                  <m:t>Vol</m:t>
                </m:r>
                <m:d>
                  <m:dPr>
                    <m:ctrlPr>
                      <w:rPr>
                        <w:rFonts w:ascii="Cambria Math" w:eastAsia="Times New Roman" w:hAnsi="Cambria Math" w:cs="Arial"/>
                        <w:i/>
                      </w:rPr>
                    </m:ctrlPr>
                  </m:dPr>
                  <m:e>
                    <m:r>
                      <w:rPr>
                        <w:rFonts w:ascii="Cambria Math" w:eastAsia="Times New Roman" w:hAnsi="Cambria Math" w:cs="Arial"/>
                      </w:rPr>
                      <m:t>P</m:t>
                    </m:r>
                    <m:d>
                      <m:dPr>
                        <m:ctrlPr>
                          <w:rPr>
                            <w:rFonts w:ascii="Cambria Math" w:eastAsia="Times New Roman" w:hAnsi="Cambria Math" w:cs="Arial"/>
                            <w:i/>
                          </w:rPr>
                        </m:ctrlPr>
                      </m:dPr>
                      <m:e>
                        <m:r>
                          <w:rPr>
                            <w:rFonts w:ascii="Cambria Math" w:eastAsia="Times New Roman" w:hAnsi="Cambria Math" w:cs="Arial"/>
                          </w:rPr>
                          <m:t>t</m:t>
                        </m:r>
                      </m:e>
                    </m:d>
                  </m:e>
                </m:d>
                <m:r>
                  <w:rPr>
                    <w:rFonts w:ascii="Cambria Math" w:eastAsia="Times New Roman" w:hAnsi="Cambria Math" w:cs="Arial"/>
                  </w:rPr>
                  <m:t>=</m:t>
                </m:r>
                <m:f>
                  <m:fPr>
                    <m:ctrlPr>
                      <w:rPr>
                        <w:rFonts w:ascii="Cambria Math" w:eastAsia="Times New Roman" w:hAnsi="Cambria Math" w:cs="Arial"/>
                        <w:i/>
                      </w:rPr>
                    </m:ctrlPr>
                  </m:fPr>
                  <m:num>
                    <m:r>
                      <w:rPr>
                        <w:rFonts w:ascii="Cambria Math" w:eastAsia="Times New Roman" w:hAnsi="Cambria Math" w:cs="Arial"/>
                      </w:rPr>
                      <m:t>d</m:t>
                    </m:r>
                  </m:num>
                  <m:den>
                    <m:r>
                      <w:rPr>
                        <w:rFonts w:ascii="Cambria Math" w:eastAsia="Times New Roman" w:hAnsi="Cambria Math" w:cs="Arial"/>
                      </w:rPr>
                      <m:t>dt</m:t>
                    </m:r>
                  </m:den>
                </m:f>
                <m:d>
                  <m:dPr>
                    <m:ctrlPr>
                      <w:rPr>
                        <w:rFonts w:ascii="Cambria Math" w:eastAsia="Times New Roman" w:hAnsi="Cambria Math" w:cs="Arial"/>
                        <w:i/>
                      </w:rPr>
                    </m:ctrlPr>
                  </m:dPr>
                  <m:e>
                    <m:sSub>
                      <m:sSubPr>
                        <m:ctrlPr>
                          <w:rPr>
                            <w:rFonts w:ascii="Cambria Math" w:eastAsia="Times New Roman" w:hAnsi="Cambria Math" w:cs="Arial"/>
                            <w:i/>
                          </w:rPr>
                        </m:ctrlPr>
                      </m:sSubPr>
                      <m:e>
                        <m:acc>
                          <m:accPr>
                            <m:chr m:val="̃"/>
                            <m:ctrlPr>
                              <w:rPr>
                                <w:rFonts w:ascii="Cambria Math" w:eastAsia="Times New Roman" w:hAnsi="Cambria Math" w:cs="Arial"/>
                                <w:i/>
                              </w:rPr>
                            </m:ctrlPr>
                          </m:accPr>
                          <m:e>
                            <m:r>
                              <w:rPr>
                                <w:rFonts w:ascii="Cambria Math" w:eastAsia="Times New Roman" w:hAnsi="Cambria Math" w:cs="Arial"/>
                              </w:rPr>
                              <m:t>h</m:t>
                            </m:r>
                          </m:e>
                        </m:acc>
                      </m:e>
                      <m:sub>
                        <m:r>
                          <w:rPr>
                            <w:rFonts w:ascii="Cambria Math" w:eastAsia="Times New Roman" w:hAnsi="Cambria Math" w:cs="Arial"/>
                          </w:rPr>
                          <m:t>1</m:t>
                        </m:r>
                      </m:sub>
                    </m:sSub>
                    <m:d>
                      <m:dPr>
                        <m:ctrlPr>
                          <w:rPr>
                            <w:rFonts w:ascii="Cambria Math" w:eastAsia="Times New Roman" w:hAnsi="Cambria Math" w:cs="Arial"/>
                            <w:i/>
                          </w:rPr>
                        </m:ctrlPr>
                      </m:dPr>
                      <m:e>
                        <m:r>
                          <w:rPr>
                            <w:rFonts w:ascii="Cambria Math" w:eastAsia="Times New Roman" w:hAnsi="Cambria Math" w:cs="Arial"/>
                          </w:rPr>
                          <m:t>t</m:t>
                        </m:r>
                      </m:e>
                    </m:d>
                    <m:r>
                      <w:rPr>
                        <w:rFonts w:ascii="Cambria Math" w:eastAsia="Times New Roman" w:hAnsi="Cambria Math" w:cs="Arial"/>
                      </w:rPr>
                      <m:t>,</m:t>
                    </m:r>
                    <m:sSub>
                      <m:sSubPr>
                        <m:ctrlPr>
                          <w:rPr>
                            <w:rFonts w:ascii="Cambria Math" w:eastAsia="Times New Roman" w:hAnsi="Cambria Math" w:cs="Arial"/>
                            <w:i/>
                          </w:rPr>
                        </m:ctrlPr>
                      </m:sSubPr>
                      <m:e>
                        <m:acc>
                          <m:accPr>
                            <m:chr m:val="̃"/>
                            <m:ctrlPr>
                              <w:rPr>
                                <w:rFonts w:ascii="Cambria Math" w:eastAsia="Times New Roman" w:hAnsi="Cambria Math" w:cs="Arial"/>
                                <w:i/>
                              </w:rPr>
                            </m:ctrlPr>
                          </m:accPr>
                          <m:e>
                            <m:r>
                              <w:rPr>
                                <w:rFonts w:ascii="Cambria Math" w:eastAsia="Times New Roman" w:hAnsi="Cambria Math" w:cs="Arial"/>
                              </w:rPr>
                              <m:t>h</m:t>
                            </m:r>
                          </m:e>
                        </m:acc>
                      </m:e>
                      <m:sub>
                        <m:r>
                          <w:rPr>
                            <w:rFonts w:ascii="Cambria Math" w:eastAsia="Times New Roman" w:hAnsi="Cambria Math" w:cs="Arial"/>
                          </w:rPr>
                          <m:t>2</m:t>
                        </m:r>
                      </m:sub>
                    </m:sSub>
                    <m:d>
                      <m:dPr>
                        <m:ctrlPr>
                          <w:rPr>
                            <w:rFonts w:ascii="Cambria Math" w:eastAsia="Times New Roman" w:hAnsi="Cambria Math" w:cs="Arial"/>
                            <w:i/>
                          </w:rPr>
                        </m:ctrlPr>
                      </m:dPr>
                      <m:e>
                        <m:r>
                          <w:rPr>
                            <w:rFonts w:ascii="Cambria Math" w:eastAsia="Times New Roman" w:hAnsi="Cambria Math" w:cs="Arial"/>
                          </w:rPr>
                          <m:t>t</m:t>
                        </m:r>
                      </m:e>
                    </m:d>
                    <m:r>
                      <w:rPr>
                        <w:rFonts w:ascii="Cambria Math" w:eastAsia="Times New Roman" w:hAnsi="Cambria Math" w:cs="Arial"/>
                      </w:rPr>
                      <m:t>,</m:t>
                    </m:r>
                    <m:sSub>
                      <m:sSubPr>
                        <m:ctrlPr>
                          <w:rPr>
                            <w:rFonts w:ascii="Cambria Math" w:eastAsia="Times New Roman" w:hAnsi="Cambria Math" w:cs="Arial"/>
                            <w:i/>
                          </w:rPr>
                        </m:ctrlPr>
                      </m:sSubPr>
                      <m:e>
                        <m:acc>
                          <m:accPr>
                            <m:chr m:val="̃"/>
                            <m:ctrlPr>
                              <w:rPr>
                                <w:rFonts w:ascii="Cambria Math" w:eastAsia="Times New Roman" w:hAnsi="Cambria Math" w:cs="Arial"/>
                                <w:i/>
                              </w:rPr>
                            </m:ctrlPr>
                          </m:accPr>
                          <m:e>
                            <m:r>
                              <w:rPr>
                                <w:rFonts w:ascii="Cambria Math" w:eastAsia="Times New Roman" w:hAnsi="Cambria Math" w:cs="Arial"/>
                              </w:rPr>
                              <m:t>h</m:t>
                            </m:r>
                          </m:e>
                        </m:acc>
                      </m:e>
                      <m:sub>
                        <m:r>
                          <w:rPr>
                            <w:rFonts w:ascii="Cambria Math" w:eastAsia="Times New Roman" w:hAnsi="Cambria Math" w:cs="Arial"/>
                          </w:rPr>
                          <m:t>3</m:t>
                        </m:r>
                      </m:sub>
                    </m:sSub>
                    <m:d>
                      <m:dPr>
                        <m:ctrlPr>
                          <w:rPr>
                            <w:rFonts w:ascii="Cambria Math" w:eastAsia="Times New Roman" w:hAnsi="Cambria Math" w:cs="Arial"/>
                            <w:i/>
                          </w:rPr>
                        </m:ctrlPr>
                      </m:dPr>
                      <m:e>
                        <m:r>
                          <w:rPr>
                            <w:rFonts w:ascii="Cambria Math" w:eastAsia="Times New Roman" w:hAnsi="Cambria Math" w:cs="Arial"/>
                          </w:rPr>
                          <m:t>t</m:t>
                        </m:r>
                      </m:e>
                    </m:d>
                  </m:e>
                </m:d>
                <m:r>
                  <w:rPr>
                    <w:rFonts w:ascii="Cambria Math" w:eastAsia="Times New Roman" w:hAnsi="Cambria Math" w:cs="Arial"/>
                  </w:rPr>
                  <m:t>=</m:t>
                </m:r>
                <m:d>
                  <m:dPr>
                    <m:ctrlPr>
                      <w:rPr>
                        <w:rFonts w:ascii="Cambria Math" w:eastAsia="Times New Roman" w:hAnsi="Cambria Math" w:cs="Arial"/>
                        <w:i/>
                      </w:rPr>
                    </m:ctrlPr>
                  </m:dPr>
                  <m:e>
                    <m:nary>
                      <m:naryPr>
                        <m:chr m:val="∑"/>
                        <m:limLoc m:val="undOvr"/>
                        <m:ctrlPr>
                          <w:rPr>
                            <w:rFonts w:ascii="Cambria Math" w:eastAsia="Times New Roman" w:hAnsi="Cambria Math" w:cs="Arial"/>
                            <w:i/>
                          </w:rPr>
                        </m:ctrlPr>
                      </m:naryPr>
                      <m:sub>
                        <m:r>
                          <w:rPr>
                            <w:rFonts w:ascii="Cambria Math" w:eastAsia="Times New Roman" w:hAnsi="Cambria Math" w:cs="Arial"/>
                          </w:rPr>
                          <m:t>i=1</m:t>
                        </m:r>
                      </m:sub>
                      <m:sup>
                        <m:r>
                          <w:rPr>
                            <w:rFonts w:ascii="Cambria Math" w:eastAsia="Times New Roman" w:hAnsi="Cambria Math" w:cs="Arial"/>
                          </w:rPr>
                          <m:t>3</m:t>
                        </m:r>
                      </m:sup>
                      <m:e>
                        <m:sSub>
                          <m:sSubPr>
                            <m:ctrlPr>
                              <w:rPr>
                                <w:rFonts w:ascii="Cambria Math" w:eastAsia="Times New Roman" w:hAnsi="Cambria Math" w:cs="Arial"/>
                                <w:i/>
                              </w:rPr>
                            </m:ctrlPr>
                          </m:sSubPr>
                          <m:e>
                            <m:r>
                              <w:rPr>
                                <w:rFonts w:ascii="Cambria Math" w:eastAsia="Times New Roman" w:hAnsi="Cambria Math" w:cs="Arial"/>
                              </w:rPr>
                              <m:t>d</m:t>
                            </m:r>
                          </m:e>
                          <m:sub>
                            <m:r>
                              <w:rPr>
                                <w:rFonts w:ascii="Cambria Math" w:eastAsia="Times New Roman" w:hAnsi="Cambria Math" w:cs="Arial"/>
                              </w:rPr>
                              <m:t>i</m:t>
                            </m:r>
                          </m:sub>
                        </m:sSub>
                      </m:e>
                    </m:nary>
                  </m:e>
                </m:d>
                <m:d>
                  <m:dPr>
                    <m:ctrlPr>
                      <w:rPr>
                        <w:rFonts w:ascii="Cambria Math" w:eastAsia="Times New Roman" w:hAnsi="Cambria Math" w:cs="Arial"/>
                        <w:i/>
                      </w:rPr>
                    </m:ctrlPr>
                  </m:dPr>
                  <m:e>
                    <m:sSub>
                      <m:sSubPr>
                        <m:ctrlPr>
                          <w:rPr>
                            <w:rFonts w:ascii="Cambria Math" w:eastAsia="Times New Roman" w:hAnsi="Cambria Math" w:cs="Arial"/>
                            <w:i/>
                          </w:rPr>
                        </m:ctrlPr>
                      </m:sSubPr>
                      <m:e>
                        <m:acc>
                          <m:accPr>
                            <m:chr m:val="̃"/>
                            <m:ctrlPr>
                              <w:rPr>
                                <w:rFonts w:ascii="Cambria Math" w:eastAsia="Times New Roman" w:hAnsi="Cambria Math" w:cs="Arial"/>
                                <w:i/>
                              </w:rPr>
                            </m:ctrlPr>
                          </m:accPr>
                          <m:e>
                            <m:r>
                              <w:rPr>
                                <w:rFonts w:ascii="Cambria Math" w:eastAsia="Times New Roman" w:hAnsi="Cambria Math" w:cs="Arial"/>
                              </w:rPr>
                              <m:t>h</m:t>
                            </m:r>
                          </m:e>
                        </m:acc>
                      </m:e>
                      <m:sub>
                        <m:r>
                          <w:rPr>
                            <w:rFonts w:ascii="Cambria Math" w:eastAsia="Times New Roman" w:hAnsi="Cambria Math" w:cs="Arial"/>
                          </w:rPr>
                          <m:t>1</m:t>
                        </m:r>
                      </m:sub>
                    </m:sSub>
                    <m:d>
                      <m:dPr>
                        <m:ctrlPr>
                          <w:rPr>
                            <w:rFonts w:ascii="Cambria Math" w:eastAsia="Times New Roman" w:hAnsi="Cambria Math" w:cs="Arial"/>
                            <w:i/>
                          </w:rPr>
                        </m:ctrlPr>
                      </m:dPr>
                      <m:e>
                        <m:r>
                          <w:rPr>
                            <w:rFonts w:ascii="Cambria Math" w:eastAsia="Times New Roman" w:hAnsi="Cambria Math" w:cs="Arial"/>
                          </w:rPr>
                          <m:t>t</m:t>
                        </m:r>
                      </m:e>
                    </m:d>
                    <m:r>
                      <w:rPr>
                        <w:rFonts w:ascii="Cambria Math" w:eastAsia="Times New Roman" w:hAnsi="Cambria Math" w:cs="Arial"/>
                      </w:rPr>
                      <m:t>,</m:t>
                    </m:r>
                    <m:sSub>
                      <m:sSubPr>
                        <m:ctrlPr>
                          <w:rPr>
                            <w:rFonts w:ascii="Cambria Math" w:eastAsia="Times New Roman" w:hAnsi="Cambria Math" w:cs="Arial"/>
                            <w:i/>
                          </w:rPr>
                        </m:ctrlPr>
                      </m:sSubPr>
                      <m:e>
                        <m:acc>
                          <m:accPr>
                            <m:chr m:val="̃"/>
                            <m:ctrlPr>
                              <w:rPr>
                                <w:rFonts w:ascii="Cambria Math" w:eastAsia="Times New Roman" w:hAnsi="Cambria Math" w:cs="Arial"/>
                                <w:i/>
                              </w:rPr>
                            </m:ctrlPr>
                          </m:accPr>
                          <m:e>
                            <m:r>
                              <w:rPr>
                                <w:rFonts w:ascii="Cambria Math" w:eastAsia="Times New Roman" w:hAnsi="Cambria Math" w:cs="Arial"/>
                              </w:rPr>
                              <m:t>h</m:t>
                            </m:r>
                          </m:e>
                        </m:acc>
                      </m:e>
                      <m:sub>
                        <m:r>
                          <w:rPr>
                            <w:rFonts w:ascii="Cambria Math" w:eastAsia="Times New Roman" w:hAnsi="Cambria Math" w:cs="Arial"/>
                          </w:rPr>
                          <m:t>2</m:t>
                        </m:r>
                      </m:sub>
                    </m:sSub>
                    <m:d>
                      <m:dPr>
                        <m:ctrlPr>
                          <w:rPr>
                            <w:rFonts w:ascii="Cambria Math" w:eastAsia="Times New Roman" w:hAnsi="Cambria Math" w:cs="Arial"/>
                            <w:i/>
                          </w:rPr>
                        </m:ctrlPr>
                      </m:dPr>
                      <m:e>
                        <m:r>
                          <w:rPr>
                            <w:rFonts w:ascii="Cambria Math" w:eastAsia="Times New Roman" w:hAnsi="Cambria Math" w:cs="Arial"/>
                          </w:rPr>
                          <m:t>t</m:t>
                        </m:r>
                      </m:e>
                    </m:d>
                    <m:r>
                      <w:rPr>
                        <w:rFonts w:ascii="Cambria Math" w:eastAsia="Times New Roman" w:hAnsi="Cambria Math" w:cs="Arial"/>
                      </w:rPr>
                      <m:t>,</m:t>
                    </m:r>
                    <m:sSub>
                      <m:sSubPr>
                        <m:ctrlPr>
                          <w:rPr>
                            <w:rFonts w:ascii="Cambria Math" w:eastAsia="Times New Roman" w:hAnsi="Cambria Math" w:cs="Arial"/>
                            <w:i/>
                          </w:rPr>
                        </m:ctrlPr>
                      </m:sSubPr>
                      <m:e>
                        <m:acc>
                          <m:accPr>
                            <m:chr m:val="̃"/>
                            <m:ctrlPr>
                              <w:rPr>
                                <w:rFonts w:ascii="Cambria Math" w:eastAsia="Times New Roman" w:hAnsi="Cambria Math" w:cs="Arial"/>
                                <w:i/>
                              </w:rPr>
                            </m:ctrlPr>
                          </m:accPr>
                          <m:e>
                            <m:r>
                              <w:rPr>
                                <w:rFonts w:ascii="Cambria Math" w:eastAsia="Times New Roman" w:hAnsi="Cambria Math" w:cs="Arial"/>
                              </w:rPr>
                              <m:t>h</m:t>
                            </m:r>
                          </m:e>
                        </m:acc>
                      </m:e>
                      <m:sub>
                        <m:r>
                          <w:rPr>
                            <w:rFonts w:ascii="Cambria Math" w:eastAsia="Times New Roman" w:hAnsi="Cambria Math" w:cs="Arial"/>
                          </w:rPr>
                          <m:t>3</m:t>
                        </m:r>
                      </m:sub>
                    </m:sSub>
                    <m:d>
                      <m:dPr>
                        <m:ctrlPr>
                          <w:rPr>
                            <w:rFonts w:ascii="Cambria Math" w:eastAsia="Times New Roman" w:hAnsi="Cambria Math" w:cs="Arial"/>
                            <w:i/>
                          </w:rPr>
                        </m:ctrlPr>
                      </m:dPr>
                      <m:e>
                        <m:r>
                          <w:rPr>
                            <w:rFonts w:ascii="Cambria Math" w:eastAsia="Times New Roman" w:hAnsi="Cambria Math" w:cs="Arial"/>
                          </w:rPr>
                          <m:t>t</m:t>
                        </m:r>
                      </m:e>
                    </m:d>
                  </m:e>
                </m:d>
                <m:r>
                  <w:rPr>
                    <w:rFonts w:ascii="Cambria Math" w:eastAsia="Times New Roman" w:hAnsi="Cambria Math" w:cs="Arial"/>
                  </w:rPr>
                  <m:t>=</m:t>
                </m:r>
                <m:d>
                  <m:dPr>
                    <m:ctrlPr>
                      <w:rPr>
                        <w:rFonts w:ascii="Cambria Math" w:eastAsia="Times New Roman" w:hAnsi="Cambria Math" w:cs="Arial"/>
                        <w:i/>
                      </w:rPr>
                    </m:ctrlPr>
                  </m:dPr>
                  <m:e>
                    <m:r>
                      <m:rPr>
                        <m:sty m:val="p"/>
                      </m:rPr>
                      <w:rPr>
                        <w:rFonts w:ascii="Cambria Math" w:eastAsia="Times New Roman" w:hAnsi="Cambria Math" w:cs="Arial"/>
                      </w:rPr>
                      <m:t>∇</m:t>
                    </m:r>
                    <m:r>
                      <w:rPr>
                        <w:rFonts w:ascii="Cambria Math" w:eastAsia="Times New Roman" w:hAnsi="Cambria Math" w:cs="Arial"/>
                      </w:rPr>
                      <m:t>∙U</m:t>
                    </m:r>
                  </m:e>
                </m:d>
                <m:r>
                  <w:rPr>
                    <w:rFonts w:ascii="Cambria Math" w:eastAsia="Times New Roman" w:hAnsi="Cambria Math" w:cs="Arial"/>
                  </w:rPr>
                  <m:t>Vol</m:t>
                </m:r>
                <m:d>
                  <m:dPr>
                    <m:ctrlPr>
                      <w:rPr>
                        <w:rFonts w:ascii="Cambria Math" w:eastAsia="Times New Roman" w:hAnsi="Cambria Math" w:cs="Arial"/>
                        <w:i/>
                      </w:rPr>
                    </m:ctrlPr>
                  </m:dPr>
                  <m:e>
                    <m:r>
                      <w:rPr>
                        <w:rFonts w:ascii="Cambria Math" w:eastAsia="Times New Roman" w:hAnsi="Cambria Math" w:cs="Arial"/>
                      </w:rPr>
                      <m:t>P</m:t>
                    </m:r>
                    <m:d>
                      <m:dPr>
                        <m:ctrlPr>
                          <w:rPr>
                            <w:rFonts w:ascii="Cambria Math" w:eastAsia="Times New Roman" w:hAnsi="Cambria Math" w:cs="Arial"/>
                            <w:i/>
                          </w:rPr>
                        </m:ctrlPr>
                      </m:dPr>
                      <m:e>
                        <m:r>
                          <w:rPr>
                            <w:rFonts w:ascii="Cambria Math" w:eastAsia="Times New Roman" w:hAnsi="Cambria Math" w:cs="Arial"/>
                          </w:rPr>
                          <m:t>t</m:t>
                        </m:r>
                      </m:e>
                    </m:d>
                  </m:e>
                </m:d>
              </m:oMath>
            </m:oMathPara>
          </w:p>
        </w:tc>
        <w:tc>
          <w:tcPr>
            <w:tcW w:w="652" w:type="dxa"/>
            <w:shd w:val="clear" w:color="auto" w:fill="auto"/>
          </w:tcPr>
          <w:p w:rsidR="00705D32" w:rsidRPr="0052084F" w:rsidRDefault="00705D32" w:rsidP="00B81843">
            <w:pPr>
              <w:jc w:val="both"/>
              <w:rPr>
                <w:rFonts w:ascii="Arial" w:hAnsi="Arial" w:cs="Arial"/>
              </w:rPr>
            </w:pPr>
          </w:p>
        </w:tc>
      </w:tr>
    </w:tbl>
    <w:p w:rsidR="00705D32" w:rsidRDefault="00705D32" w:rsidP="00705D32">
      <w:pPr>
        <w:jc w:val="both"/>
        <w:rPr>
          <w:rFonts w:ascii="Arial" w:eastAsia="Times New Roman" w:hAnsi="Arial" w:cs="Arial"/>
        </w:rPr>
      </w:pPr>
      <w:r>
        <w:rPr>
          <w:rFonts w:ascii="Arial" w:eastAsia="Times New Roman" w:hAnsi="Arial" w:cs="Arial"/>
        </w:rPr>
        <w:t xml:space="preserve">La divergencia mide la tasa de cambio de volumen asociada al campo </w:t>
      </w:r>
      <w:r w:rsidRPr="00BD06F7">
        <w:rPr>
          <w:rFonts w:eastAsia="Times New Roman"/>
          <w:i/>
          <w:iCs/>
        </w:rPr>
        <w:t>U</w:t>
      </w:r>
      <w:r>
        <w:rPr>
          <w:rFonts w:ascii="Arial" w:eastAsia="Times New Roman" w:hAnsi="Arial" w:cs="Arial"/>
        </w:rPr>
        <w:t xml:space="preserve">. Se ha podido establecer finalmente que el sustituto adecuado a la derivada como razón de cambio en </w:t>
      </w:r>
      <m:oMath>
        <m:sSup>
          <m:sSupPr>
            <m:ctrlPr>
              <w:rPr>
                <w:rFonts w:ascii="Cambria Math" w:eastAsia="Times New Roman" w:hAnsi="Arial" w:cs="Arial"/>
                <w:i/>
              </w:rPr>
            </m:ctrlPr>
          </m:sSupPr>
          <m:e>
            <m:r>
              <m:rPr>
                <m:scr m:val="double-struck"/>
              </m:rPr>
              <w:rPr>
                <w:rFonts w:ascii="Cambria Math" w:eastAsia="Times New Roman" w:hAnsi="Cambria Math" w:cs="Arial"/>
              </w:rPr>
              <m:t>R</m:t>
            </m:r>
          </m:e>
          <m:sup>
            <m:r>
              <w:rPr>
                <w:rFonts w:ascii="Cambria Math" w:eastAsia="Times New Roman" w:hAnsi="Arial" w:cs="Arial"/>
              </w:rPr>
              <m:t>1</m:t>
            </m:r>
          </m:sup>
        </m:sSup>
      </m:oMath>
      <w:r>
        <w:rPr>
          <w:rFonts w:ascii="Arial" w:eastAsia="Times New Roman" w:hAnsi="Arial" w:cs="Arial"/>
        </w:rPr>
        <w:t>, es la divergencia</w:t>
      </w:r>
      <w:r w:rsidRPr="009C60D3">
        <w:rPr>
          <w:rFonts w:ascii="Arial" w:eastAsia="Times New Roman" w:hAnsi="Arial" w:cs="Arial"/>
          <w:vertAlign w:val="superscript"/>
        </w:rPr>
        <w:t>[6]</w:t>
      </w:r>
      <w:r w:rsidRPr="00E92913">
        <w:rPr>
          <w:rFonts w:ascii="Arial" w:eastAsia="Times New Roman" w:hAnsi="Arial" w:cs="Arial"/>
        </w:rPr>
        <w:t>.</w:t>
      </w:r>
    </w:p>
    <w:p w:rsidR="00705D32" w:rsidRDefault="00705D32" w:rsidP="00705D32">
      <w:pPr>
        <w:jc w:val="both"/>
        <w:rPr>
          <w:rFonts w:ascii="Arial" w:eastAsia="Times New Roman" w:hAnsi="Arial" w:cs="Arial"/>
        </w:rPr>
      </w:pPr>
    </w:p>
    <w:p w:rsidR="00705D32" w:rsidRDefault="00705D32" w:rsidP="00705D32">
      <w:pPr>
        <w:jc w:val="both"/>
        <w:rPr>
          <w:rFonts w:ascii="Arial" w:eastAsia="Times New Roman" w:hAnsi="Arial" w:cs="Arial"/>
        </w:rPr>
      </w:pPr>
      <w:r>
        <w:rPr>
          <w:rFonts w:ascii="Arial" w:eastAsia="Times New Roman" w:hAnsi="Arial" w:cs="Arial"/>
        </w:rPr>
        <w:t xml:space="preserve">El flujo de campo es una cantidad escalar que expresa la medida del campo que atraviesa una superficie. Dicho campo puede ser campo de velocidades, campo eléctrico, campo magnético entre otros. El flujo neto de campo es una medida del número neto de líneas de campo que salen de una superficie cerrada. </w:t>
      </w:r>
    </w:p>
    <w:p w:rsidR="00705D32" w:rsidRPr="000F0FAD" w:rsidRDefault="00705D32" w:rsidP="00705D32">
      <w:pPr>
        <w:jc w:val="both"/>
        <w:rPr>
          <w:rFonts w:ascii="Arial" w:eastAsia="Times New Roman" w:hAnsi="Arial" w:cs="Arial"/>
        </w:rPr>
      </w:pPr>
    </w:p>
    <w:p w:rsidR="00705D32" w:rsidRDefault="00705D32" w:rsidP="00705D32">
      <w:pPr>
        <w:jc w:val="both"/>
        <w:rPr>
          <w:rFonts w:ascii="Arial" w:eastAsia="Times New Roman" w:hAnsi="Arial" w:cs="Arial"/>
        </w:rPr>
      </w:pPr>
      <w:r>
        <w:rPr>
          <w:rFonts w:ascii="Arial" w:eastAsia="Times New Roman" w:hAnsi="Arial" w:cs="Arial"/>
        </w:rPr>
        <w:t xml:space="preserve">Bajo el supuesto que el sustituto adecuado en </w:t>
      </w:r>
      <m:oMath>
        <m:sSup>
          <m:sSupPr>
            <m:ctrlPr>
              <w:rPr>
                <w:rFonts w:ascii="Cambria Math" w:eastAsia="Times New Roman" w:hAnsi="Arial" w:cs="Arial"/>
                <w:i/>
              </w:rPr>
            </m:ctrlPr>
          </m:sSupPr>
          <m:e>
            <m:r>
              <m:rPr>
                <m:scr m:val="double-struck"/>
              </m:rPr>
              <w:rPr>
                <w:rFonts w:ascii="Cambria Math" w:eastAsia="Times New Roman" w:hAnsi="Cambria Math" w:cs="Arial"/>
              </w:rPr>
              <m:t>R</m:t>
            </m:r>
          </m:e>
          <m:sup>
            <m:r>
              <w:rPr>
                <w:rFonts w:ascii="Cambria Math" w:eastAsia="Times New Roman" w:hAnsi="Arial" w:cs="Arial"/>
              </w:rPr>
              <m:t>2</m:t>
            </m:r>
          </m:sup>
        </m:sSup>
      </m:oMath>
      <w:r>
        <w:rPr>
          <w:rFonts w:ascii="Arial" w:eastAsia="Times New Roman" w:hAnsi="Arial" w:cs="Arial"/>
        </w:rPr>
        <w:t xml:space="preserve"> para la derivada es la divergencia, se puede expresar que la divergencia del campo es proporcional a la magnitud del mismo, es decir, es una extrapolación 3D a lo que comúnmente se conoce como ley de absorción de Lambert en 1D. Bajo esta suposición y las enumeradas en el modelo propuesto, estas hipótesis llevan a la ecuación propuesta.</w:t>
      </w:r>
    </w:p>
    <w:p w:rsidR="00705D32" w:rsidRPr="00705D32" w:rsidRDefault="001345E4" w:rsidP="00705D32">
      <w:pPr>
        <w:jc w:val="center"/>
        <w:rPr>
          <w:rFonts w:ascii="Arial" w:eastAsia="Times New Roman" w:hAnsi="Arial" w:cs="Arial"/>
        </w:rPr>
      </w:pPr>
      <m:oMathPara>
        <m:oMath>
          <m:f>
            <m:fPr>
              <m:ctrlPr>
                <w:rPr>
                  <w:rFonts w:ascii="Cambria Math" w:eastAsia="Times New Roman" w:hAnsi="Arial" w:cs="Arial"/>
                  <w:i/>
                </w:rPr>
              </m:ctrlPr>
            </m:fPr>
            <m:num>
              <m:r>
                <w:rPr>
                  <w:rFonts w:ascii="Cambria Math" w:eastAsia="Times New Roman" w:hAnsi="Arial" w:cs="Arial"/>
                </w:rPr>
                <m:t>1</m:t>
              </m:r>
            </m:num>
            <m:den>
              <m:r>
                <w:rPr>
                  <w:rFonts w:ascii="Cambria Math" w:eastAsia="Times New Roman" w:hAnsi="Cambria Math" w:cs="Arial"/>
                </w:rPr>
                <m:t>r</m:t>
              </m:r>
            </m:den>
          </m:f>
          <m:d>
            <m:dPr>
              <m:begChr m:val="{"/>
              <m:endChr m:val="}"/>
              <m:ctrlPr>
                <w:rPr>
                  <w:rFonts w:ascii="Cambria Math" w:eastAsia="Times New Roman" w:hAnsi="Arial" w:cs="Arial"/>
                  <w:i/>
                </w:rPr>
              </m:ctrlPr>
            </m:dPr>
            <m:e>
              <m:f>
                <m:fPr>
                  <m:ctrlPr>
                    <w:rPr>
                      <w:rFonts w:ascii="Cambria Math" w:eastAsia="Times New Roman" w:hAnsi="Arial" w:cs="Arial"/>
                      <w:i/>
                    </w:rPr>
                  </m:ctrlPr>
                </m:fPr>
                <m:num>
                  <m:r>
                    <w:rPr>
                      <w:rFonts w:ascii="Cambria Math" w:eastAsia="Times New Roman" w:hAnsi="Cambria Math" w:cs="Arial"/>
                    </w:rPr>
                    <m:t>∂</m:t>
                  </m:r>
                </m:num>
                <m:den>
                  <m:r>
                    <w:rPr>
                      <w:rFonts w:ascii="Cambria Math" w:eastAsia="Times New Roman" w:hAnsi="Cambria Math" w:cs="Arial"/>
                    </w:rPr>
                    <m:t>∂r</m:t>
                  </m:r>
                </m:den>
              </m:f>
              <m:d>
                <m:dPr>
                  <m:ctrlPr>
                    <w:rPr>
                      <w:rFonts w:ascii="Cambria Math" w:eastAsia="Times New Roman" w:hAnsi="Arial" w:cs="Arial"/>
                      <w:i/>
                    </w:rPr>
                  </m:ctrlPr>
                </m:dPr>
                <m:e>
                  <m:r>
                    <w:rPr>
                      <w:rFonts w:ascii="Cambria Math" w:eastAsia="Times New Roman" w:hAnsi="Cambria Math" w:cs="Arial"/>
                    </w:rPr>
                    <m:t>rI</m:t>
                  </m:r>
                </m:e>
              </m:d>
              <m:r>
                <w:rPr>
                  <w:rFonts w:ascii="Cambria Math" w:eastAsia="Times New Roman" w:hAnsi="Arial" w:cs="Arial"/>
                </w:rPr>
                <m:t>+</m:t>
              </m:r>
              <m:f>
                <m:fPr>
                  <m:ctrlPr>
                    <w:rPr>
                      <w:rFonts w:ascii="Cambria Math" w:eastAsia="Times New Roman" w:hAnsi="Arial" w:cs="Arial"/>
                      <w:i/>
                    </w:rPr>
                  </m:ctrlPr>
                </m:fPr>
                <m:num>
                  <m:r>
                    <w:rPr>
                      <w:rFonts w:ascii="Cambria Math" w:eastAsia="Times New Roman" w:hAnsi="Cambria Math" w:cs="Arial"/>
                    </w:rPr>
                    <m:t>∂</m:t>
                  </m:r>
                </m:num>
                <m:den>
                  <m:r>
                    <w:rPr>
                      <w:rFonts w:ascii="Cambria Math" w:eastAsia="Times New Roman" w:hAnsi="Cambria Math" w:cs="Arial"/>
                    </w:rPr>
                    <m:t>∂θ</m:t>
                  </m:r>
                </m:den>
              </m:f>
              <m:d>
                <m:dPr>
                  <m:ctrlPr>
                    <w:rPr>
                      <w:rFonts w:ascii="Cambria Math" w:eastAsia="Times New Roman" w:hAnsi="Arial" w:cs="Arial"/>
                      <w:i/>
                    </w:rPr>
                  </m:ctrlPr>
                </m:dPr>
                <m:e>
                  <m:r>
                    <w:rPr>
                      <w:rFonts w:ascii="Cambria Math" w:eastAsia="Times New Roman" w:hAnsi="Cambria Math" w:cs="Arial"/>
                    </w:rPr>
                    <m:t>I</m:t>
                  </m:r>
                </m:e>
              </m:d>
              <m:r>
                <w:rPr>
                  <w:rFonts w:ascii="Cambria Math" w:eastAsia="Times New Roman" w:hAnsi="Arial" w:cs="Arial"/>
                </w:rPr>
                <m:t>+</m:t>
              </m:r>
              <m:f>
                <m:fPr>
                  <m:ctrlPr>
                    <w:rPr>
                      <w:rFonts w:ascii="Cambria Math" w:eastAsia="Times New Roman" w:hAnsi="Arial" w:cs="Arial"/>
                      <w:i/>
                    </w:rPr>
                  </m:ctrlPr>
                </m:fPr>
                <m:num>
                  <m:r>
                    <w:rPr>
                      <w:rFonts w:ascii="Cambria Math" w:eastAsia="Times New Roman" w:hAnsi="Cambria Math" w:cs="Arial"/>
                    </w:rPr>
                    <m:t>∂</m:t>
                  </m:r>
                </m:num>
                <m:den>
                  <m:r>
                    <w:rPr>
                      <w:rFonts w:ascii="Cambria Math" w:eastAsia="Times New Roman" w:hAnsi="Cambria Math" w:cs="Arial"/>
                    </w:rPr>
                    <m:t>∂z</m:t>
                  </m:r>
                </m:den>
              </m:f>
              <m:d>
                <m:dPr>
                  <m:ctrlPr>
                    <w:rPr>
                      <w:rFonts w:ascii="Cambria Math" w:eastAsia="Times New Roman" w:hAnsi="Arial" w:cs="Arial"/>
                      <w:i/>
                    </w:rPr>
                  </m:ctrlPr>
                </m:dPr>
                <m:e>
                  <m:r>
                    <w:rPr>
                      <w:rFonts w:ascii="Cambria Math" w:eastAsia="Times New Roman" w:hAnsi="Cambria Math" w:cs="Arial"/>
                    </w:rPr>
                    <m:t>I</m:t>
                  </m:r>
                </m:e>
              </m:d>
            </m:e>
          </m:d>
          <m:r>
            <w:rPr>
              <w:rFonts w:ascii="Cambria Math" w:eastAsia="Times New Roman" w:hAnsi="Arial" w:cs="Arial"/>
            </w:rPr>
            <m:t>+</m:t>
          </m:r>
          <m:r>
            <w:rPr>
              <w:rFonts w:ascii="Cambria Math" w:eastAsia="Times New Roman" w:hAnsi="Cambria Math" w:cs="Arial"/>
            </w:rPr>
            <m:t>kI</m:t>
          </m:r>
          <m:r>
            <w:rPr>
              <w:rFonts w:ascii="Cambria Math" w:eastAsia="Times New Roman" w:hAnsi="Arial" w:cs="Arial"/>
            </w:rPr>
            <m:t>=0</m:t>
          </m:r>
        </m:oMath>
      </m:oMathPara>
    </w:p>
    <w:p w:rsidR="00705D32" w:rsidRDefault="00705D32" w:rsidP="00705D32">
      <w:pPr>
        <w:jc w:val="both"/>
        <w:rPr>
          <w:rFonts w:ascii="Arial" w:eastAsia="Times New Roman" w:hAnsi="Arial" w:cs="Arial"/>
        </w:rPr>
      </w:pPr>
      <w:r>
        <w:rPr>
          <w:rFonts w:ascii="Arial" w:eastAsia="Times New Roman" w:hAnsi="Arial" w:cs="Arial"/>
        </w:rPr>
        <w:t>Que tiene por solución, empleando el método de separación de variables de Fourier:</w:t>
      </w:r>
    </w:p>
    <w:tbl>
      <w:tblPr>
        <w:tblW w:w="0" w:type="auto"/>
        <w:tblLook w:val="04A0" w:firstRow="1" w:lastRow="0" w:firstColumn="1" w:lastColumn="0" w:noHBand="0" w:noVBand="1"/>
      </w:tblPr>
      <w:tblGrid>
        <w:gridCol w:w="8186"/>
        <w:gridCol w:w="652"/>
      </w:tblGrid>
      <w:tr w:rsidR="00705D32" w:rsidTr="00B81843">
        <w:tc>
          <w:tcPr>
            <w:tcW w:w="8186" w:type="dxa"/>
            <w:shd w:val="clear" w:color="auto" w:fill="auto"/>
          </w:tcPr>
          <w:p w:rsidR="00705D32" w:rsidRPr="00705D32" w:rsidRDefault="00705D32" w:rsidP="00B81843">
            <w:pPr>
              <w:spacing w:line="360" w:lineRule="auto"/>
              <w:jc w:val="center"/>
              <w:rPr>
                <w:rFonts w:ascii="Arial" w:hAnsi="Arial" w:cs="Arial"/>
              </w:rPr>
            </w:pPr>
            <m:oMathPara>
              <m:oMath>
                <m:r>
                  <w:rPr>
                    <w:rFonts w:ascii="Cambria Math" w:eastAsia="Times New Roman" w:hAnsi="Cambria Math" w:cs="Arial"/>
                  </w:rPr>
                  <m:t>I</m:t>
                </m:r>
                <m:d>
                  <m:dPr>
                    <m:ctrlPr>
                      <w:rPr>
                        <w:rFonts w:ascii="Cambria Math" w:eastAsia="Times New Roman" w:hAnsi="Arial" w:cs="Arial"/>
                        <w:i/>
                      </w:rPr>
                    </m:ctrlPr>
                  </m:dPr>
                  <m:e>
                    <m:r>
                      <w:rPr>
                        <w:rFonts w:ascii="Cambria Math" w:eastAsia="Times New Roman" w:hAnsi="Cambria Math" w:cs="Arial"/>
                      </w:rPr>
                      <m:t>r</m:t>
                    </m:r>
                    <m:r>
                      <w:rPr>
                        <w:rFonts w:ascii="Cambria Math" w:eastAsia="Times New Roman" w:hAnsi="Arial" w:cs="Arial"/>
                      </w:rPr>
                      <m:t>,</m:t>
                    </m:r>
                    <m:r>
                      <w:rPr>
                        <w:rFonts w:ascii="Cambria Math" w:eastAsia="Times New Roman" w:hAnsi="Cambria Math" w:cs="Arial"/>
                      </w:rPr>
                      <m:t>θ</m:t>
                    </m:r>
                  </m:e>
                </m:d>
                <m:r>
                  <w:rPr>
                    <w:rFonts w:ascii="Cambria Math" w:eastAsia="Times New Roman" w:hAnsi="Arial" w:cs="Arial"/>
                  </w:rPr>
                  <m:t>=</m:t>
                </m:r>
                <m:sSub>
                  <m:sSubPr>
                    <m:ctrlPr>
                      <w:rPr>
                        <w:rFonts w:ascii="Cambria Math" w:eastAsia="Times New Roman" w:hAnsi="Arial" w:cs="Arial"/>
                        <w:i/>
                      </w:rPr>
                    </m:ctrlPr>
                  </m:sSubPr>
                  <m:e>
                    <m:r>
                      <w:rPr>
                        <w:rFonts w:ascii="Cambria Math" w:eastAsia="Times New Roman" w:hAnsi="Cambria Math" w:cs="Arial"/>
                      </w:rPr>
                      <m:t>I</m:t>
                    </m:r>
                  </m:e>
                  <m:sub>
                    <m:r>
                      <w:rPr>
                        <w:rFonts w:ascii="Cambria Math" w:eastAsia="Times New Roman" w:hAnsi="Arial" w:cs="Arial"/>
                      </w:rPr>
                      <m:t>0</m:t>
                    </m:r>
                  </m:sub>
                </m:sSub>
                <m:sSup>
                  <m:sSupPr>
                    <m:ctrlPr>
                      <w:rPr>
                        <w:rFonts w:ascii="Cambria Math" w:eastAsia="Times New Roman" w:hAnsi="Arial" w:cs="Arial"/>
                        <w:i/>
                      </w:rPr>
                    </m:ctrlPr>
                  </m:sSupPr>
                  <m:e>
                    <m:r>
                      <w:rPr>
                        <w:rFonts w:ascii="Cambria Math" w:eastAsia="Times New Roman" w:hAnsi="Cambria Math" w:cs="Arial"/>
                      </w:rPr>
                      <m:t>r</m:t>
                    </m:r>
                  </m:e>
                  <m:sup>
                    <m:d>
                      <m:dPr>
                        <m:ctrlPr>
                          <w:rPr>
                            <w:rFonts w:ascii="Cambria Math" w:eastAsia="Times New Roman" w:hAnsi="Arial" w:cs="Arial"/>
                            <w:i/>
                          </w:rPr>
                        </m:ctrlPr>
                      </m:dPr>
                      <m:e>
                        <m:r>
                          <w:rPr>
                            <w:rFonts w:ascii="Cambria Math" w:eastAsia="Times New Roman" w:hAnsi="Cambria Math" w:cs="Arial"/>
                          </w:rPr>
                          <m:t>λ-</m:t>
                        </m:r>
                        <m:r>
                          <w:rPr>
                            <w:rFonts w:ascii="Cambria Math" w:eastAsia="Times New Roman" w:hAnsi="Arial" w:cs="Arial"/>
                          </w:rPr>
                          <m:t>1</m:t>
                        </m:r>
                      </m:e>
                    </m:d>
                  </m:sup>
                </m:sSup>
                <m:sSup>
                  <m:sSupPr>
                    <m:ctrlPr>
                      <w:rPr>
                        <w:rFonts w:ascii="Cambria Math" w:eastAsia="Times New Roman" w:hAnsi="Arial" w:cs="Arial"/>
                        <w:i/>
                      </w:rPr>
                    </m:ctrlPr>
                  </m:sSupPr>
                  <m:e>
                    <m:r>
                      <w:rPr>
                        <w:rFonts w:ascii="Cambria Math" w:eastAsia="Times New Roman" w:hAnsi="Cambria Math" w:cs="Arial"/>
                      </w:rPr>
                      <m:t>e</m:t>
                    </m:r>
                  </m:e>
                  <m:sup>
                    <m:r>
                      <w:rPr>
                        <w:rFonts w:ascii="Cambria Math" w:eastAsia="Times New Roman" w:hAnsi="Cambria Math" w:cs="Arial"/>
                      </w:rPr>
                      <m:t>-</m:t>
                    </m:r>
                    <m:d>
                      <m:dPr>
                        <m:ctrlPr>
                          <w:rPr>
                            <w:rFonts w:ascii="Cambria Math" w:eastAsia="Times New Roman" w:hAnsi="Arial" w:cs="Arial"/>
                            <w:i/>
                          </w:rPr>
                        </m:ctrlPr>
                      </m:dPr>
                      <m:e>
                        <m:r>
                          <w:rPr>
                            <w:rFonts w:ascii="Cambria Math" w:eastAsia="Times New Roman" w:hAnsi="Cambria Math" w:cs="Arial"/>
                          </w:rPr>
                          <m:t>kr</m:t>
                        </m:r>
                        <m:r>
                          <w:rPr>
                            <w:rFonts w:ascii="Cambria Math" w:eastAsia="Times New Roman" w:hAnsi="Arial" w:cs="Arial"/>
                          </w:rPr>
                          <m:t>+</m:t>
                        </m:r>
                        <m:r>
                          <w:rPr>
                            <w:rFonts w:ascii="Cambria Math" w:eastAsia="Times New Roman" w:hAnsi="Cambria Math" w:cs="Arial"/>
                          </w:rPr>
                          <m:t>λθ</m:t>
                        </m:r>
                      </m:e>
                    </m:d>
                  </m:sup>
                </m:sSup>
              </m:oMath>
            </m:oMathPara>
          </w:p>
        </w:tc>
        <w:tc>
          <w:tcPr>
            <w:tcW w:w="652" w:type="dxa"/>
            <w:shd w:val="clear" w:color="auto" w:fill="auto"/>
          </w:tcPr>
          <w:p w:rsidR="00705D32" w:rsidRPr="0052084F" w:rsidRDefault="00705D32" w:rsidP="00B81843">
            <w:pPr>
              <w:spacing w:line="360" w:lineRule="auto"/>
              <w:jc w:val="both"/>
              <w:rPr>
                <w:rFonts w:ascii="Arial" w:hAnsi="Arial" w:cs="Arial"/>
              </w:rPr>
            </w:pPr>
            <w:r w:rsidRPr="0052084F">
              <w:rPr>
                <w:rFonts w:ascii="Arial" w:hAnsi="Arial" w:cs="Arial"/>
              </w:rPr>
              <w:t>(3)</w:t>
            </w:r>
          </w:p>
        </w:tc>
      </w:tr>
    </w:tbl>
    <w:p w:rsidR="00705D32" w:rsidRDefault="00705D32" w:rsidP="00705D32">
      <w:pPr>
        <w:jc w:val="both"/>
        <w:rPr>
          <w:rFonts w:ascii="Arial" w:hAnsi="Arial" w:cs="Arial"/>
        </w:rPr>
      </w:pPr>
      <w:r w:rsidRPr="00C76117">
        <w:rPr>
          <w:rFonts w:ascii="Arial" w:hAnsi="Arial" w:cs="Arial"/>
        </w:rPr>
        <w:t xml:space="preserve">Los valores de </w:t>
      </w:r>
      <m:oMath>
        <m:r>
          <w:rPr>
            <w:rFonts w:ascii="Cambria Math" w:hAnsi="Cambria Math" w:cs="Arial"/>
          </w:rPr>
          <m:t>λ</m:t>
        </m:r>
      </m:oMath>
      <w:r w:rsidRPr="00C76117">
        <w:rPr>
          <w:rFonts w:ascii="Arial" w:hAnsi="Arial" w:cs="Arial"/>
        </w:rPr>
        <w:t xml:space="preserve"> y </w:t>
      </w:r>
      <m:oMath>
        <m:r>
          <w:rPr>
            <w:rFonts w:ascii="Cambria Math" w:hAnsi="Cambria Math" w:cs="Arial"/>
          </w:rPr>
          <m:t>k</m:t>
        </m:r>
      </m:oMath>
      <w:r w:rsidRPr="00C76117">
        <w:rPr>
          <w:rFonts w:ascii="Arial" w:hAnsi="Arial" w:cs="Arial"/>
        </w:rPr>
        <w:t xml:space="preserve"> corresponden a </w:t>
      </w:r>
      <w:r>
        <w:rPr>
          <w:rFonts w:ascii="Arial" w:hAnsi="Arial" w:cs="Arial"/>
        </w:rPr>
        <w:t xml:space="preserve">los </w:t>
      </w:r>
      <w:r w:rsidRPr="00C76117">
        <w:rPr>
          <w:rFonts w:ascii="Arial" w:hAnsi="Arial" w:cs="Arial"/>
        </w:rPr>
        <w:t>valor</w:t>
      </w:r>
      <w:r>
        <w:rPr>
          <w:rFonts w:ascii="Arial" w:hAnsi="Arial" w:cs="Arial"/>
        </w:rPr>
        <w:t>es</w:t>
      </w:r>
      <w:r w:rsidRPr="00C76117">
        <w:rPr>
          <w:rFonts w:ascii="Arial" w:hAnsi="Arial" w:cs="Arial"/>
        </w:rPr>
        <w:t xml:space="preserve"> propio</w:t>
      </w:r>
      <w:r>
        <w:rPr>
          <w:rFonts w:ascii="Arial" w:hAnsi="Arial" w:cs="Arial"/>
        </w:rPr>
        <w:t>s</w:t>
      </w:r>
      <w:r w:rsidRPr="00C76117">
        <w:rPr>
          <w:rFonts w:ascii="Arial" w:hAnsi="Arial" w:cs="Arial"/>
        </w:rPr>
        <w:t xml:space="preserve"> de la </w:t>
      </w:r>
      <w:r>
        <w:rPr>
          <w:rFonts w:ascii="Arial" w:hAnsi="Arial" w:cs="Arial"/>
        </w:rPr>
        <w:t>Ec.3</w:t>
      </w:r>
      <w:r w:rsidRPr="00C76117">
        <w:rPr>
          <w:rFonts w:ascii="Arial" w:hAnsi="Arial" w:cs="Arial"/>
        </w:rPr>
        <w:t xml:space="preserve"> relacionada con las condiciones de frontera y las características</w:t>
      </w:r>
      <w:r>
        <w:rPr>
          <w:rFonts w:ascii="Arial" w:hAnsi="Arial" w:cs="Arial"/>
        </w:rPr>
        <w:t xml:space="preserve"> electromagnéticas de la suspensión </w:t>
      </w:r>
      <w:r w:rsidRPr="00C76117">
        <w:rPr>
          <w:rFonts w:ascii="Arial" w:hAnsi="Arial" w:cs="Arial"/>
        </w:rPr>
        <w:t>respectivamente</w:t>
      </w:r>
      <w:r>
        <w:rPr>
          <w:rFonts w:ascii="Arial" w:hAnsi="Arial" w:cs="Arial"/>
        </w:rPr>
        <w:t>.</w:t>
      </w:r>
    </w:p>
    <w:p w:rsidR="00705D32" w:rsidRDefault="00705D32" w:rsidP="00705D32">
      <w:pPr>
        <w:jc w:val="both"/>
        <w:rPr>
          <w:rFonts w:ascii="Arial" w:eastAsia="Times New Roman" w:hAnsi="Arial" w:cs="Arial"/>
        </w:rPr>
      </w:pPr>
      <w:r>
        <w:rPr>
          <w:rFonts w:ascii="Arial" w:eastAsia="Times New Roman" w:hAnsi="Arial" w:cs="Arial"/>
        </w:rPr>
        <w:lastRenderedPageBreak/>
        <w:t>Las leyes de Maxwell son un conjunto de descripciones fisicomatemáticas que representan cualquier fenómeno de carácter eléctrico, magnético o electromagnético de la naturaleza.</w:t>
      </w:r>
      <w:r w:rsidRPr="00F63D4F">
        <w:rPr>
          <w:rFonts w:ascii="Arial" w:eastAsia="Times New Roman" w:hAnsi="Arial" w:cs="Arial"/>
        </w:rPr>
        <w:t xml:space="preserve"> </w:t>
      </w:r>
      <w:r>
        <w:rPr>
          <w:rFonts w:ascii="Arial" w:eastAsia="Times New Roman" w:hAnsi="Arial" w:cs="Arial"/>
        </w:rPr>
        <w:t xml:space="preserve">La identidad vectorial aplicada a las leyes de Maxwell </w:t>
      </w:r>
      <w:r w:rsidRPr="009C60D3">
        <w:rPr>
          <w:rFonts w:ascii="Arial" w:eastAsia="Times New Roman" w:hAnsi="Arial" w:cs="Arial"/>
          <w:vertAlign w:val="superscript"/>
        </w:rPr>
        <w:t>[5]</w:t>
      </w:r>
      <w:r w:rsidRPr="003A5317">
        <w:rPr>
          <w:rFonts w:ascii="Arial" w:eastAsia="Times New Roman" w:hAnsi="Arial" w:cs="Arial"/>
        </w:rPr>
        <w:t xml:space="preserve"> </w:t>
      </w:r>
      <w:r>
        <w:rPr>
          <w:rFonts w:ascii="Arial" w:eastAsia="Times New Roman" w:hAnsi="Arial" w:cs="Arial"/>
        </w:rPr>
        <w:t xml:space="preserve">con la que se deducen las expresiones matemáticas, se describe en la Ec. 4. </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1345E4" w:rsidP="00B81843">
            <w:pPr>
              <w:spacing w:line="360" w:lineRule="auto"/>
              <w:jc w:val="center"/>
              <w:rPr>
                <w:rFonts w:ascii="Arial" w:eastAsia="Times New Roman" w:hAnsi="Arial" w:cs="Arial"/>
              </w:rPr>
            </w:pPr>
            <m:oMathPara>
              <m:oMath>
                <m:acc>
                  <m:accPr>
                    <m:chr m:val="⃗"/>
                    <m:ctrlPr>
                      <w:rPr>
                        <w:rFonts w:ascii="Cambria Math" w:eastAsia="Times New Roman" w:hAnsi="Cambria Math" w:cs="Arial"/>
                        <w:i/>
                      </w:rPr>
                    </m:ctrlPr>
                  </m:accPr>
                  <m:e>
                    <m:r>
                      <m:rPr>
                        <m:sty m:val="p"/>
                      </m:rPr>
                      <w:rPr>
                        <w:rFonts w:ascii="Cambria Math" w:eastAsia="Times New Roman" w:hAnsi="Cambria Math" w:cs="Arial"/>
                      </w:rPr>
                      <m:t>∇</m:t>
                    </m:r>
                  </m:e>
                </m:acc>
                <m:r>
                  <w:rPr>
                    <w:rFonts w:ascii="Cambria Math" w:eastAsia="Times New Roman" w:hAnsi="Cambria Math" w:cs="Arial"/>
                  </w:rPr>
                  <m:t>×</m:t>
                </m:r>
                <m:acc>
                  <m:accPr>
                    <m:chr m:val="⃗"/>
                    <m:ctrlPr>
                      <w:rPr>
                        <w:rFonts w:ascii="Cambria Math" w:eastAsia="Times New Roman" w:hAnsi="Cambria Math" w:cs="Arial"/>
                        <w:i/>
                      </w:rPr>
                    </m:ctrlPr>
                  </m:accPr>
                  <m:e>
                    <m:r>
                      <m:rPr>
                        <m:sty m:val="p"/>
                      </m:rPr>
                      <w:rPr>
                        <w:rFonts w:ascii="Cambria Math" w:eastAsia="Times New Roman" w:hAnsi="Cambria Math" w:cs="Arial"/>
                      </w:rPr>
                      <m:t>∇</m:t>
                    </m:r>
                  </m:e>
                </m:acc>
                <m:r>
                  <w:rPr>
                    <w:rFonts w:ascii="Cambria Math" w:eastAsia="Times New Roman" w:hAnsi="Cambria Math" w:cs="Arial"/>
                  </w:rPr>
                  <m:t>×</m:t>
                </m:r>
                <m:acc>
                  <m:accPr>
                    <m:chr m:val="⃗"/>
                    <m:ctrlPr>
                      <w:rPr>
                        <w:rFonts w:ascii="Cambria Math" w:eastAsia="Times New Roman" w:hAnsi="Cambria Math" w:cs="Arial"/>
                        <w:i/>
                      </w:rPr>
                    </m:ctrlPr>
                  </m:accPr>
                  <m:e>
                    <m:r>
                      <w:rPr>
                        <w:rFonts w:ascii="Cambria Math" w:eastAsia="Times New Roman" w:hAnsi="Cambria Math" w:cs="Arial"/>
                      </w:rPr>
                      <m:t>A</m:t>
                    </m:r>
                  </m:e>
                </m:acc>
                <m:r>
                  <w:rPr>
                    <w:rFonts w:ascii="Cambria Math" w:eastAsia="Times New Roman" w:hAnsi="Cambria Math" w:cs="Arial"/>
                  </w:rPr>
                  <m:t>=</m:t>
                </m:r>
                <m:acc>
                  <m:accPr>
                    <m:chr m:val="⃗"/>
                    <m:ctrlPr>
                      <w:rPr>
                        <w:rFonts w:ascii="Cambria Math" w:eastAsia="Times New Roman" w:hAnsi="Cambria Math" w:cs="Arial"/>
                      </w:rPr>
                    </m:ctrlPr>
                  </m:accPr>
                  <m:e>
                    <m:r>
                      <m:rPr>
                        <m:sty m:val="p"/>
                      </m:rPr>
                      <w:rPr>
                        <w:rFonts w:ascii="Cambria Math" w:eastAsia="Times New Roman" w:hAnsi="Cambria Math" w:cs="Arial"/>
                      </w:rPr>
                      <m:t>∇</m:t>
                    </m:r>
                  </m:e>
                </m:acc>
                <m:d>
                  <m:dPr>
                    <m:ctrlPr>
                      <w:rPr>
                        <w:rFonts w:ascii="Cambria Math" w:eastAsia="Times New Roman" w:hAnsi="Cambria Math" w:cs="Arial"/>
                        <w:i/>
                      </w:rPr>
                    </m:ctrlPr>
                  </m:dPr>
                  <m:e>
                    <m:acc>
                      <m:accPr>
                        <m:chr m:val="⃗"/>
                        <m:ctrlPr>
                          <w:rPr>
                            <w:rFonts w:ascii="Cambria Math" w:eastAsia="Times New Roman" w:hAnsi="Cambria Math" w:cs="Arial"/>
                            <w:i/>
                          </w:rPr>
                        </m:ctrlPr>
                      </m:accPr>
                      <m:e>
                        <m:r>
                          <m:rPr>
                            <m:sty m:val="p"/>
                          </m:rPr>
                          <w:rPr>
                            <w:rFonts w:ascii="Cambria Math" w:eastAsia="Times New Roman" w:hAnsi="Cambria Math" w:cs="Arial"/>
                          </w:rPr>
                          <m:t>∇</m:t>
                        </m:r>
                      </m:e>
                    </m:acc>
                    <m:r>
                      <w:rPr>
                        <w:rFonts w:ascii="Cambria Math" w:eastAsia="Times New Roman" w:hAnsi="Cambria Math" w:cs="Arial"/>
                      </w:rPr>
                      <m:t>∙</m:t>
                    </m:r>
                    <m:acc>
                      <m:accPr>
                        <m:chr m:val="⃗"/>
                        <m:ctrlPr>
                          <w:rPr>
                            <w:rFonts w:ascii="Cambria Math" w:eastAsia="Times New Roman" w:hAnsi="Cambria Math" w:cs="Arial"/>
                            <w:i/>
                          </w:rPr>
                        </m:ctrlPr>
                      </m:accPr>
                      <m:e>
                        <m:r>
                          <w:rPr>
                            <w:rFonts w:ascii="Cambria Math" w:eastAsia="Times New Roman" w:hAnsi="Cambria Math" w:cs="Arial"/>
                          </w:rPr>
                          <m:t>A</m:t>
                        </m:r>
                      </m:e>
                    </m:acc>
                  </m:e>
                </m:d>
                <m:r>
                  <w:rPr>
                    <w:rFonts w:ascii="Cambria Math" w:eastAsia="Times New Roman" w:hAnsi="Cambria Math" w:cs="Arial"/>
                  </w:rPr>
                  <m:t>-</m:t>
                </m:r>
                <m:sSup>
                  <m:sSupPr>
                    <m:ctrlPr>
                      <w:rPr>
                        <w:rFonts w:ascii="Cambria Math" w:eastAsia="Times New Roman" w:hAnsi="Cambria Math" w:cs="Arial"/>
                        <w:i/>
                      </w:rPr>
                    </m:ctrlPr>
                  </m:sSupPr>
                  <m:e>
                    <m:r>
                      <m:rPr>
                        <m:sty m:val="p"/>
                      </m:rPr>
                      <w:rPr>
                        <w:rFonts w:ascii="Cambria Math" w:eastAsia="Times New Roman" w:hAnsi="Cambria Math" w:cs="Arial"/>
                      </w:rPr>
                      <m:t>∇</m:t>
                    </m:r>
                  </m:e>
                  <m:sup>
                    <m:r>
                      <w:rPr>
                        <w:rFonts w:ascii="Cambria Math" w:eastAsia="Times New Roman" w:hAnsi="Cambria Math" w:cs="Arial"/>
                      </w:rPr>
                      <m:t>2</m:t>
                    </m:r>
                  </m:sup>
                </m:sSup>
                <m:acc>
                  <m:accPr>
                    <m:chr m:val="⃗"/>
                    <m:ctrlPr>
                      <w:rPr>
                        <w:rFonts w:ascii="Cambria Math" w:eastAsia="Times New Roman" w:hAnsi="Cambria Math" w:cs="Arial"/>
                        <w:i/>
                      </w:rPr>
                    </m:ctrlPr>
                  </m:accPr>
                  <m:e>
                    <m:r>
                      <w:rPr>
                        <w:rFonts w:ascii="Cambria Math" w:eastAsia="Times New Roman" w:hAnsi="Cambria Math" w:cs="Arial"/>
                      </w:rPr>
                      <m:t>A</m:t>
                    </m:r>
                  </m:e>
                </m:acc>
              </m:oMath>
            </m:oMathPara>
          </w:p>
        </w:tc>
        <w:tc>
          <w:tcPr>
            <w:tcW w:w="652" w:type="dxa"/>
            <w:shd w:val="clear" w:color="auto" w:fill="auto"/>
          </w:tcPr>
          <w:p w:rsidR="00705D32" w:rsidRPr="0052084F" w:rsidRDefault="00705D32" w:rsidP="00B81843">
            <w:pPr>
              <w:spacing w:line="360" w:lineRule="auto"/>
              <w:jc w:val="both"/>
              <w:rPr>
                <w:rFonts w:ascii="Arial" w:hAnsi="Arial" w:cs="Arial"/>
              </w:rPr>
            </w:pPr>
            <w:r w:rsidRPr="0052084F">
              <w:rPr>
                <w:rFonts w:ascii="Arial" w:hAnsi="Arial" w:cs="Arial"/>
              </w:rPr>
              <w:t>(4)</w:t>
            </w:r>
          </w:p>
        </w:tc>
      </w:tr>
    </w:tbl>
    <w:p w:rsidR="00705D32" w:rsidRDefault="00705D32" w:rsidP="00705D32">
      <w:pPr>
        <w:spacing w:line="360" w:lineRule="auto"/>
        <w:jc w:val="both"/>
        <w:rPr>
          <w:rFonts w:ascii="Arial" w:eastAsia="Times New Roman" w:hAnsi="Arial" w:cs="Arial"/>
        </w:rPr>
      </w:pPr>
      <w:r>
        <w:rPr>
          <w:rFonts w:ascii="Arial" w:eastAsia="Times New Roman" w:hAnsi="Arial" w:cs="Arial"/>
        </w:rPr>
        <w:t xml:space="preserve">Donde </w:t>
      </w:r>
      <m:oMath>
        <m:acc>
          <m:accPr>
            <m:chr m:val="⃗"/>
            <m:ctrlPr>
              <w:rPr>
                <w:rFonts w:ascii="Cambria Math" w:eastAsia="Times New Roman" w:hAnsi="Cambria Math" w:cs="Arial"/>
                <w:i/>
              </w:rPr>
            </m:ctrlPr>
          </m:accPr>
          <m:e>
            <m:r>
              <w:rPr>
                <w:rFonts w:ascii="Cambria Math" w:eastAsia="Times New Roman" w:hAnsi="Cambria Math" w:cs="Arial"/>
              </w:rPr>
              <m:t>A</m:t>
            </m:r>
          </m:e>
        </m:acc>
      </m:oMath>
      <w:r>
        <w:rPr>
          <w:rFonts w:ascii="Arial" w:eastAsia="Times New Roman" w:hAnsi="Arial" w:cs="Arial"/>
        </w:rPr>
        <w:t xml:space="preserve"> es un campo vectorial</w:t>
      </w:r>
    </w:p>
    <w:p w:rsidR="00705D32" w:rsidRDefault="00705D32" w:rsidP="00705D32">
      <w:pPr>
        <w:spacing w:line="360" w:lineRule="auto"/>
        <w:jc w:val="both"/>
        <w:rPr>
          <w:rFonts w:ascii="Arial" w:eastAsia="Times New Roman" w:hAnsi="Arial" w:cs="Arial"/>
        </w:rPr>
      </w:pPr>
      <w:r>
        <w:rPr>
          <w:rFonts w:ascii="Arial" w:eastAsia="Times New Roman" w:hAnsi="Arial" w:cs="Arial"/>
        </w:rPr>
        <w:t>Aplicando el rotacional a la ley de Ampere Maxwell, y combinando con Ec.4 se obtiene:</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1345E4" w:rsidP="00B81843">
            <w:pPr>
              <w:spacing w:line="360" w:lineRule="auto"/>
              <w:jc w:val="center"/>
              <w:rPr>
                <w:rFonts w:ascii="Arial" w:eastAsia="Times New Roman" w:hAnsi="Arial" w:cs="Arial"/>
              </w:rPr>
            </w:pPr>
            <m:oMathPara>
              <m:oMath>
                <m:acc>
                  <m:accPr>
                    <m:chr m:val="⃗"/>
                    <m:ctrlPr>
                      <w:rPr>
                        <w:rFonts w:ascii="Cambria Math" w:eastAsia="Times New Roman" w:hAnsi="Cambria Math" w:cs="Arial"/>
                        <w:i/>
                      </w:rPr>
                    </m:ctrlPr>
                  </m:accPr>
                  <m:e>
                    <m:r>
                      <m:rPr>
                        <m:sty m:val="p"/>
                      </m:rPr>
                      <w:rPr>
                        <w:rFonts w:ascii="Cambria Math" w:eastAsia="Times New Roman" w:hAnsi="Cambria Math" w:cs="Arial"/>
                      </w:rPr>
                      <m:t>∇</m:t>
                    </m:r>
                  </m:e>
                </m:acc>
                <m:r>
                  <w:rPr>
                    <w:rFonts w:ascii="Cambria Math" w:eastAsia="Times New Roman" w:hAnsi="Cambria Math" w:cs="Arial"/>
                  </w:rPr>
                  <m:t>×</m:t>
                </m:r>
                <m:acc>
                  <m:accPr>
                    <m:chr m:val="⃗"/>
                    <m:ctrlPr>
                      <w:rPr>
                        <w:rFonts w:ascii="Cambria Math" w:eastAsia="Times New Roman" w:hAnsi="Cambria Math" w:cs="Arial"/>
                        <w:i/>
                      </w:rPr>
                    </m:ctrlPr>
                  </m:accPr>
                  <m:e>
                    <m:r>
                      <m:rPr>
                        <m:sty m:val="p"/>
                      </m:rPr>
                      <w:rPr>
                        <w:rFonts w:ascii="Cambria Math" w:eastAsia="Times New Roman" w:hAnsi="Cambria Math" w:cs="Arial"/>
                      </w:rPr>
                      <m:t>∇</m:t>
                    </m:r>
                  </m:e>
                </m:acc>
                <m:r>
                  <w:rPr>
                    <w:rFonts w:ascii="Cambria Math" w:eastAsia="Times New Roman" w:hAnsi="Cambria Math" w:cs="Arial"/>
                  </w:rPr>
                  <m:t>×</m:t>
                </m:r>
                <m:acc>
                  <m:accPr>
                    <m:chr m:val="⃗"/>
                    <m:ctrlPr>
                      <w:rPr>
                        <w:rFonts w:ascii="Cambria Math" w:eastAsia="Times New Roman" w:hAnsi="Cambria Math" w:cs="Arial"/>
                        <w:i/>
                      </w:rPr>
                    </m:ctrlPr>
                  </m:accPr>
                  <m:e>
                    <m:r>
                      <w:rPr>
                        <w:rFonts w:ascii="Cambria Math" w:eastAsia="Times New Roman" w:hAnsi="Cambria Math" w:cs="Arial"/>
                      </w:rPr>
                      <m:t>H</m:t>
                    </m:r>
                  </m:e>
                </m:acc>
                <m:r>
                  <w:rPr>
                    <w:rFonts w:ascii="Cambria Math" w:eastAsia="Times New Roman" w:hAnsi="Cambria Math" w:cs="Arial"/>
                  </w:rPr>
                  <m:t>=</m:t>
                </m:r>
                <m:acc>
                  <m:accPr>
                    <m:chr m:val="⃗"/>
                    <m:ctrlPr>
                      <w:rPr>
                        <w:rFonts w:ascii="Cambria Math" w:eastAsia="Times New Roman" w:hAnsi="Cambria Math" w:cs="Arial"/>
                      </w:rPr>
                    </m:ctrlPr>
                  </m:accPr>
                  <m:e>
                    <m:r>
                      <m:rPr>
                        <m:sty m:val="p"/>
                      </m:rPr>
                      <w:rPr>
                        <w:rFonts w:ascii="Cambria Math" w:eastAsia="Times New Roman" w:hAnsi="Cambria Math" w:cs="Arial"/>
                      </w:rPr>
                      <m:t>∇</m:t>
                    </m:r>
                  </m:e>
                </m:acc>
                <m:d>
                  <m:dPr>
                    <m:ctrlPr>
                      <w:rPr>
                        <w:rFonts w:ascii="Cambria Math" w:eastAsia="Times New Roman" w:hAnsi="Cambria Math" w:cs="Arial"/>
                        <w:i/>
                      </w:rPr>
                    </m:ctrlPr>
                  </m:dPr>
                  <m:e>
                    <m:acc>
                      <m:accPr>
                        <m:chr m:val="⃗"/>
                        <m:ctrlPr>
                          <w:rPr>
                            <w:rFonts w:ascii="Cambria Math" w:eastAsia="Times New Roman" w:hAnsi="Cambria Math" w:cs="Arial"/>
                            <w:i/>
                          </w:rPr>
                        </m:ctrlPr>
                      </m:accPr>
                      <m:e>
                        <m:r>
                          <m:rPr>
                            <m:sty m:val="p"/>
                          </m:rPr>
                          <w:rPr>
                            <w:rFonts w:ascii="Cambria Math" w:eastAsia="Times New Roman" w:hAnsi="Cambria Math" w:cs="Arial"/>
                          </w:rPr>
                          <m:t>∇</m:t>
                        </m:r>
                      </m:e>
                    </m:acc>
                    <m:r>
                      <w:rPr>
                        <w:rFonts w:ascii="Cambria Math" w:eastAsia="Times New Roman" w:hAnsi="Cambria Math" w:cs="Arial"/>
                      </w:rPr>
                      <m:t>∙</m:t>
                    </m:r>
                    <m:acc>
                      <m:accPr>
                        <m:chr m:val="⃗"/>
                        <m:ctrlPr>
                          <w:rPr>
                            <w:rFonts w:ascii="Cambria Math" w:eastAsia="Times New Roman" w:hAnsi="Cambria Math" w:cs="Arial"/>
                            <w:i/>
                          </w:rPr>
                        </m:ctrlPr>
                      </m:accPr>
                      <m:e>
                        <m:r>
                          <w:rPr>
                            <w:rFonts w:ascii="Cambria Math" w:eastAsia="Times New Roman" w:hAnsi="Cambria Math" w:cs="Arial"/>
                          </w:rPr>
                          <m:t>H</m:t>
                        </m:r>
                      </m:e>
                    </m:acc>
                  </m:e>
                </m:d>
                <m:r>
                  <w:rPr>
                    <w:rFonts w:ascii="Cambria Math" w:eastAsia="Times New Roman" w:hAnsi="Cambria Math" w:cs="Arial"/>
                  </w:rPr>
                  <m:t>-</m:t>
                </m:r>
                <m:sSup>
                  <m:sSupPr>
                    <m:ctrlPr>
                      <w:rPr>
                        <w:rFonts w:ascii="Cambria Math" w:eastAsia="Times New Roman" w:hAnsi="Cambria Math" w:cs="Arial"/>
                        <w:i/>
                      </w:rPr>
                    </m:ctrlPr>
                  </m:sSupPr>
                  <m:e>
                    <m:r>
                      <m:rPr>
                        <m:sty m:val="p"/>
                      </m:rPr>
                      <w:rPr>
                        <w:rFonts w:ascii="Cambria Math" w:eastAsia="Times New Roman" w:hAnsi="Cambria Math" w:cs="Arial"/>
                      </w:rPr>
                      <m:t>∇</m:t>
                    </m:r>
                  </m:e>
                  <m:sup>
                    <m:r>
                      <w:rPr>
                        <w:rFonts w:ascii="Cambria Math" w:eastAsia="Times New Roman" w:hAnsi="Cambria Math" w:cs="Arial"/>
                      </w:rPr>
                      <m:t>2</m:t>
                    </m:r>
                  </m:sup>
                </m:sSup>
                <m:acc>
                  <m:accPr>
                    <m:chr m:val="⃗"/>
                    <m:ctrlPr>
                      <w:rPr>
                        <w:rFonts w:ascii="Cambria Math" w:eastAsia="Times New Roman" w:hAnsi="Cambria Math" w:cs="Arial"/>
                        <w:i/>
                      </w:rPr>
                    </m:ctrlPr>
                  </m:accPr>
                  <m:e>
                    <m:r>
                      <w:rPr>
                        <w:rFonts w:ascii="Cambria Math" w:eastAsia="Times New Roman" w:hAnsi="Cambria Math" w:cs="Arial"/>
                      </w:rPr>
                      <m:t>H</m:t>
                    </m:r>
                  </m:e>
                </m:acc>
                <m:r>
                  <w:rPr>
                    <w:rFonts w:ascii="Cambria Math" w:eastAsia="Times New Roman" w:hAnsi="Cambria Math" w:cs="Arial"/>
                  </w:rPr>
                  <m:t>=</m:t>
                </m:r>
                <m:d>
                  <m:dPr>
                    <m:ctrlPr>
                      <w:rPr>
                        <w:rFonts w:ascii="Cambria Math" w:eastAsia="Times New Roman" w:hAnsi="Cambria Math" w:cs="Arial"/>
                        <w:i/>
                      </w:rPr>
                    </m:ctrlPr>
                  </m:dPr>
                  <m:e>
                    <m:r>
                      <w:rPr>
                        <w:rFonts w:ascii="Cambria Math" w:eastAsia="Times New Roman" w:hAnsi="Cambria Math" w:cs="Arial"/>
                      </w:rPr>
                      <m:t>σ+jωε</m:t>
                    </m:r>
                  </m:e>
                </m:d>
                <m:acc>
                  <m:accPr>
                    <m:chr m:val="⃗"/>
                    <m:ctrlPr>
                      <w:rPr>
                        <w:rFonts w:ascii="Cambria Math" w:eastAsia="Times New Roman" w:hAnsi="Cambria Math" w:cs="Arial"/>
                        <w:i/>
                      </w:rPr>
                    </m:ctrlPr>
                  </m:accPr>
                  <m:e>
                    <m:r>
                      <m:rPr>
                        <m:sty m:val="p"/>
                      </m:rPr>
                      <w:rPr>
                        <w:rFonts w:ascii="Cambria Math" w:eastAsia="Times New Roman" w:hAnsi="Cambria Math" w:cs="Arial"/>
                      </w:rPr>
                      <m:t>∇</m:t>
                    </m:r>
                  </m:e>
                </m:acc>
                <m:r>
                  <w:rPr>
                    <w:rFonts w:ascii="Cambria Math" w:eastAsia="Times New Roman" w:hAnsi="Cambria Math" w:cs="Arial"/>
                  </w:rPr>
                  <m:t>×</m:t>
                </m:r>
                <m:acc>
                  <m:accPr>
                    <m:chr m:val="⃗"/>
                    <m:ctrlPr>
                      <w:rPr>
                        <w:rFonts w:ascii="Cambria Math" w:eastAsia="Times New Roman" w:hAnsi="Cambria Math" w:cs="Arial"/>
                        <w:i/>
                      </w:rPr>
                    </m:ctrlPr>
                  </m:accPr>
                  <m:e>
                    <m:r>
                      <w:rPr>
                        <w:rFonts w:ascii="Cambria Math" w:eastAsia="Times New Roman" w:hAnsi="Cambria Math" w:cs="Arial"/>
                      </w:rPr>
                      <m:t>E</m:t>
                    </m:r>
                  </m:e>
                </m:acc>
              </m:oMath>
            </m:oMathPara>
          </w:p>
        </w:tc>
        <w:tc>
          <w:tcPr>
            <w:tcW w:w="652" w:type="dxa"/>
            <w:shd w:val="clear" w:color="auto" w:fill="auto"/>
          </w:tcPr>
          <w:p w:rsidR="00705D32" w:rsidRPr="0052084F" w:rsidRDefault="00705D32" w:rsidP="00B81843">
            <w:pPr>
              <w:spacing w:line="360" w:lineRule="auto"/>
              <w:jc w:val="both"/>
              <w:rPr>
                <w:rFonts w:ascii="Arial" w:hAnsi="Arial" w:cs="Arial"/>
              </w:rPr>
            </w:pPr>
            <w:r w:rsidRPr="0052084F">
              <w:rPr>
                <w:rFonts w:ascii="Arial" w:hAnsi="Arial" w:cs="Arial"/>
              </w:rPr>
              <w:t>(5)</w:t>
            </w:r>
          </w:p>
        </w:tc>
      </w:tr>
    </w:tbl>
    <w:p w:rsidR="00705D32" w:rsidRDefault="00705D32" w:rsidP="00705D32">
      <w:pPr>
        <w:spacing w:line="360" w:lineRule="auto"/>
        <w:jc w:val="both"/>
        <w:rPr>
          <w:rFonts w:ascii="Arial" w:eastAsia="Times New Roman" w:hAnsi="Arial" w:cs="Arial"/>
        </w:rPr>
      </w:pPr>
      <w:r>
        <w:rPr>
          <w:rFonts w:ascii="Arial" w:eastAsia="Times New Roman" w:hAnsi="Arial" w:cs="Arial"/>
        </w:rPr>
        <w:t>Por la ley de Gauss para el campo eléctrico se tiene:</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705D32" w:rsidP="00B81843">
            <w:pPr>
              <w:spacing w:line="360" w:lineRule="auto"/>
              <w:jc w:val="center"/>
              <w:rPr>
                <w:rFonts w:ascii="Arial" w:eastAsia="Times New Roman" w:hAnsi="Arial" w:cs="Arial"/>
              </w:rPr>
            </w:pPr>
            <m:oMathPara>
              <m:oMath>
                <m:r>
                  <w:rPr>
                    <w:rFonts w:ascii="Cambria Math" w:eastAsia="Times New Roman" w:hAnsi="Cambria Math" w:cs="Arial"/>
                  </w:rPr>
                  <m:t>-</m:t>
                </m:r>
                <m:sSup>
                  <m:sSupPr>
                    <m:ctrlPr>
                      <w:rPr>
                        <w:rFonts w:ascii="Cambria Math" w:eastAsia="Times New Roman" w:hAnsi="Cambria Math" w:cs="Arial"/>
                        <w:i/>
                      </w:rPr>
                    </m:ctrlPr>
                  </m:sSupPr>
                  <m:e>
                    <m:r>
                      <m:rPr>
                        <m:sty m:val="p"/>
                      </m:rPr>
                      <w:rPr>
                        <w:rFonts w:ascii="Cambria Math" w:eastAsia="Times New Roman" w:hAnsi="Cambria Math" w:cs="Arial"/>
                      </w:rPr>
                      <m:t>∇</m:t>
                    </m:r>
                  </m:e>
                  <m:sup>
                    <m:r>
                      <w:rPr>
                        <w:rFonts w:ascii="Cambria Math" w:eastAsia="Times New Roman" w:hAnsi="Cambria Math" w:cs="Arial"/>
                      </w:rPr>
                      <m:t>2</m:t>
                    </m:r>
                  </m:sup>
                </m:sSup>
                <m:r>
                  <w:rPr>
                    <w:rFonts w:ascii="Cambria Math" w:eastAsia="Times New Roman" w:hAnsi="Cambria Math" w:cs="Arial"/>
                  </w:rPr>
                  <m:t>H=-jωμ</m:t>
                </m:r>
                <m:d>
                  <m:dPr>
                    <m:ctrlPr>
                      <w:rPr>
                        <w:rFonts w:ascii="Cambria Math" w:eastAsia="Times New Roman" w:hAnsi="Cambria Math" w:cs="Arial"/>
                        <w:i/>
                      </w:rPr>
                    </m:ctrlPr>
                  </m:dPr>
                  <m:e>
                    <m:r>
                      <w:rPr>
                        <w:rFonts w:ascii="Cambria Math" w:eastAsia="Times New Roman" w:hAnsi="Cambria Math" w:cs="Arial"/>
                      </w:rPr>
                      <m:t>σ+jωε</m:t>
                    </m:r>
                  </m:e>
                </m:d>
                <m:r>
                  <w:rPr>
                    <w:rFonts w:ascii="Cambria Math" w:eastAsia="Times New Roman" w:hAnsi="Cambria Math" w:cs="Arial"/>
                  </w:rPr>
                  <m:t>H</m:t>
                </m:r>
              </m:oMath>
            </m:oMathPara>
          </w:p>
        </w:tc>
        <w:tc>
          <w:tcPr>
            <w:tcW w:w="652" w:type="dxa"/>
            <w:shd w:val="clear" w:color="auto" w:fill="auto"/>
          </w:tcPr>
          <w:p w:rsidR="00705D32" w:rsidRPr="0052084F" w:rsidRDefault="00705D32" w:rsidP="00B81843">
            <w:pPr>
              <w:spacing w:line="360" w:lineRule="auto"/>
              <w:jc w:val="both"/>
              <w:rPr>
                <w:rFonts w:ascii="Arial" w:hAnsi="Arial" w:cs="Arial"/>
              </w:rPr>
            </w:pPr>
            <w:r w:rsidRPr="0052084F">
              <w:rPr>
                <w:rFonts w:ascii="Arial" w:hAnsi="Arial" w:cs="Arial"/>
              </w:rPr>
              <w:t>(6)</w:t>
            </w:r>
          </w:p>
        </w:tc>
      </w:tr>
    </w:tbl>
    <w:p w:rsidR="00705D32" w:rsidRDefault="00705D32" w:rsidP="00705D32">
      <w:pPr>
        <w:spacing w:line="360" w:lineRule="auto"/>
        <w:jc w:val="both"/>
        <w:rPr>
          <w:rFonts w:ascii="Arial" w:eastAsia="Times New Roman" w:hAnsi="Arial" w:cs="Arial"/>
        </w:rPr>
      </w:pPr>
      <w:r>
        <w:rPr>
          <w:rFonts w:ascii="Arial" w:eastAsia="Times New Roman" w:hAnsi="Arial" w:cs="Arial"/>
        </w:rPr>
        <w:t xml:space="preserve">De la misma forma, aplicando el rotacional a la ley de Faraday aplicando la Ec. 4, se obtiene: </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705D32" w:rsidP="00B81843">
            <w:pPr>
              <w:spacing w:line="360" w:lineRule="auto"/>
              <w:jc w:val="center"/>
              <w:rPr>
                <w:rFonts w:ascii="Arial" w:eastAsia="Times New Roman" w:hAnsi="Arial" w:cs="Arial"/>
              </w:rPr>
            </w:pPr>
            <m:oMathPara>
              <m:oMath>
                <m:r>
                  <w:rPr>
                    <w:rFonts w:ascii="Cambria Math" w:eastAsia="Times New Roman" w:hAnsi="Cambria Math" w:cs="Arial"/>
                  </w:rPr>
                  <m:t>-</m:t>
                </m:r>
                <m:sSup>
                  <m:sSupPr>
                    <m:ctrlPr>
                      <w:rPr>
                        <w:rFonts w:ascii="Cambria Math" w:eastAsia="Times New Roman" w:hAnsi="Cambria Math" w:cs="Arial"/>
                        <w:i/>
                      </w:rPr>
                    </m:ctrlPr>
                  </m:sSupPr>
                  <m:e>
                    <m:r>
                      <m:rPr>
                        <m:sty m:val="p"/>
                      </m:rPr>
                      <w:rPr>
                        <w:rFonts w:ascii="Cambria Math" w:eastAsia="Times New Roman" w:hAnsi="Cambria Math" w:cs="Arial"/>
                      </w:rPr>
                      <m:t>∇</m:t>
                    </m:r>
                  </m:e>
                  <m:sup>
                    <m:r>
                      <w:rPr>
                        <w:rFonts w:ascii="Cambria Math" w:eastAsia="Times New Roman" w:hAnsi="Cambria Math" w:cs="Arial"/>
                      </w:rPr>
                      <m:t>2</m:t>
                    </m:r>
                  </m:sup>
                </m:sSup>
                <m:r>
                  <w:rPr>
                    <w:rFonts w:ascii="Cambria Math" w:eastAsia="Times New Roman" w:hAnsi="Cambria Math" w:cs="Arial"/>
                  </w:rPr>
                  <m:t>E=-jωμ</m:t>
                </m:r>
                <m:d>
                  <m:dPr>
                    <m:ctrlPr>
                      <w:rPr>
                        <w:rFonts w:ascii="Cambria Math" w:eastAsia="Times New Roman" w:hAnsi="Cambria Math" w:cs="Arial"/>
                        <w:i/>
                      </w:rPr>
                    </m:ctrlPr>
                  </m:dPr>
                  <m:e>
                    <m:r>
                      <w:rPr>
                        <w:rFonts w:ascii="Cambria Math" w:eastAsia="Times New Roman" w:hAnsi="Cambria Math" w:cs="Arial"/>
                      </w:rPr>
                      <m:t>σ+jωε</m:t>
                    </m:r>
                  </m:e>
                </m:d>
                <m:r>
                  <w:rPr>
                    <w:rFonts w:ascii="Cambria Math" w:eastAsia="Times New Roman" w:hAnsi="Cambria Math" w:cs="Arial"/>
                  </w:rPr>
                  <m:t>E</m:t>
                </m:r>
              </m:oMath>
            </m:oMathPara>
          </w:p>
        </w:tc>
        <w:tc>
          <w:tcPr>
            <w:tcW w:w="652" w:type="dxa"/>
            <w:shd w:val="clear" w:color="auto" w:fill="auto"/>
          </w:tcPr>
          <w:p w:rsidR="00705D32" w:rsidRPr="0052084F" w:rsidRDefault="00705D32" w:rsidP="00B81843">
            <w:pPr>
              <w:spacing w:line="360" w:lineRule="auto"/>
              <w:jc w:val="both"/>
              <w:rPr>
                <w:rFonts w:ascii="Arial" w:hAnsi="Arial" w:cs="Arial"/>
              </w:rPr>
            </w:pPr>
            <w:r w:rsidRPr="0052084F">
              <w:rPr>
                <w:rFonts w:ascii="Arial" w:hAnsi="Arial" w:cs="Arial"/>
              </w:rPr>
              <w:t>(7)</w:t>
            </w:r>
          </w:p>
        </w:tc>
      </w:tr>
    </w:tbl>
    <w:p w:rsidR="00705D32" w:rsidRDefault="00705D32" w:rsidP="00705D32">
      <w:pPr>
        <w:spacing w:line="360" w:lineRule="auto"/>
        <w:jc w:val="both"/>
        <w:rPr>
          <w:rFonts w:ascii="Arial" w:eastAsia="Times New Roman" w:hAnsi="Arial" w:cs="Arial"/>
        </w:rPr>
      </w:pPr>
      <w:r>
        <w:rPr>
          <w:rFonts w:ascii="Arial" w:eastAsia="Times New Roman" w:hAnsi="Arial" w:cs="Arial"/>
        </w:rPr>
        <w:t>definiendo</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1345E4" w:rsidP="00B81843">
            <w:pPr>
              <w:spacing w:line="360" w:lineRule="auto"/>
              <w:jc w:val="center"/>
              <w:rPr>
                <w:rFonts w:ascii="Arial" w:eastAsia="Times New Roman" w:hAnsi="Arial" w:cs="Arial"/>
              </w:rPr>
            </w:pPr>
            <m:oMathPara>
              <m:oMath>
                <m:sSup>
                  <m:sSupPr>
                    <m:ctrlPr>
                      <w:rPr>
                        <w:rFonts w:ascii="Cambria Math" w:eastAsia="Times New Roman" w:hAnsi="Cambria Math" w:cs="Arial"/>
                        <w:i/>
                      </w:rPr>
                    </m:ctrlPr>
                  </m:sSupPr>
                  <m:e>
                    <m:r>
                      <w:rPr>
                        <w:rFonts w:ascii="Cambria Math" w:eastAsia="Times New Roman" w:hAnsi="Cambria Math" w:cs="Arial"/>
                      </w:rPr>
                      <m:t>γ</m:t>
                    </m:r>
                  </m:e>
                  <m:sup>
                    <m:r>
                      <w:rPr>
                        <w:rFonts w:ascii="Cambria Math" w:eastAsia="Times New Roman" w:hAnsi="Cambria Math" w:cs="Arial"/>
                      </w:rPr>
                      <m:t>2</m:t>
                    </m:r>
                  </m:sup>
                </m:sSup>
                <m:r>
                  <w:rPr>
                    <w:rFonts w:ascii="Cambria Math" w:eastAsia="Times New Roman" w:hAnsi="Cambria Math" w:cs="Arial"/>
                  </w:rPr>
                  <m:t>=jωμ</m:t>
                </m:r>
                <m:d>
                  <m:dPr>
                    <m:ctrlPr>
                      <w:rPr>
                        <w:rFonts w:ascii="Cambria Math" w:eastAsia="Times New Roman" w:hAnsi="Cambria Math" w:cs="Arial"/>
                        <w:i/>
                      </w:rPr>
                    </m:ctrlPr>
                  </m:dPr>
                  <m:e>
                    <m:r>
                      <w:rPr>
                        <w:rFonts w:ascii="Cambria Math" w:eastAsia="Times New Roman" w:hAnsi="Cambria Math" w:cs="Arial"/>
                      </w:rPr>
                      <m:t>σ+jωε</m:t>
                    </m:r>
                  </m:e>
                </m:d>
              </m:oMath>
            </m:oMathPara>
          </w:p>
        </w:tc>
        <w:tc>
          <w:tcPr>
            <w:tcW w:w="652" w:type="dxa"/>
            <w:shd w:val="clear" w:color="auto" w:fill="auto"/>
          </w:tcPr>
          <w:p w:rsidR="00705D32" w:rsidRPr="0052084F" w:rsidRDefault="00705D32" w:rsidP="00B81843">
            <w:pPr>
              <w:spacing w:line="360" w:lineRule="auto"/>
              <w:jc w:val="both"/>
              <w:rPr>
                <w:rFonts w:ascii="Arial" w:hAnsi="Arial" w:cs="Arial"/>
              </w:rPr>
            </w:pPr>
            <w:r w:rsidRPr="0052084F">
              <w:rPr>
                <w:rFonts w:ascii="Arial" w:hAnsi="Arial" w:cs="Arial"/>
              </w:rPr>
              <w:t>(8)</w:t>
            </w:r>
          </w:p>
        </w:tc>
      </w:tr>
    </w:tbl>
    <w:p w:rsidR="00705D32" w:rsidRDefault="00705D32" w:rsidP="00705D32">
      <w:pPr>
        <w:spacing w:line="360" w:lineRule="auto"/>
        <w:jc w:val="both"/>
        <w:rPr>
          <w:rFonts w:ascii="Arial" w:eastAsia="Times New Roman" w:hAnsi="Arial" w:cs="Arial"/>
        </w:rPr>
      </w:pPr>
      <w:r>
        <w:rPr>
          <w:rFonts w:ascii="Arial" w:eastAsia="Times New Roman" w:hAnsi="Arial" w:cs="Arial"/>
        </w:rPr>
        <w:t>las ecuaciones 6 y 7 toman la forma:</w:t>
      </w:r>
    </w:p>
    <w:tbl>
      <w:tblPr>
        <w:tblW w:w="0" w:type="auto"/>
        <w:tblLook w:val="04A0" w:firstRow="1" w:lastRow="0" w:firstColumn="1" w:lastColumn="0" w:noHBand="0" w:noVBand="1"/>
      </w:tblPr>
      <w:tblGrid>
        <w:gridCol w:w="8330"/>
        <w:gridCol w:w="652"/>
      </w:tblGrid>
      <w:tr w:rsidR="00705D32" w:rsidTr="00B81843">
        <w:tc>
          <w:tcPr>
            <w:tcW w:w="8330" w:type="dxa"/>
            <w:shd w:val="clear" w:color="auto" w:fill="auto"/>
          </w:tcPr>
          <w:p w:rsidR="00705D32" w:rsidRPr="00705D32" w:rsidRDefault="001345E4" w:rsidP="00B81843">
            <w:pPr>
              <w:spacing w:line="360" w:lineRule="auto"/>
              <w:jc w:val="center"/>
              <w:rPr>
                <w:rFonts w:ascii="Arial" w:eastAsia="Times New Roman" w:hAnsi="Arial" w:cs="Arial"/>
              </w:rPr>
            </w:pPr>
            <m:oMathPara>
              <m:oMath>
                <m:sSup>
                  <m:sSupPr>
                    <m:ctrlPr>
                      <w:rPr>
                        <w:rFonts w:ascii="Cambria Math" w:eastAsia="Times New Roman" w:hAnsi="Cambria Math" w:cs="Arial"/>
                        <w:i/>
                      </w:rPr>
                    </m:ctrlPr>
                  </m:sSupPr>
                  <m:e>
                    <m:r>
                      <m:rPr>
                        <m:sty m:val="p"/>
                      </m:rPr>
                      <w:rPr>
                        <w:rFonts w:ascii="Cambria Math" w:eastAsia="Times New Roman" w:hAnsi="Cambria Math" w:cs="Arial"/>
                      </w:rPr>
                      <m:t>∇</m:t>
                    </m:r>
                  </m:e>
                  <m:sup>
                    <m:r>
                      <w:rPr>
                        <w:rFonts w:ascii="Cambria Math" w:eastAsia="Times New Roman" w:hAnsi="Cambria Math" w:cs="Arial"/>
                      </w:rPr>
                      <m:t>2</m:t>
                    </m:r>
                  </m:sup>
                </m:sSup>
                <m:r>
                  <w:rPr>
                    <w:rFonts w:ascii="Cambria Math" w:eastAsia="Times New Roman" w:hAnsi="Cambria Math" w:cs="Arial"/>
                  </w:rPr>
                  <m:t>E=</m:t>
                </m:r>
                <m:sSup>
                  <m:sSupPr>
                    <m:ctrlPr>
                      <w:rPr>
                        <w:rFonts w:ascii="Cambria Math" w:eastAsia="Times New Roman" w:hAnsi="Cambria Math" w:cs="Arial"/>
                        <w:i/>
                      </w:rPr>
                    </m:ctrlPr>
                  </m:sSupPr>
                  <m:e>
                    <m:r>
                      <w:rPr>
                        <w:rFonts w:ascii="Cambria Math" w:eastAsia="Times New Roman" w:hAnsi="Cambria Math" w:cs="Arial"/>
                      </w:rPr>
                      <m:t>γ</m:t>
                    </m:r>
                  </m:e>
                  <m:sup>
                    <m:r>
                      <w:rPr>
                        <w:rFonts w:ascii="Cambria Math" w:eastAsia="Times New Roman" w:hAnsi="Cambria Math" w:cs="Arial"/>
                      </w:rPr>
                      <m:t>2</m:t>
                    </m:r>
                  </m:sup>
                </m:sSup>
                <m:r>
                  <w:rPr>
                    <w:rFonts w:ascii="Cambria Math" w:eastAsia="Times New Roman" w:hAnsi="Cambria Math" w:cs="Arial"/>
                  </w:rPr>
                  <m:t>E</m:t>
                </m:r>
              </m:oMath>
            </m:oMathPara>
          </w:p>
        </w:tc>
        <w:tc>
          <w:tcPr>
            <w:tcW w:w="652" w:type="dxa"/>
            <w:shd w:val="clear" w:color="auto" w:fill="auto"/>
          </w:tcPr>
          <w:p w:rsidR="00705D32" w:rsidRPr="0052084F" w:rsidRDefault="00705D32" w:rsidP="00B81843">
            <w:pPr>
              <w:spacing w:line="360" w:lineRule="auto"/>
              <w:jc w:val="both"/>
              <w:rPr>
                <w:rFonts w:ascii="Arial" w:hAnsi="Arial" w:cs="Arial"/>
              </w:rPr>
            </w:pPr>
            <w:r w:rsidRPr="0052084F">
              <w:rPr>
                <w:rFonts w:ascii="Arial" w:hAnsi="Arial" w:cs="Arial"/>
              </w:rPr>
              <w:t>(9)</w:t>
            </w:r>
          </w:p>
        </w:tc>
      </w:tr>
      <w:tr w:rsidR="00705D32" w:rsidTr="00B81843">
        <w:tc>
          <w:tcPr>
            <w:tcW w:w="8330" w:type="dxa"/>
            <w:shd w:val="clear" w:color="auto" w:fill="auto"/>
          </w:tcPr>
          <w:p w:rsidR="00705D32" w:rsidRPr="00705D32" w:rsidRDefault="001345E4" w:rsidP="00B81843">
            <w:pPr>
              <w:spacing w:line="360" w:lineRule="auto"/>
              <w:jc w:val="center"/>
              <w:rPr>
                <w:rFonts w:ascii="Arial" w:eastAsia="Times New Roman" w:hAnsi="Arial" w:cs="Arial"/>
              </w:rPr>
            </w:pPr>
            <m:oMathPara>
              <m:oMath>
                <m:sSup>
                  <m:sSupPr>
                    <m:ctrlPr>
                      <w:rPr>
                        <w:rFonts w:ascii="Cambria Math" w:eastAsia="Times New Roman" w:hAnsi="Cambria Math" w:cs="Arial"/>
                        <w:i/>
                      </w:rPr>
                    </m:ctrlPr>
                  </m:sSupPr>
                  <m:e>
                    <m:r>
                      <m:rPr>
                        <m:sty m:val="p"/>
                      </m:rPr>
                      <w:rPr>
                        <w:rFonts w:ascii="Cambria Math" w:eastAsia="Times New Roman" w:hAnsi="Cambria Math" w:cs="Arial"/>
                      </w:rPr>
                      <m:t>∇</m:t>
                    </m:r>
                  </m:e>
                  <m:sup>
                    <m:r>
                      <w:rPr>
                        <w:rFonts w:ascii="Cambria Math" w:eastAsia="Times New Roman" w:hAnsi="Cambria Math" w:cs="Arial"/>
                      </w:rPr>
                      <m:t>2</m:t>
                    </m:r>
                  </m:sup>
                </m:sSup>
                <m:r>
                  <w:rPr>
                    <w:rFonts w:ascii="Cambria Math" w:eastAsia="Times New Roman" w:hAnsi="Cambria Math" w:cs="Arial"/>
                  </w:rPr>
                  <m:t>H=</m:t>
                </m:r>
                <m:sSup>
                  <m:sSupPr>
                    <m:ctrlPr>
                      <w:rPr>
                        <w:rFonts w:ascii="Cambria Math" w:eastAsia="Times New Roman" w:hAnsi="Cambria Math" w:cs="Arial"/>
                        <w:i/>
                      </w:rPr>
                    </m:ctrlPr>
                  </m:sSupPr>
                  <m:e>
                    <m:r>
                      <w:rPr>
                        <w:rFonts w:ascii="Cambria Math" w:eastAsia="Times New Roman" w:hAnsi="Cambria Math" w:cs="Arial"/>
                      </w:rPr>
                      <m:t>γ</m:t>
                    </m:r>
                  </m:e>
                  <m:sup>
                    <m:r>
                      <w:rPr>
                        <w:rFonts w:ascii="Cambria Math" w:eastAsia="Times New Roman" w:hAnsi="Cambria Math" w:cs="Arial"/>
                      </w:rPr>
                      <m:t>2</m:t>
                    </m:r>
                  </m:sup>
                </m:sSup>
                <m:r>
                  <w:rPr>
                    <w:rFonts w:ascii="Cambria Math" w:eastAsia="Times New Roman" w:hAnsi="Cambria Math" w:cs="Arial"/>
                  </w:rPr>
                  <m:t>H</m:t>
                </m:r>
              </m:oMath>
            </m:oMathPara>
          </w:p>
        </w:tc>
        <w:tc>
          <w:tcPr>
            <w:tcW w:w="652" w:type="dxa"/>
            <w:shd w:val="clear" w:color="auto" w:fill="auto"/>
          </w:tcPr>
          <w:p w:rsidR="00705D32" w:rsidRPr="0052084F" w:rsidRDefault="00705D32" w:rsidP="00B81843">
            <w:pPr>
              <w:spacing w:line="360" w:lineRule="auto"/>
              <w:jc w:val="both"/>
              <w:rPr>
                <w:rFonts w:ascii="Arial" w:hAnsi="Arial" w:cs="Arial"/>
              </w:rPr>
            </w:pPr>
            <w:r w:rsidRPr="0052084F">
              <w:rPr>
                <w:rFonts w:ascii="Arial" w:hAnsi="Arial" w:cs="Arial"/>
              </w:rPr>
              <w:t>(10)</w:t>
            </w:r>
          </w:p>
        </w:tc>
      </w:tr>
    </w:tbl>
    <w:p w:rsidR="00705D32" w:rsidRDefault="00705D32" w:rsidP="00705D32">
      <w:pPr>
        <w:spacing w:line="360" w:lineRule="auto"/>
        <w:jc w:val="both"/>
        <w:rPr>
          <w:rFonts w:ascii="Arial" w:eastAsia="Times New Roman" w:hAnsi="Arial" w:cs="Arial"/>
        </w:rPr>
      </w:pPr>
      <w:r>
        <w:rPr>
          <w:rFonts w:ascii="Arial" w:eastAsia="Times New Roman" w:hAnsi="Arial" w:cs="Arial"/>
        </w:rPr>
        <w:t xml:space="preserve">que se conocen como ecuaciones de ondas electromagnéticas </w:t>
      </w:r>
      <w:r w:rsidRPr="009C60D3">
        <w:rPr>
          <w:rFonts w:ascii="Arial" w:eastAsia="Times New Roman" w:hAnsi="Arial" w:cs="Arial"/>
          <w:vertAlign w:val="superscript"/>
        </w:rPr>
        <w:t>[7]</w:t>
      </w:r>
      <w:r w:rsidRPr="00E92913">
        <w:rPr>
          <w:rFonts w:ascii="Arial" w:eastAsia="Times New Roman" w:hAnsi="Arial" w:cs="Arial"/>
        </w:rPr>
        <w:t>.</w:t>
      </w:r>
    </w:p>
    <w:p w:rsidR="00705D32" w:rsidRDefault="00705D32" w:rsidP="00705D32">
      <w:pPr>
        <w:jc w:val="both"/>
        <w:rPr>
          <w:rFonts w:ascii="Arial" w:eastAsia="Times New Roman" w:hAnsi="Arial" w:cs="Arial"/>
        </w:rPr>
      </w:pPr>
      <w:r>
        <w:rPr>
          <w:rFonts w:ascii="Arial" w:eastAsia="Times New Roman" w:hAnsi="Arial" w:cs="Arial"/>
        </w:rPr>
        <w:t xml:space="preserve">A </w:t>
      </w:r>
      <m:oMath>
        <m:sSup>
          <m:sSupPr>
            <m:ctrlPr>
              <w:rPr>
                <w:rFonts w:ascii="Cambria Math" w:eastAsia="Times New Roman" w:hAnsi="Cambria Math" w:cs="Arial"/>
                <w:i/>
              </w:rPr>
            </m:ctrlPr>
          </m:sSupPr>
          <m:e>
            <m:r>
              <w:rPr>
                <w:rFonts w:ascii="Cambria Math" w:eastAsia="Times New Roman" w:hAnsi="Cambria Math" w:cs="Arial"/>
              </w:rPr>
              <m:t>γ</m:t>
            </m:r>
          </m:e>
          <m:sup/>
        </m:sSup>
      </m:oMath>
      <w:r>
        <w:rPr>
          <w:rFonts w:ascii="Arial" w:eastAsia="Times New Roman" w:hAnsi="Arial" w:cs="Arial"/>
        </w:rPr>
        <w:t xml:space="preserve"> se conoce como factor de propagación de la onda electromagnética, y de acuerdo con EC. (8) es un número complejo, del cual la parte real, corresponde a </w:t>
      </w:r>
      <m:oMath>
        <m:r>
          <w:rPr>
            <w:rFonts w:ascii="Cambria Math" w:eastAsia="Times New Roman" w:hAnsi="Cambria Math" w:cs="Arial"/>
          </w:rPr>
          <m:t>α</m:t>
        </m:r>
      </m:oMath>
      <w:r>
        <w:rPr>
          <w:rFonts w:ascii="Arial" w:eastAsia="Times New Roman" w:hAnsi="Arial" w:cs="Arial"/>
        </w:rPr>
        <w:t xml:space="preserve"> que se conoce como factor de atenuación de la onda electromagnética. La parte imaginaria del número complejo </w:t>
      </w:r>
      <m:oMath>
        <m:r>
          <w:rPr>
            <w:rFonts w:ascii="Cambria Math" w:eastAsia="Times New Roman" w:hAnsi="Cambria Math" w:cs="Arial"/>
          </w:rPr>
          <m:t>γ</m:t>
        </m:r>
      </m:oMath>
      <w:r>
        <w:rPr>
          <w:rFonts w:ascii="Arial" w:eastAsia="Times New Roman" w:hAnsi="Arial" w:cs="Arial"/>
        </w:rPr>
        <w:t xml:space="preserve"> es </w:t>
      </w:r>
      <m:oMath>
        <m:r>
          <w:rPr>
            <w:rFonts w:ascii="Cambria Math" w:eastAsia="Times New Roman" w:hAnsi="Cambria Math" w:cs="Arial"/>
          </w:rPr>
          <m:t>β</m:t>
        </m:r>
      </m:oMath>
      <w:r>
        <w:rPr>
          <w:rFonts w:ascii="Arial" w:eastAsia="Times New Roman" w:hAnsi="Arial" w:cs="Arial"/>
        </w:rPr>
        <w:t xml:space="preserve"> que se conoce factor de fase, es decir que </w:t>
      </w:r>
      <m:oMath>
        <m:r>
          <w:rPr>
            <w:rFonts w:ascii="Cambria Math" w:eastAsia="Times New Roman" w:hAnsi="Cambria Math" w:cs="Arial"/>
          </w:rPr>
          <m:t>γ=α+jβ</m:t>
        </m:r>
      </m:oMath>
      <w:r>
        <w:rPr>
          <w:rFonts w:ascii="Arial" w:eastAsia="Times New Roman" w:hAnsi="Arial" w:cs="Arial"/>
        </w:rPr>
        <w:t>.</w:t>
      </w:r>
    </w:p>
    <w:p w:rsidR="00705D32" w:rsidRDefault="00705D32" w:rsidP="00705D32">
      <w:pPr>
        <w:jc w:val="both"/>
        <w:rPr>
          <w:rFonts w:ascii="Arial" w:eastAsia="Times New Roman" w:hAnsi="Arial" w:cs="Arial"/>
        </w:rPr>
      </w:pPr>
      <w:r>
        <w:rPr>
          <w:rFonts w:ascii="Arial" w:eastAsia="Times New Roman" w:hAnsi="Arial" w:cs="Arial"/>
        </w:rPr>
        <w:t>De la teoría electromagnética, los factores de atenuación y fase se calculan mediante</w:t>
      </w:r>
    </w:p>
    <w:p w:rsidR="00705D32" w:rsidRPr="00705D32" w:rsidRDefault="00705D32" w:rsidP="00705D32">
      <w:pPr>
        <w:jc w:val="center"/>
        <w:rPr>
          <w:rFonts w:ascii="Arial" w:eastAsia="Times New Roman" w:hAnsi="Arial" w:cs="Arial"/>
        </w:rPr>
      </w:pPr>
      <m:oMathPara>
        <m:oMath>
          <m:r>
            <w:rPr>
              <w:rFonts w:ascii="Cambria Math" w:eastAsia="Times New Roman" w:hAnsi="Cambria Math" w:cs="Arial"/>
            </w:rPr>
            <m:t>α=ω</m:t>
          </m:r>
          <m:rad>
            <m:radPr>
              <m:degHide m:val="1"/>
              <m:ctrlPr>
                <w:rPr>
                  <w:rFonts w:ascii="Cambria Math" w:eastAsia="Times New Roman" w:hAnsi="Cambria Math" w:cs="Arial"/>
                  <w:i/>
                </w:rPr>
              </m:ctrlPr>
            </m:radPr>
            <m:deg/>
            <m:e>
              <m:f>
                <m:fPr>
                  <m:ctrlPr>
                    <w:rPr>
                      <w:rFonts w:ascii="Cambria Math" w:eastAsia="Times New Roman" w:hAnsi="Cambria Math" w:cs="Arial"/>
                      <w:i/>
                    </w:rPr>
                  </m:ctrlPr>
                </m:fPr>
                <m:num>
                  <m:r>
                    <w:rPr>
                      <w:rFonts w:ascii="Cambria Math" w:eastAsia="Times New Roman" w:hAnsi="Cambria Math" w:cs="Arial"/>
                    </w:rPr>
                    <m:t>με</m:t>
                  </m:r>
                </m:num>
                <m:den>
                  <m:r>
                    <w:rPr>
                      <w:rFonts w:ascii="Cambria Math" w:eastAsia="Times New Roman" w:hAnsi="Cambria Math" w:cs="Arial"/>
                    </w:rPr>
                    <m:t>2</m:t>
                  </m:r>
                </m:den>
              </m:f>
              <m:d>
                <m:dPr>
                  <m:begChr m:val="["/>
                  <m:endChr m:val="]"/>
                  <m:ctrlPr>
                    <w:rPr>
                      <w:rFonts w:ascii="Cambria Math" w:eastAsia="Times New Roman" w:hAnsi="Cambria Math" w:cs="Arial"/>
                      <w:i/>
                    </w:rPr>
                  </m:ctrlPr>
                </m:dPr>
                <m:e>
                  <m:rad>
                    <m:radPr>
                      <m:degHide m:val="1"/>
                      <m:ctrlPr>
                        <w:rPr>
                          <w:rFonts w:ascii="Cambria Math" w:eastAsia="Times New Roman" w:hAnsi="Cambria Math" w:cs="Arial"/>
                          <w:i/>
                        </w:rPr>
                      </m:ctrlPr>
                    </m:radPr>
                    <m:deg/>
                    <m:e>
                      <m:r>
                        <w:rPr>
                          <w:rFonts w:ascii="Cambria Math" w:eastAsia="Times New Roman" w:hAnsi="Cambria Math" w:cs="Arial"/>
                        </w:rPr>
                        <m:t>1-</m:t>
                      </m:r>
                      <m:sSup>
                        <m:sSupPr>
                          <m:ctrlPr>
                            <w:rPr>
                              <w:rFonts w:ascii="Cambria Math" w:eastAsia="Times New Roman" w:hAnsi="Cambria Math" w:cs="Arial"/>
                              <w:i/>
                            </w:rPr>
                          </m:ctrlPr>
                        </m:sSupPr>
                        <m:e>
                          <m:d>
                            <m:dPr>
                              <m:ctrlPr>
                                <w:rPr>
                                  <w:rFonts w:ascii="Cambria Math" w:eastAsia="Times New Roman" w:hAnsi="Cambria Math" w:cs="Arial"/>
                                  <w:i/>
                                </w:rPr>
                              </m:ctrlPr>
                            </m:dPr>
                            <m:e>
                              <m:f>
                                <m:fPr>
                                  <m:ctrlPr>
                                    <w:rPr>
                                      <w:rFonts w:ascii="Cambria Math" w:eastAsia="Times New Roman" w:hAnsi="Cambria Math" w:cs="Arial"/>
                                      <w:i/>
                                    </w:rPr>
                                  </m:ctrlPr>
                                </m:fPr>
                                <m:num>
                                  <m:r>
                                    <w:rPr>
                                      <w:rFonts w:ascii="Cambria Math" w:eastAsia="Times New Roman" w:hAnsi="Cambria Math" w:cs="Arial"/>
                                    </w:rPr>
                                    <m:t>σ</m:t>
                                  </m:r>
                                </m:num>
                                <m:den>
                                  <m:r>
                                    <w:rPr>
                                      <w:rFonts w:ascii="Cambria Math" w:eastAsia="Times New Roman" w:hAnsi="Cambria Math" w:cs="Arial"/>
                                    </w:rPr>
                                    <m:t>ωε</m:t>
                                  </m:r>
                                </m:den>
                              </m:f>
                            </m:e>
                          </m:d>
                        </m:e>
                        <m:sup>
                          <m:r>
                            <w:rPr>
                              <w:rFonts w:ascii="Cambria Math" w:eastAsia="Times New Roman" w:hAnsi="Cambria Math" w:cs="Arial"/>
                            </w:rPr>
                            <m:t>2</m:t>
                          </m:r>
                        </m:sup>
                      </m:sSup>
                    </m:e>
                  </m:rad>
                  <m:r>
                    <w:rPr>
                      <w:rFonts w:ascii="Cambria Math" w:eastAsia="Times New Roman" w:hAnsi="Cambria Math" w:cs="Arial"/>
                    </w:rPr>
                    <m:t>-1</m:t>
                  </m:r>
                </m:e>
              </m:d>
            </m:e>
          </m:rad>
        </m:oMath>
      </m:oMathPara>
    </w:p>
    <w:p w:rsidR="00705D32" w:rsidRPr="00705D32" w:rsidRDefault="00705D32" w:rsidP="00705D32">
      <w:pPr>
        <w:jc w:val="center"/>
        <w:rPr>
          <w:rFonts w:ascii="Arial" w:eastAsia="Times New Roman" w:hAnsi="Arial" w:cs="Arial"/>
        </w:rPr>
      </w:pPr>
      <m:oMathPara>
        <m:oMath>
          <m:r>
            <w:rPr>
              <w:rFonts w:ascii="Cambria Math" w:eastAsia="Times New Roman" w:hAnsi="Cambria Math" w:cs="Arial"/>
            </w:rPr>
            <w:lastRenderedPageBreak/>
            <m:t>β=ω</m:t>
          </m:r>
          <m:rad>
            <m:radPr>
              <m:degHide m:val="1"/>
              <m:ctrlPr>
                <w:rPr>
                  <w:rFonts w:ascii="Cambria Math" w:eastAsia="Times New Roman" w:hAnsi="Cambria Math" w:cs="Arial"/>
                  <w:i/>
                </w:rPr>
              </m:ctrlPr>
            </m:radPr>
            <m:deg/>
            <m:e>
              <m:f>
                <m:fPr>
                  <m:ctrlPr>
                    <w:rPr>
                      <w:rFonts w:ascii="Cambria Math" w:eastAsia="Times New Roman" w:hAnsi="Cambria Math" w:cs="Arial"/>
                      <w:i/>
                    </w:rPr>
                  </m:ctrlPr>
                </m:fPr>
                <m:num>
                  <m:r>
                    <w:rPr>
                      <w:rFonts w:ascii="Cambria Math" w:eastAsia="Times New Roman" w:hAnsi="Cambria Math" w:cs="Arial"/>
                    </w:rPr>
                    <m:t>με</m:t>
                  </m:r>
                </m:num>
                <m:den>
                  <m:r>
                    <w:rPr>
                      <w:rFonts w:ascii="Cambria Math" w:eastAsia="Times New Roman" w:hAnsi="Cambria Math" w:cs="Arial"/>
                    </w:rPr>
                    <m:t>2</m:t>
                  </m:r>
                </m:den>
              </m:f>
              <m:d>
                <m:dPr>
                  <m:begChr m:val="["/>
                  <m:endChr m:val="]"/>
                  <m:ctrlPr>
                    <w:rPr>
                      <w:rFonts w:ascii="Cambria Math" w:eastAsia="Times New Roman" w:hAnsi="Cambria Math" w:cs="Arial"/>
                      <w:i/>
                    </w:rPr>
                  </m:ctrlPr>
                </m:dPr>
                <m:e>
                  <m:rad>
                    <m:radPr>
                      <m:degHide m:val="1"/>
                      <m:ctrlPr>
                        <w:rPr>
                          <w:rFonts w:ascii="Cambria Math" w:eastAsia="Times New Roman" w:hAnsi="Cambria Math" w:cs="Arial"/>
                          <w:i/>
                        </w:rPr>
                      </m:ctrlPr>
                    </m:radPr>
                    <m:deg/>
                    <m:e>
                      <m:r>
                        <w:rPr>
                          <w:rFonts w:ascii="Cambria Math" w:eastAsia="Times New Roman" w:hAnsi="Cambria Math" w:cs="Arial"/>
                        </w:rPr>
                        <m:t>1-</m:t>
                      </m:r>
                      <m:sSup>
                        <m:sSupPr>
                          <m:ctrlPr>
                            <w:rPr>
                              <w:rFonts w:ascii="Cambria Math" w:eastAsia="Times New Roman" w:hAnsi="Cambria Math" w:cs="Arial"/>
                              <w:i/>
                            </w:rPr>
                          </m:ctrlPr>
                        </m:sSupPr>
                        <m:e>
                          <m:d>
                            <m:dPr>
                              <m:ctrlPr>
                                <w:rPr>
                                  <w:rFonts w:ascii="Cambria Math" w:eastAsia="Times New Roman" w:hAnsi="Cambria Math" w:cs="Arial"/>
                                  <w:i/>
                                </w:rPr>
                              </m:ctrlPr>
                            </m:dPr>
                            <m:e>
                              <m:f>
                                <m:fPr>
                                  <m:ctrlPr>
                                    <w:rPr>
                                      <w:rFonts w:ascii="Cambria Math" w:eastAsia="Times New Roman" w:hAnsi="Cambria Math" w:cs="Arial"/>
                                      <w:i/>
                                    </w:rPr>
                                  </m:ctrlPr>
                                </m:fPr>
                                <m:num>
                                  <m:r>
                                    <w:rPr>
                                      <w:rFonts w:ascii="Cambria Math" w:eastAsia="Times New Roman" w:hAnsi="Cambria Math" w:cs="Arial"/>
                                    </w:rPr>
                                    <m:t>σ</m:t>
                                  </m:r>
                                </m:num>
                                <m:den>
                                  <m:r>
                                    <w:rPr>
                                      <w:rFonts w:ascii="Cambria Math" w:eastAsia="Times New Roman" w:hAnsi="Cambria Math" w:cs="Arial"/>
                                    </w:rPr>
                                    <m:t>ωε</m:t>
                                  </m:r>
                                </m:den>
                              </m:f>
                            </m:e>
                          </m:d>
                        </m:e>
                        <m:sup>
                          <m:r>
                            <w:rPr>
                              <w:rFonts w:ascii="Cambria Math" w:eastAsia="Times New Roman" w:hAnsi="Cambria Math" w:cs="Arial"/>
                            </w:rPr>
                            <m:t>2</m:t>
                          </m:r>
                        </m:sup>
                      </m:sSup>
                    </m:e>
                  </m:rad>
                  <m:r>
                    <w:rPr>
                      <w:rFonts w:ascii="Cambria Math" w:eastAsia="Times New Roman" w:hAnsi="Cambria Math" w:cs="Arial"/>
                    </w:rPr>
                    <m:t>+1</m:t>
                  </m:r>
                </m:e>
              </m:d>
            </m:e>
          </m:rad>
        </m:oMath>
      </m:oMathPara>
    </w:p>
    <w:p w:rsidR="00705D32" w:rsidRDefault="00705D32" w:rsidP="00705D32">
      <w:pPr>
        <w:jc w:val="both"/>
        <w:rPr>
          <w:rFonts w:ascii="Arial" w:eastAsia="Times New Roman" w:hAnsi="Arial" w:cs="Arial"/>
        </w:rPr>
      </w:pPr>
      <w:r>
        <w:rPr>
          <w:rFonts w:ascii="Arial" w:eastAsia="Times New Roman" w:hAnsi="Arial" w:cs="Arial"/>
        </w:rPr>
        <w:t>Aplicando el factor de atenuación y fase al modelo y teniendo en cuentas las consideraciones del modelo, se obtuvo la solución que es el modelo propuesto:</w:t>
      </w:r>
    </w:p>
    <w:tbl>
      <w:tblPr>
        <w:tblW w:w="0" w:type="auto"/>
        <w:tblLook w:val="04A0" w:firstRow="1" w:lastRow="0" w:firstColumn="1" w:lastColumn="0" w:noHBand="0" w:noVBand="1"/>
      </w:tblPr>
      <w:tblGrid>
        <w:gridCol w:w="8330"/>
        <w:gridCol w:w="648"/>
      </w:tblGrid>
      <w:tr w:rsidR="00705D32" w:rsidRPr="00EB4E35" w:rsidTr="00B81843">
        <w:tc>
          <w:tcPr>
            <w:tcW w:w="8330" w:type="dxa"/>
            <w:shd w:val="clear" w:color="auto" w:fill="auto"/>
          </w:tcPr>
          <w:p w:rsidR="00705D32" w:rsidRPr="00705D32" w:rsidRDefault="00705D32" w:rsidP="00B81843">
            <w:pPr>
              <w:jc w:val="center"/>
              <w:rPr>
                <w:rFonts w:ascii="Arial" w:hAnsi="Arial" w:cs="Arial"/>
              </w:rPr>
            </w:pPr>
            <m:oMathPara>
              <m:oMath>
                <m:r>
                  <w:rPr>
                    <w:rFonts w:ascii="Cambria Math" w:eastAsia="Times New Roman" w:hAnsi="Cambria Math" w:cs="Arial"/>
                  </w:rPr>
                  <m:t>I</m:t>
                </m:r>
                <m:d>
                  <m:dPr>
                    <m:ctrlPr>
                      <w:rPr>
                        <w:rFonts w:ascii="Cambria Math" w:eastAsia="Times New Roman" w:hAnsi="Arial" w:cs="Arial"/>
                        <w:i/>
                      </w:rPr>
                    </m:ctrlPr>
                  </m:dPr>
                  <m:e>
                    <m:r>
                      <w:rPr>
                        <w:rFonts w:ascii="Cambria Math" w:eastAsia="Times New Roman" w:hAnsi="Cambria Math" w:cs="Arial"/>
                      </w:rPr>
                      <m:t>r</m:t>
                    </m:r>
                    <m:r>
                      <w:rPr>
                        <w:rFonts w:ascii="Cambria Math" w:eastAsia="Times New Roman" w:hAnsi="Arial" w:cs="Arial"/>
                      </w:rPr>
                      <m:t>,</m:t>
                    </m:r>
                    <m:r>
                      <w:rPr>
                        <w:rFonts w:ascii="Cambria Math" w:eastAsia="Times New Roman" w:hAnsi="Cambria Math" w:cs="Arial"/>
                      </w:rPr>
                      <m:t>θ,t</m:t>
                    </m:r>
                  </m:e>
                </m:d>
                <m:r>
                  <w:rPr>
                    <w:rFonts w:ascii="Cambria Math" w:eastAsia="Times New Roman" w:hAnsi="Arial" w:cs="Arial"/>
                  </w:rPr>
                  <m:t>=</m:t>
                </m:r>
                <m:sSub>
                  <m:sSubPr>
                    <m:ctrlPr>
                      <w:rPr>
                        <w:rFonts w:ascii="Cambria Math" w:eastAsia="Times New Roman" w:hAnsi="Arial" w:cs="Arial"/>
                        <w:i/>
                      </w:rPr>
                    </m:ctrlPr>
                  </m:sSubPr>
                  <m:e>
                    <m:r>
                      <w:rPr>
                        <w:rFonts w:ascii="Cambria Math" w:eastAsia="Times New Roman" w:hAnsi="Cambria Math" w:cs="Arial"/>
                      </w:rPr>
                      <m:t>I</m:t>
                    </m:r>
                  </m:e>
                  <m:sub>
                    <m:r>
                      <w:rPr>
                        <w:rFonts w:ascii="Cambria Math" w:eastAsia="Times New Roman" w:hAnsi="Arial" w:cs="Arial"/>
                      </w:rPr>
                      <m:t>0</m:t>
                    </m:r>
                  </m:sub>
                </m:sSub>
                <m:sSup>
                  <m:sSupPr>
                    <m:ctrlPr>
                      <w:rPr>
                        <w:rFonts w:ascii="Cambria Math" w:eastAsia="Times New Roman" w:hAnsi="Arial" w:cs="Arial"/>
                        <w:i/>
                      </w:rPr>
                    </m:ctrlPr>
                  </m:sSupPr>
                  <m:e>
                    <m:r>
                      <w:rPr>
                        <w:rFonts w:ascii="Cambria Math" w:eastAsia="Times New Roman" w:hAnsi="Cambria Math" w:cs="Arial"/>
                      </w:rPr>
                      <m:t>e</m:t>
                    </m:r>
                  </m:e>
                  <m:sup>
                    <m:r>
                      <w:rPr>
                        <w:rFonts w:ascii="Cambria Math" w:eastAsia="Times New Roman" w:hAnsi="Cambria Math" w:cs="Arial"/>
                      </w:rPr>
                      <m:t>-ω</m:t>
                    </m:r>
                    <m:rad>
                      <m:radPr>
                        <m:degHide m:val="1"/>
                        <m:ctrlPr>
                          <w:rPr>
                            <w:rFonts w:ascii="Cambria Math" w:eastAsia="Times New Roman" w:hAnsi="Cambria Math" w:cs="Arial"/>
                            <w:i/>
                          </w:rPr>
                        </m:ctrlPr>
                      </m:radPr>
                      <m:deg/>
                      <m:e>
                        <m:f>
                          <m:fPr>
                            <m:ctrlPr>
                              <w:rPr>
                                <w:rFonts w:ascii="Cambria Math" w:eastAsia="Times New Roman" w:hAnsi="Cambria Math" w:cs="Arial"/>
                                <w:i/>
                              </w:rPr>
                            </m:ctrlPr>
                          </m:fPr>
                          <m:num>
                            <m:r>
                              <w:rPr>
                                <w:rFonts w:ascii="Cambria Math" w:eastAsia="Times New Roman" w:hAnsi="Cambria Math" w:cs="Arial"/>
                              </w:rPr>
                              <m:t>με</m:t>
                            </m:r>
                          </m:num>
                          <m:den>
                            <m:r>
                              <w:rPr>
                                <w:rFonts w:ascii="Cambria Math" w:eastAsia="Times New Roman" w:hAnsi="Cambria Math" w:cs="Arial"/>
                              </w:rPr>
                              <m:t>2</m:t>
                            </m:r>
                          </m:den>
                        </m:f>
                        <m:d>
                          <m:dPr>
                            <m:begChr m:val="["/>
                            <m:endChr m:val="]"/>
                            <m:ctrlPr>
                              <w:rPr>
                                <w:rFonts w:ascii="Cambria Math" w:eastAsia="Times New Roman" w:hAnsi="Cambria Math" w:cs="Arial"/>
                                <w:i/>
                              </w:rPr>
                            </m:ctrlPr>
                          </m:dPr>
                          <m:e>
                            <m:rad>
                              <m:radPr>
                                <m:degHide m:val="1"/>
                                <m:ctrlPr>
                                  <w:rPr>
                                    <w:rFonts w:ascii="Cambria Math" w:eastAsia="Times New Roman" w:hAnsi="Cambria Math" w:cs="Arial"/>
                                    <w:i/>
                                  </w:rPr>
                                </m:ctrlPr>
                              </m:radPr>
                              <m:deg/>
                              <m:e>
                                <m:r>
                                  <w:rPr>
                                    <w:rFonts w:ascii="Cambria Math" w:eastAsia="Times New Roman" w:hAnsi="Cambria Math" w:cs="Arial"/>
                                  </w:rPr>
                                  <m:t>1-</m:t>
                                </m:r>
                                <m:sSup>
                                  <m:sSupPr>
                                    <m:ctrlPr>
                                      <w:rPr>
                                        <w:rFonts w:ascii="Cambria Math" w:eastAsia="Times New Roman" w:hAnsi="Cambria Math" w:cs="Arial"/>
                                        <w:i/>
                                      </w:rPr>
                                    </m:ctrlPr>
                                  </m:sSupPr>
                                  <m:e>
                                    <m:d>
                                      <m:dPr>
                                        <m:ctrlPr>
                                          <w:rPr>
                                            <w:rFonts w:ascii="Cambria Math" w:eastAsia="Times New Roman" w:hAnsi="Cambria Math" w:cs="Arial"/>
                                            <w:i/>
                                          </w:rPr>
                                        </m:ctrlPr>
                                      </m:dPr>
                                      <m:e>
                                        <m:f>
                                          <m:fPr>
                                            <m:ctrlPr>
                                              <w:rPr>
                                                <w:rFonts w:ascii="Cambria Math" w:eastAsia="Times New Roman" w:hAnsi="Cambria Math" w:cs="Arial"/>
                                                <w:i/>
                                              </w:rPr>
                                            </m:ctrlPr>
                                          </m:fPr>
                                          <m:num>
                                            <m:r>
                                              <w:rPr>
                                                <w:rFonts w:ascii="Cambria Math" w:eastAsia="Times New Roman" w:hAnsi="Cambria Math" w:cs="Arial"/>
                                              </w:rPr>
                                              <m:t>σ</m:t>
                                            </m:r>
                                          </m:num>
                                          <m:den>
                                            <m:r>
                                              <w:rPr>
                                                <w:rFonts w:ascii="Cambria Math" w:eastAsia="Times New Roman" w:hAnsi="Cambria Math" w:cs="Arial"/>
                                              </w:rPr>
                                              <m:t>ωε</m:t>
                                            </m:r>
                                          </m:den>
                                        </m:f>
                                      </m:e>
                                    </m:d>
                                  </m:e>
                                  <m:sup>
                                    <m:r>
                                      <w:rPr>
                                        <w:rFonts w:ascii="Cambria Math" w:eastAsia="Times New Roman" w:hAnsi="Cambria Math" w:cs="Arial"/>
                                      </w:rPr>
                                      <m:t>2</m:t>
                                    </m:r>
                                  </m:sup>
                                </m:sSup>
                              </m:e>
                            </m:rad>
                            <m:r>
                              <w:rPr>
                                <w:rFonts w:ascii="Cambria Math" w:eastAsia="Times New Roman" w:hAnsi="Cambria Math" w:cs="Arial"/>
                              </w:rPr>
                              <m:t>-1</m:t>
                            </m:r>
                          </m:e>
                        </m:d>
                      </m:e>
                    </m:rad>
                    <m:r>
                      <w:rPr>
                        <w:rFonts w:ascii="Cambria Math" w:eastAsia="Times New Roman" w:hAnsi="Cambria Math" w:cs="Arial"/>
                      </w:rPr>
                      <m:t>∙r</m:t>
                    </m:r>
                  </m:sup>
                </m:sSup>
                <m:sSup>
                  <m:sSupPr>
                    <m:ctrlPr>
                      <w:rPr>
                        <w:rFonts w:ascii="Cambria Math" w:eastAsia="Times New Roman" w:hAnsi="Arial" w:cs="Arial"/>
                        <w:i/>
                      </w:rPr>
                    </m:ctrlPr>
                  </m:sSupPr>
                  <m:e>
                    <m:r>
                      <w:rPr>
                        <w:rFonts w:ascii="Cambria Math" w:eastAsia="Times New Roman" w:hAnsi="Cambria Math" w:cs="Arial"/>
                      </w:rPr>
                      <m:t>e</m:t>
                    </m:r>
                  </m:e>
                  <m:sup>
                    <m:r>
                      <w:rPr>
                        <w:rFonts w:ascii="Cambria Math" w:eastAsia="Times New Roman" w:hAnsi="Arial" w:cs="Arial"/>
                      </w:rPr>
                      <m:t>-</m:t>
                    </m:r>
                    <m:r>
                      <w:rPr>
                        <w:rFonts w:ascii="Cambria Math" w:eastAsia="Times New Roman" w:hAnsi="Arial" w:cs="Arial"/>
                      </w:rPr>
                      <m:t>j</m:t>
                    </m:r>
                    <m:d>
                      <m:dPr>
                        <m:ctrlPr>
                          <w:rPr>
                            <w:rFonts w:ascii="Cambria Math" w:eastAsia="Times New Roman" w:hAnsi="Arial" w:cs="Arial"/>
                            <w:i/>
                          </w:rPr>
                        </m:ctrlPr>
                      </m:dPr>
                      <m:e>
                        <m:r>
                          <w:rPr>
                            <w:rFonts w:ascii="Cambria Math" w:eastAsia="Times New Roman" w:hAnsi="Cambria Math" w:cs="Arial"/>
                          </w:rPr>
                          <m:t>ω</m:t>
                        </m:r>
                        <m:rad>
                          <m:radPr>
                            <m:degHide m:val="1"/>
                            <m:ctrlPr>
                              <w:rPr>
                                <w:rFonts w:ascii="Cambria Math" w:eastAsia="Times New Roman" w:hAnsi="Cambria Math" w:cs="Arial"/>
                                <w:i/>
                              </w:rPr>
                            </m:ctrlPr>
                          </m:radPr>
                          <m:deg/>
                          <m:e>
                            <m:f>
                              <m:fPr>
                                <m:ctrlPr>
                                  <w:rPr>
                                    <w:rFonts w:ascii="Cambria Math" w:eastAsia="Times New Roman" w:hAnsi="Cambria Math" w:cs="Arial"/>
                                    <w:i/>
                                  </w:rPr>
                                </m:ctrlPr>
                              </m:fPr>
                              <m:num>
                                <m:r>
                                  <w:rPr>
                                    <w:rFonts w:ascii="Cambria Math" w:eastAsia="Times New Roman" w:hAnsi="Cambria Math" w:cs="Arial"/>
                                  </w:rPr>
                                  <m:t>με</m:t>
                                </m:r>
                              </m:num>
                              <m:den>
                                <m:r>
                                  <w:rPr>
                                    <w:rFonts w:ascii="Cambria Math" w:eastAsia="Times New Roman" w:hAnsi="Cambria Math" w:cs="Arial"/>
                                  </w:rPr>
                                  <m:t>2</m:t>
                                </m:r>
                              </m:den>
                            </m:f>
                            <m:d>
                              <m:dPr>
                                <m:begChr m:val="["/>
                                <m:endChr m:val="]"/>
                                <m:ctrlPr>
                                  <w:rPr>
                                    <w:rFonts w:ascii="Cambria Math" w:eastAsia="Times New Roman" w:hAnsi="Cambria Math" w:cs="Arial"/>
                                    <w:i/>
                                  </w:rPr>
                                </m:ctrlPr>
                              </m:dPr>
                              <m:e>
                                <m:rad>
                                  <m:radPr>
                                    <m:degHide m:val="1"/>
                                    <m:ctrlPr>
                                      <w:rPr>
                                        <w:rFonts w:ascii="Cambria Math" w:eastAsia="Times New Roman" w:hAnsi="Cambria Math" w:cs="Arial"/>
                                        <w:i/>
                                      </w:rPr>
                                    </m:ctrlPr>
                                  </m:radPr>
                                  <m:deg/>
                                  <m:e>
                                    <m:r>
                                      <w:rPr>
                                        <w:rFonts w:ascii="Cambria Math" w:eastAsia="Times New Roman" w:hAnsi="Cambria Math" w:cs="Arial"/>
                                      </w:rPr>
                                      <m:t>1-</m:t>
                                    </m:r>
                                    <m:sSup>
                                      <m:sSupPr>
                                        <m:ctrlPr>
                                          <w:rPr>
                                            <w:rFonts w:ascii="Cambria Math" w:eastAsia="Times New Roman" w:hAnsi="Cambria Math" w:cs="Arial"/>
                                            <w:i/>
                                          </w:rPr>
                                        </m:ctrlPr>
                                      </m:sSupPr>
                                      <m:e>
                                        <m:d>
                                          <m:dPr>
                                            <m:ctrlPr>
                                              <w:rPr>
                                                <w:rFonts w:ascii="Cambria Math" w:eastAsia="Times New Roman" w:hAnsi="Cambria Math" w:cs="Arial"/>
                                                <w:i/>
                                              </w:rPr>
                                            </m:ctrlPr>
                                          </m:dPr>
                                          <m:e>
                                            <m:f>
                                              <m:fPr>
                                                <m:ctrlPr>
                                                  <w:rPr>
                                                    <w:rFonts w:ascii="Cambria Math" w:eastAsia="Times New Roman" w:hAnsi="Cambria Math" w:cs="Arial"/>
                                                    <w:i/>
                                                  </w:rPr>
                                                </m:ctrlPr>
                                              </m:fPr>
                                              <m:num>
                                                <m:r>
                                                  <w:rPr>
                                                    <w:rFonts w:ascii="Cambria Math" w:eastAsia="Times New Roman" w:hAnsi="Cambria Math" w:cs="Arial"/>
                                                  </w:rPr>
                                                  <m:t>σ</m:t>
                                                </m:r>
                                              </m:num>
                                              <m:den>
                                                <m:r>
                                                  <w:rPr>
                                                    <w:rFonts w:ascii="Cambria Math" w:eastAsia="Times New Roman" w:hAnsi="Cambria Math" w:cs="Arial"/>
                                                  </w:rPr>
                                                  <m:t>ωε</m:t>
                                                </m:r>
                                              </m:den>
                                            </m:f>
                                          </m:e>
                                        </m:d>
                                      </m:e>
                                      <m:sup>
                                        <m:r>
                                          <w:rPr>
                                            <w:rFonts w:ascii="Cambria Math" w:eastAsia="Times New Roman" w:hAnsi="Cambria Math" w:cs="Arial"/>
                                          </w:rPr>
                                          <m:t>2</m:t>
                                        </m:r>
                                      </m:sup>
                                    </m:sSup>
                                  </m:e>
                                </m:rad>
                                <m:r>
                                  <w:rPr>
                                    <w:rFonts w:ascii="Cambria Math" w:eastAsia="Times New Roman" w:hAnsi="Cambria Math" w:cs="Arial"/>
                                  </w:rPr>
                                  <m:t>-1</m:t>
                                </m:r>
                              </m:e>
                            </m:d>
                          </m:e>
                        </m:rad>
                      </m:e>
                    </m:d>
                  </m:sup>
                </m:sSup>
                <m:sSup>
                  <m:sSupPr>
                    <m:ctrlPr>
                      <w:rPr>
                        <w:rFonts w:ascii="Cambria Math" w:eastAsia="Times New Roman" w:hAnsi="Cambria Math" w:cs="Arial"/>
                        <w:i/>
                      </w:rPr>
                    </m:ctrlPr>
                  </m:sSupPr>
                  <m:e>
                    <m:r>
                      <w:rPr>
                        <w:rFonts w:ascii="Cambria Math" w:eastAsia="Times New Roman" w:hAnsi="Cambria Math" w:cs="Arial"/>
                      </w:rPr>
                      <m:t>e</m:t>
                    </m:r>
                  </m:e>
                  <m:sup>
                    <m:r>
                      <w:rPr>
                        <w:rFonts w:ascii="Cambria Math" w:eastAsia="Times New Roman" w:hAnsi="Cambria Math" w:cs="Arial"/>
                      </w:rPr>
                      <m:t>jωt</m:t>
                    </m:r>
                  </m:sup>
                </m:sSup>
              </m:oMath>
            </m:oMathPara>
          </w:p>
        </w:tc>
        <w:tc>
          <w:tcPr>
            <w:tcW w:w="648" w:type="dxa"/>
            <w:shd w:val="clear" w:color="auto" w:fill="auto"/>
          </w:tcPr>
          <w:p w:rsidR="00705D32" w:rsidRPr="0052084F" w:rsidRDefault="00705D32" w:rsidP="00B81843">
            <w:pPr>
              <w:rPr>
                <w:rFonts w:ascii="Arial" w:hAnsi="Arial" w:cs="Arial"/>
              </w:rPr>
            </w:pPr>
            <w:r w:rsidRPr="0052084F">
              <w:rPr>
                <w:rFonts w:ascii="Arial" w:hAnsi="Arial" w:cs="Arial"/>
              </w:rPr>
              <w:t>(13)</w:t>
            </w:r>
          </w:p>
        </w:tc>
      </w:tr>
    </w:tbl>
    <w:p w:rsidR="00705D32" w:rsidRDefault="00705D32" w:rsidP="00705D32">
      <w:pPr>
        <w:jc w:val="both"/>
        <w:rPr>
          <w:rFonts w:ascii="Arial" w:eastAsia="Times New Roman" w:hAnsi="Arial" w:cs="Arial"/>
        </w:rPr>
      </w:pPr>
    </w:p>
    <w:p w:rsidR="00705D32" w:rsidRDefault="00705D32" w:rsidP="00705D32">
      <w:pPr>
        <w:jc w:val="both"/>
        <w:rPr>
          <w:rFonts w:ascii="Arial" w:eastAsia="Times New Roman" w:hAnsi="Arial" w:cs="Arial"/>
        </w:rPr>
      </w:pPr>
      <w:r>
        <w:rPr>
          <w:rFonts w:ascii="Arial" w:eastAsia="Times New Roman" w:hAnsi="Arial" w:cs="Arial"/>
        </w:rPr>
        <w:t>El medio participante se puede examinar, a nivel electromagnético, mediante el análisis de la conductividad eléctrica, lo cual supone   explorar las características electromagnéticas del medio tales como la permeabilidad magnética, permitividad eléctrica, conductividad eléctrica, y frecuencia de la onda electromagnética incidente.</w:t>
      </w:r>
    </w:p>
    <w:p w:rsidR="00705D32" w:rsidRPr="00EB4E35" w:rsidRDefault="00705D32" w:rsidP="00705D32">
      <w:pPr>
        <w:rPr>
          <w:rFonts w:ascii="Arial" w:hAnsi="Arial" w:cs="Arial"/>
        </w:rPr>
      </w:pPr>
      <w:r w:rsidRPr="00EB4E35">
        <w:rPr>
          <w:rFonts w:ascii="Arial" w:hAnsi="Arial" w:cs="Arial"/>
        </w:rPr>
        <w:t xml:space="preserve">El factor de propagación de una onda electromagnética en cualquier medio, con densidad de carga despreciable, está dado por: </w:t>
      </w:r>
    </w:p>
    <w:tbl>
      <w:tblPr>
        <w:tblW w:w="0" w:type="auto"/>
        <w:tblLook w:val="04A0" w:firstRow="1" w:lastRow="0" w:firstColumn="1" w:lastColumn="0" w:noHBand="0" w:noVBand="1"/>
      </w:tblPr>
      <w:tblGrid>
        <w:gridCol w:w="8330"/>
        <w:gridCol w:w="648"/>
      </w:tblGrid>
      <w:tr w:rsidR="00705D32" w:rsidRPr="00EB4E35" w:rsidTr="00B81843">
        <w:tc>
          <w:tcPr>
            <w:tcW w:w="8330" w:type="dxa"/>
            <w:shd w:val="clear" w:color="auto" w:fill="auto"/>
          </w:tcPr>
          <w:p w:rsidR="00705D32" w:rsidRPr="00705D32" w:rsidRDefault="00705D32" w:rsidP="00B81843">
            <w:pPr>
              <w:jc w:val="center"/>
              <w:rPr>
                <w:rFonts w:ascii="Arial" w:hAnsi="Arial" w:cs="Arial"/>
              </w:rPr>
            </w:pPr>
            <m:oMathPara>
              <m:oMath>
                <m:r>
                  <w:rPr>
                    <w:rFonts w:ascii="Cambria Math" w:hAnsi="Cambria Math" w:cs="Arial"/>
                  </w:rPr>
                  <m:t>γ=</m:t>
                </m:r>
                <m:sSup>
                  <m:sSupPr>
                    <m:ctrlPr>
                      <w:rPr>
                        <w:rFonts w:ascii="Cambria Math" w:hAnsi="Cambria Math" w:cs="Arial"/>
                        <w:i/>
                      </w:rPr>
                    </m:ctrlPr>
                  </m:sSupPr>
                  <m:e>
                    <m:d>
                      <m:dPr>
                        <m:begChr m:val="["/>
                        <m:endChr m:val="]"/>
                        <m:ctrlPr>
                          <w:rPr>
                            <w:rFonts w:ascii="Cambria Math" w:hAnsi="Cambria Math" w:cs="Arial"/>
                            <w:i/>
                          </w:rPr>
                        </m:ctrlPr>
                      </m:dPr>
                      <m:e>
                        <m:r>
                          <w:rPr>
                            <w:rFonts w:ascii="Cambria Math" w:hAnsi="Cambria Math" w:cs="Arial"/>
                          </w:rPr>
                          <m:t>jωμ</m:t>
                        </m:r>
                        <m:d>
                          <m:dPr>
                            <m:ctrlPr>
                              <w:rPr>
                                <w:rFonts w:ascii="Cambria Math" w:hAnsi="Cambria Math" w:cs="Arial"/>
                                <w:i/>
                              </w:rPr>
                            </m:ctrlPr>
                          </m:dPr>
                          <m:e>
                            <m:r>
                              <w:rPr>
                                <w:rFonts w:ascii="Cambria Math" w:hAnsi="Cambria Math" w:cs="Arial"/>
                              </w:rPr>
                              <m:t>σ+jωϵ</m:t>
                            </m:r>
                          </m:e>
                        </m:d>
                      </m:e>
                    </m:d>
                  </m:e>
                  <m:sup>
                    <m:r>
                      <w:rPr>
                        <w:rFonts w:ascii="Cambria Math" w:hAnsi="Cambria Math" w:cs="Arial"/>
                      </w:rPr>
                      <m:t>1/2</m:t>
                    </m:r>
                  </m:sup>
                </m:sSup>
              </m:oMath>
            </m:oMathPara>
          </w:p>
        </w:tc>
        <w:tc>
          <w:tcPr>
            <w:tcW w:w="648" w:type="dxa"/>
            <w:shd w:val="clear" w:color="auto" w:fill="auto"/>
          </w:tcPr>
          <w:p w:rsidR="00705D32" w:rsidRPr="0052084F" w:rsidRDefault="00705D32" w:rsidP="00B81843">
            <w:pPr>
              <w:rPr>
                <w:rFonts w:ascii="Arial" w:hAnsi="Arial" w:cs="Arial"/>
              </w:rPr>
            </w:pPr>
            <w:r w:rsidRPr="0052084F">
              <w:rPr>
                <w:rFonts w:ascii="Arial" w:hAnsi="Arial" w:cs="Arial"/>
              </w:rPr>
              <w:t>(14)</w:t>
            </w:r>
          </w:p>
        </w:tc>
      </w:tr>
    </w:tbl>
    <w:p w:rsidR="00705D32" w:rsidRPr="00BD06F7" w:rsidRDefault="00705D32" w:rsidP="00705D32">
      <w:pPr>
        <w:rPr>
          <w:rFonts w:ascii="Arial" w:eastAsia="Times New Roman" w:hAnsi="Arial" w:cs="Arial"/>
        </w:rPr>
      </w:pPr>
      <w:r w:rsidRPr="00EB4E35">
        <w:rPr>
          <w:rFonts w:ascii="Arial" w:hAnsi="Arial" w:cs="Arial"/>
        </w:rPr>
        <w:t xml:space="preserve">En un medio sin conductividad, </w:t>
      </w:r>
      <m:oMath>
        <m:r>
          <w:rPr>
            <w:rFonts w:ascii="Cambria Math" w:hAnsi="Cambria Math" w:cs="Arial"/>
          </w:rPr>
          <m:t>σ=0</m:t>
        </m:r>
      </m:oMath>
      <w:r w:rsidRPr="00BD06F7">
        <w:rPr>
          <w:rFonts w:ascii="Arial" w:eastAsia="Times New Roman" w:hAnsi="Arial" w:cs="Arial"/>
        </w:rPr>
        <w:t xml:space="preserve"> la Ec. 14, toma la forma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0"/>
        <w:gridCol w:w="648"/>
      </w:tblGrid>
      <w:tr w:rsidR="00705D32" w:rsidRPr="00EB4E35" w:rsidTr="00B81843">
        <w:tc>
          <w:tcPr>
            <w:tcW w:w="8330" w:type="dxa"/>
            <w:tcBorders>
              <w:top w:val="nil"/>
              <w:left w:val="nil"/>
              <w:bottom w:val="nil"/>
              <w:right w:val="nil"/>
            </w:tcBorders>
            <w:shd w:val="clear" w:color="auto" w:fill="auto"/>
          </w:tcPr>
          <w:p w:rsidR="00705D32" w:rsidRPr="00705D32" w:rsidRDefault="00705D32" w:rsidP="00B81843">
            <w:pPr>
              <w:jc w:val="center"/>
              <w:rPr>
                <w:rFonts w:ascii="Arial" w:hAnsi="Arial" w:cs="Arial"/>
              </w:rPr>
            </w:pPr>
            <m:oMathPara>
              <m:oMath>
                <m:r>
                  <w:rPr>
                    <w:rFonts w:ascii="Cambria Math" w:hAnsi="Cambria Math" w:cs="Arial"/>
                  </w:rPr>
                  <m:t>γ=</m:t>
                </m:r>
                <m:sSup>
                  <m:sSupPr>
                    <m:ctrlPr>
                      <w:rPr>
                        <w:rFonts w:ascii="Cambria Math" w:hAnsi="Cambria Math" w:cs="Arial"/>
                        <w:i/>
                      </w:rPr>
                    </m:ctrlPr>
                  </m:sSupPr>
                  <m:e>
                    <m:d>
                      <m:dPr>
                        <m:begChr m:val="["/>
                        <m:endChr m:val="]"/>
                        <m:ctrlPr>
                          <w:rPr>
                            <w:rFonts w:ascii="Cambria Math" w:hAnsi="Cambria Math" w:cs="Arial"/>
                            <w:i/>
                          </w:rPr>
                        </m:ctrlPr>
                      </m:dPr>
                      <m:e>
                        <m:r>
                          <w:rPr>
                            <w:rFonts w:ascii="Cambria Math" w:hAnsi="Cambria Math" w:cs="Arial"/>
                          </w:rPr>
                          <m:t>jωμ</m:t>
                        </m:r>
                        <m:d>
                          <m:dPr>
                            <m:ctrlPr>
                              <w:rPr>
                                <w:rFonts w:ascii="Cambria Math" w:hAnsi="Cambria Math" w:cs="Arial"/>
                                <w:i/>
                              </w:rPr>
                            </m:ctrlPr>
                          </m:dPr>
                          <m:e>
                            <m:r>
                              <w:rPr>
                                <w:rFonts w:ascii="Cambria Math" w:hAnsi="Cambria Math" w:cs="Arial"/>
                              </w:rPr>
                              <m:t>jωϵ</m:t>
                            </m:r>
                          </m:e>
                        </m:d>
                      </m:e>
                    </m:d>
                  </m:e>
                  <m:sup>
                    <m:r>
                      <w:rPr>
                        <w:rFonts w:ascii="Cambria Math" w:hAnsi="Cambria Math" w:cs="Arial"/>
                      </w:rPr>
                      <m:t>1/2</m:t>
                    </m:r>
                  </m:sup>
                </m:sSup>
                <m:r>
                  <w:rPr>
                    <w:rFonts w:ascii="Cambria Math" w:hAnsi="Cambria Math" w:cs="Arial"/>
                  </w:rPr>
                  <m:t>=jω</m:t>
                </m:r>
                <m:rad>
                  <m:radPr>
                    <m:degHide m:val="1"/>
                    <m:ctrlPr>
                      <w:rPr>
                        <w:rFonts w:ascii="Cambria Math" w:hAnsi="Cambria Math" w:cs="Arial"/>
                        <w:i/>
                      </w:rPr>
                    </m:ctrlPr>
                  </m:radPr>
                  <m:deg/>
                  <m:e>
                    <m:r>
                      <w:rPr>
                        <w:rFonts w:ascii="Cambria Math" w:hAnsi="Cambria Math" w:cs="Arial"/>
                      </w:rPr>
                      <m:t>μϵ</m:t>
                    </m:r>
                  </m:e>
                </m:rad>
              </m:oMath>
            </m:oMathPara>
          </w:p>
        </w:tc>
        <w:tc>
          <w:tcPr>
            <w:tcW w:w="648" w:type="dxa"/>
            <w:tcBorders>
              <w:top w:val="nil"/>
              <w:left w:val="nil"/>
              <w:bottom w:val="nil"/>
              <w:right w:val="nil"/>
            </w:tcBorders>
            <w:shd w:val="clear" w:color="auto" w:fill="auto"/>
          </w:tcPr>
          <w:p w:rsidR="00705D32" w:rsidRPr="0052084F" w:rsidRDefault="00705D32" w:rsidP="00B81843">
            <w:pPr>
              <w:rPr>
                <w:rFonts w:ascii="Arial" w:hAnsi="Arial" w:cs="Arial"/>
              </w:rPr>
            </w:pPr>
          </w:p>
        </w:tc>
      </w:tr>
    </w:tbl>
    <w:p w:rsidR="00705D32" w:rsidRDefault="00705D32" w:rsidP="00705D32">
      <w:pPr>
        <w:rPr>
          <w:rFonts w:ascii="Arial" w:hAnsi="Arial" w:cs="Arial"/>
        </w:rPr>
      </w:pPr>
      <w:r>
        <w:rPr>
          <w:rFonts w:ascii="Arial" w:hAnsi="Arial" w:cs="Arial"/>
        </w:rPr>
        <w:t>Lo que indica que la onda electromagnética no presenta atenuación y por tanto Ec. 13 toma la forma</w:t>
      </w:r>
    </w:p>
    <w:p w:rsidR="00705D32" w:rsidRPr="00705D32" w:rsidRDefault="00705D32" w:rsidP="00705D32">
      <w:pPr>
        <w:jc w:val="center"/>
        <w:rPr>
          <w:rFonts w:ascii="Arial" w:eastAsia="Times New Roman" w:hAnsi="Arial" w:cs="Arial"/>
        </w:rPr>
      </w:pPr>
      <m:oMathPara>
        <m:oMath>
          <m:r>
            <w:rPr>
              <w:rFonts w:ascii="Cambria Math" w:eastAsia="Times New Roman" w:hAnsi="Cambria Math" w:cs="Arial"/>
            </w:rPr>
            <m:t>I</m:t>
          </m:r>
          <m:r>
            <w:rPr>
              <w:rFonts w:ascii="Cambria Math" w:eastAsia="Times New Roman" w:hAnsi="Arial" w:cs="Arial"/>
            </w:rPr>
            <m:t>=</m:t>
          </m:r>
          <m:sSub>
            <m:sSubPr>
              <m:ctrlPr>
                <w:rPr>
                  <w:rFonts w:ascii="Cambria Math" w:eastAsia="Times New Roman" w:hAnsi="Arial" w:cs="Arial"/>
                  <w:i/>
                </w:rPr>
              </m:ctrlPr>
            </m:sSubPr>
            <m:e>
              <m:r>
                <w:rPr>
                  <w:rFonts w:ascii="Cambria Math" w:eastAsia="Times New Roman" w:hAnsi="Cambria Math" w:cs="Arial"/>
                </w:rPr>
                <m:t>I</m:t>
              </m:r>
            </m:e>
            <m:sub>
              <m:r>
                <w:rPr>
                  <w:rFonts w:ascii="Cambria Math" w:eastAsia="Times New Roman" w:hAnsi="Arial" w:cs="Arial"/>
                </w:rPr>
                <m:t>0</m:t>
              </m:r>
            </m:sub>
          </m:sSub>
          <m:sSup>
            <m:sSupPr>
              <m:ctrlPr>
                <w:rPr>
                  <w:rFonts w:ascii="Cambria Math" w:eastAsia="Times New Roman" w:hAnsi="Arial" w:cs="Arial"/>
                  <w:i/>
                </w:rPr>
              </m:ctrlPr>
            </m:sSupPr>
            <m:e>
              <m:r>
                <w:rPr>
                  <w:rFonts w:ascii="Cambria Math" w:eastAsia="Times New Roman" w:hAnsi="Cambria Math" w:cs="Arial"/>
                </w:rPr>
                <m:t>e</m:t>
              </m:r>
            </m:e>
            <m:sup>
              <m:r>
                <w:rPr>
                  <w:rFonts w:ascii="Cambria Math" w:eastAsia="Times New Roman" w:hAnsi="Arial" w:cs="Arial"/>
                </w:rPr>
                <m:t>-</m:t>
              </m:r>
              <m:r>
                <w:rPr>
                  <w:rFonts w:ascii="Cambria Math" w:eastAsia="Times New Roman" w:hAnsi="Arial" w:cs="Arial"/>
                </w:rPr>
                <m:t>j</m:t>
              </m:r>
              <m:d>
                <m:dPr>
                  <m:ctrlPr>
                    <w:rPr>
                      <w:rFonts w:ascii="Cambria Math" w:eastAsia="Times New Roman" w:hAnsi="Arial" w:cs="Arial"/>
                      <w:i/>
                    </w:rPr>
                  </m:ctrlPr>
                </m:dPr>
                <m:e>
                  <m:r>
                    <w:rPr>
                      <w:rFonts w:ascii="Cambria Math" w:eastAsia="Times New Roman" w:hAnsi="Cambria Math" w:cs="Arial"/>
                    </w:rPr>
                    <m:t>ω</m:t>
                  </m:r>
                  <m:rad>
                    <m:radPr>
                      <m:degHide m:val="1"/>
                      <m:ctrlPr>
                        <w:rPr>
                          <w:rFonts w:ascii="Cambria Math" w:hAnsi="Cambria Math" w:cs="Arial"/>
                          <w:i/>
                        </w:rPr>
                      </m:ctrlPr>
                    </m:radPr>
                    <m:deg/>
                    <m:e>
                      <m:r>
                        <w:rPr>
                          <w:rFonts w:ascii="Cambria Math" w:hAnsi="Cambria Math" w:cs="Arial"/>
                        </w:rPr>
                        <m:t>μϵ</m:t>
                      </m:r>
                    </m:e>
                  </m:rad>
                </m:e>
              </m:d>
            </m:sup>
          </m:sSup>
          <m:sSup>
            <m:sSupPr>
              <m:ctrlPr>
                <w:rPr>
                  <w:rFonts w:ascii="Cambria Math" w:eastAsia="Times New Roman" w:hAnsi="Cambria Math" w:cs="Arial"/>
                  <w:i/>
                </w:rPr>
              </m:ctrlPr>
            </m:sSupPr>
            <m:e>
              <m:r>
                <w:rPr>
                  <w:rFonts w:ascii="Cambria Math" w:eastAsia="Times New Roman" w:hAnsi="Cambria Math" w:cs="Arial"/>
                </w:rPr>
                <m:t>e</m:t>
              </m:r>
            </m:e>
            <m:sup>
              <m:r>
                <w:rPr>
                  <w:rFonts w:ascii="Cambria Math" w:eastAsia="Times New Roman" w:hAnsi="Cambria Math" w:cs="Arial"/>
                </w:rPr>
                <m:t>jωt</m:t>
              </m:r>
            </m:sup>
          </m:sSup>
        </m:oMath>
      </m:oMathPara>
    </w:p>
    <w:p w:rsidR="00705D32" w:rsidRPr="00BD06F7" w:rsidRDefault="00705D32" w:rsidP="00705D32">
      <w:pPr>
        <w:rPr>
          <w:rFonts w:ascii="Arial" w:eastAsia="Times New Roman" w:hAnsi="Arial" w:cs="Arial"/>
        </w:rPr>
      </w:pPr>
      <w:r w:rsidRPr="00EB4E35">
        <w:rPr>
          <w:rFonts w:ascii="Arial" w:hAnsi="Arial" w:cs="Arial"/>
        </w:rPr>
        <w:t xml:space="preserve">En un material de conductividad baja </w:t>
      </w:r>
      <m:oMath>
        <m:r>
          <w:rPr>
            <w:rFonts w:ascii="Cambria Math" w:hAnsi="Cambria Math" w:cs="Arial"/>
          </w:rPr>
          <m:t>σ&lt;ωϵ</m:t>
        </m:r>
      </m:oMath>
      <w:r w:rsidRPr="00BD06F7">
        <w:rPr>
          <w:rFonts w:ascii="Arial" w:eastAsia="Times New Roman" w:hAnsi="Arial" w:cs="Arial"/>
        </w:rPr>
        <w:t>, reescribiendo 14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0"/>
        <w:gridCol w:w="648"/>
      </w:tblGrid>
      <w:tr w:rsidR="00705D32" w:rsidRPr="00EB4E35" w:rsidTr="00B81843">
        <w:tc>
          <w:tcPr>
            <w:tcW w:w="8330" w:type="dxa"/>
            <w:tcBorders>
              <w:top w:val="nil"/>
              <w:left w:val="nil"/>
              <w:bottom w:val="nil"/>
              <w:right w:val="nil"/>
            </w:tcBorders>
            <w:shd w:val="clear" w:color="auto" w:fill="auto"/>
          </w:tcPr>
          <w:p w:rsidR="00705D32" w:rsidRPr="00705D32" w:rsidRDefault="00705D32" w:rsidP="00B81843">
            <w:pPr>
              <w:jc w:val="center"/>
              <w:rPr>
                <w:rFonts w:ascii="Arial" w:hAnsi="Arial" w:cs="Arial"/>
              </w:rPr>
            </w:pPr>
            <m:oMathPara>
              <m:oMath>
                <m:r>
                  <w:rPr>
                    <w:rFonts w:ascii="Cambria Math" w:hAnsi="Cambria Math" w:cs="Arial"/>
                  </w:rPr>
                  <m:t>γ=</m:t>
                </m:r>
                <m:rad>
                  <m:radPr>
                    <m:degHide m:val="1"/>
                    <m:ctrlPr>
                      <w:rPr>
                        <w:rFonts w:ascii="Cambria Math" w:hAnsi="Cambria Math" w:cs="Arial"/>
                        <w:i/>
                      </w:rPr>
                    </m:ctrlPr>
                  </m:radPr>
                  <m:deg/>
                  <m:e>
                    <m:r>
                      <w:rPr>
                        <w:rFonts w:ascii="Cambria Math" w:hAnsi="Cambria Math" w:cs="Arial"/>
                      </w:rPr>
                      <m:t>-</m:t>
                    </m:r>
                    <m:sSup>
                      <m:sSupPr>
                        <m:ctrlPr>
                          <w:rPr>
                            <w:rFonts w:ascii="Cambria Math" w:hAnsi="Cambria Math" w:cs="Arial"/>
                            <w:i/>
                          </w:rPr>
                        </m:ctrlPr>
                      </m:sSupPr>
                      <m:e>
                        <m:r>
                          <w:rPr>
                            <w:rFonts w:ascii="Cambria Math" w:hAnsi="Cambria Math" w:cs="Arial"/>
                          </w:rPr>
                          <m:t>ω</m:t>
                        </m:r>
                      </m:e>
                      <m:sup>
                        <m:r>
                          <w:rPr>
                            <w:rFonts w:ascii="Cambria Math" w:hAnsi="Cambria Math" w:cs="Arial"/>
                          </w:rPr>
                          <m:t>2</m:t>
                        </m:r>
                      </m:sup>
                    </m:sSup>
                    <m:r>
                      <w:rPr>
                        <w:rFonts w:ascii="Cambria Math" w:hAnsi="Cambria Math" w:cs="Arial"/>
                      </w:rPr>
                      <m:t>μϵ</m:t>
                    </m:r>
                    <m:d>
                      <m:dPr>
                        <m:begChr m:val="["/>
                        <m:endChr m:val="]"/>
                        <m:ctrlPr>
                          <w:rPr>
                            <w:rFonts w:ascii="Cambria Math" w:hAnsi="Cambria Math" w:cs="Arial"/>
                            <w:i/>
                          </w:rPr>
                        </m:ctrlPr>
                      </m:dPr>
                      <m:e>
                        <m:r>
                          <w:rPr>
                            <w:rFonts w:ascii="Cambria Math" w:hAnsi="Cambria Math" w:cs="Arial"/>
                          </w:rPr>
                          <m:t xml:space="preserve">1-j </m:t>
                        </m:r>
                        <m:f>
                          <m:fPr>
                            <m:ctrlPr>
                              <w:rPr>
                                <w:rFonts w:ascii="Cambria Math" w:hAnsi="Cambria Math" w:cs="Arial"/>
                                <w:i/>
                              </w:rPr>
                            </m:ctrlPr>
                          </m:fPr>
                          <m:num>
                            <m:r>
                              <w:rPr>
                                <w:rFonts w:ascii="Cambria Math" w:hAnsi="Cambria Math" w:cs="Arial"/>
                              </w:rPr>
                              <m:t>σ</m:t>
                            </m:r>
                          </m:num>
                          <m:den>
                            <m:r>
                              <w:rPr>
                                <w:rFonts w:ascii="Cambria Math" w:hAnsi="Cambria Math" w:cs="Arial"/>
                              </w:rPr>
                              <m:t>ωϵ</m:t>
                            </m:r>
                          </m:den>
                        </m:f>
                      </m:e>
                    </m:d>
                  </m:e>
                </m:rad>
              </m:oMath>
            </m:oMathPara>
          </w:p>
        </w:tc>
        <w:tc>
          <w:tcPr>
            <w:tcW w:w="648" w:type="dxa"/>
            <w:tcBorders>
              <w:top w:val="nil"/>
              <w:left w:val="nil"/>
              <w:bottom w:val="nil"/>
              <w:right w:val="nil"/>
            </w:tcBorders>
            <w:shd w:val="clear" w:color="auto" w:fill="auto"/>
          </w:tcPr>
          <w:p w:rsidR="00705D32" w:rsidRPr="0052084F" w:rsidRDefault="00705D32" w:rsidP="00B81843">
            <w:pPr>
              <w:rPr>
                <w:rFonts w:ascii="Arial" w:hAnsi="Arial" w:cs="Arial"/>
              </w:rPr>
            </w:pPr>
            <w:r w:rsidRPr="0052084F">
              <w:rPr>
                <w:rFonts w:ascii="Arial" w:hAnsi="Arial" w:cs="Arial"/>
              </w:rPr>
              <w:t>(15)</w:t>
            </w:r>
          </w:p>
        </w:tc>
      </w:tr>
    </w:tbl>
    <w:p w:rsidR="00705D32" w:rsidRPr="00EB4E35" w:rsidRDefault="00705D32" w:rsidP="00705D32">
      <w:pPr>
        <w:rPr>
          <w:rFonts w:ascii="Arial" w:hAnsi="Arial" w:cs="Arial"/>
        </w:rPr>
      </w:pPr>
      <w:r w:rsidRPr="00EB4E35">
        <w:rPr>
          <w:rFonts w:ascii="Arial" w:hAnsi="Arial" w:cs="Arial"/>
        </w:rPr>
        <w:t>O, lo que es lo mismo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0"/>
        <w:gridCol w:w="648"/>
      </w:tblGrid>
      <w:tr w:rsidR="00705D32" w:rsidRPr="00EB4E35" w:rsidTr="00B81843">
        <w:tc>
          <w:tcPr>
            <w:tcW w:w="8330" w:type="dxa"/>
            <w:tcBorders>
              <w:top w:val="nil"/>
              <w:left w:val="nil"/>
              <w:bottom w:val="nil"/>
              <w:right w:val="nil"/>
            </w:tcBorders>
            <w:shd w:val="clear" w:color="auto" w:fill="auto"/>
          </w:tcPr>
          <w:p w:rsidR="00705D32" w:rsidRPr="00705D32" w:rsidRDefault="00705D32" w:rsidP="00B81843">
            <w:pPr>
              <w:jc w:val="center"/>
              <w:rPr>
                <w:rFonts w:ascii="Arial" w:hAnsi="Arial" w:cs="Arial"/>
              </w:rPr>
            </w:pPr>
            <m:oMathPara>
              <m:oMath>
                <m:r>
                  <w:rPr>
                    <w:rFonts w:ascii="Cambria Math" w:hAnsi="Cambria Math" w:cs="Arial"/>
                  </w:rPr>
                  <m:t>γ=</m:t>
                </m:r>
                <m:rad>
                  <m:radPr>
                    <m:degHide m:val="1"/>
                    <m:ctrlPr>
                      <w:rPr>
                        <w:rFonts w:ascii="Cambria Math" w:hAnsi="Cambria Math" w:cs="Arial"/>
                        <w:i/>
                      </w:rPr>
                    </m:ctrlPr>
                  </m:radPr>
                  <m:deg/>
                  <m:e>
                    <m:r>
                      <w:rPr>
                        <w:rFonts w:ascii="Cambria Math" w:hAnsi="Cambria Math" w:cs="Arial"/>
                      </w:rPr>
                      <m:t>-</m:t>
                    </m:r>
                    <m:sSup>
                      <m:sSupPr>
                        <m:ctrlPr>
                          <w:rPr>
                            <w:rFonts w:ascii="Cambria Math" w:hAnsi="Cambria Math" w:cs="Arial"/>
                            <w:i/>
                          </w:rPr>
                        </m:ctrlPr>
                      </m:sSupPr>
                      <m:e>
                        <m:r>
                          <w:rPr>
                            <w:rFonts w:ascii="Cambria Math" w:hAnsi="Cambria Math" w:cs="Arial"/>
                          </w:rPr>
                          <m:t>ω</m:t>
                        </m:r>
                      </m:e>
                      <m:sup>
                        <m:r>
                          <w:rPr>
                            <w:rFonts w:ascii="Cambria Math" w:hAnsi="Cambria Math" w:cs="Arial"/>
                          </w:rPr>
                          <m:t>2</m:t>
                        </m:r>
                      </m:sup>
                    </m:sSup>
                    <m:r>
                      <w:rPr>
                        <w:rFonts w:ascii="Cambria Math" w:hAnsi="Cambria Math" w:cs="Arial"/>
                      </w:rPr>
                      <m:t>μϵ</m:t>
                    </m:r>
                    <m:d>
                      <m:dPr>
                        <m:begChr m:val="["/>
                        <m:endChr m:val="]"/>
                        <m:ctrlPr>
                          <w:rPr>
                            <w:rFonts w:ascii="Cambria Math" w:hAnsi="Cambria Math" w:cs="Arial"/>
                            <w:i/>
                          </w:rPr>
                        </m:ctrlPr>
                      </m:dPr>
                      <m:e>
                        <m:r>
                          <w:rPr>
                            <w:rFonts w:ascii="Cambria Math" w:hAnsi="Cambria Math" w:cs="Arial"/>
                          </w:rPr>
                          <m:t>1+</m:t>
                        </m:r>
                        <m:f>
                          <m:fPr>
                            <m:ctrlPr>
                              <w:rPr>
                                <w:rFonts w:ascii="Cambria Math" w:hAnsi="Cambria Math" w:cs="Arial"/>
                                <w:i/>
                              </w:rPr>
                            </m:ctrlPr>
                          </m:fPr>
                          <m:num>
                            <m:r>
                              <w:rPr>
                                <w:rFonts w:ascii="Cambria Math" w:hAnsi="Cambria Math" w:cs="Arial"/>
                              </w:rPr>
                              <m:t>σ</m:t>
                            </m:r>
                          </m:num>
                          <m:den>
                            <m:r>
                              <w:rPr>
                                <w:rFonts w:ascii="Cambria Math" w:hAnsi="Cambria Math" w:cs="Arial"/>
                              </w:rPr>
                              <m:t>jωϵ</m:t>
                            </m:r>
                          </m:den>
                        </m:f>
                      </m:e>
                    </m:d>
                  </m:e>
                </m:rad>
              </m:oMath>
            </m:oMathPara>
          </w:p>
        </w:tc>
        <w:tc>
          <w:tcPr>
            <w:tcW w:w="648" w:type="dxa"/>
            <w:tcBorders>
              <w:top w:val="nil"/>
              <w:left w:val="nil"/>
              <w:bottom w:val="nil"/>
              <w:right w:val="nil"/>
            </w:tcBorders>
            <w:shd w:val="clear" w:color="auto" w:fill="auto"/>
          </w:tcPr>
          <w:p w:rsidR="00705D32" w:rsidRPr="0052084F" w:rsidRDefault="00705D32" w:rsidP="00B81843">
            <w:pPr>
              <w:rPr>
                <w:rFonts w:ascii="Arial" w:hAnsi="Arial" w:cs="Arial"/>
              </w:rPr>
            </w:pPr>
            <w:r w:rsidRPr="0052084F">
              <w:rPr>
                <w:rFonts w:ascii="Arial" w:hAnsi="Arial" w:cs="Arial"/>
              </w:rPr>
              <w:t>(16)</w:t>
            </w:r>
          </w:p>
        </w:tc>
      </w:tr>
    </w:tbl>
    <w:p w:rsidR="00705D32" w:rsidRPr="00EB4E35" w:rsidRDefault="00705D32" w:rsidP="00705D32">
      <w:pPr>
        <w:rPr>
          <w:rFonts w:ascii="Arial" w:hAnsi="Arial" w:cs="Arial"/>
        </w:rPr>
      </w:pPr>
      <w:r w:rsidRPr="00EB4E35">
        <w:rPr>
          <w:rFonts w:ascii="Arial" w:hAnsi="Arial" w:cs="Arial"/>
        </w:rPr>
        <w:t>Realizando una expansión en binomio de Newton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0"/>
        <w:gridCol w:w="648"/>
      </w:tblGrid>
      <w:tr w:rsidR="00705D32" w:rsidRPr="00EB4E35" w:rsidTr="00B81843">
        <w:tc>
          <w:tcPr>
            <w:tcW w:w="8330" w:type="dxa"/>
            <w:tcBorders>
              <w:top w:val="nil"/>
              <w:left w:val="nil"/>
              <w:bottom w:val="nil"/>
              <w:right w:val="nil"/>
            </w:tcBorders>
            <w:shd w:val="clear" w:color="auto" w:fill="auto"/>
          </w:tcPr>
          <w:p w:rsidR="00705D32" w:rsidRPr="00705D32" w:rsidRDefault="001345E4" w:rsidP="00B81843">
            <w:pPr>
              <w:jc w:val="center"/>
              <w:rPr>
                <w:rFonts w:ascii="Arial" w:hAnsi="Arial" w:cs="Arial"/>
              </w:rPr>
            </w:pPr>
            <m:oMathPara>
              <m:oMath>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a+b</m:t>
                        </m:r>
                      </m:e>
                    </m:d>
                  </m:e>
                  <m:sup>
                    <m:r>
                      <w:rPr>
                        <w:rFonts w:ascii="Cambria Math" w:hAnsi="Cambria Math" w:cs="Arial"/>
                      </w:rPr>
                      <m:t>1/2</m:t>
                    </m:r>
                  </m:sup>
                </m:sSup>
                <m:r>
                  <w:rPr>
                    <w:rFonts w:ascii="Cambria Math" w:hAnsi="Cambria Math" w:cs="Arial"/>
                  </w:rPr>
                  <m:t>=</m:t>
                </m:r>
                <m:sSup>
                  <m:sSupPr>
                    <m:ctrlPr>
                      <w:rPr>
                        <w:rFonts w:ascii="Cambria Math" w:hAnsi="Cambria Math" w:cs="Arial"/>
                        <w:i/>
                      </w:rPr>
                    </m:ctrlPr>
                  </m:sSupPr>
                  <m:e>
                    <m:r>
                      <w:rPr>
                        <w:rFonts w:ascii="Cambria Math" w:hAnsi="Cambria Math" w:cs="Arial"/>
                      </w:rPr>
                      <m:t>a</m:t>
                    </m:r>
                  </m:e>
                  <m:sup>
                    <m:r>
                      <w:rPr>
                        <w:rFonts w:ascii="Cambria Math" w:hAnsi="Cambria Math" w:cs="Arial"/>
                      </w:rPr>
                      <m:t>1/2</m:t>
                    </m:r>
                  </m:sup>
                </m:sSup>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sSup>
                  <m:sSupPr>
                    <m:ctrlPr>
                      <w:rPr>
                        <w:rFonts w:ascii="Cambria Math" w:hAnsi="Cambria Math" w:cs="Arial"/>
                        <w:i/>
                      </w:rPr>
                    </m:ctrlPr>
                  </m:sSupPr>
                  <m:e>
                    <m:r>
                      <w:rPr>
                        <w:rFonts w:ascii="Cambria Math" w:hAnsi="Cambria Math" w:cs="Arial"/>
                      </w:rPr>
                      <m:t>a</m:t>
                    </m:r>
                  </m:e>
                  <m:sup>
                    <m:r>
                      <w:rPr>
                        <w:rFonts w:ascii="Cambria Math" w:hAnsi="Cambria Math" w:cs="Arial"/>
                      </w:rPr>
                      <m:t>-1/2</m:t>
                    </m:r>
                  </m:sup>
                </m:sSup>
                <m:r>
                  <w:rPr>
                    <w:rFonts w:ascii="Cambria Math" w:hAnsi="Cambria Math" w:cs="Arial"/>
                  </w:rPr>
                  <m:t>b-</m:t>
                </m:r>
                <m:f>
                  <m:fPr>
                    <m:ctrlPr>
                      <w:rPr>
                        <w:rFonts w:ascii="Cambria Math" w:hAnsi="Cambria Math" w:cs="Arial"/>
                        <w:i/>
                      </w:rPr>
                    </m:ctrlPr>
                  </m:fPr>
                  <m:num>
                    <m:r>
                      <w:rPr>
                        <w:rFonts w:ascii="Cambria Math" w:hAnsi="Cambria Math" w:cs="Arial"/>
                      </w:rPr>
                      <m:t>1</m:t>
                    </m:r>
                  </m:num>
                  <m:den>
                    <m:r>
                      <w:rPr>
                        <w:rFonts w:ascii="Cambria Math" w:hAnsi="Cambria Math" w:cs="Arial"/>
                      </w:rPr>
                      <m:t>8</m:t>
                    </m:r>
                  </m:den>
                </m:f>
                <m:sSup>
                  <m:sSupPr>
                    <m:ctrlPr>
                      <w:rPr>
                        <w:rFonts w:ascii="Cambria Math" w:hAnsi="Cambria Math" w:cs="Arial"/>
                        <w:i/>
                      </w:rPr>
                    </m:ctrlPr>
                  </m:sSupPr>
                  <m:e>
                    <m:r>
                      <w:rPr>
                        <w:rFonts w:ascii="Cambria Math" w:hAnsi="Cambria Math" w:cs="Arial"/>
                      </w:rPr>
                      <m:t>a</m:t>
                    </m:r>
                  </m:e>
                  <m:sup>
                    <m:r>
                      <w:rPr>
                        <w:rFonts w:ascii="Cambria Math" w:hAnsi="Cambria Math" w:cs="Arial"/>
                      </w:rPr>
                      <m:t>-</m:t>
                    </m:r>
                    <m:f>
                      <m:fPr>
                        <m:ctrlPr>
                          <w:rPr>
                            <w:rFonts w:ascii="Cambria Math" w:hAnsi="Cambria Math" w:cs="Arial"/>
                            <w:i/>
                          </w:rPr>
                        </m:ctrlPr>
                      </m:fPr>
                      <m:num>
                        <m:r>
                          <w:rPr>
                            <w:rFonts w:ascii="Cambria Math" w:hAnsi="Cambria Math" w:cs="Arial"/>
                          </w:rPr>
                          <m:t>3</m:t>
                        </m:r>
                      </m:num>
                      <m:den>
                        <m:r>
                          <w:rPr>
                            <w:rFonts w:ascii="Cambria Math" w:hAnsi="Cambria Math" w:cs="Arial"/>
                          </w:rPr>
                          <m:t>2</m:t>
                        </m:r>
                      </m:den>
                    </m:f>
                  </m:sup>
                </m:sSup>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16</m:t>
                    </m:r>
                  </m:den>
                </m:f>
                <m:sSup>
                  <m:sSupPr>
                    <m:ctrlPr>
                      <w:rPr>
                        <w:rFonts w:ascii="Cambria Math" w:hAnsi="Cambria Math" w:cs="Arial"/>
                        <w:i/>
                      </w:rPr>
                    </m:ctrlPr>
                  </m:sSupPr>
                  <m:e>
                    <m:r>
                      <w:rPr>
                        <w:rFonts w:ascii="Cambria Math" w:hAnsi="Cambria Math" w:cs="Arial"/>
                      </w:rPr>
                      <m:t>a</m:t>
                    </m:r>
                  </m:e>
                  <m:sup>
                    <m:r>
                      <w:rPr>
                        <w:rFonts w:ascii="Cambria Math" w:hAnsi="Cambria Math" w:cs="Arial"/>
                      </w:rPr>
                      <m:t>-</m:t>
                    </m:r>
                    <m:f>
                      <m:fPr>
                        <m:ctrlPr>
                          <w:rPr>
                            <w:rFonts w:ascii="Cambria Math" w:hAnsi="Cambria Math" w:cs="Arial"/>
                            <w:i/>
                          </w:rPr>
                        </m:ctrlPr>
                      </m:fPr>
                      <m:num>
                        <m:r>
                          <w:rPr>
                            <w:rFonts w:ascii="Cambria Math" w:hAnsi="Cambria Math" w:cs="Arial"/>
                          </w:rPr>
                          <m:t>5</m:t>
                        </m:r>
                      </m:num>
                      <m:den>
                        <m:r>
                          <w:rPr>
                            <w:rFonts w:ascii="Cambria Math" w:hAnsi="Cambria Math" w:cs="Arial"/>
                          </w:rPr>
                          <m:t>2</m:t>
                        </m:r>
                      </m:den>
                    </m:f>
                  </m:sup>
                </m:sSup>
                <m:sSup>
                  <m:sSupPr>
                    <m:ctrlPr>
                      <w:rPr>
                        <w:rFonts w:ascii="Cambria Math" w:hAnsi="Cambria Math" w:cs="Arial"/>
                        <w:i/>
                      </w:rPr>
                    </m:ctrlPr>
                  </m:sSupPr>
                  <m:e>
                    <m:r>
                      <w:rPr>
                        <w:rFonts w:ascii="Cambria Math" w:hAnsi="Cambria Math" w:cs="Arial"/>
                      </w:rPr>
                      <m:t>b</m:t>
                    </m:r>
                  </m:e>
                  <m:sup>
                    <m:r>
                      <w:rPr>
                        <w:rFonts w:ascii="Cambria Math" w:hAnsi="Cambria Math" w:cs="Arial"/>
                      </w:rPr>
                      <m:t>3</m:t>
                    </m:r>
                  </m:sup>
                </m:sSup>
                <m:r>
                  <w:rPr>
                    <w:rFonts w:ascii="Cambria Math" w:hAnsi="Cambria Math" w:cs="Arial"/>
                  </w:rPr>
                  <m:t>+…</m:t>
                </m:r>
              </m:oMath>
            </m:oMathPara>
          </w:p>
        </w:tc>
        <w:tc>
          <w:tcPr>
            <w:tcW w:w="648" w:type="dxa"/>
            <w:tcBorders>
              <w:top w:val="nil"/>
              <w:left w:val="nil"/>
              <w:bottom w:val="nil"/>
              <w:right w:val="nil"/>
            </w:tcBorders>
            <w:shd w:val="clear" w:color="auto" w:fill="auto"/>
          </w:tcPr>
          <w:p w:rsidR="00705D32" w:rsidRPr="0052084F" w:rsidRDefault="00705D32" w:rsidP="00B81843">
            <w:pPr>
              <w:ind w:left="-103" w:firstLine="103"/>
              <w:rPr>
                <w:rFonts w:ascii="Arial" w:hAnsi="Arial" w:cs="Arial"/>
              </w:rPr>
            </w:pPr>
            <w:r w:rsidRPr="0052084F">
              <w:rPr>
                <w:rFonts w:ascii="Arial" w:hAnsi="Arial" w:cs="Arial"/>
              </w:rPr>
              <w:t>(17)</w:t>
            </w:r>
          </w:p>
        </w:tc>
      </w:tr>
    </w:tbl>
    <w:p w:rsidR="00705D32" w:rsidRPr="00EB4E35" w:rsidRDefault="00705D32" w:rsidP="00705D32">
      <w:pPr>
        <w:rPr>
          <w:rFonts w:ascii="Arial" w:hAnsi="Arial" w:cs="Arial"/>
        </w:rPr>
      </w:pPr>
      <w:r w:rsidRPr="00EB4E35">
        <w:rPr>
          <w:rFonts w:ascii="Arial" w:hAnsi="Arial" w:cs="Arial"/>
        </w:rPr>
        <w:t>Aplicándolo en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6"/>
        <w:gridCol w:w="642"/>
      </w:tblGrid>
      <w:tr w:rsidR="00705D32" w:rsidRPr="00EB4E35" w:rsidTr="00B81843">
        <w:tc>
          <w:tcPr>
            <w:tcW w:w="8196" w:type="dxa"/>
            <w:tcBorders>
              <w:top w:val="nil"/>
              <w:left w:val="nil"/>
              <w:bottom w:val="nil"/>
              <w:right w:val="nil"/>
            </w:tcBorders>
            <w:shd w:val="clear" w:color="auto" w:fill="auto"/>
          </w:tcPr>
          <w:p w:rsidR="00705D32" w:rsidRPr="00705D32" w:rsidRDefault="00705D32" w:rsidP="00B81843">
            <w:pPr>
              <w:jc w:val="center"/>
              <w:rPr>
                <w:rFonts w:ascii="Arial" w:hAnsi="Arial" w:cs="Arial"/>
              </w:rPr>
            </w:pPr>
            <m:oMathPara>
              <m:oMath>
                <m:r>
                  <w:rPr>
                    <w:rFonts w:ascii="Cambria Math" w:hAnsi="Cambria Math" w:cs="Arial"/>
                  </w:rPr>
                  <w:lastRenderedPageBreak/>
                  <m:t>γ=jω</m:t>
                </m:r>
                <m:rad>
                  <m:radPr>
                    <m:degHide m:val="1"/>
                    <m:ctrlPr>
                      <w:rPr>
                        <w:rFonts w:ascii="Cambria Math" w:hAnsi="Cambria Math" w:cs="Arial"/>
                        <w:i/>
                      </w:rPr>
                    </m:ctrlPr>
                  </m:radPr>
                  <m:deg/>
                  <m:e>
                    <m:r>
                      <w:rPr>
                        <w:rFonts w:ascii="Cambria Math" w:hAnsi="Cambria Math" w:cs="Arial"/>
                      </w:rPr>
                      <m:t>μϵ</m:t>
                    </m:r>
                  </m:e>
                </m:rad>
                <m:d>
                  <m:dPr>
                    <m:begChr m:val="["/>
                    <m:endChr m:val="]"/>
                    <m:ctrlPr>
                      <w:rPr>
                        <w:rFonts w:ascii="Cambria Math" w:hAnsi="Cambria Math" w:cs="Arial"/>
                        <w:i/>
                      </w:rPr>
                    </m:ctrlPr>
                  </m:dPr>
                  <m:e>
                    <m:r>
                      <w:rPr>
                        <w:rFonts w:ascii="Cambria Math" w:hAnsi="Cambria Math" w:cs="Arial"/>
                      </w:rPr>
                      <m:t>1+</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d>
                      <m:dPr>
                        <m:ctrlPr>
                          <w:rPr>
                            <w:rFonts w:ascii="Cambria Math" w:hAnsi="Cambria Math" w:cs="Arial"/>
                            <w:i/>
                          </w:rPr>
                        </m:ctrlPr>
                      </m:dPr>
                      <m:e>
                        <m:f>
                          <m:fPr>
                            <m:ctrlPr>
                              <w:rPr>
                                <w:rFonts w:ascii="Cambria Math" w:hAnsi="Cambria Math" w:cs="Arial"/>
                                <w:i/>
                              </w:rPr>
                            </m:ctrlPr>
                          </m:fPr>
                          <m:num>
                            <m:r>
                              <w:rPr>
                                <w:rFonts w:ascii="Cambria Math" w:hAnsi="Cambria Math" w:cs="Arial"/>
                              </w:rPr>
                              <m:t>σ</m:t>
                            </m:r>
                          </m:num>
                          <m:den>
                            <m:r>
                              <w:rPr>
                                <w:rFonts w:ascii="Cambria Math" w:hAnsi="Cambria Math" w:cs="Arial"/>
                              </w:rPr>
                              <m:t>jωϵ</m:t>
                            </m:r>
                          </m:den>
                        </m:f>
                      </m:e>
                    </m:d>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8</m:t>
                        </m:r>
                      </m:den>
                    </m:f>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w:rPr>
                                    <w:rFonts w:ascii="Cambria Math" w:hAnsi="Cambria Math" w:cs="Arial"/>
                                  </w:rPr>
                                  <m:t>σ</m:t>
                                </m:r>
                              </m:num>
                              <m:den>
                                <m:r>
                                  <w:rPr>
                                    <w:rFonts w:ascii="Cambria Math" w:hAnsi="Cambria Math" w:cs="Arial"/>
                                  </w:rPr>
                                  <m:t>jωϵ</m:t>
                                </m:r>
                              </m:den>
                            </m:f>
                          </m:e>
                        </m:d>
                      </m:e>
                      <m:sup>
                        <m:r>
                          <w:rPr>
                            <w:rFonts w:ascii="Cambria Math" w:hAnsi="Cambria Math" w:cs="Arial"/>
                          </w:rPr>
                          <m:t>2</m:t>
                        </m:r>
                      </m:sup>
                    </m:sSup>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16</m:t>
                        </m:r>
                      </m:den>
                    </m:f>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w:rPr>
                                    <w:rFonts w:ascii="Cambria Math" w:hAnsi="Cambria Math" w:cs="Arial"/>
                                  </w:rPr>
                                  <m:t>σ</m:t>
                                </m:r>
                              </m:num>
                              <m:den>
                                <m:r>
                                  <w:rPr>
                                    <w:rFonts w:ascii="Cambria Math" w:hAnsi="Cambria Math" w:cs="Arial"/>
                                  </w:rPr>
                                  <m:t>jωϵ</m:t>
                                </m:r>
                              </m:den>
                            </m:f>
                          </m:e>
                        </m:d>
                      </m:e>
                      <m:sup>
                        <m:r>
                          <w:rPr>
                            <w:rFonts w:ascii="Cambria Math" w:hAnsi="Cambria Math" w:cs="Arial"/>
                          </w:rPr>
                          <m:t>3</m:t>
                        </m:r>
                      </m:sup>
                    </m:sSup>
                    <m:r>
                      <w:rPr>
                        <w:rFonts w:ascii="Cambria Math" w:hAnsi="Cambria Math" w:cs="Arial"/>
                      </w:rPr>
                      <m:t>+…</m:t>
                    </m:r>
                  </m:e>
                </m:d>
              </m:oMath>
            </m:oMathPara>
          </w:p>
        </w:tc>
        <w:tc>
          <w:tcPr>
            <w:tcW w:w="642" w:type="dxa"/>
            <w:tcBorders>
              <w:top w:val="nil"/>
              <w:left w:val="nil"/>
              <w:bottom w:val="nil"/>
              <w:right w:val="nil"/>
            </w:tcBorders>
            <w:shd w:val="clear" w:color="auto" w:fill="auto"/>
          </w:tcPr>
          <w:p w:rsidR="00705D32" w:rsidRPr="0052084F" w:rsidRDefault="00705D32" w:rsidP="00B81843">
            <w:pPr>
              <w:rPr>
                <w:rFonts w:ascii="Arial" w:hAnsi="Arial" w:cs="Arial"/>
              </w:rPr>
            </w:pPr>
            <w:r w:rsidRPr="0052084F">
              <w:rPr>
                <w:rFonts w:ascii="Arial" w:hAnsi="Arial" w:cs="Arial"/>
              </w:rPr>
              <w:t>(18)</w:t>
            </w:r>
          </w:p>
        </w:tc>
      </w:tr>
      <w:tr w:rsidR="00705D32" w:rsidRPr="00EB4E35" w:rsidTr="00B81843">
        <w:tc>
          <w:tcPr>
            <w:tcW w:w="8196" w:type="dxa"/>
            <w:tcBorders>
              <w:top w:val="nil"/>
              <w:left w:val="nil"/>
              <w:bottom w:val="nil"/>
              <w:right w:val="nil"/>
            </w:tcBorders>
            <w:shd w:val="clear" w:color="auto" w:fill="auto"/>
          </w:tcPr>
          <w:p w:rsidR="00705D32" w:rsidRPr="0052084F" w:rsidRDefault="00705D32" w:rsidP="00B81843">
            <w:pPr>
              <w:rPr>
                <w:rFonts w:ascii="Arial" w:hAnsi="Arial" w:cs="Arial"/>
              </w:rPr>
            </w:pPr>
            <w:r w:rsidRPr="0052084F">
              <w:rPr>
                <w:rFonts w:ascii="Arial" w:hAnsi="Arial" w:cs="Arial"/>
              </w:rPr>
              <w:t>Entonces</w:t>
            </w:r>
          </w:p>
          <w:p w:rsidR="00705D32" w:rsidRPr="00705D32" w:rsidRDefault="00705D32" w:rsidP="00B81843">
            <w:pPr>
              <w:jc w:val="center"/>
              <w:rPr>
                <w:rFonts w:ascii="Arial" w:hAnsi="Arial" w:cs="Arial"/>
              </w:rPr>
            </w:pPr>
            <m:oMathPara>
              <m:oMath>
                <m:r>
                  <w:rPr>
                    <w:rFonts w:ascii="Cambria Math" w:hAnsi="Cambria Math" w:cs="Arial"/>
                  </w:rPr>
                  <m:t>γ=jω</m:t>
                </m:r>
                <m:rad>
                  <m:radPr>
                    <m:degHide m:val="1"/>
                    <m:ctrlPr>
                      <w:rPr>
                        <w:rFonts w:ascii="Cambria Math" w:hAnsi="Cambria Math" w:cs="Arial"/>
                        <w:i/>
                      </w:rPr>
                    </m:ctrlPr>
                  </m:radPr>
                  <m:deg/>
                  <m:e>
                    <m:r>
                      <w:rPr>
                        <w:rFonts w:ascii="Cambria Math" w:hAnsi="Cambria Math" w:cs="Arial"/>
                      </w:rPr>
                      <m:t>μϵ</m:t>
                    </m:r>
                  </m:e>
                </m:rad>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ad>
                  <m:radPr>
                    <m:degHide m:val="1"/>
                    <m:ctrlPr>
                      <w:rPr>
                        <w:rFonts w:ascii="Cambria Math" w:hAnsi="Cambria Math" w:cs="Arial"/>
                        <w:i/>
                      </w:rPr>
                    </m:ctrlPr>
                  </m:radPr>
                  <m:deg/>
                  <m:e>
                    <m:f>
                      <m:fPr>
                        <m:ctrlPr>
                          <w:rPr>
                            <w:rFonts w:ascii="Cambria Math" w:hAnsi="Cambria Math" w:cs="Arial"/>
                            <w:i/>
                          </w:rPr>
                        </m:ctrlPr>
                      </m:fPr>
                      <m:num>
                        <m:r>
                          <w:rPr>
                            <w:rFonts w:ascii="Cambria Math" w:hAnsi="Cambria Math" w:cs="Arial"/>
                          </w:rPr>
                          <m:t>μ</m:t>
                        </m:r>
                      </m:num>
                      <m:den>
                        <m:r>
                          <w:rPr>
                            <w:rFonts w:ascii="Cambria Math" w:hAnsi="Cambria Math" w:cs="Arial"/>
                          </w:rPr>
                          <m:t>ϵ</m:t>
                        </m:r>
                      </m:den>
                    </m:f>
                  </m:e>
                </m:rad>
                <m:r>
                  <w:rPr>
                    <w:rFonts w:ascii="Cambria Math" w:hAnsi="Cambria Math" w:cs="Arial"/>
                  </w:rPr>
                  <m:t>σ+j</m:t>
                </m:r>
                <m:f>
                  <m:fPr>
                    <m:ctrlPr>
                      <w:rPr>
                        <w:rFonts w:ascii="Cambria Math" w:hAnsi="Cambria Math" w:cs="Arial"/>
                        <w:i/>
                      </w:rPr>
                    </m:ctrlPr>
                  </m:fPr>
                  <m:num>
                    <m:rad>
                      <m:radPr>
                        <m:degHide m:val="1"/>
                        <m:ctrlPr>
                          <w:rPr>
                            <w:rFonts w:ascii="Cambria Math" w:hAnsi="Cambria Math" w:cs="Arial"/>
                            <w:i/>
                          </w:rPr>
                        </m:ctrlPr>
                      </m:radPr>
                      <m:deg/>
                      <m:e>
                        <m:r>
                          <w:rPr>
                            <w:rFonts w:ascii="Cambria Math" w:hAnsi="Cambria Math" w:cs="Arial"/>
                          </w:rPr>
                          <m:t>μϵ</m:t>
                        </m:r>
                      </m:e>
                    </m:rad>
                    <m:sSup>
                      <m:sSupPr>
                        <m:ctrlPr>
                          <w:rPr>
                            <w:rFonts w:ascii="Cambria Math" w:hAnsi="Cambria Math" w:cs="Arial"/>
                            <w:i/>
                          </w:rPr>
                        </m:ctrlPr>
                      </m:sSupPr>
                      <m:e>
                        <m:r>
                          <w:rPr>
                            <w:rFonts w:ascii="Cambria Math" w:hAnsi="Cambria Math" w:cs="Arial"/>
                          </w:rPr>
                          <m:t>σ</m:t>
                        </m:r>
                      </m:e>
                      <m:sup>
                        <m:r>
                          <w:rPr>
                            <w:rFonts w:ascii="Cambria Math" w:hAnsi="Cambria Math" w:cs="Arial"/>
                          </w:rPr>
                          <m:t>2</m:t>
                        </m:r>
                      </m:sup>
                    </m:sSup>
                  </m:num>
                  <m:den>
                    <m:r>
                      <w:rPr>
                        <w:rFonts w:ascii="Cambria Math" w:hAnsi="Cambria Math" w:cs="Arial"/>
                      </w:rPr>
                      <m:t>8ω</m:t>
                    </m:r>
                    <m:sSup>
                      <m:sSupPr>
                        <m:ctrlPr>
                          <w:rPr>
                            <w:rFonts w:ascii="Cambria Math" w:hAnsi="Cambria Math" w:cs="Arial"/>
                            <w:i/>
                          </w:rPr>
                        </m:ctrlPr>
                      </m:sSupPr>
                      <m:e>
                        <m:r>
                          <w:rPr>
                            <w:rFonts w:ascii="Cambria Math" w:hAnsi="Cambria Math" w:cs="Arial"/>
                          </w:rPr>
                          <m:t>ϵ</m:t>
                        </m:r>
                      </m:e>
                      <m:sup>
                        <m:r>
                          <w:rPr>
                            <w:rFonts w:ascii="Cambria Math" w:hAnsi="Cambria Math" w:cs="Arial"/>
                          </w:rPr>
                          <m:t>2</m:t>
                        </m:r>
                      </m:sup>
                    </m:sSup>
                  </m:den>
                </m:f>
                <m:r>
                  <w:rPr>
                    <w:rFonts w:ascii="Cambria Math" w:hAnsi="Cambria Math" w:cs="Arial"/>
                  </w:rPr>
                  <m:t>-</m:t>
                </m:r>
                <m:f>
                  <m:fPr>
                    <m:ctrlPr>
                      <w:rPr>
                        <w:rFonts w:ascii="Cambria Math" w:hAnsi="Cambria Math" w:cs="Arial"/>
                        <w:i/>
                      </w:rPr>
                    </m:ctrlPr>
                  </m:fPr>
                  <m:num>
                    <m:rad>
                      <m:radPr>
                        <m:degHide m:val="1"/>
                        <m:ctrlPr>
                          <w:rPr>
                            <w:rFonts w:ascii="Cambria Math" w:hAnsi="Cambria Math" w:cs="Arial"/>
                            <w:i/>
                          </w:rPr>
                        </m:ctrlPr>
                      </m:radPr>
                      <m:deg/>
                      <m:e>
                        <m:r>
                          <w:rPr>
                            <w:rFonts w:ascii="Cambria Math" w:hAnsi="Cambria Math" w:cs="Arial"/>
                          </w:rPr>
                          <m:t>μϵ</m:t>
                        </m:r>
                      </m:e>
                    </m:rad>
                    <m:sSup>
                      <m:sSupPr>
                        <m:ctrlPr>
                          <w:rPr>
                            <w:rFonts w:ascii="Cambria Math" w:hAnsi="Cambria Math" w:cs="Arial"/>
                            <w:i/>
                          </w:rPr>
                        </m:ctrlPr>
                      </m:sSupPr>
                      <m:e>
                        <m:r>
                          <w:rPr>
                            <w:rFonts w:ascii="Cambria Math" w:hAnsi="Cambria Math" w:cs="Arial"/>
                          </w:rPr>
                          <m:t>σ</m:t>
                        </m:r>
                      </m:e>
                      <m:sup>
                        <m:r>
                          <w:rPr>
                            <w:rFonts w:ascii="Cambria Math" w:hAnsi="Cambria Math" w:cs="Arial"/>
                          </w:rPr>
                          <m:t>3</m:t>
                        </m:r>
                      </m:sup>
                    </m:sSup>
                  </m:num>
                  <m:den>
                    <m:r>
                      <w:rPr>
                        <w:rFonts w:ascii="Cambria Math" w:hAnsi="Cambria Math" w:cs="Arial"/>
                      </w:rPr>
                      <m:t>16ω</m:t>
                    </m:r>
                    <m:sSup>
                      <m:sSupPr>
                        <m:ctrlPr>
                          <w:rPr>
                            <w:rFonts w:ascii="Cambria Math" w:hAnsi="Cambria Math" w:cs="Arial"/>
                            <w:i/>
                          </w:rPr>
                        </m:ctrlPr>
                      </m:sSupPr>
                      <m:e>
                        <m:r>
                          <w:rPr>
                            <w:rFonts w:ascii="Cambria Math" w:hAnsi="Cambria Math" w:cs="Arial"/>
                          </w:rPr>
                          <m:t>ϵ</m:t>
                        </m:r>
                      </m:e>
                      <m:sup>
                        <m:r>
                          <w:rPr>
                            <w:rFonts w:ascii="Cambria Math" w:hAnsi="Cambria Math" w:cs="Arial"/>
                          </w:rPr>
                          <m:t>3</m:t>
                        </m:r>
                      </m:sup>
                    </m:sSup>
                  </m:den>
                </m:f>
              </m:oMath>
            </m:oMathPara>
          </w:p>
        </w:tc>
        <w:tc>
          <w:tcPr>
            <w:tcW w:w="642" w:type="dxa"/>
            <w:tcBorders>
              <w:top w:val="nil"/>
              <w:left w:val="nil"/>
              <w:bottom w:val="nil"/>
              <w:right w:val="nil"/>
            </w:tcBorders>
            <w:shd w:val="clear" w:color="auto" w:fill="auto"/>
          </w:tcPr>
          <w:p w:rsidR="00705D32" w:rsidRPr="0052084F" w:rsidRDefault="00705D32" w:rsidP="00B81843">
            <w:pPr>
              <w:rPr>
                <w:rFonts w:ascii="Arial" w:hAnsi="Arial" w:cs="Arial"/>
              </w:rPr>
            </w:pPr>
            <w:r w:rsidRPr="0052084F">
              <w:rPr>
                <w:rFonts w:ascii="Arial" w:hAnsi="Arial" w:cs="Arial"/>
              </w:rPr>
              <w:t>(19)</w:t>
            </w:r>
          </w:p>
        </w:tc>
      </w:tr>
    </w:tbl>
    <w:p w:rsidR="00705D32" w:rsidRPr="00EB4E35" w:rsidRDefault="00705D32" w:rsidP="00705D32">
      <w:pPr>
        <w:rPr>
          <w:rFonts w:ascii="Arial" w:hAnsi="Arial" w:cs="Arial"/>
        </w:rPr>
      </w:pPr>
      <w:r w:rsidRPr="00EB4E35">
        <w:rPr>
          <w:rFonts w:ascii="Arial" w:hAnsi="Arial" w:cs="Arial"/>
        </w:rPr>
        <w:t>Así, el factor de propagación tendrá la forma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0"/>
        <w:gridCol w:w="648"/>
      </w:tblGrid>
      <w:tr w:rsidR="00705D32" w:rsidRPr="00EB4E35" w:rsidTr="00B81843">
        <w:tc>
          <w:tcPr>
            <w:tcW w:w="8330" w:type="dxa"/>
            <w:tcBorders>
              <w:top w:val="nil"/>
              <w:left w:val="nil"/>
              <w:bottom w:val="nil"/>
              <w:right w:val="nil"/>
            </w:tcBorders>
            <w:shd w:val="clear" w:color="auto" w:fill="auto"/>
          </w:tcPr>
          <w:p w:rsidR="00705D32" w:rsidRPr="00705D32" w:rsidRDefault="00705D32" w:rsidP="00B81843">
            <w:pPr>
              <w:jc w:val="center"/>
              <w:rPr>
                <w:rFonts w:ascii="Arial" w:hAnsi="Arial" w:cs="Arial"/>
              </w:rPr>
            </w:pPr>
            <m:oMathPara>
              <m:oMath>
                <m:r>
                  <w:rPr>
                    <w:rFonts w:ascii="Cambria Math" w:hAnsi="Cambria Math" w:cs="Arial"/>
                  </w:rPr>
                  <m:t>γ=</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ad>
                  <m:radPr>
                    <m:degHide m:val="1"/>
                    <m:ctrlPr>
                      <w:rPr>
                        <w:rFonts w:ascii="Cambria Math" w:hAnsi="Cambria Math" w:cs="Arial"/>
                        <w:i/>
                      </w:rPr>
                    </m:ctrlPr>
                  </m:radPr>
                  <m:deg/>
                  <m:e>
                    <m:f>
                      <m:fPr>
                        <m:ctrlPr>
                          <w:rPr>
                            <w:rFonts w:ascii="Cambria Math" w:hAnsi="Cambria Math" w:cs="Arial"/>
                            <w:i/>
                          </w:rPr>
                        </m:ctrlPr>
                      </m:fPr>
                      <m:num>
                        <m:r>
                          <w:rPr>
                            <w:rFonts w:ascii="Cambria Math" w:hAnsi="Cambria Math" w:cs="Arial"/>
                          </w:rPr>
                          <m:t>μ</m:t>
                        </m:r>
                      </m:num>
                      <m:den>
                        <m:r>
                          <w:rPr>
                            <w:rFonts w:ascii="Cambria Math" w:hAnsi="Cambria Math" w:cs="Arial"/>
                          </w:rPr>
                          <m:t>ϵ</m:t>
                        </m:r>
                      </m:den>
                    </m:f>
                  </m:e>
                </m:rad>
                <m:r>
                  <w:rPr>
                    <w:rFonts w:ascii="Cambria Math" w:hAnsi="Cambria Math" w:cs="Arial"/>
                  </w:rPr>
                  <m:t>σ</m:t>
                </m:r>
                <m:d>
                  <m:dPr>
                    <m:begChr m:val="["/>
                    <m:endChr m:val="]"/>
                    <m:ctrlPr>
                      <w:rPr>
                        <w:rFonts w:ascii="Cambria Math" w:hAnsi="Cambria Math" w:cs="Arial"/>
                        <w:i/>
                      </w:rPr>
                    </m:ctrlPr>
                  </m:dPr>
                  <m:e>
                    <m:r>
                      <w:rPr>
                        <w:rFonts w:ascii="Cambria Math" w:hAnsi="Cambria Math" w:cs="Arial"/>
                      </w:rPr>
                      <m:t>1-</m:t>
                    </m:r>
                    <m:f>
                      <m:fPr>
                        <m:ctrlPr>
                          <w:rPr>
                            <w:rFonts w:ascii="Cambria Math" w:hAnsi="Cambria Math" w:cs="Arial"/>
                            <w:i/>
                          </w:rPr>
                        </m:ctrlPr>
                      </m:fPr>
                      <m:num>
                        <m:r>
                          <w:rPr>
                            <w:rFonts w:ascii="Cambria Math" w:hAnsi="Cambria Math" w:cs="Arial"/>
                          </w:rPr>
                          <m:t>1</m:t>
                        </m:r>
                      </m:num>
                      <m:den>
                        <m:r>
                          <w:rPr>
                            <w:rFonts w:ascii="Cambria Math" w:hAnsi="Cambria Math" w:cs="Arial"/>
                          </w:rPr>
                          <m:t>8</m:t>
                        </m:r>
                      </m:den>
                    </m:f>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w:rPr>
                                    <w:rFonts w:ascii="Cambria Math" w:hAnsi="Cambria Math" w:cs="Arial"/>
                                  </w:rPr>
                                  <m:t>σ</m:t>
                                </m:r>
                              </m:num>
                              <m:den>
                                <m:r>
                                  <w:rPr>
                                    <w:rFonts w:ascii="Cambria Math" w:hAnsi="Cambria Math" w:cs="Arial"/>
                                  </w:rPr>
                                  <m:t>ωϵ</m:t>
                                </m:r>
                              </m:den>
                            </m:f>
                          </m:e>
                        </m:d>
                      </m:e>
                      <m:sup>
                        <m:r>
                          <w:rPr>
                            <w:rFonts w:ascii="Cambria Math" w:hAnsi="Cambria Math" w:cs="Arial"/>
                          </w:rPr>
                          <m:t>2</m:t>
                        </m:r>
                      </m:sup>
                    </m:sSup>
                  </m:e>
                </m:d>
                <m:r>
                  <w:rPr>
                    <w:rFonts w:ascii="Cambria Math" w:hAnsi="Cambria Math" w:cs="Arial"/>
                  </w:rPr>
                  <m:t>+jω</m:t>
                </m:r>
                <m:rad>
                  <m:radPr>
                    <m:degHide m:val="1"/>
                    <m:ctrlPr>
                      <w:rPr>
                        <w:rFonts w:ascii="Cambria Math" w:hAnsi="Cambria Math" w:cs="Arial"/>
                        <w:i/>
                      </w:rPr>
                    </m:ctrlPr>
                  </m:radPr>
                  <m:deg/>
                  <m:e>
                    <m:r>
                      <w:rPr>
                        <w:rFonts w:ascii="Cambria Math" w:hAnsi="Cambria Math" w:cs="Arial"/>
                      </w:rPr>
                      <m:t>μϵ</m:t>
                    </m:r>
                  </m:e>
                </m:rad>
                <m:d>
                  <m:dPr>
                    <m:begChr m:val="["/>
                    <m:endChr m:val="]"/>
                    <m:ctrlPr>
                      <w:rPr>
                        <w:rFonts w:ascii="Cambria Math" w:hAnsi="Cambria Math" w:cs="Arial"/>
                        <w:i/>
                      </w:rPr>
                    </m:ctrlPr>
                  </m:dPr>
                  <m:e>
                    <m:r>
                      <w:rPr>
                        <w:rFonts w:ascii="Cambria Math" w:hAnsi="Cambria Math" w:cs="Arial"/>
                      </w:rPr>
                      <m:t>1+</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w:rPr>
                                    <w:rFonts w:ascii="Cambria Math" w:hAnsi="Cambria Math" w:cs="Arial"/>
                                  </w:rPr>
                                  <m:t>σ</m:t>
                                </m:r>
                              </m:num>
                              <m:den>
                                <m:r>
                                  <w:rPr>
                                    <w:rFonts w:ascii="Cambria Math" w:hAnsi="Cambria Math" w:cs="Arial"/>
                                  </w:rPr>
                                  <m:t>ωϵ</m:t>
                                </m:r>
                              </m:den>
                            </m:f>
                          </m:e>
                        </m:d>
                      </m:e>
                      <m:sup>
                        <m:r>
                          <w:rPr>
                            <w:rFonts w:ascii="Cambria Math" w:hAnsi="Cambria Math" w:cs="Arial"/>
                          </w:rPr>
                          <m:t>2</m:t>
                        </m:r>
                      </m:sup>
                    </m:sSup>
                  </m:e>
                </m:d>
              </m:oMath>
            </m:oMathPara>
          </w:p>
        </w:tc>
        <w:tc>
          <w:tcPr>
            <w:tcW w:w="648" w:type="dxa"/>
            <w:tcBorders>
              <w:top w:val="nil"/>
              <w:left w:val="nil"/>
              <w:bottom w:val="nil"/>
              <w:right w:val="nil"/>
            </w:tcBorders>
            <w:shd w:val="clear" w:color="auto" w:fill="auto"/>
          </w:tcPr>
          <w:p w:rsidR="00705D32" w:rsidRPr="0052084F" w:rsidRDefault="00705D32" w:rsidP="00B81843">
            <w:pPr>
              <w:rPr>
                <w:rFonts w:ascii="Arial" w:hAnsi="Arial" w:cs="Arial"/>
              </w:rPr>
            </w:pPr>
            <w:r w:rsidRPr="0052084F">
              <w:rPr>
                <w:rFonts w:ascii="Arial" w:hAnsi="Arial" w:cs="Arial"/>
              </w:rPr>
              <w:t>(20)</w:t>
            </w:r>
          </w:p>
        </w:tc>
      </w:tr>
    </w:tbl>
    <w:p w:rsidR="00705D32" w:rsidRDefault="00705D32" w:rsidP="00705D32">
      <w:pPr>
        <w:rPr>
          <w:rFonts w:ascii="Arial" w:hAnsi="Arial" w:cs="Arial"/>
        </w:rPr>
      </w:pPr>
      <w:r>
        <w:rPr>
          <w:rFonts w:ascii="Arial" w:hAnsi="Arial" w:cs="Arial"/>
        </w:rPr>
        <w:t>Y la Onda electromagnética en el medio, se propagará como</w:t>
      </w:r>
    </w:p>
    <w:p w:rsidR="00705D32" w:rsidRPr="00705D32" w:rsidRDefault="00705D32" w:rsidP="00705D32">
      <w:pPr>
        <w:jc w:val="center"/>
        <w:rPr>
          <w:rFonts w:ascii="Arial" w:hAnsi="Arial" w:cs="Arial"/>
        </w:rPr>
      </w:pPr>
      <m:oMathPara>
        <m:oMath>
          <m:r>
            <w:rPr>
              <w:rFonts w:ascii="Cambria Math" w:eastAsia="Times New Roman" w:hAnsi="Cambria Math" w:cs="Arial"/>
            </w:rPr>
            <m:t>I</m:t>
          </m:r>
          <m:r>
            <w:rPr>
              <w:rFonts w:ascii="Cambria Math" w:eastAsia="Times New Roman" w:hAnsi="Arial" w:cs="Arial"/>
            </w:rPr>
            <m:t>=</m:t>
          </m:r>
          <m:sSub>
            <m:sSubPr>
              <m:ctrlPr>
                <w:rPr>
                  <w:rFonts w:ascii="Cambria Math" w:eastAsia="Times New Roman" w:hAnsi="Arial" w:cs="Arial"/>
                  <w:i/>
                </w:rPr>
              </m:ctrlPr>
            </m:sSubPr>
            <m:e>
              <m:r>
                <w:rPr>
                  <w:rFonts w:ascii="Cambria Math" w:eastAsia="Times New Roman" w:hAnsi="Cambria Math" w:cs="Arial"/>
                </w:rPr>
                <m:t>I</m:t>
              </m:r>
            </m:e>
            <m:sub>
              <m:r>
                <w:rPr>
                  <w:rFonts w:ascii="Cambria Math" w:eastAsia="Times New Roman" w:hAnsi="Arial" w:cs="Arial"/>
                </w:rPr>
                <m:t>0</m:t>
              </m:r>
            </m:sub>
          </m:sSub>
          <m:sSup>
            <m:sSupPr>
              <m:ctrlPr>
                <w:rPr>
                  <w:rFonts w:ascii="Cambria Math" w:eastAsia="Times New Roman" w:hAnsi="Arial" w:cs="Arial"/>
                  <w:i/>
                </w:rPr>
              </m:ctrlPr>
            </m:sSupPr>
            <m:e>
              <m:r>
                <w:rPr>
                  <w:rFonts w:ascii="Cambria Math" w:eastAsia="Times New Roman" w:hAnsi="Cambria Math" w:cs="Arial"/>
                </w:rPr>
                <m:t>e</m:t>
              </m:r>
            </m:e>
            <m:sup>
              <m:r>
                <w:rPr>
                  <w:rFonts w:ascii="Cambria Math" w:eastAsia="Times New Roman" w:hAnsi="Cambria Math" w:cs="Arial"/>
                </w:rPr>
                <m:t>-ω</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ad>
                <m:radPr>
                  <m:degHide m:val="1"/>
                  <m:ctrlPr>
                    <w:rPr>
                      <w:rFonts w:ascii="Cambria Math" w:hAnsi="Cambria Math" w:cs="Arial"/>
                      <w:i/>
                    </w:rPr>
                  </m:ctrlPr>
                </m:radPr>
                <m:deg/>
                <m:e>
                  <m:f>
                    <m:fPr>
                      <m:ctrlPr>
                        <w:rPr>
                          <w:rFonts w:ascii="Cambria Math" w:hAnsi="Cambria Math" w:cs="Arial"/>
                          <w:i/>
                        </w:rPr>
                      </m:ctrlPr>
                    </m:fPr>
                    <m:num>
                      <m:r>
                        <w:rPr>
                          <w:rFonts w:ascii="Cambria Math" w:hAnsi="Cambria Math" w:cs="Arial"/>
                        </w:rPr>
                        <m:t>μ</m:t>
                      </m:r>
                    </m:num>
                    <m:den>
                      <m:r>
                        <w:rPr>
                          <w:rFonts w:ascii="Cambria Math" w:hAnsi="Cambria Math" w:cs="Arial"/>
                        </w:rPr>
                        <m:t>ϵ</m:t>
                      </m:r>
                    </m:den>
                  </m:f>
                </m:e>
              </m:rad>
              <m:r>
                <w:rPr>
                  <w:rFonts w:ascii="Cambria Math" w:hAnsi="Cambria Math" w:cs="Arial"/>
                </w:rPr>
                <m:t>σ</m:t>
              </m:r>
              <m:d>
                <m:dPr>
                  <m:begChr m:val="["/>
                  <m:endChr m:val="]"/>
                  <m:ctrlPr>
                    <w:rPr>
                      <w:rFonts w:ascii="Cambria Math" w:hAnsi="Cambria Math" w:cs="Arial"/>
                      <w:i/>
                    </w:rPr>
                  </m:ctrlPr>
                </m:dPr>
                <m:e>
                  <m:r>
                    <w:rPr>
                      <w:rFonts w:ascii="Cambria Math" w:hAnsi="Cambria Math" w:cs="Arial"/>
                    </w:rPr>
                    <m:t>1-</m:t>
                  </m:r>
                  <m:f>
                    <m:fPr>
                      <m:ctrlPr>
                        <w:rPr>
                          <w:rFonts w:ascii="Cambria Math" w:hAnsi="Cambria Math" w:cs="Arial"/>
                          <w:i/>
                        </w:rPr>
                      </m:ctrlPr>
                    </m:fPr>
                    <m:num>
                      <m:r>
                        <w:rPr>
                          <w:rFonts w:ascii="Cambria Math" w:hAnsi="Cambria Math" w:cs="Arial"/>
                        </w:rPr>
                        <m:t>1</m:t>
                      </m:r>
                    </m:num>
                    <m:den>
                      <m:r>
                        <w:rPr>
                          <w:rFonts w:ascii="Cambria Math" w:hAnsi="Cambria Math" w:cs="Arial"/>
                        </w:rPr>
                        <m:t>8</m:t>
                      </m:r>
                    </m:den>
                  </m:f>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w:rPr>
                                  <w:rFonts w:ascii="Cambria Math" w:hAnsi="Cambria Math" w:cs="Arial"/>
                                </w:rPr>
                                <m:t>σ</m:t>
                              </m:r>
                            </m:num>
                            <m:den>
                              <m:r>
                                <w:rPr>
                                  <w:rFonts w:ascii="Cambria Math" w:hAnsi="Cambria Math" w:cs="Arial"/>
                                </w:rPr>
                                <m:t>ωϵ</m:t>
                              </m:r>
                            </m:den>
                          </m:f>
                        </m:e>
                      </m:d>
                    </m:e>
                    <m:sup>
                      <m:r>
                        <w:rPr>
                          <w:rFonts w:ascii="Cambria Math" w:hAnsi="Cambria Math" w:cs="Arial"/>
                        </w:rPr>
                        <m:t>2</m:t>
                      </m:r>
                    </m:sup>
                  </m:sSup>
                </m:e>
              </m:d>
              <m:r>
                <w:rPr>
                  <w:rFonts w:ascii="Cambria Math" w:eastAsia="Times New Roman" w:hAnsi="Cambria Math" w:cs="Arial"/>
                </w:rPr>
                <m:t>∙r</m:t>
              </m:r>
            </m:sup>
          </m:sSup>
          <m:sSup>
            <m:sSupPr>
              <m:ctrlPr>
                <w:rPr>
                  <w:rFonts w:ascii="Cambria Math" w:eastAsia="Times New Roman" w:hAnsi="Arial" w:cs="Arial"/>
                  <w:i/>
                </w:rPr>
              </m:ctrlPr>
            </m:sSupPr>
            <m:e>
              <m:r>
                <w:rPr>
                  <w:rFonts w:ascii="Cambria Math" w:eastAsia="Times New Roman" w:hAnsi="Cambria Math" w:cs="Arial"/>
                </w:rPr>
                <m:t>e</m:t>
              </m:r>
            </m:e>
            <m:sup>
              <m:r>
                <w:rPr>
                  <w:rFonts w:ascii="Cambria Math" w:hAnsi="Cambria Math" w:cs="Arial"/>
                </w:rPr>
                <m:t>jω</m:t>
              </m:r>
              <m:rad>
                <m:radPr>
                  <m:degHide m:val="1"/>
                  <m:ctrlPr>
                    <w:rPr>
                      <w:rFonts w:ascii="Cambria Math" w:hAnsi="Cambria Math" w:cs="Arial"/>
                      <w:i/>
                    </w:rPr>
                  </m:ctrlPr>
                </m:radPr>
                <m:deg/>
                <m:e>
                  <m:r>
                    <w:rPr>
                      <w:rFonts w:ascii="Cambria Math" w:hAnsi="Cambria Math" w:cs="Arial"/>
                    </w:rPr>
                    <m:t>μϵ</m:t>
                  </m:r>
                </m:e>
              </m:rad>
              <m:d>
                <m:dPr>
                  <m:begChr m:val="["/>
                  <m:endChr m:val="]"/>
                  <m:ctrlPr>
                    <w:rPr>
                      <w:rFonts w:ascii="Cambria Math" w:hAnsi="Cambria Math" w:cs="Arial"/>
                      <w:i/>
                    </w:rPr>
                  </m:ctrlPr>
                </m:dPr>
                <m:e>
                  <m:r>
                    <w:rPr>
                      <w:rFonts w:ascii="Cambria Math" w:hAnsi="Cambria Math" w:cs="Arial"/>
                    </w:rPr>
                    <m:t>1+</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w:rPr>
                                  <w:rFonts w:ascii="Cambria Math" w:hAnsi="Cambria Math" w:cs="Arial"/>
                                </w:rPr>
                                <m:t>σ</m:t>
                              </m:r>
                            </m:num>
                            <m:den>
                              <m:r>
                                <w:rPr>
                                  <w:rFonts w:ascii="Cambria Math" w:hAnsi="Cambria Math" w:cs="Arial"/>
                                </w:rPr>
                                <m:t>ωϵ</m:t>
                              </m:r>
                            </m:den>
                          </m:f>
                        </m:e>
                      </m:d>
                    </m:e>
                    <m:sup>
                      <m:r>
                        <w:rPr>
                          <w:rFonts w:ascii="Cambria Math" w:hAnsi="Cambria Math" w:cs="Arial"/>
                        </w:rPr>
                        <m:t>2</m:t>
                      </m:r>
                    </m:sup>
                  </m:sSup>
                </m:e>
              </m:d>
            </m:sup>
          </m:sSup>
          <m:sSup>
            <m:sSupPr>
              <m:ctrlPr>
                <w:rPr>
                  <w:rFonts w:ascii="Cambria Math" w:eastAsia="Times New Roman" w:hAnsi="Cambria Math" w:cs="Arial"/>
                  <w:i/>
                </w:rPr>
              </m:ctrlPr>
            </m:sSupPr>
            <m:e>
              <m:r>
                <w:rPr>
                  <w:rFonts w:ascii="Cambria Math" w:eastAsia="Times New Roman" w:hAnsi="Cambria Math" w:cs="Arial"/>
                </w:rPr>
                <m:t>e</m:t>
              </m:r>
            </m:e>
            <m:sup>
              <m:r>
                <w:rPr>
                  <w:rFonts w:ascii="Cambria Math" w:eastAsia="Times New Roman" w:hAnsi="Cambria Math" w:cs="Arial"/>
                </w:rPr>
                <m:t>jωt</m:t>
              </m:r>
            </m:sup>
          </m:sSup>
        </m:oMath>
      </m:oMathPara>
    </w:p>
    <w:p w:rsidR="00705D32" w:rsidRPr="006A50CD" w:rsidRDefault="00705D32" w:rsidP="00705D32">
      <w:pPr>
        <w:autoSpaceDE w:val="0"/>
        <w:autoSpaceDN w:val="0"/>
        <w:adjustRightInd w:val="0"/>
        <w:jc w:val="both"/>
        <w:rPr>
          <w:rFonts w:ascii="Arial" w:hAnsi="Arial" w:cs="Arial"/>
          <w:color w:val="000000"/>
          <w:lang w:eastAsia="es-ES"/>
        </w:rPr>
      </w:pPr>
      <w:r w:rsidRPr="006A50CD">
        <w:rPr>
          <w:rFonts w:ascii="Arial" w:hAnsi="Arial" w:cs="Arial"/>
          <w:color w:val="000000"/>
          <w:lang w:eastAsia="es-ES"/>
        </w:rPr>
        <w:t>Y la onda electromagnética en el medio en el cual la conductividad sea alta se propagará como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0"/>
        <w:gridCol w:w="648"/>
      </w:tblGrid>
      <w:tr w:rsidR="00705D32" w:rsidRPr="0052084F" w:rsidTr="00B81843">
        <w:tc>
          <w:tcPr>
            <w:tcW w:w="8330" w:type="dxa"/>
            <w:tcBorders>
              <w:top w:val="nil"/>
              <w:left w:val="nil"/>
              <w:bottom w:val="nil"/>
              <w:right w:val="nil"/>
            </w:tcBorders>
            <w:shd w:val="clear" w:color="auto" w:fill="auto"/>
          </w:tcPr>
          <w:p w:rsidR="00705D32" w:rsidRPr="00705D32" w:rsidRDefault="00705D32" w:rsidP="00B81843">
            <w:pPr>
              <w:autoSpaceDE w:val="0"/>
              <w:autoSpaceDN w:val="0"/>
              <w:adjustRightInd w:val="0"/>
              <w:jc w:val="center"/>
              <w:rPr>
                <w:rFonts w:ascii="Arial" w:hAnsi="Arial" w:cs="Arial"/>
              </w:rPr>
            </w:pPr>
            <m:oMathPara>
              <m:oMath>
                <m:r>
                  <w:rPr>
                    <w:rFonts w:ascii="Cambria Math" w:hAnsi="Cambria Math"/>
                  </w:rPr>
                  <m:t>I=</m:t>
                </m:r>
                <m:sSub>
                  <m:sSubPr>
                    <m:ctrlPr>
                      <w:rPr>
                        <w:rFonts w:ascii="Cambria Math" w:hAnsi="Cambria Math"/>
                      </w:rPr>
                    </m:ctrlPr>
                  </m:sSubPr>
                  <m:e>
                    <m:r>
                      <w:rPr>
                        <w:rFonts w:ascii="Cambria Math" w:hAnsi="Cambria Math"/>
                      </w:rPr>
                      <m:t>I</m:t>
                    </m:r>
                  </m:e>
                  <m:sub>
                    <m:r>
                      <w:rPr>
                        <w:rFonts w:ascii="Cambria Math" w:hAnsi="Cambria Math"/>
                      </w:rPr>
                      <m:t>0</m:t>
                    </m:r>
                  </m:sub>
                </m:sSub>
                <m:sSup>
                  <m:sSupPr>
                    <m:ctrlPr>
                      <w:rPr>
                        <w:rFonts w:ascii="Cambria Math" w:hAnsi="Cambria Math"/>
                      </w:rPr>
                    </m:ctrlPr>
                  </m:sSupPr>
                  <m:e>
                    <m:r>
                      <w:rPr>
                        <w:rFonts w:ascii="Cambria Math" w:hAnsi="Cambria Math"/>
                      </w:rPr>
                      <m:t>e</m:t>
                    </m:r>
                  </m:e>
                  <m:sup>
                    <m:r>
                      <w:rPr>
                        <w:rFonts w:ascii="Cambria Math" w:hAnsi="Cambria Math"/>
                      </w:rPr>
                      <m:t>±ω</m:t>
                    </m:r>
                    <m:d>
                      <m:dPr>
                        <m:ctrlPr>
                          <w:rPr>
                            <w:rFonts w:ascii="Cambria Math" w:hAnsi="Cambria Math"/>
                          </w:rPr>
                        </m:ctrlPr>
                      </m:dPr>
                      <m:e>
                        <m:r>
                          <w:rPr>
                            <w:rFonts w:ascii="Cambria Math" w:hAnsi="Cambria Math"/>
                          </w:rPr>
                          <m:t>r+1</m:t>
                        </m:r>
                      </m:e>
                    </m:d>
                    <m:rad>
                      <m:radPr>
                        <m:degHide m:val="1"/>
                        <m:ctrlPr>
                          <w:rPr>
                            <w:rFonts w:ascii="Cambria Math" w:hAnsi="Cambria Math"/>
                          </w:rPr>
                        </m:ctrlPr>
                      </m:radPr>
                      <m:deg/>
                      <m:e>
                        <m:f>
                          <m:fPr>
                            <m:ctrlPr>
                              <w:rPr>
                                <w:rFonts w:ascii="Cambria Math" w:hAnsi="Cambria Math"/>
                              </w:rPr>
                            </m:ctrlPr>
                          </m:fPr>
                          <m:num>
                            <m:r>
                              <w:rPr>
                                <w:rFonts w:ascii="Cambria Math" w:hAnsi="Cambria Math"/>
                              </w:rPr>
                              <m:t>με</m:t>
                            </m:r>
                          </m:num>
                          <m:den>
                            <m:r>
                              <w:rPr>
                                <w:rFonts w:ascii="Cambria Math" w:hAnsi="Cambria Math"/>
                              </w:rPr>
                              <m:t>2</m:t>
                            </m:r>
                          </m:den>
                        </m:f>
                      </m:e>
                    </m:rad>
                    <m:rad>
                      <m:radPr>
                        <m:degHide m:val="1"/>
                        <m:ctrlPr>
                          <w:rPr>
                            <w:rFonts w:ascii="Cambria Math" w:hAnsi="Cambria Math"/>
                          </w:rPr>
                        </m:ctrlPr>
                      </m:radPr>
                      <m:deg/>
                      <m:e>
                        <m:f>
                          <m:fPr>
                            <m:ctrlPr>
                              <w:rPr>
                                <w:rFonts w:ascii="Cambria Math" w:hAnsi="Cambria Math"/>
                              </w:rPr>
                            </m:ctrlPr>
                          </m:fPr>
                          <m:num>
                            <m:d>
                              <m:dPr>
                                <m:ctrlPr>
                                  <w:rPr>
                                    <w:rFonts w:ascii="Cambria Math" w:hAnsi="Cambria Math"/>
                                  </w:rPr>
                                </m:ctrlPr>
                              </m:dPr>
                              <m:e>
                                <m:f>
                                  <m:fPr>
                                    <m:ctrlPr>
                                      <w:rPr>
                                        <w:rFonts w:ascii="Cambria Math" w:hAnsi="Cambria Math"/>
                                      </w:rPr>
                                    </m:ctrlPr>
                                  </m:fPr>
                                  <m:num>
                                    <m:r>
                                      <w:rPr>
                                        <w:rFonts w:ascii="Cambria Math" w:hAnsi="Cambria Math"/>
                                      </w:rPr>
                                      <m:t>σ</m:t>
                                    </m:r>
                                  </m:num>
                                  <m:den>
                                    <m:r>
                                      <w:rPr>
                                        <w:rFonts w:ascii="Cambria Math" w:hAnsi="Cambria Math"/>
                                      </w:rPr>
                                      <m:t>ωε</m:t>
                                    </m:r>
                                  </m:den>
                                </m:f>
                              </m:e>
                            </m:d>
                            <m:r>
                              <w:rPr>
                                <w:rFonts w:ascii="Cambria Math" w:hAnsi="Cambria Math"/>
                              </w:rPr>
                              <m:t>-1</m:t>
                            </m:r>
                          </m:num>
                          <m:den>
                            <m:r>
                              <w:rPr>
                                <w:rFonts w:ascii="Cambria Math" w:hAnsi="Cambria Math"/>
                              </w:rPr>
                              <m:t>2</m:t>
                            </m:r>
                          </m:den>
                        </m:f>
                      </m:e>
                    </m:rad>
                  </m:sup>
                </m:sSup>
                <m:sSup>
                  <m:sSupPr>
                    <m:ctrlPr>
                      <w:rPr>
                        <w:rFonts w:ascii="Cambria Math" w:hAnsi="Cambria Math"/>
                      </w:rPr>
                    </m:ctrlPr>
                  </m:sSupPr>
                  <m:e>
                    <m:r>
                      <w:rPr>
                        <w:rFonts w:ascii="Cambria Math" w:hAnsi="Cambria Math"/>
                      </w:rPr>
                      <m:t>e</m:t>
                    </m:r>
                  </m:e>
                  <m:sup>
                    <m:r>
                      <w:rPr>
                        <w:rFonts w:ascii="Cambria Math" w:hAnsi="Cambria Math"/>
                      </w:rPr>
                      <m:t>∓jω</m:t>
                    </m:r>
                    <m:d>
                      <m:dPr>
                        <m:ctrlPr>
                          <w:rPr>
                            <w:rFonts w:ascii="Cambria Math" w:hAnsi="Cambria Math"/>
                          </w:rPr>
                        </m:ctrlPr>
                      </m:dPr>
                      <m:e>
                        <m:r>
                          <w:rPr>
                            <w:rFonts w:ascii="Cambria Math" w:hAnsi="Cambria Math"/>
                          </w:rPr>
                          <m:t>r+1</m:t>
                        </m:r>
                      </m:e>
                    </m:d>
                    <m:rad>
                      <m:radPr>
                        <m:degHide m:val="1"/>
                        <m:ctrlPr>
                          <w:rPr>
                            <w:rFonts w:ascii="Cambria Math" w:hAnsi="Cambria Math"/>
                          </w:rPr>
                        </m:ctrlPr>
                      </m:radPr>
                      <m:deg/>
                      <m:e>
                        <m:f>
                          <m:fPr>
                            <m:ctrlPr>
                              <w:rPr>
                                <w:rFonts w:ascii="Cambria Math" w:hAnsi="Cambria Math"/>
                              </w:rPr>
                            </m:ctrlPr>
                          </m:fPr>
                          <m:num>
                            <m:r>
                              <w:rPr>
                                <w:rFonts w:ascii="Cambria Math" w:hAnsi="Cambria Math"/>
                              </w:rPr>
                              <m:t>με</m:t>
                            </m:r>
                          </m:num>
                          <m:den>
                            <m:r>
                              <w:rPr>
                                <w:rFonts w:ascii="Cambria Math" w:hAnsi="Cambria Math"/>
                              </w:rPr>
                              <m:t>2</m:t>
                            </m:r>
                          </m:den>
                        </m:f>
                      </m:e>
                    </m:rad>
                    <m:rad>
                      <m:radPr>
                        <m:degHide m:val="1"/>
                        <m:ctrlPr>
                          <w:rPr>
                            <w:rFonts w:ascii="Cambria Math" w:hAnsi="Cambria Math"/>
                          </w:rPr>
                        </m:ctrlPr>
                      </m:radPr>
                      <m:deg/>
                      <m:e>
                        <m:f>
                          <m:fPr>
                            <m:ctrlPr>
                              <w:rPr>
                                <w:rFonts w:ascii="Cambria Math" w:hAnsi="Cambria Math"/>
                              </w:rPr>
                            </m:ctrlPr>
                          </m:fPr>
                          <m:num>
                            <m:d>
                              <m:dPr>
                                <m:ctrlPr>
                                  <w:rPr>
                                    <w:rFonts w:ascii="Cambria Math" w:hAnsi="Cambria Math"/>
                                  </w:rPr>
                                </m:ctrlPr>
                              </m:dPr>
                              <m:e>
                                <m:f>
                                  <m:fPr>
                                    <m:ctrlPr>
                                      <w:rPr>
                                        <w:rFonts w:ascii="Cambria Math" w:hAnsi="Cambria Math"/>
                                      </w:rPr>
                                    </m:ctrlPr>
                                  </m:fPr>
                                  <m:num>
                                    <m:r>
                                      <w:rPr>
                                        <w:rFonts w:ascii="Cambria Math" w:hAnsi="Cambria Math"/>
                                      </w:rPr>
                                      <m:t>σ</m:t>
                                    </m:r>
                                  </m:num>
                                  <m:den>
                                    <m:r>
                                      <w:rPr>
                                        <w:rFonts w:ascii="Cambria Math" w:hAnsi="Cambria Math"/>
                                      </w:rPr>
                                      <m:t>ωε</m:t>
                                    </m:r>
                                  </m:den>
                                </m:f>
                              </m:e>
                            </m:d>
                            <m:r>
                              <w:rPr>
                                <w:rFonts w:ascii="Cambria Math" w:hAnsi="Cambria Math"/>
                              </w:rPr>
                              <m:t>+1</m:t>
                            </m:r>
                          </m:num>
                          <m:den>
                            <m:r>
                              <w:rPr>
                                <w:rFonts w:ascii="Cambria Math" w:hAnsi="Cambria Math"/>
                              </w:rPr>
                              <m:t>2</m:t>
                            </m:r>
                          </m:den>
                        </m:f>
                      </m:e>
                    </m:rad>
                  </m:sup>
                </m:sSup>
                <m:sSup>
                  <m:sSupPr>
                    <m:ctrlPr>
                      <w:rPr>
                        <w:rFonts w:ascii="Cambria Math" w:hAnsi="Cambria Math"/>
                      </w:rPr>
                    </m:ctrlPr>
                  </m:sSupPr>
                  <m:e>
                    <m:r>
                      <w:rPr>
                        <w:rFonts w:ascii="Cambria Math" w:hAnsi="Cambria Math"/>
                      </w:rPr>
                      <m:t>e</m:t>
                    </m:r>
                  </m:e>
                  <m:sup>
                    <m:r>
                      <w:rPr>
                        <w:rFonts w:ascii="Cambria Math" w:hAnsi="Cambria Math"/>
                      </w:rPr>
                      <m:t>jωt</m:t>
                    </m:r>
                  </m:sup>
                </m:sSup>
              </m:oMath>
            </m:oMathPara>
          </w:p>
        </w:tc>
        <w:tc>
          <w:tcPr>
            <w:tcW w:w="648" w:type="dxa"/>
            <w:tcBorders>
              <w:top w:val="nil"/>
              <w:left w:val="nil"/>
              <w:bottom w:val="nil"/>
              <w:right w:val="nil"/>
            </w:tcBorders>
            <w:shd w:val="clear" w:color="auto" w:fill="auto"/>
          </w:tcPr>
          <w:p w:rsidR="00705D32" w:rsidRPr="0052084F" w:rsidRDefault="00705D32" w:rsidP="00B81843">
            <w:pPr>
              <w:rPr>
                <w:rFonts w:ascii="Arial" w:hAnsi="Arial" w:cs="Arial"/>
              </w:rPr>
            </w:pPr>
            <w:r w:rsidRPr="0052084F">
              <w:rPr>
                <w:rFonts w:ascii="Arial" w:hAnsi="Arial" w:cs="Arial"/>
              </w:rPr>
              <w:t>(21)</w:t>
            </w:r>
          </w:p>
        </w:tc>
      </w:tr>
    </w:tbl>
    <w:p w:rsidR="00705D32" w:rsidRPr="006A50CD" w:rsidRDefault="00705D32" w:rsidP="00705D32">
      <w:pPr>
        <w:autoSpaceDE w:val="0"/>
        <w:autoSpaceDN w:val="0"/>
        <w:adjustRightInd w:val="0"/>
        <w:jc w:val="both"/>
        <w:rPr>
          <w:rFonts w:ascii="Arial" w:hAnsi="Arial" w:cs="Arial"/>
          <w:color w:val="000000"/>
          <w:lang w:eastAsia="es-ES"/>
        </w:rPr>
      </w:pPr>
    </w:p>
    <w:p w:rsidR="00705D32" w:rsidRPr="006A50CD" w:rsidRDefault="00705D32" w:rsidP="00705D32">
      <w:pPr>
        <w:autoSpaceDE w:val="0"/>
        <w:autoSpaceDN w:val="0"/>
        <w:adjustRightInd w:val="0"/>
        <w:jc w:val="both"/>
        <w:rPr>
          <w:rFonts w:ascii="Arial" w:hAnsi="Arial" w:cs="Arial"/>
          <w:color w:val="000000"/>
          <w:lang w:eastAsia="es-ES"/>
        </w:rPr>
      </w:pPr>
      <w:r w:rsidRPr="006A50CD">
        <w:rPr>
          <w:rFonts w:ascii="Arial" w:hAnsi="Arial" w:cs="Arial"/>
          <w:color w:val="000000"/>
          <w:lang w:eastAsia="es-ES"/>
        </w:rPr>
        <w:t>Estas condiciones son un punto de partida para la posibilidad de escalar el proceso a nivel industrial, para ello basta solamente establecer si el agua requerida sea para regadío, por ejemplo, de esta manera se puede pasar de agua con conductividad cero, a agua con conductividad baja. El proceso en general pasará por etapas que, en relación con las características electromagnéticas y su variación temporal, permitirán establecer tiempos de descontaminación y escalado industrial.</w:t>
      </w:r>
    </w:p>
    <w:p w:rsidR="00705D32" w:rsidRDefault="00705D32" w:rsidP="00705D32">
      <w:pPr>
        <w:jc w:val="both"/>
        <w:rPr>
          <w:rFonts w:ascii="Arial" w:hAnsi="Arial" w:cs="Arial"/>
        </w:rPr>
      </w:pPr>
    </w:p>
    <w:p w:rsidR="00705D32" w:rsidRPr="00300DF0" w:rsidRDefault="00705D32" w:rsidP="00257D10">
      <w:pPr>
        <w:pStyle w:val="1Titulo"/>
        <w:numPr>
          <w:ilvl w:val="0"/>
          <w:numId w:val="7"/>
        </w:numPr>
      </w:pPr>
      <w:bookmarkStart w:id="88" w:name="_Toc50031203"/>
      <w:r w:rsidRPr="00300DF0">
        <w:t>Conclusiones</w:t>
      </w:r>
      <w:bookmarkEnd w:id="88"/>
    </w:p>
    <w:p w:rsidR="00705D32" w:rsidRDefault="00705D32" w:rsidP="00705D32">
      <w:pPr>
        <w:ind w:firstLine="567"/>
        <w:jc w:val="both"/>
        <w:rPr>
          <w:rFonts w:ascii="Arial" w:hAnsi="Arial" w:cs="Arial"/>
        </w:rPr>
      </w:pPr>
      <w:r>
        <w:rPr>
          <w:rFonts w:ascii="Arial" w:hAnsi="Arial" w:cs="Arial"/>
        </w:rPr>
        <w:t>Al presentar este modelo para la absorción de fotones, se realizó un cambio radical de enfoque. Las propiedades eléctricas y magnéticas del fluido, tales como permeabilidad, permitividad y conductividad, asociadas al medio junto con la frecuencia de la radiación UV presentan una alternativa interesante de obtener la LVRPA, a todas luces importante en el moldeamiento de los foto reactores.</w:t>
      </w:r>
    </w:p>
    <w:p w:rsidR="00705D32" w:rsidRDefault="00705D32" w:rsidP="00705D32">
      <w:pPr>
        <w:jc w:val="center"/>
        <w:rPr>
          <w:rFonts w:ascii="Arial" w:hAnsi="Arial" w:cs="Arial"/>
        </w:rPr>
      </w:pPr>
      <w:r w:rsidRPr="00300DF0">
        <w:rPr>
          <w:rFonts w:ascii="Arial" w:hAnsi="Arial" w:cs="Arial"/>
          <w:noProof/>
          <w:lang w:val="en-US"/>
        </w:rPr>
        <w:lastRenderedPageBreak/>
        <w:drawing>
          <wp:inline distT="0" distB="0" distL="0" distR="0" wp14:anchorId="3DDDA7CF" wp14:editId="7B7B7BB9">
            <wp:extent cx="4572000" cy="2743200"/>
            <wp:effectExtent l="0" t="0" r="0" b="0"/>
            <wp:docPr id="33" name="Gráfico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705D32" w:rsidRPr="008A3385" w:rsidRDefault="00705D32" w:rsidP="00705D32">
      <w:pPr>
        <w:jc w:val="center"/>
        <w:rPr>
          <w:rFonts w:ascii="Arial" w:hAnsi="Arial" w:cs="Arial"/>
          <w:sz w:val="20"/>
          <w:szCs w:val="20"/>
        </w:rPr>
      </w:pPr>
      <w:r w:rsidRPr="008A3385">
        <w:rPr>
          <w:rFonts w:ascii="Arial" w:hAnsi="Arial" w:cs="Arial"/>
          <w:sz w:val="20"/>
          <w:szCs w:val="20"/>
        </w:rPr>
        <w:t xml:space="preserve">Figura </w:t>
      </w:r>
      <w:r>
        <w:rPr>
          <w:rFonts w:ascii="Arial" w:hAnsi="Arial" w:cs="Arial"/>
          <w:sz w:val="20"/>
          <w:szCs w:val="20"/>
        </w:rPr>
        <w:t>3</w:t>
      </w:r>
      <w:r w:rsidRPr="008A3385">
        <w:rPr>
          <w:rFonts w:ascii="Arial" w:hAnsi="Arial" w:cs="Arial"/>
          <w:sz w:val="20"/>
          <w:szCs w:val="20"/>
        </w:rPr>
        <w:t>. Comparación entre el factor de atenuación y la concentración</w:t>
      </w:r>
      <w:r w:rsidRPr="00300DF0">
        <w:rPr>
          <w:rFonts w:ascii="Arial" w:hAnsi="Arial" w:cs="Arial"/>
          <w:sz w:val="20"/>
          <w:szCs w:val="20"/>
          <w:vertAlign w:val="superscript"/>
        </w:rPr>
        <w:t>[</w:t>
      </w:r>
      <w:r>
        <w:rPr>
          <w:rFonts w:ascii="Arial" w:hAnsi="Arial" w:cs="Arial"/>
          <w:sz w:val="20"/>
          <w:szCs w:val="20"/>
          <w:vertAlign w:val="superscript"/>
        </w:rPr>
        <w:t>8</w:t>
      </w:r>
      <w:r w:rsidRPr="00300DF0">
        <w:rPr>
          <w:rFonts w:ascii="Arial" w:hAnsi="Arial" w:cs="Arial"/>
          <w:sz w:val="20"/>
          <w:szCs w:val="20"/>
          <w:vertAlign w:val="superscript"/>
        </w:rPr>
        <w:t>].</w:t>
      </w:r>
    </w:p>
    <w:p w:rsidR="00705D32" w:rsidRDefault="00705D32" w:rsidP="00705D32">
      <w:pPr>
        <w:ind w:firstLine="567"/>
        <w:jc w:val="both"/>
        <w:rPr>
          <w:rFonts w:ascii="Arial" w:hAnsi="Arial" w:cs="Arial"/>
        </w:rPr>
      </w:pPr>
    </w:p>
    <w:p w:rsidR="00705D32" w:rsidRDefault="00705D32" w:rsidP="00705D32">
      <w:pPr>
        <w:ind w:firstLine="567"/>
        <w:jc w:val="both"/>
        <w:rPr>
          <w:rFonts w:ascii="Arial" w:hAnsi="Arial" w:cs="Arial"/>
        </w:rPr>
      </w:pPr>
      <w:r>
        <w:rPr>
          <w:rFonts w:ascii="Arial" w:hAnsi="Arial" w:cs="Arial"/>
        </w:rPr>
        <w:t>Existe una clara relación entre el factor de atenuación de la onda electromagnética con la concentración de ácido oxálico, lo que se ajusta con lo reportado por Bandala et al</w:t>
      </w:r>
      <w:r w:rsidRPr="00300DF0">
        <w:rPr>
          <w:rFonts w:ascii="Arial" w:hAnsi="Arial" w:cs="Arial"/>
          <w:vertAlign w:val="superscript"/>
        </w:rPr>
        <w:t>[</w:t>
      </w:r>
      <w:r>
        <w:rPr>
          <w:rFonts w:ascii="Arial" w:hAnsi="Arial" w:cs="Arial"/>
          <w:vertAlign w:val="superscript"/>
        </w:rPr>
        <w:t>8</w:t>
      </w:r>
      <w:r w:rsidRPr="00300DF0">
        <w:rPr>
          <w:rFonts w:ascii="Arial" w:hAnsi="Arial" w:cs="Arial"/>
          <w:vertAlign w:val="superscript"/>
        </w:rPr>
        <w:t>].</w:t>
      </w:r>
    </w:p>
    <w:p w:rsidR="00705D32" w:rsidRDefault="00705D32" w:rsidP="00705D32">
      <w:pPr>
        <w:ind w:firstLine="567"/>
        <w:jc w:val="both"/>
        <w:rPr>
          <w:rFonts w:ascii="Arial" w:hAnsi="Arial" w:cs="Arial"/>
        </w:rPr>
      </w:pPr>
      <w:r>
        <w:rPr>
          <w:rFonts w:ascii="Arial" w:hAnsi="Arial" w:cs="Arial"/>
        </w:rPr>
        <w:t>El modelo desarrollado se contrastó con los datos reportados</w:t>
      </w:r>
      <w:r w:rsidRPr="00300DF0">
        <w:rPr>
          <w:rFonts w:ascii="Arial" w:hAnsi="Arial" w:cs="Arial"/>
          <w:vertAlign w:val="superscript"/>
        </w:rPr>
        <w:t>[</w:t>
      </w:r>
      <w:r>
        <w:rPr>
          <w:rFonts w:ascii="Arial" w:hAnsi="Arial" w:cs="Arial"/>
          <w:vertAlign w:val="superscript"/>
        </w:rPr>
        <w:t>8</w:t>
      </w:r>
      <w:r w:rsidRPr="00300DF0">
        <w:rPr>
          <w:rFonts w:ascii="Arial" w:hAnsi="Arial" w:cs="Arial"/>
          <w:vertAlign w:val="superscript"/>
        </w:rPr>
        <w:t>]</w:t>
      </w:r>
      <w:r>
        <w:rPr>
          <w:rFonts w:ascii="Arial" w:hAnsi="Arial" w:cs="Arial"/>
        </w:rPr>
        <w:t xml:space="preserve"> ver Figura 3, los que se ajustaron aproximadamente en un 85%, que representa un buen ajuste.</w:t>
      </w:r>
    </w:p>
    <w:p w:rsidR="00705D32" w:rsidRDefault="00705D32" w:rsidP="00705D32">
      <w:pPr>
        <w:jc w:val="both"/>
        <w:rPr>
          <w:rFonts w:ascii="Arial" w:hAnsi="Arial" w:cs="Arial"/>
        </w:rPr>
      </w:pPr>
    </w:p>
    <w:p w:rsidR="00705D32" w:rsidRDefault="00705D32" w:rsidP="00705D32">
      <w:pPr>
        <w:ind w:firstLine="567"/>
        <w:jc w:val="both"/>
        <w:rPr>
          <w:rFonts w:ascii="Arial" w:hAnsi="Arial" w:cs="Arial"/>
        </w:rPr>
      </w:pPr>
      <w:r>
        <w:rPr>
          <w:rFonts w:ascii="Arial" w:hAnsi="Arial" w:cs="Arial"/>
        </w:rPr>
        <w:t>Las características electromagnéticas, claramente se relacionan con las características químicas de la suspensión, para el caso reportado por Bandala</w:t>
      </w:r>
      <w:r w:rsidRPr="00300DF0">
        <w:rPr>
          <w:rFonts w:ascii="Arial" w:hAnsi="Arial" w:cs="Arial"/>
          <w:vertAlign w:val="superscript"/>
        </w:rPr>
        <w:t>[</w:t>
      </w:r>
      <w:r>
        <w:rPr>
          <w:rFonts w:ascii="Arial" w:hAnsi="Arial" w:cs="Arial"/>
          <w:vertAlign w:val="superscript"/>
        </w:rPr>
        <w:t>8</w:t>
      </w:r>
      <w:r w:rsidRPr="00300DF0">
        <w:rPr>
          <w:rFonts w:ascii="Arial" w:hAnsi="Arial" w:cs="Arial"/>
          <w:vertAlign w:val="superscript"/>
        </w:rPr>
        <w:t>]</w:t>
      </w:r>
      <w:r>
        <w:rPr>
          <w:rFonts w:ascii="Arial" w:hAnsi="Arial" w:cs="Arial"/>
        </w:rPr>
        <w:t xml:space="preserve"> las características electromagnéticas se relacionan con la concentración de ácido oxálico. Dicho de otra forma, las características de permeabilidad, conductividad y permitividad reflejan las características químicas de concentración de la solución, es decir, se puede medir la concentración de ácido oxálico o medir las características electromagnéticas para obtener el factor de atenuación del medio.</w:t>
      </w:r>
    </w:p>
    <w:p w:rsidR="00705D32" w:rsidRDefault="00705D32" w:rsidP="00705D32">
      <w:pPr>
        <w:jc w:val="both"/>
        <w:rPr>
          <w:rFonts w:ascii="Arial" w:hAnsi="Arial" w:cs="Arial"/>
        </w:rPr>
      </w:pPr>
    </w:p>
    <w:p w:rsidR="00705D32" w:rsidRDefault="00705D32" w:rsidP="00705D32">
      <w:pPr>
        <w:ind w:firstLine="567"/>
        <w:jc w:val="both"/>
        <w:rPr>
          <w:rFonts w:ascii="Arial" w:hAnsi="Arial" w:cs="Arial"/>
        </w:rPr>
      </w:pPr>
      <w:r>
        <w:rPr>
          <w:rFonts w:ascii="Arial" w:hAnsi="Arial" w:cs="Arial"/>
        </w:rPr>
        <w:t>Se presentó una tendencia evidentemente decreciente en el factor de atenuación obtenido mediante el modelo desarrollado, lo que se ajusta con lo esperado, ya que el medio al acuoso contaminado en su proceso de foto degradación deja de ser “opaco” a la luz solar, motivo por el cual el factor de atenuación decrece.</w:t>
      </w:r>
    </w:p>
    <w:p w:rsidR="00705D32" w:rsidRDefault="00705D32" w:rsidP="00705D32">
      <w:pPr>
        <w:ind w:firstLine="567"/>
        <w:jc w:val="both"/>
        <w:rPr>
          <w:rFonts w:ascii="Arial" w:hAnsi="Arial" w:cs="Arial"/>
        </w:rPr>
      </w:pPr>
    </w:p>
    <w:p w:rsidR="00705D32" w:rsidRDefault="00705D32" w:rsidP="00705D32">
      <w:pPr>
        <w:ind w:firstLine="567"/>
        <w:jc w:val="both"/>
        <w:rPr>
          <w:rFonts w:ascii="Arial" w:hAnsi="Arial" w:cs="Arial"/>
        </w:rPr>
      </w:pPr>
      <w:r>
        <w:rPr>
          <w:rFonts w:ascii="Arial" w:hAnsi="Arial" w:cs="Arial"/>
        </w:rPr>
        <w:t xml:space="preserve">En la naturaleza de la reacción, las características electromagnéticas cambian en forma permanente debido a los cambios sucesivos del medio contaminado. Con el modelo desarrollado y las restricciones impuestas en relación con la conductividad eléctrica, se puede entonces predecir los </w:t>
      </w:r>
      <w:r>
        <w:rPr>
          <w:rFonts w:ascii="Arial" w:hAnsi="Arial" w:cs="Arial"/>
        </w:rPr>
        <w:lastRenderedPageBreak/>
        <w:t>cambios en el medio, conocidos algunos puntos para el factor de atenuación, lo que permite predecir el tiempo necesario para la foto degradación total.</w:t>
      </w:r>
    </w:p>
    <w:p w:rsidR="00705D32" w:rsidRDefault="00705D32" w:rsidP="00705D32">
      <w:pPr>
        <w:jc w:val="both"/>
        <w:rPr>
          <w:rFonts w:ascii="Arial" w:hAnsi="Arial" w:cs="Arial"/>
        </w:rPr>
      </w:pPr>
    </w:p>
    <w:p w:rsidR="00705D32" w:rsidRPr="00705D32" w:rsidRDefault="00705D32" w:rsidP="00257D10">
      <w:pPr>
        <w:pStyle w:val="1Titulo"/>
        <w:numPr>
          <w:ilvl w:val="0"/>
          <w:numId w:val="7"/>
        </w:numPr>
        <w:rPr>
          <w:lang w:val="en-US"/>
        </w:rPr>
      </w:pPr>
      <w:bookmarkStart w:id="89" w:name="_Toc50031204"/>
      <w:r w:rsidRPr="00705D32">
        <w:rPr>
          <w:lang w:val="en-US"/>
        </w:rPr>
        <w:t>Bibliografía</w:t>
      </w:r>
      <w:bookmarkEnd w:id="89"/>
    </w:p>
    <w:p w:rsidR="00705D32" w:rsidRPr="00705D32" w:rsidRDefault="00705D32" w:rsidP="00705D32">
      <w:pPr>
        <w:rPr>
          <w:lang w:val="en-US"/>
        </w:rPr>
      </w:pPr>
    </w:p>
    <w:p w:rsidR="00705D32" w:rsidRPr="003A5317" w:rsidRDefault="00705D32" w:rsidP="00257D10">
      <w:pPr>
        <w:numPr>
          <w:ilvl w:val="0"/>
          <w:numId w:val="7"/>
        </w:numPr>
        <w:suppressAutoHyphens/>
        <w:spacing w:after="0" w:line="240" w:lineRule="auto"/>
        <w:rPr>
          <w:rFonts w:ascii="Arial" w:hAnsi="Arial" w:cs="Arial"/>
          <w:lang w:val="en-US"/>
        </w:rPr>
      </w:pPr>
      <w:r w:rsidRPr="003A5317">
        <w:rPr>
          <w:rFonts w:ascii="Arial" w:hAnsi="Arial" w:cs="Arial"/>
          <w:lang w:val="en-US"/>
        </w:rPr>
        <w:t>R</w:t>
      </w:r>
      <w:r>
        <w:rPr>
          <w:rFonts w:ascii="Arial" w:hAnsi="Arial" w:cs="Arial"/>
          <w:lang w:val="en-US"/>
        </w:rPr>
        <w:t>amos</w:t>
      </w:r>
      <w:r w:rsidRPr="003A5317">
        <w:rPr>
          <w:rFonts w:ascii="Arial" w:hAnsi="Arial" w:cs="Arial"/>
          <w:lang w:val="en-US"/>
        </w:rPr>
        <w:t xml:space="preserve"> G, V</w:t>
      </w:r>
      <w:r>
        <w:rPr>
          <w:rFonts w:ascii="Arial" w:hAnsi="Arial" w:cs="Arial"/>
          <w:lang w:val="en-US"/>
        </w:rPr>
        <w:t>elásquez</w:t>
      </w:r>
      <w:r w:rsidRPr="003A5317">
        <w:rPr>
          <w:rFonts w:ascii="Arial" w:hAnsi="Arial" w:cs="Arial"/>
          <w:lang w:val="en-US"/>
        </w:rPr>
        <w:t xml:space="preserve"> </w:t>
      </w:r>
      <w:r>
        <w:rPr>
          <w:rFonts w:ascii="Arial" w:hAnsi="Arial" w:cs="Arial"/>
          <w:lang w:val="en-US"/>
        </w:rPr>
        <w:t>P</w:t>
      </w:r>
      <w:r w:rsidRPr="003A5317">
        <w:rPr>
          <w:rFonts w:ascii="Arial" w:hAnsi="Arial" w:cs="Arial"/>
          <w:lang w:val="en-US"/>
        </w:rPr>
        <w:t>.</w:t>
      </w:r>
      <w:r>
        <w:rPr>
          <w:rFonts w:ascii="Arial" w:hAnsi="Arial" w:cs="Arial"/>
          <w:lang w:val="en-US"/>
        </w:rPr>
        <w:t>, E</w:t>
      </w:r>
      <w:r w:rsidRPr="003A5317">
        <w:rPr>
          <w:rFonts w:ascii="Arial" w:hAnsi="Arial" w:cs="Arial"/>
          <w:lang w:val="en-US"/>
        </w:rPr>
        <w:t xml:space="preserve">lectromagnetic model for determining the speed of absortive photonic in a solar collector in v (v-collector). </w:t>
      </w:r>
      <w:r w:rsidRPr="000A47AF">
        <w:rPr>
          <w:rFonts w:ascii="Arial" w:hAnsi="Arial" w:cs="Arial"/>
          <w:lang w:val="en-US"/>
        </w:rPr>
        <w:t>Chemical Engineering Transactions. 1609 – 1614</w:t>
      </w:r>
      <w:r>
        <w:rPr>
          <w:rFonts w:ascii="Arial" w:hAnsi="Arial" w:cs="Arial"/>
          <w:lang w:val="en-US"/>
        </w:rPr>
        <w:t xml:space="preserve"> (2017)</w:t>
      </w:r>
    </w:p>
    <w:p w:rsidR="00705D32" w:rsidRPr="003A5317" w:rsidRDefault="00705D32" w:rsidP="00257D10">
      <w:pPr>
        <w:numPr>
          <w:ilvl w:val="0"/>
          <w:numId w:val="7"/>
        </w:numPr>
        <w:suppressAutoHyphens/>
        <w:autoSpaceDE w:val="0"/>
        <w:autoSpaceDN w:val="0"/>
        <w:adjustRightInd w:val="0"/>
        <w:spacing w:after="0" w:line="240" w:lineRule="auto"/>
        <w:jc w:val="both"/>
        <w:rPr>
          <w:rFonts w:ascii="Arial" w:hAnsi="Arial" w:cs="Arial"/>
          <w:lang w:val="en-US"/>
        </w:rPr>
      </w:pPr>
      <w:r w:rsidRPr="003A5317">
        <w:rPr>
          <w:rFonts w:ascii="Arial" w:hAnsi="Arial" w:cs="Arial"/>
          <w:bCs/>
          <w:lang w:val="en-US"/>
        </w:rPr>
        <w:t>Brucato</w:t>
      </w:r>
      <w:r>
        <w:rPr>
          <w:rFonts w:ascii="Arial" w:hAnsi="Arial" w:cs="Arial"/>
          <w:bCs/>
          <w:lang w:val="en-US"/>
        </w:rPr>
        <w:t xml:space="preserve"> </w:t>
      </w:r>
      <w:r w:rsidRPr="003A5317">
        <w:rPr>
          <w:rFonts w:ascii="Arial" w:hAnsi="Arial" w:cs="Arial"/>
          <w:bCs/>
          <w:lang w:val="en-US"/>
        </w:rPr>
        <w:t>A, R</w:t>
      </w:r>
      <w:r w:rsidRPr="00172A4B">
        <w:rPr>
          <w:rFonts w:ascii="Arial" w:hAnsi="Arial" w:cs="Arial"/>
          <w:bCs/>
          <w:sz w:val="22"/>
          <w:lang w:val="en-US"/>
        </w:rPr>
        <w:t>izzuti</w:t>
      </w:r>
      <w:r>
        <w:rPr>
          <w:rFonts w:ascii="Arial" w:hAnsi="Arial" w:cs="Arial"/>
          <w:bCs/>
          <w:lang w:val="en-US"/>
        </w:rPr>
        <w:t xml:space="preserve"> </w:t>
      </w:r>
      <w:r w:rsidRPr="003A5317">
        <w:rPr>
          <w:rFonts w:ascii="Arial" w:hAnsi="Arial" w:cs="Arial"/>
          <w:bCs/>
          <w:lang w:val="en-US"/>
        </w:rPr>
        <w:t>L. Simplified Modeling of Radiant Fields in Heterogeneous Photoreactors. 1. Case of Zero Reflectance.</w:t>
      </w:r>
      <w:r>
        <w:rPr>
          <w:rFonts w:ascii="Arial" w:hAnsi="Arial" w:cs="Arial"/>
          <w:i/>
          <w:iCs/>
          <w:lang w:val="en-US"/>
        </w:rPr>
        <w:t xml:space="preserve"> Ind. Eng. Chem. Res</w:t>
      </w:r>
      <w:r w:rsidRPr="003A5317">
        <w:rPr>
          <w:rFonts w:ascii="Arial" w:hAnsi="Arial" w:cs="Arial"/>
          <w:bCs/>
          <w:lang w:val="en-US"/>
        </w:rPr>
        <w:t xml:space="preserve">, </w:t>
      </w:r>
      <w:r w:rsidRPr="003A5317">
        <w:rPr>
          <w:rFonts w:ascii="Arial" w:hAnsi="Arial" w:cs="Arial"/>
          <w:i/>
          <w:iCs/>
          <w:lang w:val="en-US"/>
        </w:rPr>
        <w:t xml:space="preserve">36, </w:t>
      </w:r>
      <w:r>
        <w:rPr>
          <w:rFonts w:ascii="Arial" w:hAnsi="Arial" w:cs="Arial"/>
          <w:lang w:val="en-US"/>
        </w:rPr>
        <w:t>4740-4747(1997)</w:t>
      </w:r>
    </w:p>
    <w:p w:rsidR="00705D32" w:rsidRPr="003A5317" w:rsidRDefault="00705D32" w:rsidP="00257D10">
      <w:pPr>
        <w:numPr>
          <w:ilvl w:val="0"/>
          <w:numId w:val="7"/>
        </w:numPr>
        <w:suppressAutoHyphens/>
        <w:autoSpaceDE w:val="0"/>
        <w:autoSpaceDN w:val="0"/>
        <w:adjustRightInd w:val="0"/>
        <w:spacing w:after="0" w:line="240" w:lineRule="auto"/>
        <w:jc w:val="both"/>
        <w:rPr>
          <w:rFonts w:ascii="Arial" w:hAnsi="Arial" w:cs="Arial"/>
          <w:lang w:val="en-US"/>
        </w:rPr>
      </w:pPr>
      <w:r w:rsidRPr="003A5317">
        <w:rPr>
          <w:rFonts w:ascii="Arial" w:hAnsi="Arial" w:cs="Arial"/>
          <w:lang w:val="en-US"/>
        </w:rPr>
        <w:t>Howell</w:t>
      </w:r>
      <w:r>
        <w:rPr>
          <w:rFonts w:ascii="Arial" w:hAnsi="Arial" w:cs="Arial"/>
          <w:lang w:val="en-US"/>
        </w:rPr>
        <w:t xml:space="preserve"> </w:t>
      </w:r>
      <w:r w:rsidRPr="003A5317">
        <w:rPr>
          <w:rFonts w:ascii="Arial" w:hAnsi="Arial" w:cs="Arial"/>
          <w:lang w:val="en-US"/>
        </w:rPr>
        <w:t>J, Siegel</w:t>
      </w:r>
      <w:r>
        <w:rPr>
          <w:rFonts w:ascii="Arial" w:hAnsi="Arial" w:cs="Arial"/>
          <w:lang w:val="en-US"/>
        </w:rPr>
        <w:t xml:space="preserve"> </w:t>
      </w:r>
      <w:r w:rsidRPr="003A5317">
        <w:rPr>
          <w:rFonts w:ascii="Arial" w:hAnsi="Arial" w:cs="Arial"/>
          <w:lang w:val="en-US"/>
        </w:rPr>
        <w:t xml:space="preserve">R. </w:t>
      </w:r>
      <w:r>
        <w:rPr>
          <w:rFonts w:ascii="Arial" w:hAnsi="Arial" w:cs="Arial"/>
          <w:lang w:val="en-US"/>
        </w:rPr>
        <w:t>T</w:t>
      </w:r>
      <w:r w:rsidRPr="003A5317">
        <w:rPr>
          <w:rFonts w:ascii="Arial" w:hAnsi="Arial" w:cs="Arial"/>
          <w:lang w:val="en-US"/>
        </w:rPr>
        <w:t>ermal radiation heat transfer.Washington. National Aeronautics and Space Administration- NASA – 1992.</w:t>
      </w:r>
    </w:p>
    <w:p w:rsidR="00705D32" w:rsidRPr="003A5317" w:rsidRDefault="00705D32" w:rsidP="00257D10">
      <w:pPr>
        <w:numPr>
          <w:ilvl w:val="0"/>
          <w:numId w:val="7"/>
        </w:numPr>
        <w:suppressAutoHyphens/>
        <w:autoSpaceDE w:val="0"/>
        <w:autoSpaceDN w:val="0"/>
        <w:adjustRightInd w:val="0"/>
        <w:spacing w:after="0" w:line="240" w:lineRule="auto"/>
        <w:jc w:val="both"/>
        <w:rPr>
          <w:rFonts w:ascii="Arial" w:hAnsi="Arial" w:cs="Arial"/>
          <w:i/>
          <w:iCs/>
          <w:color w:val="231F20"/>
          <w:lang w:val="en-US"/>
        </w:rPr>
      </w:pPr>
      <w:r w:rsidRPr="003A5317">
        <w:rPr>
          <w:rFonts w:ascii="Arial" w:eastAsia="AdvPSTim" w:hAnsi="Arial" w:cs="Arial"/>
        </w:rPr>
        <w:t xml:space="preserve">Brucatto. A., Cassano. A., Grisafi. </w:t>
      </w:r>
      <w:r w:rsidRPr="00172A4B">
        <w:rPr>
          <w:rFonts w:ascii="Arial" w:eastAsia="AdvPSTim" w:hAnsi="Arial" w:cs="Arial"/>
          <w:lang w:val="en-US"/>
        </w:rPr>
        <w:t>F.</w:t>
      </w:r>
      <w:r w:rsidRPr="003A5317">
        <w:rPr>
          <w:rFonts w:ascii="Arial" w:eastAsia="AdvPSTim" w:hAnsi="Arial" w:cs="Arial"/>
          <w:lang w:val="en-US"/>
        </w:rPr>
        <w:t xml:space="preserve">, </w:t>
      </w:r>
      <w:r w:rsidRPr="003A5317">
        <w:rPr>
          <w:rFonts w:ascii="Arial" w:hAnsi="Arial" w:cs="Arial"/>
          <w:bCs/>
          <w:color w:val="231F20"/>
          <w:lang w:val="en-US"/>
        </w:rPr>
        <w:t xml:space="preserve">Estimating Radiant Fields in Flat Heterogeneous Photoreactors by the Six-Flux Model, </w:t>
      </w:r>
      <w:r w:rsidRPr="003A5317">
        <w:rPr>
          <w:rFonts w:ascii="Arial" w:hAnsi="Arial" w:cs="Arial"/>
          <w:i/>
          <w:iCs/>
          <w:color w:val="231F20"/>
          <w:lang w:val="en-US"/>
        </w:rPr>
        <w:t>Published online September 15, 2006 in Wiley InterScience (</w:t>
      </w:r>
      <w:hyperlink r:id="rId171" w:history="1">
        <w:r w:rsidRPr="003A5317">
          <w:rPr>
            <w:rStyle w:val="Hipervnculo"/>
            <w:rFonts w:ascii="Arial" w:hAnsi="Arial" w:cs="Arial"/>
            <w:i/>
            <w:iCs/>
            <w:lang w:val="en-US"/>
          </w:rPr>
          <w:t>www.interscience.wiley.com</w:t>
        </w:r>
      </w:hyperlink>
      <w:r w:rsidRPr="003A5317">
        <w:rPr>
          <w:rFonts w:ascii="Arial" w:hAnsi="Arial" w:cs="Arial"/>
          <w:i/>
          <w:iCs/>
          <w:color w:val="231F20"/>
          <w:lang w:val="en-US"/>
        </w:rPr>
        <w:t>).</w:t>
      </w:r>
    </w:p>
    <w:p w:rsidR="00705D32" w:rsidRPr="003A5317" w:rsidRDefault="00705D32" w:rsidP="00257D10">
      <w:pPr>
        <w:numPr>
          <w:ilvl w:val="0"/>
          <w:numId w:val="7"/>
        </w:numPr>
        <w:suppressAutoHyphens/>
        <w:autoSpaceDE w:val="0"/>
        <w:autoSpaceDN w:val="0"/>
        <w:adjustRightInd w:val="0"/>
        <w:spacing w:after="0" w:line="240" w:lineRule="auto"/>
        <w:jc w:val="both"/>
        <w:rPr>
          <w:rFonts w:ascii="Arial" w:hAnsi="Arial" w:cs="Arial"/>
          <w:lang w:val="en-US"/>
        </w:rPr>
      </w:pPr>
      <w:r w:rsidRPr="003A5317">
        <w:rPr>
          <w:rFonts w:ascii="Arial" w:hAnsi="Arial" w:cs="Arial"/>
          <w:lang w:val="en-US"/>
        </w:rPr>
        <w:t>Spiege</w:t>
      </w:r>
      <w:r>
        <w:rPr>
          <w:rFonts w:ascii="Arial" w:hAnsi="Arial" w:cs="Arial"/>
          <w:lang w:val="en-US"/>
        </w:rPr>
        <w:t>L</w:t>
      </w:r>
      <w:r w:rsidRPr="003A5317">
        <w:rPr>
          <w:rFonts w:ascii="Arial" w:hAnsi="Arial" w:cs="Arial"/>
          <w:lang w:val="en-US"/>
        </w:rPr>
        <w:t xml:space="preserve"> M. Vector analysis. New York. McGraw Hill. 1959. 250-260 p.</w:t>
      </w:r>
    </w:p>
    <w:p w:rsidR="00705D32" w:rsidRPr="003A5317" w:rsidRDefault="00705D32" w:rsidP="00257D10">
      <w:pPr>
        <w:numPr>
          <w:ilvl w:val="0"/>
          <w:numId w:val="7"/>
        </w:numPr>
        <w:suppressAutoHyphens/>
        <w:autoSpaceDE w:val="0"/>
        <w:autoSpaceDN w:val="0"/>
        <w:adjustRightInd w:val="0"/>
        <w:spacing w:after="0" w:line="240" w:lineRule="auto"/>
        <w:jc w:val="both"/>
        <w:rPr>
          <w:rFonts w:ascii="Arial" w:hAnsi="Arial" w:cs="Arial"/>
        </w:rPr>
      </w:pPr>
      <w:r w:rsidRPr="003A5317">
        <w:rPr>
          <w:rFonts w:ascii="Arial" w:hAnsi="Arial" w:cs="Arial"/>
        </w:rPr>
        <w:t>Pera</w:t>
      </w:r>
      <w:r>
        <w:rPr>
          <w:rFonts w:ascii="Arial" w:hAnsi="Arial" w:cs="Arial"/>
        </w:rPr>
        <w:t xml:space="preserve">l </w:t>
      </w:r>
      <w:r w:rsidRPr="003A5317">
        <w:rPr>
          <w:rFonts w:ascii="Arial" w:hAnsi="Arial" w:cs="Arial"/>
        </w:rPr>
        <w:t>A, Ireneo. Primer curso de ecuaciones diferenciales parciales. Madrid. Addison-Weslesy/Universidad Autónoma de Madrid. 1995. 17 p.</w:t>
      </w:r>
    </w:p>
    <w:p w:rsidR="00705D32" w:rsidRPr="003A5317" w:rsidRDefault="00705D32" w:rsidP="00257D10">
      <w:pPr>
        <w:numPr>
          <w:ilvl w:val="0"/>
          <w:numId w:val="7"/>
        </w:numPr>
        <w:suppressAutoHyphens/>
        <w:autoSpaceDE w:val="0"/>
        <w:autoSpaceDN w:val="0"/>
        <w:adjustRightInd w:val="0"/>
        <w:spacing w:after="0" w:line="240" w:lineRule="auto"/>
        <w:jc w:val="both"/>
        <w:rPr>
          <w:rFonts w:ascii="Arial" w:hAnsi="Arial" w:cs="Arial"/>
          <w:lang w:val="en-US"/>
        </w:rPr>
      </w:pPr>
      <w:r w:rsidRPr="003A5317">
        <w:rPr>
          <w:rFonts w:ascii="Arial" w:hAnsi="Arial" w:cs="Arial"/>
          <w:lang w:val="en-US"/>
        </w:rPr>
        <w:t xml:space="preserve">Edminister J. Electromagnetismo. USA. McGraw Hill. 1992. 181 p. </w:t>
      </w:r>
    </w:p>
    <w:p w:rsidR="00705D32" w:rsidRPr="00172A4B" w:rsidRDefault="00705D32" w:rsidP="00257D10">
      <w:pPr>
        <w:numPr>
          <w:ilvl w:val="0"/>
          <w:numId w:val="7"/>
        </w:numPr>
        <w:suppressAutoHyphens/>
        <w:autoSpaceDE w:val="0"/>
        <w:autoSpaceDN w:val="0"/>
        <w:adjustRightInd w:val="0"/>
        <w:spacing w:after="0" w:line="240" w:lineRule="auto"/>
        <w:jc w:val="both"/>
        <w:rPr>
          <w:rFonts w:ascii="Arial" w:eastAsia="AdvPSTim" w:hAnsi="Arial" w:cs="Arial"/>
          <w:lang w:val="en-US"/>
        </w:rPr>
      </w:pPr>
      <w:r w:rsidRPr="003239E2">
        <w:rPr>
          <w:rFonts w:ascii="Arial" w:eastAsia="AdvPSTim" w:hAnsi="Arial" w:cs="Arial"/>
          <w:lang w:val="en-US"/>
        </w:rPr>
        <w:t xml:space="preserve">Bandala E., Arancibia-bulnes C, Orozco S., Estrada </w:t>
      </w:r>
      <w:r w:rsidRPr="006F6179">
        <w:rPr>
          <w:rFonts w:ascii="Arial" w:eastAsia="AdvPSTim" w:hAnsi="Arial" w:cs="Arial"/>
          <w:lang w:val="en-US"/>
        </w:rPr>
        <w:t>C</w:t>
      </w:r>
      <w:r>
        <w:rPr>
          <w:rFonts w:ascii="Arial" w:eastAsia="AdvPSTim" w:hAnsi="Arial" w:cs="Arial"/>
          <w:lang w:val="en-US"/>
        </w:rPr>
        <w:t>.,</w:t>
      </w:r>
      <w:r w:rsidRPr="006F6179">
        <w:rPr>
          <w:rFonts w:ascii="Arial" w:eastAsia="AdvPSTim" w:hAnsi="Arial" w:cs="Arial"/>
          <w:lang w:val="en-US"/>
        </w:rPr>
        <w:t xml:space="preserve"> Solar photoreactors comparison based on oxalic acid photocatalytic degradation. </w:t>
      </w:r>
      <w:r w:rsidRPr="00172A4B">
        <w:rPr>
          <w:rFonts w:ascii="Arial" w:eastAsia="AdvPSTim" w:hAnsi="Arial" w:cs="Arial"/>
          <w:lang w:val="en-US"/>
        </w:rPr>
        <w:t>Solar Energy 77. 2004. 503–512p</w:t>
      </w:r>
    </w:p>
    <w:p w:rsidR="00705D32" w:rsidRDefault="00705D32" w:rsidP="00705D32">
      <w:pPr>
        <w:tabs>
          <w:tab w:val="left" w:pos="0"/>
          <w:tab w:val="left" w:pos="360"/>
        </w:tabs>
        <w:ind w:left="360" w:hanging="360"/>
        <w:rPr>
          <w:rFonts w:ascii="Arial" w:hAnsi="Arial" w:cs="Arial"/>
          <w:lang w:val="en-US"/>
        </w:rPr>
      </w:pPr>
    </w:p>
    <w:p w:rsidR="00811E7D" w:rsidRPr="001B1A13" w:rsidRDefault="00811E7D" w:rsidP="0049551D">
      <w:pPr>
        <w:rPr>
          <w:lang w:val="en-US"/>
        </w:rPr>
      </w:pPr>
    </w:p>
    <w:p w:rsidR="00463ECC" w:rsidRPr="00463ECC" w:rsidRDefault="00463ECC" w:rsidP="00463ECC">
      <w:pPr>
        <w:pStyle w:val="1Titulo"/>
        <w:numPr>
          <w:ilvl w:val="0"/>
          <w:numId w:val="0"/>
        </w:numPr>
        <w:ind w:left="357"/>
        <w:jc w:val="center"/>
        <w:rPr>
          <w:color w:val="000000"/>
        </w:rPr>
      </w:pPr>
      <w:bookmarkStart w:id="90" w:name="_Toc50031205"/>
      <w:r w:rsidRPr="00463ECC">
        <w:t>Purificación de ácido benzoico mediante su recristalización</w:t>
      </w:r>
      <w:bookmarkEnd w:id="90"/>
    </w:p>
    <w:p w:rsidR="00463ECC" w:rsidRDefault="00463ECC" w:rsidP="00463ECC">
      <w:pPr>
        <w:jc w:val="center"/>
        <w:rPr>
          <w:color w:val="000000"/>
          <w:sz w:val="28"/>
          <w:szCs w:val="28"/>
        </w:rPr>
      </w:pPr>
    </w:p>
    <w:p w:rsidR="00463ECC" w:rsidRDefault="00463ECC" w:rsidP="00463ECC">
      <w:pPr>
        <w:pStyle w:val="affiliation"/>
        <w:rPr>
          <w:rFonts w:ascii="Arial" w:hAnsi="Arial" w:cs="Arial"/>
          <w:sz w:val="20"/>
          <w:lang w:val="es-MX"/>
        </w:rPr>
      </w:pPr>
      <w:r>
        <w:rPr>
          <w:rFonts w:ascii="Arial" w:hAnsi="Arial" w:cs="Arial"/>
          <w:sz w:val="20"/>
          <w:lang w:val="es-MX"/>
        </w:rPr>
        <w:t>Ramírez D. Janeth</w:t>
      </w:r>
      <w:r w:rsidRPr="00DA11B4">
        <w:rPr>
          <w:rFonts w:ascii="Arial" w:hAnsi="Arial" w:cs="Arial"/>
          <w:sz w:val="20"/>
          <w:vertAlign w:val="superscript"/>
          <w:lang w:val="es-MX"/>
        </w:rPr>
        <w:t>1</w:t>
      </w:r>
      <w:r>
        <w:rPr>
          <w:rFonts w:ascii="Arial" w:hAnsi="Arial" w:cs="Arial"/>
          <w:sz w:val="20"/>
          <w:lang w:val="es-MX"/>
        </w:rPr>
        <w:t xml:space="preserve">, </w:t>
      </w:r>
      <w:r w:rsidRPr="009F4015">
        <w:rPr>
          <w:rFonts w:ascii="Arial" w:hAnsi="Arial" w:cs="Arial"/>
          <w:sz w:val="20"/>
          <w:u w:val="single"/>
          <w:lang w:val="es-MX"/>
        </w:rPr>
        <w:t>Nuño L. Leticia</w:t>
      </w:r>
      <w:r>
        <w:rPr>
          <w:rFonts w:ascii="Arial" w:hAnsi="Arial" w:cs="Arial"/>
          <w:sz w:val="20"/>
          <w:vertAlign w:val="superscript"/>
          <w:lang w:val="es-MX"/>
        </w:rPr>
        <w:t xml:space="preserve"> 2</w:t>
      </w:r>
      <w:r w:rsidRPr="00FB794E">
        <w:rPr>
          <w:rFonts w:ascii="Arial" w:hAnsi="Arial" w:cs="Arial"/>
          <w:sz w:val="20"/>
          <w:lang w:val="es-MX"/>
        </w:rPr>
        <w:t xml:space="preserve">, </w:t>
      </w:r>
      <w:r w:rsidRPr="009F4015">
        <w:rPr>
          <w:rFonts w:ascii="Arial" w:hAnsi="Arial" w:cs="Arial"/>
          <w:sz w:val="20"/>
          <w:lang w:val="es-MX"/>
        </w:rPr>
        <w:t>Quintana D. Berenice</w:t>
      </w:r>
      <w:r w:rsidRPr="00FB794E">
        <w:rPr>
          <w:rFonts w:ascii="Arial" w:hAnsi="Arial" w:cs="Arial"/>
          <w:sz w:val="20"/>
          <w:vertAlign w:val="superscript"/>
          <w:lang w:val="es-MX"/>
        </w:rPr>
        <w:t>3</w:t>
      </w:r>
      <w:r w:rsidRPr="00FB794E">
        <w:rPr>
          <w:rFonts w:ascii="Arial" w:hAnsi="Arial" w:cs="Arial"/>
          <w:sz w:val="20"/>
          <w:lang w:val="es-MX"/>
        </w:rPr>
        <w:t>,</w:t>
      </w:r>
      <w:r>
        <w:rPr>
          <w:rFonts w:ascii="Arial" w:hAnsi="Arial" w:cs="Arial"/>
          <w:sz w:val="20"/>
          <w:lang w:val="es-MX"/>
        </w:rPr>
        <w:t xml:space="preserve"> Contreras L. José L.</w:t>
      </w:r>
      <w:r w:rsidRPr="00FB794E">
        <w:rPr>
          <w:rFonts w:ascii="Arial" w:hAnsi="Arial" w:cs="Arial"/>
          <w:sz w:val="20"/>
          <w:vertAlign w:val="superscript"/>
          <w:lang w:val="es-MX"/>
        </w:rPr>
        <w:t>4</w:t>
      </w:r>
      <w:r w:rsidRPr="00FB794E">
        <w:rPr>
          <w:rFonts w:ascii="Arial" w:hAnsi="Arial" w:cs="Arial"/>
          <w:sz w:val="20"/>
          <w:lang w:val="es-MX"/>
        </w:rPr>
        <w:t xml:space="preserve">, </w:t>
      </w:r>
      <w:r>
        <w:rPr>
          <w:rFonts w:ascii="Arial" w:hAnsi="Arial" w:cs="Arial"/>
          <w:sz w:val="20"/>
          <w:lang w:val="es-MX"/>
        </w:rPr>
        <w:t>Hernández G. M</w:t>
      </w:r>
      <w:r w:rsidRPr="00FB794E">
        <w:rPr>
          <w:rFonts w:ascii="Arial" w:hAnsi="Arial" w:cs="Arial"/>
          <w:sz w:val="20"/>
          <w:lang w:val="es-MX"/>
        </w:rPr>
        <w:t xml:space="preserve">. </w:t>
      </w:r>
      <w:r>
        <w:rPr>
          <w:rFonts w:ascii="Arial" w:hAnsi="Arial" w:cs="Arial"/>
          <w:sz w:val="20"/>
          <w:lang w:val="es-MX"/>
        </w:rPr>
        <w:t>A.</w:t>
      </w:r>
      <w:r w:rsidRPr="00FB794E">
        <w:rPr>
          <w:rFonts w:ascii="Arial" w:hAnsi="Arial" w:cs="Arial"/>
          <w:sz w:val="20"/>
          <w:vertAlign w:val="superscript"/>
          <w:lang w:val="es-MX"/>
        </w:rPr>
        <w:t>5</w:t>
      </w:r>
    </w:p>
    <w:p w:rsidR="00463ECC" w:rsidRPr="00DA11B4" w:rsidRDefault="00463ECC" w:rsidP="00463ECC">
      <w:pPr>
        <w:pStyle w:val="affiliation"/>
        <w:rPr>
          <w:rFonts w:ascii="Arial" w:hAnsi="Arial" w:cs="Arial"/>
          <w:sz w:val="20"/>
          <w:lang w:val="es-MX"/>
        </w:rPr>
      </w:pPr>
    </w:p>
    <w:p w:rsidR="00463ECC" w:rsidRPr="00DA11B4" w:rsidRDefault="00463ECC" w:rsidP="00463ECC">
      <w:pPr>
        <w:numPr>
          <w:ilvl w:val="0"/>
          <w:numId w:val="1"/>
        </w:numPr>
        <w:tabs>
          <w:tab w:val="clear" w:pos="432"/>
          <w:tab w:val="num" w:pos="0"/>
        </w:tabs>
        <w:suppressAutoHyphens/>
        <w:spacing w:after="0" w:line="240" w:lineRule="auto"/>
        <w:ind w:left="0" w:firstLine="0"/>
        <w:jc w:val="center"/>
        <w:rPr>
          <w:rFonts w:ascii="Arial" w:eastAsia="Calibri" w:hAnsi="Arial" w:cs="Arial"/>
          <w:sz w:val="20"/>
          <w:szCs w:val="20"/>
          <w:lang w:val="es-MX"/>
        </w:rPr>
      </w:pPr>
      <w:r>
        <w:rPr>
          <w:rFonts w:ascii="Arial" w:hAnsi="Arial" w:cs="Arial"/>
          <w:sz w:val="20"/>
          <w:szCs w:val="20"/>
          <w:vertAlign w:val="superscript"/>
        </w:rPr>
        <w:t>1</w:t>
      </w:r>
      <w:r>
        <w:rPr>
          <w:rFonts w:ascii="Arial" w:hAnsi="Arial" w:cs="Arial"/>
          <w:sz w:val="20"/>
          <w:szCs w:val="20"/>
        </w:rPr>
        <w:t xml:space="preserve">Universidad Autónoma Metropolitana-Azcapotzalco, Av. San Pablo # 180, Reynosa Tamaulipas C.P. 02200, email: </w:t>
      </w:r>
      <w:r w:rsidRPr="00DA11B4">
        <w:rPr>
          <w:rFonts w:ascii="Arial" w:hAnsi="Arial" w:cs="Arial"/>
          <w:sz w:val="20"/>
          <w:szCs w:val="20"/>
        </w:rPr>
        <w:t>janethrdiaz</w:t>
      </w:r>
      <w:r>
        <w:rPr>
          <w:rFonts w:ascii="Arial" w:hAnsi="Arial" w:cs="Arial"/>
          <w:sz w:val="20"/>
          <w:szCs w:val="20"/>
        </w:rPr>
        <w:t>@gmail.com</w:t>
      </w:r>
    </w:p>
    <w:p w:rsidR="00463ECC" w:rsidRDefault="00463ECC" w:rsidP="00463ECC">
      <w:pPr>
        <w:numPr>
          <w:ilvl w:val="0"/>
          <w:numId w:val="1"/>
        </w:numPr>
        <w:tabs>
          <w:tab w:val="clear" w:pos="432"/>
          <w:tab w:val="num" w:pos="0"/>
        </w:tabs>
        <w:suppressAutoHyphens/>
        <w:spacing w:after="0" w:line="240" w:lineRule="auto"/>
        <w:ind w:left="0" w:firstLine="0"/>
        <w:jc w:val="center"/>
        <w:rPr>
          <w:rFonts w:ascii="Arial" w:hAnsi="Arial" w:cs="Arial"/>
          <w:sz w:val="20"/>
          <w:szCs w:val="20"/>
        </w:rPr>
      </w:pPr>
      <w:r>
        <w:rPr>
          <w:rFonts w:ascii="Arial" w:hAnsi="Arial" w:cs="Arial"/>
          <w:sz w:val="20"/>
          <w:szCs w:val="20"/>
          <w:vertAlign w:val="superscript"/>
        </w:rPr>
        <w:t>2</w:t>
      </w:r>
      <w:r>
        <w:rPr>
          <w:rFonts w:ascii="Arial" w:hAnsi="Arial" w:cs="Arial"/>
          <w:sz w:val="20"/>
          <w:szCs w:val="20"/>
        </w:rPr>
        <w:t xml:space="preserve"> Universidad Autónoma Metropolitana-Azcapotzalco, Av. San Pablo # 180, Reynosa Tamaulipas C.P. 02200, email </w:t>
      </w:r>
      <w:r>
        <w:rPr>
          <w:rFonts w:ascii="Arial" w:hAnsi="Arial" w:cs="Arial"/>
          <w:color w:val="2E74B5"/>
          <w:sz w:val="20"/>
          <w:szCs w:val="20"/>
          <w:u w:val="single"/>
        </w:rPr>
        <w:t>lnl@azc.uam.mx</w:t>
      </w:r>
    </w:p>
    <w:p w:rsidR="00463ECC" w:rsidRDefault="00463ECC" w:rsidP="00463ECC">
      <w:pPr>
        <w:numPr>
          <w:ilvl w:val="0"/>
          <w:numId w:val="1"/>
        </w:numPr>
        <w:tabs>
          <w:tab w:val="clear" w:pos="432"/>
          <w:tab w:val="num" w:pos="0"/>
        </w:tabs>
        <w:suppressAutoHyphens/>
        <w:spacing w:after="0" w:line="240" w:lineRule="auto"/>
        <w:ind w:left="0" w:firstLine="0"/>
        <w:jc w:val="center"/>
        <w:rPr>
          <w:rFonts w:ascii="Arial" w:hAnsi="Arial" w:cs="Arial"/>
          <w:sz w:val="20"/>
          <w:szCs w:val="20"/>
        </w:rPr>
      </w:pPr>
      <w:r>
        <w:rPr>
          <w:rFonts w:ascii="Arial" w:hAnsi="Arial" w:cs="Arial"/>
          <w:sz w:val="20"/>
          <w:szCs w:val="20"/>
          <w:vertAlign w:val="superscript"/>
        </w:rPr>
        <w:t>3</w:t>
      </w:r>
      <w:r>
        <w:rPr>
          <w:rFonts w:ascii="Arial" w:hAnsi="Arial" w:cs="Arial"/>
          <w:sz w:val="20"/>
          <w:szCs w:val="20"/>
        </w:rPr>
        <w:t xml:space="preserve">Universidad Autónoma Metropolitana-Azcapotzalco, Av. San Pablo # 180, Reynosa Tamaulipas C.P. 02200, email </w:t>
      </w:r>
      <w:hyperlink r:id="rId172" w:history="1">
        <w:r>
          <w:rPr>
            <w:rStyle w:val="Hipervnculo"/>
            <w:rFonts w:ascii="Arial" w:hAnsi="Arial" w:cs="Arial"/>
            <w:sz w:val="20"/>
            <w:szCs w:val="20"/>
          </w:rPr>
          <w:t>mbqd@azc.uam.mx</w:t>
        </w:r>
      </w:hyperlink>
      <w:r>
        <w:rPr>
          <w:rFonts w:ascii="Arial" w:hAnsi="Arial" w:cs="Arial"/>
          <w:sz w:val="20"/>
          <w:szCs w:val="20"/>
        </w:rPr>
        <w:t>,</w:t>
      </w:r>
    </w:p>
    <w:p w:rsidR="00463ECC" w:rsidRDefault="00463ECC" w:rsidP="00463ECC">
      <w:pPr>
        <w:numPr>
          <w:ilvl w:val="0"/>
          <w:numId w:val="1"/>
        </w:numPr>
        <w:tabs>
          <w:tab w:val="clear" w:pos="432"/>
          <w:tab w:val="num" w:pos="0"/>
        </w:tabs>
        <w:suppressAutoHyphens/>
        <w:spacing w:after="0" w:line="240" w:lineRule="auto"/>
        <w:ind w:left="0" w:firstLine="0"/>
        <w:jc w:val="center"/>
        <w:rPr>
          <w:rFonts w:ascii="Arial" w:hAnsi="Arial" w:cs="Arial"/>
          <w:sz w:val="20"/>
          <w:szCs w:val="20"/>
        </w:rPr>
      </w:pPr>
      <w:r>
        <w:rPr>
          <w:rFonts w:ascii="Arial" w:hAnsi="Arial" w:cs="Arial"/>
          <w:sz w:val="20"/>
          <w:szCs w:val="20"/>
          <w:vertAlign w:val="superscript"/>
        </w:rPr>
        <w:t>4</w:t>
      </w:r>
      <w:r>
        <w:rPr>
          <w:rFonts w:ascii="Arial" w:hAnsi="Arial" w:cs="Arial"/>
          <w:sz w:val="20"/>
          <w:szCs w:val="20"/>
        </w:rPr>
        <w:t xml:space="preserve"> Universidad Autónoma Metropolitana-Azcapotzalco, Av. San Pablo # 180, Reynosa Tamaulipas C.P. 02200, email </w:t>
      </w:r>
      <w:hyperlink r:id="rId173" w:history="1">
        <w:r w:rsidRPr="001C58C7">
          <w:rPr>
            <w:rStyle w:val="Hipervnculo"/>
            <w:rFonts w:ascii="Arial" w:hAnsi="Arial" w:cs="Arial"/>
            <w:sz w:val="20"/>
            <w:szCs w:val="20"/>
          </w:rPr>
          <w:t>jlcl@azc.uam.mx</w:t>
        </w:r>
      </w:hyperlink>
      <w:r>
        <w:rPr>
          <w:rFonts w:ascii="Arial" w:hAnsi="Arial" w:cs="Arial"/>
          <w:sz w:val="20"/>
          <w:szCs w:val="20"/>
        </w:rPr>
        <w:t>,</w:t>
      </w:r>
    </w:p>
    <w:p w:rsidR="00463ECC" w:rsidRDefault="00463ECC" w:rsidP="00463ECC">
      <w:pPr>
        <w:numPr>
          <w:ilvl w:val="0"/>
          <w:numId w:val="1"/>
        </w:numPr>
        <w:tabs>
          <w:tab w:val="clear" w:pos="432"/>
          <w:tab w:val="num" w:pos="0"/>
        </w:tabs>
        <w:suppressAutoHyphens/>
        <w:spacing w:after="0" w:line="240" w:lineRule="auto"/>
        <w:ind w:left="0" w:firstLine="0"/>
        <w:jc w:val="center"/>
        <w:rPr>
          <w:rFonts w:ascii="Arial" w:hAnsi="Arial" w:cs="Arial"/>
          <w:sz w:val="20"/>
          <w:szCs w:val="20"/>
        </w:rPr>
      </w:pPr>
      <w:r>
        <w:rPr>
          <w:rFonts w:ascii="Arial" w:hAnsi="Arial" w:cs="Arial"/>
          <w:sz w:val="20"/>
          <w:szCs w:val="20"/>
          <w:vertAlign w:val="superscript"/>
        </w:rPr>
        <w:t>5</w:t>
      </w:r>
      <w:r>
        <w:rPr>
          <w:rFonts w:ascii="Arial" w:hAnsi="Arial" w:cs="Arial"/>
          <w:sz w:val="20"/>
          <w:szCs w:val="20"/>
        </w:rPr>
        <w:t xml:space="preserve"> Universidad Autónoma Metropolitana-Azcapotzalco, Av. San Pablo # 180, Reynosa Tamaulipas C.P. 02200, email mnhg</w:t>
      </w:r>
      <w:hyperlink r:id="rId174" w:history="1">
        <w:r>
          <w:rPr>
            <w:rStyle w:val="Hipervnculo"/>
            <w:rFonts w:ascii="Arial" w:hAnsi="Arial" w:cs="Arial"/>
            <w:sz w:val="20"/>
            <w:szCs w:val="20"/>
          </w:rPr>
          <w:t>@azc.uam.mx</w:t>
        </w:r>
      </w:hyperlink>
      <w:r>
        <w:rPr>
          <w:rFonts w:ascii="Arial" w:hAnsi="Arial" w:cs="Arial"/>
          <w:sz w:val="20"/>
          <w:szCs w:val="20"/>
        </w:rPr>
        <w:t>,</w:t>
      </w:r>
    </w:p>
    <w:p w:rsidR="00463ECC" w:rsidRPr="00463ECC" w:rsidRDefault="00463ECC" w:rsidP="00463ECC">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olor w:val="000000"/>
          <w:sz w:val="24"/>
          <w:szCs w:val="24"/>
        </w:rPr>
      </w:pPr>
      <w:bookmarkStart w:id="91" w:name="_Toc50031206"/>
      <w:r w:rsidRPr="00463ECC">
        <w:rPr>
          <w:rFonts w:ascii="Arial" w:hAnsi="Arial" w:cs="Arial"/>
          <w:i/>
          <w:caps/>
          <w:sz w:val="24"/>
          <w:szCs w:val="24"/>
        </w:rPr>
        <w:t>1. R</w:t>
      </w:r>
      <w:r w:rsidRPr="00463ECC">
        <w:rPr>
          <w:rFonts w:ascii="Arial" w:hAnsi="Arial" w:cs="Arial"/>
          <w:i/>
          <w:sz w:val="24"/>
          <w:szCs w:val="24"/>
        </w:rPr>
        <w:t>esumen</w:t>
      </w:r>
      <w:bookmarkEnd w:id="91"/>
      <w:r w:rsidRPr="00463ECC">
        <w:rPr>
          <w:rFonts w:ascii="Arial" w:hAnsi="Arial" w:cs="Arial"/>
          <w:i/>
          <w:caps/>
          <w:sz w:val="24"/>
          <w:szCs w:val="24"/>
        </w:rPr>
        <w:t xml:space="preserve"> </w:t>
      </w:r>
    </w:p>
    <w:p w:rsidR="00463ECC" w:rsidRDefault="00463ECC" w:rsidP="00463ECC">
      <w:pPr>
        <w:ind w:firstLine="567"/>
        <w:jc w:val="both"/>
        <w:rPr>
          <w:rFonts w:ascii="Arial" w:hAnsi="Arial" w:cs="Arial"/>
          <w:color w:val="000000"/>
        </w:rPr>
      </w:pPr>
      <w:r>
        <w:rPr>
          <w:rFonts w:ascii="Arial" w:hAnsi="Arial" w:cs="Arial"/>
          <w:color w:val="000000"/>
        </w:rPr>
        <w:t xml:space="preserve">La cristalización es una operación unitaria importante por su amplia aplicación para obtener productos puros de considerable uso comercial y se utiliza en trabajos por lotes para pequeñas producciones y en operación continua para la fabricación de grandes volúmenes, sin embargo, debido </w:t>
      </w:r>
      <w:r>
        <w:rPr>
          <w:rFonts w:ascii="Arial" w:hAnsi="Arial" w:cs="Arial"/>
          <w:color w:val="000000"/>
        </w:rPr>
        <w:lastRenderedPageBreak/>
        <w:t>a todas las variables que implica su realización es la más difícil de escalar. En el presente trabajo se investigaron las condiciones de operación que nos permitieran obtener cristales de ácido benzoico buscando reducir a un mínimo el tiempo necesario para la cristalización. El equipo utilizado es un cristalizador donde la sobresaturación se obtiene aplicando evaporación y posteriormente enfriamiento. La principal variable a considerar fue el disolvente. El mejor resultado se obtuvo con una mezcla de etanol-agua al 60 en volumen. Otro factor importante es la concentración inicial de la solución donde a mayor concentración se tuvo también mayor rendimiento. El tiempo mínimo fue de tres horas.</w:t>
      </w:r>
    </w:p>
    <w:p w:rsidR="00463ECC" w:rsidRDefault="00463ECC" w:rsidP="00463ECC">
      <w:pPr>
        <w:ind w:firstLine="567"/>
        <w:jc w:val="both"/>
        <w:rPr>
          <w:rFonts w:ascii="Arial" w:hAnsi="Arial" w:cs="Arial"/>
        </w:rPr>
      </w:pPr>
    </w:p>
    <w:p w:rsidR="00463ECC" w:rsidRPr="00463ECC" w:rsidRDefault="00463ECC" w:rsidP="00463ECC">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aps/>
          <w:sz w:val="24"/>
          <w:szCs w:val="24"/>
        </w:rPr>
      </w:pPr>
      <w:bookmarkStart w:id="92" w:name="_Toc50031207"/>
      <w:r w:rsidRPr="00463ECC">
        <w:rPr>
          <w:rFonts w:ascii="Arial" w:hAnsi="Arial" w:cs="Arial"/>
          <w:i/>
          <w:caps/>
          <w:sz w:val="24"/>
          <w:szCs w:val="24"/>
        </w:rPr>
        <w:t>2. I</w:t>
      </w:r>
      <w:r w:rsidRPr="00463ECC">
        <w:rPr>
          <w:rFonts w:ascii="Arial" w:hAnsi="Arial" w:cs="Arial"/>
          <w:i/>
          <w:sz w:val="24"/>
          <w:szCs w:val="24"/>
        </w:rPr>
        <w:t>ntroducción</w:t>
      </w:r>
      <w:bookmarkEnd w:id="92"/>
      <w:r w:rsidRPr="00463ECC">
        <w:rPr>
          <w:rFonts w:ascii="Arial" w:hAnsi="Arial" w:cs="Arial"/>
          <w:i/>
          <w:caps/>
          <w:sz w:val="24"/>
          <w:szCs w:val="24"/>
        </w:rPr>
        <w:t xml:space="preserve"> </w:t>
      </w:r>
    </w:p>
    <w:p w:rsidR="00463ECC" w:rsidRDefault="00463ECC" w:rsidP="00463ECC">
      <w:pPr>
        <w:ind w:firstLine="708"/>
        <w:jc w:val="both"/>
        <w:rPr>
          <w:rFonts w:ascii="Arial" w:hAnsi="Arial" w:cs="Arial"/>
          <w:vertAlign w:val="superscript"/>
        </w:rPr>
      </w:pPr>
      <w:r w:rsidRPr="00AF312F">
        <w:rPr>
          <w:rFonts w:ascii="Arial" w:hAnsi="Arial" w:cs="Arial"/>
        </w:rPr>
        <w:t>La cristalización</w:t>
      </w:r>
      <w:r>
        <w:rPr>
          <w:rFonts w:ascii="Arial" w:hAnsi="Arial" w:cs="Arial"/>
        </w:rPr>
        <w:t xml:space="preserve"> es un proceso donde se forman partículas sólidas, cristales, a partir de una fase líquida homogénea. Un cristal es el tipo de materia no viva más altamente organizada. Están constituidos por redes espaciales cuyos componentes pueden ser átomos, iones o moléculas dispuestos en formaciones ordenadas de forma tridimensional como poliedros de vértices agudos y caras planas. Los ángulos formados por estas caras correspondientes a un determinado material son iguales y específicas de dicho material de tal forma que son la base para la clasificación de los cristales. </w:t>
      </w:r>
      <w:r w:rsidRPr="00777E0A">
        <w:rPr>
          <w:rFonts w:ascii="Arial" w:hAnsi="Arial" w:cs="Arial"/>
          <w:vertAlign w:val="superscript"/>
        </w:rPr>
        <w:t>[1]</w:t>
      </w:r>
    </w:p>
    <w:p w:rsidR="00463ECC" w:rsidRDefault="00463ECC" w:rsidP="00463ECC">
      <w:pPr>
        <w:ind w:firstLine="708"/>
        <w:jc w:val="both"/>
        <w:rPr>
          <w:rFonts w:ascii="Arial" w:hAnsi="Arial" w:cs="Arial"/>
        </w:rPr>
      </w:pPr>
    </w:p>
    <w:p w:rsidR="00463ECC" w:rsidRPr="00151891" w:rsidRDefault="00463ECC" w:rsidP="00463ECC">
      <w:pPr>
        <w:jc w:val="both"/>
        <w:rPr>
          <w:rFonts w:ascii="Arial" w:hAnsi="Arial" w:cs="Arial"/>
          <w:i/>
        </w:rPr>
      </w:pPr>
      <w:r>
        <w:rPr>
          <w:rFonts w:ascii="Arial" w:hAnsi="Arial" w:cs="Arial"/>
          <w:i/>
        </w:rPr>
        <w:t xml:space="preserve">2.1 Solubilidad, saturación, </w:t>
      </w:r>
      <w:r w:rsidRPr="00151891">
        <w:rPr>
          <w:rFonts w:ascii="Arial" w:hAnsi="Arial" w:cs="Arial"/>
          <w:i/>
        </w:rPr>
        <w:t>sobresaturación</w:t>
      </w:r>
      <w:r>
        <w:rPr>
          <w:rFonts w:ascii="Arial" w:hAnsi="Arial" w:cs="Arial"/>
          <w:i/>
        </w:rPr>
        <w:t xml:space="preserve"> y antisolvente</w:t>
      </w:r>
    </w:p>
    <w:p w:rsidR="00463ECC" w:rsidRDefault="00463ECC" w:rsidP="00463ECC">
      <w:pPr>
        <w:jc w:val="both"/>
        <w:rPr>
          <w:rFonts w:ascii="Arial" w:hAnsi="Arial" w:cs="Arial"/>
        </w:rPr>
      </w:pPr>
      <w:r>
        <w:rPr>
          <w:rFonts w:ascii="Arial" w:hAnsi="Arial" w:cs="Arial"/>
        </w:rPr>
        <w:tab/>
        <w:t xml:space="preserve">Comprender los conceptos de solubilidad, saturación y sobresaturación es importante para entender el fenómeno de la cristalización. La solubilidad es una propiedad física de un sólido que nos dice la cantidad máxima de este sólido que se puede disolver en una porción determinada del líquido en estado de equilibrio, en estas condiciones se dice que la solución se encuentra saturada. </w:t>
      </w:r>
      <w:r w:rsidRPr="00710124">
        <w:rPr>
          <w:rFonts w:ascii="Arial" w:hAnsi="Arial" w:cs="Arial"/>
          <w:vertAlign w:val="superscript"/>
        </w:rPr>
        <w:t>[2]</w:t>
      </w:r>
      <w:r>
        <w:rPr>
          <w:rFonts w:ascii="Arial" w:hAnsi="Arial" w:cs="Arial"/>
        </w:rPr>
        <w:t xml:space="preserve"> Los datos de solubilidad se dan, por lo general, como porcentaje en peso del material anhidro respecto a la disolución, en otros casos como porcentaje en peso del material anhidro respecto al disolvente total. </w:t>
      </w:r>
      <w:r w:rsidRPr="006B2AB1">
        <w:rPr>
          <w:rFonts w:ascii="Arial" w:hAnsi="Arial" w:cs="Arial"/>
          <w:vertAlign w:val="superscript"/>
        </w:rPr>
        <w:t>[3]</w:t>
      </w:r>
      <w:r>
        <w:rPr>
          <w:rFonts w:ascii="Arial" w:hAnsi="Arial" w:cs="Arial"/>
          <w:vertAlign w:val="superscript"/>
        </w:rPr>
        <w:t xml:space="preserve"> </w:t>
      </w:r>
      <w:r>
        <w:rPr>
          <w:rFonts w:ascii="Arial" w:hAnsi="Arial" w:cs="Arial"/>
        </w:rPr>
        <w:t xml:space="preserve">La solubilidad varía con la temperatura, en general, cuando la temperatura aumenta, la solubilidad aumenta también por lo que cuando se enfría una solución saturada parte del soluto debe salir de ella para que la solución enfriada regrese al equilibrio y este soluto sale en forma de cristales sólidos. Sin embargo, la velocidad de cristalización puede ser lenta, por lo que puede existir una condición meta-estable donde la concentración del soluto es mayor que el valor de solubilidad a la temperatura más baja, en estas condiciones se dice que la solución está sobresaturada, y la diferencia entre la concentración real y la del equilibrio se llama sobresaturación. </w:t>
      </w:r>
      <w:r w:rsidRPr="00710124">
        <w:rPr>
          <w:rFonts w:ascii="Arial" w:hAnsi="Arial" w:cs="Arial"/>
          <w:vertAlign w:val="superscript"/>
        </w:rPr>
        <w:t>[2]</w:t>
      </w:r>
    </w:p>
    <w:p w:rsidR="00463ECC" w:rsidRPr="00705D82" w:rsidRDefault="00463ECC" w:rsidP="00463ECC">
      <w:pPr>
        <w:ind w:firstLine="708"/>
        <w:jc w:val="both"/>
        <w:rPr>
          <w:rFonts w:ascii="Arial" w:hAnsi="Arial" w:cs="Arial"/>
        </w:rPr>
      </w:pPr>
      <w:r w:rsidRPr="006B2AB1">
        <w:rPr>
          <w:rFonts w:ascii="Arial" w:hAnsi="Arial" w:cs="Arial"/>
        </w:rPr>
        <w:t>Las relaciones de equilibrio para los sistemas de cristalización se expresan mediante datos de solubilidad que se representan en diagramas de fase o curvas de solubilidad</w:t>
      </w:r>
      <w:r>
        <w:rPr>
          <w:rFonts w:ascii="Arial" w:hAnsi="Arial" w:cs="Arial"/>
        </w:rPr>
        <w:t>,</w:t>
      </w:r>
      <w:r w:rsidRPr="006B2AB1">
        <w:rPr>
          <w:rFonts w:ascii="Arial" w:hAnsi="Arial" w:cs="Arial"/>
        </w:rPr>
        <w:t xml:space="preserve"> sin embargo</w:t>
      </w:r>
      <w:r>
        <w:rPr>
          <w:rFonts w:ascii="Arial" w:hAnsi="Arial" w:cs="Arial"/>
        </w:rPr>
        <w:t>,</w:t>
      </w:r>
      <w:r w:rsidRPr="006B2AB1">
        <w:rPr>
          <w:rFonts w:ascii="Arial" w:hAnsi="Arial" w:cs="Arial"/>
        </w:rPr>
        <w:t xml:space="preserve"> existe dificultad para reproducir estos datos, es necesario que el sistema se encuentre en las mismas condiciones de pH</w:t>
      </w:r>
      <w:r>
        <w:rPr>
          <w:rFonts w:ascii="Arial" w:hAnsi="Arial" w:cs="Arial"/>
        </w:rPr>
        <w:t xml:space="preserve">, temperatura </w:t>
      </w:r>
      <w:r w:rsidRPr="006B2AB1">
        <w:rPr>
          <w:rFonts w:ascii="Arial" w:hAnsi="Arial" w:cs="Arial"/>
        </w:rPr>
        <w:t xml:space="preserve">y composición y que alcance el equilibrio durante un período de tiempo </w:t>
      </w:r>
      <w:r>
        <w:rPr>
          <w:rFonts w:ascii="Arial" w:hAnsi="Arial" w:cs="Arial"/>
        </w:rPr>
        <w:t xml:space="preserve">que puede variar </w:t>
      </w:r>
      <w:r w:rsidRPr="006B2AB1">
        <w:rPr>
          <w:rFonts w:ascii="Arial" w:hAnsi="Arial" w:cs="Arial"/>
        </w:rPr>
        <w:t>entre 1 y 100 horas</w:t>
      </w:r>
      <w:r>
        <w:rPr>
          <w:rFonts w:ascii="Arial" w:hAnsi="Arial" w:cs="Arial"/>
        </w:rPr>
        <w:t xml:space="preserve">. </w:t>
      </w:r>
      <w:r w:rsidRPr="006B2AB1">
        <w:rPr>
          <w:rFonts w:ascii="Arial" w:hAnsi="Arial" w:cs="Arial"/>
          <w:vertAlign w:val="superscript"/>
        </w:rPr>
        <w:t>[3]</w:t>
      </w:r>
      <w:r>
        <w:rPr>
          <w:rFonts w:ascii="Arial" w:hAnsi="Arial" w:cs="Arial"/>
          <w:vertAlign w:val="superscript"/>
        </w:rPr>
        <w:t xml:space="preserve"> </w:t>
      </w:r>
      <w:r>
        <w:rPr>
          <w:rFonts w:ascii="Arial" w:hAnsi="Arial" w:cs="Arial"/>
        </w:rPr>
        <w:t xml:space="preserve">En algunos casos para alcanzar la sobresaturación se añade a la solución saturada un segundo disolvente miscible con el primero y en el cual la solubilidad </w:t>
      </w:r>
      <w:r>
        <w:rPr>
          <w:rFonts w:ascii="Arial" w:hAnsi="Arial" w:cs="Arial"/>
        </w:rPr>
        <w:lastRenderedPageBreak/>
        <w:t xml:space="preserve">del soluto sea menor, al reducir la solubilidad se induce a la sobresaturación, a este segundo disolvente se le llama antisolvente  o cosolvente. </w:t>
      </w:r>
      <w:r w:rsidRPr="00705D82">
        <w:rPr>
          <w:rFonts w:ascii="Arial" w:hAnsi="Arial" w:cs="Arial"/>
          <w:vertAlign w:val="superscript"/>
        </w:rPr>
        <w:t>[4]</w:t>
      </w:r>
    </w:p>
    <w:p w:rsidR="00463ECC" w:rsidRDefault="00463ECC" w:rsidP="00463ECC">
      <w:pPr>
        <w:jc w:val="both"/>
        <w:rPr>
          <w:rFonts w:ascii="Arial" w:hAnsi="Arial" w:cs="Arial"/>
        </w:rPr>
      </w:pPr>
    </w:p>
    <w:p w:rsidR="00463ECC" w:rsidRDefault="00463ECC" w:rsidP="00463ECC">
      <w:pPr>
        <w:jc w:val="both"/>
        <w:rPr>
          <w:rFonts w:ascii="Arial" w:hAnsi="Arial" w:cs="Arial"/>
        </w:rPr>
      </w:pPr>
      <w:r>
        <w:rPr>
          <w:rFonts w:ascii="Arial" w:hAnsi="Arial" w:cs="Arial"/>
        </w:rPr>
        <w:t xml:space="preserve">2.2. </w:t>
      </w:r>
      <w:r w:rsidRPr="00B117BE">
        <w:rPr>
          <w:rFonts w:ascii="Arial" w:hAnsi="Arial" w:cs="Arial"/>
          <w:i/>
        </w:rPr>
        <w:t>Polimorfismo</w:t>
      </w:r>
      <w:r>
        <w:rPr>
          <w:rFonts w:ascii="Arial" w:hAnsi="Arial" w:cs="Arial"/>
        </w:rPr>
        <w:t xml:space="preserve"> </w:t>
      </w:r>
    </w:p>
    <w:p w:rsidR="00463ECC" w:rsidRDefault="00463ECC" w:rsidP="00463ECC">
      <w:pPr>
        <w:jc w:val="both"/>
        <w:rPr>
          <w:rFonts w:ascii="Arial" w:hAnsi="Arial" w:cs="Arial"/>
        </w:rPr>
      </w:pPr>
      <w:r>
        <w:rPr>
          <w:rFonts w:ascii="Arial" w:hAnsi="Arial" w:cs="Arial"/>
        </w:rPr>
        <w:tab/>
        <w:t>El polimorfismo es un fenómeno que ha propiciado un acelerado desarrollo de los procesos de cristalización sobre todo en la industria farmacéutica. El ejemplo más conocido y trágico de este fenómeno es la talidomida que fue comercializada como un medicamento contra las náuseas en su forma R-(+)-talidomida, la forma S-(-)-talidomida es un agente teratogénico que causa malformaciones y muerte en infantes cuando es consumida por mujeres en gestación. Aunque existen otros casos este es el más conocido. El polimorfismo también afecta a los productos de la cristalización en aspectos como reducción de la solubilidad, disminución de la velocidad de disolución, incremento de la dureza de la tableta, disminuyendo la capacidad de la biodisponibilidad, por lo que mantener la estabilidad del producto cristalino se ha vuelto un factor de primera importancia y la tecnología de la cristalización se ha convertido en el elemento clave para la resolución de este problema.</w:t>
      </w:r>
    </w:p>
    <w:p w:rsidR="00463ECC" w:rsidRDefault="00463ECC" w:rsidP="00463ECC">
      <w:pPr>
        <w:jc w:val="both"/>
        <w:rPr>
          <w:rFonts w:ascii="Arial" w:hAnsi="Arial" w:cs="Arial"/>
        </w:rPr>
      </w:pPr>
    </w:p>
    <w:p w:rsidR="00463ECC" w:rsidRPr="009C4836" w:rsidRDefault="00463ECC" w:rsidP="00463ECC">
      <w:pPr>
        <w:jc w:val="both"/>
        <w:rPr>
          <w:rFonts w:ascii="Arial" w:hAnsi="Arial" w:cs="Arial"/>
          <w:i/>
        </w:rPr>
      </w:pPr>
      <w:r>
        <w:rPr>
          <w:rFonts w:ascii="Arial" w:hAnsi="Arial" w:cs="Arial"/>
          <w:i/>
        </w:rPr>
        <w:t>2</w:t>
      </w:r>
      <w:r w:rsidRPr="009C4836">
        <w:rPr>
          <w:rFonts w:ascii="Arial" w:hAnsi="Arial" w:cs="Arial"/>
          <w:i/>
        </w:rPr>
        <w:t>.2 Nucleación y crecimiento</w:t>
      </w:r>
    </w:p>
    <w:p w:rsidR="00463ECC" w:rsidRDefault="00463ECC" w:rsidP="00463ECC">
      <w:pPr>
        <w:ind w:firstLine="708"/>
        <w:jc w:val="both"/>
        <w:rPr>
          <w:rFonts w:ascii="Arial" w:hAnsi="Arial" w:cs="Arial"/>
        </w:rPr>
      </w:pPr>
      <w:r>
        <w:rPr>
          <w:rFonts w:ascii="Arial" w:hAnsi="Arial" w:cs="Arial"/>
        </w:rPr>
        <w:t xml:space="preserve">La nucleación es el primer paso en la formación de una fase sólida, se presenta cuando las moléculas o iones de un soluto en una solución sobresaturada se agrupan dando lugar a una partícula de unos pocos nanómetros de tamaño. El siguiente paso consiste en su crecimiento hasta dar lugar a un cristal no obstante entre uno y otro paso importantes procesos secundarios tienen lugar. Algunas partículas pueden romperse dando lugar a un gran número de pequeños fragmentos, </w:t>
      </w:r>
      <w:r w:rsidRPr="007C6EE1">
        <w:rPr>
          <w:rFonts w:ascii="Arial" w:hAnsi="Arial" w:cs="Arial"/>
          <w:vertAlign w:val="superscript"/>
        </w:rPr>
        <w:t>[4]</w:t>
      </w:r>
      <w:r>
        <w:rPr>
          <w:rFonts w:ascii="Arial" w:hAnsi="Arial" w:cs="Arial"/>
        </w:rPr>
        <w:t xml:space="preserve"> esta situación es un factor muy importante en la nucleación ya que la diferencia termodinámica entre las partículas o cristales pequeños y los grandes radica en que los pequeños tienen una cantidad significativa de energía superficial por unidad de masa, mientras que los grandes no la tienen, por lo tanto, la solubilidad de un cristal pequeño es mayor mientras más pequeño es. De este modo una solución sobresaturada puede encontrarse en equilibrio con cristales diminutos, pero si existen cristales grandes, estos crecerán mientras que los de menor tamaño se disolverán. Esto es lo que se llama efecto de tamaño de partícula. Los datos de solubilidad común se aplican a cristales relativamente grandes. </w:t>
      </w:r>
      <w:r>
        <w:rPr>
          <w:rFonts w:ascii="Arial" w:hAnsi="Arial" w:cs="Arial"/>
          <w:vertAlign w:val="superscript"/>
        </w:rPr>
        <w:t>[5</w:t>
      </w:r>
      <w:r w:rsidRPr="00D13993">
        <w:rPr>
          <w:rFonts w:ascii="Arial" w:hAnsi="Arial" w:cs="Arial"/>
          <w:vertAlign w:val="superscript"/>
        </w:rPr>
        <w:t>]</w:t>
      </w:r>
      <w:r>
        <w:rPr>
          <w:rFonts w:ascii="Arial" w:hAnsi="Arial" w:cs="Arial"/>
          <w:vertAlign w:val="superscript"/>
        </w:rPr>
        <w:t xml:space="preserve"> </w:t>
      </w:r>
    </w:p>
    <w:p w:rsidR="00463ECC" w:rsidRDefault="00463ECC" w:rsidP="00463ECC">
      <w:pPr>
        <w:ind w:firstLine="708"/>
        <w:jc w:val="both"/>
        <w:rPr>
          <w:rFonts w:ascii="Arial" w:hAnsi="Arial" w:cs="Arial"/>
        </w:rPr>
      </w:pPr>
      <w:r>
        <w:rPr>
          <w:rFonts w:ascii="Arial" w:hAnsi="Arial" w:cs="Arial"/>
        </w:rPr>
        <w:t>El crecimiento del cristal es un proceso de difusión e integración modificado por el efecto de la superficie sólida en la que se presenta. Las moléculas o iones del soluto alcanzan las caras de crecimiento de un cristal por difusión a través de la fase líquida. Una vez en la superficie deberán acomodarse en la red espacial a través de una capa de adsorción. Se tienen variaciones en la forma de los cristales cuando sus caras individuales crecen a diferente velocidad. La forma que el cristal toma dependiendo de las proporciones de sus caras, se le llama hábito del cristal. De este modo el crecimiento de los cristales se puede simplificar en dos pasos:</w:t>
      </w:r>
    </w:p>
    <w:p w:rsidR="00463ECC" w:rsidRDefault="00463ECC" w:rsidP="00257D10">
      <w:pPr>
        <w:numPr>
          <w:ilvl w:val="0"/>
          <w:numId w:val="26"/>
        </w:numPr>
        <w:suppressAutoHyphens/>
        <w:spacing w:after="0" w:line="240" w:lineRule="auto"/>
        <w:jc w:val="both"/>
        <w:rPr>
          <w:rFonts w:ascii="Arial" w:hAnsi="Arial" w:cs="Arial"/>
        </w:rPr>
      </w:pPr>
      <w:r>
        <w:rPr>
          <w:rFonts w:ascii="Arial" w:hAnsi="Arial" w:cs="Arial"/>
        </w:rPr>
        <w:t>La transferencia de masa del soluto de la solución a la superficie de los cristales por difusión, convección o una combinación de ambos mecanismos.</w:t>
      </w:r>
    </w:p>
    <w:p w:rsidR="00463ECC" w:rsidRDefault="00463ECC" w:rsidP="00257D10">
      <w:pPr>
        <w:numPr>
          <w:ilvl w:val="0"/>
          <w:numId w:val="26"/>
        </w:numPr>
        <w:suppressAutoHyphens/>
        <w:spacing w:after="0" w:line="240" w:lineRule="auto"/>
        <w:jc w:val="both"/>
        <w:rPr>
          <w:rFonts w:ascii="Arial" w:hAnsi="Arial" w:cs="Arial"/>
        </w:rPr>
      </w:pPr>
      <w:r>
        <w:rPr>
          <w:rFonts w:ascii="Arial" w:hAnsi="Arial" w:cs="Arial"/>
        </w:rPr>
        <w:lastRenderedPageBreak/>
        <w:t xml:space="preserve">La incorporación del soluto en la red espacial a través de la superficie de adsorción. </w:t>
      </w:r>
      <w:r w:rsidRPr="009C4836">
        <w:rPr>
          <w:rFonts w:ascii="Arial" w:hAnsi="Arial" w:cs="Arial"/>
          <w:vertAlign w:val="superscript"/>
        </w:rPr>
        <w:t>[4]</w:t>
      </w:r>
      <w:r>
        <w:rPr>
          <w:rFonts w:ascii="Arial" w:hAnsi="Arial" w:cs="Arial"/>
        </w:rPr>
        <w:t xml:space="preserve"> </w:t>
      </w:r>
    </w:p>
    <w:p w:rsidR="00463ECC" w:rsidRPr="004648B8" w:rsidRDefault="00463ECC" w:rsidP="00463ECC">
      <w:pPr>
        <w:ind w:firstLine="708"/>
        <w:jc w:val="both"/>
        <w:rPr>
          <w:rFonts w:ascii="Arial" w:hAnsi="Arial" w:cs="Arial"/>
        </w:rPr>
      </w:pPr>
    </w:p>
    <w:p w:rsidR="00463ECC" w:rsidRDefault="00463ECC" w:rsidP="00463ECC">
      <w:pPr>
        <w:jc w:val="both"/>
        <w:rPr>
          <w:rFonts w:ascii="Arial" w:hAnsi="Arial" w:cs="Arial"/>
        </w:rPr>
      </w:pPr>
      <w:r w:rsidRPr="001F53A4">
        <w:rPr>
          <w:rFonts w:ascii="Arial" w:hAnsi="Arial" w:cs="Arial"/>
          <w:i/>
        </w:rPr>
        <w:t>2.3 La cristalización como operación unitaria</w:t>
      </w:r>
    </w:p>
    <w:p w:rsidR="00463ECC" w:rsidRDefault="00463ECC" w:rsidP="00463ECC">
      <w:pPr>
        <w:ind w:firstLine="708"/>
        <w:jc w:val="both"/>
        <w:rPr>
          <w:rFonts w:ascii="Arial" w:hAnsi="Arial" w:cs="Arial"/>
        </w:rPr>
      </w:pPr>
      <w:r>
        <w:rPr>
          <w:rFonts w:ascii="Arial" w:hAnsi="Arial" w:cs="Arial"/>
        </w:rPr>
        <w:t xml:space="preserve">El hecho de que un cristal sólido bien formado es casi puro hace que la cristalización como operación unitaria sea uno de los procedimientos más utilizados para la separación y purificación de productos. Resulta un método práctico para la obtención de sustancias puras de amplio uso comercial en presentaciones adecuadas para su envasado y almacenamiento. En los últimos años los procesos de cristalización han mejorado significativamente fabricando productos de alto valor comercial y desarrollando procesos de manufactura más eficientes </w:t>
      </w:r>
      <w:r w:rsidRPr="00A7078F">
        <w:rPr>
          <w:rFonts w:ascii="Arial" w:hAnsi="Arial" w:cs="Arial"/>
          <w:vertAlign w:val="superscript"/>
        </w:rPr>
        <w:t>[8]</w:t>
      </w:r>
      <w:r>
        <w:rPr>
          <w:rFonts w:ascii="Arial" w:hAnsi="Arial" w:cs="Arial"/>
        </w:rPr>
        <w:t xml:space="preserve">. </w:t>
      </w:r>
    </w:p>
    <w:p w:rsidR="00463ECC" w:rsidRDefault="00463ECC" w:rsidP="00463ECC">
      <w:pPr>
        <w:ind w:firstLine="708"/>
        <w:jc w:val="both"/>
        <w:rPr>
          <w:rFonts w:ascii="Arial" w:hAnsi="Arial" w:cs="Arial"/>
        </w:rPr>
      </w:pPr>
      <w:r>
        <w:rPr>
          <w:rFonts w:ascii="Arial" w:hAnsi="Arial" w:cs="Arial"/>
        </w:rPr>
        <w:t>Es importante también que los cristales tengan tamaños uniformes y que no formen aglomeraciones sobre todo cuando se trata productos de venta directa al público. Cuando la solución sobresaturada presenta la formación de cristales tenemos presentes dos fases, a la fase líquida se le llama licor madre y a la mezcla de ambas fases se le denomina magma</w:t>
      </w:r>
    </w:p>
    <w:p w:rsidR="00463ECC" w:rsidRDefault="00463ECC" w:rsidP="00463ECC">
      <w:pPr>
        <w:ind w:firstLine="708"/>
        <w:jc w:val="both"/>
        <w:rPr>
          <w:rFonts w:ascii="Arial" w:hAnsi="Arial" w:cs="Arial"/>
        </w:rPr>
      </w:pPr>
      <w:r>
        <w:rPr>
          <w:rFonts w:ascii="Arial" w:hAnsi="Arial" w:cs="Arial"/>
        </w:rPr>
        <w:t>El equipo utilizado a nivel industrial se clasifica principalmente por: a) su forma de operar, b) la forma de alcanzar la sobresaturación.</w:t>
      </w:r>
    </w:p>
    <w:p w:rsidR="00463ECC" w:rsidRDefault="00463ECC" w:rsidP="00463ECC">
      <w:pPr>
        <w:ind w:firstLine="708"/>
        <w:jc w:val="both"/>
        <w:rPr>
          <w:rFonts w:ascii="Arial" w:hAnsi="Arial" w:cs="Arial"/>
        </w:rPr>
      </w:pPr>
      <w:r>
        <w:rPr>
          <w:rFonts w:ascii="Arial" w:hAnsi="Arial" w:cs="Arial"/>
        </w:rPr>
        <w:t xml:space="preserve">Por la forma de operar se puede trabajar en forma continua o por lotes. Comercialmente es preferible la forma continua sobre todo cuando se trata de altos volúmenes de producción, la producción por lotes se utiliza para aplicaciones especiales y más comúnmente en la industria farmacéutica. Para alcanzar la sobresaturación se consideran tres procedimientos: 1) por enfriamiento sin evaporación o con mínima evaporación, para solutos cuya curva de solubilidad es muy pronunciada; 2) por evaporación, para solutos cuya solubilidad es poco dependiente de la temperatura o cuando disminuye al aumentar la temperatura; 3) por una combinación de ambos métodos. </w:t>
      </w:r>
    </w:p>
    <w:p w:rsidR="00463ECC" w:rsidRDefault="00463ECC" w:rsidP="00463ECC">
      <w:pPr>
        <w:ind w:firstLine="708"/>
        <w:jc w:val="both"/>
        <w:rPr>
          <w:rFonts w:ascii="Arial" w:hAnsi="Arial" w:cs="Arial"/>
        </w:rPr>
      </w:pPr>
      <w:r>
        <w:rPr>
          <w:rFonts w:ascii="Arial" w:hAnsi="Arial" w:cs="Arial"/>
        </w:rPr>
        <w:t xml:space="preserve">Otra clasificación de los diferentes cristalizadores empleados se basa en el método empleado para mantener en suspensión los cristales en crecimiento, esto se puede lograr mediante agitación mecánica, o bien la solución se hace circular a través de un intercambiador de calor con o sin raspadores de superficie. La forma de mantener el líquido sobresaturado en contacto con los cristales también cambia dependiendo del tipo de cristalizador. En los equipos donde se utiliza el método de circulación de magma, como su nombre lo dice, toda la mezcla en su conjunto pasa por las etapas de sobresaturación y cristalización. Existe otro método llamado de circulación del líquido, donde una parte de la corriente de líquido sobresaturado se hace pasar a través de un lecho fluidizado donde crecen los cristales y se forman nuevos núcleos. Después, el líquido saturado se pasa a evaporación o enfriamiento para volver a la condición de sobresaturación y entonces se recircula. </w:t>
      </w:r>
      <w:r w:rsidRPr="00334377">
        <w:rPr>
          <w:rFonts w:ascii="Arial" w:hAnsi="Arial" w:cs="Arial"/>
          <w:vertAlign w:val="superscript"/>
        </w:rPr>
        <w:t>[5]</w:t>
      </w:r>
      <w:r>
        <w:rPr>
          <w:rFonts w:ascii="Arial" w:hAnsi="Arial" w:cs="Arial"/>
          <w:vertAlign w:val="superscript"/>
        </w:rPr>
        <w:t xml:space="preserve"> </w:t>
      </w:r>
      <w:r w:rsidRPr="00AC71D5">
        <w:rPr>
          <w:rFonts w:ascii="Arial" w:hAnsi="Arial" w:cs="Arial"/>
        </w:rPr>
        <w:t>Los</w:t>
      </w:r>
      <w:r>
        <w:rPr>
          <w:rFonts w:ascii="Arial" w:hAnsi="Arial" w:cs="Arial"/>
        </w:rPr>
        <w:t xml:space="preserve"> cristalizadores industriales, emplean diferentes formas de agitación, pueden consistir en agitadores mecánicos con o sin placas deflectoras, en el caso de los métodos de circulación se utilizan bombas externas. </w:t>
      </w:r>
      <w:r w:rsidRPr="00AC71D5">
        <w:rPr>
          <w:rFonts w:ascii="Arial" w:hAnsi="Arial" w:cs="Arial"/>
          <w:vertAlign w:val="superscript"/>
        </w:rPr>
        <w:t>[1]</w:t>
      </w:r>
      <w:r>
        <w:rPr>
          <w:rFonts w:ascii="Arial" w:hAnsi="Arial" w:cs="Arial"/>
        </w:rPr>
        <w:t xml:space="preserve"> </w:t>
      </w:r>
      <w:r>
        <w:rPr>
          <w:rFonts w:ascii="Arial" w:hAnsi="Arial" w:cs="Arial"/>
        </w:rPr>
        <w:tab/>
        <w:t xml:space="preserve"> </w:t>
      </w:r>
    </w:p>
    <w:p w:rsidR="00463ECC" w:rsidRDefault="00463ECC" w:rsidP="00463ECC">
      <w:pPr>
        <w:ind w:firstLine="708"/>
        <w:jc w:val="both"/>
        <w:rPr>
          <w:rFonts w:ascii="Arial" w:hAnsi="Arial" w:cs="Arial"/>
        </w:rPr>
      </w:pPr>
      <w:r>
        <w:rPr>
          <w:rFonts w:ascii="Arial" w:hAnsi="Arial" w:cs="Arial"/>
        </w:rPr>
        <w:t xml:space="preserve">La selección de un tipo específico de cristalización depende principalmente de las características del compuesto a cristalizar, por ejemplo el cloruro de sodio se obtiene principalmente por evaporación únicamente debido a sus valores limitados de solubilidad con respecto a la temperatura, en contraste muchos compuestos, sobre todo de aplicación farmacéutica requieren de </w:t>
      </w:r>
      <w:r>
        <w:rPr>
          <w:rFonts w:ascii="Arial" w:hAnsi="Arial" w:cs="Arial"/>
        </w:rPr>
        <w:lastRenderedPageBreak/>
        <w:t>cristalización por enfriamiento, o una combinación de cristalización por enfriamiento y adición de antisolvente debido a sus valores de solubilidad en relación con la temperatura. Durante la operación también es posible utilizar diferentes estrategias para optimizar el proceso, tales como siembra de cristales, remoción de finos, uso de velocidades de enfriamiento o evaporación óptimos, relaciones adecuadas de compuesto/ antisolvente añadido.</w:t>
      </w:r>
    </w:p>
    <w:p w:rsidR="00463ECC" w:rsidRDefault="00463ECC" w:rsidP="00463ECC">
      <w:pPr>
        <w:ind w:firstLine="708"/>
        <w:jc w:val="both"/>
        <w:rPr>
          <w:rFonts w:ascii="Arial" w:hAnsi="Arial" w:cs="Arial"/>
        </w:rPr>
      </w:pPr>
      <w:r>
        <w:rPr>
          <w:rFonts w:ascii="Arial" w:hAnsi="Arial" w:cs="Arial"/>
        </w:rPr>
        <w:t xml:space="preserve">Existen muchos factores a controlar dentro de los procesos de cristalización como la distribución del tamaño de partícula, la transición polimorfa, pureza y morfología del cristal, densidad, fluidez, compactibilidad, solubilidad y velocidad de disolución. El desarrollo de modelos de sistemas de cristalización ha proporcionado un mejor entendimiento de los efectos de las principales variables de estos procesos, tales como la aglomeración, el rompimiento, el engrase o la transición polimorfa. Entre las estrategias de control para los procesos de cristalización se encuentra la del llamado “modelo libre”, que consiste en una retroalimentación de los resultados obtenidos en una experimentación y contrastarlos con los valores de las variables establecidos previamente. Variables tales como concentración, temperatura, relación concentración/sobresaturación o sus combinaciones pueden utilizarse para establecer condiciones óptimas de un proceso de cristalización </w:t>
      </w:r>
      <w:r w:rsidRPr="005A38C3">
        <w:rPr>
          <w:rFonts w:ascii="Arial" w:hAnsi="Arial" w:cs="Arial"/>
          <w:vertAlign w:val="superscript"/>
        </w:rPr>
        <w:t>[9]</w:t>
      </w:r>
      <w:r>
        <w:rPr>
          <w:rFonts w:ascii="Arial" w:hAnsi="Arial" w:cs="Arial"/>
        </w:rPr>
        <w:t>. Aunque este método se ve afectado por inconsistencias del sistema resulta muy útil sobre todo si no se cuenta con tecnologías analíticas que permitan monitoreos en tiempo real.</w:t>
      </w:r>
    </w:p>
    <w:p w:rsidR="00463ECC" w:rsidRDefault="00463ECC" w:rsidP="00463ECC">
      <w:pPr>
        <w:jc w:val="both"/>
        <w:rPr>
          <w:rFonts w:ascii="Arial" w:hAnsi="Arial" w:cs="Arial"/>
          <w:i/>
        </w:rPr>
      </w:pPr>
    </w:p>
    <w:p w:rsidR="00463ECC" w:rsidRDefault="00463ECC" w:rsidP="00463ECC">
      <w:pPr>
        <w:jc w:val="both"/>
        <w:rPr>
          <w:rFonts w:ascii="Arial" w:hAnsi="Arial" w:cs="Arial"/>
        </w:rPr>
      </w:pPr>
      <w:r>
        <w:rPr>
          <w:rFonts w:ascii="Arial" w:hAnsi="Arial" w:cs="Arial"/>
          <w:i/>
        </w:rPr>
        <w:t>2.Á</w:t>
      </w:r>
      <w:r w:rsidRPr="00AC71D5">
        <w:rPr>
          <w:rFonts w:ascii="Arial" w:hAnsi="Arial" w:cs="Arial"/>
          <w:i/>
        </w:rPr>
        <w:t>cido be</w:t>
      </w:r>
      <w:r>
        <w:rPr>
          <w:rFonts w:ascii="Arial" w:hAnsi="Arial" w:cs="Arial"/>
          <w:i/>
        </w:rPr>
        <w:t xml:space="preserve">nzoico y sus aplicaciones </w:t>
      </w:r>
    </w:p>
    <w:p w:rsidR="00463ECC" w:rsidRPr="0013515F" w:rsidRDefault="00463ECC" w:rsidP="00463ECC">
      <w:pPr>
        <w:pStyle w:val="Textoindependiente"/>
        <w:spacing w:before="69"/>
        <w:ind w:left="118" w:right="192" w:firstLine="590"/>
        <w:jc w:val="both"/>
        <w:rPr>
          <w:rFonts w:ascii="Arial" w:hAnsi="Arial" w:cs="Arial"/>
          <w:b w:val="0"/>
          <w:bCs w:val="0"/>
          <w:sz w:val="24"/>
          <w:vertAlign w:val="superscript"/>
        </w:rPr>
      </w:pPr>
      <w:r w:rsidRPr="00AC71D5">
        <w:rPr>
          <w:rFonts w:ascii="Arial" w:hAnsi="Arial" w:cs="Arial"/>
          <w:b w:val="0"/>
          <w:bCs w:val="0"/>
          <w:sz w:val="24"/>
        </w:rPr>
        <w:t>El ácido benzoico, C</w:t>
      </w:r>
      <w:r w:rsidRPr="00B64233">
        <w:rPr>
          <w:rFonts w:ascii="Arial" w:hAnsi="Arial" w:cs="Arial"/>
          <w:b w:val="0"/>
          <w:bCs w:val="0"/>
          <w:sz w:val="24"/>
          <w:vertAlign w:val="subscript"/>
        </w:rPr>
        <w:t>6</w:t>
      </w:r>
      <w:r w:rsidRPr="00AC71D5">
        <w:rPr>
          <w:rFonts w:ascii="Arial" w:hAnsi="Arial" w:cs="Arial"/>
          <w:b w:val="0"/>
          <w:bCs w:val="0"/>
          <w:sz w:val="24"/>
        </w:rPr>
        <w:t>H</w:t>
      </w:r>
      <w:r w:rsidRPr="00B64233">
        <w:rPr>
          <w:rFonts w:ascii="Arial" w:hAnsi="Arial" w:cs="Arial"/>
          <w:b w:val="0"/>
          <w:bCs w:val="0"/>
          <w:sz w:val="24"/>
          <w:vertAlign w:val="subscript"/>
        </w:rPr>
        <w:t>5</w:t>
      </w:r>
      <w:r w:rsidRPr="00AC71D5">
        <w:rPr>
          <w:rFonts w:ascii="Arial" w:hAnsi="Arial" w:cs="Arial"/>
          <w:b w:val="0"/>
          <w:bCs w:val="0"/>
          <w:sz w:val="24"/>
        </w:rPr>
        <w:t>COOH, es un compuesto sólido de cristales livianos, blancos y filiformes, los cuales desprenden un aroma almendrado. Tiene varias acciones medicinales, usándose como componente de productos farmacéuticos: empleado como un reactivo para concentrar drogas y como lubricante de pastillas, para hacer comprimidos y píldoras más fáciles de deglutir. También se emplea como descongestionante, inhalante, expectorante y analgésico. El ácido benzoico es un conservante alimenticio ampliamente utilizado en el mundo por su capacidad de controlar bacterias, levaduras y mohos,</w:t>
      </w:r>
      <w:r>
        <w:rPr>
          <w:rFonts w:ascii="Arial" w:hAnsi="Arial" w:cs="Arial"/>
          <w:b w:val="0"/>
          <w:bCs w:val="0"/>
          <w:sz w:val="24"/>
        </w:rPr>
        <w:t xml:space="preserve"> se emplea </w:t>
      </w:r>
      <w:r w:rsidRPr="00AC71D5">
        <w:rPr>
          <w:rFonts w:ascii="Arial" w:hAnsi="Arial" w:cs="Arial"/>
          <w:b w:val="0"/>
          <w:bCs w:val="0"/>
          <w:sz w:val="24"/>
        </w:rPr>
        <w:t>tanto como ácido o forma de</w:t>
      </w:r>
      <w:r>
        <w:rPr>
          <w:rFonts w:ascii="Arial" w:hAnsi="Arial" w:cs="Arial"/>
          <w:b w:val="0"/>
          <w:bCs w:val="0"/>
          <w:sz w:val="24"/>
        </w:rPr>
        <w:t xml:space="preserve"> alguna de </w:t>
      </w:r>
      <w:r w:rsidRPr="00AC71D5">
        <w:rPr>
          <w:rFonts w:ascii="Arial" w:hAnsi="Arial" w:cs="Arial"/>
          <w:b w:val="0"/>
          <w:bCs w:val="0"/>
          <w:sz w:val="24"/>
        </w:rPr>
        <w:t>sus sales. La solubilidad del ácido benzoico es de 3.4 a 20°C y de 70 a 95°C. Los conservadores derivados del ácido benzoico son: el ácido benzoico E-210, benzoato de sodio E-211, benzoato de potasio E-212, benzoato de calcio E-213. El nombre “E” es un código de identificación que se le asigna a los aditivos que ya han sido evaluados por un Comité Científico y que han sido aceptados y se consideran seguro</w:t>
      </w:r>
      <w:r>
        <w:rPr>
          <w:rFonts w:ascii="Arial" w:hAnsi="Arial" w:cs="Arial"/>
          <w:b w:val="0"/>
          <w:bCs w:val="0"/>
          <w:sz w:val="24"/>
        </w:rPr>
        <w:t>s</w:t>
      </w:r>
      <w:r w:rsidRPr="00AC71D5">
        <w:rPr>
          <w:rFonts w:ascii="Arial" w:hAnsi="Arial" w:cs="Arial"/>
          <w:b w:val="0"/>
          <w:bCs w:val="0"/>
          <w:sz w:val="24"/>
        </w:rPr>
        <w:t xml:space="preserve"> por la Unión Europea. Los aditivos con número E entran a formar parte de unas listas de legislación para establecer las cantidades máximas y el tipo de aditivo a utilizar dependiendo la legislación de cada país</w:t>
      </w:r>
      <w:r>
        <w:rPr>
          <w:rFonts w:ascii="Arial" w:hAnsi="Arial" w:cs="Arial"/>
          <w:b w:val="0"/>
          <w:bCs w:val="0"/>
          <w:sz w:val="24"/>
        </w:rPr>
        <w:t>.</w:t>
      </w:r>
      <w:r w:rsidRPr="00AC71D5">
        <w:rPr>
          <w:rFonts w:ascii="Arial" w:hAnsi="Arial" w:cs="Arial"/>
          <w:b w:val="0"/>
          <w:bCs w:val="0"/>
          <w:sz w:val="24"/>
        </w:rPr>
        <w:t xml:space="preserve"> </w:t>
      </w:r>
      <w:r w:rsidRPr="0013515F">
        <w:rPr>
          <w:rFonts w:ascii="Arial" w:hAnsi="Arial" w:cs="Arial"/>
          <w:b w:val="0"/>
          <w:bCs w:val="0"/>
          <w:sz w:val="24"/>
          <w:vertAlign w:val="superscript"/>
        </w:rPr>
        <w:t>[6]</w:t>
      </w:r>
    </w:p>
    <w:p w:rsidR="00463ECC" w:rsidRDefault="00463ECC" w:rsidP="00463ECC">
      <w:pPr>
        <w:jc w:val="both"/>
        <w:rPr>
          <w:rFonts w:ascii="Arial" w:hAnsi="Arial" w:cs="Arial"/>
        </w:rPr>
      </w:pPr>
    </w:p>
    <w:p w:rsidR="00463ECC" w:rsidRPr="00746A45" w:rsidRDefault="00463ECC" w:rsidP="00463ECC">
      <w:pPr>
        <w:ind w:firstLine="539"/>
        <w:jc w:val="both"/>
        <w:rPr>
          <w:rFonts w:ascii="Arial" w:hAnsi="Arial" w:cs="Arial"/>
          <w:b/>
          <w:color w:val="000000"/>
        </w:rPr>
      </w:pPr>
    </w:p>
    <w:p w:rsidR="00463ECC" w:rsidRDefault="00463ECC" w:rsidP="00463ECC">
      <w:pPr>
        <w:jc w:val="both"/>
        <w:rPr>
          <w:rFonts w:ascii="Arial" w:hAnsi="Arial" w:cs="Arial"/>
          <w:b/>
          <w:color w:val="000000"/>
        </w:rPr>
      </w:pPr>
    </w:p>
    <w:p w:rsidR="00463ECC" w:rsidRDefault="00463ECC" w:rsidP="00463ECC">
      <w:pPr>
        <w:jc w:val="both"/>
        <w:rPr>
          <w:rFonts w:ascii="Arial" w:hAnsi="Arial" w:cs="Arial"/>
          <w:b/>
          <w:color w:val="000000"/>
        </w:rPr>
      </w:pPr>
    </w:p>
    <w:p w:rsidR="00463ECC" w:rsidRDefault="00463ECC" w:rsidP="00463ECC">
      <w:pPr>
        <w:jc w:val="both"/>
        <w:rPr>
          <w:rFonts w:ascii="Arial" w:hAnsi="Arial" w:cs="Arial"/>
          <w:b/>
          <w:color w:val="000000"/>
        </w:rPr>
      </w:pPr>
    </w:p>
    <w:p w:rsidR="00463ECC" w:rsidRDefault="00463ECC" w:rsidP="00463ECC">
      <w:pPr>
        <w:jc w:val="both"/>
        <w:rPr>
          <w:rFonts w:ascii="Arial" w:hAnsi="Arial" w:cs="Arial"/>
          <w:b/>
          <w:color w:val="000000"/>
        </w:rPr>
      </w:pPr>
      <w:r w:rsidRPr="007A552C">
        <w:rPr>
          <w:rFonts w:ascii="Arial" w:hAnsi="Arial" w:cs="Arial"/>
          <w:b/>
          <w:color w:val="000000"/>
        </w:rPr>
        <w:t xml:space="preserve"> </w:t>
      </w:r>
    </w:p>
    <w:p w:rsidR="00463ECC" w:rsidRDefault="00463ECC" w:rsidP="00463ECC">
      <w:pPr>
        <w:jc w:val="both"/>
        <w:rPr>
          <w:rFonts w:ascii="Arial" w:hAnsi="Arial" w:cs="Arial"/>
          <w:b/>
          <w:color w:val="000000"/>
        </w:rPr>
      </w:pPr>
    </w:p>
    <w:p w:rsidR="00463ECC" w:rsidRDefault="00463ECC" w:rsidP="00463ECC">
      <w:pPr>
        <w:jc w:val="both"/>
        <w:rPr>
          <w:rFonts w:ascii="Arial" w:hAnsi="Arial" w:cs="Arial"/>
          <w:b/>
          <w:color w:val="000000"/>
        </w:rPr>
      </w:pPr>
    </w:p>
    <w:p w:rsidR="00463ECC" w:rsidRDefault="00463ECC" w:rsidP="00463ECC">
      <w:pPr>
        <w:pStyle w:val="1Titulo"/>
        <w:numPr>
          <w:ilvl w:val="0"/>
          <w:numId w:val="0"/>
        </w:numPr>
        <w:ind w:left="357"/>
      </w:pPr>
      <w:bookmarkStart w:id="93" w:name="_Toc50031208"/>
      <w:r w:rsidRPr="007A552C">
        <w:rPr>
          <w:caps/>
        </w:rPr>
        <w:t>3. C</w:t>
      </w:r>
      <w:r w:rsidRPr="007A552C">
        <w:t>ondiciones experimentales</w:t>
      </w:r>
      <w:bookmarkEnd w:id="93"/>
    </w:p>
    <w:p w:rsidR="00463ECC" w:rsidRDefault="00463ECC" w:rsidP="00463ECC">
      <w:pPr>
        <w:jc w:val="both"/>
        <w:rPr>
          <w:rFonts w:ascii="Arial" w:hAnsi="Arial" w:cs="Arial"/>
          <w:b/>
        </w:rPr>
      </w:pPr>
    </w:p>
    <w:p w:rsidR="00463ECC" w:rsidRDefault="00463ECC" w:rsidP="00463ECC">
      <w:pPr>
        <w:pStyle w:val="Textoindependiente"/>
        <w:ind w:left="118" w:right="193"/>
        <w:jc w:val="both"/>
        <w:rPr>
          <w:rFonts w:ascii="Arial" w:hAnsi="Arial" w:cs="Arial"/>
          <w:b w:val="0"/>
          <w:sz w:val="24"/>
        </w:rPr>
      </w:pPr>
      <w:r>
        <w:rPr>
          <w:rFonts w:ascii="Arial" w:hAnsi="Arial" w:cs="Arial"/>
          <w:b w:val="0"/>
          <w:sz w:val="24"/>
        </w:rPr>
        <w:t xml:space="preserve">Para separar los cristales de ácido benzoico de sus impurezas se procede a disolverlos en un solvente o mezcla de disolventes </w:t>
      </w:r>
      <w:r w:rsidRPr="007A552C">
        <w:rPr>
          <w:rFonts w:ascii="Arial" w:hAnsi="Arial" w:cs="Arial"/>
          <w:b w:val="0"/>
          <w:sz w:val="24"/>
        </w:rPr>
        <w:t>caliente</w:t>
      </w:r>
      <w:r>
        <w:rPr>
          <w:rFonts w:ascii="Arial" w:hAnsi="Arial" w:cs="Arial"/>
          <w:b w:val="0"/>
          <w:sz w:val="24"/>
        </w:rPr>
        <w:t>s,</w:t>
      </w:r>
      <w:r w:rsidRPr="007A552C">
        <w:rPr>
          <w:rFonts w:ascii="Arial" w:hAnsi="Arial" w:cs="Arial"/>
          <w:b w:val="0"/>
          <w:sz w:val="24"/>
        </w:rPr>
        <w:t xml:space="preserve"> </w:t>
      </w:r>
      <w:r>
        <w:rPr>
          <w:rFonts w:ascii="Arial" w:hAnsi="Arial" w:cs="Arial"/>
          <w:b w:val="0"/>
          <w:sz w:val="24"/>
        </w:rPr>
        <w:t xml:space="preserve">posteriormente se procede a enfriar y </w:t>
      </w:r>
      <w:r w:rsidRPr="007A552C">
        <w:rPr>
          <w:rFonts w:ascii="Arial" w:hAnsi="Arial" w:cs="Arial"/>
          <w:b w:val="0"/>
          <w:sz w:val="24"/>
        </w:rPr>
        <w:t xml:space="preserve">el sólido se separa como precipitado cristalino. </w:t>
      </w:r>
      <w:r>
        <w:rPr>
          <w:rFonts w:ascii="Arial" w:hAnsi="Arial" w:cs="Arial"/>
          <w:b w:val="0"/>
          <w:sz w:val="24"/>
        </w:rPr>
        <w:t>E</w:t>
      </w:r>
      <w:r w:rsidRPr="007A552C">
        <w:rPr>
          <w:rFonts w:ascii="Arial" w:hAnsi="Arial" w:cs="Arial"/>
          <w:b w:val="0"/>
          <w:sz w:val="24"/>
        </w:rPr>
        <w:t>s importante seleccionar un dis</w:t>
      </w:r>
      <w:r>
        <w:rPr>
          <w:rFonts w:ascii="Arial" w:hAnsi="Arial" w:cs="Arial"/>
          <w:b w:val="0"/>
          <w:sz w:val="24"/>
        </w:rPr>
        <w:t>olvente adecuado que no reaccione</w:t>
      </w:r>
      <w:r w:rsidRPr="007A552C">
        <w:rPr>
          <w:rFonts w:ascii="Arial" w:hAnsi="Arial" w:cs="Arial"/>
          <w:b w:val="0"/>
          <w:sz w:val="24"/>
        </w:rPr>
        <w:t xml:space="preserve"> con el soluto. El sólido impuro se disuelve en el disolvente caliente por lo que debe disolver al producto a purificar a una alta temperatura y debe de disolver los contaminantes a bajas temperatura. Se filtran las impurezas e inmediatamente se comienza la cristalización</w:t>
      </w:r>
      <w:r w:rsidRPr="007A552C">
        <w:rPr>
          <w:rFonts w:ascii="Arial" w:hAnsi="Arial" w:cs="Arial"/>
          <w:b w:val="0"/>
          <w:spacing w:val="-13"/>
          <w:sz w:val="24"/>
        </w:rPr>
        <w:t xml:space="preserve"> </w:t>
      </w:r>
      <w:r w:rsidRPr="007A552C">
        <w:rPr>
          <w:rFonts w:ascii="Arial" w:hAnsi="Arial" w:cs="Arial"/>
          <w:b w:val="0"/>
          <w:sz w:val="24"/>
        </w:rPr>
        <w:t>del</w:t>
      </w:r>
      <w:r w:rsidRPr="007A552C">
        <w:rPr>
          <w:rFonts w:ascii="Arial" w:hAnsi="Arial" w:cs="Arial"/>
          <w:b w:val="0"/>
          <w:spacing w:val="-13"/>
          <w:sz w:val="24"/>
        </w:rPr>
        <w:t xml:space="preserve"> </w:t>
      </w:r>
      <w:r w:rsidRPr="007A552C">
        <w:rPr>
          <w:rFonts w:ascii="Arial" w:hAnsi="Arial" w:cs="Arial"/>
          <w:b w:val="0"/>
          <w:sz w:val="24"/>
        </w:rPr>
        <w:t>sólido,</w:t>
      </w:r>
      <w:r w:rsidRPr="007A552C">
        <w:rPr>
          <w:rFonts w:ascii="Arial" w:hAnsi="Arial" w:cs="Arial"/>
          <w:b w:val="0"/>
          <w:spacing w:val="-13"/>
          <w:sz w:val="24"/>
        </w:rPr>
        <w:t xml:space="preserve"> </w:t>
      </w:r>
      <w:r w:rsidRPr="007A552C">
        <w:rPr>
          <w:rFonts w:ascii="Arial" w:hAnsi="Arial" w:cs="Arial"/>
          <w:b w:val="0"/>
          <w:sz w:val="24"/>
        </w:rPr>
        <w:t>se</w:t>
      </w:r>
      <w:r w:rsidRPr="007A552C">
        <w:rPr>
          <w:rFonts w:ascii="Arial" w:hAnsi="Arial" w:cs="Arial"/>
          <w:b w:val="0"/>
          <w:spacing w:val="-14"/>
          <w:sz w:val="24"/>
        </w:rPr>
        <w:t xml:space="preserve"> </w:t>
      </w:r>
      <w:r w:rsidRPr="007A552C">
        <w:rPr>
          <w:rFonts w:ascii="Arial" w:hAnsi="Arial" w:cs="Arial"/>
          <w:b w:val="0"/>
          <w:sz w:val="24"/>
        </w:rPr>
        <w:t>recolectan</w:t>
      </w:r>
      <w:r w:rsidRPr="007A552C">
        <w:rPr>
          <w:rFonts w:ascii="Arial" w:hAnsi="Arial" w:cs="Arial"/>
          <w:b w:val="0"/>
          <w:spacing w:val="-12"/>
          <w:sz w:val="24"/>
        </w:rPr>
        <w:t xml:space="preserve"> </w:t>
      </w:r>
      <w:r w:rsidRPr="007A552C">
        <w:rPr>
          <w:rFonts w:ascii="Arial" w:hAnsi="Arial" w:cs="Arial"/>
          <w:b w:val="0"/>
          <w:sz w:val="24"/>
        </w:rPr>
        <w:t>los</w:t>
      </w:r>
      <w:r w:rsidRPr="007A552C">
        <w:rPr>
          <w:rFonts w:ascii="Arial" w:hAnsi="Arial" w:cs="Arial"/>
          <w:b w:val="0"/>
          <w:spacing w:val="-13"/>
          <w:sz w:val="24"/>
        </w:rPr>
        <w:t xml:space="preserve"> </w:t>
      </w:r>
      <w:r w:rsidRPr="007A552C">
        <w:rPr>
          <w:rFonts w:ascii="Arial" w:hAnsi="Arial" w:cs="Arial"/>
          <w:b w:val="0"/>
          <w:sz w:val="24"/>
        </w:rPr>
        <w:t>cristales</w:t>
      </w:r>
      <w:r w:rsidRPr="007A552C">
        <w:rPr>
          <w:rFonts w:ascii="Arial" w:hAnsi="Arial" w:cs="Arial"/>
          <w:b w:val="0"/>
          <w:spacing w:val="-11"/>
          <w:sz w:val="24"/>
        </w:rPr>
        <w:t xml:space="preserve"> </w:t>
      </w:r>
      <w:r w:rsidRPr="007A552C">
        <w:rPr>
          <w:rFonts w:ascii="Arial" w:hAnsi="Arial" w:cs="Arial"/>
          <w:b w:val="0"/>
          <w:sz w:val="24"/>
        </w:rPr>
        <w:t>por</w:t>
      </w:r>
      <w:r w:rsidRPr="007A552C">
        <w:rPr>
          <w:rFonts w:ascii="Arial" w:hAnsi="Arial" w:cs="Arial"/>
          <w:b w:val="0"/>
          <w:spacing w:val="-14"/>
          <w:sz w:val="24"/>
        </w:rPr>
        <w:t xml:space="preserve"> </w:t>
      </w:r>
      <w:r w:rsidRPr="007A552C">
        <w:rPr>
          <w:rFonts w:ascii="Arial" w:hAnsi="Arial" w:cs="Arial"/>
          <w:b w:val="0"/>
          <w:sz w:val="24"/>
        </w:rPr>
        <w:t>filtración</w:t>
      </w:r>
      <w:r w:rsidRPr="007A552C">
        <w:rPr>
          <w:rFonts w:ascii="Arial" w:hAnsi="Arial" w:cs="Arial"/>
          <w:b w:val="0"/>
          <w:spacing w:val="-11"/>
          <w:sz w:val="24"/>
        </w:rPr>
        <w:t xml:space="preserve"> </w:t>
      </w:r>
      <w:r w:rsidRPr="007A552C">
        <w:rPr>
          <w:rFonts w:ascii="Arial" w:hAnsi="Arial" w:cs="Arial"/>
          <w:b w:val="0"/>
          <w:sz w:val="24"/>
        </w:rPr>
        <w:t>en</w:t>
      </w:r>
      <w:r w:rsidRPr="007A552C">
        <w:rPr>
          <w:rFonts w:ascii="Arial" w:hAnsi="Arial" w:cs="Arial"/>
          <w:b w:val="0"/>
          <w:spacing w:val="-13"/>
          <w:sz w:val="24"/>
        </w:rPr>
        <w:t xml:space="preserve"> </w:t>
      </w:r>
      <w:r w:rsidRPr="007A552C">
        <w:rPr>
          <w:rFonts w:ascii="Arial" w:hAnsi="Arial" w:cs="Arial"/>
          <w:b w:val="0"/>
          <w:sz w:val="24"/>
        </w:rPr>
        <w:t>frio,</w:t>
      </w:r>
      <w:r w:rsidRPr="007A552C">
        <w:rPr>
          <w:rFonts w:ascii="Arial" w:hAnsi="Arial" w:cs="Arial"/>
          <w:b w:val="0"/>
          <w:spacing w:val="-13"/>
          <w:sz w:val="24"/>
        </w:rPr>
        <w:t xml:space="preserve"> </w:t>
      </w:r>
      <w:r w:rsidRPr="007A552C">
        <w:rPr>
          <w:rFonts w:ascii="Arial" w:hAnsi="Arial" w:cs="Arial"/>
          <w:b w:val="0"/>
          <w:sz w:val="24"/>
        </w:rPr>
        <w:t>para</w:t>
      </w:r>
      <w:r w:rsidRPr="007A552C">
        <w:rPr>
          <w:rFonts w:ascii="Arial" w:hAnsi="Arial" w:cs="Arial"/>
          <w:b w:val="0"/>
          <w:spacing w:val="-12"/>
          <w:sz w:val="24"/>
        </w:rPr>
        <w:t xml:space="preserve"> </w:t>
      </w:r>
      <w:r w:rsidRPr="007A552C">
        <w:rPr>
          <w:rFonts w:ascii="Arial" w:hAnsi="Arial" w:cs="Arial"/>
          <w:b w:val="0"/>
          <w:sz w:val="24"/>
        </w:rPr>
        <w:t>evitar</w:t>
      </w:r>
      <w:r w:rsidRPr="007A552C">
        <w:rPr>
          <w:rFonts w:ascii="Arial" w:hAnsi="Arial" w:cs="Arial"/>
          <w:b w:val="0"/>
          <w:spacing w:val="-13"/>
          <w:sz w:val="24"/>
        </w:rPr>
        <w:t xml:space="preserve"> </w:t>
      </w:r>
      <w:r w:rsidRPr="007A552C">
        <w:rPr>
          <w:rFonts w:ascii="Arial" w:hAnsi="Arial" w:cs="Arial"/>
          <w:b w:val="0"/>
          <w:sz w:val="24"/>
        </w:rPr>
        <w:t>que</w:t>
      </w:r>
      <w:r w:rsidRPr="007A552C">
        <w:rPr>
          <w:rFonts w:ascii="Arial" w:hAnsi="Arial" w:cs="Arial"/>
          <w:b w:val="0"/>
          <w:spacing w:val="-12"/>
          <w:sz w:val="24"/>
        </w:rPr>
        <w:t xml:space="preserve"> </w:t>
      </w:r>
      <w:r w:rsidRPr="007A552C">
        <w:rPr>
          <w:rFonts w:ascii="Arial" w:hAnsi="Arial" w:cs="Arial"/>
          <w:b w:val="0"/>
          <w:sz w:val="24"/>
        </w:rPr>
        <w:t>los</w:t>
      </w:r>
      <w:r w:rsidRPr="007A552C">
        <w:rPr>
          <w:rFonts w:ascii="Arial" w:hAnsi="Arial" w:cs="Arial"/>
          <w:b w:val="0"/>
          <w:spacing w:val="-13"/>
          <w:sz w:val="24"/>
        </w:rPr>
        <w:t xml:space="preserve"> </w:t>
      </w:r>
      <w:r w:rsidRPr="007A552C">
        <w:rPr>
          <w:rFonts w:ascii="Arial" w:hAnsi="Arial" w:cs="Arial"/>
          <w:b w:val="0"/>
          <w:sz w:val="24"/>
        </w:rPr>
        <w:t>crista</w:t>
      </w:r>
      <w:r>
        <w:rPr>
          <w:rFonts w:ascii="Arial" w:hAnsi="Arial" w:cs="Arial"/>
          <w:b w:val="0"/>
          <w:sz w:val="24"/>
        </w:rPr>
        <w:t xml:space="preserve">les se redisuelvan, </w:t>
      </w:r>
      <w:r w:rsidRPr="007A552C">
        <w:rPr>
          <w:rFonts w:ascii="Arial" w:hAnsi="Arial" w:cs="Arial"/>
          <w:b w:val="0"/>
          <w:sz w:val="24"/>
        </w:rPr>
        <w:t>el disolvente debe de tener un punto de ebullición relativamente</w:t>
      </w:r>
      <w:r w:rsidRPr="007A552C">
        <w:rPr>
          <w:rFonts w:ascii="Arial" w:hAnsi="Arial" w:cs="Arial"/>
          <w:b w:val="0"/>
          <w:spacing w:val="-15"/>
          <w:sz w:val="24"/>
        </w:rPr>
        <w:t xml:space="preserve"> </w:t>
      </w:r>
      <w:r w:rsidRPr="007A552C">
        <w:rPr>
          <w:rFonts w:ascii="Arial" w:hAnsi="Arial" w:cs="Arial"/>
          <w:b w:val="0"/>
          <w:sz w:val="24"/>
        </w:rPr>
        <w:t>bajo para</w:t>
      </w:r>
      <w:r w:rsidRPr="007A552C">
        <w:rPr>
          <w:rFonts w:ascii="Arial" w:hAnsi="Arial" w:cs="Arial"/>
          <w:b w:val="0"/>
          <w:spacing w:val="-8"/>
          <w:sz w:val="24"/>
        </w:rPr>
        <w:t xml:space="preserve"> </w:t>
      </w:r>
      <w:r w:rsidRPr="007A552C">
        <w:rPr>
          <w:rFonts w:ascii="Arial" w:hAnsi="Arial" w:cs="Arial"/>
          <w:b w:val="0"/>
          <w:sz w:val="24"/>
        </w:rPr>
        <w:t>facilitar</w:t>
      </w:r>
      <w:r w:rsidRPr="007A552C">
        <w:rPr>
          <w:rFonts w:ascii="Arial" w:hAnsi="Arial" w:cs="Arial"/>
          <w:b w:val="0"/>
          <w:spacing w:val="-9"/>
          <w:sz w:val="24"/>
        </w:rPr>
        <w:t xml:space="preserve"> </w:t>
      </w:r>
      <w:r w:rsidRPr="007A552C">
        <w:rPr>
          <w:rFonts w:ascii="Arial" w:hAnsi="Arial" w:cs="Arial"/>
          <w:b w:val="0"/>
          <w:sz w:val="24"/>
        </w:rPr>
        <w:t>el</w:t>
      </w:r>
      <w:r w:rsidRPr="007A552C">
        <w:rPr>
          <w:rFonts w:ascii="Arial" w:hAnsi="Arial" w:cs="Arial"/>
          <w:b w:val="0"/>
          <w:spacing w:val="-5"/>
          <w:sz w:val="24"/>
        </w:rPr>
        <w:t xml:space="preserve"> </w:t>
      </w:r>
      <w:r w:rsidRPr="007A552C">
        <w:rPr>
          <w:rFonts w:ascii="Arial" w:hAnsi="Arial" w:cs="Arial"/>
          <w:b w:val="0"/>
          <w:sz w:val="24"/>
        </w:rPr>
        <w:t>secado</w:t>
      </w:r>
      <w:r w:rsidRPr="007A552C">
        <w:rPr>
          <w:rFonts w:ascii="Arial" w:hAnsi="Arial" w:cs="Arial"/>
          <w:b w:val="0"/>
          <w:spacing w:val="-9"/>
          <w:sz w:val="24"/>
        </w:rPr>
        <w:t xml:space="preserve"> </w:t>
      </w:r>
      <w:r w:rsidRPr="007A552C">
        <w:rPr>
          <w:rFonts w:ascii="Arial" w:hAnsi="Arial" w:cs="Arial"/>
          <w:b w:val="0"/>
          <w:sz w:val="24"/>
        </w:rPr>
        <w:t>de</w:t>
      </w:r>
      <w:r w:rsidRPr="007A552C">
        <w:rPr>
          <w:rFonts w:ascii="Arial" w:hAnsi="Arial" w:cs="Arial"/>
          <w:b w:val="0"/>
          <w:spacing w:val="-7"/>
          <w:sz w:val="24"/>
        </w:rPr>
        <w:t xml:space="preserve"> </w:t>
      </w:r>
      <w:r w:rsidRPr="007A552C">
        <w:rPr>
          <w:rFonts w:ascii="Arial" w:hAnsi="Arial" w:cs="Arial"/>
          <w:b w:val="0"/>
          <w:sz w:val="24"/>
        </w:rPr>
        <w:t>los</w:t>
      </w:r>
      <w:r w:rsidRPr="007A552C">
        <w:rPr>
          <w:rFonts w:ascii="Arial" w:hAnsi="Arial" w:cs="Arial"/>
          <w:b w:val="0"/>
          <w:spacing w:val="-7"/>
          <w:sz w:val="24"/>
        </w:rPr>
        <w:t xml:space="preserve"> </w:t>
      </w:r>
      <w:r w:rsidRPr="007A552C">
        <w:rPr>
          <w:rFonts w:ascii="Arial" w:hAnsi="Arial" w:cs="Arial"/>
          <w:b w:val="0"/>
          <w:sz w:val="24"/>
        </w:rPr>
        <w:t>cristales</w:t>
      </w:r>
      <w:r w:rsidRPr="007A552C">
        <w:rPr>
          <w:rFonts w:ascii="Arial" w:hAnsi="Arial" w:cs="Arial"/>
          <w:b w:val="0"/>
          <w:spacing w:val="-6"/>
          <w:sz w:val="24"/>
        </w:rPr>
        <w:t xml:space="preserve"> </w:t>
      </w:r>
      <w:r w:rsidRPr="007A552C">
        <w:rPr>
          <w:rFonts w:ascii="Arial" w:hAnsi="Arial" w:cs="Arial"/>
          <w:b w:val="0"/>
          <w:sz w:val="24"/>
        </w:rPr>
        <w:t>húmedos</w:t>
      </w:r>
      <w:r>
        <w:rPr>
          <w:rFonts w:ascii="Arial" w:hAnsi="Arial" w:cs="Arial"/>
          <w:b w:val="0"/>
          <w:sz w:val="24"/>
        </w:rPr>
        <w:t>. S</w:t>
      </w:r>
      <w:r w:rsidRPr="007A552C">
        <w:rPr>
          <w:rFonts w:ascii="Arial" w:hAnsi="Arial" w:cs="Arial"/>
          <w:b w:val="0"/>
          <w:sz w:val="24"/>
        </w:rPr>
        <w:t>e</w:t>
      </w:r>
      <w:r w:rsidRPr="007A552C">
        <w:rPr>
          <w:rFonts w:ascii="Arial" w:hAnsi="Arial" w:cs="Arial"/>
          <w:b w:val="0"/>
          <w:spacing w:val="-7"/>
          <w:sz w:val="24"/>
        </w:rPr>
        <w:t xml:space="preserve"> </w:t>
      </w:r>
      <w:r w:rsidRPr="007A552C">
        <w:rPr>
          <w:rFonts w:ascii="Arial" w:hAnsi="Arial" w:cs="Arial"/>
          <w:b w:val="0"/>
          <w:sz w:val="24"/>
        </w:rPr>
        <w:t>determina</w:t>
      </w:r>
      <w:r>
        <w:rPr>
          <w:rFonts w:ascii="Arial" w:hAnsi="Arial" w:cs="Arial"/>
          <w:b w:val="0"/>
          <w:sz w:val="24"/>
        </w:rPr>
        <w:t xml:space="preserve"> </w:t>
      </w:r>
      <w:r w:rsidRPr="007A552C">
        <w:rPr>
          <w:rFonts w:ascii="Arial" w:hAnsi="Arial" w:cs="Arial"/>
          <w:b w:val="0"/>
          <w:sz w:val="24"/>
        </w:rPr>
        <w:t>el</w:t>
      </w:r>
      <w:r w:rsidRPr="007A552C">
        <w:rPr>
          <w:rFonts w:ascii="Arial" w:hAnsi="Arial" w:cs="Arial"/>
          <w:b w:val="0"/>
          <w:spacing w:val="-7"/>
          <w:sz w:val="24"/>
        </w:rPr>
        <w:t xml:space="preserve"> </w:t>
      </w:r>
      <w:r w:rsidRPr="007A552C">
        <w:rPr>
          <w:rFonts w:ascii="Arial" w:hAnsi="Arial" w:cs="Arial"/>
          <w:b w:val="0"/>
          <w:sz w:val="24"/>
        </w:rPr>
        <w:t>rend</w:t>
      </w:r>
      <w:r>
        <w:rPr>
          <w:rFonts w:ascii="Arial" w:hAnsi="Arial" w:cs="Arial"/>
          <w:b w:val="0"/>
          <w:sz w:val="24"/>
        </w:rPr>
        <w:t xml:space="preserve">imiento </w:t>
      </w:r>
      <w:r w:rsidRPr="007A552C">
        <w:rPr>
          <w:rFonts w:ascii="Arial" w:hAnsi="Arial" w:cs="Arial"/>
          <w:b w:val="0"/>
          <w:sz w:val="24"/>
        </w:rPr>
        <w:t>del sólido obtenido. Para que las impurezas sean eliminadas totalmente se necesita que estas sean totalmente insolubles en el disolvente caliente o que sean totalmente solubles en el disolvente frio</w:t>
      </w:r>
      <w:r w:rsidRPr="007A552C">
        <w:rPr>
          <w:rFonts w:ascii="Arial" w:hAnsi="Arial" w:cs="Arial"/>
          <w:b w:val="0"/>
          <w:spacing w:val="-2"/>
          <w:sz w:val="24"/>
        </w:rPr>
        <w:t xml:space="preserve"> </w:t>
      </w:r>
      <w:r w:rsidRPr="007A552C">
        <w:rPr>
          <w:rFonts w:ascii="Arial" w:hAnsi="Arial" w:cs="Arial"/>
          <w:b w:val="0"/>
          <w:sz w:val="24"/>
          <w:vertAlign w:val="superscript"/>
        </w:rPr>
        <w:t>[7]</w:t>
      </w:r>
      <w:r w:rsidRPr="007A552C">
        <w:rPr>
          <w:rFonts w:ascii="Arial" w:hAnsi="Arial" w:cs="Arial"/>
          <w:b w:val="0"/>
          <w:sz w:val="24"/>
        </w:rPr>
        <w:t>.</w:t>
      </w:r>
    </w:p>
    <w:p w:rsidR="00463ECC" w:rsidRDefault="00463ECC" w:rsidP="00463ECC">
      <w:pPr>
        <w:pStyle w:val="Textoindependiente"/>
        <w:ind w:left="118" w:right="193"/>
        <w:jc w:val="both"/>
        <w:rPr>
          <w:rFonts w:ascii="Arial" w:hAnsi="Arial" w:cs="Arial"/>
          <w:b w:val="0"/>
          <w:sz w:val="24"/>
        </w:rPr>
      </w:pPr>
    </w:p>
    <w:p w:rsidR="00463ECC" w:rsidRPr="009A0AE3" w:rsidRDefault="00463ECC" w:rsidP="00463ECC">
      <w:pPr>
        <w:pStyle w:val="Textoindependiente"/>
        <w:spacing w:before="1"/>
        <w:rPr>
          <w:rFonts w:ascii="Arial" w:hAnsi="Arial" w:cs="Arial"/>
          <w:b w:val="0"/>
          <w:i/>
          <w:sz w:val="24"/>
        </w:rPr>
      </w:pPr>
      <w:r w:rsidRPr="009A0AE3">
        <w:rPr>
          <w:rFonts w:ascii="Arial" w:hAnsi="Arial" w:cs="Arial"/>
          <w:b w:val="0"/>
          <w:i/>
          <w:sz w:val="24"/>
        </w:rPr>
        <w:t xml:space="preserve">3.1 </w:t>
      </w:r>
      <w:r>
        <w:rPr>
          <w:rFonts w:ascii="Arial" w:hAnsi="Arial" w:cs="Arial"/>
          <w:b w:val="0"/>
          <w:i/>
          <w:sz w:val="24"/>
        </w:rPr>
        <w:t xml:space="preserve">Selección del disolvente </w:t>
      </w:r>
    </w:p>
    <w:p w:rsidR="00463ECC" w:rsidRDefault="00463ECC" w:rsidP="00463ECC">
      <w:pPr>
        <w:pStyle w:val="Textoindependiente"/>
        <w:spacing w:before="184" w:line="259" w:lineRule="auto"/>
        <w:ind w:left="118" w:right="193"/>
        <w:jc w:val="both"/>
      </w:pPr>
      <w:r w:rsidRPr="009A0AE3">
        <w:rPr>
          <w:rFonts w:ascii="Arial" w:hAnsi="Arial" w:cs="Arial"/>
          <w:b w:val="0"/>
          <w:sz w:val="24"/>
        </w:rPr>
        <w:t>Las</w:t>
      </w:r>
      <w:r w:rsidRPr="009A0AE3">
        <w:rPr>
          <w:rFonts w:ascii="Arial" w:hAnsi="Arial" w:cs="Arial"/>
          <w:b w:val="0"/>
          <w:spacing w:val="-6"/>
          <w:sz w:val="24"/>
        </w:rPr>
        <w:t xml:space="preserve"> </w:t>
      </w:r>
      <w:r w:rsidRPr="009A0AE3">
        <w:rPr>
          <w:rFonts w:ascii="Arial" w:hAnsi="Arial" w:cs="Arial"/>
          <w:b w:val="0"/>
          <w:sz w:val="24"/>
        </w:rPr>
        <w:t>pruebas</w:t>
      </w:r>
      <w:r w:rsidRPr="009A0AE3">
        <w:rPr>
          <w:rFonts w:ascii="Arial" w:hAnsi="Arial" w:cs="Arial"/>
          <w:b w:val="0"/>
          <w:spacing w:val="-8"/>
          <w:sz w:val="24"/>
        </w:rPr>
        <w:t xml:space="preserve"> </w:t>
      </w:r>
      <w:r w:rsidRPr="009A0AE3">
        <w:rPr>
          <w:rFonts w:ascii="Arial" w:hAnsi="Arial" w:cs="Arial"/>
          <w:b w:val="0"/>
          <w:sz w:val="24"/>
        </w:rPr>
        <w:t>para</w:t>
      </w:r>
      <w:r w:rsidRPr="009A0AE3">
        <w:rPr>
          <w:rFonts w:ascii="Arial" w:hAnsi="Arial" w:cs="Arial"/>
          <w:b w:val="0"/>
          <w:spacing w:val="-8"/>
          <w:sz w:val="24"/>
        </w:rPr>
        <w:t xml:space="preserve"> </w:t>
      </w:r>
      <w:r w:rsidRPr="009A0AE3">
        <w:rPr>
          <w:rFonts w:ascii="Arial" w:hAnsi="Arial" w:cs="Arial"/>
          <w:b w:val="0"/>
          <w:sz w:val="24"/>
        </w:rPr>
        <w:t>determinar</w:t>
      </w:r>
      <w:r w:rsidRPr="009A0AE3">
        <w:rPr>
          <w:rFonts w:ascii="Arial" w:hAnsi="Arial" w:cs="Arial"/>
          <w:b w:val="0"/>
          <w:spacing w:val="-7"/>
          <w:sz w:val="24"/>
        </w:rPr>
        <w:t xml:space="preserve"> </w:t>
      </w:r>
      <w:r w:rsidRPr="009A0AE3">
        <w:rPr>
          <w:rFonts w:ascii="Arial" w:hAnsi="Arial" w:cs="Arial"/>
          <w:b w:val="0"/>
          <w:sz w:val="24"/>
        </w:rPr>
        <w:t>si</w:t>
      </w:r>
      <w:r w:rsidRPr="009A0AE3">
        <w:rPr>
          <w:rFonts w:ascii="Arial" w:hAnsi="Arial" w:cs="Arial"/>
          <w:b w:val="0"/>
          <w:spacing w:val="-8"/>
          <w:sz w:val="24"/>
        </w:rPr>
        <w:t xml:space="preserve"> </w:t>
      </w:r>
      <w:r w:rsidRPr="009A0AE3">
        <w:rPr>
          <w:rFonts w:ascii="Arial" w:hAnsi="Arial" w:cs="Arial"/>
          <w:b w:val="0"/>
          <w:sz w:val="24"/>
        </w:rPr>
        <w:t>un</w:t>
      </w:r>
      <w:r w:rsidRPr="009A0AE3">
        <w:rPr>
          <w:rFonts w:ascii="Arial" w:hAnsi="Arial" w:cs="Arial"/>
          <w:b w:val="0"/>
          <w:spacing w:val="-7"/>
          <w:sz w:val="24"/>
        </w:rPr>
        <w:t xml:space="preserve"> </w:t>
      </w:r>
      <w:r w:rsidRPr="009A0AE3">
        <w:rPr>
          <w:rFonts w:ascii="Arial" w:hAnsi="Arial" w:cs="Arial"/>
          <w:b w:val="0"/>
          <w:sz w:val="24"/>
        </w:rPr>
        <w:t>disolvente</w:t>
      </w:r>
      <w:r w:rsidRPr="009A0AE3">
        <w:rPr>
          <w:rFonts w:ascii="Arial" w:hAnsi="Arial" w:cs="Arial"/>
          <w:b w:val="0"/>
          <w:spacing w:val="-7"/>
          <w:sz w:val="24"/>
        </w:rPr>
        <w:t xml:space="preserve"> </w:t>
      </w:r>
      <w:r w:rsidRPr="009A0AE3">
        <w:rPr>
          <w:rFonts w:ascii="Arial" w:hAnsi="Arial" w:cs="Arial"/>
          <w:b w:val="0"/>
          <w:sz w:val="24"/>
        </w:rPr>
        <w:t>es</w:t>
      </w:r>
      <w:r w:rsidRPr="009A0AE3">
        <w:rPr>
          <w:rFonts w:ascii="Arial" w:hAnsi="Arial" w:cs="Arial"/>
          <w:b w:val="0"/>
          <w:spacing w:val="-7"/>
          <w:sz w:val="24"/>
        </w:rPr>
        <w:t xml:space="preserve"> </w:t>
      </w:r>
      <w:r w:rsidRPr="009A0AE3">
        <w:rPr>
          <w:rFonts w:ascii="Arial" w:hAnsi="Arial" w:cs="Arial"/>
          <w:b w:val="0"/>
          <w:sz w:val="24"/>
        </w:rPr>
        <w:t>adecuado</w:t>
      </w:r>
      <w:r w:rsidRPr="009A0AE3">
        <w:rPr>
          <w:rFonts w:ascii="Arial" w:hAnsi="Arial" w:cs="Arial"/>
          <w:b w:val="0"/>
          <w:spacing w:val="-7"/>
          <w:sz w:val="24"/>
        </w:rPr>
        <w:t xml:space="preserve"> </w:t>
      </w:r>
      <w:r w:rsidRPr="009A0AE3">
        <w:rPr>
          <w:rFonts w:ascii="Arial" w:hAnsi="Arial" w:cs="Arial"/>
          <w:b w:val="0"/>
          <w:sz w:val="24"/>
        </w:rPr>
        <w:t>se</w:t>
      </w:r>
      <w:r w:rsidRPr="009A0AE3">
        <w:rPr>
          <w:rFonts w:ascii="Arial" w:hAnsi="Arial" w:cs="Arial"/>
          <w:b w:val="0"/>
          <w:spacing w:val="-7"/>
          <w:sz w:val="24"/>
        </w:rPr>
        <w:t xml:space="preserve"> </w:t>
      </w:r>
      <w:r w:rsidRPr="009A0AE3">
        <w:rPr>
          <w:rFonts w:ascii="Arial" w:hAnsi="Arial" w:cs="Arial"/>
          <w:b w:val="0"/>
          <w:sz w:val="24"/>
        </w:rPr>
        <w:t>realizan</w:t>
      </w:r>
      <w:r w:rsidRPr="009A0AE3">
        <w:rPr>
          <w:rFonts w:ascii="Arial" w:hAnsi="Arial" w:cs="Arial"/>
          <w:b w:val="0"/>
          <w:spacing w:val="-6"/>
          <w:sz w:val="24"/>
        </w:rPr>
        <w:t xml:space="preserve"> </w:t>
      </w:r>
      <w:r w:rsidRPr="009A0AE3">
        <w:rPr>
          <w:rFonts w:ascii="Arial" w:hAnsi="Arial" w:cs="Arial"/>
          <w:b w:val="0"/>
          <w:sz w:val="24"/>
        </w:rPr>
        <w:t>en</w:t>
      </w:r>
      <w:r w:rsidRPr="009A0AE3">
        <w:rPr>
          <w:rFonts w:ascii="Arial" w:hAnsi="Arial" w:cs="Arial"/>
          <w:b w:val="0"/>
          <w:spacing w:val="-9"/>
          <w:sz w:val="24"/>
        </w:rPr>
        <w:t xml:space="preserve"> </w:t>
      </w:r>
      <w:r w:rsidRPr="009A0AE3">
        <w:rPr>
          <w:rFonts w:ascii="Arial" w:hAnsi="Arial" w:cs="Arial"/>
          <w:b w:val="0"/>
          <w:sz w:val="24"/>
        </w:rPr>
        <w:t>tubos</w:t>
      </w:r>
      <w:r w:rsidRPr="009A0AE3">
        <w:rPr>
          <w:rFonts w:ascii="Arial" w:hAnsi="Arial" w:cs="Arial"/>
          <w:b w:val="0"/>
          <w:spacing w:val="-8"/>
          <w:sz w:val="24"/>
        </w:rPr>
        <w:t xml:space="preserve"> </w:t>
      </w:r>
      <w:r w:rsidRPr="009A0AE3">
        <w:rPr>
          <w:rFonts w:ascii="Arial" w:hAnsi="Arial" w:cs="Arial"/>
          <w:b w:val="0"/>
          <w:sz w:val="24"/>
        </w:rPr>
        <w:t>de</w:t>
      </w:r>
      <w:r w:rsidRPr="009A0AE3">
        <w:rPr>
          <w:rFonts w:ascii="Arial" w:hAnsi="Arial" w:cs="Arial"/>
          <w:b w:val="0"/>
          <w:spacing w:val="-7"/>
          <w:sz w:val="24"/>
        </w:rPr>
        <w:t xml:space="preserve"> </w:t>
      </w:r>
      <w:r w:rsidRPr="009A0AE3">
        <w:rPr>
          <w:rFonts w:ascii="Arial" w:hAnsi="Arial" w:cs="Arial"/>
          <w:b w:val="0"/>
          <w:sz w:val="24"/>
        </w:rPr>
        <w:t>ensayo</w:t>
      </w:r>
      <w:r w:rsidRPr="009A0AE3">
        <w:rPr>
          <w:rFonts w:ascii="Arial" w:hAnsi="Arial" w:cs="Arial"/>
          <w:b w:val="0"/>
          <w:spacing w:val="-8"/>
          <w:sz w:val="24"/>
        </w:rPr>
        <w:t xml:space="preserve"> </w:t>
      </w:r>
      <w:r w:rsidRPr="009A0AE3">
        <w:rPr>
          <w:rFonts w:ascii="Arial" w:hAnsi="Arial" w:cs="Arial"/>
          <w:b w:val="0"/>
          <w:sz w:val="24"/>
        </w:rPr>
        <w:t>utilizando entre</w:t>
      </w:r>
      <w:r w:rsidRPr="009A0AE3">
        <w:rPr>
          <w:rFonts w:ascii="Arial" w:hAnsi="Arial" w:cs="Arial"/>
          <w:b w:val="0"/>
          <w:spacing w:val="-10"/>
          <w:sz w:val="24"/>
        </w:rPr>
        <w:t xml:space="preserve"> </w:t>
      </w:r>
      <w:r w:rsidRPr="009A0AE3">
        <w:rPr>
          <w:rFonts w:ascii="Arial" w:hAnsi="Arial" w:cs="Arial"/>
          <w:b w:val="0"/>
          <w:sz w:val="24"/>
        </w:rPr>
        <w:t>10-20</w:t>
      </w:r>
      <w:r w:rsidRPr="009A0AE3">
        <w:rPr>
          <w:rFonts w:ascii="Arial" w:hAnsi="Arial" w:cs="Arial"/>
          <w:b w:val="0"/>
          <w:spacing w:val="-9"/>
          <w:sz w:val="24"/>
        </w:rPr>
        <w:t xml:space="preserve"> </w:t>
      </w:r>
      <w:r w:rsidRPr="009A0AE3">
        <w:rPr>
          <w:rFonts w:ascii="Arial" w:hAnsi="Arial" w:cs="Arial"/>
          <w:b w:val="0"/>
          <w:sz w:val="24"/>
        </w:rPr>
        <w:t>miligramos</w:t>
      </w:r>
      <w:r w:rsidRPr="009A0AE3">
        <w:rPr>
          <w:rFonts w:ascii="Arial" w:hAnsi="Arial" w:cs="Arial"/>
          <w:b w:val="0"/>
          <w:spacing w:val="-8"/>
          <w:sz w:val="24"/>
        </w:rPr>
        <w:t xml:space="preserve"> </w:t>
      </w:r>
      <w:r w:rsidRPr="009A0AE3">
        <w:rPr>
          <w:rFonts w:ascii="Arial" w:hAnsi="Arial" w:cs="Arial"/>
          <w:b w:val="0"/>
          <w:sz w:val="24"/>
        </w:rPr>
        <w:t>de</w:t>
      </w:r>
      <w:r w:rsidRPr="009A0AE3">
        <w:rPr>
          <w:rFonts w:ascii="Arial" w:hAnsi="Arial" w:cs="Arial"/>
          <w:b w:val="0"/>
          <w:spacing w:val="-10"/>
          <w:sz w:val="24"/>
        </w:rPr>
        <w:t xml:space="preserve"> </w:t>
      </w:r>
      <w:r w:rsidRPr="009A0AE3">
        <w:rPr>
          <w:rFonts w:ascii="Arial" w:hAnsi="Arial" w:cs="Arial"/>
          <w:b w:val="0"/>
          <w:sz w:val="24"/>
        </w:rPr>
        <w:t>muestra,</w:t>
      </w:r>
      <w:r w:rsidRPr="009A0AE3">
        <w:rPr>
          <w:rFonts w:ascii="Arial" w:hAnsi="Arial" w:cs="Arial"/>
          <w:b w:val="0"/>
          <w:spacing w:val="-5"/>
          <w:sz w:val="24"/>
        </w:rPr>
        <w:t xml:space="preserve"> </w:t>
      </w:r>
      <w:r w:rsidRPr="009A0AE3">
        <w:rPr>
          <w:rFonts w:ascii="Arial" w:hAnsi="Arial" w:cs="Arial"/>
          <w:b w:val="0"/>
          <w:sz w:val="24"/>
        </w:rPr>
        <w:t>se</w:t>
      </w:r>
      <w:r w:rsidRPr="009A0AE3">
        <w:rPr>
          <w:rFonts w:ascii="Arial" w:hAnsi="Arial" w:cs="Arial"/>
          <w:b w:val="0"/>
          <w:spacing w:val="-7"/>
          <w:sz w:val="24"/>
        </w:rPr>
        <w:t xml:space="preserve"> </w:t>
      </w:r>
      <w:r w:rsidRPr="009A0AE3">
        <w:rPr>
          <w:rFonts w:ascii="Arial" w:hAnsi="Arial" w:cs="Arial"/>
          <w:b w:val="0"/>
          <w:sz w:val="24"/>
        </w:rPr>
        <w:t>agrega</w:t>
      </w:r>
      <w:r w:rsidRPr="009A0AE3">
        <w:rPr>
          <w:rFonts w:ascii="Arial" w:hAnsi="Arial" w:cs="Arial"/>
          <w:b w:val="0"/>
          <w:spacing w:val="-5"/>
          <w:sz w:val="24"/>
        </w:rPr>
        <w:t xml:space="preserve"> </w:t>
      </w:r>
      <w:r w:rsidRPr="009A0AE3">
        <w:rPr>
          <w:rFonts w:ascii="Arial" w:hAnsi="Arial" w:cs="Arial"/>
          <w:b w:val="0"/>
          <w:sz w:val="24"/>
        </w:rPr>
        <w:t>gota</w:t>
      </w:r>
      <w:r w:rsidRPr="009A0AE3">
        <w:rPr>
          <w:rFonts w:ascii="Arial" w:hAnsi="Arial" w:cs="Arial"/>
          <w:b w:val="0"/>
          <w:spacing w:val="-7"/>
          <w:sz w:val="24"/>
        </w:rPr>
        <w:t xml:space="preserve"> </w:t>
      </w:r>
      <w:r w:rsidRPr="009A0AE3">
        <w:rPr>
          <w:rFonts w:ascii="Arial" w:hAnsi="Arial" w:cs="Arial"/>
          <w:b w:val="0"/>
          <w:sz w:val="24"/>
        </w:rPr>
        <w:t>a</w:t>
      </w:r>
      <w:r w:rsidRPr="009A0AE3">
        <w:rPr>
          <w:rFonts w:ascii="Arial" w:hAnsi="Arial" w:cs="Arial"/>
          <w:b w:val="0"/>
          <w:spacing w:val="-7"/>
          <w:sz w:val="24"/>
        </w:rPr>
        <w:t xml:space="preserve"> </w:t>
      </w:r>
      <w:r w:rsidRPr="009A0AE3">
        <w:rPr>
          <w:rFonts w:ascii="Arial" w:hAnsi="Arial" w:cs="Arial"/>
          <w:b w:val="0"/>
          <w:sz w:val="24"/>
        </w:rPr>
        <w:t>gota</w:t>
      </w:r>
      <w:r w:rsidRPr="009A0AE3">
        <w:rPr>
          <w:rFonts w:ascii="Arial" w:hAnsi="Arial" w:cs="Arial"/>
          <w:b w:val="0"/>
          <w:spacing w:val="-7"/>
          <w:sz w:val="24"/>
        </w:rPr>
        <w:t xml:space="preserve"> </w:t>
      </w:r>
      <w:r w:rsidRPr="009A0AE3">
        <w:rPr>
          <w:rFonts w:ascii="Arial" w:hAnsi="Arial" w:cs="Arial"/>
          <w:b w:val="0"/>
          <w:sz w:val="24"/>
        </w:rPr>
        <w:t>el</w:t>
      </w:r>
      <w:r w:rsidRPr="009A0AE3">
        <w:rPr>
          <w:rFonts w:ascii="Arial" w:hAnsi="Arial" w:cs="Arial"/>
          <w:b w:val="0"/>
          <w:spacing w:val="-8"/>
          <w:sz w:val="24"/>
        </w:rPr>
        <w:t xml:space="preserve"> </w:t>
      </w:r>
      <w:r w:rsidRPr="009A0AE3">
        <w:rPr>
          <w:rFonts w:ascii="Arial" w:hAnsi="Arial" w:cs="Arial"/>
          <w:b w:val="0"/>
          <w:sz w:val="24"/>
        </w:rPr>
        <w:t>disolvente</w:t>
      </w:r>
      <w:r w:rsidRPr="009A0AE3">
        <w:rPr>
          <w:rFonts w:ascii="Arial" w:hAnsi="Arial" w:cs="Arial"/>
          <w:b w:val="0"/>
          <w:spacing w:val="-7"/>
          <w:sz w:val="24"/>
        </w:rPr>
        <w:t xml:space="preserve"> </w:t>
      </w:r>
      <w:r w:rsidRPr="009A0AE3">
        <w:rPr>
          <w:rFonts w:ascii="Arial" w:hAnsi="Arial" w:cs="Arial"/>
          <w:b w:val="0"/>
          <w:sz w:val="24"/>
        </w:rPr>
        <w:t>que</w:t>
      </w:r>
      <w:r w:rsidRPr="009A0AE3">
        <w:rPr>
          <w:rFonts w:ascii="Arial" w:hAnsi="Arial" w:cs="Arial"/>
          <w:b w:val="0"/>
          <w:spacing w:val="-9"/>
          <w:sz w:val="24"/>
        </w:rPr>
        <w:t xml:space="preserve"> </w:t>
      </w:r>
      <w:r w:rsidRPr="009A0AE3">
        <w:rPr>
          <w:rFonts w:ascii="Arial" w:hAnsi="Arial" w:cs="Arial"/>
          <w:b w:val="0"/>
          <w:sz w:val="24"/>
        </w:rPr>
        <w:t>se</w:t>
      </w:r>
      <w:r w:rsidRPr="009A0AE3">
        <w:rPr>
          <w:rFonts w:ascii="Arial" w:hAnsi="Arial" w:cs="Arial"/>
          <w:b w:val="0"/>
          <w:spacing w:val="-10"/>
          <w:sz w:val="24"/>
        </w:rPr>
        <w:t xml:space="preserve"> </w:t>
      </w:r>
      <w:r w:rsidRPr="009A0AE3">
        <w:rPr>
          <w:rFonts w:ascii="Arial" w:hAnsi="Arial" w:cs="Arial"/>
          <w:b w:val="0"/>
          <w:sz w:val="24"/>
        </w:rPr>
        <w:t>considere</w:t>
      </w:r>
      <w:r w:rsidRPr="009A0AE3">
        <w:rPr>
          <w:rFonts w:ascii="Arial" w:hAnsi="Arial" w:cs="Arial"/>
          <w:b w:val="0"/>
          <w:spacing w:val="-8"/>
          <w:sz w:val="24"/>
        </w:rPr>
        <w:t xml:space="preserve"> </w:t>
      </w:r>
      <w:r w:rsidRPr="009A0AE3">
        <w:rPr>
          <w:rFonts w:ascii="Arial" w:hAnsi="Arial" w:cs="Arial"/>
          <w:b w:val="0"/>
          <w:sz w:val="24"/>
        </w:rPr>
        <w:t>apropiado, en todo momento se debe de agitar y calentar la disolución. Se puede obtener los siguientes</w:t>
      </w:r>
      <w:r w:rsidRPr="009A0AE3">
        <w:rPr>
          <w:rFonts w:ascii="Arial" w:hAnsi="Arial" w:cs="Arial"/>
          <w:b w:val="0"/>
          <w:spacing w:val="-24"/>
          <w:sz w:val="24"/>
        </w:rPr>
        <w:t xml:space="preserve"> </w:t>
      </w:r>
      <w:r w:rsidRPr="009A0AE3">
        <w:rPr>
          <w:rFonts w:ascii="Arial" w:hAnsi="Arial" w:cs="Arial"/>
          <w:b w:val="0"/>
          <w:sz w:val="24"/>
        </w:rPr>
        <w:t>casos: Si el soluto se disuelve a temperatura ambiente el disolvente elegido no servirá para la cristalización. Si el soluto no se disuelve después de agregar 1.5 ml a 2 ml de disolvente se dice que el soluto es poco soluble. Si se disuelve totalmente en caliente dejar que se enfríe el tubo y se comprueba</w:t>
      </w:r>
      <w:r w:rsidRPr="009A0AE3">
        <w:rPr>
          <w:rFonts w:ascii="Arial" w:hAnsi="Arial" w:cs="Arial"/>
          <w:b w:val="0"/>
          <w:spacing w:val="-7"/>
          <w:sz w:val="24"/>
        </w:rPr>
        <w:t xml:space="preserve"> </w:t>
      </w:r>
      <w:r w:rsidRPr="009A0AE3">
        <w:rPr>
          <w:rFonts w:ascii="Arial" w:hAnsi="Arial" w:cs="Arial"/>
          <w:b w:val="0"/>
          <w:sz w:val="24"/>
        </w:rPr>
        <w:t>la</w:t>
      </w:r>
      <w:r w:rsidRPr="009A0AE3">
        <w:rPr>
          <w:rFonts w:ascii="Arial" w:hAnsi="Arial" w:cs="Arial"/>
          <w:b w:val="0"/>
          <w:spacing w:val="-8"/>
          <w:sz w:val="24"/>
        </w:rPr>
        <w:t xml:space="preserve"> </w:t>
      </w:r>
      <w:r w:rsidRPr="009A0AE3">
        <w:rPr>
          <w:rFonts w:ascii="Arial" w:hAnsi="Arial" w:cs="Arial"/>
          <w:b w:val="0"/>
          <w:sz w:val="24"/>
        </w:rPr>
        <w:t>aparición</w:t>
      </w:r>
      <w:r w:rsidRPr="009A0AE3">
        <w:rPr>
          <w:rFonts w:ascii="Arial" w:hAnsi="Arial" w:cs="Arial"/>
          <w:b w:val="0"/>
          <w:spacing w:val="-8"/>
          <w:sz w:val="24"/>
        </w:rPr>
        <w:t xml:space="preserve"> </w:t>
      </w:r>
      <w:r w:rsidRPr="009A0AE3">
        <w:rPr>
          <w:rFonts w:ascii="Arial" w:hAnsi="Arial" w:cs="Arial"/>
          <w:b w:val="0"/>
          <w:sz w:val="24"/>
        </w:rPr>
        <w:t>de</w:t>
      </w:r>
      <w:r w:rsidRPr="009A0AE3">
        <w:rPr>
          <w:rFonts w:ascii="Arial" w:hAnsi="Arial" w:cs="Arial"/>
          <w:b w:val="0"/>
          <w:spacing w:val="-9"/>
          <w:sz w:val="24"/>
        </w:rPr>
        <w:t xml:space="preserve"> </w:t>
      </w:r>
      <w:r w:rsidRPr="009A0AE3">
        <w:rPr>
          <w:rFonts w:ascii="Arial" w:hAnsi="Arial" w:cs="Arial"/>
          <w:b w:val="0"/>
          <w:sz w:val="24"/>
        </w:rPr>
        <w:t>los</w:t>
      </w:r>
      <w:r w:rsidRPr="009A0AE3">
        <w:rPr>
          <w:rFonts w:ascii="Arial" w:hAnsi="Arial" w:cs="Arial"/>
          <w:b w:val="0"/>
          <w:spacing w:val="-8"/>
          <w:sz w:val="24"/>
        </w:rPr>
        <w:t xml:space="preserve"> </w:t>
      </w:r>
      <w:r w:rsidRPr="009A0AE3">
        <w:rPr>
          <w:rFonts w:ascii="Arial" w:hAnsi="Arial" w:cs="Arial"/>
          <w:b w:val="0"/>
          <w:sz w:val="24"/>
        </w:rPr>
        <w:t>cristales,</w:t>
      </w:r>
      <w:r w:rsidRPr="009A0AE3">
        <w:rPr>
          <w:rFonts w:ascii="Arial" w:hAnsi="Arial" w:cs="Arial"/>
          <w:b w:val="0"/>
          <w:spacing w:val="-7"/>
          <w:sz w:val="24"/>
        </w:rPr>
        <w:t xml:space="preserve"> </w:t>
      </w:r>
      <w:r w:rsidRPr="009A0AE3">
        <w:rPr>
          <w:rFonts w:ascii="Arial" w:hAnsi="Arial" w:cs="Arial"/>
          <w:b w:val="0"/>
          <w:sz w:val="24"/>
        </w:rPr>
        <w:t>si</w:t>
      </w:r>
      <w:r w:rsidRPr="009A0AE3">
        <w:rPr>
          <w:rFonts w:ascii="Arial" w:hAnsi="Arial" w:cs="Arial"/>
          <w:b w:val="0"/>
          <w:spacing w:val="-8"/>
          <w:sz w:val="24"/>
        </w:rPr>
        <w:t xml:space="preserve"> </w:t>
      </w:r>
      <w:r w:rsidRPr="009A0AE3">
        <w:rPr>
          <w:rFonts w:ascii="Arial" w:hAnsi="Arial" w:cs="Arial"/>
          <w:b w:val="0"/>
          <w:sz w:val="24"/>
        </w:rPr>
        <w:t>la</w:t>
      </w:r>
      <w:r w:rsidRPr="009A0AE3">
        <w:rPr>
          <w:rFonts w:ascii="Arial" w:hAnsi="Arial" w:cs="Arial"/>
          <w:b w:val="0"/>
          <w:spacing w:val="-9"/>
          <w:sz w:val="24"/>
        </w:rPr>
        <w:t xml:space="preserve"> </w:t>
      </w:r>
      <w:r w:rsidRPr="009A0AE3">
        <w:rPr>
          <w:rFonts w:ascii="Arial" w:hAnsi="Arial" w:cs="Arial"/>
          <w:b w:val="0"/>
          <w:sz w:val="24"/>
        </w:rPr>
        <w:t>precipitación</w:t>
      </w:r>
      <w:r w:rsidRPr="009A0AE3">
        <w:rPr>
          <w:rFonts w:ascii="Arial" w:hAnsi="Arial" w:cs="Arial"/>
          <w:b w:val="0"/>
          <w:spacing w:val="-8"/>
          <w:sz w:val="24"/>
        </w:rPr>
        <w:t xml:space="preserve"> </w:t>
      </w:r>
      <w:r w:rsidRPr="009A0AE3">
        <w:rPr>
          <w:rFonts w:ascii="Arial" w:hAnsi="Arial" w:cs="Arial"/>
          <w:b w:val="0"/>
          <w:sz w:val="24"/>
        </w:rPr>
        <w:t>es</w:t>
      </w:r>
      <w:r w:rsidRPr="009A0AE3">
        <w:rPr>
          <w:rFonts w:ascii="Arial" w:hAnsi="Arial" w:cs="Arial"/>
          <w:b w:val="0"/>
          <w:spacing w:val="-7"/>
          <w:sz w:val="24"/>
        </w:rPr>
        <w:t xml:space="preserve"> </w:t>
      </w:r>
      <w:r w:rsidRPr="009A0AE3">
        <w:rPr>
          <w:rFonts w:ascii="Arial" w:hAnsi="Arial" w:cs="Arial"/>
          <w:b w:val="0"/>
          <w:sz w:val="24"/>
        </w:rPr>
        <w:t>masiva</w:t>
      </w:r>
      <w:r w:rsidRPr="009A0AE3">
        <w:rPr>
          <w:rFonts w:ascii="Arial" w:hAnsi="Arial" w:cs="Arial"/>
          <w:b w:val="0"/>
          <w:spacing w:val="-9"/>
          <w:sz w:val="24"/>
        </w:rPr>
        <w:t xml:space="preserve"> </w:t>
      </w:r>
      <w:r w:rsidRPr="009A0AE3">
        <w:rPr>
          <w:rFonts w:ascii="Arial" w:hAnsi="Arial" w:cs="Arial"/>
          <w:b w:val="0"/>
          <w:sz w:val="24"/>
        </w:rPr>
        <w:t>se</w:t>
      </w:r>
      <w:r w:rsidRPr="009A0AE3">
        <w:rPr>
          <w:rFonts w:ascii="Arial" w:hAnsi="Arial" w:cs="Arial"/>
          <w:b w:val="0"/>
          <w:spacing w:val="-9"/>
          <w:sz w:val="24"/>
        </w:rPr>
        <w:t xml:space="preserve"> </w:t>
      </w:r>
      <w:r w:rsidRPr="009A0AE3">
        <w:rPr>
          <w:rFonts w:ascii="Arial" w:hAnsi="Arial" w:cs="Arial"/>
          <w:b w:val="0"/>
          <w:sz w:val="24"/>
        </w:rPr>
        <w:t>ha</w:t>
      </w:r>
      <w:r w:rsidRPr="009A0AE3">
        <w:rPr>
          <w:rFonts w:ascii="Arial" w:hAnsi="Arial" w:cs="Arial"/>
          <w:b w:val="0"/>
          <w:spacing w:val="-7"/>
          <w:sz w:val="24"/>
        </w:rPr>
        <w:t xml:space="preserve"> </w:t>
      </w:r>
      <w:r w:rsidRPr="009A0AE3">
        <w:rPr>
          <w:rFonts w:ascii="Arial" w:hAnsi="Arial" w:cs="Arial"/>
          <w:b w:val="0"/>
          <w:sz w:val="24"/>
        </w:rPr>
        <w:t>encontrado</w:t>
      </w:r>
      <w:r w:rsidRPr="009A0AE3">
        <w:rPr>
          <w:rFonts w:ascii="Arial" w:hAnsi="Arial" w:cs="Arial"/>
          <w:b w:val="0"/>
          <w:spacing w:val="-5"/>
          <w:sz w:val="24"/>
        </w:rPr>
        <w:t xml:space="preserve"> </w:t>
      </w:r>
      <w:r w:rsidRPr="009A0AE3">
        <w:rPr>
          <w:rFonts w:ascii="Arial" w:hAnsi="Arial" w:cs="Arial"/>
          <w:b w:val="0"/>
          <w:sz w:val="24"/>
        </w:rPr>
        <w:t>el</w:t>
      </w:r>
      <w:r w:rsidRPr="009A0AE3">
        <w:rPr>
          <w:rFonts w:ascii="Arial" w:hAnsi="Arial" w:cs="Arial"/>
          <w:b w:val="0"/>
          <w:spacing w:val="-7"/>
          <w:sz w:val="24"/>
        </w:rPr>
        <w:t xml:space="preserve"> </w:t>
      </w:r>
      <w:r w:rsidRPr="009A0AE3">
        <w:rPr>
          <w:rFonts w:ascii="Arial" w:hAnsi="Arial" w:cs="Arial"/>
          <w:b w:val="0"/>
          <w:sz w:val="24"/>
        </w:rPr>
        <w:t>disolvente correcto</w:t>
      </w:r>
      <w:r>
        <w:rPr>
          <w:rFonts w:ascii="Arial" w:hAnsi="Arial" w:cs="Arial"/>
          <w:b w:val="0"/>
          <w:sz w:val="24"/>
        </w:rPr>
        <w:t xml:space="preserve">. </w:t>
      </w:r>
    </w:p>
    <w:p w:rsidR="00463ECC" w:rsidRPr="004442D0" w:rsidRDefault="00463ECC" w:rsidP="00463ECC">
      <w:pPr>
        <w:pStyle w:val="Prrafodelista"/>
        <w:tabs>
          <w:tab w:val="left" w:pos="1199"/>
        </w:tabs>
        <w:spacing w:before="157"/>
        <w:ind w:left="0"/>
        <w:rPr>
          <w:rFonts w:ascii="Arial" w:hAnsi="Arial" w:cs="Arial"/>
          <w:i/>
          <w:sz w:val="24"/>
          <w:szCs w:val="24"/>
        </w:rPr>
      </w:pPr>
      <w:r>
        <w:rPr>
          <w:rFonts w:ascii="Arial" w:hAnsi="Arial" w:cs="Arial"/>
          <w:i/>
          <w:sz w:val="24"/>
          <w:szCs w:val="24"/>
        </w:rPr>
        <w:t xml:space="preserve">3.2 </w:t>
      </w:r>
      <w:r w:rsidRPr="004442D0">
        <w:rPr>
          <w:rFonts w:ascii="Arial" w:hAnsi="Arial" w:cs="Arial"/>
          <w:i/>
          <w:sz w:val="24"/>
          <w:szCs w:val="24"/>
        </w:rPr>
        <w:t>Filtración en</w:t>
      </w:r>
      <w:r w:rsidRPr="004442D0">
        <w:rPr>
          <w:rFonts w:ascii="Arial" w:hAnsi="Arial" w:cs="Arial"/>
          <w:i/>
          <w:spacing w:val="-1"/>
          <w:sz w:val="24"/>
          <w:szCs w:val="24"/>
        </w:rPr>
        <w:t xml:space="preserve"> </w:t>
      </w:r>
      <w:r w:rsidRPr="004442D0">
        <w:rPr>
          <w:rFonts w:ascii="Arial" w:hAnsi="Arial" w:cs="Arial"/>
          <w:i/>
          <w:sz w:val="24"/>
          <w:szCs w:val="24"/>
        </w:rPr>
        <w:t>caliente</w:t>
      </w:r>
    </w:p>
    <w:p w:rsidR="00463ECC" w:rsidRPr="004442D0" w:rsidRDefault="00463ECC" w:rsidP="00463ECC">
      <w:pPr>
        <w:pStyle w:val="Textoindependiente"/>
        <w:spacing w:before="185" w:line="259" w:lineRule="auto"/>
        <w:ind w:left="118" w:right="195"/>
        <w:jc w:val="both"/>
        <w:rPr>
          <w:rFonts w:ascii="Arial" w:hAnsi="Arial" w:cs="Arial"/>
          <w:b w:val="0"/>
          <w:sz w:val="24"/>
        </w:rPr>
      </w:pPr>
      <w:r w:rsidRPr="004442D0">
        <w:rPr>
          <w:rFonts w:ascii="Arial" w:hAnsi="Arial" w:cs="Arial"/>
          <w:b w:val="0"/>
          <w:sz w:val="24"/>
        </w:rPr>
        <w:lastRenderedPageBreak/>
        <w:t xml:space="preserve">Para la eliminación de impurezas insolubles se hace una filtración </w:t>
      </w:r>
      <w:r>
        <w:rPr>
          <w:rFonts w:ascii="Arial" w:hAnsi="Arial" w:cs="Arial"/>
          <w:b w:val="0"/>
          <w:sz w:val="24"/>
        </w:rPr>
        <w:t xml:space="preserve">a vacío </w:t>
      </w:r>
      <w:r w:rsidRPr="004442D0">
        <w:rPr>
          <w:rFonts w:ascii="Arial" w:hAnsi="Arial" w:cs="Arial"/>
          <w:b w:val="0"/>
          <w:sz w:val="24"/>
        </w:rPr>
        <w:t>en caliente con embudos Buchner,</w:t>
      </w:r>
      <w:r w:rsidRPr="004442D0">
        <w:rPr>
          <w:rFonts w:ascii="Arial" w:hAnsi="Arial" w:cs="Arial"/>
          <w:b w:val="0"/>
          <w:spacing w:val="-7"/>
          <w:sz w:val="24"/>
        </w:rPr>
        <w:t xml:space="preserve"> </w:t>
      </w:r>
      <w:r w:rsidRPr="004442D0">
        <w:rPr>
          <w:rFonts w:ascii="Arial" w:hAnsi="Arial" w:cs="Arial"/>
          <w:b w:val="0"/>
          <w:sz w:val="24"/>
        </w:rPr>
        <w:t>adaptados</w:t>
      </w:r>
      <w:r w:rsidRPr="004442D0">
        <w:rPr>
          <w:rFonts w:ascii="Arial" w:hAnsi="Arial" w:cs="Arial"/>
          <w:b w:val="0"/>
          <w:spacing w:val="-6"/>
          <w:sz w:val="24"/>
        </w:rPr>
        <w:t xml:space="preserve"> </w:t>
      </w:r>
      <w:r w:rsidRPr="004442D0">
        <w:rPr>
          <w:rFonts w:ascii="Arial" w:hAnsi="Arial" w:cs="Arial"/>
          <w:b w:val="0"/>
          <w:sz w:val="24"/>
        </w:rPr>
        <w:t>a</w:t>
      </w:r>
      <w:r w:rsidRPr="004442D0">
        <w:rPr>
          <w:rFonts w:ascii="Arial" w:hAnsi="Arial" w:cs="Arial"/>
          <w:b w:val="0"/>
          <w:spacing w:val="-5"/>
          <w:sz w:val="24"/>
        </w:rPr>
        <w:t xml:space="preserve"> </w:t>
      </w:r>
      <w:r w:rsidRPr="004442D0">
        <w:rPr>
          <w:rFonts w:ascii="Arial" w:hAnsi="Arial" w:cs="Arial"/>
          <w:b w:val="0"/>
          <w:sz w:val="24"/>
        </w:rPr>
        <w:t xml:space="preserve">kitasatos. </w:t>
      </w:r>
      <w:r>
        <w:rPr>
          <w:rFonts w:ascii="Arial" w:hAnsi="Arial" w:cs="Arial"/>
          <w:b w:val="0"/>
          <w:sz w:val="24"/>
        </w:rPr>
        <w:t>Este tipo de</w:t>
      </w:r>
      <w:r w:rsidRPr="004442D0">
        <w:rPr>
          <w:rFonts w:ascii="Arial" w:hAnsi="Arial" w:cs="Arial"/>
          <w:b w:val="0"/>
          <w:sz w:val="24"/>
        </w:rPr>
        <w:t xml:space="preserve"> filtración tiene algunas complicaciones, existen algunos disolventes que podrían evaporarse por el efecto de la succión modificando la proporción de disolventes en la mezcla, generando la formación de cristales como consecuencia reduciría el rendimiento de la cristalización. La filtración también se puede realizar por gravedad. En ambos casos, antes de filtrar, se debe de calentar el embudo, se moja el embudo en el disolvente caliente, para lograr adherencia sobre el embudo. Una vez que</w:t>
      </w:r>
      <w:r w:rsidRPr="004442D0">
        <w:rPr>
          <w:rFonts w:ascii="Arial" w:hAnsi="Arial" w:cs="Arial"/>
          <w:b w:val="0"/>
          <w:spacing w:val="-14"/>
          <w:sz w:val="24"/>
        </w:rPr>
        <w:t xml:space="preserve"> </w:t>
      </w:r>
      <w:r w:rsidRPr="004442D0">
        <w:rPr>
          <w:rFonts w:ascii="Arial" w:hAnsi="Arial" w:cs="Arial"/>
          <w:b w:val="0"/>
          <w:sz w:val="24"/>
        </w:rPr>
        <w:t>se filtró la solución se lava el recipiente original con el disolvente caliente, si se forman cristales debido a las paredes frías del kitasato se debe de calentar la solución para disolver los cristales, se pasa la solución a un matraz Erlenmeyer para su cristalización</w:t>
      </w:r>
      <w:r w:rsidRPr="004442D0">
        <w:rPr>
          <w:rFonts w:ascii="Arial" w:hAnsi="Arial" w:cs="Arial"/>
          <w:b w:val="0"/>
          <w:spacing w:val="-3"/>
          <w:sz w:val="24"/>
        </w:rPr>
        <w:t xml:space="preserve"> </w:t>
      </w:r>
      <w:r w:rsidRPr="004442D0">
        <w:rPr>
          <w:rFonts w:ascii="Arial" w:hAnsi="Arial" w:cs="Arial"/>
          <w:b w:val="0"/>
          <w:sz w:val="24"/>
        </w:rPr>
        <w:t>definitiva.</w:t>
      </w:r>
    </w:p>
    <w:p w:rsidR="00463ECC" w:rsidRPr="004442D0" w:rsidRDefault="00463ECC" w:rsidP="00463ECC">
      <w:pPr>
        <w:pStyle w:val="Prrafodelista"/>
        <w:tabs>
          <w:tab w:val="left" w:pos="1199"/>
        </w:tabs>
        <w:spacing w:before="154"/>
        <w:ind w:left="0"/>
        <w:rPr>
          <w:rFonts w:ascii="Arial" w:hAnsi="Arial" w:cs="Arial"/>
          <w:i/>
          <w:sz w:val="24"/>
          <w:szCs w:val="24"/>
        </w:rPr>
      </w:pPr>
      <w:r>
        <w:rPr>
          <w:rFonts w:ascii="Arial" w:hAnsi="Arial" w:cs="Arial"/>
          <w:i/>
          <w:sz w:val="24"/>
          <w:szCs w:val="24"/>
        </w:rPr>
        <w:t xml:space="preserve">3.3 </w:t>
      </w:r>
      <w:r w:rsidRPr="004442D0">
        <w:rPr>
          <w:rFonts w:ascii="Arial" w:hAnsi="Arial" w:cs="Arial"/>
          <w:i/>
          <w:sz w:val="24"/>
          <w:szCs w:val="24"/>
        </w:rPr>
        <w:t>Cristalización del</w:t>
      </w:r>
      <w:r w:rsidRPr="004442D0">
        <w:rPr>
          <w:rFonts w:ascii="Arial" w:hAnsi="Arial" w:cs="Arial"/>
          <w:i/>
          <w:spacing w:val="-1"/>
          <w:sz w:val="24"/>
          <w:szCs w:val="24"/>
        </w:rPr>
        <w:t xml:space="preserve"> </w:t>
      </w:r>
      <w:r w:rsidRPr="004442D0">
        <w:rPr>
          <w:rFonts w:ascii="Arial" w:hAnsi="Arial" w:cs="Arial"/>
          <w:i/>
          <w:sz w:val="24"/>
          <w:szCs w:val="24"/>
        </w:rPr>
        <w:t>solido</w:t>
      </w:r>
    </w:p>
    <w:p w:rsidR="00463ECC" w:rsidRPr="004442D0" w:rsidRDefault="00463ECC" w:rsidP="00463ECC">
      <w:pPr>
        <w:pStyle w:val="Textoindependiente"/>
        <w:spacing w:before="185" w:line="259" w:lineRule="auto"/>
        <w:ind w:left="118" w:right="194"/>
        <w:jc w:val="both"/>
        <w:rPr>
          <w:rFonts w:ascii="Arial" w:hAnsi="Arial" w:cs="Arial"/>
          <w:b w:val="0"/>
          <w:sz w:val="24"/>
        </w:rPr>
      </w:pPr>
      <w:r w:rsidRPr="004442D0">
        <w:rPr>
          <w:rFonts w:ascii="Arial" w:hAnsi="Arial" w:cs="Arial"/>
          <w:b w:val="0"/>
          <w:sz w:val="24"/>
        </w:rPr>
        <w:t>Enfriar</w:t>
      </w:r>
      <w:r w:rsidRPr="004442D0">
        <w:rPr>
          <w:rFonts w:ascii="Arial" w:hAnsi="Arial" w:cs="Arial"/>
          <w:b w:val="0"/>
          <w:spacing w:val="-17"/>
          <w:sz w:val="24"/>
        </w:rPr>
        <w:t xml:space="preserve"> </w:t>
      </w:r>
      <w:r w:rsidRPr="004442D0">
        <w:rPr>
          <w:rFonts w:ascii="Arial" w:hAnsi="Arial" w:cs="Arial"/>
          <w:b w:val="0"/>
          <w:sz w:val="24"/>
        </w:rPr>
        <w:t>la</w:t>
      </w:r>
      <w:r w:rsidRPr="004442D0">
        <w:rPr>
          <w:rFonts w:ascii="Arial" w:hAnsi="Arial" w:cs="Arial"/>
          <w:b w:val="0"/>
          <w:spacing w:val="-14"/>
          <w:sz w:val="24"/>
        </w:rPr>
        <w:t xml:space="preserve"> </w:t>
      </w:r>
      <w:r w:rsidRPr="004442D0">
        <w:rPr>
          <w:rFonts w:ascii="Arial" w:hAnsi="Arial" w:cs="Arial"/>
          <w:b w:val="0"/>
          <w:sz w:val="24"/>
        </w:rPr>
        <w:t>solución</w:t>
      </w:r>
      <w:r w:rsidRPr="004442D0">
        <w:rPr>
          <w:rFonts w:ascii="Arial" w:hAnsi="Arial" w:cs="Arial"/>
          <w:b w:val="0"/>
          <w:spacing w:val="-16"/>
          <w:sz w:val="24"/>
        </w:rPr>
        <w:t xml:space="preserve"> </w:t>
      </w:r>
      <w:r w:rsidRPr="004442D0">
        <w:rPr>
          <w:rFonts w:ascii="Arial" w:hAnsi="Arial" w:cs="Arial"/>
          <w:b w:val="0"/>
          <w:sz w:val="24"/>
        </w:rPr>
        <w:t>a</w:t>
      </w:r>
      <w:r w:rsidRPr="004442D0">
        <w:rPr>
          <w:rFonts w:ascii="Arial" w:hAnsi="Arial" w:cs="Arial"/>
          <w:b w:val="0"/>
          <w:spacing w:val="-16"/>
          <w:sz w:val="24"/>
        </w:rPr>
        <w:t xml:space="preserve"> </w:t>
      </w:r>
      <w:r w:rsidRPr="004442D0">
        <w:rPr>
          <w:rFonts w:ascii="Arial" w:hAnsi="Arial" w:cs="Arial"/>
          <w:b w:val="0"/>
          <w:sz w:val="24"/>
        </w:rPr>
        <w:t>una</w:t>
      </w:r>
      <w:r w:rsidRPr="004442D0">
        <w:rPr>
          <w:rFonts w:ascii="Arial" w:hAnsi="Arial" w:cs="Arial"/>
          <w:b w:val="0"/>
          <w:spacing w:val="-14"/>
          <w:sz w:val="24"/>
        </w:rPr>
        <w:t xml:space="preserve"> </w:t>
      </w:r>
      <w:r w:rsidRPr="004442D0">
        <w:rPr>
          <w:rFonts w:ascii="Arial" w:hAnsi="Arial" w:cs="Arial"/>
          <w:b w:val="0"/>
          <w:sz w:val="24"/>
        </w:rPr>
        <w:t>velocidad</w:t>
      </w:r>
      <w:r w:rsidRPr="004442D0">
        <w:rPr>
          <w:rFonts w:ascii="Arial" w:hAnsi="Arial" w:cs="Arial"/>
          <w:b w:val="0"/>
          <w:spacing w:val="-16"/>
          <w:sz w:val="24"/>
        </w:rPr>
        <w:t xml:space="preserve"> </w:t>
      </w:r>
      <w:r w:rsidRPr="004442D0">
        <w:rPr>
          <w:rFonts w:ascii="Arial" w:hAnsi="Arial" w:cs="Arial"/>
          <w:b w:val="0"/>
          <w:sz w:val="24"/>
        </w:rPr>
        <w:t>moderada</w:t>
      </w:r>
      <w:r w:rsidRPr="004442D0">
        <w:rPr>
          <w:rFonts w:ascii="Arial" w:hAnsi="Arial" w:cs="Arial"/>
          <w:b w:val="0"/>
          <w:spacing w:val="-15"/>
          <w:sz w:val="24"/>
        </w:rPr>
        <w:t xml:space="preserve"> </w:t>
      </w:r>
      <w:r w:rsidRPr="004442D0">
        <w:rPr>
          <w:rFonts w:ascii="Arial" w:hAnsi="Arial" w:cs="Arial"/>
          <w:b w:val="0"/>
          <w:sz w:val="24"/>
        </w:rPr>
        <w:t>para</w:t>
      </w:r>
      <w:r w:rsidRPr="004442D0">
        <w:rPr>
          <w:rFonts w:ascii="Arial" w:hAnsi="Arial" w:cs="Arial"/>
          <w:b w:val="0"/>
          <w:spacing w:val="-14"/>
          <w:sz w:val="24"/>
        </w:rPr>
        <w:t xml:space="preserve"> </w:t>
      </w:r>
      <w:r w:rsidRPr="004442D0">
        <w:rPr>
          <w:rFonts w:ascii="Arial" w:hAnsi="Arial" w:cs="Arial"/>
          <w:b w:val="0"/>
          <w:sz w:val="24"/>
        </w:rPr>
        <w:t>así</w:t>
      </w:r>
      <w:r w:rsidRPr="004442D0">
        <w:rPr>
          <w:rFonts w:ascii="Arial" w:hAnsi="Arial" w:cs="Arial"/>
          <w:b w:val="0"/>
          <w:spacing w:val="-15"/>
          <w:sz w:val="24"/>
        </w:rPr>
        <w:t xml:space="preserve"> </w:t>
      </w:r>
      <w:r w:rsidRPr="004442D0">
        <w:rPr>
          <w:rFonts w:ascii="Arial" w:hAnsi="Arial" w:cs="Arial"/>
          <w:b w:val="0"/>
          <w:sz w:val="24"/>
        </w:rPr>
        <w:t>obtener</w:t>
      </w:r>
      <w:r w:rsidRPr="004442D0">
        <w:rPr>
          <w:rFonts w:ascii="Arial" w:hAnsi="Arial" w:cs="Arial"/>
          <w:b w:val="0"/>
          <w:spacing w:val="-14"/>
          <w:sz w:val="24"/>
        </w:rPr>
        <w:t xml:space="preserve"> </w:t>
      </w:r>
      <w:r w:rsidRPr="004442D0">
        <w:rPr>
          <w:rFonts w:ascii="Arial" w:hAnsi="Arial" w:cs="Arial"/>
          <w:b w:val="0"/>
          <w:sz w:val="24"/>
        </w:rPr>
        <w:t>cristales</w:t>
      </w:r>
      <w:r w:rsidRPr="004442D0">
        <w:rPr>
          <w:rFonts w:ascii="Arial" w:hAnsi="Arial" w:cs="Arial"/>
          <w:b w:val="0"/>
          <w:spacing w:val="-15"/>
          <w:sz w:val="24"/>
        </w:rPr>
        <w:t xml:space="preserve"> </w:t>
      </w:r>
      <w:r w:rsidRPr="004442D0">
        <w:rPr>
          <w:rFonts w:ascii="Arial" w:hAnsi="Arial" w:cs="Arial"/>
          <w:b w:val="0"/>
          <w:sz w:val="24"/>
        </w:rPr>
        <w:t>medianos</w:t>
      </w:r>
      <w:r w:rsidRPr="004442D0">
        <w:rPr>
          <w:rFonts w:ascii="Arial" w:hAnsi="Arial" w:cs="Arial"/>
          <w:b w:val="0"/>
          <w:spacing w:val="-11"/>
          <w:sz w:val="24"/>
        </w:rPr>
        <w:t xml:space="preserve"> </w:t>
      </w:r>
      <w:r w:rsidRPr="004442D0">
        <w:rPr>
          <w:rFonts w:ascii="Arial" w:hAnsi="Arial" w:cs="Arial"/>
          <w:b w:val="0"/>
          <w:sz w:val="24"/>
        </w:rPr>
        <w:t>y</w:t>
      </w:r>
      <w:r w:rsidRPr="004442D0">
        <w:rPr>
          <w:rFonts w:ascii="Arial" w:hAnsi="Arial" w:cs="Arial"/>
          <w:b w:val="0"/>
          <w:spacing w:val="-18"/>
          <w:sz w:val="24"/>
        </w:rPr>
        <w:t xml:space="preserve"> </w:t>
      </w:r>
      <w:r w:rsidRPr="004442D0">
        <w:rPr>
          <w:rFonts w:ascii="Arial" w:hAnsi="Arial" w:cs="Arial"/>
          <w:b w:val="0"/>
          <w:sz w:val="24"/>
        </w:rPr>
        <w:t>al</w:t>
      </w:r>
      <w:r w:rsidRPr="004442D0">
        <w:rPr>
          <w:rFonts w:ascii="Arial" w:hAnsi="Arial" w:cs="Arial"/>
          <w:b w:val="0"/>
          <w:spacing w:val="-15"/>
          <w:sz w:val="24"/>
        </w:rPr>
        <w:t xml:space="preserve"> </w:t>
      </w:r>
      <w:r w:rsidRPr="004442D0">
        <w:rPr>
          <w:rFonts w:ascii="Arial" w:hAnsi="Arial" w:cs="Arial"/>
          <w:b w:val="0"/>
          <w:sz w:val="24"/>
        </w:rPr>
        <w:t>mismo</w:t>
      </w:r>
      <w:r w:rsidRPr="004442D0">
        <w:rPr>
          <w:rFonts w:ascii="Arial" w:hAnsi="Arial" w:cs="Arial"/>
          <w:b w:val="0"/>
          <w:spacing w:val="-14"/>
          <w:sz w:val="24"/>
        </w:rPr>
        <w:t xml:space="preserve"> </w:t>
      </w:r>
      <w:r w:rsidRPr="004442D0">
        <w:rPr>
          <w:rFonts w:ascii="Arial" w:hAnsi="Arial" w:cs="Arial"/>
          <w:b w:val="0"/>
          <w:sz w:val="24"/>
        </w:rPr>
        <w:t>tiempo raspar las paredes de matraz Erlenmeyer con una varilla de punta, si se enfría la</w:t>
      </w:r>
      <w:r>
        <w:rPr>
          <w:rFonts w:ascii="Arial" w:hAnsi="Arial" w:cs="Arial"/>
          <w:b w:val="0"/>
          <w:sz w:val="24"/>
        </w:rPr>
        <w:t xml:space="preserve"> solución rápidamente se formarán cristales muy pequeño</w:t>
      </w:r>
      <w:r w:rsidRPr="004442D0">
        <w:rPr>
          <w:rFonts w:ascii="Arial" w:hAnsi="Arial" w:cs="Arial"/>
          <w:b w:val="0"/>
          <w:sz w:val="24"/>
        </w:rPr>
        <w:t>s. Si el sólido no cristaliza se puede inducir la cristalización raspando por más tiempo las paredes del matraz Erlenmeyer por abajo del nivel de la solución, agregar una siembra, enfriar a menor temperatura con un baño de</w:t>
      </w:r>
      <w:r w:rsidRPr="004442D0">
        <w:rPr>
          <w:rFonts w:ascii="Arial" w:hAnsi="Arial" w:cs="Arial"/>
          <w:b w:val="0"/>
          <w:spacing w:val="-4"/>
          <w:sz w:val="24"/>
        </w:rPr>
        <w:t xml:space="preserve"> </w:t>
      </w:r>
      <w:r w:rsidRPr="004442D0">
        <w:rPr>
          <w:rFonts w:ascii="Arial" w:hAnsi="Arial" w:cs="Arial"/>
          <w:b w:val="0"/>
          <w:sz w:val="24"/>
        </w:rPr>
        <w:t>hielo.</w:t>
      </w:r>
    </w:p>
    <w:p w:rsidR="00463ECC" w:rsidRPr="004442D0" w:rsidRDefault="00463ECC" w:rsidP="00463ECC">
      <w:pPr>
        <w:pStyle w:val="Prrafodelista"/>
        <w:tabs>
          <w:tab w:val="left" w:pos="1199"/>
        </w:tabs>
        <w:spacing w:before="156"/>
        <w:ind w:left="0"/>
        <w:rPr>
          <w:rFonts w:ascii="Arial" w:hAnsi="Arial" w:cs="Arial"/>
          <w:i/>
          <w:sz w:val="24"/>
          <w:szCs w:val="24"/>
        </w:rPr>
      </w:pPr>
      <w:r>
        <w:rPr>
          <w:rFonts w:ascii="Arial" w:hAnsi="Arial" w:cs="Arial"/>
          <w:i/>
          <w:sz w:val="24"/>
          <w:szCs w:val="24"/>
        </w:rPr>
        <w:t xml:space="preserve">3.4 </w:t>
      </w:r>
      <w:r w:rsidRPr="004442D0">
        <w:rPr>
          <w:rFonts w:ascii="Arial" w:hAnsi="Arial" w:cs="Arial"/>
          <w:i/>
          <w:sz w:val="24"/>
          <w:szCs w:val="24"/>
        </w:rPr>
        <w:t>Filtración en</w:t>
      </w:r>
      <w:r w:rsidRPr="004442D0">
        <w:rPr>
          <w:rFonts w:ascii="Arial" w:hAnsi="Arial" w:cs="Arial"/>
          <w:i/>
          <w:spacing w:val="-1"/>
          <w:sz w:val="24"/>
          <w:szCs w:val="24"/>
        </w:rPr>
        <w:t xml:space="preserve"> </w:t>
      </w:r>
      <w:r w:rsidRPr="004442D0">
        <w:rPr>
          <w:rFonts w:ascii="Arial" w:hAnsi="Arial" w:cs="Arial"/>
          <w:i/>
          <w:sz w:val="24"/>
          <w:szCs w:val="24"/>
        </w:rPr>
        <w:t>frio</w:t>
      </w:r>
    </w:p>
    <w:p w:rsidR="00463ECC" w:rsidRPr="004442D0" w:rsidRDefault="00463ECC" w:rsidP="00463ECC">
      <w:pPr>
        <w:pStyle w:val="Textoindependiente"/>
        <w:spacing w:before="185" w:line="259" w:lineRule="auto"/>
        <w:ind w:left="118" w:right="198"/>
        <w:jc w:val="both"/>
        <w:rPr>
          <w:rFonts w:ascii="Arial" w:hAnsi="Arial" w:cs="Arial"/>
          <w:b w:val="0"/>
          <w:sz w:val="24"/>
        </w:rPr>
      </w:pPr>
      <w:r w:rsidRPr="004442D0">
        <w:rPr>
          <w:rFonts w:ascii="Arial" w:hAnsi="Arial" w:cs="Arial"/>
          <w:b w:val="0"/>
          <w:sz w:val="24"/>
        </w:rPr>
        <w:t>Una</w:t>
      </w:r>
      <w:r w:rsidRPr="004442D0">
        <w:rPr>
          <w:rFonts w:ascii="Arial" w:hAnsi="Arial" w:cs="Arial"/>
          <w:b w:val="0"/>
          <w:spacing w:val="-6"/>
          <w:sz w:val="24"/>
        </w:rPr>
        <w:t xml:space="preserve"> </w:t>
      </w:r>
      <w:r w:rsidRPr="004442D0">
        <w:rPr>
          <w:rFonts w:ascii="Arial" w:hAnsi="Arial" w:cs="Arial"/>
          <w:b w:val="0"/>
          <w:sz w:val="24"/>
        </w:rPr>
        <w:t>vez</w:t>
      </w:r>
      <w:r w:rsidRPr="004442D0">
        <w:rPr>
          <w:rFonts w:ascii="Arial" w:hAnsi="Arial" w:cs="Arial"/>
          <w:b w:val="0"/>
          <w:spacing w:val="-3"/>
          <w:sz w:val="24"/>
        </w:rPr>
        <w:t xml:space="preserve"> </w:t>
      </w:r>
      <w:r w:rsidRPr="004442D0">
        <w:rPr>
          <w:rFonts w:ascii="Arial" w:hAnsi="Arial" w:cs="Arial"/>
          <w:b w:val="0"/>
          <w:sz w:val="24"/>
        </w:rPr>
        <w:t>que</w:t>
      </w:r>
      <w:r w:rsidRPr="004442D0">
        <w:rPr>
          <w:rFonts w:ascii="Arial" w:hAnsi="Arial" w:cs="Arial"/>
          <w:b w:val="0"/>
          <w:spacing w:val="-5"/>
          <w:sz w:val="24"/>
        </w:rPr>
        <w:t xml:space="preserve"> </w:t>
      </w:r>
      <w:r w:rsidRPr="004442D0">
        <w:rPr>
          <w:rFonts w:ascii="Arial" w:hAnsi="Arial" w:cs="Arial"/>
          <w:b w:val="0"/>
          <w:sz w:val="24"/>
        </w:rPr>
        <w:t>se</w:t>
      </w:r>
      <w:r w:rsidRPr="004442D0">
        <w:rPr>
          <w:rFonts w:ascii="Arial" w:hAnsi="Arial" w:cs="Arial"/>
          <w:b w:val="0"/>
          <w:spacing w:val="-5"/>
          <w:sz w:val="24"/>
        </w:rPr>
        <w:t xml:space="preserve"> </w:t>
      </w:r>
      <w:r w:rsidRPr="004442D0">
        <w:rPr>
          <w:rFonts w:ascii="Arial" w:hAnsi="Arial" w:cs="Arial"/>
          <w:b w:val="0"/>
          <w:sz w:val="24"/>
        </w:rPr>
        <w:t>haya</w:t>
      </w:r>
      <w:r w:rsidRPr="004442D0">
        <w:rPr>
          <w:rFonts w:ascii="Arial" w:hAnsi="Arial" w:cs="Arial"/>
          <w:b w:val="0"/>
          <w:spacing w:val="-3"/>
          <w:sz w:val="24"/>
        </w:rPr>
        <w:t xml:space="preserve"> </w:t>
      </w:r>
      <w:r w:rsidRPr="004442D0">
        <w:rPr>
          <w:rFonts w:ascii="Arial" w:hAnsi="Arial" w:cs="Arial"/>
          <w:b w:val="0"/>
          <w:sz w:val="24"/>
        </w:rPr>
        <w:t>producido</w:t>
      </w:r>
      <w:r w:rsidRPr="004442D0">
        <w:rPr>
          <w:rFonts w:ascii="Arial" w:hAnsi="Arial" w:cs="Arial"/>
          <w:b w:val="0"/>
          <w:spacing w:val="-3"/>
          <w:sz w:val="24"/>
        </w:rPr>
        <w:t xml:space="preserve"> </w:t>
      </w:r>
      <w:r w:rsidRPr="004442D0">
        <w:rPr>
          <w:rFonts w:ascii="Arial" w:hAnsi="Arial" w:cs="Arial"/>
          <w:b w:val="0"/>
          <w:sz w:val="24"/>
        </w:rPr>
        <w:t>la</w:t>
      </w:r>
      <w:r w:rsidRPr="004442D0">
        <w:rPr>
          <w:rFonts w:ascii="Arial" w:hAnsi="Arial" w:cs="Arial"/>
          <w:b w:val="0"/>
          <w:spacing w:val="-4"/>
          <w:sz w:val="24"/>
        </w:rPr>
        <w:t xml:space="preserve"> </w:t>
      </w:r>
      <w:r w:rsidRPr="004442D0">
        <w:rPr>
          <w:rFonts w:ascii="Arial" w:hAnsi="Arial" w:cs="Arial"/>
          <w:b w:val="0"/>
          <w:sz w:val="24"/>
        </w:rPr>
        <w:t>cristalización</w:t>
      </w:r>
      <w:r w:rsidRPr="004442D0">
        <w:rPr>
          <w:rFonts w:ascii="Arial" w:hAnsi="Arial" w:cs="Arial"/>
          <w:b w:val="0"/>
          <w:spacing w:val="-4"/>
          <w:sz w:val="24"/>
        </w:rPr>
        <w:t xml:space="preserve"> </w:t>
      </w:r>
      <w:r w:rsidRPr="004442D0">
        <w:rPr>
          <w:rFonts w:ascii="Arial" w:hAnsi="Arial" w:cs="Arial"/>
          <w:b w:val="0"/>
          <w:sz w:val="24"/>
        </w:rPr>
        <w:t>en</w:t>
      </w:r>
      <w:r w:rsidRPr="004442D0">
        <w:rPr>
          <w:rFonts w:ascii="Arial" w:hAnsi="Arial" w:cs="Arial"/>
          <w:b w:val="0"/>
          <w:spacing w:val="-4"/>
          <w:sz w:val="24"/>
        </w:rPr>
        <w:t xml:space="preserve"> </w:t>
      </w:r>
      <w:r w:rsidRPr="004442D0">
        <w:rPr>
          <w:rFonts w:ascii="Arial" w:hAnsi="Arial" w:cs="Arial"/>
          <w:b w:val="0"/>
          <w:sz w:val="24"/>
        </w:rPr>
        <w:t>frio,</w:t>
      </w:r>
      <w:r w:rsidRPr="004442D0">
        <w:rPr>
          <w:rFonts w:ascii="Arial" w:hAnsi="Arial" w:cs="Arial"/>
          <w:b w:val="0"/>
          <w:spacing w:val="-3"/>
          <w:sz w:val="24"/>
        </w:rPr>
        <w:t xml:space="preserve"> </w:t>
      </w:r>
      <w:r w:rsidRPr="004442D0">
        <w:rPr>
          <w:rFonts w:ascii="Arial" w:hAnsi="Arial" w:cs="Arial"/>
          <w:b w:val="0"/>
          <w:sz w:val="24"/>
        </w:rPr>
        <w:t>se</w:t>
      </w:r>
      <w:r w:rsidRPr="004442D0">
        <w:rPr>
          <w:rFonts w:ascii="Arial" w:hAnsi="Arial" w:cs="Arial"/>
          <w:b w:val="0"/>
          <w:spacing w:val="-5"/>
          <w:sz w:val="24"/>
        </w:rPr>
        <w:t xml:space="preserve"> </w:t>
      </w:r>
      <w:r w:rsidRPr="004442D0">
        <w:rPr>
          <w:rFonts w:ascii="Arial" w:hAnsi="Arial" w:cs="Arial"/>
          <w:b w:val="0"/>
          <w:sz w:val="24"/>
        </w:rPr>
        <w:t>separan</w:t>
      </w:r>
      <w:r w:rsidRPr="004442D0">
        <w:rPr>
          <w:rFonts w:ascii="Arial" w:hAnsi="Arial" w:cs="Arial"/>
          <w:b w:val="0"/>
          <w:spacing w:val="-4"/>
          <w:sz w:val="24"/>
        </w:rPr>
        <w:t xml:space="preserve"> </w:t>
      </w:r>
      <w:r w:rsidRPr="004442D0">
        <w:rPr>
          <w:rFonts w:ascii="Arial" w:hAnsi="Arial" w:cs="Arial"/>
          <w:b w:val="0"/>
          <w:sz w:val="24"/>
        </w:rPr>
        <w:t>los</w:t>
      </w:r>
      <w:r w:rsidRPr="004442D0">
        <w:rPr>
          <w:rFonts w:ascii="Arial" w:hAnsi="Arial" w:cs="Arial"/>
          <w:b w:val="0"/>
          <w:spacing w:val="-3"/>
          <w:sz w:val="24"/>
        </w:rPr>
        <w:t xml:space="preserve"> </w:t>
      </w:r>
      <w:r w:rsidRPr="004442D0">
        <w:rPr>
          <w:rFonts w:ascii="Arial" w:hAnsi="Arial" w:cs="Arial"/>
          <w:b w:val="0"/>
          <w:sz w:val="24"/>
        </w:rPr>
        <w:t>cristales</w:t>
      </w:r>
      <w:r w:rsidRPr="004442D0">
        <w:rPr>
          <w:rFonts w:ascii="Arial" w:hAnsi="Arial" w:cs="Arial"/>
          <w:b w:val="0"/>
          <w:spacing w:val="-4"/>
          <w:sz w:val="24"/>
        </w:rPr>
        <w:t xml:space="preserve"> </w:t>
      </w:r>
      <w:r w:rsidRPr="004442D0">
        <w:rPr>
          <w:rFonts w:ascii="Arial" w:hAnsi="Arial" w:cs="Arial"/>
          <w:b w:val="0"/>
          <w:sz w:val="24"/>
        </w:rPr>
        <w:t>mediante</w:t>
      </w:r>
      <w:r w:rsidRPr="004442D0">
        <w:rPr>
          <w:rFonts w:ascii="Arial" w:hAnsi="Arial" w:cs="Arial"/>
          <w:b w:val="0"/>
          <w:spacing w:val="-4"/>
          <w:sz w:val="24"/>
        </w:rPr>
        <w:t xml:space="preserve"> </w:t>
      </w:r>
      <w:r w:rsidRPr="004442D0">
        <w:rPr>
          <w:rFonts w:ascii="Arial" w:hAnsi="Arial" w:cs="Arial"/>
          <w:b w:val="0"/>
          <w:sz w:val="24"/>
        </w:rPr>
        <w:t xml:space="preserve">filtración al vacío. Se debe emplear el embudo Buchner tal como se mencionó en </w:t>
      </w:r>
      <w:r>
        <w:rPr>
          <w:rFonts w:ascii="Arial" w:hAnsi="Arial" w:cs="Arial"/>
          <w:b w:val="0"/>
          <w:sz w:val="24"/>
        </w:rPr>
        <w:t xml:space="preserve">la filtración en caliente, Si </w:t>
      </w:r>
      <w:r w:rsidRPr="004442D0">
        <w:rPr>
          <w:rFonts w:ascii="Arial" w:hAnsi="Arial" w:cs="Arial"/>
          <w:b w:val="0"/>
          <w:sz w:val="24"/>
        </w:rPr>
        <w:t>algunos</w:t>
      </w:r>
      <w:r w:rsidRPr="004442D0">
        <w:rPr>
          <w:rFonts w:ascii="Arial" w:hAnsi="Arial" w:cs="Arial"/>
          <w:b w:val="0"/>
          <w:spacing w:val="-3"/>
          <w:sz w:val="24"/>
        </w:rPr>
        <w:t xml:space="preserve"> </w:t>
      </w:r>
      <w:r w:rsidRPr="004442D0">
        <w:rPr>
          <w:rFonts w:ascii="Arial" w:hAnsi="Arial" w:cs="Arial"/>
          <w:b w:val="0"/>
          <w:sz w:val="24"/>
        </w:rPr>
        <w:t>cristales</w:t>
      </w:r>
      <w:r w:rsidRPr="004442D0">
        <w:rPr>
          <w:rFonts w:ascii="Arial" w:hAnsi="Arial" w:cs="Arial"/>
          <w:b w:val="0"/>
          <w:spacing w:val="-3"/>
          <w:sz w:val="24"/>
        </w:rPr>
        <w:t xml:space="preserve"> </w:t>
      </w:r>
      <w:r w:rsidRPr="004442D0">
        <w:rPr>
          <w:rFonts w:ascii="Arial" w:hAnsi="Arial" w:cs="Arial"/>
          <w:b w:val="0"/>
          <w:sz w:val="24"/>
        </w:rPr>
        <w:t>quedan</w:t>
      </w:r>
      <w:r>
        <w:rPr>
          <w:rFonts w:ascii="Arial" w:hAnsi="Arial" w:cs="Arial"/>
          <w:b w:val="0"/>
          <w:sz w:val="24"/>
        </w:rPr>
        <w:t xml:space="preserve"> en</w:t>
      </w:r>
      <w:r w:rsidRPr="004442D0">
        <w:rPr>
          <w:rFonts w:ascii="Arial" w:hAnsi="Arial" w:cs="Arial"/>
          <w:b w:val="0"/>
          <w:spacing w:val="-5"/>
          <w:sz w:val="24"/>
        </w:rPr>
        <w:t xml:space="preserve"> </w:t>
      </w:r>
      <w:r w:rsidRPr="004442D0">
        <w:rPr>
          <w:rFonts w:ascii="Arial" w:hAnsi="Arial" w:cs="Arial"/>
          <w:b w:val="0"/>
          <w:sz w:val="24"/>
        </w:rPr>
        <w:t>el</w:t>
      </w:r>
      <w:r w:rsidRPr="004442D0">
        <w:rPr>
          <w:rFonts w:ascii="Arial" w:hAnsi="Arial" w:cs="Arial"/>
          <w:b w:val="0"/>
          <w:spacing w:val="-6"/>
          <w:sz w:val="24"/>
        </w:rPr>
        <w:t xml:space="preserve"> </w:t>
      </w:r>
      <w:r w:rsidRPr="004442D0">
        <w:rPr>
          <w:rFonts w:ascii="Arial" w:hAnsi="Arial" w:cs="Arial"/>
          <w:b w:val="0"/>
          <w:sz w:val="24"/>
        </w:rPr>
        <w:t>matraz</w:t>
      </w:r>
      <w:r w:rsidRPr="004442D0">
        <w:rPr>
          <w:rFonts w:ascii="Arial" w:hAnsi="Arial" w:cs="Arial"/>
          <w:b w:val="0"/>
          <w:spacing w:val="-4"/>
          <w:sz w:val="24"/>
        </w:rPr>
        <w:t xml:space="preserve"> </w:t>
      </w:r>
      <w:r w:rsidRPr="004442D0">
        <w:rPr>
          <w:rFonts w:ascii="Arial" w:hAnsi="Arial" w:cs="Arial"/>
          <w:b w:val="0"/>
          <w:sz w:val="24"/>
        </w:rPr>
        <w:t>Erlenmeyer,</w:t>
      </w:r>
      <w:r w:rsidRPr="004442D0">
        <w:rPr>
          <w:rFonts w:ascii="Arial" w:hAnsi="Arial" w:cs="Arial"/>
          <w:b w:val="0"/>
          <w:spacing w:val="-4"/>
          <w:sz w:val="24"/>
        </w:rPr>
        <w:t xml:space="preserve"> </w:t>
      </w:r>
      <w:r w:rsidRPr="004442D0">
        <w:rPr>
          <w:rFonts w:ascii="Arial" w:hAnsi="Arial" w:cs="Arial"/>
          <w:b w:val="0"/>
          <w:sz w:val="24"/>
        </w:rPr>
        <w:t>se</w:t>
      </w:r>
      <w:r w:rsidRPr="004442D0">
        <w:rPr>
          <w:rFonts w:ascii="Arial" w:hAnsi="Arial" w:cs="Arial"/>
          <w:b w:val="0"/>
          <w:spacing w:val="-6"/>
          <w:sz w:val="24"/>
        </w:rPr>
        <w:t xml:space="preserve"> </w:t>
      </w:r>
      <w:r w:rsidRPr="004442D0">
        <w:rPr>
          <w:rFonts w:ascii="Arial" w:hAnsi="Arial" w:cs="Arial"/>
          <w:b w:val="0"/>
          <w:sz w:val="24"/>
        </w:rPr>
        <w:t>puede</w:t>
      </w:r>
      <w:r w:rsidRPr="004442D0">
        <w:rPr>
          <w:rFonts w:ascii="Arial" w:hAnsi="Arial" w:cs="Arial"/>
          <w:b w:val="0"/>
          <w:spacing w:val="-6"/>
          <w:sz w:val="24"/>
        </w:rPr>
        <w:t xml:space="preserve"> </w:t>
      </w:r>
      <w:r w:rsidRPr="004442D0">
        <w:rPr>
          <w:rFonts w:ascii="Arial" w:hAnsi="Arial" w:cs="Arial"/>
          <w:b w:val="0"/>
          <w:sz w:val="24"/>
        </w:rPr>
        <w:t>usar</w:t>
      </w:r>
      <w:r w:rsidRPr="004442D0">
        <w:rPr>
          <w:rFonts w:ascii="Arial" w:hAnsi="Arial" w:cs="Arial"/>
          <w:b w:val="0"/>
          <w:spacing w:val="-7"/>
          <w:sz w:val="24"/>
        </w:rPr>
        <w:t xml:space="preserve"> </w:t>
      </w:r>
      <w:r w:rsidRPr="004442D0">
        <w:rPr>
          <w:rFonts w:ascii="Arial" w:hAnsi="Arial" w:cs="Arial"/>
          <w:b w:val="0"/>
          <w:sz w:val="24"/>
        </w:rPr>
        <w:t>parte</w:t>
      </w:r>
      <w:r w:rsidRPr="004442D0">
        <w:rPr>
          <w:rFonts w:ascii="Arial" w:hAnsi="Arial" w:cs="Arial"/>
          <w:b w:val="0"/>
          <w:spacing w:val="-4"/>
          <w:sz w:val="24"/>
        </w:rPr>
        <w:t xml:space="preserve"> </w:t>
      </w:r>
      <w:r w:rsidRPr="004442D0">
        <w:rPr>
          <w:rFonts w:ascii="Arial" w:hAnsi="Arial" w:cs="Arial"/>
          <w:b w:val="0"/>
          <w:sz w:val="24"/>
        </w:rPr>
        <w:t>del</w:t>
      </w:r>
      <w:r w:rsidRPr="004442D0">
        <w:rPr>
          <w:rFonts w:ascii="Arial" w:hAnsi="Arial" w:cs="Arial"/>
          <w:b w:val="0"/>
          <w:spacing w:val="-5"/>
          <w:sz w:val="24"/>
        </w:rPr>
        <w:t xml:space="preserve"> </w:t>
      </w:r>
      <w:r w:rsidRPr="004442D0">
        <w:rPr>
          <w:rFonts w:ascii="Arial" w:hAnsi="Arial" w:cs="Arial"/>
          <w:b w:val="0"/>
          <w:sz w:val="24"/>
        </w:rPr>
        <w:t>líquido</w:t>
      </w:r>
      <w:r w:rsidRPr="004442D0">
        <w:rPr>
          <w:rFonts w:ascii="Arial" w:hAnsi="Arial" w:cs="Arial"/>
          <w:b w:val="0"/>
          <w:spacing w:val="-5"/>
          <w:sz w:val="24"/>
        </w:rPr>
        <w:t xml:space="preserve"> </w:t>
      </w:r>
      <w:r w:rsidRPr="004442D0">
        <w:rPr>
          <w:rFonts w:ascii="Arial" w:hAnsi="Arial" w:cs="Arial"/>
          <w:b w:val="0"/>
          <w:sz w:val="24"/>
        </w:rPr>
        <w:t>filtrado</w:t>
      </w:r>
      <w:r w:rsidRPr="004442D0">
        <w:rPr>
          <w:rFonts w:ascii="Arial" w:hAnsi="Arial" w:cs="Arial"/>
          <w:b w:val="0"/>
          <w:spacing w:val="-6"/>
          <w:sz w:val="24"/>
        </w:rPr>
        <w:t xml:space="preserve"> </w:t>
      </w:r>
      <w:r w:rsidRPr="004442D0">
        <w:rPr>
          <w:rFonts w:ascii="Arial" w:hAnsi="Arial" w:cs="Arial"/>
          <w:b w:val="0"/>
          <w:sz w:val="24"/>
        </w:rPr>
        <w:t>también llamado</w:t>
      </w:r>
      <w:r w:rsidRPr="004442D0">
        <w:rPr>
          <w:rFonts w:ascii="Arial" w:hAnsi="Arial" w:cs="Arial"/>
          <w:b w:val="0"/>
          <w:spacing w:val="-7"/>
          <w:sz w:val="24"/>
        </w:rPr>
        <w:t xml:space="preserve"> </w:t>
      </w:r>
      <w:r w:rsidRPr="004442D0">
        <w:rPr>
          <w:rFonts w:ascii="Arial" w:hAnsi="Arial" w:cs="Arial"/>
          <w:b w:val="0"/>
          <w:sz w:val="24"/>
        </w:rPr>
        <w:t>líquido</w:t>
      </w:r>
      <w:r w:rsidRPr="004442D0">
        <w:rPr>
          <w:rFonts w:ascii="Arial" w:hAnsi="Arial" w:cs="Arial"/>
          <w:b w:val="0"/>
          <w:spacing w:val="-5"/>
          <w:sz w:val="24"/>
        </w:rPr>
        <w:t xml:space="preserve"> </w:t>
      </w:r>
      <w:r w:rsidRPr="004442D0">
        <w:rPr>
          <w:rFonts w:ascii="Arial" w:hAnsi="Arial" w:cs="Arial"/>
          <w:b w:val="0"/>
          <w:sz w:val="24"/>
        </w:rPr>
        <w:t>madre</w:t>
      </w:r>
      <w:r w:rsidRPr="004442D0">
        <w:rPr>
          <w:rFonts w:ascii="Arial" w:hAnsi="Arial" w:cs="Arial"/>
          <w:b w:val="0"/>
          <w:spacing w:val="-5"/>
          <w:sz w:val="24"/>
        </w:rPr>
        <w:t xml:space="preserve"> </w:t>
      </w:r>
      <w:r w:rsidRPr="004442D0">
        <w:rPr>
          <w:rFonts w:ascii="Arial" w:hAnsi="Arial" w:cs="Arial"/>
          <w:b w:val="0"/>
          <w:sz w:val="24"/>
        </w:rPr>
        <w:t>al</w:t>
      </w:r>
      <w:r w:rsidRPr="004442D0">
        <w:rPr>
          <w:rFonts w:ascii="Arial" w:hAnsi="Arial" w:cs="Arial"/>
          <w:b w:val="0"/>
          <w:spacing w:val="-2"/>
          <w:sz w:val="24"/>
        </w:rPr>
        <w:t xml:space="preserve"> </w:t>
      </w:r>
      <w:r w:rsidRPr="004442D0">
        <w:rPr>
          <w:rFonts w:ascii="Arial" w:hAnsi="Arial" w:cs="Arial"/>
          <w:b w:val="0"/>
          <w:sz w:val="24"/>
        </w:rPr>
        <w:t>matraz</w:t>
      </w:r>
      <w:r w:rsidRPr="004442D0">
        <w:rPr>
          <w:rFonts w:ascii="Arial" w:hAnsi="Arial" w:cs="Arial"/>
          <w:b w:val="0"/>
          <w:spacing w:val="-5"/>
          <w:sz w:val="24"/>
        </w:rPr>
        <w:t xml:space="preserve"> </w:t>
      </w:r>
      <w:r w:rsidRPr="004442D0">
        <w:rPr>
          <w:rFonts w:ascii="Arial" w:hAnsi="Arial" w:cs="Arial"/>
          <w:b w:val="0"/>
          <w:sz w:val="24"/>
        </w:rPr>
        <w:t>Erlenmeyer</w:t>
      </w:r>
      <w:r w:rsidRPr="004442D0">
        <w:rPr>
          <w:rFonts w:ascii="Arial" w:hAnsi="Arial" w:cs="Arial"/>
          <w:b w:val="0"/>
          <w:spacing w:val="-6"/>
          <w:sz w:val="24"/>
        </w:rPr>
        <w:t xml:space="preserve"> </w:t>
      </w:r>
      <w:r w:rsidRPr="004442D0">
        <w:rPr>
          <w:rFonts w:ascii="Arial" w:hAnsi="Arial" w:cs="Arial"/>
          <w:b w:val="0"/>
          <w:sz w:val="24"/>
        </w:rPr>
        <w:t>para</w:t>
      </w:r>
      <w:r w:rsidRPr="004442D0">
        <w:rPr>
          <w:rFonts w:ascii="Arial" w:hAnsi="Arial" w:cs="Arial"/>
          <w:b w:val="0"/>
          <w:spacing w:val="-3"/>
          <w:sz w:val="24"/>
        </w:rPr>
        <w:t xml:space="preserve"> </w:t>
      </w:r>
      <w:r w:rsidRPr="004442D0">
        <w:rPr>
          <w:rFonts w:ascii="Arial" w:hAnsi="Arial" w:cs="Arial"/>
          <w:b w:val="0"/>
          <w:sz w:val="24"/>
        </w:rPr>
        <w:t>poder</w:t>
      </w:r>
      <w:r w:rsidRPr="004442D0">
        <w:rPr>
          <w:rFonts w:ascii="Arial" w:hAnsi="Arial" w:cs="Arial"/>
          <w:b w:val="0"/>
          <w:spacing w:val="-6"/>
          <w:sz w:val="24"/>
        </w:rPr>
        <w:t xml:space="preserve"> </w:t>
      </w:r>
      <w:r w:rsidRPr="004442D0">
        <w:rPr>
          <w:rFonts w:ascii="Arial" w:hAnsi="Arial" w:cs="Arial"/>
          <w:b w:val="0"/>
          <w:sz w:val="24"/>
        </w:rPr>
        <w:t>desprender</w:t>
      </w:r>
      <w:r w:rsidRPr="004442D0">
        <w:rPr>
          <w:rFonts w:ascii="Arial" w:hAnsi="Arial" w:cs="Arial"/>
          <w:b w:val="0"/>
          <w:spacing w:val="-6"/>
          <w:sz w:val="24"/>
        </w:rPr>
        <w:t xml:space="preserve"> </w:t>
      </w:r>
      <w:r w:rsidRPr="004442D0">
        <w:rPr>
          <w:rFonts w:ascii="Arial" w:hAnsi="Arial" w:cs="Arial"/>
          <w:b w:val="0"/>
          <w:sz w:val="24"/>
        </w:rPr>
        <w:t>los</w:t>
      </w:r>
      <w:r w:rsidRPr="004442D0">
        <w:rPr>
          <w:rFonts w:ascii="Arial" w:hAnsi="Arial" w:cs="Arial"/>
          <w:b w:val="0"/>
          <w:spacing w:val="-3"/>
          <w:sz w:val="24"/>
        </w:rPr>
        <w:t xml:space="preserve"> </w:t>
      </w:r>
      <w:r w:rsidRPr="004442D0">
        <w:rPr>
          <w:rFonts w:ascii="Arial" w:hAnsi="Arial" w:cs="Arial"/>
          <w:b w:val="0"/>
          <w:sz w:val="24"/>
        </w:rPr>
        <w:t>cristales y</w:t>
      </w:r>
      <w:r w:rsidRPr="004442D0">
        <w:rPr>
          <w:rFonts w:ascii="Arial" w:hAnsi="Arial" w:cs="Arial"/>
          <w:b w:val="0"/>
          <w:spacing w:val="-11"/>
          <w:sz w:val="24"/>
        </w:rPr>
        <w:t xml:space="preserve"> </w:t>
      </w:r>
      <w:r w:rsidRPr="004442D0">
        <w:rPr>
          <w:rFonts w:ascii="Arial" w:hAnsi="Arial" w:cs="Arial"/>
          <w:b w:val="0"/>
          <w:sz w:val="24"/>
        </w:rPr>
        <w:t>de</w:t>
      </w:r>
      <w:r w:rsidRPr="004442D0">
        <w:rPr>
          <w:rFonts w:ascii="Arial" w:hAnsi="Arial" w:cs="Arial"/>
          <w:b w:val="0"/>
          <w:spacing w:val="-6"/>
          <w:sz w:val="24"/>
        </w:rPr>
        <w:t xml:space="preserve"> </w:t>
      </w:r>
      <w:r w:rsidRPr="004442D0">
        <w:rPr>
          <w:rFonts w:ascii="Arial" w:hAnsi="Arial" w:cs="Arial"/>
          <w:b w:val="0"/>
          <w:sz w:val="24"/>
        </w:rPr>
        <w:t>nuevo</w:t>
      </w:r>
      <w:r w:rsidRPr="004442D0">
        <w:rPr>
          <w:rFonts w:ascii="Arial" w:hAnsi="Arial" w:cs="Arial"/>
          <w:b w:val="0"/>
          <w:spacing w:val="-4"/>
          <w:sz w:val="24"/>
        </w:rPr>
        <w:t xml:space="preserve"> </w:t>
      </w:r>
      <w:r w:rsidRPr="004442D0">
        <w:rPr>
          <w:rFonts w:ascii="Arial" w:hAnsi="Arial" w:cs="Arial"/>
          <w:b w:val="0"/>
          <w:sz w:val="24"/>
        </w:rPr>
        <w:t>filtrar.</w:t>
      </w:r>
    </w:p>
    <w:p w:rsidR="00463ECC" w:rsidRPr="004442D0" w:rsidRDefault="00463ECC" w:rsidP="00463ECC">
      <w:pPr>
        <w:pStyle w:val="Prrafodelista"/>
        <w:tabs>
          <w:tab w:val="left" w:pos="1199"/>
        </w:tabs>
        <w:spacing w:before="157"/>
        <w:ind w:left="0"/>
        <w:rPr>
          <w:rFonts w:ascii="Arial" w:hAnsi="Arial" w:cs="Arial"/>
          <w:i/>
          <w:sz w:val="24"/>
          <w:szCs w:val="24"/>
        </w:rPr>
      </w:pPr>
      <w:r>
        <w:rPr>
          <w:rFonts w:ascii="Arial" w:hAnsi="Arial" w:cs="Arial"/>
          <w:i/>
          <w:sz w:val="24"/>
          <w:szCs w:val="24"/>
        </w:rPr>
        <w:t xml:space="preserve">3.5 </w:t>
      </w:r>
      <w:r w:rsidRPr="004442D0">
        <w:rPr>
          <w:rFonts w:ascii="Arial" w:hAnsi="Arial" w:cs="Arial"/>
          <w:i/>
          <w:sz w:val="24"/>
          <w:szCs w:val="24"/>
        </w:rPr>
        <w:t>La</w:t>
      </w:r>
      <w:r>
        <w:rPr>
          <w:rFonts w:ascii="Arial" w:hAnsi="Arial" w:cs="Arial"/>
          <w:i/>
          <w:sz w:val="24"/>
          <w:szCs w:val="24"/>
        </w:rPr>
        <w:t>vado y secado de los cristales</w:t>
      </w:r>
    </w:p>
    <w:p w:rsidR="00463ECC" w:rsidRPr="004442D0" w:rsidRDefault="00463ECC" w:rsidP="00463ECC">
      <w:pPr>
        <w:pStyle w:val="Textoindependiente"/>
        <w:spacing w:before="72" w:line="259" w:lineRule="auto"/>
        <w:ind w:left="118" w:right="192"/>
        <w:jc w:val="both"/>
        <w:rPr>
          <w:rFonts w:ascii="Arial" w:hAnsi="Arial" w:cs="Arial"/>
          <w:b w:val="0"/>
          <w:sz w:val="24"/>
        </w:rPr>
      </w:pPr>
      <w:r w:rsidRPr="004442D0">
        <w:rPr>
          <w:rFonts w:ascii="Arial" w:hAnsi="Arial" w:cs="Arial"/>
          <w:b w:val="0"/>
          <w:sz w:val="24"/>
        </w:rPr>
        <w:t>Los cristales deben de ser lavados con el objeto de eliminar los líquidos madre que los impregna, si no se lavan al momento de secar los cristales depositaran sobre la superficie de los cristales las impurezas</w:t>
      </w:r>
      <w:r w:rsidRPr="004442D0">
        <w:rPr>
          <w:rFonts w:ascii="Arial" w:hAnsi="Arial" w:cs="Arial"/>
          <w:b w:val="0"/>
          <w:spacing w:val="-13"/>
          <w:sz w:val="24"/>
        </w:rPr>
        <w:t xml:space="preserve"> </w:t>
      </w:r>
      <w:r w:rsidRPr="004442D0">
        <w:rPr>
          <w:rFonts w:ascii="Arial" w:hAnsi="Arial" w:cs="Arial"/>
          <w:b w:val="0"/>
          <w:sz w:val="24"/>
        </w:rPr>
        <w:t>que</w:t>
      </w:r>
      <w:r w:rsidRPr="004442D0">
        <w:rPr>
          <w:rFonts w:ascii="Arial" w:hAnsi="Arial" w:cs="Arial"/>
          <w:b w:val="0"/>
          <w:spacing w:val="-13"/>
          <w:sz w:val="24"/>
        </w:rPr>
        <w:t xml:space="preserve"> </w:t>
      </w:r>
      <w:r w:rsidRPr="004442D0">
        <w:rPr>
          <w:rFonts w:ascii="Arial" w:hAnsi="Arial" w:cs="Arial"/>
          <w:b w:val="0"/>
          <w:sz w:val="24"/>
        </w:rPr>
        <w:t>llevan</w:t>
      </w:r>
      <w:r w:rsidRPr="004442D0">
        <w:rPr>
          <w:rFonts w:ascii="Arial" w:hAnsi="Arial" w:cs="Arial"/>
          <w:b w:val="0"/>
          <w:spacing w:val="-12"/>
          <w:sz w:val="24"/>
        </w:rPr>
        <w:t xml:space="preserve"> </w:t>
      </w:r>
      <w:r w:rsidRPr="004442D0">
        <w:rPr>
          <w:rFonts w:ascii="Arial" w:hAnsi="Arial" w:cs="Arial"/>
          <w:b w:val="0"/>
          <w:sz w:val="24"/>
        </w:rPr>
        <w:t>disueltas.</w:t>
      </w:r>
      <w:r w:rsidRPr="004442D0">
        <w:rPr>
          <w:rFonts w:ascii="Arial" w:hAnsi="Arial" w:cs="Arial"/>
          <w:b w:val="0"/>
          <w:spacing w:val="-13"/>
          <w:sz w:val="24"/>
        </w:rPr>
        <w:t xml:space="preserve"> </w:t>
      </w:r>
      <w:r w:rsidRPr="004442D0">
        <w:rPr>
          <w:rFonts w:ascii="Arial" w:hAnsi="Arial" w:cs="Arial"/>
          <w:b w:val="0"/>
          <w:sz w:val="24"/>
        </w:rPr>
        <w:t>El</w:t>
      </w:r>
      <w:r w:rsidRPr="004442D0">
        <w:rPr>
          <w:rFonts w:ascii="Arial" w:hAnsi="Arial" w:cs="Arial"/>
          <w:b w:val="0"/>
          <w:spacing w:val="-12"/>
          <w:sz w:val="24"/>
        </w:rPr>
        <w:t xml:space="preserve"> </w:t>
      </w:r>
      <w:r w:rsidRPr="004442D0">
        <w:rPr>
          <w:rFonts w:ascii="Arial" w:hAnsi="Arial" w:cs="Arial"/>
          <w:b w:val="0"/>
          <w:sz w:val="24"/>
        </w:rPr>
        <w:t>disolvente</w:t>
      </w:r>
      <w:r w:rsidRPr="004442D0">
        <w:rPr>
          <w:rFonts w:ascii="Arial" w:hAnsi="Arial" w:cs="Arial"/>
          <w:b w:val="0"/>
          <w:spacing w:val="-13"/>
          <w:sz w:val="24"/>
        </w:rPr>
        <w:t xml:space="preserve"> </w:t>
      </w:r>
      <w:r w:rsidRPr="004442D0">
        <w:rPr>
          <w:rFonts w:ascii="Arial" w:hAnsi="Arial" w:cs="Arial"/>
          <w:b w:val="0"/>
          <w:sz w:val="24"/>
        </w:rPr>
        <w:t>que</w:t>
      </w:r>
      <w:r w:rsidRPr="004442D0">
        <w:rPr>
          <w:rFonts w:ascii="Arial" w:hAnsi="Arial" w:cs="Arial"/>
          <w:b w:val="0"/>
          <w:spacing w:val="-14"/>
          <w:sz w:val="24"/>
        </w:rPr>
        <w:t xml:space="preserve"> </w:t>
      </w:r>
      <w:r w:rsidRPr="004442D0">
        <w:rPr>
          <w:rFonts w:ascii="Arial" w:hAnsi="Arial" w:cs="Arial"/>
          <w:b w:val="0"/>
          <w:sz w:val="24"/>
        </w:rPr>
        <w:t>se</w:t>
      </w:r>
      <w:r w:rsidRPr="004442D0">
        <w:rPr>
          <w:rFonts w:ascii="Arial" w:hAnsi="Arial" w:cs="Arial"/>
          <w:b w:val="0"/>
          <w:spacing w:val="-13"/>
          <w:sz w:val="24"/>
        </w:rPr>
        <w:t xml:space="preserve"> </w:t>
      </w:r>
      <w:r w:rsidRPr="004442D0">
        <w:rPr>
          <w:rFonts w:ascii="Arial" w:hAnsi="Arial" w:cs="Arial"/>
          <w:b w:val="0"/>
          <w:sz w:val="24"/>
        </w:rPr>
        <w:t>emplea</w:t>
      </w:r>
      <w:r w:rsidRPr="004442D0">
        <w:rPr>
          <w:rFonts w:ascii="Arial" w:hAnsi="Arial" w:cs="Arial"/>
          <w:b w:val="0"/>
          <w:spacing w:val="-13"/>
          <w:sz w:val="24"/>
        </w:rPr>
        <w:t xml:space="preserve"> </w:t>
      </w:r>
      <w:r w:rsidRPr="004442D0">
        <w:rPr>
          <w:rFonts w:ascii="Arial" w:hAnsi="Arial" w:cs="Arial"/>
          <w:b w:val="0"/>
          <w:sz w:val="24"/>
        </w:rPr>
        <w:t>para</w:t>
      </w:r>
      <w:r w:rsidRPr="004442D0">
        <w:rPr>
          <w:rFonts w:ascii="Arial" w:hAnsi="Arial" w:cs="Arial"/>
          <w:b w:val="0"/>
          <w:spacing w:val="-14"/>
          <w:sz w:val="24"/>
        </w:rPr>
        <w:t xml:space="preserve"> </w:t>
      </w:r>
      <w:r w:rsidRPr="004442D0">
        <w:rPr>
          <w:rFonts w:ascii="Arial" w:hAnsi="Arial" w:cs="Arial"/>
          <w:b w:val="0"/>
          <w:sz w:val="24"/>
        </w:rPr>
        <w:t>el</w:t>
      </w:r>
      <w:r w:rsidRPr="004442D0">
        <w:rPr>
          <w:rFonts w:ascii="Arial" w:hAnsi="Arial" w:cs="Arial"/>
          <w:b w:val="0"/>
          <w:spacing w:val="-12"/>
          <w:sz w:val="24"/>
        </w:rPr>
        <w:t xml:space="preserve"> </w:t>
      </w:r>
      <w:r w:rsidRPr="004442D0">
        <w:rPr>
          <w:rFonts w:ascii="Arial" w:hAnsi="Arial" w:cs="Arial"/>
          <w:b w:val="0"/>
          <w:sz w:val="24"/>
        </w:rPr>
        <w:t>lavado</w:t>
      </w:r>
      <w:r w:rsidRPr="004442D0">
        <w:rPr>
          <w:rFonts w:ascii="Arial" w:hAnsi="Arial" w:cs="Arial"/>
          <w:b w:val="0"/>
          <w:spacing w:val="-12"/>
          <w:sz w:val="24"/>
        </w:rPr>
        <w:t xml:space="preserve"> </w:t>
      </w:r>
      <w:r w:rsidRPr="004442D0">
        <w:rPr>
          <w:rFonts w:ascii="Arial" w:hAnsi="Arial" w:cs="Arial"/>
          <w:b w:val="0"/>
          <w:sz w:val="24"/>
        </w:rPr>
        <w:t>de</w:t>
      </w:r>
      <w:r w:rsidRPr="004442D0">
        <w:rPr>
          <w:rFonts w:ascii="Arial" w:hAnsi="Arial" w:cs="Arial"/>
          <w:b w:val="0"/>
          <w:spacing w:val="-14"/>
          <w:sz w:val="24"/>
        </w:rPr>
        <w:t xml:space="preserve"> </w:t>
      </w:r>
      <w:r w:rsidRPr="004442D0">
        <w:rPr>
          <w:rFonts w:ascii="Arial" w:hAnsi="Arial" w:cs="Arial"/>
          <w:b w:val="0"/>
          <w:sz w:val="24"/>
        </w:rPr>
        <w:t>los</w:t>
      </w:r>
      <w:r w:rsidRPr="004442D0">
        <w:rPr>
          <w:rFonts w:ascii="Arial" w:hAnsi="Arial" w:cs="Arial"/>
          <w:b w:val="0"/>
          <w:spacing w:val="-12"/>
          <w:sz w:val="24"/>
        </w:rPr>
        <w:t xml:space="preserve"> </w:t>
      </w:r>
      <w:r w:rsidRPr="004442D0">
        <w:rPr>
          <w:rFonts w:ascii="Arial" w:hAnsi="Arial" w:cs="Arial"/>
          <w:b w:val="0"/>
          <w:sz w:val="24"/>
        </w:rPr>
        <w:t>cristales</w:t>
      </w:r>
      <w:r w:rsidRPr="004442D0">
        <w:rPr>
          <w:rFonts w:ascii="Arial" w:hAnsi="Arial" w:cs="Arial"/>
          <w:b w:val="0"/>
          <w:spacing w:val="-10"/>
          <w:sz w:val="24"/>
        </w:rPr>
        <w:t xml:space="preserve"> </w:t>
      </w:r>
      <w:r w:rsidRPr="004442D0">
        <w:rPr>
          <w:rFonts w:ascii="Arial" w:hAnsi="Arial" w:cs="Arial"/>
          <w:b w:val="0"/>
          <w:sz w:val="24"/>
        </w:rPr>
        <w:t>es</w:t>
      </w:r>
      <w:r w:rsidRPr="004442D0">
        <w:rPr>
          <w:rFonts w:ascii="Arial" w:hAnsi="Arial" w:cs="Arial"/>
          <w:b w:val="0"/>
          <w:spacing w:val="-13"/>
          <w:sz w:val="24"/>
        </w:rPr>
        <w:t xml:space="preserve"> </w:t>
      </w:r>
      <w:r w:rsidRPr="004442D0">
        <w:rPr>
          <w:rFonts w:ascii="Arial" w:hAnsi="Arial" w:cs="Arial"/>
          <w:b w:val="0"/>
          <w:sz w:val="24"/>
        </w:rPr>
        <w:t>mismo empleado para la recristalización y debe usarse la menor cantidad posible para evitar pérdidas por disolución.</w:t>
      </w:r>
      <w:r w:rsidRPr="004442D0">
        <w:rPr>
          <w:rFonts w:ascii="Arial" w:hAnsi="Arial" w:cs="Arial"/>
          <w:b w:val="0"/>
          <w:spacing w:val="-15"/>
          <w:sz w:val="24"/>
        </w:rPr>
        <w:t xml:space="preserve"> </w:t>
      </w:r>
      <w:r w:rsidRPr="004442D0">
        <w:rPr>
          <w:rFonts w:ascii="Arial" w:hAnsi="Arial" w:cs="Arial"/>
          <w:b w:val="0"/>
          <w:sz w:val="24"/>
        </w:rPr>
        <w:t>Se</w:t>
      </w:r>
      <w:r w:rsidRPr="004442D0">
        <w:rPr>
          <w:rFonts w:ascii="Arial" w:hAnsi="Arial" w:cs="Arial"/>
          <w:b w:val="0"/>
          <w:spacing w:val="-16"/>
          <w:sz w:val="24"/>
        </w:rPr>
        <w:t xml:space="preserve"> </w:t>
      </w:r>
      <w:r w:rsidRPr="004442D0">
        <w:rPr>
          <w:rFonts w:ascii="Arial" w:hAnsi="Arial" w:cs="Arial"/>
          <w:b w:val="0"/>
          <w:sz w:val="24"/>
        </w:rPr>
        <w:t>debe</w:t>
      </w:r>
      <w:r w:rsidRPr="004442D0">
        <w:rPr>
          <w:rFonts w:ascii="Arial" w:hAnsi="Arial" w:cs="Arial"/>
          <w:b w:val="0"/>
          <w:spacing w:val="-14"/>
          <w:sz w:val="24"/>
        </w:rPr>
        <w:t xml:space="preserve"> </w:t>
      </w:r>
      <w:r w:rsidRPr="004442D0">
        <w:rPr>
          <w:rFonts w:ascii="Arial" w:hAnsi="Arial" w:cs="Arial"/>
          <w:b w:val="0"/>
          <w:sz w:val="24"/>
        </w:rPr>
        <w:t>de</w:t>
      </w:r>
      <w:r w:rsidRPr="004442D0">
        <w:rPr>
          <w:rFonts w:ascii="Arial" w:hAnsi="Arial" w:cs="Arial"/>
          <w:b w:val="0"/>
          <w:spacing w:val="-15"/>
          <w:sz w:val="24"/>
        </w:rPr>
        <w:t xml:space="preserve"> </w:t>
      </w:r>
      <w:r w:rsidRPr="004442D0">
        <w:rPr>
          <w:rFonts w:ascii="Arial" w:hAnsi="Arial" w:cs="Arial"/>
          <w:b w:val="0"/>
          <w:sz w:val="24"/>
        </w:rPr>
        <w:t>interrumpir</w:t>
      </w:r>
      <w:r w:rsidRPr="004442D0">
        <w:rPr>
          <w:rFonts w:ascii="Arial" w:hAnsi="Arial" w:cs="Arial"/>
          <w:b w:val="0"/>
          <w:spacing w:val="-16"/>
          <w:sz w:val="24"/>
        </w:rPr>
        <w:t xml:space="preserve"> </w:t>
      </w:r>
      <w:r w:rsidRPr="004442D0">
        <w:rPr>
          <w:rFonts w:ascii="Arial" w:hAnsi="Arial" w:cs="Arial"/>
          <w:b w:val="0"/>
          <w:sz w:val="24"/>
        </w:rPr>
        <w:t>la</w:t>
      </w:r>
      <w:r w:rsidRPr="004442D0">
        <w:rPr>
          <w:rFonts w:ascii="Arial" w:hAnsi="Arial" w:cs="Arial"/>
          <w:b w:val="0"/>
          <w:spacing w:val="-16"/>
          <w:sz w:val="24"/>
        </w:rPr>
        <w:t xml:space="preserve"> </w:t>
      </w:r>
      <w:r w:rsidRPr="004442D0">
        <w:rPr>
          <w:rFonts w:ascii="Arial" w:hAnsi="Arial" w:cs="Arial"/>
          <w:b w:val="0"/>
          <w:sz w:val="24"/>
        </w:rPr>
        <w:t>succión</w:t>
      </w:r>
      <w:r w:rsidRPr="004442D0">
        <w:rPr>
          <w:rFonts w:ascii="Arial" w:hAnsi="Arial" w:cs="Arial"/>
          <w:b w:val="0"/>
          <w:spacing w:val="-15"/>
          <w:sz w:val="24"/>
        </w:rPr>
        <w:t xml:space="preserve"> </w:t>
      </w:r>
      <w:r w:rsidRPr="004442D0">
        <w:rPr>
          <w:rFonts w:ascii="Arial" w:hAnsi="Arial" w:cs="Arial"/>
          <w:b w:val="0"/>
          <w:sz w:val="24"/>
        </w:rPr>
        <w:t>cuando</w:t>
      </w:r>
      <w:r w:rsidRPr="004442D0">
        <w:rPr>
          <w:rFonts w:ascii="Arial" w:hAnsi="Arial" w:cs="Arial"/>
          <w:b w:val="0"/>
          <w:spacing w:val="-15"/>
          <w:sz w:val="24"/>
        </w:rPr>
        <w:t xml:space="preserve"> </w:t>
      </w:r>
      <w:r w:rsidRPr="004442D0">
        <w:rPr>
          <w:rFonts w:ascii="Arial" w:hAnsi="Arial" w:cs="Arial"/>
          <w:b w:val="0"/>
          <w:sz w:val="24"/>
        </w:rPr>
        <w:t>se</w:t>
      </w:r>
      <w:r w:rsidRPr="004442D0">
        <w:rPr>
          <w:rFonts w:ascii="Arial" w:hAnsi="Arial" w:cs="Arial"/>
          <w:b w:val="0"/>
          <w:spacing w:val="-16"/>
          <w:sz w:val="24"/>
        </w:rPr>
        <w:t xml:space="preserve"> </w:t>
      </w:r>
      <w:r w:rsidRPr="004442D0">
        <w:rPr>
          <w:rFonts w:ascii="Arial" w:hAnsi="Arial" w:cs="Arial"/>
          <w:b w:val="0"/>
          <w:sz w:val="24"/>
        </w:rPr>
        <w:t>lavan</w:t>
      </w:r>
      <w:r w:rsidRPr="004442D0">
        <w:rPr>
          <w:rFonts w:ascii="Arial" w:hAnsi="Arial" w:cs="Arial"/>
          <w:b w:val="0"/>
          <w:spacing w:val="-15"/>
          <w:sz w:val="24"/>
        </w:rPr>
        <w:t xml:space="preserve"> </w:t>
      </w:r>
      <w:r w:rsidRPr="004442D0">
        <w:rPr>
          <w:rFonts w:ascii="Arial" w:hAnsi="Arial" w:cs="Arial"/>
          <w:b w:val="0"/>
          <w:sz w:val="24"/>
        </w:rPr>
        <w:t>los</w:t>
      </w:r>
      <w:r w:rsidRPr="004442D0">
        <w:rPr>
          <w:rFonts w:ascii="Arial" w:hAnsi="Arial" w:cs="Arial"/>
          <w:b w:val="0"/>
          <w:spacing w:val="-13"/>
          <w:sz w:val="24"/>
        </w:rPr>
        <w:t xml:space="preserve"> </w:t>
      </w:r>
      <w:r w:rsidRPr="004442D0">
        <w:rPr>
          <w:rFonts w:ascii="Arial" w:hAnsi="Arial" w:cs="Arial"/>
          <w:b w:val="0"/>
          <w:sz w:val="24"/>
        </w:rPr>
        <w:t>cristales</w:t>
      </w:r>
      <w:r w:rsidRPr="004442D0">
        <w:rPr>
          <w:rFonts w:ascii="Arial" w:hAnsi="Arial" w:cs="Arial"/>
          <w:b w:val="0"/>
          <w:spacing w:val="-8"/>
          <w:sz w:val="24"/>
        </w:rPr>
        <w:t xml:space="preserve"> </w:t>
      </w:r>
      <w:r w:rsidRPr="004442D0">
        <w:rPr>
          <w:rFonts w:ascii="Arial" w:hAnsi="Arial" w:cs="Arial"/>
          <w:b w:val="0"/>
          <w:sz w:val="24"/>
        </w:rPr>
        <w:t>es</w:t>
      </w:r>
      <w:r w:rsidRPr="004442D0">
        <w:rPr>
          <w:rFonts w:ascii="Arial" w:hAnsi="Arial" w:cs="Arial"/>
          <w:b w:val="0"/>
          <w:spacing w:val="-15"/>
          <w:sz w:val="24"/>
        </w:rPr>
        <w:t xml:space="preserve"> </w:t>
      </w:r>
      <w:r w:rsidRPr="004442D0">
        <w:rPr>
          <w:rFonts w:ascii="Arial" w:hAnsi="Arial" w:cs="Arial"/>
          <w:b w:val="0"/>
          <w:sz w:val="24"/>
        </w:rPr>
        <w:t>importante</w:t>
      </w:r>
      <w:r w:rsidRPr="004442D0">
        <w:rPr>
          <w:rFonts w:ascii="Arial" w:hAnsi="Arial" w:cs="Arial"/>
          <w:b w:val="0"/>
          <w:spacing w:val="-16"/>
          <w:sz w:val="24"/>
        </w:rPr>
        <w:t xml:space="preserve"> </w:t>
      </w:r>
      <w:r w:rsidRPr="004442D0">
        <w:rPr>
          <w:rFonts w:ascii="Arial" w:hAnsi="Arial" w:cs="Arial"/>
          <w:b w:val="0"/>
          <w:sz w:val="24"/>
        </w:rPr>
        <w:t>hume</w:t>
      </w:r>
      <w:r>
        <w:rPr>
          <w:rFonts w:ascii="Arial" w:hAnsi="Arial" w:cs="Arial"/>
          <w:b w:val="0"/>
          <w:sz w:val="24"/>
        </w:rPr>
        <w:t xml:space="preserve">decer los cristales que se encuentran </w:t>
      </w:r>
      <w:r w:rsidRPr="004442D0">
        <w:rPr>
          <w:rFonts w:ascii="Arial" w:hAnsi="Arial" w:cs="Arial"/>
          <w:b w:val="0"/>
          <w:sz w:val="24"/>
        </w:rPr>
        <w:t>en</w:t>
      </w:r>
      <w:r>
        <w:rPr>
          <w:rFonts w:ascii="Arial" w:hAnsi="Arial" w:cs="Arial"/>
          <w:b w:val="0"/>
          <w:sz w:val="24"/>
        </w:rPr>
        <w:t xml:space="preserve"> el embudo con el solvente frio</w:t>
      </w:r>
      <w:r w:rsidRPr="004442D0">
        <w:rPr>
          <w:rFonts w:ascii="Arial" w:hAnsi="Arial" w:cs="Arial"/>
          <w:b w:val="0"/>
          <w:sz w:val="24"/>
        </w:rPr>
        <w:t>.</w:t>
      </w:r>
      <w:r>
        <w:rPr>
          <w:rFonts w:ascii="Arial" w:hAnsi="Arial" w:cs="Arial"/>
          <w:b w:val="0"/>
          <w:sz w:val="24"/>
        </w:rPr>
        <w:t xml:space="preserve"> </w:t>
      </w:r>
      <w:r w:rsidRPr="004442D0">
        <w:rPr>
          <w:rFonts w:ascii="Arial" w:hAnsi="Arial" w:cs="Arial"/>
          <w:b w:val="0"/>
          <w:sz w:val="24"/>
        </w:rPr>
        <w:t>Los cristales obtenidos por recri</w:t>
      </w:r>
      <w:r>
        <w:rPr>
          <w:rFonts w:ascii="Arial" w:hAnsi="Arial" w:cs="Arial"/>
          <w:b w:val="0"/>
          <w:sz w:val="24"/>
        </w:rPr>
        <w:t>stalización tienen disolvente ad</w:t>
      </w:r>
      <w:r w:rsidRPr="004442D0">
        <w:rPr>
          <w:rFonts w:ascii="Arial" w:hAnsi="Arial" w:cs="Arial"/>
          <w:b w:val="0"/>
          <w:sz w:val="24"/>
        </w:rPr>
        <w:t>sorbido. El secado de sólidos se puede</w:t>
      </w:r>
      <w:r w:rsidRPr="004442D0">
        <w:rPr>
          <w:rFonts w:ascii="Arial" w:hAnsi="Arial" w:cs="Arial"/>
          <w:b w:val="0"/>
          <w:spacing w:val="-8"/>
          <w:sz w:val="24"/>
        </w:rPr>
        <w:t xml:space="preserve"> </w:t>
      </w:r>
      <w:r w:rsidRPr="004442D0">
        <w:rPr>
          <w:rFonts w:ascii="Arial" w:hAnsi="Arial" w:cs="Arial"/>
          <w:b w:val="0"/>
          <w:sz w:val="24"/>
        </w:rPr>
        <w:t>realizar</w:t>
      </w:r>
      <w:r w:rsidRPr="004442D0">
        <w:rPr>
          <w:rFonts w:ascii="Arial" w:hAnsi="Arial" w:cs="Arial"/>
          <w:b w:val="0"/>
          <w:spacing w:val="-7"/>
          <w:sz w:val="24"/>
        </w:rPr>
        <w:t xml:space="preserve"> </w:t>
      </w:r>
      <w:r w:rsidRPr="004442D0">
        <w:rPr>
          <w:rFonts w:ascii="Arial" w:hAnsi="Arial" w:cs="Arial"/>
          <w:b w:val="0"/>
          <w:sz w:val="24"/>
        </w:rPr>
        <w:t>en</w:t>
      </w:r>
      <w:r w:rsidRPr="004442D0">
        <w:rPr>
          <w:rFonts w:ascii="Arial" w:hAnsi="Arial" w:cs="Arial"/>
          <w:b w:val="0"/>
          <w:spacing w:val="-6"/>
          <w:sz w:val="24"/>
        </w:rPr>
        <w:t xml:space="preserve"> </w:t>
      </w:r>
      <w:r w:rsidRPr="004442D0">
        <w:rPr>
          <w:rFonts w:ascii="Arial" w:hAnsi="Arial" w:cs="Arial"/>
          <w:b w:val="0"/>
          <w:sz w:val="24"/>
        </w:rPr>
        <w:t>una</w:t>
      </w:r>
      <w:r w:rsidRPr="004442D0">
        <w:rPr>
          <w:rFonts w:ascii="Arial" w:hAnsi="Arial" w:cs="Arial"/>
          <w:b w:val="0"/>
          <w:spacing w:val="-7"/>
          <w:sz w:val="24"/>
        </w:rPr>
        <w:t xml:space="preserve"> </w:t>
      </w:r>
      <w:r w:rsidRPr="004442D0">
        <w:rPr>
          <w:rFonts w:ascii="Arial" w:hAnsi="Arial" w:cs="Arial"/>
          <w:b w:val="0"/>
          <w:sz w:val="24"/>
        </w:rPr>
        <w:t>estufa</w:t>
      </w:r>
      <w:r w:rsidRPr="004442D0">
        <w:rPr>
          <w:rFonts w:ascii="Arial" w:hAnsi="Arial" w:cs="Arial"/>
          <w:b w:val="0"/>
          <w:spacing w:val="-7"/>
          <w:sz w:val="24"/>
        </w:rPr>
        <w:t xml:space="preserve"> </w:t>
      </w:r>
      <w:r w:rsidRPr="004442D0">
        <w:rPr>
          <w:rFonts w:ascii="Arial" w:hAnsi="Arial" w:cs="Arial"/>
          <w:b w:val="0"/>
          <w:sz w:val="24"/>
        </w:rPr>
        <w:t>a</w:t>
      </w:r>
      <w:r w:rsidRPr="004442D0">
        <w:rPr>
          <w:rFonts w:ascii="Arial" w:hAnsi="Arial" w:cs="Arial"/>
          <w:b w:val="0"/>
          <w:spacing w:val="-7"/>
          <w:sz w:val="24"/>
        </w:rPr>
        <w:t xml:space="preserve"> </w:t>
      </w:r>
      <w:r w:rsidRPr="004442D0">
        <w:rPr>
          <w:rFonts w:ascii="Arial" w:hAnsi="Arial" w:cs="Arial"/>
          <w:b w:val="0"/>
          <w:sz w:val="24"/>
        </w:rPr>
        <w:t>temperaturas</w:t>
      </w:r>
      <w:r w:rsidRPr="004442D0">
        <w:rPr>
          <w:rFonts w:ascii="Arial" w:hAnsi="Arial" w:cs="Arial"/>
          <w:b w:val="0"/>
          <w:spacing w:val="-5"/>
          <w:sz w:val="24"/>
        </w:rPr>
        <w:t xml:space="preserve"> </w:t>
      </w:r>
      <w:r w:rsidRPr="004442D0">
        <w:rPr>
          <w:rFonts w:ascii="Arial" w:hAnsi="Arial" w:cs="Arial"/>
          <w:b w:val="0"/>
          <w:sz w:val="24"/>
        </w:rPr>
        <w:t>mayores</w:t>
      </w:r>
      <w:r w:rsidRPr="004442D0">
        <w:rPr>
          <w:rFonts w:ascii="Arial" w:hAnsi="Arial" w:cs="Arial"/>
          <w:b w:val="0"/>
          <w:spacing w:val="-6"/>
          <w:sz w:val="24"/>
        </w:rPr>
        <w:t xml:space="preserve"> </w:t>
      </w:r>
      <w:r w:rsidRPr="004442D0">
        <w:rPr>
          <w:rFonts w:ascii="Arial" w:hAnsi="Arial" w:cs="Arial"/>
          <w:b w:val="0"/>
          <w:sz w:val="24"/>
        </w:rPr>
        <w:t>a</w:t>
      </w:r>
      <w:r w:rsidRPr="004442D0">
        <w:rPr>
          <w:rFonts w:ascii="Arial" w:hAnsi="Arial" w:cs="Arial"/>
          <w:b w:val="0"/>
          <w:spacing w:val="-7"/>
          <w:sz w:val="24"/>
        </w:rPr>
        <w:t xml:space="preserve"> </w:t>
      </w:r>
      <w:r w:rsidRPr="004442D0">
        <w:rPr>
          <w:rFonts w:ascii="Arial" w:hAnsi="Arial" w:cs="Arial"/>
          <w:b w:val="0"/>
          <w:sz w:val="24"/>
        </w:rPr>
        <w:t>la</w:t>
      </w:r>
      <w:r w:rsidRPr="004442D0">
        <w:rPr>
          <w:rFonts w:ascii="Arial" w:hAnsi="Arial" w:cs="Arial"/>
          <w:b w:val="0"/>
          <w:spacing w:val="-7"/>
          <w:sz w:val="24"/>
        </w:rPr>
        <w:t xml:space="preserve"> </w:t>
      </w:r>
      <w:r w:rsidRPr="004442D0">
        <w:rPr>
          <w:rFonts w:ascii="Arial" w:hAnsi="Arial" w:cs="Arial"/>
          <w:b w:val="0"/>
          <w:sz w:val="24"/>
        </w:rPr>
        <w:t>temperatura</w:t>
      </w:r>
      <w:r w:rsidRPr="004442D0">
        <w:rPr>
          <w:rFonts w:ascii="Arial" w:hAnsi="Arial" w:cs="Arial"/>
          <w:b w:val="0"/>
          <w:spacing w:val="-6"/>
          <w:sz w:val="24"/>
        </w:rPr>
        <w:t xml:space="preserve"> </w:t>
      </w:r>
      <w:r w:rsidRPr="004442D0">
        <w:rPr>
          <w:rFonts w:ascii="Arial" w:hAnsi="Arial" w:cs="Arial"/>
          <w:b w:val="0"/>
          <w:sz w:val="24"/>
        </w:rPr>
        <w:t>ambiente</w:t>
      </w:r>
      <w:r w:rsidRPr="004442D0">
        <w:rPr>
          <w:rFonts w:ascii="Arial" w:hAnsi="Arial" w:cs="Arial"/>
          <w:b w:val="0"/>
          <w:spacing w:val="-7"/>
          <w:sz w:val="24"/>
        </w:rPr>
        <w:t xml:space="preserve"> </w:t>
      </w:r>
      <w:r w:rsidRPr="004442D0">
        <w:rPr>
          <w:rFonts w:ascii="Arial" w:hAnsi="Arial" w:cs="Arial"/>
          <w:b w:val="0"/>
          <w:sz w:val="24"/>
        </w:rPr>
        <w:t>o</w:t>
      </w:r>
      <w:r w:rsidRPr="004442D0">
        <w:rPr>
          <w:rFonts w:ascii="Arial" w:hAnsi="Arial" w:cs="Arial"/>
          <w:b w:val="0"/>
          <w:spacing w:val="-6"/>
          <w:sz w:val="24"/>
        </w:rPr>
        <w:t xml:space="preserve"> </w:t>
      </w:r>
      <w:r w:rsidRPr="004442D0">
        <w:rPr>
          <w:rFonts w:ascii="Arial" w:hAnsi="Arial" w:cs="Arial"/>
          <w:b w:val="0"/>
          <w:sz w:val="24"/>
        </w:rPr>
        <w:t>secarse</w:t>
      </w:r>
      <w:r w:rsidRPr="004442D0">
        <w:rPr>
          <w:rFonts w:ascii="Arial" w:hAnsi="Arial" w:cs="Arial"/>
          <w:b w:val="0"/>
          <w:spacing w:val="-8"/>
          <w:sz w:val="24"/>
        </w:rPr>
        <w:t xml:space="preserve"> </w:t>
      </w:r>
      <w:r w:rsidRPr="004442D0">
        <w:rPr>
          <w:rFonts w:ascii="Arial" w:hAnsi="Arial" w:cs="Arial"/>
          <w:b w:val="0"/>
          <w:sz w:val="24"/>
        </w:rPr>
        <w:t>al</w:t>
      </w:r>
      <w:r w:rsidRPr="004442D0">
        <w:rPr>
          <w:rFonts w:ascii="Arial" w:hAnsi="Arial" w:cs="Arial"/>
          <w:b w:val="0"/>
          <w:spacing w:val="-6"/>
          <w:sz w:val="24"/>
        </w:rPr>
        <w:t xml:space="preserve"> </w:t>
      </w:r>
      <w:r w:rsidRPr="004442D0">
        <w:rPr>
          <w:rFonts w:ascii="Arial" w:hAnsi="Arial" w:cs="Arial"/>
          <w:b w:val="0"/>
          <w:sz w:val="24"/>
        </w:rPr>
        <w:t>aire,</w:t>
      </w:r>
      <w:r w:rsidRPr="004442D0">
        <w:rPr>
          <w:rFonts w:ascii="Arial" w:hAnsi="Arial" w:cs="Arial"/>
          <w:b w:val="0"/>
          <w:spacing w:val="-6"/>
          <w:sz w:val="24"/>
        </w:rPr>
        <w:t xml:space="preserve"> </w:t>
      </w:r>
      <w:r w:rsidRPr="004442D0">
        <w:rPr>
          <w:rFonts w:ascii="Arial" w:hAnsi="Arial" w:cs="Arial"/>
          <w:b w:val="0"/>
          <w:sz w:val="24"/>
        </w:rPr>
        <w:t>en lugar cálido y protegidos del polvo del ambiente o se puede usar un desecador con conexión al vacío.</w:t>
      </w:r>
    </w:p>
    <w:p w:rsidR="00463ECC" w:rsidRDefault="00463ECC" w:rsidP="00463ECC">
      <w:pPr>
        <w:pStyle w:val="Prrafodelista"/>
        <w:tabs>
          <w:tab w:val="left" w:pos="1199"/>
        </w:tabs>
        <w:spacing w:before="160"/>
        <w:ind w:left="0"/>
        <w:rPr>
          <w:rFonts w:ascii="Arial" w:hAnsi="Arial" w:cs="Arial"/>
          <w:i/>
          <w:sz w:val="24"/>
          <w:szCs w:val="24"/>
        </w:rPr>
      </w:pPr>
      <w:r>
        <w:rPr>
          <w:rFonts w:ascii="Arial" w:hAnsi="Arial" w:cs="Arial"/>
          <w:i/>
          <w:sz w:val="24"/>
          <w:szCs w:val="24"/>
        </w:rPr>
        <w:t xml:space="preserve">3.6 </w:t>
      </w:r>
      <w:r w:rsidRPr="004442D0">
        <w:rPr>
          <w:rFonts w:ascii="Arial" w:hAnsi="Arial" w:cs="Arial"/>
          <w:i/>
          <w:sz w:val="24"/>
          <w:szCs w:val="24"/>
        </w:rPr>
        <w:t>Determinac</w:t>
      </w:r>
      <w:r>
        <w:rPr>
          <w:rFonts w:ascii="Arial" w:hAnsi="Arial" w:cs="Arial"/>
          <w:i/>
          <w:sz w:val="24"/>
          <w:szCs w:val="24"/>
        </w:rPr>
        <w:t>ión del rendimiento</w:t>
      </w:r>
    </w:p>
    <w:p w:rsidR="00463ECC" w:rsidRPr="004442D0" w:rsidRDefault="00463ECC" w:rsidP="00463ECC">
      <w:pPr>
        <w:pStyle w:val="Prrafodelista"/>
        <w:tabs>
          <w:tab w:val="left" w:pos="1199"/>
        </w:tabs>
        <w:spacing w:before="160"/>
        <w:ind w:left="0"/>
        <w:rPr>
          <w:rFonts w:ascii="Arial" w:hAnsi="Arial" w:cs="Arial"/>
          <w:i/>
          <w:sz w:val="24"/>
          <w:szCs w:val="24"/>
        </w:rPr>
      </w:pPr>
      <w:r>
        <w:rPr>
          <w:rFonts w:ascii="Arial" w:hAnsi="Arial" w:cs="Arial"/>
          <w:i/>
          <w:sz w:val="24"/>
          <w:szCs w:val="24"/>
        </w:rPr>
        <w:lastRenderedPageBreak/>
        <w:t xml:space="preserve">3.6.1 Cálculo experimental </w:t>
      </w:r>
    </w:p>
    <w:p w:rsidR="00463ECC" w:rsidRDefault="00463ECC" w:rsidP="00463ECC">
      <w:pPr>
        <w:pStyle w:val="Textoindependiente"/>
        <w:spacing w:before="185" w:line="256" w:lineRule="auto"/>
        <w:ind w:left="118" w:right="195"/>
        <w:jc w:val="both"/>
        <w:rPr>
          <w:rFonts w:ascii="Arial" w:hAnsi="Arial" w:cs="Arial"/>
          <w:b w:val="0"/>
          <w:sz w:val="24"/>
        </w:rPr>
      </w:pPr>
      <w:r>
        <w:rPr>
          <w:rFonts w:ascii="Arial" w:hAnsi="Arial" w:cs="Arial"/>
          <w:b w:val="0"/>
          <w:sz w:val="24"/>
        </w:rPr>
        <w:t>Una vez realizado</w:t>
      </w:r>
      <w:r w:rsidRPr="004442D0">
        <w:rPr>
          <w:rFonts w:ascii="Arial" w:hAnsi="Arial" w:cs="Arial"/>
          <w:b w:val="0"/>
          <w:sz w:val="24"/>
        </w:rPr>
        <w:t xml:space="preserve"> el proceso de recristalización, es importante calcular el rendimiento, es decir,</w:t>
      </w:r>
      <w:r w:rsidRPr="004442D0">
        <w:rPr>
          <w:rFonts w:ascii="Arial" w:hAnsi="Arial" w:cs="Arial"/>
          <w:b w:val="0"/>
          <w:spacing w:val="-23"/>
          <w:sz w:val="24"/>
        </w:rPr>
        <w:t xml:space="preserve"> </w:t>
      </w:r>
      <w:r w:rsidRPr="004442D0">
        <w:rPr>
          <w:rFonts w:ascii="Arial" w:hAnsi="Arial" w:cs="Arial"/>
          <w:b w:val="0"/>
          <w:sz w:val="24"/>
        </w:rPr>
        <w:t>la recuperación de masa respecto de la masa inicial sometida al proceso de</w:t>
      </w:r>
      <w:r w:rsidRPr="004442D0">
        <w:rPr>
          <w:rFonts w:ascii="Arial" w:hAnsi="Arial" w:cs="Arial"/>
          <w:b w:val="0"/>
          <w:spacing w:val="-8"/>
          <w:sz w:val="24"/>
        </w:rPr>
        <w:t xml:space="preserve"> </w:t>
      </w:r>
      <w:r w:rsidRPr="004442D0">
        <w:rPr>
          <w:rFonts w:ascii="Arial" w:hAnsi="Arial" w:cs="Arial"/>
          <w:b w:val="0"/>
          <w:sz w:val="24"/>
        </w:rPr>
        <w:t>recristalización.</w:t>
      </w:r>
    </w:p>
    <w:p w:rsidR="00463ECC" w:rsidRDefault="00463ECC" w:rsidP="00463ECC">
      <w:pPr>
        <w:pStyle w:val="Textoindependiente"/>
        <w:spacing w:before="185" w:line="256" w:lineRule="auto"/>
        <w:ind w:left="118" w:right="195"/>
        <w:jc w:val="center"/>
      </w:pPr>
      <w:r>
        <w:rPr>
          <w:noProof/>
          <w:lang w:val="en-US"/>
        </w:rPr>
        <mc:AlternateContent>
          <mc:Choice Requires="wps">
            <w:drawing>
              <wp:anchor distT="45720" distB="45720" distL="114300" distR="114300" simplePos="0" relativeHeight="251792384" behindDoc="0" locked="0" layoutInCell="1" allowOverlap="1" wp14:anchorId="4B466C01" wp14:editId="67AA4FAE">
                <wp:simplePos x="0" y="0"/>
                <wp:positionH relativeFrom="column">
                  <wp:posOffset>5649595</wp:posOffset>
                </wp:positionH>
                <wp:positionV relativeFrom="paragraph">
                  <wp:posOffset>151130</wp:posOffset>
                </wp:positionV>
                <wp:extent cx="423545" cy="266700"/>
                <wp:effectExtent l="0" t="635" r="0" b="0"/>
                <wp:wrapSquare wrapText="bothSides"/>
                <wp:docPr id="45" name="Cuadro de texto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54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20C0F" w:rsidRDefault="00C20C0F" w:rsidP="00463ECC">
                            <w:pPr>
                              <w:jc w:val="right"/>
                            </w:pPr>
                            <w:r>
                              <w:rPr>
                                <w:rFonts w:ascii="Arial" w:hAnsi="Arial" w:cs="Arial"/>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B466C01" id="Cuadro de texto 45" o:spid="_x0000_s1030" type="#_x0000_t202" style="position:absolute;left:0;text-align:left;margin-left:444.85pt;margin-top:11.9pt;width:33.35pt;height:21pt;z-index:251792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81jiQIAAB4FAAAOAAAAZHJzL2Uyb0RvYy54bWysVNuO0zAQfUfiHyy/d3MhvSRqutq2BCEt&#10;F2nhA9zYaSwST7DdJgvi3xk7bSkLSAiRB8f2jI/PzJzx8nZoG3IU2khQOY1uQkqEKoFLtc/pxw/F&#10;ZEGJsUxx1oASOX0Uht6unj9b9l0mYqih4UITBFEm67uc1tZ2WRCYshYtMzfQCYXGCnTLLC71PuCa&#10;9YjeNkEchrOgB807DaUwBne3o5GuPH5VidK+qyojLGlyitysH7Ufd24MVkuW7TXralmeaLB/YNEy&#10;qfDSC9SWWUYOWv4C1cpSg4HK3pTQBlBVshQ+BowmCp9E81CzTvhYMDmmu6TJ/D/Y8u3xvSaS5zSZ&#10;UqJYizXaHBjXQLggVgwWCFowTX1nMvR+6NDfDmsYsNw+ZNPdQ/nJEAWbmqm9uNMa+lowjjQjdzK4&#10;OjriGAey698Ax+vYwYIHGirduhxiVgiiY7keLyVCIqTEzSR+MXVMSzTFs9k89CUMWHY+3GljXwlo&#10;iZvkVKMCPDg73hvryLDs7OLuMtBIXsim8Qu9320aTY4M1VL4z/N/4tYo56zAHRsRxx3kiHc4m2Pr&#10;q/81jeIkXMfppJgt5pOkSKaTdB4uJmGUrtNZmKTJtvjmCEZJVkvOhbqXSpyVGCV/V+lTT4wa8lok&#10;fU7TaTwdK/THIEP//S7IVlpszEa2OV1cnFjm6vpScQybZZbJZpwHP9P3WcYcnP8+K14FrvCjBOyw&#10;G0bdncW1A/6IstCAZcPa46OCkxr0F0p6bNCcms8HpgUlzWuF0kqjJHEd7RfJdB7jQl9bdtcWpkqE&#10;yqmlZJxu7PgKHDot9zXedBbzHcqxkF4qTrcjq5OIsQl9TKcHw3X59dp7/XjWVt8BAAD//wMAUEsD&#10;BBQABgAIAAAAIQBmg1qg3wAAAAkBAAAPAAAAZHJzL2Rvd25yZXYueG1sTI/LTsMwEEX3SPyDNUjs&#10;qEMhIQ2ZVBUVGxZIFKR26caTOCJ+yHbT8PeYFV2O5ujec+v1rEc2kQ+DNQj3iwwYmdbKwfQIX5+v&#10;dyWwEIWRYrSGEH4owLq5vqpFJe3ZfNC0iz1LISZUAkHF6CrOQ6tIi7Cwjkz6ddZrEdPpey69OKdw&#10;PfJllhVci8GkBiUcvShqv3cnjbDXapBb/37o5Dht37pN7mbvEG9v5s0zsEhz/IfhTz+pQ5OcjvZk&#10;ZGAjQlmunhKKsHxIExKwyotHYEeEIi+BNzW/XND8AgAA//8DAFBLAQItABQABgAIAAAAIQC2gziS&#10;/gAAAOEBAAATAAAAAAAAAAAAAAAAAAAAAABbQ29udGVudF9UeXBlc10ueG1sUEsBAi0AFAAGAAgA&#10;AAAhADj9If/WAAAAlAEAAAsAAAAAAAAAAAAAAAAALwEAAF9yZWxzLy5yZWxzUEsBAi0AFAAGAAgA&#10;AAAhAB1nzWOJAgAAHgUAAA4AAAAAAAAAAAAAAAAALgIAAGRycy9lMm9Eb2MueG1sUEsBAi0AFAAG&#10;AAgAAAAhAGaDWqDfAAAACQEAAA8AAAAAAAAAAAAAAAAA4wQAAGRycy9kb3ducmV2LnhtbFBLBQYA&#10;AAAABAAEAPMAAADvBQAAAAA=&#10;" stroked="f">
                <v:textbox style="mso-fit-shape-to-text:t">
                  <w:txbxContent>
                    <w:p w:rsidR="00C20C0F" w:rsidRDefault="00C20C0F" w:rsidP="00463ECC">
                      <w:pPr>
                        <w:jc w:val="right"/>
                      </w:pPr>
                      <w:r>
                        <w:rPr>
                          <w:rFonts w:ascii="Arial" w:hAnsi="Arial" w:cs="Arial"/>
                        </w:rPr>
                        <w:t>(1)</w:t>
                      </w:r>
                    </w:p>
                  </w:txbxContent>
                </v:textbox>
                <w10:wrap type="square"/>
              </v:shape>
            </w:pict>
          </mc:Fallback>
        </mc:AlternateContent>
      </w:r>
      <m:oMath>
        <m:r>
          <m:rPr>
            <m:sty m:val="bi"/>
          </m:rPr>
          <w:rPr>
            <w:rFonts w:ascii="Cambria Math" w:hAnsi="Cambria Math"/>
          </w:rPr>
          <m:t xml:space="preserve">Rendimiento %= </m:t>
        </m:r>
        <m:f>
          <m:fPr>
            <m:ctrlPr>
              <w:rPr>
                <w:rFonts w:ascii="Cambria Math" w:eastAsia="Times New Roman" w:hAnsi="Cambria Math"/>
                <w:i/>
              </w:rPr>
            </m:ctrlPr>
          </m:fPr>
          <m:num>
            <m:r>
              <m:rPr>
                <m:sty m:val="bi"/>
              </m:rPr>
              <w:rPr>
                <w:rFonts w:ascii="Cambria Math" w:hAnsi="Cambria Math"/>
              </w:rPr>
              <m:t>masa final obtenida</m:t>
            </m:r>
          </m:num>
          <m:den>
            <m:r>
              <m:rPr>
                <m:sty m:val="bi"/>
              </m:rPr>
              <w:rPr>
                <w:rFonts w:ascii="Cambria Math" w:hAnsi="Cambria Math"/>
              </w:rPr>
              <m:t>masa inicial</m:t>
            </m:r>
          </m:den>
        </m:f>
        <m:r>
          <m:rPr>
            <m:sty m:val="bi"/>
          </m:rPr>
          <w:rPr>
            <w:rFonts w:ascii="Cambria Math" w:hAnsi="Cambria Math"/>
          </w:rPr>
          <m:t xml:space="preserve"> ×100</m:t>
        </m:r>
      </m:oMath>
      <w:r>
        <w:rPr>
          <w:rFonts w:ascii="Arial" w:hAnsi="Arial" w:cs="Arial"/>
          <w:sz w:val="24"/>
        </w:rPr>
        <w:t xml:space="preserve">     </w:t>
      </w:r>
    </w:p>
    <w:p w:rsidR="00463ECC" w:rsidRDefault="00463ECC" w:rsidP="00463ECC">
      <w:pPr>
        <w:pStyle w:val="Textoindependiente"/>
        <w:spacing w:before="185" w:line="256" w:lineRule="auto"/>
        <w:ind w:left="118" w:right="195"/>
        <w:jc w:val="both"/>
        <w:rPr>
          <w:rFonts w:ascii="Arial" w:hAnsi="Arial" w:cs="Arial"/>
          <w:b w:val="0"/>
          <w:sz w:val="24"/>
        </w:rPr>
      </w:pPr>
    </w:p>
    <w:p w:rsidR="00463ECC" w:rsidRPr="002B49E0" w:rsidRDefault="00463ECC" w:rsidP="00463ECC">
      <w:pPr>
        <w:pStyle w:val="Prrafodelista"/>
        <w:tabs>
          <w:tab w:val="left" w:pos="1559"/>
        </w:tabs>
        <w:spacing w:before="145"/>
        <w:ind w:left="0"/>
        <w:rPr>
          <w:rFonts w:ascii="Arial" w:hAnsi="Arial" w:cs="Arial"/>
          <w:i/>
          <w:sz w:val="24"/>
          <w:szCs w:val="24"/>
        </w:rPr>
      </w:pPr>
      <w:r w:rsidRPr="002B49E0">
        <w:rPr>
          <w:rFonts w:ascii="Arial" w:hAnsi="Arial" w:cs="Arial"/>
          <w:i/>
          <w:sz w:val="24"/>
          <w:szCs w:val="24"/>
        </w:rPr>
        <w:t>3.6.2 Calculo</w:t>
      </w:r>
      <w:r w:rsidRPr="002B49E0">
        <w:rPr>
          <w:rFonts w:ascii="Arial" w:hAnsi="Arial" w:cs="Arial"/>
          <w:i/>
          <w:spacing w:val="-1"/>
          <w:sz w:val="24"/>
          <w:szCs w:val="24"/>
        </w:rPr>
        <w:t xml:space="preserve"> </w:t>
      </w:r>
      <w:r w:rsidRPr="002B49E0">
        <w:rPr>
          <w:rFonts w:ascii="Arial" w:hAnsi="Arial" w:cs="Arial"/>
          <w:i/>
          <w:sz w:val="24"/>
          <w:szCs w:val="24"/>
        </w:rPr>
        <w:t>teórico</w:t>
      </w:r>
    </w:p>
    <w:p w:rsidR="00463ECC" w:rsidRDefault="00463ECC" w:rsidP="00463ECC">
      <w:pPr>
        <w:pStyle w:val="Textoindependiente"/>
        <w:spacing w:before="185" w:line="256" w:lineRule="auto"/>
        <w:ind w:left="118" w:right="200"/>
        <w:jc w:val="both"/>
        <w:rPr>
          <w:rFonts w:ascii="Arial" w:hAnsi="Arial" w:cs="Arial"/>
          <w:b w:val="0"/>
          <w:sz w:val="24"/>
        </w:rPr>
      </w:pPr>
      <w:r w:rsidRPr="00B7269F">
        <w:rPr>
          <w:rFonts w:ascii="Arial" w:hAnsi="Arial" w:cs="Arial"/>
          <w:b w:val="0"/>
          <w:sz w:val="24"/>
        </w:rPr>
        <w:t>Si la muestra es conocida y se cuenta con los datos de solubilidad en frio y en caliente, se podrá calcular</w:t>
      </w:r>
      <w:r w:rsidRPr="00B7269F">
        <w:rPr>
          <w:rFonts w:ascii="Arial" w:hAnsi="Arial" w:cs="Arial"/>
          <w:b w:val="0"/>
          <w:spacing w:val="-12"/>
          <w:sz w:val="24"/>
        </w:rPr>
        <w:t xml:space="preserve"> </w:t>
      </w:r>
      <w:r w:rsidRPr="00B7269F">
        <w:rPr>
          <w:rFonts w:ascii="Arial" w:hAnsi="Arial" w:cs="Arial"/>
          <w:b w:val="0"/>
          <w:sz w:val="24"/>
        </w:rPr>
        <w:t>que</w:t>
      </w:r>
      <w:r w:rsidRPr="00B7269F">
        <w:rPr>
          <w:rFonts w:ascii="Arial" w:hAnsi="Arial" w:cs="Arial"/>
          <w:b w:val="0"/>
          <w:spacing w:val="-12"/>
          <w:sz w:val="24"/>
        </w:rPr>
        <w:t xml:space="preserve"> </w:t>
      </w:r>
      <w:r w:rsidRPr="00B7269F">
        <w:rPr>
          <w:rFonts w:ascii="Arial" w:hAnsi="Arial" w:cs="Arial"/>
          <w:b w:val="0"/>
          <w:sz w:val="24"/>
        </w:rPr>
        <w:t>cantidad</w:t>
      </w:r>
      <w:r w:rsidRPr="00B7269F">
        <w:rPr>
          <w:rFonts w:ascii="Arial" w:hAnsi="Arial" w:cs="Arial"/>
          <w:b w:val="0"/>
          <w:spacing w:val="-10"/>
          <w:sz w:val="24"/>
        </w:rPr>
        <w:t xml:space="preserve"> </w:t>
      </w:r>
      <w:r w:rsidRPr="00B7269F">
        <w:rPr>
          <w:rFonts w:ascii="Arial" w:hAnsi="Arial" w:cs="Arial"/>
          <w:b w:val="0"/>
          <w:sz w:val="24"/>
        </w:rPr>
        <w:t>exacta</w:t>
      </w:r>
      <w:r w:rsidRPr="00B7269F">
        <w:rPr>
          <w:rFonts w:ascii="Arial" w:hAnsi="Arial" w:cs="Arial"/>
          <w:b w:val="0"/>
          <w:spacing w:val="-13"/>
          <w:sz w:val="24"/>
        </w:rPr>
        <w:t xml:space="preserve"> </w:t>
      </w:r>
      <w:r w:rsidRPr="00B7269F">
        <w:rPr>
          <w:rFonts w:ascii="Arial" w:hAnsi="Arial" w:cs="Arial"/>
          <w:b w:val="0"/>
          <w:sz w:val="24"/>
        </w:rPr>
        <w:t>de</w:t>
      </w:r>
      <w:r w:rsidRPr="00B7269F">
        <w:rPr>
          <w:rFonts w:ascii="Arial" w:hAnsi="Arial" w:cs="Arial"/>
          <w:b w:val="0"/>
          <w:spacing w:val="-14"/>
          <w:sz w:val="24"/>
        </w:rPr>
        <w:t xml:space="preserve"> </w:t>
      </w:r>
      <w:r w:rsidRPr="00B7269F">
        <w:rPr>
          <w:rFonts w:ascii="Arial" w:hAnsi="Arial" w:cs="Arial"/>
          <w:b w:val="0"/>
          <w:sz w:val="24"/>
        </w:rPr>
        <w:t>solvente</w:t>
      </w:r>
      <w:r w:rsidRPr="00B7269F">
        <w:rPr>
          <w:rFonts w:ascii="Arial" w:hAnsi="Arial" w:cs="Arial"/>
          <w:b w:val="0"/>
          <w:spacing w:val="-14"/>
          <w:sz w:val="24"/>
        </w:rPr>
        <w:t xml:space="preserve"> </w:t>
      </w:r>
      <w:r w:rsidRPr="00B7269F">
        <w:rPr>
          <w:rFonts w:ascii="Arial" w:hAnsi="Arial" w:cs="Arial"/>
          <w:b w:val="0"/>
          <w:sz w:val="24"/>
        </w:rPr>
        <w:t>se</w:t>
      </w:r>
      <w:r w:rsidRPr="00B7269F">
        <w:rPr>
          <w:rFonts w:ascii="Arial" w:hAnsi="Arial" w:cs="Arial"/>
          <w:b w:val="0"/>
          <w:spacing w:val="-11"/>
          <w:sz w:val="24"/>
        </w:rPr>
        <w:t xml:space="preserve"> </w:t>
      </w:r>
      <w:r w:rsidRPr="00B7269F">
        <w:rPr>
          <w:rFonts w:ascii="Arial" w:hAnsi="Arial" w:cs="Arial"/>
          <w:b w:val="0"/>
          <w:sz w:val="24"/>
        </w:rPr>
        <w:t>requerirá</w:t>
      </w:r>
      <w:r w:rsidRPr="00B7269F">
        <w:rPr>
          <w:rFonts w:ascii="Arial" w:hAnsi="Arial" w:cs="Arial"/>
          <w:b w:val="0"/>
          <w:spacing w:val="-14"/>
          <w:sz w:val="24"/>
        </w:rPr>
        <w:t xml:space="preserve"> </w:t>
      </w:r>
      <w:r w:rsidRPr="00B7269F">
        <w:rPr>
          <w:rFonts w:ascii="Arial" w:hAnsi="Arial" w:cs="Arial"/>
          <w:b w:val="0"/>
          <w:sz w:val="24"/>
        </w:rPr>
        <w:t>para</w:t>
      </w:r>
      <w:r w:rsidRPr="00B7269F">
        <w:rPr>
          <w:rFonts w:ascii="Arial" w:hAnsi="Arial" w:cs="Arial"/>
          <w:b w:val="0"/>
          <w:spacing w:val="-15"/>
          <w:sz w:val="24"/>
        </w:rPr>
        <w:t xml:space="preserve"> </w:t>
      </w:r>
      <w:r w:rsidRPr="00B7269F">
        <w:rPr>
          <w:rFonts w:ascii="Arial" w:hAnsi="Arial" w:cs="Arial"/>
          <w:b w:val="0"/>
          <w:sz w:val="24"/>
        </w:rPr>
        <w:t>la</w:t>
      </w:r>
      <w:r w:rsidRPr="00B7269F">
        <w:rPr>
          <w:rFonts w:ascii="Arial" w:hAnsi="Arial" w:cs="Arial"/>
          <w:b w:val="0"/>
          <w:spacing w:val="-11"/>
          <w:sz w:val="24"/>
        </w:rPr>
        <w:t xml:space="preserve"> </w:t>
      </w:r>
      <w:r w:rsidRPr="00B7269F">
        <w:rPr>
          <w:rFonts w:ascii="Arial" w:hAnsi="Arial" w:cs="Arial"/>
          <w:b w:val="0"/>
          <w:sz w:val="24"/>
        </w:rPr>
        <w:t>disolución</w:t>
      </w:r>
      <w:r w:rsidRPr="00B7269F">
        <w:rPr>
          <w:rFonts w:ascii="Arial" w:hAnsi="Arial" w:cs="Arial"/>
          <w:b w:val="0"/>
          <w:spacing w:val="-13"/>
          <w:sz w:val="24"/>
        </w:rPr>
        <w:t xml:space="preserve"> </w:t>
      </w:r>
      <w:r w:rsidRPr="00B7269F">
        <w:rPr>
          <w:rFonts w:ascii="Arial" w:hAnsi="Arial" w:cs="Arial"/>
          <w:b w:val="0"/>
          <w:sz w:val="24"/>
        </w:rPr>
        <w:t>total</w:t>
      </w:r>
      <w:r w:rsidRPr="00B7269F">
        <w:rPr>
          <w:rFonts w:ascii="Arial" w:hAnsi="Arial" w:cs="Arial"/>
          <w:b w:val="0"/>
          <w:spacing w:val="-13"/>
          <w:sz w:val="24"/>
        </w:rPr>
        <w:t xml:space="preserve"> </w:t>
      </w:r>
      <w:r w:rsidRPr="00B7269F">
        <w:rPr>
          <w:rFonts w:ascii="Arial" w:hAnsi="Arial" w:cs="Arial"/>
          <w:b w:val="0"/>
          <w:sz w:val="24"/>
        </w:rPr>
        <w:t>en</w:t>
      </w:r>
      <w:r w:rsidRPr="00B7269F">
        <w:rPr>
          <w:rFonts w:ascii="Arial" w:hAnsi="Arial" w:cs="Arial"/>
          <w:b w:val="0"/>
          <w:spacing w:val="-12"/>
          <w:sz w:val="24"/>
        </w:rPr>
        <w:t xml:space="preserve"> </w:t>
      </w:r>
      <w:r w:rsidRPr="00B7269F">
        <w:rPr>
          <w:rFonts w:ascii="Arial" w:hAnsi="Arial" w:cs="Arial"/>
          <w:b w:val="0"/>
          <w:sz w:val="24"/>
        </w:rPr>
        <w:t>caliente,</w:t>
      </w:r>
      <w:r w:rsidRPr="00B7269F">
        <w:rPr>
          <w:rFonts w:ascii="Arial" w:hAnsi="Arial" w:cs="Arial"/>
          <w:b w:val="0"/>
          <w:spacing w:val="-7"/>
          <w:sz w:val="24"/>
        </w:rPr>
        <w:t xml:space="preserve"> </w:t>
      </w:r>
      <w:r w:rsidRPr="00B7269F">
        <w:rPr>
          <w:rFonts w:ascii="Arial" w:hAnsi="Arial" w:cs="Arial"/>
          <w:b w:val="0"/>
          <w:sz w:val="24"/>
        </w:rPr>
        <w:t>y</w:t>
      </w:r>
      <w:r w:rsidRPr="00B7269F">
        <w:rPr>
          <w:rFonts w:ascii="Arial" w:hAnsi="Arial" w:cs="Arial"/>
          <w:b w:val="0"/>
          <w:spacing w:val="-18"/>
          <w:sz w:val="24"/>
        </w:rPr>
        <w:t xml:space="preserve"> </w:t>
      </w:r>
      <w:r w:rsidRPr="00B7269F">
        <w:rPr>
          <w:rFonts w:ascii="Arial" w:hAnsi="Arial" w:cs="Arial"/>
          <w:b w:val="0"/>
          <w:sz w:val="24"/>
        </w:rPr>
        <w:t>que</w:t>
      </w:r>
      <w:r w:rsidRPr="00B7269F">
        <w:rPr>
          <w:rFonts w:ascii="Arial" w:hAnsi="Arial" w:cs="Arial"/>
          <w:b w:val="0"/>
          <w:spacing w:val="-13"/>
          <w:sz w:val="24"/>
        </w:rPr>
        <w:t xml:space="preserve"> </w:t>
      </w:r>
      <w:r w:rsidRPr="00B7269F">
        <w:rPr>
          <w:rFonts w:ascii="Arial" w:hAnsi="Arial" w:cs="Arial"/>
          <w:b w:val="0"/>
          <w:sz w:val="24"/>
        </w:rPr>
        <w:t>masa de muestra precipitara al enfriar (será la masa final que se</w:t>
      </w:r>
      <w:r w:rsidRPr="00B7269F">
        <w:rPr>
          <w:rFonts w:ascii="Arial" w:hAnsi="Arial" w:cs="Arial"/>
          <w:b w:val="0"/>
          <w:spacing w:val="-3"/>
          <w:sz w:val="24"/>
        </w:rPr>
        <w:t xml:space="preserve"> </w:t>
      </w:r>
      <w:r w:rsidRPr="00B7269F">
        <w:rPr>
          <w:rFonts w:ascii="Arial" w:hAnsi="Arial" w:cs="Arial"/>
          <w:b w:val="0"/>
          <w:sz w:val="24"/>
        </w:rPr>
        <w:t>recupere).</w:t>
      </w:r>
    </w:p>
    <w:p w:rsidR="00463ECC" w:rsidRPr="00B7269F" w:rsidRDefault="00463ECC" w:rsidP="00463ECC">
      <w:pPr>
        <w:pStyle w:val="Textoindependiente"/>
        <w:spacing w:before="185" w:line="256" w:lineRule="auto"/>
        <w:ind w:left="118" w:right="200"/>
        <w:jc w:val="both"/>
        <w:rPr>
          <w:rFonts w:ascii="Arial" w:hAnsi="Arial" w:cs="Arial"/>
          <w:b w:val="0"/>
          <w:sz w:val="24"/>
        </w:rPr>
      </w:pPr>
    </w:p>
    <w:p w:rsidR="00463ECC" w:rsidRPr="00DE0580" w:rsidRDefault="00463ECC" w:rsidP="00257D10">
      <w:pPr>
        <w:pStyle w:val="Prrafodelista"/>
        <w:widowControl w:val="0"/>
        <w:numPr>
          <w:ilvl w:val="0"/>
          <w:numId w:val="27"/>
        </w:numPr>
        <w:tabs>
          <w:tab w:val="left" w:pos="839"/>
        </w:tabs>
        <w:autoSpaceDE w:val="0"/>
        <w:autoSpaceDN w:val="0"/>
        <w:spacing w:before="1" w:after="0" w:line="240" w:lineRule="auto"/>
        <w:ind w:hanging="361"/>
        <w:contextualSpacing w:val="0"/>
        <w:rPr>
          <w:rFonts w:ascii="Arial" w:hAnsi="Arial" w:cs="Arial"/>
          <w:sz w:val="24"/>
        </w:rPr>
      </w:pPr>
      <w:r w:rsidRPr="00DE0580">
        <w:rPr>
          <w:rFonts w:ascii="Arial" w:hAnsi="Arial" w:cs="Arial"/>
          <w:sz w:val="24"/>
          <w:szCs w:val="24"/>
        </w:rPr>
        <w:t>Mínima cantidad de solvente para</w:t>
      </w:r>
      <w:r w:rsidRPr="00DE0580">
        <w:rPr>
          <w:rFonts w:ascii="Arial" w:hAnsi="Arial" w:cs="Arial"/>
          <w:spacing w:val="-4"/>
          <w:sz w:val="24"/>
          <w:szCs w:val="24"/>
        </w:rPr>
        <w:t xml:space="preserve"> </w:t>
      </w:r>
      <w:r w:rsidRPr="00DE0580">
        <w:rPr>
          <w:rFonts w:ascii="Arial" w:hAnsi="Arial" w:cs="Arial"/>
          <w:sz w:val="24"/>
          <w:szCs w:val="24"/>
        </w:rPr>
        <w:t>recristalizar</w:t>
      </w:r>
    </w:p>
    <w:p w:rsidR="00463ECC" w:rsidRPr="00DE0580" w:rsidRDefault="00463ECC" w:rsidP="00463ECC">
      <w:pPr>
        <w:pStyle w:val="Prrafodelista"/>
        <w:tabs>
          <w:tab w:val="left" w:pos="839"/>
        </w:tabs>
        <w:spacing w:before="1"/>
        <w:rPr>
          <w:rFonts w:ascii="Arial" w:hAnsi="Arial" w:cs="Arial"/>
          <w:sz w:val="24"/>
        </w:rPr>
      </w:pPr>
      <w:r>
        <w:rPr>
          <w:noProof/>
          <w:lang w:val="en-US"/>
        </w:rPr>
        <mc:AlternateContent>
          <mc:Choice Requires="wps">
            <w:drawing>
              <wp:anchor distT="45720" distB="45720" distL="114300" distR="114300" simplePos="0" relativeHeight="251793408" behindDoc="0" locked="0" layoutInCell="1" allowOverlap="1" wp14:anchorId="0BBFC6F1" wp14:editId="573FC146">
                <wp:simplePos x="0" y="0"/>
                <wp:positionH relativeFrom="column">
                  <wp:posOffset>5717540</wp:posOffset>
                </wp:positionH>
                <wp:positionV relativeFrom="paragraph">
                  <wp:posOffset>120650</wp:posOffset>
                </wp:positionV>
                <wp:extent cx="521970" cy="302895"/>
                <wp:effectExtent l="0" t="2540" r="3175" b="0"/>
                <wp:wrapSquare wrapText="bothSides"/>
                <wp:docPr id="44" name="Cuadro de texto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 cy="302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20C0F" w:rsidRPr="00C42D72" w:rsidRDefault="00C20C0F" w:rsidP="00463ECC">
                            <w:pPr>
                              <w:rPr>
                                <w:rFonts w:ascii="Arial" w:hAnsi="Arial" w:cs="Arial"/>
                                <w:lang w:val="es-MX"/>
                              </w:rPr>
                            </w:pPr>
                            <w:r w:rsidRPr="00C42D72">
                              <w:rPr>
                                <w:rFonts w:ascii="Arial" w:hAnsi="Arial" w:cs="Arial"/>
                                <w:lang w:val="es-MX"/>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BFC6F1" id="Cuadro de texto 44" o:spid="_x0000_s1031" type="#_x0000_t202" style="position:absolute;left:0;text-align:left;margin-left:450.2pt;margin-top:9.5pt;width:41.1pt;height:23.85pt;z-index:251793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GncigIAAB4FAAAOAAAAZHJzL2Uyb0RvYy54bWysVNtu2zAMfR+wfxD0nvoyp42NOEWTLsOA&#10;7gJ0+wBFkmNhtuhJSuyu2L+PkpM03QUYhvlBlkTq6JA81Px6aBuyl8Yq0CVNLmJKpOYglN6W9POn&#10;9WRGiXVMC9aAliV9kJZeL16+mPddIVOooRHSEATRtui7ktbOdUUUWV7LltkL6KRGYwWmZQ6XZhsJ&#10;w3pEb5sojePLqAcjOgNcWou7t6ORLgJ+VUnuPlSVlY40JUVuLowmjBs/Ros5K7aGdbXiBxrsH1i0&#10;TGm89AR1yxwjO6N+gWoVN2Chchcc2giqSnEZYsBokvinaO5r1skQCybHdqc02f8Hy9/vPxqiREmz&#10;jBLNWqzRaseEASIkcXJwQNCCaeo7W6D3fYf+bljCgOUOIdvuDvgXSzSsaqa38sYY6GvJBNJM/Mno&#10;7OiIYz3Ipn8HAq9jOwcBaKhM63OIWSGIjuV6OJUIiRCOm9M0ya/QwtH0Kk5n+TTcwIrj4c5Y90ZC&#10;S/ykpAYVEMDZ/s46T4YVRxd/l4VGibVqmrAw282qMWTPUC3r8B3Qn7k12jtr8MdGxHEHOeId3ubZ&#10;huo/5kmaxcs0n6wvZ1eTbJ1NJ8h/NomTfJlfxlme3a6/e4JJVtRKCKnvlJZHJSbZ31X60BOjhoIW&#10;SV/SfJpOxwr9Mcg4fL8LslUOG7NRbUlnJydW+Lq+1gLDZoVjqhnn0XP6IcuYg+M/ZCWowBd+lIAb&#10;NkPQXSigV8gGxAPKwgCWDSuMjwpOajDfKOmxQUtqv+6YkZQ0bzVKK0+yzHd0WGTTqxQX5tyyObcw&#10;zRGqpI6Scbpy4yuw64za1njTKGYNNyjHSgWpPLE6iBibMMR0eDB8l5+vg9fTs7b4AQAA//8DAFBL&#10;AwQUAAYACAAAACEAmErlGd0AAAAJAQAADwAAAGRycy9kb3ducmV2LnhtbEyPy07DMBBF90j8gzWV&#10;2CDqUBWnCXEqQAKx7eMDJvE0iRrbUew26d8zrGA5ukd3zi22s+3FlcbQeafheZmAIFd707lGw/Hw&#10;+bQBESI6g713pOFGAbbl/V2BufGT29F1HxvBJS7kqKGNccilDHVLFsPSD+Q4O/nRYuRzbKQZceJy&#10;28tVkihpsXP8ocWBPlqqz/uL1XD6nh5fsqn6isd0t1bv2KWVv2n9sJjfXkFEmuMfDL/6rA4lO1X+&#10;4kwQvYYsSdaMcpDxJgayzUqBqDQolYIsC/l/QfkDAAD//wMAUEsBAi0AFAAGAAgAAAAhALaDOJL+&#10;AAAA4QEAABMAAAAAAAAAAAAAAAAAAAAAAFtDb250ZW50X1R5cGVzXS54bWxQSwECLQAUAAYACAAA&#10;ACEAOP0h/9YAAACUAQAACwAAAAAAAAAAAAAAAAAvAQAAX3JlbHMvLnJlbHNQSwECLQAUAAYACAAA&#10;ACEAsGhp3IoCAAAeBQAADgAAAAAAAAAAAAAAAAAuAgAAZHJzL2Uyb0RvYy54bWxQSwECLQAUAAYA&#10;CAAAACEAmErlGd0AAAAJAQAADwAAAAAAAAAAAAAAAADkBAAAZHJzL2Rvd25yZXYueG1sUEsFBgAA&#10;AAAEAAQA8wAAAO4FAAAAAA==&#10;" stroked="f">
                <v:textbox>
                  <w:txbxContent>
                    <w:p w:rsidR="00C20C0F" w:rsidRPr="00C42D72" w:rsidRDefault="00C20C0F" w:rsidP="00463ECC">
                      <w:pPr>
                        <w:rPr>
                          <w:rFonts w:ascii="Arial" w:hAnsi="Arial" w:cs="Arial"/>
                          <w:lang w:val="es-MX"/>
                        </w:rPr>
                      </w:pPr>
                      <w:r w:rsidRPr="00C42D72">
                        <w:rPr>
                          <w:rFonts w:ascii="Arial" w:hAnsi="Arial" w:cs="Arial"/>
                          <w:lang w:val="es-MX"/>
                        </w:rPr>
                        <w:t>(2)</w:t>
                      </w:r>
                    </w:p>
                  </w:txbxContent>
                </v:textbox>
                <w10:wrap type="square"/>
              </v:shape>
            </w:pict>
          </mc:Fallback>
        </mc:AlternateContent>
      </w:r>
    </w:p>
    <w:p w:rsidR="00463ECC" w:rsidRPr="00463ECC" w:rsidRDefault="00463ECC" w:rsidP="00463ECC">
      <w:pPr>
        <w:pStyle w:val="Prrafodelista"/>
        <w:tabs>
          <w:tab w:val="left" w:pos="839"/>
        </w:tabs>
        <w:spacing w:before="1"/>
        <w:jc w:val="center"/>
        <w:rPr>
          <w:rFonts w:ascii="Arial" w:hAnsi="Arial" w:cs="Arial"/>
          <w:sz w:val="24"/>
          <w:szCs w:val="24"/>
        </w:rPr>
      </w:pPr>
      <m:oMathPara>
        <m:oMath>
          <m:r>
            <w:rPr>
              <w:rFonts w:ascii="Cambria Math" w:hAnsi="Cambria Math"/>
            </w:rPr>
            <m:t xml:space="preserve">V= </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i</m:t>
                  </m:r>
                </m:sub>
              </m:sSub>
            </m:num>
            <m:den>
              <m:sSub>
                <m:sSubPr>
                  <m:ctrlPr>
                    <w:rPr>
                      <w:rFonts w:ascii="Cambria Math" w:hAnsi="Cambria Math"/>
                      <w:i/>
                    </w:rPr>
                  </m:ctrlPr>
                </m:sSubPr>
                <m:e>
                  <m:r>
                    <w:rPr>
                      <w:rFonts w:ascii="Cambria Math" w:hAnsi="Cambria Math"/>
                    </w:rPr>
                    <m:t>Sc</m:t>
                  </m:r>
                </m:e>
                <m:sub>
                  <m:r>
                    <w:rPr>
                      <w:rFonts w:ascii="Cambria Math" w:hAnsi="Cambria Math"/>
                    </w:rPr>
                    <m:t>i</m:t>
                  </m:r>
                </m:sub>
              </m:sSub>
            </m:den>
          </m:f>
        </m:oMath>
      </m:oMathPara>
    </w:p>
    <w:p w:rsidR="00463ECC" w:rsidRDefault="00463ECC" w:rsidP="00257D10">
      <w:pPr>
        <w:pStyle w:val="Prrafodelista"/>
        <w:widowControl w:val="0"/>
        <w:numPr>
          <w:ilvl w:val="0"/>
          <w:numId w:val="27"/>
        </w:numPr>
        <w:tabs>
          <w:tab w:val="left" w:pos="839"/>
        </w:tabs>
        <w:autoSpaceDE w:val="0"/>
        <w:autoSpaceDN w:val="0"/>
        <w:spacing w:before="232" w:after="0" w:line="240" w:lineRule="auto"/>
        <w:ind w:hanging="361"/>
        <w:contextualSpacing w:val="0"/>
        <w:rPr>
          <w:rFonts w:ascii="Arial" w:hAnsi="Arial" w:cs="Arial"/>
          <w:sz w:val="24"/>
          <w:szCs w:val="24"/>
        </w:rPr>
      </w:pPr>
      <w:r w:rsidRPr="00B7269F">
        <w:rPr>
          <w:rFonts w:ascii="Arial" w:hAnsi="Arial" w:cs="Arial"/>
          <w:sz w:val="24"/>
          <w:szCs w:val="24"/>
        </w:rPr>
        <w:t>Masa solubilizada al</w:t>
      </w:r>
      <w:r w:rsidRPr="00B7269F">
        <w:rPr>
          <w:rFonts w:ascii="Arial" w:hAnsi="Arial" w:cs="Arial"/>
          <w:spacing w:val="-3"/>
          <w:sz w:val="24"/>
          <w:szCs w:val="24"/>
        </w:rPr>
        <w:t xml:space="preserve"> </w:t>
      </w:r>
      <w:r w:rsidRPr="00B7269F">
        <w:rPr>
          <w:rFonts w:ascii="Arial" w:hAnsi="Arial" w:cs="Arial"/>
          <w:sz w:val="24"/>
          <w:szCs w:val="24"/>
        </w:rPr>
        <w:t>enfriar</w:t>
      </w:r>
    </w:p>
    <w:p w:rsidR="00463ECC" w:rsidRPr="00B7734C" w:rsidRDefault="00463ECC" w:rsidP="00463ECC">
      <w:pPr>
        <w:pStyle w:val="Prrafodelista"/>
        <w:tabs>
          <w:tab w:val="left" w:pos="839"/>
        </w:tabs>
        <w:spacing w:before="232"/>
        <w:jc w:val="center"/>
        <w:rPr>
          <w:rFonts w:ascii="Arial" w:hAnsi="Arial" w:cs="Arial"/>
          <w:sz w:val="24"/>
          <w:szCs w:val="24"/>
        </w:rPr>
      </w:pPr>
      <w:r>
        <w:rPr>
          <w:rFonts w:ascii="Arial" w:hAnsi="Arial" w:cs="Arial"/>
          <w:noProof/>
          <w:sz w:val="24"/>
          <w:szCs w:val="24"/>
          <w:lang w:val="en-US"/>
        </w:rPr>
        <mc:AlternateContent>
          <mc:Choice Requires="wps">
            <w:drawing>
              <wp:anchor distT="45720" distB="45720" distL="114300" distR="114300" simplePos="0" relativeHeight="251794432" behindDoc="0" locked="0" layoutInCell="1" allowOverlap="1" wp14:anchorId="43E67D56" wp14:editId="7C631D16">
                <wp:simplePos x="0" y="0"/>
                <wp:positionH relativeFrom="column">
                  <wp:posOffset>5734050</wp:posOffset>
                </wp:positionH>
                <wp:positionV relativeFrom="paragraph">
                  <wp:posOffset>38100</wp:posOffset>
                </wp:positionV>
                <wp:extent cx="521970" cy="302895"/>
                <wp:effectExtent l="0" t="0" r="0" b="2540"/>
                <wp:wrapSquare wrapText="bothSides"/>
                <wp:docPr id="43" name="Cuadro de texto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 cy="302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20C0F" w:rsidRPr="00C42D72" w:rsidRDefault="00C20C0F" w:rsidP="00463ECC">
                            <w:pPr>
                              <w:rPr>
                                <w:rFonts w:ascii="Arial" w:hAnsi="Arial" w:cs="Arial"/>
                                <w:lang w:val="es-MX"/>
                              </w:rPr>
                            </w:pPr>
                            <w:r>
                              <w:rPr>
                                <w:rFonts w:ascii="Arial" w:hAnsi="Arial" w:cs="Arial"/>
                                <w:lang w:val="es-MX"/>
                              </w:rPr>
                              <w:t>(3</w:t>
                            </w:r>
                            <w:r w:rsidRPr="00C42D72">
                              <w:rPr>
                                <w:rFonts w:ascii="Arial" w:hAnsi="Arial" w:cs="Arial"/>
                                <w:lang w:val="es-MX"/>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E67D56" id="Cuadro de texto 43" o:spid="_x0000_s1032" type="#_x0000_t202" style="position:absolute;left:0;text-align:left;margin-left:451.5pt;margin-top:3pt;width:41.1pt;height:23.85pt;z-index:25179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PsZiwIAAB4FAAAOAAAAZHJzL2Uyb0RvYy54bWysVNtu2zAMfR+wfxD0nvpSJ42NOEWbLsOA&#10;7gJ0+wDFkmNhsuhJSuxu2L+PkpM03QUYhvlBlkTq8JA80uJ6aBXZC2Ml6JImFzElQlfApd6W9NPH&#10;9WROiXVMc6ZAi5I+Ckuvly9fLPquECk0oLgwBEG0LfqupI1zXRFFtmpEy+wFdEKjsQbTModLs424&#10;YT2itypK43gW9WB4Z6AS1uLu3Wiky4Bf16Jy7+vaCkdUSZGbC6MJ48aP0XLBiq1hXSOrAw32Dyxa&#10;JjUGPUHdMcfIzshfoFpZGbBQu4sK2gjqWlYi5IDZJPFP2Tw0rBMhFyyO7U5lsv8Ptnq3/2CI5CXN&#10;LinRrMUerXaMGyBcECcGBwQtWKa+swV6P3To74ZbGLDdIWXb3UP12RINq4bprbgxBvpGMI40E38y&#10;Ojs64lgPsunfAsdwbOcgAA21aX0NsSoE0bFdj6cWIRFS4eY0TfIrtFRouozTeT4NEVhxPNwZ614L&#10;aImflNSgAgI4299b58mw4ujiY1lQkq+lUmFhtpuVMmTPUC3r8B3Qn7kp7Z01+GMj4riDHDGGt3m2&#10;ofvf8iTN4ts0n6xn86tJts6mE+Q/n8RJfpvP4izP7tbfPcEkKxrJudD3UoujEpPs7zp9uBOjhoIW&#10;SV/SfJpOxw79Mck4fL9LspUOL6aSbUnnJydW+L6+0hzTZoVjUo3z6Dn9UGWswfEfqhJU4Bs/SsAN&#10;myHobuaje4VsgD+iLAxg27DD+KjgpAHzlZIeL2hJ7ZcdM4IS9UajtPIky/yNDotsepXiwpxbNucW&#10;piuEKqmjZJyu3PgK7Dojtw1GGsWs4QblWMsglSdWBxHjJQw5HR4Mf8vP18Hr6Vlb/gAAAP//AwBQ&#10;SwMEFAAGAAgAAAAhAJGcCgPeAAAACAEAAA8AAABkcnMvZG93bnJldi54bWxMj8FOwzAQRO9I/IO1&#10;lbgg6tCSpAlxKkACcW3pB2zibRI1Xkex26R/jznR02g1q5k3xXY2vbjQ6DrLCp6XEQji2uqOGwWH&#10;n8+nDQjnkTX2lknBlRxsy/u7AnNtJ97RZe8bEULY5aig9X7IpXR1Swbd0g7EwTva0aAP59hIPeIU&#10;wk0vV1GUSIMdh4YWB/poqT7tz0bB8Xt6jLOp+vKHdPeSvGOXVvaq1MNifnsF4Wn2/8/whx/QoQxM&#10;lT2zdqJXkEXrsMUrSIIEP9vEKxCVgnidgiwLeTug/AUAAP//AwBQSwECLQAUAAYACAAAACEAtoM4&#10;kv4AAADhAQAAEwAAAAAAAAAAAAAAAAAAAAAAW0NvbnRlbnRfVHlwZXNdLnhtbFBLAQItABQABgAI&#10;AAAAIQA4/SH/1gAAAJQBAAALAAAAAAAAAAAAAAAAAC8BAABfcmVscy8ucmVsc1BLAQItABQABgAI&#10;AAAAIQD2GPsZiwIAAB4FAAAOAAAAAAAAAAAAAAAAAC4CAABkcnMvZTJvRG9jLnhtbFBLAQItABQA&#10;BgAIAAAAIQCRnAoD3gAAAAgBAAAPAAAAAAAAAAAAAAAAAOUEAABkcnMvZG93bnJldi54bWxQSwUG&#10;AAAAAAQABADzAAAA8AUAAAAA&#10;" stroked="f">
                <v:textbox>
                  <w:txbxContent>
                    <w:p w:rsidR="00C20C0F" w:rsidRPr="00C42D72" w:rsidRDefault="00C20C0F" w:rsidP="00463ECC">
                      <w:pPr>
                        <w:rPr>
                          <w:rFonts w:ascii="Arial" w:hAnsi="Arial" w:cs="Arial"/>
                          <w:lang w:val="es-MX"/>
                        </w:rPr>
                      </w:pPr>
                      <w:r>
                        <w:rPr>
                          <w:rFonts w:ascii="Arial" w:hAnsi="Arial" w:cs="Arial"/>
                          <w:lang w:val="es-MX"/>
                        </w:rPr>
                        <w:t>(3</w:t>
                      </w:r>
                      <w:r w:rsidRPr="00C42D72">
                        <w:rPr>
                          <w:rFonts w:ascii="Arial" w:hAnsi="Arial" w:cs="Arial"/>
                          <w:lang w:val="es-MX"/>
                        </w:rPr>
                        <w:t>)</w:t>
                      </w:r>
                    </w:p>
                  </w:txbxContent>
                </v:textbox>
                <w10:wrap type="square"/>
              </v:shape>
            </w:pict>
          </mc:Fallback>
        </mc:AlternateContent>
      </w:r>
      <m:oMath>
        <m:sSub>
          <m:sSubPr>
            <m:ctrlPr>
              <w:rPr>
                <w:rFonts w:ascii="Cambria Math" w:hAnsi="Cambria Math"/>
                <w:i/>
              </w:rPr>
            </m:ctrlPr>
          </m:sSubPr>
          <m:e>
            <m:r>
              <w:rPr>
                <w:rFonts w:ascii="Cambria Math" w:hAnsi="Cambria Math"/>
              </w:rPr>
              <m:t>masa</m:t>
            </m:r>
          </m:e>
          <m:sub>
            <m:r>
              <w:rPr>
                <w:rFonts w:ascii="Cambria Math" w:hAnsi="Cambria Math"/>
              </w:rPr>
              <m:t>sf</m:t>
            </m:r>
          </m:sub>
        </m:sSub>
        <m:r>
          <w:rPr>
            <w:rFonts w:ascii="Cambria Math" w:hAnsi="Cambria Math"/>
          </w:rPr>
          <m:t xml:space="preserve">=V × </m:t>
        </m:r>
        <m:sSub>
          <m:sSubPr>
            <m:ctrlPr>
              <w:rPr>
                <w:rFonts w:ascii="Cambria Math" w:hAnsi="Cambria Math"/>
                <w:i/>
              </w:rPr>
            </m:ctrlPr>
          </m:sSubPr>
          <m:e>
            <m:r>
              <w:rPr>
                <w:rFonts w:ascii="Cambria Math" w:hAnsi="Cambria Math"/>
              </w:rPr>
              <m:t>S</m:t>
            </m:r>
          </m:e>
          <m:sub>
            <m:r>
              <w:rPr>
                <w:rFonts w:ascii="Cambria Math" w:hAnsi="Cambria Math"/>
              </w:rPr>
              <m:t>f</m:t>
            </m:r>
          </m:sub>
        </m:sSub>
      </m:oMath>
    </w:p>
    <w:p w:rsidR="00463ECC" w:rsidRPr="00B7269F" w:rsidRDefault="00463ECC" w:rsidP="00463ECC">
      <w:pPr>
        <w:pStyle w:val="Textoindependiente"/>
        <w:rPr>
          <w:rFonts w:ascii="Arial" w:hAnsi="Arial" w:cs="Arial"/>
          <w:b w:val="0"/>
          <w:sz w:val="24"/>
        </w:rPr>
      </w:pPr>
    </w:p>
    <w:p w:rsidR="00463ECC" w:rsidRPr="00B7269F" w:rsidRDefault="00463ECC" w:rsidP="00463ECC">
      <w:pPr>
        <w:pStyle w:val="Textoindependiente"/>
        <w:spacing w:before="6"/>
        <w:rPr>
          <w:rFonts w:ascii="Arial" w:hAnsi="Arial" w:cs="Arial"/>
          <w:b w:val="0"/>
          <w:sz w:val="24"/>
        </w:rPr>
      </w:pPr>
    </w:p>
    <w:p w:rsidR="00463ECC" w:rsidRDefault="00463ECC" w:rsidP="00257D10">
      <w:pPr>
        <w:pStyle w:val="Prrafodelista"/>
        <w:widowControl w:val="0"/>
        <w:numPr>
          <w:ilvl w:val="0"/>
          <w:numId w:val="27"/>
        </w:numPr>
        <w:tabs>
          <w:tab w:val="left" w:pos="839"/>
        </w:tabs>
        <w:autoSpaceDE w:val="0"/>
        <w:autoSpaceDN w:val="0"/>
        <w:spacing w:after="0" w:line="240" w:lineRule="auto"/>
        <w:ind w:hanging="361"/>
        <w:contextualSpacing w:val="0"/>
        <w:rPr>
          <w:rFonts w:ascii="Arial" w:hAnsi="Arial" w:cs="Arial"/>
          <w:sz w:val="24"/>
          <w:szCs w:val="24"/>
        </w:rPr>
      </w:pPr>
      <w:r w:rsidRPr="00357050">
        <w:rPr>
          <w:rFonts w:ascii="Arial" w:hAnsi="Arial" w:cs="Arial"/>
          <w:sz w:val="24"/>
          <w:szCs w:val="24"/>
        </w:rPr>
        <w:t>Calculo del rendimiento, suponiendo que no hubo pérdidas</w:t>
      </w:r>
      <w:r w:rsidRPr="00357050">
        <w:rPr>
          <w:rFonts w:ascii="Arial" w:hAnsi="Arial" w:cs="Arial"/>
          <w:spacing w:val="-2"/>
          <w:sz w:val="24"/>
          <w:szCs w:val="24"/>
        </w:rPr>
        <w:t xml:space="preserve"> </w:t>
      </w:r>
      <w:r w:rsidRPr="00357050">
        <w:rPr>
          <w:rFonts w:ascii="Arial" w:hAnsi="Arial" w:cs="Arial"/>
          <w:sz w:val="24"/>
          <w:szCs w:val="24"/>
        </w:rPr>
        <w:t>experimentales</w:t>
      </w:r>
    </w:p>
    <w:p w:rsidR="00463ECC" w:rsidRPr="00357050" w:rsidRDefault="00463ECC" w:rsidP="00463ECC">
      <w:pPr>
        <w:pStyle w:val="Prrafodelista"/>
        <w:tabs>
          <w:tab w:val="left" w:pos="839"/>
        </w:tabs>
        <w:rPr>
          <w:rFonts w:ascii="Arial" w:hAnsi="Arial" w:cs="Arial"/>
          <w:sz w:val="24"/>
          <w:szCs w:val="24"/>
        </w:rPr>
      </w:pPr>
    </w:p>
    <w:p w:rsidR="00463ECC" w:rsidRPr="00B7269F" w:rsidRDefault="00463ECC" w:rsidP="00463ECC">
      <w:pPr>
        <w:pStyle w:val="Textoindependiente"/>
        <w:spacing w:before="8"/>
        <w:jc w:val="center"/>
        <w:rPr>
          <w:rFonts w:ascii="Arial" w:hAnsi="Arial" w:cs="Arial"/>
          <w:b w:val="0"/>
          <w:sz w:val="24"/>
        </w:rPr>
      </w:pPr>
      <w:r w:rsidRPr="00C42D72">
        <w:rPr>
          <w:rFonts w:eastAsia="Times New Roman"/>
          <w:noProof/>
          <w:sz w:val="24"/>
          <w:lang w:val="en-US"/>
        </w:rPr>
        <mc:AlternateContent>
          <mc:Choice Requires="wps">
            <w:drawing>
              <wp:anchor distT="45720" distB="45720" distL="114300" distR="114300" simplePos="0" relativeHeight="251795456" behindDoc="0" locked="0" layoutInCell="1" allowOverlap="1" wp14:anchorId="015FD4D3" wp14:editId="547451A2">
                <wp:simplePos x="0" y="0"/>
                <wp:positionH relativeFrom="column">
                  <wp:posOffset>5734050</wp:posOffset>
                </wp:positionH>
                <wp:positionV relativeFrom="paragraph">
                  <wp:posOffset>10160</wp:posOffset>
                </wp:positionV>
                <wp:extent cx="521970" cy="302895"/>
                <wp:effectExtent l="0" t="4445" r="0" b="0"/>
                <wp:wrapSquare wrapText="bothSides"/>
                <wp:docPr id="42" name="Cuadro de texto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 cy="302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20C0F" w:rsidRDefault="00C20C0F" w:rsidP="00463ECC">
                            <w:pPr>
                              <w:rPr>
                                <w:rFonts w:ascii="Arial" w:hAnsi="Arial" w:cs="Arial"/>
                                <w:lang w:val="es-MX"/>
                              </w:rPr>
                            </w:pPr>
                            <w:r>
                              <w:rPr>
                                <w:rFonts w:ascii="Arial" w:hAnsi="Arial" w:cs="Arial"/>
                                <w:lang w:val="es-MX"/>
                              </w:rPr>
                              <w:t>(4)</w:t>
                            </w:r>
                          </w:p>
                          <w:p w:rsidR="00C20C0F" w:rsidRDefault="00C20C0F" w:rsidP="00463ECC">
                            <w:pPr>
                              <w:rPr>
                                <w:rFonts w:ascii="Arial" w:hAnsi="Arial" w:cs="Arial"/>
                                <w:lang w:val="es-MX"/>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5FD4D3" id="Cuadro de texto 42" o:spid="_x0000_s1033" type="#_x0000_t202" style="position:absolute;left:0;text-align:left;margin-left:451.5pt;margin-top:.8pt;width:41.1pt;height:23.85pt;z-index:25179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3c0iwIAAB4FAAAOAAAAZHJzL2Uyb0RvYy54bWysVNtu2zAMfR+wfxD0nvoyp4mNOEWbLsOA&#10;7gJ0+wBFkmNhtuhJSuyu2L+PkpM03QUYhvlBlkTq8JA80uJqaBuyl8Yq0CVNLmJKpOYglN6W9POn&#10;9WROiXVMC9aAliV9kJZeLV++WPRdIVOooRHSEATRtui7ktbOdUUUWV7LltkL6KRGYwWmZQ6XZhsJ&#10;w3pEb5sojePLqAcjOgNcWou7t6ORLgN+VUnuPlSVlY40JUVuLowmjBs/RssFK7aGdbXiBxrsH1i0&#10;TGkMeoK6ZY6RnVG/QLWKG7BQuQsObQRVpbgMOWA2SfxTNvc162TIBYtju1OZ7P+D5e/3Hw1RoqRZ&#10;SolmLfZotWPCABGSODk4IGjBMvWdLdD7vkN/N9zAgO0OKdvuDvgXSzSsaqa38toY6GvJBNJM/Mno&#10;7OiIYz3Ipn8HAsOxnYMANFSm9TXEqhBEx3Y9nFqERAjHzWma5DO0cDS9itN5Pg0RWHE83Bnr3kho&#10;iZ+U1KACAjjb31nnybDi6OJjWWiUWKumCQuz3awaQ/YM1bIO3wH9mVujvbMGf2xEHHeQI8bwNs82&#10;dP8xT9IsvknzyfpyPptk62w6Qf7zSZzkN/llnOXZ7fq7J5hkRa2EkPpOaXlUYpL9XacPd2LUUNAi&#10;6UuaT9Pp2KE/JhmH73dJtsrhxWxUW9L5yYkVvq+vtcC0WeGYasZ59Jx+qDLW4PgPVQkq8I0fJeCG&#10;zRB0N/PRvUI2IB5QFgawbdhhfFRwUoP5RkmPF7Sk9uuOGUlJ81ajtPIky/yNDotsOktxYc4tm3ML&#10;0xyhSuooGacrN74Cu86obY2RRjFruEY5VipI5YnVQcR4CUNOhwfD3/LzdfB6etaWPwAAAP//AwBQ&#10;SwMEFAAGAAgAAAAhAPAsX9/dAAAACAEAAA8AAABkcnMvZG93bnJldi54bWxMj91Og0AQhe9NfIfN&#10;mHhj7GJ/aKEsjZpovG3tAwwwBVJ2lrDbQt/e8UovJ9/knO9ku8l26kqDbx0beJlFoIhLV7VcGzh+&#10;fzxvQPmAXGHnmAzcyMMuv7/LMK3cyHu6HkKtJIR9igaaEPpUa182ZNHPXE8s7OQGi0HOodbVgKOE&#10;207PoyjWFluWhgZ7em+oPB8u1sDpa3xaJWPxGY7r/TJ+w3ZduJsxjw/T6xZUoCn8PcOvvqhDLk6F&#10;u3DlVWcgiRayJQiIQQlPNqs5qMLAMlmAzjP9f0D+AwAA//8DAFBLAQItABQABgAIAAAAIQC2gziS&#10;/gAAAOEBAAATAAAAAAAAAAAAAAAAAAAAAABbQ29udGVudF9UeXBlc10ueG1sUEsBAi0AFAAGAAgA&#10;AAAhADj9If/WAAAAlAEAAAsAAAAAAAAAAAAAAAAALwEAAF9yZWxzLy5yZWxzUEsBAi0AFAAGAAgA&#10;AAAhAFpvdzSLAgAAHgUAAA4AAAAAAAAAAAAAAAAALgIAAGRycy9lMm9Eb2MueG1sUEsBAi0AFAAG&#10;AAgAAAAhAPAsX9/dAAAACAEAAA8AAAAAAAAAAAAAAAAA5QQAAGRycy9kb3ducmV2LnhtbFBLBQYA&#10;AAAABAAEAPMAAADvBQAAAAA=&#10;" stroked="f">
                <v:textbox>
                  <w:txbxContent>
                    <w:p w:rsidR="00C20C0F" w:rsidRDefault="00C20C0F" w:rsidP="00463ECC">
                      <w:pPr>
                        <w:rPr>
                          <w:rFonts w:ascii="Arial" w:hAnsi="Arial" w:cs="Arial"/>
                          <w:lang w:val="es-MX"/>
                        </w:rPr>
                      </w:pPr>
                      <w:r>
                        <w:rPr>
                          <w:rFonts w:ascii="Arial" w:hAnsi="Arial" w:cs="Arial"/>
                          <w:lang w:val="es-MX"/>
                        </w:rPr>
                        <w:t>(4)</w:t>
                      </w:r>
                    </w:p>
                    <w:p w:rsidR="00C20C0F" w:rsidRDefault="00C20C0F" w:rsidP="00463ECC">
                      <w:pPr>
                        <w:rPr>
                          <w:rFonts w:ascii="Arial" w:hAnsi="Arial" w:cs="Arial"/>
                          <w:lang w:val="es-MX"/>
                        </w:rPr>
                      </w:pPr>
                    </w:p>
                  </w:txbxContent>
                </v:textbox>
                <w10:wrap type="square"/>
              </v:shape>
            </w:pict>
          </mc:Fallback>
        </mc:AlternateContent>
      </w:r>
      <m:oMath>
        <m:r>
          <m:rPr>
            <m:sty m:val="bi"/>
          </m:rPr>
          <w:rPr>
            <w:rFonts w:ascii="Cambria Math" w:hAnsi="Cambria Math"/>
          </w:rPr>
          <m:t>Rendimiento %=</m:t>
        </m:r>
        <m:d>
          <m:dPr>
            <m:ctrlPr>
              <w:rPr>
                <w:rFonts w:ascii="Cambria Math" w:hAnsi="Cambria Math"/>
                <w:i/>
              </w:rPr>
            </m:ctrlPr>
          </m:dPr>
          <m:e>
            <m:r>
              <m:rPr>
                <m:sty m:val="bi"/>
              </m:rPr>
              <w:rPr>
                <w:rFonts w:ascii="Cambria Math" w:hAnsi="Cambria Math"/>
              </w:rPr>
              <m:t xml:space="preserve">1- </m:t>
            </m:r>
            <m:f>
              <m:fPr>
                <m:ctrlPr>
                  <w:rPr>
                    <w:rFonts w:ascii="Cambria Math" w:hAnsi="Cambria Math"/>
                    <w:i/>
                  </w:rPr>
                </m:ctrlPr>
              </m:fPr>
              <m:num>
                <m:sSub>
                  <m:sSubPr>
                    <m:ctrlPr>
                      <w:rPr>
                        <w:rFonts w:ascii="Cambria Math" w:hAnsi="Cambria Math"/>
                        <w:i/>
                      </w:rPr>
                    </m:ctrlPr>
                  </m:sSubPr>
                  <m:e>
                    <m:r>
                      <m:rPr>
                        <m:sty m:val="bi"/>
                      </m:rPr>
                      <w:rPr>
                        <w:rFonts w:ascii="Cambria Math" w:hAnsi="Cambria Math"/>
                      </w:rPr>
                      <m:t>masa</m:t>
                    </m:r>
                  </m:e>
                  <m:sub>
                    <m:r>
                      <m:rPr>
                        <m:sty m:val="bi"/>
                      </m:rPr>
                      <w:rPr>
                        <w:rFonts w:ascii="Cambria Math" w:hAnsi="Cambria Math"/>
                      </w:rPr>
                      <m:t>i</m:t>
                    </m:r>
                  </m:sub>
                </m:sSub>
                <m:r>
                  <m:rPr>
                    <m:sty m:val="bi"/>
                  </m:rPr>
                  <w:rPr>
                    <w:rFonts w:ascii="Cambria Math" w:hAnsi="Cambria Math"/>
                  </w:rPr>
                  <m:t xml:space="preserve"> × </m:t>
                </m:r>
                <m:sSub>
                  <m:sSubPr>
                    <m:ctrlPr>
                      <w:rPr>
                        <w:rFonts w:ascii="Cambria Math" w:hAnsi="Cambria Math"/>
                        <w:i/>
                      </w:rPr>
                    </m:ctrlPr>
                  </m:sSubPr>
                  <m:e>
                    <m:r>
                      <m:rPr>
                        <m:sty m:val="bi"/>
                      </m:rPr>
                      <w:rPr>
                        <w:rFonts w:ascii="Cambria Math" w:hAnsi="Cambria Math"/>
                      </w:rPr>
                      <m:t>masa</m:t>
                    </m:r>
                  </m:e>
                  <m:sub>
                    <m:r>
                      <m:rPr>
                        <m:sty m:val="bi"/>
                      </m:rPr>
                      <w:rPr>
                        <w:rFonts w:ascii="Cambria Math" w:hAnsi="Cambria Math"/>
                      </w:rPr>
                      <m:t>s.f</m:t>
                    </m:r>
                  </m:sub>
                </m:sSub>
              </m:num>
              <m:den>
                <m:sSub>
                  <m:sSubPr>
                    <m:ctrlPr>
                      <w:rPr>
                        <w:rFonts w:ascii="Cambria Math" w:hAnsi="Cambria Math"/>
                        <w:i/>
                      </w:rPr>
                    </m:ctrlPr>
                  </m:sSubPr>
                  <m:e>
                    <m:r>
                      <m:rPr>
                        <m:sty m:val="bi"/>
                      </m:rPr>
                      <w:rPr>
                        <w:rFonts w:ascii="Cambria Math" w:hAnsi="Cambria Math"/>
                      </w:rPr>
                      <m:t>masa</m:t>
                    </m:r>
                  </m:e>
                  <m:sub/>
                </m:sSub>
              </m:den>
            </m:f>
          </m:e>
        </m:d>
        <m:r>
          <m:rPr>
            <m:sty m:val="bi"/>
          </m:rPr>
          <w:rPr>
            <w:rFonts w:ascii="Cambria Math" w:hAnsi="Cambria Math"/>
          </w:rPr>
          <m:t xml:space="preserve"> ×100</m:t>
        </m:r>
      </m:oMath>
    </w:p>
    <w:p w:rsidR="00463ECC" w:rsidRPr="00B7269F" w:rsidRDefault="00463ECC" w:rsidP="00463ECC">
      <w:pPr>
        <w:pStyle w:val="Textoindependiente"/>
        <w:spacing w:before="143"/>
        <w:ind w:left="118"/>
        <w:rPr>
          <w:rFonts w:ascii="Arial" w:hAnsi="Arial" w:cs="Arial"/>
          <w:b w:val="0"/>
          <w:sz w:val="24"/>
        </w:rPr>
      </w:pPr>
      <w:r w:rsidRPr="00B7269F">
        <w:rPr>
          <w:rFonts w:ascii="Arial" w:hAnsi="Arial" w:cs="Arial"/>
          <w:b w:val="0"/>
          <w:sz w:val="24"/>
        </w:rPr>
        <w:t>Donde:</w:t>
      </w:r>
    </w:p>
    <w:p w:rsidR="00463ECC" w:rsidRPr="00C42D72" w:rsidRDefault="00463ECC" w:rsidP="00463ECC">
      <w:pPr>
        <w:pStyle w:val="Textoindependiente"/>
        <w:spacing w:before="188"/>
        <w:ind w:left="118"/>
        <w:rPr>
          <w:rFonts w:ascii="Arial" w:eastAsia="Cambria Math" w:hAnsi="Arial" w:cs="Arial"/>
          <w:b w:val="0"/>
          <w:sz w:val="24"/>
        </w:rPr>
      </w:pPr>
      <w:r w:rsidRPr="00C42D72">
        <w:rPr>
          <w:rFonts w:ascii="Cambria Math" w:eastAsia="Cambria Math" w:hAnsi="Cambria Math" w:cs="Cambria Math"/>
          <w:b w:val="0"/>
          <w:sz w:val="24"/>
        </w:rPr>
        <w:t>𝑉</w:t>
      </w:r>
      <w:r w:rsidRPr="00C42D72">
        <w:rPr>
          <w:rFonts w:ascii="Arial" w:eastAsia="Cambria Math" w:hAnsi="Arial" w:cs="Arial"/>
          <w:b w:val="0"/>
          <w:sz w:val="24"/>
        </w:rPr>
        <w:t xml:space="preserve"> = </w:t>
      </w:r>
      <w:r w:rsidRPr="00C42D72">
        <w:rPr>
          <w:rFonts w:ascii="Cambria Math" w:eastAsia="Cambria Math" w:hAnsi="Cambria Math" w:cs="Cambria Math"/>
          <w:b w:val="0"/>
          <w:sz w:val="24"/>
        </w:rPr>
        <w:t>𝑉𝑜𝑙𝑢𝑚𝑒𝑛𝑆</w:t>
      </w:r>
      <w:r w:rsidRPr="00C42D72">
        <w:rPr>
          <w:rFonts w:ascii="Cambria Math" w:eastAsia="Cambria Math" w:hAnsi="Cambria Math" w:cs="Cambria Math"/>
          <w:b w:val="0"/>
          <w:position w:val="-4"/>
          <w:sz w:val="24"/>
        </w:rPr>
        <w:t>𝑓</w:t>
      </w:r>
      <w:r w:rsidRPr="00C42D72">
        <w:rPr>
          <w:rFonts w:ascii="Arial" w:eastAsia="Cambria Math" w:hAnsi="Arial" w:cs="Arial"/>
          <w:b w:val="0"/>
          <w:position w:val="-4"/>
          <w:sz w:val="24"/>
        </w:rPr>
        <w:t xml:space="preserve"> </w:t>
      </w:r>
      <w:r w:rsidRPr="00C42D72">
        <w:rPr>
          <w:rFonts w:ascii="Arial" w:eastAsia="Cambria Math" w:hAnsi="Arial" w:cs="Arial"/>
          <w:b w:val="0"/>
          <w:sz w:val="24"/>
        </w:rPr>
        <w:t xml:space="preserve">= </w:t>
      </w:r>
      <w:r w:rsidRPr="00C42D72">
        <w:rPr>
          <w:rFonts w:ascii="Cambria Math" w:eastAsia="Cambria Math" w:hAnsi="Cambria Math" w:cs="Cambria Math"/>
          <w:b w:val="0"/>
          <w:sz w:val="24"/>
        </w:rPr>
        <w:t>𝑆𝑜𝑙𝑢𝑏𝑖𝑙𝑖𝑑𝑎𝑑</w:t>
      </w:r>
      <w:r w:rsidRPr="00C42D72">
        <w:rPr>
          <w:rFonts w:ascii="Arial" w:eastAsia="Cambria Math" w:hAnsi="Arial" w:cs="Arial"/>
          <w:b w:val="0"/>
          <w:sz w:val="24"/>
        </w:rPr>
        <w:t xml:space="preserve"> </w:t>
      </w:r>
      <w:r w:rsidRPr="00C42D72">
        <w:rPr>
          <w:rFonts w:ascii="Cambria Math" w:eastAsia="Cambria Math" w:hAnsi="Cambria Math" w:cs="Cambria Math"/>
          <w:b w:val="0"/>
          <w:sz w:val="24"/>
        </w:rPr>
        <w:t>𝑒𝑛</w:t>
      </w:r>
      <w:r w:rsidRPr="00C42D72">
        <w:rPr>
          <w:rFonts w:ascii="Arial" w:eastAsia="Cambria Math" w:hAnsi="Arial" w:cs="Arial"/>
          <w:b w:val="0"/>
          <w:sz w:val="24"/>
        </w:rPr>
        <w:t xml:space="preserve"> </w:t>
      </w:r>
      <w:r w:rsidRPr="00C42D72">
        <w:rPr>
          <w:rFonts w:ascii="Cambria Math" w:eastAsia="Cambria Math" w:hAnsi="Cambria Math" w:cs="Cambria Math"/>
          <w:b w:val="0"/>
          <w:sz w:val="24"/>
        </w:rPr>
        <w:t>𝑓𝑟𝑖𝑜</w:t>
      </w:r>
    </w:p>
    <w:p w:rsidR="00463ECC" w:rsidRPr="00C42D72" w:rsidRDefault="00463ECC" w:rsidP="00463ECC">
      <w:pPr>
        <w:pStyle w:val="Textoindependiente"/>
        <w:spacing w:before="18"/>
        <w:ind w:left="118"/>
        <w:rPr>
          <w:rFonts w:ascii="Arial" w:eastAsia="Cambria Math" w:hAnsi="Arial" w:cs="Arial"/>
          <w:b w:val="0"/>
          <w:sz w:val="24"/>
        </w:rPr>
      </w:pPr>
      <w:r w:rsidRPr="00C42D72">
        <w:rPr>
          <w:rFonts w:ascii="Cambria Math" w:eastAsia="Cambria Math" w:hAnsi="Cambria Math" w:cs="Cambria Math"/>
          <w:b w:val="0"/>
          <w:sz w:val="24"/>
        </w:rPr>
        <w:t>𝑆</w:t>
      </w:r>
      <w:r w:rsidRPr="00C42D72">
        <w:rPr>
          <w:rFonts w:ascii="Cambria Math" w:eastAsia="Cambria Math" w:hAnsi="Cambria Math" w:cs="Cambria Math"/>
          <w:b w:val="0"/>
          <w:sz w:val="24"/>
          <w:vertAlign w:val="subscript"/>
        </w:rPr>
        <w:t>𝑐</w:t>
      </w:r>
      <w:r w:rsidRPr="00C42D72">
        <w:rPr>
          <w:rFonts w:ascii="Arial" w:eastAsia="Cambria Math" w:hAnsi="Arial" w:cs="Arial"/>
          <w:b w:val="0"/>
          <w:sz w:val="24"/>
        </w:rPr>
        <w:t xml:space="preserve"> = </w:t>
      </w:r>
      <w:r w:rsidRPr="00C42D72">
        <w:rPr>
          <w:rFonts w:ascii="Cambria Math" w:eastAsia="Cambria Math" w:hAnsi="Cambria Math" w:cs="Cambria Math"/>
          <w:b w:val="0"/>
          <w:sz w:val="24"/>
        </w:rPr>
        <w:t>𝑆𝑜𝑙𝑢𝑏𝑖𝑙𝑖𝑑𝑎𝑑</w:t>
      </w:r>
      <w:r w:rsidRPr="00C42D72">
        <w:rPr>
          <w:rFonts w:ascii="Arial" w:eastAsia="Cambria Math" w:hAnsi="Arial" w:cs="Arial"/>
          <w:b w:val="0"/>
          <w:sz w:val="24"/>
        </w:rPr>
        <w:t xml:space="preserve"> </w:t>
      </w:r>
      <w:r w:rsidRPr="00C42D72">
        <w:rPr>
          <w:rFonts w:ascii="Cambria Math" w:eastAsia="Cambria Math" w:hAnsi="Cambria Math" w:cs="Cambria Math"/>
          <w:b w:val="0"/>
          <w:sz w:val="24"/>
        </w:rPr>
        <w:t>𝑒𝑛</w:t>
      </w:r>
      <w:r w:rsidRPr="00C42D72">
        <w:rPr>
          <w:rFonts w:ascii="Arial" w:eastAsia="Cambria Math" w:hAnsi="Arial" w:cs="Arial"/>
          <w:b w:val="0"/>
          <w:sz w:val="24"/>
        </w:rPr>
        <w:t xml:space="preserve"> </w:t>
      </w:r>
      <w:r w:rsidRPr="00C42D72">
        <w:rPr>
          <w:rFonts w:ascii="Cambria Math" w:eastAsia="Cambria Math" w:hAnsi="Cambria Math" w:cs="Cambria Math"/>
          <w:b w:val="0"/>
          <w:sz w:val="24"/>
        </w:rPr>
        <w:t>𝑐𝑎𝑙𝑖𝑒𝑛𝑡𝑒</w:t>
      </w:r>
    </w:p>
    <w:p w:rsidR="00463ECC" w:rsidRPr="00C42D72" w:rsidRDefault="00463ECC" w:rsidP="00463ECC">
      <w:pPr>
        <w:pStyle w:val="Textoindependiente"/>
        <w:spacing w:before="23"/>
        <w:ind w:left="118"/>
        <w:rPr>
          <w:rFonts w:ascii="Arial" w:eastAsia="Cambria Math" w:hAnsi="Arial" w:cs="Arial"/>
          <w:b w:val="0"/>
          <w:sz w:val="24"/>
        </w:rPr>
      </w:pPr>
      <w:r w:rsidRPr="00C42D72">
        <w:rPr>
          <w:rFonts w:ascii="Cambria Math" w:eastAsia="Cambria Math" w:hAnsi="Cambria Math" w:cs="Cambria Math"/>
          <w:b w:val="0"/>
          <w:sz w:val="24"/>
        </w:rPr>
        <w:t>𝑚𝑎𝑠𝑎</w:t>
      </w:r>
      <w:r w:rsidRPr="00C42D72">
        <w:rPr>
          <w:rFonts w:ascii="Cambria Math" w:eastAsia="Cambria Math" w:hAnsi="Cambria Math" w:cs="Cambria Math"/>
          <w:b w:val="0"/>
          <w:sz w:val="24"/>
          <w:vertAlign w:val="subscript"/>
        </w:rPr>
        <w:t>𝑖</w:t>
      </w:r>
      <w:r w:rsidRPr="00C42D72">
        <w:rPr>
          <w:rFonts w:ascii="Arial" w:eastAsia="Cambria Math" w:hAnsi="Arial" w:cs="Arial"/>
          <w:b w:val="0"/>
          <w:sz w:val="24"/>
        </w:rPr>
        <w:t xml:space="preserve"> = </w:t>
      </w:r>
      <w:r w:rsidRPr="00C42D72">
        <w:rPr>
          <w:rFonts w:ascii="Cambria Math" w:eastAsia="Cambria Math" w:hAnsi="Cambria Math" w:cs="Cambria Math"/>
          <w:b w:val="0"/>
          <w:sz w:val="24"/>
        </w:rPr>
        <w:t>𝑚𝑎𝑠𝑎</w:t>
      </w:r>
      <w:r w:rsidRPr="00C42D72">
        <w:rPr>
          <w:rFonts w:ascii="Arial" w:eastAsia="Cambria Math" w:hAnsi="Arial" w:cs="Arial"/>
          <w:b w:val="0"/>
          <w:sz w:val="24"/>
        </w:rPr>
        <w:t xml:space="preserve"> </w:t>
      </w:r>
      <w:r w:rsidRPr="00C42D72">
        <w:rPr>
          <w:rFonts w:ascii="Cambria Math" w:eastAsia="Cambria Math" w:hAnsi="Cambria Math" w:cs="Cambria Math"/>
          <w:b w:val="0"/>
          <w:sz w:val="24"/>
        </w:rPr>
        <w:t>𝑖𝑛𝑖𝑐𝑖𝑎𝑙</w:t>
      </w:r>
    </w:p>
    <w:p w:rsidR="00463ECC" w:rsidRPr="00C42D72" w:rsidRDefault="00463ECC" w:rsidP="00463ECC">
      <w:pPr>
        <w:pStyle w:val="Textoindependiente"/>
        <w:spacing w:before="19"/>
        <w:ind w:left="118"/>
        <w:rPr>
          <w:rFonts w:ascii="Arial" w:eastAsia="Cambria Math" w:hAnsi="Arial" w:cs="Arial"/>
          <w:b w:val="0"/>
          <w:sz w:val="24"/>
        </w:rPr>
      </w:pPr>
      <w:r w:rsidRPr="00C42D72">
        <w:rPr>
          <w:rFonts w:ascii="Cambria Math" w:eastAsia="Cambria Math" w:hAnsi="Cambria Math" w:cs="Cambria Math"/>
          <w:b w:val="0"/>
          <w:sz w:val="24"/>
        </w:rPr>
        <w:t>𝑚𝑎𝑠𝑎</w:t>
      </w:r>
      <w:r w:rsidRPr="00C42D72">
        <w:rPr>
          <w:rFonts w:ascii="Cambria Math" w:eastAsia="Cambria Math" w:hAnsi="Cambria Math" w:cs="Cambria Math"/>
          <w:b w:val="0"/>
          <w:sz w:val="24"/>
          <w:vertAlign w:val="subscript"/>
        </w:rPr>
        <w:t>𝑠</w:t>
      </w:r>
      <w:r w:rsidRPr="00C42D72">
        <w:rPr>
          <w:rFonts w:ascii="Arial" w:eastAsia="Cambria Math" w:hAnsi="Arial" w:cs="Arial"/>
          <w:b w:val="0"/>
          <w:sz w:val="24"/>
          <w:vertAlign w:val="subscript"/>
        </w:rPr>
        <w:t>.</w:t>
      </w:r>
      <w:r w:rsidRPr="00C42D72">
        <w:rPr>
          <w:rFonts w:ascii="Cambria Math" w:eastAsia="Cambria Math" w:hAnsi="Cambria Math" w:cs="Cambria Math"/>
          <w:b w:val="0"/>
          <w:sz w:val="24"/>
          <w:vertAlign w:val="subscript"/>
        </w:rPr>
        <w:t>𝑓</w:t>
      </w:r>
      <w:r w:rsidRPr="00C42D72">
        <w:rPr>
          <w:rFonts w:ascii="Arial" w:eastAsia="Cambria Math" w:hAnsi="Arial" w:cs="Arial"/>
          <w:b w:val="0"/>
          <w:sz w:val="24"/>
        </w:rPr>
        <w:t xml:space="preserve"> = </w:t>
      </w:r>
      <w:r w:rsidRPr="00C42D72">
        <w:rPr>
          <w:rFonts w:ascii="Cambria Math" w:eastAsia="Cambria Math" w:hAnsi="Cambria Math" w:cs="Cambria Math"/>
          <w:b w:val="0"/>
          <w:sz w:val="24"/>
        </w:rPr>
        <w:t>𝑚𝑎𝑠𝑎</w:t>
      </w:r>
      <w:r w:rsidRPr="00C42D72">
        <w:rPr>
          <w:rFonts w:ascii="Arial" w:eastAsia="Cambria Math" w:hAnsi="Arial" w:cs="Arial"/>
          <w:b w:val="0"/>
          <w:sz w:val="24"/>
        </w:rPr>
        <w:t xml:space="preserve"> de soluto en </w:t>
      </w:r>
      <w:r w:rsidRPr="00C42D72">
        <w:rPr>
          <w:rFonts w:ascii="Cambria Math" w:eastAsia="Cambria Math" w:hAnsi="Cambria Math" w:cs="Cambria Math"/>
          <w:b w:val="0"/>
          <w:sz w:val="24"/>
        </w:rPr>
        <w:t>𝑒𝑙</w:t>
      </w:r>
      <w:r w:rsidRPr="00C42D72">
        <w:rPr>
          <w:rFonts w:ascii="Arial" w:eastAsia="Cambria Math" w:hAnsi="Arial" w:cs="Arial"/>
          <w:b w:val="0"/>
          <w:sz w:val="24"/>
        </w:rPr>
        <w:t xml:space="preserve"> </w:t>
      </w:r>
      <w:r w:rsidRPr="00C42D72">
        <w:rPr>
          <w:rFonts w:ascii="Cambria Math" w:eastAsia="Cambria Math" w:hAnsi="Cambria Math" w:cs="Cambria Math"/>
          <w:b w:val="0"/>
          <w:sz w:val="24"/>
        </w:rPr>
        <w:t>𝑣𝑜𝑙𝑢𝑚𝑒𝑛</w:t>
      </w:r>
      <w:r w:rsidRPr="00C42D72">
        <w:rPr>
          <w:rFonts w:ascii="Arial" w:eastAsia="Cambria Math" w:hAnsi="Arial" w:cs="Arial"/>
          <w:b w:val="0"/>
          <w:sz w:val="24"/>
        </w:rPr>
        <w:t xml:space="preserve"> </w:t>
      </w:r>
      <w:r w:rsidRPr="00C42D72">
        <w:rPr>
          <w:rFonts w:ascii="Cambria Math" w:eastAsia="Cambria Math" w:hAnsi="Cambria Math" w:cs="Cambria Math"/>
          <w:b w:val="0"/>
          <w:sz w:val="24"/>
        </w:rPr>
        <w:t>𝑉</w:t>
      </w:r>
      <w:r w:rsidRPr="00C42D72">
        <w:rPr>
          <w:rFonts w:ascii="Arial" w:eastAsia="Cambria Math" w:hAnsi="Arial" w:cs="Arial"/>
          <w:b w:val="0"/>
          <w:sz w:val="24"/>
        </w:rPr>
        <w:t xml:space="preserve">, </w:t>
      </w:r>
      <w:r w:rsidRPr="00C42D72">
        <w:rPr>
          <w:rFonts w:ascii="Cambria Math" w:eastAsia="Cambria Math" w:hAnsi="Cambria Math" w:cs="Cambria Math"/>
          <w:b w:val="0"/>
          <w:sz w:val="24"/>
        </w:rPr>
        <w:t>𝑎𝑙</w:t>
      </w:r>
      <w:r w:rsidRPr="00C42D72">
        <w:rPr>
          <w:rFonts w:ascii="Arial" w:eastAsia="Cambria Math" w:hAnsi="Arial" w:cs="Arial"/>
          <w:b w:val="0"/>
          <w:sz w:val="24"/>
        </w:rPr>
        <w:t xml:space="preserve"> </w:t>
      </w:r>
      <w:r w:rsidRPr="00C42D72">
        <w:rPr>
          <w:rFonts w:ascii="Cambria Math" w:eastAsia="Cambria Math" w:hAnsi="Cambria Math" w:cs="Cambria Math"/>
          <w:b w:val="0"/>
          <w:sz w:val="24"/>
        </w:rPr>
        <w:t>𝑒𝑛𝑓𝑟𝑖𝑎𝑟</w:t>
      </w:r>
    </w:p>
    <w:p w:rsidR="00463ECC" w:rsidRPr="00B7269F" w:rsidRDefault="00463ECC" w:rsidP="00463ECC">
      <w:pPr>
        <w:pStyle w:val="Textoindependiente"/>
        <w:ind w:left="118" w:right="193"/>
        <w:jc w:val="both"/>
        <w:rPr>
          <w:rFonts w:ascii="Arial" w:hAnsi="Arial" w:cs="Arial"/>
          <w:b w:val="0"/>
          <w:sz w:val="24"/>
        </w:rPr>
      </w:pPr>
    </w:p>
    <w:p w:rsidR="00463ECC" w:rsidRPr="00B7269F" w:rsidRDefault="00463ECC" w:rsidP="00463ECC">
      <w:pPr>
        <w:jc w:val="both"/>
        <w:rPr>
          <w:rFonts w:ascii="Arial" w:hAnsi="Arial" w:cs="Arial"/>
        </w:rPr>
      </w:pPr>
    </w:p>
    <w:p w:rsidR="00463ECC" w:rsidRPr="0086795D" w:rsidRDefault="00463ECC" w:rsidP="00463ECC">
      <w:pPr>
        <w:pStyle w:val="Textoindependiente"/>
        <w:spacing w:before="180" w:line="259" w:lineRule="auto"/>
        <w:ind w:left="118" w:right="191"/>
        <w:jc w:val="both"/>
        <w:rPr>
          <w:rFonts w:ascii="Arial" w:hAnsi="Arial" w:cs="Arial"/>
          <w:b w:val="0"/>
          <w:i/>
          <w:sz w:val="24"/>
        </w:rPr>
      </w:pPr>
      <w:r>
        <w:rPr>
          <w:rFonts w:ascii="Arial" w:hAnsi="Arial" w:cs="Arial"/>
          <w:b w:val="0"/>
          <w:i/>
          <w:sz w:val="24"/>
        </w:rPr>
        <w:t>3.7 C</w:t>
      </w:r>
      <w:r w:rsidRPr="0086795D">
        <w:rPr>
          <w:rFonts w:ascii="Arial" w:hAnsi="Arial" w:cs="Arial"/>
          <w:b w:val="0"/>
          <w:i/>
          <w:sz w:val="24"/>
        </w:rPr>
        <w:t>ristalización en el equipo de evaporación - cristalización</w:t>
      </w:r>
    </w:p>
    <w:p w:rsidR="00463ECC" w:rsidRDefault="00463ECC" w:rsidP="00463ECC">
      <w:pPr>
        <w:pStyle w:val="Textoindependiente"/>
        <w:spacing w:before="180" w:line="259" w:lineRule="auto"/>
        <w:ind w:left="118" w:right="191" w:firstLine="590"/>
        <w:jc w:val="both"/>
        <w:rPr>
          <w:rFonts w:ascii="Arial" w:hAnsi="Arial" w:cs="Arial"/>
          <w:b w:val="0"/>
          <w:sz w:val="24"/>
        </w:rPr>
      </w:pPr>
      <w:r w:rsidRPr="0086795D">
        <w:rPr>
          <w:rFonts w:ascii="Arial" w:hAnsi="Arial" w:cs="Arial"/>
          <w:b w:val="0"/>
          <w:sz w:val="24"/>
        </w:rPr>
        <w:t>Con base en los resultados de las pruebas de solubilidad del laboratorio, se establecen las temperaturas y concentraciones de las disoluciones para trabajar en el equipo de evaporación- cristalización. Figura 1. La disolución de concentración conocida se coloca en el tanque de almacenamiento F-110 de donde es bombeada por medio de la bomba dosificadora L-111 al evaporador E-210 donde se lleva a cabo el calentamiento mediante una mantilla eléctrica.</w:t>
      </w:r>
      <w:r>
        <w:rPr>
          <w:rFonts w:ascii="Arial" w:hAnsi="Arial" w:cs="Arial"/>
          <w:b w:val="0"/>
          <w:sz w:val="24"/>
        </w:rPr>
        <w:t xml:space="preserve"> La capacidad máxima del recipiente es de cinco litros, la cantidad mínima recomendable de alimentación es de tres litros de disolución.</w:t>
      </w:r>
      <w:r w:rsidRPr="0086795D">
        <w:rPr>
          <w:rFonts w:ascii="Arial" w:hAnsi="Arial" w:cs="Arial"/>
          <w:b w:val="0"/>
          <w:sz w:val="24"/>
        </w:rPr>
        <w:t xml:space="preserve"> </w:t>
      </w:r>
    </w:p>
    <w:p w:rsidR="00463ECC" w:rsidRDefault="00463ECC" w:rsidP="00463ECC">
      <w:pPr>
        <w:pStyle w:val="Textoindependiente"/>
        <w:spacing w:before="180" w:line="259" w:lineRule="auto"/>
        <w:ind w:left="118" w:right="191" w:firstLine="590"/>
        <w:jc w:val="both"/>
        <w:rPr>
          <w:rFonts w:ascii="Arial" w:hAnsi="Arial" w:cs="Arial"/>
          <w:b w:val="0"/>
          <w:sz w:val="24"/>
        </w:rPr>
      </w:pPr>
      <w:r w:rsidRPr="0086795D">
        <w:rPr>
          <w:rFonts w:ascii="Arial" w:hAnsi="Arial" w:cs="Arial"/>
          <w:b w:val="0"/>
          <w:sz w:val="24"/>
        </w:rPr>
        <w:t>El vapor generado se condensa en D-310. La corriente de agua fría que</w:t>
      </w:r>
      <w:r w:rsidRPr="0086795D">
        <w:rPr>
          <w:rFonts w:ascii="Arial" w:hAnsi="Arial" w:cs="Arial"/>
          <w:b w:val="0"/>
          <w:spacing w:val="-10"/>
          <w:sz w:val="24"/>
        </w:rPr>
        <w:t xml:space="preserve"> </w:t>
      </w:r>
      <w:r w:rsidRPr="0086795D">
        <w:rPr>
          <w:rFonts w:ascii="Arial" w:hAnsi="Arial" w:cs="Arial"/>
          <w:b w:val="0"/>
          <w:sz w:val="24"/>
        </w:rPr>
        <w:t>se</w:t>
      </w:r>
      <w:r w:rsidRPr="0086795D">
        <w:rPr>
          <w:rFonts w:ascii="Arial" w:hAnsi="Arial" w:cs="Arial"/>
          <w:b w:val="0"/>
          <w:spacing w:val="-8"/>
          <w:sz w:val="24"/>
        </w:rPr>
        <w:t xml:space="preserve"> </w:t>
      </w:r>
      <w:r w:rsidRPr="0086795D">
        <w:rPr>
          <w:rFonts w:ascii="Arial" w:hAnsi="Arial" w:cs="Arial"/>
          <w:b w:val="0"/>
          <w:sz w:val="24"/>
        </w:rPr>
        <w:t>usa como refrigerante es tomada del sistema hidroneumático L-711, una vez que ha pasado por el proceso es enviada a la torre de enfriamiento P-710 para su recirculación. El condensado que se obtiene se almacena en el tanque E-410. El líquido concentrado se descarga a cristalizador</w:t>
      </w:r>
      <w:r w:rsidRPr="0086795D">
        <w:rPr>
          <w:rFonts w:ascii="Arial" w:hAnsi="Arial" w:cs="Arial"/>
          <w:b w:val="0"/>
          <w:spacing w:val="-17"/>
          <w:sz w:val="24"/>
        </w:rPr>
        <w:t xml:space="preserve"> </w:t>
      </w:r>
      <w:r w:rsidRPr="0086795D">
        <w:rPr>
          <w:rFonts w:ascii="Arial" w:hAnsi="Arial" w:cs="Arial"/>
          <w:b w:val="0"/>
          <w:sz w:val="24"/>
        </w:rPr>
        <w:t>X-510, este</w:t>
      </w:r>
      <w:r w:rsidRPr="0086795D">
        <w:rPr>
          <w:rFonts w:ascii="Arial" w:hAnsi="Arial" w:cs="Arial"/>
          <w:b w:val="0"/>
          <w:spacing w:val="-14"/>
          <w:sz w:val="24"/>
        </w:rPr>
        <w:t xml:space="preserve"> </w:t>
      </w:r>
      <w:r w:rsidRPr="0086795D">
        <w:rPr>
          <w:rFonts w:ascii="Arial" w:hAnsi="Arial" w:cs="Arial"/>
          <w:b w:val="0"/>
          <w:sz w:val="24"/>
        </w:rPr>
        <w:t>cristalizador</w:t>
      </w:r>
      <w:r w:rsidRPr="0086795D">
        <w:rPr>
          <w:rFonts w:ascii="Arial" w:hAnsi="Arial" w:cs="Arial"/>
          <w:b w:val="0"/>
          <w:spacing w:val="-13"/>
          <w:sz w:val="24"/>
        </w:rPr>
        <w:t xml:space="preserve"> </w:t>
      </w:r>
      <w:r w:rsidRPr="0086795D">
        <w:rPr>
          <w:rFonts w:ascii="Arial" w:hAnsi="Arial" w:cs="Arial"/>
          <w:b w:val="0"/>
          <w:sz w:val="24"/>
        </w:rPr>
        <w:t>tiene</w:t>
      </w:r>
      <w:r w:rsidRPr="0086795D">
        <w:rPr>
          <w:rFonts w:ascii="Arial" w:hAnsi="Arial" w:cs="Arial"/>
          <w:b w:val="0"/>
          <w:spacing w:val="-13"/>
          <w:sz w:val="24"/>
        </w:rPr>
        <w:t xml:space="preserve"> </w:t>
      </w:r>
      <w:r w:rsidRPr="0086795D">
        <w:rPr>
          <w:rFonts w:ascii="Arial" w:hAnsi="Arial" w:cs="Arial"/>
          <w:b w:val="0"/>
          <w:sz w:val="24"/>
        </w:rPr>
        <w:t>un</w:t>
      </w:r>
      <w:r w:rsidRPr="0086795D">
        <w:rPr>
          <w:rFonts w:ascii="Arial" w:hAnsi="Arial" w:cs="Arial"/>
          <w:b w:val="0"/>
          <w:spacing w:val="-9"/>
          <w:sz w:val="24"/>
        </w:rPr>
        <w:t xml:space="preserve"> </w:t>
      </w:r>
      <w:r w:rsidRPr="0086795D">
        <w:rPr>
          <w:rFonts w:ascii="Arial" w:hAnsi="Arial" w:cs="Arial"/>
          <w:b w:val="0"/>
          <w:sz w:val="24"/>
        </w:rPr>
        <w:t>enchaquetado</w:t>
      </w:r>
      <w:r w:rsidRPr="0086795D">
        <w:rPr>
          <w:rFonts w:ascii="Arial" w:hAnsi="Arial" w:cs="Arial"/>
          <w:b w:val="0"/>
          <w:spacing w:val="-13"/>
          <w:sz w:val="24"/>
        </w:rPr>
        <w:t xml:space="preserve"> </w:t>
      </w:r>
      <w:r w:rsidRPr="0086795D">
        <w:rPr>
          <w:rFonts w:ascii="Arial" w:hAnsi="Arial" w:cs="Arial"/>
          <w:b w:val="0"/>
          <w:sz w:val="24"/>
        </w:rPr>
        <w:t>que</w:t>
      </w:r>
      <w:r w:rsidRPr="0086795D">
        <w:rPr>
          <w:rFonts w:ascii="Arial" w:hAnsi="Arial" w:cs="Arial"/>
          <w:b w:val="0"/>
          <w:spacing w:val="-13"/>
          <w:sz w:val="24"/>
        </w:rPr>
        <w:t xml:space="preserve"> </w:t>
      </w:r>
      <w:r w:rsidRPr="0086795D">
        <w:rPr>
          <w:rFonts w:ascii="Arial" w:hAnsi="Arial" w:cs="Arial"/>
          <w:b w:val="0"/>
          <w:sz w:val="24"/>
        </w:rPr>
        <w:t>se</w:t>
      </w:r>
      <w:r w:rsidRPr="0086795D">
        <w:rPr>
          <w:rFonts w:ascii="Arial" w:hAnsi="Arial" w:cs="Arial"/>
          <w:b w:val="0"/>
          <w:spacing w:val="-13"/>
          <w:sz w:val="24"/>
        </w:rPr>
        <w:t xml:space="preserve"> </w:t>
      </w:r>
      <w:r w:rsidRPr="0086795D">
        <w:rPr>
          <w:rFonts w:ascii="Arial" w:hAnsi="Arial" w:cs="Arial"/>
          <w:b w:val="0"/>
          <w:sz w:val="24"/>
        </w:rPr>
        <w:t>puede</w:t>
      </w:r>
      <w:r w:rsidRPr="0086795D">
        <w:rPr>
          <w:rFonts w:ascii="Arial" w:hAnsi="Arial" w:cs="Arial"/>
          <w:b w:val="0"/>
          <w:spacing w:val="-14"/>
          <w:sz w:val="24"/>
        </w:rPr>
        <w:t xml:space="preserve"> </w:t>
      </w:r>
      <w:r w:rsidRPr="0086795D">
        <w:rPr>
          <w:rFonts w:ascii="Arial" w:hAnsi="Arial" w:cs="Arial"/>
          <w:b w:val="0"/>
          <w:sz w:val="24"/>
        </w:rPr>
        <w:t>utilizar</w:t>
      </w:r>
      <w:r w:rsidRPr="0086795D">
        <w:rPr>
          <w:rFonts w:ascii="Arial" w:hAnsi="Arial" w:cs="Arial"/>
          <w:b w:val="0"/>
          <w:spacing w:val="-13"/>
          <w:sz w:val="24"/>
        </w:rPr>
        <w:t xml:space="preserve"> </w:t>
      </w:r>
      <w:r w:rsidRPr="0086795D">
        <w:rPr>
          <w:rFonts w:ascii="Arial" w:hAnsi="Arial" w:cs="Arial"/>
          <w:b w:val="0"/>
          <w:sz w:val="24"/>
        </w:rPr>
        <w:t>para</w:t>
      </w:r>
      <w:r w:rsidRPr="0086795D">
        <w:rPr>
          <w:rFonts w:ascii="Arial" w:hAnsi="Arial" w:cs="Arial"/>
          <w:b w:val="0"/>
          <w:spacing w:val="-12"/>
          <w:sz w:val="24"/>
        </w:rPr>
        <w:t xml:space="preserve"> </w:t>
      </w:r>
      <w:r w:rsidRPr="0086795D">
        <w:rPr>
          <w:rFonts w:ascii="Arial" w:hAnsi="Arial" w:cs="Arial"/>
          <w:b w:val="0"/>
          <w:sz w:val="24"/>
        </w:rPr>
        <w:t>calentar</w:t>
      </w:r>
      <w:r w:rsidRPr="0086795D">
        <w:rPr>
          <w:rFonts w:ascii="Arial" w:hAnsi="Arial" w:cs="Arial"/>
          <w:b w:val="0"/>
          <w:spacing w:val="-13"/>
          <w:sz w:val="24"/>
        </w:rPr>
        <w:t xml:space="preserve"> </w:t>
      </w:r>
      <w:r w:rsidRPr="0086795D">
        <w:rPr>
          <w:rFonts w:ascii="Arial" w:hAnsi="Arial" w:cs="Arial"/>
          <w:b w:val="0"/>
          <w:sz w:val="24"/>
        </w:rPr>
        <w:t>o</w:t>
      </w:r>
      <w:r w:rsidRPr="0086795D">
        <w:rPr>
          <w:rFonts w:ascii="Arial" w:hAnsi="Arial" w:cs="Arial"/>
          <w:b w:val="0"/>
          <w:spacing w:val="-11"/>
          <w:sz w:val="24"/>
        </w:rPr>
        <w:t xml:space="preserve"> </w:t>
      </w:r>
      <w:r w:rsidRPr="0086795D">
        <w:rPr>
          <w:rFonts w:ascii="Arial" w:hAnsi="Arial" w:cs="Arial"/>
          <w:b w:val="0"/>
          <w:sz w:val="24"/>
        </w:rPr>
        <w:t>enfriar</w:t>
      </w:r>
      <w:r w:rsidRPr="0086795D">
        <w:rPr>
          <w:rFonts w:ascii="Arial" w:hAnsi="Arial" w:cs="Arial"/>
          <w:b w:val="0"/>
          <w:spacing w:val="-12"/>
          <w:sz w:val="24"/>
        </w:rPr>
        <w:t xml:space="preserve"> </w:t>
      </w:r>
      <w:r w:rsidRPr="0086795D">
        <w:rPr>
          <w:rFonts w:ascii="Arial" w:hAnsi="Arial" w:cs="Arial"/>
          <w:b w:val="0"/>
          <w:sz w:val="24"/>
        </w:rPr>
        <w:t>según</w:t>
      </w:r>
      <w:r w:rsidRPr="0086795D">
        <w:rPr>
          <w:rFonts w:ascii="Arial" w:hAnsi="Arial" w:cs="Arial"/>
          <w:b w:val="0"/>
          <w:spacing w:val="-12"/>
          <w:sz w:val="24"/>
        </w:rPr>
        <w:t xml:space="preserve"> </w:t>
      </w:r>
      <w:r w:rsidRPr="0086795D">
        <w:rPr>
          <w:rFonts w:ascii="Arial" w:hAnsi="Arial" w:cs="Arial"/>
          <w:b w:val="0"/>
          <w:sz w:val="24"/>
        </w:rPr>
        <w:t>se</w:t>
      </w:r>
      <w:r w:rsidRPr="0086795D">
        <w:rPr>
          <w:rFonts w:ascii="Arial" w:hAnsi="Arial" w:cs="Arial"/>
          <w:b w:val="0"/>
          <w:spacing w:val="-14"/>
          <w:sz w:val="24"/>
        </w:rPr>
        <w:t xml:space="preserve"> </w:t>
      </w:r>
      <w:r w:rsidRPr="0086795D">
        <w:rPr>
          <w:rFonts w:ascii="Arial" w:hAnsi="Arial" w:cs="Arial"/>
          <w:b w:val="0"/>
          <w:sz w:val="24"/>
        </w:rPr>
        <w:t xml:space="preserve">utilice el sistema de calefacción/refrigeración P-610. </w:t>
      </w:r>
      <w:r>
        <w:rPr>
          <w:rFonts w:ascii="Arial" w:hAnsi="Arial" w:cs="Arial"/>
          <w:b w:val="0"/>
          <w:sz w:val="24"/>
        </w:rPr>
        <w:t>En este caso se utilizó el sistema de enfriamiento para obtener la sobresaturación.</w:t>
      </w:r>
    </w:p>
    <w:p w:rsidR="00463ECC" w:rsidRDefault="00463ECC" w:rsidP="00463ECC">
      <w:pPr>
        <w:pStyle w:val="Textoindependiente"/>
        <w:spacing w:before="180" w:line="259" w:lineRule="auto"/>
        <w:ind w:left="118" w:right="191" w:firstLine="590"/>
        <w:jc w:val="both"/>
        <w:rPr>
          <w:rFonts w:ascii="Arial" w:hAnsi="Arial" w:cs="Arial"/>
          <w:b w:val="0"/>
          <w:sz w:val="24"/>
        </w:rPr>
      </w:pPr>
      <w:r>
        <w:rPr>
          <w:rFonts w:ascii="Arial" w:hAnsi="Arial" w:cs="Arial"/>
          <w:b w:val="0"/>
          <w:sz w:val="24"/>
        </w:rPr>
        <w:t>El magma (</w:t>
      </w:r>
      <w:r w:rsidRPr="0086795D">
        <w:rPr>
          <w:rFonts w:ascii="Arial" w:hAnsi="Arial" w:cs="Arial"/>
          <w:b w:val="0"/>
          <w:sz w:val="24"/>
        </w:rPr>
        <w:t>solución saturada</w:t>
      </w:r>
      <w:r>
        <w:rPr>
          <w:rFonts w:ascii="Arial" w:hAnsi="Arial" w:cs="Arial"/>
          <w:b w:val="0"/>
          <w:sz w:val="24"/>
        </w:rPr>
        <w:t xml:space="preserve">, también llamada licor madre, y cristales) </w:t>
      </w:r>
      <w:r w:rsidRPr="0086795D">
        <w:rPr>
          <w:rFonts w:ascii="Arial" w:hAnsi="Arial" w:cs="Arial"/>
          <w:b w:val="0"/>
          <w:sz w:val="24"/>
        </w:rPr>
        <w:t>se descarga</w:t>
      </w:r>
      <w:r>
        <w:rPr>
          <w:rFonts w:ascii="Arial" w:hAnsi="Arial" w:cs="Arial"/>
          <w:b w:val="0"/>
          <w:sz w:val="24"/>
        </w:rPr>
        <w:t>n</w:t>
      </w:r>
      <w:r w:rsidRPr="0086795D">
        <w:rPr>
          <w:rFonts w:ascii="Arial" w:hAnsi="Arial" w:cs="Arial"/>
          <w:b w:val="0"/>
          <w:sz w:val="24"/>
        </w:rPr>
        <w:t xml:space="preserve"> por la válvula</w:t>
      </w:r>
      <w:r w:rsidRPr="0086795D">
        <w:rPr>
          <w:rFonts w:ascii="Arial" w:hAnsi="Arial" w:cs="Arial"/>
          <w:b w:val="0"/>
          <w:spacing w:val="-4"/>
          <w:sz w:val="24"/>
        </w:rPr>
        <w:t xml:space="preserve"> </w:t>
      </w:r>
      <w:r w:rsidRPr="0086795D">
        <w:rPr>
          <w:rFonts w:ascii="Arial" w:hAnsi="Arial" w:cs="Arial"/>
          <w:b w:val="0"/>
          <w:sz w:val="24"/>
        </w:rPr>
        <w:t>K-512.</w:t>
      </w:r>
      <w:r>
        <w:rPr>
          <w:rFonts w:ascii="Arial" w:hAnsi="Arial" w:cs="Arial"/>
          <w:b w:val="0"/>
          <w:sz w:val="24"/>
        </w:rPr>
        <w:t xml:space="preserve"> En la Tabla 1 se describen los componentes del equipo</w:t>
      </w:r>
    </w:p>
    <w:p w:rsidR="00463ECC" w:rsidRDefault="00463ECC" w:rsidP="00463ECC">
      <w:pPr>
        <w:pStyle w:val="Textoindependiente"/>
        <w:spacing w:before="180" w:line="259" w:lineRule="auto"/>
        <w:ind w:left="118" w:right="191"/>
        <w:jc w:val="both"/>
        <w:rPr>
          <w:rFonts w:ascii="Arial" w:hAnsi="Arial" w:cs="Arial"/>
          <w:b w:val="0"/>
          <w:sz w:val="24"/>
        </w:rPr>
      </w:pPr>
    </w:p>
    <w:p w:rsidR="00463ECC" w:rsidRPr="0086795D" w:rsidRDefault="00463ECC" w:rsidP="00463ECC">
      <w:pPr>
        <w:pStyle w:val="Textoindependiente"/>
        <w:spacing w:before="180" w:line="259" w:lineRule="auto"/>
        <w:ind w:left="118" w:right="191"/>
        <w:jc w:val="both"/>
        <w:rPr>
          <w:rFonts w:ascii="Arial" w:hAnsi="Arial" w:cs="Arial"/>
          <w:b w:val="0"/>
          <w:sz w:val="24"/>
        </w:rPr>
      </w:pPr>
    </w:p>
    <w:p w:rsidR="00463ECC" w:rsidRPr="00CE57CF" w:rsidRDefault="00463ECC" w:rsidP="00463ECC">
      <w:pPr>
        <w:pStyle w:val="Textoindependiente"/>
      </w:pPr>
      <w:r w:rsidRPr="00CE57CF">
        <w:tab/>
      </w:r>
    </w:p>
    <w:p w:rsidR="00463ECC" w:rsidRDefault="00463ECC" w:rsidP="00463ECC">
      <w:pPr>
        <w:pStyle w:val="BodyIndent"/>
      </w:pPr>
    </w:p>
    <w:p w:rsidR="00463ECC" w:rsidRPr="004406E2" w:rsidRDefault="00463ECC" w:rsidP="00463ECC">
      <w:pPr>
        <w:pStyle w:val="BodyIndent"/>
      </w:pPr>
      <w:r w:rsidRPr="004406E2">
        <w:rPr>
          <w:noProof/>
          <w:lang w:val="en-US"/>
        </w:rPr>
        <w:lastRenderedPageBreak/>
        <w:drawing>
          <wp:inline distT="0" distB="0" distL="0" distR="0" wp14:anchorId="0D6C896D" wp14:editId="17E0C3D0">
            <wp:extent cx="3886200" cy="3990975"/>
            <wp:effectExtent l="0" t="0" r="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86200" cy="3990975"/>
                    </a:xfrm>
                    <a:prstGeom prst="rect">
                      <a:avLst/>
                    </a:prstGeom>
                    <a:noFill/>
                    <a:ln>
                      <a:noFill/>
                    </a:ln>
                  </pic:spPr>
                </pic:pic>
              </a:graphicData>
            </a:graphic>
          </wp:inline>
        </w:drawing>
      </w:r>
    </w:p>
    <w:p w:rsidR="00463ECC" w:rsidRDefault="00463ECC" w:rsidP="00463ECC">
      <w:pPr>
        <w:pStyle w:val="BodyIndent"/>
      </w:pPr>
    </w:p>
    <w:p w:rsidR="00463ECC" w:rsidRPr="00463ECC" w:rsidRDefault="00463ECC" w:rsidP="00463ECC">
      <w:pPr>
        <w:pStyle w:val="BodyIndent"/>
        <w:rPr>
          <w:lang w:val="es-MX"/>
        </w:rPr>
      </w:pPr>
      <w:r w:rsidRPr="00463ECC">
        <w:rPr>
          <w:lang w:val="es-MX"/>
        </w:rPr>
        <w:t>Figura 1 Diagrama de flujo del equipo de cristalización</w:t>
      </w:r>
    </w:p>
    <w:p w:rsidR="00463ECC" w:rsidRPr="00463ECC" w:rsidRDefault="00463ECC" w:rsidP="00463ECC">
      <w:pPr>
        <w:pStyle w:val="BodyIndent"/>
        <w:rPr>
          <w:lang w:val="es-MX"/>
        </w:rPr>
      </w:pPr>
    </w:p>
    <w:p w:rsidR="00463ECC" w:rsidRPr="004406E2" w:rsidRDefault="00463ECC" w:rsidP="00463ECC">
      <w:pPr>
        <w:pStyle w:val="BodyIndent"/>
      </w:pPr>
      <w:r w:rsidRPr="004406E2">
        <w:t xml:space="preserve">Tabla 1. Componentes del evaporador – cristalizador </w:t>
      </w:r>
    </w:p>
    <w:p w:rsidR="00463ECC" w:rsidRPr="004406E2" w:rsidRDefault="00463ECC" w:rsidP="00463ECC">
      <w:pPr>
        <w:pStyle w:val="BodyIndent"/>
      </w:pPr>
    </w:p>
    <w:tbl>
      <w:tblPr>
        <w:tblW w:w="0" w:type="auto"/>
        <w:jc w:val="center"/>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1E0" w:firstRow="1" w:lastRow="1" w:firstColumn="1" w:lastColumn="1" w:noHBand="0" w:noVBand="0"/>
      </w:tblPr>
      <w:tblGrid>
        <w:gridCol w:w="4276"/>
        <w:gridCol w:w="4459"/>
      </w:tblGrid>
      <w:tr w:rsidR="00463ECC" w:rsidRPr="004406E2" w:rsidTr="00B81843">
        <w:trPr>
          <w:trHeight w:val="308"/>
          <w:jc w:val="center"/>
        </w:trPr>
        <w:tc>
          <w:tcPr>
            <w:tcW w:w="4276" w:type="dxa"/>
            <w:tcBorders>
              <w:top w:val="single" w:sz="12" w:space="0" w:color="auto"/>
              <w:left w:val="single" w:sz="12" w:space="0" w:color="auto"/>
              <w:bottom w:val="single" w:sz="12" w:space="0" w:color="auto"/>
              <w:right w:val="single" w:sz="12" w:space="0" w:color="auto"/>
            </w:tcBorders>
            <w:shd w:val="clear" w:color="auto" w:fill="auto"/>
          </w:tcPr>
          <w:p w:rsidR="00463ECC" w:rsidRPr="004406E2" w:rsidRDefault="00463ECC" w:rsidP="00B81843">
            <w:pPr>
              <w:pStyle w:val="TableParagraph"/>
              <w:spacing w:line="232" w:lineRule="exact"/>
              <w:ind w:left="57" w:right="49"/>
              <w:jc w:val="center"/>
              <w:rPr>
                <w:rFonts w:ascii="Arial" w:hAnsi="Arial" w:cs="Arial"/>
                <w:b/>
                <w:bCs/>
                <w:color w:val="000000"/>
                <w:sz w:val="20"/>
                <w:szCs w:val="20"/>
              </w:rPr>
            </w:pPr>
            <w:r w:rsidRPr="004406E2">
              <w:rPr>
                <w:rFonts w:ascii="Arial" w:hAnsi="Arial" w:cs="Arial"/>
                <w:b/>
                <w:bCs/>
                <w:color w:val="000000"/>
                <w:sz w:val="20"/>
                <w:szCs w:val="20"/>
              </w:rPr>
              <w:t>Equipo</w:t>
            </w:r>
          </w:p>
        </w:tc>
        <w:tc>
          <w:tcPr>
            <w:tcW w:w="4459" w:type="dxa"/>
            <w:tcBorders>
              <w:top w:val="single" w:sz="12" w:space="0" w:color="auto"/>
              <w:left w:val="single" w:sz="12" w:space="0" w:color="auto"/>
              <w:bottom w:val="single" w:sz="12" w:space="0" w:color="auto"/>
              <w:right w:val="single" w:sz="12" w:space="0" w:color="auto"/>
            </w:tcBorders>
            <w:shd w:val="clear" w:color="auto" w:fill="auto"/>
          </w:tcPr>
          <w:p w:rsidR="00463ECC" w:rsidRPr="004406E2" w:rsidRDefault="00463ECC" w:rsidP="00B81843">
            <w:pPr>
              <w:pStyle w:val="TableParagraph"/>
              <w:spacing w:line="232" w:lineRule="exact"/>
              <w:ind w:right="1532"/>
              <w:jc w:val="center"/>
              <w:rPr>
                <w:rFonts w:ascii="Arial" w:hAnsi="Arial" w:cs="Arial"/>
                <w:b/>
                <w:bCs/>
                <w:color w:val="000000"/>
                <w:sz w:val="20"/>
                <w:szCs w:val="20"/>
              </w:rPr>
            </w:pPr>
            <w:r w:rsidRPr="004406E2">
              <w:rPr>
                <w:rFonts w:ascii="Arial" w:hAnsi="Arial" w:cs="Arial"/>
                <w:b/>
                <w:bCs/>
                <w:color w:val="000000"/>
                <w:sz w:val="20"/>
                <w:szCs w:val="20"/>
              </w:rPr>
              <w:t>Simbologia</w:t>
            </w:r>
          </w:p>
        </w:tc>
      </w:tr>
      <w:tr w:rsidR="00463ECC" w:rsidRPr="004406E2" w:rsidTr="00B81843">
        <w:trPr>
          <w:trHeight w:val="308"/>
          <w:jc w:val="center"/>
        </w:trPr>
        <w:tc>
          <w:tcPr>
            <w:tcW w:w="4276" w:type="dxa"/>
            <w:tcBorders>
              <w:top w:val="single" w:sz="12" w:space="0" w:color="auto"/>
            </w:tcBorders>
            <w:shd w:val="clear" w:color="auto" w:fill="CCCCCC"/>
          </w:tcPr>
          <w:p w:rsidR="00463ECC" w:rsidRPr="004406E2" w:rsidRDefault="00463ECC" w:rsidP="00B81843">
            <w:pPr>
              <w:pStyle w:val="TableParagraph"/>
              <w:spacing w:line="232" w:lineRule="exact"/>
              <w:ind w:left="55" w:right="51"/>
              <w:rPr>
                <w:rFonts w:ascii="Arial" w:hAnsi="Arial" w:cs="Arial"/>
                <w:bCs/>
                <w:color w:val="000000"/>
                <w:sz w:val="20"/>
                <w:szCs w:val="20"/>
              </w:rPr>
            </w:pPr>
            <w:r w:rsidRPr="004406E2">
              <w:rPr>
                <w:rFonts w:ascii="Arial" w:hAnsi="Arial" w:cs="Arial"/>
                <w:bCs/>
                <w:color w:val="000000"/>
                <w:sz w:val="20"/>
                <w:szCs w:val="20"/>
              </w:rPr>
              <w:t>Tanque de almacenamiento</w:t>
            </w:r>
          </w:p>
        </w:tc>
        <w:tc>
          <w:tcPr>
            <w:tcW w:w="4459" w:type="dxa"/>
            <w:tcBorders>
              <w:top w:val="single" w:sz="12" w:space="0" w:color="auto"/>
            </w:tcBorders>
            <w:shd w:val="clear" w:color="auto" w:fill="CCCCCC"/>
          </w:tcPr>
          <w:p w:rsidR="00463ECC" w:rsidRPr="004406E2" w:rsidRDefault="00463ECC" w:rsidP="00B81843">
            <w:pPr>
              <w:pStyle w:val="TableParagraph"/>
              <w:spacing w:line="232" w:lineRule="exact"/>
              <w:ind w:left="1528" w:right="1532"/>
              <w:jc w:val="center"/>
              <w:rPr>
                <w:rFonts w:ascii="Arial" w:hAnsi="Arial" w:cs="Arial"/>
                <w:bCs/>
                <w:color w:val="000000"/>
                <w:sz w:val="20"/>
                <w:szCs w:val="20"/>
              </w:rPr>
            </w:pPr>
            <w:r w:rsidRPr="004406E2">
              <w:rPr>
                <w:rFonts w:ascii="Arial" w:hAnsi="Arial" w:cs="Arial"/>
                <w:bCs/>
                <w:color w:val="000000"/>
                <w:sz w:val="20"/>
                <w:szCs w:val="20"/>
              </w:rPr>
              <w:t>F-110</w:t>
            </w:r>
          </w:p>
        </w:tc>
      </w:tr>
      <w:tr w:rsidR="00463ECC" w:rsidRPr="004406E2" w:rsidTr="00B81843">
        <w:trPr>
          <w:trHeight w:val="310"/>
          <w:jc w:val="center"/>
        </w:trPr>
        <w:tc>
          <w:tcPr>
            <w:tcW w:w="4276" w:type="dxa"/>
            <w:shd w:val="clear" w:color="auto" w:fill="auto"/>
          </w:tcPr>
          <w:p w:rsidR="00463ECC" w:rsidRPr="004406E2" w:rsidRDefault="00463ECC" w:rsidP="00B81843">
            <w:pPr>
              <w:pStyle w:val="TableParagraph"/>
              <w:spacing w:line="233" w:lineRule="exact"/>
              <w:ind w:left="55" w:right="51"/>
              <w:rPr>
                <w:rFonts w:ascii="Arial" w:hAnsi="Arial" w:cs="Arial"/>
                <w:bCs/>
                <w:color w:val="000000"/>
                <w:sz w:val="20"/>
                <w:szCs w:val="20"/>
              </w:rPr>
            </w:pPr>
            <w:r w:rsidRPr="004406E2">
              <w:rPr>
                <w:rFonts w:ascii="Arial" w:hAnsi="Arial" w:cs="Arial"/>
                <w:bCs/>
                <w:color w:val="000000"/>
                <w:sz w:val="20"/>
                <w:szCs w:val="20"/>
              </w:rPr>
              <w:t>Evaporador</w:t>
            </w:r>
          </w:p>
        </w:tc>
        <w:tc>
          <w:tcPr>
            <w:tcW w:w="4459" w:type="dxa"/>
            <w:shd w:val="clear" w:color="auto" w:fill="auto"/>
          </w:tcPr>
          <w:p w:rsidR="00463ECC" w:rsidRPr="004406E2" w:rsidRDefault="00463ECC" w:rsidP="00B81843">
            <w:pPr>
              <w:pStyle w:val="TableParagraph"/>
              <w:spacing w:line="233" w:lineRule="exact"/>
              <w:ind w:left="1529" w:right="1532"/>
              <w:jc w:val="center"/>
              <w:rPr>
                <w:rFonts w:ascii="Arial" w:hAnsi="Arial" w:cs="Arial"/>
                <w:bCs/>
                <w:color w:val="000000"/>
                <w:sz w:val="20"/>
                <w:szCs w:val="20"/>
              </w:rPr>
            </w:pPr>
            <w:r w:rsidRPr="004406E2">
              <w:rPr>
                <w:rFonts w:ascii="Arial" w:hAnsi="Arial" w:cs="Arial"/>
                <w:bCs/>
                <w:color w:val="000000"/>
                <w:sz w:val="20"/>
                <w:szCs w:val="20"/>
              </w:rPr>
              <w:t>E-210</w:t>
            </w:r>
          </w:p>
        </w:tc>
      </w:tr>
      <w:tr w:rsidR="00463ECC" w:rsidRPr="004406E2" w:rsidTr="00B81843">
        <w:trPr>
          <w:trHeight w:val="310"/>
          <w:jc w:val="center"/>
        </w:trPr>
        <w:tc>
          <w:tcPr>
            <w:tcW w:w="4276" w:type="dxa"/>
            <w:shd w:val="clear" w:color="auto" w:fill="CCCCCC"/>
          </w:tcPr>
          <w:p w:rsidR="00463ECC" w:rsidRPr="004406E2" w:rsidRDefault="00463ECC" w:rsidP="00B81843">
            <w:pPr>
              <w:pStyle w:val="TableParagraph"/>
              <w:spacing w:line="233" w:lineRule="exact"/>
              <w:ind w:left="55" w:right="51"/>
              <w:rPr>
                <w:rFonts w:ascii="Arial" w:hAnsi="Arial" w:cs="Arial"/>
                <w:bCs/>
                <w:color w:val="000000"/>
                <w:sz w:val="20"/>
                <w:szCs w:val="20"/>
              </w:rPr>
            </w:pPr>
            <w:r w:rsidRPr="004406E2">
              <w:rPr>
                <w:rFonts w:ascii="Arial" w:hAnsi="Arial" w:cs="Arial"/>
                <w:bCs/>
                <w:color w:val="000000"/>
                <w:sz w:val="20"/>
                <w:szCs w:val="20"/>
              </w:rPr>
              <w:t>Tubo refrigerante</w:t>
            </w:r>
          </w:p>
        </w:tc>
        <w:tc>
          <w:tcPr>
            <w:tcW w:w="4459" w:type="dxa"/>
            <w:shd w:val="clear" w:color="auto" w:fill="CCCCCC"/>
          </w:tcPr>
          <w:p w:rsidR="00463ECC" w:rsidRPr="004406E2" w:rsidRDefault="00463ECC" w:rsidP="00B81843">
            <w:pPr>
              <w:pStyle w:val="TableParagraph"/>
              <w:spacing w:line="233" w:lineRule="exact"/>
              <w:ind w:left="1529" w:right="1532"/>
              <w:jc w:val="center"/>
              <w:rPr>
                <w:rFonts w:ascii="Arial" w:hAnsi="Arial" w:cs="Arial"/>
                <w:bCs/>
                <w:color w:val="000000"/>
                <w:sz w:val="20"/>
                <w:szCs w:val="20"/>
              </w:rPr>
            </w:pPr>
            <w:r w:rsidRPr="004406E2">
              <w:rPr>
                <w:rFonts w:ascii="Arial" w:hAnsi="Arial" w:cs="Arial"/>
                <w:bCs/>
                <w:color w:val="000000"/>
                <w:sz w:val="20"/>
                <w:szCs w:val="20"/>
              </w:rPr>
              <w:t>D-310</w:t>
            </w:r>
          </w:p>
        </w:tc>
      </w:tr>
      <w:tr w:rsidR="00463ECC" w:rsidRPr="004406E2" w:rsidTr="00B81843">
        <w:trPr>
          <w:trHeight w:val="310"/>
          <w:jc w:val="center"/>
        </w:trPr>
        <w:tc>
          <w:tcPr>
            <w:tcW w:w="4276" w:type="dxa"/>
            <w:shd w:val="clear" w:color="auto" w:fill="auto"/>
          </w:tcPr>
          <w:p w:rsidR="00463ECC" w:rsidRPr="004406E2" w:rsidRDefault="00463ECC" w:rsidP="00B81843">
            <w:pPr>
              <w:pStyle w:val="TableParagraph"/>
              <w:spacing w:line="233" w:lineRule="exact"/>
              <w:ind w:left="57" w:right="51"/>
              <w:rPr>
                <w:rFonts w:ascii="Arial" w:hAnsi="Arial" w:cs="Arial"/>
                <w:bCs/>
                <w:color w:val="000000"/>
                <w:sz w:val="20"/>
                <w:szCs w:val="20"/>
              </w:rPr>
            </w:pPr>
            <w:r w:rsidRPr="004406E2">
              <w:rPr>
                <w:rFonts w:ascii="Arial" w:hAnsi="Arial" w:cs="Arial"/>
                <w:bCs/>
                <w:color w:val="000000"/>
                <w:sz w:val="20"/>
                <w:szCs w:val="20"/>
              </w:rPr>
              <w:t>Tanque de almacenamiento del condensado</w:t>
            </w:r>
          </w:p>
        </w:tc>
        <w:tc>
          <w:tcPr>
            <w:tcW w:w="4459" w:type="dxa"/>
            <w:shd w:val="clear" w:color="auto" w:fill="auto"/>
          </w:tcPr>
          <w:p w:rsidR="00463ECC" w:rsidRPr="004406E2" w:rsidRDefault="00463ECC" w:rsidP="00B81843">
            <w:pPr>
              <w:pStyle w:val="TableParagraph"/>
              <w:spacing w:line="233" w:lineRule="exact"/>
              <w:ind w:left="1529" w:right="1532"/>
              <w:jc w:val="center"/>
              <w:rPr>
                <w:rFonts w:ascii="Arial" w:hAnsi="Arial" w:cs="Arial"/>
                <w:bCs/>
                <w:color w:val="000000"/>
                <w:sz w:val="20"/>
                <w:szCs w:val="20"/>
              </w:rPr>
            </w:pPr>
            <w:r w:rsidRPr="004406E2">
              <w:rPr>
                <w:rFonts w:ascii="Arial" w:hAnsi="Arial" w:cs="Arial"/>
                <w:bCs/>
                <w:color w:val="000000"/>
                <w:sz w:val="20"/>
                <w:szCs w:val="20"/>
              </w:rPr>
              <w:t>E-410</w:t>
            </w:r>
          </w:p>
        </w:tc>
      </w:tr>
      <w:tr w:rsidR="00463ECC" w:rsidRPr="004406E2" w:rsidTr="00B81843">
        <w:trPr>
          <w:trHeight w:val="309"/>
          <w:jc w:val="center"/>
        </w:trPr>
        <w:tc>
          <w:tcPr>
            <w:tcW w:w="4276" w:type="dxa"/>
            <w:shd w:val="clear" w:color="auto" w:fill="CCCCCC"/>
          </w:tcPr>
          <w:p w:rsidR="00463ECC" w:rsidRPr="004406E2" w:rsidRDefault="00463ECC" w:rsidP="00B81843">
            <w:pPr>
              <w:pStyle w:val="TableParagraph"/>
              <w:spacing w:line="232" w:lineRule="exact"/>
              <w:ind w:left="57" w:right="51"/>
              <w:rPr>
                <w:rFonts w:ascii="Arial" w:hAnsi="Arial" w:cs="Arial"/>
                <w:bCs/>
                <w:color w:val="000000"/>
                <w:sz w:val="20"/>
                <w:szCs w:val="20"/>
              </w:rPr>
            </w:pPr>
            <w:r w:rsidRPr="004406E2">
              <w:rPr>
                <w:rFonts w:ascii="Arial" w:hAnsi="Arial" w:cs="Arial"/>
                <w:bCs/>
                <w:color w:val="000000"/>
                <w:sz w:val="20"/>
                <w:szCs w:val="20"/>
              </w:rPr>
              <w:t>Cristalizador</w:t>
            </w:r>
          </w:p>
        </w:tc>
        <w:tc>
          <w:tcPr>
            <w:tcW w:w="4459" w:type="dxa"/>
            <w:shd w:val="clear" w:color="auto" w:fill="CCCCCC"/>
          </w:tcPr>
          <w:p w:rsidR="00463ECC" w:rsidRPr="004406E2" w:rsidRDefault="00463ECC" w:rsidP="00B81843">
            <w:pPr>
              <w:pStyle w:val="TableParagraph"/>
              <w:spacing w:line="232" w:lineRule="exact"/>
              <w:ind w:left="1529" w:right="1532"/>
              <w:jc w:val="center"/>
              <w:rPr>
                <w:rFonts w:ascii="Arial" w:hAnsi="Arial" w:cs="Arial"/>
                <w:bCs/>
                <w:color w:val="000000"/>
                <w:sz w:val="20"/>
                <w:szCs w:val="20"/>
              </w:rPr>
            </w:pPr>
            <w:r w:rsidRPr="004406E2">
              <w:rPr>
                <w:rFonts w:ascii="Arial" w:hAnsi="Arial" w:cs="Arial"/>
                <w:bCs/>
                <w:color w:val="000000"/>
                <w:sz w:val="20"/>
                <w:szCs w:val="20"/>
              </w:rPr>
              <w:t>X-510</w:t>
            </w:r>
          </w:p>
        </w:tc>
      </w:tr>
      <w:tr w:rsidR="00463ECC" w:rsidRPr="004406E2" w:rsidTr="00B81843">
        <w:trPr>
          <w:trHeight w:val="310"/>
          <w:jc w:val="center"/>
        </w:trPr>
        <w:tc>
          <w:tcPr>
            <w:tcW w:w="4276" w:type="dxa"/>
            <w:shd w:val="clear" w:color="auto" w:fill="auto"/>
          </w:tcPr>
          <w:p w:rsidR="00463ECC" w:rsidRPr="004406E2" w:rsidRDefault="00463ECC" w:rsidP="00B81843">
            <w:pPr>
              <w:pStyle w:val="TableParagraph"/>
              <w:spacing w:line="233" w:lineRule="exact"/>
              <w:ind w:left="57" w:right="51"/>
              <w:rPr>
                <w:rFonts w:ascii="Arial" w:hAnsi="Arial" w:cs="Arial"/>
                <w:bCs/>
                <w:color w:val="000000"/>
                <w:sz w:val="20"/>
                <w:szCs w:val="20"/>
              </w:rPr>
            </w:pPr>
            <w:r w:rsidRPr="004406E2">
              <w:rPr>
                <w:rFonts w:ascii="Arial" w:hAnsi="Arial" w:cs="Arial"/>
                <w:bCs/>
                <w:color w:val="000000"/>
                <w:sz w:val="20"/>
                <w:szCs w:val="20"/>
              </w:rPr>
              <w:t>Sistema de calefacción/refrigeración</w:t>
            </w:r>
          </w:p>
        </w:tc>
        <w:tc>
          <w:tcPr>
            <w:tcW w:w="4459" w:type="dxa"/>
            <w:shd w:val="clear" w:color="auto" w:fill="auto"/>
          </w:tcPr>
          <w:p w:rsidR="00463ECC" w:rsidRPr="004406E2" w:rsidRDefault="00463ECC" w:rsidP="00B81843">
            <w:pPr>
              <w:pStyle w:val="TableParagraph"/>
              <w:spacing w:line="233" w:lineRule="exact"/>
              <w:ind w:left="1528" w:right="1532"/>
              <w:jc w:val="center"/>
              <w:rPr>
                <w:rFonts w:ascii="Arial" w:hAnsi="Arial" w:cs="Arial"/>
                <w:bCs/>
                <w:color w:val="000000"/>
                <w:sz w:val="20"/>
                <w:szCs w:val="20"/>
              </w:rPr>
            </w:pPr>
            <w:r w:rsidRPr="004406E2">
              <w:rPr>
                <w:rFonts w:ascii="Arial" w:hAnsi="Arial" w:cs="Arial"/>
                <w:bCs/>
                <w:color w:val="000000"/>
                <w:sz w:val="20"/>
                <w:szCs w:val="20"/>
              </w:rPr>
              <w:t>P-610</w:t>
            </w:r>
          </w:p>
        </w:tc>
      </w:tr>
      <w:tr w:rsidR="00463ECC" w:rsidRPr="004406E2" w:rsidTr="00B81843">
        <w:trPr>
          <w:trHeight w:val="310"/>
          <w:jc w:val="center"/>
        </w:trPr>
        <w:tc>
          <w:tcPr>
            <w:tcW w:w="4276" w:type="dxa"/>
            <w:shd w:val="clear" w:color="auto" w:fill="CCCCCC"/>
          </w:tcPr>
          <w:p w:rsidR="00463ECC" w:rsidRPr="004406E2" w:rsidRDefault="00463ECC" w:rsidP="00B81843">
            <w:pPr>
              <w:pStyle w:val="TableParagraph"/>
              <w:spacing w:line="233" w:lineRule="exact"/>
              <w:ind w:left="55" w:right="51"/>
              <w:rPr>
                <w:rFonts w:ascii="Arial" w:hAnsi="Arial" w:cs="Arial"/>
                <w:bCs/>
                <w:color w:val="000000"/>
                <w:sz w:val="20"/>
                <w:szCs w:val="20"/>
              </w:rPr>
            </w:pPr>
            <w:r w:rsidRPr="004406E2">
              <w:rPr>
                <w:rFonts w:ascii="Arial" w:hAnsi="Arial" w:cs="Arial"/>
                <w:bCs/>
                <w:color w:val="000000"/>
                <w:sz w:val="20"/>
                <w:szCs w:val="20"/>
              </w:rPr>
              <w:t>Torre de enfriamiento</w:t>
            </w:r>
          </w:p>
        </w:tc>
        <w:tc>
          <w:tcPr>
            <w:tcW w:w="4459" w:type="dxa"/>
            <w:shd w:val="clear" w:color="auto" w:fill="CCCCCC"/>
          </w:tcPr>
          <w:p w:rsidR="00463ECC" w:rsidRPr="004406E2" w:rsidRDefault="00463ECC" w:rsidP="00B81843">
            <w:pPr>
              <w:pStyle w:val="TableParagraph"/>
              <w:spacing w:line="233" w:lineRule="exact"/>
              <w:ind w:left="1528" w:right="1532"/>
              <w:jc w:val="center"/>
              <w:rPr>
                <w:rFonts w:ascii="Arial" w:hAnsi="Arial" w:cs="Arial"/>
                <w:bCs/>
                <w:color w:val="000000"/>
                <w:sz w:val="20"/>
                <w:szCs w:val="20"/>
              </w:rPr>
            </w:pPr>
            <w:r w:rsidRPr="004406E2">
              <w:rPr>
                <w:rFonts w:ascii="Arial" w:hAnsi="Arial" w:cs="Arial"/>
                <w:bCs/>
                <w:color w:val="000000"/>
                <w:sz w:val="20"/>
                <w:szCs w:val="20"/>
              </w:rPr>
              <w:t>P-710</w:t>
            </w:r>
          </w:p>
        </w:tc>
      </w:tr>
      <w:tr w:rsidR="00463ECC" w:rsidRPr="004406E2" w:rsidTr="00B81843">
        <w:trPr>
          <w:trHeight w:val="310"/>
          <w:jc w:val="center"/>
        </w:trPr>
        <w:tc>
          <w:tcPr>
            <w:tcW w:w="4276" w:type="dxa"/>
            <w:shd w:val="clear" w:color="auto" w:fill="auto"/>
          </w:tcPr>
          <w:p w:rsidR="00463ECC" w:rsidRPr="004406E2" w:rsidRDefault="00463ECC" w:rsidP="00B81843">
            <w:pPr>
              <w:pStyle w:val="TableParagraph"/>
              <w:spacing w:line="233" w:lineRule="exact"/>
              <w:ind w:left="57" w:right="50"/>
              <w:rPr>
                <w:rFonts w:ascii="Arial" w:hAnsi="Arial" w:cs="Arial"/>
                <w:bCs/>
                <w:color w:val="000000"/>
                <w:sz w:val="20"/>
                <w:szCs w:val="20"/>
              </w:rPr>
            </w:pPr>
            <w:r w:rsidRPr="004406E2">
              <w:rPr>
                <w:rFonts w:ascii="Arial" w:hAnsi="Arial" w:cs="Arial"/>
                <w:bCs/>
                <w:color w:val="000000"/>
                <w:sz w:val="20"/>
                <w:szCs w:val="20"/>
              </w:rPr>
              <w:t>Bomba dosificadora</w:t>
            </w:r>
          </w:p>
        </w:tc>
        <w:tc>
          <w:tcPr>
            <w:tcW w:w="4459" w:type="dxa"/>
            <w:shd w:val="clear" w:color="auto" w:fill="auto"/>
          </w:tcPr>
          <w:p w:rsidR="00463ECC" w:rsidRPr="004406E2" w:rsidRDefault="00463ECC" w:rsidP="00B81843">
            <w:pPr>
              <w:pStyle w:val="TableParagraph"/>
              <w:spacing w:line="233" w:lineRule="exact"/>
              <w:ind w:left="1529" w:right="1532"/>
              <w:jc w:val="center"/>
              <w:rPr>
                <w:rFonts w:ascii="Arial" w:hAnsi="Arial" w:cs="Arial"/>
                <w:bCs/>
                <w:color w:val="000000"/>
                <w:sz w:val="20"/>
                <w:szCs w:val="20"/>
              </w:rPr>
            </w:pPr>
            <w:r w:rsidRPr="004406E2">
              <w:rPr>
                <w:rFonts w:ascii="Arial" w:hAnsi="Arial" w:cs="Arial"/>
                <w:bCs/>
                <w:color w:val="000000"/>
                <w:sz w:val="20"/>
                <w:szCs w:val="20"/>
              </w:rPr>
              <w:t>L-111</w:t>
            </w:r>
          </w:p>
        </w:tc>
      </w:tr>
      <w:tr w:rsidR="00463ECC" w:rsidRPr="004406E2" w:rsidTr="00B81843">
        <w:trPr>
          <w:trHeight w:val="310"/>
          <w:jc w:val="center"/>
        </w:trPr>
        <w:tc>
          <w:tcPr>
            <w:tcW w:w="4276" w:type="dxa"/>
            <w:shd w:val="clear" w:color="auto" w:fill="CCCCCC"/>
          </w:tcPr>
          <w:p w:rsidR="00463ECC" w:rsidRPr="004406E2" w:rsidRDefault="00463ECC" w:rsidP="00B81843">
            <w:pPr>
              <w:pStyle w:val="TableParagraph"/>
              <w:spacing w:line="233" w:lineRule="exact"/>
              <w:ind w:left="55" w:right="51"/>
              <w:rPr>
                <w:rFonts w:ascii="Arial" w:hAnsi="Arial" w:cs="Arial"/>
                <w:bCs/>
                <w:color w:val="000000"/>
                <w:sz w:val="20"/>
                <w:szCs w:val="20"/>
              </w:rPr>
            </w:pPr>
            <w:r w:rsidRPr="004406E2">
              <w:rPr>
                <w:rFonts w:ascii="Arial" w:hAnsi="Arial" w:cs="Arial"/>
                <w:bCs/>
                <w:color w:val="000000"/>
                <w:sz w:val="20"/>
                <w:szCs w:val="20"/>
              </w:rPr>
              <w:t>Hidroneumático</w:t>
            </w:r>
          </w:p>
        </w:tc>
        <w:tc>
          <w:tcPr>
            <w:tcW w:w="4459" w:type="dxa"/>
            <w:shd w:val="clear" w:color="auto" w:fill="CCCCCC"/>
          </w:tcPr>
          <w:p w:rsidR="00463ECC" w:rsidRPr="004406E2" w:rsidRDefault="00463ECC" w:rsidP="00B81843">
            <w:pPr>
              <w:pStyle w:val="TableParagraph"/>
              <w:spacing w:line="233" w:lineRule="exact"/>
              <w:ind w:left="1529" w:right="1532"/>
              <w:jc w:val="center"/>
              <w:rPr>
                <w:rFonts w:ascii="Arial" w:hAnsi="Arial" w:cs="Arial"/>
                <w:bCs/>
                <w:color w:val="000000"/>
                <w:sz w:val="20"/>
                <w:szCs w:val="20"/>
              </w:rPr>
            </w:pPr>
            <w:r w:rsidRPr="004406E2">
              <w:rPr>
                <w:rFonts w:ascii="Arial" w:hAnsi="Arial" w:cs="Arial"/>
                <w:bCs/>
                <w:color w:val="000000"/>
                <w:sz w:val="20"/>
                <w:szCs w:val="20"/>
              </w:rPr>
              <w:t>L-711</w:t>
            </w:r>
          </w:p>
        </w:tc>
      </w:tr>
      <w:tr w:rsidR="00463ECC" w:rsidRPr="004406E2" w:rsidTr="00B81843">
        <w:trPr>
          <w:trHeight w:val="635"/>
          <w:jc w:val="center"/>
        </w:trPr>
        <w:tc>
          <w:tcPr>
            <w:tcW w:w="4276" w:type="dxa"/>
            <w:shd w:val="clear" w:color="auto" w:fill="auto"/>
          </w:tcPr>
          <w:p w:rsidR="00463ECC" w:rsidRPr="004406E2" w:rsidRDefault="00463ECC" w:rsidP="00B81843">
            <w:pPr>
              <w:pStyle w:val="TableParagraph"/>
              <w:spacing w:before="122"/>
              <w:ind w:left="55" w:right="51"/>
              <w:rPr>
                <w:rFonts w:ascii="Arial" w:hAnsi="Arial" w:cs="Arial"/>
                <w:bCs/>
                <w:color w:val="000000"/>
                <w:sz w:val="20"/>
                <w:szCs w:val="20"/>
              </w:rPr>
            </w:pPr>
            <w:r w:rsidRPr="004406E2">
              <w:rPr>
                <w:rFonts w:ascii="Arial" w:hAnsi="Arial" w:cs="Arial"/>
                <w:bCs/>
                <w:color w:val="000000"/>
                <w:sz w:val="20"/>
                <w:szCs w:val="20"/>
              </w:rPr>
              <w:lastRenderedPageBreak/>
              <w:t>Válvulas</w:t>
            </w:r>
          </w:p>
        </w:tc>
        <w:tc>
          <w:tcPr>
            <w:tcW w:w="4459" w:type="dxa"/>
            <w:shd w:val="clear" w:color="auto" w:fill="auto"/>
          </w:tcPr>
          <w:p w:rsidR="00463ECC" w:rsidRPr="004406E2" w:rsidRDefault="00463ECC" w:rsidP="00B81843">
            <w:pPr>
              <w:pStyle w:val="TableParagraph"/>
              <w:spacing w:line="248" w:lineRule="exact"/>
              <w:ind w:left="69"/>
              <w:rPr>
                <w:rFonts w:ascii="Arial" w:hAnsi="Arial" w:cs="Arial"/>
                <w:bCs/>
                <w:color w:val="000000"/>
                <w:sz w:val="20"/>
                <w:szCs w:val="20"/>
              </w:rPr>
            </w:pPr>
            <w:r w:rsidRPr="004406E2">
              <w:rPr>
                <w:rFonts w:ascii="Arial" w:hAnsi="Arial" w:cs="Arial"/>
                <w:bCs/>
                <w:color w:val="000000"/>
                <w:sz w:val="20"/>
                <w:szCs w:val="20"/>
              </w:rPr>
              <w:t>K-211,K-212,K-214,K-411,K-412, K-512,</w:t>
            </w:r>
          </w:p>
          <w:p w:rsidR="00463ECC" w:rsidRPr="004406E2" w:rsidRDefault="00463ECC" w:rsidP="00B81843">
            <w:pPr>
              <w:pStyle w:val="TableParagraph"/>
              <w:spacing w:line="250" w:lineRule="exact"/>
              <w:ind w:left="69"/>
              <w:rPr>
                <w:rFonts w:ascii="Arial" w:hAnsi="Arial" w:cs="Arial"/>
                <w:bCs/>
                <w:color w:val="000000"/>
                <w:sz w:val="20"/>
                <w:szCs w:val="20"/>
              </w:rPr>
            </w:pPr>
            <w:r w:rsidRPr="004406E2">
              <w:rPr>
                <w:rFonts w:ascii="Arial" w:hAnsi="Arial" w:cs="Arial"/>
                <w:bCs/>
                <w:color w:val="000000"/>
                <w:sz w:val="20"/>
                <w:szCs w:val="20"/>
              </w:rPr>
              <w:t>K-712,K-713,K-714</w:t>
            </w:r>
          </w:p>
        </w:tc>
      </w:tr>
      <w:tr w:rsidR="00463ECC" w:rsidRPr="004406E2" w:rsidTr="00B81843">
        <w:trPr>
          <w:trHeight w:val="358"/>
          <w:jc w:val="center"/>
        </w:trPr>
        <w:tc>
          <w:tcPr>
            <w:tcW w:w="4276" w:type="dxa"/>
            <w:tcBorders>
              <w:top w:val="double" w:sz="4" w:space="0" w:color="666666"/>
              <w:bottom w:val="single" w:sz="12" w:space="0" w:color="auto"/>
            </w:tcBorders>
            <w:shd w:val="clear" w:color="auto" w:fill="auto"/>
          </w:tcPr>
          <w:p w:rsidR="00463ECC" w:rsidRPr="004406E2" w:rsidRDefault="00463ECC" w:rsidP="00B81843">
            <w:pPr>
              <w:pStyle w:val="TableParagraph"/>
              <w:spacing w:before="8"/>
              <w:ind w:left="55" w:right="51"/>
              <w:rPr>
                <w:rFonts w:ascii="Arial" w:hAnsi="Arial" w:cs="Arial"/>
                <w:bCs/>
                <w:color w:val="000000"/>
                <w:sz w:val="20"/>
                <w:szCs w:val="20"/>
              </w:rPr>
            </w:pPr>
            <w:r w:rsidRPr="004406E2">
              <w:rPr>
                <w:rFonts w:ascii="Arial" w:hAnsi="Arial" w:cs="Arial"/>
                <w:bCs/>
                <w:color w:val="000000"/>
                <w:sz w:val="20"/>
                <w:szCs w:val="20"/>
              </w:rPr>
              <w:t>Termopares</w:t>
            </w:r>
          </w:p>
        </w:tc>
        <w:tc>
          <w:tcPr>
            <w:tcW w:w="4459" w:type="dxa"/>
            <w:tcBorders>
              <w:top w:val="double" w:sz="4" w:space="0" w:color="666666"/>
            </w:tcBorders>
            <w:shd w:val="clear" w:color="auto" w:fill="auto"/>
          </w:tcPr>
          <w:p w:rsidR="00463ECC" w:rsidRPr="004406E2" w:rsidRDefault="00463ECC" w:rsidP="00B81843">
            <w:pPr>
              <w:pStyle w:val="TableParagraph"/>
              <w:spacing w:before="35" w:line="238" w:lineRule="exact"/>
              <w:ind w:left="69"/>
              <w:rPr>
                <w:rFonts w:ascii="Arial" w:hAnsi="Arial" w:cs="Arial"/>
                <w:bCs/>
                <w:color w:val="000000"/>
                <w:sz w:val="20"/>
                <w:szCs w:val="20"/>
              </w:rPr>
            </w:pPr>
            <w:r w:rsidRPr="004406E2">
              <w:rPr>
                <w:rFonts w:ascii="Arial" w:hAnsi="Arial" w:cs="Arial"/>
                <w:bCs/>
                <w:color w:val="000000"/>
                <w:sz w:val="20"/>
                <w:szCs w:val="20"/>
              </w:rPr>
              <w:t>K-213, K-311,K-312, K-511,K-611,K-612</w:t>
            </w:r>
          </w:p>
        </w:tc>
      </w:tr>
    </w:tbl>
    <w:p w:rsidR="00463ECC" w:rsidRDefault="00463ECC" w:rsidP="00463ECC">
      <w:pPr>
        <w:pStyle w:val="EQN"/>
      </w:pPr>
      <w:r w:rsidRPr="00AF312F">
        <w:tab/>
      </w:r>
    </w:p>
    <w:p w:rsidR="00463ECC" w:rsidRPr="00463ECC" w:rsidRDefault="00463ECC" w:rsidP="00463ECC">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94" w:name="_Toc50031209"/>
      <w:r w:rsidRPr="00463ECC">
        <w:rPr>
          <w:rFonts w:ascii="Arial" w:hAnsi="Arial" w:cs="Arial"/>
          <w:i/>
          <w:caps/>
          <w:sz w:val="24"/>
          <w:szCs w:val="24"/>
        </w:rPr>
        <w:t xml:space="preserve">4. </w:t>
      </w:r>
      <w:r w:rsidRPr="00463ECC">
        <w:rPr>
          <w:rFonts w:ascii="Arial" w:hAnsi="Arial" w:cs="Arial"/>
          <w:i/>
          <w:sz w:val="24"/>
          <w:szCs w:val="24"/>
        </w:rPr>
        <w:t>Resultados y discusión</w:t>
      </w:r>
      <w:bookmarkEnd w:id="94"/>
    </w:p>
    <w:p w:rsidR="00463ECC" w:rsidRDefault="00463ECC" w:rsidP="00463ECC">
      <w:pPr>
        <w:pStyle w:val="Textoindependiente"/>
        <w:ind w:firstLine="539"/>
        <w:jc w:val="both"/>
        <w:rPr>
          <w:rFonts w:ascii="Arial" w:hAnsi="Arial" w:cs="Arial"/>
          <w:b w:val="0"/>
          <w:sz w:val="24"/>
          <w:lang w:val="es-MX"/>
        </w:rPr>
      </w:pPr>
      <w:r>
        <w:rPr>
          <w:rFonts w:ascii="Arial" w:hAnsi="Arial" w:cs="Arial"/>
          <w:b w:val="0"/>
          <w:sz w:val="24"/>
        </w:rPr>
        <w:t xml:space="preserve">El trabajo en el laboratorio para determinar las curvas de solubilidad incluyó diferentes disolventes: agua, metanol, alcohol isopropílico y acetona.  </w:t>
      </w:r>
      <w:r w:rsidRPr="001E635C">
        <w:rPr>
          <w:rFonts w:ascii="Arial" w:hAnsi="Arial" w:cs="Arial"/>
          <w:b w:val="0"/>
          <w:sz w:val="24"/>
          <w:lang w:val="es-MX"/>
        </w:rPr>
        <w:t xml:space="preserve">Cuando se hace la </w:t>
      </w:r>
      <w:r>
        <w:rPr>
          <w:rFonts w:ascii="Arial" w:hAnsi="Arial" w:cs="Arial"/>
          <w:b w:val="0"/>
          <w:sz w:val="24"/>
          <w:lang w:val="es-MX"/>
        </w:rPr>
        <w:t>prueba con acetona inmediatamente que se agrega</w:t>
      </w:r>
      <w:r w:rsidRPr="001E635C">
        <w:rPr>
          <w:rFonts w:ascii="Arial" w:hAnsi="Arial" w:cs="Arial"/>
          <w:b w:val="0"/>
          <w:sz w:val="24"/>
          <w:lang w:val="es-MX"/>
        </w:rPr>
        <w:t xml:space="preserve"> el ácido</w:t>
      </w:r>
      <w:r>
        <w:rPr>
          <w:rFonts w:ascii="Arial" w:hAnsi="Arial" w:cs="Arial"/>
          <w:b w:val="0"/>
          <w:sz w:val="24"/>
          <w:lang w:val="es-MX"/>
        </w:rPr>
        <w:t xml:space="preserve">, comienza a descender la temperatura y con solo una agitación tenemos formación de cristales en </w:t>
      </w:r>
      <w:r w:rsidRPr="001E635C">
        <w:rPr>
          <w:rFonts w:ascii="Arial" w:hAnsi="Arial" w:cs="Arial"/>
          <w:b w:val="0"/>
          <w:sz w:val="24"/>
          <w:lang w:val="es-MX"/>
        </w:rPr>
        <w:t>las paredes</w:t>
      </w:r>
      <w:r>
        <w:rPr>
          <w:rFonts w:ascii="Arial" w:hAnsi="Arial" w:cs="Arial"/>
          <w:b w:val="0"/>
          <w:sz w:val="24"/>
          <w:lang w:val="es-MX"/>
        </w:rPr>
        <w:t xml:space="preserve"> del recipiente, al ser un disolvente con muy bajo punto de ebullición ocasiona que la cristalización resulte muy difícil de controlar. La curva de solubilidad más conveniente mostró ser la mezcla de etanol-agua al 20 % la cual se muestra en la Figura 2.</w:t>
      </w:r>
    </w:p>
    <w:p w:rsidR="00463ECC" w:rsidRDefault="00463ECC" w:rsidP="00463ECC">
      <w:pPr>
        <w:pStyle w:val="Textoindependiente"/>
        <w:ind w:firstLine="539"/>
        <w:rPr>
          <w:rFonts w:ascii="Arial" w:hAnsi="Arial" w:cs="Arial"/>
          <w:b w:val="0"/>
          <w:sz w:val="24"/>
          <w:lang w:val="es-MX"/>
        </w:rPr>
      </w:pPr>
    </w:p>
    <w:p w:rsidR="00463ECC" w:rsidRDefault="00463ECC" w:rsidP="00463ECC">
      <w:pPr>
        <w:pStyle w:val="Textoindependiente"/>
        <w:ind w:firstLine="539"/>
        <w:rPr>
          <w:rFonts w:ascii="Arial" w:hAnsi="Arial" w:cs="Arial"/>
          <w:b w:val="0"/>
          <w:sz w:val="24"/>
          <w:lang w:val="es-MX"/>
        </w:rPr>
      </w:pPr>
    </w:p>
    <w:p w:rsidR="00463ECC" w:rsidRDefault="00463ECC" w:rsidP="00463ECC">
      <w:pPr>
        <w:pStyle w:val="Textoindependiente"/>
        <w:ind w:firstLine="539"/>
        <w:rPr>
          <w:rFonts w:ascii="Arial" w:hAnsi="Arial" w:cs="Arial"/>
          <w:b w:val="0"/>
          <w:sz w:val="24"/>
          <w:lang w:val="es-MX"/>
        </w:rPr>
      </w:pPr>
      <w:r w:rsidRPr="00BA0D63">
        <w:rPr>
          <w:noProof/>
          <w:lang w:val="en-US"/>
        </w:rPr>
        <w:lastRenderedPageBreak/>
        <w:drawing>
          <wp:inline distT="0" distB="0" distL="0" distR="0" wp14:anchorId="24C4B24B" wp14:editId="28F8B5C6">
            <wp:extent cx="3457575" cy="2447925"/>
            <wp:effectExtent l="0" t="76200" r="85725" b="9525"/>
            <wp:docPr id="39" name="Imagen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457575" cy="2447925"/>
                    </a:xfrm>
                    <a:prstGeom prst="rect">
                      <a:avLst/>
                    </a:prstGeom>
                    <a:noFill/>
                    <a:ln>
                      <a:noFill/>
                    </a:ln>
                    <a:effectLst>
                      <a:outerShdw dist="107763" dir="18900000" algn="ctr" rotWithShape="0">
                        <a:srgbClr val="808080">
                          <a:alpha val="50000"/>
                        </a:srgbClr>
                      </a:outerShdw>
                    </a:effectLst>
                  </pic:spPr>
                </pic:pic>
              </a:graphicData>
            </a:graphic>
          </wp:inline>
        </w:drawing>
      </w:r>
      <w:r w:rsidRPr="00DB755D">
        <w:rPr>
          <w:noProof/>
          <w:lang w:val="es-MX"/>
        </w:rPr>
        <w:t xml:space="preserve">             </w:t>
      </w:r>
      <w:r w:rsidRPr="005028C3">
        <w:rPr>
          <w:noProof/>
          <w:lang w:val="en-US"/>
        </w:rPr>
        <w:drawing>
          <wp:inline distT="0" distB="0" distL="0" distR="0" wp14:anchorId="68622E31" wp14:editId="1992EFA9">
            <wp:extent cx="1581150" cy="2114550"/>
            <wp:effectExtent l="0" t="0" r="0" b="0"/>
            <wp:docPr id="38" name="Imagen 38" descr="IMG_20200218_153402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IMG_20200218_153402_HD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581150" cy="2114550"/>
                    </a:xfrm>
                    <a:prstGeom prst="rect">
                      <a:avLst/>
                    </a:prstGeom>
                    <a:noFill/>
                    <a:ln>
                      <a:noFill/>
                    </a:ln>
                  </pic:spPr>
                </pic:pic>
              </a:graphicData>
            </a:graphic>
          </wp:inline>
        </w:drawing>
      </w:r>
    </w:p>
    <w:p w:rsidR="00463ECC" w:rsidRDefault="00463ECC" w:rsidP="00463ECC">
      <w:pPr>
        <w:pStyle w:val="Textoindependiente"/>
        <w:ind w:firstLine="539"/>
        <w:rPr>
          <w:rFonts w:ascii="Arial" w:hAnsi="Arial" w:cs="Arial"/>
          <w:b w:val="0"/>
          <w:sz w:val="24"/>
          <w:lang w:val="es-MX"/>
        </w:rPr>
      </w:pPr>
    </w:p>
    <w:p w:rsidR="00463ECC" w:rsidRDefault="00463ECC" w:rsidP="00463ECC">
      <w:pPr>
        <w:pStyle w:val="Textoindependiente"/>
        <w:ind w:firstLine="539"/>
        <w:rPr>
          <w:rFonts w:ascii="Arial" w:hAnsi="Arial" w:cs="Arial"/>
          <w:b w:val="0"/>
          <w:i/>
          <w:sz w:val="20"/>
          <w:szCs w:val="20"/>
          <w:lang w:val="es-MX"/>
        </w:rPr>
      </w:pPr>
      <w:r w:rsidRPr="009353A4">
        <w:rPr>
          <w:rFonts w:ascii="Arial" w:hAnsi="Arial" w:cs="Arial"/>
          <w:b w:val="0"/>
          <w:i/>
          <w:sz w:val="20"/>
          <w:szCs w:val="20"/>
          <w:lang w:val="es-MX"/>
        </w:rPr>
        <w:t xml:space="preserve">Figura 2. Curva de solubilidad del ácido benzoico </w:t>
      </w:r>
      <w:r>
        <w:rPr>
          <w:rFonts w:ascii="Arial" w:hAnsi="Arial" w:cs="Arial"/>
          <w:b w:val="0"/>
          <w:i/>
          <w:sz w:val="20"/>
          <w:szCs w:val="20"/>
          <w:lang w:val="es-MX"/>
        </w:rPr>
        <w:t xml:space="preserve">                                  Figura 3. Cristales de ácido </w:t>
      </w:r>
    </w:p>
    <w:p w:rsidR="00463ECC" w:rsidRPr="009353A4" w:rsidRDefault="00463ECC" w:rsidP="00463ECC">
      <w:pPr>
        <w:pStyle w:val="Textoindependiente"/>
        <w:ind w:firstLine="539"/>
        <w:rPr>
          <w:rFonts w:ascii="Arial" w:hAnsi="Arial" w:cs="Arial"/>
          <w:b w:val="0"/>
          <w:i/>
          <w:sz w:val="20"/>
          <w:szCs w:val="20"/>
          <w:lang w:val="es-MX"/>
        </w:rPr>
      </w:pPr>
      <w:r w:rsidRPr="009353A4">
        <w:rPr>
          <w:rFonts w:ascii="Arial" w:hAnsi="Arial" w:cs="Arial"/>
          <w:b w:val="0"/>
          <w:i/>
          <w:sz w:val="20"/>
          <w:szCs w:val="20"/>
          <w:lang w:val="es-MX"/>
        </w:rPr>
        <w:t>en una mezcla de etanol-agua al 20 %</w:t>
      </w:r>
      <w:r>
        <w:rPr>
          <w:rFonts w:ascii="Arial" w:hAnsi="Arial" w:cs="Arial"/>
          <w:b w:val="0"/>
          <w:i/>
          <w:sz w:val="20"/>
          <w:szCs w:val="20"/>
          <w:lang w:val="es-MX"/>
        </w:rPr>
        <w:t xml:space="preserve">                                                    benzoico.</w:t>
      </w:r>
    </w:p>
    <w:p w:rsidR="00463ECC" w:rsidRDefault="00463ECC" w:rsidP="00463ECC">
      <w:pPr>
        <w:pStyle w:val="Textoindependiente"/>
        <w:ind w:firstLine="539"/>
        <w:rPr>
          <w:rFonts w:ascii="Arial" w:hAnsi="Arial" w:cs="Arial"/>
          <w:b w:val="0"/>
          <w:sz w:val="24"/>
          <w:lang w:val="es-MX"/>
        </w:rPr>
      </w:pPr>
    </w:p>
    <w:p w:rsidR="00463ECC" w:rsidRDefault="00463ECC" w:rsidP="00463ECC">
      <w:pPr>
        <w:pStyle w:val="Textoindependiente"/>
        <w:ind w:firstLine="539"/>
        <w:jc w:val="both"/>
        <w:rPr>
          <w:rFonts w:ascii="Arial" w:hAnsi="Arial" w:cs="Arial"/>
          <w:b w:val="0"/>
          <w:sz w:val="24"/>
          <w:lang w:val="es-MX"/>
        </w:rPr>
      </w:pPr>
      <w:r>
        <w:rPr>
          <w:rFonts w:ascii="Arial" w:hAnsi="Arial" w:cs="Arial"/>
          <w:b w:val="0"/>
          <w:sz w:val="24"/>
          <w:lang w:val="es-MX"/>
        </w:rPr>
        <w:t>En esta curva se aprecia el comportamiento que debe tener un compuesto cuando se pretende purificarlo por medio de cristalización: debe mostrar una marcada diferencia en su solubilidad la cual debe ser significativamente mayor a alta temperatura que a baja temperatura.</w:t>
      </w:r>
    </w:p>
    <w:p w:rsidR="00463ECC" w:rsidRDefault="00463ECC" w:rsidP="00463ECC">
      <w:pPr>
        <w:pStyle w:val="Textoindependiente"/>
        <w:ind w:firstLine="539"/>
        <w:jc w:val="both"/>
        <w:rPr>
          <w:rFonts w:ascii="Arial" w:hAnsi="Arial" w:cs="Arial"/>
          <w:b w:val="0"/>
          <w:sz w:val="24"/>
          <w:lang w:val="es-MX"/>
        </w:rPr>
      </w:pPr>
      <w:r>
        <w:rPr>
          <w:rFonts w:ascii="Arial" w:hAnsi="Arial" w:cs="Arial"/>
          <w:b w:val="0"/>
          <w:sz w:val="24"/>
          <w:lang w:val="es-MX"/>
        </w:rPr>
        <w:t xml:space="preserve">Las pruebas en el equipo se iniciaron utilizando como disolvente agua destilada y posteriormente se hicieron pruebas con mezclas de alcohol- agua. Los resultados </w:t>
      </w:r>
      <w:r w:rsidRPr="00FA5EA4">
        <w:rPr>
          <w:rFonts w:ascii="Arial" w:hAnsi="Arial" w:cs="Arial"/>
          <w:b w:val="0"/>
          <w:sz w:val="24"/>
        </w:rPr>
        <w:t>más relevantes</w:t>
      </w:r>
      <w:r>
        <w:rPr>
          <w:rFonts w:ascii="Arial" w:hAnsi="Arial" w:cs="Arial"/>
          <w:b w:val="0"/>
          <w:sz w:val="24"/>
          <w:lang w:val="es-MX"/>
        </w:rPr>
        <w:t xml:space="preserve"> se muestran en la Tabla 2. En la figura 3. Se puede observar el licor madre con los cristales formados.</w:t>
      </w:r>
    </w:p>
    <w:p w:rsidR="00463ECC" w:rsidRDefault="00463ECC" w:rsidP="00463ECC">
      <w:pPr>
        <w:pStyle w:val="Textoindependiente"/>
        <w:ind w:firstLine="539"/>
        <w:jc w:val="both"/>
        <w:rPr>
          <w:rFonts w:ascii="Arial" w:hAnsi="Arial" w:cs="Arial"/>
          <w:b w:val="0"/>
          <w:sz w:val="24"/>
          <w:lang w:val="es-MX"/>
        </w:rPr>
      </w:pPr>
      <w:r>
        <w:rPr>
          <w:rFonts w:ascii="Arial" w:hAnsi="Arial" w:cs="Arial"/>
          <w:b w:val="0"/>
          <w:sz w:val="24"/>
          <w:lang w:val="es-MX"/>
        </w:rPr>
        <w:lastRenderedPageBreak/>
        <w:t>En todos los casos se prepararon tres litros de disolución y para obtener la sobresaturación se evaporó un litro de disolvente excepto en la prueba 2 donde se evaporaron 1.5 litros.</w:t>
      </w:r>
    </w:p>
    <w:p w:rsidR="00463ECC" w:rsidRDefault="00463ECC" w:rsidP="00463ECC">
      <w:pPr>
        <w:pStyle w:val="Textoindependiente"/>
        <w:ind w:firstLine="539"/>
        <w:jc w:val="both"/>
        <w:rPr>
          <w:rFonts w:ascii="Arial" w:hAnsi="Arial" w:cs="Arial"/>
          <w:b w:val="0"/>
          <w:sz w:val="24"/>
          <w:lang w:val="es-MX"/>
        </w:rPr>
      </w:pPr>
      <w:r>
        <w:rPr>
          <w:rFonts w:ascii="Arial" w:hAnsi="Arial" w:cs="Arial"/>
          <w:b w:val="0"/>
          <w:sz w:val="24"/>
          <w:lang w:val="es-MX"/>
        </w:rPr>
        <w:t xml:space="preserve">La evaporación donde se empleó como disolvente sólo agua resultó demasiado lenta, siendo uno de los factores que más influyeron en el tiempo del proceso. Las pruebas 1 a 5 se hicieron con cristales de ácido benzoico que, debido a su tiempo y condiciones de almacenamiento, se pueden considerar impuros. En la prueba 6 se emplearon cristales de reciente adquisición que se pueden considerar puros para hacer una comparación del proceso con cristales “puros e impuros”. Comparamos la temperatura de 38°C que se requirió para disolver 40 gr con 32 °C que fueron necesarios para disolver aproximadamente la mitad. </w:t>
      </w:r>
    </w:p>
    <w:p w:rsidR="00463ECC" w:rsidRDefault="00463ECC" w:rsidP="00463ECC">
      <w:pPr>
        <w:pStyle w:val="Textoindependiente"/>
        <w:ind w:firstLine="539"/>
        <w:rPr>
          <w:rFonts w:ascii="Arial" w:hAnsi="Arial" w:cs="Arial"/>
          <w:b w:val="0"/>
          <w:sz w:val="24"/>
          <w:lang w:val="es-MX"/>
        </w:rPr>
      </w:pPr>
      <w:r>
        <w:rPr>
          <w:rFonts w:ascii="Arial" w:hAnsi="Arial" w:cs="Arial"/>
          <w:b w:val="0"/>
          <w:sz w:val="24"/>
          <w:lang w:val="es-MX"/>
        </w:rPr>
        <w:t xml:space="preserve">En las pruebas iniciales se utilizaron cristales “impuros” de mayor tamaño, necesitando mayor temperatura y tiempo para su disolución. </w:t>
      </w:r>
    </w:p>
    <w:p w:rsidR="00463ECC" w:rsidRDefault="00463ECC" w:rsidP="00463ECC">
      <w:pPr>
        <w:pStyle w:val="Textoindependiente"/>
        <w:ind w:firstLine="539"/>
        <w:rPr>
          <w:rFonts w:ascii="Arial" w:hAnsi="Arial" w:cs="Arial"/>
          <w:b w:val="0"/>
          <w:sz w:val="24"/>
          <w:lang w:val="es-MX"/>
        </w:rPr>
      </w:pPr>
    </w:p>
    <w:p w:rsidR="00463ECC" w:rsidRDefault="00463ECC" w:rsidP="00463ECC">
      <w:pPr>
        <w:pStyle w:val="Textoindependiente"/>
        <w:ind w:firstLine="539"/>
        <w:rPr>
          <w:rFonts w:ascii="Arial" w:hAnsi="Arial" w:cs="Arial"/>
          <w:b w:val="0"/>
          <w:sz w:val="24"/>
          <w:lang w:val="es-MX"/>
        </w:rPr>
      </w:pPr>
    </w:p>
    <w:p w:rsidR="00463ECC" w:rsidRPr="009353A4" w:rsidRDefault="00463ECC" w:rsidP="00463ECC">
      <w:pPr>
        <w:pStyle w:val="Textoindependiente"/>
        <w:ind w:firstLine="539"/>
        <w:jc w:val="center"/>
        <w:rPr>
          <w:rFonts w:ascii="Arial" w:hAnsi="Arial" w:cs="Arial"/>
          <w:b w:val="0"/>
          <w:i/>
          <w:sz w:val="20"/>
          <w:szCs w:val="20"/>
          <w:lang w:val="es-MX"/>
        </w:rPr>
      </w:pPr>
      <w:r w:rsidRPr="009353A4">
        <w:rPr>
          <w:rFonts w:ascii="Arial" w:hAnsi="Arial" w:cs="Arial"/>
          <w:b w:val="0"/>
          <w:i/>
          <w:sz w:val="20"/>
          <w:szCs w:val="20"/>
          <w:lang w:val="es-MX"/>
        </w:rPr>
        <w:t>Tabla 2. Resultados más relevantes de las pruebas de cristalización</w:t>
      </w:r>
    </w:p>
    <w:p w:rsidR="00463ECC" w:rsidRDefault="00463ECC" w:rsidP="00463ECC">
      <w:pPr>
        <w:pStyle w:val="Textoindependiente"/>
        <w:ind w:firstLine="539"/>
        <w:rPr>
          <w:rFonts w:ascii="Arial" w:hAnsi="Arial" w:cs="Arial"/>
          <w:b w:val="0"/>
          <w:sz w:val="24"/>
          <w:lang w:val="es-MX"/>
        </w:rPr>
      </w:pPr>
    </w:p>
    <w:tbl>
      <w:tblPr>
        <w:tblW w:w="11256" w:type="dxa"/>
        <w:jc w:val="center"/>
        <w:tblLook w:val="04A0" w:firstRow="1" w:lastRow="0" w:firstColumn="1" w:lastColumn="0" w:noHBand="0" w:noVBand="1"/>
      </w:tblPr>
      <w:tblGrid>
        <w:gridCol w:w="895"/>
        <w:gridCol w:w="960"/>
        <w:gridCol w:w="983"/>
        <w:gridCol w:w="2060"/>
        <w:gridCol w:w="716"/>
        <w:gridCol w:w="1395"/>
        <w:gridCol w:w="1095"/>
        <w:gridCol w:w="1172"/>
        <w:gridCol w:w="820"/>
        <w:gridCol w:w="1160"/>
      </w:tblGrid>
      <w:tr w:rsidR="00463ECC" w:rsidRPr="00552915" w:rsidTr="00B81843">
        <w:trPr>
          <w:trHeight w:val="765"/>
          <w:jc w:val="center"/>
        </w:trPr>
        <w:tc>
          <w:tcPr>
            <w:tcW w:w="8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Prueba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 </w:t>
            </w:r>
          </w:p>
        </w:tc>
        <w:tc>
          <w:tcPr>
            <w:tcW w:w="983" w:type="dxa"/>
            <w:tcBorders>
              <w:top w:val="single" w:sz="4" w:space="0" w:color="auto"/>
              <w:left w:val="nil"/>
              <w:bottom w:val="single" w:sz="4" w:space="0" w:color="auto"/>
              <w:right w:val="single" w:sz="4" w:space="0" w:color="auto"/>
            </w:tcBorders>
            <w:shd w:val="clear" w:color="auto" w:fill="auto"/>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T. de dilución</w:t>
            </w:r>
          </w:p>
        </w:tc>
        <w:tc>
          <w:tcPr>
            <w:tcW w:w="2776" w:type="dxa"/>
            <w:gridSpan w:val="2"/>
            <w:tcBorders>
              <w:top w:val="single" w:sz="4" w:space="0" w:color="auto"/>
              <w:left w:val="nil"/>
              <w:bottom w:val="single" w:sz="4" w:space="0" w:color="auto"/>
              <w:right w:val="single" w:sz="4" w:space="0" w:color="auto"/>
            </w:tcBorders>
            <w:shd w:val="clear" w:color="auto" w:fill="auto"/>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Composición del disolvente %</w:t>
            </w:r>
          </w:p>
        </w:tc>
        <w:tc>
          <w:tcPr>
            <w:tcW w:w="1395" w:type="dxa"/>
            <w:tcBorders>
              <w:top w:val="single" w:sz="4" w:space="0" w:color="auto"/>
              <w:left w:val="nil"/>
              <w:bottom w:val="single" w:sz="4" w:space="0" w:color="auto"/>
              <w:right w:val="single" w:sz="4" w:space="0" w:color="auto"/>
            </w:tcBorders>
            <w:shd w:val="clear" w:color="auto" w:fill="auto"/>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Tiempo de evaporación</w:t>
            </w:r>
          </w:p>
        </w:tc>
        <w:tc>
          <w:tcPr>
            <w:tcW w:w="1095" w:type="dxa"/>
            <w:tcBorders>
              <w:top w:val="single" w:sz="4" w:space="0" w:color="auto"/>
              <w:left w:val="nil"/>
              <w:bottom w:val="single" w:sz="4" w:space="0" w:color="auto"/>
              <w:right w:val="single" w:sz="4" w:space="0" w:color="auto"/>
            </w:tcBorders>
            <w:shd w:val="clear" w:color="auto" w:fill="auto"/>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T  descarga magma</w:t>
            </w:r>
          </w:p>
        </w:tc>
        <w:tc>
          <w:tcPr>
            <w:tcW w:w="1172" w:type="dxa"/>
            <w:tcBorders>
              <w:top w:val="single" w:sz="4" w:space="0" w:color="auto"/>
              <w:left w:val="nil"/>
              <w:bottom w:val="single" w:sz="4" w:space="0" w:color="auto"/>
              <w:right w:val="single" w:sz="4" w:space="0" w:color="auto"/>
            </w:tcBorders>
            <w:shd w:val="clear" w:color="auto" w:fill="auto"/>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 xml:space="preserve">Cristales obtenidos </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 xml:space="preserve">R. </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 xml:space="preserve">Tiempo del proceso* </w:t>
            </w:r>
          </w:p>
        </w:tc>
      </w:tr>
      <w:tr w:rsidR="00463ECC" w:rsidRPr="00552915" w:rsidTr="00B81843">
        <w:trPr>
          <w:trHeight w:val="300"/>
          <w:jc w:val="center"/>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rsidR="00463ECC" w:rsidRPr="00552915" w:rsidRDefault="00463ECC" w:rsidP="00B81843">
            <w:pP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gr</w:t>
            </w:r>
          </w:p>
        </w:tc>
        <w:tc>
          <w:tcPr>
            <w:tcW w:w="983"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°C</w:t>
            </w:r>
          </w:p>
        </w:tc>
        <w:tc>
          <w:tcPr>
            <w:tcW w:w="2060" w:type="dxa"/>
            <w:tcBorders>
              <w:top w:val="nil"/>
              <w:left w:val="nil"/>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 xml:space="preserve">Etanol </w:t>
            </w:r>
          </w:p>
        </w:tc>
        <w:tc>
          <w:tcPr>
            <w:tcW w:w="716" w:type="dxa"/>
            <w:tcBorders>
              <w:top w:val="nil"/>
              <w:left w:val="nil"/>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 xml:space="preserve">Agua </w:t>
            </w:r>
          </w:p>
        </w:tc>
        <w:tc>
          <w:tcPr>
            <w:tcW w:w="1395" w:type="dxa"/>
            <w:tcBorders>
              <w:top w:val="nil"/>
              <w:left w:val="nil"/>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min</w:t>
            </w:r>
          </w:p>
        </w:tc>
        <w:tc>
          <w:tcPr>
            <w:tcW w:w="1095" w:type="dxa"/>
            <w:tcBorders>
              <w:top w:val="nil"/>
              <w:left w:val="nil"/>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°C</w:t>
            </w:r>
          </w:p>
        </w:tc>
        <w:tc>
          <w:tcPr>
            <w:tcW w:w="1172" w:type="dxa"/>
            <w:tcBorders>
              <w:top w:val="nil"/>
              <w:left w:val="nil"/>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gr</w:t>
            </w:r>
          </w:p>
        </w:tc>
        <w:tc>
          <w:tcPr>
            <w:tcW w:w="820" w:type="dxa"/>
            <w:tcBorders>
              <w:top w:val="nil"/>
              <w:left w:val="nil"/>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w:t>
            </w:r>
          </w:p>
        </w:tc>
        <w:tc>
          <w:tcPr>
            <w:tcW w:w="1160" w:type="dxa"/>
            <w:tcBorders>
              <w:top w:val="nil"/>
              <w:left w:val="nil"/>
              <w:bottom w:val="single" w:sz="4" w:space="0" w:color="auto"/>
              <w:right w:val="single" w:sz="4" w:space="0" w:color="auto"/>
            </w:tcBorders>
            <w:shd w:val="clear" w:color="auto" w:fill="auto"/>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hr</w:t>
            </w:r>
          </w:p>
        </w:tc>
      </w:tr>
      <w:tr w:rsidR="00463ECC" w:rsidRPr="00552915" w:rsidTr="00B81843">
        <w:trPr>
          <w:trHeight w:val="300"/>
          <w:jc w:val="center"/>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w:t>
            </w:r>
          </w:p>
        </w:tc>
        <w:tc>
          <w:tcPr>
            <w:tcW w:w="960" w:type="dxa"/>
            <w:tcBorders>
              <w:top w:val="nil"/>
              <w:left w:val="nil"/>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10.2525</w:t>
            </w:r>
          </w:p>
        </w:tc>
        <w:tc>
          <w:tcPr>
            <w:tcW w:w="983" w:type="dxa"/>
            <w:tcBorders>
              <w:top w:val="nil"/>
              <w:left w:val="nil"/>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77</w:t>
            </w:r>
          </w:p>
        </w:tc>
        <w:tc>
          <w:tcPr>
            <w:tcW w:w="2060" w:type="dxa"/>
            <w:tcBorders>
              <w:top w:val="nil"/>
              <w:left w:val="nil"/>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w:t>
            </w:r>
          </w:p>
        </w:tc>
        <w:tc>
          <w:tcPr>
            <w:tcW w:w="716" w:type="dxa"/>
            <w:tcBorders>
              <w:top w:val="nil"/>
              <w:left w:val="nil"/>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100</w:t>
            </w:r>
          </w:p>
        </w:tc>
        <w:tc>
          <w:tcPr>
            <w:tcW w:w="1395"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123</w:t>
            </w:r>
          </w:p>
        </w:tc>
        <w:tc>
          <w:tcPr>
            <w:tcW w:w="1095"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14.7</w:t>
            </w:r>
          </w:p>
        </w:tc>
        <w:tc>
          <w:tcPr>
            <w:tcW w:w="1172"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0.6895</w:t>
            </w:r>
          </w:p>
        </w:tc>
        <w:tc>
          <w:tcPr>
            <w:tcW w:w="82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6.725</w:t>
            </w:r>
          </w:p>
        </w:tc>
        <w:tc>
          <w:tcPr>
            <w:tcW w:w="11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6.15´</w:t>
            </w:r>
          </w:p>
        </w:tc>
      </w:tr>
      <w:tr w:rsidR="00463ECC" w:rsidRPr="00552915" w:rsidTr="00B81843">
        <w:trPr>
          <w:trHeight w:val="300"/>
          <w:jc w:val="center"/>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2</w:t>
            </w:r>
          </w:p>
        </w:tc>
        <w:tc>
          <w:tcPr>
            <w:tcW w:w="9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5.0004</w:t>
            </w:r>
          </w:p>
        </w:tc>
        <w:tc>
          <w:tcPr>
            <w:tcW w:w="983"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72</w:t>
            </w:r>
          </w:p>
        </w:tc>
        <w:tc>
          <w:tcPr>
            <w:tcW w:w="20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w:t>
            </w:r>
          </w:p>
        </w:tc>
        <w:tc>
          <w:tcPr>
            <w:tcW w:w="716"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100</w:t>
            </w:r>
          </w:p>
        </w:tc>
        <w:tc>
          <w:tcPr>
            <w:tcW w:w="1395"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128</w:t>
            </w:r>
          </w:p>
        </w:tc>
        <w:tc>
          <w:tcPr>
            <w:tcW w:w="1095"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16</w:t>
            </w:r>
          </w:p>
        </w:tc>
        <w:tc>
          <w:tcPr>
            <w:tcW w:w="1172"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0.3321</w:t>
            </w:r>
          </w:p>
        </w:tc>
        <w:tc>
          <w:tcPr>
            <w:tcW w:w="82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6.642</w:t>
            </w:r>
          </w:p>
        </w:tc>
        <w:tc>
          <w:tcPr>
            <w:tcW w:w="11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7.30´</w:t>
            </w:r>
          </w:p>
        </w:tc>
      </w:tr>
      <w:tr w:rsidR="00463ECC" w:rsidRPr="00552915" w:rsidTr="00B81843">
        <w:trPr>
          <w:trHeight w:val="300"/>
          <w:jc w:val="center"/>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3</w:t>
            </w:r>
          </w:p>
        </w:tc>
        <w:tc>
          <w:tcPr>
            <w:tcW w:w="9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10.0045</w:t>
            </w:r>
          </w:p>
        </w:tc>
        <w:tc>
          <w:tcPr>
            <w:tcW w:w="983"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57</w:t>
            </w:r>
          </w:p>
        </w:tc>
        <w:tc>
          <w:tcPr>
            <w:tcW w:w="20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20</w:t>
            </w:r>
          </w:p>
        </w:tc>
        <w:tc>
          <w:tcPr>
            <w:tcW w:w="716"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80</w:t>
            </w:r>
          </w:p>
        </w:tc>
        <w:tc>
          <w:tcPr>
            <w:tcW w:w="1395"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120</w:t>
            </w:r>
          </w:p>
        </w:tc>
        <w:tc>
          <w:tcPr>
            <w:tcW w:w="1095"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28.3</w:t>
            </w:r>
          </w:p>
        </w:tc>
        <w:tc>
          <w:tcPr>
            <w:tcW w:w="1172"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1.3466</w:t>
            </w:r>
          </w:p>
        </w:tc>
        <w:tc>
          <w:tcPr>
            <w:tcW w:w="82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13.46</w:t>
            </w:r>
          </w:p>
        </w:tc>
        <w:tc>
          <w:tcPr>
            <w:tcW w:w="1160" w:type="dxa"/>
            <w:tcBorders>
              <w:top w:val="nil"/>
              <w:left w:val="nil"/>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5.10´</w:t>
            </w:r>
          </w:p>
        </w:tc>
      </w:tr>
      <w:tr w:rsidR="00463ECC" w:rsidRPr="00552915" w:rsidTr="00B81843">
        <w:trPr>
          <w:trHeight w:val="300"/>
          <w:jc w:val="center"/>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4</w:t>
            </w:r>
          </w:p>
        </w:tc>
        <w:tc>
          <w:tcPr>
            <w:tcW w:w="9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10.0004</w:t>
            </w:r>
          </w:p>
        </w:tc>
        <w:tc>
          <w:tcPr>
            <w:tcW w:w="983"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47</w:t>
            </w:r>
          </w:p>
        </w:tc>
        <w:tc>
          <w:tcPr>
            <w:tcW w:w="20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40</w:t>
            </w:r>
          </w:p>
        </w:tc>
        <w:tc>
          <w:tcPr>
            <w:tcW w:w="716"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60</w:t>
            </w:r>
          </w:p>
        </w:tc>
        <w:tc>
          <w:tcPr>
            <w:tcW w:w="1395"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56</w:t>
            </w:r>
          </w:p>
        </w:tc>
        <w:tc>
          <w:tcPr>
            <w:tcW w:w="1095"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32</w:t>
            </w:r>
          </w:p>
        </w:tc>
        <w:tc>
          <w:tcPr>
            <w:tcW w:w="1172"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1.3466</w:t>
            </w:r>
          </w:p>
        </w:tc>
        <w:tc>
          <w:tcPr>
            <w:tcW w:w="82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13.47</w:t>
            </w:r>
          </w:p>
        </w:tc>
        <w:tc>
          <w:tcPr>
            <w:tcW w:w="1160" w:type="dxa"/>
            <w:tcBorders>
              <w:top w:val="nil"/>
              <w:left w:val="nil"/>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3.20´</w:t>
            </w:r>
          </w:p>
        </w:tc>
      </w:tr>
      <w:tr w:rsidR="00463ECC" w:rsidRPr="00552915" w:rsidTr="00B81843">
        <w:trPr>
          <w:trHeight w:val="300"/>
          <w:jc w:val="center"/>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5</w:t>
            </w:r>
          </w:p>
        </w:tc>
        <w:tc>
          <w:tcPr>
            <w:tcW w:w="9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20.3624</w:t>
            </w:r>
          </w:p>
        </w:tc>
        <w:tc>
          <w:tcPr>
            <w:tcW w:w="983"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32</w:t>
            </w:r>
          </w:p>
        </w:tc>
        <w:tc>
          <w:tcPr>
            <w:tcW w:w="20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60</w:t>
            </w:r>
          </w:p>
        </w:tc>
        <w:tc>
          <w:tcPr>
            <w:tcW w:w="716"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40</w:t>
            </w:r>
          </w:p>
        </w:tc>
        <w:tc>
          <w:tcPr>
            <w:tcW w:w="1395"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34</w:t>
            </w:r>
          </w:p>
        </w:tc>
        <w:tc>
          <w:tcPr>
            <w:tcW w:w="1095"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31.1</w:t>
            </w:r>
          </w:p>
        </w:tc>
        <w:tc>
          <w:tcPr>
            <w:tcW w:w="1172"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14.9988</w:t>
            </w:r>
          </w:p>
        </w:tc>
        <w:tc>
          <w:tcPr>
            <w:tcW w:w="82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73.69</w:t>
            </w:r>
          </w:p>
        </w:tc>
        <w:tc>
          <w:tcPr>
            <w:tcW w:w="1160" w:type="dxa"/>
            <w:tcBorders>
              <w:top w:val="nil"/>
              <w:left w:val="nil"/>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3.5´</w:t>
            </w:r>
          </w:p>
        </w:tc>
      </w:tr>
      <w:tr w:rsidR="00463ECC" w:rsidRPr="00552915" w:rsidTr="00B81843">
        <w:trPr>
          <w:trHeight w:val="300"/>
          <w:jc w:val="center"/>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6</w:t>
            </w:r>
            <w:r>
              <w:rPr>
                <w:rFonts w:ascii="Arial" w:eastAsia="Times New Roman" w:hAnsi="Arial" w:cs="Arial"/>
                <w:color w:val="000000"/>
                <w:sz w:val="20"/>
                <w:szCs w:val="20"/>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40.005</w:t>
            </w:r>
          </w:p>
        </w:tc>
        <w:tc>
          <w:tcPr>
            <w:tcW w:w="983"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38</w:t>
            </w:r>
          </w:p>
        </w:tc>
        <w:tc>
          <w:tcPr>
            <w:tcW w:w="20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60</w:t>
            </w:r>
          </w:p>
        </w:tc>
        <w:tc>
          <w:tcPr>
            <w:tcW w:w="716"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40</w:t>
            </w:r>
          </w:p>
        </w:tc>
        <w:tc>
          <w:tcPr>
            <w:tcW w:w="1395"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38</w:t>
            </w:r>
          </w:p>
        </w:tc>
        <w:tc>
          <w:tcPr>
            <w:tcW w:w="1095"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27.9</w:t>
            </w:r>
          </w:p>
        </w:tc>
        <w:tc>
          <w:tcPr>
            <w:tcW w:w="1172"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31.5291</w:t>
            </w:r>
          </w:p>
        </w:tc>
        <w:tc>
          <w:tcPr>
            <w:tcW w:w="82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78.81</w:t>
            </w:r>
          </w:p>
        </w:tc>
        <w:tc>
          <w:tcPr>
            <w:tcW w:w="11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3</w:t>
            </w:r>
          </w:p>
        </w:tc>
      </w:tr>
      <w:tr w:rsidR="00463ECC" w:rsidRPr="00552915" w:rsidTr="00B81843">
        <w:trPr>
          <w:trHeight w:val="525"/>
          <w:jc w:val="center"/>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 </w:t>
            </w:r>
          </w:p>
        </w:tc>
        <w:tc>
          <w:tcPr>
            <w:tcW w:w="983"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 </w:t>
            </w:r>
          </w:p>
        </w:tc>
        <w:tc>
          <w:tcPr>
            <w:tcW w:w="2060" w:type="dxa"/>
            <w:tcBorders>
              <w:top w:val="nil"/>
              <w:left w:val="nil"/>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Isopropilico</w:t>
            </w:r>
          </w:p>
        </w:tc>
        <w:tc>
          <w:tcPr>
            <w:tcW w:w="716" w:type="dxa"/>
            <w:tcBorders>
              <w:top w:val="nil"/>
              <w:left w:val="nil"/>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b/>
                <w:bCs/>
                <w:color w:val="000000"/>
                <w:sz w:val="20"/>
                <w:szCs w:val="20"/>
                <w:lang w:val="en-US"/>
              </w:rPr>
            </w:pPr>
            <w:r w:rsidRPr="00552915">
              <w:rPr>
                <w:rFonts w:ascii="Arial" w:eastAsia="Times New Roman" w:hAnsi="Arial" w:cs="Arial"/>
                <w:b/>
                <w:bCs/>
                <w:color w:val="000000"/>
                <w:sz w:val="20"/>
                <w:szCs w:val="20"/>
                <w:lang w:val="en-US"/>
              </w:rPr>
              <w:t xml:space="preserve">Agua </w:t>
            </w:r>
          </w:p>
        </w:tc>
        <w:tc>
          <w:tcPr>
            <w:tcW w:w="1395"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 </w:t>
            </w:r>
          </w:p>
        </w:tc>
        <w:tc>
          <w:tcPr>
            <w:tcW w:w="1095"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 </w:t>
            </w:r>
          </w:p>
        </w:tc>
        <w:tc>
          <w:tcPr>
            <w:tcW w:w="1172"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 </w:t>
            </w:r>
          </w:p>
        </w:tc>
        <w:tc>
          <w:tcPr>
            <w:tcW w:w="82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 </w:t>
            </w:r>
          </w:p>
        </w:tc>
        <w:tc>
          <w:tcPr>
            <w:tcW w:w="11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 </w:t>
            </w:r>
          </w:p>
        </w:tc>
      </w:tr>
      <w:tr w:rsidR="00463ECC" w:rsidRPr="00552915" w:rsidTr="00B81843">
        <w:trPr>
          <w:trHeight w:val="300"/>
          <w:jc w:val="center"/>
        </w:trPr>
        <w:tc>
          <w:tcPr>
            <w:tcW w:w="895" w:type="dxa"/>
            <w:tcBorders>
              <w:top w:val="nil"/>
              <w:left w:val="single" w:sz="4" w:space="0" w:color="auto"/>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7</w:t>
            </w:r>
          </w:p>
        </w:tc>
        <w:tc>
          <w:tcPr>
            <w:tcW w:w="9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20.4078</w:t>
            </w:r>
          </w:p>
        </w:tc>
        <w:tc>
          <w:tcPr>
            <w:tcW w:w="983"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30</w:t>
            </w:r>
          </w:p>
        </w:tc>
        <w:tc>
          <w:tcPr>
            <w:tcW w:w="206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60</w:t>
            </w:r>
          </w:p>
        </w:tc>
        <w:tc>
          <w:tcPr>
            <w:tcW w:w="716"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40</w:t>
            </w:r>
          </w:p>
        </w:tc>
        <w:tc>
          <w:tcPr>
            <w:tcW w:w="1395"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17</w:t>
            </w:r>
          </w:p>
        </w:tc>
        <w:tc>
          <w:tcPr>
            <w:tcW w:w="1095"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20.6</w:t>
            </w:r>
          </w:p>
        </w:tc>
        <w:tc>
          <w:tcPr>
            <w:tcW w:w="1172"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10.616</w:t>
            </w:r>
          </w:p>
        </w:tc>
        <w:tc>
          <w:tcPr>
            <w:tcW w:w="820" w:type="dxa"/>
            <w:tcBorders>
              <w:top w:val="nil"/>
              <w:left w:val="nil"/>
              <w:bottom w:val="single" w:sz="4" w:space="0" w:color="auto"/>
              <w:right w:val="single" w:sz="4" w:space="0" w:color="auto"/>
            </w:tcBorders>
            <w:shd w:val="clear" w:color="auto" w:fill="auto"/>
            <w:noWrap/>
            <w:vAlign w:val="bottom"/>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52.02</w:t>
            </w:r>
          </w:p>
        </w:tc>
        <w:tc>
          <w:tcPr>
            <w:tcW w:w="1160" w:type="dxa"/>
            <w:tcBorders>
              <w:top w:val="nil"/>
              <w:left w:val="nil"/>
              <w:bottom w:val="single" w:sz="4" w:space="0" w:color="auto"/>
              <w:right w:val="single" w:sz="4" w:space="0" w:color="auto"/>
            </w:tcBorders>
            <w:shd w:val="clear" w:color="auto" w:fill="auto"/>
            <w:noWrap/>
            <w:vAlign w:val="center"/>
            <w:hideMark/>
          </w:tcPr>
          <w:p w:rsidR="00463ECC" w:rsidRPr="00552915" w:rsidRDefault="00463ECC" w:rsidP="00B81843">
            <w:pPr>
              <w:jc w:val="center"/>
              <w:rPr>
                <w:rFonts w:ascii="Arial" w:eastAsia="Times New Roman" w:hAnsi="Arial" w:cs="Arial"/>
                <w:color w:val="000000"/>
                <w:sz w:val="20"/>
                <w:szCs w:val="20"/>
                <w:lang w:val="en-US"/>
              </w:rPr>
            </w:pPr>
            <w:r w:rsidRPr="00552915">
              <w:rPr>
                <w:rFonts w:ascii="Arial" w:eastAsia="Times New Roman" w:hAnsi="Arial" w:cs="Arial"/>
                <w:color w:val="000000"/>
                <w:sz w:val="20"/>
                <w:szCs w:val="20"/>
                <w:lang w:val="en-US"/>
              </w:rPr>
              <w:t>3.10´</w:t>
            </w:r>
          </w:p>
        </w:tc>
      </w:tr>
    </w:tbl>
    <w:p w:rsidR="00463ECC" w:rsidRDefault="00463ECC" w:rsidP="00463ECC">
      <w:pPr>
        <w:pStyle w:val="Textoindependiente"/>
        <w:ind w:left="1034"/>
        <w:rPr>
          <w:rFonts w:ascii="Arial" w:hAnsi="Arial" w:cs="Arial"/>
          <w:b w:val="0"/>
          <w:sz w:val="24"/>
          <w:lang w:val="es-MX"/>
        </w:rPr>
      </w:pPr>
      <w:r>
        <w:rPr>
          <w:rFonts w:ascii="Arial" w:hAnsi="Arial" w:cs="Arial"/>
          <w:b w:val="0"/>
          <w:sz w:val="24"/>
          <w:lang w:val="es-MX"/>
        </w:rPr>
        <w:t>* Tiempo sin considerar la filtración del magma descargado del equipo</w:t>
      </w:r>
    </w:p>
    <w:p w:rsidR="00463ECC" w:rsidRPr="001E635C" w:rsidRDefault="00463ECC" w:rsidP="00463ECC">
      <w:pPr>
        <w:pStyle w:val="Textoindependiente"/>
        <w:ind w:left="1034"/>
        <w:rPr>
          <w:rFonts w:ascii="Arial" w:hAnsi="Arial" w:cs="Arial"/>
          <w:lang w:val="es-MX"/>
        </w:rPr>
      </w:pPr>
      <w:r>
        <w:rPr>
          <w:rFonts w:ascii="Arial" w:hAnsi="Arial" w:cs="Arial"/>
          <w:b w:val="0"/>
          <w:sz w:val="24"/>
          <w:lang w:val="es-MX"/>
        </w:rPr>
        <w:lastRenderedPageBreak/>
        <w:t>** Ácido benzoico puro</w:t>
      </w:r>
    </w:p>
    <w:p w:rsidR="00463ECC" w:rsidRPr="00D32E3B" w:rsidRDefault="00463ECC" w:rsidP="00463ECC">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rPr>
      </w:pPr>
    </w:p>
    <w:p w:rsidR="00463ECC" w:rsidRPr="00463ECC" w:rsidRDefault="00463ECC" w:rsidP="00463ECC">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95" w:name="_Toc50031210"/>
      <w:r w:rsidRPr="00463ECC">
        <w:rPr>
          <w:rFonts w:ascii="Arial" w:hAnsi="Arial" w:cs="Arial"/>
          <w:i/>
          <w:caps/>
          <w:sz w:val="24"/>
          <w:szCs w:val="24"/>
        </w:rPr>
        <w:t xml:space="preserve">5. </w:t>
      </w:r>
      <w:r w:rsidRPr="00463ECC">
        <w:rPr>
          <w:rFonts w:ascii="Arial" w:hAnsi="Arial" w:cs="Arial"/>
          <w:i/>
          <w:sz w:val="24"/>
          <w:szCs w:val="24"/>
        </w:rPr>
        <w:t>Conclusiones</w:t>
      </w:r>
      <w:bookmarkEnd w:id="95"/>
    </w:p>
    <w:p w:rsidR="00463ECC" w:rsidRDefault="00463ECC" w:rsidP="00463ECC">
      <w:pPr>
        <w:ind w:firstLine="539"/>
        <w:jc w:val="both"/>
        <w:rPr>
          <w:rFonts w:ascii="Arial" w:hAnsi="Arial" w:cs="Arial"/>
        </w:rPr>
      </w:pPr>
      <w:r w:rsidRPr="0013515F">
        <w:rPr>
          <w:rFonts w:ascii="Arial" w:hAnsi="Arial" w:cs="Arial"/>
        </w:rPr>
        <w:t>El mejor disolvente resultó la mezcla de etanol 60 % y 40 % agua</w:t>
      </w:r>
      <w:r>
        <w:rPr>
          <w:rFonts w:ascii="Arial" w:hAnsi="Arial" w:cs="Arial"/>
        </w:rPr>
        <w:t xml:space="preserve"> en volumen</w:t>
      </w:r>
      <w:r w:rsidRPr="0013515F">
        <w:rPr>
          <w:rFonts w:ascii="Arial" w:hAnsi="Arial" w:cs="Arial"/>
        </w:rPr>
        <w:t>, actuando en este caso el agua como un antisolvente</w:t>
      </w:r>
      <w:r>
        <w:rPr>
          <w:rFonts w:ascii="Arial" w:hAnsi="Arial" w:cs="Arial"/>
        </w:rPr>
        <w:t xml:space="preserve">. </w:t>
      </w:r>
    </w:p>
    <w:p w:rsidR="00463ECC" w:rsidRDefault="00463ECC" w:rsidP="00463ECC">
      <w:pPr>
        <w:ind w:firstLine="539"/>
        <w:jc w:val="both"/>
        <w:rPr>
          <w:rFonts w:ascii="Arial" w:hAnsi="Arial" w:cs="Arial"/>
        </w:rPr>
      </w:pPr>
      <w:r>
        <w:rPr>
          <w:rFonts w:ascii="Arial" w:hAnsi="Arial" w:cs="Arial"/>
        </w:rPr>
        <w:t>La mayor cantidad de etanol contribuyó también a acortar el tiempo del proceso siendo mucho más rápida su evaporación.</w:t>
      </w:r>
    </w:p>
    <w:p w:rsidR="00463ECC" w:rsidRDefault="00463ECC" w:rsidP="00463ECC">
      <w:pPr>
        <w:ind w:firstLine="539"/>
        <w:jc w:val="both"/>
        <w:rPr>
          <w:rFonts w:ascii="Arial" w:hAnsi="Arial" w:cs="Arial"/>
        </w:rPr>
      </w:pPr>
      <w:r>
        <w:rPr>
          <w:rFonts w:ascii="Arial" w:hAnsi="Arial" w:cs="Arial"/>
        </w:rPr>
        <w:t>Hay poca diferencia entre los resultados de tiempo y rendimiento para una solución inicial con 20.3624 gr. de cristales “impuros”, prueba 5 y la prueba 6 con el doble de cristales “puros”.</w:t>
      </w:r>
    </w:p>
    <w:p w:rsidR="00463ECC" w:rsidRPr="00FA5EA4" w:rsidRDefault="00463ECC" w:rsidP="00463ECC">
      <w:pPr>
        <w:pStyle w:val="Textoindependiente"/>
        <w:ind w:firstLine="539"/>
        <w:jc w:val="both"/>
        <w:rPr>
          <w:rFonts w:ascii="Arial" w:hAnsi="Arial" w:cs="Arial"/>
          <w:b w:val="0"/>
          <w:sz w:val="24"/>
        </w:rPr>
      </w:pPr>
      <w:r>
        <w:rPr>
          <w:rFonts w:ascii="Arial" w:hAnsi="Arial" w:cs="Arial"/>
          <w:b w:val="0"/>
          <w:sz w:val="24"/>
        </w:rPr>
        <w:t>Se logró disminuir el tiempo del proceso de cristalización de siete horas y media a tres horas.</w:t>
      </w:r>
    </w:p>
    <w:p w:rsidR="00463ECC" w:rsidRPr="00FA5EA4" w:rsidRDefault="00463ECC" w:rsidP="00463ECC">
      <w:pPr>
        <w:pStyle w:val="Textoindependiente"/>
        <w:ind w:firstLine="539"/>
        <w:rPr>
          <w:rFonts w:ascii="Arial" w:hAnsi="Arial" w:cs="Arial"/>
          <w:b w:val="0"/>
          <w:sz w:val="24"/>
        </w:rPr>
      </w:pPr>
    </w:p>
    <w:p w:rsidR="00463ECC" w:rsidRPr="00A7164B" w:rsidRDefault="00463ECC" w:rsidP="00463ECC">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rPr>
      </w:pPr>
      <w:bookmarkStart w:id="96" w:name="_Toc50031211"/>
      <w:r w:rsidRPr="00A7164B">
        <w:rPr>
          <w:rFonts w:ascii="Arial" w:hAnsi="Arial" w:cs="Arial"/>
          <w:i/>
          <w:caps/>
        </w:rPr>
        <w:t xml:space="preserve">6. </w:t>
      </w:r>
      <w:r w:rsidRPr="00A7164B">
        <w:rPr>
          <w:rFonts w:ascii="Arial" w:hAnsi="Arial" w:cs="Arial"/>
          <w:i/>
        </w:rPr>
        <w:t>Bibliografía</w:t>
      </w:r>
      <w:bookmarkEnd w:id="96"/>
    </w:p>
    <w:p w:rsidR="00463ECC" w:rsidRDefault="00463ECC" w:rsidP="00463ECC">
      <w:pPr>
        <w:tabs>
          <w:tab w:val="left" w:pos="0"/>
        </w:tabs>
        <w:jc w:val="both"/>
        <w:rPr>
          <w:rFonts w:ascii="Arial" w:hAnsi="Arial" w:cs="Arial"/>
        </w:rPr>
      </w:pPr>
    </w:p>
    <w:p w:rsidR="00463ECC" w:rsidRPr="00777E0A" w:rsidRDefault="00463ECC" w:rsidP="00257D10">
      <w:pPr>
        <w:numPr>
          <w:ilvl w:val="0"/>
          <w:numId w:val="7"/>
        </w:numPr>
        <w:tabs>
          <w:tab w:val="left" w:pos="750"/>
        </w:tabs>
        <w:suppressAutoHyphens/>
        <w:spacing w:after="0" w:line="240" w:lineRule="auto"/>
        <w:jc w:val="both"/>
        <w:rPr>
          <w:rFonts w:ascii="Arial" w:hAnsi="Arial" w:cs="Arial"/>
          <w:lang w:val="en-US"/>
        </w:rPr>
      </w:pPr>
      <w:r>
        <w:rPr>
          <w:rFonts w:ascii="Arial" w:hAnsi="Arial" w:cs="Arial"/>
          <w:lang w:val="en-US"/>
        </w:rPr>
        <w:t>McCabe W., Smith,</w:t>
      </w:r>
      <w:r w:rsidRPr="00777E0A">
        <w:rPr>
          <w:rFonts w:ascii="Arial" w:hAnsi="Arial" w:cs="Arial"/>
          <w:lang w:val="en-US"/>
        </w:rPr>
        <w:t xml:space="preserve"> C., </w:t>
      </w:r>
      <w:r>
        <w:rPr>
          <w:rFonts w:ascii="Arial" w:hAnsi="Arial" w:cs="Arial"/>
          <w:lang w:val="en-US"/>
        </w:rPr>
        <w:t xml:space="preserve">&amp; </w:t>
      </w:r>
      <w:r w:rsidRPr="00777E0A">
        <w:rPr>
          <w:rFonts w:ascii="Arial" w:hAnsi="Arial" w:cs="Arial"/>
          <w:lang w:val="en-US"/>
        </w:rPr>
        <w:t>Harriot</w:t>
      </w:r>
      <w:r>
        <w:rPr>
          <w:rFonts w:ascii="Arial" w:hAnsi="Arial" w:cs="Arial"/>
          <w:lang w:val="en-US"/>
        </w:rPr>
        <w:t>, P</w:t>
      </w:r>
      <w:r w:rsidRPr="00777E0A">
        <w:rPr>
          <w:rFonts w:ascii="Arial" w:hAnsi="Arial" w:cs="Arial"/>
          <w:lang w:val="en-US"/>
        </w:rPr>
        <w:t xml:space="preserve">. (2007). </w:t>
      </w:r>
      <w:r w:rsidRPr="00463ECC">
        <w:rPr>
          <w:rFonts w:ascii="Arial" w:hAnsi="Arial" w:cs="Arial"/>
          <w:i/>
          <w:lang w:val="es-MX"/>
        </w:rPr>
        <w:t>Operaciones unitarias en ingeniería química</w:t>
      </w:r>
      <w:r w:rsidRPr="00463ECC">
        <w:rPr>
          <w:rFonts w:ascii="Arial" w:hAnsi="Arial" w:cs="Arial"/>
          <w:lang w:val="es-MX"/>
        </w:rPr>
        <w:t xml:space="preserve">. </w:t>
      </w:r>
      <w:r w:rsidRPr="00777E0A">
        <w:rPr>
          <w:rFonts w:ascii="Arial" w:hAnsi="Arial" w:cs="Arial"/>
          <w:lang w:val="en-US"/>
        </w:rPr>
        <w:t>México: McGraw-Hill Interamericana</w:t>
      </w:r>
      <w:r w:rsidRPr="00777E0A">
        <w:rPr>
          <w:color w:val="000000"/>
          <w:sz w:val="27"/>
          <w:szCs w:val="27"/>
          <w:lang w:val="en-US"/>
        </w:rPr>
        <w:t>.</w:t>
      </w:r>
    </w:p>
    <w:p w:rsidR="00463ECC" w:rsidRPr="005A38C3" w:rsidRDefault="00463ECC" w:rsidP="00257D10">
      <w:pPr>
        <w:numPr>
          <w:ilvl w:val="0"/>
          <w:numId w:val="7"/>
        </w:numPr>
        <w:tabs>
          <w:tab w:val="left" w:pos="750"/>
        </w:tabs>
        <w:suppressAutoHyphens/>
        <w:spacing w:after="0" w:line="240" w:lineRule="auto"/>
        <w:jc w:val="both"/>
        <w:rPr>
          <w:rFonts w:ascii="Arial" w:hAnsi="Arial" w:cs="Arial"/>
          <w:lang w:val="es-MX"/>
        </w:rPr>
      </w:pPr>
      <w:r w:rsidRPr="005F58B1">
        <w:rPr>
          <w:rFonts w:ascii="Arial" w:hAnsi="Arial" w:cs="Arial"/>
          <w:lang w:val="en-US"/>
        </w:rPr>
        <w:t xml:space="preserve">Felder Richard M., Rousseau Ronald W.. </w:t>
      </w:r>
      <w:r w:rsidRPr="00463ECC">
        <w:rPr>
          <w:rFonts w:ascii="Arial" w:hAnsi="Arial" w:cs="Arial"/>
          <w:lang w:val="es-MX"/>
        </w:rPr>
        <w:t xml:space="preserve">(2006). </w:t>
      </w:r>
      <w:r w:rsidRPr="005A38C3">
        <w:rPr>
          <w:rFonts w:ascii="Arial" w:hAnsi="Arial" w:cs="Arial"/>
          <w:i/>
          <w:lang w:val="es-MX"/>
        </w:rPr>
        <w:t>Principios element</w:t>
      </w:r>
      <w:r>
        <w:rPr>
          <w:rFonts w:ascii="Arial" w:hAnsi="Arial" w:cs="Arial"/>
          <w:i/>
          <w:lang w:val="es-MX"/>
        </w:rPr>
        <w:t xml:space="preserve">ales de los procesos químicos. </w:t>
      </w:r>
      <w:r w:rsidRPr="005A38C3">
        <w:rPr>
          <w:rFonts w:ascii="Arial" w:hAnsi="Arial" w:cs="Arial"/>
          <w:lang w:val="es-MX"/>
        </w:rPr>
        <w:t>Méxic</w:t>
      </w:r>
      <w:r w:rsidRPr="005A38C3">
        <w:rPr>
          <w:rFonts w:ascii="Arial" w:hAnsi="Arial" w:cs="Arial"/>
          <w:i/>
          <w:lang w:val="es-MX"/>
        </w:rPr>
        <w:t>o</w:t>
      </w:r>
      <w:r w:rsidRPr="005A38C3">
        <w:rPr>
          <w:rFonts w:ascii="Arial" w:hAnsi="Arial" w:cs="Arial"/>
          <w:lang w:val="es-MX"/>
        </w:rPr>
        <w:t>:</w:t>
      </w:r>
      <w:r>
        <w:rPr>
          <w:rFonts w:ascii="Arial" w:hAnsi="Arial" w:cs="Arial"/>
          <w:lang w:val="es-MX"/>
        </w:rPr>
        <w:t xml:space="preserve"> Limusa W</w:t>
      </w:r>
      <w:r w:rsidRPr="005A38C3">
        <w:rPr>
          <w:rFonts w:ascii="Arial" w:hAnsi="Arial" w:cs="Arial"/>
          <w:lang w:val="es-MX"/>
        </w:rPr>
        <w:t>iley.</w:t>
      </w:r>
    </w:p>
    <w:p w:rsidR="00463ECC" w:rsidRPr="005A38C3" w:rsidRDefault="00463ECC" w:rsidP="00257D10">
      <w:pPr>
        <w:numPr>
          <w:ilvl w:val="0"/>
          <w:numId w:val="7"/>
        </w:numPr>
        <w:tabs>
          <w:tab w:val="left" w:pos="750"/>
        </w:tabs>
        <w:suppressAutoHyphens/>
        <w:spacing w:after="0" w:line="240" w:lineRule="auto"/>
        <w:jc w:val="both"/>
        <w:rPr>
          <w:rFonts w:ascii="Arial" w:hAnsi="Arial" w:cs="Arial"/>
          <w:lang w:val="es-MX"/>
        </w:rPr>
      </w:pPr>
      <w:r w:rsidRPr="005A38C3">
        <w:rPr>
          <w:rFonts w:ascii="Arial" w:hAnsi="Arial" w:cs="Arial"/>
          <w:lang w:val="en-US"/>
        </w:rPr>
        <w:t xml:space="preserve">Robert, H. P. Green, D. W. (2012). </w:t>
      </w:r>
      <w:r>
        <w:rPr>
          <w:rFonts w:ascii="Arial" w:hAnsi="Arial" w:cs="Arial"/>
          <w:i/>
          <w:lang w:val="es-MX"/>
        </w:rPr>
        <w:t>M</w:t>
      </w:r>
      <w:r w:rsidRPr="005A38C3">
        <w:rPr>
          <w:rFonts w:ascii="Arial" w:hAnsi="Arial" w:cs="Arial"/>
          <w:i/>
          <w:lang w:val="es-MX"/>
        </w:rPr>
        <w:t>anual del ingeniero químico</w:t>
      </w:r>
      <w:r w:rsidRPr="005A38C3">
        <w:rPr>
          <w:rFonts w:ascii="Arial" w:hAnsi="Arial" w:cs="Arial"/>
          <w:lang w:val="es-MX"/>
        </w:rPr>
        <w:t xml:space="preserve">. Aravaca (Madrid): McGraw Hill </w:t>
      </w:r>
      <w:r>
        <w:rPr>
          <w:rFonts w:ascii="Arial" w:hAnsi="Arial" w:cs="Arial"/>
          <w:lang w:val="es-MX"/>
        </w:rPr>
        <w:t>Interamericana de E</w:t>
      </w:r>
      <w:r w:rsidRPr="005A38C3">
        <w:rPr>
          <w:rFonts w:ascii="Arial" w:hAnsi="Arial" w:cs="Arial"/>
          <w:lang w:val="es-MX"/>
        </w:rPr>
        <w:t>spaña, S.A.U..</w:t>
      </w:r>
    </w:p>
    <w:p w:rsidR="00463ECC" w:rsidRPr="00FB794E" w:rsidRDefault="00463ECC" w:rsidP="00257D10">
      <w:pPr>
        <w:numPr>
          <w:ilvl w:val="0"/>
          <w:numId w:val="7"/>
        </w:numPr>
        <w:tabs>
          <w:tab w:val="left" w:pos="750"/>
        </w:tabs>
        <w:suppressAutoHyphens/>
        <w:spacing w:after="0" w:line="240" w:lineRule="auto"/>
        <w:jc w:val="both"/>
        <w:rPr>
          <w:rFonts w:ascii="Arial" w:hAnsi="Arial" w:cs="Arial"/>
          <w:lang w:val="en-US"/>
        </w:rPr>
      </w:pPr>
      <w:r w:rsidRPr="00FB794E">
        <w:rPr>
          <w:rFonts w:ascii="Arial" w:hAnsi="Arial" w:cs="Arial"/>
          <w:lang w:val="en-US"/>
        </w:rPr>
        <w:t>Jones</w:t>
      </w:r>
      <w:r>
        <w:rPr>
          <w:rFonts w:ascii="Arial" w:hAnsi="Arial" w:cs="Arial"/>
          <w:lang w:val="en-US"/>
        </w:rPr>
        <w:t>,</w:t>
      </w:r>
      <w:r w:rsidRPr="00FB794E">
        <w:rPr>
          <w:rFonts w:ascii="Arial" w:hAnsi="Arial" w:cs="Arial"/>
          <w:lang w:val="en-US"/>
        </w:rPr>
        <w:t xml:space="preserve"> A.G. (2002). </w:t>
      </w:r>
      <w:r w:rsidRPr="004648B8">
        <w:rPr>
          <w:rFonts w:ascii="Arial" w:hAnsi="Arial" w:cs="Arial"/>
          <w:i/>
          <w:lang w:val="en-US"/>
        </w:rPr>
        <w:t>Crystallization Process Systems</w:t>
      </w:r>
      <w:r w:rsidRPr="00FB794E">
        <w:rPr>
          <w:rFonts w:ascii="Arial" w:hAnsi="Arial" w:cs="Arial"/>
          <w:lang w:val="en-US"/>
        </w:rPr>
        <w:t>. Great Britain: Butterworth-Heinemann.</w:t>
      </w:r>
    </w:p>
    <w:p w:rsidR="00463ECC" w:rsidRPr="004648B8" w:rsidRDefault="00463ECC" w:rsidP="00257D10">
      <w:pPr>
        <w:numPr>
          <w:ilvl w:val="0"/>
          <w:numId w:val="7"/>
        </w:numPr>
        <w:tabs>
          <w:tab w:val="left" w:pos="750"/>
        </w:tabs>
        <w:suppressAutoHyphens/>
        <w:spacing w:after="0" w:line="240" w:lineRule="auto"/>
        <w:jc w:val="both"/>
        <w:rPr>
          <w:rFonts w:ascii="Arial" w:hAnsi="Arial" w:cs="Arial"/>
          <w:lang w:val="es-MX"/>
        </w:rPr>
      </w:pPr>
      <w:r w:rsidRPr="004648B8">
        <w:rPr>
          <w:rFonts w:ascii="Arial" w:hAnsi="Arial" w:cs="Arial"/>
          <w:lang w:val="es-MX"/>
        </w:rPr>
        <w:t xml:space="preserve">Geankoplis, C. J. (2006). </w:t>
      </w:r>
      <w:r w:rsidRPr="004648B8">
        <w:rPr>
          <w:rFonts w:ascii="Arial" w:hAnsi="Arial" w:cs="Arial"/>
          <w:i/>
          <w:lang w:val="es-MX"/>
        </w:rPr>
        <w:t>Procesos de transporte y principios de procesos de procesos de separación.</w:t>
      </w:r>
      <w:r w:rsidRPr="004648B8">
        <w:rPr>
          <w:rFonts w:ascii="Arial" w:hAnsi="Arial" w:cs="Arial"/>
          <w:lang w:val="es-MX"/>
        </w:rPr>
        <w:t xml:space="preserve"> MÉXICO: CECSA.</w:t>
      </w:r>
    </w:p>
    <w:p w:rsidR="00463ECC" w:rsidRPr="0045546D" w:rsidRDefault="00463ECC" w:rsidP="00257D10">
      <w:pPr>
        <w:numPr>
          <w:ilvl w:val="0"/>
          <w:numId w:val="7"/>
        </w:numPr>
        <w:tabs>
          <w:tab w:val="left" w:pos="750"/>
        </w:tabs>
        <w:suppressAutoHyphens/>
        <w:spacing w:after="0" w:line="240" w:lineRule="auto"/>
        <w:jc w:val="both"/>
        <w:rPr>
          <w:rFonts w:ascii="Arial" w:hAnsi="Arial" w:cs="Arial"/>
          <w:lang w:val="en-US"/>
        </w:rPr>
      </w:pPr>
      <w:r w:rsidRPr="0045546D">
        <w:rPr>
          <w:rFonts w:ascii="Arial" w:hAnsi="Arial" w:cs="Arial"/>
          <w:lang w:val="en-US"/>
        </w:rPr>
        <w:t>Dejiang, Z.</w:t>
      </w:r>
      <w:r>
        <w:rPr>
          <w:rFonts w:ascii="Arial" w:hAnsi="Arial" w:cs="Arial"/>
          <w:lang w:val="en-US"/>
        </w:rPr>
        <w:t>,</w:t>
      </w:r>
      <w:r w:rsidRPr="0045546D">
        <w:rPr>
          <w:rFonts w:ascii="Arial" w:hAnsi="Arial" w:cs="Arial"/>
          <w:color w:val="2C92C3"/>
          <w:lang w:val="en-US"/>
        </w:rPr>
        <w:t xml:space="preserve"> </w:t>
      </w:r>
      <w:r w:rsidRPr="0045546D">
        <w:rPr>
          <w:rFonts w:ascii="Arial" w:hAnsi="Arial" w:cs="Arial"/>
          <w:lang w:val="en-US"/>
        </w:rPr>
        <w:t>Shijie, X.</w:t>
      </w:r>
      <w:r>
        <w:rPr>
          <w:rFonts w:ascii="Arial" w:hAnsi="Arial" w:cs="Arial"/>
          <w:lang w:val="en-US"/>
        </w:rPr>
        <w:t>,</w:t>
      </w:r>
      <w:r w:rsidRPr="0045546D">
        <w:rPr>
          <w:rFonts w:ascii="Arial" w:hAnsi="Arial" w:cs="Arial"/>
          <w:lang w:val="en-US"/>
        </w:rPr>
        <w:t xml:space="preserve"> Shichao</w:t>
      </w:r>
      <w:r>
        <w:rPr>
          <w:rFonts w:ascii="Arial" w:hAnsi="Arial" w:cs="Arial"/>
          <w:lang w:val="en-US"/>
        </w:rPr>
        <w:t>, D.,</w:t>
      </w:r>
      <w:r w:rsidRPr="0045546D">
        <w:rPr>
          <w:rFonts w:ascii="Arial" w:hAnsi="Arial" w:cs="Arial"/>
          <w:color w:val="2C92C3"/>
          <w:lang w:val="en-US"/>
        </w:rPr>
        <w:t xml:space="preserve"> </w:t>
      </w:r>
      <w:r>
        <w:rPr>
          <w:rFonts w:ascii="Arial" w:hAnsi="Arial" w:cs="Arial"/>
          <w:lang w:val="en-US"/>
        </w:rPr>
        <w:t>Jingkang, W., &amp; Junbo, G</w:t>
      </w:r>
      <w:r w:rsidRPr="0045546D">
        <w:rPr>
          <w:rFonts w:ascii="Arial" w:hAnsi="Arial" w:cs="Arial"/>
          <w:lang w:val="en-US"/>
        </w:rPr>
        <w:t>. (2017)</w:t>
      </w:r>
      <w:r>
        <w:rPr>
          <w:rFonts w:ascii="Arial" w:hAnsi="Arial" w:cs="Arial"/>
          <w:color w:val="212121"/>
          <w:lang w:val="en-US"/>
        </w:rPr>
        <w:t xml:space="preserve"> Progress of pharmaceutical continuous c</w:t>
      </w:r>
      <w:r w:rsidRPr="0045546D">
        <w:rPr>
          <w:rFonts w:ascii="Arial" w:hAnsi="Arial" w:cs="Arial"/>
          <w:color w:val="212121"/>
          <w:lang w:val="en-US"/>
        </w:rPr>
        <w:t>rystallization. Pág.354-363.</w:t>
      </w:r>
    </w:p>
    <w:p w:rsidR="00463ECC" w:rsidRPr="004103D8" w:rsidRDefault="00463ECC" w:rsidP="00257D10">
      <w:pPr>
        <w:numPr>
          <w:ilvl w:val="0"/>
          <w:numId w:val="7"/>
        </w:numPr>
        <w:tabs>
          <w:tab w:val="left" w:pos="750"/>
        </w:tabs>
        <w:suppressAutoHyphens/>
        <w:spacing w:after="0" w:line="240" w:lineRule="auto"/>
        <w:jc w:val="both"/>
        <w:rPr>
          <w:rFonts w:ascii="Arial" w:hAnsi="Arial" w:cs="Arial"/>
          <w:lang w:val="en-US"/>
        </w:rPr>
      </w:pPr>
      <w:r w:rsidRPr="00B2011D">
        <w:rPr>
          <w:rFonts w:ascii="Arial" w:hAnsi="Arial" w:cs="Arial"/>
          <w:lang w:val="en-US"/>
        </w:rPr>
        <w:t xml:space="preserve">Edward L. Paul, Hsien-Hsin Tung, Michael Midler. </w:t>
      </w:r>
      <w:r w:rsidRPr="00B2011D">
        <w:rPr>
          <w:rFonts w:ascii="Arial" w:hAnsi="Arial" w:cs="Arial"/>
        </w:rPr>
        <w:t>(2004). Organic crystallization processes. Pág. 133-143.</w:t>
      </w:r>
    </w:p>
    <w:p w:rsidR="00463ECC" w:rsidRDefault="00463ECC" w:rsidP="00257D10">
      <w:pPr>
        <w:numPr>
          <w:ilvl w:val="0"/>
          <w:numId w:val="7"/>
        </w:numPr>
        <w:tabs>
          <w:tab w:val="left" w:pos="750"/>
        </w:tabs>
        <w:suppressAutoHyphens/>
        <w:spacing w:after="0" w:line="240" w:lineRule="auto"/>
        <w:jc w:val="both"/>
        <w:rPr>
          <w:rFonts w:ascii="Arial" w:hAnsi="Arial" w:cs="Arial"/>
          <w:lang w:val="en-US"/>
        </w:rPr>
      </w:pPr>
      <w:r w:rsidRPr="004103D8">
        <w:rPr>
          <w:rFonts w:ascii="Arial" w:hAnsi="Arial" w:cs="Arial"/>
          <w:lang w:val="en-US"/>
        </w:rPr>
        <w:t xml:space="preserve">Zhenguo Gao, Sohrab Rohani, Junbo Gong, Jingkang Wang. </w:t>
      </w:r>
      <w:r>
        <w:rPr>
          <w:rFonts w:ascii="Arial" w:hAnsi="Arial" w:cs="Arial"/>
          <w:lang w:val="en-US"/>
        </w:rPr>
        <w:t>(2017). Recent developments in the crystallization process: toward the pharmaceutical industry. Pag. 343-353.</w:t>
      </w:r>
    </w:p>
    <w:p w:rsidR="00463ECC" w:rsidRPr="00B2011D" w:rsidRDefault="00463ECC" w:rsidP="00257D10">
      <w:pPr>
        <w:numPr>
          <w:ilvl w:val="0"/>
          <w:numId w:val="7"/>
        </w:numPr>
        <w:tabs>
          <w:tab w:val="left" w:pos="750"/>
        </w:tabs>
        <w:suppressAutoHyphens/>
        <w:spacing w:after="0" w:line="240" w:lineRule="auto"/>
        <w:jc w:val="both"/>
        <w:rPr>
          <w:rFonts w:ascii="Arial" w:hAnsi="Arial" w:cs="Arial"/>
          <w:lang w:val="en-US"/>
        </w:rPr>
      </w:pPr>
      <w:r>
        <w:rPr>
          <w:rFonts w:ascii="Arial" w:hAnsi="Arial" w:cs="Arial"/>
          <w:lang w:val="en-US"/>
        </w:rPr>
        <w:t>Nagy ZK, Chew JW, Fujiwara M. Braatz RD. (2008) Comparative performance of concentration and temperature controlled batch crystallizations. J Process Contr; 18 (3-4) Pag. 399-407</w:t>
      </w:r>
    </w:p>
    <w:p w:rsidR="00811E7D" w:rsidRDefault="00811E7D" w:rsidP="0049551D">
      <w:pPr>
        <w:rPr>
          <w:lang w:val="en-US"/>
        </w:rPr>
      </w:pPr>
    </w:p>
    <w:p w:rsidR="002429F5" w:rsidRDefault="002429F5" w:rsidP="002429F5">
      <w:pPr>
        <w:jc w:val="center"/>
        <w:rPr>
          <w:rFonts w:ascii="Arial" w:eastAsia="Times New Roman" w:hAnsi="Arial"/>
          <w:b/>
          <w:kern w:val="1"/>
          <w:sz w:val="28"/>
          <w:szCs w:val="20"/>
          <w:lang w:val="en-US"/>
        </w:rPr>
      </w:pPr>
    </w:p>
    <w:p w:rsidR="002429F5" w:rsidRPr="002429F5" w:rsidRDefault="002429F5" w:rsidP="0070164A">
      <w:pPr>
        <w:pStyle w:val="1Titulo"/>
        <w:numPr>
          <w:ilvl w:val="0"/>
          <w:numId w:val="0"/>
        </w:numPr>
        <w:ind w:left="357" w:hanging="357"/>
        <w:jc w:val="center"/>
        <w:rPr>
          <w:lang w:val="en-US"/>
        </w:rPr>
      </w:pPr>
      <w:bookmarkStart w:id="97" w:name="_Toc50031212"/>
      <w:r w:rsidRPr="002429F5">
        <w:rPr>
          <w:lang w:val="en-US"/>
        </w:rPr>
        <w:t>Almost sure exponential robust stability for the Euler-Maruyama</w:t>
      </w:r>
      <w:r w:rsidR="0070164A">
        <w:rPr>
          <w:lang w:val="en-US"/>
        </w:rPr>
        <w:t xml:space="preserve"> </w:t>
      </w:r>
      <w:r w:rsidRPr="002429F5">
        <w:rPr>
          <w:lang w:val="en-US"/>
        </w:rPr>
        <w:t>scheme in a stochastic controlled Schrödinger equation</w:t>
      </w:r>
      <w:bookmarkEnd w:id="97"/>
    </w:p>
    <w:p w:rsidR="002429F5" w:rsidRPr="002429F5" w:rsidRDefault="002429F5" w:rsidP="002429F5">
      <w:pPr>
        <w:jc w:val="center"/>
        <w:rPr>
          <w:color w:val="000000"/>
          <w:sz w:val="28"/>
          <w:szCs w:val="28"/>
          <w:lang w:val="en-US"/>
        </w:rPr>
      </w:pPr>
    </w:p>
    <w:p w:rsidR="002429F5" w:rsidRPr="002429F5" w:rsidRDefault="002429F5" w:rsidP="002429F5">
      <w:pPr>
        <w:pStyle w:val="Author"/>
        <w:rPr>
          <w:rFonts w:ascii="Arial" w:hAnsi="Arial" w:cs="Arial"/>
          <w:szCs w:val="24"/>
          <w:vertAlign w:val="superscript"/>
          <w:lang w:val="es-MX"/>
        </w:rPr>
      </w:pPr>
      <w:r w:rsidRPr="002429F5">
        <w:rPr>
          <w:rFonts w:ascii="Arial" w:hAnsi="Arial" w:cs="Arial"/>
          <w:szCs w:val="24"/>
          <w:lang w:val="es-MX"/>
        </w:rPr>
        <w:t>Romero-Meléndez, C.</w:t>
      </w:r>
      <w:r w:rsidRPr="002429F5">
        <w:rPr>
          <w:rFonts w:ascii="Arial" w:hAnsi="Arial" w:cs="Arial" w:hint="eastAsia"/>
          <w:szCs w:val="24"/>
          <w:vertAlign w:val="superscript"/>
          <w:lang w:val="es-MX"/>
        </w:rPr>
        <w:t>1</w:t>
      </w:r>
      <w:r w:rsidRPr="002429F5">
        <w:rPr>
          <w:rFonts w:ascii="Arial" w:hAnsi="Arial" w:cs="Arial"/>
          <w:szCs w:val="24"/>
          <w:vertAlign w:val="superscript"/>
          <w:lang w:val="es-MX"/>
        </w:rPr>
        <w:t xml:space="preserve">, </w:t>
      </w:r>
      <w:r w:rsidRPr="002429F5">
        <w:rPr>
          <w:rFonts w:ascii="Arial" w:hAnsi="Arial" w:cs="Arial"/>
          <w:szCs w:val="24"/>
          <w:u w:val="single"/>
          <w:lang w:val="es-MX"/>
        </w:rPr>
        <w:t>Castillo-Fernández, D</w:t>
      </w:r>
      <w:r w:rsidRPr="002429F5">
        <w:rPr>
          <w:rFonts w:ascii="Arial" w:hAnsi="Arial" w:cs="Arial"/>
          <w:szCs w:val="24"/>
          <w:lang w:val="es-MX"/>
        </w:rPr>
        <w:t>.</w:t>
      </w:r>
      <w:r w:rsidRPr="002429F5">
        <w:rPr>
          <w:rFonts w:ascii="Arial" w:hAnsi="Arial" w:cs="Arial"/>
          <w:szCs w:val="24"/>
          <w:vertAlign w:val="superscript"/>
          <w:lang w:val="es-MX"/>
        </w:rPr>
        <w:t>1</w:t>
      </w:r>
    </w:p>
    <w:p w:rsidR="002429F5" w:rsidRPr="00954C9A" w:rsidRDefault="002429F5" w:rsidP="002429F5">
      <w:pPr>
        <w:pStyle w:val="affiliation"/>
        <w:rPr>
          <w:rFonts w:ascii="Arial" w:hAnsi="Arial" w:cs="Arial"/>
          <w:sz w:val="24"/>
          <w:szCs w:val="24"/>
          <w:vertAlign w:val="superscript"/>
          <w:lang w:val="en-US"/>
        </w:rPr>
      </w:pPr>
      <w:r w:rsidRPr="00954C9A">
        <w:rPr>
          <w:rFonts w:ascii="Arial" w:hAnsi="Arial" w:cs="Arial"/>
          <w:sz w:val="24"/>
          <w:szCs w:val="24"/>
          <w:vertAlign w:val="superscript"/>
          <w:lang w:val="en-US"/>
        </w:rPr>
        <w:t>1</w:t>
      </w:r>
      <w:r w:rsidRPr="00954C9A">
        <w:rPr>
          <w:rFonts w:ascii="Calibri Light" w:hAnsi="Calibri Light"/>
          <w:sz w:val="21"/>
          <w:szCs w:val="21"/>
          <w:lang w:val="en-US" w:eastAsia="es-ES_tradnl"/>
        </w:rPr>
        <w:t xml:space="preserve"> </w:t>
      </w:r>
      <w:r w:rsidRPr="00954C9A">
        <w:rPr>
          <w:rFonts w:ascii="Arial" w:hAnsi="Arial" w:cs="Arial"/>
          <w:sz w:val="24"/>
          <w:szCs w:val="24"/>
          <w:lang w:val="en-US"/>
        </w:rPr>
        <w:t xml:space="preserve">Department of Basic Sciences. Autonomous Metropolitan University. Mexico.  </w:t>
      </w:r>
    </w:p>
    <w:p w:rsidR="002429F5" w:rsidRPr="002429F5" w:rsidRDefault="001345E4" w:rsidP="002429F5">
      <w:pPr>
        <w:jc w:val="center"/>
        <w:rPr>
          <w:rFonts w:ascii="Arial" w:eastAsia="Times New Roman" w:hAnsi="Arial" w:cs="Arial"/>
          <w:b/>
          <w:bCs/>
          <w:i/>
          <w:iCs/>
          <w:lang w:val="en-US"/>
        </w:rPr>
      </w:pPr>
      <w:hyperlink r:id="rId178" w:history="1">
        <w:r w:rsidR="002429F5" w:rsidRPr="002429F5">
          <w:rPr>
            <w:rStyle w:val="Hipervnculo"/>
            <w:rFonts w:ascii="Arial" w:eastAsia="Times New Roman" w:hAnsi="Arial" w:cs="Arial"/>
            <w:lang w:val="en-US"/>
          </w:rPr>
          <w:t>cutberto@azc.uam.mx</w:t>
        </w:r>
      </w:hyperlink>
      <w:r w:rsidR="002429F5" w:rsidRPr="002429F5">
        <w:rPr>
          <w:rFonts w:ascii="Arial" w:eastAsia="Times New Roman" w:hAnsi="Arial" w:cs="Arial"/>
          <w:lang w:val="en-US"/>
        </w:rPr>
        <w:t xml:space="preserve">, </w:t>
      </w:r>
      <w:hyperlink r:id="rId179" w:history="1">
        <w:r w:rsidR="002429F5" w:rsidRPr="002429F5">
          <w:rPr>
            <w:rStyle w:val="Hipervnculo"/>
            <w:rFonts w:ascii="Arial" w:eastAsia="Times New Roman" w:hAnsi="Arial" w:cs="Arial"/>
            <w:lang w:val="en-US"/>
          </w:rPr>
          <w:t>david_castillo_2004@yahoo.com.mx</w:t>
        </w:r>
      </w:hyperlink>
    </w:p>
    <w:p w:rsidR="002429F5" w:rsidRPr="002429F5" w:rsidRDefault="002429F5" w:rsidP="002429F5">
      <w:pPr>
        <w:rPr>
          <w:lang w:val="en-US"/>
        </w:rPr>
      </w:pPr>
    </w:p>
    <w:p w:rsidR="002429F5" w:rsidRPr="00B45118" w:rsidRDefault="002429F5" w:rsidP="002429F5">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olor w:val="000000"/>
          <w:sz w:val="24"/>
          <w:szCs w:val="24"/>
        </w:rPr>
      </w:pPr>
      <w:bookmarkStart w:id="98" w:name="_Toc50031213"/>
      <w:r w:rsidRPr="00B45118">
        <w:rPr>
          <w:rFonts w:ascii="Arial" w:hAnsi="Arial" w:cs="Arial"/>
          <w:caps/>
          <w:sz w:val="24"/>
          <w:szCs w:val="24"/>
        </w:rPr>
        <w:t xml:space="preserve">1. </w:t>
      </w:r>
      <w:r w:rsidRPr="00B45118">
        <w:rPr>
          <w:rFonts w:ascii="Arial" w:hAnsi="Arial" w:cs="Arial"/>
          <w:sz w:val="24"/>
          <w:szCs w:val="24"/>
        </w:rPr>
        <w:t>Abstract</w:t>
      </w:r>
      <w:bookmarkEnd w:id="98"/>
      <w:r w:rsidRPr="00B45118">
        <w:rPr>
          <w:rFonts w:ascii="Arial" w:hAnsi="Arial" w:cs="Arial"/>
          <w:caps/>
          <w:sz w:val="24"/>
          <w:szCs w:val="24"/>
        </w:rPr>
        <w:t xml:space="preserve"> </w:t>
      </w:r>
    </w:p>
    <w:p w:rsidR="002429F5" w:rsidRPr="00954C9A" w:rsidRDefault="002429F5" w:rsidP="002429F5">
      <w:pPr>
        <w:ind w:firstLine="567"/>
        <w:jc w:val="both"/>
        <w:rPr>
          <w:rFonts w:ascii="Arial" w:hAnsi="Arial" w:cs="Arial"/>
          <w:color w:val="000000"/>
        </w:rPr>
      </w:pPr>
    </w:p>
    <w:p w:rsidR="002429F5" w:rsidRPr="002429F5" w:rsidRDefault="002429F5" w:rsidP="002429F5">
      <w:pPr>
        <w:ind w:firstLine="567"/>
        <w:jc w:val="both"/>
        <w:rPr>
          <w:rFonts w:ascii="Arial" w:hAnsi="Arial" w:cs="Arial"/>
          <w:color w:val="000000"/>
          <w:lang w:val="en-US"/>
        </w:rPr>
      </w:pPr>
      <w:r w:rsidRPr="002429F5">
        <w:rPr>
          <w:rFonts w:ascii="Arial" w:hAnsi="Arial" w:cs="Arial"/>
          <w:color w:val="000000"/>
          <w:lang w:val="en-US"/>
        </w:rPr>
        <w:t>We study the stability of zero solution of a stochastic quantum two-level system, with two new definitions of almost sure exponential robust stability and asymptotical stability for the Euler-Maruyama numerical scheme, in the stochastic controlled Schrödinger equation</w:t>
      </w:r>
      <w:r w:rsidRPr="002429F5">
        <w:rPr>
          <w:rFonts w:ascii="Arial" w:hAnsi="Arial" w:cs="Arial"/>
          <w:iCs/>
          <w:lang w:val="en-US"/>
        </w:rPr>
        <w:t xml:space="preserve">. </w:t>
      </w:r>
      <w:r w:rsidRPr="002429F5">
        <w:rPr>
          <w:rFonts w:ascii="Arial" w:hAnsi="Arial" w:cs="Arial"/>
          <w:color w:val="000000"/>
          <w:lang w:val="en-US"/>
        </w:rPr>
        <w:t xml:space="preserve">We apply, by extending to case of diffusion term is controlled, the techniques used by Mao and Tsoi, to prove the almost sure exponential robust stability and asymptotic stability for Euler-Maruyama scheme. We illustrate these results in a Nuclear Magnetic Resonance (NMR) problem. </w:t>
      </w:r>
    </w:p>
    <w:p w:rsidR="002429F5" w:rsidRPr="002429F5" w:rsidRDefault="002429F5" w:rsidP="002429F5">
      <w:pPr>
        <w:jc w:val="both"/>
        <w:rPr>
          <w:rFonts w:ascii="Arial" w:hAnsi="Arial" w:cs="Arial"/>
          <w:lang w:val="en-US"/>
        </w:rPr>
      </w:pPr>
    </w:p>
    <w:p w:rsidR="002429F5" w:rsidRPr="00B45118" w:rsidRDefault="002429F5" w:rsidP="002429F5">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aps/>
          <w:sz w:val="24"/>
          <w:szCs w:val="24"/>
        </w:rPr>
      </w:pPr>
      <w:bookmarkStart w:id="99" w:name="_Toc50031214"/>
      <w:r w:rsidRPr="00B45118">
        <w:rPr>
          <w:rFonts w:ascii="Arial" w:hAnsi="Arial" w:cs="Arial"/>
          <w:caps/>
          <w:sz w:val="24"/>
          <w:szCs w:val="24"/>
        </w:rPr>
        <w:t>2. I</w:t>
      </w:r>
      <w:r w:rsidRPr="00B45118">
        <w:rPr>
          <w:rFonts w:ascii="Arial" w:hAnsi="Arial" w:cs="Arial"/>
          <w:sz w:val="24"/>
          <w:szCs w:val="24"/>
        </w:rPr>
        <w:t>ntroduction</w:t>
      </w:r>
      <w:bookmarkEnd w:id="99"/>
      <w:r w:rsidRPr="00B45118">
        <w:rPr>
          <w:rFonts w:ascii="Arial" w:hAnsi="Arial" w:cs="Arial"/>
          <w:caps/>
          <w:sz w:val="24"/>
          <w:szCs w:val="24"/>
        </w:rPr>
        <w:t xml:space="preserve"> </w:t>
      </w:r>
    </w:p>
    <w:p w:rsidR="002429F5" w:rsidRPr="002429F5" w:rsidRDefault="002429F5" w:rsidP="002429F5">
      <w:pPr>
        <w:jc w:val="both"/>
        <w:rPr>
          <w:rFonts w:ascii="Arial" w:hAnsi="Arial" w:cs="Arial"/>
          <w:iCs/>
          <w:lang w:val="en-US"/>
        </w:rPr>
      </w:pPr>
      <w:r w:rsidRPr="002429F5">
        <w:rPr>
          <w:lang w:val="en-US"/>
        </w:rPr>
        <w:t xml:space="preserve">         </w:t>
      </w:r>
      <w:r w:rsidRPr="002429F5">
        <w:rPr>
          <w:rFonts w:ascii="Arial" w:hAnsi="Arial" w:cs="Arial"/>
          <w:iCs/>
          <w:lang w:val="en-US"/>
        </w:rPr>
        <w:t xml:space="preserve">The stability and robustness analysis of numerical computations in the stochastic controlled Schrödinger equation is motivated, at first, by the insensitivity of the numerical solution found, via Euler-Maruyama numerical scheme, with respect to the ensemble of parameters related with the Nuclear Magnetic Resonance (NMR) phenomenon. Secondly, in the choice of the optimal control to steer, with probability one, two quantum states for a stochastic quantum system, minimizing the cost, we require some asymptotic stability properties and it is important to have several stability results that allow achieving the desired task. We can use stability results to select controls, assuring asymptotic stability desired properties. Studying the stability of the numerical schemes for stochastic controlled Schrödinger equations and computing approximations, it's important to analyze the choice of step size </w:t>
      </w:r>
      <m:oMath>
        <m:sSub>
          <m:sSubPr>
            <m:ctrlPr>
              <w:rPr>
                <w:rFonts w:ascii="Cambria Math" w:hAnsi="Cambria Math" w:cs="Arial"/>
                <w:i/>
                <w:iCs/>
              </w:rPr>
            </m:ctrlPr>
          </m:sSubPr>
          <m:e>
            <m:r>
              <w:rPr>
                <w:rFonts w:ascii="Cambria Math" w:hAnsi="Cambria Math" w:cs="Arial"/>
                <w:i/>
                <w:iCs/>
              </w:rPr>
              <w:sym w:font="Symbol" w:char="F044"/>
            </m:r>
            <m:r>
              <w:rPr>
                <w:rFonts w:ascii="Cambria Math" w:hAnsi="Cambria Math" w:cs="Arial"/>
              </w:rPr>
              <m:t>t</m:t>
            </m:r>
          </m:e>
          <m:sub>
            <m:r>
              <w:rPr>
                <w:rFonts w:ascii="Cambria Math" w:hAnsi="Cambria Math" w:cs="Arial"/>
              </w:rPr>
              <m:t>k</m:t>
            </m:r>
          </m:sub>
        </m:sSub>
      </m:oMath>
      <w:r w:rsidRPr="002429F5">
        <w:rPr>
          <w:rFonts w:ascii="Arial" w:hAnsi="Arial" w:cs="Arial"/>
          <w:iCs/>
          <w:lang w:val="en-US"/>
        </w:rPr>
        <w:t>, in order to extend the stability properties to the exact solution of the corresponding stochastic controlled Schrödinger equation, by very large time. There are different types of exponential stochastic stability and we look for the most suitable four our optimal control problem.</w:t>
      </w:r>
    </w:p>
    <w:p w:rsidR="002429F5" w:rsidRPr="00954C9A" w:rsidRDefault="002429F5" w:rsidP="002429F5">
      <w:pPr>
        <w:ind w:firstLine="567"/>
        <w:jc w:val="both"/>
        <w:rPr>
          <w:rFonts w:ascii="Arial" w:hAnsi="Arial" w:cs="Arial"/>
          <w:iCs/>
        </w:rPr>
      </w:pPr>
      <w:r w:rsidRPr="002429F5">
        <w:rPr>
          <w:rFonts w:ascii="Arial" w:hAnsi="Arial" w:cs="Arial"/>
          <w:color w:val="000000"/>
          <w:lang w:val="en-US"/>
        </w:rPr>
        <w:t xml:space="preserve">Our definitions of almost sure exponential robust stability and asymptotic stability are variants in the control case, of Mao X. definitions for the stability of numerical schemes. </w:t>
      </w:r>
      <w:r w:rsidRPr="00954C9A">
        <w:rPr>
          <w:rFonts w:ascii="Arial" w:hAnsi="Arial" w:cs="Arial"/>
          <w:color w:val="000000"/>
        </w:rPr>
        <w:t xml:space="preserve">We begin with the </w:t>
      </w:r>
      <w:r w:rsidRPr="00954C9A">
        <w:rPr>
          <w:rFonts w:ascii="Arial" w:hAnsi="Arial" w:cs="Arial"/>
          <w:iCs/>
        </w:rPr>
        <w:t>Schrödinger equation depending on time</w:t>
      </w:r>
    </w:p>
    <w:p w:rsidR="002429F5" w:rsidRPr="00954C9A" w:rsidRDefault="002429F5" w:rsidP="002429F5">
      <w:pPr>
        <w:ind w:firstLine="567"/>
        <w:jc w:val="both"/>
        <w:rPr>
          <w:rFonts w:ascii="Arial" w:hAnsi="Arial" w:cs="Arial"/>
          <w:color w:val="000000"/>
        </w:rPr>
      </w:pPr>
    </w:p>
    <w:p w:rsidR="002429F5" w:rsidRPr="00954C9A" w:rsidRDefault="001345E4" w:rsidP="002429F5">
      <w:pPr>
        <w:pStyle w:val="p1"/>
        <w:rPr>
          <w:sz w:val="22"/>
          <w:szCs w:val="22"/>
        </w:rPr>
      </w:pPr>
      <m:oMathPara>
        <m:oMathParaPr>
          <m:jc m:val="right"/>
        </m:oMathParaPr>
        <m:oMath>
          <m:f>
            <m:fPr>
              <m:ctrlPr>
                <w:rPr>
                  <w:rFonts w:ascii="Cambria Math" w:eastAsia="MS Mincho" w:hAnsi="Cambria Math" w:cs="Arial"/>
                  <w:i/>
                  <w:sz w:val="22"/>
                  <w:szCs w:val="22"/>
                </w:rPr>
              </m:ctrlPr>
            </m:fPr>
            <m:num>
              <m:r>
                <w:rPr>
                  <w:rFonts w:ascii="Cambria Math" w:eastAsia="MS Mincho" w:hAnsi="Cambria Math" w:cs="Arial"/>
                  <w:sz w:val="22"/>
                  <w:szCs w:val="22"/>
                </w:rPr>
                <m:t>d</m:t>
              </m:r>
            </m:num>
            <m:den>
              <m:r>
                <w:rPr>
                  <w:rFonts w:ascii="Cambria Math" w:eastAsia="MS Mincho" w:hAnsi="Cambria Math" w:cs="Arial"/>
                  <w:sz w:val="22"/>
                  <w:szCs w:val="22"/>
                </w:rPr>
                <m:t>dt</m:t>
              </m:r>
            </m:den>
          </m:f>
          <m:r>
            <w:rPr>
              <w:rFonts w:ascii="Cambria Math" w:eastAsia="MS Mincho" w:hAnsi="Cambria Math" w:cs="Arial"/>
              <w:sz w:val="22"/>
              <w:szCs w:val="22"/>
            </w:rPr>
            <m:t>ψ</m:t>
          </m:r>
          <m:d>
            <m:dPr>
              <m:ctrlPr>
                <w:rPr>
                  <w:rFonts w:ascii="Cambria Math" w:eastAsia="MS Mincho" w:hAnsi="Cambria Math" w:cs="Arial"/>
                  <w:i/>
                  <w:sz w:val="22"/>
                  <w:szCs w:val="22"/>
                </w:rPr>
              </m:ctrlPr>
            </m:dPr>
            <m:e>
              <m:r>
                <w:rPr>
                  <w:rFonts w:ascii="Cambria Math" w:eastAsia="MS Mincho" w:hAnsi="Cambria Math" w:cs="Arial"/>
                  <w:sz w:val="22"/>
                  <w:szCs w:val="22"/>
                </w:rPr>
                <m:t>t</m:t>
              </m:r>
            </m:e>
          </m:d>
          <m:r>
            <w:rPr>
              <w:rFonts w:ascii="Cambria Math" w:eastAsia="MS Mincho" w:hAnsi="Cambria Math" w:cs="Arial"/>
              <w:sz w:val="22"/>
              <w:szCs w:val="22"/>
            </w:rPr>
            <m:t>=-iH</m:t>
          </m:r>
          <m:d>
            <m:dPr>
              <m:ctrlPr>
                <w:rPr>
                  <w:rFonts w:ascii="Cambria Math" w:eastAsia="MS Mincho" w:hAnsi="Cambria Math" w:cs="Arial"/>
                  <w:i/>
                  <w:sz w:val="22"/>
                  <w:szCs w:val="22"/>
                </w:rPr>
              </m:ctrlPr>
            </m:dPr>
            <m:e>
              <m:r>
                <w:rPr>
                  <w:rFonts w:ascii="Cambria Math" w:hAnsi="Cambria Math" w:cs="Arial"/>
                  <w:sz w:val="22"/>
                  <w:szCs w:val="22"/>
                </w:rPr>
                <m:t>u</m:t>
              </m:r>
              <m:d>
                <m:dPr>
                  <m:ctrlPr>
                    <w:rPr>
                      <w:rFonts w:ascii="Cambria Math" w:eastAsia="MS Mincho" w:hAnsi="Cambria Math" w:cs="Arial"/>
                      <w:i/>
                      <w:sz w:val="22"/>
                      <w:szCs w:val="22"/>
                    </w:rPr>
                  </m:ctrlPr>
                </m:dPr>
                <m:e>
                  <m:r>
                    <w:rPr>
                      <w:rFonts w:ascii="Cambria Math" w:eastAsia="MS Mincho" w:hAnsi="Cambria Math" w:cs="Arial"/>
                      <w:sz w:val="22"/>
                      <w:szCs w:val="22"/>
                    </w:rPr>
                    <m:t>t</m:t>
                  </m:r>
                </m:e>
              </m:d>
            </m:e>
          </m:d>
          <m:r>
            <w:rPr>
              <w:rFonts w:ascii="Cambria Math" w:eastAsia="MS Mincho" w:hAnsi="Cambria Math" w:cs="Arial"/>
              <w:sz w:val="22"/>
              <w:szCs w:val="22"/>
            </w:rPr>
            <m:t>ψ</m:t>
          </m:r>
          <m:d>
            <m:dPr>
              <m:ctrlPr>
                <w:rPr>
                  <w:rFonts w:ascii="Cambria Math" w:eastAsia="MS Mincho" w:hAnsi="Cambria Math" w:cs="Arial"/>
                  <w:i/>
                  <w:sz w:val="22"/>
                  <w:szCs w:val="22"/>
                </w:rPr>
              </m:ctrlPr>
            </m:dPr>
            <m:e>
              <m:r>
                <w:rPr>
                  <w:rFonts w:ascii="Cambria Math" w:eastAsia="MS Mincho" w:hAnsi="Cambria Math" w:cs="Arial"/>
                  <w:sz w:val="22"/>
                  <w:szCs w:val="22"/>
                </w:rPr>
                <m:t>t</m:t>
              </m:r>
            </m:e>
          </m:d>
          <m:r>
            <w:rPr>
              <w:rFonts w:ascii="Cambria Math" w:eastAsia="MS Mincho" w:hAnsi="Cambria Math" w:cs="Arial"/>
              <w:sz w:val="22"/>
              <w:szCs w:val="22"/>
            </w:rPr>
            <m:t>,                                                                (1)</m:t>
          </m:r>
        </m:oMath>
      </m:oMathPara>
    </w:p>
    <w:p w:rsidR="002429F5" w:rsidRPr="00954C9A" w:rsidRDefault="002429F5" w:rsidP="002429F5">
      <w:pPr>
        <w:jc w:val="both"/>
        <w:rPr>
          <w:rFonts w:ascii="Arial" w:hAnsi="Arial" w:cs="Arial"/>
          <w:iCs/>
        </w:rPr>
      </w:pPr>
    </w:p>
    <w:p w:rsidR="002429F5" w:rsidRPr="002429F5" w:rsidRDefault="002429F5" w:rsidP="002429F5">
      <w:pPr>
        <w:jc w:val="both"/>
        <w:rPr>
          <w:rFonts w:ascii="Arial" w:hAnsi="Arial" w:cs="Arial"/>
          <w:iCs/>
          <w:lang w:val="en-US"/>
        </w:rPr>
      </w:pPr>
      <w:r w:rsidRPr="002429F5">
        <w:rPr>
          <w:rFonts w:ascii="Arial" w:hAnsi="Arial" w:cs="Arial"/>
          <w:bCs/>
          <w:iCs/>
          <w:lang w:val="en-US"/>
        </w:rPr>
        <w:lastRenderedPageBreak/>
        <w:t xml:space="preserve">where </w:t>
      </w:r>
      <m:oMath>
        <m:r>
          <w:rPr>
            <w:rFonts w:ascii="Cambria Math" w:hAnsi="Cambria Math" w:cs="Arial"/>
          </w:rPr>
          <m:t>ψ</m:t>
        </m:r>
        <m:r>
          <w:rPr>
            <w:rFonts w:ascii="Cambria Math" w:hAnsi="Cambria Math" w:cs="Arial"/>
            <w:lang w:val="en-US"/>
          </w:rPr>
          <m:t>=</m:t>
        </m:r>
        <m:d>
          <m:dPr>
            <m:ctrlPr>
              <w:rPr>
                <w:rFonts w:ascii="Cambria Math" w:hAnsi="Cambria Math" w:cs="Arial"/>
                <w:bCs/>
                <w:i/>
                <w:iCs/>
              </w:rPr>
            </m:ctrlPr>
          </m:dPr>
          <m:e>
            <m:sSub>
              <m:sSubPr>
                <m:ctrlPr>
                  <w:rPr>
                    <w:rFonts w:ascii="Cambria Math" w:hAnsi="Cambria Math" w:cs="Arial"/>
                    <w:bCs/>
                    <w:i/>
                    <w:iCs/>
                  </w:rPr>
                </m:ctrlPr>
              </m:sSubPr>
              <m:e>
                <m:r>
                  <w:rPr>
                    <w:rFonts w:ascii="Cambria Math" w:hAnsi="Cambria Math" w:cs="Arial"/>
                  </w:rPr>
                  <m:t>ψ</m:t>
                </m:r>
              </m:e>
              <m:sub>
                <m:r>
                  <w:rPr>
                    <w:rFonts w:ascii="Cambria Math" w:hAnsi="Cambria Math" w:cs="Arial"/>
                    <w:lang w:val="en-US"/>
                  </w:rPr>
                  <m:t>1</m:t>
                </m:r>
              </m:sub>
            </m:sSub>
            <m:r>
              <w:rPr>
                <w:rFonts w:ascii="Cambria Math" w:hAnsi="Cambria Math" w:cs="Arial"/>
                <w:lang w:val="en-US"/>
              </w:rPr>
              <m:t>,</m:t>
            </m:r>
            <m:sSub>
              <m:sSubPr>
                <m:ctrlPr>
                  <w:rPr>
                    <w:rFonts w:ascii="Cambria Math" w:hAnsi="Cambria Math" w:cs="Arial"/>
                    <w:bCs/>
                    <w:i/>
                    <w:iCs/>
                  </w:rPr>
                </m:ctrlPr>
              </m:sSubPr>
              <m:e>
                <m:r>
                  <w:rPr>
                    <w:rFonts w:ascii="Cambria Math" w:hAnsi="Cambria Math" w:cs="Arial"/>
                  </w:rPr>
                  <m:t>ψ</m:t>
                </m:r>
              </m:e>
              <m:sub>
                <m:r>
                  <w:rPr>
                    <w:rFonts w:ascii="Cambria Math" w:hAnsi="Cambria Math" w:cs="Arial"/>
                    <w:lang w:val="en-US"/>
                  </w:rPr>
                  <m:t>2</m:t>
                </m:r>
              </m:sub>
            </m:sSub>
          </m:e>
        </m:d>
        <m:r>
          <w:rPr>
            <w:rFonts w:ascii="Cambria Math" w:hAnsi="Cambria Math" w:cs="Arial"/>
            <w:lang w:val="en-US"/>
          </w:rPr>
          <m:t>:</m:t>
        </m:r>
        <m:d>
          <m:dPr>
            <m:begChr m:val="["/>
            <m:endChr m:val="]"/>
            <m:ctrlPr>
              <w:rPr>
                <w:rFonts w:ascii="Cambria Math" w:hAnsi="Cambria Math" w:cs="Arial"/>
                <w:bCs/>
                <w:i/>
                <w:iCs/>
              </w:rPr>
            </m:ctrlPr>
          </m:dPr>
          <m:e>
            <m:r>
              <w:rPr>
                <w:rFonts w:ascii="Cambria Math" w:hAnsi="Cambria Math" w:cs="Arial"/>
                <w:lang w:val="en-US"/>
              </w:rPr>
              <m:t xml:space="preserve">0, </m:t>
            </m:r>
            <m:r>
              <w:rPr>
                <w:rFonts w:ascii="Cambria Math" w:hAnsi="Cambria Math" w:cs="Arial"/>
              </w:rPr>
              <m:t>T</m:t>
            </m:r>
          </m:e>
        </m:d>
        <m:r>
          <w:rPr>
            <w:rFonts w:ascii="Cambria Math" w:hAnsi="Cambria Math" w:cs="Arial"/>
            <w:bCs/>
            <w:i/>
            <w:iCs/>
          </w:rPr>
          <w:sym w:font="Symbol" w:char="F0AE"/>
        </m:r>
        <m:sSup>
          <m:sSupPr>
            <m:ctrlPr>
              <w:rPr>
                <w:rFonts w:ascii="Cambria Math" w:hAnsi="Cambria Math" w:cs="Arial"/>
                <w:bCs/>
                <w:i/>
                <w:iCs/>
              </w:rPr>
            </m:ctrlPr>
          </m:sSupPr>
          <m:e>
            <m:r>
              <m:rPr>
                <m:scr m:val="double-struck"/>
              </m:rPr>
              <w:rPr>
                <w:rFonts w:ascii="Cambria Math" w:hAnsi="Cambria Math" w:cs="Arial"/>
                <w:lang w:val="en-US"/>
              </w:rPr>
              <m:t xml:space="preserve"> C</m:t>
            </m:r>
          </m:e>
          <m:sup>
            <m:r>
              <w:rPr>
                <w:rFonts w:ascii="Cambria Math" w:hAnsi="Cambria Math" w:cs="Arial"/>
                <w:lang w:val="en-US"/>
              </w:rPr>
              <m:t>2</m:t>
            </m:r>
          </m:sup>
        </m:sSup>
      </m:oMath>
      <w:r w:rsidRPr="002429F5">
        <w:rPr>
          <w:rFonts w:ascii="Arial" w:hAnsi="Arial" w:cs="Arial"/>
          <w:bCs/>
          <w:iCs/>
          <w:lang w:val="en-US"/>
        </w:rPr>
        <w:t xml:space="preserve"> is a quantum state, </w:t>
      </w:r>
      <m:oMath>
        <m:r>
          <w:rPr>
            <w:rFonts w:ascii="Cambria Math" w:hAnsi="Cambria Math" w:cs="Arial"/>
          </w:rPr>
          <m:t>u</m:t>
        </m:r>
        <m:r>
          <m:rPr>
            <m:sty m:val="p"/>
          </m:rPr>
          <w:rPr>
            <w:rFonts w:ascii="Cambria Math" w:hAnsi="Cambria Math" w:cs="Arial"/>
            <w:lang w:val="en-US"/>
          </w:rPr>
          <m:t>: [0,</m:t>
        </m:r>
        <m:r>
          <w:rPr>
            <w:rFonts w:ascii="Cambria Math" w:hAnsi="Cambria Math" w:cs="Arial"/>
            <w:lang w:val="en-US"/>
          </w:rPr>
          <m:t xml:space="preserve"> </m:t>
        </m:r>
        <m:r>
          <w:rPr>
            <w:rFonts w:ascii="Cambria Math" w:hAnsi="Cambria Math" w:cs="Arial"/>
          </w:rPr>
          <m:t>T</m:t>
        </m:r>
        <m:r>
          <m:rPr>
            <m:sty m:val="p"/>
          </m:rPr>
          <w:rPr>
            <w:rFonts w:ascii="Cambria Math" w:hAnsi="Cambria Math" w:cs="Arial"/>
            <w:lang w:val="en-US"/>
          </w:rPr>
          <m:t>] →</m:t>
        </m:r>
        <m:sSup>
          <m:sSupPr>
            <m:ctrlPr>
              <w:rPr>
                <w:rFonts w:ascii="Cambria Math" w:hAnsi="Cambria Math" w:cs="Arial"/>
              </w:rPr>
            </m:ctrlPr>
          </m:sSupPr>
          <m:e>
            <m:r>
              <m:rPr>
                <m:scr m:val="double-struck"/>
                <m:sty m:val="p"/>
              </m:rPr>
              <w:rPr>
                <w:rFonts w:ascii="Cambria Math" w:hAnsi="Cambria Math" w:cs="Arial"/>
                <w:lang w:val="en-US"/>
              </w:rPr>
              <m:t>R</m:t>
            </m:r>
          </m:e>
          <m:sup>
            <m:r>
              <w:rPr>
                <w:rFonts w:ascii="Cambria Math" w:hAnsi="Cambria Math" w:cs="Arial"/>
                <w:lang w:val="en-US"/>
              </w:rPr>
              <m:t>2</m:t>
            </m:r>
          </m:sup>
        </m:sSup>
      </m:oMath>
      <w:r w:rsidRPr="002429F5">
        <w:rPr>
          <w:rFonts w:ascii="Arial" w:hAnsi="Arial" w:cs="Arial"/>
          <w:iCs/>
          <w:lang w:val="en-US"/>
        </w:rPr>
        <w:t>,</w:t>
      </w:r>
      <w:r w:rsidRPr="002429F5">
        <w:rPr>
          <w:rFonts w:ascii="Arial" w:hAnsi="Arial" w:cs="Arial"/>
          <w:bCs/>
          <w:iCs/>
          <w:lang w:val="en-US"/>
        </w:rPr>
        <w:t xml:space="preserve"> </w:t>
      </w:r>
      <m:oMath>
        <m:r>
          <w:rPr>
            <w:rFonts w:ascii="Cambria Math" w:hAnsi="Cambria Math" w:cs="Arial"/>
          </w:rPr>
          <m:t>u</m:t>
        </m:r>
        <m:d>
          <m:dPr>
            <m:ctrlPr>
              <w:rPr>
                <w:rFonts w:ascii="Cambria Math" w:hAnsi="Cambria Math" w:cs="Arial"/>
                <w:iCs/>
              </w:rPr>
            </m:ctrlPr>
          </m:dPr>
          <m:e>
            <m:r>
              <m:rPr>
                <m:sty m:val="p"/>
              </m:rPr>
              <w:rPr>
                <w:rFonts w:ascii="Cambria Math" w:hAnsi="Cambria Math" w:cs="Arial"/>
                <w:lang w:val="en-US"/>
              </w:rPr>
              <m:t>t</m:t>
            </m:r>
          </m:e>
        </m:d>
        <m:r>
          <m:rPr>
            <m:sty m:val="p"/>
          </m:rPr>
          <w:rPr>
            <w:rFonts w:ascii="Cambria Math" w:hAnsi="Cambria Math" w:cs="Arial"/>
            <w:lang w:val="en-US"/>
          </w:rPr>
          <m:t>=(</m:t>
        </m:r>
        <m:sSub>
          <m:sSubPr>
            <m:ctrlPr>
              <w:rPr>
                <w:rFonts w:ascii="Cambria Math" w:hAnsi="Cambria Math" w:cs="Arial"/>
                <w:bCs/>
                <w:iCs/>
              </w:rPr>
            </m:ctrlPr>
          </m:sSubPr>
          <m:e>
            <m:r>
              <w:rPr>
                <w:rFonts w:ascii="Cambria Math" w:hAnsi="Cambria Math" w:cs="Arial"/>
              </w:rPr>
              <m:t>u</m:t>
            </m:r>
          </m:e>
          <m:sub>
            <m:r>
              <w:rPr>
                <w:rFonts w:ascii="Cambria Math" w:hAnsi="Cambria Math" w:cs="Arial"/>
                <w:lang w:val="en-US"/>
              </w:rPr>
              <m:t>1</m:t>
            </m:r>
          </m:sub>
        </m:sSub>
        <m:d>
          <m:dPr>
            <m:ctrlPr>
              <w:rPr>
                <w:rFonts w:ascii="Cambria Math" w:hAnsi="Cambria Math" w:cs="Arial"/>
                <w:i/>
                <w:iCs/>
              </w:rPr>
            </m:ctrlPr>
          </m:dPr>
          <m:e>
            <m:r>
              <w:rPr>
                <w:rFonts w:ascii="Cambria Math" w:hAnsi="Cambria Math" w:cs="Arial"/>
              </w:rPr>
              <m:t>t</m:t>
            </m:r>
          </m:e>
        </m:d>
        <m:r>
          <m:rPr>
            <m:sty m:val="p"/>
          </m:rPr>
          <w:rPr>
            <w:rFonts w:ascii="Cambria Math" w:hAnsi="Cambria Math" w:cs="Arial"/>
            <w:lang w:val="en-US"/>
          </w:rPr>
          <m:t>,</m:t>
        </m:r>
        <m:sSub>
          <m:sSubPr>
            <m:ctrlPr>
              <w:rPr>
                <w:rFonts w:ascii="Cambria Math" w:hAnsi="Cambria Math" w:cs="Arial"/>
                <w:bCs/>
                <w:iCs/>
              </w:rPr>
            </m:ctrlPr>
          </m:sSubPr>
          <m:e>
            <m:r>
              <w:rPr>
                <w:rFonts w:ascii="Cambria Math" w:hAnsi="Cambria Math" w:cs="Arial"/>
              </w:rPr>
              <m:t>u</m:t>
            </m:r>
          </m:e>
          <m:sub>
            <m:r>
              <w:rPr>
                <w:rFonts w:ascii="Cambria Math" w:hAnsi="Cambria Math" w:cs="Arial"/>
                <w:lang w:val="en-US"/>
              </w:rPr>
              <m:t>2</m:t>
            </m:r>
          </m:sub>
        </m:sSub>
        <m:d>
          <m:dPr>
            <m:ctrlPr>
              <w:rPr>
                <w:rFonts w:ascii="Cambria Math" w:hAnsi="Cambria Math" w:cs="Arial"/>
                <w:i/>
                <w:iCs/>
              </w:rPr>
            </m:ctrlPr>
          </m:dPr>
          <m:e>
            <m:r>
              <w:rPr>
                <w:rFonts w:ascii="Cambria Math" w:hAnsi="Cambria Math" w:cs="Arial"/>
              </w:rPr>
              <m:t>t</m:t>
            </m:r>
          </m:e>
        </m:d>
        <m:r>
          <m:rPr>
            <m:sty m:val="p"/>
          </m:rPr>
          <w:rPr>
            <w:rFonts w:ascii="Cambria Math" w:hAnsi="Cambria Math" w:cs="Arial"/>
            <w:lang w:val="en-US"/>
          </w:rPr>
          <m:t>)</m:t>
        </m:r>
      </m:oMath>
      <w:r w:rsidRPr="002429F5">
        <w:rPr>
          <w:rFonts w:ascii="Arial" w:hAnsi="Arial" w:cs="Arial"/>
          <w:iCs/>
          <w:lang w:val="en-US"/>
        </w:rPr>
        <w:t xml:space="preserve"> are stochastic controls and the energy of the system is represented by the Hamiltonian operator</w:t>
      </w:r>
      <w:r w:rsidRPr="002429F5">
        <w:rPr>
          <w:rFonts w:ascii="Arial" w:hAnsi="Arial" w:cs="Arial"/>
          <w:bCs/>
          <w:iCs/>
          <w:lang w:val="en-US"/>
        </w:rPr>
        <w:t xml:space="preserve"> </w:t>
      </w:r>
      <m:oMath>
        <m:r>
          <w:rPr>
            <w:rFonts w:ascii="Cambria Math" w:hAnsi="Cambria Math" w:cs="Arial"/>
          </w:rPr>
          <m:t>H</m:t>
        </m:r>
        <m:r>
          <w:rPr>
            <w:rFonts w:ascii="Cambria Math" w:hAnsi="Cambria Math" w:cs="Arial"/>
            <w:lang w:val="en-US"/>
          </w:rPr>
          <m:t>(</m:t>
        </m:r>
        <m:r>
          <w:rPr>
            <w:rFonts w:ascii="Cambria Math" w:hAnsi="Cambria Math" w:cs="Arial"/>
          </w:rPr>
          <m:t>t</m:t>
        </m:r>
        <m:r>
          <w:rPr>
            <w:rFonts w:ascii="Cambria Math" w:hAnsi="Cambria Math" w:cs="Arial"/>
            <w:lang w:val="en-US"/>
          </w:rPr>
          <m:t>)</m:t>
        </m:r>
      </m:oMath>
      <w:r w:rsidRPr="002429F5">
        <w:rPr>
          <w:rFonts w:ascii="Arial" w:hAnsi="Arial" w:cs="Arial"/>
          <w:iCs/>
          <w:lang w:val="en-US"/>
        </w:rPr>
        <w:t>.  This Hamiltonian contains deterministic and stochastic interactions so, we can separate them as</w:t>
      </w:r>
    </w:p>
    <w:p w:rsidR="002429F5" w:rsidRPr="00954C9A" w:rsidRDefault="002429F5" w:rsidP="002429F5">
      <w:pPr>
        <w:jc w:val="both"/>
        <w:rPr>
          <w:rFonts w:ascii="Arial" w:hAnsi="Arial" w:cs="Arial"/>
        </w:rPr>
      </w:pPr>
      <m:oMathPara>
        <m:oMath>
          <m:r>
            <w:rPr>
              <w:rFonts w:ascii="Cambria Math" w:eastAsia="MS Mincho" w:hAnsi="Cambria Math" w:cs="Arial"/>
            </w:rPr>
            <m:t>H</m:t>
          </m:r>
          <m:d>
            <m:dPr>
              <m:ctrlPr>
                <w:rPr>
                  <w:rFonts w:ascii="Cambria Math" w:eastAsia="MS Mincho" w:hAnsi="Cambria Math" w:cs="Arial"/>
                  <w:i/>
                </w:rPr>
              </m:ctrlPr>
            </m:dPr>
            <m:e>
              <m:r>
                <w:rPr>
                  <w:rFonts w:ascii="Cambria Math" w:eastAsia="MS Mincho" w:hAnsi="Cambria Math" w:cs="Arial"/>
                </w:rPr>
                <m:t>t</m:t>
              </m:r>
            </m:e>
          </m:d>
          <m:r>
            <w:rPr>
              <w:rFonts w:ascii="Cambria Math" w:eastAsia="MS Mincho" w:hAnsi="Cambria Math" w:cs="Arial"/>
            </w:rPr>
            <m:t>=</m:t>
          </m:r>
          <m:sSub>
            <m:sSubPr>
              <m:ctrlPr>
                <w:rPr>
                  <w:rFonts w:ascii="Cambria Math" w:eastAsia="MS Mincho" w:hAnsi="Cambria Math" w:cs="Arial"/>
                  <w:i/>
                </w:rPr>
              </m:ctrlPr>
            </m:sSubPr>
            <m:e>
              <m:r>
                <w:rPr>
                  <w:rFonts w:ascii="Cambria Math" w:eastAsia="MS Mincho" w:hAnsi="Cambria Math" w:cs="Arial"/>
                </w:rPr>
                <m:t>H</m:t>
              </m:r>
            </m:e>
            <m:sub>
              <m:r>
                <w:rPr>
                  <w:rFonts w:ascii="Cambria Math" w:eastAsia="MS Mincho" w:hAnsi="Cambria Math" w:cs="Arial"/>
                </w:rPr>
                <m:t>0</m:t>
              </m:r>
            </m:sub>
          </m:sSub>
          <m:d>
            <m:dPr>
              <m:ctrlPr>
                <w:rPr>
                  <w:rFonts w:ascii="Cambria Math" w:eastAsia="MS Mincho" w:hAnsi="Cambria Math" w:cs="Arial"/>
                  <w:i/>
                </w:rPr>
              </m:ctrlPr>
            </m:dPr>
            <m:e>
              <m:r>
                <w:rPr>
                  <w:rFonts w:ascii="Cambria Math" w:eastAsia="MS Mincho" w:hAnsi="Cambria Math" w:cs="Arial"/>
                </w:rPr>
                <m:t>t</m:t>
              </m:r>
            </m:e>
          </m:d>
          <m:r>
            <w:rPr>
              <w:rFonts w:ascii="Cambria Math" w:eastAsia="MS Mincho" w:hAnsi="Cambria Math" w:cs="Arial"/>
            </w:rPr>
            <m:t>+</m:t>
          </m:r>
          <m:sSub>
            <m:sSubPr>
              <m:ctrlPr>
                <w:rPr>
                  <w:rFonts w:ascii="Cambria Math" w:eastAsia="MS Mincho" w:hAnsi="Cambria Math" w:cs="Arial"/>
                  <w:i/>
                </w:rPr>
              </m:ctrlPr>
            </m:sSubPr>
            <m:e>
              <m:r>
                <w:rPr>
                  <w:rFonts w:ascii="Cambria Math" w:eastAsia="MS Mincho" w:hAnsi="Cambria Math" w:cs="Arial"/>
                </w:rPr>
                <m:t>H</m:t>
              </m:r>
            </m:e>
            <m:sub>
              <m:r>
                <w:rPr>
                  <w:rFonts w:ascii="Cambria Math" w:eastAsia="MS Mincho" w:hAnsi="Cambria Math" w:cs="Arial"/>
                </w:rPr>
                <m:t>1</m:t>
              </m:r>
            </m:sub>
          </m:sSub>
          <m:d>
            <m:dPr>
              <m:ctrlPr>
                <w:rPr>
                  <w:rFonts w:ascii="Cambria Math" w:eastAsia="MS Mincho" w:hAnsi="Cambria Math" w:cs="Arial"/>
                  <w:i/>
                </w:rPr>
              </m:ctrlPr>
            </m:dPr>
            <m:e>
              <m:r>
                <w:rPr>
                  <w:rFonts w:ascii="Cambria Math" w:eastAsia="MS Mincho" w:hAnsi="Cambria Math" w:cs="Arial"/>
                </w:rPr>
                <m:t>t</m:t>
              </m:r>
            </m:e>
          </m:d>
        </m:oMath>
      </m:oMathPara>
    </w:p>
    <w:p w:rsidR="002429F5" w:rsidRPr="002429F5" w:rsidRDefault="002429F5" w:rsidP="002429F5">
      <w:pPr>
        <w:jc w:val="both"/>
        <w:rPr>
          <w:rFonts w:ascii="Arial" w:hAnsi="Arial" w:cs="Arial"/>
          <w:lang w:val="en-US"/>
        </w:rPr>
      </w:pPr>
      <w:r w:rsidRPr="002429F5">
        <w:rPr>
          <w:rFonts w:ascii="Arial" w:hAnsi="Arial" w:cs="Arial"/>
          <w:lang w:val="en-US"/>
        </w:rPr>
        <w:t xml:space="preserve">where </w:t>
      </w:r>
      <m:oMath>
        <m:sSub>
          <m:sSubPr>
            <m:ctrlPr>
              <w:rPr>
                <w:rFonts w:ascii="Cambria Math" w:eastAsia="MS Mincho" w:hAnsi="Cambria Math" w:cs="Arial"/>
                <w:i/>
                <w:sz w:val="22"/>
                <w:szCs w:val="22"/>
              </w:rPr>
            </m:ctrlPr>
          </m:sSubPr>
          <m:e>
            <m:r>
              <w:rPr>
                <w:rFonts w:ascii="Cambria Math" w:eastAsia="MS Mincho" w:hAnsi="Cambria Math" w:cs="Arial"/>
                <w:sz w:val="22"/>
                <w:szCs w:val="22"/>
              </w:rPr>
              <m:t>H</m:t>
            </m:r>
          </m:e>
          <m:sub>
            <m:r>
              <w:rPr>
                <w:rFonts w:ascii="Cambria Math" w:eastAsia="MS Mincho" w:hAnsi="Cambria Math" w:cs="Arial"/>
                <w:sz w:val="22"/>
                <w:szCs w:val="22"/>
                <w:lang w:val="en-US"/>
              </w:rPr>
              <m:t>0</m:t>
            </m:r>
          </m:sub>
        </m:sSub>
        <m:d>
          <m:dPr>
            <m:ctrlPr>
              <w:rPr>
                <w:rFonts w:ascii="Cambria Math" w:eastAsia="MS Mincho" w:hAnsi="Cambria Math" w:cs="Arial"/>
                <w:i/>
                <w:sz w:val="22"/>
                <w:szCs w:val="22"/>
              </w:rPr>
            </m:ctrlPr>
          </m:dPr>
          <m:e>
            <m:r>
              <w:rPr>
                <w:rFonts w:ascii="Cambria Math" w:eastAsia="MS Mincho" w:hAnsi="Cambria Math" w:cs="Arial"/>
                <w:sz w:val="22"/>
                <w:szCs w:val="22"/>
              </w:rPr>
              <m:t>t</m:t>
            </m:r>
          </m:e>
        </m:d>
      </m:oMath>
      <w:r w:rsidRPr="002429F5">
        <w:rPr>
          <w:rFonts w:ascii="Arial" w:hAnsi="Arial" w:cs="Arial"/>
          <w:sz w:val="22"/>
          <w:szCs w:val="22"/>
          <w:lang w:val="en-US"/>
        </w:rPr>
        <w:t xml:space="preserve"> </w:t>
      </w:r>
      <w:r w:rsidRPr="002429F5">
        <w:rPr>
          <w:rFonts w:ascii="Arial" w:hAnsi="Arial" w:cs="Arial"/>
          <w:lang w:val="en-US"/>
        </w:rPr>
        <w:t>is the free system Hamiltonian</w:t>
      </w:r>
      <w:r w:rsidRPr="002429F5">
        <w:rPr>
          <w:rFonts w:ascii="Arial" w:hAnsi="Arial" w:cs="Arial"/>
          <w:iCs/>
          <w:lang w:val="en-US"/>
        </w:rPr>
        <w:t xml:space="preserve"> and the random Hamiltonian </w:t>
      </w:r>
      <m:oMath>
        <m:sSub>
          <m:sSubPr>
            <m:ctrlPr>
              <w:rPr>
                <w:rFonts w:ascii="Cambria Math" w:eastAsia="MS Mincho" w:hAnsi="Cambria Math" w:cs="Arial"/>
                <w:i/>
              </w:rPr>
            </m:ctrlPr>
          </m:sSubPr>
          <m:e>
            <m:r>
              <w:rPr>
                <w:rFonts w:ascii="Cambria Math" w:eastAsia="MS Mincho" w:hAnsi="Cambria Math" w:cs="Arial"/>
              </w:rPr>
              <m:t>H</m:t>
            </m:r>
          </m:e>
          <m:sub>
            <m:r>
              <w:rPr>
                <w:rFonts w:ascii="Cambria Math" w:eastAsia="MS Mincho" w:hAnsi="Cambria Math" w:cs="Arial"/>
                <w:lang w:val="en-US"/>
              </w:rPr>
              <m:t>1</m:t>
            </m:r>
          </m:sub>
        </m:sSub>
        <m:d>
          <m:dPr>
            <m:ctrlPr>
              <w:rPr>
                <w:rFonts w:ascii="Cambria Math" w:eastAsia="MS Mincho" w:hAnsi="Cambria Math" w:cs="Arial"/>
                <w:i/>
              </w:rPr>
            </m:ctrlPr>
          </m:dPr>
          <m:e>
            <m:r>
              <w:rPr>
                <w:rFonts w:ascii="Cambria Math" w:eastAsia="MS Mincho" w:hAnsi="Cambria Math" w:cs="Arial"/>
              </w:rPr>
              <m:t>t</m:t>
            </m:r>
          </m:e>
        </m:d>
      </m:oMath>
      <w:r w:rsidRPr="002429F5">
        <w:rPr>
          <w:rFonts w:ascii="Arial" w:hAnsi="Arial" w:cs="Arial"/>
          <w:lang w:val="en-US"/>
        </w:rPr>
        <w:t xml:space="preserve"> of the system under the influence of one stochastic perturbation, so we can write</w:t>
      </w:r>
    </w:p>
    <w:p w:rsidR="002429F5" w:rsidRPr="002429F5" w:rsidRDefault="002429F5" w:rsidP="002429F5">
      <w:pPr>
        <w:jc w:val="both"/>
        <w:rPr>
          <w:rFonts w:ascii="Arial" w:hAnsi="Arial" w:cs="Arial"/>
          <w:iCs/>
          <w:lang w:val="en-US"/>
        </w:rPr>
      </w:pPr>
    </w:p>
    <w:p w:rsidR="002429F5" w:rsidRPr="00954C9A" w:rsidRDefault="002429F5" w:rsidP="002429F5">
      <w:pPr>
        <w:jc w:val="both"/>
        <w:rPr>
          <w:rFonts w:ascii="Arial" w:hAnsi="Arial" w:cs="Arial"/>
          <w:iCs/>
        </w:rPr>
      </w:pPr>
      <m:oMathPara>
        <m:oMathParaPr>
          <m:jc m:val="right"/>
        </m:oMathParaPr>
        <m:oMath>
          <m:r>
            <w:rPr>
              <w:rFonts w:ascii="Cambria Math" w:hAnsi="Cambria Math" w:cs="Arial"/>
            </w:rPr>
            <m:t>H</m:t>
          </m:r>
          <m:d>
            <m:dPr>
              <m:ctrlPr>
                <w:rPr>
                  <w:rFonts w:ascii="Cambria Math" w:hAnsi="Cambria Math" w:cs="Arial"/>
                  <w:i/>
                  <w:iCs/>
                </w:rPr>
              </m:ctrlPr>
            </m:dPr>
            <m:e>
              <m:r>
                <w:rPr>
                  <w:rFonts w:ascii="Cambria Math" w:hAnsi="Cambria Math" w:cs="Arial"/>
                </w:rPr>
                <m:t>t</m:t>
              </m:r>
            </m:e>
          </m:d>
          <m:r>
            <w:rPr>
              <w:rFonts w:ascii="Cambria Math" w:hAnsi="Cambria Math" w:cs="Arial"/>
            </w:rPr>
            <m:t>=</m:t>
          </m:r>
          <m:sSub>
            <m:sSubPr>
              <m:ctrlPr>
                <w:rPr>
                  <w:rFonts w:ascii="Cambria Math" w:hAnsi="Cambria Math" w:cs="Arial"/>
                  <w:i/>
                  <w:iCs/>
                </w:rPr>
              </m:ctrlPr>
            </m:sSubPr>
            <m:e>
              <m:acc>
                <m:accPr>
                  <m:chr m:val="̃"/>
                  <m:ctrlPr>
                    <w:rPr>
                      <w:rFonts w:ascii="Cambria Math" w:hAnsi="Cambria Math" w:cs="Arial"/>
                      <w:i/>
                      <w:iCs/>
                    </w:rPr>
                  </m:ctrlPr>
                </m:accPr>
                <m:e>
                  <m:r>
                    <w:rPr>
                      <w:rFonts w:ascii="Cambria Math" w:hAnsi="Cambria Math" w:cs="Arial"/>
                    </w:rPr>
                    <m:t>S</m:t>
                  </m:r>
                </m:e>
              </m:acc>
            </m:e>
            <m:sub>
              <m:r>
                <w:rPr>
                  <w:rFonts w:ascii="Cambria Math" w:hAnsi="Cambria Math" w:cs="Arial"/>
                </w:rPr>
                <m:t>3</m:t>
              </m:r>
            </m:sub>
          </m:sSub>
          <m:r>
            <w:rPr>
              <w:rFonts w:ascii="Cambria Math" w:hAnsi="Cambria Math" w:cs="Arial"/>
            </w:rPr>
            <m:t>+</m:t>
          </m:r>
          <m:sSub>
            <m:sSubPr>
              <m:ctrlPr>
                <w:rPr>
                  <w:rFonts w:ascii="Cambria Math" w:hAnsi="Cambria Math" w:cs="Arial"/>
                  <w:i/>
                  <w:iCs/>
                </w:rPr>
              </m:ctrlPr>
            </m:sSubPr>
            <m:e>
              <m:r>
                <w:rPr>
                  <w:rFonts w:ascii="Cambria Math" w:hAnsi="Cambria Math" w:cs="Arial"/>
                </w:rPr>
                <m:t>(</m:t>
              </m:r>
              <m:acc>
                <m:accPr>
                  <m:chr m:val="̃"/>
                  <m:ctrlPr>
                    <w:rPr>
                      <w:rFonts w:ascii="Cambria Math" w:hAnsi="Cambria Math" w:cs="Arial"/>
                      <w:i/>
                      <w:iCs/>
                    </w:rPr>
                  </m:ctrlPr>
                </m:accPr>
                <m:e>
                  <m:r>
                    <w:rPr>
                      <w:rFonts w:ascii="Cambria Math" w:hAnsi="Cambria Math" w:cs="Arial"/>
                    </w:rPr>
                    <m:t>S</m:t>
                  </m:r>
                </m:e>
              </m:acc>
            </m:e>
            <m:sub>
              <m:r>
                <w:rPr>
                  <w:rFonts w:ascii="Cambria Math" w:hAnsi="Cambria Math" w:cs="Arial"/>
                </w:rPr>
                <m:t>2</m:t>
              </m:r>
            </m:sub>
          </m:sSub>
          <m:sSub>
            <m:sSubPr>
              <m:ctrlPr>
                <w:rPr>
                  <w:rFonts w:ascii="Cambria Math" w:hAnsi="Cambria Math" w:cs="Arial"/>
                  <w:i/>
                  <w:iCs/>
                </w:rPr>
              </m:ctrlPr>
            </m:sSubPr>
            <m:e>
              <m:r>
                <w:rPr>
                  <w:rFonts w:ascii="Cambria Math" w:hAnsi="Cambria Math" w:cs="Arial"/>
                </w:rPr>
                <m:t>u</m:t>
              </m:r>
            </m:e>
            <m:sub>
              <m:r>
                <w:rPr>
                  <w:rFonts w:ascii="Cambria Math" w:hAnsi="Cambria Math" w:cs="Arial"/>
                </w:rPr>
                <m:t>2</m:t>
              </m:r>
            </m:sub>
          </m:sSub>
          <m:d>
            <m:dPr>
              <m:ctrlPr>
                <w:rPr>
                  <w:rFonts w:ascii="Cambria Math" w:hAnsi="Cambria Math" w:cs="Arial"/>
                  <w:i/>
                  <w:iCs/>
                </w:rPr>
              </m:ctrlPr>
            </m:dPr>
            <m:e>
              <m:r>
                <w:rPr>
                  <w:rFonts w:ascii="Cambria Math" w:hAnsi="Cambria Math" w:cs="Arial"/>
                </w:rPr>
                <m:t>t</m:t>
              </m:r>
            </m:e>
          </m:d>
          <m:r>
            <w:rPr>
              <w:rFonts w:ascii="Cambria Math" w:hAnsi="Cambria Math" w:cs="Arial"/>
            </w:rPr>
            <m:t>+</m:t>
          </m:r>
          <m:sSub>
            <m:sSubPr>
              <m:ctrlPr>
                <w:rPr>
                  <w:rFonts w:ascii="Cambria Math" w:hAnsi="Cambria Math" w:cs="Arial"/>
                  <w:i/>
                  <w:iCs/>
                </w:rPr>
              </m:ctrlPr>
            </m:sSubPr>
            <m:e>
              <m:acc>
                <m:accPr>
                  <m:chr m:val="̃"/>
                  <m:ctrlPr>
                    <w:rPr>
                      <w:rFonts w:ascii="Cambria Math" w:hAnsi="Cambria Math" w:cs="Arial"/>
                      <w:i/>
                      <w:iCs/>
                    </w:rPr>
                  </m:ctrlPr>
                </m:accPr>
                <m:e>
                  <m:r>
                    <w:rPr>
                      <w:rFonts w:ascii="Cambria Math" w:hAnsi="Cambria Math" w:cs="Arial"/>
                    </w:rPr>
                    <m:t>S</m:t>
                  </m:r>
                </m:e>
              </m:acc>
            </m:e>
            <m:sub>
              <m:r>
                <w:rPr>
                  <w:rFonts w:ascii="Cambria Math" w:hAnsi="Cambria Math" w:cs="Arial"/>
                </w:rPr>
                <m:t>1</m:t>
              </m:r>
            </m:sub>
          </m:sSub>
          <m:sSub>
            <m:sSubPr>
              <m:ctrlPr>
                <w:rPr>
                  <w:rFonts w:ascii="Cambria Math" w:hAnsi="Cambria Math" w:cs="Arial"/>
                  <w:i/>
                  <w:iCs/>
                </w:rPr>
              </m:ctrlPr>
            </m:sSubPr>
            <m:e>
              <m:r>
                <w:rPr>
                  <w:rFonts w:ascii="Cambria Math" w:hAnsi="Cambria Math" w:cs="Arial"/>
                </w:rPr>
                <m:t>u</m:t>
              </m:r>
            </m:e>
            <m:sub>
              <m:r>
                <w:rPr>
                  <w:rFonts w:ascii="Cambria Math" w:hAnsi="Cambria Math" w:cs="Arial"/>
                </w:rPr>
                <m:t>1</m:t>
              </m:r>
            </m:sub>
          </m:sSub>
          <m:d>
            <m:dPr>
              <m:ctrlPr>
                <w:rPr>
                  <w:rFonts w:ascii="Cambria Math" w:hAnsi="Cambria Math" w:cs="Arial"/>
                  <w:i/>
                  <w:iCs/>
                </w:rPr>
              </m:ctrlPr>
            </m:dPr>
            <m:e>
              <m:r>
                <w:rPr>
                  <w:rFonts w:ascii="Cambria Math" w:hAnsi="Cambria Math" w:cs="Arial"/>
                </w:rPr>
                <m:t>t</m:t>
              </m:r>
            </m:e>
          </m:d>
          <m:r>
            <w:rPr>
              <w:rFonts w:ascii="Cambria Math" w:hAnsi="Cambria Math" w:cs="Arial"/>
            </w:rPr>
            <m:t>)ξ</m:t>
          </m:r>
          <m:d>
            <m:dPr>
              <m:ctrlPr>
                <w:rPr>
                  <w:rFonts w:ascii="Cambria Math" w:hAnsi="Cambria Math" w:cs="Arial"/>
                  <w:i/>
                  <w:iCs/>
                </w:rPr>
              </m:ctrlPr>
            </m:dPr>
            <m:e>
              <m:r>
                <w:rPr>
                  <w:rFonts w:ascii="Cambria Math" w:hAnsi="Cambria Math" w:cs="Arial"/>
                </w:rPr>
                <m:t>t</m:t>
              </m:r>
            </m:e>
          </m:d>
          <m:r>
            <w:rPr>
              <w:rFonts w:ascii="Cambria Math" w:hAnsi="Cambria Math" w:cs="Arial"/>
            </w:rPr>
            <m:t xml:space="preserve"> ,                                               </m:t>
          </m:r>
        </m:oMath>
      </m:oMathPara>
    </w:p>
    <w:p w:rsidR="002429F5" w:rsidRPr="00954C9A" w:rsidRDefault="002429F5" w:rsidP="002429F5">
      <w:pPr>
        <w:jc w:val="both"/>
        <w:rPr>
          <w:rFonts w:ascii="Arial" w:hAnsi="Arial" w:cs="Arial"/>
          <w:iCs/>
        </w:rPr>
      </w:pPr>
    </w:p>
    <w:p w:rsidR="002429F5" w:rsidRPr="002429F5" w:rsidRDefault="002429F5" w:rsidP="002429F5">
      <w:pPr>
        <w:jc w:val="both"/>
        <w:rPr>
          <w:rFonts w:ascii="Arial" w:hAnsi="Arial" w:cs="Arial"/>
          <w:iCs/>
          <w:lang w:val="en-US"/>
        </w:rPr>
      </w:pPr>
      <w:r w:rsidRPr="002429F5">
        <w:rPr>
          <w:rFonts w:ascii="Arial" w:hAnsi="Arial" w:cs="Arial"/>
          <w:iCs/>
          <w:lang w:val="en-US"/>
        </w:rPr>
        <w:t xml:space="preserve">where </w:t>
      </w:r>
      <m:oMath>
        <m:sSub>
          <m:sSubPr>
            <m:ctrlPr>
              <w:rPr>
                <w:rFonts w:ascii="Cambria Math" w:hAnsi="Cambria Math" w:cs="Arial"/>
                <w:i/>
                <w:iCs/>
              </w:rPr>
            </m:ctrlPr>
          </m:sSubPr>
          <m:e>
            <m:acc>
              <m:accPr>
                <m:chr m:val="̃"/>
                <m:ctrlPr>
                  <w:rPr>
                    <w:rFonts w:ascii="Cambria Math" w:hAnsi="Cambria Math" w:cs="Arial"/>
                    <w:i/>
                    <w:iCs/>
                  </w:rPr>
                </m:ctrlPr>
              </m:accPr>
              <m:e>
                <m:r>
                  <w:rPr>
                    <w:rFonts w:ascii="Cambria Math" w:hAnsi="Cambria Math" w:cs="Arial"/>
                  </w:rPr>
                  <m:t>S</m:t>
                </m:r>
              </m:e>
            </m:acc>
          </m:e>
          <m:sub>
            <m:r>
              <w:rPr>
                <w:rFonts w:ascii="Cambria Math" w:hAnsi="Cambria Math" w:cs="Arial"/>
              </w:rPr>
              <m:t>i</m:t>
            </m:r>
          </m:sub>
        </m:sSub>
      </m:oMath>
      <w:r w:rsidRPr="002429F5">
        <w:rPr>
          <w:rFonts w:ascii="Arial" w:hAnsi="Arial" w:cs="Arial"/>
          <w:iCs/>
          <w:lang w:val="en-US"/>
        </w:rPr>
        <w:t xml:space="preserve"> is the real representation of the Pauli matrix, for </w:t>
      </w:r>
      <m:oMath>
        <m:r>
          <w:rPr>
            <w:rFonts w:ascii="Cambria Math" w:hAnsi="Cambria Math" w:cs="Arial"/>
          </w:rPr>
          <m:t>i</m:t>
        </m:r>
        <m:r>
          <w:rPr>
            <w:rFonts w:ascii="Cambria Math" w:hAnsi="Cambria Math" w:cs="Arial"/>
            <w:lang w:val="en-US"/>
          </w:rPr>
          <m:t>=1,2,3</m:t>
        </m:r>
      </m:oMath>
      <w:r w:rsidRPr="002429F5">
        <w:rPr>
          <w:rFonts w:ascii="Arial" w:hAnsi="Arial" w:cs="Arial"/>
          <w:iCs/>
          <w:lang w:val="en-US"/>
        </w:rPr>
        <w:t xml:space="preserve"> and </w:t>
      </w:r>
      <m:oMath>
        <m:r>
          <w:rPr>
            <w:rFonts w:ascii="Cambria Math" w:hAnsi="Cambria Math" w:cs="Arial"/>
          </w:rPr>
          <m:t>ξ</m:t>
        </m:r>
        <m:d>
          <m:dPr>
            <m:ctrlPr>
              <w:rPr>
                <w:rFonts w:ascii="Cambria Math" w:hAnsi="Cambria Math" w:cs="Arial"/>
                <w:i/>
                <w:iCs/>
                <w:sz w:val="22"/>
                <w:szCs w:val="22"/>
              </w:rPr>
            </m:ctrlPr>
          </m:dPr>
          <m:e>
            <m:r>
              <w:rPr>
                <w:rFonts w:ascii="Cambria Math" w:eastAsia="MS Mincho" w:hAnsi="Cambria Math" w:cs="Arial"/>
                <w:sz w:val="22"/>
                <w:szCs w:val="22"/>
              </w:rPr>
              <m:t>t</m:t>
            </m:r>
          </m:e>
        </m:d>
      </m:oMath>
      <w:r w:rsidRPr="002429F5">
        <w:rPr>
          <w:rFonts w:ascii="Arial" w:hAnsi="Arial" w:cs="Arial"/>
          <w:iCs/>
          <w:lang w:val="en-US"/>
        </w:rPr>
        <w:t xml:space="preserve"> can be represented as a Brownian motion process or a Wiener process </w:t>
      </w:r>
      <m:oMath>
        <m:r>
          <w:rPr>
            <w:rFonts w:ascii="Cambria Math" w:hAnsi="Cambria Math" w:cs="Arial"/>
          </w:rPr>
          <m:t>W</m:t>
        </m:r>
        <m:r>
          <w:rPr>
            <w:rFonts w:ascii="Cambria Math" w:hAnsi="Cambria Math" w:cs="Arial"/>
            <w:lang w:val="en-US"/>
          </w:rPr>
          <m:t>(</m:t>
        </m:r>
        <m:r>
          <w:rPr>
            <w:rFonts w:ascii="Cambria Math" w:hAnsi="Cambria Math" w:cs="Arial"/>
          </w:rPr>
          <m:t>t</m:t>
        </m:r>
        <m:r>
          <w:rPr>
            <w:rFonts w:ascii="Cambria Math" w:hAnsi="Cambria Math" w:cs="Arial"/>
            <w:lang w:val="en-US"/>
          </w:rPr>
          <m:t>)</m:t>
        </m:r>
      </m:oMath>
      <w:r w:rsidRPr="002429F5">
        <w:rPr>
          <w:rFonts w:ascii="Arial" w:hAnsi="Arial" w:cs="Arial"/>
          <w:iCs/>
          <w:lang w:val="en-US"/>
        </w:rPr>
        <w:t xml:space="preserve">, by </w:t>
      </w:r>
      <m:oMath>
        <m:r>
          <w:rPr>
            <w:rFonts w:ascii="Cambria Math" w:hAnsi="Cambria Math" w:cs="Arial"/>
          </w:rPr>
          <m:t>dW</m:t>
        </m:r>
        <m:d>
          <m:dPr>
            <m:ctrlPr>
              <w:rPr>
                <w:rFonts w:ascii="Cambria Math" w:hAnsi="Cambria Math" w:cs="Arial"/>
                <w:i/>
                <w:iCs/>
              </w:rPr>
            </m:ctrlPr>
          </m:dPr>
          <m:e>
            <m:r>
              <w:rPr>
                <w:rFonts w:ascii="Cambria Math" w:hAnsi="Cambria Math" w:cs="Arial"/>
              </w:rPr>
              <m:t>t</m:t>
            </m:r>
          </m:e>
        </m:d>
        <m:r>
          <w:rPr>
            <w:rFonts w:ascii="Cambria Math" w:hAnsi="Cambria Math" w:cs="Arial"/>
            <w:lang w:val="en-US"/>
          </w:rPr>
          <m:t>=</m:t>
        </m:r>
        <m:r>
          <w:rPr>
            <w:rFonts w:ascii="Cambria Math" w:hAnsi="Cambria Math" w:cs="Arial"/>
          </w:rPr>
          <m:t>ξ</m:t>
        </m:r>
        <m:d>
          <m:dPr>
            <m:ctrlPr>
              <w:rPr>
                <w:rFonts w:ascii="Cambria Math" w:hAnsi="Cambria Math" w:cs="Arial"/>
                <w:i/>
                <w:iCs/>
              </w:rPr>
            </m:ctrlPr>
          </m:dPr>
          <m:e>
            <m:r>
              <w:rPr>
                <w:rFonts w:ascii="Cambria Math" w:hAnsi="Cambria Math" w:cs="Arial"/>
              </w:rPr>
              <m:t>t</m:t>
            </m:r>
          </m:e>
        </m:d>
        <m:r>
          <w:rPr>
            <w:rFonts w:ascii="Cambria Math" w:hAnsi="Cambria Math" w:cs="Arial"/>
          </w:rPr>
          <m:t>dt</m:t>
        </m:r>
      </m:oMath>
      <w:r w:rsidRPr="002429F5">
        <w:rPr>
          <w:rFonts w:ascii="Arial" w:hAnsi="Arial" w:cs="Arial"/>
          <w:iCs/>
          <w:lang w:val="en-US"/>
        </w:rPr>
        <w:t xml:space="preserve">. </w:t>
      </w:r>
    </w:p>
    <w:p w:rsidR="002429F5" w:rsidRPr="002429F5" w:rsidRDefault="002429F5" w:rsidP="002429F5">
      <w:pPr>
        <w:jc w:val="both"/>
        <w:rPr>
          <w:rFonts w:ascii="Arial" w:hAnsi="Arial" w:cs="Arial"/>
          <w:iCs/>
          <w:lang w:val="en-US"/>
        </w:rPr>
      </w:pPr>
      <m:oMath>
        <m:r>
          <w:rPr>
            <w:rFonts w:ascii="Cambria Math" w:hAnsi="Cambria Math" w:cs="Arial"/>
          </w:rPr>
          <m:t>W</m:t>
        </m:r>
        <m:r>
          <w:rPr>
            <w:rFonts w:ascii="Cambria Math" w:hAnsi="Cambria Math" w:cs="Arial"/>
            <w:lang w:val="en-US"/>
          </w:rPr>
          <m:t>(</m:t>
        </m:r>
        <m:r>
          <w:rPr>
            <w:rFonts w:ascii="Cambria Math" w:hAnsi="Cambria Math" w:cs="Arial"/>
          </w:rPr>
          <m:t>t</m:t>
        </m:r>
        <m:r>
          <w:rPr>
            <w:rFonts w:ascii="Cambria Math" w:hAnsi="Cambria Math" w:cs="Arial"/>
            <w:lang w:val="en-US"/>
          </w:rPr>
          <m:t>)</m:t>
        </m:r>
      </m:oMath>
      <w:r w:rsidRPr="002429F5">
        <w:rPr>
          <w:rFonts w:ascii="Arial" w:hAnsi="Arial" w:cs="Arial"/>
          <w:iCs/>
          <w:lang w:val="en-US"/>
        </w:rPr>
        <w:t xml:space="preserve"> is a standard Wiener real process, defined over a probabilistic real valued space </w:t>
      </w:r>
      <m:oMath>
        <m:r>
          <w:rPr>
            <w:rFonts w:ascii="Cambria Math" w:hAnsi="Cambria Math" w:cs="Arial"/>
            <w:lang w:val="en-US"/>
          </w:rPr>
          <m:t>(</m:t>
        </m:r>
        <m:r>
          <w:rPr>
            <w:rFonts w:ascii="Cambria Math" w:hAnsi="Cambria Math" w:cs="Arial"/>
          </w:rPr>
          <m:t>Ω</m:t>
        </m:r>
        <m:r>
          <w:rPr>
            <w:rFonts w:ascii="Cambria Math" w:hAnsi="Cambria Math" w:cs="Arial"/>
            <w:lang w:val="en-US"/>
          </w:rPr>
          <m:t xml:space="preserve">, </m:t>
        </m:r>
        <m:r>
          <w:rPr>
            <w:rFonts w:ascii="Cambria Math" w:hAnsi="Cambria Math" w:cs="Arial"/>
          </w:rPr>
          <m:t>B</m:t>
        </m:r>
        <m:r>
          <w:rPr>
            <w:rFonts w:ascii="Cambria Math" w:hAnsi="Cambria Math" w:cs="Arial"/>
            <w:lang w:val="en-US"/>
          </w:rPr>
          <m:t>,</m:t>
        </m:r>
        <m:d>
          <m:dPr>
            <m:begChr m:val="{"/>
            <m:endChr m:val="}"/>
            <m:ctrlPr>
              <w:rPr>
                <w:rFonts w:ascii="Cambria Math" w:hAnsi="Cambria Math" w:cs="Arial"/>
                <w:i/>
                <w:iCs/>
              </w:rPr>
            </m:ctrlPr>
          </m:dPr>
          <m:e>
            <m:sSub>
              <m:sSubPr>
                <m:ctrlPr>
                  <w:rPr>
                    <w:rFonts w:ascii="Cambria Math" w:hAnsi="Cambria Math" w:cs="Arial"/>
                    <w:i/>
                    <w:iCs/>
                  </w:rPr>
                </m:ctrlPr>
              </m:sSubPr>
              <m:e>
                <m:r>
                  <w:rPr>
                    <w:rFonts w:ascii="Cambria Math" w:hAnsi="Cambria Math" w:cs="Arial"/>
                  </w:rPr>
                  <m:t>B</m:t>
                </m:r>
              </m:e>
              <m:sub>
                <m:r>
                  <w:rPr>
                    <w:rFonts w:ascii="Cambria Math" w:hAnsi="Cambria Math" w:cs="Arial"/>
                  </w:rPr>
                  <m:t>t</m:t>
                </m:r>
              </m:sub>
            </m:sSub>
          </m:e>
        </m:d>
        <m:r>
          <w:rPr>
            <w:rFonts w:ascii="Cambria Math" w:hAnsi="Cambria Math" w:cs="Arial"/>
            <w:lang w:val="en-US"/>
          </w:rPr>
          <m:t>,</m:t>
        </m:r>
        <m:r>
          <w:rPr>
            <w:rFonts w:ascii="Cambria Math" w:hAnsi="Cambria Math" w:cs="Arial"/>
          </w:rPr>
          <m:t>P</m:t>
        </m:r>
        <m:r>
          <w:rPr>
            <w:rFonts w:ascii="Cambria Math" w:hAnsi="Cambria Math" w:cs="Arial"/>
            <w:lang w:val="en-US"/>
          </w:rPr>
          <m:t>)</m:t>
        </m:r>
      </m:oMath>
      <w:r w:rsidRPr="002429F5">
        <w:rPr>
          <w:rFonts w:ascii="Arial" w:hAnsi="Arial" w:cs="Arial"/>
          <w:iCs/>
          <w:lang w:val="en-US"/>
        </w:rPr>
        <w:t xml:space="preserve"> and </w:t>
      </w:r>
      <m:oMath>
        <m:sSub>
          <m:sSubPr>
            <m:ctrlPr>
              <w:rPr>
                <w:rFonts w:ascii="Cambria Math" w:hAnsi="Cambria Math" w:cs="Arial"/>
                <w:i/>
                <w:iCs/>
              </w:rPr>
            </m:ctrlPr>
          </m:sSubPr>
          <m:e>
            <m:d>
              <m:dPr>
                <m:begChr m:val="{"/>
                <m:endChr m:val="}"/>
                <m:ctrlPr>
                  <w:rPr>
                    <w:rFonts w:ascii="Cambria Math" w:hAnsi="Cambria Math" w:cs="Arial"/>
                    <w:i/>
                    <w:iCs/>
                  </w:rPr>
                </m:ctrlPr>
              </m:dPr>
              <m:e>
                <m:sSub>
                  <m:sSubPr>
                    <m:ctrlPr>
                      <w:rPr>
                        <w:rFonts w:ascii="Cambria Math" w:hAnsi="Cambria Math" w:cs="Arial"/>
                        <w:i/>
                        <w:iCs/>
                      </w:rPr>
                    </m:ctrlPr>
                  </m:sSubPr>
                  <m:e>
                    <m:r>
                      <w:rPr>
                        <w:rFonts w:ascii="Cambria Math" w:hAnsi="Cambria Math" w:cs="Arial"/>
                      </w:rPr>
                      <m:t>B</m:t>
                    </m:r>
                  </m:e>
                  <m:sub>
                    <m:r>
                      <w:rPr>
                        <w:rFonts w:ascii="Cambria Math" w:hAnsi="Cambria Math" w:cs="Arial"/>
                      </w:rPr>
                      <m:t>t</m:t>
                    </m:r>
                  </m:sub>
                </m:sSub>
              </m:e>
            </m:d>
          </m:e>
          <m:sub>
            <m:r>
              <w:rPr>
                <w:rFonts w:ascii="Cambria Math" w:hAnsi="Cambria Math" w:cs="Arial"/>
              </w:rPr>
              <m:t>t</m:t>
            </m:r>
            <m:r>
              <w:rPr>
                <w:rFonts w:ascii="Cambria Math" w:hAnsi="Cambria Math" w:cs="Arial"/>
                <w:lang w:val="en-US"/>
              </w:rPr>
              <m:t>&gt;0</m:t>
            </m:r>
          </m:sub>
        </m:sSub>
      </m:oMath>
      <w:r w:rsidRPr="002429F5">
        <w:rPr>
          <w:rFonts w:ascii="Arial" w:hAnsi="Arial" w:cs="Arial"/>
          <w:iCs/>
          <w:lang w:val="en-US"/>
        </w:rPr>
        <w:t xml:space="preserve"> is a sub-</w:t>
      </w:r>
      <w:r w:rsidRPr="00954C9A">
        <w:rPr>
          <w:rFonts w:ascii="Arial" w:hAnsi="Arial" w:cs="Arial"/>
          <w:iCs/>
        </w:rPr>
        <w:sym w:font="Symbol" w:char="F073"/>
      </w:r>
      <w:r w:rsidRPr="002429F5">
        <w:rPr>
          <w:rFonts w:ascii="Arial" w:hAnsi="Arial" w:cs="Arial"/>
          <w:iCs/>
          <w:lang w:val="en-US"/>
        </w:rPr>
        <w:t>-algebra defined by the usual conditions. Therefore, the stochastic linear Schrödinger equation for pure states, corresponding to equation (1) is:</w:t>
      </w:r>
    </w:p>
    <w:p w:rsidR="002429F5" w:rsidRPr="002429F5" w:rsidRDefault="002429F5" w:rsidP="002429F5">
      <w:pPr>
        <w:jc w:val="both"/>
        <w:rPr>
          <w:rFonts w:ascii="Arial" w:hAnsi="Arial" w:cs="Arial"/>
          <w:iCs/>
          <w:lang w:val="en-US"/>
        </w:rPr>
      </w:pPr>
    </w:p>
    <w:p w:rsidR="002429F5" w:rsidRPr="00954C9A" w:rsidRDefault="002429F5" w:rsidP="002429F5">
      <w:pPr>
        <w:jc w:val="both"/>
        <w:rPr>
          <w:rFonts w:ascii="Arial" w:hAnsi="Arial" w:cs="Arial"/>
          <w:iCs/>
        </w:rPr>
      </w:pPr>
      <m:oMathPara>
        <m:oMathParaPr>
          <m:jc m:val="right"/>
        </m:oMathParaPr>
        <m:oMath>
          <m:r>
            <w:rPr>
              <w:rFonts w:ascii="Cambria Math" w:hAnsi="Cambria Math" w:cs="Arial"/>
            </w:rPr>
            <m:t>d</m:t>
          </m:r>
          <m:r>
            <w:rPr>
              <w:rFonts w:ascii="Cambria Math" w:eastAsia="MS Mincho" w:hAnsi="Cambria Math" w:cs="Arial"/>
              <w:sz w:val="22"/>
              <w:szCs w:val="22"/>
            </w:rPr>
            <m:t>ψ</m:t>
          </m:r>
          <m:d>
            <m:dPr>
              <m:ctrlPr>
                <w:rPr>
                  <w:rFonts w:ascii="Cambria Math" w:eastAsia="MS Mincho" w:hAnsi="Cambria Math" w:cs="Arial"/>
                  <w:i/>
                  <w:sz w:val="22"/>
                  <w:szCs w:val="22"/>
                </w:rPr>
              </m:ctrlPr>
            </m:dPr>
            <m:e>
              <m:r>
                <w:rPr>
                  <w:rFonts w:ascii="Cambria Math" w:eastAsia="MS Mincho" w:hAnsi="Cambria Math" w:cs="Arial"/>
                  <w:sz w:val="22"/>
                  <w:szCs w:val="22"/>
                </w:rPr>
                <m:t>t</m:t>
              </m:r>
            </m:e>
          </m:d>
          <m:r>
            <w:rPr>
              <w:rFonts w:ascii="Cambria Math" w:hAnsi="Cambria Math" w:cs="Arial"/>
            </w:rPr>
            <m:t>=</m:t>
          </m:r>
          <m:sSub>
            <m:sSubPr>
              <m:ctrlPr>
                <w:rPr>
                  <w:rFonts w:ascii="Cambria Math" w:hAnsi="Cambria Math" w:cs="Arial"/>
                  <w:i/>
                  <w:iCs/>
                </w:rPr>
              </m:ctrlPr>
            </m:sSubPr>
            <m:e>
              <m:acc>
                <m:accPr>
                  <m:chr m:val="̃"/>
                  <m:ctrlPr>
                    <w:rPr>
                      <w:rFonts w:ascii="Cambria Math" w:hAnsi="Cambria Math" w:cs="Arial"/>
                      <w:i/>
                      <w:iCs/>
                    </w:rPr>
                  </m:ctrlPr>
                </m:accPr>
                <m:e>
                  <m:r>
                    <w:rPr>
                      <w:rFonts w:ascii="Cambria Math" w:hAnsi="Cambria Math" w:cs="Arial"/>
                    </w:rPr>
                    <m:t>S</m:t>
                  </m:r>
                </m:e>
              </m:acc>
            </m:e>
            <m:sub>
              <m:r>
                <w:rPr>
                  <w:rFonts w:ascii="Cambria Math" w:hAnsi="Cambria Math" w:cs="Arial"/>
                </w:rPr>
                <m:t>3</m:t>
              </m:r>
            </m:sub>
          </m:sSub>
          <m:r>
            <w:rPr>
              <w:rFonts w:ascii="Cambria Math" w:eastAsia="MS Mincho" w:hAnsi="Cambria Math" w:cs="Arial"/>
              <w:sz w:val="22"/>
              <w:szCs w:val="22"/>
            </w:rPr>
            <m:t>ψ</m:t>
          </m:r>
          <m:d>
            <m:dPr>
              <m:ctrlPr>
                <w:rPr>
                  <w:rFonts w:ascii="Cambria Math" w:eastAsia="MS Mincho" w:hAnsi="Cambria Math" w:cs="Arial"/>
                  <w:i/>
                  <w:sz w:val="22"/>
                  <w:szCs w:val="22"/>
                </w:rPr>
              </m:ctrlPr>
            </m:dPr>
            <m:e>
              <m:r>
                <w:rPr>
                  <w:rFonts w:ascii="Cambria Math" w:eastAsia="MS Mincho" w:hAnsi="Cambria Math" w:cs="Arial"/>
                  <w:sz w:val="22"/>
                  <w:szCs w:val="22"/>
                </w:rPr>
                <m:t>t</m:t>
              </m:r>
            </m:e>
          </m:d>
          <m:r>
            <w:rPr>
              <w:rFonts w:ascii="Cambria Math" w:hAnsi="Cambria Math" w:cs="Arial"/>
            </w:rPr>
            <m:t xml:space="preserve"> dt+</m:t>
          </m:r>
          <m:sSub>
            <m:sSubPr>
              <m:ctrlPr>
                <w:rPr>
                  <w:rFonts w:ascii="Cambria Math" w:hAnsi="Cambria Math" w:cs="Arial"/>
                  <w:i/>
                  <w:iCs/>
                </w:rPr>
              </m:ctrlPr>
            </m:sSubPr>
            <m:e>
              <m:r>
                <w:rPr>
                  <w:rFonts w:ascii="Cambria Math" w:hAnsi="Cambria Math" w:cs="Arial"/>
                </w:rPr>
                <m:t>(</m:t>
              </m:r>
              <m:acc>
                <m:accPr>
                  <m:chr m:val="̃"/>
                  <m:ctrlPr>
                    <w:rPr>
                      <w:rFonts w:ascii="Cambria Math" w:hAnsi="Cambria Math" w:cs="Arial"/>
                      <w:i/>
                      <w:iCs/>
                    </w:rPr>
                  </m:ctrlPr>
                </m:accPr>
                <m:e>
                  <m:r>
                    <w:rPr>
                      <w:rFonts w:ascii="Cambria Math" w:hAnsi="Cambria Math" w:cs="Arial"/>
                    </w:rPr>
                    <m:t>S</m:t>
                  </m:r>
                </m:e>
              </m:acc>
            </m:e>
            <m:sub>
              <m:r>
                <w:rPr>
                  <w:rFonts w:ascii="Cambria Math" w:hAnsi="Cambria Math" w:cs="Arial"/>
                </w:rPr>
                <m:t>2</m:t>
              </m:r>
            </m:sub>
          </m:sSub>
          <m:sSub>
            <m:sSubPr>
              <m:ctrlPr>
                <w:rPr>
                  <w:rFonts w:ascii="Cambria Math" w:hAnsi="Cambria Math" w:cs="Arial"/>
                  <w:i/>
                  <w:iCs/>
                </w:rPr>
              </m:ctrlPr>
            </m:sSubPr>
            <m:e>
              <m:r>
                <w:rPr>
                  <w:rFonts w:ascii="Cambria Math" w:hAnsi="Cambria Math" w:cs="Arial"/>
                </w:rPr>
                <m:t>u</m:t>
              </m:r>
            </m:e>
            <m:sub>
              <m:r>
                <w:rPr>
                  <w:rFonts w:ascii="Cambria Math" w:hAnsi="Cambria Math" w:cs="Arial"/>
                </w:rPr>
                <m:t>2</m:t>
              </m:r>
            </m:sub>
          </m:sSub>
          <m:d>
            <m:dPr>
              <m:ctrlPr>
                <w:rPr>
                  <w:rFonts w:ascii="Cambria Math" w:hAnsi="Cambria Math" w:cs="Arial"/>
                  <w:i/>
                  <w:iCs/>
                </w:rPr>
              </m:ctrlPr>
            </m:dPr>
            <m:e>
              <m:r>
                <w:rPr>
                  <w:rFonts w:ascii="Cambria Math" w:hAnsi="Cambria Math" w:cs="Arial"/>
                </w:rPr>
                <m:t>t</m:t>
              </m:r>
            </m:e>
          </m:d>
          <m:r>
            <w:rPr>
              <w:rFonts w:ascii="Cambria Math" w:hAnsi="Cambria Math" w:cs="Arial"/>
            </w:rPr>
            <m:t>+</m:t>
          </m:r>
          <m:sSub>
            <m:sSubPr>
              <m:ctrlPr>
                <w:rPr>
                  <w:rFonts w:ascii="Cambria Math" w:hAnsi="Cambria Math" w:cs="Arial"/>
                  <w:i/>
                  <w:iCs/>
                </w:rPr>
              </m:ctrlPr>
            </m:sSubPr>
            <m:e>
              <m:acc>
                <m:accPr>
                  <m:chr m:val="̃"/>
                  <m:ctrlPr>
                    <w:rPr>
                      <w:rFonts w:ascii="Cambria Math" w:hAnsi="Cambria Math" w:cs="Arial"/>
                      <w:i/>
                      <w:iCs/>
                    </w:rPr>
                  </m:ctrlPr>
                </m:accPr>
                <m:e>
                  <m:r>
                    <w:rPr>
                      <w:rFonts w:ascii="Cambria Math" w:hAnsi="Cambria Math" w:cs="Arial"/>
                    </w:rPr>
                    <m:t>S</m:t>
                  </m:r>
                </m:e>
              </m:acc>
            </m:e>
            <m:sub>
              <m:r>
                <w:rPr>
                  <w:rFonts w:ascii="Cambria Math" w:hAnsi="Cambria Math" w:cs="Arial"/>
                </w:rPr>
                <m:t>1</m:t>
              </m:r>
            </m:sub>
          </m:sSub>
          <m:sSub>
            <m:sSubPr>
              <m:ctrlPr>
                <w:rPr>
                  <w:rFonts w:ascii="Cambria Math" w:hAnsi="Cambria Math" w:cs="Arial"/>
                  <w:i/>
                  <w:iCs/>
                </w:rPr>
              </m:ctrlPr>
            </m:sSubPr>
            <m:e>
              <m:r>
                <w:rPr>
                  <w:rFonts w:ascii="Cambria Math" w:hAnsi="Cambria Math" w:cs="Arial"/>
                </w:rPr>
                <m:t>u</m:t>
              </m:r>
            </m:e>
            <m:sub>
              <m:r>
                <w:rPr>
                  <w:rFonts w:ascii="Cambria Math" w:hAnsi="Cambria Math" w:cs="Arial"/>
                </w:rPr>
                <m:t>1</m:t>
              </m:r>
            </m:sub>
          </m:sSub>
          <m:d>
            <m:dPr>
              <m:ctrlPr>
                <w:rPr>
                  <w:rFonts w:ascii="Cambria Math" w:hAnsi="Cambria Math" w:cs="Arial"/>
                  <w:i/>
                  <w:iCs/>
                </w:rPr>
              </m:ctrlPr>
            </m:dPr>
            <m:e>
              <m:r>
                <w:rPr>
                  <w:rFonts w:ascii="Cambria Math" w:hAnsi="Cambria Math" w:cs="Arial"/>
                </w:rPr>
                <m:t>t</m:t>
              </m:r>
            </m:e>
          </m:d>
          <m:r>
            <w:rPr>
              <w:rFonts w:ascii="Cambria Math" w:hAnsi="Cambria Math" w:cs="Arial"/>
            </w:rPr>
            <m:t>)</m:t>
          </m:r>
          <m:r>
            <w:rPr>
              <w:rFonts w:ascii="Cambria Math" w:eastAsia="MS Mincho" w:hAnsi="Cambria Math" w:cs="Arial"/>
              <w:sz w:val="22"/>
              <w:szCs w:val="22"/>
            </w:rPr>
            <m:t>ψ</m:t>
          </m:r>
          <m:d>
            <m:dPr>
              <m:ctrlPr>
                <w:rPr>
                  <w:rFonts w:ascii="Cambria Math" w:eastAsia="MS Mincho" w:hAnsi="Cambria Math" w:cs="Arial"/>
                  <w:i/>
                  <w:sz w:val="22"/>
                  <w:szCs w:val="22"/>
                </w:rPr>
              </m:ctrlPr>
            </m:dPr>
            <m:e>
              <m:r>
                <w:rPr>
                  <w:rFonts w:ascii="Cambria Math" w:eastAsia="MS Mincho" w:hAnsi="Cambria Math" w:cs="Arial"/>
                  <w:sz w:val="22"/>
                  <w:szCs w:val="22"/>
                </w:rPr>
                <m:t>t</m:t>
              </m:r>
            </m:e>
          </m:d>
          <m:r>
            <w:rPr>
              <w:rFonts w:ascii="Cambria Math" w:hAnsi="Cambria Math" w:cs="Arial"/>
            </w:rPr>
            <m:t xml:space="preserve"> dW,                                           </m:t>
          </m:r>
        </m:oMath>
      </m:oMathPara>
    </w:p>
    <w:p w:rsidR="002429F5" w:rsidRPr="00954C9A" w:rsidRDefault="002429F5" w:rsidP="002429F5">
      <w:pPr>
        <w:jc w:val="both"/>
        <w:rPr>
          <w:rFonts w:ascii="Arial" w:hAnsi="Arial" w:cs="Arial"/>
          <w:iCs/>
        </w:rPr>
      </w:pPr>
    </w:p>
    <w:p w:rsidR="002429F5" w:rsidRPr="002429F5" w:rsidRDefault="002429F5" w:rsidP="002429F5">
      <w:pPr>
        <w:jc w:val="both"/>
        <w:rPr>
          <w:rFonts w:ascii="Arial" w:hAnsi="Arial" w:cs="Arial"/>
          <w:iCs/>
          <w:lang w:val="en-US"/>
        </w:rPr>
      </w:pPr>
      <w:r w:rsidRPr="002429F5">
        <w:rPr>
          <w:rFonts w:ascii="Arial" w:hAnsi="Arial" w:cs="Arial"/>
          <w:iCs/>
          <w:lang w:val="en-US"/>
        </w:rPr>
        <w:t xml:space="preserve">By splitting real and imaginary parts of </w:t>
      </w:r>
      <m:oMath>
        <m:r>
          <w:rPr>
            <w:rFonts w:ascii="Cambria Math" w:hAnsi="Cambria Math" w:cs="Arial"/>
          </w:rPr>
          <m:t>ψ</m:t>
        </m:r>
      </m:oMath>
      <w:r w:rsidRPr="002429F5">
        <w:rPr>
          <w:rFonts w:ascii="Arial" w:hAnsi="Arial" w:cs="Arial"/>
          <w:iCs/>
          <w:lang w:val="en-US"/>
        </w:rPr>
        <w:t xml:space="preserve">, </w:t>
      </w:r>
      <m:oMath>
        <m:sSub>
          <m:sSubPr>
            <m:ctrlPr>
              <w:rPr>
                <w:rFonts w:ascii="Cambria Math" w:hAnsi="Cambria Math" w:cs="Arial"/>
                <w:bCs/>
                <w:i/>
                <w:iCs/>
              </w:rPr>
            </m:ctrlPr>
          </m:sSubPr>
          <m:e>
            <m:r>
              <w:rPr>
                <w:rFonts w:ascii="Cambria Math" w:hAnsi="Cambria Math" w:cs="Arial"/>
              </w:rPr>
              <m:t>ψ</m:t>
            </m:r>
          </m:e>
          <m:sub>
            <m:r>
              <m:rPr>
                <m:scr m:val="double-struck"/>
              </m:rPr>
              <w:rPr>
                <w:rFonts w:ascii="Cambria Math" w:hAnsi="Cambria Math" w:cs="Arial"/>
                <w:lang w:val="en-US"/>
              </w:rPr>
              <m:t>R</m:t>
            </m:r>
          </m:sub>
        </m:sSub>
      </m:oMath>
      <w:r w:rsidRPr="002429F5">
        <w:rPr>
          <w:rFonts w:ascii="Arial" w:hAnsi="Arial" w:cs="Arial"/>
          <w:bCs/>
          <w:iCs/>
          <w:lang w:val="en-US"/>
        </w:rPr>
        <w:t xml:space="preserve">, </w:t>
      </w:r>
      <m:oMath>
        <m:sSub>
          <m:sSubPr>
            <m:ctrlPr>
              <w:rPr>
                <w:rFonts w:ascii="Cambria Math" w:hAnsi="Cambria Math" w:cs="Arial"/>
                <w:bCs/>
                <w:i/>
                <w:iCs/>
              </w:rPr>
            </m:ctrlPr>
          </m:sSubPr>
          <m:e>
            <m:r>
              <w:rPr>
                <w:rFonts w:ascii="Cambria Math" w:hAnsi="Cambria Math" w:cs="Arial"/>
              </w:rPr>
              <m:t>ψ</m:t>
            </m:r>
          </m:e>
          <m:sub>
            <m:r>
              <m:rPr>
                <m:scr m:val="fraktur"/>
              </m:rPr>
              <w:rPr>
                <w:rFonts w:ascii="Cambria Math" w:hAnsi="Cambria Math" w:cs="Arial"/>
                <w:lang w:val="en-US"/>
              </w:rPr>
              <m:t>I</m:t>
            </m:r>
          </m:sub>
        </m:sSub>
      </m:oMath>
      <w:r w:rsidRPr="002429F5">
        <w:rPr>
          <w:rFonts w:ascii="Arial" w:hAnsi="Arial" w:cs="Arial"/>
          <w:bCs/>
          <w:iCs/>
          <w:lang w:val="en-US"/>
        </w:rPr>
        <w:t>, respectively</w:t>
      </w:r>
      <w:r w:rsidRPr="002429F5">
        <w:rPr>
          <w:rFonts w:ascii="Arial" w:hAnsi="Arial" w:cs="Arial"/>
          <w:iCs/>
          <w:lang w:val="en-US"/>
        </w:rPr>
        <w:t xml:space="preserve"> and by considering</w:t>
      </w:r>
    </w:p>
    <w:p w:rsidR="002429F5" w:rsidRPr="002429F5" w:rsidRDefault="002429F5" w:rsidP="002429F5">
      <w:pPr>
        <w:jc w:val="both"/>
        <w:rPr>
          <w:rFonts w:ascii="Arial" w:hAnsi="Arial" w:cs="Arial"/>
          <w:iCs/>
          <w:lang w:val="en-US"/>
        </w:rPr>
      </w:pPr>
    </w:p>
    <w:p w:rsidR="002429F5" w:rsidRPr="008366EE" w:rsidRDefault="002429F5" w:rsidP="002429F5">
      <w:pPr>
        <w:jc w:val="center"/>
        <w:rPr>
          <w:rFonts w:ascii="Arial" w:hAnsi="Arial" w:cs="Arial"/>
          <w:bCs/>
          <w:iCs/>
        </w:rPr>
      </w:pPr>
      <m:oMathPara>
        <m:oMath>
          <m:r>
            <w:rPr>
              <w:rFonts w:ascii="Cambria Math" w:hAnsi="Cambria Math" w:cs="Arial"/>
            </w:rPr>
            <m:t>x(t): =</m:t>
          </m:r>
          <m:sSup>
            <m:sSupPr>
              <m:ctrlPr>
                <w:rPr>
                  <w:rFonts w:ascii="Cambria Math" w:hAnsi="Cambria Math" w:cs="Arial"/>
                  <w:bCs/>
                  <w:i/>
                  <w:iCs/>
                </w:rPr>
              </m:ctrlPr>
            </m:sSupPr>
            <m:e>
              <m:d>
                <m:dPr>
                  <m:ctrlPr>
                    <w:rPr>
                      <w:rFonts w:ascii="Cambria Math" w:hAnsi="Cambria Math" w:cs="Arial"/>
                      <w:bCs/>
                      <w:i/>
                      <w:iCs/>
                    </w:rPr>
                  </m:ctrlPr>
                </m:dPr>
                <m:e>
                  <m:sSub>
                    <m:sSubPr>
                      <m:ctrlPr>
                        <w:rPr>
                          <w:rFonts w:ascii="Cambria Math" w:hAnsi="Cambria Math" w:cs="Arial"/>
                          <w:bCs/>
                          <w:i/>
                          <w:iCs/>
                        </w:rPr>
                      </m:ctrlPr>
                    </m:sSubPr>
                    <m:e>
                      <m:sSub>
                        <m:sSubPr>
                          <m:ctrlPr>
                            <w:rPr>
                              <w:rFonts w:ascii="Cambria Math" w:hAnsi="Cambria Math" w:cs="Arial"/>
                              <w:i/>
                              <w:iCs/>
                            </w:rPr>
                          </m:ctrlPr>
                        </m:sSubPr>
                        <m:e>
                          <m:r>
                            <w:rPr>
                              <w:rFonts w:ascii="Cambria Math" w:hAnsi="Cambria Math" w:cs="Arial"/>
                            </w:rPr>
                            <m:t>ψ</m:t>
                          </m:r>
                        </m:e>
                        <m:sub>
                          <m:r>
                            <w:rPr>
                              <w:rFonts w:ascii="Cambria Math" w:hAnsi="Cambria Math" w:cs="Arial"/>
                            </w:rPr>
                            <m:t>1</m:t>
                          </m:r>
                        </m:sub>
                      </m:sSub>
                    </m:e>
                    <m:sub>
                      <m:r>
                        <m:rPr>
                          <m:scr m:val="double-struck"/>
                        </m:rPr>
                        <w:rPr>
                          <w:rFonts w:ascii="Cambria Math" w:hAnsi="Cambria Math" w:cs="Arial"/>
                        </w:rPr>
                        <m:t>R</m:t>
                      </m:r>
                    </m:sub>
                  </m:sSub>
                  <m:r>
                    <w:rPr>
                      <w:rFonts w:ascii="Cambria Math" w:hAnsi="Cambria Math" w:cs="Arial"/>
                    </w:rPr>
                    <m:t>(t),</m:t>
                  </m:r>
                  <m:sSub>
                    <m:sSubPr>
                      <m:ctrlPr>
                        <w:rPr>
                          <w:rFonts w:ascii="Cambria Math" w:hAnsi="Cambria Math" w:cs="Arial"/>
                          <w:bCs/>
                          <w:i/>
                          <w:iCs/>
                        </w:rPr>
                      </m:ctrlPr>
                    </m:sSubPr>
                    <m:e>
                      <m:sSub>
                        <m:sSubPr>
                          <m:ctrlPr>
                            <w:rPr>
                              <w:rFonts w:ascii="Cambria Math" w:hAnsi="Cambria Math" w:cs="Arial"/>
                              <w:i/>
                              <w:iCs/>
                            </w:rPr>
                          </m:ctrlPr>
                        </m:sSubPr>
                        <m:e>
                          <m:sSub>
                            <m:sSubPr>
                              <m:ctrlPr>
                                <w:rPr>
                                  <w:rFonts w:ascii="Cambria Math" w:hAnsi="Cambria Math" w:cs="Arial"/>
                                  <w:bCs/>
                                  <w:i/>
                                  <w:iCs/>
                                </w:rPr>
                              </m:ctrlPr>
                            </m:sSubPr>
                            <m:e>
                              <m:sSub>
                                <m:sSubPr>
                                  <m:ctrlPr>
                                    <w:rPr>
                                      <w:rFonts w:ascii="Cambria Math" w:hAnsi="Cambria Math" w:cs="Arial"/>
                                      <w:i/>
                                      <w:iCs/>
                                    </w:rPr>
                                  </m:ctrlPr>
                                </m:sSubPr>
                                <m:e>
                                  <m:r>
                                    <w:rPr>
                                      <w:rFonts w:ascii="Cambria Math" w:hAnsi="Cambria Math" w:cs="Arial"/>
                                    </w:rPr>
                                    <m:t>ψ</m:t>
                                  </m:r>
                                </m:e>
                                <m:sub>
                                  <m:r>
                                    <w:rPr>
                                      <w:rFonts w:ascii="Cambria Math" w:hAnsi="Cambria Math" w:cs="Arial"/>
                                    </w:rPr>
                                    <m:t>2</m:t>
                                  </m:r>
                                </m:sub>
                              </m:sSub>
                            </m:e>
                            <m:sub>
                              <m:r>
                                <m:rPr>
                                  <m:scr m:val="double-struck"/>
                                </m:rPr>
                                <w:rPr>
                                  <w:rFonts w:ascii="Cambria Math" w:hAnsi="Cambria Math" w:cs="Arial"/>
                                </w:rPr>
                                <m:t>R</m:t>
                              </m:r>
                            </m:sub>
                          </m:sSub>
                          <m:d>
                            <m:dPr>
                              <m:ctrlPr>
                                <w:rPr>
                                  <w:rFonts w:ascii="Cambria Math" w:hAnsi="Cambria Math" w:cs="Arial"/>
                                  <w:bCs/>
                                  <w:i/>
                                  <w:iCs/>
                                </w:rPr>
                              </m:ctrlPr>
                            </m:dPr>
                            <m:e>
                              <m:r>
                                <w:rPr>
                                  <w:rFonts w:ascii="Cambria Math" w:hAnsi="Cambria Math" w:cs="Arial"/>
                                </w:rPr>
                                <m:t>t</m:t>
                              </m:r>
                            </m:e>
                          </m:d>
                          <m:r>
                            <w:rPr>
                              <w:rFonts w:ascii="Cambria Math" w:hAnsi="Cambria Math" w:cs="Arial"/>
                            </w:rPr>
                            <m:t>,ψ</m:t>
                          </m:r>
                        </m:e>
                        <m:sub>
                          <m:r>
                            <w:rPr>
                              <w:rFonts w:ascii="Cambria Math" w:hAnsi="Cambria Math" w:cs="Arial"/>
                            </w:rPr>
                            <m:t>1</m:t>
                          </m:r>
                        </m:sub>
                      </m:sSub>
                    </m:e>
                    <m:sub>
                      <m:r>
                        <m:rPr>
                          <m:scr m:val="fraktur"/>
                        </m:rPr>
                        <w:rPr>
                          <w:rFonts w:ascii="Cambria Math" w:hAnsi="Cambria Math" w:cs="Arial"/>
                        </w:rPr>
                        <m:t>I</m:t>
                      </m:r>
                    </m:sub>
                  </m:sSub>
                  <m:r>
                    <w:rPr>
                      <w:rFonts w:ascii="Cambria Math" w:hAnsi="Cambria Math" w:cs="Arial"/>
                    </w:rPr>
                    <m:t>(t),</m:t>
                  </m:r>
                  <m:sSub>
                    <m:sSubPr>
                      <m:ctrlPr>
                        <w:rPr>
                          <w:rFonts w:ascii="Cambria Math" w:hAnsi="Cambria Math" w:cs="Arial"/>
                          <w:bCs/>
                          <w:i/>
                          <w:iCs/>
                        </w:rPr>
                      </m:ctrlPr>
                    </m:sSubPr>
                    <m:e>
                      <m:sSub>
                        <m:sSubPr>
                          <m:ctrlPr>
                            <w:rPr>
                              <w:rFonts w:ascii="Cambria Math" w:hAnsi="Cambria Math" w:cs="Arial"/>
                              <w:i/>
                              <w:iCs/>
                            </w:rPr>
                          </m:ctrlPr>
                        </m:sSubPr>
                        <m:e>
                          <m:r>
                            <w:rPr>
                              <w:rFonts w:ascii="Cambria Math" w:hAnsi="Cambria Math" w:cs="Arial"/>
                            </w:rPr>
                            <m:t>ψ</m:t>
                          </m:r>
                        </m:e>
                        <m:sub>
                          <m:r>
                            <w:rPr>
                              <w:rFonts w:ascii="Cambria Math" w:hAnsi="Cambria Math" w:cs="Arial"/>
                            </w:rPr>
                            <m:t>2</m:t>
                          </m:r>
                        </m:sub>
                      </m:sSub>
                    </m:e>
                    <m:sub>
                      <m:r>
                        <m:rPr>
                          <m:scr m:val="fraktur"/>
                        </m:rPr>
                        <w:rPr>
                          <w:rFonts w:ascii="Cambria Math" w:hAnsi="Cambria Math" w:cs="Arial"/>
                        </w:rPr>
                        <m:t>I</m:t>
                      </m:r>
                    </m:sub>
                  </m:sSub>
                  <m:r>
                    <w:rPr>
                      <w:rFonts w:ascii="Cambria Math" w:hAnsi="Cambria Math" w:cs="Arial"/>
                    </w:rPr>
                    <m:t>(t)</m:t>
                  </m:r>
                </m:e>
              </m:d>
            </m:e>
            <m:sup>
              <m:r>
                <w:rPr>
                  <w:rFonts w:ascii="Cambria Math" w:hAnsi="Cambria Math" w:cs="Arial"/>
                </w:rPr>
                <m:t>t</m:t>
              </m:r>
            </m:sup>
          </m:sSup>
          <m:r>
            <w:rPr>
              <w:rFonts w:ascii="Cambria Math" w:hAnsi="Cambria Math" w:cs="Arial"/>
            </w:rPr>
            <m:t xml:space="preserve">,   </m:t>
          </m:r>
          <m:sSub>
            <m:sSubPr>
              <m:ctrlPr>
                <w:rPr>
                  <w:rFonts w:ascii="Cambria Math" w:hAnsi="Cambria Math" w:cs="Arial"/>
                  <w:i/>
                  <w:iCs/>
                </w:rPr>
              </m:ctrlPr>
            </m:sSubPr>
            <m:e>
              <m:r>
                <w:rPr>
                  <w:rFonts w:ascii="Cambria Math" w:hAnsi="Cambria Math" w:cs="Arial"/>
                </w:rPr>
                <m:t>S</m:t>
              </m:r>
            </m:e>
            <m:sub>
              <m:r>
                <w:rPr>
                  <w:rFonts w:ascii="Cambria Math" w:hAnsi="Cambria Math" w:cs="Arial"/>
                </w:rPr>
                <m:t>3</m:t>
              </m:r>
            </m:sub>
          </m:sSub>
          <m:r>
            <w:rPr>
              <w:rFonts w:ascii="Cambria Math" w:hAnsi="Cambria Math" w:cs="Arial"/>
            </w:rPr>
            <m:t>=</m:t>
          </m:r>
          <m:d>
            <m:dPr>
              <m:ctrlPr>
                <w:rPr>
                  <w:rFonts w:ascii="Cambria Math" w:hAnsi="Cambria Math" w:cs="Arial"/>
                  <w:bCs/>
                  <w:i/>
                  <w:iCs/>
                </w:rPr>
              </m:ctrlPr>
            </m:dPr>
            <m:e>
              <m:m>
                <m:mPr>
                  <m:mcs>
                    <m:mc>
                      <m:mcPr>
                        <m:count m:val="2"/>
                        <m:mcJc m:val="center"/>
                      </m:mcPr>
                    </m:mc>
                  </m:mcs>
                  <m:ctrlPr>
                    <w:rPr>
                      <w:rFonts w:ascii="Cambria Math" w:hAnsi="Cambria Math" w:cs="Arial"/>
                      <w:bCs/>
                      <w:i/>
                      <w:iCs/>
                    </w:rPr>
                  </m:ctrlPr>
                </m:mPr>
                <m:mr>
                  <m:e>
                    <m:r>
                      <w:rPr>
                        <w:rFonts w:ascii="Cambria Math" w:hAnsi="Cambria Math" w:cs="Arial"/>
                      </w:rPr>
                      <m:t xml:space="preserve">Re </m:t>
                    </m:r>
                    <m:sSub>
                      <m:sSubPr>
                        <m:ctrlPr>
                          <w:rPr>
                            <w:rFonts w:ascii="Cambria Math" w:hAnsi="Cambria Math" w:cs="Arial"/>
                            <w:i/>
                            <w:iCs/>
                          </w:rPr>
                        </m:ctrlPr>
                      </m:sSubPr>
                      <m:e>
                        <m:acc>
                          <m:accPr>
                            <m:chr m:val="̃"/>
                            <m:ctrlPr>
                              <w:rPr>
                                <w:rFonts w:ascii="Cambria Math" w:hAnsi="Cambria Math" w:cs="Arial"/>
                                <w:i/>
                                <w:iCs/>
                              </w:rPr>
                            </m:ctrlPr>
                          </m:accPr>
                          <m:e>
                            <m:r>
                              <w:rPr>
                                <w:rFonts w:ascii="Cambria Math" w:hAnsi="Cambria Math" w:cs="Arial"/>
                              </w:rPr>
                              <m:t>S</m:t>
                            </m:r>
                          </m:e>
                        </m:acc>
                      </m:e>
                      <m:sub>
                        <m:r>
                          <w:rPr>
                            <w:rFonts w:ascii="Cambria Math" w:hAnsi="Cambria Math" w:cs="Arial"/>
                          </w:rPr>
                          <m:t>3</m:t>
                        </m:r>
                      </m:sub>
                    </m:sSub>
                  </m:e>
                  <m:e>
                    <m:r>
                      <m:rPr>
                        <m:scr m:val="fraktur"/>
                      </m:rPr>
                      <w:rPr>
                        <w:rFonts w:ascii="Cambria Math" w:hAnsi="Cambria Math" w:cs="Arial"/>
                      </w:rPr>
                      <m:t>I</m:t>
                    </m:r>
                    <m:r>
                      <w:rPr>
                        <w:rFonts w:ascii="Cambria Math" w:hAnsi="Cambria Math" w:cs="Arial"/>
                      </w:rPr>
                      <m:t xml:space="preserve">m </m:t>
                    </m:r>
                    <m:sSub>
                      <m:sSubPr>
                        <m:ctrlPr>
                          <w:rPr>
                            <w:rFonts w:ascii="Cambria Math" w:hAnsi="Cambria Math" w:cs="Arial"/>
                            <w:i/>
                            <w:iCs/>
                          </w:rPr>
                        </m:ctrlPr>
                      </m:sSubPr>
                      <m:e>
                        <m:acc>
                          <m:accPr>
                            <m:chr m:val="̃"/>
                            <m:ctrlPr>
                              <w:rPr>
                                <w:rFonts w:ascii="Cambria Math" w:hAnsi="Cambria Math" w:cs="Arial"/>
                                <w:i/>
                                <w:iCs/>
                              </w:rPr>
                            </m:ctrlPr>
                          </m:accPr>
                          <m:e>
                            <m:r>
                              <w:rPr>
                                <w:rFonts w:ascii="Cambria Math" w:hAnsi="Cambria Math" w:cs="Arial"/>
                              </w:rPr>
                              <m:t>S</m:t>
                            </m:r>
                          </m:e>
                        </m:acc>
                      </m:e>
                      <m:sub>
                        <m:r>
                          <w:rPr>
                            <w:rFonts w:ascii="Cambria Math" w:hAnsi="Cambria Math" w:cs="Arial"/>
                          </w:rPr>
                          <m:t>3</m:t>
                        </m:r>
                      </m:sub>
                    </m:sSub>
                  </m:e>
                </m:mr>
                <m:mr>
                  <m:e>
                    <m:r>
                      <m:rPr>
                        <m:scr m:val="fraktur"/>
                      </m:rPr>
                      <w:rPr>
                        <w:rFonts w:ascii="Cambria Math" w:hAnsi="Cambria Math" w:cs="Arial"/>
                      </w:rPr>
                      <m:t>-I</m:t>
                    </m:r>
                    <m:r>
                      <w:rPr>
                        <w:rFonts w:ascii="Cambria Math" w:hAnsi="Cambria Math" w:cs="Arial"/>
                      </w:rPr>
                      <m:t xml:space="preserve">m </m:t>
                    </m:r>
                    <m:sSub>
                      <m:sSubPr>
                        <m:ctrlPr>
                          <w:rPr>
                            <w:rFonts w:ascii="Cambria Math" w:hAnsi="Cambria Math" w:cs="Arial"/>
                            <w:i/>
                            <w:iCs/>
                          </w:rPr>
                        </m:ctrlPr>
                      </m:sSubPr>
                      <m:e>
                        <m:acc>
                          <m:accPr>
                            <m:chr m:val="̃"/>
                            <m:ctrlPr>
                              <w:rPr>
                                <w:rFonts w:ascii="Cambria Math" w:hAnsi="Cambria Math" w:cs="Arial"/>
                                <w:i/>
                                <w:iCs/>
                              </w:rPr>
                            </m:ctrlPr>
                          </m:accPr>
                          <m:e>
                            <m:r>
                              <w:rPr>
                                <w:rFonts w:ascii="Cambria Math" w:hAnsi="Cambria Math" w:cs="Arial"/>
                              </w:rPr>
                              <m:t>S</m:t>
                            </m:r>
                          </m:e>
                        </m:acc>
                      </m:e>
                      <m:sub>
                        <m:r>
                          <w:rPr>
                            <w:rFonts w:ascii="Cambria Math" w:hAnsi="Cambria Math" w:cs="Arial"/>
                          </w:rPr>
                          <m:t>3</m:t>
                        </m:r>
                      </m:sub>
                    </m:sSub>
                  </m:e>
                  <m:e>
                    <m:r>
                      <w:rPr>
                        <w:rFonts w:ascii="Cambria Math" w:hAnsi="Cambria Math" w:cs="Arial"/>
                      </w:rPr>
                      <m:t xml:space="preserve">Re </m:t>
                    </m:r>
                    <m:sSub>
                      <m:sSubPr>
                        <m:ctrlPr>
                          <w:rPr>
                            <w:rFonts w:ascii="Cambria Math" w:hAnsi="Cambria Math" w:cs="Arial"/>
                            <w:i/>
                            <w:iCs/>
                          </w:rPr>
                        </m:ctrlPr>
                      </m:sSubPr>
                      <m:e>
                        <m:acc>
                          <m:accPr>
                            <m:chr m:val="̃"/>
                            <m:ctrlPr>
                              <w:rPr>
                                <w:rFonts w:ascii="Cambria Math" w:hAnsi="Cambria Math" w:cs="Arial"/>
                                <w:i/>
                                <w:iCs/>
                              </w:rPr>
                            </m:ctrlPr>
                          </m:accPr>
                          <m:e>
                            <m:r>
                              <w:rPr>
                                <w:rFonts w:ascii="Cambria Math" w:hAnsi="Cambria Math" w:cs="Arial"/>
                              </w:rPr>
                              <m:t>S</m:t>
                            </m:r>
                          </m:e>
                        </m:acc>
                      </m:e>
                      <m:sub>
                        <m:r>
                          <w:rPr>
                            <w:rFonts w:ascii="Cambria Math" w:hAnsi="Cambria Math" w:cs="Arial"/>
                          </w:rPr>
                          <m:t>3</m:t>
                        </m:r>
                      </m:sub>
                    </m:sSub>
                  </m:e>
                </m:mr>
              </m:m>
            </m:e>
          </m:d>
          <m:r>
            <w:rPr>
              <w:rFonts w:ascii="Cambria Math" w:hAnsi="Cambria Math" w:cs="Arial"/>
            </w:rPr>
            <m:t>=</m:t>
          </m:r>
          <m:d>
            <m:dPr>
              <m:ctrlPr>
                <w:rPr>
                  <w:rFonts w:ascii="Cambria Math" w:hAnsi="Cambria Math" w:cs="Arial"/>
                  <w:bCs/>
                  <w:i/>
                  <w:iCs/>
                </w:rPr>
              </m:ctrlPr>
            </m:dPr>
            <m:e>
              <m:m>
                <m:mPr>
                  <m:mcs>
                    <m:mc>
                      <m:mcPr>
                        <m:count m:val="2"/>
                        <m:mcJc m:val="center"/>
                      </m:mcPr>
                    </m:mc>
                  </m:mcs>
                  <m:ctrlPr>
                    <w:rPr>
                      <w:rFonts w:ascii="Cambria Math" w:hAnsi="Cambria Math" w:cs="Arial"/>
                      <w:bCs/>
                      <w:i/>
                      <w:iCs/>
                    </w:rPr>
                  </m:ctrlPr>
                </m:mPr>
                <m:mr>
                  <m:e>
                    <m:m>
                      <m:mPr>
                        <m:mcs>
                          <m:mc>
                            <m:mcPr>
                              <m:count m:val="3"/>
                              <m:mcJc m:val="center"/>
                            </m:mcPr>
                          </m:mc>
                        </m:mcs>
                        <m:ctrlPr>
                          <w:rPr>
                            <w:rFonts w:ascii="Cambria Math" w:hAnsi="Cambria Math" w:cs="Arial"/>
                            <w:bCs/>
                            <w:i/>
                            <w:iCs/>
                          </w:rPr>
                        </m:ctrlPr>
                      </m:mPr>
                      <m:mr>
                        <m:e>
                          <m:r>
                            <w:rPr>
                              <w:rFonts w:ascii="Cambria Math" w:hAnsi="Cambria Math" w:cs="Arial"/>
                            </w:rPr>
                            <m:t>0</m:t>
                          </m:r>
                        </m:e>
                        <m:e>
                          <m:r>
                            <w:rPr>
                              <w:rFonts w:ascii="Cambria Math" w:hAnsi="Cambria Math" w:cs="Arial"/>
                            </w:rPr>
                            <m:t xml:space="preserve">  0</m:t>
                          </m:r>
                        </m:e>
                        <m:e>
                          <m:r>
                            <w:rPr>
                              <w:rFonts w:ascii="Cambria Math" w:hAnsi="Cambria Math" w:cs="Arial"/>
                            </w:rPr>
                            <m:t>-1</m:t>
                          </m:r>
                        </m:e>
                      </m:mr>
                      <m:mr>
                        <m:e>
                          <m:r>
                            <w:rPr>
                              <w:rFonts w:ascii="Cambria Math" w:hAnsi="Cambria Math" w:cs="Arial"/>
                            </w:rPr>
                            <m:t>0</m:t>
                          </m:r>
                        </m:e>
                        <m:e>
                          <m:r>
                            <w:rPr>
                              <w:rFonts w:ascii="Cambria Math" w:hAnsi="Cambria Math" w:cs="Arial"/>
                            </w:rPr>
                            <m:t xml:space="preserve">  0</m:t>
                          </m:r>
                        </m:e>
                        <m:e>
                          <m:r>
                            <w:rPr>
                              <w:rFonts w:ascii="Cambria Math" w:hAnsi="Cambria Math" w:cs="Arial"/>
                            </w:rPr>
                            <m:t xml:space="preserve">    0</m:t>
                          </m:r>
                        </m:e>
                      </m:mr>
                      <m:mr>
                        <m:e>
                          <m:m>
                            <m:mPr>
                              <m:mcs>
                                <m:mc>
                                  <m:mcPr>
                                    <m:count m:val="1"/>
                                    <m:mcJc m:val="center"/>
                                  </m:mcPr>
                                </m:mc>
                              </m:mcs>
                              <m:ctrlPr>
                                <w:rPr>
                                  <w:rFonts w:ascii="Cambria Math" w:hAnsi="Cambria Math" w:cs="Arial"/>
                                  <w:bCs/>
                                  <w:i/>
                                  <w:iCs/>
                                </w:rPr>
                              </m:ctrlPr>
                            </m:mPr>
                            <m:mr>
                              <m:e>
                                <m:r>
                                  <w:rPr>
                                    <w:rFonts w:ascii="Cambria Math" w:hAnsi="Cambria Math" w:cs="Arial"/>
                                  </w:rPr>
                                  <m:t>1</m:t>
                                </m:r>
                              </m:e>
                            </m:mr>
                            <m:mr>
                              <m:e>
                                <m:r>
                                  <w:rPr>
                                    <w:rFonts w:ascii="Cambria Math" w:hAnsi="Cambria Math" w:cs="Arial"/>
                                  </w:rPr>
                                  <m:t>0</m:t>
                                </m:r>
                              </m:e>
                            </m:mr>
                          </m:m>
                        </m:e>
                        <m:e>
                          <m:m>
                            <m:mPr>
                              <m:mcs>
                                <m:mc>
                                  <m:mcPr>
                                    <m:count m:val="1"/>
                                    <m:mcJc m:val="center"/>
                                  </m:mcPr>
                                </m:mc>
                              </m:mcs>
                              <m:ctrlPr>
                                <w:rPr>
                                  <w:rFonts w:ascii="Cambria Math" w:hAnsi="Cambria Math" w:cs="Arial"/>
                                  <w:bCs/>
                                  <w:i/>
                                  <w:iCs/>
                                </w:rPr>
                              </m:ctrlPr>
                            </m:mPr>
                            <m:mr>
                              <m:e>
                                <m:r>
                                  <w:rPr>
                                    <w:rFonts w:ascii="Cambria Math" w:hAnsi="Cambria Math" w:cs="Arial"/>
                                  </w:rPr>
                                  <m:t xml:space="preserve">   0</m:t>
                                </m:r>
                              </m:e>
                            </m:mr>
                            <m:mr>
                              <m:e>
                                <m:r>
                                  <w:rPr>
                                    <w:rFonts w:ascii="Cambria Math" w:hAnsi="Cambria Math" w:cs="Arial"/>
                                  </w:rPr>
                                  <m:t>-1</m:t>
                                </m:r>
                              </m:e>
                            </m:mr>
                          </m:m>
                        </m:e>
                        <m:e>
                          <m:m>
                            <m:mPr>
                              <m:mcs>
                                <m:mc>
                                  <m:mcPr>
                                    <m:count m:val="1"/>
                                    <m:mcJc m:val="center"/>
                                  </m:mcPr>
                                </m:mc>
                              </m:mcs>
                              <m:ctrlPr>
                                <w:rPr>
                                  <w:rFonts w:ascii="Cambria Math" w:hAnsi="Cambria Math" w:cs="Arial"/>
                                  <w:bCs/>
                                  <w:i/>
                                  <w:iCs/>
                                </w:rPr>
                              </m:ctrlPr>
                            </m:mPr>
                            <m:mr>
                              <m:e>
                                <m:r>
                                  <w:rPr>
                                    <w:rFonts w:ascii="Cambria Math" w:hAnsi="Cambria Math" w:cs="Arial"/>
                                  </w:rPr>
                                  <m:t xml:space="preserve">    0</m:t>
                                </m:r>
                              </m:e>
                            </m:mr>
                            <m:mr>
                              <m:e>
                                <m:r>
                                  <w:rPr>
                                    <w:rFonts w:ascii="Cambria Math" w:hAnsi="Cambria Math" w:cs="Arial"/>
                                  </w:rPr>
                                  <m:t xml:space="preserve">    0</m:t>
                                </m:r>
                              </m:e>
                            </m:mr>
                          </m:m>
                        </m:e>
                      </m:mr>
                    </m:m>
                  </m:e>
                  <m:e>
                    <m:m>
                      <m:mPr>
                        <m:mcs>
                          <m:mc>
                            <m:mcPr>
                              <m:count m:val="1"/>
                              <m:mcJc m:val="center"/>
                            </m:mcPr>
                          </m:mc>
                        </m:mcs>
                        <m:ctrlPr>
                          <w:rPr>
                            <w:rFonts w:ascii="Cambria Math" w:hAnsi="Cambria Math" w:cs="Arial"/>
                            <w:bCs/>
                            <w:i/>
                            <w:iCs/>
                          </w:rPr>
                        </m:ctrlPr>
                      </m:mPr>
                      <m:mr>
                        <m:e>
                          <m:m>
                            <m:mPr>
                              <m:mcs>
                                <m:mc>
                                  <m:mcPr>
                                    <m:count m:val="1"/>
                                    <m:mcJc m:val="center"/>
                                  </m:mcPr>
                                </m:mc>
                              </m:mcs>
                              <m:ctrlPr>
                                <w:rPr>
                                  <w:rFonts w:ascii="Cambria Math" w:hAnsi="Cambria Math" w:cs="Arial"/>
                                  <w:bCs/>
                                  <w:i/>
                                  <w:iCs/>
                                </w:rPr>
                              </m:ctrlPr>
                            </m:mPr>
                            <m:mr>
                              <m:e>
                                <m:r>
                                  <w:rPr>
                                    <w:rFonts w:ascii="Cambria Math" w:hAnsi="Cambria Math" w:cs="Arial"/>
                                  </w:rPr>
                                  <m:t>0</m:t>
                                </m:r>
                              </m:e>
                            </m:mr>
                            <m:mr>
                              <m:e>
                                <m:r>
                                  <w:rPr>
                                    <w:rFonts w:ascii="Cambria Math" w:hAnsi="Cambria Math" w:cs="Arial"/>
                                  </w:rPr>
                                  <m:t>1</m:t>
                                </m:r>
                              </m:e>
                            </m:mr>
                          </m:m>
                        </m:e>
                      </m:mr>
                      <m:mr>
                        <m:e>
                          <m:m>
                            <m:mPr>
                              <m:mcs>
                                <m:mc>
                                  <m:mcPr>
                                    <m:count m:val="1"/>
                                    <m:mcJc m:val="center"/>
                                  </m:mcPr>
                                </m:mc>
                              </m:mcs>
                              <m:ctrlPr>
                                <w:rPr>
                                  <w:rFonts w:ascii="Cambria Math" w:hAnsi="Cambria Math" w:cs="Arial"/>
                                  <w:bCs/>
                                  <w:i/>
                                  <w:iCs/>
                                </w:rPr>
                              </m:ctrlPr>
                            </m:mPr>
                            <m:mr>
                              <m:e>
                                <m:r>
                                  <w:rPr>
                                    <w:rFonts w:ascii="Cambria Math" w:hAnsi="Cambria Math" w:cs="Arial"/>
                                  </w:rPr>
                                  <m:t>0</m:t>
                                </m:r>
                              </m:e>
                            </m:mr>
                            <m:mr>
                              <m:e>
                                <m:r>
                                  <w:rPr>
                                    <w:rFonts w:ascii="Cambria Math" w:hAnsi="Cambria Math" w:cs="Arial"/>
                                  </w:rPr>
                                  <m:t>0</m:t>
                                </m:r>
                              </m:e>
                            </m:mr>
                          </m:m>
                        </m:e>
                      </m:mr>
                    </m:m>
                  </m:e>
                </m:mr>
              </m:m>
              <m:r>
                <w:rPr>
                  <w:rFonts w:ascii="Cambria Math" w:hAnsi="Cambria Math" w:cs="Arial"/>
                </w:rPr>
                <m:t xml:space="preserve"> </m:t>
              </m:r>
            </m:e>
          </m:d>
        </m:oMath>
      </m:oMathPara>
    </w:p>
    <w:p w:rsidR="002429F5" w:rsidRPr="00954C9A" w:rsidRDefault="001345E4" w:rsidP="002429F5">
      <w:pPr>
        <w:jc w:val="center"/>
        <w:rPr>
          <w:rFonts w:ascii="Arial" w:hAnsi="Arial" w:cs="Arial"/>
          <w:iCs/>
        </w:rPr>
      </w:pPr>
      <m:oMathPara>
        <m:oMath>
          <m:sSub>
            <m:sSubPr>
              <m:ctrlPr>
                <w:rPr>
                  <w:rFonts w:ascii="Cambria Math" w:hAnsi="Cambria Math" w:cs="Arial"/>
                  <w:i/>
                </w:rPr>
              </m:ctrlPr>
            </m:sSubPr>
            <m:e>
              <m:r>
                <w:rPr>
                  <w:rFonts w:ascii="Cambria Math" w:hAnsi="Cambria Math" w:cs="Arial"/>
                </w:rPr>
                <m:t>S</m:t>
              </m:r>
            </m:e>
            <m:sub>
              <m:r>
                <w:rPr>
                  <w:rFonts w:ascii="Cambria Math" w:hAnsi="Cambria Math" w:cs="Arial"/>
                </w:rPr>
                <m:t>2</m:t>
              </m:r>
            </m:sub>
          </m:sSub>
          <m:r>
            <w:rPr>
              <w:rFonts w:ascii="Cambria Math" w:hAnsi="Cambria Math" w:cs="Arial"/>
            </w:rPr>
            <m:t>=</m:t>
          </m:r>
          <m:d>
            <m:dPr>
              <m:ctrlPr>
                <w:rPr>
                  <w:rFonts w:ascii="Cambria Math" w:hAnsi="Cambria Math" w:cs="Arial"/>
                  <w:bCs/>
                  <w:i/>
                  <w:iCs/>
                </w:rPr>
              </m:ctrlPr>
            </m:dPr>
            <m:e>
              <m:m>
                <m:mPr>
                  <m:mcs>
                    <m:mc>
                      <m:mcPr>
                        <m:count m:val="2"/>
                        <m:mcJc m:val="center"/>
                      </m:mcPr>
                    </m:mc>
                  </m:mcs>
                  <m:ctrlPr>
                    <w:rPr>
                      <w:rFonts w:ascii="Cambria Math" w:hAnsi="Cambria Math" w:cs="Arial"/>
                      <w:bCs/>
                      <w:i/>
                      <w:iCs/>
                    </w:rPr>
                  </m:ctrlPr>
                </m:mPr>
                <m:mr>
                  <m:e>
                    <m:m>
                      <m:mPr>
                        <m:mcs>
                          <m:mc>
                            <m:mcPr>
                              <m:count m:val="3"/>
                              <m:mcJc m:val="center"/>
                            </m:mcPr>
                          </m:mc>
                        </m:mcs>
                        <m:ctrlPr>
                          <w:rPr>
                            <w:rFonts w:ascii="Cambria Math" w:hAnsi="Cambria Math" w:cs="Arial"/>
                            <w:bCs/>
                            <w:i/>
                            <w:iCs/>
                          </w:rPr>
                        </m:ctrlPr>
                      </m:mPr>
                      <m:mr>
                        <m:e>
                          <m:r>
                            <w:rPr>
                              <w:rFonts w:ascii="Cambria Math" w:hAnsi="Cambria Math" w:cs="Arial"/>
                            </w:rPr>
                            <m:t>0</m:t>
                          </m:r>
                        </m:e>
                        <m:e>
                          <m:r>
                            <w:rPr>
                              <w:rFonts w:ascii="Cambria Math" w:hAnsi="Cambria Math" w:cs="Arial"/>
                            </w:rPr>
                            <m:t>-1</m:t>
                          </m:r>
                        </m:e>
                        <m:e>
                          <m:r>
                            <w:rPr>
                              <w:rFonts w:ascii="Cambria Math" w:hAnsi="Cambria Math" w:cs="Arial"/>
                            </w:rPr>
                            <m:t>0</m:t>
                          </m:r>
                        </m:e>
                      </m:mr>
                      <m:mr>
                        <m:e>
                          <m:r>
                            <w:rPr>
                              <w:rFonts w:ascii="Cambria Math" w:hAnsi="Cambria Math" w:cs="Arial"/>
                            </w:rPr>
                            <m:t>1</m:t>
                          </m:r>
                        </m:e>
                        <m:e>
                          <m:r>
                            <w:rPr>
                              <w:rFonts w:ascii="Cambria Math" w:hAnsi="Cambria Math" w:cs="Arial"/>
                            </w:rPr>
                            <m:t xml:space="preserve">    0</m:t>
                          </m:r>
                        </m:e>
                        <m:e>
                          <m:r>
                            <w:rPr>
                              <w:rFonts w:ascii="Cambria Math" w:hAnsi="Cambria Math" w:cs="Arial"/>
                            </w:rPr>
                            <m:t>0</m:t>
                          </m:r>
                        </m:e>
                      </m:mr>
                      <m:mr>
                        <m:e>
                          <m:m>
                            <m:mPr>
                              <m:mcs>
                                <m:mc>
                                  <m:mcPr>
                                    <m:count m:val="1"/>
                                    <m:mcJc m:val="center"/>
                                  </m:mcPr>
                                </m:mc>
                              </m:mcs>
                              <m:ctrlPr>
                                <w:rPr>
                                  <w:rFonts w:ascii="Cambria Math" w:hAnsi="Cambria Math" w:cs="Arial"/>
                                  <w:bCs/>
                                  <w:i/>
                                  <w:iCs/>
                                </w:rPr>
                              </m:ctrlPr>
                            </m:mPr>
                            <m:mr>
                              <m:e>
                                <m:r>
                                  <w:rPr>
                                    <w:rFonts w:ascii="Cambria Math" w:hAnsi="Cambria Math" w:cs="Arial"/>
                                  </w:rPr>
                                  <m:t>0</m:t>
                                </m:r>
                              </m:e>
                            </m:mr>
                            <m:mr>
                              <m:e>
                                <m:r>
                                  <w:rPr>
                                    <w:rFonts w:ascii="Cambria Math" w:hAnsi="Cambria Math" w:cs="Arial"/>
                                  </w:rPr>
                                  <m:t xml:space="preserve"> 0</m:t>
                                </m:r>
                              </m:e>
                            </m:mr>
                          </m:m>
                        </m:e>
                        <m:e>
                          <m:r>
                            <w:rPr>
                              <w:rFonts w:ascii="Cambria Math" w:hAnsi="Cambria Math" w:cs="Arial"/>
                            </w:rPr>
                            <m:t xml:space="preserve">    </m:t>
                          </m:r>
                          <m:m>
                            <m:mPr>
                              <m:mcs>
                                <m:mc>
                                  <m:mcPr>
                                    <m:count m:val="1"/>
                                    <m:mcJc m:val="center"/>
                                  </m:mcPr>
                                </m:mc>
                              </m:mcs>
                              <m:ctrlPr>
                                <w:rPr>
                                  <w:rFonts w:ascii="Cambria Math" w:hAnsi="Cambria Math" w:cs="Arial"/>
                                  <w:bCs/>
                                  <w:i/>
                                  <w:iCs/>
                                </w:rPr>
                              </m:ctrlPr>
                            </m:mPr>
                            <m:mr>
                              <m:e>
                                <m:r>
                                  <w:rPr>
                                    <w:rFonts w:ascii="Cambria Math" w:hAnsi="Cambria Math" w:cs="Arial"/>
                                  </w:rPr>
                                  <m:t>0</m:t>
                                </m:r>
                              </m:e>
                            </m:mr>
                            <m:mr>
                              <m:e>
                                <m:r>
                                  <w:rPr>
                                    <w:rFonts w:ascii="Cambria Math" w:hAnsi="Cambria Math" w:cs="Arial"/>
                                  </w:rPr>
                                  <m:t>0</m:t>
                                </m:r>
                              </m:e>
                            </m:mr>
                          </m:m>
                        </m:e>
                        <m:e>
                          <m:m>
                            <m:mPr>
                              <m:mcs>
                                <m:mc>
                                  <m:mcPr>
                                    <m:count m:val="1"/>
                                    <m:mcJc m:val="center"/>
                                  </m:mcPr>
                                </m:mc>
                              </m:mcs>
                              <m:ctrlPr>
                                <w:rPr>
                                  <w:rFonts w:ascii="Cambria Math" w:hAnsi="Cambria Math" w:cs="Arial"/>
                                  <w:bCs/>
                                  <w:i/>
                                  <w:iCs/>
                                </w:rPr>
                              </m:ctrlPr>
                            </m:mPr>
                            <m:mr>
                              <m:e>
                                <m:r>
                                  <w:rPr>
                                    <w:rFonts w:ascii="Cambria Math" w:hAnsi="Cambria Math" w:cs="Arial"/>
                                  </w:rPr>
                                  <m:t>0</m:t>
                                </m:r>
                              </m:e>
                            </m:mr>
                            <m:mr>
                              <m:e>
                                <m:r>
                                  <w:rPr>
                                    <w:rFonts w:ascii="Cambria Math" w:hAnsi="Cambria Math" w:cs="Arial"/>
                                  </w:rPr>
                                  <m:t>1</m:t>
                                </m:r>
                              </m:e>
                            </m:mr>
                          </m:m>
                        </m:e>
                      </m:mr>
                    </m:m>
                  </m:e>
                  <m:e>
                    <m:m>
                      <m:mPr>
                        <m:mcs>
                          <m:mc>
                            <m:mcPr>
                              <m:count m:val="1"/>
                              <m:mcJc m:val="center"/>
                            </m:mcPr>
                          </m:mc>
                        </m:mcs>
                        <m:ctrlPr>
                          <w:rPr>
                            <w:rFonts w:ascii="Cambria Math" w:hAnsi="Cambria Math" w:cs="Arial"/>
                            <w:bCs/>
                            <w:i/>
                            <w:iCs/>
                          </w:rPr>
                        </m:ctrlPr>
                      </m:mPr>
                      <m:mr>
                        <m:e>
                          <m:m>
                            <m:mPr>
                              <m:mcs>
                                <m:mc>
                                  <m:mcPr>
                                    <m:count m:val="1"/>
                                    <m:mcJc m:val="center"/>
                                  </m:mcPr>
                                </m:mc>
                              </m:mcs>
                              <m:ctrlPr>
                                <w:rPr>
                                  <w:rFonts w:ascii="Cambria Math" w:hAnsi="Cambria Math" w:cs="Arial"/>
                                  <w:bCs/>
                                  <w:i/>
                                  <w:iCs/>
                                </w:rPr>
                              </m:ctrlPr>
                            </m:mPr>
                            <m:mr>
                              <m:e>
                                <m:r>
                                  <w:rPr>
                                    <w:rFonts w:ascii="Cambria Math" w:hAnsi="Cambria Math" w:cs="Arial"/>
                                  </w:rPr>
                                  <m:t xml:space="preserve">   0</m:t>
                                </m:r>
                              </m:e>
                            </m:mr>
                            <m:mr>
                              <m:e>
                                <m:r>
                                  <w:rPr>
                                    <w:rFonts w:ascii="Cambria Math" w:hAnsi="Cambria Math" w:cs="Arial"/>
                                  </w:rPr>
                                  <m:t xml:space="preserve">   0</m:t>
                                </m:r>
                              </m:e>
                            </m:mr>
                          </m:m>
                        </m:e>
                      </m:mr>
                      <m:mr>
                        <m:e>
                          <m:m>
                            <m:mPr>
                              <m:mcs>
                                <m:mc>
                                  <m:mcPr>
                                    <m:count m:val="1"/>
                                    <m:mcJc m:val="center"/>
                                  </m:mcPr>
                                </m:mc>
                              </m:mcs>
                              <m:ctrlPr>
                                <w:rPr>
                                  <w:rFonts w:ascii="Cambria Math" w:hAnsi="Cambria Math" w:cs="Arial"/>
                                  <w:bCs/>
                                  <w:i/>
                                  <w:iCs/>
                                </w:rPr>
                              </m:ctrlPr>
                            </m:mPr>
                            <m:mr>
                              <m:e>
                                <m:r>
                                  <w:rPr>
                                    <w:rFonts w:ascii="Cambria Math" w:hAnsi="Cambria Math" w:cs="Arial"/>
                                  </w:rPr>
                                  <m:t>-1</m:t>
                                </m:r>
                              </m:e>
                            </m:mr>
                            <m:mr>
                              <m:e>
                                <m:r>
                                  <w:rPr>
                                    <w:rFonts w:ascii="Cambria Math" w:hAnsi="Cambria Math" w:cs="Arial"/>
                                  </w:rPr>
                                  <m:t xml:space="preserve">    0</m:t>
                                </m:r>
                              </m:e>
                            </m:mr>
                          </m:m>
                        </m:e>
                      </m:mr>
                    </m:m>
                  </m:e>
                </m:mr>
              </m:m>
              <m:r>
                <w:rPr>
                  <w:rFonts w:ascii="Cambria Math" w:hAnsi="Cambria Math" w:cs="Arial"/>
                </w:rPr>
                <m:t xml:space="preserve"> </m:t>
              </m:r>
            </m:e>
          </m:d>
          <m:r>
            <w:rPr>
              <w:rFonts w:ascii="Cambria Math" w:hAnsi="Cambria Math" w:cs="Arial"/>
            </w:rPr>
            <m:t xml:space="preserve">,  </m:t>
          </m:r>
          <m:sSub>
            <m:sSubPr>
              <m:ctrlPr>
                <w:rPr>
                  <w:rFonts w:ascii="Cambria Math" w:hAnsi="Cambria Math" w:cs="Arial"/>
                  <w:i/>
                </w:rPr>
              </m:ctrlPr>
            </m:sSubPr>
            <m:e>
              <m:r>
                <w:rPr>
                  <w:rFonts w:ascii="Cambria Math" w:hAnsi="Cambria Math" w:cs="Arial"/>
                </w:rPr>
                <m:t>S</m:t>
              </m:r>
            </m:e>
            <m:sub>
              <m:r>
                <w:rPr>
                  <w:rFonts w:ascii="Cambria Math" w:hAnsi="Cambria Math" w:cs="Arial"/>
                </w:rPr>
                <m:t>1</m:t>
              </m:r>
            </m:sub>
          </m:sSub>
          <m:r>
            <w:rPr>
              <w:rFonts w:ascii="Cambria Math" w:hAnsi="Cambria Math" w:cs="Arial"/>
            </w:rPr>
            <m:t>=</m:t>
          </m:r>
          <m:d>
            <m:dPr>
              <m:ctrlPr>
                <w:rPr>
                  <w:rFonts w:ascii="Cambria Math" w:hAnsi="Cambria Math" w:cs="Arial"/>
                  <w:bCs/>
                  <w:i/>
                  <w:iCs/>
                </w:rPr>
              </m:ctrlPr>
            </m:dPr>
            <m:e>
              <m:r>
                <w:rPr>
                  <w:rFonts w:ascii="Cambria Math" w:hAnsi="Cambria Math" w:cs="Arial"/>
                </w:rPr>
                <m:t xml:space="preserve"> </m:t>
              </m:r>
              <m:m>
                <m:mPr>
                  <m:mcs>
                    <m:mc>
                      <m:mcPr>
                        <m:count m:val="2"/>
                        <m:mcJc m:val="center"/>
                      </m:mcPr>
                    </m:mc>
                  </m:mcs>
                  <m:ctrlPr>
                    <w:rPr>
                      <w:rFonts w:ascii="Cambria Math" w:hAnsi="Cambria Math" w:cs="Arial"/>
                      <w:bCs/>
                      <w:i/>
                      <w:iCs/>
                    </w:rPr>
                  </m:ctrlPr>
                </m:mPr>
                <m:mr>
                  <m:e>
                    <m:m>
                      <m:mPr>
                        <m:mcs>
                          <m:mc>
                            <m:mcPr>
                              <m:count m:val="3"/>
                              <m:mcJc m:val="center"/>
                            </m:mcPr>
                          </m:mc>
                        </m:mcs>
                        <m:ctrlPr>
                          <w:rPr>
                            <w:rFonts w:ascii="Cambria Math" w:hAnsi="Cambria Math" w:cs="Arial"/>
                            <w:bCs/>
                            <w:i/>
                            <w:iCs/>
                          </w:rPr>
                        </m:ctrlPr>
                      </m:mPr>
                      <m:mr>
                        <m:e>
                          <m:r>
                            <w:rPr>
                              <w:rFonts w:ascii="Cambria Math" w:hAnsi="Cambria Math" w:cs="Arial"/>
                            </w:rPr>
                            <m:t>0</m:t>
                          </m:r>
                        </m:e>
                        <m:e>
                          <m:r>
                            <w:rPr>
                              <w:rFonts w:ascii="Cambria Math" w:hAnsi="Cambria Math" w:cs="Arial"/>
                            </w:rPr>
                            <m:t>0</m:t>
                          </m:r>
                        </m:e>
                        <m:e>
                          <m:r>
                            <w:rPr>
                              <w:rFonts w:ascii="Cambria Math" w:hAnsi="Cambria Math" w:cs="Arial"/>
                            </w:rPr>
                            <m:t xml:space="preserve">   0</m:t>
                          </m:r>
                        </m:e>
                      </m:mr>
                      <m:mr>
                        <m:e>
                          <m:r>
                            <w:rPr>
                              <w:rFonts w:ascii="Cambria Math" w:hAnsi="Cambria Math" w:cs="Arial"/>
                            </w:rPr>
                            <m:t>0</m:t>
                          </m:r>
                        </m:e>
                        <m:e>
                          <m:r>
                            <w:rPr>
                              <w:rFonts w:ascii="Cambria Math" w:hAnsi="Cambria Math" w:cs="Arial"/>
                            </w:rPr>
                            <m:t>0</m:t>
                          </m:r>
                        </m:e>
                        <m:e>
                          <m:r>
                            <w:rPr>
                              <w:rFonts w:ascii="Cambria Math" w:hAnsi="Cambria Math" w:cs="Arial"/>
                            </w:rPr>
                            <m:t>-1</m:t>
                          </m:r>
                        </m:e>
                      </m:mr>
                      <m:mr>
                        <m:e>
                          <m:m>
                            <m:mPr>
                              <m:mcs>
                                <m:mc>
                                  <m:mcPr>
                                    <m:count m:val="1"/>
                                    <m:mcJc m:val="center"/>
                                  </m:mcPr>
                                </m:mc>
                              </m:mcs>
                              <m:ctrlPr>
                                <w:rPr>
                                  <w:rFonts w:ascii="Cambria Math" w:hAnsi="Cambria Math" w:cs="Arial"/>
                                  <w:bCs/>
                                  <w:i/>
                                  <w:iCs/>
                                </w:rPr>
                              </m:ctrlPr>
                            </m:mPr>
                            <m:mr>
                              <m:e>
                                <m:r>
                                  <w:rPr>
                                    <w:rFonts w:ascii="Cambria Math" w:hAnsi="Cambria Math" w:cs="Arial"/>
                                  </w:rPr>
                                  <m:t>0</m:t>
                                </m:r>
                              </m:e>
                            </m:mr>
                            <m:mr>
                              <m:e>
                                <m:r>
                                  <w:rPr>
                                    <w:rFonts w:ascii="Cambria Math" w:hAnsi="Cambria Math" w:cs="Arial"/>
                                  </w:rPr>
                                  <m:t>1</m:t>
                                </m:r>
                              </m:e>
                            </m:mr>
                          </m:m>
                        </m:e>
                        <m:e>
                          <m:m>
                            <m:mPr>
                              <m:mcs>
                                <m:mc>
                                  <m:mcPr>
                                    <m:count m:val="1"/>
                                    <m:mcJc m:val="center"/>
                                  </m:mcPr>
                                </m:mc>
                              </m:mcs>
                              <m:ctrlPr>
                                <w:rPr>
                                  <w:rFonts w:ascii="Cambria Math" w:hAnsi="Cambria Math" w:cs="Arial"/>
                                  <w:bCs/>
                                  <w:i/>
                                  <w:iCs/>
                                </w:rPr>
                              </m:ctrlPr>
                            </m:mPr>
                            <m:mr>
                              <m:e>
                                <m:r>
                                  <w:rPr>
                                    <w:rFonts w:ascii="Cambria Math" w:hAnsi="Cambria Math" w:cs="Arial"/>
                                  </w:rPr>
                                  <m:t>1</m:t>
                                </m:r>
                              </m:e>
                            </m:mr>
                            <m:mr>
                              <m:e>
                                <m:r>
                                  <w:rPr>
                                    <w:rFonts w:ascii="Cambria Math" w:hAnsi="Cambria Math" w:cs="Arial"/>
                                  </w:rPr>
                                  <m:t>0</m:t>
                                </m:r>
                              </m:e>
                            </m:mr>
                          </m:m>
                        </m:e>
                        <m:e>
                          <m:r>
                            <w:rPr>
                              <w:rFonts w:ascii="Cambria Math" w:hAnsi="Cambria Math" w:cs="Arial"/>
                            </w:rPr>
                            <m:t xml:space="preserve">   </m:t>
                          </m:r>
                          <m:m>
                            <m:mPr>
                              <m:mcs>
                                <m:mc>
                                  <m:mcPr>
                                    <m:count m:val="1"/>
                                    <m:mcJc m:val="center"/>
                                  </m:mcPr>
                                </m:mc>
                              </m:mcs>
                              <m:ctrlPr>
                                <w:rPr>
                                  <w:rFonts w:ascii="Cambria Math" w:hAnsi="Cambria Math" w:cs="Arial"/>
                                  <w:bCs/>
                                  <w:i/>
                                  <w:iCs/>
                                </w:rPr>
                              </m:ctrlPr>
                            </m:mPr>
                            <m:mr>
                              <m:e>
                                <m:r>
                                  <w:rPr>
                                    <w:rFonts w:ascii="Cambria Math" w:hAnsi="Cambria Math" w:cs="Arial"/>
                                  </w:rPr>
                                  <m:t>0</m:t>
                                </m:r>
                              </m:e>
                            </m:mr>
                            <m:mr>
                              <m:e>
                                <m:r>
                                  <w:rPr>
                                    <w:rFonts w:ascii="Cambria Math" w:hAnsi="Cambria Math" w:cs="Arial"/>
                                  </w:rPr>
                                  <m:t>0</m:t>
                                </m:r>
                              </m:e>
                            </m:mr>
                          </m:m>
                        </m:e>
                      </m:mr>
                    </m:m>
                  </m:e>
                  <m:e>
                    <m:m>
                      <m:mPr>
                        <m:mcs>
                          <m:mc>
                            <m:mcPr>
                              <m:count m:val="1"/>
                              <m:mcJc m:val="center"/>
                            </m:mcPr>
                          </m:mc>
                        </m:mcs>
                        <m:ctrlPr>
                          <w:rPr>
                            <w:rFonts w:ascii="Cambria Math" w:hAnsi="Cambria Math" w:cs="Arial"/>
                            <w:bCs/>
                            <w:i/>
                            <w:iCs/>
                          </w:rPr>
                        </m:ctrlPr>
                      </m:mPr>
                      <m:mr>
                        <m:e>
                          <m:m>
                            <m:mPr>
                              <m:mcs>
                                <m:mc>
                                  <m:mcPr>
                                    <m:count m:val="1"/>
                                    <m:mcJc m:val="center"/>
                                  </m:mcPr>
                                </m:mc>
                              </m:mcs>
                              <m:ctrlPr>
                                <w:rPr>
                                  <w:rFonts w:ascii="Cambria Math" w:hAnsi="Cambria Math" w:cs="Arial"/>
                                  <w:bCs/>
                                  <w:i/>
                                  <w:iCs/>
                                </w:rPr>
                              </m:ctrlPr>
                            </m:mPr>
                            <m:mr>
                              <m:e>
                                <m:r>
                                  <w:rPr>
                                    <w:rFonts w:ascii="Cambria Math" w:hAnsi="Cambria Math" w:cs="Arial"/>
                                  </w:rPr>
                                  <m:t>-1</m:t>
                                </m:r>
                              </m:e>
                            </m:mr>
                            <m:mr>
                              <m:e>
                                <m:r>
                                  <w:rPr>
                                    <w:rFonts w:ascii="Cambria Math" w:hAnsi="Cambria Math" w:cs="Arial"/>
                                  </w:rPr>
                                  <m:t xml:space="preserve">    0</m:t>
                                </m:r>
                              </m:e>
                            </m:mr>
                          </m:m>
                        </m:e>
                      </m:mr>
                      <m:mr>
                        <m:e>
                          <m:m>
                            <m:mPr>
                              <m:mcs>
                                <m:mc>
                                  <m:mcPr>
                                    <m:count m:val="1"/>
                                    <m:mcJc m:val="center"/>
                                  </m:mcPr>
                                </m:mc>
                              </m:mcs>
                              <m:ctrlPr>
                                <w:rPr>
                                  <w:rFonts w:ascii="Cambria Math" w:hAnsi="Cambria Math" w:cs="Arial"/>
                                  <w:bCs/>
                                  <w:i/>
                                  <w:iCs/>
                                </w:rPr>
                              </m:ctrlPr>
                            </m:mPr>
                            <m:mr>
                              <m:e>
                                <m:r>
                                  <w:rPr>
                                    <w:rFonts w:ascii="Cambria Math" w:hAnsi="Cambria Math" w:cs="Arial"/>
                                  </w:rPr>
                                  <m:t xml:space="preserve">    0</m:t>
                                </m:r>
                              </m:e>
                            </m:mr>
                            <m:mr>
                              <m:e>
                                <m:r>
                                  <w:rPr>
                                    <w:rFonts w:ascii="Cambria Math" w:hAnsi="Cambria Math" w:cs="Arial"/>
                                  </w:rPr>
                                  <m:t xml:space="preserve">    0</m:t>
                                </m:r>
                              </m:e>
                            </m:mr>
                          </m:m>
                        </m:e>
                      </m:mr>
                    </m:m>
                  </m:e>
                </m:mr>
              </m:m>
              <m:r>
                <w:rPr>
                  <w:rFonts w:ascii="Cambria Math" w:hAnsi="Cambria Math" w:cs="Arial"/>
                </w:rPr>
                <m:t xml:space="preserve"> </m:t>
              </m:r>
            </m:e>
          </m:d>
        </m:oMath>
      </m:oMathPara>
    </w:p>
    <w:p w:rsidR="002429F5" w:rsidRPr="00954C9A" w:rsidRDefault="002429F5" w:rsidP="002429F5">
      <w:pPr>
        <w:jc w:val="both"/>
        <w:rPr>
          <w:rFonts w:ascii="Arial" w:hAnsi="Arial" w:cs="Arial"/>
          <w:iCs/>
        </w:rPr>
      </w:pPr>
    </w:p>
    <w:p w:rsidR="002429F5" w:rsidRPr="002429F5" w:rsidRDefault="002429F5" w:rsidP="002429F5">
      <w:pPr>
        <w:jc w:val="both"/>
        <w:rPr>
          <w:rFonts w:ascii="Arial" w:hAnsi="Arial" w:cs="Arial"/>
          <w:iCs/>
          <w:lang w:val="en-US"/>
        </w:rPr>
      </w:pPr>
      <w:r w:rsidRPr="002429F5">
        <w:rPr>
          <w:rFonts w:ascii="Arial" w:hAnsi="Arial" w:cs="Arial"/>
          <w:iCs/>
          <w:lang w:val="en-US"/>
        </w:rPr>
        <w:t>we obtain the following equivalent extended stochastic differential system</w:t>
      </w:r>
    </w:p>
    <w:p w:rsidR="002429F5" w:rsidRPr="002429F5" w:rsidRDefault="002429F5" w:rsidP="002429F5">
      <w:pPr>
        <w:jc w:val="both"/>
        <w:rPr>
          <w:rFonts w:ascii="Arial" w:hAnsi="Arial" w:cs="Arial"/>
          <w:iCs/>
          <w:lang w:val="en-US"/>
        </w:rPr>
      </w:pPr>
    </w:p>
    <w:p w:rsidR="002429F5" w:rsidRPr="002429F5" w:rsidRDefault="002429F5" w:rsidP="002429F5">
      <w:pPr>
        <w:jc w:val="right"/>
        <w:rPr>
          <w:rFonts w:ascii="Arial" w:hAnsi="Arial" w:cs="Arial"/>
          <w:iCs/>
          <w:lang w:val="en-US"/>
        </w:rPr>
      </w:pPr>
      <m:oMath>
        <m:r>
          <w:rPr>
            <w:rFonts w:ascii="Cambria Math" w:hAnsi="Cambria Math" w:cs="Arial"/>
          </w:rPr>
          <w:lastRenderedPageBreak/>
          <m:t>d</m:t>
        </m:r>
        <m:d>
          <m:dPr>
            <m:ctrlPr>
              <w:rPr>
                <w:rFonts w:ascii="Cambria Math" w:hAnsi="Cambria Math" w:cs="Arial"/>
                <w:i/>
                <w:iCs/>
              </w:rPr>
            </m:ctrlPr>
          </m:dPr>
          <m:e>
            <m:r>
              <w:rPr>
                <w:rFonts w:ascii="Cambria Math" w:hAnsi="Cambria Math" w:cs="Arial"/>
                <w:lang w:val="en-US"/>
              </w:rPr>
              <m:t xml:space="preserve"> </m:t>
            </m:r>
            <m:eqArr>
              <m:eqArrPr>
                <m:ctrlPr>
                  <w:rPr>
                    <w:rFonts w:ascii="Cambria Math" w:hAnsi="Cambria Math" w:cs="Arial"/>
                    <w:i/>
                    <w:iCs/>
                  </w:rPr>
                </m:ctrlPr>
              </m:eqArrPr>
              <m:e>
                <m:eqArr>
                  <m:eqArrPr>
                    <m:ctrlPr>
                      <w:rPr>
                        <w:rFonts w:ascii="Cambria Math" w:hAnsi="Cambria Math" w:cs="Arial"/>
                        <w:i/>
                        <w:iCs/>
                      </w:rPr>
                    </m:ctrlPr>
                  </m:eqArrPr>
                  <m:e>
                    <m:m>
                      <m:mPr>
                        <m:mcs>
                          <m:mc>
                            <m:mcPr>
                              <m:count m:val="1"/>
                              <m:mcJc m:val="center"/>
                            </m:mcPr>
                          </m:mc>
                        </m:mcs>
                        <m:ctrlPr>
                          <w:rPr>
                            <w:rFonts w:ascii="Cambria Math" w:hAnsi="Cambria Math" w:cs="Arial"/>
                            <w:i/>
                            <w:iCs/>
                          </w:rPr>
                        </m:ctrlPr>
                      </m:mPr>
                      <m:mr>
                        <m:e>
                          <m:sSub>
                            <m:sSubPr>
                              <m:ctrlPr>
                                <w:rPr>
                                  <w:rFonts w:ascii="Cambria Math" w:hAnsi="Cambria Math" w:cs="Arial"/>
                                  <w:i/>
                                  <w:iCs/>
                                </w:rPr>
                              </m:ctrlPr>
                            </m:sSubPr>
                            <m:e>
                              <m:r>
                                <w:rPr>
                                  <w:rFonts w:ascii="Cambria Math" w:hAnsi="Cambria Math" w:cs="Arial"/>
                                </w:rPr>
                                <m:t>x</m:t>
                              </m:r>
                            </m:e>
                            <m:sub>
                              <m:r>
                                <w:rPr>
                                  <w:rFonts w:ascii="Cambria Math" w:hAnsi="Cambria Math" w:cs="Arial"/>
                                  <w:lang w:val="en-US"/>
                                </w:rPr>
                                <m:t>1</m:t>
                              </m:r>
                            </m:sub>
                          </m:sSub>
                          <m:r>
                            <w:rPr>
                              <w:rFonts w:ascii="Cambria Math" w:hAnsi="Cambria Math" w:cs="Arial"/>
                              <w:lang w:val="en-US"/>
                            </w:rPr>
                            <m:t>(</m:t>
                          </m:r>
                          <m:r>
                            <w:rPr>
                              <w:rFonts w:ascii="Cambria Math" w:hAnsi="Cambria Math" w:cs="Arial"/>
                            </w:rPr>
                            <m:t>t</m:t>
                          </m:r>
                          <m:r>
                            <w:rPr>
                              <w:rFonts w:ascii="Cambria Math" w:hAnsi="Cambria Math" w:cs="Arial"/>
                              <w:lang w:val="en-US"/>
                            </w:rPr>
                            <m:t>)</m:t>
                          </m:r>
                        </m:e>
                      </m:mr>
                      <m:mr>
                        <m:e>
                          <m:sSub>
                            <m:sSubPr>
                              <m:ctrlPr>
                                <w:rPr>
                                  <w:rFonts w:ascii="Cambria Math" w:hAnsi="Cambria Math" w:cs="Arial"/>
                                  <w:i/>
                                  <w:iCs/>
                                </w:rPr>
                              </m:ctrlPr>
                            </m:sSubPr>
                            <m:e>
                              <m:r>
                                <w:rPr>
                                  <w:rFonts w:ascii="Cambria Math" w:hAnsi="Cambria Math" w:cs="Arial"/>
                                </w:rPr>
                                <m:t>x</m:t>
                              </m:r>
                            </m:e>
                            <m:sub>
                              <m:r>
                                <w:rPr>
                                  <w:rFonts w:ascii="Cambria Math" w:hAnsi="Cambria Math" w:cs="Arial"/>
                                  <w:lang w:val="en-US"/>
                                </w:rPr>
                                <m:t>2</m:t>
                              </m:r>
                            </m:sub>
                          </m:sSub>
                          <m:r>
                            <w:rPr>
                              <w:rFonts w:ascii="Cambria Math" w:hAnsi="Cambria Math" w:cs="Arial"/>
                              <w:lang w:val="en-US"/>
                            </w:rPr>
                            <m:t>(</m:t>
                          </m:r>
                          <m:r>
                            <w:rPr>
                              <w:rFonts w:ascii="Cambria Math" w:hAnsi="Cambria Math" w:cs="Arial"/>
                            </w:rPr>
                            <m:t>t</m:t>
                          </m:r>
                          <m:r>
                            <w:rPr>
                              <w:rFonts w:ascii="Cambria Math" w:hAnsi="Cambria Math" w:cs="Arial"/>
                              <w:lang w:val="en-US"/>
                            </w:rPr>
                            <m:t>)</m:t>
                          </m:r>
                        </m:e>
                      </m:mr>
                    </m:m>
                  </m:e>
                  <m:e>
                    <m:sSub>
                      <m:sSubPr>
                        <m:ctrlPr>
                          <w:rPr>
                            <w:rFonts w:ascii="Cambria Math" w:hAnsi="Cambria Math" w:cs="Arial"/>
                            <w:i/>
                            <w:iCs/>
                          </w:rPr>
                        </m:ctrlPr>
                      </m:sSubPr>
                      <m:e>
                        <m:r>
                          <w:rPr>
                            <w:rFonts w:ascii="Cambria Math" w:hAnsi="Cambria Math" w:cs="Arial"/>
                          </w:rPr>
                          <m:t>x</m:t>
                        </m:r>
                      </m:e>
                      <m:sub>
                        <m:r>
                          <w:rPr>
                            <w:rFonts w:ascii="Cambria Math" w:hAnsi="Cambria Math" w:cs="Arial"/>
                            <w:lang w:val="en-US"/>
                          </w:rPr>
                          <m:t>3</m:t>
                        </m:r>
                      </m:sub>
                    </m:sSub>
                    <m:r>
                      <w:rPr>
                        <w:rFonts w:ascii="Cambria Math" w:hAnsi="Cambria Math" w:cs="Arial"/>
                        <w:lang w:val="en-US"/>
                      </w:rPr>
                      <m:t>(</m:t>
                    </m:r>
                    <m:r>
                      <w:rPr>
                        <w:rFonts w:ascii="Cambria Math" w:hAnsi="Cambria Math" w:cs="Arial"/>
                      </w:rPr>
                      <m:t>t</m:t>
                    </m:r>
                    <m:r>
                      <w:rPr>
                        <w:rFonts w:ascii="Cambria Math" w:hAnsi="Cambria Math" w:cs="Arial"/>
                        <w:lang w:val="en-US"/>
                      </w:rPr>
                      <m:t>)</m:t>
                    </m:r>
                  </m:e>
                </m:eqArr>
              </m:e>
              <m:e>
                <m:sSub>
                  <m:sSubPr>
                    <m:ctrlPr>
                      <w:rPr>
                        <w:rFonts w:ascii="Cambria Math" w:hAnsi="Cambria Math" w:cs="Arial"/>
                        <w:i/>
                        <w:iCs/>
                      </w:rPr>
                    </m:ctrlPr>
                  </m:sSubPr>
                  <m:e>
                    <m:r>
                      <w:rPr>
                        <w:rFonts w:ascii="Cambria Math" w:hAnsi="Cambria Math" w:cs="Arial"/>
                      </w:rPr>
                      <m:t>x</m:t>
                    </m:r>
                  </m:e>
                  <m:sub>
                    <m:r>
                      <w:rPr>
                        <w:rFonts w:ascii="Cambria Math" w:hAnsi="Cambria Math" w:cs="Arial"/>
                        <w:lang w:val="en-US"/>
                      </w:rPr>
                      <m:t>4</m:t>
                    </m:r>
                  </m:sub>
                </m:sSub>
                <m:d>
                  <m:dPr>
                    <m:ctrlPr>
                      <w:rPr>
                        <w:rFonts w:ascii="Cambria Math" w:hAnsi="Cambria Math" w:cs="Arial"/>
                        <w:i/>
                        <w:iCs/>
                      </w:rPr>
                    </m:ctrlPr>
                  </m:dPr>
                  <m:e>
                    <m:r>
                      <w:rPr>
                        <w:rFonts w:ascii="Cambria Math" w:hAnsi="Cambria Math" w:cs="Arial"/>
                      </w:rPr>
                      <m:t>t</m:t>
                    </m:r>
                  </m:e>
                </m:d>
                <m:r>
                  <w:rPr>
                    <w:rFonts w:ascii="Cambria Math" w:hAnsi="Cambria Math" w:cs="Arial"/>
                    <w:lang w:val="en-US"/>
                  </w:rPr>
                  <m:t xml:space="preserve">  </m:t>
                </m:r>
              </m:e>
            </m:eqArr>
          </m:e>
        </m:d>
        <m:r>
          <w:rPr>
            <w:rFonts w:ascii="Cambria Math" w:hAnsi="Cambria Math" w:cs="Arial"/>
            <w:lang w:val="en-US"/>
          </w:rPr>
          <m:t>=</m:t>
        </m:r>
        <m:d>
          <m:dPr>
            <m:ctrlPr>
              <w:rPr>
                <w:rFonts w:ascii="Cambria Math" w:hAnsi="Cambria Math" w:cs="Arial"/>
                <w:i/>
                <w:iCs/>
              </w:rPr>
            </m:ctrlPr>
          </m:dPr>
          <m:e>
            <m:eqArr>
              <m:eqArrPr>
                <m:ctrlPr>
                  <w:rPr>
                    <w:rFonts w:ascii="Cambria Math" w:hAnsi="Cambria Math" w:cs="Arial"/>
                    <w:i/>
                    <w:iCs/>
                  </w:rPr>
                </m:ctrlPr>
              </m:eqArrPr>
              <m:e>
                <m:eqArr>
                  <m:eqArrPr>
                    <m:ctrlPr>
                      <w:rPr>
                        <w:rFonts w:ascii="Cambria Math" w:hAnsi="Cambria Math" w:cs="Arial"/>
                        <w:i/>
                        <w:iCs/>
                      </w:rPr>
                    </m:ctrlPr>
                  </m:eqArrPr>
                  <m:e>
                    <m:m>
                      <m:mPr>
                        <m:mcs>
                          <m:mc>
                            <m:mcPr>
                              <m:count m:val="1"/>
                              <m:mcJc m:val="center"/>
                            </m:mcPr>
                          </m:mc>
                        </m:mcs>
                        <m:ctrlPr>
                          <w:rPr>
                            <w:rFonts w:ascii="Cambria Math" w:hAnsi="Cambria Math" w:cs="Arial"/>
                            <w:i/>
                            <w:iCs/>
                          </w:rPr>
                        </m:ctrlPr>
                      </m:mPr>
                      <m:mr>
                        <m:e>
                          <m:sSub>
                            <m:sSubPr>
                              <m:ctrlPr>
                                <w:rPr>
                                  <w:rFonts w:ascii="Cambria Math" w:hAnsi="Cambria Math" w:cs="Arial"/>
                                  <w:i/>
                                  <w:iCs/>
                                </w:rPr>
                              </m:ctrlPr>
                            </m:sSubPr>
                            <m:e>
                              <m:r>
                                <w:rPr>
                                  <w:rFonts w:ascii="Cambria Math" w:hAnsi="Cambria Math" w:cs="Arial"/>
                                  <w:lang w:val="en-US"/>
                                </w:rPr>
                                <m:t>-</m:t>
                              </m:r>
                              <m:r>
                                <w:rPr>
                                  <w:rFonts w:ascii="Cambria Math" w:hAnsi="Cambria Math" w:cs="Arial"/>
                                </w:rPr>
                                <m:t>x</m:t>
                              </m:r>
                            </m:e>
                            <m:sub>
                              <m:r>
                                <w:rPr>
                                  <w:rFonts w:ascii="Cambria Math" w:hAnsi="Cambria Math" w:cs="Arial"/>
                                  <w:lang w:val="en-US"/>
                                </w:rPr>
                                <m:t>3</m:t>
                              </m:r>
                            </m:sub>
                          </m:sSub>
                          <m:r>
                            <w:rPr>
                              <w:rFonts w:ascii="Cambria Math" w:hAnsi="Cambria Math" w:cs="Arial"/>
                              <w:lang w:val="en-US"/>
                            </w:rPr>
                            <m:t>(</m:t>
                          </m:r>
                          <m:r>
                            <w:rPr>
                              <w:rFonts w:ascii="Cambria Math" w:hAnsi="Cambria Math" w:cs="Arial"/>
                            </w:rPr>
                            <m:t>t</m:t>
                          </m:r>
                          <m:r>
                            <w:rPr>
                              <w:rFonts w:ascii="Cambria Math" w:hAnsi="Cambria Math" w:cs="Arial"/>
                              <w:lang w:val="en-US"/>
                            </w:rPr>
                            <m:t>)</m:t>
                          </m:r>
                        </m:e>
                      </m:mr>
                      <m:mr>
                        <m:e>
                          <m:sSub>
                            <m:sSubPr>
                              <m:ctrlPr>
                                <w:rPr>
                                  <w:rFonts w:ascii="Cambria Math" w:hAnsi="Cambria Math" w:cs="Arial"/>
                                  <w:i/>
                                  <w:iCs/>
                                </w:rPr>
                              </m:ctrlPr>
                            </m:sSubPr>
                            <m:e>
                              <m:r>
                                <w:rPr>
                                  <w:rFonts w:ascii="Cambria Math" w:hAnsi="Cambria Math" w:cs="Arial"/>
                                  <w:lang w:val="en-US"/>
                                </w:rPr>
                                <m:t xml:space="preserve">   </m:t>
                              </m:r>
                              <m:r>
                                <w:rPr>
                                  <w:rFonts w:ascii="Cambria Math" w:hAnsi="Cambria Math" w:cs="Arial"/>
                                </w:rPr>
                                <m:t>x</m:t>
                              </m:r>
                            </m:e>
                            <m:sub>
                              <m:r>
                                <w:rPr>
                                  <w:rFonts w:ascii="Cambria Math" w:hAnsi="Cambria Math" w:cs="Arial"/>
                                  <w:lang w:val="en-US"/>
                                </w:rPr>
                                <m:t>4</m:t>
                              </m:r>
                            </m:sub>
                          </m:sSub>
                          <m:r>
                            <w:rPr>
                              <w:rFonts w:ascii="Cambria Math" w:hAnsi="Cambria Math" w:cs="Arial"/>
                              <w:lang w:val="en-US"/>
                            </w:rPr>
                            <m:t>(</m:t>
                          </m:r>
                          <m:r>
                            <w:rPr>
                              <w:rFonts w:ascii="Cambria Math" w:hAnsi="Cambria Math" w:cs="Arial"/>
                            </w:rPr>
                            <m:t>t</m:t>
                          </m:r>
                          <m:r>
                            <w:rPr>
                              <w:rFonts w:ascii="Cambria Math" w:hAnsi="Cambria Math" w:cs="Arial"/>
                              <w:lang w:val="en-US"/>
                            </w:rPr>
                            <m:t>)</m:t>
                          </m:r>
                        </m:e>
                      </m:mr>
                    </m:m>
                  </m:e>
                  <m:e>
                    <m:sSub>
                      <m:sSubPr>
                        <m:ctrlPr>
                          <w:rPr>
                            <w:rFonts w:ascii="Cambria Math" w:hAnsi="Cambria Math" w:cs="Arial"/>
                            <w:i/>
                            <w:iCs/>
                          </w:rPr>
                        </m:ctrlPr>
                      </m:sSubPr>
                      <m:e>
                        <m:r>
                          <w:rPr>
                            <w:rFonts w:ascii="Cambria Math" w:hAnsi="Cambria Math" w:cs="Arial"/>
                            <w:lang w:val="en-US"/>
                          </w:rPr>
                          <m:t xml:space="preserve">   </m:t>
                        </m:r>
                        <m:r>
                          <w:rPr>
                            <w:rFonts w:ascii="Cambria Math" w:hAnsi="Cambria Math" w:cs="Arial"/>
                          </w:rPr>
                          <m:t>x</m:t>
                        </m:r>
                      </m:e>
                      <m:sub>
                        <m:r>
                          <w:rPr>
                            <w:rFonts w:ascii="Cambria Math" w:hAnsi="Cambria Math" w:cs="Arial"/>
                            <w:lang w:val="en-US"/>
                          </w:rPr>
                          <m:t>1</m:t>
                        </m:r>
                      </m:sub>
                    </m:sSub>
                    <m:r>
                      <w:rPr>
                        <w:rFonts w:ascii="Cambria Math" w:hAnsi="Cambria Math" w:cs="Arial"/>
                        <w:lang w:val="en-US"/>
                      </w:rPr>
                      <m:t>(</m:t>
                    </m:r>
                    <m:r>
                      <w:rPr>
                        <w:rFonts w:ascii="Cambria Math" w:hAnsi="Cambria Math" w:cs="Arial"/>
                      </w:rPr>
                      <m:t>t</m:t>
                    </m:r>
                    <m:r>
                      <w:rPr>
                        <w:rFonts w:ascii="Cambria Math" w:hAnsi="Cambria Math" w:cs="Arial"/>
                        <w:lang w:val="en-US"/>
                      </w:rPr>
                      <m:t>)</m:t>
                    </m:r>
                  </m:e>
                </m:eqArr>
              </m:e>
              <m:e>
                <m:sSub>
                  <m:sSubPr>
                    <m:ctrlPr>
                      <w:rPr>
                        <w:rFonts w:ascii="Cambria Math" w:hAnsi="Cambria Math" w:cs="Arial"/>
                        <w:i/>
                        <w:iCs/>
                      </w:rPr>
                    </m:ctrlPr>
                  </m:sSubPr>
                  <m:e>
                    <m:r>
                      <w:rPr>
                        <w:rFonts w:ascii="Cambria Math" w:hAnsi="Cambria Math" w:cs="Arial"/>
                        <w:lang w:val="en-US"/>
                      </w:rPr>
                      <m:t xml:space="preserve">  -</m:t>
                    </m:r>
                    <m:r>
                      <w:rPr>
                        <w:rFonts w:ascii="Cambria Math" w:hAnsi="Cambria Math" w:cs="Arial"/>
                      </w:rPr>
                      <m:t>x</m:t>
                    </m:r>
                  </m:e>
                  <m:sub>
                    <m:r>
                      <w:rPr>
                        <w:rFonts w:ascii="Cambria Math" w:hAnsi="Cambria Math" w:cs="Arial"/>
                        <w:lang w:val="en-US"/>
                      </w:rPr>
                      <m:t>2</m:t>
                    </m:r>
                  </m:sub>
                </m:sSub>
                <m:d>
                  <m:dPr>
                    <m:ctrlPr>
                      <w:rPr>
                        <w:rFonts w:ascii="Cambria Math" w:hAnsi="Cambria Math" w:cs="Arial"/>
                        <w:i/>
                        <w:iCs/>
                      </w:rPr>
                    </m:ctrlPr>
                  </m:dPr>
                  <m:e>
                    <m:r>
                      <w:rPr>
                        <w:rFonts w:ascii="Cambria Math" w:hAnsi="Cambria Math" w:cs="Arial"/>
                      </w:rPr>
                      <m:t>t</m:t>
                    </m:r>
                  </m:e>
                </m:d>
                <m:r>
                  <w:rPr>
                    <w:rFonts w:ascii="Cambria Math" w:hAnsi="Cambria Math" w:cs="Arial"/>
                    <w:lang w:val="en-US"/>
                  </w:rPr>
                  <m:t xml:space="preserve">   </m:t>
                </m:r>
              </m:e>
            </m:eqArr>
          </m:e>
        </m:d>
        <m:r>
          <w:rPr>
            <w:rFonts w:ascii="Cambria Math" w:hAnsi="Cambria Math" w:cs="Arial"/>
          </w:rPr>
          <m:t>dt</m:t>
        </m:r>
        <m:r>
          <w:rPr>
            <w:rFonts w:ascii="Cambria Math" w:hAnsi="Cambria Math" w:cs="Arial"/>
            <w:lang w:val="en-US"/>
          </w:rPr>
          <m:t xml:space="preserve"> </m:t>
        </m:r>
      </m:oMath>
      <w:r w:rsidRPr="002429F5">
        <w:rPr>
          <w:rFonts w:ascii="Arial" w:hAnsi="Arial" w:cs="Arial"/>
          <w:iCs/>
          <w:lang w:val="en-US"/>
        </w:rPr>
        <w:t xml:space="preserve">+ </w:t>
      </w:r>
      <m:oMath>
        <m:d>
          <m:dPr>
            <m:ctrlPr>
              <w:rPr>
                <w:rFonts w:ascii="Cambria Math" w:hAnsi="Cambria Math" w:cs="Arial"/>
                <w:i/>
                <w:iCs/>
              </w:rPr>
            </m:ctrlPr>
          </m:dPr>
          <m:e>
            <m:eqArr>
              <m:eqArrPr>
                <m:ctrlPr>
                  <w:rPr>
                    <w:rFonts w:ascii="Cambria Math" w:hAnsi="Cambria Math" w:cs="Arial"/>
                    <w:i/>
                    <w:iCs/>
                  </w:rPr>
                </m:ctrlPr>
              </m:eqArrPr>
              <m:e>
                <m:eqArr>
                  <m:eqArrPr>
                    <m:ctrlPr>
                      <w:rPr>
                        <w:rFonts w:ascii="Cambria Math" w:hAnsi="Cambria Math" w:cs="Arial"/>
                        <w:i/>
                        <w:iCs/>
                      </w:rPr>
                    </m:ctrlPr>
                  </m:eqArrPr>
                  <m:e>
                    <m:m>
                      <m:mPr>
                        <m:mcs>
                          <m:mc>
                            <m:mcPr>
                              <m:count m:val="1"/>
                              <m:mcJc m:val="center"/>
                            </m:mcPr>
                          </m:mc>
                        </m:mcs>
                        <m:ctrlPr>
                          <w:rPr>
                            <w:rFonts w:ascii="Cambria Math" w:hAnsi="Cambria Math" w:cs="Arial"/>
                            <w:i/>
                            <w:iCs/>
                          </w:rPr>
                        </m:ctrlPr>
                      </m:mPr>
                      <m:mr>
                        <m:e>
                          <m:sSub>
                            <m:sSubPr>
                              <m:ctrlPr>
                                <w:rPr>
                                  <w:rFonts w:ascii="Cambria Math" w:hAnsi="Cambria Math" w:cs="Arial"/>
                                  <w:i/>
                                  <w:iCs/>
                                </w:rPr>
                              </m:ctrlPr>
                            </m:sSubPr>
                            <m:e>
                              <m:r>
                                <w:rPr>
                                  <w:rFonts w:ascii="Cambria Math" w:hAnsi="Cambria Math" w:cs="Arial"/>
                                  <w:lang w:val="en-US"/>
                                </w:rPr>
                                <m:t>-</m:t>
                              </m:r>
                              <m:sSub>
                                <m:sSubPr>
                                  <m:ctrlPr>
                                    <w:rPr>
                                      <w:rFonts w:ascii="Cambria Math" w:hAnsi="Cambria Math" w:cs="Arial"/>
                                      <w:i/>
                                      <w:iCs/>
                                    </w:rPr>
                                  </m:ctrlPr>
                                </m:sSubPr>
                                <m:e>
                                  <m:r>
                                    <w:rPr>
                                      <w:rFonts w:ascii="Cambria Math" w:hAnsi="Cambria Math" w:cs="Arial"/>
                                    </w:rPr>
                                    <m:t>u</m:t>
                                  </m:r>
                                </m:e>
                                <m:sub>
                                  <m:r>
                                    <w:rPr>
                                      <w:rFonts w:ascii="Cambria Math" w:hAnsi="Cambria Math" w:cs="Arial"/>
                                      <w:lang w:val="en-US"/>
                                    </w:rPr>
                                    <m:t>2</m:t>
                                  </m:r>
                                </m:sub>
                              </m:sSub>
                              <m:r>
                                <w:rPr>
                                  <w:rFonts w:ascii="Cambria Math" w:hAnsi="Cambria Math" w:cs="Arial"/>
                                  <w:lang w:val="en-US"/>
                                </w:rPr>
                                <m:t>(</m:t>
                              </m:r>
                              <m:r>
                                <w:rPr>
                                  <w:rFonts w:ascii="Cambria Math" w:hAnsi="Cambria Math" w:cs="Arial"/>
                                </w:rPr>
                                <m:t>t</m:t>
                              </m:r>
                              <m:r>
                                <w:rPr>
                                  <w:rFonts w:ascii="Cambria Math" w:hAnsi="Cambria Math" w:cs="Arial"/>
                                  <w:lang w:val="en-US"/>
                                </w:rPr>
                                <m:t>)</m:t>
                              </m:r>
                              <m:r>
                                <w:rPr>
                                  <w:rFonts w:ascii="Cambria Math" w:hAnsi="Cambria Math" w:cs="Arial"/>
                                </w:rPr>
                                <m:t>x</m:t>
                              </m:r>
                            </m:e>
                            <m:sub>
                              <m:r>
                                <w:rPr>
                                  <w:rFonts w:ascii="Cambria Math" w:hAnsi="Cambria Math" w:cs="Arial"/>
                                  <w:lang w:val="en-US"/>
                                </w:rPr>
                                <m:t>2</m:t>
                              </m:r>
                            </m:sub>
                          </m:sSub>
                          <m:r>
                            <w:rPr>
                              <w:rFonts w:ascii="Cambria Math" w:hAnsi="Cambria Math" w:cs="Arial"/>
                              <w:lang w:val="en-US"/>
                            </w:rPr>
                            <m:t>(</m:t>
                          </m:r>
                          <m:r>
                            <w:rPr>
                              <w:rFonts w:ascii="Cambria Math" w:hAnsi="Cambria Math" w:cs="Arial"/>
                            </w:rPr>
                            <m:t>t</m:t>
                          </m:r>
                          <m:r>
                            <w:rPr>
                              <w:rFonts w:ascii="Cambria Math" w:hAnsi="Cambria Math" w:cs="Arial"/>
                              <w:lang w:val="en-US"/>
                            </w:rPr>
                            <m:t>)</m:t>
                          </m:r>
                          <m:sSub>
                            <m:sSubPr>
                              <m:ctrlPr>
                                <w:rPr>
                                  <w:rFonts w:ascii="Cambria Math" w:hAnsi="Cambria Math" w:cs="Arial"/>
                                  <w:i/>
                                  <w:iCs/>
                                </w:rPr>
                              </m:ctrlPr>
                            </m:sSubPr>
                            <m:e>
                              <m:r>
                                <w:rPr>
                                  <w:rFonts w:ascii="Cambria Math" w:hAnsi="Cambria Math" w:cs="Arial"/>
                                  <w:lang w:val="en-US"/>
                                </w:rPr>
                                <m:t>-</m:t>
                              </m:r>
                              <m:sSub>
                                <m:sSubPr>
                                  <m:ctrlPr>
                                    <w:rPr>
                                      <w:rFonts w:ascii="Cambria Math" w:hAnsi="Cambria Math" w:cs="Arial"/>
                                      <w:i/>
                                      <w:iCs/>
                                    </w:rPr>
                                  </m:ctrlPr>
                                </m:sSubPr>
                                <m:e>
                                  <m:r>
                                    <w:rPr>
                                      <w:rFonts w:ascii="Cambria Math" w:hAnsi="Cambria Math" w:cs="Arial"/>
                                    </w:rPr>
                                    <m:t>u</m:t>
                                  </m:r>
                                </m:e>
                                <m:sub>
                                  <m:r>
                                    <w:rPr>
                                      <w:rFonts w:ascii="Cambria Math" w:hAnsi="Cambria Math" w:cs="Arial"/>
                                      <w:lang w:val="en-US"/>
                                    </w:rPr>
                                    <m:t>1</m:t>
                                  </m:r>
                                </m:sub>
                              </m:sSub>
                              <m:r>
                                <w:rPr>
                                  <w:rFonts w:ascii="Cambria Math" w:hAnsi="Cambria Math" w:cs="Arial"/>
                                  <w:lang w:val="en-US"/>
                                </w:rPr>
                                <m:t>(</m:t>
                              </m:r>
                              <m:r>
                                <w:rPr>
                                  <w:rFonts w:ascii="Cambria Math" w:hAnsi="Cambria Math" w:cs="Arial"/>
                                </w:rPr>
                                <m:t>t</m:t>
                              </m:r>
                              <m:r>
                                <w:rPr>
                                  <w:rFonts w:ascii="Cambria Math" w:hAnsi="Cambria Math" w:cs="Arial"/>
                                  <w:lang w:val="en-US"/>
                                </w:rPr>
                                <m:t>)</m:t>
                              </m:r>
                              <m:r>
                                <w:rPr>
                                  <w:rFonts w:ascii="Cambria Math" w:hAnsi="Cambria Math" w:cs="Arial"/>
                                </w:rPr>
                                <m:t>x</m:t>
                              </m:r>
                            </m:e>
                            <m:sub>
                              <m:r>
                                <w:rPr>
                                  <w:rFonts w:ascii="Cambria Math" w:hAnsi="Cambria Math" w:cs="Arial"/>
                                  <w:lang w:val="en-US"/>
                                </w:rPr>
                                <m:t>4</m:t>
                              </m:r>
                            </m:sub>
                          </m:sSub>
                          <m:r>
                            <w:rPr>
                              <w:rFonts w:ascii="Cambria Math" w:hAnsi="Cambria Math" w:cs="Arial"/>
                              <w:lang w:val="en-US"/>
                            </w:rPr>
                            <m:t>(</m:t>
                          </m:r>
                          <m:r>
                            <w:rPr>
                              <w:rFonts w:ascii="Cambria Math" w:hAnsi="Cambria Math" w:cs="Arial"/>
                            </w:rPr>
                            <m:t>t</m:t>
                          </m:r>
                          <m:r>
                            <w:rPr>
                              <w:rFonts w:ascii="Cambria Math" w:hAnsi="Cambria Math" w:cs="Arial"/>
                              <w:lang w:val="en-US"/>
                            </w:rPr>
                            <m:t>)</m:t>
                          </m:r>
                        </m:e>
                      </m:mr>
                      <m:mr>
                        <m:e>
                          <m:r>
                            <w:rPr>
                              <w:rFonts w:ascii="Cambria Math" w:hAnsi="Cambria Math" w:cs="Arial"/>
                              <w:lang w:val="en-US"/>
                            </w:rPr>
                            <m:t xml:space="preserve">   </m:t>
                          </m:r>
                          <m:sSub>
                            <m:sSubPr>
                              <m:ctrlPr>
                                <w:rPr>
                                  <w:rFonts w:ascii="Cambria Math" w:hAnsi="Cambria Math" w:cs="Arial"/>
                                  <w:i/>
                                  <w:iCs/>
                                </w:rPr>
                              </m:ctrlPr>
                            </m:sSubPr>
                            <m:e>
                              <m:sSub>
                                <m:sSubPr>
                                  <m:ctrlPr>
                                    <w:rPr>
                                      <w:rFonts w:ascii="Cambria Math" w:hAnsi="Cambria Math" w:cs="Arial"/>
                                      <w:i/>
                                      <w:iCs/>
                                    </w:rPr>
                                  </m:ctrlPr>
                                </m:sSubPr>
                                <m:e>
                                  <m:r>
                                    <w:rPr>
                                      <w:rFonts w:ascii="Cambria Math" w:hAnsi="Cambria Math" w:cs="Arial"/>
                                    </w:rPr>
                                    <m:t>u</m:t>
                                  </m:r>
                                </m:e>
                                <m:sub>
                                  <m:r>
                                    <w:rPr>
                                      <w:rFonts w:ascii="Cambria Math" w:hAnsi="Cambria Math" w:cs="Arial"/>
                                      <w:lang w:val="en-US"/>
                                    </w:rPr>
                                    <m:t>2</m:t>
                                  </m:r>
                                </m:sub>
                              </m:sSub>
                              <m:d>
                                <m:dPr>
                                  <m:ctrlPr>
                                    <w:rPr>
                                      <w:rFonts w:ascii="Cambria Math" w:hAnsi="Cambria Math" w:cs="Arial"/>
                                      <w:i/>
                                    </w:rPr>
                                  </m:ctrlPr>
                                </m:dPr>
                                <m:e>
                                  <m:r>
                                    <w:rPr>
                                      <w:rFonts w:ascii="Cambria Math" w:hAnsi="Cambria Math" w:cs="Arial"/>
                                    </w:rPr>
                                    <m:t>t</m:t>
                                  </m:r>
                                </m:e>
                              </m:d>
                              <m:r>
                                <w:rPr>
                                  <w:rFonts w:ascii="Cambria Math" w:hAnsi="Cambria Math" w:cs="Arial"/>
                                </w:rPr>
                                <m:t>x</m:t>
                              </m:r>
                            </m:e>
                            <m:sub>
                              <m:r>
                                <w:rPr>
                                  <w:rFonts w:ascii="Cambria Math" w:hAnsi="Cambria Math" w:cs="Arial"/>
                                  <w:lang w:val="en-US"/>
                                </w:rPr>
                                <m:t>1</m:t>
                              </m:r>
                            </m:sub>
                          </m:sSub>
                          <m:d>
                            <m:dPr>
                              <m:ctrlPr>
                                <w:rPr>
                                  <w:rFonts w:ascii="Cambria Math" w:hAnsi="Cambria Math" w:cs="Arial"/>
                                  <w:i/>
                                </w:rPr>
                              </m:ctrlPr>
                            </m:dPr>
                            <m:e>
                              <m:r>
                                <w:rPr>
                                  <w:rFonts w:ascii="Cambria Math" w:hAnsi="Cambria Math" w:cs="Arial"/>
                                </w:rPr>
                                <m:t>t</m:t>
                              </m:r>
                            </m:e>
                          </m:d>
                          <m:r>
                            <w:rPr>
                              <w:rFonts w:ascii="Cambria Math" w:hAnsi="Cambria Math" w:cs="Arial"/>
                              <w:lang w:val="en-US"/>
                            </w:rPr>
                            <m:t xml:space="preserve"> </m:t>
                          </m:r>
                          <m:sSub>
                            <m:sSubPr>
                              <m:ctrlPr>
                                <w:rPr>
                                  <w:rFonts w:ascii="Cambria Math" w:hAnsi="Cambria Math" w:cs="Arial"/>
                                  <w:i/>
                                  <w:iCs/>
                                </w:rPr>
                              </m:ctrlPr>
                            </m:sSubPr>
                            <m:e>
                              <m:r>
                                <w:rPr>
                                  <w:rFonts w:ascii="Cambria Math" w:hAnsi="Cambria Math" w:cs="Arial"/>
                                  <w:lang w:val="en-US"/>
                                </w:rPr>
                                <m:t xml:space="preserve">- </m:t>
                              </m:r>
                              <m:sSub>
                                <m:sSubPr>
                                  <m:ctrlPr>
                                    <w:rPr>
                                      <w:rFonts w:ascii="Cambria Math" w:hAnsi="Cambria Math" w:cs="Arial"/>
                                      <w:i/>
                                      <w:iCs/>
                                    </w:rPr>
                                  </m:ctrlPr>
                                </m:sSubPr>
                                <m:e>
                                  <m:r>
                                    <w:rPr>
                                      <w:rFonts w:ascii="Cambria Math" w:hAnsi="Cambria Math" w:cs="Arial"/>
                                    </w:rPr>
                                    <m:t>u</m:t>
                                  </m:r>
                                </m:e>
                                <m:sub>
                                  <m:r>
                                    <w:rPr>
                                      <w:rFonts w:ascii="Cambria Math" w:hAnsi="Cambria Math" w:cs="Arial"/>
                                      <w:lang w:val="en-US"/>
                                    </w:rPr>
                                    <m:t>1</m:t>
                                  </m:r>
                                </m:sub>
                              </m:sSub>
                              <m:r>
                                <w:rPr>
                                  <w:rFonts w:ascii="Cambria Math" w:hAnsi="Cambria Math" w:cs="Arial"/>
                                  <w:lang w:val="en-US"/>
                                </w:rPr>
                                <m:t>(</m:t>
                              </m:r>
                              <m:r>
                                <w:rPr>
                                  <w:rFonts w:ascii="Cambria Math" w:hAnsi="Cambria Math" w:cs="Arial"/>
                                </w:rPr>
                                <m:t>t</m:t>
                              </m:r>
                              <m:r>
                                <w:rPr>
                                  <w:rFonts w:ascii="Cambria Math" w:hAnsi="Cambria Math" w:cs="Arial"/>
                                  <w:lang w:val="en-US"/>
                                </w:rPr>
                                <m:t>)</m:t>
                              </m:r>
                              <m:r>
                                <w:rPr>
                                  <w:rFonts w:ascii="Cambria Math" w:hAnsi="Cambria Math" w:cs="Arial"/>
                                </w:rPr>
                                <m:t>x</m:t>
                              </m:r>
                            </m:e>
                            <m:sub>
                              <m:r>
                                <w:rPr>
                                  <w:rFonts w:ascii="Cambria Math" w:hAnsi="Cambria Math" w:cs="Arial"/>
                                  <w:lang w:val="en-US"/>
                                </w:rPr>
                                <m:t>3</m:t>
                              </m:r>
                            </m:sub>
                          </m:sSub>
                          <m:r>
                            <w:rPr>
                              <w:rFonts w:ascii="Cambria Math" w:hAnsi="Cambria Math" w:cs="Arial"/>
                              <w:lang w:val="en-US"/>
                            </w:rPr>
                            <m:t>(</m:t>
                          </m:r>
                          <m:r>
                            <w:rPr>
                              <w:rFonts w:ascii="Cambria Math" w:hAnsi="Cambria Math" w:cs="Arial"/>
                            </w:rPr>
                            <m:t>t</m:t>
                          </m:r>
                          <m:r>
                            <w:rPr>
                              <w:rFonts w:ascii="Cambria Math" w:hAnsi="Cambria Math" w:cs="Arial"/>
                              <w:lang w:val="en-US"/>
                            </w:rPr>
                            <m:t>)</m:t>
                          </m:r>
                        </m:e>
                      </m:mr>
                    </m:m>
                  </m:e>
                  <m:e>
                    <m:sSub>
                      <m:sSubPr>
                        <m:ctrlPr>
                          <w:rPr>
                            <w:rFonts w:ascii="Cambria Math" w:hAnsi="Cambria Math" w:cs="Arial"/>
                            <w:i/>
                            <w:iCs/>
                          </w:rPr>
                        </m:ctrlPr>
                      </m:sSubPr>
                      <m:e>
                        <m:sSub>
                          <m:sSubPr>
                            <m:ctrlPr>
                              <w:rPr>
                                <w:rFonts w:ascii="Cambria Math" w:hAnsi="Cambria Math" w:cs="Arial"/>
                                <w:i/>
                                <w:iCs/>
                              </w:rPr>
                            </m:ctrlPr>
                          </m:sSubPr>
                          <m:e>
                            <m:r>
                              <w:rPr>
                                <w:rFonts w:ascii="Cambria Math" w:hAnsi="Cambria Math" w:cs="Arial"/>
                                <w:lang w:val="en-US"/>
                              </w:rPr>
                              <m:t xml:space="preserve">  </m:t>
                            </m:r>
                            <m:r>
                              <w:rPr>
                                <w:rFonts w:ascii="Cambria Math" w:hAnsi="Cambria Math" w:cs="Arial"/>
                              </w:rPr>
                              <m:t>u</m:t>
                            </m:r>
                          </m:e>
                          <m:sub>
                            <m:r>
                              <w:rPr>
                                <w:rFonts w:ascii="Cambria Math" w:hAnsi="Cambria Math" w:cs="Arial"/>
                                <w:lang w:val="en-US"/>
                              </w:rPr>
                              <m:t>1</m:t>
                            </m:r>
                          </m:sub>
                        </m:sSub>
                        <m:r>
                          <w:rPr>
                            <w:rFonts w:ascii="Cambria Math" w:hAnsi="Cambria Math" w:cs="Arial"/>
                            <w:lang w:val="en-US"/>
                          </w:rPr>
                          <m:t>(</m:t>
                        </m:r>
                        <m:r>
                          <w:rPr>
                            <w:rFonts w:ascii="Cambria Math" w:hAnsi="Cambria Math" w:cs="Arial"/>
                          </w:rPr>
                          <m:t>t</m:t>
                        </m:r>
                        <m:r>
                          <w:rPr>
                            <w:rFonts w:ascii="Cambria Math" w:hAnsi="Cambria Math" w:cs="Arial"/>
                            <w:lang w:val="en-US"/>
                          </w:rPr>
                          <m:t>)</m:t>
                        </m:r>
                        <m:r>
                          <w:rPr>
                            <w:rFonts w:ascii="Cambria Math" w:hAnsi="Cambria Math" w:cs="Arial"/>
                          </w:rPr>
                          <m:t>x</m:t>
                        </m:r>
                      </m:e>
                      <m:sub>
                        <m:r>
                          <w:rPr>
                            <w:rFonts w:ascii="Cambria Math" w:hAnsi="Cambria Math" w:cs="Arial"/>
                            <w:lang w:val="en-US"/>
                          </w:rPr>
                          <m:t>2</m:t>
                        </m:r>
                      </m:sub>
                    </m:sSub>
                    <m:sSub>
                      <m:sSubPr>
                        <m:ctrlPr>
                          <w:rPr>
                            <w:rFonts w:ascii="Cambria Math" w:hAnsi="Cambria Math" w:cs="Arial"/>
                            <w:i/>
                            <w:iCs/>
                          </w:rPr>
                        </m:ctrlPr>
                      </m:sSubPr>
                      <m:e>
                        <m:d>
                          <m:dPr>
                            <m:ctrlPr>
                              <w:rPr>
                                <w:rFonts w:ascii="Cambria Math" w:hAnsi="Cambria Math" w:cs="Arial"/>
                                <w:i/>
                              </w:rPr>
                            </m:ctrlPr>
                          </m:dPr>
                          <m:e>
                            <m:r>
                              <w:rPr>
                                <w:rFonts w:ascii="Cambria Math" w:hAnsi="Cambria Math" w:cs="Arial"/>
                              </w:rPr>
                              <m:t>t</m:t>
                            </m:r>
                          </m:e>
                        </m:d>
                        <m:r>
                          <w:rPr>
                            <w:rFonts w:ascii="Cambria Math" w:hAnsi="Cambria Math" w:cs="Arial"/>
                            <w:lang w:val="en-US"/>
                          </w:rPr>
                          <m:t>-</m:t>
                        </m:r>
                        <m:sSub>
                          <m:sSubPr>
                            <m:ctrlPr>
                              <w:rPr>
                                <w:rFonts w:ascii="Cambria Math" w:hAnsi="Cambria Math" w:cs="Arial"/>
                                <w:i/>
                                <w:iCs/>
                              </w:rPr>
                            </m:ctrlPr>
                          </m:sSubPr>
                          <m:e>
                            <m:r>
                              <w:rPr>
                                <w:rFonts w:ascii="Cambria Math" w:hAnsi="Cambria Math" w:cs="Arial"/>
                              </w:rPr>
                              <m:t>u</m:t>
                            </m:r>
                          </m:e>
                          <m:sub>
                            <m:r>
                              <w:rPr>
                                <w:rFonts w:ascii="Cambria Math" w:hAnsi="Cambria Math" w:cs="Arial"/>
                                <w:lang w:val="en-US"/>
                              </w:rPr>
                              <m:t>2</m:t>
                            </m:r>
                          </m:sub>
                        </m:sSub>
                        <m:r>
                          <w:rPr>
                            <w:rFonts w:ascii="Cambria Math" w:hAnsi="Cambria Math" w:cs="Arial"/>
                            <w:lang w:val="en-US"/>
                          </w:rPr>
                          <m:t>(</m:t>
                        </m:r>
                        <m:r>
                          <w:rPr>
                            <w:rFonts w:ascii="Cambria Math" w:hAnsi="Cambria Math" w:cs="Arial"/>
                          </w:rPr>
                          <m:t>t</m:t>
                        </m:r>
                        <m:r>
                          <w:rPr>
                            <w:rFonts w:ascii="Cambria Math" w:hAnsi="Cambria Math" w:cs="Arial"/>
                            <w:lang w:val="en-US"/>
                          </w:rPr>
                          <m:t>)</m:t>
                        </m:r>
                        <m:r>
                          <w:rPr>
                            <w:rFonts w:ascii="Cambria Math" w:hAnsi="Cambria Math" w:cs="Arial"/>
                          </w:rPr>
                          <m:t>x</m:t>
                        </m:r>
                      </m:e>
                      <m:sub>
                        <m:r>
                          <w:rPr>
                            <w:rFonts w:ascii="Cambria Math" w:hAnsi="Cambria Math" w:cs="Arial"/>
                            <w:lang w:val="en-US"/>
                          </w:rPr>
                          <m:t>4</m:t>
                        </m:r>
                      </m:sub>
                    </m:sSub>
                    <m:r>
                      <w:rPr>
                        <w:rFonts w:ascii="Cambria Math" w:hAnsi="Cambria Math" w:cs="Arial"/>
                        <w:lang w:val="en-US"/>
                      </w:rPr>
                      <m:t>(</m:t>
                    </m:r>
                    <m:r>
                      <w:rPr>
                        <w:rFonts w:ascii="Cambria Math" w:hAnsi="Cambria Math" w:cs="Arial"/>
                      </w:rPr>
                      <m:t>t</m:t>
                    </m:r>
                    <m:r>
                      <w:rPr>
                        <w:rFonts w:ascii="Cambria Math" w:hAnsi="Cambria Math" w:cs="Arial"/>
                        <w:lang w:val="en-US"/>
                      </w:rPr>
                      <m:t>)</m:t>
                    </m:r>
                  </m:e>
                </m:eqArr>
              </m:e>
              <m:e>
                <m:r>
                  <w:rPr>
                    <w:rFonts w:ascii="Cambria Math" w:hAnsi="Cambria Math" w:cs="Arial"/>
                    <w:lang w:val="en-US"/>
                  </w:rPr>
                  <m:t xml:space="preserve">    </m:t>
                </m:r>
                <m:sSub>
                  <m:sSubPr>
                    <m:ctrlPr>
                      <w:rPr>
                        <w:rFonts w:ascii="Cambria Math" w:hAnsi="Cambria Math" w:cs="Arial"/>
                        <w:i/>
                        <w:iCs/>
                      </w:rPr>
                    </m:ctrlPr>
                  </m:sSubPr>
                  <m:e>
                    <m:sSub>
                      <m:sSubPr>
                        <m:ctrlPr>
                          <w:rPr>
                            <w:rFonts w:ascii="Cambria Math" w:hAnsi="Cambria Math" w:cs="Arial"/>
                            <w:i/>
                            <w:iCs/>
                          </w:rPr>
                        </m:ctrlPr>
                      </m:sSubPr>
                      <m:e>
                        <m:r>
                          <w:rPr>
                            <w:rFonts w:ascii="Cambria Math" w:hAnsi="Cambria Math" w:cs="Arial"/>
                          </w:rPr>
                          <m:t>u</m:t>
                        </m:r>
                      </m:e>
                      <m:sub>
                        <m:r>
                          <w:rPr>
                            <w:rFonts w:ascii="Cambria Math" w:hAnsi="Cambria Math" w:cs="Arial"/>
                            <w:lang w:val="en-US"/>
                          </w:rPr>
                          <m:t>1</m:t>
                        </m:r>
                      </m:sub>
                    </m:sSub>
                    <m:d>
                      <m:dPr>
                        <m:ctrlPr>
                          <w:rPr>
                            <w:rFonts w:ascii="Cambria Math" w:hAnsi="Cambria Math" w:cs="Arial"/>
                            <w:i/>
                            <w:iCs/>
                          </w:rPr>
                        </m:ctrlPr>
                      </m:dPr>
                      <m:e>
                        <m:r>
                          <w:rPr>
                            <w:rFonts w:ascii="Cambria Math" w:hAnsi="Cambria Math" w:cs="Arial"/>
                          </w:rPr>
                          <m:t>t</m:t>
                        </m:r>
                      </m:e>
                    </m:d>
                    <m:r>
                      <w:rPr>
                        <w:rFonts w:ascii="Cambria Math" w:hAnsi="Cambria Math" w:cs="Arial"/>
                      </w:rPr>
                      <m:t>x</m:t>
                    </m:r>
                  </m:e>
                  <m:sub>
                    <m:r>
                      <w:rPr>
                        <w:rFonts w:ascii="Cambria Math" w:hAnsi="Cambria Math" w:cs="Arial"/>
                        <w:lang w:val="en-US"/>
                      </w:rPr>
                      <m:t>1</m:t>
                    </m:r>
                  </m:sub>
                </m:sSub>
                <m:d>
                  <m:dPr>
                    <m:ctrlPr>
                      <w:rPr>
                        <w:rFonts w:ascii="Cambria Math" w:hAnsi="Cambria Math" w:cs="Arial"/>
                        <w:i/>
                        <w:iCs/>
                      </w:rPr>
                    </m:ctrlPr>
                  </m:dPr>
                  <m:e>
                    <m:r>
                      <w:rPr>
                        <w:rFonts w:ascii="Cambria Math" w:hAnsi="Cambria Math" w:cs="Arial"/>
                      </w:rPr>
                      <m:t>t</m:t>
                    </m:r>
                  </m:e>
                </m:d>
                <m:sSub>
                  <m:sSubPr>
                    <m:ctrlPr>
                      <w:rPr>
                        <w:rFonts w:ascii="Cambria Math" w:hAnsi="Cambria Math" w:cs="Arial"/>
                        <w:i/>
                        <w:iCs/>
                      </w:rPr>
                    </m:ctrlPr>
                  </m:sSubPr>
                  <m:e>
                    <m:r>
                      <w:rPr>
                        <w:rFonts w:ascii="Cambria Math" w:hAnsi="Cambria Math" w:cs="Arial"/>
                        <w:lang w:val="en-US"/>
                      </w:rPr>
                      <m:t>+</m:t>
                    </m:r>
                    <m:sSub>
                      <m:sSubPr>
                        <m:ctrlPr>
                          <w:rPr>
                            <w:rFonts w:ascii="Cambria Math" w:hAnsi="Cambria Math" w:cs="Arial"/>
                            <w:i/>
                            <w:iCs/>
                          </w:rPr>
                        </m:ctrlPr>
                      </m:sSubPr>
                      <m:e>
                        <m:r>
                          <w:rPr>
                            <w:rFonts w:ascii="Cambria Math" w:hAnsi="Cambria Math" w:cs="Arial"/>
                          </w:rPr>
                          <m:t>u</m:t>
                        </m:r>
                      </m:e>
                      <m:sub>
                        <m:r>
                          <w:rPr>
                            <w:rFonts w:ascii="Cambria Math" w:hAnsi="Cambria Math" w:cs="Arial"/>
                            <w:lang w:val="en-US"/>
                          </w:rPr>
                          <m:t>2</m:t>
                        </m:r>
                      </m:sub>
                    </m:sSub>
                    <m:d>
                      <m:dPr>
                        <m:ctrlPr>
                          <w:rPr>
                            <w:rFonts w:ascii="Cambria Math" w:hAnsi="Cambria Math" w:cs="Arial"/>
                            <w:i/>
                            <w:iCs/>
                          </w:rPr>
                        </m:ctrlPr>
                      </m:dPr>
                      <m:e>
                        <m:r>
                          <w:rPr>
                            <w:rFonts w:ascii="Cambria Math" w:hAnsi="Cambria Math" w:cs="Arial"/>
                          </w:rPr>
                          <m:t>t</m:t>
                        </m:r>
                      </m:e>
                    </m:d>
                    <m:r>
                      <w:rPr>
                        <w:rFonts w:ascii="Cambria Math" w:hAnsi="Cambria Math" w:cs="Arial"/>
                      </w:rPr>
                      <m:t>x</m:t>
                    </m:r>
                  </m:e>
                  <m:sub>
                    <m:r>
                      <w:rPr>
                        <w:rFonts w:ascii="Cambria Math" w:hAnsi="Cambria Math" w:cs="Arial"/>
                        <w:lang w:val="en-US"/>
                      </w:rPr>
                      <m:t>3</m:t>
                    </m:r>
                  </m:sub>
                </m:sSub>
                <m:d>
                  <m:dPr>
                    <m:ctrlPr>
                      <w:rPr>
                        <w:rFonts w:ascii="Cambria Math" w:hAnsi="Cambria Math" w:cs="Arial"/>
                        <w:i/>
                        <w:iCs/>
                      </w:rPr>
                    </m:ctrlPr>
                  </m:dPr>
                  <m:e>
                    <m:r>
                      <w:rPr>
                        <w:rFonts w:ascii="Cambria Math" w:hAnsi="Cambria Math" w:cs="Arial"/>
                      </w:rPr>
                      <m:t>t</m:t>
                    </m:r>
                  </m:e>
                </m:d>
                <m:r>
                  <w:rPr>
                    <w:rFonts w:ascii="Cambria Math" w:hAnsi="Cambria Math" w:cs="Arial"/>
                    <w:lang w:val="en-US"/>
                  </w:rPr>
                  <m:t xml:space="preserve">  </m:t>
                </m:r>
              </m:e>
            </m:eqArr>
          </m:e>
        </m:d>
        <m:r>
          <w:rPr>
            <w:rFonts w:ascii="Cambria Math" w:hAnsi="Cambria Math" w:cs="Arial"/>
          </w:rPr>
          <m:t>dW</m:t>
        </m:r>
        <m:r>
          <w:rPr>
            <w:rFonts w:ascii="Cambria Math" w:hAnsi="Cambria Math" w:cs="Arial"/>
            <w:lang w:val="en-US"/>
          </w:rPr>
          <m:t xml:space="preserve">                 </m:t>
        </m:r>
        <m:d>
          <m:dPr>
            <m:ctrlPr>
              <w:rPr>
                <w:rFonts w:ascii="Cambria Math" w:hAnsi="Cambria Math" w:cs="Arial"/>
                <w:i/>
                <w:iCs/>
              </w:rPr>
            </m:ctrlPr>
          </m:dPr>
          <m:e>
            <m:r>
              <w:rPr>
                <w:rFonts w:ascii="Cambria Math" w:hAnsi="Cambria Math" w:cs="Arial"/>
                <w:lang w:val="en-US"/>
              </w:rPr>
              <m:t>2</m:t>
            </m:r>
          </m:e>
        </m:d>
      </m:oMath>
    </w:p>
    <w:p w:rsidR="002429F5" w:rsidRPr="002429F5" w:rsidRDefault="002429F5" w:rsidP="002429F5">
      <w:pPr>
        <w:jc w:val="both"/>
        <w:rPr>
          <w:rFonts w:ascii="Arial" w:hAnsi="Arial" w:cs="Arial"/>
          <w:iCs/>
          <w:lang w:val="en-US"/>
        </w:rPr>
      </w:pPr>
    </w:p>
    <w:p w:rsidR="002429F5" w:rsidRPr="002429F5" w:rsidRDefault="002429F5" w:rsidP="002429F5">
      <w:pPr>
        <w:jc w:val="both"/>
        <w:rPr>
          <w:rFonts w:ascii="Arial" w:hAnsi="Arial" w:cs="Arial"/>
          <w:iCs/>
          <w:lang w:val="en-US"/>
        </w:rPr>
      </w:pPr>
      <w:r w:rsidRPr="002429F5">
        <w:rPr>
          <w:rFonts w:ascii="Arial" w:hAnsi="Arial" w:cs="Arial"/>
          <w:iCs/>
          <w:lang w:val="en-US"/>
        </w:rPr>
        <w:t>that is to say, written in integral form:</w:t>
      </w:r>
    </w:p>
    <w:p w:rsidR="002429F5" w:rsidRPr="002429F5" w:rsidRDefault="002429F5" w:rsidP="002429F5">
      <w:pPr>
        <w:jc w:val="both"/>
        <w:rPr>
          <w:rFonts w:ascii="Arial" w:hAnsi="Arial" w:cs="Arial"/>
          <w:iCs/>
          <w:lang w:val="en-US"/>
        </w:rPr>
      </w:pPr>
    </w:p>
    <w:p w:rsidR="002429F5" w:rsidRPr="00225F68" w:rsidRDefault="002429F5" w:rsidP="002429F5">
      <w:pPr>
        <w:jc w:val="both"/>
        <w:rPr>
          <w:rFonts w:ascii="Arial" w:hAnsi="Arial" w:cs="Arial"/>
          <w:iCs/>
        </w:rPr>
      </w:pPr>
      <m:oMathPara>
        <m:oMathParaPr>
          <m:jc m:val="center"/>
        </m:oMathParaPr>
        <m:oMath>
          <m:r>
            <w:rPr>
              <w:rFonts w:ascii="Cambria Math" w:hAnsi="Cambria Math" w:cs="Arial"/>
            </w:rPr>
            <m:t>x</m:t>
          </m:r>
          <m:d>
            <m:dPr>
              <m:ctrlPr>
                <w:rPr>
                  <w:rFonts w:ascii="Cambria Math" w:hAnsi="Cambria Math" w:cs="Arial"/>
                  <w:i/>
                  <w:iCs/>
                </w:rPr>
              </m:ctrlPr>
            </m:dPr>
            <m:e>
              <m:r>
                <w:rPr>
                  <w:rFonts w:ascii="Cambria Math" w:hAnsi="Cambria Math" w:cs="Arial"/>
                </w:rPr>
                <m:t>t</m:t>
              </m:r>
            </m:e>
          </m:d>
          <m: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0</m:t>
              </m:r>
            </m:sub>
          </m:sSub>
          <m:r>
            <w:rPr>
              <w:rFonts w:ascii="Cambria Math" w:hAnsi="Cambria Math" w:cs="Arial"/>
            </w:rPr>
            <m:t>+</m:t>
          </m:r>
          <m:nary>
            <m:naryPr>
              <m:limLoc m:val="subSup"/>
              <m:ctrlPr>
                <w:rPr>
                  <w:rFonts w:ascii="Cambria Math" w:hAnsi="Cambria Math" w:cs="Arial"/>
                  <w:i/>
                  <w:iCs/>
                </w:rPr>
              </m:ctrlPr>
            </m:naryPr>
            <m:sub>
              <m:r>
                <w:rPr>
                  <w:rFonts w:ascii="Cambria Math" w:hAnsi="Cambria Math" w:cs="Arial"/>
                </w:rPr>
                <m:t>0</m:t>
              </m:r>
            </m:sub>
            <m:sup>
              <m:r>
                <w:rPr>
                  <w:rFonts w:ascii="Cambria Math" w:hAnsi="Cambria Math" w:cs="Arial"/>
                </w:rPr>
                <m:t>t</m:t>
              </m:r>
            </m:sup>
            <m:e>
              <m:sSub>
                <m:sSubPr>
                  <m:ctrlPr>
                    <w:rPr>
                      <w:rFonts w:ascii="Cambria Math" w:hAnsi="Cambria Math" w:cs="Arial"/>
                      <w:i/>
                      <w:iCs/>
                    </w:rPr>
                  </m:ctrlPr>
                </m:sSubPr>
                <m:e>
                  <m:r>
                    <w:rPr>
                      <w:rFonts w:ascii="Cambria Math" w:hAnsi="Cambria Math" w:cs="Arial"/>
                    </w:rPr>
                    <m:t>S</m:t>
                  </m:r>
                </m:e>
                <m:sub>
                  <m:r>
                    <w:rPr>
                      <w:rFonts w:ascii="Cambria Math" w:hAnsi="Cambria Math" w:cs="Arial"/>
                    </w:rPr>
                    <m:t>3</m:t>
                  </m:r>
                </m:sub>
              </m:sSub>
              <m:r>
                <w:rPr>
                  <w:rFonts w:ascii="Cambria Math" w:hAnsi="Cambria Math" w:cs="Arial"/>
                </w:rPr>
                <m:t>x</m:t>
              </m:r>
              <m:d>
                <m:dPr>
                  <m:ctrlPr>
                    <w:rPr>
                      <w:rFonts w:ascii="Cambria Math" w:hAnsi="Cambria Math" w:cs="Arial"/>
                      <w:i/>
                      <w:iCs/>
                    </w:rPr>
                  </m:ctrlPr>
                </m:dPr>
                <m:e>
                  <m:r>
                    <w:rPr>
                      <w:rFonts w:ascii="Cambria Math" w:hAnsi="Cambria Math" w:cs="Arial"/>
                    </w:rPr>
                    <m:t>s</m:t>
                  </m:r>
                </m:e>
              </m:d>
            </m:e>
          </m:nary>
          <m:r>
            <w:rPr>
              <w:rFonts w:ascii="Cambria Math" w:hAnsi="Cambria Math" w:cs="Arial"/>
            </w:rPr>
            <m:t xml:space="preserve"> ds+</m:t>
          </m:r>
          <m:nary>
            <m:naryPr>
              <m:limLoc m:val="subSup"/>
              <m:ctrlPr>
                <w:rPr>
                  <w:rFonts w:ascii="Cambria Math" w:hAnsi="Cambria Math" w:cs="Arial"/>
                  <w:i/>
                  <w:iCs/>
                </w:rPr>
              </m:ctrlPr>
            </m:naryPr>
            <m:sub>
              <m:r>
                <w:rPr>
                  <w:rFonts w:ascii="Cambria Math" w:hAnsi="Cambria Math" w:cs="Arial"/>
                </w:rPr>
                <m:t>0</m:t>
              </m:r>
            </m:sub>
            <m:sup>
              <m:r>
                <w:rPr>
                  <w:rFonts w:ascii="Cambria Math" w:hAnsi="Cambria Math" w:cs="Arial"/>
                </w:rPr>
                <m:t>t</m:t>
              </m:r>
            </m:sup>
            <m:e>
              <m:sSub>
                <m:sSubPr>
                  <m:ctrlPr>
                    <w:rPr>
                      <w:rFonts w:ascii="Cambria Math" w:hAnsi="Cambria Math" w:cs="Arial"/>
                      <w:i/>
                      <w:iCs/>
                    </w:rPr>
                  </m:ctrlPr>
                </m:sSubPr>
                <m:e>
                  <m:r>
                    <w:rPr>
                      <w:rFonts w:ascii="Cambria Math" w:hAnsi="Cambria Math" w:cs="Arial"/>
                    </w:rPr>
                    <m:t>(S</m:t>
                  </m:r>
                </m:e>
                <m:sub>
                  <m:r>
                    <w:rPr>
                      <w:rFonts w:ascii="Cambria Math" w:hAnsi="Cambria Math" w:cs="Arial"/>
                    </w:rPr>
                    <m:t>2</m:t>
                  </m:r>
                </m:sub>
              </m:sSub>
              <m:sSub>
                <m:sSubPr>
                  <m:ctrlPr>
                    <w:rPr>
                      <w:rFonts w:ascii="Cambria Math" w:hAnsi="Cambria Math" w:cs="Arial"/>
                      <w:i/>
                      <w:iCs/>
                    </w:rPr>
                  </m:ctrlPr>
                </m:sSubPr>
                <m:e>
                  <m:r>
                    <w:rPr>
                      <w:rFonts w:ascii="Cambria Math" w:hAnsi="Cambria Math" w:cs="Arial"/>
                    </w:rPr>
                    <m:t>u</m:t>
                  </m:r>
                </m:e>
                <m:sub>
                  <m:r>
                    <w:rPr>
                      <w:rFonts w:ascii="Cambria Math" w:hAnsi="Cambria Math" w:cs="Arial"/>
                    </w:rPr>
                    <m:t>2</m:t>
                  </m:r>
                </m:sub>
              </m:sSub>
              <m:d>
                <m:dPr>
                  <m:ctrlPr>
                    <w:rPr>
                      <w:rFonts w:ascii="Cambria Math" w:hAnsi="Cambria Math" w:cs="Arial"/>
                      <w:i/>
                      <w:iCs/>
                    </w:rPr>
                  </m:ctrlPr>
                </m:dPr>
                <m:e>
                  <m:r>
                    <w:rPr>
                      <w:rFonts w:ascii="Cambria Math" w:hAnsi="Cambria Math" w:cs="Arial"/>
                    </w:rPr>
                    <m:t>s</m:t>
                  </m:r>
                </m:e>
              </m:d>
              <m:r>
                <w:rPr>
                  <w:rFonts w:ascii="Cambria Math" w:hAnsi="Cambria Math" w:cs="Arial"/>
                </w:rPr>
                <m:t>+</m:t>
              </m:r>
              <m:sSub>
                <m:sSubPr>
                  <m:ctrlPr>
                    <w:rPr>
                      <w:rFonts w:ascii="Cambria Math" w:hAnsi="Cambria Math" w:cs="Arial"/>
                      <w:i/>
                      <w:iCs/>
                    </w:rPr>
                  </m:ctrlPr>
                </m:sSubPr>
                <m:e>
                  <m:r>
                    <w:rPr>
                      <w:rFonts w:ascii="Cambria Math" w:hAnsi="Cambria Math" w:cs="Arial"/>
                    </w:rPr>
                    <m:t>S</m:t>
                  </m:r>
                </m:e>
                <m:sub>
                  <m:r>
                    <w:rPr>
                      <w:rFonts w:ascii="Cambria Math" w:hAnsi="Cambria Math" w:cs="Arial"/>
                    </w:rPr>
                    <m:t>1</m:t>
                  </m:r>
                </m:sub>
              </m:sSub>
              <m:sSub>
                <m:sSubPr>
                  <m:ctrlPr>
                    <w:rPr>
                      <w:rFonts w:ascii="Cambria Math" w:hAnsi="Cambria Math" w:cs="Arial"/>
                      <w:i/>
                      <w:iCs/>
                    </w:rPr>
                  </m:ctrlPr>
                </m:sSubPr>
                <m:e>
                  <m:r>
                    <w:rPr>
                      <w:rFonts w:ascii="Cambria Math" w:hAnsi="Cambria Math" w:cs="Arial"/>
                    </w:rPr>
                    <m:t>u</m:t>
                  </m:r>
                </m:e>
                <m:sub>
                  <m:r>
                    <w:rPr>
                      <w:rFonts w:ascii="Cambria Math" w:hAnsi="Cambria Math" w:cs="Arial"/>
                    </w:rPr>
                    <m:t>1</m:t>
                  </m:r>
                </m:sub>
              </m:sSub>
              <m:d>
                <m:dPr>
                  <m:ctrlPr>
                    <w:rPr>
                      <w:rFonts w:ascii="Cambria Math" w:hAnsi="Cambria Math" w:cs="Arial"/>
                      <w:i/>
                      <w:iCs/>
                    </w:rPr>
                  </m:ctrlPr>
                </m:dPr>
                <m:e>
                  <m:r>
                    <w:rPr>
                      <w:rFonts w:ascii="Cambria Math" w:hAnsi="Cambria Math" w:cs="Arial"/>
                    </w:rPr>
                    <m:t>s</m:t>
                  </m:r>
                </m:e>
              </m:d>
              <m:r>
                <w:rPr>
                  <w:rFonts w:ascii="Cambria Math" w:hAnsi="Cambria Math" w:cs="Arial"/>
                </w:rPr>
                <m:t>)x</m:t>
              </m:r>
              <m:d>
                <m:dPr>
                  <m:ctrlPr>
                    <w:rPr>
                      <w:rFonts w:ascii="Cambria Math" w:hAnsi="Cambria Math" w:cs="Arial"/>
                      <w:i/>
                      <w:iCs/>
                    </w:rPr>
                  </m:ctrlPr>
                </m:dPr>
                <m:e>
                  <m:r>
                    <w:rPr>
                      <w:rFonts w:ascii="Cambria Math" w:hAnsi="Cambria Math" w:cs="Arial"/>
                    </w:rPr>
                    <m:t>s</m:t>
                  </m:r>
                </m:e>
              </m:d>
              <m:r>
                <w:rPr>
                  <w:rFonts w:ascii="Cambria Math" w:hAnsi="Cambria Math" w:cs="Arial"/>
                </w:rPr>
                <m:t xml:space="preserve"> dW(s)</m:t>
              </m:r>
            </m:e>
          </m:nary>
          <m:r>
            <w:rPr>
              <w:rFonts w:ascii="Cambria Math" w:hAnsi="Cambria Math" w:cs="Arial"/>
            </w:rPr>
            <m:t xml:space="preserve">,     0≤t≤T  </m:t>
          </m:r>
        </m:oMath>
      </m:oMathPara>
    </w:p>
    <w:p w:rsidR="002429F5" w:rsidRPr="00954C9A" w:rsidRDefault="002429F5" w:rsidP="002429F5">
      <w:pPr>
        <w:rPr>
          <w:rFonts w:ascii="Arial" w:hAnsi="Arial" w:cs="Arial"/>
          <w:iCs/>
        </w:rPr>
      </w:pPr>
    </w:p>
    <w:p w:rsidR="002429F5" w:rsidRPr="002429F5" w:rsidRDefault="002429F5" w:rsidP="002429F5">
      <w:pPr>
        <w:jc w:val="both"/>
        <w:rPr>
          <w:rFonts w:ascii="Arial" w:hAnsi="Arial" w:cs="Arial"/>
          <w:iCs/>
          <w:lang w:val="en-US"/>
        </w:rPr>
      </w:pPr>
      <w:r w:rsidRPr="002429F5">
        <w:rPr>
          <w:rFonts w:ascii="Arial" w:hAnsi="Arial" w:cs="Arial"/>
          <w:iCs/>
          <w:lang w:val="en-US"/>
        </w:rPr>
        <w:t xml:space="preserve">In [1], we use the Euler-Maruyama method to find a numerical solution of (2). </w:t>
      </w:r>
    </w:p>
    <w:p w:rsidR="002429F5" w:rsidRPr="002429F5" w:rsidRDefault="002429F5" w:rsidP="002429F5">
      <w:pPr>
        <w:rPr>
          <w:lang w:val="en-US"/>
        </w:rPr>
      </w:pPr>
      <w:r w:rsidRPr="002429F5">
        <w:rPr>
          <w:rFonts w:ascii="Arial" w:hAnsi="Arial" w:cs="Arial"/>
          <w:iCs/>
          <w:lang w:val="en-US"/>
        </w:rPr>
        <w:t xml:space="preserve">     </w:t>
      </w:r>
    </w:p>
    <w:p w:rsidR="002429F5" w:rsidRPr="00B45118" w:rsidRDefault="002429F5" w:rsidP="002429F5">
      <w:pPr>
        <w:pStyle w:val="Ttulo1"/>
        <w:keepLines w:val="0"/>
        <w:numPr>
          <w:ilvl w:val="0"/>
          <w:numId w:val="1"/>
        </w:numPr>
        <w:tabs>
          <w:tab w:val="clear" w:pos="432"/>
          <w:tab w:val="left" w:pos="0"/>
        </w:tabs>
        <w:suppressAutoHyphens/>
        <w:spacing w:before="0" w:after="0" w:line="360" w:lineRule="auto"/>
        <w:ind w:left="0" w:firstLine="0"/>
        <w:rPr>
          <w:rFonts w:ascii="Arial" w:hAnsi="Arial" w:cs="Arial"/>
          <w:b/>
          <w:caps/>
          <w:sz w:val="24"/>
          <w:szCs w:val="24"/>
        </w:rPr>
      </w:pPr>
      <w:bookmarkStart w:id="100" w:name="_Toc50031215"/>
      <w:r w:rsidRPr="00B45118">
        <w:rPr>
          <w:rFonts w:ascii="Arial" w:hAnsi="Arial" w:cs="Arial"/>
          <w:caps/>
          <w:sz w:val="24"/>
          <w:szCs w:val="24"/>
        </w:rPr>
        <w:t xml:space="preserve">2.1 </w:t>
      </w:r>
      <w:r w:rsidRPr="00B45118">
        <w:rPr>
          <w:rFonts w:ascii="Arial" w:hAnsi="Arial" w:cs="Arial"/>
          <w:sz w:val="24"/>
          <w:szCs w:val="24"/>
        </w:rPr>
        <w:t>Euler-Maruyama method</w:t>
      </w:r>
      <w:bookmarkEnd w:id="100"/>
    </w:p>
    <w:p w:rsidR="002429F5" w:rsidRPr="002429F5" w:rsidRDefault="002429F5" w:rsidP="002429F5">
      <w:pPr>
        <w:jc w:val="both"/>
        <w:rPr>
          <w:rFonts w:ascii="Arial" w:hAnsi="Arial" w:cs="Arial"/>
          <w:iCs/>
          <w:lang w:val="en-US"/>
        </w:rPr>
      </w:pPr>
      <w:r w:rsidRPr="002429F5">
        <w:rPr>
          <w:rFonts w:ascii="Arial" w:hAnsi="Arial" w:cs="Arial"/>
          <w:iCs/>
          <w:lang w:val="en-US"/>
        </w:rPr>
        <w:t xml:space="preserve">     In the context of the optimal control, equation (2) represents a stochastic controlled coupled differential system whose analytic solution cannot be found, so a numerical solution is needed.  The Euler-Maruyama method is the simplest numerical method for solving stochastic differential equations. Let </w:t>
      </w:r>
      <w:r w:rsidRPr="00954C9A">
        <w:rPr>
          <w:rFonts w:ascii="Arial" w:hAnsi="Arial" w:cs="Arial"/>
          <w:iCs/>
        </w:rPr>
        <w:sym w:font="Symbol" w:char="F07C"/>
      </w:r>
      <w:r w:rsidRPr="00954C9A">
        <w:rPr>
          <w:rFonts w:ascii="Arial" w:hAnsi="Arial" w:cs="Arial"/>
          <w:iCs/>
        </w:rPr>
        <w:sym w:font="Symbol" w:char="F07C"/>
      </w:r>
      <w:r w:rsidRPr="002429F5">
        <w:rPr>
          <w:rFonts w:ascii="Arial" w:hAnsi="Arial" w:cs="Arial"/>
          <w:iCs/>
          <w:lang w:val="en-US"/>
        </w:rPr>
        <w:t xml:space="preserve"> </w:t>
      </w:r>
      <w:r w:rsidRPr="00954C9A">
        <w:rPr>
          <w:rFonts w:ascii="Arial" w:hAnsi="Arial" w:cs="Arial"/>
          <w:iCs/>
        </w:rPr>
        <w:sym w:font="Symbol" w:char="F07C"/>
      </w:r>
      <w:r w:rsidRPr="00954C9A">
        <w:rPr>
          <w:rFonts w:ascii="Arial" w:hAnsi="Arial" w:cs="Arial"/>
          <w:iCs/>
        </w:rPr>
        <w:sym w:font="Symbol" w:char="F07C"/>
      </w:r>
      <w:r w:rsidRPr="002429F5">
        <w:rPr>
          <w:rFonts w:ascii="Arial" w:hAnsi="Arial" w:cs="Arial"/>
          <w:iCs/>
          <w:lang w:val="en-US"/>
        </w:rPr>
        <w:t xml:space="preserve"> be the Euclidean norm in </w:t>
      </w:r>
      <m:oMath>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rPr>
              <m:t>n</m:t>
            </m:r>
          </m:sup>
        </m:sSup>
      </m:oMath>
      <w:r w:rsidRPr="002429F5">
        <w:rPr>
          <w:rFonts w:ascii="Arial" w:hAnsi="Arial" w:cs="Arial"/>
          <w:iCs/>
          <w:lang w:val="en-US"/>
        </w:rPr>
        <w:t xml:space="preserve"> and let’s consider the trace as the norm in </w:t>
      </w:r>
      <m:oMath>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rPr>
              <m:t>nm</m:t>
            </m:r>
          </m:sup>
        </m:sSup>
      </m:oMath>
      <w:r w:rsidRPr="002429F5">
        <w:rPr>
          <w:rFonts w:ascii="Arial" w:hAnsi="Arial" w:cs="Arial"/>
          <w:iCs/>
          <w:lang w:val="en-US"/>
        </w:rPr>
        <w:t xml:space="preserve">. </w:t>
      </w:r>
    </w:p>
    <w:p w:rsidR="002429F5" w:rsidRPr="002429F5" w:rsidRDefault="002429F5" w:rsidP="002429F5">
      <w:pPr>
        <w:jc w:val="both"/>
        <w:rPr>
          <w:rFonts w:ascii="Arial" w:hAnsi="Arial" w:cs="Arial"/>
          <w:iCs/>
          <w:lang w:val="en-US"/>
        </w:rPr>
      </w:pPr>
      <w:r w:rsidRPr="002429F5">
        <w:rPr>
          <w:rFonts w:ascii="Arial" w:hAnsi="Arial" w:cs="Arial"/>
          <w:iCs/>
          <w:lang w:val="en-US"/>
        </w:rPr>
        <w:t xml:space="preserve">     The Euler-Maruyama method is obtained by truncating the Itô’s formula of the stochastic Taylor series after the first terms. Denoting </w:t>
      </w:r>
      <m:oMath>
        <m:sSub>
          <m:sSubPr>
            <m:ctrlPr>
              <w:rPr>
                <w:rFonts w:ascii="Cambria Math" w:hAnsi="Cambria Math" w:cs="Arial"/>
                <w:i/>
                <w:iCs/>
              </w:rPr>
            </m:ctrlPr>
          </m:sSubPr>
          <m:e>
            <m:r>
              <w:rPr>
                <w:rFonts w:ascii="Cambria Math" w:hAnsi="Cambria Math" w:cs="Arial"/>
              </w:rPr>
              <m:t>x</m:t>
            </m:r>
          </m:e>
          <m:sub>
            <m:r>
              <w:rPr>
                <w:rFonts w:ascii="Cambria Math" w:hAnsi="Cambria Math" w:cs="Arial"/>
              </w:rPr>
              <m:t>k</m:t>
            </m:r>
          </m:sub>
        </m:sSub>
        <m:r>
          <w:rPr>
            <w:rFonts w:ascii="Cambria Math" w:hAnsi="Cambria Math" w:cs="Arial"/>
            <w:lang w:val="en-US"/>
          </w:rPr>
          <m:t>=</m:t>
        </m:r>
        <m:r>
          <w:rPr>
            <w:rFonts w:ascii="Cambria Math" w:hAnsi="Cambria Math" w:cs="Arial"/>
          </w:rPr>
          <m:t>x</m:t>
        </m:r>
        <m:d>
          <m:dPr>
            <m:ctrlPr>
              <w:rPr>
                <w:rFonts w:ascii="Cambria Math" w:hAnsi="Cambria Math" w:cs="Arial"/>
                <w:i/>
                <w:iCs/>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k</m:t>
                </m:r>
              </m:sub>
            </m:sSub>
          </m:e>
        </m:d>
      </m:oMath>
      <w:r w:rsidRPr="002429F5">
        <w:rPr>
          <w:rFonts w:ascii="Arial" w:hAnsi="Arial" w:cs="Arial"/>
          <w:iCs/>
          <w:lang w:val="en-US"/>
        </w:rPr>
        <w:t xml:space="preserve">, this method computes discrete- approximations  </w:t>
      </w:r>
      <m:oMath>
        <m:sSub>
          <m:sSubPr>
            <m:ctrlPr>
              <w:rPr>
                <w:rFonts w:ascii="Cambria Math" w:hAnsi="Cambria Math" w:cs="Arial"/>
                <w:i/>
                <w:iCs/>
              </w:rPr>
            </m:ctrlPr>
          </m:sSubPr>
          <m:e>
            <m:r>
              <w:rPr>
                <w:rFonts w:ascii="Cambria Math" w:hAnsi="Cambria Math" w:cs="Arial"/>
              </w:rPr>
              <m:t>x</m:t>
            </m:r>
          </m:e>
          <m:sub>
            <m:r>
              <w:rPr>
                <w:rFonts w:ascii="Cambria Math" w:hAnsi="Cambria Math" w:cs="Arial"/>
              </w:rPr>
              <m:t>k</m:t>
            </m:r>
            <m:r>
              <w:rPr>
                <w:rFonts w:ascii="Cambria Math" w:hAnsi="Cambria Math" w:cs="Arial"/>
                <w:lang w:val="en-US"/>
              </w:rPr>
              <m:t>+1</m:t>
            </m:r>
          </m:sub>
        </m:sSub>
        <m:r>
          <w:rPr>
            <w:rFonts w:ascii="Cambria Math" w:hAnsi="Cambria Math" w:cs="Arial"/>
            <w:i/>
            <w:iCs/>
          </w:rPr>
          <w:sym w:font="Symbol" w:char="F0BB"/>
        </m:r>
        <m:r>
          <w:rPr>
            <w:rFonts w:ascii="Cambria Math" w:hAnsi="Cambria Math" w:cs="Arial"/>
            <w:lang w:val="en-US"/>
          </w:rPr>
          <m:t xml:space="preserve"> </m:t>
        </m:r>
        <m:sSub>
          <m:sSubPr>
            <m:ctrlPr>
              <w:rPr>
                <w:rFonts w:ascii="Cambria Math" w:hAnsi="Cambria Math" w:cs="Arial"/>
                <w:i/>
                <w:iCs/>
              </w:rPr>
            </m:ctrlPr>
          </m:sSubPr>
          <m:e>
            <m:r>
              <w:rPr>
                <w:rFonts w:ascii="Cambria Math" w:hAnsi="Cambria Math" w:cs="Arial"/>
              </w:rPr>
              <m:t>x</m:t>
            </m:r>
          </m:e>
          <m:sub>
            <m:r>
              <w:rPr>
                <w:rFonts w:ascii="Cambria Math" w:hAnsi="Cambria Math" w:cs="Arial"/>
              </w:rPr>
              <m:t>k</m:t>
            </m:r>
          </m:sub>
        </m:sSub>
        <m:d>
          <m:dPr>
            <m:ctrlPr>
              <w:rPr>
                <w:rFonts w:ascii="Cambria Math" w:hAnsi="Cambria Math" w:cs="Arial"/>
                <w:i/>
                <w:iCs/>
              </w:rPr>
            </m:ctrlPr>
          </m:dPr>
          <m:e>
            <m:r>
              <w:rPr>
                <w:rFonts w:ascii="Cambria Math" w:hAnsi="Cambria Math" w:cs="Arial"/>
              </w:rPr>
              <m:t>k</m:t>
            </m:r>
            <m:r>
              <w:rPr>
                <w:rFonts w:ascii="Cambria Math" w:hAnsi="Cambria Math" w:cs="Arial"/>
                <w:i/>
                <w:iCs/>
              </w:rPr>
              <w:sym w:font="Symbol" w:char="F044"/>
            </m:r>
            <m:r>
              <w:rPr>
                <w:rFonts w:ascii="Cambria Math" w:hAnsi="Cambria Math" w:cs="Arial"/>
              </w:rPr>
              <m:t>t</m:t>
            </m:r>
          </m:e>
        </m:d>
      </m:oMath>
      <w:r w:rsidRPr="002429F5">
        <w:rPr>
          <w:rFonts w:ascii="Arial" w:hAnsi="Arial" w:cs="Arial"/>
          <w:iCs/>
          <w:lang w:val="en-US"/>
        </w:rPr>
        <w:t xml:space="preserve">, selecting a grid of </w:t>
      </w:r>
      <w:r w:rsidRPr="00954C9A">
        <w:rPr>
          <w:rFonts w:ascii="Arial" w:hAnsi="Arial" w:cs="Arial"/>
          <w:iCs/>
        </w:rPr>
        <w:sym w:font="Symbol" w:char="F05B"/>
      </w:r>
      <w:r w:rsidRPr="002429F5">
        <w:rPr>
          <w:rFonts w:ascii="Arial" w:hAnsi="Arial" w:cs="Arial"/>
          <w:iCs/>
          <w:lang w:val="en-US"/>
        </w:rPr>
        <w:t>0, T</w:t>
      </w:r>
      <w:r w:rsidRPr="00954C9A">
        <w:rPr>
          <w:rFonts w:ascii="Arial" w:hAnsi="Arial" w:cs="Arial"/>
          <w:iCs/>
        </w:rPr>
        <w:sym w:font="Symbol" w:char="F05D"/>
      </w:r>
      <w:r w:rsidRPr="002429F5">
        <w:rPr>
          <w:rFonts w:ascii="Arial" w:hAnsi="Arial" w:cs="Arial"/>
          <w:iCs/>
          <w:lang w:val="en-US"/>
        </w:rPr>
        <w:t xml:space="preserve"> : </w:t>
      </w:r>
      <m:oMath>
        <m:r>
          <w:rPr>
            <w:rFonts w:ascii="Cambria Math" w:hAnsi="Cambria Math" w:cs="Arial"/>
            <w:lang w:val="en-US"/>
          </w:rPr>
          <m:t>0&lt;</m:t>
        </m:r>
        <m:sSub>
          <m:sSubPr>
            <m:ctrlPr>
              <w:rPr>
                <w:rFonts w:ascii="Cambria Math" w:hAnsi="Cambria Math" w:cs="Arial"/>
                <w:i/>
                <w:iCs/>
              </w:rPr>
            </m:ctrlPr>
          </m:sSubPr>
          <m:e>
            <m:r>
              <w:rPr>
                <w:rFonts w:ascii="Cambria Math" w:hAnsi="Cambria Math" w:cs="Arial"/>
              </w:rPr>
              <m:t>t</m:t>
            </m:r>
          </m:e>
          <m:sub>
            <m:r>
              <w:rPr>
                <w:rFonts w:ascii="Cambria Math" w:hAnsi="Cambria Math" w:cs="Arial"/>
                <w:lang w:val="en-US"/>
              </w:rPr>
              <m:t>0</m:t>
            </m:r>
          </m:sub>
        </m:sSub>
        <m:r>
          <w:rPr>
            <w:rFonts w:ascii="Cambria Math" w:hAnsi="Cambria Math" w:cs="Arial"/>
            <w:lang w:val="en-US"/>
          </w:rPr>
          <m:t>&lt;…&lt;</m:t>
        </m:r>
        <m:sSub>
          <m:sSubPr>
            <m:ctrlPr>
              <w:rPr>
                <w:rFonts w:ascii="Cambria Math" w:hAnsi="Cambria Math" w:cs="Arial"/>
                <w:i/>
                <w:iCs/>
              </w:rPr>
            </m:ctrlPr>
          </m:sSubPr>
          <m:e>
            <m:r>
              <w:rPr>
                <w:rFonts w:ascii="Cambria Math" w:hAnsi="Cambria Math" w:cs="Arial"/>
              </w:rPr>
              <m:t>t</m:t>
            </m:r>
          </m:e>
          <m:sub>
            <m:r>
              <w:rPr>
                <w:rFonts w:ascii="Cambria Math" w:hAnsi="Cambria Math" w:cs="Arial"/>
              </w:rPr>
              <m:t>N</m:t>
            </m:r>
          </m:sub>
        </m:sSub>
        <m:r>
          <w:rPr>
            <w:rFonts w:ascii="Cambria Math" w:hAnsi="Cambria Math" w:cs="Arial"/>
            <w:lang w:val="en-US"/>
          </w:rPr>
          <m:t>=</m:t>
        </m:r>
        <m:r>
          <w:rPr>
            <w:rFonts w:ascii="Cambria Math" w:hAnsi="Cambria Math" w:cs="Arial"/>
          </w:rPr>
          <m:t>T</m:t>
        </m:r>
      </m:oMath>
      <w:r w:rsidRPr="002429F5">
        <w:rPr>
          <w:rFonts w:ascii="Arial" w:hAnsi="Arial" w:cs="Arial"/>
          <w:lang w:val="en-US"/>
        </w:rPr>
        <w:t xml:space="preserve"> and satisfying the following </w:t>
      </w:r>
      <w:r w:rsidRPr="002429F5">
        <w:rPr>
          <w:rFonts w:ascii="Arial" w:hAnsi="Arial" w:cs="Arial"/>
          <w:iCs/>
          <w:lang w:val="en-US"/>
        </w:rPr>
        <w:t xml:space="preserve">stochastic difference equation: </w:t>
      </w:r>
    </w:p>
    <w:p w:rsidR="002429F5" w:rsidRPr="002429F5" w:rsidRDefault="002429F5" w:rsidP="002429F5">
      <w:pPr>
        <w:jc w:val="both"/>
        <w:rPr>
          <w:rFonts w:ascii="Arial" w:hAnsi="Arial" w:cs="Arial"/>
          <w:iCs/>
          <w:lang w:val="en-US"/>
        </w:rPr>
      </w:pPr>
    </w:p>
    <w:p w:rsidR="002429F5" w:rsidRPr="00954C9A" w:rsidRDefault="001345E4" w:rsidP="002429F5">
      <w:pPr>
        <w:jc w:val="both"/>
        <w:rPr>
          <w:rFonts w:ascii="Arial" w:hAnsi="Arial" w:cs="Arial"/>
          <w:iCs/>
        </w:rPr>
      </w:pPr>
      <m:oMathPara>
        <m:oMathParaPr>
          <m:jc m:val="right"/>
        </m:oMathParaPr>
        <m:oMath>
          <m:sSub>
            <m:sSubPr>
              <m:ctrlPr>
                <w:rPr>
                  <w:rFonts w:ascii="Cambria Math" w:hAnsi="Cambria Math" w:cs="Arial"/>
                  <w:i/>
                  <w:iCs/>
                </w:rPr>
              </m:ctrlPr>
            </m:sSubPr>
            <m:e>
              <m:r>
                <w:rPr>
                  <w:rFonts w:ascii="Cambria Math" w:hAnsi="Cambria Math" w:cs="Arial"/>
                </w:rPr>
                <m:t>x</m:t>
              </m:r>
            </m:e>
            <m:sub>
              <m:r>
                <w:rPr>
                  <w:rFonts w:ascii="Cambria Math" w:hAnsi="Cambria Math" w:cs="Arial"/>
                </w:rPr>
                <m:t>k+1</m:t>
              </m:r>
            </m:sub>
          </m:sSub>
          <m:r>
            <w:rPr>
              <w:rFonts w:ascii="Cambria Math" w:hAnsi="Cambria Math" w:cs="Arial"/>
            </w:rPr>
            <m:t>=</m:t>
          </m:r>
          <m:sSub>
            <m:sSubPr>
              <m:ctrlPr>
                <w:rPr>
                  <w:rFonts w:ascii="Cambria Math" w:hAnsi="Cambria Math" w:cs="Arial"/>
                  <w:i/>
                  <w:iCs/>
                </w:rPr>
              </m:ctrlPr>
            </m:sSubPr>
            <m:e>
              <m:r>
                <w:rPr>
                  <w:rFonts w:ascii="Cambria Math" w:hAnsi="Cambria Math" w:cs="Arial"/>
                </w:rPr>
                <m:t>x</m:t>
              </m:r>
            </m:e>
            <m:sub>
              <m:r>
                <w:rPr>
                  <w:rFonts w:ascii="Cambria Math" w:hAnsi="Cambria Math" w:cs="Arial"/>
                </w:rPr>
                <m:t>k</m:t>
              </m:r>
            </m:sub>
          </m:sSub>
          <m:r>
            <w:rPr>
              <w:rFonts w:ascii="Cambria Math" w:hAnsi="Cambria Math" w:cs="Arial"/>
            </w:rPr>
            <m:t>+</m:t>
          </m:r>
          <m:sSub>
            <m:sSubPr>
              <m:ctrlPr>
                <w:rPr>
                  <w:rFonts w:ascii="Cambria Math" w:hAnsi="Cambria Math" w:cs="Arial"/>
                  <w:i/>
                  <w:iCs/>
                </w:rPr>
              </m:ctrlPr>
            </m:sSubPr>
            <m:e>
              <m:r>
                <w:rPr>
                  <w:rFonts w:ascii="Cambria Math" w:hAnsi="Cambria Math" w:cs="Arial"/>
                </w:rPr>
                <m:t>S</m:t>
              </m:r>
            </m:e>
            <m:sub>
              <m:r>
                <w:rPr>
                  <w:rFonts w:ascii="Cambria Math" w:hAnsi="Cambria Math" w:cs="Arial"/>
                </w:rPr>
                <m:t>3</m:t>
              </m:r>
            </m:sub>
          </m:sSub>
          <m:sSub>
            <m:sSubPr>
              <m:ctrlPr>
                <w:rPr>
                  <w:rFonts w:ascii="Cambria Math" w:hAnsi="Cambria Math" w:cs="Arial"/>
                  <w:i/>
                  <w:iCs/>
                </w:rPr>
              </m:ctrlPr>
            </m:sSubPr>
            <m:e>
              <m:r>
                <w:rPr>
                  <w:rFonts w:ascii="Cambria Math" w:hAnsi="Cambria Math" w:cs="Arial"/>
                </w:rPr>
                <m:t>x</m:t>
              </m:r>
            </m:e>
            <m:sub>
              <m:r>
                <w:rPr>
                  <w:rFonts w:ascii="Cambria Math" w:hAnsi="Cambria Math" w:cs="Arial"/>
                </w:rPr>
                <m:t>k</m:t>
              </m:r>
            </m:sub>
          </m:sSub>
          <m:r>
            <w:rPr>
              <w:rFonts w:ascii="Cambria Math" w:hAnsi="Cambria Math" w:cs="Arial"/>
              <w:i/>
              <w:iCs/>
            </w:rPr>
            <w:sym w:font="Symbol" w:char="F044"/>
          </m:r>
          <m:sSub>
            <m:sSubPr>
              <m:ctrlPr>
                <w:rPr>
                  <w:rFonts w:ascii="Cambria Math" w:hAnsi="Cambria Math" w:cs="Arial"/>
                  <w:i/>
                  <w:iCs/>
                </w:rPr>
              </m:ctrlPr>
            </m:sSubPr>
            <m:e>
              <m:r>
                <w:rPr>
                  <w:rFonts w:ascii="Cambria Math" w:hAnsi="Cambria Math" w:cs="Arial"/>
                </w:rPr>
                <m:t>t</m:t>
              </m:r>
            </m:e>
            <m:sub>
              <m:r>
                <w:rPr>
                  <w:rFonts w:ascii="Cambria Math" w:hAnsi="Cambria Math" w:cs="Arial"/>
                </w:rPr>
                <m:t>k+1</m:t>
              </m:r>
            </m:sub>
          </m:sSub>
          <m:r>
            <w:rPr>
              <w:rFonts w:ascii="Cambria Math" w:hAnsi="Cambria Math" w:cs="Arial"/>
            </w:rPr>
            <m:t>+</m:t>
          </m:r>
          <m:d>
            <m:dPr>
              <m:ctrlPr>
                <w:rPr>
                  <w:rFonts w:ascii="Cambria Math" w:hAnsi="Cambria Math" w:cs="Arial"/>
                  <w:iCs/>
                </w:rPr>
              </m:ctrlPr>
            </m:dPr>
            <m:e>
              <m:sSub>
                <m:sSubPr>
                  <m:ctrlPr>
                    <w:rPr>
                      <w:rFonts w:ascii="Cambria Math" w:hAnsi="Cambria Math" w:cs="Arial"/>
                      <w:i/>
                      <w:iCs/>
                    </w:rPr>
                  </m:ctrlPr>
                </m:sSubPr>
                <m:e>
                  <m:r>
                    <w:rPr>
                      <w:rFonts w:ascii="Cambria Math" w:hAnsi="Cambria Math" w:cs="Arial"/>
                    </w:rPr>
                    <m:t>S</m:t>
                  </m:r>
                </m:e>
                <m:sub>
                  <m:r>
                    <w:rPr>
                      <w:rFonts w:ascii="Cambria Math" w:hAnsi="Cambria Math" w:cs="Arial"/>
                    </w:rPr>
                    <m:t>1</m:t>
                  </m:r>
                </m:sub>
              </m:sSub>
              <m:sSub>
                <m:sSubPr>
                  <m:ctrlPr>
                    <w:rPr>
                      <w:rFonts w:ascii="Cambria Math" w:hAnsi="Cambria Math" w:cs="Arial"/>
                      <w:i/>
                      <w:iCs/>
                    </w:rPr>
                  </m:ctrlPr>
                </m:sSubPr>
                <m:e>
                  <m:r>
                    <w:rPr>
                      <w:rFonts w:ascii="Cambria Math" w:hAnsi="Cambria Math" w:cs="Arial"/>
                    </w:rPr>
                    <m:t>u</m:t>
                  </m:r>
                </m:e>
                <m:sub>
                  <m:r>
                    <w:rPr>
                      <w:rFonts w:ascii="Cambria Math" w:hAnsi="Cambria Math" w:cs="Arial"/>
                    </w:rPr>
                    <m:t>1</m:t>
                  </m:r>
                </m:sub>
              </m:sSub>
              <m:d>
                <m:dPr>
                  <m:ctrlPr>
                    <w:rPr>
                      <w:rFonts w:ascii="Cambria Math" w:hAnsi="Cambria Math" w:cs="Arial"/>
                      <w:i/>
                      <w:iCs/>
                    </w:rPr>
                  </m:ctrlPr>
                </m:dPr>
                <m:e>
                  <m:r>
                    <w:rPr>
                      <w:rFonts w:ascii="Cambria Math" w:hAnsi="Cambria Math" w:cs="Arial"/>
                    </w:rPr>
                    <m:t>t</m:t>
                  </m:r>
                </m:e>
              </m:d>
              <m:r>
                <w:rPr>
                  <w:rFonts w:ascii="Cambria Math" w:hAnsi="Cambria Math" w:cs="Arial"/>
                </w:rPr>
                <m:t>+</m:t>
              </m:r>
              <m:sSub>
                <m:sSubPr>
                  <m:ctrlPr>
                    <w:rPr>
                      <w:rFonts w:ascii="Cambria Math" w:hAnsi="Cambria Math" w:cs="Arial"/>
                      <w:i/>
                      <w:iCs/>
                    </w:rPr>
                  </m:ctrlPr>
                </m:sSubPr>
                <m:e>
                  <m:r>
                    <w:rPr>
                      <w:rFonts w:ascii="Cambria Math" w:hAnsi="Cambria Math" w:cs="Arial"/>
                    </w:rPr>
                    <m:t>S</m:t>
                  </m:r>
                </m:e>
                <m:sub>
                  <m:r>
                    <w:rPr>
                      <w:rFonts w:ascii="Cambria Math" w:hAnsi="Cambria Math" w:cs="Arial"/>
                    </w:rPr>
                    <m:t>2</m:t>
                  </m:r>
                </m:sub>
              </m:sSub>
              <m:sSub>
                <m:sSubPr>
                  <m:ctrlPr>
                    <w:rPr>
                      <w:rFonts w:ascii="Cambria Math" w:hAnsi="Cambria Math" w:cs="Arial"/>
                      <w:i/>
                      <w:iCs/>
                    </w:rPr>
                  </m:ctrlPr>
                </m:sSubPr>
                <m:e>
                  <m:r>
                    <w:rPr>
                      <w:rFonts w:ascii="Cambria Math" w:hAnsi="Cambria Math" w:cs="Arial"/>
                    </w:rPr>
                    <m:t>u</m:t>
                  </m:r>
                </m:e>
                <m:sub>
                  <m:r>
                    <w:rPr>
                      <w:rFonts w:ascii="Cambria Math" w:hAnsi="Cambria Math" w:cs="Arial"/>
                    </w:rPr>
                    <m:t>2</m:t>
                  </m:r>
                </m:sub>
              </m:sSub>
              <m:d>
                <m:dPr>
                  <m:ctrlPr>
                    <w:rPr>
                      <w:rFonts w:ascii="Cambria Math" w:hAnsi="Cambria Math" w:cs="Arial"/>
                      <w:i/>
                      <w:iCs/>
                    </w:rPr>
                  </m:ctrlPr>
                </m:dPr>
                <m:e>
                  <m:r>
                    <w:rPr>
                      <w:rFonts w:ascii="Cambria Math" w:hAnsi="Cambria Math" w:cs="Arial"/>
                    </w:rPr>
                    <m:t>t</m:t>
                  </m:r>
                </m:e>
              </m:d>
              <m:ctrlPr>
                <w:rPr>
                  <w:rFonts w:ascii="Cambria Math" w:hAnsi="Cambria Math" w:cs="Arial"/>
                  <w:i/>
                  <w:iCs/>
                </w:rPr>
              </m:ctrlPr>
            </m:e>
          </m:d>
          <m:sSub>
            <m:sSubPr>
              <m:ctrlPr>
                <w:rPr>
                  <w:rFonts w:ascii="Cambria Math" w:hAnsi="Cambria Math" w:cs="Arial"/>
                  <w:i/>
                  <w:iCs/>
                </w:rPr>
              </m:ctrlPr>
            </m:sSubPr>
            <m:e>
              <m:r>
                <w:rPr>
                  <w:rFonts w:ascii="Cambria Math" w:hAnsi="Cambria Math" w:cs="Arial"/>
                </w:rPr>
                <m:t>x</m:t>
              </m:r>
            </m:e>
            <m:sub>
              <m:r>
                <w:rPr>
                  <w:rFonts w:ascii="Cambria Math" w:hAnsi="Cambria Math" w:cs="Arial"/>
                </w:rPr>
                <m:t>k</m:t>
              </m:r>
            </m:sub>
          </m:sSub>
          <m:sSub>
            <m:sSubPr>
              <m:ctrlPr>
                <w:rPr>
                  <w:rFonts w:ascii="Cambria Math" w:hAnsi="Cambria Math" w:cs="Arial"/>
                  <w:i/>
                  <w:iCs/>
                </w:rPr>
              </m:ctrlPr>
            </m:sSubPr>
            <m:e>
              <m:r>
                <w:rPr>
                  <w:rFonts w:ascii="Cambria Math" w:hAnsi="Cambria Math" w:cs="Arial"/>
                  <w:i/>
                  <w:iCs/>
                </w:rPr>
                <w:sym w:font="Symbol" w:char="F044"/>
              </m:r>
              <m:r>
                <w:rPr>
                  <w:rFonts w:ascii="Cambria Math" w:hAnsi="Cambria Math" w:cs="Arial"/>
                </w:rPr>
                <m:t>W</m:t>
              </m:r>
            </m:e>
            <m:sub>
              <m:r>
                <w:rPr>
                  <w:rFonts w:ascii="Cambria Math" w:hAnsi="Cambria Math" w:cs="Arial"/>
                </w:rPr>
                <m:t>k+1</m:t>
              </m:r>
            </m:sub>
          </m:sSub>
          <m:r>
            <w:rPr>
              <w:rFonts w:ascii="Cambria Math" w:hAnsi="Cambria Math" w:cs="Arial"/>
            </w:rPr>
            <m:t xml:space="preserve">                                  (3)</m:t>
          </m:r>
        </m:oMath>
      </m:oMathPara>
    </w:p>
    <w:p w:rsidR="002429F5" w:rsidRPr="00954C9A" w:rsidRDefault="002429F5" w:rsidP="002429F5">
      <w:pPr>
        <w:jc w:val="both"/>
        <w:rPr>
          <w:rFonts w:ascii="Arial" w:hAnsi="Arial" w:cs="Arial"/>
          <w:iCs/>
        </w:rPr>
      </w:pPr>
    </w:p>
    <w:p w:rsidR="002429F5" w:rsidRPr="00954C9A" w:rsidRDefault="002429F5" w:rsidP="002429F5">
      <w:pPr>
        <w:jc w:val="both"/>
        <w:rPr>
          <w:rFonts w:ascii="Arial" w:hAnsi="Arial" w:cs="Arial"/>
          <w:iCs/>
        </w:rPr>
      </w:pPr>
      <w:r w:rsidRPr="00954C9A">
        <w:rPr>
          <w:rFonts w:ascii="Arial" w:hAnsi="Arial" w:cs="Arial"/>
          <w:iCs/>
        </w:rPr>
        <w:t> where</w:t>
      </w:r>
    </w:p>
    <w:p w:rsidR="002429F5" w:rsidRPr="00954C9A" w:rsidRDefault="001345E4" w:rsidP="002429F5">
      <w:pPr>
        <w:jc w:val="both"/>
        <w:rPr>
          <w:rFonts w:ascii="Arial" w:hAnsi="Arial" w:cs="Arial"/>
          <w:iCs/>
        </w:rPr>
      </w:pPr>
      <m:oMathPara>
        <m:oMath>
          <m:sSub>
            <m:sSubPr>
              <m:ctrlPr>
                <w:rPr>
                  <w:rFonts w:ascii="Cambria Math" w:hAnsi="Cambria Math" w:cs="Arial"/>
                  <w:i/>
                  <w:iCs/>
                </w:rPr>
              </m:ctrlPr>
            </m:sSubPr>
            <m:e>
              <m:r>
                <w:rPr>
                  <w:rFonts w:ascii="Cambria Math" w:hAnsi="Cambria Math" w:cs="Arial"/>
                  <w:i/>
                  <w:iCs/>
                </w:rPr>
                <w:sym w:font="Symbol" w:char="F044"/>
              </m:r>
              <m:r>
                <w:rPr>
                  <w:rFonts w:ascii="Cambria Math" w:hAnsi="Cambria Math" w:cs="Arial"/>
                </w:rPr>
                <m:t>t</m:t>
              </m:r>
            </m:e>
            <m:sub>
              <m:r>
                <w:rPr>
                  <w:rFonts w:ascii="Cambria Math" w:hAnsi="Cambria Math" w:cs="Arial"/>
                </w:rPr>
                <m:t>k+1</m:t>
              </m:r>
            </m:sub>
          </m:sSub>
          <m:r>
            <w:rPr>
              <w:rFonts w:ascii="Cambria Math" w:hAnsi="Cambria Math" w:cs="Arial"/>
            </w:rPr>
            <m:t xml:space="preserve">= </m:t>
          </m:r>
          <m:sSub>
            <m:sSubPr>
              <m:ctrlPr>
                <w:rPr>
                  <w:rFonts w:ascii="Cambria Math" w:hAnsi="Cambria Math" w:cs="Arial"/>
                  <w:i/>
                  <w:iCs/>
                </w:rPr>
              </m:ctrlPr>
            </m:sSubPr>
            <m:e>
              <m:r>
                <w:rPr>
                  <w:rFonts w:ascii="Cambria Math" w:hAnsi="Cambria Math" w:cs="Arial"/>
                </w:rPr>
                <m:t>t</m:t>
              </m:r>
            </m:e>
            <m:sub>
              <m:r>
                <w:rPr>
                  <w:rFonts w:ascii="Cambria Math" w:hAnsi="Cambria Math" w:cs="Arial"/>
                </w:rPr>
                <m:t>k+1</m:t>
              </m:r>
            </m:sub>
          </m:sSub>
          <m:r>
            <w:rPr>
              <w:rFonts w:ascii="Cambria Math" w:hAnsi="Cambria Math" w:cs="Arial"/>
            </w:rPr>
            <m:t>-</m:t>
          </m:r>
          <m:sSub>
            <m:sSubPr>
              <m:ctrlPr>
                <w:rPr>
                  <w:rFonts w:ascii="Cambria Math" w:hAnsi="Cambria Math" w:cs="Arial"/>
                  <w:i/>
                  <w:iCs/>
                </w:rPr>
              </m:ctrlPr>
            </m:sSubPr>
            <m:e>
              <m:r>
                <w:rPr>
                  <w:rFonts w:ascii="Cambria Math" w:hAnsi="Cambria Math" w:cs="Arial"/>
                </w:rPr>
                <m:t xml:space="preserve"> t</m:t>
              </m:r>
            </m:e>
            <m:sub>
              <m:r>
                <w:rPr>
                  <w:rFonts w:ascii="Cambria Math" w:hAnsi="Cambria Math" w:cs="Arial"/>
                </w:rPr>
                <m:t>k</m:t>
              </m:r>
            </m:sub>
          </m:sSub>
        </m:oMath>
      </m:oMathPara>
    </w:p>
    <w:p w:rsidR="002429F5" w:rsidRPr="00954C9A" w:rsidRDefault="002429F5" w:rsidP="002429F5">
      <w:pPr>
        <w:jc w:val="both"/>
        <w:rPr>
          <w:rFonts w:ascii="Arial" w:hAnsi="Arial" w:cs="Arial"/>
          <w:iCs/>
        </w:rPr>
      </w:pPr>
    </w:p>
    <w:p w:rsidR="002429F5" w:rsidRPr="00954C9A" w:rsidRDefault="001345E4" w:rsidP="002429F5">
      <w:pPr>
        <w:jc w:val="both"/>
        <w:rPr>
          <w:rFonts w:ascii="Arial" w:hAnsi="Arial" w:cs="Arial"/>
        </w:rPr>
      </w:pPr>
      <m:oMathPara>
        <m:oMath>
          <m:sSub>
            <m:sSubPr>
              <m:ctrlPr>
                <w:rPr>
                  <w:rFonts w:ascii="Cambria Math" w:hAnsi="Cambria Math" w:cs="Arial"/>
                  <w:i/>
                  <w:iCs/>
                </w:rPr>
              </m:ctrlPr>
            </m:sSubPr>
            <m:e>
              <m:r>
                <w:rPr>
                  <w:rFonts w:ascii="Cambria Math" w:hAnsi="Cambria Math" w:cs="Arial"/>
                  <w:i/>
                  <w:iCs/>
                </w:rPr>
                <w:sym w:font="Symbol" w:char="F044"/>
              </m:r>
              <m:r>
                <w:rPr>
                  <w:rFonts w:ascii="Cambria Math" w:hAnsi="Cambria Math" w:cs="Arial"/>
                </w:rPr>
                <m:t>W</m:t>
              </m:r>
            </m:e>
            <m:sub>
              <m:r>
                <w:rPr>
                  <w:rFonts w:ascii="Cambria Math" w:hAnsi="Cambria Math" w:cs="Arial"/>
                </w:rPr>
                <m:t>k+1</m:t>
              </m:r>
            </m:sub>
          </m:sSub>
          <m:r>
            <w:rPr>
              <w:rFonts w:ascii="Cambria Math" w:hAnsi="Cambria Math" w:cs="Arial"/>
            </w:rPr>
            <m:t xml:space="preserve">= </m:t>
          </m:r>
          <m:sSub>
            <m:sSubPr>
              <m:ctrlPr>
                <w:rPr>
                  <w:rFonts w:ascii="Cambria Math" w:hAnsi="Cambria Math" w:cs="Arial"/>
                  <w:i/>
                  <w:iCs/>
                </w:rPr>
              </m:ctrlPr>
            </m:sSubPr>
            <m:e>
              <m:r>
                <w:rPr>
                  <w:rFonts w:ascii="Cambria Math" w:hAnsi="Cambria Math" w:cs="Arial"/>
                </w:rPr>
                <m:t>W(t</m:t>
              </m:r>
            </m:e>
            <m:sub>
              <m:r>
                <w:rPr>
                  <w:rFonts w:ascii="Cambria Math" w:hAnsi="Cambria Math" w:cs="Arial"/>
                </w:rPr>
                <m:t>k+1</m:t>
              </m:r>
            </m:sub>
          </m:sSub>
          <m:r>
            <w:rPr>
              <w:rFonts w:ascii="Cambria Math" w:hAnsi="Cambria Math" w:cs="Arial"/>
            </w:rPr>
            <m:t xml:space="preserve">)- </m:t>
          </m:r>
          <m:sSub>
            <m:sSubPr>
              <m:ctrlPr>
                <w:rPr>
                  <w:rFonts w:ascii="Cambria Math" w:hAnsi="Cambria Math" w:cs="Arial"/>
                  <w:i/>
                  <w:iCs/>
                </w:rPr>
              </m:ctrlPr>
            </m:sSubPr>
            <m:e>
              <m:r>
                <w:rPr>
                  <w:rFonts w:ascii="Cambria Math" w:hAnsi="Cambria Math" w:cs="Arial"/>
                </w:rPr>
                <m:t>W(t</m:t>
              </m:r>
            </m:e>
            <m:sub>
              <m:r>
                <w:rPr>
                  <w:rFonts w:ascii="Cambria Math" w:hAnsi="Cambria Math" w:cs="Arial"/>
                </w:rPr>
                <m:t>k</m:t>
              </m:r>
            </m:sub>
          </m:sSub>
          <m:r>
            <w:rPr>
              <w:rFonts w:ascii="Cambria Math" w:hAnsi="Cambria Math" w:cs="Arial"/>
            </w:rPr>
            <m:t>)</m:t>
          </m:r>
        </m:oMath>
      </m:oMathPara>
    </w:p>
    <w:p w:rsidR="002429F5" w:rsidRPr="00954C9A" w:rsidRDefault="002429F5" w:rsidP="002429F5">
      <w:pPr>
        <w:jc w:val="both"/>
        <w:rPr>
          <w:rFonts w:ascii="Arial" w:hAnsi="Arial" w:cs="Arial"/>
        </w:rPr>
      </w:pPr>
    </w:p>
    <w:p w:rsidR="002429F5" w:rsidRPr="00954C9A" w:rsidRDefault="002429F5" w:rsidP="002429F5">
      <w:pPr>
        <w:jc w:val="both"/>
        <w:rPr>
          <w:rFonts w:ascii="Arial" w:hAnsi="Arial" w:cs="Arial"/>
          <w:iCs/>
        </w:rPr>
      </w:pPr>
      <w:r w:rsidRPr="00954C9A">
        <w:rPr>
          <w:rFonts w:ascii="Arial" w:hAnsi="Arial" w:cs="Arial"/>
        </w:rPr>
        <w:t>So, we have:</w:t>
      </w:r>
    </w:p>
    <w:p w:rsidR="002429F5" w:rsidRPr="00954C9A" w:rsidRDefault="002429F5" w:rsidP="002429F5">
      <w:pPr>
        <w:jc w:val="both"/>
        <w:rPr>
          <w:rFonts w:ascii="Arial" w:hAnsi="Arial" w:cs="Arial"/>
          <w:iCs/>
        </w:rPr>
      </w:pPr>
    </w:p>
    <w:p w:rsidR="002429F5" w:rsidRPr="00954C9A" w:rsidRDefault="002429F5" w:rsidP="002429F5">
      <w:pPr>
        <w:jc w:val="both"/>
        <w:rPr>
          <w:rFonts w:ascii="Arial" w:hAnsi="Arial" w:cs="Arial"/>
        </w:rPr>
      </w:pPr>
      <m:oMathPara>
        <m:oMath>
          <m:r>
            <w:rPr>
              <w:rFonts w:ascii="Cambria Math" w:hAnsi="Cambria Math" w:cs="Arial"/>
            </w:rPr>
            <m:t>x</m:t>
          </m:r>
          <m:d>
            <m:dPr>
              <m:ctrlPr>
                <w:rPr>
                  <w:rFonts w:ascii="Cambria Math" w:hAnsi="Cambria Math" w:cs="Arial"/>
                  <w:i/>
                  <w:iCs/>
                </w:rPr>
              </m:ctrlPr>
            </m:dPr>
            <m:e>
              <m:sSub>
                <m:sSubPr>
                  <m:ctrlPr>
                    <w:rPr>
                      <w:rFonts w:ascii="Cambria Math" w:hAnsi="Cambria Math" w:cs="Arial"/>
                      <w:i/>
                      <w:iCs/>
                    </w:rPr>
                  </m:ctrlPr>
                </m:sSubPr>
                <m:e>
                  <m:r>
                    <w:rPr>
                      <w:rFonts w:ascii="Cambria Math" w:hAnsi="Cambria Math" w:cs="Arial"/>
                    </w:rPr>
                    <m:t>t</m:t>
                  </m:r>
                </m:e>
                <m:sub>
                  <m:r>
                    <w:rPr>
                      <w:rFonts w:ascii="Cambria Math" w:hAnsi="Cambria Math" w:cs="Arial"/>
                    </w:rPr>
                    <m:t>k+1</m:t>
                  </m:r>
                </m:sub>
              </m:sSub>
            </m:e>
          </m:d>
          <m:r>
            <w:rPr>
              <w:rFonts w:ascii="Cambria Math" w:hAnsi="Cambria Math" w:cs="Arial"/>
            </w:rPr>
            <m:t>=x(</m:t>
          </m:r>
          <m:sSub>
            <m:sSubPr>
              <m:ctrlPr>
                <w:rPr>
                  <w:rFonts w:ascii="Cambria Math" w:hAnsi="Cambria Math" w:cs="Arial"/>
                  <w:i/>
                  <w:iCs/>
                </w:rPr>
              </m:ctrlPr>
            </m:sSubPr>
            <m:e>
              <m:r>
                <w:rPr>
                  <w:rFonts w:ascii="Cambria Math" w:hAnsi="Cambria Math" w:cs="Arial"/>
                </w:rPr>
                <m:t xml:space="preserve"> t</m:t>
              </m:r>
            </m:e>
            <m:sub>
              <m:r>
                <w:rPr>
                  <w:rFonts w:ascii="Cambria Math" w:hAnsi="Cambria Math" w:cs="Arial"/>
                </w:rPr>
                <m:t>k</m:t>
              </m:r>
            </m:sub>
          </m:sSub>
          <m:r>
            <w:rPr>
              <w:rFonts w:ascii="Cambria Math" w:hAnsi="Cambria Math" w:cs="Arial"/>
            </w:rPr>
            <m:t>)+</m:t>
          </m:r>
          <m:nary>
            <m:naryPr>
              <m:limLoc m:val="subSup"/>
              <m:ctrlPr>
                <w:rPr>
                  <w:rFonts w:ascii="Cambria Math" w:hAnsi="Cambria Math" w:cs="Arial"/>
                  <w:i/>
                  <w:iCs/>
                </w:rPr>
              </m:ctrlPr>
            </m:naryPr>
            <m:sub>
              <m:sSub>
                <m:sSubPr>
                  <m:ctrlPr>
                    <w:rPr>
                      <w:rFonts w:ascii="Cambria Math" w:hAnsi="Cambria Math" w:cs="Arial"/>
                      <w:i/>
                      <w:iCs/>
                    </w:rPr>
                  </m:ctrlPr>
                </m:sSubPr>
                <m:e>
                  <m:r>
                    <w:rPr>
                      <w:rFonts w:ascii="Cambria Math" w:hAnsi="Cambria Math" w:cs="Arial"/>
                    </w:rPr>
                    <m:t xml:space="preserve"> t</m:t>
                  </m:r>
                </m:e>
                <m:sub>
                  <m:r>
                    <w:rPr>
                      <w:rFonts w:ascii="Cambria Math" w:hAnsi="Cambria Math" w:cs="Arial"/>
                    </w:rPr>
                    <m:t>k</m:t>
                  </m:r>
                </m:sub>
              </m:sSub>
            </m:sub>
            <m:sup>
              <m:sSub>
                <m:sSubPr>
                  <m:ctrlPr>
                    <w:rPr>
                      <w:rFonts w:ascii="Cambria Math" w:hAnsi="Cambria Math" w:cs="Arial"/>
                      <w:i/>
                      <w:iCs/>
                    </w:rPr>
                  </m:ctrlPr>
                </m:sSubPr>
                <m:e>
                  <m:r>
                    <w:rPr>
                      <w:rFonts w:ascii="Cambria Math" w:hAnsi="Cambria Math" w:cs="Arial"/>
                    </w:rPr>
                    <m:t>t</m:t>
                  </m:r>
                </m:e>
                <m:sub>
                  <m:r>
                    <w:rPr>
                      <w:rFonts w:ascii="Cambria Math" w:hAnsi="Cambria Math" w:cs="Arial"/>
                    </w:rPr>
                    <m:t>k+1</m:t>
                  </m:r>
                </m:sub>
              </m:sSub>
            </m:sup>
            <m:e>
              <m:sSub>
                <m:sSubPr>
                  <m:ctrlPr>
                    <w:rPr>
                      <w:rFonts w:ascii="Cambria Math" w:hAnsi="Cambria Math" w:cs="Arial"/>
                      <w:i/>
                      <w:iCs/>
                    </w:rPr>
                  </m:ctrlPr>
                </m:sSubPr>
                <m:e>
                  <m:r>
                    <w:rPr>
                      <w:rFonts w:ascii="Cambria Math" w:hAnsi="Cambria Math" w:cs="Arial"/>
                    </w:rPr>
                    <m:t>S</m:t>
                  </m:r>
                </m:e>
                <m:sub>
                  <m:r>
                    <w:rPr>
                      <w:rFonts w:ascii="Cambria Math" w:hAnsi="Cambria Math" w:cs="Arial"/>
                    </w:rPr>
                    <m:t>3</m:t>
                  </m:r>
                </m:sub>
              </m:sSub>
              <m:r>
                <w:rPr>
                  <w:rFonts w:ascii="Cambria Math" w:hAnsi="Cambria Math" w:cs="Arial"/>
                </w:rPr>
                <m:t>x</m:t>
              </m:r>
              <m:d>
                <m:dPr>
                  <m:ctrlPr>
                    <w:rPr>
                      <w:rFonts w:ascii="Cambria Math" w:hAnsi="Cambria Math" w:cs="Arial"/>
                      <w:i/>
                      <w:iCs/>
                    </w:rPr>
                  </m:ctrlPr>
                </m:dPr>
                <m:e>
                  <m:r>
                    <w:rPr>
                      <w:rFonts w:ascii="Cambria Math" w:hAnsi="Cambria Math" w:cs="Arial"/>
                    </w:rPr>
                    <m:t>s</m:t>
                  </m:r>
                </m:e>
              </m:d>
            </m:e>
          </m:nary>
          <m:r>
            <w:rPr>
              <w:rFonts w:ascii="Cambria Math" w:hAnsi="Cambria Math" w:cs="Arial"/>
            </w:rPr>
            <m:t xml:space="preserve"> ds+</m:t>
          </m:r>
          <m:nary>
            <m:naryPr>
              <m:limLoc m:val="subSup"/>
              <m:ctrlPr>
                <w:rPr>
                  <w:rFonts w:ascii="Cambria Math" w:hAnsi="Cambria Math" w:cs="Arial"/>
                  <w:i/>
                  <w:iCs/>
                </w:rPr>
              </m:ctrlPr>
            </m:naryPr>
            <m:sub>
              <m:sSub>
                <m:sSubPr>
                  <m:ctrlPr>
                    <w:rPr>
                      <w:rFonts w:ascii="Cambria Math" w:hAnsi="Cambria Math" w:cs="Arial"/>
                      <w:i/>
                      <w:iCs/>
                    </w:rPr>
                  </m:ctrlPr>
                </m:sSubPr>
                <m:e>
                  <m:r>
                    <w:rPr>
                      <w:rFonts w:ascii="Cambria Math" w:hAnsi="Cambria Math" w:cs="Arial"/>
                    </w:rPr>
                    <m:t xml:space="preserve"> t</m:t>
                  </m:r>
                </m:e>
                <m:sub>
                  <m:r>
                    <w:rPr>
                      <w:rFonts w:ascii="Cambria Math" w:hAnsi="Cambria Math" w:cs="Arial"/>
                    </w:rPr>
                    <m:t>k</m:t>
                  </m:r>
                </m:sub>
              </m:sSub>
            </m:sub>
            <m:sup>
              <m:sSub>
                <m:sSubPr>
                  <m:ctrlPr>
                    <w:rPr>
                      <w:rFonts w:ascii="Cambria Math" w:hAnsi="Cambria Math" w:cs="Arial"/>
                      <w:i/>
                      <w:iCs/>
                    </w:rPr>
                  </m:ctrlPr>
                </m:sSubPr>
                <m:e>
                  <m:r>
                    <w:rPr>
                      <w:rFonts w:ascii="Cambria Math" w:hAnsi="Cambria Math" w:cs="Arial"/>
                    </w:rPr>
                    <m:t>t</m:t>
                  </m:r>
                </m:e>
                <m:sub>
                  <m:r>
                    <w:rPr>
                      <w:rFonts w:ascii="Cambria Math" w:hAnsi="Cambria Math" w:cs="Arial"/>
                    </w:rPr>
                    <m:t>k+1</m:t>
                  </m:r>
                </m:sub>
              </m:sSub>
            </m:sup>
            <m:e>
              <m:sSub>
                <m:sSubPr>
                  <m:ctrlPr>
                    <w:rPr>
                      <w:rFonts w:ascii="Cambria Math" w:hAnsi="Cambria Math" w:cs="Arial"/>
                      <w:i/>
                      <w:iCs/>
                    </w:rPr>
                  </m:ctrlPr>
                </m:sSubPr>
                <m:e>
                  <m:r>
                    <w:rPr>
                      <w:rFonts w:ascii="Cambria Math" w:hAnsi="Cambria Math" w:cs="Arial"/>
                    </w:rPr>
                    <m:t>(S</m:t>
                  </m:r>
                </m:e>
                <m:sub>
                  <m:r>
                    <w:rPr>
                      <w:rFonts w:ascii="Cambria Math" w:hAnsi="Cambria Math" w:cs="Arial"/>
                    </w:rPr>
                    <m:t>2</m:t>
                  </m:r>
                </m:sub>
              </m:sSub>
              <m:sSub>
                <m:sSubPr>
                  <m:ctrlPr>
                    <w:rPr>
                      <w:rFonts w:ascii="Cambria Math" w:hAnsi="Cambria Math" w:cs="Arial"/>
                      <w:i/>
                      <w:iCs/>
                    </w:rPr>
                  </m:ctrlPr>
                </m:sSubPr>
                <m:e>
                  <m:r>
                    <w:rPr>
                      <w:rFonts w:ascii="Cambria Math" w:hAnsi="Cambria Math" w:cs="Arial"/>
                    </w:rPr>
                    <m:t>u</m:t>
                  </m:r>
                </m:e>
                <m:sub>
                  <m:r>
                    <w:rPr>
                      <w:rFonts w:ascii="Cambria Math" w:hAnsi="Cambria Math" w:cs="Arial"/>
                    </w:rPr>
                    <m:t>2</m:t>
                  </m:r>
                </m:sub>
              </m:sSub>
              <m:d>
                <m:dPr>
                  <m:ctrlPr>
                    <w:rPr>
                      <w:rFonts w:ascii="Cambria Math" w:hAnsi="Cambria Math" w:cs="Arial"/>
                      <w:i/>
                      <w:iCs/>
                    </w:rPr>
                  </m:ctrlPr>
                </m:dPr>
                <m:e>
                  <m:r>
                    <w:rPr>
                      <w:rFonts w:ascii="Cambria Math" w:hAnsi="Cambria Math" w:cs="Arial"/>
                    </w:rPr>
                    <m:t>s</m:t>
                  </m:r>
                </m:e>
              </m:d>
              <m:r>
                <w:rPr>
                  <w:rFonts w:ascii="Cambria Math" w:hAnsi="Cambria Math" w:cs="Arial"/>
                </w:rPr>
                <m:t>+</m:t>
              </m:r>
              <m:sSub>
                <m:sSubPr>
                  <m:ctrlPr>
                    <w:rPr>
                      <w:rFonts w:ascii="Cambria Math" w:hAnsi="Cambria Math" w:cs="Arial"/>
                      <w:i/>
                      <w:iCs/>
                    </w:rPr>
                  </m:ctrlPr>
                </m:sSubPr>
                <m:e>
                  <m:r>
                    <w:rPr>
                      <w:rFonts w:ascii="Cambria Math" w:hAnsi="Cambria Math" w:cs="Arial"/>
                    </w:rPr>
                    <m:t>S</m:t>
                  </m:r>
                </m:e>
                <m:sub>
                  <m:r>
                    <w:rPr>
                      <w:rFonts w:ascii="Cambria Math" w:hAnsi="Cambria Math" w:cs="Arial"/>
                    </w:rPr>
                    <m:t>1</m:t>
                  </m:r>
                </m:sub>
              </m:sSub>
              <m:sSub>
                <m:sSubPr>
                  <m:ctrlPr>
                    <w:rPr>
                      <w:rFonts w:ascii="Cambria Math" w:hAnsi="Cambria Math" w:cs="Arial"/>
                      <w:i/>
                      <w:iCs/>
                    </w:rPr>
                  </m:ctrlPr>
                </m:sSubPr>
                <m:e>
                  <m:r>
                    <w:rPr>
                      <w:rFonts w:ascii="Cambria Math" w:hAnsi="Cambria Math" w:cs="Arial"/>
                    </w:rPr>
                    <m:t>u</m:t>
                  </m:r>
                </m:e>
                <m:sub>
                  <m:r>
                    <w:rPr>
                      <w:rFonts w:ascii="Cambria Math" w:hAnsi="Cambria Math" w:cs="Arial"/>
                    </w:rPr>
                    <m:t>1</m:t>
                  </m:r>
                </m:sub>
              </m:sSub>
              <m:d>
                <m:dPr>
                  <m:ctrlPr>
                    <w:rPr>
                      <w:rFonts w:ascii="Cambria Math" w:hAnsi="Cambria Math" w:cs="Arial"/>
                      <w:i/>
                      <w:iCs/>
                    </w:rPr>
                  </m:ctrlPr>
                </m:dPr>
                <m:e>
                  <m:r>
                    <w:rPr>
                      <w:rFonts w:ascii="Cambria Math" w:hAnsi="Cambria Math" w:cs="Arial"/>
                    </w:rPr>
                    <m:t>s</m:t>
                  </m:r>
                </m:e>
              </m:d>
              <m:r>
                <w:rPr>
                  <w:rFonts w:ascii="Cambria Math" w:hAnsi="Cambria Math" w:cs="Arial"/>
                </w:rPr>
                <m:t>)x</m:t>
              </m:r>
              <m:d>
                <m:dPr>
                  <m:ctrlPr>
                    <w:rPr>
                      <w:rFonts w:ascii="Cambria Math" w:hAnsi="Cambria Math" w:cs="Arial"/>
                      <w:i/>
                      <w:iCs/>
                    </w:rPr>
                  </m:ctrlPr>
                </m:dPr>
                <m:e>
                  <m:r>
                    <w:rPr>
                      <w:rFonts w:ascii="Cambria Math" w:hAnsi="Cambria Math" w:cs="Arial"/>
                    </w:rPr>
                    <m:t>s</m:t>
                  </m:r>
                </m:e>
              </m:d>
              <m:r>
                <w:rPr>
                  <w:rFonts w:ascii="Cambria Math" w:hAnsi="Cambria Math" w:cs="Arial"/>
                </w:rPr>
                <m:t xml:space="preserve"> dW(s)</m:t>
              </m:r>
            </m:e>
          </m:nary>
          <m:r>
            <w:rPr>
              <w:rFonts w:ascii="Cambria Math" w:hAnsi="Cambria Math" w:cs="Arial"/>
            </w:rPr>
            <m:t xml:space="preserve">,     </m:t>
          </m:r>
        </m:oMath>
      </m:oMathPara>
    </w:p>
    <w:p w:rsidR="002429F5" w:rsidRPr="00954C9A" w:rsidRDefault="002429F5" w:rsidP="002429F5">
      <w:pPr>
        <w:jc w:val="both"/>
        <w:rPr>
          <w:rFonts w:ascii="Arial" w:hAnsi="Arial" w:cs="Arial"/>
        </w:rPr>
      </w:pPr>
    </w:p>
    <w:p w:rsidR="002429F5" w:rsidRPr="002429F5" w:rsidRDefault="002429F5" w:rsidP="002429F5">
      <w:pPr>
        <w:jc w:val="both"/>
        <w:rPr>
          <w:rFonts w:ascii="Arial" w:hAnsi="Arial" w:cs="Arial"/>
          <w:lang w:val="en-US"/>
        </w:rPr>
      </w:pPr>
      <w:r w:rsidRPr="002429F5">
        <w:rPr>
          <w:rFonts w:ascii="Arial" w:hAnsi="Arial" w:cs="Arial"/>
          <w:lang w:val="en-US"/>
        </w:rPr>
        <w:t xml:space="preserve">Each one of these integrals approximate the corresponding integrals of equation (2). </w:t>
      </w:r>
      <w:r w:rsidRPr="002429F5">
        <w:rPr>
          <w:rFonts w:ascii="Arial" w:hAnsi="Arial" w:cs="Arial"/>
          <w:iCs/>
          <w:lang w:val="en-US"/>
        </w:rPr>
        <w:t>In this process, we are interested in the zero solution or equilibrium position of equation (2), by using the corresponding Euler-Maruyama numerical scheme (3).</w:t>
      </w:r>
    </w:p>
    <w:p w:rsidR="002429F5" w:rsidRPr="002429F5" w:rsidRDefault="002429F5" w:rsidP="002429F5">
      <w:pPr>
        <w:jc w:val="both"/>
        <w:rPr>
          <w:rFonts w:ascii="Arial" w:hAnsi="Arial" w:cs="Arial"/>
          <w:iCs/>
          <w:lang w:val="en-US"/>
        </w:rPr>
      </w:pPr>
    </w:p>
    <w:p w:rsidR="002429F5" w:rsidRPr="002429F5" w:rsidRDefault="002429F5" w:rsidP="002429F5">
      <w:pPr>
        <w:jc w:val="both"/>
        <w:rPr>
          <w:rFonts w:ascii="Arial" w:hAnsi="Arial" w:cs="Arial"/>
          <w:iCs/>
          <w:lang w:val="en-US"/>
        </w:rPr>
      </w:pPr>
    </w:p>
    <w:p w:rsidR="002429F5" w:rsidRPr="00B45118" w:rsidRDefault="002429F5" w:rsidP="002429F5">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aps/>
          <w:sz w:val="24"/>
          <w:szCs w:val="24"/>
          <w:lang w:val="en-US"/>
        </w:rPr>
      </w:pPr>
      <w:bookmarkStart w:id="101" w:name="_Toc50031216"/>
      <w:r w:rsidRPr="00B45118">
        <w:rPr>
          <w:rFonts w:ascii="Arial" w:hAnsi="Arial" w:cs="Arial"/>
          <w:caps/>
          <w:sz w:val="24"/>
          <w:szCs w:val="24"/>
          <w:lang w:val="en-US"/>
        </w:rPr>
        <w:t xml:space="preserve">3. </w:t>
      </w:r>
      <w:r w:rsidRPr="00B45118">
        <w:rPr>
          <w:rFonts w:ascii="Arial" w:hAnsi="Arial" w:cs="Arial"/>
          <w:sz w:val="24"/>
          <w:szCs w:val="24"/>
          <w:lang w:val="en-US"/>
        </w:rPr>
        <w:t>Almost sure exponential robust stability and asymptotic stability</w:t>
      </w:r>
      <w:bookmarkEnd w:id="101"/>
    </w:p>
    <w:p w:rsidR="002429F5" w:rsidRPr="002429F5" w:rsidRDefault="002429F5" w:rsidP="002429F5">
      <w:pPr>
        <w:jc w:val="both"/>
        <w:rPr>
          <w:rFonts w:ascii="Arial" w:hAnsi="Arial" w:cs="Arial"/>
          <w:iCs/>
          <w:lang w:val="en-US"/>
        </w:rPr>
      </w:pPr>
      <w:r w:rsidRPr="002429F5">
        <w:rPr>
          <w:rFonts w:ascii="Arial" w:hAnsi="Arial" w:cs="Arial"/>
          <w:iCs/>
          <w:lang w:val="en-US"/>
        </w:rPr>
        <w:t xml:space="preserve">     We will introduce the definitions of almost sure exponential robust stability and asymptotic stability of the trivial solution of the numerical scheme (3), associated to the stochastic controlled Schrödinger equation (2). </w:t>
      </w:r>
    </w:p>
    <w:p w:rsidR="002429F5" w:rsidRPr="002429F5" w:rsidRDefault="002429F5" w:rsidP="002429F5">
      <w:pPr>
        <w:jc w:val="both"/>
        <w:rPr>
          <w:rFonts w:ascii="Arial" w:hAnsi="Arial" w:cs="Arial"/>
          <w:iCs/>
          <w:lang w:val="en-US"/>
        </w:rPr>
      </w:pPr>
      <w:r w:rsidRPr="002429F5">
        <w:rPr>
          <w:rFonts w:ascii="Arial" w:hAnsi="Arial" w:cs="Arial"/>
          <w:iCs/>
          <w:lang w:val="en-US"/>
        </w:rPr>
        <w:t xml:space="preserve">     First of all, in order to addressing the concepts of stochastic stability and to adapt the classical Lyapunov theory, we introduce a Lyapunov function </w:t>
      </w:r>
      <m:oMath>
        <m:r>
          <w:rPr>
            <w:rFonts w:ascii="Cambria Math" w:hAnsi="Cambria Math" w:cs="Arial"/>
          </w:rPr>
          <m:t>V</m:t>
        </m:r>
        <m:d>
          <m:dPr>
            <m:ctrlPr>
              <w:rPr>
                <w:rFonts w:ascii="Cambria Math" w:hAnsi="Cambria Math" w:cs="Arial"/>
                <w:i/>
                <w:iCs/>
              </w:rPr>
            </m:ctrlPr>
          </m:dPr>
          <m:e>
            <m:r>
              <w:rPr>
                <w:rFonts w:ascii="Cambria Math" w:hAnsi="Cambria Math" w:cs="Arial"/>
              </w:rPr>
              <m:t>t</m:t>
            </m:r>
            <m:r>
              <w:rPr>
                <w:rFonts w:ascii="Cambria Math" w:hAnsi="Cambria Math" w:cs="Arial"/>
                <w:lang w:val="en-US"/>
              </w:rPr>
              <m:t xml:space="preserve">, </m:t>
            </m:r>
            <m:r>
              <w:rPr>
                <w:rFonts w:ascii="Cambria Math" w:hAnsi="Cambria Math" w:cs="Arial"/>
              </w:rPr>
              <m:t>x</m:t>
            </m:r>
          </m:e>
        </m:d>
        <m:r>
          <m:rPr>
            <m:sty m:val="p"/>
          </m:rPr>
          <w:rPr>
            <w:rFonts w:ascii="Cambria Math" w:hAnsi="Cambria Math" w:cs="Arial"/>
            <w:iCs/>
          </w:rPr>
          <w:sym w:font="Symbol" w:char="F0CE"/>
        </m:r>
        <m:sSup>
          <m:sSupPr>
            <m:ctrlPr>
              <w:rPr>
                <w:rFonts w:ascii="Cambria Math" w:hAnsi="Cambria Math" w:cs="Arial"/>
                <w:iCs/>
              </w:rPr>
            </m:ctrlPr>
          </m:sSupPr>
          <m:e>
            <m:r>
              <w:rPr>
                <w:rFonts w:ascii="Cambria Math" w:hAnsi="Cambria Math" w:cs="Arial"/>
              </w:rPr>
              <m:t>C</m:t>
            </m:r>
          </m:e>
          <m:sup>
            <m:r>
              <w:rPr>
                <w:rFonts w:ascii="Cambria Math" w:hAnsi="Cambria Math" w:cs="Arial"/>
                <w:lang w:val="en-US"/>
              </w:rPr>
              <m:t>1,2</m:t>
            </m:r>
          </m:sup>
        </m:sSup>
        <m:r>
          <w:rPr>
            <w:rFonts w:ascii="Cambria Math" w:hAnsi="Cambria Math" w:cs="Arial"/>
            <w:lang w:val="en-US"/>
          </w:rPr>
          <m:t>(</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m:t>
            </m:r>
          </m:sup>
        </m:sSup>
        <m:r>
          <w:rPr>
            <w:rFonts w:ascii="Cambria Math" w:hAnsi="Cambria Math" w:cs="Arial"/>
            <w:lang w:val="en-US"/>
          </w:rPr>
          <m:t>×</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rPr>
              <m:t>n</m:t>
            </m:r>
          </m:sup>
        </m:sSup>
        <m:r>
          <w:rPr>
            <w:rFonts w:ascii="Cambria Math" w:hAnsi="Cambria Math" w:cs="Arial"/>
            <w:lang w:val="en-US"/>
          </w:rPr>
          <m:t>;</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m:t>
            </m:r>
          </m:sup>
        </m:sSup>
        <m:r>
          <w:rPr>
            <w:rFonts w:ascii="Cambria Math" w:hAnsi="Cambria Math" w:cs="Arial"/>
            <w:lang w:val="en-US"/>
          </w:rPr>
          <m:t>)</m:t>
        </m:r>
      </m:oMath>
      <w:r w:rsidRPr="002429F5">
        <w:rPr>
          <w:rFonts w:ascii="Arial" w:hAnsi="Arial" w:cs="Arial"/>
          <w:iCs/>
          <w:lang w:val="en-US"/>
        </w:rPr>
        <w:t xml:space="preserve">, with </w:t>
      </w:r>
      <m:oMath>
        <m:sSup>
          <m:sSupPr>
            <m:ctrlPr>
              <w:rPr>
                <w:rFonts w:ascii="Cambria Math" w:hAnsi="Cambria Math" w:cs="Arial"/>
                <w:iCs/>
              </w:rPr>
            </m:ctrlPr>
          </m:sSupPr>
          <m:e>
            <m:r>
              <w:rPr>
                <w:rFonts w:ascii="Cambria Math" w:hAnsi="Cambria Math" w:cs="Arial"/>
              </w:rPr>
              <m:t>C</m:t>
            </m:r>
          </m:e>
          <m:sup>
            <m:r>
              <w:rPr>
                <w:rFonts w:ascii="Cambria Math" w:hAnsi="Cambria Math" w:cs="Arial"/>
                <w:lang w:val="en-US"/>
              </w:rPr>
              <m:t>1,2</m:t>
            </m:r>
          </m:sup>
        </m:sSup>
        <m:r>
          <w:rPr>
            <w:rFonts w:ascii="Cambria Math" w:hAnsi="Cambria Math" w:cs="Arial"/>
            <w:lang w:val="en-US"/>
          </w:rPr>
          <m:t>(</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m:t>
            </m:r>
          </m:sup>
        </m:sSup>
        <m:r>
          <w:rPr>
            <w:rFonts w:ascii="Cambria Math" w:hAnsi="Cambria Math" w:cs="Arial"/>
            <w:lang w:val="en-US"/>
          </w:rPr>
          <m:t>×</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rPr>
              <m:t>n</m:t>
            </m:r>
          </m:sup>
        </m:sSup>
        <m:r>
          <w:rPr>
            <w:rFonts w:ascii="Cambria Math" w:hAnsi="Cambria Math" w:cs="Arial"/>
            <w:lang w:val="en-US"/>
          </w:rPr>
          <m:t>;</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m:t>
            </m:r>
          </m:sup>
        </m:sSup>
        <m:r>
          <w:rPr>
            <w:rFonts w:ascii="Cambria Math" w:hAnsi="Cambria Math" w:cs="Arial"/>
            <w:lang w:val="en-US"/>
          </w:rPr>
          <m:t>)</m:t>
        </m:r>
      </m:oMath>
      <w:r w:rsidRPr="002429F5">
        <w:rPr>
          <w:rFonts w:ascii="Arial" w:hAnsi="Arial" w:cs="Arial"/>
          <w:iCs/>
          <w:lang w:val="en-US"/>
        </w:rPr>
        <w:t xml:space="preserve">, the family of all nonnegative functions </w:t>
      </w:r>
      <m:oMath>
        <m:r>
          <w:rPr>
            <w:rFonts w:ascii="Cambria Math" w:hAnsi="Cambria Math" w:cs="Arial"/>
          </w:rPr>
          <m:t>V</m:t>
        </m:r>
        <m:d>
          <m:dPr>
            <m:ctrlPr>
              <w:rPr>
                <w:rFonts w:ascii="Cambria Math" w:hAnsi="Cambria Math" w:cs="Arial"/>
                <w:i/>
                <w:iCs/>
              </w:rPr>
            </m:ctrlPr>
          </m:dPr>
          <m:e>
            <m:r>
              <w:rPr>
                <w:rFonts w:ascii="Cambria Math" w:hAnsi="Cambria Math" w:cs="Arial"/>
              </w:rPr>
              <m:t>t</m:t>
            </m:r>
            <m:r>
              <w:rPr>
                <w:rFonts w:ascii="Cambria Math" w:hAnsi="Cambria Math" w:cs="Arial"/>
                <w:lang w:val="en-US"/>
              </w:rPr>
              <m:t xml:space="preserve">, </m:t>
            </m:r>
            <m:r>
              <w:rPr>
                <w:rFonts w:ascii="Cambria Math" w:hAnsi="Cambria Math" w:cs="Arial"/>
              </w:rPr>
              <m:t>x</m:t>
            </m:r>
          </m:e>
        </m:d>
      </m:oMath>
      <w:r w:rsidRPr="002429F5">
        <w:rPr>
          <w:rFonts w:ascii="Arial" w:hAnsi="Arial" w:cs="Arial"/>
          <w:iCs/>
          <w:lang w:val="en-US"/>
        </w:rPr>
        <w:t xml:space="preserve"> defined on </w:t>
      </w:r>
      <m:oMath>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m:t>
            </m:r>
          </m:sup>
        </m:sSup>
        <m:r>
          <w:rPr>
            <w:rFonts w:ascii="Cambria Math" w:hAnsi="Cambria Math" w:cs="Arial"/>
            <w:lang w:val="en-US"/>
          </w:rPr>
          <m:t>×</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rPr>
              <m:t>n</m:t>
            </m:r>
          </m:sup>
        </m:sSup>
      </m:oMath>
      <w:r w:rsidRPr="002429F5">
        <w:rPr>
          <w:rFonts w:ascii="Arial" w:hAnsi="Arial" w:cs="Arial"/>
          <w:iCs/>
          <w:lang w:val="en-US"/>
        </w:rPr>
        <w:t xml:space="preserve">, such that they are continuously twice differentiable in </w:t>
      </w:r>
      <m:oMath>
        <m:r>
          <w:rPr>
            <w:rFonts w:ascii="Cambria Math" w:hAnsi="Cambria Math" w:cs="Arial"/>
          </w:rPr>
          <m:t>x</m:t>
        </m:r>
      </m:oMath>
      <w:r w:rsidRPr="002429F5">
        <w:rPr>
          <w:rFonts w:ascii="Arial" w:hAnsi="Arial" w:cs="Arial"/>
          <w:iCs/>
          <w:lang w:val="en-US"/>
        </w:rPr>
        <w:t xml:space="preserve"> and once in </w:t>
      </w:r>
      <m:oMath>
        <m:r>
          <w:rPr>
            <w:rFonts w:ascii="Cambria Math" w:hAnsi="Cambria Math" w:cs="Arial"/>
          </w:rPr>
          <m:t>t</m:t>
        </m:r>
      </m:oMath>
      <w:r w:rsidRPr="002429F5">
        <w:rPr>
          <w:rFonts w:ascii="Arial" w:hAnsi="Arial" w:cs="Arial"/>
          <w:iCs/>
          <w:lang w:val="en-US"/>
        </w:rPr>
        <w:t xml:space="preserve">, which allows to guarantee the stability of the solution of the general stochastic differential equation </w:t>
      </w:r>
    </w:p>
    <w:p w:rsidR="002429F5" w:rsidRPr="002429F5" w:rsidRDefault="002429F5" w:rsidP="002429F5">
      <w:pPr>
        <w:jc w:val="both"/>
        <w:rPr>
          <w:rFonts w:ascii="Arial" w:hAnsi="Arial" w:cs="Arial"/>
          <w:iCs/>
          <w:lang w:val="en-US"/>
        </w:rPr>
      </w:pPr>
    </w:p>
    <w:p w:rsidR="002429F5" w:rsidRPr="00954C9A" w:rsidRDefault="002429F5" w:rsidP="002429F5">
      <w:pPr>
        <w:pStyle w:val="Bodytext"/>
        <w:jc w:val="center"/>
        <w:rPr>
          <w:sz w:val="24"/>
          <w:szCs w:val="24"/>
        </w:rPr>
      </w:pPr>
      <m:oMathPara>
        <m:oMathParaPr>
          <m:jc m:val="right"/>
        </m:oMathParaPr>
        <m:oMath>
          <m:r>
            <w:rPr>
              <w:rFonts w:ascii="Cambria Math" w:hAnsi="Cambria Math"/>
              <w:sz w:val="24"/>
              <w:szCs w:val="24"/>
            </w:rPr>
            <m:t>dx</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=b</m:t>
          </m:r>
          <m:d>
            <m:dPr>
              <m:ctrlPr>
                <w:rPr>
                  <w:rFonts w:ascii="Cambria Math" w:hAnsi="Cambria Math"/>
                  <w:i/>
                  <w:sz w:val="24"/>
                  <w:szCs w:val="24"/>
                </w:rPr>
              </m:ctrlPr>
            </m:dPr>
            <m:e>
              <m:r>
                <w:rPr>
                  <w:rFonts w:ascii="Cambria Math" w:hAnsi="Cambria Math"/>
                  <w:sz w:val="24"/>
                  <w:szCs w:val="24"/>
                </w:rPr>
                <m:t>t,x</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,u(t)</m:t>
              </m:r>
            </m:e>
          </m:d>
          <m:r>
            <w:rPr>
              <w:rFonts w:ascii="Cambria Math" w:hAnsi="Cambria Math"/>
              <w:sz w:val="24"/>
              <w:szCs w:val="24"/>
            </w:rPr>
            <m:t xml:space="preserve"> dt+σ</m:t>
          </m:r>
          <m:d>
            <m:dPr>
              <m:ctrlPr>
                <w:rPr>
                  <w:rFonts w:ascii="Cambria Math" w:hAnsi="Cambria Math"/>
                  <w:i/>
                  <w:sz w:val="24"/>
                  <w:szCs w:val="24"/>
                </w:rPr>
              </m:ctrlPr>
            </m:dPr>
            <m:e>
              <m:r>
                <w:rPr>
                  <w:rFonts w:ascii="Cambria Math" w:hAnsi="Cambria Math"/>
                  <w:sz w:val="24"/>
                  <w:szCs w:val="24"/>
                </w:rPr>
                <m:t>t,x</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,u(t)</m:t>
              </m:r>
            </m:e>
          </m:d>
          <m:r>
            <w:rPr>
              <w:rFonts w:ascii="Cambria Math" w:hAnsi="Cambria Math"/>
              <w:sz w:val="24"/>
              <w:szCs w:val="24"/>
            </w:rPr>
            <m:t xml:space="preserve"> dW                               (4)</m:t>
          </m:r>
        </m:oMath>
      </m:oMathPara>
    </w:p>
    <w:p w:rsidR="002429F5" w:rsidRPr="00954C9A" w:rsidRDefault="002429F5" w:rsidP="002429F5">
      <w:pPr>
        <w:jc w:val="both"/>
        <w:rPr>
          <w:rFonts w:ascii="Arial" w:hAnsi="Arial" w:cs="Arial"/>
          <w:iCs/>
        </w:rPr>
      </w:pPr>
    </w:p>
    <w:p w:rsidR="002429F5" w:rsidRPr="002429F5" w:rsidRDefault="002429F5" w:rsidP="002429F5">
      <w:pPr>
        <w:jc w:val="both"/>
        <w:rPr>
          <w:rFonts w:ascii="Arial" w:hAnsi="Arial" w:cs="Arial"/>
          <w:iCs/>
          <w:lang w:val="en-US"/>
        </w:rPr>
      </w:pPr>
      <w:r w:rsidRPr="002429F5">
        <w:rPr>
          <w:rFonts w:ascii="Arial" w:hAnsi="Arial" w:cs="Arial"/>
          <w:iCs/>
          <w:lang w:val="en-US"/>
        </w:rPr>
        <w:t xml:space="preserve">where </w:t>
      </w:r>
      <m:oMath>
        <m:r>
          <w:rPr>
            <w:rFonts w:ascii="Cambria Math" w:hAnsi="Cambria Math" w:cs="Arial"/>
          </w:rPr>
          <m:t>b</m:t>
        </m:r>
        <m:r>
          <w:rPr>
            <w:rFonts w:ascii="Cambria Math" w:hAnsi="Cambria Math" w:cs="Arial"/>
            <w:lang w:val="en-US"/>
          </w:rPr>
          <m:t xml:space="preserve">: </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m:t>
            </m:r>
          </m:sup>
        </m:sSup>
        <m:r>
          <w:rPr>
            <w:rFonts w:ascii="Cambria Math" w:hAnsi="Cambria Math" w:cs="Arial"/>
            <w:lang w:val="en-US"/>
          </w:rPr>
          <m:t>×</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4</m:t>
            </m:r>
          </m:sup>
        </m:sSup>
        <m:r>
          <w:rPr>
            <w:rFonts w:ascii="Cambria Math" w:hAnsi="Cambria Math" w:cs="Arial"/>
            <w:lang w:val="en-US"/>
          </w:rPr>
          <m:t>×</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2</m:t>
            </m:r>
          </m:sup>
        </m:sSup>
        <m:r>
          <w:rPr>
            <w:rFonts w:ascii="Cambria Math" w:hAnsi="Cambria Math" w:cs="Arial"/>
            <w:bCs/>
            <w:i/>
            <w:iCs/>
          </w:rPr>
          <w:sym w:font="Symbol" w:char="F0AE"/>
        </m:r>
        <m:r>
          <w:rPr>
            <w:rFonts w:ascii="Cambria Math" w:hAnsi="Cambria Math" w:cs="Arial"/>
            <w:lang w:val="en-US"/>
          </w:rPr>
          <m:t xml:space="preserve"> </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4</m:t>
            </m:r>
          </m:sup>
        </m:sSup>
      </m:oMath>
      <w:r w:rsidRPr="002429F5">
        <w:rPr>
          <w:rFonts w:ascii="Arial" w:hAnsi="Arial" w:cs="Arial"/>
          <w:iCs/>
          <w:lang w:val="en-US"/>
        </w:rPr>
        <w:t xml:space="preserve">, </w:t>
      </w:r>
      <m:oMath>
        <m:r>
          <w:rPr>
            <w:rFonts w:ascii="Cambria Math" w:hAnsi="Cambria Math"/>
          </w:rPr>
          <m:t>σ</m:t>
        </m:r>
        <m:r>
          <w:rPr>
            <w:rFonts w:ascii="Cambria Math" w:hAnsi="Cambria Math" w:cs="Arial"/>
            <w:lang w:val="en-US"/>
          </w:rPr>
          <m:t xml:space="preserve">: </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m:t>
            </m:r>
          </m:sup>
        </m:sSup>
        <m:r>
          <w:rPr>
            <w:rFonts w:ascii="Cambria Math" w:hAnsi="Cambria Math" w:cs="Arial"/>
            <w:lang w:val="en-US"/>
          </w:rPr>
          <m:t>×</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4</m:t>
            </m:r>
          </m:sup>
        </m:sSup>
        <m:r>
          <w:rPr>
            <w:rFonts w:ascii="Cambria Math" w:hAnsi="Cambria Math" w:cs="Arial"/>
            <w:lang w:val="en-US"/>
          </w:rPr>
          <m:t>×</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2</m:t>
            </m:r>
          </m:sup>
        </m:sSup>
        <m:r>
          <w:rPr>
            <w:rFonts w:ascii="Cambria Math" w:hAnsi="Cambria Math" w:cs="Arial"/>
            <w:bCs/>
            <w:i/>
            <w:iCs/>
          </w:rPr>
          <w:sym w:font="Symbol" w:char="F0AE"/>
        </m:r>
        <m:r>
          <w:rPr>
            <w:rFonts w:ascii="Cambria Math" w:hAnsi="Cambria Math" w:cs="Arial"/>
            <w:lang w:val="en-US"/>
          </w:rPr>
          <m:t xml:space="preserve"> </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4×4</m:t>
            </m:r>
          </m:sup>
        </m:sSup>
      </m:oMath>
      <w:r w:rsidRPr="002429F5">
        <w:rPr>
          <w:rFonts w:ascii="Arial" w:hAnsi="Arial" w:cs="Arial"/>
          <w:iCs/>
          <w:lang w:val="en-US"/>
        </w:rPr>
        <w:t xml:space="preserve"> and </w:t>
      </w:r>
      <m:oMath>
        <m:r>
          <w:rPr>
            <w:rFonts w:ascii="Cambria Math" w:hAnsi="Cambria Math"/>
          </w:rPr>
          <m:t>W</m:t>
        </m:r>
        <m:r>
          <w:rPr>
            <w:rFonts w:ascii="Cambria Math" w:hAnsi="Cambria Math"/>
            <w:lang w:val="en-US"/>
          </w:rPr>
          <m:t>(</m:t>
        </m:r>
        <m:r>
          <w:rPr>
            <w:rFonts w:ascii="Cambria Math" w:hAnsi="Cambria Math"/>
          </w:rPr>
          <m:t>t</m:t>
        </m:r>
        <m:r>
          <w:rPr>
            <w:rFonts w:ascii="Cambria Math" w:hAnsi="Cambria Math"/>
            <w:lang w:val="en-US"/>
          </w:rPr>
          <m:t>)</m:t>
        </m:r>
      </m:oMath>
      <w:r w:rsidRPr="002429F5">
        <w:rPr>
          <w:rFonts w:ascii="Arial" w:hAnsi="Arial" w:cs="Arial"/>
          <w:lang w:val="en-US"/>
        </w:rPr>
        <w:t xml:space="preserve"> is a 1-dimensional Brownian motion.</w:t>
      </w:r>
    </w:p>
    <w:p w:rsidR="002429F5" w:rsidRPr="002429F5" w:rsidRDefault="002429F5" w:rsidP="002429F5">
      <w:pPr>
        <w:jc w:val="both"/>
        <w:rPr>
          <w:rFonts w:ascii="Arial" w:hAnsi="Arial" w:cs="Arial"/>
          <w:iCs/>
          <w:lang w:val="en-US"/>
        </w:rPr>
      </w:pPr>
      <w:r w:rsidRPr="002429F5">
        <w:rPr>
          <w:rFonts w:ascii="Arial" w:hAnsi="Arial" w:cs="Arial"/>
          <w:iCs/>
          <w:lang w:val="en-US"/>
        </w:rPr>
        <w:t xml:space="preserve">     The function </w:t>
      </w:r>
      <m:oMath>
        <m:r>
          <w:rPr>
            <w:rFonts w:ascii="Cambria Math" w:hAnsi="Cambria Math" w:cs="Arial"/>
          </w:rPr>
          <m:t>V</m:t>
        </m:r>
        <m:d>
          <m:dPr>
            <m:ctrlPr>
              <w:rPr>
                <w:rFonts w:ascii="Cambria Math" w:hAnsi="Cambria Math" w:cs="Arial"/>
                <w:i/>
                <w:iCs/>
              </w:rPr>
            </m:ctrlPr>
          </m:dPr>
          <m:e>
            <m:r>
              <w:rPr>
                <w:rFonts w:ascii="Cambria Math" w:hAnsi="Cambria Math" w:cs="Arial"/>
              </w:rPr>
              <m:t>t</m:t>
            </m:r>
            <m:r>
              <w:rPr>
                <w:rFonts w:ascii="Cambria Math" w:hAnsi="Cambria Math" w:cs="Arial"/>
                <w:lang w:val="en-US"/>
              </w:rPr>
              <m:t xml:space="preserve">, </m:t>
            </m:r>
            <m:r>
              <w:rPr>
                <w:rFonts w:ascii="Cambria Math" w:hAnsi="Cambria Math" w:cs="Arial"/>
              </w:rPr>
              <m:t>x</m:t>
            </m:r>
          </m:e>
        </m:d>
      </m:oMath>
      <w:r w:rsidRPr="002429F5">
        <w:rPr>
          <w:rFonts w:ascii="Arial" w:hAnsi="Arial" w:cs="Arial"/>
          <w:iCs/>
          <w:lang w:val="en-US"/>
        </w:rPr>
        <w:t xml:space="preserve"> must satisfy, according to Itô’s formula, the expression:</w:t>
      </w:r>
    </w:p>
    <w:p w:rsidR="002429F5" w:rsidRPr="002429F5" w:rsidRDefault="002429F5" w:rsidP="002429F5">
      <w:pPr>
        <w:jc w:val="both"/>
        <w:rPr>
          <w:rFonts w:ascii="Arial" w:hAnsi="Arial" w:cs="Arial"/>
          <w:iCs/>
          <w:lang w:val="en-US"/>
        </w:rPr>
      </w:pPr>
    </w:p>
    <w:p w:rsidR="002429F5" w:rsidRPr="00954C9A" w:rsidRDefault="002429F5" w:rsidP="002429F5">
      <w:pPr>
        <w:jc w:val="both"/>
        <w:rPr>
          <w:rFonts w:ascii="Arial" w:hAnsi="Arial" w:cs="Arial"/>
          <w:iCs/>
        </w:rPr>
      </w:pPr>
      <m:oMathPara>
        <m:oMathParaPr>
          <m:jc m:val="right"/>
        </m:oMathParaPr>
        <m:oMath>
          <m:r>
            <w:rPr>
              <w:rFonts w:ascii="Cambria Math" w:hAnsi="Cambria Math" w:cs="Arial"/>
            </w:rPr>
            <m:t>dV</m:t>
          </m:r>
          <m:d>
            <m:dPr>
              <m:ctrlPr>
                <w:rPr>
                  <w:rFonts w:ascii="Cambria Math" w:hAnsi="Cambria Math" w:cs="Arial"/>
                  <w:i/>
                  <w:iCs/>
                </w:rPr>
              </m:ctrlPr>
            </m:dPr>
            <m:e>
              <m:r>
                <w:rPr>
                  <w:rFonts w:ascii="Cambria Math" w:hAnsi="Cambria Math" w:cs="Arial"/>
                </w:rPr>
                <m:t>t,x</m:t>
              </m:r>
            </m:e>
          </m:d>
          <m:r>
            <w:rPr>
              <w:rFonts w:ascii="Cambria Math" w:hAnsi="Cambria Math" w:cs="Arial"/>
            </w:rPr>
            <m:t>=LV</m:t>
          </m:r>
          <m:d>
            <m:dPr>
              <m:ctrlPr>
                <w:rPr>
                  <w:rFonts w:ascii="Cambria Math" w:hAnsi="Cambria Math" w:cs="Arial"/>
                  <w:i/>
                  <w:iCs/>
                </w:rPr>
              </m:ctrlPr>
            </m:dPr>
            <m:e>
              <m:r>
                <w:rPr>
                  <w:rFonts w:ascii="Cambria Math" w:hAnsi="Cambria Math" w:cs="Arial"/>
                </w:rPr>
                <m:t>t,x</m:t>
              </m:r>
            </m:e>
          </m:d>
          <m:r>
            <w:rPr>
              <w:rFonts w:ascii="Cambria Math" w:hAnsi="Cambria Math" w:cs="Arial"/>
            </w:rPr>
            <m:t>dt+</m:t>
          </m:r>
          <m:sSub>
            <m:sSubPr>
              <m:ctrlPr>
                <w:rPr>
                  <w:rFonts w:ascii="Cambria Math" w:hAnsi="Cambria Math" w:cs="Arial"/>
                  <w:i/>
                  <w:iCs/>
                </w:rPr>
              </m:ctrlPr>
            </m:sSubPr>
            <m:e>
              <m:r>
                <w:rPr>
                  <w:rFonts w:ascii="Cambria Math" w:hAnsi="Cambria Math" w:cs="Arial"/>
                </w:rPr>
                <m:t>V</m:t>
              </m:r>
            </m:e>
            <m:sub>
              <m:r>
                <w:rPr>
                  <w:rFonts w:ascii="Cambria Math" w:hAnsi="Cambria Math" w:cs="Arial"/>
                </w:rPr>
                <m:t>x</m:t>
              </m:r>
            </m:sub>
          </m:sSub>
          <m:d>
            <m:dPr>
              <m:ctrlPr>
                <w:rPr>
                  <w:rFonts w:ascii="Cambria Math" w:hAnsi="Cambria Math" w:cs="Arial"/>
                  <w:i/>
                  <w:iCs/>
                </w:rPr>
              </m:ctrlPr>
            </m:dPr>
            <m:e>
              <m:r>
                <w:rPr>
                  <w:rFonts w:ascii="Cambria Math" w:hAnsi="Cambria Math" w:cs="Arial"/>
                </w:rPr>
                <m:t>t,x</m:t>
              </m:r>
            </m:e>
          </m:d>
          <m:r>
            <w:rPr>
              <w:rFonts w:ascii="Cambria Math" w:hAnsi="Cambria Math" w:cs="Arial"/>
            </w:rPr>
            <m:t>σ</m:t>
          </m:r>
          <m:d>
            <m:dPr>
              <m:ctrlPr>
                <w:rPr>
                  <w:rFonts w:ascii="Cambria Math" w:hAnsi="Cambria Math" w:cs="Arial"/>
                  <w:i/>
                  <w:iCs/>
                </w:rPr>
              </m:ctrlPr>
            </m:dPr>
            <m:e>
              <m:r>
                <w:rPr>
                  <w:rFonts w:ascii="Cambria Math" w:hAnsi="Cambria Math" w:cs="Arial"/>
                </w:rPr>
                <m:t>t,x</m:t>
              </m:r>
            </m:e>
          </m:d>
          <m:r>
            <w:rPr>
              <w:rFonts w:ascii="Cambria Math" w:hAnsi="Cambria Math" w:cs="Arial"/>
            </w:rPr>
            <m:t>dW</m:t>
          </m:r>
          <m:d>
            <m:dPr>
              <m:ctrlPr>
                <w:rPr>
                  <w:rFonts w:ascii="Cambria Math" w:hAnsi="Cambria Math" w:cs="Arial"/>
                  <w:i/>
                  <w:iCs/>
                </w:rPr>
              </m:ctrlPr>
            </m:dPr>
            <m:e>
              <m:r>
                <w:rPr>
                  <w:rFonts w:ascii="Cambria Math" w:hAnsi="Cambria Math" w:cs="Arial"/>
                </w:rPr>
                <m:t>t</m:t>
              </m:r>
            </m:e>
          </m:d>
          <m:r>
            <w:rPr>
              <w:rFonts w:ascii="Cambria Math" w:hAnsi="Cambria Math" w:cs="Arial"/>
            </w:rPr>
            <m:t xml:space="preserve">                                  (5)</m:t>
          </m:r>
        </m:oMath>
      </m:oMathPara>
    </w:p>
    <w:p w:rsidR="002429F5" w:rsidRPr="00954C9A" w:rsidRDefault="002429F5" w:rsidP="002429F5">
      <w:pPr>
        <w:jc w:val="both"/>
        <w:rPr>
          <w:rFonts w:ascii="Arial" w:hAnsi="Arial" w:cs="Arial"/>
          <w:iCs/>
        </w:rPr>
      </w:pPr>
    </w:p>
    <w:p w:rsidR="002429F5" w:rsidRPr="002429F5" w:rsidRDefault="002429F5" w:rsidP="002429F5">
      <w:pPr>
        <w:jc w:val="both"/>
        <w:rPr>
          <w:rFonts w:ascii="Arial" w:hAnsi="Arial" w:cs="Arial"/>
          <w:iCs/>
          <w:lang w:val="en-US"/>
        </w:rPr>
      </w:pPr>
      <w:r w:rsidRPr="002429F5">
        <w:rPr>
          <w:rFonts w:ascii="Arial" w:hAnsi="Arial" w:cs="Arial"/>
          <w:iCs/>
          <w:lang w:val="en-US"/>
        </w:rPr>
        <w:t xml:space="preserve">where </w:t>
      </w:r>
      <m:oMath>
        <m:r>
          <w:rPr>
            <w:rFonts w:ascii="Cambria Math" w:hAnsi="Cambria Math" w:cs="Arial"/>
          </w:rPr>
          <m:t>L</m:t>
        </m:r>
        <m:r>
          <w:rPr>
            <w:rFonts w:ascii="Cambria Math" w:hAnsi="Cambria Math" w:cs="Arial"/>
            <w:lang w:val="en-US"/>
          </w:rPr>
          <m:t>:</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m:t>
            </m:r>
          </m:sup>
        </m:sSup>
        <m:r>
          <w:rPr>
            <w:rFonts w:ascii="Cambria Math" w:hAnsi="Cambria Math" w:cs="Arial"/>
            <w:lang w:val="en-US"/>
          </w:rPr>
          <m:t>×</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4</m:t>
            </m:r>
          </m:sup>
        </m:sSup>
        <m:r>
          <w:rPr>
            <w:rFonts w:ascii="Cambria Math" w:hAnsi="Cambria Math" w:cs="Arial"/>
            <w:bCs/>
            <w:i/>
            <w:iCs/>
          </w:rPr>
          <w:sym w:font="Symbol" w:char="F0AE"/>
        </m:r>
      </m:oMath>
      <w:r w:rsidRPr="002429F5">
        <w:rPr>
          <w:rFonts w:ascii="Arial" w:hAnsi="Arial" w:cs="Arial"/>
          <w:iCs/>
          <w:lang w:val="en-US"/>
        </w:rPr>
        <w:t xml:space="preserve"> </w:t>
      </w:r>
      <m:oMath>
        <m:r>
          <m:rPr>
            <m:scr m:val="double-struck"/>
          </m:rPr>
          <w:rPr>
            <w:rFonts w:ascii="Cambria Math" w:hAnsi="Cambria Math" w:cs="Arial"/>
            <w:lang w:val="en-US"/>
          </w:rPr>
          <m:t>R</m:t>
        </m:r>
      </m:oMath>
      <w:r w:rsidRPr="002429F5">
        <w:rPr>
          <w:rFonts w:ascii="Arial" w:hAnsi="Arial" w:cs="Arial"/>
          <w:iCs/>
          <w:lang w:val="en-US"/>
        </w:rPr>
        <w:t xml:space="preserve"> is the diffusion operator acting on </w:t>
      </w:r>
      <m:oMath>
        <m:r>
          <w:rPr>
            <w:rFonts w:ascii="Cambria Math" w:hAnsi="Cambria Math" w:cs="Arial"/>
          </w:rPr>
          <m:t>V</m:t>
        </m:r>
        <m:d>
          <m:dPr>
            <m:ctrlPr>
              <w:rPr>
                <w:rFonts w:ascii="Cambria Math" w:hAnsi="Cambria Math" w:cs="Arial"/>
                <w:i/>
                <w:iCs/>
              </w:rPr>
            </m:ctrlPr>
          </m:dPr>
          <m:e>
            <m:r>
              <w:rPr>
                <w:rFonts w:ascii="Cambria Math" w:hAnsi="Cambria Math" w:cs="Arial"/>
              </w:rPr>
              <m:t>t</m:t>
            </m:r>
            <m:r>
              <w:rPr>
                <w:rFonts w:ascii="Cambria Math" w:hAnsi="Cambria Math" w:cs="Arial"/>
                <w:lang w:val="en-US"/>
              </w:rPr>
              <m:t xml:space="preserve">, </m:t>
            </m:r>
            <m:r>
              <w:rPr>
                <w:rFonts w:ascii="Cambria Math" w:hAnsi="Cambria Math" w:cs="Arial"/>
              </w:rPr>
              <m:t>x</m:t>
            </m:r>
          </m:e>
        </m:d>
      </m:oMath>
      <w:r w:rsidRPr="002429F5">
        <w:rPr>
          <w:rFonts w:ascii="Arial" w:hAnsi="Arial" w:cs="Arial"/>
          <w:iCs/>
          <w:lang w:val="en-US"/>
        </w:rPr>
        <w:t xml:space="preserve"> and defined by</w:t>
      </w:r>
    </w:p>
    <w:p w:rsidR="002429F5" w:rsidRPr="002429F5" w:rsidRDefault="002429F5" w:rsidP="002429F5">
      <w:pPr>
        <w:jc w:val="both"/>
        <w:rPr>
          <w:rFonts w:ascii="Arial" w:hAnsi="Arial" w:cs="Arial"/>
          <w:iCs/>
          <w:lang w:val="en-US"/>
        </w:rPr>
      </w:pPr>
    </w:p>
    <w:p w:rsidR="002429F5" w:rsidRPr="00954C9A" w:rsidRDefault="002429F5" w:rsidP="002429F5">
      <w:pPr>
        <w:jc w:val="both"/>
        <w:rPr>
          <w:rFonts w:ascii="Arial" w:hAnsi="Arial" w:cs="Arial"/>
          <w:iCs/>
        </w:rPr>
      </w:pPr>
      <m:oMathPara>
        <m:oMathParaPr>
          <m:jc m:val="right"/>
        </m:oMathParaPr>
        <m:oMath>
          <m:r>
            <w:rPr>
              <w:rFonts w:ascii="Cambria Math" w:hAnsi="Cambria Math" w:cs="Arial"/>
            </w:rPr>
            <m:t xml:space="preserve">L= </m:t>
          </m:r>
          <m:f>
            <m:fPr>
              <m:ctrlPr>
                <w:rPr>
                  <w:rFonts w:ascii="Cambria Math" w:hAnsi="Cambria Math" w:cs="Arial"/>
                  <w:i/>
                </w:rPr>
              </m:ctrlPr>
            </m:fPr>
            <m:num>
              <m:r>
                <w:rPr>
                  <w:rFonts w:ascii="Cambria Math" w:hAnsi="Cambria Math" w:cs="Arial"/>
                </w:rPr>
                <m:t>∂</m:t>
              </m:r>
            </m:num>
            <m:den>
              <m:r>
                <w:rPr>
                  <w:rFonts w:ascii="Cambria Math" w:hAnsi="Cambria Math" w:cs="Arial"/>
                </w:rPr>
                <m:t>∂t</m:t>
              </m:r>
            </m:den>
          </m:f>
          <m:r>
            <w:rPr>
              <w:rFonts w:ascii="Cambria Math" w:hAnsi="Cambria Math" w:cs="Arial"/>
            </w:rPr>
            <m:t>+</m:t>
          </m:r>
          <m:nary>
            <m:naryPr>
              <m:chr m:val="∑"/>
              <m:limLoc m:val="undOvr"/>
              <m:ctrlPr>
                <w:rPr>
                  <w:rFonts w:ascii="Cambria Math" w:hAnsi="Cambria Math" w:cs="Arial"/>
                  <w:i/>
                  <w:iCs/>
                </w:rPr>
              </m:ctrlPr>
            </m:naryPr>
            <m:sub>
              <m:r>
                <w:rPr>
                  <w:rFonts w:ascii="Cambria Math" w:hAnsi="Cambria Math" w:cs="Arial"/>
                </w:rPr>
                <m:t>i=1</m:t>
              </m:r>
            </m:sub>
            <m:sup>
              <m:r>
                <w:rPr>
                  <w:rFonts w:ascii="Cambria Math" w:hAnsi="Cambria Math" w:cs="Arial"/>
                </w:rPr>
                <m:t>4</m:t>
              </m:r>
            </m:sup>
            <m:e>
              <m:sSub>
                <m:sSubPr>
                  <m:ctrlPr>
                    <w:rPr>
                      <w:rFonts w:ascii="Cambria Math" w:hAnsi="Cambria Math" w:cs="Arial"/>
                      <w:i/>
                    </w:rPr>
                  </m:ctrlPr>
                </m:sSubPr>
                <m:e>
                  <m:r>
                    <w:rPr>
                      <w:rFonts w:ascii="Cambria Math" w:hAnsi="Cambria Math" w:cs="Arial"/>
                    </w:rPr>
                    <m:t>b</m:t>
                  </m:r>
                </m:e>
                <m:sub>
                  <m:r>
                    <w:rPr>
                      <w:rFonts w:ascii="Cambria Math" w:hAnsi="Cambria Math" w:cs="Arial"/>
                    </w:rPr>
                    <m:t>i</m:t>
                  </m:r>
                </m:sub>
              </m:sSub>
              <m:d>
                <m:dPr>
                  <m:ctrlPr>
                    <w:rPr>
                      <w:rFonts w:ascii="Cambria Math" w:hAnsi="Cambria Math" w:cs="Arial"/>
                      <w:i/>
                      <w:iCs/>
                    </w:rPr>
                  </m:ctrlPr>
                </m:dPr>
                <m:e>
                  <m:r>
                    <w:rPr>
                      <w:rFonts w:ascii="Cambria Math" w:hAnsi="Cambria Math" w:cs="Arial"/>
                    </w:rPr>
                    <m:t>t,x,u</m:t>
                  </m:r>
                </m:e>
              </m:d>
              <m:f>
                <m:fPr>
                  <m:ctrlPr>
                    <w:rPr>
                      <w:rFonts w:ascii="Cambria Math" w:hAnsi="Cambria Math" w:cs="Arial"/>
                      <w:i/>
                    </w:rPr>
                  </m:ctrlPr>
                </m:fPr>
                <m:num>
                  <m:r>
                    <w:rPr>
                      <w:rFonts w:ascii="Cambria Math" w:hAnsi="Cambria Math" w:cs="Arial"/>
                    </w:rPr>
                    <m:t>∂</m:t>
                  </m:r>
                </m:num>
                <m:den>
                  <m: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i</m:t>
                      </m:r>
                    </m:sub>
                  </m:sSub>
                </m:den>
              </m:f>
            </m:e>
          </m:nary>
          <m:r>
            <w:rPr>
              <w:rFonts w:ascii="Cambria Math" w:hAnsi="Cambria Math" w:cs="Arial"/>
            </w:rPr>
            <m:t>+</m:t>
          </m:r>
          <m:f>
            <m:fPr>
              <m:ctrlPr>
                <w:rPr>
                  <w:rFonts w:ascii="Cambria Math" w:hAnsi="Cambria Math" w:cs="Arial"/>
                  <w:i/>
                  <w:iCs/>
                </w:rPr>
              </m:ctrlPr>
            </m:fPr>
            <m:num>
              <m:r>
                <w:rPr>
                  <w:rFonts w:ascii="Cambria Math" w:hAnsi="Cambria Math" w:cs="Arial"/>
                </w:rPr>
                <m:t>1</m:t>
              </m:r>
            </m:num>
            <m:den>
              <m:r>
                <w:rPr>
                  <w:rFonts w:ascii="Cambria Math" w:hAnsi="Cambria Math" w:cs="Arial"/>
                </w:rPr>
                <m:t>2</m:t>
              </m:r>
            </m:den>
          </m:f>
          <m:r>
            <w:rPr>
              <w:rFonts w:ascii="Cambria Math" w:hAnsi="Cambria Math" w:cs="Arial"/>
            </w:rPr>
            <m:t xml:space="preserve"> </m:t>
          </m:r>
          <m:nary>
            <m:naryPr>
              <m:chr m:val="∑"/>
              <m:limLoc m:val="undOvr"/>
              <m:ctrlPr>
                <w:rPr>
                  <w:rFonts w:ascii="Cambria Math" w:hAnsi="Cambria Math" w:cs="Arial"/>
                  <w:i/>
                  <w:iCs/>
                </w:rPr>
              </m:ctrlPr>
            </m:naryPr>
            <m:sub>
              <m:r>
                <w:rPr>
                  <w:rFonts w:ascii="Cambria Math" w:hAnsi="Cambria Math" w:cs="Arial"/>
                </w:rPr>
                <m:t>i,j=1</m:t>
              </m:r>
            </m:sub>
            <m:sup>
              <m:r>
                <w:rPr>
                  <w:rFonts w:ascii="Cambria Math" w:hAnsi="Cambria Math" w:cs="Arial"/>
                </w:rPr>
                <m:t>4</m:t>
              </m:r>
            </m:sup>
            <m:e>
              <m:sSub>
                <m:sSubPr>
                  <m:ctrlPr>
                    <w:rPr>
                      <w:rFonts w:ascii="Cambria Math" w:hAnsi="Cambria Math" w:cs="Arial"/>
                      <w:i/>
                    </w:rPr>
                  </m:ctrlPr>
                </m:sSubPr>
                <m:e>
                  <m:d>
                    <m:dPr>
                      <m:begChr m:val="["/>
                      <m:endChr m:val="]"/>
                      <m:ctrlPr>
                        <w:rPr>
                          <w:rFonts w:ascii="Cambria Math" w:hAnsi="Cambria Math" w:cs="Arial"/>
                          <w:i/>
                        </w:rPr>
                      </m:ctrlPr>
                    </m:dPr>
                    <m:e>
                      <m:r>
                        <w:rPr>
                          <w:rFonts w:ascii="Cambria Math" w:hAnsi="Cambria Math" w:cs="Arial"/>
                        </w:rPr>
                        <m:t>σ</m:t>
                      </m:r>
                      <m:d>
                        <m:dPr>
                          <m:ctrlPr>
                            <w:rPr>
                              <w:rFonts w:ascii="Cambria Math" w:hAnsi="Cambria Math" w:cs="Arial"/>
                              <w:i/>
                              <w:iCs/>
                            </w:rPr>
                          </m:ctrlPr>
                        </m:dPr>
                        <m:e>
                          <m:r>
                            <w:rPr>
                              <w:rFonts w:ascii="Cambria Math" w:hAnsi="Cambria Math" w:cs="Arial"/>
                            </w:rPr>
                            <m:t>t,x,u</m:t>
                          </m:r>
                        </m:e>
                      </m:d>
                      <m:sSup>
                        <m:sSupPr>
                          <m:ctrlPr>
                            <w:rPr>
                              <w:rFonts w:ascii="Cambria Math" w:hAnsi="Cambria Math" w:cs="Arial"/>
                              <w:i/>
                              <w:iCs/>
                            </w:rPr>
                          </m:ctrlPr>
                        </m:sSupPr>
                        <m:e>
                          <m:r>
                            <w:rPr>
                              <w:rFonts w:ascii="Cambria Math" w:hAnsi="Cambria Math" w:cs="Arial"/>
                            </w:rPr>
                            <m:t>σ</m:t>
                          </m:r>
                          <m:d>
                            <m:dPr>
                              <m:ctrlPr>
                                <w:rPr>
                                  <w:rFonts w:ascii="Cambria Math" w:hAnsi="Cambria Math" w:cs="Arial"/>
                                  <w:i/>
                                  <w:iCs/>
                                </w:rPr>
                              </m:ctrlPr>
                            </m:dPr>
                            <m:e>
                              <m:r>
                                <w:rPr>
                                  <w:rFonts w:ascii="Cambria Math" w:hAnsi="Cambria Math" w:cs="Arial"/>
                                </w:rPr>
                                <m:t>t,x,u</m:t>
                              </m:r>
                            </m:e>
                          </m:d>
                        </m:e>
                        <m:sup>
                          <m:r>
                            <w:rPr>
                              <w:rFonts w:ascii="Cambria Math" w:hAnsi="Cambria Math" w:cs="Arial"/>
                            </w:rPr>
                            <m:t>t</m:t>
                          </m:r>
                        </m:sup>
                      </m:sSup>
                    </m:e>
                  </m:d>
                </m:e>
                <m:sub>
                  <m:r>
                    <w:rPr>
                      <w:rFonts w:ascii="Cambria Math" w:hAnsi="Cambria Math" w:cs="Arial"/>
                    </w:rPr>
                    <m:t>ij</m:t>
                  </m:r>
                </m:sub>
              </m:sSub>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m:t>
                      </m:r>
                    </m:e>
                    <m:sup>
                      <m:r>
                        <w:rPr>
                          <w:rFonts w:ascii="Cambria Math" w:hAnsi="Cambria Math" w:cs="Arial"/>
                        </w:rPr>
                        <m:t>2</m:t>
                      </m:r>
                    </m:sup>
                  </m:sSup>
                </m:num>
                <m:den>
                  <m: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i</m:t>
                      </m:r>
                    </m:sub>
                  </m:sSub>
                  <m: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j</m:t>
                      </m:r>
                    </m:sub>
                  </m:sSub>
                </m:den>
              </m:f>
            </m:e>
          </m:nary>
          <m:r>
            <w:rPr>
              <w:rFonts w:ascii="Cambria Math" w:hAnsi="Cambria Math" w:cs="Arial"/>
            </w:rPr>
            <m:t xml:space="preserve">                  (6)</m:t>
          </m:r>
        </m:oMath>
      </m:oMathPara>
    </w:p>
    <w:p w:rsidR="002429F5" w:rsidRPr="00954C9A" w:rsidRDefault="002429F5" w:rsidP="002429F5">
      <w:pPr>
        <w:jc w:val="both"/>
        <w:rPr>
          <w:rFonts w:ascii="Arial" w:hAnsi="Arial" w:cs="Arial"/>
          <w:iCs/>
        </w:rPr>
      </w:pPr>
    </w:p>
    <w:p w:rsidR="002429F5" w:rsidRPr="002429F5" w:rsidRDefault="002429F5" w:rsidP="002429F5">
      <w:pPr>
        <w:jc w:val="both"/>
        <w:rPr>
          <w:rFonts w:ascii="Arial" w:hAnsi="Arial" w:cs="Arial"/>
          <w:iCs/>
          <w:lang w:val="en-US"/>
        </w:rPr>
      </w:pPr>
      <w:r w:rsidRPr="002429F5">
        <w:rPr>
          <w:rFonts w:ascii="Arial" w:hAnsi="Arial" w:cs="Arial"/>
          <w:iCs/>
          <w:lang w:val="en-US"/>
        </w:rPr>
        <w:t xml:space="preserve">It is also convenient to introduce the operator </w:t>
      </w:r>
      <m:oMath>
        <m:r>
          <w:rPr>
            <w:rFonts w:ascii="Cambria Math" w:hAnsi="Cambria Math" w:cs="Arial"/>
          </w:rPr>
          <m:t>Q</m:t>
        </m:r>
        <m:r>
          <w:rPr>
            <w:rFonts w:ascii="Cambria Math" w:hAnsi="Cambria Math" w:cs="Arial"/>
            <w:lang w:val="en-US"/>
          </w:rPr>
          <m:t>:</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m:t>
            </m:r>
          </m:sup>
        </m:sSup>
        <m:r>
          <w:rPr>
            <w:rFonts w:ascii="Cambria Math" w:hAnsi="Cambria Math" w:cs="Arial"/>
            <w:lang w:val="en-US"/>
          </w:rPr>
          <m:t>×</m:t>
        </m:r>
        <m:sSup>
          <m:sSupPr>
            <m:ctrlPr>
              <w:rPr>
                <w:rFonts w:ascii="Cambria Math" w:hAnsi="Cambria Math" w:cs="Arial"/>
                <w:i/>
                <w:iCs/>
              </w:rPr>
            </m:ctrlPr>
          </m:sSupPr>
          <m:e>
            <m:r>
              <m:rPr>
                <m:scr m:val="double-struck"/>
              </m:rPr>
              <w:rPr>
                <w:rFonts w:ascii="Cambria Math" w:hAnsi="Cambria Math" w:cs="Arial"/>
                <w:lang w:val="en-US"/>
              </w:rPr>
              <m:t>R</m:t>
            </m:r>
          </m:e>
          <m:sup>
            <m:r>
              <w:rPr>
                <w:rFonts w:ascii="Cambria Math" w:hAnsi="Cambria Math" w:cs="Arial"/>
                <w:lang w:val="en-US"/>
              </w:rPr>
              <m:t>4</m:t>
            </m:r>
          </m:sup>
        </m:sSup>
        <m:r>
          <w:rPr>
            <w:rFonts w:ascii="Cambria Math" w:hAnsi="Cambria Math" w:cs="Arial"/>
            <w:bCs/>
            <w:i/>
            <w:iCs/>
          </w:rPr>
          <w:sym w:font="Symbol" w:char="F0AE"/>
        </m:r>
      </m:oMath>
      <w:r w:rsidRPr="002429F5">
        <w:rPr>
          <w:rFonts w:ascii="Arial" w:hAnsi="Arial" w:cs="Arial"/>
          <w:iCs/>
          <w:lang w:val="en-US"/>
        </w:rPr>
        <w:t xml:space="preserve"> </w:t>
      </w:r>
      <m:oMath>
        <m:r>
          <m:rPr>
            <m:scr m:val="double-struck"/>
          </m:rPr>
          <w:rPr>
            <w:rFonts w:ascii="Cambria Math" w:hAnsi="Cambria Math" w:cs="Arial"/>
            <w:lang w:val="en-US"/>
          </w:rPr>
          <m:t>R</m:t>
        </m:r>
      </m:oMath>
      <w:r w:rsidRPr="002429F5">
        <w:rPr>
          <w:rFonts w:ascii="Arial" w:hAnsi="Arial" w:cs="Arial"/>
          <w:lang w:val="en-US"/>
        </w:rPr>
        <w:t xml:space="preserve">, </w:t>
      </w:r>
      <w:r w:rsidRPr="002429F5">
        <w:rPr>
          <w:rFonts w:ascii="Arial" w:hAnsi="Arial" w:cs="Arial"/>
          <w:iCs/>
          <w:lang w:val="en-US"/>
        </w:rPr>
        <w:t xml:space="preserve">which, acting on </w:t>
      </w:r>
      <m:oMath>
        <m:r>
          <w:rPr>
            <w:rFonts w:ascii="Cambria Math" w:hAnsi="Cambria Math" w:cs="Arial"/>
          </w:rPr>
          <m:t>V</m:t>
        </m:r>
        <m:d>
          <m:dPr>
            <m:ctrlPr>
              <w:rPr>
                <w:rFonts w:ascii="Cambria Math" w:hAnsi="Cambria Math" w:cs="Arial"/>
                <w:i/>
                <w:iCs/>
              </w:rPr>
            </m:ctrlPr>
          </m:dPr>
          <m:e>
            <m:r>
              <w:rPr>
                <w:rFonts w:ascii="Cambria Math" w:hAnsi="Cambria Math" w:cs="Arial"/>
              </w:rPr>
              <m:t>t</m:t>
            </m:r>
            <m:r>
              <w:rPr>
                <w:rFonts w:ascii="Cambria Math" w:hAnsi="Cambria Math" w:cs="Arial"/>
                <w:lang w:val="en-US"/>
              </w:rPr>
              <m:t xml:space="preserve">, </m:t>
            </m:r>
            <m:r>
              <w:rPr>
                <w:rFonts w:ascii="Cambria Math" w:hAnsi="Cambria Math" w:cs="Arial"/>
              </w:rPr>
              <m:t>x</m:t>
            </m:r>
          </m:e>
        </m:d>
      </m:oMath>
      <w:r w:rsidRPr="002429F5">
        <w:rPr>
          <w:rFonts w:ascii="Arial" w:hAnsi="Arial" w:cs="Arial"/>
          <w:iCs/>
          <w:lang w:val="en-US"/>
        </w:rPr>
        <w:t>, has the following form:</w:t>
      </w:r>
    </w:p>
    <w:p w:rsidR="002429F5" w:rsidRPr="002429F5" w:rsidRDefault="002429F5" w:rsidP="002429F5">
      <w:pPr>
        <w:jc w:val="both"/>
        <w:rPr>
          <w:rFonts w:ascii="Arial" w:hAnsi="Arial" w:cs="Arial"/>
          <w:iCs/>
          <w:lang w:val="en-US"/>
        </w:rPr>
      </w:pPr>
    </w:p>
    <w:p w:rsidR="002429F5" w:rsidRPr="00954C9A" w:rsidRDefault="002429F5" w:rsidP="002429F5">
      <w:pPr>
        <w:jc w:val="both"/>
        <w:rPr>
          <w:rFonts w:ascii="Arial" w:hAnsi="Arial" w:cs="Arial"/>
          <w:iCs/>
        </w:rPr>
      </w:pPr>
      <m:oMathPara>
        <m:oMathParaPr>
          <m:jc m:val="right"/>
        </m:oMathParaPr>
        <m:oMath>
          <m:r>
            <w:rPr>
              <w:rFonts w:ascii="Cambria Math" w:hAnsi="Cambria Math" w:cs="Arial"/>
            </w:rPr>
            <m:t>QV</m:t>
          </m:r>
          <m:d>
            <m:dPr>
              <m:ctrlPr>
                <w:rPr>
                  <w:rFonts w:ascii="Cambria Math" w:hAnsi="Cambria Math" w:cs="Arial"/>
                  <w:i/>
                  <w:iCs/>
                </w:rPr>
              </m:ctrlPr>
            </m:dPr>
            <m:e>
              <m:r>
                <w:rPr>
                  <w:rFonts w:ascii="Cambria Math" w:hAnsi="Cambria Math" w:cs="Arial"/>
                </w:rPr>
                <m:t>t,x</m:t>
              </m:r>
            </m:e>
          </m:d>
          <m:r>
            <w:rPr>
              <w:rFonts w:ascii="Cambria Math" w:hAnsi="Cambria Math" w:cs="Arial"/>
            </w:rPr>
            <m:t xml:space="preserve">= trace </m:t>
          </m:r>
          <m:d>
            <m:dPr>
              <m:begChr m:val="["/>
              <m:endChr m:val="]"/>
              <m:ctrlPr>
                <w:rPr>
                  <w:rFonts w:ascii="Cambria Math" w:hAnsi="Cambria Math" w:cs="Arial"/>
                  <w:i/>
                  <w:iCs/>
                </w:rPr>
              </m:ctrlPr>
            </m:dPr>
            <m:e>
              <m:sSup>
                <m:sSupPr>
                  <m:ctrlPr>
                    <w:rPr>
                      <w:rFonts w:ascii="Cambria Math" w:hAnsi="Cambria Math" w:cs="Arial"/>
                      <w:i/>
                      <w:iCs/>
                    </w:rPr>
                  </m:ctrlPr>
                </m:sSupPr>
                <m:e>
                  <m:r>
                    <w:rPr>
                      <w:rFonts w:ascii="Cambria Math" w:hAnsi="Cambria Math" w:cs="Arial"/>
                    </w:rPr>
                    <m:t>σ</m:t>
                  </m:r>
                  <m:d>
                    <m:dPr>
                      <m:ctrlPr>
                        <w:rPr>
                          <w:rFonts w:ascii="Cambria Math" w:hAnsi="Cambria Math" w:cs="Arial"/>
                          <w:i/>
                          <w:iCs/>
                        </w:rPr>
                      </m:ctrlPr>
                    </m:dPr>
                    <m:e>
                      <m:r>
                        <w:rPr>
                          <w:rFonts w:ascii="Cambria Math" w:hAnsi="Cambria Math" w:cs="Arial"/>
                        </w:rPr>
                        <m:t>t,x,u</m:t>
                      </m:r>
                    </m:e>
                  </m:d>
                </m:e>
                <m:sup>
                  <m:r>
                    <w:rPr>
                      <w:rFonts w:ascii="Cambria Math" w:hAnsi="Cambria Math" w:cs="Arial"/>
                    </w:rPr>
                    <m:t>t</m:t>
                  </m:r>
                </m:sup>
              </m:sSup>
              <m:sSup>
                <m:sSupPr>
                  <m:ctrlPr>
                    <w:rPr>
                      <w:rFonts w:ascii="Cambria Math" w:hAnsi="Cambria Math" w:cs="Arial"/>
                      <w:i/>
                      <w:iCs/>
                    </w:rPr>
                  </m:ctrlPr>
                </m:sSupPr>
                <m:e>
                  <m:sSub>
                    <m:sSubPr>
                      <m:ctrlPr>
                        <w:rPr>
                          <w:rFonts w:ascii="Cambria Math" w:hAnsi="Cambria Math" w:cs="Arial"/>
                          <w:i/>
                          <w:iCs/>
                        </w:rPr>
                      </m:ctrlPr>
                    </m:sSubPr>
                    <m:e>
                      <m:r>
                        <w:rPr>
                          <w:rFonts w:ascii="Cambria Math" w:hAnsi="Cambria Math" w:cs="Arial"/>
                        </w:rPr>
                        <m:t>V</m:t>
                      </m:r>
                    </m:e>
                    <m:sub>
                      <m:r>
                        <w:rPr>
                          <w:rFonts w:ascii="Cambria Math" w:hAnsi="Cambria Math" w:cs="Arial"/>
                        </w:rPr>
                        <m:t>x</m:t>
                      </m:r>
                    </m:sub>
                  </m:sSub>
                  <m:d>
                    <m:dPr>
                      <m:ctrlPr>
                        <w:rPr>
                          <w:rFonts w:ascii="Cambria Math" w:hAnsi="Cambria Math" w:cs="Arial"/>
                          <w:i/>
                          <w:iCs/>
                        </w:rPr>
                      </m:ctrlPr>
                    </m:dPr>
                    <m:e>
                      <m:r>
                        <w:rPr>
                          <w:rFonts w:ascii="Cambria Math" w:hAnsi="Cambria Math" w:cs="Arial"/>
                        </w:rPr>
                        <m:t>t,x</m:t>
                      </m:r>
                    </m:e>
                  </m:d>
                </m:e>
                <m:sup>
                  <m:r>
                    <w:rPr>
                      <w:rFonts w:ascii="Cambria Math" w:hAnsi="Cambria Math" w:cs="Arial"/>
                    </w:rPr>
                    <m:t>t</m:t>
                  </m:r>
                </m:sup>
              </m:sSup>
              <m:sSub>
                <m:sSubPr>
                  <m:ctrlPr>
                    <w:rPr>
                      <w:rFonts w:ascii="Cambria Math" w:hAnsi="Cambria Math" w:cs="Arial"/>
                      <w:i/>
                      <w:iCs/>
                    </w:rPr>
                  </m:ctrlPr>
                </m:sSubPr>
                <m:e>
                  <m:r>
                    <w:rPr>
                      <w:rFonts w:ascii="Cambria Math" w:hAnsi="Cambria Math" w:cs="Arial"/>
                    </w:rPr>
                    <m:t>V</m:t>
                  </m:r>
                </m:e>
                <m:sub>
                  <m:r>
                    <w:rPr>
                      <w:rFonts w:ascii="Cambria Math" w:hAnsi="Cambria Math" w:cs="Arial"/>
                    </w:rPr>
                    <m:t>x</m:t>
                  </m:r>
                </m:sub>
              </m:sSub>
              <m:d>
                <m:dPr>
                  <m:ctrlPr>
                    <w:rPr>
                      <w:rFonts w:ascii="Cambria Math" w:hAnsi="Cambria Math" w:cs="Arial"/>
                      <w:i/>
                      <w:iCs/>
                    </w:rPr>
                  </m:ctrlPr>
                </m:dPr>
                <m:e>
                  <m:r>
                    <w:rPr>
                      <w:rFonts w:ascii="Cambria Math" w:hAnsi="Cambria Math" w:cs="Arial"/>
                    </w:rPr>
                    <m:t>t,x</m:t>
                  </m:r>
                </m:e>
              </m:d>
              <m:r>
                <w:rPr>
                  <w:rFonts w:ascii="Cambria Math" w:hAnsi="Cambria Math" w:cs="Arial"/>
                </w:rPr>
                <m:t>σ</m:t>
              </m:r>
              <m:d>
                <m:dPr>
                  <m:ctrlPr>
                    <w:rPr>
                      <w:rFonts w:ascii="Cambria Math" w:hAnsi="Cambria Math" w:cs="Arial"/>
                      <w:i/>
                      <w:iCs/>
                    </w:rPr>
                  </m:ctrlPr>
                </m:dPr>
                <m:e>
                  <m:r>
                    <w:rPr>
                      <w:rFonts w:ascii="Cambria Math" w:hAnsi="Cambria Math" w:cs="Arial"/>
                    </w:rPr>
                    <m:t>t,x,u</m:t>
                  </m:r>
                </m:e>
              </m:d>
              <m:r>
                <w:rPr>
                  <w:rFonts w:ascii="Cambria Math" w:hAnsi="Cambria Math" w:cs="Arial"/>
                </w:rPr>
                <m:t xml:space="preserve"> </m:t>
              </m:r>
            </m:e>
          </m:d>
          <m:r>
            <w:rPr>
              <w:rFonts w:ascii="Cambria Math" w:hAnsi="Cambria Math" w:cs="Arial"/>
            </w:rPr>
            <m:t xml:space="preserve">                           (7)</m:t>
          </m:r>
        </m:oMath>
      </m:oMathPara>
    </w:p>
    <w:p w:rsidR="002429F5" w:rsidRPr="00954C9A" w:rsidRDefault="002429F5" w:rsidP="002429F5">
      <w:pPr>
        <w:spacing w:line="360" w:lineRule="auto"/>
        <w:jc w:val="both"/>
        <w:rPr>
          <w:rFonts w:ascii="Arial" w:hAnsi="Arial" w:cs="Arial"/>
          <w:color w:val="000000"/>
        </w:rPr>
      </w:pPr>
    </w:p>
    <w:p w:rsidR="002429F5" w:rsidRPr="002429F5" w:rsidRDefault="002429F5" w:rsidP="002429F5">
      <w:pPr>
        <w:spacing w:line="360" w:lineRule="auto"/>
        <w:jc w:val="both"/>
        <w:rPr>
          <w:rFonts w:ascii="Arial" w:hAnsi="Arial" w:cs="Arial"/>
          <w:color w:val="000000"/>
          <w:lang w:val="en-US"/>
        </w:rPr>
      </w:pPr>
      <w:r w:rsidRPr="002429F5">
        <w:rPr>
          <w:rFonts w:ascii="Arial" w:hAnsi="Arial" w:cs="Arial"/>
          <w:color w:val="000000"/>
          <w:lang w:val="en-US"/>
        </w:rPr>
        <w:t xml:space="preserve">     Now, we introduce the following definitions:</w:t>
      </w:r>
    </w:p>
    <w:p w:rsidR="002429F5" w:rsidRPr="00954C9A" w:rsidRDefault="002429F5" w:rsidP="002429F5">
      <w:pPr>
        <w:pStyle w:val="1"/>
        <w:ind w:firstLine="0"/>
        <w:rPr>
          <w:rFonts w:ascii="Arial" w:hAnsi="Arial" w:cs="Arial"/>
          <w:iCs/>
          <w:lang w:val="en-US"/>
        </w:rPr>
      </w:pPr>
      <w:r w:rsidRPr="00954C9A">
        <w:rPr>
          <w:rFonts w:ascii="Arial" w:hAnsi="Arial" w:cs="Arial"/>
          <w:b/>
          <w:iCs/>
          <w:lang w:val="en-US"/>
        </w:rPr>
        <w:t xml:space="preserve">     Definition 1 </w:t>
      </w:r>
      <w:r w:rsidRPr="00954C9A">
        <w:rPr>
          <w:rFonts w:ascii="Arial" w:hAnsi="Arial" w:cs="Arial"/>
          <w:iCs/>
          <w:lang w:val="en-US"/>
        </w:rPr>
        <w:t>Let p</w:t>
      </w:r>
      <w:r w:rsidRPr="00954C9A">
        <w:rPr>
          <w:rFonts w:ascii="Arial" w:hAnsi="Arial" w:cs="Arial"/>
          <w:iCs/>
          <w:lang w:val="en-US"/>
        </w:rPr>
        <w:sym w:font="Symbol" w:char="F0CE"/>
      </w:r>
      <w:r w:rsidRPr="00954C9A">
        <w:rPr>
          <w:rFonts w:ascii="Arial" w:hAnsi="Arial" w:cs="Arial"/>
          <w:iCs/>
          <w:lang w:val="en-US"/>
        </w:rPr>
        <w:t xml:space="preserve">(0,1] be arbitrary, </w:t>
      </w:r>
      <w:r w:rsidRPr="00954C9A">
        <w:rPr>
          <w:rFonts w:ascii="Arial" w:hAnsi="Arial" w:cs="Arial"/>
          <w:iCs/>
          <w:lang w:val="en-US"/>
        </w:rPr>
        <w:sym w:font="Symbol" w:char="F044"/>
      </w:r>
      <w:r w:rsidRPr="00954C9A">
        <w:rPr>
          <w:rFonts w:ascii="Arial" w:hAnsi="Arial" w:cs="Arial"/>
          <w:iCs/>
          <w:lang w:val="en-US"/>
        </w:rPr>
        <w:t xml:space="preserve">t </w:t>
      </w:r>
      <w:r w:rsidRPr="00954C9A">
        <w:rPr>
          <w:rFonts w:ascii="Arial" w:hAnsi="Arial" w:cs="Arial"/>
          <w:iCs/>
          <w:lang w:val="en-US"/>
        </w:rPr>
        <w:sym w:font="Symbol" w:char="F03E"/>
      </w:r>
      <w:r w:rsidRPr="00954C9A">
        <w:rPr>
          <w:rFonts w:ascii="Arial" w:hAnsi="Arial" w:cs="Arial"/>
          <w:iCs/>
          <w:lang w:val="en-US"/>
        </w:rPr>
        <w:t xml:space="preserve"> 0 and </w:t>
      </w:r>
      <m:oMath>
        <m:sSub>
          <m:sSubPr>
            <m:ctrlPr>
              <w:rPr>
                <w:rFonts w:ascii="Cambria Math" w:hAnsi="Cambria Math" w:cs="Arial"/>
                <w:i/>
                <w:iCs/>
                <w:lang w:val="en-US"/>
              </w:rPr>
            </m:ctrlPr>
          </m:sSubPr>
          <m:e>
            <m:r>
              <w:rPr>
                <w:rFonts w:ascii="Cambria Math" w:hAnsi="Cambria Math" w:cs="Arial"/>
                <w:lang w:val="en-US"/>
              </w:rPr>
              <m:t>{</m:t>
            </m:r>
            <m:r>
              <w:rPr>
                <w:rFonts w:ascii="Cambria Math" w:hAnsi="Cambria Math" w:cs="Arial"/>
                <w:i/>
                <w:iCs/>
                <w:lang w:val="en-US"/>
              </w:rPr>
              <w:sym w:font="Symbol" w:char="F06C"/>
            </m:r>
          </m:e>
          <m:sub>
            <m:r>
              <w:rPr>
                <w:rFonts w:ascii="Cambria Math" w:hAnsi="Cambria Math" w:cs="Arial"/>
                <w:lang w:val="en-US"/>
              </w:rPr>
              <m:t>k</m:t>
            </m:r>
          </m:sub>
        </m:sSub>
        <m:r>
          <w:rPr>
            <w:rFonts w:ascii="Cambria Math" w:hAnsi="Cambria Math" w:cs="Arial"/>
            <w:lang w:val="en-US"/>
          </w:rPr>
          <m:t>(t)}</m:t>
        </m:r>
      </m:oMath>
      <w:r w:rsidRPr="00954C9A">
        <w:rPr>
          <w:rFonts w:ascii="Arial" w:hAnsi="Arial" w:cs="Arial"/>
          <w:iCs/>
          <w:lang w:val="en-US"/>
        </w:rPr>
        <w:t xml:space="preserve"> a positive continuous and increasing sequence. The numerical scheme defined by (3) is called almost surely exponentially and robustly stable, if there exists a constant r </w:t>
      </w:r>
      <w:r w:rsidRPr="00954C9A">
        <w:rPr>
          <w:rFonts w:ascii="Arial" w:hAnsi="Arial" w:cs="Arial"/>
          <w:iCs/>
          <w:lang w:val="en-US"/>
        </w:rPr>
        <w:sym w:font="Symbol" w:char="F03E"/>
      </w:r>
      <w:r w:rsidRPr="00954C9A">
        <w:rPr>
          <w:rFonts w:ascii="Arial" w:hAnsi="Arial" w:cs="Arial"/>
          <w:iCs/>
          <w:lang w:val="en-US"/>
        </w:rPr>
        <w:t xml:space="preserve"> 0, such that </w:t>
      </w:r>
    </w:p>
    <w:p w:rsidR="002429F5" w:rsidRPr="00954C9A" w:rsidRDefault="002429F5" w:rsidP="002429F5">
      <w:pPr>
        <w:pStyle w:val="1"/>
        <w:rPr>
          <w:rFonts w:ascii="Arial" w:hAnsi="Arial" w:cs="Arial"/>
          <w:iCs/>
          <w:lang w:val="en-US"/>
        </w:rPr>
      </w:pPr>
    </w:p>
    <w:p w:rsidR="002429F5" w:rsidRPr="00954C9A" w:rsidRDefault="001345E4" w:rsidP="002429F5">
      <w:pPr>
        <w:pStyle w:val="1"/>
        <w:jc w:val="center"/>
        <w:rPr>
          <w:rFonts w:ascii="Arial" w:hAnsi="Arial" w:cs="Arial"/>
          <w:iCs/>
          <w:lang w:val="en-US"/>
        </w:rPr>
      </w:pPr>
      <m:oMath>
        <m:func>
          <m:funcPr>
            <m:ctrlPr>
              <w:rPr>
                <w:rFonts w:ascii="Cambria Math" w:hAnsi="Cambria Math" w:cs="Arial"/>
                <w:i/>
                <w:iCs/>
                <w:lang w:val="en-US"/>
              </w:rPr>
            </m:ctrlPr>
          </m:funcPr>
          <m:fName>
            <m:limLow>
              <m:limLowPr>
                <m:ctrlPr>
                  <w:rPr>
                    <w:rFonts w:ascii="Cambria Math" w:hAnsi="Cambria Math" w:cs="Arial"/>
                    <w:i/>
                    <w:iCs/>
                    <w:lang w:val="en-US"/>
                  </w:rPr>
                </m:ctrlPr>
              </m:limLowPr>
              <m:e>
                <m:r>
                  <m:rPr>
                    <m:sty m:val="p"/>
                  </m:rPr>
                  <w:rPr>
                    <w:rFonts w:ascii="Cambria Math" w:hAnsi="Cambria Math" w:cs="Arial"/>
                    <w:lang w:val="en-US"/>
                  </w:rPr>
                  <m:t>lim⁡sup</m:t>
                </m:r>
              </m:e>
              <m:lim>
                <m:r>
                  <w:rPr>
                    <w:rFonts w:ascii="Cambria Math" w:hAnsi="Cambria Math" w:cs="Arial"/>
                    <w:lang w:val="en-US"/>
                  </w:rPr>
                  <m:t>k→</m:t>
                </m:r>
                <m:r>
                  <w:rPr>
                    <w:rFonts w:ascii="Cambria Math" w:hAnsi="Cambria Math" w:cs="Arial"/>
                    <w:i/>
                    <w:iCs/>
                    <w:lang w:val="en-US"/>
                  </w:rPr>
                  <w:sym w:font="Symbol" w:char="F0A5"/>
                </m:r>
              </m:lim>
            </m:limLow>
          </m:fName>
          <m:e>
            <m:f>
              <m:fPr>
                <m:ctrlPr>
                  <w:rPr>
                    <w:rFonts w:ascii="Cambria Math" w:hAnsi="Cambria Math" w:cs="Arial"/>
                    <w:i/>
                    <w:iCs/>
                    <w:lang w:val="en-US"/>
                  </w:rPr>
                </m:ctrlPr>
              </m:fPr>
              <m:num>
                <m:r>
                  <w:rPr>
                    <w:rFonts w:ascii="Cambria Math" w:hAnsi="Cambria Math" w:cs="Arial"/>
                    <w:lang w:val="en-US"/>
                  </w:rPr>
                  <m:t>1</m:t>
                </m:r>
              </m:num>
              <m:den>
                <m:func>
                  <m:funcPr>
                    <m:ctrlPr>
                      <w:rPr>
                        <w:rFonts w:ascii="Cambria Math" w:hAnsi="Cambria Math" w:cs="Arial"/>
                        <w:i/>
                        <w:iCs/>
                        <w:lang w:val="en-US"/>
                      </w:rPr>
                    </m:ctrlPr>
                  </m:funcPr>
                  <m:fName>
                    <m:r>
                      <m:rPr>
                        <m:sty m:val="p"/>
                      </m:rPr>
                      <w:rPr>
                        <w:rFonts w:ascii="Cambria Math" w:hAnsi="Cambria Math" w:cs="Arial"/>
                        <w:lang w:val="en-US"/>
                      </w:rPr>
                      <m:t>log</m:t>
                    </m:r>
                  </m:fName>
                  <m:e>
                    <m:sSub>
                      <m:sSubPr>
                        <m:ctrlPr>
                          <w:rPr>
                            <w:rFonts w:ascii="Cambria Math" w:hAnsi="Cambria Math" w:cs="Arial"/>
                            <w:b/>
                            <w:i/>
                            <w:iCs/>
                            <w:lang w:val="en-US"/>
                          </w:rPr>
                        </m:ctrlPr>
                      </m:sSubPr>
                      <m:e>
                        <m:r>
                          <w:rPr>
                            <w:rFonts w:ascii="Cambria Math" w:hAnsi="Cambria Math" w:cs="Arial"/>
                            <w:lang w:val="en-US"/>
                          </w:rPr>
                          <m:t>λ</m:t>
                        </m:r>
                      </m:e>
                      <m:sub>
                        <m:r>
                          <w:rPr>
                            <w:rFonts w:ascii="Cambria Math" w:hAnsi="Cambria Math" w:cs="Arial"/>
                            <w:lang w:val="en-US"/>
                          </w:rPr>
                          <m:t>k</m:t>
                        </m:r>
                      </m:sub>
                    </m:sSub>
                    <m:r>
                      <w:rPr>
                        <w:rFonts w:ascii="Cambria Math" w:hAnsi="Cambria Math" w:cs="Arial"/>
                        <w:lang w:val="en-US"/>
                      </w:rPr>
                      <m:t>(</m:t>
                    </m:r>
                    <m:r>
                      <m:rPr>
                        <m:sty m:val="b"/>
                      </m:rPr>
                      <w:rPr>
                        <w:rFonts w:ascii="Cambria Math" w:hAnsi="Cambria Math" w:cs="Arial"/>
                        <w:b/>
                        <w:iCs/>
                        <w:lang w:val="en-US"/>
                      </w:rPr>
                      <w:sym w:font="Symbol" w:char="F044"/>
                    </m:r>
                    <m:r>
                      <m:rPr>
                        <m:sty m:val="p"/>
                      </m:rPr>
                      <w:rPr>
                        <w:rFonts w:ascii="Cambria Math" w:hAnsi="Cambria Math" w:cs="Arial"/>
                        <w:lang w:val="en-US"/>
                      </w:rPr>
                      <m:t>t</m:t>
                    </m:r>
                    <m:r>
                      <w:rPr>
                        <w:rFonts w:ascii="Cambria Math" w:hAnsi="Cambria Math" w:cs="Arial"/>
                        <w:lang w:val="en-US"/>
                      </w:rPr>
                      <m:t>)</m:t>
                    </m:r>
                  </m:e>
                </m:func>
              </m:den>
            </m:f>
          </m:e>
        </m:func>
        <m:r>
          <w:rPr>
            <w:rFonts w:ascii="Cambria Math" w:hAnsi="Cambria Math" w:cs="Arial"/>
            <w:lang w:val="en-US"/>
          </w:rPr>
          <m:t xml:space="preserve"> </m:t>
        </m:r>
        <m:func>
          <m:funcPr>
            <m:ctrlPr>
              <w:rPr>
                <w:rFonts w:ascii="Cambria Math" w:hAnsi="Cambria Math" w:cs="Arial"/>
                <w:i/>
                <w:iCs/>
                <w:lang w:val="en-US"/>
              </w:rPr>
            </m:ctrlPr>
          </m:funcPr>
          <m:fName>
            <m:r>
              <m:rPr>
                <m:sty m:val="p"/>
              </m:rPr>
              <w:rPr>
                <w:rFonts w:ascii="Cambria Math" w:hAnsi="Cambria Math" w:cs="Arial"/>
                <w:lang w:val="en-US"/>
              </w:rPr>
              <m:t>log</m:t>
            </m:r>
          </m:fName>
          <m:e>
            <m:sSup>
              <m:sSupPr>
                <m:ctrlPr>
                  <w:rPr>
                    <w:rFonts w:ascii="Cambria Math" w:hAnsi="Cambria Math" w:cs="Arial"/>
                    <w:i/>
                    <w:iCs/>
                    <w:lang w:val="en-US"/>
                  </w:rPr>
                </m:ctrlPr>
              </m:sSupPr>
              <m:e>
                <m:r>
                  <w:rPr>
                    <w:rFonts w:ascii="Cambria Math" w:hAnsi="Cambria Math" w:cs="Arial"/>
                    <w:lang w:val="en-US"/>
                  </w:rPr>
                  <m:t>∥</m:t>
                </m:r>
                <m:sSub>
                  <m:sSubPr>
                    <m:ctrlPr>
                      <w:rPr>
                        <w:rFonts w:ascii="Cambria Math" w:hAnsi="Cambria Math" w:cs="Arial"/>
                        <w:i/>
                        <w:iCs/>
                        <w:lang w:val="en-US"/>
                      </w:rPr>
                    </m:ctrlPr>
                  </m:sSubPr>
                  <m:e>
                    <m:r>
                      <w:rPr>
                        <w:rFonts w:ascii="Cambria Math" w:hAnsi="Cambria Math" w:cs="Arial"/>
                        <w:lang w:val="en-US"/>
                      </w:rPr>
                      <m:t>x</m:t>
                    </m:r>
                  </m:e>
                  <m:sub>
                    <m:r>
                      <w:rPr>
                        <w:rFonts w:ascii="Cambria Math" w:hAnsi="Cambria Math" w:cs="Arial"/>
                        <w:lang w:val="en-US"/>
                      </w:rPr>
                      <m:t>k</m:t>
                    </m:r>
                  </m:sub>
                </m:sSub>
                <m:r>
                  <w:rPr>
                    <w:rFonts w:ascii="Cambria Math" w:hAnsi="Cambria Math" w:cs="Arial"/>
                    <w:lang w:val="en-US"/>
                  </w:rPr>
                  <m:t>∥</m:t>
                </m:r>
              </m:e>
              <m:sup>
                <m:r>
                  <w:rPr>
                    <w:rFonts w:ascii="Cambria Math" w:hAnsi="Cambria Math" w:cs="Arial"/>
                    <w:lang w:val="en-US"/>
                  </w:rPr>
                  <m:t>p</m:t>
                </m:r>
              </m:sup>
            </m:sSup>
            <m:r>
              <w:rPr>
                <w:rFonts w:ascii="Cambria Math" w:hAnsi="Cambria Math" w:cs="Arial"/>
                <w:lang w:val="en-US"/>
              </w:rPr>
              <m:t xml:space="preserve"> &lt;-r</m:t>
            </m:r>
          </m:e>
        </m:func>
      </m:oMath>
      <w:r w:rsidR="002429F5" w:rsidRPr="00954C9A">
        <w:rPr>
          <w:rFonts w:ascii="Arial" w:hAnsi="Arial" w:cs="Arial"/>
          <w:iCs/>
          <w:lang w:val="en-US"/>
        </w:rPr>
        <w:t xml:space="preserve">      a.s.</w:t>
      </w:r>
    </w:p>
    <w:p w:rsidR="002429F5" w:rsidRPr="00954C9A" w:rsidRDefault="002429F5" w:rsidP="002429F5">
      <w:pPr>
        <w:pStyle w:val="1"/>
        <w:rPr>
          <w:rFonts w:ascii="Arial" w:hAnsi="Arial" w:cs="Arial"/>
          <w:iCs/>
          <w:lang w:val="en-US"/>
        </w:rPr>
      </w:pPr>
    </w:p>
    <w:p w:rsidR="002429F5" w:rsidRPr="00954C9A" w:rsidRDefault="002429F5" w:rsidP="002429F5">
      <w:pPr>
        <w:pStyle w:val="1"/>
        <w:ind w:firstLine="0"/>
        <w:rPr>
          <w:rFonts w:ascii="Arial" w:hAnsi="Arial" w:cs="Arial"/>
          <w:iCs/>
          <w:lang w:val="en-US"/>
        </w:rPr>
      </w:pPr>
      <w:r w:rsidRPr="00954C9A">
        <w:rPr>
          <w:rFonts w:ascii="Arial" w:hAnsi="Arial" w:cs="Arial"/>
          <w:b/>
          <w:iCs/>
          <w:lang w:val="en-US"/>
        </w:rPr>
        <w:t xml:space="preserve">     Definition 2 </w:t>
      </w:r>
      <w:r w:rsidRPr="00954C9A">
        <w:rPr>
          <w:rFonts w:ascii="Arial" w:hAnsi="Arial" w:cs="Arial"/>
          <w:iCs/>
          <w:lang w:val="en-US"/>
        </w:rPr>
        <w:t xml:space="preserve">Let </w:t>
      </w:r>
      <w:r w:rsidRPr="00954C9A">
        <w:rPr>
          <w:rFonts w:ascii="Arial" w:hAnsi="Arial" w:cs="Arial"/>
          <w:iCs/>
          <w:lang w:val="en-US"/>
        </w:rPr>
        <w:sym w:font="Symbol" w:char="F044"/>
      </w:r>
      <w:r w:rsidRPr="00954C9A">
        <w:rPr>
          <w:rFonts w:ascii="Arial" w:hAnsi="Arial" w:cs="Arial"/>
          <w:iCs/>
          <w:lang w:val="en-US"/>
        </w:rPr>
        <w:t xml:space="preserve">t </w:t>
      </w:r>
      <w:r w:rsidRPr="00954C9A">
        <w:rPr>
          <w:rFonts w:ascii="Arial" w:hAnsi="Arial" w:cs="Arial"/>
          <w:iCs/>
          <w:lang w:val="en-US"/>
        </w:rPr>
        <w:sym w:font="Symbol" w:char="F03E"/>
      </w:r>
      <w:r w:rsidRPr="00954C9A">
        <w:rPr>
          <w:rFonts w:ascii="Arial" w:hAnsi="Arial" w:cs="Arial"/>
          <w:iCs/>
          <w:lang w:val="en-US"/>
        </w:rPr>
        <w:t xml:space="preserve"> 0 and </w:t>
      </w:r>
      <m:oMath>
        <m:r>
          <w:rPr>
            <w:rFonts w:ascii="Cambria Math" w:hAnsi="Cambria Math" w:cs="Arial"/>
            <w:lang w:val="en-US"/>
          </w:rPr>
          <m:t>f</m:t>
        </m:r>
        <m:r>
          <m:rPr>
            <m:scr m:val="double-struck"/>
          </m:rPr>
          <w:rPr>
            <w:rFonts w:ascii="Cambria Math" w:hAnsi="Cambria Math" w:cs="Arial"/>
            <w:lang w:val="en-US"/>
          </w:rPr>
          <m:t>: R</m:t>
        </m:r>
        <m:r>
          <w:rPr>
            <w:rFonts w:ascii="Cambria Math" w:hAnsi="Cambria Math" w:cs="Arial"/>
            <w:i/>
            <w:iCs/>
            <w:lang w:val="en-US"/>
          </w:rPr>
          <w:sym w:font="Symbol" w:char="F0AE"/>
        </m:r>
        <m:r>
          <m:rPr>
            <m:scr m:val="double-struck"/>
          </m:rPr>
          <w:rPr>
            <w:rFonts w:ascii="Cambria Math" w:hAnsi="Cambria Math" w:cs="Arial"/>
            <w:lang w:val="en-US"/>
          </w:rPr>
          <m:t xml:space="preserve"> R</m:t>
        </m:r>
      </m:oMath>
      <w:r w:rsidRPr="00954C9A">
        <w:rPr>
          <w:rFonts w:ascii="Arial" w:hAnsi="Arial" w:cs="Arial"/>
          <w:iCs/>
          <w:lang w:val="en-US"/>
        </w:rPr>
        <w:t xml:space="preserve"> a continuous and increasing function. The numerical scheme defined by (3) is called asymptotically stable if there exists a constant l </w:t>
      </w:r>
      <w:r w:rsidRPr="00954C9A">
        <w:rPr>
          <w:rFonts w:ascii="Arial" w:hAnsi="Arial" w:cs="Arial"/>
          <w:iCs/>
          <w:lang w:val="en-US"/>
        </w:rPr>
        <w:sym w:font="Symbol" w:char="F03E"/>
      </w:r>
      <w:r w:rsidRPr="00954C9A">
        <w:rPr>
          <w:rFonts w:ascii="Arial" w:hAnsi="Arial" w:cs="Arial"/>
          <w:iCs/>
          <w:lang w:val="en-US"/>
        </w:rPr>
        <w:t xml:space="preserve"> 0 such that </w:t>
      </w:r>
    </w:p>
    <w:p w:rsidR="002429F5" w:rsidRPr="00453E0C" w:rsidRDefault="001345E4" w:rsidP="002429F5">
      <w:pPr>
        <w:pStyle w:val="1"/>
        <w:jc w:val="center"/>
        <w:rPr>
          <w:rFonts w:ascii="Arial" w:eastAsiaTheme="minorEastAsia" w:hAnsi="Arial" w:cs="Arial"/>
          <w:lang w:val="en-US"/>
        </w:rPr>
      </w:pPr>
      <m:oMathPara>
        <m:oMath>
          <m:func>
            <m:funcPr>
              <m:ctrlPr>
                <w:rPr>
                  <w:rFonts w:ascii="Cambria Math" w:hAnsi="Cambria Math" w:cs="Arial"/>
                  <w:i/>
                  <w:iCs/>
                  <w:lang w:val="en-US"/>
                </w:rPr>
              </m:ctrlPr>
            </m:funcPr>
            <m:fName>
              <m:limLow>
                <m:limLowPr>
                  <m:ctrlPr>
                    <w:rPr>
                      <w:rFonts w:ascii="Cambria Math" w:hAnsi="Cambria Math" w:cs="Arial"/>
                      <w:i/>
                      <w:iCs/>
                      <w:lang w:val="en-US"/>
                    </w:rPr>
                  </m:ctrlPr>
                </m:limLowPr>
                <m:e>
                  <m:r>
                    <m:rPr>
                      <m:sty m:val="p"/>
                    </m:rPr>
                    <w:rPr>
                      <w:rFonts w:ascii="Cambria Math" w:hAnsi="Cambria Math" w:cs="Arial"/>
                      <w:lang w:val="en-US"/>
                    </w:rPr>
                    <m:t>lim⁡sup</m:t>
                  </m:r>
                </m:e>
                <m:lim>
                  <m:r>
                    <w:rPr>
                      <w:rFonts w:ascii="Cambria Math" w:hAnsi="Cambria Math" w:cs="Arial"/>
                      <w:lang w:val="en-US"/>
                    </w:rPr>
                    <m:t>k→</m:t>
                  </m:r>
                  <m:r>
                    <w:rPr>
                      <w:rFonts w:ascii="Cambria Math" w:hAnsi="Cambria Math" w:cs="Arial"/>
                      <w:i/>
                      <w:iCs/>
                      <w:lang w:val="en-US"/>
                    </w:rPr>
                    <w:sym w:font="Symbol" w:char="F0A5"/>
                  </m:r>
                </m:lim>
              </m:limLow>
            </m:fName>
            <m:e>
              <m:f>
                <m:fPr>
                  <m:ctrlPr>
                    <w:rPr>
                      <w:rFonts w:ascii="Cambria Math" w:hAnsi="Cambria Math" w:cs="Arial"/>
                      <w:i/>
                      <w:iCs/>
                      <w:lang w:val="en-US"/>
                    </w:rPr>
                  </m:ctrlPr>
                </m:fPr>
                <m:num>
                  <m:func>
                    <m:funcPr>
                      <m:ctrlPr>
                        <w:rPr>
                          <w:rFonts w:ascii="Cambria Math" w:hAnsi="Cambria Math" w:cs="Arial"/>
                          <w:i/>
                          <w:iCs/>
                          <w:lang w:val="en-US"/>
                        </w:rPr>
                      </m:ctrlPr>
                    </m:funcPr>
                    <m:fName>
                      <m:r>
                        <m:rPr>
                          <m:sty m:val="p"/>
                        </m:rPr>
                        <w:rPr>
                          <w:rFonts w:ascii="Cambria Math" w:hAnsi="Cambria Math" w:cs="Arial"/>
                          <w:lang w:val="en-US"/>
                        </w:rPr>
                        <m:t>log</m:t>
                      </m:r>
                    </m:fName>
                    <m:e>
                      <m:r>
                        <w:rPr>
                          <w:rFonts w:ascii="Cambria Math" w:hAnsi="Cambria Math" w:cs="Arial"/>
                          <w:lang w:val="en-US"/>
                        </w:rPr>
                        <m:t>f(</m:t>
                      </m:r>
                      <m:sSub>
                        <m:sSubPr>
                          <m:ctrlPr>
                            <w:rPr>
                              <w:rFonts w:ascii="Cambria Math" w:hAnsi="Cambria Math" w:cs="Arial"/>
                              <w:i/>
                              <w:iCs/>
                              <w:lang w:val="en-US"/>
                            </w:rPr>
                          </m:ctrlPr>
                        </m:sSubPr>
                        <m:e>
                          <m:r>
                            <w:rPr>
                              <w:rFonts w:ascii="Cambria Math" w:hAnsi="Cambria Math" w:cs="Arial"/>
                              <w:lang w:val="en-US"/>
                            </w:rPr>
                            <m:t>x</m:t>
                          </m:r>
                        </m:e>
                        <m:sub>
                          <m:r>
                            <w:rPr>
                              <w:rFonts w:ascii="Cambria Math" w:hAnsi="Cambria Math" w:cs="Arial"/>
                              <w:lang w:val="en-US"/>
                            </w:rPr>
                            <m:t>k</m:t>
                          </m:r>
                        </m:sub>
                      </m:sSub>
                      <m:r>
                        <w:rPr>
                          <w:rFonts w:ascii="Cambria Math" w:hAnsi="Cambria Math" w:cs="Arial"/>
                          <w:lang w:val="en-US"/>
                        </w:rPr>
                        <m:t>)</m:t>
                      </m:r>
                    </m:e>
                  </m:func>
                </m:num>
                <m:den>
                  <m:r>
                    <w:rPr>
                      <w:rFonts w:ascii="Cambria Math" w:hAnsi="Cambria Math" w:cs="Arial"/>
                      <w:lang w:val="en-US"/>
                    </w:rPr>
                    <m:t>k</m:t>
                  </m:r>
                </m:den>
              </m:f>
            </m:e>
          </m:func>
          <m:r>
            <w:rPr>
              <w:rFonts w:ascii="Cambria Math" w:hAnsi="Cambria Math" w:cs="Arial"/>
              <w:lang w:val="en-US"/>
            </w:rPr>
            <m:t xml:space="preserve"> &lt;-l</m:t>
          </m:r>
        </m:oMath>
      </m:oMathPara>
    </w:p>
    <w:p w:rsidR="002429F5" w:rsidRPr="00954C9A" w:rsidRDefault="002429F5" w:rsidP="002429F5">
      <w:pPr>
        <w:pStyle w:val="1"/>
        <w:jc w:val="center"/>
        <w:rPr>
          <w:rFonts w:ascii="Arial" w:eastAsiaTheme="minorEastAsia" w:hAnsi="Arial" w:cs="Arial"/>
          <w:lang w:val="en-US"/>
        </w:rPr>
      </w:pPr>
    </w:p>
    <w:p w:rsidR="002429F5" w:rsidRDefault="002429F5" w:rsidP="002429F5">
      <w:pPr>
        <w:pStyle w:val="1"/>
        <w:jc w:val="left"/>
        <w:rPr>
          <w:rFonts w:ascii="Arial" w:hAnsi="Arial" w:cs="Arial"/>
          <w:b/>
          <w:iCs/>
          <w:lang w:val="en-US"/>
        </w:rPr>
      </w:pPr>
      <w:r>
        <w:rPr>
          <w:rFonts w:ascii="Arial" w:hAnsi="Arial" w:cs="Arial"/>
          <w:b/>
          <w:iCs/>
          <w:lang w:val="en-US"/>
        </w:rPr>
        <w:t xml:space="preserve"> Observations.</w:t>
      </w:r>
    </w:p>
    <w:p w:rsidR="002429F5" w:rsidRDefault="002429F5" w:rsidP="002429F5">
      <w:pPr>
        <w:pStyle w:val="1"/>
        <w:rPr>
          <w:rFonts w:ascii="Arial" w:eastAsiaTheme="minorEastAsia" w:hAnsi="Arial" w:cs="Arial"/>
          <w:lang w:val="en-US"/>
        </w:rPr>
      </w:pPr>
      <w:r>
        <w:rPr>
          <w:rFonts w:ascii="Arial" w:hAnsi="Arial" w:cs="Arial"/>
          <w:b/>
          <w:iCs/>
          <w:lang w:val="en-US"/>
        </w:rPr>
        <w:t xml:space="preserve"> </w:t>
      </w:r>
      <w:r>
        <w:rPr>
          <w:rFonts w:ascii="Arial" w:eastAsiaTheme="minorEastAsia" w:hAnsi="Arial" w:cs="Arial"/>
          <w:lang w:val="en-US"/>
        </w:rPr>
        <w:t xml:space="preserve">Definition 1 is </w:t>
      </w:r>
      <w:r w:rsidRPr="00705BE3">
        <w:rPr>
          <w:rFonts w:ascii="Arial" w:eastAsiaTheme="minorEastAsia" w:hAnsi="Arial" w:cs="Arial"/>
          <w:lang w:val="en-US"/>
        </w:rPr>
        <w:t xml:space="preserve">a </w:t>
      </w:r>
      <w:r>
        <w:rPr>
          <w:rFonts w:ascii="Arial" w:eastAsiaTheme="minorEastAsia" w:hAnsi="Arial" w:cs="Arial"/>
          <w:lang w:val="en-US"/>
        </w:rPr>
        <w:t xml:space="preserve">strong </w:t>
      </w:r>
      <w:r w:rsidRPr="00705BE3">
        <w:rPr>
          <w:rFonts w:ascii="Arial" w:eastAsiaTheme="minorEastAsia" w:hAnsi="Arial" w:cs="Arial"/>
          <w:lang w:val="en-US"/>
        </w:rPr>
        <w:t xml:space="preserve">variant of the definition </w:t>
      </w:r>
      <w:r>
        <w:rPr>
          <w:rFonts w:ascii="Arial" w:eastAsiaTheme="minorEastAsia" w:hAnsi="Arial" w:cs="Arial"/>
          <w:lang w:val="en-US"/>
        </w:rPr>
        <w:t xml:space="preserve">of </w:t>
      </w:r>
      <w:r>
        <w:rPr>
          <w:rFonts w:ascii="Arial" w:hAnsi="Arial" w:cs="Arial"/>
          <w:iCs/>
          <w:lang w:val="en-US"/>
        </w:rPr>
        <w:t>almost sure exponential</w:t>
      </w:r>
      <w:r w:rsidRPr="00954C9A">
        <w:rPr>
          <w:rFonts w:ascii="Arial" w:hAnsi="Arial" w:cs="Arial"/>
          <w:iCs/>
          <w:lang w:val="en-US"/>
        </w:rPr>
        <w:t xml:space="preserve"> stab</w:t>
      </w:r>
      <w:r>
        <w:rPr>
          <w:rFonts w:ascii="Arial" w:hAnsi="Arial" w:cs="Arial"/>
          <w:iCs/>
          <w:lang w:val="en-US"/>
        </w:rPr>
        <w:t>ility,</w:t>
      </w:r>
      <w:r w:rsidRPr="00705BE3">
        <w:rPr>
          <w:rFonts w:ascii="Arial" w:eastAsiaTheme="minorEastAsia" w:hAnsi="Arial" w:cs="Arial"/>
          <w:lang w:val="en-US"/>
        </w:rPr>
        <w:t xml:space="preserve"> given in</w:t>
      </w:r>
      <w:r>
        <w:rPr>
          <w:rFonts w:ascii="Arial" w:eastAsiaTheme="minorEastAsia" w:hAnsi="Arial" w:cs="Arial"/>
          <w:lang w:val="en-US"/>
        </w:rPr>
        <w:t xml:space="preserve"> [3],</w:t>
      </w:r>
      <w:r w:rsidRPr="00705BE3">
        <w:rPr>
          <w:rFonts w:ascii="Arial" w:eastAsiaTheme="minorEastAsia" w:hAnsi="Arial" w:cs="Arial"/>
          <w:lang w:val="en-US"/>
        </w:rPr>
        <w:t xml:space="preserve"> </w:t>
      </w:r>
      <w:r>
        <w:rPr>
          <w:rFonts w:ascii="Arial" w:eastAsiaTheme="minorEastAsia" w:hAnsi="Arial" w:cs="Arial"/>
          <w:lang w:val="en-US"/>
        </w:rPr>
        <w:t>which</w:t>
      </w:r>
      <w:r w:rsidRPr="00705BE3">
        <w:rPr>
          <w:rFonts w:ascii="Arial" w:eastAsiaTheme="minorEastAsia" w:hAnsi="Arial" w:cs="Arial"/>
          <w:lang w:val="en-US"/>
        </w:rPr>
        <w:t xml:space="preserve"> generalizes</w:t>
      </w:r>
      <w:r>
        <w:rPr>
          <w:rFonts w:ascii="Arial" w:eastAsiaTheme="minorEastAsia" w:hAnsi="Arial" w:cs="Arial"/>
          <w:lang w:val="en-US"/>
        </w:rPr>
        <w:t xml:space="preserve"> it, due to the use of  </w:t>
      </w:r>
      <m:oMath>
        <m:sSub>
          <m:sSubPr>
            <m:ctrlPr>
              <w:rPr>
                <w:rFonts w:ascii="Cambria Math" w:hAnsi="Cambria Math" w:cs="Arial"/>
                <w:b/>
                <w:i/>
                <w:iCs/>
                <w:lang w:val="en-US"/>
              </w:rPr>
            </m:ctrlPr>
          </m:sSubPr>
          <m:e>
            <m:r>
              <w:rPr>
                <w:rFonts w:ascii="Cambria Math" w:hAnsi="Cambria Math" w:cs="Arial"/>
                <w:lang w:val="en-US"/>
              </w:rPr>
              <m:t>λ</m:t>
            </m:r>
          </m:e>
          <m:sub>
            <m:r>
              <w:rPr>
                <w:rFonts w:ascii="Cambria Math" w:hAnsi="Cambria Math" w:cs="Arial"/>
                <w:lang w:val="en-US"/>
              </w:rPr>
              <m:t>k</m:t>
            </m:r>
          </m:sub>
        </m:sSub>
        <m:r>
          <w:rPr>
            <w:rFonts w:ascii="Cambria Math" w:eastAsiaTheme="minorEastAsia" w:hAnsi="Cambria Math" w:cs="Arial"/>
            <w:lang w:val="en-US"/>
          </w:rPr>
          <m:t>(t)</m:t>
        </m:r>
      </m:oMath>
      <w:r>
        <w:rPr>
          <w:rFonts w:ascii="Arial" w:eastAsiaTheme="minorEastAsia" w:hAnsi="Arial" w:cs="Arial"/>
          <w:b/>
          <w:iCs/>
          <w:lang w:val="en-US"/>
        </w:rPr>
        <w:t xml:space="preserve"> </w:t>
      </w:r>
      <w:r w:rsidRPr="00943D4F">
        <w:rPr>
          <w:rFonts w:ascii="Arial" w:eastAsiaTheme="minorEastAsia" w:hAnsi="Arial" w:cs="Arial"/>
          <w:iCs/>
          <w:lang w:val="en-US"/>
        </w:rPr>
        <w:t>function</w:t>
      </w:r>
      <w:r>
        <w:rPr>
          <w:rFonts w:ascii="Arial" w:eastAsiaTheme="minorEastAsia" w:hAnsi="Arial" w:cs="Arial"/>
          <w:lang w:val="en-US"/>
        </w:rPr>
        <w:t xml:space="preserve">. The generalization proposed by Definition 2, with respect to the definition in [3], consists in smoothing the effect of the norm of </w:t>
      </w:r>
      <m:oMath>
        <m:sSub>
          <m:sSubPr>
            <m:ctrlPr>
              <w:rPr>
                <w:rFonts w:ascii="Cambria Math" w:hAnsi="Cambria Math" w:cs="Arial"/>
                <w:i/>
                <w:iCs/>
                <w:lang w:val="en-US"/>
              </w:rPr>
            </m:ctrlPr>
          </m:sSubPr>
          <m:e>
            <m:r>
              <w:rPr>
                <w:rFonts w:ascii="Cambria Math" w:hAnsi="Cambria Math" w:cs="Arial"/>
                <w:lang w:val="en-US"/>
              </w:rPr>
              <m:t>x</m:t>
            </m:r>
          </m:e>
          <m:sub>
            <m:r>
              <w:rPr>
                <w:rFonts w:ascii="Cambria Math" w:hAnsi="Cambria Math" w:cs="Arial"/>
                <w:lang w:val="en-US"/>
              </w:rPr>
              <m:t>k</m:t>
            </m:r>
          </m:sub>
        </m:sSub>
      </m:oMath>
      <w:r>
        <w:rPr>
          <w:rFonts w:ascii="Arial" w:eastAsiaTheme="minorEastAsia" w:hAnsi="Arial" w:cs="Arial"/>
          <w:iCs/>
          <w:lang w:val="en-US"/>
        </w:rPr>
        <w:t xml:space="preserve">, through the use of the function </w:t>
      </w:r>
      <m:oMath>
        <m:r>
          <w:rPr>
            <w:rFonts w:ascii="Cambria Math" w:hAnsi="Cambria Math" w:cs="Arial"/>
            <w:lang w:val="en-US"/>
          </w:rPr>
          <m:t>f</m:t>
        </m:r>
      </m:oMath>
      <w:r>
        <w:rPr>
          <w:rFonts w:ascii="Arial" w:eastAsiaTheme="minorEastAsia" w:hAnsi="Arial" w:cs="Arial"/>
          <w:lang w:val="en-US"/>
        </w:rPr>
        <w:t>.</w:t>
      </w:r>
    </w:p>
    <w:p w:rsidR="002429F5" w:rsidRDefault="002429F5" w:rsidP="002429F5">
      <w:pPr>
        <w:pStyle w:val="1"/>
        <w:rPr>
          <w:rFonts w:ascii="Arial" w:eastAsiaTheme="minorEastAsia" w:hAnsi="Arial" w:cs="Arial"/>
          <w:lang w:val="en-US"/>
        </w:rPr>
      </w:pPr>
    </w:p>
    <w:p w:rsidR="002429F5" w:rsidRPr="00954C9A" w:rsidRDefault="002429F5" w:rsidP="002429F5">
      <w:pPr>
        <w:pStyle w:val="BodytextIndented"/>
        <w:ind w:firstLine="0"/>
        <w:jc w:val="center"/>
        <w:rPr>
          <w:rFonts w:ascii="Arial" w:hAnsi="Arial" w:cs="Arial"/>
          <w:sz w:val="24"/>
          <w:szCs w:val="24"/>
        </w:rPr>
      </w:pPr>
    </w:p>
    <w:p w:rsidR="002429F5" w:rsidRPr="002429F5" w:rsidRDefault="002429F5" w:rsidP="002429F5">
      <w:pPr>
        <w:jc w:val="both"/>
        <w:rPr>
          <w:rFonts w:ascii="Arial" w:hAnsi="Arial" w:cs="Arial"/>
          <w:b/>
          <w:iCs/>
          <w:lang w:val="en-US"/>
        </w:rPr>
      </w:pPr>
      <w:r w:rsidRPr="002429F5">
        <w:rPr>
          <w:rFonts w:ascii="Arial" w:hAnsi="Arial" w:cs="Arial"/>
          <w:b/>
          <w:iCs/>
          <w:lang w:val="en-US"/>
        </w:rPr>
        <w:t xml:space="preserve">4. Main results     </w:t>
      </w:r>
    </w:p>
    <w:p w:rsidR="002429F5" w:rsidRPr="002429F5" w:rsidRDefault="002429F5" w:rsidP="002429F5">
      <w:pPr>
        <w:jc w:val="both"/>
        <w:rPr>
          <w:rFonts w:ascii="Times" w:eastAsia="Times New Roman" w:hAnsi="Times"/>
          <w:iCs/>
          <w:color w:val="000000"/>
          <w:sz w:val="22"/>
          <w:szCs w:val="22"/>
          <w:lang w:val="en-US"/>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 xml:space="preserve">     The next, is our main result in this paper:</w:t>
      </w:r>
    </w:p>
    <w:p w:rsidR="002429F5" w:rsidRPr="002429F5" w:rsidRDefault="002429F5" w:rsidP="002429F5">
      <w:pPr>
        <w:jc w:val="both"/>
        <w:rPr>
          <w:rFonts w:ascii="Arial" w:hAnsi="Arial" w:cs="Arial"/>
          <w:iCs/>
          <w:color w:val="000000"/>
          <w:lang w:val="en-US"/>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 xml:space="preserve">     </w:t>
      </w:r>
      <w:r w:rsidRPr="002429F5">
        <w:rPr>
          <w:rFonts w:ascii="Arial" w:hAnsi="Arial" w:cs="Arial"/>
          <w:b/>
          <w:iCs/>
          <w:color w:val="000000"/>
          <w:lang w:val="en-US"/>
        </w:rPr>
        <w:t xml:space="preserve">Theorem 4 </w:t>
      </w:r>
      <w:r w:rsidRPr="002429F5">
        <w:rPr>
          <w:rFonts w:ascii="Arial" w:hAnsi="Arial" w:cs="Arial"/>
          <w:iCs/>
          <w:color w:val="000000"/>
          <w:lang w:val="en-US"/>
        </w:rPr>
        <w:t>Let p</w:t>
      </w:r>
      <w:r w:rsidRPr="00954C9A">
        <w:rPr>
          <w:rFonts w:ascii="Arial" w:hAnsi="Arial" w:cs="Arial"/>
          <w:iCs/>
          <w:color w:val="000000"/>
        </w:rPr>
        <w:sym w:font="Symbol" w:char="F0CE"/>
      </w:r>
      <w:r w:rsidRPr="002429F5">
        <w:rPr>
          <w:rFonts w:ascii="Arial" w:hAnsi="Arial" w:cs="Arial"/>
          <w:iCs/>
          <w:color w:val="000000"/>
          <w:lang w:val="en-US"/>
        </w:rPr>
        <w:t xml:space="preserve">(0,1] be arbitrary. Assume that the conditions of lemma 2.1 are satisfied and let </w:t>
      </w:r>
      <m:oMath>
        <m:sSub>
          <m:sSubPr>
            <m:ctrlPr>
              <w:rPr>
                <w:rFonts w:ascii="Cambria Math" w:hAnsi="Cambria Math" w:cs="Arial"/>
                <w:i/>
                <w:iCs/>
                <w:color w:val="000000"/>
              </w:rPr>
            </m:ctrlPr>
          </m:sSubPr>
          <m:e>
            <m:sSub>
              <m:sSubPr>
                <m:ctrlPr>
                  <w:rPr>
                    <w:rFonts w:ascii="Cambria Math" w:hAnsi="Cambria Math" w:cs="Arial"/>
                    <w:i/>
                    <w:iCs/>
                    <w:color w:val="000000"/>
                  </w:rPr>
                </m:ctrlPr>
              </m:sSubPr>
              <m:e>
                <m:r>
                  <w:rPr>
                    <w:rFonts w:ascii="Cambria Math" w:hAnsi="Cambria Math" w:cs="Arial"/>
                    <w:color w:val="000000"/>
                    <w:lang w:val="en-US"/>
                  </w:rPr>
                  <m:t>{</m:t>
                </m:r>
                <m:r>
                  <w:rPr>
                    <w:rFonts w:ascii="Cambria Math" w:hAnsi="Cambria Math" w:cs="Arial"/>
                    <w:color w:val="000000"/>
                  </w:rPr>
                  <m:t>x</m:t>
                </m:r>
              </m:e>
              <m:sub>
                <m:r>
                  <w:rPr>
                    <w:rFonts w:ascii="Cambria Math" w:hAnsi="Cambria Math" w:cs="Arial"/>
                    <w:color w:val="000000"/>
                  </w:rPr>
                  <m:t>k</m:t>
                </m:r>
              </m:sub>
            </m:sSub>
            <m:r>
              <w:rPr>
                <w:rFonts w:ascii="Cambria Math" w:hAnsi="Cambria Math" w:cs="Arial"/>
                <w:color w:val="000000"/>
                <w:lang w:val="en-US"/>
              </w:rPr>
              <m:t>}</m:t>
            </m:r>
          </m:e>
          <m:sub>
            <m:r>
              <w:rPr>
                <w:rFonts w:ascii="Cambria Math" w:hAnsi="Cambria Math" w:cs="Arial"/>
                <w:color w:val="000000"/>
              </w:rPr>
              <m:t>k</m:t>
            </m:r>
          </m:sub>
        </m:sSub>
      </m:oMath>
      <w:r w:rsidRPr="002429F5">
        <w:rPr>
          <w:rFonts w:ascii="Arial" w:hAnsi="Arial" w:cs="Arial"/>
          <w:iCs/>
          <w:color w:val="000000"/>
          <w:lang w:val="en-US"/>
        </w:rPr>
        <w:t xml:space="preserve"> a Markov process. If there exists a function </w:t>
      </w:r>
      <m:oMath>
        <m:r>
          <w:rPr>
            <w:rFonts w:ascii="Cambria Math" w:hAnsi="Cambria Math" w:cs="Arial"/>
            <w:color w:val="000000"/>
          </w:rPr>
          <m:t>V</m:t>
        </m:r>
        <m:d>
          <m:dPr>
            <m:ctrlPr>
              <w:rPr>
                <w:rFonts w:ascii="Cambria Math" w:hAnsi="Cambria Math" w:cs="Arial"/>
                <w:i/>
                <w:iCs/>
                <w:color w:val="000000"/>
              </w:rPr>
            </m:ctrlPr>
          </m:dPr>
          <m:e>
            <m:r>
              <w:rPr>
                <w:rFonts w:ascii="Cambria Math" w:hAnsi="Cambria Math" w:cs="Arial"/>
                <w:color w:val="000000"/>
              </w:rPr>
              <m:t>t</m:t>
            </m:r>
            <m:r>
              <w:rPr>
                <w:rFonts w:ascii="Cambria Math" w:hAnsi="Cambria Math" w:cs="Arial"/>
                <w:color w:val="000000"/>
                <w:lang w:val="en-US"/>
              </w:rPr>
              <m:t xml:space="preserve">, </m:t>
            </m:r>
            <m:r>
              <w:rPr>
                <w:rFonts w:ascii="Cambria Math" w:hAnsi="Cambria Math" w:cs="Arial"/>
                <w:color w:val="000000"/>
              </w:rPr>
              <m:t>x</m:t>
            </m:r>
          </m:e>
        </m:d>
        <m:r>
          <m:rPr>
            <m:sty m:val="p"/>
          </m:rPr>
          <w:rPr>
            <w:rFonts w:ascii="Cambria Math" w:hAnsi="Cambria Math" w:cs="Arial"/>
            <w:iCs/>
            <w:color w:val="000000"/>
          </w:rPr>
          <w:sym w:font="Symbol" w:char="F0CE"/>
        </m:r>
        <m:sSup>
          <m:sSupPr>
            <m:ctrlPr>
              <w:rPr>
                <w:rFonts w:ascii="Cambria Math" w:hAnsi="Cambria Math" w:cs="Arial"/>
                <w:iCs/>
                <w:color w:val="000000"/>
              </w:rPr>
            </m:ctrlPr>
          </m:sSupPr>
          <m:e>
            <m:r>
              <w:rPr>
                <w:rFonts w:ascii="Cambria Math" w:hAnsi="Cambria Math" w:cs="Arial"/>
                <w:color w:val="000000"/>
              </w:rPr>
              <m:t>C</m:t>
            </m:r>
          </m:e>
          <m:sup>
            <m:r>
              <w:rPr>
                <w:rFonts w:ascii="Cambria Math" w:hAnsi="Cambria Math" w:cs="Arial"/>
                <w:color w:val="000000"/>
                <w:lang w:val="en-US"/>
              </w:rPr>
              <m:t>1,2</m:t>
            </m:r>
          </m:sup>
        </m:sSup>
        <m:r>
          <w:rPr>
            <w:rFonts w:ascii="Cambria Math" w:hAnsi="Cambria Math" w:cs="Arial"/>
            <w:color w:val="000000"/>
            <w:lang w:val="en-US"/>
          </w:rPr>
          <m:t>(</m:t>
        </m:r>
        <m:sSup>
          <m:sSupPr>
            <m:ctrlPr>
              <w:rPr>
                <w:rFonts w:ascii="Cambria Math" w:hAnsi="Cambria Math" w:cs="Arial"/>
                <w:i/>
                <w:iCs/>
                <w:color w:val="000000"/>
              </w:rPr>
            </m:ctrlPr>
          </m:sSupPr>
          <m:e>
            <m:r>
              <m:rPr>
                <m:scr m:val="double-struck"/>
              </m:rPr>
              <w:rPr>
                <w:rFonts w:ascii="Cambria Math" w:hAnsi="Cambria Math" w:cs="Arial"/>
                <w:color w:val="000000"/>
                <w:lang w:val="en-US"/>
              </w:rPr>
              <m:t>R</m:t>
            </m:r>
          </m:e>
          <m:sup>
            <m:r>
              <w:rPr>
                <w:rFonts w:ascii="Cambria Math" w:hAnsi="Cambria Math" w:cs="Arial"/>
                <w:color w:val="000000"/>
                <w:lang w:val="en-US"/>
              </w:rPr>
              <m:t>+</m:t>
            </m:r>
          </m:sup>
        </m:sSup>
        <m:r>
          <w:rPr>
            <w:rFonts w:ascii="Cambria Math" w:hAnsi="Cambria Math" w:cs="Arial"/>
            <w:color w:val="000000"/>
            <w:lang w:val="en-US"/>
          </w:rPr>
          <m:t>×</m:t>
        </m:r>
        <m:sSup>
          <m:sSupPr>
            <m:ctrlPr>
              <w:rPr>
                <w:rFonts w:ascii="Cambria Math" w:hAnsi="Cambria Math" w:cs="Arial"/>
                <w:i/>
                <w:iCs/>
                <w:color w:val="000000"/>
              </w:rPr>
            </m:ctrlPr>
          </m:sSupPr>
          <m:e>
            <m:r>
              <m:rPr>
                <m:scr m:val="double-struck"/>
              </m:rPr>
              <w:rPr>
                <w:rFonts w:ascii="Cambria Math" w:hAnsi="Cambria Math" w:cs="Arial"/>
                <w:color w:val="000000"/>
                <w:lang w:val="en-US"/>
              </w:rPr>
              <m:t>R</m:t>
            </m:r>
          </m:e>
          <m:sup>
            <m:r>
              <w:rPr>
                <w:rFonts w:ascii="Cambria Math" w:hAnsi="Cambria Math" w:cs="Arial"/>
                <w:color w:val="000000"/>
              </w:rPr>
              <m:t>n</m:t>
            </m:r>
          </m:sup>
        </m:sSup>
        <m:r>
          <w:rPr>
            <w:rFonts w:ascii="Cambria Math" w:hAnsi="Cambria Math" w:cs="Arial"/>
            <w:color w:val="000000"/>
            <w:lang w:val="en-US"/>
          </w:rPr>
          <m:t>;</m:t>
        </m:r>
        <m:sSup>
          <m:sSupPr>
            <m:ctrlPr>
              <w:rPr>
                <w:rFonts w:ascii="Cambria Math" w:hAnsi="Cambria Math" w:cs="Arial"/>
                <w:i/>
                <w:iCs/>
                <w:color w:val="000000"/>
              </w:rPr>
            </m:ctrlPr>
          </m:sSupPr>
          <m:e>
            <m:r>
              <m:rPr>
                <m:scr m:val="double-struck"/>
              </m:rPr>
              <w:rPr>
                <w:rFonts w:ascii="Cambria Math" w:hAnsi="Cambria Math" w:cs="Arial"/>
                <w:color w:val="000000"/>
                <w:lang w:val="en-US"/>
              </w:rPr>
              <m:t>R</m:t>
            </m:r>
          </m:e>
          <m:sup>
            <m:r>
              <w:rPr>
                <w:rFonts w:ascii="Cambria Math" w:hAnsi="Cambria Math" w:cs="Arial"/>
                <w:color w:val="000000"/>
                <w:lang w:val="en-US"/>
              </w:rPr>
              <m:t>+</m:t>
            </m:r>
          </m:sup>
        </m:sSup>
        <m:r>
          <w:rPr>
            <w:rFonts w:ascii="Cambria Math" w:hAnsi="Cambria Math" w:cs="Arial"/>
            <w:color w:val="000000"/>
            <w:lang w:val="en-US"/>
          </w:rPr>
          <m:t>)</m:t>
        </m:r>
      </m:oMath>
      <w:r w:rsidRPr="002429F5">
        <w:rPr>
          <w:rFonts w:ascii="Arial" w:hAnsi="Arial" w:cs="Arial"/>
          <w:iCs/>
          <w:color w:val="000000"/>
          <w:lang w:val="en-US"/>
        </w:rPr>
        <w:t>, a positive continuous and increasing sequence</w:t>
      </w:r>
      <m:oMath>
        <m:r>
          <w:rPr>
            <w:rFonts w:ascii="Cambria Math" w:hAnsi="Cambria Math" w:cs="Arial"/>
            <w:color w:val="000000"/>
            <w:lang w:val="en-US"/>
          </w:rPr>
          <m:t xml:space="preserve"> </m:t>
        </m:r>
        <m:sSub>
          <m:sSubPr>
            <m:ctrlPr>
              <w:rPr>
                <w:rFonts w:ascii="Cambria Math" w:hAnsi="Cambria Math" w:cs="Arial"/>
                <w:i/>
                <w:iCs/>
                <w:color w:val="000000"/>
              </w:rPr>
            </m:ctrlPr>
          </m:sSubPr>
          <m:e>
            <m:r>
              <w:rPr>
                <w:rFonts w:ascii="Cambria Math" w:hAnsi="Cambria Math" w:cs="Arial"/>
                <w:color w:val="000000"/>
                <w:lang w:val="en-US"/>
              </w:rPr>
              <m:t>{</m:t>
            </m:r>
            <m:sSub>
              <m:sSubPr>
                <m:ctrlPr>
                  <w:rPr>
                    <w:rFonts w:ascii="Cambria Math" w:hAnsi="Cambria Math" w:cs="Arial"/>
                    <w:iCs/>
                    <w:color w:val="000000"/>
                  </w:rPr>
                </m:ctrlPr>
              </m:sSubPr>
              <m:e>
                <m:r>
                  <m:rPr>
                    <m:sty m:val="p"/>
                  </m:rPr>
                  <w:rPr>
                    <w:rFonts w:ascii="Cambria Math" w:hAnsi="Cambria Math" w:cs="Arial"/>
                    <w:color w:val="000000"/>
                  </w:rPr>
                  <m:t>λ</m:t>
                </m:r>
              </m:e>
              <m:sub>
                <m:r>
                  <w:rPr>
                    <w:rFonts w:ascii="Cambria Math" w:hAnsi="Cambria Math" w:cs="Arial"/>
                    <w:color w:val="000000"/>
                  </w:rPr>
                  <m:t>k</m:t>
                </m:r>
              </m:sub>
            </m:sSub>
            <m:r>
              <w:rPr>
                <w:rFonts w:ascii="Cambria Math" w:hAnsi="Cambria Math" w:cs="Arial"/>
                <w:color w:val="000000"/>
                <w:lang w:val="en-US"/>
              </w:rPr>
              <m:t>(</m:t>
            </m:r>
            <m:r>
              <m:rPr>
                <m:sty m:val="p"/>
              </m:rPr>
              <w:rPr>
                <w:rFonts w:ascii="Cambria Math" w:hAnsi="Cambria Math" w:cs="Arial"/>
                <w:color w:val="000000"/>
                <w:lang w:val="en-US"/>
              </w:rPr>
              <m:t>t</m:t>
            </m:r>
            <m:r>
              <w:rPr>
                <w:rFonts w:ascii="Cambria Math" w:hAnsi="Cambria Math" w:cs="Arial"/>
                <w:color w:val="000000"/>
                <w:lang w:val="en-US"/>
              </w:rPr>
              <m:t>)}</m:t>
            </m:r>
          </m:e>
          <m:sub>
            <m:r>
              <w:rPr>
                <w:rFonts w:ascii="Cambria Math" w:hAnsi="Cambria Math" w:cs="Arial"/>
                <w:color w:val="000000"/>
              </w:rPr>
              <m:t>k</m:t>
            </m:r>
          </m:sub>
        </m:sSub>
      </m:oMath>
      <w:r w:rsidRPr="002429F5">
        <w:rPr>
          <w:rFonts w:ascii="Arial" w:hAnsi="Arial" w:cs="Arial"/>
          <w:iCs/>
          <w:color w:val="000000"/>
          <w:lang w:val="en-US"/>
        </w:rPr>
        <w:t xml:space="preserve">, </w:t>
      </w:r>
      <m:oMath>
        <m:sSub>
          <m:sSubPr>
            <m:ctrlPr>
              <w:rPr>
                <w:rFonts w:ascii="Cambria Math" w:hAnsi="Cambria Math" w:cs="Arial"/>
                <w:iCs/>
                <w:color w:val="000000"/>
              </w:rPr>
            </m:ctrlPr>
          </m:sSubPr>
          <m:e>
            <m:r>
              <m:rPr>
                <m:sty m:val="p"/>
              </m:rPr>
              <w:rPr>
                <w:rFonts w:ascii="Cambria Math" w:hAnsi="Cambria Math" w:cs="Arial"/>
                <w:color w:val="000000"/>
              </w:rPr>
              <m:t>λ</m:t>
            </m:r>
          </m:e>
          <m:sub>
            <m:r>
              <w:rPr>
                <w:rFonts w:ascii="Cambria Math" w:hAnsi="Cambria Math" w:cs="Arial"/>
                <w:color w:val="000000"/>
              </w:rPr>
              <m:t>k</m:t>
            </m:r>
          </m:sub>
        </m:sSub>
        <m:r>
          <m:rPr>
            <m:scr m:val="double-struck"/>
          </m:rPr>
          <w:rPr>
            <w:rFonts w:ascii="Cambria Math" w:hAnsi="Cambria Math" w:cs="Arial"/>
            <w:color w:val="000000"/>
            <w:lang w:val="en-US"/>
          </w:rPr>
          <m:t>:R→</m:t>
        </m:r>
        <m:sSup>
          <m:sSupPr>
            <m:ctrlPr>
              <w:rPr>
                <w:rFonts w:ascii="Cambria Math" w:hAnsi="Cambria Math" w:cs="Arial"/>
                <w:i/>
                <w:iCs/>
                <w:color w:val="000000"/>
              </w:rPr>
            </m:ctrlPr>
          </m:sSupPr>
          <m:e>
            <m:r>
              <m:rPr>
                <m:scr m:val="double-struck"/>
              </m:rPr>
              <w:rPr>
                <w:rFonts w:ascii="Cambria Math" w:hAnsi="Cambria Math" w:cs="Arial"/>
                <w:color w:val="000000"/>
                <w:lang w:val="en-US"/>
              </w:rPr>
              <m:t>R</m:t>
            </m:r>
          </m:e>
          <m:sup>
            <m:r>
              <w:rPr>
                <w:rFonts w:ascii="Cambria Math" w:hAnsi="Cambria Math" w:cs="Arial"/>
                <w:color w:val="000000"/>
                <w:lang w:val="en-US"/>
              </w:rPr>
              <m:t>+</m:t>
            </m:r>
          </m:sup>
        </m:sSup>
      </m:oMath>
      <w:r w:rsidRPr="002429F5">
        <w:rPr>
          <w:rFonts w:ascii="Arial" w:hAnsi="Arial" w:cs="Arial"/>
          <w:iCs/>
          <w:color w:val="000000"/>
          <w:lang w:val="en-US"/>
        </w:rPr>
        <w:t xml:space="preserve">, with </w:t>
      </w:r>
      <m:oMath>
        <m:sSub>
          <m:sSubPr>
            <m:ctrlPr>
              <w:rPr>
                <w:rFonts w:ascii="Cambria Math" w:hAnsi="Cambria Math" w:cs="Arial"/>
                <w:iCs/>
                <w:color w:val="000000"/>
              </w:rPr>
            </m:ctrlPr>
          </m:sSubPr>
          <m:e>
            <m:r>
              <m:rPr>
                <m:sty m:val="p"/>
              </m:rPr>
              <w:rPr>
                <w:rFonts w:ascii="Cambria Math" w:hAnsi="Cambria Math" w:cs="Arial"/>
                <w:color w:val="000000"/>
              </w:rPr>
              <m:t>λ</m:t>
            </m:r>
          </m:e>
          <m:sub>
            <m:r>
              <w:rPr>
                <w:rFonts w:ascii="Cambria Math" w:hAnsi="Cambria Math" w:cs="Arial"/>
                <w:color w:val="000000"/>
              </w:rPr>
              <m:t>k</m:t>
            </m:r>
          </m:sub>
        </m:sSub>
        <m:r>
          <w:rPr>
            <w:rFonts w:ascii="Cambria Math" w:hAnsi="Cambria Math" w:cs="Arial"/>
            <w:color w:val="000000"/>
            <w:lang w:val="en-US"/>
          </w:rPr>
          <m:t>(</m:t>
        </m:r>
        <m:r>
          <m:rPr>
            <m:sty m:val="p"/>
          </m:rPr>
          <w:rPr>
            <w:rFonts w:ascii="Cambria Math" w:hAnsi="Cambria Math" w:cs="Arial"/>
            <w:color w:val="000000"/>
            <w:lang w:val="en-US"/>
          </w:rPr>
          <m:t>t</m:t>
        </m:r>
        <m:r>
          <w:rPr>
            <w:rFonts w:ascii="Cambria Math" w:hAnsi="Cambria Math" w:cs="Arial"/>
            <w:color w:val="000000"/>
            <w:lang w:val="en-US"/>
          </w:rPr>
          <m:t>)≥1</m:t>
        </m:r>
      </m:oMath>
      <w:r w:rsidRPr="002429F5">
        <w:rPr>
          <w:rFonts w:ascii="Arial" w:hAnsi="Arial" w:cs="Arial"/>
          <w:iCs/>
          <w:color w:val="000000"/>
          <w:lang w:val="en-US"/>
        </w:rPr>
        <w:t xml:space="preserve">, a continuous and non-negative function </w:t>
      </w:r>
      <m:oMath>
        <m:r>
          <w:rPr>
            <w:rFonts w:ascii="Cambria Math" w:hAnsi="Cambria Math" w:cs="Arial"/>
            <w:color w:val="000000"/>
          </w:rPr>
          <m:t>g</m:t>
        </m:r>
        <m:r>
          <m:rPr>
            <m:scr m:val="double-struck"/>
          </m:rPr>
          <w:rPr>
            <w:rFonts w:ascii="Cambria Math" w:hAnsi="Cambria Math" w:cs="Arial"/>
            <w:color w:val="000000"/>
            <w:lang w:val="en-US"/>
          </w:rPr>
          <m:t>: R</m:t>
        </m:r>
        <m:r>
          <w:rPr>
            <w:rFonts w:ascii="Cambria Math" w:hAnsi="Cambria Math" w:cs="Arial"/>
            <w:i/>
            <w:iCs/>
            <w:color w:val="000000"/>
          </w:rPr>
          <w:sym w:font="Symbol" w:char="F0AE"/>
        </m:r>
        <m:r>
          <m:rPr>
            <m:scr m:val="double-struck"/>
          </m:rPr>
          <w:rPr>
            <w:rFonts w:ascii="Cambria Math" w:hAnsi="Cambria Math" w:cs="Arial"/>
            <w:color w:val="000000"/>
            <w:lang w:val="en-US"/>
          </w:rPr>
          <m:t xml:space="preserve"> R</m:t>
        </m:r>
      </m:oMath>
      <w:r w:rsidRPr="002429F5">
        <w:rPr>
          <w:rFonts w:ascii="Arial" w:hAnsi="Arial" w:cs="Arial"/>
          <w:iCs/>
          <w:color w:val="000000"/>
          <w:lang w:val="en-US"/>
        </w:rPr>
        <w:t xml:space="preserve">, such that </w:t>
      </w:r>
    </w:p>
    <w:p w:rsidR="002429F5" w:rsidRPr="002429F5" w:rsidRDefault="002429F5" w:rsidP="002429F5">
      <w:pPr>
        <w:jc w:val="both"/>
        <w:rPr>
          <w:rFonts w:ascii="Arial" w:hAnsi="Arial" w:cs="Arial"/>
          <w:iCs/>
          <w:color w:val="000000"/>
          <w:lang w:val="en-US"/>
        </w:rPr>
      </w:pPr>
    </w:p>
    <w:p w:rsidR="002429F5" w:rsidRPr="00954C9A" w:rsidRDefault="002429F5" w:rsidP="00133D30">
      <w:pPr>
        <w:numPr>
          <w:ilvl w:val="0"/>
          <w:numId w:val="28"/>
        </w:numPr>
        <w:suppressAutoHyphens/>
        <w:spacing w:after="0" w:line="240" w:lineRule="auto"/>
        <w:jc w:val="both"/>
        <w:rPr>
          <w:rFonts w:ascii="Arial" w:hAnsi="Arial" w:cs="Arial"/>
          <w:iCs/>
          <w:color w:val="000000"/>
        </w:rPr>
      </w:pPr>
      <m:oMath>
        <m:r>
          <w:rPr>
            <w:rFonts w:ascii="Cambria Math" w:hAnsi="Cambria Math" w:cs="Arial"/>
            <w:color w:val="000000"/>
          </w:rPr>
          <m:t>LV</m:t>
        </m:r>
        <m:d>
          <m:dPr>
            <m:ctrlPr>
              <w:rPr>
                <w:rFonts w:ascii="Cambria Math" w:hAnsi="Cambria Math" w:cs="Arial"/>
                <w:i/>
                <w:iCs/>
                <w:color w:val="000000"/>
              </w:rPr>
            </m:ctrlPr>
          </m:dPr>
          <m:e>
            <m:r>
              <w:rPr>
                <w:rFonts w:ascii="Cambria Math" w:hAnsi="Cambria Math" w:cs="Arial"/>
                <w:color w:val="000000"/>
              </w:rPr>
              <m:t>t,x</m:t>
            </m:r>
          </m:e>
        </m:d>
        <m:r>
          <w:rPr>
            <w:rFonts w:ascii="Cambria Math" w:hAnsi="Cambria Math" w:cs="Arial"/>
            <w:color w:val="000000"/>
          </w:rPr>
          <m:t>&lt;-g(t)V</m:t>
        </m:r>
        <m:d>
          <m:dPr>
            <m:ctrlPr>
              <w:rPr>
                <w:rFonts w:ascii="Cambria Math" w:hAnsi="Cambria Math" w:cs="Arial"/>
                <w:i/>
                <w:iCs/>
                <w:color w:val="000000"/>
              </w:rPr>
            </m:ctrlPr>
          </m:dPr>
          <m:e>
            <m:r>
              <w:rPr>
                <w:rFonts w:ascii="Cambria Math" w:hAnsi="Cambria Math" w:cs="Arial"/>
                <w:color w:val="000000"/>
              </w:rPr>
              <m:t>t,x</m:t>
            </m:r>
          </m:e>
        </m:d>
        <m:r>
          <w:rPr>
            <w:rFonts w:ascii="Cambria Math" w:hAnsi="Cambria Math" w:cs="Arial"/>
            <w:color w:val="000000"/>
          </w:rPr>
          <m:t>,   ∀ t∈</m:t>
        </m:r>
        <m:sSup>
          <m:sSupPr>
            <m:ctrlPr>
              <w:rPr>
                <w:rFonts w:ascii="Cambria Math" w:hAnsi="Cambria Math" w:cs="Arial"/>
                <w:i/>
                <w:iCs/>
                <w:color w:val="000000"/>
              </w:rPr>
            </m:ctrlPr>
          </m:sSupPr>
          <m:e>
            <m:r>
              <m:rPr>
                <m:scr m:val="double-struck"/>
              </m:rPr>
              <w:rPr>
                <w:rFonts w:ascii="Cambria Math" w:hAnsi="Cambria Math" w:cs="Arial"/>
                <w:color w:val="000000"/>
              </w:rPr>
              <m:t>R</m:t>
            </m:r>
          </m:e>
          <m:sup>
            <m:r>
              <w:rPr>
                <w:rFonts w:ascii="Cambria Math" w:hAnsi="Cambria Math" w:cs="Arial"/>
                <w:color w:val="000000"/>
              </w:rPr>
              <m:t>+</m:t>
            </m:r>
          </m:sup>
        </m:sSup>
      </m:oMath>
    </w:p>
    <w:p w:rsidR="002429F5" w:rsidRPr="00954C9A" w:rsidRDefault="001345E4" w:rsidP="00133D30">
      <w:pPr>
        <w:numPr>
          <w:ilvl w:val="0"/>
          <w:numId w:val="28"/>
        </w:numPr>
        <w:suppressAutoHyphens/>
        <w:spacing w:after="0" w:line="240" w:lineRule="auto"/>
        <w:jc w:val="both"/>
        <w:rPr>
          <w:rFonts w:ascii="Arial" w:hAnsi="Arial" w:cs="Arial"/>
          <w:iCs/>
          <w:color w:val="000000"/>
        </w:rPr>
      </w:pPr>
      <m:oMath>
        <m:sSup>
          <m:sSupPr>
            <m:ctrlPr>
              <w:rPr>
                <w:rFonts w:ascii="Cambria Math" w:hAnsi="Cambria Math" w:cs="Arial"/>
                <w:i/>
                <w:iCs/>
                <w:color w:val="000000"/>
              </w:rPr>
            </m:ctrlPr>
          </m:sSupPr>
          <m:e>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k</m:t>
                </m:r>
              </m:sub>
            </m:sSub>
            <m:r>
              <w:rPr>
                <w:rFonts w:ascii="Cambria Math" w:hAnsi="Cambria Math" w:cs="Arial"/>
                <w:color w:val="000000"/>
              </w:rPr>
              <m:t>∥</m:t>
            </m:r>
          </m:e>
          <m:sup>
            <m:r>
              <w:rPr>
                <w:rFonts w:ascii="Cambria Math" w:hAnsi="Cambria Math" w:cs="Arial"/>
                <w:color w:val="000000"/>
              </w:rPr>
              <m:t>p</m:t>
            </m:r>
          </m:sup>
        </m:sSup>
        <m:sSub>
          <m:sSubPr>
            <m:ctrlPr>
              <w:rPr>
                <w:rFonts w:ascii="Cambria Math" w:hAnsi="Cambria Math" w:cs="Arial"/>
                <w:i/>
                <w:iCs/>
                <w:color w:val="000000"/>
              </w:rPr>
            </m:ctrlPr>
          </m:sSubPr>
          <m:e>
            <m:r>
              <w:rPr>
                <w:rFonts w:ascii="Cambria Math" w:hAnsi="Cambria Math" w:cs="Arial"/>
                <w:i/>
                <w:iCs/>
                <w:color w:val="000000"/>
              </w:rPr>
              <w:sym w:font="Symbol" w:char="F06C"/>
            </m:r>
          </m:e>
          <m:sub>
            <m:r>
              <w:rPr>
                <w:rFonts w:ascii="Cambria Math" w:hAnsi="Cambria Math" w:cs="Arial"/>
                <w:color w:val="000000"/>
              </w:rPr>
              <m:t>k</m:t>
            </m:r>
          </m:sub>
        </m:sSub>
        <m:r>
          <w:rPr>
            <w:rFonts w:ascii="Cambria Math" w:hAnsi="Cambria Math" w:cs="Arial"/>
            <w:color w:val="000000"/>
          </w:rPr>
          <m:t>(</m:t>
        </m:r>
        <m:r>
          <m:rPr>
            <m:sty m:val="p"/>
          </m:rPr>
          <w:rPr>
            <w:rFonts w:ascii="Cambria Math" w:hAnsi="Cambria Math" w:cs="Arial"/>
            <w:color w:val="000000"/>
          </w:rPr>
          <m:t>t</m:t>
        </m:r>
        <m:r>
          <w:rPr>
            <w:rFonts w:ascii="Cambria Math" w:hAnsi="Cambria Math" w:cs="Arial"/>
            <w:color w:val="000000"/>
          </w:rPr>
          <m:t>)</m:t>
        </m:r>
      </m:oMath>
      <w:r w:rsidR="002429F5" w:rsidRPr="00954C9A">
        <w:rPr>
          <w:rFonts w:ascii="Arial" w:hAnsi="Arial" w:cs="Arial"/>
          <w:iCs/>
          <w:color w:val="000000"/>
        </w:rPr>
        <w:t xml:space="preserve"> &lt; </w:t>
      </w:r>
      <m:oMath>
        <m:r>
          <w:rPr>
            <w:rFonts w:ascii="Cambria Math" w:hAnsi="Cambria Math" w:cs="Arial"/>
            <w:color w:val="000000"/>
          </w:rPr>
          <m:t>V</m:t>
        </m:r>
        <m:d>
          <m:dPr>
            <m:ctrlPr>
              <w:rPr>
                <w:rFonts w:ascii="Cambria Math" w:hAnsi="Cambria Math" w:cs="Arial"/>
                <w:i/>
                <w:iCs/>
                <w:color w:val="000000"/>
              </w:rPr>
            </m:ctrlPr>
          </m:dPr>
          <m:e>
            <m:r>
              <w:rPr>
                <w:rFonts w:ascii="Cambria Math" w:hAnsi="Cambria Math" w:cs="Arial"/>
                <w:color w:val="000000"/>
              </w:rPr>
              <m:t>t, x</m:t>
            </m:r>
          </m:e>
        </m:d>
        <m:r>
          <w:rPr>
            <w:rFonts w:ascii="Cambria Math" w:hAnsi="Cambria Math" w:cs="Arial"/>
            <w:color w:val="000000"/>
          </w:rPr>
          <m:t>,  ∀ t∈</m:t>
        </m:r>
        <m:sSup>
          <m:sSupPr>
            <m:ctrlPr>
              <w:rPr>
                <w:rFonts w:ascii="Cambria Math" w:hAnsi="Cambria Math" w:cs="Arial"/>
                <w:i/>
                <w:iCs/>
                <w:color w:val="000000"/>
              </w:rPr>
            </m:ctrlPr>
          </m:sSupPr>
          <m:e>
            <m:r>
              <m:rPr>
                <m:scr m:val="double-struck"/>
              </m:rPr>
              <w:rPr>
                <w:rFonts w:ascii="Cambria Math" w:hAnsi="Cambria Math" w:cs="Arial"/>
                <w:color w:val="000000"/>
              </w:rPr>
              <m:t>R</m:t>
            </m:r>
          </m:e>
          <m:sup>
            <m:r>
              <w:rPr>
                <w:rFonts w:ascii="Cambria Math" w:hAnsi="Cambria Math" w:cs="Arial"/>
                <w:color w:val="000000"/>
              </w:rPr>
              <m:t>+</m:t>
            </m:r>
          </m:sup>
        </m:sSup>
        <m:r>
          <w:rPr>
            <w:rFonts w:ascii="Cambria Math" w:hAnsi="Cambria Math" w:cs="Arial"/>
            <w:color w:val="000000"/>
          </w:rPr>
          <m:t>,  ∀ k</m:t>
        </m:r>
        <m:r>
          <m:rPr>
            <m:scr m:val="double-struck"/>
          </m:rPr>
          <w:rPr>
            <w:rFonts w:ascii="Cambria Math" w:hAnsi="Cambria Math" w:cs="Arial"/>
            <w:color w:val="000000"/>
          </w:rPr>
          <m:t>∈N</m:t>
        </m:r>
      </m:oMath>
      <w:r w:rsidR="002429F5" w:rsidRPr="00954C9A">
        <w:rPr>
          <w:rFonts w:ascii="Arial" w:hAnsi="Arial" w:cs="Arial"/>
          <w:iCs/>
          <w:color w:val="000000"/>
        </w:rPr>
        <w:t xml:space="preserve"> </w:t>
      </w:r>
    </w:p>
    <w:p w:rsidR="002429F5" w:rsidRPr="00954C9A" w:rsidRDefault="002429F5" w:rsidP="002429F5">
      <w:pPr>
        <w:jc w:val="both"/>
        <w:rPr>
          <w:rFonts w:ascii="Arial" w:hAnsi="Arial" w:cs="Arial"/>
          <w:iCs/>
          <w:color w:val="000000"/>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then, the numerical scheme defined by (3) is almost surely exponentially and robustly stable.</w:t>
      </w:r>
    </w:p>
    <w:p w:rsidR="002429F5" w:rsidRPr="002429F5" w:rsidRDefault="002429F5" w:rsidP="002429F5">
      <w:pPr>
        <w:jc w:val="both"/>
        <w:rPr>
          <w:rFonts w:ascii="Arial" w:hAnsi="Arial" w:cs="Arial"/>
          <w:b/>
          <w:iCs/>
          <w:color w:val="000000"/>
          <w:lang w:val="en-US"/>
        </w:rPr>
      </w:pPr>
      <w:r w:rsidRPr="002429F5">
        <w:rPr>
          <w:rFonts w:ascii="Arial" w:hAnsi="Arial" w:cs="Arial"/>
          <w:b/>
          <w:iCs/>
          <w:color w:val="000000"/>
          <w:lang w:val="en-US"/>
        </w:rPr>
        <w:t xml:space="preserve">Proof. </w:t>
      </w:r>
    </w:p>
    <w:p w:rsidR="002429F5" w:rsidRPr="002429F5" w:rsidRDefault="002429F5" w:rsidP="002429F5">
      <w:pPr>
        <w:jc w:val="both"/>
        <w:rPr>
          <w:rFonts w:ascii="Arial" w:hAnsi="Arial" w:cs="Arial"/>
          <w:iCs/>
          <w:lang w:val="en-US"/>
        </w:rPr>
      </w:pPr>
      <w:r w:rsidRPr="002429F5">
        <w:rPr>
          <w:rFonts w:ascii="Arial" w:hAnsi="Arial" w:cs="Arial"/>
          <w:iCs/>
          <w:lang w:val="en-US"/>
        </w:rPr>
        <w:t xml:space="preserve">     Before to give the proof of theorem 4, we state the following result, called the </w:t>
      </w:r>
      <w:r w:rsidRPr="002429F5">
        <w:rPr>
          <w:rFonts w:ascii="Arial" w:hAnsi="Arial" w:cs="Arial"/>
          <w:i/>
          <w:iCs/>
          <w:lang w:val="en-US"/>
        </w:rPr>
        <w:t>exponential martingale inequality</w:t>
      </w:r>
      <w:r w:rsidRPr="002429F5">
        <w:rPr>
          <w:rFonts w:ascii="Arial" w:hAnsi="Arial" w:cs="Arial"/>
          <w:iCs/>
          <w:lang w:val="en-US"/>
        </w:rPr>
        <w:t>, which is a straightforward application of the Itô formula and that is a fundamental tool in the formulation of our results. For demonstration to see [Friedman,2].</w:t>
      </w:r>
    </w:p>
    <w:p w:rsidR="002429F5" w:rsidRPr="002429F5" w:rsidRDefault="002429F5" w:rsidP="002429F5">
      <w:pPr>
        <w:jc w:val="both"/>
        <w:rPr>
          <w:rFonts w:ascii="Arial" w:hAnsi="Arial" w:cs="Arial"/>
          <w:iCs/>
          <w:lang w:val="en-US"/>
        </w:rPr>
      </w:pPr>
      <w:r w:rsidRPr="002429F5">
        <w:rPr>
          <w:rFonts w:ascii="Arial" w:hAnsi="Arial" w:cs="Arial"/>
          <w:iCs/>
          <w:lang w:val="en-US"/>
        </w:rPr>
        <w:t xml:space="preserve">    </w:t>
      </w:r>
    </w:p>
    <w:p w:rsidR="002429F5" w:rsidRPr="002429F5" w:rsidRDefault="002429F5" w:rsidP="002429F5">
      <w:pPr>
        <w:jc w:val="both"/>
        <w:rPr>
          <w:rFonts w:ascii="Arial" w:hAnsi="Arial" w:cs="Arial"/>
          <w:iCs/>
          <w:lang w:val="en-US"/>
        </w:rPr>
      </w:pPr>
      <w:r w:rsidRPr="002429F5">
        <w:rPr>
          <w:rFonts w:ascii="Arial" w:hAnsi="Arial" w:cs="Arial"/>
          <w:b/>
          <w:iCs/>
          <w:lang w:val="en-US"/>
        </w:rPr>
        <w:t xml:space="preserve">     Lemma 4.1 </w:t>
      </w:r>
      <w:r w:rsidRPr="002429F5">
        <w:rPr>
          <w:rFonts w:ascii="Arial" w:hAnsi="Arial" w:cs="Arial"/>
          <w:iCs/>
          <w:lang w:val="en-US"/>
        </w:rPr>
        <w:t xml:space="preserve">Let </w:t>
      </w:r>
      <w:r w:rsidRPr="00954C9A">
        <w:rPr>
          <w:rFonts w:ascii="Arial" w:hAnsi="Arial" w:cs="Arial"/>
          <w:iCs/>
        </w:rPr>
        <w:sym w:font="Symbol" w:char="F061"/>
      </w:r>
      <w:r w:rsidRPr="002429F5">
        <w:rPr>
          <w:rFonts w:ascii="Arial" w:hAnsi="Arial" w:cs="Arial"/>
          <w:iCs/>
          <w:lang w:val="en-US"/>
        </w:rPr>
        <w:t xml:space="preserve">, </w:t>
      </w:r>
      <w:r w:rsidRPr="00954C9A">
        <w:rPr>
          <w:rFonts w:ascii="Arial" w:hAnsi="Arial" w:cs="Arial"/>
          <w:iCs/>
        </w:rPr>
        <w:sym w:font="Symbol" w:char="F062"/>
      </w:r>
      <w:r w:rsidRPr="002429F5">
        <w:rPr>
          <w:rFonts w:ascii="Arial" w:hAnsi="Arial" w:cs="Arial"/>
          <w:iCs/>
          <w:lang w:val="en-US"/>
        </w:rPr>
        <w:t xml:space="preserve">,  be any positive numbers. Let </w:t>
      </w:r>
      <m:oMath>
        <m:r>
          <w:rPr>
            <w:rFonts w:ascii="Cambria Math" w:eastAsia="MS Mincho" w:hAnsi="Cambria Math" w:cs="Calibri"/>
            <w:color w:val="000000"/>
            <w:sz w:val="22"/>
            <w:szCs w:val="22"/>
          </w:rPr>
          <m:t>x</m:t>
        </m:r>
        <m:d>
          <m:dPr>
            <m:ctrlPr>
              <w:rPr>
                <w:rFonts w:ascii="Cambria Math" w:eastAsia="MS Mincho" w:hAnsi="Cambria Math" w:cs="Calibri"/>
                <w:i/>
                <w:iCs/>
                <w:color w:val="000000"/>
                <w:sz w:val="22"/>
                <w:szCs w:val="22"/>
              </w:rPr>
            </m:ctrlPr>
          </m:dPr>
          <m:e>
            <m:r>
              <w:rPr>
                <w:rFonts w:ascii="Cambria Math" w:eastAsia="MS Mincho" w:hAnsi="Cambria Math" w:cs="Calibri"/>
                <w:color w:val="000000"/>
                <w:sz w:val="22"/>
                <w:szCs w:val="22"/>
              </w:rPr>
              <m:t>t</m:t>
            </m:r>
          </m:e>
        </m:d>
      </m:oMath>
      <w:r w:rsidRPr="002429F5">
        <w:rPr>
          <w:rFonts w:ascii="Arial" w:hAnsi="Arial" w:cs="Arial"/>
          <w:iCs/>
          <w:lang w:val="en-US"/>
        </w:rPr>
        <w:t xml:space="preserve"> be solution of the stochastic differential equation (4). If there exists a Lyapunov function </w:t>
      </w:r>
      <m:oMath>
        <m:r>
          <w:rPr>
            <w:rFonts w:ascii="Cambria Math" w:eastAsia="Times New Roman" w:hAnsi="Cambria Math"/>
            <w:color w:val="000000"/>
          </w:rPr>
          <m:t>V</m:t>
        </m:r>
        <m:d>
          <m:dPr>
            <m:ctrlPr>
              <w:rPr>
                <w:rFonts w:ascii="Cambria Math" w:eastAsia="Times New Roman" w:hAnsi="Cambria Math"/>
                <w:i/>
                <w:iCs/>
                <w:color w:val="000000"/>
              </w:rPr>
            </m:ctrlPr>
          </m:dPr>
          <m:e>
            <m:r>
              <w:rPr>
                <w:rFonts w:ascii="Cambria Math" w:eastAsia="Times New Roman" w:hAnsi="Cambria Math"/>
                <w:color w:val="000000"/>
              </w:rPr>
              <m:t>t</m:t>
            </m:r>
            <m:r>
              <w:rPr>
                <w:rFonts w:ascii="Cambria Math" w:eastAsia="Times New Roman" w:hAnsi="Cambria Math"/>
                <w:color w:val="000000"/>
                <w:lang w:val="en-US"/>
              </w:rPr>
              <m:t xml:space="preserve">, </m:t>
            </m:r>
            <m:r>
              <w:rPr>
                <w:rFonts w:ascii="Cambria Math" w:eastAsia="Times New Roman" w:hAnsi="Cambria Math"/>
                <w:color w:val="000000"/>
              </w:rPr>
              <m:t>x</m:t>
            </m:r>
          </m:e>
        </m:d>
        <m:r>
          <m:rPr>
            <m:sty m:val="p"/>
          </m:rPr>
          <w:rPr>
            <w:rFonts w:ascii="Cambria Math" w:eastAsia="Times New Roman" w:hAnsi="Cambria Math"/>
            <w:iCs/>
            <w:color w:val="000000"/>
          </w:rPr>
          <w:sym w:font="Symbol" w:char="F0CE"/>
        </m:r>
        <m:sSup>
          <m:sSupPr>
            <m:ctrlPr>
              <w:rPr>
                <w:rFonts w:ascii="Cambria Math" w:eastAsia="Times New Roman" w:hAnsi="Cambria Math"/>
                <w:iCs/>
                <w:color w:val="000000"/>
              </w:rPr>
            </m:ctrlPr>
          </m:sSupPr>
          <m:e>
            <m:r>
              <w:rPr>
                <w:rFonts w:ascii="Cambria Math" w:eastAsia="Times New Roman" w:hAnsi="Cambria Math"/>
                <w:color w:val="000000"/>
              </w:rPr>
              <m:t>C</m:t>
            </m:r>
          </m:e>
          <m:sup>
            <m:r>
              <w:rPr>
                <w:rFonts w:ascii="Cambria Math" w:eastAsia="Times New Roman" w:hAnsi="Cambria Math"/>
                <w:color w:val="000000"/>
                <w:lang w:val="en-US"/>
              </w:rPr>
              <m:t>1,2</m:t>
            </m:r>
          </m:sup>
        </m:sSup>
        <m:r>
          <w:rPr>
            <w:rFonts w:ascii="Cambria Math" w:eastAsia="Times New Roman" w:hAnsi="Cambria Math"/>
            <w:color w:val="000000"/>
            <w:lang w:val="en-US"/>
          </w:rPr>
          <m:t>(</m:t>
        </m:r>
        <m:sSup>
          <m:sSupPr>
            <m:ctrlPr>
              <w:rPr>
                <w:rFonts w:ascii="Cambria Math" w:eastAsia="Times New Roman" w:hAnsi="Cambria Math"/>
                <w:i/>
                <w:iCs/>
                <w:color w:val="000000"/>
              </w:rPr>
            </m:ctrlPr>
          </m:sSupPr>
          <m:e>
            <m:r>
              <m:rPr>
                <m:scr m:val="double-struck"/>
              </m:rPr>
              <w:rPr>
                <w:rFonts w:ascii="Cambria Math" w:eastAsia="Times New Roman" w:hAnsi="Cambria Math"/>
                <w:color w:val="000000"/>
                <w:lang w:val="en-US"/>
              </w:rPr>
              <m:t>R</m:t>
            </m:r>
          </m:e>
          <m:sup>
            <m:r>
              <w:rPr>
                <w:rFonts w:ascii="Cambria Math" w:eastAsia="Times New Roman" w:hAnsi="Cambria Math"/>
                <w:color w:val="000000"/>
                <w:lang w:val="en-US"/>
              </w:rPr>
              <m:t>+</m:t>
            </m:r>
          </m:sup>
        </m:sSup>
        <m:r>
          <w:rPr>
            <w:rFonts w:ascii="Cambria Math" w:eastAsia="Times New Roman" w:hAnsi="Cambria Math"/>
            <w:color w:val="000000"/>
            <w:lang w:val="en-US"/>
          </w:rPr>
          <m:t>×</m:t>
        </m:r>
        <m:sSup>
          <m:sSupPr>
            <m:ctrlPr>
              <w:rPr>
                <w:rFonts w:ascii="Cambria Math" w:eastAsia="Times New Roman" w:hAnsi="Cambria Math"/>
                <w:i/>
                <w:iCs/>
                <w:color w:val="000000"/>
              </w:rPr>
            </m:ctrlPr>
          </m:sSupPr>
          <m:e>
            <m:r>
              <m:rPr>
                <m:scr m:val="double-struck"/>
              </m:rPr>
              <w:rPr>
                <w:rFonts w:ascii="Cambria Math" w:eastAsia="Times New Roman" w:hAnsi="Cambria Math"/>
                <w:color w:val="000000"/>
                <w:lang w:val="en-US"/>
              </w:rPr>
              <m:t>R</m:t>
            </m:r>
          </m:e>
          <m:sup>
            <m:r>
              <w:rPr>
                <w:rFonts w:ascii="Cambria Math" w:eastAsia="Times New Roman" w:hAnsi="Cambria Math"/>
                <w:color w:val="000000"/>
              </w:rPr>
              <m:t>n</m:t>
            </m:r>
          </m:sup>
        </m:sSup>
        <m:r>
          <w:rPr>
            <w:rFonts w:ascii="Cambria Math" w:eastAsia="Times New Roman" w:hAnsi="Cambria Math"/>
            <w:color w:val="000000"/>
            <w:lang w:val="en-US"/>
          </w:rPr>
          <m:t>;</m:t>
        </m:r>
        <m:sSup>
          <m:sSupPr>
            <m:ctrlPr>
              <w:rPr>
                <w:rFonts w:ascii="Cambria Math" w:eastAsia="Times New Roman" w:hAnsi="Cambria Math"/>
                <w:i/>
                <w:iCs/>
                <w:color w:val="000000"/>
              </w:rPr>
            </m:ctrlPr>
          </m:sSupPr>
          <m:e>
            <m:r>
              <m:rPr>
                <m:scr m:val="double-struck"/>
              </m:rPr>
              <w:rPr>
                <w:rFonts w:ascii="Cambria Math" w:eastAsia="Times New Roman" w:hAnsi="Cambria Math"/>
                <w:color w:val="000000"/>
                <w:lang w:val="en-US"/>
              </w:rPr>
              <m:t>R</m:t>
            </m:r>
          </m:e>
          <m:sup>
            <m:r>
              <w:rPr>
                <w:rFonts w:ascii="Cambria Math" w:eastAsia="Times New Roman" w:hAnsi="Cambria Math"/>
                <w:color w:val="000000"/>
                <w:lang w:val="en-US"/>
              </w:rPr>
              <m:t>+</m:t>
            </m:r>
          </m:sup>
        </m:sSup>
        <m:r>
          <w:rPr>
            <w:rFonts w:ascii="Cambria Math" w:eastAsia="Times New Roman" w:hAnsi="Cambria Math"/>
            <w:color w:val="000000"/>
            <w:lang w:val="en-US"/>
          </w:rPr>
          <m:t>)</m:t>
        </m:r>
      </m:oMath>
      <w:r w:rsidRPr="002429F5">
        <w:rPr>
          <w:rFonts w:ascii="Arial" w:hAnsi="Arial" w:cs="Arial"/>
          <w:color w:val="000000"/>
          <w:lang w:val="en-US"/>
        </w:rPr>
        <w:t>,</w:t>
      </w:r>
      <w:r w:rsidRPr="002429F5">
        <w:rPr>
          <w:rFonts w:ascii="Arial" w:hAnsi="Arial" w:cs="Arial"/>
          <w:iCs/>
          <w:lang w:val="en-US"/>
        </w:rPr>
        <w:t xml:space="preserve"> satisfying (5) for a diffusion operator </w:t>
      </w:r>
      <m:oMath>
        <m:r>
          <w:rPr>
            <w:rFonts w:ascii="Cambria Math" w:eastAsia="Times New Roman" w:hAnsi="Cambria Math"/>
            <w:color w:val="000000"/>
          </w:rPr>
          <m:t>LV</m:t>
        </m:r>
        <m:d>
          <m:dPr>
            <m:ctrlPr>
              <w:rPr>
                <w:rFonts w:ascii="Cambria Math" w:eastAsia="Times New Roman" w:hAnsi="Cambria Math"/>
                <w:i/>
                <w:iCs/>
                <w:color w:val="000000"/>
              </w:rPr>
            </m:ctrlPr>
          </m:dPr>
          <m:e>
            <m:r>
              <w:rPr>
                <w:rFonts w:ascii="Cambria Math" w:eastAsia="Times New Roman" w:hAnsi="Cambria Math"/>
                <w:color w:val="000000"/>
              </w:rPr>
              <m:t>t</m:t>
            </m:r>
            <m:r>
              <w:rPr>
                <w:rFonts w:ascii="Cambria Math" w:eastAsia="Times New Roman" w:hAnsi="Cambria Math"/>
                <w:color w:val="000000"/>
                <w:lang w:val="en-US"/>
              </w:rPr>
              <m:t xml:space="preserve">, </m:t>
            </m:r>
            <m:r>
              <w:rPr>
                <w:rFonts w:ascii="Cambria Math" w:eastAsia="Times New Roman" w:hAnsi="Cambria Math"/>
                <w:color w:val="000000"/>
              </w:rPr>
              <m:t>x</m:t>
            </m:r>
          </m:e>
        </m:d>
      </m:oMath>
      <w:r w:rsidRPr="002429F5">
        <w:rPr>
          <w:rFonts w:ascii="Arial" w:hAnsi="Arial" w:cs="Arial"/>
          <w:iCs/>
          <w:lang w:val="en-US"/>
        </w:rPr>
        <w:t xml:space="preserve">, then </w:t>
      </w:r>
    </w:p>
    <w:p w:rsidR="002429F5" w:rsidRPr="002429F5" w:rsidRDefault="002429F5" w:rsidP="002429F5">
      <w:pPr>
        <w:jc w:val="both"/>
        <w:rPr>
          <w:rFonts w:ascii="Arial" w:hAnsi="Arial" w:cs="Arial"/>
          <w:iCs/>
          <w:lang w:val="en-US"/>
        </w:rPr>
      </w:pPr>
    </w:p>
    <w:p w:rsidR="002429F5" w:rsidRPr="00954C9A" w:rsidRDefault="001345E4" w:rsidP="002429F5">
      <w:pPr>
        <w:jc w:val="both"/>
        <w:rPr>
          <w:rFonts w:ascii="Arial" w:hAnsi="Arial" w:cs="Arial"/>
          <w:iCs/>
          <w:sz w:val="20"/>
          <w:szCs w:val="20"/>
        </w:rPr>
      </w:pPr>
      <m:oMathPara>
        <m:oMath>
          <m:func>
            <m:funcPr>
              <m:ctrlPr>
                <w:rPr>
                  <w:rFonts w:ascii="Cambria Math" w:eastAsia="Times New Roman" w:hAnsi="Cambria Math"/>
                  <w:color w:val="000000"/>
                  <w:sz w:val="20"/>
                  <w:szCs w:val="20"/>
                </w:rPr>
              </m:ctrlPr>
            </m:funcPr>
            <m:fName>
              <m:r>
                <m:rPr>
                  <m:sty m:val="p"/>
                </m:rPr>
                <w:rPr>
                  <w:rFonts w:ascii="Cambria Math" w:eastAsia="Times New Roman" w:hAnsi="Cambria Math"/>
                  <w:color w:val="000000"/>
                  <w:sz w:val="20"/>
                  <w:szCs w:val="20"/>
                </w:rPr>
                <m:t>P</m:t>
              </m:r>
              <m:d>
                <m:dPr>
                  <m:begChr m:val="["/>
                  <m:endChr m:val="]"/>
                  <m:ctrlPr>
                    <w:rPr>
                      <w:rFonts w:ascii="Cambria Math" w:eastAsia="Times New Roman" w:hAnsi="Cambria Math"/>
                      <w:iCs/>
                      <w:color w:val="000000"/>
                      <w:sz w:val="20"/>
                      <w:szCs w:val="20"/>
                    </w:rPr>
                  </m:ctrlPr>
                </m:dPr>
                <m:e>
                  <m:func>
                    <m:funcPr>
                      <m:ctrlPr>
                        <w:rPr>
                          <w:rFonts w:ascii="Cambria Math" w:eastAsia="Times New Roman" w:hAnsi="Cambria Math"/>
                          <w:i/>
                          <w:iCs/>
                          <w:color w:val="000000"/>
                          <w:sz w:val="20"/>
                          <w:szCs w:val="20"/>
                        </w:rPr>
                      </m:ctrlPr>
                    </m:funcPr>
                    <m:fName>
                      <m:limLow>
                        <m:limLowPr>
                          <m:ctrlPr>
                            <w:rPr>
                              <w:rFonts w:ascii="Cambria Math" w:eastAsia="Times New Roman" w:hAnsi="Cambria Math"/>
                              <w:i/>
                              <w:iCs/>
                              <w:color w:val="000000"/>
                              <w:sz w:val="20"/>
                              <w:szCs w:val="20"/>
                            </w:rPr>
                          </m:ctrlPr>
                        </m:limLowPr>
                        <m:e>
                          <m:r>
                            <m:rPr>
                              <m:sty m:val="p"/>
                            </m:rPr>
                            <w:rPr>
                              <w:rFonts w:ascii="Cambria Math" w:eastAsia="Times New Roman" w:hAnsi="Cambria Math"/>
                              <w:color w:val="000000"/>
                              <w:sz w:val="20"/>
                              <w:szCs w:val="20"/>
                            </w:rPr>
                            <m:t>sup</m:t>
                          </m:r>
                        </m:e>
                        <m:lim>
                          <m:r>
                            <w:rPr>
                              <w:rFonts w:ascii="Cambria Math" w:eastAsia="Times New Roman" w:hAnsi="Cambria Math"/>
                              <w:color w:val="000000"/>
                              <w:sz w:val="20"/>
                              <w:szCs w:val="20"/>
                            </w:rPr>
                            <m:t>0≤t≤T</m:t>
                          </m:r>
                        </m:lim>
                      </m:limLow>
                    </m:fName>
                    <m:e>
                      <m:r>
                        <w:rPr>
                          <w:rFonts w:ascii="Cambria Math" w:eastAsia="Times New Roman" w:hAnsi="Cambria Math"/>
                          <w:color w:val="000000"/>
                          <w:sz w:val="20"/>
                          <w:szCs w:val="20"/>
                        </w:rPr>
                        <m:t>[</m:t>
                      </m:r>
                      <m:nary>
                        <m:naryPr>
                          <m:limLoc m:val="subSup"/>
                          <m:ctrlPr>
                            <w:rPr>
                              <w:rFonts w:ascii="Cambria Math" w:eastAsia="Times New Roman" w:hAnsi="Cambria Math"/>
                              <w:i/>
                              <w:iCs/>
                              <w:color w:val="000000"/>
                              <w:sz w:val="20"/>
                              <w:szCs w:val="20"/>
                            </w:rPr>
                          </m:ctrlPr>
                        </m:naryPr>
                        <m:sub>
                          <m:r>
                            <w:rPr>
                              <w:rFonts w:ascii="Cambria Math" w:eastAsia="Times New Roman" w:hAnsi="Cambria Math"/>
                              <w:color w:val="000000"/>
                              <w:sz w:val="20"/>
                              <w:szCs w:val="20"/>
                            </w:rPr>
                            <m:t>0</m:t>
                          </m:r>
                        </m:sub>
                        <m:sup>
                          <m:r>
                            <w:rPr>
                              <w:rFonts w:ascii="Cambria Math" w:eastAsia="Times New Roman" w:hAnsi="Cambria Math"/>
                              <w:color w:val="000000"/>
                              <w:sz w:val="20"/>
                              <w:szCs w:val="20"/>
                            </w:rPr>
                            <m:t>T</m:t>
                          </m:r>
                        </m:sup>
                        <m:e>
                          <m:sSub>
                            <m:sSubPr>
                              <m:ctrlPr>
                                <w:rPr>
                                  <w:rFonts w:ascii="Cambria Math" w:eastAsia="Times New Roman" w:hAnsi="Cambria Math"/>
                                  <w:i/>
                                  <w:color w:val="000000"/>
                                  <w:sz w:val="20"/>
                                  <w:szCs w:val="20"/>
                                </w:rPr>
                              </m:ctrlPr>
                            </m:sSubPr>
                            <m:e>
                              <m:r>
                                <w:rPr>
                                  <w:rFonts w:ascii="Cambria Math" w:eastAsia="Times New Roman" w:hAnsi="Cambria Math"/>
                                  <w:color w:val="000000"/>
                                  <w:sz w:val="20"/>
                                  <w:szCs w:val="20"/>
                                </w:rPr>
                                <m:t>(</m:t>
                              </m:r>
                              <m:sSup>
                                <m:sSupPr>
                                  <m:ctrlPr>
                                    <w:rPr>
                                      <w:rFonts w:ascii="Cambria Math" w:eastAsia="Times New Roman" w:hAnsi="Cambria Math"/>
                                      <w:i/>
                                      <w:iCs/>
                                      <w:color w:val="000000"/>
                                      <w:sz w:val="20"/>
                                      <w:szCs w:val="20"/>
                                    </w:rPr>
                                  </m:ctrlPr>
                                </m:sSupPr>
                                <m:e>
                                  <m:r>
                                    <w:rPr>
                                      <w:rFonts w:ascii="Cambria Math" w:eastAsia="Times New Roman" w:hAnsi="Cambria Math"/>
                                      <w:color w:val="000000"/>
                                      <w:sz w:val="20"/>
                                      <w:szCs w:val="20"/>
                                    </w:rPr>
                                    <m:t>σ</m:t>
                                  </m:r>
                                  <m:d>
                                    <m:dPr>
                                      <m:ctrlPr>
                                        <w:rPr>
                                          <w:rFonts w:ascii="Cambria Math" w:eastAsia="Times New Roman" w:hAnsi="Cambria Math"/>
                                          <w:i/>
                                          <w:iCs/>
                                          <w:color w:val="000000"/>
                                          <w:sz w:val="20"/>
                                          <w:szCs w:val="20"/>
                                        </w:rPr>
                                      </m:ctrlPr>
                                    </m:dPr>
                                    <m:e>
                                      <m:r>
                                        <w:rPr>
                                          <w:rFonts w:ascii="Cambria Math" w:eastAsia="Times New Roman" w:hAnsi="Cambria Math"/>
                                          <w:color w:val="000000"/>
                                          <w:sz w:val="20"/>
                                          <w:szCs w:val="20"/>
                                        </w:rPr>
                                        <m:t>t,x,u</m:t>
                                      </m:r>
                                    </m:e>
                                  </m:d>
                                </m:e>
                                <m:sup>
                                  <m:r>
                                    <w:rPr>
                                      <w:rFonts w:ascii="Cambria Math" w:eastAsia="Times New Roman" w:hAnsi="Cambria Math"/>
                                      <w:color w:val="000000"/>
                                      <w:sz w:val="20"/>
                                      <w:szCs w:val="20"/>
                                    </w:rPr>
                                    <m:t>t</m:t>
                                  </m:r>
                                </m:sup>
                              </m:sSup>
                              <m:r>
                                <w:rPr>
                                  <w:rFonts w:ascii="Cambria Math" w:eastAsia="Times New Roman" w:hAnsi="Cambria Math"/>
                                  <w:color w:val="000000"/>
                                  <w:sz w:val="20"/>
                                  <w:szCs w:val="20"/>
                                </w:rPr>
                                <m:t>,V</m:t>
                              </m:r>
                            </m:e>
                            <m:sub>
                              <m:r>
                                <w:rPr>
                                  <w:rFonts w:ascii="Cambria Math" w:eastAsia="Times New Roman" w:hAnsi="Cambria Math"/>
                                  <w:color w:val="000000"/>
                                  <w:sz w:val="20"/>
                                  <w:szCs w:val="20"/>
                                </w:rPr>
                                <m:t>x</m:t>
                              </m:r>
                            </m:sub>
                          </m:sSub>
                          <m:d>
                            <m:dPr>
                              <m:ctrlPr>
                                <w:rPr>
                                  <w:rFonts w:ascii="Cambria Math" w:eastAsia="Times New Roman" w:hAnsi="Cambria Math"/>
                                  <w:i/>
                                  <w:iCs/>
                                  <w:color w:val="000000"/>
                                  <w:sz w:val="20"/>
                                  <w:szCs w:val="20"/>
                                </w:rPr>
                              </m:ctrlPr>
                            </m:dPr>
                            <m:e>
                              <m:r>
                                <w:rPr>
                                  <w:rFonts w:ascii="Cambria Math" w:eastAsia="Times New Roman" w:hAnsi="Cambria Math"/>
                                  <w:color w:val="000000"/>
                                  <w:sz w:val="20"/>
                                  <w:szCs w:val="20"/>
                                </w:rPr>
                                <m:t>t,x</m:t>
                              </m:r>
                            </m:e>
                          </m:d>
                          <m:r>
                            <w:rPr>
                              <w:rFonts w:ascii="Cambria Math" w:eastAsia="Times New Roman" w:hAnsi="Cambria Math"/>
                              <w:color w:val="000000"/>
                              <w:sz w:val="20"/>
                              <w:szCs w:val="20"/>
                            </w:rPr>
                            <m:t>)</m:t>
                          </m:r>
                        </m:e>
                      </m:nary>
                    </m:e>
                  </m:func>
                  <m:r>
                    <w:rPr>
                      <w:rFonts w:ascii="Cambria Math" w:eastAsia="Times New Roman" w:hAnsi="Cambria Math"/>
                      <w:color w:val="000000"/>
                      <w:sz w:val="20"/>
                      <w:szCs w:val="20"/>
                    </w:rPr>
                    <m:t>dW</m:t>
                  </m:r>
                  <m:d>
                    <m:dPr>
                      <m:ctrlPr>
                        <w:rPr>
                          <w:rFonts w:ascii="Cambria Math" w:eastAsia="Times New Roman" w:hAnsi="Cambria Math"/>
                          <w:i/>
                          <w:iCs/>
                          <w:color w:val="000000"/>
                          <w:sz w:val="20"/>
                          <w:szCs w:val="20"/>
                        </w:rPr>
                      </m:ctrlPr>
                    </m:dPr>
                    <m:e>
                      <m:r>
                        <w:rPr>
                          <w:rFonts w:ascii="Cambria Math" w:eastAsia="Times New Roman" w:hAnsi="Cambria Math"/>
                          <w:color w:val="000000"/>
                          <w:sz w:val="20"/>
                          <w:szCs w:val="20"/>
                        </w:rPr>
                        <m:t>s</m:t>
                      </m:r>
                    </m:e>
                  </m:d>
                  <m:r>
                    <w:rPr>
                      <w:rFonts w:ascii="Cambria Math" w:eastAsia="Times New Roman" w:hAnsi="Cambria Math"/>
                      <w:color w:val="000000"/>
                      <w:sz w:val="20"/>
                      <w:szCs w:val="20"/>
                    </w:rPr>
                    <m:t>-</m:t>
                  </m:r>
                  <m:f>
                    <m:fPr>
                      <m:ctrlPr>
                        <w:rPr>
                          <w:rFonts w:ascii="Cambria Math" w:eastAsia="Times New Roman" w:hAnsi="Cambria Math"/>
                          <w:i/>
                          <w:color w:val="000000"/>
                          <w:sz w:val="20"/>
                          <w:szCs w:val="20"/>
                        </w:rPr>
                      </m:ctrlPr>
                    </m:fPr>
                    <m:num>
                      <m:r>
                        <w:rPr>
                          <w:rFonts w:ascii="Cambria Math" w:eastAsia="Times New Roman" w:hAnsi="Cambria Math"/>
                          <w:color w:val="000000"/>
                          <w:sz w:val="20"/>
                          <w:szCs w:val="20"/>
                        </w:rPr>
                        <m:t>α</m:t>
                      </m:r>
                    </m:num>
                    <m:den>
                      <m:r>
                        <w:rPr>
                          <w:rFonts w:ascii="Cambria Math" w:eastAsia="Times New Roman" w:hAnsi="Cambria Math"/>
                          <w:color w:val="000000"/>
                          <w:sz w:val="20"/>
                          <w:szCs w:val="20"/>
                        </w:rPr>
                        <m:t>2</m:t>
                      </m:r>
                    </m:den>
                  </m:f>
                  <m:r>
                    <w:rPr>
                      <w:rFonts w:ascii="Cambria Math" w:eastAsia="Times New Roman" w:hAnsi="Cambria Math"/>
                      <w:color w:val="000000"/>
                      <w:sz w:val="20"/>
                      <w:szCs w:val="20"/>
                    </w:rPr>
                    <m:t xml:space="preserve"> </m:t>
                  </m:r>
                  <m:nary>
                    <m:naryPr>
                      <m:limLoc m:val="subSup"/>
                      <m:ctrlPr>
                        <w:rPr>
                          <w:rFonts w:ascii="Cambria Math" w:eastAsia="Times New Roman" w:hAnsi="Cambria Math"/>
                          <w:i/>
                          <w:iCs/>
                          <w:color w:val="000000"/>
                          <w:sz w:val="20"/>
                          <w:szCs w:val="20"/>
                        </w:rPr>
                      </m:ctrlPr>
                    </m:naryPr>
                    <m:sub>
                      <m:r>
                        <w:rPr>
                          <w:rFonts w:ascii="Cambria Math" w:eastAsia="Times New Roman" w:hAnsi="Cambria Math"/>
                          <w:color w:val="000000"/>
                          <w:sz w:val="20"/>
                          <w:szCs w:val="20"/>
                        </w:rPr>
                        <m:t>0</m:t>
                      </m:r>
                    </m:sub>
                    <m:sup>
                      <m:r>
                        <w:rPr>
                          <w:rFonts w:ascii="Cambria Math" w:eastAsia="Times New Roman" w:hAnsi="Cambria Math"/>
                          <w:color w:val="000000"/>
                          <w:sz w:val="20"/>
                          <w:szCs w:val="20"/>
                        </w:rPr>
                        <m:t>T</m:t>
                      </m:r>
                    </m:sup>
                    <m:e>
                      <m:r>
                        <w:rPr>
                          <w:rFonts w:ascii="Cambria Math" w:eastAsia="MS Mincho" w:hAnsi="Cambria Math" w:cs="Calibri"/>
                          <w:color w:val="000000"/>
                          <w:sz w:val="20"/>
                          <w:szCs w:val="20"/>
                        </w:rPr>
                        <m:t xml:space="preserve">trace </m:t>
                      </m:r>
                      <m:d>
                        <m:dPr>
                          <m:begChr m:val="["/>
                          <m:endChr m:val="]"/>
                          <m:ctrlPr>
                            <w:rPr>
                              <w:rFonts w:ascii="Cambria Math" w:eastAsia="MS Mincho" w:hAnsi="Cambria Math" w:cs="Calibri"/>
                              <w:i/>
                              <w:color w:val="000000"/>
                              <w:sz w:val="20"/>
                              <w:szCs w:val="20"/>
                            </w:rPr>
                          </m:ctrlPr>
                        </m:dPr>
                        <m:e>
                          <m:sSup>
                            <m:sSupPr>
                              <m:ctrlPr>
                                <w:rPr>
                                  <w:rFonts w:ascii="Cambria Math" w:eastAsia="Times New Roman" w:hAnsi="Cambria Math"/>
                                  <w:i/>
                                  <w:iCs/>
                                  <w:color w:val="000000"/>
                                  <w:sz w:val="20"/>
                                  <w:szCs w:val="20"/>
                                </w:rPr>
                              </m:ctrlPr>
                            </m:sSupPr>
                            <m:e>
                              <m:r>
                                <w:rPr>
                                  <w:rFonts w:ascii="Cambria Math" w:eastAsia="Times New Roman" w:hAnsi="Cambria Math"/>
                                  <w:color w:val="000000"/>
                                  <w:sz w:val="20"/>
                                  <w:szCs w:val="20"/>
                                </w:rPr>
                                <m:t>σ</m:t>
                              </m:r>
                              <m:d>
                                <m:dPr>
                                  <m:ctrlPr>
                                    <w:rPr>
                                      <w:rFonts w:ascii="Cambria Math" w:eastAsia="Times New Roman" w:hAnsi="Cambria Math"/>
                                      <w:i/>
                                      <w:iCs/>
                                      <w:color w:val="000000"/>
                                      <w:sz w:val="20"/>
                                      <w:szCs w:val="20"/>
                                    </w:rPr>
                                  </m:ctrlPr>
                                </m:dPr>
                                <m:e>
                                  <m:r>
                                    <w:rPr>
                                      <w:rFonts w:ascii="Cambria Math" w:eastAsia="Times New Roman" w:hAnsi="Cambria Math"/>
                                      <w:color w:val="000000"/>
                                      <w:sz w:val="20"/>
                                      <w:szCs w:val="20"/>
                                    </w:rPr>
                                    <m:t>t,x,u</m:t>
                                  </m:r>
                                </m:e>
                              </m:d>
                            </m:e>
                            <m:sup>
                              <m:r>
                                <w:rPr>
                                  <w:rFonts w:ascii="Cambria Math" w:eastAsia="Times New Roman" w:hAnsi="Cambria Math"/>
                                  <w:color w:val="000000"/>
                                  <w:sz w:val="20"/>
                                  <w:szCs w:val="20"/>
                                </w:rPr>
                                <m:t>t</m:t>
                              </m:r>
                            </m:sup>
                          </m:sSup>
                          <m:sSub>
                            <m:sSubPr>
                              <m:ctrlPr>
                                <w:rPr>
                                  <w:rFonts w:ascii="Cambria Math" w:eastAsia="Times New Roman" w:hAnsi="Cambria Math"/>
                                  <w:i/>
                                  <w:iCs/>
                                  <w:color w:val="000000"/>
                                  <w:sz w:val="20"/>
                                  <w:szCs w:val="20"/>
                                </w:rPr>
                              </m:ctrlPr>
                            </m:sSubPr>
                            <m:e>
                              <m:sSup>
                                <m:sSupPr>
                                  <m:ctrlPr>
                                    <w:rPr>
                                      <w:rFonts w:ascii="Cambria Math" w:eastAsia="Times New Roman" w:hAnsi="Cambria Math"/>
                                      <w:i/>
                                      <w:iCs/>
                                      <w:color w:val="000000"/>
                                      <w:sz w:val="20"/>
                                      <w:szCs w:val="20"/>
                                    </w:rPr>
                                  </m:ctrlPr>
                                </m:sSupPr>
                                <m:e>
                                  <m:sSub>
                                    <m:sSubPr>
                                      <m:ctrlPr>
                                        <w:rPr>
                                          <w:rFonts w:ascii="Cambria Math" w:eastAsia="Times New Roman" w:hAnsi="Cambria Math"/>
                                          <w:i/>
                                          <w:iCs/>
                                          <w:color w:val="000000"/>
                                          <w:sz w:val="20"/>
                                          <w:szCs w:val="20"/>
                                        </w:rPr>
                                      </m:ctrlPr>
                                    </m:sSubPr>
                                    <m:e>
                                      <m:r>
                                        <w:rPr>
                                          <w:rFonts w:ascii="Cambria Math" w:eastAsia="Times New Roman" w:hAnsi="Cambria Math"/>
                                          <w:color w:val="000000"/>
                                          <w:sz w:val="20"/>
                                          <w:szCs w:val="20"/>
                                        </w:rPr>
                                        <m:t>V</m:t>
                                      </m:r>
                                    </m:e>
                                    <m:sub>
                                      <m:r>
                                        <w:rPr>
                                          <w:rFonts w:ascii="Cambria Math" w:eastAsia="Times New Roman" w:hAnsi="Cambria Math"/>
                                          <w:color w:val="000000"/>
                                          <w:sz w:val="20"/>
                                          <w:szCs w:val="20"/>
                                        </w:rPr>
                                        <m:t>x</m:t>
                                      </m:r>
                                    </m:sub>
                                  </m:sSub>
                                  <m:d>
                                    <m:dPr>
                                      <m:ctrlPr>
                                        <w:rPr>
                                          <w:rFonts w:ascii="Cambria Math" w:eastAsia="Times New Roman" w:hAnsi="Cambria Math"/>
                                          <w:i/>
                                          <w:iCs/>
                                          <w:color w:val="000000"/>
                                          <w:sz w:val="20"/>
                                          <w:szCs w:val="20"/>
                                        </w:rPr>
                                      </m:ctrlPr>
                                    </m:dPr>
                                    <m:e>
                                      <m:r>
                                        <w:rPr>
                                          <w:rFonts w:ascii="Cambria Math" w:eastAsia="Times New Roman" w:hAnsi="Cambria Math"/>
                                          <w:color w:val="000000"/>
                                          <w:sz w:val="20"/>
                                          <w:szCs w:val="20"/>
                                        </w:rPr>
                                        <m:t>t,x</m:t>
                                      </m:r>
                                    </m:e>
                                  </m:d>
                                </m:e>
                                <m:sup>
                                  <m:r>
                                    <w:rPr>
                                      <w:rFonts w:ascii="Cambria Math" w:eastAsia="Times New Roman" w:hAnsi="Cambria Math"/>
                                      <w:color w:val="000000"/>
                                      <w:sz w:val="20"/>
                                      <w:szCs w:val="20"/>
                                    </w:rPr>
                                    <m:t>t</m:t>
                                  </m:r>
                                </m:sup>
                              </m:sSup>
                              <m:r>
                                <w:rPr>
                                  <w:rFonts w:ascii="Cambria Math" w:eastAsia="Times New Roman" w:hAnsi="Cambria Math"/>
                                  <w:color w:val="000000"/>
                                  <w:sz w:val="20"/>
                                  <w:szCs w:val="20"/>
                                </w:rPr>
                                <m:t>V</m:t>
                              </m:r>
                            </m:e>
                            <m:sub>
                              <m:r>
                                <w:rPr>
                                  <w:rFonts w:ascii="Cambria Math" w:eastAsia="Times New Roman" w:hAnsi="Cambria Math"/>
                                  <w:color w:val="000000"/>
                                  <w:sz w:val="20"/>
                                  <w:szCs w:val="20"/>
                                </w:rPr>
                                <m:t>x</m:t>
                              </m:r>
                            </m:sub>
                          </m:sSub>
                          <m:d>
                            <m:dPr>
                              <m:ctrlPr>
                                <w:rPr>
                                  <w:rFonts w:ascii="Cambria Math" w:eastAsia="Times New Roman" w:hAnsi="Cambria Math"/>
                                  <w:i/>
                                  <w:iCs/>
                                  <w:color w:val="000000"/>
                                  <w:sz w:val="20"/>
                                  <w:szCs w:val="20"/>
                                </w:rPr>
                              </m:ctrlPr>
                            </m:dPr>
                            <m:e>
                              <m:r>
                                <w:rPr>
                                  <w:rFonts w:ascii="Cambria Math" w:eastAsia="Times New Roman" w:hAnsi="Cambria Math"/>
                                  <w:color w:val="000000"/>
                                  <w:sz w:val="20"/>
                                  <w:szCs w:val="20"/>
                                </w:rPr>
                                <m:t>t,x</m:t>
                              </m:r>
                            </m:e>
                          </m:d>
                          <m:r>
                            <w:rPr>
                              <w:rFonts w:ascii="Cambria Math" w:eastAsia="Times New Roman" w:hAnsi="Cambria Math"/>
                              <w:color w:val="000000"/>
                              <w:sz w:val="20"/>
                              <w:szCs w:val="20"/>
                            </w:rPr>
                            <m:t>σ</m:t>
                          </m:r>
                          <m:d>
                            <m:dPr>
                              <m:ctrlPr>
                                <w:rPr>
                                  <w:rFonts w:ascii="Cambria Math" w:eastAsia="Times New Roman" w:hAnsi="Cambria Math"/>
                                  <w:i/>
                                  <w:iCs/>
                                  <w:color w:val="000000"/>
                                  <w:sz w:val="20"/>
                                  <w:szCs w:val="20"/>
                                </w:rPr>
                              </m:ctrlPr>
                            </m:dPr>
                            <m:e>
                              <m:r>
                                <w:rPr>
                                  <w:rFonts w:ascii="Cambria Math" w:eastAsia="Times New Roman" w:hAnsi="Cambria Math"/>
                                  <w:color w:val="000000"/>
                                  <w:sz w:val="20"/>
                                  <w:szCs w:val="20"/>
                                </w:rPr>
                                <m:t>t,x,u</m:t>
                              </m:r>
                            </m:e>
                          </m:d>
                        </m:e>
                      </m:d>
                      <m:box>
                        <m:boxPr>
                          <m:diff m:val="1"/>
                          <m:ctrlPr>
                            <w:rPr>
                              <w:rFonts w:ascii="Cambria Math" w:eastAsia="MS Mincho" w:hAnsi="Cambria Math" w:cs="Calibri"/>
                              <w:i/>
                              <w:color w:val="000000"/>
                              <w:sz w:val="20"/>
                              <w:szCs w:val="20"/>
                            </w:rPr>
                          </m:ctrlPr>
                        </m:boxPr>
                        <m:e>
                          <m:r>
                            <w:rPr>
                              <w:rFonts w:ascii="Cambria Math" w:eastAsia="MS Mincho" w:hAnsi="Cambria Math" w:cs="Calibri"/>
                              <w:color w:val="000000"/>
                              <w:sz w:val="20"/>
                              <w:szCs w:val="20"/>
                            </w:rPr>
                            <m:t>ds]</m:t>
                          </m:r>
                          <m:r>
                            <w:rPr>
                              <w:rFonts w:ascii="Cambria Math" w:eastAsia="Times New Roman" w:hAnsi="Cambria Math"/>
                              <w:color w:val="000000"/>
                              <w:sz w:val="20"/>
                              <w:szCs w:val="20"/>
                            </w:rPr>
                            <m:t xml:space="preserve">&gt; β </m:t>
                          </m:r>
                        </m:e>
                      </m:box>
                    </m:e>
                  </m:nary>
                </m:e>
              </m:d>
            </m:fName>
            <m:e>
              <m:r>
                <w:rPr>
                  <w:rFonts w:ascii="Cambria Math" w:eastAsia="Times New Roman" w:hAnsi="Cambria Math"/>
                  <w:color w:val="000000"/>
                  <w:sz w:val="20"/>
                  <w:szCs w:val="20"/>
                </w:rPr>
                <m:t>≤</m:t>
              </m:r>
              <m:sSup>
                <m:sSupPr>
                  <m:ctrlPr>
                    <w:rPr>
                      <w:rFonts w:ascii="Cambria Math" w:eastAsia="Times New Roman" w:hAnsi="Cambria Math"/>
                      <w:i/>
                      <w:color w:val="000000"/>
                      <w:sz w:val="20"/>
                      <w:szCs w:val="20"/>
                    </w:rPr>
                  </m:ctrlPr>
                </m:sSupPr>
                <m:e>
                  <m:r>
                    <w:rPr>
                      <w:rFonts w:ascii="Cambria Math" w:eastAsia="Times New Roman" w:hAnsi="Cambria Math"/>
                      <w:color w:val="000000"/>
                      <w:sz w:val="20"/>
                      <w:szCs w:val="20"/>
                    </w:rPr>
                    <m:t>e</m:t>
                  </m:r>
                </m:e>
                <m:sup>
                  <m:r>
                    <w:rPr>
                      <w:rFonts w:ascii="Cambria Math" w:eastAsia="Times New Roman" w:hAnsi="Cambria Math"/>
                      <w:color w:val="000000"/>
                      <w:sz w:val="20"/>
                      <w:szCs w:val="20"/>
                    </w:rPr>
                    <m:t>-αβ</m:t>
                  </m:r>
                </m:sup>
              </m:sSup>
              <m:r>
                <w:rPr>
                  <w:rFonts w:ascii="Cambria Math" w:eastAsia="Times New Roman" w:hAnsi="Cambria Math"/>
                  <w:color w:val="000000"/>
                  <w:sz w:val="20"/>
                  <w:szCs w:val="20"/>
                </w:rPr>
                <m:t xml:space="preserve"> </m:t>
              </m:r>
            </m:e>
          </m:func>
          <m:r>
            <w:rPr>
              <w:rFonts w:ascii="Cambria Math" w:eastAsia="Times New Roman" w:hAnsi="Cambria Math"/>
              <w:color w:val="000000"/>
              <w:sz w:val="20"/>
              <w:szCs w:val="20"/>
            </w:rPr>
            <m:t xml:space="preserve">  (8)</m:t>
          </m:r>
        </m:oMath>
      </m:oMathPara>
    </w:p>
    <w:p w:rsidR="002429F5" w:rsidRPr="00954C9A" w:rsidRDefault="002429F5" w:rsidP="002429F5">
      <w:pPr>
        <w:jc w:val="both"/>
        <w:rPr>
          <w:rFonts w:ascii="Arial" w:hAnsi="Arial" w:cs="Arial"/>
          <w:b/>
          <w:iCs/>
          <w:color w:val="000000"/>
        </w:rPr>
      </w:pPr>
    </w:p>
    <w:p w:rsidR="002429F5" w:rsidRPr="002429F5" w:rsidRDefault="002429F5" w:rsidP="002429F5">
      <w:pPr>
        <w:jc w:val="both"/>
        <w:rPr>
          <w:rFonts w:ascii="Arial" w:hAnsi="Arial" w:cs="Arial"/>
          <w:b/>
          <w:iCs/>
          <w:color w:val="000000"/>
          <w:lang w:val="en-US"/>
        </w:rPr>
      </w:pPr>
      <w:r w:rsidRPr="002429F5">
        <w:rPr>
          <w:rFonts w:ascii="Arial" w:hAnsi="Arial" w:cs="Arial"/>
          <w:b/>
          <w:iCs/>
          <w:color w:val="000000"/>
          <w:lang w:val="en-US"/>
        </w:rPr>
        <w:t>Proof of the theorem 4.</w:t>
      </w:r>
    </w:p>
    <w:p w:rsidR="002429F5" w:rsidRPr="002429F5" w:rsidRDefault="002429F5" w:rsidP="002429F5">
      <w:pPr>
        <w:jc w:val="both"/>
        <w:rPr>
          <w:rFonts w:ascii="Arial" w:hAnsi="Arial" w:cs="Arial"/>
          <w:b/>
          <w:iCs/>
          <w:color w:val="000000"/>
          <w:lang w:val="en-US"/>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 xml:space="preserve">Let </w:t>
      </w:r>
      <m:oMath>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lang w:val="en-US"/>
              </w:rPr>
              <m:t>1</m:t>
            </m:r>
          </m:sub>
        </m:sSub>
        <m:r>
          <w:rPr>
            <w:rFonts w:ascii="Cambria Math" w:hAnsi="Cambria Math" w:cs="Arial"/>
            <w:color w:val="000000"/>
            <w:lang w:val="en-US"/>
          </w:rPr>
          <m:t>(</m:t>
        </m:r>
        <m:r>
          <w:rPr>
            <w:rFonts w:ascii="Cambria Math" w:hAnsi="Cambria Math" w:cs="Arial"/>
            <w:color w:val="000000"/>
          </w:rPr>
          <m:t>t</m:t>
        </m:r>
        <m:r>
          <w:rPr>
            <w:rFonts w:ascii="Cambria Math" w:hAnsi="Cambria Math" w:cs="Arial"/>
            <w:color w:val="000000"/>
            <w:lang w:val="en-US"/>
          </w:rPr>
          <m:t>)</m:t>
        </m:r>
      </m:oMath>
      <w:r w:rsidRPr="002429F5">
        <w:rPr>
          <w:rFonts w:ascii="Arial" w:hAnsi="Arial" w:cs="Arial"/>
          <w:iCs/>
          <w:color w:val="000000"/>
          <w:lang w:val="en-US"/>
        </w:rPr>
        <w:t xml:space="preserve">,  </w:t>
      </w:r>
      <m:oMath>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lang w:val="en-US"/>
              </w:rPr>
              <m:t>2</m:t>
            </m:r>
          </m:sub>
        </m:sSub>
        <m:r>
          <w:rPr>
            <w:rFonts w:ascii="Cambria Math" w:hAnsi="Cambria Math" w:cs="Arial"/>
            <w:color w:val="000000"/>
            <w:lang w:val="en-US"/>
          </w:rPr>
          <m:t>(</m:t>
        </m:r>
        <m:r>
          <w:rPr>
            <w:rFonts w:ascii="Cambria Math" w:hAnsi="Cambria Math" w:cs="Arial"/>
            <w:color w:val="000000"/>
          </w:rPr>
          <m:t>t</m:t>
        </m:r>
        <m:r>
          <w:rPr>
            <w:rFonts w:ascii="Cambria Math" w:hAnsi="Cambria Math" w:cs="Arial"/>
            <w:color w:val="000000"/>
            <w:lang w:val="en-US"/>
          </w:rPr>
          <m:t>)</m:t>
        </m:r>
      </m:oMath>
      <w:r w:rsidRPr="002429F5">
        <w:rPr>
          <w:rFonts w:ascii="Arial" w:hAnsi="Arial" w:cs="Arial"/>
          <w:iCs/>
          <w:color w:val="000000"/>
          <w:lang w:val="en-US"/>
        </w:rPr>
        <w:t xml:space="preserve"> be the processes:</w:t>
      </w:r>
    </w:p>
    <w:p w:rsidR="002429F5" w:rsidRPr="002429F5" w:rsidRDefault="002429F5" w:rsidP="002429F5">
      <w:pPr>
        <w:jc w:val="both"/>
        <w:rPr>
          <w:rFonts w:ascii="Arial" w:hAnsi="Arial" w:cs="Arial"/>
          <w:iCs/>
          <w:color w:val="000000"/>
          <w:lang w:val="en-US"/>
        </w:rPr>
      </w:pPr>
    </w:p>
    <w:p w:rsidR="002429F5" w:rsidRPr="00954C9A" w:rsidRDefault="001345E4" w:rsidP="002429F5">
      <w:pPr>
        <w:jc w:val="both"/>
        <w:rPr>
          <w:rFonts w:ascii="Arial" w:hAnsi="Arial" w:cs="Arial"/>
          <w:iCs/>
          <w:color w:val="000000"/>
        </w:rPr>
      </w:pPr>
      <m:oMathPara>
        <m:oMath>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1</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m:t>
          </m:r>
          <m:nary>
            <m:naryPr>
              <m:chr m:val="∑"/>
              <m:limLoc m:val="undOvr"/>
              <m:ctrlPr>
                <w:rPr>
                  <w:rFonts w:ascii="Cambria Math" w:hAnsi="Cambria Math" w:cs="Arial"/>
                  <w:i/>
                  <w:iCs/>
                  <w:color w:val="000000"/>
                </w:rPr>
              </m:ctrlPr>
            </m:naryPr>
            <m:sub>
              <m:r>
                <w:rPr>
                  <w:rFonts w:ascii="Cambria Math" w:hAnsi="Cambria Math" w:cs="Arial"/>
                  <w:color w:val="000000"/>
                </w:rPr>
                <m:t>k=0</m:t>
              </m:r>
            </m:sub>
            <m:sup>
              <m:r>
                <w:rPr>
                  <w:rFonts w:ascii="Cambria Math" w:hAnsi="Cambria Math" w:cs="Arial"/>
                  <w:i/>
                  <w:iCs/>
                  <w:color w:val="000000"/>
                </w:rPr>
                <w:sym w:font="Symbol" w:char="F0A5"/>
              </m:r>
            </m:sup>
            <m:e>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 xml:space="preserve">k </m:t>
                  </m:r>
                </m:sub>
              </m:sSub>
              <m:sSub>
                <m:sSubPr>
                  <m:ctrlPr>
                    <w:rPr>
                      <w:rFonts w:ascii="Cambria Math" w:hAnsi="Cambria Math" w:cs="Arial"/>
                      <w:i/>
                      <w:iCs/>
                      <w:color w:val="000000"/>
                    </w:rPr>
                  </m:ctrlPr>
                </m:sSubPr>
                <m:e>
                  <m:r>
                    <m:rPr>
                      <m:sty m:val="bi"/>
                    </m:rPr>
                    <w:rPr>
                      <w:rFonts w:ascii="Cambria Math" w:hAnsi="Cambria Math" w:cs="Arial"/>
                      <w:color w:val="000000"/>
                    </w:rPr>
                    <m:t>1</m:t>
                  </m:r>
                </m:e>
                <m:sub>
                  <m:d>
                    <m:dPr>
                      <m:begChr m:val="["/>
                      <m:endChr m:val="]"/>
                      <m:ctrlPr>
                        <w:rPr>
                          <w:rFonts w:ascii="Cambria Math" w:hAnsi="Cambria Math" w:cs="Arial"/>
                          <w:i/>
                          <w:iCs/>
                          <w:color w:val="000000"/>
                        </w:rPr>
                      </m:ctrlPr>
                    </m:dPr>
                    <m:e>
                      <m:r>
                        <w:rPr>
                          <w:rFonts w:ascii="Cambria Math" w:hAnsi="Cambria Math" w:cs="Arial"/>
                          <w:color w:val="000000"/>
                        </w:rPr>
                        <m:t>k</m:t>
                      </m:r>
                      <m:r>
                        <m:rPr>
                          <m:sty m:val="p"/>
                        </m:rPr>
                        <w:rPr>
                          <w:rFonts w:ascii="Cambria Math" w:hAnsi="Cambria Math" w:cs="Arial"/>
                          <w:iCs/>
                          <w:color w:val="000000"/>
                        </w:rPr>
                        <w:sym w:font="Symbol" w:char="F044"/>
                      </m:r>
                      <m:r>
                        <m:rPr>
                          <m:sty m:val="p"/>
                        </m:rPr>
                        <w:rPr>
                          <w:rFonts w:ascii="Cambria Math" w:hAnsi="Cambria Math" w:cs="Arial"/>
                          <w:color w:val="000000"/>
                        </w:rPr>
                        <m:t>t</m:t>
                      </m:r>
                      <m:r>
                        <w:rPr>
                          <w:rFonts w:ascii="Cambria Math" w:hAnsi="Cambria Math" w:cs="Arial"/>
                          <w:color w:val="000000"/>
                        </w:rPr>
                        <m:t xml:space="preserve">, </m:t>
                      </m:r>
                      <m:d>
                        <m:dPr>
                          <m:ctrlPr>
                            <w:rPr>
                              <w:rFonts w:ascii="Cambria Math" w:hAnsi="Cambria Math" w:cs="Arial"/>
                              <w:i/>
                              <w:iCs/>
                              <w:color w:val="000000"/>
                            </w:rPr>
                          </m:ctrlPr>
                        </m:dPr>
                        <m:e>
                          <m:r>
                            <w:rPr>
                              <w:rFonts w:ascii="Cambria Math" w:hAnsi="Cambria Math" w:cs="Arial"/>
                              <w:color w:val="000000"/>
                            </w:rPr>
                            <m:t>k+1</m:t>
                          </m:r>
                        </m:e>
                      </m:d>
                      <m:r>
                        <m:rPr>
                          <m:sty m:val="p"/>
                        </m:rPr>
                        <w:rPr>
                          <w:rFonts w:ascii="Cambria Math" w:hAnsi="Cambria Math" w:cs="Arial"/>
                          <w:iCs/>
                          <w:color w:val="000000"/>
                        </w:rPr>
                        <w:sym w:font="Symbol" w:char="F044"/>
                      </m:r>
                      <m:r>
                        <m:rPr>
                          <m:sty m:val="p"/>
                        </m:rPr>
                        <w:rPr>
                          <w:rFonts w:ascii="Cambria Math" w:hAnsi="Cambria Math" w:cs="Arial"/>
                          <w:color w:val="000000"/>
                        </w:rPr>
                        <m:t>t</m:t>
                      </m:r>
                    </m:e>
                  </m:d>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 xml:space="preserve">,   </m:t>
              </m:r>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2</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m:t>
              </m:r>
            </m:e>
          </m:nary>
          <m:nary>
            <m:naryPr>
              <m:chr m:val="∑"/>
              <m:limLoc m:val="undOvr"/>
              <m:ctrlPr>
                <w:rPr>
                  <w:rFonts w:ascii="Cambria Math" w:hAnsi="Cambria Math" w:cs="Arial"/>
                  <w:i/>
                  <w:iCs/>
                  <w:color w:val="000000"/>
                </w:rPr>
              </m:ctrlPr>
            </m:naryPr>
            <m:sub>
              <m:r>
                <w:rPr>
                  <w:rFonts w:ascii="Cambria Math" w:hAnsi="Cambria Math" w:cs="Arial"/>
                  <w:color w:val="000000"/>
                </w:rPr>
                <m:t>k=0</m:t>
              </m:r>
            </m:sub>
            <m:sup>
              <m:r>
                <w:rPr>
                  <w:rFonts w:ascii="Cambria Math" w:hAnsi="Cambria Math" w:cs="Arial"/>
                  <w:i/>
                  <w:iCs/>
                  <w:color w:val="000000"/>
                </w:rPr>
                <w:sym w:font="Symbol" w:char="F0A5"/>
              </m:r>
            </m:sup>
            <m:e>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 xml:space="preserve">k+1 </m:t>
                  </m:r>
                </m:sub>
              </m:sSub>
              <m:sSub>
                <m:sSubPr>
                  <m:ctrlPr>
                    <w:rPr>
                      <w:rFonts w:ascii="Cambria Math" w:hAnsi="Cambria Math" w:cs="Arial"/>
                      <w:i/>
                      <w:iCs/>
                      <w:color w:val="000000"/>
                    </w:rPr>
                  </m:ctrlPr>
                </m:sSubPr>
                <m:e>
                  <m:r>
                    <m:rPr>
                      <m:sty m:val="bi"/>
                    </m:rPr>
                    <w:rPr>
                      <w:rFonts w:ascii="Cambria Math" w:hAnsi="Cambria Math" w:cs="Arial"/>
                      <w:color w:val="000000"/>
                    </w:rPr>
                    <m:t>1</m:t>
                  </m:r>
                </m:e>
                <m:sub>
                  <m:d>
                    <m:dPr>
                      <m:begChr m:val="["/>
                      <m:endChr m:val="]"/>
                      <m:ctrlPr>
                        <w:rPr>
                          <w:rFonts w:ascii="Cambria Math" w:hAnsi="Cambria Math" w:cs="Arial"/>
                          <w:i/>
                          <w:iCs/>
                          <w:color w:val="000000"/>
                        </w:rPr>
                      </m:ctrlPr>
                    </m:dPr>
                    <m:e>
                      <m:r>
                        <w:rPr>
                          <w:rFonts w:ascii="Cambria Math" w:hAnsi="Cambria Math" w:cs="Arial"/>
                          <w:color w:val="000000"/>
                        </w:rPr>
                        <m:t>k</m:t>
                      </m:r>
                      <m:r>
                        <m:rPr>
                          <m:sty m:val="p"/>
                        </m:rPr>
                        <w:rPr>
                          <w:rFonts w:ascii="Cambria Math" w:hAnsi="Cambria Math" w:cs="Arial"/>
                          <w:iCs/>
                          <w:color w:val="000000"/>
                        </w:rPr>
                        <w:sym w:font="Symbol" w:char="F044"/>
                      </m:r>
                      <m:r>
                        <m:rPr>
                          <m:sty m:val="p"/>
                        </m:rPr>
                        <w:rPr>
                          <w:rFonts w:ascii="Cambria Math" w:hAnsi="Cambria Math" w:cs="Arial"/>
                          <w:color w:val="000000"/>
                        </w:rPr>
                        <m:t>t</m:t>
                      </m:r>
                      <m:r>
                        <w:rPr>
                          <w:rFonts w:ascii="Cambria Math" w:hAnsi="Cambria Math" w:cs="Arial"/>
                          <w:color w:val="000000"/>
                        </w:rPr>
                        <m:t xml:space="preserve">, </m:t>
                      </m:r>
                      <m:d>
                        <m:dPr>
                          <m:ctrlPr>
                            <w:rPr>
                              <w:rFonts w:ascii="Cambria Math" w:hAnsi="Cambria Math" w:cs="Arial"/>
                              <w:i/>
                              <w:iCs/>
                              <w:color w:val="000000"/>
                            </w:rPr>
                          </m:ctrlPr>
                        </m:dPr>
                        <m:e>
                          <m:r>
                            <w:rPr>
                              <w:rFonts w:ascii="Cambria Math" w:hAnsi="Cambria Math" w:cs="Arial"/>
                              <w:color w:val="000000"/>
                            </w:rPr>
                            <m:t>k+1</m:t>
                          </m:r>
                        </m:e>
                      </m:d>
                      <m:r>
                        <m:rPr>
                          <m:sty m:val="p"/>
                        </m:rPr>
                        <w:rPr>
                          <w:rFonts w:ascii="Cambria Math" w:hAnsi="Cambria Math" w:cs="Arial"/>
                          <w:iCs/>
                          <w:color w:val="000000"/>
                        </w:rPr>
                        <w:sym w:font="Symbol" w:char="F044"/>
                      </m:r>
                      <m:r>
                        <m:rPr>
                          <m:sty m:val="p"/>
                        </m:rPr>
                        <w:rPr>
                          <w:rFonts w:ascii="Cambria Math" w:hAnsi="Cambria Math" w:cs="Arial"/>
                          <w:color w:val="000000"/>
                        </w:rPr>
                        <m:t>t</m:t>
                      </m:r>
                    </m:e>
                  </m:d>
                </m:sub>
              </m:sSub>
              <m:r>
                <w:rPr>
                  <w:rFonts w:ascii="Cambria Math" w:hAnsi="Cambria Math" w:cs="Arial"/>
                  <w:color w:val="000000"/>
                </w:rPr>
                <m:t>(t)</m:t>
              </m:r>
            </m:e>
          </m:nary>
        </m:oMath>
      </m:oMathPara>
    </w:p>
    <w:p w:rsidR="002429F5" w:rsidRPr="00954C9A" w:rsidRDefault="002429F5" w:rsidP="002429F5">
      <w:pPr>
        <w:jc w:val="both"/>
        <w:rPr>
          <w:rFonts w:ascii="Arial" w:hAnsi="Arial" w:cs="Arial"/>
          <w:iCs/>
          <w:color w:val="000000"/>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 xml:space="preserve">where </w:t>
      </w:r>
      <m:oMath>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k</m:t>
            </m:r>
            <m:r>
              <w:rPr>
                <w:rFonts w:ascii="Cambria Math" w:hAnsi="Cambria Math" w:cs="Arial"/>
                <w:color w:val="000000"/>
                <w:lang w:val="en-US"/>
              </w:rPr>
              <m:t xml:space="preserve"> </m:t>
            </m:r>
          </m:sub>
        </m:sSub>
      </m:oMath>
      <w:r w:rsidRPr="002429F5">
        <w:rPr>
          <w:rFonts w:ascii="Arial" w:hAnsi="Arial" w:cs="Arial"/>
          <w:iCs/>
          <w:color w:val="000000"/>
          <w:lang w:val="en-US"/>
        </w:rPr>
        <w:t>satisfies the equation (3). Using the equation (5) and Itô’s formula, we have</w:t>
      </w:r>
    </w:p>
    <w:p w:rsidR="002429F5" w:rsidRPr="002429F5" w:rsidRDefault="002429F5" w:rsidP="002429F5">
      <w:pPr>
        <w:jc w:val="both"/>
        <w:rPr>
          <w:rFonts w:ascii="Arial" w:hAnsi="Arial" w:cs="Arial"/>
          <w:iCs/>
          <w:color w:val="000000"/>
          <w:lang w:val="en-US"/>
        </w:rPr>
      </w:pPr>
    </w:p>
    <w:p w:rsidR="002429F5" w:rsidRPr="00954C9A" w:rsidRDefault="002429F5" w:rsidP="002429F5">
      <w:pPr>
        <w:jc w:val="both"/>
        <w:rPr>
          <w:rFonts w:ascii="Arial" w:hAnsi="Arial" w:cs="Arial"/>
          <w:iCs/>
          <w:color w:val="000000"/>
        </w:rPr>
      </w:pPr>
      <m:oMathPara>
        <m:oMathParaPr>
          <m:jc m:val="right"/>
        </m:oMathParaPr>
        <m:oMath>
          <m:r>
            <w:rPr>
              <w:rFonts w:ascii="Cambria Math" w:hAnsi="Cambria Math" w:cs="Arial"/>
              <w:color w:val="000000"/>
            </w:rPr>
            <m:t>dV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2</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,t</m:t>
              </m:r>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V</m:t>
              </m:r>
            </m:e>
            <m:sub>
              <m:r>
                <w:rPr>
                  <w:rFonts w:ascii="Cambria Math" w:hAnsi="Cambria Math" w:cs="Arial"/>
                  <w:color w:val="000000"/>
                </w:rPr>
                <m:t>t</m:t>
              </m:r>
            </m:sub>
          </m:sSub>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2</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,t</m:t>
              </m:r>
            </m:e>
          </m:d>
          <m:r>
            <w:rPr>
              <w:rFonts w:ascii="Cambria Math" w:hAnsi="Cambria Math" w:cs="Arial"/>
              <w:color w:val="000000"/>
            </w:rPr>
            <m:t xml:space="preserve"> dt+</m:t>
          </m:r>
          <m:sSub>
            <m:sSubPr>
              <m:ctrlPr>
                <w:rPr>
                  <w:rFonts w:ascii="Cambria Math" w:hAnsi="Cambria Math" w:cs="Arial"/>
                  <w:i/>
                  <w:iCs/>
                  <w:color w:val="000000"/>
                </w:rPr>
              </m:ctrlPr>
            </m:sSubPr>
            <m:e>
              <m:r>
                <w:rPr>
                  <w:rFonts w:ascii="Cambria Math" w:hAnsi="Cambria Math" w:cs="Arial"/>
                  <w:color w:val="000000"/>
                </w:rPr>
                <m:t>V</m:t>
              </m:r>
            </m:e>
            <m:sub>
              <m:r>
                <w:rPr>
                  <w:rFonts w:ascii="Cambria Math" w:hAnsi="Cambria Math" w:cs="Arial"/>
                  <w:color w:val="000000"/>
                </w:rPr>
                <m:t>x</m:t>
              </m:r>
            </m:sub>
          </m:sSub>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2</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,t</m:t>
              </m:r>
            </m:e>
          </m:d>
          <m:r>
            <w:rPr>
              <w:rFonts w:ascii="Cambria Math" w:hAnsi="Cambria Math" w:cs="Arial"/>
              <w:color w:val="000000"/>
            </w:rPr>
            <m:t>d</m:t>
          </m:r>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2</m:t>
              </m:r>
            </m:sub>
          </m:sSub>
          <m:r>
            <w:rPr>
              <w:rFonts w:ascii="Cambria Math" w:hAnsi="Cambria Math" w:cs="Arial"/>
              <w:color w:val="000000"/>
            </w:rPr>
            <m:t>+</m:t>
          </m:r>
          <m:f>
            <m:fPr>
              <m:ctrlPr>
                <w:rPr>
                  <w:rFonts w:ascii="Cambria Math" w:hAnsi="Cambria Math" w:cs="Arial"/>
                  <w:i/>
                  <w:iCs/>
                  <w:color w:val="000000"/>
                </w:rPr>
              </m:ctrlPr>
            </m:fPr>
            <m:num>
              <m:r>
                <w:rPr>
                  <w:rFonts w:ascii="Cambria Math" w:hAnsi="Cambria Math" w:cs="Arial"/>
                  <w:color w:val="000000"/>
                </w:rPr>
                <m:t>1</m:t>
              </m:r>
            </m:num>
            <m:den>
              <m:r>
                <w:rPr>
                  <w:rFonts w:ascii="Cambria Math" w:hAnsi="Cambria Math" w:cs="Arial"/>
                  <w:color w:val="000000"/>
                </w:rPr>
                <m:t>2</m:t>
              </m:r>
            </m:den>
          </m:f>
          <m:r>
            <w:rPr>
              <w:rFonts w:ascii="Cambria Math" w:hAnsi="Cambria Math" w:cs="Arial"/>
              <w:color w:val="000000"/>
            </w:rPr>
            <m:t xml:space="preserve"> trace </m:t>
          </m:r>
          <m:d>
            <m:dPr>
              <m:begChr m:val="["/>
              <m:endChr m:val="]"/>
              <m:ctrlPr>
                <w:rPr>
                  <w:rFonts w:ascii="Cambria Math" w:hAnsi="Cambria Math" w:cs="Arial"/>
                  <w:i/>
                  <w:iCs/>
                  <w:color w:val="000000"/>
                </w:rPr>
              </m:ctrlPr>
            </m:dPr>
            <m:e>
              <m:sSup>
                <m:sSupPr>
                  <m:ctrlPr>
                    <w:rPr>
                      <w:rFonts w:ascii="Cambria Math" w:hAnsi="Cambria Math" w:cs="Arial"/>
                      <w:i/>
                      <w:iCs/>
                      <w:color w:val="000000"/>
                    </w:rPr>
                  </m:ctrlPr>
                </m:sSupPr>
                <m:e>
                  <m:r>
                    <w:rPr>
                      <w:rFonts w:ascii="Cambria Math" w:hAnsi="Cambria Math" w:cs="Arial"/>
                      <w:color w:val="000000"/>
                    </w:rPr>
                    <m:t>σ</m:t>
                  </m:r>
                  <m:d>
                    <m:dPr>
                      <m:ctrlPr>
                        <w:rPr>
                          <w:rFonts w:ascii="Cambria Math" w:hAnsi="Cambria Math" w:cs="Arial"/>
                          <w:i/>
                          <w:iCs/>
                          <w:color w:val="000000"/>
                        </w:rPr>
                      </m:ctrlPr>
                    </m:dPr>
                    <m:e>
                      <m:r>
                        <w:rPr>
                          <w:rFonts w:ascii="Cambria Math" w:hAnsi="Cambria Math" w:cs="Arial"/>
                          <w:color w:val="000000"/>
                        </w:rPr>
                        <m:t>t,x</m:t>
                      </m:r>
                    </m:e>
                  </m:d>
                </m:e>
                <m:sup>
                  <m:r>
                    <w:rPr>
                      <w:rFonts w:ascii="Cambria Math" w:hAnsi="Cambria Math" w:cs="Arial"/>
                      <w:color w:val="000000"/>
                    </w:rPr>
                    <m:t>t</m:t>
                  </m:r>
                </m:sup>
              </m:sSup>
              <m:sSub>
                <m:sSubPr>
                  <m:ctrlPr>
                    <w:rPr>
                      <w:rFonts w:ascii="Cambria Math" w:hAnsi="Cambria Math" w:cs="Arial"/>
                      <w:i/>
                      <w:iCs/>
                      <w:color w:val="000000"/>
                    </w:rPr>
                  </m:ctrlPr>
                </m:sSubPr>
                <m:e>
                  <m:r>
                    <w:rPr>
                      <w:rFonts w:ascii="Cambria Math" w:hAnsi="Cambria Math" w:cs="Arial"/>
                      <w:color w:val="000000"/>
                    </w:rPr>
                    <m:t>V</m:t>
                  </m:r>
                </m:e>
                <m:sub>
                  <m:r>
                    <w:rPr>
                      <w:rFonts w:ascii="Cambria Math" w:hAnsi="Cambria Math" w:cs="Arial"/>
                      <w:color w:val="000000"/>
                    </w:rPr>
                    <m:t>xx</m:t>
                  </m:r>
                </m:sub>
              </m:sSub>
              <m:d>
                <m:dPr>
                  <m:ctrlPr>
                    <w:rPr>
                      <w:rFonts w:ascii="Cambria Math" w:hAnsi="Cambria Math" w:cs="Arial"/>
                      <w:i/>
                      <w:iCs/>
                      <w:color w:val="000000"/>
                    </w:rPr>
                  </m:ctrlPr>
                </m:dPr>
                <m:e>
                  <m:r>
                    <w:rPr>
                      <w:rFonts w:ascii="Cambria Math" w:hAnsi="Cambria Math" w:cs="Arial"/>
                      <w:color w:val="000000"/>
                    </w:rPr>
                    <m:t>t,x</m:t>
                  </m:r>
                </m:e>
              </m:d>
              <m:r>
                <w:rPr>
                  <w:rFonts w:ascii="Cambria Math" w:hAnsi="Cambria Math" w:cs="Arial"/>
                  <w:color w:val="000000"/>
                </w:rPr>
                <m:t>σ</m:t>
              </m:r>
              <m:d>
                <m:dPr>
                  <m:ctrlPr>
                    <w:rPr>
                      <w:rFonts w:ascii="Cambria Math" w:hAnsi="Cambria Math" w:cs="Arial"/>
                      <w:i/>
                      <w:iCs/>
                      <w:color w:val="000000"/>
                    </w:rPr>
                  </m:ctrlPr>
                </m:dPr>
                <m:e>
                  <m:r>
                    <w:rPr>
                      <w:rFonts w:ascii="Cambria Math" w:hAnsi="Cambria Math" w:cs="Arial"/>
                      <w:color w:val="000000"/>
                    </w:rPr>
                    <m:t>t,x</m:t>
                  </m:r>
                </m:e>
              </m:d>
            </m:e>
          </m:d>
          <m:r>
            <w:rPr>
              <w:rFonts w:ascii="Cambria Math" w:hAnsi="Cambria Math" w:cs="Arial"/>
              <w:color w:val="000000"/>
            </w:rPr>
            <m:t xml:space="preserve">           (9)</m:t>
          </m:r>
        </m:oMath>
      </m:oMathPara>
    </w:p>
    <w:p w:rsidR="002429F5" w:rsidRPr="00954C9A" w:rsidRDefault="002429F5" w:rsidP="002429F5">
      <w:pPr>
        <w:jc w:val="both"/>
        <w:rPr>
          <w:rFonts w:ascii="Arial" w:hAnsi="Arial" w:cs="Arial"/>
          <w:iCs/>
          <w:color w:val="000000"/>
        </w:rPr>
      </w:pPr>
    </w:p>
    <w:p w:rsidR="002429F5" w:rsidRPr="00954C9A" w:rsidRDefault="002429F5" w:rsidP="002429F5">
      <w:pPr>
        <w:jc w:val="both"/>
        <w:rPr>
          <w:rFonts w:ascii="Arial" w:hAnsi="Arial" w:cs="Arial"/>
          <w:iCs/>
          <w:color w:val="000000"/>
        </w:rPr>
      </w:pPr>
      <w:r w:rsidRPr="00954C9A">
        <w:rPr>
          <w:rFonts w:ascii="Arial" w:hAnsi="Arial" w:cs="Arial"/>
          <w:iCs/>
          <w:color w:val="000000"/>
        </w:rPr>
        <w:t>Now, using the expression:</w:t>
      </w:r>
    </w:p>
    <w:p w:rsidR="002429F5" w:rsidRPr="00954C9A" w:rsidRDefault="002429F5" w:rsidP="002429F5">
      <w:pPr>
        <w:jc w:val="both"/>
        <w:rPr>
          <w:rFonts w:ascii="Arial" w:hAnsi="Arial" w:cs="Arial"/>
          <w:iCs/>
          <w:color w:val="000000"/>
        </w:rPr>
      </w:pPr>
    </w:p>
    <w:p w:rsidR="002429F5" w:rsidRPr="00954C9A" w:rsidRDefault="002429F5" w:rsidP="002429F5">
      <w:pPr>
        <w:jc w:val="both"/>
        <w:rPr>
          <w:rFonts w:ascii="Arial" w:hAnsi="Arial" w:cs="Arial"/>
          <w:iCs/>
          <w:color w:val="000000"/>
        </w:rPr>
      </w:pPr>
      <m:oMathPara>
        <m:oMath>
          <m:r>
            <w:rPr>
              <w:rFonts w:ascii="Cambria Math" w:hAnsi="Cambria Math" w:cs="Arial"/>
              <w:color w:val="000000"/>
            </w:rPr>
            <m:t>d</m:t>
          </m:r>
          <m:func>
            <m:funcPr>
              <m:ctrlPr>
                <w:rPr>
                  <w:rFonts w:ascii="Cambria Math" w:hAnsi="Cambria Math" w:cs="Arial"/>
                  <w:i/>
                  <w:iCs/>
                  <w:color w:val="000000"/>
                </w:rPr>
              </m:ctrlPr>
            </m:funcPr>
            <m:fName>
              <m:r>
                <m:rPr>
                  <m:sty m:val="p"/>
                </m:rPr>
                <w:rPr>
                  <w:rFonts w:ascii="Cambria Math" w:hAnsi="Cambria Math" w:cs="Arial"/>
                  <w:color w:val="000000"/>
                </w:rPr>
                <m:t>log</m:t>
              </m:r>
            </m:fName>
            <m:e>
              <m:r>
                <w:rPr>
                  <w:rFonts w:ascii="Cambria Math" w:hAnsi="Cambria Math" w:cs="Arial"/>
                  <w:color w:val="000000"/>
                </w:rPr>
                <m:t>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2</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,t</m:t>
                  </m:r>
                </m:e>
              </m:d>
              <m:r>
                <w:rPr>
                  <w:rFonts w:ascii="Cambria Math" w:hAnsi="Cambria Math" w:cs="Arial"/>
                  <w:color w:val="000000"/>
                </w:rPr>
                <m:t>=</m:t>
              </m:r>
            </m:e>
          </m:func>
          <m:f>
            <m:fPr>
              <m:ctrlPr>
                <w:rPr>
                  <w:rFonts w:ascii="Cambria Math" w:hAnsi="Cambria Math" w:cs="Arial"/>
                  <w:i/>
                  <w:iCs/>
                  <w:color w:val="000000"/>
                </w:rPr>
              </m:ctrlPr>
            </m:fPr>
            <m:num>
              <m:r>
                <w:rPr>
                  <w:rFonts w:ascii="Cambria Math" w:hAnsi="Cambria Math" w:cs="Arial"/>
                  <w:color w:val="000000"/>
                </w:rPr>
                <m:t>1</m:t>
              </m:r>
            </m:num>
            <m:den>
              <m:r>
                <w:rPr>
                  <w:rFonts w:ascii="Cambria Math" w:hAnsi="Cambria Math" w:cs="Arial"/>
                  <w:color w:val="000000"/>
                </w:rPr>
                <m:t>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2</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,t</m:t>
                  </m:r>
                </m:e>
              </m:d>
            </m:den>
          </m:f>
          <m:r>
            <w:rPr>
              <w:rFonts w:ascii="Cambria Math" w:hAnsi="Cambria Math" w:cs="Arial"/>
              <w:color w:val="000000"/>
            </w:rPr>
            <m:t xml:space="preserve"> </m:t>
          </m:r>
          <m:d>
            <m:dPr>
              <m:begChr m:val="["/>
              <m:endChr m:val="]"/>
              <m:ctrlPr>
                <w:rPr>
                  <w:rFonts w:ascii="Cambria Math" w:hAnsi="Cambria Math" w:cs="Arial"/>
                  <w:i/>
                  <w:iCs/>
                  <w:color w:val="000000"/>
                </w:rPr>
              </m:ctrlPr>
            </m:dPr>
            <m:e>
              <m:r>
                <w:rPr>
                  <w:rFonts w:ascii="Cambria Math" w:hAnsi="Cambria Math" w:cs="Arial"/>
                  <w:color w:val="000000"/>
                </w:rPr>
                <m:t>dV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2</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m:t>
                  </m:r>
                  <m:r>
                    <w:rPr>
                      <w:rFonts w:ascii="Cambria Math" w:hAnsi="Cambria Math" w:cs="Cambria Math"/>
                      <w:color w:val="000000"/>
                    </w:rPr>
                    <m:t>t</m:t>
                  </m:r>
                </m:e>
              </m:d>
              <m:r>
                <w:rPr>
                  <w:rFonts w:ascii="Cambria Math" w:hAnsi="Cambria Math" w:cs="Arial"/>
                  <w:color w:val="000000"/>
                </w:rPr>
                <m:t>-</m:t>
              </m:r>
              <m:f>
                <m:fPr>
                  <m:ctrlPr>
                    <w:rPr>
                      <w:rFonts w:ascii="Cambria Math" w:hAnsi="Cambria Math" w:cs="Arial"/>
                      <w:i/>
                      <w:iCs/>
                      <w:color w:val="000000"/>
                    </w:rPr>
                  </m:ctrlPr>
                </m:fPr>
                <m:num>
                  <m:r>
                    <w:rPr>
                      <w:rFonts w:ascii="Cambria Math" w:hAnsi="Cambria Math" w:cs="Arial"/>
                      <w:color w:val="000000"/>
                    </w:rPr>
                    <m:t>1</m:t>
                  </m:r>
                </m:num>
                <m:den>
                  <m:r>
                    <w:rPr>
                      <w:rFonts w:ascii="Cambria Math" w:hAnsi="Cambria Math" w:cs="Arial"/>
                      <w:color w:val="000000"/>
                    </w:rPr>
                    <m:t>2</m:t>
                  </m:r>
                </m:den>
              </m:f>
              <m:r>
                <w:rPr>
                  <w:rFonts w:ascii="Cambria Math" w:hAnsi="Cambria Math" w:cs="Arial"/>
                  <w:color w:val="000000"/>
                </w:rPr>
                <m:t xml:space="preserve"> </m:t>
              </m:r>
              <m:f>
                <m:fPr>
                  <m:ctrlPr>
                    <w:rPr>
                      <w:rFonts w:ascii="Cambria Math" w:hAnsi="Cambria Math" w:cs="Arial"/>
                      <w:i/>
                      <w:iCs/>
                      <w:color w:val="000000"/>
                    </w:rPr>
                  </m:ctrlPr>
                </m:fPr>
                <m:num>
                  <m:r>
                    <w:rPr>
                      <w:rFonts w:ascii="Cambria Math" w:hAnsi="Cambria Math" w:cs="Arial"/>
                      <w:color w:val="000000"/>
                    </w:rPr>
                    <m:t>1</m:t>
                  </m:r>
                </m:num>
                <m:den>
                  <m:r>
                    <w:rPr>
                      <w:rFonts w:ascii="Cambria Math" w:hAnsi="Cambria Math" w:cs="Arial"/>
                      <w:color w:val="000000"/>
                    </w:rPr>
                    <m:t>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2</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,t</m:t>
                      </m:r>
                    </m:e>
                  </m:d>
                </m:den>
              </m:f>
              <m:r>
                <w:rPr>
                  <w:rFonts w:ascii="Cambria Math" w:hAnsi="Cambria Math" w:cs="Arial"/>
                  <w:color w:val="000000"/>
                </w:rPr>
                <m:t xml:space="preserve"> </m:t>
              </m:r>
              <m:sSup>
                <m:sSupPr>
                  <m:ctrlPr>
                    <w:rPr>
                      <w:rFonts w:ascii="Cambria Math" w:hAnsi="Cambria Math" w:cs="Arial"/>
                      <w:i/>
                      <w:iCs/>
                      <w:color w:val="000000"/>
                    </w:rPr>
                  </m:ctrlPr>
                </m:sSupPr>
                <m:e>
                  <m:r>
                    <w:rPr>
                      <w:rFonts w:ascii="Cambria Math" w:hAnsi="Cambria Math" w:cs="Arial"/>
                      <w:color w:val="000000"/>
                    </w:rPr>
                    <m:t>dV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2</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,t</m:t>
                      </m:r>
                    </m:e>
                  </m:d>
                </m:e>
                <m:sup>
                  <m:r>
                    <w:rPr>
                      <w:rFonts w:ascii="Cambria Math" w:hAnsi="Cambria Math" w:cs="Arial"/>
                      <w:color w:val="000000"/>
                    </w:rPr>
                    <m:t>2</m:t>
                  </m:r>
                </m:sup>
              </m:sSup>
            </m:e>
          </m:d>
        </m:oMath>
      </m:oMathPara>
    </w:p>
    <w:p w:rsidR="002429F5" w:rsidRDefault="002429F5" w:rsidP="002429F5">
      <w:pPr>
        <w:jc w:val="both"/>
        <w:rPr>
          <w:rFonts w:ascii="Arial" w:hAnsi="Arial" w:cs="Arial"/>
          <w:iCs/>
          <w:color w:val="000000"/>
        </w:rPr>
      </w:pPr>
      <w:r w:rsidRPr="00954C9A">
        <w:rPr>
          <w:rFonts w:ascii="Arial" w:hAnsi="Arial" w:cs="Arial"/>
          <w:iCs/>
          <w:color w:val="000000"/>
        </w:rPr>
        <w:t xml:space="preserve">we have </w:t>
      </w:r>
    </w:p>
    <w:p w:rsidR="002429F5" w:rsidRDefault="002429F5" w:rsidP="002429F5">
      <w:pPr>
        <w:jc w:val="both"/>
        <w:rPr>
          <w:rFonts w:ascii="Arial" w:hAnsi="Arial" w:cs="Arial"/>
          <w:iCs/>
          <w:color w:val="000000"/>
        </w:rPr>
      </w:pPr>
    </w:p>
    <w:p w:rsidR="002429F5" w:rsidRPr="00197339" w:rsidRDefault="001345E4" w:rsidP="002429F5">
      <w:pPr>
        <w:jc w:val="both"/>
        <w:rPr>
          <w:rFonts w:ascii="Arial" w:hAnsi="Arial" w:cs="Arial"/>
          <w:iCs/>
          <w:color w:val="000000"/>
        </w:rPr>
      </w:pPr>
      <m:oMathPara>
        <m:oMathParaPr>
          <m:jc m:val="left"/>
        </m:oMathParaPr>
        <m:oMath>
          <m:func>
            <m:funcPr>
              <m:ctrlPr>
                <w:rPr>
                  <w:rFonts w:ascii="Cambria Math" w:hAnsi="Cambria Math" w:cs="Arial"/>
                  <w:i/>
                  <w:iCs/>
                  <w:color w:val="000000"/>
                </w:rPr>
              </m:ctrlPr>
            </m:funcPr>
            <m:fName>
              <m:r>
                <m:rPr>
                  <m:sty m:val="p"/>
                </m:rPr>
                <w:rPr>
                  <w:rFonts w:ascii="Cambria Math" w:hAnsi="Cambria Math" w:cs="Arial"/>
                  <w:color w:val="000000"/>
                </w:rPr>
                <m:t>log</m:t>
              </m:r>
            </m:fName>
            <m:e>
              <m:r>
                <w:rPr>
                  <w:rFonts w:ascii="Cambria Math" w:hAnsi="Cambria Math" w:cs="Arial"/>
                  <w:color w:val="000000"/>
                </w:rPr>
                <m:t>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2</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,t</m:t>
                  </m:r>
                </m:e>
              </m:d>
              <m:r>
                <w:rPr>
                  <w:rFonts w:ascii="Cambria Math" w:hAnsi="Cambria Math" w:cs="Arial"/>
                  <w:color w:val="000000"/>
                </w:rPr>
                <m:t>=</m:t>
              </m:r>
            </m:e>
          </m:func>
          <m:func>
            <m:funcPr>
              <m:ctrlPr>
                <w:rPr>
                  <w:rFonts w:ascii="Cambria Math" w:hAnsi="Cambria Math" w:cs="Arial"/>
                  <w:iCs/>
                  <w:color w:val="000000"/>
                </w:rPr>
              </m:ctrlPr>
            </m:funcPr>
            <m:fName>
              <m:r>
                <m:rPr>
                  <m:sty m:val="p"/>
                </m:rPr>
                <w:rPr>
                  <w:rFonts w:ascii="Cambria Math" w:hAnsi="Cambria Math" w:cs="Arial"/>
                  <w:color w:val="000000"/>
                </w:rPr>
                <m:t>log</m:t>
              </m:r>
            </m:fName>
            <m:e>
              <m:r>
                <w:rPr>
                  <w:rFonts w:ascii="Cambria Math" w:hAnsi="Cambria Math" w:cs="Arial"/>
                  <w:color w:val="000000"/>
                </w:rPr>
                <m:t>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k</m:t>
                      </m:r>
                    </m:sub>
                  </m:sSub>
                  <m:r>
                    <w:rPr>
                      <w:rFonts w:ascii="Cambria Math" w:hAnsi="Cambria Math" w:cs="Arial"/>
                      <w:color w:val="000000"/>
                    </w:rPr>
                    <m:t>,k</m:t>
                  </m:r>
                </m:e>
              </m:d>
              <m:r>
                <w:rPr>
                  <w:rFonts w:ascii="Cambria Math" w:hAnsi="Cambria Math" w:cs="Arial"/>
                  <w:color w:val="000000"/>
                </w:rPr>
                <m:t>+</m:t>
              </m:r>
              <m:nary>
                <m:naryPr>
                  <m:limLoc m:val="subSup"/>
                  <m:ctrlPr>
                    <w:rPr>
                      <w:rFonts w:ascii="Cambria Math" w:hAnsi="Cambria Math" w:cs="Arial"/>
                      <w:i/>
                      <w:iCs/>
                      <w:color w:val="000000"/>
                    </w:rPr>
                  </m:ctrlPr>
                </m:naryPr>
                <m:sub>
                  <m:r>
                    <w:rPr>
                      <w:rFonts w:ascii="Cambria Math" w:hAnsi="Cambria Math" w:cs="Arial"/>
                      <w:color w:val="000000"/>
                    </w:rPr>
                    <m:t>0</m:t>
                  </m:r>
                </m:sub>
                <m:sup>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sup>
                <m:e>
                  <m:f>
                    <m:fPr>
                      <m:ctrlPr>
                        <w:rPr>
                          <w:rFonts w:ascii="Cambria Math" w:hAnsi="Cambria Math" w:cs="Arial"/>
                          <w:i/>
                          <w:iCs/>
                          <w:color w:val="000000"/>
                        </w:rPr>
                      </m:ctrlPr>
                    </m:fPr>
                    <m:num>
                      <m:r>
                        <w:rPr>
                          <w:rFonts w:ascii="Cambria Math" w:hAnsi="Cambria Math" w:cs="Arial"/>
                          <w:color w:val="000000"/>
                        </w:rPr>
                        <m:t>1</m:t>
                      </m:r>
                    </m:num>
                    <m:den>
                      <m:r>
                        <w:rPr>
                          <w:rFonts w:ascii="Cambria Math" w:hAnsi="Cambria Math" w:cs="Arial"/>
                          <w:color w:val="000000"/>
                        </w:rPr>
                        <m:t>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1</m:t>
                              </m:r>
                            </m:sub>
                          </m:sSub>
                          <m:d>
                            <m:dPr>
                              <m:ctrlPr>
                                <w:rPr>
                                  <w:rFonts w:ascii="Cambria Math" w:hAnsi="Cambria Math" w:cs="Arial"/>
                                  <w:i/>
                                  <w:iCs/>
                                  <w:color w:val="000000"/>
                                </w:rPr>
                              </m:ctrlPr>
                            </m:dPr>
                            <m:e>
                              <m:r>
                                <w:rPr>
                                  <w:rFonts w:ascii="Cambria Math" w:hAnsi="Cambria Math" w:cs="Arial"/>
                                  <w:color w:val="000000"/>
                                </w:rPr>
                                <m:t>s</m:t>
                              </m:r>
                            </m:e>
                          </m:d>
                          <m:r>
                            <w:rPr>
                              <w:rFonts w:ascii="Cambria Math" w:hAnsi="Cambria Math" w:cs="Arial"/>
                              <w:color w:val="000000"/>
                            </w:rPr>
                            <m:t>,s</m:t>
                          </m:r>
                        </m:e>
                      </m:d>
                    </m:den>
                  </m:f>
                </m:e>
              </m:nary>
            </m:e>
          </m:func>
          <m:r>
            <w:rPr>
              <w:rFonts w:ascii="Cambria Math" w:hAnsi="Cambria Math" w:cs="Arial"/>
              <w:color w:val="000000"/>
            </w:rPr>
            <m:t xml:space="preserve"> </m:t>
          </m:r>
          <m:d>
            <m:dPr>
              <m:begChr m:val="["/>
              <m:endChr m:val="]"/>
              <m:ctrlPr>
                <w:rPr>
                  <w:rFonts w:ascii="Cambria Math" w:hAnsi="Cambria Math" w:cs="Arial"/>
                  <w:i/>
                  <w:iCs/>
                  <w:color w:val="000000"/>
                </w:rPr>
              </m:ctrlPr>
            </m:dPr>
            <m:e>
              <m:r>
                <w:rPr>
                  <w:rFonts w:ascii="Cambria Math" w:hAnsi="Cambria Math" w:cs="Arial"/>
                  <w:color w:val="000000"/>
                </w:rPr>
                <m:t>LV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1</m:t>
                      </m:r>
                    </m:sub>
                  </m:sSub>
                  <m:d>
                    <m:dPr>
                      <m:ctrlPr>
                        <w:rPr>
                          <w:rFonts w:ascii="Cambria Math" w:hAnsi="Cambria Math" w:cs="Arial"/>
                          <w:i/>
                          <w:iCs/>
                          <w:color w:val="000000"/>
                        </w:rPr>
                      </m:ctrlPr>
                    </m:dPr>
                    <m:e>
                      <m:r>
                        <w:rPr>
                          <w:rFonts w:ascii="Cambria Math" w:hAnsi="Cambria Math" w:cs="Arial"/>
                          <w:color w:val="000000"/>
                        </w:rPr>
                        <m:t>s</m:t>
                      </m:r>
                    </m:e>
                  </m:d>
                  <m:r>
                    <w:rPr>
                      <w:rFonts w:ascii="Cambria Math" w:hAnsi="Cambria Math" w:cs="Arial"/>
                      <w:color w:val="000000"/>
                    </w:rPr>
                    <m:t>,s</m:t>
                  </m:r>
                </m:e>
              </m:d>
              <m:r>
                <w:rPr>
                  <w:rFonts w:ascii="Cambria Math" w:hAnsi="Cambria Math" w:cs="Arial"/>
                  <w:color w:val="000000"/>
                </w:rPr>
                <m:t>-</m:t>
              </m:r>
              <m:f>
                <m:fPr>
                  <m:ctrlPr>
                    <w:rPr>
                      <w:rFonts w:ascii="Cambria Math" w:hAnsi="Cambria Math" w:cs="Arial"/>
                      <w:i/>
                      <w:iCs/>
                      <w:color w:val="000000"/>
                    </w:rPr>
                  </m:ctrlPr>
                </m:fPr>
                <m:num>
                  <m:r>
                    <w:rPr>
                      <w:rFonts w:ascii="Cambria Math" w:hAnsi="Cambria Math" w:cs="Arial"/>
                      <w:color w:val="000000"/>
                    </w:rPr>
                    <m:t>1</m:t>
                  </m:r>
                </m:num>
                <m:den>
                  <m:r>
                    <w:rPr>
                      <w:rFonts w:ascii="Cambria Math" w:hAnsi="Cambria Math" w:cs="Arial"/>
                      <w:color w:val="000000"/>
                    </w:rPr>
                    <m:t>2</m:t>
                  </m:r>
                </m:den>
              </m:f>
              <m:r>
                <w:rPr>
                  <w:rFonts w:ascii="Cambria Math" w:hAnsi="Cambria Math" w:cs="Arial"/>
                  <w:color w:val="000000"/>
                </w:rPr>
                <m:t xml:space="preserve"> </m:t>
              </m:r>
              <m:f>
                <m:fPr>
                  <m:ctrlPr>
                    <w:rPr>
                      <w:rFonts w:ascii="Cambria Math" w:hAnsi="Cambria Math" w:cs="Arial"/>
                      <w:i/>
                      <w:iCs/>
                      <w:color w:val="000000"/>
                    </w:rPr>
                  </m:ctrlPr>
                </m:fPr>
                <m:num>
                  <m:r>
                    <w:rPr>
                      <w:rFonts w:ascii="Cambria Math" w:hAnsi="Cambria Math" w:cs="Arial"/>
                      <w:color w:val="000000"/>
                    </w:rPr>
                    <m:t>QV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1</m:t>
                          </m:r>
                        </m:sub>
                      </m:sSub>
                      <m:d>
                        <m:dPr>
                          <m:ctrlPr>
                            <w:rPr>
                              <w:rFonts w:ascii="Cambria Math" w:hAnsi="Cambria Math" w:cs="Arial"/>
                              <w:i/>
                              <w:iCs/>
                              <w:color w:val="000000"/>
                            </w:rPr>
                          </m:ctrlPr>
                        </m:dPr>
                        <m:e>
                          <m:r>
                            <w:rPr>
                              <w:rFonts w:ascii="Cambria Math" w:hAnsi="Cambria Math" w:cs="Arial"/>
                              <w:color w:val="000000"/>
                            </w:rPr>
                            <m:t>s</m:t>
                          </m:r>
                        </m:e>
                      </m:d>
                      <m:r>
                        <w:rPr>
                          <w:rFonts w:ascii="Cambria Math" w:hAnsi="Cambria Math" w:cs="Arial"/>
                          <w:color w:val="000000"/>
                        </w:rPr>
                        <m:t>,s</m:t>
                      </m:r>
                    </m:e>
                  </m:d>
                </m:num>
                <m:den>
                  <m:r>
                    <w:rPr>
                      <w:rFonts w:ascii="Cambria Math" w:hAnsi="Cambria Math" w:cs="Arial"/>
                      <w:color w:val="000000"/>
                    </w:rPr>
                    <m:t>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1</m:t>
                          </m:r>
                        </m:sub>
                      </m:sSub>
                      <m:d>
                        <m:dPr>
                          <m:ctrlPr>
                            <w:rPr>
                              <w:rFonts w:ascii="Cambria Math" w:hAnsi="Cambria Math" w:cs="Arial"/>
                              <w:i/>
                              <w:iCs/>
                              <w:color w:val="000000"/>
                            </w:rPr>
                          </m:ctrlPr>
                        </m:dPr>
                        <m:e>
                          <m:r>
                            <w:rPr>
                              <w:rFonts w:ascii="Cambria Math" w:hAnsi="Cambria Math" w:cs="Arial"/>
                              <w:color w:val="000000"/>
                            </w:rPr>
                            <m:t>s</m:t>
                          </m:r>
                        </m:e>
                      </m:d>
                      <m:r>
                        <w:rPr>
                          <w:rFonts w:ascii="Cambria Math" w:hAnsi="Cambria Math" w:cs="Arial"/>
                          <w:color w:val="000000"/>
                        </w:rPr>
                        <m:t>,s</m:t>
                      </m:r>
                    </m:e>
                  </m:d>
                </m:den>
              </m:f>
            </m:e>
          </m:d>
          <m:r>
            <w:rPr>
              <w:rFonts w:ascii="Cambria Math" w:hAnsi="Cambria Math" w:cs="Arial"/>
              <w:color w:val="000000"/>
            </w:rPr>
            <m:t xml:space="preserve"> </m:t>
          </m:r>
          <m:box>
            <m:boxPr>
              <m:diff m:val="1"/>
              <m:ctrlPr>
                <w:rPr>
                  <w:rFonts w:ascii="Cambria Math" w:hAnsi="Cambria Math" w:cs="Arial"/>
                  <w:i/>
                  <w:iCs/>
                  <w:color w:val="000000"/>
                </w:rPr>
              </m:ctrlPr>
            </m:boxPr>
            <m:e>
              <m:r>
                <w:rPr>
                  <w:rFonts w:ascii="Cambria Math" w:hAnsi="Cambria Math" w:cs="Arial"/>
                  <w:color w:val="000000"/>
                </w:rPr>
                <m:t>ds</m:t>
              </m:r>
            </m:e>
          </m:box>
        </m:oMath>
      </m:oMathPara>
    </w:p>
    <w:p w:rsidR="002429F5" w:rsidRPr="00197339" w:rsidRDefault="002429F5" w:rsidP="002429F5">
      <w:pPr>
        <w:jc w:val="both"/>
        <w:rPr>
          <w:rFonts w:ascii="Arial" w:hAnsi="Arial" w:cs="Arial"/>
          <w:iCs/>
          <w:color w:val="000000"/>
        </w:rPr>
      </w:pPr>
      <m:oMathPara>
        <m:oMathParaPr>
          <m:jc m:val="left"/>
        </m:oMathParaPr>
        <m:oMath>
          <m:r>
            <w:rPr>
              <w:rFonts w:ascii="Cambria Math" w:hAnsi="Cambria Math" w:cs="Arial"/>
              <w:color w:val="000000"/>
            </w:rPr>
            <m:t>+</m:t>
          </m:r>
          <m:nary>
            <m:naryPr>
              <m:limLoc m:val="subSup"/>
              <m:ctrlPr>
                <w:rPr>
                  <w:rFonts w:ascii="Cambria Math" w:hAnsi="Cambria Math" w:cs="Arial"/>
                  <w:i/>
                  <w:iCs/>
                  <w:color w:val="000000"/>
                </w:rPr>
              </m:ctrlPr>
            </m:naryPr>
            <m:sub>
              <m:r>
                <w:rPr>
                  <w:rFonts w:ascii="Cambria Math" w:hAnsi="Cambria Math" w:cs="Arial"/>
                  <w:color w:val="000000"/>
                </w:rPr>
                <m:t>0</m:t>
              </m:r>
            </m:sub>
            <m:sup>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sup>
            <m:e>
              <m:f>
                <m:fPr>
                  <m:ctrlPr>
                    <w:rPr>
                      <w:rFonts w:ascii="Cambria Math" w:hAnsi="Cambria Math" w:cs="Arial"/>
                      <w:i/>
                      <w:iCs/>
                      <w:color w:val="000000"/>
                    </w:rPr>
                  </m:ctrlPr>
                </m:fPr>
                <m:num>
                  <m:r>
                    <w:rPr>
                      <w:rFonts w:ascii="Cambria Math" w:hAnsi="Cambria Math" w:cs="Arial"/>
                      <w:color w:val="000000"/>
                    </w:rPr>
                    <m:t>1</m:t>
                  </m:r>
                </m:num>
                <m:den>
                  <m:r>
                    <w:rPr>
                      <w:rFonts w:ascii="Cambria Math" w:hAnsi="Cambria Math" w:cs="Arial"/>
                      <w:color w:val="000000"/>
                    </w:rPr>
                    <m:t>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1</m:t>
                          </m:r>
                        </m:sub>
                      </m:sSub>
                      <m:d>
                        <m:dPr>
                          <m:ctrlPr>
                            <w:rPr>
                              <w:rFonts w:ascii="Cambria Math" w:hAnsi="Cambria Math" w:cs="Arial"/>
                              <w:i/>
                              <w:iCs/>
                              <w:color w:val="000000"/>
                            </w:rPr>
                          </m:ctrlPr>
                        </m:dPr>
                        <m:e>
                          <m:r>
                            <w:rPr>
                              <w:rFonts w:ascii="Cambria Math" w:hAnsi="Cambria Math" w:cs="Arial"/>
                              <w:color w:val="000000"/>
                            </w:rPr>
                            <m:t>s</m:t>
                          </m:r>
                        </m:e>
                      </m:d>
                      <m:r>
                        <w:rPr>
                          <w:rFonts w:ascii="Cambria Math" w:hAnsi="Cambria Math" w:cs="Arial"/>
                          <w:color w:val="000000"/>
                        </w:rPr>
                        <m:t>,s</m:t>
                      </m:r>
                    </m:e>
                  </m:d>
                </m:den>
              </m:f>
            </m:e>
          </m:nary>
          <m:r>
            <w:rPr>
              <w:rFonts w:ascii="Cambria Math" w:hAnsi="Cambria Math" w:cs="Arial"/>
              <w:color w:val="000000"/>
            </w:rPr>
            <m:t xml:space="preserve"> </m:t>
          </m:r>
          <m:nary>
            <m:naryPr>
              <m:chr m:val="∑"/>
              <m:limLoc m:val="undOvr"/>
              <m:ctrlPr>
                <w:rPr>
                  <w:rFonts w:ascii="Cambria Math" w:hAnsi="Cambria Math" w:cs="Arial"/>
                  <w:i/>
                  <w:iCs/>
                  <w:color w:val="000000"/>
                </w:rPr>
              </m:ctrlPr>
            </m:naryPr>
            <m:sub>
              <m:r>
                <w:rPr>
                  <w:rFonts w:ascii="Cambria Math" w:hAnsi="Cambria Math" w:cs="Arial"/>
                  <w:color w:val="000000"/>
                </w:rPr>
                <m:t>k=1</m:t>
              </m:r>
            </m:sub>
            <m:sup>
              <m:r>
                <w:rPr>
                  <w:rFonts w:ascii="Cambria Math" w:hAnsi="Cambria Math" w:cs="Arial"/>
                  <w:color w:val="000000"/>
                </w:rPr>
                <m:t>n</m:t>
              </m:r>
            </m:sup>
            <m:e>
              <m:nary>
                <m:naryPr>
                  <m:chr m:val="∑"/>
                  <m:limLoc m:val="undOvr"/>
                  <m:ctrlPr>
                    <w:rPr>
                      <w:rFonts w:ascii="Cambria Math" w:hAnsi="Cambria Math" w:cs="Arial"/>
                      <w:i/>
                      <w:iCs/>
                      <w:color w:val="000000"/>
                    </w:rPr>
                  </m:ctrlPr>
                </m:naryPr>
                <m:sub>
                  <m:r>
                    <w:rPr>
                      <w:rFonts w:ascii="Cambria Math" w:hAnsi="Cambria Math" w:cs="Arial"/>
                      <w:color w:val="000000"/>
                    </w:rPr>
                    <m:t>k=1</m:t>
                  </m:r>
                </m:sub>
                <m:sup>
                  <m:r>
                    <w:rPr>
                      <w:rFonts w:ascii="Cambria Math" w:hAnsi="Cambria Math" w:cs="Arial"/>
                      <w:color w:val="000000"/>
                    </w:rPr>
                    <m:t>n</m:t>
                  </m:r>
                </m:sup>
                <m:e>
                  <m:d>
                    <m:dPr>
                      <m:begChr m:val="["/>
                      <m:endChr m:val="]"/>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2</m:t>
                          </m:r>
                        </m:sub>
                      </m:sSub>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2</m:t>
                          </m:r>
                        </m:sub>
                      </m:sSub>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1</m:t>
                          </m:r>
                        </m:sub>
                      </m:sSub>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k</m:t>
                          </m:r>
                        </m:sub>
                      </m:sSub>
                      <m:sSub>
                        <m:sSubPr>
                          <m:ctrlPr>
                            <w:rPr>
                              <w:rFonts w:ascii="Cambria Math" w:hAnsi="Cambria Math" w:cs="Arial"/>
                              <w:i/>
                              <w:iCs/>
                              <w:color w:val="000000"/>
                            </w:rPr>
                          </m:ctrlPr>
                        </m:sSubPr>
                        <m:e>
                          <m:r>
                            <w:rPr>
                              <w:rFonts w:ascii="Cambria Math" w:hAnsi="Cambria Math" w:cs="Arial"/>
                              <w:color w:val="000000"/>
                            </w:rPr>
                            <m:t>1</m:t>
                          </m:r>
                        </m:e>
                        <m:sub>
                          <m:d>
                            <m:dPr>
                              <m:begChr m:val="["/>
                              <m:endChr m:val="]"/>
                              <m:ctrlPr>
                                <w:rPr>
                                  <w:rFonts w:ascii="Cambria Math" w:hAnsi="Cambria Math" w:cs="Arial"/>
                                  <w:i/>
                                  <w:iCs/>
                                  <w:color w:val="000000"/>
                                </w:rPr>
                              </m:ctrlPr>
                            </m:dPr>
                            <m:e>
                              <m:r>
                                <w:rPr>
                                  <w:rFonts w:ascii="Cambria Math" w:hAnsi="Cambria Math" w:cs="Arial"/>
                                  <w:color w:val="000000"/>
                                </w:rPr>
                                <m:t>k</m:t>
                              </m:r>
                              <m:r>
                                <m:rPr>
                                  <m:sty m:val="p"/>
                                </m:rPr>
                                <w:rPr>
                                  <w:rFonts w:ascii="Cambria Math" w:hAnsi="Cambria Math" w:cs="Arial"/>
                                  <w:iCs/>
                                  <w:color w:val="000000"/>
                                </w:rPr>
                                <w:sym w:font="Symbol" w:char="F044"/>
                              </m:r>
                              <m:r>
                                <m:rPr>
                                  <m:sty m:val="p"/>
                                </m:rPr>
                                <w:rPr>
                                  <w:rFonts w:ascii="Cambria Math" w:hAnsi="Cambria Math" w:cs="Arial"/>
                                  <w:color w:val="000000"/>
                                </w:rPr>
                                <m:t>s</m:t>
                              </m:r>
                              <m:r>
                                <w:rPr>
                                  <w:rFonts w:ascii="Cambria Math" w:hAnsi="Cambria Math" w:cs="Arial"/>
                                  <w:color w:val="000000"/>
                                </w:rPr>
                                <m:t xml:space="preserve">, </m:t>
                              </m:r>
                              <m:d>
                                <m:dPr>
                                  <m:ctrlPr>
                                    <w:rPr>
                                      <w:rFonts w:ascii="Cambria Math" w:hAnsi="Cambria Math" w:cs="Arial"/>
                                      <w:i/>
                                      <w:iCs/>
                                      <w:color w:val="000000"/>
                                    </w:rPr>
                                  </m:ctrlPr>
                                </m:dPr>
                                <m:e>
                                  <m:r>
                                    <w:rPr>
                                      <w:rFonts w:ascii="Cambria Math" w:hAnsi="Cambria Math" w:cs="Arial"/>
                                      <w:color w:val="000000"/>
                                    </w:rPr>
                                    <m:t>k+1</m:t>
                                  </m:r>
                                </m:e>
                              </m:d>
                              <m:r>
                                <m:rPr>
                                  <m:sty m:val="p"/>
                                </m:rPr>
                                <w:rPr>
                                  <w:rFonts w:ascii="Cambria Math" w:hAnsi="Cambria Math" w:cs="Arial"/>
                                  <w:iCs/>
                                  <w:color w:val="000000"/>
                                </w:rPr>
                                <w:sym w:font="Symbol" w:char="F044"/>
                              </m:r>
                              <m:r>
                                <m:rPr>
                                  <m:sty m:val="p"/>
                                </m:rPr>
                                <w:rPr>
                                  <w:rFonts w:ascii="Cambria Math" w:hAnsi="Cambria Math" w:cs="Arial"/>
                                  <w:color w:val="000000"/>
                                </w:rPr>
                                <m:t>s</m:t>
                              </m:r>
                            </m:e>
                          </m:d>
                        </m:sub>
                      </m:sSub>
                      <m:d>
                        <m:dPr>
                          <m:ctrlPr>
                            <w:rPr>
                              <w:rFonts w:ascii="Cambria Math" w:hAnsi="Cambria Math" w:cs="Arial"/>
                              <w:i/>
                              <w:iCs/>
                              <w:color w:val="000000"/>
                            </w:rPr>
                          </m:ctrlPr>
                        </m:dPr>
                        <m:e>
                          <m:r>
                            <w:rPr>
                              <w:rFonts w:ascii="Cambria Math" w:hAnsi="Cambria Math" w:cs="Arial"/>
                              <w:color w:val="000000"/>
                            </w:rPr>
                            <m:t>s</m:t>
                          </m:r>
                        </m:e>
                      </m:d>
                    </m:e>
                  </m:d>
                </m:e>
              </m:nary>
            </m:e>
          </m:nary>
          <m:f>
            <m:fPr>
              <m:ctrlPr>
                <w:rPr>
                  <w:rFonts w:ascii="Cambria Math" w:hAnsi="Cambria Math" w:cs="Arial"/>
                  <w:i/>
                  <w:iCs/>
                  <w:color w:val="000000"/>
                </w:rPr>
              </m:ctrlPr>
            </m:fPr>
            <m:num>
              <m:r>
                <w:rPr>
                  <w:rFonts w:ascii="Cambria Math" w:hAnsi="Cambria Math" w:cs="Arial"/>
                  <w:color w:val="000000"/>
                </w:rPr>
                <m:t>∂V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1</m:t>
                      </m:r>
                    </m:sub>
                  </m:sSub>
                  <m:d>
                    <m:dPr>
                      <m:ctrlPr>
                        <w:rPr>
                          <w:rFonts w:ascii="Cambria Math" w:hAnsi="Cambria Math" w:cs="Arial"/>
                          <w:i/>
                          <w:iCs/>
                          <w:color w:val="000000"/>
                        </w:rPr>
                      </m:ctrlPr>
                    </m:dPr>
                    <m:e>
                      <m:r>
                        <w:rPr>
                          <w:rFonts w:ascii="Cambria Math" w:hAnsi="Cambria Math" w:cs="Arial"/>
                          <w:color w:val="000000"/>
                        </w:rPr>
                        <m:t>s</m:t>
                      </m:r>
                    </m:e>
                  </m:d>
                  <m:r>
                    <w:rPr>
                      <w:rFonts w:ascii="Cambria Math" w:hAnsi="Cambria Math" w:cs="Arial"/>
                      <w:color w:val="000000"/>
                    </w:rPr>
                    <m:t>,s</m:t>
                  </m:r>
                </m:e>
              </m:d>
            </m:num>
            <m:den>
              <m:r>
                <w:rPr>
                  <w:rFonts w:ascii="Cambria Math" w:hAnsi="Cambria Math" w:cs="Arial"/>
                  <w:color w:val="000000"/>
                </w:rPr>
                <m:t xml:space="preserve">ð </m:t>
              </m:r>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1</m:t>
                  </m:r>
                </m:sub>
              </m:sSub>
              <m:d>
                <m:dPr>
                  <m:ctrlPr>
                    <w:rPr>
                      <w:rFonts w:ascii="Cambria Math" w:hAnsi="Cambria Math" w:cs="Arial"/>
                      <w:i/>
                      <w:iCs/>
                      <w:color w:val="000000"/>
                    </w:rPr>
                  </m:ctrlPr>
                </m:dPr>
                <m:e>
                  <m:r>
                    <w:rPr>
                      <w:rFonts w:ascii="Cambria Math" w:hAnsi="Cambria Math" w:cs="Arial"/>
                      <w:color w:val="000000"/>
                    </w:rPr>
                    <m:t>s</m:t>
                  </m:r>
                </m:e>
              </m:d>
            </m:den>
          </m:f>
          <m:r>
            <w:rPr>
              <w:rFonts w:ascii="Cambria Math" w:hAnsi="Cambria Math" w:cs="Arial"/>
              <w:color w:val="000000"/>
            </w:rPr>
            <m:t xml:space="preserve"> d</m:t>
          </m:r>
          <m:sSub>
            <m:sSubPr>
              <m:ctrlPr>
                <w:rPr>
                  <w:rFonts w:ascii="Cambria Math" w:hAnsi="Cambria Math" w:cs="Arial"/>
                  <w:i/>
                  <w:iCs/>
                  <w:color w:val="000000"/>
                </w:rPr>
              </m:ctrlPr>
            </m:sSubPr>
            <m:e>
              <m:r>
                <w:rPr>
                  <w:rFonts w:ascii="Cambria Math" w:hAnsi="Cambria Math" w:cs="Arial"/>
                  <w:color w:val="000000"/>
                </w:rPr>
                <m:t>W</m:t>
              </m:r>
            </m:e>
            <m:sub>
              <m:r>
                <w:rPr>
                  <w:rFonts w:ascii="Cambria Math" w:hAnsi="Cambria Math" w:cs="Arial"/>
                  <w:color w:val="000000"/>
                </w:rPr>
                <m:t>s</m:t>
              </m:r>
            </m:sub>
          </m:sSub>
          <m:r>
            <w:rPr>
              <w:rFonts w:ascii="Cambria Math" w:hAnsi="Cambria Math" w:cs="Arial"/>
              <w:color w:val="000000"/>
            </w:rPr>
            <m:t xml:space="preserve">                   (10)</m:t>
          </m:r>
        </m:oMath>
      </m:oMathPara>
    </w:p>
    <w:p w:rsidR="002429F5" w:rsidRPr="00954C9A" w:rsidRDefault="002429F5" w:rsidP="002429F5">
      <w:pPr>
        <w:jc w:val="both"/>
        <w:rPr>
          <w:rFonts w:ascii="Arial" w:hAnsi="Arial" w:cs="Arial"/>
          <w:iCs/>
          <w:color w:val="000000"/>
        </w:rPr>
      </w:pPr>
    </w:p>
    <w:p w:rsidR="002429F5" w:rsidRPr="00954C9A" w:rsidRDefault="002429F5" w:rsidP="002429F5">
      <w:pPr>
        <w:jc w:val="both"/>
        <w:rPr>
          <w:rFonts w:ascii="Arial" w:hAnsi="Arial" w:cs="Arial"/>
          <w:iCs/>
          <w:color w:val="000000"/>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 xml:space="preserve">Let’s use Lemma 4.1, taking </w:t>
      </w:r>
      <m:oMath>
        <m:sSub>
          <m:sSubPr>
            <m:ctrlPr>
              <w:rPr>
                <w:rFonts w:ascii="Cambria Math" w:hAnsi="Cambria Math" w:cs="Arial"/>
                <w:i/>
                <w:iCs/>
                <w:color w:val="000000"/>
              </w:rPr>
            </m:ctrlPr>
          </m:sSubPr>
          <m:e>
            <m:r>
              <w:rPr>
                <w:rFonts w:ascii="Cambria Math" w:hAnsi="Cambria Math" w:cs="Arial"/>
                <w:color w:val="000000"/>
              </w:rPr>
              <m:t>T</m:t>
            </m:r>
            <m:r>
              <w:rPr>
                <w:rFonts w:ascii="Cambria Math" w:hAnsi="Cambria Math" w:cs="Arial"/>
                <w:color w:val="000000"/>
                <w:lang w:val="en-US"/>
              </w:rPr>
              <m:t>=</m:t>
            </m:r>
            <m:r>
              <w:rPr>
                <w:rFonts w:ascii="Cambria Math" w:hAnsi="Cambria Math" w:cs="Arial"/>
                <w:color w:val="000000"/>
              </w:rPr>
              <m:t>t</m:t>
            </m:r>
          </m:e>
          <m:sub>
            <m:r>
              <w:rPr>
                <w:rFonts w:ascii="Cambria Math" w:hAnsi="Cambria Math" w:cs="Arial"/>
                <w:color w:val="000000"/>
              </w:rPr>
              <m:t>k</m:t>
            </m:r>
            <m:r>
              <w:rPr>
                <w:rFonts w:ascii="Cambria Math" w:hAnsi="Cambria Math" w:cs="Arial"/>
                <w:color w:val="000000"/>
                <w:lang w:val="en-US"/>
              </w:rPr>
              <m:t>+1</m:t>
            </m:r>
          </m:sub>
        </m:sSub>
      </m:oMath>
      <w:r w:rsidRPr="002429F5">
        <w:rPr>
          <w:rFonts w:ascii="Arial" w:hAnsi="Arial" w:cs="Arial"/>
          <w:iCs/>
          <w:color w:val="000000"/>
          <w:lang w:val="en-US"/>
        </w:rPr>
        <w:t xml:space="preserve">,  </w:t>
      </w:r>
      <m:oMath>
        <m:r>
          <w:rPr>
            <w:rFonts w:ascii="Cambria Math" w:hAnsi="Cambria Math" w:cs="Arial"/>
            <w:color w:val="000000"/>
          </w:rPr>
          <m:t>β</m:t>
        </m:r>
        <m:r>
          <w:rPr>
            <w:rFonts w:ascii="Cambria Math" w:hAnsi="Cambria Math" w:cs="Arial"/>
            <w:color w:val="000000"/>
            <w:lang w:val="en-US"/>
          </w:rPr>
          <m:t>=2</m:t>
        </m:r>
        <m:func>
          <m:funcPr>
            <m:ctrlPr>
              <w:rPr>
                <w:rFonts w:ascii="Cambria Math" w:hAnsi="Cambria Math" w:cs="Arial"/>
                <w:i/>
                <w:iCs/>
                <w:color w:val="000000"/>
              </w:rPr>
            </m:ctrlPr>
          </m:funcPr>
          <m:fName>
            <m:r>
              <m:rPr>
                <m:sty m:val="p"/>
              </m:rPr>
              <w:rPr>
                <w:rFonts w:ascii="Cambria Math" w:hAnsi="Cambria Math" w:cs="Arial"/>
                <w:color w:val="000000"/>
                <w:lang w:val="en-US"/>
              </w:rPr>
              <m:t>log</m:t>
            </m:r>
          </m:fName>
          <m:e>
            <m:r>
              <w:rPr>
                <w:rFonts w:ascii="Cambria Math" w:hAnsi="Cambria Math" w:cs="Arial"/>
                <w:color w:val="000000"/>
              </w:rPr>
              <m:t>C</m:t>
            </m:r>
          </m:e>
        </m:func>
      </m:oMath>
      <w:r w:rsidRPr="002429F5">
        <w:rPr>
          <w:rFonts w:ascii="Arial" w:hAnsi="Arial" w:cs="Arial"/>
          <w:iCs/>
          <w:color w:val="000000"/>
          <w:lang w:val="en-US"/>
        </w:rPr>
        <w:t xml:space="preserve">, </w:t>
      </w:r>
      <m:oMath>
        <m:r>
          <w:rPr>
            <w:rFonts w:ascii="Cambria Math" w:hAnsi="Cambria Math" w:cs="Arial"/>
            <w:color w:val="000000"/>
          </w:rPr>
          <m:t>α</m:t>
        </m:r>
        <m:r>
          <w:rPr>
            <w:rFonts w:ascii="Cambria Math" w:hAnsi="Cambria Math" w:cs="Arial"/>
            <w:color w:val="000000"/>
            <w:lang w:val="en-US"/>
          </w:rPr>
          <m:t>=1</m:t>
        </m:r>
      </m:oMath>
      <w:r w:rsidRPr="002429F5">
        <w:rPr>
          <w:rFonts w:ascii="Arial" w:hAnsi="Arial" w:cs="Arial"/>
          <w:iCs/>
          <w:color w:val="000000"/>
          <w:lang w:val="en-US"/>
        </w:rPr>
        <w:t xml:space="preserve"> and</w:t>
      </w:r>
    </w:p>
    <w:p w:rsidR="002429F5" w:rsidRPr="002429F5" w:rsidRDefault="002429F5" w:rsidP="002429F5">
      <w:pPr>
        <w:jc w:val="both"/>
        <w:rPr>
          <w:rFonts w:ascii="Arial" w:hAnsi="Arial" w:cs="Arial"/>
          <w:iCs/>
          <w:color w:val="000000"/>
          <w:lang w:val="en-US"/>
        </w:rPr>
      </w:pPr>
    </w:p>
    <w:p w:rsidR="002429F5" w:rsidRPr="00954C9A" w:rsidRDefault="002429F5" w:rsidP="002429F5">
      <w:pPr>
        <w:jc w:val="both"/>
        <w:rPr>
          <w:rFonts w:ascii="Arial" w:hAnsi="Arial" w:cs="Arial"/>
          <w:iCs/>
          <w:color w:val="000000"/>
        </w:rPr>
      </w:pPr>
      <m:oMathPara>
        <m:oMath>
          <m:r>
            <w:rPr>
              <w:rFonts w:ascii="Cambria Math" w:hAnsi="Cambria Math" w:cs="Arial"/>
              <w:color w:val="000000"/>
            </w:rPr>
            <m:t>σ</m:t>
          </m:r>
          <m:d>
            <m:dPr>
              <m:ctrlPr>
                <w:rPr>
                  <w:rFonts w:ascii="Cambria Math" w:hAnsi="Cambria Math" w:cs="Arial"/>
                  <w:i/>
                  <w:iCs/>
                  <w:color w:val="000000"/>
                </w:rPr>
              </m:ctrlPr>
            </m:dPr>
            <m:e>
              <m:r>
                <w:rPr>
                  <w:rFonts w:ascii="Cambria Math" w:hAnsi="Cambria Math" w:cs="Arial"/>
                  <w:color w:val="000000"/>
                </w:rPr>
                <m:t>t,x</m:t>
              </m:r>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2</m:t>
              </m:r>
            </m:sub>
          </m:sSub>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2</m:t>
              </m:r>
            </m:sub>
          </m:sSub>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1</m:t>
              </m:r>
            </m:sub>
          </m:sSub>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k</m:t>
              </m:r>
            </m:sub>
          </m:sSub>
          <m:sSub>
            <m:sSubPr>
              <m:ctrlPr>
                <w:rPr>
                  <w:rFonts w:ascii="Cambria Math" w:hAnsi="Cambria Math" w:cs="Arial"/>
                  <w:i/>
                  <w:iCs/>
                  <w:color w:val="000000"/>
                </w:rPr>
              </m:ctrlPr>
            </m:sSubPr>
            <m:e>
              <m:r>
                <m:rPr>
                  <m:sty m:val="bi"/>
                </m:rPr>
                <w:rPr>
                  <w:rFonts w:ascii="Cambria Math" w:hAnsi="Cambria Math" w:cs="Arial"/>
                  <w:color w:val="000000"/>
                </w:rPr>
                <m:t>1</m:t>
              </m:r>
            </m:e>
            <m:sub>
              <m:d>
                <m:dPr>
                  <m:begChr m:val="["/>
                  <m:endChr m:val="]"/>
                  <m:ctrlPr>
                    <w:rPr>
                      <w:rFonts w:ascii="Cambria Math" w:hAnsi="Cambria Math" w:cs="Arial"/>
                      <w:i/>
                      <w:iCs/>
                      <w:color w:val="000000"/>
                    </w:rPr>
                  </m:ctrlPr>
                </m:dPr>
                <m:e>
                  <m:r>
                    <w:rPr>
                      <w:rFonts w:ascii="Cambria Math" w:hAnsi="Cambria Math" w:cs="Arial"/>
                      <w:color w:val="000000"/>
                    </w:rPr>
                    <m:t>k</m:t>
                  </m:r>
                  <m:r>
                    <m:rPr>
                      <m:sty m:val="p"/>
                    </m:rPr>
                    <w:rPr>
                      <w:rFonts w:ascii="Cambria Math" w:hAnsi="Cambria Math" w:cs="Arial"/>
                      <w:iCs/>
                      <w:color w:val="000000"/>
                    </w:rPr>
                    <w:sym w:font="Symbol" w:char="F044"/>
                  </m:r>
                  <m:r>
                    <m:rPr>
                      <m:sty m:val="p"/>
                    </m:rPr>
                    <w:rPr>
                      <w:rFonts w:ascii="Cambria Math" w:hAnsi="Cambria Math" w:cs="Arial"/>
                      <w:color w:val="000000"/>
                    </w:rPr>
                    <m:t>t</m:t>
                  </m:r>
                  <m:r>
                    <w:rPr>
                      <w:rFonts w:ascii="Cambria Math" w:hAnsi="Cambria Math" w:cs="Arial"/>
                      <w:color w:val="000000"/>
                    </w:rPr>
                    <m:t xml:space="preserve">, </m:t>
                  </m:r>
                  <m:d>
                    <m:dPr>
                      <m:ctrlPr>
                        <w:rPr>
                          <w:rFonts w:ascii="Cambria Math" w:hAnsi="Cambria Math" w:cs="Arial"/>
                          <w:i/>
                          <w:iCs/>
                          <w:color w:val="000000"/>
                        </w:rPr>
                      </m:ctrlPr>
                    </m:dPr>
                    <m:e>
                      <m:r>
                        <w:rPr>
                          <w:rFonts w:ascii="Cambria Math" w:hAnsi="Cambria Math" w:cs="Arial"/>
                          <w:color w:val="000000"/>
                        </w:rPr>
                        <m:t>k+1</m:t>
                      </m:r>
                    </m:e>
                  </m:d>
                  <m:r>
                    <m:rPr>
                      <m:sty m:val="p"/>
                    </m:rPr>
                    <w:rPr>
                      <w:rFonts w:ascii="Cambria Math" w:hAnsi="Cambria Math" w:cs="Arial"/>
                      <w:iCs/>
                      <w:color w:val="000000"/>
                    </w:rPr>
                    <w:sym w:font="Symbol" w:char="F044"/>
                  </m:r>
                  <m:r>
                    <m:rPr>
                      <m:sty m:val="p"/>
                    </m:rPr>
                    <w:rPr>
                      <w:rFonts w:ascii="Cambria Math" w:hAnsi="Cambria Math" w:cs="Arial"/>
                      <w:color w:val="000000"/>
                    </w:rPr>
                    <m:t>t</m:t>
                  </m:r>
                </m:e>
              </m:d>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m:t>
          </m:r>
        </m:oMath>
      </m:oMathPara>
    </w:p>
    <w:p w:rsidR="002429F5" w:rsidRDefault="002429F5" w:rsidP="002429F5">
      <w:pPr>
        <w:jc w:val="both"/>
        <w:rPr>
          <w:rFonts w:ascii="Arial" w:hAnsi="Arial" w:cs="Arial"/>
          <w:iCs/>
          <w:color w:val="000000"/>
        </w:rPr>
      </w:pPr>
    </w:p>
    <w:p w:rsidR="002429F5" w:rsidRPr="00954C9A" w:rsidRDefault="002429F5" w:rsidP="002429F5">
      <w:pPr>
        <w:jc w:val="both"/>
        <w:rPr>
          <w:rFonts w:ascii="Arial" w:hAnsi="Arial" w:cs="Arial"/>
          <w:iCs/>
          <w:color w:val="000000"/>
        </w:rPr>
      </w:pPr>
      <w:r w:rsidRPr="00954C9A">
        <w:rPr>
          <w:rFonts w:ascii="Arial" w:hAnsi="Arial" w:cs="Arial"/>
          <w:iCs/>
          <w:color w:val="000000"/>
        </w:rPr>
        <w:t>to get</w:t>
      </w:r>
    </w:p>
    <w:p w:rsidR="002429F5" w:rsidRPr="00954C9A" w:rsidRDefault="002429F5" w:rsidP="002429F5">
      <w:pPr>
        <w:jc w:val="both"/>
        <w:rPr>
          <w:rFonts w:ascii="Arial" w:hAnsi="Arial" w:cs="Arial"/>
          <w:iCs/>
          <w:color w:val="000000"/>
        </w:rPr>
      </w:pPr>
    </w:p>
    <w:p w:rsidR="002429F5" w:rsidRPr="00954C9A" w:rsidRDefault="001345E4" w:rsidP="002429F5">
      <w:pPr>
        <w:jc w:val="both"/>
        <w:rPr>
          <w:rFonts w:ascii="Arial" w:hAnsi="Arial" w:cs="Arial"/>
          <w:iCs/>
          <w:color w:val="000000"/>
        </w:rPr>
      </w:pPr>
      <m:oMathPara>
        <m:oMath>
          <m:func>
            <m:funcPr>
              <m:ctrlPr>
                <w:rPr>
                  <w:rFonts w:ascii="Cambria Math" w:hAnsi="Cambria Math" w:cs="Arial"/>
                  <w:iCs/>
                  <w:color w:val="000000"/>
                </w:rPr>
              </m:ctrlPr>
            </m:funcPr>
            <m:fName>
              <m:r>
                <m:rPr>
                  <m:sty m:val="p"/>
                </m:rPr>
                <w:rPr>
                  <w:rFonts w:ascii="Cambria Math" w:hAnsi="Cambria Math" w:cs="Arial"/>
                  <w:color w:val="000000"/>
                </w:rPr>
                <m:t>P</m:t>
              </m:r>
              <m:d>
                <m:dPr>
                  <m:begChr m:val="["/>
                  <m:endChr m:val="]"/>
                  <m:ctrlPr>
                    <w:rPr>
                      <w:rFonts w:ascii="Cambria Math" w:hAnsi="Cambria Math" w:cs="Arial"/>
                      <w:iCs/>
                      <w:color w:val="000000"/>
                    </w:rPr>
                  </m:ctrlPr>
                </m:dPr>
                <m:e>
                  <m:eqArr>
                    <m:eqArrPr>
                      <m:ctrlPr>
                        <w:rPr>
                          <w:rFonts w:ascii="Cambria Math" w:hAnsi="Cambria Math" w:cs="Arial"/>
                          <w:i/>
                          <w:iCs/>
                          <w:color w:val="000000"/>
                        </w:rPr>
                      </m:ctrlPr>
                    </m:eqArrPr>
                    <m:e>
                      <m:func>
                        <m:funcPr>
                          <m:ctrlPr>
                            <w:rPr>
                              <w:rFonts w:ascii="Cambria Math" w:hAnsi="Cambria Math" w:cs="Arial"/>
                              <w:i/>
                              <w:iCs/>
                              <w:color w:val="000000"/>
                            </w:rPr>
                          </m:ctrlPr>
                        </m:funcPr>
                        <m:fName>
                          <m:limLow>
                            <m:limLowPr>
                              <m:ctrlPr>
                                <w:rPr>
                                  <w:rFonts w:ascii="Cambria Math" w:hAnsi="Cambria Math" w:cs="Arial"/>
                                  <w:i/>
                                  <w:iCs/>
                                  <w:color w:val="000000"/>
                                </w:rPr>
                              </m:ctrlPr>
                            </m:limLowPr>
                            <m:e>
                              <m:r>
                                <m:rPr>
                                  <m:sty m:val="p"/>
                                </m:rPr>
                                <w:rPr>
                                  <w:rFonts w:ascii="Cambria Math" w:hAnsi="Cambria Math" w:cs="Arial"/>
                                  <w:color w:val="000000"/>
                                </w:rPr>
                                <m:t>sup</m:t>
                              </m:r>
                            </m:e>
                            <m:lim>
                              <m:r>
                                <w:rPr>
                                  <w:rFonts w:ascii="Cambria Math" w:hAnsi="Cambria Math" w:cs="Arial"/>
                                  <w:color w:val="000000"/>
                                </w:rPr>
                                <m:t>0≤t≤T</m:t>
                              </m:r>
                            </m:lim>
                          </m:limLow>
                        </m:fName>
                        <m:e>
                          <m:r>
                            <w:rPr>
                              <w:rFonts w:ascii="Cambria Math" w:hAnsi="Cambria Math" w:cs="Arial"/>
                              <w:color w:val="000000"/>
                            </w:rPr>
                            <m:t>[</m:t>
                          </m:r>
                          <m:nary>
                            <m:naryPr>
                              <m:limLoc m:val="subSup"/>
                              <m:ctrlPr>
                                <w:rPr>
                                  <w:rFonts w:ascii="Cambria Math" w:hAnsi="Cambria Math" w:cs="Arial"/>
                                  <w:i/>
                                  <w:iCs/>
                                  <w:color w:val="000000"/>
                                </w:rPr>
                              </m:ctrlPr>
                            </m:naryPr>
                            <m:sub>
                              <m:r>
                                <w:rPr>
                                  <w:rFonts w:ascii="Cambria Math" w:hAnsi="Cambria Math" w:cs="Arial"/>
                                  <w:color w:val="000000"/>
                                </w:rPr>
                                <m:t>0</m:t>
                              </m:r>
                            </m:sub>
                            <m:sup>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sup>
                            <m:e>
                              <m:sSub>
                                <m:sSubPr>
                                  <m:ctrlPr>
                                    <w:rPr>
                                      <w:rFonts w:ascii="Cambria Math" w:hAnsi="Cambria Math" w:cs="Arial"/>
                                      <w:i/>
                                      <w:iCs/>
                                      <w:color w:val="000000"/>
                                    </w:rPr>
                                  </m:ctrlPr>
                                </m:sSubPr>
                                <m:e>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2</m:t>
                                      </m:r>
                                    </m:sub>
                                  </m:sSub>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2</m:t>
                                      </m:r>
                                    </m:sub>
                                  </m:sSub>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1</m:t>
                                      </m:r>
                                    </m:sub>
                                  </m:sSub>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k</m:t>
                                      </m:r>
                                    </m:sub>
                                  </m:sSub>
                                  <m:sSub>
                                    <m:sSubPr>
                                      <m:ctrlPr>
                                        <w:rPr>
                                          <w:rFonts w:ascii="Cambria Math" w:hAnsi="Cambria Math" w:cs="Arial"/>
                                          <w:i/>
                                          <w:iCs/>
                                          <w:color w:val="000000"/>
                                        </w:rPr>
                                      </m:ctrlPr>
                                    </m:sSubPr>
                                    <m:e>
                                      <m:r>
                                        <m:rPr>
                                          <m:sty m:val="bi"/>
                                        </m:rPr>
                                        <w:rPr>
                                          <w:rFonts w:ascii="Cambria Math" w:hAnsi="Cambria Math" w:cs="Arial"/>
                                          <w:color w:val="000000"/>
                                        </w:rPr>
                                        <m:t>1</m:t>
                                      </m:r>
                                    </m:e>
                                    <m:sub>
                                      <m:d>
                                        <m:dPr>
                                          <m:begChr m:val="["/>
                                          <m:endChr m:val="]"/>
                                          <m:ctrlPr>
                                            <w:rPr>
                                              <w:rFonts w:ascii="Cambria Math" w:hAnsi="Cambria Math" w:cs="Arial"/>
                                              <w:i/>
                                              <w:iCs/>
                                              <w:color w:val="000000"/>
                                            </w:rPr>
                                          </m:ctrlPr>
                                        </m:dPr>
                                        <m:e>
                                          <m:r>
                                            <w:rPr>
                                              <w:rFonts w:ascii="Cambria Math" w:hAnsi="Cambria Math" w:cs="Arial"/>
                                              <w:color w:val="000000"/>
                                            </w:rPr>
                                            <m:t>k</m:t>
                                          </m:r>
                                          <m:r>
                                            <m:rPr>
                                              <m:sty m:val="p"/>
                                            </m:rPr>
                                            <w:rPr>
                                              <w:rFonts w:ascii="Cambria Math" w:hAnsi="Cambria Math" w:cs="Arial"/>
                                              <w:iCs/>
                                              <w:color w:val="000000"/>
                                            </w:rPr>
                                            <w:sym w:font="Symbol" w:char="F044"/>
                                          </m:r>
                                          <m:r>
                                            <m:rPr>
                                              <m:sty m:val="p"/>
                                            </m:rPr>
                                            <w:rPr>
                                              <w:rFonts w:ascii="Cambria Math" w:hAnsi="Cambria Math" w:cs="Arial"/>
                                              <w:color w:val="000000"/>
                                            </w:rPr>
                                            <m:t>t</m:t>
                                          </m:r>
                                          <m:r>
                                            <w:rPr>
                                              <w:rFonts w:ascii="Cambria Math" w:hAnsi="Cambria Math" w:cs="Arial"/>
                                              <w:color w:val="000000"/>
                                            </w:rPr>
                                            <m:t xml:space="preserve">, </m:t>
                                          </m:r>
                                          <m:d>
                                            <m:dPr>
                                              <m:ctrlPr>
                                                <w:rPr>
                                                  <w:rFonts w:ascii="Cambria Math" w:hAnsi="Cambria Math" w:cs="Arial"/>
                                                  <w:i/>
                                                  <w:iCs/>
                                                  <w:color w:val="000000"/>
                                                </w:rPr>
                                              </m:ctrlPr>
                                            </m:dPr>
                                            <m:e>
                                              <m:r>
                                                <w:rPr>
                                                  <w:rFonts w:ascii="Cambria Math" w:hAnsi="Cambria Math" w:cs="Arial"/>
                                                  <w:color w:val="000000"/>
                                                </w:rPr>
                                                <m:t>k+1</m:t>
                                              </m:r>
                                            </m:e>
                                          </m:d>
                                          <m:r>
                                            <m:rPr>
                                              <m:sty m:val="p"/>
                                            </m:rPr>
                                            <w:rPr>
                                              <w:rFonts w:ascii="Cambria Math" w:hAnsi="Cambria Math" w:cs="Arial"/>
                                              <w:iCs/>
                                              <w:color w:val="000000"/>
                                            </w:rPr>
                                            <w:sym w:font="Symbol" w:char="F044"/>
                                          </m:r>
                                          <m:r>
                                            <m:rPr>
                                              <m:sty m:val="p"/>
                                            </m:rPr>
                                            <w:rPr>
                                              <w:rFonts w:ascii="Cambria Math" w:hAnsi="Cambria Math" w:cs="Arial"/>
                                              <w:color w:val="000000"/>
                                            </w:rPr>
                                            <m:t>t</m:t>
                                          </m:r>
                                        </m:e>
                                      </m:d>
                                    </m:sub>
                                  </m:sSub>
                                  <m:r>
                                    <w:rPr>
                                      <w:rFonts w:ascii="Cambria Math" w:hAnsi="Cambria Math" w:cs="Arial"/>
                                      <w:color w:val="000000"/>
                                    </w:rPr>
                                    <m:t>(t)V</m:t>
                                  </m:r>
                                </m:e>
                                <m:sub>
                                  <m:r>
                                    <w:rPr>
                                      <w:rFonts w:ascii="Cambria Math" w:hAnsi="Cambria Math" w:cs="Arial"/>
                                      <w:color w:val="000000"/>
                                    </w:rPr>
                                    <m:t>x</m:t>
                                  </m:r>
                                </m:sub>
                              </m:sSub>
                              <m:d>
                                <m:dPr>
                                  <m:ctrlPr>
                                    <w:rPr>
                                      <w:rFonts w:ascii="Cambria Math" w:hAnsi="Cambria Math" w:cs="Arial"/>
                                      <w:i/>
                                      <w:iCs/>
                                      <w:color w:val="000000"/>
                                    </w:rPr>
                                  </m:ctrlPr>
                                </m:dPr>
                                <m:e>
                                  <m:r>
                                    <w:rPr>
                                      <w:rFonts w:ascii="Cambria Math" w:hAnsi="Cambria Math" w:cs="Arial"/>
                                      <w:color w:val="000000"/>
                                    </w:rPr>
                                    <m:t>t,x</m:t>
                                  </m:r>
                                </m:e>
                              </m:d>
                            </m:e>
                          </m:nary>
                        </m:e>
                      </m:func>
                      <m:r>
                        <w:rPr>
                          <w:rFonts w:ascii="Cambria Math" w:hAnsi="Cambria Math" w:cs="Arial"/>
                          <w:color w:val="000000"/>
                        </w:rPr>
                        <m:t>dW</m:t>
                      </m:r>
                      <m:d>
                        <m:dPr>
                          <m:ctrlPr>
                            <w:rPr>
                              <w:rFonts w:ascii="Cambria Math" w:hAnsi="Cambria Math" w:cs="Arial"/>
                              <w:i/>
                              <w:iCs/>
                              <w:color w:val="000000"/>
                            </w:rPr>
                          </m:ctrlPr>
                        </m:dPr>
                        <m:e>
                          <m:r>
                            <w:rPr>
                              <w:rFonts w:ascii="Cambria Math" w:hAnsi="Cambria Math" w:cs="Arial"/>
                              <w:color w:val="000000"/>
                            </w:rPr>
                            <m:t>s</m:t>
                          </m:r>
                        </m:e>
                      </m:d>
                    </m:e>
                    <m:e>
                      <m:r>
                        <w:rPr>
                          <w:rFonts w:ascii="Cambria Math" w:hAnsi="Cambria Math" w:cs="Arial"/>
                          <w:color w:val="000000"/>
                        </w:rPr>
                        <m:t>-</m:t>
                      </m:r>
                      <m:f>
                        <m:fPr>
                          <m:ctrlPr>
                            <w:rPr>
                              <w:rFonts w:ascii="Cambria Math" w:hAnsi="Cambria Math" w:cs="Arial"/>
                              <w:i/>
                              <w:iCs/>
                              <w:color w:val="000000"/>
                            </w:rPr>
                          </m:ctrlPr>
                        </m:fPr>
                        <m:num>
                          <m:r>
                            <w:rPr>
                              <w:rFonts w:ascii="Cambria Math" w:hAnsi="Cambria Math" w:cs="Arial"/>
                              <w:color w:val="000000"/>
                            </w:rPr>
                            <m:t>1</m:t>
                          </m:r>
                        </m:num>
                        <m:den>
                          <m:r>
                            <w:rPr>
                              <w:rFonts w:ascii="Cambria Math" w:hAnsi="Cambria Math" w:cs="Arial"/>
                              <w:color w:val="000000"/>
                            </w:rPr>
                            <m:t>2</m:t>
                          </m:r>
                        </m:den>
                      </m:f>
                      <m:r>
                        <w:rPr>
                          <w:rFonts w:ascii="Cambria Math" w:hAnsi="Cambria Math" w:cs="Arial"/>
                          <w:color w:val="000000"/>
                        </w:rPr>
                        <m:t xml:space="preserve"> </m:t>
                      </m:r>
                      <m:nary>
                        <m:naryPr>
                          <m:limLoc m:val="subSup"/>
                          <m:ctrlPr>
                            <w:rPr>
                              <w:rFonts w:ascii="Cambria Math" w:hAnsi="Cambria Math" w:cs="Arial"/>
                              <w:i/>
                              <w:iCs/>
                              <w:color w:val="000000"/>
                            </w:rPr>
                          </m:ctrlPr>
                        </m:naryPr>
                        <m:sub>
                          <m:r>
                            <w:rPr>
                              <w:rFonts w:ascii="Cambria Math" w:hAnsi="Cambria Math" w:cs="Arial"/>
                              <w:color w:val="000000"/>
                            </w:rPr>
                            <m:t>0</m:t>
                          </m:r>
                        </m:sub>
                        <m:sup>
                          <m:r>
                            <w:rPr>
                              <w:rFonts w:ascii="Cambria Math" w:hAnsi="Cambria Math" w:cs="Arial"/>
                              <w:color w:val="000000"/>
                            </w:rPr>
                            <m:t>T</m:t>
                          </m:r>
                        </m:sup>
                        <m:e>
                          <m:sSup>
                            <m:sSupPr>
                              <m:ctrlPr>
                                <w:rPr>
                                  <w:rFonts w:ascii="Cambria Math" w:hAnsi="Cambria Math" w:cs="Arial"/>
                                  <w:i/>
                                  <w:iCs/>
                                  <w:color w:val="000000"/>
                                </w:rPr>
                              </m:ctrlPr>
                            </m:sSupPr>
                            <m:e>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2</m:t>
                                  </m:r>
                                </m:sub>
                              </m:sSub>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2</m:t>
                                  </m:r>
                                </m:sub>
                              </m:sSub>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1</m:t>
                                  </m:r>
                                </m:sub>
                              </m:sSub>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k</m:t>
                                  </m:r>
                                </m:sub>
                              </m:sSub>
                              <m:sSub>
                                <m:sSubPr>
                                  <m:ctrlPr>
                                    <w:rPr>
                                      <w:rFonts w:ascii="Cambria Math" w:hAnsi="Cambria Math" w:cs="Arial"/>
                                      <w:i/>
                                      <w:iCs/>
                                      <w:color w:val="000000"/>
                                    </w:rPr>
                                  </m:ctrlPr>
                                </m:sSubPr>
                                <m:e>
                                  <m:r>
                                    <m:rPr>
                                      <m:sty m:val="bi"/>
                                    </m:rPr>
                                    <w:rPr>
                                      <w:rFonts w:ascii="Cambria Math" w:hAnsi="Cambria Math" w:cs="Arial"/>
                                      <w:color w:val="000000"/>
                                    </w:rPr>
                                    <m:t>1</m:t>
                                  </m:r>
                                </m:e>
                                <m:sub>
                                  <m:d>
                                    <m:dPr>
                                      <m:begChr m:val="["/>
                                      <m:endChr m:val="]"/>
                                      <m:ctrlPr>
                                        <w:rPr>
                                          <w:rFonts w:ascii="Cambria Math" w:hAnsi="Cambria Math" w:cs="Arial"/>
                                          <w:i/>
                                          <w:iCs/>
                                          <w:color w:val="000000"/>
                                        </w:rPr>
                                      </m:ctrlPr>
                                    </m:dPr>
                                    <m:e>
                                      <m:r>
                                        <w:rPr>
                                          <w:rFonts w:ascii="Cambria Math" w:hAnsi="Cambria Math" w:cs="Arial"/>
                                          <w:color w:val="000000"/>
                                        </w:rPr>
                                        <m:t>k</m:t>
                                      </m:r>
                                      <m:r>
                                        <m:rPr>
                                          <m:sty m:val="p"/>
                                        </m:rPr>
                                        <w:rPr>
                                          <w:rFonts w:ascii="Cambria Math" w:hAnsi="Cambria Math" w:cs="Arial"/>
                                          <w:iCs/>
                                          <w:color w:val="000000"/>
                                        </w:rPr>
                                        <w:sym w:font="Symbol" w:char="F044"/>
                                      </m:r>
                                      <m:r>
                                        <m:rPr>
                                          <m:sty m:val="p"/>
                                        </m:rPr>
                                        <w:rPr>
                                          <w:rFonts w:ascii="Cambria Math" w:hAnsi="Cambria Math" w:cs="Arial"/>
                                          <w:color w:val="000000"/>
                                        </w:rPr>
                                        <m:t>t</m:t>
                                      </m:r>
                                      <m:r>
                                        <w:rPr>
                                          <w:rFonts w:ascii="Cambria Math" w:hAnsi="Cambria Math" w:cs="Arial"/>
                                          <w:color w:val="000000"/>
                                        </w:rPr>
                                        <m:t xml:space="preserve">, </m:t>
                                      </m:r>
                                      <m:d>
                                        <m:dPr>
                                          <m:ctrlPr>
                                            <w:rPr>
                                              <w:rFonts w:ascii="Cambria Math" w:hAnsi="Cambria Math" w:cs="Arial"/>
                                              <w:i/>
                                              <w:iCs/>
                                              <w:color w:val="000000"/>
                                            </w:rPr>
                                          </m:ctrlPr>
                                        </m:dPr>
                                        <m:e>
                                          <m:r>
                                            <w:rPr>
                                              <w:rFonts w:ascii="Cambria Math" w:hAnsi="Cambria Math" w:cs="Arial"/>
                                              <w:color w:val="000000"/>
                                            </w:rPr>
                                            <m:t>k+1</m:t>
                                          </m:r>
                                        </m:e>
                                      </m:d>
                                      <m:r>
                                        <m:rPr>
                                          <m:sty m:val="p"/>
                                        </m:rPr>
                                        <w:rPr>
                                          <w:rFonts w:ascii="Cambria Math" w:hAnsi="Cambria Math" w:cs="Arial"/>
                                          <w:iCs/>
                                          <w:color w:val="000000"/>
                                        </w:rPr>
                                        <w:sym w:font="Symbol" w:char="F044"/>
                                      </m:r>
                                      <m:r>
                                        <m:rPr>
                                          <m:sty m:val="p"/>
                                        </m:rPr>
                                        <w:rPr>
                                          <w:rFonts w:ascii="Cambria Math" w:hAnsi="Cambria Math" w:cs="Arial"/>
                                          <w:color w:val="000000"/>
                                        </w:rPr>
                                        <m:t>t</m:t>
                                      </m:r>
                                    </m:e>
                                  </m:d>
                                </m:sub>
                              </m:sSub>
                              <m:r>
                                <w:rPr>
                                  <w:rFonts w:ascii="Cambria Math" w:hAnsi="Cambria Math" w:cs="Arial"/>
                                  <w:color w:val="000000"/>
                                </w:rPr>
                                <m:t>(t)]</m:t>
                              </m:r>
                            </m:e>
                            <m:sup>
                              <m:r>
                                <w:rPr>
                                  <w:rFonts w:ascii="Cambria Math" w:hAnsi="Cambria Math" w:cs="Arial"/>
                                  <w:color w:val="000000"/>
                                </w:rPr>
                                <m:t>2</m:t>
                              </m:r>
                            </m:sup>
                          </m:sSup>
                          <m:r>
                            <w:rPr>
                              <w:rFonts w:ascii="Cambria Math" w:hAnsi="Cambria Math" w:cs="Arial"/>
                              <w:color w:val="000000"/>
                            </w:rPr>
                            <m:t xml:space="preserve"> </m:t>
                          </m:r>
                          <m:sSup>
                            <m:sSupPr>
                              <m:ctrlPr>
                                <w:rPr>
                                  <w:rFonts w:ascii="Cambria Math" w:hAnsi="Cambria Math" w:cs="Arial"/>
                                  <w:i/>
                                  <w:iCs/>
                                  <w:color w:val="000000"/>
                                </w:rPr>
                              </m:ctrlPr>
                            </m:sSupPr>
                            <m:e>
                              <m:d>
                                <m:dPr>
                                  <m:begChr m:val="["/>
                                  <m:endChr m:val="]"/>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V</m:t>
                                      </m:r>
                                    </m:e>
                                    <m:sub>
                                      <m:r>
                                        <w:rPr>
                                          <w:rFonts w:ascii="Cambria Math" w:hAnsi="Cambria Math" w:cs="Arial"/>
                                          <w:color w:val="000000"/>
                                        </w:rPr>
                                        <m:t>x</m:t>
                                      </m:r>
                                    </m:sub>
                                  </m:sSub>
                                  <m:d>
                                    <m:dPr>
                                      <m:ctrlPr>
                                        <w:rPr>
                                          <w:rFonts w:ascii="Cambria Math" w:hAnsi="Cambria Math" w:cs="Arial"/>
                                          <w:i/>
                                          <w:iCs/>
                                          <w:color w:val="000000"/>
                                        </w:rPr>
                                      </m:ctrlPr>
                                    </m:dPr>
                                    <m:e>
                                      <m:r>
                                        <w:rPr>
                                          <w:rFonts w:ascii="Cambria Math" w:hAnsi="Cambria Math" w:cs="Arial"/>
                                          <w:color w:val="000000"/>
                                        </w:rPr>
                                        <m:t>t,x</m:t>
                                      </m:r>
                                    </m:e>
                                  </m:d>
                                </m:e>
                              </m:d>
                            </m:e>
                            <m:sup>
                              <m:r>
                                <w:rPr>
                                  <w:rFonts w:ascii="Cambria Math" w:hAnsi="Cambria Math" w:cs="Arial"/>
                                  <w:color w:val="000000"/>
                                </w:rPr>
                                <m:t>2</m:t>
                              </m:r>
                            </m:sup>
                          </m:sSup>
                          <m:box>
                            <m:boxPr>
                              <m:diff m:val="1"/>
                              <m:ctrlPr>
                                <w:rPr>
                                  <w:rFonts w:ascii="Cambria Math" w:hAnsi="Cambria Math" w:cs="Arial"/>
                                  <w:i/>
                                  <w:iCs/>
                                  <w:color w:val="000000"/>
                                </w:rPr>
                              </m:ctrlPr>
                            </m:boxPr>
                            <m:e>
                              <m:r>
                                <w:rPr>
                                  <w:rFonts w:ascii="Cambria Math" w:hAnsi="Cambria Math" w:cs="Arial"/>
                                  <w:color w:val="000000"/>
                                </w:rPr>
                                <m:t>ds]&gt; 2</m:t>
                              </m:r>
                              <m:func>
                                <m:funcPr>
                                  <m:ctrlPr>
                                    <w:rPr>
                                      <w:rFonts w:ascii="Cambria Math" w:hAnsi="Cambria Math" w:cs="Arial"/>
                                      <w:i/>
                                      <w:iCs/>
                                      <w:color w:val="000000"/>
                                    </w:rPr>
                                  </m:ctrlPr>
                                </m:funcPr>
                                <m:fName>
                                  <m:r>
                                    <m:rPr>
                                      <m:sty m:val="p"/>
                                    </m:rPr>
                                    <w:rPr>
                                      <w:rFonts w:ascii="Cambria Math" w:hAnsi="Cambria Math" w:cs="Arial"/>
                                      <w:color w:val="000000"/>
                                    </w:rPr>
                                    <m:t>log</m:t>
                                  </m:r>
                                </m:fName>
                                <m:e>
                                  <m:r>
                                    <w:rPr>
                                      <w:rFonts w:ascii="Cambria Math" w:hAnsi="Cambria Math" w:cs="Arial"/>
                                      <w:color w:val="000000"/>
                                    </w:rPr>
                                    <m:t>C</m:t>
                                  </m:r>
                                </m:e>
                              </m:func>
                              <m:r>
                                <w:rPr>
                                  <w:rFonts w:ascii="Cambria Math" w:hAnsi="Cambria Math" w:cs="Arial"/>
                                  <w:color w:val="000000"/>
                                </w:rPr>
                                <m:t xml:space="preserve"> </m:t>
                              </m:r>
                            </m:e>
                          </m:box>
                        </m:e>
                      </m:nary>
                    </m:e>
                  </m:eqArr>
                </m:e>
              </m:d>
            </m:fName>
            <m:e>
              <m:r>
                <w:rPr>
                  <w:rFonts w:ascii="Cambria Math" w:hAnsi="Cambria Math" w:cs="Arial"/>
                  <w:color w:val="000000"/>
                </w:rPr>
                <m:t>≤</m:t>
              </m:r>
              <m:sSup>
                <m:sSupPr>
                  <m:ctrlPr>
                    <w:rPr>
                      <w:rFonts w:ascii="Cambria Math" w:hAnsi="Cambria Math" w:cs="Arial"/>
                      <w:i/>
                      <w:iCs/>
                      <w:color w:val="000000"/>
                    </w:rPr>
                  </m:ctrlPr>
                </m:sSupPr>
                <m:e>
                  <m:r>
                    <w:rPr>
                      <w:rFonts w:ascii="Cambria Math" w:hAnsi="Cambria Math" w:cs="Arial"/>
                      <w:color w:val="000000"/>
                    </w:rPr>
                    <m:t>C</m:t>
                  </m:r>
                </m:e>
                <m:sup>
                  <m:r>
                    <w:rPr>
                      <w:rFonts w:ascii="Cambria Math" w:hAnsi="Cambria Math" w:cs="Arial"/>
                      <w:color w:val="000000"/>
                    </w:rPr>
                    <m:t>-2</m:t>
                  </m:r>
                </m:sup>
              </m:sSup>
              <m:r>
                <w:rPr>
                  <w:rFonts w:ascii="Cambria Math" w:hAnsi="Cambria Math" w:cs="Arial"/>
                  <w:color w:val="000000"/>
                </w:rPr>
                <m:t xml:space="preserve"> </m:t>
              </m:r>
            </m:e>
          </m:func>
        </m:oMath>
      </m:oMathPara>
    </w:p>
    <w:p w:rsidR="002429F5" w:rsidRPr="00954C9A" w:rsidRDefault="002429F5" w:rsidP="002429F5">
      <w:pPr>
        <w:jc w:val="both"/>
        <w:rPr>
          <w:rFonts w:ascii="Arial" w:hAnsi="Arial" w:cs="Arial"/>
          <w:iCs/>
          <w:color w:val="000000"/>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Borel-Cantelli lemma allows to deduce the existence of a random integer</w:t>
      </w:r>
      <m:oMath>
        <m:sSub>
          <m:sSubPr>
            <m:ctrlPr>
              <w:rPr>
                <w:rFonts w:ascii="Cambria Math" w:hAnsi="Cambria Math" w:cs="Arial"/>
                <w:i/>
                <w:iCs/>
                <w:color w:val="000000"/>
              </w:rPr>
            </m:ctrlPr>
          </m:sSubPr>
          <m:e>
            <m:r>
              <w:rPr>
                <w:rFonts w:ascii="Cambria Math" w:hAnsi="Cambria Math" w:cs="Arial"/>
                <w:color w:val="000000"/>
                <w:lang w:val="en-US"/>
              </w:rPr>
              <m:t xml:space="preserve"> </m:t>
            </m:r>
            <m:r>
              <w:rPr>
                <w:rFonts w:ascii="Cambria Math" w:hAnsi="Cambria Math" w:cs="Arial"/>
                <w:color w:val="000000"/>
              </w:rPr>
              <m:t>k</m:t>
            </m:r>
          </m:e>
          <m:sub>
            <m:r>
              <w:rPr>
                <w:rFonts w:ascii="Cambria Math" w:hAnsi="Cambria Math" w:cs="Arial"/>
                <w:color w:val="000000"/>
                <w:lang w:val="en-US"/>
              </w:rPr>
              <m:t>0</m:t>
            </m:r>
          </m:sub>
        </m:sSub>
      </m:oMath>
      <w:r w:rsidRPr="002429F5">
        <w:rPr>
          <w:rFonts w:ascii="Arial" w:hAnsi="Arial" w:cs="Arial"/>
          <w:iCs/>
          <w:color w:val="000000"/>
          <w:lang w:val="en-US"/>
        </w:rPr>
        <w:t xml:space="preserve"> such that, for all </w:t>
      </w:r>
      <m:oMath>
        <m:r>
          <w:rPr>
            <w:rFonts w:ascii="Cambria Math" w:hAnsi="Cambria Math" w:cs="Arial"/>
            <w:color w:val="000000"/>
          </w:rPr>
          <m:t>k</m:t>
        </m:r>
        <m:r>
          <w:rPr>
            <w:rFonts w:ascii="Cambria Math" w:hAnsi="Cambria Math" w:cs="Arial"/>
            <w:color w:val="000000"/>
            <w:lang w:val="en-US"/>
          </w:rPr>
          <m:t>≥</m:t>
        </m:r>
        <m:sSub>
          <m:sSubPr>
            <m:ctrlPr>
              <w:rPr>
                <w:rFonts w:ascii="Cambria Math" w:hAnsi="Cambria Math" w:cs="Arial"/>
                <w:i/>
                <w:iCs/>
                <w:color w:val="000000"/>
              </w:rPr>
            </m:ctrlPr>
          </m:sSubPr>
          <m:e>
            <m:r>
              <w:rPr>
                <w:rFonts w:ascii="Cambria Math" w:hAnsi="Cambria Math" w:cs="Arial"/>
                <w:color w:val="000000"/>
                <w:lang w:val="en-US"/>
              </w:rPr>
              <m:t xml:space="preserve"> </m:t>
            </m:r>
            <m:r>
              <w:rPr>
                <w:rFonts w:ascii="Cambria Math" w:hAnsi="Cambria Math" w:cs="Arial"/>
                <w:color w:val="000000"/>
              </w:rPr>
              <m:t>k</m:t>
            </m:r>
          </m:e>
          <m:sub>
            <m:r>
              <w:rPr>
                <w:rFonts w:ascii="Cambria Math" w:hAnsi="Cambria Math" w:cs="Arial"/>
                <w:color w:val="000000"/>
                <w:lang w:val="en-US"/>
              </w:rPr>
              <m:t>0</m:t>
            </m:r>
          </m:sub>
        </m:sSub>
        <m:r>
          <w:rPr>
            <w:rFonts w:ascii="Cambria Math" w:hAnsi="Cambria Math" w:cs="Arial"/>
            <w:color w:val="000000"/>
            <w:lang w:val="en-US"/>
          </w:rPr>
          <m:t xml:space="preserve"> </m:t>
        </m:r>
      </m:oMath>
      <w:r w:rsidRPr="002429F5">
        <w:rPr>
          <w:rFonts w:ascii="Arial" w:hAnsi="Arial" w:cs="Arial"/>
          <w:iCs/>
          <w:color w:val="000000"/>
          <w:lang w:val="en-US"/>
        </w:rPr>
        <w:t xml:space="preserve"> we have the following inequality</w:t>
      </w:r>
    </w:p>
    <w:p w:rsidR="002429F5" w:rsidRPr="002429F5" w:rsidRDefault="002429F5" w:rsidP="002429F5">
      <w:pPr>
        <w:jc w:val="both"/>
        <w:rPr>
          <w:rFonts w:ascii="Arial" w:hAnsi="Arial" w:cs="Arial"/>
          <w:iCs/>
          <w:color w:val="000000"/>
          <w:lang w:val="en-US"/>
        </w:rPr>
      </w:pPr>
    </w:p>
    <w:p w:rsidR="002429F5" w:rsidRPr="00954C9A" w:rsidRDefault="002429F5" w:rsidP="002429F5">
      <w:pPr>
        <w:jc w:val="both"/>
        <w:rPr>
          <w:rFonts w:ascii="Arial" w:hAnsi="Arial" w:cs="Arial"/>
          <w:iCs/>
          <w:color w:val="000000"/>
        </w:rPr>
      </w:pPr>
      <m:oMathPara>
        <m:oMathParaPr>
          <m:jc m:val="left"/>
        </m:oMathParaPr>
        <m:oMath>
          <m:r>
            <w:rPr>
              <w:rFonts w:ascii="Cambria Math" w:hAnsi="Cambria Math" w:cs="Arial"/>
              <w:color w:val="000000"/>
              <w:lang w:val="en-US"/>
            </w:rPr>
            <m:t xml:space="preserve"> </m:t>
          </m:r>
          <m:nary>
            <m:naryPr>
              <m:limLoc m:val="subSup"/>
              <m:ctrlPr>
                <w:rPr>
                  <w:rFonts w:ascii="Cambria Math" w:hAnsi="Cambria Math" w:cs="Arial"/>
                  <w:i/>
                  <w:iCs/>
                  <w:color w:val="000000"/>
                </w:rPr>
              </m:ctrlPr>
            </m:naryPr>
            <m:sub>
              <m:r>
                <w:rPr>
                  <w:rFonts w:ascii="Cambria Math" w:hAnsi="Cambria Math" w:cs="Arial"/>
                  <w:color w:val="000000"/>
                </w:rPr>
                <m:t>0</m:t>
              </m:r>
            </m:sub>
            <m:sup>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sup>
            <m:e>
              <m:sSub>
                <m:sSubPr>
                  <m:ctrlPr>
                    <w:rPr>
                      <w:rFonts w:ascii="Cambria Math" w:hAnsi="Cambria Math" w:cs="Arial"/>
                      <w:i/>
                      <w:iCs/>
                      <w:color w:val="000000"/>
                    </w:rPr>
                  </m:ctrlPr>
                </m:sSubPr>
                <m:e>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2</m:t>
                      </m:r>
                    </m:sub>
                  </m:sSub>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2</m:t>
                      </m:r>
                    </m:sub>
                  </m:sSub>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1</m:t>
                      </m:r>
                    </m:sub>
                  </m:sSub>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k</m:t>
                      </m:r>
                    </m:sub>
                  </m:sSub>
                  <m:sSub>
                    <m:sSubPr>
                      <m:ctrlPr>
                        <w:rPr>
                          <w:rFonts w:ascii="Cambria Math" w:hAnsi="Cambria Math" w:cs="Arial"/>
                          <w:i/>
                          <w:iCs/>
                          <w:color w:val="000000"/>
                        </w:rPr>
                      </m:ctrlPr>
                    </m:sSubPr>
                    <m:e>
                      <m:r>
                        <m:rPr>
                          <m:sty m:val="bi"/>
                        </m:rPr>
                        <w:rPr>
                          <w:rFonts w:ascii="Cambria Math" w:hAnsi="Cambria Math" w:cs="Arial"/>
                          <w:color w:val="000000"/>
                        </w:rPr>
                        <m:t>1</m:t>
                      </m:r>
                    </m:e>
                    <m:sub>
                      <m:d>
                        <m:dPr>
                          <m:begChr m:val="["/>
                          <m:endChr m:val="]"/>
                          <m:ctrlPr>
                            <w:rPr>
                              <w:rFonts w:ascii="Cambria Math" w:hAnsi="Cambria Math" w:cs="Arial"/>
                              <w:i/>
                              <w:iCs/>
                              <w:color w:val="000000"/>
                            </w:rPr>
                          </m:ctrlPr>
                        </m:dPr>
                        <m:e>
                          <m:r>
                            <w:rPr>
                              <w:rFonts w:ascii="Cambria Math" w:hAnsi="Cambria Math" w:cs="Arial"/>
                              <w:color w:val="000000"/>
                            </w:rPr>
                            <m:t>k</m:t>
                          </m:r>
                          <m:r>
                            <m:rPr>
                              <m:sty m:val="p"/>
                            </m:rPr>
                            <w:rPr>
                              <w:rFonts w:ascii="Cambria Math" w:hAnsi="Cambria Math" w:cs="Arial"/>
                              <w:iCs/>
                              <w:color w:val="000000"/>
                            </w:rPr>
                            <w:sym w:font="Symbol" w:char="F044"/>
                          </m:r>
                          <m:r>
                            <m:rPr>
                              <m:sty m:val="p"/>
                            </m:rPr>
                            <w:rPr>
                              <w:rFonts w:ascii="Cambria Math" w:hAnsi="Cambria Math" w:cs="Arial"/>
                              <w:color w:val="000000"/>
                            </w:rPr>
                            <m:t>t</m:t>
                          </m:r>
                          <m:r>
                            <w:rPr>
                              <w:rFonts w:ascii="Cambria Math" w:hAnsi="Cambria Math" w:cs="Arial"/>
                              <w:color w:val="000000"/>
                            </w:rPr>
                            <m:t xml:space="preserve">, </m:t>
                          </m:r>
                          <m:d>
                            <m:dPr>
                              <m:ctrlPr>
                                <w:rPr>
                                  <w:rFonts w:ascii="Cambria Math" w:hAnsi="Cambria Math" w:cs="Arial"/>
                                  <w:i/>
                                  <w:iCs/>
                                  <w:color w:val="000000"/>
                                </w:rPr>
                              </m:ctrlPr>
                            </m:dPr>
                            <m:e>
                              <m:r>
                                <w:rPr>
                                  <w:rFonts w:ascii="Cambria Math" w:hAnsi="Cambria Math" w:cs="Arial"/>
                                  <w:color w:val="000000"/>
                                </w:rPr>
                                <m:t>k+1</m:t>
                              </m:r>
                            </m:e>
                          </m:d>
                          <m:r>
                            <m:rPr>
                              <m:sty m:val="p"/>
                            </m:rPr>
                            <w:rPr>
                              <w:rFonts w:ascii="Cambria Math" w:hAnsi="Cambria Math" w:cs="Arial"/>
                              <w:iCs/>
                              <w:color w:val="000000"/>
                            </w:rPr>
                            <w:sym w:font="Symbol" w:char="F044"/>
                          </m:r>
                          <m:r>
                            <m:rPr>
                              <m:sty m:val="p"/>
                            </m:rPr>
                            <w:rPr>
                              <w:rFonts w:ascii="Cambria Math" w:hAnsi="Cambria Math" w:cs="Arial"/>
                              <w:color w:val="000000"/>
                            </w:rPr>
                            <m:t>t</m:t>
                          </m:r>
                        </m:e>
                      </m:d>
                    </m:sub>
                  </m:sSub>
                  <m:r>
                    <w:rPr>
                      <w:rFonts w:ascii="Cambria Math" w:hAnsi="Cambria Math" w:cs="Arial"/>
                      <w:color w:val="000000"/>
                    </w:rPr>
                    <m:t>(t)V</m:t>
                  </m:r>
                </m:e>
                <m:sub>
                  <m:r>
                    <w:rPr>
                      <w:rFonts w:ascii="Cambria Math" w:hAnsi="Cambria Math" w:cs="Cambria Math"/>
                      <w:color w:val="000000"/>
                    </w:rPr>
                    <m:t>x</m:t>
                  </m:r>
                </m:sub>
              </m:sSub>
              <m:d>
                <m:dPr>
                  <m:ctrlPr>
                    <w:rPr>
                      <w:rFonts w:ascii="Cambria Math" w:hAnsi="Cambria Math" w:cs="Arial"/>
                      <w:i/>
                      <w:iCs/>
                      <w:color w:val="000000"/>
                    </w:rPr>
                  </m:ctrlPr>
                </m:dPr>
                <m:e>
                  <m:r>
                    <w:rPr>
                      <w:rFonts w:ascii="Cambria Math" w:hAnsi="Cambria Math" w:cs="Arial"/>
                      <w:color w:val="000000"/>
                    </w:rPr>
                    <m:t>t,x</m:t>
                  </m:r>
                </m:e>
              </m:d>
              <m:r>
                <w:rPr>
                  <w:rFonts w:ascii="Cambria Math" w:hAnsi="Cambria Math" w:cs="Arial"/>
                  <w:color w:val="000000"/>
                </w:rPr>
                <m:t>dW</m:t>
              </m:r>
              <m:d>
                <m:dPr>
                  <m:ctrlPr>
                    <w:rPr>
                      <w:rFonts w:ascii="Cambria Math" w:hAnsi="Cambria Math" w:cs="Arial"/>
                      <w:i/>
                      <w:iCs/>
                      <w:color w:val="000000"/>
                    </w:rPr>
                  </m:ctrlPr>
                </m:dPr>
                <m:e>
                  <m:r>
                    <w:rPr>
                      <w:rFonts w:ascii="Cambria Math" w:hAnsi="Cambria Math" w:cs="Arial"/>
                      <w:color w:val="000000"/>
                    </w:rPr>
                    <m:t>s</m:t>
                  </m:r>
                </m:e>
              </m:d>
              <m:r>
                <w:rPr>
                  <w:rFonts w:ascii="Cambria Math" w:hAnsi="Cambria Math" w:cs="Arial"/>
                  <w:color w:val="000000"/>
                </w:rPr>
                <m:t>-</m:t>
              </m:r>
              <m:f>
                <m:fPr>
                  <m:ctrlPr>
                    <w:rPr>
                      <w:rFonts w:ascii="Cambria Math" w:hAnsi="Cambria Math" w:cs="Arial"/>
                      <w:i/>
                      <w:iCs/>
                      <w:color w:val="000000"/>
                    </w:rPr>
                  </m:ctrlPr>
                </m:fPr>
                <m:num>
                  <m:r>
                    <w:rPr>
                      <w:rFonts w:ascii="Cambria Math" w:hAnsi="Cambria Math" w:cs="Arial"/>
                      <w:color w:val="000000"/>
                    </w:rPr>
                    <m:t>1</m:t>
                  </m:r>
                </m:num>
                <m:den>
                  <m:r>
                    <w:rPr>
                      <w:rFonts w:ascii="Cambria Math" w:hAnsi="Cambria Math" w:cs="Arial"/>
                      <w:color w:val="000000"/>
                    </w:rPr>
                    <m:t>2</m:t>
                  </m:r>
                </m:den>
              </m:f>
              <m:r>
                <w:rPr>
                  <w:rFonts w:ascii="Cambria Math" w:hAnsi="Cambria Math" w:cs="Arial"/>
                  <w:color w:val="000000"/>
                </w:rPr>
                <m:t xml:space="preserve"> </m:t>
              </m:r>
              <m:nary>
                <m:naryPr>
                  <m:limLoc m:val="subSup"/>
                  <m:ctrlPr>
                    <w:rPr>
                      <w:rFonts w:ascii="Cambria Math" w:hAnsi="Cambria Math" w:cs="Arial"/>
                      <w:i/>
                      <w:iCs/>
                      <w:color w:val="000000"/>
                    </w:rPr>
                  </m:ctrlPr>
                </m:naryPr>
                <m:sub>
                  <m:r>
                    <w:rPr>
                      <w:rFonts w:ascii="Cambria Math" w:hAnsi="Cambria Math" w:cs="Arial"/>
                      <w:color w:val="000000"/>
                    </w:rPr>
                    <m:t>0</m:t>
                  </m:r>
                </m:sub>
                <m:sup>
                  <m:r>
                    <w:rPr>
                      <w:rFonts w:ascii="Cambria Math" w:hAnsi="Cambria Math" w:cs="Arial"/>
                      <w:color w:val="000000"/>
                    </w:rPr>
                    <m:t>T</m:t>
                  </m:r>
                </m:sup>
                <m:e>
                  <m:sSup>
                    <m:sSupPr>
                      <m:ctrlPr>
                        <w:rPr>
                          <w:rFonts w:ascii="Cambria Math" w:hAnsi="Cambria Math" w:cs="Arial"/>
                          <w:i/>
                          <w:iCs/>
                          <w:color w:val="000000"/>
                        </w:rPr>
                      </m:ctrlPr>
                    </m:sSupPr>
                    <m:e>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2</m:t>
                          </m:r>
                        </m:sub>
                      </m:sSub>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2</m:t>
                          </m:r>
                        </m:sub>
                      </m:sSub>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1</m:t>
                          </m:r>
                        </m:sub>
                      </m:sSub>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k</m:t>
                          </m:r>
                        </m:sub>
                      </m:sSub>
                      <m:sSub>
                        <m:sSubPr>
                          <m:ctrlPr>
                            <w:rPr>
                              <w:rFonts w:ascii="Cambria Math" w:hAnsi="Cambria Math" w:cs="Arial"/>
                              <w:i/>
                              <w:iCs/>
                              <w:color w:val="000000"/>
                            </w:rPr>
                          </m:ctrlPr>
                        </m:sSubPr>
                        <m:e>
                          <m:r>
                            <m:rPr>
                              <m:sty m:val="bi"/>
                            </m:rPr>
                            <w:rPr>
                              <w:rFonts w:ascii="Cambria Math" w:hAnsi="Cambria Math" w:cs="Arial"/>
                              <w:color w:val="000000"/>
                            </w:rPr>
                            <m:t>1</m:t>
                          </m:r>
                        </m:e>
                        <m:sub>
                          <m:d>
                            <m:dPr>
                              <m:begChr m:val="["/>
                              <m:endChr m:val="]"/>
                              <m:ctrlPr>
                                <w:rPr>
                                  <w:rFonts w:ascii="Cambria Math" w:hAnsi="Cambria Math" w:cs="Arial"/>
                                  <w:i/>
                                  <w:iCs/>
                                  <w:color w:val="000000"/>
                                </w:rPr>
                              </m:ctrlPr>
                            </m:dPr>
                            <m:e>
                              <m:r>
                                <w:rPr>
                                  <w:rFonts w:ascii="Cambria Math" w:hAnsi="Cambria Math" w:cs="Arial"/>
                                  <w:color w:val="000000"/>
                                </w:rPr>
                                <m:t>k</m:t>
                              </m:r>
                              <m:r>
                                <m:rPr>
                                  <m:sty m:val="p"/>
                                </m:rPr>
                                <w:rPr>
                                  <w:rFonts w:ascii="Cambria Math" w:hAnsi="Cambria Math" w:cs="Arial"/>
                                  <w:iCs/>
                                  <w:color w:val="000000"/>
                                </w:rPr>
                                <w:sym w:font="Symbol" w:char="F044"/>
                              </m:r>
                              <m:r>
                                <m:rPr>
                                  <m:sty m:val="p"/>
                                </m:rPr>
                                <w:rPr>
                                  <w:rFonts w:ascii="Cambria Math" w:hAnsi="Cambria Math" w:cs="Arial"/>
                                  <w:color w:val="000000"/>
                                </w:rPr>
                                <m:t>t</m:t>
                              </m:r>
                              <m:r>
                                <w:rPr>
                                  <w:rFonts w:ascii="Cambria Math" w:hAnsi="Cambria Math" w:cs="Arial"/>
                                  <w:color w:val="000000"/>
                                </w:rPr>
                                <m:t xml:space="preserve">, </m:t>
                              </m:r>
                              <m:d>
                                <m:dPr>
                                  <m:ctrlPr>
                                    <w:rPr>
                                      <w:rFonts w:ascii="Cambria Math" w:hAnsi="Cambria Math" w:cs="Arial"/>
                                      <w:i/>
                                      <w:iCs/>
                                      <w:color w:val="000000"/>
                                    </w:rPr>
                                  </m:ctrlPr>
                                </m:dPr>
                                <m:e>
                                  <m:r>
                                    <w:rPr>
                                      <w:rFonts w:ascii="Cambria Math" w:hAnsi="Cambria Math" w:cs="Arial"/>
                                      <w:color w:val="000000"/>
                                    </w:rPr>
                                    <m:t>k+1</m:t>
                                  </m:r>
                                </m:e>
                              </m:d>
                              <m:r>
                                <m:rPr>
                                  <m:sty m:val="p"/>
                                </m:rPr>
                                <w:rPr>
                                  <w:rFonts w:ascii="Cambria Math" w:hAnsi="Cambria Math" w:cs="Arial"/>
                                  <w:iCs/>
                                  <w:color w:val="000000"/>
                                </w:rPr>
                                <w:sym w:font="Symbol" w:char="F044"/>
                              </m:r>
                              <m:r>
                                <m:rPr>
                                  <m:sty m:val="p"/>
                                </m:rPr>
                                <w:rPr>
                                  <w:rFonts w:ascii="Cambria Math" w:hAnsi="Cambria Math" w:cs="Arial"/>
                                  <w:color w:val="000000"/>
                                </w:rPr>
                                <m:t>t</m:t>
                              </m:r>
                            </m:e>
                          </m:d>
                        </m:sub>
                      </m:sSub>
                      <m:r>
                        <w:rPr>
                          <w:rFonts w:ascii="Cambria Math" w:hAnsi="Cambria Math" w:cs="Arial"/>
                          <w:color w:val="000000"/>
                        </w:rPr>
                        <m:t>(t)]</m:t>
                      </m:r>
                    </m:e>
                    <m:sup>
                      <m:r>
                        <w:rPr>
                          <w:rFonts w:ascii="Cambria Math" w:hAnsi="Cambria Math" w:cs="Arial"/>
                          <w:color w:val="000000"/>
                        </w:rPr>
                        <m:t>2</m:t>
                      </m:r>
                    </m:sup>
                  </m:sSup>
                  <m:r>
                    <w:rPr>
                      <w:rFonts w:ascii="Cambria Math" w:hAnsi="Cambria Math" w:cs="Arial"/>
                      <w:color w:val="000000"/>
                    </w:rPr>
                    <m:t xml:space="preserve"> </m:t>
                  </m:r>
                  <m:sSup>
                    <m:sSupPr>
                      <m:ctrlPr>
                        <w:rPr>
                          <w:rFonts w:ascii="Cambria Math" w:hAnsi="Cambria Math" w:cs="Arial"/>
                          <w:i/>
                          <w:iCs/>
                          <w:color w:val="000000"/>
                        </w:rPr>
                      </m:ctrlPr>
                    </m:sSupPr>
                    <m:e>
                      <m:d>
                        <m:dPr>
                          <m:begChr m:val="["/>
                          <m:endChr m:val="]"/>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V</m:t>
                              </m:r>
                            </m:e>
                            <m:sub>
                              <m:r>
                                <w:rPr>
                                  <w:rFonts w:ascii="Cambria Math" w:hAnsi="Cambria Math" w:cs="Arial"/>
                                  <w:color w:val="000000"/>
                                </w:rPr>
                                <m:t>x</m:t>
                              </m:r>
                            </m:sub>
                          </m:sSub>
                          <m:d>
                            <m:dPr>
                              <m:ctrlPr>
                                <w:rPr>
                                  <w:rFonts w:ascii="Cambria Math" w:hAnsi="Cambria Math" w:cs="Arial"/>
                                  <w:i/>
                                  <w:iCs/>
                                  <w:color w:val="000000"/>
                                </w:rPr>
                              </m:ctrlPr>
                            </m:dPr>
                            <m:e>
                              <m:r>
                                <w:rPr>
                                  <w:rFonts w:ascii="Cambria Math" w:hAnsi="Cambria Math" w:cs="Arial"/>
                                  <w:color w:val="000000"/>
                                </w:rPr>
                                <m:t>t,x</m:t>
                              </m:r>
                            </m:e>
                          </m:d>
                        </m:e>
                      </m:d>
                    </m:e>
                    <m:sup>
                      <m:r>
                        <w:rPr>
                          <w:rFonts w:ascii="Cambria Math" w:hAnsi="Cambria Math" w:cs="Arial"/>
                          <w:color w:val="000000"/>
                        </w:rPr>
                        <m:t>2</m:t>
                      </m:r>
                    </m:sup>
                  </m:sSup>
                  <m:r>
                    <w:rPr>
                      <w:rFonts w:ascii="Cambria Math" w:hAnsi="Cambria Math" w:cs="Arial"/>
                      <w:color w:val="000000"/>
                    </w:rPr>
                    <m:t>ds]</m:t>
                  </m:r>
                  <m:box>
                    <m:boxPr>
                      <m:diff m:val="1"/>
                      <m:ctrlPr>
                        <w:rPr>
                          <w:rFonts w:ascii="Cambria Math" w:hAnsi="Cambria Math" w:cs="Arial"/>
                          <w:i/>
                          <w:iCs/>
                          <w:color w:val="000000"/>
                        </w:rPr>
                      </m:ctrlPr>
                    </m:boxPr>
                    <m:e>
                      <m:r>
                        <w:rPr>
                          <w:rFonts w:ascii="Cambria Math" w:hAnsi="Cambria Math" w:cs="Arial"/>
                          <w:color w:val="000000"/>
                        </w:rPr>
                        <m:t xml:space="preserve"> </m:t>
                      </m:r>
                    </m:e>
                  </m:box>
                </m:e>
              </m:nary>
            </m:e>
          </m:nary>
          <m:r>
            <w:rPr>
              <w:rFonts w:ascii="Cambria Math" w:hAnsi="Cambria Math" w:cs="Arial"/>
              <w:color w:val="000000"/>
            </w:rPr>
            <m:t>≤ 2 log⁡C</m:t>
          </m:r>
        </m:oMath>
      </m:oMathPara>
    </w:p>
    <w:p w:rsidR="002429F5" w:rsidRPr="00954C9A" w:rsidRDefault="002429F5" w:rsidP="002429F5">
      <w:pPr>
        <w:jc w:val="both"/>
        <w:rPr>
          <w:rFonts w:ascii="Arial" w:hAnsi="Arial" w:cs="Arial"/>
          <w:iCs/>
          <w:color w:val="000000"/>
        </w:rPr>
      </w:pPr>
    </w:p>
    <w:p w:rsidR="002429F5" w:rsidRPr="00954C9A" w:rsidRDefault="002429F5" w:rsidP="002429F5">
      <w:pPr>
        <w:jc w:val="both"/>
        <w:rPr>
          <w:rFonts w:ascii="Arial" w:hAnsi="Arial" w:cs="Arial"/>
          <w:iCs/>
          <w:color w:val="000000"/>
        </w:rPr>
      </w:pPr>
      <w:r w:rsidRPr="00954C9A">
        <w:rPr>
          <w:rFonts w:ascii="Arial" w:hAnsi="Arial" w:cs="Arial"/>
          <w:iCs/>
          <w:color w:val="000000"/>
        </w:rPr>
        <w:t>So, using (10), we have</w:t>
      </w:r>
    </w:p>
    <w:p w:rsidR="002429F5" w:rsidRPr="00954C9A" w:rsidRDefault="002429F5" w:rsidP="002429F5">
      <w:pPr>
        <w:jc w:val="both"/>
        <w:rPr>
          <w:rFonts w:ascii="Arial" w:hAnsi="Arial" w:cs="Arial"/>
          <w:iCs/>
          <w:color w:val="000000"/>
        </w:rPr>
      </w:pPr>
    </w:p>
    <w:p w:rsidR="002429F5" w:rsidRPr="00954C9A" w:rsidRDefault="001345E4" w:rsidP="002429F5">
      <w:pPr>
        <w:jc w:val="both"/>
        <w:rPr>
          <w:rFonts w:ascii="Arial" w:hAnsi="Arial" w:cs="Arial"/>
          <w:iCs/>
          <w:color w:val="000000"/>
        </w:rPr>
      </w:pPr>
      <m:oMathPara>
        <m:oMathParaPr>
          <m:jc m:val="left"/>
        </m:oMathParaPr>
        <m:oMath>
          <m:nary>
            <m:naryPr>
              <m:limLoc m:val="subSup"/>
              <m:ctrlPr>
                <w:rPr>
                  <w:rFonts w:ascii="Cambria Math" w:hAnsi="Cambria Math" w:cs="Arial"/>
                  <w:i/>
                  <w:iCs/>
                  <w:color w:val="000000"/>
                </w:rPr>
              </m:ctrlPr>
            </m:naryPr>
            <m:sub>
              <m:r>
                <w:rPr>
                  <w:rFonts w:ascii="Cambria Math" w:hAnsi="Cambria Math" w:cs="Arial"/>
                  <w:color w:val="000000"/>
                </w:rPr>
                <m:t>0</m:t>
              </m:r>
            </m:sub>
            <m:sup>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sup>
            <m:e>
              <m:f>
                <m:fPr>
                  <m:ctrlPr>
                    <w:rPr>
                      <w:rFonts w:ascii="Cambria Math" w:hAnsi="Cambria Math" w:cs="Arial"/>
                      <w:i/>
                      <w:iCs/>
                      <w:color w:val="000000"/>
                    </w:rPr>
                  </m:ctrlPr>
                </m:fPr>
                <m:num>
                  <m:r>
                    <w:rPr>
                      <w:rFonts w:ascii="Cambria Math" w:hAnsi="Cambria Math" w:cs="Arial"/>
                      <w:color w:val="000000"/>
                    </w:rPr>
                    <m:t>1</m:t>
                  </m:r>
                </m:num>
                <m:den>
                  <m:r>
                    <w:rPr>
                      <w:rFonts w:ascii="Cambria Math" w:hAnsi="Cambria Math" w:cs="Arial"/>
                      <w:color w:val="000000"/>
                    </w:rPr>
                    <m:t>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1</m:t>
                          </m:r>
                        </m:sub>
                      </m:sSub>
                      <m:d>
                        <m:dPr>
                          <m:ctrlPr>
                            <w:rPr>
                              <w:rFonts w:ascii="Cambria Math" w:hAnsi="Cambria Math" w:cs="Arial"/>
                              <w:i/>
                              <w:iCs/>
                              <w:color w:val="000000"/>
                            </w:rPr>
                          </m:ctrlPr>
                        </m:dPr>
                        <m:e>
                          <m:r>
                            <w:rPr>
                              <w:rFonts w:ascii="Cambria Math" w:hAnsi="Cambria Math" w:cs="Arial"/>
                              <w:color w:val="000000"/>
                            </w:rPr>
                            <m:t>s</m:t>
                          </m:r>
                        </m:e>
                      </m:d>
                      <m:r>
                        <w:rPr>
                          <w:rFonts w:ascii="Cambria Math" w:hAnsi="Cambria Math" w:cs="Arial"/>
                          <w:color w:val="000000"/>
                        </w:rPr>
                        <m:t>,s</m:t>
                      </m:r>
                    </m:e>
                  </m:d>
                </m:den>
              </m:f>
            </m:e>
          </m:nary>
          <m:r>
            <w:rPr>
              <w:rFonts w:ascii="Cambria Math" w:hAnsi="Cambria Math" w:cs="Arial"/>
              <w:color w:val="000000"/>
            </w:rPr>
            <m:t xml:space="preserve"> </m:t>
          </m:r>
          <m:nary>
            <m:naryPr>
              <m:chr m:val="∑"/>
              <m:limLoc m:val="undOvr"/>
              <m:ctrlPr>
                <w:rPr>
                  <w:rFonts w:ascii="Cambria Math" w:hAnsi="Cambria Math" w:cs="Arial"/>
                  <w:i/>
                  <w:iCs/>
                  <w:color w:val="000000"/>
                </w:rPr>
              </m:ctrlPr>
            </m:naryPr>
            <m:sub>
              <m:r>
                <w:rPr>
                  <w:rFonts w:ascii="Cambria Math" w:hAnsi="Cambria Math" w:cs="Arial"/>
                  <w:color w:val="000000"/>
                </w:rPr>
                <m:t>k=1</m:t>
              </m:r>
            </m:sub>
            <m:sup>
              <m:r>
                <w:rPr>
                  <w:rFonts w:ascii="Cambria Math" w:hAnsi="Cambria Math" w:cs="Arial"/>
                  <w:color w:val="000000"/>
                </w:rPr>
                <m:t>n</m:t>
              </m:r>
            </m:sup>
            <m:e>
              <m:nary>
                <m:naryPr>
                  <m:chr m:val="∑"/>
                  <m:limLoc m:val="undOvr"/>
                  <m:ctrlPr>
                    <w:rPr>
                      <w:rFonts w:ascii="Cambria Math" w:hAnsi="Cambria Math" w:cs="Arial"/>
                      <w:i/>
                      <w:iCs/>
                      <w:color w:val="000000"/>
                    </w:rPr>
                  </m:ctrlPr>
                </m:naryPr>
                <m:sub>
                  <m:r>
                    <w:rPr>
                      <w:rFonts w:ascii="Cambria Math" w:hAnsi="Cambria Math" w:cs="Arial"/>
                      <w:color w:val="000000"/>
                    </w:rPr>
                    <m:t>k=1</m:t>
                  </m:r>
                </m:sub>
                <m:sup>
                  <m:r>
                    <w:rPr>
                      <w:rFonts w:ascii="Cambria Math" w:hAnsi="Cambria Math" w:cs="Arial"/>
                      <w:color w:val="000000"/>
                    </w:rPr>
                    <m:t>n</m:t>
                  </m:r>
                </m:sup>
                <m:e>
                  <m:d>
                    <m:dPr>
                      <m:begChr m:val="["/>
                      <m:endChr m:val="]"/>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2</m:t>
                          </m:r>
                        </m:sub>
                      </m:sSub>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2</m:t>
                          </m:r>
                        </m:sub>
                      </m:sSub>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1</m:t>
                          </m:r>
                        </m:sub>
                      </m:sSub>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k</m:t>
                          </m:r>
                        </m:sub>
                      </m:sSub>
                      <m:sSub>
                        <m:sSubPr>
                          <m:ctrlPr>
                            <w:rPr>
                              <w:rFonts w:ascii="Cambria Math" w:hAnsi="Cambria Math" w:cs="Arial"/>
                              <w:i/>
                              <w:iCs/>
                              <w:color w:val="000000"/>
                            </w:rPr>
                          </m:ctrlPr>
                        </m:sSubPr>
                        <m:e>
                          <m:r>
                            <m:rPr>
                              <m:sty m:val="bi"/>
                            </m:rPr>
                            <w:rPr>
                              <w:rFonts w:ascii="Cambria Math" w:hAnsi="Cambria Math" w:cs="Arial"/>
                              <w:color w:val="000000"/>
                            </w:rPr>
                            <m:t>1</m:t>
                          </m:r>
                        </m:e>
                        <m:sub>
                          <m:d>
                            <m:dPr>
                              <m:begChr m:val="["/>
                              <m:endChr m:val="]"/>
                              <m:ctrlPr>
                                <w:rPr>
                                  <w:rFonts w:ascii="Cambria Math" w:hAnsi="Cambria Math" w:cs="Arial"/>
                                  <w:i/>
                                  <w:iCs/>
                                  <w:color w:val="000000"/>
                                </w:rPr>
                              </m:ctrlPr>
                            </m:dPr>
                            <m:e>
                              <m:r>
                                <w:rPr>
                                  <w:rFonts w:ascii="Cambria Math" w:hAnsi="Cambria Math" w:cs="Arial"/>
                                  <w:color w:val="000000"/>
                                </w:rPr>
                                <m:t>k</m:t>
                              </m:r>
                              <m:r>
                                <m:rPr>
                                  <m:sty m:val="p"/>
                                </m:rPr>
                                <w:rPr>
                                  <w:rFonts w:ascii="Cambria Math" w:hAnsi="Cambria Math" w:cs="Arial"/>
                                  <w:iCs/>
                                  <w:color w:val="000000"/>
                                </w:rPr>
                                <w:sym w:font="Symbol" w:char="F044"/>
                              </m:r>
                              <m:r>
                                <m:rPr>
                                  <m:sty m:val="p"/>
                                </m:rPr>
                                <w:rPr>
                                  <w:rFonts w:ascii="Cambria Math" w:hAnsi="Cambria Math" w:cs="Arial"/>
                                  <w:color w:val="000000"/>
                                </w:rPr>
                                <m:t>t</m:t>
                              </m:r>
                              <m:r>
                                <w:rPr>
                                  <w:rFonts w:ascii="Cambria Math" w:hAnsi="Cambria Math" w:cs="Arial"/>
                                  <w:color w:val="000000"/>
                                </w:rPr>
                                <m:t xml:space="preserve">, </m:t>
                              </m:r>
                              <m:d>
                                <m:dPr>
                                  <m:ctrlPr>
                                    <w:rPr>
                                      <w:rFonts w:ascii="Cambria Math" w:hAnsi="Cambria Math" w:cs="Arial"/>
                                      <w:i/>
                                      <w:iCs/>
                                      <w:color w:val="000000"/>
                                    </w:rPr>
                                  </m:ctrlPr>
                                </m:dPr>
                                <m:e>
                                  <m:r>
                                    <w:rPr>
                                      <w:rFonts w:ascii="Cambria Math" w:hAnsi="Cambria Math" w:cs="Arial"/>
                                      <w:color w:val="000000"/>
                                    </w:rPr>
                                    <m:t>k+1</m:t>
                                  </m:r>
                                </m:e>
                              </m:d>
                              <m:r>
                                <m:rPr>
                                  <m:sty m:val="p"/>
                                </m:rPr>
                                <w:rPr>
                                  <w:rFonts w:ascii="Cambria Math" w:hAnsi="Cambria Math" w:cs="Arial"/>
                                  <w:iCs/>
                                  <w:color w:val="000000"/>
                                </w:rPr>
                                <w:sym w:font="Symbol" w:char="F044"/>
                              </m:r>
                              <m:r>
                                <m:rPr>
                                  <m:sty m:val="p"/>
                                </m:rPr>
                                <w:rPr>
                                  <w:rFonts w:ascii="Cambria Math" w:hAnsi="Cambria Math" w:cs="Arial"/>
                                  <w:color w:val="000000"/>
                                </w:rPr>
                                <m:t>t</m:t>
                              </m:r>
                            </m:e>
                          </m:d>
                        </m:sub>
                      </m:sSub>
                      <m:d>
                        <m:dPr>
                          <m:ctrlPr>
                            <w:rPr>
                              <w:rFonts w:ascii="Cambria Math" w:hAnsi="Cambria Math" w:cs="Arial"/>
                              <w:i/>
                              <w:iCs/>
                              <w:color w:val="000000"/>
                            </w:rPr>
                          </m:ctrlPr>
                        </m:dPr>
                        <m:e>
                          <m:r>
                            <w:rPr>
                              <w:rFonts w:ascii="Cambria Math" w:hAnsi="Cambria Math" w:cs="Arial"/>
                              <w:color w:val="000000"/>
                            </w:rPr>
                            <m:t>s</m:t>
                          </m:r>
                        </m:e>
                      </m:d>
                    </m:e>
                  </m:d>
                </m:e>
              </m:nary>
              <m:r>
                <w:rPr>
                  <w:rFonts w:ascii="Cambria Math" w:hAnsi="Cambria Math" w:cs="Arial"/>
                  <w:color w:val="000000"/>
                </w:rPr>
                <m:t xml:space="preserve"> </m:t>
              </m:r>
            </m:e>
          </m:nary>
          <m:f>
            <m:fPr>
              <m:ctrlPr>
                <w:rPr>
                  <w:rFonts w:ascii="Cambria Math" w:hAnsi="Cambria Math" w:cs="Arial"/>
                  <w:i/>
                  <w:iCs/>
                  <w:color w:val="000000"/>
                </w:rPr>
              </m:ctrlPr>
            </m:fPr>
            <m:num>
              <m:r>
                <w:rPr>
                  <w:rFonts w:ascii="Cambria Math" w:hAnsi="Cambria Math" w:cs="Arial"/>
                  <w:color w:val="000000"/>
                </w:rPr>
                <m:t>∂V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1</m:t>
                      </m:r>
                    </m:sub>
                  </m:sSub>
                  <m:d>
                    <m:dPr>
                      <m:ctrlPr>
                        <w:rPr>
                          <w:rFonts w:ascii="Cambria Math" w:hAnsi="Cambria Math" w:cs="Arial"/>
                          <w:i/>
                          <w:iCs/>
                          <w:color w:val="000000"/>
                        </w:rPr>
                      </m:ctrlPr>
                    </m:dPr>
                    <m:e>
                      <m:r>
                        <w:rPr>
                          <w:rFonts w:ascii="Cambria Math" w:hAnsi="Cambria Math" w:cs="Arial"/>
                          <w:color w:val="000000"/>
                        </w:rPr>
                        <m:t>s</m:t>
                      </m:r>
                    </m:e>
                  </m:d>
                  <m:r>
                    <w:rPr>
                      <w:rFonts w:ascii="Cambria Math" w:hAnsi="Cambria Math" w:cs="Arial"/>
                      <w:color w:val="000000"/>
                    </w:rPr>
                    <m:t>,s</m:t>
                  </m:r>
                </m:e>
              </m:d>
            </m:num>
            <m:den>
              <m:r>
                <w:rPr>
                  <w:rFonts w:ascii="Cambria Math" w:hAnsi="Cambria Math" w:cs="Arial"/>
                  <w:color w:val="000000"/>
                </w:rPr>
                <m:t xml:space="preserve">ð </m:t>
              </m:r>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1</m:t>
                  </m:r>
                </m:sub>
              </m:sSub>
              <m:d>
                <m:dPr>
                  <m:ctrlPr>
                    <w:rPr>
                      <w:rFonts w:ascii="Cambria Math" w:hAnsi="Cambria Math" w:cs="Arial"/>
                      <w:i/>
                      <w:iCs/>
                      <w:color w:val="000000"/>
                    </w:rPr>
                  </m:ctrlPr>
                </m:dPr>
                <m:e>
                  <m:r>
                    <w:rPr>
                      <w:rFonts w:ascii="Cambria Math" w:hAnsi="Cambria Math" w:cs="Arial"/>
                      <w:color w:val="000000"/>
                    </w:rPr>
                    <m:t>s</m:t>
                  </m:r>
                </m:e>
              </m:d>
            </m:den>
          </m:f>
          <m:r>
            <w:rPr>
              <w:rFonts w:ascii="Cambria Math" w:hAnsi="Cambria Math" w:cs="Arial"/>
              <w:color w:val="000000"/>
            </w:rPr>
            <m:t xml:space="preserve"> d</m:t>
          </m:r>
          <m:sSub>
            <m:sSubPr>
              <m:ctrlPr>
                <w:rPr>
                  <w:rFonts w:ascii="Cambria Math" w:hAnsi="Cambria Math" w:cs="Arial"/>
                  <w:i/>
                  <w:iCs/>
                  <w:color w:val="000000"/>
                </w:rPr>
              </m:ctrlPr>
            </m:sSubPr>
            <m:e>
              <m:r>
                <w:rPr>
                  <w:rFonts w:ascii="Cambria Math" w:hAnsi="Cambria Math" w:cs="Arial"/>
                  <w:color w:val="000000"/>
                </w:rPr>
                <m:t>W</m:t>
              </m:r>
            </m:e>
            <m:sub>
              <m:r>
                <w:rPr>
                  <w:rFonts w:ascii="Cambria Math" w:hAnsi="Cambria Math" w:cs="Arial"/>
                  <w:color w:val="000000"/>
                </w:rPr>
                <m:t>s</m:t>
              </m:r>
            </m:sub>
          </m:sSub>
          <m:r>
            <w:rPr>
              <w:rFonts w:ascii="Cambria Math" w:hAnsi="Cambria Math" w:cs="Arial"/>
              <w:color w:val="000000"/>
            </w:rPr>
            <m:t xml:space="preserve"> -</m:t>
          </m:r>
          <m:f>
            <m:fPr>
              <m:ctrlPr>
                <w:rPr>
                  <w:rFonts w:ascii="Cambria Math" w:hAnsi="Cambria Math" w:cs="Arial"/>
                  <w:i/>
                  <w:iCs/>
                  <w:color w:val="000000"/>
                </w:rPr>
              </m:ctrlPr>
            </m:fPr>
            <m:num>
              <m:r>
                <w:rPr>
                  <w:rFonts w:ascii="Cambria Math" w:hAnsi="Cambria Math" w:cs="Arial"/>
                  <w:color w:val="000000"/>
                </w:rPr>
                <m:t>1</m:t>
              </m:r>
            </m:num>
            <m:den>
              <m:r>
                <w:rPr>
                  <w:rFonts w:ascii="Cambria Math" w:hAnsi="Cambria Math" w:cs="Arial"/>
                  <w:color w:val="000000"/>
                </w:rPr>
                <m:t>2</m:t>
              </m:r>
            </m:den>
          </m:f>
          <m:nary>
            <m:naryPr>
              <m:limLoc m:val="subSup"/>
              <m:ctrlPr>
                <w:rPr>
                  <w:rFonts w:ascii="Cambria Math" w:hAnsi="Cambria Math" w:cs="Arial"/>
                  <w:i/>
                  <w:iCs/>
                  <w:color w:val="000000"/>
                </w:rPr>
              </m:ctrlPr>
            </m:naryPr>
            <m:sub>
              <m:r>
                <w:rPr>
                  <w:rFonts w:ascii="Cambria Math" w:hAnsi="Cambria Math" w:cs="Arial"/>
                  <w:color w:val="000000"/>
                </w:rPr>
                <m:t>0</m:t>
              </m:r>
            </m:sub>
            <m:sup>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sup>
            <m:e>
              <m:f>
                <m:fPr>
                  <m:ctrlPr>
                    <w:rPr>
                      <w:rFonts w:ascii="Cambria Math" w:hAnsi="Cambria Math" w:cs="Arial"/>
                      <w:i/>
                      <w:iCs/>
                      <w:color w:val="000000"/>
                    </w:rPr>
                  </m:ctrlPr>
                </m:fPr>
                <m:num>
                  <m:r>
                    <w:rPr>
                      <w:rFonts w:ascii="Cambria Math" w:hAnsi="Cambria Math" w:cs="Arial"/>
                      <w:color w:val="000000"/>
                    </w:rPr>
                    <m:t>1</m:t>
                  </m:r>
                </m:num>
                <m:den>
                  <m:sSup>
                    <m:sSupPr>
                      <m:ctrlPr>
                        <w:rPr>
                          <w:rFonts w:ascii="Cambria Math" w:hAnsi="Cambria Math" w:cs="Arial"/>
                          <w:i/>
                          <w:iCs/>
                          <w:color w:val="000000"/>
                        </w:rPr>
                      </m:ctrlPr>
                    </m:sSupPr>
                    <m:e>
                      <m:r>
                        <w:rPr>
                          <w:rFonts w:ascii="Cambria Math" w:hAnsi="Cambria Math" w:cs="Arial"/>
                          <w:color w:val="000000"/>
                        </w:rPr>
                        <m:t>V</m:t>
                      </m:r>
                    </m:e>
                    <m:sup>
                      <m:r>
                        <w:rPr>
                          <w:rFonts w:ascii="Cambria Math" w:hAnsi="Cambria Math" w:cs="Arial"/>
                          <w:color w:val="000000"/>
                        </w:rPr>
                        <m:t>2</m:t>
                      </m:r>
                    </m:sup>
                  </m:sSup>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1</m:t>
                          </m:r>
                        </m:sub>
                      </m:sSub>
                      <m:d>
                        <m:dPr>
                          <m:ctrlPr>
                            <w:rPr>
                              <w:rFonts w:ascii="Cambria Math" w:hAnsi="Cambria Math" w:cs="Arial"/>
                              <w:i/>
                              <w:iCs/>
                              <w:color w:val="000000"/>
                            </w:rPr>
                          </m:ctrlPr>
                        </m:dPr>
                        <m:e>
                          <m:r>
                            <w:rPr>
                              <w:rFonts w:ascii="Cambria Math" w:hAnsi="Cambria Math" w:cs="Arial"/>
                              <w:color w:val="000000"/>
                            </w:rPr>
                            <m:t>s</m:t>
                          </m:r>
                        </m:e>
                      </m:d>
                      <m:r>
                        <w:rPr>
                          <w:rFonts w:ascii="Cambria Math" w:hAnsi="Cambria Math" w:cs="Arial"/>
                          <w:color w:val="000000"/>
                        </w:rPr>
                        <m:t>,s</m:t>
                      </m:r>
                    </m:e>
                  </m:d>
                </m:den>
              </m:f>
              <m:r>
                <w:rPr>
                  <w:rFonts w:ascii="Cambria Math" w:hAnsi="Cambria Math" w:cs="Arial"/>
                  <w:color w:val="000000"/>
                </w:rPr>
                <m:t xml:space="preserve">  QV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1</m:t>
                      </m:r>
                    </m:sub>
                  </m:sSub>
                  <m:d>
                    <m:dPr>
                      <m:ctrlPr>
                        <w:rPr>
                          <w:rFonts w:ascii="Cambria Math" w:hAnsi="Cambria Math" w:cs="Arial"/>
                          <w:i/>
                          <w:iCs/>
                          <w:color w:val="000000"/>
                        </w:rPr>
                      </m:ctrlPr>
                    </m:dPr>
                    <m:e>
                      <m:r>
                        <w:rPr>
                          <w:rFonts w:ascii="Cambria Math" w:hAnsi="Cambria Math" w:cs="Arial"/>
                          <w:color w:val="000000"/>
                        </w:rPr>
                        <m:t>s</m:t>
                      </m:r>
                    </m:e>
                  </m:d>
                  <m:r>
                    <w:rPr>
                      <w:rFonts w:ascii="Cambria Math" w:hAnsi="Cambria Math" w:cs="Arial"/>
                      <w:color w:val="000000"/>
                    </w:rPr>
                    <m:t>,s</m:t>
                  </m:r>
                </m:e>
              </m:d>
            </m:e>
          </m:nary>
          <m:r>
            <w:rPr>
              <w:rFonts w:ascii="Cambria Math" w:hAnsi="Cambria Math" w:cs="Arial"/>
              <w:color w:val="000000"/>
            </w:rPr>
            <m:t>ds ≤</m:t>
          </m:r>
          <m:func>
            <m:funcPr>
              <m:ctrlPr>
                <w:rPr>
                  <w:rFonts w:ascii="Cambria Math" w:hAnsi="Cambria Math" w:cs="Arial"/>
                  <w:i/>
                  <w:iCs/>
                  <w:color w:val="000000"/>
                </w:rPr>
              </m:ctrlPr>
            </m:funcPr>
            <m:fName>
              <m:r>
                <w:rPr>
                  <w:rFonts w:ascii="Cambria Math" w:hAnsi="Cambria Math" w:cs="Arial"/>
                  <w:color w:val="000000"/>
                </w:rPr>
                <m:t>2log</m:t>
              </m:r>
            </m:fName>
            <m:e>
              <m:r>
                <w:rPr>
                  <w:rFonts w:ascii="Cambria Math" w:hAnsi="Cambria Math" w:cs="Arial"/>
                  <w:color w:val="000000"/>
                </w:rPr>
                <m:t xml:space="preserve">C </m:t>
              </m:r>
            </m:e>
          </m:func>
          <m:r>
            <w:rPr>
              <w:rFonts w:ascii="Cambria Math" w:hAnsi="Cambria Math" w:cs="Arial"/>
              <w:color w:val="000000"/>
            </w:rPr>
            <m:t xml:space="preserve">                                                                                                                                                     (11)</m:t>
          </m:r>
        </m:oMath>
      </m:oMathPara>
    </w:p>
    <w:p w:rsidR="002429F5" w:rsidRPr="00954C9A" w:rsidRDefault="002429F5" w:rsidP="002429F5">
      <w:pPr>
        <w:jc w:val="both"/>
        <w:rPr>
          <w:rFonts w:ascii="Arial" w:hAnsi="Arial" w:cs="Arial"/>
          <w:iCs/>
          <w:color w:val="000000"/>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and, by hypotheses (a) and (b), and equality (11), this turns out</w:t>
      </w:r>
    </w:p>
    <w:p w:rsidR="002429F5" w:rsidRPr="002429F5" w:rsidRDefault="002429F5" w:rsidP="002429F5">
      <w:pPr>
        <w:jc w:val="both"/>
        <w:rPr>
          <w:rFonts w:ascii="Arial" w:hAnsi="Arial" w:cs="Arial"/>
          <w:iCs/>
          <w:color w:val="000000"/>
          <w:lang w:val="en-US"/>
        </w:rPr>
      </w:pPr>
    </w:p>
    <w:p w:rsidR="002429F5" w:rsidRPr="00954C9A" w:rsidRDefault="001345E4" w:rsidP="002429F5">
      <w:pPr>
        <w:jc w:val="both"/>
        <w:rPr>
          <w:rFonts w:ascii="Arial" w:hAnsi="Arial" w:cs="Arial"/>
          <w:iCs/>
          <w:color w:val="000000"/>
        </w:rPr>
      </w:pPr>
      <m:oMathPara>
        <m:oMathParaPr>
          <m:jc m:val="right"/>
        </m:oMathParaPr>
        <m:oMath>
          <m:func>
            <m:funcPr>
              <m:ctrlPr>
                <w:rPr>
                  <w:rFonts w:ascii="Cambria Math" w:hAnsi="Cambria Math" w:cs="Arial"/>
                  <w:iCs/>
                  <w:color w:val="000000"/>
                </w:rPr>
              </m:ctrlPr>
            </m:funcPr>
            <m:fName>
              <m:r>
                <m:rPr>
                  <m:sty m:val="p"/>
                </m:rPr>
                <w:rPr>
                  <w:rFonts w:ascii="Cambria Math" w:hAnsi="Cambria Math" w:cs="Arial"/>
                  <w:color w:val="000000"/>
                </w:rPr>
                <m:t>log</m:t>
              </m:r>
            </m:fName>
            <m:e>
              <m:r>
                <w:rPr>
                  <w:rFonts w:ascii="Cambria Math" w:hAnsi="Cambria Math" w:cs="Arial"/>
                  <w:color w:val="000000"/>
                </w:rPr>
                <m:t>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z</m:t>
                      </m:r>
                    </m:e>
                    <m:sub>
                      <m:r>
                        <w:rPr>
                          <w:rFonts w:ascii="Cambria Math" w:hAnsi="Cambria Math" w:cs="Arial"/>
                          <w:color w:val="000000"/>
                        </w:rPr>
                        <m:t>2</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,t</m:t>
                  </m:r>
                </m:e>
              </m:d>
              <m:r>
                <w:rPr>
                  <w:rFonts w:ascii="Cambria Math" w:hAnsi="Cambria Math" w:cs="Arial"/>
                  <w:color w:val="000000"/>
                </w:rPr>
                <m:t xml:space="preserve"> ≤</m:t>
              </m:r>
            </m:e>
          </m:func>
          <m:r>
            <w:rPr>
              <w:rFonts w:ascii="Cambria Math" w:hAnsi="Cambria Math" w:cs="Arial"/>
              <w:color w:val="000000"/>
            </w:rPr>
            <m:t xml:space="preserve"> </m:t>
          </m:r>
          <m:func>
            <m:funcPr>
              <m:ctrlPr>
                <w:rPr>
                  <w:rFonts w:ascii="Cambria Math" w:hAnsi="Cambria Math" w:cs="Arial"/>
                  <w:iCs/>
                  <w:color w:val="000000"/>
                </w:rPr>
              </m:ctrlPr>
            </m:funcPr>
            <m:fName>
              <m:r>
                <m:rPr>
                  <m:sty m:val="p"/>
                </m:rPr>
                <w:rPr>
                  <w:rFonts w:ascii="Cambria Math" w:hAnsi="Cambria Math" w:cs="Arial"/>
                  <w:color w:val="000000"/>
                </w:rPr>
                <m:t>log</m:t>
              </m:r>
            </m:fName>
            <m:e>
              <m:r>
                <w:rPr>
                  <w:rFonts w:ascii="Cambria Math" w:hAnsi="Cambria Math" w:cs="Arial"/>
                  <w:color w:val="000000"/>
                </w:rPr>
                <m:t>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0</m:t>
                      </m:r>
                    </m:sub>
                  </m:sSub>
                  <m:r>
                    <w:rPr>
                      <w:rFonts w:ascii="Cambria Math" w:hAnsi="Cambria Math" w:cs="Arial"/>
                      <w:color w:val="000000"/>
                    </w:rPr>
                    <m:t>,0</m:t>
                  </m:r>
                </m:e>
              </m:d>
              <m:r>
                <w:rPr>
                  <w:rFonts w:ascii="Cambria Math" w:hAnsi="Cambria Math" w:cs="Arial"/>
                  <w:color w:val="000000"/>
                </w:rPr>
                <m:t xml:space="preserve"> </m:t>
              </m:r>
            </m:e>
          </m:func>
          <m:r>
            <w:rPr>
              <w:rFonts w:ascii="Cambria Math" w:hAnsi="Cambria Math" w:cs="Arial"/>
              <w:color w:val="000000"/>
            </w:rPr>
            <m:t>–</m:t>
          </m:r>
          <m:nary>
            <m:naryPr>
              <m:limLoc m:val="subSup"/>
              <m:ctrlPr>
                <w:rPr>
                  <w:rFonts w:ascii="Cambria Math" w:hAnsi="Cambria Math" w:cs="Arial"/>
                  <w:i/>
                  <w:iCs/>
                  <w:color w:val="000000"/>
                </w:rPr>
              </m:ctrlPr>
            </m:naryPr>
            <m:sub>
              <m:r>
                <w:rPr>
                  <w:rFonts w:ascii="Cambria Math" w:hAnsi="Cambria Math" w:cs="Arial"/>
                  <w:color w:val="000000"/>
                </w:rPr>
                <m:t>0</m:t>
              </m:r>
            </m:sub>
            <m:sup>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sup>
            <m:e>
              <m:r>
                <w:rPr>
                  <w:rFonts w:ascii="Cambria Math" w:hAnsi="Cambria Math" w:cs="Arial"/>
                  <w:color w:val="000000"/>
                </w:rPr>
                <m:t>g</m:t>
              </m:r>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 xml:space="preserve"> dt</m:t>
              </m:r>
            </m:e>
          </m:nary>
          <m:r>
            <w:rPr>
              <w:rFonts w:ascii="Cambria Math" w:hAnsi="Cambria Math" w:cs="Arial"/>
              <w:color w:val="000000"/>
            </w:rPr>
            <m:t>+</m:t>
          </m:r>
          <m:func>
            <m:funcPr>
              <m:ctrlPr>
                <w:rPr>
                  <w:rFonts w:ascii="Cambria Math" w:hAnsi="Cambria Math" w:cs="Arial"/>
                  <w:i/>
                  <w:iCs/>
                  <w:color w:val="000000"/>
                </w:rPr>
              </m:ctrlPr>
            </m:funcPr>
            <m:fName>
              <m:r>
                <w:rPr>
                  <w:rFonts w:ascii="Cambria Math" w:hAnsi="Cambria Math" w:cs="Arial"/>
                  <w:color w:val="000000"/>
                </w:rPr>
                <m:t>2log</m:t>
              </m:r>
            </m:fName>
            <m:e>
              <m:r>
                <w:rPr>
                  <w:rFonts w:ascii="Cambria Math" w:hAnsi="Cambria Math" w:cs="Arial"/>
                  <w:color w:val="000000"/>
                </w:rPr>
                <m:t xml:space="preserve">C </m:t>
              </m:r>
            </m:e>
          </m:func>
          <m:r>
            <w:rPr>
              <w:rFonts w:ascii="Cambria Math" w:hAnsi="Cambria Math" w:cs="Arial"/>
              <w:color w:val="000000"/>
            </w:rPr>
            <m:t xml:space="preserve">                                               (12)</m:t>
          </m:r>
        </m:oMath>
      </m:oMathPara>
    </w:p>
    <w:p w:rsidR="002429F5" w:rsidRPr="00954C9A" w:rsidRDefault="002429F5" w:rsidP="002429F5">
      <w:pPr>
        <w:jc w:val="both"/>
        <w:rPr>
          <w:rFonts w:ascii="Arial" w:hAnsi="Arial" w:cs="Arial"/>
          <w:iCs/>
          <w:color w:val="000000"/>
        </w:rPr>
      </w:pPr>
    </w:p>
    <w:p w:rsidR="002429F5" w:rsidRPr="00954C9A" w:rsidRDefault="002429F5" w:rsidP="002429F5">
      <w:pPr>
        <w:jc w:val="both"/>
        <w:rPr>
          <w:rFonts w:ascii="Arial" w:hAnsi="Arial" w:cs="Arial"/>
          <w:iCs/>
          <w:color w:val="000000"/>
        </w:rPr>
      </w:pPr>
      <w:r w:rsidRPr="00954C9A">
        <w:rPr>
          <w:rFonts w:ascii="Arial" w:hAnsi="Arial" w:cs="Arial"/>
          <w:iCs/>
          <w:color w:val="000000"/>
        </w:rPr>
        <w:t xml:space="preserve">Then, from (b), </w:t>
      </w:r>
      <w:r>
        <w:rPr>
          <w:rFonts w:ascii="Arial" w:hAnsi="Arial" w:cs="Arial"/>
          <w:iCs/>
          <w:color w:val="000000"/>
        </w:rPr>
        <w:t>we get</w:t>
      </w:r>
    </w:p>
    <w:p w:rsidR="002429F5" w:rsidRPr="00954C9A" w:rsidRDefault="002429F5" w:rsidP="002429F5">
      <w:pPr>
        <w:jc w:val="both"/>
        <w:rPr>
          <w:rFonts w:ascii="Arial" w:hAnsi="Arial" w:cs="Arial"/>
          <w:iCs/>
          <w:color w:val="000000"/>
        </w:rPr>
      </w:pPr>
    </w:p>
    <w:p w:rsidR="002429F5" w:rsidRPr="00954C9A" w:rsidRDefault="001345E4" w:rsidP="002429F5">
      <w:pPr>
        <w:jc w:val="both"/>
        <w:rPr>
          <w:rFonts w:ascii="Arial" w:hAnsi="Arial" w:cs="Arial"/>
          <w:iCs/>
          <w:color w:val="000000"/>
        </w:rPr>
      </w:pPr>
      <m:oMathPara>
        <m:oMathParaPr>
          <m:jc m:val="center"/>
        </m:oMathParaPr>
        <m:oMath>
          <m:f>
            <m:fPr>
              <m:ctrlPr>
                <w:rPr>
                  <w:rFonts w:ascii="Cambria Math" w:hAnsi="Cambria Math" w:cs="Arial"/>
                  <w:i/>
                  <w:iCs/>
                  <w:color w:val="000000"/>
                </w:rPr>
              </m:ctrlPr>
            </m:fPr>
            <m:num>
              <m:r>
                <w:rPr>
                  <w:rFonts w:ascii="Cambria Math" w:hAnsi="Cambria Math" w:cs="Arial"/>
                  <w:color w:val="000000"/>
                </w:rPr>
                <m:t>1</m:t>
              </m:r>
            </m:num>
            <m:den>
              <m:func>
                <m:funcPr>
                  <m:ctrlPr>
                    <w:rPr>
                      <w:rFonts w:ascii="Cambria Math" w:hAnsi="Cambria Math" w:cs="Arial"/>
                      <w:i/>
                      <w:iCs/>
                      <w:color w:val="000000"/>
                    </w:rPr>
                  </m:ctrlPr>
                </m:funcPr>
                <m:fName>
                  <m:r>
                    <m:rPr>
                      <m:sty m:val="p"/>
                    </m:rPr>
                    <w:rPr>
                      <w:rFonts w:ascii="Cambria Math" w:hAnsi="Cambria Math" w:cs="Arial"/>
                      <w:color w:val="000000"/>
                    </w:rPr>
                    <m:t>log</m:t>
                  </m:r>
                </m:fName>
                <m:e>
                  <m:sSub>
                    <m:sSubPr>
                      <m:ctrlPr>
                        <w:rPr>
                          <w:rFonts w:ascii="Cambria Math" w:hAnsi="Cambria Math" w:cs="Arial"/>
                          <w:i/>
                          <w:iCs/>
                          <w:color w:val="000000"/>
                        </w:rPr>
                      </m:ctrlPr>
                    </m:sSubPr>
                    <m:e>
                      <m:r>
                        <w:rPr>
                          <w:rFonts w:ascii="Cambria Math" w:hAnsi="Cambria Math" w:cs="Arial"/>
                          <w:color w:val="000000"/>
                        </w:rPr>
                        <m:t>λ</m:t>
                      </m:r>
                    </m:e>
                    <m:sub>
                      <m:r>
                        <w:rPr>
                          <w:rFonts w:ascii="Cambria Math" w:hAnsi="Cambria Math" w:cs="Arial"/>
                          <w:color w:val="000000"/>
                        </w:rPr>
                        <m:t>k</m:t>
                      </m:r>
                    </m:sub>
                  </m:sSub>
                  <m:r>
                    <w:rPr>
                      <w:rFonts w:ascii="Cambria Math" w:hAnsi="Cambria Math" w:cs="Arial"/>
                      <w:color w:val="000000"/>
                    </w:rPr>
                    <m:t>(</m:t>
                  </m:r>
                  <m:r>
                    <m:rPr>
                      <m:sty m:val="p"/>
                    </m:rPr>
                    <w:rPr>
                      <w:rFonts w:ascii="Cambria Math" w:hAnsi="Cambria Math" w:cs="Arial"/>
                      <w:iCs/>
                      <w:color w:val="000000"/>
                    </w:rPr>
                    <w:sym w:font="Symbol" w:char="F044"/>
                  </m:r>
                  <m:r>
                    <m:rPr>
                      <m:sty m:val="p"/>
                    </m:rPr>
                    <w:rPr>
                      <w:rFonts w:ascii="Cambria Math" w:hAnsi="Cambria Math" w:cs="Arial"/>
                      <w:color w:val="000000"/>
                    </w:rPr>
                    <m:t>t</m:t>
                  </m:r>
                  <m:r>
                    <w:rPr>
                      <w:rFonts w:ascii="Cambria Math" w:hAnsi="Cambria Math" w:cs="Arial"/>
                      <w:color w:val="000000"/>
                    </w:rPr>
                    <m:t>)</m:t>
                  </m:r>
                </m:e>
              </m:func>
            </m:den>
          </m:f>
          <m:func>
            <m:funcPr>
              <m:ctrlPr>
                <w:rPr>
                  <w:rFonts w:ascii="Cambria Math" w:hAnsi="Cambria Math" w:cs="Arial"/>
                  <w:i/>
                  <w:iCs/>
                  <w:color w:val="000000"/>
                </w:rPr>
              </m:ctrlPr>
            </m:funcPr>
            <m:fName>
              <m:r>
                <m:rPr>
                  <m:sty m:val="p"/>
                </m:rPr>
                <w:rPr>
                  <w:rFonts w:ascii="Cambria Math" w:hAnsi="Cambria Math" w:cs="Arial"/>
                  <w:color w:val="000000"/>
                </w:rPr>
                <m:t>log</m:t>
              </m:r>
            </m:fName>
            <m:e>
              <m:sSup>
                <m:sSupPr>
                  <m:ctrlPr>
                    <w:rPr>
                      <w:rFonts w:ascii="Cambria Math" w:hAnsi="Cambria Math" w:cs="Arial"/>
                      <w:i/>
                      <w:iCs/>
                      <w:color w:val="000000"/>
                    </w:rPr>
                  </m:ctrlPr>
                </m:sSupPr>
                <m:e>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k</m:t>
                      </m:r>
                    </m:sub>
                  </m:sSub>
                  <m:r>
                    <w:rPr>
                      <w:rFonts w:ascii="Cambria Math" w:hAnsi="Cambria Math" w:cs="Arial"/>
                      <w:color w:val="000000"/>
                    </w:rPr>
                    <m:t>∥</m:t>
                  </m:r>
                </m:e>
                <m:sup>
                  <m:r>
                    <w:rPr>
                      <w:rFonts w:ascii="Cambria Math" w:hAnsi="Cambria Math" w:cs="Arial"/>
                      <w:color w:val="000000"/>
                    </w:rPr>
                    <m:t>p</m:t>
                  </m:r>
                </m:sup>
              </m:sSup>
              <m:r>
                <w:rPr>
                  <w:rFonts w:ascii="Cambria Math" w:hAnsi="Cambria Math" w:cs="Arial"/>
                  <w:color w:val="000000"/>
                </w:rPr>
                <m:t>≤</m:t>
              </m:r>
            </m:e>
          </m:func>
          <m:r>
            <w:rPr>
              <w:rFonts w:ascii="Cambria Math" w:hAnsi="Cambria Math" w:cs="Arial"/>
              <w:color w:val="000000"/>
            </w:rPr>
            <m:t xml:space="preserve"> </m:t>
          </m:r>
          <m:f>
            <m:fPr>
              <m:ctrlPr>
                <w:rPr>
                  <w:rFonts w:ascii="Cambria Math" w:hAnsi="Cambria Math" w:cs="Arial"/>
                  <w:iCs/>
                  <w:color w:val="000000"/>
                </w:rPr>
              </m:ctrlPr>
            </m:fPr>
            <m:num>
              <m:func>
                <m:funcPr>
                  <m:ctrlPr>
                    <w:rPr>
                      <w:rFonts w:ascii="Cambria Math" w:hAnsi="Cambria Math" w:cs="Arial"/>
                      <w:iCs/>
                      <w:color w:val="000000"/>
                    </w:rPr>
                  </m:ctrlPr>
                </m:funcPr>
                <m:fName>
                  <m:r>
                    <m:rPr>
                      <m:sty m:val="p"/>
                    </m:rPr>
                    <w:rPr>
                      <w:rFonts w:ascii="Cambria Math" w:hAnsi="Cambria Math" w:cs="Arial"/>
                      <w:color w:val="000000"/>
                    </w:rPr>
                    <m:t>log</m:t>
                  </m:r>
                </m:fName>
                <m:e>
                  <m:r>
                    <w:rPr>
                      <w:rFonts w:ascii="Cambria Math" w:hAnsi="Cambria Math" w:cs="Arial"/>
                      <w:color w:val="000000"/>
                    </w:rPr>
                    <m:t>V</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0</m:t>
                          </m:r>
                        </m:sub>
                      </m:sSub>
                      <m:r>
                        <w:rPr>
                          <w:rFonts w:ascii="Cambria Math" w:hAnsi="Cambria Math" w:cs="Arial"/>
                          <w:color w:val="000000"/>
                        </w:rPr>
                        <m:t>,0</m:t>
                      </m:r>
                    </m:e>
                  </m:d>
                  <m:r>
                    <w:rPr>
                      <w:rFonts w:ascii="Cambria Math" w:hAnsi="Cambria Math" w:cs="Arial"/>
                      <w:color w:val="000000"/>
                    </w:rPr>
                    <m:t xml:space="preserve"> </m:t>
                  </m:r>
                </m:e>
              </m:func>
            </m:num>
            <m:den>
              <m:func>
                <m:funcPr>
                  <m:ctrlPr>
                    <w:rPr>
                      <w:rFonts w:ascii="Cambria Math" w:hAnsi="Cambria Math" w:cs="Arial"/>
                      <w:i/>
                      <w:iCs/>
                      <w:color w:val="000000"/>
                    </w:rPr>
                  </m:ctrlPr>
                </m:funcPr>
                <m:fName>
                  <m:r>
                    <m:rPr>
                      <m:sty m:val="p"/>
                    </m:rPr>
                    <w:rPr>
                      <w:rFonts w:ascii="Cambria Math" w:hAnsi="Cambria Math" w:cs="Arial"/>
                      <w:color w:val="000000"/>
                    </w:rPr>
                    <m:t>log</m:t>
                  </m:r>
                </m:fName>
                <m:e>
                  <m:sSub>
                    <m:sSubPr>
                      <m:ctrlPr>
                        <w:rPr>
                          <w:rFonts w:ascii="Cambria Math" w:hAnsi="Cambria Math" w:cs="Arial"/>
                          <w:i/>
                          <w:iCs/>
                          <w:color w:val="000000"/>
                        </w:rPr>
                      </m:ctrlPr>
                    </m:sSubPr>
                    <m:e>
                      <m:r>
                        <w:rPr>
                          <w:rFonts w:ascii="Cambria Math" w:hAnsi="Cambria Math" w:cs="Arial"/>
                          <w:color w:val="000000"/>
                        </w:rPr>
                        <m:t>λ</m:t>
                      </m:r>
                    </m:e>
                    <m:sub>
                      <m:r>
                        <w:rPr>
                          <w:rFonts w:ascii="Cambria Math" w:hAnsi="Cambria Math" w:cs="Arial"/>
                          <w:color w:val="000000"/>
                        </w:rPr>
                        <m:t>k</m:t>
                      </m:r>
                    </m:sub>
                  </m:sSub>
                  <m:d>
                    <m:dPr>
                      <m:ctrlPr>
                        <w:rPr>
                          <w:rFonts w:ascii="Cambria Math" w:hAnsi="Cambria Math" w:cs="Arial"/>
                          <w:i/>
                          <w:iCs/>
                          <w:color w:val="000000"/>
                        </w:rPr>
                      </m:ctrlPr>
                    </m:dPr>
                    <m:e>
                      <m:r>
                        <m:rPr>
                          <m:sty m:val="p"/>
                        </m:rPr>
                        <w:rPr>
                          <w:rFonts w:ascii="Cambria Math" w:hAnsi="Cambria Math" w:cs="Arial"/>
                          <w:iCs/>
                          <w:color w:val="000000"/>
                        </w:rPr>
                        <w:sym w:font="Symbol" w:char="F044"/>
                      </m:r>
                      <m:r>
                        <m:rPr>
                          <m:sty m:val="p"/>
                        </m:rPr>
                        <w:rPr>
                          <w:rFonts w:ascii="Cambria Math" w:hAnsi="Cambria Math" w:cs="Arial"/>
                          <w:color w:val="000000"/>
                        </w:rPr>
                        <m:t>t</m:t>
                      </m:r>
                    </m:e>
                  </m:d>
                </m:e>
              </m:func>
            </m:den>
          </m:f>
          <m:r>
            <w:rPr>
              <w:rFonts w:ascii="Cambria Math" w:hAnsi="Cambria Math" w:cs="Arial"/>
              <w:color w:val="000000"/>
            </w:rPr>
            <m:t>-</m:t>
          </m:r>
          <m:f>
            <m:fPr>
              <m:ctrlPr>
                <w:rPr>
                  <w:rFonts w:ascii="Cambria Math" w:hAnsi="Cambria Math" w:cs="Arial"/>
                  <w:i/>
                  <w:iCs/>
                  <w:color w:val="000000"/>
                </w:rPr>
              </m:ctrlPr>
            </m:fPr>
            <m:num>
              <m:nary>
                <m:naryPr>
                  <m:limLoc m:val="subSup"/>
                  <m:ctrlPr>
                    <w:rPr>
                      <w:rFonts w:ascii="Cambria Math" w:hAnsi="Cambria Math" w:cs="Arial"/>
                      <w:i/>
                      <w:iCs/>
                      <w:color w:val="000000"/>
                    </w:rPr>
                  </m:ctrlPr>
                </m:naryPr>
                <m:sub>
                  <m:r>
                    <w:rPr>
                      <w:rFonts w:ascii="Cambria Math" w:hAnsi="Cambria Math" w:cs="Arial"/>
                      <w:color w:val="000000"/>
                    </w:rPr>
                    <m:t>0</m:t>
                  </m:r>
                </m:sub>
                <m:sup>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k+1</m:t>
                      </m:r>
                    </m:sub>
                  </m:sSub>
                </m:sup>
                <m:e>
                  <m:r>
                    <w:rPr>
                      <w:rFonts w:ascii="Cambria Math" w:hAnsi="Cambria Math" w:cs="Arial"/>
                      <w:color w:val="000000"/>
                    </w:rPr>
                    <m:t>g</m:t>
                  </m:r>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 xml:space="preserve"> dt</m:t>
                  </m:r>
                </m:e>
              </m:nary>
            </m:num>
            <m:den>
              <m:func>
                <m:funcPr>
                  <m:ctrlPr>
                    <w:rPr>
                      <w:rFonts w:ascii="Cambria Math" w:hAnsi="Cambria Math" w:cs="Arial"/>
                      <w:i/>
                      <w:iCs/>
                      <w:color w:val="000000"/>
                    </w:rPr>
                  </m:ctrlPr>
                </m:funcPr>
                <m:fName>
                  <m:r>
                    <m:rPr>
                      <m:sty m:val="p"/>
                    </m:rPr>
                    <w:rPr>
                      <w:rFonts w:ascii="Cambria Math" w:hAnsi="Cambria Math" w:cs="Arial"/>
                      <w:color w:val="000000"/>
                    </w:rPr>
                    <m:t>log</m:t>
                  </m:r>
                </m:fName>
                <m:e>
                  <m:sSub>
                    <m:sSubPr>
                      <m:ctrlPr>
                        <w:rPr>
                          <w:rFonts w:ascii="Cambria Math" w:hAnsi="Cambria Math" w:cs="Arial"/>
                          <w:i/>
                          <w:iCs/>
                          <w:color w:val="000000"/>
                        </w:rPr>
                      </m:ctrlPr>
                    </m:sSubPr>
                    <m:e>
                      <m:r>
                        <w:rPr>
                          <w:rFonts w:ascii="Cambria Math" w:hAnsi="Cambria Math" w:cs="Arial"/>
                          <w:color w:val="000000"/>
                        </w:rPr>
                        <m:t>λ</m:t>
                      </m:r>
                    </m:e>
                    <m:sub>
                      <m:r>
                        <w:rPr>
                          <w:rFonts w:ascii="Cambria Math" w:hAnsi="Cambria Math" w:cs="Arial"/>
                          <w:color w:val="000000"/>
                        </w:rPr>
                        <m:t>k</m:t>
                      </m:r>
                    </m:sub>
                  </m:sSub>
                  <m:d>
                    <m:dPr>
                      <m:ctrlPr>
                        <w:rPr>
                          <w:rFonts w:ascii="Cambria Math" w:hAnsi="Cambria Math" w:cs="Arial"/>
                          <w:i/>
                          <w:iCs/>
                          <w:color w:val="000000"/>
                        </w:rPr>
                      </m:ctrlPr>
                    </m:dPr>
                    <m:e>
                      <m:r>
                        <m:rPr>
                          <m:sty m:val="p"/>
                        </m:rPr>
                        <w:rPr>
                          <w:rFonts w:ascii="Cambria Math" w:hAnsi="Cambria Math" w:cs="Arial"/>
                          <w:iCs/>
                          <w:color w:val="000000"/>
                        </w:rPr>
                        <w:sym w:font="Symbol" w:char="F044"/>
                      </m:r>
                      <m:r>
                        <m:rPr>
                          <m:sty m:val="p"/>
                        </m:rPr>
                        <w:rPr>
                          <w:rFonts w:ascii="Cambria Math" w:hAnsi="Cambria Math" w:cs="Arial"/>
                          <w:color w:val="000000"/>
                        </w:rPr>
                        <m:t>t</m:t>
                      </m:r>
                    </m:e>
                  </m:d>
                </m:e>
              </m:func>
            </m:den>
          </m:f>
          <m:r>
            <w:rPr>
              <w:rFonts w:ascii="Cambria Math" w:hAnsi="Cambria Math" w:cs="Arial"/>
              <w:color w:val="000000"/>
            </w:rPr>
            <m:t>+</m:t>
          </m:r>
          <m:f>
            <m:fPr>
              <m:ctrlPr>
                <w:rPr>
                  <w:rFonts w:ascii="Cambria Math" w:hAnsi="Cambria Math" w:cs="Arial"/>
                  <w:i/>
                  <w:iCs/>
                  <w:color w:val="000000"/>
                </w:rPr>
              </m:ctrlPr>
            </m:fPr>
            <m:num>
              <m:func>
                <m:funcPr>
                  <m:ctrlPr>
                    <w:rPr>
                      <w:rFonts w:ascii="Cambria Math" w:hAnsi="Cambria Math" w:cs="Arial"/>
                      <w:i/>
                      <w:iCs/>
                      <w:color w:val="000000"/>
                    </w:rPr>
                  </m:ctrlPr>
                </m:funcPr>
                <m:fName>
                  <m:r>
                    <w:rPr>
                      <w:rFonts w:ascii="Cambria Math" w:hAnsi="Cambria Math" w:cs="Arial"/>
                      <w:color w:val="000000"/>
                    </w:rPr>
                    <m:t>2 log</m:t>
                  </m:r>
                </m:fName>
                <m:e>
                  <m:r>
                    <w:rPr>
                      <w:rFonts w:ascii="Cambria Math" w:hAnsi="Cambria Math" w:cs="Arial"/>
                      <w:color w:val="000000"/>
                    </w:rPr>
                    <m:t>C</m:t>
                  </m:r>
                </m:e>
              </m:func>
            </m:num>
            <m:den>
              <m:func>
                <m:funcPr>
                  <m:ctrlPr>
                    <w:rPr>
                      <w:rFonts w:ascii="Cambria Math" w:hAnsi="Cambria Math" w:cs="Arial"/>
                      <w:i/>
                      <w:iCs/>
                      <w:color w:val="000000"/>
                    </w:rPr>
                  </m:ctrlPr>
                </m:funcPr>
                <m:fName>
                  <m:r>
                    <m:rPr>
                      <m:sty m:val="p"/>
                    </m:rPr>
                    <w:rPr>
                      <w:rFonts w:ascii="Cambria Math" w:hAnsi="Cambria Math" w:cs="Arial"/>
                      <w:color w:val="000000"/>
                    </w:rPr>
                    <m:t>log</m:t>
                  </m:r>
                </m:fName>
                <m:e>
                  <m:sSub>
                    <m:sSubPr>
                      <m:ctrlPr>
                        <w:rPr>
                          <w:rFonts w:ascii="Cambria Math" w:hAnsi="Cambria Math" w:cs="Arial"/>
                          <w:i/>
                          <w:iCs/>
                          <w:color w:val="000000"/>
                        </w:rPr>
                      </m:ctrlPr>
                    </m:sSubPr>
                    <m:e>
                      <m:r>
                        <w:rPr>
                          <w:rFonts w:ascii="Cambria Math" w:hAnsi="Cambria Math" w:cs="Arial"/>
                          <w:color w:val="000000"/>
                        </w:rPr>
                        <m:t>λ</m:t>
                      </m:r>
                    </m:e>
                    <m:sub>
                      <m:r>
                        <w:rPr>
                          <w:rFonts w:ascii="Cambria Math" w:hAnsi="Cambria Math" w:cs="Arial"/>
                          <w:color w:val="000000"/>
                        </w:rPr>
                        <m:t>k</m:t>
                      </m:r>
                    </m:sub>
                  </m:sSub>
                  <m:r>
                    <w:rPr>
                      <w:rFonts w:ascii="Cambria Math" w:hAnsi="Cambria Math" w:cs="Arial"/>
                      <w:color w:val="000000"/>
                    </w:rPr>
                    <m:t>(</m:t>
                  </m:r>
                  <m:r>
                    <m:rPr>
                      <m:sty m:val="p"/>
                    </m:rPr>
                    <w:rPr>
                      <w:rFonts w:ascii="Cambria Math" w:hAnsi="Cambria Math" w:cs="Arial"/>
                      <w:iCs/>
                      <w:color w:val="000000"/>
                    </w:rPr>
                    <w:sym w:font="Symbol" w:char="F044"/>
                  </m:r>
                  <m:r>
                    <m:rPr>
                      <m:sty m:val="p"/>
                    </m:rPr>
                    <w:rPr>
                      <w:rFonts w:ascii="Cambria Math" w:hAnsi="Cambria Math" w:cs="Arial"/>
                      <w:color w:val="000000"/>
                    </w:rPr>
                    <m:t>t</m:t>
                  </m:r>
                  <m:r>
                    <w:rPr>
                      <w:rFonts w:ascii="Cambria Math" w:hAnsi="Cambria Math" w:cs="Arial"/>
                      <w:color w:val="000000"/>
                    </w:rPr>
                    <m:t>)</m:t>
                  </m:r>
                </m:e>
              </m:func>
            </m:den>
          </m:f>
        </m:oMath>
      </m:oMathPara>
    </w:p>
    <w:p w:rsidR="002429F5" w:rsidRPr="00954C9A" w:rsidRDefault="002429F5" w:rsidP="002429F5">
      <w:pPr>
        <w:jc w:val="both"/>
        <w:rPr>
          <w:rFonts w:ascii="Arial" w:hAnsi="Arial" w:cs="Arial"/>
          <w:iCs/>
          <w:color w:val="000000"/>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Finally, because sequence</w:t>
      </w:r>
      <m:oMath>
        <m:r>
          <m:rPr>
            <m:sty m:val="bi"/>
          </m:rPr>
          <w:rPr>
            <w:rFonts w:ascii="Cambria Math" w:hAnsi="Cambria Math" w:cs="Arial"/>
            <w:color w:val="000000"/>
            <w:lang w:val="en-US"/>
          </w:rPr>
          <m:t xml:space="preserve"> </m:t>
        </m:r>
        <m:sSub>
          <m:sSubPr>
            <m:ctrlPr>
              <w:rPr>
                <w:rFonts w:ascii="Cambria Math" w:hAnsi="Cambria Math" w:cs="Arial"/>
                <w:i/>
                <w:iCs/>
                <w:color w:val="000000"/>
              </w:rPr>
            </m:ctrlPr>
          </m:sSubPr>
          <m:e>
            <m:r>
              <w:rPr>
                <w:rFonts w:ascii="Cambria Math" w:hAnsi="Cambria Math" w:cs="Arial"/>
                <w:color w:val="000000"/>
                <w:lang w:val="en-US"/>
              </w:rPr>
              <m:t>{</m:t>
            </m:r>
            <m:sSub>
              <m:sSubPr>
                <m:ctrlPr>
                  <w:rPr>
                    <w:rFonts w:ascii="Cambria Math" w:hAnsi="Cambria Math" w:cs="Arial"/>
                    <w:iCs/>
                    <w:color w:val="000000"/>
                  </w:rPr>
                </m:ctrlPr>
              </m:sSubPr>
              <m:e>
                <m:r>
                  <m:rPr>
                    <m:sty m:val="p"/>
                  </m:rPr>
                  <w:rPr>
                    <w:rFonts w:ascii="Cambria Math" w:hAnsi="Cambria Math" w:cs="Arial"/>
                    <w:color w:val="000000"/>
                  </w:rPr>
                  <m:t>λ</m:t>
                </m:r>
              </m:e>
              <m:sub>
                <m:r>
                  <w:rPr>
                    <w:rFonts w:ascii="Cambria Math" w:hAnsi="Cambria Math" w:cs="Arial"/>
                    <w:color w:val="000000"/>
                  </w:rPr>
                  <m:t>k</m:t>
                </m:r>
              </m:sub>
            </m:sSub>
            <m:r>
              <w:rPr>
                <w:rFonts w:ascii="Cambria Math" w:hAnsi="Cambria Math" w:cs="Arial"/>
                <w:color w:val="000000"/>
                <w:lang w:val="en-US"/>
              </w:rPr>
              <m:t>(</m:t>
            </m:r>
            <m:r>
              <m:rPr>
                <m:sty m:val="p"/>
              </m:rPr>
              <w:rPr>
                <w:rFonts w:ascii="Cambria Math" w:hAnsi="Cambria Math" w:cs="Arial"/>
                <w:color w:val="000000"/>
                <w:lang w:val="en-US"/>
              </w:rPr>
              <m:t>t</m:t>
            </m:r>
            <m:r>
              <w:rPr>
                <w:rFonts w:ascii="Cambria Math" w:hAnsi="Cambria Math" w:cs="Arial"/>
                <w:color w:val="000000"/>
                <w:lang w:val="en-US"/>
              </w:rPr>
              <m:t>)}</m:t>
            </m:r>
          </m:e>
          <m:sub>
            <m:r>
              <w:rPr>
                <w:rFonts w:ascii="Cambria Math" w:hAnsi="Cambria Math" w:cs="Arial"/>
                <w:color w:val="000000"/>
              </w:rPr>
              <m:t>k</m:t>
            </m:r>
          </m:sub>
        </m:sSub>
      </m:oMath>
      <w:r w:rsidRPr="002429F5">
        <w:rPr>
          <w:rFonts w:ascii="Arial" w:hAnsi="Arial" w:cs="Arial"/>
          <w:b/>
          <w:iCs/>
          <w:color w:val="000000"/>
          <w:lang w:val="en-US"/>
        </w:rPr>
        <w:t xml:space="preserve"> </w:t>
      </w:r>
      <w:r w:rsidRPr="002429F5">
        <w:rPr>
          <w:rFonts w:ascii="Arial" w:hAnsi="Arial" w:cs="Arial"/>
          <w:iCs/>
          <w:color w:val="000000"/>
          <w:lang w:val="en-US"/>
        </w:rPr>
        <w:t>is increasing</w:t>
      </w:r>
      <w:r w:rsidRPr="002429F5">
        <w:rPr>
          <w:rFonts w:ascii="Arial" w:hAnsi="Arial" w:cs="Arial"/>
          <w:b/>
          <w:iCs/>
          <w:color w:val="000000"/>
          <w:lang w:val="en-US"/>
        </w:rPr>
        <w:t xml:space="preserve"> </w:t>
      </w:r>
      <w:r w:rsidRPr="002429F5">
        <w:rPr>
          <w:rFonts w:ascii="Arial" w:hAnsi="Arial" w:cs="Arial"/>
          <w:iCs/>
          <w:color w:val="000000"/>
          <w:lang w:val="en-US"/>
        </w:rPr>
        <w:t xml:space="preserve">and </w:t>
      </w:r>
      <m:oMath>
        <m:r>
          <w:rPr>
            <w:rFonts w:ascii="Cambria Math" w:hAnsi="Cambria Math" w:cs="Arial"/>
            <w:color w:val="000000"/>
          </w:rPr>
          <m:t>g</m:t>
        </m:r>
        <m:d>
          <m:dPr>
            <m:ctrlPr>
              <w:rPr>
                <w:rFonts w:ascii="Cambria Math" w:hAnsi="Cambria Math" w:cs="Arial"/>
                <w:i/>
                <w:iCs/>
                <w:color w:val="000000"/>
              </w:rPr>
            </m:ctrlPr>
          </m:dPr>
          <m:e>
            <m:r>
              <w:rPr>
                <w:rFonts w:ascii="Cambria Math" w:hAnsi="Cambria Math" w:cs="Arial"/>
                <w:color w:val="000000"/>
              </w:rPr>
              <m:t>t</m:t>
            </m:r>
          </m:e>
        </m:d>
      </m:oMath>
      <w:r w:rsidRPr="002429F5">
        <w:rPr>
          <w:rFonts w:ascii="Arial" w:hAnsi="Arial" w:cs="Arial"/>
          <w:iCs/>
          <w:color w:val="000000"/>
          <w:lang w:val="en-US"/>
        </w:rPr>
        <w:t xml:space="preserve"> is</w:t>
      </w:r>
      <w:r w:rsidRPr="002429F5">
        <w:rPr>
          <w:rFonts w:ascii="Arial" w:hAnsi="Arial" w:cs="Arial"/>
          <w:b/>
          <w:iCs/>
          <w:color w:val="000000"/>
          <w:lang w:val="en-US"/>
        </w:rPr>
        <w:t xml:space="preserve"> </w:t>
      </w:r>
      <w:r w:rsidRPr="002429F5">
        <w:rPr>
          <w:rFonts w:ascii="Arial" w:hAnsi="Arial" w:cs="Arial"/>
          <w:iCs/>
          <w:color w:val="000000"/>
          <w:lang w:val="en-US"/>
        </w:rPr>
        <w:t xml:space="preserve">non-negative, there exists </w:t>
      </w:r>
      <m:oMath>
        <m:r>
          <w:rPr>
            <w:rFonts w:ascii="Cambria Math" w:hAnsi="Cambria Math" w:cs="Arial"/>
            <w:color w:val="000000"/>
          </w:rPr>
          <m:t>r</m:t>
        </m:r>
        <m:r>
          <w:rPr>
            <w:rFonts w:ascii="Cambria Math" w:hAnsi="Cambria Math" w:cs="Arial"/>
            <w:color w:val="000000"/>
            <w:lang w:val="en-US"/>
          </w:rPr>
          <m:t>&gt;0</m:t>
        </m:r>
      </m:oMath>
      <w:r w:rsidRPr="002429F5">
        <w:rPr>
          <w:rFonts w:ascii="Arial" w:hAnsi="Arial" w:cs="Arial"/>
          <w:iCs/>
          <w:color w:val="000000"/>
          <w:lang w:val="en-US"/>
        </w:rPr>
        <w:t>, such that</w:t>
      </w:r>
    </w:p>
    <w:p w:rsidR="002429F5" w:rsidRPr="002429F5" w:rsidRDefault="002429F5" w:rsidP="002429F5">
      <w:pPr>
        <w:jc w:val="both"/>
        <w:rPr>
          <w:rFonts w:ascii="Arial" w:hAnsi="Arial" w:cs="Arial"/>
          <w:iCs/>
          <w:color w:val="000000"/>
          <w:lang w:val="en-US"/>
        </w:rPr>
      </w:pPr>
    </w:p>
    <w:p w:rsidR="002429F5" w:rsidRPr="002429F5" w:rsidRDefault="001345E4" w:rsidP="002429F5">
      <w:pPr>
        <w:jc w:val="center"/>
        <w:rPr>
          <w:rFonts w:ascii="Arial" w:hAnsi="Arial" w:cs="Arial"/>
          <w:iCs/>
          <w:color w:val="000000"/>
          <w:lang w:val="en-US"/>
        </w:rPr>
      </w:pPr>
      <m:oMath>
        <m:func>
          <m:funcPr>
            <m:ctrlPr>
              <w:rPr>
                <w:rFonts w:ascii="Cambria Math" w:hAnsi="Cambria Math" w:cs="Arial"/>
                <w:i/>
                <w:iCs/>
                <w:color w:val="000000"/>
              </w:rPr>
            </m:ctrlPr>
          </m:funcPr>
          <m:fName>
            <m:limLow>
              <m:limLowPr>
                <m:ctrlPr>
                  <w:rPr>
                    <w:rFonts w:ascii="Cambria Math" w:hAnsi="Cambria Math" w:cs="Arial"/>
                    <w:i/>
                    <w:iCs/>
                    <w:color w:val="000000"/>
                  </w:rPr>
                </m:ctrlPr>
              </m:limLowPr>
              <m:e>
                <m:r>
                  <m:rPr>
                    <m:sty m:val="p"/>
                  </m:rPr>
                  <w:rPr>
                    <w:rFonts w:ascii="Cambria Math" w:hAnsi="Cambria Math" w:cs="Arial"/>
                    <w:color w:val="000000"/>
                    <w:lang w:val="en-US"/>
                  </w:rPr>
                  <m:t>lim⁡sup</m:t>
                </m:r>
              </m:e>
              <m:lim>
                <m:r>
                  <w:rPr>
                    <w:rFonts w:ascii="Cambria Math" w:hAnsi="Cambria Math" w:cs="Arial"/>
                    <w:color w:val="000000"/>
                  </w:rPr>
                  <m:t>k</m:t>
                </m:r>
                <m:r>
                  <w:rPr>
                    <w:rFonts w:ascii="Cambria Math" w:hAnsi="Cambria Math" w:cs="Arial"/>
                    <w:color w:val="000000"/>
                    <w:lang w:val="en-US"/>
                  </w:rPr>
                  <m:t>→</m:t>
                </m:r>
                <m:r>
                  <w:rPr>
                    <w:rFonts w:ascii="Cambria Math" w:hAnsi="Cambria Math" w:cs="Arial"/>
                    <w:i/>
                    <w:iCs/>
                    <w:color w:val="000000"/>
                  </w:rPr>
                  <w:sym w:font="Symbol" w:char="F0A5"/>
                </m:r>
              </m:lim>
            </m:limLow>
          </m:fName>
          <m:e>
            <m:f>
              <m:fPr>
                <m:ctrlPr>
                  <w:rPr>
                    <w:rFonts w:ascii="Cambria Math" w:hAnsi="Cambria Math" w:cs="Arial"/>
                    <w:i/>
                    <w:iCs/>
                    <w:color w:val="000000"/>
                  </w:rPr>
                </m:ctrlPr>
              </m:fPr>
              <m:num>
                <m:r>
                  <w:rPr>
                    <w:rFonts w:ascii="Cambria Math" w:hAnsi="Cambria Math" w:cs="Arial"/>
                    <w:color w:val="000000"/>
                    <w:lang w:val="en-US"/>
                  </w:rPr>
                  <m:t>1</m:t>
                </m:r>
              </m:num>
              <m:den>
                <m:func>
                  <m:funcPr>
                    <m:ctrlPr>
                      <w:rPr>
                        <w:rFonts w:ascii="Cambria Math" w:hAnsi="Cambria Math" w:cs="Arial"/>
                        <w:i/>
                        <w:iCs/>
                        <w:color w:val="000000"/>
                      </w:rPr>
                    </m:ctrlPr>
                  </m:funcPr>
                  <m:fName>
                    <m:r>
                      <m:rPr>
                        <m:sty m:val="p"/>
                      </m:rPr>
                      <w:rPr>
                        <w:rFonts w:ascii="Cambria Math" w:hAnsi="Cambria Math" w:cs="Arial"/>
                        <w:color w:val="000000"/>
                        <w:lang w:val="en-US"/>
                      </w:rPr>
                      <m:t>log</m:t>
                    </m:r>
                  </m:fName>
                  <m:e>
                    <m:sSub>
                      <m:sSubPr>
                        <m:ctrlPr>
                          <w:rPr>
                            <w:rFonts w:ascii="Cambria Math" w:hAnsi="Cambria Math" w:cs="Arial"/>
                            <w:b/>
                            <w:i/>
                            <w:iCs/>
                            <w:color w:val="000000"/>
                          </w:rPr>
                        </m:ctrlPr>
                      </m:sSubPr>
                      <m:e>
                        <m:r>
                          <w:rPr>
                            <w:rFonts w:ascii="Cambria Math" w:hAnsi="Cambria Math" w:cs="Arial"/>
                            <w:color w:val="000000"/>
                          </w:rPr>
                          <m:t>λ</m:t>
                        </m:r>
                      </m:e>
                      <m:sub>
                        <m:r>
                          <w:rPr>
                            <w:rFonts w:ascii="Cambria Math" w:hAnsi="Cambria Math" w:cs="Arial"/>
                            <w:color w:val="000000"/>
                          </w:rPr>
                          <m:t>k</m:t>
                        </m:r>
                      </m:sub>
                    </m:sSub>
                    <m:r>
                      <w:rPr>
                        <w:rFonts w:ascii="Cambria Math" w:hAnsi="Cambria Math" w:cs="Arial"/>
                        <w:color w:val="000000"/>
                        <w:lang w:val="en-US"/>
                      </w:rPr>
                      <m:t>(</m:t>
                    </m:r>
                    <m:r>
                      <m:rPr>
                        <m:sty m:val="b"/>
                      </m:rPr>
                      <w:rPr>
                        <w:rFonts w:ascii="Cambria Math" w:hAnsi="Cambria Math" w:cs="Arial"/>
                        <w:b/>
                        <w:iCs/>
                        <w:color w:val="000000"/>
                      </w:rPr>
                      <w:sym w:font="Symbol" w:char="F044"/>
                    </m:r>
                    <m:r>
                      <m:rPr>
                        <m:sty m:val="p"/>
                      </m:rPr>
                      <w:rPr>
                        <w:rFonts w:ascii="Cambria Math" w:hAnsi="Cambria Math" w:cs="Arial"/>
                        <w:color w:val="000000"/>
                        <w:lang w:val="en-US"/>
                      </w:rPr>
                      <m:t>t</m:t>
                    </m:r>
                    <m:r>
                      <w:rPr>
                        <w:rFonts w:ascii="Cambria Math" w:hAnsi="Cambria Math" w:cs="Arial"/>
                        <w:color w:val="000000"/>
                        <w:lang w:val="en-US"/>
                      </w:rPr>
                      <m:t>)</m:t>
                    </m:r>
                  </m:e>
                </m:func>
              </m:den>
            </m:f>
          </m:e>
        </m:func>
        <m:r>
          <w:rPr>
            <w:rFonts w:ascii="Cambria Math" w:hAnsi="Cambria Math" w:cs="Arial"/>
            <w:color w:val="000000"/>
            <w:lang w:val="en-US"/>
          </w:rPr>
          <m:t xml:space="preserve"> </m:t>
        </m:r>
        <m:func>
          <m:funcPr>
            <m:ctrlPr>
              <w:rPr>
                <w:rFonts w:ascii="Cambria Math" w:hAnsi="Cambria Math" w:cs="Arial"/>
                <w:i/>
                <w:iCs/>
                <w:color w:val="000000"/>
              </w:rPr>
            </m:ctrlPr>
          </m:funcPr>
          <m:fName>
            <m:r>
              <m:rPr>
                <m:sty m:val="p"/>
              </m:rPr>
              <w:rPr>
                <w:rFonts w:ascii="Cambria Math" w:hAnsi="Cambria Math" w:cs="Arial"/>
                <w:color w:val="000000"/>
                <w:lang w:val="en-US"/>
              </w:rPr>
              <m:t>log</m:t>
            </m:r>
          </m:fName>
          <m:e>
            <m:sSup>
              <m:sSupPr>
                <m:ctrlPr>
                  <w:rPr>
                    <w:rFonts w:ascii="Cambria Math" w:hAnsi="Cambria Math" w:cs="Arial"/>
                    <w:i/>
                    <w:iCs/>
                    <w:color w:val="000000"/>
                  </w:rPr>
                </m:ctrlPr>
              </m:sSupPr>
              <m:e>
                <m:r>
                  <w:rPr>
                    <w:rFonts w:ascii="Cambria Math" w:hAnsi="Cambria Math" w:cs="Arial"/>
                    <w:color w:val="000000"/>
                    <w:lang w:val="en-US"/>
                  </w:rPr>
                  <m:t>∥</m:t>
                </m:r>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k</m:t>
                    </m:r>
                  </m:sub>
                </m:sSub>
                <m:r>
                  <w:rPr>
                    <w:rFonts w:ascii="Cambria Math" w:hAnsi="Cambria Math" w:cs="Arial"/>
                    <w:color w:val="000000"/>
                    <w:lang w:val="en-US"/>
                  </w:rPr>
                  <m:t>∥</m:t>
                </m:r>
              </m:e>
              <m:sup>
                <m:r>
                  <w:rPr>
                    <w:rFonts w:ascii="Cambria Math" w:hAnsi="Cambria Math" w:cs="Arial"/>
                    <w:color w:val="000000"/>
                  </w:rPr>
                  <m:t>p</m:t>
                </m:r>
              </m:sup>
            </m:sSup>
            <m:r>
              <w:rPr>
                <w:rFonts w:ascii="Cambria Math" w:hAnsi="Cambria Math" w:cs="Arial"/>
                <w:color w:val="000000"/>
                <w:lang w:val="en-US"/>
              </w:rPr>
              <m:t xml:space="preserve"> &lt;-</m:t>
            </m:r>
            <m:r>
              <w:rPr>
                <w:rFonts w:ascii="Cambria Math" w:hAnsi="Cambria Math" w:cs="Arial"/>
                <w:color w:val="000000"/>
              </w:rPr>
              <m:t>r</m:t>
            </m:r>
          </m:e>
        </m:func>
      </m:oMath>
      <w:r w:rsidR="002429F5" w:rsidRPr="002429F5">
        <w:rPr>
          <w:rFonts w:ascii="Arial" w:hAnsi="Arial" w:cs="Arial"/>
          <w:iCs/>
          <w:color w:val="000000"/>
          <w:lang w:val="en-US"/>
        </w:rPr>
        <w:t xml:space="preserve">      </w:t>
      </w:r>
      <w:r w:rsidR="002429F5" w:rsidRPr="002429F5">
        <w:rPr>
          <w:rFonts w:ascii="Cambria Math" w:hAnsi="Cambria Math" w:cs="Arial"/>
          <w:iCs/>
          <w:color w:val="000000"/>
          <w:lang w:val="en-US"/>
        </w:rPr>
        <w:t>a. s.</w:t>
      </w:r>
    </w:p>
    <w:p w:rsidR="002429F5" w:rsidRPr="002429F5" w:rsidRDefault="002429F5" w:rsidP="002429F5">
      <w:pPr>
        <w:jc w:val="both"/>
        <w:rPr>
          <w:rFonts w:ascii="Arial" w:hAnsi="Arial" w:cs="Arial"/>
          <w:iCs/>
          <w:color w:val="000000"/>
          <w:lang w:val="en-US"/>
        </w:rPr>
      </w:pPr>
    </w:p>
    <w:p w:rsidR="002429F5" w:rsidRPr="00954C9A" w:rsidRDefault="002429F5" w:rsidP="002429F5">
      <w:pPr>
        <w:jc w:val="both"/>
        <w:rPr>
          <w:rFonts w:ascii="Arial" w:hAnsi="Arial" w:cs="Arial"/>
          <w:iCs/>
          <w:color w:val="000000"/>
        </w:rPr>
      </w:pPr>
      <w:r w:rsidRPr="00954C9A">
        <w:rPr>
          <w:rFonts w:ascii="Arial" w:hAnsi="Arial" w:cs="Arial"/>
          <w:iCs/>
          <w:color w:val="000000"/>
        </w:rPr>
        <w:t>obtaining the desired conclusion.</w:t>
      </w:r>
    </w:p>
    <w:p w:rsidR="002429F5" w:rsidRPr="003447BF" w:rsidRDefault="002429F5" w:rsidP="002429F5">
      <w:pPr>
        <w:jc w:val="both"/>
        <w:rPr>
          <w:rFonts w:ascii="Arial" w:hAnsi="Arial" w:cs="Arial"/>
          <w:iCs/>
          <w:color w:val="000000"/>
        </w:rPr>
      </w:pPr>
      <m:oMathPara>
        <m:oMathParaPr>
          <m:jc m:val="right"/>
        </m:oMathParaPr>
        <m:oMath>
          <m:r>
            <w:rPr>
              <w:rFonts w:ascii="Cambria Math" w:hAnsi="Cambria Math" w:cs="Arial"/>
              <w:color w:val="000000"/>
            </w:rPr>
            <w:lastRenderedPageBreak/>
            <m:t>∎</m:t>
          </m:r>
        </m:oMath>
      </m:oMathPara>
    </w:p>
    <w:p w:rsidR="002429F5" w:rsidRPr="00954C9A" w:rsidRDefault="002429F5" w:rsidP="002429F5">
      <w:pPr>
        <w:pStyle w:val="1"/>
        <w:ind w:firstLine="0"/>
        <w:rPr>
          <w:iCs/>
          <w:lang w:val="en-US"/>
        </w:rPr>
      </w:pPr>
    </w:p>
    <w:p w:rsidR="002429F5" w:rsidRPr="00954C9A" w:rsidRDefault="002429F5" w:rsidP="002429F5">
      <w:pPr>
        <w:pStyle w:val="1"/>
        <w:ind w:firstLine="0"/>
        <w:rPr>
          <w:rFonts w:ascii="Arial" w:hAnsi="Arial" w:cs="Arial"/>
          <w:iCs/>
          <w:lang w:val="en-US"/>
        </w:rPr>
      </w:pPr>
      <w:r w:rsidRPr="00954C9A">
        <w:rPr>
          <w:iCs/>
          <w:lang w:val="en-US"/>
        </w:rPr>
        <w:t xml:space="preserve">     </w:t>
      </w:r>
      <w:r w:rsidRPr="00954C9A">
        <w:rPr>
          <w:rFonts w:ascii="Arial" w:hAnsi="Arial" w:cs="Arial"/>
          <w:iCs/>
          <w:lang w:val="en-US"/>
        </w:rPr>
        <w:t>The last result presented here, is the following theorem</w:t>
      </w:r>
      <w:r>
        <w:rPr>
          <w:rFonts w:ascii="Arial" w:hAnsi="Arial" w:cs="Arial"/>
          <w:iCs/>
          <w:lang w:val="en-US"/>
        </w:rPr>
        <w:t xml:space="preserve"> that concerns the asymptotic stability</w:t>
      </w:r>
      <w:r w:rsidRPr="00954C9A">
        <w:rPr>
          <w:rFonts w:ascii="Arial" w:hAnsi="Arial" w:cs="Arial"/>
          <w:iCs/>
          <w:lang w:val="en-US"/>
        </w:rPr>
        <w:t>.</w:t>
      </w:r>
    </w:p>
    <w:p w:rsidR="002429F5" w:rsidRPr="00954C9A" w:rsidRDefault="002429F5" w:rsidP="002429F5">
      <w:pPr>
        <w:pStyle w:val="1"/>
        <w:ind w:firstLine="0"/>
        <w:rPr>
          <w:rFonts w:ascii="Arial" w:hAnsi="Arial" w:cs="Arial"/>
          <w:iCs/>
          <w:lang w:val="en-US"/>
        </w:rPr>
      </w:pPr>
      <w:r w:rsidRPr="00954C9A">
        <w:rPr>
          <w:rFonts w:ascii="Arial" w:hAnsi="Arial" w:cs="Arial"/>
          <w:b/>
          <w:iCs/>
          <w:lang w:val="en-US"/>
        </w:rPr>
        <w:t xml:space="preserve">    Theorem 5 </w:t>
      </w:r>
      <w:r w:rsidRPr="00954C9A">
        <w:rPr>
          <w:rFonts w:ascii="Arial" w:hAnsi="Arial" w:cs="Arial"/>
          <w:iCs/>
          <w:lang w:val="en-US"/>
        </w:rPr>
        <w:t xml:space="preserve">Let </w:t>
      </w:r>
      <m:oMath>
        <m:r>
          <w:rPr>
            <w:rFonts w:ascii="Cambria Math" w:hAnsi="Cambria Math" w:cs="Arial"/>
            <w:lang w:val="en-US"/>
          </w:rPr>
          <m:t>f</m:t>
        </m:r>
        <m:r>
          <m:rPr>
            <m:scr m:val="double-struck"/>
          </m:rPr>
          <w:rPr>
            <w:rFonts w:ascii="Cambria Math" w:hAnsi="Cambria Math" w:cs="Arial"/>
            <w:lang w:val="en-US"/>
          </w:rPr>
          <m:t>: R</m:t>
        </m:r>
        <m:r>
          <w:rPr>
            <w:rFonts w:ascii="Cambria Math" w:hAnsi="Cambria Math" w:cs="Arial"/>
            <w:i/>
            <w:iCs/>
            <w:lang w:val="en-US"/>
          </w:rPr>
          <w:sym w:font="Symbol" w:char="F0AE"/>
        </m:r>
        <m:r>
          <m:rPr>
            <m:scr m:val="double-struck"/>
          </m:rPr>
          <w:rPr>
            <w:rFonts w:ascii="Cambria Math" w:hAnsi="Cambria Math" w:cs="Arial"/>
            <w:lang w:val="en-US"/>
          </w:rPr>
          <m:t xml:space="preserve"> R</m:t>
        </m:r>
      </m:oMath>
      <w:r w:rsidRPr="00954C9A">
        <w:rPr>
          <w:rFonts w:ascii="Arial" w:hAnsi="Arial" w:cs="Arial"/>
          <w:iCs/>
          <w:lang w:val="en-US"/>
        </w:rPr>
        <w:t xml:space="preserve"> be a function continuous increasing,  </w:t>
      </w:r>
      <w:r w:rsidRPr="00954C9A">
        <w:rPr>
          <w:rFonts w:ascii="Arial" w:hAnsi="Arial" w:cs="Arial"/>
          <w:iCs/>
          <w:lang w:val="en-US"/>
        </w:rPr>
        <w:sym w:font="Symbol" w:char="F044"/>
      </w:r>
      <w:r w:rsidRPr="00954C9A">
        <w:rPr>
          <w:rFonts w:ascii="Arial" w:hAnsi="Arial" w:cs="Arial"/>
          <w:iCs/>
          <w:lang w:val="en-US"/>
        </w:rPr>
        <w:t xml:space="preserve">t </w:t>
      </w:r>
      <w:r w:rsidRPr="00954C9A">
        <w:rPr>
          <w:rFonts w:ascii="Arial" w:hAnsi="Arial" w:cs="Arial"/>
          <w:iCs/>
          <w:lang w:val="en-US"/>
        </w:rPr>
        <w:sym w:font="Symbol" w:char="F03E"/>
      </w:r>
      <w:r w:rsidRPr="00954C9A">
        <w:rPr>
          <w:rFonts w:ascii="Arial" w:hAnsi="Arial" w:cs="Arial"/>
          <w:iCs/>
          <w:lang w:val="en-US"/>
        </w:rPr>
        <w:t xml:space="preserve"> 0 and suppose that there exists a function </w:t>
      </w:r>
      <m:oMath>
        <m:r>
          <w:rPr>
            <w:rFonts w:ascii="Cambria Math" w:hAnsi="Cambria Math" w:cs="Arial"/>
            <w:lang w:val="en-US"/>
          </w:rPr>
          <m:t>V</m:t>
        </m:r>
        <m:d>
          <m:dPr>
            <m:ctrlPr>
              <w:rPr>
                <w:rFonts w:ascii="Cambria Math" w:hAnsi="Cambria Math" w:cs="Arial"/>
                <w:i/>
                <w:iCs/>
                <w:lang w:val="en-US"/>
              </w:rPr>
            </m:ctrlPr>
          </m:dPr>
          <m:e>
            <m:r>
              <w:rPr>
                <w:rFonts w:ascii="Cambria Math" w:hAnsi="Cambria Math" w:cs="Arial"/>
                <w:lang w:val="en-US"/>
              </w:rPr>
              <m:t>t, x</m:t>
            </m:r>
          </m:e>
        </m:d>
        <m:r>
          <m:rPr>
            <m:sty m:val="p"/>
          </m:rPr>
          <w:rPr>
            <w:rFonts w:ascii="Cambria Math" w:hAnsi="Cambria Math" w:cs="Arial"/>
            <w:iCs/>
            <w:lang w:val="en-US"/>
          </w:rPr>
          <w:sym w:font="Symbol" w:char="F0CE"/>
        </m:r>
        <m:sSup>
          <m:sSupPr>
            <m:ctrlPr>
              <w:rPr>
                <w:rFonts w:ascii="Cambria Math" w:hAnsi="Cambria Math" w:cs="Arial"/>
                <w:iCs/>
                <w:lang w:val="en-US"/>
              </w:rPr>
            </m:ctrlPr>
          </m:sSupPr>
          <m:e>
            <m:r>
              <w:rPr>
                <w:rFonts w:ascii="Cambria Math" w:hAnsi="Cambria Math" w:cs="Arial"/>
                <w:lang w:val="en-US"/>
              </w:rPr>
              <m:t>C</m:t>
            </m:r>
          </m:e>
          <m:sup>
            <m:r>
              <w:rPr>
                <w:rFonts w:ascii="Cambria Math" w:hAnsi="Cambria Math" w:cs="Arial"/>
                <w:lang w:val="en-US"/>
              </w:rPr>
              <m:t>1,2</m:t>
            </m:r>
          </m:sup>
        </m:sSup>
        <m:r>
          <w:rPr>
            <w:rFonts w:ascii="Cambria Math" w:hAnsi="Cambria Math" w:cs="Arial"/>
            <w:lang w:val="en-US"/>
          </w:rPr>
          <m:t>(</m:t>
        </m:r>
        <m:sSup>
          <m:sSupPr>
            <m:ctrlPr>
              <w:rPr>
                <w:rFonts w:ascii="Cambria Math" w:hAnsi="Cambria Math" w:cs="Arial"/>
                <w:i/>
                <w:iCs/>
                <w:lang w:val="en-US"/>
              </w:rPr>
            </m:ctrlPr>
          </m:sSupPr>
          <m:e>
            <m:r>
              <m:rPr>
                <m:scr m:val="double-struck"/>
              </m:rPr>
              <w:rPr>
                <w:rFonts w:ascii="Cambria Math" w:hAnsi="Cambria Math" w:cs="Arial"/>
                <w:lang w:val="en-US"/>
              </w:rPr>
              <m:t>R</m:t>
            </m:r>
          </m:e>
          <m:sup>
            <m:r>
              <w:rPr>
                <w:rFonts w:ascii="Cambria Math" w:hAnsi="Cambria Math" w:cs="Arial"/>
                <w:lang w:val="en-US"/>
              </w:rPr>
              <m:t>+</m:t>
            </m:r>
          </m:sup>
        </m:sSup>
        <m:r>
          <w:rPr>
            <w:rFonts w:ascii="Cambria Math" w:hAnsi="Cambria Math" w:cs="Arial"/>
            <w:lang w:val="en-US"/>
          </w:rPr>
          <m:t>×</m:t>
        </m:r>
        <m:sSup>
          <m:sSupPr>
            <m:ctrlPr>
              <w:rPr>
                <w:rFonts w:ascii="Cambria Math" w:hAnsi="Cambria Math" w:cs="Arial"/>
                <w:i/>
                <w:iCs/>
                <w:lang w:val="en-US"/>
              </w:rPr>
            </m:ctrlPr>
          </m:sSupPr>
          <m:e>
            <m:r>
              <m:rPr>
                <m:scr m:val="double-struck"/>
              </m:rPr>
              <w:rPr>
                <w:rFonts w:ascii="Cambria Math" w:hAnsi="Cambria Math" w:cs="Arial"/>
                <w:lang w:val="en-US"/>
              </w:rPr>
              <m:t>R</m:t>
            </m:r>
          </m:e>
          <m:sup>
            <m:r>
              <w:rPr>
                <w:rFonts w:ascii="Cambria Math" w:hAnsi="Cambria Math" w:cs="Arial"/>
                <w:lang w:val="en-US"/>
              </w:rPr>
              <m:t>n</m:t>
            </m:r>
          </m:sup>
        </m:sSup>
        <m:r>
          <w:rPr>
            <w:rFonts w:ascii="Cambria Math" w:hAnsi="Cambria Math" w:cs="Arial"/>
            <w:lang w:val="en-US"/>
          </w:rPr>
          <m:t>;</m:t>
        </m:r>
        <m:sSup>
          <m:sSupPr>
            <m:ctrlPr>
              <w:rPr>
                <w:rFonts w:ascii="Cambria Math" w:hAnsi="Cambria Math" w:cs="Arial"/>
                <w:i/>
                <w:iCs/>
                <w:lang w:val="en-US"/>
              </w:rPr>
            </m:ctrlPr>
          </m:sSupPr>
          <m:e>
            <m:r>
              <m:rPr>
                <m:scr m:val="double-struck"/>
              </m:rPr>
              <w:rPr>
                <w:rFonts w:ascii="Cambria Math" w:hAnsi="Cambria Math" w:cs="Arial"/>
                <w:lang w:val="en-US"/>
              </w:rPr>
              <m:t>R</m:t>
            </m:r>
          </m:e>
          <m:sup>
            <m:r>
              <w:rPr>
                <w:rFonts w:ascii="Cambria Math" w:hAnsi="Cambria Math" w:cs="Arial"/>
                <w:lang w:val="en-US"/>
              </w:rPr>
              <m:t>+</m:t>
            </m:r>
          </m:sup>
        </m:sSup>
        <m:r>
          <w:rPr>
            <w:rFonts w:ascii="Cambria Math" w:hAnsi="Cambria Math" w:cs="Arial"/>
            <w:lang w:val="en-US"/>
          </w:rPr>
          <m:t>)</m:t>
        </m:r>
      </m:oMath>
      <w:r w:rsidRPr="00954C9A">
        <w:rPr>
          <w:rFonts w:ascii="Arial" w:hAnsi="Arial" w:cs="Arial"/>
          <w:iCs/>
          <w:lang w:val="en-US"/>
        </w:rPr>
        <w:t xml:space="preserve"> and a constant </w:t>
      </w:r>
      <m:oMath>
        <m:r>
          <w:rPr>
            <w:rFonts w:ascii="Cambria Math" w:hAnsi="Cambria Math" w:cs="Arial"/>
            <w:lang w:val="en-US"/>
          </w:rPr>
          <m:t>r&gt;0</m:t>
        </m:r>
      </m:oMath>
      <w:r w:rsidRPr="00954C9A">
        <w:rPr>
          <w:rFonts w:ascii="Arial" w:hAnsi="Arial" w:cs="Arial"/>
          <w:iCs/>
          <w:lang w:val="en-US"/>
        </w:rPr>
        <w:t xml:space="preserve">, such that </w:t>
      </w:r>
    </w:p>
    <w:p w:rsidR="002429F5" w:rsidRPr="00954C9A" w:rsidRDefault="002429F5" w:rsidP="002429F5">
      <w:pPr>
        <w:pStyle w:val="1"/>
        <w:rPr>
          <w:rFonts w:ascii="Arial" w:hAnsi="Arial" w:cs="Arial"/>
          <w:iCs/>
          <w:lang w:val="en-US"/>
        </w:rPr>
      </w:pPr>
    </w:p>
    <w:p w:rsidR="002429F5" w:rsidRPr="00954C9A" w:rsidRDefault="002429F5" w:rsidP="00133D30">
      <w:pPr>
        <w:pStyle w:val="1"/>
        <w:numPr>
          <w:ilvl w:val="0"/>
          <w:numId w:val="29"/>
        </w:numPr>
        <w:spacing w:after="0"/>
        <w:rPr>
          <w:rFonts w:ascii="Arial" w:hAnsi="Arial" w:cs="Arial"/>
          <w:iCs/>
          <w:lang w:val="en-US"/>
        </w:rPr>
      </w:pPr>
      <m:oMath>
        <m:r>
          <w:rPr>
            <w:rFonts w:ascii="Cambria Math" w:hAnsi="Cambria Math" w:cs="Arial"/>
            <w:lang w:val="en-US"/>
          </w:rPr>
          <m:t>f</m:t>
        </m:r>
        <m:d>
          <m:dPr>
            <m:ctrlPr>
              <w:rPr>
                <w:rFonts w:ascii="Cambria Math" w:hAnsi="Cambria Math" w:cs="Arial"/>
                <w:i/>
                <w:iCs/>
                <w:lang w:val="en-US"/>
              </w:rPr>
            </m:ctrlPr>
          </m:dPr>
          <m:e>
            <m:sSub>
              <m:sSubPr>
                <m:ctrlPr>
                  <w:rPr>
                    <w:rFonts w:ascii="Cambria Math" w:hAnsi="Cambria Math" w:cs="Arial"/>
                    <w:i/>
                    <w:iCs/>
                    <w:lang w:val="en-US"/>
                  </w:rPr>
                </m:ctrlPr>
              </m:sSubPr>
              <m:e>
                <m:r>
                  <w:rPr>
                    <w:rFonts w:ascii="Cambria Math" w:hAnsi="Cambria Math" w:cs="Arial"/>
                    <w:lang w:val="en-US"/>
                  </w:rPr>
                  <m:t>x</m:t>
                </m:r>
              </m:e>
              <m:sub>
                <m:r>
                  <w:rPr>
                    <w:rFonts w:ascii="Cambria Math" w:hAnsi="Cambria Math" w:cs="Arial"/>
                    <w:lang w:val="en-US"/>
                  </w:rPr>
                  <m:t>k</m:t>
                </m:r>
              </m:sub>
            </m:sSub>
          </m:e>
        </m:d>
        <m:r>
          <w:rPr>
            <w:rFonts w:ascii="Cambria Math" w:hAnsi="Cambria Math" w:cs="Arial"/>
            <w:lang w:val="en-US"/>
          </w:rPr>
          <m:t>≤V</m:t>
        </m:r>
        <m:d>
          <m:dPr>
            <m:ctrlPr>
              <w:rPr>
                <w:rFonts w:ascii="Cambria Math" w:hAnsi="Cambria Math" w:cs="Arial"/>
                <w:i/>
                <w:iCs/>
                <w:lang w:val="en-US"/>
              </w:rPr>
            </m:ctrlPr>
          </m:dPr>
          <m:e>
            <m:r>
              <w:rPr>
                <w:rFonts w:ascii="Cambria Math" w:hAnsi="Cambria Math" w:cs="Arial"/>
                <w:lang w:val="en-US"/>
              </w:rPr>
              <m:t>t,x</m:t>
            </m:r>
          </m:e>
        </m:d>
        <m:r>
          <w:rPr>
            <w:rFonts w:ascii="Cambria Math" w:hAnsi="Cambria Math" w:cs="Arial"/>
            <w:lang w:val="en-US"/>
          </w:rPr>
          <m:t>,   ∀ t∈</m:t>
        </m:r>
        <m:sSup>
          <m:sSupPr>
            <m:ctrlPr>
              <w:rPr>
                <w:rFonts w:ascii="Cambria Math" w:hAnsi="Cambria Math" w:cs="Arial"/>
                <w:i/>
                <w:iCs/>
                <w:lang w:val="en-US"/>
              </w:rPr>
            </m:ctrlPr>
          </m:sSupPr>
          <m:e>
            <m:r>
              <m:rPr>
                <m:scr m:val="double-struck"/>
              </m:rPr>
              <w:rPr>
                <w:rFonts w:ascii="Cambria Math" w:hAnsi="Cambria Math" w:cs="Arial"/>
                <w:lang w:val="en-US"/>
              </w:rPr>
              <m:t>R</m:t>
            </m:r>
          </m:e>
          <m:sup>
            <m:r>
              <w:rPr>
                <w:rFonts w:ascii="Cambria Math" w:hAnsi="Cambria Math" w:cs="Arial"/>
                <w:lang w:val="en-US"/>
              </w:rPr>
              <m:t>+</m:t>
            </m:r>
          </m:sup>
        </m:sSup>
        <m:r>
          <w:rPr>
            <w:rFonts w:ascii="Cambria Math" w:hAnsi="Cambria Math" w:cs="Arial"/>
            <w:lang w:val="en-US"/>
          </w:rPr>
          <m:t>,  ∀ k</m:t>
        </m:r>
        <m:r>
          <m:rPr>
            <m:scr m:val="double-struck"/>
          </m:rPr>
          <w:rPr>
            <w:rFonts w:ascii="Cambria Math" w:hAnsi="Cambria Math" w:cs="Arial"/>
            <w:lang w:val="en-US"/>
          </w:rPr>
          <m:t>∈N</m:t>
        </m:r>
      </m:oMath>
      <w:r w:rsidRPr="00954C9A">
        <w:rPr>
          <w:rFonts w:ascii="Arial" w:hAnsi="Arial" w:cs="Arial"/>
          <w:iCs/>
          <w:lang w:val="en-US"/>
        </w:rPr>
        <w:t xml:space="preserve"> </w:t>
      </w:r>
    </w:p>
    <w:p w:rsidR="002429F5" w:rsidRPr="00954C9A" w:rsidRDefault="002429F5" w:rsidP="00133D30">
      <w:pPr>
        <w:pStyle w:val="1"/>
        <w:numPr>
          <w:ilvl w:val="0"/>
          <w:numId w:val="29"/>
        </w:numPr>
        <w:spacing w:after="0"/>
        <w:rPr>
          <w:rFonts w:ascii="Arial" w:hAnsi="Arial" w:cs="Arial"/>
          <w:iCs/>
          <w:lang w:val="en-US"/>
        </w:rPr>
      </w:pPr>
      <m:oMath>
        <m:r>
          <w:rPr>
            <w:rFonts w:ascii="Cambria Math" w:hAnsi="Cambria Math" w:cs="Arial"/>
            <w:lang w:val="en-US"/>
          </w:rPr>
          <m:t>LV</m:t>
        </m:r>
        <m:d>
          <m:dPr>
            <m:ctrlPr>
              <w:rPr>
                <w:rFonts w:ascii="Cambria Math" w:hAnsi="Cambria Math" w:cs="Arial"/>
                <w:i/>
                <w:iCs/>
                <w:lang w:val="en-US"/>
              </w:rPr>
            </m:ctrlPr>
          </m:dPr>
          <m:e>
            <m:r>
              <w:rPr>
                <w:rFonts w:ascii="Cambria Math" w:hAnsi="Cambria Math" w:cs="Arial"/>
                <w:lang w:val="en-US"/>
              </w:rPr>
              <m:t>t,x</m:t>
            </m:r>
          </m:e>
        </m:d>
        <m:r>
          <w:rPr>
            <w:rFonts w:ascii="Cambria Math" w:hAnsi="Cambria Math" w:cs="Arial"/>
            <w:lang w:val="en-US"/>
          </w:rPr>
          <m:t>&lt;-r V</m:t>
        </m:r>
        <m:d>
          <m:dPr>
            <m:ctrlPr>
              <w:rPr>
                <w:rFonts w:ascii="Cambria Math" w:hAnsi="Cambria Math" w:cs="Arial"/>
                <w:i/>
                <w:iCs/>
                <w:lang w:val="en-US"/>
              </w:rPr>
            </m:ctrlPr>
          </m:dPr>
          <m:e>
            <m:r>
              <w:rPr>
                <w:rFonts w:ascii="Cambria Math" w:hAnsi="Cambria Math" w:cs="Arial"/>
                <w:lang w:val="en-US"/>
              </w:rPr>
              <m:t>t,x</m:t>
            </m:r>
          </m:e>
        </m:d>
        <m:r>
          <w:rPr>
            <w:rFonts w:ascii="Cambria Math" w:hAnsi="Cambria Math" w:cs="Arial"/>
            <w:lang w:val="en-US"/>
          </w:rPr>
          <m:t>,    ∀ t∈</m:t>
        </m:r>
        <m:sSup>
          <m:sSupPr>
            <m:ctrlPr>
              <w:rPr>
                <w:rFonts w:ascii="Cambria Math" w:hAnsi="Cambria Math" w:cs="Arial"/>
                <w:i/>
                <w:iCs/>
                <w:lang w:val="en-US"/>
              </w:rPr>
            </m:ctrlPr>
          </m:sSupPr>
          <m:e>
            <m:r>
              <m:rPr>
                <m:scr m:val="double-struck"/>
              </m:rPr>
              <w:rPr>
                <w:rFonts w:ascii="Cambria Math" w:hAnsi="Cambria Math" w:cs="Arial"/>
                <w:lang w:val="en-US"/>
              </w:rPr>
              <m:t>R</m:t>
            </m:r>
          </m:e>
          <m:sup>
            <m:r>
              <w:rPr>
                <w:rFonts w:ascii="Cambria Math" w:hAnsi="Cambria Math" w:cs="Arial"/>
                <w:lang w:val="en-US"/>
              </w:rPr>
              <m:t>+</m:t>
            </m:r>
          </m:sup>
        </m:sSup>
      </m:oMath>
    </w:p>
    <w:p w:rsidR="002429F5" w:rsidRPr="00954C9A" w:rsidRDefault="002429F5" w:rsidP="002429F5">
      <w:pPr>
        <w:pStyle w:val="1"/>
        <w:rPr>
          <w:rFonts w:ascii="Arial" w:hAnsi="Arial" w:cs="Arial"/>
          <w:iCs/>
          <w:lang w:val="en-US"/>
        </w:rPr>
      </w:pPr>
    </w:p>
    <w:p w:rsidR="002429F5" w:rsidRPr="00954C9A" w:rsidRDefault="002429F5" w:rsidP="002429F5">
      <w:pPr>
        <w:pStyle w:val="1"/>
        <w:ind w:firstLine="0"/>
        <w:rPr>
          <w:rFonts w:ascii="Arial" w:hAnsi="Arial" w:cs="Arial"/>
          <w:iCs/>
          <w:lang w:val="en-US"/>
        </w:rPr>
      </w:pPr>
      <w:r w:rsidRPr="00954C9A">
        <w:rPr>
          <w:rFonts w:ascii="Arial" w:hAnsi="Arial" w:cs="Arial"/>
          <w:iCs/>
          <w:lang w:val="en-US"/>
        </w:rPr>
        <w:t>then, the numerical scheme defined by (3) is asymptotically stable.</w:t>
      </w:r>
    </w:p>
    <w:p w:rsidR="002429F5" w:rsidRPr="00954C9A" w:rsidRDefault="002429F5" w:rsidP="002429F5">
      <w:pPr>
        <w:pStyle w:val="1"/>
        <w:rPr>
          <w:rFonts w:ascii="Arial" w:hAnsi="Arial" w:cs="Arial"/>
          <w:iCs/>
          <w:lang w:val="en-US"/>
        </w:rPr>
      </w:pPr>
      <w:r w:rsidRPr="00954C9A">
        <w:rPr>
          <w:rFonts w:ascii="Arial" w:hAnsi="Arial" w:cs="Arial"/>
          <w:b/>
          <w:iCs/>
          <w:lang w:val="en-US"/>
        </w:rPr>
        <w:t xml:space="preserve">Proof. </w:t>
      </w:r>
      <w:r w:rsidRPr="00954C9A">
        <w:rPr>
          <w:rFonts w:ascii="Arial" w:hAnsi="Arial" w:cs="Arial"/>
          <w:iCs/>
          <w:lang w:val="en-US"/>
        </w:rPr>
        <w:t xml:space="preserve">Let </w:t>
      </w:r>
      <m:oMath>
        <m:r>
          <w:rPr>
            <w:rFonts w:ascii="Cambria Math" w:hAnsi="Cambria Math" w:cs="Arial"/>
            <w:lang w:val="en-US"/>
          </w:rPr>
          <m:t>V</m:t>
        </m:r>
        <m:d>
          <m:dPr>
            <m:ctrlPr>
              <w:rPr>
                <w:rFonts w:ascii="Cambria Math" w:hAnsi="Cambria Math" w:cs="Arial"/>
                <w:i/>
                <w:iCs/>
                <w:lang w:val="en-US"/>
              </w:rPr>
            </m:ctrlPr>
          </m:dPr>
          <m:e>
            <m:r>
              <w:rPr>
                <w:rFonts w:ascii="Cambria Math" w:hAnsi="Cambria Math" w:cs="Arial"/>
                <w:lang w:val="en-US"/>
              </w:rPr>
              <m:t>t, x</m:t>
            </m:r>
          </m:e>
        </m:d>
        <m:r>
          <m:rPr>
            <m:sty m:val="p"/>
          </m:rPr>
          <w:rPr>
            <w:rFonts w:ascii="Cambria Math" w:hAnsi="Cambria Math" w:cs="Arial"/>
            <w:iCs/>
            <w:lang w:val="en-US"/>
          </w:rPr>
          <w:sym w:font="Symbol" w:char="F0CE"/>
        </m:r>
        <m:sSup>
          <m:sSupPr>
            <m:ctrlPr>
              <w:rPr>
                <w:rFonts w:ascii="Cambria Math" w:hAnsi="Cambria Math" w:cs="Arial"/>
                <w:iCs/>
                <w:lang w:val="en-US"/>
              </w:rPr>
            </m:ctrlPr>
          </m:sSupPr>
          <m:e>
            <m:r>
              <w:rPr>
                <w:rFonts w:ascii="Cambria Math" w:hAnsi="Cambria Math" w:cs="Arial"/>
                <w:lang w:val="en-US"/>
              </w:rPr>
              <m:t>C</m:t>
            </m:r>
          </m:e>
          <m:sup>
            <m:r>
              <w:rPr>
                <w:rFonts w:ascii="Cambria Math" w:hAnsi="Cambria Math" w:cs="Arial"/>
                <w:lang w:val="en-US"/>
              </w:rPr>
              <m:t>1,2</m:t>
            </m:r>
          </m:sup>
        </m:sSup>
        <m:r>
          <w:rPr>
            <w:rFonts w:ascii="Cambria Math" w:hAnsi="Cambria Math" w:cs="Arial"/>
            <w:lang w:val="en-US"/>
          </w:rPr>
          <m:t>(</m:t>
        </m:r>
        <m:sSup>
          <m:sSupPr>
            <m:ctrlPr>
              <w:rPr>
                <w:rFonts w:ascii="Cambria Math" w:hAnsi="Cambria Math" w:cs="Arial"/>
                <w:i/>
                <w:iCs/>
                <w:lang w:val="en-US"/>
              </w:rPr>
            </m:ctrlPr>
          </m:sSupPr>
          <m:e>
            <m:r>
              <m:rPr>
                <m:scr m:val="double-struck"/>
              </m:rPr>
              <w:rPr>
                <w:rFonts w:ascii="Cambria Math" w:hAnsi="Cambria Math" w:cs="Arial"/>
                <w:lang w:val="en-US"/>
              </w:rPr>
              <m:t>R</m:t>
            </m:r>
          </m:e>
          <m:sup>
            <m:r>
              <w:rPr>
                <w:rFonts w:ascii="Cambria Math" w:hAnsi="Cambria Math" w:cs="Arial"/>
                <w:lang w:val="en-US"/>
              </w:rPr>
              <m:t>+</m:t>
            </m:r>
          </m:sup>
        </m:sSup>
        <m:r>
          <w:rPr>
            <w:rFonts w:ascii="Cambria Math" w:hAnsi="Cambria Math" w:cs="Arial"/>
            <w:lang w:val="en-US"/>
          </w:rPr>
          <m:t>×</m:t>
        </m:r>
        <m:sSup>
          <m:sSupPr>
            <m:ctrlPr>
              <w:rPr>
                <w:rFonts w:ascii="Cambria Math" w:hAnsi="Cambria Math" w:cs="Arial"/>
                <w:i/>
                <w:iCs/>
                <w:lang w:val="en-US"/>
              </w:rPr>
            </m:ctrlPr>
          </m:sSupPr>
          <m:e>
            <m:r>
              <m:rPr>
                <m:scr m:val="double-struck"/>
              </m:rPr>
              <w:rPr>
                <w:rFonts w:ascii="Cambria Math" w:hAnsi="Cambria Math" w:cs="Arial"/>
                <w:lang w:val="en-US"/>
              </w:rPr>
              <m:t>R</m:t>
            </m:r>
          </m:e>
          <m:sup>
            <m:r>
              <w:rPr>
                <w:rFonts w:ascii="Cambria Math" w:hAnsi="Cambria Math" w:cs="Arial"/>
                <w:lang w:val="en-US"/>
              </w:rPr>
              <m:t>n</m:t>
            </m:r>
          </m:sup>
        </m:sSup>
        <m:r>
          <w:rPr>
            <w:rFonts w:ascii="Cambria Math" w:hAnsi="Cambria Math" w:cs="Arial"/>
            <w:lang w:val="en-US"/>
          </w:rPr>
          <m:t>;</m:t>
        </m:r>
        <m:sSup>
          <m:sSupPr>
            <m:ctrlPr>
              <w:rPr>
                <w:rFonts w:ascii="Cambria Math" w:hAnsi="Cambria Math" w:cs="Arial"/>
                <w:i/>
                <w:iCs/>
                <w:lang w:val="en-US"/>
              </w:rPr>
            </m:ctrlPr>
          </m:sSupPr>
          <m:e>
            <m:r>
              <m:rPr>
                <m:scr m:val="double-struck"/>
              </m:rPr>
              <w:rPr>
                <w:rFonts w:ascii="Cambria Math" w:hAnsi="Cambria Math" w:cs="Arial"/>
                <w:lang w:val="en-US"/>
              </w:rPr>
              <m:t>R</m:t>
            </m:r>
          </m:e>
          <m:sup>
            <m:r>
              <w:rPr>
                <w:rFonts w:ascii="Cambria Math" w:hAnsi="Cambria Math" w:cs="Arial"/>
                <w:lang w:val="en-US"/>
              </w:rPr>
              <m:t>+</m:t>
            </m:r>
          </m:sup>
        </m:sSup>
        <m:r>
          <w:rPr>
            <w:rFonts w:ascii="Cambria Math" w:hAnsi="Cambria Math" w:cs="Arial"/>
            <w:lang w:val="en-US"/>
          </w:rPr>
          <m:t>)</m:t>
        </m:r>
      </m:oMath>
      <w:r w:rsidRPr="00954C9A">
        <w:rPr>
          <w:rFonts w:ascii="Arial" w:hAnsi="Arial" w:cs="Arial"/>
          <w:iCs/>
          <w:lang w:val="en-US"/>
        </w:rPr>
        <w:t xml:space="preserve"> and </w:t>
      </w:r>
      <m:oMath>
        <m:r>
          <w:rPr>
            <w:rFonts w:ascii="Cambria Math" w:hAnsi="Cambria Math" w:cs="Arial"/>
            <w:lang w:val="en-US"/>
          </w:rPr>
          <m:t>f</m:t>
        </m:r>
        <m:r>
          <m:rPr>
            <m:scr m:val="double-struck"/>
          </m:rPr>
          <w:rPr>
            <w:rFonts w:ascii="Cambria Math" w:hAnsi="Cambria Math" w:cs="Arial"/>
            <w:lang w:val="en-US"/>
          </w:rPr>
          <m:t>: R</m:t>
        </m:r>
        <m:r>
          <w:rPr>
            <w:rFonts w:ascii="Cambria Math" w:hAnsi="Cambria Math" w:cs="Arial"/>
            <w:i/>
            <w:iCs/>
            <w:lang w:val="en-US"/>
          </w:rPr>
          <w:sym w:font="Symbol" w:char="F0AE"/>
        </m:r>
        <m:r>
          <m:rPr>
            <m:scr m:val="double-struck"/>
          </m:rPr>
          <w:rPr>
            <w:rFonts w:ascii="Cambria Math" w:hAnsi="Cambria Math" w:cs="Arial"/>
            <w:lang w:val="en-US"/>
          </w:rPr>
          <m:t xml:space="preserve"> R</m:t>
        </m:r>
      </m:oMath>
      <w:r w:rsidRPr="00954C9A">
        <w:rPr>
          <w:rFonts w:ascii="Arial" w:hAnsi="Arial" w:cs="Arial"/>
          <w:iCs/>
          <w:lang w:val="en-US"/>
        </w:rPr>
        <w:t xml:space="preserve"> be the functions mentioned in the hypothesis. We can follow the argumentation exposed in the proof of Theorem 4</w:t>
      </w:r>
      <w:r>
        <w:rPr>
          <w:rFonts w:ascii="Arial" w:hAnsi="Arial" w:cs="Arial"/>
          <w:iCs/>
          <w:lang w:val="en-US"/>
        </w:rPr>
        <w:t xml:space="preserve"> and</w:t>
      </w:r>
      <w:r w:rsidRPr="00954C9A">
        <w:rPr>
          <w:rFonts w:ascii="Arial" w:hAnsi="Arial" w:cs="Arial"/>
          <w:iCs/>
          <w:lang w:val="en-US"/>
        </w:rPr>
        <w:t>, by equation (12) and hypothesis (b), we have</w:t>
      </w:r>
    </w:p>
    <w:p w:rsidR="002429F5" w:rsidRPr="00954C9A" w:rsidRDefault="002429F5" w:rsidP="002429F5">
      <w:pPr>
        <w:pStyle w:val="1"/>
        <w:rPr>
          <w:rFonts w:ascii="Arial" w:hAnsi="Arial" w:cs="Arial"/>
          <w:iCs/>
          <w:lang w:val="en-US"/>
        </w:rPr>
      </w:pPr>
    </w:p>
    <w:p w:rsidR="002429F5" w:rsidRPr="00954C9A" w:rsidRDefault="001345E4" w:rsidP="002429F5">
      <w:pPr>
        <w:pStyle w:val="1"/>
        <w:rPr>
          <w:rFonts w:ascii="Arial" w:hAnsi="Arial" w:cs="Arial"/>
          <w:iCs/>
          <w:lang w:val="en-US"/>
        </w:rPr>
      </w:pPr>
      <m:oMathPara>
        <m:oMathParaPr>
          <m:jc m:val="right"/>
        </m:oMathParaPr>
        <m:oMath>
          <m:func>
            <m:funcPr>
              <m:ctrlPr>
                <w:rPr>
                  <w:rFonts w:ascii="Cambria Math" w:hAnsi="Cambria Math" w:cs="Arial"/>
                  <w:iCs/>
                  <w:lang w:val="en-US"/>
                </w:rPr>
              </m:ctrlPr>
            </m:funcPr>
            <m:fName>
              <m:f>
                <m:fPr>
                  <m:ctrlPr>
                    <w:rPr>
                      <w:rFonts w:ascii="Cambria Math" w:hAnsi="Cambria Math" w:cs="Arial"/>
                      <w:iCs/>
                      <w:lang w:val="en-US"/>
                    </w:rPr>
                  </m:ctrlPr>
                </m:fPr>
                <m:num>
                  <m:r>
                    <w:rPr>
                      <w:rFonts w:ascii="Cambria Math" w:hAnsi="Cambria Math" w:cs="Arial"/>
                      <w:lang w:val="en-US"/>
                    </w:rPr>
                    <m:t>1</m:t>
                  </m:r>
                </m:num>
                <m:den>
                  <m:r>
                    <w:rPr>
                      <w:rFonts w:ascii="Cambria Math" w:hAnsi="Cambria Math" w:cs="Arial"/>
                      <w:lang w:val="en-US"/>
                    </w:rPr>
                    <m:t>k</m:t>
                  </m:r>
                </m:den>
              </m:f>
              <m:r>
                <m:rPr>
                  <m:sty m:val="p"/>
                </m:rPr>
                <w:rPr>
                  <w:rFonts w:ascii="Cambria Math" w:hAnsi="Cambria Math" w:cs="Arial"/>
                  <w:lang w:val="en-US"/>
                </w:rPr>
                <m:t>log</m:t>
              </m:r>
            </m:fName>
            <m:e>
              <m:r>
                <m:rPr>
                  <m:sty m:val="p"/>
                </m:rPr>
                <w:rPr>
                  <w:rFonts w:ascii="Cambria Math" w:hAnsi="Cambria Math" w:cs="Arial"/>
                  <w:lang w:val="en-US"/>
                </w:rPr>
                <m:t>V</m:t>
              </m:r>
              <m:d>
                <m:dPr>
                  <m:ctrlPr>
                    <w:rPr>
                      <w:rFonts w:ascii="Cambria Math" w:hAnsi="Cambria Math" w:cs="Arial"/>
                      <w:iCs/>
                      <w:lang w:val="en-US"/>
                    </w:rPr>
                  </m:ctrlPr>
                </m:dPr>
                <m:e>
                  <m:sSub>
                    <m:sSubPr>
                      <m:ctrlPr>
                        <w:rPr>
                          <w:rFonts w:ascii="Cambria Math" w:hAnsi="Cambria Math" w:cs="Arial"/>
                          <w:iCs/>
                          <w:lang w:val="en-US"/>
                        </w:rPr>
                      </m:ctrlPr>
                    </m:sSubPr>
                    <m:e>
                      <m:r>
                        <m:rPr>
                          <m:sty m:val="p"/>
                        </m:rPr>
                        <w:rPr>
                          <w:rFonts w:ascii="Cambria Math" w:hAnsi="Cambria Math" w:cs="Arial"/>
                          <w:lang w:val="en-US"/>
                        </w:rPr>
                        <m:t>z</m:t>
                      </m:r>
                    </m:e>
                    <m:sub>
                      <m:r>
                        <m:rPr>
                          <m:sty m:val="p"/>
                        </m:rPr>
                        <w:rPr>
                          <w:rFonts w:ascii="Cambria Math" w:hAnsi="Cambria Math" w:cs="Arial"/>
                          <w:lang w:val="en-US"/>
                        </w:rPr>
                        <m:t>2</m:t>
                      </m:r>
                    </m:sub>
                  </m:sSub>
                  <m:d>
                    <m:dPr>
                      <m:ctrlPr>
                        <w:rPr>
                          <w:rFonts w:ascii="Cambria Math" w:hAnsi="Cambria Math" w:cs="Arial"/>
                          <w:iCs/>
                          <w:lang w:val="en-US"/>
                        </w:rPr>
                      </m:ctrlPr>
                    </m:dPr>
                    <m:e>
                      <m:r>
                        <m:rPr>
                          <m:sty m:val="p"/>
                        </m:rPr>
                        <w:rPr>
                          <w:rFonts w:ascii="Cambria Math" w:hAnsi="Cambria Math" w:cs="Arial"/>
                          <w:lang w:val="en-US"/>
                        </w:rPr>
                        <m:t>t</m:t>
                      </m:r>
                    </m:e>
                  </m:d>
                  <m:r>
                    <m:rPr>
                      <m:sty m:val="p"/>
                    </m:rPr>
                    <w:rPr>
                      <w:rFonts w:ascii="Cambria Math" w:hAnsi="Cambria Math" w:cs="Arial"/>
                      <w:lang w:val="en-US"/>
                    </w:rPr>
                    <m:t>,t</m:t>
                  </m:r>
                </m:e>
              </m:d>
              <m:r>
                <m:rPr>
                  <m:sty m:val="p"/>
                </m:rPr>
                <w:rPr>
                  <w:rFonts w:ascii="Cambria Math" w:hAnsi="Cambria Math" w:cs="Arial"/>
                  <w:lang w:val="en-US"/>
                </w:rPr>
                <m:t xml:space="preserve"> ≤</m:t>
              </m:r>
            </m:e>
          </m:func>
          <m:r>
            <m:rPr>
              <m:sty m:val="p"/>
            </m:rPr>
            <w:rPr>
              <w:rFonts w:ascii="Cambria Math" w:hAnsi="Cambria Math" w:cs="Arial"/>
              <w:lang w:val="en-US"/>
            </w:rPr>
            <m:t xml:space="preserve"> </m:t>
          </m:r>
          <m:f>
            <m:fPr>
              <m:ctrlPr>
                <w:rPr>
                  <w:rFonts w:ascii="Cambria Math" w:hAnsi="Cambria Math" w:cs="Arial"/>
                  <w:iCs/>
                  <w:lang w:val="en-US"/>
                </w:rPr>
              </m:ctrlPr>
            </m:fPr>
            <m:num>
              <m:r>
                <w:rPr>
                  <w:rFonts w:ascii="Cambria Math" w:hAnsi="Cambria Math" w:cs="Arial"/>
                  <w:lang w:val="en-US"/>
                </w:rPr>
                <m:t>1</m:t>
              </m:r>
            </m:num>
            <m:den>
              <m:r>
                <w:rPr>
                  <w:rFonts w:ascii="Cambria Math" w:hAnsi="Cambria Math" w:cs="Arial"/>
                  <w:lang w:val="en-US"/>
                </w:rPr>
                <m:t>k</m:t>
              </m:r>
            </m:den>
          </m:f>
          <m:d>
            <m:dPr>
              <m:begChr m:val="["/>
              <m:endChr m:val="]"/>
              <m:ctrlPr>
                <w:rPr>
                  <w:rFonts w:ascii="Cambria Math" w:hAnsi="Cambria Math" w:cs="Arial"/>
                  <w:i/>
                  <w:iCs/>
                  <w:lang w:val="en-US"/>
                </w:rPr>
              </m:ctrlPr>
            </m:dPr>
            <m:e>
              <m:func>
                <m:funcPr>
                  <m:ctrlPr>
                    <w:rPr>
                      <w:rFonts w:ascii="Cambria Math" w:hAnsi="Cambria Math" w:cs="Arial"/>
                      <w:iCs/>
                      <w:lang w:val="en-US"/>
                    </w:rPr>
                  </m:ctrlPr>
                </m:funcPr>
                <m:fName>
                  <m:r>
                    <m:rPr>
                      <m:sty m:val="p"/>
                    </m:rPr>
                    <w:rPr>
                      <w:rFonts w:ascii="Cambria Math" w:hAnsi="Cambria Math" w:cs="Arial"/>
                      <w:lang w:val="en-US"/>
                    </w:rPr>
                    <m:t>log</m:t>
                  </m:r>
                </m:fName>
                <m:e>
                  <m:r>
                    <w:rPr>
                      <w:rFonts w:ascii="Cambria Math" w:hAnsi="Cambria Math" w:cs="Arial"/>
                      <w:lang w:val="en-US"/>
                    </w:rPr>
                    <m:t>V</m:t>
                  </m:r>
                  <m:d>
                    <m:dPr>
                      <m:ctrlPr>
                        <w:rPr>
                          <w:rFonts w:ascii="Cambria Math" w:hAnsi="Cambria Math" w:cs="Arial"/>
                          <w:i/>
                          <w:iCs/>
                          <w:lang w:val="en-US"/>
                        </w:rPr>
                      </m:ctrlPr>
                    </m:dPr>
                    <m:e>
                      <m:sSub>
                        <m:sSubPr>
                          <m:ctrlPr>
                            <w:rPr>
                              <w:rFonts w:ascii="Cambria Math" w:hAnsi="Cambria Math" w:cs="Arial"/>
                              <w:i/>
                              <w:iCs/>
                              <w:lang w:val="en-US"/>
                            </w:rPr>
                          </m:ctrlPr>
                        </m:sSubPr>
                        <m:e>
                          <m:r>
                            <w:rPr>
                              <w:rFonts w:ascii="Cambria Math" w:hAnsi="Cambria Math" w:cs="Arial"/>
                              <w:lang w:val="en-US"/>
                            </w:rPr>
                            <m:t>x</m:t>
                          </m:r>
                        </m:e>
                        <m:sub>
                          <m:r>
                            <w:rPr>
                              <w:rFonts w:ascii="Cambria Math" w:hAnsi="Cambria Math" w:cs="Arial"/>
                              <w:lang w:val="en-US"/>
                            </w:rPr>
                            <m:t>0</m:t>
                          </m:r>
                        </m:sub>
                      </m:sSub>
                      <m:r>
                        <w:rPr>
                          <w:rFonts w:ascii="Cambria Math" w:hAnsi="Cambria Math" w:cs="Arial"/>
                          <w:lang w:val="en-US"/>
                        </w:rPr>
                        <m:t>,0</m:t>
                      </m:r>
                    </m:e>
                  </m:d>
                  <m:r>
                    <w:rPr>
                      <w:rFonts w:ascii="Cambria Math" w:hAnsi="Cambria Math" w:cs="Arial"/>
                      <w:lang w:val="en-US"/>
                    </w:rPr>
                    <m:t xml:space="preserve"> </m:t>
                  </m:r>
                </m:e>
              </m:func>
              <m:r>
                <w:rPr>
                  <w:rFonts w:ascii="Cambria Math" w:hAnsi="Cambria Math" w:cs="Arial"/>
                  <w:lang w:val="en-US"/>
                </w:rPr>
                <m:t>–r</m:t>
              </m:r>
              <m:sSub>
                <m:sSubPr>
                  <m:ctrlPr>
                    <w:rPr>
                      <w:rFonts w:ascii="Cambria Math" w:hAnsi="Cambria Math" w:cs="Arial"/>
                      <w:i/>
                      <w:iCs/>
                      <w:lang w:val="en-US"/>
                    </w:rPr>
                  </m:ctrlPr>
                </m:sSubPr>
                <m:e>
                  <m:r>
                    <w:rPr>
                      <w:rFonts w:ascii="Cambria Math" w:hAnsi="Cambria Math" w:cs="Arial"/>
                      <w:lang w:val="en-US"/>
                    </w:rPr>
                    <m:t>t</m:t>
                  </m:r>
                </m:e>
                <m:sub>
                  <m:r>
                    <w:rPr>
                      <w:rFonts w:ascii="Cambria Math" w:hAnsi="Cambria Math" w:cs="Arial"/>
                      <w:lang w:val="en-US"/>
                    </w:rPr>
                    <m:t>k+1</m:t>
                  </m:r>
                </m:sub>
              </m:sSub>
              <m:r>
                <w:rPr>
                  <w:rFonts w:ascii="Cambria Math" w:hAnsi="Cambria Math" w:cs="Arial"/>
                  <w:lang w:val="en-US"/>
                </w:rPr>
                <m:t>+</m:t>
              </m:r>
              <m:func>
                <m:funcPr>
                  <m:ctrlPr>
                    <w:rPr>
                      <w:rFonts w:ascii="Cambria Math" w:hAnsi="Cambria Math" w:cs="Arial"/>
                      <w:i/>
                      <w:iCs/>
                      <w:lang w:val="en-US"/>
                    </w:rPr>
                  </m:ctrlPr>
                </m:funcPr>
                <m:fName>
                  <m:r>
                    <w:rPr>
                      <w:rFonts w:ascii="Cambria Math" w:hAnsi="Cambria Math" w:cs="Arial"/>
                      <w:lang w:val="en-US"/>
                    </w:rPr>
                    <m:t>2log</m:t>
                  </m:r>
                </m:fName>
                <m:e>
                  <m:r>
                    <w:rPr>
                      <w:rFonts w:ascii="Cambria Math" w:hAnsi="Cambria Math" w:cs="Arial"/>
                      <w:lang w:val="en-US"/>
                    </w:rPr>
                    <m:t xml:space="preserve">C </m:t>
                  </m:r>
                </m:e>
              </m:func>
            </m:e>
          </m:d>
          <m:r>
            <m:rPr>
              <m:sty m:val="p"/>
            </m:rPr>
            <w:rPr>
              <w:rFonts w:ascii="Cambria Math" w:hAnsi="Cambria Math" w:cs="Arial"/>
              <w:lang w:val="en-US"/>
            </w:rPr>
            <m:t xml:space="preserve">                                                (13)</m:t>
          </m:r>
        </m:oMath>
      </m:oMathPara>
    </w:p>
    <w:p w:rsidR="002429F5" w:rsidRPr="00954C9A" w:rsidRDefault="002429F5" w:rsidP="002429F5">
      <w:pPr>
        <w:pStyle w:val="1"/>
        <w:rPr>
          <w:rFonts w:ascii="Arial" w:hAnsi="Arial" w:cs="Arial"/>
          <w:iCs/>
          <w:lang w:val="en-US"/>
        </w:rPr>
      </w:pPr>
    </w:p>
    <w:p w:rsidR="002429F5" w:rsidRPr="00954C9A" w:rsidRDefault="002429F5" w:rsidP="002429F5">
      <w:pPr>
        <w:pStyle w:val="1"/>
        <w:ind w:firstLine="0"/>
        <w:rPr>
          <w:rFonts w:ascii="Arial" w:hAnsi="Arial" w:cs="Arial"/>
          <w:iCs/>
          <w:lang w:val="en-US"/>
        </w:rPr>
      </w:pPr>
      <w:r w:rsidRPr="00954C9A">
        <w:rPr>
          <w:rFonts w:ascii="Arial" w:hAnsi="Arial" w:cs="Arial"/>
          <w:iCs/>
          <w:lang w:val="en-US"/>
        </w:rPr>
        <w:t>from which, using hypothesis (a),</w:t>
      </w:r>
    </w:p>
    <w:p w:rsidR="002429F5" w:rsidRPr="00954C9A" w:rsidRDefault="002429F5" w:rsidP="002429F5">
      <w:pPr>
        <w:pStyle w:val="1"/>
        <w:ind w:firstLine="0"/>
        <w:rPr>
          <w:rFonts w:ascii="Arial" w:hAnsi="Arial" w:cs="Arial"/>
          <w:iCs/>
          <w:lang w:val="en-US"/>
        </w:rPr>
      </w:pPr>
    </w:p>
    <w:p w:rsidR="002429F5" w:rsidRPr="00954C9A" w:rsidRDefault="001345E4" w:rsidP="002429F5">
      <w:pPr>
        <w:pStyle w:val="1"/>
        <w:rPr>
          <w:rFonts w:ascii="Arial" w:hAnsi="Arial" w:cs="Arial"/>
          <w:iCs/>
          <w:lang w:val="en-US"/>
        </w:rPr>
      </w:pPr>
      <m:oMathPara>
        <m:oMathParaPr>
          <m:jc m:val="right"/>
        </m:oMathParaPr>
        <m:oMath>
          <m:func>
            <m:funcPr>
              <m:ctrlPr>
                <w:rPr>
                  <w:rFonts w:ascii="Cambria Math" w:hAnsi="Cambria Math" w:cs="Arial"/>
                  <w:iCs/>
                  <w:lang w:val="en-US"/>
                </w:rPr>
              </m:ctrlPr>
            </m:funcPr>
            <m:fName>
              <m:f>
                <m:fPr>
                  <m:ctrlPr>
                    <w:rPr>
                      <w:rFonts w:ascii="Cambria Math" w:hAnsi="Cambria Math" w:cs="Arial"/>
                      <w:iCs/>
                      <w:lang w:val="en-US"/>
                    </w:rPr>
                  </m:ctrlPr>
                </m:fPr>
                <m:num>
                  <m:r>
                    <w:rPr>
                      <w:rFonts w:ascii="Cambria Math" w:hAnsi="Cambria Math" w:cs="Arial"/>
                      <w:lang w:val="en-US"/>
                    </w:rPr>
                    <m:t>1</m:t>
                  </m:r>
                </m:num>
                <m:den>
                  <m:r>
                    <w:rPr>
                      <w:rFonts w:ascii="Cambria Math" w:hAnsi="Cambria Math" w:cs="Arial"/>
                      <w:lang w:val="en-US"/>
                    </w:rPr>
                    <m:t>k</m:t>
                  </m:r>
                </m:den>
              </m:f>
              <m:r>
                <m:rPr>
                  <m:sty m:val="p"/>
                </m:rPr>
                <w:rPr>
                  <w:rFonts w:ascii="Cambria Math" w:hAnsi="Cambria Math" w:cs="Arial"/>
                  <w:lang w:val="en-US"/>
                </w:rPr>
                <m:t xml:space="preserve">log </m:t>
              </m:r>
              <m:r>
                <w:rPr>
                  <w:rFonts w:ascii="Cambria Math" w:hAnsi="Cambria Math" w:cs="Arial"/>
                  <w:lang w:val="en-US"/>
                </w:rPr>
                <m:t>f</m:t>
              </m:r>
              <m:d>
                <m:dPr>
                  <m:ctrlPr>
                    <w:rPr>
                      <w:rFonts w:ascii="Cambria Math" w:hAnsi="Cambria Math" w:cs="Arial"/>
                      <w:i/>
                      <w:iCs/>
                      <w:lang w:val="en-US"/>
                    </w:rPr>
                  </m:ctrlPr>
                </m:dPr>
                <m:e>
                  <m:sSub>
                    <m:sSubPr>
                      <m:ctrlPr>
                        <w:rPr>
                          <w:rFonts w:ascii="Cambria Math" w:hAnsi="Cambria Math" w:cs="Arial"/>
                          <w:i/>
                          <w:iCs/>
                          <w:lang w:val="en-US"/>
                        </w:rPr>
                      </m:ctrlPr>
                    </m:sSubPr>
                    <m:e>
                      <m:r>
                        <w:rPr>
                          <w:rFonts w:ascii="Cambria Math" w:hAnsi="Cambria Math" w:cs="Arial"/>
                          <w:lang w:val="en-US"/>
                        </w:rPr>
                        <m:t>x</m:t>
                      </m:r>
                    </m:e>
                    <m:sub>
                      <m:r>
                        <w:rPr>
                          <w:rFonts w:ascii="Cambria Math" w:hAnsi="Cambria Math" w:cs="Arial"/>
                          <w:lang w:val="en-US"/>
                        </w:rPr>
                        <m:t>k</m:t>
                      </m:r>
                    </m:sub>
                  </m:sSub>
                </m:e>
              </m:d>
            </m:fName>
            <m:e>
              <m:r>
                <w:rPr>
                  <w:rFonts w:ascii="Cambria Math" w:hAnsi="Cambria Math" w:cs="Arial"/>
                  <w:lang w:val="en-US"/>
                </w:rPr>
                <m:t xml:space="preserve"> ≤</m:t>
              </m:r>
            </m:e>
          </m:func>
          <m:r>
            <w:rPr>
              <w:rFonts w:ascii="Cambria Math" w:hAnsi="Cambria Math" w:cs="Arial"/>
              <w:lang w:val="en-US"/>
            </w:rPr>
            <m:t xml:space="preserve"> </m:t>
          </m:r>
          <m:d>
            <m:dPr>
              <m:begChr m:val="["/>
              <m:endChr m:val="]"/>
              <m:ctrlPr>
                <w:rPr>
                  <w:rFonts w:ascii="Cambria Math" w:hAnsi="Cambria Math" w:cs="Arial"/>
                  <w:i/>
                  <w:iCs/>
                  <w:lang w:val="en-US"/>
                </w:rPr>
              </m:ctrlPr>
            </m:dPr>
            <m:e>
              <m:f>
                <m:fPr>
                  <m:ctrlPr>
                    <w:rPr>
                      <w:rFonts w:ascii="Cambria Math" w:hAnsi="Cambria Math" w:cs="Arial"/>
                      <w:i/>
                      <w:iCs/>
                      <w:lang w:val="en-US"/>
                    </w:rPr>
                  </m:ctrlPr>
                </m:fPr>
                <m:num>
                  <m:func>
                    <m:funcPr>
                      <m:ctrlPr>
                        <w:rPr>
                          <w:rFonts w:ascii="Cambria Math" w:hAnsi="Cambria Math" w:cs="Arial"/>
                          <w:iCs/>
                          <w:lang w:val="en-US"/>
                        </w:rPr>
                      </m:ctrlPr>
                    </m:funcPr>
                    <m:fName>
                      <m:r>
                        <m:rPr>
                          <m:sty m:val="p"/>
                        </m:rPr>
                        <w:rPr>
                          <w:rFonts w:ascii="Cambria Math" w:hAnsi="Cambria Math" w:cs="Arial"/>
                          <w:lang w:val="en-US"/>
                        </w:rPr>
                        <m:t>log</m:t>
                      </m:r>
                    </m:fName>
                    <m:e>
                      <m:r>
                        <w:rPr>
                          <w:rFonts w:ascii="Cambria Math" w:hAnsi="Cambria Math" w:cs="Arial"/>
                          <w:lang w:val="en-US"/>
                        </w:rPr>
                        <m:t>V</m:t>
                      </m:r>
                      <m:d>
                        <m:dPr>
                          <m:ctrlPr>
                            <w:rPr>
                              <w:rFonts w:ascii="Cambria Math" w:hAnsi="Cambria Math" w:cs="Arial"/>
                              <w:i/>
                              <w:iCs/>
                              <w:lang w:val="en-US"/>
                            </w:rPr>
                          </m:ctrlPr>
                        </m:dPr>
                        <m:e>
                          <m:sSub>
                            <m:sSubPr>
                              <m:ctrlPr>
                                <w:rPr>
                                  <w:rFonts w:ascii="Cambria Math" w:hAnsi="Cambria Math" w:cs="Arial"/>
                                  <w:i/>
                                  <w:iCs/>
                                  <w:lang w:val="en-US"/>
                                </w:rPr>
                              </m:ctrlPr>
                            </m:sSubPr>
                            <m:e>
                              <m:r>
                                <w:rPr>
                                  <w:rFonts w:ascii="Cambria Math" w:hAnsi="Cambria Math" w:cs="Arial"/>
                                  <w:lang w:val="en-US"/>
                                </w:rPr>
                                <m:t>x</m:t>
                              </m:r>
                            </m:e>
                            <m:sub>
                              <m:r>
                                <w:rPr>
                                  <w:rFonts w:ascii="Cambria Math" w:hAnsi="Cambria Math" w:cs="Arial"/>
                                  <w:lang w:val="en-US"/>
                                </w:rPr>
                                <m:t>0</m:t>
                              </m:r>
                            </m:sub>
                          </m:sSub>
                          <m:r>
                            <w:rPr>
                              <w:rFonts w:ascii="Cambria Math" w:hAnsi="Cambria Math" w:cs="Arial"/>
                              <w:lang w:val="en-US"/>
                            </w:rPr>
                            <m:t>,0</m:t>
                          </m:r>
                        </m:e>
                      </m:d>
                      <m:r>
                        <w:rPr>
                          <w:rFonts w:ascii="Cambria Math" w:hAnsi="Cambria Math" w:cs="Arial"/>
                          <w:lang w:val="en-US"/>
                        </w:rPr>
                        <m:t xml:space="preserve"> </m:t>
                      </m:r>
                    </m:e>
                  </m:func>
                </m:num>
                <m:den>
                  <m:r>
                    <w:rPr>
                      <w:rFonts w:ascii="Cambria Math" w:hAnsi="Cambria Math" w:cs="Arial"/>
                      <w:lang w:val="en-US"/>
                    </w:rPr>
                    <m:t>k</m:t>
                  </m:r>
                </m:den>
              </m:f>
              <m:r>
                <w:rPr>
                  <w:rFonts w:ascii="Cambria Math" w:hAnsi="Cambria Math" w:cs="Arial"/>
                  <w:lang w:val="en-US"/>
                </w:rPr>
                <m:t>–r</m:t>
              </m:r>
              <m:f>
                <m:fPr>
                  <m:ctrlPr>
                    <w:rPr>
                      <w:rFonts w:ascii="Cambria Math" w:hAnsi="Cambria Math" w:cs="Arial"/>
                      <w:i/>
                      <w:iCs/>
                      <w:lang w:val="en-US"/>
                    </w:rPr>
                  </m:ctrlPr>
                </m:fPr>
                <m:num>
                  <m:sSub>
                    <m:sSubPr>
                      <m:ctrlPr>
                        <w:rPr>
                          <w:rFonts w:ascii="Cambria Math" w:hAnsi="Cambria Math" w:cs="Arial"/>
                          <w:i/>
                          <w:iCs/>
                          <w:lang w:val="en-US"/>
                        </w:rPr>
                      </m:ctrlPr>
                    </m:sSubPr>
                    <m:e>
                      <m:r>
                        <w:rPr>
                          <w:rFonts w:ascii="Cambria Math" w:hAnsi="Cambria Math" w:cs="Arial"/>
                          <w:lang w:val="en-US"/>
                        </w:rPr>
                        <m:t>t</m:t>
                      </m:r>
                    </m:e>
                    <m:sub>
                      <m:r>
                        <w:rPr>
                          <w:rFonts w:ascii="Cambria Math" w:hAnsi="Cambria Math" w:cs="Arial"/>
                          <w:lang w:val="en-US"/>
                        </w:rPr>
                        <m:t>k+1</m:t>
                      </m:r>
                    </m:sub>
                  </m:sSub>
                </m:num>
                <m:den>
                  <m:r>
                    <w:rPr>
                      <w:rFonts w:ascii="Cambria Math" w:hAnsi="Cambria Math" w:cs="Arial"/>
                      <w:lang w:val="en-US"/>
                    </w:rPr>
                    <m:t>k</m:t>
                  </m:r>
                </m:den>
              </m:f>
              <m:r>
                <w:rPr>
                  <w:rFonts w:ascii="Cambria Math" w:hAnsi="Cambria Math" w:cs="Arial"/>
                  <w:lang w:val="en-US"/>
                </w:rPr>
                <m:t>+</m:t>
              </m:r>
              <m:f>
                <m:fPr>
                  <m:ctrlPr>
                    <w:rPr>
                      <w:rFonts w:ascii="Cambria Math" w:hAnsi="Cambria Math" w:cs="Arial"/>
                      <w:i/>
                      <w:iCs/>
                      <w:lang w:val="en-US"/>
                    </w:rPr>
                  </m:ctrlPr>
                </m:fPr>
                <m:num>
                  <m:func>
                    <m:funcPr>
                      <m:ctrlPr>
                        <w:rPr>
                          <w:rFonts w:ascii="Cambria Math" w:hAnsi="Cambria Math" w:cs="Arial"/>
                          <w:i/>
                          <w:iCs/>
                          <w:lang w:val="en-US"/>
                        </w:rPr>
                      </m:ctrlPr>
                    </m:funcPr>
                    <m:fName>
                      <m:r>
                        <w:rPr>
                          <w:rFonts w:ascii="Cambria Math" w:hAnsi="Cambria Math" w:cs="Arial"/>
                          <w:lang w:val="en-US"/>
                        </w:rPr>
                        <m:t>2log</m:t>
                      </m:r>
                    </m:fName>
                    <m:e>
                      <m:r>
                        <w:rPr>
                          <w:rFonts w:ascii="Cambria Math" w:hAnsi="Cambria Math" w:cs="Arial"/>
                          <w:lang w:val="en-US"/>
                        </w:rPr>
                        <m:t xml:space="preserve">C </m:t>
                      </m:r>
                    </m:e>
                  </m:func>
                </m:num>
                <m:den>
                  <m:r>
                    <w:rPr>
                      <w:rFonts w:ascii="Cambria Math" w:hAnsi="Cambria Math" w:cs="Arial"/>
                      <w:lang w:val="en-US"/>
                    </w:rPr>
                    <m:t>k</m:t>
                  </m:r>
                </m:den>
              </m:f>
            </m:e>
          </m:d>
          <m:r>
            <w:rPr>
              <w:rFonts w:ascii="Cambria Math" w:hAnsi="Cambria Math" w:cs="Arial"/>
              <w:lang w:val="en-US"/>
            </w:rPr>
            <m:t xml:space="preserve">                                          (14)</m:t>
          </m:r>
        </m:oMath>
      </m:oMathPara>
    </w:p>
    <w:p w:rsidR="002429F5" w:rsidRPr="00954C9A" w:rsidRDefault="002429F5" w:rsidP="002429F5">
      <w:pPr>
        <w:pStyle w:val="1"/>
        <w:rPr>
          <w:rFonts w:ascii="Arial" w:hAnsi="Arial" w:cs="Arial"/>
          <w:iCs/>
          <w:lang w:val="en-US"/>
        </w:rPr>
      </w:pPr>
      <w:r w:rsidRPr="00954C9A">
        <w:rPr>
          <w:rFonts w:ascii="Arial" w:hAnsi="Arial" w:cs="Arial"/>
          <w:iCs/>
          <w:lang w:val="en-US"/>
        </w:rPr>
        <w:tab/>
      </w:r>
    </w:p>
    <w:p w:rsidR="002429F5" w:rsidRPr="00954C9A" w:rsidRDefault="002429F5" w:rsidP="002429F5">
      <w:pPr>
        <w:pStyle w:val="1"/>
        <w:ind w:firstLine="0"/>
        <w:rPr>
          <w:rFonts w:ascii="Arial" w:hAnsi="Arial" w:cs="Arial"/>
          <w:iCs/>
          <w:lang w:val="en-US"/>
        </w:rPr>
      </w:pPr>
      <w:r>
        <w:rPr>
          <w:rFonts w:ascii="Arial" w:hAnsi="Arial" w:cs="Arial"/>
          <w:iCs/>
          <w:lang w:val="en-US"/>
        </w:rPr>
        <w:t>Letting</w:t>
      </w:r>
      <w:r w:rsidRPr="00954C9A">
        <w:rPr>
          <w:rFonts w:ascii="Arial" w:hAnsi="Arial" w:cs="Arial"/>
          <w:iCs/>
          <w:lang w:val="en-US"/>
        </w:rPr>
        <w:t xml:space="preserve"> </w:t>
      </w:r>
      <m:oMath>
        <m:r>
          <w:rPr>
            <w:rFonts w:ascii="Cambria Math" w:hAnsi="Cambria Math" w:cs="Arial"/>
            <w:lang w:val="en-US"/>
          </w:rPr>
          <m:t>k→</m:t>
        </m:r>
        <m:r>
          <w:rPr>
            <w:rFonts w:ascii="Cambria Math" w:hAnsi="Cambria Math" w:cs="Arial"/>
            <w:i/>
            <w:iCs/>
            <w:lang w:val="en-US"/>
          </w:rPr>
          <w:sym w:font="Symbol" w:char="F0A5"/>
        </m:r>
      </m:oMath>
      <w:r w:rsidRPr="00954C9A">
        <w:rPr>
          <w:rFonts w:ascii="Arial" w:hAnsi="Arial" w:cs="Arial"/>
          <w:iCs/>
          <w:lang w:val="en-US"/>
        </w:rPr>
        <w:t xml:space="preserve">, the first and the third term in right hand of (14) tend to 0 and, because  </w:t>
      </w:r>
      <m:oMath>
        <m:sSub>
          <m:sSubPr>
            <m:ctrlPr>
              <w:rPr>
                <w:rFonts w:ascii="Cambria Math" w:hAnsi="Cambria Math" w:cs="Arial"/>
                <w:i/>
                <w:iCs/>
                <w:lang w:val="en-US"/>
              </w:rPr>
            </m:ctrlPr>
          </m:sSubPr>
          <m:e>
            <m:r>
              <w:rPr>
                <w:rFonts w:ascii="Cambria Math" w:hAnsi="Cambria Math" w:cs="Arial"/>
                <w:lang w:val="en-US"/>
              </w:rPr>
              <m:t>t</m:t>
            </m:r>
          </m:e>
          <m:sub>
            <m:r>
              <w:rPr>
                <w:rFonts w:ascii="Cambria Math" w:hAnsi="Cambria Math" w:cs="Arial"/>
                <w:lang w:val="en-US"/>
              </w:rPr>
              <m:t>k+1</m:t>
            </m:r>
          </m:sub>
        </m:sSub>
        <m:r>
          <w:rPr>
            <w:rFonts w:ascii="Cambria Math" w:hAnsi="Cambria Math" w:cs="Arial"/>
            <w:lang w:val="en-US"/>
          </w:rPr>
          <m:t>≤k+1</m:t>
        </m:r>
      </m:oMath>
      <w:r w:rsidRPr="00954C9A">
        <w:rPr>
          <w:rFonts w:ascii="Arial" w:hAnsi="Arial" w:cs="Arial"/>
          <w:iCs/>
          <w:lang w:val="en-US"/>
        </w:rPr>
        <w:t xml:space="preserve">, there exist </w:t>
      </w:r>
      <m:oMath>
        <m:r>
          <w:rPr>
            <w:rFonts w:ascii="Cambria Math" w:hAnsi="Cambria Math" w:cs="Arial"/>
            <w:lang w:val="en-US"/>
          </w:rPr>
          <m:t>l&gt;0</m:t>
        </m:r>
      </m:oMath>
      <w:r w:rsidRPr="00954C9A">
        <w:rPr>
          <w:rFonts w:ascii="Arial" w:hAnsi="Arial" w:cs="Arial"/>
          <w:iCs/>
          <w:lang w:val="en-US"/>
        </w:rPr>
        <w:t xml:space="preserve"> such that the conclusion is satisfied:</w:t>
      </w:r>
    </w:p>
    <w:p w:rsidR="002429F5" w:rsidRPr="00954C9A" w:rsidRDefault="002429F5" w:rsidP="002429F5">
      <w:pPr>
        <w:pStyle w:val="1"/>
        <w:rPr>
          <w:rFonts w:ascii="Arial" w:hAnsi="Arial" w:cs="Arial"/>
          <w:iCs/>
          <w:lang w:val="en-US"/>
        </w:rPr>
      </w:pPr>
    </w:p>
    <w:p w:rsidR="002429F5" w:rsidRPr="00954C9A" w:rsidRDefault="001345E4" w:rsidP="002429F5">
      <w:pPr>
        <w:pStyle w:val="1"/>
        <w:rPr>
          <w:rFonts w:ascii="Arial" w:hAnsi="Arial" w:cs="Arial"/>
          <w:iCs/>
          <w:lang w:val="en-US"/>
        </w:rPr>
      </w:pPr>
      <m:oMathPara>
        <m:oMathParaPr>
          <m:jc m:val="center"/>
        </m:oMathParaPr>
        <m:oMath>
          <m:func>
            <m:funcPr>
              <m:ctrlPr>
                <w:rPr>
                  <w:rFonts w:ascii="Cambria Math" w:hAnsi="Cambria Math" w:cs="Arial"/>
                  <w:i/>
                  <w:iCs/>
                  <w:lang w:val="en-US"/>
                </w:rPr>
              </m:ctrlPr>
            </m:funcPr>
            <m:fName>
              <m:limLow>
                <m:limLowPr>
                  <m:ctrlPr>
                    <w:rPr>
                      <w:rFonts w:ascii="Cambria Math" w:hAnsi="Cambria Math" w:cs="Arial"/>
                      <w:i/>
                      <w:iCs/>
                      <w:lang w:val="en-US"/>
                    </w:rPr>
                  </m:ctrlPr>
                </m:limLowPr>
                <m:e>
                  <m:r>
                    <m:rPr>
                      <m:sty m:val="p"/>
                    </m:rPr>
                    <w:rPr>
                      <w:rFonts w:ascii="Cambria Math" w:hAnsi="Cambria Math" w:cs="Arial"/>
                      <w:lang w:val="en-US"/>
                    </w:rPr>
                    <m:t>lim⁡sup</m:t>
                  </m:r>
                </m:e>
                <m:lim>
                  <m:r>
                    <w:rPr>
                      <w:rFonts w:ascii="Cambria Math" w:hAnsi="Cambria Math" w:cs="Arial"/>
                      <w:lang w:val="en-US"/>
                    </w:rPr>
                    <m:t>k→</m:t>
                  </m:r>
                  <m:r>
                    <w:rPr>
                      <w:rFonts w:ascii="Cambria Math" w:hAnsi="Cambria Math" w:cs="Arial"/>
                      <w:i/>
                      <w:iCs/>
                      <w:lang w:val="en-US"/>
                    </w:rPr>
                    <w:sym w:font="Symbol" w:char="F0A5"/>
                  </m:r>
                </m:lim>
              </m:limLow>
            </m:fName>
            <m:e>
              <m:f>
                <m:fPr>
                  <m:ctrlPr>
                    <w:rPr>
                      <w:rFonts w:ascii="Cambria Math" w:hAnsi="Cambria Math" w:cs="Arial"/>
                      <w:i/>
                      <w:iCs/>
                      <w:lang w:val="en-US"/>
                    </w:rPr>
                  </m:ctrlPr>
                </m:fPr>
                <m:num>
                  <m:r>
                    <w:rPr>
                      <w:rFonts w:ascii="Cambria Math" w:hAnsi="Cambria Math" w:cs="Arial"/>
                      <w:lang w:val="en-US"/>
                    </w:rPr>
                    <m:t>1</m:t>
                  </m:r>
                </m:num>
                <m:den>
                  <m:r>
                    <w:rPr>
                      <w:rFonts w:ascii="Cambria Math" w:hAnsi="Cambria Math" w:cs="Arial"/>
                      <w:lang w:val="en-US"/>
                    </w:rPr>
                    <m:t>k</m:t>
                  </m:r>
                </m:den>
              </m:f>
            </m:e>
          </m:func>
          <m:r>
            <w:rPr>
              <w:rFonts w:ascii="Cambria Math" w:hAnsi="Cambria Math" w:cs="Arial"/>
              <w:lang w:val="en-US"/>
            </w:rPr>
            <m:t xml:space="preserve"> </m:t>
          </m:r>
          <m:func>
            <m:funcPr>
              <m:ctrlPr>
                <w:rPr>
                  <w:rFonts w:ascii="Cambria Math" w:hAnsi="Cambria Math" w:cs="Arial"/>
                  <w:i/>
                  <w:iCs/>
                  <w:lang w:val="en-US"/>
                </w:rPr>
              </m:ctrlPr>
            </m:funcPr>
            <m:fName>
              <m:func>
                <m:funcPr>
                  <m:ctrlPr>
                    <w:rPr>
                      <w:rFonts w:ascii="Cambria Math" w:hAnsi="Cambria Math" w:cs="Arial"/>
                      <w:iCs/>
                      <w:lang w:val="en-US"/>
                    </w:rPr>
                  </m:ctrlPr>
                </m:funcPr>
                <m:fName>
                  <m:r>
                    <m:rPr>
                      <m:sty m:val="p"/>
                    </m:rPr>
                    <w:rPr>
                      <w:rFonts w:ascii="Cambria Math" w:hAnsi="Cambria Math" w:cs="Arial"/>
                      <w:lang w:val="en-US"/>
                    </w:rPr>
                    <m:t>log</m:t>
                  </m:r>
                </m:fName>
                <m:e>
                  <m:r>
                    <w:rPr>
                      <w:rFonts w:ascii="Cambria Math" w:hAnsi="Cambria Math" w:cs="Arial"/>
                      <w:lang w:val="en-US"/>
                    </w:rPr>
                    <m:t>f(</m:t>
                  </m:r>
                  <m:sSub>
                    <m:sSubPr>
                      <m:ctrlPr>
                        <w:rPr>
                          <w:rFonts w:ascii="Cambria Math" w:hAnsi="Cambria Math" w:cs="Arial"/>
                          <w:i/>
                          <w:iCs/>
                          <w:lang w:val="en-US"/>
                        </w:rPr>
                      </m:ctrlPr>
                    </m:sSubPr>
                    <m:e>
                      <m:r>
                        <w:rPr>
                          <w:rFonts w:ascii="Cambria Math" w:hAnsi="Cambria Math" w:cs="Arial"/>
                          <w:lang w:val="en-US"/>
                        </w:rPr>
                        <m:t>x</m:t>
                      </m:r>
                    </m:e>
                    <m:sub>
                      <m:r>
                        <w:rPr>
                          <w:rFonts w:ascii="Cambria Math" w:hAnsi="Cambria Math" w:cs="Arial"/>
                          <w:lang w:val="en-US"/>
                        </w:rPr>
                        <m:t>k</m:t>
                      </m:r>
                    </m:sub>
                  </m:sSub>
                  <m:r>
                    <w:rPr>
                      <w:rFonts w:ascii="Cambria Math" w:hAnsi="Cambria Math" w:cs="Arial"/>
                      <w:lang w:val="en-US"/>
                    </w:rPr>
                    <m:t>)</m:t>
                  </m:r>
                </m:e>
              </m:func>
            </m:fName>
            <m:e>
              <m:r>
                <w:rPr>
                  <w:rFonts w:ascii="Cambria Math" w:hAnsi="Cambria Math" w:cs="Arial"/>
                  <w:lang w:val="en-US"/>
                </w:rPr>
                <m:t xml:space="preserve"> &lt;-l</m:t>
              </m:r>
            </m:e>
          </m:func>
        </m:oMath>
      </m:oMathPara>
    </w:p>
    <w:p w:rsidR="002429F5" w:rsidRPr="00954C9A" w:rsidRDefault="002429F5" w:rsidP="002429F5">
      <w:pPr>
        <w:spacing w:line="360" w:lineRule="auto"/>
        <w:jc w:val="both"/>
        <w:rPr>
          <w:rFonts w:ascii="Arial" w:hAnsi="Arial" w:cs="Arial"/>
          <w:color w:val="000000"/>
        </w:rPr>
      </w:pPr>
    </w:p>
    <w:p w:rsidR="002429F5" w:rsidRPr="00B45118" w:rsidRDefault="002429F5" w:rsidP="002429F5">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102" w:name="_Toc50031217"/>
      <w:r w:rsidRPr="00B45118">
        <w:rPr>
          <w:rFonts w:ascii="Arial" w:hAnsi="Arial" w:cs="Arial"/>
          <w:caps/>
          <w:sz w:val="24"/>
          <w:szCs w:val="24"/>
        </w:rPr>
        <w:lastRenderedPageBreak/>
        <w:t xml:space="preserve">2. </w:t>
      </w:r>
      <w:r w:rsidRPr="00B45118">
        <w:rPr>
          <w:rFonts w:ascii="Arial" w:hAnsi="Arial" w:cs="Arial"/>
          <w:sz w:val="24"/>
          <w:szCs w:val="24"/>
        </w:rPr>
        <w:t>Example.</w:t>
      </w:r>
      <w:bookmarkEnd w:id="102"/>
    </w:p>
    <w:p w:rsidR="002429F5" w:rsidRPr="002429F5" w:rsidRDefault="002429F5" w:rsidP="002429F5">
      <w:pPr>
        <w:rPr>
          <w:rFonts w:ascii="Arial" w:hAnsi="Arial" w:cs="Arial"/>
          <w:lang w:val="en-US"/>
        </w:rPr>
      </w:pPr>
      <w:r w:rsidRPr="002429F5">
        <w:rPr>
          <w:lang w:val="en-US"/>
        </w:rPr>
        <w:t xml:space="preserve">     </w:t>
      </w:r>
      <w:r w:rsidRPr="002429F5">
        <w:rPr>
          <w:rFonts w:ascii="Arial" w:hAnsi="Arial" w:cs="Arial"/>
          <w:lang w:val="en-US"/>
        </w:rPr>
        <w:t>In this section, we shall discuss an example to illustrate our theory. We consider the following stochastic optimal control problem, see [1]:</w:t>
      </w:r>
    </w:p>
    <w:p w:rsidR="002429F5" w:rsidRPr="002429F5" w:rsidRDefault="002429F5" w:rsidP="002429F5">
      <w:pPr>
        <w:jc w:val="both"/>
        <w:rPr>
          <w:rFonts w:ascii="Arial" w:hAnsi="Arial" w:cs="Arial"/>
          <w:iCs/>
          <w:color w:val="000000"/>
          <w:lang w:val="en-US"/>
        </w:rPr>
      </w:pPr>
      <w:r w:rsidRPr="002429F5">
        <w:rPr>
          <w:rFonts w:ascii="Arial" w:hAnsi="Arial" w:cs="Arial"/>
          <w:b/>
          <w:lang w:val="en-US"/>
        </w:rPr>
        <w:t xml:space="preserve">     </w:t>
      </w:r>
      <w:r w:rsidRPr="002429F5">
        <w:rPr>
          <w:rFonts w:ascii="Arial" w:hAnsi="Arial" w:cs="Arial"/>
          <w:iCs/>
          <w:color w:val="000000"/>
          <w:lang w:val="en-US"/>
        </w:rPr>
        <w:t xml:space="preserve">To find controls </w:t>
      </w:r>
      <m:oMath>
        <m:sSup>
          <m:sSupPr>
            <m:ctrlPr>
              <w:rPr>
                <w:rFonts w:ascii="Cambria Math" w:hAnsi="Cambria Math" w:cs="Arial"/>
                <w:i/>
                <w:iCs/>
                <w:color w:val="000000"/>
              </w:rPr>
            </m:ctrlPr>
          </m:sSupPr>
          <m:e>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lang w:val="en-US"/>
                  </w:rPr>
                  <m:t>1</m:t>
                </m:r>
              </m:sub>
            </m:sSub>
          </m:e>
          <m:sup>
            <m:r>
              <w:rPr>
                <w:rFonts w:ascii="Cambria Math" w:hAnsi="Cambria Math" w:cs="Arial"/>
                <w:color w:val="000000"/>
                <w:lang w:val="en-US"/>
              </w:rPr>
              <m:t>*</m:t>
            </m:r>
          </m:sup>
        </m:sSup>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lang w:val="en-US"/>
          </w:rPr>
          <m:t xml:space="preserve">, </m:t>
        </m:r>
        <m:sSup>
          <m:sSupPr>
            <m:ctrlPr>
              <w:rPr>
                <w:rFonts w:ascii="Cambria Math" w:hAnsi="Cambria Math" w:cs="Arial"/>
                <w:i/>
                <w:iCs/>
                <w:color w:val="000000"/>
              </w:rPr>
            </m:ctrlPr>
          </m:sSupPr>
          <m:e>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lang w:val="en-US"/>
                  </w:rPr>
                  <m:t>2</m:t>
                </m:r>
              </m:sub>
            </m:sSub>
          </m:e>
          <m:sup>
            <m:r>
              <w:rPr>
                <w:rFonts w:ascii="Cambria Math" w:hAnsi="Cambria Math" w:cs="Arial"/>
                <w:color w:val="000000"/>
                <w:lang w:val="en-US"/>
              </w:rPr>
              <m:t>*</m:t>
            </m:r>
          </m:sup>
        </m:sSup>
        <m:d>
          <m:dPr>
            <m:ctrlPr>
              <w:rPr>
                <w:rFonts w:ascii="Cambria Math" w:hAnsi="Cambria Math" w:cs="Arial"/>
                <w:i/>
                <w:iCs/>
                <w:color w:val="000000"/>
              </w:rPr>
            </m:ctrlPr>
          </m:dPr>
          <m:e>
            <m:r>
              <w:rPr>
                <w:rFonts w:ascii="Cambria Math" w:hAnsi="Cambria Math" w:cs="Arial"/>
                <w:color w:val="000000"/>
              </w:rPr>
              <m:t>t</m:t>
            </m:r>
          </m:e>
        </m:d>
      </m:oMath>
      <w:r w:rsidRPr="002429F5">
        <w:rPr>
          <w:rFonts w:ascii="Arial" w:hAnsi="Arial" w:cs="Arial"/>
          <w:iCs/>
          <w:color w:val="000000"/>
          <w:lang w:val="en-US"/>
        </w:rPr>
        <w:t xml:space="preserve"> which steers the initial condition </w:t>
      </w:r>
      <m:oMath>
        <m:r>
          <w:rPr>
            <w:rFonts w:ascii="Cambria Math" w:hAnsi="Cambria Math" w:cs="Arial"/>
            <w:color w:val="000000"/>
          </w:rPr>
          <m:t>x</m:t>
        </m:r>
        <m:d>
          <m:dPr>
            <m:ctrlPr>
              <w:rPr>
                <w:rFonts w:ascii="Cambria Math" w:hAnsi="Cambria Math" w:cs="Arial"/>
                <w:i/>
                <w:iCs/>
                <w:color w:val="000000"/>
              </w:rPr>
            </m:ctrlPr>
          </m:dPr>
          <m:e>
            <m:r>
              <w:rPr>
                <w:rFonts w:ascii="Cambria Math" w:hAnsi="Cambria Math" w:cs="Arial"/>
                <w:color w:val="000000"/>
                <w:lang w:val="en-US"/>
              </w:rPr>
              <m:t>0</m:t>
            </m:r>
          </m:e>
        </m:d>
        <m:r>
          <w:rPr>
            <w:rFonts w:ascii="Cambria Math" w:hAnsi="Cambria Math" w:cs="Arial"/>
            <w:color w:val="000000"/>
            <w:lang w:val="en-US"/>
          </w:rPr>
          <m:t>= (1,0,0,0)</m:t>
        </m:r>
      </m:oMath>
      <w:r w:rsidRPr="002429F5">
        <w:rPr>
          <w:rFonts w:ascii="Arial" w:hAnsi="Arial" w:cs="Arial"/>
          <w:iCs/>
          <w:color w:val="000000"/>
          <w:lang w:val="en-US"/>
        </w:rPr>
        <w:t xml:space="preserve"> of stochastic system</w:t>
      </w:r>
    </w:p>
    <w:p w:rsidR="002429F5" w:rsidRPr="002429F5" w:rsidRDefault="002429F5" w:rsidP="002429F5">
      <w:pPr>
        <w:jc w:val="both"/>
        <w:rPr>
          <w:rFonts w:ascii="Arial" w:hAnsi="Arial" w:cs="Arial"/>
          <w:iCs/>
          <w:color w:val="000000"/>
          <w:lang w:val="en-US"/>
        </w:rPr>
      </w:pPr>
    </w:p>
    <w:p w:rsidR="002429F5" w:rsidRPr="002429F5" w:rsidRDefault="002429F5" w:rsidP="002429F5">
      <w:pPr>
        <w:jc w:val="right"/>
        <w:rPr>
          <w:rFonts w:ascii="Arial" w:hAnsi="Arial" w:cs="Arial"/>
          <w:iCs/>
          <w:color w:val="000000"/>
          <w:lang w:val="en-US"/>
        </w:rPr>
      </w:pPr>
      <m:oMath>
        <m:r>
          <w:rPr>
            <w:rFonts w:ascii="Cambria Math" w:hAnsi="Cambria Math" w:cs="Arial"/>
          </w:rPr>
          <m:t>dx</m:t>
        </m:r>
        <m:d>
          <m:dPr>
            <m:ctrlPr>
              <w:rPr>
                <w:rFonts w:ascii="Cambria Math" w:hAnsi="Cambria Math" w:cs="Arial"/>
                <w:i/>
                <w:iCs/>
              </w:rPr>
            </m:ctrlPr>
          </m:dPr>
          <m:e>
            <m:r>
              <w:rPr>
                <w:rFonts w:ascii="Cambria Math" w:hAnsi="Cambria Math" w:cs="Arial"/>
              </w:rPr>
              <m:t>t</m:t>
            </m:r>
          </m:e>
        </m:d>
        <m:r>
          <w:rPr>
            <w:rFonts w:ascii="Cambria Math" w:hAnsi="Cambria Math" w:cs="Arial"/>
            <w:lang w:val="en-US"/>
          </w:rPr>
          <m:t>=</m:t>
        </m:r>
        <m:sSub>
          <m:sSubPr>
            <m:ctrlPr>
              <w:rPr>
                <w:rFonts w:ascii="Cambria Math" w:hAnsi="Cambria Math" w:cs="Arial"/>
                <w:i/>
                <w:iCs/>
              </w:rPr>
            </m:ctrlPr>
          </m:sSubPr>
          <m:e>
            <m:r>
              <w:rPr>
                <w:rFonts w:ascii="Cambria Math" w:hAnsi="Cambria Math" w:cs="Arial"/>
              </w:rPr>
              <m:t>S</m:t>
            </m:r>
          </m:e>
          <m:sub>
            <m:r>
              <w:rPr>
                <w:rFonts w:ascii="Cambria Math" w:hAnsi="Cambria Math" w:cs="Arial"/>
                <w:lang w:val="en-US"/>
              </w:rPr>
              <m:t>3</m:t>
            </m:r>
          </m:sub>
        </m:sSub>
        <m:r>
          <w:rPr>
            <w:rFonts w:ascii="Cambria Math" w:hAnsi="Cambria Math" w:cs="Arial"/>
          </w:rPr>
          <m:t>x</m:t>
        </m:r>
        <m:d>
          <m:dPr>
            <m:ctrlPr>
              <w:rPr>
                <w:rFonts w:ascii="Cambria Math" w:hAnsi="Cambria Math" w:cs="Arial"/>
                <w:i/>
                <w:iCs/>
              </w:rPr>
            </m:ctrlPr>
          </m:dPr>
          <m:e>
            <m:r>
              <w:rPr>
                <w:rFonts w:ascii="Cambria Math" w:hAnsi="Cambria Math" w:cs="Arial"/>
              </w:rPr>
              <m:t>t</m:t>
            </m:r>
          </m:e>
        </m:d>
        <m:r>
          <w:rPr>
            <w:rFonts w:ascii="Cambria Math" w:hAnsi="Cambria Math" w:cs="Arial"/>
            <w:lang w:val="en-US"/>
          </w:rPr>
          <m:t xml:space="preserve"> </m:t>
        </m:r>
        <m:r>
          <w:rPr>
            <w:rFonts w:ascii="Cambria Math" w:hAnsi="Cambria Math" w:cs="Arial"/>
          </w:rPr>
          <m:t>dt</m:t>
        </m:r>
        <m:r>
          <w:rPr>
            <w:rFonts w:ascii="Cambria Math" w:hAnsi="Cambria Math" w:cs="Arial"/>
            <w:lang w:val="en-US"/>
          </w:rPr>
          <m:t>+</m:t>
        </m:r>
        <m:sSub>
          <m:sSubPr>
            <m:ctrlPr>
              <w:rPr>
                <w:rFonts w:ascii="Cambria Math" w:hAnsi="Cambria Math" w:cs="Arial"/>
                <w:i/>
                <w:iCs/>
              </w:rPr>
            </m:ctrlPr>
          </m:sSubPr>
          <m:e>
            <m:r>
              <w:rPr>
                <w:rFonts w:ascii="Cambria Math" w:hAnsi="Cambria Math" w:cs="Arial"/>
                <w:lang w:val="en-US"/>
              </w:rPr>
              <m:t>(</m:t>
            </m:r>
            <m:r>
              <w:rPr>
                <w:rFonts w:ascii="Cambria Math" w:hAnsi="Cambria Math" w:cs="Arial"/>
              </w:rPr>
              <m:t>S</m:t>
            </m:r>
          </m:e>
          <m:sub>
            <m:r>
              <w:rPr>
                <w:rFonts w:ascii="Cambria Math" w:hAnsi="Cambria Math" w:cs="Arial"/>
                <w:lang w:val="en-US"/>
              </w:rPr>
              <m:t>2</m:t>
            </m:r>
          </m:sub>
        </m:sSub>
        <m:sSub>
          <m:sSubPr>
            <m:ctrlPr>
              <w:rPr>
                <w:rFonts w:ascii="Cambria Math" w:hAnsi="Cambria Math" w:cs="Arial"/>
                <w:i/>
                <w:iCs/>
              </w:rPr>
            </m:ctrlPr>
          </m:sSubPr>
          <m:e>
            <m:r>
              <w:rPr>
                <w:rFonts w:ascii="Cambria Math" w:hAnsi="Cambria Math" w:cs="Arial"/>
              </w:rPr>
              <m:t>u</m:t>
            </m:r>
          </m:e>
          <m:sub>
            <m:r>
              <w:rPr>
                <w:rFonts w:ascii="Cambria Math" w:hAnsi="Cambria Math" w:cs="Arial"/>
                <w:lang w:val="en-US"/>
              </w:rPr>
              <m:t>2</m:t>
            </m:r>
          </m:sub>
        </m:sSub>
        <m:d>
          <m:dPr>
            <m:ctrlPr>
              <w:rPr>
                <w:rFonts w:ascii="Cambria Math" w:hAnsi="Cambria Math" w:cs="Arial"/>
                <w:i/>
                <w:iCs/>
              </w:rPr>
            </m:ctrlPr>
          </m:dPr>
          <m:e>
            <m:r>
              <w:rPr>
                <w:rFonts w:ascii="Cambria Math" w:hAnsi="Cambria Math" w:cs="Arial"/>
              </w:rPr>
              <m:t>t</m:t>
            </m:r>
          </m:e>
        </m:d>
        <m:r>
          <w:rPr>
            <w:rFonts w:ascii="Cambria Math" w:hAnsi="Cambria Math" w:cs="Arial"/>
            <w:lang w:val="en-US"/>
          </w:rPr>
          <m:t>+</m:t>
        </m:r>
        <m:sSub>
          <m:sSubPr>
            <m:ctrlPr>
              <w:rPr>
                <w:rFonts w:ascii="Cambria Math" w:hAnsi="Cambria Math" w:cs="Arial"/>
                <w:i/>
                <w:iCs/>
              </w:rPr>
            </m:ctrlPr>
          </m:sSubPr>
          <m:e>
            <m:r>
              <w:rPr>
                <w:rFonts w:ascii="Cambria Math" w:hAnsi="Cambria Math" w:cs="Arial"/>
              </w:rPr>
              <m:t>S</m:t>
            </m:r>
          </m:e>
          <m:sub>
            <m:r>
              <w:rPr>
                <w:rFonts w:ascii="Cambria Math" w:hAnsi="Cambria Math" w:cs="Arial"/>
                <w:lang w:val="en-US"/>
              </w:rPr>
              <m:t>1</m:t>
            </m:r>
          </m:sub>
        </m:sSub>
        <m:sSub>
          <m:sSubPr>
            <m:ctrlPr>
              <w:rPr>
                <w:rFonts w:ascii="Cambria Math" w:hAnsi="Cambria Math" w:cs="Arial"/>
                <w:i/>
                <w:iCs/>
              </w:rPr>
            </m:ctrlPr>
          </m:sSubPr>
          <m:e>
            <m:r>
              <w:rPr>
                <w:rFonts w:ascii="Cambria Math" w:hAnsi="Cambria Math" w:cs="Arial"/>
              </w:rPr>
              <m:t>u</m:t>
            </m:r>
          </m:e>
          <m:sub>
            <m:r>
              <w:rPr>
                <w:rFonts w:ascii="Cambria Math" w:hAnsi="Cambria Math" w:cs="Arial"/>
                <w:lang w:val="en-US"/>
              </w:rPr>
              <m:t>1</m:t>
            </m:r>
          </m:sub>
        </m:sSub>
        <m:d>
          <m:dPr>
            <m:ctrlPr>
              <w:rPr>
                <w:rFonts w:ascii="Cambria Math" w:hAnsi="Cambria Math" w:cs="Arial"/>
                <w:i/>
                <w:iCs/>
              </w:rPr>
            </m:ctrlPr>
          </m:dPr>
          <m:e>
            <m:r>
              <w:rPr>
                <w:rFonts w:ascii="Cambria Math" w:hAnsi="Cambria Math" w:cs="Arial"/>
              </w:rPr>
              <m:t>t</m:t>
            </m:r>
          </m:e>
        </m:d>
        <m:r>
          <w:rPr>
            <w:rFonts w:ascii="Cambria Math" w:hAnsi="Cambria Math" w:cs="Arial"/>
            <w:lang w:val="en-US"/>
          </w:rPr>
          <m:t>)</m:t>
        </m:r>
        <m:r>
          <w:rPr>
            <w:rFonts w:ascii="Cambria Math" w:hAnsi="Cambria Math" w:cs="Arial"/>
          </w:rPr>
          <m:t>x</m:t>
        </m:r>
        <m:d>
          <m:dPr>
            <m:ctrlPr>
              <w:rPr>
                <w:rFonts w:ascii="Cambria Math" w:hAnsi="Cambria Math" w:cs="Arial"/>
                <w:i/>
                <w:iCs/>
              </w:rPr>
            </m:ctrlPr>
          </m:dPr>
          <m:e>
            <m:r>
              <w:rPr>
                <w:rFonts w:ascii="Cambria Math" w:hAnsi="Cambria Math" w:cs="Arial"/>
              </w:rPr>
              <m:t>t</m:t>
            </m:r>
          </m:e>
        </m:d>
        <m:r>
          <w:rPr>
            <w:rFonts w:ascii="Cambria Math" w:hAnsi="Cambria Math" w:cs="Arial"/>
            <w:lang w:val="en-US"/>
          </w:rPr>
          <m:t xml:space="preserve"> </m:t>
        </m:r>
        <m:r>
          <w:rPr>
            <w:rFonts w:ascii="Cambria Math" w:hAnsi="Cambria Math" w:cs="Arial"/>
          </w:rPr>
          <m:t>dW</m:t>
        </m:r>
        <m:r>
          <w:rPr>
            <w:rFonts w:ascii="Cambria Math" w:hAnsi="Cambria Math" w:cs="Arial"/>
            <w:lang w:val="en-US"/>
          </w:rPr>
          <m:t xml:space="preserve">                                 </m:t>
        </m:r>
      </m:oMath>
      <w:r w:rsidRPr="002429F5">
        <w:rPr>
          <w:rFonts w:ascii="Arial" w:hAnsi="Arial" w:cs="Arial"/>
          <w:lang w:val="en-US"/>
        </w:rPr>
        <w:t>(15)</w:t>
      </w:r>
    </w:p>
    <w:p w:rsidR="002429F5" w:rsidRPr="002429F5" w:rsidRDefault="002429F5" w:rsidP="002429F5">
      <w:pPr>
        <w:jc w:val="both"/>
        <w:rPr>
          <w:rFonts w:ascii="Arial" w:hAnsi="Arial" w:cs="Arial"/>
          <w:iCs/>
          <w:color w:val="000000"/>
          <w:lang w:val="en-US"/>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 xml:space="preserve">to the final state </w:t>
      </w:r>
      <m:oMath>
        <m:r>
          <w:rPr>
            <w:rFonts w:ascii="Cambria Math" w:hAnsi="Cambria Math" w:cs="Arial"/>
            <w:color w:val="000000"/>
          </w:rPr>
          <m:t>x</m:t>
        </m:r>
        <m:d>
          <m:dPr>
            <m:ctrlPr>
              <w:rPr>
                <w:rFonts w:ascii="Cambria Math" w:hAnsi="Cambria Math" w:cs="Arial"/>
                <w:i/>
                <w:iCs/>
                <w:color w:val="000000"/>
              </w:rPr>
            </m:ctrlPr>
          </m:dPr>
          <m:e>
            <m:f>
              <m:fPr>
                <m:ctrlPr>
                  <w:rPr>
                    <w:rFonts w:ascii="Cambria Math" w:hAnsi="Cambria Math" w:cs="Arial"/>
                    <w:i/>
                    <w:iCs/>
                    <w:color w:val="000000"/>
                  </w:rPr>
                </m:ctrlPr>
              </m:fPr>
              <m:num>
                <m:r>
                  <w:rPr>
                    <w:rFonts w:ascii="Cambria Math" w:hAnsi="Cambria Math" w:cs="Arial"/>
                    <w:color w:val="000000"/>
                  </w:rPr>
                  <m:t>π</m:t>
                </m:r>
              </m:num>
              <m:den>
                <m:rad>
                  <m:radPr>
                    <m:degHide m:val="1"/>
                    <m:ctrlPr>
                      <w:rPr>
                        <w:rFonts w:ascii="Cambria Math" w:hAnsi="Cambria Math" w:cs="Arial"/>
                        <w:i/>
                        <w:iCs/>
                        <w:color w:val="000000"/>
                      </w:rPr>
                    </m:ctrlPr>
                  </m:radPr>
                  <m:deg/>
                  <m:e>
                    <m:r>
                      <w:rPr>
                        <w:rFonts w:ascii="Cambria Math" w:hAnsi="Cambria Math" w:cs="Arial"/>
                        <w:color w:val="000000"/>
                        <w:lang w:val="en-US"/>
                      </w:rPr>
                      <m:t>2</m:t>
                    </m:r>
                  </m:e>
                </m:rad>
              </m:den>
            </m:f>
          </m:e>
        </m:d>
        <m:r>
          <w:rPr>
            <w:rFonts w:ascii="Cambria Math" w:hAnsi="Cambria Math" w:cs="Arial"/>
            <w:color w:val="000000"/>
            <w:lang w:val="en-US"/>
          </w:rPr>
          <m:t>= (0,0,0,1)</m:t>
        </m:r>
      </m:oMath>
      <w:r w:rsidRPr="002429F5">
        <w:rPr>
          <w:rFonts w:ascii="Arial" w:hAnsi="Arial" w:cs="Arial"/>
          <w:color w:val="000000"/>
          <w:lang w:val="en-US"/>
        </w:rPr>
        <w:t>,</w:t>
      </w:r>
      <w:r w:rsidRPr="002429F5">
        <w:rPr>
          <w:rFonts w:ascii="Arial" w:hAnsi="Arial" w:cs="Arial"/>
          <w:iCs/>
          <w:color w:val="000000"/>
          <w:lang w:val="en-US"/>
        </w:rPr>
        <w:t xml:space="preserve"> minimizing on the trajectory </w:t>
      </w:r>
      <m:oMath>
        <m:sSup>
          <m:sSupPr>
            <m:ctrlPr>
              <w:rPr>
                <w:rFonts w:ascii="Cambria Math" w:hAnsi="Cambria Math" w:cs="Arial"/>
                <w:i/>
              </w:rPr>
            </m:ctrlPr>
          </m:sSupPr>
          <m:e>
            <m:r>
              <w:rPr>
                <w:rFonts w:ascii="Cambria Math" w:hAnsi="Cambria Math" w:cs="Arial"/>
              </w:rPr>
              <m:t>x</m:t>
            </m:r>
            <m:d>
              <m:dPr>
                <m:ctrlPr>
                  <w:rPr>
                    <w:rFonts w:ascii="Cambria Math" w:hAnsi="Cambria Math" w:cs="Arial"/>
                    <w:i/>
                    <w:iCs/>
                  </w:rPr>
                </m:ctrlPr>
              </m:dPr>
              <m:e>
                <m:r>
                  <w:rPr>
                    <w:rFonts w:ascii="Cambria Math" w:hAnsi="Cambria Math" w:cs="Arial"/>
                  </w:rPr>
                  <m:t>t</m:t>
                </m:r>
              </m:e>
            </m:d>
          </m:e>
          <m:sup>
            <m:r>
              <w:rPr>
                <w:rFonts w:ascii="Cambria Math" w:hAnsi="Cambria Math" w:cs="Arial"/>
                <w:lang w:val="en-US"/>
              </w:rPr>
              <m:t>*</m:t>
            </m:r>
          </m:sup>
        </m:sSup>
        <m:r>
          <w:rPr>
            <w:rFonts w:ascii="Cambria Math" w:hAnsi="Cambria Math" w:cs="Arial"/>
            <w:lang w:val="en-US"/>
          </w:rPr>
          <m:t xml:space="preserve">,  </m:t>
        </m:r>
        <m:r>
          <w:rPr>
            <w:rFonts w:ascii="Cambria Math" w:hAnsi="Cambria Math" w:cs="Arial"/>
          </w:rPr>
          <m:t>t</m:t>
        </m:r>
        <m:r>
          <w:rPr>
            <w:rFonts w:ascii="Cambria Math" w:hAnsi="Cambria Math" w:cs="Arial"/>
            <w:lang w:val="en-US"/>
          </w:rPr>
          <m:t xml:space="preserve">∈ [0, </m:t>
        </m:r>
        <m:r>
          <w:rPr>
            <w:rFonts w:ascii="Cambria Math" w:hAnsi="Cambria Math" w:cs="Arial"/>
          </w:rPr>
          <m:t>T</m:t>
        </m:r>
        <m:r>
          <w:rPr>
            <w:rFonts w:ascii="Cambria Math" w:hAnsi="Cambria Math" w:cs="Arial"/>
            <w:lang w:val="en-US"/>
          </w:rPr>
          <m:t>]</m:t>
        </m:r>
      </m:oMath>
      <w:r w:rsidRPr="002429F5">
        <w:rPr>
          <w:rFonts w:ascii="Arial" w:hAnsi="Arial" w:cs="Arial"/>
          <w:iCs/>
          <w:lang w:val="en-US"/>
        </w:rPr>
        <w:t xml:space="preserve">, which is solution of (15), with </w:t>
      </w:r>
      <m:oMath>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lang w:val="en-US"/>
              </w:rPr>
              <m:t>1</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lang w:val="en-US"/>
          </w:rPr>
          <m:t>=</m:t>
        </m:r>
        <m:sSubSup>
          <m:sSubSupPr>
            <m:ctrlPr>
              <w:rPr>
                <w:rFonts w:ascii="Cambria Math" w:hAnsi="Cambria Math" w:cs="Arial"/>
                <w:i/>
                <w:iCs/>
                <w:color w:val="000000"/>
              </w:rPr>
            </m:ctrlPr>
          </m:sSubSupPr>
          <m:e>
            <m:r>
              <w:rPr>
                <w:rFonts w:ascii="Cambria Math" w:hAnsi="Cambria Math" w:cs="Arial"/>
                <w:color w:val="000000"/>
              </w:rPr>
              <m:t>u</m:t>
            </m:r>
          </m:e>
          <m:sub>
            <m:r>
              <w:rPr>
                <w:rFonts w:ascii="Cambria Math" w:hAnsi="Cambria Math" w:cs="Arial"/>
                <w:color w:val="000000"/>
                <w:lang w:val="en-US"/>
              </w:rPr>
              <m:t>1</m:t>
            </m:r>
          </m:sub>
          <m:sup>
            <m:r>
              <w:rPr>
                <w:rFonts w:ascii="Cambria Math" w:hAnsi="Cambria Math" w:cs="Arial"/>
                <w:color w:val="000000"/>
                <w:lang w:val="en-US"/>
              </w:rPr>
              <m:t>*</m:t>
            </m:r>
          </m:sup>
        </m:sSubSup>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lang w:val="en-US"/>
          </w:rPr>
          <m:t xml:space="preserve">,  </m:t>
        </m:r>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lang w:val="en-US"/>
              </w:rPr>
              <m:t>2</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lang w:val="en-US"/>
          </w:rPr>
          <m:t>=</m:t>
        </m:r>
        <m:sSubSup>
          <m:sSubSupPr>
            <m:ctrlPr>
              <w:rPr>
                <w:rFonts w:ascii="Cambria Math" w:hAnsi="Cambria Math" w:cs="Arial"/>
                <w:i/>
                <w:iCs/>
                <w:color w:val="000000"/>
              </w:rPr>
            </m:ctrlPr>
          </m:sSubSupPr>
          <m:e>
            <m:r>
              <w:rPr>
                <w:rFonts w:ascii="Cambria Math" w:hAnsi="Cambria Math" w:cs="Arial"/>
                <w:color w:val="000000"/>
              </w:rPr>
              <m:t>u</m:t>
            </m:r>
          </m:e>
          <m:sub>
            <m:r>
              <w:rPr>
                <w:rFonts w:ascii="Cambria Math" w:hAnsi="Cambria Math" w:cs="Arial"/>
                <w:color w:val="000000"/>
                <w:lang w:val="en-US"/>
              </w:rPr>
              <m:t>2</m:t>
            </m:r>
          </m:sub>
          <m:sup>
            <m:r>
              <w:rPr>
                <w:rFonts w:ascii="Cambria Math" w:hAnsi="Cambria Math" w:cs="Arial"/>
                <w:color w:val="000000"/>
                <w:lang w:val="en-US"/>
              </w:rPr>
              <m:t>*</m:t>
            </m:r>
          </m:sup>
        </m:sSubSup>
        <m:d>
          <m:dPr>
            <m:ctrlPr>
              <w:rPr>
                <w:rFonts w:ascii="Cambria Math" w:hAnsi="Cambria Math" w:cs="Arial"/>
                <w:i/>
                <w:iCs/>
                <w:color w:val="000000"/>
              </w:rPr>
            </m:ctrlPr>
          </m:dPr>
          <m:e>
            <m:r>
              <w:rPr>
                <w:rFonts w:ascii="Cambria Math" w:hAnsi="Cambria Math" w:cs="Arial"/>
                <w:color w:val="000000"/>
              </w:rPr>
              <m:t>t</m:t>
            </m:r>
          </m:e>
        </m:d>
      </m:oMath>
      <w:r w:rsidRPr="002429F5">
        <w:rPr>
          <w:rFonts w:ascii="Arial" w:hAnsi="Arial" w:cs="Arial"/>
          <w:iCs/>
          <w:color w:val="000000"/>
          <w:lang w:val="en-US"/>
        </w:rPr>
        <w:t>, the following cost functional Bolza type:</w:t>
      </w:r>
    </w:p>
    <w:p w:rsidR="002429F5" w:rsidRPr="002429F5" w:rsidRDefault="002429F5" w:rsidP="002429F5">
      <w:pPr>
        <w:jc w:val="both"/>
        <w:rPr>
          <w:rFonts w:ascii="Arial" w:hAnsi="Arial" w:cs="Arial"/>
          <w:iCs/>
          <w:color w:val="000000"/>
          <w:lang w:val="en-US"/>
        </w:rPr>
      </w:pPr>
    </w:p>
    <w:p w:rsidR="002429F5" w:rsidRPr="00954C9A" w:rsidRDefault="002429F5" w:rsidP="002429F5">
      <w:pPr>
        <w:jc w:val="both"/>
        <w:rPr>
          <w:rFonts w:ascii="Arial" w:hAnsi="Arial" w:cs="Arial"/>
          <w:iCs/>
          <w:color w:val="000000"/>
        </w:rPr>
      </w:pPr>
      <m:oMathPara>
        <m:oMath>
          <m:r>
            <w:rPr>
              <w:rFonts w:ascii="Cambria Math" w:hAnsi="Cambria Math" w:cs="Arial"/>
              <w:color w:val="000000"/>
            </w:rPr>
            <m:t>J</m:t>
          </m:r>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r>
                <w:rPr>
                  <w:rFonts w:ascii="Cambria Math" w:hAnsi="Cambria Math" w:cs="Arial"/>
                  <w:color w:val="000000"/>
                </w:rPr>
                <m:t xml:space="preserve"> </m:t>
              </m:r>
            </m:e>
          </m:d>
          <m:r>
            <w:rPr>
              <w:rFonts w:ascii="Cambria Math" w:hAnsi="Cambria Math" w:cs="Arial"/>
              <w:color w:val="000000"/>
            </w:rPr>
            <m:t>=E</m:t>
          </m:r>
          <m:d>
            <m:dPr>
              <m:begChr m:val="["/>
              <m:endChr m:val="]"/>
              <m:ctrlPr>
                <w:rPr>
                  <w:rFonts w:ascii="Cambria Math" w:hAnsi="Cambria Math" w:cs="Arial"/>
                  <w:i/>
                  <w:iCs/>
                  <w:color w:val="000000"/>
                </w:rPr>
              </m:ctrlPr>
            </m:dPr>
            <m:e>
              <m:r>
                <w:rPr>
                  <w:rFonts w:ascii="Cambria Math" w:hAnsi="Cambria Math" w:cs="Arial"/>
                  <w:color w:val="000000"/>
                </w:rPr>
                <m:t>&lt;</m:t>
              </m:r>
              <m:sSup>
                <m:sSupPr>
                  <m:ctrlPr>
                    <w:rPr>
                      <w:rFonts w:ascii="Cambria Math" w:hAnsi="Cambria Math" w:cs="Arial"/>
                      <w:i/>
                      <w:iCs/>
                      <w:color w:val="000000"/>
                    </w:rPr>
                  </m:ctrlPr>
                </m:sSupPr>
                <m:e>
                  <m:r>
                    <w:rPr>
                      <w:rFonts w:ascii="Cambria Math" w:hAnsi="Cambria Math" w:cs="Arial"/>
                      <w:color w:val="000000"/>
                    </w:rPr>
                    <m:t>x</m:t>
                  </m:r>
                </m:e>
                <m:sup>
                  <m:r>
                    <w:rPr>
                      <w:rFonts w:ascii="Cambria Math" w:hAnsi="Cambria Math" w:cs="Arial"/>
                      <w:color w:val="000000"/>
                    </w:rPr>
                    <m:t>t</m:t>
                  </m:r>
                </m:sup>
              </m:sSup>
              <m:d>
                <m:dPr>
                  <m:ctrlPr>
                    <w:rPr>
                      <w:rFonts w:ascii="Cambria Math" w:hAnsi="Cambria Math" w:cs="Arial"/>
                      <w:i/>
                      <w:iCs/>
                      <w:color w:val="000000"/>
                    </w:rPr>
                  </m:ctrlPr>
                </m:dPr>
                <m:e>
                  <m:f>
                    <m:fPr>
                      <m:ctrlPr>
                        <w:rPr>
                          <w:rFonts w:ascii="Cambria Math" w:hAnsi="Cambria Math" w:cs="Arial"/>
                          <w:i/>
                          <w:iCs/>
                          <w:color w:val="000000"/>
                        </w:rPr>
                      </m:ctrlPr>
                    </m:fPr>
                    <m:num>
                      <m:r>
                        <w:rPr>
                          <w:rFonts w:ascii="Cambria Math" w:hAnsi="Cambria Math" w:cs="Arial"/>
                          <w:color w:val="000000"/>
                        </w:rPr>
                        <m:t>π</m:t>
                      </m:r>
                    </m:num>
                    <m:den>
                      <m:rad>
                        <m:radPr>
                          <m:degHide m:val="1"/>
                          <m:ctrlPr>
                            <w:rPr>
                              <w:rFonts w:ascii="Cambria Math" w:hAnsi="Cambria Math" w:cs="Arial"/>
                              <w:i/>
                              <w:iCs/>
                              <w:color w:val="000000"/>
                            </w:rPr>
                          </m:ctrlPr>
                        </m:radPr>
                        <m:deg/>
                        <m:e>
                          <m:r>
                            <w:rPr>
                              <w:rFonts w:ascii="Cambria Math" w:hAnsi="Cambria Math" w:cs="Arial"/>
                              <w:color w:val="000000"/>
                            </w:rPr>
                            <m:t>2</m:t>
                          </m:r>
                        </m:e>
                      </m:rad>
                    </m:den>
                  </m:f>
                </m:e>
              </m:d>
              <m:d>
                <m:dPr>
                  <m:begChr m:val="|"/>
                  <m:endChr m:val="|"/>
                  <m:ctrlPr>
                    <w:rPr>
                      <w:rFonts w:ascii="Cambria Math" w:hAnsi="Cambria Math" w:cs="Arial"/>
                      <w:i/>
                      <w:iCs/>
                      <w:color w:val="000000"/>
                    </w:rPr>
                  </m:ctrlPr>
                </m:dPr>
                <m:e>
                  <m:r>
                    <w:rPr>
                      <w:rFonts w:ascii="Cambria Math" w:hAnsi="Cambria Math" w:cs="Arial"/>
                      <w:color w:val="000000"/>
                    </w:rPr>
                    <m:t>O</m:t>
                  </m:r>
                </m:e>
              </m:d>
              <m:r>
                <w:rPr>
                  <w:rFonts w:ascii="Cambria Math" w:hAnsi="Cambria Math" w:cs="Arial"/>
                  <w:color w:val="000000"/>
                </w:rPr>
                <m:t xml:space="preserve"> x</m:t>
              </m:r>
              <m:d>
                <m:dPr>
                  <m:ctrlPr>
                    <w:rPr>
                      <w:rFonts w:ascii="Cambria Math" w:hAnsi="Cambria Math" w:cs="Arial"/>
                      <w:i/>
                      <w:iCs/>
                      <w:color w:val="000000"/>
                    </w:rPr>
                  </m:ctrlPr>
                </m:dPr>
                <m:e>
                  <m:f>
                    <m:fPr>
                      <m:ctrlPr>
                        <w:rPr>
                          <w:rFonts w:ascii="Cambria Math" w:hAnsi="Cambria Math" w:cs="Arial"/>
                          <w:i/>
                          <w:iCs/>
                          <w:color w:val="000000"/>
                        </w:rPr>
                      </m:ctrlPr>
                    </m:fPr>
                    <m:num>
                      <m:r>
                        <w:rPr>
                          <w:rFonts w:ascii="Cambria Math" w:hAnsi="Cambria Math" w:cs="Arial"/>
                          <w:color w:val="000000"/>
                        </w:rPr>
                        <m:t>π</m:t>
                      </m:r>
                    </m:num>
                    <m:den>
                      <m:rad>
                        <m:radPr>
                          <m:degHide m:val="1"/>
                          <m:ctrlPr>
                            <w:rPr>
                              <w:rFonts w:ascii="Cambria Math" w:hAnsi="Cambria Math" w:cs="Arial"/>
                              <w:i/>
                              <w:iCs/>
                              <w:color w:val="000000"/>
                            </w:rPr>
                          </m:ctrlPr>
                        </m:radPr>
                        <m:deg/>
                        <m:e>
                          <m:r>
                            <w:rPr>
                              <w:rFonts w:ascii="Cambria Math" w:hAnsi="Cambria Math" w:cs="Arial"/>
                              <w:color w:val="000000"/>
                            </w:rPr>
                            <m:t>2</m:t>
                          </m:r>
                        </m:e>
                      </m:rad>
                    </m:den>
                  </m:f>
                </m:e>
              </m:d>
              <m:r>
                <w:rPr>
                  <w:rFonts w:ascii="Cambria Math" w:hAnsi="Cambria Math" w:cs="Arial"/>
                  <w:color w:val="000000"/>
                </w:rPr>
                <m:t>&gt;+</m:t>
              </m:r>
              <m:nary>
                <m:naryPr>
                  <m:limLoc m:val="subSup"/>
                  <m:ctrlPr>
                    <w:rPr>
                      <w:rFonts w:ascii="Cambria Math" w:hAnsi="Cambria Math" w:cs="Arial"/>
                      <w:i/>
                      <w:iCs/>
                      <w:color w:val="000000"/>
                    </w:rPr>
                  </m:ctrlPr>
                </m:naryPr>
                <m:sub>
                  <m:r>
                    <w:rPr>
                      <w:rFonts w:ascii="Cambria Math" w:hAnsi="Cambria Math" w:cs="Arial"/>
                      <w:color w:val="000000"/>
                    </w:rPr>
                    <m:t>0</m:t>
                  </m:r>
                </m:sub>
                <m:sup>
                  <m:f>
                    <m:fPr>
                      <m:ctrlPr>
                        <w:rPr>
                          <w:rFonts w:ascii="Cambria Math" w:hAnsi="Cambria Math" w:cs="Arial"/>
                          <w:i/>
                          <w:iCs/>
                          <w:color w:val="000000"/>
                        </w:rPr>
                      </m:ctrlPr>
                    </m:fPr>
                    <m:num>
                      <m:r>
                        <w:rPr>
                          <w:rFonts w:ascii="Cambria Math" w:hAnsi="Cambria Math" w:cs="Arial"/>
                          <w:color w:val="000000"/>
                        </w:rPr>
                        <m:t>π</m:t>
                      </m:r>
                    </m:num>
                    <m:den>
                      <m:rad>
                        <m:radPr>
                          <m:degHide m:val="1"/>
                          <m:ctrlPr>
                            <w:rPr>
                              <w:rFonts w:ascii="Cambria Math" w:hAnsi="Cambria Math" w:cs="Arial"/>
                              <w:i/>
                              <w:iCs/>
                              <w:color w:val="000000"/>
                            </w:rPr>
                          </m:ctrlPr>
                        </m:radPr>
                        <m:deg/>
                        <m:e>
                          <m:r>
                            <w:rPr>
                              <w:rFonts w:ascii="Cambria Math" w:hAnsi="Cambria Math" w:cs="Arial"/>
                              <w:color w:val="000000"/>
                            </w:rPr>
                            <m:t>2</m:t>
                          </m:r>
                        </m:e>
                      </m:rad>
                    </m:den>
                  </m:f>
                </m:sup>
                <m:e>
                  <m:d>
                    <m:dPr>
                      <m:ctrlPr>
                        <w:rPr>
                          <w:rFonts w:ascii="Cambria Math" w:hAnsi="Cambria Math" w:cs="Arial"/>
                          <w:i/>
                          <w:iCs/>
                          <w:color w:val="000000"/>
                        </w:rPr>
                      </m:ctrlPr>
                    </m:dPr>
                    <m:e>
                      <m:sSubSup>
                        <m:sSubSupPr>
                          <m:ctrlPr>
                            <w:rPr>
                              <w:rFonts w:ascii="Cambria Math" w:hAnsi="Cambria Math" w:cs="Arial"/>
                              <w:i/>
                              <w:iCs/>
                              <w:color w:val="000000"/>
                            </w:rPr>
                          </m:ctrlPr>
                        </m:sSubSupPr>
                        <m:e>
                          <m:r>
                            <w:rPr>
                              <w:rFonts w:ascii="Cambria Math" w:hAnsi="Cambria Math" w:cs="Arial"/>
                              <w:color w:val="000000"/>
                            </w:rPr>
                            <m:t>u</m:t>
                          </m:r>
                        </m:e>
                        <m:sub>
                          <m:r>
                            <w:rPr>
                              <w:rFonts w:ascii="Cambria Math" w:hAnsi="Cambria Math" w:cs="Arial"/>
                              <w:color w:val="000000"/>
                            </w:rPr>
                            <m:t>1</m:t>
                          </m:r>
                        </m:sub>
                        <m:sup>
                          <m:r>
                            <w:rPr>
                              <w:rFonts w:ascii="Cambria Math" w:hAnsi="Cambria Math" w:cs="Arial"/>
                              <w:color w:val="000000"/>
                            </w:rPr>
                            <m:t>2</m:t>
                          </m:r>
                        </m:sup>
                      </m:sSubSup>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m:t>
                      </m:r>
                      <m:sSubSup>
                        <m:sSubSupPr>
                          <m:ctrlPr>
                            <w:rPr>
                              <w:rFonts w:ascii="Cambria Math" w:hAnsi="Cambria Math" w:cs="Arial"/>
                              <w:i/>
                              <w:iCs/>
                              <w:color w:val="000000"/>
                            </w:rPr>
                          </m:ctrlPr>
                        </m:sSubSupPr>
                        <m:e>
                          <m:r>
                            <w:rPr>
                              <w:rFonts w:ascii="Cambria Math" w:hAnsi="Cambria Math" w:cs="Arial"/>
                              <w:color w:val="000000"/>
                            </w:rPr>
                            <m:t>u</m:t>
                          </m:r>
                        </m:e>
                        <m:sub>
                          <m:r>
                            <w:rPr>
                              <w:rFonts w:ascii="Cambria Math" w:hAnsi="Cambria Math" w:cs="Arial"/>
                              <w:color w:val="000000"/>
                            </w:rPr>
                            <m:t>2</m:t>
                          </m:r>
                        </m:sub>
                        <m:sup>
                          <m:r>
                            <w:rPr>
                              <w:rFonts w:ascii="Cambria Math" w:hAnsi="Cambria Math" w:cs="Arial"/>
                              <w:color w:val="000000"/>
                            </w:rPr>
                            <m:t>2</m:t>
                          </m:r>
                        </m:sup>
                      </m:sSubSup>
                      <m:d>
                        <m:dPr>
                          <m:ctrlPr>
                            <w:rPr>
                              <w:rFonts w:ascii="Cambria Math" w:hAnsi="Cambria Math" w:cs="Arial"/>
                              <w:i/>
                              <w:iCs/>
                              <w:color w:val="000000"/>
                            </w:rPr>
                          </m:ctrlPr>
                        </m:dPr>
                        <m:e>
                          <m:r>
                            <w:rPr>
                              <w:rFonts w:ascii="Cambria Math" w:hAnsi="Cambria Math" w:cs="Arial"/>
                              <w:color w:val="000000"/>
                            </w:rPr>
                            <m:t>t</m:t>
                          </m:r>
                        </m:e>
                      </m:d>
                    </m:e>
                  </m:d>
                  <m:r>
                    <w:rPr>
                      <w:rFonts w:ascii="Cambria Math" w:hAnsi="Cambria Math" w:cs="Arial"/>
                      <w:color w:val="000000"/>
                    </w:rPr>
                    <m:t xml:space="preserve"> dt</m:t>
                  </m:r>
                </m:e>
              </m:nary>
            </m:e>
          </m:d>
        </m:oMath>
      </m:oMathPara>
    </w:p>
    <w:p w:rsidR="002429F5" w:rsidRPr="00954C9A" w:rsidRDefault="002429F5" w:rsidP="002429F5">
      <w:pPr>
        <w:jc w:val="both"/>
        <w:rPr>
          <w:rFonts w:ascii="Arial" w:hAnsi="Arial" w:cs="Arial"/>
          <w:iCs/>
          <w:color w:val="000000"/>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 xml:space="preserve">where </w:t>
      </w:r>
      <m:oMath>
        <m:r>
          <w:rPr>
            <w:rFonts w:ascii="Cambria Math" w:hAnsi="Cambria Math" w:cs="Arial"/>
            <w:color w:val="000000"/>
          </w:rPr>
          <m:t>E</m:t>
        </m:r>
        <m:r>
          <w:rPr>
            <w:rFonts w:ascii="Cambria Math" w:hAnsi="Cambria Math" w:cs="Arial"/>
            <w:color w:val="000000"/>
            <w:lang w:val="en-US"/>
          </w:rPr>
          <m:t>[</m:t>
        </m:r>
        <m:r>
          <w:rPr>
            <w:rFonts w:ascii="Cambria Math" w:hAnsi="Cambria Math" w:cs="Arial"/>
            <w:color w:val="000000"/>
          </w:rPr>
          <m:t>f</m:t>
        </m:r>
        <m:r>
          <w:rPr>
            <w:rFonts w:ascii="Cambria Math" w:hAnsi="Cambria Math" w:cs="Arial"/>
            <w:color w:val="000000"/>
            <w:lang w:val="en-US"/>
          </w:rPr>
          <m:t>]</m:t>
        </m:r>
      </m:oMath>
      <w:r w:rsidRPr="002429F5">
        <w:rPr>
          <w:rFonts w:ascii="Arial" w:hAnsi="Arial" w:cs="Arial"/>
          <w:iCs/>
          <w:color w:val="000000"/>
          <w:lang w:val="en-US"/>
        </w:rPr>
        <w:t xml:space="preserve"> denotes the conditional expectation with respect to </w:t>
      </w:r>
      <m:oMath>
        <m:r>
          <w:rPr>
            <w:rFonts w:ascii="Cambria Math" w:hAnsi="Cambria Math" w:cs="Arial"/>
            <w:color w:val="000000"/>
          </w:rPr>
          <m:t>f</m:t>
        </m:r>
      </m:oMath>
      <w:r w:rsidRPr="002429F5">
        <w:rPr>
          <w:rFonts w:ascii="Arial" w:hAnsi="Arial" w:cs="Arial"/>
          <w:iCs/>
          <w:color w:val="000000"/>
          <w:lang w:val="en-US"/>
        </w:rPr>
        <w:t xml:space="preserve"> and </w:t>
      </w:r>
      <m:oMath>
        <m:r>
          <w:rPr>
            <w:rFonts w:ascii="Cambria Math" w:hAnsi="Cambria Math" w:cs="Arial"/>
            <w:color w:val="000000"/>
          </w:rPr>
          <m:t>O</m:t>
        </m:r>
      </m:oMath>
      <w:r w:rsidRPr="002429F5">
        <w:rPr>
          <w:rFonts w:ascii="Arial" w:hAnsi="Arial" w:cs="Arial"/>
          <w:iCs/>
          <w:color w:val="000000"/>
          <w:lang w:val="en-US"/>
        </w:rPr>
        <w:t xml:space="preserve"> is the symmetric, negative definite matrix </w:t>
      </w:r>
      <m:oMath>
        <m:r>
          <w:rPr>
            <w:rFonts w:ascii="Cambria Math" w:hAnsi="Cambria Math" w:cs="Arial"/>
            <w:color w:val="000000"/>
          </w:rPr>
          <m:t>O</m:t>
        </m:r>
        <m:r>
          <w:rPr>
            <w:rFonts w:ascii="Cambria Math" w:hAnsi="Cambria Math" w:cs="Arial"/>
            <w:color w:val="000000"/>
            <w:lang w:val="en-US"/>
          </w:rPr>
          <m:t>=</m:t>
        </m:r>
        <m:sSup>
          <m:sSupPr>
            <m:ctrlPr>
              <w:rPr>
                <w:rFonts w:ascii="Cambria Math" w:hAnsi="Cambria Math" w:cs="Arial"/>
                <w:i/>
                <w:iCs/>
                <w:color w:val="000000"/>
              </w:rPr>
            </m:ctrlPr>
          </m:sSupPr>
          <m:e>
            <m:r>
              <w:rPr>
                <w:rFonts w:ascii="Cambria Math" w:hAnsi="Cambria Math" w:cs="Arial"/>
                <w:color w:val="000000"/>
              </w:rPr>
              <m:t>x</m:t>
            </m:r>
          </m:e>
          <m:sup>
            <m:r>
              <w:rPr>
                <w:rFonts w:ascii="Cambria Math" w:hAnsi="Cambria Math" w:cs="Arial"/>
                <w:color w:val="000000"/>
              </w:rPr>
              <m:t>t</m:t>
            </m:r>
          </m:sup>
        </m:sSup>
        <m:d>
          <m:dPr>
            <m:ctrlPr>
              <w:rPr>
                <w:rFonts w:ascii="Cambria Math" w:hAnsi="Cambria Math" w:cs="Arial"/>
                <w:i/>
                <w:iCs/>
                <w:color w:val="000000"/>
              </w:rPr>
            </m:ctrlPr>
          </m:dPr>
          <m:e>
            <m:f>
              <m:fPr>
                <m:ctrlPr>
                  <w:rPr>
                    <w:rFonts w:ascii="Cambria Math" w:hAnsi="Cambria Math" w:cs="Arial"/>
                    <w:i/>
                    <w:iCs/>
                    <w:color w:val="000000"/>
                  </w:rPr>
                </m:ctrlPr>
              </m:fPr>
              <m:num>
                <m:r>
                  <w:rPr>
                    <w:rFonts w:ascii="Cambria Math" w:hAnsi="Cambria Math" w:cs="Arial"/>
                    <w:color w:val="000000"/>
                  </w:rPr>
                  <m:t>π</m:t>
                </m:r>
              </m:num>
              <m:den>
                <m:rad>
                  <m:radPr>
                    <m:degHide m:val="1"/>
                    <m:ctrlPr>
                      <w:rPr>
                        <w:rFonts w:ascii="Cambria Math" w:hAnsi="Cambria Math" w:cs="Arial"/>
                        <w:i/>
                        <w:iCs/>
                        <w:color w:val="000000"/>
                      </w:rPr>
                    </m:ctrlPr>
                  </m:radPr>
                  <m:deg/>
                  <m:e>
                    <m:r>
                      <w:rPr>
                        <w:rFonts w:ascii="Cambria Math" w:hAnsi="Cambria Math" w:cs="Arial"/>
                        <w:color w:val="000000"/>
                        <w:lang w:val="en-US"/>
                      </w:rPr>
                      <m:t>2</m:t>
                    </m:r>
                  </m:e>
                </m:rad>
              </m:den>
            </m:f>
          </m:e>
        </m:d>
        <m:r>
          <w:rPr>
            <w:rFonts w:ascii="Cambria Math" w:hAnsi="Cambria Math" w:cs="Arial"/>
            <w:color w:val="000000"/>
          </w:rPr>
          <m:t>x</m:t>
        </m:r>
        <m:d>
          <m:dPr>
            <m:ctrlPr>
              <w:rPr>
                <w:rFonts w:ascii="Cambria Math" w:hAnsi="Cambria Math" w:cs="Arial"/>
                <w:i/>
                <w:iCs/>
                <w:color w:val="000000"/>
              </w:rPr>
            </m:ctrlPr>
          </m:dPr>
          <m:e>
            <m:f>
              <m:fPr>
                <m:ctrlPr>
                  <w:rPr>
                    <w:rFonts w:ascii="Cambria Math" w:hAnsi="Cambria Math" w:cs="Arial"/>
                    <w:i/>
                    <w:iCs/>
                    <w:color w:val="000000"/>
                  </w:rPr>
                </m:ctrlPr>
              </m:fPr>
              <m:num>
                <m:r>
                  <w:rPr>
                    <w:rFonts w:ascii="Cambria Math" w:hAnsi="Cambria Math" w:cs="Arial"/>
                    <w:color w:val="000000"/>
                  </w:rPr>
                  <m:t>π</m:t>
                </m:r>
              </m:num>
              <m:den>
                <m:rad>
                  <m:radPr>
                    <m:degHide m:val="1"/>
                    <m:ctrlPr>
                      <w:rPr>
                        <w:rFonts w:ascii="Cambria Math" w:hAnsi="Cambria Math" w:cs="Arial"/>
                        <w:i/>
                        <w:iCs/>
                        <w:color w:val="000000"/>
                      </w:rPr>
                    </m:ctrlPr>
                  </m:radPr>
                  <m:deg/>
                  <m:e>
                    <m:r>
                      <w:rPr>
                        <w:rFonts w:ascii="Cambria Math" w:hAnsi="Cambria Math" w:cs="Arial"/>
                        <w:color w:val="000000"/>
                        <w:lang w:val="en-US"/>
                      </w:rPr>
                      <m:t>2</m:t>
                    </m:r>
                  </m:e>
                </m:rad>
              </m:den>
            </m:f>
          </m:e>
        </m:d>
      </m:oMath>
      <w:r w:rsidRPr="002429F5">
        <w:rPr>
          <w:rFonts w:ascii="Arial" w:hAnsi="Arial" w:cs="Arial"/>
          <w:iCs/>
          <w:color w:val="000000"/>
          <w:lang w:val="en-US"/>
        </w:rPr>
        <w:t>.</w:t>
      </w: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 xml:space="preserve">     We will apply Theorem 4 and Theorem 5 to get almost sure exponential robust stability of the zero solution of (15) and asymptotic stability, respectively.</w:t>
      </w: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 xml:space="preserve">     Let consider, for </w:t>
      </w:r>
      <m:oMath>
        <m:r>
          <w:rPr>
            <w:rFonts w:ascii="Cambria Math" w:hAnsi="Cambria Math" w:cs="Arial"/>
            <w:color w:val="000000"/>
          </w:rPr>
          <m:t>k</m:t>
        </m:r>
        <m:r>
          <m:rPr>
            <m:scr m:val="double-struck"/>
          </m:rPr>
          <w:rPr>
            <w:rFonts w:ascii="Cambria Math" w:hAnsi="Cambria Math" w:cs="Arial"/>
            <w:color w:val="000000"/>
            <w:lang w:val="en-US"/>
          </w:rPr>
          <m:t>∈N</m:t>
        </m:r>
      </m:oMath>
      <w:r w:rsidRPr="002429F5">
        <w:rPr>
          <w:rFonts w:ascii="Arial" w:hAnsi="Arial" w:cs="Arial"/>
          <w:iCs/>
          <w:color w:val="000000"/>
          <w:lang w:val="en-US"/>
        </w:rPr>
        <w:t xml:space="preserve"> and</w:t>
      </w:r>
    </w:p>
    <w:p w:rsidR="002429F5" w:rsidRPr="002429F5" w:rsidRDefault="002429F5" w:rsidP="002429F5">
      <w:pPr>
        <w:jc w:val="center"/>
        <w:rPr>
          <w:rFonts w:ascii="Arial" w:hAnsi="Arial" w:cs="Arial"/>
          <w:iCs/>
          <w:color w:val="000000"/>
          <w:lang w:val="en-US"/>
        </w:rPr>
      </w:pPr>
      <m:oMath>
        <m:r>
          <w:rPr>
            <w:rFonts w:ascii="Cambria Math" w:hAnsi="Cambria Math" w:cs="Arial"/>
            <w:color w:val="000000"/>
          </w:rPr>
          <m:t>r</m:t>
        </m:r>
        <m:r>
          <w:rPr>
            <w:rFonts w:ascii="Cambria Math" w:hAnsi="Cambria Math" w:cs="Arial"/>
            <w:color w:val="000000"/>
            <w:lang w:val="en-US"/>
          </w:rPr>
          <m:t>&lt;-</m:t>
        </m:r>
        <m:f>
          <m:fPr>
            <m:ctrlPr>
              <w:rPr>
                <w:rFonts w:ascii="Cambria Math" w:hAnsi="Cambria Math" w:cs="Arial"/>
                <w:i/>
                <w:color w:val="000000"/>
              </w:rPr>
            </m:ctrlPr>
          </m:fPr>
          <m:num>
            <m:sSub>
              <m:sSubPr>
                <m:ctrlPr>
                  <w:rPr>
                    <w:rFonts w:ascii="Cambria Math" w:hAnsi="Cambria Math" w:cs="Arial"/>
                    <w:i/>
                    <w:color w:val="000000"/>
                  </w:rPr>
                </m:ctrlPr>
              </m:sSubPr>
              <m:e>
                <m:r>
                  <w:rPr>
                    <w:rFonts w:ascii="Cambria Math" w:hAnsi="Cambria Math" w:cs="Arial"/>
                    <w:color w:val="000000"/>
                  </w:rPr>
                  <m:t>M</m:t>
                </m:r>
              </m:e>
              <m:sub>
                <m:r>
                  <w:rPr>
                    <w:rFonts w:ascii="Cambria Math" w:hAnsi="Cambria Math" w:cs="Arial"/>
                    <w:color w:val="000000"/>
                    <w:lang w:val="en-US"/>
                  </w:rPr>
                  <m:t>3</m:t>
                </m:r>
              </m:sub>
            </m:sSub>
          </m:num>
          <m:den>
            <m:sSub>
              <m:sSubPr>
                <m:ctrlPr>
                  <w:rPr>
                    <w:rFonts w:ascii="Cambria Math" w:hAnsi="Cambria Math" w:cs="Arial"/>
                    <w:i/>
                    <w:color w:val="000000"/>
                  </w:rPr>
                </m:ctrlPr>
              </m:sSubPr>
              <m:e>
                <m:r>
                  <w:rPr>
                    <w:rFonts w:ascii="Cambria Math" w:hAnsi="Cambria Math" w:cs="Arial"/>
                    <w:color w:val="000000"/>
                  </w:rPr>
                  <m:t>M</m:t>
                </m:r>
              </m:e>
              <m:sub>
                <m:r>
                  <w:rPr>
                    <w:rFonts w:ascii="Cambria Math" w:hAnsi="Cambria Math" w:cs="Arial"/>
                    <w:color w:val="000000"/>
                    <w:lang w:val="en-US"/>
                  </w:rPr>
                  <m:t>2</m:t>
                </m:r>
              </m:sub>
            </m:sSub>
          </m:den>
        </m:f>
        <m:r>
          <w:rPr>
            <w:rFonts w:ascii="Cambria Math" w:hAnsi="Cambria Math" w:cs="Arial"/>
            <w:color w:val="000000"/>
            <w:lang w:val="en-US"/>
          </w:rPr>
          <m:t xml:space="preserve"> </m:t>
        </m:r>
        <m:sSub>
          <m:sSubPr>
            <m:ctrlPr>
              <w:rPr>
                <w:rFonts w:ascii="Cambria Math" w:hAnsi="Cambria Math" w:cs="Arial"/>
                <w:i/>
                <w:color w:val="000000"/>
              </w:rPr>
            </m:ctrlPr>
          </m:sSubPr>
          <m:e>
            <m:r>
              <w:rPr>
                <w:rFonts w:ascii="Cambria Math" w:hAnsi="Cambria Math" w:cs="Arial"/>
                <w:color w:val="000000"/>
              </w:rPr>
              <m:t>M</m:t>
            </m:r>
          </m:e>
          <m:sub>
            <m:r>
              <w:rPr>
                <w:rFonts w:ascii="Cambria Math" w:hAnsi="Cambria Math" w:cs="Arial"/>
                <w:color w:val="000000"/>
                <w:lang w:val="en-US"/>
              </w:rPr>
              <m:t>1</m:t>
            </m:r>
          </m:sub>
        </m:sSub>
        <m:f>
          <m:fPr>
            <m:ctrlPr>
              <w:rPr>
                <w:rFonts w:ascii="Cambria Math" w:hAnsi="Cambria Math" w:cs="Arial"/>
                <w:i/>
                <w:color w:val="000000"/>
              </w:rPr>
            </m:ctrlPr>
          </m:fPr>
          <m:num>
            <m:r>
              <w:rPr>
                <w:rFonts w:ascii="Cambria Math" w:hAnsi="Cambria Math" w:cs="Arial"/>
                <w:color w:val="000000"/>
                <w:lang w:val="en-US"/>
              </w:rPr>
              <m:t>1</m:t>
            </m:r>
          </m:num>
          <m:den>
            <m:r>
              <w:rPr>
                <w:rFonts w:ascii="Cambria Math" w:hAnsi="Cambria Math" w:cs="Arial"/>
                <w:color w:val="000000"/>
              </w:rPr>
              <m:t>k</m:t>
            </m:r>
          </m:den>
        </m:f>
      </m:oMath>
      <w:r w:rsidRPr="002429F5">
        <w:rPr>
          <w:rFonts w:ascii="Arial" w:hAnsi="Arial" w:cs="Arial"/>
          <w:iCs/>
          <w:color w:val="000000"/>
          <w:lang w:val="en-US"/>
        </w:rPr>
        <w:t xml:space="preserve"> ,</w:t>
      </w:r>
    </w:p>
    <w:p w:rsidR="002429F5" w:rsidRPr="002429F5" w:rsidRDefault="002429F5" w:rsidP="002429F5">
      <w:pPr>
        <w:jc w:val="center"/>
        <w:rPr>
          <w:rFonts w:ascii="Arial" w:hAnsi="Arial" w:cs="Arial"/>
          <w:iCs/>
          <w:color w:val="000000"/>
          <w:lang w:val="en-US"/>
        </w:rPr>
      </w:pPr>
    </w:p>
    <w:p w:rsidR="002429F5" w:rsidRPr="00954C9A" w:rsidRDefault="002429F5" w:rsidP="002429F5">
      <w:pPr>
        <w:jc w:val="both"/>
        <w:rPr>
          <w:rFonts w:ascii="Arial" w:hAnsi="Arial" w:cs="Arial"/>
          <w:iCs/>
          <w:color w:val="000000"/>
        </w:rPr>
      </w:pPr>
      <w:r w:rsidRPr="002429F5">
        <w:rPr>
          <w:rFonts w:ascii="Arial" w:hAnsi="Arial" w:cs="Arial"/>
          <w:iCs/>
          <w:color w:val="000000"/>
          <w:lang w:val="en-US"/>
        </w:rPr>
        <w:t xml:space="preserve">where </w:t>
      </w:r>
      <m:oMath>
        <m:sSub>
          <m:sSubPr>
            <m:ctrlPr>
              <w:rPr>
                <w:rFonts w:ascii="Cambria Math" w:hAnsi="Cambria Math" w:cs="Arial"/>
                <w:i/>
                <w:color w:val="000000"/>
              </w:rPr>
            </m:ctrlPr>
          </m:sSubPr>
          <m:e>
            <m:r>
              <w:rPr>
                <w:rFonts w:ascii="Cambria Math" w:hAnsi="Cambria Math" w:cs="Arial"/>
                <w:color w:val="000000"/>
              </w:rPr>
              <m:t>M</m:t>
            </m:r>
          </m:e>
          <m:sub>
            <m:r>
              <w:rPr>
                <w:rFonts w:ascii="Cambria Math" w:hAnsi="Cambria Math" w:cs="Arial"/>
                <w:color w:val="000000"/>
                <w:lang w:val="en-US"/>
              </w:rPr>
              <m:t>1</m:t>
            </m:r>
          </m:sub>
        </m:sSub>
        <m:r>
          <w:rPr>
            <w:rFonts w:ascii="Cambria Math" w:hAnsi="Cambria Math" w:cs="Arial"/>
            <w:color w:val="000000"/>
            <w:lang w:val="en-US"/>
          </w:rPr>
          <m:t xml:space="preserve">, </m:t>
        </m:r>
        <m:sSub>
          <m:sSubPr>
            <m:ctrlPr>
              <w:rPr>
                <w:rFonts w:ascii="Cambria Math" w:hAnsi="Cambria Math" w:cs="Arial"/>
                <w:i/>
                <w:color w:val="000000"/>
              </w:rPr>
            </m:ctrlPr>
          </m:sSubPr>
          <m:e>
            <m:r>
              <w:rPr>
                <w:rFonts w:ascii="Cambria Math" w:hAnsi="Cambria Math" w:cs="Arial"/>
                <w:color w:val="000000"/>
              </w:rPr>
              <m:t>M</m:t>
            </m:r>
          </m:e>
          <m:sub>
            <m:r>
              <w:rPr>
                <w:rFonts w:ascii="Cambria Math" w:hAnsi="Cambria Math" w:cs="Arial"/>
                <w:color w:val="000000"/>
                <w:lang w:val="en-US"/>
              </w:rPr>
              <m:t>2</m:t>
            </m:r>
          </m:sub>
        </m:sSub>
        <m:r>
          <w:rPr>
            <w:rFonts w:ascii="Cambria Math" w:hAnsi="Cambria Math" w:cs="Arial"/>
            <w:color w:val="000000"/>
            <w:lang w:val="en-US"/>
          </w:rPr>
          <m:t xml:space="preserve">, </m:t>
        </m:r>
        <m:sSub>
          <m:sSubPr>
            <m:ctrlPr>
              <w:rPr>
                <w:rFonts w:ascii="Cambria Math" w:hAnsi="Cambria Math" w:cs="Arial"/>
                <w:i/>
                <w:color w:val="000000"/>
              </w:rPr>
            </m:ctrlPr>
          </m:sSubPr>
          <m:e>
            <m:r>
              <w:rPr>
                <w:rFonts w:ascii="Cambria Math" w:hAnsi="Cambria Math" w:cs="Arial"/>
                <w:color w:val="000000"/>
              </w:rPr>
              <m:t>M</m:t>
            </m:r>
          </m:e>
          <m:sub>
            <m:r>
              <w:rPr>
                <w:rFonts w:ascii="Cambria Math" w:hAnsi="Cambria Math" w:cs="Arial"/>
                <w:color w:val="000000"/>
                <w:lang w:val="en-US"/>
              </w:rPr>
              <m:t>3</m:t>
            </m:r>
          </m:sub>
        </m:sSub>
      </m:oMath>
      <w:r w:rsidRPr="002429F5">
        <w:rPr>
          <w:rFonts w:ascii="Arial" w:hAnsi="Arial" w:cs="Arial"/>
          <w:color w:val="000000"/>
          <w:lang w:val="en-US"/>
        </w:rPr>
        <w:t xml:space="preserve"> are bound of </w:t>
      </w:r>
      <m:oMath>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lang w:val="en-US"/>
              </w:rPr>
              <m:t>1</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lang w:val="en-US"/>
          </w:rPr>
          <m:t>+</m:t>
        </m:r>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lang w:val="en-US"/>
              </w:rPr>
              <m:t>2</m:t>
            </m:r>
          </m:sub>
        </m:sSub>
        <m:d>
          <m:dPr>
            <m:ctrlPr>
              <w:rPr>
                <w:rFonts w:ascii="Cambria Math" w:hAnsi="Cambria Math" w:cs="Arial"/>
                <w:i/>
                <w:iCs/>
                <w:color w:val="000000"/>
              </w:rPr>
            </m:ctrlPr>
          </m:dPr>
          <m:e>
            <m:r>
              <w:rPr>
                <w:rFonts w:ascii="Cambria Math" w:hAnsi="Cambria Math" w:cs="Arial"/>
                <w:color w:val="000000"/>
              </w:rPr>
              <m:t>t</m:t>
            </m:r>
          </m:e>
        </m:d>
      </m:oMath>
      <w:r w:rsidRPr="002429F5">
        <w:rPr>
          <w:rFonts w:ascii="Arial" w:hAnsi="Arial" w:cs="Arial"/>
          <w:iCs/>
          <w:color w:val="000000"/>
          <w:lang w:val="en-US"/>
        </w:rPr>
        <w:t xml:space="preserve">, </w:t>
      </w:r>
      <w:r w:rsidRPr="002429F5">
        <w:rPr>
          <w:rFonts w:ascii="Arial" w:hAnsi="Arial" w:cs="Arial"/>
          <w:color w:val="000000"/>
          <w:lang w:val="en-US"/>
        </w:rPr>
        <w:t xml:space="preserve"> </w:t>
      </w:r>
      <m:oMath>
        <m:sSubSup>
          <m:sSubSupPr>
            <m:ctrlPr>
              <w:rPr>
                <w:rFonts w:ascii="Cambria Math" w:hAnsi="Cambria Math" w:cs="Arial"/>
                <w:i/>
                <w:iCs/>
                <w:color w:val="000000"/>
              </w:rPr>
            </m:ctrlPr>
          </m:sSubSupPr>
          <m:e>
            <m:r>
              <w:rPr>
                <w:rFonts w:ascii="Cambria Math" w:hAnsi="Cambria Math" w:cs="Arial"/>
                <w:color w:val="000000"/>
              </w:rPr>
              <m:t>u</m:t>
            </m:r>
          </m:e>
          <m:sub>
            <m:r>
              <w:rPr>
                <w:rFonts w:ascii="Cambria Math" w:hAnsi="Cambria Math" w:cs="Arial"/>
                <w:color w:val="000000"/>
                <w:lang w:val="en-US"/>
              </w:rPr>
              <m:t>1</m:t>
            </m:r>
          </m:sub>
          <m:sup>
            <m:r>
              <w:rPr>
                <w:rFonts w:ascii="Cambria Math" w:hAnsi="Cambria Math" w:cs="Arial"/>
                <w:color w:val="000000"/>
                <w:lang w:val="en-US"/>
              </w:rPr>
              <m:t>'</m:t>
            </m:r>
          </m:sup>
        </m:sSubSup>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lang w:val="en-US"/>
          </w:rPr>
          <m:t>+</m:t>
        </m:r>
        <m:sSubSup>
          <m:sSubSupPr>
            <m:ctrlPr>
              <w:rPr>
                <w:rFonts w:ascii="Cambria Math" w:hAnsi="Cambria Math" w:cs="Arial"/>
                <w:i/>
                <w:iCs/>
                <w:color w:val="000000"/>
              </w:rPr>
            </m:ctrlPr>
          </m:sSubSupPr>
          <m:e>
            <m:r>
              <w:rPr>
                <w:rFonts w:ascii="Cambria Math" w:hAnsi="Cambria Math" w:cs="Arial"/>
                <w:color w:val="000000"/>
              </w:rPr>
              <m:t>u</m:t>
            </m:r>
          </m:e>
          <m:sub>
            <m:r>
              <w:rPr>
                <w:rFonts w:ascii="Cambria Math" w:hAnsi="Cambria Math" w:cs="Arial"/>
                <w:color w:val="000000"/>
                <w:lang w:val="en-US"/>
              </w:rPr>
              <m:t>2</m:t>
            </m:r>
          </m:sub>
          <m:sup>
            <m:r>
              <w:rPr>
                <w:rFonts w:ascii="Cambria Math" w:hAnsi="Cambria Math" w:cs="Arial"/>
                <w:color w:val="000000"/>
                <w:lang w:val="en-US"/>
              </w:rPr>
              <m:t>'</m:t>
            </m:r>
          </m:sup>
        </m:sSubSup>
        <m:d>
          <m:dPr>
            <m:ctrlPr>
              <w:rPr>
                <w:rFonts w:ascii="Cambria Math" w:hAnsi="Cambria Math" w:cs="Arial"/>
                <w:i/>
                <w:iCs/>
                <w:color w:val="000000"/>
              </w:rPr>
            </m:ctrlPr>
          </m:dPr>
          <m:e>
            <m:r>
              <w:rPr>
                <w:rFonts w:ascii="Cambria Math" w:hAnsi="Cambria Math" w:cs="Arial"/>
                <w:color w:val="000000"/>
              </w:rPr>
              <m:t>t</m:t>
            </m:r>
          </m:e>
        </m:d>
      </m:oMath>
      <w:r w:rsidRPr="002429F5">
        <w:rPr>
          <w:rFonts w:ascii="Arial" w:hAnsi="Arial" w:cs="Arial"/>
          <w:color w:val="000000"/>
          <w:lang w:val="en-US"/>
        </w:rPr>
        <w:t xml:space="preserve"> and </w:t>
      </w:r>
      <m:oMath>
        <m:r>
          <w:rPr>
            <w:rFonts w:ascii="Cambria Math" w:hAnsi="Cambria Math" w:cs="Arial"/>
            <w:color w:val="000000"/>
            <w:lang w:val="en-US"/>
          </w:rPr>
          <m:t>2+4</m:t>
        </m:r>
        <m:d>
          <m:dPr>
            <m:ctrlPr>
              <w:rPr>
                <w:rFonts w:ascii="Cambria Math" w:hAnsi="Cambria Math" w:cs="Arial"/>
                <w:bCs/>
                <w:i/>
                <w:iCs/>
                <w:color w:val="000000"/>
              </w:rPr>
            </m:ctrlPr>
          </m:dPr>
          <m:e>
            <m:sSup>
              <m:sSupPr>
                <m:ctrlPr>
                  <w:rPr>
                    <w:rFonts w:ascii="Cambria Math" w:hAnsi="Cambria Math" w:cs="Arial"/>
                    <w:i/>
                    <w:color w:val="000000"/>
                  </w:rPr>
                </m:ctrlPr>
              </m:sSupPr>
              <m:e>
                <m:sSub>
                  <m:sSubPr>
                    <m:ctrlPr>
                      <w:rPr>
                        <w:rFonts w:ascii="Cambria Math" w:hAnsi="Cambria Math" w:cs="Arial"/>
                        <w:i/>
                        <w:color w:val="000000"/>
                      </w:rPr>
                    </m:ctrlPr>
                  </m:sSubPr>
                  <m:e>
                    <m:r>
                      <w:rPr>
                        <w:rFonts w:ascii="Cambria Math" w:hAnsi="Cambria Math" w:cs="Arial"/>
                        <w:color w:val="000000"/>
                      </w:rPr>
                      <m:t>u</m:t>
                    </m:r>
                  </m:e>
                  <m:sub>
                    <m:r>
                      <w:rPr>
                        <w:rFonts w:ascii="Cambria Math" w:hAnsi="Cambria Math" w:cs="Arial"/>
                        <w:color w:val="000000"/>
                        <w:lang w:val="en-US"/>
                      </w:rPr>
                      <m:t>1</m:t>
                    </m:r>
                  </m:sub>
                </m:sSub>
              </m:e>
              <m:sup>
                <m:r>
                  <w:rPr>
                    <w:rFonts w:ascii="Cambria Math" w:hAnsi="Cambria Math" w:cs="Arial"/>
                    <w:color w:val="000000"/>
                    <w:lang w:val="en-US"/>
                  </w:rPr>
                  <m:t>2</m:t>
                </m:r>
              </m:sup>
            </m:sSup>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lang w:val="en-US"/>
              </w:rPr>
              <m:t>+</m:t>
            </m:r>
            <m:sSup>
              <m:sSupPr>
                <m:ctrlPr>
                  <w:rPr>
                    <w:rFonts w:ascii="Cambria Math" w:hAnsi="Cambria Math" w:cs="Arial"/>
                    <w:i/>
                    <w:color w:val="000000"/>
                  </w:rPr>
                </m:ctrlPr>
              </m:sSupPr>
              <m:e>
                <m:sSub>
                  <m:sSubPr>
                    <m:ctrlPr>
                      <w:rPr>
                        <w:rFonts w:ascii="Cambria Math" w:hAnsi="Cambria Math" w:cs="Arial"/>
                        <w:i/>
                        <w:color w:val="000000"/>
                      </w:rPr>
                    </m:ctrlPr>
                  </m:sSubPr>
                  <m:e>
                    <m:r>
                      <w:rPr>
                        <w:rFonts w:ascii="Cambria Math" w:hAnsi="Cambria Math" w:cs="Arial"/>
                        <w:color w:val="000000"/>
                      </w:rPr>
                      <m:t>u</m:t>
                    </m:r>
                  </m:e>
                  <m:sub>
                    <m:r>
                      <w:rPr>
                        <w:rFonts w:ascii="Cambria Math" w:hAnsi="Cambria Math" w:cs="Arial"/>
                        <w:color w:val="000000"/>
                        <w:lang w:val="en-US"/>
                      </w:rPr>
                      <m:t>2</m:t>
                    </m:r>
                  </m:sub>
                </m:sSub>
              </m:e>
              <m:sup>
                <m:r>
                  <w:rPr>
                    <w:rFonts w:ascii="Cambria Math" w:hAnsi="Cambria Math" w:cs="Arial"/>
                    <w:color w:val="000000"/>
                    <w:lang w:val="en-US"/>
                  </w:rPr>
                  <m:t>2</m:t>
                </m:r>
              </m:sup>
            </m:sSup>
            <m:d>
              <m:dPr>
                <m:ctrlPr>
                  <w:rPr>
                    <w:rFonts w:ascii="Cambria Math" w:hAnsi="Cambria Math" w:cs="Arial"/>
                    <w:i/>
                    <w:iCs/>
                    <w:color w:val="000000"/>
                  </w:rPr>
                </m:ctrlPr>
              </m:dPr>
              <m:e>
                <m:r>
                  <w:rPr>
                    <w:rFonts w:ascii="Cambria Math" w:hAnsi="Cambria Math" w:cs="Arial"/>
                    <w:color w:val="000000"/>
                  </w:rPr>
                  <m:t>t</m:t>
                </m:r>
              </m:e>
            </m:d>
          </m:e>
        </m:d>
      </m:oMath>
      <w:r w:rsidRPr="002429F5">
        <w:rPr>
          <w:rFonts w:ascii="Arial" w:hAnsi="Arial" w:cs="Arial"/>
          <w:color w:val="000000"/>
          <w:lang w:val="en-US"/>
        </w:rPr>
        <w:t xml:space="preserve">, respectively. </w:t>
      </w:r>
      <w:r>
        <w:rPr>
          <w:rFonts w:ascii="Arial" w:hAnsi="Arial" w:cs="Arial"/>
          <w:color w:val="000000"/>
        </w:rPr>
        <w:t xml:space="preserve">We define </w:t>
      </w:r>
      <w:r w:rsidRPr="00954C9A">
        <w:rPr>
          <w:rFonts w:ascii="Arial" w:hAnsi="Arial" w:cs="Arial"/>
          <w:iCs/>
          <w:color w:val="000000"/>
        </w:rPr>
        <w:t>the following Lyapunov function:</w:t>
      </w:r>
    </w:p>
    <w:p w:rsidR="002429F5" w:rsidRPr="00954C9A" w:rsidRDefault="002429F5" w:rsidP="002429F5">
      <w:pPr>
        <w:jc w:val="both"/>
        <w:rPr>
          <w:rFonts w:ascii="Arial" w:hAnsi="Arial" w:cs="Arial"/>
          <w:iCs/>
          <w:color w:val="000000"/>
        </w:rPr>
      </w:pPr>
    </w:p>
    <w:p w:rsidR="002429F5" w:rsidRPr="00954C9A" w:rsidRDefault="002429F5" w:rsidP="002429F5">
      <w:pPr>
        <w:jc w:val="both"/>
        <w:rPr>
          <w:rFonts w:ascii="Arial" w:hAnsi="Arial" w:cs="Arial"/>
          <w:iCs/>
          <w:color w:val="000000"/>
        </w:rPr>
      </w:pPr>
      <m:oMathPara>
        <m:oMathParaPr>
          <m:jc m:val="right"/>
        </m:oMathParaPr>
        <m:oMath>
          <m:r>
            <w:rPr>
              <w:rFonts w:ascii="Cambria Math" w:hAnsi="Cambria Math" w:cs="Arial"/>
              <w:color w:val="000000"/>
            </w:rPr>
            <m:t>V</m:t>
          </m:r>
          <m:d>
            <m:dPr>
              <m:ctrlPr>
                <w:rPr>
                  <w:rFonts w:ascii="Cambria Math" w:hAnsi="Cambria Math" w:cs="Arial"/>
                  <w:i/>
                  <w:iCs/>
                  <w:color w:val="000000"/>
                </w:rPr>
              </m:ctrlPr>
            </m:dPr>
            <m:e>
              <m:r>
                <w:rPr>
                  <w:rFonts w:ascii="Cambria Math" w:hAnsi="Cambria Math" w:cs="Arial"/>
                  <w:color w:val="000000"/>
                </w:rPr>
                <m:t>t, x</m:t>
              </m:r>
            </m:e>
          </m:d>
          <m:r>
            <w:rPr>
              <w:rFonts w:ascii="Cambria Math" w:hAnsi="Cambria Math" w:cs="Arial"/>
              <w:color w:val="000000"/>
            </w:rPr>
            <m:t>=</m:t>
          </m:r>
          <m:sSup>
            <m:sSupPr>
              <m:ctrlPr>
                <w:rPr>
                  <w:rFonts w:ascii="Cambria Math" w:hAnsi="Cambria Math" w:cs="Arial"/>
                  <w:i/>
                  <w:iCs/>
                  <w:color w:val="000000"/>
                </w:rPr>
              </m:ctrlPr>
            </m:sSupPr>
            <m:e>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2</m:t>
                      </m:r>
                    </m:sub>
                  </m:sSub>
                  <m:d>
                    <m:dPr>
                      <m:ctrlPr>
                        <w:rPr>
                          <w:rFonts w:ascii="Cambria Math" w:hAnsi="Cambria Math" w:cs="Arial"/>
                          <w:i/>
                          <w:iCs/>
                          <w:color w:val="000000"/>
                        </w:rPr>
                      </m:ctrlPr>
                    </m:dPr>
                    <m:e>
                      <m:r>
                        <w:rPr>
                          <w:rFonts w:ascii="Cambria Math" w:hAnsi="Cambria Math" w:cs="Arial"/>
                          <w:color w:val="000000"/>
                        </w:rPr>
                        <m:t>t</m:t>
                      </m:r>
                    </m:e>
                  </m:d>
                </m:e>
              </m:d>
            </m:e>
            <m:sup>
              <m:r>
                <w:rPr>
                  <w:rFonts w:ascii="Cambria Math" w:hAnsi="Cambria Math" w:cs="Arial"/>
                  <w:color w:val="000000"/>
                </w:rPr>
                <m:t>rk</m:t>
              </m:r>
            </m:sup>
          </m:sSup>
          <m:sSup>
            <m:sSupPr>
              <m:ctrlPr>
                <w:rPr>
                  <w:rFonts w:ascii="Cambria Math" w:hAnsi="Cambria Math" w:cs="Arial"/>
                  <w:i/>
                  <w:iCs/>
                  <w:color w:val="000000"/>
                </w:rPr>
              </m:ctrlPr>
            </m:sSupPr>
            <m:e>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k</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m:t>
              </m:r>
            </m:e>
            <m:sup>
              <m:r>
                <w:rPr>
                  <w:rFonts w:ascii="Cambria Math" w:hAnsi="Cambria Math" w:cs="Arial"/>
                  <w:color w:val="000000"/>
                </w:rPr>
                <m:t>2</m:t>
              </m:r>
            </m:sup>
          </m:sSup>
          <m:r>
            <w:rPr>
              <w:rFonts w:ascii="Cambria Math" w:hAnsi="Cambria Math" w:cs="Arial"/>
              <w:color w:val="000000"/>
            </w:rPr>
            <m:t xml:space="preserve">                                         (16)</m:t>
          </m:r>
        </m:oMath>
      </m:oMathPara>
    </w:p>
    <w:p w:rsidR="002429F5" w:rsidRPr="00954C9A" w:rsidRDefault="002429F5" w:rsidP="002429F5">
      <w:pPr>
        <w:jc w:val="both"/>
        <w:rPr>
          <w:rFonts w:ascii="Arial" w:hAnsi="Arial" w:cs="Arial"/>
          <w:iCs/>
          <w:color w:val="000000"/>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 xml:space="preserve">Let consider the function </w:t>
      </w:r>
      <m:oMath>
        <m:r>
          <w:rPr>
            <w:rFonts w:ascii="Cambria Math" w:hAnsi="Cambria Math" w:cs="Arial"/>
            <w:color w:val="000000"/>
          </w:rPr>
          <m:t>g</m:t>
        </m:r>
        <m:r>
          <m:rPr>
            <m:scr m:val="double-struck"/>
          </m:rPr>
          <w:rPr>
            <w:rFonts w:ascii="Cambria Math" w:hAnsi="Cambria Math" w:cs="Arial"/>
            <w:color w:val="000000"/>
            <w:lang w:val="en-US"/>
          </w:rPr>
          <m:t>: R</m:t>
        </m:r>
        <m:r>
          <w:rPr>
            <w:rFonts w:ascii="Cambria Math" w:hAnsi="Cambria Math" w:cs="Arial"/>
            <w:i/>
            <w:iCs/>
            <w:color w:val="000000"/>
          </w:rPr>
          <w:sym w:font="Symbol" w:char="F0AE"/>
        </m:r>
        <m:r>
          <m:rPr>
            <m:scr m:val="double-struck"/>
          </m:rPr>
          <w:rPr>
            <w:rFonts w:ascii="Cambria Math" w:hAnsi="Cambria Math" w:cs="Arial"/>
            <w:color w:val="000000"/>
            <w:lang w:val="en-US"/>
          </w:rPr>
          <m:t xml:space="preserve"> R</m:t>
        </m:r>
      </m:oMath>
      <w:r w:rsidRPr="002429F5">
        <w:rPr>
          <w:rFonts w:ascii="Arial" w:hAnsi="Arial" w:cs="Arial"/>
          <w:iCs/>
          <w:color w:val="000000"/>
          <w:lang w:val="en-US"/>
        </w:rPr>
        <w:t xml:space="preserve"> given by</w:t>
      </w:r>
    </w:p>
    <w:p w:rsidR="002429F5" w:rsidRPr="002429F5" w:rsidRDefault="002429F5" w:rsidP="002429F5">
      <w:pPr>
        <w:jc w:val="both"/>
        <w:rPr>
          <w:rFonts w:ascii="Arial" w:hAnsi="Arial" w:cs="Arial"/>
          <w:iCs/>
          <w:color w:val="000000"/>
          <w:lang w:val="en-US"/>
        </w:rPr>
      </w:pPr>
    </w:p>
    <w:p w:rsidR="002429F5" w:rsidRPr="00954C9A" w:rsidRDefault="002429F5" w:rsidP="002429F5">
      <w:pPr>
        <w:jc w:val="both"/>
        <w:rPr>
          <w:rFonts w:ascii="Arial" w:hAnsi="Arial" w:cs="Arial"/>
          <w:iCs/>
          <w:color w:val="000000"/>
        </w:rPr>
      </w:pPr>
      <m:oMathPara>
        <m:oMath>
          <m:r>
            <w:rPr>
              <w:rFonts w:ascii="Cambria Math" w:hAnsi="Cambria Math" w:cs="Arial"/>
              <w:color w:val="000000"/>
            </w:rPr>
            <w:lastRenderedPageBreak/>
            <m:t>g</m:t>
          </m:r>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m:t>
          </m:r>
          <m:r>
            <w:rPr>
              <w:rFonts w:ascii="Cambria Math" w:hAnsi="Cambria Math"/>
              <w:color w:val="000000" w:themeColor="text1"/>
            </w:rPr>
            <m:t>-</m:t>
          </m:r>
          <m:d>
            <m:dPr>
              <m:ctrlPr>
                <w:rPr>
                  <w:rFonts w:ascii="Cambria Math" w:hAnsi="Cambria Math"/>
                  <w:i/>
                  <w:color w:val="000000" w:themeColor="text1"/>
                </w:rPr>
              </m:ctrlPr>
            </m:dPr>
            <m:e>
              <m:r>
                <w:rPr>
                  <w:rFonts w:ascii="Cambria Math" w:hAnsi="Cambria Math"/>
                  <w:color w:val="000000" w:themeColor="text1"/>
                </w:rPr>
                <m:t>rk</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2</m:t>
                      </m:r>
                    </m:sub>
                  </m:sSub>
                </m:num>
                <m:den>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2</m:t>
                      </m:r>
                    </m:sub>
                  </m:sSub>
                </m:den>
              </m:f>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3</m:t>
                  </m:r>
                </m:sub>
              </m:sSub>
            </m:e>
          </m:d>
        </m:oMath>
      </m:oMathPara>
    </w:p>
    <w:p w:rsidR="002429F5" w:rsidRPr="00954C9A" w:rsidRDefault="002429F5" w:rsidP="002429F5">
      <w:pPr>
        <w:jc w:val="both"/>
        <w:rPr>
          <w:rFonts w:ascii="Arial" w:hAnsi="Arial" w:cs="Arial"/>
          <w:iCs/>
          <w:color w:val="000000"/>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and the sequence</w:t>
      </w:r>
      <m:oMath>
        <m:r>
          <m:rPr>
            <m:sty m:val="bi"/>
          </m:rPr>
          <w:rPr>
            <w:rFonts w:ascii="Cambria Math" w:hAnsi="Cambria Math" w:cs="Arial"/>
            <w:color w:val="000000"/>
            <w:lang w:val="en-US"/>
          </w:rPr>
          <m:t xml:space="preserve"> </m:t>
        </m:r>
        <m:sSub>
          <m:sSubPr>
            <m:ctrlPr>
              <w:rPr>
                <w:rFonts w:ascii="Cambria Math" w:hAnsi="Cambria Math" w:cs="Arial"/>
                <w:i/>
                <w:iCs/>
                <w:color w:val="000000"/>
              </w:rPr>
            </m:ctrlPr>
          </m:sSubPr>
          <m:e>
            <m:r>
              <w:rPr>
                <w:rFonts w:ascii="Cambria Math" w:hAnsi="Cambria Math" w:cs="Arial"/>
                <w:color w:val="000000"/>
                <w:lang w:val="en-US"/>
              </w:rPr>
              <m:t>{</m:t>
            </m:r>
            <m:sSub>
              <m:sSubPr>
                <m:ctrlPr>
                  <w:rPr>
                    <w:rFonts w:ascii="Cambria Math" w:hAnsi="Cambria Math" w:cs="Arial"/>
                    <w:iCs/>
                    <w:color w:val="000000"/>
                  </w:rPr>
                </m:ctrlPr>
              </m:sSubPr>
              <m:e>
                <m:r>
                  <m:rPr>
                    <m:sty m:val="p"/>
                  </m:rPr>
                  <w:rPr>
                    <w:rFonts w:ascii="Cambria Math" w:hAnsi="Cambria Math" w:cs="Arial"/>
                    <w:color w:val="000000"/>
                  </w:rPr>
                  <m:t>λ</m:t>
                </m:r>
              </m:e>
              <m:sub>
                <m:r>
                  <w:rPr>
                    <w:rFonts w:ascii="Cambria Math" w:hAnsi="Cambria Math" w:cs="Arial"/>
                    <w:color w:val="000000"/>
                  </w:rPr>
                  <m:t>k</m:t>
                </m:r>
              </m:sub>
            </m:sSub>
            <m:r>
              <w:rPr>
                <w:rFonts w:ascii="Cambria Math" w:hAnsi="Cambria Math" w:cs="Arial"/>
                <w:color w:val="000000"/>
                <w:lang w:val="en-US"/>
              </w:rPr>
              <m:t>(</m:t>
            </m:r>
            <m:r>
              <m:rPr>
                <m:sty m:val="p"/>
              </m:rPr>
              <w:rPr>
                <w:rFonts w:ascii="Cambria Math" w:hAnsi="Cambria Math" w:cs="Arial"/>
                <w:color w:val="000000"/>
                <w:lang w:val="en-US"/>
              </w:rPr>
              <m:t>t</m:t>
            </m:r>
            <m:r>
              <w:rPr>
                <w:rFonts w:ascii="Cambria Math" w:hAnsi="Cambria Math" w:cs="Arial"/>
                <w:color w:val="000000"/>
                <w:lang w:val="en-US"/>
              </w:rPr>
              <m:t>)}</m:t>
            </m:r>
          </m:e>
          <m:sub>
            <m:r>
              <w:rPr>
                <w:rFonts w:ascii="Cambria Math" w:hAnsi="Cambria Math" w:cs="Arial"/>
                <w:color w:val="000000"/>
              </w:rPr>
              <m:t>k</m:t>
            </m:r>
          </m:sub>
        </m:sSub>
      </m:oMath>
      <w:r w:rsidRPr="002429F5">
        <w:rPr>
          <w:rFonts w:ascii="Arial" w:hAnsi="Arial" w:cs="Arial"/>
          <w:iCs/>
          <w:color w:val="000000"/>
          <w:lang w:val="en-US"/>
        </w:rPr>
        <w:t xml:space="preserve"> of functions </w:t>
      </w:r>
      <m:oMath>
        <m:sSub>
          <m:sSubPr>
            <m:ctrlPr>
              <w:rPr>
                <w:rFonts w:ascii="Cambria Math" w:hAnsi="Cambria Math" w:cs="Arial"/>
                <w:iCs/>
                <w:color w:val="000000"/>
              </w:rPr>
            </m:ctrlPr>
          </m:sSubPr>
          <m:e>
            <m:r>
              <m:rPr>
                <m:sty m:val="p"/>
              </m:rPr>
              <w:rPr>
                <w:rFonts w:ascii="Cambria Math" w:hAnsi="Cambria Math" w:cs="Arial"/>
                <w:color w:val="000000"/>
              </w:rPr>
              <m:t>λ</m:t>
            </m:r>
          </m:e>
          <m:sub>
            <m:r>
              <w:rPr>
                <w:rFonts w:ascii="Cambria Math" w:hAnsi="Cambria Math" w:cs="Arial"/>
                <w:color w:val="000000"/>
              </w:rPr>
              <m:t>k</m:t>
            </m:r>
          </m:sub>
        </m:sSub>
        <m:r>
          <m:rPr>
            <m:scr m:val="double-struck"/>
          </m:rPr>
          <w:rPr>
            <w:rFonts w:ascii="Cambria Math" w:hAnsi="Cambria Math" w:cs="Arial"/>
            <w:color w:val="000000"/>
            <w:lang w:val="en-US"/>
          </w:rPr>
          <m:t>:R→</m:t>
        </m:r>
        <m:sSup>
          <m:sSupPr>
            <m:ctrlPr>
              <w:rPr>
                <w:rFonts w:ascii="Cambria Math" w:hAnsi="Cambria Math" w:cs="Arial"/>
                <w:i/>
                <w:iCs/>
                <w:color w:val="000000"/>
              </w:rPr>
            </m:ctrlPr>
          </m:sSupPr>
          <m:e>
            <m:r>
              <m:rPr>
                <m:scr m:val="double-struck"/>
              </m:rPr>
              <w:rPr>
                <w:rFonts w:ascii="Cambria Math" w:hAnsi="Cambria Math" w:cs="Arial"/>
                <w:color w:val="000000"/>
                <w:lang w:val="en-US"/>
              </w:rPr>
              <m:t>R</m:t>
            </m:r>
          </m:e>
          <m:sup>
            <m:r>
              <w:rPr>
                <w:rFonts w:ascii="Cambria Math" w:hAnsi="Cambria Math" w:cs="Arial"/>
                <w:color w:val="000000"/>
                <w:lang w:val="en-US"/>
              </w:rPr>
              <m:t>+</m:t>
            </m:r>
          </m:sup>
        </m:sSup>
      </m:oMath>
      <w:r w:rsidRPr="002429F5">
        <w:rPr>
          <w:rFonts w:ascii="Arial" w:hAnsi="Arial" w:cs="Arial"/>
          <w:iCs/>
          <w:color w:val="000000"/>
          <w:lang w:val="en-US"/>
        </w:rPr>
        <w:t xml:space="preserve"> defined as following:</w:t>
      </w:r>
    </w:p>
    <w:p w:rsidR="002429F5" w:rsidRPr="002429F5" w:rsidRDefault="002429F5" w:rsidP="002429F5">
      <w:pPr>
        <w:jc w:val="both"/>
        <w:rPr>
          <w:rFonts w:ascii="Arial" w:hAnsi="Arial" w:cs="Arial"/>
          <w:iCs/>
          <w:color w:val="000000"/>
          <w:lang w:val="en-US"/>
        </w:rPr>
      </w:pPr>
    </w:p>
    <w:p w:rsidR="002429F5" w:rsidRPr="00982965" w:rsidRDefault="001345E4" w:rsidP="002429F5">
      <w:pPr>
        <w:spacing w:before="240"/>
        <w:jc w:val="center"/>
        <w:rPr>
          <w:rFonts w:ascii="Cambria Math" w:hAnsi="Cambria Math" w:cs="Arial"/>
          <w:i/>
          <w:iCs/>
          <w:color w:val="000000"/>
        </w:rPr>
      </w:pPr>
      <m:oMathPara>
        <m:oMath>
          <m:sSub>
            <m:sSubPr>
              <m:ctrlPr>
                <w:rPr>
                  <w:rFonts w:ascii="Cambria Math" w:hAnsi="Cambria Math" w:cs="Arial"/>
                  <w:i/>
                  <w:iCs/>
                  <w:color w:val="000000"/>
                </w:rPr>
              </m:ctrlPr>
            </m:sSubPr>
            <m:e>
              <m:r>
                <w:rPr>
                  <w:rFonts w:ascii="Cambria Math" w:hAnsi="Cambria Math" w:cs="Arial"/>
                  <w:color w:val="000000"/>
                </w:rPr>
                <m:t>λ</m:t>
              </m:r>
            </m:e>
            <m:sub>
              <m:r>
                <w:rPr>
                  <w:rFonts w:ascii="Cambria Math" w:hAnsi="Cambria Math" w:cs="Arial"/>
                  <w:color w:val="000000"/>
                </w:rPr>
                <m:t>k</m:t>
              </m:r>
            </m:sub>
          </m:sSub>
          <m:r>
            <w:rPr>
              <w:rFonts w:ascii="Cambria Math" w:hAnsi="Cambria Math" w:cs="Arial"/>
              <w:color w:val="000000"/>
            </w:rPr>
            <m:t>(t)=</m:t>
          </m:r>
          <m:sSup>
            <m:sSupPr>
              <m:ctrlPr>
                <w:rPr>
                  <w:rFonts w:ascii="Cambria Math" w:hAnsi="Cambria Math" w:cs="Arial"/>
                  <w:i/>
                  <w:iCs/>
                  <w:color w:val="000000"/>
                </w:rPr>
              </m:ctrlPr>
            </m:sSupPr>
            <m:e>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2</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 xml:space="preserve">| </m:t>
              </m:r>
            </m:e>
            <m:sup>
              <m:r>
                <w:rPr>
                  <w:rFonts w:ascii="Cambria Math" w:hAnsi="Cambria Math" w:cs="Arial"/>
                  <w:color w:val="000000"/>
                </w:rPr>
                <m:t>rk</m:t>
              </m:r>
            </m:sup>
          </m:sSup>
        </m:oMath>
      </m:oMathPara>
    </w:p>
    <w:p w:rsidR="002429F5" w:rsidRPr="00954C9A" w:rsidRDefault="002429F5" w:rsidP="002429F5">
      <w:pPr>
        <w:jc w:val="both"/>
        <w:rPr>
          <w:rFonts w:ascii="Arial" w:hAnsi="Arial" w:cs="Arial"/>
          <w:iCs/>
          <w:color w:val="000000"/>
        </w:rPr>
      </w:pPr>
    </w:p>
    <w:p w:rsidR="002429F5" w:rsidRPr="00954C9A" w:rsidRDefault="002429F5" w:rsidP="002429F5">
      <w:pPr>
        <w:jc w:val="both"/>
        <w:rPr>
          <w:rFonts w:ascii="Arial" w:hAnsi="Arial" w:cs="Arial"/>
          <w:iCs/>
          <w:color w:val="000000"/>
        </w:rPr>
      </w:pPr>
      <w:r w:rsidRPr="00954C9A">
        <w:rPr>
          <w:rFonts w:ascii="Arial" w:hAnsi="Arial" w:cs="Arial"/>
          <w:iCs/>
          <w:color w:val="000000"/>
        </w:rPr>
        <w:t xml:space="preserve">and controls obtained in [1], </w:t>
      </w:r>
    </w:p>
    <w:p w:rsidR="002429F5" w:rsidRPr="00954C9A" w:rsidRDefault="002429F5" w:rsidP="002429F5">
      <w:pPr>
        <w:jc w:val="both"/>
        <w:rPr>
          <w:rFonts w:ascii="Arial" w:hAnsi="Arial" w:cs="Arial"/>
          <w:iCs/>
          <w:color w:val="000000"/>
        </w:rPr>
      </w:pPr>
    </w:p>
    <w:p w:rsidR="002429F5" w:rsidRPr="00954C9A" w:rsidRDefault="001345E4" w:rsidP="002429F5">
      <w:pPr>
        <w:jc w:val="both"/>
        <w:rPr>
          <w:rFonts w:ascii="Arial" w:hAnsi="Arial" w:cs="Arial"/>
          <w:iCs/>
          <w:color w:val="000000"/>
        </w:rPr>
      </w:pPr>
      <m:oMathPara>
        <m:oMath>
          <m:sSubSup>
            <m:sSubSupPr>
              <m:ctrlPr>
                <w:rPr>
                  <w:rFonts w:ascii="Cambria Math" w:hAnsi="Cambria Math" w:cs="Arial"/>
                  <w:i/>
                  <w:iCs/>
                  <w:color w:val="000000"/>
                </w:rPr>
              </m:ctrlPr>
            </m:sSubSupPr>
            <m:e>
              <m:r>
                <w:rPr>
                  <w:rFonts w:ascii="Cambria Math" w:hAnsi="Cambria Math" w:cs="Arial"/>
                  <w:color w:val="000000"/>
                </w:rPr>
                <m:t>u</m:t>
              </m:r>
            </m:e>
            <m:sub>
              <m:r>
                <w:rPr>
                  <w:rFonts w:ascii="Cambria Math" w:hAnsi="Cambria Math" w:cs="Arial"/>
                  <w:color w:val="000000"/>
                </w:rPr>
                <m:t>1</m:t>
              </m:r>
            </m:sub>
            <m:sup>
              <m:r>
                <w:rPr>
                  <w:rFonts w:ascii="Cambria Math" w:hAnsi="Cambria Math" w:cs="Arial"/>
                  <w:color w:val="000000"/>
                </w:rPr>
                <m:t>*</m:t>
              </m:r>
            </m:sup>
          </m:sSubSup>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m:t>
          </m:r>
          <m:f>
            <m:fPr>
              <m:ctrlPr>
                <w:rPr>
                  <w:rFonts w:ascii="Cambria Math" w:hAnsi="Cambria Math" w:cs="Arial"/>
                  <w:i/>
                  <w:iCs/>
                  <w:color w:val="000000"/>
                </w:rPr>
              </m:ctrlPr>
            </m:fPr>
            <m:num>
              <m:r>
                <w:rPr>
                  <w:rFonts w:ascii="Cambria Math" w:hAnsi="Cambria Math" w:cs="Arial"/>
                  <w:color w:val="000000"/>
                </w:rPr>
                <m:t>1</m:t>
              </m:r>
            </m:num>
            <m:den>
              <m:r>
                <w:rPr>
                  <w:rFonts w:ascii="Cambria Math" w:hAnsi="Cambria Math" w:cs="Arial"/>
                  <w:color w:val="000000"/>
                </w:rPr>
                <m:t>2</m:t>
              </m:r>
            </m:den>
          </m:f>
          <m:r>
            <w:rPr>
              <w:rFonts w:ascii="Cambria Math" w:hAnsi="Cambria Math" w:cs="Arial"/>
              <w:color w:val="000000"/>
            </w:rPr>
            <m:t xml:space="preserve"> </m:t>
          </m:r>
          <m:r>
            <m:rPr>
              <m:sty m:val="p"/>
            </m:rPr>
            <w:rPr>
              <w:rFonts w:ascii="Cambria Math" w:hAnsi="Cambria Math" w:cs="Arial"/>
              <w:color w:val="000000"/>
            </w:rPr>
            <m:t>Λ</m:t>
          </m:r>
          <m:d>
            <m:dPr>
              <m:ctrlPr>
                <w:rPr>
                  <w:rFonts w:ascii="Cambria Math" w:hAnsi="Cambria Math" w:cs="Arial"/>
                  <w:iCs/>
                  <w:color w:val="000000"/>
                </w:rPr>
              </m:ctrlPr>
            </m:dPr>
            <m:e>
              <m:r>
                <m:rPr>
                  <m:sty m:val="p"/>
                </m:rPr>
                <w:rPr>
                  <w:rFonts w:ascii="Cambria Math" w:hAnsi="Cambria Math" w:cs="Arial"/>
                  <w:color w:val="000000"/>
                </w:rPr>
                <m:t>t</m:t>
              </m:r>
            </m:e>
          </m:d>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1</m:t>
              </m:r>
            </m:sub>
          </m:sSub>
          <m:r>
            <w:rPr>
              <w:rFonts w:ascii="Cambria Math" w:hAnsi="Cambria Math" w:cs="Arial"/>
              <w:color w:val="000000"/>
            </w:rPr>
            <m:t>x</m:t>
          </m:r>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 xml:space="preserve">,    </m:t>
          </m:r>
          <m:sSubSup>
            <m:sSubSupPr>
              <m:ctrlPr>
                <w:rPr>
                  <w:rFonts w:ascii="Cambria Math" w:hAnsi="Cambria Math" w:cs="Arial"/>
                  <w:i/>
                  <w:iCs/>
                  <w:color w:val="000000"/>
                </w:rPr>
              </m:ctrlPr>
            </m:sSubSupPr>
            <m:e>
              <m:r>
                <w:rPr>
                  <w:rFonts w:ascii="Cambria Math" w:hAnsi="Cambria Math" w:cs="Arial"/>
                  <w:color w:val="000000"/>
                </w:rPr>
                <m:t>u</m:t>
              </m:r>
            </m:e>
            <m:sub>
              <m:r>
                <w:rPr>
                  <w:rFonts w:ascii="Cambria Math" w:hAnsi="Cambria Math" w:cs="Arial"/>
                  <w:color w:val="000000"/>
                </w:rPr>
                <m:t>2</m:t>
              </m:r>
            </m:sub>
            <m:sup>
              <m:r>
                <w:rPr>
                  <w:rFonts w:ascii="Cambria Math" w:hAnsi="Cambria Math" w:cs="Arial"/>
                  <w:color w:val="000000"/>
                </w:rPr>
                <m:t>*</m:t>
              </m:r>
            </m:sup>
          </m:sSubSup>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m:t>
          </m:r>
          <m:f>
            <m:fPr>
              <m:ctrlPr>
                <w:rPr>
                  <w:rFonts w:ascii="Cambria Math" w:hAnsi="Cambria Math" w:cs="Arial"/>
                  <w:i/>
                  <w:iCs/>
                  <w:color w:val="000000"/>
                </w:rPr>
              </m:ctrlPr>
            </m:fPr>
            <m:num>
              <m:r>
                <w:rPr>
                  <w:rFonts w:ascii="Cambria Math" w:hAnsi="Cambria Math" w:cs="Arial"/>
                  <w:color w:val="000000"/>
                </w:rPr>
                <m:t>1</m:t>
              </m:r>
            </m:num>
            <m:den>
              <m:r>
                <w:rPr>
                  <w:rFonts w:ascii="Cambria Math" w:hAnsi="Cambria Math" w:cs="Arial"/>
                  <w:color w:val="000000"/>
                </w:rPr>
                <m:t>2</m:t>
              </m:r>
            </m:den>
          </m:f>
          <m:r>
            <w:rPr>
              <w:rFonts w:ascii="Cambria Math" w:hAnsi="Cambria Math" w:cs="Arial"/>
              <w:color w:val="000000"/>
            </w:rPr>
            <m:t xml:space="preserve"> </m:t>
          </m:r>
          <m:r>
            <m:rPr>
              <m:sty m:val="p"/>
            </m:rPr>
            <w:rPr>
              <w:rFonts w:ascii="Cambria Math" w:hAnsi="Cambria Math" w:cs="Arial"/>
              <w:color w:val="000000"/>
            </w:rPr>
            <m:t>Λ</m:t>
          </m:r>
          <m:d>
            <m:dPr>
              <m:ctrlPr>
                <w:rPr>
                  <w:rFonts w:ascii="Cambria Math" w:hAnsi="Cambria Math" w:cs="Arial"/>
                  <w:iCs/>
                  <w:color w:val="000000"/>
                </w:rPr>
              </m:ctrlPr>
            </m:dPr>
            <m:e>
              <m:r>
                <m:rPr>
                  <m:sty m:val="p"/>
                </m:rPr>
                <w:rPr>
                  <w:rFonts w:ascii="Cambria Math" w:hAnsi="Cambria Math" w:cs="Arial"/>
                  <w:color w:val="000000"/>
                </w:rPr>
                <m:t>t</m:t>
              </m:r>
            </m:e>
          </m:d>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2</m:t>
              </m:r>
            </m:sub>
          </m:sSub>
          <m:r>
            <w:rPr>
              <w:rFonts w:ascii="Cambria Math" w:hAnsi="Cambria Math" w:cs="Arial"/>
              <w:color w:val="000000"/>
            </w:rPr>
            <m:t>x</m:t>
          </m:r>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m:t>
          </m:r>
        </m:oMath>
      </m:oMathPara>
    </w:p>
    <w:p w:rsidR="002429F5" w:rsidRPr="00954C9A" w:rsidRDefault="002429F5" w:rsidP="002429F5">
      <w:pPr>
        <w:jc w:val="both"/>
        <w:rPr>
          <w:rFonts w:ascii="Arial" w:hAnsi="Arial" w:cs="Arial"/>
          <w:iCs/>
          <w:color w:val="000000"/>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 xml:space="preserve">where </w:t>
      </w:r>
      <m:oMath>
        <m:r>
          <m:rPr>
            <m:sty m:val="p"/>
          </m:rPr>
          <w:rPr>
            <w:rFonts w:ascii="Cambria Math" w:hAnsi="Cambria Math" w:cs="Arial"/>
            <w:color w:val="000000"/>
          </w:rPr>
          <m:t>Λ</m:t>
        </m:r>
        <m:r>
          <m:rPr>
            <m:sty m:val="p"/>
          </m:rPr>
          <w:rPr>
            <w:rFonts w:ascii="Cambria Math" w:hAnsi="Cambria Math" w:cs="Arial"/>
            <w:color w:val="000000"/>
            <w:lang w:val="en-US"/>
          </w:rPr>
          <m:t>(t)</m:t>
        </m:r>
      </m:oMath>
      <w:r w:rsidRPr="002429F5">
        <w:rPr>
          <w:rFonts w:ascii="Arial" w:hAnsi="Arial" w:cs="Arial"/>
          <w:iCs/>
          <w:color w:val="000000"/>
          <w:lang w:val="en-US"/>
        </w:rPr>
        <w:t xml:space="preserve"> is the adjoint state to </w:t>
      </w:r>
      <m:oMath>
        <m:r>
          <w:rPr>
            <w:rFonts w:ascii="Cambria Math" w:hAnsi="Cambria Math" w:cs="Arial"/>
            <w:color w:val="000000"/>
          </w:rPr>
          <m:t>x</m:t>
        </m:r>
        <m:d>
          <m:dPr>
            <m:ctrlPr>
              <w:rPr>
                <w:rFonts w:ascii="Cambria Math" w:hAnsi="Cambria Math" w:cs="Arial"/>
                <w:i/>
                <w:iCs/>
                <w:color w:val="000000"/>
              </w:rPr>
            </m:ctrlPr>
          </m:dPr>
          <m:e>
            <m:r>
              <w:rPr>
                <w:rFonts w:ascii="Cambria Math" w:hAnsi="Cambria Math" w:cs="Arial"/>
                <w:color w:val="000000"/>
              </w:rPr>
              <m:t>t</m:t>
            </m:r>
          </m:e>
        </m:d>
      </m:oMath>
      <w:r w:rsidRPr="002429F5">
        <w:rPr>
          <w:rFonts w:ascii="Arial" w:hAnsi="Arial" w:cs="Arial"/>
          <w:iCs/>
          <w:color w:val="000000"/>
          <w:lang w:val="en-US"/>
        </w:rPr>
        <w:t xml:space="preserve">. </w:t>
      </w:r>
    </w:p>
    <w:p w:rsidR="002429F5" w:rsidRPr="002429F5" w:rsidRDefault="002429F5" w:rsidP="002429F5">
      <w:pPr>
        <w:jc w:val="both"/>
        <w:rPr>
          <w:rFonts w:ascii="Arial" w:hAnsi="Arial" w:cs="Arial"/>
          <w:iCs/>
          <w:color w:val="000000"/>
          <w:lang w:val="en-US"/>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 xml:space="preserve">     Figure 1 shows the optimal stochastic controls obtained in [1], using Euler-Maruyama scheme, where we can see the choice </w:t>
      </w:r>
      <m:oMath>
        <m:sSub>
          <m:sSubPr>
            <m:ctrlPr>
              <w:rPr>
                <w:rFonts w:ascii="Cambria Math" w:hAnsi="Cambria Math" w:cs="Arial"/>
                <w:i/>
                <w:color w:val="000000"/>
              </w:rPr>
            </m:ctrlPr>
          </m:sSubPr>
          <m:e>
            <m:r>
              <w:rPr>
                <w:rFonts w:ascii="Cambria Math" w:hAnsi="Cambria Math" w:cs="Arial"/>
                <w:color w:val="000000"/>
              </w:rPr>
              <m:t>M</m:t>
            </m:r>
          </m:e>
          <m:sub>
            <m:r>
              <w:rPr>
                <w:rFonts w:ascii="Cambria Math" w:hAnsi="Cambria Math" w:cs="Arial"/>
                <w:color w:val="000000"/>
                <w:lang w:val="en-US"/>
              </w:rPr>
              <m:t>1</m:t>
            </m:r>
          </m:sub>
        </m:sSub>
        <m:r>
          <w:rPr>
            <w:rFonts w:ascii="Cambria Math" w:hAnsi="Cambria Math" w:cs="Arial"/>
            <w:color w:val="000000"/>
            <w:lang w:val="en-US"/>
          </w:rPr>
          <m:t xml:space="preserve">=2, </m:t>
        </m:r>
        <m:sSub>
          <m:sSubPr>
            <m:ctrlPr>
              <w:rPr>
                <w:rFonts w:ascii="Cambria Math" w:hAnsi="Cambria Math" w:cs="Arial"/>
                <w:i/>
                <w:color w:val="000000"/>
              </w:rPr>
            </m:ctrlPr>
          </m:sSubPr>
          <m:e>
            <m:r>
              <w:rPr>
                <w:rFonts w:ascii="Cambria Math" w:hAnsi="Cambria Math" w:cs="Arial"/>
                <w:color w:val="000000"/>
              </w:rPr>
              <m:t>M</m:t>
            </m:r>
          </m:e>
          <m:sub>
            <m:r>
              <w:rPr>
                <w:rFonts w:ascii="Cambria Math" w:hAnsi="Cambria Math" w:cs="Arial"/>
                <w:color w:val="000000"/>
                <w:lang w:val="en-US"/>
              </w:rPr>
              <m:t>2</m:t>
            </m:r>
          </m:sub>
        </m:sSub>
        <m:r>
          <w:rPr>
            <w:rFonts w:ascii="Cambria Math" w:hAnsi="Cambria Math" w:cs="Arial"/>
            <w:color w:val="000000"/>
            <w:lang w:val="en-US"/>
          </w:rPr>
          <m:t>=2</m:t>
        </m:r>
      </m:oMath>
      <w:r w:rsidRPr="002429F5">
        <w:rPr>
          <w:rFonts w:ascii="Arial" w:hAnsi="Arial" w:cs="Arial"/>
          <w:color w:val="000000"/>
          <w:lang w:val="en-US"/>
        </w:rPr>
        <w:t xml:space="preserve"> and </w:t>
      </w:r>
      <m:oMath>
        <m:sSub>
          <m:sSubPr>
            <m:ctrlPr>
              <w:rPr>
                <w:rFonts w:ascii="Cambria Math" w:hAnsi="Cambria Math" w:cs="Arial"/>
                <w:i/>
                <w:color w:val="000000"/>
              </w:rPr>
            </m:ctrlPr>
          </m:sSubPr>
          <m:e>
            <m:r>
              <w:rPr>
                <w:rFonts w:ascii="Cambria Math" w:hAnsi="Cambria Math" w:cs="Arial"/>
                <w:color w:val="000000"/>
              </w:rPr>
              <m:t>M</m:t>
            </m:r>
          </m:e>
          <m:sub>
            <m:r>
              <w:rPr>
                <w:rFonts w:ascii="Cambria Math" w:hAnsi="Cambria Math" w:cs="Arial"/>
                <w:color w:val="000000"/>
                <w:lang w:val="en-US"/>
              </w:rPr>
              <m:t>3</m:t>
            </m:r>
          </m:sub>
        </m:sSub>
        <m:r>
          <w:rPr>
            <w:rFonts w:ascii="Cambria Math" w:hAnsi="Cambria Math" w:cs="Arial"/>
            <w:color w:val="000000"/>
            <w:lang w:val="en-US"/>
          </w:rPr>
          <m:t>=10</m:t>
        </m:r>
      </m:oMath>
      <w:r w:rsidRPr="002429F5">
        <w:rPr>
          <w:rFonts w:ascii="Arial" w:hAnsi="Arial" w:cs="Arial"/>
          <w:color w:val="000000"/>
          <w:lang w:val="en-US"/>
        </w:rPr>
        <w:t>.</w:t>
      </w:r>
    </w:p>
    <w:p w:rsidR="002429F5" w:rsidRPr="002429F5" w:rsidRDefault="002429F5" w:rsidP="002429F5">
      <w:pPr>
        <w:jc w:val="both"/>
        <w:rPr>
          <w:rFonts w:ascii="Arial" w:hAnsi="Arial" w:cs="Arial"/>
          <w:iCs/>
          <w:color w:val="000000"/>
          <w:lang w:val="en-US"/>
        </w:rPr>
      </w:pPr>
    </w:p>
    <w:p w:rsidR="002429F5" w:rsidRDefault="002429F5" w:rsidP="002429F5">
      <w:pPr>
        <w:jc w:val="center"/>
        <w:rPr>
          <w:rFonts w:ascii="Arial" w:hAnsi="Arial" w:cs="Arial"/>
          <w:iCs/>
          <w:color w:val="000000"/>
        </w:rPr>
      </w:pPr>
      <w:r w:rsidRPr="0053606B">
        <w:rPr>
          <w:rFonts w:ascii="Arial" w:hAnsi="Arial" w:cs="Arial"/>
          <w:iCs/>
          <w:noProof/>
          <w:color w:val="000000"/>
          <w:lang w:val="en-US"/>
        </w:rPr>
        <w:drawing>
          <wp:inline distT="0" distB="0" distL="0" distR="0" wp14:anchorId="3500E26A" wp14:editId="7DFAC2F0">
            <wp:extent cx="2948251" cy="2189871"/>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996428" cy="2225656"/>
                    </a:xfrm>
                    <a:prstGeom prst="rect">
                      <a:avLst/>
                    </a:prstGeom>
                  </pic:spPr>
                </pic:pic>
              </a:graphicData>
            </a:graphic>
          </wp:inline>
        </w:drawing>
      </w:r>
    </w:p>
    <w:p w:rsidR="002429F5" w:rsidRDefault="002429F5" w:rsidP="002429F5">
      <w:pPr>
        <w:jc w:val="center"/>
        <w:rPr>
          <w:rFonts w:ascii="Arial" w:hAnsi="Arial" w:cs="Arial"/>
          <w:iCs/>
          <w:color w:val="000000"/>
        </w:rPr>
      </w:pPr>
    </w:p>
    <w:p w:rsidR="002429F5" w:rsidRDefault="002429F5" w:rsidP="002429F5">
      <w:pPr>
        <w:jc w:val="center"/>
        <w:rPr>
          <w:rFonts w:ascii="Arial" w:hAnsi="Arial" w:cs="Arial"/>
          <w:iCs/>
          <w:color w:val="000000"/>
          <w:sz w:val="20"/>
          <w:szCs w:val="20"/>
        </w:rPr>
      </w:pPr>
    </w:p>
    <w:p w:rsidR="002429F5" w:rsidRPr="002429F5" w:rsidRDefault="002429F5" w:rsidP="002429F5">
      <w:pPr>
        <w:jc w:val="center"/>
        <w:rPr>
          <w:rFonts w:ascii="Arial" w:hAnsi="Arial" w:cs="Arial"/>
          <w:iCs/>
          <w:color w:val="000000"/>
          <w:sz w:val="20"/>
          <w:szCs w:val="20"/>
          <w:lang w:val="en-US"/>
        </w:rPr>
      </w:pPr>
      <w:r w:rsidRPr="002429F5">
        <w:rPr>
          <w:rFonts w:ascii="Arial" w:hAnsi="Arial" w:cs="Arial"/>
          <w:iCs/>
          <w:color w:val="000000"/>
          <w:sz w:val="20"/>
          <w:szCs w:val="20"/>
          <w:lang w:val="en-US"/>
        </w:rPr>
        <w:t xml:space="preserve">Figure 1. The stochastic bounded optimal controls </w:t>
      </w:r>
      <m:oMath>
        <m:sSubSup>
          <m:sSubSupPr>
            <m:ctrlPr>
              <w:rPr>
                <w:rFonts w:ascii="Cambria Math" w:hAnsi="Cambria Math" w:cs="Arial"/>
                <w:i/>
                <w:iCs/>
                <w:color w:val="000000"/>
              </w:rPr>
            </m:ctrlPr>
          </m:sSubSupPr>
          <m:e>
            <m:r>
              <w:rPr>
                <w:rFonts w:ascii="Cambria Math" w:hAnsi="Cambria Math" w:cs="Arial"/>
                <w:color w:val="000000"/>
              </w:rPr>
              <m:t>u</m:t>
            </m:r>
          </m:e>
          <m:sub>
            <m:r>
              <w:rPr>
                <w:rFonts w:ascii="Cambria Math" w:hAnsi="Cambria Math" w:cs="Arial"/>
                <w:color w:val="000000"/>
                <w:lang w:val="en-US"/>
              </w:rPr>
              <m:t>1</m:t>
            </m:r>
          </m:sub>
          <m:sup>
            <m:r>
              <w:rPr>
                <w:rFonts w:ascii="Cambria Math" w:hAnsi="Cambria Math" w:cs="Arial"/>
                <w:color w:val="000000"/>
                <w:lang w:val="en-US"/>
              </w:rPr>
              <m:t>*</m:t>
            </m:r>
          </m:sup>
        </m:sSubSup>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lang w:val="en-US"/>
          </w:rPr>
          <m:t xml:space="preserve">, </m:t>
        </m:r>
        <m:sSubSup>
          <m:sSubSupPr>
            <m:ctrlPr>
              <w:rPr>
                <w:rFonts w:ascii="Cambria Math" w:hAnsi="Cambria Math" w:cs="Arial"/>
                <w:i/>
                <w:iCs/>
                <w:color w:val="000000"/>
              </w:rPr>
            </m:ctrlPr>
          </m:sSubSupPr>
          <m:e>
            <m:r>
              <w:rPr>
                <w:rFonts w:ascii="Cambria Math" w:hAnsi="Cambria Math" w:cs="Arial"/>
                <w:color w:val="000000"/>
              </w:rPr>
              <m:t>u</m:t>
            </m:r>
          </m:e>
          <m:sub>
            <m:r>
              <w:rPr>
                <w:rFonts w:ascii="Cambria Math" w:hAnsi="Cambria Math" w:cs="Arial"/>
                <w:color w:val="000000"/>
                <w:lang w:val="en-US"/>
              </w:rPr>
              <m:t>2</m:t>
            </m:r>
          </m:sub>
          <m:sup>
            <m:r>
              <w:rPr>
                <w:rFonts w:ascii="Cambria Math" w:hAnsi="Cambria Math" w:cs="Arial"/>
                <w:color w:val="000000"/>
                <w:lang w:val="en-US"/>
              </w:rPr>
              <m:t>*</m:t>
            </m:r>
          </m:sup>
        </m:sSubSup>
        <m:d>
          <m:dPr>
            <m:ctrlPr>
              <w:rPr>
                <w:rFonts w:ascii="Cambria Math" w:hAnsi="Cambria Math" w:cs="Arial"/>
                <w:i/>
                <w:iCs/>
                <w:color w:val="000000"/>
              </w:rPr>
            </m:ctrlPr>
          </m:dPr>
          <m:e>
            <m:r>
              <w:rPr>
                <w:rFonts w:ascii="Cambria Math" w:hAnsi="Cambria Math" w:cs="Arial"/>
                <w:color w:val="000000"/>
              </w:rPr>
              <m:t>t</m:t>
            </m:r>
          </m:e>
        </m:d>
      </m:oMath>
      <w:r w:rsidRPr="002429F5">
        <w:rPr>
          <w:rFonts w:ascii="Arial" w:hAnsi="Arial" w:cs="Arial"/>
          <w:iCs/>
          <w:color w:val="000000"/>
          <w:sz w:val="20"/>
          <w:szCs w:val="20"/>
          <w:lang w:val="en-US"/>
        </w:rPr>
        <w:t xml:space="preserve"> </w:t>
      </w:r>
    </w:p>
    <w:p w:rsidR="002429F5" w:rsidRPr="002429F5" w:rsidRDefault="002429F5" w:rsidP="002429F5">
      <w:pPr>
        <w:jc w:val="center"/>
        <w:rPr>
          <w:rFonts w:ascii="Arial" w:hAnsi="Arial" w:cs="Arial"/>
          <w:iCs/>
          <w:color w:val="000000"/>
          <w:sz w:val="20"/>
          <w:szCs w:val="20"/>
          <w:lang w:val="en-US"/>
        </w:rPr>
      </w:pPr>
      <w:r w:rsidRPr="002429F5">
        <w:rPr>
          <w:rFonts w:ascii="Arial" w:hAnsi="Arial" w:cs="Arial"/>
          <w:iCs/>
          <w:color w:val="000000"/>
          <w:sz w:val="20"/>
          <w:szCs w:val="20"/>
          <w:lang w:val="en-US"/>
        </w:rPr>
        <w:lastRenderedPageBreak/>
        <w:t>obtained in [1], using Euler-Maruyama scheme.</w:t>
      </w:r>
    </w:p>
    <w:p w:rsidR="002429F5" w:rsidRPr="002429F5" w:rsidRDefault="002429F5" w:rsidP="002429F5">
      <w:pPr>
        <w:jc w:val="both"/>
        <w:rPr>
          <w:rFonts w:ascii="Arial" w:hAnsi="Arial" w:cs="Arial"/>
          <w:iCs/>
          <w:color w:val="000000"/>
          <w:lang w:val="en-US"/>
        </w:rPr>
      </w:pPr>
    </w:p>
    <w:p w:rsidR="002429F5" w:rsidRDefault="002429F5" w:rsidP="002429F5">
      <w:pPr>
        <w:jc w:val="both"/>
        <w:rPr>
          <w:rFonts w:ascii="Arial" w:hAnsi="Arial" w:cs="Arial"/>
          <w:color w:val="000000"/>
        </w:rPr>
      </w:pPr>
      <w:r>
        <w:rPr>
          <w:rFonts w:ascii="Arial" w:hAnsi="Arial" w:cs="Arial"/>
          <w:iCs/>
          <w:color w:val="000000"/>
        </w:rPr>
        <w:t xml:space="preserve">Therefore, in this case, </w:t>
      </w:r>
    </w:p>
    <w:p w:rsidR="002429F5" w:rsidRDefault="002429F5" w:rsidP="002429F5">
      <w:pPr>
        <w:jc w:val="both"/>
        <w:rPr>
          <w:rFonts w:ascii="Arial" w:hAnsi="Arial" w:cs="Arial"/>
          <w:color w:val="000000"/>
        </w:rPr>
      </w:pPr>
    </w:p>
    <w:p w:rsidR="002429F5" w:rsidRDefault="002429F5" w:rsidP="002429F5">
      <w:pPr>
        <w:jc w:val="both"/>
        <w:rPr>
          <w:rFonts w:ascii="Arial" w:hAnsi="Arial" w:cs="Arial"/>
          <w:color w:val="000000"/>
        </w:rPr>
      </w:pPr>
      <m:oMathPara>
        <m:oMath>
          <m:r>
            <w:rPr>
              <w:rFonts w:ascii="Cambria Math" w:hAnsi="Cambria Math" w:cs="Arial"/>
              <w:color w:val="000000"/>
            </w:rPr>
            <m:t>r&lt;-</m:t>
          </m:r>
          <m:f>
            <m:fPr>
              <m:ctrlPr>
                <w:rPr>
                  <w:rFonts w:ascii="Cambria Math" w:hAnsi="Cambria Math" w:cs="Arial"/>
                  <w:i/>
                  <w:color w:val="000000"/>
                </w:rPr>
              </m:ctrlPr>
            </m:fPr>
            <m:num>
              <m:r>
                <w:rPr>
                  <w:rFonts w:ascii="Cambria Math" w:hAnsi="Cambria Math" w:cs="Arial"/>
                  <w:color w:val="000000"/>
                </w:rPr>
                <m:t>10</m:t>
              </m:r>
            </m:num>
            <m:den>
              <m:r>
                <w:rPr>
                  <w:rFonts w:ascii="Cambria Math" w:hAnsi="Cambria Math" w:cs="Arial"/>
                  <w:color w:val="000000"/>
                </w:rPr>
                <m:t>k</m:t>
              </m:r>
            </m:den>
          </m:f>
        </m:oMath>
      </m:oMathPara>
    </w:p>
    <w:p w:rsidR="002429F5" w:rsidRDefault="002429F5" w:rsidP="002429F5">
      <w:pPr>
        <w:jc w:val="both"/>
        <w:rPr>
          <w:rFonts w:ascii="Arial" w:hAnsi="Arial" w:cs="Arial"/>
          <w:color w:val="000000"/>
        </w:rPr>
      </w:pPr>
    </w:p>
    <w:p w:rsidR="002429F5" w:rsidRDefault="002429F5" w:rsidP="002429F5">
      <w:pPr>
        <w:jc w:val="both"/>
        <w:rPr>
          <w:rFonts w:ascii="Arial" w:hAnsi="Arial" w:cs="Arial"/>
          <w:iCs/>
          <w:color w:val="000000"/>
        </w:rPr>
      </w:pPr>
      <w:r w:rsidRPr="002429F5">
        <w:rPr>
          <w:rFonts w:ascii="Arial" w:hAnsi="Arial" w:cs="Arial"/>
          <w:iCs/>
          <w:color w:val="000000"/>
          <w:lang w:val="en-US"/>
        </w:rPr>
        <w:t xml:space="preserve">We compute the corresponding diffusion operator associated to </w:t>
      </w:r>
      <m:oMath>
        <m:r>
          <w:rPr>
            <w:rFonts w:ascii="Cambria Math" w:hAnsi="Cambria Math" w:cs="Arial"/>
            <w:color w:val="000000"/>
          </w:rPr>
          <m:t>V</m:t>
        </m:r>
        <m:r>
          <w:rPr>
            <w:rFonts w:ascii="Cambria Math" w:hAnsi="Cambria Math" w:cs="Arial"/>
            <w:color w:val="000000"/>
            <w:lang w:val="en-US"/>
          </w:rPr>
          <m:t>(</m:t>
        </m:r>
        <m:r>
          <w:rPr>
            <w:rFonts w:ascii="Cambria Math" w:hAnsi="Cambria Math" w:cs="Arial"/>
            <w:color w:val="000000"/>
          </w:rPr>
          <m:t>t</m:t>
        </m:r>
        <m:r>
          <w:rPr>
            <w:rFonts w:ascii="Cambria Math" w:hAnsi="Cambria Math" w:cs="Arial"/>
            <w:color w:val="000000"/>
            <w:lang w:val="en-US"/>
          </w:rPr>
          <m:t xml:space="preserve">, </m:t>
        </m:r>
        <m:r>
          <w:rPr>
            <w:rFonts w:ascii="Cambria Math" w:hAnsi="Cambria Math" w:cs="Arial"/>
            <w:color w:val="000000"/>
          </w:rPr>
          <m:t>x</m:t>
        </m:r>
      </m:oMath>
      <w:r w:rsidRPr="002429F5">
        <w:rPr>
          <w:rFonts w:ascii="Arial" w:hAnsi="Arial" w:cs="Arial"/>
          <w:iCs/>
          <w:color w:val="000000"/>
          <w:lang w:val="en-US"/>
        </w:rPr>
        <w:t xml:space="preserve">). </w:t>
      </w:r>
      <w:r>
        <w:rPr>
          <w:rFonts w:ascii="Arial" w:hAnsi="Arial" w:cs="Arial"/>
          <w:iCs/>
          <w:color w:val="000000"/>
        </w:rPr>
        <w:t>Let’s remember,</w:t>
      </w:r>
    </w:p>
    <w:p w:rsidR="002429F5" w:rsidRDefault="002429F5" w:rsidP="002429F5">
      <w:pPr>
        <w:jc w:val="both"/>
        <w:rPr>
          <w:rFonts w:ascii="Arial" w:hAnsi="Arial" w:cs="Arial"/>
          <w:iCs/>
          <w:color w:val="000000"/>
        </w:rPr>
      </w:pPr>
      <w:r>
        <w:rPr>
          <w:rFonts w:ascii="Arial" w:hAnsi="Arial" w:cs="Arial"/>
          <w:iCs/>
          <w:color w:val="000000"/>
        </w:rPr>
        <w:t>For a general system</w:t>
      </w:r>
    </w:p>
    <w:p w:rsidR="002429F5" w:rsidRDefault="002429F5" w:rsidP="002429F5">
      <w:pPr>
        <w:jc w:val="both"/>
        <w:rPr>
          <w:rFonts w:ascii="Arial" w:hAnsi="Arial" w:cs="Arial"/>
          <w:iCs/>
          <w:color w:val="000000"/>
        </w:rPr>
      </w:pPr>
    </w:p>
    <w:p w:rsidR="002429F5" w:rsidRPr="002A5A86" w:rsidRDefault="002429F5" w:rsidP="002429F5">
      <m:oMathPara>
        <m:oMath>
          <m:r>
            <w:rPr>
              <w:rFonts w:ascii="Cambria Math" w:hAnsi="Cambria Math"/>
            </w:rPr>
            <m:t>dx</m:t>
          </m:r>
          <m:d>
            <m:dPr>
              <m:ctrlPr>
                <w:rPr>
                  <w:rFonts w:ascii="Cambria Math" w:hAnsi="Cambria Math"/>
                  <w:i/>
                </w:rPr>
              </m:ctrlPr>
            </m:dPr>
            <m:e>
              <m:r>
                <w:rPr>
                  <w:rFonts w:ascii="Cambria Math" w:hAnsi="Cambria Math"/>
                </w:rPr>
                <m:t>t</m:t>
              </m:r>
            </m:e>
          </m:d>
          <m:r>
            <w:rPr>
              <w:rFonts w:ascii="Cambria Math" w:hAnsi="Cambria Math"/>
            </w:rPr>
            <m:t>=b</m:t>
          </m:r>
          <m:d>
            <m:dPr>
              <m:ctrlPr>
                <w:rPr>
                  <w:rFonts w:ascii="Cambria Math" w:hAnsi="Cambria Math"/>
                  <w:i/>
                </w:rPr>
              </m:ctrlPr>
            </m:dPr>
            <m:e>
              <m:r>
                <w:rPr>
                  <w:rFonts w:ascii="Cambria Math" w:hAnsi="Cambria Math"/>
                </w:rPr>
                <m:t>t,x</m:t>
              </m:r>
              <m:d>
                <m:dPr>
                  <m:ctrlPr>
                    <w:rPr>
                      <w:rFonts w:ascii="Cambria Math" w:hAnsi="Cambria Math"/>
                      <w:i/>
                    </w:rPr>
                  </m:ctrlPr>
                </m:dPr>
                <m:e>
                  <m:r>
                    <w:rPr>
                      <w:rFonts w:ascii="Cambria Math" w:hAnsi="Cambria Math"/>
                    </w:rPr>
                    <m:t>t</m:t>
                  </m:r>
                </m:e>
              </m:d>
              <m:r>
                <w:rPr>
                  <w:rFonts w:ascii="Cambria Math" w:hAnsi="Cambria Math"/>
                </w:rPr>
                <m:t>,u(t)</m:t>
              </m:r>
            </m:e>
          </m:d>
          <m:r>
            <w:rPr>
              <w:rFonts w:ascii="Cambria Math" w:hAnsi="Cambria Math"/>
            </w:rPr>
            <m:t xml:space="preserve"> dt+σ</m:t>
          </m:r>
          <m:d>
            <m:dPr>
              <m:ctrlPr>
                <w:rPr>
                  <w:rFonts w:ascii="Cambria Math" w:hAnsi="Cambria Math"/>
                  <w:i/>
                </w:rPr>
              </m:ctrlPr>
            </m:dPr>
            <m:e>
              <m:r>
                <w:rPr>
                  <w:rFonts w:ascii="Cambria Math" w:hAnsi="Cambria Math"/>
                </w:rPr>
                <m:t>t,x</m:t>
              </m:r>
              <m:d>
                <m:dPr>
                  <m:ctrlPr>
                    <w:rPr>
                      <w:rFonts w:ascii="Cambria Math" w:hAnsi="Cambria Math"/>
                      <w:i/>
                    </w:rPr>
                  </m:ctrlPr>
                </m:dPr>
                <m:e>
                  <m:r>
                    <w:rPr>
                      <w:rFonts w:ascii="Cambria Math" w:hAnsi="Cambria Math"/>
                    </w:rPr>
                    <m:t>t</m:t>
                  </m:r>
                </m:e>
              </m:d>
              <m:r>
                <w:rPr>
                  <w:rFonts w:ascii="Cambria Math" w:hAnsi="Cambria Math"/>
                </w:rPr>
                <m:t>,u(t)</m:t>
              </m:r>
            </m:e>
          </m:d>
          <m:r>
            <w:rPr>
              <w:rFonts w:ascii="Cambria Math" w:hAnsi="Cambria Math"/>
            </w:rPr>
            <m:t xml:space="preserve"> dW</m:t>
          </m:r>
        </m:oMath>
      </m:oMathPara>
    </w:p>
    <w:p w:rsidR="002429F5" w:rsidRDefault="002429F5" w:rsidP="002429F5"/>
    <w:p w:rsidR="002429F5" w:rsidRPr="002A5A86" w:rsidRDefault="002429F5" w:rsidP="002429F5">
      <m:oMathPara>
        <m:oMath>
          <m:r>
            <w:rPr>
              <w:rFonts w:ascii="Cambria Math" w:hAnsi="Cambria Math"/>
            </w:rPr>
            <m:t xml:space="preserve">LV= </m:t>
          </m:r>
          <m:f>
            <m:fPr>
              <m:ctrlPr>
                <w:rPr>
                  <w:rFonts w:ascii="Cambria Math" w:hAnsi="Cambria Math"/>
                  <w:i/>
                </w:rPr>
              </m:ctrlPr>
            </m:fPr>
            <m:num>
              <m:r>
                <w:rPr>
                  <w:rFonts w:ascii="Cambria Math" w:hAnsi="Cambria Math"/>
                </w:rPr>
                <m:t>∂V</m:t>
              </m:r>
            </m:num>
            <m:den>
              <m:r>
                <w:rPr>
                  <w:rFonts w:ascii="Cambria Math" w:hAnsi="Cambria Math"/>
                </w:rPr>
                <m:t>∂t</m:t>
              </m:r>
            </m:den>
          </m:f>
          <m:r>
            <w:rPr>
              <w:rFonts w:ascii="Cambria Math" w:hAnsi="Cambria Math"/>
            </w:rPr>
            <m:t>+</m:t>
          </m:r>
          <m:nary>
            <m:naryPr>
              <m:chr m:val="∑"/>
              <m:limLoc m:val="undOvr"/>
              <m:ctrlPr>
                <w:rPr>
                  <w:rFonts w:ascii="Cambria Math" w:hAnsi="Cambria Math"/>
                  <w:i/>
                  <w:iCs/>
                </w:rPr>
              </m:ctrlPr>
            </m:naryPr>
            <m:sub>
              <m:r>
                <w:rPr>
                  <w:rFonts w:ascii="Cambria Math" w:hAnsi="Cambria Math"/>
                </w:rPr>
                <m:t>i=1</m:t>
              </m:r>
            </m:sub>
            <m:sup>
              <m:r>
                <w:rPr>
                  <w:rFonts w:ascii="Cambria Math" w:hAnsi="Cambria Math"/>
                </w:rPr>
                <m:t>4</m:t>
              </m:r>
            </m:sup>
            <m:e>
              <m:sSub>
                <m:sSubPr>
                  <m:ctrlPr>
                    <w:rPr>
                      <w:rFonts w:ascii="Cambria Math" w:hAnsi="Cambria Math"/>
                      <w:i/>
                    </w:rPr>
                  </m:ctrlPr>
                </m:sSubPr>
                <m:e>
                  <m:r>
                    <w:rPr>
                      <w:rFonts w:ascii="Cambria Math" w:hAnsi="Cambria Math"/>
                    </w:rPr>
                    <m:t>b</m:t>
                  </m:r>
                </m:e>
                <m:sub>
                  <m:r>
                    <w:rPr>
                      <w:rFonts w:ascii="Cambria Math" w:hAnsi="Cambria Math"/>
                    </w:rPr>
                    <m:t>i</m:t>
                  </m:r>
                </m:sub>
              </m:sSub>
              <m:d>
                <m:dPr>
                  <m:ctrlPr>
                    <w:rPr>
                      <w:rFonts w:ascii="Cambria Math" w:hAnsi="Cambria Math"/>
                      <w:i/>
                      <w:iCs/>
                    </w:rPr>
                  </m:ctrlPr>
                </m:dPr>
                <m:e>
                  <m:r>
                    <w:rPr>
                      <w:rFonts w:ascii="Cambria Math" w:hAnsi="Cambria Math"/>
                    </w:rPr>
                    <m:t>t,x,u</m:t>
                  </m:r>
                </m:e>
              </m:d>
              <m:f>
                <m:fPr>
                  <m:ctrlPr>
                    <w:rPr>
                      <w:rFonts w:ascii="Cambria Math" w:hAnsi="Cambria Math"/>
                      <w:i/>
                    </w:rPr>
                  </m:ctrlPr>
                </m:fPr>
                <m:num>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r>
                <w:rPr>
                  <w:rFonts w:ascii="Cambria Math" w:hAnsi="Cambria Math"/>
                </w:rPr>
                <m:t>V</m:t>
              </m:r>
            </m:e>
          </m:nary>
          <m:r>
            <w:rPr>
              <w:rFonts w:ascii="Cambria Math" w:hAnsi="Cambria Math"/>
            </w:rPr>
            <m:t>+</m:t>
          </m:r>
          <m:f>
            <m:fPr>
              <m:ctrlPr>
                <w:rPr>
                  <w:rFonts w:ascii="Cambria Math" w:hAnsi="Cambria Math"/>
                  <w:i/>
                  <w:iCs/>
                </w:rPr>
              </m:ctrlPr>
            </m:fPr>
            <m:num>
              <m:r>
                <w:rPr>
                  <w:rFonts w:ascii="Cambria Math" w:hAnsi="Cambria Math"/>
                </w:rPr>
                <m:t>1</m:t>
              </m:r>
            </m:num>
            <m:den>
              <m:r>
                <w:rPr>
                  <w:rFonts w:ascii="Cambria Math" w:hAnsi="Cambria Math"/>
                </w:rPr>
                <m:t>2</m:t>
              </m:r>
            </m:den>
          </m:f>
          <m:r>
            <w:rPr>
              <w:rFonts w:ascii="Cambria Math" w:hAnsi="Cambria Math"/>
            </w:rPr>
            <m:t xml:space="preserve"> </m:t>
          </m:r>
          <m:nary>
            <m:naryPr>
              <m:chr m:val="∑"/>
              <m:limLoc m:val="undOvr"/>
              <m:ctrlPr>
                <w:rPr>
                  <w:rFonts w:ascii="Cambria Math" w:hAnsi="Cambria Math"/>
                  <w:i/>
                  <w:iCs/>
                </w:rPr>
              </m:ctrlPr>
            </m:naryPr>
            <m:sub>
              <m:r>
                <w:rPr>
                  <w:rFonts w:ascii="Cambria Math" w:hAnsi="Cambria Math"/>
                </w:rPr>
                <m:t>i,j=1</m:t>
              </m:r>
            </m:sub>
            <m:sup>
              <m:r>
                <w:rPr>
                  <w:rFonts w:ascii="Cambria Math" w:hAnsi="Cambria Math"/>
                </w:rPr>
                <m:t>4</m:t>
              </m:r>
            </m:sup>
            <m:e>
              <m:sSub>
                <m:sSubPr>
                  <m:ctrlPr>
                    <w:rPr>
                      <w:rFonts w:ascii="Cambria Math" w:hAnsi="Cambria Math"/>
                      <w:i/>
                    </w:rPr>
                  </m:ctrlPr>
                </m:sSubPr>
                <m:e>
                  <m:d>
                    <m:dPr>
                      <m:begChr m:val="["/>
                      <m:endChr m:val="]"/>
                      <m:ctrlPr>
                        <w:rPr>
                          <w:rFonts w:ascii="Cambria Math" w:hAnsi="Cambria Math"/>
                          <w:i/>
                        </w:rPr>
                      </m:ctrlPr>
                    </m:dPr>
                    <m:e>
                      <m:r>
                        <w:rPr>
                          <w:rFonts w:ascii="Cambria Math" w:hAnsi="Cambria Math"/>
                        </w:rPr>
                        <m:t>σ</m:t>
                      </m:r>
                      <m:d>
                        <m:dPr>
                          <m:ctrlPr>
                            <w:rPr>
                              <w:rFonts w:ascii="Cambria Math" w:hAnsi="Cambria Math"/>
                              <w:i/>
                              <w:iCs/>
                            </w:rPr>
                          </m:ctrlPr>
                        </m:dPr>
                        <m:e>
                          <m:r>
                            <w:rPr>
                              <w:rFonts w:ascii="Cambria Math" w:hAnsi="Cambria Math"/>
                            </w:rPr>
                            <m:t>t,x,u</m:t>
                          </m:r>
                        </m:e>
                      </m:d>
                      <m:sSup>
                        <m:sSupPr>
                          <m:ctrlPr>
                            <w:rPr>
                              <w:rFonts w:ascii="Cambria Math" w:hAnsi="Cambria Math"/>
                              <w:i/>
                              <w:iCs/>
                            </w:rPr>
                          </m:ctrlPr>
                        </m:sSupPr>
                        <m:e>
                          <m:r>
                            <w:rPr>
                              <w:rFonts w:ascii="Cambria Math" w:hAnsi="Cambria Math"/>
                            </w:rPr>
                            <m:t>σ</m:t>
                          </m:r>
                          <m:d>
                            <m:dPr>
                              <m:ctrlPr>
                                <w:rPr>
                                  <w:rFonts w:ascii="Cambria Math" w:hAnsi="Cambria Math"/>
                                  <w:i/>
                                  <w:iCs/>
                                </w:rPr>
                              </m:ctrlPr>
                            </m:dPr>
                            <m:e>
                              <m:r>
                                <w:rPr>
                                  <w:rFonts w:ascii="Cambria Math" w:hAnsi="Cambria Math"/>
                                </w:rPr>
                                <m:t>t,x,u</m:t>
                              </m:r>
                            </m:e>
                          </m:d>
                        </m:e>
                        <m:sup>
                          <m:r>
                            <w:rPr>
                              <w:rFonts w:ascii="Cambria Math" w:hAnsi="Cambria Math"/>
                            </w:rPr>
                            <m:t>t</m:t>
                          </m:r>
                        </m:sup>
                      </m:sSup>
                    </m:e>
                  </m:d>
                </m:e>
                <m:sub>
                  <m:r>
                    <w:rPr>
                      <w:rFonts w:ascii="Cambria Math" w:hAnsi="Cambria Math"/>
                    </w:rPr>
                    <m:t>ij</m:t>
                  </m:r>
                </m:sub>
              </m:sSub>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V</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e>
          </m:nary>
        </m:oMath>
      </m:oMathPara>
    </w:p>
    <w:p w:rsidR="002429F5" w:rsidRDefault="002429F5" w:rsidP="002429F5">
      <w:pPr>
        <w:jc w:val="both"/>
        <w:rPr>
          <w:rFonts w:ascii="Arial" w:hAnsi="Arial" w:cs="Arial"/>
          <w:iCs/>
          <w:color w:val="000000"/>
        </w:rPr>
      </w:pPr>
      <w:r>
        <w:rPr>
          <w:rFonts w:ascii="Arial" w:hAnsi="Arial" w:cs="Arial"/>
          <w:iCs/>
          <w:color w:val="000000"/>
        </w:rPr>
        <w:t>where</w:t>
      </w:r>
    </w:p>
    <w:p w:rsidR="002429F5" w:rsidRDefault="002429F5" w:rsidP="002429F5">
      <w:pPr>
        <w:jc w:val="both"/>
        <w:rPr>
          <w:rFonts w:ascii="Arial" w:hAnsi="Arial" w:cs="Arial"/>
          <w:iCs/>
          <w:color w:val="000000"/>
        </w:rPr>
      </w:pPr>
    </w:p>
    <w:p w:rsidR="002429F5" w:rsidRPr="002A5A86" w:rsidRDefault="002429F5" w:rsidP="002429F5">
      <w:pPr>
        <w:jc w:val="both"/>
        <w:rPr>
          <w:rFonts w:ascii="Arial" w:hAnsi="Arial" w:cs="Arial"/>
          <w:iCs/>
          <w:color w:val="000000"/>
        </w:rPr>
      </w:pPr>
      <m:oMathPara>
        <m:oMath>
          <m:r>
            <w:rPr>
              <w:rFonts w:ascii="Cambria Math" w:hAnsi="Cambria Math" w:cs="Arial"/>
              <w:color w:val="000000"/>
            </w:rPr>
            <m:t>b=</m:t>
          </m:r>
          <m:d>
            <m:dPr>
              <m:ctrlPr>
                <w:rPr>
                  <w:rFonts w:ascii="Cambria Math" w:hAnsi="Cambria Math" w:cs="Arial"/>
                  <w:bCs/>
                  <w:i/>
                  <w:iCs/>
                  <w:color w:val="000000"/>
                </w:rPr>
              </m:ctrlPr>
            </m:dPr>
            <m:e>
              <m:m>
                <m:mPr>
                  <m:mcs>
                    <m:mc>
                      <m:mcPr>
                        <m:count m:val="2"/>
                        <m:mcJc m:val="center"/>
                      </m:mcPr>
                    </m:mc>
                  </m:mcs>
                  <m:ctrlPr>
                    <w:rPr>
                      <w:rFonts w:ascii="Cambria Math" w:hAnsi="Cambria Math" w:cs="Arial"/>
                      <w:bCs/>
                      <w:i/>
                      <w:iCs/>
                      <w:color w:val="000000"/>
                    </w:rPr>
                  </m:ctrlPr>
                </m:mPr>
                <m:mr>
                  <m:e>
                    <m:m>
                      <m:mPr>
                        <m:mcs>
                          <m:mc>
                            <m:mcPr>
                              <m:count m:val="3"/>
                              <m:mcJc m:val="center"/>
                            </m:mcPr>
                          </m:mc>
                        </m:mcs>
                        <m:ctrlPr>
                          <w:rPr>
                            <w:rFonts w:ascii="Cambria Math" w:hAnsi="Cambria Math" w:cs="Arial"/>
                            <w:bCs/>
                            <w:i/>
                            <w:iCs/>
                            <w:color w:val="000000"/>
                          </w:rPr>
                        </m:ctrlPr>
                      </m:mPr>
                      <m:mr>
                        <m:e>
                          <m:r>
                            <w:rPr>
                              <w:rFonts w:ascii="Cambria Math" w:hAnsi="Cambria Math" w:cs="Arial"/>
                              <w:color w:val="000000"/>
                            </w:rPr>
                            <m:t>0</m:t>
                          </m:r>
                        </m:e>
                        <m:e>
                          <m:r>
                            <w:rPr>
                              <w:rFonts w:ascii="Cambria Math" w:hAnsi="Cambria Math" w:cs="Arial"/>
                              <w:color w:val="000000"/>
                            </w:rPr>
                            <m:t>0</m:t>
                          </m:r>
                        </m:e>
                        <m:e>
                          <m:r>
                            <w:rPr>
                              <w:rFonts w:ascii="Cambria Math" w:hAnsi="Cambria Math" w:cs="Arial"/>
                              <w:color w:val="000000"/>
                            </w:rPr>
                            <m:t>-1</m:t>
                          </m:r>
                        </m:e>
                      </m:mr>
                      <m:mr>
                        <m:e>
                          <m:r>
                            <w:rPr>
                              <w:rFonts w:ascii="Cambria Math" w:hAnsi="Cambria Math" w:cs="Arial"/>
                              <w:color w:val="000000"/>
                            </w:rPr>
                            <m:t>0</m:t>
                          </m:r>
                        </m:e>
                        <m:e>
                          <m:r>
                            <w:rPr>
                              <w:rFonts w:ascii="Cambria Math" w:hAnsi="Cambria Math" w:cs="Arial"/>
                              <w:color w:val="000000"/>
                            </w:rPr>
                            <m:t>0</m:t>
                          </m:r>
                        </m:e>
                        <m:e>
                          <m:r>
                            <w:rPr>
                              <w:rFonts w:ascii="Cambria Math" w:hAnsi="Cambria Math" w:cs="Arial"/>
                              <w:color w:val="000000"/>
                            </w:rPr>
                            <m:t>0</m:t>
                          </m:r>
                        </m:e>
                      </m:mr>
                      <m:mr>
                        <m:e>
                          <m:m>
                            <m:mPr>
                              <m:mcs>
                                <m:mc>
                                  <m:mcPr>
                                    <m:count m:val="1"/>
                                    <m:mcJc m:val="center"/>
                                  </m:mcPr>
                                </m:mc>
                              </m:mcs>
                              <m:ctrlPr>
                                <w:rPr>
                                  <w:rFonts w:ascii="Cambria Math" w:hAnsi="Cambria Math" w:cs="Arial"/>
                                  <w:bCs/>
                                  <w:i/>
                                  <w:iCs/>
                                  <w:color w:val="000000"/>
                                </w:rPr>
                              </m:ctrlPr>
                            </m:mPr>
                            <m:mr>
                              <m:e>
                                <m:r>
                                  <w:rPr>
                                    <w:rFonts w:ascii="Cambria Math" w:hAnsi="Cambria Math" w:cs="Arial"/>
                                    <w:color w:val="000000"/>
                                  </w:rPr>
                                  <m:t>1</m:t>
                                </m:r>
                              </m:e>
                            </m:mr>
                            <m:mr>
                              <m:e>
                                <m:r>
                                  <w:rPr>
                                    <w:rFonts w:ascii="Cambria Math" w:hAnsi="Cambria Math" w:cs="Arial"/>
                                    <w:color w:val="000000"/>
                                  </w:rPr>
                                  <m:t>0</m:t>
                                </m:r>
                              </m:e>
                            </m:mr>
                          </m:m>
                        </m:e>
                        <m:e>
                          <m:m>
                            <m:mPr>
                              <m:mcs>
                                <m:mc>
                                  <m:mcPr>
                                    <m:count m:val="1"/>
                                    <m:mcJc m:val="center"/>
                                  </m:mcPr>
                                </m:mc>
                              </m:mcs>
                              <m:ctrlPr>
                                <w:rPr>
                                  <w:rFonts w:ascii="Cambria Math" w:hAnsi="Cambria Math" w:cs="Arial"/>
                                  <w:bCs/>
                                  <w:i/>
                                  <w:iCs/>
                                  <w:color w:val="000000"/>
                                </w:rPr>
                              </m:ctrlPr>
                            </m:mPr>
                            <m:mr>
                              <m:e>
                                <m:r>
                                  <w:rPr>
                                    <w:rFonts w:ascii="Cambria Math" w:hAnsi="Cambria Math" w:cs="Arial"/>
                                    <w:color w:val="000000"/>
                                  </w:rPr>
                                  <m:t>0</m:t>
                                </m:r>
                              </m:e>
                            </m:mr>
                            <m:mr>
                              <m:e>
                                <m:r>
                                  <w:rPr>
                                    <w:rFonts w:ascii="Cambria Math" w:hAnsi="Cambria Math" w:cs="Arial"/>
                                    <w:color w:val="000000"/>
                                  </w:rPr>
                                  <m:t>-1</m:t>
                                </m:r>
                              </m:e>
                            </m:mr>
                          </m:m>
                        </m:e>
                        <m:e>
                          <m:m>
                            <m:mPr>
                              <m:mcs>
                                <m:mc>
                                  <m:mcPr>
                                    <m:count m:val="1"/>
                                    <m:mcJc m:val="center"/>
                                  </m:mcPr>
                                </m:mc>
                              </m:mcs>
                              <m:ctrlPr>
                                <w:rPr>
                                  <w:rFonts w:ascii="Cambria Math" w:hAnsi="Cambria Math" w:cs="Arial"/>
                                  <w:bCs/>
                                  <w:i/>
                                  <w:iCs/>
                                  <w:color w:val="000000"/>
                                </w:rPr>
                              </m:ctrlPr>
                            </m:mPr>
                            <m:mr>
                              <m:e>
                                <m:r>
                                  <w:rPr>
                                    <w:rFonts w:ascii="Cambria Math" w:hAnsi="Cambria Math" w:cs="Arial"/>
                                    <w:color w:val="000000"/>
                                  </w:rPr>
                                  <m:t>0</m:t>
                                </m:r>
                              </m:e>
                            </m:mr>
                            <m:mr>
                              <m:e>
                                <m:r>
                                  <w:rPr>
                                    <w:rFonts w:ascii="Cambria Math" w:hAnsi="Cambria Math" w:cs="Arial"/>
                                    <w:color w:val="000000"/>
                                  </w:rPr>
                                  <m:t>0</m:t>
                                </m:r>
                              </m:e>
                            </m:mr>
                          </m:m>
                        </m:e>
                      </m:mr>
                    </m:m>
                  </m:e>
                  <m:e>
                    <m:m>
                      <m:mPr>
                        <m:mcs>
                          <m:mc>
                            <m:mcPr>
                              <m:count m:val="1"/>
                              <m:mcJc m:val="center"/>
                            </m:mcPr>
                          </m:mc>
                        </m:mcs>
                        <m:ctrlPr>
                          <w:rPr>
                            <w:rFonts w:ascii="Cambria Math" w:hAnsi="Cambria Math" w:cs="Arial"/>
                            <w:bCs/>
                            <w:i/>
                            <w:iCs/>
                            <w:color w:val="000000"/>
                          </w:rPr>
                        </m:ctrlPr>
                      </m:mPr>
                      <m:mr>
                        <m:e>
                          <m:m>
                            <m:mPr>
                              <m:mcs>
                                <m:mc>
                                  <m:mcPr>
                                    <m:count m:val="1"/>
                                    <m:mcJc m:val="center"/>
                                  </m:mcPr>
                                </m:mc>
                              </m:mcs>
                              <m:ctrlPr>
                                <w:rPr>
                                  <w:rFonts w:ascii="Cambria Math" w:hAnsi="Cambria Math" w:cs="Arial"/>
                                  <w:bCs/>
                                  <w:i/>
                                  <w:iCs/>
                                  <w:color w:val="000000"/>
                                </w:rPr>
                              </m:ctrlPr>
                            </m:mPr>
                            <m:mr>
                              <m:e>
                                <m:r>
                                  <w:rPr>
                                    <w:rFonts w:ascii="Cambria Math" w:hAnsi="Cambria Math" w:cs="Arial"/>
                                    <w:color w:val="000000"/>
                                  </w:rPr>
                                  <m:t>0</m:t>
                                </m:r>
                              </m:e>
                            </m:mr>
                            <m:mr>
                              <m:e>
                                <m:r>
                                  <w:rPr>
                                    <w:rFonts w:ascii="Cambria Math" w:hAnsi="Cambria Math" w:cs="Arial"/>
                                    <w:color w:val="000000"/>
                                  </w:rPr>
                                  <m:t>1</m:t>
                                </m:r>
                              </m:e>
                            </m:mr>
                          </m:m>
                        </m:e>
                      </m:mr>
                      <m:mr>
                        <m:e>
                          <m:m>
                            <m:mPr>
                              <m:mcs>
                                <m:mc>
                                  <m:mcPr>
                                    <m:count m:val="1"/>
                                    <m:mcJc m:val="center"/>
                                  </m:mcPr>
                                </m:mc>
                              </m:mcs>
                              <m:ctrlPr>
                                <w:rPr>
                                  <w:rFonts w:ascii="Cambria Math" w:hAnsi="Cambria Math" w:cs="Arial"/>
                                  <w:bCs/>
                                  <w:i/>
                                  <w:iCs/>
                                  <w:color w:val="000000"/>
                                </w:rPr>
                              </m:ctrlPr>
                            </m:mPr>
                            <m:mr>
                              <m:e>
                                <m:r>
                                  <w:rPr>
                                    <w:rFonts w:ascii="Cambria Math" w:hAnsi="Cambria Math" w:cs="Arial"/>
                                    <w:color w:val="000000"/>
                                  </w:rPr>
                                  <m:t>0</m:t>
                                </m:r>
                              </m:e>
                            </m:mr>
                            <m:mr>
                              <m:e>
                                <m:r>
                                  <w:rPr>
                                    <w:rFonts w:ascii="Cambria Math" w:hAnsi="Cambria Math" w:cs="Arial"/>
                                    <w:color w:val="000000"/>
                                  </w:rPr>
                                  <m:t>0</m:t>
                                </m:r>
                              </m:e>
                            </m:mr>
                          </m:m>
                        </m:e>
                      </m:mr>
                    </m:m>
                  </m:e>
                </m:mr>
              </m:m>
              <m:r>
                <w:rPr>
                  <w:rFonts w:ascii="Cambria Math" w:hAnsi="Cambria Math" w:cs="Arial"/>
                  <w:color w:val="000000"/>
                </w:rPr>
                <m:t xml:space="preserve"> </m:t>
              </m:r>
            </m:e>
          </m:d>
          <m:d>
            <m:dPr>
              <m:ctrlPr>
                <w:rPr>
                  <w:rFonts w:ascii="Cambria Math" w:hAnsi="Cambria Math" w:cs="Arial"/>
                  <w:bCs/>
                  <w:i/>
                  <w:iCs/>
                  <w:color w:val="000000"/>
                </w:rPr>
              </m:ctrlPr>
            </m:dPr>
            <m:e>
              <m:m>
                <m:mPr>
                  <m:mcs>
                    <m:mc>
                      <m:mcPr>
                        <m:count m:val="1"/>
                        <m:mcJc m:val="center"/>
                      </m:mcPr>
                    </m:mc>
                  </m:mcs>
                  <m:ctrlPr>
                    <w:rPr>
                      <w:rFonts w:ascii="Cambria Math" w:hAnsi="Cambria Math" w:cs="Arial"/>
                      <w:bCs/>
                      <w:i/>
                      <w:iCs/>
                      <w:color w:val="000000"/>
                    </w:rPr>
                  </m:ctrlPr>
                </m:mPr>
                <m:mr>
                  <m:e>
                    <m:m>
                      <m:mPr>
                        <m:mcs>
                          <m:mc>
                            <m:mcPr>
                              <m:count m:val="1"/>
                              <m:mcJc m:val="center"/>
                            </m:mcPr>
                          </m:mc>
                        </m:mcs>
                        <m:ctrlPr>
                          <w:rPr>
                            <w:rFonts w:ascii="Cambria Math" w:hAnsi="Cambria Math" w:cs="Arial"/>
                            <w:bCs/>
                            <w:i/>
                            <w:iCs/>
                            <w:color w:val="000000"/>
                          </w:rPr>
                        </m:ctrlPr>
                      </m:mPr>
                      <m:mr>
                        <m:e>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1</m:t>
                              </m:r>
                            </m:sub>
                          </m:sSub>
                        </m:e>
                      </m:mr>
                      <m:mr>
                        <m:e>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2</m:t>
                              </m:r>
                            </m:sub>
                          </m:sSub>
                        </m:e>
                      </m:mr>
                    </m:m>
                  </m:e>
                </m:mr>
                <m:mr>
                  <m:e>
                    <m:m>
                      <m:mPr>
                        <m:mcs>
                          <m:mc>
                            <m:mcPr>
                              <m:count m:val="1"/>
                              <m:mcJc m:val="center"/>
                            </m:mcPr>
                          </m:mc>
                        </m:mcs>
                        <m:ctrlPr>
                          <w:rPr>
                            <w:rFonts w:ascii="Cambria Math" w:hAnsi="Cambria Math" w:cs="Arial"/>
                            <w:bCs/>
                            <w:i/>
                            <w:iCs/>
                            <w:color w:val="000000"/>
                          </w:rPr>
                        </m:ctrlPr>
                      </m:mPr>
                      <m:mr>
                        <m:e>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3</m:t>
                              </m:r>
                            </m:sub>
                          </m:sSub>
                        </m:e>
                      </m:mr>
                      <m:mr>
                        <m:e>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4</m:t>
                              </m:r>
                            </m:sub>
                          </m:sSub>
                        </m:e>
                      </m:mr>
                    </m:m>
                  </m:e>
                </m:mr>
              </m:m>
            </m:e>
          </m:d>
          <m:r>
            <w:rPr>
              <w:rFonts w:ascii="Cambria Math" w:hAnsi="Cambria Math" w:cs="Arial"/>
              <w:color w:val="000000"/>
            </w:rPr>
            <m:t>,σ=</m:t>
          </m:r>
          <m:d>
            <m:dPr>
              <m:ctrlPr>
                <w:rPr>
                  <w:rFonts w:ascii="Cambria Math" w:hAnsi="Cambria Math" w:cs="Arial"/>
                  <w:bCs/>
                  <w:i/>
                  <w:iCs/>
                  <w:color w:val="000000"/>
                </w:rPr>
              </m:ctrlPr>
            </m:dPr>
            <m:e>
              <m:m>
                <m:mPr>
                  <m:mcs>
                    <m:mc>
                      <m:mcPr>
                        <m:count m:val="2"/>
                        <m:mcJc m:val="center"/>
                      </m:mcPr>
                    </m:mc>
                  </m:mcs>
                  <m:ctrlPr>
                    <w:rPr>
                      <w:rFonts w:ascii="Cambria Math" w:hAnsi="Cambria Math" w:cs="Arial"/>
                      <w:bCs/>
                      <w:i/>
                      <w:iCs/>
                      <w:color w:val="000000"/>
                    </w:rPr>
                  </m:ctrlPr>
                </m:mPr>
                <m:mr>
                  <m:e>
                    <m:m>
                      <m:mPr>
                        <m:mcs>
                          <m:mc>
                            <m:mcPr>
                              <m:count m:val="3"/>
                              <m:mcJc m:val="center"/>
                            </m:mcPr>
                          </m:mc>
                        </m:mcs>
                        <m:ctrlPr>
                          <w:rPr>
                            <w:rFonts w:ascii="Cambria Math" w:hAnsi="Cambria Math" w:cs="Arial"/>
                            <w:bCs/>
                            <w:i/>
                            <w:iCs/>
                            <w:color w:val="000000"/>
                          </w:rPr>
                        </m:ctrlPr>
                      </m:mPr>
                      <m:mr>
                        <m:e>
                          <m:r>
                            <w:rPr>
                              <w:rFonts w:ascii="Cambria Math" w:hAnsi="Cambria Math" w:cs="Arial"/>
                              <w:color w:val="000000"/>
                            </w:rPr>
                            <m:t>0</m:t>
                          </m:r>
                        </m:e>
                        <m:e>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2</m:t>
                              </m:r>
                            </m:sub>
                          </m:sSub>
                        </m:e>
                        <m:e>
                          <m:r>
                            <w:rPr>
                              <w:rFonts w:ascii="Cambria Math" w:hAnsi="Cambria Math" w:cs="Arial"/>
                              <w:color w:val="000000"/>
                            </w:rPr>
                            <m:t>0</m:t>
                          </m:r>
                        </m:e>
                      </m:mr>
                      <m:mr>
                        <m:e>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2</m:t>
                              </m:r>
                            </m:sub>
                          </m:sSub>
                        </m:e>
                        <m:e>
                          <m:r>
                            <w:rPr>
                              <w:rFonts w:ascii="Cambria Math" w:hAnsi="Cambria Math" w:cs="Arial"/>
                              <w:color w:val="000000"/>
                            </w:rPr>
                            <m:t>0</m:t>
                          </m:r>
                        </m:e>
                        <m:e>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e>
                      </m:mr>
                      <m:mr>
                        <m:e>
                          <m:m>
                            <m:mPr>
                              <m:mcs>
                                <m:mc>
                                  <m:mcPr>
                                    <m:count m:val="1"/>
                                    <m:mcJc m:val="center"/>
                                  </m:mcPr>
                                </m:mc>
                              </m:mcs>
                              <m:ctrlPr>
                                <w:rPr>
                                  <w:rFonts w:ascii="Cambria Math" w:hAnsi="Cambria Math" w:cs="Arial"/>
                                  <w:bCs/>
                                  <w:i/>
                                  <w:iCs/>
                                  <w:color w:val="000000"/>
                                </w:rPr>
                              </m:ctrlPr>
                            </m:mPr>
                            <m:mr>
                              <m:e>
                                <m:r>
                                  <w:rPr>
                                    <w:rFonts w:ascii="Cambria Math" w:hAnsi="Cambria Math" w:cs="Arial"/>
                                    <w:color w:val="000000"/>
                                  </w:rPr>
                                  <m:t>0</m:t>
                                </m:r>
                              </m:e>
                            </m:mr>
                            <m:mr>
                              <m:e>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e>
                            </m:mr>
                          </m:m>
                        </m:e>
                        <m:e>
                          <m:m>
                            <m:mPr>
                              <m:mcs>
                                <m:mc>
                                  <m:mcPr>
                                    <m:count m:val="1"/>
                                    <m:mcJc m:val="center"/>
                                  </m:mcPr>
                                </m:mc>
                              </m:mcs>
                              <m:ctrlPr>
                                <w:rPr>
                                  <w:rFonts w:ascii="Cambria Math" w:hAnsi="Cambria Math" w:cs="Arial"/>
                                  <w:bCs/>
                                  <w:i/>
                                  <w:iCs/>
                                  <w:color w:val="000000"/>
                                </w:rPr>
                              </m:ctrlPr>
                            </m:mPr>
                            <m:mr>
                              <m:e>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e>
                            </m:mr>
                            <m:mr>
                              <m:e>
                                <m:r>
                                  <w:rPr>
                                    <w:rFonts w:ascii="Cambria Math" w:hAnsi="Cambria Math" w:cs="Arial"/>
                                    <w:color w:val="000000"/>
                                  </w:rPr>
                                  <m:t>0</m:t>
                                </m:r>
                              </m:e>
                            </m:mr>
                          </m:m>
                        </m:e>
                        <m:e>
                          <m:m>
                            <m:mPr>
                              <m:mcs>
                                <m:mc>
                                  <m:mcPr>
                                    <m:count m:val="1"/>
                                    <m:mcJc m:val="center"/>
                                  </m:mcPr>
                                </m:mc>
                              </m:mcs>
                              <m:ctrlPr>
                                <w:rPr>
                                  <w:rFonts w:ascii="Cambria Math" w:hAnsi="Cambria Math" w:cs="Arial"/>
                                  <w:bCs/>
                                  <w:i/>
                                  <w:iCs/>
                                  <w:color w:val="000000"/>
                                </w:rPr>
                              </m:ctrlPr>
                            </m:mPr>
                            <m:mr>
                              <m:e>
                                <m:r>
                                  <w:rPr>
                                    <w:rFonts w:ascii="Cambria Math" w:hAnsi="Cambria Math" w:cs="Arial"/>
                                    <w:color w:val="000000"/>
                                  </w:rPr>
                                  <m:t>0</m:t>
                                </m:r>
                              </m:e>
                            </m:mr>
                            <m:mr>
                              <m:e>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2</m:t>
                                    </m:r>
                                  </m:sub>
                                </m:sSub>
                              </m:e>
                            </m:mr>
                          </m:m>
                        </m:e>
                      </m:mr>
                    </m:m>
                  </m:e>
                  <m:e>
                    <m:m>
                      <m:mPr>
                        <m:mcs>
                          <m:mc>
                            <m:mcPr>
                              <m:count m:val="1"/>
                              <m:mcJc m:val="center"/>
                            </m:mcPr>
                          </m:mc>
                        </m:mcs>
                        <m:ctrlPr>
                          <w:rPr>
                            <w:rFonts w:ascii="Cambria Math" w:hAnsi="Cambria Math" w:cs="Arial"/>
                            <w:bCs/>
                            <w:i/>
                            <w:iCs/>
                            <w:color w:val="000000"/>
                          </w:rPr>
                        </m:ctrlPr>
                      </m:mPr>
                      <m:mr>
                        <m:e>
                          <m:m>
                            <m:mPr>
                              <m:mcs>
                                <m:mc>
                                  <m:mcPr>
                                    <m:count m:val="1"/>
                                    <m:mcJc m:val="center"/>
                                  </m:mcPr>
                                </m:mc>
                              </m:mcs>
                              <m:ctrlPr>
                                <w:rPr>
                                  <w:rFonts w:ascii="Cambria Math" w:hAnsi="Cambria Math" w:cs="Arial"/>
                                  <w:bCs/>
                                  <w:i/>
                                  <w:iCs/>
                                  <w:color w:val="000000"/>
                                </w:rPr>
                              </m:ctrlPr>
                            </m:mPr>
                            <m:mr>
                              <m:e>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e>
                            </m:mr>
                            <m:mr>
                              <m:e>
                                <m:r>
                                  <w:rPr>
                                    <w:rFonts w:ascii="Cambria Math" w:hAnsi="Cambria Math" w:cs="Arial"/>
                                    <w:color w:val="000000"/>
                                  </w:rPr>
                                  <m:t>0</m:t>
                                </m:r>
                              </m:e>
                            </m:mr>
                          </m:m>
                        </m:e>
                      </m:mr>
                      <m:mr>
                        <m:e>
                          <m:m>
                            <m:mPr>
                              <m:mcs>
                                <m:mc>
                                  <m:mcPr>
                                    <m:count m:val="1"/>
                                    <m:mcJc m:val="center"/>
                                  </m:mcPr>
                                </m:mc>
                              </m:mcs>
                              <m:ctrlPr>
                                <w:rPr>
                                  <w:rFonts w:ascii="Cambria Math" w:hAnsi="Cambria Math" w:cs="Arial"/>
                                  <w:bCs/>
                                  <w:i/>
                                  <w:iCs/>
                                  <w:color w:val="000000"/>
                                </w:rPr>
                              </m:ctrlPr>
                            </m:mPr>
                            <m:mr>
                              <m:e>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2</m:t>
                                    </m:r>
                                  </m:sub>
                                </m:sSub>
                              </m:e>
                            </m:mr>
                            <m:mr>
                              <m:e>
                                <m:r>
                                  <w:rPr>
                                    <w:rFonts w:ascii="Cambria Math" w:hAnsi="Cambria Math" w:cs="Arial"/>
                                    <w:color w:val="000000"/>
                                  </w:rPr>
                                  <m:t>0</m:t>
                                </m:r>
                              </m:e>
                            </m:mr>
                          </m:m>
                        </m:e>
                      </m:mr>
                    </m:m>
                  </m:e>
                </m:mr>
              </m:m>
              <m:r>
                <w:rPr>
                  <w:rFonts w:ascii="Cambria Math" w:hAnsi="Cambria Math" w:cs="Arial"/>
                  <w:color w:val="000000"/>
                </w:rPr>
                <m:t xml:space="preserve"> </m:t>
              </m:r>
            </m:e>
          </m:d>
          <m:d>
            <m:dPr>
              <m:ctrlPr>
                <w:rPr>
                  <w:rFonts w:ascii="Cambria Math" w:hAnsi="Cambria Math" w:cs="Arial"/>
                  <w:bCs/>
                  <w:i/>
                  <w:iCs/>
                  <w:color w:val="000000"/>
                </w:rPr>
              </m:ctrlPr>
            </m:dPr>
            <m:e>
              <m:m>
                <m:mPr>
                  <m:mcs>
                    <m:mc>
                      <m:mcPr>
                        <m:count m:val="1"/>
                        <m:mcJc m:val="center"/>
                      </m:mcPr>
                    </m:mc>
                  </m:mcs>
                  <m:ctrlPr>
                    <w:rPr>
                      <w:rFonts w:ascii="Cambria Math" w:hAnsi="Cambria Math" w:cs="Arial"/>
                      <w:bCs/>
                      <w:i/>
                      <w:iCs/>
                      <w:color w:val="000000"/>
                    </w:rPr>
                  </m:ctrlPr>
                </m:mPr>
                <m:mr>
                  <m:e>
                    <m:m>
                      <m:mPr>
                        <m:mcs>
                          <m:mc>
                            <m:mcPr>
                              <m:count m:val="1"/>
                              <m:mcJc m:val="center"/>
                            </m:mcPr>
                          </m:mc>
                        </m:mcs>
                        <m:ctrlPr>
                          <w:rPr>
                            <w:rFonts w:ascii="Cambria Math" w:hAnsi="Cambria Math" w:cs="Arial"/>
                            <w:bCs/>
                            <w:i/>
                            <w:iCs/>
                            <w:color w:val="000000"/>
                          </w:rPr>
                        </m:ctrlPr>
                      </m:mPr>
                      <m:mr>
                        <m:e>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1</m:t>
                              </m:r>
                            </m:sub>
                          </m:sSub>
                        </m:e>
                      </m:mr>
                      <m:mr>
                        <m:e>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2</m:t>
                              </m:r>
                            </m:sub>
                          </m:sSub>
                        </m:e>
                      </m:mr>
                    </m:m>
                  </m:e>
                </m:mr>
                <m:mr>
                  <m:e>
                    <m:m>
                      <m:mPr>
                        <m:mcs>
                          <m:mc>
                            <m:mcPr>
                              <m:count m:val="1"/>
                              <m:mcJc m:val="center"/>
                            </m:mcPr>
                          </m:mc>
                        </m:mcs>
                        <m:ctrlPr>
                          <w:rPr>
                            <w:rFonts w:ascii="Cambria Math" w:hAnsi="Cambria Math" w:cs="Arial"/>
                            <w:bCs/>
                            <w:i/>
                            <w:iCs/>
                            <w:color w:val="000000"/>
                          </w:rPr>
                        </m:ctrlPr>
                      </m:mPr>
                      <m:mr>
                        <m:e>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3</m:t>
                              </m:r>
                            </m:sub>
                          </m:sSub>
                        </m:e>
                      </m:mr>
                      <m:mr>
                        <m:e>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4</m:t>
                              </m:r>
                            </m:sub>
                          </m:sSub>
                        </m:e>
                      </m:mr>
                    </m:m>
                  </m:e>
                </m:mr>
              </m:m>
            </m:e>
          </m:d>
        </m:oMath>
      </m:oMathPara>
    </w:p>
    <w:p w:rsidR="002429F5" w:rsidRDefault="002429F5" w:rsidP="002429F5">
      <w:pPr>
        <w:jc w:val="both"/>
        <w:rPr>
          <w:rFonts w:ascii="Arial" w:hAnsi="Arial" w:cs="Arial"/>
          <w:iCs/>
          <w:color w:val="000000"/>
        </w:rPr>
      </w:pPr>
      <w:r>
        <w:rPr>
          <w:rFonts w:ascii="Arial" w:hAnsi="Arial" w:cs="Arial"/>
          <w:iCs/>
          <w:color w:val="000000"/>
        </w:rPr>
        <w:t xml:space="preserve">So, </w:t>
      </w:r>
    </w:p>
    <w:p w:rsidR="002429F5" w:rsidRDefault="002429F5" w:rsidP="002429F5">
      <w:pPr>
        <w:jc w:val="both"/>
        <w:rPr>
          <w:rFonts w:ascii="Arial" w:hAnsi="Arial" w:cs="Arial"/>
          <w:iCs/>
          <w:color w:val="000000"/>
        </w:rPr>
      </w:pPr>
    </w:p>
    <w:p w:rsidR="002429F5" w:rsidRDefault="001345E4" w:rsidP="002429F5">
      <w:pPr>
        <w:jc w:val="center"/>
        <w:rPr>
          <w:bCs/>
          <w:iCs/>
        </w:rPr>
      </w:pPr>
      <m:oMathPara>
        <m:oMath>
          <m:nary>
            <m:naryPr>
              <m:chr m:val="∑"/>
              <m:limLoc m:val="undOvr"/>
              <m:ctrlPr>
                <w:rPr>
                  <w:rFonts w:ascii="Cambria Math" w:hAnsi="Cambria Math" w:cs="Arial"/>
                  <w:i/>
                  <w:iCs/>
                </w:rPr>
              </m:ctrlPr>
            </m:naryPr>
            <m:sub>
              <m:r>
                <w:rPr>
                  <w:rFonts w:ascii="Cambria Math" w:hAnsi="Cambria Math" w:cs="Arial"/>
                </w:rPr>
                <m:t>i=1</m:t>
              </m:r>
            </m:sub>
            <m:sup>
              <m:r>
                <w:rPr>
                  <w:rFonts w:ascii="Cambria Math" w:hAnsi="Cambria Math" w:cs="Arial"/>
                </w:rPr>
                <m:t>4</m:t>
              </m:r>
            </m:sup>
            <m:e>
              <m:sSub>
                <m:sSubPr>
                  <m:ctrlPr>
                    <w:rPr>
                      <w:rFonts w:ascii="Cambria Math" w:hAnsi="Cambria Math" w:cs="Arial"/>
                      <w:i/>
                    </w:rPr>
                  </m:ctrlPr>
                </m:sSubPr>
                <m:e>
                  <m:r>
                    <w:rPr>
                      <w:rFonts w:ascii="Cambria Math" w:hAnsi="Cambria Math" w:cs="Arial"/>
                    </w:rPr>
                    <m:t>b</m:t>
                  </m:r>
                </m:e>
                <m:sub>
                  <m:r>
                    <w:rPr>
                      <w:rFonts w:ascii="Cambria Math" w:hAnsi="Cambria Math" w:cs="Arial"/>
                    </w:rPr>
                    <m:t>i</m:t>
                  </m:r>
                </m:sub>
              </m:sSub>
              <m:d>
                <m:dPr>
                  <m:ctrlPr>
                    <w:rPr>
                      <w:rFonts w:ascii="Cambria Math" w:hAnsi="Cambria Math" w:cs="Arial"/>
                      <w:i/>
                      <w:iCs/>
                    </w:rPr>
                  </m:ctrlPr>
                </m:dPr>
                <m:e>
                  <m:r>
                    <w:rPr>
                      <w:rFonts w:ascii="Cambria Math" w:hAnsi="Cambria Math" w:cs="Arial"/>
                    </w:rPr>
                    <m:t>t,x,u</m:t>
                  </m:r>
                </m:e>
              </m:d>
              <m:f>
                <m:fPr>
                  <m:ctrlPr>
                    <w:rPr>
                      <w:rFonts w:ascii="Cambria Math" w:hAnsi="Cambria Math" w:cs="Arial"/>
                      <w:i/>
                    </w:rPr>
                  </m:ctrlPr>
                </m:fPr>
                <m:num>
                  <m:r>
                    <w:rPr>
                      <w:rFonts w:ascii="Cambria Math" w:hAnsi="Cambria Math" w:cs="Arial"/>
                    </w:rPr>
                    <m:t>∂</m:t>
                  </m:r>
                </m:num>
                <m:den>
                  <m: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i</m:t>
                      </m:r>
                    </m:sub>
                  </m:sSub>
                </m:den>
              </m:f>
              <m:r>
                <w:rPr>
                  <w:rFonts w:ascii="Cambria Math" w:hAnsi="Cambria Math" w:cs="Arial"/>
                </w:rPr>
                <m:t>V</m:t>
              </m:r>
            </m:e>
          </m:nary>
          <m:r>
            <w:rPr>
              <w:rFonts w:ascii="Cambria Math" w:hAnsi="Cambria Math" w:cs="Arial"/>
            </w:rPr>
            <m:t>=2</m:t>
          </m:r>
          <m:d>
            <m:dPr>
              <m:ctrlPr>
                <w:rPr>
                  <w:rFonts w:ascii="Cambria Math" w:hAnsi="Cambria Math" w:cs="Arial"/>
                  <w:b/>
                  <w:i/>
                  <w:iCs/>
                </w:rPr>
              </m:ctrlPr>
            </m:dPr>
            <m:e>
              <m:r>
                <m:rPr>
                  <m:sty m:val="bi"/>
                </m:rP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3</m:t>
                  </m:r>
                </m:sub>
              </m:sSub>
              <m:r>
                <m:rPr>
                  <m:sty m:val="bi"/>
                </m:rP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4</m:t>
                  </m:r>
                </m:sub>
              </m:sSub>
              <m:r>
                <m:rPr>
                  <m:sty m:val="bi"/>
                </m:rP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1</m:t>
                  </m:r>
                </m:sub>
              </m:sSub>
              <m:r>
                <m:rPr>
                  <m:sty m:val="bi"/>
                </m:rP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2</m:t>
                  </m:r>
                </m:sub>
              </m:sSub>
            </m:e>
          </m:d>
          <m:d>
            <m:dPr>
              <m:ctrlPr>
                <w:rPr>
                  <w:rFonts w:ascii="Cambria Math" w:hAnsi="Cambria Math" w:cs="Arial"/>
                  <w:bCs/>
                  <w:i/>
                  <w:iCs/>
                </w:rPr>
              </m:ctrlPr>
            </m:dPr>
            <m:e>
              <m:m>
                <m:mPr>
                  <m:mcs>
                    <m:mc>
                      <m:mcPr>
                        <m:count m:val="1"/>
                        <m:mcJc m:val="center"/>
                      </m:mcPr>
                    </m:mc>
                  </m:mcs>
                  <m:ctrlPr>
                    <w:rPr>
                      <w:rFonts w:ascii="Cambria Math" w:hAnsi="Cambria Math" w:cs="Arial"/>
                      <w:bCs/>
                      <w:i/>
                      <w:iCs/>
                    </w:rPr>
                  </m:ctrlPr>
                </m:mPr>
                <m:mr>
                  <m:e>
                    <m:m>
                      <m:mPr>
                        <m:mcs>
                          <m:mc>
                            <m:mcPr>
                              <m:count m:val="1"/>
                              <m:mcJc m:val="center"/>
                            </m:mcPr>
                          </m:mc>
                        </m:mcs>
                        <m:ctrlPr>
                          <w:rPr>
                            <w:rFonts w:ascii="Cambria Math" w:hAnsi="Cambria Math" w:cs="Arial"/>
                            <w:bCs/>
                            <w:i/>
                            <w:iCs/>
                          </w:rPr>
                        </m:ctrlPr>
                      </m:mPr>
                      <m:mr>
                        <m:e>
                          <m:sSub>
                            <m:sSubPr>
                              <m:ctrlPr>
                                <w:rPr>
                                  <w:rFonts w:ascii="Cambria Math" w:hAnsi="Cambria Math" w:cs="Arial"/>
                                  <w:i/>
                                </w:rPr>
                              </m:ctrlPr>
                            </m:sSubPr>
                            <m:e>
                              <m:r>
                                <w:rPr>
                                  <w:rFonts w:ascii="Cambria Math" w:hAnsi="Cambria Math" w:cs="Arial"/>
                                </w:rPr>
                                <m:t>x</m:t>
                              </m:r>
                            </m:e>
                            <m:sub>
                              <m:r>
                                <w:rPr>
                                  <w:rFonts w:ascii="Cambria Math" w:hAnsi="Cambria Math" w:cs="Arial"/>
                                </w:rPr>
                                <m:t>1</m:t>
                              </m:r>
                            </m:sub>
                          </m:sSub>
                        </m:e>
                      </m:mr>
                      <m:mr>
                        <m:e>
                          <m:sSub>
                            <m:sSubPr>
                              <m:ctrlPr>
                                <w:rPr>
                                  <w:rFonts w:ascii="Cambria Math" w:hAnsi="Cambria Math" w:cs="Arial"/>
                                  <w:i/>
                                </w:rPr>
                              </m:ctrlPr>
                            </m:sSubPr>
                            <m:e>
                              <m:r>
                                <w:rPr>
                                  <w:rFonts w:ascii="Cambria Math" w:hAnsi="Cambria Math" w:cs="Arial"/>
                                </w:rPr>
                                <m:t>x</m:t>
                              </m:r>
                            </m:e>
                            <m:sub>
                              <m:r>
                                <w:rPr>
                                  <w:rFonts w:ascii="Cambria Math" w:hAnsi="Cambria Math" w:cs="Arial"/>
                                </w:rPr>
                                <m:t>2</m:t>
                              </m:r>
                            </m:sub>
                          </m:sSub>
                        </m:e>
                      </m:mr>
                    </m:m>
                  </m:e>
                </m:mr>
                <m:mr>
                  <m:e>
                    <m:m>
                      <m:mPr>
                        <m:mcs>
                          <m:mc>
                            <m:mcPr>
                              <m:count m:val="1"/>
                              <m:mcJc m:val="center"/>
                            </m:mcPr>
                          </m:mc>
                        </m:mcs>
                        <m:ctrlPr>
                          <w:rPr>
                            <w:rFonts w:ascii="Cambria Math" w:hAnsi="Cambria Math" w:cs="Arial"/>
                            <w:bCs/>
                            <w:i/>
                            <w:iCs/>
                          </w:rPr>
                        </m:ctrlPr>
                      </m:mPr>
                      <m:mr>
                        <m:e>
                          <m:sSub>
                            <m:sSubPr>
                              <m:ctrlPr>
                                <w:rPr>
                                  <w:rFonts w:ascii="Cambria Math" w:hAnsi="Cambria Math" w:cs="Arial"/>
                                  <w:i/>
                                </w:rPr>
                              </m:ctrlPr>
                            </m:sSubPr>
                            <m:e>
                              <m:r>
                                <w:rPr>
                                  <w:rFonts w:ascii="Cambria Math" w:hAnsi="Cambria Math" w:cs="Arial"/>
                                </w:rPr>
                                <m:t>x</m:t>
                              </m:r>
                            </m:e>
                            <m:sub>
                              <m:r>
                                <w:rPr>
                                  <w:rFonts w:ascii="Cambria Math" w:hAnsi="Cambria Math" w:cs="Arial"/>
                                </w:rPr>
                                <m:t>3</m:t>
                              </m:r>
                            </m:sub>
                          </m:sSub>
                        </m:e>
                      </m:mr>
                      <m:mr>
                        <m:e>
                          <m:sSub>
                            <m:sSubPr>
                              <m:ctrlPr>
                                <w:rPr>
                                  <w:rFonts w:ascii="Cambria Math" w:hAnsi="Cambria Math" w:cs="Arial"/>
                                  <w:i/>
                                </w:rPr>
                              </m:ctrlPr>
                            </m:sSubPr>
                            <m:e>
                              <m:r>
                                <w:rPr>
                                  <w:rFonts w:ascii="Cambria Math" w:hAnsi="Cambria Math" w:cs="Arial"/>
                                </w:rPr>
                                <m:t>x</m:t>
                              </m:r>
                            </m:e>
                            <m:sub>
                              <m:r>
                                <w:rPr>
                                  <w:rFonts w:ascii="Cambria Math" w:hAnsi="Cambria Math" w:cs="Arial"/>
                                </w:rPr>
                                <m:t>4</m:t>
                              </m:r>
                            </m:sub>
                          </m:sSub>
                        </m:e>
                      </m:mr>
                    </m:m>
                  </m:e>
                </m:mr>
              </m:m>
            </m:e>
          </m:d>
          <m:r>
            <w:rPr>
              <w:rFonts w:ascii="Cambria Math" w:hAnsi="Cambria Math" w:cs="Arial"/>
            </w:rPr>
            <m:t>=0</m:t>
          </m:r>
        </m:oMath>
      </m:oMathPara>
    </w:p>
    <w:p w:rsidR="002429F5" w:rsidRDefault="002429F5" w:rsidP="002429F5">
      <w:pPr>
        <w:jc w:val="both"/>
        <w:rPr>
          <w:rFonts w:ascii="Arial" w:hAnsi="Arial" w:cs="Arial"/>
          <w:iCs/>
          <w:color w:val="000000"/>
        </w:rPr>
      </w:pPr>
    </w:p>
    <w:p w:rsidR="002429F5" w:rsidRDefault="002429F5" w:rsidP="002429F5">
      <w:pPr>
        <w:jc w:val="both"/>
        <w:rPr>
          <w:rFonts w:ascii="Arial" w:hAnsi="Arial" w:cs="Arial"/>
          <w:iCs/>
          <w:color w:val="000000"/>
        </w:rPr>
      </w:pPr>
      <w:r>
        <w:rPr>
          <w:rFonts w:ascii="Arial" w:hAnsi="Arial" w:cs="Arial"/>
          <w:iCs/>
          <w:color w:val="000000"/>
        </w:rPr>
        <w:t>and</w:t>
      </w:r>
    </w:p>
    <w:p w:rsidR="002429F5" w:rsidRDefault="002429F5" w:rsidP="002429F5">
      <w:pPr>
        <w:jc w:val="both"/>
        <w:rPr>
          <w:rFonts w:ascii="Arial" w:hAnsi="Arial" w:cs="Arial"/>
          <w:iCs/>
          <w:color w:val="000000"/>
        </w:rPr>
      </w:pPr>
    </w:p>
    <w:p w:rsidR="002429F5" w:rsidRPr="002A5A86" w:rsidRDefault="002429F5" w:rsidP="002429F5">
      <w:pPr>
        <w:jc w:val="both"/>
        <w:rPr>
          <w:rFonts w:ascii="Arial" w:hAnsi="Arial" w:cs="Arial"/>
          <w:bCs/>
          <w:iCs/>
        </w:rPr>
      </w:pPr>
      <m:oMathPara>
        <m:oMathParaPr>
          <m:jc m:val="left"/>
        </m:oMathParaPr>
        <m:oMath>
          <m:r>
            <w:rPr>
              <w:rFonts w:ascii="Cambria Math" w:hAnsi="Cambria Math" w:cs="Arial"/>
            </w:rPr>
            <w:lastRenderedPageBreak/>
            <m:t>σ</m:t>
          </m:r>
          <m:sSup>
            <m:sSupPr>
              <m:ctrlPr>
                <w:rPr>
                  <w:rFonts w:ascii="Cambria Math" w:hAnsi="Cambria Math" w:cs="Arial"/>
                  <w:i/>
                  <w:iCs/>
                </w:rPr>
              </m:ctrlPr>
            </m:sSupPr>
            <m:e>
              <m:r>
                <w:rPr>
                  <w:rFonts w:ascii="Cambria Math" w:hAnsi="Cambria Math" w:cs="Arial"/>
                </w:rPr>
                <m:t>σ</m:t>
              </m:r>
            </m:e>
            <m:sup>
              <m:r>
                <w:rPr>
                  <w:rFonts w:ascii="Cambria Math" w:hAnsi="Cambria Math" w:cs="Arial"/>
                </w:rPr>
                <m:t>t</m:t>
              </m:r>
            </m:sup>
          </m:sSup>
          <m:r>
            <w:rPr>
              <w:rFonts w:ascii="Cambria Math" w:hAnsi="Cambria Math" w:cs="Arial"/>
            </w:rPr>
            <m:t>=</m:t>
          </m:r>
          <m:d>
            <m:dPr>
              <m:ctrlPr>
                <w:rPr>
                  <w:rFonts w:ascii="Cambria Math" w:hAnsi="Cambria Math" w:cs="Arial"/>
                  <w:bCs/>
                  <w:i/>
                  <w:iCs/>
                </w:rPr>
              </m:ctrlPr>
            </m:dPr>
            <m:e>
              <m:m>
                <m:mPr>
                  <m:mcs>
                    <m:mc>
                      <m:mcPr>
                        <m:count m:val="2"/>
                        <m:mcJc m:val="center"/>
                      </m:mcPr>
                    </m:mc>
                  </m:mcs>
                  <m:ctrlPr>
                    <w:rPr>
                      <w:rFonts w:ascii="Cambria Math" w:hAnsi="Cambria Math" w:cs="Arial"/>
                      <w:bCs/>
                      <w:i/>
                      <w:iCs/>
                    </w:rPr>
                  </m:ctrlPr>
                </m:mPr>
                <m:mr>
                  <m:e>
                    <m:m>
                      <m:mPr>
                        <m:mcs>
                          <m:mc>
                            <m:mcPr>
                              <m:count m:val="3"/>
                              <m:mcJc m:val="center"/>
                            </m:mcPr>
                          </m:mc>
                        </m:mcs>
                        <m:ctrlPr>
                          <w:rPr>
                            <w:rFonts w:ascii="Cambria Math" w:hAnsi="Cambria Math" w:cs="Arial"/>
                            <w:bCs/>
                            <w:i/>
                            <w:iCs/>
                          </w:rPr>
                        </m:ctrlPr>
                      </m:mPr>
                      <m:mr>
                        <m:e>
                          <m:r>
                            <w:rPr>
                              <w:rFonts w:ascii="Cambria Math" w:hAnsi="Cambria Math" w:cs="Arial"/>
                            </w:rPr>
                            <m:t>0</m:t>
                          </m:r>
                        </m:e>
                        <m:e>
                          <m:r>
                            <w:rPr>
                              <w:rFonts w:ascii="Cambria Math" w:hAnsi="Cambria Math" w:cs="Arial"/>
                            </w:rPr>
                            <m:t>-</m:t>
                          </m:r>
                          <m:sSub>
                            <m:sSubPr>
                              <m:ctrlPr>
                                <w:rPr>
                                  <w:rFonts w:ascii="Cambria Math" w:hAnsi="Cambria Math" w:cs="Arial"/>
                                  <w:i/>
                                </w:rPr>
                              </m:ctrlPr>
                            </m:sSubPr>
                            <m:e>
                              <m:r>
                                <w:rPr>
                                  <w:rFonts w:ascii="Cambria Math" w:hAnsi="Cambria Math" w:cs="Arial"/>
                                </w:rPr>
                                <m:t>u</m:t>
                              </m:r>
                            </m:e>
                            <m:sub>
                              <m:r>
                                <w:rPr>
                                  <w:rFonts w:ascii="Cambria Math" w:hAnsi="Cambria Math" w:cs="Arial"/>
                                </w:rPr>
                                <m:t>2</m:t>
                              </m:r>
                            </m:sub>
                          </m:sSub>
                        </m:e>
                        <m:e>
                          <m:r>
                            <w:rPr>
                              <w:rFonts w:ascii="Cambria Math" w:hAnsi="Cambria Math" w:cs="Arial"/>
                            </w:rPr>
                            <m:t>0</m:t>
                          </m:r>
                        </m:e>
                      </m:mr>
                      <m:mr>
                        <m:e>
                          <m:sSub>
                            <m:sSubPr>
                              <m:ctrlPr>
                                <w:rPr>
                                  <w:rFonts w:ascii="Cambria Math" w:hAnsi="Cambria Math" w:cs="Arial"/>
                                  <w:i/>
                                </w:rPr>
                              </m:ctrlPr>
                            </m:sSubPr>
                            <m:e>
                              <m:r>
                                <w:rPr>
                                  <w:rFonts w:ascii="Cambria Math" w:hAnsi="Cambria Math" w:cs="Arial"/>
                                </w:rPr>
                                <m:t>u</m:t>
                              </m:r>
                            </m:e>
                            <m:sub>
                              <m:r>
                                <w:rPr>
                                  <w:rFonts w:ascii="Cambria Math" w:hAnsi="Cambria Math" w:cs="Arial"/>
                                </w:rPr>
                                <m:t>2</m:t>
                              </m:r>
                            </m:sub>
                          </m:sSub>
                        </m:e>
                        <m:e>
                          <m:r>
                            <w:rPr>
                              <w:rFonts w:ascii="Cambria Math" w:hAnsi="Cambria Math" w:cs="Arial"/>
                            </w:rPr>
                            <m:t>0</m:t>
                          </m:r>
                        </m:e>
                        <m:e>
                          <m:r>
                            <w:rPr>
                              <w:rFonts w:ascii="Cambria Math" w:hAnsi="Cambria Math" w:cs="Arial"/>
                            </w:rPr>
                            <m:t>-</m:t>
                          </m:r>
                          <m:sSub>
                            <m:sSubPr>
                              <m:ctrlPr>
                                <w:rPr>
                                  <w:rFonts w:ascii="Cambria Math" w:hAnsi="Cambria Math" w:cs="Arial"/>
                                  <w:i/>
                                </w:rPr>
                              </m:ctrlPr>
                            </m:sSubPr>
                            <m:e>
                              <m:r>
                                <w:rPr>
                                  <w:rFonts w:ascii="Cambria Math" w:hAnsi="Cambria Math" w:cs="Arial"/>
                                </w:rPr>
                                <m:t>u</m:t>
                              </m:r>
                            </m:e>
                            <m:sub>
                              <m:r>
                                <w:rPr>
                                  <w:rFonts w:ascii="Cambria Math" w:hAnsi="Cambria Math" w:cs="Arial"/>
                                </w:rPr>
                                <m:t>1</m:t>
                              </m:r>
                            </m:sub>
                          </m:sSub>
                        </m:e>
                      </m:mr>
                      <m:mr>
                        <m:e>
                          <m:m>
                            <m:mPr>
                              <m:mcs>
                                <m:mc>
                                  <m:mcPr>
                                    <m:count m:val="1"/>
                                    <m:mcJc m:val="center"/>
                                  </m:mcPr>
                                </m:mc>
                              </m:mcs>
                              <m:ctrlPr>
                                <w:rPr>
                                  <w:rFonts w:ascii="Cambria Math" w:hAnsi="Cambria Math" w:cs="Arial"/>
                                  <w:bCs/>
                                  <w:i/>
                                  <w:iCs/>
                                </w:rPr>
                              </m:ctrlPr>
                            </m:mPr>
                            <m:mr>
                              <m:e>
                                <m:r>
                                  <w:rPr>
                                    <w:rFonts w:ascii="Cambria Math" w:hAnsi="Cambria Math" w:cs="Arial"/>
                                  </w:rPr>
                                  <m:t>0</m:t>
                                </m:r>
                              </m:e>
                            </m:mr>
                            <m:mr>
                              <m:e>
                                <m:sSub>
                                  <m:sSubPr>
                                    <m:ctrlPr>
                                      <w:rPr>
                                        <w:rFonts w:ascii="Cambria Math" w:hAnsi="Cambria Math" w:cs="Arial"/>
                                        <w:i/>
                                      </w:rPr>
                                    </m:ctrlPr>
                                  </m:sSubPr>
                                  <m:e>
                                    <m:r>
                                      <w:rPr>
                                        <w:rFonts w:ascii="Cambria Math" w:hAnsi="Cambria Math" w:cs="Arial"/>
                                      </w:rPr>
                                      <m:t>u</m:t>
                                    </m:r>
                                  </m:e>
                                  <m:sub>
                                    <m:r>
                                      <w:rPr>
                                        <w:rFonts w:ascii="Cambria Math" w:hAnsi="Cambria Math" w:cs="Arial"/>
                                      </w:rPr>
                                      <m:t>1</m:t>
                                    </m:r>
                                  </m:sub>
                                </m:sSub>
                              </m:e>
                            </m:mr>
                          </m:m>
                        </m:e>
                        <m:e>
                          <m:m>
                            <m:mPr>
                              <m:mcs>
                                <m:mc>
                                  <m:mcPr>
                                    <m:count m:val="1"/>
                                    <m:mcJc m:val="center"/>
                                  </m:mcPr>
                                </m:mc>
                              </m:mcs>
                              <m:ctrlPr>
                                <w:rPr>
                                  <w:rFonts w:ascii="Cambria Math" w:hAnsi="Cambria Math" w:cs="Arial"/>
                                  <w:bCs/>
                                  <w:i/>
                                  <w:iCs/>
                                </w:rPr>
                              </m:ctrlPr>
                            </m:mPr>
                            <m:mr>
                              <m:e>
                                <m:sSub>
                                  <m:sSubPr>
                                    <m:ctrlPr>
                                      <w:rPr>
                                        <w:rFonts w:ascii="Cambria Math" w:hAnsi="Cambria Math" w:cs="Arial"/>
                                        <w:i/>
                                      </w:rPr>
                                    </m:ctrlPr>
                                  </m:sSubPr>
                                  <m:e>
                                    <m:r>
                                      <w:rPr>
                                        <w:rFonts w:ascii="Cambria Math" w:hAnsi="Cambria Math" w:cs="Arial"/>
                                      </w:rPr>
                                      <m:t>u</m:t>
                                    </m:r>
                                  </m:e>
                                  <m:sub>
                                    <m:r>
                                      <w:rPr>
                                        <w:rFonts w:ascii="Cambria Math" w:hAnsi="Cambria Math" w:cs="Arial"/>
                                      </w:rPr>
                                      <m:t>1</m:t>
                                    </m:r>
                                  </m:sub>
                                </m:sSub>
                              </m:e>
                            </m:mr>
                            <m:mr>
                              <m:e>
                                <m:r>
                                  <w:rPr>
                                    <w:rFonts w:ascii="Cambria Math" w:hAnsi="Cambria Math" w:cs="Arial"/>
                                  </w:rPr>
                                  <m:t>0</m:t>
                                </m:r>
                              </m:e>
                            </m:mr>
                          </m:m>
                        </m:e>
                        <m:e>
                          <m:m>
                            <m:mPr>
                              <m:mcs>
                                <m:mc>
                                  <m:mcPr>
                                    <m:count m:val="1"/>
                                    <m:mcJc m:val="center"/>
                                  </m:mcPr>
                                </m:mc>
                              </m:mcs>
                              <m:ctrlPr>
                                <w:rPr>
                                  <w:rFonts w:ascii="Cambria Math" w:hAnsi="Cambria Math" w:cs="Arial"/>
                                  <w:bCs/>
                                  <w:i/>
                                  <w:iCs/>
                                </w:rPr>
                              </m:ctrlPr>
                            </m:mPr>
                            <m:mr>
                              <m:e>
                                <m:r>
                                  <w:rPr>
                                    <w:rFonts w:ascii="Cambria Math" w:hAnsi="Cambria Math" w:cs="Arial"/>
                                  </w:rPr>
                                  <m:t>0</m:t>
                                </m:r>
                              </m:e>
                            </m:mr>
                            <m:mr>
                              <m:e>
                                <m:sSub>
                                  <m:sSubPr>
                                    <m:ctrlPr>
                                      <w:rPr>
                                        <w:rFonts w:ascii="Cambria Math" w:hAnsi="Cambria Math" w:cs="Arial"/>
                                        <w:i/>
                                      </w:rPr>
                                    </m:ctrlPr>
                                  </m:sSubPr>
                                  <m:e>
                                    <m:r>
                                      <w:rPr>
                                        <w:rFonts w:ascii="Cambria Math" w:hAnsi="Cambria Math" w:cs="Arial"/>
                                      </w:rPr>
                                      <m:t>u</m:t>
                                    </m:r>
                                  </m:e>
                                  <m:sub>
                                    <m:r>
                                      <w:rPr>
                                        <w:rFonts w:ascii="Cambria Math" w:hAnsi="Cambria Math" w:cs="Arial"/>
                                      </w:rPr>
                                      <m:t>2</m:t>
                                    </m:r>
                                  </m:sub>
                                </m:sSub>
                              </m:e>
                            </m:mr>
                          </m:m>
                        </m:e>
                      </m:mr>
                    </m:m>
                  </m:e>
                  <m:e>
                    <m:m>
                      <m:mPr>
                        <m:mcs>
                          <m:mc>
                            <m:mcPr>
                              <m:count m:val="1"/>
                              <m:mcJc m:val="center"/>
                            </m:mcPr>
                          </m:mc>
                        </m:mcs>
                        <m:ctrlPr>
                          <w:rPr>
                            <w:rFonts w:ascii="Cambria Math" w:hAnsi="Cambria Math" w:cs="Arial"/>
                            <w:bCs/>
                            <w:i/>
                            <w:iCs/>
                          </w:rPr>
                        </m:ctrlPr>
                      </m:mPr>
                      <m:mr>
                        <m:e>
                          <m:m>
                            <m:mPr>
                              <m:mcs>
                                <m:mc>
                                  <m:mcPr>
                                    <m:count m:val="1"/>
                                    <m:mcJc m:val="center"/>
                                  </m:mcPr>
                                </m:mc>
                              </m:mcs>
                              <m:ctrlPr>
                                <w:rPr>
                                  <w:rFonts w:ascii="Cambria Math" w:hAnsi="Cambria Math" w:cs="Arial"/>
                                  <w:bCs/>
                                  <w:i/>
                                  <w:iCs/>
                                </w:rPr>
                              </m:ctrlPr>
                            </m:mPr>
                            <m:mr>
                              <m:e>
                                <m:r>
                                  <w:rPr>
                                    <w:rFonts w:ascii="Cambria Math" w:hAnsi="Cambria Math" w:cs="Arial"/>
                                  </w:rPr>
                                  <m:t>-</m:t>
                                </m:r>
                                <m:sSub>
                                  <m:sSubPr>
                                    <m:ctrlPr>
                                      <w:rPr>
                                        <w:rFonts w:ascii="Cambria Math" w:hAnsi="Cambria Math" w:cs="Arial"/>
                                        <w:i/>
                                      </w:rPr>
                                    </m:ctrlPr>
                                  </m:sSubPr>
                                  <m:e>
                                    <m:r>
                                      <w:rPr>
                                        <w:rFonts w:ascii="Cambria Math" w:hAnsi="Cambria Math" w:cs="Arial"/>
                                      </w:rPr>
                                      <m:t>u</m:t>
                                    </m:r>
                                  </m:e>
                                  <m:sub>
                                    <m:r>
                                      <w:rPr>
                                        <w:rFonts w:ascii="Cambria Math" w:hAnsi="Cambria Math" w:cs="Arial"/>
                                      </w:rPr>
                                      <m:t>1</m:t>
                                    </m:r>
                                  </m:sub>
                                </m:sSub>
                              </m:e>
                            </m:mr>
                            <m:mr>
                              <m:e>
                                <m:r>
                                  <w:rPr>
                                    <w:rFonts w:ascii="Cambria Math" w:hAnsi="Cambria Math" w:cs="Arial"/>
                                  </w:rPr>
                                  <m:t>0</m:t>
                                </m:r>
                              </m:e>
                            </m:mr>
                          </m:m>
                        </m:e>
                      </m:mr>
                      <m:mr>
                        <m:e>
                          <m:m>
                            <m:mPr>
                              <m:mcs>
                                <m:mc>
                                  <m:mcPr>
                                    <m:count m:val="1"/>
                                    <m:mcJc m:val="center"/>
                                  </m:mcPr>
                                </m:mc>
                              </m:mcs>
                              <m:ctrlPr>
                                <w:rPr>
                                  <w:rFonts w:ascii="Cambria Math" w:hAnsi="Cambria Math" w:cs="Arial"/>
                                  <w:bCs/>
                                  <w:i/>
                                  <w:iCs/>
                                </w:rPr>
                              </m:ctrlPr>
                            </m:mPr>
                            <m:mr>
                              <m:e>
                                <m:r>
                                  <w:rPr>
                                    <w:rFonts w:ascii="Cambria Math" w:hAnsi="Cambria Math" w:cs="Arial"/>
                                  </w:rPr>
                                  <m:t>-</m:t>
                                </m:r>
                                <m:sSub>
                                  <m:sSubPr>
                                    <m:ctrlPr>
                                      <w:rPr>
                                        <w:rFonts w:ascii="Cambria Math" w:hAnsi="Cambria Math" w:cs="Arial"/>
                                        <w:i/>
                                      </w:rPr>
                                    </m:ctrlPr>
                                  </m:sSubPr>
                                  <m:e>
                                    <m:r>
                                      <w:rPr>
                                        <w:rFonts w:ascii="Cambria Math" w:hAnsi="Cambria Math" w:cs="Arial"/>
                                      </w:rPr>
                                      <m:t>u</m:t>
                                    </m:r>
                                  </m:e>
                                  <m:sub>
                                    <m:r>
                                      <w:rPr>
                                        <w:rFonts w:ascii="Cambria Math" w:hAnsi="Cambria Math" w:cs="Arial"/>
                                      </w:rPr>
                                      <m:t>2</m:t>
                                    </m:r>
                                  </m:sub>
                                </m:sSub>
                              </m:e>
                            </m:mr>
                            <m:mr>
                              <m:e>
                                <m:r>
                                  <w:rPr>
                                    <w:rFonts w:ascii="Cambria Math" w:hAnsi="Cambria Math" w:cs="Arial"/>
                                  </w:rPr>
                                  <m:t>0</m:t>
                                </m:r>
                              </m:e>
                            </m:mr>
                          </m:m>
                        </m:e>
                      </m:mr>
                    </m:m>
                  </m:e>
                </m:mr>
              </m:m>
              <m:r>
                <w:rPr>
                  <w:rFonts w:ascii="Cambria Math" w:hAnsi="Cambria Math" w:cs="Arial"/>
                </w:rPr>
                <m:t xml:space="preserve"> </m:t>
              </m:r>
            </m:e>
          </m:d>
          <m:d>
            <m:dPr>
              <m:ctrlPr>
                <w:rPr>
                  <w:rFonts w:ascii="Cambria Math" w:hAnsi="Cambria Math" w:cs="Arial"/>
                  <w:bCs/>
                  <w:i/>
                  <w:iCs/>
                </w:rPr>
              </m:ctrlPr>
            </m:dPr>
            <m:e>
              <m:m>
                <m:mPr>
                  <m:mcs>
                    <m:mc>
                      <m:mcPr>
                        <m:count m:val="1"/>
                        <m:mcJc m:val="center"/>
                      </m:mcPr>
                    </m:mc>
                  </m:mcs>
                  <m:ctrlPr>
                    <w:rPr>
                      <w:rFonts w:ascii="Cambria Math" w:hAnsi="Cambria Math" w:cs="Arial"/>
                      <w:bCs/>
                      <w:i/>
                      <w:iCs/>
                    </w:rPr>
                  </m:ctrlPr>
                </m:mPr>
                <m:mr>
                  <m:e>
                    <m:m>
                      <m:mPr>
                        <m:mcs>
                          <m:mc>
                            <m:mcPr>
                              <m:count m:val="1"/>
                              <m:mcJc m:val="center"/>
                            </m:mcPr>
                          </m:mc>
                        </m:mcs>
                        <m:ctrlPr>
                          <w:rPr>
                            <w:rFonts w:ascii="Cambria Math" w:hAnsi="Cambria Math" w:cs="Arial"/>
                            <w:bCs/>
                            <w:i/>
                            <w:iCs/>
                          </w:rPr>
                        </m:ctrlPr>
                      </m:mPr>
                      <m:mr>
                        <m:e>
                          <m:sSub>
                            <m:sSubPr>
                              <m:ctrlPr>
                                <w:rPr>
                                  <w:rFonts w:ascii="Cambria Math" w:hAnsi="Cambria Math" w:cs="Arial"/>
                                  <w:i/>
                                </w:rPr>
                              </m:ctrlPr>
                            </m:sSubPr>
                            <m:e>
                              <m:r>
                                <w:rPr>
                                  <w:rFonts w:ascii="Cambria Math" w:hAnsi="Cambria Math" w:cs="Arial"/>
                                </w:rPr>
                                <m:t>x</m:t>
                              </m:r>
                            </m:e>
                            <m:sub>
                              <m:r>
                                <w:rPr>
                                  <w:rFonts w:ascii="Cambria Math" w:hAnsi="Cambria Math" w:cs="Arial"/>
                                </w:rPr>
                                <m:t>1</m:t>
                              </m:r>
                            </m:sub>
                          </m:sSub>
                        </m:e>
                      </m:mr>
                      <m:mr>
                        <m:e>
                          <m:sSub>
                            <m:sSubPr>
                              <m:ctrlPr>
                                <w:rPr>
                                  <w:rFonts w:ascii="Cambria Math" w:hAnsi="Cambria Math" w:cs="Arial"/>
                                  <w:i/>
                                </w:rPr>
                              </m:ctrlPr>
                            </m:sSubPr>
                            <m:e>
                              <m:r>
                                <w:rPr>
                                  <w:rFonts w:ascii="Cambria Math" w:hAnsi="Cambria Math" w:cs="Arial"/>
                                </w:rPr>
                                <m:t>x</m:t>
                              </m:r>
                            </m:e>
                            <m:sub>
                              <m:r>
                                <w:rPr>
                                  <w:rFonts w:ascii="Cambria Math" w:hAnsi="Cambria Math" w:cs="Arial"/>
                                </w:rPr>
                                <m:t>2</m:t>
                              </m:r>
                            </m:sub>
                          </m:sSub>
                        </m:e>
                      </m:mr>
                    </m:m>
                  </m:e>
                </m:mr>
                <m:mr>
                  <m:e>
                    <m:m>
                      <m:mPr>
                        <m:mcs>
                          <m:mc>
                            <m:mcPr>
                              <m:count m:val="1"/>
                              <m:mcJc m:val="center"/>
                            </m:mcPr>
                          </m:mc>
                        </m:mcs>
                        <m:ctrlPr>
                          <w:rPr>
                            <w:rFonts w:ascii="Cambria Math" w:hAnsi="Cambria Math" w:cs="Arial"/>
                            <w:bCs/>
                            <w:i/>
                            <w:iCs/>
                          </w:rPr>
                        </m:ctrlPr>
                      </m:mPr>
                      <m:mr>
                        <m:e>
                          <m:sSub>
                            <m:sSubPr>
                              <m:ctrlPr>
                                <w:rPr>
                                  <w:rFonts w:ascii="Cambria Math" w:hAnsi="Cambria Math" w:cs="Arial"/>
                                  <w:i/>
                                </w:rPr>
                              </m:ctrlPr>
                            </m:sSubPr>
                            <m:e>
                              <m:r>
                                <w:rPr>
                                  <w:rFonts w:ascii="Cambria Math" w:hAnsi="Cambria Math" w:cs="Arial"/>
                                </w:rPr>
                                <m:t>x</m:t>
                              </m:r>
                            </m:e>
                            <m:sub>
                              <m:r>
                                <w:rPr>
                                  <w:rFonts w:ascii="Cambria Math" w:hAnsi="Cambria Math" w:cs="Arial"/>
                                </w:rPr>
                                <m:t>3</m:t>
                              </m:r>
                            </m:sub>
                          </m:sSub>
                        </m:e>
                      </m:mr>
                      <m:mr>
                        <m:e>
                          <m:sSub>
                            <m:sSubPr>
                              <m:ctrlPr>
                                <w:rPr>
                                  <w:rFonts w:ascii="Cambria Math" w:hAnsi="Cambria Math" w:cs="Arial"/>
                                  <w:i/>
                                </w:rPr>
                              </m:ctrlPr>
                            </m:sSubPr>
                            <m:e>
                              <m:r>
                                <w:rPr>
                                  <w:rFonts w:ascii="Cambria Math" w:hAnsi="Cambria Math" w:cs="Arial"/>
                                </w:rPr>
                                <m:t>x</m:t>
                              </m:r>
                            </m:e>
                            <m:sub>
                              <m:r>
                                <w:rPr>
                                  <w:rFonts w:ascii="Cambria Math" w:hAnsi="Cambria Math" w:cs="Arial"/>
                                </w:rPr>
                                <m:t>4</m:t>
                              </m:r>
                            </m:sub>
                          </m:sSub>
                        </m:e>
                      </m:mr>
                    </m:m>
                  </m:e>
                </m:mr>
              </m:m>
            </m:e>
          </m:d>
          <m:d>
            <m:dPr>
              <m:ctrlPr>
                <w:rPr>
                  <w:rFonts w:ascii="Cambria Math" w:hAnsi="Cambria Math" w:cs="Arial"/>
                  <w:bCs/>
                  <w:i/>
                  <w:iCs/>
                </w:rPr>
              </m:ctrlPr>
            </m:dPr>
            <m:e>
              <m:m>
                <m:mPr>
                  <m:mcs>
                    <m:mc>
                      <m:mcPr>
                        <m:count m:val="2"/>
                        <m:mcJc m:val="center"/>
                      </m:mcPr>
                    </m:mc>
                  </m:mcs>
                  <m:ctrlPr>
                    <w:rPr>
                      <w:rFonts w:ascii="Cambria Math" w:hAnsi="Cambria Math" w:cs="Arial"/>
                      <w:bCs/>
                      <w:i/>
                      <w:iCs/>
                    </w:rPr>
                  </m:ctrlPr>
                </m:mPr>
                <m:mr>
                  <m:e>
                    <m:m>
                      <m:mPr>
                        <m:mcs>
                          <m:mc>
                            <m:mcPr>
                              <m:count m:val="3"/>
                              <m:mcJc m:val="center"/>
                            </m:mcPr>
                          </m:mc>
                        </m:mcs>
                        <m:ctrlPr>
                          <w:rPr>
                            <w:rFonts w:ascii="Cambria Math" w:hAnsi="Cambria Math" w:cs="Arial"/>
                            <w:bCs/>
                            <w:i/>
                            <w:iCs/>
                          </w:rPr>
                        </m:ctrlPr>
                      </m:mPr>
                      <m:mr>
                        <m:e>
                          <m:r>
                            <w:rPr>
                              <w:rFonts w:ascii="Cambria Math" w:hAnsi="Cambria Math" w:cs="Arial"/>
                            </w:rPr>
                            <m:t>0</m:t>
                          </m:r>
                        </m:e>
                        <m:e>
                          <m:sSub>
                            <m:sSubPr>
                              <m:ctrlPr>
                                <w:rPr>
                                  <w:rFonts w:ascii="Cambria Math" w:hAnsi="Cambria Math" w:cs="Arial"/>
                                  <w:bCs/>
                                  <w:i/>
                                  <w:iCs/>
                                </w:rPr>
                              </m:ctrlPr>
                            </m:sSubPr>
                            <m:e>
                              <m:r>
                                <w:rPr>
                                  <w:rFonts w:ascii="Cambria Math" w:hAnsi="Cambria Math" w:cs="Arial"/>
                                </w:rPr>
                                <m:t>u</m:t>
                              </m:r>
                            </m:e>
                            <m:sub>
                              <m:r>
                                <w:rPr>
                                  <w:rFonts w:ascii="Cambria Math" w:hAnsi="Cambria Math" w:cs="Arial"/>
                                </w:rPr>
                                <m:t>2</m:t>
                              </m:r>
                            </m:sub>
                          </m:sSub>
                        </m:e>
                        <m:e>
                          <m:r>
                            <w:rPr>
                              <w:rFonts w:ascii="Cambria Math" w:hAnsi="Cambria Math" w:cs="Arial"/>
                            </w:rPr>
                            <m:t>0</m:t>
                          </m:r>
                        </m:e>
                      </m:mr>
                      <m:mr>
                        <m:e>
                          <m:sSub>
                            <m:sSubPr>
                              <m:ctrlPr>
                                <w:rPr>
                                  <w:rFonts w:ascii="Cambria Math" w:hAnsi="Cambria Math" w:cs="Arial"/>
                                  <w:bCs/>
                                  <w:i/>
                                  <w:iCs/>
                                </w:rPr>
                              </m:ctrlPr>
                            </m:sSubPr>
                            <m:e>
                              <m:r>
                                <w:rPr>
                                  <w:rFonts w:ascii="Cambria Math" w:hAnsi="Cambria Math" w:cs="Arial"/>
                                </w:rPr>
                                <m:t>-u</m:t>
                              </m:r>
                            </m:e>
                            <m:sub>
                              <m:r>
                                <w:rPr>
                                  <w:rFonts w:ascii="Cambria Math" w:hAnsi="Cambria Math" w:cs="Arial"/>
                                </w:rPr>
                                <m:t>2</m:t>
                              </m:r>
                            </m:sub>
                          </m:sSub>
                        </m:e>
                        <m:e>
                          <m:r>
                            <w:rPr>
                              <w:rFonts w:ascii="Cambria Math" w:hAnsi="Cambria Math" w:cs="Arial"/>
                            </w:rPr>
                            <m:t>0</m:t>
                          </m:r>
                        </m:e>
                        <m:e>
                          <m:sSub>
                            <m:sSubPr>
                              <m:ctrlPr>
                                <w:rPr>
                                  <w:rFonts w:ascii="Cambria Math" w:hAnsi="Cambria Math" w:cs="Arial"/>
                                  <w:bCs/>
                                  <w:i/>
                                  <w:iCs/>
                                </w:rPr>
                              </m:ctrlPr>
                            </m:sSubPr>
                            <m:e>
                              <m:r>
                                <w:rPr>
                                  <w:rFonts w:ascii="Cambria Math" w:hAnsi="Cambria Math" w:cs="Arial"/>
                                </w:rPr>
                                <m:t>u</m:t>
                              </m:r>
                            </m:e>
                            <m:sub>
                              <m:r>
                                <w:rPr>
                                  <w:rFonts w:ascii="Cambria Math" w:hAnsi="Cambria Math" w:cs="Arial"/>
                                </w:rPr>
                                <m:t>1</m:t>
                              </m:r>
                            </m:sub>
                          </m:sSub>
                        </m:e>
                      </m:mr>
                      <m:mr>
                        <m:e>
                          <m:m>
                            <m:mPr>
                              <m:mcs>
                                <m:mc>
                                  <m:mcPr>
                                    <m:count m:val="1"/>
                                    <m:mcJc m:val="center"/>
                                  </m:mcPr>
                                </m:mc>
                              </m:mcs>
                              <m:ctrlPr>
                                <w:rPr>
                                  <w:rFonts w:ascii="Cambria Math" w:hAnsi="Cambria Math" w:cs="Arial"/>
                                  <w:bCs/>
                                  <w:i/>
                                  <w:iCs/>
                                </w:rPr>
                              </m:ctrlPr>
                            </m:mPr>
                            <m:mr>
                              <m:e>
                                <m:r>
                                  <w:rPr>
                                    <w:rFonts w:ascii="Cambria Math" w:hAnsi="Cambria Math" w:cs="Arial"/>
                                  </w:rPr>
                                  <m:t>0</m:t>
                                </m:r>
                              </m:e>
                            </m:mr>
                            <m:mr>
                              <m:e>
                                <m:r>
                                  <w:rPr>
                                    <w:rFonts w:ascii="Cambria Math" w:hAnsi="Cambria Math" w:cs="Arial"/>
                                  </w:rPr>
                                  <m:t>-</m:t>
                                </m:r>
                                <m:sSub>
                                  <m:sSubPr>
                                    <m:ctrlPr>
                                      <w:rPr>
                                        <w:rFonts w:ascii="Cambria Math" w:hAnsi="Cambria Math" w:cs="Arial"/>
                                        <w:bCs/>
                                        <w:i/>
                                        <w:iCs/>
                                      </w:rPr>
                                    </m:ctrlPr>
                                  </m:sSubPr>
                                  <m:e>
                                    <m:r>
                                      <w:rPr>
                                        <w:rFonts w:ascii="Cambria Math" w:hAnsi="Cambria Math" w:cs="Arial"/>
                                      </w:rPr>
                                      <m:t>u</m:t>
                                    </m:r>
                                  </m:e>
                                  <m:sub>
                                    <m:r>
                                      <w:rPr>
                                        <w:rFonts w:ascii="Cambria Math" w:hAnsi="Cambria Math" w:cs="Arial"/>
                                      </w:rPr>
                                      <m:t>1</m:t>
                                    </m:r>
                                  </m:sub>
                                </m:sSub>
                              </m:e>
                            </m:mr>
                          </m:m>
                        </m:e>
                        <m:e>
                          <m:m>
                            <m:mPr>
                              <m:mcs>
                                <m:mc>
                                  <m:mcPr>
                                    <m:count m:val="1"/>
                                    <m:mcJc m:val="center"/>
                                  </m:mcPr>
                                </m:mc>
                              </m:mcs>
                              <m:ctrlPr>
                                <w:rPr>
                                  <w:rFonts w:ascii="Cambria Math" w:hAnsi="Cambria Math" w:cs="Arial"/>
                                  <w:bCs/>
                                  <w:i/>
                                  <w:iCs/>
                                </w:rPr>
                              </m:ctrlPr>
                            </m:mPr>
                            <m:mr>
                              <m:e>
                                <m:sSub>
                                  <m:sSubPr>
                                    <m:ctrlPr>
                                      <w:rPr>
                                        <w:rFonts w:ascii="Cambria Math" w:hAnsi="Cambria Math" w:cs="Arial"/>
                                        <w:bCs/>
                                        <w:i/>
                                        <w:iCs/>
                                      </w:rPr>
                                    </m:ctrlPr>
                                  </m:sSubPr>
                                  <m:e>
                                    <m:r>
                                      <w:rPr>
                                        <w:rFonts w:ascii="Cambria Math" w:hAnsi="Cambria Math" w:cs="Arial"/>
                                      </w:rPr>
                                      <m:t>-u</m:t>
                                    </m:r>
                                  </m:e>
                                  <m:sub>
                                    <m:r>
                                      <w:rPr>
                                        <w:rFonts w:ascii="Cambria Math" w:hAnsi="Cambria Math" w:cs="Arial"/>
                                      </w:rPr>
                                      <m:t>1</m:t>
                                    </m:r>
                                  </m:sub>
                                </m:sSub>
                              </m:e>
                            </m:mr>
                            <m:mr>
                              <m:e>
                                <m:r>
                                  <w:rPr>
                                    <w:rFonts w:ascii="Cambria Math" w:hAnsi="Cambria Math" w:cs="Arial"/>
                                  </w:rPr>
                                  <m:t>0</m:t>
                                </m:r>
                              </m:e>
                            </m:mr>
                          </m:m>
                        </m:e>
                        <m:e>
                          <m:m>
                            <m:mPr>
                              <m:mcs>
                                <m:mc>
                                  <m:mcPr>
                                    <m:count m:val="1"/>
                                    <m:mcJc m:val="center"/>
                                  </m:mcPr>
                                </m:mc>
                              </m:mcs>
                              <m:ctrlPr>
                                <w:rPr>
                                  <w:rFonts w:ascii="Cambria Math" w:hAnsi="Cambria Math" w:cs="Arial"/>
                                  <w:bCs/>
                                  <w:i/>
                                  <w:iCs/>
                                </w:rPr>
                              </m:ctrlPr>
                            </m:mPr>
                            <m:mr>
                              <m:e>
                                <m:r>
                                  <w:rPr>
                                    <w:rFonts w:ascii="Cambria Math" w:hAnsi="Cambria Math" w:cs="Arial"/>
                                  </w:rPr>
                                  <m:t>0</m:t>
                                </m:r>
                              </m:e>
                            </m:mr>
                            <m:mr>
                              <m:e>
                                <m:sSub>
                                  <m:sSubPr>
                                    <m:ctrlPr>
                                      <w:rPr>
                                        <w:rFonts w:ascii="Cambria Math" w:hAnsi="Cambria Math" w:cs="Arial"/>
                                        <w:bCs/>
                                        <w:i/>
                                        <w:iCs/>
                                      </w:rPr>
                                    </m:ctrlPr>
                                  </m:sSubPr>
                                  <m:e>
                                    <m:r>
                                      <w:rPr>
                                        <w:rFonts w:ascii="Cambria Math" w:hAnsi="Cambria Math" w:cs="Arial"/>
                                      </w:rPr>
                                      <m:t>-u</m:t>
                                    </m:r>
                                  </m:e>
                                  <m:sub>
                                    <m:r>
                                      <w:rPr>
                                        <w:rFonts w:ascii="Cambria Math" w:hAnsi="Cambria Math" w:cs="Arial"/>
                                      </w:rPr>
                                      <m:t>2</m:t>
                                    </m:r>
                                  </m:sub>
                                </m:sSub>
                              </m:e>
                            </m:mr>
                          </m:m>
                        </m:e>
                      </m:mr>
                    </m:m>
                  </m:e>
                  <m:e>
                    <m:m>
                      <m:mPr>
                        <m:mcs>
                          <m:mc>
                            <m:mcPr>
                              <m:count m:val="1"/>
                              <m:mcJc m:val="center"/>
                            </m:mcPr>
                          </m:mc>
                        </m:mcs>
                        <m:ctrlPr>
                          <w:rPr>
                            <w:rFonts w:ascii="Cambria Math" w:hAnsi="Cambria Math" w:cs="Arial"/>
                            <w:bCs/>
                            <w:i/>
                            <w:iCs/>
                          </w:rPr>
                        </m:ctrlPr>
                      </m:mPr>
                      <m:mr>
                        <m:e>
                          <m:m>
                            <m:mPr>
                              <m:mcs>
                                <m:mc>
                                  <m:mcPr>
                                    <m:count m:val="1"/>
                                    <m:mcJc m:val="center"/>
                                  </m:mcPr>
                                </m:mc>
                              </m:mcs>
                              <m:ctrlPr>
                                <w:rPr>
                                  <w:rFonts w:ascii="Cambria Math" w:hAnsi="Cambria Math" w:cs="Arial"/>
                                  <w:bCs/>
                                  <w:i/>
                                  <w:iCs/>
                                </w:rPr>
                              </m:ctrlPr>
                            </m:mPr>
                            <m:mr>
                              <m:e>
                                <m:sSub>
                                  <m:sSubPr>
                                    <m:ctrlPr>
                                      <w:rPr>
                                        <w:rFonts w:ascii="Cambria Math" w:hAnsi="Cambria Math" w:cs="Arial"/>
                                        <w:bCs/>
                                        <w:i/>
                                        <w:iCs/>
                                      </w:rPr>
                                    </m:ctrlPr>
                                  </m:sSubPr>
                                  <m:e>
                                    <m:r>
                                      <w:rPr>
                                        <w:rFonts w:ascii="Cambria Math" w:hAnsi="Cambria Math" w:cs="Arial"/>
                                      </w:rPr>
                                      <m:t>u</m:t>
                                    </m:r>
                                  </m:e>
                                  <m:sub>
                                    <m:r>
                                      <w:rPr>
                                        <w:rFonts w:ascii="Cambria Math" w:hAnsi="Cambria Math" w:cs="Arial"/>
                                      </w:rPr>
                                      <m:t>1</m:t>
                                    </m:r>
                                  </m:sub>
                                </m:sSub>
                              </m:e>
                            </m:mr>
                            <m:mr>
                              <m:e>
                                <m:r>
                                  <w:rPr>
                                    <w:rFonts w:ascii="Cambria Math" w:hAnsi="Cambria Math" w:cs="Arial"/>
                                  </w:rPr>
                                  <m:t>0</m:t>
                                </m:r>
                              </m:e>
                            </m:mr>
                          </m:m>
                        </m:e>
                      </m:mr>
                      <m:mr>
                        <m:e>
                          <m:m>
                            <m:mPr>
                              <m:mcs>
                                <m:mc>
                                  <m:mcPr>
                                    <m:count m:val="1"/>
                                    <m:mcJc m:val="center"/>
                                  </m:mcPr>
                                </m:mc>
                              </m:mcs>
                              <m:ctrlPr>
                                <w:rPr>
                                  <w:rFonts w:ascii="Cambria Math" w:hAnsi="Cambria Math" w:cs="Arial"/>
                                  <w:bCs/>
                                  <w:i/>
                                  <w:iCs/>
                                </w:rPr>
                              </m:ctrlPr>
                            </m:mPr>
                            <m:mr>
                              <m:e>
                                <m:sSub>
                                  <m:sSubPr>
                                    <m:ctrlPr>
                                      <w:rPr>
                                        <w:rFonts w:ascii="Cambria Math" w:hAnsi="Cambria Math" w:cs="Arial"/>
                                        <w:bCs/>
                                        <w:i/>
                                        <w:iCs/>
                                      </w:rPr>
                                    </m:ctrlPr>
                                  </m:sSubPr>
                                  <m:e>
                                    <m:r>
                                      <w:rPr>
                                        <w:rFonts w:ascii="Cambria Math" w:hAnsi="Cambria Math" w:cs="Arial"/>
                                      </w:rPr>
                                      <m:t>u</m:t>
                                    </m:r>
                                  </m:e>
                                  <m:sub>
                                    <m:r>
                                      <w:rPr>
                                        <w:rFonts w:ascii="Cambria Math" w:hAnsi="Cambria Math" w:cs="Arial"/>
                                      </w:rPr>
                                      <m:t>2</m:t>
                                    </m:r>
                                  </m:sub>
                                </m:sSub>
                              </m:e>
                            </m:mr>
                            <m:mr>
                              <m:e>
                                <m:r>
                                  <w:rPr>
                                    <w:rFonts w:ascii="Cambria Math" w:hAnsi="Cambria Math" w:cs="Arial"/>
                                  </w:rPr>
                                  <m:t>0</m:t>
                                </m:r>
                              </m:e>
                            </m:mr>
                          </m:m>
                        </m:e>
                      </m:mr>
                    </m:m>
                  </m:e>
                </m:mr>
              </m:m>
              <m:r>
                <w:rPr>
                  <w:rFonts w:ascii="Cambria Math" w:hAnsi="Cambria Math" w:cs="Arial"/>
                </w:rPr>
                <m:t xml:space="preserve"> </m:t>
              </m:r>
            </m:e>
          </m:d>
          <m:sSup>
            <m:sSupPr>
              <m:ctrlPr>
                <w:rPr>
                  <w:rFonts w:ascii="Cambria Math" w:hAnsi="Cambria Math" w:cs="Arial"/>
                  <w:bCs/>
                  <w:i/>
                  <w:iCs/>
                </w:rPr>
              </m:ctrlPr>
            </m:sSupPr>
            <m:e>
              <m:d>
                <m:dPr>
                  <m:ctrlPr>
                    <w:rPr>
                      <w:rFonts w:ascii="Cambria Math" w:hAnsi="Cambria Math" w:cs="Arial"/>
                      <w:bCs/>
                      <w:i/>
                      <w:iCs/>
                    </w:rPr>
                  </m:ctrlPr>
                </m:dPr>
                <m:e>
                  <m:m>
                    <m:mPr>
                      <m:mcs>
                        <m:mc>
                          <m:mcPr>
                            <m:count m:val="1"/>
                            <m:mcJc m:val="center"/>
                          </m:mcPr>
                        </m:mc>
                      </m:mcs>
                      <m:ctrlPr>
                        <w:rPr>
                          <w:rFonts w:ascii="Cambria Math" w:hAnsi="Cambria Math" w:cs="Arial"/>
                          <w:bCs/>
                          <w:i/>
                          <w:iCs/>
                        </w:rPr>
                      </m:ctrlPr>
                    </m:mPr>
                    <m:mr>
                      <m:e>
                        <m:m>
                          <m:mPr>
                            <m:mcs>
                              <m:mc>
                                <m:mcPr>
                                  <m:count m:val="1"/>
                                  <m:mcJc m:val="center"/>
                                </m:mcPr>
                              </m:mc>
                            </m:mcs>
                            <m:ctrlPr>
                              <w:rPr>
                                <w:rFonts w:ascii="Cambria Math" w:hAnsi="Cambria Math" w:cs="Arial"/>
                                <w:bCs/>
                                <w:i/>
                                <w:iCs/>
                              </w:rPr>
                            </m:ctrlPr>
                          </m:mPr>
                          <m:mr>
                            <m:e>
                              <m:sSub>
                                <m:sSubPr>
                                  <m:ctrlPr>
                                    <w:rPr>
                                      <w:rFonts w:ascii="Cambria Math" w:hAnsi="Cambria Math" w:cs="Arial"/>
                                      <w:i/>
                                    </w:rPr>
                                  </m:ctrlPr>
                                </m:sSubPr>
                                <m:e>
                                  <m:r>
                                    <w:rPr>
                                      <w:rFonts w:ascii="Cambria Math" w:hAnsi="Cambria Math" w:cs="Arial"/>
                                    </w:rPr>
                                    <m:t>x</m:t>
                                  </m:r>
                                </m:e>
                                <m:sub>
                                  <m:r>
                                    <w:rPr>
                                      <w:rFonts w:ascii="Cambria Math" w:hAnsi="Cambria Math" w:cs="Arial"/>
                                    </w:rPr>
                                    <m:t>1</m:t>
                                  </m:r>
                                </m:sub>
                              </m:sSub>
                            </m:e>
                          </m:mr>
                          <m:mr>
                            <m:e>
                              <m:sSub>
                                <m:sSubPr>
                                  <m:ctrlPr>
                                    <w:rPr>
                                      <w:rFonts w:ascii="Cambria Math" w:hAnsi="Cambria Math" w:cs="Arial"/>
                                      <w:i/>
                                    </w:rPr>
                                  </m:ctrlPr>
                                </m:sSubPr>
                                <m:e>
                                  <m:r>
                                    <w:rPr>
                                      <w:rFonts w:ascii="Cambria Math" w:hAnsi="Cambria Math" w:cs="Arial"/>
                                    </w:rPr>
                                    <m:t>x</m:t>
                                  </m:r>
                                </m:e>
                                <m:sub>
                                  <m:r>
                                    <w:rPr>
                                      <w:rFonts w:ascii="Cambria Math" w:hAnsi="Cambria Math" w:cs="Arial"/>
                                    </w:rPr>
                                    <m:t>2</m:t>
                                  </m:r>
                                </m:sub>
                              </m:sSub>
                            </m:e>
                          </m:mr>
                        </m:m>
                      </m:e>
                    </m:mr>
                    <m:mr>
                      <m:e>
                        <m:m>
                          <m:mPr>
                            <m:mcs>
                              <m:mc>
                                <m:mcPr>
                                  <m:count m:val="1"/>
                                  <m:mcJc m:val="center"/>
                                </m:mcPr>
                              </m:mc>
                            </m:mcs>
                            <m:ctrlPr>
                              <w:rPr>
                                <w:rFonts w:ascii="Cambria Math" w:hAnsi="Cambria Math" w:cs="Arial"/>
                                <w:bCs/>
                                <w:i/>
                                <w:iCs/>
                              </w:rPr>
                            </m:ctrlPr>
                          </m:mPr>
                          <m:mr>
                            <m:e>
                              <m:sSub>
                                <m:sSubPr>
                                  <m:ctrlPr>
                                    <w:rPr>
                                      <w:rFonts w:ascii="Cambria Math" w:hAnsi="Cambria Math" w:cs="Arial"/>
                                      <w:i/>
                                    </w:rPr>
                                  </m:ctrlPr>
                                </m:sSubPr>
                                <m:e>
                                  <m:r>
                                    <w:rPr>
                                      <w:rFonts w:ascii="Cambria Math" w:hAnsi="Cambria Math" w:cs="Arial"/>
                                    </w:rPr>
                                    <m:t>x</m:t>
                                  </m:r>
                                </m:e>
                                <m:sub>
                                  <m:r>
                                    <w:rPr>
                                      <w:rFonts w:ascii="Cambria Math" w:hAnsi="Cambria Math" w:cs="Arial"/>
                                    </w:rPr>
                                    <m:t>3</m:t>
                                  </m:r>
                                </m:sub>
                              </m:sSub>
                            </m:e>
                          </m:mr>
                          <m:mr>
                            <m:e>
                              <m:sSub>
                                <m:sSubPr>
                                  <m:ctrlPr>
                                    <w:rPr>
                                      <w:rFonts w:ascii="Cambria Math" w:hAnsi="Cambria Math" w:cs="Arial"/>
                                      <w:i/>
                                    </w:rPr>
                                  </m:ctrlPr>
                                </m:sSubPr>
                                <m:e>
                                  <m:r>
                                    <w:rPr>
                                      <w:rFonts w:ascii="Cambria Math" w:hAnsi="Cambria Math" w:cs="Arial"/>
                                    </w:rPr>
                                    <m:t>x</m:t>
                                  </m:r>
                                </m:e>
                                <m:sub>
                                  <m:r>
                                    <w:rPr>
                                      <w:rFonts w:ascii="Cambria Math" w:hAnsi="Cambria Math" w:cs="Arial"/>
                                    </w:rPr>
                                    <m:t>4</m:t>
                                  </m:r>
                                </m:sub>
                              </m:sSub>
                            </m:e>
                          </m:mr>
                        </m:m>
                      </m:e>
                    </m:mr>
                  </m:m>
                </m:e>
              </m:d>
            </m:e>
            <m:sup>
              <m:r>
                <w:rPr>
                  <w:rFonts w:ascii="Cambria Math" w:hAnsi="Cambria Math" w:cs="Arial"/>
                </w:rPr>
                <m:t>t</m:t>
              </m:r>
            </m:sup>
          </m:sSup>
        </m:oMath>
      </m:oMathPara>
    </w:p>
    <w:p w:rsidR="002429F5" w:rsidRDefault="002429F5" w:rsidP="002429F5">
      <w:pPr>
        <w:jc w:val="both"/>
        <w:rPr>
          <w:rFonts w:ascii="Arial" w:hAnsi="Arial" w:cs="Arial"/>
          <w:bCs/>
          <w:iCs/>
        </w:rPr>
      </w:pPr>
    </w:p>
    <w:p w:rsidR="002429F5" w:rsidRPr="002A5A86" w:rsidRDefault="002429F5" w:rsidP="002429F5">
      <w:pPr>
        <w:jc w:val="both"/>
        <w:rPr>
          <w:rFonts w:ascii="Arial" w:hAnsi="Arial" w:cs="Arial"/>
          <w:bCs/>
          <w:iCs/>
        </w:rPr>
      </w:pPr>
      <m:oMathPara>
        <m:oMathParaPr>
          <m:jc m:val="left"/>
        </m:oMathParaPr>
        <m:oMath>
          <m:r>
            <w:rPr>
              <w:rFonts w:ascii="Cambria Math" w:hAnsi="Cambria Math" w:cs="Arial"/>
            </w:rPr>
            <m:t xml:space="preserve">          =</m:t>
          </m:r>
          <m:sSup>
            <m:sSupPr>
              <m:ctrlPr>
                <w:rPr>
                  <w:rFonts w:ascii="Cambria Math" w:hAnsi="Cambria Math" w:cs="Arial"/>
                  <w:bCs/>
                  <w:i/>
                  <w:iCs/>
                </w:rPr>
              </m:ctrlPr>
            </m:sSupPr>
            <m:e>
              <m:r>
                <w:rPr>
                  <w:rFonts w:ascii="Cambria Math" w:hAnsi="Cambria Math" w:cs="Arial"/>
                </w:rPr>
                <m:t>∥x∥</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sSub>
                <m:sSubPr>
                  <m:ctrlPr>
                    <w:rPr>
                      <w:rFonts w:ascii="Cambria Math" w:hAnsi="Cambria Math" w:cs="Arial"/>
                      <w:i/>
                    </w:rPr>
                  </m:ctrlPr>
                </m:sSubPr>
                <m:e>
                  <m:r>
                    <w:rPr>
                      <w:rFonts w:ascii="Cambria Math" w:hAnsi="Cambria Math" w:cs="Arial"/>
                    </w:rPr>
                    <m:t>u</m:t>
                  </m:r>
                </m:e>
                <m:sub>
                  <m:r>
                    <w:rPr>
                      <w:rFonts w:ascii="Cambria Math" w:hAnsi="Cambria Math" w:cs="Arial"/>
                    </w:rPr>
                    <m:t>1</m:t>
                  </m:r>
                </m:sub>
              </m:sSub>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sSub>
                <m:sSubPr>
                  <m:ctrlPr>
                    <w:rPr>
                      <w:rFonts w:ascii="Cambria Math" w:hAnsi="Cambria Math" w:cs="Arial"/>
                      <w:i/>
                    </w:rPr>
                  </m:ctrlPr>
                </m:sSubPr>
                <m:e>
                  <m:r>
                    <w:rPr>
                      <w:rFonts w:ascii="Cambria Math" w:hAnsi="Cambria Math" w:cs="Arial"/>
                    </w:rPr>
                    <m:t>u</m:t>
                  </m:r>
                </m:e>
                <m:sub>
                  <m:r>
                    <w:rPr>
                      <w:rFonts w:ascii="Cambria Math" w:hAnsi="Cambria Math" w:cs="Arial"/>
                    </w:rPr>
                    <m:t>2</m:t>
                  </m:r>
                </m:sub>
              </m:sSub>
            </m:e>
            <m:sup>
              <m:r>
                <w:rPr>
                  <w:rFonts w:ascii="Cambria Math" w:hAnsi="Cambria Math" w:cs="Arial"/>
                </w:rPr>
                <m:t>2</m:t>
              </m:r>
            </m:sup>
          </m:sSup>
          <m:r>
            <w:rPr>
              <w:rFonts w:ascii="Cambria Math" w:hAnsi="Cambria Math" w:cs="Arial"/>
            </w:rPr>
            <m:t>)</m:t>
          </m:r>
          <m:d>
            <m:dPr>
              <m:ctrlPr>
                <w:rPr>
                  <w:rFonts w:ascii="Cambria Math" w:hAnsi="Cambria Math" w:cs="Arial"/>
                  <w:bCs/>
                  <w:i/>
                  <w:iCs/>
                </w:rPr>
              </m:ctrlPr>
            </m:dPr>
            <m:e>
              <m:m>
                <m:mPr>
                  <m:mcs>
                    <m:mc>
                      <m:mcPr>
                        <m:count m:val="2"/>
                        <m:mcJc m:val="center"/>
                      </m:mcPr>
                    </m:mc>
                  </m:mcs>
                  <m:ctrlPr>
                    <w:rPr>
                      <w:rFonts w:ascii="Cambria Math" w:hAnsi="Cambria Math" w:cs="Arial"/>
                      <w:bCs/>
                      <w:i/>
                      <w:iCs/>
                    </w:rPr>
                  </m:ctrlPr>
                </m:mPr>
                <m:mr>
                  <m:e>
                    <m:m>
                      <m:mPr>
                        <m:mcs>
                          <m:mc>
                            <m:mcPr>
                              <m:count m:val="3"/>
                              <m:mcJc m:val="center"/>
                            </m:mcPr>
                          </m:mc>
                        </m:mcs>
                        <m:ctrlPr>
                          <w:rPr>
                            <w:rFonts w:ascii="Cambria Math" w:hAnsi="Cambria Math" w:cs="Arial"/>
                            <w:bCs/>
                            <w:i/>
                            <w:iCs/>
                          </w:rPr>
                        </m:ctrlPr>
                      </m:mPr>
                      <m:mr>
                        <m:e>
                          <m:r>
                            <w:rPr>
                              <w:rFonts w:ascii="Cambria Math" w:hAnsi="Cambria Math" w:cs="Arial"/>
                            </w:rPr>
                            <m:t>1</m:t>
                          </m:r>
                        </m:e>
                        <m:e>
                          <m:r>
                            <w:rPr>
                              <w:rFonts w:ascii="Cambria Math" w:hAnsi="Cambria Math" w:cs="Arial"/>
                            </w:rPr>
                            <m:t>0</m:t>
                          </m:r>
                        </m:e>
                        <m:e>
                          <m:r>
                            <w:rPr>
                              <w:rFonts w:ascii="Cambria Math" w:hAnsi="Cambria Math" w:cs="Arial"/>
                            </w:rPr>
                            <m:t>0</m:t>
                          </m:r>
                        </m:e>
                      </m:mr>
                      <m:mr>
                        <m:e>
                          <m:r>
                            <w:rPr>
                              <w:rFonts w:ascii="Cambria Math" w:hAnsi="Cambria Math" w:cs="Arial"/>
                            </w:rPr>
                            <m:t>0</m:t>
                          </m:r>
                        </m:e>
                        <m:e>
                          <m:r>
                            <w:rPr>
                              <w:rFonts w:ascii="Cambria Math" w:hAnsi="Cambria Math" w:cs="Arial"/>
                            </w:rPr>
                            <m:t>1</m:t>
                          </m:r>
                        </m:e>
                        <m:e>
                          <m:r>
                            <w:rPr>
                              <w:rFonts w:ascii="Cambria Math" w:hAnsi="Cambria Math" w:cs="Arial"/>
                            </w:rPr>
                            <m:t>0</m:t>
                          </m:r>
                        </m:e>
                      </m:mr>
                      <m:mr>
                        <m:e>
                          <m:m>
                            <m:mPr>
                              <m:mcs>
                                <m:mc>
                                  <m:mcPr>
                                    <m:count m:val="1"/>
                                    <m:mcJc m:val="center"/>
                                  </m:mcPr>
                                </m:mc>
                              </m:mcs>
                              <m:ctrlPr>
                                <w:rPr>
                                  <w:rFonts w:ascii="Cambria Math" w:hAnsi="Cambria Math" w:cs="Arial"/>
                                  <w:bCs/>
                                  <w:i/>
                                  <w:iCs/>
                                </w:rPr>
                              </m:ctrlPr>
                            </m:mPr>
                            <m:mr>
                              <m:e>
                                <m:r>
                                  <w:rPr>
                                    <w:rFonts w:ascii="Cambria Math" w:hAnsi="Cambria Math" w:cs="Arial"/>
                                  </w:rPr>
                                  <m:t>0</m:t>
                                </m:r>
                              </m:e>
                            </m:mr>
                            <m:mr>
                              <m:e>
                                <m:r>
                                  <w:rPr>
                                    <w:rFonts w:ascii="Cambria Math" w:hAnsi="Cambria Math" w:cs="Arial"/>
                                  </w:rPr>
                                  <m:t>0</m:t>
                                </m:r>
                              </m:e>
                            </m:mr>
                          </m:m>
                        </m:e>
                        <m:e>
                          <m:m>
                            <m:mPr>
                              <m:mcs>
                                <m:mc>
                                  <m:mcPr>
                                    <m:count m:val="1"/>
                                    <m:mcJc m:val="center"/>
                                  </m:mcPr>
                                </m:mc>
                              </m:mcs>
                              <m:ctrlPr>
                                <w:rPr>
                                  <w:rFonts w:ascii="Cambria Math" w:hAnsi="Cambria Math" w:cs="Arial"/>
                                  <w:bCs/>
                                  <w:i/>
                                  <w:iCs/>
                                </w:rPr>
                              </m:ctrlPr>
                            </m:mPr>
                            <m:mr>
                              <m:e>
                                <m:r>
                                  <w:rPr>
                                    <w:rFonts w:ascii="Cambria Math" w:hAnsi="Cambria Math" w:cs="Arial"/>
                                  </w:rPr>
                                  <m:t>0</m:t>
                                </m:r>
                              </m:e>
                            </m:mr>
                            <m:mr>
                              <m:e>
                                <m:r>
                                  <w:rPr>
                                    <w:rFonts w:ascii="Cambria Math" w:hAnsi="Cambria Math" w:cs="Arial"/>
                                  </w:rPr>
                                  <m:t>0</m:t>
                                </m:r>
                              </m:e>
                            </m:mr>
                          </m:m>
                        </m:e>
                        <m:e>
                          <m:m>
                            <m:mPr>
                              <m:mcs>
                                <m:mc>
                                  <m:mcPr>
                                    <m:count m:val="1"/>
                                    <m:mcJc m:val="center"/>
                                  </m:mcPr>
                                </m:mc>
                              </m:mcs>
                              <m:ctrlPr>
                                <w:rPr>
                                  <w:rFonts w:ascii="Cambria Math" w:hAnsi="Cambria Math" w:cs="Arial"/>
                                  <w:bCs/>
                                  <w:i/>
                                  <w:iCs/>
                                </w:rPr>
                              </m:ctrlPr>
                            </m:mPr>
                            <m:mr>
                              <m:e>
                                <m:r>
                                  <w:rPr>
                                    <w:rFonts w:ascii="Cambria Math" w:hAnsi="Cambria Math" w:cs="Arial"/>
                                  </w:rPr>
                                  <m:t>1</m:t>
                                </m:r>
                              </m:e>
                            </m:mr>
                            <m:mr>
                              <m:e>
                                <m:r>
                                  <w:rPr>
                                    <w:rFonts w:ascii="Cambria Math" w:hAnsi="Cambria Math" w:cs="Arial"/>
                                  </w:rPr>
                                  <m:t>0</m:t>
                                </m:r>
                              </m:e>
                            </m:mr>
                          </m:m>
                        </m:e>
                      </m:mr>
                    </m:m>
                  </m:e>
                  <m:e>
                    <m:m>
                      <m:mPr>
                        <m:mcs>
                          <m:mc>
                            <m:mcPr>
                              <m:count m:val="1"/>
                              <m:mcJc m:val="center"/>
                            </m:mcPr>
                          </m:mc>
                        </m:mcs>
                        <m:ctrlPr>
                          <w:rPr>
                            <w:rFonts w:ascii="Cambria Math" w:hAnsi="Cambria Math" w:cs="Arial"/>
                            <w:bCs/>
                            <w:i/>
                            <w:iCs/>
                          </w:rPr>
                        </m:ctrlPr>
                      </m:mPr>
                      <m:mr>
                        <m:e>
                          <m:m>
                            <m:mPr>
                              <m:mcs>
                                <m:mc>
                                  <m:mcPr>
                                    <m:count m:val="1"/>
                                    <m:mcJc m:val="center"/>
                                  </m:mcPr>
                                </m:mc>
                              </m:mcs>
                              <m:ctrlPr>
                                <w:rPr>
                                  <w:rFonts w:ascii="Cambria Math" w:hAnsi="Cambria Math" w:cs="Arial"/>
                                  <w:bCs/>
                                  <w:i/>
                                  <w:iCs/>
                                </w:rPr>
                              </m:ctrlPr>
                            </m:mPr>
                            <m:mr>
                              <m:e>
                                <m:r>
                                  <w:rPr>
                                    <w:rFonts w:ascii="Cambria Math" w:hAnsi="Cambria Math" w:cs="Arial"/>
                                  </w:rPr>
                                  <m:t>0</m:t>
                                </m:r>
                              </m:e>
                            </m:mr>
                            <m:mr>
                              <m:e>
                                <m:r>
                                  <w:rPr>
                                    <w:rFonts w:ascii="Cambria Math" w:hAnsi="Cambria Math" w:cs="Arial"/>
                                  </w:rPr>
                                  <m:t>0</m:t>
                                </m:r>
                              </m:e>
                            </m:mr>
                          </m:m>
                        </m:e>
                      </m:mr>
                      <m:mr>
                        <m:e>
                          <m:m>
                            <m:mPr>
                              <m:mcs>
                                <m:mc>
                                  <m:mcPr>
                                    <m:count m:val="1"/>
                                    <m:mcJc m:val="center"/>
                                  </m:mcPr>
                                </m:mc>
                              </m:mcs>
                              <m:ctrlPr>
                                <w:rPr>
                                  <w:rFonts w:ascii="Cambria Math" w:hAnsi="Cambria Math" w:cs="Arial"/>
                                  <w:bCs/>
                                  <w:i/>
                                  <w:iCs/>
                                </w:rPr>
                              </m:ctrlPr>
                            </m:mPr>
                            <m:mr>
                              <m:e>
                                <m:r>
                                  <w:rPr>
                                    <w:rFonts w:ascii="Cambria Math" w:hAnsi="Cambria Math" w:cs="Arial"/>
                                  </w:rPr>
                                  <m:t>0</m:t>
                                </m:r>
                              </m:e>
                            </m:mr>
                            <m:mr>
                              <m:e>
                                <m:r>
                                  <w:rPr>
                                    <w:rFonts w:ascii="Cambria Math" w:hAnsi="Cambria Math" w:cs="Arial"/>
                                  </w:rPr>
                                  <m:t>1</m:t>
                                </m:r>
                              </m:e>
                            </m:mr>
                          </m:m>
                        </m:e>
                      </m:mr>
                    </m:m>
                  </m:e>
                </m:mr>
              </m:m>
              <m:r>
                <w:rPr>
                  <w:rFonts w:ascii="Cambria Math" w:hAnsi="Cambria Math" w:cs="Arial"/>
                </w:rPr>
                <m:t xml:space="preserve"> </m:t>
              </m:r>
            </m:e>
          </m:d>
        </m:oMath>
      </m:oMathPara>
    </w:p>
    <w:p w:rsidR="002429F5" w:rsidRDefault="002429F5" w:rsidP="002429F5">
      <w:pPr>
        <w:jc w:val="both"/>
        <w:rPr>
          <w:rFonts w:ascii="Arial" w:hAnsi="Arial" w:cs="Arial"/>
          <w:iCs/>
          <w:color w:val="000000"/>
        </w:rPr>
      </w:pPr>
    </w:p>
    <w:p w:rsidR="002429F5" w:rsidRDefault="002429F5" w:rsidP="002429F5">
      <w:pPr>
        <w:jc w:val="both"/>
        <w:rPr>
          <w:rFonts w:ascii="Arial" w:hAnsi="Arial" w:cs="Arial"/>
          <w:iCs/>
          <w:color w:val="000000"/>
        </w:rPr>
      </w:pPr>
      <w:r>
        <w:rPr>
          <w:rFonts w:ascii="Arial" w:hAnsi="Arial" w:cs="Arial"/>
          <w:iCs/>
          <w:color w:val="000000"/>
        </w:rPr>
        <w:t xml:space="preserve">then, </w:t>
      </w:r>
    </w:p>
    <w:p w:rsidR="002429F5" w:rsidRDefault="002429F5" w:rsidP="002429F5">
      <w:pPr>
        <w:jc w:val="both"/>
        <w:rPr>
          <w:rFonts w:ascii="Arial" w:hAnsi="Arial" w:cs="Arial"/>
          <w:iCs/>
          <w:color w:val="000000"/>
        </w:rPr>
      </w:pPr>
    </w:p>
    <w:p w:rsidR="002429F5" w:rsidRPr="002A5A86" w:rsidRDefault="001345E4" w:rsidP="002429F5">
      <w:pPr>
        <w:jc w:val="both"/>
        <w:rPr>
          <w:rFonts w:ascii="Arial" w:hAnsi="Arial" w:cs="Arial"/>
          <w:bCs/>
          <w:iCs/>
          <w:color w:val="000000"/>
        </w:rPr>
      </w:pPr>
      <m:oMathPara>
        <m:oMathParaPr>
          <m:jc m:val="left"/>
        </m:oMathParaPr>
        <m:oMath>
          <m:f>
            <m:fPr>
              <m:ctrlPr>
                <w:rPr>
                  <w:rFonts w:ascii="Cambria Math" w:hAnsi="Cambria Math" w:cs="Arial"/>
                  <w:i/>
                  <w:iCs/>
                  <w:color w:val="000000"/>
                </w:rPr>
              </m:ctrlPr>
            </m:fPr>
            <m:num>
              <m:r>
                <w:rPr>
                  <w:rFonts w:ascii="Cambria Math" w:hAnsi="Cambria Math" w:cs="Arial"/>
                  <w:color w:val="000000"/>
                </w:rPr>
                <m:t>1</m:t>
              </m:r>
            </m:num>
            <m:den>
              <m:r>
                <w:rPr>
                  <w:rFonts w:ascii="Cambria Math" w:hAnsi="Cambria Math" w:cs="Arial"/>
                  <w:color w:val="000000"/>
                </w:rPr>
                <m:t>2</m:t>
              </m:r>
            </m:den>
          </m:f>
          <m:r>
            <w:rPr>
              <w:rFonts w:ascii="Cambria Math" w:hAnsi="Cambria Math" w:cs="Arial"/>
              <w:color w:val="000000"/>
            </w:rPr>
            <m:t xml:space="preserve"> </m:t>
          </m:r>
          <m:nary>
            <m:naryPr>
              <m:chr m:val="∑"/>
              <m:limLoc m:val="undOvr"/>
              <m:ctrlPr>
                <w:rPr>
                  <w:rFonts w:ascii="Cambria Math" w:hAnsi="Cambria Math" w:cs="Arial"/>
                  <w:i/>
                  <w:iCs/>
                  <w:color w:val="000000"/>
                </w:rPr>
              </m:ctrlPr>
            </m:naryPr>
            <m:sub>
              <m:r>
                <w:rPr>
                  <w:rFonts w:ascii="Cambria Math" w:hAnsi="Cambria Math" w:cs="Arial"/>
                  <w:color w:val="000000"/>
                </w:rPr>
                <m:t>i,j=1</m:t>
              </m:r>
            </m:sub>
            <m:sup>
              <m:r>
                <w:rPr>
                  <w:rFonts w:ascii="Cambria Math" w:hAnsi="Cambria Math" w:cs="Arial"/>
                  <w:color w:val="000000"/>
                </w:rPr>
                <m:t>4</m:t>
              </m:r>
            </m:sup>
            <m:e>
              <m:sSub>
                <m:sSubPr>
                  <m:ctrlPr>
                    <w:rPr>
                      <w:rFonts w:ascii="Cambria Math" w:hAnsi="Cambria Math" w:cs="Arial"/>
                      <w:i/>
                      <w:iCs/>
                      <w:color w:val="000000"/>
                    </w:rPr>
                  </m:ctrlPr>
                </m:sSubPr>
                <m:e>
                  <m:d>
                    <m:dPr>
                      <m:begChr m:val="["/>
                      <m:endChr m:val="]"/>
                      <m:ctrlPr>
                        <w:rPr>
                          <w:rFonts w:ascii="Cambria Math" w:hAnsi="Cambria Math" w:cs="Arial"/>
                          <w:i/>
                          <w:iCs/>
                          <w:color w:val="000000"/>
                        </w:rPr>
                      </m:ctrlPr>
                    </m:dPr>
                    <m:e>
                      <m:r>
                        <w:rPr>
                          <w:rFonts w:ascii="Cambria Math" w:hAnsi="Cambria Math" w:cs="Arial"/>
                          <w:color w:val="000000"/>
                        </w:rPr>
                        <m:t>σ</m:t>
                      </m:r>
                      <m:d>
                        <m:dPr>
                          <m:ctrlPr>
                            <w:rPr>
                              <w:rFonts w:ascii="Cambria Math" w:hAnsi="Cambria Math" w:cs="Arial"/>
                              <w:i/>
                              <w:iCs/>
                              <w:color w:val="000000"/>
                            </w:rPr>
                          </m:ctrlPr>
                        </m:dPr>
                        <m:e>
                          <m:r>
                            <w:rPr>
                              <w:rFonts w:ascii="Cambria Math" w:hAnsi="Cambria Math" w:cs="Arial"/>
                              <w:color w:val="000000"/>
                            </w:rPr>
                            <m:t>t,x,u</m:t>
                          </m:r>
                        </m:e>
                      </m:d>
                      <m:sSup>
                        <m:sSupPr>
                          <m:ctrlPr>
                            <w:rPr>
                              <w:rFonts w:ascii="Cambria Math" w:hAnsi="Cambria Math" w:cs="Arial"/>
                              <w:i/>
                              <w:iCs/>
                              <w:color w:val="000000"/>
                            </w:rPr>
                          </m:ctrlPr>
                        </m:sSupPr>
                        <m:e>
                          <m:r>
                            <w:rPr>
                              <w:rFonts w:ascii="Cambria Math" w:hAnsi="Cambria Math" w:cs="Arial"/>
                              <w:color w:val="000000"/>
                            </w:rPr>
                            <m:t>σ</m:t>
                          </m:r>
                          <m:d>
                            <m:dPr>
                              <m:ctrlPr>
                                <w:rPr>
                                  <w:rFonts w:ascii="Cambria Math" w:hAnsi="Cambria Math" w:cs="Arial"/>
                                  <w:i/>
                                  <w:iCs/>
                                  <w:color w:val="000000"/>
                                </w:rPr>
                              </m:ctrlPr>
                            </m:dPr>
                            <m:e>
                              <m:r>
                                <w:rPr>
                                  <w:rFonts w:ascii="Cambria Math" w:hAnsi="Cambria Math" w:cs="Arial"/>
                                  <w:color w:val="000000"/>
                                </w:rPr>
                                <m:t>t,x,u</m:t>
                              </m:r>
                            </m:e>
                          </m:d>
                        </m:e>
                        <m:sup>
                          <m:r>
                            <w:rPr>
                              <w:rFonts w:ascii="Cambria Math" w:hAnsi="Cambria Math" w:cs="Arial"/>
                              <w:color w:val="000000"/>
                            </w:rPr>
                            <m:t>t</m:t>
                          </m:r>
                        </m:sup>
                      </m:sSup>
                    </m:e>
                  </m:d>
                </m:e>
                <m:sub>
                  <m:r>
                    <w:rPr>
                      <w:rFonts w:ascii="Cambria Math" w:hAnsi="Cambria Math" w:cs="Arial"/>
                      <w:color w:val="000000"/>
                    </w:rPr>
                    <m:t>ij</m:t>
                  </m:r>
                </m:sub>
              </m:sSub>
              <m:f>
                <m:fPr>
                  <m:ctrlPr>
                    <w:rPr>
                      <w:rFonts w:ascii="Cambria Math" w:hAnsi="Cambria Math" w:cs="Arial"/>
                      <w:i/>
                      <w:iCs/>
                      <w:color w:val="000000"/>
                    </w:rPr>
                  </m:ctrlPr>
                </m:fPr>
                <m:num>
                  <m:sSup>
                    <m:sSupPr>
                      <m:ctrlPr>
                        <w:rPr>
                          <w:rFonts w:ascii="Cambria Math" w:hAnsi="Cambria Math" w:cs="Arial"/>
                          <w:i/>
                          <w:iCs/>
                          <w:color w:val="000000"/>
                        </w:rPr>
                      </m:ctrlPr>
                    </m:sSupPr>
                    <m:e>
                      <m:r>
                        <w:rPr>
                          <w:rFonts w:ascii="Cambria Math" w:hAnsi="Cambria Math" w:cs="Arial"/>
                          <w:color w:val="000000"/>
                        </w:rPr>
                        <m:t>∂</m:t>
                      </m:r>
                    </m:e>
                    <m:sup>
                      <m:r>
                        <w:rPr>
                          <w:rFonts w:ascii="Cambria Math" w:hAnsi="Cambria Math" w:cs="Arial"/>
                          <w:color w:val="000000"/>
                        </w:rPr>
                        <m:t>2</m:t>
                      </m:r>
                    </m:sup>
                  </m:sSup>
                  <m:r>
                    <w:rPr>
                      <w:rFonts w:ascii="Cambria Math" w:hAnsi="Cambria Math" w:cs="Arial"/>
                      <w:color w:val="000000"/>
                    </w:rPr>
                    <m:t>V</m:t>
                  </m:r>
                </m:num>
                <m:den>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i</m:t>
                      </m:r>
                    </m:sub>
                  </m:sSub>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j</m:t>
                      </m:r>
                    </m:sub>
                  </m:sSub>
                </m:den>
              </m:f>
            </m:e>
          </m:nary>
          <m:r>
            <w:rPr>
              <w:rFonts w:ascii="Cambria Math" w:hAnsi="Cambria Math" w:cs="Arial"/>
              <w:color w:val="000000"/>
            </w:rPr>
            <m:t>=</m:t>
          </m:r>
          <m:f>
            <m:fPr>
              <m:ctrlPr>
                <w:rPr>
                  <w:rFonts w:ascii="Cambria Math" w:hAnsi="Cambria Math" w:cs="Arial"/>
                  <w:i/>
                  <w:iCs/>
                  <w:color w:val="000000"/>
                </w:rPr>
              </m:ctrlPr>
            </m:fPr>
            <m:num>
              <m:r>
                <w:rPr>
                  <w:rFonts w:ascii="Cambria Math" w:hAnsi="Cambria Math" w:cs="Arial"/>
                  <w:color w:val="000000"/>
                </w:rPr>
                <m:t>1</m:t>
              </m:r>
            </m:num>
            <m:den>
              <m:r>
                <w:rPr>
                  <w:rFonts w:ascii="Cambria Math" w:hAnsi="Cambria Math" w:cs="Arial"/>
                  <w:color w:val="000000"/>
                </w:rPr>
                <m:t>2</m:t>
              </m:r>
            </m:den>
          </m:f>
          <m:r>
            <w:rPr>
              <w:rFonts w:ascii="Cambria Math" w:hAnsi="Cambria Math" w:cs="Arial"/>
              <w:color w:val="000000"/>
            </w:rPr>
            <m:t xml:space="preserve"> 4</m:t>
          </m:r>
          <m:sSup>
            <m:sSupPr>
              <m:ctrlPr>
                <w:rPr>
                  <w:rFonts w:ascii="Cambria Math" w:hAnsi="Cambria Math" w:cs="Arial"/>
                  <w:bCs/>
                  <w:i/>
                  <w:iCs/>
                  <w:color w:val="000000"/>
                </w:rPr>
              </m:ctrlPr>
            </m:sSupPr>
            <m:e>
              <m:r>
                <w:rPr>
                  <w:rFonts w:ascii="Cambria Math" w:hAnsi="Cambria Math" w:cs="Arial"/>
                  <w:color w:val="000000"/>
                </w:rPr>
                <m:t>∥x∥</m:t>
              </m:r>
            </m:e>
            <m:sup>
              <m:r>
                <w:rPr>
                  <w:rFonts w:ascii="Cambria Math" w:hAnsi="Cambria Math" w:cs="Arial"/>
                  <w:color w:val="000000"/>
                </w:rPr>
                <m:t>2</m:t>
              </m:r>
            </m:sup>
          </m:sSup>
          <m:d>
            <m:dPr>
              <m:ctrlPr>
                <w:rPr>
                  <w:rFonts w:ascii="Cambria Math" w:hAnsi="Cambria Math" w:cs="Arial"/>
                  <w:i/>
                  <w:iCs/>
                  <w:color w:val="000000"/>
                </w:rPr>
              </m:ctrlPr>
            </m:dPr>
            <m:e>
              <m:sSup>
                <m:sSupPr>
                  <m:ctrlPr>
                    <w:rPr>
                      <w:rFonts w:ascii="Cambria Math" w:hAnsi="Cambria Math" w:cs="Arial"/>
                      <w:i/>
                      <w:iCs/>
                      <w:color w:val="000000"/>
                    </w:rPr>
                  </m:ctrlPr>
                </m:sSupPr>
                <m:e>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e>
                <m:sup>
                  <m:r>
                    <w:rPr>
                      <w:rFonts w:ascii="Cambria Math" w:hAnsi="Cambria Math" w:cs="Arial"/>
                      <w:color w:val="000000"/>
                    </w:rPr>
                    <m:t>2</m:t>
                  </m:r>
                </m:sup>
              </m:sSup>
              <m:r>
                <w:rPr>
                  <w:rFonts w:ascii="Cambria Math" w:hAnsi="Cambria Math" w:cs="Arial"/>
                  <w:color w:val="000000"/>
                </w:rPr>
                <m:t>+</m:t>
              </m:r>
              <m:sSup>
                <m:sSupPr>
                  <m:ctrlPr>
                    <w:rPr>
                      <w:rFonts w:ascii="Cambria Math" w:hAnsi="Cambria Math" w:cs="Arial"/>
                      <w:i/>
                      <w:iCs/>
                      <w:color w:val="000000"/>
                    </w:rPr>
                  </m:ctrlPr>
                </m:sSupPr>
                <m:e>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2</m:t>
                      </m:r>
                    </m:sub>
                  </m:sSub>
                </m:e>
                <m:sup>
                  <m:r>
                    <w:rPr>
                      <w:rFonts w:ascii="Cambria Math" w:hAnsi="Cambria Math" w:cs="Arial"/>
                      <w:color w:val="000000"/>
                    </w:rPr>
                    <m:t>2</m:t>
                  </m:r>
                </m:sup>
              </m:sSup>
            </m:e>
          </m:d>
          <m:r>
            <w:rPr>
              <w:rFonts w:ascii="Cambria Math" w:hAnsi="Cambria Math" w:cs="Arial"/>
              <w:color w:val="000000"/>
            </w:rPr>
            <m:t>2</m:t>
          </m:r>
          <m:sSup>
            <m:sSupPr>
              <m:ctrlPr>
                <w:rPr>
                  <w:rFonts w:ascii="Cambria Math" w:hAnsi="Cambria Math" w:cs="Arial"/>
                  <w:i/>
                  <w:iCs/>
                  <w:color w:val="000000"/>
                </w:rPr>
              </m:ctrlPr>
            </m:sSupPr>
            <m:e>
              <m:d>
                <m:dPr>
                  <m:ctrlPr>
                    <w:rPr>
                      <w:rFonts w:ascii="Cambria Math" w:hAnsi="Cambria Math" w:cs="Arial"/>
                      <w:i/>
                      <w:iCs/>
                      <w:color w:val="000000"/>
                    </w:rPr>
                  </m:ctrlPr>
                </m:dPr>
                <m:e>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1</m:t>
                      </m:r>
                    </m:sub>
                  </m:sSub>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u</m:t>
                      </m:r>
                    </m:e>
                    <m:sub>
                      <m:r>
                        <w:rPr>
                          <w:rFonts w:ascii="Cambria Math" w:hAnsi="Cambria Math" w:cs="Arial"/>
                          <w:color w:val="000000"/>
                        </w:rPr>
                        <m:t>2</m:t>
                      </m:r>
                    </m:sub>
                  </m:sSub>
                  <m:d>
                    <m:dPr>
                      <m:ctrlPr>
                        <w:rPr>
                          <w:rFonts w:ascii="Cambria Math" w:hAnsi="Cambria Math" w:cs="Arial"/>
                          <w:i/>
                          <w:iCs/>
                          <w:color w:val="000000"/>
                        </w:rPr>
                      </m:ctrlPr>
                    </m:dPr>
                    <m:e>
                      <m:r>
                        <w:rPr>
                          <w:rFonts w:ascii="Cambria Math" w:hAnsi="Cambria Math" w:cs="Arial"/>
                          <w:color w:val="000000"/>
                        </w:rPr>
                        <m:t>t</m:t>
                      </m:r>
                    </m:e>
                  </m:d>
                </m:e>
              </m:d>
            </m:e>
            <m:sup>
              <m:r>
                <w:rPr>
                  <w:rFonts w:ascii="Cambria Math" w:hAnsi="Cambria Math" w:cs="Arial"/>
                  <w:color w:val="000000"/>
                </w:rPr>
                <m:t>rk</m:t>
              </m:r>
            </m:sup>
          </m:sSup>
        </m:oMath>
      </m:oMathPara>
    </w:p>
    <w:p w:rsidR="002429F5" w:rsidRDefault="002429F5" w:rsidP="002429F5">
      <w:pPr>
        <w:jc w:val="both"/>
        <w:rPr>
          <w:rFonts w:ascii="Arial" w:hAnsi="Arial" w:cs="Arial"/>
          <w:iCs/>
          <w:color w:val="000000"/>
        </w:rPr>
      </w:pPr>
    </w:p>
    <w:p w:rsidR="002429F5" w:rsidRPr="002A5A86" w:rsidRDefault="002429F5" w:rsidP="002429F5">
      <w:pPr>
        <w:jc w:val="both"/>
        <w:rPr>
          <w:rFonts w:ascii="Arial" w:hAnsi="Arial" w:cs="Arial"/>
          <w:iCs/>
          <w:color w:val="000000"/>
        </w:rPr>
      </w:pPr>
      <w:r>
        <w:rPr>
          <w:rFonts w:ascii="Arial" w:hAnsi="Arial" w:cs="Arial"/>
          <w:iCs/>
          <w:color w:val="000000"/>
        </w:rPr>
        <w:t>Therefore,</w:t>
      </w:r>
    </w:p>
    <w:p w:rsidR="002429F5" w:rsidRDefault="002429F5" w:rsidP="002429F5">
      <w:pPr>
        <w:jc w:val="both"/>
        <w:rPr>
          <w:rFonts w:ascii="Arial" w:hAnsi="Arial" w:cs="Arial"/>
          <w:iCs/>
          <w:color w:val="000000"/>
        </w:rPr>
      </w:pPr>
    </w:p>
    <w:p w:rsidR="002429F5" w:rsidRPr="00982965" w:rsidRDefault="002429F5" w:rsidP="002429F5">
      <w:pPr>
        <w:jc w:val="both"/>
        <w:rPr>
          <w:rFonts w:ascii="Cambria Math" w:hAnsi="Cambria Math" w:cs="Arial"/>
          <w:i/>
          <w:color w:val="000000"/>
        </w:rPr>
      </w:pPr>
      <m:oMathPara>
        <m:oMathParaPr>
          <m:jc m:val="right"/>
        </m:oMathParaPr>
        <m:oMath>
          <m:r>
            <w:rPr>
              <w:rFonts w:ascii="Cambria Math" w:hAnsi="Cambria Math" w:cs="Arial"/>
              <w:color w:val="000000"/>
            </w:rPr>
            <m:t>LV(t,x)=</m:t>
          </m:r>
          <m:sSup>
            <m:sSupPr>
              <m:ctrlPr>
                <w:rPr>
                  <w:rFonts w:ascii="Cambria Math" w:hAnsi="Cambria Math" w:cs="Arial"/>
                  <w:i/>
                  <w:color w:val="000000"/>
                </w:rPr>
              </m:ctrlPr>
            </m:sSupPr>
            <m:e>
              <m:d>
                <m:dPr>
                  <m:ctrlPr>
                    <w:rPr>
                      <w:rFonts w:ascii="Cambria Math" w:hAnsi="Cambria Math" w:cs="Arial"/>
                      <w:i/>
                      <w:color w:val="000000"/>
                    </w:rPr>
                  </m:ctrlPr>
                </m:dPr>
                <m:e>
                  <m:sSub>
                    <m:sSubPr>
                      <m:ctrlPr>
                        <w:rPr>
                          <w:rFonts w:ascii="Cambria Math" w:hAnsi="Cambria Math" w:cs="Arial"/>
                          <w:i/>
                          <w:color w:val="000000"/>
                        </w:rPr>
                      </m:ctrlPr>
                    </m:sSubPr>
                    <m:e>
                      <m:r>
                        <w:rPr>
                          <w:rFonts w:ascii="Cambria Math" w:hAnsi="Cambria Math" w:cs="Arial"/>
                          <w:color w:val="000000"/>
                        </w:rPr>
                        <m:t>u</m:t>
                      </m:r>
                    </m:e>
                    <m:sub>
                      <m:r>
                        <w:rPr>
                          <w:rFonts w:ascii="Cambria Math" w:hAnsi="Cambria Math" w:cs="Arial"/>
                          <w:color w:val="000000"/>
                        </w:rPr>
                        <m:t>1</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u</m:t>
                      </m:r>
                    </m:e>
                    <m:sub>
                      <m:r>
                        <w:rPr>
                          <w:rFonts w:ascii="Cambria Math" w:hAnsi="Cambria Math" w:cs="Arial"/>
                          <w:color w:val="000000"/>
                        </w:rPr>
                        <m:t>2</m:t>
                      </m:r>
                    </m:sub>
                  </m:sSub>
                </m:e>
              </m:d>
            </m:e>
            <m:sup>
              <m:r>
                <w:rPr>
                  <w:rFonts w:ascii="Cambria Math" w:hAnsi="Cambria Math" w:cs="Arial"/>
                  <w:color w:val="000000"/>
                </w:rPr>
                <m:t>rk</m:t>
              </m:r>
            </m:sup>
          </m:sSup>
          <m:sSup>
            <m:sSupPr>
              <m:ctrlPr>
                <w:rPr>
                  <w:rFonts w:ascii="Cambria Math" w:hAnsi="Cambria Math" w:cs="Arial"/>
                  <w:bCs/>
                  <w:i/>
                  <w:iCs/>
                  <w:color w:val="000000"/>
                </w:rPr>
              </m:ctrlPr>
            </m:sSupPr>
            <m:e>
              <m:r>
                <w:rPr>
                  <w:rFonts w:ascii="Cambria Math" w:hAnsi="Cambria Math" w:cs="Arial"/>
                  <w:color w:val="000000"/>
                </w:rPr>
                <m:t>∥x∥</m:t>
              </m:r>
            </m:e>
            <m:sup>
              <m:r>
                <w:rPr>
                  <w:rFonts w:ascii="Cambria Math" w:hAnsi="Cambria Math" w:cs="Arial"/>
                  <w:color w:val="000000"/>
                </w:rPr>
                <m:t>2</m:t>
              </m:r>
            </m:sup>
          </m:sSup>
          <m:r>
            <w:rPr>
              <w:rFonts w:ascii="Cambria Math" w:hAnsi="Cambria Math" w:cs="Arial"/>
              <w:color w:val="000000"/>
            </w:rPr>
            <m:t xml:space="preserve"> </m:t>
          </m:r>
          <m:d>
            <m:dPr>
              <m:ctrlPr>
                <w:rPr>
                  <w:rFonts w:ascii="Cambria Math" w:hAnsi="Cambria Math" w:cs="Arial"/>
                  <w:i/>
                  <w:color w:val="000000"/>
                </w:rPr>
              </m:ctrlPr>
            </m:dPr>
            <m:e>
              <m:r>
                <w:rPr>
                  <w:rFonts w:ascii="Cambria Math" w:hAnsi="Cambria Math" w:cs="Arial"/>
                  <w:color w:val="000000"/>
                </w:rPr>
                <m:t>rk</m:t>
              </m:r>
              <m:f>
                <m:fPr>
                  <m:ctrlPr>
                    <w:rPr>
                      <w:rFonts w:ascii="Cambria Math" w:hAnsi="Cambria Math" w:cs="Arial"/>
                      <w:i/>
                      <w:color w:val="000000"/>
                    </w:rPr>
                  </m:ctrlPr>
                </m:fPr>
                <m:num>
                  <m:sSubSup>
                    <m:sSubSupPr>
                      <m:ctrlPr>
                        <w:rPr>
                          <w:rFonts w:ascii="Cambria Math" w:hAnsi="Cambria Math" w:cs="Arial"/>
                          <w:i/>
                          <w:color w:val="000000"/>
                        </w:rPr>
                      </m:ctrlPr>
                    </m:sSubSupPr>
                    <m:e>
                      <m:r>
                        <w:rPr>
                          <w:rFonts w:ascii="Cambria Math" w:hAnsi="Cambria Math" w:cs="Arial"/>
                          <w:color w:val="000000"/>
                        </w:rPr>
                        <m:t>u</m:t>
                      </m:r>
                    </m:e>
                    <m:sub>
                      <m:r>
                        <w:rPr>
                          <w:rFonts w:ascii="Cambria Math" w:hAnsi="Cambria Math" w:cs="Arial"/>
                          <w:color w:val="000000"/>
                        </w:rPr>
                        <m:t>1</m:t>
                      </m:r>
                    </m:sub>
                    <m:sup>
                      <m:r>
                        <w:rPr>
                          <w:rFonts w:ascii="Cambria Math" w:hAnsi="Cambria Math" w:cs="Arial"/>
                          <w:color w:val="000000"/>
                        </w:rPr>
                        <m:t>'</m:t>
                      </m:r>
                    </m:sup>
                  </m:sSubSup>
                  <m:r>
                    <w:rPr>
                      <w:rFonts w:ascii="Cambria Math" w:hAnsi="Cambria Math" w:cs="Arial"/>
                      <w:color w:val="000000"/>
                    </w:rPr>
                    <m:t>+</m:t>
                  </m:r>
                  <m:sSubSup>
                    <m:sSubSupPr>
                      <m:ctrlPr>
                        <w:rPr>
                          <w:rFonts w:ascii="Cambria Math" w:hAnsi="Cambria Math" w:cs="Arial"/>
                          <w:i/>
                          <w:color w:val="000000"/>
                        </w:rPr>
                      </m:ctrlPr>
                    </m:sSubSupPr>
                    <m:e>
                      <m:r>
                        <w:rPr>
                          <w:rFonts w:ascii="Cambria Math" w:hAnsi="Cambria Math" w:cs="Arial"/>
                          <w:color w:val="000000"/>
                        </w:rPr>
                        <m:t>u</m:t>
                      </m:r>
                    </m:e>
                    <m:sub>
                      <m:r>
                        <w:rPr>
                          <w:rFonts w:ascii="Cambria Math" w:hAnsi="Cambria Math" w:cs="Arial"/>
                          <w:color w:val="000000"/>
                        </w:rPr>
                        <m:t>2</m:t>
                      </m:r>
                    </m:sub>
                    <m:sup>
                      <m:r>
                        <w:rPr>
                          <w:rFonts w:ascii="Cambria Math" w:hAnsi="Cambria Math" w:cs="Arial"/>
                          <w:color w:val="000000"/>
                        </w:rPr>
                        <m:t>'</m:t>
                      </m:r>
                    </m:sup>
                  </m:sSubSup>
                </m:num>
                <m:den>
                  <m:sSub>
                    <m:sSubPr>
                      <m:ctrlPr>
                        <w:rPr>
                          <w:rFonts w:ascii="Cambria Math" w:hAnsi="Cambria Math" w:cs="Arial"/>
                          <w:i/>
                          <w:color w:val="000000"/>
                        </w:rPr>
                      </m:ctrlPr>
                    </m:sSubPr>
                    <m:e>
                      <m:r>
                        <w:rPr>
                          <w:rFonts w:ascii="Cambria Math" w:hAnsi="Cambria Math" w:cs="Arial"/>
                          <w:color w:val="000000"/>
                        </w:rPr>
                        <m:t>u</m:t>
                      </m:r>
                    </m:e>
                    <m:sub>
                      <m:r>
                        <w:rPr>
                          <w:rFonts w:ascii="Cambria Math" w:hAnsi="Cambria Math" w:cs="Arial"/>
                          <w:color w:val="000000"/>
                        </w:rPr>
                        <m:t>1</m:t>
                      </m:r>
                    </m:sub>
                  </m:sSub>
                  <m:r>
                    <w:rPr>
                      <w:rFonts w:ascii="Cambria Math" w:hAnsi="Cambria Math" w:cs="Arial"/>
                      <w:color w:val="000000"/>
                    </w:rPr>
                    <m:t>+</m:t>
                  </m:r>
                  <m:sSub>
                    <m:sSubPr>
                      <m:ctrlPr>
                        <w:rPr>
                          <w:rFonts w:ascii="Cambria Math" w:hAnsi="Cambria Math" w:cs="Arial"/>
                          <w:i/>
                          <w:color w:val="000000"/>
                        </w:rPr>
                      </m:ctrlPr>
                    </m:sSubPr>
                    <m:e>
                      <m:r>
                        <w:rPr>
                          <w:rFonts w:ascii="Cambria Math" w:hAnsi="Cambria Math" w:cs="Arial"/>
                          <w:color w:val="000000"/>
                        </w:rPr>
                        <m:t>u</m:t>
                      </m:r>
                    </m:e>
                    <m:sub>
                      <m:r>
                        <w:rPr>
                          <w:rFonts w:ascii="Cambria Math" w:hAnsi="Cambria Math" w:cs="Arial"/>
                          <w:color w:val="000000"/>
                        </w:rPr>
                        <m:t>2</m:t>
                      </m:r>
                    </m:sub>
                  </m:sSub>
                </m:den>
              </m:f>
              <m:r>
                <w:rPr>
                  <w:rFonts w:ascii="Cambria Math" w:hAnsi="Cambria Math" w:cs="Arial"/>
                  <w:color w:val="000000"/>
                </w:rPr>
                <m:t>+2+4</m:t>
              </m:r>
              <m:d>
                <m:dPr>
                  <m:ctrlPr>
                    <w:rPr>
                      <w:rFonts w:ascii="Cambria Math" w:hAnsi="Cambria Math" w:cs="Arial"/>
                      <w:bCs/>
                      <w:i/>
                      <w:iCs/>
                      <w:color w:val="000000"/>
                    </w:rPr>
                  </m:ctrlPr>
                </m:dPr>
                <m:e>
                  <m:sSup>
                    <m:sSupPr>
                      <m:ctrlPr>
                        <w:rPr>
                          <w:rFonts w:ascii="Cambria Math" w:hAnsi="Cambria Math" w:cs="Arial"/>
                          <w:i/>
                          <w:color w:val="000000"/>
                        </w:rPr>
                      </m:ctrlPr>
                    </m:sSupPr>
                    <m:e>
                      <m:sSub>
                        <m:sSubPr>
                          <m:ctrlPr>
                            <w:rPr>
                              <w:rFonts w:ascii="Cambria Math" w:hAnsi="Cambria Math" w:cs="Arial"/>
                              <w:i/>
                              <w:color w:val="000000"/>
                            </w:rPr>
                          </m:ctrlPr>
                        </m:sSubPr>
                        <m:e>
                          <m:r>
                            <w:rPr>
                              <w:rFonts w:ascii="Cambria Math" w:hAnsi="Cambria Math" w:cs="Arial"/>
                              <w:color w:val="000000"/>
                            </w:rPr>
                            <m:t>u</m:t>
                          </m:r>
                        </m:e>
                        <m:sub>
                          <m:r>
                            <w:rPr>
                              <w:rFonts w:ascii="Cambria Math" w:hAnsi="Cambria Math" w:cs="Arial"/>
                              <w:color w:val="000000"/>
                            </w:rPr>
                            <m:t>1</m:t>
                          </m:r>
                        </m:sub>
                      </m:sSub>
                    </m:e>
                    <m:sup>
                      <m:r>
                        <w:rPr>
                          <w:rFonts w:ascii="Cambria Math" w:hAnsi="Cambria Math" w:cs="Arial"/>
                          <w:color w:val="000000"/>
                        </w:rPr>
                        <m:t>2</m:t>
                      </m:r>
                    </m:sup>
                  </m:sSup>
                  <m:r>
                    <w:rPr>
                      <w:rFonts w:ascii="Cambria Math" w:hAnsi="Cambria Math" w:cs="Arial"/>
                      <w:color w:val="000000"/>
                    </w:rPr>
                    <m:t>+</m:t>
                  </m:r>
                  <m:sSup>
                    <m:sSupPr>
                      <m:ctrlPr>
                        <w:rPr>
                          <w:rFonts w:ascii="Cambria Math" w:hAnsi="Cambria Math" w:cs="Arial"/>
                          <w:i/>
                          <w:color w:val="000000"/>
                        </w:rPr>
                      </m:ctrlPr>
                    </m:sSupPr>
                    <m:e>
                      <m:sSub>
                        <m:sSubPr>
                          <m:ctrlPr>
                            <w:rPr>
                              <w:rFonts w:ascii="Cambria Math" w:hAnsi="Cambria Math" w:cs="Arial"/>
                              <w:i/>
                              <w:color w:val="000000"/>
                            </w:rPr>
                          </m:ctrlPr>
                        </m:sSubPr>
                        <m:e>
                          <m:r>
                            <w:rPr>
                              <w:rFonts w:ascii="Cambria Math" w:hAnsi="Cambria Math" w:cs="Arial"/>
                              <w:color w:val="000000"/>
                            </w:rPr>
                            <m:t>u</m:t>
                          </m:r>
                        </m:e>
                        <m:sub>
                          <m:r>
                            <w:rPr>
                              <w:rFonts w:ascii="Cambria Math" w:hAnsi="Cambria Math" w:cs="Arial"/>
                              <w:color w:val="000000"/>
                            </w:rPr>
                            <m:t>2</m:t>
                          </m:r>
                        </m:sub>
                      </m:sSub>
                    </m:e>
                    <m:sup>
                      <m:r>
                        <w:rPr>
                          <w:rFonts w:ascii="Cambria Math" w:hAnsi="Cambria Math" w:cs="Arial"/>
                          <w:color w:val="000000"/>
                        </w:rPr>
                        <m:t>2</m:t>
                      </m:r>
                    </m:sup>
                  </m:sSup>
                </m:e>
              </m:d>
            </m:e>
          </m:d>
          <m:r>
            <w:rPr>
              <w:rFonts w:ascii="Cambria Math" w:hAnsi="Cambria Math" w:cs="Arial"/>
              <w:color w:val="000000"/>
            </w:rPr>
            <m:t xml:space="preserve">                                  (17)</m:t>
          </m:r>
        </m:oMath>
      </m:oMathPara>
    </w:p>
    <w:p w:rsidR="002429F5" w:rsidRPr="00954C9A" w:rsidRDefault="002429F5" w:rsidP="002429F5">
      <w:pPr>
        <w:jc w:val="both"/>
        <w:rPr>
          <w:rFonts w:ascii="Arial" w:hAnsi="Arial" w:cs="Arial"/>
          <w:iCs/>
          <w:color w:val="000000"/>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Clearly,</w:t>
      </w:r>
    </w:p>
    <w:p w:rsidR="002429F5" w:rsidRPr="002429F5" w:rsidRDefault="002429F5" w:rsidP="002429F5">
      <w:pPr>
        <w:jc w:val="both"/>
        <w:rPr>
          <w:rFonts w:ascii="Arial" w:hAnsi="Arial" w:cs="Arial"/>
          <w:iCs/>
          <w:color w:val="000000"/>
          <w:lang w:val="en-US"/>
        </w:rPr>
      </w:pPr>
    </w:p>
    <w:p w:rsidR="002429F5" w:rsidRPr="002429F5" w:rsidRDefault="002429F5" w:rsidP="002429F5">
      <w:pPr>
        <w:jc w:val="center"/>
        <w:rPr>
          <w:rFonts w:ascii="Arial" w:hAnsi="Arial" w:cs="Arial"/>
          <w:color w:val="000000" w:themeColor="text1"/>
          <w:lang w:val="en-US"/>
        </w:rPr>
      </w:pPr>
      <m:oMath>
        <m:r>
          <w:rPr>
            <w:rFonts w:ascii="Cambria Math" w:hAnsi="Cambria Math"/>
            <w:color w:val="000000" w:themeColor="text1"/>
          </w:rPr>
          <m:t>rk</m:t>
        </m:r>
        <m:f>
          <m:fPr>
            <m:ctrlPr>
              <w:rPr>
                <w:rFonts w:ascii="Cambria Math" w:hAnsi="Cambria Math"/>
                <w:i/>
                <w:color w:val="000000" w:themeColor="text1"/>
              </w:rPr>
            </m:ctrlPr>
          </m:fPr>
          <m:num>
            <m:sSubSup>
              <m:sSubSupPr>
                <m:ctrlPr>
                  <w:rPr>
                    <w:rFonts w:ascii="Cambria Math" w:hAnsi="Cambria Math"/>
                    <w:i/>
                    <w:color w:val="000000" w:themeColor="text1"/>
                  </w:rPr>
                </m:ctrlPr>
              </m:sSubSupPr>
              <m:e>
                <m:r>
                  <w:rPr>
                    <w:rFonts w:ascii="Cambria Math" w:hAnsi="Cambria Math"/>
                    <w:color w:val="000000" w:themeColor="text1"/>
                  </w:rPr>
                  <m:t>u</m:t>
                </m:r>
              </m:e>
              <m:sub>
                <m:r>
                  <w:rPr>
                    <w:rFonts w:ascii="Cambria Math" w:hAnsi="Cambria Math"/>
                    <w:color w:val="000000" w:themeColor="text1"/>
                    <w:lang w:val="en-US"/>
                  </w:rPr>
                  <m:t>1</m:t>
                </m:r>
              </m:sub>
              <m:sup>
                <m:r>
                  <w:rPr>
                    <w:rFonts w:ascii="Cambria Math" w:hAnsi="Cambria Math"/>
                    <w:color w:val="000000" w:themeColor="text1"/>
                    <w:lang w:val="en-US"/>
                  </w:rPr>
                  <m:t>'</m:t>
                </m:r>
              </m:sup>
            </m:sSubSup>
            <m:r>
              <w:rPr>
                <w:rFonts w:ascii="Cambria Math" w:hAnsi="Cambria Math"/>
                <w:color w:val="000000" w:themeColor="text1"/>
                <w:lang w:val="en-US"/>
              </w:rPr>
              <m:t>+</m:t>
            </m:r>
            <m:sSubSup>
              <m:sSubSupPr>
                <m:ctrlPr>
                  <w:rPr>
                    <w:rFonts w:ascii="Cambria Math" w:hAnsi="Cambria Math"/>
                    <w:i/>
                    <w:color w:val="000000" w:themeColor="text1"/>
                  </w:rPr>
                </m:ctrlPr>
              </m:sSubSupPr>
              <m:e>
                <m:r>
                  <w:rPr>
                    <w:rFonts w:ascii="Cambria Math" w:hAnsi="Cambria Math"/>
                    <w:color w:val="000000" w:themeColor="text1"/>
                  </w:rPr>
                  <m:t>u</m:t>
                </m:r>
              </m:e>
              <m:sub>
                <m:r>
                  <w:rPr>
                    <w:rFonts w:ascii="Cambria Math" w:hAnsi="Cambria Math"/>
                    <w:color w:val="000000" w:themeColor="text1"/>
                    <w:lang w:val="en-US"/>
                  </w:rPr>
                  <m:t>2</m:t>
                </m:r>
              </m:sub>
              <m:sup>
                <m:r>
                  <w:rPr>
                    <w:rFonts w:ascii="Cambria Math" w:hAnsi="Cambria Math"/>
                    <w:color w:val="000000" w:themeColor="text1"/>
                    <w:lang w:val="en-US"/>
                  </w:rPr>
                  <m:t>'</m:t>
                </m:r>
              </m:sup>
            </m:sSubSup>
          </m:num>
          <m:den>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lang w:val="en-US"/>
                  </w:rPr>
                  <m:t>1</m:t>
                </m:r>
              </m:sub>
            </m:sSub>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lang w:val="en-US"/>
                  </w:rPr>
                  <m:t>2</m:t>
                </m:r>
              </m:sub>
            </m:sSub>
          </m:den>
        </m:f>
        <m:r>
          <w:rPr>
            <w:rFonts w:ascii="Cambria Math" w:hAnsi="Cambria Math"/>
            <w:color w:val="000000" w:themeColor="text1"/>
            <w:lang w:val="en-US"/>
          </w:rPr>
          <m:t>+2+4</m:t>
        </m:r>
        <m:d>
          <m:dPr>
            <m:ctrlPr>
              <w:rPr>
                <w:rFonts w:ascii="Cambria Math" w:hAnsi="Cambria Math"/>
                <w:bCs/>
                <w:i/>
                <w:iCs/>
                <w:color w:val="000000" w:themeColor="text1"/>
              </w:rPr>
            </m:ctrlPr>
          </m:dPr>
          <m:e>
            <m:sSup>
              <m:sSupPr>
                <m:ctrlPr>
                  <w:rPr>
                    <w:rFonts w:ascii="Cambria Math" w:hAnsi="Cambria Math"/>
                    <w:i/>
                    <w:color w:val="000000" w:themeColor="text1"/>
                  </w:rPr>
                </m:ctrlPr>
              </m:sSupPr>
              <m:e>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lang w:val="en-US"/>
                      </w:rPr>
                      <m:t>1</m:t>
                    </m:r>
                  </m:sub>
                </m:sSub>
              </m:e>
              <m:sup>
                <m:r>
                  <w:rPr>
                    <w:rFonts w:ascii="Cambria Math" w:hAnsi="Cambria Math"/>
                    <w:color w:val="000000" w:themeColor="text1"/>
                    <w:lang w:val="en-US"/>
                  </w:rPr>
                  <m:t>2</m:t>
                </m:r>
              </m:sup>
            </m:sSup>
            <m:r>
              <w:rPr>
                <w:rFonts w:ascii="Cambria Math" w:hAnsi="Cambria Math"/>
                <w:color w:val="000000" w:themeColor="text1"/>
                <w:lang w:val="en-US"/>
              </w:rPr>
              <m:t>+</m:t>
            </m:r>
            <m:sSup>
              <m:sSupPr>
                <m:ctrlPr>
                  <w:rPr>
                    <w:rFonts w:ascii="Cambria Math" w:hAnsi="Cambria Math"/>
                    <w:i/>
                    <w:color w:val="000000" w:themeColor="text1"/>
                  </w:rPr>
                </m:ctrlPr>
              </m:sSupPr>
              <m:e>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lang w:val="en-US"/>
                      </w:rPr>
                      <m:t>2</m:t>
                    </m:r>
                  </m:sub>
                </m:sSub>
              </m:e>
              <m:sup>
                <m:r>
                  <w:rPr>
                    <w:rFonts w:ascii="Cambria Math" w:hAnsi="Cambria Math"/>
                    <w:color w:val="000000" w:themeColor="text1"/>
                    <w:lang w:val="en-US"/>
                  </w:rPr>
                  <m:t>2</m:t>
                </m:r>
              </m:sup>
            </m:sSup>
          </m:e>
        </m:d>
        <m:r>
          <w:rPr>
            <w:rFonts w:ascii="Cambria Math" w:hAnsi="Cambria Math"/>
            <w:color w:val="000000" w:themeColor="text1"/>
            <w:lang w:val="en-US"/>
          </w:rPr>
          <m:t>≤</m:t>
        </m:r>
        <m:r>
          <w:rPr>
            <w:rFonts w:ascii="Cambria Math" w:hAnsi="Cambria Math"/>
            <w:color w:val="000000" w:themeColor="text1"/>
          </w:rPr>
          <m:t>rk</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lang w:val="en-US"/>
                  </w:rPr>
                  <m:t>2</m:t>
                </m:r>
              </m:sub>
            </m:sSub>
          </m:num>
          <m:den>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lang w:val="en-US"/>
                  </w:rPr>
                  <m:t>1</m:t>
                </m:r>
              </m:sub>
            </m:sSub>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lang w:val="en-US"/>
                  </w:rPr>
                  <m:t>2</m:t>
                </m:r>
              </m:sub>
            </m:sSub>
          </m:den>
        </m:f>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lang w:val="en-US"/>
              </w:rPr>
              <m:t>3</m:t>
            </m:r>
          </m:sub>
        </m:sSub>
        <m:r>
          <w:rPr>
            <w:rFonts w:ascii="Cambria Math" w:hAnsi="Cambria Math"/>
            <w:color w:val="000000" w:themeColor="text1"/>
            <w:lang w:val="en-US"/>
          </w:rPr>
          <m:t xml:space="preserve"> </m:t>
        </m:r>
      </m:oMath>
      <w:r w:rsidRPr="002429F5">
        <w:rPr>
          <w:rFonts w:ascii="Arial" w:hAnsi="Arial" w:cs="Arial"/>
          <w:color w:val="000000" w:themeColor="text1"/>
          <w:lang w:val="en-US"/>
        </w:rPr>
        <w:t>&lt; 0</w:t>
      </w:r>
    </w:p>
    <w:p w:rsidR="002429F5" w:rsidRPr="002429F5" w:rsidRDefault="002429F5" w:rsidP="002429F5">
      <w:pPr>
        <w:jc w:val="both"/>
        <w:rPr>
          <w:rFonts w:ascii="Arial" w:hAnsi="Arial" w:cs="Arial"/>
          <w:iCs/>
          <w:color w:val="000000"/>
          <w:lang w:val="en-US"/>
        </w:rPr>
      </w:pPr>
    </w:p>
    <w:p w:rsidR="002429F5" w:rsidRPr="002429F5" w:rsidRDefault="002429F5" w:rsidP="002429F5">
      <w:pPr>
        <w:jc w:val="both"/>
        <w:rPr>
          <w:rFonts w:ascii="Arial" w:hAnsi="Arial" w:cs="Arial"/>
          <w:iCs/>
          <w:color w:val="000000"/>
          <w:lang w:val="en-US"/>
        </w:rPr>
      </w:pPr>
    </w:p>
    <w:p w:rsidR="002429F5" w:rsidRPr="00954C9A" w:rsidRDefault="002429F5" w:rsidP="002429F5">
      <w:pPr>
        <w:jc w:val="both"/>
        <w:rPr>
          <w:rFonts w:ascii="Arial" w:hAnsi="Arial" w:cs="Arial"/>
          <w:iCs/>
          <w:color w:val="000000"/>
        </w:rPr>
      </w:pPr>
      <w:r w:rsidRPr="00954C9A">
        <w:rPr>
          <w:rFonts w:ascii="Arial" w:hAnsi="Arial" w:cs="Arial"/>
          <w:iCs/>
          <w:color w:val="000000"/>
        </w:rPr>
        <w:t xml:space="preserve">so, we have </w:t>
      </w:r>
    </w:p>
    <w:p w:rsidR="002429F5" w:rsidRPr="00954C9A" w:rsidRDefault="002429F5" w:rsidP="002429F5">
      <w:pPr>
        <w:jc w:val="both"/>
        <w:rPr>
          <w:rFonts w:ascii="Arial" w:hAnsi="Arial" w:cs="Arial"/>
          <w:iCs/>
          <w:color w:val="000000"/>
        </w:rPr>
      </w:pPr>
    </w:p>
    <w:p w:rsidR="002429F5" w:rsidRPr="00954C9A" w:rsidRDefault="002429F5" w:rsidP="002429F5">
      <w:pPr>
        <w:jc w:val="both"/>
        <w:rPr>
          <w:rFonts w:ascii="Arial" w:hAnsi="Arial" w:cs="Arial"/>
          <w:iCs/>
          <w:color w:val="000000"/>
        </w:rPr>
      </w:pPr>
      <m:oMathPara>
        <m:oMathParaPr>
          <m:jc m:val="center"/>
        </m:oMathParaPr>
        <m:oMath>
          <m:r>
            <w:rPr>
              <w:rFonts w:ascii="Cambria Math" w:hAnsi="Cambria Math" w:cs="Arial"/>
              <w:color w:val="000000"/>
            </w:rPr>
            <m:t>LV</m:t>
          </m:r>
          <m:d>
            <m:dPr>
              <m:ctrlPr>
                <w:rPr>
                  <w:rFonts w:ascii="Cambria Math" w:hAnsi="Cambria Math" w:cs="Arial"/>
                  <w:i/>
                  <w:iCs/>
                  <w:color w:val="000000"/>
                </w:rPr>
              </m:ctrlPr>
            </m:dPr>
            <m:e>
              <m:r>
                <w:rPr>
                  <w:rFonts w:ascii="Cambria Math" w:hAnsi="Cambria Math" w:cs="Arial"/>
                  <w:color w:val="000000"/>
                </w:rPr>
                <m:t>t,x</m:t>
              </m:r>
            </m:e>
          </m:d>
          <m:r>
            <w:rPr>
              <w:rFonts w:ascii="Cambria Math" w:hAnsi="Cambria Math" w:cs="Arial"/>
              <w:color w:val="000000"/>
            </w:rPr>
            <m:t>&lt;-g</m:t>
          </m:r>
          <m:d>
            <m:dPr>
              <m:ctrlPr>
                <w:rPr>
                  <w:rFonts w:ascii="Cambria Math" w:hAnsi="Cambria Math" w:cs="Arial"/>
                  <w:i/>
                  <w:iCs/>
                  <w:color w:val="000000"/>
                </w:rPr>
              </m:ctrlPr>
            </m:dPr>
            <m:e>
              <m:r>
                <w:rPr>
                  <w:rFonts w:ascii="Cambria Math" w:hAnsi="Cambria Math" w:cs="Arial"/>
                  <w:color w:val="000000"/>
                </w:rPr>
                <m:t>t</m:t>
              </m:r>
            </m:e>
          </m:d>
          <m:r>
            <w:rPr>
              <w:rFonts w:ascii="Cambria Math" w:hAnsi="Cambria Math" w:cs="Arial"/>
              <w:color w:val="000000"/>
            </w:rPr>
            <m:t>V</m:t>
          </m:r>
          <m:d>
            <m:dPr>
              <m:ctrlPr>
                <w:rPr>
                  <w:rFonts w:ascii="Cambria Math" w:hAnsi="Cambria Math" w:cs="Arial"/>
                  <w:i/>
                  <w:iCs/>
                  <w:color w:val="000000"/>
                </w:rPr>
              </m:ctrlPr>
            </m:dPr>
            <m:e>
              <m:r>
                <w:rPr>
                  <w:rFonts w:ascii="Cambria Math" w:hAnsi="Cambria Math" w:cs="Arial"/>
                  <w:color w:val="000000"/>
                </w:rPr>
                <m:t>t,x</m:t>
              </m:r>
            </m:e>
          </m:d>
          <m:r>
            <w:rPr>
              <w:rFonts w:ascii="Cambria Math" w:hAnsi="Cambria Math" w:cs="Arial"/>
              <w:color w:val="000000"/>
            </w:rPr>
            <m:t>,   ∀ t∈</m:t>
          </m:r>
          <m:sSup>
            <m:sSupPr>
              <m:ctrlPr>
                <w:rPr>
                  <w:rFonts w:ascii="Cambria Math" w:hAnsi="Cambria Math" w:cs="Arial"/>
                  <w:i/>
                  <w:iCs/>
                  <w:color w:val="000000"/>
                </w:rPr>
              </m:ctrlPr>
            </m:sSupPr>
            <m:e>
              <m:r>
                <m:rPr>
                  <m:scr m:val="double-struck"/>
                </m:rPr>
                <w:rPr>
                  <w:rFonts w:ascii="Cambria Math" w:hAnsi="Cambria Math" w:cs="Arial"/>
                  <w:color w:val="000000"/>
                </w:rPr>
                <m:t>R</m:t>
              </m:r>
            </m:e>
            <m:sup>
              <m:r>
                <w:rPr>
                  <w:rFonts w:ascii="Cambria Math" w:hAnsi="Cambria Math" w:cs="Arial"/>
                  <w:color w:val="000000"/>
                </w:rPr>
                <m:t>+</m:t>
              </m:r>
            </m:sup>
          </m:sSup>
        </m:oMath>
      </m:oMathPara>
    </w:p>
    <w:p w:rsidR="002429F5" w:rsidRPr="00954C9A" w:rsidRDefault="002429F5" w:rsidP="002429F5">
      <w:pPr>
        <w:jc w:val="both"/>
        <w:rPr>
          <w:rFonts w:ascii="Arial" w:hAnsi="Arial" w:cs="Arial"/>
          <w:iCs/>
          <w:color w:val="000000"/>
        </w:rPr>
      </w:pPr>
    </w:p>
    <w:p w:rsidR="002429F5" w:rsidRPr="00954C9A" w:rsidRDefault="002429F5" w:rsidP="002429F5">
      <w:pPr>
        <w:jc w:val="both"/>
        <w:rPr>
          <w:rFonts w:ascii="Arial" w:hAnsi="Arial" w:cs="Arial"/>
          <w:iCs/>
          <w:color w:val="000000"/>
        </w:rPr>
      </w:pPr>
      <w:r w:rsidRPr="00954C9A">
        <w:rPr>
          <w:rFonts w:ascii="Arial" w:hAnsi="Arial" w:cs="Arial"/>
          <w:iCs/>
          <w:color w:val="000000"/>
        </w:rPr>
        <w:lastRenderedPageBreak/>
        <w:t>and, for p</w:t>
      </w:r>
      <w:r w:rsidRPr="00954C9A">
        <w:rPr>
          <w:rFonts w:ascii="Arial" w:hAnsi="Arial" w:cs="Arial"/>
          <w:iCs/>
          <w:color w:val="000000"/>
        </w:rPr>
        <w:sym w:font="Symbol" w:char="F0CE"/>
      </w:r>
      <w:r w:rsidRPr="00954C9A">
        <w:rPr>
          <w:rFonts w:ascii="Arial" w:hAnsi="Arial" w:cs="Arial"/>
          <w:iCs/>
          <w:color w:val="000000"/>
        </w:rPr>
        <w:t>(0,1]:</w:t>
      </w:r>
    </w:p>
    <w:p w:rsidR="002429F5" w:rsidRPr="00954C9A" w:rsidRDefault="002429F5" w:rsidP="002429F5">
      <w:pPr>
        <w:jc w:val="both"/>
        <w:rPr>
          <w:rFonts w:ascii="Arial" w:hAnsi="Arial" w:cs="Arial"/>
          <w:iCs/>
          <w:color w:val="000000"/>
        </w:rPr>
      </w:pPr>
    </w:p>
    <w:p w:rsidR="002429F5" w:rsidRPr="00954C9A" w:rsidRDefault="001345E4" w:rsidP="002429F5">
      <w:pPr>
        <w:jc w:val="center"/>
        <w:rPr>
          <w:rFonts w:ascii="Arial" w:hAnsi="Arial" w:cs="Arial"/>
          <w:iCs/>
          <w:color w:val="000000"/>
        </w:rPr>
      </w:pPr>
      <m:oMathPara>
        <m:oMathParaPr>
          <m:jc m:val="center"/>
        </m:oMathParaPr>
        <m:oMath>
          <m:sSub>
            <m:sSubPr>
              <m:ctrlPr>
                <w:rPr>
                  <w:rFonts w:ascii="Cambria Math" w:hAnsi="Cambria Math" w:cs="Arial"/>
                  <w:iCs/>
                  <w:color w:val="000000"/>
                </w:rPr>
              </m:ctrlPr>
            </m:sSubPr>
            <m:e>
              <m:sSup>
                <m:sSupPr>
                  <m:ctrlPr>
                    <w:rPr>
                      <w:rFonts w:ascii="Cambria Math" w:hAnsi="Cambria Math" w:cs="Arial"/>
                      <w:i/>
                      <w:iCs/>
                      <w:color w:val="000000"/>
                    </w:rPr>
                  </m:ctrlPr>
                </m:sSupPr>
                <m:e>
                  <m:r>
                    <w:rPr>
                      <w:rFonts w:ascii="Cambria Math" w:hAnsi="Cambria Math" w:cs="Arial"/>
                      <w:color w:val="000000"/>
                    </w:rPr>
                    <m:t>∥</m:t>
                  </m:r>
                  <m:sSub>
                    <m:sSubPr>
                      <m:ctrlPr>
                        <w:rPr>
                          <w:rFonts w:ascii="Cambria Math" w:hAnsi="Cambria Math" w:cs="Arial"/>
                          <w:i/>
                          <w:iCs/>
                          <w:color w:val="000000"/>
                        </w:rPr>
                      </m:ctrlPr>
                    </m:sSubPr>
                    <m:e>
                      <m:r>
                        <w:rPr>
                          <w:rFonts w:ascii="Cambria Math" w:hAnsi="Cambria Math" w:cs="Arial"/>
                          <w:color w:val="000000"/>
                        </w:rPr>
                        <m:t>x</m:t>
                      </m:r>
                    </m:e>
                    <m:sub>
                      <m:r>
                        <w:rPr>
                          <w:rFonts w:ascii="Cambria Math" w:hAnsi="Cambria Math" w:cs="Arial"/>
                          <w:color w:val="000000"/>
                        </w:rPr>
                        <m:t>k</m:t>
                      </m:r>
                    </m:sub>
                  </m:sSub>
                  <m:r>
                    <w:rPr>
                      <w:rFonts w:ascii="Cambria Math" w:hAnsi="Cambria Math" w:cs="Arial"/>
                      <w:color w:val="000000"/>
                    </w:rPr>
                    <m:t>∥</m:t>
                  </m:r>
                </m:e>
                <m:sup>
                  <m:r>
                    <w:rPr>
                      <w:rFonts w:ascii="Cambria Math" w:hAnsi="Cambria Math" w:cs="Arial"/>
                      <w:color w:val="000000"/>
                    </w:rPr>
                    <m:t>p</m:t>
                  </m:r>
                </m:sup>
              </m:sSup>
              <m:r>
                <m:rPr>
                  <m:sty m:val="p"/>
                </m:rPr>
                <w:rPr>
                  <w:rFonts w:ascii="Cambria Math" w:hAnsi="Cambria Math" w:cs="Arial"/>
                  <w:color w:val="000000"/>
                </w:rPr>
                <m:t>λ</m:t>
              </m:r>
            </m:e>
            <m:sub>
              <m:r>
                <w:rPr>
                  <w:rFonts w:ascii="Cambria Math" w:hAnsi="Cambria Math" w:cs="Arial"/>
                  <w:color w:val="000000"/>
                </w:rPr>
                <m:t>k</m:t>
              </m:r>
            </m:sub>
          </m:sSub>
          <m:d>
            <m:dPr>
              <m:ctrlPr>
                <w:rPr>
                  <w:rFonts w:ascii="Cambria Math" w:hAnsi="Cambria Math" w:cs="Arial"/>
                  <w:i/>
                  <w:color w:val="000000"/>
                </w:rPr>
              </m:ctrlPr>
            </m:dPr>
            <m:e>
              <m:r>
                <m:rPr>
                  <m:sty m:val="p"/>
                </m:rPr>
                <w:rPr>
                  <w:rFonts w:ascii="Cambria Math" w:hAnsi="Cambria Math" w:cs="Arial"/>
                  <w:color w:val="000000"/>
                </w:rPr>
                <m:t>t</m:t>
              </m:r>
            </m:e>
          </m:d>
          <m:r>
            <w:rPr>
              <w:rFonts w:ascii="Cambria Math" w:hAnsi="Cambria Math" w:cs="Arial"/>
              <w:color w:val="000000"/>
            </w:rPr>
            <m:t>&lt;V</m:t>
          </m:r>
          <m:d>
            <m:dPr>
              <m:ctrlPr>
                <w:rPr>
                  <w:rFonts w:ascii="Cambria Math" w:hAnsi="Cambria Math" w:cs="Arial"/>
                  <w:i/>
                  <w:iCs/>
                  <w:color w:val="000000"/>
                </w:rPr>
              </m:ctrlPr>
            </m:dPr>
            <m:e>
              <m:r>
                <w:rPr>
                  <w:rFonts w:ascii="Cambria Math" w:hAnsi="Cambria Math" w:cs="Arial"/>
                  <w:color w:val="000000"/>
                </w:rPr>
                <m:t>t,x</m:t>
              </m:r>
            </m:e>
          </m:d>
          <m:r>
            <w:rPr>
              <w:rFonts w:ascii="Cambria Math" w:hAnsi="Cambria Math" w:cs="Arial"/>
              <w:color w:val="000000"/>
            </w:rPr>
            <m:t>,  ∀ t∈</m:t>
          </m:r>
          <m:sSup>
            <m:sSupPr>
              <m:ctrlPr>
                <w:rPr>
                  <w:rFonts w:ascii="Cambria Math" w:hAnsi="Cambria Math" w:cs="Arial"/>
                  <w:i/>
                  <w:iCs/>
                  <w:color w:val="000000"/>
                </w:rPr>
              </m:ctrlPr>
            </m:sSupPr>
            <m:e>
              <m:r>
                <m:rPr>
                  <m:scr m:val="double-struck"/>
                </m:rPr>
                <w:rPr>
                  <w:rFonts w:ascii="Cambria Math" w:hAnsi="Cambria Math" w:cs="Arial"/>
                  <w:color w:val="000000"/>
                </w:rPr>
                <m:t>R</m:t>
              </m:r>
            </m:e>
            <m:sup>
              <m:r>
                <w:rPr>
                  <w:rFonts w:ascii="Cambria Math" w:hAnsi="Cambria Math" w:cs="Arial"/>
                  <w:color w:val="000000"/>
                </w:rPr>
                <m:t>+</m:t>
              </m:r>
            </m:sup>
          </m:sSup>
          <m:r>
            <w:rPr>
              <w:rFonts w:ascii="Cambria Math" w:hAnsi="Cambria Math" w:cs="Arial"/>
              <w:color w:val="000000"/>
            </w:rPr>
            <m:t>,  ∀ k</m:t>
          </m:r>
          <m:r>
            <m:rPr>
              <m:scr m:val="double-struck"/>
            </m:rPr>
            <w:rPr>
              <w:rFonts w:ascii="Cambria Math" w:hAnsi="Cambria Math" w:cs="Arial"/>
              <w:color w:val="000000"/>
            </w:rPr>
            <m:t>∈N</m:t>
          </m:r>
        </m:oMath>
      </m:oMathPara>
    </w:p>
    <w:p w:rsidR="002429F5" w:rsidRPr="00954C9A" w:rsidRDefault="002429F5" w:rsidP="002429F5">
      <w:pPr>
        <w:jc w:val="both"/>
        <w:rPr>
          <w:rFonts w:ascii="Arial" w:hAnsi="Arial" w:cs="Arial"/>
          <w:iCs/>
          <w:color w:val="000000"/>
        </w:rPr>
      </w:pP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 xml:space="preserve">Therefore, the conditions of Theorem 4 are satisfied and we conclude that Euler-Maruyama numerical scheme defined by (3) is almost surely exponentially and robustly stable, for all sufficiently small step sizes </w:t>
      </w:r>
      <w:r w:rsidRPr="00954C9A">
        <w:rPr>
          <w:rFonts w:ascii="Arial" w:hAnsi="Arial" w:cs="Arial"/>
          <w:iCs/>
          <w:color w:val="000000"/>
        </w:rPr>
        <w:sym w:font="Symbol" w:char="F044"/>
      </w:r>
      <m:oMath>
        <m:sSub>
          <m:sSubPr>
            <m:ctrlPr>
              <w:rPr>
                <w:rFonts w:ascii="Cambria Math" w:hAnsi="Cambria Math" w:cs="Arial"/>
                <w:i/>
                <w:iCs/>
                <w:color w:val="000000"/>
              </w:rPr>
            </m:ctrlPr>
          </m:sSubPr>
          <m:e>
            <m:r>
              <w:rPr>
                <w:rFonts w:ascii="Cambria Math" w:hAnsi="Cambria Math" w:cs="Arial"/>
                <w:color w:val="000000"/>
              </w:rPr>
              <m:t>t</m:t>
            </m:r>
          </m:e>
          <m:sub>
            <m:r>
              <w:rPr>
                <w:rFonts w:ascii="Cambria Math" w:hAnsi="Cambria Math" w:cs="Arial"/>
                <w:color w:val="000000"/>
              </w:rPr>
              <m:t>k</m:t>
            </m:r>
          </m:sub>
        </m:sSub>
      </m:oMath>
      <w:r w:rsidRPr="002429F5">
        <w:rPr>
          <w:rFonts w:ascii="Arial" w:hAnsi="Arial" w:cs="Arial"/>
          <w:iCs/>
          <w:color w:val="000000"/>
          <w:lang w:val="en-US"/>
        </w:rPr>
        <w:t>.</w:t>
      </w:r>
    </w:p>
    <w:p w:rsidR="002429F5" w:rsidRPr="002429F5" w:rsidRDefault="002429F5" w:rsidP="002429F5">
      <w:pPr>
        <w:jc w:val="both"/>
        <w:rPr>
          <w:rFonts w:ascii="Arial" w:hAnsi="Arial" w:cs="Arial"/>
          <w:iCs/>
          <w:color w:val="000000"/>
          <w:lang w:val="en-US"/>
        </w:rPr>
      </w:pPr>
      <w:r w:rsidRPr="002429F5">
        <w:rPr>
          <w:rFonts w:ascii="Arial" w:hAnsi="Arial" w:cs="Arial"/>
          <w:iCs/>
          <w:color w:val="000000"/>
          <w:lang w:val="en-US"/>
        </w:rPr>
        <w:t xml:space="preserve">     By the other hand, we can use the Lyapunov function </w:t>
      </w:r>
      <m:oMath>
        <m:r>
          <w:rPr>
            <w:rFonts w:ascii="Cambria Math" w:hAnsi="Cambria Math" w:cs="Arial"/>
            <w:color w:val="000000"/>
          </w:rPr>
          <m:t>V</m:t>
        </m:r>
        <m:d>
          <m:dPr>
            <m:ctrlPr>
              <w:rPr>
                <w:rFonts w:ascii="Cambria Math" w:hAnsi="Cambria Math" w:cs="Arial"/>
                <w:i/>
                <w:iCs/>
                <w:color w:val="000000"/>
              </w:rPr>
            </m:ctrlPr>
          </m:dPr>
          <m:e>
            <m:r>
              <w:rPr>
                <w:rFonts w:ascii="Cambria Math" w:hAnsi="Cambria Math" w:cs="Arial"/>
                <w:color w:val="000000"/>
              </w:rPr>
              <m:t>t</m:t>
            </m:r>
            <m:r>
              <w:rPr>
                <w:rFonts w:ascii="Cambria Math" w:hAnsi="Cambria Math" w:cs="Arial"/>
                <w:color w:val="000000"/>
                <w:lang w:val="en-US"/>
              </w:rPr>
              <m:t xml:space="preserve">, </m:t>
            </m:r>
            <m:r>
              <w:rPr>
                <w:rFonts w:ascii="Cambria Math" w:hAnsi="Cambria Math" w:cs="Arial"/>
                <w:color w:val="000000"/>
              </w:rPr>
              <m:t>x</m:t>
            </m:r>
          </m:e>
        </m:d>
      </m:oMath>
      <w:r w:rsidRPr="002429F5">
        <w:rPr>
          <w:rFonts w:ascii="Arial" w:hAnsi="Arial" w:cs="Arial"/>
          <w:iCs/>
          <w:color w:val="000000"/>
          <w:lang w:val="en-US"/>
        </w:rPr>
        <w:t xml:space="preserve">, defined in equation (16) and we choice </w:t>
      </w:r>
      <m:oMath>
        <m:r>
          <w:rPr>
            <w:rFonts w:ascii="Cambria Math" w:hAnsi="Cambria Math" w:cs="Arial"/>
            <w:color w:val="000000"/>
          </w:rPr>
          <m:t>f</m:t>
        </m:r>
        <m:d>
          <m:dPr>
            <m:ctrlPr>
              <w:rPr>
                <w:rFonts w:ascii="Cambria Math" w:hAnsi="Cambria Math" w:cs="Arial"/>
                <w:i/>
                <w:iCs/>
                <w:color w:val="000000"/>
              </w:rPr>
            </m:ctrlPr>
          </m:dPr>
          <m:e>
            <m:r>
              <w:rPr>
                <w:rFonts w:ascii="Cambria Math" w:hAnsi="Cambria Math" w:cs="Arial"/>
                <w:color w:val="000000"/>
              </w:rPr>
              <m:t>x</m:t>
            </m:r>
          </m:e>
        </m:d>
        <m:r>
          <w:rPr>
            <w:rFonts w:ascii="Cambria Math" w:hAnsi="Cambria Math" w:cs="Arial"/>
            <w:color w:val="000000"/>
            <w:lang w:val="en-US"/>
          </w:rPr>
          <m:t>=</m:t>
        </m:r>
        <m:r>
          <w:rPr>
            <w:rFonts w:ascii="Cambria Math" w:hAnsi="Cambria Math" w:cs="Arial"/>
            <w:color w:val="000000"/>
          </w:rPr>
          <m:t>x</m:t>
        </m:r>
      </m:oMath>
      <w:r w:rsidRPr="002429F5">
        <w:rPr>
          <w:rFonts w:ascii="Arial" w:hAnsi="Arial" w:cs="Arial"/>
          <w:iCs/>
          <w:color w:val="000000"/>
          <w:lang w:val="en-US"/>
        </w:rPr>
        <w:t xml:space="preserve"> to apply Theorem 5 and to conclude that Euler-Maruyama numerical scheme defined by (3) is asymptotically stable.</w:t>
      </w:r>
    </w:p>
    <w:p w:rsidR="002429F5" w:rsidRPr="002429F5" w:rsidRDefault="002429F5" w:rsidP="002429F5">
      <w:pPr>
        <w:jc w:val="both"/>
        <w:rPr>
          <w:rFonts w:ascii="Arial" w:hAnsi="Arial" w:cs="Arial"/>
          <w:iCs/>
          <w:color w:val="000000"/>
          <w:lang w:val="en-US"/>
        </w:rPr>
      </w:pPr>
    </w:p>
    <w:p w:rsidR="002429F5" w:rsidRPr="00B45118" w:rsidRDefault="002429F5" w:rsidP="002429F5">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103" w:name="_Toc50031218"/>
      <w:r w:rsidRPr="00B45118">
        <w:rPr>
          <w:rFonts w:ascii="Arial" w:hAnsi="Arial" w:cs="Arial"/>
          <w:caps/>
          <w:sz w:val="24"/>
          <w:szCs w:val="24"/>
        </w:rPr>
        <w:t xml:space="preserve">5. </w:t>
      </w:r>
      <w:r w:rsidRPr="00B45118">
        <w:rPr>
          <w:rFonts w:ascii="Arial" w:hAnsi="Arial" w:cs="Arial"/>
          <w:sz w:val="24"/>
          <w:szCs w:val="24"/>
        </w:rPr>
        <w:t>Conclusion</w:t>
      </w:r>
      <w:bookmarkEnd w:id="103"/>
    </w:p>
    <w:p w:rsidR="002429F5" w:rsidRPr="002429F5" w:rsidRDefault="002429F5" w:rsidP="002429F5">
      <w:pPr>
        <w:pStyle w:val="Textoindependiente"/>
        <w:ind w:firstLine="539"/>
        <w:jc w:val="both"/>
        <w:rPr>
          <w:rFonts w:ascii="Arial" w:hAnsi="Arial" w:cs="Arial"/>
          <w:b w:val="0"/>
          <w:sz w:val="24"/>
          <w:lang w:val="en-US"/>
        </w:rPr>
      </w:pPr>
      <w:r w:rsidRPr="002429F5">
        <w:rPr>
          <w:rFonts w:ascii="Arial" w:hAnsi="Arial" w:cs="Arial"/>
          <w:b w:val="0"/>
          <w:sz w:val="24"/>
          <w:lang w:val="en-US"/>
        </w:rPr>
        <w:t>In this paper, we focus on the stability properties of zero solution for a numerical scheme type Euler-Maruyama applied to two-level stochastic quantum system. Based in two new definitions for the control case, we have demonstrated the almost sure exponential robust stability and asymptotic stability of the numerical solution for the Euler-Maruyama numerical scheme in the stochastic controlled Schrödinger equation, to a stochastic quantum two-level system. These definitions differ from those given in [Mao,4] and [Tsoi,3], in that the diffusion term depends on the control and these definitions guarantees robustness of solutions. We apply these results in a Nuclear Magnetic Resonance (NMR) problem, which numerical solution was studied in [1], obtaining almost sure exponential robust stability and asymptotical stability for zero solution.</w:t>
      </w:r>
    </w:p>
    <w:p w:rsidR="002429F5" w:rsidRPr="002429F5" w:rsidRDefault="002429F5" w:rsidP="002429F5">
      <w:pPr>
        <w:pStyle w:val="Textoindependiente"/>
        <w:ind w:firstLine="539"/>
        <w:rPr>
          <w:rFonts w:ascii="Arial" w:hAnsi="Arial" w:cs="Arial"/>
          <w:b w:val="0"/>
          <w:sz w:val="24"/>
          <w:lang w:val="en-US"/>
        </w:rPr>
      </w:pPr>
    </w:p>
    <w:p w:rsidR="002429F5" w:rsidRPr="00B45118" w:rsidRDefault="002429F5" w:rsidP="002429F5">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104" w:name="_Toc50031219"/>
      <w:r w:rsidRPr="00B45118">
        <w:rPr>
          <w:rFonts w:ascii="Arial" w:hAnsi="Arial" w:cs="Arial"/>
          <w:caps/>
          <w:sz w:val="24"/>
          <w:szCs w:val="24"/>
        </w:rPr>
        <w:t xml:space="preserve">6. </w:t>
      </w:r>
      <w:r w:rsidRPr="00B45118">
        <w:rPr>
          <w:rFonts w:ascii="Arial" w:hAnsi="Arial" w:cs="Arial"/>
          <w:sz w:val="24"/>
          <w:szCs w:val="24"/>
        </w:rPr>
        <w:t>References</w:t>
      </w:r>
      <w:bookmarkEnd w:id="104"/>
      <w:r w:rsidRPr="00B45118">
        <w:rPr>
          <w:rFonts w:ascii="Arial" w:hAnsi="Arial" w:cs="Arial"/>
          <w:sz w:val="24"/>
          <w:szCs w:val="24"/>
        </w:rPr>
        <w:t xml:space="preserve"> </w:t>
      </w:r>
    </w:p>
    <w:p w:rsidR="002429F5" w:rsidRPr="00954C9A" w:rsidRDefault="002429F5" w:rsidP="002429F5">
      <w:pPr>
        <w:tabs>
          <w:tab w:val="left" w:pos="0"/>
        </w:tabs>
        <w:jc w:val="both"/>
        <w:rPr>
          <w:rFonts w:ascii="Arial" w:hAnsi="Arial" w:cs="Arial"/>
        </w:rPr>
      </w:pPr>
    </w:p>
    <w:p w:rsidR="002429F5" w:rsidRPr="00954C9A" w:rsidRDefault="002429F5" w:rsidP="002429F5">
      <w:pPr>
        <w:pStyle w:val="Reference"/>
        <w:spacing w:after="0"/>
        <w:rPr>
          <w:rFonts w:ascii="Arial" w:hAnsi="Arial" w:cs="Arial"/>
          <w:sz w:val="24"/>
          <w:szCs w:val="24"/>
        </w:rPr>
      </w:pPr>
      <w:r w:rsidRPr="002429F5">
        <w:rPr>
          <w:rFonts w:ascii="Arial" w:hAnsi="Arial" w:cs="Arial"/>
          <w:sz w:val="24"/>
          <w:szCs w:val="24"/>
          <w:lang w:val="es-MX"/>
        </w:rPr>
        <w:t xml:space="preserve">Romero-Meléndez, C., González-Santos, L. (2019). </w:t>
      </w:r>
      <w:r w:rsidRPr="00954C9A">
        <w:rPr>
          <w:rFonts w:ascii="Arial" w:hAnsi="Arial" w:cs="Arial"/>
          <w:sz w:val="24"/>
          <w:szCs w:val="24"/>
        </w:rPr>
        <w:t xml:space="preserve">Stochastic optimal control applied to a two-level quantum systems. </w:t>
      </w:r>
      <w:r w:rsidRPr="00954C9A">
        <w:rPr>
          <w:rFonts w:ascii="Arial" w:hAnsi="Arial" w:cs="Arial"/>
          <w:i/>
          <w:sz w:val="24"/>
          <w:szCs w:val="24"/>
        </w:rPr>
        <w:t>Proceedings of the 9th International Conference on Physics and Control (PHYSCON 2019)</w:t>
      </w:r>
      <w:r w:rsidRPr="00954C9A">
        <w:rPr>
          <w:rFonts w:ascii="Arial" w:hAnsi="Arial" w:cs="Arial"/>
          <w:sz w:val="24"/>
          <w:szCs w:val="24"/>
        </w:rPr>
        <w:t xml:space="preserve">, </w:t>
      </w:r>
      <w:r w:rsidRPr="00AA361D">
        <w:rPr>
          <w:rFonts w:ascii="Arial" w:hAnsi="Arial" w:cs="Arial"/>
          <w:sz w:val="24"/>
          <w:szCs w:val="24"/>
        </w:rPr>
        <w:t xml:space="preserve">Innopolis, Kazan, Russia </w:t>
      </w:r>
      <w:r w:rsidRPr="00954C9A">
        <w:rPr>
          <w:rFonts w:ascii="Arial" w:hAnsi="Arial" w:cs="Arial"/>
          <w:sz w:val="24"/>
          <w:szCs w:val="24"/>
        </w:rPr>
        <w:t>(pp. 230 - 235).</w:t>
      </w:r>
    </w:p>
    <w:p w:rsidR="002429F5" w:rsidRPr="00954C9A" w:rsidRDefault="002429F5" w:rsidP="002429F5">
      <w:pPr>
        <w:pStyle w:val="Reference"/>
        <w:spacing w:after="0"/>
        <w:rPr>
          <w:rFonts w:ascii="Arial" w:hAnsi="Arial" w:cs="Arial"/>
          <w:sz w:val="24"/>
          <w:szCs w:val="24"/>
        </w:rPr>
      </w:pPr>
      <w:r w:rsidRPr="00954C9A">
        <w:rPr>
          <w:rFonts w:ascii="Arial" w:hAnsi="Arial" w:cs="Arial"/>
          <w:sz w:val="24"/>
          <w:szCs w:val="24"/>
        </w:rPr>
        <w:t xml:space="preserve">Friedman, A. (1970).  </w:t>
      </w:r>
      <w:r w:rsidRPr="00954C9A">
        <w:rPr>
          <w:rFonts w:ascii="Arial" w:hAnsi="Arial" w:cs="Arial"/>
          <w:i/>
          <w:sz w:val="24"/>
          <w:szCs w:val="24"/>
        </w:rPr>
        <w:t>Stochastic differential equations and applications</w:t>
      </w:r>
      <w:r w:rsidRPr="00954C9A">
        <w:rPr>
          <w:rFonts w:ascii="Arial" w:hAnsi="Arial" w:cs="Arial"/>
          <w:sz w:val="24"/>
          <w:szCs w:val="24"/>
        </w:rPr>
        <w:t xml:space="preserve">. Vol. 1. Academic Press. </w:t>
      </w:r>
    </w:p>
    <w:p w:rsidR="002429F5" w:rsidRPr="00954C9A" w:rsidRDefault="002429F5" w:rsidP="002429F5">
      <w:pPr>
        <w:pStyle w:val="Reference"/>
        <w:spacing w:after="0"/>
        <w:rPr>
          <w:rFonts w:ascii="Arial" w:hAnsi="Arial" w:cs="Arial"/>
          <w:sz w:val="24"/>
          <w:szCs w:val="24"/>
        </w:rPr>
      </w:pPr>
      <w:r w:rsidRPr="00954C9A">
        <w:rPr>
          <w:rFonts w:ascii="Arial" w:hAnsi="Arial" w:cs="Arial"/>
          <w:sz w:val="24"/>
          <w:szCs w:val="24"/>
        </w:rPr>
        <w:t>Tsoi, A. H., Zhang, B. (1997). Weak exponential stability of stochastic differential equations</w:t>
      </w:r>
      <w:r w:rsidRPr="00954C9A">
        <w:rPr>
          <w:rFonts w:ascii="Arial" w:hAnsi="Arial" w:cs="Arial"/>
          <w:i/>
          <w:sz w:val="24"/>
          <w:szCs w:val="24"/>
        </w:rPr>
        <w:t>.</w:t>
      </w:r>
      <w:r w:rsidRPr="00954C9A">
        <w:rPr>
          <w:rFonts w:ascii="Arial" w:eastAsia="Times New Roman" w:hAnsi="Arial" w:cs="Arial"/>
          <w:i/>
          <w:kern w:val="0"/>
          <w:sz w:val="24"/>
          <w:szCs w:val="24"/>
          <w:lang w:eastAsia="es-ES_tradnl"/>
        </w:rPr>
        <w:t xml:space="preserve"> </w:t>
      </w:r>
      <w:r w:rsidRPr="00954C9A">
        <w:rPr>
          <w:rFonts w:ascii="Arial" w:hAnsi="Arial" w:cs="Arial"/>
          <w:i/>
          <w:sz w:val="24"/>
          <w:szCs w:val="24"/>
        </w:rPr>
        <w:t>Stochastic Analysis and Applications Journal, 15 (4), 643-649.</w:t>
      </w:r>
    </w:p>
    <w:p w:rsidR="002429F5" w:rsidRPr="00954C9A" w:rsidRDefault="002429F5" w:rsidP="002429F5">
      <w:pPr>
        <w:pStyle w:val="Reference"/>
        <w:spacing w:after="0"/>
        <w:rPr>
          <w:rFonts w:ascii="Arial" w:hAnsi="Arial" w:cs="Arial"/>
          <w:sz w:val="24"/>
          <w:szCs w:val="24"/>
        </w:rPr>
      </w:pPr>
      <w:r w:rsidRPr="00954C9A">
        <w:rPr>
          <w:rFonts w:ascii="Arial" w:hAnsi="Arial" w:cs="Arial"/>
          <w:sz w:val="24"/>
          <w:szCs w:val="24"/>
        </w:rPr>
        <w:lastRenderedPageBreak/>
        <w:t xml:space="preserve">Mao, X. (2015). Almost sure exponential stability in the numerical simulation of stochastic differential equations. </w:t>
      </w:r>
      <w:r w:rsidRPr="00954C9A">
        <w:rPr>
          <w:rFonts w:ascii="Arial" w:hAnsi="Arial" w:cs="Arial"/>
          <w:i/>
          <w:sz w:val="24"/>
          <w:szCs w:val="24"/>
        </w:rPr>
        <w:t>SIAM J. Numer. Anal</w:t>
      </w:r>
      <w:r w:rsidRPr="00954C9A">
        <w:rPr>
          <w:rFonts w:ascii="Arial" w:hAnsi="Arial" w:cs="Arial"/>
          <w:sz w:val="24"/>
          <w:szCs w:val="24"/>
        </w:rPr>
        <w:t xml:space="preserve">., </w:t>
      </w:r>
      <w:r w:rsidRPr="00954C9A">
        <w:rPr>
          <w:rFonts w:ascii="Arial" w:hAnsi="Arial" w:cs="Arial"/>
          <w:i/>
          <w:sz w:val="24"/>
          <w:szCs w:val="24"/>
        </w:rPr>
        <w:t>53(1), 370-389.</w:t>
      </w:r>
      <w:r w:rsidRPr="00954C9A">
        <w:rPr>
          <w:rFonts w:ascii="Arial" w:hAnsi="Arial" w:cs="Arial"/>
          <w:sz w:val="24"/>
          <w:szCs w:val="24"/>
        </w:rPr>
        <w:t xml:space="preserve"> </w:t>
      </w:r>
    </w:p>
    <w:p w:rsidR="002429F5" w:rsidRPr="00954C9A" w:rsidRDefault="002429F5" w:rsidP="002429F5">
      <w:pPr>
        <w:pStyle w:val="Reference"/>
        <w:spacing w:after="0"/>
        <w:rPr>
          <w:rFonts w:ascii="Arial" w:hAnsi="Arial" w:cs="Arial"/>
          <w:sz w:val="24"/>
          <w:szCs w:val="24"/>
        </w:rPr>
      </w:pPr>
      <w:r w:rsidRPr="002429F5">
        <w:rPr>
          <w:rFonts w:ascii="Arial" w:hAnsi="Arial" w:cs="Arial"/>
          <w:sz w:val="24"/>
          <w:szCs w:val="24"/>
          <w:lang w:val="es-MX"/>
        </w:rPr>
        <w:t xml:space="preserve">Mora, C. M., Mardones, H. A., Jiménez, J. C., Selva, M., Biscay, R. (2017). </w:t>
      </w:r>
      <w:r w:rsidRPr="00954C9A">
        <w:rPr>
          <w:rFonts w:ascii="Arial" w:hAnsi="Arial" w:cs="Arial"/>
          <w:sz w:val="24"/>
          <w:szCs w:val="24"/>
        </w:rPr>
        <w:t>A stable numerical scheme for stochastic differential equations with multiplicative noise</w:t>
      </w:r>
      <w:r w:rsidRPr="00954C9A">
        <w:rPr>
          <w:rFonts w:ascii="Arial" w:hAnsi="Arial" w:cs="Arial"/>
          <w:i/>
          <w:sz w:val="24"/>
          <w:szCs w:val="24"/>
        </w:rPr>
        <w:t>. SIAM J. Numer. Anal., 55(4), 1614-1649.</w:t>
      </w:r>
    </w:p>
    <w:p w:rsidR="002429F5" w:rsidRPr="00B27E23" w:rsidRDefault="002429F5" w:rsidP="002429F5">
      <w:pPr>
        <w:pStyle w:val="Reference"/>
        <w:snapToGrid w:val="0"/>
        <w:spacing w:after="0" w:line="264" w:lineRule="auto"/>
        <w:rPr>
          <w:rFonts w:ascii="Arial" w:hAnsi="Arial" w:cs="Arial"/>
        </w:rPr>
      </w:pPr>
      <w:r w:rsidRPr="00954C9A">
        <w:rPr>
          <w:rFonts w:ascii="Arial" w:hAnsi="Arial" w:cs="Arial"/>
          <w:sz w:val="24"/>
          <w:szCs w:val="24"/>
        </w:rPr>
        <w:t xml:space="preserve">Kushner, H. J. (1967). </w:t>
      </w:r>
      <w:r w:rsidRPr="00954C9A">
        <w:rPr>
          <w:rFonts w:ascii="Arial" w:hAnsi="Arial" w:cs="Arial"/>
          <w:i/>
          <w:sz w:val="24"/>
          <w:szCs w:val="24"/>
        </w:rPr>
        <w:t>Stochastic Stability and Control</w:t>
      </w:r>
      <w:r w:rsidRPr="00954C9A">
        <w:rPr>
          <w:rFonts w:ascii="Arial" w:hAnsi="Arial" w:cs="Arial"/>
          <w:sz w:val="24"/>
          <w:szCs w:val="24"/>
        </w:rPr>
        <w:t xml:space="preserve">. Academic Pres. </w:t>
      </w:r>
    </w:p>
    <w:p w:rsidR="002429F5" w:rsidRPr="008C3573" w:rsidRDefault="002429F5" w:rsidP="002429F5">
      <w:pPr>
        <w:pStyle w:val="Reference"/>
        <w:snapToGrid w:val="0"/>
        <w:spacing w:after="0" w:line="264" w:lineRule="auto"/>
        <w:rPr>
          <w:rFonts w:ascii="Arial" w:hAnsi="Arial" w:cs="Arial"/>
          <w:lang w:val="es-ES_tradnl"/>
        </w:rPr>
      </w:pPr>
      <w:r w:rsidRPr="00954C9A">
        <w:rPr>
          <w:rFonts w:ascii="Arial" w:hAnsi="Arial" w:cs="Arial"/>
          <w:sz w:val="24"/>
          <w:szCs w:val="24"/>
        </w:rPr>
        <w:t>Berkolaiko, G., Buckwar, E., Conall Kelly, C., Rodkina, A. (2012). Almost sure asymptotic stability analysis of the –Maruyama method applied to a test system with stabilising and</w:t>
      </w:r>
      <w:r>
        <w:rPr>
          <w:rFonts w:ascii="Arial" w:hAnsi="Arial" w:cs="Arial"/>
          <w:sz w:val="24"/>
          <w:szCs w:val="24"/>
        </w:rPr>
        <w:t xml:space="preserve"> </w:t>
      </w:r>
      <w:r w:rsidRPr="00954C9A">
        <w:rPr>
          <w:rFonts w:ascii="Arial" w:hAnsi="Arial" w:cs="Arial"/>
          <w:sz w:val="24"/>
          <w:szCs w:val="24"/>
        </w:rPr>
        <w:t xml:space="preserve">destabilising stochastic perturbations. </w:t>
      </w:r>
      <w:r w:rsidRPr="00954C9A">
        <w:rPr>
          <w:rFonts w:ascii="Arial" w:hAnsi="Arial" w:cs="Arial"/>
          <w:i/>
          <w:sz w:val="24"/>
          <w:szCs w:val="24"/>
        </w:rPr>
        <w:t>J. Comput. Math.</w:t>
      </w:r>
      <w:r w:rsidRPr="00954C9A">
        <w:rPr>
          <w:rFonts w:ascii="Arial" w:hAnsi="Arial" w:cs="Arial"/>
          <w:sz w:val="24"/>
          <w:szCs w:val="24"/>
        </w:rPr>
        <w:t xml:space="preserve"> 15, 71-83.</w:t>
      </w:r>
      <w:r>
        <w:rPr>
          <w:rFonts w:ascii="Arial" w:hAnsi="Arial" w:cs="Arial"/>
          <w:sz w:val="24"/>
          <w:szCs w:val="24"/>
        </w:rPr>
        <w:t xml:space="preserve"> </w:t>
      </w:r>
    </w:p>
    <w:p w:rsidR="002429F5" w:rsidRPr="008C3573" w:rsidRDefault="002429F5" w:rsidP="002429F5">
      <w:pPr>
        <w:pStyle w:val="Reference"/>
        <w:numPr>
          <w:ilvl w:val="0"/>
          <w:numId w:val="0"/>
        </w:numPr>
        <w:snapToGrid w:val="0"/>
        <w:spacing w:line="264" w:lineRule="auto"/>
        <w:ind w:left="420"/>
        <w:rPr>
          <w:rFonts w:ascii="Arial" w:hAnsi="Arial" w:cs="Arial"/>
          <w:sz w:val="24"/>
          <w:szCs w:val="24"/>
        </w:rPr>
      </w:pPr>
    </w:p>
    <w:p w:rsidR="00705D32" w:rsidRDefault="00705D32" w:rsidP="0049551D">
      <w:pPr>
        <w:rPr>
          <w:lang w:val="en-US"/>
        </w:rPr>
      </w:pPr>
    </w:p>
    <w:p w:rsidR="00996D62" w:rsidRPr="00FC7FD0" w:rsidRDefault="00996D62" w:rsidP="00996D62">
      <w:pPr>
        <w:pStyle w:val="1Titulo"/>
        <w:numPr>
          <w:ilvl w:val="0"/>
          <w:numId w:val="0"/>
        </w:numPr>
        <w:ind w:left="357"/>
        <w:jc w:val="center"/>
      </w:pPr>
      <w:bookmarkStart w:id="105" w:name="_Toc50031220"/>
      <w:r>
        <w:t>C</w:t>
      </w:r>
      <w:r w:rsidRPr="00FC7FD0">
        <w:t>asos confirmados y mortalidad por COVID-19 en Sudamérica: un análisis comparativo por millón de habitantes</w:t>
      </w:r>
      <w:bookmarkEnd w:id="105"/>
    </w:p>
    <w:p w:rsidR="00996D62" w:rsidRPr="00FC7FD0" w:rsidRDefault="00996D62" w:rsidP="00996D62">
      <w:pPr>
        <w:spacing w:line="240" w:lineRule="auto"/>
        <w:jc w:val="center"/>
        <w:rPr>
          <w:rFonts w:ascii="Arial" w:eastAsia="Arial" w:hAnsi="Arial" w:cs="Arial"/>
          <w:sz w:val="24"/>
          <w:szCs w:val="24"/>
          <w:vertAlign w:val="superscript"/>
        </w:rPr>
      </w:pPr>
      <w:r w:rsidRPr="00C56046">
        <w:rPr>
          <w:rFonts w:ascii="Arial" w:eastAsia="Arial" w:hAnsi="Arial" w:cs="Arial"/>
          <w:sz w:val="24"/>
          <w:szCs w:val="24"/>
          <w:u w:val="single"/>
        </w:rPr>
        <w:t>Nelson Huamaní</w:t>
      </w:r>
      <w:r w:rsidRPr="00DD4C0B">
        <w:rPr>
          <w:rFonts w:ascii="Arial" w:eastAsia="Arial" w:hAnsi="Arial" w:cs="Arial"/>
          <w:sz w:val="24"/>
          <w:szCs w:val="24"/>
          <w:vertAlign w:val="superscript"/>
        </w:rPr>
        <w:t>1</w:t>
      </w:r>
      <w:r>
        <w:rPr>
          <w:rFonts w:ascii="Arial" w:eastAsia="Arial" w:hAnsi="Arial" w:cs="Arial"/>
          <w:sz w:val="24"/>
          <w:szCs w:val="24"/>
          <w:vertAlign w:val="superscript"/>
        </w:rPr>
        <w:t>*</w:t>
      </w:r>
      <w:r w:rsidRPr="00DD4C0B">
        <w:rPr>
          <w:rFonts w:ascii="Arial" w:eastAsia="Arial" w:hAnsi="Arial" w:cs="Arial"/>
          <w:sz w:val="24"/>
          <w:szCs w:val="24"/>
        </w:rPr>
        <w:t>, Juan Orosco</w:t>
      </w:r>
      <w:r w:rsidRPr="00DD4C0B">
        <w:rPr>
          <w:rFonts w:ascii="Arial" w:eastAsia="Arial" w:hAnsi="Arial" w:cs="Arial"/>
          <w:sz w:val="24"/>
          <w:szCs w:val="24"/>
          <w:vertAlign w:val="superscript"/>
        </w:rPr>
        <w:t>2</w:t>
      </w:r>
      <w:r w:rsidRPr="00DD4C0B">
        <w:rPr>
          <w:rFonts w:ascii="Arial" w:eastAsia="Arial" w:hAnsi="Arial" w:cs="Arial"/>
          <w:sz w:val="24"/>
          <w:szCs w:val="24"/>
        </w:rPr>
        <w:t>, Patricia Llaque</w:t>
      </w:r>
      <w:r w:rsidRPr="00DD4C0B">
        <w:rPr>
          <w:rFonts w:ascii="Arial" w:eastAsia="Arial" w:hAnsi="Arial" w:cs="Arial"/>
          <w:sz w:val="24"/>
          <w:szCs w:val="24"/>
          <w:vertAlign w:val="superscript"/>
        </w:rPr>
        <w:t>3</w:t>
      </w:r>
      <w:r w:rsidRPr="00DD4C0B">
        <w:rPr>
          <w:rFonts w:ascii="Arial" w:eastAsia="Arial" w:hAnsi="Arial" w:cs="Arial"/>
          <w:sz w:val="24"/>
          <w:szCs w:val="24"/>
        </w:rPr>
        <w:t xml:space="preserve">, </w:t>
      </w:r>
      <w:r w:rsidRPr="00DD4C0B">
        <w:rPr>
          <w:rFonts w:ascii="Arial" w:hAnsi="Arial" w:cs="Arial"/>
          <w:color w:val="000000"/>
          <w:sz w:val="24"/>
          <w:szCs w:val="24"/>
        </w:rPr>
        <w:t>María Nuñez</w:t>
      </w:r>
      <w:r w:rsidRPr="00DD4C0B">
        <w:rPr>
          <w:rFonts w:ascii="Arial" w:eastAsia="Arial" w:hAnsi="Arial" w:cs="Arial"/>
          <w:sz w:val="24"/>
          <w:szCs w:val="24"/>
          <w:vertAlign w:val="superscript"/>
        </w:rPr>
        <w:t>1</w:t>
      </w:r>
      <w:r>
        <w:rPr>
          <w:rFonts w:ascii="Arial" w:eastAsia="Arial" w:hAnsi="Arial" w:cs="Arial"/>
          <w:sz w:val="24"/>
          <w:szCs w:val="24"/>
          <w:vertAlign w:val="superscript"/>
        </w:rPr>
        <w:t>θ</w:t>
      </w:r>
      <w:r w:rsidRPr="00DD4C0B">
        <w:rPr>
          <w:rFonts w:ascii="Arial" w:hAnsi="Arial" w:cs="Arial"/>
          <w:color w:val="000000"/>
          <w:sz w:val="24"/>
          <w:szCs w:val="24"/>
        </w:rPr>
        <w:t>, Magaly Lizana</w:t>
      </w:r>
      <w:r w:rsidRPr="00DD4C0B">
        <w:rPr>
          <w:rFonts w:ascii="Arial" w:eastAsia="Arial" w:hAnsi="Arial" w:cs="Arial"/>
          <w:sz w:val="24"/>
          <w:szCs w:val="24"/>
          <w:vertAlign w:val="superscript"/>
        </w:rPr>
        <w:t>1</w:t>
      </w:r>
      <w:r>
        <w:rPr>
          <w:rFonts w:ascii="Arial" w:eastAsia="Arial" w:hAnsi="Arial" w:cs="Arial"/>
          <w:sz w:val="24"/>
          <w:szCs w:val="24"/>
          <w:vertAlign w:val="superscript"/>
        </w:rPr>
        <w:t>Ɨ</w:t>
      </w:r>
    </w:p>
    <w:p w:rsidR="00996D62" w:rsidRPr="00846BDA" w:rsidRDefault="00996D62" w:rsidP="00996D62">
      <w:pPr>
        <w:autoSpaceDE w:val="0"/>
        <w:autoSpaceDN w:val="0"/>
        <w:adjustRightInd w:val="0"/>
        <w:spacing w:after="0" w:line="240" w:lineRule="auto"/>
        <w:jc w:val="both"/>
        <w:rPr>
          <w:rFonts w:ascii="Arial" w:eastAsiaTheme="minorHAnsi" w:hAnsi="Arial" w:cs="Arial"/>
        </w:rPr>
      </w:pPr>
      <w:r w:rsidRPr="00846BDA">
        <w:rPr>
          <w:rFonts w:ascii="Arial" w:eastAsia="Arial" w:hAnsi="Arial" w:cs="Arial"/>
          <w:vertAlign w:val="superscript"/>
        </w:rPr>
        <w:t>1</w:t>
      </w:r>
      <w:r w:rsidRPr="00846BDA">
        <w:rPr>
          <w:rFonts w:ascii="Arial" w:eastAsia="Arial" w:hAnsi="Arial" w:cs="Arial"/>
        </w:rPr>
        <w:t>Universidad Nacional de San Cristóbal de Huamanga</w:t>
      </w:r>
      <w:r w:rsidRPr="00846BDA">
        <w:rPr>
          <w:rFonts w:ascii="Arial" w:eastAsiaTheme="minorHAnsi" w:hAnsi="Arial" w:cs="Arial"/>
        </w:rPr>
        <w:t>, Ayacucho, Perú.</w:t>
      </w:r>
    </w:p>
    <w:p w:rsidR="00996D62" w:rsidRPr="00846BDA" w:rsidRDefault="00996D62" w:rsidP="00996D62">
      <w:pPr>
        <w:autoSpaceDE w:val="0"/>
        <w:autoSpaceDN w:val="0"/>
        <w:adjustRightInd w:val="0"/>
        <w:spacing w:after="0" w:line="240" w:lineRule="auto"/>
        <w:jc w:val="both"/>
        <w:rPr>
          <w:rFonts w:ascii="Arial" w:eastAsiaTheme="minorHAnsi" w:hAnsi="Arial" w:cs="Arial"/>
        </w:rPr>
      </w:pPr>
      <w:r w:rsidRPr="00846BDA">
        <w:rPr>
          <w:rFonts w:ascii="Arial" w:eastAsia="Arial" w:hAnsi="Arial" w:cs="Arial"/>
          <w:vertAlign w:val="superscript"/>
        </w:rPr>
        <w:t>2</w:t>
      </w:r>
      <w:r w:rsidRPr="00846BDA">
        <w:rPr>
          <w:rFonts w:ascii="Arial" w:eastAsiaTheme="minorHAnsi" w:hAnsi="Arial" w:cs="Arial"/>
        </w:rPr>
        <w:t>Departamento de Ciencias – Estadística, Universidad Privada del Norte, Lima, Perú.</w:t>
      </w:r>
    </w:p>
    <w:p w:rsidR="00996D62" w:rsidRPr="00846BDA" w:rsidRDefault="00996D62" w:rsidP="00996D62">
      <w:pPr>
        <w:pStyle w:val="Default"/>
        <w:jc w:val="both"/>
        <w:rPr>
          <w:sz w:val="22"/>
          <w:szCs w:val="22"/>
          <w:lang w:val="es-PE"/>
        </w:rPr>
      </w:pPr>
      <w:r w:rsidRPr="00846BDA">
        <w:rPr>
          <w:sz w:val="22"/>
          <w:szCs w:val="22"/>
          <w:vertAlign w:val="superscript"/>
          <w:lang w:val="es-PE"/>
        </w:rPr>
        <w:t>3</w:t>
      </w:r>
      <w:r w:rsidRPr="00846BDA">
        <w:rPr>
          <w:rStyle w:val="A8"/>
          <w:sz w:val="22"/>
          <w:szCs w:val="22"/>
          <w:lang w:val="es-PE"/>
        </w:rPr>
        <w:t xml:space="preserve">Instituto Nacional de Salud del Niño San Borja, </w:t>
      </w:r>
      <w:r w:rsidRPr="00846BDA">
        <w:rPr>
          <w:sz w:val="22"/>
          <w:szCs w:val="22"/>
          <w:lang w:val="es-PE"/>
        </w:rPr>
        <w:t>Universidad Peruana de Ciencias Aplicadas, Lima, Perú.</w:t>
      </w:r>
    </w:p>
    <w:p w:rsidR="00996D62" w:rsidRPr="00846BDA" w:rsidRDefault="00996D62" w:rsidP="00996D62">
      <w:pPr>
        <w:autoSpaceDE w:val="0"/>
        <w:autoSpaceDN w:val="0"/>
        <w:adjustRightInd w:val="0"/>
        <w:spacing w:after="0" w:line="240" w:lineRule="auto"/>
        <w:jc w:val="both"/>
        <w:rPr>
          <w:rFonts w:ascii="Arial" w:eastAsiaTheme="minorHAnsi" w:hAnsi="Arial" w:cs="Arial"/>
          <w:lang w:val="es-PE"/>
        </w:rPr>
      </w:pPr>
      <w:r w:rsidRPr="00846BDA">
        <w:rPr>
          <w:rFonts w:ascii="Arial" w:eastAsiaTheme="minorHAnsi" w:hAnsi="Arial" w:cs="Arial"/>
          <w:lang w:val="es-PE"/>
        </w:rPr>
        <w:t xml:space="preserve">*Departamento Académico de Matemática y Física; </w:t>
      </w:r>
      <w:r w:rsidRPr="00846BDA">
        <w:rPr>
          <w:rFonts w:ascii="Arial" w:eastAsia="Arial" w:hAnsi="Arial" w:cs="Arial"/>
          <w:vertAlign w:val="superscript"/>
        </w:rPr>
        <w:t>θ</w:t>
      </w:r>
      <w:r w:rsidRPr="00846BDA">
        <w:rPr>
          <w:rFonts w:ascii="Arial" w:eastAsiaTheme="minorHAnsi" w:hAnsi="Arial" w:cs="Arial"/>
          <w:lang w:val="es-PE"/>
        </w:rPr>
        <w:t xml:space="preserve">Escuela de Ciencias Físico Matemáticas – especialidad de Estadística; </w:t>
      </w:r>
      <w:r w:rsidRPr="00846BDA">
        <w:rPr>
          <w:rFonts w:ascii="Arial" w:eastAsia="Arial" w:hAnsi="Arial" w:cs="Arial"/>
          <w:vertAlign w:val="superscript"/>
        </w:rPr>
        <w:t>Ɨ</w:t>
      </w:r>
      <w:r w:rsidRPr="00846BDA">
        <w:rPr>
          <w:rFonts w:ascii="Arial" w:eastAsiaTheme="minorHAnsi" w:hAnsi="Arial" w:cs="Arial"/>
          <w:lang w:val="es-PE"/>
        </w:rPr>
        <w:t>Sociedad Científica Medico Estudiantil San Cristóbal de Huamanga.</w:t>
      </w:r>
    </w:p>
    <w:p w:rsidR="00996D62" w:rsidRPr="00846BDA" w:rsidRDefault="001345E4" w:rsidP="00996D62">
      <w:pPr>
        <w:autoSpaceDE w:val="0"/>
        <w:autoSpaceDN w:val="0"/>
        <w:adjustRightInd w:val="0"/>
        <w:spacing w:after="0" w:line="240" w:lineRule="auto"/>
        <w:rPr>
          <w:rFonts w:ascii="Arial" w:eastAsiaTheme="minorHAnsi" w:hAnsi="Arial" w:cs="Arial"/>
          <w:vertAlign w:val="superscript"/>
          <w:lang w:val="es-PE"/>
        </w:rPr>
      </w:pPr>
      <w:hyperlink r:id="rId181" w:history="1">
        <w:r w:rsidR="00996D62" w:rsidRPr="00846BDA">
          <w:rPr>
            <w:rStyle w:val="Hipervnculo"/>
            <w:rFonts w:ascii="Arial" w:eastAsiaTheme="minorHAnsi" w:hAnsi="Arial" w:cs="Arial"/>
            <w:color w:val="auto"/>
            <w:u w:val="none"/>
            <w:lang w:val="es-PE"/>
          </w:rPr>
          <w:t>*</w:t>
        </w:r>
        <w:r w:rsidR="00996D62" w:rsidRPr="00846BDA">
          <w:rPr>
            <w:rStyle w:val="Hipervnculo"/>
            <w:rFonts w:ascii="Arial" w:eastAsiaTheme="minorHAnsi" w:hAnsi="Arial" w:cs="Arial"/>
            <w:lang w:val="es-PE"/>
          </w:rPr>
          <w:t>nelson.berrocal@unsch.edu.pe</w:t>
        </w:r>
      </w:hyperlink>
      <w:r w:rsidR="00996D62" w:rsidRPr="00846BDA">
        <w:rPr>
          <w:rFonts w:ascii="Arial" w:eastAsiaTheme="minorHAnsi" w:hAnsi="Arial" w:cs="Arial"/>
          <w:lang w:val="es-PE"/>
        </w:rPr>
        <w:t xml:space="preserve">; </w:t>
      </w:r>
      <w:hyperlink r:id="rId182" w:history="1">
        <w:r w:rsidR="00996D62" w:rsidRPr="00C56046">
          <w:rPr>
            <w:rStyle w:val="Hipervnculo"/>
            <w:rFonts w:ascii="Arial" w:eastAsia="Arial" w:hAnsi="Arial" w:cs="Arial"/>
            <w:color w:val="auto"/>
            <w:u w:val="none"/>
            <w:vertAlign w:val="superscript"/>
          </w:rPr>
          <w:t>θ</w:t>
        </w:r>
        <w:r w:rsidR="00996D62" w:rsidRPr="00EF27A7">
          <w:rPr>
            <w:rStyle w:val="Hipervnculo"/>
            <w:rFonts w:ascii="Arial" w:eastAsiaTheme="minorHAnsi" w:hAnsi="Arial" w:cs="Arial"/>
            <w:lang w:val="es-PE"/>
          </w:rPr>
          <w:t>nunezarotomamariaestrella@gmail.com</w:t>
        </w:r>
      </w:hyperlink>
      <w:r w:rsidR="00996D62">
        <w:rPr>
          <w:rFonts w:ascii="Arial" w:eastAsiaTheme="minorHAnsi" w:hAnsi="Arial" w:cs="Arial"/>
          <w:lang w:val="es-PE"/>
        </w:rPr>
        <w:t xml:space="preserve">; </w:t>
      </w:r>
      <w:r w:rsidR="00996D62" w:rsidRPr="00846BDA">
        <w:rPr>
          <w:rFonts w:ascii="Arial" w:eastAsia="Arial" w:hAnsi="Arial" w:cs="Arial"/>
          <w:vertAlign w:val="superscript"/>
        </w:rPr>
        <w:t>Ɨ</w:t>
      </w:r>
      <w:hyperlink r:id="rId183" w:history="1">
        <w:r w:rsidR="00996D62" w:rsidRPr="00846BDA">
          <w:rPr>
            <w:rStyle w:val="Hipervnculo"/>
            <w:rFonts w:ascii="Arial" w:eastAsiaTheme="minorHAnsi" w:hAnsi="Arial" w:cs="Arial"/>
            <w:lang w:val="es-PE"/>
          </w:rPr>
          <w:t>magaly.lizana.29@unsch.edu.pe</w:t>
        </w:r>
      </w:hyperlink>
      <w:r w:rsidR="00996D62" w:rsidRPr="00846BDA">
        <w:rPr>
          <w:rFonts w:ascii="Arial" w:eastAsiaTheme="minorHAnsi" w:hAnsi="Arial" w:cs="Arial"/>
          <w:lang w:val="es-PE"/>
        </w:rPr>
        <w:t xml:space="preserve">; </w:t>
      </w:r>
      <w:hyperlink r:id="rId184" w:history="1">
        <w:r w:rsidR="00996D62" w:rsidRPr="00846BDA">
          <w:rPr>
            <w:rStyle w:val="Hipervnculo"/>
            <w:rFonts w:ascii="Arial" w:eastAsiaTheme="minorHAnsi" w:hAnsi="Arial" w:cs="Arial"/>
            <w:color w:val="auto"/>
            <w:u w:val="none"/>
            <w:vertAlign w:val="superscript"/>
            <w:lang w:val="es-PE"/>
          </w:rPr>
          <w:t>2</w:t>
        </w:r>
        <w:r w:rsidR="00996D62" w:rsidRPr="00846BDA">
          <w:rPr>
            <w:rStyle w:val="Hipervnculo"/>
            <w:rFonts w:ascii="Arial" w:eastAsiaTheme="minorHAnsi" w:hAnsi="Arial" w:cs="Arial"/>
            <w:lang w:val="es-PE"/>
          </w:rPr>
          <w:t>juan.orosco@upn.edu.pe</w:t>
        </w:r>
      </w:hyperlink>
      <w:r w:rsidR="00996D62" w:rsidRPr="00846BDA">
        <w:rPr>
          <w:rFonts w:ascii="Arial" w:eastAsiaTheme="minorHAnsi" w:hAnsi="Arial" w:cs="Arial"/>
          <w:lang w:val="es-PE"/>
        </w:rPr>
        <w:t xml:space="preserve">; </w:t>
      </w:r>
      <w:hyperlink r:id="rId185" w:history="1">
        <w:r w:rsidR="00996D62" w:rsidRPr="00846BDA">
          <w:rPr>
            <w:rStyle w:val="Hipervnculo"/>
            <w:rFonts w:ascii="Arial" w:eastAsiaTheme="minorHAnsi" w:hAnsi="Arial" w:cs="Arial"/>
            <w:color w:val="auto"/>
            <w:u w:val="none"/>
            <w:vertAlign w:val="superscript"/>
            <w:lang w:val="es-PE"/>
          </w:rPr>
          <w:t>3</w:t>
        </w:r>
        <w:r w:rsidR="00996D62" w:rsidRPr="00846BDA">
          <w:rPr>
            <w:rStyle w:val="Hipervnculo"/>
            <w:rFonts w:ascii="Arial" w:eastAsiaTheme="minorHAnsi" w:hAnsi="Arial" w:cs="Arial"/>
            <w:lang w:val="es-PE"/>
          </w:rPr>
          <w:t>patriciallaque83@gmail.com</w:t>
        </w:r>
      </w:hyperlink>
    </w:p>
    <w:p w:rsidR="00996D62" w:rsidRPr="00846BDA" w:rsidRDefault="00996D62" w:rsidP="00996D62">
      <w:pPr>
        <w:autoSpaceDE w:val="0"/>
        <w:autoSpaceDN w:val="0"/>
        <w:adjustRightInd w:val="0"/>
        <w:spacing w:after="0" w:line="240" w:lineRule="auto"/>
        <w:rPr>
          <w:rFonts w:ascii="Arial" w:eastAsiaTheme="minorHAnsi" w:hAnsi="Arial" w:cs="Arial"/>
          <w:sz w:val="20"/>
          <w:szCs w:val="20"/>
          <w:lang w:val="es-PE"/>
        </w:rPr>
      </w:pPr>
    </w:p>
    <w:p w:rsidR="00996D62" w:rsidRPr="00486394" w:rsidRDefault="00996D62" w:rsidP="00133D30">
      <w:pPr>
        <w:pStyle w:val="1Titulo"/>
        <w:numPr>
          <w:ilvl w:val="0"/>
          <w:numId w:val="31"/>
        </w:numPr>
      </w:pPr>
      <w:bookmarkStart w:id="106" w:name="_Toc50031221"/>
      <w:r w:rsidRPr="00486394">
        <w:rPr>
          <w:caps/>
        </w:rPr>
        <w:t>R</w:t>
      </w:r>
      <w:r w:rsidRPr="00486394">
        <w:t>esumen</w:t>
      </w:r>
      <w:bookmarkEnd w:id="106"/>
    </w:p>
    <w:p w:rsidR="00996D62" w:rsidRPr="00FC7FD0" w:rsidRDefault="00996D62" w:rsidP="00996D62">
      <w:pPr>
        <w:numPr>
          <w:ilvl w:val="0"/>
          <w:numId w:val="1"/>
        </w:numPr>
        <w:tabs>
          <w:tab w:val="clear" w:pos="432"/>
          <w:tab w:val="num" w:pos="0"/>
        </w:tabs>
        <w:suppressAutoHyphens/>
        <w:spacing w:after="0" w:line="240" w:lineRule="auto"/>
        <w:ind w:left="0" w:firstLine="0"/>
        <w:jc w:val="both"/>
        <w:rPr>
          <w:rFonts w:ascii="Arial" w:hAnsi="Arial" w:cs="Arial"/>
          <w:sz w:val="24"/>
          <w:szCs w:val="24"/>
          <w:lang w:eastAsia="ko-KR"/>
        </w:rPr>
      </w:pPr>
      <w:r w:rsidRPr="0089650F">
        <w:rPr>
          <w:rFonts w:ascii="Arial" w:hAnsi="Arial" w:cs="Arial"/>
          <w:sz w:val="24"/>
          <w:szCs w:val="24"/>
        </w:rPr>
        <w:t xml:space="preserve">El presente artículo muestra una comparación de los casos confirmados y muerte por la enfermedad por Coronavirus (COVID-19), entre países de Sudamérica, </w:t>
      </w:r>
      <w:r w:rsidRPr="0089650F">
        <w:rPr>
          <w:rFonts w:ascii="Arial" w:eastAsia="Arial" w:hAnsi="Arial" w:cs="Arial"/>
          <w:bCs/>
          <w:sz w:val="24"/>
          <w:szCs w:val="24"/>
        </w:rPr>
        <w:t>considerando casos por millón de habitantes y uniformizando el tiempo de contagio, desde el día de confirmación del caso cero</w:t>
      </w:r>
      <w:r w:rsidRPr="0089650F">
        <w:rPr>
          <w:rFonts w:ascii="Arial" w:hAnsi="Arial" w:cs="Arial"/>
          <w:sz w:val="24"/>
          <w:szCs w:val="24"/>
        </w:rPr>
        <w:t xml:space="preserve"> para cada </w:t>
      </w:r>
      <w:r w:rsidRPr="0089650F">
        <w:rPr>
          <w:rFonts w:ascii="Arial" w:eastAsia="Arial" w:hAnsi="Arial" w:cs="Arial"/>
          <w:bCs/>
          <w:sz w:val="24"/>
          <w:szCs w:val="24"/>
        </w:rPr>
        <w:t>país. El objetivo es evaluar</w:t>
      </w:r>
      <w:r w:rsidRPr="0089650F">
        <w:rPr>
          <w:rFonts w:ascii="Arial" w:hAnsi="Arial" w:cs="Arial"/>
          <w:sz w:val="24"/>
          <w:szCs w:val="24"/>
        </w:rPr>
        <w:t xml:space="preserve"> de manera más uniforme la propagación de este virus</w:t>
      </w:r>
      <w:r w:rsidRPr="0089650F">
        <w:rPr>
          <w:rFonts w:ascii="Arial" w:eastAsia="Arial" w:hAnsi="Arial" w:cs="Arial"/>
          <w:bCs/>
          <w:sz w:val="24"/>
          <w:szCs w:val="24"/>
        </w:rPr>
        <w:t xml:space="preserve"> y de esta forma evaluar el resultado de las medidas adoptadas por los gobiernos en contra del </w:t>
      </w:r>
      <w:r w:rsidRPr="0089650F">
        <w:rPr>
          <w:rFonts w:ascii="Arial" w:hAnsi="Arial" w:cs="Arial"/>
          <w:sz w:val="24"/>
          <w:szCs w:val="24"/>
        </w:rPr>
        <w:t>COVID-19, ya que diversos centros de investigación muestran comparaciones sin tener en cuenta la proporción de habitantes, ni el tiempo (días) de contagio entre países. Al tener en cuenta estos factores en Sudamérica, se observa que la realidad es distinta a la que se informa en los medios comunicación, un ejemplo de ello es que Perú es el país más afectado en Sudamérica (solo superado por Ecuador en muertes por millón) y no Brasil</w:t>
      </w:r>
      <w:r w:rsidRPr="0089650F">
        <w:rPr>
          <w:rFonts w:ascii="Arial" w:hAnsi="Arial" w:cs="Arial"/>
          <w:color w:val="000000"/>
          <w:sz w:val="24"/>
          <w:szCs w:val="24"/>
        </w:rPr>
        <w:t xml:space="preserve">. </w:t>
      </w:r>
    </w:p>
    <w:p w:rsidR="00996D62" w:rsidRDefault="00996D62" w:rsidP="00996D62">
      <w:pPr>
        <w:numPr>
          <w:ilvl w:val="0"/>
          <w:numId w:val="1"/>
        </w:numPr>
        <w:tabs>
          <w:tab w:val="clear" w:pos="432"/>
          <w:tab w:val="num" w:pos="0"/>
        </w:tabs>
        <w:suppressAutoHyphens/>
        <w:spacing w:after="0" w:line="240" w:lineRule="auto"/>
        <w:ind w:left="0" w:firstLine="0"/>
        <w:jc w:val="both"/>
        <w:rPr>
          <w:rFonts w:ascii="Arial" w:hAnsi="Arial" w:cs="Arial"/>
          <w:sz w:val="24"/>
          <w:szCs w:val="24"/>
          <w:lang w:eastAsia="ko-KR"/>
        </w:rPr>
      </w:pPr>
    </w:p>
    <w:p w:rsidR="00996D62" w:rsidRPr="00FC7FD0" w:rsidRDefault="00996D62" w:rsidP="00996D62">
      <w:pPr>
        <w:pStyle w:val="1Titulo"/>
        <w:numPr>
          <w:ilvl w:val="0"/>
          <w:numId w:val="0"/>
        </w:numPr>
        <w:ind w:left="357"/>
      </w:pPr>
      <w:bookmarkStart w:id="107" w:name="_Toc50031222"/>
      <w:r w:rsidRPr="00FC7FD0">
        <w:t>2. Introducción</w:t>
      </w:r>
      <w:bookmarkEnd w:id="107"/>
      <w:r w:rsidRPr="00FC7FD0">
        <w:t xml:space="preserve"> </w:t>
      </w:r>
    </w:p>
    <w:p w:rsidR="00996D62" w:rsidRPr="00FC7FD0" w:rsidRDefault="00996D62" w:rsidP="00996D62">
      <w:pPr>
        <w:pStyle w:val="NormalWeb"/>
        <w:spacing w:before="0" w:beforeAutospacing="0" w:after="160" w:afterAutospacing="0"/>
        <w:jc w:val="both"/>
        <w:rPr>
          <w:rFonts w:ascii="Arial" w:hAnsi="Arial" w:cs="Arial"/>
          <w:color w:val="000000"/>
          <w:lang w:val="es-PE"/>
        </w:rPr>
      </w:pPr>
      <w:r w:rsidRPr="0089650F">
        <w:rPr>
          <w:rFonts w:ascii="Arial" w:hAnsi="Arial" w:cs="Arial"/>
          <w:color w:val="000000"/>
          <w:lang w:val="es-PE"/>
        </w:rPr>
        <w:t xml:space="preserve">La enfermedad por Coronavirus 2019 (COVID-19) es una enfermedad </w:t>
      </w:r>
      <w:r w:rsidRPr="0089650F">
        <w:rPr>
          <w:rFonts w:ascii="Arial" w:hAnsi="Arial" w:cs="Arial"/>
          <w:color w:val="000000"/>
        </w:rPr>
        <w:t xml:space="preserve">con compromiso principalmente respiratorio </w:t>
      </w:r>
      <w:r w:rsidRPr="0089650F">
        <w:rPr>
          <w:rFonts w:ascii="Arial" w:hAnsi="Arial" w:cs="Arial"/>
          <w:color w:val="000000"/>
          <w:lang w:val="es-PE"/>
        </w:rPr>
        <w:t>que resulta de la infección por coronavirus 2 del síndrome respiratorio agudo severo (SARS-CoV-2)</w:t>
      </w:r>
      <w:r>
        <w:rPr>
          <w:rFonts w:ascii="Arial" w:hAnsi="Arial" w:cs="Arial"/>
          <w:color w:val="1F3864"/>
          <w:vertAlign w:val="superscript"/>
          <w:lang w:val="es-PE"/>
        </w:rPr>
        <w:t>[</w:t>
      </w:r>
      <w:r w:rsidRPr="0089650F">
        <w:rPr>
          <w:rFonts w:ascii="Arial" w:hAnsi="Arial" w:cs="Arial"/>
          <w:color w:val="1F3864"/>
          <w:vertAlign w:val="superscript"/>
          <w:lang w:val="es-PE"/>
        </w:rPr>
        <w:t>1</w:t>
      </w:r>
      <w:r>
        <w:rPr>
          <w:rFonts w:ascii="Arial" w:hAnsi="Arial" w:cs="Arial"/>
          <w:color w:val="1F3864"/>
          <w:vertAlign w:val="superscript"/>
          <w:lang w:val="es-PE"/>
        </w:rPr>
        <w:t>]</w:t>
      </w:r>
      <w:r w:rsidRPr="0089650F">
        <w:rPr>
          <w:rFonts w:ascii="Arial" w:hAnsi="Arial" w:cs="Arial"/>
          <w:color w:val="000000"/>
          <w:lang w:val="es-PE"/>
        </w:rPr>
        <w:t>. Tras los informes iniciales del brote de la enfermedad en China en diciembre del 2019, el COVID-19 se ha extendido en los primeros 3 meses en más de 100 países</w:t>
      </w:r>
      <w:r>
        <w:rPr>
          <w:rFonts w:ascii="Arial" w:hAnsi="Arial" w:cs="Arial"/>
          <w:color w:val="000000"/>
          <w:vertAlign w:val="superscript"/>
          <w:lang w:val="es-PE"/>
        </w:rPr>
        <w:t>[</w:t>
      </w:r>
      <w:r w:rsidRPr="0089650F">
        <w:rPr>
          <w:rFonts w:ascii="Arial" w:hAnsi="Arial" w:cs="Arial"/>
          <w:color w:val="000000"/>
          <w:vertAlign w:val="superscript"/>
          <w:lang w:val="es-PE"/>
        </w:rPr>
        <w:t>2,3</w:t>
      </w:r>
      <w:r>
        <w:rPr>
          <w:rFonts w:ascii="Arial" w:hAnsi="Arial" w:cs="Arial"/>
          <w:color w:val="000000"/>
          <w:vertAlign w:val="superscript"/>
          <w:lang w:val="es-PE"/>
        </w:rPr>
        <w:t>]</w:t>
      </w:r>
      <w:r w:rsidRPr="0089650F">
        <w:rPr>
          <w:rFonts w:ascii="Arial" w:hAnsi="Arial" w:cs="Arial"/>
          <w:color w:val="000000"/>
          <w:lang w:val="es-PE"/>
        </w:rPr>
        <w:t>.</w:t>
      </w:r>
      <w:r w:rsidRPr="0089650F">
        <w:rPr>
          <w:rFonts w:ascii="Arial" w:hAnsi="Arial" w:cs="Arial"/>
          <w:lang w:val="es-PE"/>
        </w:rPr>
        <w:t xml:space="preserve"> </w:t>
      </w:r>
      <w:r w:rsidRPr="0089650F">
        <w:rPr>
          <w:rFonts w:ascii="Arial" w:hAnsi="Arial" w:cs="Arial"/>
          <w:color w:val="000000"/>
          <w:lang w:val="es-PE"/>
        </w:rPr>
        <w:t xml:space="preserve">La evolución </w:t>
      </w:r>
      <w:r w:rsidRPr="0089650F">
        <w:rPr>
          <w:rFonts w:ascii="Arial" w:hAnsi="Arial" w:cs="Arial"/>
          <w:color w:val="000000"/>
          <w:lang w:val="es-PE"/>
        </w:rPr>
        <w:lastRenderedPageBreak/>
        <w:t>de esta pandemia en términos de incidencia, mortalidad y velocidad de expansión es heterogénea, estas diferencias entre países e incluso entre regiones del mismo país, requiere comprender los factores que impulsan su comportamiento</w:t>
      </w:r>
      <w:r>
        <w:rPr>
          <w:rFonts w:ascii="Arial" w:hAnsi="Arial" w:cs="Arial"/>
          <w:color w:val="000000"/>
          <w:vertAlign w:val="superscript"/>
          <w:lang w:val="es-PE"/>
        </w:rPr>
        <w:t>[</w:t>
      </w:r>
      <w:r w:rsidRPr="0089650F">
        <w:rPr>
          <w:rFonts w:ascii="Arial" w:hAnsi="Arial" w:cs="Arial"/>
          <w:color w:val="000000"/>
          <w:vertAlign w:val="superscript"/>
          <w:lang w:val="es-PE"/>
        </w:rPr>
        <w:t>2</w:t>
      </w:r>
      <w:r>
        <w:rPr>
          <w:rFonts w:ascii="Arial" w:hAnsi="Arial" w:cs="Arial"/>
          <w:color w:val="000000"/>
          <w:vertAlign w:val="superscript"/>
          <w:lang w:val="es-PE"/>
        </w:rPr>
        <w:t>]</w:t>
      </w:r>
      <w:r w:rsidRPr="0089650F">
        <w:rPr>
          <w:rFonts w:ascii="Arial" w:hAnsi="Arial" w:cs="Arial"/>
          <w:color w:val="000000"/>
          <w:lang w:val="es-PE"/>
        </w:rPr>
        <w:t>.</w:t>
      </w:r>
    </w:p>
    <w:p w:rsidR="00996D62" w:rsidRPr="0089650F" w:rsidRDefault="00996D62" w:rsidP="00996D62">
      <w:pPr>
        <w:pStyle w:val="NormalWeb"/>
        <w:spacing w:before="0" w:beforeAutospacing="0" w:after="160" w:afterAutospacing="0"/>
        <w:jc w:val="both"/>
        <w:rPr>
          <w:rFonts w:ascii="Arial" w:hAnsi="Arial" w:cs="Arial"/>
          <w:lang w:val="es-PE"/>
        </w:rPr>
      </w:pPr>
      <w:r w:rsidRPr="0089650F">
        <w:rPr>
          <w:rFonts w:ascii="Arial" w:hAnsi="Arial" w:cs="Arial"/>
          <w:color w:val="000000"/>
          <w:lang w:val="es-PE"/>
        </w:rPr>
        <w:t>Distintos trabajos revelan que existe subestimación generalizada de la magnitud de la epidemia. Es necesario mejorar la identificación de casos y la eficacia de los sistemas de vigilancia epidemiológica</w:t>
      </w:r>
      <w:r>
        <w:rPr>
          <w:rFonts w:ascii="Arial" w:hAnsi="Arial" w:cs="Arial"/>
          <w:color w:val="000000"/>
          <w:vertAlign w:val="superscript"/>
          <w:lang w:val="es-PE"/>
        </w:rPr>
        <w:t>[</w:t>
      </w:r>
      <w:r w:rsidRPr="0089650F">
        <w:rPr>
          <w:rFonts w:ascii="Arial" w:hAnsi="Arial" w:cs="Arial"/>
          <w:color w:val="000000"/>
          <w:vertAlign w:val="superscript"/>
          <w:lang w:val="es-PE"/>
        </w:rPr>
        <w:t>4</w:t>
      </w:r>
      <w:r>
        <w:rPr>
          <w:rFonts w:ascii="Arial" w:hAnsi="Arial" w:cs="Arial"/>
          <w:color w:val="000000"/>
          <w:vertAlign w:val="superscript"/>
          <w:lang w:val="es-PE"/>
        </w:rPr>
        <w:t>]</w:t>
      </w:r>
      <w:r w:rsidRPr="0089650F">
        <w:rPr>
          <w:rFonts w:ascii="Arial" w:hAnsi="Arial" w:cs="Arial"/>
          <w:color w:val="000000"/>
          <w:lang w:val="es-PE"/>
        </w:rPr>
        <w:t xml:space="preserve">, para un mejor control y toma de decisiones adecuadas, que conlleven a un mejor manejo de esta enfermedad, que se resume en evitar más muertes. Por tal motivo este trabajo nos permitirá </w:t>
      </w:r>
      <w:r w:rsidRPr="0089650F">
        <w:rPr>
          <w:rFonts w:ascii="Arial" w:hAnsi="Arial" w:cs="Arial"/>
          <w:color w:val="000000"/>
        </w:rPr>
        <w:t>evaluar</w:t>
      </w:r>
      <w:r w:rsidRPr="0089650F">
        <w:rPr>
          <w:rFonts w:ascii="Arial" w:hAnsi="Arial" w:cs="Arial"/>
          <w:color w:val="000000"/>
          <w:lang w:val="es-PE"/>
        </w:rPr>
        <w:t xml:space="preserve"> en cierto sentido, el resultado de las medidas adoptadas por los gobiernos de </w:t>
      </w:r>
      <w:r w:rsidRPr="0089650F">
        <w:rPr>
          <w:rFonts w:ascii="Arial" w:hAnsi="Arial" w:cs="Arial"/>
          <w:lang w:val="es-PE"/>
        </w:rPr>
        <w:t>Sudamérica</w:t>
      </w:r>
      <w:r w:rsidRPr="0089650F">
        <w:rPr>
          <w:rFonts w:ascii="Arial" w:hAnsi="Arial" w:cs="Arial"/>
          <w:color w:val="000000"/>
          <w:lang w:val="es-PE"/>
        </w:rPr>
        <w:t>, los cuales nos sugerirán (con los datos del número de casos confirmados y muertes) en que países está siendo más efectiva las medidas implementadas.</w:t>
      </w:r>
    </w:p>
    <w:p w:rsidR="00996D62" w:rsidRPr="0089650F" w:rsidRDefault="00996D62" w:rsidP="00996D62">
      <w:pPr>
        <w:pStyle w:val="NormalWeb"/>
        <w:spacing w:before="0" w:beforeAutospacing="0" w:after="160" w:afterAutospacing="0"/>
        <w:jc w:val="both"/>
        <w:rPr>
          <w:rFonts w:ascii="Arial" w:hAnsi="Arial" w:cs="Arial"/>
          <w:lang w:val="es-PE"/>
        </w:rPr>
      </w:pPr>
      <w:r w:rsidRPr="0089650F">
        <w:rPr>
          <w:rFonts w:ascii="Arial" w:hAnsi="Arial" w:cs="Arial"/>
          <w:color w:val="000000"/>
          <w:lang w:val="es-PE"/>
        </w:rPr>
        <w:t xml:space="preserve">Para poder comparar las distintas realidades que se dan en </w:t>
      </w:r>
      <w:r w:rsidRPr="0089650F">
        <w:rPr>
          <w:rFonts w:ascii="Arial" w:hAnsi="Arial" w:cs="Arial"/>
          <w:lang w:val="es-PE"/>
        </w:rPr>
        <w:t>Sudamérica</w:t>
      </w:r>
      <w:r w:rsidRPr="0089650F">
        <w:rPr>
          <w:rFonts w:ascii="Arial" w:hAnsi="Arial" w:cs="Arial"/>
          <w:color w:val="000000"/>
          <w:lang w:val="es-PE"/>
        </w:rPr>
        <w:t xml:space="preserve">, teniendo en cuenta que los países que la conforman no poseen demografía similar, y además su fecha de confirmación del caso cero por </w:t>
      </w:r>
      <w:r w:rsidRPr="0089650F">
        <w:rPr>
          <w:rFonts w:ascii="Arial" w:hAnsi="Arial" w:cs="Arial"/>
          <w:lang w:val="es-PE"/>
        </w:rPr>
        <w:t>COVID-19,</w:t>
      </w:r>
      <w:r w:rsidRPr="0089650F">
        <w:rPr>
          <w:rFonts w:ascii="Arial" w:hAnsi="Arial" w:cs="Arial"/>
          <w:color w:val="000000"/>
          <w:lang w:val="es-PE"/>
        </w:rPr>
        <w:t xml:space="preserve"> no es la misma. Consideramos</w:t>
      </w:r>
      <w:r w:rsidRPr="0089650F">
        <w:rPr>
          <w:rFonts w:ascii="Arial" w:eastAsia="Arial" w:hAnsi="Arial" w:cs="Arial"/>
          <w:bCs/>
          <w:lang w:val="es-PE"/>
        </w:rPr>
        <w:t xml:space="preserve"> los casos confirmados y muertes por millón de habitantes, y uniformizamos el tiempo de contagio, desde el día de confirmación del caso cero</w:t>
      </w:r>
      <w:r w:rsidRPr="0089650F">
        <w:rPr>
          <w:rFonts w:ascii="Arial" w:hAnsi="Arial" w:cs="Arial"/>
          <w:lang w:val="es-PE"/>
        </w:rPr>
        <w:t xml:space="preserve"> para cada </w:t>
      </w:r>
      <w:r w:rsidRPr="0089650F">
        <w:rPr>
          <w:rFonts w:ascii="Arial" w:eastAsia="Arial" w:hAnsi="Arial" w:cs="Arial"/>
          <w:bCs/>
          <w:lang w:val="es-PE"/>
        </w:rPr>
        <w:t xml:space="preserve">país, </w:t>
      </w:r>
      <w:r w:rsidRPr="0089650F">
        <w:rPr>
          <w:rFonts w:ascii="Arial" w:hAnsi="Arial" w:cs="Arial"/>
          <w:color w:val="000000"/>
          <w:lang w:val="es-PE"/>
        </w:rPr>
        <w:t xml:space="preserve">con el fin de poder visualizar adecuadamente la cantidad de contagiados, sin que esta muestre sesgos por su población pequeña o grande y sin que el tiempo de contagio sea distinta. Así obtenemos resultados que salen de nuestra percepción lógica; un </w:t>
      </w:r>
      <w:r w:rsidRPr="0089650F">
        <w:rPr>
          <w:rFonts w:ascii="Arial" w:hAnsi="Arial" w:cs="Arial"/>
          <w:lang w:val="es-PE"/>
        </w:rPr>
        <w:t>ejemplo claro es el caso de Brasil, si bien este país tiene el mayor número de contagiados en Sudamérica, pero en casos por millón, Brasil está por debajo de Perú, Chile y Ecuador.</w:t>
      </w:r>
    </w:p>
    <w:p w:rsidR="00996D62" w:rsidRPr="00FC7FD0" w:rsidRDefault="00996D62" w:rsidP="00996D62">
      <w:pPr>
        <w:pStyle w:val="1Titulo"/>
        <w:numPr>
          <w:ilvl w:val="0"/>
          <w:numId w:val="0"/>
        </w:numPr>
        <w:ind w:left="357"/>
        <w:rPr>
          <w:shd w:val="clear" w:color="auto" w:fill="FFFFFF"/>
        </w:rPr>
      </w:pPr>
      <w:bookmarkStart w:id="108" w:name="_Toc50031223"/>
      <w:r w:rsidRPr="00FC7FD0">
        <w:rPr>
          <w:shd w:val="clear" w:color="auto" w:fill="FFFFFF"/>
        </w:rPr>
        <w:t>3. Condiciones experimentales</w:t>
      </w:r>
      <w:bookmarkEnd w:id="108"/>
    </w:p>
    <w:p w:rsidR="00996D62" w:rsidRPr="001D14B6" w:rsidRDefault="00996D62" w:rsidP="00996D62">
      <w:pPr>
        <w:jc w:val="both"/>
        <w:rPr>
          <w:rFonts w:ascii="Arial" w:hAnsi="Arial" w:cs="Arial"/>
          <w:shd w:val="clear" w:color="auto" w:fill="FFFFFF"/>
        </w:rPr>
      </w:pPr>
      <w:r>
        <w:rPr>
          <w:rFonts w:ascii="Arial" w:hAnsi="Arial" w:cs="Arial"/>
          <w:sz w:val="24"/>
          <w:szCs w:val="24"/>
          <w:shd w:val="clear" w:color="auto" w:fill="FFFFFF"/>
        </w:rPr>
        <w:t>En</w:t>
      </w:r>
      <w:r w:rsidRPr="0089650F">
        <w:rPr>
          <w:rFonts w:ascii="Arial" w:hAnsi="Arial" w:cs="Arial"/>
          <w:sz w:val="24"/>
          <w:szCs w:val="24"/>
          <w:shd w:val="clear" w:color="auto" w:fill="FFFFFF"/>
        </w:rPr>
        <w:t xml:space="preserve"> la investigación se realizó un estudio descriptivo y comparativo de la tasa de contagio por millón de habitantes, y el número de contagio y muerte por la COVID-19 en </w:t>
      </w:r>
      <w:r w:rsidRPr="0089650F">
        <w:rPr>
          <w:rFonts w:ascii="Arial" w:hAnsi="Arial" w:cs="Arial"/>
          <w:sz w:val="24"/>
          <w:szCs w:val="24"/>
        </w:rPr>
        <w:t>Sudamérica</w:t>
      </w:r>
      <w:r w:rsidRPr="0089650F">
        <w:rPr>
          <w:rFonts w:ascii="Arial" w:hAnsi="Arial" w:cs="Arial"/>
          <w:sz w:val="24"/>
          <w:szCs w:val="24"/>
          <w:shd w:val="clear" w:color="auto" w:fill="FFFFFF"/>
        </w:rPr>
        <w:t xml:space="preserve">, considerando un tiempo uniforme, es decir, se recolectó información a partir del primer reporte del caso confirmado con la COVID-19 hasta el 15 de junio de 2020 en cada país sudamericano. Los datos del número de casos confirmados y muertes de cada país fueron tomados de </w:t>
      </w:r>
      <w:r w:rsidRPr="0089650F">
        <w:rPr>
          <w:rFonts w:ascii="Arial" w:hAnsi="Arial" w:cs="Arial"/>
          <w:i/>
          <w:sz w:val="24"/>
          <w:szCs w:val="24"/>
          <w:shd w:val="clear" w:color="auto" w:fill="FFFFFF"/>
        </w:rPr>
        <w:t>Our World in Data</w:t>
      </w:r>
      <w:r w:rsidRPr="0062276F">
        <w:rPr>
          <w:rFonts w:ascii="Arial" w:hAnsi="Arial" w:cs="Arial"/>
          <w:iCs/>
          <w:sz w:val="24"/>
          <w:szCs w:val="24"/>
          <w:shd w:val="clear" w:color="auto" w:fill="FFFFFF"/>
          <w:vertAlign w:val="superscript"/>
        </w:rPr>
        <w:t>[5]</w:t>
      </w:r>
      <w:r w:rsidRPr="0089650F">
        <w:rPr>
          <w:rFonts w:ascii="Arial" w:hAnsi="Arial" w:cs="Arial"/>
          <w:sz w:val="24"/>
          <w:szCs w:val="24"/>
          <w:shd w:val="clear" w:color="auto" w:fill="FFFFFF"/>
        </w:rPr>
        <w:t xml:space="preserve">, además de corroborar con informaciones oficiales correspondiente a cada país; la población total hasta el 28 de mayo de 2020 para cada país fue obtenido de </w:t>
      </w:r>
      <w:r w:rsidRPr="0089650F">
        <w:rPr>
          <w:rFonts w:ascii="Arial" w:hAnsi="Arial" w:cs="Arial"/>
          <w:i/>
          <w:sz w:val="24"/>
          <w:szCs w:val="24"/>
          <w:shd w:val="clear" w:color="auto" w:fill="FFFFFF"/>
        </w:rPr>
        <w:t>worldometer</w:t>
      </w:r>
      <w:r w:rsidRPr="0089650F">
        <w:rPr>
          <w:rFonts w:ascii="Arial" w:hAnsi="Arial" w:cs="Arial"/>
          <w:sz w:val="24"/>
          <w:szCs w:val="24"/>
          <w:shd w:val="clear" w:color="auto" w:fill="FFFFFF"/>
        </w:rPr>
        <w:t>s</w:t>
      </w:r>
      <w:r>
        <w:rPr>
          <w:rFonts w:ascii="Arial" w:hAnsi="Arial" w:cs="Arial"/>
          <w:sz w:val="24"/>
          <w:szCs w:val="24"/>
          <w:shd w:val="clear" w:color="auto" w:fill="FFFFFF"/>
          <w:vertAlign w:val="superscript"/>
        </w:rPr>
        <w:t>[</w:t>
      </w:r>
      <w:r w:rsidRPr="0089650F">
        <w:rPr>
          <w:rFonts w:ascii="Arial" w:hAnsi="Arial" w:cs="Arial"/>
          <w:sz w:val="24"/>
          <w:szCs w:val="24"/>
          <w:shd w:val="clear" w:color="auto" w:fill="FFFFFF"/>
          <w:vertAlign w:val="superscript"/>
        </w:rPr>
        <w:t>6</w:t>
      </w:r>
      <w:r>
        <w:rPr>
          <w:rFonts w:ascii="Arial" w:hAnsi="Arial" w:cs="Arial"/>
          <w:sz w:val="24"/>
          <w:szCs w:val="24"/>
          <w:shd w:val="clear" w:color="auto" w:fill="FFFFFF"/>
          <w:vertAlign w:val="superscript"/>
        </w:rPr>
        <w:t>]</w:t>
      </w:r>
      <w:r w:rsidRPr="0089650F">
        <w:rPr>
          <w:rFonts w:ascii="Arial" w:hAnsi="Arial" w:cs="Arial"/>
          <w:sz w:val="24"/>
          <w:szCs w:val="24"/>
          <w:shd w:val="clear" w:color="auto" w:fill="FFFFFF"/>
        </w:rPr>
        <w:t>, a partir de estas informaciones se obtuvieron las tasas de contagio y muerte por millón de habitantes mediante:</w:t>
      </w:r>
    </w:p>
    <w:p w:rsidR="00996D62" w:rsidRPr="00A16180" w:rsidRDefault="00996D62" w:rsidP="00996D62">
      <w:pPr>
        <w:spacing w:line="360" w:lineRule="auto"/>
        <w:jc w:val="both"/>
        <w:rPr>
          <w:rFonts w:ascii="Arial" w:hAnsi="Arial" w:cs="Arial"/>
          <w:color w:val="000000"/>
          <w:sz w:val="24"/>
          <w:szCs w:val="24"/>
          <w:shd w:val="clear" w:color="auto" w:fill="FFFFFF"/>
        </w:rPr>
      </w:pPr>
      <w:bookmarkStart w:id="109" w:name="_Hlk43206733"/>
      <m:oMathPara>
        <m:oMath>
          <m:r>
            <w:rPr>
              <w:rFonts w:ascii="Cambria Math" w:hAnsi="Cambria Math" w:cs="Arial"/>
              <w:color w:val="000000"/>
              <w:sz w:val="24"/>
              <w:szCs w:val="24"/>
              <w:shd w:val="clear" w:color="auto" w:fill="FFFFFF"/>
            </w:rPr>
            <m:t xml:space="preserve">N° de contagiados por millón de habitantes= </m:t>
          </m:r>
          <m:f>
            <m:fPr>
              <m:ctrlPr>
                <w:rPr>
                  <w:rFonts w:ascii="Cambria Math" w:hAnsi="Cambria Math" w:cs="Arial"/>
                  <w:i/>
                  <w:color w:val="000000"/>
                  <w:sz w:val="24"/>
                  <w:szCs w:val="24"/>
                  <w:shd w:val="clear" w:color="auto" w:fill="FFFFFF"/>
                </w:rPr>
              </m:ctrlPr>
            </m:fPr>
            <m:num>
              <m:r>
                <w:rPr>
                  <w:rFonts w:ascii="Cambria Math" w:hAnsi="Cambria Math" w:cs="Arial"/>
                  <w:color w:val="000000"/>
                  <w:sz w:val="24"/>
                  <w:szCs w:val="24"/>
                  <w:shd w:val="clear" w:color="auto" w:fill="FFFFFF"/>
                </w:rPr>
                <m:t>N° de contagiados en el país</m:t>
              </m:r>
            </m:num>
            <m:den>
              <m:r>
                <w:rPr>
                  <w:rFonts w:ascii="Cambria Math" w:hAnsi="Cambria Math" w:cs="Arial"/>
                  <w:color w:val="000000"/>
                  <w:sz w:val="24"/>
                  <w:szCs w:val="24"/>
                  <w:shd w:val="clear" w:color="auto" w:fill="FFFFFF"/>
                </w:rPr>
                <m:t xml:space="preserve">Población total en el país </m:t>
              </m:r>
            </m:den>
          </m:f>
          <m:r>
            <w:rPr>
              <w:rFonts w:ascii="Cambria Math" w:hAnsi="Cambria Math" w:cs="Arial"/>
              <w:color w:val="000000"/>
              <w:sz w:val="24"/>
              <w:szCs w:val="24"/>
              <w:shd w:val="clear" w:color="auto" w:fill="FFFFFF"/>
            </w:rPr>
            <m:t xml:space="preserve"> x </m:t>
          </m:r>
          <m:sSup>
            <m:sSupPr>
              <m:ctrlPr>
                <w:rPr>
                  <w:rFonts w:ascii="Cambria Math" w:hAnsi="Cambria Math" w:cs="Arial"/>
                  <w:i/>
                  <w:color w:val="000000"/>
                  <w:sz w:val="24"/>
                  <w:szCs w:val="24"/>
                  <w:shd w:val="clear" w:color="auto" w:fill="FFFFFF"/>
                </w:rPr>
              </m:ctrlPr>
            </m:sSupPr>
            <m:e>
              <m:r>
                <w:rPr>
                  <w:rFonts w:ascii="Cambria Math" w:hAnsi="Cambria Math" w:cs="Arial"/>
                  <w:color w:val="000000"/>
                  <w:sz w:val="24"/>
                  <w:szCs w:val="24"/>
                  <w:shd w:val="clear" w:color="auto" w:fill="FFFFFF"/>
                </w:rPr>
                <m:t>10</m:t>
              </m:r>
            </m:e>
            <m:sup>
              <m:r>
                <w:rPr>
                  <w:rFonts w:ascii="Cambria Math" w:hAnsi="Cambria Math" w:cs="Arial"/>
                  <w:color w:val="000000"/>
                  <w:sz w:val="24"/>
                  <w:szCs w:val="24"/>
                  <w:shd w:val="clear" w:color="auto" w:fill="FFFFFF"/>
                </w:rPr>
                <m:t>6</m:t>
              </m:r>
            </m:sup>
          </m:sSup>
        </m:oMath>
      </m:oMathPara>
      <w:bookmarkEnd w:id="109"/>
    </w:p>
    <w:p w:rsidR="00996D62" w:rsidRPr="00A16180" w:rsidRDefault="00996D62" w:rsidP="00996D62">
      <w:pPr>
        <w:spacing w:after="120" w:line="240" w:lineRule="auto"/>
        <w:jc w:val="both"/>
        <w:rPr>
          <w:rFonts w:ascii="Arial" w:hAnsi="Arial" w:cs="Arial"/>
          <w:sz w:val="24"/>
          <w:szCs w:val="24"/>
          <w:shd w:val="clear" w:color="auto" w:fill="FFFFFF"/>
        </w:rPr>
      </w:pPr>
      <m:oMathPara>
        <m:oMath>
          <m:r>
            <w:rPr>
              <w:rFonts w:ascii="Cambria Math" w:hAnsi="Cambria Math" w:cs="Arial"/>
              <w:color w:val="000000"/>
              <w:sz w:val="24"/>
              <w:szCs w:val="24"/>
              <w:shd w:val="clear" w:color="auto" w:fill="FFFFFF"/>
            </w:rPr>
            <m:t xml:space="preserve">N° de muertes por millón de habitantes= </m:t>
          </m:r>
          <m:f>
            <m:fPr>
              <m:ctrlPr>
                <w:rPr>
                  <w:rFonts w:ascii="Cambria Math" w:hAnsi="Cambria Math" w:cs="Arial"/>
                  <w:i/>
                  <w:color w:val="000000"/>
                  <w:sz w:val="24"/>
                  <w:szCs w:val="24"/>
                  <w:shd w:val="clear" w:color="auto" w:fill="FFFFFF"/>
                </w:rPr>
              </m:ctrlPr>
            </m:fPr>
            <m:num>
              <m:r>
                <w:rPr>
                  <w:rFonts w:ascii="Cambria Math" w:hAnsi="Cambria Math" w:cs="Arial"/>
                  <w:color w:val="000000"/>
                  <w:sz w:val="24"/>
                  <w:szCs w:val="24"/>
                  <w:shd w:val="clear" w:color="auto" w:fill="FFFFFF"/>
                </w:rPr>
                <m:t>N° de muertes en el país</m:t>
              </m:r>
            </m:num>
            <m:den>
              <m:r>
                <w:rPr>
                  <w:rFonts w:ascii="Cambria Math" w:hAnsi="Cambria Math" w:cs="Arial"/>
                  <w:color w:val="000000"/>
                  <w:sz w:val="24"/>
                  <w:szCs w:val="24"/>
                  <w:shd w:val="clear" w:color="auto" w:fill="FFFFFF"/>
                </w:rPr>
                <m:t xml:space="preserve">Población total en el país </m:t>
              </m:r>
            </m:den>
          </m:f>
          <m:r>
            <w:rPr>
              <w:rFonts w:ascii="Cambria Math" w:hAnsi="Cambria Math" w:cs="Arial"/>
              <w:color w:val="000000"/>
              <w:sz w:val="24"/>
              <w:szCs w:val="24"/>
              <w:shd w:val="clear" w:color="auto" w:fill="FFFFFF"/>
            </w:rPr>
            <m:t xml:space="preserve"> x </m:t>
          </m:r>
          <m:sSup>
            <m:sSupPr>
              <m:ctrlPr>
                <w:rPr>
                  <w:rFonts w:ascii="Cambria Math" w:hAnsi="Cambria Math" w:cs="Arial"/>
                  <w:i/>
                  <w:color w:val="000000"/>
                  <w:sz w:val="24"/>
                  <w:szCs w:val="24"/>
                  <w:shd w:val="clear" w:color="auto" w:fill="FFFFFF"/>
                </w:rPr>
              </m:ctrlPr>
            </m:sSupPr>
            <m:e>
              <m:r>
                <w:rPr>
                  <w:rFonts w:ascii="Cambria Math" w:hAnsi="Cambria Math" w:cs="Arial"/>
                  <w:color w:val="000000"/>
                  <w:sz w:val="24"/>
                  <w:szCs w:val="24"/>
                  <w:shd w:val="clear" w:color="auto" w:fill="FFFFFF"/>
                </w:rPr>
                <m:t>10</m:t>
              </m:r>
            </m:e>
            <m:sup>
              <m:r>
                <w:rPr>
                  <w:rFonts w:ascii="Cambria Math" w:hAnsi="Cambria Math" w:cs="Arial"/>
                  <w:color w:val="000000"/>
                  <w:sz w:val="24"/>
                  <w:szCs w:val="24"/>
                  <w:shd w:val="clear" w:color="auto" w:fill="FFFFFF"/>
                </w:rPr>
                <m:t>6</m:t>
              </m:r>
            </m:sup>
          </m:sSup>
        </m:oMath>
      </m:oMathPara>
    </w:p>
    <w:p w:rsidR="00996D62" w:rsidRPr="0089650F" w:rsidRDefault="00996D62" w:rsidP="00996D62">
      <w:pPr>
        <w:spacing w:line="240" w:lineRule="auto"/>
        <w:jc w:val="both"/>
        <w:rPr>
          <w:rFonts w:ascii="Arial" w:hAnsi="Arial" w:cs="Arial"/>
          <w:sz w:val="24"/>
          <w:szCs w:val="24"/>
          <w:shd w:val="clear" w:color="auto" w:fill="FFFFFF"/>
        </w:rPr>
      </w:pPr>
      <w:r w:rsidRPr="0089650F">
        <w:rPr>
          <w:rFonts w:ascii="Arial" w:hAnsi="Arial" w:cs="Arial"/>
          <w:sz w:val="24"/>
          <w:szCs w:val="24"/>
          <w:shd w:val="clear" w:color="auto" w:fill="FFFFFF"/>
        </w:rPr>
        <w:t xml:space="preserve">Se realizaron análisis gráficos de escalas lineales y logarítmicos de los números de contagiados y muertes por la COVID-19, para la realización de cada uno de los gráficos se usó el paquete </w:t>
      </w:r>
      <w:r w:rsidRPr="0089650F">
        <w:rPr>
          <w:rFonts w:ascii="Arial" w:hAnsi="Arial" w:cs="Arial"/>
          <w:i/>
          <w:sz w:val="24"/>
          <w:szCs w:val="24"/>
          <w:shd w:val="clear" w:color="auto" w:fill="FFFFFF"/>
        </w:rPr>
        <w:t>ggplot2</w:t>
      </w:r>
      <w:r w:rsidRPr="0089650F">
        <w:rPr>
          <w:rFonts w:ascii="Arial" w:hAnsi="Arial" w:cs="Arial"/>
          <w:sz w:val="24"/>
          <w:szCs w:val="24"/>
          <w:shd w:val="clear" w:color="auto" w:fill="FFFFFF"/>
        </w:rPr>
        <w:t xml:space="preserve"> del </w:t>
      </w:r>
      <w:r w:rsidRPr="0089650F">
        <w:rPr>
          <w:rFonts w:ascii="Arial" w:hAnsi="Arial" w:cs="Arial"/>
          <w:i/>
          <w:sz w:val="24"/>
          <w:szCs w:val="24"/>
          <w:shd w:val="clear" w:color="auto" w:fill="FFFFFF"/>
        </w:rPr>
        <w:t>software R,</w:t>
      </w:r>
      <w:r w:rsidRPr="0089650F">
        <w:rPr>
          <w:rFonts w:ascii="Arial" w:hAnsi="Arial" w:cs="Arial"/>
          <w:sz w:val="24"/>
          <w:szCs w:val="24"/>
        </w:rPr>
        <w:t xml:space="preserve"> Y para la edición de aspecto de las gráficas se usó el software </w:t>
      </w:r>
      <w:r w:rsidRPr="0062276F">
        <w:rPr>
          <w:rFonts w:ascii="Arial" w:hAnsi="Arial" w:cs="Arial"/>
          <w:i/>
          <w:iCs/>
          <w:sz w:val="24"/>
          <w:szCs w:val="24"/>
        </w:rPr>
        <w:t>Inkscape</w:t>
      </w:r>
      <w:r w:rsidRPr="0089650F">
        <w:rPr>
          <w:rFonts w:ascii="Arial" w:hAnsi="Arial" w:cs="Arial"/>
          <w:sz w:val="24"/>
          <w:szCs w:val="24"/>
        </w:rPr>
        <w:t>.</w:t>
      </w:r>
    </w:p>
    <w:p w:rsidR="00996D62" w:rsidRPr="0089650F" w:rsidRDefault="00996D62" w:rsidP="00996D62">
      <w:pPr>
        <w:spacing w:line="240" w:lineRule="auto"/>
        <w:jc w:val="both"/>
        <w:rPr>
          <w:rFonts w:ascii="Arial" w:hAnsi="Arial" w:cs="Arial"/>
          <w:sz w:val="24"/>
          <w:szCs w:val="24"/>
          <w:shd w:val="clear" w:color="auto" w:fill="FFFFFF"/>
        </w:rPr>
      </w:pPr>
      <w:r w:rsidRPr="0089650F">
        <w:rPr>
          <w:rFonts w:ascii="Arial" w:hAnsi="Arial" w:cs="Arial"/>
          <w:sz w:val="24"/>
          <w:szCs w:val="24"/>
          <w:shd w:val="clear" w:color="auto" w:fill="FFFFFF"/>
        </w:rPr>
        <w:lastRenderedPageBreak/>
        <w:t xml:space="preserve">En Brasil se detectó el primer paciente con COVID-19 el 26 de febrero, seguido por Ecuador (29 de febrero), Chile (3 de marzo), Argentina (4 de marzo), Colombia y Perú (6 de marzo), Paraguay (7 de marzo), Bolivia (10 de marzo) y finalizando con Uruguay y Venezuela el 13 de marzo. Dado que existe un desfase en el reporte del primer caso en los países, se consideró en el análisis de la investigación realizar un corte transversal para algunas interpretaciones pertinentes a la investigación en el día 93 tomando como referencia los países de Uruguay y Venezuela dado que estos presentan en total 95 días de contagio hasta el 15 de junio. </w:t>
      </w:r>
    </w:p>
    <w:p w:rsidR="00996D62" w:rsidRPr="0089650F" w:rsidRDefault="00996D62" w:rsidP="00996D62">
      <w:pPr>
        <w:pStyle w:val="NormalWeb"/>
        <w:spacing w:before="0" w:beforeAutospacing="0" w:after="160" w:afterAutospacing="0"/>
        <w:jc w:val="both"/>
        <w:rPr>
          <w:rFonts w:ascii="Arial" w:hAnsi="Arial" w:cs="Arial"/>
          <w:lang w:val="es-PE"/>
        </w:rPr>
      </w:pPr>
      <w:r w:rsidRPr="0089650F">
        <w:rPr>
          <w:rFonts w:ascii="Arial" w:hAnsi="Arial" w:cs="Arial"/>
          <w:lang w:val="es-PE"/>
        </w:rPr>
        <w:t>Cabe indicar que para el estudio no se tomó en cuenta factores como el número de pruebas realizadas, pues no se tiene un estimado de pruebas que se deba hacer para tener mejores muestreos de casos confirmados y muertes, teniendo en cuenta que en algunos países dichas pruebas escasean por la demanda.</w:t>
      </w:r>
    </w:p>
    <w:p w:rsidR="00996D62" w:rsidRDefault="00996D62" w:rsidP="00996D62">
      <w:pPr>
        <w:pStyle w:val="NormalWeb"/>
        <w:spacing w:before="0" w:beforeAutospacing="0" w:after="160" w:afterAutospacing="0"/>
        <w:jc w:val="both"/>
        <w:rPr>
          <w:rFonts w:ascii="Arial" w:hAnsi="Arial" w:cs="Arial"/>
          <w:i/>
          <w:iCs/>
          <w:lang w:val="es-PE"/>
        </w:rPr>
      </w:pPr>
      <w:r w:rsidRPr="0089650F">
        <w:rPr>
          <w:rFonts w:ascii="Arial" w:hAnsi="Arial" w:cs="Arial"/>
          <w:lang w:val="es-PE"/>
        </w:rPr>
        <w:t>Finalmente se realizó un pronóstico de los países que tienen mayor presencia de contagio por millón de habitantes, este pronóstico se realizó mediante los modelos ARIMA. siguiendo la metodología  de Box y Jenkins</w:t>
      </w:r>
      <w:r>
        <w:rPr>
          <w:rFonts w:ascii="Arial" w:hAnsi="Arial" w:cs="Arial"/>
          <w:vertAlign w:val="superscript"/>
          <w:lang w:val="es-PE"/>
        </w:rPr>
        <w:t xml:space="preserve">[12] </w:t>
      </w:r>
      <w:r w:rsidRPr="0089650F">
        <w:rPr>
          <w:rFonts w:ascii="Arial" w:hAnsi="Arial" w:cs="Arial"/>
          <w:lang w:val="es-PE"/>
        </w:rPr>
        <w:t xml:space="preserve">para cada país que consiste en el análisis exploratorio, identificación de los modelos, selección del modelo adecuado y estimación, adecuación de los modelos y finalmente la predicción. Los modelos ARIMA propuesto por Box y Jenkins es una de las técnicas de modelamiento para series temporales, que consiste en ajustar modelos auto-regresivos integrados de medias móviles a un conjunto de datos, son expresados como </w:t>
      </w:r>
      <w:r w:rsidRPr="0089650F">
        <w:rPr>
          <w:rFonts w:ascii="Arial" w:hAnsi="Arial" w:cs="Arial"/>
          <w:i/>
          <w:iCs/>
          <w:lang w:val="es-PE"/>
        </w:rPr>
        <w:t>ARIMA(p,d,q),</w:t>
      </w:r>
      <w:r w:rsidRPr="0089650F">
        <w:rPr>
          <w:rFonts w:ascii="Arial" w:hAnsi="Arial" w:cs="Arial"/>
          <w:lang w:val="es-PE"/>
        </w:rPr>
        <w:t xml:space="preserve"> donde el parámetro  </w:t>
      </w:r>
      <w:r w:rsidRPr="0089650F">
        <w:rPr>
          <w:rFonts w:ascii="Arial" w:hAnsi="Arial" w:cs="Arial"/>
          <w:i/>
          <w:iCs/>
          <w:lang w:val="es-PE"/>
        </w:rPr>
        <w:t>p</w:t>
      </w:r>
      <w:r w:rsidRPr="0089650F">
        <w:rPr>
          <w:rFonts w:ascii="Arial" w:hAnsi="Arial" w:cs="Arial"/>
          <w:lang w:val="es-PE"/>
        </w:rPr>
        <w:t xml:space="preserve"> es el orden de un proceso autorregresivo, </w:t>
      </w:r>
      <w:r w:rsidRPr="0089650F">
        <w:rPr>
          <w:rFonts w:ascii="Arial" w:hAnsi="Arial" w:cs="Arial"/>
          <w:i/>
          <w:iCs/>
          <w:lang w:val="es-PE"/>
        </w:rPr>
        <w:t>d</w:t>
      </w:r>
      <w:r w:rsidRPr="0089650F">
        <w:rPr>
          <w:rFonts w:ascii="Arial" w:hAnsi="Arial" w:cs="Arial"/>
          <w:lang w:val="es-PE"/>
        </w:rPr>
        <w:t xml:space="preserve"> es el orden de diferencia para que la serie sea estacionaria y </w:t>
      </w:r>
      <w:r w:rsidRPr="0089650F">
        <w:rPr>
          <w:rFonts w:ascii="Arial" w:hAnsi="Arial" w:cs="Arial"/>
          <w:i/>
          <w:iCs/>
          <w:lang w:val="es-PE"/>
        </w:rPr>
        <w:t>q</w:t>
      </w:r>
      <w:r w:rsidRPr="0089650F">
        <w:rPr>
          <w:rFonts w:ascii="Arial" w:hAnsi="Arial" w:cs="Arial"/>
          <w:lang w:val="es-PE"/>
        </w:rPr>
        <w:t xml:space="preserve"> el orden de un proceso de medias móviles. En los procesos de Box y Jenkins se usaron gráficas de autocorrelación y autocorrelación parcial, pruebas de raíces unitarias de Dickey y Fuller, Prueba de Ljung y Box, los criterios de información de Akaike(AIC) y de Schwarz(BIC) para obtener los mejores modelos para cada país y finalmente se realizaron predicciones puntuales y por intervalo. El análisis de pronósticos se realizó con el </w:t>
      </w:r>
      <w:r w:rsidRPr="0089650F">
        <w:rPr>
          <w:rFonts w:ascii="Arial" w:hAnsi="Arial" w:cs="Arial"/>
          <w:i/>
          <w:iCs/>
          <w:lang w:val="es-PE"/>
        </w:rPr>
        <w:t>software R</w:t>
      </w:r>
      <w:r w:rsidRPr="0089650F">
        <w:rPr>
          <w:rFonts w:ascii="Arial" w:hAnsi="Arial" w:cs="Arial"/>
          <w:lang w:val="es-PE"/>
        </w:rPr>
        <w:t xml:space="preserve"> usando los paquetes </w:t>
      </w:r>
      <w:r w:rsidRPr="0089650F">
        <w:rPr>
          <w:rFonts w:ascii="Arial" w:hAnsi="Arial" w:cs="Arial"/>
          <w:i/>
          <w:iCs/>
          <w:lang w:val="es-PE"/>
        </w:rPr>
        <w:t>tseries, forecast</w:t>
      </w:r>
      <w:r w:rsidRPr="0089650F">
        <w:rPr>
          <w:rFonts w:ascii="Arial" w:hAnsi="Arial" w:cs="Arial"/>
          <w:lang w:val="es-PE"/>
        </w:rPr>
        <w:t xml:space="preserve"> y </w:t>
      </w:r>
      <w:r w:rsidRPr="0089650F">
        <w:rPr>
          <w:rFonts w:ascii="Arial" w:hAnsi="Arial" w:cs="Arial"/>
          <w:i/>
          <w:iCs/>
          <w:lang w:val="es-PE"/>
        </w:rPr>
        <w:t>timeSeries.</w:t>
      </w:r>
    </w:p>
    <w:p w:rsidR="00996D62" w:rsidRDefault="00996D62" w:rsidP="00996D62">
      <w:pPr>
        <w:pStyle w:val="1Titulo"/>
        <w:numPr>
          <w:ilvl w:val="0"/>
          <w:numId w:val="0"/>
        </w:numPr>
        <w:ind w:left="357"/>
        <w:rPr>
          <w:shd w:val="clear" w:color="auto" w:fill="FFFFFF"/>
        </w:rPr>
      </w:pPr>
      <w:bookmarkStart w:id="110" w:name="_Toc50031224"/>
      <w:r w:rsidRPr="006C5711">
        <w:rPr>
          <w:shd w:val="clear" w:color="auto" w:fill="FFFFFF"/>
        </w:rPr>
        <w:t>4</w:t>
      </w:r>
      <w:r>
        <w:rPr>
          <w:shd w:val="clear" w:color="auto" w:fill="FFFFFF"/>
        </w:rPr>
        <w:t xml:space="preserve">. </w:t>
      </w:r>
      <w:r w:rsidRPr="006C5711">
        <w:rPr>
          <w:shd w:val="clear" w:color="auto" w:fill="FFFFFF"/>
        </w:rPr>
        <w:t>Resultados y discusión</w:t>
      </w:r>
      <w:bookmarkEnd w:id="110"/>
    </w:p>
    <w:p w:rsidR="00996D62" w:rsidRDefault="00996D62" w:rsidP="00996D62">
      <w:pPr>
        <w:spacing w:line="24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Considerando</w:t>
      </w:r>
      <w:r w:rsidRPr="0089650F">
        <w:rPr>
          <w:rFonts w:ascii="Arial" w:hAnsi="Arial" w:cs="Arial"/>
          <w:color w:val="000000"/>
          <w:sz w:val="24"/>
          <w:szCs w:val="24"/>
          <w:shd w:val="clear" w:color="auto" w:fill="FFFFFF"/>
        </w:rPr>
        <w:t xml:space="preserve"> desde el primer caso confirmado de COVID-19 para cada país, en las figura 1A   se aprecia que el número de casos confirmados en Brasil presenta una tendencia creciente muy comúnmente mal llamado crecimiento exponencial, pues, aunque presenta un crecimiento veloz sabemos que nunca será un crecimiento completamente exponencial porque se espera que en algún momento este crecimiento se mantenga casi constante o constante, también se aprecia que Perú y Ecuador aparentemente siguen la misma tendencia, siendo estos los países que presentan mayor número de contagios, sin embargo, observando el número de contagios por millón de habitantes de cada país figura 1B, se muestra que los países que presentan mayor número de casos confirmados son liderados por Chile y Perú con una tendencia rápidamente creciente superando los 6000 y 5500 casos confirmados por millón de habitantes respectivamente, seguidos de Brasil superando los 3000 y Ecuador cercano a 2500 casos confirmados por millón de habitantes, considerando que ambos países presentan más días desde el primer registro de contagio que Perú y Chile.</w:t>
      </w:r>
    </w:p>
    <w:p w:rsidR="00996D62" w:rsidRDefault="00996D62" w:rsidP="00996D62">
      <w:pPr>
        <w:spacing w:line="240" w:lineRule="auto"/>
        <w:jc w:val="both"/>
        <w:rPr>
          <w:rFonts w:ascii="Arial" w:hAnsi="Arial" w:cs="Arial"/>
          <w:color w:val="000000"/>
          <w:sz w:val="24"/>
          <w:szCs w:val="24"/>
          <w:shd w:val="clear" w:color="auto" w:fill="FFFFFF"/>
        </w:rPr>
      </w:pPr>
      <w:r w:rsidRPr="0089650F">
        <w:rPr>
          <w:rFonts w:ascii="Arial" w:hAnsi="Arial" w:cs="Arial"/>
          <w:color w:val="000000"/>
          <w:sz w:val="24"/>
          <w:szCs w:val="24"/>
          <w:shd w:val="clear" w:color="auto" w:fill="FFFFFF"/>
        </w:rPr>
        <w:t>Respecto al número de muertos por la COVID-19</w:t>
      </w:r>
      <w:r>
        <w:rPr>
          <w:rFonts w:ascii="Arial" w:hAnsi="Arial" w:cs="Arial"/>
          <w:color w:val="000000"/>
          <w:sz w:val="24"/>
          <w:szCs w:val="24"/>
          <w:shd w:val="clear" w:color="auto" w:fill="FFFFFF"/>
        </w:rPr>
        <w:t>,</w:t>
      </w:r>
      <w:r w:rsidRPr="0089650F">
        <w:rPr>
          <w:rFonts w:ascii="Arial" w:hAnsi="Arial" w:cs="Arial"/>
          <w:color w:val="000000"/>
          <w:sz w:val="24"/>
          <w:szCs w:val="24"/>
          <w:shd w:val="clear" w:color="auto" w:fill="FFFFFF"/>
        </w:rPr>
        <w:t xml:space="preserve"> Brasil </w:t>
      </w:r>
      <w:r>
        <w:rPr>
          <w:rFonts w:ascii="Arial" w:hAnsi="Arial" w:cs="Arial"/>
          <w:color w:val="000000"/>
          <w:sz w:val="24"/>
          <w:szCs w:val="24"/>
          <w:shd w:val="clear" w:color="auto" w:fill="FFFFFF"/>
        </w:rPr>
        <w:t>es</w:t>
      </w:r>
      <w:r w:rsidRPr="0089650F">
        <w:rPr>
          <w:rFonts w:ascii="Arial" w:hAnsi="Arial" w:cs="Arial"/>
          <w:color w:val="000000"/>
          <w:sz w:val="24"/>
          <w:szCs w:val="24"/>
          <w:shd w:val="clear" w:color="auto" w:fill="FFFFFF"/>
        </w:rPr>
        <w:t xml:space="preserve"> el país con el mayor número de muertes en Sudamérica</w:t>
      </w:r>
      <w:r>
        <w:rPr>
          <w:rFonts w:ascii="Arial" w:hAnsi="Arial" w:cs="Arial"/>
          <w:color w:val="000000"/>
          <w:sz w:val="24"/>
          <w:szCs w:val="24"/>
          <w:shd w:val="clear" w:color="auto" w:fill="FFFFFF"/>
        </w:rPr>
        <w:t xml:space="preserve"> superando los 35 mil</w:t>
      </w:r>
      <w:r w:rsidRPr="0089650F">
        <w:rPr>
          <w:rFonts w:ascii="Arial" w:hAnsi="Arial" w:cs="Arial"/>
          <w:color w:val="000000"/>
          <w:sz w:val="24"/>
          <w:szCs w:val="24"/>
          <w:shd w:val="clear" w:color="auto" w:fill="FFFFFF"/>
        </w:rPr>
        <w:t xml:space="preserve">, seguido de Perú con más de 5 mil </w:t>
      </w:r>
      <w:r w:rsidRPr="0089650F">
        <w:rPr>
          <w:rFonts w:ascii="Arial" w:hAnsi="Arial" w:cs="Arial"/>
          <w:color w:val="000000"/>
          <w:sz w:val="24"/>
          <w:szCs w:val="24"/>
          <w:shd w:val="clear" w:color="auto" w:fill="FFFFFF"/>
        </w:rPr>
        <w:lastRenderedPageBreak/>
        <w:t>muertes y Ecuador con más de 3</w:t>
      </w:r>
      <w:r>
        <w:rPr>
          <w:rFonts w:ascii="Arial" w:hAnsi="Arial" w:cs="Arial"/>
          <w:color w:val="000000"/>
          <w:sz w:val="24"/>
          <w:szCs w:val="24"/>
          <w:shd w:val="clear" w:color="auto" w:fill="FFFFFF"/>
        </w:rPr>
        <w:t>5</w:t>
      </w:r>
      <w:r w:rsidRPr="0089650F">
        <w:rPr>
          <w:rFonts w:ascii="Arial" w:hAnsi="Arial" w:cs="Arial"/>
          <w:color w:val="000000"/>
          <w:sz w:val="24"/>
          <w:szCs w:val="24"/>
          <w:shd w:val="clear" w:color="auto" w:fill="FFFFFF"/>
        </w:rPr>
        <w:t xml:space="preserve">00 muertes desde la identificación del primer caso confirmado. Observando el número de muertes por millón de habitantes figura 2B, se observa que Ecuador lidera el número de muertos por COVID-19 superando los 200 muertos por millón de habitantes, seguido de Brasil y Perú con más de 160 muertes por millón de habitantes. </w:t>
      </w:r>
    </w:p>
    <w:p w:rsidR="00996D62" w:rsidRDefault="00996D62" w:rsidP="00996D62">
      <w:pPr>
        <w:spacing w:line="240" w:lineRule="auto"/>
        <w:jc w:val="both"/>
        <w:rPr>
          <w:rFonts w:ascii="Arial" w:hAnsi="Arial" w:cs="Arial"/>
          <w:color w:val="000000"/>
          <w:sz w:val="24"/>
          <w:szCs w:val="24"/>
          <w:shd w:val="clear" w:color="auto" w:fill="FFFFFF"/>
        </w:rPr>
      </w:pPr>
      <w:r w:rsidRPr="0089650F">
        <w:rPr>
          <w:rFonts w:ascii="Arial" w:hAnsi="Arial" w:cs="Arial"/>
          <w:color w:val="000000"/>
          <w:sz w:val="24"/>
          <w:szCs w:val="24"/>
          <w:shd w:val="clear" w:color="auto" w:fill="FFFFFF"/>
        </w:rPr>
        <w:t>Además, cabe recalcar la cantidad de población que tiene cada país, mostrado en la tabla 1, donde se observa que Brasil supera 12 veces la población de Ecuador, 11 veces la población de Chile y 6 veces la población de Perú, mostrándonos indicios de que no es viable las interpretaciones usuales acerca del número de casos confirmados y muertes, siendo una interpretación más objetiva con los casos confirmados y muertes por millón de habitantes.</w:t>
      </w:r>
    </w:p>
    <w:p w:rsidR="00996D62" w:rsidRDefault="00996D62" w:rsidP="00996D62">
      <w:pPr>
        <w:spacing w:line="240" w:lineRule="auto"/>
        <w:jc w:val="both"/>
        <w:rPr>
          <w:rFonts w:ascii="Arial" w:hAnsi="Arial" w:cs="Arial"/>
          <w:color w:val="000000"/>
          <w:sz w:val="24"/>
          <w:szCs w:val="24"/>
          <w:shd w:val="clear" w:color="auto" w:fill="FFFFFF"/>
        </w:rPr>
      </w:pPr>
      <w:r w:rsidRPr="0089650F">
        <w:rPr>
          <w:rFonts w:ascii="Arial" w:hAnsi="Arial" w:cs="Arial"/>
          <w:color w:val="000000"/>
          <w:sz w:val="24"/>
          <w:szCs w:val="24"/>
          <w:shd w:val="clear" w:color="auto" w:fill="FFFFFF"/>
        </w:rPr>
        <w:t>Para una mejor visualización respecto a la tendencia de rapidez de aumento de los casos confirmados y muertes por millón de habitantes por la COVID-19, en la figura 3A en escala logarítmica, se observa que para 1 a 10 casos confirmados, la mayoría de países</w:t>
      </w:r>
      <w:r>
        <w:rPr>
          <w:rFonts w:ascii="Arial" w:hAnsi="Arial" w:cs="Arial"/>
          <w:color w:val="000000"/>
          <w:sz w:val="24"/>
          <w:szCs w:val="24"/>
          <w:shd w:val="clear" w:color="auto" w:fill="FFFFFF"/>
        </w:rPr>
        <w:t xml:space="preserve"> </w:t>
      </w:r>
      <w:r w:rsidRPr="0089650F">
        <w:rPr>
          <w:rFonts w:ascii="Arial" w:hAnsi="Arial" w:cs="Arial"/>
          <w:color w:val="000000"/>
          <w:sz w:val="24"/>
          <w:szCs w:val="24"/>
          <w:shd w:val="clear" w:color="auto" w:fill="FFFFFF"/>
        </w:rPr>
        <w:t>presentan una velocidad de crecimiento muy similares excepto de Venezuela que presenta un crecimiento desacelerado, y contradictoriamente Uruguay presentando una tendencia de aumento veloz, siendo el único país con esta característica; y para  10 a 1000 casos confirmados se observa claramente que Perú, Chile, Ecuador y Brasil presentan una velocidad de aumento más rápido que el resto de países sudamericanos,</w:t>
      </w:r>
    </w:p>
    <w:tbl>
      <w:tblPr>
        <w:tblStyle w:val="Tablaconcuadrcula"/>
        <w:tblW w:w="94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3"/>
      </w:tblGrid>
      <w:tr w:rsidR="00996D62" w:rsidTr="00B81843">
        <w:trPr>
          <w:trHeight w:val="3735"/>
        </w:trPr>
        <w:tc>
          <w:tcPr>
            <w:tcW w:w="9453" w:type="dxa"/>
          </w:tcPr>
          <w:p w:rsidR="00996D62" w:rsidRDefault="00996D62" w:rsidP="00B81843">
            <w:pPr>
              <w:jc w:val="center"/>
              <w:rPr>
                <w:rFonts w:ascii="Arial" w:hAnsi="Arial" w:cs="Arial"/>
                <w:noProof/>
                <w:sz w:val="24"/>
                <w:szCs w:val="24"/>
              </w:rPr>
            </w:pPr>
            <w:r>
              <w:rPr>
                <w:noProof/>
                <w:lang w:val="en-US"/>
              </w:rPr>
              <w:drawing>
                <wp:inline distT="0" distB="0" distL="0" distR="0" wp14:anchorId="18156781" wp14:editId="08306C26">
                  <wp:extent cx="4714356" cy="3168502"/>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724176" cy="3175102"/>
                          </a:xfrm>
                          <a:prstGeom prst="rect">
                            <a:avLst/>
                          </a:prstGeom>
                          <a:noFill/>
                          <a:ln>
                            <a:noFill/>
                          </a:ln>
                        </pic:spPr>
                      </pic:pic>
                    </a:graphicData>
                  </a:graphic>
                </wp:inline>
              </w:drawing>
            </w:r>
          </w:p>
        </w:tc>
      </w:tr>
      <w:tr w:rsidR="00996D62" w:rsidTr="00B81843">
        <w:trPr>
          <w:trHeight w:val="5132"/>
        </w:trPr>
        <w:tc>
          <w:tcPr>
            <w:tcW w:w="9453" w:type="dxa"/>
          </w:tcPr>
          <w:p w:rsidR="00996D62" w:rsidRDefault="00996D62" w:rsidP="00B81843">
            <w:pPr>
              <w:jc w:val="center"/>
              <w:rPr>
                <w:rFonts w:ascii="Arial" w:hAnsi="Arial" w:cs="Arial"/>
                <w:noProof/>
                <w:sz w:val="24"/>
                <w:szCs w:val="24"/>
              </w:rPr>
            </w:pPr>
            <w:r>
              <w:rPr>
                <w:noProof/>
                <w:lang w:val="en-US"/>
              </w:rPr>
              <w:lastRenderedPageBreak/>
              <w:drawing>
                <wp:inline distT="0" distB="0" distL="0" distR="0" wp14:anchorId="44B1AEB1" wp14:editId="6F87A1AD">
                  <wp:extent cx="4688958" cy="3192865"/>
                  <wp:effectExtent l="0" t="0" r="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700763" cy="3200903"/>
                          </a:xfrm>
                          <a:prstGeom prst="rect">
                            <a:avLst/>
                          </a:prstGeom>
                          <a:noFill/>
                          <a:ln>
                            <a:noFill/>
                          </a:ln>
                        </pic:spPr>
                      </pic:pic>
                    </a:graphicData>
                  </a:graphic>
                </wp:inline>
              </w:drawing>
            </w:r>
          </w:p>
        </w:tc>
      </w:tr>
    </w:tbl>
    <w:p w:rsidR="00996D62" w:rsidRDefault="00996D62" w:rsidP="00996D62">
      <w:pPr>
        <w:spacing w:after="0" w:line="240" w:lineRule="auto"/>
        <w:jc w:val="both"/>
        <w:rPr>
          <w:rFonts w:ascii="Arial" w:hAnsi="Arial" w:cs="Arial"/>
          <w:noProof/>
          <w:sz w:val="24"/>
          <w:szCs w:val="24"/>
        </w:rPr>
      </w:pPr>
    </w:p>
    <w:p w:rsidR="00996D62" w:rsidRPr="000D249D" w:rsidRDefault="00996D62" w:rsidP="00996D62">
      <w:pPr>
        <w:spacing w:line="240" w:lineRule="auto"/>
        <w:jc w:val="both"/>
        <w:rPr>
          <w:rFonts w:ascii="Arial" w:hAnsi="Arial" w:cs="Arial"/>
          <w:i/>
          <w:iCs/>
          <w:noProof/>
          <w:sz w:val="20"/>
          <w:szCs w:val="20"/>
        </w:rPr>
      </w:pPr>
      <w:r w:rsidRPr="00347F3C">
        <w:rPr>
          <w:rFonts w:ascii="Arial" w:hAnsi="Arial" w:cs="Arial"/>
          <w:b/>
          <w:bCs/>
          <w:i/>
          <w:iCs/>
          <w:noProof/>
          <w:sz w:val="20"/>
          <w:szCs w:val="20"/>
        </w:rPr>
        <w:t xml:space="preserve">Figura 1: </w:t>
      </w:r>
      <w:r w:rsidRPr="00347F3C">
        <w:rPr>
          <w:rFonts w:ascii="Arial" w:hAnsi="Arial" w:cs="Arial"/>
          <w:i/>
          <w:iCs/>
          <w:noProof/>
          <w:sz w:val="20"/>
          <w:szCs w:val="20"/>
        </w:rPr>
        <w:t xml:space="preserve">(A) Número de casos confirmados vs días de contagio. (B) Número de casos confirmados por millón de habitantes vs dias de contagio, </w:t>
      </w:r>
      <w:r w:rsidRPr="00347F3C">
        <w:rPr>
          <w:rFonts w:ascii="Arial" w:hAnsi="Arial" w:cs="Arial"/>
          <w:i/>
          <w:iCs/>
          <w:color w:val="000000"/>
          <w:sz w:val="20"/>
          <w:szCs w:val="20"/>
          <w:shd w:val="clear" w:color="auto" w:fill="FFFFFF"/>
        </w:rPr>
        <w:t>con un corte en el día 93 donde se desglosa la cantidad de casos conformados para cada país en ese día</w:t>
      </w:r>
      <w:r w:rsidRPr="00347F3C">
        <w:rPr>
          <w:rFonts w:ascii="Arial" w:hAnsi="Arial" w:cs="Arial"/>
          <w:i/>
          <w:iCs/>
          <w:noProof/>
          <w:sz w:val="20"/>
          <w:szCs w:val="20"/>
        </w:rPr>
        <w:t>. Grafícas a escala linial, desde el registro del primer caso confirmado con COVID-19.</w:t>
      </w:r>
      <w:r w:rsidRPr="00347F3C">
        <w:rPr>
          <w:rFonts w:ascii="Arial" w:hAnsi="Arial" w:cs="Arial"/>
          <w:b/>
          <w:bCs/>
          <w:i/>
          <w:iCs/>
          <w:noProof/>
          <w:sz w:val="20"/>
          <w:szCs w:val="20"/>
        </w:rPr>
        <w:t xml:space="preserve"> </w:t>
      </w:r>
      <w:r w:rsidRPr="00347F3C">
        <w:rPr>
          <w:rFonts w:ascii="Arial" w:hAnsi="Arial" w:cs="Arial"/>
          <w:i/>
          <w:iCs/>
          <w:noProof/>
          <w:sz w:val="20"/>
          <w:szCs w:val="20"/>
        </w:rPr>
        <w:t xml:space="preserve"> </w:t>
      </w:r>
    </w:p>
    <w:p w:rsidR="00996D62" w:rsidRDefault="00996D62" w:rsidP="00996D62">
      <w:pPr>
        <w:spacing w:line="240" w:lineRule="auto"/>
        <w:jc w:val="both"/>
        <w:rPr>
          <w:rFonts w:ascii="Arial" w:hAnsi="Arial" w:cs="Arial"/>
          <w:color w:val="000000"/>
          <w:sz w:val="24"/>
          <w:szCs w:val="24"/>
          <w:shd w:val="clear" w:color="auto" w:fill="FFFFFF"/>
        </w:rPr>
      </w:pPr>
      <w:r w:rsidRPr="0089650F">
        <w:rPr>
          <w:rFonts w:ascii="Arial" w:hAnsi="Arial" w:cs="Arial"/>
          <w:color w:val="000000"/>
          <w:sz w:val="24"/>
          <w:szCs w:val="24"/>
          <w:shd w:val="clear" w:color="auto" w:fill="FFFFFF"/>
        </w:rPr>
        <w:t>los países excepto de Uruguay parecen seguir la misma tendencia, sin embargo el aumento de contagios tiende a ser más lento; en este intervalo también se observa que Uruguay a partir de los 100 casos confirmados presenta una tendencia casi constante, siendo este el país que mejor tiene controlado el número de contagios por millón de habitantes.</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4"/>
      </w:tblGrid>
      <w:tr w:rsidR="00996D62" w:rsidTr="00B81843">
        <w:trPr>
          <w:jc w:val="center"/>
        </w:trPr>
        <w:tc>
          <w:tcPr>
            <w:tcW w:w="9394" w:type="dxa"/>
          </w:tcPr>
          <w:p w:rsidR="00996D62" w:rsidRDefault="00996D62" w:rsidP="00B81843">
            <w:pPr>
              <w:jc w:val="center"/>
              <w:rPr>
                <w:rFonts w:ascii="Arial" w:hAnsi="Arial" w:cs="Arial"/>
                <w:color w:val="000000"/>
                <w:sz w:val="24"/>
                <w:szCs w:val="24"/>
                <w:shd w:val="clear" w:color="auto" w:fill="FFFFFF"/>
              </w:rPr>
            </w:pPr>
            <w:r>
              <w:rPr>
                <w:noProof/>
                <w:lang w:val="en-US"/>
              </w:rPr>
              <w:drawing>
                <wp:inline distT="0" distB="0" distL="0" distR="0" wp14:anchorId="415260D6" wp14:editId="1059B64E">
                  <wp:extent cx="4135272" cy="2791442"/>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170736" cy="2815381"/>
                          </a:xfrm>
                          <a:prstGeom prst="rect">
                            <a:avLst/>
                          </a:prstGeom>
                          <a:noFill/>
                          <a:ln>
                            <a:noFill/>
                          </a:ln>
                        </pic:spPr>
                      </pic:pic>
                    </a:graphicData>
                  </a:graphic>
                </wp:inline>
              </w:drawing>
            </w:r>
          </w:p>
        </w:tc>
      </w:tr>
      <w:tr w:rsidR="00996D62" w:rsidTr="00B81843">
        <w:trPr>
          <w:jc w:val="center"/>
        </w:trPr>
        <w:tc>
          <w:tcPr>
            <w:tcW w:w="9394" w:type="dxa"/>
          </w:tcPr>
          <w:p w:rsidR="00996D62" w:rsidRDefault="00996D62" w:rsidP="00B81843">
            <w:pPr>
              <w:jc w:val="center"/>
              <w:rPr>
                <w:rFonts w:ascii="Arial" w:hAnsi="Arial" w:cs="Arial"/>
                <w:color w:val="000000"/>
                <w:sz w:val="24"/>
                <w:szCs w:val="24"/>
                <w:shd w:val="clear" w:color="auto" w:fill="FFFFFF"/>
              </w:rPr>
            </w:pPr>
            <w:r>
              <w:rPr>
                <w:noProof/>
                <w:lang w:val="en-US"/>
              </w:rPr>
              <w:lastRenderedPageBreak/>
              <w:drawing>
                <wp:inline distT="0" distB="0" distL="0" distR="0" wp14:anchorId="5CB38987" wp14:editId="6EAFECE9">
                  <wp:extent cx="4176215" cy="2826181"/>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200521" cy="2842630"/>
                          </a:xfrm>
                          <a:prstGeom prst="rect">
                            <a:avLst/>
                          </a:prstGeom>
                          <a:noFill/>
                          <a:ln>
                            <a:noFill/>
                          </a:ln>
                        </pic:spPr>
                      </pic:pic>
                    </a:graphicData>
                  </a:graphic>
                </wp:inline>
              </w:drawing>
            </w:r>
          </w:p>
        </w:tc>
      </w:tr>
    </w:tbl>
    <w:p w:rsidR="00996D62" w:rsidRDefault="00996D62" w:rsidP="00996D62">
      <w:pPr>
        <w:spacing w:line="240" w:lineRule="auto"/>
        <w:jc w:val="both"/>
        <w:rPr>
          <w:rFonts w:ascii="Arial" w:hAnsi="Arial" w:cs="Arial"/>
          <w:color w:val="000000"/>
          <w:sz w:val="24"/>
          <w:szCs w:val="24"/>
          <w:shd w:val="clear" w:color="auto" w:fill="FFFFFF"/>
        </w:rPr>
      </w:pPr>
    </w:p>
    <w:p w:rsidR="00996D62" w:rsidRDefault="00996D62" w:rsidP="00996D62">
      <w:pPr>
        <w:spacing w:line="240" w:lineRule="auto"/>
        <w:jc w:val="both"/>
        <w:rPr>
          <w:rFonts w:ascii="Arial" w:hAnsi="Arial" w:cs="Arial"/>
          <w:i/>
          <w:iCs/>
          <w:noProof/>
          <w:sz w:val="20"/>
          <w:szCs w:val="20"/>
        </w:rPr>
      </w:pPr>
      <w:r w:rsidRPr="005D32C1">
        <w:rPr>
          <w:rFonts w:ascii="Arial" w:hAnsi="Arial" w:cs="Arial"/>
          <w:b/>
          <w:bCs/>
          <w:i/>
          <w:iCs/>
          <w:noProof/>
          <w:sz w:val="20"/>
          <w:szCs w:val="20"/>
        </w:rPr>
        <w:t>Figura 2:</w:t>
      </w:r>
      <w:r w:rsidRPr="005D32C1">
        <w:rPr>
          <w:rFonts w:ascii="Arial" w:hAnsi="Arial" w:cs="Arial"/>
          <w:i/>
          <w:iCs/>
          <w:noProof/>
          <w:sz w:val="20"/>
          <w:szCs w:val="20"/>
        </w:rPr>
        <w:t xml:space="preserve"> (A) Número de personas fallecidas vs días de contagio. (B) Número de personas fallecidas por millón de habitantes vs días de contagio, </w:t>
      </w:r>
      <w:r w:rsidRPr="005D32C1">
        <w:rPr>
          <w:rFonts w:ascii="Arial" w:hAnsi="Arial" w:cs="Arial"/>
          <w:i/>
          <w:iCs/>
          <w:color w:val="000000"/>
          <w:sz w:val="20"/>
          <w:szCs w:val="20"/>
          <w:shd w:val="clear" w:color="auto" w:fill="FFFFFF"/>
        </w:rPr>
        <w:t>con un corte en el día 93 donde se desglosa la cantidad de muertes para cada país en ese día</w:t>
      </w:r>
      <w:r w:rsidRPr="005D32C1">
        <w:rPr>
          <w:rFonts w:ascii="Arial" w:hAnsi="Arial" w:cs="Arial"/>
          <w:i/>
          <w:iCs/>
          <w:noProof/>
          <w:sz w:val="20"/>
          <w:szCs w:val="20"/>
        </w:rPr>
        <w:t>. Grafícas a escala linial, desde la confirmación del primer caso por la COVID-19.</w:t>
      </w:r>
    </w:p>
    <w:p w:rsidR="00996D62" w:rsidRPr="00FC799E" w:rsidRDefault="00996D62" w:rsidP="00996D62">
      <w:pPr>
        <w:spacing w:line="240" w:lineRule="auto"/>
        <w:jc w:val="both"/>
        <w:rPr>
          <w:rFonts w:ascii="Arial" w:hAnsi="Arial" w:cs="Arial"/>
          <w:noProof/>
          <w:sz w:val="20"/>
          <w:szCs w:val="20"/>
        </w:rPr>
      </w:pPr>
      <w:r w:rsidRPr="0089650F">
        <w:rPr>
          <w:rFonts w:ascii="Arial" w:hAnsi="Arial" w:cs="Arial"/>
          <w:color w:val="000000"/>
          <w:sz w:val="24"/>
          <w:szCs w:val="24"/>
          <w:shd w:val="clear" w:color="auto" w:fill="FFFFFF"/>
        </w:rPr>
        <w:t>Respecto al número de muertes por millón de habitantes por la COVID-19, según la figura 3B en escala logarítmica se aprecia que los países que presentan una velocidad de crecimiento rápido son Ecuador, Perú y Brasil, seguido de Chile  con una tendencia a continuar en ascenso; los países donde se aprecia que el número de muertes por millón de habitantes no continua en ascenso o ascenso muy lento son Uruguay y Paraguay, se puede observar también que Venezuela a partir de los último 7 días presenta una tendencia es de ascenso.</w:t>
      </w:r>
    </w:p>
    <w:p w:rsidR="00996D62" w:rsidRPr="0089650F" w:rsidRDefault="00996D62" w:rsidP="00996D62">
      <w:pPr>
        <w:spacing w:line="360" w:lineRule="auto"/>
        <w:rPr>
          <w:rFonts w:ascii="Arial" w:hAnsi="Arial" w:cs="Arial"/>
          <w:color w:val="000000"/>
          <w:sz w:val="24"/>
          <w:szCs w:val="24"/>
          <w:shd w:val="clear" w:color="auto" w:fill="FFFFFF"/>
        </w:rPr>
      </w:pPr>
      <w:bookmarkStart w:id="111" w:name="_Hlk42639002"/>
      <w:r>
        <w:rPr>
          <w:noProof/>
          <w:lang w:val="en-US"/>
        </w:rPr>
        <w:drawing>
          <wp:inline distT="0" distB="0" distL="0" distR="0" wp14:anchorId="6E20A3EC" wp14:editId="753D898B">
            <wp:extent cx="5971540" cy="228854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71540" cy="2288540"/>
                    </a:xfrm>
                    <a:prstGeom prst="rect">
                      <a:avLst/>
                    </a:prstGeom>
                    <a:noFill/>
                    <a:ln>
                      <a:noFill/>
                    </a:ln>
                  </pic:spPr>
                </pic:pic>
              </a:graphicData>
            </a:graphic>
          </wp:inline>
        </w:drawing>
      </w:r>
    </w:p>
    <w:p w:rsidR="00996D62" w:rsidRPr="00976472" w:rsidRDefault="00996D62" w:rsidP="00996D62">
      <w:pPr>
        <w:spacing w:line="240" w:lineRule="auto"/>
        <w:jc w:val="both"/>
        <w:rPr>
          <w:rFonts w:ascii="Arial" w:hAnsi="Arial" w:cs="Arial"/>
          <w:i/>
          <w:iCs/>
          <w:color w:val="000000"/>
          <w:sz w:val="20"/>
          <w:szCs w:val="20"/>
          <w:shd w:val="clear" w:color="auto" w:fill="FFFFFF"/>
        </w:rPr>
      </w:pPr>
      <w:r w:rsidRPr="005D32C1">
        <w:rPr>
          <w:rFonts w:ascii="Arial" w:hAnsi="Arial" w:cs="Arial"/>
          <w:b/>
          <w:bCs/>
          <w:i/>
          <w:iCs/>
          <w:noProof/>
          <w:sz w:val="20"/>
          <w:szCs w:val="20"/>
        </w:rPr>
        <w:lastRenderedPageBreak/>
        <w:t xml:space="preserve">Figura 3: </w:t>
      </w:r>
      <w:r w:rsidRPr="005D32C1">
        <w:rPr>
          <w:rFonts w:ascii="Arial" w:hAnsi="Arial" w:cs="Arial"/>
          <w:i/>
          <w:iCs/>
          <w:noProof/>
          <w:sz w:val="20"/>
          <w:szCs w:val="20"/>
        </w:rPr>
        <w:t>(A) Número de casos confirmados vs días de contagio. (B) Muertes por millón de habitantes vs días de contagio. Grafícas</w:t>
      </w:r>
      <w:r w:rsidRPr="005D32C1">
        <w:rPr>
          <w:rFonts w:ascii="Arial" w:hAnsi="Arial" w:cs="Arial"/>
          <w:b/>
          <w:bCs/>
          <w:i/>
          <w:iCs/>
          <w:noProof/>
          <w:sz w:val="20"/>
          <w:szCs w:val="20"/>
        </w:rPr>
        <w:t xml:space="preserve"> </w:t>
      </w:r>
      <w:r w:rsidRPr="005D32C1">
        <w:rPr>
          <w:rFonts w:ascii="Arial" w:hAnsi="Arial" w:cs="Arial"/>
          <w:i/>
          <w:iCs/>
          <w:noProof/>
          <w:sz w:val="20"/>
          <w:szCs w:val="20"/>
        </w:rPr>
        <w:t>en escala logarítmica,  desde el primer día de registro del paciente con COVID-19.</w:t>
      </w:r>
    </w:p>
    <w:p w:rsidR="00996D62" w:rsidRPr="00AB299C" w:rsidRDefault="00996D62" w:rsidP="00996D62">
      <w:pPr>
        <w:spacing w:line="240" w:lineRule="auto"/>
        <w:jc w:val="both"/>
        <w:rPr>
          <w:rFonts w:ascii="Arial" w:hAnsi="Arial" w:cs="Arial"/>
          <w:color w:val="000000"/>
          <w:sz w:val="24"/>
          <w:szCs w:val="24"/>
          <w:shd w:val="clear" w:color="auto" w:fill="FFFFFF"/>
        </w:rPr>
      </w:pPr>
      <w:r w:rsidRPr="005D32C1">
        <w:rPr>
          <w:rFonts w:ascii="Arial" w:hAnsi="Arial" w:cs="Arial"/>
          <w:b/>
          <w:bCs/>
          <w:i/>
          <w:iCs/>
          <w:color w:val="000000"/>
          <w:sz w:val="20"/>
          <w:szCs w:val="20"/>
          <w:shd w:val="clear" w:color="auto" w:fill="FFFFFF"/>
        </w:rPr>
        <w:t>Tabla 1:</w:t>
      </w:r>
      <w:r w:rsidRPr="005D32C1">
        <w:rPr>
          <w:rFonts w:ascii="Arial" w:hAnsi="Arial" w:cs="Arial"/>
          <w:i/>
          <w:iCs/>
          <w:color w:val="000000"/>
          <w:sz w:val="20"/>
          <w:szCs w:val="20"/>
          <w:shd w:val="clear" w:color="auto" w:fill="FFFFFF"/>
        </w:rPr>
        <w:t xml:space="preserve"> Número de habitantes y días desde el registro del primer caso confirmado, y promedios del número de casos confirmados, número de casos confirmados por millón de habitantes, número de personas fallecidas y número de personas fallecidas por millón de habitantes por la COVID-19, desde el primer día de registro del caso confirmado hasta el día 93 para cada país.</w:t>
      </w:r>
    </w:p>
    <w:tbl>
      <w:tblPr>
        <w:tblW w:w="9356" w:type="dxa"/>
        <w:tblInd w:w="70" w:type="dxa"/>
        <w:tblLayout w:type="fixed"/>
        <w:tblCellMar>
          <w:left w:w="70" w:type="dxa"/>
          <w:right w:w="70" w:type="dxa"/>
        </w:tblCellMar>
        <w:tblLook w:val="04A0" w:firstRow="1" w:lastRow="0" w:firstColumn="1" w:lastColumn="0" w:noHBand="0" w:noVBand="1"/>
      </w:tblPr>
      <w:tblGrid>
        <w:gridCol w:w="1348"/>
        <w:gridCol w:w="1346"/>
        <w:gridCol w:w="1275"/>
        <w:gridCol w:w="1276"/>
        <w:gridCol w:w="1276"/>
        <w:gridCol w:w="1417"/>
        <w:gridCol w:w="1418"/>
      </w:tblGrid>
      <w:tr w:rsidR="00996D62" w:rsidRPr="004C7453" w:rsidTr="00B81843">
        <w:trPr>
          <w:trHeight w:val="1050"/>
        </w:trPr>
        <w:tc>
          <w:tcPr>
            <w:tcW w:w="1348" w:type="dxa"/>
            <w:tcBorders>
              <w:top w:val="single" w:sz="4" w:space="0" w:color="auto"/>
              <w:left w:val="nil"/>
              <w:bottom w:val="single" w:sz="4" w:space="0" w:color="auto"/>
              <w:right w:val="nil"/>
            </w:tcBorders>
            <w:shd w:val="clear" w:color="auto" w:fill="auto"/>
            <w:noWrap/>
            <w:vAlign w:val="center"/>
            <w:hideMark/>
          </w:tcPr>
          <w:p w:rsidR="00996D62" w:rsidRPr="004C7453" w:rsidRDefault="00996D62" w:rsidP="00B81843">
            <w:pPr>
              <w:spacing w:after="0" w:line="240" w:lineRule="auto"/>
              <w:jc w:val="center"/>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País</w:t>
            </w:r>
          </w:p>
        </w:tc>
        <w:tc>
          <w:tcPr>
            <w:tcW w:w="1346" w:type="dxa"/>
            <w:tcBorders>
              <w:top w:val="single" w:sz="4" w:space="0" w:color="auto"/>
              <w:left w:val="nil"/>
              <w:bottom w:val="single" w:sz="4" w:space="0" w:color="auto"/>
              <w:right w:val="nil"/>
            </w:tcBorders>
            <w:shd w:val="clear" w:color="auto" w:fill="auto"/>
            <w:vAlign w:val="center"/>
            <w:hideMark/>
          </w:tcPr>
          <w:p w:rsidR="00996D62" w:rsidRPr="004C7453" w:rsidRDefault="00996D62" w:rsidP="00B81843">
            <w:pPr>
              <w:spacing w:after="0" w:line="240" w:lineRule="auto"/>
              <w:jc w:val="center"/>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 xml:space="preserve">Promedio de casos confirma-dos </w:t>
            </w:r>
          </w:p>
        </w:tc>
        <w:tc>
          <w:tcPr>
            <w:tcW w:w="1275" w:type="dxa"/>
            <w:tcBorders>
              <w:top w:val="single" w:sz="4" w:space="0" w:color="auto"/>
              <w:left w:val="nil"/>
              <w:bottom w:val="single" w:sz="4" w:space="0" w:color="auto"/>
              <w:right w:val="nil"/>
            </w:tcBorders>
            <w:shd w:val="clear" w:color="auto" w:fill="auto"/>
            <w:vAlign w:val="center"/>
            <w:hideMark/>
          </w:tcPr>
          <w:p w:rsidR="00996D62" w:rsidRPr="004C7453" w:rsidRDefault="00996D62" w:rsidP="00B81843">
            <w:pPr>
              <w:spacing w:after="0" w:line="240" w:lineRule="auto"/>
              <w:jc w:val="center"/>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Promedio de casos confirmados por millón de hab.</w:t>
            </w:r>
          </w:p>
        </w:tc>
        <w:tc>
          <w:tcPr>
            <w:tcW w:w="1276" w:type="dxa"/>
            <w:tcBorders>
              <w:top w:val="single" w:sz="4" w:space="0" w:color="auto"/>
              <w:left w:val="nil"/>
              <w:bottom w:val="single" w:sz="4" w:space="0" w:color="auto"/>
              <w:right w:val="nil"/>
            </w:tcBorders>
            <w:shd w:val="clear" w:color="auto" w:fill="auto"/>
            <w:vAlign w:val="center"/>
            <w:hideMark/>
          </w:tcPr>
          <w:p w:rsidR="00996D62" w:rsidRPr="004C7453" w:rsidRDefault="00996D62" w:rsidP="00B81843">
            <w:pPr>
              <w:spacing w:after="0" w:line="240" w:lineRule="auto"/>
              <w:jc w:val="center"/>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 xml:space="preserve">Promedio de n° de muertes </w:t>
            </w:r>
          </w:p>
        </w:tc>
        <w:tc>
          <w:tcPr>
            <w:tcW w:w="1276" w:type="dxa"/>
            <w:tcBorders>
              <w:top w:val="single" w:sz="4" w:space="0" w:color="auto"/>
              <w:left w:val="nil"/>
              <w:bottom w:val="single" w:sz="4" w:space="0" w:color="auto"/>
              <w:right w:val="nil"/>
            </w:tcBorders>
            <w:shd w:val="clear" w:color="auto" w:fill="auto"/>
            <w:vAlign w:val="center"/>
            <w:hideMark/>
          </w:tcPr>
          <w:p w:rsidR="00996D62" w:rsidRPr="004C7453" w:rsidRDefault="00996D62" w:rsidP="00B81843">
            <w:pPr>
              <w:spacing w:after="0" w:line="240" w:lineRule="auto"/>
              <w:jc w:val="center"/>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Promedio de n° de muertes por millón de hab.</w:t>
            </w:r>
          </w:p>
        </w:tc>
        <w:tc>
          <w:tcPr>
            <w:tcW w:w="1417" w:type="dxa"/>
            <w:tcBorders>
              <w:top w:val="single" w:sz="4" w:space="0" w:color="auto"/>
              <w:left w:val="nil"/>
              <w:bottom w:val="single" w:sz="4" w:space="0" w:color="auto"/>
              <w:right w:val="nil"/>
            </w:tcBorders>
          </w:tcPr>
          <w:p w:rsidR="00996D62" w:rsidRPr="004C7453" w:rsidRDefault="00996D62" w:rsidP="00B81843">
            <w:pPr>
              <w:spacing w:after="0" w:line="240" w:lineRule="auto"/>
              <w:jc w:val="center"/>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N° de días desde el caso cero</w:t>
            </w:r>
            <w:r w:rsidRPr="004C7453">
              <w:rPr>
                <w:rFonts w:ascii="Arial" w:eastAsia="Times New Roman" w:hAnsi="Arial" w:cs="Arial"/>
                <w:b/>
                <w:bCs/>
                <w:color w:val="000000"/>
                <w:sz w:val="24"/>
                <w:szCs w:val="24"/>
                <w:lang w:val="es-PE" w:eastAsia="es-PE"/>
              </w:rPr>
              <w:br/>
              <w:t xml:space="preserve">hasta el </w:t>
            </w:r>
            <w:r>
              <w:rPr>
                <w:rFonts w:ascii="Arial" w:eastAsia="Times New Roman" w:hAnsi="Arial" w:cs="Arial"/>
                <w:b/>
                <w:bCs/>
                <w:color w:val="000000"/>
                <w:sz w:val="24"/>
                <w:szCs w:val="24"/>
                <w:lang w:val="es-PE" w:eastAsia="es-PE"/>
              </w:rPr>
              <w:t>15</w:t>
            </w:r>
            <w:r w:rsidRPr="004C7453">
              <w:rPr>
                <w:rFonts w:ascii="Arial" w:eastAsia="Times New Roman" w:hAnsi="Arial" w:cs="Arial"/>
                <w:b/>
                <w:bCs/>
                <w:color w:val="000000"/>
                <w:sz w:val="24"/>
                <w:szCs w:val="24"/>
                <w:lang w:val="es-PE" w:eastAsia="es-PE"/>
              </w:rPr>
              <w:t>-Junio</w:t>
            </w:r>
          </w:p>
        </w:tc>
        <w:tc>
          <w:tcPr>
            <w:tcW w:w="1418" w:type="dxa"/>
            <w:tcBorders>
              <w:top w:val="single" w:sz="4" w:space="0" w:color="auto"/>
              <w:left w:val="nil"/>
              <w:bottom w:val="single" w:sz="4" w:space="0" w:color="auto"/>
              <w:right w:val="nil"/>
            </w:tcBorders>
          </w:tcPr>
          <w:p w:rsidR="00996D62" w:rsidRPr="004C7453" w:rsidRDefault="00996D62" w:rsidP="00B81843">
            <w:pPr>
              <w:spacing w:after="0" w:line="240" w:lineRule="auto"/>
              <w:jc w:val="center"/>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 xml:space="preserve">N° de </w:t>
            </w:r>
            <w:r w:rsidRPr="004C7453">
              <w:rPr>
                <w:rFonts w:ascii="Arial" w:eastAsia="Times New Roman" w:hAnsi="Arial" w:cs="Arial"/>
                <w:b/>
                <w:bCs/>
                <w:color w:val="000000"/>
                <w:sz w:val="24"/>
                <w:szCs w:val="24"/>
                <w:lang w:val="es-PE" w:eastAsia="es-PE"/>
              </w:rPr>
              <w:br/>
              <w:t>habitantes</w:t>
            </w:r>
          </w:p>
        </w:tc>
      </w:tr>
      <w:tr w:rsidR="00996D62" w:rsidRPr="004C7453" w:rsidTr="00B81843">
        <w:trPr>
          <w:trHeight w:val="300"/>
        </w:trPr>
        <w:tc>
          <w:tcPr>
            <w:tcW w:w="1348"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Argentina</w:t>
            </w:r>
          </w:p>
        </w:tc>
        <w:tc>
          <w:tcPr>
            <w:tcW w:w="134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4464,42</w:t>
            </w:r>
          </w:p>
        </w:tc>
        <w:tc>
          <w:tcPr>
            <w:tcW w:w="1275"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98,78</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182,1</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4,03</w:t>
            </w:r>
          </w:p>
        </w:tc>
        <w:tc>
          <w:tcPr>
            <w:tcW w:w="1417"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104</w:t>
            </w:r>
          </w:p>
        </w:tc>
        <w:tc>
          <w:tcPr>
            <w:tcW w:w="1418"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45195777</w:t>
            </w:r>
          </w:p>
        </w:tc>
      </w:tr>
      <w:tr w:rsidR="00996D62" w:rsidRPr="004C7453" w:rsidTr="00B81843">
        <w:trPr>
          <w:trHeight w:val="300"/>
        </w:trPr>
        <w:tc>
          <w:tcPr>
            <w:tcW w:w="1348"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Bolivia</w:t>
            </w:r>
          </w:p>
        </w:tc>
        <w:tc>
          <w:tcPr>
            <w:tcW w:w="134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2876,81</w:t>
            </w:r>
          </w:p>
        </w:tc>
        <w:tc>
          <w:tcPr>
            <w:tcW w:w="1275"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246,45</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110,32</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9,45</w:t>
            </w:r>
          </w:p>
        </w:tc>
        <w:tc>
          <w:tcPr>
            <w:tcW w:w="1417"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98</w:t>
            </w:r>
          </w:p>
        </w:tc>
        <w:tc>
          <w:tcPr>
            <w:tcW w:w="1418"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11673029</w:t>
            </w:r>
          </w:p>
        </w:tc>
      </w:tr>
      <w:tr w:rsidR="00996D62" w:rsidRPr="004C7453" w:rsidTr="00B81843">
        <w:trPr>
          <w:trHeight w:val="300"/>
        </w:trPr>
        <w:tc>
          <w:tcPr>
            <w:tcW w:w="1348"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Brasil</w:t>
            </w:r>
          </w:p>
        </w:tc>
        <w:tc>
          <w:tcPr>
            <w:tcW w:w="134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76218,71</w:t>
            </w:r>
          </w:p>
        </w:tc>
        <w:tc>
          <w:tcPr>
            <w:tcW w:w="1275"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358,58</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4970,62</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23,38</w:t>
            </w:r>
          </w:p>
        </w:tc>
        <w:tc>
          <w:tcPr>
            <w:tcW w:w="1417"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111</w:t>
            </w:r>
          </w:p>
        </w:tc>
        <w:tc>
          <w:tcPr>
            <w:tcW w:w="1418"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212559417</w:t>
            </w:r>
          </w:p>
        </w:tc>
      </w:tr>
      <w:tr w:rsidR="00996D62" w:rsidRPr="004C7453" w:rsidTr="00B81843">
        <w:trPr>
          <w:trHeight w:val="300"/>
        </w:trPr>
        <w:tc>
          <w:tcPr>
            <w:tcW w:w="1348"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Chile</w:t>
            </w:r>
          </w:p>
        </w:tc>
        <w:tc>
          <w:tcPr>
            <w:tcW w:w="134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21409,92</w:t>
            </w:r>
          </w:p>
        </w:tc>
        <w:tc>
          <w:tcPr>
            <w:tcW w:w="1275"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1119,99</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230,62</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12,06</w:t>
            </w:r>
          </w:p>
        </w:tc>
        <w:tc>
          <w:tcPr>
            <w:tcW w:w="1417"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105</w:t>
            </w:r>
          </w:p>
        </w:tc>
        <w:tc>
          <w:tcPr>
            <w:tcW w:w="1418"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19116201</w:t>
            </w:r>
          </w:p>
        </w:tc>
      </w:tr>
      <w:tr w:rsidR="00996D62" w:rsidRPr="004C7453" w:rsidTr="00B81843">
        <w:trPr>
          <w:trHeight w:val="127"/>
        </w:trPr>
        <w:tc>
          <w:tcPr>
            <w:tcW w:w="1348"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Colombia</w:t>
            </w:r>
          </w:p>
        </w:tc>
        <w:tc>
          <w:tcPr>
            <w:tcW w:w="134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8254,12</w:t>
            </w:r>
          </w:p>
        </w:tc>
        <w:tc>
          <w:tcPr>
            <w:tcW w:w="1275"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162,22</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296,25</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5,82</w:t>
            </w:r>
          </w:p>
        </w:tc>
        <w:tc>
          <w:tcPr>
            <w:tcW w:w="1417"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102</w:t>
            </w:r>
          </w:p>
        </w:tc>
        <w:tc>
          <w:tcPr>
            <w:tcW w:w="1418"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50882884</w:t>
            </w:r>
          </w:p>
        </w:tc>
      </w:tr>
      <w:tr w:rsidR="00996D62" w:rsidRPr="004C7453" w:rsidTr="00B81843">
        <w:trPr>
          <w:trHeight w:val="300"/>
        </w:trPr>
        <w:tc>
          <w:tcPr>
            <w:tcW w:w="1348"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Ecuador</w:t>
            </w:r>
          </w:p>
        </w:tc>
        <w:tc>
          <w:tcPr>
            <w:tcW w:w="134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14133,95</w:t>
            </w:r>
          </w:p>
        </w:tc>
        <w:tc>
          <w:tcPr>
            <w:tcW w:w="1275"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801,11</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930,88</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52,76</w:t>
            </w:r>
          </w:p>
        </w:tc>
        <w:tc>
          <w:tcPr>
            <w:tcW w:w="1417"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108</w:t>
            </w:r>
          </w:p>
        </w:tc>
        <w:tc>
          <w:tcPr>
            <w:tcW w:w="1418"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17643054</w:t>
            </w:r>
          </w:p>
        </w:tc>
      </w:tr>
      <w:tr w:rsidR="00996D62" w:rsidRPr="004C7453" w:rsidTr="00B81843">
        <w:trPr>
          <w:trHeight w:val="300"/>
        </w:trPr>
        <w:tc>
          <w:tcPr>
            <w:tcW w:w="1348"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Paraguay</w:t>
            </w:r>
          </w:p>
        </w:tc>
        <w:tc>
          <w:tcPr>
            <w:tcW w:w="134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367,97</w:t>
            </w:r>
          </w:p>
        </w:tc>
        <w:tc>
          <w:tcPr>
            <w:tcW w:w="1275"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51,59</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6,81</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0,95</w:t>
            </w:r>
          </w:p>
        </w:tc>
        <w:tc>
          <w:tcPr>
            <w:tcW w:w="1417"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102</w:t>
            </w:r>
          </w:p>
        </w:tc>
        <w:tc>
          <w:tcPr>
            <w:tcW w:w="1418"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7132530</w:t>
            </w:r>
          </w:p>
        </w:tc>
      </w:tr>
      <w:tr w:rsidR="00996D62" w:rsidRPr="004C7453" w:rsidTr="00B81843">
        <w:trPr>
          <w:trHeight w:val="300"/>
        </w:trPr>
        <w:tc>
          <w:tcPr>
            <w:tcW w:w="1348"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Perú</w:t>
            </w:r>
          </w:p>
        </w:tc>
        <w:tc>
          <w:tcPr>
            <w:tcW w:w="134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44717,14</w:t>
            </w:r>
          </w:p>
        </w:tc>
        <w:tc>
          <w:tcPr>
            <w:tcW w:w="1275"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1356,22</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1259</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38,18</w:t>
            </w:r>
          </w:p>
        </w:tc>
        <w:tc>
          <w:tcPr>
            <w:tcW w:w="1417"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102</w:t>
            </w:r>
          </w:p>
        </w:tc>
        <w:tc>
          <w:tcPr>
            <w:tcW w:w="1418"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32971854</w:t>
            </w:r>
          </w:p>
        </w:tc>
      </w:tr>
      <w:tr w:rsidR="00996D62" w:rsidRPr="004C7453" w:rsidTr="00B81843">
        <w:trPr>
          <w:trHeight w:val="300"/>
        </w:trPr>
        <w:tc>
          <w:tcPr>
            <w:tcW w:w="1348"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Uruguay</w:t>
            </w:r>
          </w:p>
        </w:tc>
        <w:tc>
          <w:tcPr>
            <w:tcW w:w="134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544,13</w:t>
            </w:r>
          </w:p>
        </w:tc>
        <w:tc>
          <w:tcPr>
            <w:tcW w:w="1275"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156,64</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12,54</w:t>
            </w:r>
          </w:p>
        </w:tc>
        <w:tc>
          <w:tcPr>
            <w:tcW w:w="1276" w:type="dxa"/>
            <w:tcBorders>
              <w:top w:val="nil"/>
              <w:left w:val="nil"/>
              <w:bottom w:val="nil"/>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3,61</w:t>
            </w:r>
          </w:p>
        </w:tc>
        <w:tc>
          <w:tcPr>
            <w:tcW w:w="1417"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95</w:t>
            </w:r>
          </w:p>
        </w:tc>
        <w:tc>
          <w:tcPr>
            <w:tcW w:w="1418" w:type="dxa"/>
            <w:tcBorders>
              <w:top w:val="nil"/>
              <w:left w:val="nil"/>
              <w:bottom w:val="nil"/>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3473727</w:t>
            </w:r>
          </w:p>
        </w:tc>
      </w:tr>
      <w:tr w:rsidR="00996D62" w:rsidRPr="004C7453" w:rsidTr="00B81843">
        <w:trPr>
          <w:trHeight w:val="300"/>
        </w:trPr>
        <w:tc>
          <w:tcPr>
            <w:tcW w:w="1348" w:type="dxa"/>
            <w:tcBorders>
              <w:top w:val="nil"/>
              <w:left w:val="nil"/>
              <w:bottom w:val="single" w:sz="4" w:space="0" w:color="auto"/>
              <w:right w:val="nil"/>
            </w:tcBorders>
            <w:shd w:val="clear" w:color="auto" w:fill="auto"/>
            <w:noWrap/>
            <w:vAlign w:val="bottom"/>
            <w:hideMark/>
          </w:tcPr>
          <w:p w:rsidR="00996D62" w:rsidRPr="004C7453" w:rsidRDefault="00996D62" w:rsidP="00B81843">
            <w:pPr>
              <w:spacing w:after="0" w:line="240" w:lineRule="auto"/>
              <w:rPr>
                <w:rFonts w:ascii="Arial" w:eastAsia="Times New Roman" w:hAnsi="Arial" w:cs="Arial"/>
                <w:b/>
                <w:bCs/>
                <w:color w:val="000000"/>
                <w:sz w:val="24"/>
                <w:szCs w:val="24"/>
                <w:lang w:val="es-PE" w:eastAsia="es-PE"/>
              </w:rPr>
            </w:pPr>
            <w:r w:rsidRPr="004C7453">
              <w:rPr>
                <w:rFonts w:ascii="Arial" w:eastAsia="Times New Roman" w:hAnsi="Arial" w:cs="Arial"/>
                <w:b/>
                <w:bCs/>
                <w:color w:val="000000"/>
                <w:sz w:val="24"/>
                <w:szCs w:val="24"/>
                <w:lang w:val="es-PE" w:eastAsia="es-PE"/>
              </w:rPr>
              <w:t>Venezuela</w:t>
            </w:r>
          </w:p>
        </w:tc>
        <w:tc>
          <w:tcPr>
            <w:tcW w:w="1346" w:type="dxa"/>
            <w:tcBorders>
              <w:top w:val="nil"/>
              <w:left w:val="nil"/>
              <w:bottom w:val="single" w:sz="4" w:space="0" w:color="auto"/>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627,57</w:t>
            </w:r>
          </w:p>
        </w:tc>
        <w:tc>
          <w:tcPr>
            <w:tcW w:w="1275" w:type="dxa"/>
            <w:tcBorders>
              <w:top w:val="nil"/>
              <w:left w:val="nil"/>
              <w:bottom w:val="single" w:sz="4" w:space="0" w:color="auto"/>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22,07</w:t>
            </w:r>
          </w:p>
        </w:tc>
        <w:tc>
          <w:tcPr>
            <w:tcW w:w="1276" w:type="dxa"/>
            <w:tcBorders>
              <w:top w:val="nil"/>
              <w:left w:val="nil"/>
              <w:bottom w:val="single" w:sz="4" w:space="0" w:color="auto"/>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8,98</w:t>
            </w:r>
          </w:p>
        </w:tc>
        <w:tc>
          <w:tcPr>
            <w:tcW w:w="1276" w:type="dxa"/>
            <w:tcBorders>
              <w:top w:val="nil"/>
              <w:left w:val="nil"/>
              <w:bottom w:val="single" w:sz="4" w:space="0" w:color="auto"/>
              <w:right w:val="nil"/>
            </w:tcBorders>
            <w:shd w:val="clear" w:color="auto" w:fill="auto"/>
            <w:noWrap/>
            <w:vAlign w:val="bottom"/>
            <w:hideMark/>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hAnsi="Arial" w:cs="Arial"/>
                <w:color w:val="000000"/>
                <w:sz w:val="24"/>
                <w:szCs w:val="24"/>
              </w:rPr>
              <w:t>0,32</w:t>
            </w:r>
          </w:p>
        </w:tc>
        <w:tc>
          <w:tcPr>
            <w:tcW w:w="1417" w:type="dxa"/>
            <w:tcBorders>
              <w:top w:val="nil"/>
              <w:left w:val="nil"/>
              <w:bottom w:val="single" w:sz="4" w:space="0" w:color="auto"/>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95</w:t>
            </w:r>
          </w:p>
        </w:tc>
        <w:tc>
          <w:tcPr>
            <w:tcW w:w="1418" w:type="dxa"/>
            <w:tcBorders>
              <w:top w:val="nil"/>
              <w:left w:val="nil"/>
              <w:bottom w:val="single" w:sz="4" w:space="0" w:color="auto"/>
              <w:right w:val="nil"/>
            </w:tcBorders>
            <w:vAlign w:val="bottom"/>
          </w:tcPr>
          <w:p w:rsidR="00996D62" w:rsidRPr="004C7453" w:rsidRDefault="00996D62" w:rsidP="00B81843">
            <w:pPr>
              <w:spacing w:after="0" w:line="240" w:lineRule="auto"/>
              <w:jc w:val="center"/>
              <w:rPr>
                <w:rFonts w:ascii="Arial" w:eastAsia="Times New Roman" w:hAnsi="Arial" w:cs="Arial"/>
                <w:color w:val="000000"/>
                <w:sz w:val="24"/>
                <w:szCs w:val="24"/>
                <w:lang w:val="es-PE" w:eastAsia="es-PE"/>
              </w:rPr>
            </w:pPr>
            <w:r w:rsidRPr="004C7453">
              <w:rPr>
                <w:rFonts w:ascii="Arial" w:eastAsia="Times New Roman" w:hAnsi="Arial" w:cs="Arial"/>
                <w:color w:val="000000"/>
                <w:sz w:val="24"/>
                <w:szCs w:val="24"/>
                <w:lang w:val="es-PE" w:eastAsia="es-PE"/>
              </w:rPr>
              <w:t>28435943</w:t>
            </w:r>
          </w:p>
        </w:tc>
      </w:tr>
      <w:bookmarkEnd w:id="111"/>
    </w:tbl>
    <w:p w:rsidR="00996D62" w:rsidRDefault="00996D62" w:rsidP="00996D62">
      <w:pPr>
        <w:spacing w:after="0" w:line="240" w:lineRule="auto"/>
        <w:jc w:val="both"/>
        <w:rPr>
          <w:rFonts w:ascii="Arial" w:hAnsi="Arial" w:cs="Arial"/>
          <w:color w:val="000000"/>
          <w:sz w:val="24"/>
          <w:szCs w:val="24"/>
          <w:shd w:val="clear" w:color="auto" w:fill="FFFFFF"/>
        </w:rPr>
      </w:pPr>
    </w:p>
    <w:p w:rsidR="00996D62" w:rsidRDefault="00996D62" w:rsidP="00996D62">
      <w:pPr>
        <w:spacing w:after="0" w:line="240" w:lineRule="auto"/>
        <w:jc w:val="both"/>
        <w:rPr>
          <w:rFonts w:ascii="Arial" w:hAnsi="Arial" w:cs="Arial"/>
          <w:color w:val="000000"/>
          <w:sz w:val="24"/>
          <w:szCs w:val="24"/>
          <w:shd w:val="clear" w:color="auto" w:fill="FFFFFF"/>
        </w:rPr>
      </w:pPr>
      <w:r w:rsidRPr="0089650F">
        <w:rPr>
          <w:rFonts w:ascii="Arial" w:hAnsi="Arial" w:cs="Arial"/>
          <w:color w:val="000000"/>
          <w:sz w:val="24"/>
          <w:szCs w:val="24"/>
          <w:shd w:val="clear" w:color="auto" w:fill="FFFFFF"/>
        </w:rPr>
        <w:t>De la tabla 1, respecto al promedio de casos confirmados y promedio de casos confirmados por millón de habitantes por la COVID-19 (el promedio está dado como el total de casos hasta el día 93 entre el total de días que es 93 se puede observar que, aunque Brasil presente un promedio mayor de número de casos confirmado, su promedio por millón de habitantes es mucho menor respecto a Chile, Ecuador y Perú. Comparando con los promedios de Perú, se observa que en el número de casos confirmados es menor solamente al de Brasil con un valor de 44717,14 y 76218,71; sin embargo los casos confirmados por millón de habitantes se diferencian considerablemente presentando ahora un mayor número promedio en Perú con un valor 1356,22 y para Brasil un valor de 358,58 casos confirmados en promedio por millón de habitantes; respecto a los promedio del número de muertes, Brasil presenta mayor promedio, sin embargo por millón de habitantes se observa que Ecuador supera ampliamente a los demás países con un promedio de 52,76 y seguido de Perú con 38,18 decesos por millón de habitantes.</w:t>
      </w:r>
    </w:p>
    <w:p w:rsidR="00996D62" w:rsidRDefault="00996D62" w:rsidP="00996D62">
      <w:pPr>
        <w:spacing w:after="0" w:line="240" w:lineRule="auto"/>
        <w:jc w:val="both"/>
        <w:rPr>
          <w:rFonts w:ascii="Arial" w:hAnsi="Arial" w:cs="Arial"/>
          <w:color w:val="000000"/>
          <w:sz w:val="24"/>
          <w:szCs w:val="24"/>
          <w:shd w:val="clear" w:color="auto" w:fill="FFFFFF"/>
        </w:rPr>
      </w:pPr>
    </w:p>
    <w:p w:rsidR="00996D62" w:rsidRPr="0032760F" w:rsidRDefault="00996D62" w:rsidP="00996D62">
      <w:pPr>
        <w:spacing w:line="240" w:lineRule="auto"/>
        <w:jc w:val="both"/>
        <w:rPr>
          <w:rFonts w:ascii="Arial" w:hAnsi="Arial" w:cs="Arial"/>
          <w:color w:val="000000"/>
          <w:sz w:val="24"/>
          <w:szCs w:val="24"/>
          <w:shd w:val="clear" w:color="auto" w:fill="FFFFFF"/>
        </w:rPr>
      </w:pPr>
      <w:r w:rsidRPr="005D32C1">
        <w:rPr>
          <w:rFonts w:ascii="Arial" w:hAnsi="Arial" w:cs="Arial"/>
          <w:i/>
          <w:iCs/>
          <w:color w:val="000000"/>
          <w:sz w:val="20"/>
          <w:szCs w:val="20"/>
          <w:shd w:val="clear" w:color="auto" w:fill="FFFFFF"/>
        </w:rPr>
        <w:t xml:space="preserve">Tabla 2: </w:t>
      </w:r>
      <w:r>
        <w:rPr>
          <w:rFonts w:ascii="Arial" w:hAnsi="Arial" w:cs="Arial"/>
          <w:i/>
          <w:iCs/>
          <w:color w:val="000000"/>
          <w:sz w:val="20"/>
          <w:szCs w:val="20"/>
          <w:shd w:val="clear" w:color="auto" w:fill="FFFFFF"/>
        </w:rPr>
        <w:t>Coeficientes estimados y prueba de autocorrelación de los residuales Ljung y Box de los m</w:t>
      </w:r>
      <w:r w:rsidRPr="005D32C1">
        <w:rPr>
          <w:rFonts w:ascii="Arial" w:hAnsi="Arial" w:cs="Arial"/>
          <w:i/>
          <w:iCs/>
          <w:color w:val="000000"/>
          <w:sz w:val="20"/>
          <w:szCs w:val="20"/>
          <w:shd w:val="clear" w:color="auto" w:fill="FFFFFF"/>
        </w:rPr>
        <w:t>odelos ARIMA</w:t>
      </w:r>
      <w:r>
        <w:rPr>
          <w:rFonts w:ascii="Arial" w:hAnsi="Arial" w:cs="Arial"/>
          <w:i/>
          <w:iCs/>
          <w:color w:val="000000"/>
          <w:sz w:val="20"/>
          <w:szCs w:val="20"/>
          <w:shd w:val="clear" w:color="auto" w:fill="FFFFFF"/>
        </w:rPr>
        <w:t xml:space="preserve">, </w:t>
      </w:r>
      <w:r w:rsidRPr="005D32C1">
        <w:rPr>
          <w:rFonts w:ascii="Arial" w:hAnsi="Arial" w:cs="Arial"/>
          <w:i/>
          <w:iCs/>
          <w:color w:val="000000"/>
          <w:sz w:val="20"/>
          <w:szCs w:val="20"/>
          <w:shd w:val="clear" w:color="auto" w:fill="FFFFFF"/>
        </w:rPr>
        <w:t>para el número de casos confirmados por millón de habitantes de Brasil, Chile, Ecuador y Perú, desde el inicio del primer registro de contagio hasta el 15 de junio.</w:t>
      </w:r>
    </w:p>
    <w:tbl>
      <w:tblPr>
        <w:tblW w:w="9356" w:type="dxa"/>
        <w:tblCellMar>
          <w:left w:w="70" w:type="dxa"/>
          <w:right w:w="70" w:type="dxa"/>
        </w:tblCellMar>
        <w:tblLook w:val="04A0" w:firstRow="1" w:lastRow="0" w:firstColumn="1" w:lastColumn="0" w:noHBand="0" w:noVBand="1"/>
      </w:tblPr>
      <w:tblGrid>
        <w:gridCol w:w="1621"/>
        <w:gridCol w:w="1104"/>
        <w:gridCol w:w="1104"/>
        <w:gridCol w:w="1104"/>
        <w:gridCol w:w="1104"/>
        <w:gridCol w:w="1104"/>
        <w:gridCol w:w="2215"/>
      </w:tblGrid>
      <w:tr w:rsidR="00996D62" w:rsidRPr="000D249D" w:rsidTr="00B81843">
        <w:trPr>
          <w:trHeight w:val="589"/>
        </w:trPr>
        <w:tc>
          <w:tcPr>
            <w:tcW w:w="1621" w:type="dxa"/>
            <w:tcBorders>
              <w:top w:val="single" w:sz="4" w:space="0" w:color="auto"/>
              <w:left w:val="nil"/>
              <w:bottom w:val="single" w:sz="4" w:space="0" w:color="auto"/>
              <w:right w:val="nil"/>
            </w:tcBorders>
            <w:shd w:val="clear" w:color="000000" w:fill="FFFFFF"/>
            <w:noWrap/>
            <w:vAlign w:val="center"/>
            <w:hideMark/>
          </w:tcPr>
          <w:p w:rsidR="00996D62" w:rsidRPr="000D249D" w:rsidRDefault="00996D62" w:rsidP="00B81843">
            <w:pPr>
              <w:spacing w:after="0" w:line="240" w:lineRule="auto"/>
              <w:jc w:val="center"/>
              <w:rPr>
                <w:rFonts w:ascii="Arial" w:eastAsia="Times New Roman" w:hAnsi="Arial" w:cs="Arial"/>
                <w:b/>
                <w:bCs/>
                <w:color w:val="000000"/>
                <w:sz w:val="24"/>
                <w:szCs w:val="24"/>
                <w:lang w:val="es-PE" w:eastAsia="es-PE"/>
              </w:rPr>
            </w:pPr>
            <w:r w:rsidRPr="000D249D">
              <w:rPr>
                <w:rFonts w:ascii="Arial" w:eastAsia="Times New Roman" w:hAnsi="Arial" w:cs="Arial"/>
                <w:b/>
                <w:bCs/>
                <w:color w:val="000000"/>
                <w:sz w:val="24"/>
                <w:szCs w:val="24"/>
                <w:lang w:val="es-PE" w:eastAsia="es-PE"/>
              </w:rPr>
              <w:t>País</w:t>
            </w:r>
          </w:p>
        </w:tc>
        <w:tc>
          <w:tcPr>
            <w:tcW w:w="5520" w:type="dxa"/>
            <w:gridSpan w:val="5"/>
            <w:tcBorders>
              <w:top w:val="single" w:sz="4" w:space="0" w:color="auto"/>
              <w:left w:val="nil"/>
              <w:bottom w:val="single" w:sz="4" w:space="0" w:color="auto"/>
              <w:right w:val="nil"/>
            </w:tcBorders>
            <w:shd w:val="clear" w:color="000000" w:fill="FFFFFF"/>
            <w:vAlign w:val="center"/>
            <w:hideMark/>
          </w:tcPr>
          <w:p w:rsidR="00996D62" w:rsidRPr="000D249D" w:rsidRDefault="00996D62" w:rsidP="00B81843">
            <w:pPr>
              <w:spacing w:after="0" w:line="240" w:lineRule="auto"/>
              <w:jc w:val="center"/>
              <w:rPr>
                <w:rFonts w:ascii="Arial" w:eastAsia="Times New Roman" w:hAnsi="Arial" w:cs="Arial"/>
                <w:b/>
                <w:bCs/>
                <w:color w:val="000000"/>
                <w:sz w:val="24"/>
                <w:szCs w:val="24"/>
                <w:lang w:val="es-PE" w:eastAsia="es-PE"/>
              </w:rPr>
            </w:pPr>
            <w:r w:rsidRPr="000D249D">
              <w:rPr>
                <w:rFonts w:ascii="Arial" w:eastAsia="Times New Roman" w:hAnsi="Arial" w:cs="Arial"/>
                <w:b/>
                <w:bCs/>
                <w:color w:val="000000"/>
                <w:sz w:val="24"/>
                <w:szCs w:val="24"/>
                <w:lang w:val="es-PE" w:eastAsia="es-PE"/>
              </w:rPr>
              <w:t>Coeficientes</w:t>
            </w:r>
            <w:r w:rsidRPr="000D249D">
              <w:rPr>
                <w:rFonts w:ascii="Arial" w:eastAsia="Times New Roman" w:hAnsi="Arial" w:cs="Arial"/>
                <w:b/>
                <w:bCs/>
                <w:color w:val="000000"/>
                <w:sz w:val="24"/>
                <w:szCs w:val="24"/>
                <w:lang w:val="es-PE" w:eastAsia="es-PE"/>
              </w:rPr>
              <w:br/>
              <w:t>(s.e)</w:t>
            </w:r>
          </w:p>
        </w:tc>
        <w:tc>
          <w:tcPr>
            <w:tcW w:w="2215" w:type="dxa"/>
            <w:tcBorders>
              <w:top w:val="single" w:sz="4" w:space="0" w:color="auto"/>
              <w:left w:val="nil"/>
              <w:bottom w:val="single" w:sz="4" w:space="0" w:color="auto"/>
              <w:right w:val="nil"/>
            </w:tcBorders>
            <w:shd w:val="clear" w:color="000000" w:fill="FFFFFF"/>
            <w:vAlign w:val="center"/>
            <w:hideMark/>
          </w:tcPr>
          <w:p w:rsidR="00996D62" w:rsidRPr="000D249D" w:rsidRDefault="00996D62" w:rsidP="00B81843">
            <w:pPr>
              <w:spacing w:after="0" w:line="240" w:lineRule="auto"/>
              <w:jc w:val="center"/>
              <w:rPr>
                <w:rFonts w:ascii="Arial" w:eastAsia="Times New Roman" w:hAnsi="Arial" w:cs="Arial"/>
                <w:b/>
                <w:bCs/>
                <w:color w:val="000000"/>
                <w:sz w:val="24"/>
                <w:szCs w:val="24"/>
                <w:lang w:val="es-PE" w:eastAsia="es-PE"/>
              </w:rPr>
            </w:pPr>
            <w:r w:rsidRPr="000D249D">
              <w:rPr>
                <w:rFonts w:ascii="Arial" w:eastAsia="Times New Roman" w:hAnsi="Arial" w:cs="Arial"/>
                <w:b/>
                <w:bCs/>
                <w:color w:val="000000"/>
                <w:sz w:val="24"/>
                <w:szCs w:val="24"/>
                <w:lang w:val="es-PE" w:eastAsia="es-PE"/>
              </w:rPr>
              <w:t>Ljung-Box</w:t>
            </w:r>
            <w:r w:rsidRPr="000D249D">
              <w:rPr>
                <w:rFonts w:ascii="Arial" w:eastAsia="Times New Roman" w:hAnsi="Arial" w:cs="Arial"/>
                <w:b/>
                <w:bCs/>
                <w:color w:val="000000"/>
                <w:sz w:val="24"/>
                <w:szCs w:val="24"/>
                <w:lang w:val="es-PE" w:eastAsia="es-PE"/>
              </w:rPr>
              <w:br/>
              <w:t>(p-valor)</w:t>
            </w:r>
          </w:p>
        </w:tc>
      </w:tr>
      <w:tr w:rsidR="00996D62" w:rsidRPr="000D249D" w:rsidTr="00B81843">
        <w:trPr>
          <w:trHeight w:val="271"/>
        </w:trPr>
        <w:tc>
          <w:tcPr>
            <w:tcW w:w="1621" w:type="dxa"/>
            <w:vMerge w:val="restart"/>
            <w:tcBorders>
              <w:top w:val="nil"/>
              <w:left w:val="nil"/>
              <w:bottom w:val="single" w:sz="4" w:space="0" w:color="000000"/>
              <w:right w:val="nil"/>
            </w:tcBorders>
            <w:shd w:val="clear" w:color="000000" w:fill="FFFFFF"/>
            <w:vAlign w:val="center"/>
            <w:hideMark/>
          </w:tcPr>
          <w:p w:rsidR="00996D62" w:rsidRPr="000D249D" w:rsidRDefault="00996D62" w:rsidP="00B81843">
            <w:pPr>
              <w:spacing w:after="0" w:line="240" w:lineRule="auto"/>
              <w:jc w:val="center"/>
              <w:rPr>
                <w:rFonts w:ascii="Arial" w:eastAsia="Times New Roman" w:hAnsi="Arial" w:cs="Arial"/>
                <w:b/>
                <w:bCs/>
                <w:color w:val="000000"/>
                <w:sz w:val="24"/>
                <w:szCs w:val="24"/>
                <w:lang w:val="es-PE" w:eastAsia="es-PE"/>
              </w:rPr>
            </w:pPr>
            <w:r w:rsidRPr="000D249D">
              <w:rPr>
                <w:rFonts w:ascii="Arial" w:eastAsia="Times New Roman" w:hAnsi="Arial" w:cs="Arial"/>
                <w:b/>
                <w:bCs/>
                <w:color w:val="000000"/>
                <w:sz w:val="24"/>
                <w:szCs w:val="24"/>
                <w:lang w:val="es-PE" w:eastAsia="es-PE"/>
              </w:rPr>
              <w:t>Brasil</w:t>
            </w:r>
            <w:r w:rsidRPr="000D249D">
              <w:rPr>
                <w:rFonts w:ascii="Arial" w:eastAsia="Times New Roman" w:hAnsi="Arial" w:cs="Arial"/>
                <w:b/>
                <w:bCs/>
                <w:color w:val="000000"/>
                <w:sz w:val="24"/>
                <w:szCs w:val="24"/>
                <w:lang w:val="es-PE" w:eastAsia="es-PE"/>
              </w:rPr>
              <w:br/>
              <w:t>ARIMA(3,2,2)</w:t>
            </w:r>
          </w:p>
        </w:tc>
        <w:tc>
          <w:tcPr>
            <w:tcW w:w="1104" w:type="dxa"/>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AR(1)</w:t>
            </w:r>
          </w:p>
        </w:tc>
        <w:tc>
          <w:tcPr>
            <w:tcW w:w="1104" w:type="dxa"/>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AR(2)</w:t>
            </w:r>
          </w:p>
        </w:tc>
        <w:tc>
          <w:tcPr>
            <w:tcW w:w="1104" w:type="dxa"/>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AR(3)</w:t>
            </w:r>
          </w:p>
        </w:tc>
        <w:tc>
          <w:tcPr>
            <w:tcW w:w="1104" w:type="dxa"/>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MA(1)</w:t>
            </w:r>
          </w:p>
        </w:tc>
        <w:tc>
          <w:tcPr>
            <w:tcW w:w="1104" w:type="dxa"/>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MA(2)</w:t>
            </w:r>
          </w:p>
        </w:tc>
        <w:tc>
          <w:tcPr>
            <w:tcW w:w="2215" w:type="dxa"/>
            <w:vMerge w:val="restart"/>
            <w:tcBorders>
              <w:top w:val="nil"/>
              <w:left w:val="nil"/>
              <w:bottom w:val="single" w:sz="4" w:space="0" w:color="000000"/>
              <w:right w:val="nil"/>
            </w:tcBorders>
            <w:shd w:val="clear" w:color="000000" w:fill="FFFFFF"/>
            <w:vAlign w:val="center"/>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0.5053</w:t>
            </w:r>
            <w:r w:rsidRPr="000D249D">
              <w:rPr>
                <w:rFonts w:ascii="Arial" w:eastAsia="Times New Roman" w:hAnsi="Arial" w:cs="Arial"/>
                <w:color w:val="000000"/>
                <w:sz w:val="24"/>
                <w:szCs w:val="24"/>
                <w:lang w:val="es-PE" w:eastAsia="es-PE"/>
              </w:rPr>
              <w:br/>
              <w:t>(0.4772)</w:t>
            </w:r>
          </w:p>
        </w:tc>
      </w:tr>
      <w:tr w:rsidR="00996D62" w:rsidRPr="000D249D" w:rsidTr="00B81843">
        <w:trPr>
          <w:trHeight w:val="315"/>
        </w:trPr>
        <w:tc>
          <w:tcPr>
            <w:tcW w:w="1621" w:type="dxa"/>
            <w:vMerge/>
            <w:tcBorders>
              <w:top w:val="nil"/>
              <w:left w:val="nil"/>
              <w:bottom w:val="single" w:sz="4" w:space="0" w:color="000000"/>
              <w:right w:val="nil"/>
            </w:tcBorders>
            <w:vAlign w:val="center"/>
            <w:hideMark/>
          </w:tcPr>
          <w:p w:rsidR="00996D62" w:rsidRPr="000D249D" w:rsidRDefault="00996D62" w:rsidP="00B81843">
            <w:pPr>
              <w:spacing w:after="0" w:line="240" w:lineRule="auto"/>
              <w:rPr>
                <w:rFonts w:ascii="Arial" w:eastAsia="Times New Roman" w:hAnsi="Arial" w:cs="Arial"/>
                <w:b/>
                <w:bCs/>
                <w:color w:val="000000"/>
                <w:sz w:val="24"/>
                <w:szCs w:val="24"/>
                <w:lang w:val="es-PE" w:eastAsia="es-PE"/>
              </w:rPr>
            </w:pPr>
          </w:p>
        </w:tc>
        <w:tc>
          <w:tcPr>
            <w:tcW w:w="1104" w:type="dxa"/>
            <w:tcBorders>
              <w:top w:val="nil"/>
              <w:left w:val="nil"/>
              <w:bottom w:val="nil"/>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-0.9222</w:t>
            </w:r>
          </w:p>
        </w:tc>
        <w:tc>
          <w:tcPr>
            <w:tcW w:w="1104" w:type="dxa"/>
            <w:tcBorders>
              <w:top w:val="nil"/>
              <w:left w:val="nil"/>
              <w:bottom w:val="nil"/>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-0.4112</w:t>
            </w:r>
          </w:p>
        </w:tc>
        <w:tc>
          <w:tcPr>
            <w:tcW w:w="1104" w:type="dxa"/>
            <w:tcBorders>
              <w:top w:val="nil"/>
              <w:left w:val="nil"/>
              <w:bottom w:val="nil"/>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-0.1855</w:t>
            </w:r>
          </w:p>
        </w:tc>
        <w:tc>
          <w:tcPr>
            <w:tcW w:w="1104" w:type="dxa"/>
            <w:tcBorders>
              <w:top w:val="nil"/>
              <w:left w:val="nil"/>
              <w:bottom w:val="nil"/>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0.251</w:t>
            </w:r>
          </w:p>
        </w:tc>
        <w:tc>
          <w:tcPr>
            <w:tcW w:w="1104" w:type="dxa"/>
            <w:tcBorders>
              <w:top w:val="nil"/>
              <w:left w:val="nil"/>
              <w:bottom w:val="nil"/>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-0.625</w:t>
            </w:r>
          </w:p>
        </w:tc>
        <w:tc>
          <w:tcPr>
            <w:tcW w:w="2215" w:type="dxa"/>
            <w:vMerge/>
            <w:tcBorders>
              <w:top w:val="nil"/>
              <w:left w:val="nil"/>
              <w:bottom w:val="single" w:sz="4" w:space="0" w:color="000000"/>
              <w:right w:val="nil"/>
            </w:tcBorders>
            <w:vAlign w:val="center"/>
            <w:hideMark/>
          </w:tcPr>
          <w:p w:rsidR="00996D62" w:rsidRPr="000D249D" w:rsidRDefault="00996D62" w:rsidP="00B81843">
            <w:pPr>
              <w:spacing w:after="0" w:line="240" w:lineRule="auto"/>
              <w:rPr>
                <w:rFonts w:ascii="Arial" w:eastAsia="Times New Roman" w:hAnsi="Arial" w:cs="Arial"/>
                <w:color w:val="000000"/>
                <w:sz w:val="24"/>
                <w:szCs w:val="24"/>
                <w:lang w:val="es-PE" w:eastAsia="es-PE"/>
              </w:rPr>
            </w:pPr>
          </w:p>
        </w:tc>
      </w:tr>
      <w:tr w:rsidR="00996D62" w:rsidRPr="000D249D" w:rsidTr="00B81843">
        <w:trPr>
          <w:trHeight w:val="281"/>
        </w:trPr>
        <w:tc>
          <w:tcPr>
            <w:tcW w:w="1621" w:type="dxa"/>
            <w:vMerge/>
            <w:tcBorders>
              <w:top w:val="nil"/>
              <w:left w:val="nil"/>
              <w:bottom w:val="single" w:sz="4" w:space="0" w:color="000000"/>
              <w:right w:val="nil"/>
            </w:tcBorders>
            <w:vAlign w:val="center"/>
            <w:hideMark/>
          </w:tcPr>
          <w:p w:rsidR="00996D62" w:rsidRPr="000D249D" w:rsidRDefault="00996D62" w:rsidP="00B81843">
            <w:pPr>
              <w:spacing w:after="0" w:line="240" w:lineRule="auto"/>
              <w:rPr>
                <w:rFonts w:ascii="Arial" w:eastAsia="Times New Roman" w:hAnsi="Arial" w:cs="Arial"/>
                <w:b/>
                <w:bCs/>
                <w:color w:val="000000"/>
                <w:sz w:val="24"/>
                <w:szCs w:val="24"/>
                <w:lang w:val="es-PE" w:eastAsia="es-PE"/>
              </w:rPr>
            </w:pPr>
          </w:p>
        </w:tc>
        <w:tc>
          <w:tcPr>
            <w:tcW w:w="1104" w:type="dxa"/>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(0.1380)</w:t>
            </w:r>
          </w:p>
        </w:tc>
        <w:tc>
          <w:tcPr>
            <w:tcW w:w="1104" w:type="dxa"/>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(0.1641)</w:t>
            </w:r>
          </w:p>
        </w:tc>
        <w:tc>
          <w:tcPr>
            <w:tcW w:w="1104" w:type="dxa"/>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(0.1203)</w:t>
            </w:r>
          </w:p>
        </w:tc>
        <w:tc>
          <w:tcPr>
            <w:tcW w:w="1104" w:type="dxa"/>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(0.1048)</w:t>
            </w:r>
          </w:p>
        </w:tc>
        <w:tc>
          <w:tcPr>
            <w:tcW w:w="1104" w:type="dxa"/>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(0.0832)</w:t>
            </w:r>
          </w:p>
        </w:tc>
        <w:tc>
          <w:tcPr>
            <w:tcW w:w="2215" w:type="dxa"/>
            <w:vMerge/>
            <w:tcBorders>
              <w:top w:val="nil"/>
              <w:left w:val="nil"/>
              <w:bottom w:val="single" w:sz="4" w:space="0" w:color="000000"/>
              <w:right w:val="nil"/>
            </w:tcBorders>
            <w:vAlign w:val="center"/>
            <w:hideMark/>
          </w:tcPr>
          <w:p w:rsidR="00996D62" w:rsidRPr="000D249D" w:rsidRDefault="00996D62" w:rsidP="00B81843">
            <w:pPr>
              <w:spacing w:after="0" w:line="240" w:lineRule="auto"/>
              <w:rPr>
                <w:rFonts w:ascii="Arial" w:eastAsia="Times New Roman" w:hAnsi="Arial" w:cs="Arial"/>
                <w:color w:val="000000"/>
                <w:sz w:val="24"/>
                <w:szCs w:val="24"/>
                <w:lang w:val="es-PE" w:eastAsia="es-PE"/>
              </w:rPr>
            </w:pPr>
          </w:p>
        </w:tc>
      </w:tr>
      <w:tr w:rsidR="00996D62" w:rsidRPr="000D249D" w:rsidTr="00B81843">
        <w:trPr>
          <w:trHeight w:val="315"/>
        </w:trPr>
        <w:tc>
          <w:tcPr>
            <w:tcW w:w="1621" w:type="dxa"/>
            <w:vMerge w:val="restart"/>
            <w:tcBorders>
              <w:top w:val="nil"/>
              <w:left w:val="nil"/>
              <w:bottom w:val="single" w:sz="4" w:space="0" w:color="000000"/>
              <w:right w:val="nil"/>
            </w:tcBorders>
            <w:shd w:val="clear" w:color="000000" w:fill="FFFFFF"/>
            <w:vAlign w:val="center"/>
            <w:hideMark/>
          </w:tcPr>
          <w:p w:rsidR="00996D62" w:rsidRPr="000D249D" w:rsidRDefault="00996D62" w:rsidP="00B81843">
            <w:pPr>
              <w:spacing w:after="0" w:line="240" w:lineRule="auto"/>
              <w:jc w:val="center"/>
              <w:rPr>
                <w:rFonts w:ascii="Arial" w:eastAsia="Times New Roman" w:hAnsi="Arial" w:cs="Arial"/>
                <w:b/>
                <w:bCs/>
                <w:color w:val="000000"/>
                <w:sz w:val="24"/>
                <w:szCs w:val="24"/>
                <w:lang w:val="es-PE" w:eastAsia="es-PE"/>
              </w:rPr>
            </w:pPr>
            <w:r w:rsidRPr="000D249D">
              <w:rPr>
                <w:rFonts w:ascii="Arial" w:eastAsia="Times New Roman" w:hAnsi="Arial" w:cs="Arial"/>
                <w:b/>
                <w:bCs/>
                <w:color w:val="000000"/>
                <w:sz w:val="24"/>
                <w:szCs w:val="24"/>
                <w:lang w:val="es-PE" w:eastAsia="es-PE"/>
              </w:rPr>
              <w:t>Chile</w:t>
            </w:r>
            <w:r w:rsidRPr="000D249D">
              <w:rPr>
                <w:rFonts w:ascii="Arial" w:eastAsia="Times New Roman" w:hAnsi="Arial" w:cs="Arial"/>
                <w:b/>
                <w:bCs/>
                <w:color w:val="000000"/>
                <w:sz w:val="24"/>
                <w:szCs w:val="24"/>
                <w:lang w:val="es-PE" w:eastAsia="es-PE"/>
              </w:rPr>
              <w:br/>
              <w:t>ARIMA(1,2,3)</w:t>
            </w:r>
          </w:p>
        </w:tc>
        <w:tc>
          <w:tcPr>
            <w:tcW w:w="1104" w:type="dxa"/>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AR(1)</w:t>
            </w:r>
          </w:p>
        </w:tc>
        <w:tc>
          <w:tcPr>
            <w:tcW w:w="1104" w:type="dxa"/>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MA(1)</w:t>
            </w:r>
          </w:p>
        </w:tc>
        <w:tc>
          <w:tcPr>
            <w:tcW w:w="1104" w:type="dxa"/>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MA(2)</w:t>
            </w:r>
          </w:p>
        </w:tc>
        <w:tc>
          <w:tcPr>
            <w:tcW w:w="2208" w:type="dxa"/>
            <w:gridSpan w:val="2"/>
            <w:tcBorders>
              <w:top w:val="single" w:sz="4" w:space="0" w:color="auto"/>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MA(3)</w:t>
            </w:r>
          </w:p>
        </w:tc>
        <w:tc>
          <w:tcPr>
            <w:tcW w:w="2215" w:type="dxa"/>
            <w:vMerge w:val="restart"/>
            <w:tcBorders>
              <w:top w:val="nil"/>
              <w:left w:val="nil"/>
              <w:bottom w:val="single" w:sz="4" w:space="0" w:color="000000"/>
              <w:right w:val="nil"/>
            </w:tcBorders>
            <w:shd w:val="clear" w:color="000000" w:fill="FFFFFF"/>
            <w:vAlign w:val="center"/>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0.0923</w:t>
            </w:r>
            <w:r w:rsidRPr="000D249D">
              <w:rPr>
                <w:rFonts w:ascii="Arial" w:eastAsia="Times New Roman" w:hAnsi="Arial" w:cs="Arial"/>
                <w:color w:val="000000"/>
                <w:sz w:val="24"/>
                <w:szCs w:val="24"/>
                <w:lang w:val="es-PE" w:eastAsia="es-PE"/>
              </w:rPr>
              <w:br/>
              <w:t>(0.7613)</w:t>
            </w:r>
          </w:p>
        </w:tc>
      </w:tr>
      <w:tr w:rsidR="00996D62" w:rsidRPr="000D249D" w:rsidTr="00B81843">
        <w:trPr>
          <w:trHeight w:val="315"/>
        </w:trPr>
        <w:tc>
          <w:tcPr>
            <w:tcW w:w="1621" w:type="dxa"/>
            <w:vMerge/>
            <w:tcBorders>
              <w:top w:val="nil"/>
              <w:left w:val="nil"/>
              <w:bottom w:val="single" w:sz="4" w:space="0" w:color="000000"/>
              <w:right w:val="nil"/>
            </w:tcBorders>
            <w:vAlign w:val="center"/>
            <w:hideMark/>
          </w:tcPr>
          <w:p w:rsidR="00996D62" w:rsidRPr="000D249D" w:rsidRDefault="00996D62" w:rsidP="00B81843">
            <w:pPr>
              <w:spacing w:after="0" w:line="240" w:lineRule="auto"/>
              <w:rPr>
                <w:rFonts w:ascii="Arial" w:eastAsia="Times New Roman" w:hAnsi="Arial" w:cs="Arial"/>
                <w:b/>
                <w:bCs/>
                <w:color w:val="000000"/>
                <w:sz w:val="24"/>
                <w:szCs w:val="24"/>
                <w:lang w:val="es-PE" w:eastAsia="es-PE"/>
              </w:rPr>
            </w:pPr>
          </w:p>
        </w:tc>
        <w:tc>
          <w:tcPr>
            <w:tcW w:w="1104" w:type="dxa"/>
            <w:tcBorders>
              <w:top w:val="nil"/>
              <w:left w:val="nil"/>
              <w:bottom w:val="nil"/>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0.7856</w:t>
            </w:r>
          </w:p>
        </w:tc>
        <w:tc>
          <w:tcPr>
            <w:tcW w:w="1104" w:type="dxa"/>
            <w:tcBorders>
              <w:top w:val="nil"/>
              <w:left w:val="nil"/>
              <w:bottom w:val="nil"/>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-1.3461</w:t>
            </w:r>
          </w:p>
        </w:tc>
        <w:tc>
          <w:tcPr>
            <w:tcW w:w="1104" w:type="dxa"/>
            <w:tcBorders>
              <w:top w:val="nil"/>
              <w:left w:val="nil"/>
              <w:bottom w:val="nil"/>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0.2307</w:t>
            </w:r>
          </w:p>
        </w:tc>
        <w:tc>
          <w:tcPr>
            <w:tcW w:w="2208" w:type="dxa"/>
            <w:gridSpan w:val="2"/>
            <w:tcBorders>
              <w:top w:val="nil"/>
              <w:left w:val="nil"/>
              <w:bottom w:val="nil"/>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0.3389</w:t>
            </w:r>
          </w:p>
        </w:tc>
        <w:tc>
          <w:tcPr>
            <w:tcW w:w="2215" w:type="dxa"/>
            <w:vMerge/>
            <w:tcBorders>
              <w:top w:val="nil"/>
              <w:left w:val="nil"/>
              <w:bottom w:val="single" w:sz="4" w:space="0" w:color="000000"/>
              <w:right w:val="nil"/>
            </w:tcBorders>
            <w:vAlign w:val="center"/>
            <w:hideMark/>
          </w:tcPr>
          <w:p w:rsidR="00996D62" w:rsidRPr="000D249D" w:rsidRDefault="00996D62" w:rsidP="00B81843">
            <w:pPr>
              <w:spacing w:after="0" w:line="240" w:lineRule="auto"/>
              <w:rPr>
                <w:rFonts w:ascii="Arial" w:eastAsia="Times New Roman" w:hAnsi="Arial" w:cs="Arial"/>
                <w:color w:val="000000"/>
                <w:sz w:val="24"/>
                <w:szCs w:val="24"/>
                <w:lang w:val="es-PE" w:eastAsia="es-PE"/>
              </w:rPr>
            </w:pPr>
          </w:p>
        </w:tc>
      </w:tr>
      <w:tr w:rsidR="00996D62" w:rsidRPr="000D249D" w:rsidTr="00B81843">
        <w:trPr>
          <w:trHeight w:val="315"/>
        </w:trPr>
        <w:tc>
          <w:tcPr>
            <w:tcW w:w="1621" w:type="dxa"/>
            <w:vMerge/>
            <w:tcBorders>
              <w:top w:val="nil"/>
              <w:left w:val="nil"/>
              <w:bottom w:val="single" w:sz="4" w:space="0" w:color="000000"/>
              <w:right w:val="nil"/>
            </w:tcBorders>
            <w:vAlign w:val="center"/>
            <w:hideMark/>
          </w:tcPr>
          <w:p w:rsidR="00996D62" w:rsidRPr="000D249D" w:rsidRDefault="00996D62" w:rsidP="00B81843">
            <w:pPr>
              <w:spacing w:after="0" w:line="240" w:lineRule="auto"/>
              <w:rPr>
                <w:rFonts w:ascii="Arial" w:eastAsia="Times New Roman" w:hAnsi="Arial" w:cs="Arial"/>
                <w:b/>
                <w:bCs/>
                <w:color w:val="000000"/>
                <w:sz w:val="24"/>
                <w:szCs w:val="24"/>
                <w:lang w:val="es-PE" w:eastAsia="es-PE"/>
              </w:rPr>
            </w:pPr>
          </w:p>
        </w:tc>
        <w:tc>
          <w:tcPr>
            <w:tcW w:w="1104" w:type="dxa"/>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(0.1012)</w:t>
            </w:r>
          </w:p>
        </w:tc>
        <w:tc>
          <w:tcPr>
            <w:tcW w:w="1104" w:type="dxa"/>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(0.1178)</w:t>
            </w:r>
          </w:p>
        </w:tc>
        <w:tc>
          <w:tcPr>
            <w:tcW w:w="1104" w:type="dxa"/>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(0.1849)</w:t>
            </w:r>
          </w:p>
        </w:tc>
        <w:tc>
          <w:tcPr>
            <w:tcW w:w="2208" w:type="dxa"/>
            <w:gridSpan w:val="2"/>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(0.1102)</w:t>
            </w:r>
          </w:p>
        </w:tc>
        <w:tc>
          <w:tcPr>
            <w:tcW w:w="2215" w:type="dxa"/>
            <w:vMerge/>
            <w:tcBorders>
              <w:top w:val="nil"/>
              <w:left w:val="nil"/>
              <w:bottom w:val="single" w:sz="4" w:space="0" w:color="000000"/>
              <w:right w:val="nil"/>
            </w:tcBorders>
            <w:vAlign w:val="center"/>
            <w:hideMark/>
          </w:tcPr>
          <w:p w:rsidR="00996D62" w:rsidRPr="000D249D" w:rsidRDefault="00996D62" w:rsidP="00B81843">
            <w:pPr>
              <w:spacing w:after="0" w:line="240" w:lineRule="auto"/>
              <w:rPr>
                <w:rFonts w:ascii="Arial" w:eastAsia="Times New Roman" w:hAnsi="Arial" w:cs="Arial"/>
                <w:color w:val="000000"/>
                <w:sz w:val="24"/>
                <w:szCs w:val="24"/>
                <w:lang w:val="es-PE" w:eastAsia="es-PE"/>
              </w:rPr>
            </w:pPr>
          </w:p>
        </w:tc>
      </w:tr>
      <w:tr w:rsidR="00996D62" w:rsidRPr="000D249D" w:rsidTr="00B81843">
        <w:trPr>
          <w:trHeight w:val="315"/>
        </w:trPr>
        <w:tc>
          <w:tcPr>
            <w:tcW w:w="1621" w:type="dxa"/>
            <w:vMerge w:val="restart"/>
            <w:tcBorders>
              <w:top w:val="nil"/>
              <w:left w:val="nil"/>
              <w:bottom w:val="single" w:sz="4" w:space="0" w:color="000000"/>
              <w:right w:val="nil"/>
            </w:tcBorders>
            <w:shd w:val="clear" w:color="000000" w:fill="FFFFFF"/>
            <w:vAlign w:val="center"/>
            <w:hideMark/>
          </w:tcPr>
          <w:p w:rsidR="00996D62" w:rsidRPr="000D249D" w:rsidRDefault="00996D62" w:rsidP="00B81843">
            <w:pPr>
              <w:spacing w:after="0" w:line="240" w:lineRule="auto"/>
              <w:jc w:val="center"/>
              <w:rPr>
                <w:rFonts w:ascii="Arial" w:eastAsia="Times New Roman" w:hAnsi="Arial" w:cs="Arial"/>
                <w:b/>
                <w:bCs/>
                <w:color w:val="000000"/>
                <w:sz w:val="24"/>
                <w:szCs w:val="24"/>
                <w:lang w:val="es-PE" w:eastAsia="es-PE"/>
              </w:rPr>
            </w:pPr>
            <w:r w:rsidRPr="000D249D">
              <w:rPr>
                <w:rFonts w:ascii="Arial" w:eastAsia="Times New Roman" w:hAnsi="Arial" w:cs="Arial"/>
                <w:b/>
                <w:bCs/>
                <w:color w:val="000000"/>
                <w:sz w:val="24"/>
                <w:szCs w:val="24"/>
                <w:lang w:val="es-PE" w:eastAsia="es-PE"/>
              </w:rPr>
              <w:t>Ecuador</w:t>
            </w:r>
            <w:r w:rsidRPr="000D249D">
              <w:rPr>
                <w:rFonts w:ascii="Arial" w:eastAsia="Times New Roman" w:hAnsi="Arial" w:cs="Arial"/>
                <w:b/>
                <w:bCs/>
                <w:color w:val="000000"/>
                <w:sz w:val="24"/>
                <w:szCs w:val="24"/>
                <w:lang w:val="es-PE" w:eastAsia="es-PE"/>
              </w:rPr>
              <w:br/>
              <w:t>ARIMA(0,1,2)</w:t>
            </w:r>
          </w:p>
        </w:tc>
        <w:tc>
          <w:tcPr>
            <w:tcW w:w="2208" w:type="dxa"/>
            <w:gridSpan w:val="2"/>
            <w:tcBorders>
              <w:top w:val="single" w:sz="4" w:space="0" w:color="auto"/>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MA(1)</w:t>
            </w:r>
          </w:p>
        </w:tc>
        <w:tc>
          <w:tcPr>
            <w:tcW w:w="3312" w:type="dxa"/>
            <w:gridSpan w:val="3"/>
            <w:tcBorders>
              <w:top w:val="single" w:sz="4" w:space="0" w:color="auto"/>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MA(2)</w:t>
            </w:r>
          </w:p>
        </w:tc>
        <w:tc>
          <w:tcPr>
            <w:tcW w:w="2215" w:type="dxa"/>
            <w:vMerge w:val="restart"/>
            <w:tcBorders>
              <w:top w:val="nil"/>
              <w:left w:val="nil"/>
              <w:bottom w:val="single" w:sz="4" w:space="0" w:color="000000"/>
              <w:right w:val="nil"/>
            </w:tcBorders>
            <w:shd w:val="clear" w:color="000000" w:fill="FFFFFF"/>
            <w:vAlign w:val="center"/>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0.1726</w:t>
            </w:r>
            <w:r w:rsidRPr="000D249D">
              <w:rPr>
                <w:rFonts w:ascii="Arial" w:eastAsia="Times New Roman" w:hAnsi="Arial" w:cs="Arial"/>
                <w:color w:val="000000"/>
                <w:sz w:val="24"/>
                <w:szCs w:val="24"/>
                <w:lang w:val="es-PE" w:eastAsia="es-PE"/>
              </w:rPr>
              <w:br/>
              <w:t>(0.6778)</w:t>
            </w:r>
          </w:p>
        </w:tc>
      </w:tr>
      <w:tr w:rsidR="00996D62" w:rsidRPr="000D249D" w:rsidTr="00B81843">
        <w:trPr>
          <w:trHeight w:val="315"/>
        </w:trPr>
        <w:tc>
          <w:tcPr>
            <w:tcW w:w="1621" w:type="dxa"/>
            <w:vMerge/>
            <w:tcBorders>
              <w:top w:val="nil"/>
              <w:left w:val="nil"/>
              <w:bottom w:val="single" w:sz="4" w:space="0" w:color="000000"/>
              <w:right w:val="nil"/>
            </w:tcBorders>
            <w:vAlign w:val="center"/>
            <w:hideMark/>
          </w:tcPr>
          <w:p w:rsidR="00996D62" w:rsidRPr="000D249D" w:rsidRDefault="00996D62" w:rsidP="00B81843">
            <w:pPr>
              <w:spacing w:after="0" w:line="240" w:lineRule="auto"/>
              <w:rPr>
                <w:rFonts w:ascii="Arial" w:eastAsia="Times New Roman" w:hAnsi="Arial" w:cs="Arial"/>
                <w:b/>
                <w:bCs/>
                <w:color w:val="000000"/>
                <w:sz w:val="24"/>
                <w:szCs w:val="24"/>
                <w:lang w:val="es-PE" w:eastAsia="es-PE"/>
              </w:rPr>
            </w:pPr>
          </w:p>
        </w:tc>
        <w:tc>
          <w:tcPr>
            <w:tcW w:w="2208" w:type="dxa"/>
            <w:gridSpan w:val="2"/>
            <w:tcBorders>
              <w:top w:val="nil"/>
              <w:left w:val="nil"/>
              <w:bottom w:val="nil"/>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-0.0042</w:t>
            </w:r>
          </w:p>
        </w:tc>
        <w:tc>
          <w:tcPr>
            <w:tcW w:w="3312" w:type="dxa"/>
            <w:gridSpan w:val="3"/>
            <w:tcBorders>
              <w:top w:val="nil"/>
              <w:left w:val="nil"/>
              <w:bottom w:val="nil"/>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0.476</w:t>
            </w:r>
          </w:p>
        </w:tc>
        <w:tc>
          <w:tcPr>
            <w:tcW w:w="2215" w:type="dxa"/>
            <w:vMerge/>
            <w:tcBorders>
              <w:top w:val="nil"/>
              <w:left w:val="nil"/>
              <w:bottom w:val="single" w:sz="4" w:space="0" w:color="000000"/>
              <w:right w:val="nil"/>
            </w:tcBorders>
            <w:vAlign w:val="center"/>
            <w:hideMark/>
          </w:tcPr>
          <w:p w:rsidR="00996D62" w:rsidRPr="000D249D" w:rsidRDefault="00996D62" w:rsidP="00B81843">
            <w:pPr>
              <w:spacing w:after="0" w:line="240" w:lineRule="auto"/>
              <w:rPr>
                <w:rFonts w:ascii="Arial" w:eastAsia="Times New Roman" w:hAnsi="Arial" w:cs="Arial"/>
                <w:color w:val="000000"/>
                <w:sz w:val="24"/>
                <w:szCs w:val="24"/>
                <w:lang w:val="es-PE" w:eastAsia="es-PE"/>
              </w:rPr>
            </w:pPr>
          </w:p>
        </w:tc>
      </w:tr>
      <w:tr w:rsidR="00996D62" w:rsidRPr="000D249D" w:rsidTr="00B81843">
        <w:trPr>
          <w:trHeight w:val="315"/>
        </w:trPr>
        <w:tc>
          <w:tcPr>
            <w:tcW w:w="1621" w:type="dxa"/>
            <w:vMerge/>
            <w:tcBorders>
              <w:top w:val="nil"/>
              <w:left w:val="nil"/>
              <w:bottom w:val="single" w:sz="4" w:space="0" w:color="000000"/>
              <w:right w:val="nil"/>
            </w:tcBorders>
            <w:vAlign w:val="center"/>
            <w:hideMark/>
          </w:tcPr>
          <w:p w:rsidR="00996D62" w:rsidRPr="000D249D" w:rsidRDefault="00996D62" w:rsidP="00B81843">
            <w:pPr>
              <w:spacing w:after="0" w:line="240" w:lineRule="auto"/>
              <w:rPr>
                <w:rFonts w:ascii="Arial" w:eastAsia="Times New Roman" w:hAnsi="Arial" w:cs="Arial"/>
                <w:b/>
                <w:bCs/>
                <w:color w:val="000000"/>
                <w:sz w:val="24"/>
                <w:szCs w:val="24"/>
                <w:lang w:val="es-PE" w:eastAsia="es-PE"/>
              </w:rPr>
            </w:pPr>
          </w:p>
        </w:tc>
        <w:tc>
          <w:tcPr>
            <w:tcW w:w="2208" w:type="dxa"/>
            <w:gridSpan w:val="2"/>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(0.0889)</w:t>
            </w:r>
          </w:p>
        </w:tc>
        <w:tc>
          <w:tcPr>
            <w:tcW w:w="3312" w:type="dxa"/>
            <w:gridSpan w:val="3"/>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(0.0792)</w:t>
            </w:r>
          </w:p>
        </w:tc>
        <w:tc>
          <w:tcPr>
            <w:tcW w:w="2215" w:type="dxa"/>
            <w:vMerge/>
            <w:tcBorders>
              <w:top w:val="nil"/>
              <w:left w:val="nil"/>
              <w:bottom w:val="single" w:sz="4" w:space="0" w:color="000000"/>
              <w:right w:val="nil"/>
            </w:tcBorders>
            <w:vAlign w:val="center"/>
            <w:hideMark/>
          </w:tcPr>
          <w:p w:rsidR="00996D62" w:rsidRPr="000D249D" w:rsidRDefault="00996D62" w:rsidP="00B81843">
            <w:pPr>
              <w:spacing w:after="0" w:line="240" w:lineRule="auto"/>
              <w:rPr>
                <w:rFonts w:ascii="Arial" w:eastAsia="Times New Roman" w:hAnsi="Arial" w:cs="Arial"/>
                <w:color w:val="000000"/>
                <w:sz w:val="24"/>
                <w:szCs w:val="24"/>
                <w:lang w:val="es-PE" w:eastAsia="es-PE"/>
              </w:rPr>
            </w:pPr>
          </w:p>
        </w:tc>
      </w:tr>
      <w:tr w:rsidR="00996D62" w:rsidRPr="000D249D" w:rsidTr="00B81843">
        <w:trPr>
          <w:trHeight w:val="315"/>
        </w:trPr>
        <w:tc>
          <w:tcPr>
            <w:tcW w:w="1621" w:type="dxa"/>
            <w:vMerge w:val="restart"/>
            <w:tcBorders>
              <w:top w:val="nil"/>
              <w:left w:val="nil"/>
              <w:bottom w:val="single" w:sz="4" w:space="0" w:color="000000"/>
              <w:right w:val="nil"/>
            </w:tcBorders>
            <w:shd w:val="clear" w:color="000000" w:fill="FFFFFF"/>
            <w:vAlign w:val="center"/>
            <w:hideMark/>
          </w:tcPr>
          <w:p w:rsidR="00996D62" w:rsidRPr="000D249D" w:rsidRDefault="00996D62" w:rsidP="00B81843">
            <w:pPr>
              <w:spacing w:after="0" w:line="240" w:lineRule="auto"/>
              <w:jc w:val="center"/>
              <w:rPr>
                <w:rFonts w:ascii="Arial" w:eastAsia="Times New Roman" w:hAnsi="Arial" w:cs="Arial"/>
                <w:b/>
                <w:bCs/>
                <w:color w:val="000000"/>
                <w:sz w:val="24"/>
                <w:szCs w:val="24"/>
                <w:lang w:val="es-PE" w:eastAsia="es-PE"/>
              </w:rPr>
            </w:pPr>
            <w:r w:rsidRPr="000D249D">
              <w:rPr>
                <w:rFonts w:ascii="Arial" w:eastAsia="Times New Roman" w:hAnsi="Arial" w:cs="Arial"/>
                <w:b/>
                <w:bCs/>
                <w:color w:val="000000"/>
                <w:sz w:val="24"/>
                <w:szCs w:val="24"/>
                <w:lang w:val="es-PE" w:eastAsia="es-PE"/>
              </w:rPr>
              <w:t>Perú</w:t>
            </w:r>
            <w:r w:rsidRPr="000D249D">
              <w:rPr>
                <w:rFonts w:ascii="Arial" w:eastAsia="Times New Roman" w:hAnsi="Arial" w:cs="Arial"/>
                <w:b/>
                <w:bCs/>
                <w:color w:val="000000"/>
                <w:sz w:val="24"/>
                <w:szCs w:val="24"/>
                <w:lang w:val="es-PE" w:eastAsia="es-PE"/>
              </w:rPr>
              <w:br/>
              <w:t>ARIMA(0,2,1)</w:t>
            </w:r>
          </w:p>
        </w:tc>
        <w:tc>
          <w:tcPr>
            <w:tcW w:w="5520" w:type="dxa"/>
            <w:gridSpan w:val="5"/>
            <w:tcBorders>
              <w:top w:val="single" w:sz="4" w:space="0" w:color="auto"/>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MA(1)</w:t>
            </w:r>
          </w:p>
        </w:tc>
        <w:tc>
          <w:tcPr>
            <w:tcW w:w="2215" w:type="dxa"/>
            <w:vMerge w:val="restart"/>
            <w:tcBorders>
              <w:top w:val="nil"/>
              <w:left w:val="nil"/>
              <w:bottom w:val="single" w:sz="4" w:space="0" w:color="000000"/>
              <w:right w:val="nil"/>
            </w:tcBorders>
            <w:shd w:val="clear" w:color="000000" w:fill="FFFFFF"/>
            <w:vAlign w:val="center"/>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0.7125</w:t>
            </w:r>
            <w:r w:rsidRPr="000D249D">
              <w:rPr>
                <w:rFonts w:ascii="Arial" w:eastAsia="Times New Roman" w:hAnsi="Arial" w:cs="Arial"/>
                <w:color w:val="000000"/>
                <w:sz w:val="24"/>
                <w:szCs w:val="24"/>
                <w:lang w:val="es-PE" w:eastAsia="es-PE"/>
              </w:rPr>
              <w:br/>
              <w:t>(0.3986)</w:t>
            </w:r>
          </w:p>
        </w:tc>
      </w:tr>
      <w:tr w:rsidR="00996D62" w:rsidRPr="000D249D" w:rsidTr="00B81843">
        <w:trPr>
          <w:trHeight w:val="315"/>
        </w:trPr>
        <w:tc>
          <w:tcPr>
            <w:tcW w:w="1621" w:type="dxa"/>
            <w:vMerge/>
            <w:tcBorders>
              <w:top w:val="nil"/>
              <w:left w:val="nil"/>
              <w:bottom w:val="single" w:sz="4" w:space="0" w:color="000000"/>
              <w:right w:val="nil"/>
            </w:tcBorders>
            <w:vAlign w:val="center"/>
            <w:hideMark/>
          </w:tcPr>
          <w:p w:rsidR="00996D62" w:rsidRPr="000D249D" w:rsidRDefault="00996D62" w:rsidP="00B81843">
            <w:pPr>
              <w:spacing w:after="0" w:line="240" w:lineRule="auto"/>
              <w:rPr>
                <w:rFonts w:ascii="Arial" w:eastAsia="Times New Roman" w:hAnsi="Arial" w:cs="Arial"/>
                <w:b/>
                <w:bCs/>
                <w:color w:val="000000"/>
                <w:sz w:val="24"/>
                <w:szCs w:val="24"/>
                <w:lang w:val="es-PE" w:eastAsia="es-PE"/>
              </w:rPr>
            </w:pPr>
          </w:p>
        </w:tc>
        <w:tc>
          <w:tcPr>
            <w:tcW w:w="5520" w:type="dxa"/>
            <w:gridSpan w:val="5"/>
            <w:tcBorders>
              <w:top w:val="nil"/>
              <w:left w:val="nil"/>
              <w:bottom w:val="nil"/>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-0.7547</w:t>
            </w:r>
          </w:p>
        </w:tc>
        <w:tc>
          <w:tcPr>
            <w:tcW w:w="2215" w:type="dxa"/>
            <w:vMerge/>
            <w:tcBorders>
              <w:top w:val="nil"/>
              <w:left w:val="nil"/>
              <w:bottom w:val="single" w:sz="4" w:space="0" w:color="000000"/>
              <w:right w:val="nil"/>
            </w:tcBorders>
            <w:vAlign w:val="center"/>
            <w:hideMark/>
          </w:tcPr>
          <w:p w:rsidR="00996D62" w:rsidRPr="000D249D" w:rsidRDefault="00996D62" w:rsidP="00B81843">
            <w:pPr>
              <w:spacing w:after="0" w:line="240" w:lineRule="auto"/>
              <w:rPr>
                <w:rFonts w:ascii="Arial" w:eastAsia="Times New Roman" w:hAnsi="Arial" w:cs="Arial"/>
                <w:color w:val="000000"/>
                <w:sz w:val="24"/>
                <w:szCs w:val="24"/>
                <w:lang w:val="es-PE" w:eastAsia="es-PE"/>
              </w:rPr>
            </w:pPr>
          </w:p>
        </w:tc>
      </w:tr>
      <w:tr w:rsidR="00996D62" w:rsidRPr="000D249D" w:rsidTr="00B81843">
        <w:trPr>
          <w:trHeight w:val="315"/>
        </w:trPr>
        <w:tc>
          <w:tcPr>
            <w:tcW w:w="1621" w:type="dxa"/>
            <w:vMerge/>
            <w:tcBorders>
              <w:top w:val="nil"/>
              <w:left w:val="nil"/>
              <w:bottom w:val="single" w:sz="4" w:space="0" w:color="000000"/>
              <w:right w:val="nil"/>
            </w:tcBorders>
            <w:vAlign w:val="center"/>
            <w:hideMark/>
          </w:tcPr>
          <w:p w:rsidR="00996D62" w:rsidRPr="000D249D" w:rsidRDefault="00996D62" w:rsidP="00B81843">
            <w:pPr>
              <w:spacing w:after="0" w:line="240" w:lineRule="auto"/>
              <w:rPr>
                <w:rFonts w:ascii="Arial" w:eastAsia="Times New Roman" w:hAnsi="Arial" w:cs="Arial"/>
                <w:b/>
                <w:bCs/>
                <w:color w:val="000000"/>
                <w:sz w:val="24"/>
                <w:szCs w:val="24"/>
                <w:lang w:val="es-PE" w:eastAsia="es-PE"/>
              </w:rPr>
            </w:pPr>
          </w:p>
        </w:tc>
        <w:tc>
          <w:tcPr>
            <w:tcW w:w="5520" w:type="dxa"/>
            <w:gridSpan w:val="5"/>
            <w:tcBorders>
              <w:top w:val="nil"/>
              <w:left w:val="nil"/>
              <w:bottom w:val="single" w:sz="4" w:space="0" w:color="auto"/>
              <w:right w:val="nil"/>
            </w:tcBorders>
            <w:shd w:val="clear" w:color="000000" w:fill="FFFFFF"/>
            <w:noWrap/>
            <w:vAlign w:val="bottom"/>
            <w:hideMark/>
          </w:tcPr>
          <w:p w:rsidR="00996D62" w:rsidRPr="000D249D" w:rsidRDefault="00996D62" w:rsidP="00B81843">
            <w:pPr>
              <w:spacing w:after="0" w:line="240" w:lineRule="auto"/>
              <w:jc w:val="center"/>
              <w:rPr>
                <w:rFonts w:ascii="Arial" w:eastAsia="Times New Roman" w:hAnsi="Arial" w:cs="Arial"/>
                <w:color w:val="000000"/>
                <w:sz w:val="24"/>
                <w:szCs w:val="24"/>
                <w:lang w:val="es-PE" w:eastAsia="es-PE"/>
              </w:rPr>
            </w:pPr>
            <w:r w:rsidRPr="000D249D">
              <w:rPr>
                <w:rFonts w:ascii="Arial" w:eastAsia="Times New Roman" w:hAnsi="Arial" w:cs="Arial"/>
                <w:color w:val="000000"/>
                <w:sz w:val="24"/>
                <w:szCs w:val="24"/>
                <w:lang w:val="es-PE" w:eastAsia="es-PE"/>
              </w:rPr>
              <w:t>(0.0580)</w:t>
            </w:r>
          </w:p>
        </w:tc>
        <w:tc>
          <w:tcPr>
            <w:tcW w:w="2215" w:type="dxa"/>
            <w:vMerge/>
            <w:tcBorders>
              <w:top w:val="nil"/>
              <w:left w:val="nil"/>
              <w:bottom w:val="single" w:sz="4" w:space="0" w:color="000000"/>
              <w:right w:val="nil"/>
            </w:tcBorders>
            <w:vAlign w:val="center"/>
            <w:hideMark/>
          </w:tcPr>
          <w:p w:rsidR="00996D62" w:rsidRPr="000D249D" w:rsidRDefault="00996D62" w:rsidP="00B81843">
            <w:pPr>
              <w:spacing w:after="0" w:line="240" w:lineRule="auto"/>
              <w:rPr>
                <w:rFonts w:ascii="Arial" w:eastAsia="Times New Roman" w:hAnsi="Arial" w:cs="Arial"/>
                <w:color w:val="000000"/>
                <w:sz w:val="24"/>
                <w:szCs w:val="24"/>
                <w:lang w:val="es-PE" w:eastAsia="es-PE"/>
              </w:rPr>
            </w:pPr>
          </w:p>
        </w:tc>
      </w:tr>
    </w:tbl>
    <w:p w:rsidR="00996D62" w:rsidRDefault="00996D62" w:rsidP="00996D62">
      <w:pPr>
        <w:spacing w:after="0" w:line="240" w:lineRule="auto"/>
        <w:jc w:val="both"/>
        <w:rPr>
          <w:rFonts w:ascii="Arial" w:hAnsi="Arial" w:cs="Arial"/>
          <w:i/>
          <w:iCs/>
          <w:color w:val="000000"/>
          <w:sz w:val="20"/>
          <w:szCs w:val="20"/>
          <w:shd w:val="clear" w:color="auto" w:fill="FFFFFF"/>
        </w:rPr>
      </w:pPr>
    </w:p>
    <w:p w:rsidR="00996D62" w:rsidRPr="00200AED" w:rsidRDefault="00996D62" w:rsidP="00996D62">
      <w:pPr>
        <w:spacing w:line="240" w:lineRule="auto"/>
        <w:jc w:val="both"/>
        <w:rPr>
          <w:rFonts w:ascii="Arial" w:hAnsi="Arial" w:cs="Arial"/>
          <w:b/>
          <w:bCs/>
          <w:sz w:val="24"/>
          <w:szCs w:val="24"/>
          <w:shd w:val="clear" w:color="auto" w:fill="FFFFFF"/>
        </w:rPr>
      </w:pPr>
      <w:r w:rsidRPr="00200AED">
        <w:rPr>
          <w:rFonts w:ascii="Arial" w:hAnsi="Arial" w:cs="Arial"/>
          <w:b/>
          <w:bCs/>
          <w:sz w:val="24"/>
          <w:szCs w:val="24"/>
          <w:shd w:val="clear" w:color="auto" w:fill="FFFFFF"/>
        </w:rPr>
        <w:t>4.1 Pronósticos a corto plazo</w:t>
      </w:r>
    </w:p>
    <w:p w:rsidR="00996D62" w:rsidRPr="004C7453" w:rsidRDefault="00996D62" w:rsidP="00996D62">
      <w:pPr>
        <w:spacing w:line="240" w:lineRule="auto"/>
        <w:jc w:val="both"/>
        <w:rPr>
          <w:rFonts w:ascii="Arial" w:hAnsi="Arial" w:cs="Arial"/>
          <w:sz w:val="24"/>
          <w:szCs w:val="24"/>
          <w:shd w:val="clear" w:color="auto" w:fill="FFFFFF"/>
        </w:rPr>
      </w:pPr>
      <w:r w:rsidRPr="004C7453">
        <w:rPr>
          <w:rFonts w:ascii="Arial" w:hAnsi="Arial" w:cs="Arial"/>
          <w:sz w:val="24"/>
          <w:szCs w:val="24"/>
          <w:shd w:val="clear" w:color="auto" w:fill="FFFFFF"/>
        </w:rPr>
        <w:t>Se realizaron los ajustes de modelos ARIMA para el número de contagio por millón de habitantes, desde el primer registro de contagio hasta el 15 de junio y los pronósticos hasta 3 semanas hacia adelante, es decir hasta el 6 de julio para los países de Brasil, Chile, Ecuador y Perú. En la Tabla 2 se muestran las estimaciones de los parámetros de los modelamientos ARIMA para cada país, así también el estadístico de Ljung y Box; se observaron que en cada uno de los modelos según el estadístico de Ljung y Box los residuales de cada modelo no presentan autocorrelaciones, es decir los residuales presentan un comportamiento de ruido blanco, con valores significativos altos, de esta manera no rechazando las hipótesis nula de independencia de los residuales y evidenciando la adecuación óptima de los modelos.</w:t>
      </w:r>
    </w:p>
    <w:p w:rsidR="00996D62" w:rsidRDefault="00996D62" w:rsidP="00996D62">
      <w:pPr>
        <w:spacing w:line="240" w:lineRule="auto"/>
        <w:jc w:val="both"/>
        <w:rPr>
          <w:rFonts w:ascii="Arial" w:hAnsi="Arial" w:cs="Arial"/>
          <w:sz w:val="24"/>
          <w:szCs w:val="24"/>
          <w:shd w:val="clear" w:color="auto" w:fill="FFFFFF"/>
        </w:rPr>
      </w:pPr>
      <w:r w:rsidRPr="00A16180">
        <w:rPr>
          <w:rFonts w:ascii="Arial" w:hAnsi="Arial" w:cs="Arial"/>
          <w:sz w:val="24"/>
          <w:szCs w:val="24"/>
          <w:shd w:val="clear" w:color="auto" w:fill="FFFFFF"/>
        </w:rPr>
        <w:t xml:space="preserve">De la gráfica de los pronósticos del número de casos confirmados por millón de habitantes se observa que hasta el 6 de Julio; Chile seguirá su tendencia creciente del número de contagio, al igual que Brasil y Perú que no parecen cambiar su tendencia, sin embargo, Ecuador espera disminuir el número de contagios y posiblemente mantener una tendencia constante en las últimas dos semanas a 6 de julio. </w:t>
      </w:r>
    </w:p>
    <w:p w:rsidR="00996D62" w:rsidRPr="0089650F" w:rsidRDefault="00996D62" w:rsidP="00996D62">
      <w:pPr>
        <w:spacing w:line="240" w:lineRule="auto"/>
        <w:jc w:val="center"/>
        <w:rPr>
          <w:rFonts w:ascii="Arial" w:hAnsi="Arial" w:cs="Arial"/>
          <w:color w:val="538135"/>
          <w:sz w:val="24"/>
          <w:szCs w:val="24"/>
          <w:shd w:val="clear" w:color="auto" w:fill="FFFFFF"/>
        </w:rPr>
      </w:pPr>
      <w:r>
        <w:rPr>
          <w:noProof/>
          <w:lang w:val="en-US"/>
        </w:rPr>
        <w:lastRenderedPageBreak/>
        <w:drawing>
          <wp:inline distT="0" distB="0" distL="0" distR="0" wp14:anchorId="54D2A097" wp14:editId="2F67ADE1">
            <wp:extent cx="4585648" cy="3101798"/>
            <wp:effectExtent l="0" t="0" r="5715" b="381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586815" cy="3102587"/>
                    </a:xfrm>
                    <a:prstGeom prst="rect">
                      <a:avLst/>
                    </a:prstGeom>
                    <a:noFill/>
                    <a:ln>
                      <a:noFill/>
                    </a:ln>
                  </pic:spPr>
                </pic:pic>
              </a:graphicData>
            </a:graphic>
          </wp:inline>
        </w:drawing>
      </w:r>
    </w:p>
    <w:p w:rsidR="00996D62" w:rsidRPr="005D32C1" w:rsidRDefault="00996D62" w:rsidP="00996D62">
      <w:pPr>
        <w:spacing w:line="240" w:lineRule="auto"/>
        <w:jc w:val="both"/>
        <w:rPr>
          <w:rFonts w:ascii="Arial" w:hAnsi="Arial" w:cs="Arial"/>
          <w:i/>
          <w:iCs/>
          <w:color w:val="000000"/>
          <w:sz w:val="20"/>
          <w:szCs w:val="20"/>
          <w:shd w:val="clear" w:color="auto" w:fill="FFFFFF"/>
        </w:rPr>
      </w:pPr>
      <w:r w:rsidRPr="005D32C1">
        <w:rPr>
          <w:rFonts w:ascii="Arial" w:hAnsi="Arial" w:cs="Arial"/>
          <w:b/>
          <w:bCs/>
          <w:i/>
          <w:iCs/>
          <w:noProof/>
          <w:sz w:val="20"/>
          <w:szCs w:val="20"/>
        </w:rPr>
        <w:t xml:space="preserve">Figura 4: </w:t>
      </w:r>
      <w:r w:rsidRPr="005D32C1">
        <w:rPr>
          <w:rFonts w:ascii="Arial" w:hAnsi="Arial" w:cs="Arial"/>
          <w:i/>
          <w:iCs/>
          <w:noProof/>
          <w:sz w:val="20"/>
          <w:szCs w:val="20"/>
        </w:rPr>
        <w:t>Pronóstico del número de casos confirmados por millón de habitantes desde el 16 de junio hasta el 6 de julio, puntual y por intervalo a un nivel del 95% de confianza</w:t>
      </w:r>
      <w:r>
        <w:rPr>
          <w:rFonts w:ascii="Arial" w:hAnsi="Arial" w:cs="Arial"/>
          <w:i/>
          <w:iCs/>
          <w:noProof/>
          <w:sz w:val="20"/>
          <w:szCs w:val="20"/>
        </w:rPr>
        <w:t>, formada por las lineas punteadas.</w:t>
      </w:r>
    </w:p>
    <w:p w:rsidR="00996D62" w:rsidRPr="008C764B" w:rsidRDefault="00996D62" w:rsidP="00996D62">
      <w:pPr>
        <w:spacing w:line="240" w:lineRule="auto"/>
        <w:jc w:val="both"/>
        <w:rPr>
          <w:rFonts w:ascii="Arial" w:hAnsi="Arial" w:cs="Arial"/>
          <w:sz w:val="24"/>
          <w:szCs w:val="24"/>
          <w:shd w:val="clear" w:color="auto" w:fill="FFFFFF"/>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5"/>
        <w:gridCol w:w="4769"/>
      </w:tblGrid>
      <w:tr w:rsidR="00996D62" w:rsidTr="00B81843">
        <w:tc>
          <w:tcPr>
            <w:tcW w:w="4697" w:type="dxa"/>
          </w:tcPr>
          <w:p w:rsidR="00996D62" w:rsidRDefault="00996D62" w:rsidP="00B81843">
            <w:pPr>
              <w:spacing w:line="360" w:lineRule="auto"/>
              <w:jc w:val="both"/>
              <w:rPr>
                <w:rFonts w:ascii="Arial" w:hAnsi="Arial" w:cs="Arial"/>
                <w:color w:val="538135"/>
                <w:sz w:val="24"/>
                <w:szCs w:val="24"/>
                <w:shd w:val="clear" w:color="auto" w:fill="FFFFFF"/>
              </w:rPr>
            </w:pPr>
            <w:r>
              <w:rPr>
                <w:noProof/>
                <w:lang w:val="en-US"/>
              </w:rPr>
              <w:drawing>
                <wp:inline distT="0" distB="0" distL="0" distR="0" wp14:anchorId="37864F3B" wp14:editId="369A50A4">
                  <wp:extent cx="2866030" cy="2141598"/>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70661" cy="2145059"/>
                          </a:xfrm>
                          <a:prstGeom prst="rect">
                            <a:avLst/>
                          </a:prstGeom>
                          <a:noFill/>
                          <a:ln>
                            <a:noFill/>
                          </a:ln>
                        </pic:spPr>
                      </pic:pic>
                    </a:graphicData>
                  </a:graphic>
                </wp:inline>
              </w:drawing>
            </w:r>
          </w:p>
        </w:tc>
        <w:tc>
          <w:tcPr>
            <w:tcW w:w="4697" w:type="dxa"/>
          </w:tcPr>
          <w:p w:rsidR="00996D62" w:rsidRDefault="00996D62" w:rsidP="00B81843">
            <w:pPr>
              <w:spacing w:line="360" w:lineRule="auto"/>
              <w:jc w:val="both"/>
              <w:rPr>
                <w:rFonts w:ascii="Arial" w:hAnsi="Arial" w:cs="Arial"/>
                <w:color w:val="538135"/>
                <w:sz w:val="24"/>
                <w:szCs w:val="24"/>
                <w:shd w:val="clear" w:color="auto" w:fill="FFFFFF"/>
              </w:rPr>
            </w:pPr>
            <w:r>
              <w:rPr>
                <w:noProof/>
                <w:lang w:val="en-US"/>
              </w:rPr>
              <w:drawing>
                <wp:inline distT="0" distB="0" distL="0" distR="0" wp14:anchorId="591484FC" wp14:editId="033E967C">
                  <wp:extent cx="2944254" cy="2169994"/>
                  <wp:effectExtent l="0" t="0" r="8890" b="190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951259" cy="2175157"/>
                          </a:xfrm>
                          <a:prstGeom prst="rect">
                            <a:avLst/>
                          </a:prstGeom>
                          <a:noFill/>
                          <a:ln>
                            <a:noFill/>
                          </a:ln>
                        </pic:spPr>
                      </pic:pic>
                    </a:graphicData>
                  </a:graphic>
                </wp:inline>
              </w:drawing>
            </w:r>
          </w:p>
        </w:tc>
      </w:tr>
    </w:tbl>
    <w:p w:rsidR="00996D62" w:rsidRPr="007B0082" w:rsidRDefault="00996D62" w:rsidP="00996D62">
      <w:pPr>
        <w:spacing w:line="240" w:lineRule="auto"/>
        <w:jc w:val="both"/>
        <w:rPr>
          <w:rFonts w:ascii="Arial" w:hAnsi="Arial" w:cs="Arial"/>
          <w:b/>
          <w:i/>
          <w:iCs/>
          <w:color w:val="000000"/>
          <w:sz w:val="20"/>
          <w:szCs w:val="20"/>
          <w:shd w:val="clear" w:color="auto" w:fill="FFFFFF"/>
        </w:rPr>
      </w:pPr>
      <w:r w:rsidRPr="00200AED">
        <w:rPr>
          <w:rFonts w:ascii="Arial" w:hAnsi="Arial" w:cs="Arial"/>
          <w:b/>
          <w:bCs/>
          <w:i/>
          <w:iCs/>
          <w:noProof/>
          <w:sz w:val="20"/>
          <w:szCs w:val="20"/>
        </w:rPr>
        <w:t>Figura 5:</w:t>
      </w:r>
      <w:r w:rsidRPr="005D32C1">
        <w:rPr>
          <w:rFonts w:ascii="Arial" w:hAnsi="Arial" w:cs="Arial"/>
          <w:i/>
          <w:iCs/>
          <w:noProof/>
          <w:sz w:val="20"/>
          <w:szCs w:val="20"/>
        </w:rPr>
        <w:t xml:space="preserve"> (A) Número de casos confirmados vs días de contagio por millón de habitantes. (B) Número de personas fallecidas por millón de habitantes vs días de contagio, de los países con mayor incidencia de COVID-19, desde la confirmación del primer caso por la COVID-19.</w:t>
      </w:r>
    </w:p>
    <w:p w:rsidR="00996D62" w:rsidRPr="00A16180" w:rsidRDefault="00996D62" w:rsidP="00996D62">
      <w:pPr>
        <w:spacing w:line="240" w:lineRule="auto"/>
        <w:jc w:val="both"/>
        <w:rPr>
          <w:rFonts w:ascii="Arial" w:hAnsi="Arial" w:cs="Arial"/>
          <w:bCs/>
          <w:sz w:val="24"/>
          <w:szCs w:val="24"/>
          <w:shd w:val="clear" w:color="auto" w:fill="FFFFFF"/>
        </w:rPr>
      </w:pPr>
      <w:r w:rsidRPr="00A16180">
        <w:rPr>
          <w:rFonts w:ascii="Arial" w:hAnsi="Arial" w:cs="Arial"/>
          <w:bCs/>
          <w:sz w:val="24"/>
          <w:szCs w:val="24"/>
          <w:shd w:val="clear" w:color="auto" w:fill="FFFFFF"/>
        </w:rPr>
        <w:t xml:space="preserve">Comparando las incidencias respecto a algunos países de América, en la figura 5 se observa que Chile, Perú presentan mayores números de </w:t>
      </w:r>
      <w:r>
        <w:rPr>
          <w:rFonts w:ascii="Arial" w:hAnsi="Arial" w:cs="Arial"/>
          <w:bCs/>
          <w:sz w:val="24"/>
          <w:szCs w:val="24"/>
          <w:shd w:val="clear" w:color="auto" w:fill="FFFFFF"/>
        </w:rPr>
        <w:t>casos conformados</w:t>
      </w:r>
      <w:r w:rsidRPr="00A16180">
        <w:rPr>
          <w:rFonts w:ascii="Arial" w:hAnsi="Arial" w:cs="Arial"/>
          <w:bCs/>
          <w:sz w:val="24"/>
          <w:szCs w:val="24"/>
          <w:shd w:val="clear" w:color="auto" w:fill="FFFFFF"/>
        </w:rPr>
        <w:t xml:space="preserve"> por millón de habitantes, superando incluso a Estados Unidos y por mucho a Canadá y México; Panamá parece seguir la misma tendencia de Chile y Perú. Sin embargo, comparando el número de muertes por millón de habitantes Estados Unidos supera los 350, y los países sudamericanos tienden a seguir el mismo comportamiento.    </w:t>
      </w:r>
    </w:p>
    <w:p w:rsidR="00996D62" w:rsidRPr="0089650F" w:rsidRDefault="00996D62" w:rsidP="00996D62">
      <w:pPr>
        <w:pStyle w:val="1Titulo"/>
        <w:numPr>
          <w:ilvl w:val="0"/>
          <w:numId w:val="0"/>
        </w:numPr>
        <w:ind w:left="357"/>
      </w:pPr>
      <w:bookmarkStart w:id="112" w:name="_Toc50031225"/>
      <w:r w:rsidRPr="0089650F">
        <w:lastRenderedPageBreak/>
        <w:t>5. Conclusiones</w:t>
      </w:r>
      <w:bookmarkEnd w:id="112"/>
    </w:p>
    <w:p w:rsidR="00996D62" w:rsidRPr="00A16180" w:rsidRDefault="00996D62" w:rsidP="00996D62">
      <w:pPr>
        <w:jc w:val="both"/>
        <w:rPr>
          <w:rFonts w:ascii="Arial" w:eastAsia="Times New Roman" w:hAnsi="Arial" w:cs="Arial"/>
          <w:lang w:val="es-PE" w:eastAsia="pt-BR"/>
        </w:rPr>
      </w:pPr>
      <w:r w:rsidRPr="0089650F">
        <w:rPr>
          <w:rFonts w:ascii="Arial" w:eastAsia="Times New Roman" w:hAnsi="Arial" w:cs="Arial"/>
          <w:color w:val="000000"/>
          <w:sz w:val="24"/>
          <w:szCs w:val="24"/>
          <w:lang w:val="es-PE" w:eastAsia="pt-BR"/>
        </w:rPr>
        <w:t xml:space="preserve">Observando los resultados del procesamiento de los datos hasta el 07 de junio de 2020. El caso especial de Perú, Ecuador y Chile es muy alarmante, Ecuador es el país que tiene mayor número de muertes por millón de habitantes. Perú es el país con más casos confirmados por millón de habitantes seguido por Chile, y la cantidad de muertes por millón de habitantes esta solo por debajo de Ecuador. Desde </w:t>
      </w:r>
      <w:r w:rsidRPr="0089650F">
        <w:rPr>
          <w:rFonts w:ascii="Arial" w:eastAsia="Times New Roman" w:hAnsi="Arial" w:cs="Arial"/>
          <w:sz w:val="24"/>
          <w:szCs w:val="24"/>
          <w:lang w:val="es-PE" w:eastAsia="pt-BR"/>
        </w:rPr>
        <w:t>el enfoque comparativo de este estudio nos muestra que las medidas adoptadas en estos países para frenar la propagación de la COVID-19 no han sido efectivas reflejado en el número de contagios por millón de habitantes y que el sistema de salud ha colapsado con el resultado de la elevada mortalidad por esta enfermedad.</w:t>
      </w:r>
    </w:p>
    <w:p w:rsidR="00996D62" w:rsidRPr="00A16180" w:rsidRDefault="00996D62" w:rsidP="00996D62">
      <w:pPr>
        <w:jc w:val="both"/>
        <w:rPr>
          <w:rFonts w:ascii="Arial" w:eastAsia="Times New Roman" w:hAnsi="Arial" w:cs="Arial"/>
          <w:lang w:val="es-PE" w:eastAsia="pt-BR"/>
        </w:rPr>
      </w:pPr>
      <w:r w:rsidRPr="0089650F">
        <w:rPr>
          <w:rFonts w:ascii="Arial" w:eastAsia="Times New Roman" w:hAnsi="Arial" w:cs="Arial"/>
          <w:sz w:val="24"/>
          <w:szCs w:val="24"/>
          <w:lang w:val="es-PE" w:eastAsia="pt-BR"/>
        </w:rPr>
        <w:t xml:space="preserve">El hecho que un país tenga mayor número de contagiados y muertos que otros no significa que en proporción al número de habitantes también lo sea, como se observó para el caso de muertes por </w:t>
      </w:r>
      <w:r w:rsidRPr="0089650F">
        <w:rPr>
          <w:rFonts w:ascii="Arial" w:hAnsi="Arial" w:cs="Arial"/>
          <w:sz w:val="24"/>
          <w:szCs w:val="24"/>
          <w:lang w:val="es-PE"/>
        </w:rPr>
        <w:t>JHUM</w:t>
      </w:r>
      <w:r>
        <w:rPr>
          <w:rFonts w:ascii="Arial" w:eastAsia="Times New Roman" w:hAnsi="Arial" w:cs="Arial"/>
          <w:sz w:val="24"/>
          <w:szCs w:val="24"/>
          <w:vertAlign w:val="superscript"/>
          <w:lang w:val="es-PE" w:eastAsia="pt-BR"/>
        </w:rPr>
        <w:t>[</w:t>
      </w:r>
      <w:r w:rsidRPr="0089650F">
        <w:rPr>
          <w:rFonts w:ascii="Arial" w:eastAsia="Times New Roman" w:hAnsi="Arial" w:cs="Arial"/>
          <w:sz w:val="24"/>
          <w:szCs w:val="24"/>
          <w:vertAlign w:val="superscript"/>
          <w:lang w:val="es-PE" w:eastAsia="pt-BR"/>
        </w:rPr>
        <w:t>7</w:t>
      </w:r>
      <w:r>
        <w:rPr>
          <w:rFonts w:ascii="Arial" w:eastAsia="Times New Roman" w:hAnsi="Arial" w:cs="Arial"/>
          <w:sz w:val="24"/>
          <w:szCs w:val="24"/>
          <w:vertAlign w:val="superscript"/>
          <w:lang w:val="es-PE" w:eastAsia="pt-BR"/>
        </w:rPr>
        <w:t>]</w:t>
      </w:r>
      <w:r w:rsidRPr="0089650F">
        <w:rPr>
          <w:rFonts w:ascii="Arial" w:eastAsia="Times New Roman" w:hAnsi="Arial" w:cs="Arial"/>
          <w:sz w:val="24"/>
          <w:szCs w:val="24"/>
          <w:lang w:val="es-PE" w:eastAsia="pt-BR"/>
        </w:rPr>
        <w:t xml:space="preserve">. Esto lo podemos ver claramente en el caso de Brasil el cual tiene el mayor número de contagiados en Sudamérica, pero al considerar los casos por millón, vemos que Brasil está por debajo de Perú, Chile y Ecuador, en clara diferencia con lo afirmado por una editorial de la revista prestigiosa </w:t>
      </w:r>
      <w:r w:rsidRPr="0089650F">
        <w:rPr>
          <w:rFonts w:ascii="Arial" w:eastAsia="Times New Roman" w:hAnsi="Arial" w:cs="Arial"/>
          <w:i/>
          <w:iCs/>
          <w:sz w:val="24"/>
          <w:szCs w:val="24"/>
          <w:lang w:val="es-PE" w:eastAsia="pt-BR"/>
        </w:rPr>
        <w:t>The Lancet</w:t>
      </w:r>
      <w:r>
        <w:rPr>
          <w:rFonts w:ascii="Arial" w:eastAsia="Times New Roman" w:hAnsi="Arial" w:cs="Arial"/>
          <w:sz w:val="24"/>
          <w:szCs w:val="24"/>
          <w:vertAlign w:val="superscript"/>
          <w:lang w:val="es-PE" w:eastAsia="pt-BR"/>
        </w:rPr>
        <w:t>[</w:t>
      </w:r>
      <w:r w:rsidRPr="0089650F">
        <w:rPr>
          <w:rFonts w:ascii="Arial" w:eastAsia="Times New Roman" w:hAnsi="Arial" w:cs="Arial"/>
          <w:sz w:val="24"/>
          <w:szCs w:val="24"/>
          <w:vertAlign w:val="superscript"/>
          <w:lang w:val="es-PE" w:eastAsia="pt-BR"/>
        </w:rPr>
        <w:t>7</w:t>
      </w:r>
      <w:r>
        <w:rPr>
          <w:rFonts w:ascii="Arial" w:eastAsia="Times New Roman" w:hAnsi="Arial" w:cs="Arial"/>
          <w:sz w:val="24"/>
          <w:szCs w:val="24"/>
          <w:vertAlign w:val="superscript"/>
          <w:lang w:val="es-PE" w:eastAsia="pt-BR"/>
        </w:rPr>
        <w:t>]</w:t>
      </w:r>
      <w:r w:rsidRPr="0089650F">
        <w:rPr>
          <w:rFonts w:ascii="Arial" w:eastAsia="Times New Roman" w:hAnsi="Arial" w:cs="Arial"/>
          <w:sz w:val="24"/>
          <w:szCs w:val="24"/>
          <w:lang w:val="es-PE" w:eastAsia="pt-BR"/>
        </w:rPr>
        <w:t>. Lo mismo sucede si vemos en el caso de la cantidad de muertos por millón de habitantes. Estos resultados evidencian que en la mayoría de países sudamericanos no disminuirá el número de casos y muertes a un corto plazo, ya que los incrementos de los casos por día aumentan de manera considerable cada día. Sin embargo, se debe de reconocer que una de las limitaciones del estudio es no considerar la densidad poblacional, datos que no han sido registrados por los países, entre otros factores.</w:t>
      </w:r>
    </w:p>
    <w:p w:rsidR="00996D62" w:rsidRPr="00A16180" w:rsidRDefault="00996D62" w:rsidP="00996D62">
      <w:pPr>
        <w:jc w:val="both"/>
        <w:rPr>
          <w:rFonts w:ascii="Arial" w:eastAsia="Times New Roman" w:hAnsi="Arial" w:cs="Arial"/>
          <w:lang w:val="es-PE" w:eastAsia="pt-BR"/>
        </w:rPr>
      </w:pPr>
      <w:r w:rsidRPr="0089650F">
        <w:rPr>
          <w:rFonts w:ascii="Arial" w:eastAsia="Times New Roman" w:hAnsi="Arial" w:cs="Arial"/>
          <w:sz w:val="24"/>
          <w:szCs w:val="24"/>
          <w:lang w:val="es-PE" w:eastAsia="pt-BR"/>
        </w:rPr>
        <w:t>Las intervenciones no farmacéuticas como la cuarentena, han tenido un gran efecto en la reducción de la transmisión del COVID-19 en Europa</w:t>
      </w:r>
      <w:r>
        <w:rPr>
          <w:rFonts w:ascii="Arial" w:eastAsia="Times New Roman" w:hAnsi="Arial" w:cs="Arial"/>
          <w:sz w:val="24"/>
          <w:szCs w:val="24"/>
          <w:vertAlign w:val="superscript"/>
          <w:lang w:val="es-PE" w:eastAsia="pt-BR"/>
        </w:rPr>
        <w:t>[</w:t>
      </w:r>
      <w:r w:rsidRPr="0089650F">
        <w:rPr>
          <w:rFonts w:ascii="Arial" w:eastAsia="Times New Roman" w:hAnsi="Arial" w:cs="Arial"/>
          <w:sz w:val="24"/>
          <w:szCs w:val="24"/>
          <w:vertAlign w:val="superscript"/>
          <w:lang w:val="es-PE" w:eastAsia="pt-BR"/>
        </w:rPr>
        <w:t>9</w:t>
      </w:r>
      <w:r>
        <w:rPr>
          <w:rFonts w:ascii="Arial" w:eastAsia="Times New Roman" w:hAnsi="Arial" w:cs="Arial"/>
          <w:sz w:val="24"/>
          <w:szCs w:val="24"/>
          <w:vertAlign w:val="superscript"/>
          <w:lang w:val="es-PE" w:eastAsia="pt-BR"/>
        </w:rPr>
        <w:t>]</w:t>
      </w:r>
      <w:r w:rsidRPr="0089650F">
        <w:rPr>
          <w:rFonts w:ascii="Arial" w:eastAsia="Times New Roman" w:hAnsi="Arial" w:cs="Arial"/>
          <w:sz w:val="24"/>
          <w:szCs w:val="24"/>
          <w:lang w:val="es-PE" w:eastAsia="pt-BR"/>
        </w:rPr>
        <w:t>. Sin embargo, el caso de Perú es singular, pues a la fecha (</w:t>
      </w:r>
      <w:r>
        <w:rPr>
          <w:rFonts w:ascii="Arial" w:eastAsia="Times New Roman" w:hAnsi="Arial" w:cs="Arial"/>
          <w:sz w:val="24"/>
          <w:szCs w:val="24"/>
          <w:lang w:val="es-PE" w:eastAsia="pt-BR"/>
        </w:rPr>
        <w:t>15</w:t>
      </w:r>
      <w:r w:rsidRPr="0089650F">
        <w:rPr>
          <w:rFonts w:ascii="Arial" w:eastAsia="Times New Roman" w:hAnsi="Arial" w:cs="Arial"/>
          <w:sz w:val="24"/>
          <w:szCs w:val="24"/>
          <w:lang w:val="es-PE" w:eastAsia="pt-BR"/>
        </w:rPr>
        <w:t xml:space="preserve"> de junio del 2020) con más de </w:t>
      </w:r>
      <w:r>
        <w:rPr>
          <w:rFonts w:ascii="Arial" w:eastAsia="Times New Roman" w:hAnsi="Arial" w:cs="Arial"/>
          <w:sz w:val="24"/>
          <w:szCs w:val="24"/>
          <w:lang w:val="es-PE" w:eastAsia="pt-BR"/>
        </w:rPr>
        <w:t>92</w:t>
      </w:r>
      <w:r w:rsidRPr="0089650F">
        <w:rPr>
          <w:rFonts w:ascii="Arial" w:eastAsia="Times New Roman" w:hAnsi="Arial" w:cs="Arial"/>
          <w:sz w:val="24"/>
          <w:szCs w:val="24"/>
          <w:lang w:val="es-PE" w:eastAsia="pt-BR"/>
        </w:rPr>
        <w:t xml:space="preserve"> días de cuarentena y siendo el primer país en implementar la cuarentena es el que está siendo más afectado por la COVID-19, como ya evidenció </w:t>
      </w:r>
      <w:r w:rsidRPr="0089650F">
        <w:rPr>
          <w:rFonts w:ascii="Arial" w:eastAsia="Times New Roman" w:hAnsi="Arial" w:cs="Arial"/>
          <w:i/>
          <w:iCs/>
          <w:sz w:val="24"/>
          <w:szCs w:val="24"/>
          <w:lang w:val="es-PE" w:eastAsia="pt-BR"/>
        </w:rPr>
        <w:t>Elpaís</w:t>
      </w:r>
      <w:r>
        <w:rPr>
          <w:rFonts w:ascii="Arial" w:eastAsia="Times New Roman" w:hAnsi="Arial" w:cs="Arial"/>
          <w:sz w:val="24"/>
          <w:szCs w:val="24"/>
          <w:vertAlign w:val="superscript"/>
          <w:lang w:val="es-PE" w:eastAsia="pt-BR"/>
        </w:rPr>
        <w:t>[</w:t>
      </w:r>
      <w:r w:rsidRPr="0089650F">
        <w:rPr>
          <w:rFonts w:ascii="Arial" w:eastAsia="Times New Roman" w:hAnsi="Arial" w:cs="Arial"/>
          <w:sz w:val="24"/>
          <w:szCs w:val="24"/>
          <w:vertAlign w:val="superscript"/>
          <w:lang w:val="es-PE" w:eastAsia="pt-BR"/>
        </w:rPr>
        <w:t>10</w:t>
      </w:r>
      <w:r>
        <w:rPr>
          <w:rFonts w:ascii="Arial" w:eastAsia="Times New Roman" w:hAnsi="Arial" w:cs="Arial"/>
          <w:sz w:val="24"/>
          <w:szCs w:val="24"/>
          <w:vertAlign w:val="superscript"/>
          <w:lang w:val="es-PE" w:eastAsia="pt-BR"/>
        </w:rPr>
        <w:t>]</w:t>
      </w:r>
      <w:r w:rsidRPr="0089650F">
        <w:rPr>
          <w:rFonts w:ascii="Arial" w:eastAsia="Times New Roman" w:hAnsi="Arial" w:cs="Arial"/>
          <w:sz w:val="24"/>
          <w:szCs w:val="24"/>
          <w:lang w:val="es-PE" w:eastAsia="pt-BR"/>
        </w:rPr>
        <w:t>. Las medidas implementadas, como la cuarentena obligatoria en todo el país, no ha dado los resultados esperados. Sin embargo, reconociendo que también sin esas medidas posiblemente el Perú estaría lamentando más registros de casos confirmados y decesos. También, esto reflejaría la débil infraestructura y equipamiento en el sector salud, la informalidad laboral, la falta de agua potable, el clima y ubicación geográfica</w:t>
      </w:r>
      <w:r>
        <w:rPr>
          <w:rFonts w:ascii="Arial" w:eastAsia="Times New Roman" w:hAnsi="Arial" w:cs="Arial"/>
          <w:sz w:val="24"/>
          <w:szCs w:val="24"/>
          <w:vertAlign w:val="superscript"/>
          <w:lang w:val="es-PE" w:eastAsia="pt-BR"/>
        </w:rPr>
        <w:t>[</w:t>
      </w:r>
      <w:r w:rsidRPr="0089650F">
        <w:rPr>
          <w:rFonts w:ascii="Arial" w:eastAsia="Times New Roman" w:hAnsi="Arial" w:cs="Arial"/>
          <w:sz w:val="24"/>
          <w:szCs w:val="24"/>
          <w:vertAlign w:val="superscript"/>
          <w:lang w:val="es-PE" w:eastAsia="pt-BR"/>
        </w:rPr>
        <w:t>11</w:t>
      </w:r>
      <w:r>
        <w:rPr>
          <w:rFonts w:ascii="Arial" w:eastAsia="Times New Roman" w:hAnsi="Arial" w:cs="Arial"/>
          <w:sz w:val="24"/>
          <w:szCs w:val="24"/>
          <w:vertAlign w:val="superscript"/>
          <w:lang w:val="es-PE" w:eastAsia="pt-BR"/>
        </w:rPr>
        <w:t>]</w:t>
      </w:r>
      <w:r w:rsidRPr="0089650F">
        <w:rPr>
          <w:rFonts w:ascii="Arial" w:eastAsia="Times New Roman" w:hAnsi="Arial" w:cs="Arial"/>
          <w:sz w:val="24"/>
          <w:szCs w:val="24"/>
          <w:lang w:val="es-PE" w:eastAsia="pt-BR"/>
        </w:rPr>
        <w:t>, entre otros factores que están llevando a este país a consecuencias negativas.</w:t>
      </w:r>
    </w:p>
    <w:p w:rsidR="00996D62" w:rsidRPr="00A16180" w:rsidRDefault="00996D62" w:rsidP="00996D62">
      <w:pPr>
        <w:spacing w:line="240" w:lineRule="auto"/>
        <w:jc w:val="both"/>
        <w:rPr>
          <w:rFonts w:ascii="Arial" w:eastAsia="Times New Roman" w:hAnsi="Arial" w:cs="Arial"/>
          <w:sz w:val="24"/>
          <w:szCs w:val="24"/>
          <w:lang w:val="es-PE" w:eastAsia="pt-BR"/>
        </w:rPr>
      </w:pPr>
      <w:r w:rsidRPr="0089650F">
        <w:rPr>
          <w:rFonts w:ascii="Arial" w:eastAsia="Times New Roman" w:hAnsi="Arial" w:cs="Arial"/>
          <w:sz w:val="24"/>
          <w:szCs w:val="24"/>
          <w:lang w:val="es-PE" w:eastAsia="pt-BR"/>
        </w:rPr>
        <w:t xml:space="preserve">Una limitación del estudio es que no se ha revisado el contagio y mortalidad por COVID-19 en distintas regiones del país, los cuales aparentemente, siguen curvas distintas. </w:t>
      </w:r>
    </w:p>
    <w:p w:rsidR="00996D62" w:rsidRDefault="00996D62" w:rsidP="00996D62">
      <w:pPr>
        <w:pStyle w:val="1Titulo"/>
        <w:numPr>
          <w:ilvl w:val="0"/>
          <w:numId w:val="0"/>
        </w:numPr>
        <w:ind w:left="357"/>
      </w:pPr>
      <w:bookmarkStart w:id="113" w:name="_Toc50031226"/>
      <w:r>
        <w:t>6. Bibliografía</w:t>
      </w:r>
      <w:bookmarkEnd w:id="113"/>
    </w:p>
    <w:p w:rsidR="00996D62" w:rsidRPr="004C7453" w:rsidRDefault="00996D62" w:rsidP="00133D30">
      <w:pPr>
        <w:pStyle w:val="NormalWeb"/>
        <w:numPr>
          <w:ilvl w:val="0"/>
          <w:numId w:val="30"/>
        </w:numPr>
        <w:spacing w:before="0" w:beforeAutospacing="0" w:after="160" w:afterAutospacing="0" w:line="240" w:lineRule="auto"/>
        <w:jc w:val="both"/>
        <w:rPr>
          <w:rStyle w:val="Hipervnculo"/>
          <w:rFonts w:ascii="Arial" w:eastAsia="Batang" w:hAnsi="Arial" w:cs="Arial"/>
          <w:color w:val="auto"/>
          <w:lang w:val="es-PE"/>
        </w:rPr>
      </w:pPr>
      <w:r w:rsidRPr="00451474">
        <w:rPr>
          <w:rFonts w:ascii="Arial" w:hAnsi="Arial" w:cs="Arial"/>
          <w:lang w:val="en-US"/>
        </w:rPr>
        <w:lastRenderedPageBreak/>
        <w:t xml:space="preserve">Centers for Disease Control and Prevention, Coronavirus Disease 2019 (COVID-19). </w:t>
      </w:r>
      <w:r w:rsidRPr="004C7453">
        <w:rPr>
          <w:rFonts w:ascii="Arial" w:hAnsi="Arial" w:cs="Arial"/>
          <w:lang w:val="es-PE"/>
        </w:rPr>
        <w:t xml:space="preserve">[Internet]. EE. UU: 2020 </w:t>
      </w:r>
      <w:r w:rsidRPr="004C7453">
        <w:rPr>
          <w:rFonts w:ascii="Arial" w:hAnsi="Arial" w:cs="Arial"/>
          <w:shd w:val="clear" w:color="auto" w:fill="FFFFFF"/>
          <w:lang w:val="es-PE"/>
        </w:rPr>
        <w:t xml:space="preserve">[citado el 02 de junio del 2018]. </w:t>
      </w:r>
      <w:r w:rsidRPr="004C7453">
        <w:rPr>
          <w:rFonts w:ascii="Arial" w:hAnsi="Arial" w:cs="Arial"/>
          <w:lang w:val="es-PE"/>
        </w:rPr>
        <w:t xml:space="preserve">Disponible en </w:t>
      </w:r>
      <w:hyperlink r:id="rId194" w:history="1">
        <w:r w:rsidRPr="004C7453">
          <w:rPr>
            <w:rStyle w:val="Hipervnculo"/>
            <w:rFonts w:ascii="Arial" w:eastAsia="Batang" w:hAnsi="Arial" w:cs="Arial"/>
            <w:color w:val="auto"/>
            <w:lang w:val="es-PE"/>
          </w:rPr>
          <w:t>https://www.cdc.gov/coronavirus/2019-ncov/summary.html</w:t>
        </w:r>
      </w:hyperlink>
    </w:p>
    <w:p w:rsidR="00996D62" w:rsidRPr="004C7453" w:rsidRDefault="00996D62" w:rsidP="00133D30">
      <w:pPr>
        <w:pStyle w:val="NormalWeb"/>
        <w:numPr>
          <w:ilvl w:val="0"/>
          <w:numId w:val="30"/>
        </w:numPr>
        <w:spacing w:before="0" w:beforeAutospacing="0" w:after="160" w:afterAutospacing="0" w:line="240" w:lineRule="auto"/>
        <w:jc w:val="both"/>
        <w:rPr>
          <w:rFonts w:ascii="Arial" w:hAnsi="Arial" w:cs="Arial"/>
          <w:lang w:val="es-PE"/>
        </w:rPr>
      </w:pPr>
      <w:r w:rsidRPr="004C7453">
        <w:rPr>
          <w:rFonts w:ascii="Arial" w:hAnsi="Arial" w:cs="Arial"/>
          <w:lang w:val="es-PE"/>
        </w:rPr>
        <w:t xml:space="preserve">Organización Mundial de la Salud. Novela Coronavirus (2019-nCoV) Situación Reporte- 59 19 marzo 2020. OMS boletín 2020 [Internet], Ginebra: OMS; 2020 [citado el 29 de mayo 2020]. Disponible en </w:t>
      </w:r>
      <w:hyperlink r:id="rId195" w:history="1">
        <w:r w:rsidRPr="004C7453">
          <w:rPr>
            <w:rStyle w:val="Hipervnculo"/>
            <w:rFonts w:ascii="Arial" w:eastAsia="Batang" w:hAnsi="Arial" w:cs="Arial"/>
            <w:color w:val="auto"/>
            <w:lang w:val="es-PE"/>
          </w:rPr>
          <w:t>https://www.who.int/docs/default-source/coronaviruse/situation-reports/20200319-sitrep-59-covid-19.pdf?sfvrsn=c3dcdef9_2</w:t>
        </w:r>
      </w:hyperlink>
    </w:p>
    <w:p w:rsidR="00996D62" w:rsidRPr="004C7453" w:rsidRDefault="00996D62" w:rsidP="00133D30">
      <w:pPr>
        <w:pStyle w:val="NormalWeb"/>
        <w:numPr>
          <w:ilvl w:val="0"/>
          <w:numId w:val="30"/>
        </w:numPr>
        <w:spacing w:before="0" w:beforeAutospacing="0" w:after="160" w:afterAutospacing="0" w:line="240" w:lineRule="auto"/>
        <w:jc w:val="both"/>
        <w:rPr>
          <w:rFonts w:ascii="Arial" w:hAnsi="Arial" w:cs="Arial"/>
          <w:lang w:val="es-PE"/>
        </w:rPr>
      </w:pPr>
      <w:r w:rsidRPr="004C7453">
        <w:rPr>
          <w:rFonts w:ascii="Arial" w:hAnsi="Arial" w:cs="Arial"/>
          <w:lang w:val="es-PE"/>
        </w:rPr>
        <w:t>Wu Z, McGoogan JM., Características y lecciones importantes del brote de la enfermedad por coronavirus 2019 (COVID-19) en China. JAMA. Publicado en línea el 24 de febrero de 2020. doi:10.1001/jama.2020.2648</w:t>
      </w:r>
    </w:p>
    <w:p w:rsidR="00996D62" w:rsidRPr="004C7453" w:rsidRDefault="00996D62" w:rsidP="00133D30">
      <w:pPr>
        <w:pStyle w:val="NormalWeb"/>
        <w:numPr>
          <w:ilvl w:val="0"/>
          <w:numId w:val="30"/>
        </w:numPr>
        <w:spacing w:before="0" w:beforeAutospacing="0" w:after="160" w:afterAutospacing="0" w:line="240" w:lineRule="auto"/>
        <w:jc w:val="both"/>
        <w:rPr>
          <w:rFonts w:ascii="Arial" w:hAnsi="Arial" w:cs="Arial"/>
          <w:lang w:val="es-PE"/>
        </w:rPr>
      </w:pPr>
      <w:r w:rsidRPr="004C7453">
        <w:rPr>
          <w:rFonts w:ascii="Arial" w:hAnsi="Arial" w:cs="Arial"/>
          <w:lang w:val="es-PE"/>
        </w:rPr>
        <w:t>Medeiros Delaware Figueiredo UNA, et Alabama. Letalidad del COVID-19: ausencia Delaware patrón epidemiológico Gac Sanit 2020. doi: 10.1016/j.gaceta.2020.04.001</w:t>
      </w:r>
    </w:p>
    <w:p w:rsidR="00996D62" w:rsidRPr="004C7453" w:rsidRDefault="00996D62" w:rsidP="00133D30">
      <w:pPr>
        <w:pStyle w:val="NormalWeb"/>
        <w:numPr>
          <w:ilvl w:val="0"/>
          <w:numId w:val="30"/>
        </w:numPr>
        <w:spacing w:before="0" w:beforeAutospacing="0" w:after="160" w:afterAutospacing="0" w:line="240" w:lineRule="auto"/>
        <w:jc w:val="both"/>
        <w:rPr>
          <w:rFonts w:ascii="Arial" w:hAnsi="Arial" w:cs="Arial"/>
          <w:lang w:val="es-PE"/>
        </w:rPr>
      </w:pPr>
      <w:r w:rsidRPr="004C7453">
        <w:rPr>
          <w:rFonts w:ascii="Arial" w:hAnsi="Arial" w:cs="Arial"/>
          <w:lang w:val="es-PE"/>
        </w:rPr>
        <w:t xml:space="preserve">Our World in Data. Estadística e investigación, casos de coronavirus (COVID-19), 2020 [Internet]. Gales: Global Change Data; 2020 [citado el 07 junio del 2020]. Disponible en: </w:t>
      </w:r>
      <w:hyperlink r:id="rId196" w:history="1">
        <w:r w:rsidRPr="004C7453">
          <w:rPr>
            <w:rStyle w:val="Hipervnculo"/>
            <w:rFonts w:ascii="Arial" w:eastAsia="Batang" w:hAnsi="Arial" w:cs="Arial"/>
            <w:color w:val="auto"/>
            <w:lang w:val="es-PE"/>
          </w:rPr>
          <w:t>https://ourworldindata.org/covid-cases</w:t>
        </w:r>
      </w:hyperlink>
    </w:p>
    <w:p w:rsidR="00996D62" w:rsidRPr="004C7453" w:rsidRDefault="00996D62" w:rsidP="00133D30">
      <w:pPr>
        <w:pStyle w:val="Prrafodelista"/>
        <w:numPr>
          <w:ilvl w:val="0"/>
          <w:numId w:val="30"/>
        </w:numPr>
        <w:spacing w:after="160" w:line="240" w:lineRule="auto"/>
        <w:jc w:val="both"/>
        <w:rPr>
          <w:rStyle w:val="Hipervnculo"/>
          <w:rFonts w:ascii="Arial" w:hAnsi="Arial" w:cs="Arial"/>
          <w:color w:val="auto"/>
          <w:sz w:val="24"/>
          <w:szCs w:val="24"/>
        </w:rPr>
      </w:pPr>
      <w:r w:rsidRPr="00996D62">
        <w:rPr>
          <w:rFonts w:ascii="Arial" w:hAnsi="Arial" w:cs="Arial"/>
          <w:sz w:val="24"/>
          <w:szCs w:val="24"/>
          <w:lang w:val="en-US"/>
        </w:rPr>
        <w:t xml:space="preserve">Worldometer, COVID-19 [Internet] EE. UU: Worldometer 2020. </w:t>
      </w:r>
      <w:r w:rsidRPr="004C7453">
        <w:rPr>
          <w:rFonts w:ascii="Arial" w:hAnsi="Arial" w:cs="Arial"/>
          <w:sz w:val="24"/>
          <w:szCs w:val="24"/>
          <w:shd w:val="clear" w:color="auto" w:fill="FFFFFF"/>
        </w:rPr>
        <w:t xml:space="preserve">[citado el 29 de mayo del 2018]. </w:t>
      </w:r>
      <w:r w:rsidRPr="004C7453">
        <w:rPr>
          <w:rFonts w:ascii="Arial" w:hAnsi="Arial" w:cs="Arial"/>
          <w:sz w:val="24"/>
          <w:szCs w:val="24"/>
        </w:rPr>
        <w:t xml:space="preserve"> Disponible en </w:t>
      </w:r>
      <w:hyperlink r:id="rId197" w:history="1">
        <w:r w:rsidRPr="004C7453">
          <w:rPr>
            <w:rStyle w:val="Hipervnculo"/>
            <w:rFonts w:ascii="Arial" w:hAnsi="Arial" w:cs="Arial"/>
            <w:color w:val="auto"/>
            <w:sz w:val="24"/>
            <w:szCs w:val="24"/>
          </w:rPr>
          <w:t>https://www.worldometers.info/coronavirus/</w:t>
        </w:r>
      </w:hyperlink>
    </w:p>
    <w:p w:rsidR="00996D62" w:rsidRPr="004C7453" w:rsidRDefault="00996D62" w:rsidP="00133D30">
      <w:pPr>
        <w:pStyle w:val="c-author-listitem"/>
        <w:numPr>
          <w:ilvl w:val="0"/>
          <w:numId w:val="30"/>
        </w:numPr>
        <w:shd w:val="clear" w:color="auto" w:fill="FFFFFF"/>
        <w:jc w:val="both"/>
        <w:rPr>
          <w:rStyle w:val="Hipervnculo"/>
          <w:rFonts w:ascii="Arial" w:eastAsia="Batang" w:hAnsi="Arial" w:cs="Arial"/>
          <w:color w:val="auto"/>
          <w:lang w:val="es-PE"/>
        </w:rPr>
      </w:pPr>
      <w:r w:rsidRPr="00451474">
        <w:rPr>
          <w:rFonts w:ascii="Arial" w:hAnsi="Arial" w:cs="Arial"/>
          <w:lang w:val="en-US"/>
        </w:rPr>
        <w:t xml:space="preserve">John Hopkins University of Medicine [Internet]. </w:t>
      </w:r>
      <w:hyperlink r:id="rId198" w:tooltip="Baltimore" w:history="1">
        <w:r w:rsidRPr="004C7453">
          <w:rPr>
            <w:rStyle w:val="Hipervnculo"/>
            <w:rFonts w:ascii="Arial" w:eastAsia="Batang" w:hAnsi="Arial" w:cs="Arial"/>
            <w:color w:val="auto"/>
            <w:shd w:val="clear" w:color="auto" w:fill="F9F9F9"/>
            <w:lang w:val="es-PE"/>
          </w:rPr>
          <w:t>Baltimore</w:t>
        </w:r>
      </w:hyperlink>
      <w:r w:rsidRPr="004C7453">
        <w:rPr>
          <w:rFonts w:ascii="Arial" w:hAnsi="Arial" w:cs="Arial"/>
          <w:lang w:val="es-PE"/>
        </w:rPr>
        <w:t xml:space="preserve">; 2020 [citado el 07 junio del 2020]. </w:t>
      </w:r>
      <w:r w:rsidRPr="004C7453">
        <w:rPr>
          <w:rFonts w:ascii="Arial" w:hAnsi="Arial" w:cs="Arial"/>
          <w:caps/>
          <w:lang w:val="es-PE"/>
        </w:rPr>
        <w:t>MAPS &amp; TRENDS,</w:t>
      </w:r>
      <w:r w:rsidRPr="004C7453">
        <w:rPr>
          <w:rFonts w:ascii="Arial" w:hAnsi="Arial" w:cs="Arial"/>
          <w:lang w:val="es-PE"/>
        </w:rPr>
        <w:t xml:space="preserve"> Mortality Analyses; Disponible en: </w:t>
      </w:r>
      <w:hyperlink r:id="rId199" w:history="1">
        <w:r w:rsidRPr="004C7453">
          <w:rPr>
            <w:rStyle w:val="Hipervnculo"/>
            <w:rFonts w:ascii="Arial" w:eastAsia="Batang" w:hAnsi="Arial" w:cs="Arial"/>
            <w:color w:val="auto"/>
            <w:lang w:val="es-PE"/>
          </w:rPr>
          <w:t>https://coronavirus.jhu.edu/data/mortality</w:t>
        </w:r>
      </w:hyperlink>
    </w:p>
    <w:p w:rsidR="00996D62" w:rsidRPr="004C7453" w:rsidRDefault="00996D62" w:rsidP="00133D30">
      <w:pPr>
        <w:pStyle w:val="Prrafodelista"/>
        <w:numPr>
          <w:ilvl w:val="0"/>
          <w:numId w:val="30"/>
        </w:numPr>
        <w:spacing w:after="160" w:line="240" w:lineRule="auto"/>
        <w:jc w:val="both"/>
        <w:rPr>
          <w:rStyle w:val="Hipervnculo"/>
          <w:rFonts w:ascii="Arial" w:hAnsi="Arial" w:cs="Arial"/>
          <w:color w:val="auto"/>
          <w:sz w:val="24"/>
          <w:szCs w:val="24"/>
          <w:lang w:val="pt-BR"/>
        </w:rPr>
      </w:pPr>
      <w:r w:rsidRPr="00451474">
        <w:rPr>
          <w:rFonts w:ascii="Arial" w:hAnsi="Arial" w:cs="Arial"/>
          <w:sz w:val="24"/>
          <w:szCs w:val="24"/>
          <w:lang w:val="en-US"/>
        </w:rPr>
        <w:t xml:space="preserve">Editors of The Lancet., COVID-19 in Brazil. </w:t>
      </w:r>
      <w:r w:rsidRPr="004C7453">
        <w:rPr>
          <w:rFonts w:ascii="Arial" w:hAnsi="Arial" w:cs="Arial"/>
          <w:sz w:val="24"/>
          <w:szCs w:val="24"/>
          <w:lang w:val="pt-BR"/>
        </w:rPr>
        <w:t xml:space="preserve">“So what?”. The Lancet. </w:t>
      </w:r>
      <w:r w:rsidRPr="004C7453">
        <w:rPr>
          <w:rStyle w:val="toc-headervolume"/>
          <w:rFonts w:ascii="Arial" w:hAnsi="Arial" w:cs="Arial"/>
          <w:sz w:val="24"/>
          <w:szCs w:val="24"/>
          <w:shd w:val="clear" w:color="auto" w:fill="FFFFFF"/>
          <w:lang w:val="pt-BR"/>
        </w:rPr>
        <w:t xml:space="preserve">Volume 395 </w:t>
      </w:r>
      <w:r w:rsidRPr="004C7453">
        <w:rPr>
          <w:rStyle w:val="toc-headerissue"/>
          <w:rFonts w:ascii="Arial" w:hAnsi="Arial" w:cs="Arial"/>
          <w:sz w:val="24"/>
          <w:szCs w:val="24"/>
          <w:shd w:val="clear" w:color="auto" w:fill="FFFFFF"/>
          <w:lang w:val="pt-BR"/>
        </w:rPr>
        <w:t xml:space="preserve">Number 10235: </w:t>
      </w:r>
      <w:r w:rsidRPr="004C7453">
        <w:rPr>
          <w:rStyle w:val="toc-headerseries"/>
          <w:rFonts w:ascii="Arial" w:hAnsi="Arial" w:cs="Arial"/>
          <w:sz w:val="24"/>
          <w:szCs w:val="24"/>
          <w:shd w:val="clear" w:color="auto" w:fill="FFFFFF"/>
          <w:lang w:val="pt-BR"/>
        </w:rPr>
        <w:t>p1461. doi:</w:t>
      </w:r>
      <w:r w:rsidRPr="004C7453">
        <w:rPr>
          <w:rStyle w:val="toc-headerseries"/>
          <w:rFonts w:ascii="Arial" w:hAnsi="Arial" w:cs="Arial"/>
          <w:sz w:val="24"/>
          <w:szCs w:val="24"/>
          <w:lang w:val="pt-BR"/>
        </w:rPr>
        <w:t xml:space="preserve"> </w:t>
      </w:r>
      <w:hyperlink r:id="rId200" w:history="1">
        <w:r w:rsidRPr="004C7453">
          <w:rPr>
            <w:rStyle w:val="Hipervnculo"/>
            <w:rFonts w:ascii="Arial" w:hAnsi="Arial" w:cs="Arial"/>
            <w:color w:val="auto"/>
            <w:sz w:val="24"/>
            <w:szCs w:val="24"/>
            <w:lang w:val="pt-BR"/>
          </w:rPr>
          <w:t>10.1016/S0140-6736(20)31095-3</w:t>
        </w:r>
      </w:hyperlink>
    </w:p>
    <w:p w:rsidR="00996D62" w:rsidRPr="004C7453" w:rsidRDefault="001345E4" w:rsidP="00133D30">
      <w:pPr>
        <w:pStyle w:val="c-author-listitem"/>
        <w:numPr>
          <w:ilvl w:val="0"/>
          <w:numId w:val="30"/>
        </w:numPr>
        <w:shd w:val="clear" w:color="auto" w:fill="FFFFFF"/>
        <w:jc w:val="both"/>
        <w:rPr>
          <w:rFonts w:ascii="Arial" w:hAnsi="Arial" w:cs="Arial"/>
        </w:rPr>
      </w:pPr>
      <w:hyperlink r:id="rId201" w:anchor="auth-1" w:history="1">
        <w:r w:rsidR="00996D62" w:rsidRPr="00451474">
          <w:rPr>
            <w:rStyle w:val="Hipervnculo"/>
            <w:rFonts w:ascii="Arial" w:eastAsia="Batang" w:hAnsi="Arial" w:cs="Arial"/>
            <w:color w:val="auto"/>
            <w:lang w:val="en-US"/>
          </w:rPr>
          <w:t>Seth Flaxman</w:t>
        </w:r>
      </w:hyperlink>
      <w:r w:rsidR="00996D62" w:rsidRPr="00451474">
        <w:rPr>
          <w:rFonts w:ascii="Arial" w:hAnsi="Arial" w:cs="Arial"/>
          <w:lang w:val="en-US"/>
        </w:rPr>
        <w:t>, </w:t>
      </w:r>
      <w:hyperlink r:id="rId202" w:anchor="auth-2" w:history="1">
        <w:r w:rsidR="00996D62" w:rsidRPr="00451474">
          <w:rPr>
            <w:rStyle w:val="Hipervnculo"/>
            <w:rFonts w:ascii="Arial" w:eastAsia="Batang" w:hAnsi="Arial" w:cs="Arial"/>
            <w:color w:val="auto"/>
            <w:lang w:val="en-US"/>
          </w:rPr>
          <w:t>Swapnil Mishra</w:t>
        </w:r>
      </w:hyperlink>
      <w:r w:rsidR="00996D62" w:rsidRPr="00451474">
        <w:rPr>
          <w:rFonts w:ascii="Arial" w:hAnsi="Arial" w:cs="Arial"/>
          <w:lang w:val="en-US"/>
        </w:rPr>
        <w:t>, </w:t>
      </w:r>
      <w:hyperlink r:id="rId203" w:anchor="auth-3" w:history="1">
        <w:r w:rsidR="00996D62" w:rsidRPr="00451474">
          <w:rPr>
            <w:rStyle w:val="Hipervnculo"/>
            <w:rFonts w:ascii="Arial" w:eastAsia="Batang" w:hAnsi="Arial" w:cs="Arial"/>
            <w:color w:val="auto"/>
            <w:lang w:val="en-US"/>
          </w:rPr>
          <w:t>Axel Gandy</w:t>
        </w:r>
      </w:hyperlink>
      <w:r w:rsidR="00996D62" w:rsidRPr="00451474">
        <w:rPr>
          <w:rFonts w:ascii="Arial" w:hAnsi="Arial" w:cs="Arial"/>
          <w:lang w:val="en-US"/>
        </w:rPr>
        <w:t>, </w:t>
      </w:r>
      <w:hyperlink r:id="rId204" w:anchor="auth-4" w:history="1">
        <w:r w:rsidR="00996D62" w:rsidRPr="00451474">
          <w:rPr>
            <w:rStyle w:val="Hipervnculo"/>
            <w:rFonts w:ascii="Arial" w:eastAsia="Batang" w:hAnsi="Arial" w:cs="Arial"/>
            <w:color w:val="auto"/>
            <w:lang w:val="en-US"/>
          </w:rPr>
          <w:t>H. Juliette T. Unwin</w:t>
        </w:r>
      </w:hyperlink>
      <w:r w:rsidR="00996D62" w:rsidRPr="00451474">
        <w:rPr>
          <w:rFonts w:ascii="Arial" w:hAnsi="Arial" w:cs="Arial"/>
          <w:lang w:val="en-US"/>
        </w:rPr>
        <w:t>, </w:t>
      </w:r>
      <w:hyperlink r:id="rId205" w:anchor="auth-5" w:history="1">
        <w:r w:rsidR="00996D62" w:rsidRPr="00451474">
          <w:rPr>
            <w:rStyle w:val="Hipervnculo"/>
            <w:rFonts w:ascii="Arial" w:eastAsia="Batang" w:hAnsi="Arial" w:cs="Arial"/>
            <w:color w:val="auto"/>
            <w:lang w:val="en-US"/>
          </w:rPr>
          <w:t>Thomas A. Mellan</w:t>
        </w:r>
      </w:hyperlink>
      <w:r w:rsidR="00996D62" w:rsidRPr="00451474">
        <w:rPr>
          <w:rFonts w:ascii="Arial" w:hAnsi="Arial" w:cs="Arial"/>
          <w:lang w:val="en-US"/>
        </w:rPr>
        <w:t>, </w:t>
      </w:r>
      <w:hyperlink r:id="rId206" w:anchor="auth-6" w:history="1">
        <w:r w:rsidR="00996D62" w:rsidRPr="00451474">
          <w:rPr>
            <w:rStyle w:val="Hipervnculo"/>
            <w:rFonts w:ascii="Arial" w:eastAsia="Batang" w:hAnsi="Arial" w:cs="Arial"/>
            <w:color w:val="auto"/>
            <w:lang w:val="en-US"/>
          </w:rPr>
          <w:t>Helen Coupland</w:t>
        </w:r>
      </w:hyperlink>
      <w:r w:rsidR="00996D62" w:rsidRPr="00451474">
        <w:rPr>
          <w:rFonts w:ascii="Arial" w:hAnsi="Arial" w:cs="Arial"/>
          <w:lang w:val="en-US"/>
        </w:rPr>
        <w:t xml:space="preserve">, et al. </w:t>
      </w:r>
      <w:r w:rsidR="00996D62" w:rsidRPr="004C7453">
        <w:rPr>
          <w:rFonts w:ascii="Arial" w:hAnsi="Arial" w:cs="Arial"/>
        </w:rPr>
        <w:t xml:space="preserve">Estimating the effects of non-pharmaceutical interventions on COVID-19 in Europe. Nature. doi: 10.1038/s41586-020-2405-7 (2020). </w:t>
      </w:r>
    </w:p>
    <w:p w:rsidR="00996D62" w:rsidRPr="004C7453" w:rsidRDefault="00996D62" w:rsidP="00133D30">
      <w:pPr>
        <w:pStyle w:val="c-author-listitem"/>
        <w:numPr>
          <w:ilvl w:val="0"/>
          <w:numId w:val="30"/>
        </w:numPr>
        <w:shd w:val="clear" w:color="auto" w:fill="FFFFFF"/>
        <w:jc w:val="both"/>
        <w:rPr>
          <w:rFonts w:ascii="Arial" w:hAnsi="Arial" w:cs="Arial"/>
          <w:lang w:val="es-PE"/>
        </w:rPr>
      </w:pPr>
      <w:r w:rsidRPr="004C7453">
        <w:rPr>
          <w:rFonts w:ascii="Arial" w:hAnsi="Arial" w:cs="Arial"/>
          <w:lang w:val="es-PE"/>
        </w:rPr>
        <w:t xml:space="preserve">Elpaís, [Internet]. España; 2020 [citado el 08 junio del 2020]. Países con mayo exceso de muertes; Disponible en: </w:t>
      </w:r>
      <w:hyperlink r:id="rId207" w:history="1">
        <w:r w:rsidRPr="004C7453">
          <w:rPr>
            <w:rStyle w:val="Hipervnculo"/>
            <w:rFonts w:ascii="Arial" w:eastAsia="Batang" w:hAnsi="Arial" w:cs="Arial"/>
            <w:color w:val="auto"/>
            <w:lang w:val="es-PE"/>
          </w:rPr>
          <w:t>https://elpais.com/sociedad/2020-06-05/espana-es-el-pais-con-el-segundo-mayor-exceso-de-muertes-durante-la-crisis-del-coronavirus.html</w:t>
        </w:r>
      </w:hyperlink>
    </w:p>
    <w:p w:rsidR="00996D62" w:rsidRPr="00FF6922" w:rsidRDefault="00996D62" w:rsidP="00133D30">
      <w:pPr>
        <w:pStyle w:val="c-author-listitem"/>
        <w:numPr>
          <w:ilvl w:val="0"/>
          <w:numId w:val="30"/>
        </w:numPr>
        <w:shd w:val="clear" w:color="auto" w:fill="FFFFFF"/>
        <w:jc w:val="both"/>
        <w:rPr>
          <w:rFonts w:ascii="Arial" w:hAnsi="Arial" w:cs="Arial"/>
          <w:lang w:val="en-US"/>
        </w:rPr>
      </w:pPr>
      <w:r w:rsidRPr="004C7453">
        <w:rPr>
          <w:rFonts w:ascii="Arial" w:hAnsi="Arial" w:cs="Arial"/>
          <w:lang w:val="es-PE"/>
        </w:rPr>
        <w:t>Arias-Reyes C,</w:t>
      </w:r>
      <w:r>
        <w:rPr>
          <w:rFonts w:ascii="Arial" w:hAnsi="Arial" w:cs="Arial"/>
          <w:lang w:val="es-PE"/>
        </w:rPr>
        <w:t xml:space="preserve"> </w:t>
      </w:r>
      <w:r w:rsidRPr="004C7453">
        <w:rPr>
          <w:rFonts w:ascii="Arial" w:hAnsi="Arial" w:cs="Arial"/>
          <w:lang w:val="es-PE"/>
        </w:rPr>
        <w:t xml:space="preserve">Zubieta-DeUrioste N, Poma-Machiacao L, Aliaga-Raduan F, Carbajal-Rodriguez F, et al. </w:t>
      </w:r>
      <w:r w:rsidRPr="00996D62">
        <w:rPr>
          <w:rFonts w:ascii="Arial" w:hAnsi="Arial" w:cs="Arial"/>
          <w:lang w:val="en-US"/>
        </w:rPr>
        <w:t xml:space="preserve">Does the pathogenesis of SARS-CoV-2 virus decrease at hight-altitude? </w:t>
      </w:r>
      <w:r w:rsidRPr="00FF6922">
        <w:rPr>
          <w:rFonts w:ascii="Arial" w:hAnsi="Arial" w:cs="Arial"/>
          <w:lang w:val="en-US"/>
        </w:rPr>
        <w:t>Respiratory Physiology &amp;amp; Neurobiology. 2020; 277. doi: 10.1016/jresp.2020.103443</w:t>
      </w:r>
    </w:p>
    <w:p w:rsidR="00996D62" w:rsidRPr="00451474" w:rsidRDefault="00996D62" w:rsidP="00133D30">
      <w:pPr>
        <w:pStyle w:val="c-author-listitem"/>
        <w:numPr>
          <w:ilvl w:val="0"/>
          <w:numId w:val="30"/>
        </w:numPr>
        <w:shd w:val="clear" w:color="auto" w:fill="FFFFFF"/>
        <w:jc w:val="both"/>
        <w:rPr>
          <w:rFonts w:ascii="Arial" w:hAnsi="Arial" w:cs="Arial"/>
          <w:lang w:val="en-US"/>
        </w:rPr>
      </w:pPr>
      <w:r w:rsidRPr="00451474">
        <w:rPr>
          <w:rFonts w:ascii="Arial" w:hAnsi="Arial" w:cs="Arial"/>
          <w:lang w:val="en-US"/>
        </w:rPr>
        <w:t>G.E.P. Box and G. M. Jenkins 1970 Time Series Analysis Forecasting and Control, Holden day, San Francisco.</w:t>
      </w:r>
    </w:p>
    <w:p w:rsidR="002429F5" w:rsidRDefault="002429F5" w:rsidP="0049551D">
      <w:pPr>
        <w:rPr>
          <w:lang w:val="en-US"/>
        </w:rPr>
      </w:pPr>
    </w:p>
    <w:p w:rsidR="00846109" w:rsidRPr="00FF6922" w:rsidRDefault="00846109" w:rsidP="00846109">
      <w:pPr>
        <w:pStyle w:val="Ttulo"/>
        <w:jc w:val="center"/>
        <w:rPr>
          <w:rFonts w:cs="Times New Roman"/>
          <w:b/>
          <w:color w:val="auto"/>
          <w:sz w:val="28"/>
          <w:szCs w:val="28"/>
        </w:rPr>
      </w:pPr>
      <w:r w:rsidRPr="00FF6922">
        <w:rPr>
          <w:rFonts w:cs="Times New Roman"/>
          <w:b/>
          <w:color w:val="auto"/>
          <w:sz w:val="28"/>
          <w:szCs w:val="28"/>
        </w:rPr>
        <w:t>Estimación de la tasa de emisión de una fuente contaminante: análisis de las soluciones obtenidas con diferentes tipos de datos</w:t>
      </w:r>
    </w:p>
    <w:p w:rsidR="00846109" w:rsidRPr="00325F52" w:rsidRDefault="00846109" w:rsidP="00846109">
      <w:pPr>
        <w:jc w:val="both"/>
        <w:rPr>
          <w:rFonts w:ascii="Arial" w:hAnsi="Arial" w:cs="Arial"/>
          <w:color w:val="000000"/>
        </w:rPr>
      </w:pPr>
    </w:p>
    <w:p w:rsidR="00846109" w:rsidRDefault="00846109" w:rsidP="00846109">
      <w:pPr>
        <w:pStyle w:val="Author"/>
        <w:rPr>
          <w:rFonts w:ascii="Arial" w:hAnsi="Arial" w:cs="Arial"/>
          <w:szCs w:val="24"/>
          <w:vertAlign w:val="superscript"/>
          <w:lang w:val="es-ES"/>
        </w:rPr>
      </w:pPr>
      <w:r w:rsidRPr="00871184">
        <w:rPr>
          <w:rFonts w:ascii="Arial" w:hAnsi="Arial" w:cs="Arial"/>
          <w:b/>
          <w:szCs w:val="24"/>
          <w:u w:val="single"/>
          <w:lang w:val="es-ES"/>
        </w:rPr>
        <w:t>Parra-Guevara, D.</w:t>
      </w:r>
      <w:r>
        <w:rPr>
          <w:rFonts w:ascii="Arial" w:hAnsi="Arial" w:cs="Arial"/>
          <w:szCs w:val="24"/>
          <w:lang w:val="es-ES"/>
        </w:rPr>
        <w:t xml:space="preserve">, </w:t>
      </w:r>
      <w:r w:rsidRPr="00871184">
        <w:rPr>
          <w:rFonts w:ascii="Arial" w:hAnsi="Arial" w:cs="Arial"/>
          <w:b/>
          <w:szCs w:val="24"/>
          <w:lang w:val="es-ES"/>
        </w:rPr>
        <w:t>Skiba, Y. N.</w:t>
      </w:r>
      <w:r>
        <w:rPr>
          <w:rFonts w:ascii="Arial" w:hAnsi="Arial" w:cs="Arial"/>
          <w:b/>
          <w:szCs w:val="24"/>
          <w:lang w:val="es-ES"/>
        </w:rPr>
        <w:t>,</w:t>
      </w:r>
      <w:r>
        <w:rPr>
          <w:rFonts w:ascii="Century Schoolbook" w:hAnsi="Century Schoolbook" w:cs="Arial"/>
          <w:bCs/>
          <w:sz w:val="28"/>
          <w:szCs w:val="28"/>
          <w:lang w:val="es-ES" w:eastAsia="es-ES"/>
        </w:rPr>
        <w:t xml:space="preserve"> </w:t>
      </w:r>
      <w:r>
        <w:rPr>
          <w:rFonts w:ascii="Arial" w:hAnsi="Arial" w:cs="Arial"/>
          <w:b/>
          <w:bCs/>
          <w:szCs w:val="24"/>
          <w:lang w:val="es-ES"/>
        </w:rPr>
        <w:t>Bustamante-</w:t>
      </w:r>
      <w:r w:rsidRPr="00E115C9">
        <w:rPr>
          <w:rFonts w:ascii="Arial" w:hAnsi="Arial" w:cs="Arial"/>
          <w:b/>
          <w:bCs/>
          <w:szCs w:val="24"/>
          <w:lang w:val="es-ES"/>
        </w:rPr>
        <w:t>García</w:t>
      </w:r>
      <w:r>
        <w:rPr>
          <w:rFonts w:ascii="Arial" w:hAnsi="Arial" w:cs="Arial"/>
          <w:b/>
          <w:bCs/>
          <w:szCs w:val="24"/>
          <w:lang w:val="es-ES"/>
        </w:rPr>
        <w:t>, F. J.</w:t>
      </w:r>
    </w:p>
    <w:p w:rsidR="00846109" w:rsidRPr="006B0236" w:rsidRDefault="00846109" w:rsidP="00846109">
      <w:pPr>
        <w:widowControl w:val="0"/>
        <w:jc w:val="center"/>
        <w:rPr>
          <w:rFonts w:ascii="Arial" w:hAnsi="Arial" w:cs="Arial"/>
          <w:color w:val="000000"/>
        </w:rPr>
      </w:pPr>
      <w:r w:rsidRPr="006B0236">
        <w:rPr>
          <w:rFonts w:ascii="Arial" w:hAnsi="Arial" w:cs="Arial"/>
          <w:color w:val="000000"/>
        </w:rPr>
        <w:lastRenderedPageBreak/>
        <w:t>Centro de Ciencias de la Atmósfera, Universidad Nacional Autónoma de México</w:t>
      </w:r>
    </w:p>
    <w:p w:rsidR="00846109" w:rsidRDefault="00846109" w:rsidP="00846109">
      <w:pPr>
        <w:widowControl w:val="0"/>
        <w:jc w:val="center"/>
        <w:rPr>
          <w:rFonts w:ascii="Arial" w:hAnsi="Arial" w:cs="Arial"/>
          <w:color w:val="000000"/>
        </w:rPr>
      </w:pPr>
      <w:r w:rsidRPr="006B0236">
        <w:rPr>
          <w:rFonts w:ascii="Arial" w:hAnsi="Arial" w:cs="Arial"/>
          <w:color w:val="000000"/>
        </w:rPr>
        <w:t>Circuito Exterior, Ciudad Universitaria, CDMX, C. P. 04510, México</w:t>
      </w:r>
    </w:p>
    <w:p w:rsidR="00846109" w:rsidRDefault="00846109" w:rsidP="00846109">
      <w:pPr>
        <w:pStyle w:val="affiliation"/>
        <w:rPr>
          <w:rFonts w:ascii="Arial" w:hAnsi="Arial" w:cs="Arial"/>
          <w:sz w:val="24"/>
          <w:szCs w:val="24"/>
          <w:u w:val="single"/>
          <w:lang w:val="es-ES"/>
        </w:rPr>
      </w:pPr>
      <w:r w:rsidRPr="009F2CC8">
        <w:rPr>
          <w:rFonts w:ascii="Arial" w:hAnsi="Arial" w:cs="Arial"/>
          <w:sz w:val="24"/>
          <w:szCs w:val="24"/>
          <w:lang w:val="es-ES"/>
        </w:rPr>
        <w:t>pdavid@atmosfera.unam.mx, skiba@unam.mx, snel.nsi@gmail.com</w:t>
      </w:r>
    </w:p>
    <w:p w:rsidR="00846109" w:rsidRPr="009F2CC8" w:rsidRDefault="00846109" w:rsidP="00846109">
      <w:pPr>
        <w:pStyle w:val="affiliation"/>
        <w:jc w:val="both"/>
        <w:rPr>
          <w:rFonts w:ascii="Arial" w:hAnsi="Arial" w:cs="Arial"/>
          <w:color w:val="000000"/>
          <w:sz w:val="24"/>
          <w:szCs w:val="24"/>
          <w:lang w:val="es-ES"/>
        </w:rPr>
      </w:pPr>
    </w:p>
    <w:p w:rsidR="00846109" w:rsidRPr="00040D90" w:rsidRDefault="00846109" w:rsidP="00846109">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olor w:val="000000"/>
          <w:sz w:val="24"/>
          <w:szCs w:val="24"/>
        </w:rPr>
      </w:pPr>
      <w:bookmarkStart w:id="114" w:name="_Toc50031227"/>
      <w:r w:rsidRPr="00040D90">
        <w:rPr>
          <w:rFonts w:ascii="Arial" w:hAnsi="Arial" w:cs="Arial"/>
          <w:i/>
          <w:caps/>
          <w:sz w:val="24"/>
          <w:szCs w:val="24"/>
        </w:rPr>
        <w:t>1. R</w:t>
      </w:r>
      <w:r w:rsidRPr="00040D90">
        <w:rPr>
          <w:rFonts w:ascii="Arial" w:hAnsi="Arial" w:cs="Arial"/>
          <w:i/>
          <w:sz w:val="24"/>
          <w:szCs w:val="24"/>
        </w:rPr>
        <w:t>esumen</w:t>
      </w:r>
      <w:bookmarkEnd w:id="114"/>
      <w:r w:rsidRPr="00040D90">
        <w:rPr>
          <w:rFonts w:ascii="Arial" w:hAnsi="Arial" w:cs="Arial"/>
          <w:i/>
          <w:caps/>
          <w:sz w:val="24"/>
          <w:szCs w:val="24"/>
        </w:rPr>
        <w:t xml:space="preserve"> </w:t>
      </w:r>
    </w:p>
    <w:p w:rsidR="00846109" w:rsidRPr="00084349" w:rsidRDefault="00846109" w:rsidP="00846109">
      <w:pPr>
        <w:ind w:firstLine="567"/>
        <w:jc w:val="both"/>
        <w:rPr>
          <w:rFonts w:ascii="Arial" w:hAnsi="Arial" w:cs="Arial"/>
          <w:color w:val="000000"/>
          <w:lang w:val="es-MX"/>
        </w:rPr>
      </w:pPr>
      <w:r w:rsidRPr="009214A5">
        <w:rPr>
          <w:rFonts w:ascii="Arial" w:hAnsi="Arial" w:cs="Arial"/>
          <w:color w:val="000000"/>
          <w:lang w:val="es-MX"/>
        </w:rPr>
        <w:t>En este trabajo</w:t>
      </w:r>
      <w:r>
        <w:rPr>
          <w:rFonts w:ascii="Arial" w:hAnsi="Arial" w:cs="Arial"/>
          <w:color w:val="000000"/>
          <w:lang w:val="es-MX"/>
        </w:rPr>
        <w:t xml:space="preserve"> </w:t>
      </w:r>
      <w:r w:rsidRPr="009214A5">
        <w:rPr>
          <w:rFonts w:ascii="Arial" w:hAnsi="Arial" w:cs="Arial"/>
          <w:color w:val="000000"/>
          <w:lang w:val="es-MX"/>
        </w:rPr>
        <w:t>se presenta un método inverso para estimar la tasa de emisión de una fuente puntual no-estacionaria que emite un contaminante hacia la atmósfera. El método se formula como un problema variacional (regularización</w:t>
      </w:r>
      <w:r>
        <w:rPr>
          <w:rFonts w:ascii="Arial" w:hAnsi="Arial" w:cs="Arial"/>
          <w:color w:val="000000"/>
          <w:lang w:val="es-MX"/>
        </w:rPr>
        <w:t xml:space="preserve"> tipo Tijonov</w:t>
      </w:r>
      <w:r w:rsidRPr="009214A5">
        <w:rPr>
          <w:rFonts w:ascii="Arial" w:hAnsi="Arial" w:cs="Arial"/>
          <w:color w:val="000000"/>
          <w:lang w:val="es-MX"/>
        </w:rPr>
        <w:t>)</w:t>
      </w:r>
      <w:r>
        <w:rPr>
          <w:rFonts w:ascii="Arial" w:hAnsi="Arial" w:cs="Arial"/>
          <w:color w:val="000000"/>
        </w:rPr>
        <w:t xml:space="preserve">. </w:t>
      </w:r>
      <w:r>
        <w:rPr>
          <w:rFonts w:ascii="Arial" w:hAnsi="Arial" w:cs="Arial"/>
          <w:color w:val="000000"/>
          <w:lang w:val="es-MX"/>
        </w:rPr>
        <w:t>Se analizan</w:t>
      </w:r>
      <w:r w:rsidRPr="00084349">
        <w:rPr>
          <w:rFonts w:ascii="Arial" w:hAnsi="Arial" w:cs="Arial"/>
          <w:color w:val="000000"/>
          <w:lang w:val="es-MX"/>
        </w:rPr>
        <w:t xml:space="preserve"> ejemplos numéricos de la e</w:t>
      </w:r>
      <w:r>
        <w:rPr>
          <w:rFonts w:ascii="Arial" w:hAnsi="Arial" w:cs="Arial"/>
          <w:color w:val="000000"/>
          <w:lang w:val="es-MX"/>
        </w:rPr>
        <w:t xml:space="preserve">stimación de la tasa de emisión </w:t>
      </w:r>
      <w:r w:rsidRPr="00084349">
        <w:rPr>
          <w:rFonts w:ascii="Arial" w:hAnsi="Arial" w:cs="Arial"/>
          <w:color w:val="000000"/>
          <w:lang w:val="es-MX"/>
        </w:rPr>
        <w:t>utilizando una v</w:t>
      </w:r>
      <w:r>
        <w:rPr>
          <w:rFonts w:ascii="Arial" w:hAnsi="Arial" w:cs="Arial"/>
          <w:color w:val="000000"/>
          <w:lang w:val="es-MX"/>
        </w:rPr>
        <w:t>ersión unidimensional del modelo de dispersión</w:t>
      </w:r>
      <w:r w:rsidRPr="00084349">
        <w:rPr>
          <w:rFonts w:ascii="Arial" w:hAnsi="Arial" w:cs="Arial"/>
          <w:color w:val="000000"/>
          <w:lang w:val="es-MX"/>
        </w:rPr>
        <w:t>. El método</w:t>
      </w:r>
      <w:r>
        <w:rPr>
          <w:rFonts w:ascii="Arial" w:hAnsi="Arial" w:cs="Arial"/>
          <w:color w:val="000000"/>
          <w:lang w:val="es-MX"/>
        </w:rPr>
        <w:t xml:space="preserve"> inverso se puede aplicar tanto </w:t>
      </w:r>
      <w:r w:rsidRPr="00084349">
        <w:rPr>
          <w:rFonts w:ascii="Arial" w:hAnsi="Arial" w:cs="Arial"/>
          <w:color w:val="000000"/>
          <w:lang w:val="es-MX"/>
        </w:rPr>
        <w:t>para una</w:t>
      </w:r>
      <w:r>
        <w:rPr>
          <w:rFonts w:ascii="Arial" w:hAnsi="Arial" w:cs="Arial"/>
          <w:color w:val="000000"/>
          <w:lang w:val="es-MX"/>
        </w:rPr>
        <w:t xml:space="preserve"> serie de tiempo </w:t>
      </w:r>
      <w:r w:rsidRPr="00084349">
        <w:rPr>
          <w:rFonts w:ascii="Arial" w:hAnsi="Arial" w:cs="Arial"/>
          <w:color w:val="000000"/>
          <w:lang w:val="es-MX"/>
        </w:rPr>
        <w:t>de la concentración de un contaminante atmosférico, es decir, datos recabados en una estación de monitoreo</w:t>
      </w:r>
      <w:r>
        <w:rPr>
          <w:rFonts w:ascii="Arial" w:hAnsi="Arial" w:cs="Arial"/>
          <w:color w:val="000000"/>
          <w:lang w:val="es-MX"/>
        </w:rPr>
        <w:t>, como para datos</w:t>
      </w:r>
      <w:r w:rsidRPr="00084349">
        <w:rPr>
          <w:rFonts w:ascii="Arial" w:hAnsi="Arial" w:cs="Arial"/>
          <w:color w:val="000000"/>
          <w:lang w:val="es-MX"/>
        </w:rPr>
        <w:t xml:space="preserve"> de la concentración distribuidos en un </w:t>
      </w:r>
      <w:r>
        <w:rPr>
          <w:rFonts w:ascii="Arial" w:hAnsi="Arial" w:cs="Arial"/>
          <w:color w:val="000000"/>
          <w:lang w:val="es-MX"/>
        </w:rPr>
        <w:t>dominio a un tiempo fijo. Las estimaciones</w:t>
      </w:r>
      <w:r w:rsidRPr="00084349">
        <w:rPr>
          <w:rFonts w:ascii="Arial" w:hAnsi="Arial" w:cs="Arial"/>
          <w:color w:val="000000"/>
          <w:lang w:val="es-MX"/>
        </w:rPr>
        <w:t xml:space="preserve"> del método son diferentes con respecto a estos conjuntos de datos. Se obtiene un buen resultado en la recuperación de la tasa de emisión usando series de tiem</w:t>
      </w:r>
      <w:r>
        <w:rPr>
          <w:rFonts w:ascii="Arial" w:hAnsi="Arial" w:cs="Arial"/>
          <w:color w:val="000000"/>
          <w:lang w:val="es-MX"/>
        </w:rPr>
        <w:t xml:space="preserve">po, mientras que los </w:t>
      </w:r>
      <w:r w:rsidRPr="00084349">
        <w:rPr>
          <w:rFonts w:ascii="Arial" w:hAnsi="Arial" w:cs="Arial"/>
          <w:color w:val="000000"/>
          <w:lang w:val="es-MX"/>
        </w:rPr>
        <w:t>datos espacialmente distribuidos no son viables para resolver el problema inverso.</w:t>
      </w:r>
    </w:p>
    <w:p w:rsidR="00846109" w:rsidRDefault="00846109" w:rsidP="00846109">
      <w:pPr>
        <w:jc w:val="both"/>
        <w:rPr>
          <w:rFonts w:ascii="Arial" w:hAnsi="Arial" w:cs="Arial"/>
        </w:rPr>
      </w:pPr>
    </w:p>
    <w:p w:rsidR="00846109" w:rsidRPr="00040D90" w:rsidRDefault="00846109" w:rsidP="00846109">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aps/>
          <w:sz w:val="24"/>
          <w:szCs w:val="24"/>
        </w:rPr>
      </w:pPr>
      <w:bookmarkStart w:id="115" w:name="_Toc50031228"/>
      <w:r w:rsidRPr="00040D90">
        <w:rPr>
          <w:rFonts w:ascii="Arial" w:hAnsi="Arial" w:cs="Arial"/>
          <w:i/>
          <w:caps/>
          <w:sz w:val="24"/>
          <w:szCs w:val="24"/>
        </w:rPr>
        <w:t>2. I</w:t>
      </w:r>
      <w:r w:rsidRPr="00040D90">
        <w:rPr>
          <w:rFonts w:ascii="Arial" w:hAnsi="Arial" w:cs="Arial"/>
          <w:i/>
          <w:sz w:val="24"/>
          <w:szCs w:val="24"/>
        </w:rPr>
        <w:t>ntroducción</w:t>
      </w:r>
      <w:bookmarkEnd w:id="115"/>
      <w:r w:rsidRPr="00040D90">
        <w:rPr>
          <w:rFonts w:ascii="Arial" w:hAnsi="Arial" w:cs="Arial"/>
          <w:i/>
          <w:caps/>
          <w:sz w:val="24"/>
          <w:szCs w:val="24"/>
        </w:rPr>
        <w:t xml:space="preserve"> </w:t>
      </w:r>
    </w:p>
    <w:p w:rsidR="00846109" w:rsidRPr="00CB37FB" w:rsidRDefault="00846109" w:rsidP="00846109">
      <w:pPr>
        <w:ind w:firstLine="567"/>
        <w:jc w:val="both"/>
        <w:rPr>
          <w:rFonts w:ascii="Arial" w:hAnsi="Arial" w:cs="Arial"/>
        </w:rPr>
      </w:pPr>
      <w:r w:rsidRPr="00CB37FB">
        <w:rPr>
          <w:rFonts w:ascii="Arial" w:hAnsi="Arial" w:cs="Arial"/>
        </w:rPr>
        <w:t>En forma general, los problemas inversos consisten en la determinación de las causas a partir del conocimiento de los efecto</w:t>
      </w:r>
      <w:r>
        <w:rPr>
          <w:rFonts w:ascii="Arial" w:hAnsi="Arial" w:cs="Arial"/>
        </w:rPr>
        <w:t>s en un sistema (modelo)</w:t>
      </w:r>
      <w:r w:rsidRPr="00CB37FB">
        <w:rPr>
          <w:rFonts w:ascii="Arial" w:hAnsi="Arial" w:cs="Arial"/>
        </w:rPr>
        <w:t>. Siendo los efectos los valores observados de las variables de estado, y las causas las condiciones iniciales, forzamientos o valores de parámetros que tienen la capacidad de conducir al sistema hasta dicho comportamiento. De esta forma, cada problema inverso corresponde a un problema directo, siendo estos últimos aquellos problemas donde para un conjunto d</w:t>
      </w:r>
      <w:r>
        <w:rPr>
          <w:rFonts w:ascii="Arial" w:hAnsi="Arial" w:cs="Arial"/>
        </w:rPr>
        <w:t>e causas conocidas se pronostican</w:t>
      </w:r>
      <w:r w:rsidRPr="00CB37FB">
        <w:rPr>
          <w:rFonts w:ascii="Arial" w:hAnsi="Arial" w:cs="Arial"/>
        </w:rPr>
        <w:t xml:space="preserve"> los efectos en un sistema.</w:t>
      </w:r>
    </w:p>
    <w:p w:rsidR="00846109" w:rsidRPr="00CB37FB" w:rsidRDefault="00846109" w:rsidP="00846109">
      <w:pPr>
        <w:ind w:firstLine="567"/>
        <w:jc w:val="both"/>
        <w:rPr>
          <w:rFonts w:ascii="Arial" w:hAnsi="Arial" w:cs="Arial"/>
        </w:rPr>
      </w:pPr>
      <w:r w:rsidRPr="00CB37FB">
        <w:rPr>
          <w:rFonts w:ascii="Arial" w:hAnsi="Arial" w:cs="Arial"/>
        </w:rPr>
        <w:t>Una característica significativa es que</w:t>
      </w:r>
      <w:r>
        <w:rPr>
          <w:rFonts w:ascii="Arial" w:hAnsi="Arial" w:cs="Arial"/>
        </w:rPr>
        <w:t>,</w:t>
      </w:r>
      <w:r w:rsidRPr="00CB37FB">
        <w:rPr>
          <w:rFonts w:ascii="Arial" w:hAnsi="Arial" w:cs="Arial"/>
        </w:rPr>
        <w:t xml:space="preserve"> aún cuando los problemas directos están bien formulados</w:t>
      </w:r>
      <w:r>
        <w:rPr>
          <w:rFonts w:ascii="Arial" w:hAnsi="Arial" w:cs="Arial"/>
        </w:rPr>
        <w:t>,</w:t>
      </w:r>
      <w:r w:rsidRPr="00CB37FB">
        <w:rPr>
          <w:rFonts w:ascii="Arial" w:hAnsi="Arial" w:cs="Arial"/>
        </w:rPr>
        <w:t xml:space="preserve"> los problemas inversos correspondientes caen frecuentemente en el campo de los problemas mal formulados, es decir, son problemas que presentan diferentes tipos de inestabilidad</w:t>
      </w:r>
      <w:r>
        <w:rPr>
          <w:rFonts w:ascii="Arial" w:hAnsi="Arial" w:cs="Arial"/>
        </w:rPr>
        <w:t>,</w:t>
      </w:r>
      <w:r w:rsidRPr="00CB37FB">
        <w:rPr>
          <w:rFonts w:ascii="Arial" w:hAnsi="Arial" w:cs="Arial"/>
        </w:rPr>
        <w:t xml:space="preserve"> o no satisfacen la existencia o la unicidad de la solución</w:t>
      </w:r>
      <w:r>
        <w:rPr>
          <w:rFonts w:ascii="Arial" w:hAnsi="Arial" w:cs="Arial"/>
        </w:rPr>
        <w:t xml:space="preserve"> </w:t>
      </w:r>
      <w:r>
        <w:rPr>
          <w:rFonts w:ascii="Arial" w:hAnsi="Arial" w:cs="Arial"/>
          <w:vertAlign w:val="superscript"/>
        </w:rPr>
        <w:t>[1]</w:t>
      </w:r>
      <w:r w:rsidRPr="00CB37FB">
        <w:rPr>
          <w:rFonts w:ascii="Arial" w:hAnsi="Arial" w:cs="Arial"/>
        </w:rPr>
        <w:t>. De esta forma, la determinación de una solución en un problema inverso r</w:t>
      </w:r>
      <w:r>
        <w:rPr>
          <w:rFonts w:ascii="Arial" w:hAnsi="Arial" w:cs="Arial"/>
        </w:rPr>
        <w:t>equiere, además de la comprensión</w:t>
      </w:r>
      <w:r w:rsidRPr="00CB37FB">
        <w:rPr>
          <w:rFonts w:ascii="Arial" w:hAnsi="Arial" w:cs="Arial"/>
        </w:rPr>
        <w:t xml:space="preserve"> del problema directo (sistema), la introducción de métodos capaces de atenuar el proceso de inestabilidad para así poder seleccionar una solución congruente con el fenómeno en estudio. Dichos métodos se conocen como </w:t>
      </w:r>
      <w:r w:rsidRPr="00ED6103">
        <w:rPr>
          <w:rFonts w:ascii="Arial" w:hAnsi="Arial" w:cs="Arial"/>
          <w:i/>
        </w:rPr>
        <w:t>regularizaciones del problema inverso</w:t>
      </w:r>
      <w:r>
        <w:rPr>
          <w:rFonts w:ascii="Arial" w:hAnsi="Arial" w:cs="Arial"/>
        </w:rPr>
        <w:t xml:space="preserve"> </w:t>
      </w:r>
      <w:r>
        <w:rPr>
          <w:rFonts w:ascii="Arial" w:hAnsi="Arial" w:cs="Arial"/>
          <w:vertAlign w:val="superscript"/>
        </w:rPr>
        <w:t>[1]</w:t>
      </w:r>
      <w:r>
        <w:rPr>
          <w:rFonts w:ascii="Arial" w:hAnsi="Arial" w:cs="Arial"/>
        </w:rPr>
        <w:t>. Entre tales métodos son importantes</w:t>
      </w:r>
      <w:r w:rsidRPr="00CB37FB">
        <w:rPr>
          <w:rFonts w:ascii="Arial" w:hAnsi="Arial" w:cs="Arial"/>
        </w:rPr>
        <w:t xml:space="preserve"> aquellos introducidos por Ti</w:t>
      </w:r>
      <w:r>
        <w:rPr>
          <w:rFonts w:ascii="Arial" w:hAnsi="Arial" w:cs="Arial"/>
        </w:rPr>
        <w:t xml:space="preserve">jonov </w:t>
      </w:r>
      <w:r>
        <w:rPr>
          <w:rFonts w:ascii="Arial" w:hAnsi="Arial" w:cs="Arial"/>
          <w:vertAlign w:val="superscript"/>
        </w:rPr>
        <w:t>[2]</w:t>
      </w:r>
      <w:r w:rsidRPr="00CB37FB">
        <w:rPr>
          <w:rFonts w:ascii="Arial" w:hAnsi="Arial" w:cs="Arial"/>
        </w:rPr>
        <w:t>, los cuales consisten en la minim</w:t>
      </w:r>
      <w:r>
        <w:rPr>
          <w:rFonts w:ascii="Arial" w:hAnsi="Arial" w:cs="Arial"/>
        </w:rPr>
        <w:t>ización de un</w:t>
      </w:r>
      <w:r w:rsidRPr="00CB37FB">
        <w:rPr>
          <w:rFonts w:ascii="Arial" w:hAnsi="Arial" w:cs="Arial"/>
        </w:rPr>
        <w:t xml:space="preserve"> funcional que agrupa el error en los datos, y alguna norma para las variables de control y sus derivadas</w:t>
      </w:r>
      <w:r>
        <w:rPr>
          <w:rFonts w:ascii="Arial" w:hAnsi="Arial" w:cs="Arial"/>
        </w:rPr>
        <w:t xml:space="preserve"> </w:t>
      </w:r>
      <w:r>
        <w:rPr>
          <w:rFonts w:ascii="Arial" w:hAnsi="Arial" w:cs="Arial"/>
          <w:vertAlign w:val="superscript"/>
        </w:rPr>
        <w:t>[1,2]</w:t>
      </w:r>
      <w:r w:rsidRPr="00CB37FB">
        <w:rPr>
          <w:rFonts w:ascii="Arial" w:hAnsi="Arial" w:cs="Arial"/>
        </w:rPr>
        <w:t>.</w:t>
      </w:r>
    </w:p>
    <w:p w:rsidR="00846109" w:rsidRPr="00CB37FB" w:rsidRDefault="00846109" w:rsidP="00846109">
      <w:pPr>
        <w:ind w:firstLine="567"/>
        <w:jc w:val="both"/>
        <w:rPr>
          <w:rFonts w:ascii="Arial" w:hAnsi="Arial" w:cs="Arial"/>
        </w:rPr>
      </w:pPr>
      <w:r>
        <w:rPr>
          <w:rFonts w:ascii="Arial" w:hAnsi="Arial" w:cs="Arial"/>
        </w:rPr>
        <w:t>Entre las técnicas</w:t>
      </w:r>
      <w:r w:rsidRPr="00CB37FB">
        <w:rPr>
          <w:rFonts w:ascii="Arial" w:hAnsi="Arial" w:cs="Arial"/>
        </w:rPr>
        <w:t xml:space="preserve"> de modelación inversa </w:t>
      </w:r>
      <w:r>
        <w:rPr>
          <w:rFonts w:ascii="Arial" w:hAnsi="Arial" w:cs="Arial"/>
        </w:rPr>
        <w:t>también destacan aquellas basada</w:t>
      </w:r>
      <w:r w:rsidRPr="00CB37FB">
        <w:rPr>
          <w:rFonts w:ascii="Arial" w:hAnsi="Arial" w:cs="Arial"/>
        </w:rPr>
        <w:t>s en el uso de las funciones adjuntas y un principio de dualidad</w:t>
      </w:r>
      <w:r>
        <w:rPr>
          <w:rFonts w:ascii="Arial" w:hAnsi="Arial" w:cs="Arial"/>
        </w:rPr>
        <w:t>. L</w:t>
      </w:r>
      <w:r w:rsidRPr="00CB37FB">
        <w:rPr>
          <w:rFonts w:ascii="Arial" w:hAnsi="Arial" w:cs="Arial"/>
        </w:rPr>
        <w:t>a estimación dual usa la so</w:t>
      </w:r>
      <w:r>
        <w:rPr>
          <w:rFonts w:ascii="Arial" w:hAnsi="Arial" w:cs="Arial"/>
        </w:rPr>
        <w:t xml:space="preserve">lución del modelo </w:t>
      </w:r>
      <w:r w:rsidRPr="00CB37FB">
        <w:rPr>
          <w:rFonts w:ascii="Arial" w:hAnsi="Arial" w:cs="Arial"/>
        </w:rPr>
        <w:t xml:space="preserve">adjunto como núcleo en una ecuación integral, y tiene la ventaja de </w:t>
      </w:r>
      <w:r>
        <w:rPr>
          <w:rFonts w:ascii="Arial" w:hAnsi="Arial" w:cs="Arial"/>
        </w:rPr>
        <w:t xml:space="preserve">presentar </w:t>
      </w:r>
      <w:r w:rsidRPr="00CB37FB">
        <w:rPr>
          <w:rFonts w:ascii="Arial" w:hAnsi="Arial" w:cs="Arial"/>
        </w:rPr>
        <w:t xml:space="preserve">en forma explícita la influencia que las condiciones iniciales y </w:t>
      </w:r>
      <w:r>
        <w:rPr>
          <w:rFonts w:ascii="Arial" w:hAnsi="Arial" w:cs="Arial"/>
        </w:rPr>
        <w:t xml:space="preserve">los forzamientos tienen </w:t>
      </w:r>
      <w:r w:rsidRPr="00CB37FB">
        <w:rPr>
          <w:rFonts w:ascii="Arial" w:hAnsi="Arial" w:cs="Arial"/>
        </w:rPr>
        <w:t>sobre las variables de es</w:t>
      </w:r>
      <w:r>
        <w:rPr>
          <w:rFonts w:ascii="Arial" w:hAnsi="Arial" w:cs="Arial"/>
        </w:rPr>
        <w:t xml:space="preserve">tado del sistema </w:t>
      </w:r>
      <w:r>
        <w:rPr>
          <w:rFonts w:ascii="Arial" w:hAnsi="Arial" w:cs="Arial"/>
          <w:vertAlign w:val="superscript"/>
        </w:rPr>
        <w:t>[3]</w:t>
      </w:r>
      <w:r w:rsidRPr="00CB37FB">
        <w:rPr>
          <w:rFonts w:ascii="Arial" w:hAnsi="Arial" w:cs="Arial"/>
        </w:rPr>
        <w:t>.</w:t>
      </w:r>
    </w:p>
    <w:p w:rsidR="00846109" w:rsidRPr="00CB37FB" w:rsidRDefault="00846109" w:rsidP="00846109">
      <w:pPr>
        <w:ind w:firstLine="567"/>
        <w:jc w:val="both"/>
        <w:rPr>
          <w:rFonts w:ascii="Arial" w:hAnsi="Arial" w:cs="Arial"/>
        </w:rPr>
      </w:pPr>
      <w:r w:rsidRPr="00CB37FB">
        <w:rPr>
          <w:rFonts w:ascii="Arial" w:hAnsi="Arial" w:cs="Arial"/>
        </w:rPr>
        <w:lastRenderedPageBreak/>
        <w:t>En e</w:t>
      </w:r>
      <w:r>
        <w:rPr>
          <w:rFonts w:ascii="Arial" w:hAnsi="Arial" w:cs="Arial"/>
        </w:rPr>
        <w:t>ste trabajo se aplica esta técnica</w:t>
      </w:r>
      <w:r w:rsidRPr="00CB37FB">
        <w:rPr>
          <w:rFonts w:ascii="Arial" w:hAnsi="Arial" w:cs="Arial"/>
        </w:rPr>
        <w:t>, junto con una regularización del tipo Tijonov, para obtener la solución de un problema inverso en el contexto de la estimación de fuentes conta</w:t>
      </w:r>
      <w:r>
        <w:rPr>
          <w:rFonts w:ascii="Arial" w:hAnsi="Arial" w:cs="Arial"/>
        </w:rPr>
        <w:t>minantes. E</w:t>
      </w:r>
      <w:r w:rsidRPr="00CB37FB">
        <w:rPr>
          <w:rFonts w:ascii="Arial" w:hAnsi="Arial" w:cs="Arial"/>
        </w:rPr>
        <w:t xml:space="preserve">l problema a tratar consiste en la recuperación de la </w:t>
      </w:r>
      <w:r>
        <w:rPr>
          <w:rFonts w:ascii="Arial" w:hAnsi="Arial" w:cs="Arial"/>
        </w:rPr>
        <w:t>tasa de emisión no-estacionaria</w:t>
      </w:r>
      <w:r w:rsidRPr="00CB37FB">
        <w:rPr>
          <w:rFonts w:ascii="Arial" w:hAnsi="Arial" w:cs="Arial"/>
        </w:rPr>
        <w:t xml:space="preserve"> de</w:t>
      </w:r>
      <w:r>
        <w:rPr>
          <w:rFonts w:ascii="Arial" w:hAnsi="Arial" w:cs="Arial"/>
        </w:rPr>
        <w:t xml:space="preserve"> una fuente puntual desconocida</w:t>
      </w:r>
      <w:r w:rsidRPr="00CB37FB">
        <w:rPr>
          <w:rFonts w:ascii="Arial" w:hAnsi="Arial" w:cs="Arial"/>
        </w:rPr>
        <w:t xml:space="preserve"> a partir de los datos de concentración en algunos sitios d</w:t>
      </w:r>
      <w:r>
        <w:rPr>
          <w:rFonts w:ascii="Arial" w:hAnsi="Arial" w:cs="Arial"/>
        </w:rPr>
        <w:t xml:space="preserve">e monitoreo (series de tiempo </w:t>
      </w:r>
      <w:r w:rsidRPr="00CB37FB">
        <w:rPr>
          <w:rFonts w:ascii="Arial" w:hAnsi="Arial" w:cs="Arial"/>
        </w:rPr>
        <w:t xml:space="preserve">o datos espacialmente distribuidos). La solución de este problema inverso </w:t>
      </w:r>
      <w:r>
        <w:rPr>
          <w:rFonts w:ascii="Arial" w:hAnsi="Arial" w:cs="Arial"/>
        </w:rPr>
        <w:t xml:space="preserve">permite </w:t>
      </w:r>
      <w:r w:rsidRPr="00CB37FB">
        <w:rPr>
          <w:rFonts w:ascii="Arial" w:hAnsi="Arial" w:cs="Arial"/>
        </w:rPr>
        <w:t xml:space="preserve">estimar y verificar inventarios de emisiones de diversas sustancias tóxicas de </w:t>
      </w:r>
      <w:r>
        <w:rPr>
          <w:rFonts w:ascii="Arial" w:hAnsi="Arial" w:cs="Arial"/>
        </w:rPr>
        <w:t>origen químico o biológico</w:t>
      </w:r>
      <w:r w:rsidRPr="00CB37FB">
        <w:rPr>
          <w:rFonts w:ascii="Arial" w:hAnsi="Arial" w:cs="Arial"/>
        </w:rPr>
        <w:t>, así como para detectar la intensida</w:t>
      </w:r>
      <w:r>
        <w:rPr>
          <w:rFonts w:ascii="Arial" w:hAnsi="Arial" w:cs="Arial"/>
        </w:rPr>
        <w:t xml:space="preserve">d y ubicación de fuentes desconocidas que emiten contaminantes atmosféricos </w:t>
      </w:r>
      <w:r>
        <w:rPr>
          <w:rFonts w:ascii="Arial" w:hAnsi="Arial" w:cs="Arial"/>
          <w:vertAlign w:val="superscript"/>
        </w:rPr>
        <w:t>[3,4]</w:t>
      </w:r>
      <w:r w:rsidRPr="00CB37FB">
        <w:rPr>
          <w:rFonts w:ascii="Arial" w:hAnsi="Arial" w:cs="Arial"/>
        </w:rPr>
        <w:t>.</w:t>
      </w:r>
      <w:r>
        <w:rPr>
          <w:rFonts w:ascii="Arial" w:hAnsi="Arial" w:cs="Arial"/>
        </w:rPr>
        <w:t xml:space="preserve"> El objetivo del trabajo es estudiar</w:t>
      </w:r>
      <w:r w:rsidRPr="00CB37FB">
        <w:rPr>
          <w:rFonts w:ascii="Arial" w:hAnsi="Arial" w:cs="Arial"/>
        </w:rPr>
        <w:t xml:space="preserve"> el desempeño de la regularización </w:t>
      </w:r>
      <w:r>
        <w:rPr>
          <w:rFonts w:ascii="Arial" w:hAnsi="Arial" w:cs="Arial"/>
        </w:rPr>
        <w:t xml:space="preserve">del problema inverso </w:t>
      </w:r>
      <w:r w:rsidRPr="00CB37FB">
        <w:rPr>
          <w:rFonts w:ascii="Arial" w:hAnsi="Arial" w:cs="Arial"/>
        </w:rPr>
        <w:t>cuando diferentes conjuntos de datos son utilizados (series de tiempo y datos espacialmente distribuidos). Di</w:t>
      </w:r>
      <w:r>
        <w:rPr>
          <w:rFonts w:ascii="Arial" w:hAnsi="Arial" w:cs="Arial"/>
        </w:rPr>
        <w:t xml:space="preserve">cho análisis permite </w:t>
      </w:r>
      <w:r w:rsidRPr="00CB37FB">
        <w:rPr>
          <w:rFonts w:ascii="Arial" w:hAnsi="Arial" w:cs="Arial"/>
        </w:rPr>
        <w:t>determinar el tipo de información que es más adecuada para lograr una buena recuperación de la tasa de emisión de una fuente desconocida.</w:t>
      </w:r>
    </w:p>
    <w:p w:rsidR="00846109" w:rsidRPr="00A7164B" w:rsidRDefault="00846109" w:rsidP="00846109">
      <w:pPr>
        <w:jc w:val="both"/>
        <w:rPr>
          <w:rFonts w:ascii="Arial" w:hAnsi="Arial" w:cs="Arial"/>
          <w:color w:val="000000"/>
        </w:rPr>
      </w:pPr>
    </w:p>
    <w:p w:rsidR="00846109" w:rsidRPr="00040D90" w:rsidRDefault="00846109" w:rsidP="00846109">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116" w:name="_Toc50031229"/>
      <w:r w:rsidRPr="00040D90">
        <w:rPr>
          <w:rFonts w:ascii="Arial" w:hAnsi="Arial" w:cs="Arial"/>
          <w:i/>
          <w:caps/>
          <w:sz w:val="24"/>
          <w:szCs w:val="24"/>
        </w:rPr>
        <w:t>3. M</w:t>
      </w:r>
      <w:r w:rsidRPr="00040D90">
        <w:rPr>
          <w:rFonts w:ascii="Arial" w:hAnsi="Arial" w:cs="Arial"/>
          <w:i/>
          <w:sz w:val="24"/>
          <w:szCs w:val="24"/>
        </w:rPr>
        <w:t>odelos y regularización del problema inverso</w:t>
      </w:r>
      <w:bookmarkEnd w:id="116"/>
    </w:p>
    <w:p w:rsidR="00846109" w:rsidRPr="00BD2677" w:rsidRDefault="00846109" w:rsidP="00846109">
      <w:pPr>
        <w:ind w:firstLine="567"/>
        <w:jc w:val="both"/>
        <w:rPr>
          <w:rFonts w:ascii="Arial" w:hAnsi="Arial" w:cs="Arial"/>
          <w:lang w:val="es-MX"/>
        </w:rPr>
      </w:pPr>
      <w:r w:rsidRPr="00BD2677">
        <w:rPr>
          <w:rFonts w:ascii="Arial" w:hAnsi="Arial" w:cs="Arial"/>
          <w:lang w:val="es-MX"/>
        </w:rPr>
        <w:t xml:space="preserve">En esta sección se considera el siguiente modelo de difusión-reacción de dimensión uno para </w:t>
      </w:r>
      <w:r>
        <w:rPr>
          <w:rFonts w:ascii="Arial" w:hAnsi="Arial" w:cs="Arial"/>
          <w:lang w:val="es-MX"/>
        </w:rPr>
        <w:t xml:space="preserve">describir </w:t>
      </w:r>
      <w:r w:rsidRPr="00BD2677">
        <w:rPr>
          <w:rFonts w:ascii="Arial" w:hAnsi="Arial" w:cs="Arial"/>
          <w:lang w:val="es-MX"/>
        </w:rPr>
        <w:t xml:space="preserve">la concentración del contaminante </w:t>
      </w:r>
      <w:r w:rsidRPr="00BD2677">
        <w:rPr>
          <w:rFonts w:ascii="Arial" w:hAnsi="Arial" w:cs="Arial"/>
          <w:position w:val="-10"/>
          <w:lang w:val="es-MX"/>
        </w:rPr>
        <w:object w:dxaOrig="1040" w:dyaOrig="320">
          <v:shape id="_x0000_i1059" type="#_x0000_t75" style="width:50.4pt;height:14.4pt" o:ole="">
            <v:imagedata r:id="rId208" o:title=""/>
          </v:shape>
          <o:OLEObject Type="Embed" ProgID="Equation.DSMT4" ShapeID="_x0000_i1059" DrawAspect="Content" ObjectID="_1660649156" r:id="rId209"/>
        </w:object>
      </w:r>
      <w:r w:rsidRPr="00BD2677">
        <w:rPr>
          <w:rFonts w:ascii="Arial" w:hAnsi="Arial" w:cs="Arial"/>
          <w:lang w:val="es-MX"/>
        </w:rPr>
        <w:t>.</w:t>
      </w:r>
    </w:p>
    <w:p w:rsidR="00846109" w:rsidRPr="00BD2677" w:rsidRDefault="00846109" w:rsidP="00846109">
      <w:pPr>
        <w:jc w:val="both"/>
        <w:rPr>
          <w:rFonts w:ascii="Arial" w:hAnsi="Arial" w:cs="Arial"/>
          <w:lang w:val="es-MX"/>
        </w:rPr>
      </w:pPr>
    </w:p>
    <w:p w:rsidR="00846109" w:rsidRPr="00BD2677" w:rsidRDefault="00846109" w:rsidP="00846109">
      <w:pPr>
        <w:ind w:right="48"/>
        <w:jc w:val="right"/>
        <w:rPr>
          <w:rFonts w:ascii="Arial" w:hAnsi="Arial" w:cs="Arial"/>
          <w:lang w:val="es-MX"/>
        </w:rPr>
      </w:pPr>
      <w:r w:rsidRPr="00BD2677">
        <w:rPr>
          <w:rFonts w:ascii="Arial" w:hAnsi="Arial" w:cs="Arial"/>
          <w:position w:val="-24"/>
          <w:lang w:val="es-MX"/>
        </w:rPr>
        <w:object w:dxaOrig="5480" w:dyaOrig="660">
          <v:shape id="_x0000_i1060" type="#_x0000_t75" style="width:273.6pt;height:36pt" o:ole="">
            <v:imagedata r:id="rId210" o:title=""/>
          </v:shape>
          <o:OLEObject Type="Embed" ProgID="Equation.DSMT4" ShapeID="_x0000_i1060" DrawAspect="Content" ObjectID="_1660649157" r:id="rId211"/>
        </w:object>
      </w:r>
      <w:r>
        <w:rPr>
          <w:rFonts w:ascii="Arial" w:hAnsi="Arial" w:cs="Arial"/>
          <w:lang w:val="es-MX"/>
        </w:rPr>
        <w:t xml:space="preserve">                        (1</w:t>
      </w:r>
      <w:r w:rsidRPr="00BD2677">
        <w:rPr>
          <w:rFonts w:ascii="Arial" w:hAnsi="Arial" w:cs="Arial"/>
          <w:lang w:val="es-MX"/>
        </w:rPr>
        <w:t>)</w:t>
      </w:r>
    </w:p>
    <w:p w:rsidR="00846109" w:rsidRPr="00BD2677" w:rsidRDefault="00846109" w:rsidP="00846109">
      <w:pPr>
        <w:ind w:right="48"/>
        <w:jc w:val="right"/>
        <w:rPr>
          <w:rFonts w:ascii="Arial" w:hAnsi="Arial" w:cs="Arial"/>
          <w:lang w:val="es-MX"/>
        </w:rPr>
      </w:pPr>
      <w:r w:rsidRPr="00BD2677">
        <w:rPr>
          <w:rFonts w:ascii="Arial" w:hAnsi="Arial" w:cs="Arial"/>
          <w:position w:val="-24"/>
          <w:lang w:val="es-MX"/>
        </w:rPr>
        <w:object w:dxaOrig="2100" w:dyaOrig="620">
          <v:shape id="_x0000_i1061" type="#_x0000_t75" style="width:108pt;height:28.8pt" o:ole="">
            <v:imagedata r:id="rId212" o:title=""/>
          </v:shape>
          <o:OLEObject Type="Embed" ProgID="Equation.DSMT4" ShapeID="_x0000_i1061" DrawAspect="Content" ObjectID="_1660649158" r:id="rId213"/>
        </w:object>
      </w:r>
      <w:r>
        <w:rPr>
          <w:rFonts w:ascii="Arial" w:hAnsi="Arial" w:cs="Arial"/>
          <w:lang w:val="es-MX"/>
        </w:rPr>
        <w:t xml:space="preserve">                                                 (2</w:t>
      </w:r>
      <w:r w:rsidRPr="00BD2677">
        <w:rPr>
          <w:rFonts w:ascii="Arial" w:hAnsi="Arial" w:cs="Arial"/>
          <w:lang w:val="es-MX"/>
        </w:rPr>
        <w:t>)</w:t>
      </w:r>
    </w:p>
    <w:p w:rsidR="00846109" w:rsidRPr="00BD2677" w:rsidRDefault="00846109" w:rsidP="00846109">
      <w:pPr>
        <w:ind w:right="48"/>
        <w:jc w:val="right"/>
        <w:rPr>
          <w:rFonts w:ascii="Arial" w:hAnsi="Arial" w:cs="Arial"/>
          <w:lang w:val="es-MX"/>
        </w:rPr>
      </w:pPr>
      <w:r w:rsidRPr="00BD2677">
        <w:rPr>
          <w:rFonts w:ascii="Arial" w:hAnsi="Arial" w:cs="Arial"/>
          <w:position w:val="-24"/>
          <w:lang w:val="es-MX"/>
        </w:rPr>
        <w:object w:dxaOrig="2760" w:dyaOrig="620">
          <v:shape id="_x0000_i1062" type="#_x0000_t75" style="width:136.8pt;height:28.8pt" o:ole="">
            <v:imagedata r:id="rId214" o:title=""/>
          </v:shape>
          <o:OLEObject Type="Embed" ProgID="Equation.DSMT4" ShapeID="_x0000_i1062" DrawAspect="Content" ObjectID="_1660649159" r:id="rId215"/>
        </w:object>
      </w:r>
      <w:r w:rsidRPr="00BD2677">
        <w:rPr>
          <w:rFonts w:ascii="Arial" w:hAnsi="Arial" w:cs="Arial"/>
          <w:lang w:val="es-MX"/>
        </w:rPr>
        <w:t xml:space="preserve">   </w:t>
      </w:r>
      <w:r>
        <w:rPr>
          <w:rFonts w:ascii="Arial" w:hAnsi="Arial" w:cs="Arial"/>
          <w:lang w:val="es-MX"/>
        </w:rPr>
        <w:t xml:space="preserve">         </w:t>
      </w:r>
      <w:r w:rsidRPr="00BD2677">
        <w:rPr>
          <w:rFonts w:ascii="Arial" w:hAnsi="Arial" w:cs="Arial"/>
          <w:lang w:val="es-MX"/>
        </w:rPr>
        <w:t xml:space="preserve"> </w:t>
      </w:r>
      <w:r>
        <w:rPr>
          <w:rFonts w:ascii="Arial" w:hAnsi="Arial" w:cs="Arial"/>
          <w:lang w:val="es-MX"/>
        </w:rPr>
        <w:t xml:space="preserve">                               (3</w:t>
      </w:r>
      <w:r w:rsidRPr="00BD2677">
        <w:rPr>
          <w:rFonts w:ascii="Arial" w:hAnsi="Arial" w:cs="Arial"/>
          <w:lang w:val="es-MX"/>
        </w:rPr>
        <w:t>)</w:t>
      </w:r>
    </w:p>
    <w:p w:rsidR="00846109" w:rsidRPr="00BD2677" w:rsidRDefault="00846109" w:rsidP="00846109">
      <w:pPr>
        <w:ind w:right="48"/>
        <w:jc w:val="right"/>
        <w:rPr>
          <w:rFonts w:ascii="Arial" w:hAnsi="Arial" w:cs="Arial"/>
          <w:lang w:val="es-MX"/>
        </w:rPr>
      </w:pPr>
      <w:r w:rsidRPr="00BD2677">
        <w:rPr>
          <w:rFonts w:ascii="Arial" w:hAnsi="Arial" w:cs="Arial"/>
          <w:position w:val="-10"/>
          <w:lang w:val="es-MX"/>
        </w:rPr>
        <w:object w:dxaOrig="2180" w:dyaOrig="320">
          <v:shape id="_x0000_i1063" type="#_x0000_t75" style="width:108pt;height:14.4pt" o:ole="">
            <v:imagedata r:id="rId216" o:title=""/>
          </v:shape>
          <o:OLEObject Type="Embed" ProgID="Equation.DSMT4" ShapeID="_x0000_i1063" DrawAspect="Content" ObjectID="_1660649160" r:id="rId217"/>
        </w:object>
      </w:r>
      <w:r w:rsidRPr="00BD2677">
        <w:rPr>
          <w:rFonts w:ascii="Arial" w:hAnsi="Arial" w:cs="Arial"/>
          <w:lang w:val="es-MX"/>
        </w:rPr>
        <w:t xml:space="preserve">            </w:t>
      </w:r>
      <w:r>
        <w:rPr>
          <w:rFonts w:ascii="Arial" w:hAnsi="Arial" w:cs="Arial"/>
          <w:lang w:val="es-MX"/>
        </w:rPr>
        <w:t xml:space="preserve">         </w:t>
      </w:r>
      <w:r w:rsidRPr="00BD2677">
        <w:rPr>
          <w:rFonts w:ascii="Arial" w:hAnsi="Arial" w:cs="Arial"/>
          <w:lang w:val="es-MX"/>
        </w:rPr>
        <w:t xml:space="preserve"> </w:t>
      </w:r>
      <w:r>
        <w:rPr>
          <w:rFonts w:ascii="Arial" w:hAnsi="Arial" w:cs="Arial"/>
          <w:lang w:val="es-MX"/>
        </w:rPr>
        <w:t xml:space="preserve"> </w:t>
      </w:r>
      <w:r w:rsidRPr="00BD2677">
        <w:rPr>
          <w:rFonts w:ascii="Arial" w:hAnsi="Arial" w:cs="Arial"/>
          <w:lang w:val="es-MX"/>
        </w:rPr>
        <w:t xml:space="preserve">   </w:t>
      </w:r>
      <w:r>
        <w:rPr>
          <w:rFonts w:ascii="Arial" w:hAnsi="Arial" w:cs="Arial"/>
          <w:lang w:val="es-MX"/>
        </w:rPr>
        <w:t xml:space="preserve">                      (4</w:t>
      </w:r>
      <w:r w:rsidRPr="00BD2677">
        <w:rPr>
          <w:rFonts w:ascii="Arial" w:hAnsi="Arial" w:cs="Arial"/>
          <w:lang w:val="es-MX"/>
        </w:rPr>
        <w:t>)</w:t>
      </w:r>
    </w:p>
    <w:p w:rsidR="00846109" w:rsidRPr="007B2D93" w:rsidRDefault="00846109" w:rsidP="00846109">
      <w:pPr>
        <w:jc w:val="both"/>
        <w:rPr>
          <w:rFonts w:ascii="Century Schoolbook" w:hAnsi="Century Schoolbook"/>
          <w:lang w:val="es-MX"/>
        </w:rPr>
      </w:pPr>
    </w:p>
    <w:p w:rsidR="00846109" w:rsidRDefault="00846109" w:rsidP="00846109">
      <w:pPr>
        <w:ind w:firstLine="567"/>
        <w:jc w:val="both"/>
        <w:rPr>
          <w:rFonts w:ascii="Arial" w:hAnsi="Arial" w:cs="Arial"/>
          <w:lang w:val="es-MX"/>
        </w:rPr>
      </w:pPr>
      <w:r>
        <w:rPr>
          <w:rFonts w:ascii="Arial" w:hAnsi="Arial" w:cs="Arial"/>
          <w:lang w:val="es-MX"/>
        </w:rPr>
        <w:t>En la ecuación (1</w:t>
      </w:r>
      <w:r w:rsidRPr="008D5201">
        <w:rPr>
          <w:rFonts w:ascii="Arial" w:hAnsi="Arial" w:cs="Arial"/>
          <w:lang w:val="es-MX"/>
        </w:rPr>
        <w:t xml:space="preserve">), </w:t>
      </w:r>
      <w:r w:rsidRPr="008D5201">
        <w:rPr>
          <w:rFonts w:ascii="Arial" w:hAnsi="Arial" w:cs="Arial"/>
          <w:position w:val="-6"/>
          <w:lang w:val="es-MX"/>
        </w:rPr>
        <w:object w:dxaOrig="620" w:dyaOrig="279">
          <v:shape id="_x0000_i1064" type="#_x0000_t75" style="width:28.8pt;height:14.4pt" o:ole="">
            <v:imagedata r:id="rId218" o:title=""/>
          </v:shape>
          <o:OLEObject Type="Embed" ProgID="Equation.DSMT4" ShapeID="_x0000_i1064" DrawAspect="Content" ObjectID="_1660649161" r:id="rId219"/>
        </w:object>
      </w:r>
      <w:r w:rsidRPr="008D5201">
        <w:rPr>
          <w:rFonts w:ascii="Arial" w:hAnsi="Arial" w:cs="Arial"/>
          <w:lang w:val="es-MX"/>
        </w:rPr>
        <w:t xml:space="preserve"> representa el coeficiente de transformación del contaminante, </w:t>
      </w:r>
      <w:r w:rsidRPr="008D5201">
        <w:rPr>
          <w:rFonts w:ascii="Arial" w:hAnsi="Arial" w:cs="Arial"/>
          <w:position w:val="-10"/>
          <w:lang w:val="es-MX"/>
        </w:rPr>
        <w:object w:dxaOrig="620" w:dyaOrig="320">
          <v:shape id="_x0000_i1065" type="#_x0000_t75" style="width:28.8pt;height:14.4pt" o:ole="">
            <v:imagedata r:id="rId220" o:title=""/>
          </v:shape>
          <o:OLEObject Type="Embed" ProgID="Equation.DSMT4" ShapeID="_x0000_i1065" DrawAspect="Content" ObjectID="_1660649162" r:id="rId221"/>
        </w:object>
      </w:r>
      <w:r w:rsidRPr="008D5201">
        <w:rPr>
          <w:rFonts w:ascii="Arial" w:hAnsi="Arial" w:cs="Arial"/>
          <w:lang w:val="es-MX"/>
        </w:rPr>
        <w:t xml:space="preserve"> es el coeficiente de difusión y </w:t>
      </w:r>
      <w:r w:rsidRPr="008D5201">
        <w:rPr>
          <w:rFonts w:ascii="Arial" w:hAnsi="Arial" w:cs="Arial"/>
          <w:position w:val="-12"/>
          <w:lang w:val="es-MX"/>
        </w:rPr>
        <w:object w:dxaOrig="279" w:dyaOrig="360">
          <v:shape id="_x0000_i1066" type="#_x0000_t75" style="width:14.4pt;height:21.6pt" o:ole="">
            <v:imagedata r:id="rId222" o:title=""/>
          </v:shape>
          <o:OLEObject Type="Embed" ProgID="Equation.DSMT4" ShapeID="_x0000_i1066" DrawAspect="Content" ObjectID="_1660649163" r:id="rId223"/>
        </w:object>
      </w:r>
      <w:r w:rsidRPr="008D5201">
        <w:rPr>
          <w:rFonts w:ascii="Arial" w:hAnsi="Arial" w:cs="Arial"/>
          <w:lang w:val="es-MX"/>
        </w:rPr>
        <w:t xml:space="preserve"> denota el sitio de la fuente puntual en el dominio </w:t>
      </w:r>
      <w:r w:rsidRPr="008D5201">
        <w:rPr>
          <w:rFonts w:ascii="Arial" w:hAnsi="Arial" w:cs="Arial"/>
          <w:position w:val="-14"/>
          <w:lang w:val="es-MX"/>
        </w:rPr>
        <w:object w:dxaOrig="980" w:dyaOrig="400">
          <v:shape id="_x0000_i1067" type="#_x0000_t75" style="width:50.4pt;height:21.6pt" o:ole="">
            <v:imagedata r:id="rId224" o:title=""/>
          </v:shape>
          <o:OLEObject Type="Embed" ProgID="Equation.DSMT4" ShapeID="_x0000_i1067" DrawAspect="Content" ObjectID="_1660649164" r:id="rId225"/>
        </w:object>
      </w:r>
      <w:r w:rsidRPr="008D5201">
        <w:rPr>
          <w:rFonts w:ascii="Arial" w:hAnsi="Arial" w:cs="Arial"/>
          <w:lang w:val="es-MX"/>
        </w:rPr>
        <w:t xml:space="preserve"> con tasa de emisión desconocida </w:t>
      </w:r>
      <w:r w:rsidRPr="008D5201">
        <w:rPr>
          <w:rFonts w:ascii="Arial" w:hAnsi="Arial" w:cs="Arial"/>
          <w:position w:val="-10"/>
          <w:lang w:val="es-MX"/>
        </w:rPr>
        <w:object w:dxaOrig="499" w:dyaOrig="320">
          <v:shape id="_x0000_i1068" type="#_x0000_t75" style="width:21.6pt;height:14.4pt" o:ole="">
            <v:imagedata r:id="rId226" o:title=""/>
          </v:shape>
          <o:OLEObject Type="Embed" ProgID="Equation.DSMT4" ShapeID="_x0000_i1068" DrawAspect="Content" ObjectID="_1660649165" r:id="rId227"/>
        </w:object>
      </w:r>
      <w:r>
        <w:rPr>
          <w:rFonts w:ascii="Arial" w:hAnsi="Arial" w:cs="Arial"/>
          <w:lang w:val="es-MX"/>
        </w:rPr>
        <w:t>. La condición de frontera (2</w:t>
      </w:r>
      <w:r w:rsidRPr="008D5201">
        <w:rPr>
          <w:rFonts w:ascii="Arial" w:hAnsi="Arial" w:cs="Arial"/>
          <w:lang w:val="es-MX"/>
        </w:rPr>
        <w:t xml:space="preserve">) significa que no hay flujo del contaminante a través de </w:t>
      </w:r>
      <w:r w:rsidRPr="008D5201">
        <w:rPr>
          <w:rFonts w:ascii="Arial" w:hAnsi="Arial" w:cs="Arial"/>
          <w:position w:val="-6"/>
          <w:lang w:val="es-MX"/>
        </w:rPr>
        <w:object w:dxaOrig="600" w:dyaOrig="279">
          <v:shape id="_x0000_i1069" type="#_x0000_t75" style="width:28.8pt;height:14.4pt" o:ole="">
            <v:imagedata r:id="rId228" o:title=""/>
          </v:shape>
          <o:OLEObject Type="Embed" ProgID="Equation.DSMT4" ShapeID="_x0000_i1069" DrawAspect="Content" ObjectID="_1660649166" r:id="rId229"/>
        </w:object>
      </w:r>
      <w:r w:rsidRPr="008D5201">
        <w:rPr>
          <w:rFonts w:ascii="Arial" w:hAnsi="Arial" w:cs="Arial"/>
          <w:lang w:val="es-MX"/>
        </w:rPr>
        <w:t xml:space="preserve">, es decir, en esta parte la frontera </w:t>
      </w:r>
      <w:r>
        <w:rPr>
          <w:rFonts w:ascii="Arial" w:hAnsi="Arial" w:cs="Arial"/>
          <w:lang w:val="es-MX"/>
        </w:rPr>
        <w:t>está cerrada. La condición (3</w:t>
      </w:r>
      <w:r w:rsidRPr="008D5201">
        <w:rPr>
          <w:rFonts w:ascii="Arial" w:hAnsi="Arial" w:cs="Arial"/>
          <w:lang w:val="es-MX"/>
        </w:rPr>
        <w:t xml:space="preserve">) significa que en </w:t>
      </w:r>
      <w:r w:rsidRPr="00D908CC">
        <w:rPr>
          <w:rFonts w:ascii="Arial" w:hAnsi="Arial" w:cs="Arial"/>
          <w:position w:val="-4"/>
          <w:lang w:val="es-MX"/>
        </w:rPr>
        <w:object w:dxaOrig="580" w:dyaOrig="260">
          <v:shape id="_x0000_i1070" type="#_x0000_t75" style="width:28.8pt;height:14.4pt" o:ole="">
            <v:imagedata r:id="rId230" o:title=""/>
          </v:shape>
          <o:OLEObject Type="Embed" ProgID="Equation.DSMT4" ShapeID="_x0000_i1070" DrawAspect="Content" ObjectID="_1660649167" r:id="rId231"/>
        </w:object>
      </w:r>
      <w:r w:rsidRPr="008D5201">
        <w:rPr>
          <w:rFonts w:ascii="Arial" w:hAnsi="Arial" w:cs="Arial"/>
          <w:lang w:val="es-MX"/>
        </w:rPr>
        <w:t xml:space="preserve"> la frontera está abierta, y el flujo del contaminante es proporcional a la concentración </w:t>
      </w:r>
      <w:r w:rsidRPr="008D5201">
        <w:rPr>
          <w:rFonts w:ascii="Arial" w:hAnsi="Arial" w:cs="Arial"/>
          <w:position w:val="-10"/>
          <w:lang w:val="es-MX"/>
        </w:rPr>
        <w:object w:dxaOrig="200" w:dyaOrig="320">
          <v:shape id="_x0000_i1071" type="#_x0000_t75" style="width:7.2pt;height:14.4pt" o:ole="">
            <v:imagedata r:id="rId232" o:title=""/>
          </v:shape>
          <o:OLEObject Type="Embed" ProgID="Equation.DSMT4" ShapeID="_x0000_i1071" DrawAspect="Content" ObjectID="_1660649168" r:id="rId233"/>
        </w:object>
      </w:r>
      <w:r w:rsidRPr="008D5201">
        <w:rPr>
          <w:rFonts w:ascii="Arial" w:hAnsi="Arial" w:cs="Arial"/>
          <w:lang w:val="es-MX"/>
        </w:rPr>
        <w:t xml:space="preserve">, donde el coeficiente de proporcionalidad es </w:t>
      </w:r>
      <w:r w:rsidRPr="008D5201">
        <w:rPr>
          <w:rFonts w:ascii="Arial" w:hAnsi="Arial" w:cs="Arial"/>
          <w:position w:val="-10"/>
          <w:lang w:val="es-MX"/>
        </w:rPr>
        <w:object w:dxaOrig="580" w:dyaOrig="320">
          <v:shape id="_x0000_i1072" type="#_x0000_t75" style="width:28.8pt;height:14.4pt" o:ole="">
            <v:imagedata r:id="rId234" o:title=""/>
          </v:shape>
          <o:OLEObject Type="Embed" ProgID="Equation.DSMT4" ShapeID="_x0000_i1072" DrawAspect="Content" ObjectID="_1660649169" r:id="rId235"/>
        </w:object>
      </w:r>
      <w:r w:rsidRPr="008D5201">
        <w:rPr>
          <w:rFonts w:ascii="Arial" w:hAnsi="Arial" w:cs="Arial"/>
          <w:lang w:val="es-MX"/>
        </w:rPr>
        <w:t xml:space="preserve">. En consecuencia, la masa del contaminante en el dominio </w:t>
      </w:r>
      <w:r w:rsidRPr="008D5201">
        <w:rPr>
          <w:rFonts w:ascii="Arial" w:hAnsi="Arial" w:cs="Arial"/>
          <w:position w:val="-4"/>
          <w:lang w:val="es-MX"/>
        </w:rPr>
        <w:object w:dxaOrig="240" w:dyaOrig="260">
          <v:shape id="_x0000_i1073" type="#_x0000_t75" style="width:14.4pt;height:14.4pt" o:ole="">
            <v:imagedata r:id="rId236" o:title=""/>
          </v:shape>
          <o:OLEObject Type="Embed" ProgID="Equation.DSMT4" ShapeID="_x0000_i1073" DrawAspect="Content" ObjectID="_1660649170" r:id="rId237"/>
        </w:object>
      </w:r>
      <w:r w:rsidRPr="008D5201">
        <w:rPr>
          <w:rFonts w:ascii="Arial" w:hAnsi="Arial" w:cs="Arial"/>
          <w:lang w:val="es-MX"/>
        </w:rPr>
        <w:t xml:space="preserve"> se incrementa debido a la tasa de emisión </w:t>
      </w:r>
      <w:r w:rsidRPr="0073501F">
        <w:rPr>
          <w:rFonts w:ascii="Arial" w:hAnsi="Arial" w:cs="Arial"/>
          <w:position w:val="-8"/>
          <w:lang w:val="es-MX"/>
        </w:rPr>
        <w:object w:dxaOrig="260" w:dyaOrig="300">
          <v:shape id="_x0000_i1074" type="#_x0000_t75" style="width:14.4pt;height:14.4pt" o:ole="">
            <v:imagedata r:id="rId238" o:title=""/>
          </v:shape>
          <o:OLEObject Type="Embed" ProgID="Equation.DSMT4" ShapeID="_x0000_i1074" DrawAspect="Content" ObjectID="_1660649171" r:id="rId239"/>
        </w:object>
      </w:r>
      <w:r w:rsidRPr="008D5201">
        <w:rPr>
          <w:rFonts w:ascii="Arial" w:hAnsi="Arial" w:cs="Arial"/>
          <w:lang w:val="es-MX"/>
        </w:rPr>
        <w:t xml:space="preserve">, y decrece a causa del flujo de salida por el punto frontera </w:t>
      </w:r>
      <w:r w:rsidRPr="0073501F">
        <w:rPr>
          <w:rFonts w:ascii="Arial" w:hAnsi="Arial" w:cs="Arial"/>
          <w:position w:val="-4"/>
          <w:lang w:val="es-MX"/>
        </w:rPr>
        <w:object w:dxaOrig="580" w:dyaOrig="260">
          <v:shape id="_x0000_i1075" type="#_x0000_t75" style="width:28.8pt;height:14.4pt" o:ole="">
            <v:imagedata r:id="rId240" o:title=""/>
          </v:shape>
          <o:OLEObject Type="Embed" ProgID="Equation.DSMT4" ShapeID="_x0000_i1075" DrawAspect="Content" ObjectID="_1660649172" r:id="rId241"/>
        </w:object>
      </w:r>
      <w:r w:rsidRPr="008D5201">
        <w:rPr>
          <w:rFonts w:ascii="Arial" w:hAnsi="Arial" w:cs="Arial"/>
          <w:lang w:val="es-MX"/>
        </w:rPr>
        <w:t xml:space="preserve"> y la transformación química. Es decir, </w:t>
      </w:r>
      <w:r>
        <w:rPr>
          <w:rFonts w:ascii="Arial" w:hAnsi="Arial" w:cs="Arial"/>
          <w:lang w:val="es-MX"/>
        </w:rPr>
        <w:t>el modelo (1)-(4</w:t>
      </w:r>
      <w:r w:rsidRPr="008D5201">
        <w:rPr>
          <w:rFonts w:ascii="Arial" w:hAnsi="Arial" w:cs="Arial"/>
          <w:lang w:val="es-MX"/>
        </w:rPr>
        <w:t xml:space="preserve">) satisface la siguiente </w:t>
      </w:r>
      <w:r w:rsidRPr="006B4EDF">
        <w:rPr>
          <w:rFonts w:ascii="Arial" w:hAnsi="Arial" w:cs="Arial"/>
          <w:i/>
          <w:lang w:val="es-MX"/>
        </w:rPr>
        <w:t>ecuación de balance de masa</w:t>
      </w:r>
      <w:r w:rsidRPr="008D5201">
        <w:rPr>
          <w:rFonts w:ascii="Arial" w:hAnsi="Arial" w:cs="Arial"/>
          <w:lang w:val="es-MX"/>
        </w:rPr>
        <w:t>:</w:t>
      </w:r>
    </w:p>
    <w:p w:rsidR="00846109" w:rsidRPr="00CE11E3" w:rsidRDefault="00846109" w:rsidP="00846109">
      <w:pPr>
        <w:jc w:val="both"/>
        <w:rPr>
          <w:rFonts w:ascii="Arial" w:hAnsi="Arial" w:cs="Arial"/>
          <w:lang w:val="es-MX"/>
        </w:rPr>
      </w:pPr>
    </w:p>
    <w:p w:rsidR="00846109" w:rsidRPr="008D5201" w:rsidRDefault="00846109" w:rsidP="00846109">
      <w:pPr>
        <w:ind w:right="48"/>
        <w:jc w:val="right"/>
        <w:rPr>
          <w:rFonts w:ascii="Arial" w:hAnsi="Arial" w:cs="Arial"/>
          <w:lang w:val="es-MX"/>
        </w:rPr>
      </w:pPr>
      <w:r w:rsidRPr="008D5201">
        <w:rPr>
          <w:rFonts w:ascii="Arial" w:hAnsi="Arial" w:cs="Arial"/>
          <w:position w:val="-32"/>
          <w:lang w:val="es-MX"/>
        </w:rPr>
        <w:object w:dxaOrig="4280" w:dyaOrig="760">
          <v:shape id="_x0000_i1076" type="#_x0000_t75" style="width:3in;height:36pt" o:ole="">
            <v:imagedata r:id="rId242" o:title=""/>
          </v:shape>
          <o:OLEObject Type="Embed" ProgID="Equation.DSMT4" ShapeID="_x0000_i1076" DrawAspect="Content" ObjectID="_1660649173" r:id="rId243"/>
        </w:object>
      </w:r>
      <w:r w:rsidRPr="009F2CC8">
        <w:rPr>
          <w:rFonts w:ascii="Arial" w:hAnsi="Arial" w:cs="Arial"/>
          <w:lang w:val="es-MX"/>
        </w:rPr>
        <w:t xml:space="preserve">                                 (5)</w:t>
      </w:r>
    </w:p>
    <w:p w:rsidR="00846109" w:rsidRPr="008D5201" w:rsidRDefault="00846109" w:rsidP="00846109">
      <w:pPr>
        <w:jc w:val="both"/>
        <w:rPr>
          <w:rFonts w:ascii="Arial" w:hAnsi="Arial" w:cs="Arial"/>
          <w:lang w:val="es-MX"/>
        </w:rPr>
      </w:pPr>
    </w:p>
    <w:p w:rsidR="00846109" w:rsidRPr="007751E9" w:rsidRDefault="00846109" w:rsidP="00846109">
      <w:pPr>
        <w:jc w:val="both"/>
        <w:rPr>
          <w:rFonts w:ascii="Arial" w:hAnsi="Arial" w:cs="Arial"/>
          <w:lang w:val="es-MX"/>
        </w:rPr>
      </w:pPr>
      <w:r w:rsidRPr="007751E9">
        <w:rPr>
          <w:rFonts w:ascii="Arial" w:hAnsi="Arial" w:cs="Arial"/>
          <w:lang w:val="es-MX"/>
        </w:rPr>
        <w:t xml:space="preserve">Además, el modelo de dispersión (1)-(4) está bien formulado en el sentido de Hadamard, ya que su solución existe, es única y depende continuamente de la condición inicial y el forzamiento </w:t>
      </w:r>
      <w:r w:rsidRPr="007751E9">
        <w:rPr>
          <w:rFonts w:ascii="Arial" w:hAnsi="Arial" w:cs="Arial"/>
          <w:vertAlign w:val="superscript"/>
          <w:lang w:val="es-MX"/>
        </w:rPr>
        <w:t>[3]</w:t>
      </w:r>
      <w:r w:rsidRPr="007751E9">
        <w:rPr>
          <w:rFonts w:ascii="Arial" w:hAnsi="Arial" w:cs="Arial"/>
          <w:lang w:val="es-MX"/>
        </w:rPr>
        <w:t>. Dicha solución se expresa en una serie de Fourier en la siguiente forma:</w:t>
      </w:r>
    </w:p>
    <w:p w:rsidR="00846109" w:rsidRPr="007751E9" w:rsidRDefault="00846109" w:rsidP="00846109">
      <w:pPr>
        <w:jc w:val="both"/>
        <w:rPr>
          <w:rFonts w:ascii="Arial" w:hAnsi="Arial" w:cs="Arial"/>
          <w:lang w:val="es-MX"/>
        </w:rPr>
      </w:pPr>
    </w:p>
    <w:p w:rsidR="00846109" w:rsidRPr="009F2CC8" w:rsidRDefault="00846109" w:rsidP="00846109">
      <w:pPr>
        <w:ind w:right="48"/>
        <w:jc w:val="right"/>
        <w:rPr>
          <w:rFonts w:ascii="Arial" w:hAnsi="Arial" w:cs="Arial"/>
          <w:lang w:val="es-MX"/>
        </w:rPr>
      </w:pPr>
      <w:r w:rsidRPr="007751E9">
        <w:rPr>
          <w:rFonts w:ascii="Arial" w:hAnsi="Arial" w:cs="Arial"/>
          <w:position w:val="-34"/>
          <w:lang w:val="es-MX"/>
        </w:rPr>
        <w:object w:dxaOrig="4620" w:dyaOrig="800">
          <v:shape id="_x0000_i1077" type="#_x0000_t75" style="width:230.4pt;height:43.2pt" o:ole="">
            <v:imagedata r:id="rId244" o:title=""/>
          </v:shape>
          <o:OLEObject Type="Embed" ProgID="Equation.DSMT4" ShapeID="_x0000_i1077" DrawAspect="Content" ObjectID="_1660649174" r:id="rId245"/>
        </w:object>
      </w:r>
      <w:r w:rsidRPr="009F2CC8">
        <w:rPr>
          <w:rFonts w:ascii="Arial" w:hAnsi="Arial" w:cs="Arial"/>
          <w:lang w:val="es-MX"/>
        </w:rPr>
        <w:t xml:space="preserve">                             (6)</w:t>
      </w:r>
    </w:p>
    <w:p w:rsidR="00846109" w:rsidRPr="009F2CC8" w:rsidRDefault="00846109" w:rsidP="00846109">
      <w:pPr>
        <w:jc w:val="both"/>
        <w:rPr>
          <w:rFonts w:ascii="Arial" w:hAnsi="Arial" w:cs="Arial"/>
          <w:lang w:val="es-MX"/>
        </w:rPr>
      </w:pPr>
    </w:p>
    <w:p w:rsidR="00846109" w:rsidRPr="007751E9" w:rsidRDefault="00846109" w:rsidP="00846109">
      <w:pPr>
        <w:jc w:val="both"/>
        <w:rPr>
          <w:rFonts w:ascii="Arial" w:hAnsi="Arial" w:cs="Arial"/>
          <w:lang w:val="es-MX"/>
        </w:rPr>
      </w:pPr>
      <w:r w:rsidRPr="007751E9">
        <w:rPr>
          <w:rFonts w:ascii="Arial" w:hAnsi="Arial" w:cs="Arial"/>
          <w:lang w:val="es-MX"/>
        </w:rPr>
        <w:t xml:space="preserve">donde los coeficientes </w:t>
      </w:r>
      <w:r w:rsidRPr="007751E9">
        <w:rPr>
          <w:rFonts w:ascii="Arial" w:hAnsi="Arial" w:cs="Arial"/>
          <w:position w:val="-12"/>
        </w:rPr>
        <w:object w:dxaOrig="300" w:dyaOrig="360">
          <v:shape id="_x0000_i1078" type="#_x0000_t75" style="width:14.4pt;height:21.6pt" o:ole="">
            <v:imagedata r:id="rId246" o:title=""/>
          </v:shape>
          <o:OLEObject Type="Embed" ProgID="Equation.DSMT4" ShapeID="_x0000_i1078" DrawAspect="Content" ObjectID="_1660649175" r:id="rId247"/>
        </w:object>
      </w:r>
      <w:r>
        <w:rPr>
          <w:rFonts w:ascii="Arial" w:hAnsi="Arial" w:cs="Arial"/>
        </w:rPr>
        <w:t xml:space="preserve"> están determinados</w:t>
      </w:r>
      <w:r w:rsidRPr="007751E9">
        <w:rPr>
          <w:rFonts w:ascii="Arial" w:hAnsi="Arial" w:cs="Arial"/>
        </w:rPr>
        <w:t xml:space="preserve"> por la ecuación</w:t>
      </w:r>
    </w:p>
    <w:p w:rsidR="00846109" w:rsidRPr="009F2CC8" w:rsidRDefault="00846109" w:rsidP="00846109">
      <w:pPr>
        <w:jc w:val="both"/>
        <w:rPr>
          <w:rFonts w:ascii="Arial" w:hAnsi="Arial" w:cs="Arial"/>
          <w:lang w:val="es-MX"/>
        </w:rPr>
      </w:pPr>
    </w:p>
    <w:p w:rsidR="00846109" w:rsidRPr="009F2CC8" w:rsidRDefault="00846109" w:rsidP="00846109">
      <w:pPr>
        <w:ind w:right="48"/>
        <w:jc w:val="right"/>
        <w:rPr>
          <w:rFonts w:ascii="Arial" w:hAnsi="Arial" w:cs="Arial"/>
          <w:lang w:val="es-MX"/>
        </w:rPr>
      </w:pPr>
      <w:r w:rsidRPr="007751E9">
        <w:rPr>
          <w:rFonts w:ascii="Arial" w:hAnsi="Arial" w:cs="Arial"/>
          <w:position w:val="-28"/>
          <w:lang w:val="es-MX"/>
        </w:rPr>
        <w:object w:dxaOrig="4780" w:dyaOrig="660">
          <v:shape id="_x0000_i1079" type="#_x0000_t75" style="width:237.6pt;height:36pt" o:ole="">
            <v:imagedata r:id="rId248" o:title=""/>
          </v:shape>
          <o:OLEObject Type="Embed" ProgID="Equation.DSMT4" ShapeID="_x0000_i1079" DrawAspect="Content" ObjectID="_1660649176" r:id="rId249"/>
        </w:object>
      </w:r>
      <w:r w:rsidRPr="009F2CC8">
        <w:rPr>
          <w:rFonts w:ascii="Arial" w:hAnsi="Arial" w:cs="Arial"/>
          <w:lang w:val="es-MX"/>
        </w:rPr>
        <w:t xml:space="preserve"> ,                           (7)</w:t>
      </w:r>
    </w:p>
    <w:p w:rsidR="00846109" w:rsidRPr="009F2CC8" w:rsidRDefault="00846109" w:rsidP="00846109">
      <w:pPr>
        <w:jc w:val="both"/>
        <w:rPr>
          <w:rFonts w:ascii="Arial" w:hAnsi="Arial" w:cs="Arial"/>
          <w:iCs/>
          <w:lang w:val="es-MX"/>
        </w:rPr>
      </w:pPr>
    </w:p>
    <w:p w:rsidR="00846109" w:rsidRPr="009F2CC8" w:rsidRDefault="00846109" w:rsidP="00846109">
      <w:pPr>
        <w:jc w:val="both"/>
        <w:rPr>
          <w:rFonts w:ascii="Arial" w:hAnsi="Arial" w:cs="Arial"/>
          <w:i/>
          <w:iCs/>
          <w:lang w:val="es-MX"/>
        </w:rPr>
      </w:pPr>
      <w:r>
        <w:rPr>
          <w:rFonts w:ascii="Arial" w:hAnsi="Arial" w:cs="Arial"/>
          <w:lang w:val="es-MX"/>
        </w:rPr>
        <w:t xml:space="preserve">y </w:t>
      </w:r>
      <w:r w:rsidRPr="007751E9">
        <w:rPr>
          <w:rFonts w:ascii="Arial" w:hAnsi="Arial" w:cs="Arial"/>
          <w:position w:val="-14"/>
          <w:lang w:val="es-MX"/>
        </w:rPr>
        <w:object w:dxaOrig="1380" w:dyaOrig="440">
          <v:shape id="_x0000_i1080" type="#_x0000_t75" style="width:1in;height:21.6pt" o:ole="">
            <v:imagedata r:id="rId250" o:title=""/>
          </v:shape>
          <o:OLEObject Type="Embed" ProgID="Equation.DSMT4" ShapeID="_x0000_i1080" DrawAspect="Content" ObjectID="_1660649177" r:id="rId251"/>
        </w:object>
      </w:r>
      <w:r w:rsidRPr="007751E9">
        <w:rPr>
          <w:rFonts w:ascii="Arial" w:hAnsi="Arial" w:cs="Arial"/>
          <w:lang w:val="es-MX"/>
        </w:rPr>
        <w:t xml:space="preserve"> es un sistema ortogonal</w:t>
      </w:r>
      <w:r>
        <w:rPr>
          <w:rFonts w:ascii="Arial" w:hAnsi="Arial" w:cs="Arial"/>
          <w:lang w:val="es-MX"/>
        </w:rPr>
        <w:t xml:space="preserve"> de funciones </w:t>
      </w:r>
      <w:r w:rsidRPr="007751E9">
        <w:rPr>
          <w:rFonts w:ascii="Arial" w:hAnsi="Arial" w:cs="Arial"/>
          <w:lang w:val="es-MX"/>
        </w:rPr>
        <w:t xml:space="preserve">que corresponde a las frecuencias </w:t>
      </w:r>
      <w:r w:rsidRPr="007751E9">
        <w:rPr>
          <w:rFonts w:ascii="Arial" w:hAnsi="Arial" w:cs="Arial"/>
          <w:position w:val="-14"/>
          <w:lang w:val="es-MX"/>
        </w:rPr>
        <w:object w:dxaOrig="720" w:dyaOrig="440">
          <v:shape id="_x0000_i1081" type="#_x0000_t75" style="width:36pt;height:21.6pt" o:ole="">
            <v:imagedata r:id="rId252" o:title=""/>
          </v:shape>
          <o:OLEObject Type="Embed" ProgID="Equation.DSMT4" ShapeID="_x0000_i1081" DrawAspect="Content" ObjectID="_1660649178" r:id="rId253"/>
        </w:object>
      </w:r>
      <w:r w:rsidRPr="007751E9">
        <w:rPr>
          <w:rFonts w:ascii="Arial" w:hAnsi="Arial" w:cs="Arial"/>
          <w:lang w:val="es-MX"/>
        </w:rPr>
        <w:t>. Tales frecuencias</w:t>
      </w:r>
      <w:r>
        <w:rPr>
          <w:rFonts w:ascii="Arial" w:hAnsi="Arial" w:cs="Arial"/>
          <w:lang w:val="es-MX"/>
        </w:rPr>
        <w:t xml:space="preserve"> son las raíces de la ecuación </w:t>
      </w:r>
      <w:r w:rsidRPr="008D5201">
        <w:rPr>
          <w:rFonts w:ascii="Arial" w:hAnsi="Arial" w:cs="Arial"/>
          <w:position w:val="-10"/>
          <w:lang w:val="es-MX"/>
        </w:rPr>
        <w:object w:dxaOrig="2560" w:dyaOrig="320">
          <v:shape id="_x0000_i1082" type="#_x0000_t75" style="width:129.6pt;height:14.4pt" o:ole="">
            <v:imagedata r:id="rId254" o:title=""/>
          </v:shape>
          <o:OLEObject Type="Embed" ProgID="Equation.DSMT4" ShapeID="_x0000_i1082" DrawAspect="Content" ObjectID="_1660649179" r:id="rId255"/>
        </w:object>
      </w:r>
      <w:r w:rsidRPr="009F2CC8">
        <w:rPr>
          <w:rFonts w:ascii="Arial" w:hAnsi="Arial" w:cs="Arial"/>
          <w:lang w:val="es-MX"/>
        </w:rPr>
        <w:t xml:space="preserve">,                                                                                     </w:t>
      </w:r>
      <w:r>
        <w:rPr>
          <w:rFonts w:ascii="Arial" w:hAnsi="Arial" w:cs="Arial"/>
          <w:lang w:val="es-MX"/>
        </w:rPr>
        <w:t>l</w:t>
      </w:r>
      <w:r w:rsidRPr="008D5201">
        <w:rPr>
          <w:rFonts w:ascii="Arial" w:hAnsi="Arial" w:cs="Arial"/>
          <w:lang w:val="es-MX"/>
        </w:rPr>
        <w:t>as cuales pueden ser eficientemente calculadas con algún método numérico, por ejemplo, con el método de Newton</w:t>
      </w:r>
      <w:r>
        <w:rPr>
          <w:rFonts w:ascii="Arial" w:hAnsi="Arial" w:cs="Arial"/>
          <w:lang w:val="es-MX"/>
        </w:rPr>
        <w:t>. E</w:t>
      </w:r>
      <w:r w:rsidRPr="008D5201">
        <w:rPr>
          <w:rFonts w:ascii="Arial" w:hAnsi="Arial" w:cs="Arial"/>
          <w:lang w:val="es-MX"/>
        </w:rPr>
        <w:t>n los experim</w:t>
      </w:r>
      <w:r>
        <w:rPr>
          <w:rFonts w:ascii="Arial" w:hAnsi="Arial" w:cs="Arial"/>
          <w:lang w:val="es-MX"/>
        </w:rPr>
        <w:t>entos numéricos se usa la serie de Fejér obtenida</w:t>
      </w:r>
      <w:r w:rsidRPr="008D5201">
        <w:rPr>
          <w:rFonts w:ascii="Arial" w:hAnsi="Arial" w:cs="Arial"/>
          <w:lang w:val="es-MX"/>
        </w:rPr>
        <w:t xml:space="preserve"> a pa</w:t>
      </w:r>
      <w:r>
        <w:rPr>
          <w:rFonts w:ascii="Arial" w:hAnsi="Arial" w:cs="Arial"/>
          <w:lang w:val="es-MX"/>
        </w:rPr>
        <w:t>rtir de la serie de Fourier (</w:t>
      </w:r>
      <w:r w:rsidRPr="008D5201">
        <w:rPr>
          <w:rFonts w:ascii="Arial" w:hAnsi="Arial" w:cs="Arial"/>
          <w:lang w:val="es-MX"/>
        </w:rPr>
        <w:t xml:space="preserve">6). Tal corrección es necesaria para asegurar la convergencia puntual de la serie a la función </w:t>
      </w:r>
      <w:r w:rsidRPr="008D5201">
        <w:rPr>
          <w:rFonts w:ascii="Arial" w:hAnsi="Arial" w:cs="Arial"/>
          <w:position w:val="-10"/>
          <w:lang w:val="es-MX"/>
        </w:rPr>
        <w:object w:dxaOrig="660" w:dyaOrig="320">
          <v:shape id="_x0000_i1083" type="#_x0000_t75" style="width:36pt;height:14.4pt" o:ole="">
            <v:imagedata r:id="rId256" o:title=""/>
          </v:shape>
          <o:OLEObject Type="Embed" ProgID="Equation.DSMT4" ShapeID="_x0000_i1083" DrawAspect="Content" ObjectID="_1660649180" r:id="rId257"/>
        </w:object>
      </w:r>
      <w:r w:rsidRPr="009F2CC8">
        <w:rPr>
          <w:rFonts w:ascii="Arial" w:hAnsi="Arial" w:cs="Arial"/>
          <w:lang w:val="es-MX"/>
        </w:rPr>
        <w:t xml:space="preserve">. </w:t>
      </w:r>
      <w:r w:rsidRPr="008D5201">
        <w:rPr>
          <w:rFonts w:ascii="Arial" w:hAnsi="Arial" w:cs="Arial"/>
          <w:lang w:val="es-MX"/>
        </w:rPr>
        <w:t>Esto significa</w:t>
      </w:r>
      <w:r>
        <w:rPr>
          <w:rFonts w:ascii="Arial" w:hAnsi="Arial" w:cs="Arial"/>
          <w:lang w:val="es-MX"/>
        </w:rPr>
        <w:t xml:space="preserve"> que en la serie (</w:t>
      </w:r>
      <w:r w:rsidRPr="008D5201">
        <w:rPr>
          <w:rFonts w:ascii="Arial" w:hAnsi="Arial" w:cs="Arial"/>
          <w:lang w:val="es-MX"/>
        </w:rPr>
        <w:t>6) se utilizan los siguientes coeficientes de Fejér:</w:t>
      </w:r>
    </w:p>
    <w:p w:rsidR="00846109" w:rsidRPr="008D5201" w:rsidRDefault="00846109" w:rsidP="00846109">
      <w:pPr>
        <w:jc w:val="both"/>
        <w:rPr>
          <w:rFonts w:ascii="Arial" w:hAnsi="Arial" w:cs="Arial"/>
          <w:lang w:val="es-MX"/>
        </w:rPr>
      </w:pPr>
    </w:p>
    <w:p w:rsidR="00846109" w:rsidRPr="008D5201" w:rsidRDefault="00846109" w:rsidP="00846109">
      <w:pPr>
        <w:ind w:right="48"/>
        <w:jc w:val="right"/>
        <w:rPr>
          <w:rFonts w:ascii="Arial" w:hAnsi="Arial" w:cs="Arial"/>
          <w:lang w:val="es-MX"/>
        </w:rPr>
      </w:pPr>
      <w:r w:rsidRPr="008D5201">
        <w:rPr>
          <w:rFonts w:ascii="Arial" w:hAnsi="Arial" w:cs="Arial"/>
          <w:position w:val="-28"/>
          <w:lang w:val="es-MX"/>
        </w:rPr>
        <w:object w:dxaOrig="3400" w:dyaOrig="680">
          <v:shape id="_x0000_i1084" type="#_x0000_t75" style="width:172.8pt;height:36pt" o:ole="">
            <v:imagedata r:id="rId258" o:title=""/>
          </v:shape>
          <o:OLEObject Type="Embed" ProgID="Equation.DSMT4" ShapeID="_x0000_i1084" DrawAspect="Content" ObjectID="_1660649181" r:id="rId259"/>
        </w:object>
      </w:r>
      <w:r w:rsidRPr="008D5201">
        <w:rPr>
          <w:rFonts w:ascii="Arial" w:hAnsi="Arial" w:cs="Arial"/>
          <w:lang w:val="es-MX"/>
        </w:rPr>
        <w:t>,</w:t>
      </w:r>
      <w:r>
        <w:rPr>
          <w:rFonts w:ascii="Arial" w:hAnsi="Arial" w:cs="Arial"/>
          <w:lang w:val="es-MX"/>
        </w:rPr>
        <w:t xml:space="preserve">                                       (8</w:t>
      </w:r>
      <w:r w:rsidRPr="008D5201">
        <w:rPr>
          <w:rFonts w:ascii="Arial" w:hAnsi="Arial" w:cs="Arial"/>
          <w:lang w:val="es-MX"/>
        </w:rPr>
        <w:t>)</w:t>
      </w:r>
    </w:p>
    <w:p w:rsidR="00846109" w:rsidRPr="008D5201" w:rsidRDefault="00846109" w:rsidP="00846109">
      <w:pPr>
        <w:jc w:val="both"/>
        <w:rPr>
          <w:rFonts w:ascii="Arial" w:hAnsi="Arial" w:cs="Arial"/>
          <w:lang w:val="es-MX"/>
        </w:rPr>
      </w:pPr>
    </w:p>
    <w:p w:rsidR="00846109" w:rsidRPr="008D5201" w:rsidRDefault="00846109" w:rsidP="00846109">
      <w:pPr>
        <w:jc w:val="both"/>
        <w:rPr>
          <w:rFonts w:ascii="Arial" w:hAnsi="Arial" w:cs="Arial"/>
          <w:lang w:val="es-MX"/>
        </w:rPr>
      </w:pPr>
      <w:r w:rsidRPr="008D5201">
        <w:rPr>
          <w:rFonts w:ascii="Arial" w:hAnsi="Arial" w:cs="Arial"/>
          <w:lang w:val="es-MX"/>
        </w:rPr>
        <w:t xml:space="preserve">en lugar de los valores </w:t>
      </w:r>
      <w:r w:rsidRPr="008D5201">
        <w:rPr>
          <w:rFonts w:ascii="Arial" w:hAnsi="Arial" w:cs="Arial"/>
          <w:position w:val="-12"/>
          <w:lang w:val="es-MX"/>
        </w:rPr>
        <w:object w:dxaOrig="300" w:dyaOrig="360">
          <v:shape id="_x0000_i1085" type="#_x0000_t75" style="width:14.4pt;height:21.6pt" o:ole="">
            <v:imagedata r:id="rId260" o:title=""/>
          </v:shape>
          <o:OLEObject Type="Embed" ProgID="Equation.DSMT4" ShapeID="_x0000_i1085" DrawAspect="Content" ObjectID="_1660649182" r:id="rId261"/>
        </w:object>
      </w:r>
      <w:r>
        <w:rPr>
          <w:rFonts w:ascii="Arial" w:hAnsi="Arial" w:cs="Arial"/>
          <w:lang w:val="es-MX"/>
        </w:rPr>
        <w:t>. Aquí,</w:t>
      </w:r>
      <w:r w:rsidRPr="008D5201">
        <w:rPr>
          <w:rFonts w:ascii="Arial" w:hAnsi="Arial" w:cs="Arial"/>
          <w:lang w:val="es-MX"/>
        </w:rPr>
        <w:t xml:space="preserve"> </w:t>
      </w:r>
      <w:r w:rsidRPr="008D5201">
        <w:rPr>
          <w:rFonts w:ascii="Arial" w:hAnsi="Arial" w:cs="Arial"/>
          <w:position w:val="-4"/>
          <w:lang w:val="es-MX"/>
        </w:rPr>
        <w:object w:dxaOrig="260" w:dyaOrig="260">
          <v:shape id="_x0000_i1086" type="#_x0000_t75" style="width:14.4pt;height:14.4pt" o:ole="">
            <v:imagedata r:id="rId262" o:title=""/>
          </v:shape>
          <o:OLEObject Type="Embed" ProgID="Equation.DSMT4" ShapeID="_x0000_i1086" DrawAspect="Content" ObjectID="_1660649183" r:id="rId263"/>
        </w:object>
      </w:r>
      <w:r>
        <w:rPr>
          <w:rFonts w:ascii="Arial" w:hAnsi="Arial" w:cs="Arial"/>
          <w:lang w:val="es-MX"/>
        </w:rPr>
        <w:t xml:space="preserve"> es el número de truncación</w:t>
      </w:r>
      <w:r w:rsidRPr="008D5201">
        <w:rPr>
          <w:rFonts w:ascii="Arial" w:hAnsi="Arial" w:cs="Arial"/>
          <w:lang w:val="es-MX"/>
        </w:rPr>
        <w:t xml:space="preserve"> de la serie.</w:t>
      </w:r>
    </w:p>
    <w:p w:rsidR="00846109" w:rsidRPr="008D5201" w:rsidRDefault="00846109" w:rsidP="00846109">
      <w:pPr>
        <w:ind w:firstLine="567"/>
        <w:jc w:val="both"/>
        <w:rPr>
          <w:rFonts w:ascii="Arial" w:hAnsi="Arial" w:cs="Arial"/>
          <w:lang w:val="es-MX"/>
        </w:rPr>
      </w:pPr>
      <w:r w:rsidRPr="008D5201">
        <w:rPr>
          <w:rFonts w:ascii="Arial" w:hAnsi="Arial" w:cs="Arial"/>
          <w:lang w:val="es-MX"/>
        </w:rPr>
        <w:lastRenderedPageBreak/>
        <w:t>Por otra parte, la aplicación de la identidad de Lagrange</w:t>
      </w:r>
      <w:r>
        <w:rPr>
          <w:rFonts w:ascii="Arial" w:hAnsi="Arial" w:cs="Arial"/>
          <w:lang w:val="es-MX"/>
        </w:rPr>
        <w:t xml:space="preserve"> al sistema de ecuaciones (1)-(4</w:t>
      </w:r>
      <w:r w:rsidRPr="008D5201">
        <w:rPr>
          <w:rFonts w:ascii="Arial" w:hAnsi="Arial" w:cs="Arial"/>
          <w:lang w:val="es-MX"/>
        </w:rPr>
        <w:t xml:space="preserve">) conduce al siguiente modelo </w:t>
      </w:r>
      <w:r>
        <w:rPr>
          <w:rFonts w:ascii="Arial" w:hAnsi="Arial" w:cs="Arial"/>
          <w:lang w:val="es-MX"/>
        </w:rPr>
        <w:t xml:space="preserve">de dispersión </w:t>
      </w:r>
      <w:r w:rsidRPr="008D5201">
        <w:rPr>
          <w:rFonts w:ascii="Arial" w:hAnsi="Arial" w:cs="Arial"/>
          <w:lang w:val="es-MX"/>
        </w:rPr>
        <w:t>adjunto</w:t>
      </w:r>
      <w:r>
        <w:rPr>
          <w:rFonts w:ascii="Arial" w:hAnsi="Arial" w:cs="Arial"/>
          <w:lang w:val="es-MX"/>
        </w:rPr>
        <w:t xml:space="preserve"> </w:t>
      </w:r>
      <w:r>
        <w:rPr>
          <w:rFonts w:ascii="Arial" w:hAnsi="Arial" w:cs="Arial"/>
          <w:vertAlign w:val="superscript"/>
          <w:lang w:val="es-MX"/>
        </w:rPr>
        <w:t>[3]</w:t>
      </w:r>
      <w:r w:rsidRPr="008D5201">
        <w:rPr>
          <w:rFonts w:ascii="Arial" w:hAnsi="Arial" w:cs="Arial"/>
          <w:lang w:val="es-MX"/>
        </w:rPr>
        <w:t xml:space="preserve">: </w:t>
      </w:r>
    </w:p>
    <w:p w:rsidR="00846109" w:rsidRPr="009F2CC8" w:rsidRDefault="00846109" w:rsidP="00846109">
      <w:pPr>
        <w:jc w:val="both"/>
        <w:rPr>
          <w:rFonts w:ascii="Arial" w:hAnsi="Arial" w:cs="Arial"/>
          <w:lang w:val="es-MX"/>
        </w:rPr>
      </w:pPr>
    </w:p>
    <w:p w:rsidR="00846109" w:rsidRPr="009F2CC8" w:rsidRDefault="00846109" w:rsidP="00846109">
      <w:pPr>
        <w:ind w:right="48"/>
        <w:jc w:val="right"/>
        <w:rPr>
          <w:rFonts w:ascii="Arial" w:hAnsi="Arial" w:cs="Arial"/>
          <w:lang w:val="es-MX"/>
        </w:rPr>
      </w:pPr>
      <w:r w:rsidRPr="008D5201">
        <w:rPr>
          <w:rFonts w:ascii="Arial" w:hAnsi="Arial" w:cs="Arial"/>
          <w:position w:val="-24"/>
          <w:lang w:val="es-MX"/>
        </w:rPr>
        <w:object w:dxaOrig="4940" w:dyaOrig="660">
          <v:shape id="_x0000_i1087" type="#_x0000_t75" style="width:244.8pt;height:36pt" o:ole="">
            <v:imagedata r:id="rId264" o:title=""/>
          </v:shape>
          <o:OLEObject Type="Embed" ProgID="Equation.DSMT4" ShapeID="_x0000_i1087" DrawAspect="Content" ObjectID="_1660649184" r:id="rId265"/>
        </w:object>
      </w:r>
      <w:r w:rsidRPr="009F2CC8">
        <w:rPr>
          <w:rFonts w:ascii="Arial" w:hAnsi="Arial" w:cs="Arial"/>
          <w:lang w:val="es-MX"/>
        </w:rPr>
        <w:t xml:space="preserve">                           (9)</w:t>
      </w:r>
    </w:p>
    <w:p w:rsidR="00846109" w:rsidRPr="009F2CC8" w:rsidRDefault="00846109" w:rsidP="00846109">
      <w:pPr>
        <w:tabs>
          <w:tab w:val="left" w:pos="9356"/>
        </w:tabs>
        <w:ind w:right="48"/>
        <w:jc w:val="right"/>
        <w:rPr>
          <w:rFonts w:ascii="Arial" w:hAnsi="Arial" w:cs="Arial"/>
          <w:lang w:val="es-MX"/>
        </w:rPr>
      </w:pPr>
      <w:r w:rsidRPr="008D5201">
        <w:rPr>
          <w:rFonts w:ascii="Arial" w:hAnsi="Arial" w:cs="Arial"/>
          <w:position w:val="-24"/>
          <w:lang w:val="es-MX"/>
        </w:rPr>
        <w:object w:dxaOrig="2100" w:dyaOrig="620">
          <v:shape id="_x0000_i1088" type="#_x0000_t75" style="width:108pt;height:28.8pt" o:ole="">
            <v:imagedata r:id="rId266" o:title=""/>
          </v:shape>
          <o:OLEObject Type="Embed" ProgID="Equation.DSMT4" ShapeID="_x0000_i1088" DrawAspect="Content" ObjectID="_1660649185" r:id="rId267"/>
        </w:object>
      </w:r>
      <w:r w:rsidRPr="009F2CC8">
        <w:rPr>
          <w:rFonts w:ascii="Arial" w:hAnsi="Arial" w:cs="Arial"/>
          <w:lang w:val="es-MX"/>
        </w:rPr>
        <w:t xml:space="preserve">                                                (10)</w:t>
      </w:r>
    </w:p>
    <w:p w:rsidR="00846109" w:rsidRPr="009F2CC8" w:rsidRDefault="00846109" w:rsidP="00846109">
      <w:pPr>
        <w:ind w:right="48"/>
        <w:jc w:val="right"/>
        <w:rPr>
          <w:rFonts w:ascii="Arial" w:hAnsi="Arial" w:cs="Arial"/>
          <w:lang w:val="es-MX"/>
        </w:rPr>
      </w:pPr>
      <w:r w:rsidRPr="008D5201">
        <w:rPr>
          <w:rFonts w:ascii="Arial" w:hAnsi="Arial" w:cs="Arial"/>
          <w:position w:val="-24"/>
          <w:lang w:val="es-MX"/>
        </w:rPr>
        <w:object w:dxaOrig="2799" w:dyaOrig="620">
          <v:shape id="_x0000_i1089" type="#_x0000_t75" style="width:136.8pt;height:28.8pt" o:ole="">
            <v:imagedata r:id="rId268" o:title=""/>
          </v:shape>
          <o:OLEObject Type="Embed" ProgID="Equation.DSMT4" ShapeID="_x0000_i1089" DrawAspect="Content" ObjectID="_1660649186" r:id="rId269"/>
        </w:object>
      </w:r>
      <w:r w:rsidRPr="009F2CC8">
        <w:rPr>
          <w:rFonts w:ascii="Arial" w:hAnsi="Arial" w:cs="Arial"/>
          <w:lang w:val="es-MX"/>
        </w:rPr>
        <w:t xml:space="preserve">                                           (11)</w:t>
      </w:r>
    </w:p>
    <w:p w:rsidR="00846109" w:rsidRPr="009F2CC8" w:rsidRDefault="00846109" w:rsidP="00846109">
      <w:pPr>
        <w:ind w:right="48"/>
        <w:jc w:val="right"/>
        <w:rPr>
          <w:rFonts w:ascii="Arial" w:hAnsi="Arial" w:cs="Arial"/>
          <w:lang w:val="es-MX"/>
        </w:rPr>
      </w:pPr>
      <w:r w:rsidRPr="008D5201">
        <w:rPr>
          <w:rFonts w:ascii="Arial" w:hAnsi="Arial" w:cs="Arial"/>
          <w:position w:val="-10"/>
          <w:lang w:val="es-MX"/>
        </w:rPr>
        <w:object w:dxaOrig="2240" w:dyaOrig="320">
          <v:shape id="_x0000_i1090" type="#_x0000_t75" style="width:115.2pt;height:14.4pt" o:ole="">
            <v:imagedata r:id="rId270" o:title=""/>
          </v:shape>
          <o:OLEObject Type="Embed" ProgID="Equation.DSMT4" ShapeID="_x0000_i1090" DrawAspect="Content" ObjectID="_1660649187" r:id="rId271"/>
        </w:object>
      </w:r>
      <w:r w:rsidRPr="009F2CC8">
        <w:rPr>
          <w:rFonts w:ascii="Arial" w:hAnsi="Arial" w:cs="Arial"/>
          <w:lang w:val="es-MX"/>
        </w:rPr>
        <w:t xml:space="preserve">                                               (12)</w:t>
      </w:r>
    </w:p>
    <w:p w:rsidR="00846109" w:rsidRPr="008D5201" w:rsidRDefault="00846109" w:rsidP="00846109">
      <w:pPr>
        <w:jc w:val="both"/>
        <w:rPr>
          <w:rFonts w:ascii="Arial" w:hAnsi="Arial" w:cs="Arial"/>
          <w:lang w:val="es-MX"/>
        </w:rPr>
      </w:pPr>
    </w:p>
    <w:p w:rsidR="00846109" w:rsidRPr="008D5201" w:rsidRDefault="00846109" w:rsidP="00846109">
      <w:pPr>
        <w:jc w:val="both"/>
        <w:rPr>
          <w:rFonts w:ascii="Arial" w:hAnsi="Arial" w:cs="Arial"/>
          <w:lang w:val="es-MX"/>
        </w:rPr>
      </w:pPr>
      <w:r>
        <w:rPr>
          <w:rFonts w:ascii="Arial" w:hAnsi="Arial" w:cs="Arial"/>
          <w:lang w:val="es-MX"/>
        </w:rPr>
        <w:t>d</w:t>
      </w:r>
      <w:r w:rsidRPr="008D5201">
        <w:rPr>
          <w:rFonts w:ascii="Arial" w:hAnsi="Arial" w:cs="Arial"/>
          <w:lang w:val="es-MX"/>
        </w:rPr>
        <w:t xml:space="preserve">onde el </w:t>
      </w:r>
      <w:r>
        <w:rPr>
          <w:rFonts w:ascii="Arial" w:hAnsi="Arial" w:cs="Arial"/>
          <w:lang w:val="es-MX"/>
        </w:rPr>
        <w:t>forzamiento en la ecuación (9</w:t>
      </w:r>
      <w:r w:rsidRPr="008D5201">
        <w:rPr>
          <w:rFonts w:ascii="Arial" w:hAnsi="Arial" w:cs="Arial"/>
          <w:lang w:val="es-MX"/>
        </w:rPr>
        <w:t>) se define como</w:t>
      </w:r>
    </w:p>
    <w:p w:rsidR="00846109" w:rsidRPr="008D5201" w:rsidRDefault="00846109" w:rsidP="00846109">
      <w:pPr>
        <w:spacing w:line="360" w:lineRule="auto"/>
        <w:jc w:val="both"/>
        <w:rPr>
          <w:rFonts w:ascii="Arial" w:hAnsi="Arial" w:cs="Arial"/>
          <w:lang w:val="es-MX"/>
        </w:rPr>
      </w:pPr>
    </w:p>
    <w:p w:rsidR="00846109" w:rsidRDefault="00846109" w:rsidP="00846109">
      <w:pPr>
        <w:tabs>
          <w:tab w:val="left" w:pos="9356"/>
        </w:tabs>
        <w:ind w:right="48"/>
        <w:jc w:val="right"/>
        <w:rPr>
          <w:rFonts w:ascii="Arial" w:hAnsi="Arial" w:cs="Arial"/>
          <w:lang w:val="es-MX"/>
        </w:rPr>
      </w:pPr>
      <w:r w:rsidRPr="00A71EFA">
        <w:rPr>
          <w:rFonts w:ascii="Arial" w:hAnsi="Arial" w:cs="Arial"/>
          <w:position w:val="-10"/>
          <w:lang w:val="es-MX"/>
        </w:rPr>
        <w:object w:dxaOrig="2520" w:dyaOrig="320">
          <v:shape id="_x0000_i1091" type="#_x0000_t75" style="width:129.6pt;height:14.4pt" o:ole="">
            <v:imagedata r:id="rId272" o:title=""/>
          </v:shape>
          <o:OLEObject Type="Embed" ProgID="Equation.DSMT4" ShapeID="_x0000_i1091" DrawAspect="Content" ObjectID="_1660649188" r:id="rId273"/>
        </w:object>
      </w:r>
      <w:r w:rsidRPr="008D5201">
        <w:rPr>
          <w:rFonts w:ascii="Arial" w:hAnsi="Arial" w:cs="Arial"/>
          <w:lang w:val="es-MX"/>
        </w:rPr>
        <w:t xml:space="preserve">          </w:t>
      </w:r>
      <w:r>
        <w:rPr>
          <w:rFonts w:ascii="Arial" w:hAnsi="Arial" w:cs="Arial"/>
          <w:lang w:val="es-MX"/>
        </w:rPr>
        <w:t xml:space="preserve">        </w:t>
      </w:r>
      <w:r w:rsidRPr="008D5201">
        <w:rPr>
          <w:rFonts w:ascii="Arial" w:hAnsi="Arial" w:cs="Arial"/>
          <w:lang w:val="es-MX"/>
        </w:rPr>
        <w:t xml:space="preserve">             </w:t>
      </w:r>
      <w:r>
        <w:rPr>
          <w:rFonts w:ascii="Arial" w:hAnsi="Arial" w:cs="Arial"/>
          <w:lang w:val="es-MX"/>
        </w:rPr>
        <w:t xml:space="preserve">             (13</w:t>
      </w:r>
      <w:r w:rsidRPr="008D5201">
        <w:rPr>
          <w:rFonts w:ascii="Arial" w:hAnsi="Arial" w:cs="Arial"/>
          <w:lang w:val="es-MX"/>
        </w:rPr>
        <w:t>)</w:t>
      </w:r>
    </w:p>
    <w:p w:rsidR="00846109" w:rsidRPr="008D5201" w:rsidRDefault="00846109" w:rsidP="00846109">
      <w:pPr>
        <w:tabs>
          <w:tab w:val="left" w:pos="9356"/>
        </w:tabs>
        <w:ind w:right="48"/>
        <w:jc w:val="both"/>
        <w:rPr>
          <w:rFonts w:ascii="Arial" w:hAnsi="Arial" w:cs="Arial"/>
          <w:lang w:val="es-MX"/>
        </w:rPr>
      </w:pPr>
    </w:p>
    <w:p w:rsidR="00846109" w:rsidRPr="008D5201" w:rsidRDefault="00846109" w:rsidP="00846109">
      <w:pPr>
        <w:jc w:val="both"/>
        <w:rPr>
          <w:rFonts w:ascii="Arial" w:hAnsi="Arial" w:cs="Arial"/>
          <w:lang w:val="es-MX"/>
        </w:rPr>
      </w:pPr>
      <w:r>
        <w:rPr>
          <w:rFonts w:ascii="Arial" w:hAnsi="Arial" w:cs="Arial"/>
          <w:lang w:val="es-MX"/>
        </w:rPr>
        <w:t xml:space="preserve">para un </w:t>
      </w:r>
      <w:r w:rsidRPr="008D5201">
        <w:rPr>
          <w:rFonts w:ascii="Arial" w:hAnsi="Arial" w:cs="Arial"/>
          <w:lang w:val="es-MX"/>
        </w:rPr>
        <w:t xml:space="preserve">sitio de monitoreo </w:t>
      </w:r>
      <w:r w:rsidRPr="008D5201">
        <w:rPr>
          <w:rFonts w:ascii="Arial" w:hAnsi="Arial" w:cs="Arial"/>
          <w:position w:val="-4"/>
          <w:lang w:val="es-MX"/>
        </w:rPr>
        <w:object w:dxaOrig="260" w:dyaOrig="260">
          <v:shape id="_x0000_i1092" type="#_x0000_t75" style="width:14.4pt;height:14.4pt" o:ole="">
            <v:imagedata r:id="rId274" o:title=""/>
          </v:shape>
          <o:OLEObject Type="Embed" ProgID="Equation.DSMT4" ShapeID="_x0000_i1092" DrawAspect="Content" ObjectID="_1660649189" r:id="rId275"/>
        </w:object>
      </w:r>
      <w:r>
        <w:rPr>
          <w:rFonts w:ascii="Arial" w:hAnsi="Arial" w:cs="Arial"/>
          <w:lang w:val="es-MX"/>
        </w:rPr>
        <w:t xml:space="preserve"> </w:t>
      </w:r>
      <w:r w:rsidRPr="008D5201">
        <w:rPr>
          <w:rFonts w:ascii="Arial" w:hAnsi="Arial" w:cs="Arial"/>
          <w:lang w:val="es-MX"/>
        </w:rPr>
        <w:t xml:space="preserve">en el dominio </w:t>
      </w:r>
      <w:r w:rsidRPr="008D5201">
        <w:rPr>
          <w:rFonts w:ascii="Arial" w:hAnsi="Arial" w:cs="Arial"/>
          <w:position w:val="-4"/>
          <w:lang w:val="es-MX"/>
        </w:rPr>
        <w:object w:dxaOrig="240" w:dyaOrig="260">
          <v:shape id="_x0000_i1093" type="#_x0000_t75" style="width:14.4pt;height:14.4pt" o:ole="">
            <v:imagedata r:id="rId276" o:title=""/>
          </v:shape>
          <o:OLEObject Type="Embed" ProgID="Equation.DSMT4" ShapeID="_x0000_i1093" DrawAspect="Content" ObjectID="_1660649190" r:id="rId277"/>
        </w:object>
      </w:r>
      <w:r>
        <w:rPr>
          <w:rFonts w:ascii="Arial" w:hAnsi="Arial" w:cs="Arial"/>
          <w:lang w:val="es-MX"/>
        </w:rPr>
        <w:t xml:space="preserve"> y un instante </w:t>
      </w:r>
      <w:r w:rsidRPr="00140DEC">
        <w:rPr>
          <w:rFonts w:ascii="Arial" w:hAnsi="Arial" w:cs="Arial"/>
          <w:position w:val="-6"/>
          <w:lang w:val="es-MX"/>
        </w:rPr>
        <w:object w:dxaOrig="200" w:dyaOrig="220">
          <v:shape id="_x0000_i1094" type="#_x0000_t75" style="width:7.2pt;height:14.4pt" o:ole="">
            <v:imagedata r:id="rId278" o:title=""/>
          </v:shape>
          <o:OLEObject Type="Embed" ProgID="Equation.DSMT4" ShapeID="_x0000_i1094" DrawAspect="Content" ObjectID="_1660649191" r:id="rId279"/>
        </w:object>
      </w:r>
      <w:r>
        <w:rPr>
          <w:rFonts w:ascii="Arial" w:hAnsi="Arial" w:cs="Arial"/>
          <w:lang w:val="es-MX"/>
        </w:rPr>
        <w:t xml:space="preserve"> en el intervalo </w:t>
      </w:r>
      <w:r w:rsidRPr="008C21FE">
        <w:rPr>
          <w:rFonts w:ascii="Arial" w:hAnsi="Arial" w:cs="Arial"/>
          <w:position w:val="-10"/>
          <w:lang w:val="es-MX"/>
        </w:rPr>
        <w:object w:dxaOrig="580" w:dyaOrig="320">
          <v:shape id="_x0000_i1095" type="#_x0000_t75" style="width:28.8pt;height:14.4pt" o:ole="">
            <v:imagedata r:id="rId280" o:title=""/>
          </v:shape>
          <o:OLEObject Type="Embed" ProgID="Equation.DSMT4" ShapeID="_x0000_i1095" DrawAspect="Content" ObjectID="_1660649192" r:id="rId281"/>
        </w:object>
      </w:r>
      <w:r>
        <w:rPr>
          <w:rFonts w:ascii="Arial" w:hAnsi="Arial" w:cs="Arial"/>
          <w:lang w:val="es-MX"/>
        </w:rPr>
        <w:t>.</w:t>
      </w:r>
      <w:r w:rsidRPr="00A83E08">
        <w:rPr>
          <w:rFonts w:ascii="Arial" w:hAnsi="Arial" w:cs="Arial"/>
          <w:lang w:val="es-MX"/>
        </w:rPr>
        <w:t xml:space="preserve"> </w:t>
      </w:r>
      <w:r>
        <w:rPr>
          <w:rFonts w:ascii="Arial" w:hAnsi="Arial" w:cs="Arial"/>
          <w:lang w:val="es-MX"/>
        </w:rPr>
        <w:t xml:space="preserve">Es importante notar que la función adjunta se calcula resolviendo el modelo (9)-(12) hacia atrás en el tiempo, es decir, de </w:t>
      </w:r>
      <w:r w:rsidRPr="007F263D">
        <w:rPr>
          <w:rFonts w:ascii="Arial" w:hAnsi="Arial" w:cs="Arial"/>
          <w:position w:val="-6"/>
          <w:lang w:val="es-MX"/>
        </w:rPr>
        <w:object w:dxaOrig="560" w:dyaOrig="279">
          <v:shape id="_x0000_i1096" type="#_x0000_t75" style="width:28.8pt;height:14.4pt" o:ole="">
            <v:imagedata r:id="rId282" o:title=""/>
          </v:shape>
          <o:OLEObject Type="Embed" ProgID="Equation.DSMT4" ShapeID="_x0000_i1096" DrawAspect="Content" ObjectID="_1660649193" r:id="rId283"/>
        </w:object>
      </w:r>
      <w:r>
        <w:rPr>
          <w:rFonts w:ascii="Arial" w:hAnsi="Arial" w:cs="Arial"/>
          <w:lang w:val="es-MX"/>
        </w:rPr>
        <w:t xml:space="preserve"> a </w:t>
      </w:r>
      <w:r w:rsidRPr="007F263D">
        <w:rPr>
          <w:rFonts w:ascii="Arial" w:hAnsi="Arial" w:cs="Arial"/>
          <w:position w:val="-6"/>
          <w:lang w:val="es-MX"/>
        </w:rPr>
        <w:object w:dxaOrig="540" w:dyaOrig="279">
          <v:shape id="_x0000_i1097" type="#_x0000_t75" style="width:28.8pt;height:14.4pt" o:ole="">
            <v:imagedata r:id="rId284" o:title=""/>
          </v:shape>
          <o:OLEObject Type="Embed" ProgID="Equation.DSMT4" ShapeID="_x0000_i1097" DrawAspect="Content" ObjectID="_1660649194" r:id="rId285"/>
        </w:object>
      </w:r>
      <w:r>
        <w:rPr>
          <w:rFonts w:ascii="Arial" w:hAnsi="Arial" w:cs="Arial"/>
          <w:lang w:val="es-MX"/>
        </w:rPr>
        <w:t xml:space="preserve">; por lo tanto, </w:t>
      </w:r>
      <w:r w:rsidRPr="00C05D6D">
        <w:rPr>
          <w:rFonts w:ascii="Arial" w:hAnsi="Arial" w:cs="Arial"/>
          <w:position w:val="-12"/>
          <w:lang w:val="es-MX"/>
        </w:rPr>
        <w:object w:dxaOrig="1160" w:dyaOrig="360">
          <v:shape id="_x0000_i1098" type="#_x0000_t75" style="width:57.6pt;height:21.6pt" o:ole="">
            <v:imagedata r:id="rId286" o:title=""/>
          </v:shape>
          <o:OLEObject Type="Embed" ProgID="Equation.DSMT4" ShapeID="_x0000_i1098" DrawAspect="Content" ObjectID="_1660649195" r:id="rId287"/>
        </w:object>
      </w:r>
      <w:r w:rsidRPr="009F2CC8">
        <w:rPr>
          <w:rFonts w:ascii="Arial" w:hAnsi="Arial" w:cs="Arial"/>
          <w:lang w:val="es-MX"/>
        </w:rPr>
        <w:t xml:space="preserve"> para </w:t>
      </w:r>
      <w:r w:rsidRPr="007F263D">
        <w:rPr>
          <w:rFonts w:ascii="Arial" w:hAnsi="Arial" w:cs="Arial"/>
          <w:position w:val="-6"/>
          <w:lang w:val="es-MX"/>
        </w:rPr>
        <w:object w:dxaOrig="940" w:dyaOrig="279">
          <v:shape id="_x0000_i1099" type="#_x0000_t75" style="width:50.4pt;height:14.4pt" o:ole="">
            <v:imagedata r:id="rId288" o:title=""/>
          </v:shape>
          <o:OLEObject Type="Embed" ProgID="Equation.DSMT4" ShapeID="_x0000_i1099" DrawAspect="Content" ObjectID="_1660649196" r:id="rId289"/>
        </w:object>
      </w:r>
      <w:r>
        <w:rPr>
          <w:rFonts w:ascii="Arial" w:hAnsi="Arial" w:cs="Arial"/>
          <w:lang w:val="es-MX"/>
        </w:rPr>
        <w:t>.</w:t>
      </w:r>
    </w:p>
    <w:p w:rsidR="00846109" w:rsidRDefault="00846109" w:rsidP="00846109">
      <w:pPr>
        <w:ind w:firstLine="567"/>
        <w:jc w:val="both"/>
        <w:rPr>
          <w:rFonts w:ascii="Arial" w:hAnsi="Arial" w:cs="Arial"/>
          <w:lang w:val="es-MX"/>
        </w:rPr>
      </w:pPr>
      <w:r>
        <w:rPr>
          <w:rFonts w:ascii="Arial" w:hAnsi="Arial" w:cs="Arial"/>
          <w:lang w:val="es-MX"/>
        </w:rPr>
        <w:t xml:space="preserve">La combinación de las soluciones de los modelos directo y adjunto permite establecer el principio de dualidad para la concentración de un contaminante </w:t>
      </w:r>
      <w:r>
        <w:rPr>
          <w:rFonts w:ascii="Arial" w:hAnsi="Arial" w:cs="Arial"/>
          <w:vertAlign w:val="superscript"/>
          <w:lang w:val="es-MX"/>
        </w:rPr>
        <w:t>[3]</w:t>
      </w:r>
      <w:r>
        <w:rPr>
          <w:rFonts w:ascii="Arial" w:hAnsi="Arial" w:cs="Arial"/>
          <w:lang w:val="es-MX"/>
        </w:rPr>
        <w:t>:</w:t>
      </w:r>
    </w:p>
    <w:p w:rsidR="00846109" w:rsidRPr="00BC33BA" w:rsidRDefault="00846109" w:rsidP="00846109">
      <w:pPr>
        <w:jc w:val="both"/>
        <w:rPr>
          <w:rFonts w:ascii="Arial" w:hAnsi="Arial" w:cs="Arial"/>
          <w:lang w:val="es-MX"/>
        </w:rPr>
      </w:pPr>
    </w:p>
    <w:p w:rsidR="00846109" w:rsidRPr="008D5201" w:rsidRDefault="00846109" w:rsidP="00846109">
      <w:pPr>
        <w:ind w:right="48"/>
        <w:jc w:val="right"/>
        <w:rPr>
          <w:rFonts w:ascii="Arial" w:hAnsi="Arial" w:cs="Arial"/>
          <w:lang w:val="es-MX"/>
        </w:rPr>
      </w:pPr>
      <w:r w:rsidRPr="008D5201">
        <w:rPr>
          <w:rFonts w:ascii="Arial" w:hAnsi="Arial" w:cs="Arial"/>
          <w:position w:val="-18"/>
          <w:lang w:val="es-MX"/>
        </w:rPr>
        <w:object w:dxaOrig="2540" w:dyaOrig="520">
          <v:shape id="_x0000_i1100" type="#_x0000_t75" style="width:129.6pt;height:28.8pt" o:ole="">
            <v:imagedata r:id="rId290" o:title=""/>
          </v:shape>
          <o:OLEObject Type="Embed" ProgID="Equation.DSMT4" ShapeID="_x0000_i1100" DrawAspect="Content" ObjectID="_1660649197" r:id="rId291"/>
        </w:object>
      </w:r>
      <w:r w:rsidRPr="009F2CC8">
        <w:rPr>
          <w:rFonts w:ascii="Arial" w:hAnsi="Arial" w:cs="Arial"/>
          <w:lang w:val="es-MX"/>
        </w:rPr>
        <w:t xml:space="preserve">                                            (14)</w:t>
      </w:r>
    </w:p>
    <w:p w:rsidR="00846109" w:rsidRPr="008D5201" w:rsidRDefault="00846109" w:rsidP="00846109">
      <w:pPr>
        <w:jc w:val="both"/>
        <w:rPr>
          <w:rFonts w:ascii="Arial" w:hAnsi="Arial" w:cs="Arial"/>
          <w:lang w:val="es-MX"/>
        </w:rPr>
      </w:pPr>
    </w:p>
    <w:p w:rsidR="00846109" w:rsidRPr="008D5201" w:rsidRDefault="00846109" w:rsidP="00846109">
      <w:pPr>
        <w:jc w:val="both"/>
        <w:rPr>
          <w:rFonts w:ascii="Arial" w:hAnsi="Arial" w:cs="Arial"/>
          <w:lang w:val="es-MX"/>
        </w:rPr>
      </w:pPr>
      <w:r>
        <w:rPr>
          <w:rFonts w:ascii="Arial" w:hAnsi="Arial" w:cs="Arial"/>
          <w:lang w:val="es-MX"/>
        </w:rPr>
        <w:t xml:space="preserve">Note que la función adjunta no depende de la tasa de emisión </w:t>
      </w:r>
      <w:r w:rsidRPr="00256ACA">
        <w:rPr>
          <w:rFonts w:ascii="Arial" w:hAnsi="Arial" w:cs="Arial"/>
          <w:position w:val="-10"/>
          <w:lang w:val="es-MX"/>
        </w:rPr>
        <w:object w:dxaOrig="499" w:dyaOrig="320">
          <v:shape id="_x0000_i1101" type="#_x0000_t75" style="width:21.6pt;height:14.4pt" o:ole="">
            <v:imagedata r:id="rId292" o:title=""/>
          </v:shape>
          <o:OLEObject Type="Embed" ProgID="Equation.DSMT4" ShapeID="_x0000_i1101" DrawAspect="Content" ObjectID="_1660649198" r:id="rId293"/>
        </w:object>
      </w:r>
      <w:r>
        <w:rPr>
          <w:rFonts w:ascii="Arial" w:hAnsi="Arial" w:cs="Arial"/>
          <w:lang w:val="es-MX"/>
        </w:rPr>
        <w:t xml:space="preserve"> y que es el núcleo de la ecuación integral (14). Dicha </w:t>
      </w:r>
      <w:r w:rsidRPr="008D5201">
        <w:rPr>
          <w:rFonts w:ascii="Arial" w:hAnsi="Arial" w:cs="Arial"/>
          <w:lang w:val="es-MX"/>
        </w:rPr>
        <w:t>función también se expresa a través de una serie de Fourier como sigue:</w:t>
      </w:r>
    </w:p>
    <w:p w:rsidR="00846109" w:rsidRPr="009F2CC8" w:rsidRDefault="00846109" w:rsidP="00846109">
      <w:pPr>
        <w:jc w:val="both"/>
        <w:rPr>
          <w:rFonts w:ascii="Arial" w:hAnsi="Arial" w:cs="Arial"/>
          <w:lang w:val="es-MX"/>
        </w:rPr>
      </w:pPr>
    </w:p>
    <w:p w:rsidR="00846109" w:rsidRPr="008D5201" w:rsidRDefault="00846109" w:rsidP="00846109">
      <w:pPr>
        <w:ind w:right="48"/>
        <w:jc w:val="right"/>
        <w:rPr>
          <w:rFonts w:ascii="Arial" w:hAnsi="Arial" w:cs="Arial"/>
          <w:lang w:val="es-MX"/>
        </w:rPr>
      </w:pPr>
      <w:r w:rsidRPr="008D5201">
        <w:rPr>
          <w:rFonts w:ascii="Arial" w:hAnsi="Arial" w:cs="Arial"/>
          <w:position w:val="-28"/>
          <w:lang w:val="es-MX"/>
        </w:rPr>
        <w:object w:dxaOrig="4340" w:dyaOrig="680">
          <v:shape id="_x0000_i1102" type="#_x0000_t75" style="width:3in;height:36pt" o:ole="">
            <v:imagedata r:id="rId294" o:title=""/>
          </v:shape>
          <o:OLEObject Type="Embed" ProgID="Equation.DSMT4" ShapeID="_x0000_i1102" DrawAspect="Content" ObjectID="_1660649199" r:id="rId295"/>
        </w:object>
      </w:r>
      <w:r w:rsidRPr="008D5201">
        <w:rPr>
          <w:rFonts w:ascii="Arial" w:hAnsi="Arial" w:cs="Arial"/>
          <w:lang w:val="es-MX"/>
        </w:rPr>
        <w:t xml:space="preserve">      </w:t>
      </w:r>
      <w:r>
        <w:rPr>
          <w:rFonts w:ascii="Arial" w:hAnsi="Arial" w:cs="Arial"/>
          <w:lang w:val="es-MX"/>
        </w:rPr>
        <w:t xml:space="preserve">                       (15</w:t>
      </w:r>
      <w:r w:rsidRPr="008D5201">
        <w:rPr>
          <w:rFonts w:ascii="Arial" w:hAnsi="Arial" w:cs="Arial"/>
          <w:lang w:val="es-MX"/>
        </w:rPr>
        <w:t>)</w:t>
      </w:r>
    </w:p>
    <w:p w:rsidR="00846109" w:rsidRPr="008D5201" w:rsidRDefault="00846109" w:rsidP="00846109">
      <w:pPr>
        <w:jc w:val="both"/>
        <w:rPr>
          <w:rFonts w:ascii="Arial" w:hAnsi="Arial" w:cs="Arial"/>
          <w:lang w:val="es-MX"/>
        </w:rPr>
      </w:pPr>
    </w:p>
    <w:p w:rsidR="00846109" w:rsidRPr="008D5201" w:rsidRDefault="00846109" w:rsidP="00846109">
      <w:pPr>
        <w:jc w:val="both"/>
        <w:rPr>
          <w:rFonts w:ascii="Arial" w:hAnsi="Arial" w:cs="Arial"/>
          <w:lang w:val="es-MX"/>
        </w:rPr>
      </w:pPr>
      <w:r w:rsidRPr="008D5201">
        <w:rPr>
          <w:rFonts w:ascii="Arial" w:hAnsi="Arial" w:cs="Arial"/>
          <w:lang w:val="es-MX"/>
        </w:rPr>
        <w:t>donde los coeficientes</w:t>
      </w:r>
      <w:r>
        <w:rPr>
          <w:rFonts w:ascii="Arial" w:hAnsi="Arial" w:cs="Arial"/>
          <w:lang w:val="es-MX"/>
        </w:rPr>
        <w:t xml:space="preserve"> de Fourier</w:t>
      </w:r>
      <w:r w:rsidRPr="008D5201">
        <w:rPr>
          <w:rFonts w:ascii="Arial" w:hAnsi="Arial" w:cs="Arial"/>
          <w:lang w:val="es-MX"/>
        </w:rPr>
        <w:t xml:space="preserve"> </w:t>
      </w:r>
      <w:r w:rsidRPr="008D5201">
        <w:rPr>
          <w:rFonts w:ascii="Arial" w:hAnsi="Arial" w:cs="Arial"/>
          <w:position w:val="-12"/>
        </w:rPr>
        <w:object w:dxaOrig="279" w:dyaOrig="360">
          <v:shape id="_x0000_i1103" type="#_x0000_t75" style="width:14.4pt;height:21.6pt" o:ole="">
            <v:imagedata r:id="rId296" o:title=""/>
          </v:shape>
          <o:OLEObject Type="Embed" ProgID="Equation.DSMT4" ShapeID="_x0000_i1103" DrawAspect="Content" ObjectID="_1660649200" r:id="rId297"/>
        </w:object>
      </w:r>
      <w:r w:rsidRPr="008D5201">
        <w:rPr>
          <w:rFonts w:ascii="Arial" w:hAnsi="Arial" w:cs="Arial"/>
        </w:rPr>
        <w:t xml:space="preserve"> se calculan en la siguiente forma:</w:t>
      </w:r>
    </w:p>
    <w:p w:rsidR="00846109" w:rsidRPr="009F2CC8" w:rsidRDefault="00846109" w:rsidP="00846109">
      <w:pPr>
        <w:jc w:val="both"/>
        <w:rPr>
          <w:rFonts w:ascii="Arial" w:hAnsi="Arial" w:cs="Arial"/>
          <w:lang w:val="es-MX"/>
        </w:rPr>
      </w:pPr>
    </w:p>
    <w:p w:rsidR="00846109" w:rsidRPr="008D5201" w:rsidRDefault="00846109" w:rsidP="00846109">
      <w:pPr>
        <w:ind w:right="48"/>
        <w:jc w:val="right"/>
        <w:rPr>
          <w:rFonts w:ascii="Arial" w:hAnsi="Arial" w:cs="Arial"/>
          <w:lang w:val="es-MX"/>
        </w:rPr>
      </w:pPr>
      <w:r>
        <w:rPr>
          <w:rFonts w:ascii="Arial" w:hAnsi="Arial" w:cs="Arial"/>
          <w:lang w:val="es-MX"/>
        </w:rPr>
        <w:t xml:space="preserve">    </w:t>
      </w:r>
      <w:r w:rsidRPr="008D5201">
        <w:rPr>
          <w:rFonts w:ascii="Arial" w:hAnsi="Arial" w:cs="Arial"/>
          <w:position w:val="-28"/>
          <w:lang w:val="es-MX"/>
        </w:rPr>
        <w:object w:dxaOrig="4700" w:dyaOrig="660">
          <v:shape id="_x0000_i1104" type="#_x0000_t75" style="width:237.6pt;height:36pt" o:ole="">
            <v:imagedata r:id="rId298" o:title=""/>
          </v:shape>
          <o:OLEObject Type="Embed" ProgID="Equation.DSMT4" ShapeID="_x0000_i1104" DrawAspect="Content" ObjectID="_1660649201" r:id="rId299"/>
        </w:object>
      </w:r>
      <w:r w:rsidRPr="009F2CC8">
        <w:rPr>
          <w:rFonts w:ascii="Arial" w:hAnsi="Arial" w:cs="Arial"/>
          <w:lang w:val="es-MX"/>
        </w:rPr>
        <w:t xml:space="preserve">                           (16)</w:t>
      </w:r>
    </w:p>
    <w:p w:rsidR="00846109" w:rsidRPr="008D5201" w:rsidRDefault="00846109" w:rsidP="00846109">
      <w:pPr>
        <w:jc w:val="both"/>
        <w:rPr>
          <w:rFonts w:ascii="Arial" w:hAnsi="Arial" w:cs="Arial"/>
          <w:lang w:val="es-MX"/>
        </w:rPr>
      </w:pPr>
    </w:p>
    <w:p w:rsidR="00846109" w:rsidRPr="008D5201" w:rsidRDefault="00846109" w:rsidP="00846109">
      <w:pPr>
        <w:ind w:firstLine="567"/>
        <w:jc w:val="both"/>
        <w:rPr>
          <w:rFonts w:ascii="Arial" w:hAnsi="Arial" w:cs="Arial"/>
          <w:lang w:val="es-MX"/>
        </w:rPr>
      </w:pPr>
      <w:r w:rsidRPr="008D5201">
        <w:rPr>
          <w:rFonts w:ascii="Arial" w:hAnsi="Arial" w:cs="Arial"/>
          <w:lang w:val="es-MX"/>
        </w:rPr>
        <w:t>Como se explico previamente, en los experimentos numéricos se consideran los siguientes coeficie</w:t>
      </w:r>
      <w:r>
        <w:rPr>
          <w:rFonts w:ascii="Arial" w:hAnsi="Arial" w:cs="Arial"/>
          <w:lang w:val="es-MX"/>
        </w:rPr>
        <w:t>ntes de Fejér para la serie (15):</w:t>
      </w:r>
    </w:p>
    <w:p w:rsidR="00846109" w:rsidRPr="008D5201" w:rsidRDefault="00846109" w:rsidP="00846109">
      <w:pPr>
        <w:jc w:val="both"/>
        <w:rPr>
          <w:rFonts w:ascii="Arial" w:hAnsi="Arial" w:cs="Arial"/>
          <w:lang w:val="es-MX"/>
        </w:rPr>
      </w:pPr>
    </w:p>
    <w:p w:rsidR="00846109" w:rsidRPr="008D5201" w:rsidRDefault="00846109" w:rsidP="00846109">
      <w:pPr>
        <w:ind w:right="48"/>
        <w:jc w:val="right"/>
        <w:rPr>
          <w:rFonts w:ascii="Arial" w:hAnsi="Arial" w:cs="Arial"/>
          <w:lang w:val="es-MX"/>
        </w:rPr>
      </w:pPr>
      <w:r w:rsidRPr="008D5201">
        <w:rPr>
          <w:rFonts w:ascii="Arial" w:hAnsi="Arial" w:cs="Arial"/>
          <w:position w:val="-28"/>
          <w:lang w:val="es-MX"/>
        </w:rPr>
        <w:object w:dxaOrig="3420" w:dyaOrig="680">
          <v:shape id="_x0000_i1105" type="#_x0000_t75" style="width:172.8pt;height:36pt" o:ole="">
            <v:imagedata r:id="rId300" o:title=""/>
          </v:shape>
          <o:OLEObject Type="Embed" ProgID="Equation.DSMT4" ShapeID="_x0000_i1105" DrawAspect="Content" ObjectID="_1660649202" r:id="rId301"/>
        </w:object>
      </w:r>
      <w:r>
        <w:rPr>
          <w:rFonts w:ascii="Arial" w:hAnsi="Arial" w:cs="Arial"/>
          <w:lang w:val="es-MX"/>
        </w:rPr>
        <w:t xml:space="preserve">                        </w:t>
      </w:r>
      <w:r w:rsidRPr="008D5201">
        <w:rPr>
          <w:rFonts w:ascii="Arial" w:hAnsi="Arial" w:cs="Arial"/>
          <w:lang w:val="es-MX"/>
        </w:rPr>
        <w:t xml:space="preserve">     </w:t>
      </w:r>
      <w:r>
        <w:rPr>
          <w:rFonts w:ascii="Arial" w:hAnsi="Arial" w:cs="Arial"/>
          <w:lang w:val="es-MX"/>
        </w:rPr>
        <w:t xml:space="preserve">       (17</w:t>
      </w:r>
      <w:r w:rsidRPr="008D5201">
        <w:rPr>
          <w:rFonts w:ascii="Arial" w:hAnsi="Arial" w:cs="Arial"/>
          <w:lang w:val="es-MX"/>
        </w:rPr>
        <w:t>)</w:t>
      </w:r>
    </w:p>
    <w:p w:rsidR="00846109" w:rsidRPr="008D5201" w:rsidRDefault="00846109" w:rsidP="00846109">
      <w:pPr>
        <w:jc w:val="both"/>
        <w:rPr>
          <w:rFonts w:ascii="Arial" w:hAnsi="Arial" w:cs="Arial"/>
          <w:lang w:val="es-MX"/>
        </w:rPr>
      </w:pPr>
    </w:p>
    <w:p w:rsidR="00846109" w:rsidRPr="008D5201" w:rsidRDefault="00846109" w:rsidP="00846109">
      <w:pPr>
        <w:jc w:val="both"/>
        <w:rPr>
          <w:rFonts w:ascii="Arial" w:hAnsi="Arial" w:cs="Arial"/>
          <w:lang w:val="es-MX"/>
        </w:rPr>
      </w:pPr>
      <w:r w:rsidRPr="008D5201">
        <w:rPr>
          <w:rFonts w:ascii="Arial" w:hAnsi="Arial" w:cs="Arial"/>
          <w:lang w:val="es-MX"/>
        </w:rPr>
        <w:t xml:space="preserve">en lugar de los coeficientes </w:t>
      </w:r>
      <w:r w:rsidRPr="008D5201">
        <w:rPr>
          <w:rFonts w:ascii="Arial" w:hAnsi="Arial" w:cs="Arial"/>
          <w:position w:val="-12"/>
          <w:lang w:val="es-MX"/>
        </w:rPr>
        <w:object w:dxaOrig="279" w:dyaOrig="360">
          <v:shape id="_x0000_i1106" type="#_x0000_t75" style="width:14.4pt;height:21.6pt" o:ole="">
            <v:imagedata r:id="rId302" o:title=""/>
          </v:shape>
          <o:OLEObject Type="Embed" ProgID="Equation.DSMT4" ShapeID="_x0000_i1106" DrawAspect="Content" ObjectID="_1660649203" r:id="rId303"/>
        </w:object>
      </w:r>
      <w:r w:rsidRPr="008D5201">
        <w:rPr>
          <w:rFonts w:ascii="Arial" w:hAnsi="Arial" w:cs="Arial"/>
          <w:lang w:val="es-MX"/>
        </w:rPr>
        <w:t xml:space="preserve">. Nuevamente, </w:t>
      </w:r>
      <w:r w:rsidRPr="008D5201">
        <w:rPr>
          <w:rFonts w:ascii="Arial" w:hAnsi="Arial" w:cs="Arial"/>
          <w:position w:val="-4"/>
          <w:lang w:val="es-MX"/>
        </w:rPr>
        <w:object w:dxaOrig="260" w:dyaOrig="260">
          <v:shape id="_x0000_i1107" type="#_x0000_t75" style="width:14.4pt;height:14.4pt" o:ole="">
            <v:imagedata r:id="rId304" o:title=""/>
          </v:shape>
          <o:OLEObject Type="Embed" ProgID="Equation.DSMT4" ShapeID="_x0000_i1107" DrawAspect="Content" ObjectID="_1660649204" r:id="rId305"/>
        </w:object>
      </w:r>
      <w:r>
        <w:rPr>
          <w:rFonts w:ascii="Arial" w:hAnsi="Arial" w:cs="Arial"/>
          <w:lang w:val="es-MX"/>
        </w:rPr>
        <w:t xml:space="preserve"> denota el número de truncación de la serie (15</w:t>
      </w:r>
      <w:r w:rsidRPr="008D5201">
        <w:rPr>
          <w:rFonts w:ascii="Arial" w:hAnsi="Arial" w:cs="Arial"/>
          <w:lang w:val="es-MX"/>
        </w:rPr>
        <w:t>).</w:t>
      </w:r>
    </w:p>
    <w:p w:rsidR="00846109" w:rsidRDefault="00846109" w:rsidP="00846109">
      <w:pPr>
        <w:pStyle w:val="Textoindependiente"/>
        <w:ind w:firstLine="567"/>
        <w:jc w:val="both"/>
        <w:rPr>
          <w:rFonts w:ascii="Arial" w:hAnsi="Arial" w:cs="Arial"/>
          <w:b w:val="0"/>
          <w:sz w:val="24"/>
          <w:lang w:val="es-MX"/>
        </w:rPr>
      </w:pPr>
      <w:r w:rsidRPr="00C623AF">
        <w:rPr>
          <w:rFonts w:ascii="Arial" w:hAnsi="Arial" w:cs="Arial"/>
          <w:b w:val="0"/>
          <w:bCs w:val="0"/>
          <w:sz w:val="24"/>
        </w:rPr>
        <w:t xml:space="preserve">Una vez descritos los modelos de dispersión y su adjunto, junto con sus respectivas soluciones, es posible </w:t>
      </w:r>
      <w:r>
        <w:rPr>
          <w:rFonts w:ascii="Arial" w:hAnsi="Arial" w:cs="Arial"/>
          <w:b w:val="0"/>
          <w:bCs w:val="0"/>
          <w:sz w:val="24"/>
        </w:rPr>
        <w:t>formular el método para estimar</w:t>
      </w:r>
      <w:r w:rsidRPr="00C623AF">
        <w:rPr>
          <w:rFonts w:ascii="Arial" w:hAnsi="Arial" w:cs="Arial"/>
          <w:b w:val="0"/>
          <w:bCs w:val="0"/>
          <w:sz w:val="24"/>
        </w:rPr>
        <w:t xml:space="preserve"> la tasa de emisión </w:t>
      </w:r>
      <w:r w:rsidRPr="00C623AF">
        <w:rPr>
          <w:rFonts w:ascii="Arial" w:hAnsi="Arial" w:cs="Arial"/>
          <w:position w:val="-10"/>
          <w:sz w:val="24"/>
          <w:lang w:val="es-MX"/>
        </w:rPr>
        <w:object w:dxaOrig="499" w:dyaOrig="320">
          <v:shape id="_x0000_i1108" type="#_x0000_t75" style="width:21.6pt;height:14.4pt" o:ole="">
            <v:imagedata r:id="rId306" o:title=""/>
          </v:shape>
          <o:OLEObject Type="Embed" ProgID="Equation.DSMT4" ShapeID="_x0000_i1108" DrawAspect="Content" ObjectID="_1660649205" r:id="rId307"/>
        </w:object>
      </w:r>
      <w:r>
        <w:rPr>
          <w:rFonts w:ascii="Arial" w:hAnsi="Arial" w:cs="Arial"/>
          <w:b w:val="0"/>
          <w:sz w:val="24"/>
          <w:lang w:val="es-MX"/>
        </w:rPr>
        <w:t xml:space="preserve"> </w:t>
      </w:r>
      <w:r w:rsidRPr="00C623AF">
        <w:rPr>
          <w:rFonts w:ascii="Arial" w:hAnsi="Arial" w:cs="Arial"/>
          <w:b w:val="0"/>
          <w:sz w:val="24"/>
          <w:lang w:val="es-MX"/>
        </w:rPr>
        <w:t>de una fuente</w:t>
      </w:r>
      <w:r w:rsidRPr="00C623AF">
        <w:rPr>
          <w:rFonts w:ascii="Arial" w:hAnsi="Arial" w:cs="Arial"/>
          <w:sz w:val="24"/>
          <w:lang w:val="es-MX"/>
        </w:rPr>
        <w:t xml:space="preserve"> </w:t>
      </w:r>
      <w:r>
        <w:rPr>
          <w:rFonts w:ascii="Arial" w:hAnsi="Arial" w:cs="Arial"/>
          <w:b w:val="0"/>
          <w:sz w:val="24"/>
          <w:lang w:val="es-MX"/>
        </w:rPr>
        <w:t xml:space="preserve">contaminante. Para dicha estimación se pueden considerar datos en forma de una serie de tiempo </w:t>
      </w:r>
      <w:r w:rsidRPr="00433A7B">
        <w:rPr>
          <w:rFonts w:ascii="Arial" w:hAnsi="Arial" w:cs="Arial"/>
          <w:position w:val="-16"/>
          <w:sz w:val="24"/>
          <w:lang w:val="es-MX"/>
        </w:rPr>
        <w:object w:dxaOrig="960" w:dyaOrig="440">
          <v:shape id="_x0000_i1109" type="#_x0000_t75" style="width:50.4pt;height:21.6pt" o:ole="">
            <v:imagedata r:id="rId308" o:title=""/>
          </v:shape>
          <o:OLEObject Type="Embed" ProgID="Equation.DSMT4" ShapeID="_x0000_i1109" DrawAspect="Content" ObjectID="_1660649206" r:id="rId309"/>
        </w:object>
      </w:r>
      <w:r w:rsidRPr="00FF65DE">
        <w:rPr>
          <w:rFonts w:ascii="Arial" w:hAnsi="Arial" w:cs="Arial"/>
          <w:b w:val="0"/>
          <w:sz w:val="24"/>
          <w:lang w:val="es-MX"/>
        </w:rPr>
        <w:t>,</w:t>
      </w:r>
      <w:r>
        <w:rPr>
          <w:rFonts w:ascii="Arial" w:hAnsi="Arial" w:cs="Arial"/>
          <w:sz w:val="24"/>
          <w:lang w:val="es-MX"/>
        </w:rPr>
        <w:t xml:space="preserve"> </w:t>
      </w:r>
      <w:r>
        <w:rPr>
          <w:rFonts w:ascii="Arial" w:hAnsi="Arial" w:cs="Arial"/>
          <w:b w:val="0"/>
          <w:sz w:val="24"/>
          <w:lang w:val="es-MX"/>
        </w:rPr>
        <w:t xml:space="preserve">o datos distribuidos en el espacio a un tiempo fijo </w:t>
      </w:r>
      <w:r w:rsidRPr="00433A7B">
        <w:rPr>
          <w:rFonts w:ascii="Arial" w:hAnsi="Arial" w:cs="Arial"/>
          <w:position w:val="-14"/>
          <w:sz w:val="24"/>
          <w:lang w:val="es-MX"/>
        </w:rPr>
        <w:object w:dxaOrig="1020" w:dyaOrig="400">
          <v:shape id="_x0000_i1110" type="#_x0000_t75" style="width:50.4pt;height:21.6pt" o:ole="">
            <v:imagedata r:id="rId310" o:title=""/>
          </v:shape>
          <o:OLEObject Type="Embed" ProgID="Equation.DSMT4" ShapeID="_x0000_i1110" DrawAspect="Content" ObjectID="_1660649207" r:id="rId311"/>
        </w:object>
      </w:r>
      <w:r>
        <w:rPr>
          <w:rFonts w:ascii="Arial" w:hAnsi="Arial" w:cs="Arial"/>
          <w:b w:val="0"/>
          <w:sz w:val="24"/>
          <w:lang w:val="es-MX"/>
        </w:rPr>
        <w:t>. En cualquier caso, se debe considerar que este problema inverso es inestable con respecto a los errores en los datos de concentración</w:t>
      </w:r>
      <w:r>
        <w:rPr>
          <w:rFonts w:ascii="Arial" w:hAnsi="Arial" w:cs="Arial"/>
          <w:b w:val="0"/>
          <w:sz w:val="24"/>
          <w:vertAlign w:val="superscript"/>
          <w:lang w:val="es-MX"/>
        </w:rPr>
        <w:t xml:space="preserve"> [5,6]</w:t>
      </w:r>
      <w:r>
        <w:rPr>
          <w:rFonts w:ascii="Arial" w:hAnsi="Arial" w:cs="Arial"/>
          <w:b w:val="0"/>
          <w:sz w:val="24"/>
          <w:lang w:val="es-MX"/>
        </w:rPr>
        <w:t xml:space="preserve">, por lo cual se introduce una regularización de tipo Tijonov para lograr una mejor estimación de </w:t>
      </w:r>
      <w:r w:rsidRPr="00C623AF">
        <w:rPr>
          <w:rFonts w:ascii="Arial" w:hAnsi="Arial" w:cs="Arial"/>
          <w:position w:val="-10"/>
          <w:sz w:val="24"/>
          <w:lang w:val="es-MX"/>
        </w:rPr>
        <w:object w:dxaOrig="499" w:dyaOrig="320">
          <v:shape id="_x0000_i1111" type="#_x0000_t75" style="width:21.6pt;height:14.4pt" o:ole="">
            <v:imagedata r:id="rId306" o:title=""/>
          </v:shape>
          <o:OLEObject Type="Embed" ProgID="Equation.DSMT4" ShapeID="_x0000_i1111" DrawAspect="Content" ObjectID="_1660649208" r:id="rId312"/>
        </w:object>
      </w:r>
      <w:r>
        <w:rPr>
          <w:rFonts w:ascii="Arial" w:hAnsi="Arial" w:cs="Arial"/>
          <w:b w:val="0"/>
          <w:sz w:val="24"/>
          <w:lang w:val="es-MX"/>
        </w:rPr>
        <w:t>.</w:t>
      </w:r>
    </w:p>
    <w:p w:rsidR="00846109" w:rsidRPr="00433A7B" w:rsidRDefault="00846109" w:rsidP="00846109">
      <w:pPr>
        <w:pStyle w:val="Textoindependiente"/>
        <w:jc w:val="both"/>
        <w:rPr>
          <w:rFonts w:ascii="Arial" w:hAnsi="Arial" w:cs="Arial"/>
          <w:b w:val="0"/>
          <w:sz w:val="24"/>
          <w:lang w:val="es-MX"/>
        </w:rPr>
      </w:pPr>
    </w:p>
    <w:p w:rsidR="00846109" w:rsidRPr="0073207D" w:rsidRDefault="00846109" w:rsidP="00846109">
      <w:pPr>
        <w:pStyle w:val="Textoindependiente"/>
        <w:jc w:val="right"/>
        <w:rPr>
          <w:rFonts w:ascii="Arial" w:hAnsi="Arial" w:cs="Arial"/>
          <w:b w:val="0"/>
          <w:sz w:val="24"/>
        </w:rPr>
      </w:pPr>
      <w:r w:rsidRPr="0073207D">
        <w:rPr>
          <w:rFonts w:ascii="Arial" w:hAnsi="Arial" w:cs="Arial"/>
          <w:b w:val="0"/>
          <w:position w:val="-28"/>
          <w:sz w:val="24"/>
        </w:rPr>
        <w:object w:dxaOrig="3360" w:dyaOrig="740">
          <v:shape id="_x0000_i1112" type="#_x0000_t75" style="width:165.6pt;height:36pt" o:ole="">
            <v:imagedata r:id="rId313" o:title=""/>
          </v:shape>
          <o:OLEObject Type="Embed" ProgID="Equation.DSMT4" ShapeID="_x0000_i1112" DrawAspect="Content" ObjectID="_1660649209" r:id="rId314"/>
        </w:object>
      </w:r>
      <w:r w:rsidRPr="0073207D">
        <w:rPr>
          <w:rFonts w:ascii="Arial" w:hAnsi="Arial" w:cs="Arial"/>
          <w:b w:val="0"/>
          <w:sz w:val="24"/>
        </w:rPr>
        <w:t xml:space="preserve">   </w:t>
      </w:r>
      <w:r>
        <w:rPr>
          <w:rFonts w:ascii="Arial" w:hAnsi="Arial" w:cs="Arial"/>
          <w:b w:val="0"/>
          <w:sz w:val="24"/>
        </w:rPr>
        <w:t xml:space="preserve">                                 </w:t>
      </w:r>
      <w:r w:rsidRPr="0073207D">
        <w:rPr>
          <w:rFonts w:ascii="Arial" w:hAnsi="Arial" w:cs="Arial"/>
          <w:b w:val="0"/>
          <w:sz w:val="24"/>
        </w:rPr>
        <w:t xml:space="preserve">   (</w:t>
      </w:r>
      <w:r>
        <w:rPr>
          <w:rFonts w:ascii="Arial" w:hAnsi="Arial" w:cs="Arial"/>
          <w:b w:val="0"/>
          <w:sz w:val="24"/>
        </w:rPr>
        <w:t>18</w:t>
      </w:r>
      <w:r w:rsidRPr="0073207D">
        <w:rPr>
          <w:rFonts w:ascii="Arial" w:hAnsi="Arial" w:cs="Arial"/>
          <w:b w:val="0"/>
          <w:sz w:val="24"/>
        </w:rPr>
        <w:t>)</w:t>
      </w:r>
    </w:p>
    <w:p w:rsidR="00846109" w:rsidRPr="0073207D" w:rsidRDefault="00846109" w:rsidP="00846109">
      <w:pPr>
        <w:pStyle w:val="Textoindependiente"/>
        <w:jc w:val="right"/>
        <w:rPr>
          <w:rFonts w:ascii="Arial" w:hAnsi="Arial" w:cs="Arial"/>
          <w:b w:val="0"/>
          <w:sz w:val="24"/>
        </w:rPr>
      </w:pPr>
      <w:r w:rsidRPr="0073207D">
        <w:rPr>
          <w:rFonts w:ascii="Arial" w:hAnsi="Arial" w:cs="Arial"/>
          <w:b w:val="0"/>
          <w:position w:val="-18"/>
          <w:sz w:val="24"/>
        </w:rPr>
        <w:object w:dxaOrig="5780" w:dyaOrig="520">
          <v:shape id="_x0000_i1113" type="#_x0000_t75" style="width:4in;height:28.8pt" o:ole="">
            <v:imagedata r:id="rId315" o:title=""/>
          </v:shape>
          <o:OLEObject Type="Embed" ProgID="Equation.DSMT4" ShapeID="_x0000_i1113" DrawAspect="Content" ObjectID="_1660649210" r:id="rId316"/>
        </w:object>
      </w:r>
      <w:r w:rsidRPr="0073207D">
        <w:rPr>
          <w:rFonts w:ascii="Arial" w:hAnsi="Arial" w:cs="Arial"/>
          <w:b w:val="0"/>
          <w:sz w:val="24"/>
        </w:rPr>
        <w:t xml:space="preserve">  </w:t>
      </w:r>
      <w:r>
        <w:rPr>
          <w:rFonts w:ascii="Arial" w:hAnsi="Arial" w:cs="Arial"/>
          <w:b w:val="0"/>
          <w:sz w:val="24"/>
        </w:rPr>
        <w:t xml:space="preserve">                </w:t>
      </w:r>
      <w:r w:rsidRPr="0073207D">
        <w:rPr>
          <w:rFonts w:ascii="Arial" w:hAnsi="Arial" w:cs="Arial"/>
          <w:b w:val="0"/>
          <w:sz w:val="24"/>
        </w:rPr>
        <w:t xml:space="preserve">    (</w:t>
      </w:r>
      <w:r>
        <w:rPr>
          <w:rFonts w:ascii="Arial" w:hAnsi="Arial" w:cs="Arial"/>
          <w:b w:val="0"/>
          <w:sz w:val="24"/>
        </w:rPr>
        <w:t>19</w:t>
      </w:r>
      <w:r w:rsidRPr="0073207D">
        <w:rPr>
          <w:rFonts w:ascii="Arial" w:hAnsi="Arial" w:cs="Arial"/>
          <w:b w:val="0"/>
          <w:sz w:val="24"/>
        </w:rPr>
        <w:t>)</w:t>
      </w:r>
    </w:p>
    <w:p w:rsidR="00846109" w:rsidRPr="0073207D" w:rsidRDefault="00846109" w:rsidP="00846109">
      <w:pPr>
        <w:pStyle w:val="Textoindependiente"/>
        <w:jc w:val="right"/>
        <w:rPr>
          <w:rFonts w:ascii="Arial" w:hAnsi="Arial" w:cs="Arial"/>
          <w:b w:val="0"/>
          <w:sz w:val="24"/>
        </w:rPr>
      </w:pPr>
      <w:r w:rsidRPr="0073207D">
        <w:rPr>
          <w:rFonts w:ascii="Arial" w:hAnsi="Arial" w:cs="Arial"/>
          <w:b w:val="0"/>
          <w:position w:val="-10"/>
          <w:sz w:val="24"/>
        </w:rPr>
        <w:object w:dxaOrig="1960" w:dyaOrig="320">
          <v:shape id="_x0000_i1114" type="#_x0000_t75" style="width:100.8pt;height:14.4pt" o:ole="">
            <v:imagedata r:id="rId317" o:title=""/>
          </v:shape>
          <o:OLEObject Type="Embed" ProgID="Equation.DSMT4" ShapeID="_x0000_i1114" DrawAspect="Content" ObjectID="_1660649211" r:id="rId318"/>
        </w:object>
      </w:r>
      <w:r w:rsidRPr="0073207D">
        <w:rPr>
          <w:rFonts w:ascii="Arial" w:hAnsi="Arial" w:cs="Arial"/>
          <w:b w:val="0"/>
          <w:sz w:val="24"/>
        </w:rPr>
        <w:t xml:space="preserve">           </w:t>
      </w:r>
      <w:r>
        <w:rPr>
          <w:rFonts w:ascii="Arial" w:hAnsi="Arial" w:cs="Arial"/>
          <w:b w:val="0"/>
          <w:sz w:val="24"/>
        </w:rPr>
        <w:t xml:space="preserve">                             </w:t>
      </w:r>
      <w:r w:rsidRPr="0073207D">
        <w:rPr>
          <w:rFonts w:ascii="Arial" w:hAnsi="Arial" w:cs="Arial"/>
          <w:b w:val="0"/>
          <w:sz w:val="24"/>
        </w:rPr>
        <w:t xml:space="preserve">         (</w:t>
      </w:r>
      <w:r>
        <w:rPr>
          <w:rFonts w:ascii="Arial" w:hAnsi="Arial" w:cs="Arial"/>
          <w:b w:val="0"/>
          <w:sz w:val="24"/>
        </w:rPr>
        <w:t>20</w:t>
      </w:r>
      <w:r w:rsidRPr="0073207D">
        <w:rPr>
          <w:rFonts w:ascii="Arial" w:hAnsi="Arial" w:cs="Arial"/>
          <w:b w:val="0"/>
          <w:sz w:val="24"/>
        </w:rPr>
        <w:t>)</w:t>
      </w:r>
    </w:p>
    <w:p w:rsidR="00846109" w:rsidRDefault="00846109" w:rsidP="00846109">
      <w:pPr>
        <w:pStyle w:val="Textoindependiente"/>
        <w:ind w:firstLine="567"/>
        <w:jc w:val="both"/>
        <w:rPr>
          <w:rFonts w:ascii="Arial" w:hAnsi="Arial" w:cs="Arial"/>
          <w:b w:val="0"/>
          <w:sz w:val="24"/>
        </w:rPr>
      </w:pPr>
      <w:r w:rsidRPr="00072809">
        <w:rPr>
          <w:rFonts w:ascii="Arial" w:hAnsi="Arial" w:cs="Arial"/>
          <w:b w:val="0"/>
          <w:sz w:val="24"/>
        </w:rPr>
        <w:lastRenderedPageBreak/>
        <w:t xml:space="preserve">El objetivo de minimizar el funcional </w:t>
      </w:r>
      <w:r w:rsidRPr="00072809">
        <w:rPr>
          <w:rFonts w:ascii="Arial" w:hAnsi="Arial" w:cs="Arial"/>
          <w:position w:val="-6"/>
          <w:sz w:val="24"/>
          <w:lang w:val="es-MX"/>
        </w:rPr>
        <w:object w:dxaOrig="220" w:dyaOrig="279">
          <v:shape id="_x0000_i1115" type="#_x0000_t75" style="width:14.4pt;height:14.4pt" o:ole="">
            <v:imagedata r:id="rId319" o:title=""/>
          </v:shape>
          <o:OLEObject Type="Embed" ProgID="Equation.DSMT4" ShapeID="_x0000_i1115" DrawAspect="Content" ObjectID="_1660649212" r:id="rId320"/>
        </w:object>
      </w:r>
      <w:r w:rsidRPr="00072809">
        <w:rPr>
          <w:rFonts w:ascii="Arial" w:hAnsi="Arial" w:cs="Arial"/>
          <w:b w:val="0"/>
          <w:sz w:val="24"/>
          <w:lang w:val="es-MX"/>
        </w:rPr>
        <w:t xml:space="preserve"> es reducir las variaciones u oscilaciones espurias </w:t>
      </w:r>
      <w:r>
        <w:rPr>
          <w:rFonts w:ascii="Arial" w:hAnsi="Arial" w:cs="Arial"/>
          <w:b w:val="0"/>
          <w:sz w:val="24"/>
          <w:lang w:val="es-MX"/>
        </w:rPr>
        <w:t>en</w:t>
      </w:r>
      <w:r w:rsidRPr="00072809">
        <w:rPr>
          <w:rFonts w:ascii="Arial" w:hAnsi="Arial" w:cs="Arial"/>
          <w:b w:val="0"/>
          <w:sz w:val="24"/>
          <w:lang w:val="es-MX"/>
        </w:rPr>
        <w:t xml:space="preserve"> </w:t>
      </w:r>
      <w:r w:rsidRPr="00072809">
        <w:rPr>
          <w:rFonts w:ascii="Arial" w:hAnsi="Arial" w:cs="Arial"/>
          <w:position w:val="-10"/>
          <w:sz w:val="24"/>
          <w:lang w:val="es-MX"/>
        </w:rPr>
        <w:object w:dxaOrig="499" w:dyaOrig="320">
          <v:shape id="_x0000_i1116" type="#_x0000_t75" style="width:21.6pt;height:14.4pt" o:ole="">
            <v:imagedata r:id="rId306" o:title=""/>
          </v:shape>
          <o:OLEObject Type="Embed" ProgID="Equation.DSMT4" ShapeID="_x0000_i1116" DrawAspect="Content" ObjectID="_1660649213" r:id="rId321"/>
        </w:object>
      </w:r>
      <w:r w:rsidRPr="00072809">
        <w:rPr>
          <w:rFonts w:ascii="Arial" w:hAnsi="Arial" w:cs="Arial"/>
          <w:b w:val="0"/>
          <w:sz w:val="24"/>
          <w:lang w:val="es-MX"/>
        </w:rPr>
        <w:t xml:space="preserve"> que son inducidas por los errores en los datos de concentración y la inestabilidad.</w:t>
      </w:r>
      <w:r>
        <w:rPr>
          <w:rFonts w:ascii="Arial" w:hAnsi="Arial" w:cs="Arial"/>
          <w:b w:val="0"/>
          <w:sz w:val="24"/>
          <w:lang w:val="es-MX"/>
        </w:rPr>
        <w:t xml:space="preserve"> Note que por</w:t>
      </w:r>
      <w:r w:rsidRPr="00072809">
        <w:rPr>
          <w:rFonts w:ascii="Arial" w:hAnsi="Arial" w:cs="Arial"/>
          <w:b w:val="0"/>
          <w:sz w:val="24"/>
          <w:lang w:val="es-MX"/>
        </w:rPr>
        <w:t xml:space="preserve"> (14) es posible escribir </w:t>
      </w:r>
      <w:r w:rsidRPr="00072809">
        <w:rPr>
          <w:rFonts w:ascii="Arial" w:hAnsi="Arial" w:cs="Arial"/>
          <w:position w:val="-18"/>
          <w:sz w:val="24"/>
        </w:rPr>
        <w:object w:dxaOrig="2659" w:dyaOrig="520">
          <v:shape id="_x0000_i1117" type="#_x0000_t75" style="width:129.6pt;height:28.8pt" o:ole="">
            <v:imagedata r:id="rId322" o:title=""/>
          </v:shape>
          <o:OLEObject Type="Embed" ProgID="Equation.DSMT4" ShapeID="_x0000_i1117" DrawAspect="Content" ObjectID="_1660649214" r:id="rId323"/>
        </w:object>
      </w:r>
      <w:r w:rsidRPr="00072809">
        <w:rPr>
          <w:rFonts w:ascii="Arial" w:hAnsi="Arial" w:cs="Arial"/>
          <w:b w:val="0"/>
          <w:sz w:val="24"/>
        </w:rPr>
        <w:t xml:space="preserve">, por lo que las restricciones en (19) se interpretan como la aproximación de la concentración </w:t>
      </w:r>
      <w:r>
        <w:rPr>
          <w:rFonts w:ascii="Arial" w:hAnsi="Arial" w:cs="Arial"/>
          <w:b w:val="0"/>
          <w:sz w:val="24"/>
        </w:rPr>
        <w:t>teórica hacia</w:t>
      </w:r>
      <w:r w:rsidRPr="00072809">
        <w:rPr>
          <w:rFonts w:ascii="Arial" w:hAnsi="Arial" w:cs="Arial"/>
          <w:b w:val="0"/>
          <w:sz w:val="24"/>
        </w:rPr>
        <w:t xml:space="preserve"> los datos </w:t>
      </w:r>
      <w:r>
        <w:rPr>
          <w:rFonts w:ascii="Arial" w:hAnsi="Arial" w:cs="Arial"/>
          <w:b w:val="0"/>
          <w:sz w:val="24"/>
        </w:rPr>
        <w:t>de concentración experimental</w:t>
      </w:r>
      <w:r w:rsidRPr="00072809">
        <w:rPr>
          <w:rFonts w:ascii="Arial" w:hAnsi="Arial" w:cs="Arial"/>
          <w:b w:val="0"/>
          <w:sz w:val="24"/>
        </w:rPr>
        <w:t xml:space="preserve"> </w:t>
      </w:r>
      <w:r w:rsidRPr="00072809">
        <w:rPr>
          <w:rFonts w:ascii="Arial" w:hAnsi="Arial" w:cs="Arial"/>
          <w:position w:val="-14"/>
          <w:sz w:val="24"/>
        </w:rPr>
        <w:object w:dxaOrig="240" w:dyaOrig="380">
          <v:shape id="_x0000_i1118" type="#_x0000_t75" style="width:14.4pt;height:21.6pt" o:ole="">
            <v:imagedata r:id="rId324" o:title=""/>
          </v:shape>
          <o:OLEObject Type="Embed" ProgID="Equation.DSMT4" ShapeID="_x0000_i1118" DrawAspect="Content" ObjectID="_1660649215" r:id="rId325"/>
        </w:object>
      </w:r>
      <w:r w:rsidRPr="00072809">
        <w:rPr>
          <w:rFonts w:ascii="Arial" w:hAnsi="Arial" w:cs="Arial"/>
          <w:b w:val="0"/>
          <w:sz w:val="24"/>
        </w:rPr>
        <w:t xml:space="preserve">. Aquí se asume que cada dato </w:t>
      </w:r>
      <w:r w:rsidRPr="00072809">
        <w:rPr>
          <w:rFonts w:ascii="Arial" w:hAnsi="Arial" w:cs="Arial"/>
          <w:position w:val="-14"/>
          <w:sz w:val="24"/>
        </w:rPr>
        <w:object w:dxaOrig="240" w:dyaOrig="380">
          <v:shape id="_x0000_i1119" type="#_x0000_t75" style="width:14.4pt;height:21.6pt" o:ole="">
            <v:imagedata r:id="rId324" o:title=""/>
          </v:shape>
          <o:OLEObject Type="Embed" ProgID="Equation.DSMT4" ShapeID="_x0000_i1119" DrawAspect="Content" ObjectID="_1660649216" r:id="rId326"/>
        </w:object>
      </w:r>
      <w:r w:rsidRPr="00072809">
        <w:rPr>
          <w:rFonts w:ascii="Arial" w:hAnsi="Arial" w:cs="Arial"/>
          <w:b w:val="0"/>
          <w:sz w:val="24"/>
        </w:rPr>
        <w:t xml:space="preserve"> contiene un error </w:t>
      </w:r>
      <w:r w:rsidRPr="00072809">
        <w:rPr>
          <w:rFonts w:ascii="Arial" w:hAnsi="Arial" w:cs="Arial"/>
          <w:position w:val="-14"/>
          <w:sz w:val="24"/>
        </w:rPr>
        <w:object w:dxaOrig="360" w:dyaOrig="380">
          <v:shape id="_x0000_i1120" type="#_x0000_t75" style="width:21.6pt;height:21.6pt" o:ole="">
            <v:imagedata r:id="rId327" o:title=""/>
          </v:shape>
          <o:OLEObject Type="Embed" ProgID="Equation.DSMT4" ShapeID="_x0000_i1120" DrawAspect="Content" ObjectID="_1660649217" r:id="rId328"/>
        </w:object>
      </w:r>
      <w:r>
        <w:rPr>
          <w:rFonts w:ascii="Arial" w:hAnsi="Arial" w:cs="Arial"/>
          <w:b w:val="0"/>
          <w:sz w:val="24"/>
        </w:rPr>
        <w:t xml:space="preserve"> desconocido</w:t>
      </w:r>
      <w:r w:rsidRPr="00072809">
        <w:rPr>
          <w:rFonts w:ascii="Arial" w:hAnsi="Arial" w:cs="Arial"/>
          <w:b w:val="0"/>
          <w:sz w:val="24"/>
        </w:rPr>
        <w:t>, es decir,</w:t>
      </w:r>
      <w:r>
        <w:rPr>
          <w:rFonts w:ascii="Arial" w:hAnsi="Arial" w:cs="Arial"/>
          <w:b w:val="0"/>
          <w:sz w:val="24"/>
        </w:rPr>
        <w:t xml:space="preserve"> </w:t>
      </w:r>
      <w:r w:rsidRPr="001017BC">
        <w:rPr>
          <w:rFonts w:ascii="Arial" w:hAnsi="Arial" w:cs="Arial"/>
          <w:position w:val="-14"/>
          <w:sz w:val="24"/>
        </w:rPr>
        <w:object w:dxaOrig="1760" w:dyaOrig="380">
          <v:shape id="_x0000_i1121" type="#_x0000_t75" style="width:86.4pt;height:21.6pt" o:ole="">
            <v:imagedata r:id="rId329" o:title=""/>
          </v:shape>
          <o:OLEObject Type="Embed" ProgID="Equation.DSMT4" ShapeID="_x0000_i1121" DrawAspect="Content" ObjectID="_1660649218" r:id="rId330"/>
        </w:object>
      </w:r>
      <w:r>
        <w:rPr>
          <w:rFonts w:ascii="Arial" w:hAnsi="Arial" w:cs="Arial"/>
          <w:b w:val="0"/>
          <w:sz w:val="24"/>
        </w:rPr>
        <w:t xml:space="preserve">. El </w:t>
      </w:r>
      <w:r w:rsidRPr="00AB0804">
        <w:rPr>
          <w:rFonts w:ascii="Arial" w:hAnsi="Arial" w:cs="Arial"/>
          <w:b w:val="0"/>
          <w:i/>
          <w:sz w:val="24"/>
        </w:rPr>
        <w:t>parámetro de regularización</w:t>
      </w:r>
      <w:r>
        <w:rPr>
          <w:rFonts w:ascii="Arial" w:hAnsi="Arial" w:cs="Arial"/>
          <w:b w:val="0"/>
          <w:sz w:val="24"/>
        </w:rPr>
        <w:t xml:space="preserve"> </w:t>
      </w:r>
      <w:r w:rsidRPr="00ED57E1">
        <w:rPr>
          <w:rFonts w:ascii="Arial" w:hAnsi="Arial" w:cs="Arial"/>
          <w:b w:val="0"/>
          <w:position w:val="-6"/>
          <w:sz w:val="24"/>
        </w:rPr>
        <w:object w:dxaOrig="580" w:dyaOrig="279">
          <v:shape id="_x0000_i1122" type="#_x0000_t75" style="width:28.8pt;height:14.4pt" o:ole="">
            <v:imagedata r:id="rId331" o:title=""/>
          </v:shape>
          <o:OLEObject Type="Embed" ProgID="Equation.DSMT4" ShapeID="_x0000_i1122" DrawAspect="Content" ObjectID="_1660649219" r:id="rId332"/>
        </w:object>
      </w:r>
      <w:r>
        <w:rPr>
          <w:rFonts w:ascii="Arial" w:hAnsi="Arial" w:cs="Arial"/>
          <w:b w:val="0"/>
          <w:sz w:val="24"/>
        </w:rPr>
        <w:t xml:space="preserve"> determina el nivel de dicha aproximación y su valor depende del valor máximo de los errores en los datos </w:t>
      </w:r>
      <w:r>
        <w:rPr>
          <w:rFonts w:ascii="Arial" w:hAnsi="Arial" w:cs="Arial"/>
          <w:b w:val="0"/>
          <w:sz w:val="24"/>
          <w:vertAlign w:val="superscript"/>
        </w:rPr>
        <w:t>[7]</w:t>
      </w:r>
      <w:r>
        <w:rPr>
          <w:rFonts w:ascii="Arial" w:hAnsi="Arial" w:cs="Arial"/>
          <w:b w:val="0"/>
          <w:sz w:val="24"/>
        </w:rPr>
        <w:t>. Por último, la restricción (20) limita la búsqueda de la tasa de emisión entre las funciones con valores no-negativos.</w:t>
      </w:r>
    </w:p>
    <w:p w:rsidR="00846109" w:rsidRPr="003B50FA" w:rsidRDefault="00846109" w:rsidP="00846109">
      <w:pPr>
        <w:pStyle w:val="Textoindependiente"/>
        <w:ind w:firstLine="567"/>
        <w:jc w:val="both"/>
        <w:rPr>
          <w:rFonts w:ascii="Arial" w:hAnsi="Arial" w:cs="Arial"/>
          <w:b w:val="0"/>
          <w:sz w:val="24"/>
        </w:rPr>
      </w:pPr>
      <w:r>
        <w:rPr>
          <w:rFonts w:ascii="Arial" w:hAnsi="Arial" w:cs="Arial"/>
          <w:b w:val="0"/>
          <w:sz w:val="24"/>
        </w:rPr>
        <w:t xml:space="preserve">Note que el problema variacional (18)-(20) se ha escrito suponiendo que los datos forman una serie de tiempo. También es posible obtener una formulación equivalente para datos espacialmente distribuidos considerando que por (14) </w:t>
      </w:r>
      <w:r w:rsidRPr="00072809">
        <w:rPr>
          <w:rFonts w:ascii="Arial" w:hAnsi="Arial" w:cs="Arial"/>
          <w:position w:val="-18"/>
          <w:sz w:val="24"/>
        </w:rPr>
        <w:object w:dxaOrig="2700" w:dyaOrig="520">
          <v:shape id="_x0000_i1123" type="#_x0000_t75" style="width:136.8pt;height:28.8pt" o:ole="">
            <v:imagedata r:id="rId333" o:title=""/>
          </v:shape>
          <o:OLEObject Type="Embed" ProgID="Equation.DSMT4" ShapeID="_x0000_i1123" DrawAspect="Content" ObjectID="_1660649220" r:id="rId334"/>
        </w:object>
      </w:r>
      <w:r w:rsidRPr="003B50FA">
        <w:rPr>
          <w:rFonts w:ascii="Arial" w:hAnsi="Arial" w:cs="Arial"/>
          <w:b w:val="0"/>
          <w:sz w:val="24"/>
        </w:rPr>
        <w:t>, y</w:t>
      </w:r>
      <w:r>
        <w:rPr>
          <w:rFonts w:ascii="Arial" w:hAnsi="Arial" w:cs="Arial"/>
          <w:b w:val="0"/>
          <w:sz w:val="24"/>
        </w:rPr>
        <w:t xml:space="preserve"> sustituyendo (19) por </w:t>
      </w:r>
      <w:r w:rsidRPr="0073207D">
        <w:rPr>
          <w:rFonts w:ascii="Arial" w:hAnsi="Arial" w:cs="Arial"/>
          <w:b w:val="0"/>
          <w:position w:val="-18"/>
          <w:sz w:val="24"/>
        </w:rPr>
        <w:object w:dxaOrig="2980" w:dyaOrig="520">
          <v:shape id="_x0000_i1124" type="#_x0000_t75" style="width:151.2pt;height:28.8pt" o:ole="">
            <v:imagedata r:id="rId335" o:title=""/>
          </v:shape>
          <o:OLEObject Type="Embed" ProgID="Equation.DSMT4" ShapeID="_x0000_i1124" DrawAspect="Content" ObjectID="_1660649221" r:id="rId336"/>
        </w:object>
      </w:r>
      <w:r>
        <w:rPr>
          <w:rFonts w:ascii="Arial" w:hAnsi="Arial" w:cs="Arial"/>
          <w:b w:val="0"/>
          <w:sz w:val="24"/>
        </w:rPr>
        <w:t>. De esta forma, la recuperación de la tasa de emisión se plantea como la resolución de problemas de optimización similares pero utilizando diferentes tipos de datos. En la siguiente sección se analizan ejemplos numéricos de ambos casos.</w:t>
      </w:r>
    </w:p>
    <w:p w:rsidR="00846109" w:rsidRPr="00BD2677" w:rsidRDefault="00846109" w:rsidP="00846109">
      <w:pPr>
        <w:pStyle w:val="Textoindependiente"/>
        <w:rPr>
          <w:rFonts w:ascii="Arial" w:hAnsi="Arial" w:cs="Arial"/>
          <w:b w:val="0"/>
          <w:sz w:val="24"/>
        </w:rPr>
      </w:pPr>
    </w:p>
    <w:p w:rsidR="00846109" w:rsidRPr="00040D90" w:rsidRDefault="00846109" w:rsidP="00846109">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117" w:name="_Toc50031230"/>
      <w:r w:rsidRPr="00040D90">
        <w:rPr>
          <w:rFonts w:ascii="Arial" w:hAnsi="Arial" w:cs="Arial"/>
          <w:i/>
          <w:caps/>
          <w:sz w:val="24"/>
          <w:szCs w:val="24"/>
        </w:rPr>
        <w:t xml:space="preserve">4. </w:t>
      </w:r>
      <w:r w:rsidRPr="00040D90">
        <w:rPr>
          <w:rFonts w:ascii="Arial" w:hAnsi="Arial" w:cs="Arial"/>
          <w:i/>
          <w:sz w:val="24"/>
          <w:szCs w:val="24"/>
        </w:rPr>
        <w:t>Ejemplos numéricos y discusión</w:t>
      </w:r>
      <w:bookmarkEnd w:id="117"/>
    </w:p>
    <w:p w:rsidR="00846109" w:rsidRPr="00AB7950" w:rsidRDefault="00846109" w:rsidP="00846109">
      <w:pPr>
        <w:ind w:firstLine="567"/>
        <w:jc w:val="both"/>
        <w:rPr>
          <w:rFonts w:ascii="Arial" w:hAnsi="Arial" w:cs="Arial"/>
          <w:lang w:val="es-MX"/>
        </w:rPr>
      </w:pPr>
      <w:r>
        <w:rPr>
          <w:rFonts w:ascii="Arial" w:hAnsi="Arial" w:cs="Arial"/>
          <w:lang w:val="es-MX"/>
        </w:rPr>
        <w:t xml:space="preserve">En esta sección se considera la siguiente función de prueba </w:t>
      </w:r>
      <w:r w:rsidRPr="00072809">
        <w:rPr>
          <w:rFonts w:ascii="Arial" w:hAnsi="Arial" w:cs="Arial"/>
          <w:position w:val="-10"/>
          <w:lang w:val="es-MX"/>
        </w:rPr>
        <w:object w:dxaOrig="499" w:dyaOrig="320">
          <v:shape id="_x0000_i1125" type="#_x0000_t75" style="width:21.6pt;height:14.4pt" o:ole="">
            <v:imagedata r:id="rId306" o:title=""/>
          </v:shape>
          <o:OLEObject Type="Embed" ProgID="Equation.DSMT4" ShapeID="_x0000_i1125" DrawAspect="Content" ObjectID="_1660649222" r:id="rId337"/>
        </w:object>
      </w:r>
      <w:r>
        <w:rPr>
          <w:rFonts w:ascii="Arial" w:hAnsi="Arial" w:cs="Arial"/>
          <w:lang w:val="es-MX"/>
        </w:rPr>
        <w:t>:</w:t>
      </w:r>
    </w:p>
    <w:p w:rsidR="00846109" w:rsidRPr="00AB7950" w:rsidRDefault="00846109" w:rsidP="00846109">
      <w:pPr>
        <w:pStyle w:val="Textoindependiente"/>
        <w:rPr>
          <w:rFonts w:ascii="Arial" w:hAnsi="Arial" w:cs="Arial"/>
          <w:sz w:val="24"/>
          <w:lang w:val="es-MX"/>
        </w:rPr>
      </w:pPr>
    </w:p>
    <w:p w:rsidR="00846109" w:rsidRPr="00AB7950" w:rsidRDefault="00846109" w:rsidP="00846109">
      <w:pPr>
        <w:pStyle w:val="Textoindependiente"/>
        <w:ind w:right="48"/>
        <w:jc w:val="right"/>
        <w:rPr>
          <w:rFonts w:ascii="Arial" w:hAnsi="Arial" w:cs="Arial"/>
          <w:sz w:val="24"/>
          <w:lang w:val="es-MX"/>
        </w:rPr>
      </w:pPr>
      <w:r w:rsidRPr="00AB7950">
        <w:rPr>
          <w:rFonts w:ascii="Arial" w:hAnsi="Arial" w:cs="Arial"/>
          <w:position w:val="-32"/>
          <w:sz w:val="24"/>
        </w:rPr>
        <w:object w:dxaOrig="3400" w:dyaOrig="760">
          <v:shape id="_x0000_i1126" type="#_x0000_t75" style="width:172.8pt;height:36pt" o:ole="">
            <v:imagedata r:id="rId338" o:title=""/>
          </v:shape>
          <o:OLEObject Type="Embed" ProgID="Equation.DSMT4" ShapeID="_x0000_i1126" DrawAspect="Content" ObjectID="_1660649223" r:id="rId339"/>
        </w:object>
      </w:r>
      <w:r w:rsidRPr="00AB7950">
        <w:rPr>
          <w:rFonts w:ascii="Arial" w:hAnsi="Arial" w:cs="Arial"/>
          <w:sz w:val="24"/>
        </w:rPr>
        <w:t xml:space="preserve">        </w:t>
      </w:r>
      <w:r>
        <w:rPr>
          <w:rFonts w:ascii="Arial" w:hAnsi="Arial" w:cs="Arial"/>
          <w:sz w:val="24"/>
        </w:rPr>
        <w:t xml:space="preserve">                </w:t>
      </w:r>
      <w:r w:rsidRPr="00AB7950">
        <w:rPr>
          <w:rFonts w:ascii="Arial" w:hAnsi="Arial" w:cs="Arial"/>
          <w:sz w:val="24"/>
        </w:rPr>
        <w:t xml:space="preserve">              </w:t>
      </w:r>
      <w:r>
        <w:rPr>
          <w:rFonts w:ascii="Arial" w:hAnsi="Arial" w:cs="Arial"/>
          <w:b w:val="0"/>
          <w:sz w:val="24"/>
          <w:lang w:val="es-MX"/>
        </w:rPr>
        <w:t>(21</w:t>
      </w:r>
      <w:r w:rsidRPr="00AB7950">
        <w:rPr>
          <w:rFonts w:ascii="Arial" w:hAnsi="Arial" w:cs="Arial"/>
          <w:b w:val="0"/>
          <w:sz w:val="24"/>
          <w:lang w:val="es-MX"/>
        </w:rPr>
        <w:t>)</w:t>
      </w:r>
    </w:p>
    <w:p w:rsidR="00846109" w:rsidRPr="00AB7950" w:rsidRDefault="00846109" w:rsidP="00846109">
      <w:pPr>
        <w:jc w:val="both"/>
        <w:rPr>
          <w:rFonts w:ascii="Arial" w:hAnsi="Arial" w:cs="Arial"/>
          <w:lang w:val="es-MX"/>
        </w:rPr>
      </w:pPr>
    </w:p>
    <w:p w:rsidR="00846109" w:rsidRDefault="00846109" w:rsidP="00846109">
      <w:pPr>
        <w:jc w:val="both"/>
        <w:rPr>
          <w:rFonts w:ascii="Arial" w:hAnsi="Arial" w:cs="Arial"/>
          <w:lang w:val="es-MX"/>
        </w:rPr>
      </w:pPr>
      <w:r>
        <w:rPr>
          <w:rFonts w:ascii="Arial" w:hAnsi="Arial" w:cs="Arial"/>
          <w:lang w:val="es-MX"/>
        </w:rPr>
        <w:t>El método de regularización que ha sido formulado como un problema variacional se aplica usando diferentes tipos de datos de concentración para recuperar dicha función.</w:t>
      </w:r>
    </w:p>
    <w:p w:rsidR="00846109" w:rsidRPr="00A126FE" w:rsidRDefault="00846109" w:rsidP="00846109">
      <w:pPr>
        <w:ind w:firstLine="567"/>
        <w:jc w:val="both"/>
        <w:rPr>
          <w:rFonts w:ascii="Arial" w:hAnsi="Arial" w:cs="Arial"/>
          <w:lang w:val="en-US"/>
        </w:rPr>
      </w:pPr>
      <w:r w:rsidRPr="003A1CF6">
        <w:rPr>
          <w:rFonts w:ascii="Arial" w:hAnsi="Arial" w:cs="Arial"/>
          <w:lang w:val="es-MX"/>
        </w:rPr>
        <w:t>El primer ejemplo numérico utiliza una serie de tiempo con datos de concentración espaciados</w:t>
      </w:r>
      <w:r>
        <w:rPr>
          <w:rFonts w:ascii="Arial" w:hAnsi="Arial" w:cs="Arial"/>
          <w:lang w:val="es-MX"/>
        </w:rPr>
        <w:t xml:space="preserve"> uniformemente en el tiempo y</w:t>
      </w:r>
      <w:r w:rsidRPr="003A1CF6">
        <w:rPr>
          <w:rFonts w:ascii="Arial" w:hAnsi="Arial" w:cs="Arial"/>
          <w:lang w:val="es-MX"/>
        </w:rPr>
        <w:t xml:space="preserve"> un tamaño de paso </w:t>
      </w:r>
      <w:r w:rsidRPr="00D16950">
        <w:rPr>
          <w:rFonts w:ascii="Arial" w:hAnsi="Arial" w:cs="Arial"/>
          <w:position w:val="-6"/>
          <w:lang w:val="es-MX"/>
        </w:rPr>
        <w:object w:dxaOrig="1040" w:dyaOrig="279">
          <v:shape id="_x0000_i1127" type="#_x0000_t75" style="width:50.4pt;height:14.4pt" o:ole="">
            <v:imagedata r:id="rId340" o:title=""/>
          </v:shape>
          <o:OLEObject Type="Embed" ProgID="Equation.3" ShapeID="_x0000_i1127" DrawAspect="Content" ObjectID="_1660649224" r:id="rId341"/>
        </w:object>
      </w:r>
      <w:r w:rsidRPr="003A1CF6">
        <w:rPr>
          <w:rFonts w:ascii="Arial" w:hAnsi="Arial" w:cs="Arial"/>
          <w:lang w:val="es-MX"/>
        </w:rPr>
        <w:t xml:space="preserve">. La figura 1a muestra la tasa de emisión de prueba </w:t>
      </w:r>
      <w:r w:rsidRPr="00D16950">
        <w:rPr>
          <w:rFonts w:ascii="Arial" w:hAnsi="Arial" w:cs="Arial"/>
          <w:position w:val="-10"/>
          <w:lang w:val="es-MX"/>
        </w:rPr>
        <w:object w:dxaOrig="499" w:dyaOrig="320">
          <v:shape id="_x0000_i1128" type="#_x0000_t75" style="width:21.6pt;height:14.4pt" o:ole="">
            <v:imagedata r:id="rId342" o:title=""/>
          </v:shape>
          <o:OLEObject Type="Embed" ProgID="Equation.DSMT4" ShapeID="_x0000_i1128" DrawAspect="Content" ObjectID="_1660649225" r:id="rId343"/>
        </w:object>
      </w:r>
      <w:r w:rsidRPr="003A1CF6">
        <w:rPr>
          <w:rFonts w:ascii="Arial" w:hAnsi="Arial" w:cs="Arial"/>
          <w:lang w:val="es-MX"/>
        </w:rPr>
        <w:t xml:space="preserve"> definida por la ecuación (21) y la correspondiente concentración </w:t>
      </w:r>
      <w:r w:rsidRPr="00D16950">
        <w:rPr>
          <w:rFonts w:ascii="Arial" w:hAnsi="Arial" w:cs="Arial"/>
          <w:position w:val="-10"/>
          <w:lang w:val="es-MX"/>
        </w:rPr>
        <w:object w:dxaOrig="700" w:dyaOrig="320">
          <v:shape id="_x0000_i1129" type="#_x0000_t75" style="width:36pt;height:14.4pt" o:ole="">
            <v:imagedata r:id="rId344" o:title=""/>
          </v:shape>
          <o:OLEObject Type="Embed" ProgID="Equation.DSMT4" ShapeID="_x0000_i1129" DrawAspect="Content" ObjectID="_1660649226" r:id="rId345"/>
        </w:object>
      </w:r>
      <w:r w:rsidRPr="009F2CC8">
        <w:rPr>
          <w:rFonts w:ascii="Arial" w:hAnsi="Arial" w:cs="Arial"/>
          <w:lang w:val="es-MX"/>
        </w:rPr>
        <w:t xml:space="preserve"> </w:t>
      </w:r>
      <w:r w:rsidRPr="003A1CF6">
        <w:rPr>
          <w:rFonts w:ascii="Arial" w:hAnsi="Arial" w:cs="Arial"/>
          <w:lang w:val="es-MX"/>
        </w:rPr>
        <w:t xml:space="preserve">calculada a través de la serie de Fourier-Fejér (6). En este caso, los valores de los parámetros adimensionales utilizados son: </w:t>
      </w:r>
      <w:r w:rsidRPr="00D16950">
        <w:rPr>
          <w:rFonts w:ascii="Arial" w:hAnsi="Arial" w:cs="Arial"/>
          <w:position w:val="-10"/>
          <w:lang w:val="es-MX"/>
        </w:rPr>
        <w:object w:dxaOrig="820" w:dyaOrig="320">
          <v:shape id="_x0000_i1130" type="#_x0000_t75" style="width:43.2pt;height:14.4pt" o:ole="">
            <v:imagedata r:id="rId346" o:title=""/>
          </v:shape>
          <o:OLEObject Type="Embed" ProgID="Equation.DSMT4" ShapeID="_x0000_i1130" DrawAspect="Content" ObjectID="_1660649227" r:id="rId347"/>
        </w:object>
      </w:r>
      <w:r w:rsidRPr="009F2CC8">
        <w:rPr>
          <w:rFonts w:ascii="Arial" w:hAnsi="Arial" w:cs="Arial"/>
          <w:lang w:val="es-MX"/>
        </w:rPr>
        <w:t xml:space="preserve">, </w:t>
      </w:r>
      <w:r w:rsidRPr="00D16950">
        <w:rPr>
          <w:rFonts w:ascii="Arial" w:hAnsi="Arial" w:cs="Arial"/>
          <w:position w:val="-6"/>
          <w:lang w:val="es-MX"/>
        </w:rPr>
        <w:object w:dxaOrig="1200" w:dyaOrig="279">
          <v:shape id="_x0000_i1131" type="#_x0000_t75" style="width:57.6pt;height:14.4pt" o:ole="">
            <v:imagedata r:id="rId348" o:title=""/>
          </v:shape>
          <o:OLEObject Type="Embed" ProgID="Equation.3" ShapeID="_x0000_i1131" DrawAspect="Content" ObjectID="_1660649228" r:id="rId349"/>
        </w:object>
      </w:r>
      <w:r w:rsidRPr="009F2CC8">
        <w:rPr>
          <w:rFonts w:ascii="Arial" w:hAnsi="Arial" w:cs="Arial"/>
          <w:lang w:val="es-MX"/>
        </w:rPr>
        <w:t xml:space="preserve">, </w:t>
      </w:r>
      <w:r w:rsidRPr="00D16950">
        <w:rPr>
          <w:rFonts w:ascii="Arial" w:hAnsi="Arial" w:cs="Arial"/>
          <w:position w:val="-10"/>
          <w:lang w:val="es-MX"/>
        </w:rPr>
        <w:object w:dxaOrig="780" w:dyaOrig="320">
          <v:shape id="_x0000_i1132" type="#_x0000_t75" style="width:36pt;height:14.4pt" o:ole="">
            <v:imagedata r:id="rId350" o:title=""/>
          </v:shape>
          <o:OLEObject Type="Embed" ProgID="Equation.3" ShapeID="_x0000_i1132" DrawAspect="Content" ObjectID="_1660649229" r:id="rId351"/>
        </w:object>
      </w:r>
      <w:r w:rsidRPr="009F2CC8">
        <w:rPr>
          <w:rFonts w:ascii="Arial" w:hAnsi="Arial" w:cs="Arial"/>
          <w:lang w:val="es-MX"/>
        </w:rPr>
        <w:t xml:space="preserve">, </w:t>
      </w:r>
      <w:r w:rsidRPr="00D16950">
        <w:rPr>
          <w:rFonts w:ascii="Arial" w:hAnsi="Arial" w:cs="Arial"/>
          <w:position w:val="-12"/>
          <w:lang w:val="es-MX"/>
        </w:rPr>
        <w:object w:dxaOrig="900" w:dyaOrig="360">
          <v:shape id="_x0000_i1133" type="#_x0000_t75" style="width:43.2pt;height:21.6pt" o:ole="">
            <v:imagedata r:id="rId352" o:title=""/>
          </v:shape>
          <o:OLEObject Type="Embed" ProgID="Equation.DSMT4" ShapeID="_x0000_i1133" DrawAspect="Content" ObjectID="_1660649230" r:id="rId353"/>
        </w:object>
      </w:r>
      <w:r w:rsidRPr="009F2CC8">
        <w:rPr>
          <w:rFonts w:ascii="Arial" w:hAnsi="Arial" w:cs="Arial"/>
          <w:lang w:val="es-MX"/>
        </w:rPr>
        <w:t xml:space="preserve">, </w:t>
      </w:r>
      <w:r w:rsidRPr="00D16950">
        <w:rPr>
          <w:rFonts w:ascii="Arial" w:hAnsi="Arial" w:cs="Arial"/>
          <w:position w:val="-6"/>
          <w:lang w:val="es-MX"/>
        </w:rPr>
        <w:object w:dxaOrig="740" w:dyaOrig="279">
          <v:shape id="_x0000_i1134" type="#_x0000_t75" style="width:36pt;height:14.4pt" o:ole="">
            <v:imagedata r:id="rId354" o:title=""/>
          </v:shape>
          <o:OLEObject Type="Embed" ProgID="Equation.DSMT4" ShapeID="_x0000_i1134" DrawAspect="Content" ObjectID="_1660649231" r:id="rId355"/>
        </w:object>
      </w:r>
      <w:r w:rsidRPr="009F2CC8">
        <w:rPr>
          <w:rFonts w:ascii="Arial" w:hAnsi="Arial" w:cs="Arial"/>
          <w:lang w:val="es-MX"/>
        </w:rPr>
        <w:t xml:space="preserve">, </w:t>
      </w:r>
      <w:r w:rsidRPr="00D16950">
        <w:rPr>
          <w:rFonts w:ascii="Arial" w:hAnsi="Arial" w:cs="Arial"/>
          <w:position w:val="-6"/>
          <w:lang w:val="es-MX"/>
        </w:rPr>
        <w:object w:dxaOrig="740" w:dyaOrig="279">
          <v:shape id="_x0000_i1135" type="#_x0000_t75" style="width:36pt;height:14.4pt" o:ole="">
            <v:imagedata r:id="rId356" o:title=""/>
          </v:shape>
          <o:OLEObject Type="Embed" ProgID="Equation.3" ShapeID="_x0000_i1135" DrawAspect="Content" ObjectID="_1660649232" r:id="rId357"/>
        </w:object>
      </w:r>
      <w:r w:rsidRPr="009F2CC8">
        <w:rPr>
          <w:rFonts w:ascii="Arial" w:hAnsi="Arial" w:cs="Arial"/>
          <w:lang w:val="es-MX"/>
        </w:rPr>
        <w:t xml:space="preserve">, </w:t>
      </w:r>
      <w:r w:rsidRPr="00D16950">
        <w:rPr>
          <w:rFonts w:ascii="Arial" w:hAnsi="Arial" w:cs="Arial"/>
          <w:position w:val="-6"/>
          <w:lang w:val="es-MX"/>
        </w:rPr>
        <w:object w:dxaOrig="840" w:dyaOrig="279">
          <v:shape id="_x0000_i1136" type="#_x0000_t75" style="width:43.2pt;height:14.4pt" o:ole="">
            <v:imagedata r:id="rId358" o:title=""/>
          </v:shape>
          <o:OLEObject Type="Embed" ProgID="Equation.DSMT4" ShapeID="_x0000_i1136" DrawAspect="Content" ObjectID="_1660649233" r:id="rId359"/>
        </w:object>
      </w:r>
      <w:r w:rsidRPr="009F2CC8">
        <w:rPr>
          <w:rFonts w:ascii="Arial" w:hAnsi="Arial" w:cs="Arial"/>
          <w:lang w:val="es-MX"/>
        </w:rPr>
        <w:t xml:space="preserve">, </w:t>
      </w:r>
      <w:r w:rsidRPr="00D16950">
        <w:rPr>
          <w:rFonts w:ascii="Arial" w:hAnsi="Arial" w:cs="Arial"/>
          <w:position w:val="-6"/>
          <w:lang w:val="es-MX"/>
        </w:rPr>
        <w:object w:dxaOrig="880" w:dyaOrig="279">
          <v:shape id="_x0000_i1137" type="#_x0000_t75" style="width:43.2pt;height:14.4pt" o:ole="">
            <v:imagedata r:id="rId360" o:title=""/>
          </v:shape>
          <o:OLEObject Type="Embed" ProgID="Equation.3" ShapeID="_x0000_i1137" DrawAspect="Content" ObjectID="_1660649234" r:id="rId361"/>
        </w:object>
      </w:r>
      <w:r w:rsidRPr="009F2CC8">
        <w:rPr>
          <w:rFonts w:ascii="Arial" w:hAnsi="Arial" w:cs="Arial"/>
          <w:lang w:val="es-MX"/>
        </w:rPr>
        <w:t xml:space="preserve">, </w:t>
      </w:r>
      <w:r w:rsidRPr="00D16950">
        <w:rPr>
          <w:rFonts w:ascii="Arial" w:hAnsi="Arial" w:cs="Arial"/>
          <w:position w:val="-10"/>
          <w:lang w:val="es-MX"/>
        </w:rPr>
        <w:object w:dxaOrig="780" w:dyaOrig="320">
          <v:shape id="_x0000_i1138" type="#_x0000_t75" style="width:36pt;height:14.4pt" o:ole="">
            <v:imagedata r:id="rId362" o:title=""/>
          </v:shape>
          <o:OLEObject Type="Embed" ProgID="Equation.3" ShapeID="_x0000_i1138" DrawAspect="Content" ObjectID="_1660649235" r:id="rId363"/>
        </w:object>
      </w:r>
      <w:r w:rsidRPr="009F2CC8">
        <w:rPr>
          <w:rFonts w:ascii="Arial" w:hAnsi="Arial" w:cs="Arial"/>
          <w:lang w:val="es-MX"/>
        </w:rPr>
        <w:t xml:space="preserve">, </w:t>
      </w:r>
      <w:r w:rsidRPr="00D16950">
        <w:rPr>
          <w:rFonts w:ascii="Arial" w:hAnsi="Arial" w:cs="Arial"/>
          <w:position w:val="-6"/>
          <w:lang w:val="es-MX"/>
        </w:rPr>
        <w:object w:dxaOrig="1020" w:dyaOrig="279">
          <v:shape id="_x0000_i1139" type="#_x0000_t75" style="width:50.4pt;height:14.4pt" o:ole="">
            <v:imagedata r:id="rId364" o:title=""/>
          </v:shape>
          <o:OLEObject Type="Embed" ProgID="Equation.3" ShapeID="_x0000_i1139" DrawAspect="Content" ObjectID="_1660649236" r:id="rId365"/>
        </w:object>
      </w:r>
      <w:r w:rsidRPr="009F2CC8">
        <w:rPr>
          <w:rFonts w:ascii="Arial" w:hAnsi="Arial" w:cs="Arial"/>
          <w:lang w:val="es-MX"/>
        </w:rPr>
        <w:t xml:space="preserve"> y </w:t>
      </w:r>
      <w:r w:rsidRPr="00D16950">
        <w:rPr>
          <w:rFonts w:ascii="Arial" w:hAnsi="Arial" w:cs="Arial"/>
          <w:position w:val="-6"/>
          <w:lang w:val="es-MX"/>
        </w:rPr>
        <w:object w:dxaOrig="940" w:dyaOrig="279">
          <v:shape id="_x0000_i1140" type="#_x0000_t75" style="width:50.4pt;height:14.4pt" o:ole="">
            <v:imagedata r:id="rId366" o:title=""/>
          </v:shape>
          <o:OLEObject Type="Embed" ProgID="Equation.3" ShapeID="_x0000_i1140" DrawAspect="Content" ObjectID="_1660649237" r:id="rId367"/>
        </w:object>
      </w:r>
      <w:r w:rsidRPr="009F2CC8">
        <w:rPr>
          <w:rFonts w:ascii="Arial" w:hAnsi="Arial" w:cs="Arial"/>
          <w:lang w:val="es-MX"/>
        </w:rPr>
        <w:t>.</w:t>
      </w:r>
      <w:r w:rsidRPr="003A1CF6">
        <w:rPr>
          <w:rFonts w:ascii="Arial" w:hAnsi="Arial" w:cs="Arial"/>
          <w:lang w:val="es-MX"/>
        </w:rPr>
        <w:t xml:space="preserve"> En la figura 1b se muestran ejemplos de funciones adjuntas </w:t>
      </w:r>
      <w:r w:rsidRPr="002A5355">
        <w:rPr>
          <w:rFonts w:ascii="Arial" w:hAnsi="Arial" w:cs="Arial"/>
          <w:position w:val="-14"/>
          <w:lang w:val="es-MX"/>
        </w:rPr>
        <w:object w:dxaOrig="859" w:dyaOrig="380">
          <v:shape id="_x0000_i1141" type="#_x0000_t75" style="width:43.2pt;height:21.6pt" o:ole="">
            <v:imagedata r:id="rId368" o:title=""/>
          </v:shape>
          <o:OLEObject Type="Embed" ProgID="Equation.DSMT4" ShapeID="_x0000_i1141" DrawAspect="Content" ObjectID="_1660649238" r:id="rId369"/>
        </w:object>
      </w:r>
      <w:r w:rsidRPr="003A1CF6">
        <w:rPr>
          <w:rFonts w:ascii="Arial" w:hAnsi="Arial" w:cs="Arial"/>
          <w:lang w:val="es-MX"/>
        </w:rPr>
        <w:t xml:space="preserve"> para los instantes </w:t>
      </w:r>
      <w:r w:rsidRPr="00D16950">
        <w:rPr>
          <w:rFonts w:ascii="Arial" w:hAnsi="Arial" w:cs="Arial"/>
          <w:position w:val="-14"/>
          <w:lang w:val="es-MX"/>
        </w:rPr>
        <w:object w:dxaOrig="620" w:dyaOrig="380">
          <v:shape id="_x0000_i1142" type="#_x0000_t75" style="width:28.8pt;height:21.6pt" o:ole="">
            <v:imagedata r:id="rId370" o:title=""/>
          </v:shape>
          <o:OLEObject Type="Embed" ProgID="Equation.DSMT4" ShapeID="_x0000_i1142" DrawAspect="Content" ObjectID="_1660649239" r:id="rId371"/>
        </w:object>
      </w:r>
      <w:r w:rsidRPr="003A1CF6">
        <w:rPr>
          <w:rFonts w:ascii="Arial" w:hAnsi="Arial" w:cs="Arial"/>
          <w:lang w:val="es-MX"/>
        </w:rPr>
        <w:t xml:space="preserve">, </w:t>
      </w:r>
      <w:r w:rsidRPr="00D16950">
        <w:rPr>
          <w:rFonts w:ascii="Arial" w:hAnsi="Arial" w:cs="Arial"/>
          <w:position w:val="-14"/>
          <w:lang w:val="es-MX"/>
        </w:rPr>
        <w:object w:dxaOrig="620" w:dyaOrig="380">
          <v:shape id="_x0000_i1143" type="#_x0000_t75" style="width:28.8pt;height:21.6pt" o:ole="">
            <v:imagedata r:id="rId372" o:title=""/>
          </v:shape>
          <o:OLEObject Type="Embed" ProgID="Equation.DSMT4" ShapeID="_x0000_i1143" DrawAspect="Content" ObjectID="_1660649240" r:id="rId373"/>
        </w:object>
      </w:r>
      <w:r w:rsidRPr="003A1CF6">
        <w:rPr>
          <w:rFonts w:ascii="Arial" w:hAnsi="Arial" w:cs="Arial"/>
          <w:lang w:val="es-MX"/>
        </w:rPr>
        <w:t xml:space="preserve"> y </w:t>
      </w:r>
      <w:r w:rsidRPr="00D16950">
        <w:rPr>
          <w:rFonts w:ascii="Arial" w:hAnsi="Arial" w:cs="Arial"/>
          <w:position w:val="-14"/>
          <w:lang w:val="es-MX"/>
        </w:rPr>
        <w:object w:dxaOrig="740" w:dyaOrig="380">
          <v:shape id="_x0000_i1144" type="#_x0000_t75" style="width:36pt;height:21.6pt" o:ole="">
            <v:imagedata r:id="rId374" o:title=""/>
          </v:shape>
          <o:OLEObject Type="Embed" ProgID="Equation.DSMT4" ShapeID="_x0000_i1144" DrawAspect="Content" ObjectID="_1660649241" r:id="rId375"/>
        </w:object>
      </w:r>
      <w:r w:rsidRPr="003A1CF6">
        <w:rPr>
          <w:rFonts w:ascii="Arial" w:hAnsi="Arial" w:cs="Arial"/>
          <w:lang w:val="es-MX"/>
        </w:rPr>
        <w:t>, y los mismos parámetros empleados en el modelo directo. Note que el cálculo de dichas funciones depende de las condiciones de dispersión y transformación de los contaminantes en la atmós</w:t>
      </w:r>
      <w:r>
        <w:rPr>
          <w:rFonts w:ascii="Arial" w:hAnsi="Arial" w:cs="Arial"/>
          <w:lang w:val="es-MX"/>
        </w:rPr>
        <w:t xml:space="preserve">fera, así como de los sitios de </w:t>
      </w:r>
      <w:r w:rsidRPr="003A1CF6">
        <w:rPr>
          <w:rFonts w:ascii="Arial" w:hAnsi="Arial" w:cs="Arial"/>
          <w:lang w:val="es-MX"/>
        </w:rPr>
        <w:t xml:space="preserve">monitoreo y emisión, sin embargo, estas funciones son independientes de la tasa de emisión </w:t>
      </w:r>
      <w:r w:rsidRPr="00D16950">
        <w:rPr>
          <w:rFonts w:ascii="Arial" w:hAnsi="Arial" w:cs="Arial"/>
          <w:position w:val="-10"/>
          <w:lang w:val="es-MX"/>
        </w:rPr>
        <w:object w:dxaOrig="499" w:dyaOrig="320">
          <v:shape id="_x0000_i1145" type="#_x0000_t75" style="width:21.6pt;height:14.4pt" o:ole="">
            <v:imagedata r:id="rId342" o:title=""/>
          </v:shape>
          <o:OLEObject Type="Embed" ProgID="Equation.DSMT4" ShapeID="_x0000_i1145" DrawAspect="Content" ObjectID="_1660649242" r:id="rId376"/>
        </w:object>
      </w:r>
      <w:r w:rsidRPr="003A1CF6">
        <w:rPr>
          <w:rFonts w:ascii="Arial" w:hAnsi="Arial" w:cs="Arial"/>
          <w:lang w:val="es-MX"/>
        </w:rPr>
        <w:t>. Una vez calculadas las funciones adjuntas a través de la serie de Fourier-Fejér (15) es posible plantear el problema (18)-(20). Este problema se discretiza usando la fórmula del trapecio para integrales</w:t>
      </w:r>
      <w:r>
        <w:rPr>
          <w:rFonts w:ascii="Arial" w:hAnsi="Arial" w:cs="Arial"/>
          <w:lang w:val="es-MX"/>
        </w:rPr>
        <w:t xml:space="preserve"> </w:t>
      </w:r>
      <w:r w:rsidRPr="003A1CF6">
        <w:rPr>
          <w:rFonts w:ascii="Arial" w:hAnsi="Arial" w:cs="Arial"/>
          <w:lang w:val="es-MX"/>
        </w:rPr>
        <w:t>y se resuelve como un problema de programación cuadrática</w:t>
      </w:r>
      <w:r>
        <w:rPr>
          <w:rFonts w:ascii="Arial" w:hAnsi="Arial" w:cs="Arial"/>
          <w:lang w:val="es-MX"/>
        </w:rPr>
        <w:t xml:space="preserve"> </w:t>
      </w:r>
      <w:r>
        <w:rPr>
          <w:rFonts w:ascii="Arial" w:hAnsi="Arial" w:cs="Arial"/>
          <w:vertAlign w:val="superscript"/>
          <w:lang w:val="es-MX"/>
        </w:rPr>
        <w:t>[7]</w:t>
      </w:r>
      <w:r>
        <w:rPr>
          <w:rFonts w:ascii="Arial" w:hAnsi="Arial" w:cs="Arial"/>
          <w:lang w:val="es-MX"/>
        </w:rPr>
        <w:t xml:space="preserve">, la </w:t>
      </w:r>
      <w:r w:rsidRPr="003C4A06">
        <w:rPr>
          <w:rFonts w:ascii="Arial" w:hAnsi="Arial" w:cs="Arial"/>
        </w:rPr>
        <w:t xml:space="preserve">solución se calcula aplicando directamente la rutina </w:t>
      </w:r>
      <w:r w:rsidRPr="0031303B">
        <w:rPr>
          <w:rFonts w:ascii="Arial" w:hAnsi="Arial" w:cs="Arial"/>
          <w:i/>
        </w:rPr>
        <w:t>quadprog</w:t>
      </w:r>
      <w:r>
        <w:rPr>
          <w:rFonts w:ascii="Arial" w:hAnsi="Arial" w:cs="Arial"/>
        </w:rPr>
        <w:t xml:space="preserve"> de MATLAB. Dicha solución se conoce como </w:t>
      </w:r>
      <w:r w:rsidRPr="00AB0804">
        <w:rPr>
          <w:rFonts w:ascii="Arial" w:hAnsi="Arial" w:cs="Arial"/>
          <w:i/>
        </w:rPr>
        <w:t>solución regularizada</w:t>
      </w:r>
      <w:r>
        <w:rPr>
          <w:rFonts w:ascii="Arial" w:hAnsi="Arial" w:cs="Arial"/>
        </w:rPr>
        <w:t xml:space="preserve"> </w:t>
      </w:r>
      <w:r w:rsidRPr="00A126FE">
        <w:rPr>
          <w:rFonts w:ascii="Arial" w:hAnsi="Arial" w:cs="Arial"/>
          <w:i/>
        </w:rPr>
        <w:t>Q</w:t>
      </w:r>
      <w:r w:rsidRPr="00A126FE">
        <w:rPr>
          <w:rFonts w:ascii="Arial" w:hAnsi="Arial" w:cs="Arial"/>
          <w:i/>
          <w:vertAlign w:val="subscript"/>
        </w:rPr>
        <w:sym w:font="Symbol" w:char="F065"/>
      </w:r>
      <w:r>
        <w:rPr>
          <w:rFonts w:ascii="Arial" w:hAnsi="Arial" w:cs="Arial"/>
        </w:rPr>
        <w:t>.</w:t>
      </w:r>
    </w:p>
    <w:p w:rsidR="00846109" w:rsidRPr="00B923FC" w:rsidRDefault="00846109" w:rsidP="00846109">
      <w:pPr>
        <w:jc w:val="center"/>
        <w:rPr>
          <w:rFonts w:ascii="Arial" w:hAnsi="Arial" w:cs="Arial"/>
          <w:lang w:val="es-MX"/>
        </w:rPr>
      </w:pPr>
      <w:r w:rsidRPr="00D16950">
        <w:rPr>
          <w:rFonts w:ascii="Arial" w:hAnsi="Arial" w:cs="Arial"/>
          <w:noProof/>
          <w:lang w:val="en-US"/>
        </w:rPr>
        <w:drawing>
          <wp:inline distT="0" distB="0" distL="0" distR="0" wp14:anchorId="131FCBD8" wp14:editId="45DBEB2C">
            <wp:extent cx="2943225" cy="2457450"/>
            <wp:effectExtent l="0" t="0" r="9525" b="0"/>
            <wp:docPr id="1413571360" name="Imagen 1413571360" descr="Fig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Fig56"/>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2943225" cy="2457450"/>
                    </a:xfrm>
                    <a:prstGeom prst="rect">
                      <a:avLst/>
                    </a:prstGeom>
                    <a:noFill/>
                    <a:ln>
                      <a:noFill/>
                    </a:ln>
                  </pic:spPr>
                </pic:pic>
              </a:graphicData>
            </a:graphic>
          </wp:inline>
        </w:drawing>
      </w:r>
      <w:r w:rsidRPr="00D16950">
        <w:rPr>
          <w:rFonts w:ascii="Arial" w:hAnsi="Arial" w:cs="Arial"/>
          <w:noProof/>
          <w:lang w:val="en-US"/>
        </w:rPr>
        <w:drawing>
          <wp:inline distT="0" distB="0" distL="0" distR="0" wp14:anchorId="20D9CF54" wp14:editId="5EF382E9">
            <wp:extent cx="2952750" cy="2447925"/>
            <wp:effectExtent l="0" t="0" r="0" b="9525"/>
            <wp:docPr id="63" name="Imagen 63" descr="Fig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Fig57"/>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952750" cy="2447925"/>
                    </a:xfrm>
                    <a:prstGeom prst="rect">
                      <a:avLst/>
                    </a:prstGeom>
                    <a:noFill/>
                    <a:ln>
                      <a:noFill/>
                    </a:ln>
                  </pic:spPr>
                </pic:pic>
              </a:graphicData>
            </a:graphic>
          </wp:inline>
        </w:drawing>
      </w:r>
    </w:p>
    <w:p w:rsidR="00846109" w:rsidRPr="009F2CC8" w:rsidRDefault="00846109" w:rsidP="00846109">
      <w:pPr>
        <w:jc w:val="both"/>
        <w:rPr>
          <w:rFonts w:ascii="Arial" w:hAnsi="Arial" w:cs="Arial"/>
          <w:lang w:val="es-MX"/>
        </w:rPr>
      </w:pPr>
      <w:r w:rsidRPr="00846109">
        <w:rPr>
          <w:rFonts w:ascii="Arial" w:hAnsi="Arial" w:cs="Arial"/>
          <w:sz w:val="20"/>
          <w:szCs w:val="20"/>
          <w:lang w:val="es-MX"/>
        </w:rPr>
        <w:t xml:space="preserve">                                        </w:t>
      </w:r>
      <w:r w:rsidRPr="009F2CC8">
        <w:rPr>
          <w:rFonts w:ascii="Arial" w:hAnsi="Arial" w:cs="Arial"/>
          <w:sz w:val="20"/>
          <w:szCs w:val="20"/>
          <w:lang w:val="es-MX"/>
        </w:rPr>
        <w:t>(a)                                                                             (b)</w:t>
      </w:r>
    </w:p>
    <w:p w:rsidR="00846109" w:rsidRPr="009F2CC8" w:rsidRDefault="00846109" w:rsidP="00846109">
      <w:pPr>
        <w:jc w:val="center"/>
        <w:rPr>
          <w:rFonts w:ascii="Century Schoolbook" w:hAnsi="Century Schoolbook" w:cs="Arial"/>
          <w:i/>
          <w:sz w:val="20"/>
          <w:szCs w:val="20"/>
          <w:lang w:val="es-MX"/>
        </w:rPr>
      </w:pPr>
      <w:r w:rsidRPr="001F71BA">
        <w:rPr>
          <w:rFonts w:ascii="Arial" w:hAnsi="Arial" w:cs="Arial"/>
          <w:i/>
          <w:sz w:val="20"/>
          <w:szCs w:val="20"/>
          <w:lang w:val="es-MX"/>
        </w:rPr>
        <w:t xml:space="preserve">Figura 1. a) Tasa de emisión de prueba </w:t>
      </w:r>
      <w:r w:rsidRPr="001F71BA">
        <w:rPr>
          <w:rFonts w:ascii="Arial" w:hAnsi="Arial" w:cs="Arial"/>
          <w:i/>
          <w:position w:val="-10"/>
          <w:sz w:val="20"/>
          <w:szCs w:val="20"/>
          <w:lang w:val="es-MX"/>
        </w:rPr>
        <w:object w:dxaOrig="420" w:dyaOrig="300">
          <v:shape id="_x0000_i1146" type="#_x0000_t75" style="width:21.6pt;height:14.4pt" o:ole="">
            <v:imagedata r:id="rId379" o:title=""/>
          </v:shape>
          <o:OLEObject Type="Embed" ProgID="Equation.DSMT4" ShapeID="_x0000_i1146" DrawAspect="Content" ObjectID="_1660649243" r:id="rId380"/>
        </w:object>
      </w:r>
      <w:r w:rsidRPr="001F71BA">
        <w:rPr>
          <w:rFonts w:ascii="Arial" w:hAnsi="Arial" w:cs="Arial"/>
          <w:i/>
          <w:sz w:val="20"/>
          <w:szCs w:val="20"/>
          <w:lang w:val="es-MX"/>
        </w:rPr>
        <w:t xml:space="preserve"> (azul) y la concentración </w:t>
      </w:r>
      <w:r w:rsidRPr="001F71BA">
        <w:rPr>
          <w:rFonts w:ascii="Arial" w:hAnsi="Arial" w:cs="Arial"/>
          <w:i/>
          <w:position w:val="-10"/>
          <w:sz w:val="20"/>
          <w:szCs w:val="20"/>
          <w:lang w:val="es-MX"/>
        </w:rPr>
        <w:object w:dxaOrig="600" w:dyaOrig="300">
          <v:shape id="_x0000_i1147" type="#_x0000_t75" style="width:28.8pt;height:14.4pt" o:ole="">
            <v:imagedata r:id="rId381" o:title=""/>
          </v:shape>
          <o:OLEObject Type="Embed" ProgID="Equation.DSMT4" ShapeID="_x0000_i1147" DrawAspect="Content" ObjectID="_1660649244" r:id="rId382"/>
        </w:object>
      </w:r>
      <w:r w:rsidRPr="001F71BA">
        <w:rPr>
          <w:rFonts w:ascii="Arial" w:hAnsi="Arial" w:cs="Arial"/>
          <w:i/>
          <w:sz w:val="20"/>
          <w:szCs w:val="20"/>
          <w:lang w:val="es-MX"/>
        </w:rPr>
        <w:t xml:space="preserve"> (rojo). b)</w:t>
      </w:r>
      <w:r w:rsidRPr="009F2CC8">
        <w:rPr>
          <w:rFonts w:ascii="Century Schoolbook" w:hAnsi="Century Schoolbook" w:cs="Arial"/>
          <w:i/>
          <w:sz w:val="20"/>
          <w:szCs w:val="20"/>
          <w:lang w:val="es-MX"/>
        </w:rPr>
        <w:t xml:space="preserve"> </w:t>
      </w:r>
      <w:r w:rsidRPr="001F71BA">
        <w:rPr>
          <w:rFonts w:ascii="Arial" w:hAnsi="Arial" w:cs="Arial"/>
          <w:i/>
          <w:sz w:val="20"/>
          <w:szCs w:val="20"/>
          <w:lang w:val="es-MX"/>
        </w:rPr>
        <w:t xml:space="preserve">Funciones adjuntas </w:t>
      </w:r>
      <w:r w:rsidRPr="001F71BA">
        <w:rPr>
          <w:rFonts w:ascii="Arial" w:hAnsi="Arial" w:cs="Arial"/>
          <w:i/>
          <w:position w:val="-12"/>
          <w:sz w:val="20"/>
          <w:szCs w:val="20"/>
          <w:lang w:val="es-MX"/>
        </w:rPr>
        <w:object w:dxaOrig="740" w:dyaOrig="320">
          <v:shape id="_x0000_i1148" type="#_x0000_t75" style="width:36pt;height:14.4pt" o:ole="">
            <v:imagedata r:id="rId383" o:title=""/>
          </v:shape>
          <o:OLEObject Type="Embed" ProgID="Equation.DSMT4" ShapeID="_x0000_i1148" DrawAspect="Content" ObjectID="_1660649245" r:id="rId384"/>
        </w:object>
      </w:r>
      <w:r w:rsidRPr="001F71BA">
        <w:rPr>
          <w:rFonts w:ascii="Arial" w:hAnsi="Arial" w:cs="Arial"/>
          <w:i/>
          <w:sz w:val="20"/>
          <w:szCs w:val="20"/>
          <w:lang w:val="es-MX"/>
        </w:rPr>
        <w:t xml:space="preserve"> para los instantes </w:t>
      </w:r>
      <w:r w:rsidRPr="001F71BA">
        <w:rPr>
          <w:rFonts w:ascii="Arial" w:hAnsi="Arial" w:cs="Arial"/>
          <w:i/>
          <w:position w:val="-12"/>
          <w:sz w:val="20"/>
          <w:szCs w:val="20"/>
          <w:lang w:val="es-MX"/>
        </w:rPr>
        <w:object w:dxaOrig="720" w:dyaOrig="320">
          <v:shape id="_x0000_i1149" type="#_x0000_t75" style="width:36pt;height:14.4pt" o:ole="">
            <v:imagedata r:id="rId385" o:title=""/>
          </v:shape>
          <o:OLEObject Type="Embed" ProgID="Equation.DSMT4" ShapeID="_x0000_i1149" DrawAspect="Content" ObjectID="_1660649246" r:id="rId386"/>
        </w:object>
      </w:r>
      <w:r w:rsidRPr="001F71BA">
        <w:rPr>
          <w:rFonts w:ascii="Arial" w:hAnsi="Arial" w:cs="Arial"/>
          <w:i/>
          <w:sz w:val="20"/>
          <w:szCs w:val="20"/>
          <w:lang w:val="es-MX"/>
        </w:rPr>
        <w:t xml:space="preserve"> (rojo), </w:t>
      </w:r>
      <w:r w:rsidRPr="001F71BA">
        <w:rPr>
          <w:rFonts w:ascii="Arial" w:hAnsi="Arial" w:cs="Arial"/>
          <w:i/>
          <w:position w:val="-12"/>
          <w:sz w:val="20"/>
          <w:szCs w:val="20"/>
          <w:lang w:val="es-MX"/>
        </w:rPr>
        <w:object w:dxaOrig="720" w:dyaOrig="320">
          <v:shape id="_x0000_i1150" type="#_x0000_t75" style="width:36pt;height:14.4pt" o:ole="">
            <v:imagedata r:id="rId387" o:title=""/>
          </v:shape>
          <o:OLEObject Type="Embed" ProgID="Equation.DSMT4" ShapeID="_x0000_i1150" DrawAspect="Content" ObjectID="_1660649247" r:id="rId388"/>
        </w:object>
      </w:r>
      <w:r w:rsidRPr="001F71BA">
        <w:rPr>
          <w:rFonts w:ascii="Arial" w:hAnsi="Arial" w:cs="Arial"/>
          <w:i/>
          <w:sz w:val="20"/>
          <w:szCs w:val="20"/>
          <w:lang w:val="es-MX"/>
        </w:rPr>
        <w:t xml:space="preserve"> (verde) y </w:t>
      </w:r>
      <w:r w:rsidRPr="001F71BA">
        <w:rPr>
          <w:rFonts w:ascii="Arial" w:hAnsi="Arial" w:cs="Arial"/>
          <w:i/>
          <w:position w:val="-12"/>
          <w:sz w:val="20"/>
          <w:szCs w:val="20"/>
          <w:lang w:val="es-MX"/>
        </w:rPr>
        <w:object w:dxaOrig="820" w:dyaOrig="320">
          <v:shape id="_x0000_i1151" type="#_x0000_t75" style="width:43.2pt;height:14.4pt" o:ole="">
            <v:imagedata r:id="rId389" o:title=""/>
          </v:shape>
          <o:OLEObject Type="Embed" ProgID="Equation.DSMT4" ShapeID="_x0000_i1151" DrawAspect="Content" ObjectID="_1660649248" r:id="rId390"/>
        </w:object>
      </w:r>
      <w:r w:rsidRPr="001F71BA">
        <w:rPr>
          <w:rFonts w:ascii="Arial" w:hAnsi="Arial" w:cs="Arial"/>
          <w:i/>
          <w:sz w:val="20"/>
          <w:szCs w:val="20"/>
          <w:lang w:val="es-MX"/>
        </w:rPr>
        <w:t xml:space="preserve"> (azul).</w:t>
      </w:r>
    </w:p>
    <w:p w:rsidR="00846109" w:rsidRPr="008C113B" w:rsidRDefault="00846109" w:rsidP="00846109">
      <w:pPr>
        <w:jc w:val="both"/>
        <w:rPr>
          <w:rFonts w:ascii="Arial" w:hAnsi="Arial" w:cs="Arial"/>
          <w:lang w:val="es-MX"/>
        </w:rPr>
      </w:pPr>
    </w:p>
    <w:p w:rsidR="00846109" w:rsidRPr="008C113B" w:rsidRDefault="00846109" w:rsidP="00846109">
      <w:pPr>
        <w:jc w:val="both"/>
        <w:rPr>
          <w:rFonts w:ascii="Arial" w:hAnsi="Arial" w:cs="Arial"/>
          <w:lang w:val="es-MX"/>
        </w:rPr>
      </w:pPr>
      <w:r>
        <w:rPr>
          <w:rFonts w:ascii="Arial" w:hAnsi="Arial" w:cs="Arial"/>
          <w:lang w:val="es-MX"/>
        </w:rPr>
        <w:t xml:space="preserve">En este ejemplo, </w:t>
      </w:r>
      <w:r w:rsidRPr="008C113B">
        <w:rPr>
          <w:rFonts w:ascii="Arial" w:hAnsi="Arial" w:cs="Arial"/>
          <w:lang w:val="es-MX"/>
        </w:rPr>
        <w:t xml:space="preserve">la serie de tiempo sintética </w:t>
      </w:r>
      <w:r w:rsidRPr="0005290B">
        <w:rPr>
          <w:rFonts w:ascii="Arial" w:hAnsi="Arial" w:cs="Arial"/>
          <w:position w:val="-16"/>
          <w:lang w:val="es-MX"/>
        </w:rPr>
        <w:object w:dxaOrig="460" w:dyaOrig="440">
          <v:shape id="_x0000_i1152" type="#_x0000_t75" style="width:21.6pt;height:21.6pt" o:ole="">
            <v:imagedata r:id="rId391" o:title=""/>
          </v:shape>
          <o:OLEObject Type="Embed" ProgID="Equation.DSMT4" ShapeID="_x0000_i1152" DrawAspect="Content" ObjectID="_1660649249" r:id="rId392"/>
        </w:object>
      </w:r>
      <w:r>
        <w:rPr>
          <w:rFonts w:ascii="Arial" w:hAnsi="Arial" w:cs="Arial"/>
          <w:lang w:val="es-MX"/>
        </w:rPr>
        <w:t xml:space="preserve"> (datos de </w:t>
      </w:r>
      <w:r w:rsidRPr="008C113B">
        <w:rPr>
          <w:rFonts w:ascii="Arial" w:hAnsi="Arial" w:cs="Arial"/>
          <w:lang w:val="es-MX"/>
        </w:rPr>
        <w:t>la concentra</w:t>
      </w:r>
      <w:r>
        <w:rPr>
          <w:rFonts w:ascii="Arial" w:hAnsi="Arial" w:cs="Arial"/>
          <w:lang w:val="es-MX"/>
        </w:rPr>
        <w:t>ción del contaminante) se genera</w:t>
      </w:r>
      <w:r w:rsidRPr="008C113B">
        <w:rPr>
          <w:rFonts w:ascii="Arial" w:hAnsi="Arial" w:cs="Arial"/>
          <w:lang w:val="es-MX"/>
        </w:rPr>
        <w:t xml:space="preserve"> por medio de la siguiente ecuación:</w:t>
      </w:r>
    </w:p>
    <w:p w:rsidR="00846109" w:rsidRPr="008C113B" w:rsidRDefault="00846109" w:rsidP="00846109">
      <w:pPr>
        <w:jc w:val="both"/>
        <w:rPr>
          <w:rFonts w:ascii="Arial" w:hAnsi="Arial" w:cs="Arial"/>
          <w:lang w:val="es-MX"/>
        </w:rPr>
      </w:pPr>
    </w:p>
    <w:p w:rsidR="00846109" w:rsidRPr="008C113B" w:rsidRDefault="00846109" w:rsidP="00846109">
      <w:pPr>
        <w:tabs>
          <w:tab w:val="left" w:pos="9356"/>
        </w:tabs>
        <w:ind w:right="48"/>
        <w:jc w:val="right"/>
        <w:rPr>
          <w:rFonts w:ascii="Arial" w:hAnsi="Arial" w:cs="Arial"/>
          <w:lang w:val="es-MX"/>
        </w:rPr>
      </w:pPr>
      <w:r w:rsidRPr="008C113B">
        <w:rPr>
          <w:rFonts w:ascii="Arial" w:hAnsi="Arial" w:cs="Arial"/>
          <w:position w:val="-14"/>
          <w:lang w:val="es-MX"/>
        </w:rPr>
        <w:object w:dxaOrig="4180" w:dyaOrig="380">
          <v:shape id="_x0000_i1153" type="#_x0000_t75" style="width:208.8pt;height:21.6pt" o:ole="">
            <v:imagedata r:id="rId393" o:title=""/>
          </v:shape>
          <o:OLEObject Type="Embed" ProgID="Equation.DSMT4" ShapeID="_x0000_i1153" DrawAspect="Content" ObjectID="_1660649250" r:id="rId394"/>
        </w:object>
      </w:r>
      <w:r w:rsidRPr="009F2CC8">
        <w:rPr>
          <w:rFonts w:ascii="Arial" w:hAnsi="Arial" w:cs="Arial"/>
          <w:lang w:val="es-MX"/>
        </w:rPr>
        <w:t xml:space="preserve">                              (22)</w:t>
      </w:r>
    </w:p>
    <w:p w:rsidR="00846109" w:rsidRPr="008C113B" w:rsidRDefault="00846109" w:rsidP="00846109">
      <w:pPr>
        <w:jc w:val="both"/>
        <w:rPr>
          <w:rFonts w:ascii="Arial" w:hAnsi="Arial" w:cs="Arial"/>
          <w:lang w:val="es-MX"/>
        </w:rPr>
      </w:pPr>
    </w:p>
    <w:p w:rsidR="00846109" w:rsidRPr="009F2CC8" w:rsidRDefault="00846109" w:rsidP="00846109">
      <w:pPr>
        <w:jc w:val="both"/>
        <w:rPr>
          <w:rFonts w:ascii="Arial" w:hAnsi="Arial" w:cs="Arial"/>
          <w:lang w:val="es-MX"/>
        </w:rPr>
      </w:pPr>
      <w:r w:rsidRPr="008C113B">
        <w:rPr>
          <w:rFonts w:ascii="Arial" w:hAnsi="Arial" w:cs="Arial"/>
          <w:lang w:val="es-MX"/>
        </w:rPr>
        <w:t xml:space="preserve">donde los valores </w:t>
      </w:r>
      <w:r w:rsidRPr="008C113B">
        <w:rPr>
          <w:rFonts w:ascii="Arial" w:hAnsi="Arial" w:cs="Arial"/>
          <w:position w:val="-14"/>
          <w:lang w:val="es-MX"/>
        </w:rPr>
        <w:object w:dxaOrig="780" w:dyaOrig="380">
          <v:shape id="_x0000_i1154" type="#_x0000_t75" style="width:36pt;height:21.6pt" o:ole="">
            <v:imagedata r:id="rId395" o:title=""/>
          </v:shape>
          <o:OLEObject Type="Embed" ProgID="Equation.DSMT4" ShapeID="_x0000_i1154" DrawAspect="Content" ObjectID="_1660649251" r:id="rId396"/>
        </w:object>
      </w:r>
      <w:r w:rsidRPr="008C113B">
        <w:rPr>
          <w:rFonts w:ascii="Arial" w:hAnsi="Arial" w:cs="Arial"/>
          <w:lang w:val="es-MX"/>
        </w:rPr>
        <w:t xml:space="preserve"> se obt</w:t>
      </w:r>
      <w:r>
        <w:rPr>
          <w:rFonts w:ascii="Arial" w:hAnsi="Arial" w:cs="Arial"/>
          <w:lang w:val="es-MX"/>
        </w:rPr>
        <w:t>ienen por medio de la serie (</w:t>
      </w:r>
      <w:r w:rsidRPr="008C113B">
        <w:rPr>
          <w:rFonts w:ascii="Arial" w:hAnsi="Arial" w:cs="Arial"/>
          <w:lang w:val="es-MX"/>
        </w:rPr>
        <w:t>6)</w:t>
      </w:r>
      <w:r>
        <w:rPr>
          <w:rFonts w:ascii="Arial" w:hAnsi="Arial" w:cs="Arial"/>
          <w:lang w:val="es-MX"/>
        </w:rPr>
        <w:t>,</w:t>
      </w:r>
      <w:r w:rsidRPr="008C113B">
        <w:rPr>
          <w:rFonts w:ascii="Arial" w:hAnsi="Arial" w:cs="Arial"/>
          <w:lang w:val="es-MX"/>
        </w:rPr>
        <w:t xml:space="preserve"> y los errores aleatorios </w:t>
      </w:r>
      <w:r w:rsidRPr="00A21AC7">
        <w:rPr>
          <w:rFonts w:ascii="Arial" w:hAnsi="Arial" w:cs="Arial"/>
          <w:position w:val="-16"/>
          <w:lang w:val="es-MX"/>
        </w:rPr>
        <w:object w:dxaOrig="580" w:dyaOrig="440">
          <v:shape id="_x0000_i1155" type="#_x0000_t75" style="width:28.8pt;height:21.6pt" o:ole="">
            <v:imagedata r:id="rId397" o:title=""/>
          </v:shape>
          <o:OLEObject Type="Embed" ProgID="Equation.DSMT4" ShapeID="_x0000_i1155" DrawAspect="Content" ObjectID="_1660649252" r:id="rId398"/>
        </w:object>
      </w:r>
      <w:r w:rsidRPr="008C113B">
        <w:rPr>
          <w:rFonts w:ascii="Arial" w:hAnsi="Arial" w:cs="Arial"/>
          <w:lang w:val="es-MX"/>
        </w:rPr>
        <w:t xml:space="preserve"> están uniformemente distribuidos</w:t>
      </w:r>
      <w:r>
        <w:rPr>
          <w:rFonts w:ascii="Arial" w:hAnsi="Arial" w:cs="Arial"/>
          <w:lang w:val="es-MX"/>
        </w:rPr>
        <w:t xml:space="preserve"> </w:t>
      </w:r>
      <w:r w:rsidRPr="008C113B">
        <w:rPr>
          <w:rFonts w:ascii="Arial" w:hAnsi="Arial" w:cs="Arial"/>
          <w:lang w:val="es-MX"/>
        </w:rPr>
        <w:t xml:space="preserve">en el intervalo </w:t>
      </w:r>
      <w:r w:rsidRPr="008C113B">
        <w:rPr>
          <w:rFonts w:ascii="Arial" w:hAnsi="Arial" w:cs="Arial"/>
          <w:position w:val="-10"/>
          <w:lang w:val="es-MX"/>
        </w:rPr>
        <w:object w:dxaOrig="1100" w:dyaOrig="320">
          <v:shape id="_x0000_i1156" type="#_x0000_t75" style="width:57.6pt;height:14.4pt" o:ole="">
            <v:imagedata r:id="rId399" o:title=""/>
          </v:shape>
          <o:OLEObject Type="Embed" ProgID="Equation.DSMT4" ShapeID="_x0000_i1156" DrawAspect="Content" ObjectID="_1660649253" r:id="rId400"/>
        </w:object>
      </w:r>
      <w:r>
        <w:rPr>
          <w:rFonts w:ascii="Arial" w:hAnsi="Arial" w:cs="Arial"/>
          <w:lang w:val="es-MX"/>
        </w:rPr>
        <w:t>. L</w:t>
      </w:r>
      <w:r w:rsidRPr="008C113B">
        <w:rPr>
          <w:rFonts w:ascii="Arial" w:hAnsi="Arial" w:cs="Arial"/>
          <w:lang w:val="es-MX"/>
        </w:rPr>
        <w:t xml:space="preserve">a amplitud de los errores fue normalizada por </w:t>
      </w:r>
      <w:r w:rsidRPr="008C113B">
        <w:rPr>
          <w:rFonts w:ascii="Arial" w:hAnsi="Arial" w:cs="Arial"/>
          <w:lang w:val="es-MX"/>
        </w:rPr>
        <w:lastRenderedPageBreak/>
        <w:t xml:space="preserve">un factor que es el 10% del valor máximo de la función </w:t>
      </w:r>
      <w:r w:rsidRPr="005C5251">
        <w:rPr>
          <w:rFonts w:ascii="Arial" w:hAnsi="Arial" w:cs="Arial"/>
          <w:position w:val="-10"/>
          <w:lang w:val="es-MX"/>
        </w:rPr>
        <w:object w:dxaOrig="700" w:dyaOrig="320">
          <v:shape id="_x0000_i1157" type="#_x0000_t75" style="width:36pt;height:14.4pt" o:ole="">
            <v:imagedata r:id="rId401" o:title=""/>
          </v:shape>
          <o:OLEObject Type="Embed" ProgID="Equation.DSMT4" ShapeID="_x0000_i1157" DrawAspect="Content" ObjectID="_1660649254" r:id="rId402"/>
        </w:object>
      </w:r>
      <w:r w:rsidRPr="009F2CC8">
        <w:rPr>
          <w:rFonts w:ascii="Arial" w:hAnsi="Arial" w:cs="Arial"/>
          <w:lang w:val="es-MX"/>
        </w:rPr>
        <w:t>.</w:t>
      </w:r>
      <w:r w:rsidRPr="00C216D4">
        <w:rPr>
          <w:rFonts w:ascii="Arial" w:hAnsi="Arial" w:cs="Arial"/>
          <w:lang w:val="es-MX"/>
        </w:rPr>
        <w:t xml:space="preserve"> La figura 2 mu</w:t>
      </w:r>
      <w:r>
        <w:rPr>
          <w:rFonts w:ascii="Arial" w:hAnsi="Arial" w:cs="Arial"/>
          <w:lang w:val="es-MX"/>
        </w:rPr>
        <w:t>e</w:t>
      </w:r>
      <w:r w:rsidRPr="00C216D4">
        <w:rPr>
          <w:rFonts w:ascii="Arial" w:hAnsi="Arial" w:cs="Arial"/>
          <w:lang w:val="es-MX"/>
        </w:rPr>
        <w:t xml:space="preserve">stra los datos </w:t>
      </w:r>
      <w:r w:rsidRPr="00C216D4">
        <w:rPr>
          <w:rFonts w:ascii="Arial" w:hAnsi="Arial" w:cs="Arial"/>
          <w:position w:val="-14"/>
          <w:lang w:val="es-MX"/>
        </w:rPr>
        <w:object w:dxaOrig="240" w:dyaOrig="380">
          <v:shape id="_x0000_i1158" type="#_x0000_t75" style="width:14.4pt;height:21.6pt" o:ole="">
            <v:imagedata r:id="rId403" o:title=""/>
          </v:shape>
          <o:OLEObject Type="Embed" ProgID="Equation.DSMT4" ShapeID="_x0000_i1158" DrawAspect="Content" ObjectID="_1660649255" r:id="rId404"/>
        </w:object>
      </w:r>
      <w:r>
        <w:rPr>
          <w:rFonts w:ascii="Arial" w:hAnsi="Arial" w:cs="Arial"/>
          <w:lang w:val="es-MX"/>
        </w:rPr>
        <w:t xml:space="preserve"> y la solución regularizada </w:t>
      </w:r>
      <w:r w:rsidRPr="00187BDD">
        <w:rPr>
          <w:rFonts w:ascii="Arial" w:hAnsi="Arial" w:cs="Arial"/>
          <w:position w:val="-12"/>
        </w:rPr>
        <w:object w:dxaOrig="580" w:dyaOrig="360">
          <v:shape id="_x0000_i1159" type="#_x0000_t75" style="width:28.8pt;height:21.6pt" o:ole="">
            <v:imagedata r:id="rId405" o:title=""/>
          </v:shape>
          <o:OLEObject Type="Embed" ProgID="Equation.DSMT4" ShapeID="_x0000_i1159" DrawAspect="Content" ObjectID="_1660649256" r:id="rId406"/>
        </w:object>
      </w:r>
      <w:r w:rsidRPr="00187BDD">
        <w:rPr>
          <w:rFonts w:ascii="Arial" w:hAnsi="Arial" w:cs="Arial"/>
        </w:rPr>
        <w:t xml:space="preserve"> obtenida.</w:t>
      </w:r>
    </w:p>
    <w:p w:rsidR="00846109" w:rsidRDefault="00846109" w:rsidP="00846109">
      <w:pPr>
        <w:jc w:val="center"/>
        <w:rPr>
          <w:rFonts w:ascii="Arial" w:hAnsi="Arial" w:cs="Arial"/>
          <w:lang w:val="es-MX"/>
        </w:rPr>
      </w:pPr>
      <w:r w:rsidRPr="008C113B">
        <w:rPr>
          <w:rFonts w:ascii="Arial" w:hAnsi="Arial" w:cs="Arial"/>
          <w:noProof/>
          <w:lang w:val="en-US"/>
        </w:rPr>
        <w:drawing>
          <wp:inline distT="0" distB="0" distL="0" distR="0" wp14:anchorId="3EF203BB" wp14:editId="6585E3AA">
            <wp:extent cx="2952750" cy="2457450"/>
            <wp:effectExtent l="0" t="0" r="0" b="0"/>
            <wp:docPr id="62" name="Imagen 62" descr="Fig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Fig58"/>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952750" cy="2457450"/>
                    </a:xfrm>
                    <a:prstGeom prst="rect">
                      <a:avLst/>
                    </a:prstGeom>
                    <a:noFill/>
                    <a:ln>
                      <a:noFill/>
                    </a:ln>
                  </pic:spPr>
                </pic:pic>
              </a:graphicData>
            </a:graphic>
          </wp:inline>
        </w:drawing>
      </w:r>
      <w:r w:rsidRPr="00AA1F5C">
        <w:rPr>
          <w:rFonts w:ascii="Arial" w:hAnsi="Arial" w:cs="Arial"/>
          <w:noProof/>
          <w:lang w:val="en-US"/>
        </w:rPr>
        <w:drawing>
          <wp:inline distT="0" distB="0" distL="0" distR="0" wp14:anchorId="5C7BDC94" wp14:editId="16CA0238">
            <wp:extent cx="2981325" cy="2486025"/>
            <wp:effectExtent l="0" t="0" r="9525" b="9525"/>
            <wp:docPr id="61" name="Imagen 61" descr="Fi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Fig59"/>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2981325" cy="2486025"/>
                    </a:xfrm>
                    <a:prstGeom prst="rect">
                      <a:avLst/>
                    </a:prstGeom>
                    <a:noFill/>
                    <a:ln>
                      <a:noFill/>
                    </a:ln>
                  </pic:spPr>
                </pic:pic>
              </a:graphicData>
            </a:graphic>
          </wp:inline>
        </w:drawing>
      </w:r>
    </w:p>
    <w:p w:rsidR="00846109" w:rsidRPr="00DE51DA" w:rsidRDefault="00846109" w:rsidP="00846109">
      <w:pPr>
        <w:jc w:val="both"/>
        <w:rPr>
          <w:rFonts w:ascii="Arial" w:hAnsi="Arial" w:cs="Arial"/>
          <w:sz w:val="20"/>
          <w:szCs w:val="20"/>
          <w:lang w:val="es-MX"/>
        </w:rPr>
      </w:pPr>
      <w:r>
        <w:rPr>
          <w:rFonts w:ascii="Arial" w:hAnsi="Arial" w:cs="Arial"/>
          <w:sz w:val="20"/>
          <w:szCs w:val="20"/>
          <w:lang w:val="es-MX"/>
        </w:rPr>
        <w:t xml:space="preserve">                                        </w:t>
      </w:r>
      <w:r w:rsidRPr="00DE51DA">
        <w:rPr>
          <w:rFonts w:ascii="Arial" w:hAnsi="Arial" w:cs="Arial"/>
          <w:sz w:val="20"/>
          <w:szCs w:val="20"/>
          <w:lang w:val="es-MX"/>
        </w:rPr>
        <w:t>(a)</w:t>
      </w:r>
      <w:r>
        <w:rPr>
          <w:rFonts w:ascii="Arial" w:hAnsi="Arial" w:cs="Arial"/>
          <w:sz w:val="20"/>
          <w:szCs w:val="20"/>
          <w:lang w:val="es-MX"/>
        </w:rPr>
        <w:t xml:space="preserve">                                                                             </w:t>
      </w:r>
      <w:r w:rsidRPr="00DE51DA">
        <w:rPr>
          <w:rFonts w:ascii="Arial" w:hAnsi="Arial" w:cs="Arial"/>
          <w:sz w:val="20"/>
          <w:szCs w:val="20"/>
          <w:lang w:val="es-MX"/>
        </w:rPr>
        <w:t>(b)</w:t>
      </w:r>
    </w:p>
    <w:p w:rsidR="00846109" w:rsidRPr="006A61B2" w:rsidRDefault="00846109" w:rsidP="00846109">
      <w:pPr>
        <w:pStyle w:val="Textoindependiente"/>
        <w:jc w:val="center"/>
        <w:rPr>
          <w:rFonts w:ascii="Arial" w:hAnsi="Arial" w:cs="Arial"/>
          <w:b w:val="0"/>
          <w:i/>
          <w:sz w:val="20"/>
          <w:szCs w:val="20"/>
          <w:lang w:val="es-MX"/>
        </w:rPr>
      </w:pPr>
      <w:r>
        <w:rPr>
          <w:rFonts w:ascii="Arial" w:hAnsi="Arial" w:cs="Arial"/>
          <w:b w:val="0"/>
          <w:i/>
          <w:sz w:val="20"/>
          <w:szCs w:val="20"/>
          <w:lang w:val="es-MX"/>
        </w:rPr>
        <w:t>Figura 2</w:t>
      </w:r>
      <w:r w:rsidRPr="00E52CB5">
        <w:rPr>
          <w:rFonts w:ascii="Arial" w:hAnsi="Arial" w:cs="Arial"/>
          <w:b w:val="0"/>
          <w:i/>
          <w:sz w:val="20"/>
          <w:szCs w:val="20"/>
          <w:lang w:val="es-MX"/>
        </w:rPr>
        <w:t xml:space="preserve">.  </w:t>
      </w:r>
      <w:r>
        <w:rPr>
          <w:rFonts w:ascii="Arial" w:hAnsi="Arial" w:cs="Arial"/>
          <w:b w:val="0"/>
          <w:i/>
          <w:sz w:val="20"/>
          <w:szCs w:val="20"/>
          <w:lang w:val="es-MX"/>
        </w:rPr>
        <w:t>a) Serie de tiempo sintética</w:t>
      </w:r>
      <w:r w:rsidRPr="00E52CB5">
        <w:rPr>
          <w:rFonts w:ascii="Arial" w:hAnsi="Arial" w:cs="Arial"/>
          <w:b w:val="0"/>
          <w:i/>
          <w:sz w:val="20"/>
          <w:szCs w:val="20"/>
          <w:lang w:val="es-MX"/>
        </w:rPr>
        <w:t xml:space="preserve"> </w:t>
      </w:r>
      <w:r w:rsidRPr="00E52CB5">
        <w:rPr>
          <w:rFonts w:ascii="Arial" w:hAnsi="Arial" w:cs="Arial"/>
          <w:b w:val="0"/>
          <w:i/>
          <w:position w:val="-14"/>
          <w:sz w:val="20"/>
          <w:szCs w:val="20"/>
          <w:lang w:val="es-MX"/>
        </w:rPr>
        <w:object w:dxaOrig="400" w:dyaOrig="380">
          <v:shape id="_x0000_i1160" type="#_x0000_t75" style="width:21.6pt;height:21.6pt" o:ole="">
            <v:imagedata r:id="rId409" o:title=""/>
          </v:shape>
          <o:OLEObject Type="Embed" ProgID="Equation.DSMT4" ShapeID="_x0000_i1160" DrawAspect="Content" ObjectID="_1660649257" r:id="rId410"/>
        </w:object>
      </w:r>
      <w:r>
        <w:rPr>
          <w:rFonts w:ascii="Arial" w:hAnsi="Arial" w:cs="Arial"/>
          <w:b w:val="0"/>
          <w:i/>
          <w:sz w:val="20"/>
          <w:szCs w:val="20"/>
          <w:lang w:val="es-MX"/>
        </w:rPr>
        <w:t xml:space="preserve"> para </w:t>
      </w:r>
      <w:r w:rsidRPr="00E52CB5">
        <w:rPr>
          <w:rFonts w:ascii="Arial" w:hAnsi="Arial" w:cs="Arial"/>
          <w:b w:val="0"/>
          <w:i/>
          <w:sz w:val="20"/>
          <w:szCs w:val="20"/>
          <w:lang w:val="es-MX"/>
        </w:rPr>
        <w:t>la concentración</w:t>
      </w:r>
      <w:r>
        <w:rPr>
          <w:rFonts w:ascii="Arial" w:hAnsi="Arial" w:cs="Arial"/>
          <w:b w:val="0"/>
          <w:i/>
          <w:sz w:val="20"/>
          <w:szCs w:val="20"/>
          <w:lang w:val="es-MX"/>
        </w:rPr>
        <w:t>.</w:t>
      </w:r>
      <w:r w:rsidRPr="00E52CB5">
        <w:rPr>
          <w:rFonts w:ascii="Arial" w:hAnsi="Arial" w:cs="Arial"/>
          <w:b w:val="0"/>
          <w:i/>
          <w:sz w:val="20"/>
          <w:szCs w:val="20"/>
          <w:lang w:val="es-MX"/>
        </w:rPr>
        <w:t xml:space="preserve"> </w:t>
      </w:r>
      <w:r>
        <w:rPr>
          <w:rFonts w:ascii="Arial" w:hAnsi="Arial" w:cs="Arial"/>
          <w:b w:val="0"/>
          <w:i/>
          <w:sz w:val="20"/>
          <w:szCs w:val="20"/>
          <w:lang w:val="es-MX"/>
        </w:rPr>
        <w:t xml:space="preserve">b) </w:t>
      </w:r>
      <w:r w:rsidRPr="00E52CB5">
        <w:rPr>
          <w:rFonts w:ascii="Arial" w:hAnsi="Arial" w:cs="Arial"/>
          <w:b w:val="0"/>
          <w:i/>
          <w:sz w:val="20"/>
          <w:szCs w:val="20"/>
          <w:lang w:val="es-MX"/>
        </w:rPr>
        <w:t xml:space="preserve">Solución exacta </w:t>
      </w:r>
      <w:r w:rsidRPr="00952934">
        <w:rPr>
          <w:rFonts w:ascii="Arial" w:hAnsi="Arial" w:cs="Arial"/>
          <w:b w:val="0"/>
          <w:i/>
          <w:position w:val="-10"/>
          <w:sz w:val="20"/>
          <w:szCs w:val="20"/>
        </w:rPr>
        <w:object w:dxaOrig="420" w:dyaOrig="300">
          <v:shape id="_x0000_i1161" type="#_x0000_t75" style="width:21.6pt;height:14.4pt" o:ole="">
            <v:imagedata r:id="rId411" o:title=""/>
          </v:shape>
          <o:OLEObject Type="Embed" ProgID="Equation.DSMT4" ShapeID="_x0000_i1161" DrawAspect="Content" ObjectID="_1660649258" r:id="rId412"/>
        </w:object>
      </w:r>
      <w:r>
        <w:rPr>
          <w:rFonts w:ascii="Arial" w:hAnsi="Arial" w:cs="Arial"/>
          <w:b w:val="0"/>
          <w:i/>
          <w:sz w:val="20"/>
          <w:szCs w:val="20"/>
        </w:rPr>
        <w:t xml:space="preserve"> (</w:t>
      </w:r>
      <w:r w:rsidRPr="00E52CB5">
        <w:rPr>
          <w:rFonts w:ascii="Arial" w:hAnsi="Arial" w:cs="Arial"/>
          <w:b w:val="0"/>
          <w:i/>
          <w:sz w:val="20"/>
          <w:szCs w:val="20"/>
        </w:rPr>
        <w:t xml:space="preserve">azul) y </w:t>
      </w:r>
      <w:r w:rsidRPr="00E52CB5">
        <w:rPr>
          <w:rFonts w:ascii="Arial" w:hAnsi="Arial" w:cs="Arial"/>
          <w:b w:val="0"/>
          <w:i/>
          <w:sz w:val="20"/>
          <w:szCs w:val="20"/>
          <w:lang w:val="es-MX"/>
        </w:rPr>
        <w:t xml:space="preserve">solución regularizada </w:t>
      </w:r>
      <w:r w:rsidRPr="00E52CB5">
        <w:rPr>
          <w:rFonts w:ascii="Arial" w:hAnsi="Arial" w:cs="Arial"/>
          <w:b w:val="0"/>
          <w:i/>
          <w:position w:val="-10"/>
          <w:sz w:val="20"/>
          <w:szCs w:val="20"/>
        </w:rPr>
        <w:object w:dxaOrig="499" w:dyaOrig="300">
          <v:shape id="_x0000_i1162" type="#_x0000_t75" style="width:21.6pt;height:14.4pt" o:ole="">
            <v:imagedata r:id="rId413" o:title=""/>
          </v:shape>
          <o:OLEObject Type="Embed" ProgID="Equation.DSMT4" ShapeID="_x0000_i1162" DrawAspect="Content" ObjectID="_1660649259" r:id="rId414"/>
        </w:object>
      </w:r>
      <w:r w:rsidRPr="00E52CB5">
        <w:rPr>
          <w:rFonts w:ascii="Arial" w:hAnsi="Arial" w:cs="Arial"/>
          <w:b w:val="0"/>
          <w:i/>
          <w:sz w:val="20"/>
          <w:szCs w:val="20"/>
        </w:rPr>
        <w:t xml:space="preserve"> </w:t>
      </w:r>
      <w:r>
        <w:rPr>
          <w:rFonts w:ascii="Arial" w:hAnsi="Arial" w:cs="Arial"/>
          <w:b w:val="0"/>
          <w:i/>
          <w:sz w:val="20"/>
          <w:szCs w:val="20"/>
          <w:lang w:val="es-MX"/>
        </w:rPr>
        <w:t>(</w:t>
      </w:r>
      <w:r w:rsidRPr="00E52CB5">
        <w:rPr>
          <w:rFonts w:ascii="Arial" w:hAnsi="Arial" w:cs="Arial"/>
          <w:b w:val="0"/>
          <w:i/>
          <w:sz w:val="20"/>
          <w:szCs w:val="20"/>
          <w:lang w:val="es-MX"/>
        </w:rPr>
        <w:t>verde)</w:t>
      </w:r>
      <w:r>
        <w:rPr>
          <w:rFonts w:ascii="Arial" w:hAnsi="Arial" w:cs="Arial"/>
          <w:b w:val="0"/>
          <w:i/>
          <w:sz w:val="20"/>
          <w:szCs w:val="20"/>
          <w:lang w:val="es-MX"/>
        </w:rPr>
        <w:t xml:space="preserve"> </w:t>
      </w:r>
      <w:r w:rsidRPr="00E52CB5">
        <w:rPr>
          <w:rFonts w:ascii="Arial" w:hAnsi="Arial" w:cs="Arial"/>
          <w:b w:val="0"/>
          <w:i/>
          <w:sz w:val="20"/>
          <w:szCs w:val="20"/>
          <w:lang w:val="es-MX"/>
        </w:rPr>
        <w:t xml:space="preserve">obtenida para </w:t>
      </w:r>
      <w:r w:rsidRPr="00E52CB5">
        <w:rPr>
          <w:rFonts w:ascii="Arial" w:hAnsi="Arial" w:cs="Arial"/>
          <w:b w:val="0"/>
          <w:i/>
          <w:position w:val="-12"/>
          <w:sz w:val="20"/>
          <w:szCs w:val="20"/>
          <w:lang w:val="es-MX"/>
        </w:rPr>
        <w:object w:dxaOrig="1340" w:dyaOrig="340">
          <v:shape id="_x0000_i1163" type="#_x0000_t75" style="width:64.8pt;height:14.4pt" o:ole="">
            <v:imagedata r:id="rId415" o:title=""/>
          </v:shape>
          <o:OLEObject Type="Embed" ProgID="Equation.DSMT4" ShapeID="_x0000_i1163" DrawAspect="Content" ObjectID="_1660649260" r:id="rId416"/>
        </w:object>
      </w:r>
      <w:r>
        <w:rPr>
          <w:rFonts w:ascii="Arial" w:hAnsi="Arial" w:cs="Arial"/>
          <w:b w:val="0"/>
          <w:i/>
          <w:sz w:val="20"/>
          <w:szCs w:val="20"/>
          <w:lang w:val="es-MX"/>
        </w:rPr>
        <w:t>.</w:t>
      </w:r>
    </w:p>
    <w:p w:rsidR="00846109" w:rsidRPr="004E4FDA" w:rsidRDefault="00846109" w:rsidP="00874662">
      <w:r>
        <w:rPr>
          <w:lang w:val="es-MX"/>
        </w:rPr>
        <w:t>La figura 2b muestra la tasa de emisión de prueba</w:t>
      </w:r>
      <w:r w:rsidRPr="00A265C8">
        <w:rPr>
          <w:lang w:val="es-MX"/>
        </w:rPr>
        <w:t xml:space="preserve"> </w:t>
      </w:r>
      <w:r w:rsidRPr="00A265C8">
        <w:rPr>
          <w:rFonts w:eastAsia="Times New Roman"/>
          <w:position w:val="-10"/>
          <w:lang w:val="es-MX" w:eastAsia="es-ES"/>
        </w:rPr>
        <w:object w:dxaOrig="499" w:dyaOrig="320">
          <v:shape id="_x0000_i1164" type="#_x0000_t75" style="width:21.6pt;height:14.4pt" o:ole="">
            <v:imagedata r:id="rId417" o:title=""/>
          </v:shape>
          <o:OLEObject Type="Embed" ProgID="Equation.DSMT4" ShapeID="_x0000_i1164" DrawAspect="Content" ObjectID="_1660649261" r:id="rId418"/>
        </w:object>
      </w:r>
      <w:r>
        <w:rPr>
          <w:lang w:val="es-MX"/>
        </w:rPr>
        <w:t>, definida por la ecuación (21</w:t>
      </w:r>
      <w:r w:rsidRPr="00A265C8">
        <w:rPr>
          <w:lang w:val="es-MX"/>
        </w:rPr>
        <w:t xml:space="preserve">), y la solución regularizada </w:t>
      </w:r>
      <w:r w:rsidRPr="00A265C8">
        <w:rPr>
          <w:rFonts w:eastAsia="Times New Roman"/>
          <w:position w:val="-12"/>
          <w:lang w:val="es-MX" w:eastAsia="es-ES"/>
        </w:rPr>
        <w:object w:dxaOrig="580" w:dyaOrig="360">
          <v:shape id="_x0000_i1165" type="#_x0000_t75" style="width:28.8pt;height:21.6pt" o:ole="">
            <v:imagedata r:id="rId419" o:title=""/>
          </v:shape>
          <o:OLEObject Type="Embed" ProgID="Equation.DSMT4" ShapeID="_x0000_i1165" DrawAspect="Content" ObjectID="_1660649262" r:id="rId420"/>
        </w:object>
      </w:r>
      <w:r w:rsidRPr="00A265C8">
        <w:rPr>
          <w:lang w:val="es-MX"/>
        </w:rPr>
        <w:t xml:space="preserve"> que </w:t>
      </w:r>
      <w:r>
        <w:rPr>
          <w:lang w:val="es-MX"/>
        </w:rPr>
        <w:t xml:space="preserve">se obtiene al resolver el problema (18)-(20) para el valor </w:t>
      </w:r>
      <w:r w:rsidRPr="00A265C8">
        <w:rPr>
          <w:lang w:val="es-MX"/>
        </w:rPr>
        <w:t xml:space="preserve">del parámetro de regularización </w:t>
      </w:r>
      <w:r w:rsidRPr="00A265C8">
        <w:rPr>
          <w:rFonts w:eastAsia="Times New Roman"/>
          <w:position w:val="-16"/>
          <w:lang w:val="es-MX" w:eastAsia="es-ES"/>
        </w:rPr>
        <w:object w:dxaOrig="1579" w:dyaOrig="440">
          <v:shape id="_x0000_i1166" type="#_x0000_t75" style="width:79.2pt;height:21.6pt" o:ole="">
            <v:imagedata r:id="rId421" o:title=""/>
          </v:shape>
          <o:OLEObject Type="Embed" ProgID="Equation.DSMT4" ShapeID="_x0000_i1166" DrawAspect="Content" ObjectID="_1660649263" r:id="rId422"/>
        </w:object>
      </w:r>
      <w:r w:rsidRPr="00A265C8">
        <w:rPr>
          <w:lang w:val="es-MX"/>
        </w:rPr>
        <w:t xml:space="preserve">. </w:t>
      </w:r>
      <w:r>
        <w:rPr>
          <w:lang w:val="es-MX"/>
        </w:rPr>
        <w:t xml:space="preserve">El resultado en la recuperación de la tasa de emisión es satisfactorio, ya que el </w:t>
      </w:r>
      <w:r>
        <w:t xml:space="preserve">error relativo de aproximación </w:t>
      </w:r>
      <w:r w:rsidRPr="00DE582A">
        <w:rPr>
          <w:rFonts w:ascii="Century Schoolbook" w:hAnsi="Century Schoolbook"/>
          <w:position w:val="-16"/>
        </w:rPr>
        <w:object w:dxaOrig="1960" w:dyaOrig="420">
          <v:shape id="_x0000_i1167" type="#_x0000_t75" style="width:100.8pt;height:21.6pt" o:ole="">
            <v:imagedata r:id="rId423" o:title=""/>
          </v:shape>
          <o:OLEObject Type="Embed" ProgID="Equation.DSMT4" ShapeID="_x0000_i1167" DrawAspect="Content" ObjectID="_1660649264" r:id="rId424"/>
        </w:object>
      </w:r>
      <w:r>
        <w:t xml:space="preserve"> es del 5%,</w:t>
      </w:r>
      <w:r w:rsidRPr="00A265C8">
        <w:t xml:space="preserve"> donde el error relativo en los datos </w:t>
      </w:r>
      <w:r>
        <w:t xml:space="preserve">sintéticos </w:t>
      </w:r>
      <w:r w:rsidRPr="00A265C8">
        <w:t>de concentración es de 6%, aproximadamente.</w:t>
      </w:r>
      <w:r>
        <w:t xml:space="preserve"> Es decir, se obtiene una solución regularizada en el mismo orden de aproximación que tienen los datos utilizados. Ejemplos numéricos bidimensionales muestran un desempeño similar del método inverso cuando se utilizan datos de la concentración del contaminante</w:t>
      </w:r>
      <w:r w:rsidRPr="00544612">
        <w:t xml:space="preserve"> </w:t>
      </w:r>
      <w:r>
        <w:t xml:space="preserve">en forma de una serie de tiempo </w:t>
      </w:r>
      <w:r>
        <w:rPr>
          <w:vertAlign w:val="superscript"/>
        </w:rPr>
        <w:t>[7]</w:t>
      </w:r>
      <w:r>
        <w:t>.</w:t>
      </w:r>
    </w:p>
    <w:p w:rsidR="00846109" w:rsidRPr="008A3D3B" w:rsidRDefault="00846109" w:rsidP="00846109">
      <w:pPr>
        <w:ind w:firstLine="567"/>
        <w:jc w:val="both"/>
        <w:rPr>
          <w:rFonts w:ascii="Arial" w:hAnsi="Arial" w:cs="Arial"/>
        </w:rPr>
      </w:pPr>
      <w:r>
        <w:rPr>
          <w:rFonts w:ascii="Arial" w:hAnsi="Arial" w:cs="Arial"/>
        </w:rPr>
        <w:t xml:space="preserve">El segundo ejemplo numérico utiliza </w:t>
      </w:r>
      <w:r w:rsidRPr="004E4FDA">
        <w:rPr>
          <w:rFonts w:ascii="Arial" w:hAnsi="Arial" w:cs="Arial"/>
          <w:lang w:val="es-MX"/>
        </w:rPr>
        <w:t>datos sintéticos</w:t>
      </w:r>
      <w:r>
        <w:rPr>
          <w:rFonts w:ascii="Arial" w:hAnsi="Arial" w:cs="Arial"/>
          <w:lang w:val="es-MX"/>
        </w:rPr>
        <w:t xml:space="preserve"> espacialmente distribuidos</w:t>
      </w:r>
      <w:r w:rsidRPr="004E4FDA">
        <w:rPr>
          <w:rFonts w:ascii="Arial" w:hAnsi="Arial" w:cs="Arial"/>
          <w:lang w:val="es-MX"/>
        </w:rPr>
        <w:t>,</w:t>
      </w:r>
    </w:p>
    <w:p w:rsidR="00846109" w:rsidRPr="004E4FDA" w:rsidRDefault="00846109" w:rsidP="00846109">
      <w:pPr>
        <w:jc w:val="both"/>
        <w:rPr>
          <w:rFonts w:ascii="Arial" w:hAnsi="Arial" w:cs="Arial"/>
          <w:lang w:val="es-MX"/>
        </w:rPr>
      </w:pPr>
    </w:p>
    <w:p w:rsidR="00846109" w:rsidRPr="004E4FDA" w:rsidRDefault="00846109" w:rsidP="00846109">
      <w:pPr>
        <w:ind w:right="48"/>
        <w:jc w:val="right"/>
        <w:rPr>
          <w:rFonts w:ascii="Arial" w:hAnsi="Arial" w:cs="Arial"/>
          <w:lang w:val="es-MX"/>
        </w:rPr>
      </w:pPr>
      <w:r w:rsidRPr="004E4FDA">
        <w:rPr>
          <w:rFonts w:ascii="Arial" w:hAnsi="Arial" w:cs="Arial"/>
          <w:position w:val="-12"/>
          <w:lang w:val="es-MX"/>
        </w:rPr>
        <w:object w:dxaOrig="4000" w:dyaOrig="360">
          <v:shape id="_x0000_i1168" type="#_x0000_t75" style="width:201.6pt;height:21.6pt" o:ole="">
            <v:imagedata r:id="rId425" o:title=""/>
          </v:shape>
          <o:OLEObject Type="Embed" ProgID="Equation.DSMT4" ShapeID="_x0000_i1168" DrawAspect="Content" ObjectID="_1660649265" r:id="rId426"/>
        </w:object>
      </w:r>
      <w:r w:rsidRPr="004E4FDA">
        <w:rPr>
          <w:rFonts w:ascii="Arial" w:hAnsi="Arial" w:cs="Arial"/>
          <w:lang w:val="es-MX"/>
        </w:rPr>
        <w:t xml:space="preserve"> </w:t>
      </w:r>
      <w:r>
        <w:rPr>
          <w:rFonts w:ascii="Arial" w:hAnsi="Arial" w:cs="Arial"/>
          <w:lang w:val="es-MX"/>
        </w:rPr>
        <w:t xml:space="preserve">                                (23</w:t>
      </w:r>
      <w:r w:rsidRPr="004E4FDA">
        <w:rPr>
          <w:rFonts w:ascii="Arial" w:hAnsi="Arial" w:cs="Arial"/>
          <w:lang w:val="es-MX"/>
        </w:rPr>
        <w:t>)</w:t>
      </w:r>
    </w:p>
    <w:p w:rsidR="00846109" w:rsidRPr="004E4FDA" w:rsidRDefault="00846109" w:rsidP="00846109">
      <w:pPr>
        <w:ind w:right="-35"/>
        <w:jc w:val="both"/>
        <w:rPr>
          <w:rFonts w:ascii="Arial" w:hAnsi="Arial" w:cs="Arial"/>
          <w:lang w:val="es-MX"/>
        </w:rPr>
      </w:pPr>
    </w:p>
    <w:p w:rsidR="00846109" w:rsidRPr="004E4FDA" w:rsidRDefault="00846109" w:rsidP="00846109">
      <w:pPr>
        <w:jc w:val="both"/>
        <w:rPr>
          <w:rFonts w:ascii="Arial" w:hAnsi="Arial" w:cs="Arial"/>
          <w:lang w:val="es-MX"/>
        </w:rPr>
      </w:pPr>
      <w:r w:rsidRPr="004E4FDA">
        <w:rPr>
          <w:rFonts w:ascii="Arial" w:hAnsi="Arial" w:cs="Arial"/>
          <w:lang w:val="es-MX"/>
        </w:rPr>
        <w:t xml:space="preserve">Además, para efectos de comparación con el ejemplo </w:t>
      </w:r>
      <w:r>
        <w:rPr>
          <w:rFonts w:ascii="Arial" w:hAnsi="Arial" w:cs="Arial"/>
          <w:lang w:val="es-MX"/>
        </w:rPr>
        <w:t xml:space="preserve">anterior, se considera </w:t>
      </w:r>
      <w:r w:rsidRPr="004E4FDA">
        <w:rPr>
          <w:rFonts w:ascii="Arial" w:hAnsi="Arial" w:cs="Arial"/>
          <w:lang w:val="es-MX"/>
        </w:rPr>
        <w:t xml:space="preserve">la misma función de prueba </w:t>
      </w:r>
      <w:r w:rsidRPr="004E4FDA">
        <w:rPr>
          <w:rFonts w:ascii="Arial" w:hAnsi="Arial" w:cs="Arial"/>
          <w:position w:val="-10"/>
          <w:lang w:val="es-MX"/>
        </w:rPr>
        <w:object w:dxaOrig="499" w:dyaOrig="320">
          <v:shape id="_x0000_i1169" type="#_x0000_t75" style="width:21.6pt;height:14.4pt" o:ole="">
            <v:imagedata r:id="rId427" o:title=""/>
          </v:shape>
          <o:OLEObject Type="Embed" ProgID="Equation.DSMT4" ShapeID="_x0000_i1169" DrawAspect="Content" ObjectID="_1660649266" r:id="rId428"/>
        </w:object>
      </w:r>
      <w:r w:rsidRPr="004E4FDA">
        <w:rPr>
          <w:rFonts w:ascii="Arial" w:hAnsi="Arial" w:cs="Arial"/>
          <w:lang w:val="es-MX"/>
        </w:rPr>
        <w:t xml:space="preserve"> definida por </w:t>
      </w:r>
      <w:r>
        <w:rPr>
          <w:rFonts w:ascii="Arial" w:hAnsi="Arial" w:cs="Arial"/>
          <w:lang w:val="es-MX"/>
        </w:rPr>
        <w:t>(21</w:t>
      </w:r>
      <w:r w:rsidRPr="004E4FDA">
        <w:rPr>
          <w:rFonts w:ascii="Arial" w:hAnsi="Arial" w:cs="Arial"/>
          <w:lang w:val="es-MX"/>
        </w:rPr>
        <w:t>) y los mismos valores de los parámetros adimensionales</w:t>
      </w:r>
      <w:r>
        <w:rPr>
          <w:rFonts w:ascii="Arial" w:hAnsi="Arial" w:cs="Arial"/>
          <w:lang w:val="es-MX"/>
        </w:rPr>
        <w:t>.</w:t>
      </w:r>
      <w:r w:rsidRPr="004E4FDA">
        <w:rPr>
          <w:rFonts w:ascii="Arial" w:hAnsi="Arial" w:cs="Arial"/>
          <w:lang w:val="es-MX"/>
        </w:rPr>
        <w:t xml:space="preserve"> También, para </w:t>
      </w:r>
      <w:r w:rsidRPr="004E4FDA">
        <w:rPr>
          <w:rFonts w:ascii="Arial" w:hAnsi="Arial" w:cs="Arial"/>
          <w:lang w:val="es-MX"/>
        </w:rPr>
        <w:lastRenderedPageBreak/>
        <w:t xml:space="preserve">efectos de comparación, se han elegido tantos datos </w:t>
      </w:r>
      <w:r w:rsidRPr="004E4FDA">
        <w:rPr>
          <w:rFonts w:ascii="Arial" w:hAnsi="Arial" w:cs="Arial"/>
          <w:position w:val="-12"/>
          <w:lang w:val="es-MX"/>
        </w:rPr>
        <w:object w:dxaOrig="220" w:dyaOrig="360">
          <v:shape id="_x0000_i1170" type="#_x0000_t75" style="width:14.4pt;height:21.6pt" o:ole="">
            <v:imagedata r:id="rId429" o:title=""/>
          </v:shape>
          <o:OLEObject Type="Embed" ProgID="Equation.3" ShapeID="_x0000_i1170" DrawAspect="Content" ObjectID="_1660649267" r:id="rId430"/>
        </w:object>
      </w:r>
      <w:r w:rsidRPr="004E4FDA">
        <w:rPr>
          <w:rFonts w:ascii="Arial" w:hAnsi="Arial" w:cs="Arial"/>
          <w:lang w:val="es-MX"/>
        </w:rPr>
        <w:t xml:space="preserve"> como los considerados en la serie de tiempo del </w:t>
      </w:r>
      <w:r>
        <w:rPr>
          <w:rFonts w:ascii="Arial" w:hAnsi="Arial" w:cs="Arial"/>
          <w:lang w:val="es-MX"/>
        </w:rPr>
        <w:t>primer ejemplo</w:t>
      </w:r>
      <w:r w:rsidRPr="004E4FDA">
        <w:rPr>
          <w:rFonts w:ascii="Arial" w:hAnsi="Arial" w:cs="Arial"/>
          <w:lang w:val="es-MX"/>
        </w:rPr>
        <w:t xml:space="preserve">, esto con el fin de tener el mismo número de restricciones en el problema variacional. Por lo tanto, se considera que </w:t>
      </w:r>
      <w:r w:rsidRPr="004E4FDA">
        <w:rPr>
          <w:rFonts w:ascii="Arial" w:hAnsi="Arial" w:cs="Arial"/>
          <w:position w:val="-6"/>
          <w:lang w:val="es-MX"/>
        </w:rPr>
        <w:object w:dxaOrig="920" w:dyaOrig="279">
          <v:shape id="_x0000_i1171" type="#_x0000_t75" style="width:43.2pt;height:14.4pt" o:ole="">
            <v:imagedata r:id="rId431" o:title=""/>
          </v:shape>
          <o:OLEObject Type="Embed" ProgID="Equation.3" ShapeID="_x0000_i1171" DrawAspect="Content" ObjectID="_1660649268" r:id="rId432"/>
        </w:object>
      </w:r>
      <w:r w:rsidRPr="004E4FDA">
        <w:rPr>
          <w:rFonts w:ascii="Arial" w:hAnsi="Arial" w:cs="Arial"/>
          <w:lang w:val="es-MX"/>
        </w:rPr>
        <w:t xml:space="preserve">, </w:t>
      </w:r>
      <w:r w:rsidRPr="004E4FDA">
        <w:rPr>
          <w:rFonts w:ascii="Arial" w:hAnsi="Arial" w:cs="Arial"/>
          <w:position w:val="-10"/>
          <w:lang w:val="es-MX"/>
        </w:rPr>
        <w:object w:dxaOrig="1719" w:dyaOrig="340">
          <v:shape id="_x0000_i1172" type="#_x0000_t75" style="width:86.4pt;height:14.4pt" o:ole="">
            <v:imagedata r:id="rId433" o:title=""/>
          </v:shape>
          <o:OLEObject Type="Embed" ProgID="Equation.3" ShapeID="_x0000_i1172" DrawAspect="Content" ObjectID="_1660649269" r:id="rId434"/>
        </w:object>
      </w:r>
      <w:r w:rsidRPr="004E4FDA">
        <w:rPr>
          <w:rFonts w:ascii="Arial" w:hAnsi="Arial" w:cs="Arial"/>
          <w:lang w:val="es-MX"/>
        </w:rPr>
        <w:t xml:space="preserve"> y </w:t>
      </w:r>
      <w:r w:rsidRPr="004E4FDA">
        <w:rPr>
          <w:rFonts w:ascii="Arial" w:hAnsi="Arial" w:cs="Arial"/>
          <w:position w:val="-12"/>
          <w:lang w:val="es-MX"/>
        </w:rPr>
        <w:object w:dxaOrig="2079" w:dyaOrig="360">
          <v:shape id="_x0000_i1173" type="#_x0000_t75" style="width:100.8pt;height:21.6pt" o:ole="">
            <v:imagedata r:id="rId435" o:title=""/>
          </v:shape>
          <o:OLEObject Type="Embed" ProgID="Equation.DSMT4" ShapeID="_x0000_i1173" DrawAspect="Content" ObjectID="_1660649270" r:id="rId436"/>
        </w:object>
      </w:r>
      <w:r w:rsidRPr="004E4FDA">
        <w:rPr>
          <w:rFonts w:ascii="Arial" w:hAnsi="Arial" w:cs="Arial"/>
          <w:lang w:val="es-MX"/>
        </w:rPr>
        <w:t>.</w:t>
      </w:r>
    </w:p>
    <w:p w:rsidR="00846109" w:rsidRPr="009F2CC8" w:rsidRDefault="00846109" w:rsidP="00846109">
      <w:pPr>
        <w:ind w:firstLine="567"/>
        <w:jc w:val="both"/>
        <w:rPr>
          <w:rFonts w:ascii="Arial" w:hAnsi="Arial" w:cs="Arial"/>
          <w:lang w:val="es-MX"/>
        </w:rPr>
      </w:pPr>
      <w:r>
        <w:rPr>
          <w:rFonts w:ascii="Arial" w:hAnsi="Arial" w:cs="Arial"/>
          <w:lang w:val="es-MX"/>
        </w:rPr>
        <w:t xml:space="preserve">La figura 3a muestra la </w:t>
      </w:r>
      <w:r w:rsidRPr="004E4FDA">
        <w:rPr>
          <w:rFonts w:ascii="Arial" w:hAnsi="Arial" w:cs="Arial"/>
          <w:lang w:val="es-MX"/>
        </w:rPr>
        <w:t>concentración del contaminante</w:t>
      </w:r>
      <w:r>
        <w:rPr>
          <w:rFonts w:ascii="Arial" w:hAnsi="Arial" w:cs="Arial"/>
          <w:lang w:val="es-MX"/>
        </w:rPr>
        <w:t xml:space="preserve"> </w:t>
      </w:r>
      <w:r w:rsidRPr="005A0270">
        <w:rPr>
          <w:rFonts w:ascii="Arial" w:hAnsi="Arial" w:cs="Arial"/>
          <w:position w:val="-10"/>
          <w:lang w:val="es-MX"/>
        </w:rPr>
        <w:object w:dxaOrig="740" w:dyaOrig="320">
          <v:shape id="_x0000_i1174" type="#_x0000_t75" style="width:36pt;height:14.4pt" o:ole="">
            <v:imagedata r:id="rId437" o:title=""/>
          </v:shape>
          <o:OLEObject Type="Embed" ProgID="Equation.DSMT4" ShapeID="_x0000_i1174" DrawAspect="Content" ObjectID="_1660649271" r:id="rId438"/>
        </w:object>
      </w:r>
      <w:r>
        <w:rPr>
          <w:rFonts w:ascii="Arial" w:hAnsi="Arial" w:cs="Arial"/>
          <w:lang w:val="es-MX"/>
        </w:rPr>
        <w:t xml:space="preserve">, </w:t>
      </w:r>
      <w:r w:rsidRPr="00A15886">
        <w:rPr>
          <w:rFonts w:ascii="Arial" w:hAnsi="Arial" w:cs="Arial"/>
          <w:position w:val="-6"/>
          <w:lang w:val="es-MX"/>
        </w:rPr>
        <w:object w:dxaOrig="960" w:dyaOrig="279">
          <v:shape id="_x0000_i1175" type="#_x0000_t75" style="width:50.4pt;height:14.4pt" o:ole="">
            <v:imagedata r:id="rId439" o:title=""/>
          </v:shape>
          <o:OLEObject Type="Embed" ProgID="Equation.DSMT4" ShapeID="_x0000_i1175" DrawAspect="Content" ObjectID="_1660649272" r:id="rId440"/>
        </w:object>
      </w:r>
      <w:r>
        <w:rPr>
          <w:rFonts w:ascii="Arial" w:hAnsi="Arial" w:cs="Arial"/>
          <w:lang w:val="es-MX"/>
        </w:rPr>
        <w:t>,</w:t>
      </w:r>
      <w:r w:rsidRPr="004E4FDA">
        <w:rPr>
          <w:rFonts w:ascii="Arial" w:hAnsi="Arial" w:cs="Arial"/>
          <w:lang w:val="es-MX"/>
        </w:rPr>
        <w:t xml:space="preserve"> que se obtiene a través d</w:t>
      </w:r>
      <w:r>
        <w:rPr>
          <w:rFonts w:ascii="Arial" w:hAnsi="Arial" w:cs="Arial"/>
          <w:lang w:val="es-MX"/>
        </w:rPr>
        <w:t>e la serie de Fourier-Fejér (</w:t>
      </w:r>
      <w:r w:rsidRPr="004E4FDA">
        <w:rPr>
          <w:rFonts w:ascii="Arial" w:hAnsi="Arial" w:cs="Arial"/>
          <w:lang w:val="es-MX"/>
        </w:rPr>
        <w:t>6)</w:t>
      </w:r>
      <w:r>
        <w:rPr>
          <w:rFonts w:ascii="Arial" w:hAnsi="Arial" w:cs="Arial"/>
          <w:lang w:val="es-MX"/>
        </w:rPr>
        <w:t>, mientras que en la figura 3b</w:t>
      </w:r>
      <w:r w:rsidRPr="004E4FDA">
        <w:rPr>
          <w:rFonts w:ascii="Arial" w:hAnsi="Arial" w:cs="Arial"/>
          <w:lang w:val="es-MX"/>
        </w:rPr>
        <w:t xml:space="preserve"> se grafican los datos sintéticos </w:t>
      </w:r>
      <w:r>
        <w:rPr>
          <w:rFonts w:ascii="Arial" w:hAnsi="Arial" w:cs="Arial"/>
          <w:lang w:val="es-MX"/>
        </w:rPr>
        <w:t xml:space="preserve">de concentración </w:t>
      </w:r>
      <w:r w:rsidRPr="004E4FDA">
        <w:rPr>
          <w:rFonts w:ascii="Arial" w:hAnsi="Arial" w:cs="Arial"/>
          <w:lang w:val="es-MX"/>
        </w:rPr>
        <w:t>obtenido</w:t>
      </w:r>
      <w:r>
        <w:rPr>
          <w:rFonts w:ascii="Arial" w:hAnsi="Arial" w:cs="Arial"/>
          <w:lang w:val="es-MX"/>
        </w:rPr>
        <w:t>s por medio de la ecuación (23</w:t>
      </w:r>
      <w:r w:rsidRPr="004E4FDA">
        <w:rPr>
          <w:rFonts w:ascii="Arial" w:hAnsi="Arial" w:cs="Arial"/>
          <w:lang w:val="es-MX"/>
        </w:rPr>
        <w:t xml:space="preserve">). Los valores aleatorios </w:t>
      </w:r>
      <w:r w:rsidRPr="004E4FDA">
        <w:rPr>
          <w:rFonts w:ascii="Arial" w:hAnsi="Arial" w:cs="Arial"/>
          <w:position w:val="-12"/>
          <w:lang w:val="es-MX"/>
        </w:rPr>
        <w:object w:dxaOrig="340" w:dyaOrig="360">
          <v:shape id="_x0000_i1176" type="#_x0000_t75" style="width:14.4pt;height:21.6pt" o:ole="">
            <v:imagedata r:id="rId441" o:title=""/>
          </v:shape>
          <o:OLEObject Type="Embed" ProgID="Equation.DSMT4" ShapeID="_x0000_i1176" DrawAspect="Content" ObjectID="_1660649273" r:id="rId442"/>
        </w:object>
      </w:r>
      <w:r w:rsidRPr="004E4FDA">
        <w:rPr>
          <w:rFonts w:ascii="Arial" w:hAnsi="Arial" w:cs="Arial"/>
          <w:lang w:val="es-MX"/>
        </w:rPr>
        <w:t xml:space="preserve"> se distribuyen uniformemente en el intervalo </w:t>
      </w:r>
      <w:r w:rsidRPr="004E4FDA">
        <w:rPr>
          <w:rFonts w:ascii="Arial" w:hAnsi="Arial" w:cs="Arial"/>
          <w:position w:val="-10"/>
          <w:lang w:val="es-MX"/>
        </w:rPr>
        <w:object w:dxaOrig="1100" w:dyaOrig="320">
          <v:shape id="_x0000_i1177" type="#_x0000_t75" style="width:57.6pt;height:14.4pt" o:ole="">
            <v:imagedata r:id="rId443" o:title=""/>
          </v:shape>
          <o:OLEObject Type="Embed" ProgID="Equation.DSMT4" ShapeID="_x0000_i1177" DrawAspect="Content" ObjectID="_1660649274" r:id="rId444"/>
        </w:object>
      </w:r>
      <w:r w:rsidRPr="004E4FDA">
        <w:rPr>
          <w:rFonts w:ascii="Arial" w:hAnsi="Arial" w:cs="Arial"/>
          <w:lang w:val="es-MX"/>
        </w:rPr>
        <w:t xml:space="preserve">. Como en </w:t>
      </w:r>
      <w:r>
        <w:rPr>
          <w:rFonts w:ascii="Arial" w:hAnsi="Arial" w:cs="Arial"/>
          <w:lang w:val="es-MX"/>
        </w:rPr>
        <w:t>el</w:t>
      </w:r>
      <w:r w:rsidRPr="004E4FDA">
        <w:rPr>
          <w:rFonts w:ascii="Arial" w:hAnsi="Arial" w:cs="Arial"/>
          <w:lang w:val="es-MX"/>
        </w:rPr>
        <w:t xml:space="preserve"> </w:t>
      </w:r>
      <w:r>
        <w:rPr>
          <w:rFonts w:ascii="Arial" w:hAnsi="Arial" w:cs="Arial"/>
          <w:lang w:val="es-MX"/>
        </w:rPr>
        <w:t>primer ejemplo</w:t>
      </w:r>
      <w:r w:rsidRPr="004E4FDA">
        <w:rPr>
          <w:rFonts w:ascii="Arial" w:hAnsi="Arial" w:cs="Arial"/>
          <w:lang w:val="es-MX"/>
        </w:rPr>
        <w:t xml:space="preserve">, la amplitud de los errores fue normalizada por un factor que es el </w:t>
      </w:r>
      <w:r>
        <w:rPr>
          <w:rFonts w:ascii="Arial" w:hAnsi="Arial" w:cs="Arial"/>
          <w:lang w:val="es-MX"/>
        </w:rPr>
        <w:t>10% del valor máximo de la función</w:t>
      </w:r>
      <w:r w:rsidRPr="004E4FDA">
        <w:rPr>
          <w:rFonts w:ascii="Arial" w:hAnsi="Arial" w:cs="Arial"/>
          <w:lang w:val="es-MX"/>
        </w:rPr>
        <w:t xml:space="preserve"> </w:t>
      </w:r>
      <w:r w:rsidRPr="008875AB">
        <w:rPr>
          <w:rFonts w:ascii="Arial" w:hAnsi="Arial" w:cs="Arial"/>
          <w:position w:val="-10"/>
          <w:lang w:val="en-US"/>
        </w:rPr>
        <w:object w:dxaOrig="740" w:dyaOrig="320">
          <v:shape id="_x0000_i1178" type="#_x0000_t75" style="width:36pt;height:14.4pt" o:ole="">
            <v:imagedata r:id="rId445" o:title=""/>
          </v:shape>
          <o:OLEObject Type="Embed" ProgID="Equation.DSMT4" ShapeID="_x0000_i1178" DrawAspect="Content" ObjectID="_1660649275" r:id="rId446"/>
        </w:object>
      </w:r>
      <w:r w:rsidRPr="009F2CC8">
        <w:rPr>
          <w:rFonts w:ascii="Arial" w:hAnsi="Arial" w:cs="Arial"/>
          <w:lang w:val="es-MX"/>
        </w:rPr>
        <w:t>.</w:t>
      </w:r>
    </w:p>
    <w:p w:rsidR="00846109" w:rsidRDefault="00846109" w:rsidP="00846109">
      <w:pPr>
        <w:jc w:val="center"/>
        <w:rPr>
          <w:rFonts w:ascii="Arial" w:hAnsi="Arial" w:cs="Arial"/>
          <w:lang w:val="es-MX"/>
        </w:rPr>
      </w:pPr>
      <w:r w:rsidRPr="004E4FDA">
        <w:rPr>
          <w:rFonts w:ascii="Arial" w:hAnsi="Arial" w:cs="Arial"/>
          <w:noProof/>
          <w:lang w:val="en-US"/>
        </w:rPr>
        <w:drawing>
          <wp:inline distT="0" distB="0" distL="0" distR="0" wp14:anchorId="5EC3D9C3" wp14:editId="1A85E941">
            <wp:extent cx="2971800" cy="2486025"/>
            <wp:effectExtent l="0" t="0" r="0" b="9525"/>
            <wp:docPr id="60" name="Imagen 60" descr="Fi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Fig11"/>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971800" cy="2486025"/>
                    </a:xfrm>
                    <a:prstGeom prst="rect">
                      <a:avLst/>
                    </a:prstGeom>
                    <a:noFill/>
                    <a:ln>
                      <a:noFill/>
                    </a:ln>
                  </pic:spPr>
                </pic:pic>
              </a:graphicData>
            </a:graphic>
          </wp:inline>
        </w:drawing>
      </w:r>
      <w:r w:rsidRPr="004E4FDA">
        <w:rPr>
          <w:rFonts w:ascii="Arial" w:hAnsi="Arial" w:cs="Arial"/>
          <w:noProof/>
          <w:lang w:val="en-US"/>
        </w:rPr>
        <w:drawing>
          <wp:inline distT="0" distB="0" distL="0" distR="0" wp14:anchorId="1E522D2B" wp14:editId="519B9A32">
            <wp:extent cx="2943225" cy="2457450"/>
            <wp:effectExtent l="0" t="0" r="9525" b="0"/>
            <wp:docPr id="59" name="Imagen 59" descr="Fi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Fig12"/>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2943225" cy="2457450"/>
                    </a:xfrm>
                    <a:prstGeom prst="rect">
                      <a:avLst/>
                    </a:prstGeom>
                    <a:noFill/>
                    <a:ln>
                      <a:noFill/>
                    </a:ln>
                  </pic:spPr>
                </pic:pic>
              </a:graphicData>
            </a:graphic>
          </wp:inline>
        </w:drawing>
      </w:r>
    </w:p>
    <w:p w:rsidR="00846109" w:rsidRPr="009F2CC8" w:rsidRDefault="00846109" w:rsidP="00846109">
      <w:pPr>
        <w:jc w:val="both"/>
        <w:rPr>
          <w:rFonts w:ascii="Arial" w:hAnsi="Arial" w:cs="Arial"/>
          <w:sz w:val="20"/>
          <w:szCs w:val="20"/>
          <w:lang w:val="es-MX"/>
        </w:rPr>
      </w:pPr>
      <w:r w:rsidRPr="00E94344">
        <w:rPr>
          <w:rFonts w:ascii="Arial" w:hAnsi="Arial" w:cs="Arial"/>
          <w:sz w:val="20"/>
          <w:szCs w:val="20"/>
          <w:lang w:val="es-MX"/>
        </w:rPr>
        <w:t xml:space="preserve">                                        </w:t>
      </w:r>
      <w:r w:rsidRPr="009F2CC8">
        <w:rPr>
          <w:rFonts w:ascii="Arial" w:hAnsi="Arial" w:cs="Arial"/>
          <w:sz w:val="20"/>
          <w:szCs w:val="20"/>
          <w:lang w:val="es-MX"/>
        </w:rPr>
        <w:t>(a)                                                                             (b)</w:t>
      </w:r>
    </w:p>
    <w:p w:rsidR="00846109" w:rsidRPr="007678F2" w:rsidRDefault="00846109" w:rsidP="00846109">
      <w:pPr>
        <w:jc w:val="center"/>
        <w:rPr>
          <w:rFonts w:ascii="Arial" w:hAnsi="Arial" w:cs="Arial"/>
          <w:i/>
          <w:sz w:val="20"/>
          <w:szCs w:val="20"/>
          <w:lang w:val="es-MX"/>
        </w:rPr>
      </w:pPr>
      <w:r w:rsidRPr="007678F2">
        <w:rPr>
          <w:rFonts w:ascii="Arial" w:hAnsi="Arial" w:cs="Arial"/>
          <w:i/>
          <w:sz w:val="20"/>
          <w:szCs w:val="20"/>
          <w:lang w:val="es-MX"/>
        </w:rPr>
        <w:t xml:space="preserve">Figura 3. a) Concentración </w:t>
      </w:r>
      <w:r w:rsidRPr="007678F2">
        <w:rPr>
          <w:rFonts w:ascii="Arial" w:hAnsi="Arial" w:cs="Arial"/>
          <w:i/>
          <w:position w:val="-10"/>
          <w:sz w:val="20"/>
          <w:szCs w:val="20"/>
          <w:lang w:val="es-MX"/>
        </w:rPr>
        <w:object w:dxaOrig="620" w:dyaOrig="300">
          <v:shape id="_x0000_i1179" type="#_x0000_t75" style="width:28.8pt;height:14.4pt" o:ole="">
            <v:imagedata r:id="rId449" o:title=""/>
          </v:shape>
          <o:OLEObject Type="Embed" ProgID="Equation.DSMT4" ShapeID="_x0000_i1179" DrawAspect="Content" ObjectID="_1660649276" r:id="rId450"/>
        </w:object>
      </w:r>
      <w:r w:rsidRPr="007678F2">
        <w:rPr>
          <w:rFonts w:ascii="Arial" w:hAnsi="Arial" w:cs="Arial"/>
          <w:i/>
          <w:sz w:val="20"/>
          <w:szCs w:val="20"/>
          <w:lang w:val="es-MX"/>
        </w:rPr>
        <w:t xml:space="preserve"> dada por la serie de Fourier-Fejér (6). b) Datos sintéticos para la concentración del contaminante </w:t>
      </w:r>
      <w:r w:rsidRPr="007678F2">
        <w:rPr>
          <w:rFonts w:ascii="Arial" w:hAnsi="Arial" w:cs="Arial"/>
          <w:i/>
          <w:position w:val="-10"/>
          <w:sz w:val="20"/>
          <w:szCs w:val="20"/>
          <w:lang w:val="es-MX"/>
        </w:rPr>
        <w:object w:dxaOrig="1140" w:dyaOrig="300">
          <v:shape id="_x0000_i1180" type="#_x0000_t75" style="width:57.6pt;height:14.4pt" o:ole="">
            <v:imagedata r:id="rId451" o:title=""/>
          </v:shape>
          <o:OLEObject Type="Embed" ProgID="Equation.DSMT4" ShapeID="_x0000_i1180" DrawAspect="Content" ObjectID="_1660649277" r:id="rId452"/>
        </w:object>
      </w:r>
      <w:r w:rsidRPr="007678F2">
        <w:rPr>
          <w:rFonts w:ascii="Arial" w:hAnsi="Arial" w:cs="Arial"/>
          <w:i/>
          <w:sz w:val="20"/>
          <w:szCs w:val="20"/>
          <w:lang w:val="es-MX"/>
        </w:rPr>
        <w:t>.</w:t>
      </w:r>
    </w:p>
    <w:p w:rsidR="00846109" w:rsidRPr="004E4FDA" w:rsidRDefault="00846109" w:rsidP="00846109">
      <w:pPr>
        <w:ind w:firstLine="567"/>
        <w:jc w:val="both"/>
        <w:rPr>
          <w:rFonts w:ascii="Arial" w:hAnsi="Arial" w:cs="Arial"/>
          <w:lang w:val="es-MX"/>
        </w:rPr>
      </w:pPr>
      <w:r>
        <w:rPr>
          <w:rFonts w:ascii="Arial" w:hAnsi="Arial" w:cs="Arial"/>
          <w:lang w:val="es-MX"/>
        </w:rPr>
        <w:t>La figura 4a</w:t>
      </w:r>
      <w:r w:rsidRPr="004E4FDA">
        <w:rPr>
          <w:rFonts w:ascii="Arial" w:hAnsi="Arial" w:cs="Arial"/>
          <w:lang w:val="es-MX"/>
        </w:rPr>
        <w:t xml:space="preserve"> muestra las funciones adjuntas </w:t>
      </w:r>
      <w:r w:rsidRPr="004E4FDA">
        <w:rPr>
          <w:rFonts w:ascii="Arial" w:hAnsi="Arial" w:cs="Arial"/>
          <w:position w:val="-12"/>
          <w:lang w:val="es-MX"/>
        </w:rPr>
        <w:object w:dxaOrig="840" w:dyaOrig="360">
          <v:shape id="_x0000_i1181" type="#_x0000_t75" style="width:43.2pt;height:21.6pt" o:ole="">
            <v:imagedata r:id="rId453" o:title=""/>
          </v:shape>
          <o:OLEObject Type="Embed" ProgID="Equation.DSMT4" ShapeID="_x0000_i1181" DrawAspect="Content" ObjectID="_1660649278" r:id="rId454"/>
        </w:object>
      </w:r>
      <w:r w:rsidRPr="004E4FDA">
        <w:rPr>
          <w:rFonts w:ascii="Arial" w:hAnsi="Arial" w:cs="Arial"/>
          <w:lang w:val="es-MX"/>
        </w:rPr>
        <w:t xml:space="preserve"> que corresponden a los sitios de monitoreo</w:t>
      </w:r>
      <w:r>
        <w:rPr>
          <w:rFonts w:ascii="Arial" w:hAnsi="Arial" w:cs="Arial"/>
          <w:lang w:val="es-MX"/>
        </w:rPr>
        <w:t xml:space="preserve"> o nodos</w:t>
      </w:r>
      <w:r w:rsidRPr="004E4FDA">
        <w:rPr>
          <w:rFonts w:ascii="Arial" w:hAnsi="Arial" w:cs="Arial"/>
          <w:lang w:val="es-MX"/>
        </w:rPr>
        <w:t xml:space="preserve"> </w:t>
      </w:r>
      <w:r w:rsidRPr="004E4FDA">
        <w:rPr>
          <w:rFonts w:ascii="Arial" w:hAnsi="Arial" w:cs="Arial"/>
          <w:position w:val="-12"/>
          <w:lang w:val="es-MX"/>
        </w:rPr>
        <w:object w:dxaOrig="1980" w:dyaOrig="360">
          <v:shape id="_x0000_i1182" type="#_x0000_t75" style="width:100.8pt;height:21.6pt" o:ole="">
            <v:imagedata r:id="rId455" o:title=""/>
          </v:shape>
          <o:OLEObject Type="Embed" ProgID="Equation.DSMT4" ShapeID="_x0000_i1182" DrawAspect="Content" ObjectID="_1660649279" r:id="rId456"/>
        </w:object>
      </w:r>
      <w:r>
        <w:rPr>
          <w:rFonts w:ascii="Arial" w:hAnsi="Arial" w:cs="Arial"/>
          <w:lang w:val="es-MX"/>
        </w:rPr>
        <w:t>. Note</w:t>
      </w:r>
      <w:r w:rsidRPr="004E4FDA">
        <w:rPr>
          <w:rFonts w:ascii="Arial" w:hAnsi="Arial" w:cs="Arial"/>
          <w:lang w:val="es-MX"/>
        </w:rPr>
        <w:t xml:space="preserve"> que la amplitud en cada función adjunta se incrementa conforme </w:t>
      </w:r>
      <w:r w:rsidRPr="004E4FDA">
        <w:rPr>
          <w:rFonts w:ascii="Arial" w:hAnsi="Arial" w:cs="Arial"/>
          <w:position w:val="-12"/>
          <w:lang w:val="es-MX"/>
        </w:rPr>
        <w:object w:dxaOrig="279" w:dyaOrig="360">
          <v:shape id="_x0000_i1183" type="#_x0000_t75" style="width:14.4pt;height:21.6pt" o:ole="">
            <v:imagedata r:id="rId457" o:title=""/>
          </v:shape>
          <o:OLEObject Type="Embed" ProgID="Equation.DSMT4" ShapeID="_x0000_i1183" DrawAspect="Content" ObjectID="_1660649280" r:id="rId458"/>
        </w:object>
      </w:r>
      <w:r w:rsidRPr="004E4FDA">
        <w:rPr>
          <w:rFonts w:ascii="Arial" w:hAnsi="Arial" w:cs="Arial"/>
          <w:lang w:val="es-MX"/>
        </w:rPr>
        <w:t xml:space="preserve"> se aproxima al punto de emisión </w:t>
      </w:r>
      <w:r w:rsidRPr="004E4FDA">
        <w:rPr>
          <w:rFonts w:ascii="Arial" w:hAnsi="Arial" w:cs="Arial"/>
          <w:position w:val="-12"/>
          <w:lang w:val="es-MX"/>
        </w:rPr>
        <w:object w:dxaOrig="900" w:dyaOrig="360">
          <v:shape id="_x0000_i1184" type="#_x0000_t75" style="width:43.2pt;height:21.6pt" o:ole="">
            <v:imagedata r:id="rId459" o:title=""/>
          </v:shape>
          <o:OLEObject Type="Embed" ProgID="Equation.DSMT4" ShapeID="_x0000_i1184" DrawAspect="Content" ObjectID="_1660649281" r:id="rId460"/>
        </w:object>
      </w:r>
      <w:r w:rsidRPr="004E4FDA">
        <w:rPr>
          <w:rFonts w:ascii="Arial" w:hAnsi="Arial" w:cs="Arial"/>
          <w:lang w:val="es-MX"/>
        </w:rPr>
        <w:t xml:space="preserve">. Este efecto se debe al hecho de que la concentración de un contaminante es mayor cerca de la fuente </w:t>
      </w:r>
      <w:r>
        <w:rPr>
          <w:rFonts w:ascii="Arial" w:hAnsi="Arial" w:cs="Arial"/>
          <w:lang w:val="es-MX"/>
        </w:rPr>
        <w:t>de emisión</w:t>
      </w:r>
      <w:r w:rsidRPr="004E4FDA">
        <w:rPr>
          <w:rFonts w:ascii="Arial" w:hAnsi="Arial" w:cs="Arial"/>
          <w:lang w:val="es-MX"/>
        </w:rPr>
        <w:t>.</w:t>
      </w:r>
    </w:p>
    <w:p w:rsidR="00846109" w:rsidRPr="004E4FDA" w:rsidRDefault="00846109" w:rsidP="00846109">
      <w:pPr>
        <w:ind w:firstLine="567"/>
        <w:jc w:val="both"/>
        <w:rPr>
          <w:rFonts w:ascii="Arial" w:hAnsi="Arial" w:cs="Arial"/>
          <w:lang w:val="es-MX"/>
        </w:rPr>
      </w:pPr>
      <w:r w:rsidRPr="004E4FDA">
        <w:rPr>
          <w:rFonts w:ascii="Arial" w:hAnsi="Arial" w:cs="Arial"/>
          <w:lang w:val="es-MX"/>
        </w:rPr>
        <w:t>Una vez calculadas todas las funciones adj</w:t>
      </w:r>
      <w:r>
        <w:rPr>
          <w:rFonts w:ascii="Arial" w:hAnsi="Arial" w:cs="Arial"/>
          <w:lang w:val="es-MX"/>
        </w:rPr>
        <w:t>untas a través de la serie de Fourier-Fejér (15</w:t>
      </w:r>
      <w:r w:rsidRPr="004E4FDA">
        <w:rPr>
          <w:rFonts w:ascii="Arial" w:hAnsi="Arial" w:cs="Arial"/>
          <w:lang w:val="es-MX"/>
        </w:rPr>
        <w:t xml:space="preserve">) es posible </w:t>
      </w:r>
      <w:r>
        <w:rPr>
          <w:rFonts w:ascii="Arial" w:hAnsi="Arial" w:cs="Arial"/>
          <w:lang w:val="es-MX"/>
        </w:rPr>
        <w:t xml:space="preserve">plantear el problema variacional (18)-(20) para los datos de concentración espacialmente distribuidos </w:t>
      </w:r>
      <w:r w:rsidRPr="004E4FDA">
        <w:rPr>
          <w:rFonts w:ascii="Arial" w:hAnsi="Arial" w:cs="Arial"/>
          <w:position w:val="-12"/>
          <w:lang w:val="es-MX"/>
        </w:rPr>
        <w:object w:dxaOrig="220" w:dyaOrig="360">
          <v:shape id="_x0000_i1185" type="#_x0000_t75" style="width:14.4pt;height:21.6pt" o:ole="">
            <v:imagedata r:id="rId461" o:title=""/>
          </v:shape>
          <o:OLEObject Type="Embed" ProgID="Equation.DSMT4" ShapeID="_x0000_i1185" DrawAspect="Content" ObjectID="_1660649282" r:id="rId462"/>
        </w:object>
      </w:r>
      <w:r>
        <w:rPr>
          <w:rFonts w:ascii="Arial" w:hAnsi="Arial" w:cs="Arial"/>
          <w:lang w:val="es-MX"/>
        </w:rPr>
        <w:t xml:space="preserve">. </w:t>
      </w:r>
      <w:r w:rsidRPr="003A1CF6">
        <w:rPr>
          <w:rFonts w:ascii="Arial" w:hAnsi="Arial" w:cs="Arial"/>
          <w:lang w:val="es-MX"/>
        </w:rPr>
        <w:t>Este problema se discretiza usando la fórmula del trapecio para integrales</w:t>
      </w:r>
      <w:r>
        <w:rPr>
          <w:rFonts w:ascii="Arial" w:hAnsi="Arial" w:cs="Arial"/>
          <w:lang w:val="es-MX"/>
        </w:rPr>
        <w:t xml:space="preserve"> </w:t>
      </w:r>
      <w:r w:rsidRPr="003A1CF6">
        <w:rPr>
          <w:rFonts w:ascii="Arial" w:hAnsi="Arial" w:cs="Arial"/>
          <w:lang w:val="es-MX"/>
        </w:rPr>
        <w:t>y se resuelve como un problema de programación cuadrática</w:t>
      </w:r>
      <w:r>
        <w:rPr>
          <w:rFonts w:ascii="Arial" w:hAnsi="Arial" w:cs="Arial"/>
          <w:lang w:val="es-MX"/>
        </w:rPr>
        <w:t xml:space="preserve">, la </w:t>
      </w:r>
      <w:r w:rsidRPr="003C4A06">
        <w:rPr>
          <w:rFonts w:ascii="Arial" w:hAnsi="Arial" w:cs="Arial"/>
        </w:rPr>
        <w:t xml:space="preserve">solución se calcula aplicando directamente la rutina </w:t>
      </w:r>
      <w:r w:rsidRPr="001828EE">
        <w:rPr>
          <w:rFonts w:ascii="Arial" w:hAnsi="Arial" w:cs="Arial"/>
          <w:i/>
        </w:rPr>
        <w:t>quadprog</w:t>
      </w:r>
      <w:r>
        <w:rPr>
          <w:rFonts w:ascii="Arial" w:hAnsi="Arial" w:cs="Arial"/>
        </w:rPr>
        <w:t xml:space="preserve"> de MATLAB. </w:t>
      </w:r>
      <w:r w:rsidRPr="004E4FDA">
        <w:rPr>
          <w:rFonts w:ascii="Arial" w:hAnsi="Arial" w:cs="Arial"/>
          <w:lang w:val="es-MX"/>
        </w:rPr>
        <w:t xml:space="preserve">La solución de dicho problema de optimización es la solución regularizada </w:t>
      </w:r>
      <w:r w:rsidRPr="004E4FDA">
        <w:rPr>
          <w:rFonts w:ascii="Arial" w:hAnsi="Arial" w:cs="Arial"/>
          <w:position w:val="-12"/>
          <w:lang w:val="es-MX"/>
        </w:rPr>
        <w:object w:dxaOrig="580" w:dyaOrig="360">
          <v:shape id="_x0000_i1186" type="#_x0000_t75" style="width:28.8pt;height:21.6pt" o:ole="">
            <v:imagedata r:id="rId463" o:title=""/>
          </v:shape>
          <o:OLEObject Type="Embed" ProgID="Equation.DSMT4" ShapeID="_x0000_i1186" DrawAspect="Content" ObjectID="_1660649283" r:id="rId464"/>
        </w:object>
      </w:r>
      <w:r w:rsidRPr="004E4FDA">
        <w:rPr>
          <w:rFonts w:ascii="Arial" w:hAnsi="Arial" w:cs="Arial"/>
          <w:lang w:val="es-MX"/>
        </w:rPr>
        <w:t>.</w:t>
      </w:r>
      <w:r>
        <w:rPr>
          <w:rFonts w:ascii="Arial" w:hAnsi="Arial" w:cs="Arial"/>
          <w:lang w:val="es-MX"/>
        </w:rPr>
        <w:t xml:space="preserve"> La figura 4b</w:t>
      </w:r>
      <w:r w:rsidRPr="004E4FDA">
        <w:rPr>
          <w:rFonts w:ascii="Arial" w:hAnsi="Arial" w:cs="Arial"/>
          <w:lang w:val="es-MX"/>
        </w:rPr>
        <w:t xml:space="preserve"> muestra la solución regularizada </w:t>
      </w:r>
      <w:r w:rsidRPr="004E4FDA">
        <w:rPr>
          <w:rFonts w:ascii="Arial" w:hAnsi="Arial" w:cs="Arial"/>
          <w:position w:val="-12"/>
          <w:lang w:val="es-MX"/>
        </w:rPr>
        <w:object w:dxaOrig="580" w:dyaOrig="360">
          <v:shape id="_x0000_i1187" type="#_x0000_t75" style="width:28.8pt;height:21.6pt" o:ole="">
            <v:imagedata r:id="rId465" o:title=""/>
          </v:shape>
          <o:OLEObject Type="Embed" ProgID="Equation.DSMT4" ShapeID="_x0000_i1187" DrawAspect="Content" ObjectID="_1660649284" r:id="rId466"/>
        </w:object>
      </w:r>
      <w:r w:rsidRPr="004E4FDA">
        <w:rPr>
          <w:rFonts w:ascii="Arial" w:hAnsi="Arial" w:cs="Arial"/>
          <w:lang w:val="es-MX"/>
        </w:rPr>
        <w:t xml:space="preserve"> </w:t>
      </w:r>
      <w:r>
        <w:rPr>
          <w:rFonts w:ascii="Arial" w:hAnsi="Arial" w:cs="Arial"/>
          <w:lang w:val="es-MX"/>
        </w:rPr>
        <w:t xml:space="preserve">que se obtiene </w:t>
      </w:r>
      <w:r w:rsidRPr="004E4FDA">
        <w:rPr>
          <w:rFonts w:ascii="Arial" w:hAnsi="Arial" w:cs="Arial"/>
          <w:lang w:val="es-MX"/>
        </w:rPr>
        <w:t xml:space="preserve">para </w:t>
      </w:r>
      <w:r w:rsidRPr="004E4FDA">
        <w:rPr>
          <w:rFonts w:ascii="Arial" w:hAnsi="Arial" w:cs="Arial"/>
          <w:position w:val="-16"/>
          <w:lang w:val="es-MX"/>
        </w:rPr>
        <w:object w:dxaOrig="1579" w:dyaOrig="440">
          <v:shape id="_x0000_i1188" type="#_x0000_t75" style="width:79.2pt;height:21.6pt" o:ole="">
            <v:imagedata r:id="rId467" o:title=""/>
          </v:shape>
          <o:OLEObject Type="Embed" ProgID="Equation.DSMT4" ShapeID="_x0000_i1188" DrawAspect="Content" ObjectID="_1660649285" r:id="rId468"/>
        </w:object>
      </w:r>
      <w:r w:rsidRPr="004E4FDA">
        <w:rPr>
          <w:rFonts w:ascii="Arial" w:hAnsi="Arial" w:cs="Arial"/>
          <w:lang w:val="es-MX"/>
        </w:rPr>
        <w:t xml:space="preserve">. Al comparar </w:t>
      </w:r>
      <w:r>
        <w:rPr>
          <w:rFonts w:ascii="Arial" w:hAnsi="Arial" w:cs="Arial"/>
          <w:lang w:val="es-MX"/>
        </w:rPr>
        <w:t xml:space="preserve">esta función con la tasa de emisión de prueba </w:t>
      </w:r>
      <w:r w:rsidRPr="00276B71">
        <w:rPr>
          <w:rFonts w:ascii="Arial" w:hAnsi="Arial" w:cs="Arial"/>
          <w:position w:val="-10"/>
          <w:lang w:val="es-MX"/>
        </w:rPr>
        <w:object w:dxaOrig="499" w:dyaOrig="320">
          <v:shape id="_x0000_i1189" type="#_x0000_t75" style="width:21.6pt;height:14.4pt" o:ole="">
            <v:imagedata r:id="rId469" o:title=""/>
          </v:shape>
          <o:OLEObject Type="Embed" ProgID="Equation.DSMT4" ShapeID="_x0000_i1189" DrawAspect="Content" ObjectID="_1660649286" r:id="rId470"/>
        </w:object>
      </w:r>
      <w:r>
        <w:rPr>
          <w:rFonts w:ascii="Arial" w:hAnsi="Arial" w:cs="Arial"/>
          <w:lang w:val="es-MX"/>
        </w:rPr>
        <w:t>, definida por (21) y trazada en la figura 1a</w:t>
      </w:r>
      <w:r w:rsidRPr="004E4FDA">
        <w:rPr>
          <w:rFonts w:ascii="Arial" w:hAnsi="Arial" w:cs="Arial"/>
          <w:lang w:val="es-MX"/>
        </w:rPr>
        <w:t xml:space="preserve"> (línea azul), se observa que el resultado es erróneo.</w:t>
      </w:r>
    </w:p>
    <w:p w:rsidR="00846109" w:rsidRDefault="00846109" w:rsidP="00846109">
      <w:pPr>
        <w:jc w:val="center"/>
        <w:rPr>
          <w:rFonts w:ascii="Arial" w:hAnsi="Arial" w:cs="Arial"/>
          <w:lang w:val="es-MX"/>
        </w:rPr>
      </w:pPr>
      <w:r w:rsidRPr="004E4FDA">
        <w:rPr>
          <w:rFonts w:ascii="Arial" w:hAnsi="Arial" w:cs="Arial"/>
          <w:noProof/>
          <w:lang w:val="en-US"/>
        </w:rPr>
        <w:drawing>
          <wp:inline distT="0" distB="0" distL="0" distR="0" wp14:anchorId="59774641" wp14:editId="4FCF2080">
            <wp:extent cx="2990850" cy="2495550"/>
            <wp:effectExtent l="0" t="0" r="0" b="0"/>
            <wp:docPr id="58" name="Imagen 58" descr="Fig51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Fig512b"/>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2990850" cy="2495550"/>
                    </a:xfrm>
                    <a:prstGeom prst="rect">
                      <a:avLst/>
                    </a:prstGeom>
                    <a:noFill/>
                    <a:ln>
                      <a:noFill/>
                    </a:ln>
                  </pic:spPr>
                </pic:pic>
              </a:graphicData>
            </a:graphic>
          </wp:inline>
        </w:drawing>
      </w:r>
      <w:r w:rsidRPr="004E4FDA">
        <w:rPr>
          <w:rFonts w:ascii="Arial" w:hAnsi="Arial" w:cs="Arial"/>
          <w:noProof/>
          <w:lang w:val="en-US"/>
        </w:rPr>
        <w:drawing>
          <wp:inline distT="0" distB="0" distL="0" distR="0" wp14:anchorId="581EB620" wp14:editId="2D3DCB7C">
            <wp:extent cx="2952750" cy="2476500"/>
            <wp:effectExtent l="0" t="0" r="0" b="0"/>
            <wp:docPr id="57" name="Imagen 57" descr="Fig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Fig13"/>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2952750" cy="2476500"/>
                    </a:xfrm>
                    <a:prstGeom prst="rect">
                      <a:avLst/>
                    </a:prstGeom>
                    <a:noFill/>
                    <a:ln>
                      <a:noFill/>
                    </a:ln>
                  </pic:spPr>
                </pic:pic>
              </a:graphicData>
            </a:graphic>
          </wp:inline>
        </w:drawing>
      </w:r>
    </w:p>
    <w:p w:rsidR="00846109" w:rsidRPr="001F14B0" w:rsidRDefault="00846109" w:rsidP="00846109">
      <w:pPr>
        <w:jc w:val="both"/>
        <w:rPr>
          <w:rFonts w:ascii="Arial" w:hAnsi="Arial" w:cs="Arial"/>
          <w:sz w:val="20"/>
          <w:szCs w:val="20"/>
          <w:lang w:val="es-MX"/>
        </w:rPr>
      </w:pPr>
      <w:r>
        <w:rPr>
          <w:rFonts w:ascii="Arial" w:hAnsi="Arial" w:cs="Arial"/>
          <w:sz w:val="20"/>
          <w:szCs w:val="20"/>
          <w:lang w:val="es-MX"/>
        </w:rPr>
        <w:t xml:space="preserve">                                        (a)                                                                              (b)</w:t>
      </w:r>
    </w:p>
    <w:p w:rsidR="00846109" w:rsidRPr="00F6255A" w:rsidRDefault="00846109" w:rsidP="00846109">
      <w:pPr>
        <w:jc w:val="center"/>
        <w:rPr>
          <w:rFonts w:ascii="Arial" w:hAnsi="Arial" w:cs="Arial"/>
          <w:i/>
          <w:sz w:val="20"/>
          <w:szCs w:val="20"/>
          <w:lang w:val="es-MX"/>
        </w:rPr>
      </w:pPr>
      <w:r w:rsidRPr="001F14B0">
        <w:rPr>
          <w:rFonts w:ascii="Arial" w:hAnsi="Arial" w:cs="Arial"/>
          <w:i/>
          <w:sz w:val="20"/>
          <w:szCs w:val="20"/>
          <w:lang w:val="es-MX"/>
        </w:rPr>
        <w:t xml:space="preserve">Figura 4. </w:t>
      </w:r>
      <w:r>
        <w:rPr>
          <w:rFonts w:ascii="Arial" w:hAnsi="Arial" w:cs="Arial"/>
          <w:i/>
          <w:sz w:val="20"/>
          <w:szCs w:val="20"/>
          <w:lang w:val="es-MX"/>
        </w:rPr>
        <w:t xml:space="preserve">a) </w:t>
      </w:r>
      <w:r w:rsidRPr="001F14B0">
        <w:rPr>
          <w:rFonts w:ascii="Arial" w:hAnsi="Arial" w:cs="Arial"/>
          <w:i/>
          <w:sz w:val="20"/>
          <w:szCs w:val="20"/>
          <w:lang w:val="es-MX"/>
        </w:rPr>
        <w:t xml:space="preserve">Funciones adjuntas </w:t>
      </w:r>
      <w:r w:rsidRPr="001F14B0">
        <w:rPr>
          <w:rFonts w:ascii="Arial" w:hAnsi="Arial" w:cs="Arial"/>
          <w:i/>
          <w:position w:val="-10"/>
          <w:sz w:val="20"/>
          <w:szCs w:val="20"/>
          <w:lang w:val="es-MX"/>
        </w:rPr>
        <w:object w:dxaOrig="720" w:dyaOrig="300">
          <v:shape id="_x0000_i1190" type="#_x0000_t75" style="width:36pt;height:14.4pt" o:ole="">
            <v:imagedata r:id="rId473" o:title=""/>
          </v:shape>
          <o:OLEObject Type="Embed" ProgID="Equation.DSMT4" ShapeID="_x0000_i1190" DrawAspect="Content" ObjectID="_1660649287" r:id="rId474"/>
        </w:object>
      </w:r>
      <w:r>
        <w:rPr>
          <w:rFonts w:ascii="Arial" w:hAnsi="Arial" w:cs="Arial"/>
          <w:i/>
          <w:sz w:val="20"/>
          <w:szCs w:val="20"/>
          <w:lang w:val="es-MX"/>
        </w:rPr>
        <w:t xml:space="preserve"> para diferentes nodos</w:t>
      </w:r>
      <w:r w:rsidRPr="001F14B0">
        <w:rPr>
          <w:rFonts w:ascii="Arial" w:hAnsi="Arial" w:cs="Arial"/>
          <w:i/>
          <w:sz w:val="20"/>
          <w:szCs w:val="20"/>
          <w:lang w:val="es-MX"/>
        </w:rPr>
        <w:t xml:space="preserve"> </w:t>
      </w:r>
      <w:r w:rsidRPr="001F14B0">
        <w:rPr>
          <w:rFonts w:ascii="Arial" w:hAnsi="Arial" w:cs="Arial"/>
          <w:i/>
          <w:position w:val="-10"/>
          <w:sz w:val="20"/>
          <w:szCs w:val="20"/>
          <w:lang w:val="es-MX"/>
        </w:rPr>
        <w:object w:dxaOrig="260" w:dyaOrig="300">
          <v:shape id="_x0000_i1191" type="#_x0000_t75" style="width:14.4pt;height:14.4pt" o:ole="">
            <v:imagedata r:id="rId475" o:title=""/>
          </v:shape>
          <o:OLEObject Type="Embed" ProgID="Equation.DSMT4" ShapeID="_x0000_i1191" DrawAspect="Content" ObjectID="_1660649288" r:id="rId476"/>
        </w:object>
      </w:r>
      <w:r w:rsidRPr="001F14B0">
        <w:rPr>
          <w:rFonts w:ascii="Arial" w:hAnsi="Arial" w:cs="Arial"/>
          <w:i/>
          <w:sz w:val="20"/>
          <w:szCs w:val="20"/>
          <w:lang w:val="es-MX"/>
        </w:rPr>
        <w:t xml:space="preserve">: línea roja, </w:t>
      </w:r>
      <w:r w:rsidRPr="001F14B0">
        <w:rPr>
          <w:rFonts w:ascii="Arial" w:hAnsi="Arial" w:cs="Arial"/>
          <w:i/>
          <w:position w:val="-10"/>
          <w:sz w:val="20"/>
          <w:szCs w:val="20"/>
          <w:lang w:val="es-MX"/>
        </w:rPr>
        <w:object w:dxaOrig="780" w:dyaOrig="300">
          <v:shape id="_x0000_i1192" type="#_x0000_t75" style="width:36pt;height:14.4pt" o:ole="">
            <v:imagedata r:id="rId477" o:title=""/>
          </v:shape>
          <o:OLEObject Type="Embed" ProgID="Equation.DSMT4" ShapeID="_x0000_i1192" DrawAspect="Content" ObjectID="_1660649289" r:id="rId478"/>
        </w:object>
      </w:r>
      <w:r w:rsidRPr="001F14B0">
        <w:rPr>
          <w:rFonts w:ascii="Arial" w:hAnsi="Arial" w:cs="Arial"/>
          <w:i/>
          <w:sz w:val="20"/>
          <w:szCs w:val="20"/>
          <w:lang w:val="es-MX"/>
        </w:rPr>
        <w:t>; línea verde,</w:t>
      </w:r>
      <w:r w:rsidRPr="00A75087">
        <w:rPr>
          <w:rFonts w:ascii="Arial" w:hAnsi="Arial" w:cs="Arial"/>
          <w:i/>
          <w:sz w:val="20"/>
          <w:szCs w:val="20"/>
          <w:lang w:val="es-MX"/>
        </w:rPr>
        <w:t xml:space="preserve"> </w:t>
      </w:r>
      <w:r w:rsidRPr="001F14B0">
        <w:rPr>
          <w:rFonts w:ascii="Arial" w:hAnsi="Arial" w:cs="Arial"/>
          <w:i/>
          <w:position w:val="-10"/>
          <w:sz w:val="20"/>
          <w:szCs w:val="20"/>
          <w:lang w:val="es-MX"/>
        </w:rPr>
        <w:object w:dxaOrig="780" w:dyaOrig="300">
          <v:shape id="_x0000_i1193" type="#_x0000_t75" style="width:36pt;height:14.4pt" o:ole="">
            <v:imagedata r:id="rId479" o:title=""/>
          </v:shape>
          <o:OLEObject Type="Embed" ProgID="Equation.DSMT4" ShapeID="_x0000_i1193" DrawAspect="Content" ObjectID="_1660649290" r:id="rId480"/>
        </w:object>
      </w:r>
      <w:r w:rsidRPr="001F14B0">
        <w:rPr>
          <w:rFonts w:ascii="Arial" w:hAnsi="Arial" w:cs="Arial"/>
          <w:i/>
          <w:sz w:val="20"/>
          <w:szCs w:val="20"/>
          <w:lang w:val="es-MX"/>
        </w:rPr>
        <w:t xml:space="preserve">; y línea azul, </w:t>
      </w:r>
      <w:r w:rsidRPr="001F14B0">
        <w:rPr>
          <w:rFonts w:ascii="Arial" w:hAnsi="Arial" w:cs="Arial"/>
          <w:i/>
          <w:position w:val="-10"/>
          <w:sz w:val="20"/>
          <w:szCs w:val="20"/>
          <w:lang w:val="es-MX"/>
        </w:rPr>
        <w:object w:dxaOrig="780" w:dyaOrig="300">
          <v:shape id="_x0000_i1194" type="#_x0000_t75" style="width:36pt;height:14.4pt" o:ole="">
            <v:imagedata r:id="rId481" o:title=""/>
          </v:shape>
          <o:OLEObject Type="Embed" ProgID="Equation.DSMT4" ShapeID="_x0000_i1194" DrawAspect="Content" ObjectID="_1660649291" r:id="rId482"/>
        </w:object>
      </w:r>
      <w:r w:rsidRPr="001F14B0">
        <w:rPr>
          <w:rFonts w:ascii="Arial" w:hAnsi="Arial" w:cs="Arial"/>
          <w:i/>
          <w:sz w:val="20"/>
          <w:szCs w:val="20"/>
          <w:lang w:val="es-MX"/>
        </w:rPr>
        <w:t>.</w:t>
      </w:r>
      <w:r>
        <w:rPr>
          <w:rFonts w:ascii="Arial" w:hAnsi="Arial" w:cs="Arial"/>
          <w:i/>
          <w:sz w:val="20"/>
          <w:szCs w:val="20"/>
          <w:lang w:val="es-MX"/>
        </w:rPr>
        <w:t xml:space="preserve"> b) </w:t>
      </w:r>
      <w:r w:rsidRPr="00F6255A">
        <w:rPr>
          <w:rFonts w:ascii="Arial" w:hAnsi="Arial" w:cs="Arial"/>
          <w:sz w:val="20"/>
          <w:szCs w:val="20"/>
          <w:lang w:val="es-MX"/>
        </w:rPr>
        <w:t xml:space="preserve">Solución regularizada </w:t>
      </w:r>
      <w:r w:rsidRPr="00F6255A">
        <w:rPr>
          <w:rFonts w:ascii="Arial" w:hAnsi="Arial" w:cs="Arial"/>
          <w:position w:val="-10"/>
          <w:sz w:val="20"/>
          <w:szCs w:val="20"/>
        </w:rPr>
        <w:object w:dxaOrig="499" w:dyaOrig="300">
          <v:shape id="_x0000_i1195" type="#_x0000_t75" style="width:21.6pt;height:14.4pt" o:ole="">
            <v:imagedata r:id="rId483" o:title=""/>
          </v:shape>
          <o:OLEObject Type="Embed" ProgID="Equation.DSMT4" ShapeID="_x0000_i1195" DrawAspect="Content" ObjectID="_1660649292" r:id="rId484"/>
        </w:object>
      </w:r>
      <w:r w:rsidRPr="00F6255A">
        <w:rPr>
          <w:rFonts w:ascii="Arial" w:hAnsi="Arial" w:cs="Arial"/>
          <w:sz w:val="20"/>
          <w:szCs w:val="20"/>
          <w:lang w:val="es-MX"/>
        </w:rPr>
        <w:t xml:space="preserve"> obtenida para </w:t>
      </w:r>
      <w:r w:rsidRPr="00F6255A">
        <w:rPr>
          <w:rFonts w:ascii="Arial" w:hAnsi="Arial" w:cs="Arial"/>
          <w:position w:val="-12"/>
          <w:sz w:val="20"/>
          <w:szCs w:val="20"/>
          <w:lang w:val="es-MX"/>
        </w:rPr>
        <w:object w:dxaOrig="1300" w:dyaOrig="340">
          <v:shape id="_x0000_i1196" type="#_x0000_t75" style="width:64.8pt;height:14.4pt" o:ole="">
            <v:imagedata r:id="rId485" o:title=""/>
          </v:shape>
          <o:OLEObject Type="Embed" ProgID="Equation.DSMT4" ShapeID="_x0000_i1196" DrawAspect="Content" ObjectID="_1660649293" r:id="rId486"/>
        </w:object>
      </w:r>
      <w:r w:rsidRPr="00F6255A">
        <w:rPr>
          <w:rFonts w:ascii="Arial" w:hAnsi="Arial" w:cs="Arial"/>
          <w:sz w:val="20"/>
          <w:szCs w:val="20"/>
          <w:lang w:val="es-MX"/>
        </w:rPr>
        <w:t>.</w:t>
      </w:r>
    </w:p>
    <w:p w:rsidR="00846109" w:rsidRPr="004E4FDA" w:rsidRDefault="00846109" w:rsidP="00846109">
      <w:pPr>
        <w:pStyle w:val="Textoindependiente"/>
        <w:jc w:val="both"/>
        <w:rPr>
          <w:rFonts w:ascii="Arial" w:hAnsi="Arial" w:cs="Arial"/>
          <w:b w:val="0"/>
          <w:sz w:val="24"/>
          <w:lang w:val="es-MX"/>
        </w:rPr>
      </w:pPr>
    </w:p>
    <w:p w:rsidR="00846109" w:rsidRPr="00D95F7D" w:rsidRDefault="00846109" w:rsidP="00846109">
      <w:pPr>
        <w:pStyle w:val="Textoindependiente"/>
        <w:ind w:firstLine="567"/>
        <w:jc w:val="both"/>
        <w:rPr>
          <w:rFonts w:ascii="Arial" w:hAnsi="Arial" w:cs="Arial"/>
          <w:b w:val="0"/>
          <w:sz w:val="24"/>
          <w:lang w:val="es-MX"/>
        </w:rPr>
      </w:pPr>
      <w:r>
        <w:rPr>
          <w:rFonts w:ascii="Arial" w:hAnsi="Arial" w:cs="Arial"/>
          <w:b w:val="0"/>
          <w:sz w:val="24"/>
          <w:lang w:val="es-MX"/>
        </w:rPr>
        <w:t>L</w:t>
      </w:r>
      <w:r w:rsidRPr="00ED2BC4">
        <w:rPr>
          <w:rFonts w:ascii="Arial" w:hAnsi="Arial" w:cs="Arial"/>
          <w:b w:val="0"/>
          <w:sz w:val="24"/>
          <w:lang w:val="es-MX"/>
        </w:rPr>
        <w:t>as figuras 5a y 5b</w:t>
      </w:r>
      <w:r>
        <w:rPr>
          <w:rFonts w:ascii="Arial" w:hAnsi="Arial" w:cs="Arial"/>
          <w:b w:val="0"/>
          <w:sz w:val="24"/>
          <w:lang w:val="es-MX"/>
        </w:rPr>
        <w:t xml:space="preserve"> muestran que </w:t>
      </w:r>
      <w:r w:rsidRPr="00ED2BC4">
        <w:rPr>
          <w:rFonts w:ascii="Arial" w:hAnsi="Arial" w:cs="Arial"/>
          <w:b w:val="0"/>
          <w:sz w:val="24"/>
          <w:lang w:val="es-MX"/>
        </w:rPr>
        <w:t xml:space="preserve">la tasa </w:t>
      </w:r>
      <w:r>
        <w:rPr>
          <w:rFonts w:ascii="Arial" w:hAnsi="Arial" w:cs="Arial"/>
          <w:b w:val="0"/>
          <w:sz w:val="24"/>
          <w:lang w:val="es-MX"/>
        </w:rPr>
        <w:t xml:space="preserve">incorrecta </w:t>
      </w:r>
      <w:r w:rsidRPr="00ED2BC4">
        <w:rPr>
          <w:rFonts w:ascii="Arial" w:hAnsi="Arial" w:cs="Arial"/>
          <w:b w:val="0"/>
          <w:sz w:val="24"/>
          <w:lang w:val="es-MX"/>
        </w:rPr>
        <w:t xml:space="preserve">de emisión </w:t>
      </w:r>
      <w:r w:rsidRPr="00ED2BC4">
        <w:rPr>
          <w:rFonts w:ascii="Arial" w:hAnsi="Arial" w:cs="Arial"/>
          <w:b w:val="0"/>
          <w:position w:val="-12"/>
          <w:sz w:val="24"/>
          <w:lang w:val="es-MX"/>
        </w:rPr>
        <w:object w:dxaOrig="580" w:dyaOrig="360">
          <v:shape id="_x0000_i1197" type="#_x0000_t75" style="width:28.8pt;height:21.6pt" o:ole="">
            <v:imagedata r:id="rId487" o:title=""/>
          </v:shape>
          <o:OLEObject Type="Embed" ProgID="Equation.DSMT4" ShapeID="_x0000_i1197" DrawAspect="Content" ObjectID="_1660649294" r:id="rId488"/>
        </w:object>
      </w:r>
      <w:r>
        <w:rPr>
          <w:rFonts w:ascii="Arial" w:hAnsi="Arial" w:cs="Arial"/>
          <w:b w:val="0"/>
          <w:sz w:val="24"/>
          <w:lang w:val="es-MX"/>
        </w:rPr>
        <w:t>,</w:t>
      </w:r>
      <w:r w:rsidRPr="00ED2BC4">
        <w:rPr>
          <w:rFonts w:ascii="Arial" w:hAnsi="Arial" w:cs="Arial"/>
          <w:b w:val="0"/>
          <w:sz w:val="24"/>
          <w:lang w:val="es-MX"/>
        </w:rPr>
        <w:t xml:space="preserve"> trazada en la figura 4b</w:t>
      </w:r>
      <w:r>
        <w:rPr>
          <w:rFonts w:ascii="Arial" w:hAnsi="Arial" w:cs="Arial"/>
          <w:b w:val="0"/>
          <w:sz w:val="24"/>
          <w:lang w:val="es-MX"/>
        </w:rPr>
        <w:t>,</w:t>
      </w:r>
      <w:r w:rsidRPr="00ED2BC4">
        <w:rPr>
          <w:rFonts w:ascii="Arial" w:hAnsi="Arial" w:cs="Arial"/>
          <w:b w:val="0"/>
          <w:sz w:val="24"/>
          <w:lang w:val="es-MX"/>
        </w:rPr>
        <w:t xml:space="preserve"> reproduce muy bien los datos sintéticos de concentración </w:t>
      </w:r>
      <w:r w:rsidRPr="00ED2BC4">
        <w:rPr>
          <w:rFonts w:ascii="Arial" w:hAnsi="Arial" w:cs="Arial"/>
          <w:b w:val="0"/>
          <w:position w:val="-12"/>
          <w:sz w:val="24"/>
          <w:lang w:val="es-MX"/>
        </w:rPr>
        <w:object w:dxaOrig="220" w:dyaOrig="360">
          <v:shape id="_x0000_i1198" type="#_x0000_t75" style="width:14.4pt;height:21.6pt" o:ole="">
            <v:imagedata r:id="rId489" o:title=""/>
          </v:shape>
          <o:OLEObject Type="Embed" ProgID="Equation.DSMT4" ShapeID="_x0000_i1198" DrawAspect="Content" ObjectID="_1660649295" r:id="rId490"/>
        </w:object>
      </w:r>
      <w:r w:rsidRPr="00ED2BC4">
        <w:rPr>
          <w:rFonts w:ascii="Arial" w:hAnsi="Arial" w:cs="Arial"/>
          <w:b w:val="0"/>
          <w:sz w:val="24"/>
          <w:lang w:val="es-MX"/>
        </w:rPr>
        <w:t xml:space="preserve"> y la función de concentración teórica </w:t>
      </w:r>
      <w:r w:rsidRPr="00ED2BC4">
        <w:rPr>
          <w:rFonts w:ascii="Arial" w:hAnsi="Arial" w:cs="Arial"/>
          <w:b w:val="0"/>
          <w:position w:val="-10"/>
          <w:sz w:val="24"/>
          <w:lang w:val="es-MX"/>
        </w:rPr>
        <w:object w:dxaOrig="740" w:dyaOrig="320">
          <v:shape id="_x0000_i1199" type="#_x0000_t75" style="width:36pt;height:14.4pt" o:ole="">
            <v:imagedata r:id="rId491" o:title=""/>
          </v:shape>
          <o:OLEObject Type="Embed" ProgID="Equation.DSMT4" ShapeID="_x0000_i1199" DrawAspect="Content" ObjectID="_1660649296" r:id="rId492"/>
        </w:object>
      </w:r>
      <w:r w:rsidRPr="00ED2BC4">
        <w:rPr>
          <w:rFonts w:ascii="Arial" w:hAnsi="Arial" w:cs="Arial"/>
          <w:b w:val="0"/>
          <w:sz w:val="24"/>
          <w:lang w:val="es-MX"/>
        </w:rPr>
        <w:t>. Es decir, cuando se resuel</w:t>
      </w:r>
      <w:r>
        <w:rPr>
          <w:rFonts w:ascii="Arial" w:hAnsi="Arial" w:cs="Arial"/>
          <w:b w:val="0"/>
          <w:sz w:val="24"/>
          <w:lang w:val="es-MX"/>
        </w:rPr>
        <w:t>ve el modelo de dispersión (1)-(4</w:t>
      </w:r>
      <w:r w:rsidRPr="00ED2BC4">
        <w:rPr>
          <w:rFonts w:ascii="Arial" w:hAnsi="Arial" w:cs="Arial"/>
          <w:b w:val="0"/>
          <w:sz w:val="24"/>
          <w:lang w:val="es-MX"/>
        </w:rPr>
        <w:t>) con la tasa</w:t>
      </w:r>
      <w:r>
        <w:rPr>
          <w:rFonts w:ascii="Arial" w:hAnsi="Arial" w:cs="Arial"/>
          <w:b w:val="0"/>
          <w:sz w:val="24"/>
          <w:lang w:val="es-MX"/>
        </w:rPr>
        <w:t xml:space="preserve"> de emisión</w:t>
      </w:r>
      <w:r w:rsidRPr="00ED2BC4">
        <w:rPr>
          <w:rFonts w:ascii="Arial" w:hAnsi="Arial" w:cs="Arial"/>
          <w:b w:val="0"/>
          <w:sz w:val="24"/>
          <w:lang w:val="es-MX"/>
        </w:rPr>
        <w:t xml:space="preserve"> </w:t>
      </w:r>
      <w:r w:rsidRPr="00ED2BC4">
        <w:rPr>
          <w:rFonts w:ascii="Arial" w:hAnsi="Arial" w:cs="Arial"/>
          <w:b w:val="0"/>
          <w:position w:val="-12"/>
          <w:sz w:val="24"/>
          <w:lang w:val="es-MX"/>
        </w:rPr>
        <w:object w:dxaOrig="580" w:dyaOrig="360">
          <v:shape id="_x0000_i1200" type="#_x0000_t75" style="width:28.8pt;height:21.6pt" o:ole="">
            <v:imagedata r:id="rId493" o:title=""/>
          </v:shape>
          <o:OLEObject Type="Embed" ProgID="Equation.DSMT4" ShapeID="_x0000_i1200" DrawAspect="Content" ObjectID="_1660649297" r:id="rId494"/>
        </w:object>
      </w:r>
      <w:r w:rsidRPr="00ED2BC4">
        <w:rPr>
          <w:rFonts w:ascii="Arial" w:hAnsi="Arial" w:cs="Arial"/>
          <w:b w:val="0"/>
          <w:sz w:val="24"/>
          <w:lang w:val="es-MX"/>
        </w:rPr>
        <w:t xml:space="preserve"> entonces</w:t>
      </w:r>
      <w:r>
        <w:rPr>
          <w:rFonts w:ascii="Arial" w:hAnsi="Arial" w:cs="Arial"/>
          <w:b w:val="0"/>
          <w:sz w:val="24"/>
          <w:lang w:val="es-MX"/>
        </w:rPr>
        <w:t xml:space="preserve"> la concentración</w:t>
      </w:r>
      <w:r w:rsidRPr="00ED2BC4">
        <w:rPr>
          <w:rFonts w:ascii="Arial" w:hAnsi="Arial" w:cs="Arial"/>
          <w:b w:val="0"/>
          <w:sz w:val="24"/>
          <w:lang w:val="es-MX"/>
        </w:rPr>
        <w:t xml:space="preserve"> </w:t>
      </w:r>
      <w:r w:rsidRPr="004A03AE">
        <w:rPr>
          <w:rFonts w:ascii="Arial" w:hAnsi="Arial" w:cs="Arial"/>
          <w:b w:val="0"/>
          <w:position w:val="-12"/>
          <w:sz w:val="24"/>
          <w:lang w:val="es-MX"/>
        </w:rPr>
        <w:object w:dxaOrig="260" w:dyaOrig="360">
          <v:shape id="_x0000_i1201" type="#_x0000_t75" style="width:14.4pt;height:21.6pt" o:ole="">
            <v:imagedata r:id="rId495" o:title=""/>
          </v:shape>
          <o:OLEObject Type="Embed" ProgID="Equation.DSMT4" ShapeID="_x0000_i1201" DrawAspect="Content" ObjectID="_1660649298" r:id="rId496"/>
        </w:object>
      </w:r>
      <w:r w:rsidRPr="00ED2BC4">
        <w:rPr>
          <w:rFonts w:ascii="Arial" w:hAnsi="Arial" w:cs="Arial"/>
          <w:b w:val="0"/>
          <w:sz w:val="24"/>
          <w:lang w:val="es-MX"/>
        </w:rPr>
        <w:t xml:space="preserve"> que se obtiene al tiempo </w:t>
      </w:r>
      <w:r w:rsidRPr="00ED2BC4">
        <w:rPr>
          <w:rFonts w:ascii="Arial" w:hAnsi="Arial" w:cs="Arial"/>
          <w:b w:val="0"/>
          <w:position w:val="-6"/>
          <w:sz w:val="24"/>
          <w:lang w:val="es-MX"/>
        </w:rPr>
        <w:object w:dxaOrig="560" w:dyaOrig="279">
          <v:shape id="_x0000_i1202" type="#_x0000_t75" style="width:28.8pt;height:14.4pt" o:ole="">
            <v:imagedata r:id="rId497" o:title=""/>
          </v:shape>
          <o:OLEObject Type="Embed" ProgID="Equation.DSMT4" ShapeID="_x0000_i1202" DrawAspect="Content" ObjectID="_1660649299" r:id="rId498"/>
        </w:object>
      </w:r>
      <w:r w:rsidRPr="00ED2BC4">
        <w:rPr>
          <w:rFonts w:ascii="Arial" w:hAnsi="Arial" w:cs="Arial"/>
          <w:b w:val="0"/>
          <w:sz w:val="24"/>
          <w:lang w:val="es-MX"/>
        </w:rPr>
        <w:t xml:space="preserve"> es la curva en color azul que </w:t>
      </w:r>
      <w:r>
        <w:rPr>
          <w:rFonts w:ascii="Arial" w:hAnsi="Arial" w:cs="Arial"/>
          <w:b w:val="0"/>
          <w:sz w:val="24"/>
          <w:lang w:val="es-MX"/>
        </w:rPr>
        <w:t xml:space="preserve">se </w:t>
      </w:r>
      <w:r w:rsidRPr="00ED2BC4">
        <w:rPr>
          <w:rFonts w:ascii="Arial" w:hAnsi="Arial" w:cs="Arial"/>
          <w:b w:val="0"/>
          <w:sz w:val="24"/>
          <w:lang w:val="es-MX"/>
        </w:rPr>
        <w:t>observa en las figura</w:t>
      </w:r>
      <w:r>
        <w:rPr>
          <w:rFonts w:ascii="Arial" w:hAnsi="Arial" w:cs="Arial"/>
          <w:b w:val="0"/>
          <w:sz w:val="24"/>
          <w:lang w:val="es-MX"/>
        </w:rPr>
        <w:t>s 5a y 5b</w:t>
      </w:r>
      <w:r w:rsidRPr="00ED2BC4">
        <w:rPr>
          <w:rFonts w:ascii="Arial" w:hAnsi="Arial" w:cs="Arial"/>
          <w:b w:val="0"/>
          <w:sz w:val="24"/>
          <w:lang w:val="es-MX"/>
        </w:rPr>
        <w:t xml:space="preserve">. </w:t>
      </w:r>
      <w:r>
        <w:rPr>
          <w:rFonts w:ascii="Arial" w:hAnsi="Arial" w:cs="Arial"/>
          <w:b w:val="0"/>
          <w:sz w:val="24"/>
          <w:lang w:val="es-MX"/>
        </w:rPr>
        <w:t>Este resultado indica que en un problema inverso la reproducción fiel de los datos experimentales no implica necesariamente que se hayan obtenido las causas correctas que generan tales observaciones. La razón fundamental de un resultado de este tipo es la existencia de muchas causas para los efectos observados en un sistema. De aquí la importancia de seleccionar datos con la capacidad de reducir el espacio de posibles causas.</w:t>
      </w:r>
    </w:p>
    <w:p w:rsidR="00846109" w:rsidRPr="00194C19" w:rsidRDefault="00846109" w:rsidP="00846109">
      <w:pPr>
        <w:jc w:val="center"/>
        <w:rPr>
          <w:rFonts w:ascii="Arial" w:hAnsi="Arial" w:cs="Arial"/>
          <w:lang w:val="es-MX"/>
        </w:rPr>
      </w:pPr>
      <w:r w:rsidRPr="004E4FDA">
        <w:rPr>
          <w:rFonts w:ascii="Arial" w:hAnsi="Arial" w:cs="Arial"/>
          <w:noProof/>
          <w:lang w:val="en-US"/>
        </w:rPr>
        <w:lastRenderedPageBreak/>
        <w:drawing>
          <wp:inline distT="0" distB="0" distL="0" distR="0" wp14:anchorId="36B41011" wp14:editId="34D9229C">
            <wp:extent cx="2952750" cy="2476500"/>
            <wp:effectExtent l="0" t="0" r="0" b="0"/>
            <wp:docPr id="56" name="Imagen 56" descr="Fig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Fig14"/>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2952750" cy="2476500"/>
                    </a:xfrm>
                    <a:prstGeom prst="rect">
                      <a:avLst/>
                    </a:prstGeom>
                    <a:noFill/>
                    <a:ln>
                      <a:noFill/>
                    </a:ln>
                  </pic:spPr>
                </pic:pic>
              </a:graphicData>
            </a:graphic>
          </wp:inline>
        </w:drawing>
      </w:r>
      <w:r w:rsidRPr="00D95F7D">
        <w:rPr>
          <w:rFonts w:ascii="Arial" w:hAnsi="Arial" w:cs="Arial"/>
          <w:noProof/>
          <w:lang w:val="en-US"/>
        </w:rPr>
        <w:drawing>
          <wp:inline distT="0" distB="0" distL="0" distR="0" wp14:anchorId="09118AA0" wp14:editId="00FFC856">
            <wp:extent cx="2924175" cy="2447925"/>
            <wp:effectExtent l="0" t="0" r="9525" b="9525"/>
            <wp:docPr id="55" name="Imagen 55" descr="Fig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Fig15"/>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2924175" cy="2447925"/>
                    </a:xfrm>
                    <a:prstGeom prst="rect">
                      <a:avLst/>
                    </a:prstGeom>
                    <a:noFill/>
                    <a:ln>
                      <a:noFill/>
                    </a:ln>
                  </pic:spPr>
                </pic:pic>
              </a:graphicData>
            </a:graphic>
          </wp:inline>
        </w:drawing>
      </w:r>
    </w:p>
    <w:p w:rsidR="00846109" w:rsidRPr="00D95F7D" w:rsidRDefault="00846109" w:rsidP="00846109">
      <w:pPr>
        <w:pStyle w:val="Textoindependiente"/>
        <w:jc w:val="center"/>
        <w:rPr>
          <w:rFonts w:ascii="Arial" w:hAnsi="Arial" w:cs="Arial"/>
          <w:b w:val="0"/>
          <w:i/>
          <w:sz w:val="20"/>
          <w:szCs w:val="20"/>
          <w:lang w:val="es-MX"/>
        </w:rPr>
      </w:pPr>
      <w:r w:rsidRPr="00D95F7D">
        <w:rPr>
          <w:rFonts w:ascii="Arial" w:hAnsi="Arial" w:cs="Arial"/>
          <w:b w:val="0"/>
          <w:i/>
          <w:sz w:val="20"/>
          <w:szCs w:val="20"/>
          <w:lang w:val="es-MX"/>
        </w:rPr>
        <w:t xml:space="preserve">Figura 5.  a) Línea azul: concentración </w:t>
      </w:r>
      <w:r w:rsidRPr="00D95F7D">
        <w:rPr>
          <w:rFonts w:ascii="Arial" w:hAnsi="Arial" w:cs="Arial"/>
          <w:b w:val="0"/>
          <w:i/>
          <w:position w:val="-10"/>
          <w:sz w:val="20"/>
          <w:szCs w:val="20"/>
        </w:rPr>
        <w:object w:dxaOrig="240" w:dyaOrig="300">
          <v:shape id="_x0000_i1203" type="#_x0000_t75" style="width:14.4pt;height:14.4pt" o:ole="">
            <v:imagedata r:id="rId501" o:title=""/>
          </v:shape>
          <o:OLEObject Type="Embed" ProgID="Equation.DSMT4" ShapeID="_x0000_i1203" DrawAspect="Content" ObjectID="_1660649300" r:id="rId502"/>
        </w:object>
      </w:r>
      <w:r w:rsidRPr="00D95F7D">
        <w:rPr>
          <w:rFonts w:ascii="Arial" w:hAnsi="Arial" w:cs="Arial"/>
          <w:b w:val="0"/>
          <w:i/>
          <w:sz w:val="20"/>
          <w:szCs w:val="20"/>
          <w:lang w:val="es-MX"/>
        </w:rPr>
        <w:t xml:space="preserve"> al tiempo </w:t>
      </w:r>
      <w:r w:rsidRPr="00D95F7D">
        <w:rPr>
          <w:rFonts w:ascii="Arial" w:hAnsi="Arial" w:cs="Arial"/>
          <w:b w:val="0"/>
          <w:i/>
          <w:position w:val="-6"/>
          <w:sz w:val="20"/>
          <w:szCs w:val="20"/>
        </w:rPr>
        <w:object w:dxaOrig="499" w:dyaOrig="260">
          <v:shape id="_x0000_i1204" type="#_x0000_t75" style="width:21.6pt;height:14.4pt" o:ole="">
            <v:imagedata r:id="rId503" o:title=""/>
          </v:shape>
          <o:OLEObject Type="Embed" ProgID="Equation.DSMT4" ShapeID="_x0000_i1204" DrawAspect="Content" ObjectID="_1660649301" r:id="rId504"/>
        </w:object>
      </w:r>
      <w:r w:rsidRPr="00D95F7D">
        <w:rPr>
          <w:rFonts w:ascii="Arial" w:hAnsi="Arial" w:cs="Arial"/>
          <w:b w:val="0"/>
          <w:i/>
          <w:sz w:val="20"/>
          <w:szCs w:val="20"/>
        </w:rPr>
        <w:t xml:space="preserve"> </w:t>
      </w:r>
      <w:r w:rsidRPr="00D95F7D">
        <w:rPr>
          <w:rFonts w:ascii="Arial" w:hAnsi="Arial" w:cs="Arial"/>
          <w:b w:val="0"/>
          <w:i/>
          <w:sz w:val="20"/>
          <w:szCs w:val="20"/>
          <w:lang w:val="es-MX"/>
        </w:rPr>
        <w:t xml:space="preserve">obtenida con </w:t>
      </w:r>
      <w:r w:rsidRPr="00D95F7D">
        <w:rPr>
          <w:rFonts w:ascii="Arial" w:hAnsi="Arial" w:cs="Arial"/>
          <w:b w:val="0"/>
          <w:i/>
          <w:position w:val="-10"/>
          <w:sz w:val="20"/>
          <w:szCs w:val="20"/>
        </w:rPr>
        <w:object w:dxaOrig="499" w:dyaOrig="300">
          <v:shape id="_x0000_i1205" type="#_x0000_t75" style="width:21.6pt;height:14.4pt" o:ole="">
            <v:imagedata r:id="rId505" o:title=""/>
          </v:shape>
          <o:OLEObject Type="Embed" ProgID="Equation.DSMT4" ShapeID="_x0000_i1205" DrawAspect="Content" ObjectID="_1660649302" r:id="rId506"/>
        </w:object>
      </w:r>
      <w:r w:rsidRPr="00D95F7D">
        <w:rPr>
          <w:rFonts w:ascii="Arial" w:hAnsi="Arial" w:cs="Arial"/>
          <w:b w:val="0"/>
          <w:i/>
          <w:sz w:val="20"/>
          <w:szCs w:val="20"/>
        </w:rPr>
        <w:t xml:space="preserve">; línea roja: datos sintéticos </w:t>
      </w:r>
      <w:r w:rsidRPr="00D95F7D">
        <w:rPr>
          <w:rFonts w:ascii="Arial" w:hAnsi="Arial" w:cs="Arial"/>
          <w:b w:val="0"/>
          <w:i/>
          <w:position w:val="-10"/>
          <w:sz w:val="20"/>
          <w:szCs w:val="20"/>
          <w:lang w:val="en-US"/>
        </w:rPr>
        <w:object w:dxaOrig="200" w:dyaOrig="300">
          <v:shape id="_x0000_i1206" type="#_x0000_t75" style="width:7.2pt;height:14.4pt" o:ole="">
            <v:imagedata r:id="rId507" o:title=""/>
          </v:shape>
          <o:OLEObject Type="Embed" ProgID="Equation.DSMT4" ShapeID="_x0000_i1206" DrawAspect="Content" ObjectID="_1660649303" r:id="rId508"/>
        </w:object>
      </w:r>
      <w:r w:rsidRPr="00D95F7D">
        <w:rPr>
          <w:rFonts w:ascii="Arial" w:hAnsi="Arial" w:cs="Arial"/>
          <w:b w:val="0"/>
          <w:i/>
          <w:sz w:val="20"/>
          <w:szCs w:val="20"/>
        </w:rPr>
        <w:t xml:space="preserve"> </w:t>
      </w:r>
      <w:r w:rsidRPr="00D95F7D">
        <w:rPr>
          <w:rFonts w:ascii="Arial" w:hAnsi="Arial" w:cs="Arial"/>
          <w:b w:val="0"/>
          <w:i/>
          <w:sz w:val="20"/>
          <w:szCs w:val="20"/>
          <w:lang w:val="es-MX"/>
        </w:rPr>
        <w:t>. b) Línea azul: concentración</w:t>
      </w:r>
      <w:r>
        <w:rPr>
          <w:rFonts w:ascii="Arial" w:hAnsi="Arial" w:cs="Arial"/>
          <w:b w:val="0"/>
          <w:i/>
          <w:sz w:val="20"/>
          <w:szCs w:val="20"/>
          <w:lang w:val="es-MX"/>
        </w:rPr>
        <w:t xml:space="preserve"> </w:t>
      </w:r>
      <w:r w:rsidRPr="00D95F7D">
        <w:rPr>
          <w:rFonts w:ascii="Arial" w:hAnsi="Arial" w:cs="Arial"/>
          <w:b w:val="0"/>
          <w:i/>
          <w:position w:val="-10"/>
          <w:sz w:val="20"/>
          <w:szCs w:val="20"/>
        </w:rPr>
        <w:object w:dxaOrig="240" w:dyaOrig="300">
          <v:shape id="_x0000_i1207" type="#_x0000_t75" style="width:14.4pt;height:14.4pt" o:ole="">
            <v:imagedata r:id="rId501" o:title=""/>
          </v:shape>
          <o:OLEObject Type="Embed" ProgID="Equation.DSMT4" ShapeID="_x0000_i1207" DrawAspect="Content" ObjectID="_1660649304" r:id="rId509"/>
        </w:object>
      </w:r>
      <w:r w:rsidRPr="00D95F7D">
        <w:rPr>
          <w:rFonts w:ascii="Arial" w:hAnsi="Arial" w:cs="Arial"/>
          <w:b w:val="0"/>
          <w:i/>
          <w:sz w:val="20"/>
          <w:szCs w:val="20"/>
          <w:lang w:val="es-MX"/>
        </w:rPr>
        <w:t xml:space="preserve"> al tiempo </w:t>
      </w:r>
      <w:r w:rsidRPr="00D95F7D">
        <w:rPr>
          <w:rFonts w:ascii="Arial" w:hAnsi="Arial" w:cs="Arial"/>
          <w:b w:val="0"/>
          <w:i/>
          <w:position w:val="-6"/>
          <w:sz w:val="20"/>
          <w:szCs w:val="20"/>
        </w:rPr>
        <w:object w:dxaOrig="499" w:dyaOrig="260">
          <v:shape id="_x0000_i1208" type="#_x0000_t75" style="width:21.6pt;height:14.4pt" o:ole="">
            <v:imagedata r:id="rId503" o:title=""/>
          </v:shape>
          <o:OLEObject Type="Embed" ProgID="Equation.DSMT4" ShapeID="_x0000_i1208" DrawAspect="Content" ObjectID="_1660649305" r:id="rId510"/>
        </w:object>
      </w:r>
      <w:r>
        <w:rPr>
          <w:rFonts w:ascii="Arial" w:hAnsi="Arial" w:cs="Arial"/>
          <w:b w:val="0"/>
          <w:i/>
          <w:sz w:val="20"/>
          <w:szCs w:val="20"/>
        </w:rPr>
        <w:t>; línea roja: concentración exacta</w:t>
      </w:r>
      <w:r w:rsidRPr="00D95F7D">
        <w:rPr>
          <w:rFonts w:ascii="Arial" w:hAnsi="Arial" w:cs="Arial"/>
          <w:b w:val="0"/>
          <w:i/>
          <w:sz w:val="20"/>
          <w:szCs w:val="20"/>
        </w:rPr>
        <w:t xml:space="preserve"> </w:t>
      </w:r>
      <w:r w:rsidRPr="00D95F7D">
        <w:rPr>
          <w:rFonts w:ascii="Arial" w:hAnsi="Arial" w:cs="Arial"/>
          <w:b w:val="0"/>
          <w:i/>
          <w:position w:val="-10"/>
          <w:sz w:val="20"/>
          <w:szCs w:val="20"/>
        </w:rPr>
        <w:object w:dxaOrig="620" w:dyaOrig="300">
          <v:shape id="_x0000_i1209" type="#_x0000_t75" style="width:28.8pt;height:14.4pt" o:ole="">
            <v:imagedata r:id="rId511" o:title=""/>
          </v:shape>
          <o:OLEObject Type="Embed" ProgID="Equation.DSMT4" ShapeID="_x0000_i1209" DrawAspect="Content" ObjectID="_1660649306" r:id="rId512"/>
        </w:object>
      </w:r>
      <w:r w:rsidRPr="00D95F7D">
        <w:rPr>
          <w:rFonts w:ascii="Arial" w:hAnsi="Arial" w:cs="Arial"/>
          <w:b w:val="0"/>
          <w:i/>
          <w:sz w:val="20"/>
          <w:szCs w:val="20"/>
        </w:rPr>
        <w:t xml:space="preserve"> </w:t>
      </w:r>
      <w:r w:rsidRPr="00D95F7D">
        <w:rPr>
          <w:rFonts w:ascii="Arial" w:hAnsi="Arial" w:cs="Arial"/>
          <w:b w:val="0"/>
          <w:i/>
          <w:sz w:val="20"/>
          <w:szCs w:val="20"/>
          <w:lang w:val="es-MX"/>
        </w:rPr>
        <w:t>.</w:t>
      </w:r>
    </w:p>
    <w:p w:rsidR="00846109" w:rsidRDefault="00846109" w:rsidP="00846109">
      <w:pPr>
        <w:pStyle w:val="Textoindependiente"/>
        <w:jc w:val="both"/>
        <w:rPr>
          <w:rFonts w:ascii="Arial" w:hAnsi="Arial" w:cs="Arial"/>
          <w:b w:val="0"/>
          <w:sz w:val="24"/>
          <w:lang w:val="es-MX"/>
        </w:rPr>
      </w:pPr>
    </w:p>
    <w:p w:rsidR="00846109" w:rsidRDefault="00846109" w:rsidP="00846109">
      <w:pPr>
        <w:pStyle w:val="Textoindependiente"/>
        <w:ind w:firstLine="567"/>
        <w:jc w:val="both"/>
        <w:rPr>
          <w:rFonts w:ascii="Arial" w:hAnsi="Arial" w:cs="Arial"/>
          <w:b w:val="0"/>
          <w:sz w:val="24"/>
          <w:lang w:val="es-MX"/>
        </w:rPr>
      </w:pPr>
      <w:r>
        <w:rPr>
          <w:rFonts w:ascii="Arial" w:hAnsi="Arial" w:cs="Arial"/>
          <w:b w:val="0"/>
          <w:sz w:val="24"/>
          <w:lang w:val="es-MX"/>
        </w:rPr>
        <w:t xml:space="preserve">El hecho de que </w:t>
      </w:r>
      <w:r w:rsidRPr="004E4FDA">
        <w:rPr>
          <w:rFonts w:ascii="Arial" w:hAnsi="Arial" w:cs="Arial"/>
          <w:b w:val="0"/>
          <w:sz w:val="24"/>
          <w:lang w:val="es-MX"/>
        </w:rPr>
        <w:t>la</w:t>
      </w:r>
      <w:r>
        <w:rPr>
          <w:rFonts w:ascii="Arial" w:hAnsi="Arial" w:cs="Arial"/>
          <w:b w:val="0"/>
          <w:sz w:val="24"/>
          <w:lang w:val="es-MX"/>
        </w:rPr>
        <w:t>s</w:t>
      </w:r>
      <w:r w:rsidRPr="004E4FDA">
        <w:rPr>
          <w:rFonts w:ascii="Arial" w:hAnsi="Arial" w:cs="Arial"/>
          <w:b w:val="0"/>
          <w:sz w:val="24"/>
          <w:lang w:val="es-MX"/>
        </w:rPr>
        <w:t xml:space="preserve"> funciones </w:t>
      </w:r>
      <w:r w:rsidRPr="004E4FDA">
        <w:rPr>
          <w:rFonts w:ascii="Arial" w:hAnsi="Arial" w:cs="Arial"/>
          <w:b w:val="0"/>
          <w:position w:val="-12"/>
          <w:sz w:val="24"/>
          <w:lang w:val="es-MX"/>
        </w:rPr>
        <w:object w:dxaOrig="580" w:dyaOrig="360">
          <v:shape id="_x0000_i1210" type="#_x0000_t75" style="width:28.8pt;height:21.6pt" o:ole="">
            <v:imagedata r:id="rId513" o:title=""/>
          </v:shape>
          <o:OLEObject Type="Embed" ProgID="Equation.DSMT4" ShapeID="_x0000_i1210" DrawAspect="Content" ObjectID="_1660649307" r:id="rId514"/>
        </w:object>
      </w:r>
      <w:r w:rsidRPr="004E4FDA">
        <w:rPr>
          <w:rFonts w:ascii="Arial" w:hAnsi="Arial" w:cs="Arial"/>
          <w:b w:val="0"/>
          <w:sz w:val="24"/>
          <w:lang w:val="es-MX"/>
        </w:rPr>
        <w:t xml:space="preserve"> y </w:t>
      </w:r>
      <w:r w:rsidRPr="004E4FDA">
        <w:rPr>
          <w:rFonts w:ascii="Arial" w:hAnsi="Arial" w:cs="Arial"/>
          <w:b w:val="0"/>
          <w:position w:val="-10"/>
          <w:sz w:val="24"/>
          <w:lang w:val="es-MX"/>
        </w:rPr>
        <w:object w:dxaOrig="499" w:dyaOrig="320">
          <v:shape id="_x0000_i1211" type="#_x0000_t75" style="width:21.6pt;height:14.4pt" o:ole="">
            <v:imagedata r:id="rId515" o:title=""/>
          </v:shape>
          <o:OLEObject Type="Embed" ProgID="Equation.DSMT4" ShapeID="_x0000_i1211" DrawAspect="Content" ObjectID="_1660649308" r:id="rId516"/>
        </w:object>
      </w:r>
      <w:r>
        <w:rPr>
          <w:rFonts w:ascii="Arial" w:hAnsi="Arial" w:cs="Arial"/>
          <w:b w:val="0"/>
          <w:sz w:val="24"/>
          <w:lang w:val="es-MX"/>
        </w:rPr>
        <w:t xml:space="preserve"> sean</w:t>
      </w:r>
      <w:r w:rsidRPr="004E4FDA">
        <w:rPr>
          <w:rFonts w:ascii="Arial" w:hAnsi="Arial" w:cs="Arial"/>
          <w:b w:val="0"/>
          <w:sz w:val="24"/>
          <w:lang w:val="es-MX"/>
        </w:rPr>
        <w:t xml:space="preserve"> tan diferentes, aún cuando los</w:t>
      </w:r>
      <w:r>
        <w:rPr>
          <w:rFonts w:ascii="Arial" w:hAnsi="Arial" w:cs="Arial"/>
          <w:b w:val="0"/>
          <w:sz w:val="24"/>
          <w:lang w:val="es-MX"/>
        </w:rPr>
        <w:t xml:space="preserve"> datos sintéticos de la concentración</w:t>
      </w:r>
      <w:r w:rsidRPr="004E4FDA">
        <w:rPr>
          <w:rFonts w:ascii="Arial" w:hAnsi="Arial" w:cs="Arial"/>
          <w:b w:val="0"/>
          <w:sz w:val="24"/>
          <w:lang w:val="es-MX"/>
        </w:rPr>
        <w:t xml:space="preserve"> </w:t>
      </w:r>
      <w:r w:rsidRPr="004E4FDA">
        <w:rPr>
          <w:rFonts w:ascii="Arial" w:hAnsi="Arial" w:cs="Arial"/>
          <w:b w:val="0"/>
          <w:position w:val="-12"/>
          <w:sz w:val="24"/>
          <w:lang w:val="es-MX"/>
        </w:rPr>
        <w:object w:dxaOrig="220" w:dyaOrig="360">
          <v:shape id="_x0000_i1212" type="#_x0000_t75" style="width:14.4pt;height:21.6pt" o:ole="">
            <v:imagedata r:id="rId517" o:title=""/>
          </v:shape>
          <o:OLEObject Type="Embed" ProgID="Equation.DSMT4" ShapeID="_x0000_i1212" DrawAspect="Content" ObjectID="_1660649309" r:id="rId518"/>
        </w:object>
      </w:r>
      <w:r>
        <w:rPr>
          <w:rFonts w:ascii="Arial" w:hAnsi="Arial" w:cs="Arial"/>
          <w:b w:val="0"/>
          <w:sz w:val="24"/>
          <w:lang w:val="es-MX"/>
        </w:rPr>
        <w:t xml:space="preserve"> só</w:t>
      </w:r>
      <w:r w:rsidRPr="004E4FDA">
        <w:rPr>
          <w:rFonts w:ascii="Arial" w:hAnsi="Arial" w:cs="Arial"/>
          <w:b w:val="0"/>
          <w:sz w:val="24"/>
          <w:lang w:val="es-MX"/>
        </w:rPr>
        <w:t xml:space="preserve">lo contienen un </w:t>
      </w:r>
      <w:r>
        <w:rPr>
          <w:rFonts w:ascii="Arial" w:hAnsi="Arial" w:cs="Arial"/>
          <w:b w:val="0"/>
          <w:sz w:val="24"/>
          <w:lang w:val="es-MX"/>
        </w:rPr>
        <w:t xml:space="preserve">pequeño </w:t>
      </w:r>
      <w:r w:rsidRPr="004E4FDA">
        <w:rPr>
          <w:rFonts w:ascii="Arial" w:hAnsi="Arial" w:cs="Arial"/>
          <w:b w:val="0"/>
          <w:sz w:val="24"/>
          <w:lang w:val="es-MX"/>
        </w:rPr>
        <w:t xml:space="preserve">error </w:t>
      </w:r>
      <w:r>
        <w:rPr>
          <w:rFonts w:ascii="Arial" w:hAnsi="Arial" w:cs="Arial"/>
          <w:b w:val="0"/>
          <w:sz w:val="24"/>
          <w:lang w:val="es-MX"/>
        </w:rPr>
        <w:t xml:space="preserve">relativo </w:t>
      </w:r>
      <w:r w:rsidRPr="004E4FDA">
        <w:rPr>
          <w:rFonts w:ascii="Arial" w:hAnsi="Arial" w:cs="Arial"/>
          <w:b w:val="0"/>
          <w:sz w:val="24"/>
          <w:lang w:val="es-MX"/>
        </w:rPr>
        <w:t xml:space="preserve">del 3.5%, radica en la </w:t>
      </w:r>
      <w:r>
        <w:rPr>
          <w:rFonts w:ascii="Arial" w:hAnsi="Arial" w:cs="Arial"/>
          <w:b w:val="0"/>
          <w:sz w:val="24"/>
          <w:lang w:val="es-MX"/>
        </w:rPr>
        <w:t xml:space="preserve">limitada </w:t>
      </w:r>
      <w:r w:rsidRPr="004E4FDA">
        <w:rPr>
          <w:rFonts w:ascii="Arial" w:hAnsi="Arial" w:cs="Arial"/>
          <w:b w:val="0"/>
          <w:sz w:val="24"/>
          <w:lang w:val="es-MX"/>
        </w:rPr>
        <w:t xml:space="preserve">información </w:t>
      </w:r>
      <w:r>
        <w:rPr>
          <w:rFonts w:ascii="Arial" w:hAnsi="Arial" w:cs="Arial"/>
          <w:b w:val="0"/>
          <w:sz w:val="24"/>
          <w:lang w:val="es-MX"/>
        </w:rPr>
        <w:t xml:space="preserve">útil que contienen dichos datos. Para mostrar esto, </w:t>
      </w:r>
      <w:r w:rsidRPr="004E4FDA">
        <w:rPr>
          <w:rFonts w:ascii="Arial" w:hAnsi="Arial" w:cs="Arial"/>
          <w:b w:val="0"/>
          <w:sz w:val="24"/>
          <w:lang w:val="es-MX"/>
        </w:rPr>
        <w:t xml:space="preserve">consideramos </w:t>
      </w:r>
      <w:r>
        <w:rPr>
          <w:rFonts w:ascii="Arial" w:hAnsi="Arial" w:cs="Arial"/>
          <w:b w:val="0"/>
          <w:sz w:val="24"/>
          <w:lang w:val="es-MX"/>
        </w:rPr>
        <w:t xml:space="preserve">la </w:t>
      </w:r>
      <w:r w:rsidRPr="004E4FDA">
        <w:rPr>
          <w:rFonts w:ascii="Arial" w:hAnsi="Arial" w:cs="Arial"/>
          <w:b w:val="0"/>
          <w:sz w:val="24"/>
          <w:lang w:val="es-MX"/>
        </w:rPr>
        <w:t xml:space="preserve">masa total emitida </w:t>
      </w:r>
      <w:r>
        <w:rPr>
          <w:rFonts w:ascii="Arial" w:hAnsi="Arial" w:cs="Arial"/>
          <w:b w:val="0"/>
          <w:sz w:val="24"/>
          <w:lang w:val="es-MX"/>
        </w:rPr>
        <w:t xml:space="preserve">por la fuente puntual, es decir, </w:t>
      </w:r>
      <w:r w:rsidRPr="004E4FDA">
        <w:rPr>
          <w:rFonts w:ascii="Arial" w:hAnsi="Arial" w:cs="Arial"/>
          <w:b w:val="0"/>
          <w:position w:val="-18"/>
          <w:sz w:val="24"/>
          <w:lang w:val="es-MX"/>
        </w:rPr>
        <w:object w:dxaOrig="1359" w:dyaOrig="499">
          <v:shape id="_x0000_i1213" type="#_x0000_t75" style="width:64.8pt;height:21.6pt" o:ole="">
            <v:imagedata r:id="rId519" o:title=""/>
          </v:shape>
          <o:OLEObject Type="Embed" ProgID="Equation.DSMT4" ShapeID="_x0000_i1213" DrawAspect="Content" ObjectID="_1660649310" r:id="rId520"/>
        </w:object>
      </w:r>
      <w:r>
        <w:rPr>
          <w:rFonts w:ascii="Arial" w:hAnsi="Arial" w:cs="Arial"/>
          <w:b w:val="0"/>
          <w:sz w:val="24"/>
          <w:lang w:val="es-MX"/>
        </w:rPr>
        <w:t>. En el caso de la</w:t>
      </w:r>
      <w:r w:rsidRPr="004E4FDA">
        <w:rPr>
          <w:rFonts w:ascii="Arial" w:hAnsi="Arial" w:cs="Arial"/>
          <w:b w:val="0"/>
          <w:sz w:val="24"/>
          <w:lang w:val="es-MX"/>
        </w:rPr>
        <w:t xml:space="preserve"> tasa</w:t>
      </w:r>
      <w:r>
        <w:rPr>
          <w:rFonts w:ascii="Arial" w:hAnsi="Arial" w:cs="Arial"/>
          <w:b w:val="0"/>
          <w:sz w:val="24"/>
          <w:lang w:val="es-MX"/>
        </w:rPr>
        <w:t xml:space="preserve"> </w:t>
      </w:r>
      <w:r w:rsidRPr="004E4FDA">
        <w:rPr>
          <w:rFonts w:ascii="Arial" w:hAnsi="Arial" w:cs="Arial"/>
          <w:b w:val="0"/>
          <w:position w:val="-10"/>
          <w:sz w:val="24"/>
          <w:lang w:val="es-MX"/>
        </w:rPr>
        <w:object w:dxaOrig="499" w:dyaOrig="320">
          <v:shape id="_x0000_i1214" type="#_x0000_t75" style="width:21.6pt;height:14.4pt" o:ole="">
            <v:imagedata r:id="rId521" o:title=""/>
          </v:shape>
          <o:OLEObject Type="Embed" ProgID="Equation.DSMT4" ShapeID="_x0000_i1214" DrawAspect="Content" ObjectID="_1660649311" r:id="rId522"/>
        </w:object>
      </w:r>
      <w:r>
        <w:rPr>
          <w:rFonts w:ascii="Arial" w:hAnsi="Arial" w:cs="Arial"/>
          <w:b w:val="0"/>
          <w:sz w:val="24"/>
          <w:lang w:val="es-MX"/>
        </w:rPr>
        <w:t xml:space="preserve"> definida por la ecuación (21</w:t>
      </w:r>
      <w:r w:rsidRPr="004E4FDA">
        <w:rPr>
          <w:rFonts w:ascii="Arial" w:hAnsi="Arial" w:cs="Arial"/>
          <w:b w:val="0"/>
          <w:sz w:val="24"/>
          <w:lang w:val="es-MX"/>
        </w:rPr>
        <w:t xml:space="preserve">) se tiene que </w:t>
      </w:r>
      <w:r w:rsidRPr="004E4FDA">
        <w:rPr>
          <w:rFonts w:ascii="Arial" w:hAnsi="Arial" w:cs="Arial"/>
          <w:b w:val="0"/>
          <w:position w:val="-6"/>
          <w:sz w:val="24"/>
          <w:lang w:val="es-MX"/>
        </w:rPr>
        <w:object w:dxaOrig="1140" w:dyaOrig="279">
          <v:shape id="_x0000_i1215" type="#_x0000_t75" style="width:57.6pt;height:14.4pt" o:ole="">
            <v:imagedata r:id="rId523" o:title=""/>
          </v:shape>
          <o:OLEObject Type="Embed" ProgID="Equation.DSMT4" ShapeID="_x0000_i1215" DrawAspect="Content" ObjectID="_1660649312" r:id="rId524"/>
        </w:object>
      </w:r>
      <w:r w:rsidRPr="004E4FDA">
        <w:rPr>
          <w:rFonts w:ascii="Arial" w:hAnsi="Arial" w:cs="Arial"/>
          <w:b w:val="0"/>
          <w:sz w:val="24"/>
          <w:lang w:val="es-MX"/>
        </w:rPr>
        <w:t>. Por otra parte, la masa contenida en</w:t>
      </w:r>
      <w:r>
        <w:rPr>
          <w:rFonts w:ascii="Arial" w:hAnsi="Arial" w:cs="Arial"/>
          <w:b w:val="0"/>
          <w:sz w:val="24"/>
          <w:lang w:val="es-MX"/>
        </w:rPr>
        <w:t xml:space="preserve"> la función</w:t>
      </w:r>
      <w:r w:rsidRPr="004E4FDA">
        <w:rPr>
          <w:rFonts w:ascii="Arial" w:hAnsi="Arial" w:cs="Arial"/>
          <w:b w:val="0"/>
          <w:sz w:val="24"/>
          <w:lang w:val="es-MX"/>
        </w:rPr>
        <w:t xml:space="preserve"> </w:t>
      </w:r>
      <w:r w:rsidRPr="004E4FDA">
        <w:rPr>
          <w:rFonts w:ascii="Arial" w:hAnsi="Arial" w:cs="Arial"/>
          <w:b w:val="0"/>
          <w:position w:val="-10"/>
          <w:sz w:val="24"/>
          <w:lang w:val="es-MX"/>
        </w:rPr>
        <w:object w:dxaOrig="740" w:dyaOrig="320">
          <v:shape id="_x0000_i1216" type="#_x0000_t75" style="width:36pt;height:14.4pt" o:ole="">
            <v:imagedata r:id="rId525" o:title=""/>
          </v:shape>
          <o:OLEObject Type="Embed" ProgID="Equation.DSMT4" ShapeID="_x0000_i1216" DrawAspect="Content" ObjectID="_1660649313" r:id="rId526"/>
        </w:object>
      </w:r>
      <w:r>
        <w:rPr>
          <w:rFonts w:ascii="Arial" w:hAnsi="Arial" w:cs="Arial"/>
          <w:b w:val="0"/>
          <w:sz w:val="24"/>
          <w:lang w:val="es-MX"/>
        </w:rPr>
        <w:t xml:space="preserve"> se estima como </w:t>
      </w:r>
      <w:r w:rsidRPr="004E4FDA">
        <w:rPr>
          <w:rFonts w:ascii="Arial" w:hAnsi="Arial" w:cs="Arial"/>
          <w:b w:val="0"/>
          <w:position w:val="-18"/>
          <w:sz w:val="24"/>
          <w:lang w:val="es-MX"/>
        </w:rPr>
        <w:object w:dxaOrig="1760" w:dyaOrig="499">
          <v:shape id="_x0000_i1217" type="#_x0000_t75" style="width:86.4pt;height:21.6pt" o:ole="">
            <v:imagedata r:id="rId527" o:title=""/>
          </v:shape>
          <o:OLEObject Type="Embed" ProgID="Equation.DSMT4" ShapeID="_x0000_i1217" DrawAspect="Content" ObjectID="_1660649314" r:id="rId528"/>
        </w:object>
      </w:r>
      <w:r>
        <w:rPr>
          <w:rFonts w:ascii="Arial" w:hAnsi="Arial" w:cs="Arial"/>
          <w:b w:val="0"/>
          <w:sz w:val="24"/>
          <w:lang w:val="es-MX"/>
        </w:rPr>
        <w:t>. En este ejemplo, la función</w:t>
      </w:r>
      <w:r w:rsidRPr="004E4FDA">
        <w:rPr>
          <w:rFonts w:ascii="Arial" w:hAnsi="Arial" w:cs="Arial"/>
          <w:b w:val="0"/>
          <w:sz w:val="24"/>
          <w:lang w:val="es-MX"/>
        </w:rPr>
        <w:t xml:space="preserve"> </w:t>
      </w:r>
      <w:r w:rsidRPr="004E4FDA">
        <w:rPr>
          <w:rFonts w:ascii="Arial" w:hAnsi="Arial" w:cs="Arial"/>
          <w:b w:val="0"/>
          <w:position w:val="-10"/>
          <w:sz w:val="24"/>
          <w:lang w:val="es-MX"/>
        </w:rPr>
        <w:object w:dxaOrig="740" w:dyaOrig="320">
          <v:shape id="_x0000_i1218" type="#_x0000_t75" style="width:36pt;height:14.4pt" o:ole="">
            <v:imagedata r:id="rId525" o:title=""/>
          </v:shape>
          <o:OLEObject Type="Embed" ProgID="Equation.DSMT4" ShapeID="_x0000_i1218" DrawAspect="Content" ObjectID="_1660649315" r:id="rId529"/>
        </w:object>
      </w:r>
      <w:r>
        <w:rPr>
          <w:rFonts w:ascii="Arial" w:hAnsi="Arial" w:cs="Arial"/>
          <w:b w:val="0"/>
          <w:sz w:val="24"/>
          <w:lang w:val="es-MX"/>
        </w:rPr>
        <w:t xml:space="preserve"> y </w:t>
      </w:r>
      <w:r w:rsidRPr="004E4FDA">
        <w:rPr>
          <w:rFonts w:ascii="Arial" w:hAnsi="Arial" w:cs="Arial"/>
          <w:b w:val="0"/>
          <w:sz w:val="24"/>
          <w:lang w:val="es-MX"/>
        </w:rPr>
        <w:t xml:space="preserve">los datos sintéticos </w:t>
      </w:r>
      <w:r w:rsidRPr="004E4FDA">
        <w:rPr>
          <w:rFonts w:ascii="Arial" w:hAnsi="Arial" w:cs="Arial"/>
          <w:b w:val="0"/>
          <w:position w:val="-12"/>
          <w:sz w:val="24"/>
          <w:lang w:val="es-MX"/>
        </w:rPr>
        <w:object w:dxaOrig="220" w:dyaOrig="360">
          <v:shape id="_x0000_i1219" type="#_x0000_t75" style="width:14.4pt;height:21.6pt" o:ole="">
            <v:imagedata r:id="rId530" o:title=""/>
          </v:shape>
          <o:OLEObject Type="Embed" ProgID="Equation.DSMT4" ShapeID="_x0000_i1219" DrawAspect="Content" ObjectID="_1660649316" r:id="rId531"/>
        </w:object>
      </w:r>
      <w:r>
        <w:rPr>
          <w:rFonts w:ascii="Arial" w:hAnsi="Arial" w:cs="Arial"/>
          <w:b w:val="0"/>
          <w:sz w:val="24"/>
          <w:lang w:val="es-MX"/>
        </w:rPr>
        <w:t xml:space="preserve"> contienen l</w:t>
      </w:r>
      <w:r w:rsidRPr="004E4FDA">
        <w:rPr>
          <w:rFonts w:ascii="Arial" w:hAnsi="Arial" w:cs="Arial"/>
          <w:b w:val="0"/>
          <w:sz w:val="24"/>
          <w:lang w:val="es-MX"/>
        </w:rPr>
        <w:t xml:space="preserve">a </w:t>
      </w:r>
      <w:r>
        <w:rPr>
          <w:rFonts w:ascii="Arial" w:hAnsi="Arial" w:cs="Arial"/>
          <w:b w:val="0"/>
          <w:sz w:val="24"/>
          <w:lang w:val="es-MX"/>
        </w:rPr>
        <w:t xml:space="preserve">misma </w:t>
      </w:r>
      <w:r w:rsidRPr="004E4FDA">
        <w:rPr>
          <w:rFonts w:ascii="Arial" w:hAnsi="Arial" w:cs="Arial"/>
          <w:b w:val="0"/>
          <w:sz w:val="24"/>
          <w:lang w:val="es-MX"/>
        </w:rPr>
        <w:t xml:space="preserve">masa </w:t>
      </w:r>
      <w:r w:rsidRPr="004E4FDA">
        <w:rPr>
          <w:rFonts w:ascii="Arial" w:hAnsi="Arial" w:cs="Arial"/>
          <w:b w:val="0"/>
          <w:position w:val="-12"/>
          <w:sz w:val="24"/>
          <w:lang w:val="es-MX"/>
        </w:rPr>
        <w:object w:dxaOrig="1380" w:dyaOrig="360">
          <v:shape id="_x0000_i1220" type="#_x0000_t75" style="width:1in;height:21.6pt" o:ole="">
            <v:imagedata r:id="rId532" o:title=""/>
          </v:shape>
          <o:OLEObject Type="Embed" ProgID="Equation.DSMT4" ShapeID="_x0000_i1220" DrawAspect="Content" ObjectID="_1660649317" r:id="rId533"/>
        </w:object>
      </w:r>
      <w:r w:rsidRPr="004E4FDA">
        <w:rPr>
          <w:rFonts w:ascii="Arial" w:hAnsi="Arial" w:cs="Arial"/>
          <w:b w:val="0"/>
          <w:sz w:val="24"/>
          <w:lang w:val="es-MX"/>
        </w:rPr>
        <w:t>, es decir, la masa cont</w:t>
      </w:r>
      <w:r>
        <w:rPr>
          <w:rFonts w:ascii="Arial" w:hAnsi="Arial" w:cs="Arial"/>
          <w:b w:val="0"/>
          <w:sz w:val="24"/>
          <w:lang w:val="es-MX"/>
        </w:rPr>
        <w:t>enida en los datos representa só</w:t>
      </w:r>
      <w:r w:rsidRPr="004E4FDA">
        <w:rPr>
          <w:rFonts w:ascii="Arial" w:hAnsi="Arial" w:cs="Arial"/>
          <w:b w:val="0"/>
          <w:sz w:val="24"/>
          <w:lang w:val="es-MX"/>
        </w:rPr>
        <w:t xml:space="preserve">lo el 0.56% de la masa total emitida. Por lo tanto, los datos sintéticos </w:t>
      </w:r>
      <w:r w:rsidRPr="004E4FDA">
        <w:rPr>
          <w:rFonts w:ascii="Arial" w:hAnsi="Arial" w:cs="Arial"/>
          <w:b w:val="0"/>
          <w:position w:val="-12"/>
          <w:sz w:val="24"/>
          <w:lang w:val="es-MX"/>
        </w:rPr>
        <w:object w:dxaOrig="220" w:dyaOrig="360">
          <v:shape id="_x0000_i1221" type="#_x0000_t75" style="width:14.4pt;height:21.6pt" o:ole="">
            <v:imagedata r:id="rId534" o:title=""/>
          </v:shape>
          <o:OLEObject Type="Embed" ProgID="Equation.DSMT4" ShapeID="_x0000_i1221" DrawAspect="Content" ObjectID="_1660649318" r:id="rId535"/>
        </w:object>
      </w:r>
      <w:r w:rsidRPr="004E4FDA">
        <w:rPr>
          <w:rFonts w:ascii="Arial" w:hAnsi="Arial" w:cs="Arial"/>
          <w:b w:val="0"/>
          <w:sz w:val="24"/>
          <w:lang w:val="es-MX"/>
        </w:rPr>
        <w:t xml:space="preserve"> contienen menos del 1% de la historia de emisión de la fuente</w:t>
      </w:r>
      <w:r>
        <w:rPr>
          <w:rFonts w:ascii="Arial" w:hAnsi="Arial" w:cs="Arial"/>
          <w:b w:val="0"/>
          <w:sz w:val="24"/>
          <w:lang w:val="es-MX"/>
        </w:rPr>
        <w:t xml:space="preserve">. Dicho de otro modo, al instante </w:t>
      </w:r>
      <w:r w:rsidRPr="00107F5C">
        <w:rPr>
          <w:rFonts w:ascii="Arial" w:hAnsi="Arial" w:cs="Arial"/>
          <w:b w:val="0"/>
          <w:position w:val="-6"/>
          <w:sz w:val="24"/>
          <w:lang w:val="es-MX"/>
        </w:rPr>
        <w:object w:dxaOrig="560" w:dyaOrig="279">
          <v:shape id="_x0000_i1222" type="#_x0000_t75" style="width:28.8pt;height:14.4pt" o:ole="">
            <v:imagedata r:id="rId536" o:title=""/>
          </v:shape>
          <o:OLEObject Type="Embed" ProgID="Equation.DSMT4" ShapeID="_x0000_i1222" DrawAspect="Content" ObjectID="_1660649319" r:id="rId537"/>
        </w:object>
      </w:r>
      <w:r>
        <w:rPr>
          <w:rFonts w:ascii="Arial" w:hAnsi="Arial" w:cs="Arial"/>
          <w:b w:val="0"/>
          <w:sz w:val="24"/>
          <w:lang w:val="es-MX"/>
        </w:rPr>
        <w:t xml:space="preserve"> el 99% de la masa emitida ha salido del domino de observación </w:t>
      </w:r>
      <w:r w:rsidRPr="00176C8D">
        <w:rPr>
          <w:rFonts w:ascii="Arial" w:hAnsi="Arial" w:cs="Arial"/>
          <w:b w:val="0"/>
          <w:position w:val="-4"/>
          <w:sz w:val="24"/>
          <w:lang w:val="es-MX"/>
        </w:rPr>
        <w:object w:dxaOrig="240" w:dyaOrig="260">
          <v:shape id="_x0000_i1223" type="#_x0000_t75" style="width:14.4pt;height:14.4pt" o:ole="">
            <v:imagedata r:id="rId538" o:title=""/>
          </v:shape>
          <o:OLEObject Type="Embed" ProgID="Equation.DSMT4" ShapeID="_x0000_i1223" DrawAspect="Content" ObjectID="_1660649320" r:id="rId539"/>
        </w:object>
      </w:r>
      <w:r>
        <w:rPr>
          <w:rFonts w:ascii="Arial" w:hAnsi="Arial" w:cs="Arial"/>
          <w:b w:val="0"/>
          <w:sz w:val="24"/>
          <w:lang w:val="es-MX"/>
        </w:rPr>
        <w:t xml:space="preserve">, o se ha transformado, y no se ve representada en los datos </w:t>
      </w:r>
      <w:r w:rsidRPr="004E4FDA">
        <w:rPr>
          <w:rFonts w:ascii="Arial" w:hAnsi="Arial" w:cs="Arial"/>
          <w:b w:val="0"/>
          <w:position w:val="-12"/>
          <w:sz w:val="24"/>
          <w:lang w:val="es-MX"/>
        </w:rPr>
        <w:object w:dxaOrig="220" w:dyaOrig="360">
          <v:shape id="_x0000_i1224" type="#_x0000_t75" style="width:14.4pt;height:21.6pt" o:ole="">
            <v:imagedata r:id="rId534" o:title=""/>
          </v:shape>
          <o:OLEObject Type="Embed" ProgID="Equation.DSMT4" ShapeID="_x0000_i1224" DrawAspect="Content" ObjectID="_1660649321" r:id="rId540"/>
        </w:object>
      </w:r>
      <w:r>
        <w:rPr>
          <w:rFonts w:ascii="Arial" w:hAnsi="Arial" w:cs="Arial"/>
          <w:b w:val="0"/>
          <w:sz w:val="24"/>
          <w:lang w:val="es-MX"/>
        </w:rPr>
        <w:t xml:space="preserve">. </w:t>
      </w:r>
      <w:r w:rsidRPr="004E4FDA">
        <w:rPr>
          <w:rFonts w:ascii="Arial" w:hAnsi="Arial" w:cs="Arial"/>
          <w:b w:val="0"/>
          <w:sz w:val="24"/>
          <w:lang w:val="es-MX"/>
        </w:rPr>
        <w:t xml:space="preserve">Tal incertidumbre en la información permite la existencia de muchas funciones de emisión que </w:t>
      </w:r>
      <w:r>
        <w:rPr>
          <w:rFonts w:ascii="Arial" w:hAnsi="Arial" w:cs="Arial"/>
          <w:b w:val="0"/>
          <w:sz w:val="24"/>
          <w:lang w:val="es-MX"/>
        </w:rPr>
        <w:t xml:space="preserve">se </w:t>
      </w:r>
      <w:r w:rsidRPr="004E4FDA">
        <w:rPr>
          <w:rFonts w:ascii="Arial" w:hAnsi="Arial" w:cs="Arial"/>
          <w:b w:val="0"/>
          <w:sz w:val="24"/>
          <w:lang w:val="es-MX"/>
        </w:rPr>
        <w:t xml:space="preserve">ajustan a los datos </w:t>
      </w:r>
      <w:r>
        <w:rPr>
          <w:rFonts w:ascii="Arial" w:hAnsi="Arial" w:cs="Arial"/>
          <w:b w:val="0"/>
          <w:sz w:val="24"/>
          <w:lang w:val="es-MX"/>
        </w:rPr>
        <w:t xml:space="preserve">sintéticos </w:t>
      </w:r>
      <w:r w:rsidRPr="004E4FDA">
        <w:rPr>
          <w:rFonts w:ascii="Arial" w:hAnsi="Arial" w:cs="Arial"/>
          <w:b w:val="0"/>
          <w:sz w:val="24"/>
          <w:lang w:val="es-MX"/>
        </w:rPr>
        <w:t>de concentración</w:t>
      </w:r>
      <w:r>
        <w:rPr>
          <w:rFonts w:ascii="Arial" w:hAnsi="Arial" w:cs="Arial"/>
          <w:b w:val="0"/>
          <w:sz w:val="24"/>
          <w:lang w:val="es-MX"/>
        </w:rPr>
        <w:t xml:space="preserve"> </w:t>
      </w:r>
      <w:r w:rsidRPr="004E4FDA">
        <w:rPr>
          <w:rFonts w:ascii="Arial" w:hAnsi="Arial" w:cs="Arial"/>
          <w:b w:val="0"/>
          <w:position w:val="-12"/>
          <w:sz w:val="24"/>
          <w:lang w:val="es-MX"/>
        </w:rPr>
        <w:object w:dxaOrig="220" w:dyaOrig="360">
          <v:shape id="_x0000_i1225" type="#_x0000_t75" style="width:14.4pt;height:21.6pt" o:ole="">
            <v:imagedata r:id="rId530" o:title=""/>
          </v:shape>
          <o:OLEObject Type="Embed" ProgID="Equation.DSMT4" ShapeID="_x0000_i1225" DrawAspect="Content" ObjectID="_1660649322" r:id="rId541"/>
        </w:object>
      </w:r>
      <w:r>
        <w:rPr>
          <w:rFonts w:ascii="Arial" w:hAnsi="Arial" w:cs="Arial"/>
          <w:b w:val="0"/>
          <w:sz w:val="24"/>
          <w:lang w:val="es-MX"/>
        </w:rPr>
        <w:t xml:space="preserve"> </w:t>
      </w:r>
      <w:r w:rsidRPr="004E4FDA">
        <w:rPr>
          <w:rFonts w:ascii="Arial" w:hAnsi="Arial" w:cs="Arial"/>
          <w:b w:val="0"/>
          <w:sz w:val="24"/>
          <w:lang w:val="es-MX"/>
        </w:rPr>
        <w:t xml:space="preserve">. La tasa </w:t>
      </w:r>
      <w:r w:rsidRPr="004E4FDA">
        <w:rPr>
          <w:rFonts w:ascii="Arial" w:hAnsi="Arial" w:cs="Arial"/>
          <w:b w:val="0"/>
          <w:position w:val="-12"/>
          <w:sz w:val="24"/>
          <w:lang w:val="es-MX"/>
        </w:rPr>
        <w:object w:dxaOrig="580" w:dyaOrig="360">
          <v:shape id="_x0000_i1226" type="#_x0000_t75" style="width:28.8pt;height:21.6pt" o:ole="">
            <v:imagedata r:id="rId542" o:title=""/>
          </v:shape>
          <o:OLEObject Type="Embed" ProgID="Equation.DSMT4" ShapeID="_x0000_i1226" DrawAspect="Content" ObjectID="_1660649323" r:id="rId543"/>
        </w:object>
      </w:r>
      <w:r>
        <w:rPr>
          <w:rFonts w:ascii="Arial" w:hAnsi="Arial" w:cs="Arial"/>
          <w:b w:val="0"/>
          <w:sz w:val="24"/>
          <w:lang w:val="es-MX"/>
        </w:rPr>
        <w:t xml:space="preserve"> que determina</w:t>
      </w:r>
      <w:r w:rsidRPr="004E4FDA">
        <w:rPr>
          <w:rFonts w:ascii="Arial" w:hAnsi="Arial" w:cs="Arial"/>
          <w:b w:val="0"/>
          <w:sz w:val="24"/>
          <w:lang w:val="es-MX"/>
        </w:rPr>
        <w:t xml:space="preserve"> el método de regularización es una de tales funciones.</w:t>
      </w:r>
    </w:p>
    <w:p w:rsidR="00846109" w:rsidRPr="00CD05B7" w:rsidRDefault="00846109" w:rsidP="00846109">
      <w:pPr>
        <w:ind w:firstLine="567"/>
        <w:jc w:val="both"/>
        <w:rPr>
          <w:rFonts w:ascii="Arial" w:hAnsi="Arial" w:cs="Arial"/>
          <w:lang w:val="es-MX"/>
        </w:rPr>
      </w:pPr>
      <w:r>
        <w:rPr>
          <w:rFonts w:ascii="Arial" w:hAnsi="Arial" w:cs="Arial"/>
          <w:lang w:val="es-MX"/>
        </w:rPr>
        <w:t>Un segundo elemento de incertidumbre se explica a través de la siguiente ecuación que ha sido obtenida de la ecuación de balance de masa (5).</w:t>
      </w:r>
    </w:p>
    <w:p w:rsidR="00846109" w:rsidRPr="00CD05B7" w:rsidRDefault="00846109" w:rsidP="00846109">
      <w:pPr>
        <w:jc w:val="both"/>
        <w:rPr>
          <w:rFonts w:ascii="Arial" w:hAnsi="Arial" w:cs="Arial"/>
          <w:lang w:val="es-MX"/>
        </w:rPr>
      </w:pPr>
    </w:p>
    <w:p w:rsidR="00846109" w:rsidRPr="009F2CC8" w:rsidRDefault="00846109" w:rsidP="00846109">
      <w:pPr>
        <w:tabs>
          <w:tab w:val="left" w:pos="9356"/>
        </w:tabs>
        <w:ind w:right="48"/>
        <w:jc w:val="right"/>
        <w:rPr>
          <w:rFonts w:ascii="Arial" w:hAnsi="Arial" w:cs="Arial"/>
          <w:lang w:val="es-MX"/>
        </w:rPr>
      </w:pPr>
      <w:r w:rsidRPr="00CD05B7">
        <w:rPr>
          <w:rFonts w:ascii="Arial" w:hAnsi="Arial" w:cs="Arial"/>
          <w:position w:val="-34"/>
          <w:lang w:val="es-MX"/>
        </w:rPr>
        <w:object w:dxaOrig="5500" w:dyaOrig="800">
          <v:shape id="_x0000_i1227" type="#_x0000_t75" style="width:273.6pt;height:43.2pt" o:ole="">
            <v:imagedata r:id="rId544" o:title=""/>
          </v:shape>
          <o:OLEObject Type="Embed" ProgID="Equation.DSMT4" ShapeID="_x0000_i1227" DrawAspect="Content" ObjectID="_1660649324" r:id="rId545"/>
        </w:object>
      </w:r>
      <w:r w:rsidRPr="009F2CC8">
        <w:rPr>
          <w:rFonts w:ascii="Arial" w:hAnsi="Arial" w:cs="Arial"/>
          <w:lang w:val="es-MX"/>
        </w:rPr>
        <w:t xml:space="preserve">                          (24)</w:t>
      </w:r>
    </w:p>
    <w:p w:rsidR="00846109" w:rsidRPr="00CD05B7" w:rsidRDefault="00846109" w:rsidP="00846109">
      <w:pPr>
        <w:ind w:right="674"/>
        <w:jc w:val="both"/>
        <w:rPr>
          <w:rFonts w:ascii="Arial" w:hAnsi="Arial" w:cs="Arial"/>
          <w:lang w:val="es-MX"/>
        </w:rPr>
      </w:pPr>
    </w:p>
    <w:p w:rsidR="00846109" w:rsidRPr="00CD05B7" w:rsidRDefault="00846109" w:rsidP="00846109">
      <w:pPr>
        <w:pStyle w:val="Textoindependiente"/>
        <w:jc w:val="both"/>
        <w:rPr>
          <w:rFonts w:ascii="Arial" w:hAnsi="Arial" w:cs="Arial"/>
          <w:b w:val="0"/>
          <w:sz w:val="24"/>
          <w:lang w:val="es-MX"/>
        </w:rPr>
      </w:pPr>
      <w:r w:rsidRPr="00CD05B7">
        <w:rPr>
          <w:rFonts w:ascii="Arial" w:hAnsi="Arial" w:cs="Arial"/>
          <w:b w:val="0"/>
          <w:sz w:val="24"/>
          <w:lang w:val="es-MX"/>
        </w:rPr>
        <w:t xml:space="preserve">De tal ecuación es claro que la tasa de emisión depende de la razón de cambio, en cada tiempo </w:t>
      </w:r>
      <w:r w:rsidRPr="00CD05B7">
        <w:rPr>
          <w:rFonts w:ascii="Arial" w:hAnsi="Arial" w:cs="Arial"/>
          <w:b w:val="0"/>
          <w:position w:val="-6"/>
          <w:sz w:val="24"/>
          <w:lang w:val="es-MX"/>
        </w:rPr>
        <w:object w:dxaOrig="560" w:dyaOrig="279">
          <v:shape id="_x0000_i1228" type="#_x0000_t75" style="width:28.8pt;height:14.4pt" o:ole="">
            <v:imagedata r:id="rId546" o:title=""/>
          </v:shape>
          <o:OLEObject Type="Embed" ProgID="Equation.DSMT4" ShapeID="_x0000_i1228" DrawAspect="Content" ObjectID="_1660649325" r:id="rId547"/>
        </w:object>
      </w:r>
      <w:r w:rsidRPr="00CD05B7">
        <w:rPr>
          <w:rFonts w:ascii="Arial" w:hAnsi="Arial" w:cs="Arial"/>
          <w:b w:val="0"/>
          <w:sz w:val="24"/>
          <w:lang w:val="es-MX"/>
        </w:rPr>
        <w:t>, de la integral</w:t>
      </w:r>
      <w:r>
        <w:rPr>
          <w:rFonts w:ascii="Arial" w:hAnsi="Arial" w:cs="Arial"/>
          <w:b w:val="0"/>
          <w:sz w:val="24"/>
          <w:lang w:val="es-MX"/>
        </w:rPr>
        <w:t xml:space="preserve"> </w:t>
      </w:r>
      <w:r w:rsidRPr="00CD05B7">
        <w:rPr>
          <w:rFonts w:ascii="Arial" w:hAnsi="Arial" w:cs="Arial"/>
          <w:b w:val="0"/>
          <w:sz w:val="24"/>
          <w:lang w:val="es-MX"/>
        </w:rPr>
        <w:t>de los valores espacialmente di</w:t>
      </w:r>
      <w:r>
        <w:rPr>
          <w:rFonts w:ascii="Arial" w:hAnsi="Arial" w:cs="Arial"/>
          <w:b w:val="0"/>
          <w:sz w:val="24"/>
          <w:lang w:val="es-MX"/>
        </w:rPr>
        <w:t xml:space="preserve">stribuidos de la </w:t>
      </w:r>
      <w:r w:rsidRPr="00CD05B7">
        <w:rPr>
          <w:rFonts w:ascii="Arial" w:hAnsi="Arial" w:cs="Arial"/>
          <w:b w:val="0"/>
          <w:sz w:val="24"/>
          <w:lang w:val="es-MX"/>
        </w:rPr>
        <w:t xml:space="preserve">concentración </w:t>
      </w:r>
      <w:r w:rsidRPr="00CD05B7">
        <w:rPr>
          <w:rFonts w:ascii="Arial" w:hAnsi="Arial" w:cs="Arial"/>
          <w:b w:val="0"/>
          <w:position w:val="-10"/>
          <w:sz w:val="24"/>
          <w:lang w:val="es-MX"/>
        </w:rPr>
        <w:object w:dxaOrig="200" w:dyaOrig="320">
          <v:shape id="_x0000_i1229" type="#_x0000_t75" style="width:7.2pt;height:14.4pt" o:ole="">
            <v:imagedata r:id="rId548" o:title=""/>
          </v:shape>
          <o:OLEObject Type="Embed" ProgID="Equation.DSMT4" ShapeID="_x0000_i1229" DrawAspect="Content" ObjectID="_1660649326" r:id="rId549"/>
        </w:object>
      </w:r>
      <w:r w:rsidRPr="00CD05B7">
        <w:rPr>
          <w:rFonts w:ascii="Arial" w:hAnsi="Arial" w:cs="Arial"/>
          <w:b w:val="0"/>
          <w:sz w:val="24"/>
          <w:lang w:val="es-MX"/>
        </w:rPr>
        <w:t>, proceso representado por el último término del l</w:t>
      </w:r>
      <w:r>
        <w:rPr>
          <w:rFonts w:ascii="Arial" w:hAnsi="Arial" w:cs="Arial"/>
          <w:b w:val="0"/>
          <w:sz w:val="24"/>
          <w:lang w:val="es-MX"/>
        </w:rPr>
        <w:t>ado derecho de la ecuación (24</w:t>
      </w:r>
      <w:r w:rsidRPr="00CD05B7">
        <w:rPr>
          <w:rFonts w:ascii="Arial" w:hAnsi="Arial" w:cs="Arial"/>
          <w:b w:val="0"/>
          <w:sz w:val="24"/>
          <w:lang w:val="es-MX"/>
        </w:rPr>
        <w:t>).</w:t>
      </w:r>
      <w:r>
        <w:rPr>
          <w:rFonts w:ascii="Arial" w:hAnsi="Arial" w:cs="Arial"/>
          <w:b w:val="0"/>
          <w:sz w:val="24"/>
          <w:lang w:val="es-MX"/>
        </w:rPr>
        <w:t xml:space="preserve"> Tal información no está presente en </w:t>
      </w:r>
      <w:r w:rsidRPr="004E4FDA">
        <w:rPr>
          <w:rFonts w:ascii="Arial" w:hAnsi="Arial" w:cs="Arial"/>
          <w:b w:val="0"/>
          <w:sz w:val="24"/>
          <w:lang w:val="es-MX"/>
        </w:rPr>
        <w:t xml:space="preserve">los datos </w:t>
      </w:r>
      <w:r>
        <w:rPr>
          <w:rFonts w:ascii="Arial" w:hAnsi="Arial" w:cs="Arial"/>
          <w:b w:val="0"/>
          <w:sz w:val="24"/>
          <w:lang w:val="es-MX"/>
        </w:rPr>
        <w:t xml:space="preserve">sintéticos </w:t>
      </w:r>
      <w:r w:rsidRPr="004E4FDA">
        <w:rPr>
          <w:rFonts w:ascii="Arial" w:hAnsi="Arial" w:cs="Arial"/>
          <w:b w:val="0"/>
          <w:sz w:val="24"/>
          <w:lang w:val="es-MX"/>
        </w:rPr>
        <w:t>de concentración</w:t>
      </w:r>
      <w:r>
        <w:rPr>
          <w:rFonts w:ascii="Arial" w:hAnsi="Arial" w:cs="Arial"/>
          <w:b w:val="0"/>
          <w:sz w:val="24"/>
          <w:lang w:val="es-MX"/>
        </w:rPr>
        <w:t xml:space="preserve"> </w:t>
      </w:r>
      <w:r w:rsidRPr="004E4FDA">
        <w:rPr>
          <w:rFonts w:ascii="Arial" w:hAnsi="Arial" w:cs="Arial"/>
          <w:b w:val="0"/>
          <w:position w:val="-12"/>
          <w:sz w:val="24"/>
          <w:lang w:val="es-MX"/>
        </w:rPr>
        <w:object w:dxaOrig="220" w:dyaOrig="360">
          <v:shape id="_x0000_i1230" type="#_x0000_t75" style="width:14.4pt;height:21.6pt" o:ole="">
            <v:imagedata r:id="rId530" o:title=""/>
          </v:shape>
          <o:OLEObject Type="Embed" ProgID="Equation.DSMT4" ShapeID="_x0000_i1230" DrawAspect="Content" ObjectID="_1660649327" r:id="rId550"/>
        </w:object>
      </w:r>
      <w:r>
        <w:rPr>
          <w:rFonts w:ascii="Arial" w:hAnsi="Arial" w:cs="Arial"/>
          <w:b w:val="0"/>
          <w:sz w:val="24"/>
          <w:lang w:val="es-MX"/>
        </w:rPr>
        <w:t xml:space="preserve">, ya que estos datos se obtienen sólo para el tiempo </w:t>
      </w:r>
      <w:r w:rsidRPr="00CD05B7">
        <w:rPr>
          <w:rFonts w:ascii="Arial" w:hAnsi="Arial" w:cs="Arial"/>
          <w:b w:val="0"/>
          <w:position w:val="-6"/>
          <w:sz w:val="24"/>
          <w:lang w:val="es-MX"/>
        </w:rPr>
        <w:object w:dxaOrig="580" w:dyaOrig="279">
          <v:shape id="_x0000_i1231" type="#_x0000_t75" style="width:28.8pt;height:14.4pt" o:ole="">
            <v:imagedata r:id="rId551" o:title=""/>
          </v:shape>
          <o:OLEObject Type="Embed" ProgID="Equation.DSMT4" ShapeID="_x0000_i1231" DrawAspect="Content" ObjectID="_1660649328" r:id="rId552"/>
        </w:object>
      </w:r>
      <w:r>
        <w:rPr>
          <w:rFonts w:ascii="Arial" w:hAnsi="Arial" w:cs="Arial"/>
          <w:b w:val="0"/>
          <w:sz w:val="24"/>
          <w:lang w:val="es-MX"/>
        </w:rPr>
        <w:t>.</w:t>
      </w:r>
      <w:r w:rsidRPr="004809A5">
        <w:rPr>
          <w:rFonts w:ascii="Arial" w:hAnsi="Arial" w:cs="Arial"/>
          <w:b w:val="0"/>
          <w:sz w:val="24"/>
          <w:lang w:val="es-MX"/>
        </w:rPr>
        <w:t xml:space="preserve"> </w:t>
      </w:r>
      <w:r>
        <w:rPr>
          <w:rFonts w:ascii="Arial" w:hAnsi="Arial" w:cs="Arial"/>
          <w:b w:val="0"/>
          <w:sz w:val="24"/>
          <w:lang w:val="es-MX"/>
        </w:rPr>
        <w:t>Como en el caso anterior, t</w:t>
      </w:r>
      <w:r w:rsidRPr="004E4FDA">
        <w:rPr>
          <w:rFonts w:ascii="Arial" w:hAnsi="Arial" w:cs="Arial"/>
          <w:b w:val="0"/>
          <w:sz w:val="24"/>
          <w:lang w:val="es-MX"/>
        </w:rPr>
        <w:t xml:space="preserve">al incertidumbre en la información permite la existencia de muchas funciones de emisión que </w:t>
      </w:r>
      <w:r>
        <w:rPr>
          <w:rFonts w:ascii="Arial" w:hAnsi="Arial" w:cs="Arial"/>
          <w:b w:val="0"/>
          <w:sz w:val="24"/>
          <w:lang w:val="es-MX"/>
        </w:rPr>
        <w:t xml:space="preserve">se </w:t>
      </w:r>
      <w:r w:rsidRPr="004E4FDA">
        <w:rPr>
          <w:rFonts w:ascii="Arial" w:hAnsi="Arial" w:cs="Arial"/>
          <w:b w:val="0"/>
          <w:sz w:val="24"/>
          <w:lang w:val="es-MX"/>
        </w:rPr>
        <w:t xml:space="preserve">ajustan a los datos </w:t>
      </w:r>
      <w:r>
        <w:rPr>
          <w:rFonts w:ascii="Arial" w:hAnsi="Arial" w:cs="Arial"/>
          <w:b w:val="0"/>
          <w:sz w:val="24"/>
          <w:lang w:val="es-MX"/>
        </w:rPr>
        <w:t xml:space="preserve">sintéticos </w:t>
      </w:r>
      <w:r w:rsidRPr="004E4FDA">
        <w:rPr>
          <w:rFonts w:ascii="Arial" w:hAnsi="Arial" w:cs="Arial"/>
          <w:b w:val="0"/>
          <w:sz w:val="24"/>
          <w:lang w:val="es-MX"/>
        </w:rPr>
        <w:t>de concentración</w:t>
      </w:r>
      <w:r>
        <w:rPr>
          <w:rFonts w:ascii="Arial" w:hAnsi="Arial" w:cs="Arial"/>
          <w:b w:val="0"/>
          <w:sz w:val="24"/>
          <w:lang w:val="es-MX"/>
        </w:rPr>
        <w:t>.</w:t>
      </w:r>
    </w:p>
    <w:p w:rsidR="00846109" w:rsidRPr="004E4FDA" w:rsidRDefault="00846109" w:rsidP="00846109">
      <w:pPr>
        <w:pStyle w:val="Textoindependiente"/>
        <w:ind w:firstLine="567"/>
        <w:jc w:val="both"/>
        <w:rPr>
          <w:rFonts w:ascii="Arial" w:hAnsi="Arial" w:cs="Arial"/>
          <w:b w:val="0"/>
          <w:sz w:val="24"/>
          <w:lang w:val="es-MX"/>
        </w:rPr>
      </w:pPr>
      <w:r>
        <w:rPr>
          <w:rFonts w:ascii="Arial" w:hAnsi="Arial" w:cs="Arial"/>
          <w:b w:val="0"/>
          <w:sz w:val="24"/>
          <w:lang w:val="es-MX"/>
        </w:rPr>
        <w:t xml:space="preserve">Finalmente, note que siempre hay una reducción de la </w:t>
      </w:r>
      <w:r w:rsidRPr="004E4FDA">
        <w:rPr>
          <w:rFonts w:ascii="Arial" w:hAnsi="Arial" w:cs="Arial"/>
          <w:b w:val="0"/>
          <w:sz w:val="24"/>
          <w:lang w:val="es-MX"/>
        </w:rPr>
        <w:t xml:space="preserve">información </w:t>
      </w:r>
      <w:r>
        <w:rPr>
          <w:rFonts w:ascii="Arial" w:hAnsi="Arial" w:cs="Arial"/>
          <w:b w:val="0"/>
          <w:sz w:val="24"/>
          <w:lang w:val="es-MX"/>
        </w:rPr>
        <w:t xml:space="preserve">útil sobre una fuente de emisión cuando se utilizan </w:t>
      </w:r>
      <w:r w:rsidRPr="004E4FDA">
        <w:rPr>
          <w:rFonts w:ascii="Arial" w:hAnsi="Arial" w:cs="Arial"/>
          <w:b w:val="0"/>
          <w:sz w:val="24"/>
          <w:lang w:val="es-MX"/>
        </w:rPr>
        <w:t>datos espacialmente distribuidos de la concen</w:t>
      </w:r>
      <w:r>
        <w:rPr>
          <w:rFonts w:ascii="Arial" w:hAnsi="Arial" w:cs="Arial"/>
          <w:b w:val="0"/>
          <w:sz w:val="24"/>
          <w:lang w:val="es-MX"/>
        </w:rPr>
        <w:t>tración de un contaminante, recabados en</w:t>
      </w:r>
      <w:r w:rsidRPr="004E4FDA">
        <w:rPr>
          <w:rFonts w:ascii="Arial" w:hAnsi="Arial" w:cs="Arial"/>
          <w:b w:val="0"/>
          <w:sz w:val="24"/>
          <w:lang w:val="es-MX"/>
        </w:rPr>
        <w:t xml:space="preserve"> dominios acotados con frontera abierta</w:t>
      </w:r>
      <w:r>
        <w:rPr>
          <w:rFonts w:ascii="Arial" w:hAnsi="Arial" w:cs="Arial"/>
          <w:b w:val="0"/>
          <w:sz w:val="24"/>
          <w:lang w:val="es-MX"/>
        </w:rPr>
        <w:t>,</w:t>
      </w:r>
      <w:r w:rsidRPr="004E4FDA">
        <w:rPr>
          <w:rFonts w:ascii="Arial" w:hAnsi="Arial" w:cs="Arial"/>
          <w:b w:val="0"/>
          <w:sz w:val="24"/>
          <w:lang w:val="es-MX"/>
        </w:rPr>
        <w:t xml:space="preserve"> y considerando tiempos grandes en el proceso de dispersión</w:t>
      </w:r>
      <w:r>
        <w:rPr>
          <w:rFonts w:ascii="Arial" w:hAnsi="Arial" w:cs="Arial"/>
          <w:b w:val="0"/>
          <w:sz w:val="24"/>
          <w:lang w:val="es-MX"/>
        </w:rPr>
        <w:t xml:space="preserve"> </w:t>
      </w:r>
      <w:r>
        <w:rPr>
          <w:rFonts w:ascii="Arial" w:hAnsi="Arial" w:cs="Arial"/>
          <w:b w:val="0"/>
          <w:sz w:val="24"/>
          <w:vertAlign w:val="superscript"/>
          <w:lang w:val="es-MX"/>
        </w:rPr>
        <w:t>[5]</w:t>
      </w:r>
      <w:r w:rsidRPr="004E4FDA">
        <w:rPr>
          <w:rFonts w:ascii="Arial" w:hAnsi="Arial" w:cs="Arial"/>
          <w:b w:val="0"/>
          <w:sz w:val="24"/>
          <w:lang w:val="es-MX"/>
        </w:rPr>
        <w:t>.</w:t>
      </w:r>
    </w:p>
    <w:p w:rsidR="00846109" w:rsidRPr="00874662" w:rsidRDefault="00846109" w:rsidP="00846109">
      <w:pPr>
        <w:rPr>
          <w:sz w:val="24"/>
          <w:szCs w:val="24"/>
        </w:rPr>
      </w:pPr>
    </w:p>
    <w:p w:rsidR="00846109" w:rsidRPr="00874662" w:rsidRDefault="00846109" w:rsidP="00846109">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118" w:name="_Toc50031231"/>
      <w:r w:rsidRPr="00874662">
        <w:rPr>
          <w:rFonts w:ascii="Arial" w:hAnsi="Arial" w:cs="Arial"/>
          <w:i/>
          <w:caps/>
          <w:sz w:val="24"/>
          <w:szCs w:val="24"/>
        </w:rPr>
        <w:t xml:space="preserve">5. </w:t>
      </w:r>
      <w:r w:rsidRPr="00874662">
        <w:rPr>
          <w:rFonts w:ascii="Arial" w:hAnsi="Arial" w:cs="Arial"/>
          <w:i/>
          <w:sz w:val="24"/>
          <w:szCs w:val="24"/>
        </w:rPr>
        <w:t>Conclusiones</w:t>
      </w:r>
      <w:bookmarkEnd w:id="118"/>
    </w:p>
    <w:p w:rsidR="00846109" w:rsidRPr="00D85527" w:rsidRDefault="00846109" w:rsidP="00846109">
      <w:pPr>
        <w:numPr>
          <w:ilvl w:val="0"/>
          <w:numId w:val="1"/>
        </w:numPr>
        <w:tabs>
          <w:tab w:val="clear" w:pos="432"/>
          <w:tab w:val="num" w:pos="0"/>
        </w:tabs>
        <w:suppressAutoHyphens/>
        <w:spacing w:after="0" w:line="240" w:lineRule="auto"/>
        <w:ind w:left="0" w:firstLine="567"/>
        <w:jc w:val="both"/>
        <w:rPr>
          <w:rFonts w:ascii="Arial" w:hAnsi="Arial" w:cs="Arial"/>
          <w:color w:val="000000"/>
          <w:lang w:val="es-MX"/>
        </w:rPr>
      </w:pPr>
      <w:r>
        <w:rPr>
          <w:rFonts w:ascii="Arial" w:hAnsi="Arial" w:cs="Arial"/>
          <w:color w:val="000000"/>
          <w:lang w:val="es-MX"/>
        </w:rPr>
        <w:t xml:space="preserve">En este trabajo se ha presentado un </w:t>
      </w:r>
      <w:r w:rsidRPr="00084349">
        <w:rPr>
          <w:rFonts w:ascii="Arial" w:hAnsi="Arial" w:cs="Arial"/>
          <w:color w:val="000000"/>
          <w:lang w:val="es-MX"/>
        </w:rPr>
        <w:t xml:space="preserve">método inverso </w:t>
      </w:r>
      <w:r>
        <w:rPr>
          <w:rFonts w:ascii="Arial" w:hAnsi="Arial" w:cs="Arial"/>
          <w:color w:val="000000"/>
          <w:lang w:val="es-MX"/>
        </w:rPr>
        <w:t>para recuperar la tasa de emisión de una fuente contaminante a partir de datos de concentración. El método se puede formular</w:t>
      </w:r>
      <w:r w:rsidRPr="00084349">
        <w:rPr>
          <w:rFonts w:ascii="Arial" w:hAnsi="Arial" w:cs="Arial"/>
          <w:color w:val="000000"/>
          <w:lang w:val="es-MX"/>
        </w:rPr>
        <w:t xml:space="preserve"> tanto para una</w:t>
      </w:r>
      <w:r>
        <w:rPr>
          <w:rFonts w:ascii="Arial" w:hAnsi="Arial" w:cs="Arial"/>
          <w:color w:val="000000"/>
          <w:lang w:val="es-MX"/>
        </w:rPr>
        <w:t xml:space="preserve"> serie de tiempo de datos </w:t>
      </w:r>
      <w:r w:rsidRPr="00084349">
        <w:rPr>
          <w:rFonts w:ascii="Arial" w:hAnsi="Arial" w:cs="Arial"/>
          <w:color w:val="000000"/>
          <w:lang w:val="es-MX"/>
        </w:rPr>
        <w:t xml:space="preserve">de la concentración de un contaminante atmosférico, </w:t>
      </w:r>
      <w:r>
        <w:rPr>
          <w:rFonts w:ascii="Arial" w:hAnsi="Arial" w:cs="Arial"/>
          <w:color w:val="000000"/>
          <w:lang w:val="es-MX"/>
        </w:rPr>
        <w:t>como para datos</w:t>
      </w:r>
      <w:r w:rsidRPr="00084349">
        <w:rPr>
          <w:rFonts w:ascii="Arial" w:hAnsi="Arial" w:cs="Arial"/>
          <w:color w:val="000000"/>
          <w:lang w:val="es-MX"/>
        </w:rPr>
        <w:t xml:space="preserve"> de la concentración distribuidos en un </w:t>
      </w:r>
      <w:r>
        <w:rPr>
          <w:rFonts w:ascii="Arial" w:hAnsi="Arial" w:cs="Arial"/>
          <w:color w:val="000000"/>
          <w:lang w:val="es-MX"/>
        </w:rPr>
        <w:t>dominio a un tiempo fijo. Las estimaciones</w:t>
      </w:r>
      <w:r w:rsidRPr="00084349">
        <w:rPr>
          <w:rFonts w:ascii="Arial" w:hAnsi="Arial" w:cs="Arial"/>
          <w:color w:val="000000"/>
          <w:lang w:val="es-MX"/>
        </w:rPr>
        <w:t xml:space="preserve"> del método son diferentes con respecto a estos conjuntos de datos. Se obtiene un buen resultado en la recuperación de la tasa de emisión usando series de tiem</w:t>
      </w:r>
      <w:r>
        <w:rPr>
          <w:rFonts w:ascii="Arial" w:hAnsi="Arial" w:cs="Arial"/>
          <w:color w:val="000000"/>
          <w:lang w:val="es-MX"/>
        </w:rPr>
        <w:t xml:space="preserve">po, mientras que </w:t>
      </w:r>
      <w:r w:rsidRPr="00084349">
        <w:rPr>
          <w:rFonts w:ascii="Arial" w:hAnsi="Arial" w:cs="Arial"/>
          <w:color w:val="000000"/>
          <w:lang w:val="es-MX"/>
        </w:rPr>
        <w:t>los datos espacialmente distribuidos no son viables para resolver el problema inverso.</w:t>
      </w:r>
      <w:r>
        <w:rPr>
          <w:rFonts w:ascii="Arial" w:hAnsi="Arial" w:cs="Arial"/>
          <w:color w:val="000000"/>
          <w:lang w:val="es-MX"/>
        </w:rPr>
        <w:t xml:space="preserve"> La razón es que los datos de concentración espacialmente distribuidos no contienen la información completa de la historia de emisión de la fuente contaminante.</w:t>
      </w:r>
    </w:p>
    <w:p w:rsidR="00846109" w:rsidRDefault="00846109" w:rsidP="00846109">
      <w:pPr>
        <w:pStyle w:val="Textoindependiente"/>
        <w:rPr>
          <w:rFonts w:ascii="Arial" w:hAnsi="Arial" w:cs="Arial"/>
          <w:b w:val="0"/>
          <w:sz w:val="24"/>
        </w:rPr>
      </w:pPr>
    </w:p>
    <w:p w:rsidR="00846109" w:rsidRPr="00874662" w:rsidRDefault="00846109" w:rsidP="00846109">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119" w:name="_Toc50031232"/>
      <w:r w:rsidRPr="00874662">
        <w:rPr>
          <w:rFonts w:ascii="Arial" w:hAnsi="Arial" w:cs="Arial"/>
          <w:i/>
          <w:caps/>
          <w:sz w:val="24"/>
          <w:szCs w:val="24"/>
        </w:rPr>
        <w:t xml:space="preserve">6. </w:t>
      </w:r>
      <w:r w:rsidRPr="00874662">
        <w:rPr>
          <w:rFonts w:ascii="Arial" w:hAnsi="Arial" w:cs="Arial"/>
          <w:i/>
          <w:sz w:val="24"/>
          <w:szCs w:val="24"/>
        </w:rPr>
        <w:t>Agradecimientos</w:t>
      </w:r>
      <w:bookmarkEnd w:id="119"/>
    </w:p>
    <w:p w:rsidR="00846109" w:rsidRPr="00CB7879" w:rsidRDefault="00846109" w:rsidP="00846109">
      <w:pPr>
        <w:ind w:firstLine="567"/>
        <w:jc w:val="both"/>
        <w:rPr>
          <w:rFonts w:ascii="Arial" w:hAnsi="Arial" w:cs="Arial"/>
          <w:lang w:val="es-MX"/>
        </w:rPr>
      </w:pPr>
      <w:r w:rsidRPr="00CB7879">
        <w:rPr>
          <w:rFonts w:ascii="Arial" w:hAnsi="Arial" w:cs="Arial"/>
          <w:lang w:val="es-MX"/>
        </w:rPr>
        <w:t>Este trabajo fue apoyado con la becas 25170 y 14539 del Sistema Nacional de Investigadores (SNI, CONACyT, México).</w:t>
      </w:r>
    </w:p>
    <w:p w:rsidR="00846109" w:rsidRPr="00FA5EA4" w:rsidRDefault="00846109" w:rsidP="00846109">
      <w:pPr>
        <w:pStyle w:val="Textoindependiente"/>
        <w:rPr>
          <w:rFonts w:ascii="Arial" w:hAnsi="Arial" w:cs="Arial"/>
          <w:b w:val="0"/>
          <w:sz w:val="24"/>
        </w:rPr>
      </w:pPr>
    </w:p>
    <w:p w:rsidR="00846109" w:rsidRPr="00874662" w:rsidRDefault="00846109" w:rsidP="00846109">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120" w:name="_Toc50031233"/>
      <w:r w:rsidRPr="00874662">
        <w:rPr>
          <w:rFonts w:ascii="Arial" w:hAnsi="Arial" w:cs="Arial"/>
          <w:i/>
          <w:caps/>
          <w:sz w:val="24"/>
          <w:szCs w:val="24"/>
        </w:rPr>
        <w:t xml:space="preserve">7. </w:t>
      </w:r>
      <w:r w:rsidRPr="00874662">
        <w:rPr>
          <w:rFonts w:ascii="Arial" w:hAnsi="Arial" w:cs="Arial"/>
          <w:i/>
          <w:sz w:val="24"/>
          <w:szCs w:val="24"/>
        </w:rPr>
        <w:t>Bibliografía</w:t>
      </w:r>
      <w:bookmarkEnd w:id="120"/>
    </w:p>
    <w:p w:rsidR="00846109" w:rsidRDefault="00846109" w:rsidP="00846109">
      <w:pPr>
        <w:numPr>
          <w:ilvl w:val="0"/>
          <w:numId w:val="7"/>
        </w:numPr>
        <w:suppressAutoHyphens/>
        <w:spacing w:after="0" w:line="240" w:lineRule="auto"/>
        <w:jc w:val="both"/>
        <w:rPr>
          <w:rFonts w:ascii="Arial" w:hAnsi="Arial" w:cs="Arial"/>
          <w:lang w:val="en-US"/>
        </w:rPr>
      </w:pPr>
      <w:r>
        <w:rPr>
          <w:rFonts w:ascii="Arial" w:hAnsi="Arial" w:cs="Arial"/>
          <w:lang w:val="en-US"/>
        </w:rPr>
        <w:t>Aster, R. C., Borchers, B., Thurber, C. H.,</w:t>
      </w:r>
      <w:r w:rsidRPr="007744DE">
        <w:rPr>
          <w:rFonts w:ascii="Arial" w:hAnsi="Arial" w:cs="Arial"/>
          <w:lang w:val="en-US"/>
        </w:rPr>
        <w:t xml:space="preserve"> </w:t>
      </w:r>
      <w:r>
        <w:rPr>
          <w:rFonts w:ascii="Arial" w:hAnsi="Arial" w:cs="Arial"/>
          <w:lang w:val="en-US"/>
        </w:rPr>
        <w:t>“</w:t>
      </w:r>
      <w:r w:rsidRPr="007744DE">
        <w:rPr>
          <w:rFonts w:ascii="Arial" w:hAnsi="Arial" w:cs="Arial"/>
          <w:lang w:val="en-US"/>
        </w:rPr>
        <w:t>Parameter estimation and inverse problems</w:t>
      </w:r>
      <w:r>
        <w:rPr>
          <w:rFonts w:ascii="Arial" w:hAnsi="Arial" w:cs="Arial"/>
          <w:lang w:val="en-US"/>
        </w:rPr>
        <w:t>”, Academic Press, Elsevier, 2013.</w:t>
      </w:r>
    </w:p>
    <w:p w:rsidR="00846109" w:rsidRPr="006C2F8B" w:rsidRDefault="00846109" w:rsidP="00846109">
      <w:pPr>
        <w:numPr>
          <w:ilvl w:val="0"/>
          <w:numId w:val="7"/>
        </w:numPr>
        <w:suppressAutoHyphens/>
        <w:spacing w:after="0" w:line="240" w:lineRule="auto"/>
        <w:jc w:val="both"/>
        <w:rPr>
          <w:rFonts w:ascii="Arial" w:hAnsi="Arial" w:cs="Arial"/>
          <w:lang w:val="ru-RU"/>
        </w:rPr>
      </w:pPr>
      <w:r>
        <w:rPr>
          <w:rFonts w:ascii="Arial" w:hAnsi="Arial" w:cs="Arial"/>
          <w:lang w:val="en-US"/>
        </w:rPr>
        <w:t>Tikhonov, A. N., Arsenin, V. Y.,</w:t>
      </w:r>
      <w:r w:rsidRPr="002551F4">
        <w:rPr>
          <w:rFonts w:ascii="Arial" w:hAnsi="Arial" w:cs="Arial"/>
          <w:lang w:val="en-US"/>
        </w:rPr>
        <w:t xml:space="preserve"> </w:t>
      </w:r>
      <w:r>
        <w:rPr>
          <w:rFonts w:ascii="Arial" w:hAnsi="Arial" w:cs="Arial"/>
          <w:lang w:val="en-US"/>
        </w:rPr>
        <w:t>“</w:t>
      </w:r>
      <w:r w:rsidRPr="002551F4">
        <w:rPr>
          <w:rFonts w:ascii="Arial" w:hAnsi="Arial" w:cs="Arial"/>
          <w:iCs/>
          <w:lang w:val="en-US"/>
        </w:rPr>
        <w:t>Solution of Ill-posed Problems”</w:t>
      </w:r>
      <w:r>
        <w:rPr>
          <w:rFonts w:ascii="Arial" w:hAnsi="Arial" w:cs="Arial"/>
          <w:lang w:val="en-US"/>
        </w:rPr>
        <w:t>. Washington: Wins. &amp; Sons, 1977.</w:t>
      </w:r>
    </w:p>
    <w:p w:rsidR="00846109" w:rsidRDefault="00846109" w:rsidP="00846109">
      <w:pPr>
        <w:numPr>
          <w:ilvl w:val="0"/>
          <w:numId w:val="7"/>
        </w:numPr>
        <w:suppressAutoHyphens/>
        <w:spacing w:after="0" w:line="240" w:lineRule="auto"/>
        <w:jc w:val="both"/>
        <w:rPr>
          <w:rStyle w:val="shorttext"/>
          <w:rFonts w:ascii="Arial" w:hAnsi="Arial" w:cs="Arial"/>
          <w:shd w:val="clear" w:color="auto" w:fill="FFFFFF"/>
          <w:lang w:val="en-GB"/>
        </w:rPr>
      </w:pPr>
      <w:r w:rsidRPr="004A5179">
        <w:rPr>
          <w:rStyle w:val="shorttext"/>
          <w:rFonts w:ascii="Arial" w:hAnsi="Arial" w:cs="Arial"/>
          <w:shd w:val="clear" w:color="auto" w:fill="FFFFFF"/>
          <w:lang w:val="en-US"/>
        </w:rPr>
        <w:t>Skiba, Y. N., Parra-Guevara, D., “</w:t>
      </w:r>
      <w:r w:rsidRPr="006C2F8B">
        <w:rPr>
          <w:rStyle w:val="shorttext"/>
          <w:rFonts w:ascii="Arial" w:hAnsi="Arial" w:cs="Arial"/>
          <w:shd w:val="clear" w:color="auto" w:fill="FFFFFF"/>
          <w:lang w:val="en-GB"/>
        </w:rPr>
        <w:t>Application of adjoint equations to problems of dispersion and control of pollutants</w:t>
      </w:r>
      <w:r>
        <w:rPr>
          <w:rStyle w:val="shorttext"/>
          <w:rFonts w:ascii="Arial" w:hAnsi="Arial" w:cs="Arial"/>
          <w:shd w:val="clear" w:color="auto" w:fill="FFFFFF"/>
          <w:lang w:val="en-GB"/>
        </w:rPr>
        <w:t>”</w:t>
      </w:r>
      <w:r w:rsidRPr="006C2F8B">
        <w:rPr>
          <w:rStyle w:val="shorttext"/>
          <w:rFonts w:ascii="Arial" w:hAnsi="Arial" w:cs="Arial"/>
          <w:shd w:val="clear" w:color="auto" w:fill="FFFFFF"/>
          <w:lang w:val="en-GB"/>
        </w:rPr>
        <w:t xml:space="preserve">. </w:t>
      </w:r>
      <w:r>
        <w:rPr>
          <w:rStyle w:val="shorttext"/>
          <w:rFonts w:ascii="Arial" w:hAnsi="Arial" w:cs="Arial"/>
          <w:shd w:val="clear" w:color="auto" w:fill="FFFFFF"/>
          <w:lang w:val="en-GB"/>
        </w:rPr>
        <w:t xml:space="preserve">New York: </w:t>
      </w:r>
      <w:r w:rsidRPr="006C2F8B">
        <w:rPr>
          <w:rStyle w:val="shorttext"/>
          <w:rFonts w:ascii="Arial" w:hAnsi="Arial" w:cs="Arial"/>
          <w:shd w:val="clear" w:color="auto" w:fill="FFFFFF"/>
          <w:lang w:val="en-GB"/>
        </w:rPr>
        <w:t>Nova Sci</w:t>
      </w:r>
      <w:r>
        <w:rPr>
          <w:rStyle w:val="shorttext"/>
          <w:rFonts w:ascii="Arial" w:hAnsi="Arial" w:cs="Arial"/>
          <w:shd w:val="clear" w:color="auto" w:fill="FFFFFF"/>
          <w:lang w:val="en-GB"/>
        </w:rPr>
        <w:t>ence Publishers, 2015</w:t>
      </w:r>
      <w:r w:rsidRPr="006C2F8B">
        <w:rPr>
          <w:rStyle w:val="shorttext"/>
          <w:rFonts w:ascii="Arial" w:hAnsi="Arial" w:cs="Arial"/>
          <w:shd w:val="clear" w:color="auto" w:fill="FFFFFF"/>
          <w:lang w:val="en-GB"/>
        </w:rPr>
        <w:t>.</w:t>
      </w:r>
    </w:p>
    <w:p w:rsidR="00846109" w:rsidRDefault="00846109" w:rsidP="00846109">
      <w:pPr>
        <w:numPr>
          <w:ilvl w:val="0"/>
          <w:numId w:val="7"/>
        </w:numPr>
        <w:suppressAutoHyphens/>
        <w:spacing w:after="0" w:line="240" w:lineRule="auto"/>
        <w:jc w:val="both"/>
        <w:rPr>
          <w:rFonts w:ascii="Arial" w:hAnsi="Arial" w:cs="Arial"/>
          <w:lang w:val="en-GB"/>
        </w:rPr>
      </w:pPr>
      <w:r>
        <w:rPr>
          <w:rFonts w:ascii="Arial" w:hAnsi="Arial" w:cs="Arial"/>
          <w:lang w:val="en-GB"/>
        </w:rPr>
        <w:lastRenderedPageBreak/>
        <w:t xml:space="preserve">Vautard, R., </w:t>
      </w:r>
      <w:r w:rsidRPr="00CA78C0">
        <w:rPr>
          <w:rFonts w:ascii="Arial" w:hAnsi="Arial" w:cs="Arial"/>
          <w:lang w:val="en-GB"/>
        </w:rPr>
        <w:t>Beekmann</w:t>
      </w:r>
      <w:r>
        <w:rPr>
          <w:rFonts w:ascii="Arial" w:hAnsi="Arial" w:cs="Arial"/>
          <w:lang w:val="en-GB"/>
        </w:rPr>
        <w:t xml:space="preserve">, M., </w:t>
      </w:r>
      <w:r w:rsidRPr="00CA78C0">
        <w:rPr>
          <w:rFonts w:ascii="Arial" w:hAnsi="Arial" w:cs="Arial"/>
          <w:lang w:val="en-GB"/>
        </w:rPr>
        <w:t>Menut</w:t>
      </w:r>
      <w:r>
        <w:rPr>
          <w:rFonts w:ascii="Arial" w:hAnsi="Arial" w:cs="Arial"/>
          <w:lang w:val="en-GB"/>
        </w:rPr>
        <w:t>, L.,</w:t>
      </w:r>
      <w:r w:rsidRPr="00CA78C0">
        <w:rPr>
          <w:rFonts w:ascii="Arial" w:hAnsi="Arial" w:cs="Arial"/>
          <w:lang w:val="en-GB"/>
        </w:rPr>
        <w:t xml:space="preserve"> Applications of adjoint modelling in atmospheric chemistry: sensitivity and inverse modelling. Environmental Modelling and Software</w:t>
      </w:r>
      <w:r>
        <w:rPr>
          <w:rFonts w:ascii="Arial" w:hAnsi="Arial" w:cs="Arial"/>
          <w:lang w:val="en-GB"/>
        </w:rPr>
        <w:t>, Elsevier, 15, 703-709, 2000.</w:t>
      </w:r>
    </w:p>
    <w:p w:rsidR="00846109" w:rsidRDefault="00846109" w:rsidP="00846109">
      <w:pPr>
        <w:numPr>
          <w:ilvl w:val="0"/>
          <w:numId w:val="7"/>
        </w:numPr>
        <w:suppressAutoHyphens/>
        <w:spacing w:after="0" w:line="240" w:lineRule="auto"/>
        <w:jc w:val="both"/>
        <w:rPr>
          <w:rFonts w:ascii="Arial" w:hAnsi="Arial" w:cs="Arial"/>
          <w:lang w:val="en-US"/>
        </w:rPr>
      </w:pPr>
      <w:r>
        <w:rPr>
          <w:rFonts w:ascii="Arial" w:hAnsi="Arial" w:cs="Arial"/>
          <w:lang w:val="en-US"/>
        </w:rPr>
        <w:t>Enting, I. G.,</w:t>
      </w:r>
      <w:r w:rsidRPr="003B35E3">
        <w:rPr>
          <w:rFonts w:ascii="Arial" w:hAnsi="Arial" w:cs="Arial"/>
          <w:lang w:val="en-US"/>
        </w:rPr>
        <w:t xml:space="preserve"> </w:t>
      </w:r>
      <w:r>
        <w:rPr>
          <w:rFonts w:ascii="Arial" w:hAnsi="Arial" w:cs="Arial"/>
          <w:lang w:val="en-US"/>
        </w:rPr>
        <w:t>“</w:t>
      </w:r>
      <w:r w:rsidRPr="003B35E3">
        <w:rPr>
          <w:rFonts w:ascii="Arial" w:hAnsi="Arial" w:cs="Arial"/>
          <w:iCs/>
          <w:lang w:val="en-US"/>
        </w:rPr>
        <w:t>Inverse problems in atmospheric constituent transport</w:t>
      </w:r>
      <w:r>
        <w:rPr>
          <w:rFonts w:ascii="Arial" w:hAnsi="Arial" w:cs="Arial"/>
          <w:iCs/>
          <w:lang w:val="en-US"/>
        </w:rPr>
        <w:t>”</w:t>
      </w:r>
      <w:r w:rsidRPr="003B35E3">
        <w:rPr>
          <w:rFonts w:ascii="Arial" w:hAnsi="Arial" w:cs="Arial"/>
          <w:lang w:val="en-US"/>
        </w:rPr>
        <w:t xml:space="preserve">. </w:t>
      </w:r>
      <w:r>
        <w:rPr>
          <w:rFonts w:ascii="Arial" w:hAnsi="Arial" w:cs="Arial"/>
          <w:lang w:val="en-US"/>
        </w:rPr>
        <w:t>UK: Cambridge University Press, 2002</w:t>
      </w:r>
      <w:r w:rsidRPr="003B35E3">
        <w:rPr>
          <w:rFonts w:ascii="Arial" w:hAnsi="Arial" w:cs="Arial"/>
          <w:lang w:val="en-US"/>
        </w:rPr>
        <w:t>.</w:t>
      </w:r>
    </w:p>
    <w:p w:rsidR="00846109" w:rsidRPr="00C67C43" w:rsidRDefault="00846109" w:rsidP="00846109">
      <w:pPr>
        <w:numPr>
          <w:ilvl w:val="0"/>
          <w:numId w:val="7"/>
        </w:numPr>
        <w:tabs>
          <w:tab w:val="left" w:pos="750"/>
        </w:tabs>
        <w:suppressAutoHyphens/>
        <w:spacing w:after="0" w:line="240" w:lineRule="auto"/>
        <w:jc w:val="both"/>
        <w:rPr>
          <w:rFonts w:ascii="Arial" w:hAnsi="Arial" w:cs="Arial"/>
          <w:lang w:val="en-US"/>
        </w:rPr>
      </w:pPr>
      <w:r>
        <w:rPr>
          <w:rFonts w:ascii="Arial" w:hAnsi="Arial" w:cs="Arial"/>
          <w:bCs/>
          <w:lang w:val="es-MX"/>
        </w:rPr>
        <w:t>Parra-Guevara, D., Skiba</w:t>
      </w:r>
      <w:r>
        <w:rPr>
          <w:rFonts w:ascii="Arial" w:hAnsi="Arial" w:cs="Arial"/>
          <w:lang w:val="es-MX"/>
        </w:rPr>
        <w:t>, Y. N.,</w:t>
      </w:r>
      <w:r w:rsidRPr="003A7EB2">
        <w:rPr>
          <w:rFonts w:ascii="Arial" w:hAnsi="Arial" w:cs="Arial"/>
        </w:rPr>
        <w:t xml:space="preserve"> Recuperación de la tasa de emisión de una fuente contaminante: Análisis de la existencia, la unicidad y la estabilidad de las soluciones. Información Tecnológica. </w:t>
      </w:r>
      <w:r>
        <w:rPr>
          <w:rFonts w:ascii="Arial" w:hAnsi="Arial" w:cs="Arial"/>
        </w:rPr>
        <w:t>27 (5), 251-262, 2016.</w:t>
      </w:r>
    </w:p>
    <w:p w:rsidR="00705D32" w:rsidRPr="00E94344" w:rsidRDefault="00846109" w:rsidP="00846109">
      <w:pPr>
        <w:ind w:left="708" w:hanging="708"/>
        <w:rPr>
          <w:lang w:val="es-MX"/>
        </w:rPr>
      </w:pPr>
      <w:r w:rsidRPr="004A5179">
        <w:rPr>
          <w:rFonts w:ascii="Arial" w:hAnsi="Arial" w:cs="Arial"/>
          <w:bCs/>
          <w:lang w:val="en-US"/>
        </w:rPr>
        <w:t xml:space="preserve">Parra-Guevara, D., Skiba, Y. N., Reyes-Romero, A., </w:t>
      </w:r>
      <w:r w:rsidRPr="00C67C43">
        <w:rPr>
          <w:rFonts w:ascii="Arial" w:hAnsi="Arial" w:cs="Arial"/>
          <w:bCs/>
          <w:lang w:val="en-US"/>
        </w:rPr>
        <w:t xml:space="preserve">Existence and uniqueness of the regularized solution in the problem of recovery the non-steady emission rate of a point source: Application of the adjoint method. In: </w:t>
      </w:r>
      <w:r>
        <w:rPr>
          <w:rFonts w:ascii="Arial" w:hAnsi="Arial" w:cs="Arial"/>
          <w:bCs/>
          <w:lang w:val="en-US"/>
        </w:rPr>
        <w:t>“</w:t>
      </w:r>
      <w:r w:rsidRPr="00353AB8">
        <w:rPr>
          <w:rFonts w:ascii="Arial" w:hAnsi="Arial" w:cs="Arial"/>
          <w:bCs/>
          <w:lang w:val="en-US"/>
        </w:rPr>
        <w:t>Engineering Optimization IV</w:t>
      </w:r>
      <w:r>
        <w:rPr>
          <w:rFonts w:ascii="Arial" w:hAnsi="Arial" w:cs="Arial"/>
          <w:bCs/>
          <w:lang w:val="en-US"/>
        </w:rPr>
        <w:t>”</w:t>
      </w:r>
      <w:r w:rsidRPr="00C67C43">
        <w:rPr>
          <w:rFonts w:ascii="Arial" w:hAnsi="Arial" w:cs="Arial"/>
          <w:bCs/>
          <w:lang w:val="en-US"/>
        </w:rPr>
        <w:t>, Rodr</w:t>
      </w:r>
      <w:r>
        <w:rPr>
          <w:rFonts w:ascii="Arial" w:hAnsi="Arial" w:cs="Arial"/>
          <w:bCs/>
          <w:lang w:val="en-US"/>
        </w:rPr>
        <w:t xml:space="preserve">igues, H.C., et al. (eds.), </w:t>
      </w:r>
      <w:r w:rsidRPr="00C67C43">
        <w:rPr>
          <w:rFonts w:ascii="Arial" w:hAnsi="Arial" w:cs="Arial"/>
          <w:bCs/>
          <w:lang w:val="en-US"/>
        </w:rPr>
        <w:t xml:space="preserve">181-186. </w:t>
      </w:r>
      <w:r w:rsidRPr="00E94344">
        <w:rPr>
          <w:rFonts w:ascii="Arial" w:hAnsi="Arial" w:cs="Arial"/>
          <w:bCs/>
          <w:lang w:val="es-MX"/>
        </w:rPr>
        <w:t>London: CRC Press/Balkema, Taylor and Francis Group, 2015.</w:t>
      </w:r>
    </w:p>
    <w:p w:rsidR="002429F5" w:rsidRPr="00E94344" w:rsidRDefault="002429F5" w:rsidP="0049551D">
      <w:pPr>
        <w:rPr>
          <w:lang w:val="es-MX"/>
        </w:rPr>
      </w:pPr>
    </w:p>
    <w:p w:rsidR="00B31CE1" w:rsidRDefault="00B31CE1" w:rsidP="00B31CE1">
      <w:pPr>
        <w:pStyle w:val="1Titulo"/>
        <w:numPr>
          <w:ilvl w:val="0"/>
          <w:numId w:val="0"/>
        </w:numPr>
        <w:ind w:left="357"/>
        <w:jc w:val="center"/>
      </w:pPr>
      <w:bookmarkStart w:id="121" w:name="_Toc50031234"/>
      <w:r>
        <w:t xml:space="preserve">Metodología Bootstrap en la predicción </w:t>
      </w:r>
      <w:r w:rsidRPr="0099528E">
        <w:t>del Índice de la Bolsa de Valores de Lima</w:t>
      </w:r>
      <w:r>
        <w:t>, Perú (S&amp;P/BVL)</w:t>
      </w:r>
      <w:bookmarkEnd w:id="121"/>
    </w:p>
    <w:p w:rsidR="00B31CE1" w:rsidRDefault="00B31CE1" w:rsidP="00B31CE1">
      <w:pPr>
        <w:jc w:val="center"/>
      </w:pPr>
      <w:r w:rsidRPr="00590FFB">
        <w:rPr>
          <w:rStyle w:val="Refdenotaalpie"/>
        </w:rPr>
        <w:footnoteReference w:id="1"/>
      </w:r>
      <w:r w:rsidRPr="00EC52C8">
        <w:t>Juan Carlos Orosco Gavilán</w:t>
      </w:r>
    </w:p>
    <w:p w:rsidR="00B31CE1" w:rsidRDefault="00B31CE1" w:rsidP="00B31CE1">
      <w:pPr>
        <w:jc w:val="center"/>
      </w:pPr>
    </w:p>
    <w:p w:rsidR="00B31CE1" w:rsidRPr="0099528E" w:rsidRDefault="00B31CE1" w:rsidP="00B31CE1">
      <w:pPr>
        <w:jc w:val="center"/>
      </w:pPr>
      <w:r w:rsidRPr="0099528E">
        <w:rPr>
          <w:rStyle w:val="Refdenotaalpie"/>
        </w:rPr>
        <w:footnoteRef/>
      </w:r>
      <w:r w:rsidRPr="0099528E">
        <w:t>Universidad Privada del Norte, Lima, Perú</w:t>
      </w:r>
      <w:r>
        <w:t>.</w:t>
      </w:r>
      <w:r w:rsidRPr="0099528E">
        <w:t xml:space="preserve"> juan.orosco@upn.edu.pe</w:t>
      </w:r>
    </w:p>
    <w:p w:rsidR="00B31CE1" w:rsidRPr="004E5BEB" w:rsidRDefault="00B31CE1" w:rsidP="00133D30">
      <w:pPr>
        <w:pStyle w:val="1Titulo"/>
        <w:numPr>
          <w:ilvl w:val="0"/>
          <w:numId w:val="35"/>
        </w:numPr>
      </w:pPr>
      <w:bookmarkStart w:id="122" w:name="_Toc50031235"/>
      <w:r w:rsidRPr="004E5BEB">
        <w:t>Resumen</w:t>
      </w:r>
      <w:bookmarkEnd w:id="122"/>
    </w:p>
    <w:p w:rsidR="00B31CE1" w:rsidRPr="004E5BEB" w:rsidRDefault="00B31CE1" w:rsidP="00B31CE1">
      <w:pPr>
        <w:spacing w:before="100" w:beforeAutospacing="1" w:after="100" w:afterAutospacing="1"/>
        <w:jc w:val="both"/>
        <w:rPr>
          <w:rFonts w:ascii="Arial" w:hAnsi="Arial" w:cs="Arial"/>
        </w:rPr>
      </w:pPr>
      <w:r w:rsidRPr="0099528E">
        <w:rPr>
          <w:rFonts w:ascii="Arial" w:hAnsi="Arial" w:cs="Arial"/>
        </w:rPr>
        <w:t xml:space="preserve">La presente investigación es de naturaleza aplicada, y tiene el objetivo de analizar y evaluar la metodología Bootstrap en modelos heterocedásticos aplicados en la predicción del Índice de la Bolsa de Valores de Lima (S&amp;P/BVL), periodo 2017 – 2019. A partir del algoritmo </w:t>
      </w:r>
      <w:r>
        <w:rPr>
          <w:rFonts w:ascii="Arial" w:hAnsi="Arial" w:cs="Arial"/>
        </w:rPr>
        <w:t>de</w:t>
      </w:r>
      <w:r w:rsidRPr="0099528E">
        <w:rPr>
          <w:rFonts w:ascii="Arial" w:hAnsi="Arial" w:cs="Arial"/>
        </w:rPr>
        <w:t xml:space="preserve"> procesos heterocedásticos GARCH con Bootstrap propuesto por Pascua</w:t>
      </w:r>
      <w:r>
        <w:rPr>
          <w:rFonts w:ascii="Arial" w:hAnsi="Arial" w:cs="Arial"/>
        </w:rPr>
        <w:t>l</w:t>
      </w:r>
      <w:r w:rsidRPr="00F01704">
        <w:rPr>
          <w:rFonts w:ascii="Arial" w:hAnsi="Arial" w:cs="Arial"/>
          <w:vertAlign w:val="superscript"/>
        </w:rPr>
        <w:t>(1)</w:t>
      </w:r>
      <w:r w:rsidRPr="0099528E">
        <w:rPr>
          <w:rFonts w:ascii="Arial" w:hAnsi="Arial" w:cs="Arial"/>
        </w:rPr>
        <w:t xml:space="preserve"> siendo esta generalizado para otros tipos de modelos heterocedásticos; fueron obtenidas las predicciones mediante la metodología paramétrica y metodología Bootstrap, que fueron comparados con valores reales y finalmente fueron evaluados los desempeños de ambas metodologías. Del estudio se obtuvo que los modelos que mejor ajustan a la serie son los modelos ARMA(</w:t>
      </w:r>
      <w:r>
        <w:rPr>
          <w:rFonts w:ascii="Arial" w:hAnsi="Arial" w:cs="Arial"/>
        </w:rPr>
        <w:t>1</w:t>
      </w:r>
      <w:r w:rsidRPr="0099528E">
        <w:rPr>
          <w:rFonts w:ascii="Arial" w:hAnsi="Arial" w:cs="Arial"/>
        </w:rPr>
        <w:t>,</w:t>
      </w:r>
      <w:r>
        <w:rPr>
          <w:rFonts w:ascii="Arial" w:hAnsi="Arial" w:cs="Arial"/>
        </w:rPr>
        <w:t>0</w:t>
      </w:r>
      <w:r w:rsidRPr="0099528E">
        <w:rPr>
          <w:rFonts w:ascii="Arial" w:hAnsi="Arial" w:cs="Arial"/>
        </w:rPr>
        <w:t xml:space="preserve">)-EGARCH(1,1) con supuestos </w:t>
      </w:r>
      <w:r>
        <w:rPr>
          <w:rFonts w:ascii="Arial" w:hAnsi="Arial" w:cs="Arial"/>
        </w:rPr>
        <w:t>de los residuales con</w:t>
      </w:r>
      <w:r w:rsidRPr="0099528E">
        <w:rPr>
          <w:rFonts w:ascii="Arial" w:hAnsi="Arial" w:cs="Arial"/>
        </w:rPr>
        <w:t xml:space="preserve"> distribuci</w:t>
      </w:r>
      <w:r>
        <w:rPr>
          <w:rFonts w:ascii="Arial" w:hAnsi="Arial" w:cs="Arial"/>
        </w:rPr>
        <w:t>ones</w:t>
      </w:r>
      <w:r w:rsidRPr="0099528E">
        <w:rPr>
          <w:rFonts w:ascii="Arial" w:hAnsi="Arial" w:cs="Arial"/>
        </w:rPr>
        <w:t xml:space="preserve"> Normal y t</w:t>
      </w:r>
      <w:r>
        <w:rPr>
          <w:rFonts w:ascii="Arial" w:hAnsi="Arial" w:cs="Arial"/>
        </w:rPr>
        <w:t>-</w:t>
      </w:r>
      <w:r w:rsidRPr="0099528E">
        <w:rPr>
          <w:rFonts w:ascii="Arial" w:hAnsi="Arial" w:cs="Arial"/>
        </w:rPr>
        <w:t xml:space="preserve">Student </w:t>
      </w:r>
      <w:r w:rsidRPr="004E5BEB">
        <w:rPr>
          <w:rFonts w:ascii="Arial" w:hAnsi="Arial" w:cs="Arial"/>
        </w:rPr>
        <w:t>con 5 grados de liberta</w:t>
      </w:r>
      <w:r>
        <w:rPr>
          <w:rFonts w:ascii="Arial" w:hAnsi="Arial" w:cs="Arial"/>
        </w:rPr>
        <w:t>.</w:t>
      </w:r>
      <w:r w:rsidRPr="004E5BEB">
        <w:rPr>
          <w:rFonts w:ascii="Arial" w:hAnsi="Arial" w:cs="Arial"/>
        </w:rPr>
        <w:t xml:space="preserve"> </w:t>
      </w:r>
      <w:r>
        <w:rPr>
          <w:rFonts w:ascii="Arial" w:hAnsi="Arial" w:cs="Arial"/>
        </w:rPr>
        <w:t>E</w:t>
      </w:r>
      <w:r w:rsidRPr="004E5BEB">
        <w:rPr>
          <w:rFonts w:ascii="Arial" w:hAnsi="Arial" w:cs="Arial"/>
        </w:rPr>
        <w:t>l estudio comparativo mostró que la aplicación de la metodología Bootstrap en la serie de los retornos del Índice de la Bolsa de Valores de Lima, permite obtener  intervalos de predicciones con mayores e iguales amplitudes en algunos horizontes hacia adelante en comparación con la metodología paramétrica, y también permitió construir con un buen desempeño los intervalos de predicción para las volatilidades, así</w:t>
      </w:r>
      <w:r>
        <w:rPr>
          <w:rFonts w:ascii="Arial" w:hAnsi="Arial" w:cs="Arial"/>
        </w:rPr>
        <w:t>,</w:t>
      </w:r>
      <w:r w:rsidRPr="004E5BEB">
        <w:rPr>
          <w:rFonts w:ascii="Arial" w:hAnsi="Arial" w:cs="Arial"/>
        </w:rPr>
        <w:t xml:space="preserve"> siendo esta una alternativa para la construcción de intervalos de predicción en los modelos heterocedásticos</w:t>
      </w:r>
    </w:p>
    <w:p w:rsidR="00B31CE1" w:rsidRPr="004E5BEB" w:rsidRDefault="00B31CE1" w:rsidP="00133D30">
      <w:pPr>
        <w:pStyle w:val="1Titulo"/>
        <w:numPr>
          <w:ilvl w:val="0"/>
          <w:numId w:val="35"/>
        </w:numPr>
      </w:pPr>
      <w:bookmarkStart w:id="123" w:name="_Toc50031236"/>
      <w:r w:rsidRPr="004E5BEB">
        <w:t>Introducción</w:t>
      </w:r>
      <w:bookmarkEnd w:id="123"/>
    </w:p>
    <w:p w:rsidR="00B31CE1" w:rsidRPr="00441C88" w:rsidRDefault="00B31CE1" w:rsidP="00B31CE1">
      <w:pPr>
        <w:spacing w:before="100" w:beforeAutospacing="1" w:after="100" w:afterAutospacing="1"/>
        <w:jc w:val="both"/>
        <w:rPr>
          <w:rFonts w:ascii="Arial" w:hAnsi="Arial" w:cs="Arial"/>
          <w:b/>
          <w:lang w:val="es-MX"/>
        </w:rPr>
      </w:pPr>
      <w:r>
        <w:rPr>
          <w:rFonts w:ascii="Arial" w:hAnsi="Arial" w:cs="Arial"/>
        </w:rPr>
        <w:lastRenderedPageBreak/>
        <w:t>La predicción es u</w:t>
      </w:r>
      <w:r w:rsidRPr="004E5BEB">
        <w:rPr>
          <w:rFonts w:ascii="Arial" w:hAnsi="Arial" w:cs="Arial"/>
        </w:rPr>
        <w:t xml:space="preserve">no de los principales objetivos </w:t>
      </w:r>
      <w:r>
        <w:rPr>
          <w:rFonts w:ascii="Arial" w:hAnsi="Arial" w:cs="Arial"/>
        </w:rPr>
        <w:t>en</w:t>
      </w:r>
      <w:r w:rsidRPr="004E5BEB">
        <w:rPr>
          <w:rFonts w:ascii="Arial" w:hAnsi="Arial" w:cs="Arial"/>
        </w:rPr>
        <w:t xml:space="preserve"> la aplicación de los modelos de series temporales, y es de interés en muchas áreas de conocimiento. En los mercados financieros, la predicción es un</w:t>
      </w:r>
      <w:r w:rsidRPr="0099528E">
        <w:rPr>
          <w:rFonts w:ascii="Arial" w:hAnsi="Arial" w:cs="Arial"/>
        </w:rPr>
        <w:t xml:space="preserve"> gran desafío para la </w:t>
      </w:r>
      <w:r>
        <w:rPr>
          <w:rFonts w:ascii="Arial" w:hAnsi="Arial" w:cs="Arial"/>
        </w:rPr>
        <w:t>e</w:t>
      </w:r>
      <w:r w:rsidRPr="0099528E">
        <w:rPr>
          <w:rFonts w:ascii="Arial" w:hAnsi="Arial" w:cs="Arial"/>
        </w:rPr>
        <w:t>stadística, pues la respuesta correcta a preguntas como,</w:t>
      </w:r>
      <w:r>
        <w:rPr>
          <w:rFonts w:ascii="Arial" w:hAnsi="Arial" w:cs="Arial"/>
        </w:rPr>
        <w:t xml:space="preserve"> </w:t>
      </w:r>
      <w:r w:rsidRPr="0099528E">
        <w:rPr>
          <w:rFonts w:ascii="Arial" w:hAnsi="Arial" w:cs="Arial"/>
        </w:rPr>
        <w:t>por ejemplo, si las acciones de la bolsa de valores van a subir, o si el valor del dólar va a caer, pueden significar un gran lucro o perjuicio para los inversores individuales o empresariales. Así también el comportamiento de los mercados bursátiles y su evolución ha despertado mucho interés en estos últimos tiempos entre los agentes económicos, ello se debe a que constituyen un medio de financiamiento de la actividad productiva de las empresas a partir del ahorro de los inversionistas.</w:t>
      </w:r>
    </w:p>
    <w:p w:rsidR="00B31CE1" w:rsidRDefault="00B31CE1" w:rsidP="00B31CE1">
      <w:pPr>
        <w:spacing w:before="100" w:beforeAutospacing="1" w:after="100" w:afterAutospacing="1"/>
        <w:jc w:val="both"/>
        <w:rPr>
          <w:rFonts w:ascii="Arial" w:hAnsi="Arial" w:cs="Arial"/>
        </w:rPr>
      </w:pPr>
      <w:r w:rsidRPr="0099528E">
        <w:rPr>
          <w:rFonts w:ascii="Arial" w:hAnsi="Arial" w:cs="Arial"/>
        </w:rPr>
        <w:t>La gran mayoría de las series de tipo financieras el supuesto de homocedasticidad resulta inadecuado, ya que a lo largo del tiempo su comportamiento no es estacionario ni en media ni en varianza, generando volatilidades altas para unos períodos y bajas para otros, siendo frecuente este tipo de cambios. Para esto se han desarrollado varios modelos, con el fin de capturar el efecto de la volatilidad, entre ellos se encuentran principalmente los modelos ARCH y GARCH, y sus extensiones como EGARCH, PGARCH, TGARCH</w:t>
      </w:r>
      <w:r>
        <w:rPr>
          <w:rFonts w:ascii="Arial" w:hAnsi="Arial" w:cs="Arial"/>
        </w:rPr>
        <w:t>.</w:t>
      </w:r>
      <w:r w:rsidRPr="00E9167E">
        <w:rPr>
          <w:rFonts w:ascii="Arial" w:hAnsi="Arial" w:cs="Arial"/>
          <w:vertAlign w:val="superscript"/>
        </w:rPr>
        <w:t>(2)</w:t>
      </w:r>
    </w:p>
    <w:p w:rsidR="00B31CE1" w:rsidRPr="0099528E" w:rsidRDefault="00B31CE1" w:rsidP="00B31CE1">
      <w:pPr>
        <w:spacing w:before="100" w:beforeAutospacing="1" w:after="100" w:afterAutospacing="1"/>
        <w:jc w:val="both"/>
        <w:rPr>
          <w:rFonts w:ascii="Arial" w:hAnsi="Arial" w:cs="Arial"/>
        </w:rPr>
      </w:pPr>
      <w:r>
        <w:rPr>
          <w:rFonts w:ascii="Arial" w:hAnsi="Arial" w:cs="Arial"/>
        </w:rPr>
        <w:t xml:space="preserve">Por otra parte, las series de tipo financieras o retornos presentan características propias, llamados comúnmente hechos estilizados, una de estas y las más importante es el comportamiento no Normal de dichas series, la cual genera un problema para la estadística clásica o paramétrica. </w:t>
      </w:r>
      <w:r w:rsidRPr="0099528E">
        <w:rPr>
          <w:rFonts w:ascii="Arial" w:hAnsi="Arial" w:cs="Arial"/>
        </w:rPr>
        <w:t xml:space="preserve">Una alternativa para solucionar el problema dada las características propias de los retornos es obtener intervalos de predicción utilizando procedimientos </w:t>
      </w:r>
      <w:r>
        <w:rPr>
          <w:rFonts w:ascii="Arial" w:hAnsi="Arial" w:cs="Arial"/>
        </w:rPr>
        <w:t>b</w:t>
      </w:r>
      <w:r w:rsidRPr="0099528E">
        <w:rPr>
          <w:rFonts w:ascii="Arial" w:hAnsi="Arial" w:cs="Arial"/>
        </w:rPr>
        <w:t>ootstrap, los cuales no requieren suponer una distribución a priori para los errores. Los métodos estadísticos clásicos se apoyan en modelos matemáticos de naturaleza estocástica, de tal forma que los resultados que de ellos se derivan, requieren en muchas ocasiones, desarrollos analíticos complejos, lo que ha supuesto un obstáculo para su utilización comprensiva en muchas áreas científicas, básicamente para utilizar aquellos modelos estadísticos que se ajusten a características de los datos de cada disciplina. En términos más precisos, los modelos estadísticos incorporan distintos supuestos que establecen restricciones sobre las variables aleatorias analizadas.</w:t>
      </w:r>
    </w:p>
    <w:p w:rsidR="00B31CE1" w:rsidRPr="0099528E" w:rsidRDefault="00B31CE1" w:rsidP="00B31CE1">
      <w:pPr>
        <w:spacing w:before="100" w:beforeAutospacing="1" w:after="100" w:afterAutospacing="1"/>
        <w:jc w:val="both"/>
        <w:rPr>
          <w:rFonts w:ascii="Arial" w:hAnsi="Arial" w:cs="Arial"/>
        </w:rPr>
      </w:pPr>
      <w:r w:rsidRPr="0099528E">
        <w:rPr>
          <w:rFonts w:ascii="Arial" w:hAnsi="Arial" w:cs="Arial"/>
        </w:rPr>
        <w:t>En la actualidad los procedimientos de remuestreo son ampliamente conocidos y utilizados en diversos campos de la investigación y se han ido incorporando como técnicas bastante habituales en el análisis e interpretación de cierto tipo de datos. El método bootstrap o técnica del remuestreo, reemplaza las derivaciones teóricas del enfoque ya dicho por la evaluación de los estadísticos en submuestras obtenidas a partir de los datos originales, y mediante estos valores se obtienen estimadores de las medidas de exactitud o de la distribución muestral del estadístico.</w:t>
      </w:r>
      <w:r>
        <w:rPr>
          <w:rFonts w:ascii="Arial" w:hAnsi="Arial" w:cs="Arial"/>
        </w:rPr>
        <w:t xml:space="preserve"> </w:t>
      </w:r>
      <w:r w:rsidRPr="0099528E">
        <w:rPr>
          <w:rFonts w:ascii="Arial" w:hAnsi="Arial" w:cs="Arial"/>
        </w:rPr>
        <w:t>Pascual</w:t>
      </w:r>
      <w:r w:rsidRPr="00F01704">
        <w:rPr>
          <w:rFonts w:ascii="Arial" w:hAnsi="Arial" w:cs="Arial"/>
          <w:vertAlign w:val="superscript"/>
        </w:rPr>
        <w:t>(1)</w:t>
      </w:r>
      <w:r w:rsidRPr="0099528E">
        <w:rPr>
          <w:rFonts w:ascii="Arial" w:hAnsi="Arial" w:cs="Arial"/>
        </w:rPr>
        <w:t xml:space="preserve">  propusieron un método bootstrap para el cálculo de intervalos de predicción en modelos GARCH, obteniendo buenos resultados y siendo una alternativa para el cálculo de intervalos de predicción paramétrico, siendo este método generalizable a otros modelos heterocedásticos. </w:t>
      </w:r>
    </w:p>
    <w:p w:rsidR="00B31CE1" w:rsidRPr="0099528E" w:rsidRDefault="00B31CE1" w:rsidP="00B31CE1">
      <w:pPr>
        <w:spacing w:before="100" w:beforeAutospacing="1" w:after="100" w:afterAutospacing="1"/>
        <w:jc w:val="both"/>
        <w:rPr>
          <w:rFonts w:ascii="Arial" w:hAnsi="Arial" w:cs="Arial"/>
        </w:rPr>
      </w:pPr>
      <w:r w:rsidRPr="0099528E">
        <w:rPr>
          <w:rFonts w:ascii="Arial" w:hAnsi="Arial" w:cs="Arial"/>
        </w:rPr>
        <w:t xml:space="preserve">En este trabajo se realizó una aplicación de la metodología </w:t>
      </w:r>
      <w:r>
        <w:rPr>
          <w:rFonts w:ascii="Arial" w:hAnsi="Arial" w:cs="Arial"/>
        </w:rPr>
        <w:t>b</w:t>
      </w:r>
      <w:r w:rsidRPr="0099528E">
        <w:rPr>
          <w:rFonts w:ascii="Arial" w:hAnsi="Arial" w:cs="Arial"/>
        </w:rPr>
        <w:t>ootstrap a una serie temporal de tipo financiera que es el retorno del Índice de la Bolsa de Valores de Lima</w:t>
      </w:r>
      <w:r>
        <w:rPr>
          <w:rFonts w:ascii="Arial" w:hAnsi="Arial" w:cs="Arial"/>
        </w:rPr>
        <w:t xml:space="preserve"> </w:t>
      </w:r>
      <w:r w:rsidRPr="0099528E">
        <w:rPr>
          <w:rFonts w:ascii="Arial" w:hAnsi="Arial" w:cs="Arial"/>
        </w:rPr>
        <w:t xml:space="preserve">(S&amp;P/BVL), comparando los resultados con la metodología paramétrica de predicción de intervalos. El índice trabajado es el de mayor representatividad dentro del mercado bursátil, que incluyen las empresas más importantes del país que cotizan en el Índice de la Bolsa de </w:t>
      </w:r>
      <w:r>
        <w:rPr>
          <w:rFonts w:ascii="Arial" w:hAnsi="Arial" w:cs="Arial"/>
        </w:rPr>
        <w:t>V</w:t>
      </w:r>
      <w:r w:rsidRPr="0099528E">
        <w:rPr>
          <w:rFonts w:ascii="Arial" w:hAnsi="Arial" w:cs="Arial"/>
        </w:rPr>
        <w:t>alores de Lima</w:t>
      </w:r>
      <w:r>
        <w:rPr>
          <w:rFonts w:ascii="Arial" w:hAnsi="Arial" w:cs="Arial"/>
        </w:rPr>
        <w:t>.</w:t>
      </w:r>
    </w:p>
    <w:p w:rsidR="00B31CE1" w:rsidRPr="0099528E" w:rsidRDefault="00B31CE1" w:rsidP="00B31CE1">
      <w:pPr>
        <w:spacing w:before="100" w:beforeAutospacing="1" w:after="100" w:afterAutospacing="1"/>
        <w:jc w:val="both"/>
        <w:rPr>
          <w:rFonts w:ascii="Arial" w:hAnsi="Arial" w:cs="Arial"/>
        </w:rPr>
      </w:pPr>
      <w:r w:rsidRPr="0099528E">
        <w:rPr>
          <w:rFonts w:ascii="Arial" w:hAnsi="Arial" w:cs="Arial"/>
        </w:rPr>
        <w:lastRenderedPageBreak/>
        <w:t>En</w:t>
      </w:r>
      <w:r>
        <w:rPr>
          <w:rFonts w:ascii="Arial" w:hAnsi="Arial" w:cs="Arial"/>
        </w:rPr>
        <w:t xml:space="preserve"> el</w:t>
      </w:r>
      <w:r w:rsidRPr="0099528E">
        <w:rPr>
          <w:rFonts w:ascii="Arial" w:hAnsi="Arial" w:cs="Arial"/>
        </w:rPr>
        <w:t xml:space="preserve"> Perú no existe un estudio acerca de la Bolsa de Valores de Lima para los retornos y volatilidades mediante la metodología bootstrap</w:t>
      </w:r>
      <w:r>
        <w:rPr>
          <w:rFonts w:ascii="Arial" w:hAnsi="Arial" w:cs="Arial"/>
        </w:rPr>
        <w:t xml:space="preserve"> y a nivel mundial no es común el uso de esta metodología en la predicción de los índices bursátiles.</w:t>
      </w:r>
      <w:r w:rsidRPr="0099528E">
        <w:rPr>
          <w:rFonts w:ascii="Arial" w:hAnsi="Arial" w:cs="Arial"/>
        </w:rPr>
        <w:t xml:space="preserve"> Este estudio </w:t>
      </w:r>
      <w:r>
        <w:rPr>
          <w:rFonts w:ascii="Arial" w:hAnsi="Arial" w:cs="Arial"/>
        </w:rPr>
        <w:t xml:space="preserve">pretende </w:t>
      </w:r>
      <w:r w:rsidRPr="0099528E">
        <w:rPr>
          <w:rFonts w:ascii="Arial" w:hAnsi="Arial" w:cs="Arial"/>
        </w:rPr>
        <w:t>aporta</w:t>
      </w:r>
      <w:r>
        <w:rPr>
          <w:rFonts w:ascii="Arial" w:hAnsi="Arial" w:cs="Arial"/>
        </w:rPr>
        <w:t>r</w:t>
      </w:r>
      <w:r w:rsidRPr="0099528E">
        <w:rPr>
          <w:rFonts w:ascii="Arial" w:hAnsi="Arial" w:cs="Arial"/>
        </w:rPr>
        <w:t xml:space="preserve"> </w:t>
      </w:r>
      <w:r>
        <w:rPr>
          <w:rFonts w:ascii="Arial" w:hAnsi="Arial" w:cs="Arial"/>
        </w:rPr>
        <w:t>a</w:t>
      </w:r>
      <w:r w:rsidRPr="0099528E">
        <w:rPr>
          <w:rFonts w:ascii="Arial" w:hAnsi="Arial" w:cs="Arial"/>
        </w:rPr>
        <w:t xml:space="preserve">l análisis </w:t>
      </w:r>
      <w:r>
        <w:rPr>
          <w:rFonts w:ascii="Arial" w:hAnsi="Arial" w:cs="Arial"/>
        </w:rPr>
        <w:t>de</w:t>
      </w:r>
      <w:r w:rsidRPr="0099528E">
        <w:rPr>
          <w:rFonts w:ascii="Arial" w:hAnsi="Arial" w:cs="Arial"/>
        </w:rPr>
        <w:t xml:space="preserve"> los índices bursátiles de la Bolsa de Valores de Lima</w:t>
      </w:r>
      <w:r>
        <w:rPr>
          <w:rFonts w:ascii="Arial" w:hAnsi="Arial" w:cs="Arial"/>
        </w:rPr>
        <w:t xml:space="preserve"> y de cualquier otra</w:t>
      </w:r>
      <w:r w:rsidRPr="0099528E">
        <w:rPr>
          <w:rFonts w:ascii="Arial" w:hAnsi="Arial" w:cs="Arial"/>
        </w:rPr>
        <w:t xml:space="preserve">, </w:t>
      </w:r>
      <w:r>
        <w:rPr>
          <w:rFonts w:ascii="Arial" w:hAnsi="Arial" w:cs="Arial"/>
        </w:rPr>
        <w:t>dando</w:t>
      </w:r>
      <w:r w:rsidRPr="0099528E">
        <w:rPr>
          <w:rFonts w:ascii="Arial" w:hAnsi="Arial" w:cs="Arial"/>
        </w:rPr>
        <w:t xml:space="preserve"> una alternativa de método al estudio de predicciones en el mercado financiero</w:t>
      </w:r>
      <w:r>
        <w:rPr>
          <w:rFonts w:ascii="Arial" w:hAnsi="Arial" w:cs="Arial"/>
        </w:rPr>
        <w:t>.</w:t>
      </w:r>
    </w:p>
    <w:p w:rsidR="00B31CE1" w:rsidRPr="0099528E" w:rsidRDefault="00B31CE1" w:rsidP="00133D30">
      <w:pPr>
        <w:pStyle w:val="1Titulo"/>
        <w:numPr>
          <w:ilvl w:val="0"/>
          <w:numId w:val="31"/>
        </w:numPr>
      </w:pPr>
      <w:bookmarkStart w:id="124" w:name="_Toc50031237"/>
      <w:r>
        <w:t>Condiciones experimentales</w:t>
      </w:r>
      <w:bookmarkEnd w:id="124"/>
    </w:p>
    <w:p w:rsidR="00B31CE1" w:rsidRPr="000C6B5A" w:rsidRDefault="00B31CE1" w:rsidP="00B31CE1">
      <w:pPr>
        <w:spacing w:before="240" w:after="240"/>
        <w:jc w:val="both"/>
        <w:rPr>
          <w:rFonts w:ascii="Arial" w:hAnsi="Arial" w:cs="Arial"/>
          <w:bCs/>
          <w:i/>
          <w:iCs/>
        </w:rPr>
      </w:pPr>
      <w:r w:rsidRPr="000C6B5A">
        <w:rPr>
          <w:rFonts w:ascii="Arial" w:hAnsi="Arial" w:cs="Arial"/>
          <w:bCs/>
          <w:i/>
          <w:iCs/>
        </w:rPr>
        <w:t>2.1 Principio de Bootstrap</w:t>
      </w:r>
    </w:p>
    <w:p w:rsidR="00B31CE1" w:rsidRPr="000C6B5A" w:rsidRDefault="00B31CE1" w:rsidP="00B31CE1">
      <w:pPr>
        <w:spacing w:before="240" w:after="240"/>
        <w:jc w:val="both"/>
        <w:rPr>
          <w:rFonts w:ascii="Arial" w:hAnsi="Arial" w:cs="Arial"/>
        </w:rPr>
      </w:pPr>
      <w:r w:rsidRPr="000C6B5A">
        <w:rPr>
          <w:rFonts w:ascii="Arial" w:hAnsi="Arial" w:cs="Arial"/>
        </w:rPr>
        <w:t xml:space="preserve">En la formulación formal del </w:t>
      </w:r>
      <w:r>
        <w:rPr>
          <w:rFonts w:ascii="Arial" w:hAnsi="Arial" w:cs="Arial"/>
        </w:rPr>
        <w:t>b</w:t>
      </w:r>
      <w:r w:rsidRPr="000C6B5A">
        <w:rPr>
          <w:rFonts w:ascii="Arial" w:hAnsi="Arial" w:cs="Arial"/>
        </w:rPr>
        <w:t>ootstrap inicialmente propuesto por Efron</w:t>
      </w:r>
      <w:r w:rsidRPr="00EB67FE">
        <w:rPr>
          <w:rFonts w:ascii="Arial" w:hAnsi="Arial" w:cs="Arial"/>
          <w:vertAlign w:val="superscript"/>
        </w:rPr>
        <w:t>(3)</w:t>
      </w:r>
      <w:r>
        <w:rPr>
          <w:rFonts w:ascii="Arial" w:hAnsi="Arial" w:cs="Arial"/>
        </w:rPr>
        <w:t xml:space="preserve"> </w:t>
      </w:r>
      <w:r w:rsidRPr="000C6B5A">
        <w:rPr>
          <w:rFonts w:ascii="Arial" w:hAnsi="Arial" w:cs="Arial"/>
        </w:rPr>
        <w:t xml:space="preserve">se considera   </w:t>
      </w:r>
      <m:oMath>
        <m:sSub>
          <m:sSubPr>
            <m:ctrlPr>
              <w:rPr>
                <w:rFonts w:ascii="Cambria Math" w:hAnsi="Cambria Math" w:cs="Arial"/>
                <w:i/>
              </w:rPr>
            </m:ctrlPr>
          </m:sSubPr>
          <m:e>
            <m:r>
              <w:rPr>
                <w:rFonts w:ascii="Cambria Math" w:hAnsi="Cambria Math" w:cs="Arial"/>
              </w:rPr>
              <m:t>X</m:t>
            </m:r>
          </m:e>
          <m:sub>
            <m:r>
              <w:rPr>
                <w:rFonts w:ascii="Cambria Math" w:hAnsi="Cambria Math" w:cs="Arial"/>
              </w:rPr>
              <m:t>1</m:t>
            </m:r>
          </m:sub>
        </m:sSub>
        <m: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2</m:t>
            </m:r>
          </m:sub>
        </m:sSub>
        <m: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n</m:t>
            </m:r>
          </m:sub>
        </m:sSub>
        <m:r>
          <w:rPr>
            <w:rFonts w:ascii="Cambria Math" w:hAnsi="Cambria Math" w:cs="Arial"/>
          </w:rPr>
          <m:t xml:space="preserve"> </m:t>
        </m:r>
      </m:oMath>
      <w:r w:rsidRPr="000C6B5A">
        <w:rPr>
          <w:rFonts w:ascii="Arial" w:hAnsi="Arial" w:cs="Arial"/>
        </w:rPr>
        <w:t xml:space="preserve">una secuencia de variables aleatorias i.i.d con distribución común F desconocida y de valor medio </w:t>
      </w:r>
      <m:oMath>
        <m:r>
          <w:rPr>
            <w:rFonts w:ascii="Cambria Math" w:hAnsi="Cambria Math" w:cs="Arial"/>
          </w:rPr>
          <m:t>μ</m:t>
        </m:r>
      </m:oMath>
      <w:r w:rsidRPr="000C6B5A">
        <w:rPr>
          <w:rFonts w:ascii="Arial" w:hAnsi="Arial" w:cs="Arial"/>
        </w:rPr>
        <w:t xml:space="preserve"> y de varianza </w:t>
      </w:r>
      <m:oMath>
        <m:sSup>
          <m:sSupPr>
            <m:ctrlPr>
              <w:rPr>
                <w:rFonts w:ascii="Cambria Math" w:hAnsi="Cambria Math" w:cs="Arial"/>
                <w:i/>
              </w:rPr>
            </m:ctrlPr>
          </m:sSupPr>
          <m:e>
            <m:r>
              <w:rPr>
                <w:rFonts w:ascii="Cambria Math" w:hAnsi="Cambria Math" w:cs="Arial"/>
              </w:rPr>
              <m:t>σ</m:t>
            </m:r>
          </m:e>
          <m:sup>
            <m:r>
              <w:rPr>
                <w:rFonts w:ascii="Cambria Math" w:hAnsi="Cambria Math" w:cs="Arial"/>
              </w:rPr>
              <m:t>2</m:t>
            </m:r>
          </m:sup>
        </m:sSup>
      </m:oMath>
      <w:r w:rsidRPr="000C6B5A">
        <w:rPr>
          <w:rFonts w:ascii="Arial" w:hAnsi="Arial" w:cs="Arial"/>
        </w:rPr>
        <w:t xml:space="preserve"> finitos, pero desconocidos.</w:t>
      </w:r>
    </w:p>
    <w:p w:rsidR="00B31CE1" w:rsidRPr="000C6B5A" w:rsidRDefault="00B31CE1" w:rsidP="00B31CE1">
      <w:pPr>
        <w:spacing w:before="240" w:after="240"/>
        <w:jc w:val="both"/>
        <w:rPr>
          <w:rFonts w:ascii="Arial" w:hAnsi="Arial" w:cs="Arial"/>
        </w:rPr>
      </w:pPr>
      <w:r w:rsidRPr="000C6B5A">
        <w:rPr>
          <w:rFonts w:ascii="Arial" w:hAnsi="Arial" w:cs="Arial"/>
        </w:rPr>
        <w:t xml:space="preserve">Así, sea </w:t>
      </w:r>
      <m:oMath>
        <m:sSub>
          <m:sSubPr>
            <m:ctrlPr>
              <w:rPr>
                <w:rFonts w:ascii="Cambria Math" w:hAnsi="Cambria Math" w:cs="Arial"/>
                <w:i/>
              </w:rPr>
            </m:ctrlPr>
          </m:sSubPr>
          <m:e>
            <m:r>
              <w:rPr>
                <w:rFonts w:ascii="Cambria Math" w:hAnsi="Cambria Math" w:cs="Arial"/>
              </w:rPr>
              <m:t>(x</m:t>
            </m:r>
          </m:e>
          <m:sub>
            <m:r>
              <w:rPr>
                <w:rFonts w:ascii="Cambria Math" w:hAnsi="Cambria Math" w:cs="Arial"/>
              </w:rPr>
              <m:t>1</m:t>
            </m:r>
          </m:sub>
        </m:sSub>
        <m: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2</m:t>
            </m:r>
          </m:sub>
        </m:sSub>
        <m: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n</m:t>
            </m:r>
          </m:sub>
        </m:sSub>
        <m:r>
          <w:rPr>
            <w:rFonts w:ascii="Cambria Math" w:hAnsi="Cambria Math" w:cs="Arial"/>
          </w:rPr>
          <m:t xml:space="preserve">) </m:t>
        </m:r>
      </m:oMath>
      <w:r w:rsidRPr="000C6B5A">
        <w:rPr>
          <w:rFonts w:ascii="Arial" w:hAnsi="Arial" w:cs="Arial"/>
        </w:rPr>
        <w:t xml:space="preserve"> una realización de </w:t>
      </w:r>
      <m:oMath>
        <m:sSub>
          <m:sSubPr>
            <m:ctrlPr>
              <w:rPr>
                <w:rFonts w:ascii="Cambria Math" w:hAnsi="Cambria Math" w:cs="Arial"/>
                <w:i/>
              </w:rPr>
            </m:ctrlPr>
          </m:sSubPr>
          <m:e>
            <m:r>
              <w:rPr>
                <w:rFonts w:ascii="Cambria Math" w:hAnsi="Cambria Math" w:cs="Arial"/>
              </w:rPr>
              <m:t>(X</m:t>
            </m:r>
          </m:e>
          <m:sub>
            <m:r>
              <w:rPr>
                <w:rFonts w:ascii="Cambria Math" w:hAnsi="Cambria Math" w:cs="Arial"/>
              </w:rPr>
              <m:t>1</m:t>
            </m:r>
          </m:sub>
        </m:sSub>
        <m: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2</m:t>
            </m:r>
          </m:sub>
        </m:sSub>
        <m: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n</m:t>
            </m:r>
          </m:sub>
        </m:sSub>
        <m:r>
          <w:rPr>
            <w:rFonts w:ascii="Cambria Math" w:hAnsi="Cambria Math" w:cs="Arial"/>
          </w:rPr>
          <m:t>)</m:t>
        </m:r>
      </m:oMath>
      <w:r w:rsidRPr="000C6B5A">
        <w:rPr>
          <w:rFonts w:ascii="Arial" w:hAnsi="Arial" w:cs="Arial"/>
        </w:rPr>
        <w:t xml:space="preserve">. Una muestra </w:t>
      </w:r>
      <m:oMath>
        <m:sSub>
          <m:sSubPr>
            <m:ctrlPr>
              <w:rPr>
                <w:rFonts w:ascii="Cambria Math" w:hAnsi="Cambria Math" w:cs="Arial"/>
                <w:i/>
              </w:rPr>
            </m:ctrlPr>
          </m:sSubPr>
          <m:e>
            <m:r>
              <w:rPr>
                <w:rFonts w:ascii="Cambria Math" w:hAnsi="Cambria Math" w:cs="Arial"/>
              </w:rPr>
              <m:t>(x</m:t>
            </m:r>
          </m:e>
          <m:sub>
            <m:r>
              <w:rPr>
                <w:rFonts w:ascii="Cambria Math" w:hAnsi="Cambria Math" w:cs="Arial"/>
              </w:rPr>
              <m:t>1</m:t>
            </m:r>
          </m:sub>
        </m:sSub>
        <m: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2</m:t>
            </m:r>
          </m:sub>
        </m:sSub>
        <m:r>
          <w:rPr>
            <w:rFonts w:ascii="Cambria Math" w:hAnsi="Cambria Math" w:cs="Arial"/>
          </w:rPr>
          <m:t>,…,</m:t>
        </m:r>
        <m:sSub>
          <m:sSubPr>
            <m:ctrlPr>
              <w:rPr>
                <w:rFonts w:ascii="Cambria Math" w:hAnsi="Cambria Math" w:cs="Arial"/>
                <w:i/>
              </w:rPr>
            </m:ctrlPr>
          </m:sSubPr>
          <m:e>
            <m:r>
              <w:rPr>
                <w:rFonts w:ascii="Cambria Math" w:hAnsi="Cambria Math" w:cs="Arial"/>
              </w:rPr>
              <m:t>x</m:t>
            </m:r>
          </m:e>
          <m:sub>
            <m:r>
              <w:rPr>
                <w:rFonts w:ascii="Cambria Math" w:hAnsi="Cambria Math" w:cs="Arial"/>
              </w:rPr>
              <m:t>n</m:t>
            </m:r>
          </m:sub>
        </m:sSub>
        <m:r>
          <w:rPr>
            <w:rFonts w:ascii="Cambria Math" w:hAnsi="Cambria Math" w:cs="Arial"/>
          </w:rPr>
          <m:t>)</m:t>
        </m:r>
      </m:oMath>
      <w:r w:rsidRPr="000C6B5A">
        <w:rPr>
          <w:rFonts w:ascii="Arial" w:hAnsi="Arial" w:cs="Arial"/>
        </w:rPr>
        <w:t xml:space="preserve"> que va a desempeñar el papel de la “población Bootstrap”, de esta se extraerán con reposición, un grande número, B, de muestras, que designamos de “muestras Bootstrap” o “remuestras Bootstrap”.  El objetivo es estimar la función de distribución de la población F o algún aspecto particular de esta.</w:t>
      </w:r>
    </w:p>
    <w:p w:rsidR="00B31CE1" w:rsidRPr="000C6B5A" w:rsidRDefault="00B31CE1" w:rsidP="00B31CE1">
      <w:pPr>
        <w:autoSpaceDE w:val="0"/>
        <w:autoSpaceDN w:val="0"/>
        <w:adjustRightInd w:val="0"/>
        <w:spacing w:before="240" w:after="240"/>
        <w:jc w:val="both"/>
        <w:rPr>
          <w:rFonts w:ascii="Arial" w:hAnsi="Arial" w:cs="Arial"/>
          <w:bCs/>
          <w:i/>
          <w:iCs/>
        </w:rPr>
      </w:pPr>
      <w:r w:rsidRPr="000C6B5A">
        <w:rPr>
          <w:rFonts w:ascii="Arial" w:hAnsi="Arial" w:cs="Arial"/>
          <w:bCs/>
          <w:i/>
          <w:iCs/>
        </w:rPr>
        <w:t>2.2 Procesos Heterocedásticos</w:t>
      </w:r>
    </w:p>
    <w:p w:rsidR="00B31CE1" w:rsidRPr="000C6B5A" w:rsidRDefault="00B31CE1" w:rsidP="00B31CE1">
      <w:pPr>
        <w:autoSpaceDE w:val="0"/>
        <w:autoSpaceDN w:val="0"/>
        <w:adjustRightInd w:val="0"/>
        <w:jc w:val="both"/>
        <w:rPr>
          <w:rFonts w:ascii="Arial" w:eastAsiaTheme="minorHAnsi" w:hAnsi="Arial" w:cs="Arial"/>
        </w:rPr>
      </w:pPr>
      <w:r w:rsidRPr="000C6B5A">
        <w:rPr>
          <w:rFonts w:ascii="Arial" w:hAnsi="Arial" w:cs="Arial"/>
        </w:rPr>
        <w:t xml:space="preserve">Los procesos heterocedásticos consisten </w:t>
      </w:r>
      <w:r>
        <w:rPr>
          <w:rFonts w:ascii="Arial" w:hAnsi="Arial" w:cs="Arial"/>
        </w:rPr>
        <w:t>en además de modelar la media, modela</w:t>
      </w:r>
      <w:r w:rsidRPr="000C6B5A">
        <w:rPr>
          <w:rFonts w:ascii="Arial" w:hAnsi="Arial" w:cs="Arial"/>
        </w:rPr>
        <w:t xml:space="preserve"> la varianza de una variable dependiente en función de los valores pasados de la propia variable</w:t>
      </w:r>
      <w:r>
        <w:rPr>
          <w:rFonts w:ascii="Arial" w:hAnsi="Arial" w:cs="Arial"/>
        </w:rPr>
        <w:t xml:space="preserve">; </w:t>
      </w:r>
      <w:r>
        <w:rPr>
          <w:rFonts w:ascii="Arial" w:eastAsiaTheme="minorHAnsi" w:hAnsi="Arial" w:cs="Arial"/>
        </w:rPr>
        <w:t>el</w:t>
      </w:r>
      <w:r w:rsidRPr="000C6B5A">
        <w:rPr>
          <w:rFonts w:ascii="Arial" w:eastAsiaTheme="minorHAnsi" w:hAnsi="Arial" w:cs="Arial"/>
        </w:rPr>
        <w:t xml:space="preserve"> proceso</w:t>
      </w:r>
      <w:r>
        <w:rPr>
          <w:rFonts w:ascii="Arial" w:eastAsiaTheme="minorHAnsi" w:hAnsi="Arial" w:cs="Arial"/>
        </w:rPr>
        <w:t xml:space="preserve"> más simple de heterocedasticidad es el </w:t>
      </w:r>
      <w:r w:rsidRPr="000C6B5A">
        <w:rPr>
          <w:rFonts w:ascii="Arial" w:eastAsiaTheme="minorHAnsi" w:hAnsi="Arial" w:cs="Arial"/>
        </w:rPr>
        <w:t xml:space="preserve">ARCH </w:t>
      </w:r>
      <w:r>
        <w:rPr>
          <w:rFonts w:ascii="Arial" w:eastAsiaTheme="minorHAnsi" w:hAnsi="Arial" w:cs="Arial"/>
        </w:rPr>
        <w:t xml:space="preserve">que </w:t>
      </w:r>
      <w:r w:rsidRPr="000C6B5A">
        <w:rPr>
          <w:rFonts w:ascii="Arial" w:eastAsiaTheme="minorHAnsi" w:hAnsi="Arial" w:cs="Arial"/>
        </w:rPr>
        <w:t>viene definido por dos expresiones: en la primera se modela la esperanza condicionada de la serie en función de la varianza y de un término de error, y en la segunda ecuación es la varianza condicionada la que es modelada en función de sus propios valores pasados</w:t>
      </w:r>
      <w:r>
        <w:rPr>
          <w:rFonts w:ascii="Arial" w:eastAsiaTheme="minorHAnsi" w:hAnsi="Arial" w:cs="Arial"/>
        </w:rPr>
        <w:t>.</w:t>
      </w:r>
      <w:r w:rsidRPr="000C6B5A">
        <w:rPr>
          <w:rFonts w:ascii="Arial" w:eastAsiaTheme="minorHAnsi" w:hAnsi="Arial" w:cs="Arial"/>
        </w:rPr>
        <w:t xml:space="preserve"> </w:t>
      </w:r>
    </w:p>
    <w:p w:rsidR="00B31CE1" w:rsidRPr="000C6B5A" w:rsidRDefault="00B31CE1" w:rsidP="00B31CE1">
      <w:pPr>
        <w:autoSpaceDE w:val="0"/>
        <w:autoSpaceDN w:val="0"/>
        <w:adjustRightInd w:val="0"/>
        <w:rPr>
          <w:rFonts w:ascii="Arial" w:eastAsiaTheme="minorHAnsi" w:hAnsi="Arial" w:cs="Arial"/>
        </w:rPr>
      </w:pPr>
    </w:p>
    <w:p w:rsidR="00B31CE1" w:rsidRPr="000C6B5A" w:rsidRDefault="00B31CE1" w:rsidP="00B31CE1">
      <w:pPr>
        <w:autoSpaceDE w:val="0"/>
        <w:autoSpaceDN w:val="0"/>
        <w:adjustRightInd w:val="0"/>
        <w:jc w:val="both"/>
        <w:rPr>
          <w:rFonts w:ascii="Arial" w:hAnsi="Arial" w:cs="Arial"/>
        </w:rPr>
      </w:pPr>
      <w:r w:rsidRPr="000C6B5A">
        <w:rPr>
          <w:rFonts w:ascii="Arial" w:hAnsi="Arial" w:cs="Arial"/>
        </w:rPr>
        <w:t>Una generalización natural de los modelos ARCH, donde la varianza condicional es también función de sus propios valores desfasados, es el modelo GARCH (generalizado ARCH) sugerida por Bollerslev</w:t>
      </w:r>
      <w:r w:rsidRPr="00642FEC">
        <w:rPr>
          <w:rFonts w:ascii="Arial" w:hAnsi="Arial" w:cs="Arial"/>
          <w:vertAlign w:val="superscript"/>
        </w:rPr>
        <w:t>(4)</w:t>
      </w:r>
      <w:r w:rsidRPr="000C6B5A">
        <w:rPr>
          <w:rFonts w:ascii="Arial" w:hAnsi="Arial" w:cs="Arial"/>
        </w:rPr>
        <w:t>.</w:t>
      </w:r>
      <w:r>
        <w:rPr>
          <w:rFonts w:ascii="Arial" w:hAnsi="Arial" w:cs="Arial"/>
        </w:rPr>
        <w:t xml:space="preserve"> Así u</w:t>
      </w:r>
      <w:r w:rsidRPr="000C6B5A">
        <w:rPr>
          <w:rFonts w:ascii="Arial" w:hAnsi="Arial" w:cs="Arial"/>
        </w:rPr>
        <w:t xml:space="preserve">na serie </w:t>
      </w:r>
      <m:oMath>
        <m:sSub>
          <m:sSubPr>
            <m:ctrlPr>
              <w:rPr>
                <w:rFonts w:ascii="Cambria Math" w:hAnsi="Cambria Math" w:cs="Arial"/>
                <w:i/>
              </w:rPr>
            </m:ctrlPr>
          </m:sSubPr>
          <m:e>
            <m:r>
              <w:rPr>
                <w:rFonts w:ascii="Cambria Math" w:hAnsi="Cambria Math" w:cs="Arial"/>
              </w:rPr>
              <m:t>y</m:t>
            </m:r>
          </m:e>
          <m:sub>
            <m:r>
              <w:rPr>
                <w:rFonts w:ascii="Cambria Math" w:hAnsi="Cambria Math" w:cs="Arial"/>
              </w:rPr>
              <m:t>t</m:t>
            </m:r>
          </m:sub>
        </m:sSub>
      </m:oMath>
      <w:r w:rsidRPr="000C6B5A">
        <w:rPr>
          <w:rFonts w:ascii="Arial" w:hAnsi="Arial" w:cs="Arial"/>
        </w:rPr>
        <w:t xml:space="preserve"> es llamado de proceso GARCH(p,q) si satisface las siguientes ecuaciones:</w:t>
      </w:r>
    </w:p>
    <w:p w:rsidR="00B31CE1" w:rsidRPr="000C6B5A" w:rsidRDefault="001345E4" w:rsidP="00B31CE1">
      <w:pPr>
        <w:spacing w:before="240" w:after="240"/>
        <w:rPr>
          <w:rFonts w:ascii="Arial" w:hAnsi="Arial" w:cs="Arial"/>
        </w:rPr>
      </w:pPr>
      <m:oMathPara>
        <m:oMath>
          <m:sSub>
            <m:sSubPr>
              <m:ctrlPr>
                <w:rPr>
                  <w:rFonts w:ascii="Cambria Math" w:hAnsi="Cambria Math" w:cs="Arial"/>
                  <w:i/>
                </w:rPr>
              </m:ctrlPr>
            </m:sSubPr>
            <m:e>
              <m:r>
                <w:rPr>
                  <w:rFonts w:ascii="Cambria Math" w:hAnsi="Cambria Math" w:cs="Arial"/>
                </w:rPr>
                <m:t>y</m:t>
              </m:r>
            </m:e>
            <m:sub>
              <m:r>
                <w:rPr>
                  <w:rFonts w:ascii="Cambria Math" w:hAnsi="Cambria Math" w:cs="Arial"/>
                </w:rPr>
                <m:t>t</m:t>
              </m:r>
            </m:sub>
          </m:sSub>
          <m:r>
            <w:rPr>
              <w:rFonts w:ascii="Cambria Math" w:hAnsi="Cambria Math" w:cs="Arial"/>
            </w:rPr>
            <m:t>=</m:t>
          </m:r>
          <m:sSub>
            <m:sSubPr>
              <m:ctrlPr>
                <w:rPr>
                  <w:rFonts w:ascii="Cambria Math" w:hAnsi="Cambria Math" w:cs="Arial"/>
                  <w:i/>
                </w:rPr>
              </m:ctrlPr>
            </m:sSubPr>
            <m:e>
              <m:r>
                <w:rPr>
                  <w:rFonts w:ascii="Cambria Math" w:hAnsi="Cambria Math" w:cs="Arial"/>
                </w:rPr>
                <m:t>σ</m:t>
              </m:r>
            </m:e>
            <m:sub>
              <m:r>
                <w:rPr>
                  <w:rFonts w:ascii="Cambria Math" w:hAnsi="Cambria Math" w:cs="Arial"/>
                </w:rPr>
                <m:t>t</m:t>
              </m:r>
            </m:sub>
          </m:sSub>
          <m:sSub>
            <m:sSubPr>
              <m:ctrlPr>
                <w:rPr>
                  <w:rFonts w:ascii="Cambria Math" w:hAnsi="Cambria Math" w:cs="Arial"/>
                  <w:i/>
                </w:rPr>
              </m:ctrlPr>
            </m:sSubPr>
            <m:e>
              <m:r>
                <w:rPr>
                  <w:rFonts w:ascii="Cambria Math" w:hAnsi="Cambria Math" w:cs="Arial"/>
                </w:rPr>
                <m:t>ε</m:t>
              </m:r>
            </m:e>
            <m:sub>
              <m:r>
                <w:rPr>
                  <w:rFonts w:ascii="Cambria Math" w:hAnsi="Cambria Math" w:cs="Arial"/>
                </w:rPr>
                <m:t>t</m:t>
              </m:r>
            </m:sub>
          </m:sSub>
        </m:oMath>
      </m:oMathPara>
    </w:p>
    <w:p w:rsidR="00B31CE1" w:rsidRPr="000C6B5A" w:rsidRDefault="001345E4" w:rsidP="00B31CE1">
      <w:pPr>
        <w:spacing w:before="240" w:after="240"/>
        <w:rPr>
          <w:rFonts w:ascii="Arial" w:hAnsi="Arial" w:cs="Arial"/>
        </w:rPr>
      </w:pPr>
      <m:oMathPara>
        <m:oMath>
          <m:sSubSup>
            <m:sSubSupPr>
              <m:ctrlPr>
                <w:rPr>
                  <w:rFonts w:ascii="Cambria Math" w:hAnsi="Cambria Math" w:cs="Arial"/>
                  <w:i/>
                </w:rPr>
              </m:ctrlPr>
            </m:sSubSupPr>
            <m:e>
              <m:r>
                <w:rPr>
                  <w:rFonts w:ascii="Cambria Math" w:hAnsi="Cambria Math" w:cs="Arial"/>
                </w:rPr>
                <m:t>σ</m:t>
              </m:r>
            </m:e>
            <m:sub>
              <m:r>
                <w:rPr>
                  <w:rFonts w:ascii="Cambria Math" w:hAnsi="Cambria Math" w:cs="Arial"/>
                </w:rPr>
                <m:t>t</m:t>
              </m:r>
            </m:sub>
            <m:sup>
              <m:r>
                <w:rPr>
                  <w:rFonts w:ascii="Cambria Math" w:hAnsi="Cambria Math" w:cs="Arial"/>
                </w:rPr>
                <m:t>2</m:t>
              </m:r>
            </m:sup>
          </m:sSubSup>
          <m:r>
            <w:rPr>
              <w:rFonts w:ascii="Cambria Math" w:hAnsi="Cambria Math" w:cs="Arial"/>
            </w:rPr>
            <m:t>=ω+</m:t>
          </m:r>
          <m:nary>
            <m:naryPr>
              <m:chr m:val="∑"/>
              <m:limLoc m:val="undOvr"/>
              <m:ctrlPr>
                <w:rPr>
                  <w:rFonts w:ascii="Cambria Math" w:hAnsi="Cambria Math" w:cs="Arial"/>
                  <w:i/>
                </w:rPr>
              </m:ctrlPr>
            </m:naryPr>
            <m:sub>
              <m:r>
                <w:rPr>
                  <w:rFonts w:ascii="Cambria Math" w:hAnsi="Cambria Math" w:cs="Arial"/>
                </w:rPr>
                <m:t>i=1</m:t>
              </m:r>
            </m:sub>
            <m:sup>
              <m:r>
                <w:rPr>
                  <w:rFonts w:ascii="Cambria Math" w:hAnsi="Cambria Math" w:cs="Arial"/>
                </w:rPr>
                <m:t>p</m:t>
              </m:r>
            </m:sup>
            <m:e>
              <m:sSub>
                <m:sSubPr>
                  <m:ctrlPr>
                    <w:rPr>
                      <w:rFonts w:ascii="Cambria Math" w:hAnsi="Cambria Math" w:cs="Arial"/>
                      <w:i/>
                    </w:rPr>
                  </m:ctrlPr>
                </m:sSubPr>
                <m:e>
                  <m:r>
                    <w:rPr>
                      <w:rFonts w:ascii="Cambria Math" w:hAnsi="Cambria Math" w:cs="Arial"/>
                    </w:rPr>
                    <m:t>α</m:t>
                  </m:r>
                </m:e>
                <m:sub>
                  <m:r>
                    <w:rPr>
                      <w:rFonts w:ascii="Cambria Math" w:hAnsi="Cambria Math" w:cs="Arial"/>
                    </w:rPr>
                    <m:t>i</m:t>
                  </m:r>
                </m:sub>
              </m:sSub>
              <m:sSubSup>
                <m:sSubSupPr>
                  <m:ctrlPr>
                    <w:rPr>
                      <w:rFonts w:ascii="Cambria Math" w:hAnsi="Cambria Math" w:cs="Arial"/>
                      <w:i/>
                    </w:rPr>
                  </m:ctrlPr>
                </m:sSubSupPr>
                <m:e>
                  <m:r>
                    <w:rPr>
                      <w:rFonts w:ascii="Cambria Math" w:hAnsi="Cambria Math" w:cs="Arial"/>
                    </w:rPr>
                    <m:t>y</m:t>
                  </m:r>
                </m:e>
                <m:sub>
                  <m:r>
                    <w:rPr>
                      <w:rFonts w:ascii="Cambria Math" w:hAnsi="Cambria Math" w:cs="Arial"/>
                    </w:rPr>
                    <m:t>t-i</m:t>
                  </m:r>
                </m:sub>
                <m:sup>
                  <m:r>
                    <w:rPr>
                      <w:rFonts w:ascii="Cambria Math" w:hAnsi="Cambria Math" w:cs="Arial"/>
                    </w:rPr>
                    <m:t>2</m:t>
                  </m:r>
                </m:sup>
              </m:sSubSup>
              <m:r>
                <w:rPr>
                  <w:rFonts w:ascii="Cambria Math" w:hAnsi="Cambria Math" w:cs="Arial"/>
                </w:rPr>
                <m:t>+</m:t>
              </m:r>
              <m:nary>
                <m:naryPr>
                  <m:chr m:val="∑"/>
                  <m:limLoc m:val="undOvr"/>
                  <m:ctrlPr>
                    <w:rPr>
                      <w:rFonts w:ascii="Cambria Math" w:hAnsi="Cambria Math" w:cs="Arial"/>
                      <w:i/>
                    </w:rPr>
                  </m:ctrlPr>
                </m:naryPr>
                <m:sub>
                  <m:r>
                    <w:rPr>
                      <w:rFonts w:ascii="Cambria Math" w:hAnsi="Cambria Math" w:cs="Arial"/>
                    </w:rPr>
                    <m:t>j=1</m:t>
                  </m:r>
                </m:sub>
                <m:sup>
                  <m:r>
                    <w:rPr>
                      <w:rFonts w:ascii="Cambria Math" w:hAnsi="Cambria Math" w:cs="Arial"/>
                    </w:rPr>
                    <m:t>q</m:t>
                  </m:r>
                </m:sup>
                <m:e>
                  <m:sSub>
                    <m:sSubPr>
                      <m:ctrlPr>
                        <w:rPr>
                          <w:rFonts w:ascii="Cambria Math" w:hAnsi="Cambria Math" w:cs="Arial"/>
                          <w:i/>
                        </w:rPr>
                      </m:ctrlPr>
                    </m:sSubPr>
                    <m:e>
                      <m:r>
                        <w:rPr>
                          <w:rFonts w:ascii="Cambria Math" w:hAnsi="Cambria Math" w:cs="Arial"/>
                        </w:rPr>
                        <m:t>β</m:t>
                      </m:r>
                    </m:e>
                    <m:sub>
                      <m:r>
                        <w:rPr>
                          <w:rFonts w:ascii="Cambria Math" w:hAnsi="Cambria Math" w:cs="Arial"/>
                        </w:rPr>
                        <m:t>j</m:t>
                      </m:r>
                    </m:sub>
                  </m:sSub>
                  <m:sSubSup>
                    <m:sSubSupPr>
                      <m:ctrlPr>
                        <w:rPr>
                          <w:rFonts w:ascii="Cambria Math" w:hAnsi="Cambria Math" w:cs="Arial"/>
                          <w:i/>
                        </w:rPr>
                      </m:ctrlPr>
                    </m:sSubSupPr>
                    <m:e>
                      <m:r>
                        <w:rPr>
                          <w:rFonts w:ascii="Cambria Math" w:hAnsi="Cambria Math" w:cs="Arial"/>
                        </w:rPr>
                        <m:t>σ</m:t>
                      </m:r>
                    </m:e>
                    <m:sub>
                      <m:r>
                        <w:rPr>
                          <w:rFonts w:ascii="Cambria Math" w:hAnsi="Cambria Math" w:cs="Arial"/>
                        </w:rPr>
                        <m:t>t-j</m:t>
                      </m:r>
                    </m:sub>
                    <m:sup>
                      <m:r>
                        <w:rPr>
                          <w:rFonts w:ascii="Cambria Math" w:hAnsi="Cambria Math" w:cs="Arial"/>
                        </w:rPr>
                        <m:t>2</m:t>
                      </m:r>
                    </m:sup>
                  </m:sSubSup>
                </m:e>
              </m:nary>
            </m:e>
          </m:nary>
        </m:oMath>
      </m:oMathPara>
    </w:p>
    <w:p w:rsidR="00B31CE1" w:rsidRPr="000C6B5A" w:rsidRDefault="00B31CE1" w:rsidP="00B31CE1">
      <w:pPr>
        <w:spacing w:before="240" w:after="240"/>
        <w:jc w:val="both"/>
        <w:rPr>
          <w:rFonts w:ascii="Arial" w:hAnsi="Arial" w:cs="Arial"/>
        </w:rPr>
      </w:pPr>
      <w:r w:rsidRPr="000C6B5A">
        <w:rPr>
          <w:rFonts w:ascii="Arial" w:hAnsi="Arial" w:cs="Arial"/>
        </w:rPr>
        <w:t xml:space="preserve">Donde: </w:t>
      </w:r>
      <m:oMath>
        <m:r>
          <w:rPr>
            <w:rFonts w:ascii="Cambria Math" w:hAnsi="Cambria Math" w:cs="Arial"/>
          </w:rPr>
          <m:t xml:space="preserve">ω&gt;0,  </m:t>
        </m:r>
        <m:sSub>
          <m:sSubPr>
            <m:ctrlPr>
              <w:rPr>
                <w:rFonts w:ascii="Cambria Math" w:hAnsi="Cambria Math" w:cs="Arial"/>
                <w:i/>
              </w:rPr>
            </m:ctrlPr>
          </m:sSubPr>
          <m:e>
            <m:r>
              <w:rPr>
                <w:rFonts w:ascii="Cambria Math" w:hAnsi="Cambria Math" w:cs="Arial"/>
              </w:rPr>
              <m:t>α</m:t>
            </m:r>
          </m:e>
          <m:sub>
            <m:r>
              <w:rPr>
                <w:rFonts w:ascii="Cambria Math" w:hAnsi="Cambria Math" w:cs="Arial"/>
              </w:rPr>
              <m:t>i</m:t>
            </m:r>
          </m:sub>
        </m:sSub>
        <m:r>
          <w:rPr>
            <w:rFonts w:ascii="Cambria Math" w:hAnsi="Cambria Math" w:cs="Arial"/>
          </w:rPr>
          <m:t xml:space="preserve">&gt;0  y  </m:t>
        </m:r>
        <m:sSub>
          <m:sSubPr>
            <m:ctrlPr>
              <w:rPr>
                <w:rFonts w:ascii="Cambria Math" w:hAnsi="Cambria Math" w:cs="Arial"/>
                <w:i/>
              </w:rPr>
            </m:ctrlPr>
          </m:sSubPr>
          <m:e>
            <m:r>
              <w:rPr>
                <w:rFonts w:ascii="Cambria Math" w:hAnsi="Cambria Math" w:cs="Arial"/>
              </w:rPr>
              <m:t>β</m:t>
            </m:r>
          </m:e>
          <m:sub>
            <m:r>
              <w:rPr>
                <w:rFonts w:ascii="Cambria Math" w:hAnsi="Cambria Math" w:cs="Arial"/>
              </w:rPr>
              <m:t>j</m:t>
            </m:r>
          </m:sub>
        </m:sSub>
        <m:r>
          <w:rPr>
            <w:rFonts w:ascii="Cambria Math" w:hAnsi="Cambria Math" w:cs="Arial"/>
          </w:rPr>
          <m:t>&gt;0</m:t>
        </m:r>
      </m:oMath>
      <w:r w:rsidRPr="000C6B5A">
        <w:rPr>
          <w:rFonts w:ascii="Arial" w:hAnsi="Arial" w:cs="Arial"/>
          <w:noProof/>
        </w:rPr>
        <w:t xml:space="preserve">. </w:t>
      </w:r>
      <m:oMath>
        <m:sSub>
          <m:sSubPr>
            <m:ctrlPr>
              <w:rPr>
                <w:rFonts w:ascii="Cambria Math" w:hAnsi="Cambria Math" w:cs="Arial"/>
                <w:i/>
              </w:rPr>
            </m:ctrlPr>
          </m:sSubPr>
          <m:e>
            <m:r>
              <w:rPr>
                <w:rFonts w:ascii="Cambria Math" w:hAnsi="Cambria Math" w:cs="Arial"/>
              </w:rPr>
              <m:t>ε</m:t>
            </m:r>
          </m:e>
          <m:sub>
            <m:r>
              <w:rPr>
                <w:rFonts w:ascii="Cambria Math" w:hAnsi="Cambria Math" w:cs="Arial"/>
              </w:rPr>
              <m:t>t</m:t>
            </m:r>
          </m:sub>
        </m:sSub>
      </m:oMath>
      <w:r w:rsidRPr="000C6B5A">
        <w:rPr>
          <w:rFonts w:ascii="Arial" w:hAnsi="Arial" w:cs="Arial"/>
          <w:noProof/>
          <w:color w:val="000000"/>
          <w:w w:val="40"/>
        </w:rPr>
        <w:t> </w:t>
      </w:r>
      <w:r w:rsidRPr="000C6B5A">
        <w:rPr>
          <w:rFonts w:ascii="Arial" w:hAnsi="Arial" w:cs="Arial"/>
        </w:rPr>
        <w:t xml:space="preserve">, es una secuencia de variables aleatorias independientes e idénticamente distribuidas con media cero y varianza uno, e independiente de </w:t>
      </w:r>
      <m:oMath>
        <m:sSub>
          <m:sSubPr>
            <m:ctrlPr>
              <w:rPr>
                <w:rFonts w:ascii="Cambria Math" w:hAnsi="Cambria Math" w:cs="Arial"/>
                <w:i/>
              </w:rPr>
            </m:ctrlPr>
          </m:sSubPr>
          <m:e>
            <m:r>
              <w:rPr>
                <w:rFonts w:ascii="Cambria Math" w:hAnsi="Cambria Math" w:cs="Arial"/>
              </w:rPr>
              <m:t>y</m:t>
            </m:r>
          </m:e>
          <m:sub>
            <m:r>
              <w:rPr>
                <w:rFonts w:ascii="Cambria Math" w:hAnsi="Cambria Math" w:cs="Arial"/>
              </w:rPr>
              <m:t>t-1</m:t>
            </m:r>
          </m:sub>
        </m:sSub>
      </m:oMath>
      <w:r w:rsidRPr="000C6B5A">
        <w:rPr>
          <w:rFonts w:ascii="Arial" w:hAnsi="Arial" w:cs="Arial"/>
        </w:rPr>
        <w:t xml:space="preserve"> para i &gt; 1. En la práctica usualmente s</w:t>
      </w:r>
      <w:r>
        <w:rPr>
          <w:rFonts w:ascii="Arial" w:hAnsi="Arial" w:cs="Arial"/>
        </w:rPr>
        <w:t>e su</w:t>
      </w:r>
      <w:r w:rsidRPr="000C6B5A">
        <w:rPr>
          <w:rFonts w:ascii="Arial" w:hAnsi="Arial" w:cs="Arial"/>
        </w:rPr>
        <w:t xml:space="preserve">pone que </w:t>
      </w:r>
      <m:oMath>
        <m:sSub>
          <m:sSubPr>
            <m:ctrlPr>
              <w:rPr>
                <w:rFonts w:ascii="Cambria Math" w:hAnsi="Cambria Math" w:cs="Arial"/>
                <w:i/>
              </w:rPr>
            </m:ctrlPr>
          </m:sSubPr>
          <m:e>
            <m:r>
              <w:rPr>
                <w:rFonts w:ascii="Cambria Math" w:hAnsi="Cambria Math" w:cs="Arial"/>
              </w:rPr>
              <m:t>ε</m:t>
            </m:r>
          </m:e>
          <m:sub>
            <m:r>
              <w:rPr>
                <w:rFonts w:ascii="Cambria Math" w:hAnsi="Cambria Math" w:cs="Arial"/>
              </w:rPr>
              <m:t>t</m:t>
            </m:r>
          </m:sub>
        </m:sSub>
        <m:r>
          <w:rPr>
            <w:rFonts w:ascii="Cambria Math" w:hAnsi="Cambria Math" w:cs="Arial"/>
          </w:rPr>
          <m:t>~N</m:t>
        </m:r>
        <m:d>
          <m:dPr>
            <m:ctrlPr>
              <w:rPr>
                <w:rFonts w:ascii="Cambria Math" w:hAnsi="Cambria Math" w:cs="Arial"/>
                <w:i/>
              </w:rPr>
            </m:ctrlPr>
          </m:dPr>
          <m:e>
            <m:r>
              <w:rPr>
                <w:rFonts w:ascii="Cambria Math" w:hAnsi="Cambria Math" w:cs="Arial"/>
              </w:rPr>
              <m:t>0,1</m:t>
            </m:r>
          </m:e>
        </m:d>
        <m:r>
          <w:rPr>
            <w:rFonts w:ascii="Cambria Math" w:hAnsi="Cambria Math" w:cs="Arial"/>
          </w:rPr>
          <m:t xml:space="preserve"> o </m:t>
        </m:r>
        <m:sSub>
          <m:sSubPr>
            <m:ctrlPr>
              <w:rPr>
                <w:rFonts w:ascii="Cambria Math" w:hAnsi="Cambria Math" w:cs="Arial"/>
                <w:i/>
              </w:rPr>
            </m:ctrlPr>
          </m:sSubPr>
          <m:e>
            <m:r>
              <w:rPr>
                <w:rFonts w:ascii="Cambria Math" w:hAnsi="Cambria Math" w:cs="Arial"/>
              </w:rPr>
              <m:t>ε</m:t>
            </m:r>
          </m:e>
          <m:sub>
            <m:r>
              <w:rPr>
                <w:rFonts w:ascii="Cambria Math" w:hAnsi="Cambria Math" w:cs="Arial"/>
              </w:rPr>
              <m:t>t</m:t>
            </m:r>
          </m:sub>
        </m:sSub>
        <m:r>
          <w:rPr>
            <w:rFonts w:ascii="Cambria Math" w:hAnsi="Cambria Math" w:cs="Arial"/>
          </w:rPr>
          <m:t>~</m:t>
        </m:r>
        <m:sSub>
          <m:sSubPr>
            <m:ctrlPr>
              <w:rPr>
                <w:rFonts w:ascii="Cambria Math" w:hAnsi="Cambria Math" w:cs="Arial"/>
                <w:i/>
              </w:rPr>
            </m:ctrlPr>
          </m:sSubPr>
          <m:e>
            <m:r>
              <w:rPr>
                <w:rFonts w:ascii="Cambria Math" w:hAnsi="Cambria Math" w:cs="Arial"/>
              </w:rPr>
              <m:t>t</m:t>
            </m:r>
          </m:e>
          <m:sub>
            <m:r>
              <w:rPr>
                <w:rFonts w:ascii="Cambria Math" w:hAnsi="Cambria Math" w:cs="Arial"/>
              </w:rPr>
              <m:t>v</m:t>
            </m:r>
          </m:sub>
        </m:sSub>
      </m:oMath>
      <w:r w:rsidRPr="000C6B5A">
        <w:rPr>
          <w:rFonts w:ascii="Arial" w:hAnsi="Arial" w:cs="Arial"/>
        </w:rPr>
        <w:t xml:space="preserve">  (distribución t de Student con v grados de libertad).</w:t>
      </w:r>
    </w:p>
    <w:p w:rsidR="00B31CE1" w:rsidRPr="000C6B5A" w:rsidRDefault="00B31CE1" w:rsidP="00B31CE1">
      <w:pPr>
        <w:spacing w:before="240" w:after="240"/>
        <w:jc w:val="both"/>
        <w:rPr>
          <w:rFonts w:ascii="Arial" w:hAnsi="Arial" w:cs="Arial"/>
        </w:rPr>
      </w:pPr>
      <w:r w:rsidRPr="000C6B5A">
        <w:rPr>
          <w:rFonts w:ascii="Arial" w:hAnsi="Arial" w:cs="Arial"/>
        </w:rPr>
        <w:lastRenderedPageBreak/>
        <w:t>A partir de los procesos ARCH y GARCH se planearon otros tipos de modelos con características propias como el proceso EGARCH</w:t>
      </w:r>
      <w:r>
        <w:rPr>
          <w:rFonts w:ascii="Arial" w:hAnsi="Arial" w:cs="Arial"/>
        </w:rPr>
        <w:t xml:space="preserve"> y TGARCH</w:t>
      </w:r>
      <w:r w:rsidRPr="000C6B5A">
        <w:rPr>
          <w:rFonts w:ascii="Arial" w:hAnsi="Arial" w:cs="Arial"/>
        </w:rPr>
        <w:t xml:space="preserve"> que asumen que los errores positivos y negativos tienen un efecto simétrico en la volatilidad</w:t>
      </w:r>
      <w:r>
        <w:rPr>
          <w:rFonts w:ascii="Arial" w:hAnsi="Arial" w:cs="Arial"/>
        </w:rPr>
        <w:t>,</w:t>
      </w:r>
      <w:r w:rsidRPr="000C6B5A">
        <w:rPr>
          <w:rFonts w:ascii="Arial" w:hAnsi="Arial" w:cs="Arial"/>
        </w:rPr>
        <w:t xml:space="preserve"> </w:t>
      </w:r>
      <w:r>
        <w:rPr>
          <w:rFonts w:ascii="Arial" w:hAnsi="Arial" w:cs="Arial"/>
        </w:rPr>
        <w:t>e</w:t>
      </w:r>
      <w:r w:rsidRPr="000C6B5A">
        <w:rPr>
          <w:rFonts w:ascii="Arial" w:hAnsi="Arial" w:cs="Arial"/>
        </w:rPr>
        <w:t>st</w:t>
      </w:r>
      <w:r>
        <w:rPr>
          <w:rFonts w:ascii="Arial" w:hAnsi="Arial" w:cs="Arial"/>
        </w:rPr>
        <w:t>os</w:t>
      </w:r>
      <w:r w:rsidRPr="000C6B5A">
        <w:rPr>
          <w:rFonts w:ascii="Arial" w:hAnsi="Arial" w:cs="Arial"/>
        </w:rPr>
        <w:t xml:space="preserve"> modelo permite</w:t>
      </w:r>
      <w:r>
        <w:rPr>
          <w:rFonts w:ascii="Arial" w:hAnsi="Arial" w:cs="Arial"/>
        </w:rPr>
        <w:t>n</w:t>
      </w:r>
      <w:r w:rsidRPr="000C6B5A">
        <w:rPr>
          <w:rFonts w:ascii="Arial" w:hAnsi="Arial" w:cs="Arial"/>
        </w:rPr>
        <w:t xml:space="preserve"> que la volatilidad sea más afectada por retornos pasados negativos que de los positivos. Una ventaja en este modelo para garantizar la varianza positiva es la inexistencia de la restricción de que los parámetros sean positivos.</w:t>
      </w:r>
      <w:r w:rsidRPr="00642FEC">
        <w:rPr>
          <w:rFonts w:ascii="Arial" w:hAnsi="Arial" w:cs="Arial"/>
          <w:vertAlign w:val="superscript"/>
        </w:rPr>
        <w:t>(5)</w:t>
      </w:r>
    </w:p>
    <w:p w:rsidR="00B31CE1" w:rsidRPr="000C6B5A" w:rsidRDefault="00B31CE1" w:rsidP="00B31CE1">
      <w:pPr>
        <w:spacing w:before="240" w:after="240"/>
        <w:jc w:val="both"/>
        <w:rPr>
          <w:rFonts w:ascii="Arial" w:hAnsi="Arial" w:cs="Arial"/>
        </w:rPr>
      </w:pPr>
      <w:r w:rsidRPr="000C6B5A">
        <w:rPr>
          <w:rFonts w:ascii="Arial" w:hAnsi="Arial" w:cs="Arial"/>
        </w:rPr>
        <w:t>En la presente investigación se obtuvo los modelos heterocedastico</w:t>
      </w:r>
      <w:r>
        <w:rPr>
          <w:rFonts w:ascii="Arial" w:hAnsi="Arial" w:cs="Arial"/>
        </w:rPr>
        <w:t>s</w:t>
      </w:r>
      <w:r w:rsidRPr="000C6B5A">
        <w:rPr>
          <w:rFonts w:ascii="Arial" w:hAnsi="Arial" w:cs="Arial"/>
        </w:rPr>
        <w:t xml:space="preserve"> de los retornos del Índice de la Bolsa de Valores de Lima (S&amp;P/BVL), que es un indicador que mide el comportamiento del mercado bursátil y sirve para establecer comparaciones respecto de los rendimientos alcanzados por los diversos sectores participantes en la Bolsa de</w:t>
      </w:r>
      <w:r>
        <w:rPr>
          <w:rFonts w:ascii="Arial" w:hAnsi="Arial" w:cs="Arial"/>
        </w:rPr>
        <w:t xml:space="preserve"> Valores</w:t>
      </w:r>
      <w:r w:rsidRPr="000C6B5A">
        <w:rPr>
          <w:rFonts w:ascii="Arial" w:hAnsi="Arial" w:cs="Arial"/>
        </w:rPr>
        <w:t xml:space="preserve"> Lima, y está conformada por un conjunto de valores que concentra el 80% de la negociación del mercado</w:t>
      </w:r>
      <w:r>
        <w:rPr>
          <w:rFonts w:ascii="Arial" w:hAnsi="Arial" w:cs="Arial"/>
        </w:rPr>
        <w:t>.</w:t>
      </w:r>
    </w:p>
    <w:p w:rsidR="00B31CE1" w:rsidRPr="000C6B5A" w:rsidRDefault="00B31CE1" w:rsidP="00B31CE1">
      <w:pPr>
        <w:spacing w:before="240" w:after="240"/>
        <w:jc w:val="both"/>
        <w:rPr>
          <w:rFonts w:ascii="Arial" w:hAnsi="Arial" w:cs="Arial"/>
        </w:rPr>
      </w:pPr>
      <w:r w:rsidRPr="000C6B5A">
        <w:rPr>
          <w:rFonts w:ascii="Arial" w:hAnsi="Arial" w:cs="Arial"/>
        </w:rPr>
        <w:t xml:space="preserve">Una serie de retornos es definida como la diferencia de los logaritmos de una serie de tiempo financiera. Para  </w:t>
      </w:r>
      <m:oMath>
        <m:r>
          <w:rPr>
            <w:rFonts w:ascii="Cambria Math" w:hAnsi="Cambria Math" w:cs="Arial"/>
          </w:rPr>
          <m:t>t=1,2,…,T</m:t>
        </m:r>
      </m:oMath>
      <w:r w:rsidRPr="000C6B5A">
        <w:rPr>
          <w:rFonts w:ascii="Arial" w:hAnsi="Arial" w:cs="Arial"/>
        </w:rPr>
        <w:t xml:space="preserve">  donde T es el total número de observaciones. Los retornos diarios del índice son denotados como:</w:t>
      </w:r>
    </w:p>
    <w:p w:rsidR="00B31CE1" w:rsidRPr="000C6B5A" w:rsidRDefault="001345E4" w:rsidP="00B31CE1">
      <w:pPr>
        <w:spacing w:before="240" w:after="240"/>
        <w:jc w:val="both"/>
        <w:rPr>
          <w:rFonts w:ascii="Arial" w:hAnsi="Arial" w:cs="Arial"/>
        </w:rPr>
      </w:pPr>
      <m:oMathPara>
        <m:oMath>
          <m:sSub>
            <m:sSubPr>
              <m:ctrlPr>
                <w:rPr>
                  <w:rFonts w:ascii="Cambria Math" w:hAnsi="Cambria Math" w:cs="Arial"/>
                  <w:i/>
                </w:rPr>
              </m:ctrlPr>
            </m:sSubPr>
            <m:e>
              <m:r>
                <w:rPr>
                  <w:rFonts w:ascii="Cambria Math" w:hAnsi="Cambria Math" w:cs="Arial"/>
                </w:rPr>
                <m:t>r</m:t>
              </m:r>
            </m:e>
            <m:sub>
              <m:r>
                <w:rPr>
                  <w:rFonts w:ascii="Cambria Math" w:hAnsi="Cambria Math" w:cs="Arial"/>
                </w:rPr>
                <m:t>t</m:t>
              </m:r>
            </m:sub>
          </m:sSub>
          <m:r>
            <w:rPr>
              <w:rFonts w:ascii="Cambria Math" w:hAnsi="Cambria Math" w:cs="Arial"/>
            </w:rPr>
            <m:t>=</m:t>
          </m:r>
          <m:r>
            <m:rPr>
              <m:sty m:val="p"/>
            </m:rPr>
            <w:rPr>
              <w:rFonts w:ascii="Cambria Math" w:hAnsi="Cambria Math" w:cs="Arial"/>
            </w:rPr>
            <m:t>ln⁡</m:t>
          </m:r>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p</m:t>
                  </m:r>
                </m:e>
                <m:sub>
                  <m:r>
                    <w:rPr>
                      <w:rFonts w:ascii="Cambria Math" w:hAnsi="Cambria Math" w:cs="Arial"/>
                    </w:rPr>
                    <m:t>t</m:t>
                  </m:r>
                </m:sub>
              </m:sSub>
            </m:num>
            <m:den>
              <m:sSub>
                <m:sSubPr>
                  <m:ctrlPr>
                    <w:rPr>
                      <w:rFonts w:ascii="Cambria Math" w:hAnsi="Cambria Math" w:cs="Arial"/>
                      <w:i/>
                    </w:rPr>
                  </m:ctrlPr>
                </m:sSubPr>
                <m:e>
                  <m:r>
                    <w:rPr>
                      <w:rFonts w:ascii="Cambria Math" w:hAnsi="Cambria Math" w:cs="Arial"/>
                    </w:rPr>
                    <m:t>p</m:t>
                  </m:r>
                </m:e>
                <m:sub>
                  <m:r>
                    <w:rPr>
                      <w:rFonts w:ascii="Cambria Math" w:hAnsi="Cambria Math" w:cs="Arial"/>
                    </w:rPr>
                    <m:t>t-1</m:t>
                  </m:r>
                </m:sub>
              </m:sSub>
            </m:den>
          </m:f>
          <m:r>
            <w:rPr>
              <w:rFonts w:ascii="Cambria Math" w:hAnsi="Cambria Math" w:cs="Arial"/>
            </w:rPr>
            <m:t>)</m:t>
          </m:r>
        </m:oMath>
      </m:oMathPara>
    </w:p>
    <w:p w:rsidR="00B31CE1" w:rsidRPr="000C6B5A" w:rsidRDefault="00B31CE1" w:rsidP="00B31CE1">
      <w:pPr>
        <w:spacing w:before="240" w:after="240"/>
        <w:rPr>
          <w:rFonts w:ascii="Arial" w:hAnsi="Arial" w:cs="Arial"/>
        </w:rPr>
      </w:pPr>
      <w:r w:rsidRPr="000C6B5A">
        <w:rPr>
          <w:rFonts w:ascii="Arial" w:hAnsi="Arial" w:cs="Arial"/>
        </w:rPr>
        <w:t xml:space="preserve">y la varianza del retorno es referido como la volatilidad de </w:t>
      </w:r>
      <m:oMath>
        <m:sSub>
          <m:sSubPr>
            <m:ctrlPr>
              <w:rPr>
                <w:rFonts w:ascii="Cambria Math" w:hAnsi="Cambria Math" w:cs="Arial"/>
                <w:i/>
              </w:rPr>
            </m:ctrlPr>
          </m:sSubPr>
          <m:e>
            <m:r>
              <w:rPr>
                <w:rFonts w:ascii="Cambria Math" w:hAnsi="Cambria Math" w:cs="Arial"/>
              </w:rPr>
              <m:t>r</m:t>
            </m:r>
          </m:e>
          <m:sub>
            <m:r>
              <w:rPr>
                <w:rFonts w:ascii="Cambria Math" w:hAnsi="Cambria Math" w:cs="Arial"/>
              </w:rPr>
              <m:t>t</m:t>
            </m:r>
          </m:sub>
        </m:sSub>
      </m:oMath>
      <w:r w:rsidRPr="000C6B5A">
        <w:rPr>
          <w:rFonts w:ascii="Arial" w:hAnsi="Arial" w:cs="Arial"/>
        </w:rPr>
        <w:t>.</w:t>
      </w:r>
    </w:p>
    <w:p w:rsidR="00B31CE1" w:rsidRPr="000C6B5A" w:rsidRDefault="00B31CE1" w:rsidP="00B31CE1">
      <w:pPr>
        <w:spacing w:before="240" w:after="240"/>
        <w:jc w:val="both"/>
        <w:rPr>
          <w:rFonts w:ascii="Arial" w:hAnsi="Arial" w:cs="Arial"/>
        </w:rPr>
      </w:pPr>
      <w:r w:rsidRPr="000C6B5A">
        <w:rPr>
          <w:rFonts w:ascii="Arial" w:hAnsi="Arial" w:cs="Arial"/>
        </w:rPr>
        <w:t>Kosapattarapim</w:t>
      </w:r>
      <w:r w:rsidRPr="00E928EE">
        <w:rPr>
          <w:rFonts w:ascii="Arial" w:hAnsi="Arial" w:cs="Arial"/>
          <w:vertAlign w:val="superscript"/>
        </w:rPr>
        <w:t>(6)</w:t>
      </w:r>
      <w:r>
        <w:rPr>
          <w:rFonts w:ascii="Arial" w:hAnsi="Arial" w:cs="Arial"/>
        </w:rPr>
        <w:t xml:space="preserve"> </w:t>
      </w:r>
      <w:r w:rsidRPr="000C6B5A">
        <w:rPr>
          <w:rFonts w:ascii="Arial" w:hAnsi="Arial" w:cs="Arial"/>
        </w:rPr>
        <w:t>menciona que los hechos estilizados de los retornos son en general propiedades de retornos financieros que son aceptados como verdaderos. Estudiados empíricamente muestran que estas propiedades son consistentes.</w:t>
      </w:r>
    </w:p>
    <w:p w:rsidR="00B31CE1" w:rsidRPr="000C6B5A" w:rsidRDefault="00B31CE1" w:rsidP="00B31CE1">
      <w:pPr>
        <w:spacing w:before="240" w:after="240"/>
        <w:jc w:val="both"/>
        <w:rPr>
          <w:rFonts w:ascii="Arial" w:hAnsi="Arial" w:cs="Arial"/>
        </w:rPr>
      </w:pPr>
      <w:r w:rsidRPr="000C6B5A">
        <w:rPr>
          <w:rFonts w:ascii="Arial" w:hAnsi="Arial" w:cs="Arial"/>
        </w:rPr>
        <w:t>Los hechos estilizados relativos a retornos financieros pueden ser resumidos como:</w:t>
      </w:r>
    </w:p>
    <w:p w:rsidR="00B31CE1" w:rsidRPr="000C6B5A" w:rsidRDefault="00B31CE1" w:rsidP="00133D30">
      <w:pPr>
        <w:pStyle w:val="Prrafodelista"/>
        <w:numPr>
          <w:ilvl w:val="0"/>
          <w:numId w:val="32"/>
        </w:numPr>
        <w:autoSpaceDE w:val="0"/>
        <w:autoSpaceDN w:val="0"/>
        <w:adjustRightInd w:val="0"/>
        <w:spacing w:before="240" w:after="240" w:line="240" w:lineRule="auto"/>
        <w:jc w:val="both"/>
        <w:rPr>
          <w:rFonts w:ascii="Arial" w:hAnsi="Arial" w:cs="Arial"/>
          <w:sz w:val="24"/>
          <w:szCs w:val="24"/>
        </w:rPr>
      </w:pPr>
      <w:r w:rsidRPr="000C6B5A">
        <w:rPr>
          <w:rFonts w:ascii="Arial" w:hAnsi="Arial" w:cs="Arial"/>
          <w:sz w:val="24"/>
          <w:szCs w:val="24"/>
        </w:rPr>
        <w:t>Los retornos son no correlacionados serialmente, o presentan en general pequeña autocorrelación.</w:t>
      </w:r>
    </w:p>
    <w:p w:rsidR="00B31CE1" w:rsidRPr="000C6B5A" w:rsidRDefault="00B31CE1" w:rsidP="00133D30">
      <w:pPr>
        <w:pStyle w:val="Prrafodelista"/>
        <w:numPr>
          <w:ilvl w:val="0"/>
          <w:numId w:val="32"/>
        </w:numPr>
        <w:autoSpaceDE w:val="0"/>
        <w:autoSpaceDN w:val="0"/>
        <w:adjustRightInd w:val="0"/>
        <w:spacing w:before="240" w:after="240" w:line="240" w:lineRule="auto"/>
        <w:jc w:val="both"/>
        <w:rPr>
          <w:rFonts w:ascii="Arial" w:hAnsi="Arial" w:cs="Arial"/>
          <w:sz w:val="24"/>
          <w:szCs w:val="24"/>
        </w:rPr>
      </w:pPr>
      <w:r w:rsidRPr="000C6B5A">
        <w:rPr>
          <w:rFonts w:ascii="Arial" w:hAnsi="Arial" w:cs="Arial"/>
          <w:sz w:val="24"/>
          <w:szCs w:val="24"/>
        </w:rPr>
        <w:t>Los cuadrados de los retornos están autocorrelacionados.</w:t>
      </w:r>
    </w:p>
    <w:p w:rsidR="00B31CE1" w:rsidRPr="0099528E" w:rsidRDefault="00B31CE1" w:rsidP="00133D30">
      <w:pPr>
        <w:pStyle w:val="Prrafodelista"/>
        <w:numPr>
          <w:ilvl w:val="0"/>
          <w:numId w:val="32"/>
        </w:numPr>
        <w:autoSpaceDE w:val="0"/>
        <w:autoSpaceDN w:val="0"/>
        <w:adjustRightInd w:val="0"/>
        <w:spacing w:before="240" w:after="240" w:line="240" w:lineRule="auto"/>
        <w:jc w:val="both"/>
        <w:rPr>
          <w:rFonts w:ascii="Arial" w:hAnsi="Arial" w:cs="Arial"/>
          <w:sz w:val="24"/>
          <w:szCs w:val="24"/>
        </w:rPr>
      </w:pPr>
      <w:r w:rsidRPr="000C6B5A">
        <w:rPr>
          <w:rFonts w:ascii="Arial" w:hAnsi="Arial" w:cs="Arial"/>
          <w:sz w:val="24"/>
          <w:szCs w:val="24"/>
        </w:rPr>
        <w:t>Series de retornos presentan</w:t>
      </w:r>
      <w:r w:rsidRPr="0099528E">
        <w:rPr>
          <w:rFonts w:ascii="Arial" w:hAnsi="Arial" w:cs="Arial"/>
          <w:sz w:val="24"/>
          <w:szCs w:val="24"/>
        </w:rPr>
        <w:t xml:space="preserve"> conglomerados de volatilidades a lo largo del tiempo.</w:t>
      </w:r>
    </w:p>
    <w:p w:rsidR="00B31CE1" w:rsidRPr="0099528E" w:rsidRDefault="00B31CE1" w:rsidP="00133D30">
      <w:pPr>
        <w:pStyle w:val="Prrafodelista"/>
        <w:numPr>
          <w:ilvl w:val="0"/>
          <w:numId w:val="32"/>
        </w:numPr>
        <w:autoSpaceDE w:val="0"/>
        <w:autoSpaceDN w:val="0"/>
        <w:adjustRightInd w:val="0"/>
        <w:spacing w:before="240" w:after="240" w:line="240" w:lineRule="auto"/>
        <w:jc w:val="both"/>
        <w:rPr>
          <w:rFonts w:ascii="Arial" w:hAnsi="Arial" w:cs="Arial"/>
          <w:sz w:val="24"/>
          <w:szCs w:val="24"/>
        </w:rPr>
      </w:pPr>
      <w:r w:rsidRPr="0099528E">
        <w:rPr>
          <w:rFonts w:ascii="Arial" w:hAnsi="Arial" w:cs="Arial"/>
          <w:sz w:val="24"/>
          <w:szCs w:val="24"/>
        </w:rPr>
        <w:t>La distribución (incondicional) de los retornos presenta colas más pesadas que una distribución normal, y la distribución es en general leptocúrtica (distribución no normal).</w:t>
      </w:r>
    </w:p>
    <w:p w:rsidR="00B31CE1" w:rsidRPr="0099528E" w:rsidRDefault="00B31CE1" w:rsidP="00133D30">
      <w:pPr>
        <w:pStyle w:val="Prrafodelista"/>
        <w:numPr>
          <w:ilvl w:val="0"/>
          <w:numId w:val="32"/>
        </w:numPr>
        <w:spacing w:before="240" w:after="240" w:line="240" w:lineRule="auto"/>
        <w:jc w:val="both"/>
        <w:rPr>
          <w:rFonts w:ascii="Arial" w:hAnsi="Arial" w:cs="Arial"/>
          <w:sz w:val="24"/>
          <w:szCs w:val="24"/>
        </w:rPr>
      </w:pPr>
      <w:r w:rsidRPr="0099528E">
        <w:rPr>
          <w:rFonts w:ascii="Arial" w:hAnsi="Arial" w:cs="Arial"/>
          <w:sz w:val="24"/>
          <w:szCs w:val="24"/>
        </w:rPr>
        <w:t>En muchos casos, la distribución condicional también presenta colas pesadas.</w:t>
      </w:r>
    </w:p>
    <w:p w:rsidR="00B31CE1" w:rsidRDefault="00B31CE1" w:rsidP="00B31CE1">
      <w:pPr>
        <w:spacing w:before="240" w:after="240"/>
        <w:jc w:val="both"/>
        <w:rPr>
          <w:rFonts w:ascii="Arial" w:hAnsi="Arial" w:cs="Arial"/>
        </w:rPr>
      </w:pPr>
      <w:r>
        <w:rPr>
          <w:rFonts w:ascii="Arial" w:hAnsi="Arial" w:cs="Arial"/>
        </w:rPr>
        <w:t xml:space="preserve">2.3 Metodología aplicada al Índice </w:t>
      </w:r>
      <w:r w:rsidRPr="000C6B5A">
        <w:rPr>
          <w:rFonts w:ascii="Arial" w:hAnsi="Arial" w:cs="Arial"/>
        </w:rPr>
        <w:t>S&amp;P/BVL</w:t>
      </w:r>
    </w:p>
    <w:p w:rsidR="00B31CE1" w:rsidRPr="0099528E" w:rsidRDefault="00B31CE1" w:rsidP="00B31CE1">
      <w:pPr>
        <w:spacing w:before="240" w:after="240"/>
        <w:jc w:val="both"/>
        <w:rPr>
          <w:rFonts w:ascii="Arial" w:hAnsi="Arial" w:cs="Arial"/>
        </w:rPr>
      </w:pPr>
      <w:r w:rsidRPr="0099528E">
        <w:rPr>
          <w:rFonts w:ascii="Arial" w:hAnsi="Arial" w:cs="Arial"/>
        </w:rPr>
        <w:t>Los datos fueron obtenidos del mercado bursátil de los índices históricos de la Bolsa de Valores de Lima</w:t>
      </w:r>
      <w:r w:rsidRPr="00537809">
        <w:rPr>
          <w:rFonts w:ascii="Arial" w:hAnsi="Arial" w:cs="Arial"/>
          <w:vertAlign w:val="superscript"/>
        </w:rPr>
        <w:t>(7)</w:t>
      </w:r>
      <w:r w:rsidRPr="0099528E">
        <w:rPr>
          <w:rFonts w:ascii="Arial" w:hAnsi="Arial" w:cs="Arial"/>
        </w:rPr>
        <w:t xml:space="preserve">, </w:t>
      </w:r>
      <w:r>
        <w:rPr>
          <w:rFonts w:ascii="Arial" w:hAnsi="Arial" w:cs="Arial"/>
        </w:rPr>
        <w:t>del</w:t>
      </w:r>
      <w:r w:rsidRPr="0099528E">
        <w:rPr>
          <w:rFonts w:ascii="Arial" w:hAnsi="Arial" w:cs="Arial"/>
        </w:rPr>
        <w:t xml:space="preserve"> período 2017 al 2019. La población estuvo conformada por los precios diarios de cierre de activos del mercado bursátil de la bolsa de valores de Lima, del 1 de enero del 2017 al 31 de diciembre del 2019, con un total de </w:t>
      </w:r>
      <w:r>
        <w:rPr>
          <w:rFonts w:ascii="Arial" w:hAnsi="Arial" w:cs="Arial"/>
        </w:rPr>
        <w:t>781</w:t>
      </w:r>
      <w:r w:rsidRPr="0099528E">
        <w:rPr>
          <w:rFonts w:ascii="Arial" w:hAnsi="Arial" w:cs="Arial"/>
        </w:rPr>
        <w:t xml:space="preserve"> observaciones.</w:t>
      </w:r>
      <w:r>
        <w:rPr>
          <w:rFonts w:ascii="Arial" w:hAnsi="Arial" w:cs="Arial"/>
        </w:rPr>
        <w:t xml:space="preserve"> </w:t>
      </w:r>
      <w:r w:rsidRPr="0099528E">
        <w:rPr>
          <w:rFonts w:ascii="Arial" w:hAnsi="Arial" w:cs="Arial"/>
        </w:rPr>
        <w:t>Las muestras fueron divididas en muestra de entrenamiento y la muestra de prueba, la primera conformada por los precios diarios de cierre de activos del mercado bursátil de la bolsa de valores de Lima, del 1 de enero del 2017 al 30 de noviembre del 2019, con un total de</w:t>
      </w:r>
      <w:r>
        <w:rPr>
          <w:rFonts w:ascii="Arial" w:hAnsi="Arial" w:cs="Arial"/>
        </w:rPr>
        <w:t xml:space="preserve"> 761</w:t>
      </w:r>
      <w:r w:rsidRPr="0099528E">
        <w:rPr>
          <w:rFonts w:ascii="Arial" w:hAnsi="Arial" w:cs="Arial"/>
        </w:rPr>
        <w:t xml:space="preserve"> observaciones; y la segunda conformada por los precios diarios de cierre </w:t>
      </w:r>
      <w:r w:rsidRPr="0099528E">
        <w:rPr>
          <w:rFonts w:ascii="Arial" w:hAnsi="Arial" w:cs="Arial"/>
        </w:rPr>
        <w:lastRenderedPageBreak/>
        <w:t>de activos del mercado bursátil de la bolsa de valores de Lima, del 1 de diciembre del 2019 al 31 de diciembre del 2019, con un total de 2</w:t>
      </w:r>
      <w:r>
        <w:rPr>
          <w:rFonts w:ascii="Arial" w:hAnsi="Arial" w:cs="Arial"/>
        </w:rPr>
        <w:t>0</w:t>
      </w:r>
      <w:r w:rsidRPr="0099528E">
        <w:rPr>
          <w:rFonts w:ascii="Arial" w:hAnsi="Arial" w:cs="Arial"/>
        </w:rPr>
        <w:t xml:space="preserve"> observaciones.</w:t>
      </w:r>
    </w:p>
    <w:p w:rsidR="00B31CE1" w:rsidRPr="0099528E" w:rsidRDefault="00B31CE1" w:rsidP="00B31CE1">
      <w:pPr>
        <w:spacing w:before="240" w:after="240"/>
        <w:jc w:val="both"/>
        <w:rPr>
          <w:rFonts w:ascii="Arial" w:hAnsi="Arial" w:cs="Arial"/>
        </w:rPr>
      </w:pPr>
      <w:r w:rsidRPr="0099528E">
        <w:rPr>
          <w:rFonts w:ascii="Arial" w:hAnsi="Arial" w:cs="Arial"/>
        </w:rPr>
        <w:t>Cada modelo obtenido fue calculado a partir de los datos de entrenamiento, y para poder realizar las evaluaciones respecto a la predicción en cada modelo, se realizó la comparación con los datos de prueba.</w:t>
      </w:r>
    </w:p>
    <w:p w:rsidR="00B31CE1" w:rsidRPr="00E215B6" w:rsidRDefault="00B31CE1" w:rsidP="00B31CE1">
      <w:pPr>
        <w:spacing w:before="240" w:after="240"/>
        <w:jc w:val="both"/>
        <w:rPr>
          <w:rFonts w:ascii="Arial" w:hAnsi="Arial" w:cs="Arial"/>
        </w:rPr>
      </w:pPr>
      <w:r w:rsidRPr="0099528E">
        <w:rPr>
          <w:rFonts w:ascii="Arial" w:hAnsi="Arial" w:cs="Arial"/>
        </w:rPr>
        <w:t>Los pasos que se realizaron para poder cumplir con los objetivos de la presente investigación fueron los propuestos por Box y Jenkins</w:t>
      </w:r>
      <w:r w:rsidRPr="000C2422">
        <w:rPr>
          <w:rFonts w:ascii="Arial" w:hAnsi="Arial" w:cs="Arial"/>
          <w:vertAlign w:val="superscript"/>
        </w:rPr>
        <w:t>(</w:t>
      </w:r>
      <w:r>
        <w:rPr>
          <w:rFonts w:ascii="Arial" w:hAnsi="Arial" w:cs="Arial"/>
          <w:vertAlign w:val="superscript"/>
        </w:rPr>
        <w:t>8</w:t>
      </w:r>
      <w:r w:rsidRPr="000C2422">
        <w:rPr>
          <w:rFonts w:ascii="Arial" w:hAnsi="Arial" w:cs="Arial"/>
          <w:vertAlign w:val="superscript"/>
        </w:rPr>
        <w:t>)</w:t>
      </w:r>
      <w:r>
        <w:rPr>
          <w:rFonts w:ascii="Arial" w:hAnsi="Arial" w:cs="Arial"/>
        </w:rPr>
        <w:t xml:space="preserve">, </w:t>
      </w:r>
      <w:r w:rsidRPr="0099528E">
        <w:rPr>
          <w:rFonts w:ascii="Arial" w:hAnsi="Arial" w:cs="Arial"/>
        </w:rPr>
        <w:t>que consiste en el análisis exploratorio, identificación de modelos, estimación, diagnóstico del modelo, y finalmente la predicción.</w:t>
      </w:r>
      <w:r>
        <w:rPr>
          <w:rFonts w:ascii="Arial" w:hAnsi="Arial" w:cs="Arial"/>
        </w:rPr>
        <w:t xml:space="preserve"> Una vez determinado el mejor modelo se realizaron las predicciones paramétricas y bootstrap. Este proceso s</w:t>
      </w:r>
      <w:r w:rsidRPr="00E215B6">
        <w:rPr>
          <w:rFonts w:ascii="Arial" w:hAnsi="Arial" w:cs="Arial"/>
        </w:rPr>
        <w:t xml:space="preserve">e detallada de manera resumida en los siguientes pasos:  </w:t>
      </w:r>
    </w:p>
    <w:p w:rsidR="00B31CE1" w:rsidRPr="0099528E" w:rsidRDefault="00B31CE1" w:rsidP="00133D30">
      <w:pPr>
        <w:pStyle w:val="Prrafodelista"/>
        <w:numPr>
          <w:ilvl w:val="0"/>
          <w:numId w:val="33"/>
        </w:numPr>
        <w:spacing w:before="240" w:after="240" w:line="240" w:lineRule="auto"/>
        <w:jc w:val="both"/>
        <w:rPr>
          <w:rFonts w:ascii="Arial" w:hAnsi="Arial" w:cs="Arial"/>
          <w:sz w:val="24"/>
          <w:szCs w:val="24"/>
        </w:rPr>
      </w:pPr>
      <w:r w:rsidRPr="0099528E">
        <w:rPr>
          <w:rFonts w:ascii="Arial" w:hAnsi="Arial" w:cs="Arial"/>
          <w:sz w:val="24"/>
          <w:szCs w:val="24"/>
        </w:rPr>
        <w:t>Las predicciones para los retornos y las volatilidades fueron calculadas para el mes de diciembre del 201</w:t>
      </w:r>
      <w:r>
        <w:rPr>
          <w:rFonts w:ascii="Arial" w:hAnsi="Arial" w:cs="Arial"/>
          <w:sz w:val="24"/>
          <w:szCs w:val="24"/>
        </w:rPr>
        <w:t>9</w:t>
      </w:r>
      <w:r w:rsidRPr="0099528E">
        <w:rPr>
          <w:rFonts w:ascii="Arial" w:hAnsi="Arial" w:cs="Arial"/>
          <w:sz w:val="24"/>
          <w:szCs w:val="24"/>
        </w:rPr>
        <w:t xml:space="preserve"> con un total de 2</w:t>
      </w:r>
      <w:r>
        <w:rPr>
          <w:rFonts w:ascii="Arial" w:hAnsi="Arial" w:cs="Arial"/>
          <w:sz w:val="24"/>
          <w:szCs w:val="24"/>
        </w:rPr>
        <w:t>0</w:t>
      </w:r>
      <w:r w:rsidRPr="0099528E">
        <w:rPr>
          <w:rFonts w:ascii="Arial" w:hAnsi="Arial" w:cs="Arial"/>
          <w:sz w:val="24"/>
          <w:szCs w:val="24"/>
        </w:rPr>
        <w:t xml:space="preserve"> observaciones, </w:t>
      </w:r>
      <m:oMath>
        <m:sSub>
          <m:sSubPr>
            <m:ctrlPr>
              <w:rPr>
                <w:rFonts w:ascii="Cambria Math" w:hAnsi="Cambria Math" w:cs="Arial"/>
                <w:i/>
                <w:sz w:val="24"/>
                <w:szCs w:val="24"/>
              </w:rPr>
            </m:ctrlPr>
          </m:sSubPr>
          <m:e>
            <m:r>
              <w:rPr>
                <w:rFonts w:ascii="Cambria Math" w:hAnsi="Cambria Math" w:cs="Arial"/>
                <w:sz w:val="24"/>
                <w:szCs w:val="24"/>
              </w:rPr>
              <m:t>y</m:t>
            </m:r>
          </m:e>
          <m:sub>
            <m:r>
              <w:rPr>
                <w:rFonts w:ascii="Cambria Math" w:hAnsi="Cambria Math" w:cs="Arial"/>
                <w:sz w:val="24"/>
                <w:szCs w:val="24"/>
              </w:rPr>
              <m:t>t+k</m:t>
            </m:r>
          </m:sub>
        </m:sSub>
      </m:oMath>
      <w:r w:rsidRPr="0099528E">
        <w:rPr>
          <w:rFonts w:ascii="Arial" w:hAnsi="Arial" w:cs="Arial"/>
          <w:sz w:val="24"/>
          <w:szCs w:val="24"/>
        </w:rPr>
        <w:t xml:space="preserve">, con </w:t>
      </w:r>
      <m:oMath>
        <m:r>
          <w:rPr>
            <w:rFonts w:ascii="Cambria Math" w:hAnsi="Cambria Math" w:cs="Arial"/>
            <w:sz w:val="24"/>
            <w:szCs w:val="24"/>
          </w:rPr>
          <m:t>k=1,2,…,20</m:t>
        </m:r>
      </m:oMath>
      <w:r w:rsidRPr="0099528E">
        <w:rPr>
          <w:rFonts w:ascii="Arial" w:hAnsi="Arial" w:cs="Arial"/>
          <w:sz w:val="24"/>
          <w:szCs w:val="24"/>
        </w:rPr>
        <w:t>.</w:t>
      </w:r>
    </w:p>
    <w:p w:rsidR="00B31CE1" w:rsidRPr="0099528E" w:rsidRDefault="00B31CE1" w:rsidP="00133D30">
      <w:pPr>
        <w:pStyle w:val="Prrafodelista"/>
        <w:numPr>
          <w:ilvl w:val="0"/>
          <w:numId w:val="33"/>
        </w:numPr>
        <w:spacing w:before="240" w:after="240" w:line="240" w:lineRule="auto"/>
        <w:jc w:val="both"/>
        <w:rPr>
          <w:rFonts w:ascii="Arial" w:hAnsi="Arial" w:cs="Arial"/>
          <w:sz w:val="24"/>
          <w:szCs w:val="24"/>
        </w:rPr>
      </w:pPr>
      <w:r w:rsidRPr="0099528E">
        <w:rPr>
          <w:rFonts w:ascii="Arial" w:hAnsi="Arial" w:cs="Arial"/>
          <w:sz w:val="24"/>
          <w:szCs w:val="24"/>
        </w:rPr>
        <w:t xml:space="preserve">Los intervalos de predicción fueron calculados en los niveles de confianza del 90% y 95%. </w:t>
      </w:r>
    </w:p>
    <w:p w:rsidR="00B31CE1" w:rsidRPr="0099528E" w:rsidRDefault="00B31CE1" w:rsidP="00133D30">
      <w:pPr>
        <w:pStyle w:val="Prrafodelista"/>
        <w:numPr>
          <w:ilvl w:val="0"/>
          <w:numId w:val="33"/>
        </w:numPr>
        <w:spacing w:before="240" w:after="240" w:line="240" w:lineRule="auto"/>
        <w:jc w:val="both"/>
        <w:rPr>
          <w:rFonts w:ascii="Arial" w:hAnsi="Arial" w:cs="Arial"/>
          <w:sz w:val="24"/>
          <w:szCs w:val="24"/>
        </w:rPr>
      </w:pPr>
      <w:r w:rsidRPr="0099528E">
        <w:rPr>
          <w:rFonts w:ascii="Arial" w:hAnsi="Arial" w:cs="Arial"/>
          <w:sz w:val="24"/>
          <w:szCs w:val="24"/>
        </w:rPr>
        <w:t xml:space="preserve">Para los intervalos de predicción bootstrap se consideraron muestras bootstrap de tamaño B=3000. </w:t>
      </w:r>
    </w:p>
    <w:p w:rsidR="00B31CE1" w:rsidRPr="0099528E" w:rsidRDefault="00B31CE1" w:rsidP="00133D30">
      <w:pPr>
        <w:pStyle w:val="Prrafodelista"/>
        <w:numPr>
          <w:ilvl w:val="0"/>
          <w:numId w:val="33"/>
        </w:numPr>
        <w:spacing w:before="240" w:after="240" w:line="240" w:lineRule="auto"/>
        <w:jc w:val="both"/>
        <w:rPr>
          <w:rFonts w:ascii="Arial" w:hAnsi="Arial" w:cs="Arial"/>
          <w:sz w:val="24"/>
          <w:szCs w:val="24"/>
        </w:rPr>
      </w:pPr>
      <w:r w:rsidRPr="0099528E">
        <w:rPr>
          <w:rFonts w:ascii="Arial" w:hAnsi="Arial" w:cs="Arial"/>
          <w:sz w:val="24"/>
          <w:szCs w:val="24"/>
        </w:rPr>
        <w:t xml:space="preserve">Para los intervalos de predicción paramétricos se asumió que los residuales </w:t>
      </w:r>
      <m:oMath>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t</m:t>
            </m:r>
          </m:sub>
        </m:sSub>
      </m:oMath>
      <w:r w:rsidRPr="0099528E">
        <w:rPr>
          <w:rFonts w:ascii="Arial" w:hAnsi="Arial" w:cs="Arial"/>
          <w:sz w:val="24"/>
          <w:szCs w:val="24"/>
        </w:rPr>
        <w:t xml:space="preserve"> provienen de una distribución Normal con media cero y varianza 1</w:t>
      </w:r>
      <w:r>
        <w:rPr>
          <w:rFonts w:ascii="Arial" w:hAnsi="Arial" w:cs="Arial"/>
          <w:sz w:val="24"/>
          <w:szCs w:val="24"/>
        </w:rPr>
        <w:t>,</w:t>
      </w:r>
      <w:r w:rsidRPr="0099528E">
        <w:rPr>
          <w:rFonts w:ascii="Arial" w:hAnsi="Arial" w:cs="Arial"/>
          <w:sz w:val="24"/>
          <w:szCs w:val="24"/>
        </w:rPr>
        <w:t xml:space="preserve"> y distribución t de Student con 5 grados de libertad.</w:t>
      </w:r>
    </w:p>
    <w:p w:rsidR="00B31CE1" w:rsidRPr="0099528E" w:rsidRDefault="00B31CE1" w:rsidP="00133D30">
      <w:pPr>
        <w:pStyle w:val="Prrafodelista"/>
        <w:numPr>
          <w:ilvl w:val="0"/>
          <w:numId w:val="33"/>
        </w:numPr>
        <w:spacing w:before="240" w:after="240" w:line="240" w:lineRule="auto"/>
        <w:jc w:val="both"/>
        <w:rPr>
          <w:rFonts w:ascii="Arial" w:hAnsi="Arial" w:cs="Arial"/>
          <w:sz w:val="24"/>
          <w:szCs w:val="24"/>
        </w:rPr>
      </w:pPr>
      <w:r w:rsidRPr="0099528E">
        <w:rPr>
          <w:rFonts w:ascii="Arial" w:hAnsi="Arial" w:cs="Arial"/>
          <w:sz w:val="24"/>
          <w:szCs w:val="24"/>
        </w:rPr>
        <w:t>Para evaluar los intervalos de predicción bootstrap e intervalos de predicción paramétrico para los retornos, fueron evaluados sus coberturas respecto a sus valores verdaderos del mes de diciembre 2019 y sus amplitudes de intervalos. Estas evaluaciones fueron realizadas a partir de los gráficos de series y sus respectivos intervalos de predicción.</w:t>
      </w:r>
    </w:p>
    <w:p w:rsidR="00B31CE1" w:rsidRPr="0099528E" w:rsidRDefault="00B31CE1" w:rsidP="00133D30">
      <w:pPr>
        <w:pStyle w:val="Prrafodelista"/>
        <w:numPr>
          <w:ilvl w:val="0"/>
          <w:numId w:val="33"/>
        </w:numPr>
        <w:spacing w:before="240" w:after="240" w:line="240" w:lineRule="auto"/>
        <w:jc w:val="both"/>
        <w:rPr>
          <w:rFonts w:ascii="Arial" w:hAnsi="Arial" w:cs="Arial"/>
          <w:sz w:val="24"/>
          <w:szCs w:val="24"/>
        </w:rPr>
      </w:pPr>
      <w:r w:rsidRPr="0099528E">
        <w:rPr>
          <w:rFonts w:ascii="Arial" w:hAnsi="Arial" w:cs="Arial"/>
          <w:sz w:val="24"/>
          <w:szCs w:val="24"/>
        </w:rPr>
        <w:t xml:space="preserve">Para los intervalos de predicción de las volatilidades, se consideraron como las volatilidades reales a las volatilidades estimadas por los modelos. </w:t>
      </w:r>
    </w:p>
    <w:p w:rsidR="00B31CE1" w:rsidRPr="00B35D3D" w:rsidRDefault="00B31CE1" w:rsidP="00B31CE1">
      <w:pPr>
        <w:spacing w:before="240" w:after="240"/>
        <w:jc w:val="both"/>
        <w:rPr>
          <w:rFonts w:ascii="Arial" w:hAnsi="Arial" w:cs="Arial"/>
        </w:rPr>
      </w:pPr>
      <w:r w:rsidRPr="00B35D3D">
        <w:rPr>
          <w:rFonts w:ascii="Arial" w:hAnsi="Arial" w:cs="Arial"/>
        </w:rPr>
        <w:t xml:space="preserve">Se uso el </w:t>
      </w:r>
      <w:r w:rsidRPr="00DF11D1">
        <w:rPr>
          <w:rFonts w:ascii="Arial" w:hAnsi="Arial" w:cs="Arial"/>
          <w:i/>
          <w:iCs/>
        </w:rPr>
        <w:t>software R</w:t>
      </w:r>
      <w:r w:rsidRPr="00B35D3D">
        <w:rPr>
          <w:rFonts w:ascii="Arial" w:hAnsi="Arial" w:cs="Arial"/>
        </w:rPr>
        <w:t xml:space="preserve"> con los paquetes </w:t>
      </w:r>
      <w:r w:rsidRPr="00DF11D1">
        <w:rPr>
          <w:rFonts w:ascii="Arial" w:hAnsi="Arial" w:cs="Arial"/>
          <w:i/>
          <w:iCs/>
        </w:rPr>
        <w:t>rugarch, forecast, tseries, timeSeries y ggplot2</w:t>
      </w:r>
      <w:r w:rsidRPr="00B35D3D">
        <w:rPr>
          <w:rFonts w:ascii="Arial" w:hAnsi="Arial" w:cs="Arial"/>
        </w:rPr>
        <w:t xml:space="preserve"> para obtener los pronósticos y la realización de las gráficas.</w:t>
      </w:r>
    </w:p>
    <w:p w:rsidR="00B31CE1" w:rsidRPr="0099528E" w:rsidRDefault="00B31CE1" w:rsidP="00133D30">
      <w:pPr>
        <w:pStyle w:val="1Titulo"/>
        <w:numPr>
          <w:ilvl w:val="0"/>
          <w:numId w:val="31"/>
        </w:numPr>
      </w:pPr>
      <w:bookmarkStart w:id="125" w:name="_Toc50031238"/>
      <w:r w:rsidRPr="0099528E">
        <w:t>Resultados y discusión</w:t>
      </w:r>
      <w:bookmarkEnd w:id="125"/>
    </w:p>
    <w:p w:rsidR="00B31CE1" w:rsidRPr="00157DED" w:rsidRDefault="00B31CE1" w:rsidP="00B31CE1">
      <w:pPr>
        <w:spacing w:before="100" w:beforeAutospacing="1" w:after="100" w:afterAutospacing="1"/>
        <w:jc w:val="both"/>
        <w:rPr>
          <w:rFonts w:ascii="Arial" w:hAnsi="Arial" w:cs="Arial"/>
          <w:bCs/>
          <w:i/>
          <w:iCs/>
        </w:rPr>
      </w:pPr>
      <w:r w:rsidRPr="00157DED">
        <w:rPr>
          <w:rFonts w:ascii="Arial" w:hAnsi="Arial" w:cs="Arial"/>
          <w:bCs/>
          <w:i/>
          <w:iCs/>
        </w:rPr>
        <w:t>3.1 Análisis exploratorio</w:t>
      </w:r>
    </w:p>
    <w:p w:rsidR="00B31CE1" w:rsidRPr="0099528E" w:rsidRDefault="00B31CE1" w:rsidP="00B31CE1">
      <w:pPr>
        <w:spacing w:before="100" w:beforeAutospacing="1" w:after="100" w:afterAutospacing="1"/>
        <w:jc w:val="both"/>
        <w:rPr>
          <w:rFonts w:ascii="Arial" w:hAnsi="Arial" w:cs="Arial"/>
        </w:rPr>
      </w:pPr>
      <w:r w:rsidRPr="0099528E">
        <w:rPr>
          <w:rFonts w:ascii="Arial" w:hAnsi="Arial" w:cs="Arial"/>
        </w:rPr>
        <w:t>De la figura 1(a) de los índices de precios, se observaron la presencia de alzas significativas durante los últimos seis meses del año 2017</w:t>
      </w:r>
      <w:r>
        <w:rPr>
          <w:rFonts w:ascii="Arial" w:hAnsi="Arial" w:cs="Arial"/>
        </w:rPr>
        <w:t xml:space="preserve"> y</w:t>
      </w:r>
      <w:r w:rsidRPr="0099528E">
        <w:rPr>
          <w:rFonts w:ascii="Arial" w:hAnsi="Arial" w:cs="Arial"/>
        </w:rPr>
        <w:t xml:space="preserve"> caídas </w:t>
      </w:r>
      <w:r>
        <w:rPr>
          <w:rFonts w:ascii="Arial" w:hAnsi="Arial" w:cs="Arial"/>
        </w:rPr>
        <w:t xml:space="preserve">y alzas </w:t>
      </w:r>
      <w:r w:rsidRPr="0099528E">
        <w:rPr>
          <w:rFonts w:ascii="Arial" w:hAnsi="Arial" w:cs="Arial"/>
        </w:rPr>
        <w:t xml:space="preserve">inesperadas en el 2018 y 2019. En la evolución de los retornos de la figura 1(b) </w:t>
      </w:r>
      <w:r>
        <w:rPr>
          <w:rFonts w:ascii="Arial" w:hAnsi="Arial" w:cs="Arial"/>
        </w:rPr>
        <w:t xml:space="preserve">la evolución de los retornos </w:t>
      </w:r>
      <m:oMath>
        <m:sSub>
          <m:sSubPr>
            <m:ctrlPr>
              <w:rPr>
                <w:rFonts w:ascii="Cambria Math" w:hAnsi="Cambria Math" w:cs="Arial"/>
                <w:i/>
              </w:rPr>
            </m:ctrlPr>
          </m:sSubPr>
          <m:e>
            <m:r>
              <w:rPr>
                <w:rFonts w:ascii="Cambria Math" w:hAnsi="Cambria Math" w:cs="Arial"/>
              </w:rPr>
              <m:t>r</m:t>
            </m:r>
          </m:e>
          <m:sub>
            <m:r>
              <w:rPr>
                <w:rFonts w:ascii="Cambria Math" w:hAnsi="Cambria Math" w:cs="Arial"/>
              </w:rPr>
              <m:t>t</m:t>
            </m:r>
          </m:sub>
        </m:sSub>
      </m:oMath>
      <w:r w:rsidRPr="0099528E">
        <w:rPr>
          <w:rFonts w:ascii="Arial" w:hAnsi="Arial" w:cs="Arial"/>
        </w:rPr>
        <w:t xml:space="preserve"> se observaron agrupamientos de las volatilidades a lo largo del tiempo, las cuales hacen referencia a las oscilaciones que presentan sus cotizaciones, y también que no presenta evidencia de no estacionariedad</w:t>
      </w:r>
      <w:r>
        <w:rPr>
          <w:rFonts w:ascii="Arial" w:hAnsi="Arial" w:cs="Arial"/>
        </w:rPr>
        <w:t>,</w:t>
      </w:r>
      <w:r w:rsidRPr="0099528E">
        <w:rPr>
          <w:rFonts w:ascii="Arial" w:hAnsi="Arial" w:cs="Arial"/>
        </w:rPr>
        <w:t xml:space="preserve"> </w:t>
      </w:r>
      <w:r>
        <w:rPr>
          <w:rFonts w:ascii="Arial" w:hAnsi="Arial" w:cs="Arial"/>
        </w:rPr>
        <w:t>p</w:t>
      </w:r>
      <w:r w:rsidRPr="0099528E">
        <w:rPr>
          <w:rFonts w:ascii="Arial" w:hAnsi="Arial" w:cs="Arial"/>
        </w:rPr>
        <w:t xml:space="preserve">or la prueba de raíz unitaria de Dickey y Fuller con valor del estadístico </w:t>
      </w:r>
      <m:oMath>
        <m:r>
          <w:rPr>
            <w:rFonts w:ascii="Cambria Math" w:hAnsi="Cambria Math" w:cs="Arial"/>
          </w:rPr>
          <m:t xml:space="preserve">τ=-24.563 </m:t>
        </m:r>
      </m:oMath>
      <w:r w:rsidRPr="0099528E">
        <w:rPr>
          <w:rFonts w:ascii="Arial" w:hAnsi="Arial" w:cs="Arial"/>
        </w:rPr>
        <w:t xml:space="preserve">y de probabilidad </w:t>
      </w:r>
      <m:oMath>
        <m:r>
          <w:rPr>
            <w:rFonts w:ascii="Cambria Math" w:hAnsi="Cambria Math" w:cs="Arial"/>
          </w:rPr>
          <m:t>p=0,000</m:t>
        </m:r>
      </m:oMath>
      <w:r w:rsidRPr="0099528E">
        <w:rPr>
          <w:rFonts w:ascii="Arial" w:hAnsi="Arial" w:cs="Arial"/>
        </w:rPr>
        <w:t xml:space="preserve">, </w:t>
      </w:r>
      <w:r w:rsidRPr="0099528E">
        <w:rPr>
          <w:rFonts w:ascii="Arial" w:hAnsi="Arial" w:cs="Arial"/>
        </w:rPr>
        <w:lastRenderedPageBreak/>
        <w:t xml:space="preserve">rechazando la hipótesis de existencia de raíces unitarias en la serie, es decir, la serie de retornos </w:t>
      </w:r>
      <m:oMath>
        <m:sSub>
          <m:sSubPr>
            <m:ctrlPr>
              <w:rPr>
                <w:rFonts w:ascii="Cambria Math" w:hAnsi="Cambria Math" w:cs="Arial"/>
                <w:i/>
              </w:rPr>
            </m:ctrlPr>
          </m:sSubPr>
          <m:e>
            <m:r>
              <w:rPr>
                <w:rFonts w:ascii="Cambria Math" w:hAnsi="Cambria Math" w:cs="Arial"/>
              </w:rPr>
              <m:t>r</m:t>
            </m:r>
          </m:e>
          <m:sub>
            <m:r>
              <w:rPr>
                <w:rFonts w:ascii="Cambria Math" w:hAnsi="Cambria Math" w:cs="Arial"/>
              </w:rPr>
              <m:t>t</m:t>
            </m:r>
          </m:sub>
        </m:sSub>
      </m:oMath>
      <w:r w:rsidRPr="0099528E">
        <w:rPr>
          <w:rFonts w:ascii="Arial" w:hAnsi="Arial" w:cs="Arial"/>
        </w:rPr>
        <w:t xml:space="preserve"> es estacionaria.</w:t>
      </w:r>
    </w:p>
    <w:p w:rsidR="00B31CE1" w:rsidRPr="0099528E" w:rsidRDefault="00B31CE1" w:rsidP="00B31CE1">
      <w:pPr>
        <w:rPr>
          <w:rFonts w:ascii="Arial" w:hAnsi="Arial" w:cs="Arial"/>
          <w:b/>
          <w:bCs/>
        </w:rPr>
      </w:pPr>
      <w:r>
        <w:rPr>
          <w:noProof/>
          <w:lang w:val="en-US"/>
        </w:rPr>
        <w:drawing>
          <wp:inline distT="0" distB="0" distL="0" distR="0" wp14:anchorId="6FB54529" wp14:editId="182B1F66">
            <wp:extent cx="2880000" cy="1944000"/>
            <wp:effectExtent l="0" t="0" r="0" b="0"/>
            <wp:docPr id="1413571361" name="Imagen 141357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880000" cy="1944000"/>
                    </a:xfrm>
                    <a:prstGeom prst="rect">
                      <a:avLst/>
                    </a:prstGeom>
                    <a:noFill/>
                    <a:ln>
                      <a:noFill/>
                    </a:ln>
                  </pic:spPr>
                </pic:pic>
              </a:graphicData>
            </a:graphic>
          </wp:inline>
        </w:drawing>
      </w:r>
      <w:r>
        <w:rPr>
          <w:noProof/>
          <w:lang w:val="en-US"/>
        </w:rPr>
        <w:drawing>
          <wp:inline distT="0" distB="0" distL="0" distR="0" wp14:anchorId="4960417A" wp14:editId="0CBCD2B8">
            <wp:extent cx="2880000" cy="1944000"/>
            <wp:effectExtent l="0" t="0" r="0" b="0"/>
            <wp:docPr id="1413571362" name="Imagen 141357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2880000" cy="1944000"/>
                    </a:xfrm>
                    <a:prstGeom prst="rect">
                      <a:avLst/>
                    </a:prstGeom>
                    <a:noFill/>
                    <a:ln>
                      <a:noFill/>
                    </a:ln>
                  </pic:spPr>
                </pic:pic>
              </a:graphicData>
            </a:graphic>
          </wp:inline>
        </w:drawing>
      </w:r>
    </w:p>
    <w:p w:rsidR="00B31CE1" w:rsidRPr="008528B0" w:rsidRDefault="00B31CE1" w:rsidP="00B31CE1">
      <w:pPr>
        <w:ind w:left="2460"/>
        <w:jc w:val="both"/>
        <w:rPr>
          <w:rFonts w:ascii="Arial" w:hAnsi="Arial" w:cs="Arial"/>
          <w:sz w:val="20"/>
          <w:szCs w:val="20"/>
        </w:rPr>
      </w:pPr>
      <w:r>
        <w:rPr>
          <w:rFonts w:ascii="Arial" w:hAnsi="Arial" w:cs="Arial"/>
          <w:b/>
          <w:bCs/>
        </w:rPr>
        <w:t xml:space="preserve"> </w:t>
      </w:r>
      <w:r w:rsidRPr="008528B0">
        <w:rPr>
          <w:rFonts w:ascii="Arial" w:hAnsi="Arial" w:cs="Arial"/>
          <w:sz w:val="20"/>
          <w:szCs w:val="20"/>
        </w:rPr>
        <w:t xml:space="preserve">(a)                                                            </w:t>
      </w:r>
      <w:r>
        <w:rPr>
          <w:rFonts w:ascii="Arial" w:hAnsi="Arial" w:cs="Arial"/>
          <w:sz w:val="20"/>
          <w:szCs w:val="20"/>
        </w:rPr>
        <w:t xml:space="preserve">             </w:t>
      </w:r>
      <w:r w:rsidRPr="008528B0">
        <w:rPr>
          <w:rFonts w:ascii="Arial" w:hAnsi="Arial" w:cs="Arial"/>
          <w:sz w:val="20"/>
          <w:szCs w:val="20"/>
        </w:rPr>
        <w:t xml:space="preserve">   (b)</w:t>
      </w:r>
    </w:p>
    <w:p w:rsidR="00B31CE1" w:rsidRPr="008528B0" w:rsidRDefault="00B31CE1" w:rsidP="00B31CE1">
      <w:pPr>
        <w:jc w:val="center"/>
        <w:rPr>
          <w:rFonts w:ascii="Arial" w:hAnsi="Arial" w:cs="Arial"/>
          <w:sz w:val="20"/>
          <w:szCs w:val="20"/>
        </w:rPr>
      </w:pPr>
      <w:r w:rsidRPr="008528B0">
        <w:rPr>
          <w:rFonts w:ascii="Arial" w:hAnsi="Arial" w:cs="Arial"/>
          <w:sz w:val="20"/>
          <w:szCs w:val="20"/>
        </w:rPr>
        <w:t xml:space="preserve">Figura 1: (a) Evolución diaria </w:t>
      </w:r>
      <w:r>
        <w:rPr>
          <w:rFonts w:ascii="Arial" w:hAnsi="Arial" w:cs="Arial"/>
          <w:sz w:val="20"/>
          <w:szCs w:val="20"/>
        </w:rPr>
        <w:t xml:space="preserve">de los precios de cierre </w:t>
      </w:r>
      <w:r w:rsidRPr="008528B0">
        <w:rPr>
          <w:rFonts w:ascii="Arial" w:hAnsi="Arial" w:cs="Arial"/>
          <w:sz w:val="20"/>
          <w:szCs w:val="20"/>
        </w:rPr>
        <w:t>y (b) Evolución de los retornos diarios de los precios de cierre</w:t>
      </w:r>
      <w:r>
        <w:rPr>
          <w:rFonts w:ascii="Arial" w:hAnsi="Arial" w:cs="Arial"/>
          <w:sz w:val="20"/>
          <w:szCs w:val="20"/>
        </w:rPr>
        <w:t>,</w:t>
      </w:r>
      <w:r w:rsidRPr="008528B0">
        <w:rPr>
          <w:rFonts w:ascii="Arial" w:hAnsi="Arial" w:cs="Arial"/>
          <w:sz w:val="20"/>
          <w:szCs w:val="20"/>
        </w:rPr>
        <w:t xml:space="preserve"> del </w:t>
      </w:r>
      <w:r>
        <w:rPr>
          <w:rFonts w:ascii="Arial" w:hAnsi="Arial" w:cs="Arial"/>
          <w:sz w:val="20"/>
          <w:szCs w:val="20"/>
        </w:rPr>
        <w:t xml:space="preserve">Índice </w:t>
      </w:r>
      <w:r w:rsidRPr="008528B0">
        <w:rPr>
          <w:rFonts w:ascii="Arial" w:hAnsi="Arial" w:cs="Arial"/>
          <w:sz w:val="20"/>
          <w:szCs w:val="20"/>
        </w:rPr>
        <w:t>S&amp;P/BVL del 1 de enero de 2017 al 31 de diciembre de 2019.</w:t>
      </w:r>
    </w:p>
    <w:p w:rsidR="00B31CE1" w:rsidRPr="0099528E" w:rsidRDefault="00B31CE1" w:rsidP="00B31CE1">
      <w:pPr>
        <w:spacing w:before="100" w:beforeAutospacing="1" w:after="100" w:afterAutospacing="1"/>
        <w:jc w:val="both"/>
        <w:rPr>
          <w:rFonts w:ascii="Arial" w:hAnsi="Arial" w:cs="Arial"/>
        </w:rPr>
      </w:pPr>
      <w:r w:rsidRPr="0099528E">
        <w:rPr>
          <w:rFonts w:ascii="Arial" w:hAnsi="Arial" w:cs="Arial"/>
        </w:rPr>
        <w:t xml:space="preserve">De la figura 2, se observó que los retornos se encuentran alrededor de cero, y la presencia de valores apartados de la parte central de las distribuciones, es decir, colas pesadas o largas. El coeficiente de asimetría con valor </w:t>
      </w:r>
      <m:oMath>
        <m:r>
          <w:rPr>
            <w:rFonts w:ascii="Cambria Math" w:hAnsi="Cambria Math" w:cs="Arial"/>
          </w:rPr>
          <m:t>s=-0.3246</m:t>
        </m:r>
      </m:oMath>
      <w:r w:rsidRPr="0099528E">
        <w:rPr>
          <w:rFonts w:ascii="Arial" w:hAnsi="Arial" w:cs="Arial"/>
        </w:rPr>
        <w:t xml:space="preserve">, indicando que las distribuciones de los retornos de la media está sesgada ligeramente hacia la izquierda, el coeficiente de curtosis con valor </w:t>
      </w:r>
      <m:oMath>
        <m:r>
          <w:rPr>
            <w:rFonts w:ascii="Cambria Math" w:hAnsi="Cambria Math" w:cs="Arial"/>
          </w:rPr>
          <m:t>k=4.3024&gt;3</m:t>
        </m:r>
      </m:oMath>
      <w:r w:rsidRPr="0099528E">
        <w:rPr>
          <w:rFonts w:ascii="Arial" w:hAnsi="Arial" w:cs="Arial"/>
        </w:rPr>
        <w:t>, indicando que los retornos siguen una distribución leptocúrtica</w:t>
      </w:r>
      <w:r>
        <w:rPr>
          <w:rFonts w:ascii="Arial" w:hAnsi="Arial" w:cs="Arial"/>
        </w:rPr>
        <w:t>, dando indicios de los hechos estilizados presentes en el retorno del Índice S&amp;P/GVL.</w:t>
      </w:r>
    </w:p>
    <w:p w:rsidR="00B31CE1" w:rsidRDefault="00B31CE1" w:rsidP="00B31CE1">
      <w:pPr>
        <w:spacing w:before="100" w:beforeAutospacing="1" w:after="100" w:afterAutospacing="1"/>
        <w:jc w:val="center"/>
        <w:rPr>
          <w:rFonts w:ascii="Arial" w:hAnsi="Arial" w:cs="Arial"/>
        </w:rPr>
      </w:pPr>
      <w:r>
        <w:rPr>
          <w:noProof/>
          <w:lang w:val="en-US"/>
        </w:rPr>
        <w:drawing>
          <wp:inline distT="0" distB="0" distL="0" distR="0" wp14:anchorId="42EC97D0" wp14:editId="0988DE88">
            <wp:extent cx="3733200" cy="2520000"/>
            <wp:effectExtent l="0" t="0" r="635" b="0"/>
            <wp:docPr id="1413571363" name="Imagen 141357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3733200" cy="2520000"/>
                    </a:xfrm>
                    <a:prstGeom prst="rect">
                      <a:avLst/>
                    </a:prstGeom>
                    <a:noFill/>
                    <a:ln>
                      <a:noFill/>
                    </a:ln>
                  </pic:spPr>
                </pic:pic>
              </a:graphicData>
            </a:graphic>
          </wp:inline>
        </w:drawing>
      </w:r>
    </w:p>
    <w:p w:rsidR="00B31CE1" w:rsidRPr="0099528E" w:rsidRDefault="00B31CE1" w:rsidP="00B31CE1">
      <w:pPr>
        <w:jc w:val="both"/>
        <w:rPr>
          <w:rFonts w:ascii="Arial" w:hAnsi="Arial" w:cs="Arial"/>
        </w:rPr>
      </w:pPr>
      <w:r w:rsidRPr="0099528E">
        <w:rPr>
          <w:rFonts w:ascii="Arial" w:hAnsi="Arial" w:cs="Arial"/>
        </w:rPr>
        <w:t xml:space="preserve">Figura 2: Histograma de frecuencias de los retornos diarios de los precios de </w:t>
      </w:r>
      <w:r>
        <w:rPr>
          <w:rFonts w:ascii="Arial" w:hAnsi="Arial" w:cs="Arial"/>
        </w:rPr>
        <w:t xml:space="preserve">cierre </w:t>
      </w:r>
      <w:r w:rsidRPr="0099528E">
        <w:rPr>
          <w:rFonts w:ascii="Arial" w:hAnsi="Arial" w:cs="Arial"/>
        </w:rPr>
        <w:t xml:space="preserve">del </w:t>
      </w:r>
      <w:r>
        <w:rPr>
          <w:rFonts w:ascii="Arial" w:hAnsi="Arial" w:cs="Arial"/>
        </w:rPr>
        <w:t>S&amp;P/BVL</w:t>
      </w:r>
      <w:r w:rsidRPr="0099528E">
        <w:rPr>
          <w:rFonts w:ascii="Arial" w:hAnsi="Arial" w:cs="Arial"/>
        </w:rPr>
        <w:t xml:space="preserve"> de </w:t>
      </w:r>
      <w:r>
        <w:rPr>
          <w:rFonts w:ascii="Arial" w:hAnsi="Arial" w:cs="Arial"/>
        </w:rPr>
        <w:t>1</w:t>
      </w:r>
      <w:r w:rsidRPr="0099528E">
        <w:rPr>
          <w:rFonts w:ascii="Arial" w:hAnsi="Arial" w:cs="Arial"/>
        </w:rPr>
        <w:t xml:space="preserve"> de enero de 201</w:t>
      </w:r>
      <w:r>
        <w:rPr>
          <w:rFonts w:ascii="Arial" w:hAnsi="Arial" w:cs="Arial"/>
        </w:rPr>
        <w:t>7</w:t>
      </w:r>
      <w:r w:rsidRPr="0099528E">
        <w:rPr>
          <w:rFonts w:ascii="Arial" w:hAnsi="Arial" w:cs="Arial"/>
        </w:rPr>
        <w:t xml:space="preserve"> al 3</w:t>
      </w:r>
      <w:r>
        <w:rPr>
          <w:rFonts w:ascii="Arial" w:hAnsi="Arial" w:cs="Arial"/>
        </w:rPr>
        <w:t>1</w:t>
      </w:r>
      <w:r w:rsidRPr="0099528E">
        <w:rPr>
          <w:rFonts w:ascii="Arial" w:hAnsi="Arial" w:cs="Arial"/>
        </w:rPr>
        <w:t xml:space="preserve"> de </w:t>
      </w:r>
      <w:r>
        <w:rPr>
          <w:rFonts w:ascii="Arial" w:hAnsi="Arial" w:cs="Arial"/>
        </w:rPr>
        <w:t>diciembre</w:t>
      </w:r>
      <w:r w:rsidRPr="0099528E">
        <w:rPr>
          <w:rFonts w:ascii="Arial" w:hAnsi="Arial" w:cs="Arial"/>
        </w:rPr>
        <w:t xml:space="preserve"> de 20</w:t>
      </w:r>
      <w:r>
        <w:rPr>
          <w:rFonts w:ascii="Arial" w:hAnsi="Arial" w:cs="Arial"/>
        </w:rPr>
        <w:t>19</w:t>
      </w:r>
      <w:r w:rsidRPr="0099528E">
        <w:rPr>
          <w:rFonts w:ascii="Arial" w:hAnsi="Arial" w:cs="Arial"/>
        </w:rPr>
        <w:t>.</w:t>
      </w:r>
    </w:p>
    <w:p w:rsidR="00B31CE1" w:rsidRPr="0099528E" w:rsidRDefault="00B31CE1" w:rsidP="00B31CE1">
      <w:pPr>
        <w:spacing w:before="100" w:beforeAutospacing="1" w:after="100" w:afterAutospacing="1"/>
        <w:jc w:val="both"/>
        <w:rPr>
          <w:rFonts w:ascii="Arial" w:hAnsi="Arial" w:cs="Arial"/>
        </w:rPr>
      </w:pPr>
      <w:r w:rsidRPr="0099528E">
        <w:rPr>
          <w:rFonts w:ascii="Arial" w:hAnsi="Arial" w:cs="Arial"/>
        </w:rPr>
        <w:lastRenderedPageBreak/>
        <w:t xml:space="preserve">Se observó mediante la prueba de autocorrelación de Ljung y Box, que la serie de retornos </w:t>
      </w:r>
      <m:oMath>
        <m:sSub>
          <m:sSubPr>
            <m:ctrlPr>
              <w:rPr>
                <w:rFonts w:ascii="Cambria Math" w:hAnsi="Cambria Math" w:cs="Arial"/>
                <w:i/>
              </w:rPr>
            </m:ctrlPr>
          </m:sSubPr>
          <m:e>
            <m:r>
              <w:rPr>
                <w:rFonts w:ascii="Cambria Math" w:hAnsi="Cambria Math" w:cs="Arial"/>
              </w:rPr>
              <m:t>r</m:t>
            </m:r>
          </m:e>
          <m:sub>
            <m:r>
              <w:rPr>
                <w:rFonts w:ascii="Cambria Math" w:hAnsi="Cambria Math" w:cs="Arial"/>
              </w:rPr>
              <m:t>t</m:t>
            </m:r>
          </m:sub>
        </m:sSub>
      </m:oMath>
      <w:r w:rsidRPr="0099528E">
        <w:rPr>
          <w:rFonts w:ascii="Arial" w:hAnsi="Arial" w:cs="Arial"/>
        </w:rPr>
        <w:t xml:space="preserve"> con valores de estadístico </w:t>
      </w:r>
      <m:oMath>
        <m:r>
          <w:rPr>
            <w:rFonts w:ascii="Cambria Math" w:hAnsi="Cambria Math" w:cs="Arial"/>
          </w:rPr>
          <m:t>Q</m:t>
        </m:r>
      </m:oMath>
      <w:r w:rsidRPr="0099528E">
        <w:rPr>
          <w:rFonts w:ascii="Arial" w:hAnsi="Arial" w:cs="Arial"/>
        </w:rPr>
        <w:t xml:space="preserve"> grandes y de probabilidad menores a cero para todos los rezagos y a un nivel de significación de 0,05, la existencia de correlación serial, por tanto fue necesario la construcción de un modelo ARMA(p,q) para remover dicha correlación, se obtuvo que el modelo apropiado para </w:t>
      </w:r>
      <m:oMath>
        <m:sSub>
          <m:sSubPr>
            <m:ctrlPr>
              <w:rPr>
                <w:rFonts w:ascii="Cambria Math" w:hAnsi="Cambria Math" w:cs="Arial"/>
                <w:i/>
              </w:rPr>
            </m:ctrlPr>
          </m:sSubPr>
          <m:e>
            <m:r>
              <w:rPr>
                <w:rFonts w:ascii="Cambria Math" w:hAnsi="Cambria Math" w:cs="Arial"/>
              </w:rPr>
              <m:t>r</m:t>
            </m:r>
          </m:e>
          <m:sub>
            <m:r>
              <w:rPr>
                <w:rFonts w:ascii="Cambria Math" w:hAnsi="Cambria Math" w:cs="Arial"/>
              </w:rPr>
              <m:t>t</m:t>
            </m:r>
          </m:sub>
        </m:sSub>
      </m:oMath>
      <w:r w:rsidRPr="0099528E">
        <w:rPr>
          <w:rFonts w:ascii="Arial" w:hAnsi="Arial" w:cs="Arial"/>
        </w:rPr>
        <w:t xml:space="preserve"> es un ARMA(</w:t>
      </w:r>
      <w:r>
        <w:rPr>
          <w:rFonts w:ascii="Arial" w:hAnsi="Arial" w:cs="Arial"/>
        </w:rPr>
        <w:t>1</w:t>
      </w:r>
      <w:r w:rsidRPr="0099528E">
        <w:rPr>
          <w:rFonts w:ascii="Arial" w:hAnsi="Arial" w:cs="Arial"/>
        </w:rPr>
        <w:t>,</w:t>
      </w:r>
      <w:r>
        <w:rPr>
          <w:rFonts w:ascii="Arial" w:hAnsi="Arial" w:cs="Arial"/>
        </w:rPr>
        <w:t>0</w:t>
      </w:r>
      <w:r w:rsidRPr="0099528E">
        <w:rPr>
          <w:rFonts w:ascii="Arial" w:hAnsi="Arial" w:cs="Arial"/>
        </w:rPr>
        <w:t>), definido por:</w:t>
      </w:r>
    </w:p>
    <w:p w:rsidR="00B31CE1" w:rsidRPr="0099528E" w:rsidRDefault="001345E4" w:rsidP="00B31CE1">
      <w:pPr>
        <w:spacing w:before="100" w:beforeAutospacing="1" w:after="100" w:afterAutospacing="1"/>
        <w:jc w:val="both"/>
        <w:rPr>
          <w:rFonts w:ascii="Arial" w:hAnsi="Arial" w:cs="Arial"/>
        </w:rPr>
      </w:pPr>
      <m:oMathPara>
        <m:oMath>
          <m:sSub>
            <m:sSubPr>
              <m:ctrlPr>
                <w:rPr>
                  <w:rFonts w:ascii="Cambria Math" w:hAnsi="Cambria Math" w:cs="Arial"/>
                  <w:i/>
                </w:rPr>
              </m:ctrlPr>
            </m:sSubPr>
            <m:e>
              <m:r>
                <w:rPr>
                  <w:rFonts w:ascii="Cambria Math" w:hAnsi="Cambria Math" w:cs="Arial"/>
                </w:rPr>
                <m:t>r</m:t>
              </m:r>
            </m:e>
            <m:sub>
              <m:r>
                <w:rPr>
                  <w:rFonts w:ascii="Cambria Math" w:hAnsi="Cambria Math" w:cs="Arial"/>
                </w:rPr>
                <m:t>t</m:t>
              </m:r>
            </m:sub>
          </m:sSub>
          <m:r>
            <w:rPr>
              <w:rFonts w:ascii="Cambria Math" w:hAnsi="Cambria Math" w:cs="Arial"/>
            </w:rPr>
            <m:t>=</m:t>
          </m:r>
          <m:sSub>
            <m:sSubPr>
              <m:ctrlPr>
                <w:rPr>
                  <w:rFonts w:ascii="Cambria Math" w:hAnsi="Cambria Math" w:cs="Arial"/>
                  <w:i/>
                </w:rPr>
              </m:ctrlPr>
            </m:sSubPr>
            <m:e>
              <m:r>
                <w:rPr>
                  <w:rFonts w:ascii="Cambria Math" w:hAnsi="Cambria Math" w:cs="Arial"/>
                </w:rPr>
                <m:t>ϕ</m:t>
              </m:r>
            </m:e>
            <m:sub>
              <m:r>
                <w:rPr>
                  <w:rFonts w:ascii="Cambria Math" w:hAnsi="Cambria Math" w:cs="Arial"/>
                </w:rPr>
                <m:t>1</m:t>
              </m:r>
            </m:sub>
          </m:sSub>
          <m:sSub>
            <m:sSubPr>
              <m:ctrlPr>
                <w:rPr>
                  <w:rFonts w:ascii="Cambria Math" w:hAnsi="Cambria Math" w:cs="Arial"/>
                  <w:i/>
                </w:rPr>
              </m:ctrlPr>
            </m:sSubPr>
            <m:e>
              <m:r>
                <w:rPr>
                  <w:rFonts w:ascii="Cambria Math" w:hAnsi="Cambria Math" w:cs="Arial"/>
                </w:rPr>
                <m:t>r</m:t>
              </m:r>
            </m:e>
            <m:sub>
              <m:r>
                <w:rPr>
                  <w:rFonts w:ascii="Cambria Math" w:hAnsi="Cambria Math" w:cs="Arial"/>
                </w:rPr>
                <m:t>t-1</m:t>
              </m:r>
            </m:sub>
          </m:sSub>
          <m:r>
            <w:rPr>
              <w:rFonts w:ascii="Cambria Math" w:hAnsi="Cambria Math" w:cs="Arial"/>
            </w:rPr>
            <m:t>++</m:t>
          </m:r>
          <m:sSub>
            <m:sSubPr>
              <m:ctrlPr>
                <w:rPr>
                  <w:rFonts w:ascii="Cambria Math" w:hAnsi="Cambria Math" w:cs="Arial"/>
                  <w:i/>
                </w:rPr>
              </m:ctrlPr>
            </m:sSubPr>
            <m:e>
              <m:r>
                <w:rPr>
                  <w:rFonts w:ascii="Cambria Math" w:hAnsi="Cambria Math" w:cs="Arial"/>
                </w:rPr>
                <m:t>b</m:t>
              </m:r>
            </m:e>
            <m:sub>
              <m:r>
                <w:rPr>
                  <w:rFonts w:ascii="Cambria Math" w:hAnsi="Cambria Math" w:cs="Arial"/>
                </w:rPr>
                <m:t>t</m:t>
              </m:r>
            </m:sub>
          </m:sSub>
        </m:oMath>
      </m:oMathPara>
    </w:p>
    <w:p w:rsidR="00B31CE1" w:rsidRPr="0099528E" w:rsidRDefault="00B31CE1" w:rsidP="00B31CE1">
      <w:pPr>
        <w:spacing w:before="100" w:beforeAutospacing="1" w:after="100" w:afterAutospacing="1"/>
        <w:rPr>
          <w:rFonts w:ascii="Arial" w:hAnsi="Arial" w:cs="Arial"/>
        </w:rPr>
      </w:pPr>
      <w:r w:rsidRPr="0099528E">
        <w:rPr>
          <w:rFonts w:ascii="Arial" w:hAnsi="Arial" w:cs="Arial"/>
        </w:rPr>
        <w:t xml:space="preserve">Donde: </w:t>
      </w:r>
      <m:oMath>
        <m:sSub>
          <m:sSubPr>
            <m:ctrlPr>
              <w:rPr>
                <w:rFonts w:ascii="Cambria Math" w:hAnsi="Cambria Math" w:cs="Arial"/>
                <w:i/>
              </w:rPr>
            </m:ctrlPr>
          </m:sSubPr>
          <m:e>
            <m:r>
              <w:rPr>
                <w:rFonts w:ascii="Cambria Math" w:hAnsi="Cambria Math" w:cs="Arial"/>
              </w:rPr>
              <m:t>b</m:t>
            </m:r>
          </m:e>
          <m:sub>
            <m:r>
              <w:rPr>
                <w:rFonts w:ascii="Cambria Math" w:hAnsi="Cambria Math" w:cs="Arial"/>
              </w:rPr>
              <m:t>t</m:t>
            </m:r>
          </m:sub>
        </m:sSub>
      </m:oMath>
      <w:r w:rsidRPr="0099528E">
        <w:rPr>
          <w:rFonts w:ascii="Arial" w:hAnsi="Arial" w:cs="Arial"/>
        </w:rPr>
        <w:t xml:space="preserve"> es el residuo del modelo.</w:t>
      </w:r>
    </w:p>
    <w:p w:rsidR="00B31CE1" w:rsidRDefault="00B31CE1" w:rsidP="00B31CE1">
      <w:pPr>
        <w:spacing w:before="100" w:beforeAutospacing="1" w:after="100" w:afterAutospacing="1"/>
        <w:jc w:val="both"/>
        <w:rPr>
          <w:rFonts w:ascii="Arial" w:hAnsi="Arial" w:cs="Arial"/>
        </w:rPr>
      </w:pPr>
      <w:r w:rsidRPr="0099528E">
        <w:rPr>
          <w:rFonts w:ascii="Arial" w:hAnsi="Arial" w:cs="Arial"/>
        </w:rPr>
        <w:t xml:space="preserve">Por la prueba de autocorrelación de Ljung y Box para </w:t>
      </w:r>
      <m:oMath>
        <m:sSub>
          <m:sSubPr>
            <m:ctrlPr>
              <w:rPr>
                <w:rFonts w:ascii="Cambria Math" w:hAnsi="Cambria Math" w:cs="Arial"/>
                <w:i/>
              </w:rPr>
            </m:ctrlPr>
          </m:sSubPr>
          <m:e>
            <m:r>
              <w:rPr>
                <w:rFonts w:ascii="Cambria Math" w:hAnsi="Cambria Math" w:cs="Arial"/>
              </w:rPr>
              <m:t>b</m:t>
            </m:r>
          </m:e>
          <m:sub>
            <m:r>
              <w:rPr>
                <w:rFonts w:ascii="Cambria Math" w:hAnsi="Cambria Math" w:cs="Arial"/>
              </w:rPr>
              <m:t>t</m:t>
            </m:r>
          </m:sub>
        </m:sSub>
      </m:oMath>
      <w:r w:rsidRPr="0099528E">
        <w:rPr>
          <w:rFonts w:ascii="Arial" w:hAnsi="Arial" w:cs="Arial"/>
        </w:rPr>
        <w:t xml:space="preserve">, se </w:t>
      </w:r>
      <w:r>
        <w:rPr>
          <w:rFonts w:ascii="Arial" w:hAnsi="Arial" w:cs="Arial"/>
        </w:rPr>
        <w:t>obtuvo</w:t>
      </w:r>
      <w:r w:rsidRPr="0099528E">
        <w:rPr>
          <w:rFonts w:ascii="Arial" w:hAnsi="Arial" w:cs="Arial"/>
        </w:rPr>
        <w:t xml:space="preserve"> que con valores del estadístico </w:t>
      </w:r>
      <m:oMath>
        <m:r>
          <w:rPr>
            <w:rFonts w:ascii="Cambria Math" w:hAnsi="Cambria Math" w:cs="Arial"/>
          </w:rPr>
          <m:t>Q</m:t>
        </m:r>
      </m:oMath>
      <w:r w:rsidRPr="0099528E">
        <w:rPr>
          <w:rFonts w:ascii="Arial" w:hAnsi="Arial" w:cs="Arial"/>
        </w:rPr>
        <w:t xml:space="preserve"> y de probabilidad </w:t>
      </w:r>
      <m:oMath>
        <m:r>
          <w:rPr>
            <w:rFonts w:ascii="Cambria Math" w:hAnsi="Cambria Math" w:cs="Arial"/>
          </w:rPr>
          <m:t>p</m:t>
        </m:r>
      </m:oMath>
      <w:r w:rsidRPr="0099528E">
        <w:rPr>
          <w:rFonts w:ascii="Arial" w:hAnsi="Arial" w:cs="Arial"/>
        </w:rPr>
        <w:t xml:space="preserve"> los niveles de rezagos 1, 2, 3, 5, 10 y 20, con un nivel de significación de 0,01, no se rechaza la hipótesis nula de no correlación de los residuos, de este modo se eliminó la correlación serial para </w:t>
      </w:r>
      <m:oMath>
        <m:sSub>
          <m:sSubPr>
            <m:ctrlPr>
              <w:rPr>
                <w:rFonts w:ascii="Cambria Math" w:hAnsi="Cambria Math" w:cs="Arial"/>
                <w:i/>
              </w:rPr>
            </m:ctrlPr>
          </m:sSubPr>
          <m:e>
            <m:r>
              <w:rPr>
                <w:rFonts w:ascii="Cambria Math" w:hAnsi="Cambria Math" w:cs="Arial"/>
              </w:rPr>
              <m:t>r</m:t>
            </m:r>
          </m:e>
          <m:sub>
            <m:r>
              <w:rPr>
                <w:rFonts w:ascii="Cambria Math" w:hAnsi="Cambria Math" w:cs="Arial"/>
              </w:rPr>
              <m:t>t</m:t>
            </m:r>
          </m:sub>
        </m:sSub>
      </m:oMath>
      <w:r w:rsidRPr="0099528E">
        <w:rPr>
          <w:rFonts w:ascii="Arial" w:hAnsi="Arial" w:cs="Arial"/>
        </w:rPr>
        <w:t xml:space="preserve">. Para observar si </w:t>
      </w:r>
      <m:oMath>
        <m:sSub>
          <m:sSubPr>
            <m:ctrlPr>
              <w:rPr>
                <w:rFonts w:ascii="Cambria Math" w:hAnsi="Cambria Math" w:cs="Arial"/>
                <w:i/>
              </w:rPr>
            </m:ctrlPr>
          </m:sSubPr>
          <m:e>
            <m:r>
              <w:rPr>
                <w:rFonts w:ascii="Cambria Math" w:hAnsi="Cambria Math" w:cs="Arial"/>
              </w:rPr>
              <m:t>r</m:t>
            </m:r>
          </m:e>
          <m:sub>
            <m:r>
              <w:rPr>
                <w:rFonts w:ascii="Cambria Math" w:hAnsi="Cambria Math" w:cs="Arial"/>
              </w:rPr>
              <m:t>t</m:t>
            </m:r>
          </m:sub>
        </m:sSub>
      </m:oMath>
      <w:r w:rsidRPr="0099528E">
        <w:rPr>
          <w:rFonts w:ascii="Arial" w:hAnsi="Arial" w:cs="Arial"/>
        </w:rPr>
        <w:t xml:space="preserve"> presenta heterocedasticidad condicional se analizó la serie </w:t>
      </w:r>
      <m:oMath>
        <m:sSubSup>
          <m:sSubSupPr>
            <m:ctrlPr>
              <w:rPr>
                <w:rFonts w:ascii="Cambria Math" w:hAnsi="Cambria Math" w:cs="Arial"/>
                <w:i/>
              </w:rPr>
            </m:ctrlPr>
          </m:sSubSupPr>
          <m:e>
            <m:r>
              <w:rPr>
                <w:rFonts w:ascii="Cambria Math" w:hAnsi="Cambria Math" w:cs="Arial"/>
              </w:rPr>
              <m:t>b</m:t>
            </m:r>
          </m:e>
          <m:sub>
            <m:r>
              <w:rPr>
                <w:rFonts w:ascii="Cambria Math" w:hAnsi="Cambria Math" w:cs="Arial"/>
              </w:rPr>
              <m:t>t</m:t>
            </m:r>
          </m:sub>
          <m:sup>
            <m:r>
              <w:rPr>
                <w:rFonts w:ascii="Cambria Math" w:hAnsi="Cambria Math" w:cs="Arial"/>
              </w:rPr>
              <m:t>2</m:t>
            </m:r>
          </m:sup>
        </m:sSubSup>
      </m:oMath>
      <w:r w:rsidRPr="0099528E">
        <w:rPr>
          <w:rFonts w:ascii="Arial" w:hAnsi="Arial" w:cs="Arial"/>
        </w:rPr>
        <w:t xml:space="preserve">, mediante la prueba de autocorrelación para </w:t>
      </w:r>
      <m:oMath>
        <m:sSubSup>
          <m:sSubSupPr>
            <m:ctrlPr>
              <w:rPr>
                <w:rFonts w:ascii="Cambria Math" w:hAnsi="Cambria Math" w:cs="Arial"/>
                <w:i/>
              </w:rPr>
            </m:ctrlPr>
          </m:sSubSupPr>
          <m:e>
            <m:r>
              <w:rPr>
                <w:rFonts w:ascii="Cambria Math" w:hAnsi="Cambria Math" w:cs="Arial"/>
              </w:rPr>
              <m:t>b</m:t>
            </m:r>
          </m:e>
          <m:sub>
            <m:r>
              <w:rPr>
                <w:rFonts w:ascii="Cambria Math" w:hAnsi="Cambria Math" w:cs="Arial"/>
              </w:rPr>
              <m:t>t</m:t>
            </m:r>
          </m:sub>
          <m:sup>
            <m:r>
              <w:rPr>
                <w:rFonts w:ascii="Cambria Math" w:hAnsi="Cambria Math" w:cs="Arial"/>
              </w:rPr>
              <m:t>2</m:t>
            </m:r>
          </m:sup>
        </m:sSubSup>
      </m:oMath>
      <w:r w:rsidRPr="0099528E">
        <w:rPr>
          <w:rFonts w:ascii="Arial" w:hAnsi="Arial" w:cs="Arial"/>
        </w:rPr>
        <w:t xml:space="preserve"> de Ljung y Box, con valores del estadístico </w:t>
      </w:r>
      <m:oMath>
        <m:r>
          <w:rPr>
            <w:rFonts w:ascii="Cambria Math" w:hAnsi="Cambria Math" w:cs="Arial"/>
          </w:rPr>
          <m:t>Q</m:t>
        </m:r>
      </m:oMath>
      <w:r w:rsidRPr="0099528E">
        <w:rPr>
          <w:rFonts w:ascii="Arial" w:hAnsi="Arial" w:cs="Arial"/>
        </w:rPr>
        <w:t xml:space="preserve"> y de probabilidad p en todos los niveles de rezagos 1, 2, 3, 5, 10 y 20, con un nivel de significación del 0,01 se rechazó la hipótesis de existencia de autocorrelación para </w:t>
      </w:r>
      <m:oMath>
        <m:sSubSup>
          <m:sSubSupPr>
            <m:ctrlPr>
              <w:rPr>
                <w:rFonts w:ascii="Cambria Math" w:hAnsi="Cambria Math" w:cs="Arial"/>
                <w:i/>
              </w:rPr>
            </m:ctrlPr>
          </m:sSubSupPr>
          <m:e>
            <m:r>
              <w:rPr>
                <w:rFonts w:ascii="Cambria Math" w:hAnsi="Cambria Math" w:cs="Arial"/>
              </w:rPr>
              <m:t>b</m:t>
            </m:r>
          </m:e>
          <m:sub>
            <m:r>
              <w:rPr>
                <w:rFonts w:ascii="Cambria Math" w:hAnsi="Cambria Math" w:cs="Arial"/>
              </w:rPr>
              <m:t>t</m:t>
            </m:r>
          </m:sub>
          <m:sup>
            <m:r>
              <w:rPr>
                <w:rFonts w:ascii="Cambria Math" w:hAnsi="Cambria Math" w:cs="Arial"/>
              </w:rPr>
              <m:t>2</m:t>
            </m:r>
          </m:sup>
        </m:sSubSup>
      </m:oMath>
      <w:r w:rsidRPr="0099528E">
        <w:rPr>
          <w:rFonts w:ascii="Arial" w:hAnsi="Arial" w:cs="Arial"/>
        </w:rPr>
        <w:t xml:space="preserve">, es decir se observó la presencia de heterocedasticidad condicional en </w:t>
      </w:r>
      <m:oMath>
        <m:sSub>
          <m:sSubPr>
            <m:ctrlPr>
              <w:rPr>
                <w:rFonts w:ascii="Cambria Math" w:hAnsi="Cambria Math" w:cs="Arial"/>
                <w:i/>
              </w:rPr>
            </m:ctrlPr>
          </m:sSubPr>
          <m:e>
            <m:r>
              <w:rPr>
                <w:rFonts w:ascii="Cambria Math" w:hAnsi="Cambria Math" w:cs="Arial"/>
              </w:rPr>
              <m:t>b</m:t>
            </m:r>
          </m:e>
          <m:sub>
            <m:r>
              <w:rPr>
                <w:rFonts w:ascii="Cambria Math" w:hAnsi="Cambria Math" w:cs="Arial"/>
              </w:rPr>
              <m:t>t</m:t>
            </m:r>
          </m:sub>
        </m:sSub>
      </m:oMath>
      <w:r>
        <w:rPr>
          <w:rFonts w:ascii="Arial" w:hAnsi="Arial" w:cs="Arial"/>
        </w:rPr>
        <w:t>, justificando así el modelamiento por un proceso heterocedástico.</w:t>
      </w:r>
    </w:p>
    <w:p w:rsidR="00B31CE1" w:rsidRPr="00157DED" w:rsidRDefault="00B31CE1" w:rsidP="00B31CE1">
      <w:pPr>
        <w:spacing w:before="100" w:beforeAutospacing="1" w:after="100" w:afterAutospacing="1"/>
        <w:jc w:val="both"/>
        <w:rPr>
          <w:rFonts w:ascii="Arial" w:hAnsi="Arial" w:cs="Arial"/>
          <w:bCs/>
          <w:i/>
          <w:iCs/>
        </w:rPr>
      </w:pPr>
      <w:r w:rsidRPr="00157DED">
        <w:rPr>
          <w:rFonts w:ascii="Arial" w:hAnsi="Arial" w:cs="Arial"/>
          <w:bCs/>
          <w:i/>
          <w:iCs/>
        </w:rPr>
        <w:t>3.2 Identificación de modelos</w:t>
      </w:r>
    </w:p>
    <w:p w:rsidR="00B31CE1" w:rsidRPr="0099528E" w:rsidRDefault="00B31CE1" w:rsidP="00B31CE1">
      <w:pPr>
        <w:spacing w:before="100" w:beforeAutospacing="1" w:after="100" w:afterAutospacing="1"/>
        <w:jc w:val="both"/>
        <w:rPr>
          <w:rFonts w:ascii="Arial" w:hAnsi="Arial" w:cs="Arial"/>
        </w:rPr>
      </w:pPr>
      <w:r w:rsidRPr="0099528E">
        <w:rPr>
          <w:rFonts w:ascii="Arial" w:hAnsi="Arial" w:cs="Arial"/>
        </w:rPr>
        <w:t>Se determinó</w:t>
      </w:r>
      <w:r>
        <w:rPr>
          <w:rFonts w:ascii="Arial" w:hAnsi="Arial" w:cs="Arial"/>
        </w:rPr>
        <w:t xml:space="preserve"> que</w:t>
      </w:r>
      <w:r w:rsidRPr="0099528E">
        <w:rPr>
          <w:rFonts w:ascii="Arial" w:hAnsi="Arial" w:cs="Arial"/>
        </w:rPr>
        <w:t xml:space="preserve"> </w:t>
      </w:r>
      <w:r>
        <w:rPr>
          <w:rFonts w:ascii="Arial" w:hAnsi="Arial" w:cs="Arial"/>
        </w:rPr>
        <w:t>el mejor ajuste para la serie viene dado por el modelo</w:t>
      </w:r>
      <w:r w:rsidRPr="0099528E">
        <w:rPr>
          <w:rFonts w:ascii="Arial" w:hAnsi="Arial" w:cs="Arial"/>
        </w:rPr>
        <w:t xml:space="preserve"> ARMA(1,</w:t>
      </w:r>
      <w:r>
        <w:rPr>
          <w:rFonts w:ascii="Arial" w:hAnsi="Arial" w:cs="Arial"/>
        </w:rPr>
        <w:t>0</w:t>
      </w:r>
      <w:r w:rsidRPr="0099528E">
        <w:rPr>
          <w:rFonts w:ascii="Arial" w:hAnsi="Arial" w:cs="Arial"/>
        </w:rPr>
        <w:t xml:space="preserve">)-EGARCH(1,1) </w:t>
      </w:r>
      <w:r>
        <w:rPr>
          <w:rFonts w:ascii="Arial" w:hAnsi="Arial" w:cs="Arial"/>
        </w:rPr>
        <w:t xml:space="preserve">con distribuciones para sus residuales Normal y t-Student, </w:t>
      </w:r>
      <w:r w:rsidRPr="0099528E">
        <w:rPr>
          <w:rFonts w:ascii="Arial" w:hAnsi="Arial" w:cs="Arial"/>
        </w:rPr>
        <w:t xml:space="preserve">con valores </w:t>
      </w:r>
      <w:r>
        <w:rPr>
          <w:rFonts w:ascii="Arial" w:hAnsi="Arial" w:cs="Arial"/>
        </w:rPr>
        <w:t>de criterios de informaciones menores a los demás modelos</w:t>
      </w:r>
      <w:r w:rsidRPr="0099528E">
        <w:rPr>
          <w:rFonts w:ascii="Arial" w:hAnsi="Arial" w:cs="Arial"/>
        </w:rPr>
        <w:t xml:space="preserve">, y considerando el modelo más parsimonioso. </w:t>
      </w:r>
    </w:p>
    <w:p w:rsidR="00B31CE1" w:rsidRPr="00F0633D" w:rsidRDefault="00B31CE1" w:rsidP="00B31CE1">
      <w:pPr>
        <w:spacing w:before="100" w:beforeAutospacing="1" w:after="100" w:afterAutospacing="1"/>
        <w:jc w:val="both"/>
        <w:rPr>
          <w:rFonts w:ascii="Arial" w:hAnsi="Arial" w:cs="Arial"/>
          <w:i/>
          <w:iCs/>
        </w:rPr>
      </w:pPr>
      <w:r w:rsidRPr="00F0633D">
        <w:rPr>
          <w:rFonts w:ascii="Arial" w:hAnsi="Arial" w:cs="Arial"/>
          <w:i/>
          <w:iCs/>
        </w:rPr>
        <w:t>3.3 Estimación</w:t>
      </w:r>
    </w:p>
    <w:p w:rsidR="00B31CE1" w:rsidRPr="0099528E" w:rsidRDefault="00B31CE1" w:rsidP="00B31CE1">
      <w:pPr>
        <w:spacing w:before="100" w:beforeAutospacing="1" w:after="100" w:afterAutospacing="1"/>
        <w:jc w:val="both"/>
        <w:rPr>
          <w:rFonts w:ascii="Arial" w:hAnsi="Arial" w:cs="Arial"/>
        </w:rPr>
      </w:pPr>
      <w:r w:rsidRPr="0099528E">
        <w:rPr>
          <w:rFonts w:ascii="Arial" w:hAnsi="Arial" w:cs="Arial"/>
        </w:rPr>
        <w:t>Se observó que en el modelo ajustado, todos los parámetros estimados son significativos a un nivel de confianza del 9</w:t>
      </w:r>
      <w:r>
        <w:rPr>
          <w:rFonts w:ascii="Arial" w:hAnsi="Arial" w:cs="Arial"/>
        </w:rPr>
        <w:t>0</w:t>
      </w:r>
      <w:r w:rsidRPr="0099528E">
        <w:rPr>
          <w:rFonts w:ascii="Arial" w:hAnsi="Arial" w:cs="Arial"/>
        </w:rPr>
        <w:t>%, los valores de la estimación del modelo ARMA(1,</w:t>
      </w:r>
      <w:r>
        <w:rPr>
          <w:rFonts w:ascii="Arial" w:hAnsi="Arial" w:cs="Arial"/>
        </w:rPr>
        <w:t>0</w:t>
      </w:r>
      <w:r w:rsidRPr="0099528E">
        <w:rPr>
          <w:rFonts w:ascii="Arial" w:hAnsi="Arial" w:cs="Arial"/>
        </w:rPr>
        <w:t>)-EGARCH(1,</w:t>
      </w:r>
      <w:r>
        <w:rPr>
          <w:rFonts w:ascii="Arial" w:hAnsi="Arial" w:cs="Arial"/>
        </w:rPr>
        <w:t>1</w:t>
      </w:r>
      <w:r w:rsidRPr="0099528E">
        <w:rPr>
          <w:rFonts w:ascii="Arial" w:hAnsi="Arial" w:cs="Arial"/>
        </w:rPr>
        <w:t xml:space="preserve">) a la serie de retornos y su volatilidad son presentados por las siguientes ecuaciones. </w:t>
      </w:r>
    </w:p>
    <w:p w:rsidR="00B31CE1" w:rsidRPr="0099528E" w:rsidRDefault="00B31CE1" w:rsidP="00B31CE1">
      <w:pPr>
        <w:spacing w:before="100" w:beforeAutospacing="1" w:after="100" w:afterAutospacing="1"/>
        <w:jc w:val="both"/>
        <w:rPr>
          <w:rFonts w:ascii="Arial" w:hAnsi="Arial" w:cs="Arial"/>
        </w:rPr>
      </w:pPr>
      <w:r w:rsidRPr="0099528E">
        <w:rPr>
          <w:rFonts w:ascii="Arial" w:hAnsi="Arial" w:cs="Arial"/>
        </w:rPr>
        <w:t xml:space="preserve">Suponiendo que </w:t>
      </w:r>
      <m:oMath>
        <m:sSub>
          <m:sSubPr>
            <m:ctrlPr>
              <w:rPr>
                <w:rFonts w:ascii="Cambria Math" w:hAnsi="Cambria Math" w:cs="Arial"/>
              </w:rPr>
            </m:ctrlPr>
          </m:sSubPr>
          <m:e>
            <m:r>
              <w:rPr>
                <w:rFonts w:ascii="Cambria Math" w:hAnsi="Cambria Math" w:cs="Arial"/>
              </w:rPr>
              <m:t>ε</m:t>
            </m:r>
          </m:e>
          <m:sub>
            <m:r>
              <w:rPr>
                <w:rFonts w:ascii="Cambria Math" w:hAnsi="Cambria Math" w:cs="Arial"/>
              </w:rPr>
              <m:t>t</m:t>
            </m:r>
          </m:sub>
        </m:sSub>
        <m:r>
          <m:rPr>
            <m:sty m:val="p"/>
          </m:rPr>
          <w:rPr>
            <w:rFonts w:ascii="Cambria Math" w:hAnsi="Cambria Math" w:cs="Arial"/>
          </w:rPr>
          <m:t>~</m:t>
        </m:r>
        <m:r>
          <w:rPr>
            <w:rFonts w:ascii="Cambria Math" w:hAnsi="Cambria Math" w:cs="Arial"/>
          </w:rPr>
          <m:t>N</m:t>
        </m:r>
        <m:r>
          <m:rPr>
            <m:sty m:val="p"/>
          </m:rPr>
          <w:rPr>
            <w:rFonts w:ascii="Cambria Math" w:hAnsi="Cambria Math" w:cs="Arial"/>
          </w:rPr>
          <m:t>(0,1)</m:t>
        </m:r>
      </m:oMath>
      <w:r w:rsidRPr="0099528E">
        <w:rPr>
          <w:rFonts w:ascii="Arial" w:hAnsi="Arial" w:cs="Arial"/>
        </w:rPr>
        <w:t xml:space="preserve"> se tiene</w:t>
      </w:r>
    </w:p>
    <w:p w:rsidR="00B31CE1" w:rsidRPr="0099528E" w:rsidRDefault="001345E4" w:rsidP="00B31CE1">
      <w:pPr>
        <w:spacing w:before="100" w:beforeAutospacing="1" w:after="100" w:afterAutospacing="1"/>
        <w:jc w:val="both"/>
        <w:rPr>
          <w:rFonts w:ascii="Arial" w:hAnsi="Arial" w:cs="Arial"/>
          <w:lang w:val="es-ES_tradnl"/>
        </w:rPr>
      </w:pPr>
      <m:oMathPara>
        <m:oMath>
          <m:sSub>
            <m:sSubPr>
              <m:ctrlPr>
                <w:rPr>
                  <w:rFonts w:ascii="Cambria Math" w:hAnsi="Cambria Math" w:cs="Arial"/>
                  <w:i/>
                  <w:lang w:val="es-ES_tradnl"/>
                </w:rPr>
              </m:ctrlPr>
            </m:sSubPr>
            <m:e>
              <m:r>
                <w:rPr>
                  <w:rFonts w:ascii="Cambria Math" w:hAnsi="Cambria Math" w:cs="Arial"/>
                  <w:lang w:val="es-ES_tradnl"/>
                </w:rPr>
                <m:t>r</m:t>
              </m:r>
            </m:e>
            <m:sub>
              <m:r>
                <w:rPr>
                  <w:rFonts w:ascii="Cambria Math" w:hAnsi="Cambria Math" w:cs="Arial"/>
                  <w:lang w:val="es-ES_tradnl"/>
                </w:rPr>
                <m:t>t</m:t>
              </m:r>
            </m:sub>
          </m:sSub>
          <m:r>
            <w:rPr>
              <w:rFonts w:ascii="Cambria Math" w:hAnsi="Cambria Math" w:cs="Arial"/>
              <w:lang w:val="es-ES_tradnl"/>
            </w:rPr>
            <m:t>=0.1283</m:t>
          </m:r>
          <m:sSub>
            <m:sSubPr>
              <m:ctrlPr>
                <w:rPr>
                  <w:rFonts w:ascii="Cambria Math" w:hAnsi="Cambria Math" w:cs="Arial"/>
                  <w:i/>
                  <w:lang w:val="es-ES_tradnl"/>
                </w:rPr>
              </m:ctrlPr>
            </m:sSubPr>
            <m:e>
              <m:r>
                <w:rPr>
                  <w:rFonts w:ascii="Cambria Math" w:hAnsi="Cambria Math" w:cs="Arial"/>
                  <w:lang w:val="es-ES_tradnl"/>
                </w:rPr>
                <m:t>r</m:t>
              </m:r>
            </m:e>
            <m:sub>
              <m:r>
                <w:rPr>
                  <w:rFonts w:ascii="Cambria Math" w:hAnsi="Cambria Math" w:cs="Arial"/>
                  <w:lang w:val="es-ES_tradnl"/>
                </w:rPr>
                <m:t>t-1</m:t>
              </m:r>
            </m:sub>
          </m:sSub>
          <m:r>
            <w:rPr>
              <w:rFonts w:ascii="Cambria Math" w:hAnsi="Cambria Math" w:cs="Arial"/>
              <w:lang w:val="es-ES_tradnl"/>
            </w:rPr>
            <m:t>+</m:t>
          </m:r>
          <m:sSub>
            <m:sSubPr>
              <m:ctrlPr>
                <w:rPr>
                  <w:rFonts w:ascii="Cambria Math" w:hAnsi="Cambria Math" w:cs="Arial"/>
                  <w:i/>
                  <w:lang w:val="es-ES_tradnl"/>
                </w:rPr>
              </m:ctrlPr>
            </m:sSubPr>
            <m:e>
              <m:r>
                <w:rPr>
                  <w:rFonts w:ascii="Cambria Math" w:hAnsi="Cambria Math" w:cs="Arial"/>
                  <w:lang w:val="es-ES_tradnl"/>
                </w:rPr>
                <m:t>b</m:t>
              </m:r>
            </m:e>
            <m:sub>
              <m:r>
                <w:rPr>
                  <w:rFonts w:ascii="Cambria Math" w:hAnsi="Cambria Math" w:cs="Arial"/>
                  <w:lang w:val="es-ES_tradnl"/>
                </w:rPr>
                <m:t>t</m:t>
              </m:r>
            </m:sub>
          </m:sSub>
        </m:oMath>
      </m:oMathPara>
    </w:p>
    <w:p w:rsidR="00B31CE1" w:rsidRPr="0099528E" w:rsidRDefault="001345E4" w:rsidP="00B31CE1">
      <w:pPr>
        <w:spacing w:before="100" w:beforeAutospacing="1" w:after="100" w:afterAutospacing="1"/>
        <w:jc w:val="both"/>
        <w:rPr>
          <w:rFonts w:ascii="Arial" w:hAnsi="Arial" w:cs="Arial"/>
          <w:lang w:val="es-ES_tradnl"/>
        </w:rPr>
      </w:pPr>
      <m:oMathPara>
        <m:oMath>
          <m:func>
            <m:funcPr>
              <m:ctrlPr>
                <w:rPr>
                  <w:rFonts w:ascii="Cambria Math" w:hAnsi="Cambria Math" w:cs="Arial"/>
                  <w:lang w:val="es-ES_tradnl"/>
                </w:rPr>
              </m:ctrlPr>
            </m:funcPr>
            <m:fName>
              <m:r>
                <m:rPr>
                  <m:sty m:val="p"/>
                </m:rPr>
                <w:rPr>
                  <w:rFonts w:ascii="Cambria Math" w:hAnsi="Cambria Math" w:cs="Arial"/>
                  <w:lang w:val="es-ES_tradnl"/>
                </w:rPr>
                <m:t>log</m:t>
              </m:r>
            </m:fName>
            <m:e>
              <m:d>
                <m:dPr>
                  <m:ctrlPr>
                    <w:rPr>
                      <w:rFonts w:ascii="Cambria Math" w:hAnsi="Cambria Math" w:cs="Arial"/>
                      <w:i/>
                      <w:lang w:val="es-ES_tradnl"/>
                    </w:rPr>
                  </m:ctrlPr>
                </m:dPr>
                <m:e>
                  <m:sSubSup>
                    <m:sSubSupPr>
                      <m:ctrlPr>
                        <w:rPr>
                          <w:rFonts w:ascii="Cambria Math" w:hAnsi="Cambria Math" w:cs="Arial"/>
                          <w:i/>
                          <w:lang w:val="es-ES_tradnl"/>
                        </w:rPr>
                      </m:ctrlPr>
                    </m:sSubSupPr>
                    <m:e>
                      <m:r>
                        <w:rPr>
                          <w:rFonts w:ascii="Cambria Math" w:hAnsi="Cambria Math" w:cs="Arial"/>
                          <w:lang w:val="es-ES_tradnl"/>
                        </w:rPr>
                        <m:t>σ</m:t>
                      </m:r>
                    </m:e>
                    <m:sub>
                      <m:r>
                        <w:rPr>
                          <w:rFonts w:ascii="Cambria Math" w:hAnsi="Cambria Math" w:cs="Arial"/>
                          <w:lang w:val="es-ES_tradnl"/>
                        </w:rPr>
                        <m:t>t</m:t>
                      </m:r>
                    </m:sub>
                    <m:sup>
                      <m:r>
                        <w:rPr>
                          <w:rFonts w:ascii="Cambria Math" w:hAnsi="Cambria Math" w:cs="Arial"/>
                          <w:lang w:val="es-ES_tradnl"/>
                        </w:rPr>
                        <m:t>2</m:t>
                      </m:r>
                    </m:sup>
                  </m:sSubSup>
                </m:e>
              </m:d>
            </m:e>
          </m:func>
          <m:r>
            <w:rPr>
              <w:rFonts w:ascii="Cambria Math" w:hAnsi="Cambria Math" w:cs="Arial"/>
              <w:lang w:val="es-ES_tradnl"/>
            </w:rPr>
            <m:t>=16.825-0.099</m:t>
          </m:r>
          <m:sSub>
            <m:sSubPr>
              <m:ctrlPr>
                <w:rPr>
                  <w:rFonts w:ascii="Cambria Math" w:hAnsi="Cambria Math" w:cs="Arial"/>
                  <w:i/>
                  <w:lang w:val="es-ES_tradnl"/>
                </w:rPr>
              </m:ctrlPr>
            </m:sSubPr>
            <m:e>
              <m:r>
                <w:rPr>
                  <w:rFonts w:ascii="Cambria Math" w:hAnsi="Cambria Math" w:cs="Arial"/>
                  <w:lang w:val="es-ES_tradnl"/>
                </w:rPr>
                <m:t>ε</m:t>
              </m:r>
            </m:e>
            <m:sub>
              <m:r>
                <w:rPr>
                  <w:rFonts w:ascii="Cambria Math" w:hAnsi="Cambria Math" w:cs="Arial"/>
                  <w:lang w:val="es-ES_tradnl"/>
                </w:rPr>
                <m:t>t-1</m:t>
              </m:r>
            </m:sub>
          </m:sSub>
          <m:r>
            <w:rPr>
              <w:rFonts w:ascii="Cambria Math" w:hAnsi="Cambria Math" w:cs="Arial"/>
              <w:lang w:val="es-ES_tradnl"/>
            </w:rPr>
            <m:t>-0.143</m:t>
          </m:r>
          <m:d>
            <m:dPr>
              <m:begChr m:val="["/>
              <m:endChr m:val="]"/>
              <m:ctrlPr>
                <w:rPr>
                  <w:rFonts w:ascii="Cambria Math" w:hAnsi="Cambria Math" w:cs="Arial"/>
                  <w:i/>
                  <w:lang w:val="es-ES_tradnl"/>
                </w:rPr>
              </m:ctrlPr>
            </m:dPr>
            <m:e>
              <m:d>
                <m:dPr>
                  <m:begChr m:val="|"/>
                  <m:endChr m:val="|"/>
                  <m:ctrlPr>
                    <w:rPr>
                      <w:rFonts w:ascii="Cambria Math" w:hAnsi="Cambria Math" w:cs="Arial"/>
                      <w:i/>
                      <w:lang w:val="es-ES_tradnl"/>
                    </w:rPr>
                  </m:ctrlPr>
                </m:dPr>
                <m:e>
                  <m:sSub>
                    <m:sSubPr>
                      <m:ctrlPr>
                        <w:rPr>
                          <w:rFonts w:ascii="Cambria Math" w:hAnsi="Cambria Math" w:cs="Arial"/>
                          <w:i/>
                          <w:lang w:val="es-ES_tradnl"/>
                        </w:rPr>
                      </m:ctrlPr>
                    </m:sSubPr>
                    <m:e>
                      <m:r>
                        <w:rPr>
                          <w:rFonts w:ascii="Cambria Math" w:hAnsi="Cambria Math" w:cs="Arial"/>
                          <w:lang w:val="es-ES_tradnl"/>
                        </w:rPr>
                        <m:t>ε</m:t>
                      </m:r>
                    </m:e>
                    <m:sub>
                      <m:r>
                        <w:rPr>
                          <w:rFonts w:ascii="Cambria Math" w:hAnsi="Cambria Math" w:cs="Arial"/>
                          <w:lang w:val="es-ES_tradnl"/>
                        </w:rPr>
                        <m:t>t-1</m:t>
                      </m:r>
                    </m:sub>
                  </m:sSub>
                </m:e>
              </m:d>
              <m:r>
                <w:rPr>
                  <w:rFonts w:ascii="Cambria Math" w:hAnsi="Cambria Math" w:cs="Arial"/>
                  <w:lang w:val="es-ES_tradnl"/>
                </w:rPr>
                <m:t>-E</m:t>
              </m:r>
              <m:d>
                <m:dPr>
                  <m:ctrlPr>
                    <w:rPr>
                      <w:rFonts w:ascii="Cambria Math" w:hAnsi="Cambria Math" w:cs="Arial"/>
                      <w:i/>
                      <w:lang w:val="es-ES_tradnl"/>
                    </w:rPr>
                  </m:ctrlPr>
                </m:dPr>
                <m:e>
                  <m:d>
                    <m:dPr>
                      <m:begChr m:val="|"/>
                      <m:endChr m:val="|"/>
                      <m:ctrlPr>
                        <w:rPr>
                          <w:rFonts w:ascii="Cambria Math" w:hAnsi="Cambria Math" w:cs="Arial"/>
                          <w:i/>
                          <w:lang w:val="es-ES_tradnl"/>
                        </w:rPr>
                      </m:ctrlPr>
                    </m:dPr>
                    <m:e>
                      <m:sSub>
                        <m:sSubPr>
                          <m:ctrlPr>
                            <w:rPr>
                              <w:rFonts w:ascii="Cambria Math" w:hAnsi="Cambria Math" w:cs="Arial"/>
                              <w:i/>
                              <w:lang w:val="es-ES_tradnl"/>
                            </w:rPr>
                          </m:ctrlPr>
                        </m:sSubPr>
                        <m:e>
                          <m:r>
                            <w:rPr>
                              <w:rFonts w:ascii="Cambria Math" w:hAnsi="Cambria Math" w:cs="Arial"/>
                              <w:lang w:val="es-ES_tradnl"/>
                            </w:rPr>
                            <m:t>ε</m:t>
                          </m:r>
                        </m:e>
                        <m:sub>
                          <m:r>
                            <w:rPr>
                              <w:rFonts w:ascii="Cambria Math" w:hAnsi="Cambria Math" w:cs="Arial"/>
                              <w:lang w:val="es-ES_tradnl"/>
                            </w:rPr>
                            <m:t>t-1</m:t>
                          </m:r>
                        </m:sub>
                      </m:sSub>
                    </m:e>
                  </m:d>
                </m:e>
              </m:d>
            </m:e>
          </m:d>
          <m:r>
            <w:rPr>
              <w:rFonts w:ascii="Cambria Math" w:hAnsi="Cambria Math" w:cs="Arial"/>
              <w:lang w:val="es-ES_tradnl"/>
            </w:rPr>
            <m:t>-0.736</m:t>
          </m:r>
          <m:r>
            <m:rPr>
              <m:sty m:val="p"/>
            </m:rPr>
            <w:rPr>
              <w:rFonts w:ascii="Cambria Math" w:hAnsi="Cambria Math" w:cs="Arial"/>
              <w:lang w:val="es-ES_tradnl"/>
            </w:rPr>
            <m:t>log⁡</m:t>
          </m:r>
          <m:r>
            <w:rPr>
              <w:rFonts w:ascii="Cambria Math" w:hAnsi="Cambria Math" w:cs="Arial"/>
              <w:lang w:val="es-ES_tradnl"/>
            </w:rPr>
            <m:t>(</m:t>
          </m:r>
          <m:sSubSup>
            <m:sSubSupPr>
              <m:ctrlPr>
                <w:rPr>
                  <w:rFonts w:ascii="Cambria Math" w:hAnsi="Cambria Math" w:cs="Arial"/>
                  <w:i/>
                  <w:lang w:val="es-ES_tradnl"/>
                </w:rPr>
              </m:ctrlPr>
            </m:sSubSupPr>
            <m:e>
              <m:r>
                <w:rPr>
                  <w:rFonts w:ascii="Cambria Math" w:hAnsi="Cambria Math" w:cs="Arial"/>
                  <w:lang w:val="es-ES_tradnl"/>
                </w:rPr>
                <m:t>σ</m:t>
              </m:r>
            </m:e>
            <m:sub>
              <m:r>
                <w:rPr>
                  <w:rFonts w:ascii="Cambria Math" w:hAnsi="Cambria Math" w:cs="Arial"/>
                  <w:lang w:val="es-ES_tradnl"/>
                </w:rPr>
                <m:t>t-1</m:t>
              </m:r>
            </m:sub>
            <m:sup>
              <m:r>
                <w:rPr>
                  <w:rFonts w:ascii="Cambria Math" w:hAnsi="Cambria Math" w:cs="Arial"/>
                  <w:lang w:val="es-ES_tradnl"/>
                </w:rPr>
                <m:t>2</m:t>
              </m:r>
            </m:sup>
          </m:sSubSup>
          <m:r>
            <w:rPr>
              <w:rFonts w:ascii="Cambria Math" w:hAnsi="Cambria Math" w:cs="Arial"/>
              <w:lang w:val="es-ES_tradnl"/>
            </w:rPr>
            <m:t>)</m:t>
          </m:r>
        </m:oMath>
      </m:oMathPara>
    </w:p>
    <w:p w:rsidR="00B31CE1" w:rsidRPr="0099528E" w:rsidRDefault="00B31CE1" w:rsidP="00B31CE1">
      <w:pPr>
        <w:spacing w:before="100" w:beforeAutospacing="1" w:after="100" w:afterAutospacing="1"/>
        <w:jc w:val="both"/>
        <w:rPr>
          <w:rFonts w:ascii="Arial" w:hAnsi="Arial" w:cs="Arial"/>
          <w:lang w:val="es-ES_tradnl"/>
        </w:rPr>
      </w:pPr>
      <w:r w:rsidRPr="0099528E">
        <w:rPr>
          <w:rFonts w:ascii="Arial" w:hAnsi="Arial" w:cs="Arial"/>
          <w:lang w:val="es-ES_tradnl"/>
        </w:rPr>
        <w:t xml:space="preserve">Suponiendo que </w:t>
      </w:r>
      <m:oMath>
        <m:sSub>
          <m:sSubPr>
            <m:ctrlPr>
              <w:rPr>
                <w:rFonts w:ascii="Cambria Math" w:hAnsi="Cambria Math" w:cs="Arial"/>
                <w:i/>
              </w:rPr>
            </m:ctrlPr>
          </m:sSubPr>
          <m:e>
            <m:r>
              <w:rPr>
                <w:rFonts w:ascii="Cambria Math" w:hAnsi="Cambria Math" w:cs="Arial"/>
              </w:rPr>
              <m:t>ε</m:t>
            </m:r>
          </m:e>
          <m:sub>
            <m:r>
              <w:rPr>
                <w:rFonts w:ascii="Cambria Math" w:hAnsi="Cambria Math" w:cs="Arial"/>
              </w:rPr>
              <m:t>t</m:t>
            </m:r>
          </m:sub>
        </m:sSub>
        <m:r>
          <w:rPr>
            <w:rFonts w:ascii="Cambria Math" w:hAnsi="Cambria Math" w:cs="Arial"/>
          </w:rPr>
          <m:t>~t</m:t>
        </m:r>
        <m:d>
          <m:dPr>
            <m:ctrlPr>
              <w:rPr>
                <w:rFonts w:ascii="Cambria Math" w:hAnsi="Cambria Math" w:cs="Arial"/>
                <w:i/>
              </w:rPr>
            </m:ctrlPr>
          </m:dPr>
          <m:e>
            <m:r>
              <w:rPr>
                <w:rFonts w:ascii="Cambria Math" w:hAnsi="Cambria Math" w:cs="Arial"/>
              </w:rPr>
              <m:t>5</m:t>
            </m:r>
          </m:e>
        </m:d>
      </m:oMath>
      <w:r w:rsidRPr="0099528E">
        <w:rPr>
          <w:rFonts w:ascii="Arial" w:hAnsi="Arial" w:cs="Arial"/>
        </w:rPr>
        <w:t xml:space="preserve"> </w:t>
      </w:r>
      <w:r w:rsidRPr="0099528E">
        <w:rPr>
          <w:rFonts w:ascii="Arial" w:hAnsi="Arial" w:cs="Arial"/>
          <w:lang w:val="es-ES_tradnl"/>
        </w:rPr>
        <w:t xml:space="preserve">se tiene </w:t>
      </w:r>
    </w:p>
    <w:p w:rsidR="00B31CE1" w:rsidRPr="0099528E" w:rsidRDefault="001345E4" w:rsidP="00B31CE1">
      <w:pPr>
        <w:spacing w:before="100" w:beforeAutospacing="1" w:after="100" w:afterAutospacing="1"/>
        <w:jc w:val="both"/>
        <w:rPr>
          <w:rFonts w:ascii="Arial" w:hAnsi="Arial" w:cs="Arial"/>
          <w:lang w:val="es-ES_tradnl"/>
        </w:rPr>
      </w:pPr>
      <m:oMathPara>
        <m:oMath>
          <m:sSub>
            <m:sSubPr>
              <m:ctrlPr>
                <w:rPr>
                  <w:rFonts w:ascii="Cambria Math" w:hAnsi="Cambria Math" w:cs="Arial"/>
                  <w:i/>
                  <w:lang w:val="es-ES_tradnl"/>
                </w:rPr>
              </m:ctrlPr>
            </m:sSubPr>
            <m:e>
              <m:r>
                <w:rPr>
                  <w:rFonts w:ascii="Cambria Math" w:hAnsi="Cambria Math" w:cs="Arial"/>
                  <w:lang w:val="es-ES_tradnl"/>
                </w:rPr>
                <m:t>r</m:t>
              </m:r>
            </m:e>
            <m:sub>
              <m:r>
                <w:rPr>
                  <w:rFonts w:ascii="Cambria Math" w:hAnsi="Cambria Math" w:cs="Arial"/>
                  <w:lang w:val="es-ES_tradnl"/>
                </w:rPr>
                <m:t>t</m:t>
              </m:r>
            </m:sub>
          </m:sSub>
          <m:r>
            <w:rPr>
              <w:rFonts w:ascii="Cambria Math" w:hAnsi="Cambria Math" w:cs="Arial"/>
              <w:lang w:val="es-ES_tradnl"/>
            </w:rPr>
            <m:t>=0.1283</m:t>
          </m:r>
          <m:sSub>
            <m:sSubPr>
              <m:ctrlPr>
                <w:rPr>
                  <w:rFonts w:ascii="Cambria Math" w:hAnsi="Cambria Math" w:cs="Arial"/>
                  <w:i/>
                  <w:lang w:val="es-ES_tradnl"/>
                </w:rPr>
              </m:ctrlPr>
            </m:sSubPr>
            <m:e>
              <m:r>
                <w:rPr>
                  <w:rFonts w:ascii="Cambria Math" w:hAnsi="Cambria Math" w:cs="Arial"/>
                  <w:lang w:val="es-ES_tradnl"/>
                </w:rPr>
                <m:t>r</m:t>
              </m:r>
            </m:e>
            <m:sub>
              <m:r>
                <w:rPr>
                  <w:rFonts w:ascii="Cambria Math" w:hAnsi="Cambria Math" w:cs="Arial"/>
                  <w:lang w:val="es-ES_tradnl"/>
                </w:rPr>
                <m:t>t-1</m:t>
              </m:r>
            </m:sub>
          </m:sSub>
          <m:r>
            <w:rPr>
              <w:rFonts w:ascii="Cambria Math" w:hAnsi="Cambria Math" w:cs="Arial"/>
              <w:lang w:val="es-ES_tradnl"/>
            </w:rPr>
            <m:t>+</m:t>
          </m:r>
          <m:sSub>
            <m:sSubPr>
              <m:ctrlPr>
                <w:rPr>
                  <w:rFonts w:ascii="Cambria Math" w:hAnsi="Cambria Math" w:cs="Arial"/>
                  <w:i/>
                  <w:lang w:val="es-ES_tradnl"/>
                </w:rPr>
              </m:ctrlPr>
            </m:sSubPr>
            <m:e>
              <m:r>
                <w:rPr>
                  <w:rFonts w:ascii="Cambria Math" w:hAnsi="Cambria Math" w:cs="Arial"/>
                  <w:lang w:val="es-ES_tradnl"/>
                </w:rPr>
                <m:t>b</m:t>
              </m:r>
            </m:e>
            <m:sub>
              <m:r>
                <w:rPr>
                  <w:rFonts w:ascii="Cambria Math" w:hAnsi="Cambria Math" w:cs="Arial"/>
                  <w:lang w:val="es-ES_tradnl"/>
                </w:rPr>
                <m:t>t</m:t>
              </m:r>
            </m:sub>
          </m:sSub>
        </m:oMath>
      </m:oMathPara>
    </w:p>
    <w:p w:rsidR="00B31CE1" w:rsidRPr="0099528E" w:rsidRDefault="001345E4" w:rsidP="00B31CE1">
      <w:pPr>
        <w:spacing w:before="100" w:beforeAutospacing="1" w:after="100" w:afterAutospacing="1"/>
        <w:jc w:val="both"/>
        <w:rPr>
          <w:rFonts w:ascii="Arial" w:hAnsi="Arial" w:cs="Arial"/>
          <w:lang w:val="es-ES_tradnl"/>
        </w:rPr>
      </w:pPr>
      <m:oMathPara>
        <m:oMath>
          <m:func>
            <m:funcPr>
              <m:ctrlPr>
                <w:rPr>
                  <w:rFonts w:ascii="Cambria Math" w:hAnsi="Cambria Math" w:cs="Arial"/>
                  <w:lang w:val="es-ES_tradnl"/>
                </w:rPr>
              </m:ctrlPr>
            </m:funcPr>
            <m:fName>
              <m:r>
                <m:rPr>
                  <m:sty m:val="p"/>
                </m:rPr>
                <w:rPr>
                  <w:rFonts w:ascii="Cambria Math" w:hAnsi="Cambria Math" w:cs="Arial"/>
                  <w:lang w:val="es-ES_tradnl"/>
                </w:rPr>
                <m:t>log</m:t>
              </m:r>
            </m:fName>
            <m:e>
              <m:d>
                <m:dPr>
                  <m:ctrlPr>
                    <w:rPr>
                      <w:rFonts w:ascii="Cambria Math" w:hAnsi="Cambria Math" w:cs="Arial"/>
                      <w:i/>
                      <w:lang w:val="es-ES_tradnl"/>
                    </w:rPr>
                  </m:ctrlPr>
                </m:dPr>
                <m:e>
                  <m:sSubSup>
                    <m:sSubSupPr>
                      <m:ctrlPr>
                        <w:rPr>
                          <w:rFonts w:ascii="Cambria Math" w:hAnsi="Cambria Math" w:cs="Arial"/>
                          <w:i/>
                          <w:lang w:val="es-ES_tradnl"/>
                        </w:rPr>
                      </m:ctrlPr>
                    </m:sSubSupPr>
                    <m:e>
                      <m:r>
                        <w:rPr>
                          <w:rFonts w:ascii="Cambria Math" w:hAnsi="Cambria Math" w:cs="Arial"/>
                          <w:lang w:val="es-ES_tradnl"/>
                        </w:rPr>
                        <m:t>σ</m:t>
                      </m:r>
                    </m:e>
                    <m:sub>
                      <m:r>
                        <w:rPr>
                          <w:rFonts w:ascii="Cambria Math" w:hAnsi="Cambria Math" w:cs="Arial"/>
                          <w:lang w:val="es-ES_tradnl"/>
                        </w:rPr>
                        <m:t>t</m:t>
                      </m:r>
                    </m:sub>
                    <m:sup>
                      <m:r>
                        <w:rPr>
                          <w:rFonts w:ascii="Cambria Math" w:hAnsi="Cambria Math" w:cs="Arial"/>
                          <w:lang w:val="es-ES_tradnl"/>
                        </w:rPr>
                        <m:t>2</m:t>
                      </m:r>
                    </m:sup>
                  </m:sSubSup>
                </m:e>
              </m:d>
            </m:e>
          </m:func>
          <m:r>
            <w:rPr>
              <w:rFonts w:ascii="Cambria Math" w:hAnsi="Cambria Math" w:cs="Arial"/>
              <w:lang w:val="es-ES_tradnl"/>
            </w:rPr>
            <m:t>=16.446-0,054</m:t>
          </m:r>
          <m:sSub>
            <m:sSubPr>
              <m:ctrlPr>
                <w:rPr>
                  <w:rFonts w:ascii="Cambria Math" w:hAnsi="Cambria Math" w:cs="Arial"/>
                  <w:i/>
                  <w:lang w:val="es-ES_tradnl"/>
                </w:rPr>
              </m:ctrlPr>
            </m:sSubPr>
            <m:e>
              <m:r>
                <w:rPr>
                  <w:rFonts w:ascii="Cambria Math" w:hAnsi="Cambria Math" w:cs="Arial"/>
                  <w:lang w:val="es-ES_tradnl"/>
                </w:rPr>
                <m:t>ε</m:t>
              </m:r>
            </m:e>
            <m:sub>
              <m:r>
                <w:rPr>
                  <w:rFonts w:ascii="Cambria Math" w:hAnsi="Cambria Math" w:cs="Arial"/>
                  <w:lang w:val="es-ES_tradnl"/>
                </w:rPr>
                <m:t>t-1</m:t>
              </m:r>
            </m:sub>
          </m:sSub>
          <m:r>
            <w:rPr>
              <w:rFonts w:ascii="Cambria Math" w:hAnsi="Cambria Math" w:cs="Arial"/>
              <w:lang w:val="es-ES_tradnl"/>
            </w:rPr>
            <m:t>-0,154</m:t>
          </m:r>
          <m:d>
            <m:dPr>
              <m:begChr m:val="["/>
              <m:endChr m:val="]"/>
              <m:ctrlPr>
                <w:rPr>
                  <w:rFonts w:ascii="Cambria Math" w:hAnsi="Cambria Math" w:cs="Arial"/>
                  <w:i/>
                  <w:lang w:val="es-ES_tradnl"/>
                </w:rPr>
              </m:ctrlPr>
            </m:dPr>
            <m:e>
              <m:d>
                <m:dPr>
                  <m:begChr m:val="|"/>
                  <m:endChr m:val="|"/>
                  <m:ctrlPr>
                    <w:rPr>
                      <w:rFonts w:ascii="Cambria Math" w:hAnsi="Cambria Math" w:cs="Arial"/>
                      <w:i/>
                      <w:lang w:val="es-ES_tradnl"/>
                    </w:rPr>
                  </m:ctrlPr>
                </m:dPr>
                <m:e>
                  <m:sSub>
                    <m:sSubPr>
                      <m:ctrlPr>
                        <w:rPr>
                          <w:rFonts w:ascii="Cambria Math" w:hAnsi="Cambria Math" w:cs="Arial"/>
                          <w:i/>
                          <w:lang w:val="es-ES_tradnl"/>
                        </w:rPr>
                      </m:ctrlPr>
                    </m:sSubPr>
                    <m:e>
                      <m:r>
                        <w:rPr>
                          <w:rFonts w:ascii="Cambria Math" w:hAnsi="Cambria Math" w:cs="Arial"/>
                          <w:lang w:val="es-ES_tradnl"/>
                        </w:rPr>
                        <m:t>ε</m:t>
                      </m:r>
                    </m:e>
                    <m:sub>
                      <m:r>
                        <w:rPr>
                          <w:rFonts w:ascii="Cambria Math" w:hAnsi="Cambria Math" w:cs="Arial"/>
                          <w:lang w:val="es-ES_tradnl"/>
                        </w:rPr>
                        <m:t>t-1</m:t>
                      </m:r>
                    </m:sub>
                  </m:sSub>
                </m:e>
              </m:d>
              <m:r>
                <w:rPr>
                  <w:rFonts w:ascii="Cambria Math" w:hAnsi="Cambria Math" w:cs="Arial"/>
                  <w:lang w:val="es-ES_tradnl"/>
                </w:rPr>
                <m:t>-E</m:t>
              </m:r>
              <m:d>
                <m:dPr>
                  <m:ctrlPr>
                    <w:rPr>
                      <w:rFonts w:ascii="Cambria Math" w:hAnsi="Cambria Math" w:cs="Arial"/>
                      <w:i/>
                      <w:lang w:val="es-ES_tradnl"/>
                    </w:rPr>
                  </m:ctrlPr>
                </m:dPr>
                <m:e>
                  <m:d>
                    <m:dPr>
                      <m:begChr m:val="|"/>
                      <m:endChr m:val="|"/>
                      <m:ctrlPr>
                        <w:rPr>
                          <w:rFonts w:ascii="Cambria Math" w:hAnsi="Cambria Math" w:cs="Arial"/>
                          <w:i/>
                          <w:lang w:val="es-ES_tradnl"/>
                        </w:rPr>
                      </m:ctrlPr>
                    </m:dPr>
                    <m:e>
                      <m:sSub>
                        <m:sSubPr>
                          <m:ctrlPr>
                            <w:rPr>
                              <w:rFonts w:ascii="Cambria Math" w:hAnsi="Cambria Math" w:cs="Arial"/>
                              <w:i/>
                              <w:lang w:val="es-ES_tradnl"/>
                            </w:rPr>
                          </m:ctrlPr>
                        </m:sSubPr>
                        <m:e>
                          <m:r>
                            <w:rPr>
                              <w:rFonts w:ascii="Cambria Math" w:hAnsi="Cambria Math" w:cs="Arial"/>
                              <w:lang w:val="es-ES_tradnl"/>
                            </w:rPr>
                            <m:t>ε</m:t>
                          </m:r>
                        </m:e>
                        <m:sub>
                          <m:r>
                            <w:rPr>
                              <w:rFonts w:ascii="Cambria Math" w:hAnsi="Cambria Math" w:cs="Arial"/>
                              <w:lang w:val="es-ES_tradnl"/>
                            </w:rPr>
                            <m:t>t-1</m:t>
                          </m:r>
                        </m:sub>
                      </m:sSub>
                    </m:e>
                  </m:d>
                </m:e>
              </m:d>
            </m:e>
          </m:d>
          <m:r>
            <w:rPr>
              <w:rFonts w:ascii="Cambria Math" w:hAnsi="Cambria Math" w:cs="Arial"/>
              <w:lang w:val="es-ES_tradnl"/>
            </w:rPr>
            <m:t>-0.696</m:t>
          </m:r>
          <m:r>
            <m:rPr>
              <m:sty m:val="p"/>
            </m:rPr>
            <w:rPr>
              <w:rFonts w:ascii="Cambria Math" w:hAnsi="Cambria Math" w:cs="Arial"/>
              <w:lang w:val="es-ES_tradnl"/>
            </w:rPr>
            <m:t>log⁡</m:t>
          </m:r>
          <m:r>
            <w:rPr>
              <w:rFonts w:ascii="Cambria Math" w:hAnsi="Cambria Math" w:cs="Arial"/>
              <w:lang w:val="es-ES_tradnl"/>
            </w:rPr>
            <m:t>(</m:t>
          </m:r>
          <m:sSubSup>
            <m:sSubSupPr>
              <m:ctrlPr>
                <w:rPr>
                  <w:rFonts w:ascii="Cambria Math" w:hAnsi="Cambria Math" w:cs="Arial"/>
                  <w:i/>
                  <w:lang w:val="es-ES_tradnl"/>
                </w:rPr>
              </m:ctrlPr>
            </m:sSubSupPr>
            <m:e>
              <m:r>
                <w:rPr>
                  <w:rFonts w:ascii="Cambria Math" w:hAnsi="Cambria Math" w:cs="Arial"/>
                  <w:lang w:val="es-ES_tradnl"/>
                </w:rPr>
                <m:t>σ</m:t>
              </m:r>
            </m:e>
            <m:sub>
              <m:r>
                <w:rPr>
                  <w:rFonts w:ascii="Cambria Math" w:hAnsi="Cambria Math" w:cs="Arial"/>
                  <w:lang w:val="es-ES_tradnl"/>
                </w:rPr>
                <m:t>t-1</m:t>
              </m:r>
            </m:sub>
            <m:sup>
              <m:r>
                <w:rPr>
                  <w:rFonts w:ascii="Cambria Math" w:hAnsi="Cambria Math" w:cs="Arial"/>
                  <w:lang w:val="es-ES_tradnl"/>
                </w:rPr>
                <m:t>2</m:t>
              </m:r>
            </m:sup>
          </m:sSubSup>
          <m:r>
            <w:rPr>
              <w:rFonts w:ascii="Cambria Math" w:hAnsi="Cambria Math" w:cs="Arial"/>
              <w:lang w:val="es-ES_tradnl"/>
            </w:rPr>
            <m:t>)</m:t>
          </m:r>
        </m:oMath>
      </m:oMathPara>
    </w:p>
    <w:p w:rsidR="00B31CE1" w:rsidRDefault="00B31CE1" w:rsidP="00B31CE1">
      <w:pPr>
        <w:spacing w:before="100" w:beforeAutospacing="1" w:after="100" w:afterAutospacing="1"/>
        <w:jc w:val="both"/>
        <w:rPr>
          <w:rFonts w:ascii="Arial" w:hAnsi="Arial" w:cs="Arial"/>
        </w:rPr>
      </w:pPr>
      <w:r>
        <w:rPr>
          <w:rFonts w:ascii="Arial" w:hAnsi="Arial" w:cs="Arial"/>
        </w:rPr>
        <w:lastRenderedPageBreak/>
        <w:t>3.4 Diagnóstico</w:t>
      </w:r>
    </w:p>
    <w:p w:rsidR="00B31CE1" w:rsidRPr="0099528E" w:rsidRDefault="00B31CE1" w:rsidP="00B31CE1">
      <w:pPr>
        <w:spacing w:before="100" w:beforeAutospacing="1" w:after="100" w:afterAutospacing="1"/>
        <w:jc w:val="both"/>
        <w:rPr>
          <w:rFonts w:ascii="Arial" w:hAnsi="Arial" w:cs="Arial"/>
        </w:rPr>
      </w:pPr>
      <w:r w:rsidRPr="0099528E">
        <w:rPr>
          <w:rFonts w:ascii="Arial" w:hAnsi="Arial" w:cs="Arial"/>
        </w:rPr>
        <w:t>Evaluando los residuales de los modelos ARMA(1,</w:t>
      </w:r>
      <w:r>
        <w:rPr>
          <w:rFonts w:ascii="Arial" w:hAnsi="Arial" w:cs="Arial"/>
        </w:rPr>
        <w:t>0</w:t>
      </w:r>
      <w:r w:rsidRPr="0099528E">
        <w:rPr>
          <w:rFonts w:ascii="Arial" w:hAnsi="Arial" w:cs="Arial"/>
        </w:rPr>
        <w:t>)-EGARCH(1,</w:t>
      </w:r>
      <w:r>
        <w:rPr>
          <w:rFonts w:ascii="Arial" w:hAnsi="Arial" w:cs="Arial"/>
        </w:rPr>
        <w:t>1</w:t>
      </w:r>
      <w:r w:rsidRPr="0099528E">
        <w:rPr>
          <w:rFonts w:ascii="Arial" w:hAnsi="Arial" w:cs="Arial"/>
        </w:rPr>
        <w:t xml:space="preserve">) con </w:t>
      </w:r>
      <m:oMath>
        <m:sSub>
          <m:sSubPr>
            <m:ctrlPr>
              <w:rPr>
                <w:rFonts w:ascii="Cambria Math" w:hAnsi="Cambria Math" w:cs="Arial"/>
              </w:rPr>
            </m:ctrlPr>
          </m:sSubPr>
          <m:e>
            <m:r>
              <w:rPr>
                <w:rFonts w:ascii="Cambria Math" w:hAnsi="Cambria Math" w:cs="Arial"/>
              </w:rPr>
              <m:t>ε</m:t>
            </m:r>
          </m:e>
          <m:sub>
            <m:r>
              <w:rPr>
                <w:rFonts w:ascii="Cambria Math" w:hAnsi="Cambria Math" w:cs="Arial"/>
              </w:rPr>
              <m:t>t</m:t>
            </m:r>
          </m:sub>
        </m:sSub>
        <m:r>
          <m:rPr>
            <m:sty m:val="p"/>
          </m:rPr>
          <w:rPr>
            <w:rFonts w:ascii="Cambria Math" w:hAnsi="Cambria Math" w:cs="Arial"/>
          </w:rPr>
          <m:t>~</m:t>
        </m:r>
        <m:r>
          <w:rPr>
            <w:rFonts w:ascii="Cambria Math" w:hAnsi="Cambria Math" w:cs="Arial"/>
          </w:rPr>
          <m:t>N</m:t>
        </m:r>
        <m:r>
          <m:rPr>
            <m:sty m:val="p"/>
          </m:rPr>
          <w:rPr>
            <w:rFonts w:ascii="Cambria Math" w:hAnsi="Cambria Math" w:cs="Arial"/>
          </w:rPr>
          <m:t>(0,1)</m:t>
        </m:r>
      </m:oMath>
      <w:r w:rsidRPr="0099528E">
        <w:rPr>
          <w:rFonts w:ascii="Arial" w:hAnsi="Arial" w:cs="Arial"/>
        </w:rPr>
        <w:t xml:space="preserve"> y </w:t>
      </w:r>
      <m:oMath>
        <m:sSub>
          <m:sSubPr>
            <m:ctrlPr>
              <w:rPr>
                <w:rFonts w:ascii="Cambria Math" w:hAnsi="Cambria Math" w:cs="Arial"/>
                <w:i/>
              </w:rPr>
            </m:ctrlPr>
          </m:sSubPr>
          <m:e>
            <m:r>
              <w:rPr>
                <w:rFonts w:ascii="Cambria Math" w:hAnsi="Cambria Math" w:cs="Arial"/>
              </w:rPr>
              <m:t>ε</m:t>
            </m:r>
          </m:e>
          <m:sub>
            <m:r>
              <w:rPr>
                <w:rFonts w:ascii="Cambria Math" w:hAnsi="Cambria Math" w:cs="Arial"/>
              </w:rPr>
              <m:t>t</m:t>
            </m:r>
          </m:sub>
        </m:sSub>
        <m:r>
          <w:rPr>
            <w:rFonts w:ascii="Cambria Math" w:hAnsi="Cambria Math" w:cs="Arial"/>
          </w:rPr>
          <m:t>~t</m:t>
        </m:r>
        <m:d>
          <m:dPr>
            <m:ctrlPr>
              <w:rPr>
                <w:rFonts w:ascii="Cambria Math" w:hAnsi="Cambria Math" w:cs="Arial"/>
                <w:i/>
              </w:rPr>
            </m:ctrlPr>
          </m:dPr>
          <m:e>
            <m:r>
              <w:rPr>
                <w:rFonts w:ascii="Cambria Math" w:hAnsi="Cambria Math" w:cs="Arial"/>
              </w:rPr>
              <m:t>5</m:t>
            </m:r>
          </m:e>
        </m:d>
      </m:oMath>
      <w:r w:rsidRPr="0099528E">
        <w:rPr>
          <w:rFonts w:ascii="Arial" w:hAnsi="Arial" w:cs="Arial"/>
        </w:rPr>
        <w:t xml:space="preserve"> se determinó la no correlación serial en los residuos y residuos al cuadrado, indicando que los modelos para la media y la varianza son adecuados. Así también, se observó que los residuales del modelo presentan un coeficiente de curtosis mayor a tres y la presencia de colas pesadas diferenciándose con un comportamiento normal estándar o t-student, sin embargo, </w:t>
      </w:r>
      <w:r>
        <w:rPr>
          <w:rFonts w:ascii="Arial" w:hAnsi="Arial" w:cs="Arial"/>
        </w:rPr>
        <w:t>se</w:t>
      </w:r>
      <w:r w:rsidRPr="0099528E">
        <w:rPr>
          <w:rFonts w:ascii="Arial" w:hAnsi="Arial" w:cs="Arial"/>
        </w:rPr>
        <w:t xml:space="preserve"> observ</w:t>
      </w:r>
      <w:r>
        <w:rPr>
          <w:rFonts w:ascii="Arial" w:hAnsi="Arial" w:cs="Arial"/>
        </w:rPr>
        <w:t>ó también</w:t>
      </w:r>
      <w:r w:rsidRPr="0099528E">
        <w:rPr>
          <w:rFonts w:ascii="Arial" w:hAnsi="Arial" w:cs="Arial"/>
        </w:rPr>
        <w:t xml:space="preserve"> que considerando a los residuales como una distribución t-</w:t>
      </w:r>
      <w:r>
        <w:rPr>
          <w:rFonts w:ascii="Arial" w:hAnsi="Arial" w:cs="Arial"/>
        </w:rPr>
        <w:t>S</w:t>
      </w:r>
      <w:r w:rsidRPr="0099528E">
        <w:rPr>
          <w:rFonts w:ascii="Arial" w:hAnsi="Arial" w:cs="Arial"/>
        </w:rPr>
        <w:t>tudent con 5 grados de libertad es posible capturar el efecto de colas pesadas en el modelo. Así se determinó que el modelo ARMA(1,</w:t>
      </w:r>
      <w:r>
        <w:rPr>
          <w:rFonts w:ascii="Arial" w:hAnsi="Arial" w:cs="Arial"/>
        </w:rPr>
        <w:t>0</w:t>
      </w:r>
      <w:r w:rsidRPr="0099528E">
        <w:rPr>
          <w:rFonts w:ascii="Arial" w:hAnsi="Arial" w:cs="Arial"/>
        </w:rPr>
        <w:t>)-EGARCH(1,</w:t>
      </w:r>
      <w:r>
        <w:rPr>
          <w:rFonts w:ascii="Arial" w:hAnsi="Arial" w:cs="Arial"/>
        </w:rPr>
        <w:t>1</w:t>
      </w:r>
      <w:r w:rsidRPr="0099528E">
        <w:rPr>
          <w:rFonts w:ascii="Arial" w:hAnsi="Arial" w:cs="Arial"/>
        </w:rPr>
        <w:t xml:space="preserve">) con </w:t>
      </w:r>
      <m:oMath>
        <m:sSub>
          <m:sSubPr>
            <m:ctrlPr>
              <w:rPr>
                <w:rFonts w:ascii="Cambria Math" w:hAnsi="Cambria Math" w:cs="Arial"/>
                <w:i/>
              </w:rPr>
            </m:ctrlPr>
          </m:sSubPr>
          <m:e>
            <m:r>
              <w:rPr>
                <w:rFonts w:ascii="Cambria Math" w:hAnsi="Cambria Math" w:cs="Arial"/>
              </w:rPr>
              <m:t>ε</m:t>
            </m:r>
          </m:e>
          <m:sub>
            <m:r>
              <w:rPr>
                <w:rFonts w:ascii="Cambria Math" w:hAnsi="Cambria Math" w:cs="Arial"/>
              </w:rPr>
              <m:t>t</m:t>
            </m:r>
          </m:sub>
        </m:sSub>
        <m:r>
          <w:rPr>
            <w:rFonts w:ascii="Cambria Math" w:hAnsi="Cambria Math" w:cs="Arial"/>
          </w:rPr>
          <m:t>~t</m:t>
        </m:r>
        <m:d>
          <m:dPr>
            <m:ctrlPr>
              <w:rPr>
                <w:rFonts w:ascii="Cambria Math" w:hAnsi="Cambria Math" w:cs="Arial"/>
                <w:i/>
              </w:rPr>
            </m:ctrlPr>
          </m:dPr>
          <m:e>
            <m:r>
              <w:rPr>
                <w:rFonts w:ascii="Cambria Math" w:hAnsi="Cambria Math" w:cs="Arial"/>
              </w:rPr>
              <m:t>5</m:t>
            </m:r>
          </m:e>
        </m:d>
      </m:oMath>
      <w:r w:rsidRPr="0099528E">
        <w:rPr>
          <w:rFonts w:ascii="Arial" w:hAnsi="Arial" w:cs="Arial"/>
        </w:rPr>
        <w:t xml:space="preserve"> presenta mejor comportamiento en comparación de ARMA(1,</w:t>
      </w:r>
      <w:r>
        <w:rPr>
          <w:rFonts w:ascii="Arial" w:hAnsi="Arial" w:cs="Arial"/>
        </w:rPr>
        <w:t>0</w:t>
      </w:r>
      <w:r w:rsidRPr="0099528E">
        <w:rPr>
          <w:rFonts w:ascii="Arial" w:hAnsi="Arial" w:cs="Arial"/>
        </w:rPr>
        <w:t xml:space="preserve">)-EGARCH(1,1) con </w:t>
      </w:r>
      <m:oMath>
        <m:sSub>
          <m:sSubPr>
            <m:ctrlPr>
              <w:rPr>
                <w:rFonts w:ascii="Cambria Math" w:hAnsi="Cambria Math" w:cs="Arial"/>
              </w:rPr>
            </m:ctrlPr>
          </m:sSubPr>
          <m:e>
            <m:r>
              <w:rPr>
                <w:rFonts w:ascii="Cambria Math" w:hAnsi="Cambria Math" w:cs="Arial"/>
              </w:rPr>
              <m:t>ε</m:t>
            </m:r>
          </m:e>
          <m:sub>
            <m:r>
              <w:rPr>
                <w:rFonts w:ascii="Cambria Math" w:hAnsi="Cambria Math" w:cs="Arial"/>
              </w:rPr>
              <m:t>t</m:t>
            </m:r>
          </m:sub>
        </m:sSub>
        <m:r>
          <m:rPr>
            <m:sty m:val="p"/>
          </m:rPr>
          <w:rPr>
            <w:rFonts w:ascii="Cambria Math" w:hAnsi="Cambria Math" w:cs="Arial"/>
          </w:rPr>
          <m:t>~</m:t>
        </m:r>
        <m:r>
          <w:rPr>
            <w:rFonts w:ascii="Cambria Math" w:hAnsi="Cambria Math" w:cs="Arial"/>
          </w:rPr>
          <m:t>N</m:t>
        </m:r>
        <m:r>
          <m:rPr>
            <m:sty m:val="p"/>
          </m:rPr>
          <w:rPr>
            <w:rFonts w:ascii="Cambria Math" w:hAnsi="Cambria Math" w:cs="Arial"/>
          </w:rPr>
          <m:t>(0,1)</m:t>
        </m:r>
      </m:oMath>
      <w:r w:rsidRPr="0099528E">
        <w:rPr>
          <w:rFonts w:ascii="Arial" w:hAnsi="Arial" w:cs="Arial"/>
        </w:rPr>
        <w:t xml:space="preserve">. Esto de acuerdo a sus </w:t>
      </w:r>
      <w:r>
        <w:rPr>
          <w:rFonts w:ascii="Arial" w:hAnsi="Arial" w:cs="Arial"/>
        </w:rPr>
        <w:t>criterios de información calculados (</w:t>
      </w:r>
      <w:r w:rsidRPr="0099528E">
        <w:rPr>
          <w:rFonts w:ascii="Arial" w:hAnsi="Arial" w:cs="Arial"/>
        </w:rPr>
        <w:t>AIC y BIC</w:t>
      </w:r>
      <w:r>
        <w:rPr>
          <w:rFonts w:ascii="Arial" w:hAnsi="Arial" w:cs="Arial"/>
        </w:rPr>
        <w:t>)</w:t>
      </w:r>
      <w:r w:rsidRPr="0099528E">
        <w:rPr>
          <w:rFonts w:ascii="Arial" w:hAnsi="Arial" w:cs="Arial"/>
        </w:rPr>
        <w:t>.</w:t>
      </w:r>
    </w:p>
    <w:p w:rsidR="00B31CE1" w:rsidRPr="00E74E4B" w:rsidRDefault="00B31CE1" w:rsidP="00B31CE1">
      <w:pPr>
        <w:spacing w:before="100" w:beforeAutospacing="1" w:after="100" w:afterAutospacing="1"/>
        <w:jc w:val="both"/>
        <w:rPr>
          <w:rFonts w:ascii="Arial" w:hAnsi="Arial" w:cs="Arial"/>
          <w:i/>
          <w:iCs/>
        </w:rPr>
      </w:pPr>
      <w:r w:rsidRPr="00E74E4B">
        <w:rPr>
          <w:rFonts w:ascii="Arial" w:hAnsi="Arial" w:cs="Arial"/>
          <w:i/>
          <w:iCs/>
        </w:rPr>
        <w:t>3.5 Predicción</w:t>
      </w:r>
    </w:p>
    <w:p w:rsidR="00B31CE1" w:rsidRDefault="00B31CE1" w:rsidP="00B31CE1">
      <w:pPr>
        <w:spacing w:before="100" w:beforeAutospacing="1" w:after="100" w:afterAutospacing="1"/>
        <w:jc w:val="both"/>
        <w:rPr>
          <w:rFonts w:ascii="Arial" w:hAnsi="Arial" w:cs="Arial"/>
        </w:rPr>
      </w:pPr>
      <w:r w:rsidRPr="0099528E">
        <w:rPr>
          <w:rFonts w:ascii="Arial" w:hAnsi="Arial" w:cs="Arial"/>
        </w:rPr>
        <w:t xml:space="preserve">En la Figura </w:t>
      </w:r>
      <w:r>
        <w:rPr>
          <w:rFonts w:ascii="Arial" w:hAnsi="Arial" w:cs="Arial"/>
        </w:rPr>
        <w:t>3</w:t>
      </w:r>
      <w:r w:rsidRPr="0099528E">
        <w:rPr>
          <w:rFonts w:ascii="Arial" w:hAnsi="Arial" w:cs="Arial"/>
        </w:rPr>
        <w:t xml:space="preserve"> se muestran los intervalos de predicción bootstrap y paramétrico para el modelo ARMA(1,</w:t>
      </w:r>
      <w:r>
        <w:rPr>
          <w:rFonts w:ascii="Arial" w:hAnsi="Arial" w:cs="Arial"/>
        </w:rPr>
        <w:t>0</w:t>
      </w:r>
      <w:r w:rsidRPr="0099528E">
        <w:rPr>
          <w:rFonts w:ascii="Arial" w:hAnsi="Arial" w:cs="Arial"/>
        </w:rPr>
        <w:t xml:space="preserve">)-EGARCH(1,1) de los retornos del </w:t>
      </w:r>
      <w:r>
        <w:rPr>
          <w:rFonts w:ascii="Arial" w:hAnsi="Arial" w:cs="Arial"/>
        </w:rPr>
        <w:t>Índice S&amp;P/BVL</w:t>
      </w:r>
      <w:r w:rsidRPr="0099528E">
        <w:rPr>
          <w:rFonts w:ascii="Arial" w:hAnsi="Arial" w:cs="Arial"/>
        </w:rPr>
        <w:t>, a un nivel de confianza del 90%</w:t>
      </w:r>
      <w:r>
        <w:rPr>
          <w:rFonts w:ascii="Arial" w:hAnsi="Arial" w:cs="Arial"/>
        </w:rPr>
        <w:t xml:space="preserve"> </w:t>
      </w:r>
      <w:r w:rsidRPr="0099528E">
        <w:rPr>
          <w:rFonts w:ascii="Arial" w:hAnsi="Arial" w:cs="Arial"/>
        </w:rPr>
        <w:t>se observaron que los límites de predicción para los retornos con ambas metodologías no cubren todos los valores reales, específicamente en los horizontes h=</w:t>
      </w:r>
      <w:r>
        <w:rPr>
          <w:rFonts w:ascii="Arial" w:hAnsi="Arial" w:cs="Arial"/>
        </w:rPr>
        <w:t>7,</w:t>
      </w:r>
      <w:r w:rsidRPr="0099528E">
        <w:rPr>
          <w:rFonts w:ascii="Arial" w:hAnsi="Arial" w:cs="Arial"/>
        </w:rPr>
        <w:t>9</w:t>
      </w:r>
      <w:r>
        <w:rPr>
          <w:rFonts w:ascii="Arial" w:hAnsi="Arial" w:cs="Arial"/>
        </w:rPr>
        <w:t xml:space="preserve"> y </w:t>
      </w:r>
      <w:r w:rsidRPr="0099528E">
        <w:rPr>
          <w:rFonts w:ascii="Arial" w:hAnsi="Arial" w:cs="Arial"/>
        </w:rPr>
        <w:t xml:space="preserve">12, y también mediante la metodología bootstrap se observó que presentan </w:t>
      </w:r>
      <w:r>
        <w:rPr>
          <w:rFonts w:ascii="Arial" w:hAnsi="Arial" w:cs="Arial"/>
        </w:rPr>
        <w:t>similares</w:t>
      </w:r>
      <w:r w:rsidRPr="0099528E">
        <w:rPr>
          <w:rFonts w:ascii="Arial" w:hAnsi="Arial" w:cs="Arial"/>
        </w:rPr>
        <w:t xml:space="preserve"> amplitudes</w:t>
      </w:r>
      <w:r>
        <w:rPr>
          <w:rFonts w:ascii="Arial" w:hAnsi="Arial" w:cs="Arial"/>
        </w:rPr>
        <w:t xml:space="preserve"> y mayores amplitudes </w:t>
      </w:r>
      <w:r w:rsidRPr="0099528E">
        <w:rPr>
          <w:rFonts w:ascii="Arial" w:hAnsi="Arial" w:cs="Arial"/>
        </w:rPr>
        <w:t>en algunos horizontes</w:t>
      </w:r>
      <w:r>
        <w:rPr>
          <w:rFonts w:ascii="Arial" w:hAnsi="Arial" w:cs="Arial"/>
        </w:rPr>
        <w:t xml:space="preserve"> </w:t>
      </w:r>
      <w:r w:rsidRPr="0099528E">
        <w:rPr>
          <w:rFonts w:ascii="Arial" w:hAnsi="Arial" w:cs="Arial"/>
        </w:rPr>
        <w:t>respecto a los intervalos paramétricos en ambos supuestos de los residuales. A un nivel de confianza del 95%, se ob</w:t>
      </w:r>
      <w:r>
        <w:rPr>
          <w:rFonts w:ascii="Arial" w:hAnsi="Arial" w:cs="Arial"/>
        </w:rPr>
        <w:t>s</w:t>
      </w:r>
      <w:r w:rsidRPr="0099528E">
        <w:rPr>
          <w:rFonts w:ascii="Arial" w:hAnsi="Arial" w:cs="Arial"/>
        </w:rPr>
        <w:t xml:space="preserve">ervó que los límites de predicción para los retornos con ambas metodologías </w:t>
      </w:r>
      <w:r>
        <w:rPr>
          <w:rFonts w:ascii="Arial" w:hAnsi="Arial" w:cs="Arial"/>
        </w:rPr>
        <w:t xml:space="preserve">no </w:t>
      </w:r>
      <w:r w:rsidRPr="0099528E">
        <w:rPr>
          <w:rFonts w:ascii="Arial" w:hAnsi="Arial" w:cs="Arial"/>
        </w:rPr>
        <w:t xml:space="preserve">cubren todos los valores reales </w:t>
      </w:r>
      <w:r>
        <w:rPr>
          <w:rFonts w:ascii="Arial" w:hAnsi="Arial" w:cs="Arial"/>
        </w:rPr>
        <w:t xml:space="preserve">en los horizontes </w:t>
      </w:r>
      <w:r w:rsidRPr="0099528E">
        <w:rPr>
          <w:rFonts w:ascii="Arial" w:hAnsi="Arial" w:cs="Arial"/>
        </w:rPr>
        <w:t>h=9</w:t>
      </w:r>
      <w:r>
        <w:rPr>
          <w:rFonts w:ascii="Arial" w:hAnsi="Arial" w:cs="Arial"/>
        </w:rPr>
        <w:t xml:space="preserve"> y </w:t>
      </w:r>
      <w:r w:rsidRPr="0099528E">
        <w:rPr>
          <w:rFonts w:ascii="Arial" w:hAnsi="Arial" w:cs="Arial"/>
        </w:rPr>
        <w:t>12</w:t>
      </w:r>
      <w:r>
        <w:rPr>
          <w:rFonts w:ascii="Arial" w:hAnsi="Arial" w:cs="Arial"/>
        </w:rPr>
        <w:t xml:space="preserve"> </w:t>
      </w:r>
      <w:r w:rsidRPr="0099528E">
        <w:rPr>
          <w:rFonts w:ascii="Arial" w:hAnsi="Arial" w:cs="Arial"/>
        </w:rPr>
        <w:t xml:space="preserve">y mediante la metodología bootstrap se observaron que presentan mayores amplitudes en la mayoría de los horizontes, respecto a los intervalos bootstrap, esto en cada supuestos de los residuales. </w:t>
      </w:r>
    </w:p>
    <w:p w:rsidR="00B31CE1" w:rsidRDefault="00B31CE1" w:rsidP="00B31CE1">
      <w:pPr>
        <w:spacing w:before="100" w:beforeAutospacing="1" w:after="100" w:afterAutospacing="1"/>
        <w:jc w:val="both"/>
        <w:rPr>
          <w:rFonts w:ascii="Arial" w:hAnsi="Arial" w:cs="Arial"/>
        </w:rPr>
      </w:pPr>
      <w:r w:rsidRPr="0099528E">
        <w:rPr>
          <w:rFonts w:ascii="Arial" w:hAnsi="Arial" w:cs="Arial"/>
        </w:rPr>
        <w:t xml:space="preserve">En la Figura </w:t>
      </w:r>
      <w:r>
        <w:rPr>
          <w:rFonts w:ascii="Arial" w:hAnsi="Arial" w:cs="Arial"/>
        </w:rPr>
        <w:t>4</w:t>
      </w:r>
      <w:r w:rsidRPr="0099528E">
        <w:rPr>
          <w:rFonts w:ascii="Arial" w:hAnsi="Arial" w:cs="Arial"/>
        </w:rPr>
        <w:t xml:space="preserve"> se observó que los intervalos de predicción para las volatilidades del modelo ARMA(1,</w:t>
      </w:r>
      <w:r>
        <w:rPr>
          <w:rFonts w:ascii="Arial" w:hAnsi="Arial" w:cs="Arial"/>
        </w:rPr>
        <w:t>0</w:t>
      </w:r>
      <w:r w:rsidRPr="0099528E">
        <w:rPr>
          <w:rFonts w:ascii="Arial" w:hAnsi="Arial" w:cs="Arial"/>
        </w:rPr>
        <w:t xml:space="preserve">)-EGARCH(1,1) a niveles de confianza del 90% y 95% cubren todos los valores reales de las volatilidades, y con el modelo con </w:t>
      </w:r>
      <m:oMath>
        <m:sSub>
          <m:sSubPr>
            <m:ctrlPr>
              <w:rPr>
                <w:rFonts w:ascii="Cambria Math" w:hAnsi="Cambria Math" w:cs="Arial"/>
                <w:i/>
              </w:rPr>
            </m:ctrlPr>
          </m:sSubPr>
          <m:e>
            <m:r>
              <w:rPr>
                <w:rFonts w:ascii="Cambria Math" w:hAnsi="Cambria Math" w:cs="Arial"/>
              </w:rPr>
              <m:t>ε</m:t>
            </m:r>
          </m:e>
          <m:sub>
            <m:r>
              <w:rPr>
                <w:rFonts w:ascii="Cambria Math" w:hAnsi="Cambria Math" w:cs="Arial"/>
              </w:rPr>
              <m:t>t</m:t>
            </m:r>
          </m:sub>
        </m:sSub>
        <m:r>
          <w:rPr>
            <w:rFonts w:ascii="Cambria Math" w:hAnsi="Cambria Math" w:cs="Arial"/>
          </w:rPr>
          <m:t>~t</m:t>
        </m:r>
        <m:d>
          <m:dPr>
            <m:ctrlPr>
              <w:rPr>
                <w:rFonts w:ascii="Cambria Math" w:hAnsi="Cambria Math" w:cs="Arial"/>
                <w:i/>
              </w:rPr>
            </m:ctrlPr>
          </m:dPr>
          <m:e>
            <m:r>
              <w:rPr>
                <w:rFonts w:ascii="Cambria Math" w:hAnsi="Cambria Math" w:cs="Arial"/>
              </w:rPr>
              <m:t>5</m:t>
            </m:r>
          </m:e>
        </m:d>
      </m:oMath>
      <w:r w:rsidRPr="0099528E">
        <w:rPr>
          <w:rFonts w:ascii="Arial" w:hAnsi="Arial" w:cs="Arial"/>
        </w:rPr>
        <w:t xml:space="preserve"> se observó que presentan </w:t>
      </w:r>
      <w:r>
        <w:rPr>
          <w:rFonts w:ascii="Arial" w:hAnsi="Arial" w:cs="Arial"/>
        </w:rPr>
        <w:t xml:space="preserve">ligeramente </w:t>
      </w:r>
      <w:r w:rsidRPr="0099528E">
        <w:rPr>
          <w:rFonts w:ascii="Arial" w:hAnsi="Arial" w:cs="Arial"/>
        </w:rPr>
        <w:t>mayores amplitudes en la mayoría de los horizontes de intervalo de predicción para las volatilidades de los retornos</w:t>
      </w:r>
      <w:r>
        <w:rPr>
          <w:rFonts w:ascii="Arial" w:hAnsi="Arial" w:cs="Arial"/>
        </w:rPr>
        <w:t>.</w:t>
      </w:r>
    </w:p>
    <w:p w:rsidR="00B31CE1" w:rsidRDefault="00B31CE1" w:rsidP="00B31CE1">
      <w:pPr>
        <w:rPr>
          <w:rFonts w:ascii="Arial" w:hAnsi="Arial" w:cs="Arial"/>
          <w:bCs/>
        </w:rPr>
      </w:pPr>
      <w:r>
        <w:rPr>
          <w:noProof/>
          <w:lang w:val="en-US"/>
        </w:rPr>
        <w:drawing>
          <wp:inline distT="0" distB="0" distL="0" distR="0" wp14:anchorId="62CDC452" wp14:editId="0AF1717B">
            <wp:extent cx="2808000" cy="1962000"/>
            <wp:effectExtent l="0" t="0" r="0" b="635"/>
            <wp:docPr id="1413571364" name="Imagen 141357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2808000" cy="1962000"/>
                    </a:xfrm>
                    <a:prstGeom prst="rect">
                      <a:avLst/>
                    </a:prstGeom>
                  </pic:spPr>
                </pic:pic>
              </a:graphicData>
            </a:graphic>
          </wp:inline>
        </w:drawing>
      </w:r>
      <w:r>
        <w:rPr>
          <w:noProof/>
          <w:lang w:val="en-US"/>
        </w:rPr>
        <w:drawing>
          <wp:inline distT="0" distB="0" distL="0" distR="0" wp14:anchorId="6B9B408A" wp14:editId="3E07EB90">
            <wp:extent cx="2808000" cy="1944000"/>
            <wp:effectExtent l="0" t="0" r="0" b="0"/>
            <wp:docPr id="1413571365" name="Imagen 141357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2808000" cy="1944000"/>
                    </a:xfrm>
                    <a:prstGeom prst="rect">
                      <a:avLst/>
                    </a:prstGeom>
                  </pic:spPr>
                </pic:pic>
              </a:graphicData>
            </a:graphic>
          </wp:inline>
        </w:drawing>
      </w:r>
    </w:p>
    <w:p w:rsidR="00B31CE1" w:rsidRPr="008528B0" w:rsidRDefault="00B31CE1" w:rsidP="00B31CE1">
      <w:pPr>
        <w:ind w:left="2460"/>
        <w:jc w:val="both"/>
        <w:rPr>
          <w:rFonts w:ascii="Arial" w:hAnsi="Arial" w:cs="Arial"/>
          <w:sz w:val="20"/>
          <w:szCs w:val="20"/>
        </w:rPr>
      </w:pPr>
      <w:r>
        <w:rPr>
          <w:rFonts w:ascii="Arial" w:hAnsi="Arial" w:cs="Arial"/>
          <w:sz w:val="20"/>
          <w:szCs w:val="20"/>
        </w:rPr>
        <w:t>(</w:t>
      </w:r>
      <w:r w:rsidRPr="008528B0">
        <w:rPr>
          <w:rFonts w:ascii="Arial" w:hAnsi="Arial" w:cs="Arial"/>
          <w:sz w:val="20"/>
          <w:szCs w:val="20"/>
        </w:rPr>
        <w:t xml:space="preserve">a)                                                            </w:t>
      </w:r>
      <w:r>
        <w:rPr>
          <w:rFonts w:ascii="Arial" w:hAnsi="Arial" w:cs="Arial"/>
          <w:sz w:val="20"/>
          <w:szCs w:val="20"/>
        </w:rPr>
        <w:t xml:space="preserve">             </w:t>
      </w:r>
      <w:r w:rsidRPr="008528B0">
        <w:rPr>
          <w:rFonts w:ascii="Arial" w:hAnsi="Arial" w:cs="Arial"/>
          <w:sz w:val="20"/>
          <w:szCs w:val="20"/>
        </w:rPr>
        <w:t xml:space="preserve"> (b)</w:t>
      </w:r>
    </w:p>
    <w:p w:rsidR="00B31CE1" w:rsidRPr="00923E59" w:rsidRDefault="00B31CE1" w:rsidP="00B31CE1">
      <w:pPr>
        <w:spacing w:before="100" w:beforeAutospacing="1" w:after="100" w:afterAutospacing="1"/>
        <w:jc w:val="both"/>
        <w:rPr>
          <w:rFonts w:ascii="Arial" w:hAnsi="Arial" w:cs="Arial"/>
          <w:i/>
          <w:iCs/>
          <w:sz w:val="20"/>
          <w:szCs w:val="20"/>
        </w:rPr>
      </w:pPr>
      <w:r w:rsidRPr="00923E59">
        <w:rPr>
          <w:rFonts w:ascii="Arial" w:hAnsi="Arial" w:cs="Arial"/>
          <w:bCs/>
          <w:i/>
          <w:iCs/>
          <w:sz w:val="20"/>
          <w:szCs w:val="20"/>
        </w:rPr>
        <w:lastRenderedPageBreak/>
        <w:t xml:space="preserve">Figura 3: Intervalos de predicción al nivel de confianza del 90% (a) y 95% (b) del modelo ARMA(1,0)-EGARCH(1,1) con </w:t>
      </w:r>
      <m:oMath>
        <m:sSub>
          <m:sSubPr>
            <m:ctrlPr>
              <w:rPr>
                <w:rFonts w:ascii="Cambria Math" w:hAnsi="Cambria Math" w:cs="Arial"/>
                <w:bCs/>
                <w:i/>
                <w:iCs/>
                <w:sz w:val="20"/>
                <w:szCs w:val="20"/>
              </w:rPr>
            </m:ctrlPr>
          </m:sSubPr>
          <m:e>
            <m:r>
              <w:rPr>
                <w:rFonts w:ascii="Cambria Math" w:hAnsi="Cambria Math" w:cs="Arial"/>
                <w:sz w:val="20"/>
                <w:szCs w:val="20"/>
              </w:rPr>
              <m:t>ε</m:t>
            </m:r>
          </m:e>
          <m:sub>
            <m:r>
              <w:rPr>
                <w:rFonts w:ascii="Cambria Math" w:hAnsi="Cambria Math" w:cs="Arial"/>
                <w:sz w:val="20"/>
                <w:szCs w:val="20"/>
              </w:rPr>
              <m:t>t</m:t>
            </m:r>
          </m:sub>
        </m:sSub>
        <m:r>
          <w:rPr>
            <w:rFonts w:ascii="Cambria Math" w:hAnsi="Cambria Math" w:cs="Arial"/>
            <w:sz w:val="20"/>
            <w:szCs w:val="20"/>
          </w:rPr>
          <m:t>~N(0,1)</m:t>
        </m:r>
      </m:oMath>
      <w:r w:rsidRPr="00923E59">
        <w:rPr>
          <w:rFonts w:ascii="Arial" w:hAnsi="Arial" w:cs="Arial"/>
          <w:i/>
          <w:iCs/>
          <w:sz w:val="20"/>
          <w:szCs w:val="20"/>
        </w:rPr>
        <w:t xml:space="preserve"> y </w:t>
      </w:r>
      <m:oMath>
        <m:sSub>
          <m:sSubPr>
            <m:ctrlPr>
              <w:rPr>
                <w:rFonts w:ascii="Cambria Math" w:hAnsi="Cambria Math" w:cs="Arial"/>
                <w:i/>
                <w:iCs/>
                <w:sz w:val="20"/>
                <w:szCs w:val="20"/>
              </w:rPr>
            </m:ctrlPr>
          </m:sSubPr>
          <m:e>
            <m:r>
              <w:rPr>
                <w:rFonts w:ascii="Cambria Math" w:hAnsi="Cambria Math" w:cs="Arial"/>
                <w:sz w:val="20"/>
                <w:szCs w:val="20"/>
              </w:rPr>
              <m:t>ε</m:t>
            </m:r>
          </m:e>
          <m:sub>
            <m:r>
              <w:rPr>
                <w:rFonts w:ascii="Cambria Math" w:hAnsi="Cambria Math" w:cs="Arial"/>
                <w:sz w:val="20"/>
                <w:szCs w:val="20"/>
              </w:rPr>
              <m:t>t</m:t>
            </m:r>
          </m:sub>
        </m:sSub>
        <m:r>
          <w:rPr>
            <w:rFonts w:ascii="Cambria Math" w:hAnsi="Cambria Math" w:cs="Arial"/>
            <w:sz w:val="20"/>
            <w:szCs w:val="20"/>
          </w:rPr>
          <m:t>~t</m:t>
        </m:r>
        <m:d>
          <m:dPr>
            <m:ctrlPr>
              <w:rPr>
                <w:rFonts w:ascii="Cambria Math" w:hAnsi="Cambria Math" w:cs="Arial"/>
                <w:i/>
                <w:iCs/>
                <w:sz w:val="20"/>
                <w:szCs w:val="20"/>
              </w:rPr>
            </m:ctrlPr>
          </m:dPr>
          <m:e>
            <m:r>
              <w:rPr>
                <w:rFonts w:ascii="Cambria Math" w:hAnsi="Cambria Math" w:cs="Arial"/>
                <w:sz w:val="20"/>
                <w:szCs w:val="20"/>
              </w:rPr>
              <m:t>5</m:t>
            </m:r>
          </m:e>
        </m:d>
      </m:oMath>
      <w:r w:rsidRPr="00923E59">
        <w:rPr>
          <w:rFonts w:ascii="Arial" w:hAnsi="Arial" w:cs="Arial"/>
          <w:bCs/>
          <w:i/>
          <w:iCs/>
          <w:sz w:val="20"/>
          <w:szCs w:val="20"/>
        </w:rPr>
        <w:t xml:space="preserve">, de los retornos de los precios de las acciones del </w:t>
      </w:r>
      <w:r>
        <w:rPr>
          <w:rFonts w:ascii="Arial" w:hAnsi="Arial" w:cs="Arial"/>
          <w:bCs/>
          <w:i/>
          <w:iCs/>
          <w:sz w:val="20"/>
          <w:szCs w:val="20"/>
        </w:rPr>
        <w:t>Índice S&amp;P/BVL</w:t>
      </w:r>
      <w:r w:rsidRPr="00923E59">
        <w:rPr>
          <w:rFonts w:ascii="Arial" w:hAnsi="Arial" w:cs="Arial"/>
          <w:bCs/>
          <w:i/>
          <w:iCs/>
          <w:sz w:val="20"/>
          <w:szCs w:val="20"/>
        </w:rPr>
        <w:t>, mediante las metodologías bootstrap y paramétrico para el mes de dic</w:t>
      </w:r>
      <w:r>
        <w:rPr>
          <w:rFonts w:ascii="Arial" w:hAnsi="Arial" w:cs="Arial"/>
          <w:bCs/>
          <w:i/>
          <w:iCs/>
          <w:sz w:val="20"/>
          <w:szCs w:val="20"/>
        </w:rPr>
        <w:t>i</w:t>
      </w:r>
      <w:r w:rsidRPr="00923E59">
        <w:rPr>
          <w:rFonts w:ascii="Arial" w:hAnsi="Arial" w:cs="Arial"/>
          <w:bCs/>
          <w:i/>
          <w:iCs/>
          <w:sz w:val="20"/>
          <w:szCs w:val="20"/>
        </w:rPr>
        <w:t>embre</w:t>
      </w:r>
      <w:r>
        <w:rPr>
          <w:rFonts w:ascii="Arial" w:hAnsi="Arial" w:cs="Arial"/>
          <w:bCs/>
          <w:i/>
          <w:iCs/>
          <w:sz w:val="20"/>
          <w:szCs w:val="20"/>
        </w:rPr>
        <w:t xml:space="preserve"> </w:t>
      </w:r>
      <w:r w:rsidRPr="00923E59">
        <w:rPr>
          <w:rFonts w:ascii="Arial" w:hAnsi="Arial" w:cs="Arial"/>
          <w:i/>
          <w:iCs/>
          <w:sz w:val="20"/>
          <w:szCs w:val="20"/>
        </w:rPr>
        <w:t>del 201</w:t>
      </w:r>
      <w:r>
        <w:rPr>
          <w:rFonts w:ascii="Arial" w:hAnsi="Arial" w:cs="Arial"/>
          <w:i/>
          <w:iCs/>
          <w:sz w:val="20"/>
          <w:szCs w:val="20"/>
        </w:rPr>
        <w:t>9</w:t>
      </w:r>
      <w:r w:rsidRPr="00923E59">
        <w:rPr>
          <w:rFonts w:ascii="Arial" w:hAnsi="Arial" w:cs="Arial"/>
          <w:i/>
          <w:iCs/>
          <w:sz w:val="20"/>
          <w:szCs w:val="20"/>
        </w:rPr>
        <w:t>.</w:t>
      </w:r>
    </w:p>
    <w:p w:rsidR="00B31CE1" w:rsidRDefault="00B31CE1" w:rsidP="00B31CE1">
      <w:pPr>
        <w:spacing w:before="100" w:beforeAutospacing="1" w:after="100" w:afterAutospacing="1"/>
        <w:jc w:val="both"/>
        <w:rPr>
          <w:rFonts w:ascii="Arial" w:hAnsi="Arial" w:cs="Arial"/>
          <w:b/>
          <w:bCs/>
        </w:rPr>
      </w:pPr>
    </w:p>
    <w:p w:rsidR="00B31CE1" w:rsidRPr="0099528E" w:rsidRDefault="00B31CE1" w:rsidP="00B31CE1">
      <w:pPr>
        <w:rPr>
          <w:rFonts w:ascii="Arial" w:hAnsi="Arial" w:cs="Arial"/>
        </w:rPr>
      </w:pPr>
      <w:r>
        <w:rPr>
          <w:noProof/>
          <w:lang w:val="en-US"/>
        </w:rPr>
        <w:drawing>
          <wp:inline distT="0" distB="0" distL="0" distR="0" wp14:anchorId="50E4CFD9" wp14:editId="75069E2E">
            <wp:extent cx="2739600" cy="1908000"/>
            <wp:effectExtent l="0" t="0" r="3810" b="0"/>
            <wp:docPr id="1413571366" name="Imagen 141357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2739600" cy="1908000"/>
                    </a:xfrm>
                    <a:prstGeom prst="rect">
                      <a:avLst/>
                    </a:prstGeom>
                  </pic:spPr>
                </pic:pic>
              </a:graphicData>
            </a:graphic>
          </wp:inline>
        </w:drawing>
      </w:r>
      <w:r w:rsidRPr="00314958">
        <w:rPr>
          <w:noProof/>
        </w:rPr>
        <w:t xml:space="preserve"> </w:t>
      </w:r>
      <w:r>
        <w:rPr>
          <w:noProof/>
          <w:lang w:val="en-US"/>
        </w:rPr>
        <w:drawing>
          <wp:inline distT="0" distB="0" distL="0" distR="0" wp14:anchorId="19EF4F90" wp14:editId="0CCBFCBD">
            <wp:extent cx="2750400" cy="1908000"/>
            <wp:effectExtent l="0" t="0" r="0" b="0"/>
            <wp:docPr id="1413571367" name="Imagen 141357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2750400" cy="1908000"/>
                    </a:xfrm>
                    <a:prstGeom prst="rect">
                      <a:avLst/>
                    </a:prstGeom>
                  </pic:spPr>
                </pic:pic>
              </a:graphicData>
            </a:graphic>
          </wp:inline>
        </w:drawing>
      </w:r>
    </w:p>
    <w:p w:rsidR="00B31CE1" w:rsidRPr="008528B0" w:rsidRDefault="00B31CE1" w:rsidP="00B31CE1">
      <w:pPr>
        <w:ind w:left="2460"/>
        <w:jc w:val="both"/>
        <w:rPr>
          <w:rFonts w:ascii="Arial" w:hAnsi="Arial" w:cs="Arial"/>
          <w:sz w:val="20"/>
          <w:szCs w:val="20"/>
        </w:rPr>
      </w:pPr>
      <w:r w:rsidRPr="008528B0">
        <w:rPr>
          <w:rFonts w:ascii="Arial" w:hAnsi="Arial" w:cs="Arial"/>
          <w:sz w:val="20"/>
          <w:szCs w:val="20"/>
        </w:rPr>
        <w:t xml:space="preserve">(a)                                                            </w:t>
      </w:r>
      <w:r>
        <w:rPr>
          <w:rFonts w:ascii="Arial" w:hAnsi="Arial" w:cs="Arial"/>
          <w:sz w:val="20"/>
          <w:szCs w:val="20"/>
        </w:rPr>
        <w:t xml:space="preserve">           </w:t>
      </w:r>
      <w:r w:rsidRPr="008528B0">
        <w:rPr>
          <w:rFonts w:ascii="Arial" w:hAnsi="Arial" w:cs="Arial"/>
          <w:sz w:val="20"/>
          <w:szCs w:val="20"/>
        </w:rPr>
        <w:t xml:space="preserve">   (b)</w:t>
      </w:r>
    </w:p>
    <w:p w:rsidR="00B31CE1" w:rsidRPr="00034429" w:rsidRDefault="00B31CE1" w:rsidP="00B31CE1">
      <w:pPr>
        <w:jc w:val="both"/>
        <w:rPr>
          <w:rFonts w:ascii="Arial" w:hAnsi="Arial" w:cs="Arial"/>
          <w:bCs/>
          <w:i/>
          <w:iCs/>
          <w:sz w:val="20"/>
          <w:szCs w:val="20"/>
        </w:rPr>
      </w:pPr>
      <w:r w:rsidRPr="00034429">
        <w:rPr>
          <w:rFonts w:ascii="Arial" w:hAnsi="Arial" w:cs="Arial"/>
          <w:bCs/>
          <w:i/>
          <w:iCs/>
          <w:sz w:val="20"/>
          <w:szCs w:val="20"/>
        </w:rPr>
        <w:t>Figura 4: Intervalos de predicción al nivel de confianza del 90% (a) y 95% (b) del modelo ARMA(1,</w:t>
      </w:r>
      <w:r>
        <w:rPr>
          <w:rFonts w:ascii="Arial" w:hAnsi="Arial" w:cs="Arial"/>
          <w:bCs/>
          <w:i/>
          <w:iCs/>
          <w:sz w:val="20"/>
          <w:szCs w:val="20"/>
        </w:rPr>
        <w:t>0</w:t>
      </w:r>
      <w:r w:rsidRPr="00034429">
        <w:rPr>
          <w:rFonts w:ascii="Arial" w:hAnsi="Arial" w:cs="Arial"/>
          <w:bCs/>
          <w:i/>
          <w:iCs/>
          <w:sz w:val="20"/>
          <w:szCs w:val="20"/>
        </w:rPr>
        <w:t>)-EGARCH(1,1) con</w:t>
      </w:r>
      <w:r>
        <w:rPr>
          <w:rFonts w:ascii="Arial" w:hAnsi="Arial" w:cs="Arial"/>
          <w:bCs/>
          <w:i/>
          <w:iCs/>
          <w:sz w:val="20"/>
          <w:szCs w:val="20"/>
        </w:rPr>
        <w:t xml:space="preserve"> </w:t>
      </w:r>
      <m:oMath>
        <m:sSub>
          <m:sSubPr>
            <m:ctrlPr>
              <w:rPr>
                <w:rFonts w:ascii="Cambria Math" w:hAnsi="Cambria Math" w:cs="Arial"/>
                <w:bCs/>
                <w:i/>
                <w:iCs/>
                <w:sz w:val="20"/>
                <w:szCs w:val="20"/>
              </w:rPr>
            </m:ctrlPr>
          </m:sSubPr>
          <m:e>
            <m:r>
              <w:rPr>
                <w:rFonts w:ascii="Cambria Math" w:hAnsi="Cambria Math" w:cs="Arial"/>
                <w:sz w:val="20"/>
                <w:szCs w:val="20"/>
              </w:rPr>
              <m:t>ε</m:t>
            </m:r>
          </m:e>
          <m:sub>
            <m:r>
              <w:rPr>
                <w:rFonts w:ascii="Cambria Math" w:hAnsi="Cambria Math" w:cs="Arial"/>
                <w:sz w:val="20"/>
                <w:szCs w:val="20"/>
              </w:rPr>
              <m:t>t</m:t>
            </m:r>
          </m:sub>
        </m:sSub>
        <m:r>
          <w:rPr>
            <w:rFonts w:ascii="Cambria Math" w:hAnsi="Cambria Math" w:cs="Arial"/>
            <w:sz w:val="20"/>
            <w:szCs w:val="20"/>
          </w:rPr>
          <m:t>~N(0,1)</m:t>
        </m:r>
      </m:oMath>
      <w:r w:rsidRPr="00923E59">
        <w:rPr>
          <w:rFonts w:ascii="Arial" w:hAnsi="Arial" w:cs="Arial"/>
          <w:i/>
          <w:iCs/>
          <w:sz w:val="20"/>
          <w:szCs w:val="20"/>
        </w:rPr>
        <w:t xml:space="preserve"> y </w:t>
      </w:r>
      <m:oMath>
        <m:sSub>
          <m:sSubPr>
            <m:ctrlPr>
              <w:rPr>
                <w:rFonts w:ascii="Cambria Math" w:hAnsi="Cambria Math" w:cs="Arial"/>
                <w:i/>
                <w:iCs/>
                <w:sz w:val="20"/>
                <w:szCs w:val="20"/>
              </w:rPr>
            </m:ctrlPr>
          </m:sSubPr>
          <m:e>
            <m:r>
              <w:rPr>
                <w:rFonts w:ascii="Cambria Math" w:hAnsi="Cambria Math" w:cs="Arial"/>
                <w:sz w:val="20"/>
                <w:szCs w:val="20"/>
              </w:rPr>
              <m:t>ε</m:t>
            </m:r>
          </m:e>
          <m:sub>
            <m:r>
              <w:rPr>
                <w:rFonts w:ascii="Cambria Math" w:hAnsi="Cambria Math" w:cs="Arial"/>
                <w:sz w:val="20"/>
                <w:szCs w:val="20"/>
              </w:rPr>
              <m:t>t</m:t>
            </m:r>
          </m:sub>
        </m:sSub>
        <m:r>
          <w:rPr>
            <w:rFonts w:ascii="Cambria Math" w:hAnsi="Cambria Math" w:cs="Arial"/>
            <w:sz w:val="20"/>
            <w:szCs w:val="20"/>
          </w:rPr>
          <m:t>~t</m:t>
        </m:r>
        <m:d>
          <m:dPr>
            <m:ctrlPr>
              <w:rPr>
                <w:rFonts w:ascii="Cambria Math" w:hAnsi="Cambria Math" w:cs="Arial"/>
                <w:i/>
                <w:iCs/>
                <w:sz w:val="20"/>
                <w:szCs w:val="20"/>
              </w:rPr>
            </m:ctrlPr>
          </m:dPr>
          <m:e>
            <m:r>
              <w:rPr>
                <w:rFonts w:ascii="Cambria Math" w:hAnsi="Cambria Math" w:cs="Arial"/>
                <w:sz w:val="20"/>
                <w:szCs w:val="20"/>
              </w:rPr>
              <m:t>5</m:t>
            </m:r>
          </m:e>
        </m:d>
      </m:oMath>
      <w:r w:rsidRPr="00923E59">
        <w:rPr>
          <w:rFonts w:ascii="Arial" w:hAnsi="Arial" w:cs="Arial"/>
          <w:bCs/>
          <w:i/>
          <w:iCs/>
          <w:sz w:val="20"/>
          <w:szCs w:val="20"/>
        </w:rPr>
        <w:t>,</w:t>
      </w:r>
      <w:r w:rsidRPr="00034429">
        <w:rPr>
          <w:rFonts w:ascii="Arial" w:hAnsi="Arial" w:cs="Arial"/>
          <w:bCs/>
          <w:i/>
          <w:iCs/>
          <w:sz w:val="20"/>
          <w:szCs w:val="20"/>
        </w:rPr>
        <w:t xml:space="preserve"> de</w:t>
      </w:r>
      <w:r>
        <w:rPr>
          <w:rFonts w:ascii="Arial" w:hAnsi="Arial" w:cs="Arial"/>
          <w:bCs/>
          <w:i/>
          <w:iCs/>
          <w:sz w:val="20"/>
          <w:szCs w:val="20"/>
        </w:rPr>
        <w:t xml:space="preserve"> las volatilidades de</w:t>
      </w:r>
      <w:r w:rsidRPr="00034429">
        <w:rPr>
          <w:rFonts w:ascii="Arial" w:hAnsi="Arial" w:cs="Arial"/>
          <w:bCs/>
          <w:i/>
          <w:iCs/>
          <w:sz w:val="20"/>
          <w:szCs w:val="20"/>
        </w:rPr>
        <w:t xml:space="preserve"> los retornos de los precios de las acciones del </w:t>
      </w:r>
      <w:r>
        <w:rPr>
          <w:rFonts w:ascii="Arial" w:hAnsi="Arial" w:cs="Arial"/>
          <w:bCs/>
          <w:i/>
          <w:iCs/>
          <w:sz w:val="20"/>
          <w:szCs w:val="20"/>
        </w:rPr>
        <w:t>Índice S&amp;P/BVL</w:t>
      </w:r>
      <w:r w:rsidRPr="00034429">
        <w:rPr>
          <w:rFonts w:ascii="Arial" w:hAnsi="Arial" w:cs="Arial"/>
          <w:bCs/>
          <w:i/>
          <w:iCs/>
          <w:sz w:val="20"/>
          <w:szCs w:val="20"/>
        </w:rPr>
        <w:t>, mediante las metodologías bootstrap y paramétrico para el mes de dicembre del 201</w:t>
      </w:r>
      <w:r>
        <w:rPr>
          <w:rFonts w:ascii="Arial" w:hAnsi="Arial" w:cs="Arial"/>
          <w:bCs/>
          <w:i/>
          <w:iCs/>
          <w:sz w:val="20"/>
          <w:szCs w:val="20"/>
        </w:rPr>
        <w:t>9</w:t>
      </w:r>
      <w:r w:rsidRPr="00034429">
        <w:rPr>
          <w:rFonts w:ascii="Arial" w:hAnsi="Arial" w:cs="Arial"/>
          <w:bCs/>
          <w:i/>
          <w:iCs/>
          <w:sz w:val="20"/>
          <w:szCs w:val="20"/>
        </w:rPr>
        <w:t>.</w:t>
      </w:r>
    </w:p>
    <w:p w:rsidR="00B31CE1" w:rsidRDefault="00B31CE1" w:rsidP="00BB51D0">
      <w:pPr>
        <w:pStyle w:val="1Titulo"/>
        <w:numPr>
          <w:ilvl w:val="0"/>
          <w:numId w:val="0"/>
        </w:numPr>
        <w:ind w:left="357"/>
      </w:pPr>
      <w:bookmarkStart w:id="126" w:name="_Toc50031239"/>
      <w:r>
        <w:t>4.   Conclusiones</w:t>
      </w:r>
      <w:bookmarkEnd w:id="126"/>
    </w:p>
    <w:p w:rsidR="00B31CE1" w:rsidRPr="0099528E" w:rsidRDefault="00B31CE1" w:rsidP="00B31CE1">
      <w:pPr>
        <w:spacing w:before="240" w:after="240"/>
        <w:jc w:val="both"/>
        <w:rPr>
          <w:rFonts w:ascii="Arial" w:hAnsi="Arial" w:cs="Arial"/>
        </w:rPr>
      </w:pPr>
      <w:r w:rsidRPr="0099528E">
        <w:rPr>
          <w:rFonts w:ascii="Arial" w:hAnsi="Arial" w:cs="Arial"/>
        </w:rPr>
        <w:t xml:space="preserve">El orden de los modelos de predicción que se ajustan adecuadamente a los retornos diarios de los precios del </w:t>
      </w:r>
      <w:r>
        <w:rPr>
          <w:rFonts w:ascii="Arial" w:hAnsi="Arial" w:cs="Arial"/>
        </w:rPr>
        <w:t>Índice S&amp;P/BVL</w:t>
      </w:r>
      <w:r w:rsidRPr="0099528E">
        <w:rPr>
          <w:rFonts w:ascii="Arial" w:hAnsi="Arial" w:cs="Arial"/>
        </w:rPr>
        <w:t xml:space="preserve"> fu</w:t>
      </w:r>
      <w:r>
        <w:rPr>
          <w:rFonts w:ascii="Arial" w:hAnsi="Arial" w:cs="Arial"/>
        </w:rPr>
        <w:t>e el modelo</w:t>
      </w:r>
      <w:r w:rsidRPr="0099528E">
        <w:rPr>
          <w:rFonts w:ascii="Arial" w:hAnsi="Arial" w:cs="Arial"/>
        </w:rPr>
        <w:t xml:space="preserve"> ARMA(</w:t>
      </w:r>
      <w:r>
        <w:rPr>
          <w:rFonts w:ascii="Arial" w:hAnsi="Arial" w:cs="Arial"/>
        </w:rPr>
        <w:t>1</w:t>
      </w:r>
      <w:r w:rsidRPr="0099528E">
        <w:rPr>
          <w:rFonts w:ascii="Arial" w:hAnsi="Arial" w:cs="Arial"/>
        </w:rPr>
        <w:t>,</w:t>
      </w:r>
      <w:r>
        <w:rPr>
          <w:rFonts w:ascii="Arial" w:hAnsi="Arial" w:cs="Arial"/>
        </w:rPr>
        <w:t>0</w:t>
      </w:r>
      <w:r w:rsidRPr="0099528E">
        <w:rPr>
          <w:rFonts w:ascii="Arial" w:hAnsi="Arial" w:cs="Arial"/>
        </w:rPr>
        <w:t>)-</w:t>
      </w:r>
      <w:r>
        <w:rPr>
          <w:rFonts w:ascii="Arial" w:hAnsi="Arial" w:cs="Arial"/>
        </w:rPr>
        <w:t>E</w:t>
      </w:r>
      <w:r w:rsidRPr="0099528E">
        <w:rPr>
          <w:rFonts w:ascii="Arial" w:hAnsi="Arial" w:cs="Arial"/>
        </w:rPr>
        <w:t>GARCH(1,1), Obteniendo mejores resultados con el supuesto de distribución de tipo t-student con 5 grados de libertad de los residuales en cada modelo.</w:t>
      </w:r>
    </w:p>
    <w:p w:rsidR="00B31CE1" w:rsidRPr="0099528E" w:rsidRDefault="00B31CE1" w:rsidP="00B31CE1">
      <w:pPr>
        <w:spacing w:before="240" w:after="240"/>
        <w:jc w:val="both"/>
        <w:rPr>
          <w:rFonts w:ascii="Arial" w:hAnsi="Arial" w:cs="Arial"/>
        </w:rPr>
      </w:pPr>
      <w:r w:rsidRPr="0099528E">
        <w:rPr>
          <w:rFonts w:ascii="Arial" w:hAnsi="Arial" w:cs="Arial"/>
        </w:rPr>
        <w:t>Comparando sus coberturas de intervalos de predicción, se obtuvieron que los intervalos de predicción con niveles de confianza del 90% y 95% de los modelos para los retornos con residuales normales estándar y t-student con 5 grados de libertad, mediante las metodologías bootstrap no difieren sustancialmente de la metodología paramétrica. Son adecuadas en el sentido que presentaron un conjunto de valores entorno a sus verdaderos valores.</w:t>
      </w:r>
    </w:p>
    <w:p w:rsidR="00B31CE1" w:rsidRPr="0099528E" w:rsidRDefault="00B31CE1" w:rsidP="00B31CE1">
      <w:pPr>
        <w:spacing w:before="240" w:after="240"/>
        <w:jc w:val="both"/>
        <w:rPr>
          <w:rFonts w:ascii="Arial" w:hAnsi="Arial" w:cs="Arial"/>
        </w:rPr>
      </w:pPr>
      <w:r w:rsidRPr="0099528E">
        <w:rPr>
          <w:rFonts w:ascii="Arial" w:hAnsi="Arial" w:cs="Arial"/>
        </w:rPr>
        <w:t>Comparando sus amplitudes en intervalos de predicción para los retornos con niveles de confianza del 90%y 95%, se determinaron que los intervalos mediante la metodología bootstrap se desempeñan adecuadamente, obteniendo intervalos de predicción de amplitudes mayores en algunos horizontes respecto a los intervalos paramétricos. De esta manera estableciendo una alternativa para el cálculo de los intervalos de predicción para los retornos del</w:t>
      </w:r>
      <w:r>
        <w:rPr>
          <w:rFonts w:ascii="Arial" w:hAnsi="Arial" w:cs="Arial"/>
        </w:rPr>
        <w:t xml:space="preserve"> Índice S&amp;P/BVL</w:t>
      </w:r>
      <w:r w:rsidRPr="0099528E">
        <w:rPr>
          <w:rFonts w:ascii="Arial" w:hAnsi="Arial" w:cs="Arial"/>
        </w:rPr>
        <w:t>.</w:t>
      </w:r>
    </w:p>
    <w:p w:rsidR="00B31CE1" w:rsidRPr="0099528E" w:rsidRDefault="00B31CE1" w:rsidP="00B31CE1">
      <w:pPr>
        <w:spacing w:before="240" w:after="240"/>
        <w:jc w:val="both"/>
        <w:rPr>
          <w:rFonts w:ascii="Arial" w:hAnsi="Arial" w:cs="Arial"/>
        </w:rPr>
      </w:pPr>
      <w:r w:rsidRPr="0099528E">
        <w:rPr>
          <w:rFonts w:ascii="Arial" w:hAnsi="Arial" w:cs="Arial"/>
        </w:rPr>
        <w:t xml:space="preserve">Considerando que no existe un método paramétrico para el cálculo de intervalos de predicción para las volatilidades de los retornos. Los intervalos de predicción mediante la metodología bootstrap para las volatilidades de los retornos presentaron comportamientos satisfactorios, </w:t>
      </w:r>
      <w:r>
        <w:rPr>
          <w:rFonts w:ascii="Arial" w:hAnsi="Arial" w:cs="Arial"/>
        </w:rPr>
        <w:t xml:space="preserve">con respecto a que </w:t>
      </w:r>
      <w:r w:rsidRPr="0099528E">
        <w:rPr>
          <w:rFonts w:ascii="Arial" w:hAnsi="Arial" w:cs="Arial"/>
        </w:rPr>
        <w:lastRenderedPageBreak/>
        <w:t xml:space="preserve">presentaron sus valores reales de las volatilidades de los retornos dentro de los márgenes de confianza. </w:t>
      </w:r>
    </w:p>
    <w:p w:rsidR="00B31CE1" w:rsidRPr="0099528E" w:rsidRDefault="00BB51D0" w:rsidP="00BB51D0">
      <w:pPr>
        <w:pStyle w:val="1Titulo"/>
        <w:numPr>
          <w:ilvl w:val="0"/>
          <w:numId w:val="0"/>
        </w:numPr>
        <w:ind w:left="644"/>
      </w:pPr>
      <w:bookmarkStart w:id="127" w:name="_Toc50031240"/>
      <w:r>
        <w:t xml:space="preserve">5. </w:t>
      </w:r>
      <w:r w:rsidR="00B31CE1">
        <w:t>Bibliografía</w:t>
      </w:r>
      <w:bookmarkEnd w:id="127"/>
    </w:p>
    <w:p w:rsidR="00B31CE1" w:rsidRPr="00FB7603" w:rsidRDefault="00B31CE1" w:rsidP="00133D30">
      <w:pPr>
        <w:pStyle w:val="Prrafodelista"/>
        <w:numPr>
          <w:ilvl w:val="0"/>
          <w:numId w:val="34"/>
        </w:numPr>
        <w:autoSpaceDE w:val="0"/>
        <w:autoSpaceDN w:val="0"/>
        <w:adjustRightInd w:val="0"/>
        <w:spacing w:before="100" w:beforeAutospacing="1" w:after="100" w:afterAutospacing="1" w:line="259" w:lineRule="auto"/>
        <w:ind w:left="709" w:hanging="425"/>
        <w:jc w:val="both"/>
        <w:rPr>
          <w:rFonts w:ascii="Arial" w:hAnsi="Arial" w:cs="Arial"/>
          <w:lang w:val="en-US"/>
        </w:rPr>
      </w:pPr>
      <w:r w:rsidRPr="00B31CE1">
        <w:rPr>
          <w:rFonts w:ascii="Arial" w:hAnsi="Arial" w:cs="Arial"/>
          <w:lang w:val="en-US"/>
        </w:rPr>
        <w:t xml:space="preserve">Pascual, L., Romo, J. y Ruiz, E., </w:t>
      </w:r>
      <w:r w:rsidRPr="00FB7603">
        <w:rPr>
          <w:rFonts w:ascii="Arial" w:hAnsi="Arial" w:cs="Arial"/>
          <w:lang w:val="en-US"/>
        </w:rPr>
        <w:t>Bootstrap prediction for return and volatili</w:t>
      </w:r>
      <w:r>
        <w:rPr>
          <w:rFonts w:ascii="Arial" w:hAnsi="Arial" w:cs="Arial"/>
          <w:lang w:val="en-US"/>
        </w:rPr>
        <w:t>ti</w:t>
      </w:r>
      <w:r w:rsidRPr="00FB7603">
        <w:rPr>
          <w:rFonts w:ascii="Arial" w:hAnsi="Arial" w:cs="Arial"/>
          <w:lang w:val="en-US"/>
        </w:rPr>
        <w:t>es in garch models. Computational Statistics and Data Analysis, 50(9), 2293-2312</w:t>
      </w:r>
      <w:r>
        <w:rPr>
          <w:rFonts w:ascii="Arial" w:hAnsi="Arial" w:cs="Arial"/>
          <w:lang w:val="en-US"/>
        </w:rPr>
        <w:t xml:space="preserve"> (2006).</w:t>
      </w:r>
    </w:p>
    <w:p w:rsidR="00B31CE1" w:rsidRPr="00FB7603" w:rsidRDefault="00B31CE1" w:rsidP="00133D30">
      <w:pPr>
        <w:pStyle w:val="Prrafodelista"/>
        <w:numPr>
          <w:ilvl w:val="0"/>
          <w:numId w:val="34"/>
        </w:numPr>
        <w:spacing w:before="100" w:beforeAutospacing="1" w:after="100" w:afterAutospacing="1" w:line="259" w:lineRule="auto"/>
        <w:ind w:left="709" w:hanging="425"/>
        <w:rPr>
          <w:rFonts w:ascii="Arial" w:hAnsi="Arial" w:cs="Arial"/>
        </w:rPr>
      </w:pPr>
      <w:r w:rsidRPr="00FB7603">
        <w:rPr>
          <w:rFonts w:ascii="Arial" w:hAnsi="Arial" w:cs="Arial"/>
        </w:rPr>
        <w:t>Horacio F.</w:t>
      </w:r>
      <w:r>
        <w:rPr>
          <w:rFonts w:ascii="Arial" w:hAnsi="Arial" w:cs="Arial"/>
        </w:rPr>
        <w:t>,</w:t>
      </w:r>
      <w:r w:rsidRPr="00FB7603">
        <w:rPr>
          <w:rFonts w:ascii="Arial" w:hAnsi="Arial" w:cs="Arial"/>
        </w:rPr>
        <w:t xml:space="preserve"> Egarch: un modelo asimétrico para estimar la volatilidad de series financieras. Revista Ingenierías Universidad de Medellín, 9, 49-60</w:t>
      </w:r>
      <w:r>
        <w:rPr>
          <w:rFonts w:ascii="Arial" w:hAnsi="Arial" w:cs="Arial"/>
        </w:rPr>
        <w:t xml:space="preserve"> (2009)</w:t>
      </w:r>
    </w:p>
    <w:p w:rsidR="00B31CE1" w:rsidRPr="00B31CE1" w:rsidRDefault="00B31CE1" w:rsidP="00133D30">
      <w:pPr>
        <w:pStyle w:val="Prrafodelista"/>
        <w:numPr>
          <w:ilvl w:val="0"/>
          <w:numId w:val="34"/>
        </w:numPr>
        <w:autoSpaceDE w:val="0"/>
        <w:autoSpaceDN w:val="0"/>
        <w:adjustRightInd w:val="0"/>
        <w:spacing w:before="100" w:beforeAutospacing="1" w:after="100" w:afterAutospacing="1" w:line="259" w:lineRule="auto"/>
        <w:ind w:left="709" w:hanging="425"/>
        <w:jc w:val="both"/>
        <w:rPr>
          <w:rFonts w:ascii="Arial" w:hAnsi="Arial" w:cs="Arial"/>
          <w:iCs/>
          <w:lang w:val="en-US"/>
        </w:rPr>
      </w:pPr>
      <w:r w:rsidRPr="00B31CE1">
        <w:rPr>
          <w:rFonts w:ascii="Arial" w:hAnsi="Arial" w:cs="Arial"/>
          <w:lang w:val="en-US"/>
        </w:rPr>
        <w:t>Efron, B. y Tibshirani, R., “</w:t>
      </w:r>
      <w:r w:rsidRPr="00FB7603">
        <w:rPr>
          <w:rFonts w:ascii="Arial" w:hAnsi="Arial" w:cs="Arial"/>
          <w:lang w:val="en-US"/>
        </w:rPr>
        <w:t>An introduction to the bootstrap</w:t>
      </w:r>
      <w:r>
        <w:rPr>
          <w:rFonts w:ascii="Arial" w:hAnsi="Arial" w:cs="Arial"/>
          <w:lang w:val="en-US"/>
        </w:rPr>
        <w:t>”</w:t>
      </w:r>
      <w:r w:rsidRPr="00FB7603">
        <w:rPr>
          <w:rFonts w:ascii="Arial" w:hAnsi="Arial" w:cs="Arial"/>
          <w:lang w:val="en-US"/>
        </w:rPr>
        <w:t xml:space="preserve">. </w:t>
      </w:r>
      <w:r w:rsidRPr="00B31CE1">
        <w:rPr>
          <w:rFonts w:ascii="Arial" w:hAnsi="Arial" w:cs="Arial"/>
          <w:lang w:val="en-US"/>
        </w:rPr>
        <w:t>New York, Chapman and Hall, 1993.</w:t>
      </w:r>
    </w:p>
    <w:p w:rsidR="00B31CE1" w:rsidRPr="00FB7603" w:rsidRDefault="00B31CE1" w:rsidP="00133D30">
      <w:pPr>
        <w:pStyle w:val="Prrafodelista"/>
        <w:numPr>
          <w:ilvl w:val="0"/>
          <w:numId w:val="34"/>
        </w:numPr>
        <w:autoSpaceDE w:val="0"/>
        <w:autoSpaceDN w:val="0"/>
        <w:adjustRightInd w:val="0"/>
        <w:spacing w:before="100" w:beforeAutospacing="1" w:after="100" w:afterAutospacing="1" w:line="259" w:lineRule="auto"/>
        <w:ind w:left="709" w:hanging="425"/>
        <w:jc w:val="both"/>
        <w:rPr>
          <w:rFonts w:ascii="Arial" w:hAnsi="Arial" w:cs="Arial"/>
          <w:lang w:val="pt-BR"/>
        </w:rPr>
      </w:pPr>
      <w:r w:rsidRPr="00FB7603">
        <w:rPr>
          <w:rFonts w:ascii="Arial" w:hAnsi="Arial" w:cs="Arial"/>
          <w:lang w:val="en-US"/>
        </w:rPr>
        <w:t>Bollerslev, T.</w:t>
      </w:r>
      <w:r>
        <w:rPr>
          <w:rFonts w:ascii="Arial" w:hAnsi="Arial" w:cs="Arial"/>
          <w:lang w:val="en-US"/>
        </w:rPr>
        <w:t xml:space="preserve">, </w:t>
      </w:r>
      <w:r w:rsidRPr="00FB7603">
        <w:rPr>
          <w:rFonts w:ascii="Arial" w:hAnsi="Arial" w:cs="Arial"/>
          <w:lang w:val="en-US"/>
        </w:rPr>
        <w:t xml:space="preserve">Generalized autoregressive conditional heteroskedasticity. </w:t>
      </w:r>
      <w:r w:rsidRPr="00FB7603">
        <w:rPr>
          <w:rFonts w:ascii="Arial" w:hAnsi="Arial" w:cs="Arial"/>
          <w:lang w:val="pt-BR"/>
        </w:rPr>
        <w:t>Journal of Econometrics, 31, 307-327</w:t>
      </w:r>
      <w:r>
        <w:rPr>
          <w:rFonts w:ascii="Arial" w:hAnsi="Arial" w:cs="Arial"/>
          <w:lang w:val="pt-BR"/>
        </w:rPr>
        <w:t xml:space="preserve"> (1986).</w:t>
      </w:r>
    </w:p>
    <w:p w:rsidR="00B31CE1" w:rsidRPr="00FB7603" w:rsidRDefault="00B31CE1" w:rsidP="00133D30">
      <w:pPr>
        <w:pStyle w:val="Prrafodelista"/>
        <w:numPr>
          <w:ilvl w:val="0"/>
          <w:numId w:val="34"/>
        </w:numPr>
        <w:spacing w:before="100" w:beforeAutospacing="1" w:after="100" w:afterAutospacing="1" w:line="259" w:lineRule="auto"/>
        <w:ind w:left="709" w:hanging="425"/>
        <w:jc w:val="both"/>
        <w:rPr>
          <w:rFonts w:ascii="Arial" w:hAnsi="Arial" w:cs="Arial"/>
          <w:lang w:val="pt-BR"/>
        </w:rPr>
      </w:pPr>
      <w:r w:rsidRPr="00B31CE1">
        <w:rPr>
          <w:rFonts w:ascii="Arial" w:hAnsi="Arial" w:cs="Arial"/>
          <w:lang w:val="es-MX"/>
        </w:rPr>
        <w:t>Morettin, P. A. y Toloi, C. M., “</w:t>
      </w:r>
      <w:r w:rsidRPr="00FB7603">
        <w:rPr>
          <w:rFonts w:ascii="Arial" w:hAnsi="Arial" w:cs="Arial"/>
          <w:lang w:val="pt-BR"/>
        </w:rPr>
        <w:t>Análise de séries temporais</w:t>
      </w:r>
      <w:r>
        <w:rPr>
          <w:rFonts w:ascii="Arial" w:hAnsi="Arial" w:cs="Arial"/>
          <w:lang w:val="pt-BR"/>
        </w:rPr>
        <w:t>”</w:t>
      </w:r>
      <w:r w:rsidRPr="00FB7603">
        <w:rPr>
          <w:rFonts w:ascii="Arial" w:hAnsi="Arial" w:cs="Arial"/>
          <w:lang w:val="pt-BR"/>
        </w:rPr>
        <w:t>. São Paulo, Brasil: Bloucher</w:t>
      </w:r>
      <w:r>
        <w:rPr>
          <w:rFonts w:ascii="Arial" w:hAnsi="Arial" w:cs="Arial"/>
          <w:lang w:val="pt-BR"/>
        </w:rPr>
        <w:t>, 2011.</w:t>
      </w:r>
    </w:p>
    <w:p w:rsidR="00B31CE1" w:rsidRPr="00FB7603" w:rsidRDefault="00B31CE1" w:rsidP="00133D30">
      <w:pPr>
        <w:pStyle w:val="Prrafodelista"/>
        <w:numPr>
          <w:ilvl w:val="0"/>
          <w:numId w:val="34"/>
        </w:numPr>
        <w:autoSpaceDE w:val="0"/>
        <w:autoSpaceDN w:val="0"/>
        <w:adjustRightInd w:val="0"/>
        <w:spacing w:before="100" w:beforeAutospacing="1" w:after="100" w:afterAutospacing="1" w:line="259" w:lineRule="auto"/>
        <w:ind w:left="709" w:hanging="425"/>
        <w:jc w:val="both"/>
        <w:rPr>
          <w:rFonts w:ascii="Arial" w:hAnsi="Arial" w:cs="Arial"/>
          <w:lang w:val="en-US"/>
        </w:rPr>
      </w:pPr>
      <w:r w:rsidRPr="00FB7603">
        <w:rPr>
          <w:rFonts w:ascii="Arial" w:hAnsi="Arial" w:cs="Arial"/>
          <w:lang w:val="en-US"/>
        </w:rPr>
        <w:t>Kosapattarapim, C.</w:t>
      </w:r>
      <w:r>
        <w:rPr>
          <w:rFonts w:ascii="Arial" w:hAnsi="Arial" w:cs="Arial"/>
          <w:lang w:val="en-US"/>
        </w:rPr>
        <w:t xml:space="preserve">, </w:t>
      </w:r>
      <w:r w:rsidRPr="00FB7603">
        <w:rPr>
          <w:rFonts w:ascii="Arial" w:hAnsi="Arial" w:cs="Arial"/>
          <w:lang w:val="en-US"/>
        </w:rPr>
        <w:t>Improving volatility forescasting of garch models: applications to daily returns in emerging stock markets. Doc. Ph. School of Mathematics and Applied Statistics, University of Wollongong</w:t>
      </w:r>
      <w:r>
        <w:rPr>
          <w:rFonts w:ascii="Arial" w:hAnsi="Arial" w:cs="Arial"/>
          <w:lang w:val="en-US"/>
        </w:rPr>
        <w:t>, 2013</w:t>
      </w:r>
    </w:p>
    <w:p w:rsidR="00B31CE1" w:rsidRPr="00FB7603" w:rsidRDefault="00B31CE1" w:rsidP="00133D30">
      <w:pPr>
        <w:pStyle w:val="Prrafodelista"/>
        <w:numPr>
          <w:ilvl w:val="0"/>
          <w:numId w:val="34"/>
        </w:numPr>
        <w:autoSpaceDE w:val="0"/>
        <w:autoSpaceDN w:val="0"/>
        <w:adjustRightInd w:val="0"/>
        <w:spacing w:before="100" w:beforeAutospacing="1" w:after="100" w:afterAutospacing="1" w:line="259" w:lineRule="auto"/>
        <w:ind w:left="709" w:hanging="425"/>
        <w:jc w:val="both"/>
        <w:rPr>
          <w:rFonts w:ascii="Arial" w:hAnsi="Arial" w:cs="Arial"/>
          <w:iCs/>
        </w:rPr>
      </w:pPr>
      <w:r w:rsidRPr="00FB7603">
        <w:rPr>
          <w:rFonts w:ascii="Arial" w:hAnsi="Arial" w:cs="Arial"/>
          <w:iCs/>
        </w:rPr>
        <w:t xml:space="preserve">Bolsa de Valores de Lima. Disponible en:  </w:t>
      </w:r>
      <w:hyperlink r:id="rId560" w:history="1">
        <w:r w:rsidRPr="00FB7603">
          <w:rPr>
            <w:rStyle w:val="Hipervnculo"/>
            <w:rFonts w:ascii="Arial" w:hAnsi="Arial" w:cs="Arial"/>
            <w:iCs/>
          </w:rPr>
          <w:t>http://www.bvl.com.pe/</w:t>
        </w:r>
      </w:hyperlink>
    </w:p>
    <w:p w:rsidR="00B31CE1" w:rsidRPr="00FB7603" w:rsidRDefault="00B31CE1" w:rsidP="00133D30">
      <w:pPr>
        <w:pStyle w:val="Prrafodelista"/>
        <w:numPr>
          <w:ilvl w:val="0"/>
          <w:numId w:val="34"/>
        </w:numPr>
        <w:autoSpaceDE w:val="0"/>
        <w:autoSpaceDN w:val="0"/>
        <w:adjustRightInd w:val="0"/>
        <w:spacing w:before="100" w:beforeAutospacing="1" w:after="100" w:afterAutospacing="1" w:line="259" w:lineRule="auto"/>
        <w:ind w:left="709" w:hanging="425"/>
        <w:jc w:val="both"/>
        <w:rPr>
          <w:rFonts w:ascii="Arial" w:hAnsi="Arial" w:cs="Arial"/>
          <w:lang w:val="en-US"/>
        </w:rPr>
      </w:pPr>
      <w:r w:rsidRPr="00B31CE1">
        <w:rPr>
          <w:rFonts w:ascii="Arial" w:hAnsi="Arial" w:cs="Arial"/>
          <w:lang w:val="en-US"/>
        </w:rPr>
        <w:t>Box, G. y Jenkins, G., “</w:t>
      </w:r>
      <w:r w:rsidRPr="00FB7603">
        <w:rPr>
          <w:rFonts w:ascii="Arial" w:hAnsi="Arial" w:cs="Arial"/>
          <w:lang w:val="en-US"/>
        </w:rPr>
        <w:t>Time series analysis: Forecasting and control</w:t>
      </w:r>
      <w:r>
        <w:rPr>
          <w:rFonts w:ascii="Arial" w:hAnsi="Arial" w:cs="Arial"/>
          <w:lang w:val="en-US"/>
        </w:rPr>
        <w:t>”</w:t>
      </w:r>
      <w:r w:rsidRPr="00FB7603">
        <w:rPr>
          <w:rFonts w:ascii="Arial" w:hAnsi="Arial" w:cs="Arial"/>
          <w:lang w:val="en-US"/>
        </w:rPr>
        <w:t>. San Francisco: Holden-Day</w:t>
      </w:r>
      <w:r>
        <w:rPr>
          <w:rFonts w:ascii="Arial" w:hAnsi="Arial" w:cs="Arial"/>
          <w:lang w:val="en-US"/>
        </w:rPr>
        <w:t>, 1970.</w:t>
      </w:r>
    </w:p>
    <w:p w:rsidR="00B31CE1" w:rsidRPr="00A84562" w:rsidRDefault="00B31CE1" w:rsidP="00B31CE1">
      <w:pPr>
        <w:autoSpaceDE w:val="0"/>
        <w:autoSpaceDN w:val="0"/>
        <w:adjustRightInd w:val="0"/>
        <w:spacing w:before="100" w:beforeAutospacing="1" w:after="100" w:afterAutospacing="1"/>
        <w:jc w:val="both"/>
        <w:rPr>
          <w:rFonts w:ascii="Arial" w:hAnsi="Arial" w:cs="Arial"/>
          <w:iCs/>
          <w:lang w:val="en-US"/>
        </w:rPr>
      </w:pPr>
    </w:p>
    <w:p w:rsidR="00E94344" w:rsidRPr="00E94344" w:rsidRDefault="00E94344" w:rsidP="00E94344">
      <w:pPr>
        <w:pStyle w:val="1Titulo"/>
        <w:numPr>
          <w:ilvl w:val="0"/>
          <w:numId w:val="0"/>
        </w:numPr>
        <w:ind w:left="357"/>
        <w:jc w:val="center"/>
        <w:rPr>
          <w:color w:val="000000"/>
          <w:sz w:val="28"/>
          <w:szCs w:val="28"/>
        </w:rPr>
      </w:pPr>
      <w:bookmarkStart w:id="128" w:name="_Toc50031241"/>
      <w:r w:rsidRPr="00E94344">
        <w:rPr>
          <w:sz w:val="28"/>
          <w:szCs w:val="28"/>
        </w:rPr>
        <w:t>Determinación del potencial para la producción de microalgas en México, mediante el uso de modelos en un SIG</w:t>
      </w:r>
      <w:bookmarkEnd w:id="128"/>
    </w:p>
    <w:p w:rsidR="00E94344" w:rsidRDefault="00E94344" w:rsidP="00E94344">
      <w:pPr>
        <w:jc w:val="center"/>
        <w:rPr>
          <w:color w:val="000000"/>
          <w:sz w:val="28"/>
          <w:szCs w:val="28"/>
        </w:rPr>
      </w:pPr>
    </w:p>
    <w:p w:rsidR="00E94344" w:rsidRDefault="00E94344" w:rsidP="00E94344">
      <w:pPr>
        <w:pStyle w:val="Author"/>
        <w:rPr>
          <w:rFonts w:ascii="Arial" w:hAnsi="Arial" w:cs="Arial"/>
          <w:szCs w:val="24"/>
          <w:vertAlign w:val="superscript"/>
          <w:lang w:val="es-ES"/>
        </w:rPr>
      </w:pPr>
      <w:r w:rsidRPr="00943859">
        <w:rPr>
          <w:rFonts w:ascii="Arial" w:hAnsi="Arial" w:cs="Arial"/>
          <w:szCs w:val="24"/>
          <w:u w:val="single"/>
          <w:lang w:val="es-ES"/>
        </w:rPr>
        <w:t>DE LEÓN-MATA G.D.</w:t>
      </w:r>
      <w:r w:rsidRPr="00943859">
        <w:rPr>
          <w:rFonts w:ascii="Arial" w:hAnsi="Arial" w:cs="Arial"/>
          <w:szCs w:val="24"/>
          <w:vertAlign w:val="superscript"/>
          <w:lang w:val="es-ES"/>
        </w:rPr>
        <w:t>1</w:t>
      </w:r>
      <w:r w:rsidRPr="00943859">
        <w:rPr>
          <w:rFonts w:ascii="Arial" w:hAnsi="Arial" w:cs="Arial"/>
          <w:szCs w:val="24"/>
          <w:lang w:val="es-ES"/>
        </w:rPr>
        <w:t xml:space="preserve">, </w:t>
      </w:r>
      <w:r>
        <w:rPr>
          <w:rFonts w:ascii="Arial" w:hAnsi="Arial" w:cs="Arial"/>
          <w:szCs w:val="24"/>
          <w:lang w:val="es-ES"/>
        </w:rPr>
        <w:t>BETANCOURT-</w:t>
      </w:r>
      <w:r w:rsidRPr="00943859">
        <w:rPr>
          <w:rFonts w:ascii="Arial" w:hAnsi="Arial" w:cs="Arial"/>
          <w:szCs w:val="24"/>
          <w:lang w:val="es-ES"/>
        </w:rPr>
        <w:t>GALVÁN J</w:t>
      </w:r>
      <w:r>
        <w:rPr>
          <w:rFonts w:ascii="Arial" w:hAnsi="Arial" w:cs="Arial"/>
          <w:szCs w:val="24"/>
          <w:lang w:val="es-ES"/>
        </w:rPr>
        <w:t>.</w:t>
      </w:r>
      <w:r w:rsidRPr="00943859">
        <w:rPr>
          <w:rFonts w:ascii="Arial" w:hAnsi="Arial" w:cs="Arial"/>
          <w:szCs w:val="24"/>
          <w:lang w:val="es-ES"/>
        </w:rPr>
        <w:t>F</w:t>
      </w:r>
      <w:r>
        <w:rPr>
          <w:rFonts w:ascii="Arial" w:hAnsi="Arial" w:cs="Arial"/>
          <w:szCs w:val="24"/>
          <w:lang w:val="es-ES"/>
        </w:rPr>
        <w:t>.</w:t>
      </w:r>
      <w:r w:rsidRPr="00943859">
        <w:rPr>
          <w:rFonts w:ascii="Arial" w:hAnsi="Arial" w:cs="Arial"/>
          <w:szCs w:val="24"/>
          <w:vertAlign w:val="superscript"/>
          <w:lang w:val="es-ES"/>
        </w:rPr>
        <w:t>2</w:t>
      </w:r>
      <w:r w:rsidRPr="00943859">
        <w:rPr>
          <w:rFonts w:ascii="Arial" w:hAnsi="Arial" w:cs="Arial"/>
          <w:szCs w:val="24"/>
          <w:lang w:val="es-ES"/>
        </w:rPr>
        <w:t xml:space="preserve"> y </w:t>
      </w:r>
      <w:r>
        <w:rPr>
          <w:rFonts w:ascii="Arial" w:hAnsi="Arial" w:cs="Arial"/>
          <w:szCs w:val="24"/>
          <w:lang w:val="es-ES"/>
        </w:rPr>
        <w:t>LOZANO-GARCÍA D.F.</w:t>
      </w:r>
      <w:r w:rsidRPr="00943859">
        <w:rPr>
          <w:rFonts w:ascii="Arial" w:hAnsi="Arial" w:cs="Arial"/>
          <w:szCs w:val="24"/>
          <w:vertAlign w:val="superscript"/>
          <w:lang w:val="es-ES"/>
        </w:rPr>
        <w:t>3</w:t>
      </w:r>
    </w:p>
    <w:p w:rsidR="00E94344" w:rsidRPr="00943859" w:rsidRDefault="00E94344" w:rsidP="00E94344">
      <w:pPr>
        <w:pStyle w:val="Author"/>
        <w:rPr>
          <w:rFonts w:ascii="Arial" w:hAnsi="Arial" w:cs="Arial"/>
          <w:szCs w:val="24"/>
          <w:lang w:val="es-ES"/>
        </w:rPr>
      </w:pPr>
    </w:p>
    <w:p w:rsidR="00E94344" w:rsidRDefault="00E94344" w:rsidP="00E94344">
      <w:pPr>
        <w:jc w:val="center"/>
        <w:rPr>
          <w:sz w:val="22"/>
          <w:szCs w:val="22"/>
        </w:rPr>
      </w:pPr>
      <w:r>
        <w:rPr>
          <w:rFonts w:ascii="Arial" w:hAnsi="Arial" w:cs="Arial"/>
          <w:vertAlign w:val="superscript"/>
        </w:rPr>
        <w:t>1</w:t>
      </w:r>
      <w:r w:rsidRPr="00943859">
        <w:rPr>
          <w:sz w:val="22"/>
          <w:szCs w:val="22"/>
        </w:rPr>
        <w:t xml:space="preserve"> </w:t>
      </w:r>
      <w:r w:rsidRPr="00943859">
        <w:rPr>
          <w:rFonts w:ascii="Arial" w:eastAsia="Times New Roman" w:hAnsi="Arial" w:cs="Arial"/>
        </w:rPr>
        <w:t xml:space="preserve">Licenciatura en Biología–Ciencias Básicas / Profesor-Investigador. Tecnológico Nacional de México, Campus Valle del Guadiana. </w:t>
      </w:r>
      <w:hyperlink r:id="rId561" w:history="1">
        <w:r w:rsidRPr="00F50348">
          <w:rPr>
            <w:rStyle w:val="Hipervnculo"/>
            <w:rFonts w:ascii="Arial" w:eastAsia="Times New Roman" w:hAnsi="Arial" w:cs="Arial"/>
          </w:rPr>
          <w:t>daniel.lm@vguadiana.tecnm.mx</w:t>
        </w:r>
      </w:hyperlink>
      <w:r>
        <w:rPr>
          <w:rFonts w:ascii="Arial" w:eastAsia="Times New Roman" w:hAnsi="Arial" w:cs="Arial"/>
        </w:rPr>
        <w:t xml:space="preserve">  </w:t>
      </w:r>
    </w:p>
    <w:p w:rsidR="00E94344" w:rsidRPr="001F1C39" w:rsidRDefault="00E94344" w:rsidP="00E94344">
      <w:pPr>
        <w:jc w:val="center"/>
        <w:rPr>
          <w:sz w:val="22"/>
          <w:szCs w:val="22"/>
        </w:rPr>
      </w:pPr>
      <w:r>
        <w:rPr>
          <w:rFonts w:ascii="Arial" w:hAnsi="Arial" w:cs="Arial"/>
          <w:vertAlign w:val="superscript"/>
        </w:rPr>
        <w:t>2</w:t>
      </w:r>
      <w:r w:rsidRPr="001F1C39">
        <w:rPr>
          <w:sz w:val="22"/>
          <w:szCs w:val="22"/>
        </w:rPr>
        <w:t xml:space="preserve"> </w:t>
      </w:r>
      <w:r>
        <w:rPr>
          <w:rFonts w:ascii="Arial" w:eastAsia="Times New Roman" w:hAnsi="Arial" w:cs="Arial"/>
        </w:rPr>
        <w:t>Centro del agua</w:t>
      </w:r>
      <w:r w:rsidRPr="00943859">
        <w:rPr>
          <w:rFonts w:ascii="Arial" w:eastAsia="Times New Roman" w:hAnsi="Arial" w:cs="Arial"/>
        </w:rPr>
        <w:t xml:space="preserve"> / Es</w:t>
      </w:r>
      <w:r>
        <w:rPr>
          <w:rFonts w:ascii="Arial" w:eastAsia="Times New Roman" w:hAnsi="Arial" w:cs="Arial"/>
        </w:rPr>
        <w:t>pecialista de investigación</w:t>
      </w:r>
      <w:r w:rsidRPr="00943859">
        <w:rPr>
          <w:rFonts w:ascii="Arial" w:eastAsia="Times New Roman" w:hAnsi="Arial" w:cs="Arial"/>
        </w:rPr>
        <w:t>. Instituto Tecnológico y de Estudios Superiores de Monterrey (ITESM).</w:t>
      </w:r>
      <w:r>
        <w:rPr>
          <w:sz w:val="22"/>
          <w:szCs w:val="22"/>
        </w:rPr>
        <w:t xml:space="preserve"> </w:t>
      </w:r>
      <w:hyperlink r:id="rId562" w:history="1">
        <w:r w:rsidRPr="00A75C33">
          <w:rPr>
            <w:rStyle w:val="Hipervnculo"/>
            <w:rFonts w:ascii="Arial" w:eastAsia="Times New Roman" w:hAnsi="Arial" w:cs="Arial"/>
          </w:rPr>
          <w:t>francisco_betancourt@tec.mx</w:t>
        </w:r>
      </w:hyperlink>
      <w:r>
        <w:rPr>
          <w:rFonts w:ascii="inherit" w:hAnsi="inherit"/>
          <w:sz w:val="18"/>
          <w:szCs w:val="18"/>
          <w:shd w:val="clear" w:color="auto" w:fill="FFFFFF"/>
        </w:rPr>
        <w:t xml:space="preserve"> </w:t>
      </w:r>
      <w:r>
        <w:rPr>
          <w:sz w:val="22"/>
          <w:szCs w:val="22"/>
        </w:rPr>
        <w:t xml:space="preserve"> </w:t>
      </w:r>
    </w:p>
    <w:p w:rsidR="00E94344" w:rsidRPr="001F1C39" w:rsidRDefault="00E94344" w:rsidP="00E94344">
      <w:pPr>
        <w:jc w:val="center"/>
        <w:rPr>
          <w:sz w:val="22"/>
          <w:szCs w:val="22"/>
        </w:rPr>
      </w:pPr>
      <w:r w:rsidRPr="00943859">
        <w:rPr>
          <w:rFonts w:ascii="Arial" w:hAnsi="Arial" w:cs="Arial"/>
          <w:vertAlign w:val="superscript"/>
        </w:rPr>
        <w:t>3</w:t>
      </w:r>
      <w:r w:rsidRPr="001F1C39">
        <w:rPr>
          <w:sz w:val="22"/>
          <w:szCs w:val="22"/>
        </w:rPr>
        <w:t xml:space="preserve"> </w:t>
      </w:r>
      <w:r w:rsidRPr="006E5BA9">
        <w:rPr>
          <w:rFonts w:ascii="Arial" w:eastAsia="Times New Roman" w:hAnsi="Arial" w:cs="Arial"/>
        </w:rPr>
        <w:t xml:space="preserve">Escuela de </w:t>
      </w:r>
      <w:r>
        <w:rPr>
          <w:rFonts w:ascii="Arial" w:eastAsia="Times New Roman" w:hAnsi="Arial" w:cs="Arial"/>
        </w:rPr>
        <w:t>I</w:t>
      </w:r>
      <w:r w:rsidRPr="006E5BA9">
        <w:rPr>
          <w:rFonts w:ascii="Arial" w:eastAsia="Times New Roman" w:hAnsi="Arial" w:cs="Arial"/>
        </w:rPr>
        <w:t>ngeniería y</w:t>
      </w:r>
      <w:r>
        <w:rPr>
          <w:sz w:val="22"/>
          <w:szCs w:val="22"/>
        </w:rPr>
        <w:t xml:space="preserve"> </w:t>
      </w:r>
      <w:r w:rsidRPr="006E5BA9">
        <w:rPr>
          <w:rFonts w:ascii="Arial" w:eastAsia="Times New Roman" w:hAnsi="Arial" w:cs="Arial"/>
        </w:rPr>
        <w:t>Ciencias</w:t>
      </w:r>
      <w:r w:rsidRPr="00943859">
        <w:rPr>
          <w:rFonts w:ascii="Arial" w:eastAsia="Times New Roman" w:hAnsi="Arial" w:cs="Arial"/>
        </w:rPr>
        <w:t xml:space="preserve"> / Profesor Asociado. Instituto Tecnológico y de Estudios Superiores de Monterrey (ITESM).</w:t>
      </w:r>
      <w:r>
        <w:rPr>
          <w:sz w:val="22"/>
          <w:szCs w:val="22"/>
        </w:rPr>
        <w:t xml:space="preserve"> </w:t>
      </w:r>
      <w:hyperlink r:id="rId563" w:history="1">
        <w:r w:rsidRPr="00A75C33">
          <w:rPr>
            <w:rStyle w:val="Hipervnculo"/>
            <w:rFonts w:ascii="Arial" w:eastAsia="Times New Roman" w:hAnsi="Arial" w:cs="Arial"/>
          </w:rPr>
          <w:t>dflozano@tec.mx</w:t>
        </w:r>
      </w:hyperlink>
      <w:r>
        <w:rPr>
          <w:sz w:val="22"/>
          <w:szCs w:val="22"/>
        </w:rPr>
        <w:t xml:space="preserve"> </w:t>
      </w:r>
    </w:p>
    <w:p w:rsidR="00E94344" w:rsidRPr="00943859" w:rsidRDefault="00E94344" w:rsidP="00E94344">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olor w:val="000000"/>
        </w:rPr>
      </w:pPr>
    </w:p>
    <w:p w:rsidR="00E94344" w:rsidRPr="00E94344" w:rsidRDefault="00E94344" w:rsidP="00E94344">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olor w:val="000000"/>
          <w:sz w:val="24"/>
          <w:szCs w:val="24"/>
        </w:rPr>
      </w:pPr>
      <w:bookmarkStart w:id="129" w:name="_Toc50031242"/>
      <w:r w:rsidRPr="00E94344">
        <w:rPr>
          <w:rFonts w:ascii="Arial" w:hAnsi="Arial" w:cs="Arial"/>
          <w:i/>
          <w:caps/>
          <w:sz w:val="24"/>
          <w:szCs w:val="24"/>
        </w:rPr>
        <w:t>1. R</w:t>
      </w:r>
      <w:r w:rsidRPr="00E94344">
        <w:rPr>
          <w:rFonts w:ascii="Arial" w:hAnsi="Arial" w:cs="Arial"/>
          <w:i/>
          <w:sz w:val="24"/>
          <w:szCs w:val="24"/>
        </w:rPr>
        <w:t>esumen</w:t>
      </w:r>
      <w:bookmarkEnd w:id="129"/>
      <w:r w:rsidRPr="00E94344">
        <w:rPr>
          <w:rFonts w:ascii="Arial" w:hAnsi="Arial" w:cs="Arial"/>
          <w:i/>
          <w:caps/>
          <w:sz w:val="24"/>
          <w:szCs w:val="24"/>
        </w:rPr>
        <w:t xml:space="preserve"> </w:t>
      </w:r>
    </w:p>
    <w:p w:rsidR="00E94344" w:rsidRPr="00943859" w:rsidRDefault="00E94344" w:rsidP="00E94344">
      <w:pPr>
        <w:ind w:firstLine="567"/>
        <w:jc w:val="both"/>
        <w:rPr>
          <w:rFonts w:ascii="Arial" w:hAnsi="Arial" w:cs="Arial"/>
          <w:color w:val="000000"/>
        </w:rPr>
      </w:pPr>
      <w:r w:rsidRPr="00943859">
        <w:rPr>
          <w:rFonts w:ascii="Arial" w:hAnsi="Arial" w:cs="Arial"/>
          <w:color w:val="000000"/>
        </w:rPr>
        <w:t>El propósito de este estudio fue identificar las mejores ubicaciones para la construcción a una escala comercial de microalgas para la producción de biocombustible en México. La disminución en la disponibilidad de los combustibles fósiles junto con una creciente demanda mundial de energía, ha abierto el camino para el desarrollo de los biocombustibles. El método empleado en el SIG fue una suma ponderada donde se obtuvieron tres mapas de aptitud para el país y un mapa con valores continuos en fracción donde pixeles cercanos al 1 son altamente viables para el cultivo de microalgas. Las zonas más aptas están situadas en la costa del Golfo de México, los estados de Veracruz y Tabasco. En la parte centro también hay gran potencial, mientras que para el Norte existen menos áreas con aptitud aceptable para la implementación de estos sistemas de cultivo.</w:t>
      </w:r>
    </w:p>
    <w:p w:rsidR="00E94344" w:rsidRDefault="00E94344" w:rsidP="00E94344">
      <w:pPr>
        <w:jc w:val="both"/>
        <w:rPr>
          <w:rFonts w:ascii="Arial" w:hAnsi="Arial" w:cs="Arial"/>
        </w:rPr>
      </w:pPr>
    </w:p>
    <w:p w:rsidR="00E94344" w:rsidRPr="00E94344" w:rsidRDefault="00E94344" w:rsidP="00E94344">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aps/>
          <w:sz w:val="24"/>
          <w:szCs w:val="24"/>
        </w:rPr>
      </w:pPr>
      <w:bookmarkStart w:id="130" w:name="_Toc50031243"/>
      <w:r w:rsidRPr="00E94344">
        <w:rPr>
          <w:rFonts w:ascii="Arial" w:hAnsi="Arial" w:cs="Arial"/>
          <w:i/>
          <w:caps/>
          <w:sz w:val="24"/>
          <w:szCs w:val="24"/>
        </w:rPr>
        <w:t>2. I</w:t>
      </w:r>
      <w:r w:rsidRPr="00E94344">
        <w:rPr>
          <w:rFonts w:ascii="Arial" w:hAnsi="Arial" w:cs="Arial"/>
          <w:i/>
          <w:sz w:val="24"/>
          <w:szCs w:val="24"/>
        </w:rPr>
        <w:t>ntroducción</w:t>
      </w:r>
      <w:bookmarkEnd w:id="130"/>
      <w:r w:rsidRPr="00E94344">
        <w:rPr>
          <w:rFonts w:ascii="Arial" w:hAnsi="Arial" w:cs="Arial"/>
          <w:i/>
          <w:caps/>
          <w:sz w:val="24"/>
          <w:szCs w:val="24"/>
        </w:rPr>
        <w:t xml:space="preserve"> </w:t>
      </w:r>
    </w:p>
    <w:p w:rsidR="00E94344" w:rsidRPr="009D5863" w:rsidRDefault="00E94344" w:rsidP="00E94344">
      <w:pPr>
        <w:ind w:firstLine="567"/>
        <w:jc w:val="both"/>
        <w:rPr>
          <w:rFonts w:ascii="Arial" w:hAnsi="Arial" w:cs="Arial"/>
          <w:color w:val="000000"/>
        </w:rPr>
      </w:pPr>
      <w:r w:rsidRPr="009D5863">
        <w:rPr>
          <w:rFonts w:ascii="Arial" w:hAnsi="Arial" w:cs="Arial"/>
          <w:color w:val="000000"/>
        </w:rPr>
        <w:t>El desarrollo de tecnologías enfocadas al cuidado del medio ambiente, la reutilización de los residuos y la generación de energías limpias de bajo costo se ha vuelto indispensable. En la actualidad ya se conocen nuevas fuentes de energía alterna que no requieren ni producen compuestos contaminantes en su uso o elaboración, los biocombustibles son un claro ejemplo de energía renovable. El término biocombustible es empleado para cualquier combustible sólido, líquido o gaseoso que es producido princ</w:t>
      </w:r>
      <w:r>
        <w:rPr>
          <w:rFonts w:ascii="Arial" w:hAnsi="Arial" w:cs="Arial"/>
          <w:color w:val="000000"/>
        </w:rPr>
        <w:t>ipalmente por materia prima bio</w:t>
      </w:r>
      <w:r w:rsidRPr="009D5863">
        <w:rPr>
          <w:rFonts w:ascii="Arial" w:hAnsi="Arial" w:cs="Arial"/>
          <w:color w:val="000000"/>
        </w:rPr>
        <w:t>renovable. El biodiésel y el bioetanol son los principales biocombustibles que pueden remplazar al diésel y la gasolina en los vehículos de combustión interna haciendo ligeras modificaciones en su sistema</w:t>
      </w:r>
      <w:r>
        <w:rPr>
          <w:rFonts w:ascii="Arial" w:hAnsi="Arial" w:cs="Arial"/>
          <w:vertAlign w:val="superscript"/>
        </w:rPr>
        <w:t>[1]</w:t>
      </w:r>
      <w:r w:rsidRPr="009D5863">
        <w:rPr>
          <w:rFonts w:ascii="Arial" w:hAnsi="Arial" w:cs="Arial"/>
          <w:color w:val="000000"/>
        </w:rPr>
        <w:t xml:space="preserve">. </w:t>
      </w:r>
    </w:p>
    <w:p w:rsidR="00E94344" w:rsidRPr="009D5863" w:rsidRDefault="00E94344" w:rsidP="00E94344">
      <w:pPr>
        <w:ind w:firstLine="567"/>
        <w:jc w:val="both"/>
        <w:rPr>
          <w:rFonts w:ascii="Arial" w:hAnsi="Arial" w:cs="Arial"/>
          <w:color w:val="000000"/>
        </w:rPr>
      </w:pPr>
      <w:r w:rsidRPr="009D5863">
        <w:rPr>
          <w:rFonts w:ascii="Arial" w:hAnsi="Arial" w:cs="Arial"/>
          <w:color w:val="000000"/>
        </w:rPr>
        <w:t>Los biocombustibles pueden ser clasificados por el tipo de tecnología que implica su producción y por la biomasa utilizada como materia prima: biocombustibles de primera generación FBG’s (por sus siglas en inglés), biocombustibles de segunda generación (SBG’s), biocombustibles de tercera generación (TBG’s) y los biocombustibles de cuarta generación (FoBG’s).  Los FBG’s son producidos a partir de azúcar, almidón, aceites vegetales, grasa animal, mientras que los SBG´s provienen de cultivos no alimentarios como paja de trigo, maíz y madera. Los combustibles a partir de las algas, también llamados aceites algales, están clasificados como TGB’s, por último están los FoBG’s que incluyen cultivos genéticamente modificados para aumentar la captación de CO2 de la atmósfera y al mismo tiempo reutilizar el CO2 que se produce en la combustión del mismo</w:t>
      </w:r>
      <w:r>
        <w:rPr>
          <w:rFonts w:ascii="Arial" w:hAnsi="Arial" w:cs="Arial"/>
          <w:color w:val="000000"/>
        </w:rPr>
        <w:t xml:space="preserve"> biocombustible</w:t>
      </w:r>
      <w:r>
        <w:rPr>
          <w:rFonts w:ascii="Arial" w:hAnsi="Arial" w:cs="Arial"/>
          <w:vertAlign w:val="superscript"/>
        </w:rPr>
        <w:t>[2]</w:t>
      </w:r>
      <w:r w:rsidRPr="009D5863">
        <w:rPr>
          <w:rFonts w:ascii="Arial" w:hAnsi="Arial" w:cs="Arial"/>
          <w:color w:val="000000"/>
        </w:rPr>
        <w:t>.</w:t>
      </w:r>
    </w:p>
    <w:p w:rsidR="00E94344" w:rsidRPr="009D5863" w:rsidRDefault="00E94344" w:rsidP="00E94344">
      <w:pPr>
        <w:ind w:firstLine="567"/>
        <w:jc w:val="both"/>
        <w:rPr>
          <w:rFonts w:ascii="Arial" w:hAnsi="Arial" w:cs="Arial"/>
          <w:color w:val="000000"/>
        </w:rPr>
      </w:pPr>
      <w:r w:rsidRPr="009D5863">
        <w:rPr>
          <w:rFonts w:ascii="Arial" w:hAnsi="Arial" w:cs="Arial"/>
          <w:color w:val="000000"/>
        </w:rPr>
        <w:t>Los cultivos de microalgas son una gran oportunidad de desarrollo sustentable, al ser considerados eco-amigables ya que reciclan eficientemente contaminantes desde medios líquidos y gaseosos</w:t>
      </w:r>
      <w:r>
        <w:rPr>
          <w:rFonts w:ascii="Arial" w:hAnsi="Arial" w:cs="Arial"/>
          <w:vertAlign w:val="superscript"/>
        </w:rPr>
        <w:t>[3, 4, 5, 6]</w:t>
      </w:r>
      <w:r w:rsidRPr="009D5863">
        <w:rPr>
          <w:rFonts w:ascii="Arial" w:hAnsi="Arial" w:cs="Arial"/>
          <w:color w:val="000000"/>
        </w:rPr>
        <w:t>, incorporándolos a su metabolismo para generación de biomasa</w:t>
      </w:r>
      <w:r>
        <w:rPr>
          <w:rFonts w:ascii="Arial" w:hAnsi="Arial" w:cs="Arial"/>
          <w:vertAlign w:val="superscript"/>
        </w:rPr>
        <w:t>[7]</w:t>
      </w:r>
      <w:r w:rsidRPr="009D5863">
        <w:rPr>
          <w:rFonts w:ascii="Arial" w:hAnsi="Arial" w:cs="Arial"/>
          <w:color w:val="000000"/>
        </w:rPr>
        <w:t xml:space="preserve">.  En el presente trabajo se determinaron las zonas potenciales a nivel nacional con factibilidad para la producción de biodiesel a partir sistemas de cultivo de algas, mediante el desarrollo de un modelo utilizando un Sistema de Información Geográfica.         </w:t>
      </w:r>
    </w:p>
    <w:p w:rsidR="00E94344" w:rsidRDefault="00E94344" w:rsidP="00E94344">
      <w:pPr>
        <w:jc w:val="both"/>
      </w:pPr>
    </w:p>
    <w:p w:rsidR="00E94344" w:rsidRPr="00E94344" w:rsidRDefault="00E94344" w:rsidP="00E94344">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131" w:name="_Toc50031244"/>
      <w:r w:rsidRPr="00E94344">
        <w:rPr>
          <w:rFonts w:ascii="Arial" w:hAnsi="Arial" w:cs="Arial"/>
          <w:i/>
          <w:caps/>
          <w:sz w:val="24"/>
          <w:szCs w:val="24"/>
        </w:rPr>
        <w:lastRenderedPageBreak/>
        <w:t>3. C</w:t>
      </w:r>
      <w:r w:rsidRPr="00E94344">
        <w:rPr>
          <w:rFonts w:ascii="Arial" w:hAnsi="Arial" w:cs="Arial"/>
          <w:i/>
          <w:sz w:val="24"/>
          <w:szCs w:val="24"/>
        </w:rPr>
        <w:t>ondiciones experimentales</w:t>
      </w:r>
      <w:bookmarkEnd w:id="131"/>
    </w:p>
    <w:p w:rsidR="00E94344" w:rsidRDefault="00E94344" w:rsidP="00E94344">
      <w:pPr>
        <w:ind w:firstLine="567"/>
        <w:jc w:val="both"/>
        <w:rPr>
          <w:rFonts w:ascii="Arial" w:hAnsi="Arial" w:cs="Arial"/>
          <w:color w:val="000000"/>
        </w:rPr>
      </w:pPr>
      <w:r w:rsidRPr="009D5863">
        <w:rPr>
          <w:rFonts w:ascii="Arial" w:hAnsi="Arial" w:cs="Arial"/>
          <w:color w:val="000000"/>
        </w:rPr>
        <w:t xml:space="preserve">Para la estructuración del modelo se inició con la caracterización nacional considerando los siguientes temas: Geografía y extensión territorial, Relieve, Clima, Hidrología, Usos de suelo y vegetación, Demografía y aspectos culturales. </w:t>
      </w:r>
    </w:p>
    <w:p w:rsidR="00E94344" w:rsidRPr="009D5863" w:rsidRDefault="00E94344" w:rsidP="00E94344">
      <w:pPr>
        <w:ind w:firstLine="567"/>
        <w:jc w:val="both"/>
        <w:rPr>
          <w:rFonts w:ascii="Arial" w:hAnsi="Arial" w:cs="Arial"/>
          <w:color w:val="000000"/>
        </w:rPr>
      </w:pPr>
    </w:p>
    <w:p w:rsidR="00E94344" w:rsidRPr="009D5863" w:rsidRDefault="00E94344" w:rsidP="00E94344">
      <w:pPr>
        <w:spacing w:line="360" w:lineRule="auto"/>
        <w:jc w:val="both"/>
        <w:rPr>
          <w:rFonts w:ascii="Arial" w:hAnsi="Arial" w:cs="Arial"/>
          <w:i/>
          <w:color w:val="000000"/>
        </w:rPr>
      </w:pPr>
      <w:r>
        <w:rPr>
          <w:rFonts w:ascii="Arial" w:hAnsi="Arial" w:cs="Arial"/>
          <w:i/>
          <w:color w:val="000000"/>
        </w:rPr>
        <w:t>3</w:t>
      </w:r>
      <w:r w:rsidRPr="009D5863">
        <w:rPr>
          <w:rFonts w:ascii="Arial" w:hAnsi="Arial" w:cs="Arial"/>
          <w:i/>
          <w:color w:val="000000"/>
        </w:rPr>
        <w:t xml:space="preserve">.1 Datos geoespaciales habilitadores </w:t>
      </w:r>
    </w:p>
    <w:p w:rsidR="00E94344" w:rsidRDefault="00E94344" w:rsidP="00E94344">
      <w:pPr>
        <w:ind w:firstLine="567"/>
        <w:jc w:val="both"/>
        <w:rPr>
          <w:rFonts w:ascii="Arial" w:hAnsi="Arial" w:cs="Arial"/>
          <w:color w:val="000000"/>
        </w:rPr>
      </w:pPr>
      <w:r w:rsidRPr="009D5863">
        <w:rPr>
          <w:rFonts w:ascii="Arial" w:hAnsi="Arial" w:cs="Arial"/>
          <w:color w:val="000000"/>
        </w:rPr>
        <w:t xml:space="preserve">En </w:t>
      </w:r>
      <w:r>
        <w:rPr>
          <w:rFonts w:ascii="Arial" w:hAnsi="Arial" w:cs="Arial"/>
          <w:color w:val="000000"/>
        </w:rPr>
        <w:t>la Tabla 1</w:t>
      </w:r>
      <w:r w:rsidRPr="009D5863">
        <w:rPr>
          <w:rFonts w:ascii="Arial" w:hAnsi="Arial" w:cs="Arial"/>
          <w:color w:val="000000"/>
        </w:rPr>
        <w:t xml:space="preserve"> se muestran archivos de donde se contemplaron los atributos habilitadores para la implementación de los sistemas de cultivo algal, la fuente de donde provienen, una breve descripción y la ponderación que se utilizó para los procesamientos. La ponderación escrita en la tabla con valores del 1 al 5 evalúa la viabilidad de cada parámetro, donde 5 es el valor más viable y 1 tiende a ser el menos viable (el valor de cero es descartable, es decir no cuenta con valor).</w:t>
      </w:r>
    </w:p>
    <w:p w:rsidR="00E94344" w:rsidRDefault="00E94344" w:rsidP="00E94344">
      <w:pPr>
        <w:ind w:firstLine="567"/>
        <w:jc w:val="both"/>
        <w:rPr>
          <w:rFonts w:ascii="Arial" w:hAnsi="Arial" w:cs="Arial"/>
          <w:color w:val="000000"/>
        </w:rPr>
      </w:pPr>
    </w:p>
    <w:p w:rsidR="00E94344" w:rsidRPr="00625439" w:rsidRDefault="00E94344" w:rsidP="00133D30">
      <w:pPr>
        <w:numPr>
          <w:ilvl w:val="0"/>
          <w:numId w:val="36"/>
        </w:numPr>
        <w:tabs>
          <w:tab w:val="clear" w:pos="432"/>
          <w:tab w:val="num" w:pos="0"/>
        </w:tabs>
        <w:suppressAutoHyphens/>
        <w:spacing w:after="0" w:line="360" w:lineRule="auto"/>
        <w:ind w:left="0" w:firstLine="567"/>
        <w:jc w:val="center"/>
        <w:rPr>
          <w:rFonts w:ascii="Arial" w:hAnsi="Arial" w:cs="Arial"/>
          <w:color w:val="000000"/>
        </w:rPr>
      </w:pPr>
      <w:r>
        <w:rPr>
          <w:rFonts w:ascii="Arial" w:eastAsia="Times New Roman" w:hAnsi="Arial" w:cs="Arial"/>
          <w:bCs/>
          <w:i/>
          <w:noProof/>
          <w:sz w:val="20"/>
          <w:szCs w:val="20"/>
          <w:lang w:eastAsia="en-GB"/>
        </w:rPr>
        <w:t>Tabla 1. Datos</w:t>
      </w:r>
      <w:r w:rsidRPr="00BB5669">
        <w:rPr>
          <w:rFonts w:ascii="Arial" w:eastAsia="Times New Roman" w:hAnsi="Arial" w:cs="Arial"/>
          <w:bCs/>
          <w:i/>
          <w:noProof/>
          <w:sz w:val="20"/>
          <w:szCs w:val="20"/>
          <w:lang w:eastAsia="en-GB"/>
        </w:rPr>
        <w:t xml:space="preserve"> geoespaciales habilitadores</w:t>
      </w:r>
    </w:p>
    <w:p w:rsidR="00E94344" w:rsidRPr="009D5863" w:rsidRDefault="00E94344" w:rsidP="00E94344">
      <w:pPr>
        <w:ind w:firstLine="567"/>
        <w:jc w:val="center"/>
        <w:rPr>
          <w:rFonts w:ascii="Arial" w:hAnsi="Arial" w:cs="Arial"/>
          <w:color w:val="000000"/>
        </w:rPr>
      </w:pPr>
      <w:r w:rsidRPr="00625439">
        <w:rPr>
          <w:noProof/>
          <w:lang w:val="en-US"/>
        </w:rPr>
        <w:drawing>
          <wp:inline distT="0" distB="0" distL="0" distR="0" wp14:anchorId="08ABA5B2" wp14:editId="3C0058A2">
            <wp:extent cx="4905375" cy="4333875"/>
            <wp:effectExtent l="0" t="0" r="9525" b="9525"/>
            <wp:docPr id="1413571373" name="Imagen 141357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64">
                      <a:extLst>
                        <a:ext uri="{28A0092B-C50C-407E-A947-70E740481C1C}">
                          <a14:useLocalDpi xmlns:a14="http://schemas.microsoft.com/office/drawing/2010/main" val="0"/>
                        </a:ext>
                      </a:extLst>
                    </a:blip>
                    <a:srcRect l="26472" t="15611" r="23752" b="6297"/>
                    <a:stretch>
                      <a:fillRect/>
                    </a:stretch>
                  </pic:blipFill>
                  <pic:spPr bwMode="auto">
                    <a:xfrm>
                      <a:off x="0" y="0"/>
                      <a:ext cx="4905375" cy="4333875"/>
                    </a:xfrm>
                    <a:prstGeom prst="rect">
                      <a:avLst/>
                    </a:prstGeom>
                    <a:noFill/>
                    <a:ln>
                      <a:noFill/>
                    </a:ln>
                  </pic:spPr>
                </pic:pic>
              </a:graphicData>
            </a:graphic>
          </wp:inline>
        </w:drawing>
      </w:r>
    </w:p>
    <w:p w:rsidR="00E94344" w:rsidRPr="009D5863" w:rsidRDefault="00E94344" w:rsidP="00E94344">
      <w:pPr>
        <w:spacing w:line="360" w:lineRule="auto"/>
        <w:jc w:val="both"/>
        <w:rPr>
          <w:rFonts w:ascii="Arial" w:hAnsi="Arial" w:cs="Arial"/>
          <w:i/>
          <w:color w:val="000000"/>
        </w:rPr>
      </w:pPr>
      <w:bookmarkStart w:id="132" w:name="_Toc441825820"/>
      <w:r>
        <w:rPr>
          <w:rFonts w:ascii="Arial" w:hAnsi="Arial" w:cs="Arial"/>
          <w:i/>
          <w:color w:val="000000"/>
        </w:rPr>
        <w:t>3</w:t>
      </w:r>
      <w:r w:rsidRPr="009D5863">
        <w:rPr>
          <w:rFonts w:ascii="Arial" w:hAnsi="Arial" w:cs="Arial"/>
          <w:i/>
          <w:color w:val="000000"/>
        </w:rPr>
        <w:t>.2 Datos geoespaciales restrictivos</w:t>
      </w:r>
      <w:bookmarkEnd w:id="132"/>
      <w:r w:rsidRPr="009D5863">
        <w:rPr>
          <w:rFonts w:ascii="Arial" w:hAnsi="Arial" w:cs="Arial"/>
          <w:i/>
          <w:color w:val="000000"/>
        </w:rPr>
        <w:t xml:space="preserve"> </w:t>
      </w:r>
    </w:p>
    <w:p w:rsidR="00E94344" w:rsidRDefault="00E94344" w:rsidP="00E94344">
      <w:pPr>
        <w:ind w:firstLine="567"/>
        <w:jc w:val="both"/>
        <w:rPr>
          <w:rFonts w:ascii="Arial" w:hAnsi="Arial" w:cs="Arial"/>
          <w:color w:val="000000"/>
        </w:rPr>
      </w:pPr>
      <w:r w:rsidRPr="009D5863">
        <w:rPr>
          <w:rFonts w:ascii="Arial" w:hAnsi="Arial" w:cs="Arial"/>
          <w:color w:val="000000"/>
        </w:rPr>
        <w:lastRenderedPageBreak/>
        <w:t xml:space="preserve">Existen zonas en donde no se permite el desarrollo de actividades productivas ya sea por política ambiental como por ejemplo las Áreas Naturales Protegidas (ANP’s), sitios Ramsar y para evitar conflictos entre los sectores con el uso de suelo y vegetación; o simplemente porque no son físicamente factibles como la construcción sobre cuerpos y corrientes de agua, fallas geológicas, zonas urbanas, aeropuertos, etc. En </w:t>
      </w:r>
      <w:r>
        <w:rPr>
          <w:rFonts w:ascii="Arial" w:hAnsi="Arial" w:cs="Arial"/>
          <w:color w:val="000000"/>
        </w:rPr>
        <w:t>la Tabla 2</w:t>
      </w:r>
      <w:r w:rsidRPr="009D5863">
        <w:rPr>
          <w:rFonts w:ascii="Arial" w:hAnsi="Arial" w:cs="Arial"/>
          <w:color w:val="000000"/>
        </w:rPr>
        <w:t xml:space="preserve"> se muestran los archivos que marcan restricciones en el área de estudio y en algunos casos donde se recurre a un radio restrictivo  sobre el área.  </w:t>
      </w:r>
    </w:p>
    <w:p w:rsidR="00E94344" w:rsidRPr="00625439" w:rsidRDefault="00E94344" w:rsidP="00133D30">
      <w:pPr>
        <w:numPr>
          <w:ilvl w:val="0"/>
          <w:numId w:val="36"/>
        </w:numPr>
        <w:tabs>
          <w:tab w:val="clear" w:pos="432"/>
          <w:tab w:val="num" w:pos="0"/>
        </w:tabs>
        <w:suppressAutoHyphens/>
        <w:spacing w:after="0" w:line="360" w:lineRule="auto"/>
        <w:ind w:left="0" w:firstLine="567"/>
        <w:jc w:val="center"/>
        <w:rPr>
          <w:rFonts w:ascii="Arial" w:hAnsi="Arial" w:cs="Arial"/>
          <w:color w:val="000000"/>
        </w:rPr>
      </w:pPr>
      <w:r>
        <w:rPr>
          <w:rFonts w:ascii="Arial" w:eastAsia="Times New Roman" w:hAnsi="Arial" w:cs="Arial"/>
          <w:bCs/>
          <w:i/>
          <w:noProof/>
          <w:sz w:val="20"/>
          <w:szCs w:val="20"/>
          <w:lang w:eastAsia="en-GB"/>
        </w:rPr>
        <w:t>Tabla 2. Datos</w:t>
      </w:r>
      <w:r w:rsidRPr="00BB5669">
        <w:rPr>
          <w:rFonts w:ascii="Arial" w:eastAsia="Times New Roman" w:hAnsi="Arial" w:cs="Arial"/>
          <w:bCs/>
          <w:i/>
          <w:noProof/>
          <w:sz w:val="20"/>
          <w:szCs w:val="20"/>
          <w:lang w:eastAsia="en-GB"/>
        </w:rPr>
        <w:t xml:space="preserve"> geoespaciales con restricciones</w:t>
      </w:r>
    </w:p>
    <w:p w:rsidR="00E94344" w:rsidRDefault="00E94344" w:rsidP="00E94344">
      <w:pPr>
        <w:ind w:firstLine="567"/>
        <w:jc w:val="both"/>
        <w:rPr>
          <w:rFonts w:ascii="Arial" w:hAnsi="Arial" w:cs="Arial"/>
          <w:color w:val="000000"/>
        </w:rPr>
      </w:pPr>
      <w:r w:rsidRPr="00625439">
        <w:rPr>
          <w:noProof/>
          <w:lang w:val="en-US"/>
        </w:rPr>
        <w:drawing>
          <wp:inline distT="0" distB="0" distL="0" distR="0" wp14:anchorId="745516D1" wp14:editId="7F593334">
            <wp:extent cx="5924550" cy="3295650"/>
            <wp:effectExtent l="0" t="0" r="0" b="0"/>
            <wp:docPr id="1413571372" name="Imagen 141357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65">
                      <a:extLst>
                        <a:ext uri="{28A0092B-C50C-407E-A947-70E740481C1C}">
                          <a14:useLocalDpi xmlns:a14="http://schemas.microsoft.com/office/drawing/2010/main" val="0"/>
                        </a:ext>
                      </a:extLst>
                    </a:blip>
                    <a:srcRect l="26054" t="23262" r="23447" b="26738"/>
                    <a:stretch>
                      <a:fillRect/>
                    </a:stretch>
                  </pic:blipFill>
                  <pic:spPr bwMode="auto">
                    <a:xfrm>
                      <a:off x="0" y="0"/>
                      <a:ext cx="5924550" cy="3295650"/>
                    </a:xfrm>
                    <a:prstGeom prst="rect">
                      <a:avLst/>
                    </a:prstGeom>
                    <a:noFill/>
                    <a:ln>
                      <a:noFill/>
                    </a:ln>
                  </pic:spPr>
                </pic:pic>
              </a:graphicData>
            </a:graphic>
          </wp:inline>
        </w:drawing>
      </w:r>
    </w:p>
    <w:p w:rsidR="00E94344" w:rsidRPr="009D5863" w:rsidRDefault="00E94344" w:rsidP="00E94344">
      <w:pPr>
        <w:ind w:firstLine="567"/>
        <w:jc w:val="both"/>
        <w:rPr>
          <w:rFonts w:ascii="Arial" w:hAnsi="Arial" w:cs="Arial"/>
          <w:color w:val="000000"/>
        </w:rPr>
      </w:pPr>
    </w:p>
    <w:p w:rsidR="00E94344" w:rsidRPr="009D5863" w:rsidRDefault="00E94344" w:rsidP="00E94344">
      <w:pPr>
        <w:spacing w:line="360" w:lineRule="auto"/>
        <w:jc w:val="both"/>
        <w:rPr>
          <w:rFonts w:ascii="Arial" w:hAnsi="Arial" w:cs="Arial"/>
          <w:i/>
          <w:color w:val="000000"/>
        </w:rPr>
      </w:pPr>
      <w:bookmarkStart w:id="133" w:name="_Toc441825821"/>
      <w:r>
        <w:rPr>
          <w:rFonts w:ascii="Arial" w:hAnsi="Arial" w:cs="Arial"/>
          <w:i/>
          <w:color w:val="000000"/>
        </w:rPr>
        <w:t>3</w:t>
      </w:r>
      <w:r w:rsidRPr="009D5863">
        <w:rPr>
          <w:rFonts w:ascii="Arial" w:hAnsi="Arial" w:cs="Arial"/>
          <w:i/>
          <w:color w:val="000000"/>
        </w:rPr>
        <w:t>.3 Procesamientos</w:t>
      </w:r>
      <w:bookmarkEnd w:id="133"/>
    </w:p>
    <w:p w:rsidR="00E94344" w:rsidRPr="009D5863" w:rsidRDefault="00E94344" w:rsidP="00E94344">
      <w:pPr>
        <w:spacing w:line="360" w:lineRule="auto"/>
        <w:jc w:val="both"/>
        <w:rPr>
          <w:rFonts w:ascii="Arial" w:hAnsi="Arial" w:cs="Arial"/>
          <w:i/>
          <w:color w:val="000000"/>
        </w:rPr>
      </w:pPr>
      <w:bookmarkStart w:id="134" w:name="_Toc441825822"/>
      <w:r>
        <w:rPr>
          <w:rFonts w:ascii="Arial" w:hAnsi="Arial" w:cs="Arial"/>
          <w:i/>
          <w:color w:val="000000"/>
        </w:rPr>
        <w:t>3</w:t>
      </w:r>
      <w:r w:rsidRPr="009D5863">
        <w:rPr>
          <w:rFonts w:ascii="Arial" w:hAnsi="Arial" w:cs="Arial"/>
          <w:i/>
          <w:color w:val="000000"/>
        </w:rPr>
        <w:t>.3.1 Proyección de coordenadas</w:t>
      </w:r>
      <w:bookmarkEnd w:id="134"/>
    </w:p>
    <w:p w:rsidR="00E94344" w:rsidRDefault="00E94344" w:rsidP="00E94344">
      <w:pPr>
        <w:ind w:firstLine="567"/>
        <w:jc w:val="both"/>
        <w:rPr>
          <w:rFonts w:ascii="Arial" w:hAnsi="Arial" w:cs="Arial"/>
          <w:color w:val="000000"/>
        </w:rPr>
      </w:pPr>
      <w:r w:rsidRPr="009D5863">
        <w:rPr>
          <w:rFonts w:ascii="Arial" w:hAnsi="Arial" w:cs="Arial"/>
          <w:color w:val="000000"/>
        </w:rPr>
        <w:t>Las fuentes de información manejan diferentes sistemas de coordenadas al momento de generar un archivo shapefile o un archivo ráster, por ello es importante proyectar a un mismo sistema de coordenadas para que todas las capas involucradas estén homogenizadas para el modelo. El sistema Lambert Conformal Conic fue el sistema de coordenadas al que todas las capas se proyectaron, esto ayuda a obtener buenos resultados durante el proceso de modelaje debido a que abarca la extensión territorial completa del país y facilita la asignación de distancias por las unidades que maneja (metros).</w:t>
      </w:r>
    </w:p>
    <w:p w:rsidR="00E94344" w:rsidRPr="009D5863" w:rsidRDefault="00E94344" w:rsidP="00E94344">
      <w:pPr>
        <w:ind w:firstLine="567"/>
        <w:jc w:val="both"/>
        <w:rPr>
          <w:rFonts w:ascii="Arial" w:hAnsi="Arial" w:cs="Arial"/>
          <w:color w:val="000000"/>
        </w:rPr>
      </w:pPr>
    </w:p>
    <w:p w:rsidR="00E94344" w:rsidRPr="009D5863" w:rsidRDefault="00E94344" w:rsidP="00E94344">
      <w:pPr>
        <w:spacing w:line="360" w:lineRule="auto"/>
        <w:jc w:val="both"/>
        <w:rPr>
          <w:rFonts w:ascii="Arial" w:hAnsi="Arial" w:cs="Arial"/>
          <w:i/>
          <w:color w:val="000000"/>
        </w:rPr>
      </w:pPr>
      <w:bookmarkStart w:id="135" w:name="_Toc441825823"/>
      <w:r>
        <w:rPr>
          <w:rFonts w:ascii="Arial" w:hAnsi="Arial" w:cs="Arial"/>
          <w:i/>
          <w:color w:val="000000"/>
        </w:rPr>
        <w:t>3</w:t>
      </w:r>
      <w:r w:rsidRPr="009D5863">
        <w:rPr>
          <w:rFonts w:ascii="Arial" w:hAnsi="Arial" w:cs="Arial"/>
          <w:i/>
          <w:color w:val="000000"/>
        </w:rPr>
        <w:t>.3.2 Creación de contornos de proximidad (buffers)</w:t>
      </w:r>
      <w:bookmarkEnd w:id="135"/>
    </w:p>
    <w:p w:rsidR="00E94344" w:rsidRDefault="00E94344" w:rsidP="00E94344">
      <w:pPr>
        <w:ind w:firstLine="567"/>
        <w:jc w:val="both"/>
        <w:rPr>
          <w:rFonts w:ascii="Arial" w:hAnsi="Arial" w:cs="Arial"/>
          <w:color w:val="000000"/>
        </w:rPr>
      </w:pPr>
      <w:r w:rsidRPr="009D5863">
        <w:rPr>
          <w:rFonts w:ascii="Arial" w:hAnsi="Arial" w:cs="Arial"/>
          <w:color w:val="000000"/>
        </w:rPr>
        <w:lastRenderedPageBreak/>
        <w:t>Tanto para las restricciones como para las capas habilitadoras es necesario crear contornos de su área para establecer distancias viables o restrictivas para la construcción de los sistemas de cultivo.</w:t>
      </w:r>
    </w:p>
    <w:p w:rsidR="00E94344" w:rsidRDefault="00E94344" w:rsidP="00E94344">
      <w:pPr>
        <w:ind w:firstLine="567"/>
        <w:jc w:val="both"/>
        <w:rPr>
          <w:rFonts w:ascii="Arial" w:hAnsi="Arial" w:cs="Arial"/>
          <w:color w:val="000000"/>
        </w:rPr>
      </w:pPr>
    </w:p>
    <w:p w:rsidR="00E94344" w:rsidRPr="009D5863" w:rsidRDefault="00E94344" w:rsidP="00E94344">
      <w:pPr>
        <w:ind w:firstLine="567"/>
        <w:jc w:val="both"/>
        <w:rPr>
          <w:rFonts w:ascii="Arial" w:hAnsi="Arial" w:cs="Arial"/>
          <w:color w:val="000000"/>
        </w:rPr>
      </w:pPr>
    </w:p>
    <w:p w:rsidR="00E94344" w:rsidRPr="009D5863" w:rsidRDefault="00E94344" w:rsidP="00E94344">
      <w:pPr>
        <w:spacing w:line="360" w:lineRule="auto"/>
        <w:jc w:val="both"/>
        <w:rPr>
          <w:rFonts w:ascii="Arial" w:hAnsi="Arial" w:cs="Arial"/>
          <w:i/>
          <w:color w:val="000000"/>
        </w:rPr>
      </w:pPr>
      <w:bookmarkStart w:id="136" w:name="_Toc441825824"/>
      <w:r>
        <w:rPr>
          <w:rFonts w:ascii="Arial" w:hAnsi="Arial" w:cs="Arial"/>
          <w:i/>
          <w:color w:val="000000"/>
        </w:rPr>
        <w:t>3</w:t>
      </w:r>
      <w:r w:rsidRPr="009D5863">
        <w:rPr>
          <w:rFonts w:ascii="Arial" w:hAnsi="Arial" w:cs="Arial"/>
          <w:i/>
          <w:color w:val="000000"/>
        </w:rPr>
        <w:t>.3.3 Unión de archivos Shapefile según sus atributos</w:t>
      </w:r>
      <w:bookmarkEnd w:id="136"/>
    </w:p>
    <w:p w:rsidR="00E94344" w:rsidRDefault="00E94344" w:rsidP="00E94344">
      <w:pPr>
        <w:ind w:firstLine="567"/>
        <w:jc w:val="both"/>
        <w:rPr>
          <w:rFonts w:ascii="Arial" w:hAnsi="Arial" w:cs="Arial"/>
          <w:color w:val="000000"/>
        </w:rPr>
      </w:pPr>
      <w:r w:rsidRPr="009D5863">
        <w:rPr>
          <w:rFonts w:ascii="Arial" w:hAnsi="Arial" w:cs="Arial"/>
          <w:color w:val="000000"/>
        </w:rPr>
        <w:t xml:space="preserve">Una vez creados los contornos, se procedió con el procesamiento unión de aquellas capas que representan el mismo atributo en el modelo, por ejemplo, para el atributo agua, se realizó la unión de las capas de océano, cuerpos de agua y corrientes perenes. En esta parte se asignaron los valores del 1 al 5 a los anillos de distancia. Una vez realizada la unión con los mismos atributos se realizó nuevamente una unión ahora con el territorio mexicano asignando en un campo valores de sus polígonos iguales a cero para tener información de los pixeles en toda la república. </w:t>
      </w:r>
    </w:p>
    <w:p w:rsidR="00E94344" w:rsidRPr="009D5863" w:rsidRDefault="00E94344" w:rsidP="00E94344">
      <w:pPr>
        <w:ind w:firstLine="567"/>
        <w:jc w:val="both"/>
        <w:rPr>
          <w:rFonts w:ascii="Arial" w:hAnsi="Arial" w:cs="Arial"/>
          <w:color w:val="000000"/>
        </w:rPr>
      </w:pPr>
    </w:p>
    <w:p w:rsidR="00E94344" w:rsidRPr="009D5863" w:rsidRDefault="00E94344" w:rsidP="00E94344">
      <w:pPr>
        <w:spacing w:line="360" w:lineRule="auto"/>
        <w:jc w:val="both"/>
        <w:rPr>
          <w:rFonts w:ascii="Arial" w:hAnsi="Arial" w:cs="Arial"/>
          <w:i/>
          <w:color w:val="000000"/>
        </w:rPr>
      </w:pPr>
      <w:bookmarkStart w:id="137" w:name="_Toc441825825"/>
      <w:r>
        <w:rPr>
          <w:rFonts w:ascii="Arial" w:hAnsi="Arial" w:cs="Arial"/>
          <w:i/>
          <w:color w:val="000000"/>
        </w:rPr>
        <w:t>3</w:t>
      </w:r>
      <w:r w:rsidRPr="009D5863">
        <w:rPr>
          <w:rFonts w:ascii="Arial" w:hAnsi="Arial" w:cs="Arial"/>
          <w:i/>
          <w:color w:val="000000"/>
        </w:rPr>
        <w:t>.3.4 Transformación de archivos shapefile a ráster</w:t>
      </w:r>
      <w:bookmarkEnd w:id="137"/>
      <w:r w:rsidRPr="009D5863">
        <w:rPr>
          <w:rFonts w:ascii="Arial" w:hAnsi="Arial" w:cs="Arial"/>
          <w:i/>
          <w:color w:val="000000"/>
        </w:rPr>
        <w:t xml:space="preserve"> </w:t>
      </w:r>
    </w:p>
    <w:p w:rsidR="00E94344" w:rsidRDefault="00E94344" w:rsidP="00E94344">
      <w:pPr>
        <w:ind w:firstLine="567"/>
        <w:jc w:val="both"/>
        <w:rPr>
          <w:rFonts w:ascii="Arial" w:hAnsi="Arial" w:cs="Arial"/>
          <w:color w:val="000000"/>
        </w:rPr>
      </w:pPr>
      <w:r w:rsidRPr="009D5863">
        <w:rPr>
          <w:rFonts w:ascii="Arial" w:hAnsi="Arial" w:cs="Arial"/>
          <w:color w:val="000000"/>
        </w:rPr>
        <w:t xml:space="preserve">Ya que se obtuvieron capas ponderadas a partir de las uniones, se prosiguió con la transformación de archivos shapefile a un formato ráster con una resolución por pixel de 100m x 100m y con el valor asignado en la ponderación. </w:t>
      </w:r>
    </w:p>
    <w:p w:rsidR="00E94344" w:rsidRDefault="00E94344" w:rsidP="00E94344">
      <w:pPr>
        <w:ind w:firstLine="567"/>
        <w:jc w:val="both"/>
        <w:rPr>
          <w:rFonts w:ascii="Arial" w:hAnsi="Arial" w:cs="Arial"/>
          <w:color w:val="000000"/>
        </w:rPr>
      </w:pPr>
    </w:p>
    <w:p w:rsidR="00E94344" w:rsidRPr="009D5863" w:rsidRDefault="00E94344" w:rsidP="00E94344">
      <w:pPr>
        <w:ind w:firstLine="567"/>
        <w:jc w:val="both"/>
        <w:rPr>
          <w:rFonts w:ascii="Arial" w:hAnsi="Arial" w:cs="Arial"/>
          <w:color w:val="000000"/>
        </w:rPr>
      </w:pPr>
    </w:p>
    <w:p w:rsidR="00E94344" w:rsidRPr="009D5863" w:rsidRDefault="00E94344" w:rsidP="00E94344">
      <w:pPr>
        <w:spacing w:line="360" w:lineRule="auto"/>
        <w:jc w:val="both"/>
        <w:rPr>
          <w:rFonts w:ascii="Arial" w:hAnsi="Arial" w:cs="Arial"/>
          <w:i/>
          <w:color w:val="000000"/>
        </w:rPr>
      </w:pPr>
      <w:bookmarkStart w:id="138" w:name="_Toc441825826"/>
      <w:r>
        <w:rPr>
          <w:rFonts w:ascii="Arial" w:hAnsi="Arial" w:cs="Arial"/>
          <w:i/>
          <w:color w:val="000000"/>
        </w:rPr>
        <w:t>3</w:t>
      </w:r>
      <w:r w:rsidRPr="009D5863">
        <w:rPr>
          <w:rFonts w:ascii="Arial" w:hAnsi="Arial" w:cs="Arial"/>
          <w:i/>
          <w:color w:val="000000"/>
        </w:rPr>
        <w:t>.3.5 Reclasificación de valores en archivos ráster</w:t>
      </w:r>
      <w:bookmarkEnd w:id="138"/>
      <w:r w:rsidRPr="009D5863">
        <w:rPr>
          <w:rFonts w:ascii="Arial" w:hAnsi="Arial" w:cs="Arial"/>
          <w:i/>
          <w:color w:val="000000"/>
        </w:rPr>
        <w:t>.</w:t>
      </w:r>
      <w:r w:rsidRPr="009D5863">
        <w:rPr>
          <w:rFonts w:ascii="Arial" w:hAnsi="Arial" w:cs="Arial"/>
          <w:i/>
          <w:color w:val="000000"/>
        </w:rPr>
        <w:tab/>
      </w:r>
      <w:r w:rsidRPr="009D5863">
        <w:rPr>
          <w:rFonts w:ascii="Arial" w:hAnsi="Arial" w:cs="Arial"/>
          <w:i/>
          <w:color w:val="000000"/>
        </w:rPr>
        <w:tab/>
      </w:r>
    </w:p>
    <w:p w:rsidR="00E94344" w:rsidRDefault="00E94344" w:rsidP="00E94344">
      <w:pPr>
        <w:ind w:firstLine="567"/>
        <w:jc w:val="both"/>
        <w:rPr>
          <w:rFonts w:ascii="Arial" w:hAnsi="Arial" w:cs="Arial"/>
          <w:color w:val="000000"/>
        </w:rPr>
      </w:pPr>
      <w:r w:rsidRPr="009D5863">
        <w:rPr>
          <w:rFonts w:ascii="Arial" w:hAnsi="Arial" w:cs="Arial"/>
          <w:color w:val="000000"/>
        </w:rPr>
        <w:t xml:space="preserve">Los archivos ráster de temperatura, evaporación, radiación solar y pendiente se reclasificaron con los intervalos presentados en la </w:t>
      </w:r>
      <w:r>
        <w:rPr>
          <w:rFonts w:ascii="Arial" w:hAnsi="Arial" w:cs="Arial"/>
          <w:color w:val="000000"/>
        </w:rPr>
        <w:t>Tabla 1</w:t>
      </w:r>
      <w:r w:rsidRPr="009D5863">
        <w:rPr>
          <w:rFonts w:ascii="Arial" w:hAnsi="Arial" w:cs="Arial"/>
          <w:color w:val="000000"/>
        </w:rPr>
        <w:t>, por lo que los valores de sus pixeles solo quedaron comprendidos del 0 al 5. En el caso de la temperatura se asignó el valor de cero a todo los pixeles con temperaturas inferiores a los 15°C; y para la pendiente solo se reclasificó con valores de cero y cinco, donde cero representa aquellos pixeles con pendiente superior al 5% y el valor de cinco representa aquellos pixeles con valores inferiores o iguales al 5%.</w:t>
      </w:r>
    </w:p>
    <w:p w:rsidR="00E94344" w:rsidRPr="009D5863" w:rsidRDefault="00E94344" w:rsidP="00E94344">
      <w:pPr>
        <w:ind w:firstLine="567"/>
        <w:jc w:val="both"/>
        <w:rPr>
          <w:rFonts w:ascii="Arial" w:hAnsi="Arial" w:cs="Arial"/>
          <w:color w:val="000000"/>
        </w:rPr>
      </w:pPr>
    </w:p>
    <w:p w:rsidR="00E94344" w:rsidRPr="009D5863" w:rsidRDefault="00E94344" w:rsidP="00E94344">
      <w:pPr>
        <w:spacing w:line="360" w:lineRule="auto"/>
        <w:jc w:val="both"/>
        <w:rPr>
          <w:rFonts w:ascii="Arial" w:hAnsi="Arial" w:cs="Arial"/>
          <w:i/>
          <w:color w:val="000000"/>
        </w:rPr>
      </w:pPr>
      <w:r>
        <w:rPr>
          <w:rFonts w:ascii="Arial" w:hAnsi="Arial" w:cs="Arial"/>
          <w:i/>
          <w:color w:val="000000"/>
        </w:rPr>
        <w:t>3</w:t>
      </w:r>
      <w:r w:rsidRPr="009D5863">
        <w:rPr>
          <w:rFonts w:ascii="Arial" w:hAnsi="Arial" w:cs="Arial"/>
          <w:i/>
          <w:color w:val="000000"/>
        </w:rPr>
        <w:t>.3.6 Modelo</w:t>
      </w:r>
      <w:r w:rsidRPr="009D5863">
        <w:rPr>
          <w:rFonts w:ascii="Arial" w:hAnsi="Arial" w:cs="Arial"/>
          <w:i/>
          <w:color w:val="000000"/>
        </w:rPr>
        <w:tab/>
      </w:r>
    </w:p>
    <w:p w:rsidR="00E94344" w:rsidRPr="001D3A1D" w:rsidRDefault="00E94344" w:rsidP="00E94344">
      <w:pPr>
        <w:ind w:firstLine="567"/>
        <w:jc w:val="both"/>
      </w:pPr>
      <w:r>
        <w:rPr>
          <w:rFonts w:ascii="Arial" w:hAnsi="Arial" w:cs="Arial"/>
          <w:color w:val="000000"/>
        </w:rPr>
        <w:t>En</w:t>
      </w:r>
      <w:r w:rsidRPr="009D5863">
        <w:rPr>
          <w:rFonts w:ascii="Arial" w:hAnsi="Arial" w:cs="Arial"/>
          <w:color w:val="000000"/>
        </w:rPr>
        <w:t xml:space="preserve"> </w:t>
      </w:r>
      <w:r>
        <w:rPr>
          <w:rFonts w:ascii="Arial" w:hAnsi="Arial" w:cs="Arial"/>
          <w:color w:val="000000"/>
        </w:rPr>
        <w:t>la Figura 1 se muestra el d</w:t>
      </w:r>
      <w:r w:rsidRPr="009D5863">
        <w:rPr>
          <w:rFonts w:ascii="Arial" w:hAnsi="Arial" w:cs="Arial"/>
          <w:color w:val="000000"/>
        </w:rPr>
        <w:t xml:space="preserve">iagrama </w:t>
      </w:r>
      <w:r>
        <w:rPr>
          <w:rFonts w:ascii="Arial" w:hAnsi="Arial" w:cs="Arial"/>
          <w:color w:val="000000"/>
        </w:rPr>
        <w:t xml:space="preserve">donde </w:t>
      </w:r>
      <w:r w:rsidRPr="009D5863">
        <w:rPr>
          <w:rFonts w:ascii="Arial" w:hAnsi="Arial" w:cs="Arial"/>
          <w:color w:val="000000"/>
        </w:rPr>
        <w:t>se ilustra el modelo que se empleó para obtener la capa o el mapa de las zonas viables para la construcción de los sistemas de cultivo algal en el territorio mexicano.</w:t>
      </w:r>
    </w:p>
    <w:p w:rsidR="00E94344" w:rsidRPr="001D3A1D" w:rsidRDefault="00E94344" w:rsidP="00E94344">
      <w:pPr>
        <w:pStyle w:val="Textoartculo"/>
        <w:spacing w:line="360" w:lineRule="auto"/>
        <w:ind w:firstLine="0"/>
        <w:rPr>
          <w:sz w:val="24"/>
          <w:szCs w:val="24"/>
        </w:rPr>
      </w:pPr>
    </w:p>
    <w:p w:rsidR="00E94344" w:rsidRPr="001D3A1D" w:rsidRDefault="00E94344" w:rsidP="00E94344">
      <w:pPr>
        <w:pStyle w:val="Textoartculo"/>
        <w:spacing w:line="360" w:lineRule="auto"/>
        <w:ind w:firstLine="0"/>
        <w:rPr>
          <w:sz w:val="24"/>
          <w:szCs w:val="24"/>
        </w:rPr>
      </w:pPr>
    </w:p>
    <w:p w:rsidR="00E94344" w:rsidRDefault="00E94344" w:rsidP="00E94344">
      <w:pPr>
        <w:pStyle w:val="Textoartculo"/>
        <w:spacing w:line="360" w:lineRule="auto"/>
        <w:ind w:firstLine="0"/>
        <w:jc w:val="center"/>
        <w:rPr>
          <w:sz w:val="24"/>
          <w:szCs w:val="24"/>
        </w:rPr>
      </w:pPr>
      <w:r>
        <w:rPr>
          <w:noProof/>
          <w:lang w:val="en-US" w:eastAsia="en-US"/>
        </w:rPr>
        <w:lastRenderedPageBreak/>
        <mc:AlternateContent>
          <mc:Choice Requires="wps">
            <w:drawing>
              <wp:anchor distT="45720" distB="45720" distL="114300" distR="114300" simplePos="0" relativeHeight="251802624" behindDoc="0" locked="0" layoutInCell="1" allowOverlap="1" wp14:anchorId="1C0E45A8" wp14:editId="6A9309EE">
                <wp:simplePos x="0" y="0"/>
                <wp:positionH relativeFrom="column">
                  <wp:posOffset>60960</wp:posOffset>
                </wp:positionH>
                <wp:positionV relativeFrom="paragraph">
                  <wp:posOffset>48260</wp:posOffset>
                </wp:positionV>
                <wp:extent cx="314960" cy="266700"/>
                <wp:effectExtent l="3810" t="0" r="0" b="3175"/>
                <wp:wrapNone/>
                <wp:docPr id="1413571380" name="Cuadro de texto 1413571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96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20C0F" w:rsidRPr="00242380" w:rsidRDefault="00C20C0F" w:rsidP="00E94344">
                            <w:pPr>
                              <w:rPr>
                                <w:b/>
                              </w:rPr>
                            </w:pPr>
                            <w:r w:rsidRPr="00242380">
                              <w:rPr>
                                <w:b/>
                              </w:rPr>
                              <w: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C0E45A8" id="Cuadro de texto 1413571380" o:spid="_x0000_s1034" type="#_x0000_t202" style="position:absolute;left:0;text-align:left;margin-left:4.8pt;margin-top:3.8pt;width:24.8pt;height:21pt;z-index:251802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czZkQIAAC4FAAAOAAAAZHJzL2Uyb0RvYy54bWysVNuO0zAQfUfiHyy/d3PZ9JJo09W2JQhp&#10;uUgLH+DGTmOReILtNlkQ/87YabtlAQkh8uDYnvGZMzPHvrkd2oYchDYSVE6jq5ASoUrgUu1y+ulj&#10;MVlQYixTnDWgRE4fhaG3y5cvbvouEzHU0HChCYIok/VdTmtruywITFmLlpkr6IRCYwW6ZRaXehdw&#10;zXpEb5sgDsNZ0IPmnYZSGIO7m9FIlx6/qkRp31eVEZY0OUVu1o/aj1s3Bssblu0062pZHmmwf2DR&#10;Mqkw6Blqwywjey1/gWplqcFAZa9KaAOoKlkKnwNmE4XPsnmoWSd8Llgc053LZP4fbPnu8EETybF3&#10;SXQ9nUfXCyyTYi32ar1nXAPhglgxWCAXHli2vjMZnn7o8LwdVjAghC+B6e6h/GyIgnXN1E7caQ19&#10;LRhH2pEreHBxdMQxDmTbvwWOYdneggcaKt26mmKVCKIjr8dzy5AQKXHzOkrSGVpKNMWz2Tz0LQ1Y&#10;djrcaWNfC2iJm+RUoyI8ODvcG+vIsOzk4mIZaCQvZNP4hd5t140mB4bqKfzn+T9za5RzVuCOjYjj&#10;DnLEGM7m2Ho1fEujOAlXcTopZov5JCmS6SSdh4tJGKUrTCRJk03x3RGMkqyWnAt1L5U4KTNK/q7z&#10;xzsyasprk/Q5TafxdOzQH5MM/fe7JFtp8aI2ss3p4uzEMtfXV4pj2iyzTDbjPPiZvq8y1uD091Xx&#10;KnCNHyVgh+3gdbhw0Z1CtsAfURYasG3YYXxkcFKD/kpJjxc2p+bLnmlBSfNGobTSKEnQzfpFMp3H&#10;uNCXlu2lhakSoXJqKRmnazu+CvtOy12NkU5ivkM5FtJL5YnVUcR4KX1OxwfE3frLtfd6euaWPwAA&#10;AP//AwBQSwMEFAAGAAgAAAAhAGJzMELaAAAABQEAAA8AAABkcnMvZG93bnJldi54bWxMjsFOwzAQ&#10;RO9I/IO1SNyoQ0VLG+JUFRUXDkgUJHp0400cYa8j203D37Oc6Gm0M6PZV20m78SIMfWBFNzPChBI&#10;TTA9dQo+P17uViBS1mS0C4QKfjDBpr6+qnRpwpnecdznTvAIpVIrsDkPpZSpseh1moUBibM2RK8z&#10;n7GTJuozj3sn50WxlF73xB+sHvDZYvO9P3kFX972ZhffDq1x4+613S6GKQ5K3d5M2ycQGaf8X4Y/&#10;fEaHmpmO4UQmCadgveSigkcWThfrOYijgge2ZV3JS/r6FwAA//8DAFBLAQItABQABgAIAAAAIQC2&#10;gziS/gAAAOEBAAATAAAAAAAAAAAAAAAAAAAAAABbQ29udGVudF9UeXBlc10ueG1sUEsBAi0AFAAG&#10;AAgAAAAhADj9If/WAAAAlAEAAAsAAAAAAAAAAAAAAAAALwEAAF9yZWxzLy5yZWxzUEsBAi0AFAAG&#10;AAgAAAAhABW9zNmRAgAALgUAAA4AAAAAAAAAAAAAAAAALgIAAGRycy9lMm9Eb2MueG1sUEsBAi0A&#10;FAAGAAgAAAAhAGJzMELaAAAABQEAAA8AAAAAAAAAAAAAAAAA6wQAAGRycy9kb3ducmV2LnhtbFBL&#10;BQYAAAAABAAEAPMAAADyBQAAAAA=&#10;" stroked="f">
                <v:textbox style="mso-fit-shape-to-text:t">
                  <w:txbxContent>
                    <w:p w:rsidR="00C20C0F" w:rsidRPr="00242380" w:rsidRDefault="00C20C0F" w:rsidP="00E94344">
                      <w:pPr>
                        <w:rPr>
                          <w:b/>
                        </w:rPr>
                      </w:pPr>
                      <w:r w:rsidRPr="00242380">
                        <w:rPr>
                          <w:b/>
                        </w:rPr>
                        <w:t>a)</w:t>
                      </w:r>
                    </w:p>
                  </w:txbxContent>
                </v:textbox>
              </v:shape>
            </w:pict>
          </mc:Fallback>
        </mc:AlternateContent>
      </w:r>
      <w:r w:rsidRPr="009D5863">
        <w:rPr>
          <w:noProof/>
          <w:lang w:val="en-US" w:eastAsia="en-US"/>
        </w:rPr>
        <w:drawing>
          <wp:inline distT="0" distB="0" distL="0" distR="0" wp14:anchorId="25F0EFBD" wp14:editId="2729FE4D">
            <wp:extent cx="6276975" cy="6276975"/>
            <wp:effectExtent l="0" t="0" r="9525" b="9525"/>
            <wp:docPr id="1413571371" name="Imagen 141357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66">
                      <a:extLst>
                        <a:ext uri="{28A0092B-C50C-407E-A947-70E740481C1C}">
                          <a14:useLocalDpi xmlns:a14="http://schemas.microsoft.com/office/drawing/2010/main" val="0"/>
                        </a:ext>
                      </a:extLst>
                    </a:blip>
                    <a:srcRect l="31197" t="16559" r="28824" b="12140"/>
                    <a:stretch>
                      <a:fillRect/>
                    </a:stretch>
                  </pic:blipFill>
                  <pic:spPr bwMode="auto">
                    <a:xfrm>
                      <a:off x="0" y="0"/>
                      <a:ext cx="6276975" cy="6276975"/>
                    </a:xfrm>
                    <a:prstGeom prst="rect">
                      <a:avLst/>
                    </a:prstGeom>
                    <a:noFill/>
                    <a:ln>
                      <a:noFill/>
                    </a:ln>
                  </pic:spPr>
                </pic:pic>
              </a:graphicData>
            </a:graphic>
          </wp:inline>
        </w:drawing>
      </w:r>
    </w:p>
    <w:p w:rsidR="00E94344" w:rsidRPr="00FE185F" w:rsidRDefault="00E94344" w:rsidP="00E94344">
      <w:pPr>
        <w:rPr>
          <w:lang w:val="es-CO" w:eastAsia="es-ES"/>
        </w:rPr>
      </w:pPr>
    </w:p>
    <w:p w:rsidR="00E94344" w:rsidRPr="00FE185F" w:rsidRDefault="00E94344" w:rsidP="00E94344">
      <w:pPr>
        <w:rPr>
          <w:lang w:val="es-CO" w:eastAsia="es-ES"/>
        </w:rPr>
      </w:pPr>
    </w:p>
    <w:p w:rsidR="00E94344" w:rsidRDefault="00E94344" w:rsidP="00E94344">
      <w:pPr>
        <w:rPr>
          <w:lang w:val="es-CO" w:eastAsia="es-ES"/>
        </w:rPr>
      </w:pPr>
    </w:p>
    <w:p w:rsidR="00E94344" w:rsidRPr="00FE185F" w:rsidRDefault="00E94344" w:rsidP="00E94344">
      <w:pPr>
        <w:tabs>
          <w:tab w:val="left" w:pos="3727"/>
        </w:tabs>
        <w:rPr>
          <w:lang w:val="es-CO" w:eastAsia="es-ES"/>
        </w:rPr>
      </w:pPr>
    </w:p>
    <w:p w:rsidR="00E94344" w:rsidRDefault="00E94344" w:rsidP="00E94344">
      <w:pPr>
        <w:pStyle w:val="Textoartculo"/>
        <w:spacing w:line="360" w:lineRule="auto"/>
        <w:ind w:firstLine="0"/>
        <w:jc w:val="center"/>
        <w:rPr>
          <w:noProof/>
          <w:lang w:val="es-MX" w:eastAsia="es-MX"/>
        </w:rPr>
      </w:pPr>
      <w:r>
        <w:rPr>
          <w:noProof/>
          <w:lang w:val="en-US" w:eastAsia="en-US"/>
        </w:rPr>
        <w:lastRenderedPageBreak/>
        <mc:AlternateContent>
          <mc:Choice Requires="wps">
            <w:drawing>
              <wp:anchor distT="45720" distB="45720" distL="114300" distR="114300" simplePos="0" relativeHeight="251801600" behindDoc="0" locked="0" layoutInCell="1" allowOverlap="1" wp14:anchorId="110DA53F" wp14:editId="53890A1F">
                <wp:simplePos x="0" y="0"/>
                <wp:positionH relativeFrom="column">
                  <wp:posOffset>189865</wp:posOffset>
                </wp:positionH>
                <wp:positionV relativeFrom="paragraph">
                  <wp:posOffset>135255</wp:posOffset>
                </wp:positionV>
                <wp:extent cx="345440" cy="266700"/>
                <wp:effectExtent l="0" t="0" r="1905" b="635"/>
                <wp:wrapNone/>
                <wp:docPr id="1413571379" name="Cuadro de texto 1413571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20C0F" w:rsidRPr="00242380" w:rsidRDefault="00C20C0F" w:rsidP="00E94344">
                            <w:pPr>
                              <w:rPr>
                                <w:b/>
                              </w:rPr>
                            </w:pPr>
                            <w:r w:rsidRPr="00242380">
                              <w:rPr>
                                <w:b/>
                              </w:rPr>
                              <w:t>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10DA53F" id="Cuadro de texto 1413571379" o:spid="_x0000_s1035" type="#_x0000_t202" style="position:absolute;left:0;text-align:left;margin-left:14.95pt;margin-top:10.65pt;width:27.2pt;height:21pt;z-index:251801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0gkQIAAC4FAAAOAAAAZHJzL2Uyb0RvYy54bWysVNuO0zAQfUfiHyy/d3PZ9JJo09W2JQhp&#10;uUgLH+DGTmOReILtNlkQ/87YabtlAQkh8uDYnvGZMzPHvrkd2oYchDYSVE6jq5ASoUrgUu1y+ulj&#10;MVlQYixTnDWgRE4fhaG3y5cvbvouEzHU0HChCYIok/VdTmtruywITFmLlpkr6IRCYwW6ZRaXehdw&#10;zXpEb5sgDsNZ0IPmnYZSGIO7m9FIlx6/qkRp31eVEZY0OUVu1o/aj1s3Bssblu0062pZHmmwf2DR&#10;Mqkw6Blqwywjey1/gWplqcFAZa9KaAOoKlkKnwNmE4XPsnmoWSd8Llgc053LZP4fbPnu8EETybF3&#10;SXQ9nUfX85QSxVrs1XrPuAbCBbFisEAuPLBsfWcyPP3Q4Xk7rGBACF8C091D+dkQBeuaqZ240xr6&#10;WjCOtCNX8ODi6IhjHMi2fwscw7K9BQ80VLp1NcUqEUTH9j2eW4aESImb18k0SdBSoimezeahb2nA&#10;stPhThv7WkBL3CSnGhXhwdnh3lhHhmUnFxfLQCN5IZvGL/Ruu240OTBUT+E/z/+ZW6OcswJ3bEQc&#10;d5AjxnA2x9ar4VsaxUm4itNJMVvMJ0mRTCfpPFxMwihdpbMwSZNN8d0RjJKslpwLdS+VOCkzSv6u&#10;88c7MmrKa5P0OU2n8XTs0B+TDP33uyRbafGiNrLN6eLsxDLX11eKY9oss0w24zz4mb6vMtbg9PdV&#10;8SpwjR8lYIft4HWYuuhOIVvgjygLDdg27DA+MjipQX+lpMcLm1PzZc+0oKR5o1BaaeSFYP0imc5j&#10;PKMvLdtLC1MlQuXUUjJO13Z8FfadlrsaI53EfIdyLKSXyhOro4jxUvqcjg+Iu/WXa+/19MwtfwAA&#10;AP//AwBQSwMEFAAGAAgAAAAhAIf61ljbAAAABwEAAA8AAABkcnMvZG93bnJldi54bWxMjk9Lw0AU&#10;xO+C32F5gje7aaOlTbMpxeLFg2AV9LjNvmRD9x+72zR+e58nexqGGWZ+9Xayho0Y0+CdgPmsAIau&#10;9WpwvYDPj5eHFbCUpVPSeIcCfjDBtrm9qWWl/MW943jIPaMRlyopQOccKs5Tq9HKNPMBHWWdj1Zm&#10;srHnKsoLjVvDF0Wx5FYOjh60DPissT0dzlbAl9WD2se3706Zcf/a7Z7CFIMQ93fTbgMs45T/y/CH&#10;T+jQENPRn51KzAhYrNfUJJ2XwChfPZIeBSzLEnhT82v+5hcAAP//AwBQSwECLQAUAAYACAAAACEA&#10;toM4kv4AAADhAQAAEwAAAAAAAAAAAAAAAAAAAAAAW0NvbnRlbnRfVHlwZXNdLnhtbFBLAQItABQA&#10;BgAIAAAAIQA4/SH/1gAAAJQBAAALAAAAAAAAAAAAAAAAAC8BAABfcmVscy8ucmVsc1BLAQItABQA&#10;BgAIAAAAIQCqd/0gkQIAAC4FAAAOAAAAAAAAAAAAAAAAAC4CAABkcnMvZTJvRG9jLnhtbFBLAQIt&#10;ABQABgAIAAAAIQCH+tZY2wAAAAcBAAAPAAAAAAAAAAAAAAAAAOsEAABkcnMvZG93bnJldi54bWxQ&#10;SwUGAAAAAAQABADzAAAA8wUAAAAA&#10;" stroked="f">
                <v:textbox style="mso-fit-shape-to-text:t">
                  <w:txbxContent>
                    <w:p w:rsidR="00C20C0F" w:rsidRPr="00242380" w:rsidRDefault="00C20C0F" w:rsidP="00E94344">
                      <w:pPr>
                        <w:rPr>
                          <w:b/>
                        </w:rPr>
                      </w:pPr>
                      <w:r w:rsidRPr="00242380">
                        <w:rPr>
                          <w:b/>
                        </w:rPr>
                        <w:t>b)</w:t>
                      </w:r>
                    </w:p>
                  </w:txbxContent>
                </v:textbox>
              </v:shape>
            </w:pict>
          </mc:Fallback>
        </mc:AlternateContent>
      </w:r>
      <w:r w:rsidRPr="009D5863">
        <w:rPr>
          <w:noProof/>
          <w:lang w:val="en-US" w:eastAsia="en-US"/>
        </w:rPr>
        <w:drawing>
          <wp:inline distT="0" distB="0" distL="0" distR="0" wp14:anchorId="4B5635DB" wp14:editId="455CF04B">
            <wp:extent cx="5467350" cy="5429250"/>
            <wp:effectExtent l="0" t="0" r="0" b="0"/>
            <wp:docPr id="1413571370" name="Imagen 141357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67">
                      <a:extLst>
                        <a:ext uri="{28A0092B-C50C-407E-A947-70E740481C1C}">
                          <a14:useLocalDpi xmlns:a14="http://schemas.microsoft.com/office/drawing/2010/main" val="0"/>
                        </a:ext>
                      </a:extLst>
                    </a:blip>
                    <a:srcRect l="31979" t="17313" r="30702" b="16971"/>
                    <a:stretch>
                      <a:fillRect/>
                    </a:stretch>
                  </pic:blipFill>
                  <pic:spPr bwMode="auto">
                    <a:xfrm>
                      <a:off x="0" y="0"/>
                      <a:ext cx="5467350" cy="5429250"/>
                    </a:xfrm>
                    <a:prstGeom prst="rect">
                      <a:avLst/>
                    </a:prstGeom>
                    <a:noFill/>
                    <a:ln>
                      <a:noFill/>
                    </a:ln>
                  </pic:spPr>
                </pic:pic>
              </a:graphicData>
            </a:graphic>
          </wp:inline>
        </w:drawing>
      </w:r>
    </w:p>
    <w:p w:rsidR="00E94344" w:rsidRDefault="00E94344" w:rsidP="00E94344">
      <w:pPr>
        <w:jc w:val="center"/>
        <w:rPr>
          <w:rFonts w:ascii="Arial" w:hAnsi="Arial" w:cs="Arial"/>
          <w:bCs/>
          <w:i/>
          <w:sz w:val="20"/>
          <w:szCs w:val="20"/>
        </w:rPr>
      </w:pPr>
      <w:r w:rsidRPr="000E0078">
        <w:rPr>
          <w:rFonts w:ascii="Arial" w:hAnsi="Arial" w:cs="Arial"/>
          <w:bCs/>
          <w:i/>
          <w:sz w:val="20"/>
          <w:szCs w:val="20"/>
        </w:rPr>
        <w:t xml:space="preserve">Figura 1. </w:t>
      </w:r>
      <w:r>
        <w:rPr>
          <w:rFonts w:ascii="Arial" w:hAnsi="Arial" w:cs="Arial"/>
          <w:bCs/>
          <w:i/>
          <w:sz w:val="20"/>
          <w:szCs w:val="20"/>
        </w:rPr>
        <w:t xml:space="preserve">Diagrama (sección a y b) </w:t>
      </w:r>
      <w:r w:rsidRPr="00FE185F">
        <w:rPr>
          <w:rFonts w:ascii="Arial" w:hAnsi="Arial" w:cs="Arial"/>
          <w:bCs/>
          <w:i/>
          <w:sz w:val="20"/>
          <w:szCs w:val="20"/>
        </w:rPr>
        <w:t xml:space="preserve">donde se </w:t>
      </w:r>
      <w:r>
        <w:rPr>
          <w:rFonts w:ascii="Arial" w:hAnsi="Arial" w:cs="Arial"/>
          <w:bCs/>
          <w:i/>
          <w:sz w:val="20"/>
          <w:szCs w:val="20"/>
        </w:rPr>
        <w:t>esquematiza</w:t>
      </w:r>
      <w:r w:rsidRPr="00FE185F">
        <w:rPr>
          <w:rFonts w:ascii="Arial" w:hAnsi="Arial" w:cs="Arial"/>
          <w:bCs/>
          <w:i/>
          <w:sz w:val="20"/>
          <w:szCs w:val="20"/>
        </w:rPr>
        <w:t xml:space="preserve"> el modelo para obtener el mapa de las zonas viables para la construcción de los sistemas de cultivo algal en el territorio mexicano</w:t>
      </w:r>
      <w:r>
        <w:rPr>
          <w:rFonts w:ascii="Arial" w:hAnsi="Arial" w:cs="Arial"/>
          <w:bCs/>
          <w:i/>
          <w:sz w:val="20"/>
          <w:szCs w:val="20"/>
        </w:rPr>
        <w:t>.</w:t>
      </w:r>
    </w:p>
    <w:p w:rsidR="00E94344" w:rsidRDefault="00E94344" w:rsidP="00E94344">
      <w:pPr>
        <w:pStyle w:val="Textoartculo"/>
        <w:spacing w:line="360" w:lineRule="auto"/>
        <w:ind w:firstLine="0"/>
        <w:jc w:val="center"/>
        <w:rPr>
          <w:sz w:val="24"/>
          <w:szCs w:val="24"/>
        </w:rPr>
      </w:pPr>
    </w:p>
    <w:p w:rsidR="00E94344" w:rsidRDefault="00E94344" w:rsidP="00E94344">
      <w:pPr>
        <w:ind w:firstLine="567"/>
        <w:jc w:val="both"/>
        <w:rPr>
          <w:rFonts w:ascii="Arial" w:hAnsi="Arial" w:cs="Arial"/>
          <w:color w:val="000000"/>
        </w:rPr>
      </w:pPr>
      <w:r w:rsidRPr="009D5863">
        <w:rPr>
          <w:rFonts w:ascii="Arial" w:hAnsi="Arial" w:cs="Arial"/>
          <w:color w:val="000000"/>
        </w:rPr>
        <w:t xml:space="preserve">Existen dos herramientas en el software ArcMap que se utilizan en modelos con capas ráster, en este caso es la suma ponderada. </w:t>
      </w:r>
      <w:r w:rsidRPr="009D5863">
        <w:rPr>
          <w:rFonts w:ascii="Arial" w:hAnsi="Arial" w:cs="Arial"/>
          <w:i/>
          <w:color w:val="000000"/>
        </w:rPr>
        <w:t>Weigthed Overlay</w:t>
      </w:r>
      <w:r w:rsidRPr="009D5863">
        <w:rPr>
          <w:rFonts w:ascii="Arial" w:hAnsi="Arial" w:cs="Arial"/>
          <w:color w:val="000000"/>
        </w:rPr>
        <w:t xml:space="preserve"> permite asignar valores de porcentaje en el peso de influencia de cada capa involucrada en el modelo, mientras que </w:t>
      </w:r>
      <w:r w:rsidRPr="009D5863">
        <w:rPr>
          <w:rFonts w:ascii="Arial" w:hAnsi="Arial" w:cs="Arial"/>
          <w:i/>
          <w:color w:val="000000"/>
        </w:rPr>
        <w:t>Weigthed</w:t>
      </w:r>
      <w:r w:rsidRPr="009D5863">
        <w:rPr>
          <w:rFonts w:ascii="Arial" w:hAnsi="Arial" w:cs="Arial"/>
          <w:color w:val="000000"/>
        </w:rPr>
        <w:t xml:space="preserve"> sum solo realiza la suma de los valores de los pixeles considerando que todas las capas tienen el mismo peso de influencia en el modelo.</w:t>
      </w:r>
    </w:p>
    <w:p w:rsidR="00E94344" w:rsidRPr="009D5863" w:rsidRDefault="00E94344" w:rsidP="00E94344">
      <w:pPr>
        <w:ind w:firstLine="567"/>
        <w:jc w:val="both"/>
        <w:rPr>
          <w:rFonts w:ascii="Arial" w:hAnsi="Arial" w:cs="Arial"/>
          <w:color w:val="000000"/>
        </w:rPr>
      </w:pPr>
    </w:p>
    <w:p w:rsidR="00E94344" w:rsidRPr="009D5863" w:rsidRDefault="00E94344" w:rsidP="00E94344">
      <w:pPr>
        <w:spacing w:line="360" w:lineRule="auto"/>
        <w:jc w:val="both"/>
        <w:rPr>
          <w:rFonts w:ascii="Arial" w:hAnsi="Arial" w:cs="Arial"/>
          <w:i/>
          <w:color w:val="000000"/>
        </w:rPr>
      </w:pPr>
      <w:bookmarkStart w:id="139" w:name="_Toc441825828"/>
      <w:r>
        <w:rPr>
          <w:rFonts w:ascii="Arial" w:hAnsi="Arial" w:cs="Arial"/>
          <w:i/>
          <w:color w:val="000000"/>
        </w:rPr>
        <w:t>3</w:t>
      </w:r>
      <w:r w:rsidRPr="009D5863">
        <w:rPr>
          <w:rFonts w:ascii="Arial" w:hAnsi="Arial" w:cs="Arial"/>
          <w:i/>
          <w:color w:val="000000"/>
        </w:rPr>
        <w:t>.3.7 Aplicación de las restricciones al modelo</w:t>
      </w:r>
      <w:bookmarkEnd w:id="139"/>
    </w:p>
    <w:p w:rsidR="00E94344" w:rsidRPr="009D5863" w:rsidRDefault="00E94344" w:rsidP="00E94344">
      <w:pPr>
        <w:ind w:firstLine="567"/>
        <w:jc w:val="both"/>
        <w:rPr>
          <w:rFonts w:ascii="Arial" w:hAnsi="Arial" w:cs="Arial"/>
          <w:color w:val="000000"/>
        </w:rPr>
      </w:pPr>
      <w:r w:rsidRPr="009D5863">
        <w:rPr>
          <w:rFonts w:ascii="Arial" w:hAnsi="Arial" w:cs="Arial"/>
          <w:color w:val="000000"/>
        </w:rPr>
        <w:lastRenderedPageBreak/>
        <w:t xml:space="preserve">La participación de las capas restrictivas se realizó al final del modelo, en </w:t>
      </w:r>
      <w:r>
        <w:rPr>
          <w:rFonts w:ascii="Arial" w:hAnsi="Arial" w:cs="Arial"/>
          <w:color w:val="000000"/>
        </w:rPr>
        <w:t>la Figura 2 se muestra el</w:t>
      </w:r>
      <w:r w:rsidRPr="009D5863">
        <w:rPr>
          <w:rFonts w:ascii="Arial" w:hAnsi="Arial" w:cs="Arial"/>
          <w:color w:val="000000"/>
        </w:rPr>
        <w:t xml:space="preserve"> diagrama </w:t>
      </w:r>
      <w:r>
        <w:rPr>
          <w:rFonts w:ascii="Arial" w:hAnsi="Arial" w:cs="Arial"/>
          <w:color w:val="000000"/>
        </w:rPr>
        <w:t xml:space="preserve">donde </w:t>
      </w:r>
      <w:r w:rsidRPr="009D5863">
        <w:rPr>
          <w:rFonts w:ascii="Arial" w:hAnsi="Arial" w:cs="Arial"/>
          <w:color w:val="000000"/>
        </w:rPr>
        <w:t>se describe la obtención de la capa restrictiva y cómo se obtuvo solamente el área hábil para la construcción de los sistemas de cultivo.</w:t>
      </w:r>
    </w:p>
    <w:p w:rsidR="00E94344" w:rsidRPr="002850B6" w:rsidRDefault="00E94344" w:rsidP="00E94344">
      <w:pPr>
        <w:pStyle w:val="Textoartculo"/>
        <w:spacing w:line="360" w:lineRule="auto"/>
        <w:ind w:firstLine="0"/>
        <w:rPr>
          <w:sz w:val="24"/>
          <w:szCs w:val="24"/>
        </w:rPr>
      </w:pPr>
    </w:p>
    <w:p w:rsidR="00E94344" w:rsidRDefault="00E94344" w:rsidP="00E94344">
      <w:pPr>
        <w:pStyle w:val="Textoartculo"/>
        <w:spacing w:line="360" w:lineRule="auto"/>
        <w:ind w:firstLine="0"/>
        <w:jc w:val="center"/>
        <w:rPr>
          <w:sz w:val="24"/>
          <w:szCs w:val="24"/>
        </w:rPr>
      </w:pPr>
      <w:r w:rsidRPr="009D5863">
        <w:rPr>
          <w:noProof/>
          <w:lang w:val="en-US" w:eastAsia="en-US"/>
        </w:rPr>
        <w:drawing>
          <wp:inline distT="0" distB="0" distL="0" distR="0" wp14:anchorId="197B5001" wp14:editId="2AB8F947">
            <wp:extent cx="5286375" cy="3476625"/>
            <wp:effectExtent l="0" t="0" r="9525" b="9525"/>
            <wp:docPr id="1413571369" name="Imagen 141357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568">
                      <a:extLst>
                        <a:ext uri="{28A0092B-C50C-407E-A947-70E740481C1C}">
                          <a14:useLocalDpi xmlns:a14="http://schemas.microsoft.com/office/drawing/2010/main" val="0"/>
                        </a:ext>
                      </a:extLst>
                    </a:blip>
                    <a:srcRect l="24837" t="24327" r="20532" b="11983"/>
                    <a:stretch>
                      <a:fillRect/>
                    </a:stretch>
                  </pic:blipFill>
                  <pic:spPr bwMode="auto">
                    <a:xfrm>
                      <a:off x="0" y="0"/>
                      <a:ext cx="5286375" cy="3476625"/>
                    </a:xfrm>
                    <a:prstGeom prst="rect">
                      <a:avLst/>
                    </a:prstGeom>
                    <a:noFill/>
                    <a:ln>
                      <a:noFill/>
                    </a:ln>
                  </pic:spPr>
                </pic:pic>
              </a:graphicData>
            </a:graphic>
          </wp:inline>
        </w:drawing>
      </w:r>
    </w:p>
    <w:p w:rsidR="00E94344" w:rsidRDefault="00E94344" w:rsidP="00E94344">
      <w:pPr>
        <w:pStyle w:val="Textoartculo"/>
        <w:spacing w:line="360" w:lineRule="auto"/>
        <w:ind w:firstLine="0"/>
        <w:jc w:val="center"/>
        <w:rPr>
          <w:rFonts w:ascii="Arial" w:hAnsi="Arial" w:cs="Arial"/>
          <w:b/>
          <w:sz w:val="24"/>
        </w:rPr>
      </w:pPr>
      <w:r w:rsidRPr="009D5863">
        <w:rPr>
          <w:noProof/>
          <w:lang w:val="en-US" w:eastAsia="en-US"/>
        </w:rPr>
        <w:lastRenderedPageBreak/>
        <w:drawing>
          <wp:inline distT="0" distB="0" distL="0" distR="0" wp14:anchorId="153FD424" wp14:editId="4CBA1729">
            <wp:extent cx="5143500" cy="4171950"/>
            <wp:effectExtent l="0" t="0" r="0" b="0"/>
            <wp:docPr id="1413571368" name="Imagen 141357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569">
                      <a:extLst>
                        <a:ext uri="{28A0092B-C50C-407E-A947-70E740481C1C}">
                          <a14:useLocalDpi xmlns:a14="http://schemas.microsoft.com/office/drawing/2010/main" val="0"/>
                        </a:ext>
                      </a:extLst>
                    </a:blip>
                    <a:srcRect l="30002" t="19966" r="22328" b="10567"/>
                    <a:stretch>
                      <a:fillRect/>
                    </a:stretch>
                  </pic:blipFill>
                  <pic:spPr bwMode="auto">
                    <a:xfrm>
                      <a:off x="0" y="0"/>
                      <a:ext cx="5143500" cy="4171950"/>
                    </a:xfrm>
                    <a:prstGeom prst="rect">
                      <a:avLst/>
                    </a:prstGeom>
                    <a:noFill/>
                    <a:ln>
                      <a:noFill/>
                    </a:ln>
                  </pic:spPr>
                </pic:pic>
              </a:graphicData>
            </a:graphic>
          </wp:inline>
        </w:drawing>
      </w:r>
      <w:r>
        <w:rPr>
          <w:rFonts w:ascii="Arial" w:hAnsi="Arial" w:cs="Arial"/>
          <w:b/>
          <w:sz w:val="24"/>
        </w:rPr>
        <w:t xml:space="preserve">  </w:t>
      </w:r>
    </w:p>
    <w:p w:rsidR="00E94344" w:rsidRPr="00A513AD" w:rsidRDefault="00E94344" w:rsidP="00E94344">
      <w:pPr>
        <w:jc w:val="center"/>
        <w:rPr>
          <w:rFonts w:ascii="Arial" w:hAnsi="Arial" w:cs="Arial"/>
          <w:i/>
        </w:rPr>
      </w:pPr>
      <w:r w:rsidRPr="000E0078">
        <w:rPr>
          <w:rFonts w:ascii="Arial" w:hAnsi="Arial" w:cs="Arial"/>
          <w:bCs/>
          <w:i/>
          <w:sz w:val="20"/>
          <w:szCs w:val="20"/>
        </w:rPr>
        <w:t xml:space="preserve">Figura </w:t>
      </w:r>
      <w:r>
        <w:rPr>
          <w:rFonts w:ascii="Arial" w:hAnsi="Arial" w:cs="Arial"/>
          <w:bCs/>
          <w:i/>
          <w:sz w:val="20"/>
          <w:szCs w:val="20"/>
        </w:rPr>
        <w:t>2</w:t>
      </w:r>
      <w:r w:rsidRPr="000E0078">
        <w:rPr>
          <w:rFonts w:ascii="Arial" w:hAnsi="Arial" w:cs="Arial"/>
          <w:bCs/>
          <w:i/>
          <w:sz w:val="20"/>
          <w:szCs w:val="20"/>
        </w:rPr>
        <w:t xml:space="preserve">. </w:t>
      </w:r>
      <w:r>
        <w:rPr>
          <w:rFonts w:ascii="Arial" w:hAnsi="Arial" w:cs="Arial"/>
          <w:bCs/>
          <w:i/>
          <w:sz w:val="20"/>
          <w:szCs w:val="20"/>
        </w:rPr>
        <w:t xml:space="preserve">Diagrama del proceso de </w:t>
      </w:r>
      <w:r w:rsidRPr="00ED7312">
        <w:rPr>
          <w:rFonts w:ascii="Arial" w:hAnsi="Arial" w:cs="Arial"/>
          <w:bCs/>
          <w:i/>
          <w:sz w:val="20"/>
          <w:szCs w:val="20"/>
        </w:rPr>
        <w:t xml:space="preserve">obtención de la capa restrictiva y área </w:t>
      </w:r>
      <w:r>
        <w:rPr>
          <w:rFonts w:ascii="Arial" w:hAnsi="Arial" w:cs="Arial"/>
          <w:bCs/>
          <w:i/>
          <w:sz w:val="20"/>
          <w:szCs w:val="20"/>
        </w:rPr>
        <w:t>con aptitud</w:t>
      </w:r>
      <w:r w:rsidRPr="00ED7312">
        <w:rPr>
          <w:rFonts w:ascii="Arial" w:hAnsi="Arial" w:cs="Arial"/>
          <w:bCs/>
          <w:i/>
          <w:sz w:val="20"/>
          <w:szCs w:val="20"/>
        </w:rPr>
        <w:t xml:space="preserve"> para la construcción de los sistemas de cultivo</w:t>
      </w:r>
      <w:r>
        <w:rPr>
          <w:rFonts w:ascii="Arial" w:hAnsi="Arial" w:cs="Arial"/>
          <w:bCs/>
          <w:i/>
          <w:sz w:val="20"/>
          <w:szCs w:val="20"/>
        </w:rPr>
        <w:t xml:space="preserve"> en el territorio mexicano.</w:t>
      </w:r>
      <w:r>
        <w:rPr>
          <w:rFonts w:ascii="Arial" w:hAnsi="Arial" w:cs="Arial"/>
          <w:b/>
        </w:rPr>
        <w:t xml:space="preserve">  </w:t>
      </w:r>
    </w:p>
    <w:p w:rsidR="00E94344" w:rsidRPr="00E94344" w:rsidRDefault="00E94344" w:rsidP="00E94344">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140" w:name="_Toc50031245"/>
      <w:r w:rsidRPr="00E94344">
        <w:rPr>
          <w:rFonts w:ascii="Arial" w:hAnsi="Arial" w:cs="Arial"/>
          <w:i/>
          <w:caps/>
          <w:sz w:val="24"/>
          <w:szCs w:val="24"/>
        </w:rPr>
        <w:t xml:space="preserve">4. </w:t>
      </w:r>
      <w:r w:rsidRPr="00E94344">
        <w:rPr>
          <w:rFonts w:ascii="Arial" w:hAnsi="Arial" w:cs="Arial"/>
          <w:i/>
          <w:sz w:val="24"/>
          <w:szCs w:val="24"/>
        </w:rPr>
        <w:t>Resultados y discusión</w:t>
      </w:r>
      <w:bookmarkEnd w:id="140"/>
    </w:p>
    <w:p w:rsidR="00E94344" w:rsidRDefault="00E94344" w:rsidP="00E94344">
      <w:pPr>
        <w:ind w:firstLine="567"/>
        <w:jc w:val="both"/>
        <w:rPr>
          <w:rFonts w:ascii="Arial" w:hAnsi="Arial" w:cs="Arial"/>
          <w:color w:val="000000"/>
        </w:rPr>
      </w:pPr>
      <w:r w:rsidRPr="000E0078">
        <w:rPr>
          <w:rFonts w:ascii="Arial" w:hAnsi="Arial" w:cs="Arial"/>
          <w:color w:val="000000"/>
        </w:rPr>
        <w:t xml:space="preserve">Se realizaron tres mapas con la herramienta </w:t>
      </w:r>
      <w:r w:rsidRPr="000E0078">
        <w:rPr>
          <w:rFonts w:ascii="Arial" w:hAnsi="Arial" w:cs="Arial"/>
          <w:i/>
          <w:color w:val="000000"/>
        </w:rPr>
        <w:t>Weighted Overlay</w:t>
      </w:r>
      <w:r w:rsidRPr="000E0078">
        <w:rPr>
          <w:rFonts w:ascii="Arial" w:hAnsi="Arial" w:cs="Arial"/>
          <w:color w:val="000000"/>
        </w:rPr>
        <w:t xml:space="preserve">, cada uno con diferentes pesos de influencia de las capas del modelo, en la Figura </w:t>
      </w:r>
      <w:r>
        <w:rPr>
          <w:rFonts w:ascii="Arial" w:hAnsi="Arial" w:cs="Arial"/>
          <w:color w:val="000000"/>
        </w:rPr>
        <w:t>3</w:t>
      </w:r>
      <w:r w:rsidRPr="000E0078">
        <w:rPr>
          <w:rFonts w:ascii="Arial" w:hAnsi="Arial" w:cs="Arial"/>
          <w:color w:val="000000"/>
        </w:rPr>
        <w:t xml:space="preserve"> se ilustra un mapa con ponderaciones iguales a las obtenidas por </w:t>
      </w:r>
      <w:r>
        <w:rPr>
          <w:rFonts w:ascii="Arial" w:hAnsi="Arial" w:cs="Arial"/>
          <w:color w:val="000000"/>
        </w:rPr>
        <w:t>otros autores</w:t>
      </w:r>
      <w:r>
        <w:rPr>
          <w:rFonts w:ascii="Arial" w:hAnsi="Arial" w:cs="Arial"/>
          <w:vertAlign w:val="superscript"/>
        </w:rPr>
        <w:t>[7]</w:t>
      </w:r>
      <w:r w:rsidRPr="000E0078">
        <w:rPr>
          <w:rFonts w:ascii="Arial" w:hAnsi="Arial" w:cs="Arial"/>
          <w:color w:val="000000"/>
        </w:rPr>
        <w:t xml:space="preserve"> dentro del territorio Norteamericano. Con este porcentaje de influencia en el modelo, se encontraron superficies con un aptitud alta de 25264.84 hectáreas en todo el territorio nacional y muy apta con un área total de 88.26 ha</w:t>
      </w:r>
    </w:p>
    <w:p w:rsidR="00E94344" w:rsidRDefault="00E94344" w:rsidP="00E94344">
      <w:pPr>
        <w:ind w:firstLine="567"/>
        <w:jc w:val="both"/>
        <w:rPr>
          <w:rFonts w:ascii="Arial" w:hAnsi="Arial" w:cs="Arial"/>
          <w:color w:val="000000"/>
        </w:rPr>
      </w:pPr>
      <w:r>
        <w:rPr>
          <w:noProof/>
          <w:lang w:val="en-US"/>
        </w:rPr>
        <w:lastRenderedPageBreak/>
        <w:drawing>
          <wp:anchor distT="0" distB="0" distL="114300" distR="114300" simplePos="0" relativeHeight="251797504" behindDoc="0" locked="0" layoutInCell="1" allowOverlap="1" wp14:anchorId="1A174E92" wp14:editId="0B2E063E">
            <wp:simplePos x="0" y="0"/>
            <wp:positionH relativeFrom="margin">
              <wp:posOffset>1626870</wp:posOffset>
            </wp:positionH>
            <wp:positionV relativeFrom="paragraph">
              <wp:posOffset>128270</wp:posOffset>
            </wp:positionV>
            <wp:extent cx="3075305" cy="2376170"/>
            <wp:effectExtent l="19050" t="19050" r="10795" b="24130"/>
            <wp:wrapTopAndBottom/>
            <wp:docPr id="1413571378" name="Imagen 141357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3075305" cy="237617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rsidR="00E94344" w:rsidRDefault="00E94344" w:rsidP="00E94344">
      <w:pPr>
        <w:jc w:val="center"/>
        <w:rPr>
          <w:rFonts w:ascii="Arial" w:hAnsi="Arial" w:cs="Arial"/>
          <w:bCs/>
          <w:i/>
          <w:sz w:val="20"/>
          <w:szCs w:val="20"/>
        </w:rPr>
      </w:pPr>
      <w:r w:rsidRPr="000E0078">
        <w:rPr>
          <w:rFonts w:ascii="Arial" w:hAnsi="Arial" w:cs="Arial"/>
          <w:bCs/>
          <w:i/>
          <w:sz w:val="20"/>
          <w:szCs w:val="20"/>
        </w:rPr>
        <w:t xml:space="preserve">Figura </w:t>
      </w:r>
      <w:r>
        <w:rPr>
          <w:rFonts w:ascii="Arial" w:hAnsi="Arial" w:cs="Arial"/>
          <w:bCs/>
          <w:i/>
          <w:sz w:val="20"/>
          <w:szCs w:val="20"/>
        </w:rPr>
        <w:t>3</w:t>
      </w:r>
      <w:r w:rsidRPr="000E0078">
        <w:rPr>
          <w:rFonts w:ascii="Arial" w:hAnsi="Arial" w:cs="Arial"/>
          <w:bCs/>
          <w:i/>
          <w:sz w:val="20"/>
          <w:szCs w:val="20"/>
        </w:rPr>
        <w:t>. Primer mapa de aptitud en el territorio mexicano para el cultivo de microalgas</w:t>
      </w:r>
    </w:p>
    <w:p w:rsidR="00E94344" w:rsidRPr="000E0078" w:rsidRDefault="00E94344" w:rsidP="00E94344">
      <w:pPr>
        <w:jc w:val="center"/>
        <w:rPr>
          <w:rFonts w:ascii="Arial" w:hAnsi="Arial" w:cs="Arial"/>
          <w:bCs/>
          <w:i/>
          <w:sz w:val="20"/>
          <w:szCs w:val="20"/>
        </w:rPr>
      </w:pPr>
    </w:p>
    <w:p w:rsidR="00E94344" w:rsidRPr="000E0078" w:rsidRDefault="00E94344" w:rsidP="00E94344">
      <w:pPr>
        <w:ind w:firstLine="567"/>
        <w:jc w:val="both"/>
        <w:rPr>
          <w:rFonts w:ascii="Arial" w:hAnsi="Arial" w:cs="Arial"/>
          <w:color w:val="000000"/>
        </w:rPr>
      </w:pPr>
      <w:r w:rsidRPr="000E0078">
        <w:rPr>
          <w:rFonts w:ascii="Arial" w:hAnsi="Arial" w:cs="Arial"/>
          <w:color w:val="000000"/>
        </w:rPr>
        <w:t xml:space="preserve">En el segundo mapa (Figura </w:t>
      </w:r>
      <w:r>
        <w:rPr>
          <w:rFonts w:ascii="Arial" w:hAnsi="Arial" w:cs="Arial"/>
          <w:color w:val="000000"/>
        </w:rPr>
        <w:t>4</w:t>
      </w:r>
      <w:r w:rsidRPr="000E0078">
        <w:rPr>
          <w:rFonts w:ascii="Arial" w:hAnsi="Arial" w:cs="Arial"/>
          <w:color w:val="000000"/>
        </w:rPr>
        <w:t xml:space="preserve">) se aplicaron valores más distribuidos en el peso asignado a cada capa, se siguió dando prioridad a las fuentes de CO2  pero se aumentó el porcentaje de influencia a las capas de agua, PTAR’s y radiación solar. </w:t>
      </w:r>
    </w:p>
    <w:p w:rsidR="00E94344" w:rsidRPr="000E0078" w:rsidRDefault="00E94344" w:rsidP="00E94344">
      <w:pPr>
        <w:ind w:firstLine="567"/>
        <w:jc w:val="both"/>
        <w:rPr>
          <w:rFonts w:ascii="Arial" w:hAnsi="Arial" w:cs="Arial"/>
          <w:color w:val="000000"/>
        </w:rPr>
      </w:pPr>
    </w:p>
    <w:p w:rsidR="00E94344" w:rsidRPr="000E0078" w:rsidRDefault="00E94344" w:rsidP="00E94344">
      <w:pPr>
        <w:ind w:firstLine="567"/>
        <w:jc w:val="both"/>
        <w:rPr>
          <w:rFonts w:ascii="Arial" w:hAnsi="Arial" w:cs="Arial"/>
          <w:color w:val="000000"/>
        </w:rPr>
      </w:pPr>
      <w:r>
        <w:rPr>
          <w:noProof/>
          <w:lang w:val="en-US"/>
        </w:rPr>
        <w:drawing>
          <wp:anchor distT="0" distB="0" distL="114300" distR="114300" simplePos="0" relativeHeight="251798528" behindDoc="0" locked="0" layoutInCell="1" allowOverlap="1" wp14:anchorId="7FB22BC5" wp14:editId="71462E0F">
            <wp:simplePos x="0" y="0"/>
            <wp:positionH relativeFrom="margin">
              <wp:posOffset>1657350</wp:posOffset>
            </wp:positionH>
            <wp:positionV relativeFrom="paragraph">
              <wp:posOffset>635000</wp:posOffset>
            </wp:positionV>
            <wp:extent cx="3006090" cy="2322195"/>
            <wp:effectExtent l="19050" t="19050" r="22860" b="20955"/>
            <wp:wrapTopAndBottom/>
            <wp:docPr id="1413571377" name="Imagen 141357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3006090" cy="232219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0E0078">
        <w:rPr>
          <w:rFonts w:ascii="Arial" w:hAnsi="Arial" w:cs="Arial"/>
          <w:color w:val="000000"/>
        </w:rPr>
        <w:t>La superficie con aptitud alta y muy alta a comparación del primer mapa resultaron ser menores con valores de 20735.81 ha y 71.07 ha respectivamente, sin embargo el potencial medio tuvo un incremento aplicando diferentes pesos a las capas del modelo.</w:t>
      </w:r>
    </w:p>
    <w:p w:rsidR="00E94344" w:rsidRPr="000E0078" w:rsidRDefault="00E94344" w:rsidP="00E94344">
      <w:pPr>
        <w:jc w:val="center"/>
        <w:rPr>
          <w:rFonts w:ascii="Arial" w:hAnsi="Arial" w:cs="Arial"/>
          <w:bCs/>
          <w:i/>
          <w:sz w:val="20"/>
          <w:szCs w:val="20"/>
        </w:rPr>
      </w:pPr>
      <w:r w:rsidRPr="000E0078">
        <w:rPr>
          <w:rFonts w:ascii="Arial" w:hAnsi="Arial" w:cs="Arial"/>
          <w:bCs/>
          <w:i/>
          <w:sz w:val="20"/>
          <w:szCs w:val="20"/>
        </w:rPr>
        <w:t xml:space="preserve">Figura </w:t>
      </w:r>
      <w:r>
        <w:rPr>
          <w:rFonts w:ascii="Arial" w:hAnsi="Arial" w:cs="Arial"/>
          <w:bCs/>
          <w:i/>
          <w:sz w:val="20"/>
          <w:szCs w:val="20"/>
        </w:rPr>
        <w:t>4</w:t>
      </w:r>
      <w:r w:rsidRPr="000E0078">
        <w:rPr>
          <w:rFonts w:ascii="Arial" w:hAnsi="Arial" w:cs="Arial"/>
          <w:bCs/>
          <w:i/>
          <w:sz w:val="20"/>
          <w:szCs w:val="20"/>
        </w:rPr>
        <w:t>. Segundo mapa de aptitud en el territorio mexicano para el cultivo de microalgas.</w:t>
      </w:r>
    </w:p>
    <w:p w:rsidR="00E94344" w:rsidRDefault="00E94344" w:rsidP="00E94344">
      <w:pPr>
        <w:pStyle w:val="Textoindependiente21"/>
        <w:numPr>
          <w:ilvl w:val="0"/>
          <w:numId w:val="1"/>
        </w:numPr>
        <w:tabs>
          <w:tab w:val="clear" w:pos="432"/>
          <w:tab w:val="num" w:pos="0"/>
        </w:tabs>
        <w:spacing w:line="360" w:lineRule="auto"/>
        <w:ind w:left="0" w:firstLine="0"/>
        <w:rPr>
          <w:rFonts w:ascii="Times New Roman" w:hAnsi="Times New Roman"/>
        </w:rPr>
      </w:pPr>
    </w:p>
    <w:p w:rsidR="00E94344" w:rsidRPr="000E0078" w:rsidRDefault="00E94344" w:rsidP="00E94344">
      <w:pPr>
        <w:ind w:firstLine="567"/>
        <w:jc w:val="both"/>
        <w:rPr>
          <w:rFonts w:ascii="Arial" w:hAnsi="Arial" w:cs="Arial"/>
          <w:color w:val="000000"/>
        </w:rPr>
      </w:pPr>
      <w:r w:rsidRPr="000E0078">
        <w:rPr>
          <w:rFonts w:ascii="Arial" w:hAnsi="Arial" w:cs="Arial"/>
          <w:color w:val="000000"/>
        </w:rPr>
        <w:lastRenderedPageBreak/>
        <w:t xml:space="preserve">El tercer y último mapa (Figura </w:t>
      </w:r>
      <w:r>
        <w:rPr>
          <w:rFonts w:ascii="Arial" w:hAnsi="Arial" w:cs="Arial"/>
          <w:color w:val="000000"/>
        </w:rPr>
        <w:t>5</w:t>
      </w:r>
      <w:r w:rsidRPr="000E0078">
        <w:rPr>
          <w:rFonts w:ascii="Arial" w:hAnsi="Arial" w:cs="Arial"/>
          <w:color w:val="000000"/>
        </w:rPr>
        <w:t>) incluyó un porcentaje más balanceado en el peso de las capas, contando con el mismo porcentaje a las fuentes de nutrientes (CO</w:t>
      </w:r>
      <w:r w:rsidRPr="000E0078">
        <w:rPr>
          <w:rFonts w:ascii="Arial" w:hAnsi="Arial" w:cs="Arial"/>
          <w:color w:val="000000"/>
          <w:vertAlign w:val="subscript"/>
        </w:rPr>
        <w:t>2</w:t>
      </w:r>
      <w:r w:rsidRPr="000E0078">
        <w:rPr>
          <w:rFonts w:ascii="Arial" w:hAnsi="Arial" w:cs="Arial"/>
          <w:color w:val="000000"/>
        </w:rPr>
        <w:t xml:space="preserve"> y PTAR’s); el atributo agua y radiación obtuvieron un peso igual al 18 %; la evaporación y temperatura con un 10 % y las demás capas con diferentes porcentajes a los demás mapas.</w:t>
      </w:r>
    </w:p>
    <w:p w:rsidR="00E94344" w:rsidRPr="000E0078" w:rsidRDefault="00E94344" w:rsidP="00E94344">
      <w:pPr>
        <w:ind w:firstLine="567"/>
        <w:jc w:val="both"/>
        <w:rPr>
          <w:rFonts w:ascii="Arial" w:hAnsi="Arial" w:cs="Arial"/>
          <w:color w:val="000000"/>
        </w:rPr>
      </w:pPr>
    </w:p>
    <w:p w:rsidR="00E94344" w:rsidRPr="000E0078" w:rsidRDefault="00E94344" w:rsidP="00E94344">
      <w:pPr>
        <w:ind w:firstLine="567"/>
        <w:jc w:val="both"/>
        <w:rPr>
          <w:rFonts w:ascii="Arial" w:hAnsi="Arial" w:cs="Arial"/>
          <w:color w:val="000000"/>
        </w:rPr>
      </w:pPr>
      <w:r>
        <w:rPr>
          <w:noProof/>
          <w:lang w:val="en-US"/>
        </w:rPr>
        <w:drawing>
          <wp:anchor distT="0" distB="0" distL="114300" distR="114300" simplePos="0" relativeHeight="251799552" behindDoc="0" locked="0" layoutInCell="1" allowOverlap="1" wp14:anchorId="2C61DB47" wp14:editId="412606F0">
            <wp:simplePos x="0" y="0"/>
            <wp:positionH relativeFrom="margin">
              <wp:posOffset>1664970</wp:posOffset>
            </wp:positionH>
            <wp:positionV relativeFrom="paragraph">
              <wp:posOffset>599440</wp:posOffset>
            </wp:positionV>
            <wp:extent cx="3000375" cy="2317750"/>
            <wp:effectExtent l="19050" t="19050" r="28575" b="25400"/>
            <wp:wrapTopAndBottom/>
            <wp:docPr id="1413571376" name="Imagen 141357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000375" cy="231775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0E0078">
        <w:rPr>
          <w:rFonts w:ascii="Arial" w:hAnsi="Arial" w:cs="Arial"/>
          <w:color w:val="000000"/>
        </w:rPr>
        <w:t>En  este mapa la superficie con aptitud alta y muy alta no logra ser mayor a la del primer mapa, sin embargo, al compararlo con el segundo modelo se tiene una superficie mayor para la aptitud alta  pero menor superficie con aptitud muy alta</w:t>
      </w:r>
    </w:p>
    <w:p w:rsidR="00E94344" w:rsidRPr="000E0078" w:rsidRDefault="00E94344" w:rsidP="00E94344">
      <w:pPr>
        <w:jc w:val="center"/>
        <w:rPr>
          <w:rFonts w:ascii="Arial" w:hAnsi="Arial" w:cs="Arial"/>
          <w:bCs/>
          <w:i/>
          <w:sz w:val="20"/>
          <w:szCs w:val="20"/>
        </w:rPr>
      </w:pPr>
      <w:r>
        <w:rPr>
          <w:rFonts w:ascii="Arial" w:hAnsi="Arial" w:cs="Arial"/>
          <w:bCs/>
          <w:i/>
          <w:sz w:val="20"/>
          <w:szCs w:val="20"/>
        </w:rPr>
        <w:t>Figura 5</w:t>
      </w:r>
      <w:r w:rsidRPr="000E0078">
        <w:rPr>
          <w:rFonts w:ascii="Arial" w:hAnsi="Arial" w:cs="Arial"/>
          <w:bCs/>
          <w:i/>
          <w:sz w:val="20"/>
          <w:szCs w:val="20"/>
        </w:rPr>
        <w:t>. Tercer mapa de aptitud en el territorio mexicano para el cultivo de microalgas.</w:t>
      </w:r>
    </w:p>
    <w:p w:rsidR="00E94344" w:rsidRDefault="00E94344" w:rsidP="00E94344">
      <w:pPr>
        <w:pStyle w:val="Textoindependiente21"/>
        <w:numPr>
          <w:ilvl w:val="0"/>
          <w:numId w:val="1"/>
        </w:numPr>
        <w:tabs>
          <w:tab w:val="clear" w:pos="432"/>
          <w:tab w:val="num" w:pos="0"/>
        </w:tabs>
        <w:spacing w:line="360" w:lineRule="auto"/>
        <w:ind w:left="0" w:firstLine="0"/>
        <w:rPr>
          <w:rFonts w:ascii="Times New Roman" w:hAnsi="Times New Roman"/>
        </w:rPr>
      </w:pPr>
    </w:p>
    <w:p w:rsidR="00E94344" w:rsidRDefault="00E94344" w:rsidP="00E94344">
      <w:pPr>
        <w:ind w:firstLine="567"/>
        <w:jc w:val="both"/>
        <w:rPr>
          <w:rFonts w:ascii="Arial" w:hAnsi="Arial" w:cs="Arial"/>
          <w:color w:val="000000"/>
        </w:rPr>
      </w:pPr>
      <w:r>
        <w:rPr>
          <w:noProof/>
          <w:lang w:val="en-US"/>
        </w:rPr>
        <w:drawing>
          <wp:anchor distT="0" distB="0" distL="114300" distR="114300" simplePos="0" relativeHeight="251800576" behindDoc="0" locked="0" layoutInCell="1" allowOverlap="1" wp14:anchorId="6AE4FE5A" wp14:editId="6DFEA260">
            <wp:simplePos x="0" y="0"/>
            <wp:positionH relativeFrom="margin">
              <wp:posOffset>1622425</wp:posOffset>
            </wp:positionH>
            <wp:positionV relativeFrom="paragraph">
              <wp:posOffset>662305</wp:posOffset>
            </wp:positionV>
            <wp:extent cx="3086735" cy="2385060"/>
            <wp:effectExtent l="19050" t="19050" r="18415" b="15240"/>
            <wp:wrapTopAndBottom/>
            <wp:docPr id="1413571375" name="Imagen 141357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086735" cy="238506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0E0078">
        <w:rPr>
          <w:rFonts w:ascii="Arial" w:hAnsi="Arial" w:cs="Arial"/>
          <w:color w:val="000000"/>
        </w:rPr>
        <w:t xml:space="preserve">Por ultimo La herramienta Weighted sum generó una capa con valores continuos del 4 al 41. Esta capa se dividió entre el valor más alto de la suma ponderada (45) para obtener valores comprendidos solamente entre 0 y 1 (Figura </w:t>
      </w:r>
      <w:r>
        <w:rPr>
          <w:rFonts w:ascii="Arial" w:hAnsi="Arial" w:cs="Arial"/>
          <w:color w:val="000000"/>
        </w:rPr>
        <w:t>6</w:t>
      </w:r>
      <w:r w:rsidRPr="000E0078">
        <w:rPr>
          <w:rFonts w:ascii="Arial" w:hAnsi="Arial" w:cs="Arial"/>
          <w:color w:val="000000"/>
        </w:rPr>
        <w:t>).</w:t>
      </w:r>
    </w:p>
    <w:p w:rsidR="00E94344" w:rsidRPr="000E0078" w:rsidRDefault="00E94344" w:rsidP="00E94344">
      <w:pPr>
        <w:jc w:val="center"/>
        <w:rPr>
          <w:rFonts w:ascii="Arial" w:hAnsi="Arial" w:cs="Arial"/>
          <w:bCs/>
          <w:i/>
          <w:sz w:val="20"/>
          <w:szCs w:val="20"/>
        </w:rPr>
      </w:pPr>
      <w:r w:rsidRPr="000E0078">
        <w:rPr>
          <w:rFonts w:ascii="Arial" w:hAnsi="Arial" w:cs="Arial"/>
          <w:bCs/>
          <w:i/>
          <w:sz w:val="20"/>
          <w:szCs w:val="20"/>
        </w:rPr>
        <w:t xml:space="preserve">Figura </w:t>
      </w:r>
      <w:r>
        <w:rPr>
          <w:rFonts w:ascii="Arial" w:hAnsi="Arial" w:cs="Arial"/>
          <w:bCs/>
          <w:i/>
          <w:sz w:val="20"/>
          <w:szCs w:val="20"/>
        </w:rPr>
        <w:t>6</w:t>
      </w:r>
      <w:r w:rsidRPr="000E0078">
        <w:rPr>
          <w:rFonts w:ascii="Arial" w:hAnsi="Arial" w:cs="Arial"/>
          <w:bCs/>
          <w:i/>
          <w:sz w:val="20"/>
          <w:szCs w:val="20"/>
        </w:rPr>
        <w:t>. Mapa con valores continuos que representa la aptitud territorial en fracción.</w:t>
      </w:r>
    </w:p>
    <w:p w:rsidR="00E94344" w:rsidRDefault="00E94344" w:rsidP="00E94344"/>
    <w:p w:rsidR="00E94344" w:rsidRPr="009D5863" w:rsidRDefault="00E94344" w:rsidP="00E94344"/>
    <w:p w:rsidR="00E94344" w:rsidRDefault="00E94344" w:rsidP="00E94344">
      <w:pPr>
        <w:pStyle w:val="Textoindependiente"/>
        <w:ind w:firstLine="539"/>
        <w:rPr>
          <w:rFonts w:ascii="Arial" w:hAnsi="Arial" w:cs="Arial"/>
          <w:sz w:val="24"/>
        </w:rPr>
      </w:pPr>
    </w:p>
    <w:p w:rsidR="00E94344" w:rsidRPr="00E94344" w:rsidRDefault="00E94344" w:rsidP="00E94344">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141" w:name="_Toc50031246"/>
      <w:r w:rsidRPr="00E94344">
        <w:rPr>
          <w:rFonts w:ascii="Arial" w:hAnsi="Arial" w:cs="Arial"/>
          <w:i/>
          <w:caps/>
          <w:sz w:val="24"/>
          <w:szCs w:val="24"/>
        </w:rPr>
        <w:t xml:space="preserve">5. </w:t>
      </w:r>
      <w:r w:rsidRPr="00E94344">
        <w:rPr>
          <w:rFonts w:ascii="Arial" w:hAnsi="Arial" w:cs="Arial"/>
          <w:i/>
          <w:sz w:val="24"/>
          <w:szCs w:val="24"/>
        </w:rPr>
        <w:t>Conclusiones</w:t>
      </w:r>
      <w:bookmarkEnd w:id="141"/>
    </w:p>
    <w:p w:rsidR="00E94344" w:rsidRPr="000E0078" w:rsidRDefault="00E94344" w:rsidP="00E94344">
      <w:pPr>
        <w:ind w:firstLine="567"/>
        <w:jc w:val="both"/>
        <w:rPr>
          <w:rFonts w:ascii="Arial" w:hAnsi="Arial" w:cs="Arial"/>
          <w:color w:val="000000"/>
        </w:rPr>
      </w:pPr>
      <w:r w:rsidRPr="000E0078">
        <w:rPr>
          <w:rFonts w:ascii="Arial" w:hAnsi="Arial" w:cs="Arial"/>
          <w:color w:val="000000"/>
        </w:rPr>
        <w:t xml:space="preserve">Cerca del 35 % del territorio mexicano logró tener algún tipo de aptitud en los mapas generados, sin embargo las áreas que más deben destacarse son aquellas con aptitud media, aptitud alta y lugares muy aptos, los cuales solo están presentes en menos del 1 % del territorio nacional, su superficie logra alcanzar en promedio 1,582,469 hectáreas. </w:t>
      </w:r>
    </w:p>
    <w:p w:rsidR="00E94344" w:rsidRPr="000E0078" w:rsidRDefault="00E94344" w:rsidP="00E94344">
      <w:pPr>
        <w:ind w:firstLine="567"/>
        <w:jc w:val="both"/>
        <w:rPr>
          <w:rFonts w:ascii="Arial" w:hAnsi="Arial" w:cs="Arial"/>
          <w:color w:val="000000"/>
        </w:rPr>
      </w:pPr>
      <w:r w:rsidRPr="000E0078">
        <w:rPr>
          <w:rFonts w:ascii="Arial" w:hAnsi="Arial" w:cs="Arial"/>
          <w:color w:val="000000"/>
        </w:rPr>
        <w:t>Los estados ubicados en el Golfo de México (Sureste del país) como Veracruz, Tabasco, Campeche y Yucatán tienen gran potencial para la implementación de estos sistemas de cultivo, en la parte Noreste se encuentra nuevo León con zonas de aptitud media, alta y muy apta al igual que el Sureste de Tamaulipas . Por otro lado la parte Norte y Noroeste del país son zonas muy poco aptas debido a las condiciones geográficas, físicas y climáticas, la península de Baja California es un claro ejemplo de ello. En la parte central se obtuvieron buenos resultados esto debido a la disponibilidad de nutrientes como el CO</w:t>
      </w:r>
      <w:r w:rsidRPr="000E0078">
        <w:rPr>
          <w:rFonts w:ascii="Arial" w:hAnsi="Arial" w:cs="Arial"/>
          <w:color w:val="000000"/>
          <w:vertAlign w:val="subscript"/>
        </w:rPr>
        <w:t>2</w:t>
      </w:r>
      <w:r w:rsidRPr="000E0078">
        <w:rPr>
          <w:rFonts w:ascii="Arial" w:hAnsi="Arial" w:cs="Arial"/>
          <w:color w:val="000000"/>
        </w:rPr>
        <w:t xml:space="preserve"> y el Nitrógeno que son atributos que tienen gran valor en el modelo empleado. Por último está la zona Oeste y Suroeste en los que destacan los estados de Colima y Jalisco con varias zonas de aptitud alta, Guerrero, Oaxaca y Chiapas tienes áreas más puntualizadas y dispersa pero también cuentan con buen potencial.</w:t>
      </w:r>
    </w:p>
    <w:p w:rsidR="00E94344" w:rsidRPr="000E0078" w:rsidRDefault="00E94344" w:rsidP="00E94344">
      <w:pPr>
        <w:ind w:firstLine="567"/>
        <w:jc w:val="both"/>
        <w:rPr>
          <w:rFonts w:ascii="Arial" w:hAnsi="Arial" w:cs="Arial"/>
          <w:color w:val="000000"/>
        </w:rPr>
      </w:pPr>
      <w:r w:rsidRPr="000E0078">
        <w:rPr>
          <w:rFonts w:ascii="Arial" w:hAnsi="Arial" w:cs="Arial"/>
          <w:color w:val="000000"/>
        </w:rPr>
        <w:t xml:space="preserve">La influencia que se les dio a las capas es un factor importante que debe ser considerado, especialistas en el cultivo de microalgas a nivel laboratorio colaboraron en la asignación de porcentajes de influencia, sin embargo se recomienda que compañías dedicadas a la producción de biomasa algal mediante sistemas abiertos tengan una participación en el proceso, pues son ellos quienes cuentan con la experiencia en la implementación de estos proyectos.  </w:t>
      </w:r>
    </w:p>
    <w:p w:rsidR="00E94344" w:rsidRPr="00FA5EA4" w:rsidRDefault="00E94344" w:rsidP="00E94344">
      <w:pPr>
        <w:pStyle w:val="Textoindependiente"/>
        <w:ind w:firstLine="539"/>
        <w:rPr>
          <w:rFonts w:ascii="Arial" w:hAnsi="Arial" w:cs="Arial"/>
          <w:b w:val="0"/>
          <w:sz w:val="24"/>
        </w:rPr>
      </w:pPr>
    </w:p>
    <w:p w:rsidR="00E94344" w:rsidRPr="00E94344" w:rsidRDefault="00E94344" w:rsidP="00E94344">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142" w:name="_Toc50031247"/>
      <w:r w:rsidRPr="00E94344">
        <w:rPr>
          <w:rFonts w:ascii="Arial" w:hAnsi="Arial" w:cs="Arial"/>
          <w:i/>
          <w:caps/>
          <w:sz w:val="24"/>
          <w:szCs w:val="24"/>
        </w:rPr>
        <w:t xml:space="preserve">6. </w:t>
      </w:r>
      <w:r w:rsidRPr="00E94344">
        <w:rPr>
          <w:rFonts w:ascii="Arial" w:hAnsi="Arial" w:cs="Arial"/>
          <w:i/>
          <w:sz w:val="24"/>
          <w:szCs w:val="24"/>
        </w:rPr>
        <w:t>Bibliografía</w:t>
      </w:r>
      <w:bookmarkEnd w:id="142"/>
    </w:p>
    <w:p w:rsidR="00E94344" w:rsidRPr="000E0078" w:rsidRDefault="00E94344" w:rsidP="00E94344">
      <w:pPr>
        <w:tabs>
          <w:tab w:val="left" w:pos="0"/>
        </w:tabs>
        <w:jc w:val="both"/>
        <w:rPr>
          <w:rFonts w:ascii="Arial" w:hAnsi="Arial" w:cs="Arial"/>
          <w:highlight w:val="yellow"/>
        </w:rPr>
      </w:pPr>
    </w:p>
    <w:p w:rsidR="00E94344" w:rsidRPr="0068488F" w:rsidRDefault="00E94344" w:rsidP="00E94344">
      <w:pPr>
        <w:numPr>
          <w:ilvl w:val="0"/>
          <w:numId w:val="7"/>
        </w:numPr>
        <w:tabs>
          <w:tab w:val="left" w:pos="750"/>
        </w:tabs>
        <w:suppressAutoHyphens/>
        <w:spacing w:after="0" w:line="240" w:lineRule="auto"/>
        <w:jc w:val="both"/>
        <w:rPr>
          <w:rFonts w:ascii="Arial" w:hAnsi="Arial" w:cs="Arial"/>
          <w:lang w:val="en-US"/>
        </w:rPr>
      </w:pPr>
      <w:r w:rsidRPr="0068488F">
        <w:rPr>
          <w:rFonts w:ascii="Arial" w:hAnsi="Arial" w:cs="Arial"/>
          <w:lang w:val="en-US"/>
        </w:rPr>
        <w:t>Demirbas, A. and Debirmas, M.F., 2010. Algae Energy: Algae as a New Source of Biodiesel (Green Energy and Tecnhology). Springer.</w:t>
      </w:r>
    </w:p>
    <w:p w:rsidR="00E94344" w:rsidRPr="0068488F" w:rsidRDefault="00E94344" w:rsidP="00E94344">
      <w:pPr>
        <w:numPr>
          <w:ilvl w:val="0"/>
          <w:numId w:val="7"/>
        </w:numPr>
        <w:suppressAutoHyphens/>
        <w:spacing w:after="0" w:line="240" w:lineRule="auto"/>
        <w:jc w:val="both"/>
        <w:rPr>
          <w:rFonts w:ascii="Arial" w:hAnsi="Arial" w:cs="Arial"/>
        </w:rPr>
      </w:pPr>
      <w:r w:rsidRPr="0068488F">
        <w:rPr>
          <w:rFonts w:ascii="Arial" w:hAnsi="Arial" w:cs="Arial"/>
          <w:lang w:val="en-US"/>
        </w:rPr>
        <w:t xml:space="preserve">Debirmas, M.F., 2011, Biofuels from algae for sustentainable development, App. </w:t>
      </w:r>
      <w:r w:rsidRPr="0068488F">
        <w:rPr>
          <w:rFonts w:ascii="Arial" w:hAnsi="Arial" w:cs="Arial"/>
        </w:rPr>
        <w:t>Energy 88, 3473-3480.</w:t>
      </w:r>
    </w:p>
    <w:p w:rsidR="00E94344" w:rsidRPr="0068488F" w:rsidRDefault="00E94344" w:rsidP="00E94344">
      <w:pPr>
        <w:numPr>
          <w:ilvl w:val="0"/>
          <w:numId w:val="7"/>
        </w:numPr>
        <w:suppressAutoHyphens/>
        <w:spacing w:after="0" w:line="240" w:lineRule="auto"/>
        <w:jc w:val="both"/>
        <w:rPr>
          <w:rFonts w:ascii="Arial" w:hAnsi="Arial" w:cs="Arial"/>
          <w:lang w:val="en-US"/>
        </w:rPr>
      </w:pPr>
      <w:r w:rsidRPr="00D26962">
        <w:rPr>
          <w:rFonts w:ascii="Arial" w:hAnsi="Arial" w:cs="Arial"/>
          <w:lang w:val="en-US"/>
        </w:rPr>
        <w:t xml:space="preserve">Olguín EJ. 2003. </w:t>
      </w:r>
      <w:r w:rsidRPr="0068488F">
        <w:rPr>
          <w:rFonts w:ascii="Arial" w:hAnsi="Arial" w:cs="Arial"/>
          <w:lang w:val="en-US"/>
        </w:rPr>
        <w:t>Phycoremediation: key issues for costeffective nutrient removal processes, Biotechnology Advances 22: 81-91.</w:t>
      </w:r>
    </w:p>
    <w:p w:rsidR="00E94344" w:rsidRPr="0068488F" w:rsidRDefault="00E94344" w:rsidP="00E94344">
      <w:pPr>
        <w:numPr>
          <w:ilvl w:val="0"/>
          <w:numId w:val="7"/>
        </w:numPr>
        <w:tabs>
          <w:tab w:val="left" w:pos="750"/>
        </w:tabs>
        <w:suppressAutoHyphens/>
        <w:spacing w:after="0" w:line="240" w:lineRule="auto"/>
        <w:jc w:val="both"/>
        <w:rPr>
          <w:rFonts w:ascii="Arial" w:hAnsi="Arial" w:cs="Arial"/>
          <w:lang w:val="en-US"/>
        </w:rPr>
      </w:pPr>
      <w:r w:rsidRPr="0068488F">
        <w:rPr>
          <w:rFonts w:ascii="Arial" w:hAnsi="Arial" w:cs="Arial"/>
        </w:rPr>
        <w:t>León C &amp; D Chaves, 2010. Tratamiento de residual vacuno utilizando microalgas, la lenteja de agua Lemna aequinoctiales y un humedal subsuperficial en Costa Rica. Revista Latinoamericana de Biotecnología Ambiental Algal 1(2): 155-177.</w:t>
      </w:r>
    </w:p>
    <w:p w:rsidR="00E94344" w:rsidRPr="0068488F" w:rsidRDefault="00E94344" w:rsidP="00E94344">
      <w:pPr>
        <w:numPr>
          <w:ilvl w:val="0"/>
          <w:numId w:val="7"/>
        </w:numPr>
        <w:suppressAutoHyphens/>
        <w:spacing w:after="0" w:line="240" w:lineRule="auto"/>
        <w:jc w:val="both"/>
        <w:rPr>
          <w:rFonts w:ascii="Arial" w:hAnsi="Arial" w:cs="Arial"/>
        </w:rPr>
      </w:pPr>
      <w:r w:rsidRPr="0068488F">
        <w:rPr>
          <w:rFonts w:ascii="Arial" w:hAnsi="Arial" w:cs="Arial"/>
        </w:rPr>
        <w:t>González-López CV, FG Acién, JM Fernández-Sevilla &amp; E Molina. 2011. Uso de microalgas como alternativa a las tecnologías disponibles de mitigación de emisiones antropogénicas de CO</w:t>
      </w:r>
      <w:r w:rsidRPr="0068488F">
        <w:rPr>
          <w:rFonts w:ascii="Arial" w:hAnsi="Arial" w:cs="Arial"/>
          <w:vertAlign w:val="subscript"/>
        </w:rPr>
        <w:t>2</w:t>
      </w:r>
      <w:r w:rsidRPr="0068488F">
        <w:rPr>
          <w:rFonts w:ascii="Arial" w:hAnsi="Arial" w:cs="Arial"/>
        </w:rPr>
        <w:t>. Revista Latinoamericana de Biotecnología.</w:t>
      </w:r>
    </w:p>
    <w:p w:rsidR="00E94344" w:rsidRPr="00776774" w:rsidRDefault="00E94344" w:rsidP="00E94344">
      <w:pPr>
        <w:numPr>
          <w:ilvl w:val="0"/>
          <w:numId w:val="7"/>
        </w:numPr>
        <w:suppressAutoHyphens/>
        <w:spacing w:after="0" w:line="240" w:lineRule="auto"/>
        <w:jc w:val="both"/>
        <w:rPr>
          <w:rFonts w:ascii="Arial" w:hAnsi="Arial" w:cs="Arial"/>
          <w:lang w:val="en-US"/>
        </w:rPr>
      </w:pPr>
      <w:r w:rsidRPr="0068488F">
        <w:rPr>
          <w:rFonts w:ascii="Arial" w:hAnsi="Arial" w:cs="Arial"/>
          <w:lang w:val="en-US"/>
        </w:rPr>
        <w:lastRenderedPageBreak/>
        <w:t xml:space="preserve">Rawat I, R Ranjith-Kumar, T Mutanda &amp; F Bux. 2011. Dual role of microalgae: Phycoremediation of domestic wastewater and biomass production for sustainable biofuels production. </w:t>
      </w:r>
      <w:r w:rsidRPr="00776774">
        <w:rPr>
          <w:rFonts w:ascii="Arial" w:hAnsi="Arial" w:cs="Arial"/>
          <w:lang w:val="en-US"/>
        </w:rPr>
        <w:t>Applied Energy 88: 3411-3424.</w:t>
      </w:r>
    </w:p>
    <w:p w:rsidR="00E94344" w:rsidRPr="00776774" w:rsidRDefault="00E94344" w:rsidP="00E94344">
      <w:pPr>
        <w:numPr>
          <w:ilvl w:val="0"/>
          <w:numId w:val="7"/>
        </w:numPr>
        <w:suppressAutoHyphens/>
        <w:spacing w:after="0" w:line="240" w:lineRule="auto"/>
        <w:jc w:val="both"/>
        <w:rPr>
          <w:rFonts w:ascii="Arial" w:hAnsi="Arial" w:cs="Arial"/>
          <w:lang w:val="en-US"/>
        </w:rPr>
      </w:pPr>
      <w:r w:rsidRPr="0068488F">
        <w:rPr>
          <w:rFonts w:ascii="Arial" w:hAnsi="Arial" w:cs="Arial"/>
          <w:lang w:val="en-US"/>
        </w:rPr>
        <w:t xml:space="preserve">Markou G &amp; D Georgakakis. 2011. Cultivation of filamentous cyanobacteria (blue-green algae) in agro-industrial wastes and wastewaters: A review. </w:t>
      </w:r>
      <w:r w:rsidRPr="00776774">
        <w:rPr>
          <w:rFonts w:ascii="Arial" w:hAnsi="Arial" w:cs="Arial"/>
          <w:lang w:val="en-US"/>
        </w:rPr>
        <w:t>Applied Energy 88: 3389-3401.</w:t>
      </w:r>
    </w:p>
    <w:p w:rsidR="00E94344" w:rsidRDefault="00E94344" w:rsidP="00E94344">
      <w:pPr>
        <w:numPr>
          <w:ilvl w:val="0"/>
          <w:numId w:val="7"/>
        </w:numPr>
        <w:suppressAutoHyphens/>
        <w:spacing w:after="0" w:line="240" w:lineRule="auto"/>
        <w:jc w:val="both"/>
        <w:rPr>
          <w:rFonts w:ascii="Arial" w:hAnsi="Arial" w:cs="Arial"/>
          <w:lang w:val="en-US"/>
        </w:rPr>
      </w:pPr>
      <w:r w:rsidRPr="00BB5669">
        <w:rPr>
          <w:rFonts w:ascii="Arial" w:hAnsi="Arial" w:cs="Arial"/>
          <w:lang w:val="en-US"/>
        </w:rPr>
        <w:t xml:space="preserve">Lundquist, T. J., Woertz, I. C., Quinn, N. W. T., &amp; Benemann, J. R. 2010. A realistic technology and engineering assessment of algae biofuel production. Energy Biosciences Institute. </w:t>
      </w:r>
    </w:p>
    <w:p w:rsidR="00B31CE1" w:rsidRPr="00D10225" w:rsidRDefault="00B31CE1" w:rsidP="00B31CE1">
      <w:pPr>
        <w:autoSpaceDE w:val="0"/>
        <w:autoSpaceDN w:val="0"/>
        <w:adjustRightInd w:val="0"/>
        <w:jc w:val="both"/>
      </w:pPr>
    </w:p>
    <w:p w:rsidR="004B4415" w:rsidRDefault="004B4415" w:rsidP="004B4415">
      <w:pPr>
        <w:pStyle w:val="1Titulo"/>
        <w:numPr>
          <w:ilvl w:val="0"/>
          <w:numId w:val="0"/>
        </w:numPr>
        <w:ind w:left="357"/>
        <w:jc w:val="center"/>
        <w:rPr>
          <w:sz w:val="28"/>
          <w:szCs w:val="28"/>
        </w:rPr>
      </w:pPr>
      <w:bookmarkStart w:id="143" w:name="_Toc50031248"/>
      <w:r w:rsidRPr="00CB0093">
        <w:t>Sobre los efectos en la salud humana por el campo electromagnético producido por un teléfono celular</w:t>
      </w:r>
      <w:bookmarkEnd w:id="143"/>
    </w:p>
    <w:p w:rsidR="004B4415" w:rsidRPr="007578AF" w:rsidRDefault="004B4415" w:rsidP="004B4415">
      <w:pPr>
        <w:pStyle w:val="Ttulo"/>
        <w:jc w:val="center"/>
        <w:rPr>
          <w:rFonts w:ascii="Arial" w:hAnsi="Arial" w:cs="Arial"/>
          <w:bCs/>
          <w:sz w:val="24"/>
          <w:szCs w:val="24"/>
          <w:vertAlign w:val="superscript"/>
          <w:lang w:val="es-MX"/>
        </w:rPr>
      </w:pPr>
      <w:r w:rsidRPr="007578AF">
        <w:rPr>
          <w:rFonts w:ascii="Arial" w:hAnsi="Arial" w:cs="Arial"/>
          <w:bCs/>
          <w:sz w:val="24"/>
          <w:szCs w:val="24"/>
          <w:u w:val="single"/>
          <w:lang w:val="es-MX"/>
        </w:rPr>
        <w:t>Ladino-Luna, D.</w:t>
      </w:r>
      <w:r>
        <w:rPr>
          <w:rFonts w:ascii="Arial" w:hAnsi="Arial" w:cs="Arial"/>
          <w:bCs/>
          <w:sz w:val="24"/>
          <w:szCs w:val="24"/>
          <w:lang w:val="es-MX"/>
        </w:rPr>
        <w:t xml:space="preserve"> y </w:t>
      </w:r>
      <w:r w:rsidRPr="007578AF">
        <w:rPr>
          <w:rFonts w:ascii="Arial" w:hAnsi="Arial" w:cs="Arial"/>
          <w:bCs/>
          <w:sz w:val="24"/>
          <w:szCs w:val="24"/>
          <w:lang w:val="es-MX"/>
        </w:rPr>
        <w:t xml:space="preserve"> Páez-Hernández</w:t>
      </w:r>
      <w:r>
        <w:rPr>
          <w:rFonts w:ascii="Arial" w:hAnsi="Arial" w:cs="Arial"/>
          <w:bCs/>
          <w:sz w:val="24"/>
          <w:szCs w:val="24"/>
          <w:lang w:val="es-MX"/>
        </w:rPr>
        <w:t xml:space="preserve">, </w:t>
      </w:r>
      <w:r w:rsidRPr="007578AF">
        <w:rPr>
          <w:rFonts w:ascii="Arial" w:hAnsi="Arial" w:cs="Arial"/>
          <w:bCs/>
          <w:sz w:val="24"/>
          <w:szCs w:val="24"/>
          <w:lang w:val="es-MX"/>
        </w:rPr>
        <w:t>R. T.</w:t>
      </w:r>
    </w:p>
    <w:p w:rsidR="004B4415" w:rsidRPr="007578AF" w:rsidRDefault="004B4415" w:rsidP="004B4415">
      <w:pPr>
        <w:autoSpaceDE w:val="0"/>
        <w:autoSpaceDN w:val="0"/>
        <w:adjustRightInd w:val="0"/>
        <w:jc w:val="center"/>
        <w:rPr>
          <w:rFonts w:ascii="Arial" w:hAnsi="Arial" w:cs="Arial"/>
          <w:lang w:eastAsia="es-MX"/>
        </w:rPr>
      </w:pPr>
      <w:r w:rsidRPr="007578AF">
        <w:rPr>
          <w:rFonts w:ascii="Arial" w:hAnsi="Arial" w:cs="Arial"/>
          <w:vertAlign w:val="superscript"/>
          <w:lang w:eastAsia="es-MX"/>
        </w:rPr>
        <w:t>1,2</w:t>
      </w:r>
      <w:r w:rsidRPr="007578AF">
        <w:rPr>
          <w:rFonts w:ascii="Arial" w:hAnsi="Arial" w:cs="Arial"/>
          <w:lang w:eastAsia="es-MX"/>
        </w:rPr>
        <w:t>Física de Procesos Irreversibles, Depto. de Ciencias Básicas,</w:t>
      </w:r>
    </w:p>
    <w:p w:rsidR="004B4415" w:rsidRPr="007578AF" w:rsidRDefault="004B4415" w:rsidP="004B4415">
      <w:pPr>
        <w:autoSpaceDE w:val="0"/>
        <w:autoSpaceDN w:val="0"/>
        <w:adjustRightInd w:val="0"/>
        <w:jc w:val="center"/>
        <w:rPr>
          <w:rFonts w:ascii="Arial" w:hAnsi="Arial" w:cs="Arial"/>
          <w:lang w:eastAsia="es-MX"/>
        </w:rPr>
      </w:pPr>
      <w:r w:rsidRPr="007578AF">
        <w:rPr>
          <w:rFonts w:ascii="Arial" w:hAnsi="Arial" w:cs="Arial"/>
          <w:lang w:eastAsia="es-MX"/>
        </w:rPr>
        <w:t>Universidad Autónoma Metropolitana-A, 02200 Ciudad de México, México;</w:t>
      </w:r>
    </w:p>
    <w:p w:rsidR="004B4415" w:rsidRPr="007578AF" w:rsidRDefault="004B4415" w:rsidP="004B4415">
      <w:pPr>
        <w:autoSpaceDE w:val="0"/>
        <w:autoSpaceDN w:val="0"/>
        <w:adjustRightInd w:val="0"/>
        <w:jc w:val="center"/>
        <w:rPr>
          <w:rFonts w:ascii="Arial" w:hAnsi="Arial" w:cs="Arial"/>
          <w:lang w:eastAsia="es-MX"/>
        </w:rPr>
      </w:pPr>
      <w:r w:rsidRPr="007578AF">
        <w:rPr>
          <w:rFonts w:ascii="Arial" w:hAnsi="Arial" w:cs="Arial"/>
          <w:vertAlign w:val="superscript"/>
          <w:lang w:eastAsia="es-MX"/>
        </w:rPr>
        <w:t>1</w:t>
      </w:r>
      <w:hyperlink r:id="rId574" w:history="1">
        <w:r w:rsidRPr="007578AF">
          <w:rPr>
            <w:rStyle w:val="Hipervnculo"/>
            <w:rFonts w:ascii="Arial" w:hAnsi="Arial" w:cs="Arial"/>
            <w:lang w:eastAsia="es-MX"/>
          </w:rPr>
          <w:t>dll@correo.azc.uam.mx</w:t>
        </w:r>
      </w:hyperlink>
      <w:r w:rsidRPr="007578AF">
        <w:rPr>
          <w:rFonts w:ascii="Arial" w:hAnsi="Arial" w:cs="Arial"/>
          <w:lang w:eastAsia="es-MX"/>
        </w:rPr>
        <w:t xml:space="preserve">, </w:t>
      </w:r>
      <w:r w:rsidRPr="007578AF">
        <w:rPr>
          <w:rFonts w:ascii="Arial" w:hAnsi="Arial" w:cs="Arial"/>
          <w:vertAlign w:val="superscript"/>
          <w:lang w:eastAsia="es-MX"/>
        </w:rPr>
        <w:t>2</w:t>
      </w:r>
      <w:hyperlink r:id="rId575" w:history="1">
        <w:r w:rsidRPr="007578AF">
          <w:rPr>
            <w:rStyle w:val="Hipervnculo"/>
            <w:rFonts w:ascii="Arial" w:hAnsi="Arial" w:cs="Arial"/>
            <w:lang w:eastAsia="es-MX"/>
          </w:rPr>
          <w:t>phrt@correo.azc.uam.mx</w:t>
        </w:r>
      </w:hyperlink>
      <w:r w:rsidRPr="007578AF">
        <w:rPr>
          <w:rFonts w:ascii="Arial" w:hAnsi="Arial" w:cs="Arial"/>
          <w:lang w:eastAsia="es-MX"/>
        </w:rPr>
        <w:t>,</w:t>
      </w:r>
    </w:p>
    <w:p w:rsidR="004B4415" w:rsidRPr="009F7136" w:rsidRDefault="004B4415" w:rsidP="004B4415">
      <w:pPr>
        <w:rPr>
          <w:rFonts w:ascii="Arial" w:hAnsi="Arial" w:cs="Arial"/>
          <w:sz w:val="28"/>
          <w:szCs w:val="28"/>
        </w:rPr>
      </w:pPr>
    </w:p>
    <w:p w:rsidR="004B4415" w:rsidRPr="007578AF" w:rsidRDefault="004B4415" w:rsidP="004B4415">
      <w:pPr>
        <w:pStyle w:val="1Titulo"/>
        <w:numPr>
          <w:ilvl w:val="0"/>
          <w:numId w:val="0"/>
        </w:numPr>
        <w:ind w:left="357"/>
      </w:pPr>
      <w:bookmarkStart w:id="144" w:name="_Toc50031249"/>
      <w:r w:rsidRPr="007578AF">
        <w:t>1. Resumen</w:t>
      </w:r>
      <w:bookmarkEnd w:id="144"/>
    </w:p>
    <w:p w:rsidR="004B4415" w:rsidRPr="009F7136" w:rsidRDefault="004B4415" w:rsidP="004B4415">
      <w:pPr>
        <w:ind w:firstLine="600"/>
        <w:jc w:val="both"/>
        <w:rPr>
          <w:rFonts w:ascii="Arial" w:hAnsi="Arial" w:cs="Arial"/>
        </w:rPr>
      </w:pPr>
      <w:r w:rsidRPr="009F7136">
        <w:rPr>
          <w:rFonts w:ascii="Arial" w:hAnsi="Arial" w:cs="Arial"/>
        </w:rPr>
        <w:t>En este trabaj</w:t>
      </w:r>
      <w:r>
        <w:rPr>
          <w:rFonts w:ascii="Arial" w:hAnsi="Arial" w:cs="Arial"/>
        </w:rPr>
        <w:t>o se presenta un análisis de l</w:t>
      </w:r>
      <w:r w:rsidRPr="009F7136">
        <w:rPr>
          <w:rFonts w:ascii="Arial" w:hAnsi="Arial" w:cs="Arial"/>
        </w:rPr>
        <w:t xml:space="preserve">os efectos de la radiación electromagnética </w:t>
      </w:r>
      <w:r>
        <w:rPr>
          <w:rFonts w:ascii="Arial" w:hAnsi="Arial" w:cs="Arial"/>
        </w:rPr>
        <w:t xml:space="preserve">debido al </w:t>
      </w:r>
      <w:r w:rsidRPr="009F7136">
        <w:rPr>
          <w:rFonts w:ascii="Arial" w:hAnsi="Arial" w:cs="Arial"/>
        </w:rPr>
        <w:t>uso y manejo de dispositivos móviles</w:t>
      </w:r>
      <w:r>
        <w:rPr>
          <w:rFonts w:ascii="Arial" w:hAnsi="Arial" w:cs="Arial"/>
        </w:rPr>
        <w:t>, y que aparecen</w:t>
      </w:r>
      <w:r w:rsidRPr="009F7136">
        <w:rPr>
          <w:rFonts w:ascii="Arial" w:hAnsi="Arial" w:cs="Arial"/>
        </w:rPr>
        <w:t xml:space="preserve"> </w:t>
      </w:r>
      <w:r>
        <w:rPr>
          <w:rFonts w:ascii="Arial" w:hAnsi="Arial" w:cs="Arial"/>
        </w:rPr>
        <w:t>en el momento en que se genera</w:t>
      </w:r>
      <w:r w:rsidRPr="009F7136">
        <w:rPr>
          <w:rFonts w:ascii="Arial" w:hAnsi="Arial" w:cs="Arial"/>
        </w:rPr>
        <w:t xml:space="preserve"> energía disipada</w:t>
      </w:r>
      <w:r>
        <w:rPr>
          <w:rFonts w:ascii="Arial" w:hAnsi="Arial" w:cs="Arial"/>
        </w:rPr>
        <w:t xml:space="preserve"> que</w:t>
      </w:r>
      <w:r w:rsidRPr="009F7136">
        <w:rPr>
          <w:rFonts w:ascii="Arial" w:hAnsi="Arial" w:cs="Arial"/>
        </w:rPr>
        <w:t xml:space="preserve"> puede causar lesiones en la salud humana</w:t>
      </w:r>
      <w:r>
        <w:rPr>
          <w:rFonts w:ascii="Arial" w:hAnsi="Arial" w:cs="Arial"/>
        </w:rPr>
        <w:t>, particularmente</w:t>
      </w:r>
      <w:r w:rsidRPr="009F7136">
        <w:rPr>
          <w:rFonts w:ascii="Arial" w:hAnsi="Arial" w:cs="Arial"/>
        </w:rPr>
        <w:t xml:space="preserve"> radiación electromagnética emitida por un teléfono celular. Para hacerlo, se han realizado mediciones con un dispositivo de medición de campo eléctrico PCE-EM29. A partir de estas mediciones, se observa que existe una variación importante del campo electromagnético, sin señal celular y con señal celular. Por lo tanto, estas mediciones pueden indicar que las ondas electromagnéticas podrían dañar el tejido del oído y la región de la cara.</w:t>
      </w:r>
    </w:p>
    <w:p w:rsidR="004B4415" w:rsidRPr="009F7136" w:rsidRDefault="004B4415" w:rsidP="004B4415">
      <w:pPr>
        <w:jc w:val="both"/>
        <w:rPr>
          <w:rFonts w:ascii="Arial" w:hAnsi="Arial" w:cs="Arial"/>
        </w:rPr>
      </w:pPr>
    </w:p>
    <w:p w:rsidR="004B4415" w:rsidRPr="007578AF" w:rsidRDefault="004B4415" w:rsidP="004B4415">
      <w:pPr>
        <w:pStyle w:val="1Titulo"/>
        <w:numPr>
          <w:ilvl w:val="0"/>
          <w:numId w:val="0"/>
        </w:numPr>
        <w:ind w:left="357"/>
      </w:pPr>
      <w:bookmarkStart w:id="145" w:name="_Toc50031250"/>
      <w:r>
        <w:t>2</w:t>
      </w:r>
      <w:r w:rsidRPr="007578AF">
        <w:t>. I</w:t>
      </w:r>
      <w:r>
        <w:t>ntroducción</w:t>
      </w:r>
      <w:bookmarkEnd w:id="145"/>
    </w:p>
    <w:p w:rsidR="004B4415" w:rsidRPr="009F7136" w:rsidRDefault="004B4415" w:rsidP="004B4415">
      <w:pPr>
        <w:ind w:firstLine="600"/>
        <w:jc w:val="both"/>
        <w:rPr>
          <w:rFonts w:ascii="Arial" w:hAnsi="Arial" w:cs="Arial"/>
        </w:rPr>
      </w:pPr>
      <w:r w:rsidRPr="009F7136">
        <w:rPr>
          <w:rFonts w:ascii="Arial" w:hAnsi="Arial" w:cs="Arial"/>
        </w:rPr>
        <w:t xml:space="preserve">Como se sabe, cuando una onda electromagnética interactúa con un átomo, o un grupo de átomos, su energía es absorbida por este sistema y se convierte en energía potencial. La energía electromagnética potencial, </w:t>
      </w:r>
      <w:r w:rsidRPr="005357E2">
        <w:rPr>
          <w:position w:val="-12"/>
        </w:rPr>
        <w:object w:dxaOrig="420" w:dyaOrig="360">
          <v:shape id="_x0000_i1232" type="#_x0000_t75" style="width:21.6pt;height:21.6pt" o:ole="">
            <v:imagedata r:id="rId576" o:title=""/>
          </v:shape>
          <o:OLEObject Type="Embed" ProgID="Equation.3" ShapeID="_x0000_i1232" DrawAspect="Content" ObjectID="_1660649329" r:id="rId577"/>
        </w:object>
      </w:r>
      <w:r>
        <w:t>,</w:t>
      </w:r>
      <w:r>
        <w:rPr>
          <w:rFonts w:ascii="Arial" w:hAnsi="Arial" w:cs="Arial"/>
        </w:rPr>
        <w:t xml:space="preserve"> </w:t>
      </w:r>
      <w:r w:rsidRPr="009F7136">
        <w:rPr>
          <w:rFonts w:ascii="Arial" w:hAnsi="Arial" w:cs="Arial"/>
        </w:rPr>
        <w:t>se expresa como una función de</w:t>
      </w:r>
      <w:r>
        <w:rPr>
          <w:rFonts w:ascii="Arial" w:hAnsi="Arial" w:cs="Arial"/>
        </w:rPr>
        <w:t xml:space="preserve"> la</w:t>
      </w:r>
      <w:r w:rsidRPr="009F7136">
        <w:rPr>
          <w:rFonts w:ascii="Arial" w:hAnsi="Arial" w:cs="Arial"/>
        </w:rPr>
        <w:t xml:space="preserve"> i</w:t>
      </w:r>
      <w:r>
        <w:rPr>
          <w:rFonts w:ascii="Arial" w:hAnsi="Arial" w:cs="Arial"/>
        </w:rPr>
        <w:t>ntensidad de los</w:t>
      </w:r>
      <w:r w:rsidRPr="009F7136">
        <w:rPr>
          <w:rFonts w:ascii="Arial" w:hAnsi="Arial" w:cs="Arial"/>
        </w:rPr>
        <w:t xml:space="preserve"> campo</w:t>
      </w:r>
      <w:r>
        <w:rPr>
          <w:rFonts w:ascii="Arial" w:hAnsi="Arial" w:cs="Arial"/>
        </w:rPr>
        <w:t>s</w:t>
      </w:r>
      <w:r w:rsidRPr="009F7136">
        <w:rPr>
          <w:rFonts w:ascii="Arial" w:hAnsi="Arial" w:cs="Arial"/>
        </w:rPr>
        <w:t xml:space="preserve"> magnético y </w:t>
      </w:r>
      <w:r>
        <w:rPr>
          <w:rFonts w:ascii="Arial" w:hAnsi="Arial" w:cs="Arial"/>
        </w:rPr>
        <w:t>eléctrico</w:t>
      </w:r>
      <w:r w:rsidRPr="00B46DE3">
        <w:rPr>
          <w:rFonts w:ascii="Arial" w:hAnsi="Arial" w:cs="Arial"/>
          <w:vertAlign w:val="superscript"/>
        </w:rPr>
        <w:t>[1,2]</w:t>
      </w:r>
      <w:r>
        <w:rPr>
          <w:rFonts w:ascii="Arial" w:hAnsi="Arial" w:cs="Arial"/>
        </w:rPr>
        <w:t>.</w:t>
      </w:r>
      <w:r w:rsidRPr="009F7136">
        <w:rPr>
          <w:rFonts w:ascii="Arial" w:hAnsi="Arial" w:cs="Arial"/>
        </w:rPr>
        <w:t xml:space="preserve"> </w:t>
      </w:r>
      <w:r>
        <w:rPr>
          <w:rFonts w:ascii="Arial" w:hAnsi="Arial" w:cs="Arial"/>
        </w:rPr>
        <w:t>E</w:t>
      </w:r>
      <w:r w:rsidRPr="009F7136">
        <w:rPr>
          <w:rFonts w:ascii="Arial" w:hAnsi="Arial" w:cs="Arial"/>
        </w:rPr>
        <w:t>n un punto en el espacio la densidad de la energía electromagnética depende de</w:t>
      </w:r>
      <w:r>
        <w:rPr>
          <w:rFonts w:ascii="Arial" w:hAnsi="Arial" w:cs="Arial"/>
        </w:rPr>
        <w:t xml:space="preserve"> </w:t>
      </w:r>
      <w:r w:rsidRPr="009F7136">
        <w:rPr>
          <w:rFonts w:ascii="Arial" w:hAnsi="Arial" w:cs="Arial"/>
        </w:rPr>
        <w:t>l</w:t>
      </w:r>
      <w:r>
        <w:rPr>
          <w:rFonts w:ascii="Arial" w:hAnsi="Arial" w:cs="Arial"/>
        </w:rPr>
        <w:t>a suma de los</w:t>
      </w:r>
      <w:r w:rsidRPr="009F7136">
        <w:rPr>
          <w:rFonts w:ascii="Arial" w:hAnsi="Arial" w:cs="Arial"/>
        </w:rPr>
        <w:t xml:space="preserve"> cuadrado</w:t>
      </w:r>
      <w:r>
        <w:rPr>
          <w:rFonts w:ascii="Arial" w:hAnsi="Arial" w:cs="Arial"/>
        </w:rPr>
        <w:t>s</w:t>
      </w:r>
      <w:r w:rsidRPr="009F7136">
        <w:rPr>
          <w:rFonts w:ascii="Arial" w:hAnsi="Arial" w:cs="Arial"/>
        </w:rPr>
        <w:t xml:space="preserve"> de la</w:t>
      </w:r>
      <w:r>
        <w:rPr>
          <w:rFonts w:ascii="Arial" w:hAnsi="Arial" w:cs="Arial"/>
        </w:rPr>
        <w:t>s</w:t>
      </w:r>
      <w:r w:rsidRPr="009F7136">
        <w:rPr>
          <w:rFonts w:ascii="Arial" w:hAnsi="Arial" w:cs="Arial"/>
        </w:rPr>
        <w:t xml:space="preserve"> magnitud</w:t>
      </w:r>
      <w:r>
        <w:rPr>
          <w:rFonts w:ascii="Arial" w:hAnsi="Arial" w:cs="Arial"/>
        </w:rPr>
        <w:t>es</w:t>
      </w:r>
      <w:r w:rsidRPr="009F7136">
        <w:rPr>
          <w:rFonts w:ascii="Arial" w:hAnsi="Arial" w:cs="Arial"/>
        </w:rPr>
        <w:t xml:space="preserve"> de estos campos. </w:t>
      </w:r>
      <w:r>
        <w:rPr>
          <w:rFonts w:ascii="Arial" w:hAnsi="Arial" w:cs="Arial"/>
        </w:rPr>
        <w:t>En</w:t>
      </w:r>
      <w:r w:rsidRPr="009F7136">
        <w:rPr>
          <w:rFonts w:ascii="Arial" w:hAnsi="Arial" w:cs="Arial"/>
        </w:rPr>
        <w:t xml:space="preserve"> unidades</w:t>
      </w:r>
      <w:r>
        <w:rPr>
          <w:rFonts w:ascii="Arial" w:hAnsi="Arial" w:cs="Arial"/>
        </w:rPr>
        <w:t xml:space="preserve"> cgs</w:t>
      </w:r>
      <w:r w:rsidRPr="009F7136">
        <w:rPr>
          <w:rFonts w:ascii="Arial" w:hAnsi="Arial" w:cs="Arial"/>
        </w:rPr>
        <w:t>, esta energía se puede escribir como,</w:t>
      </w:r>
    </w:p>
    <w:p w:rsidR="004B4415" w:rsidRPr="00CB0093" w:rsidRDefault="004B4415" w:rsidP="004B4415">
      <w:pPr>
        <w:spacing w:before="120" w:after="120"/>
        <w:jc w:val="center"/>
        <w:rPr>
          <w:rFonts w:ascii="Arial" w:hAnsi="Arial" w:cs="Arial"/>
          <w:bCs/>
        </w:rPr>
      </w:pPr>
      <w:r w:rsidRPr="00B46DE3">
        <w:rPr>
          <w:rFonts w:ascii="Arial" w:hAnsi="Arial" w:cs="Arial"/>
          <w:bCs/>
        </w:rPr>
        <w:t xml:space="preserve">                   </w:t>
      </w:r>
      <w:r>
        <w:rPr>
          <w:rFonts w:ascii="Arial" w:hAnsi="Arial" w:cs="Arial"/>
          <w:bCs/>
        </w:rPr>
        <w:t xml:space="preserve">         </w:t>
      </w:r>
      <w:r w:rsidRPr="00B46DE3">
        <w:rPr>
          <w:rFonts w:ascii="Arial" w:hAnsi="Arial" w:cs="Arial"/>
          <w:bCs/>
        </w:rPr>
        <w:t xml:space="preserve">                 </w:t>
      </w:r>
      <w:r w:rsidRPr="00B46DE3">
        <w:rPr>
          <w:rFonts w:ascii="Arial" w:hAnsi="Arial" w:cs="Arial"/>
          <w:bCs/>
          <w:position w:val="-24"/>
          <w:lang w:val="en-US"/>
        </w:rPr>
        <w:object w:dxaOrig="2520" w:dyaOrig="620">
          <v:shape id="_x0000_i1233" type="#_x0000_t75" style="width:129.6pt;height:28.8pt" o:ole="">
            <v:imagedata r:id="rId578" o:title=""/>
          </v:shape>
          <o:OLEObject Type="Embed" ProgID="Equation.3" ShapeID="_x0000_i1233" DrawAspect="Content" ObjectID="_1660649330" r:id="rId579"/>
        </w:object>
      </w:r>
      <w:r w:rsidRPr="00B46DE3">
        <w:rPr>
          <w:rFonts w:ascii="Arial" w:hAnsi="Arial" w:cs="Arial"/>
          <w:bCs/>
        </w:rPr>
        <w:t xml:space="preserve"> </w:t>
      </w:r>
      <w:r>
        <w:rPr>
          <w:rFonts w:ascii="Arial" w:hAnsi="Arial" w:cs="Arial"/>
          <w:bCs/>
        </w:rPr>
        <w:t>,</w:t>
      </w:r>
      <w:r w:rsidRPr="00B46DE3">
        <w:rPr>
          <w:rFonts w:ascii="Arial" w:hAnsi="Arial" w:cs="Arial"/>
          <w:bCs/>
        </w:rPr>
        <w:t xml:space="preserve">                                                 (1a)</w:t>
      </w:r>
    </w:p>
    <w:p w:rsidR="004B4415" w:rsidRPr="009F7136" w:rsidRDefault="004B4415" w:rsidP="004B4415">
      <w:pPr>
        <w:jc w:val="both"/>
        <w:rPr>
          <w:rFonts w:ascii="Arial" w:hAnsi="Arial" w:cs="Arial"/>
        </w:rPr>
      </w:pPr>
      <w:r w:rsidRPr="009F7136">
        <w:rPr>
          <w:rFonts w:ascii="Arial" w:hAnsi="Arial" w:cs="Arial"/>
        </w:rPr>
        <w:lastRenderedPageBreak/>
        <w:t xml:space="preserve">donde </w:t>
      </w:r>
      <w:r w:rsidRPr="005357E2">
        <w:rPr>
          <w:bCs/>
          <w:position w:val="-10"/>
          <w:lang w:val="en-US"/>
        </w:rPr>
        <w:object w:dxaOrig="300" w:dyaOrig="480">
          <v:shape id="_x0000_i1234" type="#_x0000_t75" style="width:14.4pt;height:21.6pt" o:ole="">
            <v:imagedata r:id="rId580" o:title=""/>
          </v:shape>
          <o:OLEObject Type="Embed" ProgID="Equation.3" ShapeID="_x0000_i1234" DrawAspect="Content" ObjectID="_1660649331" r:id="rId581"/>
        </w:object>
      </w:r>
      <w:r>
        <w:rPr>
          <w:rFonts w:ascii="Arial" w:hAnsi="Arial" w:cs="Arial"/>
        </w:rPr>
        <w:t xml:space="preserve"> es</w:t>
      </w:r>
      <w:r w:rsidRPr="009F7136">
        <w:rPr>
          <w:rFonts w:ascii="Arial" w:hAnsi="Arial" w:cs="Arial"/>
        </w:rPr>
        <w:t xml:space="preserve"> el campo eléctrico y </w:t>
      </w:r>
      <w:r w:rsidRPr="005357E2">
        <w:rPr>
          <w:bCs/>
          <w:position w:val="-10"/>
          <w:lang w:val="en-US"/>
        </w:rPr>
        <w:object w:dxaOrig="279" w:dyaOrig="480">
          <v:shape id="_x0000_i1235" type="#_x0000_t75" style="width:14.4pt;height:21.6pt" o:ole="">
            <v:imagedata r:id="rId582" o:title=""/>
          </v:shape>
          <o:OLEObject Type="Embed" ProgID="Equation.3" ShapeID="_x0000_i1235" DrawAspect="Content" ObjectID="_1660649332" r:id="rId583"/>
        </w:object>
      </w:r>
      <w:r>
        <w:rPr>
          <w:rFonts w:ascii="Arial" w:hAnsi="Arial" w:cs="Arial"/>
        </w:rPr>
        <w:t xml:space="preserve"> </w:t>
      </w:r>
      <w:r w:rsidRPr="009F7136">
        <w:rPr>
          <w:rFonts w:ascii="Arial" w:hAnsi="Arial" w:cs="Arial"/>
        </w:rPr>
        <w:t>es el magnético. Se puede escribir una expresión similar para el sistema de unidades internacionales, a saber,</w:t>
      </w:r>
    </w:p>
    <w:p w:rsidR="004B4415" w:rsidRPr="00F90004" w:rsidRDefault="004B4415" w:rsidP="004B4415">
      <w:pPr>
        <w:spacing w:before="120" w:after="120"/>
        <w:ind w:firstLine="601"/>
        <w:jc w:val="center"/>
        <w:rPr>
          <w:rFonts w:ascii="Arial" w:hAnsi="Arial" w:cs="Arial"/>
          <w:bCs/>
        </w:rPr>
      </w:pPr>
      <w:r w:rsidRPr="00CB0093">
        <w:rPr>
          <w:rFonts w:ascii="Arial" w:hAnsi="Arial" w:cs="Arial"/>
          <w:bCs/>
        </w:rPr>
        <w:t xml:space="preserve"> </w:t>
      </w:r>
      <w:r>
        <w:rPr>
          <w:rFonts w:ascii="Arial" w:hAnsi="Arial" w:cs="Arial"/>
          <w:bCs/>
        </w:rPr>
        <w:t xml:space="preserve">                                  </w:t>
      </w:r>
      <w:r w:rsidRPr="00CB0093">
        <w:rPr>
          <w:rFonts w:ascii="Arial" w:hAnsi="Arial" w:cs="Arial"/>
          <w:bCs/>
        </w:rPr>
        <w:t xml:space="preserve">    </w:t>
      </w:r>
      <w:r w:rsidRPr="00B46DE3">
        <w:rPr>
          <w:rFonts w:ascii="Arial" w:hAnsi="Arial" w:cs="Arial"/>
          <w:bCs/>
          <w:position w:val="-30"/>
          <w:lang w:val="en-US"/>
        </w:rPr>
        <w:object w:dxaOrig="2799" w:dyaOrig="740">
          <v:shape id="_x0000_i1236" type="#_x0000_t75" style="width:136.8pt;height:36pt" o:ole="">
            <v:imagedata r:id="rId584" o:title=""/>
          </v:shape>
          <o:OLEObject Type="Embed" ProgID="Equation.3" ShapeID="_x0000_i1236" DrawAspect="Content" ObjectID="_1660649333" r:id="rId585"/>
        </w:object>
      </w:r>
      <w:r w:rsidRPr="00F90004">
        <w:rPr>
          <w:rFonts w:ascii="Arial" w:hAnsi="Arial" w:cs="Arial"/>
          <w:bCs/>
        </w:rPr>
        <w:t xml:space="preserve"> .                                          (1b)</w:t>
      </w:r>
    </w:p>
    <w:p w:rsidR="004B4415" w:rsidRPr="009F7136" w:rsidRDefault="004B4415" w:rsidP="004B4415">
      <w:pPr>
        <w:jc w:val="both"/>
        <w:rPr>
          <w:rFonts w:ascii="Arial" w:hAnsi="Arial" w:cs="Arial"/>
        </w:rPr>
      </w:pPr>
      <w:r w:rsidRPr="009F7136">
        <w:rPr>
          <w:rFonts w:ascii="Arial" w:hAnsi="Arial" w:cs="Arial"/>
        </w:rPr>
        <w:t xml:space="preserve">siendo </w:t>
      </w:r>
      <w:r w:rsidRPr="00A25D7D">
        <w:rPr>
          <w:rFonts w:ascii="Arial" w:hAnsi="Arial" w:cs="Arial"/>
          <w:position w:val="-12"/>
        </w:rPr>
        <w:object w:dxaOrig="300" w:dyaOrig="360">
          <v:shape id="_x0000_i1237" type="#_x0000_t75" style="width:14.4pt;height:21.6pt" o:ole="">
            <v:imagedata r:id="rId586" o:title=""/>
          </v:shape>
          <o:OLEObject Type="Embed" ProgID="Equation.3" ShapeID="_x0000_i1237" DrawAspect="Content" ObjectID="_1660649334" r:id="rId587"/>
        </w:object>
      </w:r>
      <w:r>
        <w:rPr>
          <w:rFonts w:ascii="Arial" w:hAnsi="Arial" w:cs="Arial"/>
        </w:rPr>
        <w:t xml:space="preserve"> la permitiv</w:t>
      </w:r>
      <w:r w:rsidRPr="009F7136">
        <w:rPr>
          <w:rFonts w:ascii="Arial" w:hAnsi="Arial" w:cs="Arial"/>
        </w:rPr>
        <w:t xml:space="preserve">idad eléctrica en vacío y </w:t>
      </w:r>
      <w:r w:rsidRPr="005357E2">
        <w:rPr>
          <w:position w:val="-12"/>
        </w:rPr>
        <w:object w:dxaOrig="300" w:dyaOrig="360">
          <v:shape id="_x0000_i1238" type="#_x0000_t75" style="width:14.4pt;height:21.6pt" o:ole="">
            <v:imagedata r:id="rId588" o:title=""/>
          </v:shape>
          <o:OLEObject Type="Embed" ProgID="Equation.3" ShapeID="_x0000_i1238" DrawAspect="Content" ObjectID="_1660649335" r:id="rId589"/>
        </w:object>
      </w:r>
      <w:r>
        <w:t xml:space="preserve"> </w:t>
      </w:r>
      <w:r>
        <w:rPr>
          <w:rFonts w:ascii="Arial" w:hAnsi="Arial" w:cs="Arial"/>
        </w:rPr>
        <w:t>la permeabil</w:t>
      </w:r>
      <w:r w:rsidRPr="009F7136">
        <w:rPr>
          <w:rFonts w:ascii="Arial" w:hAnsi="Arial" w:cs="Arial"/>
        </w:rPr>
        <w:t>idad magnética en vacío. Cuando las aceleraciones de las cargas son muy pequeñas, la cantidad anterior agregada a la energía cinética</w:t>
      </w:r>
      <w:r>
        <w:rPr>
          <w:rFonts w:ascii="Arial" w:hAnsi="Arial" w:cs="Arial"/>
        </w:rPr>
        <w:t xml:space="preserve">, </w:t>
      </w:r>
      <w:r w:rsidRPr="005357E2">
        <w:rPr>
          <w:position w:val="-10"/>
        </w:rPr>
        <w:object w:dxaOrig="400" w:dyaOrig="340">
          <v:shape id="_x0000_i1239" type="#_x0000_t75" style="width:21.6pt;height:14.4pt" o:ole="">
            <v:imagedata r:id="rId590" o:title=""/>
          </v:shape>
          <o:OLEObject Type="Embed" ProgID="Equation.3" ShapeID="_x0000_i1239" DrawAspect="Content" ObjectID="_1660649336" r:id="rId591"/>
        </w:object>
      </w:r>
      <w:r>
        <w:t>,</w:t>
      </w:r>
      <w:r w:rsidRPr="009F7136">
        <w:rPr>
          <w:rFonts w:ascii="Arial" w:hAnsi="Arial" w:cs="Arial"/>
        </w:rPr>
        <w:t xml:space="preserve"> de las cargas se conserva, </w:t>
      </w:r>
      <w:r>
        <w:rPr>
          <w:rFonts w:ascii="Arial" w:hAnsi="Arial" w:cs="Arial"/>
        </w:rPr>
        <w:t>Esto es</w:t>
      </w:r>
      <w:r w:rsidRPr="009F7136">
        <w:rPr>
          <w:rFonts w:ascii="Arial" w:hAnsi="Arial" w:cs="Arial"/>
        </w:rPr>
        <w:t>,</w:t>
      </w:r>
    </w:p>
    <w:p w:rsidR="004B4415" w:rsidRPr="00CB0093" w:rsidRDefault="004B4415" w:rsidP="004B4415">
      <w:pPr>
        <w:spacing w:before="120" w:after="120"/>
        <w:ind w:firstLine="601"/>
        <w:jc w:val="center"/>
        <w:rPr>
          <w:rFonts w:ascii="Arial" w:hAnsi="Arial" w:cs="Arial"/>
          <w:bCs/>
        </w:rPr>
      </w:pPr>
      <w:r>
        <w:rPr>
          <w:rFonts w:ascii="Arial" w:hAnsi="Arial" w:cs="Arial"/>
          <w:bCs/>
        </w:rPr>
        <w:t xml:space="preserve">                         </w:t>
      </w:r>
      <w:r w:rsidRPr="004404CE">
        <w:rPr>
          <w:rFonts w:ascii="Arial" w:hAnsi="Arial" w:cs="Arial"/>
          <w:bCs/>
        </w:rPr>
        <w:t xml:space="preserve">                         </w:t>
      </w:r>
      <w:r w:rsidRPr="004404CE">
        <w:rPr>
          <w:rFonts w:ascii="Arial" w:hAnsi="Arial" w:cs="Arial"/>
          <w:bCs/>
          <w:position w:val="-30"/>
          <w:lang w:val="en-US"/>
        </w:rPr>
        <w:object w:dxaOrig="1800" w:dyaOrig="680">
          <v:shape id="_x0000_i1240" type="#_x0000_t75" style="width:93.6pt;height:36pt" o:ole="">
            <v:imagedata r:id="rId592" o:title=""/>
          </v:shape>
          <o:OLEObject Type="Embed" ProgID="Equation.3" ShapeID="_x0000_i1240" DrawAspect="Content" ObjectID="_1660649337" r:id="rId593"/>
        </w:object>
      </w:r>
      <w:r>
        <w:rPr>
          <w:rFonts w:ascii="Arial" w:hAnsi="Arial" w:cs="Arial"/>
          <w:bCs/>
        </w:rPr>
        <w:t>,</w:t>
      </w:r>
      <w:r w:rsidRPr="004404CE">
        <w:rPr>
          <w:rFonts w:ascii="Arial" w:hAnsi="Arial" w:cs="Arial"/>
          <w:bCs/>
        </w:rPr>
        <w:t xml:space="preserve">                                                 (2)</w:t>
      </w:r>
    </w:p>
    <w:p w:rsidR="004B4415" w:rsidRPr="009F7136" w:rsidRDefault="004B4415" w:rsidP="004B4415">
      <w:pPr>
        <w:jc w:val="both"/>
        <w:rPr>
          <w:rFonts w:ascii="Arial" w:hAnsi="Arial" w:cs="Arial"/>
        </w:rPr>
      </w:pPr>
      <w:r>
        <w:rPr>
          <w:rFonts w:ascii="Arial" w:hAnsi="Arial" w:cs="Arial"/>
        </w:rPr>
        <w:t>lo que equivale a</w:t>
      </w:r>
      <w:r w:rsidRPr="009F7136">
        <w:rPr>
          <w:rFonts w:ascii="Arial" w:hAnsi="Arial" w:cs="Arial"/>
        </w:rPr>
        <w:t xml:space="preserve"> definir la energía total como</w:t>
      </w:r>
      <w:r>
        <w:rPr>
          <w:rFonts w:ascii="Arial" w:hAnsi="Arial" w:cs="Arial"/>
        </w:rPr>
        <w:t xml:space="preserve"> </w:t>
      </w:r>
      <w:r w:rsidRPr="005357E2">
        <w:rPr>
          <w:position w:val="-12"/>
        </w:rPr>
        <w:object w:dxaOrig="1700" w:dyaOrig="360">
          <v:shape id="_x0000_i1241" type="#_x0000_t75" style="width:86.4pt;height:21.6pt" o:ole="">
            <v:imagedata r:id="rId594" o:title=""/>
          </v:shape>
          <o:OLEObject Type="Embed" ProgID="Equation.3" ShapeID="_x0000_i1241" DrawAspect="Content" ObjectID="_1660649338" r:id="rId595"/>
        </w:object>
      </w:r>
      <w:r>
        <w:rPr>
          <w:rFonts w:ascii="Arial" w:hAnsi="Arial" w:cs="Arial"/>
        </w:rPr>
        <w:t xml:space="preserve">; así,  </w:t>
      </w:r>
      <w:r w:rsidRPr="009F7136">
        <w:rPr>
          <w:rFonts w:ascii="Arial" w:hAnsi="Arial" w:cs="Arial"/>
        </w:rPr>
        <w:t>se obtiene la ley de conservación de la energía en presencia de campos electromagnéticos.</w:t>
      </w:r>
      <w:r>
        <w:rPr>
          <w:rFonts w:ascii="Arial" w:hAnsi="Arial" w:cs="Arial"/>
        </w:rPr>
        <w:t xml:space="preserve"> </w:t>
      </w:r>
      <w:r w:rsidRPr="009F7136">
        <w:rPr>
          <w:rFonts w:ascii="Arial" w:hAnsi="Arial" w:cs="Arial"/>
        </w:rPr>
        <w:t>Para un campo magnético variable en una región del espacio desprovi</w:t>
      </w:r>
      <w:r>
        <w:rPr>
          <w:rFonts w:ascii="Arial" w:hAnsi="Arial" w:cs="Arial"/>
        </w:rPr>
        <w:t>sta de partículas cargadas, este</w:t>
      </w:r>
      <w:r w:rsidRPr="009F7136">
        <w:rPr>
          <w:rFonts w:ascii="Arial" w:hAnsi="Arial" w:cs="Arial"/>
        </w:rPr>
        <w:t xml:space="preserve"> toma la forma de onda electromagnética. Este fenómeno ocurre en el caso de las llamadas ondas electromagnéticas, como las ondas de luz, radio y televisión, microondas, rayos infrarrojos, rayos ultravioleta, rayos X o rayos gamma. Entonces, la energía electromagnética se puede calcular a partir del cuadrado de la amplitud de esa onda electromagnética.</w:t>
      </w:r>
      <w:r>
        <w:rPr>
          <w:rFonts w:ascii="Arial" w:hAnsi="Arial" w:cs="Arial"/>
        </w:rPr>
        <w:t xml:space="preserve"> </w:t>
      </w:r>
      <w:r w:rsidRPr="009F7136">
        <w:rPr>
          <w:rFonts w:ascii="Arial" w:hAnsi="Arial" w:cs="Arial"/>
        </w:rPr>
        <w:t>La conservación de la energía en presencia de car</w:t>
      </w:r>
      <w:r>
        <w:rPr>
          <w:rFonts w:ascii="Arial" w:hAnsi="Arial" w:cs="Arial"/>
        </w:rPr>
        <w:t>gas eléctricas en movimiento, E</w:t>
      </w:r>
      <w:r w:rsidRPr="009F7136">
        <w:rPr>
          <w:rFonts w:ascii="Arial" w:hAnsi="Arial" w:cs="Arial"/>
        </w:rPr>
        <w:t>cuación (1.a)</w:t>
      </w:r>
      <w:r>
        <w:rPr>
          <w:rFonts w:ascii="Arial" w:hAnsi="Arial" w:cs="Arial"/>
        </w:rPr>
        <w:t>,</w:t>
      </w:r>
      <w:r w:rsidRPr="009F7136">
        <w:rPr>
          <w:rFonts w:ascii="Arial" w:hAnsi="Arial" w:cs="Arial"/>
        </w:rPr>
        <w:t xml:space="preserve"> </w:t>
      </w:r>
      <w:r>
        <w:rPr>
          <w:rFonts w:ascii="Arial" w:hAnsi="Arial" w:cs="Arial"/>
        </w:rPr>
        <w:t>se puede justifi</w:t>
      </w:r>
      <w:r w:rsidRPr="009F7136">
        <w:rPr>
          <w:rFonts w:ascii="Arial" w:hAnsi="Arial" w:cs="Arial"/>
        </w:rPr>
        <w:t>car</w:t>
      </w:r>
      <w:r w:rsidRPr="00A25D7D">
        <w:rPr>
          <w:rFonts w:ascii="Arial" w:hAnsi="Arial" w:cs="Arial"/>
          <w:vertAlign w:val="superscript"/>
        </w:rPr>
        <w:t>[1,2]</w:t>
      </w:r>
      <w:r w:rsidRPr="009F7136">
        <w:rPr>
          <w:rFonts w:ascii="Arial" w:hAnsi="Arial" w:cs="Arial"/>
        </w:rPr>
        <w:t xml:space="preserve"> al considerar un sistema de partículas cargadas dentro de un campo electromagnético</w:t>
      </w:r>
      <w:r>
        <w:rPr>
          <w:rFonts w:ascii="Arial" w:hAnsi="Arial" w:cs="Arial"/>
        </w:rPr>
        <w:t>,</w:t>
      </w:r>
      <w:r w:rsidRPr="009F7136">
        <w:rPr>
          <w:rFonts w:ascii="Arial" w:hAnsi="Arial" w:cs="Arial"/>
        </w:rPr>
        <w:t xml:space="preserve"> en el que los campos eléctrico y magnético satisfacen las ecuaciones de Maxwell en el vacío</w:t>
      </w:r>
    </w:p>
    <w:p w:rsidR="004B4415" w:rsidRPr="00F90004" w:rsidRDefault="004B4415" w:rsidP="004B4415">
      <w:pPr>
        <w:spacing w:before="120" w:after="120"/>
        <w:ind w:firstLine="601"/>
        <w:jc w:val="center"/>
      </w:pPr>
      <w:r w:rsidRPr="007E1D8F">
        <w:t xml:space="preserve">                    </w:t>
      </w:r>
      <w:r>
        <w:t xml:space="preserve">                               </w:t>
      </w:r>
      <w:r w:rsidRPr="007E1D8F">
        <w:t xml:space="preserve">  </w:t>
      </w:r>
      <w:r w:rsidRPr="004404CE">
        <w:rPr>
          <w:position w:val="-78"/>
          <w:lang w:val="en-US"/>
        </w:rPr>
        <w:object w:dxaOrig="2520" w:dyaOrig="1680">
          <v:shape id="_x0000_i1242" type="#_x0000_t75" style="width:129.6pt;height:86.4pt" o:ole="">
            <v:imagedata r:id="rId596" o:title=""/>
          </v:shape>
          <o:OLEObject Type="Embed" ProgID="Equation.3" ShapeID="_x0000_i1242" DrawAspect="Content" ObjectID="_1660649339" r:id="rId597"/>
        </w:object>
      </w:r>
      <w:r w:rsidRPr="007E1D8F">
        <w:t xml:space="preserve">                                             </w:t>
      </w:r>
      <w:r w:rsidRPr="00310CD1">
        <w:rPr>
          <w:rFonts w:ascii="Arial" w:hAnsi="Arial" w:cs="Arial"/>
        </w:rPr>
        <w:t xml:space="preserve"> (3)</w:t>
      </w:r>
    </w:p>
    <w:p w:rsidR="004B4415" w:rsidRPr="009F7136" w:rsidRDefault="004B4415" w:rsidP="004B4415">
      <w:pPr>
        <w:jc w:val="both"/>
        <w:rPr>
          <w:rFonts w:ascii="Arial" w:hAnsi="Arial" w:cs="Arial"/>
        </w:rPr>
      </w:pPr>
      <w:r>
        <w:rPr>
          <w:rFonts w:ascii="Arial" w:hAnsi="Arial" w:cs="Arial"/>
        </w:rPr>
        <w:t>do</w:t>
      </w:r>
      <w:r w:rsidRPr="009F7136">
        <w:rPr>
          <w:rFonts w:ascii="Arial" w:hAnsi="Arial" w:cs="Arial"/>
        </w:rPr>
        <w:t xml:space="preserve">nde </w:t>
      </w:r>
      <w:r w:rsidRPr="005357E2">
        <w:rPr>
          <w:position w:val="-10"/>
        </w:rPr>
        <w:object w:dxaOrig="220" w:dyaOrig="480">
          <v:shape id="_x0000_i1243" type="#_x0000_t75" style="width:14.4pt;height:21.6pt" o:ole="">
            <v:imagedata r:id="rId598" o:title=""/>
          </v:shape>
          <o:OLEObject Type="Embed" ProgID="Equation.3" ShapeID="_x0000_i1243" DrawAspect="Content" ObjectID="_1660649340" r:id="rId599"/>
        </w:object>
      </w:r>
      <w:r>
        <w:rPr>
          <w:rFonts w:ascii="Arial" w:hAnsi="Arial" w:cs="Arial"/>
        </w:rPr>
        <w:t xml:space="preserve"> es la densidad de corriente.</w:t>
      </w:r>
      <w:r w:rsidRPr="009F7136">
        <w:rPr>
          <w:rFonts w:ascii="Arial" w:hAnsi="Arial" w:cs="Arial"/>
        </w:rPr>
        <w:t xml:space="preserve"> </w:t>
      </w:r>
      <w:r>
        <w:rPr>
          <w:rFonts w:ascii="Arial" w:hAnsi="Arial" w:cs="Arial"/>
        </w:rPr>
        <w:t>Multiplicando la primera de las ecuaciones (3)</w:t>
      </w:r>
      <w:r w:rsidRPr="009F7136">
        <w:rPr>
          <w:rFonts w:ascii="Arial" w:hAnsi="Arial" w:cs="Arial"/>
        </w:rPr>
        <w:t xml:space="preserve"> por el campo eléctrico</w:t>
      </w:r>
      <w:r>
        <w:rPr>
          <w:rFonts w:ascii="Arial" w:hAnsi="Arial" w:cs="Arial"/>
        </w:rPr>
        <w:t xml:space="preserve"> </w:t>
      </w:r>
      <w:r w:rsidRPr="005357E2">
        <w:rPr>
          <w:position w:val="-4"/>
          <w:lang w:val="en-US"/>
        </w:rPr>
        <w:object w:dxaOrig="260" w:dyaOrig="460">
          <v:shape id="_x0000_i1244" type="#_x0000_t75" style="width:14.4pt;height:21.6pt" o:ole="">
            <v:imagedata r:id="rId600" o:title=""/>
          </v:shape>
          <o:OLEObject Type="Embed" ProgID="Equation.3" ShapeID="_x0000_i1244" DrawAspect="Content" ObjectID="_1660649341" r:id="rId601"/>
        </w:object>
      </w:r>
      <w:r w:rsidRPr="000F40D5">
        <w:t>,</w:t>
      </w:r>
      <w:r>
        <w:rPr>
          <w:rFonts w:ascii="Arial" w:hAnsi="Arial" w:cs="Arial"/>
        </w:rPr>
        <w:t xml:space="preserve"> y </w:t>
      </w:r>
      <w:r w:rsidRPr="009F7136">
        <w:rPr>
          <w:rFonts w:ascii="Arial" w:hAnsi="Arial" w:cs="Arial"/>
        </w:rPr>
        <w:t>l</w:t>
      </w:r>
      <w:r>
        <w:rPr>
          <w:rFonts w:ascii="Arial" w:hAnsi="Arial" w:cs="Arial"/>
        </w:rPr>
        <w:t>a segunda</w:t>
      </w:r>
      <w:r w:rsidRPr="009F7136">
        <w:rPr>
          <w:rFonts w:ascii="Arial" w:hAnsi="Arial" w:cs="Arial"/>
        </w:rPr>
        <w:t xml:space="preserve"> por la inducción magnética</w:t>
      </w:r>
      <w:r>
        <w:rPr>
          <w:rFonts w:ascii="Arial" w:hAnsi="Arial" w:cs="Arial"/>
        </w:rPr>
        <w:t xml:space="preserve"> </w:t>
      </w:r>
      <w:r w:rsidRPr="005357E2">
        <w:rPr>
          <w:position w:val="-12"/>
          <w:lang w:val="en-US"/>
        </w:rPr>
        <w:object w:dxaOrig="580" w:dyaOrig="499">
          <v:shape id="_x0000_i1245" type="#_x0000_t75" style="width:28.8pt;height:21.6pt" o:ole="">
            <v:imagedata r:id="rId602" o:title=""/>
          </v:shape>
          <o:OLEObject Type="Embed" ProgID="Equation.3" ShapeID="_x0000_i1245" DrawAspect="Content" ObjectID="_1660649342" r:id="rId603"/>
        </w:object>
      </w:r>
      <w:r w:rsidRPr="007E1D8F">
        <w:t>,</w:t>
      </w:r>
      <w:r w:rsidRPr="009F7136">
        <w:rPr>
          <w:rFonts w:ascii="Arial" w:hAnsi="Arial" w:cs="Arial"/>
        </w:rPr>
        <w:t xml:space="preserve"> y sumando las expresiones</w:t>
      </w:r>
      <w:r>
        <w:rPr>
          <w:rFonts w:ascii="Arial" w:hAnsi="Arial" w:cs="Arial"/>
        </w:rPr>
        <w:t xml:space="preserve"> resultantes</w:t>
      </w:r>
      <w:r w:rsidRPr="009F7136">
        <w:rPr>
          <w:rFonts w:ascii="Arial" w:hAnsi="Arial" w:cs="Arial"/>
        </w:rPr>
        <w:t xml:space="preserve"> se obtiene,</w:t>
      </w:r>
    </w:p>
    <w:p w:rsidR="004B4415" w:rsidRPr="009F7136" w:rsidRDefault="004B4415" w:rsidP="004B4415">
      <w:pPr>
        <w:spacing w:before="120" w:after="120"/>
        <w:ind w:firstLine="601"/>
        <w:jc w:val="center"/>
        <w:rPr>
          <w:rFonts w:ascii="Arial" w:hAnsi="Arial" w:cs="Arial"/>
        </w:rPr>
      </w:pPr>
      <w:r>
        <w:rPr>
          <w:rFonts w:ascii="Arial" w:hAnsi="Arial" w:cs="Arial"/>
        </w:rPr>
        <w:t xml:space="preserve">                        </w:t>
      </w:r>
      <w:r w:rsidRPr="007E1D8F">
        <w:rPr>
          <w:rFonts w:ascii="Arial" w:hAnsi="Arial" w:cs="Arial"/>
        </w:rPr>
        <w:t xml:space="preserve"> </w:t>
      </w:r>
      <w:r w:rsidRPr="007E1D8F">
        <w:rPr>
          <w:rFonts w:ascii="Arial" w:hAnsi="Arial" w:cs="Arial"/>
          <w:position w:val="-30"/>
          <w:lang w:val="en-US"/>
        </w:rPr>
        <w:object w:dxaOrig="5280" w:dyaOrig="820">
          <v:shape id="_x0000_i1246" type="#_x0000_t75" style="width:266.4pt;height:43.2pt" o:ole="">
            <v:imagedata r:id="rId604" o:title=""/>
          </v:shape>
          <o:OLEObject Type="Embed" ProgID="Equation.3" ShapeID="_x0000_i1246" DrawAspect="Content" ObjectID="_1660649343" r:id="rId605"/>
        </w:object>
      </w:r>
      <w:r w:rsidRPr="000F40D5">
        <w:rPr>
          <w:rFonts w:ascii="Arial" w:hAnsi="Arial" w:cs="Arial"/>
        </w:rPr>
        <w:t>,</w:t>
      </w:r>
      <w:r w:rsidRPr="007E1D8F">
        <w:rPr>
          <w:rFonts w:ascii="Arial" w:hAnsi="Arial" w:cs="Arial"/>
        </w:rPr>
        <w:t xml:space="preserve">                      (4)</w:t>
      </w:r>
    </w:p>
    <w:p w:rsidR="004B4415" w:rsidRPr="009F7136" w:rsidRDefault="004B4415" w:rsidP="004B4415">
      <w:pPr>
        <w:jc w:val="both"/>
        <w:rPr>
          <w:rFonts w:ascii="Arial" w:hAnsi="Arial" w:cs="Arial"/>
        </w:rPr>
      </w:pPr>
      <w:r w:rsidRPr="009F7136">
        <w:rPr>
          <w:rFonts w:ascii="Arial" w:hAnsi="Arial" w:cs="Arial"/>
        </w:rPr>
        <w:t>y por las propiedades de los operadores diferenciales puede reescribirse,</w:t>
      </w:r>
    </w:p>
    <w:p w:rsidR="004B4415" w:rsidRPr="009F7136" w:rsidRDefault="004B4415" w:rsidP="004B4415">
      <w:pPr>
        <w:spacing w:before="120" w:after="120"/>
        <w:ind w:firstLine="601"/>
        <w:jc w:val="center"/>
        <w:rPr>
          <w:rFonts w:ascii="Arial" w:hAnsi="Arial" w:cs="Arial"/>
        </w:rPr>
      </w:pPr>
      <w:r w:rsidRPr="005A6547">
        <w:rPr>
          <w:rFonts w:ascii="Arial" w:hAnsi="Arial" w:cs="Arial"/>
        </w:rPr>
        <w:lastRenderedPageBreak/>
        <w:t xml:space="preserve">                                    </w:t>
      </w:r>
      <w:r w:rsidRPr="007E1D8F">
        <w:rPr>
          <w:rFonts w:ascii="Arial" w:hAnsi="Arial" w:cs="Arial"/>
          <w:position w:val="-30"/>
          <w:lang w:val="en-US"/>
        </w:rPr>
        <w:object w:dxaOrig="3640" w:dyaOrig="820">
          <v:shape id="_x0000_i1247" type="#_x0000_t75" style="width:180pt;height:43.2pt" o:ole="">
            <v:imagedata r:id="rId606" o:title=""/>
          </v:shape>
          <o:OLEObject Type="Embed" ProgID="Equation.3" ShapeID="_x0000_i1247" DrawAspect="Content" ObjectID="_1660649344" r:id="rId607"/>
        </w:object>
      </w:r>
      <w:r w:rsidRPr="005A6547">
        <w:rPr>
          <w:rFonts w:ascii="Arial" w:hAnsi="Arial" w:cs="Arial"/>
        </w:rPr>
        <w:t xml:space="preserve">                                     (5)</w:t>
      </w:r>
    </w:p>
    <w:p w:rsidR="004B4415" w:rsidRPr="009F7136" w:rsidRDefault="004B4415" w:rsidP="004B4415">
      <w:pPr>
        <w:ind w:firstLine="600"/>
        <w:jc w:val="both"/>
        <w:rPr>
          <w:rFonts w:ascii="Arial" w:hAnsi="Arial" w:cs="Arial"/>
        </w:rPr>
      </w:pPr>
      <w:r w:rsidRPr="009F7136">
        <w:rPr>
          <w:rFonts w:ascii="Arial" w:hAnsi="Arial" w:cs="Arial"/>
        </w:rPr>
        <w:t xml:space="preserve">Al integrarse en </w:t>
      </w:r>
      <w:r>
        <w:rPr>
          <w:rFonts w:ascii="Arial" w:hAnsi="Arial" w:cs="Arial"/>
        </w:rPr>
        <w:t>un volumen finito que contiene a</w:t>
      </w:r>
      <w:r w:rsidRPr="009F7136">
        <w:rPr>
          <w:rFonts w:ascii="Arial" w:hAnsi="Arial" w:cs="Arial"/>
        </w:rPr>
        <w:t>l sistema de cargas considerado, el primer miembro es la energía electromagnética dentro del volumen, el primer término del segundo miembro resulta ser la variación de la energía cinética de</w:t>
      </w:r>
      <w:r>
        <w:rPr>
          <w:rFonts w:ascii="Arial" w:hAnsi="Arial" w:cs="Arial"/>
        </w:rPr>
        <w:t xml:space="preserve"> </w:t>
      </w:r>
      <w:r w:rsidRPr="009F7136">
        <w:rPr>
          <w:rFonts w:ascii="Arial" w:hAnsi="Arial" w:cs="Arial"/>
        </w:rPr>
        <w:t>l</w:t>
      </w:r>
      <w:r>
        <w:rPr>
          <w:rFonts w:ascii="Arial" w:hAnsi="Arial" w:cs="Arial"/>
        </w:rPr>
        <w:t>as</w:t>
      </w:r>
      <w:r w:rsidRPr="009F7136">
        <w:rPr>
          <w:rFonts w:ascii="Arial" w:hAnsi="Arial" w:cs="Arial"/>
        </w:rPr>
        <w:t xml:space="preserve"> cargas, y el otro término es la integral de la divergencia del vector de Poynting</w:t>
      </w:r>
      <w:r>
        <w:rPr>
          <w:rFonts w:ascii="Arial" w:hAnsi="Arial" w:cs="Arial"/>
        </w:rPr>
        <w:t>,</w:t>
      </w:r>
      <w:r w:rsidRPr="009F7136">
        <w:rPr>
          <w:rFonts w:ascii="Arial" w:hAnsi="Arial" w:cs="Arial"/>
        </w:rPr>
        <w:t xml:space="preserve"> que se puede transformar en una integral de área, para el vector diferencial de área</w:t>
      </w:r>
      <w:r>
        <w:rPr>
          <w:rFonts w:ascii="Arial" w:hAnsi="Arial" w:cs="Arial"/>
        </w:rPr>
        <w:t xml:space="preserve"> </w:t>
      </w:r>
      <w:r w:rsidRPr="005357E2">
        <w:rPr>
          <w:position w:val="-6"/>
        </w:rPr>
        <w:object w:dxaOrig="400" w:dyaOrig="440">
          <v:shape id="_x0000_i1248" type="#_x0000_t75" style="width:21.6pt;height:21.6pt" o:ole="">
            <v:imagedata r:id="rId608" o:title=""/>
          </v:shape>
          <o:OLEObject Type="Embed" ProgID="Equation.3" ShapeID="_x0000_i1248" DrawAspect="Content" ObjectID="_1660649345" r:id="rId609"/>
        </w:object>
      </w:r>
      <w:r>
        <w:rPr>
          <w:rFonts w:ascii="Arial" w:hAnsi="Arial" w:cs="Arial"/>
        </w:rPr>
        <w:t>.</w:t>
      </w:r>
      <w:r w:rsidRPr="009F7136">
        <w:rPr>
          <w:rFonts w:ascii="Arial" w:hAnsi="Arial" w:cs="Arial"/>
        </w:rPr>
        <w:t xml:space="preserve"> </w:t>
      </w:r>
      <w:r>
        <w:rPr>
          <w:rFonts w:ascii="Arial" w:hAnsi="Arial" w:cs="Arial"/>
        </w:rPr>
        <w:t xml:space="preserve">Y si los campos tienden al infinito más rápido que </w:t>
      </w:r>
      <w:r w:rsidRPr="005357E2">
        <w:rPr>
          <w:position w:val="-6"/>
          <w:lang w:val="en-US"/>
        </w:rPr>
        <w:object w:dxaOrig="420" w:dyaOrig="279">
          <v:shape id="_x0000_i1249" type="#_x0000_t75" style="width:21.6pt;height:14.4pt" o:ole="">
            <v:imagedata r:id="rId610" o:title=""/>
          </v:shape>
          <o:OLEObject Type="Embed" ProgID="Equation.3" ShapeID="_x0000_i1249" DrawAspect="Content" ObjectID="_1660649346" r:id="rId611"/>
        </w:object>
      </w:r>
      <w:r>
        <w:rPr>
          <w:rFonts w:ascii="Arial" w:hAnsi="Arial" w:cs="Arial"/>
        </w:rPr>
        <w:t xml:space="preserve"> </w:t>
      </w:r>
      <w:r w:rsidRPr="009F7136">
        <w:rPr>
          <w:rFonts w:ascii="Arial" w:hAnsi="Arial" w:cs="Arial"/>
        </w:rPr>
        <w:t xml:space="preserve"> se obtiene,</w:t>
      </w:r>
    </w:p>
    <w:p w:rsidR="004B4415" w:rsidRPr="009F7136" w:rsidRDefault="004B4415" w:rsidP="004B4415">
      <w:pPr>
        <w:spacing w:before="120" w:after="120"/>
        <w:ind w:firstLine="601"/>
        <w:jc w:val="center"/>
        <w:rPr>
          <w:rFonts w:ascii="Arial" w:hAnsi="Arial" w:cs="Arial"/>
        </w:rPr>
      </w:pPr>
      <w:r w:rsidRPr="005A6547">
        <w:rPr>
          <w:rFonts w:ascii="Arial" w:hAnsi="Arial" w:cs="Arial"/>
        </w:rPr>
        <w:t xml:space="preserve">                                      </w:t>
      </w:r>
      <w:r w:rsidRPr="005A6547">
        <w:rPr>
          <w:rFonts w:ascii="Arial" w:hAnsi="Arial" w:cs="Arial"/>
          <w:position w:val="-68"/>
          <w:lang w:val="en-US"/>
        </w:rPr>
        <w:object w:dxaOrig="3460" w:dyaOrig="1480">
          <v:shape id="_x0000_i1250" type="#_x0000_t75" style="width:172.8pt;height:1in" o:ole="">
            <v:imagedata r:id="rId612" o:title=""/>
          </v:shape>
          <o:OLEObject Type="Embed" ProgID="Equation.3" ShapeID="_x0000_i1250" DrawAspect="Content" ObjectID="_1660649347" r:id="rId613"/>
        </w:object>
      </w:r>
      <w:r w:rsidRPr="005A6547">
        <w:rPr>
          <w:rFonts w:ascii="Arial" w:hAnsi="Arial" w:cs="Arial"/>
        </w:rPr>
        <w:t xml:space="preserve">                                     (6)</w:t>
      </w:r>
    </w:p>
    <w:p w:rsidR="004B4415" w:rsidRPr="009F7136" w:rsidRDefault="004B4415" w:rsidP="004B4415">
      <w:pPr>
        <w:ind w:firstLine="600"/>
        <w:jc w:val="both"/>
        <w:rPr>
          <w:rFonts w:ascii="Arial" w:hAnsi="Arial" w:cs="Arial"/>
        </w:rPr>
      </w:pPr>
      <w:r>
        <w:rPr>
          <w:rFonts w:ascii="Arial" w:hAnsi="Arial" w:cs="Arial"/>
        </w:rPr>
        <w:t>Así, para</w:t>
      </w:r>
      <w:r w:rsidRPr="009F7136">
        <w:rPr>
          <w:rFonts w:ascii="Arial" w:hAnsi="Arial" w:cs="Arial"/>
        </w:rPr>
        <w:t xml:space="preserve"> </w:t>
      </w:r>
      <w:r w:rsidRPr="005357E2">
        <w:rPr>
          <w:position w:val="-6"/>
          <w:lang w:val="en-US"/>
        </w:rPr>
        <w:object w:dxaOrig="720" w:dyaOrig="320">
          <v:shape id="_x0000_i1251" type="#_x0000_t75" style="width:36pt;height:14.4pt" o:ole="">
            <v:imagedata r:id="rId614" o:title=""/>
          </v:shape>
          <o:OLEObject Type="Embed" ProgID="Equation.3" ShapeID="_x0000_i1251" DrawAspect="Content" ObjectID="_1660649348" r:id="rId615"/>
        </w:object>
      </w:r>
      <w:r w:rsidRPr="005A6547">
        <w:t xml:space="preserve">, </w:t>
      </w:r>
      <w:r w:rsidRPr="009F7136">
        <w:rPr>
          <w:rFonts w:ascii="Arial" w:hAnsi="Arial" w:cs="Arial"/>
        </w:rPr>
        <w:t>la conservación de energía en presencia de campos electromagnéticos es,</w:t>
      </w:r>
    </w:p>
    <w:p w:rsidR="004B4415" w:rsidRPr="009F7136" w:rsidRDefault="004B4415" w:rsidP="004B4415">
      <w:pPr>
        <w:spacing w:before="120" w:after="120"/>
        <w:ind w:firstLine="601"/>
        <w:jc w:val="center"/>
        <w:rPr>
          <w:rFonts w:ascii="Arial" w:hAnsi="Arial" w:cs="Arial"/>
        </w:rPr>
      </w:pPr>
      <w:r w:rsidRPr="00310CD1">
        <w:rPr>
          <w:rFonts w:ascii="Arial" w:hAnsi="Arial" w:cs="Arial"/>
        </w:rPr>
        <w:t xml:space="preserve">                           </w:t>
      </w:r>
      <w:r w:rsidRPr="00310CD1">
        <w:rPr>
          <w:rFonts w:ascii="Arial" w:hAnsi="Arial" w:cs="Arial"/>
          <w:position w:val="-30"/>
          <w:lang w:val="en-US"/>
        </w:rPr>
        <w:object w:dxaOrig="4819" w:dyaOrig="720">
          <v:shape id="_x0000_i1252" type="#_x0000_t75" style="width:237.6pt;height:36pt" o:ole="">
            <v:imagedata r:id="rId616" o:title=""/>
          </v:shape>
          <o:OLEObject Type="Embed" ProgID="Equation.3" ShapeID="_x0000_i1252" DrawAspect="Content" ObjectID="_1660649349" r:id="rId617"/>
        </w:object>
      </w:r>
      <w:r w:rsidRPr="00310CD1">
        <w:rPr>
          <w:rFonts w:ascii="Arial" w:hAnsi="Arial" w:cs="Arial"/>
        </w:rPr>
        <w:t>,                           (7)</w:t>
      </w:r>
    </w:p>
    <w:p w:rsidR="004B4415" w:rsidRPr="009F7136" w:rsidRDefault="004B4415" w:rsidP="004B4415">
      <w:pPr>
        <w:jc w:val="both"/>
        <w:rPr>
          <w:rFonts w:ascii="Arial" w:hAnsi="Arial" w:cs="Arial"/>
        </w:rPr>
      </w:pPr>
      <w:r w:rsidRPr="009F7136">
        <w:rPr>
          <w:rFonts w:ascii="Arial" w:hAnsi="Arial" w:cs="Arial"/>
        </w:rPr>
        <w:t>relación que justifica el nombre de energía electromagnética, ya que la suma de la energía cinética y la "energía electromagnética" da lugar a una cantidad física cuya derivada temporal es cero, siendo la derivada de la energía electromagnética igual y opuesta a la energía c</w:t>
      </w:r>
      <w:r>
        <w:rPr>
          <w:rFonts w:ascii="Arial" w:hAnsi="Arial" w:cs="Arial"/>
        </w:rPr>
        <w:t>inética obtenida por las cargas en</w:t>
      </w:r>
      <w:r w:rsidRPr="009F7136">
        <w:rPr>
          <w:rFonts w:ascii="Arial" w:hAnsi="Arial" w:cs="Arial"/>
        </w:rPr>
        <w:t xml:space="preserve"> movimiento en el campo. Por lo tanto, definiendo la energía total como la suma de la energía cinética y una magnitud dada por (1.b), </w:t>
      </w:r>
      <w:r>
        <w:rPr>
          <w:rFonts w:ascii="Arial" w:hAnsi="Arial" w:cs="Arial"/>
        </w:rPr>
        <w:t>se obtiene una</w:t>
      </w:r>
      <w:r w:rsidRPr="009F7136">
        <w:rPr>
          <w:rFonts w:ascii="Arial" w:hAnsi="Arial" w:cs="Arial"/>
        </w:rPr>
        <w:t xml:space="preserve"> ley de conservación de energía en presencia de campos electromagnéticos.</w:t>
      </w:r>
      <w:r>
        <w:rPr>
          <w:rFonts w:ascii="Arial" w:hAnsi="Arial" w:cs="Arial"/>
        </w:rPr>
        <w:t xml:space="preserve"> </w:t>
      </w:r>
      <w:r w:rsidRPr="009F7136">
        <w:rPr>
          <w:rFonts w:ascii="Arial" w:hAnsi="Arial" w:cs="Arial"/>
        </w:rPr>
        <w:t xml:space="preserve">Pero si </w:t>
      </w:r>
      <w:r>
        <w:rPr>
          <w:rFonts w:ascii="Arial" w:hAnsi="Arial" w:cs="Arial"/>
        </w:rPr>
        <w:t>no lo es</w:t>
      </w:r>
      <w:r w:rsidRPr="009F7136">
        <w:rPr>
          <w:rFonts w:ascii="Arial" w:hAnsi="Arial" w:cs="Arial"/>
        </w:rPr>
        <w:t xml:space="preserve"> </w:t>
      </w:r>
      <w:r>
        <w:rPr>
          <w:rFonts w:ascii="Arial" w:hAnsi="Arial" w:cs="Arial"/>
        </w:rPr>
        <w:t>considerando</w:t>
      </w:r>
      <w:r w:rsidRPr="009F7136">
        <w:rPr>
          <w:rFonts w:ascii="Arial" w:hAnsi="Arial" w:cs="Arial"/>
        </w:rPr>
        <w:t xml:space="preserve"> el vacío, </w:t>
      </w:r>
      <w:r>
        <w:rPr>
          <w:rFonts w:ascii="Arial" w:hAnsi="Arial" w:cs="Arial"/>
        </w:rPr>
        <w:t>considérese</w:t>
      </w:r>
      <w:r w:rsidRPr="009F7136">
        <w:rPr>
          <w:rFonts w:ascii="Arial" w:hAnsi="Arial" w:cs="Arial"/>
        </w:rPr>
        <w:t xml:space="preserve"> un espacio en el que hay una cierta cantidad de materia, que necesariamente tiene cargas móviles, que puede generar campos magnéticos,</w:t>
      </w:r>
      <w:r>
        <w:rPr>
          <w:rFonts w:ascii="Arial" w:hAnsi="Arial" w:cs="Arial"/>
        </w:rPr>
        <w:t xml:space="preserve"> por ejemplo</w:t>
      </w:r>
      <w:r w:rsidRPr="009F7136">
        <w:rPr>
          <w:rFonts w:ascii="Arial" w:hAnsi="Arial" w:cs="Arial"/>
        </w:rPr>
        <w:t xml:space="preserve"> como cualquier parte del cuerpo h</w:t>
      </w:r>
      <w:r>
        <w:rPr>
          <w:rFonts w:ascii="Arial" w:hAnsi="Arial" w:cs="Arial"/>
        </w:rPr>
        <w:t xml:space="preserve">umano. </w:t>
      </w:r>
      <w:smartTag w:uri="urn:schemas-microsoft-com:office:smarttags" w:element="PersonName">
        <w:smartTagPr>
          <w:attr w:name="ProductID" w:val="La Ecuaci￳n"/>
        </w:smartTagPr>
        <w:r>
          <w:rPr>
            <w:rFonts w:ascii="Arial" w:hAnsi="Arial" w:cs="Arial"/>
          </w:rPr>
          <w:t>La E</w:t>
        </w:r>
        <w:r w:rsidRPr="009F7136">
          <w:rPr>
            <w:rFonts w:ascii="Arial" w:hAnsi="Arial" w:cs="Arial"/>
          </w:rPr>
          <w:t>cuación</w:t>
        </w:r>
      </w:smartTag>
      <w:r w:rsidRPr="009F7136">
        <w:rPr>
          <w:rFonts w:ascii="Arial" w:hAnsi="Arial" w:cs="Arial"/>
        </w:rPr>
        <w:t xml:space="preserve"> (7) se modifica de manera que se incluya el campo generado por la cantidad de materia en consideración. Es decir, cuando una onda electromagnética incide en un átomo, los campos eléctricos y magnéticos de la onda actúan sobre los electrones del átomo. Hay un ajuste del movimiento </w:t>
      </w:r>
      <w:r>
        <w:rPr>
          <w:rFonts w:ascii="Arial" w:hAnsi="Arial" w:cs="Arial"/>
        </w:rPr>
        <w:t>de los electrones hacia</w:t>
      </w:r>
      <w:r w:rsidRPr="009F7136">
        <w:rPr>
          <w:rFonts w:ascii="Arial" w:hAnsi="Arial" w:cs="Arial"/>
        </w:rPr>
        <w:t xml:space="preserve"> la energía más alta del átomo, que se excita y puede emitir el exceso de energía absorbida.</w:t>
      </w:r>
    </w:p>
    <w:p w:rsidR="004B4415" w:rsidRDefault="004B4415" w:rsidP="004B4415">
      <w:pPr>
        <w:ind w:firstLine="600"/>
        <w:jc w:val="both"/>
        <w:rPr>
          <w:rFonts w:ascii="Arial" w:hAnsi="Arial" w:cs="Arial"/>
        </w:rPr>
      </w:pPr>
      <w:r w:rsidRPr="009F7136">
        <w:rPr>
          <w:rFonts w:ascii="Arial" w:hAnsi="Arial" w:cs="Arial"/>
        </w:rPr>
        <w:t>Un caso interesante en el que se pueden aplicar los comentarios anteriores es la influencia de las nuevas tecnologías de telecomunicaciones en la vida cotidiana de las personas en la socie</w:t>
      </w:r>
      <w:r>
        <w:rPr>
          <w:rFonts w:ascii="Arial" w:hAnsi="Arial" w:cs="Arial"/>
        </w:rPr>
        <w:t>dad actual. En los últimos años</w:t>
      </w:r>
      <w:r w:rsidRPr="009F7136">
        <w:rPr>
          <w:rFonts w:ascii="Arial" w:hAnsi="Arial" w:cs="Arial"/>
        </w:rPr>
        <w:t xml:space="preserve"> el uso del teléfono celular ha aumentado de manera </w:t>
      </w:r>
      <w:r>
        <w:rPr>
          <w:rFonts w:ascii="Arial" w:hAnsi="Arial" w:cs="Arial"/>
        </w:rPr>
        <w:t>considerable</w:t>
      </w:r>
      <w:r w:rsidRPr="009F7136">
        <w:rPr>
          <w:rFonts w:ascii="Arial" w:hAnsi="Arial" w:cs="Arial"/>
        </w:rPr>
        <w:t xml:space="preserve">. </w:t>
      </w:r>
      <w:r>
        <w:rPr>
          <w:rFonts w:ascii="Arial" w:hAnsi="Arial" w:cs="Arial"/>
        </w:rPr>
        <w:t>Lo que se puede</w:t>
      </w:r>
      <w:r w:rsidRPr="009F7136">
        <w:rPr>
          <w:rFonts w:ascii="Arial" w:hAnsi="Arial" w:cs="Arial"/>
        </w:rPr>
        <w:t xml:space="preserve"> apreciar si consideramos que </w:t>
      </w:r>
      <w:r>
        <w:rPr>
          <w:rFonts w:ascii="Arial" w:hAnsi="Arial" w:cs="Arial"/>
        </w:rPr>
        <w:t xml:space="preserve">aproximadamente </w:t>
      </w:r>
      <w:r w:rsidRPr="009F7136">
        <w:rPr>
          <w:rFonts w:ascii="Arial" w:hAnsi="Arial" w:cs="Arial"/>
        </w:rPr>
        <w:t xml:space="preserve">el 69 por ciento de la población mundial </w:t>
      </w:r>
      <w:r>
        <w:rPr>
          <w:rFonts w:ascii="Arial" w:hAnsi="Arial" w:cs="Arial"/>
        </w:rPr>
        <w:t>tuvo</w:t>
      </w:r>
      <w:r w:rsidRPr="009F7136">
        <w:rPr>
          <w:rFonts w:ascii="Arial" w:hAnsi="Arial" w:cs="Arial"/>
        </w:rPr>
        <w:t xml:space="preserve"> cobertura </w:t>
      </w:r>
      <w:r>
        <w:rPr>
          <w:rFonts w:ascii="Arial" w:hAnsi="Arial" w:cs="Arial"/>
        </w:rPr>
        <w:t>de banda ancha móvil 3G en 2015;</w:t>
      </w:r>
      <w:r w:rsidRPr="009F7136">
        <w:rPr>
          <w:rFonts w:ascii="Arial" w:hAnsi="Arial" w:cs="Arial"/>
        </w:rPr>
        <w:t xml:space="preserve"> lo que representa un aumento del 24 por ciento con respecto a 2011, según </w:t>
      </w:r>
      <w:smartTag w:uri="urn:schemas-microsoft-com:office:smarttags" w:element="PersonName">
        <w:smartTagPr>
          <w:attr w:name="ProductID" w:val="la Uni￳n Internacional"/>
        </w:smartTagPr>
        <w:r w:rsidRPr="009F7136">
          <w:rPr>
            <w:rFonts w:ascii="Arial" w:hAnsi="Arial" w:cs="Arial"/>
          </w:rPr>
          <w:t>la Unión Internacional</w:t>
        </w:r>
      </w:smartTag>
      <w:r w:rsidRPr="009F7136">
        <w:rPr>
          <w:rFonts w:ascii="Arial" w:hAnsi="Arial" w:cs="Arial"/>
        </w:rPr>
        <w:t xml:space="preserve"> de Telecomunicaciones (UIT). Además</w:t>
      </w:r>
      <w:r>
        <w:rPr>
          <w:rFonts w:ascii="Arial" w:hAnsi="Arial" w:cs="Arial"/>
        </w:rPr>
        <w:t>,</w:t>
      </w:r>
      <w:r w:rsidRPr="009F7136">
        <w:rPr>
          <w:rFonts w:ascii="Arial" w:hAnsi="Arial" w:cs="Arial"/>
        </w:rPr>
        <w:t xml:space="preserve"> del último informe estadístico de la agencia, el 89 por ciento de los 4,000 millones (3560 millones) de personas que viven en áreas urbanas tienen acceso a esta tecnología. </w:t>
      </w:r>
      <w:r>
        <w:rPr>
          <w:rFonts w:ascii="Arial" w:hAnsi="Arial" w:cs="Arial"/>
        </w:rPr>
        <w:t>Incluso</w:t>
      </w:r>
      <w:r w:rsidRPr="009F7136">
        <w:rPr>
          <w:rFonts w:ascii="Arial" w:hAnsi="Arial" w:cs="Arial"/>
        </w:rPr>
        <w:t xml:space="preserve"> se </w:t>
      </w:r>
      <w:r>
        <w:rPr>
          <w:rFonts w:ascii="Arial" w:hAnsi="Arial" w:cs="Arial"/>
        </w:rPr>
        <w:t>calcula</w:t>
      </w:r>
      <w:r w:rsidRPr="009F7136">
        <w:rPr>
          <w:rFonts w:ascii="Arial" w:hAnsi="Arial" w:cs="Arial"/>
        </w:rPr>
        <w:t xml:space="preserve"> que esta tecnología alcance el 29 por ciento de los 3,400 millones de perso</w:t>
      </w:r>
      <w:r>
        <w:rPr>
          <w:rFonts w:ascii="Arial" w:hAnsi="Arial" w:cs="Arial"/>
        </w:rPr>
        <w:t>nas que viven en áreas rurales (</w:t>
      </w:r>
      <w:r w:rsidRPr="009F7136">
        <w:rPr>
          <w:rFonts w:ascii="Arial" w:hAnsi="Arial" w:cs="Arial"/>
        </w:rPr>
        <w:t>986 000 000 de</w:t>
      </w:r>
      <w:r>
        <w:rPr>
          <w:rFonts w:ascii="Arial" w:hAnsi="Arial" w:cs="Arial"/>
        </w:rPr>
        <w:t xml:space="preserve"> personas)</w:t>
      </w:r>
      <w:r w:rsidRPr="009F7136">
        <w:rPr>
          <w:rFonts w:ascii="Arial" w:hAnsi="Arial" w:cs="Arial"/>
        </w:rPr>
        <w:t xml:space="preserve"> a fines de este año.</w:t>
      </w:r>
      <w:r>
        <w:rPr>
          <w:rFonts w:ascii="Arial" w:hAnsi="Arial" w:cs="Arial"/>
        </w:rPr>
        <w:t xml:space="preserve"> Estas cantidades </w:t>
      </w:r>
      <w:r w:rsidRPr="009F7136">
        <w:rPr>
          <w:rFonts w:ascii="Arial" w:hAnsi="Arial" w:cs="Arial"/>
        </w:rPr>
        <w:t xml:space="preserve">conducen a tener en cuenta un estudio serio de </w:t>
      </w:r>
      <w:r w:rsidRPr="009F7136">
        <w:rPr>
          <w:rFonts w:ascii="Arial" w:hAnsi="Arial" w:cs="Arial"/>
        </w:rPr>
        <w:lastRenderedPageBreak/>
        <w:t xml:space="preserve">los efectos sobre la salud de la población debido a esta tecnología. De lo contrario, en los próximos años se puede hacer, un gran problema de salud mundial por el uso de teléfonos móviles. Hay algunos documentos sobre estos problemas [3-7]. </w:t>
      </w:r>
    </w:p>
    <w:p w:rsidR="004B4415" w:rsidRPr="009F7136" w:rsidRDefault="004B4415" w:rsidP="004B4415">
      <w:pPr>
        <w:ind w:firstLine="600"/>
        <w:jc w:val="both"/>
        <w:rPr>
          <w:rFonts w:ascii="Arial" w:hAnsi="Arial" w:cs="Arial"/>
        </w:rPr>
      </w:pPr>
      <w:r w:rsidRPr="009F7136">
        <w:rPr>
          <w:rFonts w:ascii="Arial" w:hAnsi="Arial" w:cs="Arial"/>
        </w:rPr>
        <w:t xml:space="preserve">En </w:t>
      </w:r>
      <w:r>
        <w:rPr>
          <w:rFonts w:ascii="Arial" w:hAnsi="Arial" w:cs="Arial"/>
        </w:rPr>
        <w:t xml:space="preserve">el presente </w:t>
      </w:r>
      <w:r w:rsidRPr="009F7136">
        <w:rPr>
          <w:rFonts w:ascii="Arial" w:hAnsi="Arial" w:cs="Arial"/>
        </w:rPr>
        <w:t xml:space="preserve">trabajo se </w:t>
      </w:r>
      <w:r>
        <w:rPr>
          <w:rFonts w:ascii="Arial" w:hAnsi="Arial" w:cs="Arial"/>
        </w:rPr>
        <w:t>realiza</w:t>
      </w:r>
      <w:r w:rsidRPr="009F7136">
        <w:rPr>
          <w:rFonts w:ascii="Arial" w:hAnsi="Arial" w:cs="Arial"/>
        </w:rPr>
        <w:t xml:space="preserve"> una breve revisión de las características medias del sistema auditivo y </w:t>
      </w:r>
      <w:r>
        <w:rPr>
          <w:rFonts w:ascii="Arial" w:hAnsi="Arial" w:cs="Arial"/>
        </w:rPr>
        <w:t>de los principios básicos para la obtención de</w:t>
      </w:r>
      <w:r w:rsidRPr="009F7136">
        <w:rPr>
          <w:rFonts w:ascii="Arial" w:hAnsi="Arial" w:cs="Arial"/>
        </w:rPr>
        <w:t xml:space="preserve"> potencia </w:t>
      </w:r>
      <w:r>
        <w:rPr>
          <w:rFonts w:ascii="Arial" w:hAnsi="Arial" w:cs="Arial"/>
        </w:rPr>
        <w:t>generada por</w:t>
      </w:r>
      <w:r w:rsidRPr="009F7136">
        <w:rPr>
          <w:rFonts w:ascii="Arial" w:hAnsi="Arial" w:cs="Arial"/>
        </w:rPr>
        <w:t xml:space="preserve"> las ondas electromagnéticas, </w:t>
      </w:r>
      <w:r>
        <w:rPr>
          <w:rFonts w:ascii="Arial" w:hAnsi="Arial" w:cs="Arial"/>
        </w:rPr>
        <w:t>en</w:t>
      </w:r>
      <w:r w:rsidRPr="009F7136">
        <w:rPr>
          <w:rFonts w:ascii="Arial" w:hAnsi="Arial" w:cs="Arial"/>
        </w:rPr>
        <w:t xml:space="preserve"> el espectro electromagnético. </w:t>
      </w:r>
      <w:r>
        <w:rPr>
          <w:rFonts w:ascii="Arial" w:hAnsi="Arial" w:cs="Arial"/>
        </w:rPr>
        <w:t>S</w:t>
      </w:r>
      <w:r w:rsidRPr="009F7136">
        <w:rPr>
          <w:rFonts w:ascii="Arial" w:hAnsi="Arial" w:cs="Arial"/>
        </w:rPr>
        <w:t>e muestran resultados experimentales para la energía emitida por un teléfono celular que permite establecer la posibilidad de daños en la salud de los humanos por el uso excesivo de dispositivos de comunicación actuales, de acuerdo con varios experimentos reportados, como</w:t>
      </w:r>
      <w:r>
        <w:rPr>
          <w:rFonts w:ascii="Arial" w:hAnsi="Arial" w:cs="Arial"/>
        </w:rPr>
        <w:t xml:space="preserve"> en</w:t>
      </w:r>
      <w:r w:rsidRPr="009F7136">
        <w:rPr>
          <w:rFonts w:ascii="Arial" w:hAnsi="Arial" w:cs="Arial"/>
        </w:rPr>
        <w:t xml:space="preserve"> </w:t>
      </w:r>
      <w:r>
        <w:rPr>
          <w:rFonts w:ascii="Arial" w:hAnsi="Arial" w:cs="Arial"/>
        </w:rPr>
        <w:t>[4-7</w:t>
      </w:r>
      <w:r w:rsidRPr="009F7136">
        <w:rPr>
          <w:rFonts w:ascii="Arial" w:hAnsi="Arial" w:cs="Arial"/>
        </w:rPr>
        <w:t>]</w:t>
      </w:r>
      <w:r>
        <w:rPr>
          <w:rFonts w:ascii="Arial" w:hAnsi="Arial" w:cs="Arial"/>
        </w:rPr>
        <w:t>. Finalmente se discuten los resultados y se exponen breves conclusiones de éstos.</w:t>
      </w:r>
    </w:p>
    <w:p w:rsidR="004B4415" w:rsidRPr="009F7136" w:rsidRDefault="004B4415" w:rsidP="004B4415">
      <w:pPr>
        <w:ind w:firstLine="600"/>
        <w:jc w:val="both"/>
        <w:rPr>
          <w:rFonts w:ascii="Arial" w:hAnsi="Arial" w:cs="Arial"/>
        </w:rPr>
      </w:pPr>
    </w:p>
    <w:p w:rsidR="004B4415" w:rsidRPr="00B40A47" w:rsidRDefault="004B4415" w:rsidP="004B4415">
      <w:pPr>
        <w:pStyle w:val="1Titulo"/>
        <w:numPr>
          <w:ilvl w:val="0"/>
          <w:numId w:val="0"/>
        </w:numPr>
        <w:ind w:left="357"/>
      </w:pPr>
      <w:bookmarkStart w:id="146" w:name="_Toc50031251"/>
      <w:r w:rsidRPr="00B40A47">
        <w:t xml:space="preserve">3. </w:t>
      </w:r>
      <w:r>
        <w:t>Condiciones experimentales</w:t>
      </w:r>
      <w:bookmarkEnd w:id="146"/>
    </w:p>
    <w:p w:rsidR="004B4415" w:rsidRDefault="004B4415" w:rsidP="004B4415">
      <w:pPr>
        <w:ind w:firstLine="600"/>
        <w:jc w:val="both"/>
        <w:rPr>
          <w:rFonts w:ascii="Arial" w:hAnsi="Arial" w:cs="Arial"/>
        </w:rPr>
      </w:pPr>
      <w:r>
        <w:rPr>
          <w:rFonts w:ascii="Arial" w:hAnsi="Arial" w:cs="Arial"/>
        </w:rPr>
        <w:t>Los humanos somos</w:t>
      </w:r>
      <w:r w:rsidRPr="009F7136">
        <w:rPr>
          <w:rFonts w:ascii="Arial" w:hAnsi="Arial" w:cs="Arial"/>
        </w:rPr>
        <w:t xml:space="preserve"> muy sensibles a la influencia y los cambios en los campos electromagnéticos</w:t>
      </w:r>
      <w:r>
        <w:rPr>
          <w:rFonts w:ascii="Arial" w:hAnsi="Arial" w:cs="Arial"/>
        </w:rPr>
        <w:t>,</w:t>
      </w:r>
      <w:r w:rsidRPr="009F7136">
        <w:rPr>
          <w:rFonts w:ascii="Arial" w:hAnsi="Arial" w:cs="Arial"/>
        </w:rPr>
        <w:t xml:space="preserve"> de naturaleza naturalmente bioeléctrica. Nuestras células funcionan sobre la base de impulsos eléctricos que generan campos electromagnéticos</w:t>
      </w:r>
      <w:r>
        <w:rPr>
          <w:rFonts w:ascii="Arial" w:hAnsi="Arial" w:cs="Arial"/>
        </w:rPr>
        <w:t>,</w:t>
      </w:r>
      <w:r w:rsidRPr="009F7136">
        <w:rPr>
          <w:rFonts w:ascii="Arial" w:hAnsi="Arial" w:cs="Arial"/>
        </w:rPr>
        <w:t xml:space="preserve"> gracias a la presencia en nuestro cuerpo de</w:t>
      </w:r>
      <w:r>
        <w:rPr>
          <w:rFonts w:ascii="Arial" w:hAnsi="Arial" w:cs="Arial"/>
        </w:rPr>
        <w:t xml:space="preserve"> agua, sal, metales y minerales,</w:t>
      </w:r>
      <w:r w:rsidRPr="009F7136">
        <w:rPr>
          <w:rFonts w:ascii="Arial" w:hAnsi="Arial" w:cs="Arial"/>
        </w:rPr>
        <w:t xml:space="preserve"> e incluso nuestros proce</w:t>
      </w:r>
      <w:r>
        <w:rPr>
          <w:rFonts w:ascii="Arial" w:hAnsi="Arial" w:cs="Arial"/>
        </w:rPr>
        <w:t>sos metabólicos de pensamientos. Por lo tanto,</w:t>
      </w:r>
      <w:r w:rsidRPr="009F7136">
        <w:rPr>
          <w:rFonts w:ascii="Arial" w:hAnsi="Arial" w:cs="Arial"/>
        </w:rPr>
        <w:t xml:space="preserve"> </w:t>
      </w:r>
      <w:r>
        <w:rPr>
          <w:rFonts w:ascii="Arial" w:hAnsi="Arial" w:cs="Arial"/>
        </w:rPr>
        <w:t>es necesario</w:t>
      </w:r>
      <w:r w:rsidRPr="009F7136">
        <w:rPr>
          <w:rFonts w:ascii="Arial" w:hAnsi="Arial" w:cs="Arial"/>
        </w:rPr>
        <w:t xml:space="preserve"> aprender y comprender cómo nos afectan. </w:t>
      </w:r>
    </w:p>
    <w:p w:rsidR="004B4415" w:rsidRDefault="004B4415" w:rsidP="004B4415">
      <w:pPr>
        <w:ind w:firstLine="600"/>
        <w:jc w:val="both"/>
        <w:rPr>
          <w:rFonts w:ascii="Arial" w:hAnsi="Arial" w:cs="Arial"/>
        </w:rPr>
      </w:pPr>
    </w:p>
    <w:p w:rsidR="004B4415" w:rsidRPr="006B0ECC" w:rsidRDefault="004B4415" w:rsidP="004B4415">
      <w:pPr>
        <w:spacing w:line="360" w:lineRule="auto"/>
        <w:jc w:val="both"/>
        <w:rPr>
          <w:rFonts w:ascii="Arial" w:hAnsi="Arial" w:cs="Arial"/>
          <w:i/>
        </w:rPr>
      </w:pPr>
      <w:r w:rsidRPr="006B0ECC">
        <w:rPr>
          <w:rFonts w:ascii="Arial" w:hAnsi="Arial" w:cs="Arial"/>
          <w:i/>
        </w:rPr>
        <w:t>3.1 Efectos de las ondas electromagnéticas en la salud humana</w:t>
      </w:r>
    </w:p>
    <w:p w:rsidR="004B4415" w:rsidRPr="009F7136" w:rsidRDefault="004B4415" w:rsidP="004B4415">
      <w:pPr>
        <w:ind w:firstLine="600"/>
        <w:jc w:val="both"/>
        <w:rPr>
          <w:rFonts w:ascii="Arial" w:hAnsi="Arial" w:cs="Arial"/>
        </w:rPr>
      </w:pPr>
      <w:r>
        <w:rPr>
          <w:rFonts w:ascii="Arial" w:hAnsi="Arial" w:cs="Arial"/>
        </w:rPr>
        <w:t>Se ha</w:t>
      </w:r>
      <w:r w:rsidRPr="009F7136">
        <w:rPr>
          <w:rFonts w:ascii="Arial" w:hAnsi="Arial" w:cs="Arial"/>
        </w:rPr>
        <w:t xml:space="preserve"> descubierto el profundo impacto de los campos magnéticos a los que estamos expuestos. La intensidad y la longitud de onda de las frecuencias emitidas son fenómenos que se estudian constantemente y los resultados no son muy alentadores. Los siguientes son algunos posibles efectos de los campos electromagnéticos en el cuerpo humano.</w:t>
      </w:r>
    </w:p>
    <w:p w:rsidR="004B4415" w:rsidRPr="009F7136" w:rsidRDefault="004B4415" w:rsidP="004B4415">
      <w:pPr>
        <w:ind w:firstLine="600"/>
        <w:jc w:val="both"/>
        <w:rPr>
          <w:rFonts w:ascii="Arial" w:hAnsi="Arial" w:cs="Arial"/>
        </w:rPr>
      </w:pPr>
      <w:r w:rsidRPr="009F7136">
        <w:rPr>
          <w:rFonts w:ascii="Arial" w:hAnsi="Arial" w:cs="Arial"/>
        </w:rPr>
        <w:t>Magnetización de efecto (efecto biológico primario)</w:t>
      </w:r>
      <w:r>
        <w:rPr>
          <w:rFonts w:ascii="Arial" w:hAnsi="Arial" w:cs="Arial"/>
        </w:rPr>
        <w:t>: R</w:t>
      </w:r>
      <w:r w:rsidRPr="009F7136">
        <w:rPr>
          <w:rFonts w:ascii="Arial" w:hAnsi="Arial" w:cs="Arial"/>
        </w:rPr>
        <w:t xml:space="preserve">esponsable de la orientación </w:t>
      </w:r>
      <w:r>
        <w:rPr>
          <w:rFonts w:ascii="Arial" w:hAnsi="Arial" w:cs="Arial"/>
        </w:rPr>
        <w:t xml:space="preserve">de moléculas dipolares y átomos. </w:t>
      </w:r>
      <w:r w:rsidRPr="009F7136">
        <w:rPr>
          <w:rFonts w:ascii="Arial" w:hAnsi="Arial" w:cs="Arial"/>
        </w:rPr>
        <w:t>Se produce en artículos con momentos magnéticos "distintos de cero".</w:t>
      </w:r>
      <w:r>
        <w:rPr>
          <w:rFonts w:ascii="Arial" w:hAnsi="Arial" w:cs="Arial"/>
        </w:rPr>
        <w:t xml:space="preserve"> </w:t>
      </w:r>
      <w:r w:rsidRPr="009F7136">
        <w:rPr>
          <w:rFonts w:ascii="Arial" w:hAnsi="Arial" w:cs="Arial"/>
        </w:rPr>
        <w:t>Inc</w:t>
      </w:r>
      <w:r>
        <w:rPr>
          <w:rFonts w:ascii="Arial" w:hAnsi="Arial" w:cs="Arial"/>
        </w:rPr>
        <w:t>luye lo siguiente la m</w:t>
      </w:r>
      <w:r w:rsidRPr="009F7136">
        <w:rPr>
          <w:rFonts w:ascii="Arial" w:hAnsi="Arial" w:cs="Arial"/>
        </w:rPr>
        <w:t>odificación de la</w:t>
      </w:r>
      <w:r>
        <w:rPr>
          <w:rFonts w:ascii="Arial" w:hAnsi="Arial" w:cs="Arial"/>
        </w:rPr>
        <w:t xml:space="preserve"> permeabilidad de las membranas, estabilización del Na, favorecer procesos de enlace estimula la reproducción celular y la</w:t>
      </w:r>
      <w:r w:rsidRPr="009F7136">
        <w:rPr>
          <w:rFonts w:ascii="Arial" w:hAnsi="Arial" w:cs="Arial"/>
        </w:rPr>
        <w:t xml:space="preserve"> </w:t>
      </w:r>
      <w:r>
        <w:rPr>
          <w:rFonts w:ascii="Arial" w:hAnsi="Arial" w:cs="Arial"/>
        </w:rPr>
        <w:t>a</w:t>
      </w:r>
      <w:r w:rsidRPr="009F7136">
        <w:rPr>
          <w:rFonts w:ascii="Arial" w:hAnsi="Arial" w:cs="Arial"/>
        </w:rPr>
        <w:t>ctivación de sistemas redox.</w:t>
      </w:r>
    </w:p>
    <w:p w:rsidR="004B4415" w:rsidRPr="009F7136" w:rsidRDefault="004B4415" w:rsidP="004B4415">
      <w:pPr>
        <w:ind w:firstLine="600"/>
        <w:jc w:val="both"/>
        <w:rPr>
          <w:rFonts w:ascii="Arial" w:hAnsi="Arial" w:cs="Arial"/>
        </w:rPr>
      </w:pPr>
      <w:r w:rsidRPr="009F7136">
        <w:rPr>
          <w:rFonts w:ascii="Arial" w:hAnsi="Arial" w:cs="Arial"/>
        </w:rPr>
        <w:t>Efecto piezoeléctrico (efecto biológico secundario)</w:t>
      </w:r>
      <w:r>
        <w:rPr>
          <w:rFonts w:ascii="Arial" w:hAnsi="Arial" w:cs="Arial"/>
        </w:rPr>
        <w:t xml:space="preserve">: </w:t>
      </w:r>
    </w:p>
    <w:p w:rsidR="004B4415" w:rsidRPr="009F7136" w:rsidRDefault="004B4415" w:rsidP="004B4415">
      <w:pPr>
        <w:ind w:firstLine="600"/>
        <w:jc w:val="both"/>
        <w:rPr>
          <w:rFonts w:ascii="Arial" w:hAnsi="Arial" w:cs="Arial"/>
        </w:rPr>
      </w:pPr>
      <w:r w:rsidRPr="009F7136">
        <w:rPr>
          <w:rFonts w:ascii="Arial" w:hAnsi="Arial" w:cs="Arial"/>
        </w:rPr>
        <w:t>Efecto directo:</w:t>
      </w:r>
      <w:r>
        <w:rPr>
          <w:rFonts w:ascii="Arial" w:hAnsi="Arial" w:cs="Arial"/>
        </w:rPr>
        <w:t xml:space="preserve"> p</w:t>
      </w:r>
      <w:r w:rsidRPr="009F7136">
        <w:rPr>
          <w:rFonts w:ascii="Arial" w:hAnsi="Arial" w:cs="Arial"/>
        </w:rPr>
        <w:t>roduce polarización eléctrica de la masa de un cuerpo o la creación de cargas eléctricas en su superficie cuando se somete a fuerzas mecánicas.</w:t>
      </w:r>
    </w:p>
    <w:p w:rsidR="004B4415" w:rsidRPr="009F7136" w:rsidRDefault="004B4415" w:rsidP="004B4415">
      <w:pPr>
        <w:ind w:firstLine="600"/>
        <w:jc w:val="both"/>
        <w:rPr>
          <w:rFonts w:ascii="Arial" w:hAnsi="Arial" w:cs="Arial"/>
        </w:rPr>
      </w:pPr>
      <w:r>
        <w:rPr>
          <w:rFonts w:ascii="Arial" w:hAnsi="Arial" w:cs="Arial"/>
        </w:rPr>
        <w:t>E</w:t>
      </w:r>
      <w:r w:rsidRPr="009F7136">
        <w:rPr>
          <w:rFonts w:ascii="Arial" w:hAnsi="Arial" w:cs="Arial"/>
        </w:rPr>
        <w:t>fecto inverso:</w:t>
      </w:r>
      <w:r>
        <w:rPr>
          <w:rFonts w:ascii="Arial" w:hAnsi="Arial" w:cs="Arial"/>
        </w:rPr>
        <w:t xml:space="preserve"> r</w:t>
      </w:r>
      <w:r w:rsidRPr="009F7136">
        <w:rPr>
          <w:rFonts w:ascii="Arial" w:hAnsi="Arial" w:cs="Arial"/>
        </w:rPr>
        <w:t>esponsable de todos los procesos de reparación de tejidos y estimulantes tróficos</w:t>
      </w:r>
      <w:r>
        <w:rPr>
          <w:rFonts w:ascii="Arial" w:hAnsi="Arial" w:cs="Arial"/>
        </w:rPr>
        <w:t>, a través de</w:t>
      </w:r>
      <w:r w:rsidRPr="009F7136">
        <w:rPr>
          <w:rFonts w:ascii="Arial" w:hAnsi="Arial" w:cs="Arial"/>
        </w:rPr>
        <w:t xml:space="preserve"> control local del flujo sanguíneo a cada tejido.</w:t>
      </w:r>
    </w:p>
    <w:p w:rsidR="004B4415" w:rsidRPr="009F7136" w:rsidRDefault="004B4415" w:rsidP="004B4415">
      <w:pPr>
        <w:ind w:firstLine="600"/>
        <w:jc w:val="both"/>
        <w:rPr>
          <w:rFonts w:ascii="Arial" w:hAnsi="Arial" w:cs="Arial"/>
        </w:rPr>
      </w:pPr>
      <w:r w:rsidRPr="009F7136">
        <w:rPr>
          <w:rFonts w:ascii="Arial" w:hAnsi="Arial" w:cs="Arial"/>
        </w:rPr>
        <w:t>Control nervioso del suministro de sangre a grandes segmentos de circulación.</w:t>
      </w:r>
    </w:p>
    <w:p w:rsidR="004B4415" w:rsidRPr="009F7136" w:rsidRDefault="004B4415" w:rsidP="004B4415">
      <w:pPr>
        <w:ind w:firstLine="600"/>
        <w:jc w:val="both"/>
        <w:rPr>
          <w:rFonts w:ascii="Arial" w:hAnsi="Arial" w:cs="Arial"/>
        </w:rPr>
      </w:pPr>
      <w:r w:rsidRPr="009F7136">
        <w:rPr>
          <w:rFonts w:ascii="Arial" w:hAnsi="Arial" w:cs="Arial"/>
        </w:rPr>
        <w:t>Control humoral de ciertas sustancias que aumentan o disminuyen el suministro de sangre.</w:t>
      </w:r>
    </w:p>
    <w:p w:rsidR="004B4415" w:rsidRPr="009F7136" w:rsidRDefault="004B4415" w:rsidP="004B4415">
      <w:pPr>
        <w:ind w:firstLine="600"/>
        <w:jc w:val="both"/>
        <w:rPr>
          <w:rFonts w:ascii="Arial" w:hAnsi="Arial" w:cs="Arial"/>
        </w:rPr>
      </w:pPr>
      <w:r w:rsidRPr="009F7136">
        <w:rPr>
          <w:rFonts w:ascii="Arial" w:hAnsi="Arial" w:cs="Arial"/>
        </w:rPr>
        <w:lastRenderedPageBreak/>
        <w:t>Cada uno de los procesos biológicos del ser humano está interrelacionado entre sí por una atracción y equilibrio electromagnético natural, lo que permit</w:t>
      </w:r>
      <w:r>
        <w:rPr>
          <w:rFonts w:ascii="Arial" w:hAnsi="Arial" w:cs="Arial"/>
        </w:rPr>
        <w:t>e que nuestro cuerpo funcione como</w:t>
      </w:r>
      <w:r w:rsidRPr="009F7136">
        <w:rPr>
          <w:rFonts w:ascii="Arial" w:hAnsi="Arial" w:cs="Arial"/>
        </w:rPr>
        <w:t xml:space="preserve"> un todo armonioso. Todo lo que nos rodea funciona electromagnéticamente, en palabras más simples, intercambio iónico, es decir, partículas cargadas eléctricamente que atraen o repelen y generan electricidad y campos magnéticos. Las partículas básicas y más conocidas son electrones o aniones (con carga negativa) y protones o cationes (con carga positiva).</w:t>
      </w:r>
    </w:p>
    <w:p w:rsidR="004B4415" w:rsidRPr="009F7136" w:rsidRDefault="004B4415" w:rsidP="004B4415">
      <w:pPr>
        <w:ind w:firstLine="600"/>
        <w:jc w:val="both"/>
        <w:rPr>
          <w:rFonts w:ascii="Arial" w:hAnsi="Arial" w:cs="Arial"/>
        </w:rPr>
      </w:pPr>
    </w:p>
    <w:p w:rsidR="004B4415" w:rsidRPr="00A277A4" w:rsidRDefault="004B4415" w:rsidP="004B4415">
      <w:pPr>
        <w:spacing w:line="360" w:lineRule="auto"/>
        <w:jc w:val="both"/>
        <w:rPr>
          <w:rFonts w:ascii="Arial" w:hAnsi="Arial" w:cs="Arial"/>
          <w:i/>
        </w:rPr>
      </w:pPr>
      <w:r w:rsidRPr="00A277A4">
        <w:rPr>
          <w:rFonts w:ascii="Arial" w:hAnsi="Arial" w:cs="Arial"/>
          <w:i/>
        </w:rPr>
        <w:t>3.2 E sistema auditivo</w:t>
      </w:r>
    </w:p>
    <w:p w:rsidR="004B4415" w:rsidRDefault="004B4415" w:rsidP="004B4415">
      <w:pPr>
        <w:ind w:firstLine="600"/>
        <w:jc w:val="both"/>
        <w:rPr>
          <w:rFonts w:ascii="Arial" w:hAnsi="Arial" w:cs="Arial"/>
        </w:rPr>
      </w:pPr>
      <w:r w:rsidRPr="009F7136">
        <w:rPr>
          <w:rFonts w:ascii="Arial" w:hAnsi="Arial" w:cs="Arial"/>
        </w:rPr>
        <w:t>La figura 1 muestra el sistema auditivo. Está compuesto por tres secciones: oído externo, oído medio y oído interno. Cada uno tiene una función en el proceso de audición.</w:t>
      </w:r>
      <w:r>
        <w:rPr>
          <w:rFonts w:ascii="Arial" w:hAnsi="Arial" w:cs="Arial"/>
        </w:rPr>
        <w:t xml:space="preserve"> En particular</w:t>
      </w:r>
      <w:r w:rsidRPr="009F7136">
        <w:rPr>
          <w:rFonts w:ascii="Arial" w:hAnsi="Arial" w:cs="Arial"/>
        </w:rPr>
        <w:t xml:space="preserve"> el oído medio es una cavidad llena de aire que contiene numerosos elementos anatómicos. Está en el grosor del hueso temporal, entre el canal auditivo y el oído interno. Parte del oído medio, la cavidad timpánica, contiene los huesecillos, parte de la trompa de Eustaquio y la cavidad mastoidea con sistema neumático del hues</w:t>
      </w:r>
      <w:r>
        <w:rPr>
          <w:rFonts w:ascii="Arial" w:hAnsi="Arial" w:cs="Arial"/>
        </w:rPr>
        <w:t xml:space="preserve">o temporal. </w:t>
      </w:r>
      <w:r w:rsidRPr="009F7136">
        <w:rPr>
          <w:rFonts w:ascii="Arial" w:hAnsi="Arial" w:cs="Arial"/>
        </w:rPr>
        <w:t>La cavid</w:t>
      </w:r>
      <w:r>
        <w:rPr>
          <w:rFonts w:ascii="Arial" w:hAnsi="Arial" w:cs="Arial"/>
        </w:rPr>
        <w:t xml:space="preserve">ad timpánica es un espacio que contiene aire y </w:t>
      </w:r>
      <w:r w:rsidRPr="009F7136">
        <w:rPr>
          <w:rFonts w:ascii="Arial" w:hAnsi="Arial" w:cs="Arial"/>
        </w:rPr>
        <w:t>se puede descri</w:t>
      </w:r>
      <w:r>
        <w:rPr>
          <w:rFonts w:ascii="Arial" w:hAnsi="Arial" w:cs="Arial"/>
        </w:rPr>
        <w:t>bir como una caja con 5 paredes:</w:t>
      </w:r>
      <w:r w:rsidRPr="009F7136">
        <w:rPr>
          <w:rFonts w:ascii="Arial" w:hAnsi="Arial" w:cs="Arial"/>
        </w:rPr>
        <w:t xml:space="preserve"> </w:t>
      </w:r>
      <w:r>
        <w:rPr>
          <w:rFonts w:ascii="Arial" w:hAnsi="Arial" w:cs="Arial"/>
        </w:rPr>
        <w:t>l</w:t>
      </w:r>
      <w:r w:rsidRPr="009F7136">
        <w:rPr>
          <w:rFonts w:ascii="Arial" w:hAnsi="Arial" w:cs="Arial"/>
        </w:rPr>
        <w:t>a pared o techo superior, llamado tegumento timpánico, es una placa ósea que separa el oído</w:t>
      </w:r>
      <w:r>
        <w:rPr>
          <w:rFonts w:ascii="Arial" w:hAnsi="Arial" w:cs="Arial"/>
        </w:rPr>
        <w:t xml:space="preserve"> medio de la fosa craneal media;</w:t>
      </w:r>
      <w:r w:rsidRPr="009F7136">
        <w:rPr>
          <w:rFonts w:ascii="Arial" w:hAnsi="Arial" w:cs="Arial"/>
        </w:rPr>
        <w:t xml:space="preserve"> </w:t>
      </w:r>
      <w:r>
        <w:rPr>
          <w:rFonts w:ascii="Arial" w:hAnsi="Arial" w:cs="Arial"/>
        </w:rPr>
        <w:t>l</w:t>
      </w:r>
      <w:r w:rsidRPr="009F7136">
        <w:rPr>
          <w:rFonts w:ascii="Arial" w:hAnsi="Arial" w:cs="Arial"/>
        </w:rPr>
        <w:t>a pared inferior o el piso, se relaciona con el golfo yugu</w:t>
      </w:r>
      <w:r>
        <w:rPr>
          <w:rFonts w:ascii="Arial" w:hAnsi="Arial" w:cs="Arial"/>
        </w:rPr>
        <w:t>lar que ocupaba la fosa yugular; la p</w:t>
      </w:r>
      <w:r w:rsidRPr="009F7136">
        <w:rPr>
          <w:rFonts w:ascii="Arial" w:hAnsi="Arial" w:cs="Arial"/>
        </w:rPr>
        <w:t xml:space="preserve">ared anterior, </w:t>
      </w:r>
      <w:r>
        <w:rPr>
          <w:rFonts w:ascii="Arial" w:hAnsi="Arial" w:cs="Arial"/>
        </w:rPr>
        <w:t xml:space="preserve">que </w:t>
      </w:r>
      <w:r w:rsidRPr="009F7136">
        <w:rPr>
          <w:rFonts w:ascii="Arial" w:hAnsi="Arial" w:cs="Arial"/>
        </w:rPr>
        <w:t>está formada por la entrada de la tromp</w:t>
      </w:r>
      <w:r>
        <w:rPr>
          <w:rFonts w:ascii="Arial" w:hAnsi="Arial" w:cs="Arial"/>
        </w:rPr>
        <w:t>a de Eustaquio (ET) o protimpan;</w:t>
      </w:r>
      <w:r w:rsidRPr="009F7136">
        <w:rPr>
          <w:rFonts w:ascii="Arial" w:hAnsi="Arial" w:cs="Arial"/>
        </w:rPr>
        <w:t xml:space="preserve"> </w:t>
      </w:r>
      <w:r>
        <w:rPr>
          <w:rFonts w:ascii="Arial" w:hAnsi="Arial" w:cs="Arial"/>
        </w:rPr>
        <w:t>la p</w:t>
      </w:r>
      <w:r w:rsidRPr="009F7136">
        <w:rPr>
          <w:rFonts w:ascii="Arial" w:hAnsi="Arial" w:cs="Arial"/>
        </w:rPr>
        <w:t xml:space="preserve">ared posterior, </w:t>
      </w:r>
      <w:r>
        <w:rPr>
          <w:rFonts w:ascii="Arial" w:hAnsi="Arial" w:cs="Arial"/>
        </w:rPr>
        <w:t>que forma una amplia ab</w:t>
      </w:r>
      <w:r w:rsidRPr="009F7136">
        <w:rPr>
          <w:rFonts w:ascii="Arial" w:hAnsi="Arial" w:cs="Arial"/>
        </w:rPr>
        <w:t>ertura a las cavidades mast</w:t>
      </w:r>
      <w:r>
        <w:rPr>
          <w:rFonts w:ascii="Arial" w:hAnsi="Arial" w:cs="Arial"/>
        </w:rPr>
        <w:t>oideas llamada aditus ad Antium;</w:t>
      </w:r>
      <w:r w:rsidRPr="009F7136">
        <w:rPr>
          <w:rFonts w:ascii="Arial" w:hAnsi="Arial" w:cs="Arial"/>
        </w:rPr>
        <w:t xml:space="preserve"> </w:t>
      </w:r>
      <w:r>
        <w:rPr>
          <w:rFonts w:ascii="Arial" w:hAnsi="Arial" w:cs="Arial"/>
        </w:rPr>
        <w:t>l</w:t>
      </w:r>
      <w:r w:rsidRPr="009F7136">
        <w:rPr>
          <w:rFonts w:ascii="Arial" w:hAnsi="Arial" w:cs="Arial"/>
        </w:rPr>
        <w:t>a pared lateral, timpánica o externa, consiste en la membrana timpánica y la porción ósea circundante.</w:t>
      </w:r>
    </w:p>
    <w:p w:rsidR="004B4415" w:rsidRDefault="004B4415" w:rsidP="004B4415">
      <w:pPr>
        <w:ind w:firstLine="600"/>
        <w:jc w:val="both"/>
        <w:rPr>
          <w:rFonts w:ascii="Arial" w:hAnsi="Arial" w:cs="Arial"/>
        </w:rPr>
      </w:pPr>
    </w:p>
    <w:tbl>
      <w:tblPr>
        <w:tblW w:w="0" w:type="auto"/>
        <w:tblLook w:val="01E0" w:firstRow="1" w:lastRow="1" w:firstColumn="1" w:lastColumn="1" w:noHBand="0" w:noVBand="0"/>
      </w:tblPr>
      <w:tblGrid>
        <w:gridCol w:w="9404"/>
      </w:tblGrid>
      <w:tr w:rsidR="004B4415" w:rsidRPr="00C81307" w:rsidTr="00B81843">
        <w:tc>
          <w:tcPr>
            <w:tcW w:w="9546" w:type="dxa"/>
            <w:shd w:val="clear" w:color="auto" w:fill="auto"/>
          </w:tcPr>
          <w:p w:rsidR="004B4415" w:rsidRPr="00C81307" w:rsidRDefault="004B4415" w:rsidP="00B81843">
            <w:pPr>
              <w:jc w:val="center"/>
              <w:rPr>
                <w:rFonts w:ascii="Arial" w:hAnsi="Arial" w:cs="Arial"/>
              </w:rPr>
            </w:pPr>
            <w:r w:rsidRPr="00C81307">
              <w:rPr>
                <w:noProof/>
                <w:lang w:val="en-US"/>
              </w:rPr>
              <w:drawing>
                <wp:inline distT="0" distB="0" distL="0" distR="0" wp14:anchorId="5CA83B6D" wp14:editId="3CFCBCDC">
                  <wp:extent cx="3638550" cy="2524125"/>
                  <wp:effectExtent l="0" t="0" r="0" b="9525"/>
                  <wp:docPr id="1413571382" name="Imagen 1413571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3638550" cy="2524125"/>
                          </a:xfrm>
                          <a:prstGeom prst="rect">
                            <a:avLst/>
                          </a:prstGeom>
                          <a:noFill/>
                          <a:ln>
                            <a:noFill/>
                          </a:ln>
                        </pic:spPr>
                      </pic:pic>
                    </a:graphicData>
                  </a:graphic>
                </wp:inline>
              </w:drawing>
            </w:r>
          </w:p>
        </w:tc>
      </w:tr>
      <w:tr w:rsidR="004B4415" w:rsidRPr="00C81307" w:rsidTr="00B81843">
        <w:tc>
          <w:tcPr>
            <w:tcW w:w="9546" w:type="dxa"/>
            <w:shd w:val="clear" w:color="auto" w:fill="auto"/>
          </w:tcPr>
          <w:p w:rsidR="004B4415" w:rsidRPr="00C81307" w:rsidRDefault="004B4415" w:rsidP="00B81843">
            <w:pPr>
              <w:spacing w:before="120"/>
              <w:ind w:firstLine="601"/>
              <w:jc w:val="center"/>
              <w:rPr>
                <w:rFonts w:ascii="Arial" w:hAnsi="Arial" w:cs="Arial"/>
              </w:rPr>
            </w:pPr>
            <w:r w:rsidRPr="00C81307">
              <w:rPr>
                <w:rFonts w:ascii="Arial" w:hAnsi="Arial" w:cs="Arial"/>
              </w:rPr>
              <w:t>Figura 1. Imagen del sistema auditivo</w:t>
            </w:r>
          </w:p>
        </w:tc>
      </w:tr>
    </w:tbl>
    <w:p w:rsidR="004B4415" w:rsidRDefault="004B4415" w:rsidP="004B4415">
      <w:pPr>
        <w:rPr>
          <w:rFonts w:ascii="Arial" w:hAnsi="Arial" w:cs="Arial"/>
        </w:rPr>
      </w:pPr>
    </w:p>
    <w:p w:rsidR="004B4415" w:rsidRPr="009F7136" w:rsidRDefault="004B4415" w:rsidP="004B4415">
      <w:pPr>
        <w:ind w:firstLine="600"/>
        <w:jc w:val="both"/>
        <w:rPr>
          <w:rFonts w:ascii="Arial" w:hAnsi="Arial" w:cs="Arial"/>
        </w:rPr>
      </w:pPr>
      <w:r>
        <w:rPr>
          <w:rFonts w:ascii="Arial" w:hAnsi="Arial" w:cs="Arial"/>
        </w:rPr>
        <w:lastRenderedPageBreak/>
        <w:t>El tejido epitelial cubre</w:t>
      </w:r>
      <w:r w:rsidRPr="009F7136">
        <w:rPr>
          <w:rFonts w:ascii="Arial" w:hAnsi="Arial" w:cs="Arial"/>
        </w:rPr>
        <w:t xml:space="preserve"> la </w:t>
      </w:r>
      <w:r>
        <w:rPr>
          <w:rFonts w:ascii="Arial" w:hAnsi="Arial" w:cs="Arial"/>
        </w:rPr>
        <w:t>superficie del cuerpo,</w:t>
      </w:r>
      <w:r w:rsidRPr="009F7136">
        <w:rPr>
          <w:rFonts w:ascii="Arial" w:hAnsi="Arial" w:cs="Arial"/>
        </w:rPr>
        <w:t xml:space="preserve"> las cavidades y conductos del cuerpo. Funciona para proteger los tejidos subyacentes contra la invasión microbiana, la sequedad y los factores ambientales agresivos para la secreción. El reve</w:t>
      </w:r>
      <w:r>
        <w:rPr>
          <w:rFonts w:ascii="Arial" w:hAnsi="Arial" w:cs="Arial"/>
        </w:rPr>
        <w:t>stimiento del epitelio cubre a</w:t>
      </w:r>
      <w:r w:rsidRPr="009F7136">
        <w:rPr>
          <w:rFonts w:ascii="Arial" w:hAnsi="Arial" w:cs="Arial"/>
        </w:rPr>
        <w:t>l cuerp</w:t>
      </w:r>
      <w:r>
        <w:rPr>
          <w:rFonts w:ascii="Arial" w:hAnsi="Arial" w:cs="Arial"/>
        </w:rPr>
        <w:t>o y algunos órganos y conductos,</w:t>
      </w:r>
      <w:r w:rsidRPr="009F7136">
        <w:rPr>
          <w:rFonts w:ascii="Arial" w:hAnsi="Arial" w:cs="Arial"/>
        </w:rPr>
        <w:t xml:space="preserve"> es la parte que responde a los estímulos auditivos. </w:t>
      </w:r>
      <w:r>
        <w:rPr>
          <w:rFonts w:ascii="Arial" w:hAnsi="Arial" w:cs="Arial"/>
        </w:rPr>
        <w:t>El e</w:t>
      </w:r>
      <w:r w:rsidRPr="009F7136">
        <w:rPr>
          <w:rFonts w:ascii="Arial" w:hAnsi="Arial" w:cs="Arial"/>
        </w:rPr>
        <w:t>pitelio escamoso simple altamente adaptado para difusión, ósmosis y filtración ubicado en áreas de poco uso y bajo riesgo de laceración en las líneas de la membrana timpánica.</w:t>
      </w:r>
    </w:p>
    <w:p w:rsidR="004B4415" w:rsidRPr="009F7136" w:rsidRDefault="004B4415" w:rsidP="004B4415">
      <w:pPr>
        <w:ind w:firstLine="600"/>
        <w:jc w:val="both"/>
        <w:rPr>
          <w:rFonts w:ascii="Arial" w:hAnsi="Arial" w:cs="Arial"/>
        </w:rPr>
      </w:pPr>
      <w:r w:rsidRPr="009F7136">
        <w:rPr>
          <w:rFonts w:ascii="Arial" w:hAnsi="Arial" w:cs="Arial"/>
        </w:rPr>
        <w:t>El oído interno o laberinto se encuentra dentro del hueso temporal. Se puede dividir morfológicamente en laberinto óseo y laberinto membranoso. La médula ósea es la cápsula del laberinto que rodea al laberinto membranoso, y consiste en un hueco que contiene el sistema de endolinfa. Entre los laberintos óseos y membranosos se encuentra la perilinfa, que en parte filtra la sangre y la parte de difusión del líquido cefalorraquídeo. Se reconocen diferentes sistemas del oído interno, el balance de carga del laberinto posterior y la parte responsable del sistema auditivo coclear.</w:t>
      </w:r>
    </w:p>
    <w:p w:rsidR="004B4415" w:rsidRPr="009F7136" w:rsidRDefault="004B4415" w:rsidP="004B4415">
      <w:pPr>
        <w:ind w:firstLine="600"/>
        <w:jc w:val="both"/>
        <w:rPr>
          <w:rFonts w:ascii="Arial" w:hAnsi="Arial" w:cs="Arial"/>
        </w:rPr>
      </w:pPr>
      <w:r w:rsidRPr="009F7136">
        <w:rPr>
          <w:rFonts w:ascii="Arial" w:hAnsi="Arial" w:cs="Arial"/>
        </w:rPr>
        <w:t>La membrana timpánica se compone de 3 capas: la primera y más externa (también llamada piel, escamosa o lateral) es la continuación de la piel del CAE, la capa intermedia o fibroblástica está formada por fibras radiales internas externas y circulares y finalmente la capa medial o interno es la continuación de la mucosa del oído medio. La superficie del tambor se divide en pares y pares flácidos tensos. El primero se encuentra en los ligamentos del martillo al nivel del proceso corto hasta el piso. El par flácido es más pequeño y está ubicado en la porción s</w:t>
      </w:r>
      <w:r>
        <w:rPr>
          <w:rFonts w:ascii="Arial" w:hAnsi="Arial" w:cs="Arial"/>
        </w:rPr>
        <w:t>uperior, carece de fibroblástos</w:t>
      </w:r>
      <w:r w:rsidRPr="009F7136">
        <w:rPr>
          <w:rFonts w:ascii="Arial" w:hAnsi="Arial" w:cs="Arial"/>
        </w:rPr>
        <w:t xml:space="preserve"> y no participa en la transmisión del sonido.</w:t>
      </w:r>
    </w:p>
    <w:p w:rsidR="004B4415" w:rsidRPr="009F7136" w:rsidRDefault="004B4415" w:rsidP="004B4415">
      <w:pPr>
        <w:ind w:firstLine="600"/>
        <w:jc w:val="both"/>
        <w:rPr>
          <w:rFonts w:ascii="Arial" w:hAnsi="Arial" w:cs="Arial"/>
        </w:rPr>
      </w:pPr>
      <w:r w:rsidRPr="009F7136">
        <w:rPr>
          <w:rFonts w:ascii="Arial" w:hAnsi="Arial" w:cs="Arial"/>
        </w:rPr>
        <w:t>El oído interno resuelve este desajuste de impedancia de dos formas complementarias. Primero, la disminución del área en la que se concentra el movimiento. El tambor tiene un área promedio de 69 mm</w:t>
      </w:r>
      <w:r w:rsidRPr="00EE2F85">
        <w:rPr>
          <w:rFonts w:ascii="Arial" w:hAnsi="Arial" w:cs="Arial"/>
          <w:vertAlign w:val="superscript"/>
        </w:rPr>
        <w:t>2</w:t>
      </w:r>
      <w:r w:rsidRPr="009F7136">
        <w:rPr>
          <w:rFonts w:ascii="Arial" w:hAnsi="Arial" w:cs="Arial"/>
        </w:rPr>
        <w:t>, pero el área de vibración efectiva es de aproximadamente 43 mm</w:t>
      </w:r>
      <w:r w:rsidRPr="00EE2F85">
        <w:rPr>
          <w:rFonts w:ascii="Arial" w:hAnsi="Arial" w:cs="Arial"/>
          <w:vertAlign w:val="superscript"/>
        </w:rPr>
        <w:t>2</w:t>
      </w:r>
      <w:r w:rsidRPr="009F7136">
        <w:rPr>
          <w:rFonts w:ascii="Arial" w:hAnsi="Arial" w:cs="Arial"/>
        </w:rPr>
        <w:t xml:space="preserve">. El estribo del pie empuja la ventana oval poniendo en movimiento el material linfático, </w:t>
      </w:r>
      <w:r>
        <w:rPr>
          <w:rFonts w:ascii="Arial" w:hAnsi="Arial" w:cs="Arial"/>
        </w:rPr>
        <w:t>su</w:t>
      </w:r>
      <w:r w:rsidRPr="009F7136">
        <w:rPr>
          <w:rFonts w:ascii="Arial" w:hAnsi="Arial" w:cs="Arial"/>
        </w:rPr>
        <w:t xml:space="preserve"> área </w:t>
      </w:r>
      <w:r>
        <w:rPr>
          <w:rFonts w:ascii="Arial" w:hAnsi="Arial" w:cs="Arial"/>
        </w:rPr>
        <w:t xml:space="preserve">es </w:t>
      </w:r>
      <w:r w:rsidRPr="009F7136">
        <w:rPr>
          <w:rFonts w:ascii="Arial" w:hAnsi="Arial" w:cs="Arial"/>
        </w:rPr>
        <w:t>de 3.2 mm</w:t>
      </w:r>
      <w:r w:rsidRPr="00EE2F85">
        <w:rPr>
          <w:rFonts w:ascii="Arial" w:hAnsi="Arial" w:cs="Arial"/>
          <w:vertAlign w:val="superscript"/>
        </w:rPr>
        <w:t>2</w:t>
      </w:r>
      <w:r w:rsidRPr="009F7136">
        <w:rPr>
          <w:rFonts w:ascii="Arial" w:hAnsi="Arial" w:cs="Arial"/>
        </w:rPr>
        <w:t>. La presión  aumenta en consecuencia en aproximadamente 13.5 veces.</w:t>
      </w:r>
    </w:p>
    <w:p w:rsidR="004B4415" w:rsidRPr="009F7136" w:rsidRDefault="004B4415" w:rsidP="004B4415">
      <w:pPr>
        <w:ind w:firstLine="600"/>
        <w:jc w:val="both"/>
        <w:rPr>
          <w:rFonts w:ascii="Arial" w:hAnsi="Arial" w:cs="Arial"/>
        </w:rPr>
      </w:pPr>
      <w:r w:rsidRPr="009F7136">
        <w:rPr>
          <w:rFonts w:ascii="Arial" w:hAnsi="Arial" w:cs="Arial"/>
        </w:rPr>
        <w:t xml:space="preserve">La menor intensidad </w:t>
      </w:r>
      <w:r>
        <w:rPr>
          <w:rFonts w:ascii="Arial" w:hAnsi="Arial" w:cs="Arial"/>
        </w:rPr>
        <w:t>perceptible o</w:t>
      </w:r>
      <w:r w:rsidRPr="009F7136">
        <w:rPr>
          <w:rFonts w:ascii="Arial" w:hAnsi="Arial" w:cs="Arial"/>
        </w:rPr>
        <w:t xml:space="preserve"> umbral de audición</w:t>
      </w:r>
      <w:r>
        <w:rPr>
          <w:rFonts w:ascii="Arial" w:hAnsi="Arial" w:cs="Arial"/>
        </w:rPr>
        <w:t>,</w:t>
      </w:r>
      <w:r w:rsidRPr="009F7136">
        <w:rPr>
          <w:rFonts w:ascii="Arial" w:hAnsi="Arial" w:cs="Arial"/>
        </w:rPr>
        <w:t xml:space="preserve"> depende de la frecuencia marcada. Un gráfico de los umbrales de medidas en función de la frecuencia se denomina curva audiométrica y, tiene un valor de diagnóstico clínico. El umbral mínimo aproximadamente </w:t>
      </w:r>
      <w:smartTag w:uri="urn:schemas-microsoft-com:office:smarttags" w:element="metricconverter">
        <w:smartTagPr>
          <w:attr w:name="ProductID" w:val="10 a"/>
        </w:smartTagPr>
        <w:r w:rsidRPr="009F7136">
          <w:rPr>
            <w:rFonts w:ascii="Arial" w:hAnsi="Arial" w:cs="Arial"/>
          </w:rPr>
          <w:t>10 a</w:t>
        </w:r>
      </w:smartTag>
      <w:r>
        <w:rPr>
          <w:rFonts w:ascii="Arial" w:hAnsi="Arial" w:cs="Arial"/>
        </w:rPr>
        <w:t xml:space="preserve"> 16 W/</w:t>
      </w:r>
      <w:r w:rsidRPr="009F7136">
        <w:rPr>
          <w:rFonts w:ascii="Arial" w:hAnsi="Arial" w:cs="Arial"/>
        </w:rPr>
        <w:t>cm</w:t>
      </w:r>
      <w:r w:rsidRPr="00EE2F85">
        <w:rPr>
          <w:rFonts w:ascii="Arial" w:hAnsi="Arial" w:cs="Arial"/>
          <w:vertAlign w:val="superscript"/>
        </w:rPr>
        <w:t>2</w:t>
      </w:r>
      <w:r>
        <w:rPr>
          <w:rFonts w:ascii="Arial" w:hAnsi="Arial" w:cs="Arial"/>
        </w:rPr>
        <w:t>, y</w:t>
      </w:r>
      <w:r w:rsidRPr="009F7136">
        <w:rPr>
          <w:rFonts w:ascii="Arial" w:hAnsi="Arial" w:cs="Arial"/>
        </w:rPr>
        <w:t xml:space="preserve"> corresponde a un</w:t>
      </w:r>
      <w:r>
        <w:rPr>
          <w:rFonts w:ascii="Arial" w:hAnsi="Arial" w:cs="Arial"/>
        </w:rPr>
        <w:t>a amplitud de aproximadamente 0.0002 dinas/</w:t>
      </w:r>
      <w:r w:rsidRPr="009F7136">
        <w:rPr>
          <w:rFonts w:ascii="Arial" w:hAnsi="Arial" w:cs="Arial"/>
        </w:rPr>
        <w:t>cm</w:t>
      </w:r>
      <w:r w:rsidRPr="00EE2F85">
        <w:rPr>
          <w:rFonts w:ascii="Arial" w:hAnsi="Arial" w:cs="Arial"/>
          <w:vertAlign w:val="superscript"/>
        </w:rPr>
        <w:t>2</w:t>
      </w:r>
      <w:r w:rsidRPr="009F7136">
        <w:rPr>
          <w:rFonts w:ascii="Arial" w:hAnsi="Arial" w:cs="Arial"/>
        </w:rPr>
        <w:t xml:space="preserve"> y un movimiento de una de sus moléculas </w:t>
      </w:r>
      <w:r>
        <w:rPr>
          <w:rFonts w:ascii="Arial" w:hAnsi="Arial" w:cs="Arial"/>
        </w:rPr>
        <w:t>mucho</w:t>
      </w:r>
      <w:r w:rsidRPr="009F7136">
        <w:rPr>
          <w:rFonts w:ascii="Arial" w:hAnsi="Arial" w:cs="Arial"/>
        </w:rPr>
        <w:t xml:space="preserve"> menor que el diámetro de un átomo de hidrógeno. Para observar esta sorprendente sensibilidad en términos prácticos, un amplificador de 10 vatios de eficiencia moderada ubicado en cualquier lugar emite un tono de kHz que debería ser audible a </w:t>
      </w:r>
      <w:smartTag w:uri="urn:schemas-microsoft-com:office:smarttags" w:element="metricconverter">
        <w:smartTagPr>
          <w:attr w:name="ProductID" w:val="80 km"/>
        </w:smartTagPr>
        <w:r w:rsidRPr="009F7136">
          <w:rPr>
            <w:rFonts w:ascii="Arial" w:hAnsi="Arial" w:cs="Arial"/>
          </w:rPr>
          <w:t>80 km</w:t>
        </w:r>
      </w:smartTag>
      <w:r w:rsidRPr="009F7136">
        <w:rPr>
          <w:rFonts w:ascii="Arial" w:hAnsi="Arial" w:cs="Arial"/>
        </w:rPr>
        <w:t xml:space="preserve"> de distancia.</w:t>
      </w:r>
    </w:p>
    <w:p w:rsidR="004B4415" w:rsidRPr="009F7136" w:rsidRDefault="004B4415" w:rsidP="004B4415">
      <w:pPr>
        <w:ind w:firstLine="600"/>
        <w:jc w:val="both"/>
        <w:rPr>
          <w:rFonts w:ascii="Arial" w:hAnsi="Arial" w:cs="Arial"/>
        </w:rPr>
      </w:pPr>
    </w:p>
    <w:p w:rsidR="004B4415" w:rsidRPr="00EE2F85" w:rsidRDefault="004B4415" w:rsidP="004B4415">
      <w:pPr>
        <w:pStyle w:val="1Titulo"/>
        <w:numPr>
          <w:ilvl w:val="0"/>
          <w:numId w:val="0"/>
        </w:numPr>
        <w:ind w:left="357"/>
      </w:pPr>
      <w:bookmarkStart w:id="147" w:name="_Toc50031252"/>
      <w:r w:rsidRPr="00EE2F85">
        <w:t xml:space="preserve">4. </w:t>
      </w:r>
      <w:r>
        <w:t>Resultados y discusión</w:t>
      </w:r>
      <w:bookmarkEnd w:id="147"/>
      <w:r w:rsidRPr="00EE2F85">
        <w:t xml:space="preserve"> </w:t>
      </w:r>
    </w:p>
    <w:p w:rsidR="004B4415" w:rsidRDefault="004B4415" w:rsidP="004B4415">
      <w:pPr>
        <w:ind w:firstLine="600"/>
        <w:jc w:val="both"/>
        <w:rPr>
          <w:rFonts w:ascii="Arial" w:hAnsi="Arial" w:cs="Arial"/>
        </w:rPr>
      </w:pPr>
      <w:r w:rsidRPr="009F7136">
        <w:rPr>
          <w:rFonts w:ascii="Arial" w:hAnsi="Arial" w:cs="Arial"/>
        </w:rPr>
        <w:t xml:space="preserve">Una de las propiedades más significativas de la onda electromagnética es que transporta energía. La luz de la estrella más cercana, incluso más allá del sol, viaja 25 millones de millas para llegar a </w:t>
      </w:r>
      <w:smartTag w:uri="urn:schemas-microsoft-com:office:smarttags" w:element="PersonName">
        <w:smartTagPr>
          <w:attr w:name="ProductID" w:val="la Tierra"/>
        </w:smartTagPr>
        <w:r w:rsidRPr="009F7136">
          <w:rPr>
            <w:rFonts w:ascii="Arial" w:hAnsi="Arial" w:cs="Arial"/>
          </w:rPr>
          <w:t>la Tierra</w:t>
        </w:r>
      </w:smartTag>
      <w:r w:rsidRPr="009F7136">
        <w:rPr>
          <w:rFonts w:ascii="Arial" w:hAnsi="Arial" w:cs="Arial"/>
        </w:rPr>
        <w:t xml:space="preserve"> y, sin embargo, todavía tiene suficiente energía para trabajar en los electrones dentro de</w:t>
      </w:r>
      <w:r>
        <w:rPr>
          <w:rFonts w:ascii="Arial" w:hAnsi="Arial" w:cs="Arial"/>
        </w:rPr>
        <w:t>l</w:t>
      </w:r>
      <w:r w:rsidRPr="009F7136">
        <w:rPr>
          <w:rFonts w:ascii="Arial" w:hAnsi="Arial" w:cs="Arial"/>
        </w:rPr>
        <w:t xml:space="preserve"> ojo. Cualquier campo electromagnético existe dentro de alguna región del espacio y, por lo tanto, es bastante natural considerar la energía radiante por unidad de volumen, es decir, la densidad de energía </w:t>
      </w:r>
      <w:r w:rsidRPr="00310CD1">
        <w:rPr>
          <w:i/>
        </w:rPr>
        <w:t>u</w:t>
      </w:r>
      <w:r w:rsidRPr="009F7136">
        <w:rPr>
          <w:rFonts w:ascii="Arial" w:hAnsi="Arial" w:cs="Arial"/>
        </w:rPr>
        <w:t xml:space="preserve">. </w:t>
      </w:r>
    </w:p>
    <w:p w:rsidR="004B4415" w:rsidRDefault="004B4415" w:rsidP="004B4415">
      <w:pPr>
        <w:ind w:firstLine="600"/>
        <w:jc w:val="both"/>
        <w:rPr>
          <w:rFonts w:ascii="Arial" w:hAnsi="Arial" w:cs="Arial"/>
        </w:rPr>
      </w:pPr>
    </w:p>
    <w:p w:rsidR="004B4415" w:rsidRPr="00EE2F85" w:rsidRDefault="004B4415" w:rsidP="004B4415">
      <w:pPr>
        <w:spacing w:line="360" w:lineRule="auto"/>
        <w:jc w:val="both"/>
        <w:rPr>
          <w:rFonts w:ascii="Arial" w:hAnsi="Arial" w:cs="Arial"/>
          <w:i/>
        </w:rPr>
      </w:pPr>
      <w:r w:rsidRPr="00EE2F85">
        <w:rPr>
          <w:rFonts w:ascii="Arial" w:hAnsi="Arial" w:cs="Arial"/>
          <w:i/>
        </w:rPr>
        <w:t>4.1 Energía y momento de la onda electromagnética</w:t>
      </w:r>
    </w:p>
    <w:p w:rsidR="004B4415" w:rsidRPr="009F7136" w:rsidRDefault="004B4415" w:rsidP="004B4415">
      <w:pPr>
        <w:ind w:firstLine="600"/>
        <w:jc w:val="both"/>
        <w:rPr>
          <w:rFonts w:ascii="Arial" w:hAnsi="Arial" w:cs="Arial"/>
        </w:rPr>
      </w:pPr>
      <w:r>
        <w:rPr>
          <w:rFonts w:ascii="Arial" w:hAnsi="Arial" w:cs="Arial"/>
        </w:rPr>
        <w:t>P</w:t>
      </w:r>
      <w:r w:rsidRPr="009F7136">
        <w:rPr>
          <w:rFonts w:ascii="Arial" w:hAnsi="Arial" w:cs="Arial"/>
        </w:rPr>
        <w:t xml:space="preserve">ara un campo eléctrico, se puede </w:t>
      </w:r>
      <w:r>
        <w:rPr>
          <w:rFonts w:ascii="Arial" w:hAnsi="Arial" w:cs="Arial"/>
        </w:rPr>
        <w:t>calcular la densidad de energía,</w:t>
      </w:r>
    </w:p>
    <w:p w:rsidR="004B4415" w:rsidRPr="009F7136" w:rsidRDefault="004B4415" w:rsidP="004B4415">
      <w:pPr>
        <w:spacing w:before="120" w:after="120"/>
        <w:ind w:firstLine="601"/>
        <w:jc w:val="center"/>
        <w:rPr>
          <w:rFonts w:ascii="Arial" w:hAnsi="Arial" w:cs="Arial"/>
        </w:rPr>
      </w:pPr>
      <w:r>
        <w:rPr>
          <w:rFonts w:ascii="Arial" w:hAnsi="Arial" w:cs="Arial"/>
        </w:rPr>
        <w:t xml:space="preserve">                             </w:t>
      </w:r>
      <w:r w:rsidRPr="00310CD1">
        <w:rPr>
          <w:rFonts w:ascii="Arial" w:hAnsi="Arial" w:cs="Arial"/>
        </w:rPr>
        <w:t xml:space="preserve">                   </w:t>
      </w:r>
      <w:r w:rsidRPr="00310CD1">
        <w:rPr>
          <w:rFonts w:ascii="Arial" w:hAnsi="Arial" w:cs="Arial"/>
          <w:position w:val="-14"/>
          <w:lang w:val="en-US"/>
        </w:rPr>
        <w:object w:dxaOrig="1400" w:dyaOrig="440">
          <v:shape id="_x0000_i1253" type="#_x0000_t75" style="width:1in;height:21.6pt" o:ole="">
            <v:imagedata r:id="rId619" o:title=""/>
          </v:shape>
          <o:OLEObject Type="Embed" ProgID="Equation.3" ShapeID="_x0000_i1253" DrawAspect="Content" ObjectID="_1660649350" r:id="rId620"/>
        </w:object>
      </w:r>
      <w:r w:rsidRPr="003A2A19">
        <w:rPr>
          <w:rFonts w:ascii="Arial" w:hAnsi="Arial" w:cs="Arial"/>
        </w:rPr>
        <w:t>.</w:t>
      </w:r>
      <w:r w:rsidRPr="00310CD1">
        <w:rPr>
          <w:rFonts w:ascii="Arial" w:hAnsi="Arial" w:cs="Arial"/>
        </w:rPr>
        <w:t xml:space="preserve">                                                         (8)</w:t>
      </w:r>
    </w:p>
    <w:p w:rsidR="004B4415" w:rsidRPr="009F7136" w:rsidRDefault="004B4415" w:rsidP="004B4415">
      <w:pPr>
        <w:jc w:val="both"/>
        <w:rPr>
          <w:rFonts w:ascii="Arial" w:hAnsi="Arial" w:cs="Arial"/>
        </w:rPr>
      </w:pPr>
      <w:r>
        <w:rPr>
          <w:rFonts w:ascii="Arial" w:hAnsi="Arial" w:cs="Arial"/>
        </w:rPr>
        <w:t>De la misma manera</w:t>
      </w:r>
      <w:r w:rsidRPr="009F7136">
        <w:rPr>
          <w:rFonts w:ascii="Arial" w:hAnsi="Arial" w:cs="Arial"/>
        </w:rPr>
        <w:t>, la densidad de energía del campo vectorial</w:t>
      </w:r>
      <w:r>
        <w:rPr>
          <w:rFonts w:ascii="Arial" w:hAnsi="Arial" w:cs="Arial"/>
        </w:rPr>
        <w:t xml:space="preserve"> </w:t>
      </w:r>
      <w:r w:rsidRPr="00147DBE">
        <w:rPr>
          <w:b/>
          <w:position w:val="-4"/>
          <w:lang w:val="en-US"/>
        </w:rPr>
        <w:object w:dxaOrig="240" w:dyaOrig="420">
          <v:shape id="_x0000_i1254" type="#_x0000_t75" style="width:14.4pt;height:21.6pt" o:ole="">
            <v:imagedata r:id="rId621" o:title=""/>
          </v:shape>
          <o:OLEObject Type="Embed" ProgID="Equation.3" ShapeID="_x0000_i1254" DrawAspect="Content" ObjectID="_1660649351" r:id="rId622"/>
        </w:object>
      </w:r>
      <w:r w:rsidRPr="009F7136">
        <w:rPr>
          <w:rFonts w:ascii="Arial" w:hAnsi="Arial" w:cs="Arial"/>
        </w:rPr>
        <w:t xml:space="preserve"> es</w:t>
      </w:r>
      <w:r>
        <w:rPr>
          <w:rFonts w:ascii="Arial" w:hAnsi="Arial" w:cs="Arial"/>
        </w:rPr>
        <w:t>,</w:t>
      </w:r>
    </w:p>
    <w:p w:rsidR="004B4415" w:rsidRPr="009F7136" w:rsidRDefault="004B4415" w:rsidP="004B4415">
      <w:pPr>
        <w:spacing w:before="120" w:after="120"/>
        <w:ind w:firstLine="601"/>
        <w:jc w:val="center"/>
        <w:rPr>
          <w:rFonts w:ascii="Arial" w:hAnsi="Arial" w:cs="Arial"/>
        </w:rPr>
      </w:pPr>
      <w:r w:rsidRPr="00310CD1">
        <w:rPr>
          <w:rFonts w:ascii="Arial" w:hAnsi="Arial" w:cs="Arial"/>
        </w:rPr>
        <w:t xml:space="preserve">                                                    </w:t>
      </w:r>
      <w:r w:rsidRPr="00310CD1">
        <w:rPr>
          <w:rFonts w:ascii="Arial" w:hAnsi="Arial" w:cs="Arial"/>
          <w:position w:val="-16"/>
          <w:lang w:val="en-US"/>
        </w:rPr>
        <w:object w:dxaOrig="1140" w:dyaOrig="420">
          <v:shape id="_x0000_i1255" type="#_x0000_t75" style="width:57.6pt;height:21.6pt" o:ole="">
            <v:imagedata r:id="rId623" o:title=""/>
          </v:shape>
          <o:OLEObject Type="Embed" ProgID="Equation.3" ShapeID="_x0000_i1255" DrawAspect="Content" ObjectID="_1660649352" r:id="rId624"/>
        </w:object>
      </w:r>
      <w:r w:rsidRPr="00310CD1">
        <w:rPr>
          <w:rFonts w:ascii="Arial" w:hAnsi="Arial" w:cs="Arial"/>
        </w:rPr>
        <w:t xml:space="preserve">                                                          (9)</w:t>
      </w:r>
    </w:p>
    <w:p w:rsidR="004B4415" w:rsidRPr="009F7136" w:rsidRDefault="004B4415" w:rsidP="004B4415">
      <w:pPr>
        <w:ind w:firstLine="600"/>
        <w:jc w:val="both"/>
        <w:rPr>
          <w:rFonts w:ascii="Arial" w:hAnsi="Arial" w:cs="Arial"/>
        </w:rPr>
      </w:pPr>
      <w:r w:rsidRPr="009F7136">
        <w:rPr>
          <w:rFonts w:ascii="Arial" w:hAnsi="Arial" w:cs="Arial"/>
        </w:rPr>
        <w:t>La energía que fluye a través del espacio en forma de onda electromagnética se comparte entre el campo eléctrico</w:t>
      </w:r>
      <w:r>
        <w:rPr>
          <w:rFonts w:ascii="Arial" w:hAnsi="Arial" w:cs="Arial"/>
        </w:rPr>
        <w:t xml:space="preserve"> </w:t>
      </w:r>
      <w:r w:rsidRPr="00147DBE">
        <w:rPr>
          <w:b/>
          <w:position w:val="-4"/>
          <w:lang w:val="en-US"/>
        </w:rPr>
        <w:object w:dxaOrig="240" w:dyaOrig="420">
          <v:shape id="_x0000_i1256" type="#_x0000_t75" style="width:14.4pt;height:21.6pt" o:ole="">
            <v:imagedata r:id="rId625" o:title=""/>
          </v:shape>
          <o:OLEObject Type="Embed" ProgID="Equation.3" ShapeID="_x0000_i1256" DrawAspect="Content" ObjectID="_1660649353" r:id="rId626"/>
        </w:object>
      </w:r>
      <w:r w:rsidRPr="009F7136">
        <w:rPr>
          <w:rFonts w:ascii="Arial" w:hAnsi="Arial" w:cs="Arial"/>
        </w:rPr>
        <w:t xml:space="preserve"> y </w:t>
      </w:r>
      <w:r>
        <w:rPr>
          <w:rFonts w:ascii="Arial" w:hAnsi="Arial" w:cs="Arial"/>
        </w:rPr>
        <w:t xml:space="preserve">el </w:t>
      </w:r>
      <w:r w:rsidRPr="009F7136">
        <w:rPr>
          <w:rFonts w:ascii="Arial" w:hAnsi="Arial" w:cs="Arial"/>
        </w:rPr>
        <w:t>magnético</w:t>
      </w:r>
      <w:r>
        <w:rPr>
          <w:rFonts w:ascii="Arial" w:hAnsi="Arial" w:cs="Arial"/>
        </w:rPr>
        <w:t xml:space="preserve"> </w:t>
      </w:r>
      <w:r w:rsidRPr="00147DBE">
        <w:rPr>
          <w:b/>
          <w:position w:val="-4"/>
          <w:lang w:val="en-US"/>
        </w:rPr>
        <w:object w:dxaOrig="240" w:dyaOrig="420">
          <v:shape id="_x0000_i1257" type="#_x0000_t75" style="width:14.4pt;height:21.6pt" o:ole="">
            <v:imagedata r:id="rId621" o:title=""/>
          </v:shape>
          <o:OLEObject Type="Embed" ProgID="Equation.3" ShapeID="_x0000_i1257" DrawAspect="Content" ObjectID="_1660649354" r:id="rId627"/>
        </w:object>
      </w:r>
      <w:r w:rsidRPr="009F7136">
        <w:rPr>
          <w:rFonts w:ascii="Arial" w:hAnsi="Arial" w:cs="Arial"/>
        </w:rPr>
        <w:t xml:space="preserve"> constituyente. </w:t>
      </w:r>
      <w:r>
        <w:rPr>
          <w:rFonts w:ascii="Arial" w:hAnsi="Arial" w:cs="Arial"/>
        </w:rPr>
        <w:t>Como</w:t>
      </w:r>
    </w:p>
    <w:p w:rsidR="004B4415" w:rsidRPr="00F90004" w:rsidRDefault="004B4415" w:rsidP="004B4415">
      <w:pPr>
        <w:spacing w:before="120" w:after="120"/>
        <w:ind w:firstLine="601"/>
        <w:jc w:val="center"/>
        <w:rPr>
          <w:rFonts w:ascii="Arial" w:hAnsi="Arial" w:cs="Arial"/>
        </w:rPr>
      </w:pPr>
      <w:r w:rsidRPr="00246381">
        <w:rPr>
          <w:rFonts w:ascii="Arial" w:hAnsi="Arial" w:cs="Arial"/>
        </w:rPr>
        <w:t xml:space="preserve">                                                </w:t>
      </w:r>
      <w:r w:rsidRPr="00310CD1">
        <w:rPr>
          <w:rFonts w:ascii="Arial" w:hAnsi="Arial" w:cs="Arial"/>
          <w:position w:val="-10"/>
          <w:lang w:val="en-US"/>
        </w:rPr>
        <w:object w:dxaOrig="1180" w:dyaOrig="340">
          <v:shape id="_x0000_i1258" type="#_x0000_t75" style="width:57.6pt;height:14.4pt" o:ole="">
            <v:imagedata r:id="rId628" o:title=""/>
          </v:shape>
          <o:OLEObject Type="Embed" ProgID="Equation.3" ShapeID="_x0000_i1258" DrawAspect="Content" ObjectID="_1660649355" r:id="rId629"/>
        </w:object>
      </w:r>
      <w:r w:rsidRPr="003A2A19">
        <w:rPr>
          <w:rFonts w:ascii="Arial" w:hAnsi="Arial" w:cs="Arial"/>
        </w:rPr>
        <w:t>,</w:t>
      </w:r>
      <w:r w:rsidRPr="00246381">
        <w:rPr>
          <w:rFonts w:ascii="Arial" w:hAnsi="Arial" w:cs="Arial"/>
        </w:rPr>
        <w:t xml:space="preserve">                                                          (10)</w:t>
      </w:r>
    </w:p>
    <w:p w:rsidR="004B4415" w:rsidRPr="009F7136" w:rsidRDefault="004B4415" w:rsidP="004B4415">
      <w:pPr>
        <w:jc w:val="both"/>
        <w:rPr>
          <w:rFonts w:ascii="Arial" w:hAnsi="Arial" w:cs="Arial"/>
        </w:rPr>
      </w:pPr>
      <w:r w:rsidRPr="009F7136">
        <w:rPr>
          <w:rFonts w:ascii="Arial" w:hAnsi="Arial" w:cs="Arial"/>
        </w:rPr>
        <w:t>claramente</w:t>
      </w:r>
    </w:p>
    <w:p w:rsidR="004B4415" w:rsidRPr="009F7136" w:rsidRDefault="004B4415" w:rsidP="004B4415">
      <w:pPr>
        <w:spacing w:before="120" w:after="120"/>
        <w:ind w:firstLine="601"/>
        <w:jc w:val="center"/>
        <w:rPr>
          <w:rFonts w:ascii="Arial" w:hAnsi="Arial" w:cs="Arial"/>
        </w:rPr>
      </w:pPr>
      <w:r>
        <w:rPr>
          <w:rFonts w:ascii="Arial" w:hAnsi="Arial" w:cs="Arial"/>
        </w:rPr>
        <w:t xml:space="preserve">                                   </w:t>
      </w:r>
      <w:r w:rsidRPr="00246381">
        <w:rPr>
          <w:rFonts w:ascii="Arial" w:hAnsi="Arial" w:cs="Arial"/>
        </w:rPr>
        <w:t xml:space="preserve">        </w:t>
      </w:r>
      <w:r w:rsidRPr="003C4BB9">
        <w:rPr>
          <w:rFonts w:ascii="Arial" w:hAnsi="Arial" w:cs="Arial"/>
          <w:position w:val="-20"/>
          <w:lang w:val="en-US"/>
        </w:rPr>
        <w:object w:dxaOrig="1840" w:dyaOrig="520">
          <v:shape id="_x0000_i1259" type="#_x0000_t75" style="width:93.6pt;height:28.8pt" o:ole="">
            <v:imagedata r:id="rId630" o:title=""/>
          </v:shape>
          <o:OLEObject Type="Embed" ProgID="Equation.3" ShapeID="_x0000_i1259" DrawAspect="Content" ObjectID="_1660649356" r:id="rId631"/>
        </w:object>
      </w:r>
      <w:r w:rsidRPr="003A2A19">
        <w:rPr>
          <w:rFonts w:ascii="Arial" w:hAnsi="Arial" w:cs="Arial"/>
        </w:rPr>
        <w:t>,</w:t>
      </w:r>
      <w:r w:rsidRPr="00246381">
        <w:rPr>
          <w:rFonts w:ascii="Arial" w:hAnsi="Arial" w:cs="Arial"/>
        </w:rPr>
        <w:t xml:space="preserve">                                                      (11)</w:t>
      </w:r>
    </w:p>
    <w:p w:rsidR="004B4415" w:rsidRPr="009F7136" w:rsidRDefault="004B4415" w:rsidP="004B4415">
      <w:pPr>
        <w:jc w:val="both"/>
        <w:rPr>
          <w:rFonts w:ascii="Arial" w:hAnsi="Arial" w:cs="Arial"/>
        </w:rPr>
      </w:pPr>
      <w:r w:rsidRPr="009F7136">
        <w:rPr>
          <w:rFonts w:ascii="Arial" w:hAnsi="Arial" w:cs="Arial"/>
        </w:rPr>
        <w:t xml:space="preserve">donde </w:t>
      </w:r>
      <w:r w:rsidRPr="009F2EC5">
        <w:rPr>
          <w:i/>
        </w:rPr>
        <w:t>E</w:t>
      </w:r>
      <w:r w:rsidRPr="009F7136">
        <w:rPr>
          <w:rFonts w:ascii="Arial" w:hAnsi="Arial" w:cs="Arial"/>
        </w:rPr>
        <w:t xml:space="preserve"> y </w:t>
      </w:r>
      <w:r w:rsidRPr="009F2EC5">
        <w:rPr>
          <w:i/>
        </w:rPr>
        <w:t>B</w:t>
      </w:r>
      <w:r w:rsidRPr="009F7136">
        <w:rPr>
          <w:rFonts w:ascii="Arial" w:hAnsi="Arial" w:cs="Arial"/>
        </w:rPr>
        <w:t xml:space="preserve"> son la</w:t>
      </w:r>
      <w:r>
        <w:rPr>
          <w:rFonts w:ascii="Arial" w:hAnsi="Arial" w:cs="Arial"/>
        </w:rPr>
        <w:t>s</w:t>
      </w:r>
      <w:r w:rsidRPr="009F7136">
        <w:rPr>
          <w:rFonts w:ascii="Arial" w:hAnsi="Arial" w:cs="Arial"/>
        </w:rPr>
        <w:t xml:space="preserve"> magnitud</w:t>
      </w:r>
      <w:r>
        <w:rPr>
          <w:rFonts w:ascii="Arial" w:hAnsi="Arial" w:cs="Arial"/>
        </w:rPr>
        <w:t>es</w:t>
      </w:r>
      <w:r w:rsidRPr="009F7136">
        <w:rPr>
          <w:rFonts w:ascii="Arial" w:hAnsi="Arial" w:cs="Arial"/>
        </w:rPr>
        <w:t xml:space="preserve"> respectiva</w:t>
      </w:r>
      <w:r>
        <w:rPr>
          <w:rFonts w:ascii="Arial" w:hAnsi="Arial" w:cs="Arial"/>
        </w:rPr>
        <w:t>s de los campos eléctrico y magnético</w:t>
      </w:r>
      <w:r w:rsidRPr="009F7136">
        <w:rPr>
          <w:rFonts w:ascii="Arial" w:hAnsi="Arial" w:cs="Arial"/>
        </w:rPr>
        <w:t xml:space="preserve">. Para representar el flujo de energía electromagnética, </w:t>
      </w:r>
      <w:r>
        <w:rPr>
          <w:rFonts w:ascii="Arial" w:hAnsi="Arial" w:cs="Arial"/>
        </w:rPr>
        <w:t>sea</w:t>
      </w:r>
      <w:r w:rsidRPr="009F7136">
        <w:rPr>
          <w:rFonts w:ascii="Arial" w:hAnsi="Arial" w:cs="Arial"/>
        </w:rPr>
        <w:t xml:space="preserve"> </w:t>
      </w:r>
      <w:r w:rsidRPr="009F2EC5">
        <w:rPr>
          <w:i/>
        </w:rPr>
        <w:t>S</w:t>
      </w:r>
      <w:r w:rsidRPr="009F7136">
        <w:rPr>
          <w:rFonts w:ascii="Arial" w:hAnsi="Arial" w:cs="Arial"/>
        </w:rPr>
        <w:t xml:space="preserve"> </w:t>
      </w:r>
      <w:r>
        <w:rPr>
          <w:rFonts w:ascii="Arial" w:hAnsi="Arial" w:cs="Arial"/>
        </w:rPr>
        <w:t xml:space="preserve">el </w:t>
      </w:r>
      <w:r w:rsidRPr="009F7136">
        <w:rPr>
          <w:rFonts w:ascii="Arial" w:hAnsi="Arial" w:cs="Arial"/>
        </w:rPr>
        <w:t xml:space="preserve">transporte </w:t>
      </w:r>
      <w:r>
        <w:rPr>
          <w:rFonts w:ascii="Arial" w:hAnsi="Arial" w:cs="Arial"/>
        </w:rPr>
        <w:t>de</w:t>
      </w:r>
      <w:r w:rsidRPr="009F7136">
        <w:rPr>
          <w:rFonts w:ascii="Arial" w:hAnsi="Arial" w:cs="Arial"/>
        </w:rPr>
        <w:t xml:space="preserve"> energía por unidad de tiempo (potencia) a través de un área unitaria. En el sistema SI tendría unidades de </w:t>
      </w:r>
      <w:r>
        <w:t>W/</w:t>
      </w:r>
      <w:r w:rsidRPr="009F2EC5">
        <w:t>m</w:t>
      </w:r>
      <w:r w:rsidRPr="003A2A19">
        <w:rPr>
          <w:vertAlign w:val="superscript"/>
        </w:rPr>
        <w:t>2</w:t>
      </w:r>
      <w:r w:rsidRPr="009F7136">
        <w:rPr>
          <w:rFonts w:ascii="Arial" w:hAnsi="Arial" w:cs="Arial"/>
        </w:rPr>
        <w:t xml:space="preserve">. </w:t>
      </w:r>
      <w:r>
        <w:rPr>
          <w:rFonts w:ascii="Arial" w:hAnsi="Arial" w:cs="Arial"/>
        </w:rPr>
        <w:t>P</w:t>
      </w:r>
      <w:r w:rsidRPr="009F7136">
        <w:rPr>
          <w:rFonts w:ascii="Arial" w:hAnsi="Arial" w:cs="Arial"/>
        </w:rPr>
        <w:t xml:space="preserve">ara medios isotrópicos se puede hacer la suposición razonable de que la energía fluye en la dirección de propagación de la onda, </w:t>
      </w:r>
      <w:r>
        <w:rPr>
          <w:rFonts w:ascii="Arial" w:hAnsi="Arial" w:cs="Arial"/>
        </w:rPr>
        <w:t>y</w:t>
      </w:r>
      <w:r w:rsidRPr="009F7136">
        <w:rPr>
          <w:rFonts w:ascii="Arial" w:hAnsi="Arial" w:cs="Arial"/>
        </w:rPr>
        <w:t xml:space="preserve"> se define el vector</w:t>
      </w:r>
    </w:p>
    <w:p w:rsidR="004B4415" w:rsidRPr="009F7136" w:rsidRDefault="004B4415" w:rsidP="004B4415">
      <w:pPr>
        <w:spacing w:before="120" w:after="120"/>
        <w:ind w:firstLine="601"/>
        <w:jc w:val="center"/>
        <w:rPr>
          <w:rFonts w:ascii="Arial" w:hAnsi="Arial" w:cs="Arial"/>
        </w:rPr>
      </w:pPr>
      <w:r w:rsidRPr="009F2EC5">
        <w:rPr>
          <w:rFonts w:ascii="Arial" w:hAnsi="Arial" w:cs="Arial"/>
        </w:rPr>
        <w:t xml:space="preserve">                                                         </w:t>
      </w:r>
      <w:r w:rsidRPr="009F2EC5">
        <w:rPr>
          <w:rFonts w:ascii="Arial" w:hAnsi="Arial" w:cs="Arial"/>
          <w:position w:val="-16"/>
          <w:lang w:val="en-US"/>
        </w:rPr>
        <w:object w:dxaOrig="1160" w:dyaOrig="540">
          <v:shape id="_x0000_i1260" type="#_x0000_t75" style="width:57.6pt;height:28.8pt" o:ole="">
            <v:imagedata r:id="rId632" o:title=""/>
          </v:shape>
          <o:OLEObject Type="Embed" ProgID="Equation.3" ShapeID="_x0000_i1260" DrawAspect="Content" ObjectID="_1660649357" r:id="rId633"/>
        </w:object>
      </w:r>
      <w:r w:rsidRPr="009F2EC5">
        <w:rPr>
          <w:rFonts w:ascii="Arial" w:hAnsi="Arial" w:cs="Arial"/>
        </w:rPr>
        <w:t xml:space="preserve">                                                   (12)</w:t>
      </w:r>
    </w:p>
    <w:p w:rsidR="004B4415" w:rsidRPr="009F7136" w:rsidRDefault="004B4415" w:rsidP="004B4415">
      <w:pPr>
        <w:ind w:firstLine="600"/>
        <w:jc w:val="both"/>
        <w:rPr>
          <w:rFonts w:ascii="Arial" w:hAnsi="Arial" w:cs="Arial"/>
        </w:rPr>
      </w:pPr>
      <w:r w:rsidRPr="009F7136">
        <w:rPr>
          <w:rFonts w:ascii="Arial" w:hAnsi="Arial" w:cs="Arial"/>
        </w:rPr>
        <w:t xml:space="preserve">La magnitud de </w:t>
      </w:r>
      <w:r w:rsidRPr="002B2BAD">
        <w:rPr>
          <w:b/>
          <w:position w:val="-6"/>
          <w:lang w:val="en-US"/>
        </w:rPr>
        <w:object w:dxaOrig="220" w:dyaOrig="440">
          <v:shape id="_x0000_i1261" type="#_x0000_t75" style="width:14.4pt;height:21.6pt" o:ole="">
            <v:imagedata r:id="rId634" o:title=""/>
          </v:shape>
          <o:OLEObject Type="Embed" ProgID="Equation.3" ShapeID="_x0000_i1261" DrawAspect="Content" ObjectID="_1660649358" r:id="rId635"/>
        </w:object>
      </w:r>
      <w:r w:rsidRPr="009F2EC5">
        <w:rPr>
          <w:b/>
        </w:rPr>
        <w:t xml:space="preserve"> </w:t>
      </w:r>
      <w:r w:rsidRPr="009F7136">
        <w:rPr>
          <w:rFonts w:ascii="Arial" w:hAnsi="Arial" w:cs="Arial"/>
        </w:rPr>
        <w:t>es la potencia por unidad de área que cruza una superficie</w:t>
      </w:r>
      <w:r>
        <w:rPr>
          <w:rFonts w:ascii="Arial" w:hAnsi="Arial" w:cs="Arial"/>
        </w:rPr>
        <w:t xml:space="preserve"> cuya normal</w:t>
      </w:r>
      <w:r w:rsidRPr="009F7136">
        <w:rPr>
          <w:rFonts w:ascii="Arial" w:hAnsi="Arial" w:cs="Arial"/>
        </w:rPr>
        <w:t xml:space="preserve"> es paralela</w:t>
      </w:r>
      <w:r>
        <w:rPr>
          <w:rFonts w:ascii="Arial" w:hAnsi="Arial" w:cs="Arial"/>
        </w:rPr>
        <w:t xml:space="preserve"> </w:t>
      </w:r>
      <w:r w:rsidRPr="002B2BAD">
        <w:rPr>
          <w:b/>
          <w:position w:val="-6"/>
          <w:lang w:val="en-US"/>
        </w:rPr>
        <w:object w:dxaOrig="220" w:dyaOrig="440">
          <v:shape id="_x0000_i1262" type="#_x0000_t75" style="width:14.4pt;height:21.6pt" o:ole="">
            <v:imagedata r:id="rId634" o:title=""/>
          </v:shape>
          <o:OLEObject Type="Embed" ProgID="Equation.3" ShapeID="_x0000_i1262" DrawAspect="Content" ObjectID="_1660649359" r:id="rId636"/>
        </w:object>
      </w:r>
      <w:r w:rsidRPr="009F2EC5">
        <w:rPr>
          <w:b/>
        </w:rPr>
        <w:t>,</w:t>
      </w:r>
      <w:r>
        <w:rPr>
          <w:rFonts w:ascii="Arial" w:hAnsi="Arial" w:cs="Arial"/>
        </w:rPr>
        <w:t xml:space="preserve"> e</w:t>
      </w:r>
      <w:r w:rsidRPr="009F7136">
        <w:rPr>
          <w:rFonts w:ascii="Arial" w:hAnsi="Arial" w:cs="Arial"/>
        </w:rPr>
        <w:t>l vector de Poynting. Debería ser evidente que</w:t>
      </w:r>
      <w:r>
        <w:rPr>
          <w:rFonts w:ascii="Arial" w:hAnsi="Arial" w:cs="Arial"/>
        </w:rPr>
        <w:t xml:space="preserve"> </w:t>
      </w:r>
      <w:r w:rsidRPr="002B2BAD">
        <w:rPr>
          <w:b/>
          <w:position w:val="-4"/>
          <w:lang w:val="en-US"/>
        </w:rPr>
        <w:object w:dxaOrig="560" w:dyaOrig="420">
          <v:shape id="_x0000_i1263" type="#_x0000_t75" style="width:28.8pt;height:21.6pt" o:ole="">
            <v:imagedata r:id="rId637" o:title=""/>
          </v:shape>
          <o:OLEObject Type="Embed" ProgID="Equation.3" ShapeID="_x0000_i1263" DrawAspect="Content" ObjectID="_1660649360" r:id="rId638"/>
        </w:object>
      </w:r>
      <w:r w:rsidRPr="009F7136">
        <w:rPr>
          <w:rFonts w:ascii="Arial" w:hAnsi="Arial" w:cs="Arial"/>
        </w:rPr>
        <w:t xml:space="preserve"> toma ciclos de magnitud máxima a mínima como se muestra en </w:t>
      </w:r>
      <w:smartTag w:uri="urn:schemas-microsoft-com:office:smarttags" w:element="PersonName">
        <w:smartTagPr>
          <w:attr w:name="ProductID" w:val="la Figura"/>
        </w:smartTagPr>
        <w:r w:rsidRPr="009F7136">
          <w:rPr>
            <w:rFonts w:ascii="Arial" w:hAnsi="Arial" w:cs="Arial"/>
          </w:rPr>
          <w:t>la Figura</w:t>
        </w:r>
      </w:smartTag>
      <w:r w:rsidRPr="009F7136">
        <w:rPr>
          <w:rFonts w:ascii="Arial" w:hAnsi="Arial" w:cs="Arial"/>
        </w:rPr>
        <w:t xml:space="preserve"> 2. En las frecuencias ópticas, </w:t>
      </w:r>
      <w:r w:rsidRPr="002B2BAD">
        <w:rPr>
          <w:b/>
          <w:position w:val="-6"/>
          <w:lang w:val="en-US"/>
        </w:rPr>
        <w:object w:dxaOrig="220" w:dyaOrig="440">
          <v:shape id="_x0000_i1264" type="#_x0000_t75" style="width:14.4pt;height:21.6pt" o:ole="">
            <v:imagedata r:id="rId634" o:title=""/>
          </v:shape>
          <o:OLEObject Type="Embed" ProgID="Equation.3" ShapeID="_x0000_i1264" DrawAspect="Content" ObjectID="_1660649361" r:id="rId639"/>
        </w:object>
      </w:r>
      <w:r w:rsidRPr="00122983">
        <w:rPr>
          <w:b/>
        </w:rPr>
        <w:t xml:space="preserve"> </w:t>
      </w:r>
      <w:r w:rsidRPr="009F7136">
        <w:rPr>
          <w:rFonts w:ascii="Arial" w:hAnsi="Arial" w:cs="Arial"/>
        </w:rPr>
        <w:t xml:space="preserve">es una función extremadamente rápida que varía con el tiempo y, por lo tanto, el valor instantáneo sería una cantidad poco práctica para medir. Esto sugiere que cuando una persona se expone a esta energía, absorbe la radiación durante un intervalo de tiempo. </w:t>
      </w:r>
      <w:r>
        <w:rPr>
          <w:rFonts w:ascii="Arial" w:hAnsi="Arial" w:cs="Arial"/>
        </w:rPr>
        <w:t>Por</w:t>
      </w:r>
      <w:r w:rsidRPr="009F7136">
        <w:rPr>
          <w:rFonts w:ascii="Arial" w:hAnsi="Arial" w:cs="Arial"/>
        </w:rPr>
        <w:t xml:space="preserve"> ejem</w:t>
      </w:r>
      <w:r>
        <w:rPr>
          <w:rFonts w:ascii="Arial" w:hAnsi="Arial" w:cs="Arial"/>
        </w:rPr>
        <w:t>plo cuando uno usa una fotoceld</w:t>
      </w:r>
      <w:r w:rsidRPr="009F7136">
        <w:rPr>
          <w:rFonts w:ascii="Arial" w:hAnsi="Arial" w:cs="Arial"/>
        </w:rPr>
        <w:t>a, causando daño a la retina del ojo humano. El valor de tiempo promedio de la magnitud del vector de Poynting, simbolizado por</w:t>
      </w:r>
      <w:r w:rsidRPr="009F7136">
        <w:rPr>
          <w:rFonts w:ascii="Arial" w:eastAsia="Arial Unicode MS" w:hAnsi="Arial Unicode MS" w:cs="Arial"/>
        </w:rPr>
        <w:t>〈</w:t>
      </w:r>
      <w:r w:rsidRPr="009F2EC5">
        <w:rPr>
          <w:i/>
        </w:rPr>
        <w:t>S</w:t>
      </w:r>
      <w:r w:rsidRPr="009F7136">
        <w:rPr>
          <w:rFonts w:ascii="Arial" w:eastAsia="Arial Unicode MS" w:hAnsi="Arial Unicode MS" w:cs="Arial"/>
        </w:rPr>
        <w:t>〉</w:t>
      </w:r>
      <w:r w:rsidRPr="009F7136">
        <w:rPr>
          <w:rFonts w:ascii="Arial" w:hAnsi="Arial" w:cs="Arial"/>
        </w:rPr>
        <w:t>, es una medida de la cantidad m</w:t>
      </w:r>
      <w:r>
        <w:rPr>
          <w:rFonts w:ascii="Arial" w:hAnsi="Arial" w:cs="Arial"/>
        </w:rPr>
        <w:t>uy significativa conocida como i</w:t>
      </w:r>
      <w:r w:rsidRPr="009F7136">
        <w:rPr>
          <w:rFonts w:ascii="Arial" w:hAnsi="Arial" w:cs="Arial"/>
        </w:rPr>
        <w:t xml:space="preserve">rradiancia (intensidad), representada por </w:t>
      </w:r>
      <w:r w:rsidRPr="009F2EC5">
        <w:rPr>
          <w:i/>
        </w:rPr>
        <w:t>I</w:t>
      </w:r>
      <w:r w:rsidRPr="009F7136">
        <w:rPr>
          <w:rFonts w:ascii="Arial" w:hAnsi="Arial" w:cs="Arial"/>
        </w:rPr>
        <w:t>. En este caso, entonces podemos escribir la siguiente igualdad</w:t>
      </w:r>
    </w:p>
    <w:p w:rsidR="004B4415" w:rsidRPr="003A2A19" w:rsidRDefault="004B4415" w:rsidP="004B4415">
      <w:pPr>
        <w:spacing w:before="120" w:after="120"/>
        <w:ind w:firstLine="601"/>
        <w:jc w:val="center"/>
        <w:rPr>
          <w:rFonts w:ascii="Arial" w:hAnsi="Arial" w:cs="Arial"/>
        </w:rPr>
      </w:pPr>
      <w:r w:rsidRPr="00122983">
        <w:rPr>
          <w:rFonts w:ascii="Arial" w:hAnsi="Arial" w:cs="Arial"/>
        </w:rPr>
        <w:t xml:space="preserve">                                            </w:t>
      </w:r>
      <w:r w:rsidRPr="009F2EC5">
        <w:rPr>
          <w:rFonts w:ascii="Arial" w:hAnsi="Arial" w:cs="Arial"/>
          <w:position w:val="-24"/>
          <w:lang w:val="en-US"/>
        </w:rPr>
        <w:object w:dxaOrig="1700" w:dyaOrig="620">
          <v:shape id="_x0000_i1265" type="#_x0000_t75" style="width:86.4pt;height:28.8pt" o:ole="">
            <v:imagedata r:id="rId640" o:title=""/>
          </v:shape>
          <o:OLEObject Type="Embed" ProgID="Equation.3" ShapeID="_x0000_i1265" DrawAspect="Content" ObjectID="_1660649362" r:id="rId641"/>
        </w:object>
      </w:r>
      <w:r w:rsidRPr="003A2A19">
        <w:rPr>
          <w:rFonts w:ascii="Arial" w:hAnsi="Arial" w:cs="Arial"/>
        </w:rPr>
        <w:t>.                                                      (13)</w:t>
      </w:r>
    </w:p>
    <w:p w:rsidR="004B4415" w:rsidRPr="009F7136" w:rsidRDefault="004B4415" w:rsidP="004B4415">
      <w:pPr>
        <w:ind w:firstLine="600"/>
        <w:jc w:val="both"/>
        <w:rPr>
          <w:rFonts w:ascii="Arial" w:hAnsi="Arial" w:cs="Arial"/>
        </w:rPr>
      </w:pPr>
      <w:r w:rsidRPr="009F7136">
        <w:rPr>
          <w:rFonts w:ascii="Arial" w:hAnsi="Arial" w:cs="Arial"/>
        </w:rPr>
        <w:lastRenderedPageBreak/>
        <w:t xml:space="preserve">El flujo de energía total por unidad de tiempo, potencia </w:t>
      </w:r>
      <w:r w:rsidRPr="009F2EC5">
        <w:rPr>
          <w:i/>
        </w:rPr>
        <w:t>P</w:t>
      </w:r>
      <w:r w:rsidRPr="009F7136">
        <w:rPr>
          <w:rFonts w:ascii="Arial" w:hAnsi="Arial" w:cs="Arial"/>
        </w:rPr>
        <w:t xml:space="preserve">, </w:t>
      </w:r>
      <w:r>
        <w:rPr>
          <w:rFonts w:ascii="Arial" w:hAnsi="Arial" w:cs="Arial"/>
        </w:rPr>
        <w:t>sobre</w:t>
      </w:r>
      <w:r w:rsidRPr="009F7136">
        <w:rPr>
          <w:rFonts w:ascii="Arial" w:hAnsi="Arial" w:cs="Arial"/>
        </w:rPr>
        <w:t xml:space="preserve"> alguna superficie </w:t>
      </w:r>
      <w:r w:rsidRPr="009F2EC5">
        <w:rPr>
          <w:i/>
        </w:rPr>
        <w:t>A</w:t>
      </w:r>
      <w:r w:rsidRPr="009F7136">
        <w:rPr>
          <w:rFonts w:ascii="Arial" w:hAnsi="Arial" w:cs="Arial"/>
        </w:rPr>
        <w:t xml:space="preserve"> se puede escribir en términos del vector de Poynting como</w:t>
      </w:r>
      <w:r>
        <w:rPr>
          <w:rFonts w:ascii="Arial" w:hAnsi="Arial" w:cs="Arial"/>
        </w:rPr>
        <w:t>,</w:t>
      </w:r>
    </w:p>
    <w:p w:rsidR="004B4415" w:rsidRPr="009F7136" w:rsidRDefault="004B4415" w:rsidP="004B4415">
      <w:pPr>
        <w:spacing w:before="120" w:after="120"/>
        <w:ind w:firstLine="601"/>
        <w:jc w:val="center"/>
        <w:rPr>
          <w:rFonts w:ascii="Arial" w:hAnsi="Arial" w:cs="Arial"/>
        </w:rPr>
      </w:pPr>
      <w:r>
        <w:rPr>
          <w:rFonts w:ascii="Arial" w:hAnsi="Arial" w:cs="Arial"/>
        </w:rPr>
        <w:t xml:space="preserve">                          </w:t>
      </w:r>
      <w:r w:rsidRPr="00122983">
        <w:rPr>
          <w:rFonts w:ascii="Arial" w:hAnsi="Arial" w:cs="Arial"/>
        </w:rPr>
        <w:t xml:space="preserve">                     </w:t>
      </w:r>
      <w:r w:rsidRPr="009F2EC5">
        <w:rPr>
          <w:rFonts w:ascii="Arial" w:hAnsi="Arial" w:cs="Arial"/>
          <w:position w:val="-18"/>
          <w:lang w:val="en-US"/>
        </w:rPr>
        <w:object w:dxaOrig="1320" w:dyaOrig="560">
          <v:shape id="_x0000_i1266" type="#_x0000_t75" style="width:64.8pt;height:28.8pt" o:ole="">
            <v:imagedata r:id="rId642" o:title=""/>
          </v:shape>
          <o:OLEObject Type="Embed" ProgID="Equation.3" ShapeID="_x0000_i1266" DrawAspect="Content" ObjectID="_1660649363" r:id="rId643"/>
        </w:object>
      </w:r>
      <w:r w:rsidRPr="003A2A19">
        <w:rPr>
          <w:rFonts w:ascii="Arial" w:hAnsi="Arial" w:cs="Arial"/>
        </w:rPr>
        <w:t>.</w:t>
      </w:r>
      <w:r w:rsidRPr="00F90004">
        <w:rPr>
          <w:rFonts w:ascii="Arial" w:hAnsi="Arial" w:cs="Arial"/>
        </w:rPr>
        <w:t xml:space="preserve">                                                         (14)</w:t>
      </w:r>
    </w:p>
    <w:p w:rsidR="004B4415" w:rsidRPr="009F7136" w:rsidRDefault="004B4415" w:rsidP="004B4415">
      <w:pPr>
        <w:ind w:firstLine="600"/>
        <w:jc w:val="both"/>
        <w:rPr>
          <w:rFonts w:ascii="Arial" w:hAnsi="Arial" w:cs="Arial"/>
        </w:rPr>
      </w:pPr>
      <w:r w:rsidRPr="009F7136">
        <w:rPr>
          <w:rFonts w:ascii="Arial" w:hAnsi="Arial" w:cs="Arial"/>
        </w:rPr>
        <w:t>Nuevamente, considerando las cantida</w:t>
      </w:r>
      <w:r>
        <w:rPr>
          <w:rFonts w:ascii="Arial" w:hAnsi="Arial" w:cs="Arial"/>
        </w:rPr>
        <w:t xml:space="preserve">des promedio y sustituyendo </w:t>
      </w:r>
      <w:r w:rsidRPr="009F7136">
        <w:rPr>
          <w:rFonts w:ascii="Arial" w:hAnsi="Arial" w:cs="Arial"/>
        </w:rPr>
        <w:t>(13) en (14),</w:t>
      </w:r>
    </w:p>
    <w:p w:rsidR="004B4415" w:rsidRPr="00F90004" w:rsidRDefault="004B4415" w:rsidP="004B4415">
      <w:pPr>
        <w:spacing w:before="120" w:after="120"/>
        <w:ind w:firstLine="601"/>
        <w:jc w:val="center"/>
        <w:rPr>
          <w:rFonts w:ascii="Arial" w:hAnsi="Arial" w:cs="Arial"/>
          <w:lang w:val="en-US"/>
        </w:rPr>
      </w:pPr>
      <w:r w:rsidRPr="00F90004">
        <w:rPr>
          <w:rFonts w:ascii="Arial" w:hAnsi="Arial" w:cs="Arial"/>
        </w:rPr>
        <w:t xml:space="preserve">                                            </w:t>
      </w:r>
      <w:r w:rsidRPr="0005634B">
        <w:rPr>
          <w:rFonts w:ascii="Arial" w:hAnsi="Arial" w:cs="Arial"/>
          <w:position w:val="-24"/>
          <w:lang w:val="en-US"/>
        </w:rPr>
        <w:object w:dxaOrig="1820" w:dyaOrig="620">
          <v:shape id="_x0000_i1267" type="#_x0000_t75" style="width:93.6pt;height:28.8pt" o:ole="">
            <v:imagedata r:id="rId644" o:title=""/>
          </v:shape>
          <o:OLEObject Type="Embed" ProgID="Equation.3" ShapeID="_x0000_i1267" DrawAspect="Content" ObjectID="_1660649364" r:id="rId645"/>
        </w:object>
      </w:r>
      <w:r w:rsidRPr="0005634B">
        <w:rPr>
          <w:rFonts w:ascii="Arial" w:hAnsi="Arial" w:cs="Arial"/>
          <w:lang w:val="en-US"/>
        </w:rPr>
        <w:t xml:space="preserve">                                                      (15)</w:t>
      </w:r>
    </w:p>
    <w:p w:rsidR="004B4415" w:rsidRDefault="004B4415" w:rsidP="004B4415">
      <w:pPr>
        <w:ind w:firstLine="600"/>
        <w:jc w:val="center"/>
      </w:pPr>
      <w:r w:rsidRPr="00AB0A9A">
        <w:rPr>
          <w:noProof/>
          <w:lang w:val="en-US"/>
        </w:rPr>
        <w:drawing>
          <wp:inline distT="0" distB="0" distL="0" distR="0" wp14:anchorId="46E60BDA" wp14:editId="0261926D">
            <wp:extent cx="3743325" cy="1562100"/>
            <wp:effectExtent l="0" t="0" r="9525" b="0"/>
            <wp:docPr id="1413571381" name="Imagen 1413571381" descr="P-onda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descr="P-onda1"/>
                    <pic:cNvPicPr>
                      <a:picLocks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3743325" cy="1562100"/>
                    </a:xfrm>
                    <a:prstGeom prst="rect">
                      <a:avLst/>
                    </a:prstGeom>
                    <a:noFill/>
                    <a:ln>
                      <a:noFill/>
                    </a:ln>
                  </pic:spPr>
                </pic:pic>
              </a:graphicData>
            </a:graphic>
          </wp:inline>
        </w:drawing>
      </w:r>
    </w:p>
    <w:p w:rsidR="004B4415" w:rsidRPr="0005634B" w:rsidRDefault="004B4415" w:rsidP="004B4415">
      <w:pPr>
        <w:ind w:firstLine="600"/>
        <w:jc w:val="center"/>
        <w:rPr>
          <w:rFonts w:ascii="Arial" w:hAnsi="Arial" w:cs="Arial"/>
        </w:rPr>
      </w:pPr>
      <w:r w:rsidRPr="0005634B">
        <w:rPr>
          <w:rFonts w:ascii="Arial" w:hAnsi="Arial" w:cs="Arial"/>
        </w:rPr>
        <w:t>Figura 2. Onda electromagnétic</w:t>
      </w:r>
      <w:r>
        <w:rPr>
          <w:rFonts w:ascii="Arial" w:hAnsi="Arial" w:cs="Arial"/>
        </w:rPr>
        <w:t>a que viaja en el espacio libre</w:t>
      </w:r>
    </w:p>
    <w:p w:rsidR="004B4415" w:rsidRDefault="004B4415" w:rsidP="004B4415">
      <w:pPr>
        <w:ind w:firstLine="600"/>
        <w:jc w:val="both"/>
        <w:rPr>
          <w:rFonts w:ascii="Arial" w:hAnsi="Arial" w:cs="Arial"/>
        </w:rPr>
      </w:pPr>
    </w:p>
    <w:p w:rsidR="004B4415" w:rsidRPr="0080102F" w:rsidRDefault="004B4415" w:rsidP="004B4415">
      <w:pPr>
        <w:spacing w:line="360" w:lineRule="auto"/>
        <w:jc w:val="both"/>
        <w:rPr>
          <w:rFonts w:ascii="Arial" w:hAnsi="Arial" w:cs="Arial"/>
          <w:i/>
        </w:rPr>
      </w:pPr>
      <w:r w:rsidRPr="0080102F">
        <w:rPr>
          <w:rFonts w:ascii="Arial" w:hAnsi="Arial" w:cs="Arial"/>
          <w:i/>
        </w:rPr>
        <w:t>4.2 Resultados numéricos</w:t>
      </w:r>
    </w:p>
    <w:p w:rsidR="004B4415" w:rsidRPr="009F7136" w:rsidRDefault="004B4415" w:rsidP="004B4415">
      <w:pPr>
        <w:ind w:firstLine="600"/>
        <w:jc w:val="both"/>
        <w:rPr>
          <w:rFonts w:ascii="Arial" w:hAnsi="Arial" w:cs="Arial"/>
        </w:rPr>
      </w:pPr>
      <w:r w:rsidRPr="009F7136">
        <w:rPr>
          <w:rFonts w:ascii="Arial" w:hAnsi="Arial" w:cs="Arial"/>
        </w:rPr>
        <w:t xml:space="preserve">Los resultados preliminares utilizando la teoría </w:t>
      </w:r>
      <w:r>
        <w:rPr>
          <w:rFonts w:ascii="Arial" w:hAnsi="Arial" w:cs="Arial"/>
        </w:rPr>
        <w:t>de</w:t>
      </w:r>
      <w:r w:rsidRPr="009F7136">
        <w:rPr>
          <w:rFonts w:ascii="Arial" w:hAnsi="Arial" w:cs="Arial"/>
        </w:rPr>
        <w:t xml:space="preserve"> la secc</w:t>
      </w:r>
      <w:r>
        <w:rPr>
          <w:rFonts w:ascii="Arial" w:hAnsi="Arial" w:cs="Arial"/>
        </w:rPr>
        <w:t>ión anterior son los siguientes,</w:t>
      </w:r>
      <w:r w:rsidRPr="009F7136">
        <w:rPr>
          <w:rFonts w:ascii="Arial" w:hAnsi="Arial" w:cs="Arial"/>
        </w:rPr>
        <w:t xml:space="preserve"> </w:t>
      </w:r>
      <w:r>
        <w:rPr>
          <w:rFonts w:ascii="Arial" w:hAnsi="Arial" w:cs="Arial"/>
        </w:rPr>
        <w:t>p</w:t>
      </w:r>
      <w:r w:rsidRPr="009F7136">
        <w:rPr>
          <w:rFonts w:ascii="Arial" w:hAnsi="Arial" w:cs="Arial"/>
        </w:rPr>
        <w:t>ara un teléfono celular, con longitud de onda</w:t>
      </w:r>
      <w:r>
        <w:rPr>
          <w:rFonts w:ascii="Arial" w:hAnsi="Arial" w:cs="Arial"/>
        </w:rPr>
        <w:t xml:space="preserve"> </w:t>
      </w:r>
      <w:r w:rsidRPr="007B3EA9">
        <w:rPr>
          <w:position w:val="-6"/>
          <w:lang w:val="en-US"/>
        </w:rPr>
        <w:object w:dxaOrig="999" w:dyaOrig="279">
          <v:shape id="_x0000_i1268" type="#_x0000_t75" style="width:50.4pt;height:14.4pt" o:ole="">
            <v:imagedata r:id="rId647" o:title=""/>
          </v:shape>
          <o:OLEObject Type="Embed" ProgID="Equation.3" ShapeID="_x0000_i1268" DrawAspect="Content" ObjectID="_1660649365" r:id="rId648"/>
        </w:object>
      </w:r>
      <w:r w:rsidRPr="0080102F">
        <w:rPr>
          <w:rFonts w:ascii="Arial" w:hAnsi="Arial" w:cs="Arial"/>
        </w:rPr>
        <w:t>m</w:t>
      </w:r>
      <w:r w:rsidRPr="009F7136">
        <w:rPr>
          <w:rFonts w:ascii="Arial" w:hAnsi="Arial" w:cs="Arial"/>
        </w:rPr>
        <w:t xml:space="preserve">, frecuencia </w:t>
      </w:r>
      <w:r w:rsidRPr="007B3EA9">
        <w:rPr>
          <w:position w:val="-10"/>
          <w:lang w:val="en-US"/>
        </w:rPr>
        <w:object w:dxaOrig="1340" w:dyaOrig="320">
          <v:shape id="_x0000_i1269" type="#_x0000_t75" style="width:64.8pt;height:14.4pt" o:ole="">
            <v:imagedata r:id="rId649" o:title=""/>
          </v:shape>
          <o:OLEObject Type="Embed" ProgID="Equation.3" ShapeID="_x0000_i1269" DrawAspect="Content" ObjectID="_1660649366" r:id="rId650"/>
        </w:object>
      </w:r>
      <w:r w:rsidRPr="0080102F">
        <w:rPr>
          <w:rFonts w:ascii="Arial" w:hAnsi="Arial" w:cs="Arial"/>
        </w:rPr>
        <w:t>Hz</w:t>
      </w:r>
      <w:r w:rsidRPr="009F7136">
        <w:rPr>
          <w:rFonts w:ascii="Arial" w:hAnsi="Arial" w:cs="Arial"/>
        </w:rPr>
        <w:t xml:space="preserve"> y campo eléctrico</w:t>
      </w:r>
      <w:r>
        <w:rPr>
          <w:rFonts w:ascii="Arial" w:hAnsi="Arial" w:cs="Arial"/>
        </w:rPr>
        <w:t xml:space="preserve"> </w:t>
      </w:r>
      <w:r w:rsidRPr="007B3EA9">
        <w:rPr>
          <w:position w:val="-12"/>
          <w:lang w:val="en-US"/>
        </w:rPr>
        <w:object w:dxaOrig="1460" w:dyaOrig="380">
          <v:shape id="_x0000_i1270" type="#_x0000_t75" style="width:1in;height:21.6pt" o:ole="">
            <v:imagedata r:id="rId651" o:title=""/>
          </v:shape>
          <o:OLEObject Type="Embed" ProgID="Equation.3" ShapeID="_x0000_i1270" DrawAspect="Content" ObjectID="_1660649367" r:id="rId652"/>
        </w:object>
      </w:r>
      <w:r>
        <w:rPr>
          <w:i/>
        </w:rPr>
        <w:t xml:space="preserve"> </w:t>
      </w:r>
      <w:r w:rsidRPr="0080102F">
        <w:rPr>
          <w:rFonts w:ascii="Arial" w:hAnsi="Arial" w:cs="Arial"/>
        </w:rPr>
        <w:t>V/m</w:t>
      </w:r>
      <w:r w:rsidRPr="009F7136">
        <w:rPr>
          <w:rFonts w:ascii="Arial" w:hAnsi="Arial" w:cs="Arial"/>
        </w:rPr>
        <w:t xml:space="preserve">. La distancia desde la antena transmisora </w:t>
      </w:r>
      <w:r w:rsidRPr="009F7136">
        <w:rPr>
          <w:rFonts w:ascii="Arial" w:eastAsia="Arial Unicode MS" w:hAnsi="Arial Unicode MS" w:cs="Arial"/>
        </w:rPr>
        <w:t>​​</w:t>
      </w:r>
      <w:r w:rsidRPr="009F7136">
        <w:rPr>
          <w:rFonts w:ascii="Arial" w:hAnsi="Arial" w:cs="Arial"/>
        </w:rPr>
        <w:t xml:space="preserve">hasta la señal del receptor fue de </w:t>
      </w:r>
      <w:smartTag w:uri="urn:schemas-microsoft-com:office:smarttags" w:element="metricconverter">
        <w:smartTagPr>
          <w:attr w:name="ProductID" w:val="250 m"/>
        </w:smartTagPr>
        <w:r w:rsidRPr="009F7136">
          <w:rPr>
            <w:rFonts w:ascii="Arial" w:hAnsi="Arial" w:cs="Arial"/>
          </w:rPr>
          <w:t>250 m</w:t>
        </w:r>
      </w:smartTag>
      <w:r w:rsidRPr="009F7136">
        <w:rPr>
          <w:rFonts w:ascii="Arial" w:hAnsi="Arial" w:cs="Arial"/>
        </w:rPr>
        <w:t>, y se utilizó el área del tímpano</w:t>
      </w:r>
      <w:r>
        <w:rPr>
          <w:rFonts w:ascii="Arial" w:hAnsi="Arial" w:cs="Arial"/>
        </w:rPr>
        <w:t>,</w:t>
      </w:r>
      <w:r w:rsidRPr="009F7136">
        <w:rPr>
          <w:rFonts w:ascii="Arial" w:hAnsi="Arial" w:cs="Arial"/>
        </w:rPr>
        <w:t xml:space="preserve"> aproximadamente 43 </w:t>
      </w:r>
      <w:r w:rsidRPr="0080102F">
        <w:rPr>
          <w:rFonts w:ascii="Arial" w:hAnsi="Arial" w:cs="Arial"/>
        </w:rPr>
        <w:t>mm</w:t>
      </w:r>
      <w:r w:rsidRPr="0080102F">
        <w:rPr>
          <w:rFonts w:ascii="Arial" w:hAnsi="Arial" w:cs="Arial"/>
          <w:vertAlign w:val="superscript"/>
        </w:rPr>
        <w:t>2</w:t>
      </w:r>
      <w:r w:rsidRPr="009F7136">
        <w:rPr>
          <w:rFonts w:ascii="Arial" w:hAnsi="Arial" w:cs="Arial"/>
        </w:rPr>
        <w:t>. De (15) se obtuvo una potencia de salida como</w:t>
      </w:r>
      <w:r>
        <w:rPr>
          <w:rFonts w:ascii="Arial" w:hAnsi="Arial" w:cs="Arial"/>
        </w:rPr>
        <w:t xml:space="preserve"> </w:t>
      </w:r>
      <w:r w:rsidRPr="00C1486C">
        <w:rPr>
          <w:position w:val="-6"/>
          <w:lang w:val="en-US"/>
        </w:rPr>
        <w:object w:dxaOrig="1100" w:dyaOrig="320">
          <v:shape id="_x0000_i1271" type="#_x0000_t75" style="width:57.6pt;height:14.4pt" o:ole="">
            <v:imagedata r:id="rId653" o:title=""/>
          </v:shape>
          <o:OLEObject Type="Embed" ProgID="Equation.3" ShapeID="_x0000_i1271" DrawAspect="Content" ObjectID="_1660649368" r:id="rId654"/>
        </w:object>
      </w:r>
      <w:r w:rsidRPr="009F7136">
        <w:rPr>
          <w:rFonts w:ascii="Arial" w:hAnsi="Arial" w:cs="Arial"/>
        </w:rPr>
        <w:t xml:space="preserve"> </w:t>
      </w:r>
      <w:r w:rsidRPr="0080102F">
        <w:rPr>
          <w:rFonts w:ascii="Arial" w:hAnsi="Arial" w:cs="Arial"/>
        </w:rPr>
        <w:t>W /m</w:t>
      </w:r>
      <w:r w:rsidRPr="0080102F">
        <w:rPr>
          <w:rFonts w:ascii="Arial" w:hAnsi="Arial" w:cs="Arial"/>
          <w:vertAlign w:val="superscript"/>
        </w:rPr>
        <w:t>2</w:t>
      </w:r>
      <w:r w:rsidRPr="009F7136">
        <w:rPr>
          <w:rFonts w:ascii="Arial" w:hAnsi="Arial" w:cs="Arial"/>
        </w:rPr>
        <w:t xml:space="preserve">. Aunque este número parece muy pequeño, revisando los datos de la potencia umbral del oído que está cerca de </w:t>
      </w:r>
      <w:r w:rsidRPr="001425C4">
        <w:t>10</w:t>
      </w:r>
      <w:r w:rsidRPr="001425C4">
        <w:rPr>
          <w:vertAlign w:val="superscript"/>
        </w:rPr>
        <w:t>-10</w:t>
      </w:r>
      <w:r w:rsidRPr="009F7136">
        <w:rPr>
          <w:rFonts w:ascii="Arial" w:hAnsi="Arial" w:cs="Arial"/>
        </w:rPr>
        <w:t xml:space="preserve"> </w:t>
      </w:r>
      <w:r w:rsidRPr="001425C4">
        <w:rPr>
          <w:i/>
        </w:rPr>
        <w:t>W/m</w:t>
      </w:r>
      <w:r w:rsidRPr="001425C4">
        <w:rPr>
          <w:vertAlign w:val="superscript"/>
        </w:rPr>
        <w:t>2</w:t>
      </w:r>
      <w:r w:rsidRPr="009F7136">
        <w:rPr>
          <w:rFonts w:ascii="Arial" w:hAnsi="Arial" w:cs="Arial"/>
        </w:rPr>
        <w:t>. Este valor sugiere que es posible producir daños en el oído por ondas electromagnéticas, y es importante señalar que cuando se modifica la distancia del transmisor al receptor, aumenta el campo eléctrico.</w:t>
      </w:r>
      <w:r>
        <w:rPr>
          <w:rFonts w:ascii="Arial" w:hAnsi="Arial" w:cs="Arial"/>
        </w:rPr>
        <w:t xml:space="preserve"> </w:t>
      </w:r>
      <w:r w:rsidRPr="009F7136">
        <w:rPr>
          <w:rFonts w:ascii="Arial" w:hAnsi="Arial" w:cs="Arial"/>
        </w:rPr>
        <w:t xml:space="preserve">En </w:t>
      </w:r>
      <w:smartTag w:uri="urn:schemas-microsoft-com:office:smarttags" w:element="PersonName">
        <w:smartTagPr>
          <w:attr w:name="ProductID" w:val="la Tabla"/>
        </w:smartTagPr>
        <w:r w:rsidRPr="009F7136">
          <w:rPr>
            <w:rFonts w:ascii="Arial" w:hAnsi="Arial" w:cs="Arial"/>
          </w:rPr>
          <w:t>la Tabla</w:t>
        </w:r>
      </w:smartTag>
      <w:r w:rsidRPr="009F7136">
        <w:rPr>
          <w:rFonts w:ascii="Arial" w:hAnsi="Arial" w:cs="Arial"/>
        </w:rPr>
        <w:t xml:space="preserve"> 1, se muestran medidas del campo eléctrico de dos maneras: cuando el teléfono celular está en espera (primera columna) y cuando el teléfono celular está sonando. Por lo tanto, se puede apreciar la diferencia para la radiación de dos maneras, porque el cuerpo humano siempre está </w:t>
      </w:r>
      <w:r>
        <w:rPr>
          <w:rFonts w:ascii="Arial" w:hAnsi="Arial" w:cs="Arial"/>
        </w:rPr>
        <w:t>expuesto a la radiación. Además</w:t>
      </w:r>
      <w:r w:rsidRPr="009F7136">
        <w:rPr>
          <w:rFonts w:ascii="Arial" w:hAnsi="Arial" w:cs="Arial"/>
        </w:rPr>
        <w:t xml:space="preserve"> muestra los valores para la potencia de onda electromagnética ejercida la membrana timpánica. Como puede verse, el efecto no es insignificante con respecto al umbral </w:t>
      </w:r>
      <w:r>
        <w:rPr>
          <w:rFonts w:ascii="Arial" w:hAnsi="Arial" w:cs="Arial"/>
        </w:rPr>
        <w:t>de potencia</w:t>
      </w:r>
      <w:r w:rsidRPr="009F7136">
        <w:rPr>
          <w:rFonts w:ascii="Arial" w:hAnsi="Arial" w:cs="Arial"/>
        </w:rPr>
        <w:t>. Es importante señalar que estas medidas se realizaron con un dispositivo PCE-EM29, que tiene una buena precisión. Y también se señala que se deben realizar otras medidas con diferentes marcas de teléfonos celulares para poder realizar cálculos estadísticos. Y será necesario hacer encuestas a las personas que ya tienen problemas de audición, para determinar si el daño en las personas puede estar asociado con el uso excesivo del uso del teléfono celular.</w:t>
      </w:r>
    </w:p>
    <w:p w:rsidR="004B4415" w:rsidRPr="009F7136" w:rsidRDefault="004B4415" w:rsidP="004B4415">
      <w:pPr>
        <w:ind w:firstLine="600"/>
        <w:jc w:val="both"/>
        <w:rPr>
          <w:rFonts w:ascii="Arial" w:hAnsi="Arial" w:cs="Arial"/>
        </w:rPr>
      </w:pPr>
    </w:p>
    <w:p w:rsidR="004B4415" w:rsidRDefault="004B4415" w:rsidP="004B4415">
      <w:pPr>
        <w:spacing w:line="360" w:lineRule="auto"/>
        <w:ind w:firstLine="601"/>
        <w:jc w:val="center"/>
        <w:rPr>
          <w:rFonts w:ascii="Arial" w:hAnsi="Arial" w:cs="Arial"/>
          <w:i/>
        </w:rPr>
      </w:pPr>
      <w:r w:rsidRPr="00E43A38">
        <w:rPr>
          <w:rFonts w:ascii="Arial" w:hAnsi="Arial" w:cs="Arial"/>
          <w:i/>
        </w:rPr>
        <w:t>Tabla 1. Algunos valores de potencia emitidos por un teléfono celular</w:t>
      </w:r>
    </w:p>
    <w:tbl>
      <w:tblPr>
        <w:tblpPr w:leftFromText="141" w:rightFromText="141" w:vertAnchor="text" w:tblpXSpec="center" w:tblpY="1"/>
        <w:tblOverlap w:val="never"/>
        <w:tblW w:w="0" w:type="auto"/>
        <w:tblBorders>
          <w:top w:val="nil"/>
          <w:left w:val="nil"/>
          <w:bottom w:val="nil"/>
          <w:right w:val="nil"/>
        </w:tblBorders>
        <w:tblLook w:val="0000" w:firstRow="0" w:lastRow="0" w:firstColumn="0" w:lastColumn="0" w:noHBand="0" w:noVBand="0"/>
      </w:tblPr>
      <w:tblGrid>
        <w:gridCol w:w="1490"/>
        <w:gridCol w:w="3045"/>
        <w:gridCol w:w="1350"/>
        <w:gridCol w:w="1376"/>
      </w:tblGrid>
      <w:tr w:rsidR="004B4415" w:rsidRPr="003A50ED" w:rsidTr="00B81843">
        <w:trPr>
          <w:trHeight w:val="542"/>
        </w:trPr>
        <w:tc>
          <w:tcPr>
            <w:tcW w:w="1490" w:type="dxa"/>
          </w:tcPr>
          <w:p w:rsidR="004B4415" w:rsidRPr="00021FE1" w:rsidRDefault="004B4415" w:rsidP="00B81843">
            <w:pPr>
              <w:pStyle w:val="Default"/>
              <w:jc w:val="center"/>
              <w:rPr>
                <w:i/>
                <w:lang w:val="en-US"/>
              </w:rPr>
            </w:pPr>
            <w:r w:rsidRPr="00021FE1">
              <w:rPr>
                <w:i/>
                <w:lang w:val="en-US"/>
              </w:rPr>
              <w:t>E (V/m)</w:t>
            </w:r>
          </w:p>
          <w:p w:rsidR="004B4415" w:rsidRPr="00246381" w:rsidRDefault="004B4415" w:rsidP="00B81843">
            <w:pPr>
              <w:pStyle w:val="Default"/>
              <w:jc w:val="center"/>
              <w:rPr>
                <w:lang w:val="en-US"/>
              </w:rPr>
            </w:pPr>
            <w:r w:rsidRPr="00246381">
              <w:rPr>
                <w:lang w:val="en-US"/>
              </w:rPr>
              <w:t>Registro</w:t>
            </w:r>
          </w:p>
        </w:tc>
        <w:tc>
          <w:tcPr>
            <w:tcW w:w="3045" w:type="dxa"/>
          </w:tcPr>
          <w:p w:rsidR="004B4415" w:rsidRPr="004B4415" w:rsidRDefault="004B4415" w:rsidP="00B81843">
            <w:pPr>
              <w:pStyle w:val="Default"/>
              <w:jc w:val="center"/>
              <w:rPr>
                <w:i/>
              </w:rPr>
            </w:pPr>
            <w:r w:rsidRPr="004B4415">
              <w:rPr>
                <w:i/>
              </w:rPr>
              <w:t>E</w:t>
            </w:r>
            <w:r w:rsidRPr="004B4415">
              <w:rPr>
                <w:i/>
                <w:vertAlign w:val="subscript"/>
              </w:rPr>
              <w:t>1</w:t>
            </w:r>
            <w:r w:rsidRPr="004B4415">
              <w:rPr>
                <w:i/>
              </w:rPr>
              <w:t xml:space="preserve"> (V/m)</w:t>
            </w:r>
          </w:p>
          <w:p w:rsidR="004B4415" w:rsidRPr="004B4415" w:rsidRDefault="004B4415" w:rsidP="00B81843">
            <w:pPr>
              <w:pStyle w:val="Default"/>
              <w:jc w:val="center"/>
            </w:pPr>
            <w:r w:rsidRPr="004B4415">
              <w:t>Teléfono celular sonando</w:t>
            </w:r>
          </w:p>
        </w:tc>
        <w:tc>
          <w:tcPr>
            <w:tcW w:w="1350" w:type="dxa"/>
          </w:tcPr>
          <w:p w:rsidR="004B4415" w:rsidRPr="00021FE1" w:rsidRDefault="004B4415" w:rsidP="00B81843">
            <w:pPr>
              <w:pStyle w:val="Default"/>
              <w:jc w:val="center"/>
              <w:rPr>
                <w:vertAlign w:val="superscript"/>
              </w:rPr>
            </w:pPr>
            <w:r w:rsidRPr="00021FE1">
              <w:rPr>
                <w:i/>
              </w:rPr>
              <w:t>A (m</w:t>
            </w:r>
            <w:r w:rsidRPr="00021FE1">
              <w:rPr>
                <w:i/>
                <w:vertAlign w:val="superscript"/>
              </w:rPr>
              <w:t>2</w:t>
            </w:r>
            <w:r w:rsidRPr="00021FE1">
              <w:rPr>
                <w:i/>
              </w:rPr>
              <w:t>)</w:t>
            </w:r>
            <w:r>
              <w:t xml:space="preserve"> 10</w:t>
            </w:r>
            <w:r>
              <w:rPr>
                <w:vertAlign w:val="superscript"/>
              </w:rPr>
              <w:t>-6</w:t>
            </w:r>
          </w:p>
        </w:tc>
        <w:tc>
          <w:tcPr>
            <w:tcW w:w="1376" w:type="dxa"/>
          </w:tcPr>
          <w:p w:rsidR="004B4415" w:rsidRPr="00021FE1" w:rsidRDefault="004B4415" w:rsidP="00B81843">
            <w:pPr>
              <w:pStyle w:val="Default"/>
              <w:jc w:val="center"/>
              <w:rPr>
                <w:vertAlign w:val="superscript"/>
              </w:rPr>
            </w:pPr>
            <w:r w:rsidRPr="00021FE1">
              <w:rPr>
                <w:i/>
              </w:rPr>
              <w:t>P (W)</w:t>
            </w:r>
            <w:r w:rsidRPr="003A50ED">
              <w:t xml:space="preserve"> 10</w:t>
            </w:r>
            <w:r>
              <w:rPr>
                <w:vertAlign w:val="superscript"/>
              </w:rPr>
              <w:t>-10</w:t>
            </w:r>
          </w:p>
        </w:tc>
      </w:tr>
      <w:tr w:rsidR="004B4415" w:rsidRPr="003A50ED" w:rsidTr="00B81843">
        <w:trPr>
          <w:trHeight w:val="141"/>
        </w:trPr>
        <w:tc>
          <w:tcPr>
            <w:tcW w:w="1490" w:type="dxa"/>
          </w:tcPr>
          <w:p w:rsidR="004B4415" w:rsidRPr="003A50ED" w:rsidRDefault="004B4415" w:rsidP="00B81843">
            <w:pPr>
              <w:pStyle w:val="Default"/>
              <w:jc w:val="center"/>
            </w:pPr>
            <w:r w:rsidRPr="003A50ED">
              <w:t>672.6X10-3</w:t>
            </w:r>
          </w:p>
        </w:tc>
        <w:tc>
          <w:tcPr>
            <w:tcW w:w="3045" w:type="dxa"/>
          </w:tcPr>
          <w:p w:rsidR="004B4415" w:rsidRPr="003A50ED" w:rsidRDefault="004B4415" w:rsidP="00B81843">
            <w:pPr>
              <w:pStyle w:val="Default"/>
              <w:jc w:val="center"/>
            </w:pPr>
            <w:r w:rsidRPr="003A50ED">
              <w:t>6.21</w:t>
            </w:r>
          </w:p>
        </w:tc>
        <w:tc>
          <w:tcPr>
            <w:tcW w:w="1350" w:type="dxa"/>
          </w:tcPr>
          <w:p w:rsidR="004B4415" w:rsidRPr="003A50ED" w:rsidRDefault="004B4415" w:rsidP="00B81843">
            <w:pPr>
              <w:pStyle w:val="Default"/>
              <w:jc w:val="center"/>
            </w:pPr>
            <w:r w:rsidRPr="003A50ED">
              <w:t>43</w:t>
            </w:r>
          </w:p>
        </w:tc>
        <w:tc>
          <w:tcPr>
            <w:tcW w:w="1376" w:type="dxa"/>
          </w:tcPr>
          <w:p w:rsidR="004B4415" w:rsidRPr="003A50ED" w:rsidRDefault="004B4415" w:rsidP="00B81843">
            <w:pPr>
              <w:pStyle w:val="Default"/>
              <w:jc w:val="center"/>
            </w:pPr>
            <w:r w:rsidRPr="003A50ED">
              <w:t>220.1</w:t>
            </w:r>
          </w:p>
        </w:tc>
      </w:tr>
      <w:tr w:rsidR="004B4415" w:rsidRPr="003A50ED" w:rsidTr="00B81843">
        <w:trPr>
          <w:trHeight w:val="130"/>
        </w:trPr>
        <w:tc>
          <w:tcPr>
            <w:tcW w:w="1490" w:type="dxa"/>
          </w:tcPr>
          <w:p w:rsidR="004B4415" w:rsidRPr="003A50ED" w:rsidRDefault="004B4415" w:rsidP="00B81843">
            <w:pPr>
              <w:pStyle w:val="Default"/>
              <w:jc w:val="center"/>
            </w:pPr>
            <w:r w:rsidRPr="003A50ED">
              <w:t>1.84</w:t>
            </w:r>
          </w:p>
        </w:tc>
        <w:tc>
          <w:tcPr>
            <w:tcW w:w="3045" w:type="dxa"/>
          </w:tcPr>
          <w:p w:rsidR="004B4415" w:rsidRPr="003A50ED" w:rsidRDefault="004B4415" w:rsidP="00B81843">
            <w:pPr>
              <w:pStyle w:val="Default"/>
              <w:jc w:val="center"/>
            </w:pPr>
            <w:r w:rsidRPr="003A50ED">
              <w:t>5.153</w:t>
            </w:r>
          </w:p>
        </w:tc>
        <w:tc>
          <w:tcPr>
            <w:tcW w:w="1350" w:type="dxa"/>
          </w:tcPr>
          <w:p w:rsidR="004B4415" w:rsidRPr="003A50ED" w:rsidRDefault="004B4415" w:rsidP="00B81843">
            <w:pPr>
              <w:pStyle w:val="Default"/>
              <w:jc w:val="center"/>
            </w:pPr>
            <w:r w:rsidRPr="003A50ED">
              <w:t>43</w:t>
            </w:r>
          </w:p>
        </w:tc>
        <w:tc>
          <w:tcPr>
            <w:tcW w:w="1376" w:type="dxa"/>
          </w:tcPr>
          <w:p w:rsidR="004B4415" w:rsidRPr="003A50ED" w:rsidRDefault="004B4415" w:rsidP="00B81843">
            <w:pPr>
              <w:pStyle w:val="Default"/>
              <w:jc w:val="center"/>
            </w:pPr>
            <w:r w:rsidRPr="003A50ED">
              <w:t>151.5</w:t>
            </w:r>
          </w:p>
        </w:tc>
      </w:tr>
      <w:tr w:rsidR="004B4415" w:rsidRPr="003A50ED" w:rsidTr="00B81843">
        <w:trPr>
          <w:trHeight w:val="130"/>
        </w:trPr>
        <w:tc>
          <w:tcPr>
            <w:tcW w:w="1490" w:type="dxa"/>
          </w:tcPr>
          <w:p w:rsidR="004B4415" w:rsidRPr="003A50ED" w:rsidRDefault="004B4415" w:rsidP="00B81843">
            <w:pPr>
              <w:pStyle w:val="Default"/>
              <w:jc w:val="center"/>
            </w:pPr>
            <w:r w:rsidRPr="003A50ED">
              <w:t>405.5</w:t>
            </w:r>
          </w:p>
        </w:tc>
        <w:tc>
          <w:tcPr>
            <w:tcW w:w="3045" w:type="dxa"/>
          </w:tcPr>
          <w:p w:rsidR="004B4415" w:rsidRPr="003A50ED" w:rsidRDefault="004B4415" w:rsidP="00B81843">
            <w:pPr>
              <w:pStyle w:val="Default"/>
              <w:jc w:val="center"/>
            </w:pPr>
            <w:r w:rsidRPr="003A50ED">
              <w:t>16.73</w:t>
            </w:r>
          </w:p>
        </w:tc>
        <w:tc>
          <w:tcPr>
            <w:tcW w:w="1350" w:type="dxa"/>
          </w:tcPr>
          <w:p w:rsidR="004B4415" w:rsidRPr="003A50ED" w:rsidRDefault="004B4415" w:rsidP="00B81843">
            <w:pPr>
              <w:pStyle w:val="Default"/>
              <w:jc w:val="center"/>
            </w:pPr>
            <w:r w:rsidRPr="003A50ED">
              <w:t>43</w:t>
            </w:r>
          </w:p>
        </w:tc>
        <w:tc>
          <w:tcPr>
            <w:tcW w:w="1376" w:type="dxa"/>
          </w:tcPr>
          <w:p w:rsidR="004B4415" w:rsidRPr="003A50ED" w:rsidRDefault="004B4415" w:rsidP="00B81843">
            <w:pPr>
              <w:pStyle w:val="Default"/>
              <w:jc w:val="center"/>
            </w:pPr>
            <w:r w:rsidRPr="003A50ED">
              <w:t>159.76</w:t>
            </w:r>
          </w:p>
        </w:tc>
      </w:tr>
    </w:tbl>
    <w:p w:rsidR="004B4415" w:rsidRPr="00E43A38" w:rsidRDefault="004B4415" w:rsidP="004B4415">
      <w:pPr>
        <w:spacing w:line="360" w:lineRule="auto"/>
        <w:ind w:firstLine="601"/>
        <w:jc w:val="center"/>
        <w:rPr>
          <w:rFonts w:ascii="Arial" w:hAnsi="Arial" w:cs="Arial"/>
          <w:i/>
        </w:rPr>
      </w:pPr>
    </w:p>
    <w:p w:rsidR="004B4415" w:rsidRDefault="004B4415" w:rsidP="004B4415">
      <w:pPr>
        <w:jc w:val="both"/>
        <w:rPr>
          <w:rFonts w:ascii="Arial" w:hAnsi="Arial" w:cs="Arial"/>
          <w:b/>
        </w:rPr>
      </w:pPr>
    </w:p>
    <w:p w:rsidR="004B4415" w:rsidRDefault="004B4415" w:rsidP="004B4415">
      <w:pPr>
        <w:spacing w:line="360" w:lineRule="auto"/>
        <w:jc w:val="both"/>
        <w:rPr>
          <w:rFonts w:ascii="Arial" w:hAnsi="Arial" w:cs="Arial"/>
          <w:b/>
        </w:rPr>
      </w:pPr>
    </w:p>
    <w:p w:rsidR="004B4415" w:rsidRDefault="004B4415" w:rsidP="004B4415">
      <w:pPr>
        <w:spacing w:line="360" w:lineRule="auto"/>
        <w:jc w:val="both"/>
        <w:rPr>
          <w:rFonts w:ascii="Arial" w:hAnsi="Arial" w:cs="Arial"/>
          <w:b/>
        </w:rPr>
      </w:pPr>
    </w:p>
    <w:p w:rsidR="004B4415" w:rsidRDefault="004B4415" w:rsidP="004B4415">
      <w:pPr>
        <w:jc w:val="both"/>
        <w:rPr>
          <w:rFonts w:ascii="Arial" w:hAnsi="Arial" w:cs="Arial"/>
          <w:b/>
        </w:rPr>
      </w:pPr>
    </w:p>
    <w:p w:rsidR="004B4415" w:rsidRPr="00246381" w:rsidRDefault="004B4415" w:rsidP="004B4415">
      <w:pPr>
        <w:pStyle w:val="1Titulo"/>
        <w:numPr>
          <w:ilvl w:val="0"/>
          <w:numId w:val="0"/>
        </w:numPr>
        <w:ind w:left="357"/>
      </w:pPr>
      <w:bookmarkStart w:id="148" w:name="_Toc50031253"/>
      <w:r>
        <w:t>5. Conclusiones</w:t>
      </w:r>
      <w:bookmarkEnd w:id="148"/>
    </w:p>
    <w:p w:rsidR="004B4415" w:rsidRDefault="004B4415" w:rsidP="004B4415">
      <w:pPr>
        <w:ind w:firstLine="600"/>
        <w:jc w:val="both"/>
        <w:rPr>
          <w:rFonts w:ascii="Arial" w:hAnsi="Arial" w:cs="Arial"/>
        </w:rPr>
      </w:pPr>
      <w:r w:rsidRPr="009F7136">
        <w:rPr>
          <w:rFonts w:ascii="Arial" w:hAnsi="Arial" w:cs="Arial"/>
        </w:rPr>
        <w:t>En este documento, el objetivo principal era mostrar cómo el daño en las personas es posible haciendo un uso excesivo del teléfono celular. No es la forma principal de detectar daños en el sistema auditivo y otros órganos, como el cerebro o los tejidos. Además sería importante tomar medidas preventivas para evitar daños colaterales a mucha gente. Las pruebas con diferentes marcas de teléfonos celulares podrían dar mayor precisión en los resultados.</w:t>
      </w:r>
    </w:p>
    <w:p w:rsidR="004B4415" w:rsidRDefault="004B4415" w:rsidP="004B4415">
      <w:pPr>
        <w:ind w:firstLine="600"/>
        <w:jc w:val="both"/>
        <w:rPr>
          <w:rFonts w:ascii="Arial" w:hAnsi="Arial" w:cs="Arial"/>
        </w:rPr>
      </w:pPr>
    </w:p>
    <w:p w:rsidR="004B4415" w:rsidRPr="00FD05B8" w:rsidRDefault="004B4415" w:rsidP="004B4415">
      <w:pPr>
        <w:pStyle w:val="1Titulo"/>
        <w:numPr>
          <w:ilvl w:val="0"/>
          <w:numId w:val="0"/>
        </w:numPr>
        <w:ind w:left="357"/>
        <w:rPr>
          <w:lang w:val="en-US"/>
        </w:rPr>
      </w:pPr>
      <w:bookmarkStart w:id="149" w:name="_Toc50031254"/>
      <w:r w:rsidRPr="00FD05B8">
        <w:rPr>
          <w:lang w:val="en-US"/>
        </w:rPr>
        <w:t>6. Bibliografía</w:t>
      </w:r>
      <w:bookmarkEnd w:id="149"/>
    </w:p>
    <w:p w:rsidR="004B4415" w:rsidRPr="00246381" w:rsidRDefault="004B4415" w:rsidP="00FF1F2D">
      <w:pPr>
        <w:rPr>
          <w:lang w:val="en-US"/>
        </w:rPr>
      </w:pPr>
      <w:r w:rsidRPr="00246381">
        <w:rPr>
          <w:lang w:val="en-US"/>
        </w:rPr>
        <w:t>1</w:t>
      </w:r>
      <w:r>
        <w:rPr>
          <w:lang w:val="en-US"/>
        </w:rPr>
        <w:t xml:space="preserve">.  </w:t>
      </w:r>
      <w:r w:rsidRPr="00246381">
        <w:rPr>
          <w:lang w:val="en-US"/>
        </w:rPr>
        <w:t>Kip</w:t>
      </w:r>
      <w:r>
        <w:rPr>
          <w:lang w:val="en-US"/>
        </w:rPr>
        <w:t xml:space="preserve">, </w:t>
      </w:r>
      <w:r w:rsidRPr="00246381">
        <w:rPr>
          <w:lang w:val="en-US"/>
        </w:rPr>
        <w:t>A.T.</w:t>
      </w:r>
      <w:r>
        <w:rPr>
          <w:lang w:val="en-US"/>
        </w:rPr>
        <w:t>,</w:t>
      </w:r>
      <w:r w:rsidRPr="00246381">
        <w:rPr>
          <w:lang w:val="en-US"/>
        </w:rPr>
        <w:t xml:space="preserve"> </w:t>
      </w:r>
      <w:r w:rsidRPr="00A277A4">
        <w:rPr>
          <w:lang w:val="en-US"/>
        </w:rPr>
        <w:t>Fundamentals of Electricity end Magnetism</w:t>
      </w:r>
      <w:r>
        <w:rPr>
          <w:lang w:val="en-US"/>
        </w:rPr>
        <w:t>, Ch</w:t>
      </w:r>
      <w:r w:rsidRPr="00246381">
        <w:rPr>
          <w:lang w:val="en-US"/>
        </w:rPr>
        <w:t>ap</w:t>
      </w:r>
      <w:r>
        <w:rPr>
          <w:lang w:val="en-US"/>
        </w:rPr>
        <w:t>ter 12.</w:t>
      </w:r>
      <w:r w:rsidRPr="00246381">
        <w:rPr>
          <w:lang w:val="en-US"/>
        </w:rPr>
        <w:t xml:space="preserve"> McGraw-Hill, </w:t>
      </w:r>
      <w:r>
        <w:rPr>
          <w:lang w:val="en-US"/>
        </w:rPr>
        <w:t>1969.</w:t>
      </w:r>
      <w:r w:rsidRPr="00246381">
        <w:rPr>
          <w:lang w:val="en-US"/>
        </w:rPr>
        <w:t xml:space="preserve"> </w:t>
      </w:r>
    </w:p>
    <w:p w:rsidR="004B4415" w:rsidRPr="00246381" w:rsidRDefault="004B4415" w:rsidP="00FF1F2D">
      <w:pPr>
        <w:rPr>
          <w:lang w:val="en-US"/>
        </w:rPr>
      </w:pPr>
      <w:r w:rsidRPr="00246381">
        <w:rPr>
          <w:lang w:val="en-US"/>
        </w:rPr>
        <w:t>2</w:t>
      </w:r>
      <w:r>
        <w:rPr>
          <w:lang w:val="en-US"/>
        </w:rPr>
        <w:t>.</w:t>
      </w:r>
      <w:r w:rsidRPr="00246381">
        <w:rPr>
          <w:lang w:val="en-US"/>
        </w:rPr>
        <w:t xml:space="preserve">  M. Alonso</w:t>
      </w:r>
      <w:r>
        <w:rPr>
          <w:lang w:val="en-US"/>
        </w:rPr>
        <w:t>, M., Finn, E.J.,</w:t>
      </w:r>
      <w:r w:rsidRPr="00A277A4">
        <w:rPr>
          <w:lang w:val="en-US"/>
        </w:rPr>
        <w:t xml:space="preserve"> Fundamental University Physics, Volume II,</w:t>
      </w:r>
      <w:r w:rsidRPr="00246381">
        <w:rPr>
          <w:i/>
          <w:lang w:val="en-US"/>
        </w:rPr>
        <w:t xml:space="preserve"> </w:t>
      </w:r>
      <w:r w:rsidRPr="00A277A4">
        <w:rPr>
          <w:lang w:val="en-US"/>
        </w:rPr>
        <w:t xml:space="preserve">Fields and </w:t>
      </w:r>
      <w:r>
        <w:rPr>
          <w:lang w:val="en-US"/>
        </w:rPr>
        <w:t xml:space="preserve">   </w:t>
      </w:r>
      <w:r w:rsidRPr="00A277A4">
        <w:rPr>
          <w:lang w:val="en-US"/>
        </w:rPr>
        <w:t>waves</w:t>
      </w:r>
      <w:r>
        <w:rPr>
          <w:lang w:val="en-US"/>
        </w:rPr>
        <w:t>, Ch</w:t>
      </w:r>
      <w:r w:rsidRPr="00246381">
        <w:rPr>
          <w:lang w:val="en-US"/>
        </w:rPr>
        <w:t>ap</w:t>
      </w:r>
      <w:r>
        <w:rPr>
          <w:lang w:val="en-US"/>
        </w:rPr>
        <w:t>ter</w:t>
      </w:r>
      <w:r w:rsidRPr="00246381">
        <w:rPr>
          <w:lang w:val="en-US"/>
        </w:rPr>
        <w:t>s. 17, 19. Addison-Weslley Pub.</w:t>
      </w:r>
      <w:r>
        <w:rPr>
          <w:lang w:val="en-US"/>
        </w:rPr>
        <w:t>,</w:t>
      </w:r>
      <w:r w:rsidRPr="00246381">
        <w:rPr>
          <w:lang w:val="en-US"/>
        </w:rPr>
        <w:t xml:space="preserve"> 1967.</w:t>
      </w:r>
    </w:p>
    <w:p w:rsidR="004B4415" w:rsidRPr="00246381" w:rsidRDefault="004B4415" w:rsidP="00FF1F2D">
      <w:pPr>
        <w:rPr>
          <w:rFonts w:ascii="Arial" w:hAnsi="Arial" w:cs="Arial"/>
          <w:lang w:val="it-IT"/>
        </w:rPr>
      </w:pPr>
      <w:r w:rsidRPr="00246381">
        <w:rPr>
          <w:rFonts w:ascii="Arial" w:hAnsi="Arial" w:cs="Arial"/>
          <w:lang w:val="en-US"/>
        </w:rPr>
        <w:t>3</w:t>
      </w:r>
      <w:r>
        <w:rPr>
          <w:rFonts w:ascii="Arial" w:hAnsi="Arial" w:cs="Arial"/>
          <w:lang w:val="en-US"/>
        </w:rPr>
        <w:t xml:space="preserve">.  </w:t>
      </w:r>
      <w:r w:rsidRPr="00246381">
        <w:rPr>
          <w:rFonts w:ascii="Arial" w:hAnsi="Arial" w:cs="Arial"/>
          <w:lang w:val="en-US"/>
        </w:rPr>
        <w:t>Westerman</w:t>
      </w:r>
      <w:r>
        <w:rPr>
          <w:rFonts w:ascii="Arial" w:hAnsi="Arial" w:cs="Arial"/>
          <w:lang w:val="en-US"/>
        </w:rPr>
        <w:t>, R.,</w:t>
      </w:r>
      <w:r w:rsidRPr="00246381">
        <w:rPr>
          <w:rFonts w:ascii="Arial" w:hAnsi="Arial" w:cs="Arial"/>
          <w:lang w:val="en-US"/>
        </w:rPr>
        <w:t xml:space="preserve"> Hocking</w:t>
      </w:r>
      <w:r>
        <w:rPr>
          <w:rFonts w:ascii="Arial" w:hAnsi="Arial" w:cs="Arial"/>
          <w:lang w:val="en-US"/>
        </w:rPr>
        <w:t>, B.,</w:t>
      </w:r>
      <w:r w:rsidRPr="00246381">
        <w:rPr>
          <w:rFonts w:ascii="Arial" w:hAnsi="Arial" w:cs="Arial"/>
          <w:lang w:val="en-US"/>
        </w:rPr>
        <w:t xml:space="preserve"> Diseases of modern living: neurological changes associated with mobile phones and radi</w:t>
      </w:r>
      <w:r>
        <w:rPr>
          <w:rFonts w:ascii="Arial" w:hAnsi="Arial" w:cs="Arial"/>
          <w:lang w:val="en-US"/>
        </w:rPr>
        <w:t xml:space="preserve">ofrequency radiation in humans, </w:t>
      </w:r>
      <w:r w:rsidRPr="0020250D">
        <w:rPr>
          <w:rFonts w:ascii="Arial" w:hAnsi="Arial" w:cs="Arial"/>
          <w:lang w:val="en-US"/>
        </w:rPr>
        <w:t xml:space="preserve">Neuroscience Letters. </w:t>
      </w:r>
      <w:r>
        <w:rPr>
          <w:rFonts w:ascii="Arial" w:hAnsi="Arial" w:cs="Arial"/>
          <w:lang w:val="it-IT"/>
        </w:rPr>
        <w:t>V.</w:t>
      </w:r>
      <w:r w:rsidRPr="00246381">
        <w:rPr>
          <w:rFonts w:ascii="Arial" w:hAnsi="Arial" w:cs="Arial"/>
          <w:lang w:val="it-IT"/>
        </w:rPr>
        <w:t xml:space="preserve"> 361</w:t>
      </w:r>
      <w:r>
        <w:rPr>
          <w:rFonts w:ascii="Arial" w:hAnsi="Arial" w:cs="Arial"/>
          <w:lang w:val="it-IT"/>
        </w:rPr>
        <w:t>,</w:t>
      </w:r>
      <w:r w:rsidRPr="00246381">
        <w:rPr>
          <w:rFonts w:ascii="Arial" w:hAnsi="Arial" w:cs="Arial"/>
          <w:lang w:val="it-IT"/>
        </w:rPr>
        <w:t xml:space="preserve"> 13–16</w:t>
      </w:r>
      <w:r>
        <w:rPr>
          <w:rFonts w:ascii="Arial" w:hAnsi="Arial" w:cs="Arial"/>
          <w:lang w:val="it-IT"/>
        </w:rPr>
        <w:t xml:space="preserve"> </w:t>
      </w:r>
      <w:r w:rsidRPr="00246381">
        <w:rPr>
          <w:rFonts w:ascii="Arial" w:hAnsi="Arial" w:cs="Arial"/>
          <w:lang w:val="it-IT"/>
        </w:rPr>
        <w:t>(2004).</w:t>
      </w:r>
    </w:p>
    <w:p w:rsidR="004B4415" w:rsidRPr="00246381" w:rsidRDefault="004B4415" w:rsidP="00FF1F2D">
      <w:pPr>
        <w:rPr>
          <w:rFonts w:ascii="Arial" w:hAnsi="Arial" w:cs="Arial"/>
          <w:lang w:val="en-US"/>
        </w:rPr>
      </w:pPr>
      <w:r w:rsidRPr="002C157A">
        <w:rPr>
          <w:rFonts w:ascii="Arial" w:hAnsi="Arial" w:cs="Arial"/>
          <w:lang w:val="it-IT"/>
        </w:rPr>
        <w:t>4.</w:t>
      </w:r>
      <w:r>
        <w:rPr>
          <w:rFonts w:ascii="Arial" w:hAnsi="Arial" w:cs="Arial"/>
          <w:lang w:val="it-IT"/>
        </w:rPr>
        <w:t xml:space="preserve">  </w:t>
      </w:r>
      <w:r w:rsidRPr="002C157A">
        <w:rPr>
          <w:rFonts w:ascii="Arial" w:hAnsi="Arial" w:cs="Arial"/>
          <w:lang w:val="it-IT"/>
        </w:rPr>
        <w:t>Cipresso,</w:t>
      </w:r>
      <w:r>
        <w:rPr>
          <w:rFonts w:ascii="Arial" w:hAnsi="Arial" w:cs="Arial"/>
          <w:lang w:val="it-IT"/>
        </w:rPr>
        <w:t xml:space="preserve"> P., </w:t>
      </w:r>
      <w:r w:rsidRPr="002C157A">
        <w:rPr>
          <w:rFonts w:ascii="Arial" w:hAnsi="Arial" w:cs="Arial"/>
          <w:lang w:val="it-IT"/>
        </w:rPr>
        <w:t>Serino,</w:t>
      </w:r>
      <w:r>
        <w:rPr>
          <w:rFonts w:ascii="Arial" w:hAnsi="Arial" w:cs="Arial"/>
          <w:lang w:val="it-IT"/>
        </w:rPr>
        <w:t xml:space="preserve"> S., </w:t>
      </w:r>
      <w:r w:rsidRPr="002C157A">
        <w:rPr>
          <w:rFonts w:ascii="Arial" w:hAnsi="Arial" w:cs="Arial"/>
          <w:lang w:val="it-IT"/>
        </w:rPr>
        <w:t>Villani,</w:t>
      </w:r>
      <w:r>
        <w:rPr>
          <w:rFonts w:ascii="Arial" w:hAnsi="Arial" w:cs="Arial"/>
          <w:lang w:val="it-IT"/>
        </w:rPr>
        <w:t xml:space="preserve"> D.,</w:t>
      </w:r>
      <w:r w:rsidRPr="002C157A">
        <w:rPr>
          <w:rFonts w:ascii="Arial" w:hAnsi="Arial" w:cs="Arial"/>
          <w:lang w:val="it-IT"/>
        </w:rPr>
        <w:t xml:space="preserve"> Repetto,</w:t>
      </w:r>
      <w:r>
        <w:rPr>
          <w:rFonts w:ascii="Arial" w:hAnsi="Arial" w:cs="Arial"/>
          <w:lang w:val="it-IT"/>
        </w:rPr>
        <w:t xml:space="preserve"> C., </w:t>
      </w:r>
      <w:r w:rsidRPr="002C157A">
        <w:rPr>
          <w:rFonts w:ascii="Arial" w:hAnsi="Arial" w:cs="Arial"/>
          <w:lang w:val="it-IT"/>
        </w:rPr>
        <w:t>Sellitti,</w:t>
      </w:r>
      <w:r>
        <w:rPr>
          <w:rFonts w:ascii="Arial" w:hAnsi="Arial" w:cs="Arial"/>
          <w:lang w:val="it-IT"/>
        </w:rPr>
        <w:t xml:space="preserve"> L., </w:t>
      </w:r>
      <w:r w:rsidRPr="002C157A">
        <w:rPr>
          <w:rFonts w:ascii="Arial" w:hAnsi="Arial" w:cs="Arial"/>
          <w:lang w:val="it-IT"/>
        </w:rPr>
        <w:t>Albani,</w:t>
      </w:r>
      <w:r>
        <w:rPr>
          <w:rFonts w:ascii="Arial" w:hAnsi="Arial" w:cs="Arial"/>
          <w:lang w:val="it-IT"/>
        </w:rPr>
        <w:t xml:space="preserve"> G.,</w:t>
      </w:r>
      <w:r w:rsidRPr="002C157A">
        <w:rPr>
          <w:rFonts w:ascii="Arial" w:hAnsi="Arial" w:cs="Arial"/>
          <w:lang w:val="it-IT"/>
        </w:rPr>
        <w:t xml:space="preserve"> Mauro, A.</w:t>
      </w:r>
      <w:r>
        <w:rPr>
          <w:rFonts w:ascii="Arial" w:hAnsi="Arial" w:cs="Arial"/>
          <w:lang w:val="it-IT"/>
        </w:rPr>
        <w:t>,</w:t>
      </w:r>
      <w:r w:rsidRPr="002C157A">
        <w:rPr>
          <w:rFonts w:ascii="Arial" w:hAnsi="Arial" w:cs="Arial"/>
          <w:lang w:val="it-IT"/>
        </w:rPr>
        <w:t xml:space="preserve"> Gaggioli,</w:t>
      </w:r>
      <w:r>
        <w:rPr>
          <w:rFonts w:ascii="Arial" w:hAnsi="Arial" w:cs="Arial"/>
          <w:lang w:val="it-IT"/>
        </w:rPr>
        <w:t xml:space="preserve"> A., Riva, G.</w:t>
      </w:r>
      <w:r w:rsidRPr="002C157A">
        <w:rPr>
          <w:rFonts w:ascii="Arial" w:hAnsi="Arial" w:cs="Arial"/>
          <w:lang w:val="it-IT"/>
        </w:rPr>
        <w:t xml:space="preserve"> Is your phone so smart to affect your state? </w:t>
      </w:r>
      <w:r w:rsidRPr="00246381">
        <w:rPr>
          <w:rFonts w:ascii="Arial" w:hAnsi="Arial" w:cs="Arial"/>
          <w:lang w:val="en-US"/>
        </w:rPr>
        <w:t xml:space="preserve">An exploratory study based </w:t>
      </w:r>
      <w:r>
        <w:rPr>
          <w:rFonts w:ascii="Arial" w:hAnsi="Arial" w:cs="Arial"/>
          <w:lang w:val="en-US"/>
        </w:rPr>
        <w:t>on psychophysiological measures,</w:t>
      </w:r>
      <w:r w:rsidRPr="00246381">
        <w:rPr>
          <w:rFonts w:ascii="Arial" w:hAnsi="Arial" w:cs="Arial"/>
          <w:lang w:val="en-US"/>
        </w:rPr>
        <w:t xml:space="preserve"> Neurocomputing</w:t>
      </w:r>
      <w:r>
        <w:rPr>
          <w:rFonts w:ascii="Arial" w:hAnsi="Arial" w:cs="Arial"/>
          <w:lang w:val="en-US"/>
        </w:rPr>
        <w:t>. V.</w:t>
      </w:r>
      <w:r w:rsidRPr="00246381">
        <w:rPr>
          <w:rFonts w:ascii="Arial" w:hAnsi="Arial" w:cs="Arial"/>
          <w:lang w:val="en-US"/>
        </w:rPr>
        <w:t xml:space="preserve"> 84</w:t>
      </w:r>
      <w:r>
        <w:rPr>
          <w:rFonts w:ascii="Arial" w:hAnsi="Arial" w:cs="Arial"/>
          <w:lang w:val="en-US"/>
        </w:rPr>
        <w:t>,</w:t>
      </w:r>
      <w:r w:rsidRPr="00246381">
        <w:rPr>
          <w:rFonts w:ascii="Arial" w:hAnsi="Arial" w:cs="Arial"/>
          <w:lang w:val="en-US"/>
        </w:rPr>
        <w:t xml:space="preserve">  23–30</w:t>
      </w:r>
      <w:r>
        <w:rPr>
          <w:rFonts w:ascii="Arial" w:hAnsi="Arial" w:cs="Arial"/>
          <w:lang w:val="en-US"/>
        </w:rPr>
        <w:t xml:space="preserve"> </w:t>
      </w:r>
      <w:r w:rsidRPr="00246381">
        <w:rPr>
          <w:rFonts w:ascii="Arial" w:hAnsi="Arial" w:cs="Arial"/>
          <w:lang w:val="en-US"/>
        </w:rPr>
        <w:t>(2012).</w:t>
      </w:r>
    </w:p>
    <w:p w:rsidR="004B4415" w:rsidRDefault="004B4415" w:rsidP="00FF1F2D">
      <w:pPr>
        <w:rPr>
          <w:rFonts w:ascii="Arial" w:hAnsi="Arial" w:cs="Arial"/>
          <w:lang w:val="en-US"/>
        </w:rPr>
      </w:pPr>
      <w:r w:rsidRPr="00246381">
        <w:rPr>
          <w:rFonts w:ascii="Arial" w:hAnsi="Arial" w:cs="Arial"/>
          <w:lang w:val="en-US"/>
        </w:rPr>
        <w:t>5</w:t>
      </w:r>
      <w:r>
        <w:rPr>
          <w:rFonts w:ascii="Arial" w:hAnsi="Arial" w:cs="Arial"/>
          <w:lang w:val="en-US"/>
        </w:rPr>
        <w:t xml:space="preserve">.   </w:t>
      </w:r>
      <w:r w:rsidRPr="00246381">
        <w:rPr>
          <w:rFonts w:ascii="Arial" w:hAnsi="Arial" w:cs="Arial"/>
          <w:lang w:val="en-US"/>
        </w:rPr>
        <w:t>Gultekina</w:t>
      </w:r>
      <w:r>
        <w:rPr>
          <w:rFonts w:ascii="Arial" w:hAnsi="Arial" w:cs="Arial"/>
          <w:lang w:val="en-US"/>
        </w:rPr>
        <w:t xml:space="preserve">, </w:t>
      </w:r>
      <w:r w:rsidRPr="00246381">
        <w:rPr>
          <w:rFonts w:ascii="Arial" w:hAnsi="Arial" w:cs="Arial"/>
          <w:lang w:val="en-US"/>
        </w:rPr>
        <w:t>D. H.</w:t>
      </w:r>
      <w:r>
        <w:rPr>
          <w:rFonts w:ascii="Arial" w:hAnsi="Arial" w:cs="Arial"/>
          <w:lang w:val="en-US"/>
        </w:rPr>
        <w:t>, Moellerc, L.,</w:t>
      </w:r>
      <w:r w:rsidRPr="00246381">
        <w:rPr>
          <w:rFonts w:ascii="Arial" w:hAnsi="Arial" w:cs="Arial"/>
          <w:lang w:val="en-US"/>
        </w:rPr>
        <w:t xml:space="preserve"> NMR imaging of cell phone radia</w:t>
      </w:r>
      <w:r>
        <w:rPr>
          <w:rFonts w:ascii="Arial" w:hAnsi="Arial" w:cs="Arial"/>
          <w:lang w:val="en-US"/>
        </w:rPr>
        <w:t>tion absorption in brain tissue,</w:t>
      </w:r>
      <w:r w:rsidRPr="00246381">
        <w:rPr>
          <w:rFonts w:ascii="Arial" w:hAnsi="Arial" w:cs="Arial"/>
          <w:lang w:val="en-US"/>
        </w:rPr>
        <w:t xml:space="preserve"> </w:t>
      </w:r>
      <w:r>
        <w:rPr>
          <w:rFonts w:ascii="Arial" w:hAnsi="Arial" w:cs="Arial"/>
          <w:lang w:val="en-US"/>
        </w:rPr>
        <w:t xml:space="preserve">PNAS. V. </w:t>
      </w:r>
      <w:r w:rsidRPr="00246381">
        <w:rPr>
          <w:rStyle w:val="btext"/>
          <w:rFonts w:ascii="Arial" w:hAnsi="Arial" w:cs="Arial"/>
          <w:bdr w:val="none" w:sz="0" w:space="0" w:color="auto" w:frame="1"/>
          <w:lang w:val="en-US"/>
        </w:rPr>
        <w:t>110 [1]</w:t>
      </w:r>
      <w:r>
        <w:rPr>
          <w:rStyle w:val="btext"/>
          <w:rFonts w:ascii="Arial" w:hAnsi="Arial" w:cs="Arial"/>
          <w:bdr w:val="none" w:sz="0" w:space="0" w:color="auto" w:frame="1"/>
          <w:lang w:val="en-US"/>
        </w:rPr>
        <w:t>, 58-63</w:t>
      </w:r>
      <w:r w:rsidRPr="00246381">
        <w:rPr>
          <w:rFonts w:ascii="Arial" w:hAnsi="Arial" w:cs="Arial"/>
          <w:lang w:val="en-US"/>
        </w:rPr>
        <w:t xml:space="preserve"> </w:t>
      </w:r>
      <w:r>
        <w:rPr>
          <w:rFonts w:ascii="Arial" w:hAnsi="Arial" w:cs="Arial"/>
          <w:lang w:val="en-US"/>
        </w:rPr>
        <w:t>(2013).</w:t>
      </w:r>
    </w:p>
    <w:p w:rsidR="004B4415" w:rsidRPr="00246381" w:rsidRDefault="004B4415" w:rsidP="00FF1F2D">
      <w:pPr>
        <w:rPr>
          <w:rFonts w:ascii="Arial" w:hAnsi="Arial" w:cs="Arial"/>
          <w:lang w:val="en-US"/>
        </w:rPr>
      </w:pPr>
      <w:r w:rsidRPr="00246381">
        <w:rPr>
          <w:rFonts w:ascii="Arial" w:hAnsi="Arial" w:cs="Arial"/>
          <w:lang w:val="en-US"/>
        </w:rPr>
        <w:t>6</w:t>
      </w:r>
      <w:r>
        <w:rPr>
          <w:rFonts w:ascii="Arial" w:hAnsi="Arial" w:cs="Arial"/>
          <w:lang w:val="en-US"/>
        </w:rPr>
        <w:t>.</w:t>
      </w:r>
      <w:r w:rsidRPr="00246381">
        <w:rPr>
          <w:rFonts w:ascii="Arial" w:hAnsi="Arial" w:cs="Arial"/>
          <w:lang w:val="en-US"/>
        </w:rPr>
        <w:t xml:space="preserve">  </w:t>
      </w:r>
      <w:r>
        <w:rPr>
          <w:rFonts w:ascii="Arial" w:eastAsia="AdvGulliv-R" w:hAnsi="Arial" w:cs="Arial"/>
          <w:lang w:val="en-US"/>
        </w:rPr>
        <w:t xml:space="preserve">  </w:t>
      </w:r>
      <w:r w:rsidRPr="00246381">
        <w:rPr>
          <w:rFonts w:ascii="Arial" w:eastAsia="AdvGulliv-R" w:hAnsi="Arial" w:cs="Arial"/>
          <w:lang w:val="en-US"/>
        </w:rPr>
        <w:t>Lee,</w:t>
      </w:r>
      <w:r>
        <w:rPr>
          <w:rFonts w:ascii="Arial" w:eastAsia="AdvGulliv-R" w:hAnsi="Arial" w:cs="Arial"/>
          <w:lang w:val="en-US"/>
        </w:rPr>
        <w:t xml:space="preserve"> Y.K., </w:t>
      </w:r>
      <w:r w:rsidRPr="00246381">
        <w:rPr>
          <w:rFonts w:ascii="Arial" w:eastAsia="AdvGulliv-R" w:hAnsi="Arial" w:cs="Arial"/>
          <w:lang w:val="en-US"/>
        </w:rPr>
        <w:t>Chang,</w:t>
      </w:r>
      <w:r>
        <w:rPr>
          <w:rFonts w:ascii="Arial" w:eastAsia="AdvGulliv-R" w:hAnsi="Arial" w:cs="Arial"/>
          <w:lang w:val="en-US"/>
        </w:rPr>
        <w:t xml:space="preserve"> Ch.T., </w:t>
      </w:r>
      <w:r w:rsidRPr="00246381">
        <w:rPr>
          <w:rFonts w:ascii="Arial" w:eastAsia="AdvGulliv-R" w:hAnsi="Arial" w:cs="Arial"/>
          <w:lang w:val="en-US"/>
        </w:rPr>
        <w:t>Lin,</w:t>
      </w:r>
      <w:r>
        <w:rPr>
          <w:rFonts w:ascii="Arial" w:eastAsia="AdvGulliv-R" w:hAnsi="Arial" w:cs="Arial"/>
          <w:lang w:val="en-US"/>
        </w:rPr>
        <w:t xml:space="preserve"> Y., </w:t>
      </w:r>
      <w:r w:rsidRPr="00246381">
        <w:rPr>
          <w:rFonts w:ascii="Arial" w:eastAsia="AdvGulliv-R" w:hAnsi="Arial" w:cs="Arial"/>
          <w:lang w:val="en-US"/>
        </w:rPr>
        <w:t>Cheng,</w:t>
      </w:r>
      <w:r>
        <w:rPr>
          <w:rFonts w:ascii="Arial" w:eastAsia="AdvGulliv-R" w:hAnsi="Arial" w:cs="Arial"/>
          <w:lang w:val="en-US"/>
        </w:rPr>
        <w:t xml:space="preserve"> Z.H.,</w:t>
      </w:r>
      <w:r w:rsidRPr="00246381">
        <w:rPr>
          <w:rFonts w:ascii="Arial" w:hAnsi="Arial" w:cs="Arial"/>
          <w:lang w:val="en-US"/>
        </w:rPr>
        <w:t xml:space="preserve"> The dark side of smartphone usage: Psychological traits, compulsive behavior and techno stress</w:t>
      </w:r>
      <w:r>
        <w:rPr>
          <w:rFonts w:ascii="Arial" w:hAnsi="Arial" w:cs="Arial"/>
          <w:lang w:val="en-US"/>
        </w:rPr>
        <w:t>,</w:t>
      </w:r>
      <w:r w:rsidRPr="00246381">
        <w:rPr>
          <w:rFonts w:ascii="Arial" w:hAnsi="Arial" w:cs="Arial"/>
          <w:lang w:val="en-US"/>
        </w:rPr>
        <w:t xml:space="preserve"> Computers in Human Behavior</w:t>
      </w:r>
      <w:r>
        <w:rPr>
          <w:rFonts w:ascii="Arial" w:hAnsi="Arial" w:cs="Arial"/>
          <w:lang w:val="en-US"/>
        </w:rPr>
        <w:t>. V.</w:t>
      </w:r>
      <w:r w:rsidRPr="00246381">
        <w:rPr>
          <w:rFonts w:ascii="Arial" w:hAnsi="Arial" w:cs="Arial"/>
          <w:lang w:val="en-US"/>
        </w:rPr>
        <w:t xml:space="preserve"> 31</w:t>
      </w:r>
      <w:r>
        <w:rPr>
          <w:rFonts w:ascii="Arial" w:hAnsi="Arial" w:cs="Arial"/>
          <w:lang w:val="en-US"/>
        </w:rPr>
        <w:t>,</w:t>
      </w:r>
      <w:r w:rsidRPr="00246381">
        <w:rPr>
          <w:rFonts w:ascii="Arial" w:hAnsi="Arial" w:cs="Arial"/>
          <w:lang w:val="en-US"/>
        </w:rPr>
        <w:t xml:space="preserve"> 373–383</w:t>
      </w:r>
      <w:r>
        <w:rPr>
          <w:rFonts w:ascii="Arial" w:hAnsi="Arial" w:cs="Arial"/>
          <w:lang w:val="en-US"/>
        </w:rPr>
        <w:t xml:space="preserve"> </w:t>
      </w:r>
      <w:r w:rsidRPr="00246381">
        <w:rPr>
          <w:rFonts w:ascii="Arial" w:hAnsi="Arial" w:cs="Arial"/>
          <w:lang w:val="en-US"/>
        </w:rPr>
        <w:t>(2014).</w:t>
      </w:r>
    </w:p>
    <w:p w:rsidR="004B4415" w:rsidRPr="00246381" w:rsidRDefault="004B4415" w:rsidP="00FF1F2D">
      <w:pPr>
        <w:rPr>
          <w:rFonts w:ascii="Arial" w:hAnsi="Arial" w:cs="Arial"/>
          <w:lang w:val="en-US"/>
        </w:rPr>
      </w:pPr>
      <w:r w:rsidRPr="00246381">
        <w:rPr>
          <w:rFonts w:ascii="Arial" w:hAnsi="Arial" w:cs="Arial"/>
          <w:lang w:val="en-US"/>
        </w:rPr>
        <w:t>7</w:t>
      </w:r>
      <w:r>
        <w:rPr>
          <w:rFonts w:ascii="Arial" w:hAnsi="Arial" w:cs="Arial"/>
          <w:lang w:val="en-US"/>
        </w:rPr>
        <w:t>.</w:t>
      </w:r>
      <w:r w:rsidRPr="00246381">
        <w:rPr>
          <w:rFonts w:ascii="Arial" w:hAnsi="Arial" w:cs="Arial"/>
          <w:lang w:val="en-US"/>
        </w:rPr>
        <w:t xml:space="preserve">  </w:t>
      </w:r>
      <w:r>
        <w:rPr>
          <w:rFonts w:ascii="Arial" w:hAnsi="Arial" w:cs="Arial"/>
          <w:lang w:val="en-US"/>
        </w:rPr>
        <w:t xml:space="preserve"> </w:t>
      </w:r>
      <w:r w:rsidRPr="00246381">
        <w:rPr>
          <w:rFonts w:ascii="Arial" w:hAnsi="Arial" w:cs="Arial"/>
          <w:lang w:val="en-US"/>
        </w:rPr>
        <w:t>Sahin,</w:t>
      </w:r>
      <w:r>
        <w:rPr>
          <w:rFonts w:ascii="Arial" w:hAnsi="Arial" w:cs="Arial"/>
          <w:lang w:val="en-US"/>
        </w:rPr>
        <w:t xml:space="preserve"> A., </w:t>
      </w:r>
      <w:r w:rsidRPr="00246381">
        <w:rPr>
          <w:rFonts w:ascii="Arial" w:hAnsi="Arial" w:cs="Arial"/>
          <w:lang w:val="en-US"/>
        </w:rPr>
        <w:t>Aslan,</w:t>
      </w:r>
      <w:r>
        <w:rPr>
          <w:rFonts w:ascii="Arial" w:hAnsi="Arial" w:cs="Arial"/>
          <w:lang w:val="en-US"/>
        </w:rPr>
        <w:t xml:space="preserve"> A., </w:t>
      </w:r>
      <w:r w:rsidRPr="00246381">
        <w:rPr>
          <w:rFonts w:ascii="Arial" w:hAnsi="Arial" w:cs="Arial"/>
          <w:lang w:val="en-US"/>
        </w:rPr>
        <w:t>Bas,</w:t>
      </w:r>
      <w:r>
        <w:rPr>
          <w:rFonts w:ascii="Arial" w:hAnsi="Arial" w:cs="Arial"/>
          <w:lang w:val="en-US"/>
        </w:rPr>
        <w:t xml:space="preserve"> O.,</w:t>
      </w:r>
      <w:r w:rsidRPr="00246381">
        <w:rPr>
          <w:rFonts w:ascii="Arial" w:hAnsi="Arial" w:cs="Arial"/>
          <w:lang w:val="en-US"/>
        </w:rPr>
        <w:t xml:space="preserve"> Ikinci,</w:t>
      </w:r>
      <w:r>
        <w:rPr>
          <w:rFonts w:ascii="Arial" w:hAnsi="Arial" w:cs="Arial"/>
          <w:lang w:val="en-US"/>
        </w:rPr>
        <w:t xml:space="preserve"> A., </w:t>
      </w:r>
      <w:r w:rsidRPr="00246381">
        <w:rPr>
          <w:rFonts w:ascii="Arial" w:hAnsi="Arial" w:cs="Arial"/>
          <w:lang w:val="en-US"/>
        </w:rPr>
        <w:t>Özyılmaz,</w:t>
      </w:r>
      <w:r>
        <w:rPr>
          <w:rFonts w:ascii="Arial" w:hAnsi="Arial" w:cs="Arial"/>
          <w:lang w:val="en-US"/>
        </w:rPr>
        <w:t xml:space="preserve"> C., </w:t>
      </w:r>
      <w:r w:rsidRPr="00246381">
        <w:rPr>
          <w:rFonts w:ascii="Arial" w:hAnsi="Arial" w:cs="Arial"/>
          <w:lang w:val="en-US"/>
        </w:rPr>
        <w:t>Sönmez,</w:t>
      </w:r>
      <w:r>
        <w:rPr>
          <w:rFonts w:ascii="Arial" w:hAnsi="Arial" w:cs="Arial"/>
          <w:lang w:val="en-US"/>
        </w:rPr>
        <w:t xml:space="preserve"> O.F., </w:t>
      </w:r>
      <w:r w:rsidRPr="00246381">
        <w:rPr>
          <w:rFonts w:ascii="Arial" w:hAnsi="Arial" w:cs="Arial"/>
          <w:lang w:val="en-US"/>
        </w:rPr>
        <w:t>Colakoglu,</w:t>
      </w:r>
      <w:r>
        <w:rPr>
          <w:rFonts w:ascii="Arial" w:hAnsi="Arial" w:cs="Arial"/>
          <w:lang w:val="en-US"/>
        </w:rPr>
        <w:t xml:space="preserve"> S., </w:t>
      </w:r>
      <w:r w:rsidRPr="00246381">
        <w:rPr>
          <w:rFonts w:ascii="Arial" w:hAnsi="Arial" w:cs="Arial"/>
          <w:lang w:val="en-US"/>
        </w:rPr>
        <w:t>Odacı.</w:t>
      </w:r>
      <w:r>
        <w:rPr>
          <w:rFonts w:ascii="Arial" w:hAnsi="Arial" w:cs="Arial"/>
          <w:lang w:val="en-US"/>
        </w:rPr>
        <w:t xml:space="preserve"> E.,</w:t>
      </w:r>
      <w:r w:rsidRPr="00246381">
        <w:rPr>
          <w:rFonts w:ascii="Arial" w:hAnsi="Arial" w:cs="Arial"/>
          <w:lang w:val="en-US"/>
        </w:rPr>
        <w:t xml:space="preserve"> Deleterious impacts of a 900-MHz electromagnetic field on hippocampal pyramidal neurons of 8-wee</w:t>
      </w:r>
      <w:r>
        <w:rPr>
          <w:rFonts w:ascii="Arial" w:hAnsi="Arial" w:cs="Arial"/>
          <w:lang w:val="en-US"/>
        </w:rPr>
        <w:t>k- old Sprague Dawley male rats,</w:t>
      </w:r>
      <w:r w:rsidRPr="00246381">
        <w:rPr>
          <w:rFonts w:ascii="Arial" w:hAnsi="Arial" w:cs="Arial"/>
          <w:lang w:val="en-US"/>
        </w:rPr>
        <w:t xml:space="preserve">  Brain  Research</w:t>
      </w:r>
      <w:r>
        <w:rPr>
          <w:rFonts w:ascii="Arial" w:hAnsi="Arial" w:cs="Arial"/>
          <w:lang w:val="en-US"/>
        </w:rPr>
        <w:t>,</w:t>
      </w:r>
      <w:r w:rsidRPr="00246381">
        <w:rPr>
          <w:rFonts w:ascii="Arial" w:hAnsi="Arial" w:cs="Arial"/>
          <w:lang w:val="en-US"/>
        </w:rPr>
        <w:t xml:space="preserve"> </w:t>
      </w:r>
      <w:r>
        <w:rPr>
          <w:rFonts w:ascii="Arial" w:hAnsi="Arial" w:cs="Arial"/>
          <w:lang w:val="en-US"/>
        </w:rPr>
        <w:t xml:space="preserve">V. </w:t>
      </w:r>
      <w:r w:rsidRPr="00246381">
        <w:rPr>
          <w:rFonts w:ascii="Arial" w:hAnsi="Arial" w:cs="Arial"/>
          <w:lang w:val="en-US"/>
        </w:rPr>
        <w:t>1624</w:t>
      </w:r>
      <w:r>
        <w:rPr>
          <w:rFonts w:ascii="Arial" w:hAnsi="Arial" w:cs="Arial"/>
          <w:lang w:val="en-US"/>
        </w:rPr>
        <w:t>,</w:t>
      </w:r>
      <w:r w:rsidRPr="00246381">
        <w:rPr>
          <w:rFonts w:ascii="Arial" w:hAnsi="Arial" w:cs="Arial"/>
          <w:lang w:val="en-US"/>
        </w:rPr>
        <w:t xml:space="preserve"> 232–238</w:t>
      </w:r>
      <w:r>
        <w:rPr>
          <w:rFonts w:ascii="Arial" w:hAnsi="Arial" w:cs="Arial"/>
          <w:lang w:val="en-US"/>
        </w:rPr>
        <w:t xml:space="preserve"> </w:t>
      </w:r>
      <w:r w:rsidRPr="00246381">
        <w:rPr>
          <w:rFonts w:ascii="Arial" w:hAnsi="Arial" w:cs="Arial"/>
          <w:lang w:val="en-US"/>
        </w:rPr>
        <w:t>(2015).</w:t>
      </w:r>
    </w:p>
    <w:p w:rsidR="00FD05B8" w:rsidRPr="00652FB2" w:rsidRDefault="00FD05B8" w:rsidP="00ED0A7E">
      <w:pPr>
        <w:pStyle w:val="1Titulo"/>
        <w:numPr>
          <w:ilvl w:val="0"/>
          <w:numId w:val="0"/>
        </w:numPr>
        <w:ind w:left="357"/>
        <w:jc w:val="center"/>
        <w:rPr>
          <w:szCs w:val="28"/>
          <w:lang w:val="en-US"/>
        </w:rPr>
      </w:pPr>
      <w:bookmarkStart w:id="150" w:name="_Toc50031255"/>
      <w:r w:rsidRPr="00652FB2">
        <w:rPr>
          <w:lang w:val="en-US"/>
        </w:rPr>
        <w:lastRenderedPageBreak/>
        <w:t>SiO</w:t>
      </w:r>
      <w:r w:rsidRPr="00652FB2">
        <w:rPr>
          <w:vertAlign w:val="subscript"/>
          <w:lang w:val="en-US"/>
        </w:rPr>
        <w:t>2</w:t>
      </w:r>
      <w:r w:rsidRPr="00652FB2">
        <w:rPr>
          <w:lang w:val="en-US"/>
        </w:rPr>
        <w:t>-Based Styrene Emulsion Polymerization: In Search of a Pickering Emulsion</w:t>
      </w:r>
      <w:bookmarkEnd w:id="150"/>
    </w:p>
    <w:p w:rsidR="00FD05B8" w:rsidRPr="0038439C" w:rsidRDefault="00FD05B8" w:rsidP="00FD05B8">
      <w:pPr>
        <w:jc w:val="center"/>
        <w:rPr>
          <w:color w:val="000000"/>
          <w:sz w:val="28"/>
          <w:szCs w:val="28"/>
          <w:lang w:val="en-US"/>
        </w:rPr>
      </w:pPr>
    </w:p>
    <w:p w:rsidR="00FD05B8" w:rsidRPr="009336EA" w:rsidRDefault="00FD05B8" w:rsidP="00FD05B8">
      <w:pPr>
        <w:rPr>
          <w:rFonts w:ascii="Arial" w:eastAsia="Times New Roman" w:hAnsi="Arial" w:cs="Arial"/>
        </w:rPr>
      </w:pPr>
      <w:r w:rsidRPr="009336EA">
        <w:rPr>
          <w:rFonts w:ascii="Arial" w:eastAsia="Times New Roman" w:hAnsi="Arial" w:cs="Arial"/>
        </w:rPr>
        <w:t>Solís-López</w:t>
      </w:r>
      <w:r>
        <w:rPr>
          <w:rFonts w:ascii="Arial" w:eastAsia="Times New Roman" w:hAnsi="Arial" w:cs="Arial"/>
        </w:rPr>
        <w:t xml:space="preserve"> M</w:t>
      </w:r>
      <w:r w:rsidRPr="009336EA">
        <w:rPr>
          <w:rFonts w:ascii="Arial" w:eastAsia="Times New Roman" w:hAnsi="Arial" w:cs="Arial"/>
        </w:rPr>
        <w:t>,</w:t>
      </w:r>
      <w:r w:rsidRPr="009336EA">
        <w:rPr>
          <w:rFonts w:ascii="Arial" w:eastAsia="Times New Roman" w:hAnsi="Arial" w:cs="Arial"/>
          <w:vertAlign w:val="superscript"/>
        </w:rPr>
        <w:t xml:space="preserve"> 1</w:t>
      </w:r>
      <w:r w:rsidRPr="009336EA">
        <w:rPr>
          <w:rFonts w:ascii="Arial" w:eastAsia="Times New Roman" w:hAnsi="Arial" w:cs="Arial"/>
        </w:rPr>
        <w:t xml:space="preserve"> Puente-Lee</w:t>
      </w:r>
      <w:r>
        <w:rPr>
          <w:rFonts w:ascii="Arial" w:eastAsia="Times New Roman" w:hAnsi="Arial" w:cs="Arial"/>
        </w:rPr>
        <w:t xml:space="preserve"> I</w:t>
      </w:r>
      <w:r w:rsidRPr="009336EA">
        <w:rPr>
          <w:rFonts w:ascii="Arial" w:eastAsia="Times New Roman" w:hAnsi="Arial" w:cs="Arial"/>
        </w:rPr>
        <w:t>,</w:t>
      </w:r>
      <w:r w:rsidRPr="009336EA">
        <w:rPr>
          <w:rFonts w:ascii="Arial" w:eastAsia="Times New Roman" w:hAnsi="Arial" w:cs="Arial"/>
          <w:vertAlign w:val="superscript"/>
        </w:rPr>
        <w:t>1</w:t>
      </w:r>
      <w:r w:rsidRPr="009336EA">
        <w:rPr>
          <w:rFonts w:ascii="Arial" w:eastAsia="Times New Roman" w:hAnsi="Arial" w:cs="Arial"/>
        </w:rPr>
        <w:t xml:space="preserve"> Fouconnier</w:t>
      </w:r>
      <w:r>
        <w:rPr>
          <w:rFonts w:ascii="Arial" w:eastAsia="Times New Roman" w:hAnsi="Arial" w:cs="Arial"/>
        </w:rPr>
        <w:t xml:space="preserve"> B,</w:t>
      </w:r>
      <w:r>
        <w:rPr>
          <w:rFonts w:ascii="Arial" w:eastAsia="Times New Roman" w:hAnsi="Arial" w:cs="Arial"/>
          <w:vertAlign w:val="superscript"/>
        </w:rPr>
        <w:t>2</w:t>
      </w:r>
      <w:r w:rsidRPr="009336EA">
        <w:rPr>
          <w:rFonts w:ascii="Arial" w:eastAsia="Times New Roman" w:hAnsi="Arial" w:cs="Arial"/>
        </w:rPr>
        <w:t xml:space="preserve"> </w:t>
      </w:r>
      <w:r w:rsidRPr="009336EA">
        <w:rPr>
          <w:rFonts w:ascii="Arial" w:eastAsia="Times New Roman" w:hAnsi="Arial" w:cs="Arial"/>
          <w:u w:val="single"/>
        </w:rPr>
        <w:t>López- Serrano F</w:t>
      </w:r>
      <w:r w:rsidRPr="009336EA">
        <w:rPr>
          <w:rFonts w:ascii="Arial" w:eastAsia="Times New Roman" w:hAnsi="Arial" w:cs="Arial"/>
        </w:rPr>
        <w:t>,</w:t>
      </w:r>
      <w:r w:rsidRPr="009336EA">
        <w:rPr>
          <w:rFonts w:ascii="Arial" w:eastAsia="Times New Roman" w:hAnsi="Arial" w:cs="Arial"/>
          <w:vertAlign w:val="superscript"/>
        </w:rPr>
        <w:t>1</w:t>
      </w:r>
    </w:p>
    <w:p w:rsidR="00FD05B8" w:rsidRDefault="00FD05B8" w:rsidP="00FD05B8">
      <w:pPr>
        <w:pStyle w:val="Author"/>
        <w:rPr>
          <w:rFonts w:ascii="Arial" w:hAnsi="Arial" w:cs="Arial"/>
          <w:szCs w:val="24"/>
          <w:lang w:val="es-ES"/>
        </w:rPr>
      </w:pPr>
    </w:p>
    <w:p w:rsidR="00FD05B8" w:rsidRPr="009336EA" w:rsidRDefault="00FD05B8" w:rsidP="00FD05B8">
      <w:pPr>
        <w:rPr>
          <w:rFonts w:ascii="Arial" w:eastAsia="Times New Roman" w:hAnsi="Arial" w:cs="Arial"/>
        </w:rPr>
      </w:pPr>
      <w:r w:rsidRPr="009336EA">
        <w:rPr>
          <w:rFonts w:ascii="Arial" w:eastAsia="Times New Roman" w:hAnsi="Arial" w:cs="Arial"/>
          <w:vertAlign w:val="superscript"/>
        </w:rPr>
        <w:t>1</w:t>
      </w:r>
      <w:r w:rsidRPr="009336EA">
        <w:rPr>
          <w:rFonts w:ascii="Arial" w:eastAsia="Times New Roman" w:hAnsi="Arial" w:cs="Arial"/>
        </w:rPr>
        <w:t>Departamento de Ingeniería Química, Facultad de Química, Universidad Nacional Autónoma de México. Ciudad Universitaria. Cd. Mx. 04510. México</w:t>
      </w:r>
    </w:p>
    <w:p w:rsidR="00FD05B8" w:rsidRPr="009336EA" w:rsidRDefault="00FD05B8" w:rsidP="00FD05B8">
      <w:pPr>
        <w:rPr>
          <w:rFonts w:ascii="Arial" w:eastAsia="Times New Roman" w:hAnsi="Arial" w:cs="Arial"/>
        </w:rPr>
      </w:pPr>
      <w:r w:rsidRPr="009336EA">
        <w:rPr>
          <w:rFonts w:ascii="Arial" w:eastAsia="Times New Roman" w:hAnsi="Arial" w:cs="Arial"/>
          <w:vertAlign w:val="superscript"/>
        </w:rPr>
        <w:t>2</w:t>
      </w:r>
      <w:r w:rsidRPr="009336EA">
        <w:rPr>
          <w:rFonts w:ascii="Arial" w:eastAsia="Times New Roman" w:hAnsi="Arial" w:cs="Arial"/>
        </w:rPr>
        <w:t>Facultad de Ciencias Químicas, Universidad Veracruzana. Av. Universidad Veracruzana Km. 7.5, Col. Santa Isabel. Coatzacoalcos, Veracruz, 96538. México</w:t>
      </w:r>
    </w:p>
    <w:p w:rsidR="00FD05B8" w:rsidRDefault="001345E4" w:rsidP="00FD05B8">
      <w:pPr>
        <w:pStyle w:val="affiliation"/>
        <w:rPr>
          <w:rFonts w:ascii="Arial" w:hAnsi="Arial" w:cs="Arial"/>
          <w:sz w:val="24"/>
          <w:szCs w:val="24"/>
          <w:lang w:val="es-ES"/>
        </w:rPr>
      </w:pPr>
      <w:hyperlink r:id="rId655" w:history="1">
        <w:r w:rsidR="00FD05B8" w:rsidRPr="00417ABA">
          <w:rPr>
            <w:rStyle w:val="Hipervnculo"/>
            <w:rFonts w:ascii="Arial" w:hAnsi="Arial" w:cs="Arial"/>
            <w:sz w:val="24"/>
            <w:szCs w:val="24"/>
            <w:lang w:val="es-ES"/>
          </w:rPr>
          <w:t>maricruzsolislopez@gmail.com</w:t>
        </w:r>
      </w:hyperlink>
      <w:r w:rsidR="00FD05B8">
        <w:rPr>
          <w:rFonts w:ascii="Arial" w:hAnsi="Arial" w:cs="Arial"/>
          <w:sz w:val="24"/>
          <w:szCs w:val="24"/>
          <w:lang w:val="es-ES"/>
        </w:rPr>
        <w:t xml:space="preserve">; </w:t>
      </w:r>
      <w:hyperlink r:id="rId656" w:history="1">
        <w:r w:rsidR="00FD05B8" w:rsidRPr="00417ABA">
          <w:rPr>
            <w:rStyle w:val="Hipervnculo"/>
            <w:rFonts w:ascii="Arial" w:hAnsi="Arial" w:cs="Arial"/>
            <w:sz w:val="24"/>
            <w:szCs w:val="24"/>
            <w:lang w:val="es-ES"/>
          </w:rPr>
          <w:t>ipl@unam.mx</w:t>
        </w:r>
      </w:hyperlink>
      <w:r w:rsidR="00FD05B8">
        <w:rPr>
          <w:rFonts w:ascii="Arial" w:hAnsi="Arial" w:cs="Arial"/>
          <w:sz w:val="24"/>
          <w:szCs w:val="24"/>
          <w:lang w:val="es-ES"/>
        </w:rPr>
        <w:t xml:space="preserve">; </w:t>
      </w:r>
      <w:hyperlink r:id="rId657" w:history="1">
        <w:r w:rsidR="00FD05B8" w:rsidRPr="00417ABA">
          <w:rPr>
            <w:rStyle w:val="Hipervnculo"/>
            <w:rFonts w:ascii="Arial" w:hAnsi="Arial" w:cs="Arial"/>
            <w:sz w:val="24"/>
            <w:szCs w:val="24"/>
            <w:lang w:val="es-ES"/>
          </w:rPr>
          <w:t>broger@uv.mx</w:t>
        </w:r>
      </w:hyperlink>
      <w:r w:rsidR="00FD05B8">
        <w:rPr>
          <w:rFonts w:ascii="Arial" w:hAnsi="Arial" w:cs="Arial"/>
          <w:sz w:val="24"/>
          <w:szCs w:val="24"/>
          <w:lang w:val="es-ES"/>
        </w:rPr>
        <w:t xml:space="preserve">; </w:t>
      </w:r>
      <w:hyperlink r:id="rId658" w:history="1">
        <w:r w:rsidR="00FD05B8" w:rsidRPr="00417ABA">
          <w:rPr>
            <w:rStyle w:val="Hipervnculo"/>
            <w:rFonts w:ascii="Arial" w:hAnsi="Arial" w:cs="Arial"/>
            <w:sz w:val="24"/>
            <w:szCs w:val="24"/>
            <w:lang w:val="es-ES"/>
          </w:rPr>
          <w:t>lopezserrano@unam.mx</w:t>
        </w:r>
      </w:hyperlink>
    </w:p>
    <w:p w:rsidR="00FD05B8" w:rsidRDefault="00FD05B8" w:rsidP="00FD05B8">
      <w:pPr>
        <w:pStyle w:val="affiliation"/>
        <w:rPr>
          <w:rFonts w:ascii="Arial" w:hAnsi="Arial" w:cs="Arial"/>
          <w:sz w:val="24"/>
          <w:szCs w:val="24"/>
          <w:lang w:val="es-ES"/>
        </w:rPr>
      </w:pPr>
    </w:p>
    <w:p w:rsidR="00FD05B8" w:rsidRPr="00FF1F2D" w:rsidRDefault="00FD05B8" w:rsidP="00ED0A7E">
      <w:pPr>
        <w:pStyle w:val="1Titulo"/>
        <w:numPr>
          <w:ilvl w:val="0"/>
          <w:numId w:val="0"/>
        </w:numPr>
        <w:ind w:left="357"/>
        <w:rPr>
          <w:lang w:val="en-US"/>
        </w:rPr>
      </w:pPr>
      <w:bookmarkStart w:id="151" w:name="_Toc50031256"/>
      <w:r w:rsidRPr="00FF1F2D">
        <w:rPr>
          <w:lang w:val="en-US"/>
        </w:rPr>
        <w:t>1. Abstract</w:t>
      </w:r>
      <w:bookmarkEnd w:id="151"/>
      <w:r w:rsidRPr="00FF1F2D">
        <w:rPr>
          <w:lang w:val="en-US"/>
        </w:rPr>
        <w:t xml:space="preserve"> </w:t>
      </w:r>
    </w:p>
    <w:p w:rsidR="00FD05B8" w:rsidRPr="0087686C" w:rsidRDefault="00FD05B8" w:rsidP="00FD05B8">
      <w:pPr>
        <w:pStyle w:val="HTMLconformatoprevio"/>
        <w:shd w:val="clear" w:color="auto" w:fill="FFFFFF"/>
        <w:jc w:val="both"/>
        <w:rPr>
          <w:rFonts w:ascii="Arial" w:hAnsi="Arial" w:cs="Arial"/>
          <w:color w:val="000000"/>
          <w:sz w:val="24"/>
          <w:szCs w:val="24"/>
          <w:lang w:val="en-US"/>
        </w:rPr>
      </w:pPr>
      <w:r w:rsidRPr="0087686C">
        <w:rPr>
          <w:rFonts w:ascii="Arial" w:hAnsi="Arial" w:cs="Arial"/>
          <w:sz w:val="24"/>
          <w:szCs w:val="24"/>
          <w:lang w:val="en-US"/>
        </w:rPr>
        <w:t xml:space="preserve">In this work, </w:t>
      </w:r>
      <w:r>
        <w:rPr>
          <w:rFonts w:ascii="Arial" w:hAnsi="Arial" w:cs="Arial"/>
          <w:sz w:val="24"/>
          <w:szCs w:val="24"/>
          <w:lang w:val="en-US"/>
        </w:rPr>
        <w:t>t</w:t>
      </w:r>
      <w:r w:rsidRPr="0087686C">
        <w:rPr>
          <w:rFonts w:ascii="Arial" w:hAnsi="Arial" w:cs="Arial"/>
          <w:sz w:val="24"/>
          <w:szCs w:val="24"/>
          <w:lang w:val="en-US"/>
        </w:rPr>
        <w:t xml:space="preserve">he effects of several co-aids, considered as </w:t>
      </w:r>
      <w:r w:rsidRPr="0087686C">
        <w:rPr>
          <w:rFonts w:ascii="Arial" w:hAnsi="Arial" w:cs="Arial"/>
          <w:color w:val="000000"/>
          <w:sz w:val="24"/>
          <w:szCs w:val="24"/>
          <w:lang w:val="en-US"/>
        </w:rPr>
        <w:t xml:space="preserve">modifying agents to vary the compatibility </w:t>
      </w:r>
      <w:r w:rsidRPr="0087686C">
        <w:rPr>
          <w:rFonts w:ascii="Arial" w:hAnsi="Arial" w:cs="Arial"/>
          <w:sz w:val="24"/>
          <w:szCs w:val="24"/>
          <w:lang w:val="en-US"/>
        </w:rPr>
        <w:t xml:space="preserve">of colloidal silica (Ludox AM) </w:t>
      </w:r>
      <w:r w:rsidRPr="0087686C">
        <w:rPr>
          <w:rFonts w:ascii="Arial" w:hAnsi="Arial" w:cs="Arial"/>
          <w:color w:val="000000"/>
          <w:sz w:val="24"/>
          <w:szCs w:val="24"/>
          <w:lang w:val="en-US"/>
        </w:rPr>
        <w:t>between the monomer/polymer</w:t>
      </w:r>
      <w:r>
        <w:rPr>
          <w:rFonts w:ascii="Arial" w:hAnsi="Arial" w:cs="Arial"/>
          <w:color w:val="000000"/>
          <w:sz w:val="24"/>
          <w:szCs w:val="24"/>
          <w:lang w:val="en-US"/>
        </w:rPr>
        <w:t>/silica</w:t>
      </w:r>
      <w:r w:rsidRPr="0087686C">
        <w:rPr>
          <w:rFonts w:ascii="Arial" w:hAnsi="Arial" w:cs="Arial"/>
          <w:color w:val="000000"/>
          <w:sz w:val="24"/>
          <w:szCs w:val="24"/>
          <w:lang w:val="en-US"/>
        </w:rPr>
        <w:t xml:space="preserve"> interface during the emulsion polymerization, are evaluated. </w:t>
      </w:r>
      <w:r w:rsidRPr="0087686C">
        <w:rPr>
          <w:rFonts w:ascii="Arial" w:hAnsi="Arial" w:cs="Arial"/>
          <w:sz w:val="24"/>
          <w:szCs w:val="24"/>
          <w:lang w:val="en-US"/>
        </w:rPr>
        <w:t xml:space="preserve"> Sodium vinyl benzene sulfonate (VBS), 4-vinyl </w:t>
      </w:r>
      <w:r w:rsidRPr="0087686C">
        <w:rPr>
          <w:rFonts w:ascii="Arial" w:hAnsi="Arial" w:cs="Arial"/>
          <w:color w:val="000000"/>
          <w:sz w:val="24"/>
          <w:szCs w:val="24"/>
          <w:lang w:val="en-US"/>
        </w:rPr>
        <w:t>pyridine (4VP), poly(ethylene glycol) methyl ether methacrylate (PEGMA) and cetyltrimethylammonium bromide (CTAB) surfactant, are appraised</w:t>
      </w:r>
      <w:r w:rsidRPr="00002815">
        <w:rPr>
          <w:rFonts w:ascii="Arial" w:hAnsi="Arial" w:cs="Arial"/>
          <w:sz w:val="24"/>
          <w:szCs w:val="24"/>
          <w:lang w:val="en-US"/>
        </w:rPr>
        <w:t>, being styrene (STY) the main monomer and ammonium persulfate (APS) the initiator.</w:t>
      </w:r>
      <w:r w:rsidRPr="0087686C">
        <w:rPr>
          <w:rFonts w:ascii="Arial" w:hAnsi="Arial" w:cs="Arial"/>
          <w:color w:val="000000"/>
          <w:sz w:val="24"/>
          <w:szCs w:val="24"/>
          <w:lang w:val="en-US"/>
        </w:rPr>
        <w:t xml:space="preserve"> The obtained emulsions range from bare, </w:t>
      </w:r>
      <w:r w:rsidRPr="0087686C">
        <w:rPr>
          <w:rFonts w:ascii="Arial" w:hAnsi="Arial" w:cs="Arial"/>
          <w:sz w:val="24"/>
          <w:szCs w:val="24"/>
          <w:lang w:val="en-US"/>
        </w:rPr>
        <w:t>hybrid</w:t>
      </w:r>
      <w:r w:rsidRPr="0087686C">
        <w:rPr>
          <w:rFonts w:ascii="Arial" w:hAnsi="Arial" w:cs="Arial"/>
          <w:color w:val="000000"/>
          <w:sz w:val="24"/>
          <w:szCs w:val="24"/>
          <w:lang w:val="en-US"/>
        </w:rPr>
        <w:t xml:space="preserve"> encapsulated and </w:t>
      </w:r>
      <w:r w:rsidRPr="0087686C">
        <w:rPr>
          <w:rFonts w:ascii="Arial" w:hAnsi="Arial" w:cs="Arial"/>
          <w:sz w:val="24"/>
          <w:szCs w:val="24"/>
          <w:lang w:val="en-US"/>
        </w:rPr>
        <w:t>Pickering</w:t>
      </w:r>
      <w:r w:rsidRPr="0087686C">
        <w:rPr>
          <w:rFonts w:ascii="Arial" w:hAnsi="Arial" w:cs="Arial"/>
          <w:color w:val="000000"/>
          <w:sz w:val="24"/>
          <w:szCs w:val="24"/>
          <w:lang w:val="en-US"/>
        </w:rPr>
        <w:t xml:space="preserve"> nanoparticles</w:t>
      </w:r>
      <w:r w:rsidRPr="0087686C">
        <w:rPr>
          <w:rFonts w:ascii="Arial" w:hAnsi="Arial" w:cs="Arial"/>
          <w:sz w:val="24"/>
          <w:szCs w:val="24"/>
          <w:lang w:val="en-US"/>
        </w:rPr>
        <w:t>. The obtained</w:t>
      </w:r>
      <w:r w:rsidRPr="0087686C">
        <w:rPr>
          <w:rFonts w:ascii="Arial" w:hAnsi="Arial" w:cs="Arial"/>
          <w:color w:val="000000"/>
          <w:sz w:val="24"/>
          <w:szCs w:val="24"/>
          <w:lang w:val="en-US"/>
        </w:rPr>
        <w:t xml:space="preserve"> Pickering emulsion formulation requires smaller amounts of co-aids, as compared to the reported recipes from the literature.</w:t>
      </w:r>
    </w:p>
    <w:p w:rsidR="00FD05B8" w:rsidRPr="0038439C" w:rsidRDefault="00FD05B8" w:rsidP="00FD05B8">
      <w:pPr>
        <w:ind w:firstLine="567"/>
        <w:jc w:val="both"/>
        <w:rPr>
          <w:rFonts w:ascii="Arial" w:hAnsi="Arial" w:cs="Arial"/>
          <w:lang w:val="en-US"/>
        </w:rPr>
      </w:pPr>
    </w:p>
    <w:p w:rsidR="00FD05B8" w:rsidRPr="00B81843" w:rsidRDefault="00FD05B8" w:rsidP="00FD05B8">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aps/>
          <w:sz w:val="24"/>
          <w:szCs w:val="24"/>
        </w:rPr>
      </w:pPr>
      <w:bookmarkStart w:id="152" w:name="_Toc50031257"/>
      <w:r w:rsidRPr="00B81843">
        <w:rPr>
          <w:rFonts w:ascii="Arial" w:hAnsi="Arial" w:cs="Arial"/>
          <w:i/>
          <w:caps/>
          <w:sz w:val="24"/>
          <w:szCs w:val="24"/>
        </w:rPr>
        <w:t>2. I</w:t>
      </w:r>
      <w:r w:rsidRPr="00B81843">
        <w:rPr>
          <w:rFonts w:ascii="Arial" w:hAnsi="Arial" w:cs="Arial"/>
          <w:i/>
          <w:sz w:val="24"/>
          <w:szCs w:val="24"/>
        </w:rPr>
        <w:t>ntroduction</w:t>
      </w:r>
      <w:bookmarkEnd w:id="152"/>
      <w:r w:rsidRPr="00B81843">
        <w:rPr>
          <w:rFonts w:ascii="Arial" w:hAnsi="Arial" w:cs="Arial"/>
          <w:i/>
          <w:caps/>
          <w:sz w:val="24"/>
          <w:szCs w:val="24"/>
        </w:rPr>
        <w:t xml:space="preserve"> </w:t>
      </w:r>
    </w:p>
    <w:p w:rsidR="00FD05B8" w:rsidRPr="009336EA" w:rsidRDefault="00FD05B8" w:rsidP="00FD05B8">
      <w:pPr>
        <w:pStyle w:val="HTMLconformatoprevio"/>
        <w:shd w:val="clear" w:color="auto" w:fill="FFFFFF"/>
        <w:jc w:val="both"/>
        <w:rPr>
          <w:rFonts w:ascii="Arial" w:hAnsi="Arial" w:cs="Arial"/>
          <w:sz w:val="24"/>
          <w:szCs w:val="24"/>
          <w:lang w:val="en-US"/>
        </w:rPr>
      </w:pPr>
      <w:r w:rsidRPr="0038439C">
        <w:rPr>
          <w:lang w:val="en-US"/>
        </w:rPr>
        <w:t xml:space="preserve">        </w:t>
      </w:r>
      <w:r w:rsidRPr="0038439C">
        <w:rPr>
          <w:rFonts w:ascii="Arial" w:hAnsi="Arial" w:cs="Arial"/>
          <w:sz w:val="24"/>
          <w:szCs w:val="24"/>
          <w:lang w:val="en-US"/>
        </w:rPr>
        <w:t xml:space="preserve"> </w:t>
      </w:r>
      <w:r w:rsidRPr="009336EA">
        <w:rPr>
          <w:rFonts w:ascii="Arial" w:hAnsi="Arial" w:cs="Arial"/>
          <w:sz w:val="24"/>
          <w:szCs w:val="24"/>
          <w:lang w:val="en-US"/>
        </w:rPr>
        <w:t>A Pickering emulsion polymerization is a reaction process in which inorganic nanoparticles act as stabilizers, located at the monomer/polymer interface, due to their adsorption onto the water-oil interface (W/O). Different types of interactions occur, such as Van der Waals, electrostatic, hydrogen bonds, and so on. The reader is referred elsewhere</w:t>
      </w:r>
      <w:r w:rsidRPr="0038439C">
        <w:rPr>
          <w:rFonts w:ascii="Arial" w:hAnsi="Arial" w:cs="Arial"/>
          <w:sz w:val="24"/>
          <w:szCs w:val="24"/>
          <w:vertAlign w:val="superscript"/>
          <w:lang w:val="en-US"/>
        </w:rPr>
        <w:t>[1-3]</w:t>
      </w:r>
      <w:r w:rsidRPr="009336EA">
        <w:rPr>
          <w:rFonts w:ascii="Arial" w:hAnsi="Arial" w:cs="Arial"/>
          <w:sz w:val="24"/>
          <w:szCs w:val="24"/>
          <w:lang w:val="en-US"/>
        </w:rPr>
        <w:t xml:space="preserve"> for a deeper explanation of Pickering polymerization emulsions.</w:t>
      </w:r>
    </w:p>
    <w:p w:rsidR="00FD05B8" w:rsidRPr="009336EA" w:rsidRDefault="00FD05B8" w:rsidP="00FD05B8">
      <w:pPr>
        <w:pStyle w:val="HTMLconformatoprevio"/>
        <w:shd w:val="clear" w:color="auto" w:fill="FFFFFF"/>
        <w:jc w:val="both"/>
        <w:rPr>
          <w:rFonts w:ascii="Arial" w:hAnsi="Arial" w:cs="Arial"/>
          <w:sz w:val="24"/>
          <w:szCs w:val="24"/>
          <w:lang w:val="en-US"/>
        </w:rPr>
      </w:pPr>
      <w:r w:rsidRPr="009336EA">
        <w:rPr>
          <w:rFonts w:ascii="Arial" w:hAnsi="Arial" w:cs="Arial"/>
          <w:sz w:val="24"/>
          <w:szCs w:val="24"/>
          <w:lang w:val="en-US"/>
        </w:rPr>
        <w:tab/>
      </w:r>
      <w:bookmarkStart w:id="153" w:name="_Hlk16263403"/>
      <w:r w:rsidRPr="009336EA">
        <w:rPr>
          <w:rFonts w:ascii="Arial" w:hAnsi="Arial" w:cs="Arial"/>
          <w:color w:val="212121"/>
          <w:sz w:val="24"/>
          <w:szCs w:val="24"/>
          <w:lang w:val="en-US"/>
        </w:rPr>
        <w:t>Vignati and Piazza,</w:t>
      </w:r>
      <w:bookmarkEnd w:id="153"/>
      <w:r w:rsidRPr="0038439C">
        <w:rPr>
          <w:rFonts w:ascii="Arial" w:hAnsi="Arial" w:cs="Arial"/>
          <w:sz w:val="24"/>
          <w:szCs w:val="24"/>
          <w:vertAlign w:val="superscript"/>
          <w:lang w:val="en-US"/>
        </w:rPr>
        <w:t>[4]</w:t>
      </w:r>
      <w:r w:rsidRPr="009336EA">
        <w:rPr>
          <w:rFonts w:ascii="Arial" w:hAnsi="Arial" w:cs="Arial"/>
          <w:color w:val="212121"/>
          <w:sz w:val="24"/>
          <w:szCs w:val="24"/>
          <w:lang w:val="en-US"/>
        </w:rPr>
        <w:t xml:space="preserve"> discovered that emulsions can be stabilized with only about 5% particle coverage at the interface. </w:t>
      </w:r>
    </w:p>
    <w:p w:rsidR="00FD05B8" w:rsidRPr="009336EA" w:rsidRDefault="00FD05B8" w:rsidP="00FD05B8">
      <w:pPr>
        <w:pStyle w:val="HTMLconformatoprevio"/>
        <w:shd w:val="clear" w:color="auto" w:fill="FFFFFF"/>
        <w:jc w:val="both"/>
        <w:rPr>
          <w:rFonts w:ascii="Arial" w:hAnsi="Arial" w:cs="Arial"/>
          <w:color w:val="212121"/>
          <w:sz w:val="24"/>
          <w:szCs w:val="24"/>
          <w:lang w:val="en-US"/>
        </w:rPr>
      </w:pPr>
      <w:r w:rsidRPr="009336EA">
        <w:rPr>
          <w:rFonts w:ascii="Arial" w:hAnsi="Arial" w:cs="Arial"/>
          <w:sz w:val="24"/>
          <w:szCs w:val="24"/>
          <w:lang w:val="en-US"/>
        </w:rPr>
        <w:lastRenderedPageBreak/>
        <w:tab/>
        <w:t>Thus, Pickering emulsions have wide applications in different areas; for instance, food,</w:t>
      </w:r>
      <w:r w:rsidRPr="0038439C">
        <w:rPr>
          <w:rFonts w:ascii="Arial" w:hAnsi="Arial" w:cs="Arial"/>
          <w:sz w:val="24"/>
          <w:szCs w:val="24"/>
          <w:vertAlign w:val="superscript"/>
          <w:lang w:val="en-US"/>
        </w:rPr>
        <w:t>[5]</w:t>
      </w:r>
      <w:r w:rsidRPr="009336EA">
        <w:rPr>
          <w:rFonts w:ascii="Arial" w:hAnsi="Arial" w:cs="Arial"/>
          <w:sz w:val="24"/>
          <w:szCs w:val="24"/>
          <w:lang w:val="en-US"/>
        </w:rPr>
        <w:t xml:space="preserve"> catalysis,</w:t>
      </w:r>
      <w:r w:rsidRPr="0038439C">
        <w:rPr>
          <w:rFonts w:ascii="Arial" w:hAnsi="Arial" w:cs="Arial"/>
          <w:sz w:val="24"/>
          <w:szCs w:val="24"/>
          <w:vertAlign w:val="superscript"/>
          <w:lang w:val="en-US"/>
        </w:rPr>
        <w:t>[6]</w:t>
      </w:r>
      <w:r w:rsidRPr="009336EA">
        <w:rPr>
          <w:rFonts w:ascii="Arial" w:hAnsi="Arial" w:cs="Arial"/>
          <w:sz w:val="24"/>
          <w:szCs w:val="24"/>
          <w:lang w:val="en-US"/>
        </w:rPr>
        <w:t xml:space="preserve"> pharmaceutical</w:t>
      </w:r>
      <w:r w:rsidRPr="0038439C">
        <w:rPr>
          <w:rFonts w:ascii="Arial" w:hAnsi="Arial" w:cs="Arial"/>
          <w:sz w:val="24"/>
          <w:szCs w:val="24"/>
          <w:vertAlign w:val="superscript"/>
          <w:lang w:val="en-US"/>
        </w:rPr>
        <w:t>[7]</w:t>
      </w:r>
      <w:r w:rsidRPr="009336EA">
        <w:rPr>
          <w:rFonts w:ascii="Arial" w:hAnsi="Arial" w:cs="Arial"/>
          <w:sz w:val="24"/>
          <w:szCs w:val="24"/>
          <w:lang w:val="en-US"/>
        </w:rPr>
        <w:t xml:space="preserve"> and materials,</w:t>
      </w:r>
      <w:r w:rsidRPr="0038439C">
        <w:rPr>
          <w:rFonts w:ascii="Arial" w:hAnsi="Arial" w:cs="Arial"/>
          <w:sz w:val="24"/>
          <w:szCs w:val="24"/>
          <w:vertAlign w:val="superscript"/>
          <w:lang w:val="en-US"/>
        </w:rPr>
        <w:t>[8]</w:t>
      </w:r>
      <w:r w:rsidRPr="009336EA">
        <w:rPr>
          <w:rFonts w:ascii="Arial" w:hAnsi="Arial" w:cs="Arial"/>
          <w:sz w:val="24"/>
          <w:szCs w:val="24"/>
          <w:lang w:val="en-US"/>
        </w:rPr>
        <w:t xml:space="preserve"> among other applications.</w:t>
      </w:r>
    </w:p>
    <w:p w:rsidR="00FD05B8" w:rsidRPr="009336EA" w:rsidRDefault="00FD05B8" w:rsidP="00FD05B8">
      <w:pPr>
        <w:ind w:firstLine="708"/>
        <w:jc w:val="both"/>
        <w:rPr>
          <w:rFonts w:ascii="Arial" w:hAnsi="Arial" w:cs="Arial"/>
          <w:lang w:val="en-US"/>
        </w:rPr>
      </w:pPr>
      <w:r w:rsidRPr="009336EA">
        <w:rPr>
          <w:rFonts w:ascii="Arial" w:hAnsi="Arial" w:cs="Arial"/>
          <w:lang w:val="en-US"/>
        </w:rPr>
        <w:t>Obtaining an emulsion polymerization stabilized by solid particles, among other things, depends upon: the particle size, the concentration, the wettability, and interactions between particles and oligomers. However, the relative balance between the hydrophilic and lipophilic properties of these particles is considered the most important parameter that governs the stabilization of such emulsions</w:t>
      </w:r>
      <w:r>
        <w:rPr>
          <w:rFonts w:ascii="Arial" w:hAnsi="Arial" w:cs="Arial"/>
          <w:lang w:val="en-US"/>
        </w:rPr>
        <w:t>.</w:t>
      </w:r>
      <w:r w:rsidRPr="009336EA">
        <w:rPr>
          <w:rFonts w:ascii="Arial" w:hAnsi="Arial" w:cs="Arial"/>
          <w:lang w:val="en-US"/>
        </w:rPr>
        <w:t xml:space="preserve"> </w:t>
      </w:r>
      <w:r w:rsidRPr="009336EA">
        <w:rPr>
          <w:rFonts w:ascii="Arial" w:hAnsi="Arial" w:cs="Arial"/>
          <w:color w:val="212121"/>
          <w:lang w:val="en-US"/>
        </w:rPr>
        <w:t>The wettability can be easily modified, with non-ionic,</w:t>
      </w:r>
      <w:r w:rsidRPr="0038439C">
        <w:rPr>
          <w:rFonts w:ascii="Arial" w:hAnsi="Arial" w:cs="Arial"/>
          <w:vertAlign w:val="superscript"/>
          <w:lang w:val="en-US"/>
        </w:rPr>
        <w:t>[9]</w:t>
      </w:r>
      <w:r w:rsidRPr="009336EA">
        <w:rPr>
          <w:rFonts w:ascii="Arial" w:hAnsi="Arial" w:cs="Arial"/>
          <w:color w:val="212121"/>
          <w:vertAlign w:val="superscript"/>
          <w:lang w:val="en-US"/>
        </w:rPr>
        <w:t xml:space="preserve"> </w:t>
      </w:r>
      <w:r w:rsidRPr="009336EA">
        <w:rPr>
          <w:rFonts w:ascii="Arial" w:hAnsi="Arial" w:cs="Arial"/>
          <w:color w:val="212121"/>
          <w:lang w:val="en-US"/>
        </w:rPr>
        <w:t>anionic</w:t>
      </w:r>
      <w:r w:rsidRPr="0038439C">
        <w:rPr>
          <w:rFonts w:ascii="Arial" w:hAnsi="Arial" w:cs="Arial"/>
          <w:vertAlign w:val="superscript"/>
          <w:lang w:val="en-US"/>
        </w:rPr>
        <w:t>[10]</w:t>
      </w:r>
      <w:r w:rsidRPr="009336EA">
        <w:rPr>
          <w:rFonts w:ascii="Arial" w:hAnsi="Arial" w:cs="Arial"/>
          <w:color w:val="212121"/>
          <w:lang w:val="en-US"/>
        </w:rPr>
        <w:t xml:space="preserve"> and cationic</w:t>
      </w:r>
      <w:r w:rsidRPr="0038439C">
        <w:rPr>
          <w:rFonts w:ascii="Arial" w:hAnsi="Arial" w:cs="Arial"/>
          <w:vertAlign w:val="superscript"/>
          <w:lang w:val="en-US"/>
        </w:rPr>
        <w:t>[11]</w:t>
      </w:r>
      <w:r w:rsidRPr="009336EA">
        <w:rPr>
          <w:rFonts w:ascii="Arial" w:hAnsi="Arial" w:cs="Arial"/>
          <w:color w:val="212121"/>
          <w:lang w:val="en-US"/>
        </w:rPr>
        <w:t xml:space="preserve"> surfactants, by electrostatic adsorption, or other interactions. Another approach is the use </w:t>
      </w:r>
      <w:r w:rsidRPr="009336EA">
        <w:rPr>
          <w:rFonts w:ascii="Arial" w:hAnsi="Arial" w:cs="Arial"/>
          <w:lang w:val="en-US"/>
        </w:rPr>
        <w:t>of modifying-agents which can be co-monomer(s), macromonomers or polymers, thus avoiding the use of a surfactant agent.</w:t>
      </w:r>
    </w:p>
    <w:p w:rsidR="00FD05B8" w:rsidRPr="009336EA" w:rsidRDefault="00FD05B8" w:rsidP="00FD05B8">
      <w:pPr>
        <w:pStyle w:val="HTMLconformatoprevio"/>
        <w:shd w:val="clear" w:color="auto" w:fill="FFFFFF"/>
        <w:jc w:val="both"/>
        <w:rPr>
          <w:rFonts w:ascii="Arial" w:hAnsi="Arial" w:cs="Arial"/>
          <w:color w:val="212121"/>
          <w:sz w:val="24"/>
          <w:szCs w:val="24"/>
          <w:lang w:val="en-US"/>
        </w:rPr>
      </w:pPr>
      <w:r w:rsidRPr="009336EA">
        <w:rPr>
          <w:rFonts w:ascii="Arial" w:hAnsi="Arial" w:cs="Arial"/>
          <w:color w:val="212121"/>
          <w:sz w:val="24"/>
          <w:szCs w:val="24"/>
          <w:lang w:val="en-US"/>
        </w:rPr>
        <w:tab/>
        <w:t>Several studies conclude that stable emulsions can be formed if solid particles are weakly flocculated, by the addition of salts,</w:t>
      </w:r>
      <w:r w:rsidRPr="0038439C">
        <w:rPr>
          <w:rFonts w:ascii="Arial" w:hAnsi="Arial" w:cs="Arial"/>
          <w:sz w:val="24"/>
          <w:szCs w:val="24"/>
          <w:vertAlign w:val="superscript"/>
          <w:lang w:val="en-US"/>
        </w:rPr>
        <w:t>[12]</w:t>
      </w:r>
      <w:r w:rsidRPr="009336EA">
        <w:rPr>
          <w:rFonts w:ascii="Arial" w:hAnsi="Arial" w:cs="Arial"/>
          <w:color w:val="212121"/>
          <w:sz w:val="24"/>
          <w:szCs w:val="24"/>
          <w:lang w:val="en-US"/>
        </w:rPr>
        <w:t xml:space="preserve"> or by the use of surfactants.</w:t>
      </w:r>
      <w:r w:rsidRPr="0038439C">
        <w:rPr>
          <w:rFonts w:ascii="Arial" w:hAnsi="Arial" w:cs="Arial"/>
          <w:sz w:val="24"/>
          <w:szCs w:val="24"/>
          <w:vertAlign w:val="superscript"/>
          <w:lang w:val="en-US"/>
        </w:rPr>
        <w:t>[13]</w:t>
      </w:r>
      <w:r w:rsidRPr="009336EA">
        <w:rPr>
          <w:rFonts w:ascii="Arial" w:hAnsi="Arial" w:cs="Arial"/>
          <w:color w:val="212121"/>
          <w:sz w:val="24"/>
          <w:szCs w:val="24"/>
          <w:lang w:val="en-US"/>
        </w:rPr>
        <w:t xml:space="preserve"> </w:t>
      </w:r>
      <w:r w:rsidRPr="009336EA">
        <w:rPr>
          <w:rFonts w:ascii="Arial" w:hAnsi="Arial" w:cs="Arial"/>
          <w:color w:val="212121"/>
          <w:sz w:val="24"/>
          <w:szCs w:val="24"/>
          <w:shd w:val="clear" w:color="auto" w:fill="FFFFFF"/>
          <w:lang w:val="en-US"/>
        </w:rPr>
        <w:t xml:space="preserve">It has been reported that the presence of </w:t>
      </w:r>
      <w:r w:rsidRPr="009336EA">
        <w:rPr>
          <w:rFonts w:ascii="Arial" w:hAnsi="Arial" w:cs="Arial"/>
          <w:color w:val="212121"/>
          <w:sz w:val="24"/>
          <w:szCs w:val="24"/>
          <w:lang w:val="en-US"/>
        </w:rPr>
        <w:t>cetyltrimethylammonium bromide (</w:t>
      </w:r>
      <w:r w:rsidRPr="009336EA">
        <w:rPr>
          <w:rFonts w:ascii="Arial" w:hAnsi="Arial" w:cs="Arial"/>
          <w:color w:val="212121"/>
          <w:sz w:val="24"/>
          <w:szCs w:val="24"/>
          <w:shd w:val="clear" w:color="auto" w:fill="FFFFFF"/>
          <w:lang w:val="en-US"/>
        </w:rPr>
        <w:t>CTAB) produces flocculation of silica particles.</w:t>
      </w:r>
      <w:r w:rsidRPr="0038439C">
        <w:rPr>
          <w:rFonts w:ascii="Arial" w:hAnsi="Arial" w:cs="Arial"/>
          <w:sz w:val="24"/>
          <w:szCs w:val="24"/>
          <w:vertAlign w:val="superscript"/>
          <w:lang w:val="en-US"/>
        </w:rPr>
        <w:t>[11,14,15]</w:t>
      </w:r>
      <w:r w:rsidRPr="009336EA">
        <w:rPr>
          <w:rFonts w:ascii="Arial" w:hAnsi="Arial" w:cs="Arial"/>
          <w:color w:val="212121"/>
          <w:sz w:val="24"/>
          <w:szCs w:val="24"/>
          <w:shd w:val="clear" w:color="auto" w:fill="FFFFFF"/>
          <w:lang w:val="en-US"/>
        </w:rPr>
        <w:t xml:space="preserve"> </w:t>
      </w:r>
      <w:r w:rsidRPr="009336EA">
        <w:rPr>
          <w:rFonts w:ascii="Arial" w:hAnsi="Arial" w:cs="Arial"/>
          <w:color w:val="212121"/>
          <w:sz w:val="24"/>
          <w:szCs w:val="24"/>
          <w:lang w:val="en-US"/>
        </w:rPr>
        <w:t>Binks and Rodrigues,</w:t>
      </w:r>
      <w:r w:rsidRPr="0038439C">
        <w:rPr>
          <w:rFonts w:ascii="Arial" w:hAnsi="Arial" w:cs="Arial"/>
          <w:sz w:val="24"/>
          <w:szCs w:val="24"/>
          <w:vertAlign w:val="superscript"/>
          <w:lang w:val="en-US"/>
        </w:rPr>
        <w:t>[16]</w:t>
      </w:r>
      <w:r w:rsidRPr="009336EA">
        <w:rPr>
          <w:rFonts w:ascii="Arial" w:hAnsi="Arial" w:cs="Arial"/>
          <w:color w:val="212121"/>
          <w:sz w:val="24"/>
          <w:szCs w:val="24"/>
          <w:lang w:val="en-US"/>
        </w:rPr>
        <w:t xml:space="preserve"> conducted an investigation regarding the behavior of emulsions stabilized by silica nanoparticles and a cationic surfactant (CTAB). They found that more stable emulsions were formed under conditions in which CTAB was used to decrease the load and induce silica flocculation, and Lan et al.,</w:t>
      </w:r>
      <w:r w:rsidRPr="0038439C">
        <w:rPr>
          <w:rFonts w:ascii="Arial" w:hAnsi="Arial" w:cs="Arial"/>
          <w:sz w:val="24"/>
          <w:szCs w:val="24"/>
          <w:vertAlign w:val="superscript"/>
          <w:lang w:val="en-US"/>
        </w:rPr>
        <w:t>[17]</w:t>
      </w:r>
      <w:r w:rsidRPr="009336EA">
        <w:rPr>
          <w:rFonts w:ascii="Arial" w:hAnsi="Arial" w:cs="Arial"/>
          <w:color w:val="212121"/>
          <w:sz w:val="24"/>
          <w:szCs w:val="24"/>
          <w:lang w:val="en-US"/>
        </w:rPr>
        <w:t xml:space="preserve"> obtained a similar result</w:t>
      </w:r>
      <w:r>
        <w:rPr>
          <w:rFonts w:ascii="Arial" w:hAnsi="Arial" w:cs="Arial"/>
          <w:color w:val="212121"/>
          <w:sz w:val="24"/>
          <w:szCs w:val="24"/>
          <w:lang w:val="en-US"/>
        </w:rPr>
        <w:t>,</w:t>
      </w:r>
    </w:p>
    <w:p w:rsidR="00FD05B8" w:rsidRPr="009336EA" w:rsidRDefault="00FD05B8" w:rsidP="00FD05B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lang w:val="en-US"/>
        </w:rPr>
      </w:pPr>
      <w:r w:rsidRPr="009336EA">
        <w:rPr>
          <w:rFonts w:ascii="Arial" w:eastAsia="Times New Roman" w:hAnsi="Arial" w:cs="Arial"/>
          <w:color w:val="212121"/>
          <w:lang w:val="en-US" w:eastAsia="es-MX"/>
        </w:rPr>
        <w:tab/>
      </w:r>
      <w:r w:rsidRPr="009336EA">
        <w:rPr>
          <w:rFonts w:ascii="Arial" w:hAnsi="Arial" w:cs="Arial"/>
          <w:lang w:val="en-US"/>
        </w:rPr>
        <w:t>Solid nanoparticles, such as Ludox AM, remain negatively charged over a wide pH range,</w:t>
      </w:r>
      <w:r w:rsidRPr="0038439C">
        <w:rPr>
          <w:rFonts w:ascii="Arial" w:hAnsi="Arial" w:cs="Arial"/>
          <w:vertAlign w:val="superscript"/>
          <w:lang w:val="en-US"/>
        </w:rPr>
        <w:t>[18]</w:t>
      </w:r>
      <w:r w:rsidRPr="009336EA">
        <w:rPr>
          <w:rFonts w:ascii="Arial" w:hAnsi="Arial" w:cs="Arial"/>
          <w:lang w:val="en-US"/>
        </w:rPr>
        <w:t xml:space="preserve"> although the use of some agents (i. e., surfactants) can change the value in its charge (mV) into a negative range, which will depend on the amount used. It was also reported that this silica, which, unlike cationic silica or other colloids, is less susceptible to modification by perturbations of the medium, such as pH.</w:t>
      </w:r>
      <w:r w:rsidRPr="0038439C">
        <w:rPr>
          <w:rFonts w:ascii="Arial" w:hAnsi="Arial" w:cs="Arial"/>
          <w:vertAlign w:val="superscript"/>
          <w:lang w:val="en-US"/>
        </w:rPr>
        <w:t xml:space="preserve"> </w:t>
      </w:r>
      <w:r w:rsidRPr="00FD05B8">
        <w:rPr>
          <w:rFonts w:ascii="Arial" w:hAnsi="Arial" w:cs="Arial"/>
          <w:vertAlign w:val="superscript"/>
          <w:lang w:val="en-US"/>
        </w:rPr>
        <w:t>[19]</w:t>
      </w:r>
    </w:p>
    <w:p w:rsidR="00FD05B8" w:rsidRPr="009336EA" w:rsidRDefault="00FD05B8" w:rsidP="00FD05B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i/>
          <w:iCs/>
          <w:lang w:val="en-US"/>
        </w:rPr>
      </w:pPr>
      <w:r w:rsidRPr="009336EA">
        <w:rPr>
          <w:rFonts w:ascii="Arial" w:hAnsi="Arial" w:cs="Arial"/>
          <w:color w:val="212121"/>
          <w:shd w:val="clear" w:color="auto" w:fill="FFFFFF"/>
          <w:lang w:val="en-US"/>
        </w:rPr>
        <w:tab/>
        <w:t>Monégier du Sorbier et al.</w:t>
      </w:r>
      <w:r w:rsidRPr="00FD05B8">
        <w:rPr>
          <w:rFonts w:ascii="Arial" w:hAnsi="Arial" w:cs="Arial"/>
          <w:vertAlign w:val="superscript"/>
          <w:lang w:val="en-US"/>
        </w:rPr>
        <w:t xml:space="preserve"> [20]</w:t>
      </w:r>
      <w:r w:rsidRPr="009336EA">
        <w:rPr>
          <w:rFonts w:ascii="Arial" w:hAnsi="Arial" w:cs="Arial"/>
          <w:color w:val="FF0000"/>
          <w:lang w:val="en-US"/>
        </w:rPr>
        <w:t xml:space="preserve"> </w:t>
      </w:r>
      <w:r w:rsidRPr="009336EA">
        <w:rPr>
          <w:rFonts w:ascii="Arial" w:hAnsi="Arial" w:cs="Arial"/>
          <w:color w:val="212121"/>
          <w:shd w:val="clear" w:color="auto" w:fill="FFFFFF"/>
          <w:lang w:val="en-US"/>
        </w:rPr>
        <w:t xml:space="preserve">considered the use of poly(ethylene glycol) methyl ether methacrylate (PEGMA), instead of a surfactant, with anionic silica nanoparticles (TM-50), in a pH range of 2-10. They obtained a PEGMA adsorption of 25%, on the silica surface, without any significant effect on the charge density. With the addition of PEGMA at high concentrations (approximately 50% w/w), the silica loading is maintained around -60 mV, with a slight pH variation of 9.5 to 9.0. However, it turned out to be a low stabilization by the relatively low value of adsorption, compared to the adsorption of poly(4-styrene-sodium sulfonate), which was also analyzed. Their polymerization was carried out with an anionic initiator, sodium persulfate (NaPS), and they reported homogeneous-coagulative nucleation. </w:t>
      </w:r>
    </w:p>
    <w:p w:rsidR="00FD05B8" w:rsidRPr="009336EA" w:rsidRDefault="00FD05B8" w:rsidP="00FD05B8">
      <w:pPr>
        <w:autoSpaceDE w:val="0"/>
        <w:autoSpaceDN w:val="0"/>
        <w:adjustRightInd w:val="0"/>
        <w:ind w:firstLine="708"/>
        <w:jc w:val="both"/>
        <w:rPr>
          <w:rFonts w:ascii="Arial" w:hAnsi="Arial" w:cs="Arial"/>
          <w:lang w:val="en-US"/>
        </w:rPr>
      </w:pPr>
      <w:r w:rsidRPr="009336EA">
        <w:rPr>
          <w:rFonts w:ascii="Arial" w:hAnsi="Arial" w:cs="Arial"/>
          <w:color w:val="212121"/>
          <w:shd w:val="clear" w:color="auto" w:fill="FFFFFF"/>
          <w:lang w:val="en-US"/>
        </w:rPr>
        <w:t>Percy et al.</w:t>
      </w:r>
      <w:r w:rsidRPr="0038439C">
        <w:rPr>
          <w:rFonts w:ascii="Arial" w:hAnsi="Arial" w:cs="Arial"/>
          <w:vertAlign w:val="superscript"/>
          <w:lang w:val="en-US"/>
        </w:rPr>
        <w:t>[21]</w:t>
      </w:r>
      <w:r w:rsidRPr="009336EA">
        <w:rPr>
          <w:rFonts w:ascii="Arial" w:hAnsi="Arial" w:cs="Arial"/>
          <w:color w:val="212121"/>
          <w:shd w:val="clear" w:color="auto" w:fill="FFFFFF"/>
          <w:lang w:val="en-US"/>
        </w:rPr>
        <w:t xml:space="preserve"> obtained </w:t>
      </w:r>
      <w:r w:rsidRPr="009336EA">
        <w:rPr>
          <w:rFonts w:ascii="Arial" w:hAnsi="Arial" w:cs="Arial"/>
          <w:lang w:val="en-US"/>
        </w:rPr>
        <w:t>polymer-silica nanocomposite particles by homopolymerizing 4-vinylpyridine (4VP) in the presence of a silica sol using a free-radical initiator in aqueous media. They reported that the homopolymerization of either styrene or methyl methacrylate did not produce nanocomposite particles. However, copolymerization of 4VP with methyl methacrylate and styrene did produce colloidal stable particles, for comonomer feeds containing as little as 6 mol % 4VP</w:t>
      </w:r>
      <w:r>
        <w:rPr>
          <w:rFonts w:ascii="Arial" w:hAnsi="Arial" w:cs="Arial"/>
          <w:lang w:val="en-US"/>
        </w:rPr>
        <w:t>.</w:t>
      </w:r>
      <w:r w:rsidRPr="009336EA">
        <w:rPr>
          <w:rFonts w:ascii="Arial" w:hAnsi="Arial" w:cs="Arial"/>
          <w:lang w:val="en-US"/>
        </w:rPr>
        <w:t xml:space="preserve"> They commented that using 4VP was serendipity because Barthet et al.</w:t>
      </w:r>
      <w:r w:rsidRPr="0038439C">
        <w:rPr>
          <w:rFonts w:ascii="Arial" w:hAnsi="Arial" w:cs="Arial"/>
          <w:vertAlign w:val="superscript"/>
          <w:lang w:val="en-US"/>
        </w:rPr>
        <w:t xml:space="preserve"> </w:t>
      </w:r>
      <w:r w:rsidRPr="00FD05B8">
        <w:rPr>
          <w:rFonts w:ascii="Arial" w:hAnsi="Arial" w:cs="Arial"/>
          <w:vertAlign w:val="superscript"/>
          <w:lang w:val="en-US"/>
        </w:rPr>
        <w:t>[22]</w:t>
      </w:r>
      <w:r w:rsidRPr="00FD05B8">
        <w:rPr>
          <w:rFonts w:ascii="Arial" w:hAnsi="Arial" w:cs="Arial"/>
          <w:lang w:val="en-US"/>
        </w:rPr>
        <w:t xml:space="preserve"> </w:t>
      </w:r>
      <w:r w:rsidRPr="009336EA">
        <w:rPr>
          <w:rFonts w:ascii="Arial" w:hAnsi="Arial" w:cs="Arial"/>
          <w:lang w:val="en-US"/>
        </w:rPr>
        <w:t>were not successful with 2VP. Later however, Dupin et al.</w:t>
      </w:r>
      <w:r w:rsidRPr="00FD05B8">
        <w:rPr>
          <w:rFonts w:ascii="Arial" w:hAnsi="Arial" w:cs="Arial"/>
          <w:vertAlign w:val="superscript"/>
          <w:lang w:val="en-US"/>
        </w:rPr>
        <w:t xml:space="preserve"> [23]</w:t>
      </w:r>
      <w:r w:rsidRPr="009336EA">
        <w:rPr>
          <w:rFonts w:ascii="Arial" w:hAnsi="Arial" w:cs="Arial"/>
          <w:lang w:val="en-US"/>
        </w:rPr>
        <w:t xml:space="preserve"> reported that colloidal poly(2-vinylpyridine)-silica nanocomposite particles were efficiently prepared by emulsion polymerization. They claim that the key to their success </w:t>
      </w:r>
      <w:r w:rsidRPr="009336EA">
        <w:rPr>
          <w:rFonts w:ascii="Arial" w:hAnsi="Arial" w:cs="Arial"/>
          <w:lang w:val="en-US"/>
        </w:rPr>
        <w:lastRenderedPageBreak/>
        <w:t>was simply a suitable selection of cationic azo initiator. Zou et al.</w:t>
      </w:r>
      <w:r w:rsidRPr="00FD05B8">
        <w:rPr>
          <w:rFonts w:ascii="Arial" w:hAnsi="Arial" w:cs="Arial"/>
          <w:vertAlign w:val="superscript"/>
          <w:lang w:val="en-US"/>
        </w:rPr>
        <w:t xml:space="preserve"> [24]</w:t>
      </w:r>
      <w:r w:rsidRPr="009336EA">
        <w:rPr>
          <w:rFonts w:ascii="Arial" w:hAnsi="Arial" w:cs="Arial"/>
          <w:lang w:val="en-US"/>
        </w:rPr>
        <w:t xml:space="preserve"> also reported the preparation of solid silica-coated and hollow poly(styrene-co-4-vinylpyridine) particles.</w:t>
      </w:r>
    </w:p>
    <w:p w:rsidR="00FD05B8" w:rsidRPr="009336EA" w:rsidRDefault="00FD05B8" w:rsidP="00FD05B8">
      <w:pPr>
        <w:autoSpaceDE w:val="0"/>
        <w:autoSpaceDN w:val="0"/>
        <w:adjustRightInd w:val="0"/>
        <w:ind w:firstLine="708"/>
        <w:jc w:val="both"/>
        <w:rPr>
          <w:rFonts w:ascii="Arial" w:hAnsi="Arial" w:cs="Arial"/>
          <w:lang w:val="en-US"/>
        </w:rPr>
      </w:pPr>
      <w:r w:rsidRPr="009336EA">
        <w:rPr>
          <w:rFonts w:ascii="Arial" w:hAnsi="Arial" w:cs="Arial"/>
          <w:lang w:val="en-US"/>
        </w:rPr>
        <w:t>The literature discloses that obtaining a Pickering emulsion by polymerization is simple and straight forward.</w:t>
      </w:r>
      <w:r w:rsidRPr="0038439C">
        <w:rPr>
          <w:rFonts w:ascii="Arial" w:hAnsi="Arial" w:cs="Arial"/>
          <w:vertAlign w:val="superscript"/>
          <w:lang w:val="en-US"/>
        </w:rPr>
        <w:t>[25-29]</w:t>
      </w:r>
      <w:r w:rsidRPr="009336EA">
        <w:rPr>
          <w:rFonts w:ascii="Arial" w:hAnsi="Arial" w:cs="Arial"/>
          <w:lang w:val="en-US"/>
        </w:rPr>
        <w:t xml:space="preserve"> It will </w:t>
      </w:r>
      <w:r w:rsidRPr="009336EA">
        <w:rPr>
          <w:rFonts w:ascii="Arial" w:hAnsi="Arial" w:cs="Arial"/>
          <w:color w:val="000000"/>
          <w:lang w:val="en-US"/>
        </w:rPr>
        <w:t xml:space="preserve">be disclosed that, even after an intensive literature review, this is not always true, and that the reported recipes have been reached after long searches of trial and error experiments or by serendipity. However, small steps leading toward a better understanding of this complex area are given, and </w:t>
      </w:r>
      <w:r w:rsidRPr="009336EA">
        <w:rPr>
          <w:rFonts w:ascii="Arial" w:hAnsi="Arial" w:cs="Arial"/>
          <w:lang w:val="en-US"/>
        </w:rPr>
        <w:t xml:space="preserve">this is what motivates this work. </w:t>
      </w:r>
      <w:r>
        <w:rPr>
          <w:rFonts w:ascii="Arial" w:hAnsi="Arial" w:cs="Arial"/>
          <w:lang w:val="en-US"/>
        </w:rPr>
        <w:t xml:space="preserve"> </w:t>
      </w:r>
      <w:r w:rsidRPr="009336EA">
        <w:rPr>
          <w:rFonts w:ascii="Arial" w:hAnsi="Arial" w:cs="Arial"/>
          <w:color w:val="212121"/>
          <w:shd w:val="clear" w:color="auto" w:fill="FFFFFF"/>
          <w:lang w:val="en-US"/>
        </w:rPr>
        <w:t xml:space="preserve">According to the above </w:t>
      </w:r>
      <w:r w:rsidRPr="009336EA">
        <w:rPr>
          <w:rFonts w:ascii="Arial" w:hAnsi="Arial" w:cs="Arial"/>
          <w:shd w:val="clear" w:color="auto" w:fill="FFFFFF"/>
          <w:lang w:val="en-US"/>
        </w:rPr>
        <w:t>literature reports</w:t>
      </w:r>
      <w:r>
        <w:rPr>
          <w:rFonts w:ascii="Arial" w:hAnsi="Arial" w:cs="Arial"/>
          <w:shd w:val="clear" w:color="auto" w:fill="FFFFFF"/>
          <w:lang w:val="en-US"/>
        </w:rPr>
        <w:t>,</w:t>
      </w:r>
      <w:r w:rsidRPr="009336EA">
        <w:rPr>
          <w:rFonts w:ascii="Arial" w:hAnsi="Arial" w:cs="Arial"/>
          <w:lang w:val="en-US"/>
        </w:rPr>
        <w:t xml:space="preserve"> this work considers a series of reactions, with the aim of reaching a simple Pickering emulsion formulation</w:t>
      </w:r>
      <w:r w:rsidRPr="009336EA">
        <w:rPr>
          <w:rFonts w:ascii="Arial" w:hAnsi="Arial" w:cs="Arial"/>
          <w:color w:val="212121"/>
          <w:lang w:val="en-US"/>
        </w:rPr>
        <w:t>. The effects</w:t>
      </w:r>
      <w:r>
        <w:rPr>
          <w:rFonts w:ascii="Arial" w:hAnsi="Arial" w:cs="Arial"/>
          <w:color w:val="212121"/>
          <w:lang w:val="en-US"/>
        </w:rPr>
        <w:t xml:space="preserve"> of the studied co-aids</w:t>
      </w:r>
      <w:r w:rsidRPr="009336EA">
        <w:rPr>
          <w:rFonts w:ascii="Arial" w:hAnsi="Arial" w:cs="Arial"/>
          <w:color w:val="000000"/>
          <w:lang w:val="en-US"/>
        </w:rPr>
        <w:t xml:space="preserve"> on the particle size, encapsulation and whether or not coverage occurs, are analyzed</w:t>
      </w:r>
      <w:r>
        <w:rPr>
          <w:rFonts w:ascii="Arial" w:hAnsi="Arial" w:cs="Arial"/>
          <w:color w:val="000000"/>
          <w:lang w:val="en-US"/>
        </w:rPr>
        <w:t>.</w:t>
      </w:r>
    </w:p>
    <w:p w:rsidR="00FD05B8" w:rsidRPr="0038439C" w:rsidRDefault="00FD05B8" w:rsidP="00FD05B8">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lang w:val="en-US"/>
        </w:rPr>
      </w:pPr>
    </w:p>
    <w:p w:rsidR="00FD05B8" w:rsidRPr="00B81843" w:rsidRDefault="00FD05B8" w:rsidP="00FD05B8">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154" w:name="_Toc50031258"/>
      <w:r w:rsidRPr="00B81843">
        <w:rPr>
          <w:rFonts w:ascii="Arial" w:hAnsi="Arial" w:cs="Arial"/>
          <w:i/>
          <w:caps/>
          <w:sz w:val="24"/>
          <w:szCs w:val="24"/>
        </w:rPr>
        <w:t>3. E</w:t>
      </w:r>
      <w:r w:rsidRPr="00B81843">
        <w:rPr>
          <w:rFonts w:ascii="Arial" w:hAnsi="Arial" w:cs="Arial"/>
          <w:i/>
          <w:sz w:val="24"/>
          <w:szCs w:val="24"/>
        </w:rPr>
        <w:t>xperimental</w:t>
      </w:r>
      <w:bookmarkEnd w:id="154"/>
      <w:r w:rsidRPr="00B81843">
        <w:rPr>
          <w:rFonts w:ascii="Arial" w:hAnsi="Arial" w:cs="Arial"/>
          <w:i/>
          <w:sz w:val="24"/>
          <w:szCs w:val="24"/>
        </w:rPr>
        <w:t xml:space="preserve"> </w:t>
      </w:r>
    </w:p>
    <w:p w:rsidR="00FD05B8" w:rsidRPr="007508D2" w:rsidRDefault="00FD05B8" w:rsidP="00FD05B8">
      <w:pPr>
        <w:spacing w:line="480" w:lineRule="auto"/>
        <w:rPr>
          <w:rFonts w:ascii="Arial" w:hAnsi="Arial" w:cs="Arial"/>
          <w:bCs/>
          <w:i/>
          <w:iCs/>
          <w:lang w:val="en-US"/>
        </w:rPr>
      </w:pPr>
      <w:r w:rsidRPr="007508D2">
        <w:rPr>
          <w:rFonts w:ascii="Arial" w:hAnsi="Arial" w:cs="Arial"/>
          <w:bCs/>
          <w:i/>
          <w:iCs/>
        </w:rPr>
        <w:t>3.1</w:t>
      </w:r>
      <w:r w:rsidRPr="007508D2">
        <w:rPr>
          <w:rFonts w:ascii="Arial" w:hAnsi="Arial" w:cs="Arial"/>
          <w:bCs/>
          <w:i/>
          <w:iCs/>
          <w:lang w:val="en-US"/>
        </w:rPr>
        <w:t xml:space="preserve"> Materials</w:t>
      </w:r>
    </w:p>
    <w:p w:rsidR="00FD05B8" w:rsidRDefault="00FD05B8" w:rsidP="00FD05B8">
      <w:pPr>
        <w:tabs>
          <w:tab w:val="left" w:pos="1701"/>
        </w:tabs>
        <w:jc w:val="both"/>
        <w:rPr>
          <w:rFonts w:ascii="Arial" w:hAnsi="Arial" w:cs="Arial"/>
          <w:lang w:val="en-US"/>
        </w:rPr>
      </w:pPr>
      <w:r w:rsidRPr="0087686C">
        <w:rPr>
          <w:rFonts w:ascii="Arial" w:hAnsi="Arial" w:cs="Arial"/>
          <w:lang w:val="en-US"/>
        </w:rPr>
        <w:t>Styrene (STY) 99% was washed to remove the inhibitor. The remaining reagents were used as received. Hexadecyltrimethylammonium bromide (CTAB), 9</w:t>
      </w:r>
      <w:r w:rsidRPr="0087686C">
        <w:rPr>
          <w:rFonts w:ascii="Arial" w:eastAsia="Times New Roman" w:hAnsi="Arial" w:cs="Arial"/>
          <w:lang w:val="en-US"/>
        </w:rPr>
        <w:t>8% purity;</w:t>
      </w:r>
      <w:r w:rsidRPr="0087686C">
        <w:rPr>
          <w:rFonts w:ascii="Arial" w:hAnsi="Arial" w:cs="Arial"/>
          <w:lang w:val="en-US"/>
        </w:rPr>
        <w:t xml:space="preserve"> the colloidal dispersion of silica nanoparticles (LUDOX AM), containing SiO</w:t>
      </w:r>
      <w:r w:rsidRPr="0087686C">
        <w:rPr>
          <w:rFonts w:ascii="Arial" w:hAnsi="Arial" w:cs="Arial"/>
          <w:vertAlign w:val="subscript"/>
          <w:lang w:val="en-US"/>
        </w:rPr>
        <w:t>2</w:t>
      </w:r>
      <w:r w:rsidRPr="0087686C">
        <w:rPr>
          <w:rFonts w:ascii="Arial" w:hAnsi="Arial" w:cs="Arial"/>
          <w:lang w:val="en-US"/>
        </w:rPr>
        <w:t xml:space="preserve"> 30% w/w in water, d</w:t>
      </w:r>
      <w:r w:rsidRPr="0087686C">
        <w:rPr>
          <w:rFonts w:ascii="Arial" w:hAnsi="Arial" w:cs="Arial"/>
          <w:vertAlign w:val="subscript"/>
          <w:lang w:val="en-US"/>
        </w:rPr>
        <w:t xml:space="preserve">p </w:t>
      </w:r>
      <w:r w:rsidRPr="0087686C">
        <w:rPr>
          <w:rFonts w:ascii="Arial" w:hAnsi="Arial" w:cs="Arial"/>
          <w:lang w:val="en-US"/>
        </w:rPr>
        <w:t>= 12 nm; 4-vinyl pyridine (4VP), 95% purity; sodium 4-vinylbenzenesulfonate (VBS)  greater than 90% purity; and poly (ethylene glycol) methyl ether methacrylate (PEGMA), 50% w/w in water, Mn=2000, (all from Sigma-Aldrich). Ammonium persulfate (APS), 99.2% purity, sodium bisphosphate 99.3 % purity and disodium phosphate 99.3 % purity (these latter from J. T. Baker, S.A. de C.V.). The water used was deionized in our laboratory.</w:t>
      </w:r>
    </w:p>
    <w:p w:rsidR="00FD05B8" w:rsidRPr="0087686C" w:rsidRDefault="00FD05B8" w:rsidP="00FD05B8">
      <w:pPr>
        <w:tabs>
          <w:tab w:val="left" w:pos="1701"/>
        </w:tabs>
        <w:jc w:val="both"/>
        <w:rPr>
          <w:rFonts w:ascii="Arial" w:hAnsi="Arial" w:cs="Arial"/>
          <w:color w:val="000000"/>
          <w:lang w:val="en-US"/>
        </w:rPr>
      </w:pPr>
      <w:r w:rsidRPr="0087686C">
        <w:rPr>
          <w:rFonts w:ascii="Arial" w:hAnsi="Arial" w:cs="Arial"/>
          <w:color w:val="000000"/>
          <w:lang w:val="en-US"/>
        </w:rPr>
        <w:t xml:space="preserve"> </w:t>
      </w:r>
    </w:p>
    <w:p w:rsidR="00FD05B8" w:rsidRPr="007508D2" w:rsidRDefault="00FD05B8" w:rsidP="00FD05B8">
      <w:pPr>
        <w:spacing w:line="360" w:lineRule="auto"/>
        <w:jc w:val="both"/>
        <w:rPr>
          <w:rFonts w:ascii="Arial" w:hAnsi="Arial" w:cs="Arial"/>
          <w:bCs/>
          <w:i/>
          <w:iCs/>
          <w:color w:val="000000"/>
          <w:lang w:val="en-US"/>
        </w:rPr>
      </w:pPr>
      <w:r w:rsidRPr="007508D2">
        <w:rPr>
          <w:rFonts w:ascii="Arial" w:hAnsi="Arial" w:cs="Arial"/>
          <w:bCs/>
          <w:i/>
          <w:iCs/>
          <w:color w:val="000000"/>
          <w:lang w:val="en-US"/>
        </w:rPr>
        <w:t>3.2 Reaction Procedure</w:t>
      </w:r>
    </w:p>
    <w:p w:rsidR="00FD05B8" w:rsidRPr="0087686C" w:rsidRDefault="00FD05B8" w:rsidP="00FD05B8">
      <w:pPr>
        <w:jc w:val="both"/>
        <w:rPr>
          <w:rFonts w:ascii="Arial" w:hAnsi="Arial" w:cs="Arial"/>
          <w:lang w:val="en-US"/>
        </w:rPr>
      </w:pPr>
      <w:bookmarkStart w:id="155" w:name="_Hlk16261726"/>
      <w:r w:rsidRPr="0087686C">
        <w:rPr>
          <w:rFonts w:ascii="Arial" w:hAnsi="Arial" w:cs="Arial"/>
          <w:lang w:val="en-US"/>
        </w:rPr>
        <w:t>The amounts charged in the experiments are presented in Table 1. In a first step, an emulsion was prepared charging the water, the styrene monomer (as the oil phase), the aqueous dispersion of silica nanoparticles and the buffer. If used, 4VP was incorporated into the oil phase and VBS, CTAB and PEGMA were added to the aqueous</w:t>
      </w:r>
      <w:r w:rsidRPr="0087686C" w:rsidDel="00127642">
        <w:rPr>
          <w:rFonts w:ascii="Arial" w:hAnsi="Arial" w:cs="Arial"/>
          <w:lang w:val="en-US"/>
        </w:rPr>
        <w:t xml:space="preserve"> </w:t>
      </w:r>
      <w:r w:rsidRPr="0087686C">
        <w:rPr>
          <w:rFonts w:ascii="Arial" w:hAnsi="Arial" w:cs="Arial"/>
          <w:lang w:val="en-US"/>
        </w:rPr>
        <w:t>phase. This preparation was then mixed for five minutes in an Ultra-Turrax T25 at 15,000 rpm. This dispersion is called the pre-emulsion.</w:t>
      </w:r>
      <w:bookmarkStart w:id="156" w:name="_Hlk16261803"/>
      <w:bookmarkEnd w:id="155"/>
      <w:r>
        <w:rPr>
          <w:rFonts w:ascii="Arial" w:hAnsi="Arial" w:cs="Arial"/>
          <w:lang w:val="en-US"/>
        </w:rPr>
        <w:t xml:space="preserve"> </w:t>
      </w:r>
      <w:r w:rsidRPr="0087686C">
        <w:rPr>
          <w:rFonts w:ascii="Arial" w:hAnsi="Arial" w:cs="Arial"/>
          <w:lang w:val="en-US"/>
        </w:rPr>
        <w:t>In the second step, the pre-emulsion was introduced into a volumetric flask, purged with nitrogen for 5 min. After degassing, the initiator (APS) was introduced</w:t>
      </w:r>
      <w:bookmarkEnd w:id="156"/>
      <w:r w:rsidRPr="0087686C">
        <w:rPr>
          <w:rFonts w:ascii="Arial" w:hAnsi="Arial" w:cs="Arial"/>
          <w:lang w:val="en-US"/>
        </w:rPr>
        <w:t xml:space="preserve">. Then, the flask was set into the controlling heating bath (Shaker SHZ-88 at 150 rpm) at 80°C and was allowed to react for 2.0 hr. </w:t>
      </w:r>
    </w:p>
    <w:p w:rsidR="00FD05B8" w:rsidRPr="00FD05B8" w:rsidRDefault="00FD05B8" w:rsidP="00FD05B8">
      <w:pPr>
        <w:jc w:val="both"/>
        <w:rPr>
          <w:rStyle w:val="Ttulo3Car"/>
          <w:rFonts w:ascii="Arial" w:hAnsi="Arial" w:cs="Arial"/>
          <w:b/>
          <w:lang w:val="en-US"/>
        </w:rPr>
      </w:pPr>
    </w:p>
    <w:p w:rsidR="00FD05B8" w:rsidRPr="007508D2" w:rsidRDefault="00FD05B8" w:rsidP="00FD05B8">
      <w:pPr>
        <w:jc w:val="both"/>
        <w:rPr>
          <w:rFonts w:ascii="Arial" w:hAnsi="Arial" w:cs="Arial"/>
          <w:bCs/>
          <w:lang w:val="en-US"/>
        </w:rPr>
      </w:pPr>
      <w:bookmarkStart w:id="157" w:name="_Toc50031259"/>
      <w:r w:rsidRPr="00FD05B8">
        <w:rPr>
          <w:rStyle w:val="Ttulo3Car"/>
          <w:rFonts w:ascii="Arial" w:hAnsi="Arial" w:cs="Arial"/>
          <w:bCs/>
          <w:lang w:val="en-US"/>
        </w:rPr>
        <w:t>3.2.1 Buffer Solution Preparation</w:t>
      </w:r>
      <w:bookmarkEnd w:id="157"/>
      <w:r w:rsidRPr="00FD05B8">
        <w:rPr>
          <w:rStyle w:val="Ttulo3Car"/>
          <w:rFonts w:ascii="Arial" w:hAnsi="Arial" w:cs="Arial"/>
          <w:bCs/>
          <w:lang w:val="en-US"/>
        </w:rPr>
        <w:t xml:space="preserve"> </w:t>
      </w:r>
    </w:p>
    <w:p w:rsidR="00FD05B8" w:rsidRDefault="00FD05B8" w:rsidP="00FD05B8">
      <w:pPr>
        <w:jc w:val="both"/>
        <w:rPr>
          <w:rFonts w:ascii="Arial" w:hAnsi="Arial" w:cs="Arial"/>
          <w:color w:val="000000"/>
          <w:lang w:val="en-US"/>
        </w:rPr>
      </w:pPr>
      <w:r w:rsidRPr="0087686C">
        <w:rPr>
          <w:rFonts w:ascii="Arial" w:hAnsi="Arial" w:cs="Arial"/>
          <w:lang w:val="en-US"/>
        </w:rPr>
        <w:lastRenderedPageBreak/>
        <w:t>Table 2 lists the ingredients used to prepare the buffer solution.</w:t>
      </w:r>
      <w:r w:rsidRPr="0087686C">
        <w:rPr>
          <w:rFonts w:ascii="Arial" w:hAnsi="Arial" w:cs="Arial"/>
          <w:color w:val="000000"/>
          <w:lang w:val="en-US"/>
        </w:rPr>
        <w:t xml:space="preserve"> The solid content corresponds to the theoretical value. This value was corroborated with humidity balance (OHAUS MB35). The verification for the pH value was performed with a potentiometer (Oakton), yielding a value of 7.0. The objective was to obtain a “pre-emulsion” with an initial pH=8.</w:t>
      </w:r>
    </w:p>
    <w:p w:rsidR="00FD05B8" w:rsidRPr="00334039" w:rsidRDefault="00FD05B8" w:rsidP="00FD05B8">
      <w:pPr>
        <w:jc w:val="right"/>
        <w:rPr>
          <w:rFonts w:ascii="Arial" w:hAnsi="Arial" w:cs="Arial"/>
          <w:i/>
          <w:iCs/>
          <w:color w:val="000000"/>
          <w:lang w:val="en-US"/>
        </w:rPr>
      </w:pPr>
    </w:p>
    <w:p w:rsidR="00FD05B8" w:rsidRPr="00334039" w:rsidRDefault="00FD05B8" w:rsidP="00FD05B8">
      <w:pPr>
        <w:jc w:val="center"/>
        <w:rPr>
          <w:rFonts w:ascii="Arial" w:hAnsi="Arial" w:cs="Arial"/>
          <w:i/>
          <w:iCs/>
          <w:sz w:val="20"/>
          <w:szCs w:val="20"/>
          <w:lang w:val="en-US"/>
        </w:rPr>
      </w:pPr>
      <w:r w:rsidRPr="00334039">
        <w:rPr>
          <w:rFonts w:ascii="Arial" w:hAnsi="Arial" w:cs="Arial"/>
          <w:i/>
          <w:iCs/>
          <w:sz w:val="20"/>
          <w:szCs w:val="20"/>
          <w:lang w:val="en-US"/>
        </w:rPr>
        <w:t>Table 1.</w:t>
      </w:r>
      <w:r w:rsidRPr="00334039">
        <w:rPr>
          <w:rFonts w:ascii="Arial" w:hAnsi="Arial" w:cs="Arial"/>
          <w:i/>
          <w:iCs/>
          <w:color w:val="212121"/>
          <w:sz w:val="20"/>
          <w:szCs w:val="20"/>
          <w:shd w:val="clear" w:color="auto" w:fill="FFFFFF"/>
          <w:lang w:val="en-US"/>
        </w:rPr>
        <w:t xml:space="preserve"> Experimental runs based on one hundred parts of monomer (pph), dry basis.</w:t>
      </w:r>
    </w:p>
    <w:tbl>
      <w:tblPr>
        <w:tblW w:w="0" w:type="auto"/>
        <w:tblBorders>
          <w:top w:val="single" w:sz="4" w:space="0" w:color="666666"/>
          <w:bottom w:val="single" w:sz="4" w:space="0" w:color="666666"/>
          <w:insideH w:val="single" w:sz="4" w:space="0" w:color="666666"/>
        </w:tblBorders>
        <w:tblLook w:val="04A0" w:firstRow="1" w:lastRow="0" w:firstColumn="1" w:lastColumn="0" w:noHBand="0" w:noVBand="1"/>
      </w:tblPr>
      <w:tblGrid>
        <w:gridCol w:w="1610"/>
        <w:gridCol w:w="1242"/>
        <w:gridCol w:w="1242"/>
        <w:gridCol w:w="1242"/>
        <w:gridCol w:w="1249"/>
        <w:gridCol w:w="1249"/>
        <w:gridCol w:w="1250"/>
      </w:tblGrid>
      <w:tr w:rsidR="00FD05B8" w:rsidRPr="00334039" w:rsidTr="00B81843">
        <w:tc>
          <w:tcPr>
            <w:tcW w:w="1610" w:type="dxa"/>
            <w:tcBorders>
              <w:bottom w:val="single" w:sz="18" w:space="0" w:color="auto"/>
            </w:tcBorders>
            <w:shd w:val="clear" w:color="auto" w:fill="auto"/>
          </w:tcPr>
          <w:p w:rsidR="00FD05B8" w:rsidRPr="00334039" w:rsidRDefault="00FD05B8" w:rsidP="00B81843">
            <w:pPr>
              <w:jc w:val="both"/>
              <w:rPr>
                <w:rFonts w:ascii="Arial" w:hAnsi="Arial" w:cs="Arial"/>
                <w:b/>
                <w:bCs/>
                <w:sz w:val="20"/>
                <w:szCs w:val="20"/>
                <w:lang w:val="en-US" w:eastAsia="es-MX"/>
              </w:rPr>
            </w:pPr>
            <w:r w:rsidRPr="00334039">
              <w:rPr>
                <w:rFonts w:ascii="Arial" w:hAnsi="Arial" w:cs="Arial"/>
                <w:bCs/>
                <w:sz w:val="20"/>
                <w:szCs w:val="20"/>
                <w:lang w:val="en-US" w:eastAsia="es-MX"/>
              </w:rPr>
              <w:t>Reagents/Exp.</w:t>
            </w:r>
          </w:p>
        </w:tc>
        <w:tc>
          <w:tcPr>
            <w:tcW w:w="1242" w:type="dxa"/>
            <w:tcBorders>
              <w:bottom w:val="single" w:sz="18" w:space="0" w:color="auto"/>
            </w:tcBorders>
            <w:shd w:val="clear" w:color="auto" w:fill="auto"/>
          </w:tcPr>
          <w:p w:rsidR="00FD05B8" w:rsidRPr="00334039" w:rsidRDefault="00FD05B8" w:rsidP="00B81843">
            <w:pPr>
              <w:jc w:val="center"/>
              <w:rPr>
                <w:rFonts w:ascii="Arial" w:hAnsi="Arial" w:cs="Arial"/>
                <w:b/>
                <w:bCs/>
                <w:sz w:val="20"/>
                <w:szCs w:val="20"/>
                <w:lang w:val="en-US" w:eastAsia="es-MX"/>
              </w:rPr>
            </w:pPr>
            <w:r w:rsidRPr="00334039">
              <w:rPr>
                <w:rFonts w:ascii="Arial" w:hAnsi="Arial" w:cs="Arial"/>
                <w:b/>
                <w:bCs/>
                <w:sz w:val="20"/>
                <w:szCs w:val="20"/>
                <w:lang w:val="en-US" w:eastAsia="es-MX"/>
              </w:rPr>
              <w:t>1</w:t>
            </w:r>
          </w:p>
          <w:p w:rsidR="00FD05B8" w:rsidRPr="00334039" w:rsidRDefault="00FD05B8" w:rsidP="00B81843">
            <w:pPr>
              <w:jc w:val="center"/>
              <w:rPr>
                <w:rFonts w:ascii="Arial" w:hAnsi="Arial" w:cs="Arial"/>
                <w:b/>
                <w:bCs/>
                <w:sz w:val="20"/>
                <w:szCs w:val="20"/>
                <w:lang w:val="en-US" w:eastAsia="es-MX"/>
              </w:rPr>
            </w:pPr>
          </w:p>
        </w:tc>
        <w:tc>
          <w:tcPr>
            <w:tcW w:w="1242" w:type="dxa"/>
            <w:tcBorders>
              <w:bottom w:val="single" w:sz="18" w:space="0" w:color="auto"/>
            </w:tcBorders>
            <w:shd w:val="clear" w:color="auto" w:fill="auto"/>
          </w:tcPr>
          <w:p w:rsidR="00FD05B8" w:rsidRPr="00334039" w:rsidRDefault="00FD05B8" w:rsidP="00B81843">
            <w:pPr>
              <w:jc w:val="center"/>
              <w:rPr>
                <w:rFonts w:ascii="Arial" w:hAnsi="Arial" w:cs="Arial"/>
                <w:b/>
                <w:bCs/>
                <w:sz w:val="20"/>
                <w:szCs w:val="20"/>
                <w:lang w:val="en-US" w:eastAsia="es-MX"/>
              </w:rPr>
            </w:pPr>
            <w:r w:rsidRPr="00334039">
              <w:rPr>
                <w:rFonts w:ascii="Arial" w:hAnsi="Arial" w:cs="Arial"/>
                <w:b/>
                <w:bCs/>
                <w:sz w:val="20"/>
                <w:szCs w:val="20"/>
                <w:lang w:val="en-US" w:eastAsia="es-MX"/>
              </w:rPr>
              <w:t>2</w:t>
            </w:r>
          </w:p>
          <w:p w:rsidR="00FD05B8" w:rsidRPr="00334039" w:rsidRDefault="00FD05B8" w:rsidP="00B81843">
            <w:pPr>
              <w:jc w:val="center"/>
              <w:rPr>
                <w:rFonts w:ascii="Arial" w:hAnsi="Arial" w:cs="Arial"/>
                <w:b/>
                <w:bCs/>
                <w:sz w:val="20"/>
                <w:szCs w:val="20"/>
                <w:lang w:val="en-US" w:eastAsia="es-MX"/>
              </w:rPr>
            </w:pPr>
          </w:p>
        </w:tc>
        <w:tc>
          <w:tcPr>
            <w:tcW w:w="1242" w:type="dxa"/>
            <w:tcBorders>
              <w:bottom w:val="single" w:sz="18" w:space="0" w:color="auto"/>
            </w:tcBorders>
            <w:shd w:val="clear" w:color="auto" w:fill="auto"/>
          </w:tcPr>
          <w:p w:rsidR="00FD05B8" w:rsidRPr="00334039" w:rsidRDefault="00FD05B8" w:rsidP="00B81843">
            <w:pPr>
              <w:jc w:val="center"/>
              <w:rPr>
                <w:rFonts w:ascii="Arial" w:hAnsi="Arial" w:cs="Arial"/>
                <w:b/>
                <w:bCs/>
                <w:sz w:val="20"/>
                <w:szCs w:val="20"/>
                <w:lang w:val="en-US" w:eastAsia="es-MX"/>
              </w:rPr>
            </w:pPr>
            <w:r w:rsidRPr="00334039">
              <w:rPr>
                <w:rFonts w:ascii="Arial" w:hAnsi="Arial" w:cs="Arial"/>
                <w:b/>
                <w:bCs/>
                <w:sz w:val="20"/>
                <w:szCs w:val="20"/>
                <w:lang w:val="en-US" w:eastAsia="es-MX"/>
              </w:rPr>
              <w:t>3</w:t>
            </w:r>
          </w:p>
          <w:p w:rsidR="00FD05B8" w:rsidRPr="00334039" w:rsidRDefault="00FD05B8" w:rsidP="00B81843">
            <w:pPr>
              <w:jc w:val="center"/>
              <w:rPr>
                <w:rFonts w:ascii="Arial" w:hAnsi="Arial" w:cs="Arial"/>
                <w:b/>
                <w:bCs/>
                <w:sz w:val="20"/>
                <w:szCs w:val="20"/>
                <w:lang w:val="en-US" w:eastAsia="es-MX"/>
              </w:rPr>
            </w:pPr>
          </w:p>
        </w:tc>
        <w:tc>
          <w:tcPr>
            <w:tcW w:w="1249" w:type="dxa"/>
            <w:tcBorders>
              <w:bottom w:val="single" w:sz="18" w:space="0" w:color="auto"/>
            </w:tcBorders>
            <w:shd w:val="clear" w:color="auto" w:fill="auto"/>
          </w:tcPr>
          <w:p w:rsidR="00FD05B8" w:rsidRPr="00334039" w:rsidRDefault="00FD05B8" w:rsidP="00B81843">
            <w:pPr>
              <w:jc w:val="center"/>
              <w:rPr>
                <w:rFonts w:ascii="Arial" w:hAnsi="Arial" w:cs="Arial"/>
                <w:b/>
                <w:bCs/>
                <w:sz w:val="20"/>
                <w:szCs w:val="20"/>
                <w:lang w:val="en-US" w:eastAsia="es-MX"/>
              </w:rPr>
            </w:pPr>
            <w:r w:rsidRPr="00334039">
              <w:rPr>
                <w:rFonts w:ascii="Arial" w:hAnsi="Arial" w:cs="Arial"/>
                <w:b/>
                <w:bCs/>
                <w:sz w:val="20"/>
                <w:szCs w:val="20"/>
                <w:lang w:val="en-US" w:eastAsia="es-MX"/>
              </w:rPr>
              <w:t>4</w:t>
            </w:r>
          </w:p>
          <w:p w:rsidR="00FD05B8" w:rsidRPr="00334039" w:rsidRDefault="00FD05B8" w:rsidP="00B81843">
            <w:pPr>
              <w:jc w:val="center"/>
              <w:rPr>
                <w:rFonts w:ascii="Arial" w:hAnsi="Arial" w:cs="Arial"/>
                <w:b/>
                <w:bCs/>
                <w:sz w:val="20"/>
                <w:szCs w:val="20"/>
                <w:lang w:val="en-US" w:eastAsia="es-MX"/>
              </w:rPr>
            </w:pPr>
          </w:p>
        </w:tc>
        <w:tc>
          <w:tcPr>
            <w:tcW w:w="1249" w:type="dxa"/>
            <w:tcBorders>
              <w:bottom w:val="single" w:sz="18" w:space="0" w:color="auto"/>
            </w:tcBorders>
            <w:shd w:val="clear" w:color="auto" w:fill="auto"/>
          </w:tcPr>
          <w:p w:rsidR="00FD05B8" w:rsidRPr="00334039" w:rsidRDefault="00FD05B8" w:rsidP="00B81843">
            <w:pPr>
              <w:jc w:val="center"/>
              <w:rPr>
                <w:rFonts w:ascii="Arial" w:hAnsi="Arial" w:cs="Arial"/>
                <w:b/>
                <w:bCs/>
                <w:sz w:val="20"/>
                <w:szCs w:val="20"/>
                <w:lang w:val="en-US" w:eastAsia="es-MX"/>
              </w:rPr>
            </w:pPr>
            <w:r w:rsidRPr="00334039">
              <w:rPr>
                <w:rFonts w:ascii="Arial" w:hAnsi="Arial" w:cs="Arial"/>
                <w:b/>
                <w:bCs/>
                <w:sz w:val="20"/>
                <w:szCs w:val="20"/>
                <w:lang w:val="en-US" w:eastAsia="es-MX"/>
              </w:rPr>
              <w:t>5</w:t>
            </w:r>
          </w:p>
          <w:p w:rsidR="00FD05B8" w:rsidRPr="00334039" w:rsidRDefault="00FD05B8" w:rsidP="00B81843">
            <w:pPr>
              <w:jc w:val="center"/>
              <w:rPr>
                <w:rFonts w:ascii="Arial" w:hAnsi="Arial" w:cs="Arial"/>
                <w:b/>
                <w:bCs/>
                <w:sz w:val="20"/>
                <w:szCs w:val="20"/>
                <w:lang w:val="en-US" w:eastAsia="es-MX"/>
              </w:rPr>
            </w:pPr>
          </w:p>
        </w:tc>
        <w:tc>
          <w:tcPr>
            <w:tcW w:w="1250" w:type="dxa"/>
            <w:tcBorders>
              <w:bottom w:val="single" w:sz="18" w:space="0" w:color="auto"/>
            </w:tcBorders>
            <w:shd w:val="clear" w:color="auto" w:fill="auto"/>
          </w:tcPr>
          <w:p w:rsidR="00FD05B8" w:rsidRPr="00334039" w:rsidRDefault="00FD05B8" w:rsidP="00B81843">
            <w:pPr>
              <w:jc w:val="center"/>
              <w:rPr>
                <w:rFonts w:ascii="Arial" w:hAnsi="Arial" w:cs="Arial"/>
                <w:b/>
                <w:bCs/>
                <w:sz w:val="20"/>
                <w:szCs w:val="20"/>
                <w:lang w:val="en-US" w:eastAsia="es-MX"/>
              </w:rPr>
            </w:pPr>
            <w:r w:rsidRPr="00334039">
              <w:rPr>
                <w:rFonts w:ascii="Arial" w:hAnsi="Arial" w:cs="Arial"/>
                <w:b/>
                <w:bCs/>
                <w:sz w:val="20"/>
                <w:szCs w:val="20"/>
                <w:lang w:val="en-US" w:eastAsia="es-MX"/>
              </w:rPr>
              <w:t>6</w:t>
            </w:r>
          </w:p>
          <w:p w:rsidR="00FD05B8" w:rsidRPr="00334039" w:rsidRDefault="00FD05B8" w:rsidP="00B81843">
            <w:pPr>
              <w:jc w:val="center"/>
              <w:rPr>
                <w:rFonts w:ascii="Arial" w:hAnsi="Arial" w:cs="Arial"/>
                <w:b/>
                <w:bCs/>
                <w:sz w:val="20"/>
                <w:szCs w:val="20"/>
                <w:lang w:val="en-US" w:eastAsia="es-MX"/>
              </w:rPr>
            </w:pPr>
          </w:p>
        </w:tc>
      </w:tr>
      <w:tr w:rsidR="00FD05B8" w:rsidRPr="00334039" w:rsidTr="00B81843">
        <w:tc>
          <w:tcPr>
            <w:tcW w:w="1610" w:type="dxa"/>
            <w:tcBorders>
              <w:top w:val="single" w:sz="18" w:space="0" w:color="auto"/>
            </w:tcBorders>
            <w:shd w:val="clear" w:color="auto" w:fill="auto"/>
          </w:tcPr>
          <w:p w:rsidR="00FD05B8" w:rsidRPr="00334039" w:rsidRDefault="00FD05B8" w:rsidP="00B81843">
            <w:pPr>
              <w:jc w:val="both"/>
              <w:rPr>
                <w:rFonts w:ascii="Arial" w:hAnsi="Arial" w:cs="Arial"/>
                <w:b/>
                <w:bCs/>
                <w:sz w:val="20"/>
                <w:szCs w:val="20"/>
                <w:lang w:val="en-US" w:eastAsia="es-MX"/>
              </w:rPr>
            </w:pPr>
            <w:r w:rsidRPr="00334039">
              <w:rPr>
                <w:rFonts w:ascii="Arial" w:hAnsi="Arial" w:cs="Arial"/>
                <w:b/>
                <w:bCs/>
                <w:sz w:val="20"/>
                <w:szCs w:val="20"/>
                <w:lang w:val="en-US" w:eastAsia="es-MX"/>
              </w:rPr>
              <w:t>STY</w:t>
            </w:r>
          </w:p>
        </w:tc>
        <w:tc>
          <w:tcPr>
            <w:tcW w:w="1242" w:type="dxa"/>
            <w:tcBorders>
              <w:top w:val="single" w:sz="18" w:space="0" w:color="auto"/>
            </w:tcBorders>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rPr>
              <w:t>100</w:t>
            </w:r>
          </w:p>
        </w:tc>
        <w:tc>
          <w:tcPr>
            <w:tcW w:w="1242" w:type="dxa"/>
            <w:tcBorders>
              <w:top w:val="single" w:sz="18" w:space="0" w:color="auto"/>
            </w:tcBorders>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eastAsia="es-MX"/>
              </w:rPr>
              <w:t>100</w:t>
            </w:r>
          </w:p>
        </w:tc>
        <w:tc>
          <w:tcPr>
            <w:tcW w:w="1242" w:type="dxa"/>
            <w:tcBorders>
              <w:top w:val="single" w:sz="18" w:space="0" w:color="auto"/>
              <w:bottom w:val="single" w:sz="6" w:space="0" w:color="auto"/>
            </w:tcBorders>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eastAsia="es-MX"/>
              </w:rPr>
              <w:t>100</w:t>
            </w:r>
          </w:p>
        </w:tc>
        <w:tc>
          <w:tcPr>
            <w:tcW w:w="1249" w:type="dxa"/>
            <w:tcBorders>
              <w:top w:val="single" w:sz="18" w:space="0" w:color="auto"/>
              <w:bottom w:val="single" w:sz="6" w:space="0" w:color="auto"/>
            </w:tcBorders>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eastAsia="es-MX"/>
              </w:rPr>
              <w:t>100</w:t>
            </w:r>
          </w:p>
        </w:tc>
        <w:tc>
          <w:tcPr>
            <w:tcW w:w="1249" w:type="dxa"/>
            <w:tcBorders>
              <w:top w:val="single" w:sz="18" w:space="0" w:color="auto"/>
            </w:tcBorders>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eastAsia="es-MX"/>
              </w:rPr>
              <w:t>100</w:t>
            </w:r>
          </w:p>
        </w:tc>
        <w:tc>
          <w:tcPr>
            <w:tcW w:w="1250" w:type="dxa"/>
            <w:tcBorders>
              <w:top w:val="single" w:sz="18" w:space="0" w:color="auto"/>
            </w:tcBorders>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eastAsia="es-MX"/>
              </w:rPr>
              <w:t>100</w:t>
            </w:r>
          </w:p>
        </w:tc>
      </w:tr>
      <w:tr w:rsidR="00FD05B8" w:rsidRPr="00334039" w:rsidTr="00B81843">
        <w:tc>
          <w:tcPr>
            <w:tcW w:w="1610" w:type="dxa"/>
            <w:shd w:val="clear" w:color="auto" w:fill="auto"/>
          </w:tcPr>
          <w:p w:rsidR="00FD05B8" w:rsidRPr="00334039" w:rsidRDefault="00FD05B8" w:rsidP="00B81843">
            <w:pPr>
              <w:jc w:val="both"/>
              <w:rPr>
                <w:rFonts w:ascii="Arial" w:hAnsi="Arial" w:cs="Arial"/>
                <w:b/>
                <w:bCs/>
                <w:sz w:val="20"/>
                <w:szCs w:val="20"/>
                <w:lang w:val="en-US" w:eastAsia="es-MX"/>
              </w:rPr>
            </w:pPr>
            <w:r w:rsidRPr="00334039">
              <w:rPr>
                <w:rFonts w:ascii="Arial" w:hAnsi="Arial" w:cs="Arial"/>
                <w:b/>
                <w:bCs/>
                <w:sz w:val="20"/>
                <w:szCs w:val="20"/>
                <w:lang w:val="en-US" w:eastAsia="es-MX"/>
              </w:rPr>
              <w:t xml:space="preserve">Ludox AM </w:t>
            </w:r>
          </w:p>
        </w:tc>
        <w:tc>
          <w:tcPr>
            <w:tcW w:w="1242" w:type="dxa"/>
            <w:shd w:val="clear" w:color="auto" w:fill="auto"/>
          </w:tcPr>
          <w:p w:rsidR="00FD05B8" w:rsidRPr="00334039" w:rsidRDefault="00FD05B8" w:rsidP="00B81843">
            <w:pPr>
              <w:jc w:val="center"/>
              <w:rPr>
                <w:rFonts w:ascii="Arial" w:hAnsi="Arial" w:cs="Arial"/>
                <w:sz w:val="20"/>
                <w:szCs w:val="20"/>
                <w:lang w:val="en-US" w:eastAsia="es-MX"/>
              </w:rPr>
            </w:pPr>
            <w:r w:rsidRPr="00334039">
              <w:rPr>
                <w:rFonts w:ascii="Arial" w:hAnsi="Arial" w:cs="Arial"/>
                <w:sz w:val="20"/>
                <w:szCs w:val="20"/>
                <w:lang w:val="en-US" w:eastAsia="es-MX"/>
              </w:rPr>
              <w:t>-</w:t>
            </w:r>
          </w:p>
        </w:tc>
        <w:tc>
          <w:tcPr>
            <w:tcW w:w="1242" w:type="dxa"/>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eastAsia="es-MX"/>
              </w:rPr>
              <w:t>15</w:t>
            </w:r>
          </w:p>
        </w:tc>
        <w:tc>
          <w:tcPr>
            <w:tcW w:w="1242" w:type="dxa"/>
            <w:tcBorders>
              <w:top w:val="single" w:sz="6" w:space="0" w:color="auto"/>
            </w:tcBorders>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eastAsia="es-MX"/>
              </w:rPr>
              <w:t>15</w:t>
            </w:r>
          </w:p>
        </w:tc>
        <w:tc>
          <w:tcPr>
            <w:tcW w:w="1249" w:type="dxa"/>
            <w:tcBorders>
              <w:top w:val="single" w:sz="6" w:space="0" w:color="auto"/>
            </w:tcBorders>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eastAsia="es-MX"/>
              </w:rPr>
              <w:t>15</w:t>
            </w:r>
          </w:p>
        </w:tc>
        <w:tc>
          <w:tcPr>
            <w:tcW w:w="1249" w:type="dxa"/>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eastAsia="es-MX"/>
              </w:rPr>
              <w:t>15</w:t>
            </w:r>
          </w:p>
        </w:tc>
        <w:tc>
          <w:tcPr>
            <w:tcW w:w="1250" w:type="dxa"/>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eastAsia="es-MX"/>
              </w:rPr>
              <w:t>15</w:t>
            </w:r>
          </w:p>
        </w:tc>
      </w:tr>
      <w:tr w:rsidR="00FD05B8" w:rsidRPr="00334039" w:rsidTr="00B81843">
        <w:tc>
          <w:tcPr>
            <w:tcW w:w="1610" w:type="dxa"/>
            <w:shd w:val="clear" w:color="auto" w:fill="auto"/>
          </w:tcPr>
          <w:p w:rsidR="00FD05B8" w:rsidRPr="00334039" w:rsidRDefault="00FD05B8" w:rsidP="00B81843">
            <w:pPr>
              <w:jc w:val="both"/>
              <w:rPr>
                <w:rFonts w:ascii="Arial" w:hAnsi="Arial" w:cs="Arial"/>
                <w:b/>
                <w:bCs/>
                <w:sz w:val="20"/>
                <w:szCs w:val="20"/>
                <w:lang w:val="en-US" w:eastAsia="es-MX"/>
              </w:rPr>
            </w:pPr>
            <w:r w:rsidRPr="00334039">
              <w:rPr>
                <w:rFonts w:ascii="Arial" w:hAnsi="Arial" w:cs="Arial"/>
                <w:b/>
                <w:bCs/>
                <w:sz w:val="20"/>
                <w:szCs w:val="20"/>
                <w:lang w:val="en-US" w:eastAsia="es-MX"/>
              </w:rPr>
              <w:t>APS</w:t>
            </w:r>
          </w:p>
        </w:tc>
        <w:tc>
          <w:tcPr>
            <w:tcW w:w="1242" w:type="dxa"/>
            <w:shd w:val="clear" w:color="auto" w:fill="auto"/>
          </w:tcPr>
          <w:p w:rsidR="00FD05B8" w:rsidRPr="00334039" w:rsidRDefault="00FD05B8" w:rsidP="00B81843">
            <w:pPr>
              <w:jc w:val="center"/>
              <w:rPr>
                <w:rFonts w:ascii="Arial" w:hAnsi="Arial" w:cs="Arial"/>
                <w:sz w:val="20"/>
                <w:szCs w:val="20"/>
                <w:lang w:val="en-US" w:eastAsia="es-MX"/>
              </w:rPr>
            </w:pPr>
            <w:r w:rsidRPr="00334039">
              <w:rPr>
                <w:rFonts w:ascii="Arial" w:hAnsi="Arial" w:cs="Arial"/>
                <w:sz w:val="20"/>
                <w:szCs w:val="20"/>
                <w:lang w:val="en-US" w:eastAsia="es-MX"/>
              </w:rPr>
              <w:t>2</w:t>
            </w:r>
          </w:p>
        </w:tc>
        <w:tc>
          <w:tcPr>
            <w:tcW w:w="1242" w:type="dxa"/>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eastAsia="es-MX"/>
              </w:rPr>
              <w:t>2</w:t>
            </w:r>
          </w:p>
        </w:tc>
        <w:tc>
          <w:tcPr>
            <w:tcW w:w="1242" w:type="dxa"/>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eastAsia="es-MX"/>
              </w:rPr>
              <w:t>2</w:t>
            </w:r>
          </w:p>
        </w:tc>
        <w:tc>
          <w:tcPr>
            <w:tcW w:w="1249" w:type="dxa"/>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eastAsia="es-MX"/>
              </w:rPr>
              <w:t>2</w:t>
            </w:r>
          </w:p>
        </w:tc>
        <w:tc>
          <w:tcPr>
            <w:tcW w:w="1249" w:type="dxa"/>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eastAsia="es-MX"/>
              </w:rPr>
              <w:t>2</w:t>
            </w:r>
          </w:p>
        </w:tc>
        <w:tc>
          <w:tcPr>
            <w:tcW w:w="1250" w:type="dxa"/>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eastAsia="es-MX"/>
              </w:rPr>
              <w:t>2</w:t>
            </w:r>
          </w:p>
        </w:tc>
      </w:tr>
      <w:tr w:rsidR="00FD05B8" w:rsidRPr="00334039" w:rsidTr="00B81843">
        <w:tc>
          <w:tcPr>
            <w:tcW w:w="1610" w:type="dxa"/>
            <w:shd w:val="clear" w:color="auto" w:fill="auto"/>
          </w:tcPr>
          <w:p w:rsidR="00FD05B8" w:rsidRPr="00334039" w:rsidRDefault="00FD05B8" w:rsidP="00B81843">
            <w:pPr>
              <w:jc w:val="both"/>
              <w:rPr>
                <w:rFonts w:ascii="Arial" w:hAnsi="Arial" w:cs="Arial"/>
                <w:b/>
                <w:bCs/>
                <w:sz w:val="20"/>
                <w:szCs w:val="20"/>
                <w:lang w:val="en-US" w:eastAsia="es-MX"/>
              </w:rPr>
            </w:pPr>
            <w:r w:rsidRPr="00334039">
              <w:rPr>
                <w:rFonts w:ascii="Arial" w:hAnsi="Arial" w:cs="Arial"/>
                <w:b/>
                <w:bCs/>
                <w:sz w:val="20"/>
                <w:szCs w:val="20"/>
                <w:lang w:val="en-US" w:eastAsia="es-MX"/>
              </w:rPr>
              <w:t>4VP</w:t>
            </w:r>
          </w:p>
        </w:tc>
        <w:tc>
          <w:tcPr>
            <w:tcW w:w="1242" w:type="dxa"/>
            <w:shd w:val="clear" w:color="auto" w:fill="auto"/>
          </w:tcPr>
          <w:p w:rsidR="00FD05B8" w:rsidRPr="00334039" w:rsidRDefault="00FD05B8" w:rsidP="00B81843">
            <w:pPr>
              <w:jc w:val="center"/>
              <w:rPr>
                <w:rFonts w:ascii="Arial" w:hAnsi="Arial" w:cs="Arial"/>
                <w:sz w:val="20"/>
                <w:szCs w:val="20"/>
                <w:lang w:val="en-US"/>
              </w:rPr>
            </w:pPr>
            <w:r w:rsidRPr="00334039">
              <w:rPr>
                <w:rFonts w:ascii="Arial" w:hAnsi="Arial" w:cs="Arial"/>
                <w:sz w:val="20"/>
                <w:szCs w:val="20"/>
                <w:lang w:val="en-US" w:eastAsia="es-MX"/>
              </w:rPr>
              <w:t>-</w:t>
            </w:r>
          </w:p>
        </w:tc>
        <w:tc>
          <w:tcPr>
            <w:tcW w:w="1242" w:type="dxa"/>
            <w:shd w:val="clear" w:color="auto" w:fill="auto"/>
          </w:tcPr>
          <w:p w:rsidR="00FD05B8" w:rsidRPr="00334039" w:rsidRDefault="00FD05B8" w:rsidP="00B81843">
            <w:pPr>
              <w:jc w:val="center"/>
              <w:rPr>
                <w:rFonts w:ascii="Arial" w:hAnsi="Arial" w:cs="Arial"/>
                <w:sz w:val="20"/>
                <w:szCs w:val="20"/>
              </w:rPr>
            </w:pPr>
            <w:r w:rsidRPr="00334039">
              <w:rPr>
                <w:rFonts w:ascii="Arial" w:hAnsi="Arial" w:cs="Arial"/>
                <w:sz w:val="20"/>
                <w:szCs w:val="20"/>
                <w:lang w:eastAsia="es-MX"/>
              </w:rPr>
              <w:t>-</w:t>
            </w:r>
          </w:p>
        </w:tc>
        <w:tc>
          <w:tcPr>
            <w:tcW w:w="1242"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0.5</w:t>
            </w:r>
          </w:p>
        </w:tc>
        <w:tc>
          <w:tcPr>
            <w:tcW w:w="1249"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0.5</w:t>
            </w:r>
          </w:p>
        </w:tc>
        <w:tc>
          <w:tcPr>
            <w:tcW w:w="1249"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0.5</w:t>
            </w:r>
          </w:p>
        </w:tc>
        <w:tc>
          <w:tcPr>
            <w:tcW w:w="1250"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0.5</w:t>
            </w:r>
          </w:p>
        </w:tc>
      </w:tr>
      <w:tr w:rsidR="00FD05B8" w:rsidRPr="00334039" w:rsidTr="00B81843">
        <w:tc>
          <w:tcPr>
            <w:tcW w:w="1610" w:type="dxa"/>
            <w:shd w:val="clear" w:color="auto" w:fill="auto"/>
          </w:tcPr>
          <w:p w:rsidR="00FD05B8" w:rsidRPr="00334039" w:rsidRDefault="00FD05B8" w:rsidP="00B81843">
            <w:pPr>
              <w:jc w:val="both"/>
              <w:rPr>
                <w:rFonts w:ascii="Arial" w:hAnsi="Arial" w:cs="Arial"/>
                <w:b/>
                <w:bCs/>
                <w:sz w:val="20"/>
                <w:szCs w:val="20"/>
                <w:lang w:eastAsia="es-MX"/>
              </w:rPr>
            </w:pPr>
            <w:r w:rsidRPr="00334039">
              <w:rPr>
                <w:rFonts w:ascii="Arial" w:hAnsi="Arial" w:cs="Arial"/>
                <w:b/>
                <w:bCs/>
                <w:sz w:val="20"/>
                <w:szCs w:val="20"/>
                <w:lang w:eastAsia="es-MX"/>
              </w:rPr>
              <w:t>VBS</w:t>
            </w:r>
          </w:p>
        </w:tc>
        <w:tc>
          <w:tcPr>
            <w:tcW w:w="1242"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w:t>
            </w:r>
          </w:p>
        </w:tc>
        <w:tc>
          <w:tcPr>
            <w:tcW w:w="1242"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w:t>
            </w:r>
          </w:p>
        </w:tc>
        <w:tc>
          <w:tcPr>
            <w:tcW w:w="1242"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0.5</w:t>
            </w:r>
          </w:p>
        </w:tc>
        <w:tc>
          <w:tcPr>
            <w:tcW w:w="1249"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0.5</w:t>
            </w:r>
          </w:p>
        </w:tc>
        <w:tc>
          <w:tcPr>
            <w:tcW w:w="1249"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0.5</w:t>
            </w:r>
          </w:p>
        </w:tc>
        <w:tc>
          <w:tcPr>
            <w:tcW w:w="1250"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0.5</w:t>
            </w:r>
          </w:p>
        </w:tc>
      </w:tr>
      <w:tr w:rsidR="00FD05B8" w:rsidRPr="00334039" w:rsidTr="00B81843">
        <w:tc>
          <w:tcPr>
            <w:tcW w:w="1610" w:type="dxa"/>
            <w:shd w:val="clear" w:color="auto" w:fill="auto"/>
          </w:tcPr>
          <w:p w:rsidR="00FD05B8" w:rsidRPr="00334039" w:rsidRDefault="00FD05B8" w:rsidP="00B81843">
            <w:pPr>
              <w:jc w:val="both"/>
              <w:rPr>
                <w:rFonts w:ascii="Arial" w:hAnsi="Arial" w:cs="Arial"/>
                <w:b/>
                <w:bCs/>
                <w:sz w:val="20"/>
                <w:szCs w:val="20"/>
                <w:lang w:eastAsia="es-MX"/>
              </w:rPr>
            </w:pPr>
            <w:r w:rsidRPr="00334039">
              <w:rPr>
                <w:rFonts w:ascii="Arial" w:hAnsi="Arial" w:cs="Arial"/>
                <w:b/>
                <w:bCs/>
                <w:sz w:val="20"/>
                <w:szCs w:val="20"/>
                <w:lang w:eastAsia="es-MX"/>
              </w:rPr>
              <w:t>CTAB</w:t>
            </w:r>
          </w:p>
        </w:tc>
        <w:tc>
          <w:tcPr>
            <w:tcW w:w="1242"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w:t>
            </w:r>
          </w:p>
        </w:tc>
        <w:tc>
          <w:tcPr>
            <w:tcW w:w="1242"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w:t>
            </w:r>
          </w:p>
        </w:tc>
        <w:tc>
          <w:tcPr>
            <w:tcW w:w="1242"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w:t>
            </w:r>
          </w:p>
        </w:tc>
        <w:tc>
          <w:tcPr>
            <w:tcW w:w="1249"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0.1</w:t>
            </w:r>
          </w:p>
        </w:tc>
        <w:tc>
          <w:tcPr>
            <w:tcW w:w="1249"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0.05</w:t>
            </w:r>
          </w:p>
        </w:tc>
        <w:tc>
          <w:tcPr>
            <w:tcW w:w="1250"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w:t>
            </w:r>
          </w:p>
        </w:tc>
      </w:tr>
      <w:tr w:rsidR="00FD05B8" w:rsidRPr="00334039" w:rsidTr="00B81843">
        <w:tc>
          <w:tcPr>
            <w:tcW w:w="1610" w:type="dxa"/>
            <w:shd w:val="clear" w:color="auto" w:fill="auto"/>
          </w:tcPr>
          <w:p w:rsidR="00FD05B8" w:rsidRPr="00334039" w:rsidRDefault="00FD05B8" w:rsidP="00B81843">
            <w:pPr>
              <w:jc w:val="both"/>
              <w:rPr>
                <w:rFonts w:ascii="Arial" w:hAnsi="Arial" w:cs="Arial"/>
                <w:b/>
                <w:bCs/>
                <w:sz w:val="20"/>
                <w:szCs w:val="20"/>
                <w:lang w:eastAsia="es-MX"/>
              </w:rPr>
            </w:pPr>
            <w:r w:rsidRPr="00334039">
              <w:rPr>
                <w:rFonts w:ascii="Arial" w:hAnsi="Arial" w:cs="Arial"/>
                <w:b/>
                <w:bCs/>
                <w:sz w:val="20"/>
                <w:szCs w:val="20"/>
                <w:lang w:eastAsia="es-MX"/>
              </w:rPr>
              <w:t>PEGMA</w:t>
            </w:r>
          </w:p>
        </w:tc>
        <w:tc>
          <w:tcPr>
            <w:tcW w:w="1242"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w:t>
            </w:r>
          </w:p>
        </w:tc>
        <w:tc>
          <w:tcPr>
            <w:tcW w:w="1242"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w:t>
            </w:r>
          </w:p>
        </w:tc>
        <w:tc>
          <w:tcPr>
            <w:tcW w:w="1242"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w:t>
            </w:r>
          </w:p>
        </w:tc>
        <w:tc>
          <w:tcPr>
            <w:tcW w:w="1249"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w:t>
            </w:r>
          </w:p>
        </w:tc>
        <w:tc>
          <w:tcPr>
            <w:tcW w:w="1249"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w:t>
            </w:r>
          </w:p>
        </w:tc>
        <w:tc>
          <w:tcPr>
            <w:tcW w:w="1250" w:type="dxa"/>
            <w:shd w:val="clear" w:color="auto" w:fill="auto"/>
          </w:tcPr>
          <w:p w:rsidR="00FD05B8" w:rsidRPr="00334039" w:rsidRDefault="00FD05B8" w:rsidP="00B81843">
            <w:pPr>
              <w:jc w:val="center"/>
              <w:rPr>
                <w:rFonts w:ascii="Arial" w:hAnsi="Arial" w:cs="Arial"/>
                <w:sz w:val="20"/>
                <w:szCs w:val="20"/>
                <w:lang w:eastAsia="es-MX"/>
              </w:rPr>
            </w:pPr>
            <w:r w:rsidRPr="00334039">
              <w:rPr>
                <w:rFonts w:ascii="Arial" w:hAnsi="Arial" w:cs="Arial"/>
                <w:sz w:val="20"/>
                <w:szCs w:val="20"/>
                <w:lang w:eastAsia="es-MX"/>
              </w:rPr>
              <w:t>0.1</w:t>
            </w:r>
          </w:p>
        </w:tc>
      </w:tr>
      <w:tr w:rsidR="00FD05B8" w:rsidRPr="00334039" w:rsidTr="00B81843">
        <w:tc>
          <w:tcPr>
            <w:tcW w:w="1610" w:type="dxa"/>
            <w:shd w:val="clear" w:color="auto" w:fill="auto"/>
          </w:tcPr>
          <w:p w:rsidR="00FD05B8" w:rsidRPr="00334039" w:rsidRDefault="00FD05B8" w:rsidP="00B81843">
            <w:pPr>
              <w:jc w:val="both"/>
              <w:rPr>
                <w:rFonts w:ascii="Arial" w:hAnsi="Arial" w:cs="Arial"/>
                <w:b/>
                <w:bCs/>
                <w:sz w:val="20"/>
                <w:szCs w:val="20"/>
                <w:lang w:eastAsia="es-MX"/>
              </w:rPr>
            </w:pPr>
            <w:r w:rsidRPr="00334039">
              <w:rPr>
                <w:rFonts w:ascii="Arial" w:hAnsi="Arial" w:cs="Arial"/>
                <w:b/>
                <w:bCs/>
                <w:sz w:val="20"/>
                <w:szCs w:val="20"/>
                <w:lang w:eastAsia="es-MX"/>
              </w:rPr>
              <w:t>Buffer *</w:t>
            </w:r>
          </w:p>
          <w:p w:rsidR="00FD05B8" w:rsidRPr="00334039" w:rsidRDefault="00FD05B8" w:rsidP="00B81843">
            <w:pPr>
              <w:jc w:val="both"/>
              <w:rPr>
                <w:rFonts w:ascii="Arial" w:hAnsi="Arial" w:cs="Arial"/>
                <w:b/>
                <w:bCs/>
                <w:sz w:val="20"/>
                <w:szCs w:val="20"/>
                <w:lang w:eastAsia="es-MX"/>
              </w:rPr>
            </w:pPr>
          </w:p>
        </w:tc>
        <w:tc>
          <w:tcPr>
            <w:tcW w:w="1242" w:type="dxa"/>
            <w:shd w:val="clear" w:color="auto" w:fill="auto"/>
          </w:tcPr>
          <w:p w:rsidR="00FD05B8" w:rsidRPr="00334039" w:rsidRDefault="00FD05B8" w:rsidP="00B81843">
            <w:pPr>
              <w:jc w:val="center"/>
              <w:rPr>
                <w:rFonts w:ascii="Arial" w:hAnsi="Arial" w:cs="Arial"/>
                <w:sz w:val="20"/>
                <w:szCs w:val="20"/>
              </w:rPr>
            </w:pPr>
            <w:r w:rsidRPr="00334039">
              <w:rPr>
                <w:rFonts w:ascii="Arial" w:hAnsi="Arial" w:cs="Arial"/>
                <w:sz w:val="20"/>
                <w:szCs w:val="20"/>
              </w:rPr>
              <w:t>0.15</w:t>
            </w:r>
          </w:p>
        </w:tc>
        <w:tc>
          <w:tcPr>
            <w:tcW w:w="1242" w:type="dxa"/>
            <w:shd w:val="clear" w:color="auto" w:fill="auto"/>
          </w:tcPr>
          <w:p w:rsidR="00FD05B8" w:rsidRPr="00334039" w:rsidRDefault="00FD05B8" w:rsidP="00B81843">
            <w:pPr>
              <w:jc w:val="center"/>
              <w:rPr>
                <w:rFonts w:ascii="Arial" w:hAnsi="Arial" w:cs="Arial"/>
                <w:sz w:val="20"/>
                <w:szCs w:val="20"/>
              </w:rPr>
            </w:pPr>
            <w:r w:rsidRPr="00334039">
              <w:rPr>
                <w:rFonts w:ascii="Arial" w:hAnsi="Arial" w:cs="Arial"/>
                <w:sz w:val="20"/>
                <w:szCs w:val="20"/>
              </w:rPr>
              <w:t>0.15</w:t>
            </w:r>
          </w:p>
        </w:tc>
        <w:tc>
          <w:tcPr>
            <w:tcW w:w="1242" w:type="dxa"/>
            <w:shd w:val="clear" w:color="auto" w:fill="auto"/>
          </w:tcPr>
          <w:p w:rsidR="00FD05B8" w:rsidRPr="00334039" w:rsidRDefault="00FD05B8" w:rsidP="00B81843">
            <w:pPr>
              <w:jc w:val="center"/>
              <w:rPr>
                <w:rFonts w:ascii="Arial" w:hAnsi="Arial" w:cs="Arial"/>
                <w:sz w:val="20"/>
                <w:szCs w:val="20"/>
              </w:rPr>
            </w:pPr>
            <w:r w:rsidRPr="00334039">
              <w:rPr>
                <w:rFonts w:ascii="Arial" w:hAnsi="Arial" w:cs="Arial"/>
                <w:sz w:val="20"/>
                <w:szCs w:val="20"/>
              </w:rPr>
              <w:t>0.15</w:t>
            </w:r>
          </w:p>
        </w:tc>
        <w:tc>
          <w:tcPr>
            <w:tcW w:w="1249" w:type="dxa"/>
            <w:shd w:val="clear" w:color="auto" w:fill="auto"/>
          </w:tcPr>
          <w:p w:rsidR="00FD05B8" w:rsidRPr="00334039" w:rsidRDefault="00FD05B8" w:rsidP="00B81843">
            <w:pPr>
              <w:jc w:val="center"/>
              <w:rPr>
                <w:rFonts w:ascii="Arial" w:hAnsi="Arial" w:cs="Arial"/>
                <w:sz w:val="20"/>
                <w:szCs w:val="20"/>
              </w:rPr>
            </w:pPr>
            <w:r w:rsidRPr="00334039">
              <w:rPr>
                <w:rFonts w:ascii="Arial" w:hAnsi="Arial" w:cs="Arial"/>
                <w:sz w:val="20"/>
                <w:szCs w:val="20"/>
              </w:rPr>
              <w:t>0.15</w:t>
            </w:r>
          </w:p>
        </w:tc>
        <w:tc>
          <w:tcPr>
            <w:tcW w:w="1249" w:type="dxa"/>
            <w:shd w:val="clear" w:color="auto" w:fill="auto"/>
          </w:tcPr>
          <w:p w:rsidR="00FD05B8" w:rsidRPr="00334039" w:rsidRDefault="00FD05B8" w:rsidP="00B81843">
            <w:pPr>
              <w:jc w:val="center"/>
              <w:rPr>
                <w:rFonts w:ascii="Arial" w:hAnsi="Arial" w:cs="Arial"/>
                <w:sz w:val="20"/>
                <w:szCs w:val="20"/>
              </w:rPr>
            </w:pPr>
            <w:r w:rsidRPr="00334039">
              <w:rPr>
                <w:rFonts w:ascii="Arial" w:hAnsi="Arial" w:cs="Arial"/>
                <w:sz w:val="20"/>
                <w:szCs w:val="20"/>
              </w:rPr>
              <w:t>0.15</w:t>
            </w:r>
          </w:p>
        </w:tc>
        <w:tc>
          <w:tcPr>
            <w:tcW w:w="1250" w:type="dxa"/>
            <w:shd w:val="clear" w:color="auto" w:fill="auto"/>
          </w:tcPr>
          <w:p w:rsidR="00FD05B8" w:rsidRPr="00334039" w:rsidRDefault="00FD05B8" w:rsidP="00B81843">
            <w:pPr>
              <w:jc w:val="center"/>
              <w:rPr>
                <w:rFonts w:ascii="Arial" w:hAnsi="Arial" w:cs="Arial"/>
                <w:sz w:val="20"/>
                <w:szCs w:val="20"/>
              </w:rPr>
            </w:pPr>
            <w:r w:rsidRPr="00334039">
              <w:rPr>
                <w:rFonts w:ascii="Arial" w:hAnsi="Arial" w:cs="Arial"/>
                <w:sz w:val="20"/>
                <w:szCs w:val="20"/>
              </w:rPr>
              <w:t>0.15</w:t>
            </w:r>
          </w:p>
        </w:tc>
      </w:tr>
    </w:tbl>
    <w:p w:rsidR="00FD05B8" w:rsidRPr="00334039" w:rsidRDefault="00FD05B8" w:rsidP="00FD05B8">
      <w:pPr>
        <w:spacing w:line="480" w:lineRule="auto"/>
        <w:jc w:val="both"/>
        <w:rPr>
          <w:rFonts w:ascii="Arial" w:hAnsi="Arial" w:cs="Arial"/>
          <w:sz w:val="20"/>
          <w:szCs w:val="20"/>
          <w:lang w:val="en-US"/>
        </w:rPr>
      </w:pPr>
      <w:r w:rsidRPr="00334039">
        <w:rPr>
          <w:rFonts w:ascii="Arial" w:hAnsi="Arial" w:cs="Arial"/>
          <w:sz w:val="20"/>
          <w:szCs w:val="20"/>
          <w:lang w:val="en-US"/>
        </w:rPr>
        <w:t>* Buffer ingredients are listed in Table 2.</w:t>
      </w:r>
    </w:p>
    <w:p w:rsidR="00FD05B8" w:rsidRPr="00691676" w:rsidRDefault="00FD05B8" w:rsidP="00FD05B8">
      <w:pPr>
        <w:spacing w:line="360" w:lineRule="auto"/>
        <w:jc w:val="center"/>
        <w:rPr>
          <w:rFonts w:ascii="Arial" w:hAnsi="Arial" w:cs="Arial"/>
          <w:color w:val="000000"/>
          <w:sz w:val="20"/>
          <w:szCs w:val="20"/>
          <w:lang w:val="en-US"/>
        </w:rPr>
      </w:pPr>
      <w:r w:rsidRPr="00691676">
        <w:rPr>
          <w:rFonts w:ascii="Arial" w:hAnsi="Arial" w:cs="Arial"/>
          <w:color w:val="000000"/>
          <w:sz w:val="20"/>
          <w:szCs w:val="20"/>
          <w:lang w:val="en-US"/>
        </w:rPr>
        <w:t xml:space="preserve">Table </w:t>
      </w:r>
      <w:r w:rsidRPr="00691676">
        <w:rPr>
          <w:rFonts w:ascii="Arial" w:hAnsi="Arial" w:cs="Arial"/>
          <w:color w:val="000000"/>
          <w:sz w:val="20"/>
          <w:szCs w:val="20"/>
          <w:lang w:val="en-US"/>
        </w:rPr>
        <w:fldChar w:fldCharType="begin"/>
      </w:r>
      <w:r w:rsidRPr="00691676">
        <w:rPr>
          <w:rFonts w:ascii="Arial" w:hAnsi="Arial" w:cs="Arial"/>
          <w:color w:val="000000"/>
          <w:sz w:val="20"/>
          <w:szCs w:val="20"/>
          <w:lang w:val="en-US"/>
        </w:rPr>
        <w:instrText xml:space="preserve"> SEQ Tabla \* ARABIC \s 1 </w:instrText>
      </w:r>
      <w:r w:rsidRPr="00691676">
        <w:rPr>
          <w:rFonts w:ascii="Arial" w:hAnsi="Arial" w:cs="Arial"/>
          <w:color w:val="000000"/>
          <w:sz w:val="20"/>
          <w:szCs w:val="20"/>
          <w:lang w:val="en-US"/>
        </w:rPr>
        <w:fldChar w:fldCharType="separate"/>
      </w:r>
      <w:r w:rsidRPr="00691676">
        <w:rPr>
          <w:rFonts w:ascii="Arial" w:hAnsi="Arial" w:cs="Arial"/>
          <w:noProof/>
          <w:color w:val="000000"/>
          <w:sz w:val="20"/>
          <w:szCs w:val="20"/>
          <w:lang w:val="en-US"/>
        </w:rPr>
        <w:t>2</w:t>
      </w:r>
      <w:r w:rsidRPr="00691676">
        <w:rPr>
          <w:rFonts w:ascii="Arial" w:hAnsi="Arial" w:cs="Arial"/>
          <w:color w:val="000000"/>
          <w:sz w:val="20"/>
          <w:szCs w:val="20"/>
          <w:lang w:val="en-US"/>
        </w:rPr>
        <w:fldChar w:fldCharType="end"/>
      </w:r>
      <w:r w:rsidRPr="00691676">
        <w:rPr>
          <w:rFonts w:ascii="Arial" w:hAnsi="Arial" w:cs="Arial"/>
          <w:color w:val="000000"/>
          <w:sz w:val="20"/>
          <w:szCs w:val="20"/>
          <w:lang w:val="en-US"/>
        </w:rPr>
        <w:t>. Preparation of buffer solution.</w:t>
      </w:r>
    </w:p>
    <w:tbl>
      <w:tblPr>
        <w:tblW w:w="0" w:type="auto"/>
        <w:jc w:val="center"/>
        <w:tblLook w:val="04A0" w:firstRow="1" w:lastRow="0" w:firstColumn="1" w:lastColumn="0" w:noHBand="0" w:noVBand="1"/>
      </w:tblPr>
      <w:tblGrid>
        <w:gridCol w:w="1741"/>
        <w:gridCol w:w="1754"/>
        <w:gridCol w:w="1722"/>
        <w:gridCol w:w="1724"/>
      </w:tblGrid>
      <w:tr w:rsidR="00FD05B8" w:rsidRPr="00334039" w:rsidTr="00B81843">
        <w:trPr>
          <w:jc w:val="center"/>
        </w:trPr>
        <w:tc>
          <w:tcPr>
            <w:tcW w:w="1741" w:type="dxa"/>
            <w:tcBorders>
              <w:bottom w:val="single" w:sz="4" w:space="0" w:color="666666"/>
            </w:tcBorders>
            <w:shd w:val="clear" w:color="auto" w:fill="auto"/>
          </w:tcPr>
          <w:p w:rsidR="00FD05B8" w:rsidRPr="00334039" w:rsidRDefault="00FD05B8" w:rsidP="00B81843">
            <w:pPr>
              <w:jc w:val="center"/>
              <w:rPr>
                <w:rFonts w:ascii="Arial" w:hAnsi="Arial" w:cs="Arial"/>
                <w:b/>
                <w:bCs/>
                <w:color w:val="000000"/>
                <w:sz w:val="20"/>
                <w:szCs w:val="20"/>
                <w:lang w:val="en-US"/>
              </w:rPr>
            </w:pPr>
            <w:r w:rsidRPr="00334039">
              <w:rPr>
                <w:rFonts w:ascii="Arial" w:hAnsi="Arial" w:cs="Arial"/>
                <w:color w:val="000000"/>
                <w:sz w:val="20"/>
                <w:szCs w:val="20"/>
                <w:lang w:val="en-US"/>
              </w:rPr>
              <w:t>Reagents</w:t>
            </w:r>
          </w:p>
        </w:tc>
        <w:tc>
          <w:tcPr>
            <w:tcW w:w="1754" w:type="dxa"/>
            <w:tcBorders>
              <w:bottom w:val="single" w:sz="4" w:space="0" w:color="666666"/>
            </w:tcBorders>
            <w:shd w:val="clear" w:color="auto" w:fill="auto"/>
          </w:tcPr>
          <w:p w:rsidR="00FD05B8" w:rsidRPr="00334039" w:rsidRDefault="00FD05B8" w:rsidP="00B81843">
            <w:pPr>
              <w:jc w:val="center"/>
              <w:rPr>
                <w:rFonts w:ascii="Arial" w:hAnsi="Arial" w:cs="Arial"/>
                <w:b/>
                <w:bCs/>
                <w:color w:val="000000"/>
                <w:sz w:val="20"/>
                <w:szCs w:val="20"/>
                <w:lang w:val="en-US"/>
              </w:rPr>
            </w:pPr>
            <w:r w:rsidRPr="00334039">
              <w:rPr>
                <w:rFonts w:ascii="Arial" w:hAnsi="Arial" w:cs="Arial"/>
                <w:color w:val="000000"/>
                <w:sz w:val="20"/>
                <w:szCs w:val="20"/>
                <w:lang w:val="en-US"/>
              </w:rPr>
              <w:t>Amount (g)</w:t>
            </w:r>
          </w:p>
        </w:tc>
        <w:tc>
          <w:tcPr>
            <w:tcW w:w="1722" w:type="dxa"/>
            <w:tcBorders>
              <w:bottom w:val="single" w:sz="4" w:space="0" w:color="666666"/>
            </w:tcBorders>
            <w:shd w:val="clear" w:color="auto" w:fill="auto"/>
          </w:tcPr>
          <w:p w:rsidR="00FD05B8" w:rsidRPr="00334039" w:rsidRDefault="00FD05B8" w:rsidP="00B81843">
            <w:pPr>
              <w:jc w:val="center"/>
              <w:rPr>
                <w:rFonts w:ascii="Arial" w:hAnsi="Arial" w:cs="Arial"/>
                <w:b/>
                <w:bCs/>
                <w:color w:val="000000"/>
                <w:sz w:val="20"/>
                <w:szCs w:val="20"/>
                <w:lang w:val="en-US"/>
              </w:rPr>
            </w:pPr>
            <w:r w:rsidRPr="00334039">
              <w:rPr>
                <w:rFonts w:ascii="Arial" w:hAnsi="Arial" w:cs="Arial"/>
                <w:color w:val="000000"/>
                <w:sz w:val="20"/>
                <w:szCs w:val="20"/>
                <w:lang w:val="en-US"/>
              </w:rPr>
              <w:t>Purity (%)</w:t>
            </w:r>
          </w:p>
        </w:tc>
        <w:tc>
          <w:tcPr>
            <w:tcW w:w="1724" w:type="dxa"/>
            <w:tcBorders>
              <w:bottom w:val="single" w:sz="4" w:space="0" w:color="666666"/>
            </w:tcBorders>
            <w:shd w:val="clear" w:color="auto" w:fill="auto"/>
          </w:tcPr>
          <w:p w:rsidR="00FD05B8" w:rsidRPr="00334039" w:rsidRDefault="00FD05B8" w:rsidP="00B81843">
            <w:pPr>
              <w:jc w:val="center"/>
              <w:rPr>
                <w:rFonts w:ascii="Arial" w:hAnsi="Arial" w:cs="Arial"/>
                <w:b/>
                <w:bCs/>
                <w:color w:val="000000"/>
                <w:sz w:val="20"/>
                <w:szCs w:val="20"/>
                <w:lang w:val="en-US"/>
              </w:rPr>
            </w:pPr>
            <w:r w:rsidRPr="00334039">
              <w:rPr>
                <w:rFonts w:ascii="Arial" w:hAnsi="Arial" w:cs="Arial"/>
                <w:color w:val="000000"/>
                <w:sz w:val="20"/>
                <w:szCs w:val="20"/>
                <w:lang w:val="en-US"/>
              </w:rPr>
              <w:t xml:space="preserve"> Active Parts</w:t>
            </w:r>
          </w:p>
        </w:tc>
      </w:tr>
      <w:tr w:rsidR="00FD05B8" w:rsidRPr="00334039" w:rsidTr="00B81843">
        <w:trPr>
          <w:jc w:val="center"/>
        </w:trPr>
        <w:tc>
          <w:tcPr>
            <w:tcW w:w="1741" w:type="dxa"/>
            <w:tcBorders>
              <w:top w:val="single" w:sz="18" w:space="0" w:color="000000"/>
              <w:bottom w:val="single" w:sz="6" w:space="0" w:color="000000"/>
            </w:tcBorders>
            <w:shd w:val="clear" w:color="auto" w:fill="auto"/>
          </w:tcPr>
          <w:p w:rsidR="00FD05B8" w:rsidRPr="00334039" w:rsidRDefault="00FD05B8" w:rsidP="00B81843">
            <w:pPr>
              <w:jc w:val="center"/>
              <w:rPr>
                <w:rFonts w:ascii="Arial" w:hAnsi="Arial" w:cs="Arial"/>
                <w:b/>
                <w:bCs/>
                <w:color w:val="000000"/>
                <w:sz w:val="20"/>
                <w:szCs w:val="20"/>
                <w:lang w:val="en-US"/>
              </w:rPr>
            </w:pPr>
            <w:r w:rsidRPr="00334039">
              <w:rPr>
                <w:rFonts w:ascii="Arial" w:hAnsi="Arial" w:cs="Arial"/>
                <w:color w:val="000000"/>
                <w:sz w:val="20"/>
                <w:szCs w:val="20"/>
                <w:lang w:val="en-US"/>
              </w:rPr>
              <w:t>NaH</w:t>
            </w:r>
            <w:r w:rsidRPr="00334039">
              <w:rPr>
                <w:rFonts w:ascii="Arial" w:hAnsi="Arial" w:cs="Arial"/>
                <w:color w:val="000000"/>
                <w:sz w:val="20"/>
                <w:szCs w:val="20"/>
                <w:vertAlign w:val="subscript"/>
                <w:lang w:val="en-US"/>
              </w:rPr>
              <w:t>2</w:t>
            </w:r>
            <w:r w:rsidRPr="00334039">
              <w:rPr>
                <w:rFonts w:ascii="Arial" w:hAnsi="Arial" w:cs="Arial"/>
                <w:color w:val="000000"/>
                <w:sz w:val="20"/>
                <w:szCs w:val="20"/>
                <w:lang w:val="en-US"/>
              </w:rPr>
              <w:t>PO</w:t>
            </w:r>
            <w:r w:rsidRPr="00334039">
              <w:rPr>
                <w:rFonts w:ascii="Arial" w:hAnsi="Arial" w:cs="Arial"/>
                <w:color w:val="000000"/>
                <w:sz w:val="20"/>
                <w:szCs w:val="20"/>
                <w:vertAlign w:val="subscript"/>
                <w:lang w:val="en-US"/>
              </w:rPr>
              <w:t>4</w:t>
            </w:r>
          </w:p>
          <w:p w:rsidR="00FD05B8" w:rsidRPr="00334039" w:rsidRDefault="00FD05B8" w:rsidP="00B81843">
            <w:pPr>
              <w:rPr>
                <w:rFonts w:ascii="Arial" w:hAnsi="Arial" w:cs="Arial"/>
                <w:b/>
                <w:bCs/>
                <w:color w:val="000000"/>
                <w:sz w:val="20"/>
                <w:szCs w:val="20"/>
                <w:lang w:val="en-US"/>
              </w:rPr>
            </w:pPr>
          </w:p>
        </w:tc>
        <w:tc>
          <w:tcPr>
            <w:tcW w:w="1754" w:type="dxa"/>
            <w:tcBorders>
              <w:top w:val="single" w:sz="18" w:space="0" w:color="000000"/>
              <w:bottom w:val="single" w:sz="6" w:space="0" w:color="000000"/>
            </w:tcBorders>
            <w:shd w:val="clear" w:color="auto" w:fill="auto"/>
          </w:tcPr>
          <w:p w:rsidR="00FD05B8" w:rsidRPr="00334039" w:rsidRDefault="00FD05B8" w:rsidP="00B81843">
            <w:pPr>
              <w:jc w:val="center"/>
              <w:rPr>
                <w:rFonts w:ascii="Arial" w:hAnsi="Arial" w:cs="Arial"/>
                <w:color w:val="000000"/>
                <w:sz w:val="20"/>
                <w:szCs w:val="20"/>
                <w:lang w:val="en-US"/>
              </w:rPr>
            </w:pPr>
            <w:r w:rsidRPr="00334039">
              <w:rPr>
                <w:rFonts w:ascii="Arial" w:hAnsi="Arial" w:cs="Arial"/>
                <w:color w:val="000000"/>
                <w:sz w:val="20"/>
                <w:szCs w:val="20"/>
                <w:lang w:val="en-US"/>
              </w:rPr>
              <w:t>0.692</w:t>
            </w:r>
          </w:p>
        </w:tc>
        <w:tc>
          <w:tcPr>
            <w:tcW w:w="1722" w:type="dxa"/>
            <w:tcBorders>
              <w:top w:val="single" w:sz="18" w:space="0" w:color="000000"/>
              <w:bottom w:val="single" w:sz="6" w:space="0" w:color="000000"/>
            </w:tcBorders>
            <w:shd w:val="clear" w:color="auto" w:fill="auto"/>
          </w:tcPr>
          <w:p w:rsidR="00FD05B8" w:rsidRPr="00334039" w:rsidRDefault="00FD05B8" w:rsidP="00B81843">
            <w:pPr>
              <w:jc w:val="center"/>
              <w:rPr>
                <w:rFonts w:ascii="Arial" w:hAnsi="Arial" w:cs="Arial"/>
                <w:color w:val="000000"/>
                <w:sz w:val="20"/>
                <w:szCs w:val="20"/>
                <w:lang w:val="en-US"/>
              </w:rPr>
            </w:pPr>
            <w:r w:rsidRPr="00334039">
              <w:rPr>
                <w:rFonts w:ascii="Arial" w:hAnsi="Arial" w:cs="Arial"/>
                <w:color w:val="000000"/>
                <w:sz w:val="20"/>
                <w:szCs w:val="20"/>
                <w:lang w:val="en-US"/>
              </w:rPr>
              <w:t>99.3</w:t>
            </w:r>
          </w:p>
        </w:tc>
        <w:tc>
          <w:tcPr>
            <w:tcW w:w="1724" w:type="dxa"/>
            <w:tcBorders>
              <w:top w:val="single" w:sz="18" w:space="0" w:color="000000"/>
              <w:bottom w:val="single" w:sz="6" w:space="0" w:color="000000"/>
            </w:tcBorders>
            <w:shd w:val="clear" w:color="auto" w:fill="auto"/>
          </w:tcPr>
          <w:p w:rsidR="00FD05B8" w:rsidRPr="00334039" w:rsidRDefault="00FD05B8" w:rsidP="00B81843">
            <w:pPr>
              <w:jc w:val="center"/>
              <w:rPr>
                <w:rFonts w:ascii="Arial" w:hAnsi="Arial" w:cs="Arial"/>
                <w:color w:val="000000"/>
                <w:sz w:val="20"/>
                <w:szCs w:val="20"/>
                <w:lang w:val="en-US"/>
              </w:rPr>
            </w:pPr>
            <w:r w:rsidRPr="00334039">
              <w:rPr>
                <w:rFonts w:ascii="Arial" w:hAnsi="Arial" w:cs="Arial"/>
                <w:color w:val="000000"/>
                <w:sz w:val="20"/>
                <w:szCs w:val="20"/>
                <w:lang w:val="en-US"/>
              </w:rPr>
              <w:t>0.687</w:t>
            </w:r>
          </w:p>
        </w:tc>
      </w:tr>
      <w:tr w:rsidR="00FD05B8" w:rsidRPr="00334039" w:rsidTr="00B81843">
        <w:trPr>
          <w:jc w:val="center"/>
        </w:trPr>
        <w:tc>
          <w:tcPr>
            <w:tcW w:w="1741" w:type="dxa"/>
            <w:tcBorders>
              <w:top w:val="single" w:sz="6" w:space="0" w:color="000000"/>
              <w:bottom w:val="single" w:sz="6" w:space="0" w:color="000000"/>
            </w:tcBorders>
            <w:shd w:val="clear" w:color="auto" w:fill="auto"/>
          </w:tcPr>
          <w:p w:rsidR="00FD05B8" w:rsidRPr="00334039" w:rsidRDefault="00FD05B8" w:rsidP="00B81843">
            <w:pPr>
              <w:rPr>
                <w:rFonts w:ascii="Arial" w:hAnsi="Arial" w:cs="Arial"/>
                <w:b/>
                <w:bCs/>
                <w:color w:val="000000"/>
                <w:sz w:val="20"/>
                <w:szCs w:val="20"/>
                <w:lang w:val="en-US"/>
              </w:rPr>
            </w:pPr>
            <w:r w:rsidRPr="00334039">
              <w:rPr>
                <w:rFonts w:ascii="Arial" w:hAnsi="Arial" w:cs="Arial"/>
                <w:color w:val="000000"/>
                <w:sz w:val="20"/>
                <w:szCs w:val="20"/>
                <w:lang w:val="en-US"/>
              </w:rPr>
              <w:t xml:space="preserve">      Na</w:t>
            </w:r>
            <w:r w:rsidRPr="00334039">
              <w:rPr>
                <w:rFonts w:ascii="Arial" w:hAnsi="Arial" w:cs="Arial"/>
                <w:color w:val="000000"/>
                <w:sz w:val="20"/>
                <w:szCs w:val="20"/>
                <w:vertAlign w:val="subscript"/>
                <w:lang w:val="en-US"/>
              </w:rPr>
              <w:t>2</w:t>
            </w:r>
            <w:r w:rsidRPr="00334039">
              <w:rPr>
                <w:rFonts w:ascii="Arial" w:hAnsi="Arial" w:cs="Arial"/>
                <w:color w:val="000000"/>
                <w:sz w:val="20"/>
                <w:szCs w:val="20"/>
                <w:lang w:val="en-US"/>
              </w:rPr>
              <w:t>HPO</w:t>
            </w:r>
            <w:r w:rsidRPr="00334039">
              <w:rPr>
                <w:rFonts w:ascii="Arial" w:hAnsi="Arial" w:cs="Arial"/>
                <w:color w:val="000000"/>
                <w:sz w:val="20"/>
                <w:szCs w:val="20"/>
                <w:vertAlign w:val="subscript"/>
                <w:lang w:val="en-US"/>
              </w:rPr>
              <w:t>4</w:t>
            </w:r>
          </w:p>
          <w:p w:rsidR="00FD05B8" w:rsidRPr="00334039" w:rsidRDefault="00FD05B8" w:rsidP="00B81843">
            <w:pPr>
              <w:jc w:val="center"/>
              <w:rPr>
                <w:rFonts w:ascii="Arial" w:hAnsi="Arial" w:cs="Arial"/>
                <w:b/>
                <w:bCs/>
                <w:color w:val="000000"/>
                <w:sz w:val="20"/>
                <w:szCs w:val="20"/>
                <w:lang w:val="en-US"/>
              </w:rPr>
            </w:pPr>
          </w:p>
        </w:tc>
        <w:tc>
          <w:tcPr>
            <w:tcW w:w="1754" w:type="dxa"/>
            <w:tcBorders>
              <w:top w:val="single" w:sz="6" w:space="0" w:color="000000"/>
              <w:bottom w:val="single" w:sz="6" w:space="0" w:color="000000"/>
            </w:tcBorders>
            <w:shd w:val="clear" w:color="auto" w:fill="auto"/>
          </w:tcPr>
          <w:p w:rsidR="00FD05B8" w:rsidRPr="00334039" w:rsidRDefault="00FD05B8" w:rsidP="00B81843">
            <w:pPr>
              <w:jc w:val="center"/>
              <w:rPr>
                <w:rFonts w:ascii="Arial" w:hAnsi="Arial" w:cs="Arial"/>
                <w:color w:val="000000"/>
                <w:sz w:val="20"/>
                <w:szCs w:val="20"/>
                <w:lang w:val="en-US"/>
              </w:rPr>
            </w:pPr>
            <w:r w:rsidRPr="00334039">
              <w:rPr>
                <w:rFonts w:ascii="Arial" w:hAnsi="Arial" w:cs="Arial"/>
                <w:color w:val="000000"/>
                <w:sz w:val="20"/>
                <w:szCs w:val="20"/>
                <w:lang w:val="en-US"/>
              </w:rPr>
              <w:t>2.840</w:t>
            </w:r>
          </w:p>
          <w:p w:rsidR="00FD05B8" w:rsidRPr="00334039" w:rsidRDefault="00FD05B8" w:rsidP="00B81843">
            <w:pPr>
              <w:jc w:val="center"/>
              <w:rPr>
                <w:rFonts w:ascii="Arial" w:hAnsi="Arial" w:cs="Arial"/>
                <w:color w:val="000000"/>
                <w:sz w:val="20"/>
                <w:szCs w:val="20"/>
                <w:lang w:val="en-US"/>
              </w:rPr>
            </w:pPr>
          </w:p>
        </w:tc>
        <w:tc>
          <w:tcPr>
            <w:tcW w:w="1722" w:type="dxa"/>
            <w:tcBorders>
              <w:top w:val="single" w:sz="6" w:space="0" w:color="000000"/>
              <w:bottom w:val="single" w:sz="6" w:space="0" w:color="000000"/>
            </w:tcBorders>
            <w:shd w:val="clear" w:color="auto" w:fill="auto"/>
          </w:tcPr>
          <w:p w:rsidR="00FD05B8" w:rsidRPr="00334039" w:rsidRDefault="00FD05B8" w:rsidP="00B81843">
            <w:pPr>
              <w:jc w:val="center"/>
              <w:rPr>
                <w:rFonts w:ascii="Arial" w:hAnsi="Arial" w:cs="Arial"/>
                <w:color w:val="000000"/>
                <w:sz w:val="20"/>
                <w:szCs w:val="20"/>
                <w:lang w:val="en-US"/>
              </w:rPr>
            </w:pPr>
            <w:r w:rsidRPr="00334039">
              <w:rPr>
                <w:rFonts w:ascii="Arial" w:hAnsi="Arial" w:cs="Arial"/>
                <w:color w:val="000000"/>
                <w:sz w:val="20"/>
                <w:szCs w:val="20"/>
                <w:lang w:val="en-US"/>
              </w:rPr>
              <w:t>99.3</w:t>
            </w:r>
          </w:p>
        </w:tc>
        <w:tc>
          <w:tcPr>
            <w:tcW w:w="1724" w:type="dxa"/>
            <w:tcBorders>
              <w:top w:val="single" w:sz="6" w:space="0" w:color="000000"/>
              <w:bottom w:val="single" w:sz="6" w:space="0" w:color="000000"/>
            </w:tcBorders>
            <w:shd w:val="clear" w:color="auto" w:fill="auto"/>
          </w:tcPr>
          <w:p w:rsidR="00FD05B8" w:rsidRPr="00334039" w:rsidRDefault="00FD05B8" w:rsidP="00B81843">
            <w:pPr>
              <w:jc w:val="center"/>
              <w:rPr>
                <w:rFonts w:ascii="Arial" w:hAnsi="Arial" w:cs="Arial"/>
                <w:color w:val="000000"/>
                <w:sz w:val="20"/>
                <w:szCs w:val="20"/>
                <w:lang w:val="en-US"/>
              </w:rPr>
            </w:pPr>
            <w:r w:rsidRPr="00334039">
              <w:rPr>
                <w:rFonts w:ascii="Arial" w:hAnsi="Arial" w:cs="Arial"/>
                <w:color w:val="000000"/>
                <w:sz w:val="20"/>
                <w:szCs w:val="20"/>
                <w:lang w:val="en-US"/>
              </w:rPr>
              <w:t>2.820</w:t>
            </w:r>
          </w:p>
        </w:tc>
      </w:tr>
      <w:tr w:rsidR="00FD05B8" w:rsidRPr="00334039" w:rsidTr="00B81843">
        <w:trPr>
          <w:jc w:val="center"/>
        </w:trPr>
        <w:tc>
          <w:tcPr>
            <w:tcW w:w="1741" w:type="dxa"/>
            <w:tcBorders>
              <w:top w:val="single" w:sz="6" w:space="0" w:color="000000"/>
              <w:bottom w:val="single" w:sz="6" w:space="0" w:color="000000"/>
            </w:tcBorders>
            <w:shd w:val="clear" w:color="auto" w:fill="auto"/>
          </w:tcPr>
          <w:p w:rsidR="00FD05B8" w:rsidRPr="00334039" w:rsidRDefault="00FD05B8" w:rsidP="00B81843">
            <w:pPr>
              <w:jc w:val="center"/>
              <w:rPr>
                <w:rFonts w:ascii="Arial" w:hAnsi="Arial" w:cs="Arial"/>
                <w:b/>
                <w:bCs/>
                <w:color w:val="000000"/>
                <w:sz w:val="20"/>
                <w:szCs w:val="20"/>
                <w:lang w:val="en-US"/>
              </w:rPr>
            </w:pPr>
            <w:r w:rsidRPr="00334039">
              <w:rPr>
                <w:rFonts w:ascii="Arial" w:hAnsi="Arial" w:cs="Arial"/>
                <w:color w:val="000000"/>
                <w:sz w:val="20"/>
                <w:szCs w:val="20"/>
                <w:lang w:val="en-US"/>
              </w:rPr>
              <w:t>H</w:t>
            </w:r>
            <w:r w:rsidRPr="00334039">
              <w:rPr>
                <w:rFonts w:ascii="Arial" w:hAnsi="Arial" w:cs="Arial"/>
                <w:color w:val="000000"/>
                <w:sz w:val="20"/>
                <w:szCs w:val="20"/>
                <w:vertAlign w:val="subscript"/>
                <w:lang w:val="en-US"/>
              </w:rPr>
              <w:t>2</w:t>
            </w:r>
            <w:r w:rsidRPr="00334039">
              <w:rPr>
                <w:rFonts w:ascii="Arial" w:hAnsi="Arial" w:cs="Arial"/>
                <w:color w:val="000000"/>
                <w:sz w:val="20"/>
                <w:szCs w:val="20"/>
                <w:lang w:val="en-US"/>
              </w:rPr>
              <w:t>O</w:t>
            </w:r>
          </w:p>
        </w:tc>
        <w:tc>
          <w:tcPr>
            <w:tcW w:w="1754" w:type="dxa"/>
            <w:tcBorders>
              <w:top w:val="single" w:sz="6" w:space="0" w:color="000000"/>
              <w:bottom w:val="single" w:sz="6" w:space="0" w:color="000000"/>
            </w:tcBorders>
            <w:shd w:val="clear" w:color="auto" w:fill="auto"/>
          </w:tcPr>
          <w:p w:rsidR="00FD05B8" w:rsidRPr="00334039" w:rsidRDefault="00FD05B8" w:rsidP="00B81843">
            <w:pPr>
              <w:jc w:val="center"/>
              <w:rPr>
                <w:rFonts w:ascii="Arial" w:hAnsi="Arial" w:cs="Arial"/>
                <w:color w:val="000000"/>
                <w:sz w:val="20"/>
                <w:szCs w:val="20"/>
                <w:lang w:val="en-US"/>
              </w:rPr>
            </w:pPr>
            <w:r w:rsidRPr="00334039">
              <w:rPr>
                <w:rFonts w:ascii="Arial" w:hAnsi="Arial" w:cs="Arial"/>
                <w:color w:val="000000"/>
                <w:sz w:val="20"/>
                <w:szCs w:val="20"/>
                <w:lang w:val="en-US"/>
              </w:rPr>
              <w:t>96.468</w:t>
            </w:r>
          </w:p>
        </w:tc>
        <w:tc>
          <w:tcPr>
            <w:tcW w:w="1722" w:type="dxa"/>
            <w:tcBorders>
              <w:top w:val="single" w:sz="6" w:space="0" w:color="000000"/>
              <w:bottom w:val="single" w:sz="6" w:space="0" w:color="000000"/>
            </w:tcBorders>
            <w:shd w:val="clear" w:color="auto" w:fill="auto"/>
          </w:tcPr>
          <w:p w:rsidR="00FD05B8" w:rsidRPr="00334039" w:rsidRDefault="00FD05B8" w:rsidP="00B81843">
            <w:pPr>
              <w:jc w:val="center"/>
              <w:rPr>
                <w:rFonts w:ascii="Arial" w:hAnsi="Arial" w:cs="Arial"/>
                <w:color w:val="000000"/>
                <w:sz w:val="20"/>
                <w:szCs w:val="20"/>
                <w:lang w:val="en-US"/>
              </w:rPr>
            </w:pPr>
            <w:r w:rsidRPr="00334039">
              <w:rPr>
                <w:rFonts w:ascii="Arial" w:hAnsi="Arial" w:cs="Arial"/>
                <w:color w:val="000000"/>
                <w:sz w:val="20"/>
                <w:szCs w:val="20"/>
                <w:lang w:val="en-US"/>
              </w:rPr>
              <w:t>---</w:t>
            </w:r>
          </w:p>
        </w:tc>
        <w:tc>
          <w:tcPr>
            <w:tcW w:w="1724" w:type="dxa"/>
            <w:tcBorders>
              <w:top w:val="single" w:sz="6" w:space="0" w:color="000000"/>
              <w:bottom w:val="single" w:sz="6" w:space="0" w:color="000000"/>
            </w:tcBorders>
            <w:shd w:val="clear" w:color="auto" w:fill="auto"/>
          </w:tcPr>
          <w:p w:rsidR="00FD05B8" w:rsidRPr="00334039" w:rsidRDefault="00FD05B8" w:rsidP="00B81843">
            <w:pPr>
              <w:jc w:val="center"/>
              <w:rPr>
                <w:rFonts w:ascii="Arial" w:hAnsi="Arial" w:cs="Arial"/>
                <w:color w:val="000000"/>
                <w:sz w:val="20"/>
                <w:szCs w:val="20"/>
                <w:lang w:val="en-US"/>
              </w:rPr>
            </w:pPr>
            <w:r w:rsidRPr="00334039">
              <w:rPr>
                <w:rFonts w:ascii="Arial" w:hAnsi="Arial" w:cs="Arial"/>
                <w:color w:val="000000"/>
                <w:sz w:val="20"/>
                <w:szCs w:val="20"/>
                <w:lang w:val="en-US"/>
              </w:rPr>
              <w:t>---</w:t>
            </w:r>
          </w:p>
        </w:tc>
      </w:tr>
      <w:tr w:rsidR="00FD05B8" w:rsidRPr="00334039" w:rsidTr="00B81843">
        <w:trPr>
          <w:jc w:val="center"/>
        </w:trPr>
        <w:tc>
          <w:tcPr>
            <w:tcW w:w="1741" w:type="dxa"/>
            <w:tcBorders>
              <w:top w:val="single" w:sz="6" w:space="0" w:color="000000"/>
              <w:bottom w:val="single" w:sz="6" w:space="0" w:color="000000"/>
            </w:tcBorders>
            <w:shd w:val="clear" w:color="auto" w:fill="auto"/>
          </w:tcPr>
          <w:p w:rsidR="00FD05B8" w:rsidRPr="00334039" w:rsidRDefault="00FD05B8" w:rsidP="00B81843">
            <w:pPr>
              <w:jc w:val="center"/>
              <w:rPr>
                <w:rFonts w:ascii="Arial" w:hAnsi="Arial" w:cs="Arial"/>
                <w:b/>
                <w:bCs/>
                <w:color w:val="000000"/>
                <w:sz w:val="20"/>
                <w:szCs w:val="20"/>
                <w:lang w:val="en-US"/>
              </w:rPr>
            </w:pPr>
          </w:p>
        </w:tc>
        <w:tc>
          <w:tcPr>
            <w:tcW w:w="1754" w:type="dxa"/>
            <w:tcBorders>
              <w:top w:val="single" w:sz="6" w:space="0" w:color="000000"/>
              <w:bottom w:val="single" w:sz="6" w:space="0" w:color="000000"/>
            </w:tcBorders>
            <w:shd w:val="clear" w:color="auto" w:fill="auto"/>
          </w:tcPr>
          <w:p w:rsidR="00FD05B8" w:rsidRPr="00334039" w:rsidRDefault="00FD05B8" w:rsidP="00B81843">
            <w:pPr>
              <w:jc w:val="center"/>
              <w:rPr>
                <w:rFonts w:ascii="Arial" w:hAnsi="Arial" w:cs="Arial"/>
                <w:color w:val="000000"/>
                <w:sz w:val="20"/>
                <w:szCs w:val="20"/>
                <w:lang w:val="en-US"/>
              </w:rPr>
            </w:pPr>
          </w:p>
        </w:tc>
        <w:tc>
          <w:tcPr>
            <w:tcW w:w="1722" w:type="dxa"/>
            <w:tcBorders>
              <w:top w:val="single" w:sz="6" w:space="0" w:color="000000"/>
              <w:bottom w:val="single" w:sz="6" w:space="0" w:color="000000"/>
            </w:tcBorders>
            <w:shd w:val="clear" w:color="auto" w:fill="auto"/>
          </w:tcPr>
          <w:p w:rsidR="00FD05B8" w:rsidRPr="00334039" w:rsidRDefault="00FD05B8" w:rsidP="00B81843">
            <w:pPr>
              <w:jc w:val="center"/>
              <w:rPr>
                <w:rFonts w:ascii="Arial" w:hAnsi="Arial" w:cs="Arial"/>
                <w:color w:val="000000"/>
                <w:sz w:val="20"/>
                <w:szCs w:val="20"/>
                <w:lang w:val="en-US"/>
              </w:rPr>
            </w:pPr>
            <w:r w:rsidRPr="00334039">
              <w:rPr>
                <w:rFonts w:ascii="Arial" w:hAnsi="Arial" w:cs="Arial"/>
                <w:color w:val="000000"/>
                <w:sz w:val="20"/>
                <w:szCs w:val="20"/>
                <w:lang w:val="en-US"/>
              </w:rPr>
              <w:t>Total Solids (%)</w:t>
            </w:r>
          </w:p>
        </w:tc>
        <w:tc>
          <w:tcPr>
            <w:tcW w:w="1724" w:type="dxa"/>
            <w:tcBorders>
              <w:top w:val="single" w:sz="6" w:space="0" w:color="000000"/>
              <w:bottom w:val="single" w:sz="6" w:space="0" w:color="000000"/>
            </w:tcBorders>
            <w:shd w:val="clear" w:color="auto" w:fill="auto"/>
          </w:tcPr>
          <w:p w:rsidR="00FD05B8" w:rsidRPr="00334039" w:rsidRDefault="00FD05B8" w:rsidP="00B81843">
            <w:pPr>
              <w:jc w:val="center"/>
              <w:rPr>
                <w:rFonts w:ascii="Arial" w:hAnsi="Arial" w:cs="Arial"/>
                <w:color w:val="000000"/>
                <w:sz w:val="20"/>
                <w:szCs w:val="20"/>
                <w:lang w:val="en-US"/>
              </w:rPr>
            </w:pPr>
            <w:r w:rsidRPr="00334039">
              <w:rPr>
                <w:rFonts w:ascii="Arial" w:hAnsi="Arial" w:cs="Arial"/>
                <w:color w:val="000000"/>
                <w:sz w:val="20"/>
                <w:szCs w:val="20"/>
                <w:lang w:val="en-US"/>
              </w:rPr>
              <w:t>3.362</w:t>
            </w:r>
          </w:p>
        </w:tc>
      </w:tr>
    </w:tbl>
    <w:p w:rsidR="00FD05B8" w:rsidRPr="00334039" w:rsidRDefault="00FD05B8" w:rsidP="00FD05B8">
      <w:pPr>
        <w:jc w:val="both"/>
        <w:rPr>
          <w:rFonts w:ascii="Arial" w:hAnsi="Arial" w:cs="Arial"/>
          <w:color w:val="000000"/>
          <w:sz w:val="20"/>
          <w:szCs w:val="20"/>
          <w:lang w:val="en-US"/>
        </w:rPr>
      </w:pPr>
    </w:p>
    <w:p w:rsidR="00FD05B8" w:rsidRPr="004D7809" w:rsidRDefault="00FD05B8" w:rsidP="00FD05B8">
      <w:pPr>
        <w:jc w:val="both"/>
        <w:rPr>
          <w:rFonts w:ascii="Arial" w:hAnsi="Arial" w:cs="Arial"/>
          <w:color w:val="000000"/>
          <w:lang w:val="en-US"/>
        </w:rPr>
      </w:pPr>
      <w:r w:rsidRPr="007508D2">
        <w:rPr>
          <w:rFonts w:ascii="Arial" w:hAnsi="Arial" w:cs="Arial"/>
          <w:bCs/>
          <w:i/>
          <w:iCs/>
          <w:lang w:val="en-US"/>
        </w:rPr>
        <w:lastRenderedPageBreak/>
        <w:t>3.3 Particle Size Measurements</w:t>
      </w:r>
    </w:p>
    <w:p w:rsidR="00FD05B8" w:rsidRDefault="00FD05B8" w:rsidP="00FD05B8">
      <w:pPr>
        <w:jc w:val="both"/>
        <w:rPr>
          <w:rFonts w:ascii="Arial" w:hAnsi="Arial" w:cs="Arial"/>
          <w:bCs/>
          <w:i/>
          <w:iCs/>
          <w:lang w:val="en-US"/>
        </w:rPr>
      </w:pPr>
    </w:p>
    <w:p w:rsidR="00FD05B8" w:rsidRPr="007508D2" w:rsidRDefault="00FD05B8" w:rsidP="00FD05B8">
      <w:pPr>
        <w:jc w:val="both"/>
        <w:rPr>
          <w:rFonts w:ascii="Arial" w:hAnsi="Arial" w:cs="Arial"/>
          <w:bCs/>
          <w:i/>
          <w:iCs/>
          <w:lang w:val="en-US"/>
        </w:rPr>
      </w:pPr>
      <w:r w:rsidRPr="007508D2">
        <w:rPr>
          <w:rFonts w:ascii="Arial" w:hAnsi="Arial" w:cs="Arial"/>
          <w:bCs/>
          <w:i/>
          <w:iCs/>
          <w:lang w:val="en-US"/>
        </w:rPr>
        <w:t>3.3.1 Light dispersion</w:t>
      </w:r>
    </w:p>
    <w:p w:rsidR="00FD05B8" w:rsidRPr="0087686C" w:rsidRDefault="00FD05B8" w:rsidP="00FD05B8">
      <w:pPr>
        <w:jc w:val="both"/>
        <w:rPr>
          <w:rFonts w:ascii="Arial" w:hAnsi="Arial" w:cs="Arial"/>
          <w:lang w:val="en-US"/>
        </w:rPr>
      </w:pPr>
      <w:r w:rsidRPr="0087686C">
        <w:rPr>
          <w:rFonts w:ascii="Arial" w:hAnsi="Arial" w:cs="Arial"/>
          <w:lang w:val="en-US"/>
        </w:rPr>
        <w:t>The average polystyrene nanoparticle size was determined by dynamic light scattering at 25°C, using a Zetasizer Nano-ZS2000 (Malvern Instruments Ltd., Malvern, Worcestershire, UK) with a refractive index of 1.509.</w:t>
      </w:r>
    </w:p>
    <w:p w:rsidR="00FD05B8" w:rsidRDefault="00FD05B8" w:rsidP="00FD05B8">
      <w:pPr>
        <w:tabs>
          <w:tab w:val="left" w:pos="1701"/>
        </w:tabs>
        <w:jc w:val="both"/>
        <w:rPr>
          <w:rFonts w:ascii="Arial" w:hAnsi="Arial" w:cs="Arial"/>
          <w:bCs/>
          <w:i/>
          <w:iCs/>
          <w:lang w:val="en-US"/>
        </w:rPr>
      </w:pPr>
    </w:p>
    <w:p w:rsidR="00FD05B8" w:rsidRPr="007508D2" w:rsidRDefault="00FD05B8" w:rsidP="00FD05B8">
      <w:pPr>
        <w:tabs>
          <w:tab w:val="left" w:pos="1701"/>
        </w:tabs>
        <w:jc w:val="both"/>
        <w:rPr>
          <w:rFonts w:ascii="Arial" w:hAnsi="Arial" w:cs="Arial"/>
          <w:bCs/>
          <w:i/>
          <w:iCs/>
          <w:lang w:val="en-US"/>
        </w:rPr>
      </w:pPr>
      <w:r w:rsidRPr="007508D2">
        <w:rPr>
          <w:rFonts w:ascii="Arial" w:hAnsi="Arial" w:cs="Arial"/>
          <w:bCs/>
          <w:i/>
          <w:iCs/>
          <w:lang w:val="en-US"/>
        </w:rPr>
        <w:t>3.3.2 Electron Microscopy</w:t>
      </w:r>
    </w:p>
    <w:p w:rsidR="00FD05B8" w:rsidRDefault="00FD05B8" w:rsidP="00FD05B8">
      <w:pPr>
        <w:tabs>
          <w:tab w:val="left" w:pos="1701"/>
        </w:tabs>
        <w:jc w:val="both"/>
        <w:rPr>
          <w:rFonts w:ascii="Arial" w:hAnsi="Arial" w:cs="Arial"/>
          <w:lang w:val="en-US"/>
        </w:rPr>
      </w:pPr>
      <w:r w:rsidRPr="0087686C">
        <w:rPr>
          <w:rFonts w:ascii="Arial" w:hAnsi="Arial" w:cs="Arial"/>
          <w:lang w:val="en-US"/>
        </w:rPr>
        <w:t>A latex drop was added was added to 50 mL of water and one drop of this solution was set onto a copper grid covered with carbon and formvar and dried before the observations. The acceleration voltage was 200 kV in a JEOL transmission electron microscope model 2010. Several fields were selected to obtain the images.</w:t>
      </w:r>
    </w:p>
    <w:p w:rsidR="00FD05B8" w:rsidRPr="000B38C6" w:rsidRDefault="00FD05B8" w:rsidP="00FD05B8">
      <w:pPr>
        <w:tabs>
          <w:tab w:val="left" w:pos="1701"/>
        </w:tabs>
        <w:jc w:val="both"/>
        <w:rPr>
          <w:rFonts w:eastAsia="SimSun"/>
          <w:color w:val="000000"/>
          <w:sz w:val="22"/>
          <w:szCs w:val="22"/>
          <w:lang w:val="en-US"/>
        </w:rPr>
      </w:pPr>
    </w:p>
    <w:p w:rsidR="00FD05B8" w:rsidRPr="00B81843" w:rsidRDefault="00FD05B8" w:rsidP="00FD05B8">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158" w:name="_Toc50031260"/>
      <w:r w:rsidRPr="00B81843">
        <w:rPr>
          <w:rFonts w:ascii="Arial" w:hAnsi="Arial" w:cs="Arial"/>
          <w:i/>
          <w:caps/>
          <w:sz w:val="24"/>
          <w:szCs w:val="24"/>
        </w:rPr>
        <w:t xml:space="preserve">4. </w:t>
      </w:r>
      <w:r w:rsidRPr="00B81843">
        <w:rPr>
          <w:rFonts w:ascii="Arial" w:hAnsi="Arial" w:cs="Arial"/>
          <w:i/>
          <w:sz w:val="24"/>
          <w:szCs w:val="24"/>
        </w:rPr>
        <w:t>Results and Discussion</w:t>
      </w:r>
      <w:bookmarkEnd w:id="158"/>
    </w:p>
    <w:p w:rsidR="00FD05B8" w:rsidRDefault="00FD05B8" w:rsidP="00FD05B8">
      <w:pPr>
        <w:numPr>
          <w:ilvl w:val="0"/>
          <w:numId w:val="1"/>
        </w:numPr>
        <w:tabs>
          <w:tab w:val="clear" w:pos="432"/>
          <w:tab w:val="num" w:pos="0"/>
        </w:tabs>
        <w:suppressAutoHyphens/>
        <w:spacing w:after="0" w:line="240" w:lineRule="auto"/>
        <w:ind w:left="0" w:firstLine="0"/>
        <w:jc w:val="both"/>
        <w:rPr>
          <w:rFonts w:ascii="Arial" w:hAnsi="Arial" w:cs="Arial"/>
          <w:lang w:val="en-US"/>
        </w:rPr>
      </w:pPr>
      <w:r w:rsidRPr="0078718A">
        <w:rPr>
          <w:rFonts w:ascii="Arial" w:hAnsi="Arial" w:cs="Arial"/>
          <w:lang w:val="en-US"/>
        </w:rPr>
        <w:t>Exp. 1 is the blank, being an emulsifier-free styrene polymerization. Previous experiments were performed to find the adequate amount of SiO</w:t>
      </w:r>
      <w:r w:rsidRPr="0078718A">
        <w:rPr>
          <w:rFonts w:ascii="Arial" w:hAnsi="Arial" w:cs="Arial"/>
          <w:vertAlign w:val="subscript"/>
          <w:lang w:val="en-US"/>
        </w:rPr>
        <w:t>2</w:t>
      </w:r>
      <w:r w:rsidRPr="0078718A">
        <w:rPr>
          <w:rFonts w:ascii="Arial" w:hAnsi="Arial" w:cs="Arial"/>
          <w:lang w:val="en-US"/>
        </w:rPr>
        <w:t>, to obtain a suitable disperse system at the end of the reaction, which corresponds to Exp. 2. The remaining experiments contain 15 parts per hundred monomer (phm) of SiO</w:t>
      </w:r>
      <w:r w:rsidRPr="0078718A">
        <w:rPr>
          <w:rFonts w:ascii="Arial" w:hAnsi="Arial" w:cs="Arial"/>
          <w:vertAlign w:val="subscript"/>
          <w:lang w:val="en-US"/>
        </w:rPr>
        <w:t>2</w:t>
      </w:r>
      <w:r w:rsidRPr="0078718A">
        <w:rPr>
          <w:rFonts w:ascii="Arial" w:hAnsi="Arial" w:cs="Arial"/>
          <w:lang w:val="en-US"/>
        </w:rPr>
        <w:t>. Exp. 3 to Exp. 6 contain the same amount of VBS and 4VP. With Exp .4 and Exp 5 the addition of CTAB is evaluated at two different levels, and Exp. 6 explores the addition of PEGMA effect. The dry basis formulations are presented in Table 1. The amount of water was adjusted to obtain emulsions at about 20 % solids.</w:t>
      </w:r>
    </w:p>
    <w:p w:rsidR="00FF1F2D" w:rsidRPr="0078718A" w:rsidRDefault="00FF1F2D" w:rsidP="00FD05B8">
      <w:pPr>
        <w:numPr>
          <w:ilvl w:val="0"/>
          <w:numId w:val="1"/>
        </w:numPr>
        <w:tabs>
          <w:tab w:val="clear" w:pos="432"/>
          <w:tab w:val="num" w:pos="0"/>
        </w:tabs>
        <w:suppressAutoHyphens/>
        <w:spacing w:after="0" w:line="240" w:lineRule="auto"/>
        <w:ind w:left="0" w:firstLine="0"/>
        <w:jc w:val="both"/>
        <w:rPr>
          <w:rFonts w:ascii="Arial" w:hAnsi="Arial" w:cs="Arial"/>
          <w:lang w:val="en-US"/>
        </w:rPr>
      </w:pPr>
    </w:p>
    <w:p w:rsidR="00FD05B8" w:rsidRPr="0078718A" w:rsidRDefault="00FD05B8" w:rsidP="00FD05B8">
      <w:pPr>
        <w:numPr>
          <w:ilvl w:val="0"/>
          <w:numId w:val="1"/>
        </w:numPr>
        <w:shd w:val="clear" w:color="auto" w:fill="FFFFFF"/>
        <w:tabs>
          <w:tab w:val="clear" w:pos="432"/>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0" w:firstLine="0"/>
        <w:jc w:val="both"/>
        <w:rPr>
          <w:rFonts w:ascii="Arial" w:eastAsia="Times New Roman" w:hAnsi="Arial" w:cs="Arial"/>
          <w:color w:val="000000"/>
          <w:lang w:val="en" w:eastAsia="es-MX"/>
        </w:rPr>
      </w:pPr>
      <w:r w:rsidRPr="0078718A">
        <w:rPr>
          <w:rFonts w:ascii="Arial" w:eastAsia="Times New Roman" w:hAnsi="Arial" w:cs="Arial"/>
          <w:lang w:val="en" w:eastAsia="es-MX"/>
        </w:rPr>
        <w:tab/>
        <w:t xml:space="preserve">Figure 1 shows the appearance of the recipes after applying the high shear agitation (15,000 </w:t>
      </w:r>
      <w:r w:rsidRPr="0078718A">
        <w:rPr>
          <w:rFonts w:ascii="Arial" w:eastAsia="Times New Roman" w:hAnsi="Arial" w:cs="Arial"/>
          <w:color w:val="212121"/>
          <w:lang w:val="en" w:eastAsia="es-MX"/>
        </w:rPr>
        <w:t xml:space="preserve">rpm, for five minutes, before adding the initiator). Based on this figure, an increase </w:t>
      </w:r>
      <w:r w:rsidRPr="0078718A">
        <w:rPr>
          <w:rFonts w:ascii="Arial" w:eastAsia="Times New Roman" w:hAnsi="Arial" w:cs="Arial"/>
          <w:color w:val="000000"/>
          <w:lang w:val="en" w:eastAsia="es-MX"/>
        </w:rPr>
        <w:t>in the homogeneity results in the experiments’ order. As expected, the first two experiments (1 and 2) present complete phase separation, even after the high shear exposure. As can be seen, the addition of 4VP and VBS was not enough to achieve homogeneity (Exps. 3 to 5). Indeed, at a pH value of 8.0, 4VP molecules cannot adsorb onto the negatively charged silica nanoparticles surface, because the amine groups contained in the 4VP molecules are not protonated; moreover, VBS is an anionic monomer. Consequently, the silica nanoparticles are not surface modified. Therefore, neither the SiO</w:t>
      </w:r>
      <w:r w:rsidRPr="0078718A">
        <w:rPr>
          <w:rFonts w:ascii="Arial" w:eastAsia="Times New Roman" w:hAnsi="Arial" w:cs="Arial"/>
          <w:color w:val="000000"/>
          <w:vertAlign w:val="subscript"/>
          <w:lang w:val="en" w:eastAsia="es-MX"/>
        </w:rPr>
        <w:t>2</w:t>
      </w:r>
      <w:r w:rsidRPr="0078718A">
        <w:rPr>
          <w:rFonts w:ascii="Arial" w:eastAsia="Times New Roman" w:hAnsi="Arial" w:cs="Arial"/>
          <w:color w:val="000000"/>
          <w:lang w:val="en" w:eastAsia="es-MX"/>
        </w:rPr>
        <w:t xml:space="preserve"> nanoparticles nor the co-aids stabilize monomer droplets. However, the emulsion homogeneity increases from Exps. 4 to 6. Therefore, the CTA+ anions adsorb onto the negatively charged silica nanoparticles, due to electrostatic attractions, and inherently induce their flocculation, due to Van der Waals interactions, occurring between the oriented towards the aqueous phase CTA+ chains. The monomer droplets stability depends on the hydrophobicity and the CTAB-silica nanoparticle aggregates size and therefore, on their ability to diffuse away and form a structured film at the W/O interface droplets.</w:t>
      </w:r>
      <w:r w:rsidRPr="00B81843">
        <w:rPr>
          <w:rFonts w:ascii="Arial" w:hAnsi="Arial" w:cs="Arial"/>
          <w:vertAlign w:val="superscript"/>
          <w:lang w:val="en-US"/>
        </w:rPr>
        <w:t xml:space="preserve"> [30]</w:t>
      </w:r>
      <w:r w:rsidRPr="0078718A">
        <w:rPr>
          <w:rFonts w:ascii="Arial" w:eastAsia="Times New Roman" w:hAnsi="Arial" w:cs="Arial"/>
          <w:color w:val="000000"/>
          <w:lang w:val="en" w:eastAsia="es-MX"/>
        </w:rPr>
        <w:t xml:space="preserve"> Exp. 6 shows that the addition of PEGMA, acting as a silica modifier, is enough to impart a good droplet dispersion, because it does interact with the negative silica nanoparticles and therefore, the wettability of silica nanoparticles is changed.</w:t>
      </w:r>
      <w:r w:rsidRPr="00B81843">
        <w:rPr>
          <w:rFonts w:ascii="Arial" w:hAnsi="Arial" w:cs="Arial"/>
          <w:vertAlign w:val="superscript"/>
          <w:lang w:val="en-US"/>
        </w:rPr>
        <w:t xml:space="preserve"> [20]</w:t>
      </w:r>
      <w:r w:rsidRPr="0078718A">
        <w:rPr>
          <w:rFonts w:ascii="Arial" w:eastAsia="Times New Roman" w:hAnsi="Arial" w:cs="Arial"/>
          <w:color w:val="000000"/>
          <w:lang w:val="en" w:eastAsia="es-MX"/>
        </w:rPr>
        <w:t xml:space="preserve"> Summarizing, the dispersion of the phases increases in the following order: blank &lt; silica &lt; co-monomers &lt; surfactant (CTAB) &lt; polymer (PEGMA).</w:t>
      </w:r>
    </w:p>
    <w:p w:rsidR="00FD05B8" w:rsidRPr="00EB2E45" w:rsidRDefault="00FD05B8" w:rsidP="00FD05B8">
      <w:pPr>
        <w:numPr>
          <w:ilvl w:val="0"/>
          <w:numId w:val="1"/>
        </w:numPr>
        <w:shd w:val="clear" w:color="auto" w:fill="FFFFFF"/>
        <w:tabs>
          <w:tab w:val="clear" w:pos="432"/>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0" w:firstLine="0"/>
        <w:jc w:val="center"/>
        <w:rPr>
          <w:rFonts w:ascii="Arial" w:eastAsia="Times New Roman" w:hAnsi="Arial" w:cs="Arial"/>
          <w:color w:val="212121"/>
          <w:lang w:val="en-US" w:eastAsia="es-MX"/>
        </w:rPr>
      </w:pPr>
      <w:r w:rsidRPr="005E5BF3">
        <w:rPr>
          <w:noProof/>
          <w:lang w:val="en-US"/>
        </w:rPr>
        <w:lastRenderedPageBreak/>
        <w:drawing>
          <wp:inline distT="0" distB="0" distL="0" distR="0" wp14:anchorId="743B061C" wp14:editId="176647F4">
            <wp:extent cx="1714500" cy="1790700"/>
            <wp:effectExtent l="0" t="0" r="0" b="0"/>
            <wp:docPr id="1413571386" name="Imagen 141357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1714500" cy="1790700"/>
                    </a:xfrm>
                    <a:prstGeom prst="rect">
                      <a:avLst/>
                    </a:prstGeom>
                    <a:noFill/>
                    <a:ln>
                      <a:noFill/>
                    </a:ln>
                  </pic:spPr>
                </pic:pic>
              </a:graphicData>
            </a:graphic>
          </wp:inline>
        </w:drawing>
      </w:r>
    </w:p>
    <w:p w:rsidR="00FD05B8" w:rsidRPr="00334039" w:rsidRDefault="00FD05B8" w:rsidP="00FD05B8">
      <w:pPr>
        <w:numPr>
          <w:ilvl w:val="0"/>
          <w:numId w:val="1"/>
        </w:numPr>
        <w:tabs>
          <w:tab w:val="clear" w:pos="432"/>
          <w:tab w:val="num" w:pos="0"/>
        </w:tabs>
        <w:suppressAutoHyphens/>
        <w:spacing w:after="0" w:line="240" w:lineRule="auto"/>
        <w:ind w:left="0" w:firstLine="0"/>
        <w:jc w:val="center"/>
        <w:rPr>
          <w:rFonts w:ascii="Arial" w:hAnsi="Arial" w:cs="Arial"/>
          <w:i/>
          <w:iCs/>
          <w:color w:val="212121"/>
          <w:sz w:val="20"/>
          <w:szCs w:val="20"/>
          <w:shd w:val="clear" w:color="auto" w:fill="FFFFFF"/>
          <w:lang w:val="en-US"/>
        </w:rPr>
      </w:pPr>
      <w:r w:rsidRPr="00334039">
        <w:rPr>
          <w:rFonts w:ascii="Arial" w:hAnsi="Arial" w:cs="Arial"/>
          <w:i/>
          <w:iCs/>
          <w:color w:val="000000"/>
          <w:sz w:val="20"/>
          <w:szCs w:val="20"/>
          <w:lang w:val="en-US"/>
        </w:rPr>
        <w:t>Figure 1.</w:t>
      </w:r>
      <w:r w:rsidRPr="00334039">
        <w:rPr>
          <w:rFonts w:ascii="Arial" w:hAnsi="Arial" w:cs="Arial"/>
          <w:i/>
          <w:iCs/>
          <w:color w:val="FF0000"/>
          <w:sz w:val="20"/>
          <w:szCs w:val="20"/>
          <w:lang w:val="en-US"/>
        </w:rPr>
        <w:t xml:space="preserve"> </w:t>
      </w:r>
      <w:r w:rsidRPr="00334039">
        <w:rPr>
          <w:rFonts w:ascii="Arial" w:hAnsi="Arial" w:cs="Arial"/>
          <w:i/>
          <w:iCs/>
          <w:color w:val="000000"/>
          <w:sz w:val="20"/>
          <w:szCs w:val="20"/>
          <w:lang w:val="en-US"/>
        </w:rPr>
        <w:t xml:space="preserve">Appearance of the emulsions after applying a high shear agitation. </w:t>
      </w:r>
      <w:r w:rsidRPr="00334039">
        <w:rPr>
          <w:rFonts w:ascii="Arial" w:hAnsi="Arial" w:cs="Arial"/>
          <w:i/>
          <w:iCs/>
          <w:color w:val="212121"/>
          <w:sz w:val="20"/>
          <w:szCs w:val="20"/>
          <w:shd w:val="clear" w:color="auto" w:fill="FFFFFF"/>
          <w:lang w:val="en-US"/>
        </w:rPr>
        <w:t>The samples correspond to the flask as indicated in Table 1.</w:t>
      </w:r>
    </w:p>
    <w:p w:rsidR="00FD05B8" w:rsidRPr="0078718A" w:rsidRDefault="00FD05B8" w:rsidP="00FD05B8">
      <w:pPr>
        <w:numPr>
          <w:ilvl w:val="0"/>
          <w:numId w:val="1"/>
        </w:numPr>
        <w:shd w:val="clear" w:color="auto" w:fill="FFFFFF"/>
        <w:tabs>
          <w:tab w:val="clear" w:pos="432"/>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0" w:firstLine="0"/>
        <w:jc w:val="both"/>
        <w:rPr>
          <w:rFonts w:ascii="Arial" w:eastAsia="Times New Roman" w:hAnsi="Arial" w:cs="Arial"/>
          <w:color w:val="212121"/>
          <w:lang w:val="en-US" w:eastAsia="es-MX"/>
        </w:rPr>
      </w:pPr>
    </w:p>
    <w:p w:rsidR="00FD05B8" w:rsidRPr="00B123B2" w:rsidRDefault="00FD05B8" w:rsidP="00FD05B8">
      <w:pPr>
        <w:numPr>
          <w:ilvl w:val="0"/>
          <w:numId w:val="1"/>
        </w:numPr>
        <w:shd w:val="clear" w:color="auto" w:fill="FFFFFF"/>
        <w:tabs>
          <w:tab w:val="clear" w:pos="432"/>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0" w:firstLine="0"/>
        <w:jc w:val="both"/>
        <w:rPr>
          <w:rFonts w:ascii="Arial" w:hAnsi="Arial" w:cs="Arial"/>
          <w:color w:val="000000"/>
          <w:shd w:val="clear" w:color="auto" w:fill="FFFFFF"/>
          <w:lang w:val="en-US"/>
        </w:rPr>
      </w:pPr>
      <w:r w:rsidRPr="0078718A">
        <w:rPr>
          <w:rFonts w:ascii="Arial" w:hAnsi="Arial" w:cs="Arial"/>
          <w:color w:val="C00000"/>
          <w:shd w:val="clear" w:color="auto" w:fill="FFFFFF"/>
          <w:lang w:val="en"/>
        </w:rPr>
        <w:tab/>
      </w:r>
      <w:r w:rsidRPr="0078718A">
        <w:rPr>
          <w:rFonts w:ascii="Arial" w:hAnsi="Arial" w:cs="Arial"/>
          <w:shd w:val="clear" w:color="auto" w:fill="FFFFFF"/>
          <w:lang w:val="en"/>
        </w:rPr>
        <w:t xml:space="preserve">The </w:t>
      </w:r>
      <w:r w:rsidRPr="0078718A">
        <w:rPr>
          <w:rFonts w:ascii="Arial" w:hAnsi="Arial" w:cs="Arial"/>
          <w:shd w:val="clear" w:color="auto" w:fill="FFFFFF"/>
          <w:lang w:val="en-US"/>
        </w:rPr>
        <w:t>conversion</w:t>
      </w:r>
      <w:r>
        <w:rPr>
          <w:rFonts w:ascii="Arial" w:hAnsi="Arial" w:cs="Arial"/>
          <w:shd w:val="clear" w:color="auto" w:fill="FFFFFF"/>
          <w:lang w:val="en-US"/>
        </w:rPr>
        <w:t xml:space="preserve"> was</w:t>
      </w:r>
      <w:r w:rsidRPr="0078718A">
        <w:rPr>
          <w:rFonts w:ascii="Arial" w:hAnsi="Arial" w:cs="Arial"/>
          <w:shd w:val="clear" w:color="auto" w:fill="FFFFFF"/>
          <w:lang w:val="en-US"/>
        </w:rPr>
        <w:t xml:space="preserve"> measured ​​by gravimetry,</w:t>
      </w:r>
      <w:r>
        <w:rPr>
          <w:rFonts w:ascii="Arial" w:hAnsi="Arial" w:cs="Arial"/>
          <w:shd w:val="clear" w:color="auto" w:fill="FFFFFF"/>
          <w:lang w:val="en-US"/>
        </w:rPr>
        <w:t xml:space="preserve"> </w:t>
      </w:r>
      <w:r w:rsidRPr="0078718A">
        <w:rPr>
          <w:rFonts w:ascii="Arial" w:hAnsi="Arial" w:cs="Arial"/>
          <w:shd w:val="clear" w:color="auto" w:fill="FFFFFF"/>
          <w:lang w:val="en-US"/>
        </w:rPr>
        <w:t xml:space="preserve">the grit percent </w:t>
      </w:r>
      <w:r>
        <w:rPr>
          <w:rFonts w:ascii="Arial" w:hAnsi="Arial" w:cs="Arial"/>
          <w:shd w:val="clear" w:color="auto" w:fill="FFFFFF"/>
          <w:lang w:val="en-US"/>
        </w:rPr>
        <w:t xml:space="preserve">was determined by </w:t>
      </w:r>
      <w:r w:rsidRPr="0078718A">
        <w:rPr>
          <w:rFonts w:ascii="Arial" w:hAnsi="Arial" w:cs="Arial"/>
          <w:shd w:val="clear" w:color="auto" w:fill="FFFFFF"/>
          <w:lang w:val="en-US"/>
        </w:rPr>
        <w:t xml:space="preserve">filtering the emulsion in a 140 mesh and </w:t>
      </w:r>
      <w:r>
        <w:rPr>
          <w:rFonts w:ascii="Arial" w:hAnsi="Arial" w:cs="Arial"/>
          <w:shd w:val="clear" w:color="auto" w:fill="FFFFFF"/>
          <w:lang w:val="en-US"/>
        </w:rPr>
        <w:t xml:space="preserve">the </w:t>
      </w:r>
      <w:r w:rsidRPr="0078718A">
        <w:rPr>
          <w:rFonts w:ascii="Arial" w:hAnsi="Arial" w:cs="Arial"/>
          <w:color w:val="212121"/>
          <w:shd w:val="clear" w:color="auto" w:fill="FFFFFF"/>
          <w:lang w:val="en-US"/>
        </w:rPr>
        <w:t>final pH</w:t>
      </w:r>
      <w:r>
        <w:rPr>
          <w:rFonts w:ascii="Arial" w:hAnsi="Arial" w:cs="Arial"/>
          <w:color w:val="212121"/>
          <w:shd w:val="clear" w:color="auto" w:fill="FFFFFF"/>
          <w:lang w:val="en-US"/>
        </w:rPr>
        <w:t xml:space="preserve"> by potentiometry</w:t>
      </w:r>
      <w:r w:rsidRPr="0078718A">
        <w:rPr>
          <w:rFonts w:ascii="Arial" w:hAnsi="Arial" w:cs="Arial"/>
          <w:color w:val="212121"/>
          <w:shd w:val="clear" w:color="auto" w:fill="FFFFFF"/>
          <w:lang w:val="en-US"/>
        </w:rPr>
        <w:t xml:space="preserve">. </w:t>
      </w:r>
      <w:r>
        <w:rPr>
          <w:rFonts w:ascii="Arial" w:hAnsi="Arial" w:cs="Arial"/>
          <w:lang w:val="en-US" w:eastAsia="es-MX"/>
        </w:rPr>
        <w:t>A</w:t>
      </w:r>
      <w:r w:rsidRPr="0078718A">
        <w:rPr>
          <w:rFonts w:ascii="Arial" w:hAnsi="Arial" w:cs="Arial"/>
          <w:lang w:val="en-US" w:eastAsia="es-MX"/>
        </w:rPr>
        <w:t xml:space="preserve">ll the reactions, except Exp. 5 (with a low amount of CTAB), yield high conversions </w:t>
      </w:r>
      <w:r>
        <w:rPr>
          <w:rFonts w:ascii="Arial" w:hAnsi="Arial" w:cs="Arial"/>
          <w:lang w:val="en-US" w:eastAsia="es-MX"/>
        </w:rPr>
        <w:t xml:space="preserve">(&gt; 80 %) </w:t>
      </w:r>
      <w:r w:rsidRPr="0078718A">
        <w:rPr>
          <w:rFonts w:ascii="Arial" w:hAnsi="Arial" w:cs="Arial"/>
          <w:lang w:val="en-US" w:eastAsia="es-MX"/>
        </w:rPr>
        <w:t>and low grit content</w:t>
      </w:r>
      <w:r>
        <w:rPr>
          <w:rFonts w:ascii="Arial" w:hAnsi="Arial" w:cs="Arial"/>
          <w:lang w:val="en-US" w:eastAsia="es-MX"/>
        </w:rPr>
        <w:t xml:space="preserve"> (&lt; 1%)</w:t>
      </w:r>
      <w:r w:rsidRPr="0078718A">
        <w:rPr>
          <w:rFonts w:ascii="Arial" w:hAnsi="Arial" w:cs="Arial"/>
          <w:lang w:val="en-US" w:eastAsia="es-MX"/>
        </w:rPr>
        <w:t xml:space="preserve">. Grit generally originates from particle coagulation, poor stabilization, or both. The blank (Exp. 1) shows that an emulsion </w:t>
      </w:r>
      <w:r w:rsidRPr="0078718A">
        <w:rPr>
          <w:rFonts w:ascii="Arial" w:hAnsi="Arial" w:cs="Arial"/>
          <w:color w:val="000000"/>
          <w:lang w:val="en-US" w:eastAsia="es-MX"/>
        </w:rPr>
        <w:t>can be obtained without the use of an emulsifier. It is obvious that the amount of initiator is very high and this ingredient does provide enough electrostatic charges to achieve a stable emulsion. The pH of the emulsions decreases importantly. This is caused due to the high amount of initiator because, as the initiator decomposition proceeds, the sulfate groups lower the reaction medium pH.</w:t>
      </w:r>
      <w:r>
        <w:rPr>
          <w:rFonts w:ascii="Arial" w:hAnsi="Arial" w:cs="Arial"/>
          <w:color w:val="000000"/>
          <w:lang w:val="en-US" w:eastAsia="es-MX"/>
        </w:rPr>
        <w:t xml:space="preserve"> </w:t>
      </w:r>
      <w:r w:rsidRPr="00B123B2">
        <w:rPr>
          <w:rFonts w:ascii="Arial" w:hAnsi="Arial" w:cs="Arial"/>
          <w:color w:val="000000"/>
          <w:lang w:val="en-US"/>
        </w:rPr>
        <w:t>Table 3 shows the size and number of distributions, as well as the statistical percentiles for 50 and 90% of the distribution. Here, the blank (Exp. 1) has the largest and broadest particle size distributions, showing two populations. The experiment having only silica (Exp</w:t>
      </w:r>
      <w:r>
        <w:rPr>
          <w:rFonts w:ascii="Arial" w:hAnsi="Arial" w:cs="Arial"/>
          <w:color w:val="000000"/>
          <w:lang w:val="en-US"/>
        </w:rPr>
        <w:t>.</w:t>
      </w:r>
      <w:r w:rsidRPr="00B123B2">
        <w:rPr>
          <w:rFonts w:ascii="Arial" w:hAnsi="Arial" w:cs="Arial"/>
          <w:color w:val="000000"/>
          <w:lang w:val="en-US"/>
        </w:rPr>
        <w:t xml:space="preserve"> 2) also shows two distributions; however, the particle size is reduced.</w:t>
      </w:r>
      <w:r w:rsidRPr="00B123B2">
        <w:rPr>
          <w:rFonts w:ascii="Arial" w:hAnsi="Arial" w:cs="Arial"/>
          <w:color w:val="000000"/>
          <w:lang w:val="en-US" w:eastAsia="es-MX"/>
        </w:rPr>
        <w:t xml:space="preserve"> </w:t>
      </w:r>
      <w:r w:rsidRPr="0078718A">
        <w:rPr>
          <w:rFonts w:ascii="Arial" w:hAnsi="Arial" w:cs="Arial"/>
          <w:color w:val="000000"/>
          <w:lang w:val="en-US" w:eastAsia="es-MX"/>
        </w:rPr>
        <w:t>This particle size reduction is due to the silica acting as a nucleating agent which has been explained.</w:t>
      </w:r>
      <w:r w:rsidRPr="00B81843">
        <w:rPr>
          <w:rFonts w:ascii="Arial" w:hAnsi="Arial" w:cs="Arial"/>
          <w:vertAlign w:val="superscript"/>
          <w:lang w:val="en-US"/>
        </w:rPr>
        <w:t xml:space="preserve"> [15]</w:t>
      </w:r>
      <w:r w:rsidRPr="0078718A">
        <w:rPr>
          <w:rFonts w:ascii="Arial" w:hAnsi="Arial" w:cs="Arial"/>
          <w:color w:val="000000"/>
          <w:lang w:val="en-US" w:eastAsia="es-MX"/>
        </w:rPr>
        <w:t xml:space="preserve"> Bare silica nanoparticles interfere in the nucleation and coagulation processes due to weak hydrogen </w:t>
      </w:r>
      <w:r w:rsidRPr="0078718A">
        <w:rPr>
          <w:rFonts w:ascii="Arial" w:hAnsi="Arial" w:cs="Arial"/>
          <w:color w:val="000000"/>
          <w:lang w:val="en-US" w:eastAsia="es-MX"/>
        </w:rPr>
        <w:sym w:font="Symbol" w:char="F070"/>
      </w:r>
      <w:r w:rsidRPr="0078718A">
        <w:rPr>
          <w:rFonts w:ascii="Arial" w:hAnsi="Arial" w:cs="Arial"/>
          <w:color w:val="000000"/>
          <w:lang w:val="en-US" w:eastAsia="es-MX"/>
        </w:rPr>
        <w:t>-bonding interaction between the oligomers/monomers phenyl groups and the silica nanoparticles’ silanol groups, at acid</w:t>
      </w:r>
      <w:r w:rsidRPr="00B123B2">
        <w:rPr>
          <w:rFonts w:ascii="Arial" w:hAnsi="Arial" w:cs="Arial"/>
          <w:color w:val="000000"/>
          <w:lang w:val="en-US" w:eastAsia="es-MX"/>
        </w:rPr>
        <w:t xml:space="preserve"> </w:t>
      </w:r>
      <w:r w:rsidRPr="0078718A">
        <w:rPr>
          <w:rFonts w:ascii="Arial" w:hAnsi="Arial" w:cs="Arial"/>
          <w:color w:val="000000"/>
          <w:lang w:val="en-US" w:eastAsia="es-MX"/>
        </w:rPr>
        <w:t>pH conditions.</w:t>
      </w:r>
      <w:r w:rsidRPr="00B81843">
        <w:rPr>
          <w:rFonts w:ascii="Arial" w:hAnsi="Arial" w:cs="Arial"/>
          <w:vertAlign w:val="superscript"/>
          <w:lang w:val="en-US"/>
        </w:rPr>
        <w:t>[30]</w:t>
      </w:r>
    </w:p>
    <w:p w:rsidR="00FD05B8" w:rsidRDefault="00FD05B8" w:rsidP="00FD05B8">
      <w:pPr>
        <w:numPr>
          <w:ilvl w:val="0"/>
          <w:numId w:val="1"/>
        </w:numPr>
        <w:tabs>
          <w:tab w:val="clear" w:pos="432"/>
          <w:tab w:val="num" w:pos="0"/>
        </w:tabs>
        <w:suppressAutoHyphens/>
        <w:spacing w:after="0" w:line="240" w:lineRule="auto"/>
        <w:ind w:left="0" w:firstLine="0"/>
        <w:jc w:val="both"/>
        <w:rPr>
          <w:rFonts w:ascii="Arial" w:hAnsi="Arial" w:cs="Arial"/>
          <w:color w:val="000000"/>
          <w:lang w:val="en-US" w:eastAsia="es-MX"/>
        </w:rPr>
      </w:pPr>
    </w:p>
    <w:p w:rsidR="00FD05B8" w:rsidRPr="00AD118D" w:rsidRDefault="00FD05B8" w:rsidP="00FD05B8">
      <w:pPr>
        <w:pStyle w:val="HTMLconformatoprevio"/>
        <w:numPr>
          <w:ilvl w:val="0"/>
          <w:numId w:val="1"/>
        </w:numPr>
        <w:shd w:val="clear" w:color="auto" w:fill="FFFFFF"/>
        <w:tabs>
          <w:tab w:val="clear" w:pos="432"/>
          <w:tab w:val="num" w:pos="0"/>
        </w:tabs>
        <w:spacing w:after="0" w:line="240" w:lineRule="auto"/>
        <w:ind w:left="0" w:firstLine="0"/>
        <w:jc w:val="center"/>
        <w:rPr>
          <w:rFonts w:ascii="Arial" w:hAnsi="Arial" w:cs="Arial"/>
          <w:bCs/>
          <w:i/>
          <w:iCs/>
          <w:color w:val="212121"/>
          <w:lang w:val="en"/>
        </w:rPr>
      </w:pPr>
      <w:r w:rsidRPr="00AD118D">
        <w:rPr>
          <w:rFonts w:ascii="Arial" w:hAnsi="Arial" w:cs="Arial"/>
          <w:bCs/>
          <w:i/>
          <w:iCs/>
          <w:color w:val="000000"/>
          <w:lang w:val="en-US"/>
        </w:rPr>
        <w:t xml:space="preserve">Table </w:t>
      </w:r>
      <w:r>
        <w:rPr>
          <w:rFonts w:ascii="Arial" w:hAnsi="Arial" w:cs="Arial"/>
          <w:bCs/>
          <w:i/>
          <w:iCs/>
          <w:color w:val="000000"/>
          <w:lang w:val="en-US"/>
        </w:rPr>
        <w:t>3</w:t>
      </w:r>
      <w:r w:rsidRPr="00AD118D">
        <w:rPr>
          <w:rFonts w:ascii="Arial" w:hAnsi="Arial" w:cs="Arial"/>
          <w:bCs/>
          <w:i/>
          <w:iCs/>
          <w:color w:val="000000"/>
          <w:lang w:val="en-US"/>
        </w:rPr>
        <w:t xml:space="preserve">. </w:t>
      </w:r>
      <w:r w:rsidRPr="00AD118D">
        <w:rPr>
          <w:rFonts w:ascii="Arial" w:hAnsi="Arial" w:cs="Arial"/>
          <w:bCs/>
          <w:i/>
          <w:iCs/>
          <w:color w:val="212121"/>
          <w:lang w:val="en"/>
        </w:rPr>
        <w:t>Size distributions for all reactions.</w:t>
      </w:r>
    </w:p>
    <w:p w:rsidR="00FD05B8" w:rsidRPr="00AD118D" w:rsidRDefault="00FD05B8" w:rsidP="00FD05B8">
      <w:pPr>
        <w:pStyle w:val="HTMLconformatoprevio"/>
        <w:numPr>
          <w:ilvl w:val="0"/>
          <w:numId w:val="1"/>
        </w:numPr>
        <w:shd w:val="clear" w:color="auto" w:fill="FFFFFF"/>
        <w:tabs>
          <w:tab w:val="clear" w:pos="432"/>
          <w:tab w:val="num" w:pos="0"/>
        </w:tabs>
        <w:spacing w:after="0" w:line="240" w:lineRule="auto"/>
        <w:ind w:left="0" w:firstLine="0"/>
        <w:rPr>
          <w:rFonts w:ascii="Arial" w:hAnsi="Arial" w:cs="Arial"/>
          <w:color w:val="212121"/>
          <w:lang w:val="en-US"/>
        </w:rPr>
      </w:pPr>
      <w:r w:rsidRPr="00AD118D">
        <w:rPr>
          <w:rFonts w:ascii="Arial" w:hAnsi="Arial" w:cs="Arial"/>
          <w:color w:val="212121"/>
          <w:lang w:val="en"/>
        </w:rPr>
        <w:t xml:space="preserve">  </w:t>
      </w:r>
    </w:p>
    <w:tbl>
      <w:tblPr>
        <w:tblW w:w="7979" w:type="dxa"/>
        <w:jc w:val="center"/>
        <w:tblLook w:val="04A0" w:firstRow="1" w:lastRow="0" w:firstColumn="1" w:lastColumn="0" w:noHBand="0" w:noVBand="1"/>
      </w:tblPr>
      <w:tblGrid>
        <w:gridCol w:w="1556"/>
        <w:gridCol w:w="287"/>
        <w:gridCol w:w="1412"/>
        <w:gridCol w:w="1319"/>
        <w:gridCol w:w="1786"/>
        <w:gridCol w:w="1619"/>
      </w:tblGrid>
      <w:tr w:rsidR="00FD05B8" w:rsidRPr="00C8792F" w:rsidTr="00B81843">
        <w:trPr>
          <w:jc w:val="center"/>
        </w:trPr>
        <w:tc>
          <w:tcPr>
            <w:tcW w:w="1556" w:type="dxa"/>
            <w:tcBorders>
              <w:bottom w:val="single" w:sz="18" w:space="0" w:color="auto"/>
            </w:tcBorders>
            <w:shd w:val="clear" w:color="auto" w:fill="auto"/>
          </w:tcPr>
          <w:p w:rsidR="00FD05B8" w:rsidRPr="00C8792F" w:rsidRDefault="00FD05B8" w:rsidP="00B81843">
            <w:pPr>
              <w:jc w:val="center"/>
              <w:rPr>
                <w:rFonts w:ascii="Arial" w:hAnsi="Arial" w:cs="Arial"/>
                <w:b/>
                <w:bCs/>
                <w:sz w:val="20"/>
                <w:szCs w:val="20"/>
                <w:lang w:eastAsia="es-MX"/>
              </w:rPr>
            </w:pPr>
            <w:r w:rsidRPr="00C8792F">
              <w:rPr>
                <w:rFonts w:ascii="Arial" w:hAnsi="Arial" w:cs="Arial"/>
                <w:b/>
                <w:bCs/>
                <w:sz w:val="20"/>
                <w:szCs w:val="20"/>
                <w:lang w:eastAsia="es-MX"/>
              </w:rPr>
              <w:t>Experiment</w:t>
            </w:r>
          </w:p>
        </w:tc>
        <w:tc>
          <w:tcPr>
            <w:tcW w:w="287" w:type="dxa"/>
            <w:tcBorders>
              <w:bottom w:val="single" w:sz="18" w:space="0" w:color="auto"/>
            </w:tcBorders>
            <w:shd w:val="clear" w:color="auto" w:fill="auto"/>
          </w:tcPr>
          <w:p w:rsidR="00FD05B8" w:rsidRPr="00C8792F" w:rsidRDefault="00FD05B8" w:rsidP="00B81843">
            <w:pPr>
              <w:jc w:val="center"/>
              <w:rPr>
                <w:rFonts w:ascii="Arial" w:hAnsi="Arial" w:cs="Arial"/>
                <w:b/>
                <w:bCs/>
                <w:sz w:val="20"/>
                <w:szCs w:val="20"/>
                <w:lang w:eastAsia="es-MX"/>
              </w:rPr>
            </w:pPr>
          </w:p>
        </w:tc>
        <w:tc>
          <w:tcPr>
            <w:tcW w:w="1412" w:type="dxa"/>
            <w:tcBorders>
              <w:bottom w:val="single" w:sz="18" w:space="0" w:color="auto"/>
            </w:tcBorders>
            <w:shd w:val="clear" w:color="auto" w:fill="auto"/>
          </w:tcPr>
          <w:p w:rsidR="00FD05B8" w:rsidRPr="00C8792F" w:rsidRDefault="00FD05B8" w:rsidP="00B81843">
            <w:pPr>
              <w:jc w:val="center"/>
              <w:rPr>
                <w:rFonts w:ascii="Arial" w:hAnsi="Arial" w:cs="Arial"/>
                <w:b/>
                <w:bCs/>
                <w:sz w:val="20"/>
                <w:szCs w:val="20"/>
                <w:lang w:eastAsia="es-MX"/>
              </w:rPr>
            </w:pPr>
            <w:r w:rsidRPr="00C8792F">
              <w:rPr>
                <w:rFonts w:ascii="Arial" w:hAnsi="Arial" w:cs="Arial"/>
                <w:b/>
                <w:bCs/>
                <w:sz w:val="20"/>
                <w:szCs w:val="20"/>
                <w:lang w:eastAsia="es-MX"/>
              </w:rPr>
              <w:t>D (0.5)</w:t>
            </w:r>
          </w:p>
          <w:p w:rsidR="00FD05B8" w:rsidRPr="00C8792F" w:rsidRDefault="00FD05B8" w:rsidP="00B81843">
            <w:pPr>
              <w:jc w:val="center"/>
              <w:rPr>
                <w:rFonts w:ascii="Arial" w:hAnsi="Arial" w:cs="Arial"/>
                <w:b/>
                <w:bCs/>
                <w:sz w:val="20"/>
                <w:szCs w:val="20"/>
                <w:lang w:eastAsia="es-MX"/>
              </w:rPr>
            </w:pPr>
            <w:r w:rsidRPr="00C8792F">
              <w:rPr>
                <w:rFonts w:ascii="Arial" w:hAnsi="Arial" w:cs="Arial"/>
                <w:b/>
                <w:bCs/>
                <w:sz w:val="20"/>
                <w:szCs w:val="20"/>
                <w:lang w:eastAsia="es-MX"/>
              </w:rPr>
              <w:t>nm</w:t>
            </w:r>
          </w:p>
        </w:tc>
        <w:tc>
          <w:tcPr>
            <w:tcW w:w="1319" w:type="dxa"/>
            <w:tcBorders>
              <w:bottom w:val="single" w:sz="18" w:space="0" w:color="auto"/>
            </w:tcBorders>
            <w:shd w:val="clear" w:color="auto" w:fill="auto"/>
          </w:tcPr>
          <w:p w:rsidR="00FD05B8" w:rsidRPr="00C8792F" w:rsidRDefault="00FD05B8" w:rsidP="00B81843">
            <w:pPr>
              <w:jc w:val="center"/>
              <w:rPr>
                <w:rFonts w:ascii="Arial" w:hAnsi="Arial" w:cs="Arial"/>
                <w:b/>
                <w:bCs/>
                <w:sz w:val="20"/>
                <w:szCs w:val="20"/>
                <w:lang w:eastAsia="es-MX"/>
              </w:rPr>
            </w:pPr>
            <w:r w:rsidRPr="00C8792F">
              <w:rPr>
                <w:rFonts w:ascii="Arial" w:hAnsi="Arial" w:cs="Arial"/>
                <w:b/>
                <w:bCs/>
                <w:sz w:val="20"/>
                <w:szCs w:val="20"/>
                <w:lang w:eastAsia="es-MX"/>
              </w:rPr>
              <w:t>D (0.9)</w:t>
            </w:r>
          </w:p>
          <w:p w:rsidR="00FD05B8" w:rsidRPr="00C8792F" w:rsidRDefault="00FD05B8" w:rsidP="00B81843">
            <w:pPr>
              <w:jc w:val="center"/>
              <w:rPr>
                <w:rFonts w:ascii="Arial" w:hAnsi="Arial" w:cs="Arial"/>
                <w:b/>
                <w:bCs/>
                <w:sz w:val="20"/>
                <w:szCs w:val="20"/>
                <w:lang w:eastAsia="es-MX"/>
              </w:rPr>
            </w:pPr>
            <w:r w:rsidRPr="00C8792F">
              <w:rPr>
                <w:rFonts w:ascii="Arial" w:hAnsi="Arial" w:cs="Arial"/>
                <w:b/>
                <w:bCs/>
                <w:sz w:val="20"/>
                <w:szCs w:val="20"/>
                <w:lang w:eastAsia="es-MX"/>
              </w:rPr>
              <w:t>nm</w:t>
            </w:r>
          </w:p>
        </w:tc>
        <w:tc>
          <w:tcPr>
            <w:tcW w:w="1786" w:type="dxa"/>
            <w:tcBorders>
              <w:bottom w:val="single" w:sz="18" w:space="0" w:color="auto"/>
            </w:tcBorders>
            <w:shd w:val="clear" w:color="auto" w:fill="auto"/>
          </w:tcPr>
          <w:p w:rsidR="00FD05B8" w:rsidRPr="00C8792F" w:rsidRDefault="00FD05B8" w:rsidP="00B81843">
            <w:pPr>
              <w:jc w:val="center"/>
              <w:rPr>
                <w:rFonts w:ascii="Arial" w:hAnsi="Arial" w:cs="Arial"/>
                <w:b/>
                <w:bCs/>
                <w:sz w:val="20"/>
                <w:szCs w:val="20"/>
                <w:lang w:eastAsia="es-MX"/>
              </w:rPr>
            </w:pPr>
            <w:r w:rsidRPr="00C8792F">
              <w:rPr>
                <w:rFonts w:ascii="Arial" w:hAnsi="Arial" w:cs="Arial"/>
                <w:b/>
                <w:bCs/>
                <w:sz w:val="20"/>
                <w:szCs w:val="20"/>
                <w:lang w:eastAsia="es-MX"/>
              </w:rPr>
              <w:t xml:space="preserve">Number of Distributions </w:t>
            </w:r>
          </w:p>
        </w:tc>
        <w:tc>
          <w:tcPr>
            <w:tcW w:w="1619" w:type="dxa"/>
            <w:tcBorders>
              <w:bottom w:val="single" w:sz="18" w:space="0" w:color="auto"/>
            </w:tcBorders>
            <w:shd w:val="clear" w:color="auto" w:fill="auto"/>
          </w:tcPr>
          <w:p w:rsidR="00FD05B8" w:rsidRPr="00C8792F" w:rsidRDefault="00FD05B8" w:rsidP="00B81843">
            <w:pPr>
              <w:jc w:val="center"/>
              <w:rPr>
                <w:rFonts w:ascii="Arial" w:hAnsi="Arial" w:cs="Arial"/>
                <w:b/>
                <w:bCs/>
                <w:sz w:val="20"/>
                <w:szCs w:val="20"/>
                <w:lang w:eastAsia="es-MX"/>
              </w:rPr>
            </w:pPr>
            <w:r w:rsidRPr="00C8792F">
              <w:rPr>
                <w:rFonts w:ascii="Arial" w:hAnsi="Arial" w:cs="Arial"/>
                <w:b/>
                <w:bCs/>
                <w:sz w:val="20"/>
                <w:szCs w:val="20"/>
                <w:lang w:eastAsia="es-MX"/>
              </w:rPr>
              <w:t xml:space="preserve">Distributions Range </w:t>
            </w:r>
          </w:p>
          <w:p w:rsidR="00FD05B8" w:rsidRPr="00C8792F" w:rsidRDefault="00FD05B8" w:rsidP="00B81843">
            <w:pPr>
              <w:jc w:val="center"/>
              <w:rPr>
                <w:rFonts w:ascii="Arial" w:hAnsi="Arial" w:cs="Arial"/>
                <w:b/>
                <w:bCs/>
                <w:sz w:val="20"/>
                <w:szCs w:val="20"/>
                <w:lang w:eastAsia="es-MX"/>
              </w:rPr>
            </w:pPr>
            <w:r w:rsidRPr="00C8792F">
              <w:rPr>
                <w:rFonts w:ascii="Arial" w:hAnsi="Arial" w:cs="Arial"/>
                <w:b/>
                <w:bCs/>
                <w:sz w:val="20"/>
                <w:szCs w:val="20"/>
                <w:lang w:eastAsia="es-MX"/>
              </w:rPr>
              <w:t>D (nm)</w:t>
            </w:r>
          </w:p>
        </w:tc>
      </w:tr>
      <w:tr w:rsidR="00FD05B8" w:rsidRPr="00C8792F" w:rsidTr="00B81843">
        <w:trPr>
          <w:jc w:val="center"/>
        </w:trPr>
        <w:tc>
          <w:tcPr>
            <w:tcW w:w="1556" w:type="dxa"/>
            <w:tcBorders>
              <w:top w:val="single" w:sz="18" w:space="0" w:color="auto"/>
              <w:bottom w:val="single" w:sz="6" w:space="0" w:color="auto"/>
            </w:tcBorders>
            <w:shd w:val="clear" w:color="auto" w:fill="auto"/>
          </w:tcPr>
          <w:p w:rsidR="00FD05B8" w:rsidRPr="00C8792F" w:rsidRDefault="00FD05B8" w:rsidP="00B81843">
            <w:pPr>
              <w:jc w:val="center"/>
              <w:rPr>
                <w:rFonts w:ascii="Arial" w:hAnsi="Arial" w:cs="Arial"/>
                <w:b/>
                <w:bCs/>
                <w:sz w:val="20"/>
                <w:szCs w:val="20"/>
                <w:lang w:eastAsia="es-MX"/>
              </w:rPr>
            </w:pPr>
            <w:r w:rsidRPr="00C8792F">
              <w:rPr>
                <w:rFonts w:ascii="Arial" w:hAnsi="Arial" w:cs="Arial"/>
                <w:b/>
                <w:bCs/>
                <w:sz w:val="20"/>
                <w:szCs w:val="20"/>
                <w:lang w:eastAsia="es-MX"/>
              </w:rPr>
              <w:t xml:space="preserve">1 </w:t>
            </w:r>
          </w:p>
        </w:tc>
        <w:tc>
          <w:tcPr>
            <w:tcW w:w="287" w:type="dxa"/>
            <w:tcBorders>
              <w:top w:val="single" w:sz="18"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p>
        </w:tc>
        <w:tc>
          <w:tcPr>
            <w:tcW w:w="1412" w:type="dxa"/>
            <w:tcBorders>
              <w:top w:val="single" w:sz="18"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978</w:t>
            </w:r>
          </w:p>
        </w:tc>
        <w:tc>
          <w:tcPr>
            <w:tcW w:w="1319" w:type="dxa"/>
            <w:tcBorders>
              <w:top w:val="single" w:sz="18"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1150</w:t>
            </w:r>
          </w:p>
        </w:tc>
        <w:tc>
          <w:tcPr>
            <w:tcW w:w="1786" w:type="dxa"/>
            <w:tcBorders>
              <w:top w:val="single" w:sz="18"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2</w:t>
            </w:r>
          </w:p>
        </w:tc>
        <w:tc>
          <w:tcPr>
            <w:tcW w:w="1619" w:type="dxa"/>
            <w:tcBorders>
              <w:top w:val="single" w:sz="18" w:space="0" w:color="auto"/>
              <w:bottom w:val="single" w:sz="6" w:space="0" w:color="auto"/>
            </w:tcBorders>
            <w:shd w:val="clear" w:color="auto" w:fill="auto"/>
          </w:tcPr>
          <w:p w:rsidR="00FD05B8" w:rsidRPr="00C8792F" w:rsidRDefault="00FD05B8" w:rsidP="00B81843">
            <w:pPr>
              <w:jc w:val="center"/>
              <w:rPr>
                <w:rFonts w:ascii="Arial" w:hAnsi="Arial" w:cs="Arial"/>
                <w:color w:val="000000"/>
                <w:sz w:val="20"/>
                <w:szCs w:val="20"/>
                <w:lang w:eastAsia="es-MX"/>
              </w:rPr>
            </w:pPr>
            <w:r w:rsidRPr="00C8792F">
              <w:rPr>
                <w:rFonts w:ascii="Arial" w:hAnsi="Arial" w:cs="Arial"/>
                <w:color w:val="000000"/>
                <w:sz w:val="20"/>
                <w:szCs w:val="20"/>
                <w:lang w:eastAsia="es-MX"/>
              </w:rPr>
              <w:t>138-182</w:t>
            </w:r>
          </w:p>
          <w:p w:rsidR="00FD05B8" w:rsidRPr="00C8792F" w:rsidRDefault="00FD05B8" w:rsidP="00B81843">
            <w:pPr>
              <w:jc w:val="center"/>
              <w:rPr>
                <w:rFonts w:ascii="Arial" w:hAnsi="Arial" w:cs="Arial"/>
                <w:color w:val="FF0000"/>
                <w:sz w:val="20"/>
                <w:szCs w:val="20"/>
                <w:lang w:eastAsia="es-MX"/>
              </w:rPr>
            </w:pPr>
            <w:r w:rsidRPr="00C8792F">
              <w:rPr>
                <w:rFonts w:ascii="Arial" w:hAnsi="Arial" w:cs="Arial"/>
                <w:color w:val="000000"/>
                <w:sz w:val="20"/>
                <w:szCs w:val="20"/>
                <w:lang w:eastAsia="es-MX"/>
              </w:rPr>
              <w:t>955-1,096</w:t>
            </w:r>
          </w:p>
        </w:tc>
      </w:tr>
      <w:tr w:rsidR="00FD05B8" w:rsidRPr="00C8792F" w:rsidTr="00B81843">
        <w:trPr>
          <w:jc w:val="center"/>
        </w:trPr>
        <w:tc>
          <w:tcPr>
            <w:tcW w:w="1556"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b/>
                <w:bCs/>
                <w:sz w:val="20"/>
                <w:szCs w:val="20"/>
                <w:lang w:eastAsia="es-MX"/>
              </w:rPr>
            </w:pPr>
            <w:r w:rsidRPr="00C8792F">
              <w:rPr>
                <w:rFonts w:ascii="Arial" w:hAnsi="Arial" w:cs="Arial"/>
                <w:b/>
                <w:bCs/>
                <w:sz w:val="20"/>
                <w:szCs w:val="20"/>
                <w:lang w:eastAsia="es-MX"/>
              </w:rPr>
              <w:t xml:space="preserve">2 </w:t>
            </w:r>
          </w:p>
        </w:tc>
        <w:tc>
          <w:tcPr>
            <w:tcW w:w="287"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p>
        </w:tc>
        <w:tc>
          <w:tcPr>
            <w:tcW w:w="1412"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571</w:t>
            </w:r>
          </w:p>
        </w:tc>
        <w:tc>
          <w:tcPr>
            <w:tcW w:w="1319"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757</w:t>
            </w:r>
          </w:p>
        </w:tc>
        <w:tc>
          <w:tcPr>
            <w:tcW w:w="1786"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2</w:t>
            </w:r>
          </w:p>
        </w:tc>
        <w:tc>
          <w:tcPr>
            <w:tcW w:w="1619"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color w:val="000000"/>
                <w:sz w:val="20"/>
                <w:szCs w:val="20"/>
                <w:lang w:eastAsia="es-MX"/>
              </w:rPr>
            </w:pPr>
            <w:r w:rsidRPr="00C8792F">
              <w:rPr>
                <w:rFonts w:ascii="Arial" w:hAnsi="Arial" w:cs="Arial"/>
                <w:color w:val="000000"/>
                <w:sz w:val="20"/>
                <w:szCs w:val="20"/>
                <w:lang w:eastAsia="es-MX"/>
              </w:rPr>
              <w:t>209-275</w:t>
            </w:r>
          </w:p>
          <w:p w:rsidR="00FD05B8" w:rsidRPr="00C8792F" w:rsidRDefault="00FD05B8" w:rsidP="00B81843">
            <w:pPr>
              <w:jc w:val="center"/>
              <w:rPr>
                <w:rFonts w:ascii="Arial" w:hAnsi="Arial" w:cs="Arial"/>
                <w:color w:val="FF0000"/>
                <w:sz w:val="20"/>
                <w:szCs w:val="20"/>
                <w:lang w:eastAsia="es-MX"/>
              </w:rPr>
            </w:pPr>
            <w:r w:rsidRPr="00C8792F">
              <w:rPr>
                <w:rFonts w:ascii="Arial" w:hAnsi="Arial" w:cs="Arial"/>
                <w:color w:val="000000"/>
                <w:sz w:val="20"/>
                <w:szCs w:val="20"/>
                <w:lang w:eastAsia="es-MX"/>
              </w:rPr>
              <w:t>631-724</w:t>
            </w:r>
          </w:p>
        </w:tc>
      </w:tr>
      <w:tr w:rsidR="00FD05B8" w:rsidRPr="00C8792F" w:rsidTr="00B81843">
        <w:trPr>
          <w:jc w:val="center"/>
        </w:trPr>
        <w:tc>
          <w:tcPr>
            <w:tcW w:w="1556"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b/>
                <w:bCs/>
                <w:sz w:val="20"/>
                <w:szCs w:val="20"/>
                <w:lang w:eastAsia="es-MX"/>
              </w:rPr>
            </w:pPr>
            <w:r w:rsidRPr="00C8792F">
              <w:rPr>
                <w:rFonts w:ascii="Arial" w:hAnsi="Arial" w:cs="Arial"/>
                <w:b/>
                <w:bCs/>
                <w:sz w:val="20"/>
                <w:szCs w:val="20"/>
                <w:lang w:eastAsia="es-MX"/>
              </w:rPr>
              <w:t xml:space="preserve">3 </w:t>
            </w:r>
          </w:p>
        </w:tc>
        <w:tc>
          <w:tcPr>
            <w:tcW w:w="287"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p>
        </w:tc>
        <w:tc>
          <w:tcPr>
            <w:tcW w:w="1412"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170</w:t>
            </w:r>
          </w:p>
        </w:tc>
        <w:tc>
          <w:tcPr>
            <w:tcW w:w="1319"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186</w:t>
            </w:r>
          </w:p>
        </w:tc>
        <w:tc>
          <w:tcPr>
            <w:tcW w:w="1786"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1</w:t>
            </w:r>
          </w:p>
        </w:tc>
        <w:tc>
          <w:tcPr>
            <w:tcW w:w="1619"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color w:val="FF0000"/>
                <w:sz w:val="20"/>
                <w:szCs w:val="20"/>
                <w:lang w:eastAsia="es-MX"/>
              </w:rPr>
            </w:pPr>
            <w:r w:rsidRPr="00C8792F">
              <w:rPr>
                <w:rFonts w:ascii="Arial" w:hAnsi="Arial" w:cs="Arial"/>
                <w:color w:val="000000"/>
                <w:sz w:val="20"/>
                <w:szCs w:val="20"/>
                <w:lang w:eastAsia="es-MX"/>
              </w:rPr>
              <w:t>158-182</w:t>
            </w:r>
          </w:p>
        </w:tc>
      </w:tr>
      <w:tr w:rsidR="00FD05B8" w:rsidRPr="00C8792F" w:rsidTr="00B81843">
        <w:trPr>
          <w:jc w:val="center"/>
        </w:trPr>
        <w:tc>
          <w:tcPr>
            <w:tcW w:w="1556"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b/>
                <w:bCs/>
                <w:sz w:val="20"/>
                <w:szCs w:val="20"/>
                <w:lang w:eastAsia="es-MX"/>
              </w:rPr>
            </w:pPr>
            <w:r w:rsidRPr="00C8792F">
              <w:rPr>
                <w:rFonts w:ascii="Arial" w:hAnsi="Arial" w:cs="Arial"/>
                <w:b/>
                <w:bCs/>
                <w:sz w:val="20"/>
                <w:szCs w:val="20"/>
                <w:lang w:eastAsia="es-MX"/>
              </w:rPr>
              <w:t xml:space="preserve">4 </w:t>
            </w:r>
          </w:p>
        </w:tc>
        <w:tc>
          <w:tcPr>
            <w:tcW w:w="287"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p>
        </w:tc>
        <w:tc>
          <w:tcPr>
            <w:tcW w:w="1412"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193</w:t>
            </w:r>
          </w:p>
        </w:tc>
        <w:tc>
          <w:tcPr>
            <w:tcW w:w="1319"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247</w:t>
            </w:r>
          </w:p>
        </w:tc>
        <w:tc>
          <w:tcPr>
            <w:tcW w:w="1786"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1</w:t>
            </w:r>
          </w:p>
        </w:tc>
        <w:tc>
          <w:tcPr>
            <w:tcW w:w="1619"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color w:val="FF0000"/>
                <w:sz w:val="20"/>
                <w:szCs w:val="20"/>
                <w:lang w:eastAsia="es-MX"/>
              </w:rPr>
            </w:pPr>
            <w:r w:rsidRPr="00C8792F">
              <w:rPr>
                <w:rFonts w:ascii="Arial" w:hAnsi="Arial" w:cs="Arial"/>
                <w:color w:val="000000"/>
                <w:sz w:val="20"/>
                <w:szCs w:val="20"/>
                <w:lang w:eastAsia="es-MX"/>
              </w:rPr>
              <w:t>158-240</w:t>
            </w:r>
          </w:p>
        </w:tc>
      </w:tr>
      <w:tr w:rsidR="00FD05B8" w:rsidRPr="00C8792F" w:rsidTr="00B81843">
        <w:trPr>
          <w:jc w:val="center"/>
        </w:trPr>
        <w:tc>
          <w:tcPr>
            <w:tcW w:w="1556"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b/>
                <w:bCs/>
                <w:sz w:val="20"/>
                <w:szCs w:val="20"/>
                <w:lang w:eastAsia="es-MX"/>
              </w:rPr>
            </w:pPr>
            <w:r w:rsidRPr="00C8792F">
              <w:rPr>
                <w:rFonts w:ascii="Arial" w:hAnsi="Arial" w:cs="Arial"/>
                <w:b/>
                <w:bCs/>
                <w:sz w:val="20"/>
                <w:szCs w:val="20"/>
                <w:lang w:eastAsia="es-MX"/>
              </w:rPr>
              <w:t xml:space="preserve">5 </w:t>
            </w:r>
          </w:p>
        </w:tc>
        <w:tc>
          <w:tcPr>
            <w:tcW w:w="287"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p>
        </w:tc>
        <w:tc>
          <w:tcPr>
            <w:tcW w:w="1412"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191</w:t>
            </w:r>
          </w:p>
        </w:tc>
        <w:tc>
          <w:tcPr>
            <w:tcW w:w="1319"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223</w:t>
            </w:r>
          </w:p>
        </w:tc>
        <w:tc>
          <w:tcPr>
            <w:tcW w:w="1786"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1</w:t>
            </w:r>
          </w:p>
        </w:tc>
        <w:tc>
          <w:tcPr>
            <w:tcW w:w="1619"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color w:val="FF0000"/>
                <w:sz w:val="20"/>
                <w:szCs w:val="20"/>
                <w:lang w:eastAsia="es-MX"/>
              </w:rPr>
            </w:pPr>
            <w:r w:rsidRPr="00C8792F">
              <w:rPr>
                <w:rFonts w:ascii="Arial" w:hAnsi="Arial" w:cs="Arial"/>
                <w:color w:val="000000"/>
                <w:sz w:val="20"/>
                <w:szCs w:val="20"/>
                <w:lang w:eastAsia="es-MX"/>
              </w:rPr>
              <w:t>182-209</w:t>
            </w:r>
          </w:p>
        </w:tc>
      </w:tr>
      <w:tr w:rsidR="00FD05B8" w:rsidRPr="00C8792F" w:rsidTr="00B81843">
        <w:trPr>
          <w:jc w:val="center"/>
        </w:trPr>
        <w:tc>
          <w:tcPr>
            <w:tcW w:w="1556"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b/>
                <w:bCs/>
                <w:sz w:val="20"/>
                <w:szCs w:val="20"/>
                <w:lang w:eastAsia="es-MX"/>
              </w:rPr>
            </w:pPr>
            <w:r w:rsidRPr="00C8792F">
              <w:rPr>
                <w:rFonts w:ascii="Arial" w:hAnsi="Arial" w:cs="Arial"/>
                <w:b/>
                <w:bCs/>
                <w:sz w:val="20"/>
                <w:szCs w:val="20"/>
                <w:lang w:eastAsia="es-MX"/>
              </w:rPr>
              <w:lastRenderedPageBreak/>
              <w:t xml:space="preserve">6 </w:t>
            </w:r>
          </w:p>
        </w:tc>
        <w:tc>
          <w:tcPr>
            <w:tcW w:w="287"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p>
        </w:tc>
        <w:tc>
          <w:tcPr>
            <w:tcW w:w="1412"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281</w:t>
            </w:r>
          </w:p>
        </w:tc>
        <w:tc>
          <w:tcPr>
            <w:tcW w:w="1319"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362</w:t>
            </w:r>
          </w:p>
        </w:tc>
        <w:tc>
          <w:tcPr>
            <w:tcW w:w="1786"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sz w:val="20"/>
                <w:szCs w:val="20"/>
                <w:lang w:eastAsia="es-MX"/>
              </w:rPr>
            </w:pPr>
            <w:r w:rsidRPr="00C8792F">
              <w:rPr>
                <w:rFonts w:ascii="Arial" w:hAnsi="Arial" w:cs="Arial"/>
                <w:sz w:val="20"/>
                <w:szCs w:val="20"/>
                <w:lang w:eastAsia="es-MX"/>
              </w:rPr>
              <w:t>1</w:t>
            </w:r>
          </w:p>
        </w:tc>
        <w:tc>
          <w:tcPr>
            <w:tcW w:w="1619" w:type="dxa"/>
            <w:tcBorders>
              <w:top w:val="single" w:sz="6" w:space="0" w:color="auto"/>
              <w:bottom w:val="single" w:sz="6" w:space="0" w:color="auto"/>
            </w:tcBorders>
            <w:shd w:val="clear" w:color="auto" w:fill="auto"/>
          </w:tcPr>
          <w:p w:rsidR="00FD05B8" w:rsidRPr="00C8792F" w:rsidRDefault="00FD05B8" w:rsidP="00B81843">
            <w:pPr>
              <w:jc w:val="center"/>
              <w:rPr>
                <w:rFonts w:ascii="Arial" w:hAnsi="Arial" w:cs="Arial"/>
                <w:color w:val="FF0000"/>
                <w:sz w:val="20"/>
                <w:szCs w:val="20"/>
                <w:lang w:eastAsia="es-MX"/>
              </w:rPr>
            </w:pPr>
            <w:r w:rsidRPr="00C8792F">
              <w:rPr>
                <w:rFonts w:ascii="Arial" w:hAnsi="Arial" w:cs="Arial"/>
                <w:color w:val="000000"/>
                <w:sz w:val="20"/>
                <w:szCs w:val="20"/>
                <w:lang w:eastAsia="es-MX"/>
              </w:rPr>
              <w:t>233-316</w:t>
            </w:r>
          </w:p>
        </w:tc>
      </w:tr>
    </w:tbl>
    <w:p w:rsidR="00FD05B8" w:rsidRPr="00AD118D" w:rsidRDefault="00FD05B8" w:rsidP="00FD05B8">
      <w:pPr>
        <w:pStyle w:val="HTMLconformatoprevio"/>
        <w:numPr>
          <w:ilvl w:val="0"/>
          <w:numId w:val="1"/>
        </w:numPr>
        <w:shd w:val="clear" w:color="auto" w:fill="FFFFFF"/>
        <w:tabs>
          <w:tab w:val="clear" w:pos="432"/>
          <w:tab w:val="num" w:pos="0"/>
        </w:tabs>
        <w:spacing w:after="0" w:line="240" w:lineRule="auto"/>
        <w:ind w:left="0" w:firstLine="0"/>
        <w:rPr>
          <w:rFonts w:ascii="Arial" w:hAnsi="Arial" w:cs="Arial"/>
          <w:color w:val="212121"/>
          <w:lang w:val="en"/>
        </w:rPr>
      </w:pPr>
      <w:r w:rsidRPr="00AD118D">
        <w:rPr>
          <w:rFonts w:ascii="Arial" w:hAnsi="Arial" w:cs="Arial"/>
          <w:lang w:val="en-US"/>
        </w:rPr>
        <w:t xml:space="preserve">Note: </w:t>
      </w:r>
      <w:r w:rsidRPr="00AD118D">
        <w:rPr>
          <w:rFonts w:ascii="Arial" w:hAnsi="Arial" w:cs="Arial"/>
          <w:color w:val="212121"/>
          <w:lang w:val="en"/>
        </w:rPr>
        <w:t>D (0.5) and D (0.9) represent the statistical percentiles</w:t>
      </w:r>
    </w:p>
    <w:p w:rsidR="00FD05B8" w:rsidRPr="0094546E" w:rsidRDefault="00FD05B8" w:rsidP="00FD05B8">
      <w:pPr>
        <w:numPr>
          <w:ilvl w:val="0"/>
          <w:numId w:val="1"/>
        </w:numPr>
        <w:tabs>
          <w:tab w:val="clear" w:pos="432"/>
          <w:tab w:val="num" w:pos="0"/>
        </w:tabs>
        <w:suppressAutoHyphens/>
        <w:spacing w:after="0" w:line="240" w:lineRule="auto"/>
        <w:ind w:left="0" w:firstLine="0"/>
        <w:rPr>
          <w:rFonts w:ascii="Arial" w:hAnsi="Arial" w:cs="Arial"/>
          <w:sz w:val="20"/>
          <w:szCs w:val="20"/>
          <w:lang w:val="en-US"/>
        </w:rPr>
      </w:pPr>
    </w:p>
    <w:p w:rsidR="00FD05B8" w:rsidRPr="0094546E" w:rsidRDefault="00FD05B8" w:rsidP="00FD05B8">
      <w:pPr>
        <w:numPr>
          <w:ilvl w:val="0"/>
          <w:numId w:val="1"/>
        </w:numPr>
        <w:tabs>
          <w:tab w:val="clear" w:pos="432"/>
          <w:tab w:val="num" w:pos="0"/>
        </w:tabs>
        <w:suppressAutoHyphens/>
        <w:spacing w:after="0" w:line="240" w:lineRule="auto"/>
        <w:ind w:left="0" w:firstLine="0"/>
        <w:jc w:val="both"/>
        <w:rPr>
          <w:rFonts w:ascii="Arial" w:hAnsi="Arial" w:cs="Arial"/>
          <w:sz w:val="20"/>
          <w:szCs w:val="20"/>
          <w:lang w:val="en-US"/>
        </w:rPr>
      </w:pPr>
      <w:r w:rsidRPr="0094546E">
        <w:rPr>
          <w:rFonts w:ascii="Arial" w:hAnsi="Arial" w:cs="Arial"/>
          <w:color w:val="000000"/>
          <w:lang w:val="en-US" w:eastAsia="es-MX"/>
        </w:rPr>
        <w:t>Exp. 3, having only 4VP and VBS, presents the smaller and narrower particle size distribution (PSD). Strong acid-base interaction between the 4VP nitrogen atoms and silica hydroxyl groups aids in making the silica particles more compatible. 4VP and VBS, both being water soluble, will promote large oligomers in the water phase</w:t>
      </w:r>
      <w:r w:rsidRPr="0094546E">
        <w:rPr>
          <w:rFonts w:ascii="Arial" w:hAnsi="Arial" w:cs="Arial"/>
          <w:color w:val="000000"/>
          <w:shd w:val="clear" w:color="auto" w:fill="FFFFFF"/>
          <w:lang w:val="en-US"/>
        </w:rPr>
        <w:t xml:space="preserve"> that will promote the polymer particle homogeneous nucleation. Besides, both will also benefit the particle stabilization, due to their electrostatic charges.  </w:t>
      </w:r>
      <w:r w:rsidRPr="0094546E">
        <w:rPr>
          <w:rFonts w:ascii="Arial" w:hAnsi="Arial" w:cs="Arial"/>
          <w:color w:val="000000"/>
          <w:lang w:val="en-US" w:eastAsia="es-MX"/>
        </w:rPr>
        <w:t xml:space="preserve">Exps. 3 to 6 present only one PSD. Exp. 5, the one that has a lower CTAB concentration, shows smaller size particles; however, has a very low conversion, meaning that the particles could not grow enough. The addition of PEGMA in Exp. 6 increases the particle size when </w:t>
      </w:r>
      <w:r w:rsidRPr="0094546E">
        <w:rPr>
          <w:rFonts w:ascii="Arial" w:hAnsi="Arial" w:cs="Arial"/>
          <w:lang w:val="en-US" w:eastAsia="es-MX"/>
        </w:rPr>
        <w:t xml:space="preserve">compared to </w:t>
      </w:r>
      <w:r w:rsidRPr="0094546E">
        <w:rPr>
          <w:rFonts w:ascii="Arial" w:hAnsi="Arial" w:cs="Arial"/>
          <w:color w:val="000000"/>
          <w:lang w:val="en-US" w:eastAsia="es-MX"/>
        </w:rPr>
        <w:t xml:space="preserve">Exps. 3 to 5. </w:t>
      </w:r>
    </w:p>
    <w:p w:rsidR="00FD05B8" w:rsidRDefault="00FD05B8" w:rsidP="00FD05B8">
      <w:pPr>
        <w:numPr>
          <w:ilvl w:val="8"/>
          <w:numId w:val="1"/>
        </w:numPr>
        <w:tabs>
          <w:tab w:val="clear" w:pos="1584"/>
          <w:tab w:val="num" w:pos="0"/>
        </w:tabs>
        <w:suppressAutoHyphens/>
        <w:spacing w:after="0" w:line="240" w:lineRule="auto"/>
        <w:ind w:left="0" w:firstLine="0"/>
        <w:jc w:val="both"/>
        <w:rPr>
          <w:rFonts w:ascii="Arial" w:hAnsi="Arial" w:cs="Arial"/>
          <w:color w:val="000000"/>
          <w:lang w:val="en-US" w:eastAsia="es-MX"/>
        </w:rPr>
      </w:pPr>
    </w:p>
    <w:p w:rsidR="00FD05B8" w:rsidRPr="00EB2E45" w:rsidRDefault="00FD05B8" w:rsidP="00FD05B8">
      <w:pPr>
        <w:numPr>
          <w:ilvl w:val="0"/>
          <w:numId w:val="1"/>
        </w:numPr>
        <w:tabs>
          <w:tab w:val="clear" w:pos="432"/>
          <w:tab w:val="num" w:pos="0"/>
        </w:tabs>
        <w:suppressAutoHyphens/>
        <w:spacing w:after="0" w:line="240" w:lineRule="auto"/>
        <w:ind w:left="0" w:firstLine="0"/>
        <w:jc w:val="center"/>
        <w:rPr>
          <w:rFonts w:cs="Arial"/>
          <w:b/>
          <w:noProof/>
          <w:color w:val="FFD966"/>
          <w:lang w:eastAsia="es-MX"/>
        </w:rPr>
      </w:pPr>
      <w:r w:rsidRPr="00EB2E45">
        <w:rPr>
          <w:rFonts w:cs="Arial"/>
          <w:b/>
          <w:noProof/>
          <w:color w:val="FFD966"/>
          <w:lang w:val="en-US"/>
        </w:rPr>
        <w:drawing>
          <wp:inline distT="0" distB="0" distL="0" distR="0" wp14:anchorId="49E315B6" wp14:editId="27C4B831">
            <wp:extent cx="2647950" cy="1323975"/>
            <wp:effectExtent l="0" t="0" r="0" b="9525"/>
            <wp:docPr id="1413571385" name="Imagen 141357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2647950" cy="1323975"/>
                    </a:xfrm>
                    <a:prstGeom prst="rect">
                      <a:avLst/>
                    </a:prstGeom>
                    <a:noFill/>
                    <a:ln>
                      <a:noFill/>
                    </a:ln>
                  </pic:spPr>
                </pic:pic>
              </a:graphicData>
            </a:graphic>
          </wp:inline>
        </w:drawing>
      </w:r>
    </w:p>
    <w:p w:rsidR="00FD05B8" w:rsidRPr="00334039" w:rsidRDefault="00FD05B8" w:rsidP="00FD05B8">
      <w:pPr>
        <w:numPr>
          <w:ilvl w:val="0"/>
          <w:numId w:val="1"/>
        </w:numPr>
        <w:tabs>
          <w:tab w:val="clear" w:pos="432"/>
          <w:tab w:val="num" w:pos="0"/>
        </w:tabs>
        <w:suppressAutoHyphens/>
        <w:spacing w:after="0" w:line="240" w:lineRule="auto"/>
        <w:ind w:left="0" w:firstLine="0"/>
        <w:jc w:val="center"/>
        <w:rPr>
          <w:rFonts w:ascii="Arial" w:hAnsi="Arial" w:cs="Arial"/>
          <w:i/>
          <w:iCs/>
          <w:color w:val="212121"/>
          <w:sz w:val="20"/>
          <w:szCs w:val="20"/>
          <w:shd w:val="clear" w:color="auto" w:fill="FFFFFF"/>
          <w:lang w:val="en-US"/>
        </w:rPr>
      </w:pPr>
      <w:r w:rsidRPr="00334039">
        <w:rPr>
          <w:rFonts w:ascii="Arial" w:hAnsi="Arial" w:cs="Arial"/>
          <w:i/>
          <w:iCs/>
          <w:sz w:val="20"/>
          <w:szCs w:val="20"/>
          <w:lang w:val="en-US"/>
        </w:rPr>
        <w:t xml:space="preserve">Figure 2. </w:t>
      </w:r>
      <w:r w:rsidRPr="00334039">
        <w:rPr>
          <w:rFonts w:ascii="Arial" w:hAnsi="Arial" w:cs="Arial"/>
          <w:i/>
          <w:iCs/>
          <w:color w:val="212121"/>
          <w:sz w:val="20"/>
          <w:szCs w:val="20"/>
          <w:shd w:val="clear" w:color="auto" w:fill="FFFFFF"/>
          <w:lang w:val="en-US"/>
        </w:rPr>
        <w:t>TEM images emulsion polymerizations for Exp.1 (left) and Exp. 2 (right).</w:t>
      </w:r>
    </w:p>
    <w:p w:rsidR="00FD05B8" w:rsidRPr="0078718A" w:rsidRDefault="00FD05B8" w:rsidP="00FD05B8">
      <w:pPr>
        <w:numPr>
          <w:ilvl w:val="0"/>
          <w:numId w:val="1"/>
        </w:numPr>
        <w:tabs>
          <w:tab w:val="clear" w:pos="432"/>
          <w:tab w:val="num" w:pos="0"/>
        </w:tabs>
        <w:suppressAutoHyphens/>
        <w:spacing w:after="0" w:line="240" w:lineRule="auto"/>
        <w:ind w:left="0" w:firstLine="0"/>
        <w:jc w:val="both"/>
        <w:rPr>
          <w:rFonts w:ascii="Arial" w:hAnsi="Arial" w:cs="Arial"/>
          <w:color w:val="000000"/>
          <w:lang w:val="en-US" w:eastAsia="es-MX"/>
        </w:rPr>
      </w:pPr>
    </w:p>
    <w:p w:rsidR="00FD05B8" w:rsidRDefault="00FD05B8" w:rsidP="00FD05B8">
      <w:pPr>
        <w:numPr>
          <w:ilvl w:val="4"/>
          <w:numId w:val="1"/>
        </w:numPr>
        <w:tabs>
          <w:tab w:val="clear" w:pos="1008"/>
          <w:tab w:val="num" w:pos="0"/>
        </w:tabs>
        <w:suppressAutoHyphens/>
        <w:spacing w:after="0" w:line="240" w:lineRule="auto"/>
        <w:ind w:left="0" w:firstLine="0"/>
        <w:jc w:val="both"/>
        <w:rPr>
          <w:rFonts w:ascii="Arial" w:eastAsia="Times New Roman" w:hAnsi="Arial" w:cs="Arial"/>
          <w:color w:val="000000"/>
          <w:lang w:val="en" w:eastAsia="es-MX"/>
        </w:rPr>
      </w:pPr>
      <w:r w:rsidRPr="0078718A">
        <w:rPr>
          <w:rFonts w:ascii="Arial" w:eastAsia="Times New Roman" w:hAnsi="Arial" w:cs="Arial"/>
          <w:color w:val="000000"/>
          <w:lang w:val="en" w:eastAsia="es-MX"/>
        </w:rPr>
        <w:t xml:space="preserve">With respect to the TEM micrographs, Exp. 1 is a blank containing monomer (STY), buffer and initiator (APS). Its corresponding image is shown on the left side of Figure 2. Two main characteristics can be observed: the polymer particles present very different sizes, leading to two size distributions, in a range of 138-182 and 955-1,096, as shown in Table </w:t>
      </w:r>
      <w:r>
        <w:rPr>
          <w:rFonts w:ascii="Arial" w:eastAsia="Times New Roman" w:hAnsi="Arial" w:cs="Arial"/>
          <w:color w:val="000000"/>
          <w:lang w:val="en" w:eastAsia="es-MX"/>
        </w:rPr>
        <w:t>3</w:t>
      </w:r>
      <w:r w:rsidRPr="0078718A">
        <w:rPr>
          <w:rFonts w:ascii="Arial" w:eastAsia="Times New Roman" w:hAnsi="Arial" w:cs="Arial"/>
          <w:color w:val="000000"/>
          <w:lang w:val="en" w:eastAsia="es-MX"/>
        </w:rPr>
        <w:t>, and these particles are much larger than those obtained in the rest of the reactions (Exps. 2 to 6). Differently, this experiment shows the highest conversion value (94.46%) of all the runs. This high conversion value might be due to a gel-effect where an auto-acceleration occurs, yielding a temperature increase and therefore, higher conversions.</w:t>
      </w:r>
      <w:r w:rsidRPr="00B81843">
        <w:rPr>
          <w:rFonts w:ascii="Arial" w:hAnsi="Arial" w:cs="Arial"/>
          <w:vertAlign w:val="superscript"/>
          <w:lang w:val="en-US"/>
        </w:rPr>
        <w:t xml:space="preserve"> [31]</w:t>
      </w:r>
      <w:r w:rsidRPr="0078718A">
        <w:rPr>
          <w:rFonts w:ascii="Arial" w:eastAsia="Times New Roman" w:hAnsi="Arial" w:cs="Arial"/>
          <w:color w:val="000000"/>
          <w:vertAlign w:val="superscript"/>
          <w:lang w:val="en" w:eastAsia="es-MX"/>
        </w:rPr>
        <w:t xml:space="preserve"> </w:t>
      </w:r>
      <w:r w:rsidRPr="0078718A">
        <w:rPr>
          <w:rFonts w:ascii="Arial" w:eastAsia="Times New Roman" w:hAnsi="Arial" w:cs="Arial"/>
          <w:color w:val="000000"/>
          <w:lang w:val="en" w:eastAsia="es-MX"/>
        </w:rPr>
        <w:t xml:space="preserve">The very large particles’ size might be caused by coagulation due to poor stabilization </w:t>
      </w:r>
      <w:r w:rsidRPr="0078718A">
        <w:rPr>
          <w:rFonts w:ascii="Arial" w:eastAsia="Times New Roman" w:hAnsi="Arial" w:cs="Arial"/>
          <w:color w:val="212121"/>
          <w:lang w:val="en" w:eastAsia="es-MX"/>
        </w:rPr>
        <w:t>because the only stabilization is provided by the sulfate groups from the initiator. The RHS of Figure 2 presents the micrograph corresponding to Exp. 2, where only silica is added. Here it can be observed that adding SiO</w:t>
      </w:r>
      <w:r w:rsidRPr="0078718A">
        <w:rPr>
          <w:rFonts w:ascii="Arial" w:eastAsia="Times New Roman" w:hAnsi="Arial" w:cs="Arial"/>
          <w:color w:val="212121"/>
          <w:vertAlign w:val="subscript"/>
          <w:lang w:val="en" w:eastAsia="es-MX"/>
        </w:rPr>
        <w:t>2</w:t>
      </w:r>
      <w:r w:rsidRPr="0078718A">
        <w:rPr>
          <w:rFonts w:ascii="Arial" w:eastAsia="Times New Roman" w:hAnsi="Arial" w:cs="Arial"/>
          <w:color w:val="212121"/>
          <w:lang w:val="en" w:eastAsia="es-MX"/>
        </w:rPr>
        <w:t xml:space="preserve"> is not enough to guarantee a Pickering emulsion, and the conversion reached was 92.44%. In this micrograph it is not clear if the silica is behind the particles or contained inside them. As mentioned above, the presence of silica </w:t>
      </w:r>
      <w:r w:rsidRPr="0078718A">
        <w:rPr>
          <w:rFonts w:ascii="Arial" w:eastAsia="Times New Roman" w:hAnsi="Arial" w:cs="Arial"/>
          <w:color w:val="000000"/>
          <w:lang w:val="en" w:eastAsia="es-MX"/>
        </w:rPr>
        <w:t>promotes particle nucleation, yielding smaller particle sizes, which has been explained previously.</w:t>
      </w:r>
      <w:r w:rsidRPr="00B81843">
        <w:rPr>
          <w:rFonts w:ascii="Arial" w:hAnsi="Arial" w:cs="Arial"/>
          <w:vertAlign w:val="superscript"/>
          <w:lang w:val="en-US"/>
        </w:rPr>
        <w:t>[15]</w:t>
      </w:r>
      <w:r w:rsidRPr="0078718A">
        <w:rPr>
          <w:rFonts w:ascii="Arial" w:eastAsia="Times New Roman" w:hAnsi="Arial" w:cs="Arial"/>
          <w:color w:val="000000"/>
          <w:lang w:val="en" w:eastAsia="es-MX"/>
        </w:rPr>
        <w:t xml:space="preserve"> However, two particle size distributions also are observed (See Table 3).</w:t>
      </w:r>
    </w:p>
    <w:p w:rsidR="00FD05B8" w:rsidRPr="00B81843" w:rsidRDefault="00FD05B8" w:rsidP="00FD05B8">
      <w:pPr>
        <w:ind w:firstLine="708"/>
        <w:jc w:val="both"/>
        <w:rPr>
          <w:rFonts w:ascii="Arial" w:hAnsi="Arial" w:cs="Arial"/>
          <w:noProof/>
          <w:sz w:val="23"/>
          <w:szCs w:val="23"/>
          <w:lang w:val="en-US" w:eastAsia="es-MX"/>
        </w:rPr>
      </w:pPr>
      <w:r w:rsidRPr="0078718A">
        <w:rPr>
          <w:rFonts w:ascii="Arial" w:eastAsia="Times New Roman" w:hAnsi="Arial" w:cs="Arial"/>
          <w:color w:val="000000"/>
          <w:lang w:val="en" w:eastAsia="es-MX"/>
        </w:rPr>
        <w:t>Figure 3 shows Exps. 3 (LHS) and 4 (RHS), both containing 4VP and VBS, but the latter has 0.1 pph of CTAB. Neither micrographs show a Pickering emulsion, it also seems that the silica is inside the particles. These two formulations imply that, for obtaining a Pickering emulsion polymerization, simply adding the ingredients reported in the literature is not sufficient. Thus, the addition of 4VP, reported by Percy et al.,</w:t>
      </w:r>
      <w:r w:rsidRPr="00B81843">
        <w:rPr>
          <w:rFonts w:ascii="Arial" w:hAnsi="Arial" w:cs="Arial"/>
          <w:vertAlign w:val="superscript"/>
          <w:lang w:val="en-US"/>
        </w:rPr>
        <w:t xml:space="preserve"> [21]</w:t>
      </w:r>
      <w:r w:rsidRPr="0078718A">
        <w:rPr>
          <w:rFonts w:ascii="Arial" w:eastAsia="Times New Roman" w:hAnsi="Arial" w:cs="Arial"/>
          <w:color w:val="000000"/>
          <w:vertAlign w:val="superscript"/>
          <w:lang w:val="en" w:eastAsia="es-MX"/>
        </w:rPr>
        <w:t xml:space="preserve"> </w:t>
      </w:r>
      <w:r w:rsidRPr="0078718A">
        <w:rPr>
          <w:rFonts w:ascii="Arial" w:eastAsia="Times New Roman" w:hAnsi="Arial" w:cs="Arial"/>
          <w:color w:val="000000"/>
          <w:lang w:val="en" w:eastAsia="es-MX"/>
        </w:rPr>
        <w:t>even tested with different monomers such as STY, MMA and BuA and BuMA,</w:t>
      </w:r>
      <w:r w:rsidRPr="00B81843">
        <w:rPr>
          <w:rFonts w:ascii="Arial" w:hAnsi="Arial" w:cs="Arial"/>
          <w:vertAlign w:val="superscript"/>
          <w:lang w:val="en-US"/>
        </w:rPr>
        <w:t>[32]</w:t>
      </w:r>
      <w:r w:rsidRPr="0078718A">
        <w:rPr>
          <w:rFonts w:ascii="Arial" w:eastAsia="Times New Roman" w:hAnsi="Arial" w:cs="Arial"/>
          <w:color w:val="000000"/>
          <w:lang w:val="en" w:eastAsia="es-MX"/>
        </w:rPr>
        <w:t xml:space="preserve"> with the amounts proposed here for these co-aids, it did not yield the desired result. It is worth mentioning that the aforementioned mentioned authors used much higher amounts of 4VP and worked at lower monomer concentrations, a maximum of 10%.</w:t>
      </w:r>
    </w:p>
    <w:p w:rsidR="00FD05B8" w:rsidRDefault="00FD05B8" w:rsidP="00FD05B8">
      <w:pPr>
        <w:jc w:val="center"/>
        <w:rPr>
          <w:rFonts w:ascii="Arial" w:hAnsi="Arial" w:cs="Arial"/>
          <w:noProof/>
          <w:sz w:val="23"/>
          <w:szCs w:val="23"/>
          <w:lang w:eastAsia="es-MX"/>
        </w:rPr>
      </w:pPr>
      <w:r w:rsidRPr="00630D24">
        <w:rPr>
          <w:rFonts w:ascii="Arial" w:hAnsi="Arial" w:cs="Arial"/>
          <w:noProof/>
          <w:sz w:val="23"/>
          <w:szCs w:val="23"/>
          <w:lang w:val="en-US"/>
        </w:rPr>
        <w:lastRenderedPageBreak/>
        <w:drawing>
          <wp:inline distT="0" distB="0" distL="0" distR="0" wp14:anchorId="40DAF7CF" wp14:editId="2B618908">
            <wp:extent cx="2790825" cy="1400175"/>
            <wp:effectExtent l="0" t="0" r="9525" b="9525"/>
            <wp:docPr id="1413571384" name="Imagen 141357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2790825" cy="1400175"/>
                    </a:xfrm>
                    <a:prstGeom prst="rect">
                      <a:avLst/>
                    </a:prstGeom>
                    <a:noFill/>
                    <a:ln>
                      <a:noFill/>
                    </a:ln>
                  </pic:spPr>
                </pic:pic>
              </a:graphicData>
            </a:graphic>
          </wp:inline>
        </w:drawing>
      </w:r>
    </w:p>
    <w:p w:rsidR="00FD05B8" w:rsidRPr="00EB2E45" w:rsidRDefault="00FD05B8" w:rsidP="00FD05B8">
      <w:pPr>
        <w:jc w:val="center"/>
        <w:rPr>
          <w:rFonts w:ascii="Arial" w:eastAsia="Times New Roman" w:hAnsi="Arial" w:cs="Arial"/>
          <w:color w:val="000000"/>
          <w:lang w:val="en" w:eastAsia="es-MX"/>
        </w:rPr>
      </w:pPr>
    </w:p>
    <w:p w:rsidR="00FD05B8" w:rsidRPr="00334039" w:rsidRDefault="00FD05B8" w:rsidP="00FD05B8">
      <w:pPr>
        <w:pStyle w:val="HTMLconformatoprevio"/>
        <w:numPr>
          <w:ilvl w:val="0"/>
          <w:numId w:val="1"/>
        </w:numPr>
        <w:shd w:val="clear" w:color="auto" w:fill="FFFFFF"/>
        <w:tabs>
          <w:tab w:val="clear" w:pos="432"/>
          <w:tab w:val="num" w:pos="0"/>
        </w:tabs>
        <w:spacing w:after="0" w:line="240" w:lineRule="auto"/>
        <w:ind w:left="0" w:firstLine="0"/>
        <w:jc w:val="center"/>
        <w:rPr>
          <w:rFonts w:ascii="Arial" w:hAnsi="Arial" w:cs="Arial"/>
          <w:i/>
          <w:iCs/>
          <w:color w:val="212121"/>
          <w:lang w:val="en"/>
        </w:rPr>
      </w:pPr>
      <w:r w:rsidRPr="00334039">
        <w:rPr>
          <w:rFonts w:ascii="Arial" w:hAnsi="Arial" w:cs="Arial"/>
          <w:i/>
          <w:iCs/>
          <w:lang w:val="en-US"/>
        </w:rPr>
        <w:t xml:space="preserve">Figure 3. </w:t>
      </w:r>
      <w:r w:rsidRPr="00334039">
        <w:rPr>
          <w:rFonts w:ascii="Arial" w:hAnsi="Arial" w:cs="Arial"/>
          <w:i/>
          <w:iCs/>
          <w:color w:val="212121"/>
          <w:lang w:val="en"/>
        </w:rPr>
        <w:t>TEM images emulsion polymerizations Exp 3 (4VP + VBS) and Exp. 4 (4VP/VBS/CTAB 0.5/0.5/0.1</w:t>
      </w:r>
      <w:r>
        <w:rPr>
          <w:rFonts w:ascii="Arial" w:hAnsi="Arial" w:cs="Arial"/>
          <w:i/>
          <w:iCs/>
          <w:color w:val="212121"/>
          <w:lang w:val="en"/>
        </w:rPr>
        <w:t>)</w:t>
      </w:r>
    </w:p>
    <w:p w:rsidR="00FD05B8" w:rsidRPr="00334039" w:rsidRDefault="00FD05B8" w:rsidP="00FD05B8">
      <w:pPr>
        <w:jc w:val="center"/>
        <w:rPr>
          <w:rFonts w:ascii="Arial" w:eastAsia="Times New Roman" w:hAnsi="Arial" w:cs="Arial"/>
          <w:i/>
          <w:iCs/>
          <w:color w:val="000000"/>
          <w:sz w:val="20"/>
          <w:szCs w:val="20"/>
          <w:lang w:val="en" w:eastAsia="es-MX"/>
        </w:rPr>
      </w:pPr>
    </w:p>
    <w:p w:rsidR="00FD05B8" w:rsidRDefault="00FD05B8" w:rsidP="00FD05B8">
      <w:pPr>
        <w:numPr>
          <w:ilvl w:val="0"/>
          <w:numId w:val="1"/>
        </w:numPr>
        <w:shd w:val="clear" w:color="auto" w:fill="FFFFFF"/>
        <w:tabs>
          <w:tab w:val="clear" w:pos="432"/>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0" w:firstLine="0"/>
        <w:jc w:val="both"/>
        <w:rPr>
          <w:rFonts w:ascii="Arial" w:eastAsia="Times New Roman" w:hAnsi="Arial" w:cs="Arial"/>
          <w:color w:val="000000"/>
          <w:lang w:val="en" w:eastAsia="es-MX"/>
        </w:rPr>
      </w:pPr>
      <w:r w:rsidRPr="0078718A">
        <w:rPr>
          <w:rFonts w:ascii="Arial" w:eastAsia="Times New Roman" w:hAnsi="Arial" w:cs="Arial"/>
          <w:color w:val="000000"/>
          <w:lang w:val="en" w:eastAsia="es-MX"/>
        </w:rPr>
        <w:tab/>
        <w:t xml:space="preserve">Exp. 3 explores the use of 4VP and VBS, at 0.5 pph each, and as shown in Table </w:t>
      </w:r>
      <w:r>
        <w:rPr>
          <w:rFonts w:ascii="Arial" w:eastAsia="Times New Roman" w:hAnsi="Arial" w:cs="Arial"/>
          <w:color w:val="000000"/>
          <w:lang w:val="en" w:eastAsia="es-MX"/>
        </w:rPr>
        <w:t>3</w:t>
      </w:r>
      <w:r w:rsidRPr="0078718A">
        <w:rPr>
          <w:rFonts w:ascii="Arial" w:eastAsia="Times New Roman" w:hAnsi="Arial" w:cs="Arial"/>
          <w:color w:val="000000"/>
          <w:lang w:val="en" w:eastAsia="es-MX"/>
        </w:rPr>
        <w:t xml:space="preserve">, this combination had a large impact not only in particle size decrease but also yielding one particle size distribution only, in the range of (158-182 nm) when compared to Exp. 1 (blank) and Exp. 2 (only silica). Consequently, the addition of co-aids enhances the oligomers stability effect and homogeneous nucleation during the reaction. Basically, the anionic APS initiator provides stability to the latex particles, to a certain extent, due to the electrostatic repulsions, but also the silica nanoparticles can promote homogeneous nucleation and decrease coagulation in an acid pH condition, </w:t>
      </w:r>
      <w:r w:rsidRPr="0078718A">
        <w:rPr>
          <w:rFonts w:ascii="Arial" w:eastAsia="Times New Roman" w:hAnsi="Arial" w:cs="Arial"/>
          <w:i/>
          <w:iCs/>
          <w:color w:val="000000"/>
          <w:lang w:val="en" w:eastAsia="es-MX"/>
        </w:rPr>
        <w:t>via</w:t>
      </w:r>
      <w:r w:rsidRPr="0078718A">
        <w:rPr>
          <w:rFonts w:ascii="Arial" w:eastAsia="Times New Roman" w:hAnsi="Arial" w:cs="Arial"/>
          <w:color w:val="000000"/>
          <w:lang w:val="en" w:eastAsia="es-MX"/>
        </w:rPr>
        <w:t xml:space="preserve"> </w:t>
      </w:r>
      <w:r w:rsidRPr="0078718A">
        <w:rPr>
          <w:rFonts w:ascii="Arial" w:eastAsia="Times New Roman" w:hAnsi="Arial" w:cs="Arial"/>
          <w:color w:val="000000"/>
          <w:lang w:val="en" w:eastAsia="es-MX"/>
        </w:rPr>
        <w:sym w:font="Symbol" w:char="F070"/>
      </w:r>
      <w:r w:rsidRPr="0078718A">
        <w:rPr>
          <w:rFonts w:ascii="Arial" w:eastAsia="Times New Roman" w:hAnsi="Arial" w:cs="Arial"/>
          <w:color w:val="000000"/>
          <w:lang w:val="en" w:eastAsia="es-MX"/>
        </w:rPr>
        <w:t xml:space="preserve"> hydrogen bonding formed between the oligomers’ phenyl groups and the nanoparticles’ silanol groups.</w:t>
      </w:r>
    </w:p>
    <w:p w:rsidR="00FD05B8" w:rsidRDefault="00FD05B8" w:rsidP="00FD05B8">
      <w:pPr>
        <w:numPr>
          <w:ilvl w:val="0"/>
          <w:numId w:val="1"/>
        </w:numPr>
        <w:shd w:val="clear" w:color="auto" w:fill="FFFFFF"/>
        <w:tabs>
          <w:tab w:val="clear" w:pos="432"/>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0" w:firstLine="0"/>
        <w:jc w:val="both"/>
        <w:rPr>
          <w:rFonts w:ascii="Arial" w:eastAsia="Times New Roman" w:hAnsi="Arial" w:cs="Arial"/>
          <w:color w:val="000000"/>
          <w:lang w:val="en" w:eastAsia="es-MX"/>
        </w:rPr>
      </w:pPr>
    </w:p>
    <w:p w:rsidR="00FD05B8" w:rsidRPr="00EB2E45" w:rsidRDefault="00FD05B8" w:rsidP="00FD05B8">
      <w:pPr>
        <w:numPr>
          <w:ilvl w:val="0"/>
          <w:numId w:val="1"/>
        </w:numPr>
        <w:shd w:val="clear" w:color="auto" w:fill="FFFFFF"/>
        <w:tabs>
          <w:tab w:val="clear" w:pos="432"/>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0" w:firstLine="0"/>
        <w:jc w:val="center"/>
        <w:rPr>
          <w:rFonts w:ascii="Arial" w:hAnsi="Arial" w:cs="Arial"/>
          <w:b/>
          <w:noProof/>
          <w:color w:val="FFD966"/>
          <w:lang w:eastAsia="es-MX"/>
        </w:rPr>
      </w:pPr>
      <w:r w:rsidRPr="00EB2E45">
        <w:rPr>
          <w:rFonts w:ascii="Arial" w:hAnsi="Arial" w:cs="Arial"/>
          <w:b/>
          <w:noProof/>
          <w:color w:val="FFD966"/>
          <w:lang w:val="en-US"/>
        </w:rPr>
        <w:drawing>
          <wp:inline distT="0" distB="0" distL="0" distR="0" wp14:anchorId="57D2C0A9" wp14:editId="4B35FB8B">
            <wp:extent cx="2857500" cy="1419225"/>
            <wp:effectExtent l="0" t="0" r="0" b="9525"/>
            <wp:docPr id="1413571383" name="Imagen 141357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2857500" cy="1419225"/>
                    </a:xfrm>
                    <a:prstGeom prst="rect">
                      <a:avLst/>
                    </a:prstGeom>
                    <a:noFill/>
                    <a:ln>
                      <a:noFill/>
                    </a:ln>
                  </pic:spPr>
                </pic:pic>
              </a:graphicData>
            </a:graphic>
          </wp:inline>
        </w:drawing>
      </w:r>
    </w:p>
    <w:p w:rsidR="00FD05B8" w:rsidRPr="0094546E" w:rsidRDefault="00FD05B8" w:rsidP="00FD05B8">
      <w:pPr>
        <w:pStyle w:val="HTMLconformatoprevio"/>
        <w:numPr>
          <w:ilvl w:val="0"/>
          <w:numId w:val="1"/>
        </w:numPr>
        <w:shd w:val="clear" w:color="auto" w:fill="FFFFFF"/>
        <w:tabs>
          <w:tab w:val="clear" w:pos="432"/>
          <w:tab w:val="num" w:pos="0"/>
        </w:tabs>
        <w:spacing w:after="0" w:line="240" w:lineRule="auto"/>
        <w:ind w:left="0" w:firstLine="0"/>
        <w:jc w:val="center"/>
        <w:rPr>
          <w:rFonts w:ascii="Arial" w:hAnsi="Arial" w:cs="Arial"/>
          <w:i/>
          <w:iCs/>
          <w:color w:val="212121"/>
          <w:lang w:val="en"/>
        </w:rPr>
      </w:pPr>
      <w:r w:rsidRPr="0094546E">
        <w:rPr>
          <w:rFonts w:ascii="Arial" w:hAnsi="Arial" w:cs="Arial"/>
          <w:i/>
          <w:iCs/>
          <w:color w:val="000000"/>
          <w:lang w:val="en-US"/>
        </w:rPr>
        <w:t xml:space="preserve">Figure 4. </w:t>
      </w:r>
      <w:r w:rsidRPr="0094546E">
        <w:rPr>
          <w:rFonts w:ascii="Arial" w:hAnsi="Arial" w:cs="Arial"/>
          <w:i/>
          <w:iCs/>
          <w:color w:val="212121"/>
          <w:lang w:val="en"/>
        </w:rPr>
        <w:t>TEM images emulsion polymerizations Exp 5 (4VP/VBS/CTAB 0.1) and Exp. 6 (4VP/VBS/PEGMA 0.5/0.5/1.0).</w:t>
      </w:r>
    </w:p>
    <w:p w:rsidR="00FD05B8" w:rsidRPr="0094546E" w:rsidRDefault="00FD05B8" w:rsidP="00FD05B8">
      <w:pPr>
        <w:numPr>
          <w:ilvl w:val="0"/>
          <w:numId w:val="1"/>
        </w:numPr>
        <w:shd w:val="clear" w:color="auto" w:fill="FFFFFF"/>
        <w:tabs>
          <w:tab w:val="clear" w:pos="432"/>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0" w:firstLine="0"/>
        <w:jc w:val="center"/>
        <w:rPr>
          <w:rFonts w:ascii="Arial" w:eastAsia="Times New Roman" w:hAnsi="Arial" w:cs="Arial"/>
          <w:i/>
          <w:iCs/>
          <w:color w:val="000000"/>
          <w:lang w:val="en" w:eastAsia="es-MX"/>
        </w:rPr>
      </w:pPr>
    </w:p>
    <w:p w:rsidR="00FD05B8" w:rsidRPr="0078718A" w:rsidRDefault="00FD05B8" w:rsidP="00FD05B8">
      <w:pPr>
        <w:numPr>
          <w:ilvl w:val="0"/>
          <w:numId w:val="1"/>
        </w:numPr>
        <w:shd w:val="clear" w:color="auto" w:fill="FFFFFF"/>
        <w:tabs>
          <w:tab w:val="clear" w:pos="432"/>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0" w:firstLine="0"/>
        <w:jc w:val="both"/>
        <w:rPr>
          <w:rFonts w:ascii="Arial" w:eastAsia="Times New Roman" w:hAnsi="Arial" w:cs="Arial"/>
          <w:color w:val="000000"/>
          <w:lang w:val="en" w:eastAsia="es-MX"/>
        </w:rPr>
      </w:pPr>
      <w:r w:rsidRPr="0078718A">
        <w:rPr>
          <w:rFonts w:ascii="Arial" w:eastAsia="Times New Roman" w:hAnsi="Arial" w:cs="Arial"/>
          <w:color w:val="000000"/>
          <w:lang w:val="en" w:eastAsia="es-MX"/>
        </w:rPr>
        <w:t xml:space="preserve">Even with the presence of a buffer solution, the initial pH value of 8.0 decreases to values ​​of around 3.0. The corresponding pH values ​​are found in Table 3 for all polymerizations (Exps. 1 to 6). On the other hand, the presence 4VP molecules interfere in the polymerization process because, while some molecules react, others can also adsorb onto the silica nanoparticles, leading to the surface structure modification and hydrophobicity during the reaction. At the beginning of the reaction, the pH value is 8.0 and the silica nanoparticles are negatively charged, thus the 4VP amino groups cannot interact with silica. Nevertheless, as soon as the reaction media pH value becomes acid, the VBS sulfonate groups are transformed into sulfonic acid groups, which are highly polarized, and then the 4VP groups will further protonate from a pH value of 5.62 (4VP pKa constant). In acid solutions, the silica nanoparticles can interact on one side with 4VP groups present in monomers, or the ones contained in the oligomers. On the other hand, 4VP groups can interact with the VBS sulfonic acid groups, </w:t>
      </w:r>
      <w:r w:rsidRPr="0078718A">
        <w:rPr>
          <w:rFonts w:ascii="Arial" w:eastAsia="Times New Roman" w:hAnsi="Arial" w:cs="Arial"/>
          <w:i/>
          <w:iCs/>
          <w:color w:val="000000"/>
          <w:lang w:val="en" w:eastAsia="es-MX"/>
        </w:rPr>
        <w:t>via</w:t>
      </w:r>
      <w:r w:rsidRPr="0078718A">
        <w:rPr>
          <w:rFonts w:ascii="Arial" w:eastAsia="Times New Roman" w:hAnsi="Arial" w:cs="Arial"/>
          <w:color w:val="000000"/>
          <w:lang w:val="en" w:eastAsia="es-MX"/>
        </w:rPr>
        <w:t xml:space="preserve"> dipole-dipole interactions. Obviously, all interaction effects depend on the concentration of each added moiety in the reactor. In experiment Exp. 3, 4VP molecules cannot be completely available for interacting with the silica nanoparticles, as they also interact with VBS molecules, leaving only 1.5 mmol of 4VP interacting with silica nanoparticles, which represents around 0.95 4VP molecules </w:t>
      </w:r>
      <w:r w:rsidRPr="0078718A">
        <w:rPr>
          <w:rFonts w:ascii="Arial" w:eastAsia="Times New Roman" w:hAnsi="Arial" w:cs="Arial"/>
          <w:color w:val="000000"/>
          <w:lang w:val="en" w:eastAsia="es-MX"/>
        </w:rPr>
        <w:lastRenderedPageBreak/>
        <w:t>adsorbed per nm</w:t>
      </w:r>
      <w:r w:rsidRPr="0078718A">
        <w:rPr>
          <w:rFonts w:ascii="Arial" w:eastAsia="Times New Roman" w:hAnsi="Arial" w:cs="Arial"/>
          <w:color w:val="000000"/>
          <w:vertAlign w:val="superscript"/>
          <w:lang w:val="en" w:eastAsia="es-MX"/>
        </w:rPr>
        <w:t>2</w:t>
      </w:r>
      <w:r w:rsidRPr="0078718A">
        <w:rPr>
          <w:rFonts w:ascii="Arial" w:eastAsia="Times New Roman" w:hAnsi="Arial" w:cs="Arial"/>
          <w:color w:val="000000"/>
          <w:lang w:val="en" w:eastAsia="es-MX"/>
        </w:rPr>
        <w:t xml:space="preserve"> (if totally adsorbed). Therefore, from previous considerations, the following mechanism can be proposed: as soon as the reaction is initiated, VBS and 4VPS react with radicals as they are dissolved in the aqueous phase to form oligomers promoting nucleation. As the polymerization process proceeds, the pH decreases until becoming acid; therefore, interactions between the silanol group/SiO</w:t>
      </w:r>
      <w:r w:rsidRPr="0078718A">
        <w:rPr>
          <w:rFonts w:ascii="Arial" w:eastAsia="Times New Roman" w:hAnsi="Arial" w:cs="Arial"/>
          <w:color w:val="000000"/>
          <w:vertAlign w:val="superscript"/>
          <w:lang w:val="en" w:eastAsia="es-MX"/>
        </w:rPr>
        <w:t>-</w:t>
      </w:r>
      <w:r w:rsidRPr="0078718A">
        <w:rPr>
          <w:rFonts w:ascii="Arial" w:eastAsia="Times New Roman" w:hAnsi="Arial" w:cs="Arial"/>
          <w:color w:val="000000"/>
          <w:lang w:val="en" w:eastAsia="es-MX"/>
        </w:rPr>
        <w:t xml:space="preserve"> moeities and the 4VP amino groups will be favored, but similarly 4VP amino groups can interact with the VBS sulfonic acid groups. Consequently, a certain amount of 4VP molecules adsorb onto the silica nanoparticle surface, polymerizing with monomers dissolved in the aqueous phase. to give rise to SiO</w:t>
      </w:r>
      <w:r w:rsidRPr="0078718A">
        <w:rPr>
          <w:rFonts w:ascii="Arial" w:eastAsia="Times New Roman" w:hAnsi="Arial" w:cs="Arial"/>
          <w:color w:val="000000"/>
          <w:vertAlign w:val="subscript"/>
          <w:lang w:val="en" w:eastAsia="es-MX"/>
        </w:rPr>
        <w:t>2</w:t>
      </w:r>
      <w:r w:rsidRPr="0078718A">
        <w:rPr>
          <w:rFonts w:ascii="Arial" w:eastAsia="Times New Roman" w:hAnsi="Arial" w:cs="Arial"/>
          <w:color w:val="000000"/>
          <w:lang w:val="en" w:eastAsia="es-MX"/>
        </w:rPr>
        <w:t>-oligomers. Similarly, other N</w:t>
      </w:r>
      <w:r w:rsidRPr="0078718A">
        <w:rPr>
          <w:rFonts w:ascii="Arial" w:eastAsia="Times New Roman" w:hAnsi="Arial" w:cs="Arial"/>
          <w:color w:val="000000"/>
          <w:vertAlign w:val="superscript"/>
          <w:lang w:val="en" w:eastAsia="es-MX"/>
        </w:rPr>
        <w:t>+</w:t>
      </w:r>
      <w:r w:rsidRPr="0078718A">
        <w:rPr>
          <w:rFonts w:ascii="Arial" w:eastAsia="Times New Roman" w:hAnsi="Arial" w:cs="Arial"/>
          <w:color w:val="000000"/>
          <w:lang w:val="en" w:eastAsia="es-MX"/>
        </w:rPr>
        <w:t>-H groups, present on growing oligomers not attached to silica particles, can interact with silica nanoparticles, SO</w:t>
      </w:r>
      <w:r w:rsidRPr="0078718A">
        <w:rPr>
          <w:rFonts w:ascii="Arial" w:eastAsia="Times New Roman" w:hAnsi="Arial" w:cs="Arial"/>
          <w:color w:val="000000"/>
          <w:vertAlign w:val="subscript"/>
          <w:lang w:val="en" w:eastAsia="es-MX"/>
        </w:rPr>
        <w:t>2</w:t>
      </w:r>
      <w:r w:rsidRPr="0078718A">
        <w:rPr>
          <w:rFonts w:ascii="Arial" w:eastAsia="Times New Roman" w:hAnsi="Arial" w:cs="Arial"/>
          <w:color w:val="000000"/>
          <w:lang w:val="en" w:eastAsia="es-MX"/>
        </w:rPr>
        <w:t>-OH groups of unreacted VBS and oligomers containing SO</w:t>
      </w:r>
      <w:r w:rsidRPr="0078718A">
        <w:rPr>
          <w:rFonts w:ascii="Arial" w:eastAsia="Times New Roman" w:hAnsi="Arial" w:cs="Arial"/>
          <w:color w:val="000000"/>
          <w:vertAlign w:val="subscript"/>
          <w:lang w:val="en" w:eastAsia="es-MX"/>
        </w:rPr>
        <w:t>2</w:t>
      </w:r>
      <w:r w:rsidRPr="0078718A">
        <w:rPr>
          <w:rFonts w:ascii="Arial" w:eastAsia="Times New Roman" w:hAnsi="Arial" w:cs="Arial"/>
          <w:color w:val="000000"/>
          <w:lang w:val="en" w:eastAsia="es-MX"/>
        </w:rPr>
        <w:t>-OH groups. As a result, all these growing oligomers will eventually become insoluble and will precipitate into VBS-4VP-Sty copolymer nuclei covered by silica nanoparticles and hydrophilic SO</w:t>
      </w:r>
      <w:r w:rsidRPr="0078718A">
        <w:rPr>
          <w:rFonts w:ascii="Arial" w:eastAsia="Times New Roman" w:hAnsi="Arial" w:cs="Arial"/>
          <w:color w:val="000000"/>
          <w:vertAlign w:val="subscript"/>
          <w:lang w:val="en" w:eastAsia="es-MX"/>
        </w:rPr>
        <w:t>2</w:t>
      </w:r>
      <w:r w:rsidRPr="0078718A">
        <w:rPr>
          <w:rFonts w:ascii="Arial" w:eastAsia="Times New Roman" w:hAnsi="Arial" w:cs="Arial"/>
          <w:color w:val="000000"/>
          <w:lang w:val="en" w:eastAsia="es-MX"/>
        </w:rPr>
        <w:t xml:space="preserve">-OH/N-H dipole-dipole groups with a pendant hydrophobic reactive tail oriented towards the water phase, as these hydrophilic groups cannot penetrate into the nuclei core. For better clarity, a scheme representing the mechanism is presented in Figure 5. After precipitation the growing particles will grow </w:t>
      </w:r>
      <w:r w:rsidRPr="0078718A">
        <w:rPr>
          <w:rFonts w:ascii="Arial" w:eastAsia="Times New Roman" w:hAnsi="Arial" w:cs="Arial"/>
          <w:i/>
          <w:iCs/>
          <w:color w:val="000000"/>
          <w:lang w:val="en" w:eastAsia="es-MX"/>
        </w:rPr>
        <w:t>via</w:t>
      </w:r>
      <w:r w:rsidRPr="0078718A">
        <w:rPr>
          <w:rFonts w:ascii="Arial" w:eastAsia="Times New Roman" w:hAnsi="Arial" w:cs="Arial"/>
          <w:color w:val="000000"/>
          <w:lang w:val="en" w:eastAsia="es-MX"/>
        </w:rPr>
        <w:t xml:space="preserve"> monomer swelling and finally resulting in latex particles, containing silica nanoparticles in their core.  </w:t>
      </w:r>
    </w:p>
    <w:p w:rsidR="00FD05B8" w:rsidRPr="009B3A85" w:rsidRDefault="00FD05B8" w:rsidP="00FD05B8">
      <w:pPr>
        <w:numPr>
          <w:ilvl w:val="0"/>
          <w:numId w:val="1"/>
        </w:numPr>
        <w:shd w:val="clear" w:color="auto" w:fill="FFFFFF"/>
        <w:tabs>
          <w:tab w:val="clear" w:pos="432"/>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0" w:firstLine="0"/>
        <w:jc w:val="both"/>
        <w:rPr>
          <w:rFonts w:ascii="Arial" w:hAnsi="Arial" w:cs="Arial"/>
          <w:color w:val="000000"/>
          <w:lang w:val="en"/>
        </w:rPr>
      </w:pPr>
      <w:r w:rsidRPr="009B3A85">
        <w:rPr>
          <w:rFonts w:ascii="Arial" w:eastAsia="Times New Roman" w:hAnsi="Arial" w:cs="Arial"/>
          <w:color w:val="212121"/>
          <w:lang w:val="en" w:eastAsia="es-MX"/>
        </w:rPr>
        <w:tab/>
      </w:r>
      <w:r w:rsidRPr="009B3A85">
        <w:rPr>
          <w:rFonts w:ascii="Arial" w:eastAsia="Times New Roman" w:hAnsi="Arial" w:cs="Arial"/>
          <w:color w:val="000000"/>
          <w:lang w:val="en" w:eastAsia="es-MX"/>
        </w:rPr>
        <w:t>It is worth mentioning that encapsulating the silica particles, in some applications, can be really beneficial. For instance, this is shown in the case of matrix reinforcement with nanoparticles for thermal and mechanical properties,</w:t>
      </w:r>
      <w:r w:rsidRPr="00B81843">
        <w:rPr>
          <w:rFonts w:ascii="Arial" w:hAnsi="Arial" w:cs="Arial"/>
          <w:vertAlign w:val="superscript"/>
          <w:lang w:val="en-US"/>
        </w:rPr>
        <w:t>[33]</w:t>
      </w:r>
      <w:r w:rsidRPr="009B3A85">
        <w:rPr>
          <w:rFonts w:ascii="Arial" w:eastAsia="Times New Roman" w:hAnsi="Arial" w:cs="Arial"/>
          <w:color w:val="000000"/>
          <w:lang w:val="en" w:eastAsia="es-MX"/>
        </w:rPr>
        <w:t xml:space="preserve"> and high permitivity,</w:t>
      </w:r>
      <w:r w:rsidRPr="00B81843">
        <w:rPr>
          <w:rFonts w:ascii="Arial" w:hAnsi="Arial" w:cs="Arial"/>
          <w:vertAlign w:val="superscript"/>
          <w:lang w:val="en-US"/>
        </w:rPr>
        <w:t xml:space="preserve"> [34]</w:t>
      </w:r>
      <w:r w:rsidRPr="009B3A85">
        <w:rPr>
          <w:rFonts w:ascii="Arial" w:eastAsia="Times New Roman" w:hAnsi="Arial" w:cs="Arial"/>
          <w:color w:val="000000"/>
          <w:lang w:val="en" w:eastAsia="es-MX"/>
        </w:rPr>
        <w:t xml:space="preserve"> among others. This encapsulation effect is certainly provided by the presence of VBS molecules, due to dipole-dipole attractions between the 4VP amino groups and the sulfonic acid group in acid pH conditions.</w:t>
      </w:r>
      <w:r>
        <w:rPr>
          <w:rFonts w:ascii="Arial" w:hAnsi="Arial" w:cs="Arial"/>
          <w:color w:val="000000"/>
          <w:lang w:val="en"/>
        </w:rPr>
        <w:t xml:space="preserve"> </w:t>
      </w:r>
      <w:r w:rsidRPr="009B3A85">
        <w:rPr>
          <w:rFonts w:ascii="Arial" w:hAnsi="Arial" w:cs="Arial"/>
          <w:color w:val="000000"/>
          <w:lang w:val="en"/>
        </w:rPr>
        <w:t>Comparing Exp. 3 with Exps. 4 and 5, CTAB has been added to the reaction media. It is well known that CTA+ anions, adsorbed onto the negatively charged silica nanoparticles, modify their surface charge and hydrophobicity, inducing their agglomeration. Also, due to Van der Waals interactions between CTA+ tails oriented towards the aqueous phase. Furthermore, it can be observed that at 0.05 pph, the silica nanoparticles are completely encapsulated, whereas at 0.1 pph, they are not totally captured in the polymer matrix. Comparatively in Exp. 5, at low CTAB concentration, the hydrophobicity induces the silica nanoparticles flocculation and the adsorption of 4VP groups of monomers/oligomers onto the silica nanoparticles during the reaction, favoring the encapsulation of the silica nanoparticles. Nevertheless,</w:t>
      </w:r>
      <w:r w:rsidRPr="009B3A85">
        <w:rPr>
          <w:rFonts w:ascii="Arial" w:hAnsi="Arial" w:cs="Arial"/>
          <w:color w:val="000000"/>
          <w:lang w:val="en-US"/>
        </w:rPr>
        <w:t xml:space="preserve"> it is worth mentioning that this formulation did not reach satisfactory conversions (</w:t>
      </w:r>
      <w:r w:rsidRPr="009B3A85">
        <w:rPr>
          <w:rFonts w:ascii="Arial" w:hAnsi="Arial" w:cs="Arial"/>
          <w:i/>
          <w:iCs/>
          <w:color w:val="000000"/>
          <w:lang w:val="en-US"/>
        </w:rPr>
        <w:t>ca.</w:t>
      </w:r>
      <w:r w:rsidRPr="009B3A85">
        <w:rPr>
          <w:rFonts w:ascii="Arial" w:hAnsi="Arial" w:cs="Arial"/>
          <w:color w:val="000000"/>
          <w:lang w:val="en-US"/>
        </w:rPr>
        <w:t xml:space="preserve"> 57%); therefore, this is not a favorable formulation. Probably, the SiO</w:t>
      </w:r>
      <w:r w:rsidRPr="009B3A85">
        <w:rPr>
          <w:rFonts w:ascii="Arial" w:hAnsi="Arial" w:cs="Arial"/>
          <w:color w:val="000000"/>
          <w:vertAlign w:val="subscript"/>
          <w:lang w:val="en-US"/>
        </w:rPr>
        <w:t>2</w:t>
      </w:r>
      <w:r w:rsidRPr="009B3A85">
        <w:rPr>
          <w:rFonts w:ascii="Arial" w:hAnsi="Arial" w:cs="Arial"/>
          <w:color w:val="000000"/>
          <w:lang w:val="en-US"/>
        </w:rPr>
        <w:t>-CTAB aggregates’ wettability is not sufficient to adhere easily at the W/O interface, to stabilize monomer droplets which thus impede a good monomer delivery during the polymerization</w:t>
      </w:r>
      <w:r w:rsidRPr="009B3A85">
        <w:rPr>
          <w:rFonts w:ascii="Arial" w:hAnsi="Arial" w:cs="Arial"/>
          <w:color w:val="002060"/>
          <w:lang w:val="en-US"/>
        </w:rPr>
        <w:t xml:space="preserve"> </w:t>
      </w:r>
    </w:p>
    <w:p w:rsidR="00FD05B8" w:rsidRPr="0094546E" w:rsidRDefault="00FD05B8" w:rsidP="00FD05B8">
      <w:pPr>
        <w:numPr>
          <w:ilvl w:val="0"/>
          <w:numId w:val="1"/>
        </w:numPr>
        <w:shd w:val="clear" w:color="auto" w:fill="FFFFFF"/>
        <w:tabs>
          <w:tab w:val="clear" w:pos="432"/>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0" w:firstLine="0"/>
        <w:jc w:val="both"/>
        <w:rPr>
          <w:rFonts w:ascii="Arial" w:eastAsia="Times New Roman" w:hAnsi="Arial" w:cs="Arial"/>
          <w:color w:val="000000"/>
          <w:lang w:val="en" w:eastAsia="es-MX"/>
        </w:rPr>
      </w:pPr>
      <w:r w:rsidRPr="0094546E">
        <w:rPr>
          <w:rFonts w:ascii="Arial" w:hAnsi="Arial" w:cs="Arial"/>
          <w:color w:val="FF0000"/>
          <w:lang w:val="en-US"/>
        </w:rPr>
        <w:t xml:space="preserve"> </w:t>
      </w:r>
      <w:r w:rsidRPr="0094546E">
        <w:rPr>
          <w:rFonts w:ascii="Arial" w:hAnsi="Arial" w:cs="Arial"/>
          <w:color w:val="FF0000"/>
          <w:lang w:val="en-US"/>
        </w:rPr>
        <w:tab/>
      </w:r>
      <w:r w:rsidRPr="0094546E">
        <w:rPr>
          <w:rFonts w:ascii="Arial" w:hAnsi="Arial" w:cs="Arial"/>
          <w:color w:val="000000"/>
          <w:lang w:val="en-US"/>
        </w:rPr>
        <w:t>Finally, Exp. 6 shows a Pickering emulsion polymerization system. Two main facts can be observed: the coverage is not uniform and many silica particles are free in the medium. Contrarily, the formulation achieved contains smaller amounts of the co-aids reported in the literature; for instance, Almavy et al</w:t>
      </w:r>
      <w:r w:rsidRPr="0094546E">
        <w:rPr>
          <w:rFonts w:ascii="Arial" w:hAnsi="Arial" w:cs="Arial"/>
          <w:lang w:val="en-US"/>
        </w:rPr>
        <w:t>.</w:t>
      </w:r>
      <w:r w:rsidRPr="00B81843">
        <w:rPr>
          <w:rFonts w:ascii="Arial" w:hAnsi="Arial" w:cs="Arial"/>
          <w:vertAlign w:val="superscript"/>
          <w:lang w:val="en-US"/>
        </w:rPr>
        <w:t xml:space="preserve"> [32]</w:t>
      </w:r>
      <w:r w:rsidRPr="0094546E">
        <w:rPr>
          <w:rFonts w:ascii="Arial" w:hAnsi="Arial" w:cs="Arial"/>
          <w:lang w:val="en-US"/>
        </w:rPr>
        <w:t xml:space="preserve"> </w:t>
      </w:r>
      <w:r w:rsidRPr="0094546E">
        <w:rPr>
          <w:rFonts w:ascii="Arial" w:hAnsi="Arial" w:cs="Arial"/>
          <w:color w:val="000000"/>
          <w:lang w:val="en-US"/>
        </w:rPr>
        <w:t>for a BuA/4VP polymerization the smallest amount of 4VP used was 9 mol % and Percy et al.,</w:t>
      </w:r>
      <w:r w:rsidRPr="00B81843">
        <w:rPr>
          <w:rFonts w:ascii="Arial" w:hAnsi="Arial" w:cs="Arial"/>
          <w:vertAlign w:val="superscript"/>
          <w:lang w:val="en-US"/>
        </w:rPr>
        <w:t xml:space="preserve"> [21]</w:t>
      </w:r>
      <w:r w:rsidRPr="0094546E">
        <w:rPr>
          <w:rFonts w:ascii="Arial" w:hAnsi="Arial" w:cs="Arial"/>
          <w:color w:val="000000"/>
          <w:vertAlign w:val="superscript"/>
          <w:lang w:val="en-US"/>
        </w:rPr>
        <w:t xml:space="preserve"> </w:t>
      </w:r>
      <w:r w:rsidRPr="0094546E">
        <w:rPr>
          <w:rFonts w:ascii="Arial" w:hAnsi="Arial" w:cs="Arial"/>
          <w:color w:val="000000"/>
          <w:lang w:val="en-US"/>
        </w:rPr>
        <w:t>for STY and MMA, the least amount for STY was 6 mol % and 4 mol 5 for MMA. In the case of PEGMA, du Sorbier et al.</w:t>
      </w:r>
      <w:r w:rsidRPr="00B81843">
        <w:rPr>
          <w:rFonts w:ascii="Arial" w:hAnsi="Arial" w:cs="Arial"/>
          <w:vertAlign w:val="superscript"/>
          <w:lang w:val="en-US"/>
        </w:rPr>
        <w:t xml:space="preserve"> [20]</w:t>
      </w:r>
      <w:r w:rsidRPr="0094546E">
        <w:rPr>
          <w:rFonts w:ascii="Arial" w:hAnsi="Arial" w:cs="Arial"/>
          <w:color w:val="000000"/>
          <w:lang w:val="en-US"/>
        </w:rPr>
        <w:t xml:space="preserve"> used high concentrations (approximately 50% w/w) of the silica loading, Therefore, in this work, we obtained a synergistic effect for 4VP/VBS/PEGMA, using overall </w:t>
      </w:r>
      <w:r>
        <w:rPr>
          <w:rFonts w:ascii="Arial" w:hAnsi="Arial" w:cs="Arial"/>
          <w:color w:val="000000"/>
          <w:lang w:val="en-US"/>
        </w:rPr>
        <w:t>1.1</w:t>
      </w:r>
      <w:r w:rsidRPr="0094546E">
        <w:rPr>
          <w:rFonts w:ascii="Arial" w:hAnsi="Arial" w:cs="Arial"/>
          <w:color w:val="000000"/>
          <w:lang w:val="en-US"/>
        </w:rPr>
        <w:t xml:space="preserve"> pph. The proposed formulations allowed obtaining polymer microspheres partially covered by silica nanoparticles. In that case, it should be considered that N-H groups of 4VP molecules/oligomers can interact with sulfonic acid group of VBS monomers/oligomers and also with PEGMA monomers/oligomers. Ergo, the amino groups interact a little with the silica nanoparticles which are not consequently involved in the oligomer stabilization. </w:t>
      </w:r>
    </w:p>
    <w:p w:rsidR="00FD05B8" w:rsidRPr="0078718A" w:rsidRDefault="00FD05B8" w:rsidP="00FD05B8">
      <w:pPr>
        <w:numPr>
          <w:ilvl w:val="0"/>
          <w:numId w:val="1"/>
        </w:numPr>
        <w:shd w:val="clear" w:color="auto" w:fill="FFFFFF"/>
        <w:tabs>
          <w:tab w:val="clear" w:pos="432"/>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0" w:firstLine="0"/>
        <w:jc w:val="both"/>
        <w:rPr>
          <w:rFonts w:ascii="Arial" w:eastAsia="Times New Roman" w:hAnsi="Arial" w:cs="Arial"/>
          <w:color w:val="000000"/>
          <w:lang w:val="en" w:eastAsia="es-MX"/>
        </w:rPr>
      </w:pPr>
    </w:p>
    <w:p w:rsidR="00FD05B8" w:rsidRPr="00B81843" w:rsidRDefault="00FD05B8" w:rsidP="00FD05B8">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159" w:name="_Toc50031261"/>
      <w:r w:rsidRPr="00B81843">
        <w:rPr>
          <w:rFonts w:ascii="Arial" w:hAnsi="Arial" w:cs="Arial"/>
          <w:i/>
          <w:caps/>
          <w:sz w:val="24"/>
          <w:szCs w:val="24"/>
        </w:rPr>
        <w:t xml:space="preserve">5. </w:t>
      </w:r>
      <w:r w:rsidRPr="00B81843">
        <w:rPr>
          <w:rFonts w:ascii="Arial" w:hAnsi="Arial" w:cs="Arial"/>
          <w:i/>
          <w:sz w:val="24"/>
          <w:szCs w:val="24"/>
        </w:rPr>
        <w:t>Conclusions</w:t>
      </w:r>
      <w:bookmarkEnd w:id="159"/>
    </w:p>
    <w:p w:rsidR="00FD05B8" w:rsidRDefault="00FD05B8" w:rsidP="00FD05B8">
      <w:pPr>
        <w:pStyle w:val="HTMLconformatoprevio"/>
        <w:numPr>
          <w:ilvl w:val="0"/>
          <w:numId w:val="1"/>
        </w:numPr>
        <w:shd w:val="clear" w:color="auto" w:fill="FFFFFF"/>
        <w:tabs>
          <w:tab w:val="clear" w:pos="432"/>
          <w:tab w:val="num" w:pos="0"/>
        </w:tabs>
        <w:spacing w:after="0" w:line="240" w:lineRule="auto"/>
        <w:ind w:left="0" w:firstLine="0"/>
        <w:jc w:val="both"/>
        <w:rPr>
          <w:rFonts w:ascii="Arial" w:hAnsi="Arial" w:cs="Arial"/>
          <w:color w:val="000000"/>
          <w:sz w:val="24"/>
          <w:szCs w:val="24"/>
          <w:lang w:val="en-US"/>
        </w:rPr>
      </w:pPr>
      <w:r>
        <w:rPr>
          <w:rFonts w:ascii="Arial" w:hAnsi="Arial" w:cs="Arial"/>
          <w:color w:val="000000"/>
          <w:sz w:val="24"/>
          <w:szCs w:val="24"/>
          <w:lang w:val="en-US"/>
        </w:rPr>
        <w:t>T</w:t>
      </w:r>
      <w:r w:rsidRPr="0078718A">
        <w:rPr>
          <w:rFonts w:ascii="Arial" w:hAnsi="Arial" w:cs="Arial"/>
          <w:color w:val="000000"/>
          <w:sz w:val="24"/>
          <w:szCs w:val="24"/>
          <w:lang w:val="en-US"/>
        </w:rPr>
        <w:t>he effects of several co-aids, reported in the literature, were tested as modifying agents to a styrene/colloidal silica system. It was found that the addition of 0.5 parts of sodium vinyl benzene sulfonate and 4</w:t>
      </w:r>
      <w:r>
        <w:rPr>
          <w:rFonts w:ascii="Arial" w:hAnsi="Arial" w:cs="Arial"/>
          <w:color w:val="000000"/>
          <w:sz w:val="24"/>
          <w:szCs w:val="24"/>
          <w:lang w:val="en-US"/>
        </w:rPr>
        <w:t>VP</w:t>
      </w:r>
      <w:r w:rsidRPr="0078718A">
        <w:rPr>
          <w:rFonts w:ascii="Arial" w:hAnsi="Arial" w:cs="Arial"/>
          <w:color w:val="000000"/>
          <w:sz w:val="24"/>
          <w:szCs w:val="24"/>
          <w:lang w:val="en-US"/>
        </w:rPr>
        <w:t xml:space="preserve">, with or without 0.05 or 0.1 parts of CTAB, were not sufficient to produce Pickering emulsions. On the other hand, some formulations yielded </w:t>
      </w:r>
      <w:r w:rsidRPr="0078718A">
        <w:rPr>
          <w:rFonts w:ascii="Arial" w:hAnsi="Arial" w:cs="Arial"/>
          <w:color w:val="000000"/>
          <w:sz w:val="24"/>
          <w:szCs w:val="24"/>
          <w:lang w:val="en-US"/>
        </w:rPr>
        <w:lastRenderedPageBreak/>
        <w:t>encapsulated silica particles, which can be useful for important applications. Finally, a Pickering formulation was obtained containing 4VP, VBS and PEGMA with amounts inferior to those reported in the literature, allowing the achievement of a simple Pickering emulsion polymerization system</w:t>
      </w:r>
      <w:r>
        <w:rPr>
          <w:rFonts w:ascii="Arial" w:hAnsi="Arial" w:cs="Arial"/>
          <w:color w:val="000000"/>
          <w:sz w:val="24"/>
          <w:szCs w:val="24"/>
          <w:lang w:val="en-US"/>
        </w:rPr>
        <w:t xml:space="preserve">. In a forthcoming work the kinetics of the obtained Pickering formulation will be presented. </w:t>
      </w:r>
    </w:p>
    <w:p w:rsidR="00FD05B8" w:rsidRPr="0094546E" w:rsidRDefault="00FD05B8" w:rsidP="00FD05B8">
      <w:pPr>
        <w:numPr>
          <w:ilvl w:val="0"/>
          <w:numId w:val="1"/>
        </w:numPr>
        <w:tabs>
          <w:tab w:val="clear" w:pos="432"/>
          <w:tab w:val="num" w:pos="0"/>
        </w:tabs>
        <w:suppressAutoHyphens/>
        <w:autoSpaceDE w:val="0"/>
        <w:autoSpaceDN w:val="0"/>
        <w:adjustRightInd w:val="0"/>
        <w:spacing w:after="0" w:line="240" w:lineRule="auto"/>
        <w:ind w:left="0" w:firstLine="0"/>
        <w:jc w:val="both"/>
        <w:rPr>
          <w:color w:val="000000"/>
          <w:lang w:val="en-US"/>
        </w:rPr>
      </w:pPr>
    </w:p>
    <w:p w:rsidR="00FD05B8" w:rsidRPr="0094546E" w:rsidRDefault="00FD05B8" w:rsidP="00FD05B8">
      <w:pPr>
        <w:numPr>
          <w:ilvl w:val="0"/>
          <w:numId w:val="1"/>
        </w:numPr>
        <w:tabs>
          <w:tab w:val="clear" w:pos="432"/>
          <w:tab w:val="num" w:pos="0"/>
        </w:tabs>
        <w:suppressAutoHyphens/>
        <w:autoSpaceDE w:val="0"/>
        <w:autoSpaceDN w:val="0"/>
        <w:adjustRightInd w:val="0"/>
        <w:spacing w:after="0" w:line="240" w:lineRule="auto"/>
        <w:ind w:left="0" w:firstLine="0"/>
        <w:jc w:val="both"/>
        <w:rPr>
          <w:rFonts w:ascii="Arial" w:hAnsi="Arial" w:cs="Arial"/>
          <w:color w:val="000000"/>
          <w:sz w:val="20"/>
          <w:szCs w:val="20"/>
          <w:lang w:val="en-US"/>
        </w:rPr>
      </w:pPr>
      <w:r w:rsidRPr="0094546E">
        <w:rPr>
          <w:rFonts w:ascii="Arial" w:hAnsi="Arial" w:cs="Arial"/>
          <w:b/>
          <w:bCs/>
          <w:color w:val="000000"/>
          <w:sz w:val="20"/>
          <w:szCs w:val="20"/>
          <w:lang w:val="en-US"/>
        </w:rPr>
        <w:t>Acknowledgments</w:t>
      </w:r>
      <w:r w:rsidRPr="0094546E">
        <w:rPr>
          <w:rFonts w:ascii="Arial" w:hAnsi="Arial" w:cs="Arial"/>
          <w:color w:val="000000"/>
          <w:sz w:val="20"/>
          <w:szCs w:val="20"/>
          <w:lang w:val="en-US"/>
        </w:rPr>
        <w:t xml:space="preserve">: Funds for this work were provided by UNAM-DGAPA (PAPIIT IN114018) and FQ (PAIP 5000-9080) are gratefully acknowledged. </w:t>
      </w:r>
    </w:p>
    <w:p w:rsidR="00FD05B8" w:rsidRPr="0094546E" w:rsidRDefault="00FD05B8" w:rsidP="00FD05B8">
      <w:pPr>
        <w:pStyle w:val="HTMLconformatoprevio"/>
        <w:numPr>
          <w:ilvl w:val="0"/>
          <w:numId w:val="1"/>
        </w:numPr>
        <w:shd w:val="clear" w:color="auto" w:fill="FFFFFF"/>
        <w:tabs>
          <w:tab w:val="clear" w:pos="432"/>
          <w:tab w:val="num" w:pos="0"/>
        </w:tabs>
        <w:spacing w:after="0" w:line="240" w:lineRule="auto"/>
        <w:ind w:left="0" w:firstLine="0"/>
        <w:jc w:val="both"/>
        <w:rPr>
          <w:rFonts w:ascii="Arial" w:hAnsi="Arial" w:cs="Arial"/>
          <w:color w:val="000000"/>
          <w:sz w:val="24"/>
          <w:szCs w:val="24"/>
          <w:lang w:val="en-US"/>
        </w:rPr>
      </w:pPr>
    </w:p>
    <w:p w:rsidR="00FD05B8" w:rsidRPr="00B81843" w:rsidRDefault="00FD05B8" w:rsidP="00FD05B8">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160" w:name="_Toc50031262"/>
      <w:r w:rsidRPr="00B81843">
        <w:rPr>
          <w:rFonts w:ascii="Arial" w:hAnsi="Arial" w:cs="Arial"/>
          <w:i/>
          <w:caps/>
          <w:sz w:val="24"/>
          <w:szCs w:val="24"/>
        </w:rPr>
        <w:t xml:space="preserve">6. </w:t>
      </w:r>
      <w:r w:rsidRPr="00B81843">
        <w:rPr>
          <w:rFonts w:ascii="Arial" w:hAnsi="Arial" w:cs="Arial"/>
          <w:i/>
          <w:sz w:val="24"/>
          <w:szCs w:val="24"/>
        </w:rPr>
        <w:t>References</w:t>
      </w:r>
      <w:bookmarkEnd w:id="160"/>
    </w:p>
    <w:p w:rsidR="00FD05B8" w:rsidRPr="00B81843" w:rsidRDefault="00FD05B8" w:rsidP="008F2442">
      <w:pPr>
        <w:rPr>
          <w:lang w:val="en-US"/>
        </w:rPr>
      </w:pPr>
      <w:bookmarkStart w:id="161" w:name="_Hlk16265505"/>
      <w:bookmarkStart w:id="162" w:name="_Hlk31826611"/>
      <w:r w:rsidRPr="00B81843">
        <w:rPr>
          <w:lang w:val="en-US"/>
        </w:rPr>
        <w:t xml:space="preserve">[1] </w:t>
      </w:r>
      <w:r w:rsidRPr="00334039">
        <w:rPr>
          <w:lang w:val="en-US"/>
        </w:rPr>
        <w:t>Schrade A.</w:t>
      </w:r>
      <w:r>
        <w:rPr>
          <w:lang w:val="en-US"/>
        </w:rPr>
        <w:t>,</w:t>
      </w:r>
      <w:r w:rsidRPr="00334039">
        <w:rPr>
          <w:lang w:val="en-US"/>
        </w:rPr>
        <w:t xml:space="preserve"> Landfester K.</w:t>
      </w:r>
      <w:r>
        <w:rPr>
          <w:lang w:val="en-US"/>
        </w:rPr>
        <w:t>,</w:t>
      </w:r>
      <w:r w:rsidRPr="00334039">
        <w:rPr>
          <w:lang w:val="en-US"/>
        </w:rPr>
        <w:t xml:space="preserve"> Ziener U. Pickering-type stabilized nanoparticles by heterophase Polymerization.</w:t>
      </w:r>
      <w:r w:rsidRPr="00334039">
        <w:rPr>
          <w:i/>
          <w:iCs/>
          <w:lang w:val="en-US"/>
        </w:rPr>
        <w:t xml:space="preserve"> Chem. Soc. Rev.</w:t>
      </w:r>
      <w:r w:rsidRPr="00334039">
        <w:rPr>
          <w:lang w:val="en-US"/>
        </w:rPr>
        <w:t xml:space="preserve"> 42, 6823-6838</w:t>
      </w:r>
      <w:r>
        <w:rPr>
          <w:lang w:val="en-US"/>
        </w:rPr>
        <w:t xml:space="preserve"> (</w:t>
      </w:r>
      <w:r w:rsidRPr="00691676">
        <w:rPr>
          <w:lang w:val="en-US"/>
        </w:rPr>
        <w:t>2013</w:t>
      </w:r>
      <w:r>
        <w:rPr>
          <w:lang w:val="en-US"/>
        </w:rPr>
        <w:t>)</w:t>
      </w:r>
      <w:r w:rsidRPr="00334039">
        <w:rPr>
          <w:lang w:val="en-US"/>
        </w:rPr>
        <w:t xml:space="preserve">. </w:t>
      </w:r>
    </w:p>
    <w:p w:rsidR="00FD05B8" w:rsidRPr="00B81843" w:rsidRDefault="00FD05B8" w:rsidP="008F2442">
      <w:pPr>
        <w:rPr>
          <w:rStyle w:val="Hipervnculo"/>
          <w:rFonts w:ascii="Arial" w:hAnsi="Arial" w:cs="Arial"/>
          <w:color w:val="009ACB"/>
          <w:sz w:val="20"/>
          <w:szCs w:val="20"/>
          <w:shd w:val="clear" w:color="auto" w:fill="FFFFFF"/>
          <w:lang w:val="en-US"/>
        </w:rPr>
      </w:pPr>
      <w:r w:rsidRPr="00B81843">
        <w:rPr>
          <w:rFonts w:ascii="Arial" w:hAnsi="Arial" w:cs="Arial"/>
          <w:lang w:val="en-US"/>
        </w:rPr>
        <w:t xml:space="preserve">[2] </w:t>
      </w:r>
      <w:r w:rsidRPr="00334039">
        <w:rPr>
          <w:rFonts w:ascii="Arial" w:hAnsi="Arial" w:cs="Arial"/>
          <w:lang w:val="en-US"/>
        </w:rPr>
        <w:t>Ngai T.</w:t>
      </w:r>
      <w:r>
        <w:rPr>
          <w:rFonts w:ascii="Arial" w:hAnsi="Arial" w:cs="Arial"/>
          <w:lang w:val="en-US"/>
        </w:rPr>
        <w:t>,</w:t>
      </w:r>
      <w:r w:rsidRPr="00334039">
        <w:rPr>
          <w:rFonts w:ascii="Arial" w:hAnsi="Arial" w:cs="Arial"/>
          <w:lang w:val="en-US"/>
        </w:rPr>
        <w:t xml:space="preserve"> Bon S. A. F. In </w:t>
      </w:r>
      <w:r w:rsidRPr="00334039">
        <w:rPr>
          <w:rFonts w:ascii="Arial" w:hAnsi="Arial" w:cs="Arial"/>
          <w:i/>
          <w:iCs/>
          <w:lang w:val="en-US"/>
        </w:rPr>
        <w:t>Particle-Stabilized Emulsions and Colloids Formation and Applications</w:t>
      </w:r>
      <w:r w:rsidRPr="00334039">
        <w:rPr>
          <w:rFonts w:ascii="Arial" w:hAnsi="Arial" w:cs="Arial"/>
          <w:lang w:val="en-US"/>
        </w:rPr>
        <w:t xml:space="preserve">; Thomas Graham House, Cambridge, UK, </w:t>
      </w:r>
      <w:r w:rsidRPr="00691676">
        <w:rPr>
          <w:rFonts w:ascii="Arial" w:hAnsi="Arial" w:cs="Arial"/>
          <w:lang w:val="en-US"/>
        </w:rPr>
        <w:t>2015</w:t>
      </w:r>
      <w:r w:rsidRPr="00334039">
        <w:rPr>
          <w:rFonts w:ascii="Arial" w:hAnsi="Arial" w:cs="Arial"/>
          <w:lang w:val="en-US"/>
        </w:rPr>
        <w:t>.</w:t>
      </w:r>
    </w:p>
    <w:p w:rsidR="00FD05B8" w:rsidRPr="00B81843" w:rsidRDefault="00FD05B8" w:rsidP="008F2442">
      <w:pPr>
        <w:rPr>
          <w:rStyle w:val="Hipervnculo"/>
          <w:rFonts w:ascii="Arial" w:hAnsi="Arial" w:cs="Arial"/>
          <w:color w:val="009ACB"/>
          <w:sz w:val="20"/>
          <w:szCs w:val="20"/>
          <w:shd w:val="clear" w:color="auto" w:fill="FFFFFF"/>
          <w:lang w:val="en-US"/>
        </w:rPr>
      </w:pPr>
      <w:r w:rsidRPr="00B81843">
        <w:rPr>
          <w:rFonts w:ascii="Arial" w:hAnsi="Arial" w:cs="Arial"/>
          <w:lang w:val="en-US"/>
        </w:rPr>
        <w:t xml:space="preserve">[3] </w:t>
      </w:r>
      <w:r w:rsidRPr="00334039">
        <w:rPr>
          <w:rFonts w:ascii="Arial" w:hAnsi="Arial" w:cs="Arial"/>
          <w:lang w:val="en-US"/>
        </w:rPr>
        <w:t xml:space="preserve">Lotierzo A; Bon S. A. F. A mechanistic investigation of Pickering emulsion Polymerization </w:t>
      </w:r>
      <w:r w:rsidRPr="00334039">
        <w:rPr>
          <w:rFonts w:ascii="Arial" w:hAnsi="Arial" w:cs="Arial"/>
          <w:i/>
          <w:iCs/>
          <w:lang w:val="en-US"/>
        </w:rPr>
        <w:t>Polym. Chem.</w:t>
      </w:r>
      <w:r w:rsidRPr="00334039">
        <w:rPr>
          <w:rFonts w:ascii="Arial" w:hAnsi="Arial" w:cs="Arial"/>
          <w:lang w:val="en-US"/>
        </w:rPr>
        <w:t xml:space="preserve"> </w:t>
      </w:r>
      <w:r w:rsidRPr="00334039">
        <w:rPr>
          <w:rFonts w:ascii="Arial" w:hAnsi="Arial" w:cs="Arial"/>
          <w:noProof/>
          <w:lang w:val="en-US"/>
        </w:rPr>
        <w:t>8, 5100-5111</w:t>
      </w:r>
      <w:r>
        <w:rPr>
          <w:rFonts w:ascii="Arial" w:hAnsi="Arial" w:cs="Arial"/>
          <w:noProof/>
          <w:lang w:val="en-US"/>
        </w:rPr>
        <w:t xml:space="preserve"> (</w:t>
      </w:r>
      <w:r w:rsidRPr="00691676">
        <w:rPr>
          <w:rFonts w:ascii="Arial" w:hAnsi="Arial" w:cs="Arial"/>
          <w:lang w:val="en-US"/>
        </w:rPr>
        <w:t>2017</w:t>
      </w:r>
      <w:r w:rsidRPr="00B81843">
        <w:rPr>
          <w:rFonts w:ascii="Arial" w:hAnsi="Arial" w:cs="Arial"/>
          <w:spacing w:val="-5"/>
          <w:shd w:val="clear" w:color="auto" w:fill="FFFFFF"/>
          <w:lang w:val="en-US"/>
        </w:rPr>
        <w:t>)</w:t>
      </w:r>
      <w:r w:rsidRPr="00334039">
        <w:rPr>
          <w:rFonts w:ascii="Arial" w:hAnsi="Arial" w:cs="Arial"/>
          <w:noProof/>
          <w:lang w:val="en-US"/>
        </w:rPr>
        <w:t>.</w:t>
      </w:r>
    </w:p>
    <w:p w:rsidR="00FD05B8" w:rsidRPr="00A208FA" w:rsidRDefault="00FD05B8" w:rsidP="008F2442">
      <w:pPr>
        <w:rPr>
          <w:rStyle w:val="Hipervnculo"/>
          <w:rFonts w:ascii="Arial" w:hAnsi="Arial" w:cs="Arial"/>
          <w:color w:val="009ACB"/>
          <w:sz w:val="20"/>
          <w:shd w:val="clear" w:color="auto" w:fill="FFFFFF"/>
          <w:lang w:val="en-US"/>
        </w:rPr>
      </w:pPr>
      <w:r w:rsidRPr="00A208FA">
        <w:rPr>
          <w:rFonts w:ascii="Arial" w:hAnsi="Arial" w:cs="Arial"/>
          <w:lang w:val="en-US"/>
        </w:rPr>
        <w:t xml:space="preserve">[4] </w:t>
      </w:r>
      <w:r w:rsidRPr="00A208FA">
        <w:rPr>
          <w:rFonts w:ascii="Arial" w:hAnsi="Arial" w:cs="Arial"/>
          <w:noProof/>
          <w:lang w:val="en-US"/>
        </w:rPr>
        <w:t>Vignati E., Piazza R. Pickering Emulsions: Interfacial Tension, Colloidal Layer Morphology, and Trapped-Particle Motion.</w:t>
      </w:r>
      <w:r w:rsidRPr="00A208FA">
        <w:rPr>
          <w:rFonts w:ascii="Arial" w:hAnsi="Arial" w:cs="Arial"/>
          <w:iCs/>
          <w:lang w:val="en-US"/>
        </w:rPr>
        <w:t xml:space="preserve"> </w:t>
      </w:r>
      <w:r w:rsidRPr="00A208FA">
        <w:rPr>
          <w:rFonts w:ascii="Arial" w:hAnsi="Arial" w:cs="Arial"/>
          <w:i/>
          <w:lang w:val="en-US"/>
        </w:rPr>
        <w:t>Langmuir</w:t>
      </w:r>
      <w:r w:rsidRPr="00A208FA">
        <w:rPr>
          <w:rFonts w:ascii="Arial" w:hAnsi="Arial" w:cs="Arial"/>
          <w:i/>
          <w:iCs/>
          <w:noProof/>
          <w:lang w:val="en-US"/>
        </w:rPr>
        <w:t xml:space="preserve"> </w:t>
      </w:r>
      <w:r w:rsidRPr="00A208FA">
        <w:rPr>
          <w:rFonts w:ascii="Arial" w:hAnsi="Arial" w:cs="Arial"/>
          <w:iCs/>
          <w:lang w:val="en-US"/>
        </w:rPr>
        <w:t xml:space="preserve">19, </w:t>
      </w:r>
      <w:r w:rsidRPr="00A208FA">
        <w:rPr>
          <w:rFonts w:ascii="Arial" w:hAnsi="Arial" w:cs="Arial"/>
          <w:lang w:val="en-US"/>
        </w:rPr>
        <w:t>6650-6656 (</w:t>
      </w:r>
      <w:r w:rsidRPr="00A208FA">
        <w:rPr>
          <w:rFonts w:ascii="Arial" w:hAnsi="Arial" w:cs="Arial"/>
          <w:bCs/>
          <w:lang w:val="en-US"/>
        </w:rPr>
        <w:t>2003)</w:t>
      </w:r>
      <w:r w:rsidRPr="00A208FA">
        <w:rPr>
          <w:rFonts w:ascii="Arial" w:hAnsi="Arial" w:cs="Arial"/>
          <w:lang w:val="en-US"/>
        </w:rPr>
        <w:t xml:space="preserve">. </w:t>
      </w:r>
    </w:p>
    <w:p w:rsidR="00FD05B8" w:rsidRPr="00B81843" w:rsidRDefault="00FD05B8" w:rsidP="008F2442">
      <w:pPr>
        <w:rPr>
          <w:rFonts w:ascii="Arial" w:hAnsi="Arial" w:cs="Arial"/>
          <w:lang w:val="en-US"/>
        </w:rPr>
      </w:pPr>
      <w:r w:rsidRPr="00B81843">
        <w:rPr>
          <w:rFonts w:ascii="Arial" w:hAnsi="Arial" w:cs="Arial"/>
          <w:lang w:val="en-US"/>
        </w:rPr>
        <w:t xml:space="preserve">[5] </w:t>
      </w:r>
      <w:r w:rsidRPr="00334039">
        <w:rPr>
          <w:rFonts w:ascii="Arial" w:hAnsi="Arial" w:cs="Arial"/>
          <w:lang w:val="en-US"/>
        </w:rPr>
        <w:t>Augustin M. A.</w:t>
      </w:r>
      <w:r>
        <w:rPr>
          <w:rFonts w:ascii="Arial" w:hAnsi="Arial" w:cs="Arial"/>
          <w:lang w:val="en-US"/>
        </w:rPr>
        <w:t>,</w:t>
      </w:r>
      <w:r w:rsidRPr="00334039">
        <w:rPr>
          <w:rFonts w:ascii="Arial" w:hAnsi="Arial" w:cs="Arial"/>
          <w:lang w:val="en-US"/>
        </w:rPr>
        <w:t xml:space="preserve"> Hemar Y. </w:t>
      </w:r>
      <w:r w:rsidRPr="00334039">
        <w:rPr>
          <w:rFonts w:ascii="Arial" w:hAnsi="Arial" w:cs="Arial"/>
          <w:noProof/>
          <w:lang w:val="en-US"/>
        </w:rPr>
        <w:t>Nano- and micro-structured assemblies for encapsulation</w:t>
      </w:r>
      <w:r w:rsidRPr="00334039">
        <w:rPr>
          <w:rFonts w:ascii="Arial" w:hAnsi="Arial" w:cs="Arial"/>
          <w:i/>
          <w:iCs/>
          <w:noProof/>
          <w:lang w:val="en-US"/>
        </w:rPr>
        <w:t xml:space="preserve">. </w:t>
      </w:r>
      <w:r w:rsidRPr="00334039">
        <w:rPr>
          <w:rFonts w:ascii="Arial" w:hAnsi="Arial" w:cs="Arial"/>
          <w:i/>
          <w:iCs/>
          <w:lang w:val="en-US"/>
        </w:rPr>
        <w:t>Chem. Soc. Rev.</w:t>
      </w:r>
      <w:r w:rsidRPr="00334039">
        <w:rPr>
          <w:rFonts w:ascii="Arial" w:hAnsi="Arial" w:cs="Arial"/>
          <w:lang w:val="en-US"/>
        </w:rPr>
        <w:t xml:space="preserve"> 38, 902-912</w:t>
      </w:r>
      <w:r>
        <w:rPr>
          <w:rFonts w:ascii="Arial" w:hAnsi="Arial" w:cs="Arial"/>
          <w:lang w:val="en-US"/>
        </w:rPr>
        <w:t xml:space="preserve"> </w:t>
      </w:r>
      <w:r w:rsidRPr="00691676">
        <w:rPr>
          <w:rFonts w:ascii="Arial" w:hAnsi="Arial" w:cs="Arial"/>
          <w:lang w:val="en-US"/>
        </w:rPr>
        <w:t>(2009)</w:t>
      </w:r>
      <w:r w:rsidRPr="00334039">
        <w:rPr>
          <w:rFonts w:ascii="Arial" w:hAnsi="Arial" w:cs="Arial"/>
          <w:lang w:val="en-US"/>
        </w:rPr>
        <w:t xml:space="preserve">. </w:t>
      </w:r>
    </w:p>
    <w:p w:rsidR="00FD05B8" w:rsidRPr="00B81843" w:rsidRDefault="00FD05B8" w:rsidP="008F2442">
      <w:pPr>
        <w:rPr>
          <w:rStyle w:val="Hipervnculo"/>
          <w:rFonts w:ascii="Arial" w:hAnsi="Arial" w:cs="Arial"/>
          <w:color w:val="009ACB"/>
          <w:sz w:val="20"/>
          <w:szCs w:val="20"/>
          <w:lang w:val="en-US"/>
        </w:rPr>
      </w:pPr>
      <w:r w:rsidRPr="00B81843">
        <w:rPr>
          <w:rFonts w:ascii="Arial" w:hAnsi="Arial" w:cs="Arial"/>
          <w:lang w:val="en-US"/>
        </w:rPr>
        <w:t xml:space="preserve">[6] </w:t>
      </w:r>
      <w:r w:rsidRPr="00334039">
        <w:rPr>
          <w:rFonts w:ascii="Arial" w:hAnsi="Arial" w:cs="Arial"/>
          <w:lang w:val="en-US"/>
        </w:rPr>
        <w:t xml:space="preserve">Ning Y., Yang Y., Wang C., Ngai T. and Tong Z. </w:t>
      </w:r>
      <w:r w:rsidRPr="00334039">
        <w:rPr>
          <w:rFonts w:ascii="Arial" w:hAnsi="Arial" w:cs="Arial"/>
          <w:noProof/>
          <w:lang w:val="en-US"/>
        </w:rPr>
        <w:t xml:space="preserve">Hierarchical porous polymeric microspheres as efficient. </w:t>
      </w:r>
      <w:r w:rsidRPr="00334039">
        <w:rPr>
          <w:rFonts w:ascii="Arial" w:hAnsi="Arial" w:cs="Arial"/>
          <w:lang w:val="en-US"/>
        </w:rPr>
        <w:t xml:space="preserve"> </w:t>
      </w:r>
      <w:r w:rsidRPr="00334039">
        <w:rPr>
          <w:rFonts w:ascii="Arial" w:hAnsi="Arial" w:cs="Arial"/>
          <w:i/>
          <w:iCs/>
          <w:lang w:val="en-US"/>
        </w:rPr>
        <w:t>Chem. Commun.</w:t>
      </w:r>
      <w:r w:rsidRPr="00B81843">
        <w:rPr>
          <w:rFonts w:ascii="Arial" w:hAnsi="Arial" w:cs="Arial"/>
          <w:spacing w:val="-5"/>
          <w:shd w:val="clear" w:color="auto" w:fill="FFFFFF"/>
          <w:lang w:val="en-US"/>
        </w:rPr>
        <w:t xml:space="preserve">, </w:t>
      </w:r>
      <w:r w:rsidRPr="00334039">
        <w:rPr>
          <w:rFonts w:ascii="Arial" w:hAnsi="Arial" w:cs="Arial"/>
          <w:lang w:val="en-US"/>
        </w:rPr>
        <w:t>49</w:t>
      </w:r>
      <w:r w:rsidRPr="00B81843">
        <w:rPr>
          <w:rStyle w:val="Textoennegrita"/>
          <w:rFonts w:ascii="Arial" w:hAnsi="Arial" w:cs="Arial"/>
          <w:spacing w:val="-5"/>
          <w:shd w:val="clear" w:color="auto" w:fill="FFFFFF"/>
          <w:lang w:val="en-US"/>
        </w:rPr>
        <w:t xml:space="preserve">, </w:t>
      </w:r>
      <w:r w:rsidRPr="00B81843">
        <w:rPr>
          <w:rStyle w:val="Textoennegrita"/>
          <w:rFonts w:ascii="Arial" w:hAnsi="Arial" w:cs="Arial"/>
          <w:b w:val="0"/>
          <w:bCs w:val="0"/>
          <w:spacing w:val="-5"/>
          <w:shd w:val="clear" w:color="auto" w:fill="FFFFFF"/>
          <w:lang w:val="en-US"/>
        </w:rPr>
        <w:t xml:space="preserve">8761-8763 </w:t>
      </w:r>
      <w:r w:rsidRPr="00B81843">
        <w:rPr>
          <w:rStyle w:val="Textoennegrita"/>
          <w:rFonts w:ascii="Arial" w:hAnsi="Arial" w:cs="Arial"/>
          <w:spacing w:val="-5"/>
          <w:shd w:val="clear" w:color="auto" w:fill="FFFFFF"/>
          <w:lang w:val="en-US"/>
        </w:rPr>
        <w:t>(</w:t>
      </w:r>
      <w:r w:rsidRPr="00691676">
        <w:rPr>
          <w:rFonts w:ascii="Arial" w:hAnsi="Arial" w:cs="Arial"/>
          <w:lang w:val="en-US"/>
        </w:rPr>
        <w:t>2013)</w:t>
      </w:r>
      <w:r w:rsidRPr="00B81843">
        <w:rPr>
          <w:rStyle w:val="Textoennegrita"/>
          <w:rFonts w:ascii="Arial" w:hAnsi="Arial" w:cs="Arial"/>
          <w:spacing w:val="-5"/>
          <w:shd w:val="clear" w:color="auto" w:fill="FFFFFF"/>
          <w:lang w:val="en-US"/>
        </w:rPr>
        <w:t xml:space="preserve">. </w:t>
      </w:r>
    </w:p>
    <w:p w:rsidR="00FD05B8" w:rsidRPr="00B81843" w:rsidRDefault="00FD05B8" w:rsidP="008F2442">
      <w:pPr>
        <w:rPr>
          <w:rStyle w:val="Hipervnculo"/>
          <w:rFonts w:ascii="Arial" w:hAnsi="Arial" w:cs="Arial"/>
          <w:color w:val="009ACB"/>
          <w:sz w:val="20"/>
          <w:szCs w:val="20"/>
          <w:lang w:val="en-US"/>
        </w:rPr>
      </w:pPr>
      <w:r w:rsidRPr="00B81843">
        <w:rPr>
          <w:rFonts w:ascii="Arial" w:hAnsi="Arial" w:cs="Arial"/>
          <w:lang w:val="en-US"/>
        </w:rPr>
        <w:t xml:space="preserve">[7] </w:t>
      </w:r>
      <w:r w:rsidRPr="00334039">
        <w:rPr>
          <w:rFonts w:ascii="Arial" w:hAnsi="Arial" w:cs="Arial"/>
          <w:lang w:val="en-US"/>
        </w:rPr>
        <w:t>Sanyal S.</w:t>
      </w:r>
      <w:r>
        <w:rPr>
          <w:rFonts w:ascii="Arial" w:hAnsi="Arial" w:cs="Arial"/>
          <w:lang w:val="en-US"/>
        </w:rPr>
        <w:t>,</w:t>
      </w:r>
      <w:r w:rsidRPr="00334039">
        <w:rPr>
          <w:rFonts w:ascii="Arial" w:hAnsi="Arial" w:cs="Arial"/>
          <w:lang w:val="en-US"/>
        </w:rPr>
        <w:t xml:space="preserve"> Huang H.-C.</w:t>
      </w:r>
      <w:r>
        <w:rPr>
          <w:rFonts w:ascii="Arial" w:hAnsi="Arial" w:cs="Arial"/>
          <w:lang w:val="en-US"/>
        </w:rPr>
        <w:t>,</w:t>
      </w:r>
      <w:r w:rsidRPr="00334039">
        <w:rPr>
          <w:rFonts w:ascii="Arial" w:hAnsi="Arial" w:cs="Arial"/>
          <w:lang w:val="en-US"/>
        </w:rPr>
        <w:t xml:space="preserve"> Rege K.</w:t>
      </w:r>
      <w:r>
        <w:rPr>
          <w:rFonts w:ascii="Arial" w:hAnsi="Arial" w:cs="Arial"/>
          <w:lang w:val="en-US"/>
        </w:rPr>
        <w:t>,</w:t>
      </w:r>
      <w:r w:rsidRPr="00334039">
        <w:rPr>
          <w:rFonts w:ascii="Arial" w:hAnsi="Arial" w:cs="Arial"/>
          <w:lang w:val="en-US"/>
        </w:rPr>
        <w:t xml:space="preserve"> Dai L.</w:t>
      </w:r>
      <w:r w:rsidRPr="00334039">
        <w:rPr>
          <w:rFonts w:ascii="Arial" w:hAnsi="Arial" w:cs="Arial"/>
          <w:iCs/>
          <w:lang w:val="en-US"/>
        </w:rPr>
        <w:t xml:space="preserve"> </w:t>
      </w:r>
      <w:r w:rsidRPr="00334039">
        <w:rPr>
          <w:rFonts w:ascii="Arial" w:hAnsi="Arial" w:cs="Arial"/>
          <w:iCs/>
          <w:noProof/>
          <w:color w:val="000000"/>
          <w:lang w:val="en-US"/>
        </w:rPr>
        <w:t xml:space="preserve">Thermo-Responsive Core-Shell Composite Nanoparticles Synthesized via </w:t>
      </w:r>
      <w:r w:rsidRPr="00334039">
        <w:rPr>
          <w:rFonts w:ascii="Arial" w:eastAsia="AdobeFangsongStd-Regular" w:hAnsi="Arial" w:cs="Arial"/>
          <w:iCs/>
          <w:color w:val="000000"/>
          <w:lang w:val="en-US"/>
        </w:rPr>
        <w:t>One-Step Pickering Emulsion Polymerization for Controlled Drug Delivery</w:t>
      </w:r>
      <w:r w:rsidRPr="00334039">
        <w:rPr>
          <w:rFonts w:ascii="Arial" w:hAnsi="Arial" w:cs="Arial"/>
          <w:lang w:val="en-US"/>
        </w:rPr>
        <w:t xml:space="preserve">. </w:t>
      </w:r>
      <w:r w:rsidRPr="00334039">
        <w:rPr>
          <w:rFonts w:ascii="Arial" w:hAnsi="Arial" w:cs="Arial"/>
          <w:i/>
          <w:iCs/>
          <w:lang w:val="en-US"/>
        </w:rPr>
        <w:t>J. Nanomedic. Nanotechnol</w:t>
      </w:r>
      <w:r w:rsidRPr="00334039">
        <w:rPr>
          <w:rFonts w:ascii="Arial" w:hAnsi="Arial" w:cs="Arial"/>
          <w:lang w:val="en-US"/>
        </w:rPr>
        <w:t>. 2-7</w:t>
      </w:r>
      <w:r>
        <w:rPr>
          <w:rFonts w:ascii="Arial" w:hAnsi="Arial" w:cs="Arial"/>
          <w:lang w:val="en-US"/>
        </w:rPr>
        <w:t xml:space="preserve"> </w:t>
      </w:r>
      <w:r w:rsidRPr="00691676">
        <w:rPr>
          <w:rFonts w:ascii="Arial" w:hAnsi="Arial" w:cs="Arial"/>
          <w:lang w:val="en-US"/>
        </w:rPr>
        <w:t>(2011)</w:t>
      </w:r>
      <w:r>
        <w:rPr>
          <w:rFonts w:ascii="Arial" w:hAnsi="Arial" w:cs="Arial"/>
          <w:lang w:val="en-US"/>
        </w:rPr>
        <w:t>.</w:t>
      </w:r>
    </w:p>
    <w:p w:rsidR="00FD05B8" w:rsidRPr="00B81843" w:rsidRDefault="00FD05B8" w:rsidP="008F2442">
      <w:pPr>
        <w:rPr>
          <w:rStyle w:val="Hipervnculo"/>
          <w:rFonts w:ascii="Arial" w:hAnsi="Arial" w:cs="Arial"/>
          <w:color w:val="009ACB"/>
          <w:sz w:val="20"/>
          <w:szCs w:val="20"/>
          <w:lang w:val="en-US"/>
        </w:rPr>
      </w:pPr>
      <w:r w:rsidRPr="00B81843">
        <w:rPr>
          <w:rFonts w:ascii="Arial" w:hAnsi="Arial" w:cs="Arial"/>
          <w:lang w:val="en-US"/>
        </w:rPr>
        <w:t xml:space="preserve">[8] </w:t>
      </w:r>
      <w:r w:rsidRPr="00334039">
        <w:rPr>
          <w:rFonts w:ascii="Arial" w:hAnsi="Arial" w:cs="Arial"/>
          <w:lang w:val="en-US"/>
        </w:rPr>
        <w:t>Sanchez C.</w:t>
      </w:r>
      <w:r>
        <w:rPr>
          <w:rFonts w:ascii="Arial" w:hAnsi="Arial" w:cs="Arial"/>
          <w:lang w:val="en-US"/>
        </w:rPr>
        <w:t>,</w:t>
      </w:r>
      <w:r w:rsidRPr="00334039">
        <w:rPr>
          <w:rFonts w:ascii="Arial" w:hAnsi="Arial" w:cs="Arial"/>
          <w:lang w:val="en-US"/>
        </w:rPr>
        <w:t xml:space="preserve"> Belleville P.</w:t>
      </w:r>
      <w:r>
        <w:rPr>
          <w:rFonts w:ascii="Arial" w:hAnsi="Arial" w:cs="Arial"/>
          <w:lang w:val="en-US"/>
        </w:rPr>
        <w:t>,</w:t>
      </w:r>
      <w:r w:rsidRPr="00334039">
        <w:rPr>
          <w:rFonts w:ascii="Arial" w:hAnsi="Arial" w:cs="Arial"/>
          <w:lang w:val="en-US"/>
        </w:rPr>
        <w:t xml:space="preserve"> Popall M.</w:t>
      </w:r>
      <w:r>
        <w:rPr>
          <w:rFonts w:ascii="Arial" w:hAnsi="Arial" w:cs="Arial"/>
          <w:lang w:val="en-US"/>
        </w:rPr>
        <w:t>,</w:t>
      </w:r>
      <w:r w:rsidRPr="00334039">
        <w:rPr>
          <w:rFonts w:ascii="Arial" w:hAnsi="Arial" w:cs="Arial"/>
          <w:lang w:val="en-US"/>
        </w:rPr>
        <w:t xml:space="preserve"> Nicole L.</w:t>
      </w:r>
      <w:r w:rsidRPr="00334039">
        <w:rPr>
          <w:rFonts w:ascii="Arial" w:hAnsi="Arial" w:cs="Arial"/>
          <w:iCs/>
          <w:lang w:val="en-US"/>
        </w:rPr>
        <w:t xml:space="preserve"> </w:t>
      </w:r>
      <w:r w:rsidRPr="00334039">
        <w:rPr>
          <w:rFonts w:ascii="Arial" w:hAnsi="Arial" w:cs="Arial"/>
          <w:iCs/>
          <w:color w:val="000000"/>
          <w:shd w:val="clear" w:color="auto" w:fill="FFFFFF"/>
          <w:lang w:val="en-US"/>
        </w:rPr>
        <w:t>Applications of advanced hybrid organic–inorganic nanomaterials: from laboratory to market</w:t>
      </w:r>
      <w:r w:rsidRPr="00334039">
        <w:rPr>
          <w:rFonts w:ascii="Arial" w:hAnsi="Arial" w:cs="Arial"/>
          <w:i/>
          <w:iCs/>
          <w:lang w:val="en-US"/>
        </w:rPr>
        <w:t>. Chem. Soc. Rev.</w:t>
      </w:r>
      <w:r w:rsidRPr="00334039">
        <w:rPr>
          <w:rFonts w:ascii="Arial" w:hAnsi="Arial" w:cs="Arial"/>
          <w:lang w:val="en-US"/>
        </w:rPr>
        <w:t xml:space="preserve"> 40, 696-753</w:t>
      </w:r>
      <w:r>
        <w:rPr>
          <w:rFonts w:ascii="Arial" w:hAnsi="Arial" w:cs="Arial"/>
          <w:lang w:val="en-US"/>
        </w:rPr>
        <w:t xml:space="preserve"> </w:t>
      </w:r>
      <w:r w:rsidRPr="00691676">
        <w:rPr>
          <w:rFonts w:ascii="Arial" w:hAnsi="Arial" w:cs="Arial"/>
          <w:lang w:val="en-US"/>
        </w:rPr>
        <w:t>(2011)</w:t>
      </w:r>
      <w:r w:rsidRPr="00334039">
        <w:rPr>
          <w:rFonts w:ascii="Arial" w:hAnsi="Arial" w:cs="Arial"/>
          <w:lang w:val="en-US"/>
        </w:rPr>
        <w:t>.</w:t>
      </w:r>
    </w:p>
    <w:p w:rsidR="00FD05B8" w:rsidRPr="00B81843" w:rsidRDefault="00FD05B8" w:rsidP="008F2442">
      <w:pPr>
        <w:rPr>
          <w:rStyle w:val="Hipervnculo"/>
          <w:rFonts w:ascii="Arial" w:hAnsi="Arial" w:cs="Arial"/>
          <w:color w:val="009ACB"/>
          <w:sz w:val="20"/>
          <w:szCs w:val="20"/>
          <w:lang w:val="en-US"/>
        </w:rPr>
      </w:pPr>
      <w:r w:rsidRPr="00B81843">
        <w:rPr>
          <w:rFonts w:ascii="Arial" w:hAnsi="Arial" w:cs="Arial"/>
          <w:lang w:val="en-US"/>
        </w:rPr>
        <w:t xml:space="preserve">[9] </w:t>
      </w:r>
      <w:r w:rsidRPr="00334039">
        <w:rPr>
          <w:rFonts w:ascii="Arial" w:hAnsi="Arial" w:cs="Arial"/>
          <w:noProof/>
          <w:color w:val="000000"/>
          <w:lang w:val="en-US"/>
        </w:rPr>
        <w:t xml:space="preserve">Midmore B. Interaction between colloidal silica and a nonionic surfactant hexagonal liquid crystalline phase. </w:t>
      </w:r>
      <w:r w:rsidRPr="00334039">
        <w:rPr>
          <w:rFonts w:ascii="Arial" w:hAnsi="Arial" w:cs="Arial"/>
          <w:i/>
          <w:color w:val="000000"/>
          <w:lang w:val="en-US"/>
        </w:rPr>
        <w:t>Colloids Surf. A: Physicochem. Eng. Aspects</w:t>
      </w:r>
      <w:r w:rsidRPr="00334039">
        <w:rPr>
          <w:rFonts w:ascii="Arial" w:hAnsi="Arial" w:cs="Arial"/>
          <w:iCs/>
          <w:color w:val="000000"/>
          <w:lang w:val="en-US"/>
        </w:rPr>
        <w:t xml:space="preserve"> </w:t>
      </w:r>
      <w:r w:rsidRPr="00334039">
        <w:rPr>
          <w:rFonts w:ascii="Arial" w:hAnsi="Arial" w:cs="Arial"/>
          <w:color w:val="000000"/>
          <w:lang w:val="en-US"/>
        </w:rPr>
        <w:t>182, 83-92</w:t>
      </w:r>
      <w:r>
        <w:rPr>
          <w:rFonts w:ascii="Arial" w:hAnsi="Arial" w:cs="Arial"/>
          <w:color w:val="000000"/>
          <w:lang w:val="en-US"/>
        </w:rPr>
        <w:t xml:space="preserve"> (</w:t>
      </w:r>
      <w:r w:rsidRPr="00691676">
        <w:rPr>
          <w:rFonts w:ascii="Arial" w:hAnsi="Arial" w:cs="Arial"/>
          <w:noProof/>
          <w:color w:val="000000"/>
          <w:lang w:val="en-US"/>
        </w:rPr>
        <w:t>2001)</w:t>
      </w:r>
      <w:r w:rsidRPr="00334039">
        <w:rPr>
          <w:rFonts w:ascii="Arial" w:hAnsi="Arial" w:cs="Arial"/>
          <w:color w:val="000000"/>
          <w:lang w:val="en-US"/>
        </w:rPr>
        <w:t xml:space="preserve">. </w:t>
      </w:r>
    </w:p>
    <w:p w:rsidR="00FD05B8" w:rsidRPr="00B81843" w:rsidRDefault="00FD05B8" w:rsidP="008F2442">
      <w:pPr>
        <w:rPr>
          <w:rStyle w:val="Hipervnculo"/>
          <w:rFonts w:ascii="Arial" w:hAnsi="Arial" w:cs="Arial"/>
          <w:color w:val="009ACB"/>
          <w:sz w:val="20"/>
          <w:szCs w:val="20"/>
          <w:lang w:val="en-US"/>
        </w:rPr>
      </w:pPr>
      <w:r w:rsidRPr="00B81843">
        <w:rPr>
          <w:rFonts w:ascii="Arial" w:hAnsi="Arial" w:cs="Arial"/>
          <w:lang w:val="en-US"/>
        </w:rPr>
        <w:t xml:space="preserve">[10] </w:t>
      </w:r>
      <w:r w:rsidRPr="00334039">
        <w:rPr>
          <w:rFonts w:ascii="Arial" w:hAnsi="Arial" w:cs="Arial"/>
          <w:color w:val="000000"/>
          <w:lang w:val="en-US"/>
        </w:rPr>
        <w:t xml:space="preserve">Tushar S., Kumar G. S., Chon B. H. and Sangwai J. S. </w:t>
      </w:r>
      <w:r w:rsidRPr="00334039">
        <w:rPr>
          <w:rFonts w:ascii="Arial" w:hAnsi="Arial" w:cs="Arial"/>
          <w:iCs/>
          <w:color w:val="000000"/>
          <w:lang w:val="en-US"/>
        </w:rPr>
        <w:t>Thermal stability of oil-in-water Pickering emulsion in the presence of nanoparticle, surfactant, and polymer</w:t>
      </w:r>
      <w:r w:rsidRPr="00334039">
        <w:rPr>
          <w:rFonts w:ascii="Arial" w:hAnsi="Arial" w:cs="Arial"/>
          <w:color w:val="000000"/>
          <w:lang w:val="en-US"/>
        </w:rPr>
        <w:t xml:space="preserve">. </w:t>
      </w:r>
      <w:r w:rsidRPr="00334039">
        <w:rPr>
          <w:rFonts w:ascii="Arial" w:hAnsi="Arial" w:cs="Arial"/>
          <w:i/>
          <w:iCs/>
          <w:color w:val="000000"/>
          <w:lang w:val="en-US"/>
        </w:rPr>
        <w:t>J.  Ind. Eng. Chem.</w:t>
      </w:r>
      <w:r w:rsidRPr="00334039">
        <w:rPr>
          <w:rFonts w:ascii="Arial" w:hAnsi="Arial" w:cs="Arial"/>
          <w:color w:val="000000"/>
          <w:lang w:val="en-US"/>
        </w:rPr>
        <w:t xml:space="preserve"> </w:t>
      </w:r>
      <w:r w:rsidRPr="00334039">
        <w:rPr>
          <w:rFonts w:ascii="Arial" w:hAnsi="Arial" w:cs="Arial"/>
          <w:b/>
          <w:bCs/>
          <w:color w:val="000000"/>
          <w:lang w:val="en-US"/>
        </w:rPr>
        <w:t>2015,</w:t>
      </w:r>
      <w:r w:rsidRPr="00334039">
        <w:rPr>
          <w:rFonts w:ascii="Arial" w:hAnsi="Arial" w:cs="Arial"/>
          <w:color w:val="000000"/>
          <w:lang w:val="en-US"/>
        </w:rPr>
        <w:t xml:space="preserve"> 22, 324334. </w:t>
      </w:r>
    </w:p>
    <w:p w:rsidR="00FD05B8" w:rsidRPr="00334039" w:rsidRDefault="00FD05B8" w:rsidP="008F2442">
      <w:pPr>
        <w:rPr>
          <w:rFonts w:ascii="Arial" w:hAnsi="Arial" w:cs="Arial"/>
          <w:lang w:val="en-US"/>
        </w:rPr>
      </w:pPr>
      <w:r w:rsidRPr="00B81843">
        <w:rPr>
          <w:rFonts w:ascii="Arial" w:hAnsi="Arial" w:cs="Arial"/>
          <w:lang w:val="en-US"/>
        </w:rPr>
        <w:t xml:space="preserve">[11] </w:t>
      </w:r>
      <w:r w:rsidRPr="00334039">
        <w:rPr>
          <w:rFonts w:ascii="Arial" w:hAnsi="Arial" w:cs="Arial"/>
          <w:lang w:val="en-US"/>
        </w:rPr>
        <w:t>Lebdioua K.</w:t>
      </w:r>
      <w:r>
        <w:rPr>
          <w:rFonts w:ascii="Arial" w:hAnsi="Arial" w:cs="Arial"/>
          <w:lang w:val="en-US"/>
        </w:rPr>
        <w:t>,</w:t>
      </w:r>
      <w:r w:rsidRPr="00334039">
        <w:rPr>
          <w:rFonts w:ascii="Arial" w:hAnsi="Arial" w:cs="Arial"/>
          <w:lang w:val="en-US"/>
        </w:rPr>
        <w:t xml:space="preserve"> Aimable A.</w:t>
      </w:r>
      <w:r>
        <w:rPr>
          <w:rFonts w:ascii="Arial" w:hAnsi="Arial" w:cs="Arial"/>
          <w:lang w:val="en-US"/>
        </w:rPr>
        <w:t>,</w:t>
      </w:r>
      <w:r w:rsidRPr="00334039">
        <w:rPr>
          <w:rFonts w:ascii="Arial" w:hAnsi="Arial" w:cs="Arial"/>
          <w:lang w:val="en-US"/>
        </w:rPr>
        <w:t xml:space="preserve"> Cerbelaud M.</w:t>
      </w:r>
      <w:r>
        <w:rPr>
          <w:rFonts w:ascii="Arial" w:hAnsi="Arial" w:cs="Arial"/>
          <w:lang w:val="en-US"/>
        </w:rPr>
        <w:t>,</w:t>
      </w:r>
      <w:r w:rsidRPr="00334039">
        <w:rPr>
          <w:rFonts w:ascii="Arial" w:hAnsi="Arial" w:cs="Arial"/>
          <w:lang w:val="en-US"/>
        </w:rPr>
        <w:t xml:space="preserve"> Videcoq A.</w:t>
      </w:r>
      <w:r>
        <w:rPr>
          <w:rFonts w:ascii="Arial" w:hAnsi="Arial" w:cs="Arial"/>
          <w:lang w:val="en-US"/>
        </w:rPr>
        <w:t>,</w:t>
      </w:r>
      <w:r w:rsidRPr="00334039">
        <w:rPr>
          <w:rFonts w:ascii="Arial" w:hAnsi="Arial" w:cs="Arial"/>
          <w:lang w:val="en-US"/>
        </w:rPr>
        <w:t xml:space="preserve"> Peyratout C. </w:t>
      </w:r>
      <w:r w:rsidRPr="00334039">
        <w:rPr>
          <w:rFonts w:ascii="Arial" w:hAnsi="Arial" w:cs="Arial"/>
          <w:noProof/>
          <w:color w:val="000000"/>
          <w:lang w:val="en-US"/>
        </w:rPr>
        <w:t>Influence of different surfactants on Pickering emulsions stabilized by submicronic silica particles.</w:t>
      </w:r>
      <w:r w:rsidRPr="00334039">
        <w:rPr>
          <w:rFonts w:ascii="Arial" w:hAnsi="Arial" w:cs="Arial"/>
          <w:lang w:val="en-US"/>
        </w:rPr>
        <w:t xml:space="preserve"> </w:t>
      </w:r>
      <w:r w:rsidRPr="00334039">
        <w:rPr>
          <w:rFonts w:ascii="Arial" w:hAnsi="Arial" w:cs="Arial"/>
          <w:i/>
          <w:iCs/>
          <w:lang w:val="en-US"/>
        </w:rPr>
        <w:t>J.</w:t>
      </w:r>
      <w:r w:rsidRPr="00334039">
        <w:rPr>
          <w:rFonts w:ascii="Arial" w:hAnsi="Arial" w:cs="Arial"/>
          <w:lang w:val="en-US"/>
        </w:rPr>
        <w:t xml:space="preserve"> </w:t>
      </w:r>
      <w:r w:rsidRPr="00334039">
        <w:rPr>
          <w:rFonts w:ascii="Arial" w:hAnsi="Arial" w:cs="Arial"/>
          <w:i/>
          <w:iCs/>
          <w:lang w:val="en-US"/>
        </w:rPr>
        <w:t>Colloid Interf. Sci.</w:t>
      </w:r>
      <w:r w:rsidRPr="00334039">
        <w:rPr>
          <w:rFonts w:ascii="Arial" w:hAnsi="Arial" w:cs="Arial"/>
          <w:lang w:val="en-US"/>
        </w:rPr>
        <w:t xml:space="preserve"> 520, 127-133</w:t>
      </w:r>
      <w:r>
        <w:rPr>
          <w:rFonts w:ascii="Arial" w:hAnsi="Arial" w:cs="Arial"/>
          <w:lang w:val="en-US"/>
        </w:rPr>
        <w:t xml:space="preserve"> (</w:t>
      </w:r>
      <w:r w:rsidRPr="00691676">
        <w:rPr>
          <w:rFonts w:ascii="Arial" w:hAnsi="Arial" w:cs="Arial"/>
          <w:lang w:val="en-US"/>
        </w:rPr>
        <w:t>2018)</w:t>
      </w:r>
      <w:r w:rsidRPr="00334039">
        <w:rPr>
          <w:rFonts w:ascii="Arial" w:hAnsi="Arial" w:cs="Arial"/>
          <w:lang w:val="en-US"/>
        </w:rPr>
        <w:t xml:space="preserve">. </w:t>
      </w:r>
    </w:p>
    <w:p w:rsidR="00FD05B8" w:rsidRPr="00A208FA" w:rsidRDefault="00FD05B8" w:rsidP="008F2442">
      <w:pPr>
        <w:rPr>
          <w:rStyle w:val="Hipervnculo"/>
          <w:rFonts w:ascii="Arial" w:hAnsi="Arial" w:cs="Arial"/>
          <w:color w:val="009ACB"/>
          <w:sz w:val="20"/>
          <w:lang w:val="en-US"/>
        </w:rPr>
      </w:pPr>
      <w:r w:rsidRPr="00A208FA">
        <w:rPr>
          <w:rFonts w:ascii="Arial" w:hAnsi="Arial" w:cs="Arial"/>
          <w:lang w:val="en-US"/>
        </w:rPr>
        <w:lastRenderedPageBreak/>
        <w:t xml:space="preserve">[12] </w:t>
      </w:r>
      <w:r w:rsidRPr="00A208FA">
        <w:rPr>
          <w:rFonts w:ascii="Arial" w:hAnsi="Arial" w:cs="Arial"/>
          <w:noProof/>
          <w:lang w:val="en-US"/>
        </w:rPr>
        <w:t>Binks B. P.; Lumsdon S. O. Stability of oil-in-water emulsions stabilised by silica .</w:t>
      </w:r>
      <w:r w:rsidRPr="00A208FA">
        <w:rPr>
          <w:rFonts w:ascii="Arial" w:hAnsi="Arial" w:cs="Arial"/>
          <w:i/>
          <w:iCs/>
          <w:lang w:val="en-US"/>
        </w:rPr>
        <w:t xml:space="preserve"> Phys. Chem. Chem. Phys.</w:t>
      </w:r>
      <w:r w:rsidRPr="00A208FA">
        <w:rPr>
          <w:rFonts w:ascii="Arial" w:hAnsi="Arial" w:cs="Arial"/>
          <w:lang w:val="en-US"/>
        </w:rPr>
        <w:t xml:space="preserve"> 1, 3007-3016 (1999). </w:t>
      </w:r>
    </w:p>
    <w:p w:rsidR="00FD05B8" w:rsidRPr="00A208FA" w:rsidRDefault="00FD05B8" w:rsidP="008F2442">
      <w:pPr>
        <w:rPr>
          <w:rStyle w:val="Hipervnculo"/>
          <w:rFonts w:ascii="Arial" w:hAnsi="Arial" w:cs="Arial"/>
          <w:color w:val="009ACB"/>
          <w:sz w:val="20"/>
          <w:lang w:val="en-US"/>
        </w:rPr>
      </w:pPr>
      <w:r w:rsidRPr="00A208FA">
        <w:rPr>
          <w:rFonts w:ascii="Arial" w:hAnsi="Arial" w:cs="Arial"/>
          <w:lang w:val="en-US"/>
        </w:rPr>
        <w:t xml:space="preserve">[13] </w:t>
      </w:r>
      <w:r w:rsidRPr="00A208FA">
        <w:rPr>
          <w:rFonts w:ascii="Arial" w:hAnsi="Arial" w:cs="Arial"/>
          <w:noProof/>
          <w:lang w:val="en-US"/>
        </w:rPr>
        <w:t>Lucassen-Reynders E. H., Van DenTempe M.  Stabilization of water-in-oil emulsions by solid particles</w:t>
      </w:r>
      <w:r w:rsidRPr="00A208FA">
        <w:rPr>
          <w:rFonts w:ascii="Arial" w:hAnsi="Arial" w:cs="Arial"/>
          <w:i/>
          <w:iCs/>
          <w:noProof/>
          <w:lang w:val="en-US"/>
        </w:rPr>
        <w:t>. J. Phys. Chem.,</w:t>
      </w:r>
      <w:r w:rsidRPr="00A208FA">
        <w:rPr>
          <w:rFonts w:ascii="Arial" w:hAnsi="Arial" w:cs="Arial"/>
          <w:noProof/>
          <w:lang w:val="en-US"/>
        </w:rPr>
        <w:t xml:space="preserve">  67, 731-734 (1963) . </w:t>
      </w:r>
    </w:p>
    <w:p w:rsidR="00FD05B8" w:rsidRPr="00B81843" w:rsidRDefault="00FD05B8" w:rsidP="008F2442">
      <w:pPr>
        <w:rPr>
          <w:rStyle w:val="Hipervnculo"/>
          <w:rFonts w:ascii="Arial" w:hAnsi="Arial" w:cs="Arial"/>
          <w:color w:val="009ACB"/>
          <w:sz w:val="20"/>
          <w:szCs w:val="20"/>
          <w:lang w:val="en-US"/>
        </w:rPr>
      </w:pPr>
      <w:r w:rsidRPr="00B81843">
        <w:rPr>
          <w:rFonts w:ascii="Arial" w:hAnsi="Arial" w:cs="Arial"/>
          <w:lang w:val="en-US"/>
        </w:rPr>
        <w:t xml:space="preserve">[14] </w:t>
      </w:r>
      <w:r w:rsidRPr="00334039">
        <w:rPr>
          <w:rFonts w:ascii="Arial" w:hAnsi="Arial" w:cs="Arial"/>
          <w:lang w:val="en-US"/>
        </w:rPr>
        <w:t>Zhou Y.</w:t>
      </w:r>
      <w:r>
        <w:rPr>
          <w:rFonts w:ascii="Arial" w:hAnsi="Arial" w:cs="Arial"/>
          <w:lang w:val="en-US"/>
        </w:rPr>
        <w:t>,</w:t>
      </w:r>
      <w:r w:rsidRPr="00334039">
        <w:rPr>
          <w:rFonts w:ascii="Arial" w:hAnsi="Arial" w:cs="Arial"/>
          <w:lang w:val="en-US"/>
        </w:rPr>
        <w:t xml:space="preserve"> Zhao Y.</w:t>
      </w:r>
      <w:r>
        <w:rPr>
          <w:rFonts w:ascii="Arial" w:hAnsi="Arial" w:cs="Arial"/>
          <w:lang w:val="en-US"/>
        </w:rPr>
        <w:t>,</w:t>
      </w:r>
      <w:r w:rsidRPr="00334039">
        <w:rPr>
          <w:rFonts w:ascii="Arial" w:hAnsi="Arial" w:cs="Arial"/>
          <w:lang w:val="en-US"/>
        </w:rPr>
        <w:t xml:space="preserve"> Wang H.</w:t>
      </w:r>
      <w:r>
        <w:rPr>
          <w:rFonts w:ascii="Arial" w:hAnsi="Arial" w:cs="Arial"/>
          <w:lang w:val="en-US"/>
        </w:rPr>
        <w:t>,</w:t>
      </w:r>
      <w:r w:rsidRPr="00334039">
        <w:rPr>
          <w:rFonts w:ascii="Arial" w:hAnsi="Arial" w:cs="Arial"/>
          <w:lang w:val="en-US"/>
        </w:rPr>
        <w:t xml:space="preserve"> Du Q. </w:t>
      </w:r>
      <w:r w:rsidRPr="00334039">
        <w:rPr>
          <w:rFonts w:ascii="Arial" w:hAnsi="Arial" w:cs="Arial"/>
          <w:noProof/>
          <w:lang w:val="en-US"/>
        </w:rPr>
        <w:t>Effect of Initiation Site Location on Morphology of Polymer Microspheres via Pickering Polymerization.</w:t>
      </w:r>
      <w:r w:rsidRPr="00334039">
        <w:rPr>
          <w:rFonts w:ascii="Arial" w:hAnsi="Arial" w:cs="Arial"/>
          <w:lang w:val="en-US"/>
        </w:rPr>
        <w:t xml:space="preserve"> </w:t>
      </w:r>
      <w:r w:rsidRPr="00334039">
        <w:rPr>
          <w:rFonts w:ascii="Arial" w:hAnsi="Arial" w:cs="Arial"/>
          <w:i/>
          <w:iCs/>
          <w:lang w:val="en-US"/>
        </w:rPr>
        <w:t>J. Polym. Sci. Part A: Polym. Chem.</w:t>
      </w:r>
      <w:r w:rsidRPr="00334039">
        <w:rPr>
          <w:rFonts w:ascii="Arial" w:hAnsi="Arial" w:cs="Arial"/>
          <w:lang w:val="en-US"/>
        </w:rPr>
        <w:t xml:space="preserve"> 50, 3537-3545</w:t>
      </w:r>
      <w:r>
        <w:rPr>
          <w:rFonts w:ascii="Arial" w:hAnsi="Arial" w:cs="Arial"/>
          <w:lang w:val="en-US"/>
        </w:rPr>
        <w:t xml:space="preserve"> (</w:t>
      </w:r>
      <w:r w:rsidRPr="00691676">
        <w:rPr>
          <w:rFonts w:ascii="Arial" w:hAnsi="Arial" w:cs="Arial"/>
          <w:lang w:val="en-US"/>
        </w:rPr>
        <w:t>2012)</w:t>
      </w:r>
      <w:r w:rsidRPr="00334039">
        <w:rPr>
          <w:rFonts w:ascii="Arial" w:hAnsi="Arial" w:cs="Arial"/>
          <w:lang w:val="en-US"/>
        </w:rPr>
        <w:t>.</w:t>
      </w:r>
    </w:p>
    <w:p w:rsidR="00FD05B8" w:rsidRPr="00334039" w:rsidRDefault="00FD05B8" w:rsidP="008F2442">
      <w:pPr>
        <w:rPr>
          <w:rFonts w:ascii="Arial" w:eastAsia="Calibri" w:hAnsi="Arial" w:cs="Arial"/>
          <w:lang w:val="en-US"/>
        </w:rPr>
      </w:pPr>
      <w:r w:rsidRPr="00B81843">
        <w:rPr>
          <w:rFonts w:ascii="Arial" w:hAnsi="Arial" w:cs="Arial"/>
          <w:lang w:val="en-US"/>
        </w:rPr>
        <w:t xml:space="preserve">[15] </w:t>
      </w:r>
      <w:r w:rsidRPr="00334039">
        <w:rPr>
          <w:rFonts w:ascii="Arial" w:hAnsi="Arial" w:cs="Arial"/>
          <w:lang w:val="en-US"/>
        </w:rPr>
        <w:t>Fouconnier B.</w:t>
      </w:r>
      <w:r>
        <w:rPr>
          <w:rFonts w:ascii="Arial" w:hAnsi="Arial" w:cs="Arial"/>
          <w:lang w:val="en-US"/>
        </w:rPr>
        <w:t>,</w:t>
      </w:r>
      <w:r w:rsidRPr="00334039">
        <w:rPr>
          <w:rFonts w:ascii="Arial" w:hAnsi="Arial" w:cs="Arial"/>
          <w:lang w:val="en-US"/>
        </w:rPr>
        <w:t xml:space="preserve"> Román-Guerrero A.</w:t>
      </w:r>
      <w:r>
        <w:rPr>
          <w:rFonts w:ascii="Arial" w:hAnsi="Arial" w:cs="Arial"/>
          <w:lang w:val="en-US"/>
        </w:rPr>
        <w:t>,</w:t>
      </w:r>
      <w:r w:rsidRPr="00334039">
        <w:rPr>
          <w:rFonts w:ascii="Arial" w:hAnsi="Arial" w:cs="Arial"/>
          <w:lang w:val="en-US"/>
        </w:rPr>
        <w:t xml:space="preserve"> López-Serrano F. </w:t>
      </w:r>
      <w:r w:rsidRPr="00334039">
        <w:rPr>
          <w:rFonts w:ascii="Arial" w:hAnsi="Arial" w:cs="Arial"/>
          <w:color w:val="000000"/>
          <w:shd w:val="clear" w:color="auto" w:fill="FFFFFF"/>
          <w:lang w:val="en-US"/>
        </w:rPr>
        <w:t>Pickering emulsion polymerization kinetics of styrene: Comparison of bare and surface modified SiO2 nanoparticles.</w:t>
      </w:r>
      <w:r w:rsidRPr="00334039">
        <w:rPr>
          <w:rFonts w:ascii="Arial" w:hAnsi="Arial" w:cs="Arial"/>
          <w:lang w:val="en-US"/>
        </w:rPr>
        <w:t xml:space="preserve"> </w:t>
      </w:r>
      <w:r w:rsidRPr="00334039">
        <w:rPr>
          <w:rFonts w:ascii="Arial" w:hAnsi="Arial" w:cs="Arial"/>
          <w:i/>
          <w:iCs/>
          <w:lang w:val="en-US"/>
        </w:rPr>
        <w:t>J. Macromol. Sci, Part A: Pure Appl. Chem.</w:t>
      </w:r>
      <w:r w:rsidRPr="00334039">
        <w:rPr>
          <w:rFonts w:ascii="Arial" w:hAnsi="Arial" w:cs="Arial"/>
          <w:lang w:val="en-US"/>
        </w:rPr>
        <w:t xml:space="preserve"> 53, 403-412</w:t>
      </w:r>
      <w:r>
        <w:rPr>
          <w:rFonts w:ascii="Arial" w:hAnsi="Arial" w:cs="Arial"/>
          <w:lang w:val="en-US"/>
        </w:rPr>
        <w:t xml:space="preserve"> (</w:t>
      </w:r>
      <w:r w:rsidRPr="00691676">
        <w:rPr>
          <w:rFonts w:ascii="Arial" w:hAnsi="Arial" w:cs="Arial"/>
          <w:lang w:val="en-US"/>
        </w:rPr>
        <w:t>2016)</w:t>
      </w:r>
      <w:r w:rsidRPr="00334039">
        <w:rPr>
          <w:rFonts w:ascii="Arial" w:hAnsi="Arial" w:cs="Arial"/>
          <w:lang w:val="en-US"/>
        </w:rPr>
        <w:t xml:space="preserve">. </w:t>
      </w:r>
    </w:p>
    <w:p w:rsidR="00FD05B8" w:rsidRPr="00334039" w:rsidRDefault="00FD05B8" w:rsidP="008F2442">
      <w:pPr>
        <w:rPr>
          <w:rFonts w:ascii="Arial" w:hAnsi="Arial" w:cs="Arial"/>
          <w:color w:val="000000"/>
          <w:shd w:val="clear" w:color="auto" w:fill="FFFFFF"/>
          <w:lang w:val="en-US"/>
        </w:rPr>
      </w:pPr>
      <w:r w:rsidRPr="00B81843">
        <w:rPr>
          <w:rFonts w:ascii="Arial" w:hAnsi="Arial" w:cs="Arial"/>
          <w:lang w:val="en-US"/>
        </w:rPr>
        <w:t xml:space="preserve">[16] </w:t>
      </w:r>
      <w:r w:rsidRPr="00B81843">
        <w:rPr>
          <w:rFonts w:ascii="Arial" w:hAnsi="Arial" w:cs="Arial"/>
          <w:color w:val="000000"/>
          <w:shd w:val="clear" w:color="auto" w:fill="FFFFFF"/>
          <w:lang w:val="en-US"/>
        </w:rPr>
        <w:t xml:space="preserve">Binks B. P., Rodrigues, J. A. </w:t>
      </w:r>
      <w:r w:rsidRPr="00334039">
        <w:rPr>
          <w:rFonts w:ascii="Arial" w:hAnsi="Arial" w:cs="Arial"/>
          <w:color w:val="000000"/>
          <w:shd w:val="clear" w:color="auto" w:fill="FFFFFF"/>
          <w:lang w:val="en-US"/>
        </w:rPr>
        <w:t>Synergistic Interaction in Emulsions Stabilized by a Mixture of Silica Nanoparticles and Cationic Surfactant.</w:t>
      </w:r>
      <w:r w:rsidRPr="00B81843">
        <w:rPr>
          <w:rFonts w:ascii="Arial" w:hAnsi="Arial" w:cs="Arial"/>
          <w:color w:val="000000"/>
          <w:shd w:val="clear" w:color="auto" w:fill="FFFFFF"/>
          <w:lang w:val="en-US"/>
        </w:rPr>
        <w:t xml:space="preserve"> </w:t>
      </w:r>
      <w:r w:rsidRPr="00334039">
        <w:rPr>
          <w:rFonts w:ascii="Arial" w:hAnsi="Arial" w:cs="Arial"/>
          <w:i/>
          <w:iCs/>
          <w:color w:val="000000"/>
          <w:shd w:val="clear" w:color="auto" w:fill="FFFFFF"/>
          <w:lang w:val="en-US"/>
        </w:rPr>
        <w:t>Langmuir</w:t>
      </w:r>
      <w:r w:rsidRPr="00334039">
        <w:rPr>
          <w:rFonts w:ascii="Arial" w:hAnsi="Arial" w:cs="Arial"/>
          <w:color w:val="000000"/>
          <w:shd w:val="clear" w:color="auto" w:fill="FFFFFF"/>
          <w:lang w:val="en-US"/>
        </w:rPr>
        <w:t> </w:t>
      </w:r>
      <w:r w:rsidRPr="00334039">
        <w:rPr>
          <w:rStyle w:val="m-6375670450715188288citationvolume"/>
          <w:rFonts w:ascii="Arial" w:hAnsi="Arial" w:cs="Arial"/>
          <w:i/>
          <w:iCs/>
          <w:color w:val="000000"/>
          <w:sz w:val="20"/>
          <w:szCs w:val="20"/>
          <w:shd w:val="clear" w:color="auto" w:fill="FFFFFF"/>
          <w:lang w:val="en-US"/>
        </w:rPr>
        <w:t>23</w:t>
      </w:r>
      <w:r w:rsidRPr="00334039">
        <w:rPr>
          <w:rFonts w:ascii="Arial" w:hAnsi="Arial" w:cs="Arial"/>
          <w:color w:val="000000"/>
          <w:shd w:val="clear" w:color="auto" w:fill="FFFFFF"/>
          <w:lang w:val="en-US"/>
        </w:rPr>
        <w:t>, 3626-3636</w:t>
      </w:r>
      <w:r>
        <w:rPr>
          <w:rFonts w:ascii="Arial" w:hAnsi="Arial" w:cs="Arial"/>
          <w:color w:val="000000"/>
          <w:shd w:val="clear" w:color="auto" w:fill="FFFFFF"/>
          <w:lang w:val="en-US"/>
        </w:rPr>
        <w:t xml:space="preserve"> (</w:t>
      </w:r>
      <w:r w:rsidRPr="00B81843">
        <w:rPr>
          <w:rFonts w:ascii="Arial" w:hAnsi="Arial" w:cs="Arial"/>
          <w:color w:val="000000"/>
          <w:shd w:val="clear" w:color="auto" w:fill="FFFFFF"/>
          <w:lang w:val="en-US"/>
        </w:rPr>
        <w:t>2007)</w:t>
      </w:r>
      <w:r w:rsidRPr="00334039">
        <w:rPr>
          <w:rFonts w:ascii="Arial" w:hAnsi="Arial" w:cs="Arial"/>
          <w:color w:val="000000"/>
          <w:shd w:val="clear" w:color="auto" w:fill="FFFFFF"/>
          <w:lang w:val="en-US"/>
        </w:rPr>
        <w:t xml:space="preserve">. </w:t>
      </w:r>
    </w:p>
    <w:p w:rsidR="00FD05B8" w:rsidRPr="00A208FA" w:rsidRDefault="00FD05B8" w:rsidP="008F2442">
      <w:pPr>
        <w:rPr>
          <w:rStyle w:val="Hipervnculo"/>
          <w:rFonts w:ascii="Arial" w:hAnsi="Arial" w:cs="Arial"/>
          <w:color w:val="009ACB"/>
          <w:sz w:val="20"/>
          <w:lang w:val="en-US"/>
        </w:rPr>
      </w:pPr>
      <w:r w:rsidRPr="00A208FA">
        <w:rPr>
          <w:rFonts w:ascii="Arial" w:hAnsi="Arial" w:cs="Arial"/>
          <w:lang w:val="en-US"/>
        </w:rPr>
        <w:t xml:space="preserve">[17] </w:t>
      </w:r>
      <w:r w:rsidRPr="00A208FA">
        <w:rPr>
          <w:rFonts w:ascii="Arial" w:hAnsi="Arial" w:cs="Arial"/>
          <w:noProof/>
          <w:lang w:val="en-US"/>
        </w:rPr>
        <w:t>Lan Q.; Yang F., Zhang S., Liu S.; Xu J., Sun J., D. Synergistic effect of silica nanoparticle and cetyltrimethyl ammonium bromide on the stabilization of O/W emulsions</w:t>
      </w:r>
      <w:r w:rsidRPr="00A208FA">
        <w:rPr>
          <w:rFonts w:ascii="Arial" w:hAnsi="Arial" w:cs="Arial"/>
          <w:lang w:val="en-US"/>
        </w:rPr>
        <w:t xml:space="preserve"> </w:t>
      </w:r>
      <w:r w:rsidRPr="00A208FA">
        <w:rPr>
          <w:rFonts w:ascii="Arial" w:hAnsi="Arial" w:cs="Arial"/>
          <w:i/>
          <w:iCs/>
          <w:lang w:val="en-US"/>
        </w:rPr>
        <w:t>Colloids Surf. A: Physicochem. Eng. Aspects</w:t>
      </w:r>
      <w:r w:rsidRPr="00A208FA">
        <w:rPr>
          <w:rFonts w:ascii="Arial" w:hAnsi="Arial" w:cs="Arial"/>
          <w:lang w:val="en-US"/>
        </w:rPr>
        <w:t xml:space="preserve"> 302, 126-135 (2007). </w:t>
      </w:r>
    </w:p>
    <w:p w:rsidR="00FD05B8" w:rsidRPr="00A208FA" w:rsidRDefault="00FD05B8" w:rsidP="008F2442">
      <w:pPr>
        <w:rPr>
          <w:rFonts w:ascii="Arial" w:hAnsi="Arial" w:cs="Arial"/>
          <w:color w:val="009ACB"/>
          <w:u w:val="single"/>
          <w:lang w:val="en-US"/>
        </w:rPr>
      </w:pPr>
      <w:r w:rsidRPr="00A208FA">
        <w:rPr>
          <w:rFonts w:ascii="Arial" w:hAnsi="Arial" w:cs="Arial"/>
          <w:lang w:val="en-US"/>
        </w:rPr>
        <w:t xml:space="preserve">[18] Kammona O., Kotti K., Kiparissides C., Celis J. P., Fransaer J. </w:t>
      </w:r>
      <w:r w:rsidRPr="00A208FA">
        <w:rPr>
          <w:rFonts w:ascii="Arial" w:hAnsi="Arial" w:cs="Arial"/>
          <w:iCs/>
          <w:lang w:val="en-US"/>
        </w:rPr>
        <w:t>Synthesis of polymeric and hybrid nanoparticles for electroplating applications.</w:t>
      </w:r>
      <w:r w:rsidRPr="00A208FA">
        <w:rPr>
          <w:rFonts w:ascii="Arial" w:hAnsi="Arial" w:cs="Arial"/>
          <w:lang w:val="en-US"/>
        </w:rPr>
        <w:t xml:space="preserve"> </w:t>
      </w:r>
      <w:r w:rsidRPr="00A208FA">
        <w:rPr>
          <w:rFonts w:ascii="Arial" w:hAnsi="Arial" w:cs="Arial"/>
          <w:i/>
          <w:iCs/>
          <w:lang w:val="en-US"/>
        </w:rPr>
        <w:t>J.</w:t>
      </w:r>
      <w:r w:rsidRPr="00A208FA">
        <w:rPr>
          <w:rFonts w:ascii="Arial" w:hAnsi="Arial" w:cs="Arial"/>
          <w:lang w:val="en-US"/>
        </w:rPr>
        <w:t xml:space="preserve"> </w:t>
      </w:r>
      <w:r w:rsidRPr="00A208FA">
        <w:rPr>
          <w:rFonts w:ascii="Arial" w:hAnsi="Arial" w:cs="Arial"/>
          <w:i/>
          <w:iCs/>
          <w:lang w:val="en-US"/>
        </w:rPr>
        <w:t>Electrochimica Acta</w:t>
      </w:r>
      <w:r w:rsidRPr="00A208FA">
        <w:rPr>
          <w:rFonts w:ascii="Arial" w:hAnsi="Arial" w:cs="Arial"/>
          <w:b/>
          <w:bCs/>
          <w:lang w:val="en-US"/>
        </w:rPr>
        <w:t>,</w:t>
      </w:r>
      <w:r w:rsidRPr="00A208FA">
        <w:rPr>
          <w:rFonts w:ascii="Arial" w:hAnsi="Arial" w:cs="Arial"/>
          <w:lang w:val="en-US"/>
        </w:rPr>
        <w:t xml:space="preserve"> 54, 2450-2457 (2009). </w:t>
      </w:r>
    </w:p>
    <w:p w:rsidR="00FD05B8" w:rsidRPr="00B81843" w:rsidRDefault="00FD05B8" w:rsidP="008F2442">
      <w:pPr>
        <w:rPr>
          <w:rStyle w:val="Hipervnculo"/>
          <w:rFonts w:ascii="Arial" w:hAnsi="Arial" w:cs="Arial"/>
          <w:color w:val="009ACB"/>
          <w:sz w:val="20"/>
          <w:szCs w:val="20"/>
          <w:lang w:val="en-US"/>
        </w:rPr>
      </w:pPr>
      <w:r w:rsidRPr="00B81843">
        <w:rPr>
          <w:rFonts w:ascii="Arial" w:hAnsi="Arial" w:cs="Arial"/>
          <w:lang w:val="en-US"/>
        </w:rPr>
        <w:t xml:space="preserve">[19] </w:t>
      </w:r>
      <w:r w:rsidRPr="00334039">
        <w:rPr>
          <w:rFonts w:ascii="Arial" w:hAnsi="Arial" w:cs="Arial"/>
          <w:lang w:val="en-US"/>
        </w:rPr>
        <w:t>Boussu K.</w:t>
      </w:r>
      <w:r>
        <w:rPr>
          <w:rFonts w:ascii="Arial" w:hAnsi="Arial" w:cs="Arial"/>
          <w:lang w:val="en-US"/>
        </w:rPr>
        <w:t>,</w:t>
      </w:r>
      <w:r w:rsidRPr="00334039">
        <w:rPr>
          <w:rFonts w:ascii="Arial" w:hAnsi="Arial" w:cs="Arial"/>
          <w:lang w:val="en-US"/>
        </w:rPr>
        <w:t xml:space="preserve"> Belpaire A.</w:t>
      </w:r>
      <w:r>
        <w:rPr>
          <w:rFonts w:ascii="Arial" w:hAnsi="Arial" w:cs="Arial"/>
          <w:lang w:val="en-US"/>
        </w:rPr>
        <w:t>,</w:t>
      </w:r>
      <w:r w:rsidRPr="00334039">
        <w:rPr>
          <w:rFonts w:ascii="Arial" w:hAnsi="Arial" w:cs="Arial"/>
          <w:lang w:val="en-US"/>
        </w:rPr>
        <w:t xml:space="preserve"> Volodin A.</w:t>
      </w:r>
      <w:r>
        <w:rPr>
          <w:rFonts w:ascii="Arial" w:hAnsi="Arial" w:cs="Arial"/>
          <w:lang w:val="en-US"/>
        </w:rPr>
        <w:t>,</w:t>
      </w:r>
      <w:r w:rsidRPr="00334039">
        <w:rPr>
          <w:rFonts w:ascii="Arial" w:hAnsi="Arial" w:cs="Arial"/>
          <w:lang w:val="en-US"/>
        </w:rPr>
        <w:t xml:space="preserve"> Van Haesendonck C</w:t>
      </w:r>
      <w:r>
        <w:rPr>
          <w:rFonts w:ascii="Arial" w:hAnsi="Arial" w:cs="Arial"/>
          <w:lang w:val="en-US"/>
        </w:rPr>
        <w:t>.,</w:t>
      </w:r>
      <w:r w:rsidRPr="00334039">
        <w:rPr>
          <w:rFonts w:ascii="Arial" w:hAnsi="Arial" w:cs="Arial"/>
          <w:lang w:val="en-US"/>
        </w:rPr>
        <w:t xml:space="preserve"> Van der Meeren P.</w:t>
      </w:r>
      <w:r>
        <w:rPr>
          <w:rFonts w:ascii="Arial" w:hAnsi="Arial" w:cs="Arial"/>
          <w:lang w:val="en-US"/>
        </w:rPr>
        <w:t>,</w:t>
      </w:r>
      <w:r w:rsidRPr="00334039">
        <w:rPr>
          <w:rFonts w:ascii="Arial" w:hAnsi="Arial" w:cs="Arial"/>
          <w:lang w:val="en-US"/>
        </w:rPr>
        <w:t xml:space="preserve"> Vandecasteele C.</w:t>
      </w:r>
      <w:r>
        <w:rPr>
          <w:rFonts w:ascii="Arial" w:hAnsi="Arial" w:cs="Arial"/>
          <w:lang w:val="en-US"/>
        </w:rPr>
        <w:t>,</w:t>
      </w:r>
      <w:r w:rsidRPr="00334039">
        <w:rPr>
          <w:rFonts w:ascii="Arial" w:hAnsi="Arial" w:cs="Arial"/>
          <w:lang w:val="en-US"/>
        </w:rPr>
        <w:t xml:space="preserve"> Van der Bruggen B. </w:t>
      </w:r>
      <w:r w:rsidRPr="00334039">
        <w:rPr>
          <w:rFonts w:ascii="Arial" w:hAnsi="Arial" w:cs="Arial"/>
          <w:noProof/>
          <w:lang w:val="en-US"/>
        </w:rPr>
        <w:t>Influence of membrane and colloid characteristics on fouling of nanofiltration membranes.</w:t>
      </w:r>
      <w:r w:rsidRPr="00334039">
        <w:rPr>
          <w:rFonts w:ascii="Arial" w:hAnsi="Arial" w:cs="Arial"/>
          <w:lang w:val="en-US"/>
        </w:rPr>
        <w:t xml:space="preserve"> </w:t>
      </w:r>
      <w:r w:rsidRPr="00334039">
        <w:rPr>
          <w:rFonts w:ascii="Arial" w:hAnsi="Arial" w:cs="Arial"/>
          <w:i/>
          <w:iCs/>
          <w:lang w:val="fr-FR"/>
        </w:rPr>
        <w:t>J. Membrane Sci.</w:t>
      </w:r>
      <w:r w:rsidRPr="00334039">
        <w:rPr>
          <w:rFonts w:ascii="Arial" w:hAnsi="Arial" w:cs="Arial"/>
          <w:lang w:val="fr-FR"/>
        </w:rPr>
        <w:t xml:space="preserve"> 289, 220-230</w:t>
      </w:r>
      <w:r>
        <w:rPr>
          <w:rFonts w:ascii="Arial" w:hAnsi="Arial" w:cs="Arial"/>
          <w:lang w:val="fr-FR"/>
        </w:rPr>
        <w:t xml:space="preserve"> (</w:t>
      </w:r>
      <w:r w:rsidRPr="00D40A41">
        <w:rPr>
          <w:rFonts w:ascii="Arial" w:hAnsi="Arial" w:cs="Arial"/>
          <w:lang w:val="fr-FR"/>
        </w:rPr>
        <w:t>2007)</w:t>
      </w:r>
      <w:r w:rsidRPr="00334039">
        <w:rPr>
          <w:rFonts w:ascii="Arial" w:hAnsi="Arial" w:cs="Arial"/>
          <w:lang w:val="fr-FR"/>
        </w:rPr>
        <w:t xml:space="preserve">. </w:t>
      </w:r>
    </w:p>
    <w:p w:rsidR="00FD05B8" w:rsidRPr="00B81843" w:rsidRDefault="00FD05B8" w:rsidP="008F2442">
      <w:pPr>
        <w:rPr>
          <w:rStyle w:val="Hipervnculo"/>
          <w:rFonts w:ascii="Arial" w:hAnsi="Arial" w:cs="Arial"/>
          <w:color w:val="009ACB"/>
          <w:sz w:val="20"/>
          <w:szCs w:val="20"/>
          <w:lang w:val="en-US"/>
        </w:rPr>
      </w:pPr>
      <w:r w:rsidRPr="00B81843">
        <w:rPr>
          <w:rFonts w:ascii="Arial" w:hAnsi="Arial" w:cs="Arial"/>
          <w:lang w:val="en-US"/>
        </w:rPr>
        <w:t xml:space="preserve">[20] </w:t>
      </w:r>
      <w:r w:rsidRPr="00334039">
        <w:rPr>
          <w:rFonts w:ascii="Arial" w:hAnsi="Arial" w:cs="Arial"/>
          <w:color w:val="000000"/>
          <w:shd w:val="clear" w:color="auto" w:fill="FFFFFF"/>
          <w:lang w:val="fr-FR"/>
        </w:rPr>
        <w:t>Monégier du Sorbier Q.</w:t>
      </w:r>
      <w:r>
        <w:rPr>
          <w:rFonts w:ascii="Arial" w:hAnsi="Arial" w:cs="Arial"/>
          <w:color w:val="000000"/>
          <w:shd w:val="clear" w:color="auto" w:fill="FFFFFF"/>
          <w:lang w:val="fr-FR"/>
        </w:rPr>
        <w:t>,</w:t>
      </w:r>
      <w:r w:rsidRPr="00334039">
        <w:rPr>
          <w:rFonts w:ascii="Arial" w:hAnsi="Arial" w:cs="Arial"/>
          <w:color w:val="000000"/>
          <w:shd w:val="clear" w:color="auto" w:fill="FFFFFF"/>
          <w:lang w:val="fr-FR"/>
        </w:rPr>
        <w:t xml:space="preserve"> Aimable A.</w:t>
      </w:r>
      <w:r>
        <w:rPr>
          <w:rFonts w:ascii="Arial" w:hAnsi="Arial" w:cs="Arial"/>
          <w:color w:val="000000"/>
          <w:shd w:val="clear" w:color="auto" w:fill="FFFFFF"/>
          <w:lang w:val="fr-FR"/>
        </w:rPr>
        <w:t>,</w:t>
      </w:r>
      <w:r w:rsidRPr="00334039">
        <w:rPr>
          <w:rFonts w:ascii="Arial" w:hAnsi="Arial" w:cs="Arial"/>
          <w:color w:val="000000"/>
          <w:shd w:val="clear" w:color="auto" w:fill="FFFFFF"/>
          <w:lang w:val="fr-FR"/>
        </w:rPr>
        <w:t xml:space="preserve"> Pagnoux C. </w:t>
      </w:r>
      <w:r w:rsidRPr="00334039">
        <w:rPr>
          <w:rFonts w:ascii="Arial" w:hAnsi="Arial" w:cs="Arial"/>
          <w:color w:val="000000"/>
          <w:shd w:val="clear" w:color="auto" w:fill="FFFFFF"/>
          <w:lang w:val="en-US"/>
        </w:rPr>
        <w:t>Influence of the electrostatic interactions in a Pickering emulsion polymerization for the synthesis of silica-polystyrene hybrid.</w:t>
      </w:r>
      <w:r w:rsidRPr="00334039">
        <w:rPr>
          <w:rFonts w:ascii="Arial" w:hAnsi="Arial" w:cs="Arial"/>
          <w:lang w:val="fr-FR"/>
        </w:rPr>
        <w:t xml:space="preserve"> </w:t>
      </w:r>
      <w:r w:rsidRPr="00334039">
        <w:rPr>
          <w:rFonts w:ascii="Arial" w:hAnsi="Arial" w:cs="Arial"/>
          <w:i/>
          <w:iCs/>
          <w:lang w:val="fr-FR"/>
        </w:rPr>
        <w:t>J. Colloid Interface Sci</w:t>
      </w:r>
      <w:r w:rsidRPr="00334039">
        <w:rPr>
          <w:rFonts w:ascii="Arial" w:hAnsi="Arial" w:cs="Arial"/>
          <w:lang w:val="fr-FR"/>
        </w:rPr>
        <w:t>. 448, 306-314</w:t>
      </w:r>
      <w:r>
        <w:rPr>
          <w:rFonts w:ascii="Arial" w:hAnsi="Arial" w:cs="Arial"/>
          <w:lang w:val="fr-FR"/>
        </w:rPr>
        <w:t xml:space="preserve"> (</w:t>
      </w:r>
      <w:r w:rsidRPr="00D40A41">
        <w:rPr>
          <w:rFonts w:ascii="Arial" w:hAnsi="Arial" w:cs="Arial"/>
          <w:lang w:val="fr-FR"/>
        </w:rPr>
        <w:t>2015)</w:t>
      </w:r>
      <w:r w:rsidRPr="00334039">
        <w:rPr>
          <w:rFonts w:ascii="Arial" w:hAnsi="Arial" w:cs="Arial"/>
          <w:color w:val="000000"/>
          <w:shd w:val="clear" w:color="auto" w:fill="FFFFFF"/>
          <w:lang w:val="en-US"/>
        </w:rPr>
        <w:t xml:space="preserve">. </w:t>
      </w:r>
    </w:p>
    <w:p w:rsidR="00FD05B8" w:rsidRPr="00B81843" w:rsidRDefault="00FD05B8" w:rsidP="008F2442">
      <w:pPr>
        <w:rPr>
          <w:rStyle w:val="Hipervnculo"/>
          <w:rFonts w:ascii="Arial" w:hAnsi="Arial" w:cs="Arial"/>
          <w:color w:val="009ACB"/>
          <w:sz w:val="20"/>
          <w:szCs w:val="20"/>
          <w:lang w:val="en-US"/>
        </w:rPr>
      </w:pPr>
      <w:r w:rsidRPr="00B81843">
        <w:rPr>
          <w:rFonts w:ascii="Arial" w:hAnsi="Arial" w:cs="Arial"/>
          <w:lang w:val="en-US"/>
        </w:rPr>
        <w:t xml:space="preserve">[21] </w:t>
      </w:r>
      <w:r w:rsidRPr="00334039">
        <w:rPr>
          <w:rFonts w:ascii="Arial" w:hAnsi="Arial" w:cs="Arial"/>
          <w:color w:val="000000"/>
          <w:shd w:val="clear" w:color="auto" w:fill="FFFFFF"/>
          <w:lang w:val="en-US"/>
        </w:rPr>
        <w:t>Percy M.</w:t>
      </w:r>
      <w:r>
        <w:rPr>
          <w:rFonts w:ascii="Arial" w:hAnsi="Arial" w:cs="Arial"/>
          <w:color w:val="000000"/>
          <w:shd w:val="clear" w:color="auto" w:fill="FFFFFF"/>
          <w:lang w:val="en-US"/>
        </w:rPr>
        <w:t>,</w:t>
      </w:r>
      <w:r w:rsidRPr="00334039">
        <w:rPr>
          <w:rFonts w:ascii="Arial" w:hAnsi="Arial" w:cs="Arial"/>
          <w:color w:val="000000"/>
          <w:shd w:val="clear" w:color="auto" w:fill="FFFFFF"/>
          <w:lang w:val="en-US"/>
        </w:rPr>
        <w:t xml:space="preserve"> Barthet C.</w:t>
      </w:r>
      <w:r>
        <w:rPr>
          <w:rFonts w:ascii="Arial" w:hAnsi="Arial" w:cs="Arial"/>
          <w:color w:val="000000"/>
          <w:shd w:val="clear" w:color="auto" w:fill="FFFFFF"/>
          <w:lang w:val="en-US"/>
        </w:rPr>
        <w:t>,</w:t>
      </w:r>
      <w:r w:rsidRPr="00334039">
        <w:rPr>
          <w:rFonts w:ascii="Arial" w:hAnsi="Arial" w:cs="Arial"/>
          <w:color w:val="000000"/>
          <w:shd w:val="clear" w:color="auto" w:fill="FFFFFF"/>
          <w:lang w:val="en-US"/>
        </w:rPr>
        <w:t xml:space="preserve"> Lobb J.</w:t>
      </w:r>
      <w:r>
        <w:rPr>
          <w:rFonts w:ascii="Arial" w:hAnsi="Arial" w:cs="Arial"/>
          <w:color w:val="000000"/>
          <w:shd w:val="clear" w:color="auto" w:fill="FFFFFF"/>
          <w:lang w:val="en-US"/>
        </w:rPr>
        <w:t>,</w:t>
      </w:r>
      <w:r w:rsidRPr="00334039">
        <w:rPr>
          <w:rFonts w:ascii="Arial" w:hAnsi="Arial" w:cs="Arial"/>
          <w:color w:val="000000"/>
          <w:shd w:val="clear" w:color="auto" w:fill="FFFFFF"/>
          <w:lang w:val="en-US"/>
        </w:rPr>
        <w:t xml:space="preserve"> Khan M.</w:t>
      </w:r>
      <w:r>
        <w:rPr>
          <w:rFonts w:ascii="Arial" w:hAnsi="Arial" w:cs="Arial"/>
          <w:color w:val="000000"/>
          <w:shd w:val="clear" w:color="auto" w:fill="FFFFFF"/>
          <w:lang w:val="en-US"/>
        </w:rPr>
        <w:t>,</w:t>
      </w:r>
      <w:r w:rsidRPr="00334039">
        <w:rPr>
          <w:rFonts w:ascii="Arial" w:hAnsi="Arial" w:cs="Arial"/>
          <w:color w:val="000000"/>
          <w:shd w:val="clear" w:color="auto" w:fill="FFFFFF"/>
          <w:lang w:val="en-US"/>
        </w:rPr>
        <w:t xml:space="preserve"> Lascelles S.</w:t>
      </w:r>
      <w:r>
        <w:rPr>
          <w:rFonts w:ascii="Arial" w:hAnsi="Arial" w:cs="Arial"/>
          <w:color w:val="000000"/>
          <w:shd w:val="clear" w:color="auto" w:fill="FFFFFF"/>
          <w:lang w:val="en-US"/>
        </w:rPr>
        <w:t>,</w:t>
      </w:r>
      <w:r w:rsidRPr="00334039">
        <w:rPr>
          <w:rFonts w:ascii="Arial" w:hAnsi="Arial" w:cs="Arial"/>
          <w:color w:val="000000"/>
          <w:shd w:val="clear" w:color="auto" w:fill="FFFFFF"/>
          <w:lang w:val="en-US"/>
        </w:rPr>
        <w:t xml:space="preserve"> Vamvakaki M.</w:t>
      </w:r>
      <w:r>
        <w:rPr>
          <w:rFonts w:ascii="Arial" w:hAnsi="Arial" w:cs="Arial"/>
          <w:color w:val="000000"/>
          <w:shd w:val="clear" w:color="auto" w:fill="FFFFFF"/>
          <w:lang w:val="en-US"/>
        </w:rPr>
        <w:t>,</w:t>
      </w:r>
      <w:r w:rsidRPr="00334039">
        <w:rPr>
          <w:rFonts w:ascii="Arial" w:hAnsi="Arial" w:cs="Arial"/>
          <w:color w:val="000000"/>
          <w:shd w:val="clear" w:color="auto" w:fill="FFFFFF"/>
          <w:lang w:val="en-US"/>
        </w:rPr>
        <w:t xml:space="preserve"> Armes S.</w:t>
      </w:r>
      <w:r w:rsidRPr="00334039">
        <w:rPr>
          <w:rFonts w:ascii="Arial" w:hAnsi="Arial" w:cs="Arial"/>
          <w:i/>
          <w:iCs/>
          <w:color w:val="000000"/>
          <w:shd w:val="clear" w:color="auto" w:fill="FFFFFF"/>
          <w:lang w:val="en-US"/>
        </w:rPr>
        <w:t xml:space="preserve"> </w:t>
      </w:r>
      <w:r w:rsidRPr="00334039">
        <w:rPr>
          <w:rFonts w:ascii="Arial" w:hAnsi="Arial" w:cs="Arial"/>
          <w:color w:val="000000"/>
          <w:shd w:val="clear" w:color="auto" w:fill="FFFFFF"/>
          <w:lang w:val="en-US"/>
        </w:rPr>
        <w:t>Synthesis and Characterization of Vinyl Polymer-Silica Colloidal Nanocomposites.</w:t>
      </w:r>
      <w:r w:rsidRPr="00334039">
        <w:rPr>
          <w:rFonts w:ascii="Arial" w:hAnsi="Arial" w:cs="Arial"/>
          <w:i/>
          <w:iCs/>
          <w:color w:val="000000"/>
          <w:shd w:val="clear" w:color="auto" w:fill="FFFFFF"/>
          <w:lang w:val="en-US"/>
        </w:rPr>
        <w:t xml:space="preserve"> Langmuir</w:t>
      </w:r>
      <w:r w:rsidRPr="00334039">
        <w:rPr>
          <w:rFonts w:ascii="Arial" w:hAnsi="Arial" w:cs="Arial"/>
          <w:color w:val="000000"/>
          <w:shd w:val="clear" w:color="auto" w:fill="FFFFFF"/>
          <w:lang w:val="en-US"/>
        </w:rPr>
        <w:t>16, 6913-</w:t>
      </w:r>
      <w:r w:rsidRPr="00334039">
        <w:rPr>
          <w:rFonts w:ascii="Arial" w:hAnsi="Arial" w:cs="Arial"/>
          <w:lang w:val="fr-FR"/>
        </w:rPr>
        <w:t>6920</w:t>
      </w:r>
      <w:r w:rsidRPr="00334039">
        <w:rPr>
          <w:rFonts w:ascii="Arial" w:hAnsi="Arial" w:cs="Arial"/>
          <w:color w:val="000000"/>
          <w:shd w:val="clear" w:color="auto" w:fill="FFFFFF"/>
          <w:lang w:val="en-US"/>
        </w:rPr>
        <w:t xml:space="preserve"> </w:t>
      </w:r>
      <w:r>
        <w:rPr>
          <w:rFonts w:ascii="Arial" w:hAnsi="Arial" w:cs="Arial"/>
          <w:color w:val="000000"/>
          <w:shd w:val="clear" w:color="auto" w:fill="FFFFFF"/>
          <w:lang w:val="en-US"/>
        </w:rPr>
        <w:t>(</w:t>
      </w:r>
      <w:r w:rsidRPr="00D40A41">
        <w:rPr>
          <w:rFonts w:ascii="Arial" w:hAnsi="Arial" w:cs="Arial"/>
          <w:color w:val="000000"/>
          <w:shd w:val="clear" w:color="auto" w:fill="FFFFFF"/>
          <w:lang w:val="en-US"/>
        </w:rPr>
        <w:t>2000)</w:t>
      </w:r>
      <w:r w:rsidRPr="00334039">
        <w:rPr>
          <w:rFonts w:ascii="Arial" w:hAnsi="Arial" w:cs="Arial"/>
          <w:color w:val="000000"/>
          <w:shd w:val="clear" w:color="auto" w:fill="FFFFFF"/>
          <w:lang w:val="en-US"/>
        </w:rPr>
        <w:t>.</w:t>
      </w:r>
      <w:r w:rsidRPr="00334039">
        <w:rPr>
          <w:rFonts w:ascii="Arial" w:hAnsi="Arial" w:cs="Arial"/>
          <w:lang w:val="en-US"/>
        </w:rPr>
        <w:t xml:space="preserve"> </w:t>
      </w:r>
    </w:p>
    <w:p w:rsidR="00FD05B8" w:rsidRPr="00B81843" w:rsidRDefault="00FD05B8" w:rsidP="008F2442">
      <w:pPr>
        <w:rPr>
          <w:rStyle w:val="Hipervnculo"/>
          <w:rFonts w:ascii="Arial" w:hAnsi="Arial" w:cs="Arial"/>
          <w:color w:val="009ACB"/>
          <w:sz w:val="20"/>
          <w:szCs w:val="20"/>
          <w:lang w:val="en-US"/>
        </w:rPr>
      </w:pPr>
      <w:r w:rsidRPr="00B81843">
        <w:rPr>
          <w:rFonts w:ascii="Arial" w:hAnsi="Arial" w:cs="Arial"/>
          <w:lang w:val="en-US"/>
        </w:rPr>
        <w:t xml:space="preserve">[22] Barthet C., Hickey A. J., Cairns D. B., Armes S. P. Synthesis of Novel Polymer-Silica Colloidal Nanocomposites via Free-Radical Polymerization of Vinyl Monomers </w:t>
      </w:r>
      <w:r w:rsidRPr="00B81843">
        <w:rPr>
          <w:rFonts w:ascii="Arial" w:hAnsi="Arial" w:cs="Arial"/>
          <w:i/>
          <w:iCs/>
          <w:lang w:val="en-US"/>
        </w:rPr>
        <w:t>Adv. Mater</w:t>
      </w:r>
      <w:r w:rsidRPr="00B81843">
        <w:rPr>
          <w:rFonts w:ascii="Arial" w:hAnsi="Arial" w:cs="Arial"/>
          <w:lang w:val="en-US"/>
        </w:rPr>
        <w:t>. 11, 408-410 (1999).</w:t>
      </w:r>
    </w:p>
    <w:p w:rsidR="00FD05B8" w:rsidRPr="00B81843" w:rsidRDefault="00FD05B8" w:rsidP="008F2442">
      <w:pPr>
        <w:rPr>
          <w:rStyle w:val="Hipervnculo"/>
          <w:rFonts w:ascii="Arial" w:hAnsi="Arial" w:cs="Arial"/>
          <w:color w:val="009ACB"/>
          <w:sz w:val="20"/>
          <w:szCs w:val="20"/>
          <w:lang w:val="en-US"/>
        </w:rPr>
      </w:pPr>
      <w:r w:rsidRPr="00B81843">
        <w:rPr>
          <w:rFonts w:ascii="Arial" w:hAnsi="Arial" w:cs="Arial"/>
          <w:lang w:val="en-US"/>
        </w:rPr>
        <w:t xml:space="preserve">[23]  </w:t>
      </w:r>
      <w:r w:rsidRPr="00334039">
        <w:rPr>
          <w:rFonts w:ascii="Arial" w:hAnsi="Arial" w:cs="Arial"/>
          <w:color w:val="000000"/>
          <w:shd w:val="clear" w:color="auto" w:fill="FFFFFF"/>
          <w:lang w:val="en-US"/>
        </w:rPr>
        <w:t>Dupin D.</w:t>
      </w:r>
      <w:r>
        <w:rPr>
          <w:rFonts w:ascii="Arial" w:hAnsi="Arial" w:cs="Arial"/>
          <w:color w:val="000000"/>
          <w:shd w:val="clear" w:color="auto" w:fill="FFFFFF"/>
          <w:lang w:val="en-US"/>
        </w:rPr>
        <w:t>,</w:t>
      </w:r>
      <w:r w:rsidRPr="00334039">
        <w:rPr>
          <w:rFonts w:ascii="Arial" w:hAnsi="Arial" w:cs="Arial"/>
          <w:color w:val="000000"/>
          <w:shd w:val="clear" w:color="auto" w:fill="FFFFFF"/>
          <w:lang w:val="en-US"/>
        </w:rPr>
        <w:t xml:space="preserve"> Schmid A.</w:t>
      </w:r>
      <w:r>
        <w:rPr>
          <w:rFonts w:ascii="Arial" w:hAnsi="Arial" w:cs="Arial"/>
          <w:color w:val="000000"/>
          <w:shd w:val="clear" w:color="auto" w:fill="FFFFFF"/>
          <w:lang w:val="en-US"/>
        </w:rPr>
        <w:t>,</w:t>
      </w:r>
      <w:r w:rsidRPr="00334039">
        <w:rPr>
          <w:rFonts w:ascii="Arial" w:hAnsi="Arial" w:cs="Arial"/>
          <w:color w:val="000000"/>
          <w:shd w:val="clear" w:color="auto" w:fill="FFFFFF"/>
          <w:lang w:val="en-US"/>
        </w:rPr>
        <w:t xml:space="preserve"> Balmer J. A.</w:t>
      </w:r>
      <w:r>
        <w:rPr>
          <w:rFonts w:ascii="Arial" w:hAnsi="Arial" w:cs="Arial"/>
          <w:color w:val="000000"/>
          <w:shd w:val="clear" w:color="auto" w:fill="FFFFFF"/>
          <w:lang w:val="en-US"/>
        </w:rPr>
        <w:t>,</w:t>
      </w:r>
      <w:r w:rsidRPr="00334039">
        <w:rPr>
          <w:rFonts w:ascii="Arial" w:hAnsi="Arial" w:cs="Arial"/>
          <w:color w:val="000000"/>
          <w:shd w:val="clear" w:color="auto" w:fill="FFFFFF"/>
          <w:lang w:val="en-US"/>
        </w:rPr>
        <w:t xml:space="preserve"> Armes S P</w:t>
      </w:r>
      <w:r w:rsidRPr="00B81843">
        <w:rPr>
          <w:rFonts w:ascii="Arial" w:hAnsi="Arial" w:cs="Arial"/>
          <w:lang w:val="en-US"/>
        </w:rPr>
        <w:t xml:space="preserve">. Efficient synthesis of poly(2-vinylpyridine)-silica colloidal nanocomposite particles using a cationic azo initiator </w:t>
      </w:r>
      <w:r w:rsidRPr="00334039">
        <w:rPr>
          <w:rFonts w:ascii="Arial" w:hAnsi="Arial" w:cs="Arial"/>
          <w:i/>
          <w:iCs/>
          <w:color w:val="000000"/>
          <w:shd w:val="clear" w:color="auto" w:fill="FFFFFF"/>
          <w:lang w:val="en-US"/>
        </w:rPr>
        <w:t>Langmuir</w:t>
      </w:r>
      <w:r w:rsidRPr="00334039">
        <w:rPr>
          <w:rFonts w:ascii="Arial" w:hAnsi="Arial" w:cs="Arial"/>
          <w:color w:val="000000"/>
          <w:shd w:val="clear" w:color="auto" w:fill="FFFFFF"/>
          <w:lang w:val="en-US"/>
        </w:rPr>
        <w:t xml:space="preserve"> 23, 11812-11818</w:t>
      </w:r>
      <w:r>
        <w:rPr>
          <w:rFonts w:ascii="Arial" w:hAnsi="Arial" w:cs="Arial"/>
          <w:color w:val="000000"/>
          <w:shd w:val="clear" w:color="auto" w:fill="FFFFFF"/>
          <w:lang w:val="en-US"/>
        </w:rPr>
        <w:t xml:space="preserve"> (</w:t>
      </w:r>
      <w:r w:rsidRPr="00D40A41">
        <w:rPr>
          <w:rFonts w:ascii="Arial" w:hAnsi="Arial" w:cs="Arial"/>
          <w:color w:val="000000"/>
          <w:shd w:val="clear" w:color="auto" w:fill="FFFFFF"/>
          <w:lang w:val="en-US"/>
        </w:rPr>
        <w:t>2007)</w:t>
      </w:r>
      <w:r w:rsidRPr="00334039">
        <w:rPr>
          <w:rFonts w:ascii="Arial" w:hAnsi="Arial" w:cs="Arial"/>
          <w:color w:val="000000"/>
          <w:shd w:val="clear" w:color="auto" w:fill="FFFFFF"/>
          <w:lang w:val="en-US"/>
        </w:rPr>
        <w:t xml:space="preserve">. </w:t>
      </w:r>
    </w:p>
    <w:p w:rsidR="00FD05B8" w:rsidRPr="00B81843" w:rsidRDefault="00FD05B8" w:rsidP="008F2442">
      <w:pPr>
        <w:rPr>
          <w:rFonts w:ascii="Arial" w:hAnsi="Arial" w:cs="Arial"/>
          <w:color w:val="009ACB"/>
          <w:u w:val="single"/>
          <w:lang w:val="en-US"/>
        </w:rPr>
      </w:pPr>
      <w:r w:rsidRPr="00B81843">
        <w:rPr>
          <w:rFonts w:ascii="Arial" w:hAnsi="Arial" w:cs="Arial"/>
          <w:lang w:val="en-US"/>
        </w:rPr>
        <w:t xml:space="preserve">[24] Zou H., Wu S., Shen J. </w:t>
      </w:r>
      <w:hyperlink r:id="rId663" w:history="1">
        <w:r w:rsidRPr="00334039">
          <w:rPr>
            <w:rFonts w:ascii="Arial" w:hAnsi="Arial" w:cs="Arial"/>
            <w:noProof/>
            <w:lang w:val="en-US"/>
          </w:rPr>
          <w:t>Preparation of Silica-Coated Poly(styrene-co-4-vinylpyridine) Particles and Hollow Particles</w:t>
        </w:r>
      </w:hyperlink>
      <w:r w:rsidRPr="00334039">
        <w:rPr>
          <w:rFonts w:ascii="Arial" w:hAnsi="Arial" w:cs="Arial"/>
          <w:noProof/>
          <w:lang w:val="en-US"/>
        </w:rPr>
        <w:t>.</w:t>
      </w:r>
      <w:r w:rsidRPr="00334039">
        <w:rPr>
          <w:rFonts w:ascii="Arial" w:hAnsi="Arial" w:cs="Arial"/>
          <w:i/>
          <w:iCs/>
          <w:noProof/>
          <w:lang w:val="en-US"/>
        </w:rPr>
        <w:t xml:space="preserve"> </w:t>
      </w:r>
      <w:r w:rsidRPr="00B81843">
        <w:rPr>
          <w:rFonts w:ascii="Arial" w:hAnsi="Arial" w:cs="Arial"/>
          <w:i/>
          <w:iCs/>
          <w:lang w:val="en-US"/>
        </w:rPr>
        <w:t>Langmuir</w:t>
      </w:r>
      <w:r w:rsidRPr="00B81843">
        <w:rPr>
          <w:rFonts w:ascii="Arial" w:hAnsi="Arial" w:cs="Arial"/>
          <w:lang w:val="en-US"/>
        </w:rPr>
        <w:t xml:space="preserve">  24, 10453-10461 (2008)</w:t>
      </w:r>
    </w:p>
    <w:p w:rsidR="00FD05B8" w:rsidRPr="00B81843" w:rsidRDefault="00FD05B8" w:rsidP="008F2442">
      <w:pPr>
        <w:rPr>
          <w:rFonts w:ascii="Arial" w:hAnsi="Arial" w:cs="Arial"/>
          <w:lang w:val="en-US"/>
        </w:rPr>
      </w:pPr>
      <w:r w:rsidRPr="00B81843">
        <w:rPr>
          <w:rFonts w:ascii="Arial" w:hAnsi="Arial" w:cs="Arial"/>
          <w:lang w:val="en-US"/>
        </w:rPr>
        <w:t xml:space="preserve">[25] Zhang W. H., Fan X. D., Tian W. and Fan W. W. </w:t>
      </w:r>
      <w:r w:rsidRPr="00334039">
        <w:rPr>
          <w:rFonts w:ascii="Arial" w:hAnsi="Arial" w:cs="Arial"/>
          <w:noProof/>
          <w:lang w:val="en-US"/>
        </w:rPr>
        <w:t xml:space="preserve"> Polystyrene/nano-SiO2 composite microspheres fabricated by Pickering emulsion polymerization: Preparation, mechanisms and thermal properties</w:t>
      </w:r>
      <w:r w:rsidRPr="00B81843">
        <w:rPr>
          <w:rFonts w:ascii="Arial" w:hAnsi="Arial" w:cs="Arial"/>
          <w:i/>
          <w:iCs/>
          <w:lang w:val="en-US"/>
        </w:rPr>
        <w:t>. eXPRESS Polym. Lett.</w:t>
      </w:r>
      <w:r w:rsidRPr="00B81843">
        <w:rPr>
          <w:rFonts w:ascii="Arial" w:hAnsi="Arial" w:cs="Arial"/>
          <w:lang w:val="en-US"/>
        </w:rPr>
        <w:t xml:space="preserve"> 6, 532-542 (2012). </w:t>
      </w:r>
    </w:p>
    <w:p w:rsidR="00FD05B8" w:rsidRPr="00B81843" w:rsidRDefault="00FD05B8" w:rsidP="008F2442">
      <w:pPr>
        <w:rPr>
          <w:rStyle w:val="Hipervnculo"/>
          <w:rFonts w:ascii="Arial" w:eastAsia="Calibri" w:hAnsi="Arial" w:cs="Arial"/>
          <w:color w:val="009ACB"/>
          <w:sz w:val="20"/>
          <w:szCs w:val="20"/>
          <w:lang w:val="en-US"/>
        </w:rPr>
      </w:pPr>
      <w:r w:rsidRPr="00B81843">
        <w:rPr>
          <w:rFonts w:ascii="Arial" w:hAnsi="Arial" w:cs="Arial"/>
          <w:lang w:val="en-US"/>
        </w:rPr>
        <w:lastRenderedPageBreak/>
        <w:t>[26] Ye L., Zhou T., Shen X. Molecular imprinting in particle-stabilized emulsions: enlarging template size from small molecules to proteins and cells.</w:t>
      </w:r>
      <w:r w:rsidRPr="00B81843">
        <w:rPr>
          <w:rFonts w:ascii="Arial" w:hAnsi="Arial" w:cs="Arial"/>
          <w:i/>
          <w:iCs/>
          <w:lang w:val="en-US"/>
        </w:rPr>
        <w:t xml:space="preserve"> Mol. Impr.</w:t>
      </w:r>
      <w:r w:rsidRPr="00B81843">
        <w:rPr>
          <w:rFonts w:ascii="Arial" w:hAnsi="Arial" w:cs="Arial"/>
          <w:lang w:val="en-US"/>
        </w:rPr>
        <w:t xml:space="preserve"> 3, 8-16 (2015). </w:t>
      </w:r>
    </w:p>
    <w:p w:rsidR="00FD05B8" w:rsidRPr="00B81843" w:rsidRDefault="00FD05B8" w:rsidP="008F2442">
      <w:pPr>
        <w:rPr>
          <w:rStyle w:val="Hipervnculo"/>
          <w:rFonts w:ascii="Arial" w:eastAsia="Calibri" w:hAnsi="Arial" w:cs="Arial"/>
          <w:color w:val="009ACB"/>
          <w:sz w:val="20"/>
          <w:szCs w:val="20"/>
          <w:lang w:val="en-US"/>
        </w:rPr>
      </w:pPr>
      <w:r w:rsidRPr="00B81843">
        <w:rPr>
          <w:rFonts w:ascii="Arial" w:hAnsi="Arial" w:cs="Arial"/>
          <w:lang w:val="en-US"/>
        </w:rPr>
        <w:t xml:space="preserve">[27] Benhamou M., El-Moudny S. Review on Pickering emulsions stabilized by adsorbed nanoparticles: Structure, Thermodynamics, Cage Effect and Subdiffusion. </w:t>
      </w:r>
      <w:r w:rsidRPr="00B81843">
        <w:rPr>
          <w:rFonts w:ascii="Arial" w:hAnsi="Arial" w:cs="Arial"/>
          <w:i/>
          <w:iCs/>
          <w:lang w:val="en-US"/>
        </w:rPr>
        <w:t>Int. J. Nanomater. Nanotechnol Nanomed.</w:t>
      </w:r>
      <w:r w:rsidRPr="00B81843">
        <w:rPr>
          <w:rFonts w:ascii="Arial" w:hAnsi="Arial" w:cs="Arial"/>
          <w:lang w:val="en-US"/>
        </w:rPr>
        <w:t xml:space="preserve"> 3, 057-076 (2017). </w:t>
      </w:r>
      <w:bookmarkStart w:id="163" w:name="bau0005"/>
    </w:p>
    <w:p w:rsidR="00FD05B8" w:rsidRPr="00FF1F2D" w:rsidRDefault="00FD05B8" w:rsidP="008F2442">
      <w:pPr>
        <w:rPr>
          <w:rStyle w:val="Hipervnculo"/>
          <w:rFonts w:ascii="Arial" w:eastAsia="Calibri" w:hAnsi="Arial" w:cs="Arial"/>
          <w:color w:val="009ACB"/>
          <w:sz w:val="20"/>
          <w:szCs w:val="20"/>
          <w:lang w:val="en-US"/>
        </w:rPr>
      </w:pPr>
      <w:r w:rsidRPr="00B81843">
        <w:rPr>
          <w:rFonts w:ascii="Arial" w:hAnsi="Arial" w:cs="Arial"/>
          <w:lang w:val="en-US"/>
        </w:rPr>
        <w:t xml:space="preserve">[28] </w:t>
      </w:r>
      <w:hyperlink r:id="rId664" w:anchor="!" w:history="1">
        <w:r w:rsidRPr="00B81843">
          <w:rPr>
            <w:rFonts w:ascii="Arial" w:hAnsi="Arial" w:cs="Arial"/>
            <w:lang w:val="en-US"/>
          </w:rPr>
          <w:t>Wang</w:t>
        </w:r>
      </w:hyperlink>
      <w:bookmarkStart w:id="164" w:name="bau0010"/>
      <w:bookmarkEnd w:id="163"/>
      <w:r w:rsidRPr="00B81843">
        <w:rPr>
          <w:rFonts w:ascii="Arial" w:hAnsi="Arial" w:cs="Arial"/>
          <w:lang w:val="en-US"/>
        </w:rPr>
        <w:t xml:space="preserve"> Y., </w:t>
      </w:r>
      <w:hyperlink r:id="rId665" w:anchor="!" w:history="1">
        <w:r w:rsidRPr="00B81843">
          <w:rPr>
            <w:rFonts w:ascii="Arial" w:hAnsi="Arial" w:cs="Arial"/>
            <w:lang w:val="en-US"/>
          </w:rPr>
          <w:t>Li</w:t>
        </w:r>
      </w:hyperlink>
      <w:bookmarkStart w:id="165" w:name="bau0015"/>
      <w:bookmarkEnd w:id="164"/>
      <w:r w:rsidRPr="00B81843">
        <w:rPr>
          <w:rFonts w:ascii="Arial" w:hAnsi="Arial" w:cs="Arial"/>
          <w:lang w:val="en-US"/>
        </w:rPr>
        <w:t xml:space="preserve"> X., </w:t>
      </w:r>
      <w:hyperlink r:id="rId666" w:anchor="!" w:history="1">
        <w:r w:rsidRPr="00B81843">
          <w:rPr>
            <w:rFonts w:ascii="Arial" w:hAnsi="Arial" w:cs="Arial"/>
            <w:lang w:val="en-US"/>
          </w:rPr>
          <w:t>Shen</w:t>
        </w:r>
      </w:hyperlink>
      <w:bookmarkStart w:id="166" w:name="bau0020"/>
      <w:bookmarkEnd w:id="165"/>
      <w:r w:rsidRPr="00B81843">
        <w:rPr>
          <w:rFonts w:ascii="Arial" w:hAnsi="Arial" w:cs="Arial"/>
          <w:lang w:val="en-US"/>
        </w:rPr>
        <w:t xml:space="preserve"> C.; </w:t>
      </w:r>
      <w:hyperlink r:id="rId667" w:anchor="!" w:history="1">
        <w:r w:rsidRPr="00B81843">
          <w:rPr>
            <w:rFonts w:ascii="Arial" w:hAnsi="Arial" w:cs="Arial"/>
            <w:lang w:val="en-US"/>
          </w:rPr>
          <w:t xml:space="preserve"> Mao</w:t>
        </w:r>
      </w:hyperlink>
      <w:bookmarkStart w:id="167" w:name="bau0025"/>
      <w:bookmarkEnd w:id="166"/>
      <w:r w:rsidRPr="00B81843">
        <w:rPr>
          <w:rFonts w:ascii="Arial" w:hAnsi="Arial" w:cs="Arial"/>
          <w:lang w:val="en-US"/>
        </w:rPr>
        <w:t xml:space="preserve"> Z., </w:t>
      </w:r>
      <w:hyperlink r:id="rId668" w:anchor="!" w:history="1">
        <w:r w:rsidRPr="00B81843">
          <w:rPr>
            <w:rFonts w:ascii="Arial" w:hAnsi="Arial" w:cs="Arial"/>
            <w:lang w:val="en-US"/>
          </w:rPr>
          <w:t xml:space="preserve"> Xu</w:t>
        </w:r>
      </w:hyperlink>
      <w:bookmarkStart w:id="168" w:name="bau0030"/>
      <w:bookmarkEnd w:id="167"/>
      <w:r w:rsidRPr="00B81843">
        <w:rPr>
          <w:rFonts w:ascii="Arial" w:hAnsi="Arial" w:cs="Arial"/>
          <w:lang w:val="en-US"/>
        </w:rPr>
        <w:t xml:space="preserve"> H., </w:t>
      </w:r>
      <w:hyperlink r:id="rId669" w:anchor="!" w:history="1">
        <w:r w:rsidRPr="00B81843">
          <w:rPr>
            <w:rFonts w:ascii="Arial" w:hAnsi="Arial" w:cs="Arial"/>
            <w:lang w:val="en-US"/>
          </w:rPr>
          <w:t xml:space="preserve"> Zhong</w:t>
        </w:r>
      </w:hyperlink>
      <w:bookmarkStart w:id="169" w:name="bau0035"/>
      <w:bookmarkEnd w:id="168"/>
      <w:r w:rsidRPr="00B81843">
        <w:rPr>
          <w:rFonts w:ascii="Arial" w:hAnsi="Arial" w:cs="Arial"/>
          <w:lang w:val="en-US"/>
        </w:rPr>
        <w:t xml:space="preserve"> Y., </w:t>
      </w:r>
      <w:hyperlink r:id="rId670" w:anchor="!" w:history="1">
        <w:r w:rsidRPr="00B81843">
          <w:rPr>
            <w:rFonts w:ascii="Arial" w:hAnsi="Arial" w:cs="Arial"/>
            <w:lang w:val="en-US"/>
          </w:rPr>
          <w:t>Sui</w:t>
        </w:r>
      </w:hyperlink>
      <w:bookmarkStart w:id="170" w:name="bau0040"/>
      <w:bookmarkEnd w:id="169"/>
      <w:r w:rsidRPr="00B81843">
        <w:rPr>
          <w:rFonts w:ascii="Arial" w:hAnsi="Arial" w:cs="Arial"/>
          <w:lang w:val="en-US"/>
        </w:rPr>
        <w:t xml:space="preserve"> X., </w:t>
      </w:r>
      <w:hyperlink r:id="rId671" w:anchor="!" w:history="1">
        <w:r w:rsidRPr="00B81843">
          <w:rPr>
            <w:rFonts w:ascii="Arial" w:hAnsi="Arial" w:cs="Arial"/>
            <w:lang w:val="en-US"/>
          </w:rPr>
          <w:t xml:space="preserve"> Feng</w:t>
        </w:r>
      </w:hyperlink>
      <w:bookmarkStart w:id="171" w:name="bau0045"/>
      <w:bookmarkEnd w:id="170"/>
      <w:r w:rsidRPr="00B81843">
        <w:rPr>
          <w:rFonts w:ascii="Arial" w:hAnsi="Arial" w:cs="Arial"/>
          <w:lang w:val="en-US"/>
        </w:rPr>
        <w:t xml:space="preserve"> X., </w:t>
      </w:r>
      <w:hyperlink r:id="rId672" w:anchor="!" w:history="1">
        <w:r w:rsidRPr="00B81843">
          <w:rPr>
            <w:rFonts w:ascii="Arial" w:hAnsi="Arial" w:cs="Arial"/>
            <w:lang w:val="en-US"/>
          </w:rPr>
          <w:t>Wang</w:t>
        </w:r>
      </w:hyperlink>
      <w:bookmarkEnd w:id="171"/>
      <w:r w:rsidRPr="00B81843">
        <w:rPr>
          <w:rFonts w:ascii="Arial" w:hAnsi="Arial" w:cs="Arial"/>
          <w:lang w:val="en-US"/>
        </w:rPr>
        <w:t xml:space="preserve"> B.  </w:t>
      </w:r>
      <w:r w:rsidRPr="00B81843">
        <w:rPr>
          <w:rStyle w:val="title-text"/>
          <w:rFonts w:ascii="Arial" w:hAnsi="Arial" w:cs="Arial"/>
          <w:color w:val="505050"/>
          <w:sz w:val="20"/>
          <w:szCs w:val="20"/>
          <w:lang w:val="en-US"/>
        </w:rPr>
        <w:t>Lignin assisted Pickering emulsion polymerization to microencapsulate 1-tetradecanol for thermal management</w:t>
      </w:r>
      <w:r w:rsidRPr="00B81843">
        <w:rPr>
          <w:rFonts w:ascii="Arial" w:hAnsi="Arial" w:cs="Arial"/>
          <w:lang w:val="en-US"/>
        </w:rPr>
        <w:t xml:space="preserve"> ‎</w:t>
      </w:r>
      <w:r w:rsidRPr="00B81843">
        <w:rPr>
          <w:rFonts w:ascii="Arial" w:hAnsi="Arial" w:cs="Arial"/>
          <w:i/>
          <w:iCs/>
          <w:lang w:val="en-US"/>
        </w:rPr>
        <w:t xml:space="preserve">Int. J. Biol. </w:t>
      </w:r>
      <w:r w:rsidRPr="00FF1F2D">
        <w:rPr>
          <w:rFonts w:ascii="Arial" w:hAnsi="Arial" w:cs="Arial"/>
          <w:i/>
          <w:iCs/>
          <w:lang w:val="en-US"/>
        </w:rPr>
        <w:t>Macromol.</w:t>
      </w:r>
      <w:r w:rsidRPr="00FF1F2D">
        <w:rPr>
          <w:rFonts w:ascii="Arial" w:hAnsi="Arial" w:cs="Arial"/>
          <w:lang w:val="en-US"/>
        </w:rPr>
        <w:t xml:space="preserve"> 16 Available online 21 December 2019 </w:t>
      </w:r>
      <w:hyperlink r:id="rId673" w:history="1">
        <w:r w:rsidRPr="00FF1F2D">
          <w:rPr>
            <w:rStyle w:val="Hipervnculo"/>
            <w:rFonts w:ascii="Arial" w:hAnsi="Arial" w:cs="Arial"/>
            <w:color w:val="009ACB"/>
            <w:sz w:val="20"/>
            <w:szCs w:val="20"/>
            <w:lang w:val="en-US"/>
          </w:rPr>
          <w:t>https://doi.org/10.1016/j.ijbiomac.2019.12.17530</w:t>
        </w:r>
      </w:hyperlink>
      <w:r w:rsidRPr="00FF1F2D">
        <w:rPr>
          <w:rStyle w:val="Hipervnculo"/>
          <w:rFonts w:ascii="Arial" w:hAnsi="Arial" w:cs="Arial"/>
          <w:color w:val="009ACB"/>
          <w:sz w:val="20"/>
          <w:szCs w:val="20"/>
          <w:lang w:val="en-US"/>
        </w:rPr>
        <w:t xml:space="preserve"> </w:t>
      </w:r>
      <w:r w:rsidRPr="00FF1F2D">
        <w:rPr>
          <w:rStyle w:val="Hipervnculo"/>
          <w:rFonts w:ascii="Arial" w:hAnsi="Arial" w:cs="Arial"/>
          <w:sz w:val="20"/>
          <w:szCs w:val="20"/>
          <w:lang w:val="en-US"/>
        </w:rPr>
        <w:t>(</w:t>
      </w:r>
      <w:r w:rsidRPr="00FF1F2D">
        <w:rPr>
          <w:rFonts w:ascii="Arial" w:hAnsi="Arial" w:cs="Arial"/>
          <w:lang w:val="en-US"/>
        </w:rPr>
        <w:t>2019)</w:t>
      </w:r>
      <w:r w:rsidRPr="00FF1F2D">
        <w:rPr>
          <w:rStyle w:val="Hipervnculo"/>
          <w:rFonts w:ascii="Arial" w:hAnsi="Arial" w:cs="Arial"/>
          <w:sz w:val="20"/>
          <w:szCs w:val="20"/>
          <w:lang w:val="en-US"/>
        </w:rPr>
        <w:t>.</w:t>
      </w:r>
      <w:r w:rsidRPr="00FF1F2D">
        <w:rPr>
          <w:rStyle w:val="Hipervnculo"/>
          <w:rFonts w:ascii="Arial" w:hAnsi="Arial" w:cs="Arial"/>
          <w:color w:val="E9711C"/>
          <w:sz w:val="20"/>
          <w:szCs w:val="20"/>
          <w:lang w:val="en-US"/>
        </w:rPr>
        <w:t xml:space="preserve"> </w:t>
      </w:r>
    </w:p>
    <w:p w:rsidR="00FD05B8" w:rsidRPr="00A208FA" w:rsidRDefault="001345E4" w:rsidP="008F2442">
      <w:pPr>
        <w:rPr>
          <w:rStyle w:val="Hipervnculo"/>
          <w:rFonts w:ascii="Arial" w:eastAsia="Calibri" w:hAnsi="Arial" w:cs="Arial"/>
          <w:color w:val="2E2E2E"/>
          <w:sz w:val="20"/>
          <w:szCs w:val="20"/>
          <w:lang w:val="en-US"/>
        </w:rPr>
      </w:pPr>
      <w:hyperlink r:id="rId674" w:history="1">
        <w:r w:rsidR="00FD05B8" w:rsidRPr="00FD05B8">
          <w:rPr>
            <w:lang w:val="en-US"/>
          </w:rPr>
          <w:t xml:space="preserve">[29] </w:t>
        </w:r>
        <w:r w:rsidR="00FD05B8" w:rsidRPr="00FD05B8">
          <w:rPr>
            <w:rFonts w:eastAsia="Calibri"/>
            <w:lang w:val="en-US"/>
          </w:rPr>
          <w:t>Zhang</w:t>
        </w:r>
      </w:hyperlink>
      <w:r w:rsidR="00FD05B8" w:rsidRPr="00FD05B8">
        <w:rPr>
          <w:lang w:val="en-US"/>
        </w:rPr>
        <w:t xml:space="preserve"> </w:t>
      </w:r>
      <w:r w:rsidR="00FD05B8" w:rsidRPr="00FD05B8">
        <w:rPr>
          <w:rFonts w:eastAsia="Calibri"/>
          <w:lang w:val="en-US"/>
        </w:rPr>
        <w:t>J.,  </w:t>
      </w:r>
      <w:hyperlink r:id="rId675" w:history="1">
        <w:r w:rsidR="00FD05B8" w:rsidRPr="00FD05B8">
          <w:rPr>
            <w:rFonts w:eastAsia="Calibri"/>
            <w:lang w:val="en-US"/>
          </w:rPr>
          <w:t xml:space="preserve"> Lu</w:t>
        </w:r>
      </w:hyperlink>
      <w:r w:rsidR="00FD05B8" w:rsidRPr="00FD05B8">
        <w:rPr>
          <w:lang w:val="en-US"/>
        </w:rPr>
        <w:t xml:space="preserve"> </w:t>
      </w:r>
      <w:r w:rsidR="00FD05B8" w:rsidRPr="00FD05B8">
        <w:rPr>
          <w:rFonts w:eastAsia="Calibri"/>
          <w:lang w:val="en-US"/>
        </w:rPr>
        <w:t>Z.,  </w:t>
      </w:r>
      <w:hyperlink r:id="rId676" w:history="1">
        <w:r w:rsidR="00FD05B8" w:rsidRPr="00FD05B8">
          <w:rPr>
            <w:rFonts w:eastAsia="Calibri"/>
            <w:lang w:val="en-US"/>
          </w:rPr>
          <w:t xml:space="preserve"> Wu</w:t>
        </w:r>
      </w:hyperlink>
      <w:r w:rsidR="00FD05B8" w:rsidRPr="00FD05B8">
        <w:rPr>
          <w:lang w:val="en-US"/>
        </w:rPr>
        <w:t xml:space="preserve"> </w:t>
      </w:r>
      <w:r w:rsidR="00FD05B8" w:rsidRPr="00FD05B8">
        <w:rPr>
          <w:rFonts w:eastAsia="Calibri"/>
          <w:lang w:val="en-US"/>
        </w:rPr>
        <w:t>M.,  </w:t>
      </w:r>
      <w:hyperlink r:id="rId677" w:history="1">
        <w:r w:rsidR="00FD05B8" w:rsidRPr="00FD05B8">
          <w:rPr>
            <w:rFonts w:eastAsia="Calibri"/>
            <w:lang w:val="en-US"/>
          </w:rPr>
          <w:t xml:space="preserve"> Wu</w:t>
        </w:r>
      </w:hyperlink>
      <w:r w:rsidR="00FD05B8" w:rsidRPr="00FD05B8">
        <w:rPr>
          <w:lang w:val="en-US"/>
        </w:rPr>
        <w:t xml:space="preserve"> </w:t>
      </w:r>
      <w:r w:rsidR="00FD05B8" w:rsidRPr="00FD05B8">
        <w:rPr>
          <w:rFonts w:eastAsia="Calibri"/>
          <w:lang w:val="en-US"/>
        </w:rPr>
        <w:t xml:space="preserve">Q., </w:t>
      </w:r>
      <w:hyperlink r:id="rId678" w:history="1">
        <w:r w:rsidR="00FD05B8" w:rsidRPr="00FD05B8">
          <w:rPr>
            <w:rFonts w:eastAsia="Calibri"/>
            <w:lang w:val="en-US"/>
          </w:rPr>
          <w:t>Yang</w:t>
        </w:r>
      </w:hyperlink>
      <w:r w:rsidR="00FD05B8" w:rsidRPr="00FD05B8">
        <w:rPr>
          <w:rFonts w:eastAsia="Calibri"/>
          <w:lang w:val="en-US"/>
        </w:rPr>
        <w:t>a</w:t>
      </w:r>
      <w:r w:rsidR="00FD05B8" w:rsidRPr="00FD05B8">
        <w:rPr>
          <w:lang w:val="en-US"/>
        </w:rPr>
        <w:t xml:space="preserve"> </w:t>
      </w:r>
      <w:r w:rsidR="00FD05B8" w:rsidRPr="00FD05B8">
        <w:rPr>
          <w:rFonts w:eastAsia="Calibri"/>
          <w:lang w:val="en-US"/>
        </w:rPr>
        <w:t>J. Facile fabrication of poly(acrylic acid) hollow nanogels </w:t>
      </w:r>
      <w:r w:rsidR="00FD05B8" w:rsidRPr="00FD05B8">
        <w:rPr>
          <w:rFonts w:eastAsia="Calibri"/>
          <w:i/>
          <w:iCs/>
          <w:lang w:val="en-US"/>
        </w:rPr>
        <w:t>via in situ</w:t>
      </w:r>
      <w:r w:rsidR="00FD05B8" w:rsidRPr="00FD05B8">
        <w:rPr>
          <w:rFonts w:eastAsia="Calibri"/>
          <w:lang w:val="en-US"/>
        </w:rPr>
        <w:t> Pickering miniemulsion polymerization.</w:t>
      </w:r>
      <w:r w:rsidR="00FD05B8" w:rsidRPr="00FD05B8">
        <w:rPr>
          <w:rFonts w:eastAsia="Calibri"/>
          <w:i/>
          <w:iCs/>
          <w:lang w:val="en-US"/>
        </w:rPr>
        <w:t xml:space="preserve"> </w:t>
      </w:r>
      <w:r w:rsidR="00FD05B8" w:rsidRPr="00A208FA">
        <w:rPr>
          <w:rFonts w:eastAsia="Calibri"/>
          <w:i/>
          <w:iCs/>
          <w:lang w:val="en-US"/>
        </w:rPr>
        <w:t>Polym. Chem.</w:t>
      </w:r>
      <w:r w:rsidR="00FD05B8" w:rsidRPr="00A208FA">
        <w:rPr>
          <w:rFonts w:eastAsia="Calibri"/>
          <w:lang w:val="en-US"/>
        </w:rPr>
        <w:t xml:space="preserve"> 6, 6125-6128 (2015). </w:t>
      </w:r>
    </w:p>
    <w:p w:rsidR="00FD05B8" w:rsidRPr="00A208FA" w:rsidRDefault="00FD05B8" w:rsidP="008F2442">
      <w:pPr>
        <w:rPr>
          <w:rStyle w:val="Hipervnculo"/>
          <w:rFonts w:ascii="Arial" w:eastAsia="Calibri" w:hAnsi="Arial" w:cs="Arial"/>
          <w:bCs/>
          <w:color w:val="009ACB"/>
          <w:sz w:val="20"/>
          <w:szCs w:val="20"/>
          <w:lang w:val="en-US"/>
        </w:rPr>
      </w:pPr>
      <w:r w:rsidRPr="008F2442">
        <w:rPr>
          <w:lang w:val="en-US"/>
        </w:rPr>
        <w:t xml:space="preserve">[30] Fouconnier B., Terrazas-Rodríguez J. E. and F. López-Serrano (2017) Monitoring styrene Pickering SiO2-supported emulsion polymerization kinetics by Raman spectroscopy: Elucidating mechanisms interpreting the silanol/phenyl </w:t>
      </w:r>
      <w:r w:rsidRPr="008F2442">
        <w:t>π</w:t>
      </w:r>
      <w:r w:rsidRPr="008F2442">
        <w:rPr>
          <w:lang w:val="en-US"/>
        </w:rPr>
        <w:t xml:space="preserve">-interactions, </w:t>
      </w:r>
      <w:r w:rsidRPr="008F2442">
        <w:rPr>
          <w:i/>
          <w:iCs/>
          <w:lang w:val="en-US"/>
        </w:rPr>
        <w:t xml:space="preserve">J. Macromol. </w:t>
      </w:r>
      <w:r w:rsidRPr="00A208FA">
        <w:rPr>
          <w:i/>
          <w:iCs/>
          <w:lang w:val="en-US"/>
        </w:rPr>
        <w:t>Sci. Part A Pure Appl. Chem.,</w:t>
      </w:r>
      <w:r w:rsidRPr="00A208FA">
        <w:rPr>
          <w:lang w:val="en-US"/>
        </w:rPr>
        <w:t xml:space="preserve"> 54, 509-515 (2017). </w:t>
      </w:r>
    </w:p>
    <w:p w:rsidR="00FD05B8" w:rsidRPr="00FD05B8" w:rsidRDefault="00FD05B8" w:rsidP="008F2442">
      <w:pPr>
        <w:rPr>
          <w:rStyle w:val="Hipervnculo"/>
          <w:rFonts w:ascii="Arial" w:eastAsia="Calibri" w:hAnsi="Arial" w:cs="Arial"/>
          <w:color w:val="009ACB"/>
          <w:sz w:val="20"/>
          <w:szCs w:val="20"/>
          <w:lang w:val="en-US"/>
        </w:rPr>
      </w:pPr>
      <w:r w:rsidRPr="00FD05B8">
        <w:rPr>
          <w:rFonts w:ascii="Arial" w:hAnsi="Arial" w:cs="Arial"/>
          <w:sz w:val="20"/>
          <w:szCs w:val="20"/>
          <w:lang w:val="en-US"/>
        </w:rPr>
        <w:t xml:space="preserve">[31] Thickett S. C. and Gilbert R. G. Emulsion polymerization: State of the art in kinetics and mechanisms </w:t>
      </w:r>
      <w:r w:rsidRPr="00FD05B8">
        <w:rPr>
          <w:rFonts w:ascii="Arial" w:hAnsi="Arial" w:cs="Arial"/>
          <w:i/>
          <w:iCs/>
          <w:sz w:val="20"/>
          <w:szCs w:val="20"/>
          <w:lang w:val="en-US"/>
        </w:rPr>
        <w:t>Polymer</w:t>
      </w:r>
      <w:r w:rsidRPr="00FD05B8">
        <w:rPr>
          <w:rFonts w:ascii="Arial" w:hAnsi="Arial" w:cs="Arial"/>
          <w:b/>
          <w:sz w:val="20"/>
          <w:szCs w:val="20"/>
          <w:lang w:val="en-US"/>
        </w:rPr>
        <w:t>,</w:t>
      </w:r>
      <w:r w:rsidRPr="00FD05B8">
        <w:rPr>
          <w:rFonts w:ascii="Arial" w:hAnsi="Arial" w:cs="Arial"/>
          <w:sz w:val="20"/>
          <w:szCs w:val="20"/>
          <w:lang w:val="en-US"/>
        </w:rPr>
        <w:t xml:space="preserve"> 48, 6965-6991(2007). </w:t>
      </w:r>
    </w:p>
    <w:p w:rsidR="00FD05B8" w:rsidRPr="00FD05B8" w:rsidRDefault="00FD05B8" w:rsidP="008F2442">
      <w:pPr>
        <w:rPr>
          <w:rStyle w:val="Hipervnculo"/>
          <w:rFonts w:ascii="Arial" w:eastAsia="Calibri" w:hAnsi="Arial" w:cs="Arial"/>
          <w:color w:val="009ACB"/>
          <w:sz w:val="20"/>
          <w:szCs w:val="20"/>
          <w:lang w:val="en-US"/>
        </w:rPr>
      </w:pPr>
      <w:r w:rsidRPr="00FD05B8">
        <w:rPr>
          <w:rFonts w:ascii="Arial" w:hAnsi="Arial" w:cs="Arial"/>
          <w:sz w:val="20"/>
          <w:szCs w:val="20"/>
          <w:lang w:val="en-US"/>
        </w:rPr>
        <w:t xml:space="preserve">[32] </w:t>
      </w:r>
      <w:r w:rsidRPr="00334039">
        <w:rPr>
          <w:rFonts w:ascii="Arial" w:hAnsi="Arial" w:cs="Arial"/>
          <w:sz w:val="20"/>
          <w:szCs w:val="20"/>
          <w:lang w:val="en-US"/>
        </w:rPr>
        <w:t>Amalvy J. I., Percy M. J. and Armes S. P</w:t>
      </w:r>
      <w:r w:rsidRPr="00FD05B8">
        <w:rPr>
          <w:rFonts w:ascii="Arial" w:eastAsia="Calibri" w:hAnsi="Arial" w:cs="Arial"/>
          <w:sz w:val="20"/>
          <w:szCs w:val="20"/>
          <w:lang w:val="en-US"/>
        </w:rPr>
        <w:t xml:space="preserve">. Synthesis and Characterization of Novel Film-Forming Vinyl Polymer/Silica Colloidal Nanocomposites. </w:t>
      </w:r>
      <w:r w:rsidRPr="00334039">
        <w:rPr>
          <w:rFonts w:ascii="Arial" w:hAnsi="Arial" w:cs="Arial"/>
          <w:i/>
          <w:iCs/>
          <w:sz w:val="20"/>
          <w:szCs w:val="20"/>
          <w:lang w:val="en-US"/>
        </w:rPr>
        <w:t>Langmuir</w:t>
      </w:r>
      <w:r w:rsidRPr="00334039">
        <w:rPr>
          <w:rFonts w:ascii="Arial" w:hAnsi="Arial" w:cs="Arial"/>
          <w:sz w:val="20"/>
          <w:szCs w:val="20"/>
          <w:lang w:val="en-US"/>
        </w:rPr>
        <w:t xml:space="preserve"> 17, 4770-4778</w:t>
      </w:r>
      <w:r>
        <w:rPr>
          <w:rFonts w:ascii="Arial" w:hAnsi="Arial" w:cs="Arial"/>
          <w:sz w:val="20"/>
          <w:szCs w:val="20"/>
          <w:lang w:val="en-US"/>
        </w:rPr>
        <w:t xml:space="preserve"> (</w:t>
      </w:r>
      <w:r w:rsidRPr="00DF5B8D">
        <w:rPr>
          <w:rFonts w:ascii="Arial" w:hAnsi="Arial" w:cs="Arial"/>
          <w:sz w:val="20"/>
          <w:szCs w:val="20"/>
          <w:lang w:val="en-US"/>
        </w:rPr>
        <w:t>2001)</w:t>
      </w:r>
      <w:r w:rsidRPr="00334039">
        <w:rPr>
          <w:rFonts w:ascii="Arial" w:hAnsi="Arial" w:cs="Arial"/>
          <w:sz w:val="20"/>
          <w:szCs w:val="20"/>
          <w:lang w:val="en-US"/>
        </w:rPr>
        <w:t>.</w:t>
      </w:r>
    </w:p>
    <w:p w:rsidR="00FD05B8" w:rsidRPr="00334039" w:rsidRDefault="00FD05B8" w:rsidP="008F2442">
      <w:pPr>
        <w:rPr>
          <w:rFonts w:ascii="Arial" w:hAnsi="Arial" w:cs="Arial"/>
          <w:i/>
          <w:iCs/>
          <w:color w:val="000000"/>
          <w:sz w:val="20"/>
          <w:szCs w:val="20"/>
          <w:highlight w:val="yellow"/>
          <w:shd w:val="clear" w:color="auto" w:fill="FFFFFF"/>
          <w:lang w:val="en-US"/>
        </w:rPr>
      </w:pPr>
      <w:r w:rsidRPr="00FD05B8">
        <w:rPr>
          <w:rFonts w:ascii="Arial" w:hAnsi="Arial" w:cs="Arial"/>
          <w:sz w:val="20"/>
          <w:szCs w:val="20"/>
          <w:lang w:val="en-US"/>
        </w:rPr>
        <w:t xml:space="preserve">[33] </w:t>
      </w:r>
      <w:r w:rsidRPr="00334039">
        <w:rPr>
          <w:rFonts w:ascii="Arial" w:hAnsi="Arial" w:cs="Arial"/>
          <w:color w:val="000000"/>
          <w:sz w:val="20"/>
          <w:szCs w:val="20"/>
          <w:shd w:val="clear" w:color="auto" w:fill="FFFFFF"/>
          <w:lang w:val="en-US"/>
        </w:rPr>
        <w:t>Hussain F.</w:t>
      </w:r>
      <w:r>
        <w:rPr>
          <w:rFonts w:ascii="Arial" w:hAnsi="Arial" w:cs="Arial"/>
          <w:color w:val="000000"/>
          <w:sz w:val="20"/>
          <w:szCs w:val="20"/>
          <w:shd w:val="clear" w:color="auto" w:fill="FFFFFF"/>
          <w:lang w:val="en-US"/>
        </w:rPr>
        <w:t>,</w:t>
      </w:r>
      <w:r w:rsidRPr="00334039">
        <w:rPr>
          <w:rFonts w:ascii="Arial" w:hAnsi="Arial" w:cs="Arial"/>
          <w:color w:val="000000"/>
          <w:sz w:val="20"/>
          <w:szCs w:val="20"/>
          <w:shd w:val="clear" w:color="auto" w:fill="FFFFFF"/>
          <w:lang w:val="en-US"/>
        </w:rPr>
        <w:t xml:space="preserve"> Hojjati M.</w:t>
      </w:r>
      <w:r>
        <w:rPr>
          <w:rFonts w:ascii="Arial" w:hAnsi="Arial" w:cs="Arial"/>
          <w:color w:val="000000"/>
          <w:sz w:val="20"/>
          <w:szCs w:val="20"/>
          <w:shd w:val="clear" w:color="auto" w:fill="FFFFFF"/>
          <w:lang w:val="en-US"/>
        </w:rPr>
        <w:t>,</w:t>
      </w:r>
      <w:r w:rsidRPr="00334039">
        <w:rPr>
          <w:rFonts w:ascii="Arial" w:hAnsi="Arial" w:cs="Arial"/>
          <w:color w:val="000000"/>
          <w:sz w:val="20"/>
          <w:szCs w:val="20"/>
          <w:shd w:val="clear" w:color="auto" w:fill="FFFFFF"/>
          <w:lang w:val="en-US"/>
        </w:rPr>
        <w:t xml:space="preserve"> Okamoto M.</w:t>
      </w:r>
      <w:r>
        <w:rPr>
          <w:rFonts w:ascii="Arial" w:hAnsi="Arial" w:cs="Arial"/>
          <w:color w:val="000000"/>
          <w:sz w:val="20"/>
          <w:szCs w:val="20"/>
          <w:shd w:val="clear" w:color="auto" w:fill="FFFFFF"/>
          <w:lang w:val="en-US"/>
        </w:rPr>
        <w:t xml:space="preserve">, </w:t>
      </w:r>
      <w:r w:rsidRPr="00334039">
        <w:rPr>
          <w:rFonts w:ascii="Arial" w:hAnsi="Arial" w:cs="Arial"/>
          <w:color w:val="000000"/>
          <w:sz w:val="20"/>
          <w:szCs w:val="20"/>
          <w:shd w:val="clear" w:color="auto" w:fill="FFFFFF"/>
          <w:lang w:val="en-US"/>
        </w:rPr>
        <w:t>Gorga R. Polymer-matrix Nanocomposites, Processing, Manufacturing, and Application: An Overview.</w:t>
      </w:r>
      <w:r w:rsidRPr="00334039">
        <w:rPr>
          <w:rFonts w:ascii="Arial" w:hAnsi="Arial" w:cs="Arial"/>
          <w:i/>
          <w:iCs/>
          <w:color w:val="000000"/>
          <w:sz w:val="20"/>
          <w:szCs w:val="20"/>
          <w:shd w:val="clear" w:color="auto" w:fill="FFFFFF"/>
          <w:lang w:val="en-US"/>
        </w:rPr>
        <w:t xml:space="preserve"> J. Compos. Mater. </w:t>
      </w:r>
      <w:r w:rsidRPr="00334039">
        <w:rPr>
          <w:rFonts w:ascii="Arial" w:hAnsi="Arial" w:cs="Arial"/>
          <w:color w:val="000000"/>
          <w:sz w:val="20"/>
          <w:szCs w:val="20"/>
          <w:shd w:val="clear" w:color="auto" w:fill="FFFFFF"/>
          <w:lang w:val="en-US"/>
        </w:rPr>
        <w:t>40, 1511-1575</w:t>
      </w:r>
      <w:r>
        <w:rPr>
          <w:rFonts w:ascii="Arial" w:hAnsi="Arial" w:cs="Arial"/>
          <w:color w:val="000000"/>
          <w:sz w:val="20"/>
          <w:szCs w:val="20"/>
          <w:shd w:val="clear" w:color="auto" w:fill="FFFFFF"/>
          <w:lang w:val="en-US"/>
        </w:rPr>
        <w:t xml:space="preserve"> </w:t>
      </w:r>
      <w:r w:rsidRPr="00DF5B8D">
        <w:rPr>
          <w:rFonts w:ascii="Arial" w:hAnsi="Arial" w:cs="Arial"/>
          <w:color w:val="000000"/>
          <w:sz w:val="20"/>
          <w:szCs w:val="20"/>
          <w:shd w:val="clear" w:color="auto" w:fill="FFFFFF"/>
          <w:lang w:val="en-US"/>
        </w:rPr>
        <w:t>(</w:t>
      </w:r>
      <w:r w:rsidRPr="00DF5B8D">
        <w:rPr>
          <w:rFonts w:ascii="Arial" w:hAnsi="Arial" w:cs="Arial"/>
          <w:sz w:val="20"/>
          <w:szCs w:val="20"/>
          <w:shd w:val="clear" w:color="auto" w:fill="FFFFFF"/>
          <w:lang w:val="en-US"/>
        </w:rPr>
        <w:t>2006)</w:t>
      </w:r>
      <w:r w:rsidRPr="00FD05B8">
        <w:rPr>
          <w:rStyle w:val="Hipervnculo"/>
          <w:rFonts w:ascii="Arial" w:hAnsi="Arial" w:cs="Arial"/>
          <w:sz w:val="20"/>
          <w:szCs w:val="20"/>
          <w:lang w:val="en-US"/>
        </w:rPr>
        <w:t>.</w:t>
      </w:r>
    </w:p>
    <w:bookmarkEnd w:id="161"/>
    <w:p w:rsidR="00FD05B8" w:rsidRPr="00575A88" w:rsidRDefault="00FD05B8" w:rsidP="008F2442">
      <w:pPr>
        <w:rPr>
          <w:rFonts w:ascii="Arial" w:hAnsi="Arial" w:cs="Arial"/>
          <w:sz w:val="20"/>
          <w:szCs w:val="20"/>
          <w:lang w:val="es-MX"/>
        </w:rPr>
      </w:pPr>
      <w:r w:rsidRPr="00FD05B8">
        <w:rPr>
          <w:rFonts w:ascii="Arial" w:hAnsi="Arial" w:cs="Arial"/>
          <w:sz w:val="20"/>
          <w:szCs w:val="20"/>
          <w:lang w:val="en-US"/>
        </w:rPr>
        <w:t xml:space="preserve">[34] </w:t>
      </w:r>
      <w:r w:rsidRPr="00334039">
        <w:rPr>
          <w:rFonts w:ascii="Arial" w:hAnsi="Arial" w:cs="Arial"/>
          <w:sz w:val="20"/>
          <w:szCs w:val="20"/>
          <w:lang w:val="en-US"/>
        </w:rPr>
        <w:t>Dang Z.-M.</w:t>
      </w:r>
      <w:r>
        <w:rPr>
          <w:rFonts w:ascii="Arial" w:hAnsi="Arial" w:cs="Arial"/>
          <w:sz w:val="20"/>
          <w:szCs w:val="20"/>
          <w:lang w:val="en-US"/>
        </w:rPr>
        <w:t>,</w:t>
      </w:r>
      <w:r w:rsidRPr="00334039">
        <w:rPr>
          <w:rFonts w:ascii="Arial" w:hAnsi="Arial" w:cs="Arial"/>
          <w:sz w:val="20"/>
          <w:szCs w:val="20"/>
          <w:lang w:val="en-US"/>
        </w:rPr>
        <w:t xml:space="preserve"> Yuan J.-K.</w:t>
      </w:r>
      <w:r>
        <w:rPr>
          <w:rFonts w:ascii="Arial" w:hAnsi="Arial" w:cs="Arial"/>
          <w:sz w:val="20"/>
          <w:szCs w:val="20"/>
          <w:lang w:val="en-US"/>
        </w:rPr>
        <w:t>,</w:t>
      </w:r>
      <w:r w:rsidRPr="00334039">
        <w:rPr>
          <w:rFonts w:ascii="Arial" w:hAnsi="Arial" w:cs="Arial"/>
          <w:sz w:val="20"/>
          <w:szCs w:val="20"/>
          <w:lang w:val="en-US"/>
        </w:rPr>
        <w:t xml:space="preserve"> Zha J.-W.</w:t>
      </w:r>
      <w:r>
        <w:rPr>
          <w:rFonts w:ascii="Arial" w:hAnsi="Arial" w:cs="Arial"/>
          <w:sz w:val="20"/>
          <w:szCs w:val="20"/>
          <w:lang w:val="en-US"/>
        </w:rPr>
        <w:t>,</w:t>
      </w:r>
      <w:r w:rsidRPr="00334039">
        <w:rPr>
          <w:rFonts w:ascii="Arial" w:hAnsi="Arial" w:cs="Arial"/>
          <w:sz w:val="20"/>
          <w:szCs w:val="20"/>
          <w:lang w:val="en-US"/>
        </w:rPr>
        <w:t xml:space="preserve"> Zhou T.</w:t>
      </w:r>
      <w:r>
        <w:rPr>
          <w:rFonts w:ascii="Arial" w:hAnsi="Arial" w:cs="Arial"/>
          <w:sz w:val="20"/>
          <w:szCs w:val="20"/>
          <w:lang w:val="en-US"/>
        </w:rPr>
        <w:t>,</w:t>
      </w:r>
      <w:r w:rsidRPr="00334039">
        <w:rPr>
          <w:rFonts w:ascii="Arial" w:hAnsi="Arial" w:cs="Arial"/>
          <w:sz w:val="20"/>
          <w:szCs w:val="20"/>
          <w:lang w:val="en-US"/>
        </w:rPr>
        <w:t xml:space="preserve"> Li S.-T.</w:t>
      </w:r>
      <w:r>
        <w:rPr>
          <w:rFonts w:ascii="Arial" w:hAnsi="Arial" w:cs="Arial"/>
          <w:sz w:val="20"/>
          <w:szCs w:val="20"/>
          <w:lang w:val="en-US"/>
        </w:rPr>
        <w:t>,</w:t>
      </w:r>
      <w:r w:rsidRPr="00334039">
        <w:rPr>
          <w:rFonts w:ascii="Arial" w:hAnsi="Arial" w:cs="Arial"/>
          <w:sz w:val="20"/>
          <w:szCs w:val="20"/>
          <w:lang w:val="en-US"/>
        </w:rPr>
        <w:t xml:space="preserve"> Hu G.-H. Fundamentals, processes and applications of high-permittivity polymer–matrix composites. </w:t>
      </w:r>
      <w:r w:rsidRPr="00575A88">
        <w:rPr>
          <w:rFonts w:ascii="Arial" w:hAnsi="Arial" w:cs="Arial"/>
          <w:i/>
          <w:iCs/>
          <w:sz w:val="20"/>
          <w:szCs w:val="20"/>
          <w:lang w:val="es-MX"/>
        </w:rPr>
        <w:t>Progr. Mater. Sci.</w:t>
      </w:r>
      <w:r w:rsidRPr="00575A88">
        <w:rPr>
          <w:rFonts w:ascii="Arial" w:hAnsi="Arial" w:cs="Arial"/>
          <w:sz w:val="20"/>
          <w:szCs w:val="20"/>
          <w:lang w:val="es-MX"/>
        </w:rPr>
        <w:t xml:space="preserve"> 57, 660-723 (2012)</w:t>
      </w:r>
      <w:bookmarkEnd w:id="162"/>
    </w:p>
    <w:p w:rsidR="004B4415" w:rsidRPr="00575A88" w:rsidRDefault="004B4415" w:rsidP="004B4415">
      <w:pPr>
        <w:spacing w:line="360" w:lineRule="auto"/>
        <w:jc w:val="both"/>
        <w:rPr>
          <w:rFonts w:ascii="Arial" w:hAnsi="Arial" w:cs="Arial"/>
          <w:b/>
          <w:lang w:val="es-MX"/>
        </w:rPr>
      </w:pPr>
    </w:p>
    <w:p w:rsidR="00575A88" w:rsidRPr="0037343C" w:rsidRDefault="00575A88" w:rsidP="0037343C">
      <w:pPr>
        <w:pStyle w:val="1Titulo"/>
        <w:numPr>
          <w:ilvl w:val="0"/>
          <w:numId w:val="0"/>
        </w:numPr>
        <w:ind w:left="357"/>
        <w:rPr>
          <w:sz w:val="28"/>
          <w:szCs w:val="28"/>
        </w:rPr>
      </w:pPr>
      <w:bookmarkStart w:id="172" w:name="_Toc50031263"/>
      <w:r w:rsidRPr="0037343C">
        <w:rPr>
          <w:sz w:val="28"/>
          <w:szCs w:val="28"/>
        </w:rPr>
        <w:t>Detección  del ángulo de arribo de  señales de voz en movimiento</w:t>
      </w:r>
      <w:bookmarkEnd w:id="172"/>
    </w:p>
    <w:p w:rsidR="00575A88" w:rsidRDefault="00575A88" w:rsidP="00575A88">
      <w:pPr>
        <w:jc w:val="center"/>
        <w:rPr>
          <w:rFonts w:eastAsia="Batang" w:cs="Times New Roman"/>
          <w:color w:val="000000"/>
          <w:sz w:val="28"/>
          <w:szCs w:val="28"/>
        </w:rPr>
      </w:pPr>
    </w:p>
    <w:p w:rsidR="00575A88" w:rsidRPr="00575A88" w:rsidRDefault="00575A88" w:rsidP="00575A88">
      <w:pPr>
        <w:pStyle w:val="Author"/>
        <w:rPr>
          <w:lang w:val="es-MX"/>
        </w:rPr>
      </w:pPr>
      <w:r>
        <w:rPr>
          <w:rFonts w:ascii="Arial" w:hAnsi="Arial" w:cs="Arial"/>
          <w:sz w:val="24"/>
          <w:szCs w:val="24"/>
          <w:lang w:val="es-ES" w:eastAsia="ko-KR"/>
        </w:rPr>
        <w:t>Escobar L. H.,</w:t>
      </w:r>
      <w:r>
        <w:rPr>
          <w:rFonts w:ascii="Arial" w:hAnsi="Arial" w:cs="Arial"/>
          <w:szCs w:val="24"/>
          <w:vertAlign w:val="superscript"/>
          <w:lang w:val="es-ES"/>
        </w:rPr>
        <w:t xml:space="preserve">1 </w:t>
      </w:r>
      <w:r>
        <w:rPr>
          <w:rFonts w:ascii="Arial" w:hAnsi="Arial" w:cs="Arial"/>
          <w:szCs w:val="24"/>
          <w:lang w:val="es-ES"/>
        </w:rPr>
        <w:t xml:space="preserve">  Flores M.A.</w:t>
      </w:r>
      <w:r>
        <w:rPr>
          <w:rFonts w:ascii="Arial" w:hAnsi="Arial" w:cs="Arial"/>
          <w:szCs w:val="24"/>
          <w:vertAlign w:val="superscript"/>
          <w:lang w:val="es-ES"/>
        </w:rPr>
        <w:t xml:space="preserve">2   </w:t>
      </w:r>
      <w:r>
        <w:rPr>
          <w:rFonts w:ascii="Arial" w:hAnsi="Arial" w:cs="Arial"/>
          <w:sz w:val="24"/>
          <w:szCs w:val="24"/>
          <w:lang w:val="es-ES"/>
        </w:rPr>
        <w:t>y García C.I.</w:t>
      </w:r>
      <w:r>
        <w:rPr>
          <w:rFonts w:ascii="Arial" w:hAnsi="Arial" w:cs="Arial"/>
          <w:szCs w:val="24"/>
          <w:vertAlign w:val="superscript"/>
          <w:lang w:val="es-ES"/>
        </w:rPr>
        <w:t>3</w:t>
      </w:r>
    </w:p>
    <w:p w:rsidR="00575A88" w:rsidRPr="00575A88" w:rsidRDefault="00575A88" w:rsidP="00575A88">
      <w:pPr>
        <w:pStyle w:val="affiliation"/>
        <w:rPr>
          <w:lang w:val="es-MX"/>
        </w:rPr>
      </w:pPr>
      <w:r>
        <w:rPr>
          <w:rFonts w:ascii="Arial" w:hAnsi="Arial" w:cs="Arial"/>
          <w:sz w:val="24"/>
          <w:szCs w:val="24"/>
          <w:vertAlign w:val="superscript"/>
          <w:lang w:val="es-ES"/>
        </w:rPr>
        <w:t xml:space="preserve">1,2,3 </w:t>
      </w:r>
      <w:r>
        <w:rPr>
          <w:rFonts w:ascii="Arial" w:hAnsi="Arial" w:cs="Arial"/>
          <w:sz w:val="24"/>
          <w:szCs w:val="24"/>
          <w:lang w:val="es-ES"/>
        </w:rPr>
        <w:t xml:space="preserve">Facultad de Ingeniería, Universidad Nacional Autónoma de México </w:t>
      </w:r>
    </w:p>
    <w:p w:rsidR="00575A88" w:rsidRDefault="00575A88" w:rsidP="00575A88">
      <w:pPr>
        <w:pStyle w:val="affiliation"/>
        <w:rPr>
          <w:rFonts w:ascii="Arial" w:hAnsi="Arial" w:cs="Arial"/>
          <w:sz w:val="24"/>
          <w:szCs w:val="24"/>
          <w:lang w:val="es-ES"/>
        </w:rPr>
      </w:pPr>
    </w:p>
    <w:p w:rsidR="00575A88" w:rsidRPr="00575A88" w:rsidRDefault="001345E4" w:rsidP="00575A88">
      <w:pPr>
        <w:pStyle w:val="affiliation"/>
        <w:rPr>
          <w:lang w:val="es-ES"/>
        </w:rPr>
      </w:pPr>
      <w:hyperlink r:id="rId679" w:history="1">
        <w:r w:rsidR="00575A88">
          <w:rPr>
            <w:rStyle w:val="Hipervnculo"/>
            <w:rFonts w:ascii="Arial" w:hAnsi="Arial" w:cs="Arial"/>
            <w:sz w:val="24"/>
            <w:szCs w:val="24"/>
            <w:lang w:val="es-ES"/>
          </w:rPr>
          <w:t>esco_lar@yahoo.com</w:t>
        </w:r>
      </w:hyperlink>
      <w:r w:rsidR="00575A88">
        <w:rPr>
          <w:rFonts w:ascii="Arial" w:hAnsi="Arial" w:cs="Arial"/>
          <w:sz w:val="24"/>
          <w:szCs w:val="24"/>
          <w:lang w:val="es-ES"/>
        </w:rPr>
        <w:t xml:space="preserve">,  </w:t>
      </w:r>
      <w:r w:rsidR="00575A88">
        <w:rPr>
          <w:rFonts w:ascii="Arial" w:hAnsi="Arial" w:cs="Arial"/>
          <w:szCs w:val="22"/>
          <w:lang w:val="es-ES"/>
        </w:rPr>
        <w:t xml:space="preserve"> mickey.floresg@gmail.com</w:t>
      </w:r>
      <w:r w:rsidR="00575A88">
        <w:rPr>
          <w:rFonts w:ascii="Arial" w:hAnsi="Arial" w:cs="Arial"/>
          <w:sz w:val="24"/>
          <w:szCs w:val="24"/>
          <w:lang w:val="es-ES"/>
        </w:rPr>
        <w:t xml:space="preserve">, </w:t>
      </w:r>
      <w:r w:rsidR="00575A88" w:rsidRPr="00575A88">
        <w:rPr>
          <w:rFonts w:ascii="Arial" w:hAnsi="Arial" w:cs="Arial"/>
          <w:lang w:val="es-ES"/>
        </w:rPr>
        <w:t>karlos.kigs@gmail.com</w:t>
      </w:r>
    </w:p>
    <w:p w:rsidR="00575A88" w:rsidRDefault="00575A88" w:rsidP="00575A88">
      <w:pPr>
        <w:pStyle w:val="affiliation"/>
        <w:rPr>
          <w:rFonts w:ascii="Arial" w:hAnsi="Arial" w:cs="Arial"/>
          <w:sz w:val="24"/>
          <w:szCs w:val="24"/>
          <w:lang w:val="es-ES"/>
        </w:rPr>
      </w:pPr>
    </w:p>
    <w:p w:rsidR="00575A88" w:rsidRPr="0037343C" w:rsidRDefault="00575A88" w:rsidP="00575A88">
      <w:pPr>
        <w:pStyle w:val="Ttulo1"/>
        <w:keepLines w:val="0"/>
        <w:numPr>
          <w:ilvl w:val="0"/>
          <w:numId w:val="1"/>
        </w:numPr>
        <w:tabs>
          <w:tab w:val="clear" w:pos="432"/>
          <w:tab w:val="left" w:pos="0"/>
        </w:tabs>
        <w:suppressAutoHyphens/>
        <w:spacing w:before="0" w:after="0" w:line="360" w:lineRule="auto"/>
        <w:ind w:left="0" w:firstLine="0"/>
        <w:rPr>
          <w:sz w:val="24"/>
          <w:szCs w:val="24"/>
        </w:rPr>
      </w:pPr>
      <w:bookmarkStart w:id="173" w:name="_Toc50031264"/>
      <w:r w:rsidRPr="0037343C">
        <w:rPr>
          <w:rFonts w:ascii="Arial" w:hAnsi="Arial" w:cs="Arial"/>
          <w:caps/>
          <w:sz w:val="24"/>
          <w:szCs w:val="24"/>
        </w:rPr>
        <w:lastRenderedPageBreak/>
        <w:t>1. R</w:t>
      </w:r>
      <w:r w:rsidRPr="0037343C">
        <w:rPr>
          <w:rFonts w:ascii="Arial" w:hAnsi="Arial" w:cs="Arial"/>
          <w:sz w:val="24"/>
          <w:szCs w:val="24"/>
        </w:rPr>
        <w:t>esumen</w:t>
      </w:r>
      <w:bookmarkEnd w:id="173"/>
      <w:r w:rsidRPr="0037343C">
        <w:rPr>
          <w:rFonts w:ascii="Arial" w:hAnsi="Arial" w:cs="Arial"/>
          <w:caps/>
          <w:sz w:val="24"/>
          <w:szCs w:val="24"/>
        </w:rPr>
        <w:t xml:space="preserve"> </w:t>
      </w:r>
    </w:p>
    <w:p w:rsidR="00575A88" w:rsidRDefault="00575A88" w:rsidP="00575A88">
      <w:pPr>
        <w:ind w:firstLine="567"/>
        <w:jc w:val="both"/>
      </w:pPr>
      <w:r>
        <w:rPr>
          <w:rFonts w:ascii="Arial" w:hAnsi="Arial" w:cs="Arial"/>
          <w:color w:val="000000"/>
        </w:rPr>
        <w:t>Se presenta  un sistema que estima en tiempo real el ángulo de arribo  (DOA) de una señal de voz proveniente de una fuente en movimiento, utilizando un arreglo de micrófonos con técnicas de formador de haz (BF). A la fecha, se han desarrollado diferentes metodologías y algoritmos para la estimación de DOA de fuentes de voz estáticas, como correlación, espectrales y basados en valores característicos.  En este trabajo se presenta resultados con  fuentes de voz en movimiento en un arreglo con seis micrófonos, con la metodología BF adaptale del tipo de cancelación de lóbulos laterales (GSC)</w:t>
      </w:r>
      <w:r>
        <w:rPr>
          <w:rFonts w:ascii="Arial" w:hAnsi="Arial" w:cs="Arial"/>
          <w:color w:val="000000"/>
          <w:vertAlign w:val="superscript"/>
        </w:rPr>
        <w:t>[1,2,3]</w:t>
      </w:r>
      <w:r>
        <w:rPr>
          <w:rFonts w:ascii="Arial" w:hAnsi="Arial" w:cs="Arial"/>
          <w:color w:val="000000"/>
        </w:rPr>
        <w:t xml:space="preserve"> y posteriormente un filtro de Kalman para una mejor estimación del DOA</w:t>
      </w:r>
      <w:r>
        <w:rPr>
          <w:rFonts w:ascii="Arial" w:hAnsi="Arial" w:cs="Arial"/>
          <w:color w:val="000000"/>
          <w:vertAlign w:val="superscript"/>
        </w:rPr>
        <w:t>[4]</w:t>
      </w:r>
      <w:r>
        <w:rPr>
          <w:rFonts w:ascii="Arial" w:hAnsi="Arial" w:cs="Arial"/>
          <w:color w:val="000000"/>
        </w:rPr>
        <w:t>, para detectar señales de voz provenientes de diferentes fuentes posicionadas dentro de un intervalo angular  0</w:t>
      </w:r>
      <w:r>
        <w:rPr>
          <w:rFonts w:ascii="Arial" w:hAnsi="Arial" w:cs="Arial"/>
          <w:color w:val="000000"/>
          <w:vertAlign w:val="superscript"/>
        </w:rPr>
        <w:t>0</w:t>
      </w:r>
      <w:r>
        <w:rPr>
          <w:rFonts w:ascii="Arial" w:hAnsi="Arial" w:cs="Arial"/>
          <w:color w:val="000000"/>
        </w:rPr>
        <w:t xml:space="preserve"> ≤ θ &lt; 360</w:t>
      </w:r>
      <w:r>
        <w:rPr>
          <w:rFonts w:ascii="Arial" w:hAnsi="Arial" w:cs="Arial"/>
          <w:color w:val="000000"/>
          <w:vertAlign w:val="superscript"/>
        </w:rPr>
        <w:t>0</w:t>
      </w:r>
      <w:r>
        <w:rPr>
          <w:rFonts w:ascii="Arial" w:hAnsi="Arial" w:cs="Arial"/>
          <w:color w:val="000000"/>
        </w:rPr>
        <w:t>. En las pruebas se obtuvieron variaciones angulares  con valor mínimo de un grado y máximo de seis grados.</w:t>
      </w:r>
    </w:p>
    <w:p w:rsidR="00575A88" w:rsidRDefault="00575A88" w:rsidP="00575A88">
      <w:pPr>
        <w:ind w:firstLine="567"/>
        <w:jc w:val="both"/>
        <w:rPr>
          <w:rFonts w:ascii="Arial" w:hAnsi="Arial" w:cs="Arial"/>
          <w:color w:val="000000"/>
        </w:rPr>
      </w:pPr>
    </w:p>
    <w:p w:rsidR="00575A88" w:rsidRDefault="00575A88" w:rsidP="00575A88">
      <w:pPr>
        <w:ind w:firstLine="567"/>
        <w:jc w:val="both"/>
        <w:rPr>
          <w:rFonts w:ascii="Arial" w:hAnsi="Arial" w:cs="Arial"/>
          <w:color w:val="000000"/>
        </w:rPr>
      </w:pPr>
    </w:p>
    <w:p w:rsidR="00575A88" w:rsidRPr="0037343C" w:rsidRDefault="00575A88" w:rsidP="00575A88">
      <w:pPr>
        <w:pStyle w:val="Ttulo1"/>
        <w:keepLines w:val="0"/>
        <w:numPr>
          <w:ilvl w:val="0"/>
          <w:numId w:val="1"/>
        </w:numPr>
        <w:tabs>
          <w:tab w:val="clear" w:pos="432"/>
          <w:tab w:val="left" w:pos="0"/>
        </w:tabs>
        <w:suppressAutoHyphens/>
        <w:spacing w:before="0" w:after="0" w:line="360" w:lineRule="auto"/>
        <w:ind w:left="0" w:firstLine="0"/>
        <w:rPr>
          <w:sz w:val="24"/>
          <w:szCs w:val="24"/>
        </w:rPr>
      </w:pPr>
      <w:bookmarkStart w:id="174" w:name="_Toc50031265"/>
      <w:r w:rsidRPr="0037343C">
        <w:rPr>
          <w:rFonts w:ascii="Arial" w:hAnsi="Arial" w:cs="Arial"/>
          <w:caps/>
          <w:sz w:val="24"/>
          <w:szCs w:val="24"/>
        </w:rPr>
        <w:t>2. I</w:t>
      </w:r>
      <w:r w:rsidRPr="0037343C">
        <w:rPr>
          <w:rFonts w:ascii="Arial" w:hAnsi="Arial" w:cs="Arial"/>
          <w:sz w:val="24"/>
          <w:szCs w:val="24"/>
        </w:rPr>
        <w:t>ntroducción</w:t>
      </w:r>
      <w:bookmarkEnd w:id="174"/>
      <w:r w:rsidRPr="0037343C">
        <w:rPr>
          <w:rFonts w:ascii="Arial" w:hAnsi="Arial" w:cs="Arial"/>
          <w:caps/>
          <w:sz w:val="24"/>
          <w:szCs w:val="24"/>
        </w:rPr>
        <w:t xml:space="preserve"> </w:t>
      </w:r>
    </w:p>
    <w:p w:rsidR="00575A88" w:rsidRDefault="00575A88" w:rsidP="00575A88">
      <w:pPr>
        <w:jc w:val="both"/>
      </w:pPr>
      <w:r>
        <w:rPr>
          <w:rFonts w:eastAsia="Times New Roman"/>
        </w:rPr>
        <w:t xml:space="preserve">     </w:t>
      </w:r>
      <w:r>
        <w:rPr>
          <w:rFonts w:ascii="Arial" w:hAnsi="Arial" w:cs="Arial"/>
        </w:rPr>
        <w:t xml:space="preserve">En ambientes reales se presentan múltiples reflexiones y reverberaciones que tienden a convertirse en interferencia o ruido ambiental y afectan la señal  deseada a detectar. La aplicación de arreglos de sensores se basa en el tratamiento de los datos adquiridos por medio de diferentes micrófonos ubicados en lugares específicos, esta técnica  se basa principalmente en el proceso de estimación de retardos y variaciones de amplitudes de los frentes de onda adquiridos en cada uno de los elementos del arreglo. Los retardos de tiempo de arribo entre micrófonos van a depender del tipo de geometría del arreglo seleccionado, la distancia entre la fuente de señales y la referencia del arreglo de micrófonos. Las aplicaciones más comunes en el uso de arreglos de micrófonos se centran en la reducción de ruido, localización y seguimiento de fuentes de sonido, y filtrado espacial, separación de fuentes, entre otras.  </w:t>
      </w:r>
    </w:p>
    <w:p w:rsidR="00575A88" w:rsidRDefault="00575A88" w:rsidP="00575A88">
      <w:pPr>
        <w:ind w:firstLine="539"/>
        <w:jc w:val="both"/>
      </w:pPr>
      <w:r>
        <w:rPr>
          <w:rFonts w:ascii="Arial" w:hAnsi="Arial" w:cs="Arial"/>
          <w:color w:val="000000"/>
        </w:rPr>
        <w:t>Este trabajo utiliza la metodología BF, realizando filtrado espacial de fuentes de señales de voz, y calcula la energía direccionando el ángulo del formador de haz, con la metodología BF adaptale del tipo de cancelación de lóbulos laterales (GSC) y posteriormente un filtro de Kalman para una mejor estimación del DOA.  Se presenta los resultados obtenidos con  fuentes de voz en movimiento  que se adquirieron por medio de un arreglo circular</w:t>
      </w:r>
      <w:r>
        <w:rPr>
          <w:rFonts w:ascii="Arial" w:hAnsi="Arial" w:cs="Arial"/>
          <w:b/>
          <w:color w:val="000000"/>
        </w:rPr>
        <w:t xml:space="preserve"> </w:t>
      </w:r>
      <w:r>
        <w:rPr>
          <w:rFonts w:ascii="Arial" w:hAnsi="Arial" w:cs="Arial"/>
          <w:color w:val="000000"/>
        </w:rPr>
        <w:t>utilizando seis micrófonos.  Se estima la dirección de arribo de señales de voz provenientes de diferentes fuentes posicionadas dentro de un intervalo de 0</w:t>
      </w:r>
      <w:r>
        <w:rPr>
          <w:rFonts w:ascii="Arial" w:hAnsi="Arial" w:cs="Arial"/>
          <w:color w:val="000000"/>
          <w:vertAlign w:val="superscript"/>
        </w:rPr>
        <w:t>0</w:t>
      </w:r>
      <w:r>
        <w:rPr>
          <w:rFonts w:ascii="Arial" w:hAnsi="Arial" w:cs="Arial"/>
          <w:color w:val="000000"/>
        </w:rPr>
        <w:t xml:space="preserve"> ≤ θ &lt; 360</w:t>
      </w:r>
      <w:r>
        <w:rPr>
          <w:rFonts w:ascii="Arial" w:hAnsi="Arial" w:cs="Arial"/>
          <w:color w:val="000000"/>
          <w:vertAlign w:val="superscript"/>
        </w:rPr>
        <w:t>0</w:t>
      </w:r>
      <w:r>
        <w:rPr>
          <w:rFonts w:ascii="Arial" w:hAnsi="Arial" w:cs="Arial"/>
          <w:color w:val="000000"/>
        </w:rPr>
        <w:t xml:space="preserve"> grados. Las variaciones angulares de los resultados respecto del valor angular se obtuvo una mínima de un grado y máxima de siete grados</w:t>
      </w:r>
      <w:r>
        <w:rPr>
          <w:rFonts w:ascii="Arial" w:hAnsi="Arial" w:cs="Arial"/>
          <w:color w:val="000000"/>
          <w:vertAlign w:val="superscript"/>
        </w:rPr>
        <w:t>[4]</w:t>
      </w:r>
      <w:r>
        <w:rPr>
          <w:rFonts w:ascii="Arial" w:hAnsi="Arial" w:cs="Arial"/>
          <w:color w:val="000000"/>
        </w:rPr>
        <w:t>. Esta metodología se puede extender a varias fuentes fijas y en movimiento.</w:t>
      </w:r>
    </w:p>
    <w:p w:rsidR="00575A88" w:rsidRDefault="00575A88" w:rsidP="00575A88">
      <w:pPr>
        <w:jc w:val="both"/>
      </w:pPr>
      <w:r>
        <w:rPr>
          <w:rFonts w:ascii="Arial" w:eastAsia="Arial" w:hAnsi="Arial" w:cs="Arial"/>
          <w:color w:val="000000"/>
        </w:rPr>
        <w:t xml:space="preserve">     </w:t>
      </w:r>
      <w:r>
        <w:rPr>
          <w:rFonts w:ascii="Arial" w:hAnsi="Arial" w:cs="Arial"/>
          <w:color w:val="000000"/>
        </w:rPr>
        <w:t>En un ambiente acústico no controlado, pueden estar presentes más de una fuente de voz localizadas en diferentes posiciones del recinto y comunicarse entre sí o hablar al mismo tiempo, de tal manera que dificulta la localización de cada una de ellas. Además de la señal emitida por la fuente de voz, también se presentan los rebotes de la misma señal, es decir, las señales reflejadas de menor intensidad y con retardo producidas en las paredes del recinto.</w:t>
      </w:r>
    </w:p>
    <w:p w:rsidR="00575A88" w:rsidRDefault="00575A88" w:rsidP="00575A88">
      <w:pPr>
        <w:ind w:firstLine="539"/>
        <w:jc w:val="both"/>
      </w:pPr>
      <w:r>
        <w:rPr>
          <w:rFonts w:ascii="Arial" w:hAnsi="Arial" w:cs="Arial"/>
          <w:color w:val="000000"/>
        </w:rPr>
        <w:lastRenderedPageBreak/>
        <w:t>En la sección tres, se explican los diferentes métodos que se utilizan en la localización del DOA, en cuatro los resultados obtenidos en arreglos  circulares y al final las conclusiones.</w:t>
      </w:r>
    </w:p>
    <w:p w:rsidR="00575A88" w:rsidRDefault="00575A88" w:rsidP="00575A88">
      <w:pPr>
        <w:ind w:firstLine="539"/>
        <w:jc w:val="both"/>
        <w:rPr>
          <w:rFonts w:ascii="Arial" w:hAnsi="Arial" w:cs="Arial"/>
          <w:b/>
          <w:color w:val="000000"/>
        </w:rPr>
      </w:pPr>
    </w:p>
    <w:p w:rsidR="00575A88" w:rsidRDefault="00575A88" w:rsidP="0037343C">
      <w:pPr>
        <w:pStyle w:val="1Titulo"/>
        <w:numPr>
          <w:ilvl w:val="0"/>
          <w:numId w:val="0"/>
        </w:numPr>
        <w:ind w:left="357"/>
      </w:pPr>
      <w:bookmarkStart w:id="175" w:name="_Toc50031266"/>
      <w:r>
        <w:t>3. Condiciones experimentales</w:t>
      </w:r>
      <w:bookmarkEnd w:id="175"/>
    </w:p>
    <w:p w:rsidR="00575A88" w:rsidRDefault="00575A88" w:rsidP="00575A88">
      <w:pPr>
        <w:jc w:val="both"/>
      </w:pPr>
      <w:r>
        <w:rPr>
          <w:rFonts w:ascii="Arial" w:eastAsia="Arial" w:hAnsi="Arial" w:cs="Arial"/>
        </w:rPr>
        <w:t xml:space="preserve">    </w:t>
      </w:r>
      <w:r>
        <w:rPr>
          <w:rFonts w:ascii="Arial" w:hAnsi="Arial" w:cs="Arial"/>
        </w:rPr>
        <w:t>Para el análisis consideramos la metodología de ubicar las fuentes de voz lo suficientemente lejos con respecto al arreglo de micrófonos, el frente de onda se puede considerar en forma plana de acuerdo a la teoría del modelo de campo lejano</w:t>
      </w:r>
      <w:r>
        <w:rPr>
          <w:rFonts w:ascii="Arial" w:hAnsi="Arial" w:cs="Arial"/>
          <w:vertAlign w:val="superscript"/>
        </w:rPr>
        <w:t>[5,6,7]</w:t>
      </w:r>
      <w:r>
        <w:rPr>
          <w:rFonts w:ascii="Arial" w:hAnsi="Arial" w:cs="Arial"/>
          <w:sz w:val="24"/>
        </w:rPr>
        <w:t>:</w:t>
      </w:r>
    </w:p>
    <w:p w:rsidR="00575A88" w:rsidRDefault="00575A88" w:rsidP="00575A88">
      <w:pPr>
        <w:jc w:val="both"/>
      </w:pPr>
      <w:r>
        <w:rPr>
          <w:rFonts w:ascii="Arial" w:eastAsia="Arial" w:hAnsi="Arial" w:cs="Arial"/>
          <w:vertAlign w:val="superscript"/>
        </w:rPr>
        <w:t xml:space="preserve">                                                                                       </w:t>
      </w:r>
      <w:r>
        <w:object w:dxaOrig="841" w:dyaOrig="632">
          <v:shape id="_x0000_i1272" type="#_x0000_t75" style="width:43.2pt;height:28.8pt" o:ole="" filled="t">
            <v:fill color2="black"/>
            <v:imagedata r:id="rId680" o:title=""/>
          </v:shape>
          <o:OLEObject Type="Embed" ProgID="Equation.3" ShapeID="_x0000_i1272" DrawAspect="Content" ObjectID="_1660649369" r:id="rId681"/>
        </w:object>
      </w:r>
      <w:r>
        <w:rPr>
          <w:rFonts w:ascii="Arial" w:eastAsia="Arial" w:hAnsi="Arial" w:cs="Arial"/>
          <w:vertAlign w:val="superscript"/>
        </w:rPr>
        <w:t xml:space="preserve">                                                                                                                     </w:t>
      </w:r>
      <w:r>
        <w:rPr>
          <w:rFonts w:ascii="Arial" w:eastAsia="Arial" w:hAnsi="Arial" w:cs="Arial"/>
          <w:sz w:val="24"/>
        </w:rPr>
        <w:t xml:space="preserve">  </w:t>
      </w:r>
      <w:r>
        <w:rPr>
          <w:rFonts w:ascii="Arial" w:hAnsi="Arial" w:cs="Arial"/>
          <w:sz w:val="24"/>
        </w:rPr>
        <w:t>(1)</w:t>
      </w:r>
    </w:p>
    <w:p w:rsidR="00575A88" w:rsidRDefault="00575A88" w:rsidP="00575A88">
      <w:pPr>
        <w:jc w:val="both"/>
      </w:pPr>
      <w:r>
        <w:rPr>
          <w:rFonts w:ascii="Arial" w:hAnsi="Arial" w:cs="Arial"/>
          <w:i/>
          <w:iCs/>
        </w:rPr>
        <w:t xml:space="preserve">r </w:t>
      </w:r>
      <w:r>
        <w:rPr>
          <w:rFonts w:ascii="Arial" w:hAnsi="Arial" w:cs="Arial"/>
        </w:rPr>
        <w:t xml:space="preserve">: distancia radial, </w:t>
      </w:r>
      <w:r>
        <w:object w:dxaOrig="279" w:dyaOrig="295">
          <v:shape id="_x0000_i1273" type="#_x0000_t75" style="width:14.4pt;height:14.4pt" o:ole="" filled="t">
            <v:fill color2="black"/>
            <v:imagedata r:id="rId682" o:title=""/>
          </v:shape>
          <o:OLEObject Type="Embed" ProgID="Equation.3" ShapeID="_x0000_i1273" DrawAspect="Content" ObjectID="_1660649370" r:id="rId683"/>
        </w:object>
      </w:r>
      <w:r>
        <w:rPr>
          <w:rFonts w:ascii="Arial" w:hAnsi="Arial" w:cs="Arial"/>
        </w:rPr>
        <w:t xml:space="preserve">: longitud de onda, </w:t>
      </w:r>
      <w:r>
        <w:rPr>
          <w:rFonts w:ascii="Arial" w:hAnsi="Arial" w:cs="Arial"/>
          <w:i/>
          <w:iCs/>
        </w:rPr>
        <w:t xml:space="preserve"> L</w:t>
      </w:r>
      <w:r>
        <w:rPr>
          <w:rFonts w:ascii="Arial" w:hAnsi="Arial" w:cs="Arial"/>
        </w:rPr>
        <w:t xml:space="preserve">: longitud del arreglo. </w:t>
      </w:r>
    </w:p>
    <w:p w:rsidR="00575A88" w:rsidRDefault="00575A88" w:rsidP="00575A88">
      <w:pPr>
        <w:jc w:val="both"/>
        <w:rPr>
          <w:rFonts w:ascii="Arial" w:hAnsi="Arial" w:cs="Arial"/>
        </w:rPr>
      </w:pPr>
    </w:p>
    <w:p w:rsidR="00575A88" w:rsidRDefault="00575A88" w:rsidP="00575A88">
      <w:pPr>
        <w:jc w:val="both"/>
      </w:pPr>
      <w:r>
        <w:rPr>
          <w:rFonts w:ascii="Arial" w:eastAsia="Arial" w:hAnsi="Arial" w:cs="Arial"/>
        </w:rPr>
        <w:t xml:space="preserve">     </w:t>
      </w:r>
      <w:r>
        <w:rPr>
          <w:rFonts w:ascii="Arial" w:hAnsi="Arial" w:cs="Arial"/>
        </w:rPr>
        <w:t>Para la detección de DOA, se han desarrollado diferentes metodologías y algoritmos para la estimación de la dirección de arribo (DOA) de fuentes de voz estáticas, como el método de correlación cruzada generalizada (GCC), sin embargo, su respuesta es pobre cuando se trata de un recinto con reverberación. Las técnicas basadas en la diferencia del tiempo de arribo (TDOA) son estimadas por variaciones de GCC y en conjunto con la transformada de fase (GCC-PHAT)</w:t>
      </w:r>
      <w:r>
        <w:rPr>
          <w:rFonts w:ascii="Arial" w:hAnsi="Arial" w:cs="Arial"/>
          <w:vertAlign w:val="superscript"/>
        </w:rPr>
        <w:t>[1,2]</w:t>
      </w:r>
      <w:r>
        <w:rPr>
          <w:rFonts w:ascii="Arial" w:hAnsi="Arial" w:cs="Arial"/>
        </w:rPr>
        <w:t xml:space="preserve">, utilizadas en audición con robots de servicios y en sistemas de videoconferencias. Otros algoritmos se basan en las características de la matriz de covarianza de las señales adquiridas a través de los micrófonos del arreglo por medio de la eigendescomposición, como es el caso del algoritmo de clasificación de múltiples señales (MUSIC), que puede estimar </w:t>
      </w:r>
      <w:r>
        <w:rPr>
          <w:rFonts w:ascii="Arial" w:hAnsi="Arial" w:cs="Arial"/>
          <w:i/>
          <w:iCs/>
        </w:rPr>
        <w:t>M−1</w:t>
      </w:r>
      <w:r>
        <w:rPr>
          <w:rFonts w:ascii="Arial" w:hAnsi="Arial" w:cs="Arial"/>
        </w:rPr>
        <w:t xml:space="preserve"> señales y su respectivo DOA en un arreglo de </w:t>
      </w:r>
      <w:r>
        <w:rPr>
          <w:rFonts w:ascii="Arial" w:hAnsi="Arial" w:cs="Arial"/>
          <w:i/>
          <w:iCs/>
        </w:rPr>
        <w:t>M</w:t>
      </w:r>
      <w:r>
        <w:rPr>
          <w:rFonts w:ascii="Arial" w:hAnsi="Arial" w:cs="Arial"/>
        </w:rPr>
        <w:t xml:space="preserve"> micrófonos, con la restricción de utilizarse en señales de banda angosta, esta metodología puede ser útil para fuentes estáticas, ya que la descomposición de matrices conlleva a un gran peso y complejidad computacional y mucho tiempo de proceso, que para el caso de fuentes en movimiento no es conveniente. </w:t>
      </w:r>
    </w:p>
    <w:p w:rsidR="00575A88" w:rsidRDefault="00575A88" w:rsidP="00575A88">
      <w:pPr>
        <w:jc w:val="both"/>
      </w:pPr>
      <w:r>
        <w:rPr>
          <w:rFonts w:ascii="Arial" w:eastAsia="Arial" w:hAnsi="Arial" w:cs="Arial"/>
        </w:rPr>
        <w:t xml:space="preserve">    </w:t>
      </w:r>
      <w:r>
        <w:rPr>
          <w:rFonts w:ascii="Arial" w:hAnsi="Arial" w:cs="Arial"/>
        </w:rPr>
        <w:t>La disyuntiva de los métodos de localización de fuentes de voz es que para frecuencias bajas, la apertura del lóbulo principal en el patrón de radiación del formador de haz es muy amplio, lo que dificulta la exactitud de la localización y al mismo tiempo limita el número de fuentes sonoras que pueden ser localizadas</w:t>
      </w:r>
      <w:r>
        <w:rPr>
          <w:rFonts w:ascii="Arial" w:hAnsi="Arial" w:cs="Arial"/>
          <w:vertAlign w:val="superscript"/>
        </w:rPr>
        <w:t>[4]</w:t>
      </w:r>
      <w:r>
        <w:rPr>
          <w:rFonts w:ascii="Arial" w:hAnsi="Arial" w:cs="Arial"/>
        </w:rPr>
        <w:t>.</w:t>
      </w:r>
    </w:p>
    <w:p w:rsidR="00575A88" w:rsidRDefault="00575A88" w:rsidP="00575A88">
      <w:pPr>
        <w:jc w:val="both"/>
        <w:rPr>
          <w:rFonts w:ascii="Arial" w:hAnsi="Arial" w:cs="Arial"/>
        </w:rPr>
      </w:pPr>
    </w:p>
    <w:p w:rsidR="00575A88" w:rsidRDefault="00575A88" w:rsidP="00575A88">
      <w:pPr>
        <w:spacing w:line="360" w:lineRule="auto"/>
        <w:jc w:val="both"/>
      </w:pPr>
      <w:r>
        <w:rPr>
          <w:rFonts w:ascii="Arial" w:eastAsia="Batang" w:hAnsi="Arial" w:cs="Arial"/>
          <w:sz w:val="24"/>
          <w:szCs w:val="24"/>
          <w:lang w:eastAsia="ko-KR"/>
        </w:rPr>
        <w:t xml:space="preserve">3.1 Sistema </w:t>
      </w:r>
    </w:p>
    <w:p w:rsidR="00575A88" w:rsidRDefault="00575A88" w:rsidP="00575A88">
      <w:pPr>
        <w:jc w:val="both"/>
      </w:pPr>
      <w:r>
        <w:rPr>
          <w:rFonts w:ascii="Arial" w:hAnsi="Arial" w:cs="Arial"/>
        </w:rPr>
        <w:t>El sistema cuenta con una etapa de adquisición de señales por medio de un arreglo de micrófonos circular, con la tarjeta 8-SoundUSB. Se implementó un detector de actividad de voz (VAD) adaptable, para detectar voz en ambientes ruidosos.</w:t>
      </w: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pPr>
      <w:r>
        <w:rPr>
          <w:rFonts w:ascii="Arial" w:hAnsi="Arial" w:cs="Arial"/>
        </w:rPr>
        <w:t>En este trabajo se propone la detección DOA utilizando un bloque BF con el algoritmo GSC con bancos de filtros de la media de los mínimos cuadrados (LMS)</w:t>
      </w:r>
      <w:r>
        <w:rPr>
          <w:rFonts w:ascii="Arial" w:hAnsi="Arial" w:cs="Arial"/>
          <w:vertAlign w:val="superscript"/>
        </w:rPr>
        <w:t>[3]</w:t>
      </w:r>
      <w:r>
        <w:rPr>
          <w:rFonts w:ascii="Arial" w:hAnsi="Arial" w:cs="Arial"/>
        </w:rPr>
        <w:t xml:space="preserve"> y a su salida un estimador con un filtro de Kalman</w:t>
      </w:r>
      <w:r>
        <w:rPr>
          <w:rFonts w:ascii="Arial" w:hAnsi="Arial" w:cs="Arial"/>
          <w:vertAlign w:val="superscript"/>
        </w:rPr>
        <w:t>[4]</w:t>
      </w:r>
      <w:r>
        <w:rPr>
          <w:rFonts w:ascii="Arial" w:hAnsi="Arial" w:cs="Arial"/>
        </w:rPr>
        <w:t xml:space="preserve">, como se observa en las figuras 1 y  2, se muestra el arreglo de micrófonos utilizados en el laboratorio. En trabajos anteriores como en </w:t>
      </w:r>
      <w:r>
        <w:rPr>
          <w:rFonts w:ascii="Arial" w:hAnsi="Arial" w:cs="Arial"/>
          <w:vertAlign w:val="superscript"/>
        </w:rPr>
        <w:t xml:space="preserve">[2]  </w:t>
      </w:r>
      <w:r>
        <w:rPr>
          <w:rFonts w:ascii="Arial" w:hAnsi="Arial" w:cs="Arial"/>
          <w:sz w:val="24"/>
        </w:rPr>
        <w:t>ya hemos obtenidos resultados con el algoritmo GSC y arreglos lineales de micrófonos con fuentes estáticas.</w:t>
      </w:r>
    </w:p>
    <w:p w:rsidR="00575A88" w:rsidRDefault="00575A88" w:rsidP="00575A88">
      <w:pPr>
        <w:jc w:val="both"/>
        <w:rPr>
          <w:rFonts w:ascii="Arial" w:hAnsi="Arial" w:cs="Arial"/>
        </w:rPr>
      </w:pPr>
      <w:r>
        <w:rPr>
          <w:noProof/>
          <w:lang w:val="en-US"/>
        </w:rPr>
        <w:drawing>
          <wp:anchor distT="0" distB="0" distL="0" distR="0" simplePos="0" relativeHeight="251805696" behindDoc="0" locked="0" layoutInCell="1" allowOverlap="1" wp14:anchorId="70FFEFC4" wp14:editId="259E1E1A">
            <wp:simplePos x="0" y="0"/>
            <wp:positionH relativeFrom="column">
              <wp:posOffset>17780</wp:posOffset>
            </wp:positionH>
            <wp:positionV relativeFrom="paragraph">
              <wp:posOffset>118745</wp:posOffset>
            </wp:positionV>
            <wp:extent cx="2970530" cy="1356360"/>
            <wp:effectExtent l="0" t="0" r="1270" b="0"/>
            <wp:wrapSquare wrapText="largest"/>
            <wp:docPr id="269469664" name="Imagen 26946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2970530" cy="13563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0" distR="0" simplePos="0" relativeHeight="251809792" behindDoc="0" locked="0" layoutInCell="1" allowOverlap="1" wp14:anchorId="3DF59480" wp14:editId="114ED02A">
            <wp:simplePos x="0" y="0"/>
            <wp:positionH relativeFrom="column">
              <wp:posOffset>3269615</wp:posOffset>
            </wp:positionH>
            <wp:positionV relativeFrom="paragraph">
              <wp:posOffset>136525</wp:posOffset>
            </wp:positionV>
            <wp:extent cx="2600325" cy="1325880"/>
            <wp:effectExtent l="0" t="0" r="9525" b="7620"/>
            <wp:wrapSquare wrapText="largest"/>
            <wp:docPr id="1413571391" name="Imagen 141357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2600325" cy="13258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center"/>
        <w:rPr>
          <w:rFonts w:ascii="Arial" w:hAnsi="Arial" w:cs="Arial"/>
          <w:bCs/>
          <w:i/>
          <w:sz w:val="20"/>
          <w:szCs w:val="20"/>
        </w:rPr>
      </w:pPr>
    </w:p>
    <w:p w:rsidR="00575A88" w:rsidRDefault="00575A88" w:rsidP="00575A88">
      <w:pPr>
        <w:jc w:val="center"/>
        <w:rPr>
          <w:rFonts w:ascii="Arial" w:hAnsi="Arial" w:cs="Arial"/>
          <w:bCs/>
          <w:i/>
          <w:sz w:val="20"/>
          <w:szCs w:val="20"/>
        </w:rPr>
      </w:pPr>
    </w:p>
    <w:p w:rsidR="00575A88" w:rsidRDefault="00575A88" w:rsidP="00575A88">
      <w:pPr>
        <w:jc w:val="center"/>
      </w:pPr>
      <w:r>
        <w:rPr>
          <w:rFonts w:ascii="Arial" w:hAnsi="Arial" w:cs="Arial"/>
          <w:bCs/>
          <w:i/>
          <w:sz w:val="20"/>
          <w:szCs w:val="20"/>
        </w:rPr>
        <w:t xml:space="preserve">a)  Sistema general                                             b) Algoritmo GSC </w:t>
      </w:r>
    </w:p>
    <w:p w:rsidR="00575A88" w:rsidRDefault="00575A88" w:rsidP="00575A88">
      <w:pPr>
        <w:jc w:val="center"/>
        <w:rPr>
          <w:rFonts w:ascii="Arial" w:hAnsi="Arial" w:cs="Arial"/>
          <w:bCs/>
          <w:i/>
          <w:sz w:val="20"/>
          <w:szCs w:val="20"/>
        </w:rPr>
      </w:pPr>
    </w:p>
    <w:p w:rsidR="00575A88" w:rsidRDefault="00575A88" w:rsidP="00575A88">
      <w:pPr>
        <w:jc w:val="center"/>
      </w:pPr>
      <w:r>
        <w:rPr>
          <w:rFonts w:ascii="Arial" w:hAnsi="Arial" w:cs="Arial"/>
          <w:bCs/>
          <w:i/>
          <w:sz w:val="20"/>
          <w:szCs w:val="20"/>
        </w:rPr>
        <w:t>Figura 1.  Sistema  de estimación de DOA</w:t>
      </w: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r>
        <w:rPr>
          <w:noProof/>
          <w:lang w:val="en-US"/>
        </w:rPr>
        <w:lastRenderedPageBreak/>
        <w:drawing>
          <wp:anchor distT="0" distB="0" distL="0" distR="0" simplePos="0" relativeHeight="251806720" behindDoc="0" locked="0" layoutInCell="1" allowOverlap="1" wp14:anchorId="179490AF" wp14:editId="397F509B">
            <wp:simplePos x="0" y="0"/>
            <wp:positionH relativeFrom="column">
              <wp:posOffset>1993900</wp:posOffset>
            </wp:positionH>
            <wp:positionV relativeFrom="paragraph">
              <wp:posOffset>67945</wp:posOffset>
            </wp:positionV>
            <wp:extent cx="1922145" cy="2581275"/>
            <wp:effectExtent l="0" t="0" r="1905" b="9525"/>
            <wp:wrapSquare wrapText="largest"/>
            <wp:docPr id="1413571390" name="Imagen 141357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1922145" cy="2581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bCs/>
          <w:i/>
          <w:sz w:val="20"/>
          <w:szCs w:val="20"/>
        </w:rPr>
      </w:pPr>
    </w:p>
    <w:p w:rsidR="00575A88" w:rsidRDefault="00575A88" w:rsidP="00575A88">
      <w:pPr>
        <w:jc w:val="center"/>
      </w:pPr>
      <w:r>
        <w:rPr>
          <w:rFonts w:ascii="Arial" w:hAnsi="Arial" w:cs="Arial"/>
          <w:bCs/>
          <w:i/>
          <w:sz w:val="20"/>
          <w:szCs w:val="20"/>
        </w:rPr>
        <w:t>Figura 2.  Sistema  experimental con arreglo circular de seis micrófonos</w:t>
      </w:r>
    </w:p>
    <w:p w:rsidR="00575A88" w:rsidRDefault="00575A88" w:rsidP="00575A88">
      <w:pPr>
        <w:jc w:val="both"/>
      </w:pPr>
      <w:r>
        <w:rPr>
          <w:rFonts w:ascii="Arial" w:eastAsia="Arial" w:hAnsi="Arial" w:cs="Arial"/>
        </w:rPr>
        <w:t xml:space="preserve"> </w:t>
      </w:r>
    </w:p>
    <w:p w:rsidR="00575A88" w:rsidRDefault="00575A88" w:rsidP="00575A88">
      <w:pPr>
        <w:jc w:val="both"/>
      </w:pPr>
      <w:r>
        <w:rPr>
          <w:rFonts w:ascii="Arial" w:hAnsi="Arial" w:cs="Arial"/>
        </w:rPr>
        <w:t>3.2 Sistema generalizado de cancelación de lóbulos laterales (GSC)</w:t>
      </w:r>
    </w:p>
    <w:p w:rsidR="00575A88" w:rsidRDefault="00575A88" w:rsidP="00575A88">
      <w:pPr>
        <w:jc w:val="both"/>
        <w:rPr>
          <w:rFonts w:ascii="Arial" w:hAnsi="Arial" w:cs="Arial"/>
        </w:rPr>
      </w:pPr>
    </w:p>
    <w:p w:rsidR="00575A88" w:rsidRDefault="00575A88" w:rsidP="00575A88">
      <w:pPr>
        <w:jc w:val="both"/>
      </w:pPr>
      <w:r>
        <w:rPr>
          <w:rFonts w:ascii="Arial" w:eastAsia="Arial" w:hAnsi="Arial" w:cs="Arial"/>
        </w:rPr>
        <w:t xml:space="preserve">     </w:t>
      </w:r>
      <w:r>
        <w:rPr>
          <w:rFonts w:ascii="Arial" w:hAnsi="Arial" w:cs="Arial"/>
        </w:rPr>
        <w:t>La estructura mostrada en la figura 1.b consiste de cuatros bloques, un BF fijo para generar una señal de referencia, un bloque de la matriz de boqueo (BM)</w:t>
      </w:r>
      <w:r>
        <w:rPr>
          <w:rFonts w:ascii="Arial" w:hAnsi="Arial" w:cs="Arial"/>
          <w:vertAlign w:val="superscript"/>
        </w:rPr>
        <w:t>[4,8]</w:t>
      </w:r>
      <w:r>
        <w:rPr>
          <w:rFonts w:ascii="Arial" w:hAnsi="Arial" w:cs="Arial"/>
        </w:rPr>
        <w:t xml:space="preserve"> que extrae el ruido no correlacionado con los micrófonos, un algoritmo de filtrado adaptable (AF) para enfatizar el ruido y un bloque de rotroalimentación de la salida que trabaja con el algoritmo LMS normalizado (NLMS)</w:t>
      </w:r>
      <w:r>
        <w:rPr>
          <w:rFonts w:ascii="Arial" w:hAnsi="Arial" w:cs="Arial"/>
          <w:vertAlign w:val="superscript"/>
        </w:rPr>
        <w:t>[4]</w:t>
      </w:r>
      <w:r>
        <w:rPr>
          <w:rFonts w:ascii="Arial" w:hAnsi="Arial" w:cs="Arial"/>
        </w:rPr>
        <w:t xml:space="preserve"> para extracción de parámetro y alimentar al AF.</w:t>
      </w:r>
    </w:p>
    <w:p w:rsidR="00575A88" w:rsidRDefault="00575A88" w:rsidP="00575A88">
      <w:pPr>
        <w:jc w:val="both"/>
        <w:rPr>
          <w:rFonts w:ascii="Arial" w:hAnsi="Arial" w:cs="Arial"/>
        </w:rPr>
      </w:pPr>
    </w:p>
    <w:p w:rsidR="00575A88" w:rsidRDefault="00575A88" w:rsidP="00575A88">
      <w:pPr>
        <w:spacing w:line="360" w:lineRule="auto"/>
        <w:jc w:val="both"/>
      </w:pPr>
      <w:r>
        <w:rPr>
          <w:rFonts w:ascii="Arial" w:eastAsia="Batang" w:hAnsi="Arial" w:cs="Arial"/>
          <w:sz w:val="24"/>
          <w:szCs w:val="24"/>
          <w:lang w:eastAsia="ko-KR"/>
        </w:rPr>
        <w:t>3.3 Filtrado de Kalman (FK):</w:t>
      </w:r>
    </w:p>
    <w:p w:rsidR="00575A88" w:rsidRDefault="00575A88" w:rsidP="00575A88">
      <w:pPr>
        <w:jc w:val="both"/>
      </w:pPr>
      <w:r>
        <w:rPr>
          <w:rFonts w:ascii="Arial" w:eastAsia="Arial" w:hAnsi="Arial" w:cs="Arial"/>
        </w:rPr>
        <w:lastRenderedPageBreak/>
        <w:t xml:space="preserve">     </w:t>
      </w:r>
      <w:r>
        <w:rPr>
          <w:rFonts w:ascii="Arial" w:hAnsi="Arial" w:cs="Arial"/>
        </w:rPr>
        <w:t xml:space="preserve">El DOA de las señales provenientes de las fuentes de voz se definen como las observaciones </w:t>
      </w:r>
      <w:r>
        <w:rPr>
          <w:rFonts w:ascii="Arial" w:hAnsi="Arial" w:cs="Arial"/>
          <w:i/>
          <w:iCs/>
        </w:rPr>
        <w:t>O</w:t>
      </w:r>
      <w:r>
        <w:rPr>
          <w:rFonts w:ascii="Arial" w:hAnsi="Arial" w:cs="Arial"/>
          <w:i/>
          <w:iCs/>
          <w:vertAlign w:val="subscript"/>
        </w:rPr>
        <w:t>i</w:t>
      </w:r>
      <w:r>
        <w:rPr>
          <w:rFonts w:ascii="Arial" w:hAnsi="Arial" w:cs="Arial"/>
        </w:rPr>
        <w:t xml:space="preserve"> en el tiempo </w:t>
      </w:r>
      <w:r>
        <w:rPr>
          <w:rFonts w:ascii="Arial" w:hAnsi="Arial" w:cs="Arial"/>
          <w:i/>
          <w:iCs/>
        </w:rPr>
        <w:t>t</w:t>
      </w:r>
      <w:r>
        <w:rPr>
          <w:rFonts w:ascii="Arial" w:hAnsi="Arial" w:cs="Arial"/>
        </w:rPr>
        <w:t xml:space="preserve">, estas observaciones corresponden a las posibles  fuentes estimadas por el algolritmo GSC. En el bloque  FK se estima la posición correcta de la fuente, estima el estado </w:t>
      </w:r>
      <w:r>
        <w:rPr>
          <w:rFonts w:ascii="Arial" w:hAnsi="Arial" w:cs="Arial"/>
          <w:i/>
          <w:iCs/>
        </w:rPr>
        <w:t>x</w:t>
      </w:r>
      <w:r>
        <w:rPr>
          <w:rFonts w:ascii="Arial" w:hAnsi="Arial" w:cs="Arial"/>
          <w:i/>
          <w:iCs/>
          <w:vertAlign w:val="subscript"/>
        </w:rPr>
        <w:t>t</w:t>
      </w:r>
      <w:r>
        <w:rPr>
          <w:rFonts w:ascii="Arial" w:hAnsi="Arial" w:cs="Arial"/>
          <w:i/>
          <w:iCs/>
        </w:rPr>
        <w:t xml:space="preserve"> </w:t>
      </w:r>
      <w:r>
        <w:rPr>
          <w:rFonts w:ascii="Arial" w:hAnsi="Arial" w:cs="Arial"/>
        </w:rPr>
        <w:t>∈ R</w:t>
      </w:r>
      <w:r>
        <w:rPr>
          <w:rFonts w:ascii="Arial" w:hAnsi="Arial" w:cs="Arial"/>
          <w:vertAlign w:val="superscript"/>
        </w:rPr>
        <w:t xml:space="preserve">n </w:t>
      </w:r>
      <w:r>
        <w:rPr>
          <w:rFonts w:ascii="Arial" w:hAnsi="Arial" w:cs="Arial"/>
        </w:rPr>
        <w:t xml:space="preserve">de un proceso estocástico. El FK corrige  la estimación con base a la retroalimentación dada por las mediciones ruidosas.  En esta etapa, se calculan el estado a priori </w:t>
      </w:r>
      <w:r>
        <w:rPr>
          <w:rFonts w:ascii="Arial" w:hAnsi="Arial" w:cs="Arial"/>
          <w:i/>
          <w:iCs/>
        </w:rPr>
        <w:t>x̃</w:t>
      </w:r>
      <w:r>
        <w:rPr>
          <w:rFonts w:ascii="Arial" w:hAnsi="Arial" w:cs="Arial"/>
          <w:i/>
          <w:iCs/>
          <w:vertAlign w:val="subscript"/>
        </w:rPr>
        <w:t>t ̄</w:t>
      </w:r>
      <w:r>
        <w:rPr>
          <w:rFonts w:ascii="Arial" w:hAnsi="Arial" w:cs="Arial"/>
          <w:vertAlign w:val="subscript"/>
        </w:rPr>
        <w:t xml:space="preserve"> </w:t>
      </w:r>
      <w:r>
        <w:rPr>
          <w:rFonts w:ascii="Arial" w:hAnsi="Arial" w:cs="Arial"/>
        </w:rPr>
        <w:t xml:space="preserve">y la matriz de covarianza </w:t>
      </w:r>
      <w:r>
        <w:rPr>
          <w:rFonts w:ascii="Arial" w:hAnsi="Arial" w:cs="Arial"/>
          <w:b/>
          <w:bCs/>
          <w:i/>
          <w:iCs/>
        </w:rPr>
        <w:t>P,</w:t>
      </w:r>
      <w:r>
        <w:rPr>
          <w:rFonts w:ascii="Arial" w:hAnsi="Arial" w:cs="Arial"/>
        </w:rPr>
        <w:t xml:space="preserve"> debido a que el estado no se puede observar directamente. La predicción del estado a priori </w:t>
      </w:r>
      <w:r>
        <w:rPr>
          <w:rFonts w:ascii="Arial" w:hAnsi="Arial" w:cs="Arial"/>
          <w:i/>
          <w:iCs/>
        </w:rPr>
        <w:t>x̃</w:t>
      </w:r>
      <w:r>
        <w:rPr>
          <w:rFonts w:ascii="Arial" w:hAnsi="Arial" w:cs="Arial"/>
          <w:i/>
          <w:iCs/>
          <w:vertAlign w:val="subscript"/>
        </w:rPr>
        <w:t>t ̄</w:t>
      </w:r>
      <w:r>
        <w:rPr>
          <w:rFonts w:ascii="Arial" w:hAnsi="Arial" w:cs="Arial"/>
        </w:rPr>
        <w:t xml:space="preserve"> se calcula por medio de la expresión</w:t>
      </w:r>
      <w:r>
        <w:rPr>
          <w:rFonts w:ascii="Arial" w:hAnsi="Arial" w:cs="Arial"/>
          <w:vertAlign w:val="superscript"/>
        </w:rPr>
        <w:t>[9]</w:t>
      </w:r>
      <w:r>
        <w:rPr>
          <w:rFonts w:ascii="Arial" w:hAnsi="Arial" w:cs="Arial"/>
        </w:rPr>
        <w:t>:</w:t>
      </w:r>
    </w:p>
    <w:p w:rsidR="00575A88" w:rsidRDefault="00575A88" w:rsidP="00575A88">
      <w:pPr>
        <w:jc w:val="both"/>
        <w:rPr>
          <w:rFonts w:ascii="Arial" w:hAnsi="Arial" w:cs="Arial"/>
        </w:rPr>
      </w:pPr>
    </w:p>
    <w:p w:rsidR="00575A88" w:rsidRDefault="00575A88" w:rsidP="00575A88">
      <w:pPr>
        <w:jc w:val="both"/>
      </w:pPr>
      <w:r>
        <w:rPr>
          <w:rFonts w:ascii="Arial" w:eastAsia="Arial" w:hAnsi="Arial" w:cs="Arial"/>
        </w:rPr>
        <w:t xml:space="preserve">                                                </w:t>
      </w:r>
      <w:r>
        <w:rPr>
          <w:rFonts w:ascii="Arial" w:hAnsi="Arial" w:cs="Arial"/>
        </w:rPr>
        <w:t xml:space="preserve">x̃ </w:t>
      </w:r>
      <w:r>
        <w:rPr>
          <w:rFonts w:ascii="Arial" w:hAnsi="Arial" w:cs="Arial"/>
          <w:vertAlign w:val="subscript"/>
        </w:rPr>
        <w:t>t  ̄</w:t>
      </w:r>
      <w:r>
        <w:rPr>
          <w:rFonts w:ascii="Arial" w:hAnsi="Arial" w:cs="Arial"/>
        </w:rPr>
        <w:t xml:space="preserve">= </w:t>
      </w:r>
      <w:r>
        <w:rPr>
          <w:rFonts w:ascii="Arial" w:hAnsi="Arial" w:cs="Arial"/>
          <w:b/>
          <w:bCs/>
        </w:rPr>
        <w:t>A</w:t>
      </w:r>
      <w:r>
        <w:rPr>
          <w:rFonts w:ascii="Arial" w:hAnsi="Arial" w:cs="Arial"/>
        </w:rPr>
        <w:t xml:space="preserve"> x</w:t>
      </w:r>
      <w:r>
        <w:rPr>
          <w:rFonts w:ascii="Arial" w:hAnsi="Arial" w:cs="Arial"/>
          <w:vertAlign w:val="subscript"/>
        </w:rPr>
        <w:t>t1</w:t>
      </w:r>
      <w:r>
        <w:rPr>
          <w:rFonts w:ascii="Arial" w:hAnsi="Arial" w:cs="Arial"/>
        </w:rPr>
        <w:t xml:space="preserve"> + </w:t>
      </w:r>
      <w:r>
        <w:rPr>
          <w:rFonts w:ascii="Arial" w:hAnsi="Arial" w:cs="Arial"/>
          <w:b/>
          <w:bCs/>
        </w:rPr>
        <w:t>B</w:t>
      </w:r>
      <w:r>
        <w:rPr>
          <w:rFonts w:ascii="Arial" w:hAnsi="Arial" w:cs="Arial"/>
        </w:rPr>
        <w:t xml:space="preserve"> u</w:t>
      </w:r>
      <w:r>
        <w:rPr>
          <w:rFonts w:ascii="Arial" w:hAnsi="Arial" w:cs="Arial"/>
          <w:vertAlign w:val="subscript"/>
        </w:rPr>
        <w:t xml:space="preserve"> t </w:t>
      </w:r>
      <w:r>
        <w:rPr>
          <w:rFonts w:ascii="Arial" w:hAnsi="Arial" w:cs="Arial"/>
        </w:rPr>
        <w:t xml:space="preserve">  + w</w:t>
      </w:r>
      <w:r>
        <w:rPr>
          <w:rFonts w:ascii="Arial" w:hAnsi="Arial" w:cs="Arial"/>
          <w:vertAlign w:val="subscript"/>
        </w:rPr>
        <w:t xml:space="preserve">t                                                                                          </w:t>
      </w:r>
      <w:r>
        <w:rPr>
          <w:rFonts w:ascii="Arial" w:hAnsi="Arial" w:cs="Arial"/>
        </w:rPr>
        <w:t xml:space="preserve"> (2)</w:t>
      </w:r>
    </w:p>
    <w:p w:rsidR="00575A88" w:rsidRDefault="00575A88" w:rsidP="00575A88">
      <w:pPr>
        <w:jc w:val="both"/>
        <w:rPr>
          <w:rFonts w:ascii="Arial" w:hAnsi="Arial" w:cs="Arial"/>
        </w:rPr>
      </w:pPr>
    </w:p>
    <w:p w:rsidR="00575A88" w:rsidRDefault="00575A88" w:rsidP="00575A88">
      <w:pPr>
        <w:jc w:val="both"/>
      </w:pPr>
      <w:r>
        <w:rPr>
          <w:rFonts w:ascii="Arial" w:hAnsi="Arial" w:cs="Arial"/>
        </w:rPr>
        <w:t xml:space="preserve">donde </w:t>
      </w:r>
      <w:r>
        <w:rPr>
          <w:rFonts w:ascii="Arial" w:hAnsi="Arial" w:cs="Arial"/>
          <w:b/>
          <w:bCs/>
        </w:rPr>
        <w:t>A</w:t>
      </w:r>
      <w:r>
        <w:rPr>
          <w:rFonts w:ascii="Arial" w:hAnsi="Arial" w:cs="Arial"/>
        </w:rPr>
        <w:t xml:space="preserve"> es una matriz de transición de estados, </w:t>
      </w:r>
      <w:r>
        <w:rPr>
          <w:rFonts w:ascii="Arial" w:hAnsi="Arial" w:cs="Arial"/>
          <w:b/>
          <w:bCs/>
        </w:rPr>
        <w:t>B</w:t>
      </w:r>
      <w:r>
        <w:rPr>
          <w:rFonts w:ascii="Arial" w:hAnsi="Arial" w:cs="Arial"/>
        </w:rPr>
        <w:t xml:space="preserve"> una matriz de relación de observaciones, w</w:t>
      </w:r>
      <w:r>
        <w:rPr>
          <w:rFonts w:ascii="Arial" w:hAnsi="Arial" w:cs="Arial"/>
          <w:vertAlign w:val="subscript"/>
        </w:rPr>
        <w:t>t</w:t>
      </w:r>
      <w:r>
        <w:rPr>
          <w:rFonts w:ascii="Arial" w:hAnsi="Arial" w:cs="Arial"/>
        </w:rPr>
        <w:t xml:space="preserve"> ruido del proceso o de medición y </w:t>
      </w:r>
      <w:r>
        <w:rPr>
          <w:rFonts w:ascii="Arial" w:hAnsi="Arial" w:cs="Arial"/>
          <w:sz w:val="24"/>
        </w:rPr>
        <w:t>t</w:t>
      </w:r>
      <w:r>
        <w:rPr>
          <w:rFonts w:ascii="Arial" w:hAnsi="Arial" w:cs="Arial"/>
          <w:vertAlign w:val="subscript"/>
        </w:rPr>
        <w:t>1</w:t>
      </w:r>
      <w:r>
        <w:rPr>
          <w:rFonts w:ascii="Arial" w:hAnsi="Arial" w:cs="Arial"/>
          <w:sz w:val="24"/>
        </w:rPr>
        <w:t xml:space="preserve"> el tiempo anterior</w:t>
      </w:r>
      <w:r>
        <w:rPr>
          <w:rFonts w:ascii="Arial" w:hAnsi="Arial" w:cs="Arial"/>
        </w:rPr>
        <w:t>. Tomando la medición:</w:t>
      </w:r>
    </w:p>
    <w:p w:rsidR="00575A88" w:rsidRDefault="00575A88" w:rsidP="00575A88">
      <w:pPr>
        <w:jc w:val="both"/>
      </w:pPr>
      <w:r>
        <w:rPr>
          <w:rFonts w:ascii="Arial" w:eastAsia="Arial" w:hAnsi="Arial" w:cs="Arial"/>
        </w:rPr>
        <w:t xml:space="preserve">                                               </w:t>
      </w:r>
      <w:r>
        <w:rPr>
          <w:rFonts w:ascii="Arial" w:hAnsi="Arial" w:cs="Arial"/>
        </w:rPr>
        <w:t>z</w:t>
      </w:r>
      <w:r>
        <w:rPr>
          <w:rFonts w:ascii="Arial" w:hAnsi="Arial" w:cs="Arial"/>
          <w:vertAlign w:val="subscript"/>
        </w:rPr>
        <w:t xml:space="preserve"> t</w:t>
      </w:r>
      <w:r>
        <w:rPr>
          <w:rFonts w:ascii="Arial" w:hAnsi="Arial" w:cs="Arial"/>
        </w:rPr>
        <w:t xml:space="preserve"> = Hx</w:t>
      </w:r>
      <w:r>
        <w:rPr>
          <w:rFonts w:ascii="Arial" w:hAnsi="Arial" w:cs="Arial"/>
          <w:vertAlign w:val="subscript"/>
        </w:rPr>
        <w:t xml:space="preserve"> t </w:t>
      </w:r>
      <w:r>
        <w:rPr>
          <w:rFonts w:ascii="Arial" w:hAnsi="Arial" w:cs="Arial"/>
        </w:rPr>
        <w:t>+ v</w:t>
      </w:r>
      <w:r>
        <w:rPr>
          <w:rFonts w:ascii="Arial" w:hAnsi="Arial" w:cs="Arial"/>
          <w:vertAlign w:val="subscript"/>
        </w:rPr>
        <w:t xml:space="preserve"> t                                                                                                                    </w:t>
      </w:r>
      <w:r>
        <w:rPr>
          <w:rFonts w:ascii="Arial" w:hAnsi="Arial" w:cs="Arial"/>
          <w:sz w:val="24"/>
        </w:rPr>
        <w:t xml:space="preserve">  (3)</w:t>
      </w:r>
    </w:p>
    <w:p w:rsidR="00575A88" w:rsidRDefault="00575A88" w:rsidP="00575A88">
      <w:pPr>
        <w:jc w:val="both"/>
        <w:rPr>
          <w:rFonts w:ascii="Arial" w:hAnsi="Arial" w:cs="Arial"/>
        </w:rPr>
      </w:pPr>
    </w:p>
    <w:p w:rsidR="00575A88" w:rsidRDefault="00575A88" w:rsidP="00575A88">
      <w:pPr>
        <w:jc w:val="both"/>
      </w:pPr>
      <w:r>
        <w:rPr>
          <w:rFonts w:ascii="Arial" w:hAnsi="Arial" w:cs="Arial"/>
        </w:rPr>
        <w:t>con  v</w:t>
      </w:r>
      <w:r>
        <w:rPr>
          <w:rFonts w:ascii="Arial" w:hAnsi="Arial" w:cs="Arial"/>
          <w:vertAlign w:val="subscript"/>
        </w:rPr>
        <w:t xml:space="preserve"> t  </w:t>
      </w:r>
      <w:r>
        <w:rPr>
          <w:rFonts w:ascii="Arial" w:hAnsi="Arial" w:cs="Arial"/>
        </w:rPr>
        <w:t xml:space="preserve"> ruido, </w:t>
      </w:r>
      <w:r>
        <w:rPr>
          <w:rFonts w:ascii="Arial" w:hAnsi="Arial" w:cs="Arial"/>
          <w:b/>
          <w:bCs/>
        </w:rPr>
        <w:t>H</w:t>
      </w:r>
      <w:r>
        <w:rPr>
          <w:rFonts w:ascii="Arial" w:hAnsi="Arial" w:cs="Arial"/>
        </w:rPr>
        <w:t xml:space="preserve"> una matriz de transformación que mapea el estado x</w:t>
      </w:r>
      <w:r>
        <w:rPr>
          <w:rFonts w:ascii="Arial" w:hAnsi="Arial" w:cs="Arial"/>
          <w:vertAlign w:val="subscript"/>
        </w:rPr>
        <w:t xml:space="preserve"> t</w:t>
      </w:r>
      <w:r>
        <w:rPr>
          <w:rFonts w:ascii="Arial" w:hAnsi="Arial" w:cs="Arial"/>
          <w:sz w:val="24"/>
        </w:rPr>
        <w:t xml:space="preserve"> al dominio de la medición  z</w:t>
      </w:r>
      <w:r>
        <w:rPr>
          <w:rFonts w:ascii="Arial" w:hAnsi="Arial" w:cs="Arial"/>
          <w:vertAlign w:val="subscript"/>
        </w:rPr>
        <w:t xml:space="preserve"> t.</w:t>
      </w:r>
    </w:p>
    <w:p w:rsidR="00575A88" w:rsidRDefault="00575A88" w:rsidP="00575A88">
      <w:pPr>
        <w:jc w:val="both"/>
      </w:pPr>
      <w:r>
        <w:rPr>
          <w:rFonts w:ascii="Arial" w:eastAsia="Arial" w:hAnsi="Arial" w:cs="Arial"/>
        </w:rPr>
        <w:t xml:space="preserve">     </w:t>
      </w:r>
      <w:r>
        <w:rPr>
          <w:rFonts w:ascii="Arial" w:hAnsi="Arial" w:cs="Arial"/>
        </w:rPr>
        <w:t xml:space="preserve">Las  covarianzas se almacenan en la matriz  </w:t>
      </w:r>
      <w:r>
        <w:rPr>
          <w:rFonts w:ascii="Arial" w:hAnsi="Arial" w:cs="Arial"/>
          <w:b/>
          <w:bCs/>
        </w:rPr>
        <w:t>P,</w:t>
      </w:r>
      <w:r>
        <w:rPr>
          <w:rFonts w:ascii="Arial" w:hAnsi="Arial" w:cs="Arial"/>
        </w:rPr>
        <w:t xml:space="preserve"> donde, los elementos de la diagonal principal  representan las varianzas asociadas a los parámetros del vector de estado, y los elementos localizados fuera de la diagonal principal representan las covarianzas entre los elementos del vector de estado definida por: </w:t>
      </w:r>
    </w:p>
    <w:p w:rsidR="00575A88" w:rsidRDefault="00575A88" w:rsidP="00575A88">
      <w:pPr>
        <w:jc w:val="both"/>
        <w:rPr>
          <w:rFonts w:ascii="Arial" w:hAnsi="Arial" w:cs="Arial"/>
        </w:rPr>
      </w:pPr>
    </w:p>
    <w:p w:rsidR="00575A88" w:rsidRDefault="00575A88" w:rsidP="00575A88">
      <w:pPr>
        <w:jc w:val="both"/>
      </w:pPr>
      <w:r>
        <w:rPr>
          <w:rFonts w:ascii="Arial" w:eastAsia="Arial" w:hAnsi="Arial" w:cs="Arial"/>
        </w:rPr>
        <w:t xml:space="preserve">                                       </w:t>
      </w:r>
      <w:r>
        <w:rPr>
          <w:rFonts w:ascii="Arial" w:hAnsi="Arial" w:cs="Arial"/>
          <w:b/>
          <w:bCs/>
        </w:rPr>
        <w:t>P</w:t>
      </w:r>
      <w:r>
        <w:rPr>
          <w:rFonts w:ascii="Arial" w:hAnsi="Arial" w:cs="Arial"/>
          <w:vertAlign w:val="subscript"/>
        </w:rPr>
        <w:t>t</w:t>
      </w:r>
      <w:r>
        <w:rPr>
          <w:rFonts w:ascii="Arial" w:hAnsi="Arial" w:cs="Arial"/>
        </w:rPr>
        <w:t xml:space="preserve"> = E {(x t − x̃</w:t>
      </w:r>
      <w:r>
        <w:rPr>
          <w:rFonts w:ascii="Arial" w:hAnsi="Arial" w:cs="Arial"/>
          <w:vertAlign w:val="subscript"/>
        </w:rPr>
        <w:t xml:space="preserve"> t </w:t>
      </w:r>
      <w:r>
        <w:rPr>
          <w:rFonts w:ascii="Arial" w:hAnsi="Arial" w:cs="Arial"/>
        </w:rPr>
        <w:t>) (x</w:t>
      </w:r>
      <w:r>
        <w:rPr>
          <w:rFonts w:ascii="Arial" w:hAnsi="Arial" w:cs="Arial"/>
          <w:vertAlign w:val="subscript"/>
        </w:rPr>
        <w:t xml:space="preserve"> t </w:t>
      </w:r>
      <w:r>
        <w:rPr>
          <w:rFonts w:ascii="Arial" w:hAnsi="Arial" w:cs="Arial"/>
        </w:rPr>
        <w:t>− x̃</w:t>
      </w:r>
      <w:r>
        <w:rPr>
          <w:rFonts w:ascii="Arial" w:hAnsi="Arial" w:cs="Arial"/>
          <w:vertAlign w:val="subscript"/>
        </w:rPr>
        <w:t xml:space="preserve"> t </w:t>
      </w:r>
      <w:r>
        <w:rPr>
          <w:rFonts w:ascii="Arial" w:hAnsi="Arial" w:cs="Arial"/>
        </w:rPr>
        <w:t xml:space="preserve">) </w:t>
      </w:r>
      <w:r>
        <w:rPr>
          <w:rFonts w:ascii="Arial" w:hAnsi="Arial" w:cs="Arial"/>
          <w:vertAlign w:val="superscript"/>
        </w:rPr>
        <w:t xml:space="preserve">T </w:t>
      </w:r>
      <w:r>
        <w:rPr>
          <w:rFonts w:ascii="Arial" w:hAnsi="Arial" w:cs="Arial"/>
        </w:rPr>
        <w:t>}                                                      (4)</w:t>
      </w:r>
    </w:p>
    <w:p w:rsidR="00575A88" w:rsidRDefault="00575A88" w:rsidP="00575A88">
      <w:pPr>
        <w:jc w:val="both"/>
        <w:rPr>
          <w:rFonts w:ascii="Arial" w:eastAsia="Batang" w:hAnsi="Arial" w:cs="Arial"/>
          <w:b/>
          <w:sz w:val="24"/>
          <w:szCs w:val="24"/>
          <w:lang w:eastAsia="ko-KR"/>
        </w:rPr>
      </w:pPr>
    </w:p>
    <w:p w:rsidR="00575A88" w:rsidRDefault="00575A88" w:rsidP="00575A88">
      <w:pPr>
        <w:jc w:val="both"/>
      </w:pPr>
      <w:r>
        <w:rPr>
          <w:rFonts w:ascii="Arial" w:hAnsi="Arial" w:cs="Arial"/>
        </w:rPr>
        <w:t>La matriz de covarianza a priori P̃t  ̄se calcula:</w:t>
      </w:r>
    </w:p>
    <w:p w:rsidR="00575A88" w:rsidRDefault="00575A88" w:rsidP="00575A88">
      <w:pPr>
        <w:jc w:val="both"/>
        <w:rPr>
          <w:rFonts w:ascii="Arial" w:hAnsi="Arial" w:cs="Arial"/>
        </w:rPr>
      </w:pPr>
    </w:p>
    <w:p w:rsidR="00575A88" w:rsidRDefault="00575A88" w:rsidP="00575A88">
      <w:pPr>
        <w:jc w:val="both"/>
      </w:pPr>
      <w:r>
        <w:rPr>
          <w:rFonts w:ascii="Arial" w:eastAsia="Arial" w:hAnsi="Arial" w:cs="Arial"/>
        </w:rPr>
        <w:t xml:space="preserve">                                               </w:t>
      </w:r>
      <w:r>
        <w:rPr>
          <w:rFonts w:ascii="Arial" w:hAnsi="Arial" w:cs="Arial"/>
          <w:b/>
          <w:bCs/>
        </w:rPr>
        <w:t>P</w:t>
      </w:r>
      <w:r>
        <w:rPr>
          <w:rFonts w:ascii="Arial" w:hAnsi="Arial" w:cs="Arial"/>
          <w:vertAlign w:val="subscript"/>
        </w:rPr>
        <w:t>t  ̄</w:t>
      </w:r>
      <w:r>
        <w:rPr>
          <w:rFonts w:ascii="Arial" w:hAnsi="Arial" w:cs="Arial"/>
        </w:rPr>
        <w:t xml:space="preserve">= </w:t>
      </w:r>
      <w:r>
        <w:rPr>
          <w:rFonts w:ascii="Arial" w:hAnsi="Arial" w:cs="Arial"/>
          <w:b/>
          <w:bCs/>
        </w:rPr>
        <w:t>A</w:t>
      </w:r>
      <w:r>
        <w:rPr>
          <w:rFonts w:ascii="Arial" w:hAnsi="Arial" w:cs="Arial"/>
        </w:rPr>
        <w:t xml:space="preserve"> P</w:t>
      </w:r>
      <w:r>
        <w:rPr>
          <w:rFonts w:ascii="Arial" w:hAnsi="Arial" w:cs="Arial"/>
          <w:vertAlign w:val="subscript"/>
        </w:rPr>
        <w:t>t1</w:t>
      </w:r>
      <w:r>
        <w:rPr>
          <w:rFonts w:ascii="Arial" w:hAnsi="Arial" w:cs="Arial"/>
        </w:rPr>
        <w:t xml:space="preserve"> </w:t>
      </w:r>
      <w:r>
        <w:rPr>
          <w:rFonts w:ascii="Arial" w:hAnsi="Arial" w:cs="Arial"/>
          <w:b/>
          <w:bCs/>
        </w:rPr>
        <w:t>A</w:t>
      </w:r>
      <w:r>
        <w:rPr>
          <w:rFonts w:ascii="Arial" w:hAnsi="Arial" w:cs="Arial"/>
        </w:rPr>
        <w:t xml:space="preserve"> </w:t>
      </w:r>
      <w:r>
        <w:rPr>
          <w:rFonts w:ascii="Arial" w:hAnsi="Arial" w:cs="Arial"/>
          <w:vertAlign w:val="superscript"/>
        </w:rPr>
        <w:t xml:space="preserve">T </w:t>
      </w:r>
      <w:r>
        <w:rPr>
          <w:rFonts w:ascii="Arial" w:hAnsi="Arial" w:cs="Arial"/>
        </w:rPr>
        <w:t xml:space="preserve">+ </w:t>
      </w:r>
      <w:r>
        <w:rPr>
          <w:rFonts w:ascii="Arial" w:hAnsi="Arial" w:cs="Arial"/>
          <w:b/>
          <w:bCs/>
        </w:rPr>
        <w:t>Q</w:t>
      </w:r>
      <w:r>
        <w:rPr>
          <w:rFonts w:ascii="Arial" w:hAnsi="Arial" w:cs="Arial"/>
          <w:vertAlign w:val="subscript"/>
        </w:rPr>
        <w:t xml:space="preserve"> t1</w:t>
      </w:r>
      <w:r>
        <w:rPr>
          <w:rFonts w:ascii="Arial" w:hAnsi="Arial" w:cs="Arial"/>
        </w:rPr>
        <w:t xml:space="preserve">                                                            (5)</w:t>
      </w:r>
    </w:p>
    <w:p w:rsidR="00575A88" w:rsidRDefault="00575A88" w:rsidP="00575A88">
      <w:pPr>
        <w:jc w:val="both"/>
        <w:rPr>
          <w:rFonts w:ascii="Arial" w:hAnsi="Arial" w:cs="Arial"/>
        </w:rPr>
      </w:pPr>
    </w:p>
    <w:p w:rsidR="00575A88" w:rsidRDefault="00575A88" w:rsidP="00575A88">
      <w:pPr>
        <w:jc w:val="both"/>
      </w:pPr>
      <w:r>
        <w:rPr>
          <w:rFonts w:ascii="Arial" w:hAnsi="Arial" w:cs="Arial"/>
        </w:rPr>
        <w:t xml:space="preserve">donde </w:t>
      </w:r>
      <w:r>
        <w:rPr>
          <w:rFonts w:ascii="Arial" w:hAnsi="Arial" w:cs="Arial"/>
          <w:b/>
          <w:bCs/>
        </w:rPr>
        <w:t>Q</w:t>
      </w:r>
      <w:r>
        <w:rPr>
          <w:rFonts w:ascii="Arial" w:hAnsi="Arial" w:cs="Arial"/>
          <w:vertAlign w:val="subscript"/>
        </w:rPr>
        <w:t xml:space="preserve">t1 </w:t>
      </w:r>
      <w:r>
        <w:rPr>
          <w:rFonts w:ascii="Arial" w:hAnsi="Arial" w:cs="Arial"/>
        </w:rPr>
        <w:t xml:space="preserve">es la matriz de covarianza del ruido del proceso, asociada con las entradas ruidosas. </w:t>
      </w:r>
    </w:p>
    <w:p w:rsidR="00575A88" w:rsidRDefault="00575A88" w:rsidP="00575A88">
      <w:pPr>
        <w:jc w:val="both"/>
        <w:rPr>
          <w:rFonts w:ascii="Arial" w:hAnsi="Arial" w:cs="Arial"/>
        </w:rPr>
      </w:pPr>
    </w:p>
    <w:p w:rsidR="00575A88" w:rsidRDefault="00575A88" w:rsidP="00575A88">
      <w:pPr>
        <w:jc w:val="both"/>
      </w:pPr>
      <w:r>
        <w:rPr>
          <w:rFonts w:ascii="Arial" w:eastAsia="Arial" w:hAnsi="Arial" w:cs="Arial"/>
        </w:rPr>
        <w:lastRenderedPageBreak/>
        <w:t xml:space="preserve">     </w:t>
      </w:r>
      <w:r>
        <w:rPr>
          <w:rFonts w:ascii="Arial" w:hAnsi="Arial" w:cs="Arial"/>
        </w:rPr>
        <w:t xml:space="preserve">En la etapa de actualización se proyectan hacia delante (en tiempo) el estado actual y el error de covarianza para obtener una estimación a priori, y en la actualización obtener una estimación a posteriori mejorada </w:t>
      </w:r>
      <w:r>
        <w:rPr>
          <w:rFonts w:ascii="Arial" w:hAnsi="Arial" w:cs="Arial"/>
          <w:vertAlign w:val="superscript"/>
        </w:rPr>
        <w:t>[9,10]</w:t>
      </w:r>
      <w:r>
        <w:rPr>
          <w:rFonts w:ascii="Arial" w:hAnsi="Arial" w:cs="Arial"/>
        </w:rPr>
        <w:t>. La ecuación de corrección del estado (6), calcula la estimación del estado a posteriori x̃</w:t>
      </w:r>
      <w:r>
        <w:rPr>
          <w:rFonts w:ascii="Arial" w:hAnsi="Arial" w:cs="Arial"/>
          <w:vertAlign w:val="subscript"/>
        </w:rPr>
        <w:t>t</w:t>
      </w:r>
      <w:r>
        <w:rPr>
          <w:rFonts w:ascii="Arial" w:hAnsi="Arial" w:cs="Arial"/>
        </w:rPr>
        <w:t xml:space="preserve"> como una combinación lineal de una estimación a priori x̃</w:t>
      </w:r>
      <w:r>
        <w:rPr>
          <w:rFonts w:ascii="Arial" w:hAnsi="Arial" w:cs="Arial"/>
          <w:vertAlign w:val="subscript"/>
        </w:rPr>
        <w:t>t ̄</w:t>
      </w:r>
      <w:r>
        <w:rPr>
          <w:rFonts w:ascii="Arial" w:hAnsi="Arial" w:cs="Arial"/>
        </w:rPr>
        <w:t xml:space="preserve"> y una diferencia ponderada entre la medición actual z</w:t>
      </w:r>
      <w:r>
        <w:rPr>
          <w:rFonts w:ascii="Arial" w:hAnsi="Arial" w:cs="Arial"/>
          <w:vertAlign w:val="subscript"/>
        </w:rPr>
        <w:t xml:space="preserve">t </w:t>
      </w:r>
      <w:r>
        <w:rPr>
          <w:rFonts w:ascii="Arial" w:hAnsi="Arial" w:cs="Arial"/>
        </w:rPr>
        <w:t xml:space="preserve">y la predicción de medición </w:t>
      </w:r>
      <w:r>
        <w:rPr>
          <w:rFonts w:ascii="Arial" w:hAnsi="Arial" w:cs="Arial"/>
          <w:b/>
          <w:bCs/>
        </w:rPr>
        <w:t>H</w:t>
      </w:r>
      <w:r>
        <w:rPr>
          <w:rFonts w:ascii="Arial" w:hAnsi="Arial" w:cs="Arial"/>
        </w:rPr>
        <w:t>x̃</w:t>
      </w:r>
      <w:r>
        <w:rPr>
          <w:rFonts w:ascii="Arial" w:hAnsi="Arial" w:cs="Arial"/>
          <w:vertAlign w:val="subscript"/>
        </w:rPr>
        <w:t>t ̄</w:t>
      </w:r>
      <w:r>
        <w:rPr>
          <w:rFonts w:ascii="Arial" w:hAnsi="Arial" w:cs="Arial"/>
        </w:rPr>
        <w:t>, conocida como medida residual. Tal medida residual refleja la discrepancia entre la medición actual y la estimada:</w:t>
      </w:r>
    </w:p>
    <w:p w:rsidR="00575A88" w:rsidRDefault="00575A88" w:rsidP="00575A88">
      <w:pPr>
        <w:jc w:val="both"/>
      </w:pPr>
    </w:p>
    <w:p w:rsidR="00575A88" w:rsidRDefault="00575A88" w:rsidP="00575A88">
      <w:pPr>
        <w:jc w:val="both"/>
      </w:pPr>
      <w:r>
        <w:rPr>
          <w:rFonts w:ascii="Arial" w:eastAsia="Arial" w:hAnsi="Arial" w:cs="Arial"/>
        </w:rPr>
        <w:t xml:space="preserve">                                              </w:t>
      </w:r>
      <w:r>
        <w:rPr>
          <w:rFonts w:ascii="Arial" w:hAnsi="Arial" w:cs="Arial"/>
        </w:rPr>
        <w:t>x̃</w:t>
      </w:r>
      <w:r>
        <w:rPr>
          <w:rFonts w:ascii="Arial" w:hAnsi="Arial" w:cs="Arial"/>
          <w:vertAlign w:val="subscript"/>
        </w:rPr>
        <w:t>t</w:t>
      </w:r>
      <w:r>
        <w:rPr>
          <w:rFonts w:ascii="Arial" w:hAnsi="Arial" w:cs="Arial"/>
        </w:rPr>
        <w:t xml:space="preserve"> = x̃</w:t>
      </w:r>
      <w:r>
        <w:rPr>
          <w:rFonts w:ascii="Arial" w:hAnsi="Arial" w:cs="Arial"/>
          <w:vertAlign w:val="subscript"/>
        </w:rPr>
        <w:t>t  ̄</w:t>
      </w:r>
      <w:r>
        <w:rPr>
          <w:rFonts w:ascii="Arial" w:hAnsi="Arial" w:cs="Arial"/>
        </w:rPr>
        <w:t xml:space="preserve">+ </w:t>
      </w:r>
      <w:r>
        <w:rPr>
          <w:rFonts w:ascii="Arial" w:hAnsi="Arial" w:cs="Arial"/>
          <w:b/>
          <w:bCs/>
        </w:rPr>
        <w:t>K</w:t>
      </w:r>
      <w:r>
        <w:rPr>
          <w:rFonts w:ascii="Arial" w:hAnsi="Arial" w:cs="Arial"/>
          <w:vertAlign w:val="subscript"/>
        </w:rPr>
        <w:t xml:space="preserve"> t</w:t>
      </w:r>
      <w:r>
        <w:rPr>
          <w:rFonts w:ascii="Arial" w:hAnsi="Arial" w:cs="Arial"/>
        </w:rPr>
        <w:t xml:space="preserve"> (z</w:t>
      </w:r>
      <w:r>
        <w:rPr>
          <w:rFonts w:ascii="Arial" w:hAnsi="Arial" w:cs="Arial"/>
          <w:vertAlign w:val="subscript"/>
        </w:rPr>
        <w:t>t</w:t>
      </w:r>
      <w:r>
        <w:rPr>
          <w:rFonts w:ascii="Arial" w:hAnsi="Arial" w:cs="Arial"/>
        </w:rPr>
        <w:t xml:space="preserve"> − </w:t>
      </w:r>
      <w:r>
        <w:rPr>
          <w:rFonts w:ascii="Arial" w:hAnsi="Arial" w:cs="Arial"/>
          <w:b/>
          <w:bCs/>
        </w:rPr>
        <w:t>H</w:t>
      </w:r>
      <w:r>
        <w:rPr>
          <w:rFonts w:ascii="Arial" w:hAnsi="Arial" w:cs="Arial"/>
        </w:rPr>
        <w:t xml:space="preserve"> x̃</w:t>
      </w:r>
      <w:r>
        <w:rPr>
          <w:rFonts w:ascii="Arial" w:hAnsi="Arial" w:cs="Arial"/>
          <w:vertAlign w:val="subscript"/>
        </w:rPr>
        <w:t>t  ̄</w:t>
      </w:r>
      <w:r>
        <w:rPr>
          <w:rFonts w:ascii="Arial" w:hAnsi="Arial" w:cs="Arial"/>
        </w:rPr>
        <w:t>)                                                        (6)</w:t>
      </w:r>
    </w:p>
    <w:p w:rsidR="00575A88" w:rsidRDefault="00575A88" w:rsidP="00575A88">
      <w:pPr>
        <w:jc w:val="both"/>
      </w:pPr>
      <w:r>
        <w:rPr>
          <w:rFonts w:ascii="Arial" w:eastAsia="Arial" w:hAnsi="Arial" w:cs="Arial"/>
        </w:rPr>
        <w:t xml:space="preserve">  </w:t>
      </w:r>
    </w:p>
    <w:p w:rsidR="00575A88" w:rsidRDefault="00575A88" w:rsidP="00575A88">
      <w:pPr>
        <w:jc w:val="both"/>
      </w:pPr>
      <w:r>
        <w:rPr>
          <w:rFonts w:ascii="Arial" w:hAnsi="Arial" w:cs="Arial"/>
        </w:rPr>
        <w:t xml:space="preserve">Donde la matriz </w:t>
      </w:r>
      <w:r>
        <w:rPr>
          <w:rFonts w:ascii="Arial" w:hAnsi="Arial" w:cs="Arial"/>
          <w:b/>
          <w:bCs/>
        </w:rPr>
        <w:t>K</w:t>
      </w:r>
      <w:r>
        <w:rPr>
          <w:rFonts w:ascii="Arial" w:hAnsi="Arial" w:cs="Arial"/>
          <w:vertAlign w:val="subscript"/>
        </w:rPr>
        <w:t>t</w:t>
      </w:r>
      <w:r>
        <w:rPr>
          <w:rFonts w:ascii="Arial" w:hAnsi="Arial" w:cs="Arial"/>
        </w:rPr>
        <w:t xml:space="preserve"> de tamaño </w:t>
      </w:r>
      <w:r>
        <w:rPr>
          <w:rFonts w:ascii="Arial" w:hAnsi="Arial" w:cs="Arial"/>
          <w:i/>
          <w:iCs/>
        </w:rPr>
        <w:t>nxm</w:t>
      </w:r>
      <w:r>
        <w:rPr>
          <w:rFonts w:ascii="Arial" w:hAnsi="Arial" w:cs="Arial"/>
        </w:rPr>
        <w:t xml:space="preserve"> es  la ganancia de Kalman</w:t>
      </w:r>
      <w:r>
        <w:rPr>
          <w:rFonts w:ascii="Arial" w:hAnsi="Arial" w:cs="Arial"/>
          <w:vertAlign w:val="superscript"/>
        </w:rPr>
        <w:t>[4,9,11]</w:t>
      </w:r>
      <w:r>
        <w:rPr>
          <w:rFonts w:ascii="Arial" w:hAnsi="Arial" w:cs="Arial"/>
        </w:rPr>
        <w:t xml:space="preserve"> y  minimiza el error de covariaza, se calcula por  la ecuación   (7):   </w:t>
      </w:r>
    </w:p>
    <w:p w:rsidR="00575A88" w:rsidRDefault="00575A88" w:rsidP="00575A88">
      <w:pPr>
        <w:jc w:val="both"/>
        <w:rPr>
          <w:rFonts w:ascii="Arial" w:hAnsi="Arial" w:cs="Arial"/>
        </w:rPr>
      </w:pPr>
    </w:p>
    <w:p w:rsidR="00575A88" w:rsidRDefault="00575A88" w:rsidP="00575A88">
      <w:pPr>
        <w:jc w:val="both"/>
      </w:pPr>
      <w:r>
        <w:rPr>
          <w:rFonts w:ascii="Arial" w:eastAsia="Arial" w:hAnsi="Arial" w:cs="Arial"/>
        </w:rPr>
        <w:t xml:space="preserve">                                            </w:t>
      </w:r>
      <w:r>
        <w:rPr>
          <w:rFonts w:ascii="Arial" w:hAnsi="Arial" w:cs="Arial"/>
          <w:b/>
          <w:bCs/>
        </w:rPr>
        <w:t>K</w:t>
      </w:r>
      <w:r>
        <w:rPr>
          <w:rFonts w:ascii="Arial" w:hAnsi="Arial" w:cs="Arial"/>
          <w:vertAlign w:val="subscript"/>
        </w:rPr>
        <w:t>t</w:t>
      </w:r>
      <w:r>
        <w:rPr>
          <w:rFonts w:ascii="Arial" w:hAnsi="Arial" w:cs="Arial"/>
        </w:rPr>
        <w:t xml:space="preserve"> =  </w:t>
      </w:r>
      <w:r>
        <w:rPr>
          <w:rFonts w:ascii="Arial" w:hAnsi="Arial" w:cs="Arial"/>
          <w:b/>
          <w:bCs/>
        </w:rPr>
        <w:t>P</w:t>
      </w:r>
      <w:r>
        <w:rPr>
          <w:rFonts w:ascii="Arial" w:hAnsi="Arial" w:cs="Arial"/>
          <w:vertAlign w:val="subscript"/>
        </w:rPr>
        <w:t>t  ̄</w:t>
      </w:r>
      <w:r>
        <w:rPr>
          <w:rFonts w:ascii="Arial" w:hAnsi="Arial" w:cs="Arial"/>
        </w:rPr>
        <w:t xml:space="preserve"> </w:t>
      </w:r>
      <w:r>
        <w:rPr>
          <w:rFonts w:ascii="Arial" w:hAnsi="Arial" w:cs="Arial"/>
          <w:b/>
          <w:bCs/>
        </w:rPr>
        <w:t>H</w:t>
      </w:r>
      <w:r>
        <w:rPr>
          <w:rFonts w:ascii="Arial" w:hAnsi="Arial" w:cs="Arial"/>
          <w:vertAlign w:val="subscript"/>
        </w:rPr>
        <w:t xml:space="preserve">t </w:t>
      </w:r>
      <w:r>
        <w:rPr>
          <w:rFonts w:ascii="Arial" w:hAnsi="Arial" w:cs="Arial"/>
          <w:vertAlign w:val="superscript"/>
        </w:rPr>
        <w:t>T</w:t>
      </w:r>
      <w:r>
        <w:rPr>
          <w:rFonts w:ascii="Arial" w:hAnsi="Arial" w:cs="Arial"/>
        </w:rPr>
        <w:t xml:space="preserve"> / ( </w:t>
      </w:r>
      <w:r>
        <w:rPr>
          <w:rFonts w:ascii="Arial" w:hAnsi="Arial" w:cs="Arial"/>
          <w:b/>
          <w:bCs/>
        </w:rPr>
        <w:t>H</w:t>
      </w:r>
      <w:r>
        <w:rPr>
          <w:rFonts w:ascii="Arial" w:hAnsi="Arial" w:cs="Arial"/>
        </w:rPr>
        <w:t xml:space="preserve"> </w:t>
      </w:r>
      <w:r>
        <w:rPr>
          <w:rFonts w:ascii="Arial" w:hAnsi="Arial" w:cs="Arial"/>
          <w:b/>
          <w:bCs/>
        </w:rPr>
        <w:t>P</w:t>
      </w:r>
      <w:r>
        <w:rPr>
          <w:rFonts w:ascii="Arial" w:hAnsi="Arial" w:cs="Arial"/>
          <w:vertAlign w:val="subscript"/>
        </w:rPr>
        <w:t>t  ̄</w:t>
      </w:r>
      <w:r>
        <w:rPr>
          <w:rFonts w:ascii="Arial" w:hAnsi="Arial" w:cs="Arial"/>
          <w:b/>
          <w:bCs/>
        </w:rPr>
        <w:t>H</w:t>
      </w:r>
      <w:r>
        <w:rPr>
          <w:rFonts w:ascii="Arial" w:hAnsi="Arial" w:cs="Arial"/>
          <w:vertAlign w:val="superscript"/>
        </w:rPr>
        <w:t>T</w:t>
      </w:r>
      <w:r>
        <w:rPr>
          <w:rFonts w:ascii="Arial" w:hAnsi="Arial" w:cs="Arial"/>
        </w:rPr>
        <w:t xml:space="preserve"> + </w:t>
      </w:r>
      <w:r>
        <w:rPr>
          <w:rFonts w:ascii="Arial" w:hAnsi="Arial" w:cs="Arial"/>
          <w:b/>
          <w:bCs/>
        </w:rPr>
        <w:t>R</w:t>
      </w:r>
      <w:r>
        <w:rPr>
          <w:rFonts w:ascii="Arial" w:hAnsi="Arial" w:cs="Arial"/>
          <w:vertAlign w:val="subscript"/>
        </w:rPr>
        <w:t>t</w:t>
      </w:r>
      <w:r>
        <w:rPr>
          <w:rFonts w:ascii="Arial" w:hAnsi="Arial" w:cs="Arial"/>
        </w:rPr>
        <w:t>)                                                (7)</w:t>
      </w:r>
    </w:p>
    <w:p w:rsidR="00575A88" w:rsidRDefault="00575A88" w:rsidP="00575A88">
      <w:pPr>
        <w:jc w:val="both"/>
      </w:pPr>
      <w:r>
        <w:rPr>
          <w:rFonts w:ascii="Arial" w:eastAsia="Arial" w:hAnsi="Arial" w:cs="Arial"/>
        </w:rPr>
        <w:t xml:space="preserve">    </w:t>
      </w:r>
    </w:p>
    <w:p w:rsidR="00575A88" w:rsidRDefault="00575A88" w:rsidP="00575A88">
      <w:pPr>
        <w:jc w:val="both"/>
      </w:pPr>
      <w:r>
        <w:rPr>
          <w:rFonts w:ascii="Arial" w:eastAsia="Arial" w:hAnsi="Arial" w:cs="Arial"/>
        </w:rPr>
        <w:t xml:space="preserve"> </w:t>
      </w:r>
      <w:r>
        <w:rPr>
          <w:rFonts w:ascii="Arial" w:hAnsi="Arial" w:cs="Arial"/>
        </w:rPr>
        <w:t xml:space="preserve">Si la covarianza del error de medición </w:t>
      </w:r>
      <w:r>
        <w:rPr>
          <w:rFonts w:ascii="Arial" w:hAnsi="Arial" w:cs="Arial"/>
          <w:b/>
          <w:bCs/>
        </w:rPr>
        <w:t>R</w:t>
      </w:r>
      <w:r>
        <w:rPr>
          <w:rFonts w:ascii="Arial" w:hAnsi="Arial" w:cs="Arial"/>
          <w:vertAlign w:val="subscript"/>
        </w:rPr>
        <w:t xml:space="preserve">t </w:t>
      </w:r>
      <w:r>
        <w:rPr>
          <w:rFonts w:ascii="Arial" w:hAnsi="Arial" w:cs="Arial"/>
        </w:rPr>
        <w:t xml:space="preserve">es  pequeña, la ganancia de Kalman será grande, la estimación dará mayor peso a la medida residual. Si el valor de </w:t>
      </w:r>
      <w:r>
        <w:rPr>
          <w:rFonts w:ascii="Arial" w:hAnsi="Arial" w:cs="Arial"/>
          <w:b/>
          <w:bCs/>
          <w:i/>
          <w:iCs/>
        </w:rPr>
        <w:t>P</w:t>
      </w:r>
      <w:r>
        <w:rPr>
          <w:rFonts w:ascii="Arial" w:hAnsi="Arial" w:cs="Arial"/>
          <w:i/>
          <w:iCs/>
          <w:vertAlign w:val="subscript"/>
        </w:rPr>
        <w:t>t ̄</w:t>
      </w:r>
      <w:r>
        <w:rPr>
          <w:rFonts w:ascii="Arial" w:hAnsi="Arial" w:cs="Arial"/>
        </w:rPr>
        <w:t xml:space="preserve"> se aproxima a cero, la estimación del estado x̃</w:t>
      </w:r>
      <w:r>
        <w:rPr>
          <w:rFonts w:ascii="Arial" w:hAnsi="Arial" w:cs="Arial"/>
          <w:vertAlign w:val="subscript"/>
        </w:rPr>
        <w:t>t</w:t>
      </w:r>
      <w:r>
        <w:rPr>
          <w:rFonts w:ascii="Arial" w:hAnsi="Arial" w:cs="Arial"/>
        </w:rPr>
        <w:t xml:space="preserve"> se va a aproximar a la estimación a priori del estado x̃</w:t>
      </w:r>
      <w:r>
        <w:rPr>
          <w:rFonts w:ascii="Arial" w:hAnsi="Arial" w:cs="Arial"/>
          <w:vertAlign w:val="subscript"/>
        </w:rPr>
        <w:t>t ̄</w:t>
      </w:r>
      <w:r>
        <w:rPr>
          <w:rFonts w:ascii="Arial" w:hAnsi="Arial" w:cs="Arial"/>
        </w:rPr>
        <w:t>.Finalmente, la actualización de la matriz de covarianza del vector de estado a posteriori se calcula por medio de la ecuación   (8):</w:t>
      </w:r>
    </w:p>
    <w:p w:rsidR="00575A88" w:rsidRDefault="00575A88" w:rsidP="00575A88">
      <w:pPr>
        <w:jc w:val="both"/>
        <w:rPr>
          <w:rFonts w:ascii="Arial" w:hAnsi="Arial" w:cs="Arial"/>
        </w:rPr>
      </w:pPr>
    </w:p>
    <w:p w:rsidR="00575A88" w:rsidRDefault="00575A88" w:rsidP="00575A88">
      <w:pPr>
        <w:jc w:val="both"/>
      </w:pPr>
      <w:r>
        <w:rPr>
          <w:rFonts w:ascii="Arial" w:eastAsia="Arial" w:hAnsi="Arial" w:cs="Arial"/>
        </w:rPr>
        <w:t xml:space="preserve">                                                   </w:t>
      </w:r>
      <w:r>
        <w:rPr>
          <w:rFonts w:ascii="Arial" w:eastAsia="Arial" w:hAnsi="Arial" w:cs="Arial"/>
          <w:b/>
          <w:bCs/>
        </w:rPr>
        <w:t xml:space="preserve"> </w:t>
      </w:r>
      <w:r>
        <w:rPr>
          <w:rFonts w:ascii="Arial" w:hAnsi="Arial" w:cs="Arial"/>
          <w:b/>
          <w:bCs/>
        </w:rPr>
        <w:t>P</w:t>
      </w:r>
      <w:r>
        <w:rPr>
          <w:rFonts w:ascii="Arial" w:hAnsi="Arial" w:cs="Arial"/>
          <w:vertAlign w:val="subscript"/>
        </w:rPr>
        <w:t xml:space="preserve"> t</w:t>
      </w:r>
      <w:r>
        <w:rPr>
          <w:rFonts w:ascii="Arial" w:hAnsi="Arial" w:cs="Arial"/>
        </w:rPr>
        <w:t xml:space="preserve"> = (</w:t>
      </w:r>
      <w:r>
        <w:rPr>
          <w:rFonts w:ascii="Arial" w:hAnsi="Arial" w:cs="Arial"/>
          <w:b/>
          <w:bCs/>
        </w:rPr>
        <w:t>I</w:t>
      </w:r>
      <w:r>
        <w:rPr>
          <w:rFonts w:ascii="Arial" w:hAnsi="Arial" w:cs="Arial"/>
        </w:rPr>
        <w:t xml:space="preserve"> −</w:t>
      </w:r>
      <w:r>
        <w:rPr>
          <w:rFonts w:ascii="Arial" w:hAnsi="Arial" w:cs="Arial"/>
          <w:b/>
          <w:bCs/>
        </w:rPr>
        <w:t xml:space="preserve"> K</w:t>
      </w:r>
      <w:r>
        <w:rPr>
          <w:rFonts w:ascii="Arial" w:hAnsi="Arial" w:cs="Arial"/>
          <w:vertAlign w:val="subscript"/>
        </w:rPr>
        <w:t>t</w:t>
      </w:r>
      <w:r>
        <w:rPr>
          <w:rFonts w:ascii="Arial" w:hAnsi="Arial" w:cs="Arial"/>
        </w:rPr>
        <w:t xml:space="preserve"> </w:t>
      </w:r>
      <w:r>
        <w:rPr>
          <w:rFonts w:ascii="Arial" w:hAnsi="Arial" w:cs="Arial"/>
          <w:b/>
          <w:bCs/>
        </w:rPr>
        <w:t>H</w:t>
      </w:r>
      <w:r>
        <w:rPr>
          <w:rFonts w:ascii="Arial" w:hAnsi="Arial" w:cs="Arial"/>
          <w:vertAlign w:val="subscript"/>
        </w:rPr>
        <w:t>t</w:t>
      </w:r>
      <w:r>
        <w:rPr>
          <w:rFonts w:ascii="Arial" w:hAnsi="Arial" w:cs="Arial"/>
        </w:rPr>
        <w:t xml:space="preserve"> ) </w:t>
      </w:r>
      <w:r>
        <w:rPr>
          <w:rFonts w:ascii="Arial" w:hAnsi="Arial" w:cs="Arial"/>
          <w:b/>
          <w:bCs/>
        </w:rPr>
        <w:t>P</w:t>
      </w:r>
      <w:r>
        <w:rPr>
          <w:rFonts w:ascii="Arial" w:hAnsi="Arial" w:cs="Arial"/>
          <w:vertAlign w:val="subscript"/>
        </w:rPr>
        <w:t>t  ̄</w:t>
      </w:r>
      <w:r>
        <w:rPr>
          <w:rFonts w:ascii="Arial" w:hAnsi="Arial" w:cs="Arial"/>
        </w:rPr>
        <w:t xml:space="preserve">                                                      (8)</w:t>
      </w:r>
    </w:p>
    <w:p w:rsidR="00575A88" w:rsidRDefault="00575A88" w:rsidP="00575A88">
      <w:pPr>
        <w:jc w:val="both"/>
        <w:rPr>
          <w:rFonts w:ascii="Arial" w:hAnsi="Arial" w:cs="Arial"/>
        </w:rPr>
      </w:pPr>
    </w:p>
    <w:p w:rsidR="00575A88" w:rsidRDefault="00575A88" w:rsidP="00575A88">
      <w:pPr>
        <w:jc w:val="both"/>
      </w:pPr>
      <w:r>
        <w:rPr>
          <w:rFonts w:ascii="Arial" w:hAnsi="Arial" w:cs="Arial"/>
        </w:rPr>
        <w:t xml:space="preserve">donde </w:t>
      </w:r>
      <w:r>
        <w:rPr>
          <w:rFonts w:ascii="Arial" w:hAnsi="Arial" w:cs="Arial"/>
          <w:b/>
          <w:bCs/>
        </w:rPr>
        <w:t>I</w:t>
      </w:r>
      <w:r>
        <w:rPr>
          <w:rFonts w:ascii="Arial" w:hAnsi="Arial" w:cs="Arial"/>
        </w:rPr>
        <w:t xml:space="preserve"> es una matriz identidad de tamaño </w:t>
      </w:r>
      <w:r>
        <w:rPr>
          <w:rFonts w:ascii="Arial" w:hAnsi="Arial" w:cs="Arial"/>
          <w:i/>
          <w:iCs/>
        </w:rPr>
        <w:t>n x n</w:t>
      </w:r>
      <w:r>
        <w:rPr>
          <w:rFonts w:ascii="Arial" w:hAnsi="Arial" w:cs="Arial"/>
        </w:rPr>
        <w:t>.</w:t>
      </w:r>
    </w:p>
    <w:p w:rsidR="00575A88" w:rsidRDefault="00575A88" w:rsidP="00575A88">
      <w:pPr>
        <w:jc w:val="both"/>
        <w:rPr>
          <w:rFonts w:ascii="Arial" w:hAnsi="Arial" w:cs="Arial"/>
        </w:rPr>
      </w:pPr>
    </w:p>
    <w:p w:rsidR="00575A88" w:rsidRDefault="00575A88" w:rsidP="00575A88">
      <w:pPr>
        <w:jc w:val="both"/>
      </w:pPr>
      <w:r>
        <w:rPr>
          <w:rFonts w:ascii="Arial" w:eastAsia="Arial" w:hAnsi="Arial" w:cs="Arial"/>
        </w:rPr>
        <w:t xml:space="preserve">    Con esta metodología, s</w:t>
      </w:r>
      <w:r>
        <w:rPr>
          <w:rFonts w:ascii="Arial" w:hAnsi="Arial" w:cs="Arial"/>
        </w:rPr>
        <w:t xml:space="preserve">e aplica un filtro de Kalman por cada  fuente de voz detectadas </w:t>
      </w:r>
      <w:r>
        <w:rPr>
          <w:rFonts w:ascii="Arial" w:hAnsi="Arial" w:cs="Arial"/>
          <w:i/>
          <w:iCs/>
        </w:rPr>
        <w:t>j con el algorimo GSC</w:t>
      </w:r>
      <w:r>
        <w:rPr>
          <w:rFonts w:ascii="Arial" w:hAnsi="Arial" w:cs="Arial"/>
        </w:rPr>
        <w:t>, de tal manera que las mediciones z</w:t>
      </w:r>
      <w:r>
        <w:rPr>
          <w:rFonts w:ascii="Arial" w:hAnsi="Arial" w:cs="Arial"/>
          <w:vertAlign w:val="subscript"/>
        </w:rPr>
        <w:t>t</w:t>
      </w:r>
      <w:r>
        <w:rPr>
          <w:rFonts w:ascii="Arial" w:hAnsi="Arial" w:cs="Arial"/>
        </w:rPr>
        <w:t xml:space="preserve"> requeridas en cada filtro, son las observaciones </w:t>
      </w:r>
      <w:r>
        <w:rPr>
          <w:rFonts w:ascii="Arial" w:hAnsi="Arial" w:cs="Arial"/>
          <w:i/>
          <w:iCs/>
        </w:rPr>
        <w:t>O</w:t>
      </w:r>
      <w:r>
        <w:rPr>
          <w:rFonts w:ascii="Arial" w:hAnsi="Arial" w:cs="Arial"/>
          <w:i/>
          <w:iCs/>
          <w:vertAlign w:val="subscript"/>
        </w:rPr>
        <w:t>jt</w:t>
      </w:r>
      <w:r>
        <w:rPr>
          <w:rFonts w:ascii="Arial" w:hAnsi="Arial" w:cs="Arial"/>
        </w:rPr>
        <w:t xml:space="preserve"> clasificadas con cada una de las fuentes seguidas </w:t>
      </w:r>
      <w:r>
        <w:rPr>
          <w:rFonts w:ascii="Arial" w:hAnsi="Arial" w:cs="Arial"/>
          <w:i/>
          <w:iCs/>
          <w:sz w:val="24"/>
        </w:rPr>
        <w:t>j</w:t>
      </w:r>
      <w:r>
        <w:rPr>
          <w:rFonts w:ascii="Arial" w:hAnsi="Arial" w:cs="Arial"/>
        </w:rPr>
        <w:t xml:space="preserve">. El vector de estados está formado por dos elementos, el ángulo de dirección de arribo de la fuente seguida y la velocidad estimada de la fuente seguida en el tiempo </w:t>
      </w:r>
      <w:r>
        <w:rPr>
          <w:rFonts w:ascii="Arial" w:hAnsi="Arial" w:cs="Arial"/>
          <w:i/>
          <w:iCs/>
        </w:rPr>
        <w:t>t</w:t>
      </w:r>
      <w:r>
        <w:rPr>
          <w:rFonts w:ascii="Arial" w:hAnsi="Arial" w:cs="Arial"/>
        </w:rPr>
        <w:t xml:space="preserve">. La covarianza del error de medición </w:t>
      </w:r>
      <w:r>
        <w:rPr>
          <w:rFonts w:ascii="Arial" w:hAnsi="Arial" w:cs="Arial"/>
          <w:b/>
          <w:bCs/>
          <w:i/>
          <w:iCs/>
        </w:rPr>
        <w:t>R</w:t>
      </w:r>
      <w:r>
        <w:rPr>
          <w:rFonts w:ascii="Arial" w:hAnsi="Arial" w:cs="Arial"/>
          <w:i/>
          <w:iCs/>
          <w:vertAlign w:val="subscript"/>
        </w:rPr>
        <w:t xml:space="preserve">t </w:t>
      </w:r>
      <w:r>
        <w:rPr>
          <w:rFonts w:ascii="Arial" w:hAnsi="Arial" w:cs="Arial"/>
        </w:rPr>
        <w:t>corresponde al valor de la variación de las muestras.</w:t>
      </w:r>
    </w:p>
    <w:p w:rsidR="00575A88" w:rsidRDefault="00575A88" w:rsidP="00575A88">
      <w:pPr>
        <w:jc w:val="both"/>
      </w:pPr>
    </w:p>
    <w:p w:rsidR="00575A88" w:rsidRDefault="00575A88" w:rsidP="0037343C">
      <w:pPr>
        <w:pStyle w:val="1Titulo"/>
        <w:numPr>
          <w:ilvl w:val="0"/>
          <w:numId w:val="0"/>
        </w:numPr>
        <w:ind w:left="357"/>
      </w:pPr>
      <w:bookmarkStart w:id="176" w:name="_Toc50031267"/>
      <w:r>
        <w:t>4. Resultados</w:t>
      </w:r>
      <w:bookmarkEnd w:id="176"/>
    </w:p>
    <w:p w:rsidR="00575A88" w:rsidRDefault="00575A88" w:rsidP="00575A88">
      <w:pPr>
        <w:pStyle w:val="Textoindependiente"/>
        <w:jc w:val="both"/>
        <w:rPr>
          <w:rFonts w:ascii="Arial" w:eastAsia="Arial" w:hAnsi="Arial" w:cs="Arial"/>
          <w:sz w:val="24"/>
        </w:rPr>
      </w:pPr>
    </w:p>
    <w:p w:rsidR="00575A88" w:rsidRDefault="00575A88" w:rsidP="00575A88">
      <w:pPr>
        <w:pStyle w:val="Textoindependiente"/>
        <w:jc w:val="both"/>
      </w:pPr>
      <w:r>
        <w:rPr>
          <w:rFonts w:ascii="Arial" w:eastAsia="Arial" w:hAnsi="Arial" w:cs="Arial"/>
          <w:b w:val="0"/>
          <w:sz w:val="24"/>
        </w:rPr>
        <w:lastRenderedPageBreak/>
        <w:t xml:space="preserve">     Se realizaron experimentos con señales provenientes de fuentes de voz en movimiento, tanto para  voces femeninas como masculinas. Las  fuentes se adquirieron por medio de un arreglo de micrófonos circular, con seis micrófonos, una frecuencia de muestreo Fs = 44100 </w:t>
      </w:r>
      <w:r>
        <w:rPr>
          <w:rFonts w:ascii="Arial" w:eastAsia="Arial" w:hAnsi="Arial" w:cs="Arial"/>
          <w:b w:val="0"/>
          <w:i/>
          <w:iCs/>
          <w:sz w:val="24"/>
        </w:rPr>
        <w:t>hz</w:t>
      </w:r>
      <w:r>
        <w:rPr>
          <w:rFonts w:ascii="Arial" w:eastAsia="Arial" w:hAnsi="Arial" w:cs="Arial"/>
          <w:b w:val="0"/>
          <w:sz w:val="24"/>
        </w:rPr>
        <w:t xml:space="preserve">, con distancia entre micrófonos de 4.2 </w:t>
      </w:r>
      <w:r>
        <w:rPr>
          <w:rFonts w:ascii="Arial" w:eastAsia="Arial" w:hAnsi="Arial" w:cs="Arial"/>
          <w:b w:val="0"/>
          <w:i/>
          <w:iCs/>
          <w:sz w:val="24"/>
        </w:rPr>
        <w:t>cms</w:t>
      </w:r>
      <w:r>
        <w:rPr>
          <w:rFonts w:ascii="Arial" w:eastAsia="Arial" w:hAnsi="Arial" w:cs="Arial"/>
          <w:b w:val="0"/>
          <w:sz w:val="24"/>
        </w:rPr>
        <w:t xml:space="preserve"> en el arreglo circular con una separación angular de 60</w:t>
      </w:r>
      <w:r>
        <w:rPr>
          <w:rFonts w:ascii="Arial" w:eastAsia="Arial" w:hAnsi="Arial" w:cs="Arial"/>
          <w:b w:val="0"/>
          <w:sz w:val="24"/>
          <w:vertAlign w:val="superscript"/>
        </w:rPr>
        <w:t xml:space="preserve">0 </w:t>
      </w:r>
      <w:r>
        <w:rPr>
          <w:rFonts w:ascii="Arial" w:eastAsia="Arial" w:hAnsi="Arial" w:cs="Arial"/>
          <w:b w:val="0"/>
          <w:sz w:val="24"/>
        </w:rPr>
        <w:t>grados, distancia a la fuente de 2</w:t>
      </w:r>
      <w:r>
        <w:rPr>
          <w:rFonts w:ascii="Arial" w:eastAsia="Arial" w:hAnsi="Arial" w:cs="Arial"/>
          <w:b w:val="0"/>
          <w:i/>
          <w:iCs/>
          <w:sz w:val="24"/>
        </w:rPr>
        <w:t>m</w:t>
      </w:r>
      <w:r>
        <w:rPr>
          <w:rFonts w:ascii="Arial" w:eastAsia="Arial" w:hAnsi="Arial" w:cs="Arial"/>
          <w:b w:val="0"/>
          <w:sz w:val="24"/>
        </w:rPr>
        <w:t>. En particular en este trabajo se reportan resultados con una sola fuente en movimiento, sin embargo, con la estimación de Kalman es factible obtener buenos resultados cuando se tiene hasta tres fuentes en movimiento.</w:t>
      </w:r>
    </w:p>
    <w:p w:rsidR="00575A88" w:rsidRDefault="00575A88" w:rsidP="00575A88">
      <w:pPr>
        <w:spacing w:line="360" w:lineRule="auto"/>
        <w:ind w:firstLine="567"/>
        <w:jc w:val="both"/>
        <w:rPr>
          <w:rFonts w:ascii="Arial" w:hAnsi="Arial" w:cs="Arial"/>
          <w:b/>
          <w:color w:val="000000"/>
        </w:rPr>
      </w:pPr>
    </w:p>
    <w:p w:rsidR="00575A88" w:rsidRDefault="00575A88" w:rsidP="00575A88">
      <w:pPr>
        <w:spacing w:line="360" w:lineRule="auto"/>
        <w:jc w:val="both"/>
      </w:pPr>
      <w:r>
        <w:rPr>
          <w:rFonts w:ascii="Arial" w:hAnsi="Arial" w:cs="Arial"/>
          <w:color w:val="000000"/>
        </w:rPr>
        <w:t>4.1 Resultados con el arreglo circular de seis micrófonos</w:t>
      </w:r>
    </w:p>
    <w:p w:rsidR="00575A88" w:rsidRDefault="00575A88" w:rsidP="00575A88">
      <w:pPr>
        <w:jc w:val="both"/>
      </w:pPr>
      <w:r>
        <w:rPr>
          <w:rFonts w:ascii="Arial" w:hAnsi="Arial" w:cs="Arial"/>
        </w:rPr>
        <w:t>En este caso el intervalo de detección para DOA,  es de 0</w:t>
      </w:r>
      <w:r>
        <w:rPr>
          <w:rFonts w:ascii="Arial" w:hAnsi="Arial" w:cs="Arial"/>
          <w:vertAlign w:val="superscript"/>
        </w:rPr>
        <w:t>0</w:t>
      </w:r>
      <w:r>
        <w:rPr>
          <w:rFonts w:ascii="Arial" w:hAnsi="Arial" w:cs="Arial"/>
        </w:rPr>
        <w:t xml:space="preserve"> ≤ θ &lt; 360</w:t>
      </w:r>
      <w:r>
        <w:rPr>
          <w:rFonts w:ascii="Arial" w:hAnsi="Arial" w:cs="Arial"/>
          <w:vertAlign w:val="superscript"/>
        </w:rPr>
        <w:t>0</w:t>
      </w:r>
      <w:r>
        <w:rPr>
          <w:rFonts w:ascii="Arial" w:hAnsi="Arial" w:cs="Arial"/>
        </w:rPr>
        <w:t>.  Con la fuente de voz posicionada en el ángulo inicial θ</w:t>
      </w:r>
      <w:r>
        <w:rPr>
          <w:rFonts w:ascii="Arial" w:hAnsi="Arial" w:cs="Arial"/>
          <w:vertAlign w:val="subscript"/>
        </w:rPr>
        <w:t>ini</w:t>
      </w:r>
      <w:r>
        <w:rPr>
          <w:rFonts w:ascii="Arial" w:hAnsi="Arial" w:cs="Arial"/>
        </w:rPr>
        <w:t xml:space="preserve"> = 0</w:t>
      </w:r>
      <w:r>
        <w:rPr>
          <w:rFonts w:ascii="Arial" w:hAnsi="Arial" w:cs="Arial"/>
          <w:vertAlign w:val="superscript"/>
        </w:rPr>
        <w:t>0</w:t>
      </w:r>
      <w:r>
        <w:rPr>
          <w:rFonts w:ascii="Arial" w:hAnsi="Arial" w:cs="Arial"/>
        </w:rPr>
        <w:t xml:space="preserve">  y final θ</w:t>
      </w:r>
      <w:r>
        <w:rPr>
          <w:rFonts w:ascii="Arial" w:hAnsi="Arial" w:cs="Arial"/>
          <w:vertAlign w:val="subscript"/>
        </w:rPr>
        <w:t>fin</w:t>
      </w:r>
      <w:r>
        <w:rPr>
          <w:rFonts w:ascii="Arial" w:hAnsi="Arial" w:cs="Arial"/>
        </w:rPr>
        <w:t xml:space="preserve"> = 100</w:t>
      </w:r>
      <w:r>
        <w:rPr>
          <w:rFonts w:ascii="Arial" w:hAnsi="Arial" w:cs="Arial"/>
          <w:vertAlign w:val="superscript"/>
        </w:rPr>
        <w:t xml:space="preserve">0 </w:t>
      </w:r>
      <w:r>
        <w:rPr>
          <w:rFonts w:ascii="Arial" w:hAnsi="Arial" w:cs="Arial"/>
        </w:rPr>
        <w:t>. En la figura 1, se muestra el seguimiento de la fuente de voz realizada en 28 segundos, los ángulos estimados fueron  θ</w:t>
      </w:r>
      <w:r>
        <w:rPr>
          <w:rFonts w:ascii="Arial" w:hAnsi="Arial" w:cs="Arial"/>
          <w:vertAlign w:val="subscript"/>
        </w:rPr>
        <w:t>ini</w:t>
      </w:r>
      <w:r>
        <w:rPr>
          <w:rFonts w:ascii="Arial" w:hAnsi="Arial" w:cs="Arial"/>
        </w:rPr>
        <w:t xml:space="preserve"> = 2</w:t>
      </w:r>
      <w:r>
        <w:rPr>
          <w:rFonts w:ascii="Arial" w:hAnsi="Arial" w:cs="Arial"/>
          <w:vertAlign w:val="superscript"/>
        </w:rPr>
        <w:t>0</w:t>
      </w:r>
      <w:r>
        <w:rPr>
          <w:rFonts w:ascii="Arial" w:hAnsi="Arial" w:cs="Arial"/>
        </w:rPr>
        <w:t xml:space="preserve"> y  θ</w:t>
      </w:r>
      <w:r>
        <w:rPr>
          <w:rFonts w:ascii="Arial" w:hAnsi="Arial" w:cs="Arial"/>
          <w:vertAlign w:val="subscript"/>
        </w:rPr>
        <w:t>fin</w:t>
      </w:r>
      <w:r>
        <w:rPr>
          <w:rFonts w:ascii="Arial" w:hAnsi="Arial" w:cs="Arial"/>
        </w:rPr>
        <w:t>= 99</w:t>
      </w:r>
      <w:r>
        <w:rPr>
          <w:rFonts w:ascii="Arial" w:hAnsi="Arial" w:cs="Arial"/>
          <w:vertAlign w:val="superscript"/>
        </w:rPr>
        <w:t>0</w:t>
      </w:r>
      <w:r>
        <w:rPr>
          <w:rFonts w:ascii="Arial" w:hAnsi="Arial" w:cs="Arial"/>
        </w:rPr>
        <w:t xml:space="preserve"> , y los ángulos θ</w:t>
      </w:r>
      <w:r>
        <w:rPr>
          <w:rFonts w:ascii="Arial" w:hAnsi="Arial" w:cs="Arial"/>
          <w:vertAlign w:val="subscript"/>
        </w:rPr>
        <w:t>ini</w:t>
      </w:r>
      <w:r>
        <w:rPr>
          <w:rFonts w:ascii="Arial" w:hAnsi="Arial" w:cs="Arial"/>
        </w:rPr>
        <w:t xml:space="preserve"> = 245</w:t>
      </w:r>
      <w:r>
        <w:rPr>
          <w:rFonts w:ascii="Arial" w:hAnsi="Arial" w:cs="Arial"/>
          <w:vertAlign w:val="superscript"/>
        </w:rPr>
        <w:t>0</w:t>
      </w:r>
      <w:r>
        <w:rPr>
          <w:rFonts w:ascii="Arial" w:hAnsi="Arial" w:cs="Arial"/>
        </w:rPr>
        <w:t xml:space="preserve"> o y el final en θ</w:t>
      </w:r>
      <w:r>
        <w:rPr>
          <w:rFonts w:ascii="Arial" w:hAnsi="Arial" w:cs="Arial"/>
          <w:vertAlign w:val="subscript"/>
        </w:rPr>
        <w:t>fin</w:t>
      </w:r>
      <w:r>
        <w:rPr>
          <w:rFonts w:ascii="Arial" w:hAnsi="Arial" w:cs="Arial"/>
        </w:rPr>
        <w:t>= 130</w:t>
      </w:r>
      <w:r>
        <w:rPr>
          <w:rFonts w:ascii="Arial" w:hAnsi="Arial" w:cs="Arial"/>
          <w:vertAlign w:val="superscript"/>
        </w:rPr>
        <w:t>0</w:t>
      </w:r>
      <w:r>
        <w:rPr>
          <w:rFonts w:ascii="Arial" w:hAnsi="Arial" w:cs="Arial"/>
        </w:rPr>
        <w:t>. En la figura 4, se observa el seguimiento de la fuente en el intervalo del ángulo de arribo inicial estimado fue en  θ</w:t>
      </w:r>
      <w:r>
        <w:rPr>
          <w:rFonts w:ascii="Arial" w:hAnsi="Arial" w:cs="Arial"/>
          <w:vertAlign w:val="subscript"/>
        </w:rPr>
        <w:t>ini</w:t>
      </w:r>
      <w:r>
        <w:rPr>
          <w:rFonts w:ascii="Arial" w:hAnsi="Arial" w:cs="Arial"/>
        </w:rPr>
        <w:t>= 237</w:t>
      </w:r>
      <w:r>
        <w:rPr>
          <w:rFonts w:ascii="Arial" w:hAnsi="Arial" w:cs="Arial"/>
          <w:vertAlign w:val="superscript"/>
        </w:rPr>
        <w:t xml:space="preserve">0 </w:t>
      </w:r>
      <w:r>
        <w:rPr>
          <w:rFonts w:ascii="Arial" w:hAnsi="Arial" w:cs="Arial"/>
        </w:rPr>
        <w:t xml:space="preserve"> y el final en  θ</w:t>
      </w:r>
      <w:r>
        <w:rPr>
          <w:rFonts w:ascii="Arial" w:hAnsi="Arial" w:cs="Arial"/>
          <w:vertAlign w:val="subscript"/>
        </w:rPr>
        <w:t>fin</w:t>
      </w:r>
      <w:r>
        <w:rPr>
          <w:rFonts w:ascii="Arial" w:hAnsi="Arial" w:cs="Arial"/>
        </w:rPr>
        <w:t>= 138</w:t>
      </w:r>
      <w:r>
        <w:rPr>
          <w:rFonts w:ascii="Arial" w:hAnsi="Arial" w:cs="Arial"/>
          <w:vertAlign w:val="superscript"/>
        </w:rPr>
        <w:t>0</w:t>
      </w:r>
      <w:r>
        <w:rPr>
          <w:rFonts w:ascii="Arial" w:hAnsi="Arial" w:cs="Arial"/>
        </w:rPr>
        <w:t>. La fuente de voz experimentó una velocidad promedio de 1.61</w:t>
      </w:r>
      <w:r>
        <w:rPr>
          <w:rFonts w:ascii="Arial" w:hAnsi="Arial" w:cs="Arial"/>
          <w:vertAlign w:val="superscript"/>
        </w:rPr>
        <w:t>0</w:t>
      </w:r>
      <w:r>
        <w:rPr>
          <w:rFonts w:ascii="Arial" w:hAnsi="Arial" w:cs="Arial"/>
        </w:rPr>
        <w:t>/s en sentido horario.</w:t>
      </w: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r>
        <w:rPr>
          <w:noProof/>
          <w:lang w:val="en-US"/>
        </w:rPr>
        <w:lastRenderedPageBreak/>
        <w:drawing>
          <wp:anchor distT="0" distB="0" distL="0" distR="0" simplePos="0" relativeHeight="251807744" behindDoc="0" locked="0" layoutInCell="1" allowOverlap="1" wp14:anchorId="64442BA3" wp14:editId="264B0A8C">
            <wp:simplePos x="0" y="0"/>
            <wp:positionH relativeFrom="column">
              <wp:posOffset>300990</wp:posOffset>
            </wp:positionH>
            <wp:positionV relativeFrom="paragraph">
              <wp:posOffset>78105</wp:posOffset>
            </wp:positionV>
            <wp:extent cx="2130425" cy="1624330"/>
            <wp:effectExtent l="0" t="0" r="3175" b="0"/>
            <wp:wrapSquare wrapText="largest"/>
            <wp:docPr id="1413571389" name="Imagen 141357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2130425" cy="16243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0" distR="0" simplePos="0" relativeHeight="251808768" behindDoc="0" locked="0" layoutInCell="1" allowOverlap="1" wp14:anchorId="27E059C7" wp14:editId="64E0F49E">
            <wp:simplePos x="0" y="0"/>
            <wp:positionH relativeFrom="column">
              <wp:posOffset>3076575</wp:posOffset>
            </wp:positionH>
            <wp:positionV relativeFrom="paragraph">
              <wp:posOffset>81280</wp:posOffset>
            </wp:positionV>
            <wp:extent cx="2382520" cy="1863090"/>
            <wp:effectExtent l="0" t="0" r="0" b="3810"/>
            <wp:wrapSquare wrapText="largest"/>
            <wp:docPr id="1413571388" name="Imagen 141357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2382520" cy="1863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jc w:val="both"/>
        <w:rPr>
          <w:rFonts w:ascii="Arial" w:hAnsi="Arial" w:cs="Arial"/>
        </w:rPr>
      </w:pPr>
    </w:p>
    <w:p w:rsidR="00575A88" w:rsidRDefault="00575A88" w:rsidP="00575A88">
      <w:pPr>
        <w:spacing w:line="360" w:lineRule="auto"/>
        <w:ind w:firstLine="567"/>
        <w:jc w:val="both"/>
        <w:rPr>
          <w:rFonts w:ascii="Arial" w:hAnsi="Arial" w:cs="Arial"/>
          <w:b/>
          <w:color w:val="000000"/>
        </w:rPr>
      </w:pPr>
    </w:p>
    <w:p w:rsidR="00575A88" w:rsidRDefault="00575A88" w:rsidP="00575A88">
      <w:pPr>
        <w:spacing w:line="360" w:lineRule="auto"/>
        <w:ind w:firstLine="567"/>
        <w:jc w:val="center"/>
        <w:rPr>
          <w:rFonts w:ascii="Arial" w:hAnsi="Arial" w:cs="Arial"/>
          <w:b/>
          <w:bCs/>
          <w:i/>
          <w:color w:val="000000"/>
          <w:sz w:val="20"/>
          <w:szCs w:val="20"/>
        </w:rPr>
      </w:pPr>
    </w:p>
    <w:p w:rsidR="00575A88" w:rsidRDefault="00575A88" w:rsidP="00575A88">
      <w:pPr>
        <w:spacing w:line="360" w:lineRule="auto"/>
        <w:ind w:firstLine="567"/>
        <w:jc w:val="center"/>
        <w:rPr>
          <w:rFonts w:ascii="Arial" w:hAnsi="Arial" w:cs="Arial"/>
          <w:bCs/>
          <w:i/>
          <w:color w:val="000000"/>
          <w:sz w:val="20"/>
          <w:szCs w:val="20"/>
        </w:rPr>
      </w:pPr>
    </w:p>
    <w:p w:rsidR="00575A88" w:rsidRDefault="00575A88" w:rsidP="00575A88">
      <w:pPr>
        <w:spacing w:line="360" w:lineRule="auto"/>
        <w:jc w:val="center"/>
      </w:pPr>
    </w:p>
    <w:p w:rsidR="00575A88" w:rsidRDefault="00575A88" w:rsidP="00575A88">
      <w:pPr>
        <w:spacing w:line="360" w:lineRule="auto"/>
        <w:jc w:val="center"/>
      </w:pPr>
      <w:r>
        <w:rPr>
          <w:rFonts w:ascii="Arial" w:hAnsi="Arial" w:cs="Arial"/>
          <w:bCs/>
          <w:i/>
          <w:color w:val="000000"/>
          <w:sz w:val="20"/>
          <w:szCs w:val="20"/>
        </w:rPr>
        <w:t>Figura 3. Resultado de  movimiento de fuente  en intervalo  θ</w:t>
      </w:r>
      <w:r>
        <w:rPr>
          <w:rFonts w:ascii="Arial" w:hAnsi="Arial" w:cs="Arial"/>
          <w:bCs/>
          <w:i/>
          <w:color w:val="000000"/>
          <w:sz w:val="20"/>
          <w:szCs w:val="20"/>
          <w:vertAlign w:val="subscript"/>
        </w:rPr>
        <w:t>ini</w:t>
      </w:r>
      <w:r>
        <w:rPr>
          <w:rFonts w:ascii="Arial" w:hAnsi="Arial" w:cs="Arial"/>
          <w:bCs/>
          <w:i/>
          <w:color w:val="000000"/>
          <w:sz w:val="20"/>
          <w:szCs w:val="20"/>
        </w:rPr>
        <w:t>= 2</w:t>
      </w:r>
      <w:r>
        <w:rPr>
          <w:rFonts w:ascii="Arial" w:hAnsi="Arial" w:cs="Arial"/>
          <w:bCs/>
          <w:i/>
          <w:color w:val="000000"/>
          <w:sz w:val="20"/>
          <w:szCs w:val="20"/>
          <w:vertAlign w:val="superscript"/>
        </w:rPr>
        <w:t>0</w:t>
      </w:r>
      <w:r>
        <w:rPr>
          <w:rFonts w:ascii="Arial" w:hAnsi="Arial" w:cs="Arial"/>
          <w:bCs/>
          <w:i/>
          <w:color w:val="000000"/>
          <w:sz w:val="20"/>
          <w:szCs w:val="20"/>
        </w:rPr>
        <w:t xml:space="preserve">  y θ</w:t>
      </w:r>
      <w:r>
        <w:rPr>
          <w:rFonts w:ascii="Arial" w:hAnsi="Arial" w:cs="Arial"/>
          <w:bCs/>
          <w:i/>
          <w:color w:val="000000"/>
          <w:sz w:val="20"/>
          <w:szCs w:val="20"/>
          <w:vertAlign w:val="subscript"/>
        </w:rPr>
        <w:t>fin</w:t>
      </w:r>
      <w:r>
        <w:rPr>
          <w:rFonts w:ascii="Arial" w:hAnsi="Arial" w:cs="Arial"/>
          <w:bCs/>
          <w:i/>
          <w:color w:val="000000"/>
          <w:sz w:val="20"/>
          <w:szCs w:val="20"/>
        </w:rPr>
        <w:t>= 99</w:t>
      </w:r>
      <w:r>
        <w:rPr>
          <w:rFonts w:ascii="Arial" w:hAnsi="Arial" w:cs="Arial"/>
          <w:bCs/>
          <w:i/>
          <w:color w:val="000000"/>
          <w:sz w:val="20"/>
          <w:szCs w:val="20"/>
          <w:vertAlign w:val="superscript"/>
        </w:rPr>
        <w:t>0</w:t>
      </w:r>
    </w:p>
    <w:p w:rsidR="00575A88" w:rsidRDefault="00575A88" w:rsidP="00575A88">
      <w:pPr>
        <w:spacing w:line="360" w:lineRule="auto"/>
        <w:ind w:firstLine="567"/>
        <w:jc w:val="both"/>
        <w:rPr>
          <w:rFonts w:ascii="Arial" w:hAnsi="Arial" w:cs="Arial"/>
          <w:color w:val="000000"/>
        </w:rPr>
      </w:pPr>
      <w:r>
        <w:rPr>
          <w:noProof/>
          <w:lang w:val="en-US"/>
        </w:rPr>
        <w:drawing>
          <wp:anchor distT="0" distB="0" distL="0" distR="0" simplePos="0" relativeHeight="251804672" behindDoc="0" locked="0" layoutInCell="1" allowOverlap="1" wp14:anchorId="25153C9F" wp14:editId="3AC376D4">
            <wp:simplePos x="0" y="0"/>
            <wp:positionH relativeFrom="column">
              <wp:posOffset>1618615</wp:posOffset>
            </wp:positionH>
            <wp:positionV relativeFrom="paragraph">
              <wp:posOffset>160020</wp:posOffset>
            </wp:positionV>
            <wp:extent cx="2371090" cy="1885315"/>
            <wp:effectExtent l="0" t="0" r="0" b="635"/>
            <wp:wrapSquare wrapText="largest"/>
            <wp:docPr id="1413571387" name="Imagen 141357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2371090" cy="18853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575A88" w:rsidRPr="00575A88" w:rsidRDefault="00575A88" w:rsidP="00575A88">
      <w:pPr>
        <w:pStyle w:val="EQN"/>
        <w:jc w:val="right"/>
        <w:rPr>
          <w:lang w:val="es-MX"/>
        </w:rPr>
      </w:pPr>
      <w:r w:rsidRPr="00575A88">
        <w:rPr>
          <w:rFonts w:eastAsia="Times"/>
          <w:lang w:val="es-MX"/>
        </w:rPr>
        <w:t xml:space="preserve">                                                              </w:t>
      </w:r>
    </w:p>
    <w:p w:rsidR="00575A88" w:rsidRPr="00575A88" w:rsidRDefault="00575A88" w:rsidP="00575A88">
      <w:pPr>
        <w:tabs>
          <w:tab w:val="center" w:pos="4820"/>
          <w:tab w:val="right" w:pos="9072"/>
        </w:tabs>
        <w:spacing w:before="120" w:after="120"/>
        <w:jc w:val="center"/>
        <w:rPr>
          <w:rFonts w:eastAsia="SimSun"/>
          <w:color w:val="000000"/>
          <w:sz w:val="22"/>
          <w:szCs w:val="22"/>
          <w:lang w:val="es-MX"/>
        </w:rPr>
      </w:pPr>
    </w:p>
    <w:p w:rsidR="00575A88" w:rsidRPr="00575A88" w:rsidRDefault="00575A88" w:rsidP="00575A88">
      <w:pPr>
        <w:spacing w:line="360" w:lineRule="auto"/>
        <w:jc w:val="both"/>
        <w:rPr>
          <w:rFonts w:eastAsia="SimSun"/>
          <w:color w:val="000000"/>
          <w:sz w:val="22"/>
          <w:szCs w:val="22"/>
          <w:lang w:val="es-MX"/>
        </w:rPr>
      </w:pPr>
    </w:p>
    <w:p w:rsidR="00575A88" w:rsidRDefault="00575A88" w:rsidP="00575A88">
      <w:pPr>
        <w:spacing w:line="360" w:lineRule="auto"/>
        <w:jc w:val="both"/>
      </w:pPr>
    </w:p>
    <w:p w:rsidR="00575A88" w:rsidRDefault="00575A88" w:rsidP="00575A88">
      <w:pPr>
        <w:spacing w:line="360" w:lineRule="auto"/>
        <w:ind w:firstLine="567"/>
        <w:jc w:val="center"/>
        <w:rPr>
          <w:rFonts w:ascii="Arial" w:hAnsi="Arial" w:cs="Arial"/>
          <w:color w:val="000000"/>
        </w:rPr>
      </w:pPr>
    </w:p>
    <w:p w:rsidR="00575A88" w:rsidRDefault="00575A88" w:rsidP="00575A88">
      <w:pPr>
        <w:spacing w:line="360" w:lineRule="auto"/>
        <w:ind w:firstLine="567"/>
        <w:jc w:val="center"/>
        <w:rPr>
          <w:rFonts w:ascii="Arial" w:hAnsi="Arial" w:cs="Arial"/>
          <w:color w:val="000000"/>
        </w:rPr>
      </w:pPr>
    </w:p>
    <w:p w:rsidR="00575A88" w:rsidRDefault="00575A88" w:rsidP="00575A88">
      <w:pPr>
        <w:spacing w:line="360" w:lineRule="auto"/>
        <w:jc w:val="center"/>
      </w:pPr>
    </w:p>
    <w:p w:rsidR="00575A88" w:rsidRDefault="00575A88" w:rsidP="00575A88">
      <w:pPr>
        <w:spacing w:line="360" w:lineRule="auto"/>
        <w:jc w:val="center"/>
      </w:pPr>
      <w:r>
        <w:rPr>
          <w:rFonts w:ascii="Arial" w:hAnsi="Arial" w:cs="Arial"/>
          <w:bCs/>
          <w:i/>
          <w:color w:val="000000"/>
          <w:sz w:val="20"/>
          <w:szCs w:val="20"/>
        </w:rPr>
        <w:t>Figura 4. Resultado de  movimiento de fuente  en intervalo θ</w:t>
      </w:r>
      <w:r>
        <w:rPr>
          <w:rFonts w:ascii="Arial" w:hAnsi="Arial" w:cs="Arial"/>
          <w:bCs/>
          <w:i/>
          <w:color w:val="000000"/>
          <w:sz w:val="20"/>
          <w:szCs w:val="20"/>
          <w:vertAlign w:val="subscript"/>
        </w:rPr>
        <w:t>ini</w:t>
      </w:r>
      <w:r>
        <w:rPr>
          <w:rFonts w:ascii="Arial" w:hAnsi="Arial" w:cs="Arial"/>
          <w:bCs/>
          <w:i/>
          <w:color w:val="000000"/>
          <w:sz w:val="20"/>
          <w:szCs w:val="20"/>
        </w:rPr>
        <w:t>= 237</w:t>
      </w:r>
      <w:r>
        <w:rPr>
          <w:rFonts w:ascii="Arial" w:hAnsi="Arial" w:cs="Arial"/>
          <w:bCs/>
          <w:i/>
          <w:color w:val="000000"/>
          <w:sz w:val="20"/>
          <w:szCs w:val="20"/>
          <w:vertAlign w:val="superscript"/>
        </w:rPr>
        <w:t xml:space="preserve">0 </w:t>
      </w:r>
      <w:r>
        <w:rPr>
          <w:rFonts w:ascii="Arial" w:hAnsi="Arial" w:cs="Arial"/>
          <w:bCs/>
          <w:i/>
          <w:color w:val="000000"/>
          <w:sz w:val="20"/>
          <w:szCs w:val="20"/>
        </w:rPr>
        <w:t xml:space="preserve"> y  θ</w:t>
      </w:r>
      <w:r>
        <w:rPr>
          <w:rFonts w:ascii="Arial" w:hAnsi="Arial" w:cs="Arial"/>
          <w:bCs/>
          <w:i/>
          <w:color w:val="000000"/>
          <w:sz w:val="20"/>
          <w:szCs w:val="20"/>
          <w:vertAlign w:val="subscript"/>
        </w:rPr>
        <w:t>fin</w:t>
      </w:r>
      <w:r>
        <w:rPr>
          <w:rFonts w:ascii="Arial" w:hAnsi="Arial" w:cs="Arial"/>
          <w:bCs/>
          <w:i/>
          <w:color w:val="000000"/>
          <w:sz w:val="20"/>
          <w:szCs w:val="20"/>
        </w:rPr>
        <w:t>= 138</w:t>
      </w:r>
      <w:r>
        <w:rPr>
          <w:rFonts w:ascii="Arial" w:hAnsi="Arial" w:cs="Arial"/>
          <w:bCs/>
          <w:i/>
          <w:color w:val="000000"/>
          <w:sz w:val="20"/>
          <w:szCs w:val="20"/>
          <w:vertAlign w:val="superscript"/>
        </w:rPr>
        <w:t>0</w:t>
      </w:r>
      <w:r>
        <w:rPr>
          <w:rFonts w:ascii="Arial" w:hAnsi="Arial" w:cs="Arial"/>
          <w:bCs/>
          <w:i/>
          <w:color w:val="000000"/>
          <w:sz w:val="20"/>
          <w:szCs w:val="20"/>
        </w:rPr>
        <w:t xml:space="preserve"> </w:t>
      </w:r>
    </w:p>
    <w:p w:rsidR="00575A88" w:rsidRDefault="00575A88" w:rsidP="00575A88">
      <w:pPr>
        <w:spacing w:line="360" w:lineRule="auto"/>
        <w:jc w:val="both"/>
        <w:rPr>
          <w:rFonts w:ascii="Arial" w:hAnsi="Arial" w:cs="Arial"/>
          <w:sz w:val="24"/>
        </w:rPr>
      </w:pPr>
    </w:p>
    <w:p w:rsidR="00575A88" w:rsidRPr="0037343C" w:rsidRDefault="00575A88" w:rsidP="00575A88">
      <w:pPr>
        <w:pStyle w:val="Ttulo1"/>
        <w:keepLines w:val="0"/>
        <w:numPr>
          <w:ilvl w:val="0"/>
          <w:numId w:val="1"/>
        </w:numPr>
        <w:tabs>
          <w:tab w:val="clear" w:pos="432"/>
          <w:tab w:val="left" w:pos="0"/>
        </w:tabs>
        <w:suppressAutoHyphens/>
        <w:spacing w:before="0" w:after="0" w:line="360" w:lineRule="auto"/>
        <w:ind w:left="0" w:firstLine="0"/>
        <w:rPr>
          <w:sz w:val="24"/>
          <w:szCs w:val="24"/>
        </w:rPr>
      </w:pPr>
      <w:bookmarkStart w:id="177" w:name="_Toc50031268"/>
      <w:r w:rsidRPr="0037343C">
        <w:rPr>
          <w:rFonts w:ascii="Arial" w:hAnsi="Arial" w:cs="Arial"/>
          <w:caps/>
          <w:sz w:val="24"/>
          <w:szCs w:val="24"/>
        </w:rPr>
        <w:t xml:space="preserve">5. </w:t>
      </w:r>
      <w:r w:rsidRPr="0037343C">
        <w:rPr>
          <w:rFonts w:ascii="Arial" w:hAnsi="Arial" w:cs="Arial"/>
          <w:sz w:val="24"/>
          <w:szCs w:val="24"/>
        </w:rPr>
        <w:t>Conclusiones</w:t>
      </w:r>
      <w:bookmarkEnd w:id="177"/>
    </w:p>
    <w:p w:rsidR="00575A88" w:rsidRDefault="00575A88" w:rsidP="00575A88">
      <w:pPr>
        <w:pStyle w:val="Textoindependiente"/>
        <w:jc w:val="both"/>
      </w:pPr>
      <w:r>
        <w:rPr>
          <w:rFonts w:ascii="Arial" w:eastAsia="Noto Sans CJK SC Regular" w:hAnsi="Arial" w:cs="Arial"/>
          <w:b w:val="0"/>
          <w:bCs w:val="0"/>
          <w:color w:val="00000A"/>
          <w:sz w:val="24"/>
          <w:szCs w:val="24"/>
          <w:lang w:eastAsia="zh-CN" w:bidi="hi-IN"/>
        </w:rPr>
        <w:t xml:space="preserve">    El sistema desarrollado estima la dirección de arribo de señales de voz provenientes de diferentes fuentes posicionadas dentro de un intervalo angular de 0</w:t>
      </w:r>
      <w:r>
        <w:rPr>
          <w:rFonts w:ascii="Arial" w:eastAsia="Noto Sans CJK SC Regular" w:hAnsi="Arial" w:cs="Arial"/>
          <w:b w:val="0"/>
          <w:bCs w:val="0"/>
          <w:color w:val="00000A"/>
          <w:sz w:val="24"/>
          <w:szCs w:val="24"/>
          <w:vertAlign w:val="superscript"/>
          <w:lang w:eastAsia="zh-CN" w:bidi="hi-IN"/>
        </w:rPr>
        <w:t xml:space="preserve">0 </w:t>
      </w:r>
      <w:r>
        <w:rPr>
          <w:rFonts w:ascii="Arial" w:eastAsia="Noto Sans CJK SC Regular" w:hAnsi="Arial" w:cs="Arial"/>
          <w:b w:val="0"/>
          <w:bCs w:val="0"/>
          <w:color w:val="00000A"/>
          <w:sz w:val="24"/>
          <w:szCs w:val="24"/>
          <w:lang w:eastAsia="zh-CN" w:bidi="hi-IN"/>
        </w:rPr>
        <w:t>≤ θ &lt; 360</w:t>
      </w:r>
      <w:r>
        <w:rPr>
          <w:rFonts w:ascii="Arial" w:eastAsia="Noto Sans CJK SC Regular" w:hAnsi="Arial" w:cs="Arial"/>
          <w:b w:val="0"/>
          <w:bCs w:val="0"/>
          <w:color w:val="00000A"/>
          <w:sz w:val="24"/>
          <w:szCs w:val="24"/>
          <w:vertAlign w:val="superscript"/>
          <w:lang w:eastAsia="zh-CN" w:bidi="hi-IN"/>
        </w:rPr>
        <w:t>0</w:t>
      </w:r>
      <w:r>
        <w:rPr>
          <w:rFonts w:ascii="Arial" w:eastAsia="Noto Sans CJK SC Regular" w:hAnsi="Arial" w:cs="Arial"/>
          <w:b w:val="0"/>
          <w:bCs w:val="0"/>
          <w:color w:val="00000A"/>
          <w:sz w:val="24"/>
          <w:szCs w:val="24"/>
          <w:lang w:eastAsia="zh-CN" w:bidi="hi-IN"/>
        </w:rPr>
        <w:t xml:space="preserve"> </w:t>
      </w:r>
      <w:r>
        <w:rPr>
          <w:rFonts w:ascii="Arial" w:eastAsia="Noto Sans CJK SC Regular" w:hAnsi="Arial" w:cs="Arial"/>
          <w:b w:val="0"/>
          <w:bCs w:val="0"/>
          <w:color w:val="00000A"/>
          <w:sz w:val="24"/>
          <w:szCs w:val="24"/>
          <w:lang w:eastAsia="zh-CN" w:bidi="hi-IN"/>
        </w:rPr>
        <w:lastRenderedPageBreak/>
        <w:t xml:space="preserve">utilizando un arreglo circular de micrófonos, con un tiempo de respuesta </w:t>
      </w:r>
      <w:r>
        <w:rPr>
          <w:rFonts w:ascii="Arial" w:eastAsia="Noto Sans CJK SC Regular" w:hAnsi="Arial" w:cs="Arial"/>
          <w:b w:val="0"/>
          <w:bCs w:val="0"/>
          <w:i/>
          <w:iCs/>
          <w:color w:val="00000A"/>
          <w:sz w:val="24"/>
          <w:szCs w:val="24"/>
          <w:lang w:eastAsia="zh-CN" w:bidi="hi-IN"/>
        </w:rPr>
        <w:t>t</w:t>
      </w:r>
      <w:r>
        <w:rPr>
          <w:rFonts w:ascii="Arial" w:eastAsia="Noto Sans CJK SC Regular" w:hAnsi="Arial" w:cs="Arial"/>
          <w:b w:val="0"/>
          <w:bCs w:val="0"/>
          <w:color w:val="00000A"/>
          <w:sz w:val="24"/>
          <w:szCs w:val="24"/>
          <w:lang w:eastAsia="zh-CN" w:bidi="hi-IN"/>
        </w:rPr>
        <w:t xml:space="preserve"> = 348</w:t>
      </w:r>
      <w:r>
        <w:rPr>
          <w:rFonts w:ascii="Arial" w:eastAsia="Noto Sans CJK SC Regular" w:hAnsi="Arial" w:cs="Arial"/>
          <w:b w:val="0"/>
          <w:bCs w:val="0"/>
          <w:i/>
          <w:iCs/>
          <w:color w:val="00000A"/>
          <w:sz w:val="24"/>
          <w:szCs w:val="24"/>
          <w:lang w:eastAsia="zh-CN" w:bidi="hi-IN"/>
        </w:rPr>
        <w:t>m</w:t>
      </w:r>
      <w:r>
        <w:rPr>
          <w:rFonts w:ascii="Arial" w:eastAsia="Noto Sans CJK SC Regular" w:hAnsi="Arial" w:cs="Arial"/>
          <w:b w:val="0"/>
          <w:bCs w:val="0"/>
          <w:color w:val="00000A"/>
          <w:sz w:val="24"/>
          <w:szCs w:val="24"/>
          <w:lang w:eastAsia="zh-CN" w:bidi="hi-IN"/>
        </w:rPr>
        <w:t>s. La variación mínima obtenida en las pruebas fue de ±4</w:t>
      </w:r>
      <w:r>
        <w:rPr>
          <w:rFonts w:ascii="Arial" w:eastAsia="Noto Sans CJK SC Regular" w:hAnsi="Arial" w:cs="Arial"/>
          <w:b w:val="0"/>
          <w:bCs w:val="0"/>
          <w:color w:val="00000A"/>
          <w:sz w:val="24"/>
          <w:szCs w:val="24"/>
          <w:vertAlign w:val="superscript"/>
          <w:lang w:eastAsia="zh-CN" w:bidi="hi-IN"/>
        </w:rPr>
        <w:t>0</w:t>
      </w:r>
      <w:r>
        <w:rPr>
          <w:rFonts w:ascii="Arial" w:eastAsia="Noto Sans CJK SC Regular" w:hAnsi="Arial" w:cs="Arial"/>
          <w:b w:val="0"/>
          <w:bCs w:val="0"/>
          <w:color w:val="00000A"/>
          <w:sz w:val="24"/>
          <w:szCs w:val="24"/>
          <w:lang w:eastAsia="zh-CN" w:bidi="hi-IN"/>
        </w:rPr>
        <w:t xml:space="preserve">  y máxima de ±7</w:t>
      </w:r>
      <w:r>
        <w:rPr>
          <w:rFonts w:ascii="Arial" w:eastAsia="Noto Sans CJK SC Regular" w:hAnsi="Arial" w:cs="Arial"/>
          <w:b w:val="0"/>
          <w:bCs w:val="0"/>
          <w:color w:val="00000A"/>
          <w:sz w:val="24"/>
          <w:szCs w:val="24"/>
          <w:vertAlign w:val="superscript"/>
          <w:lang w:eastAsia="zh-CN" w:bidi="hi-IN"/>
        </w:rPr>
        <w:t>0</w:t>
      </w:r>
      <w:r>
        <w:rPr>
          <w:rFonts w:ascii="Arial" w:eastAsia="Noto Sans CJK SC Regular" w:hAnsi="Arial" w:cs="Arial"/>
          <w:b w:val="0"/>
          <w:bCs w:val="0"/>
          <w:color w:val="00000A"/>
          <w:sz w:val="24"/>
          <w:szCs w:val="24"/>
          <w:lang w:eastAsia="zh-CN" w:bidi="hi-IN"/>
        </w:rPr>
        <w:t>, dicha variación fue de ±1</w:t>
      </w:r>
      <w:r>
        <w:rPr>
          <w:rFonts w:ascii="Arial" w:eastAsia="Noto Sans CJK SC Regular" w:hAnsi="Arial" w:cs="Arial"/>
          <w:b w:val="0"/>
          <w:bCs w:val="0"/>
          <w:color w:val="00000A"/>
          <w:sz w:val="24"/>
          <w:szCs w:val="24"/>
          <w:vertAlign w:val="superscript"/>
          <w:lang w:eastAsia="zh-CN" w:bidi="hi-IN"/>
        </w:rPr>
        <w:t xml:space="preserve">0 </w:t>
      </w:r>
      <w:r>
        <w:rPr>
          <w:rFonts w:ascii="Arial" w:eastAsia="Noto Sans CJK SC Regular" w:hAnsi="Arial" w:cs="Arial"/>
          <w:b w:val="0"/>
          <w:bCs w:val="0"/>
          <w:color w:val="00000A"/>
          <w:sz w:val="24"/>
          <w:szCs w:val="24"/>
          <w:lang w:eastAsia="zh-CN" w:bidi="hi-IN"/>
        </w:rPr>
        <w:t xml:space="preserve">con respecto a la media. </w:t>
      </w:r>
      <w:r>
        <w:rPr>
          <w:rFonts w:ascii="Arial" w:hAnsi="Arial" w:cs="Arial"/>
          <w:b w:val="0"/>
          <w:sz w:val="24"/>
        </w:rPr>
        <w:t xml:space="preserve"> </w:t>
      </w:r>
      <w:r>
        <w:rPr>
          <w:rFonts w:ascii="Arial" w:hAnsi="Arial" w:cs="Arial"/>
          <w:b w:val="0"/>
          <w:bCs w:val="0"/>
          <w:color w:val="000000"/>
          <w:sz w:val="24"/>
        </w:rPr>
        <w:t xml:space="preserve">Esta metodología se puede extender a la detección de dos o tres  fuentes fijas o moviéndose simultáneamente y utilizar en aplicaciones con robots en el seguimiento de fuentes de voz. </w:t>
      </w:r>
    </w:p>
    <w:p w:rsidR="00575A88" w:rsidRDefault="00575A88" w:rsidP="00575A88">
      <w:pPr>
        <w:pStyle w:val="Textoindependiente"/>
        <w:ind w:firstLine="539"/>
        <w:rPr>
          <w:rFonts w:ascii="Arial" w:hAnsi="Arial" w:cs="Arial"/>
          <w:b w:val="0"/>
          <w:sz w:val="24"/>
        </w:rPr>
      </w:pPr>
    </w:p>
    <w:p w:rsidR="00575A88" w:rsidRDefault="00575A88" w:rsidP="00575A88">
      <w:pPr>
        <w:pStyle w:val="Textoindependiente"/>
        <w:ind w:firstLine="539"/>
        <w:rPr>
          <w:rFonts w:ascii="Arial" w:hAnsi="Arial" w:cs="Arial"/>
          <w:b w:val="0"/>
          <w:sz w:val="24"/>
        </w:rPr>
      </w:pPr>
    </w:p>
    <w:p w:rsidR="00575A88" w:rsidRDefault="00575A88" w:rsidP="00575A88">
      <w:pPr>
        <w:pStyle w:val="Textoindependiente"/>
        <w:ind w:firstLine="539"/>
        <w:rPr>
          <w:rFonts w:ascii="Arial" w:hAnsi="Arial" w:cs="Arial"/>
          <w:b w:val="0"/>
          <w:sz w:val="24"/>
        </w:rPr>
      </w:pPr>
    </w:p>
    <w:p w:rsidR="00575A88" w:rsidRDefault="00575A88" w:rsidP="00575A88">
      <w:pPr>
        <w:pStyle w:val="Textoindependiente"/>
        <w:ind w:firstLine="539"/>
        <w:rPr>
          <w:rFonts w:ascii="Arial" w:hAnsi="Arial" w:cs="Arial"/>
          <w:b w:val="0"/>
          <w:sz w:val="24"/>
        </w:rPr>
      </w:pPr>
    </w:p>
    <w:p w:rsidR="00575A88" w:rsidRPr="0037343C" w:rsidRDefault="00575A88" w:rsidP="00575A88">
      <w:pPr>
        <w:pStyle w:val="Ttulo1"/>
        <w:keepLines w:val="0"/>
        <w:numPr>
          <w:ilvl w:val="0"/>
          <w:numId w:val="1"/>
        </w:numPr>
        <w:tabs>
          <w:tab w:val="clear" w:pos="432"/>
          <w:tab w:val="left" w:pos="0"/>
        </w:tabs>
        <w:suppressAutoHyphens/>
        <w:spacing w:before="0" w:after="0" w:line="360" w:lineRule="auto"/>
        <w:ind w:left="0" w:firstLine="0"/>
        <w:rPr>
          <w:sz w:val="24"/>
          <w:szCs w:val="24"/>
        </w:rPr>
      </w:pPr>
      <w:bookmarkStart w:id="178" w:name="_Toc50031269"/>
      <w:r w:rsidRPr="0037343C">
        <w:rPr>
          <w:rFonts w:ascii="Arial" w:hAnsi="Arial" w:cs="Arial"/>
          <w:caps/>
          <w:sz w:val="24"/>
          <w:szCs w:val="24"/>
        </w:rPr>
        <w:t xml:space="preserve">6. </w:t>
      </w:r>
      <w:r w:rsidRPr="0037343C">
        <w:rPr>
          <w:rFonts w:ascii="Arial" w:hAnsi="Arial" w:cs="Arial"/>
          <w:sz w:val="24"/>
          <w:szCs w:val="24"/>
        </w:rPr>
        <w:t>Bibliografía</w:t>
      </w:r>
      <w:bookmarkEnd w:id="178"/>
    </w:p>
    <w:p w:rsidR="00575A88" w:rsidRDefault="00575A88" w:rsidP="00575A88">
      <w:pPr>
        <w:numPr>
          <w:ilvl w:val="0"/>
          <w:numId w:val="7"/>
        </w:numPr>
        <w:tabs>
          <w:tab w:val="left" w:pos="750"/>
        </w:tabs>
        <w:suppressAutoHyphens/>
        <w:spacing w:after="0" w:line="240" w:lineRule="auto"/>
        <w:jc w:val="both"/>
      </w:pPr>
      <w:r w:rsidRPr="00575A88">
        <w:rPr>
          <w:rFonts w:ascii="Arial" w:hAnsi="Arial" w:cs="Arial"/>
          <w:lang w:val="es-MX"/>
        </w:rPr>
        <w:t xml:space="preserve">Silva  L. A. Localicalizacin de una fuente de voz con arreglo de micrófonos. </w:t>
      </w:r>
      <w:r>
        <w:rPr>
          <w:rFonts w:ascii="Arial" w:hAnsi="Arial" w:cs="Arial"/>
          <w:lang w:val="en-US"/>
        </w:rPr>
        <w:t>Tesis de Maestrı́a, Universidad Nacional Autónoma de México, CDMX, 2014.</w:t>
      </w:r>
    </w:p>
    <w:p w:rsidR="00575A88" w:rsidRDefault="00575A88" w:rsidP="00575A88">
      <w:pPr>
        <w:numPr>
          <w:ilvl w:val="0"/>
          <w:numId w:val="7"/>
        </w:numPr>
        <w:tabs>
          <w:tab w:val="left" w:pos="750"/>
        </w:tabs>
        <w:suppressAutoHyphens/>
        <w:spacing w:after="0" w:line="240" w:lineRule="auto"/>
        <w:jc w:val="both"/>
      </w:pPr>
      <w:r w:rsidRPr="00575A88">
        <w:rPr>
          <w:rFonts w:ascii="Arial" w:hAnsi="Arial" w:cs="Arial"/>
          <w:lang w:val="es-MX"/>
        </w:rPr>
        <w:t xml:space="preserve">Silva L. A. &amp; Escobar S.L. Localización de una fuente de voz con un arreglo mı́nimo de micrófonos. Congreso de Instrumentación, SOMI XXIX. Puerto Vallarta, Jalisco, México del 29-31 de octubre, 2014. </w:t>
      </w:r>
      <w:r>
        <w:rPr>
          <w:rFonts w:ascii="Arial" w:hAnsi="Arial" w:cs="Arial"/>
          <w:lang w:val="en-US"/>
        </w:rPr>
        <w:t>ISSN 2395-8499.</w:t>
      </w:r>
    </w:p>
    <w:p w:rsidR="00575A88" w:rsidRDefault="00575A88" w:rsidP="00575A88">
      <w:pPr>
        <w:numPr>
          <w:ilvl w:val="0"/>
          <w:numId w:val="7"/>
        </w:numPr>
        <w:tabs>
          <w:tab w:val="left" w:pos="750"/>
        </w:tabs>
        <w:suppressAutoHyphens/>
        <w:spacing w:after="0" w:line="240" w:lineRule="auto"/>
        <w:jc w:val="both"/>
      </w:pPr>
      <w:r w:rsidRPr="00575A88">
        <w:rPr>
          <w:rFonts w:ascii="Arial" w:hAnsi="Arial" w:cs="Arial"/>
          <w:lang w:val="es-MX"/>
        </w:rPr>
        <w:t xml:space="preserve">Escobar S. L., Silva  L. A., Alonso T. E. &amp; Espinosa R.B. Detección y filtrado direccional de señales acústicas. 2do. Congreso Iberoamericano de Instrumentación y Ciencias Aplicadas SOMI XXXI. Cd. de Guatemala, Gua., del 26-28 de octubre, 2016. </w:t>
      </w:r>
      <w:r>
        <w:rPr>
          <w:rFonts w:ascii="Arial" w:hAnsi="Arial" w:cs="Arial"/>
          <w:lang w:val="en-US"/>
        </w:rPr>
        <w:t>ISSN 2395-8499.</w:t>
      </w:r>
    </w:p>
    <w:p w:rsidR="00575A88" w:rsidRDefault="00575A88" w:rsidP="00575A88">
      <w:pPr>
        <w:numPr>
          <w:ilvl w:val="0"/>
          <w:numId w:val="7"/>
        </w:numPr>
        <w:tabs>
          <w:tab w:val="left" w:pos="750"/>
        </w:tabs>
        <w:suppressAutoHyphens/>
        <w:spacing w:after="0" w:line="240" w:lineRule="auto"/>
        <w:jc w:val="both"/>
      </w:pPr>
      <w:r w:rsidRPr="00575A88">
        <w:rPr>
          <w:rFonts w:ascii="Arial" w:hAnsi="Arial" w:cs="Arial"/>
          <w:lang w:val="es-MX"/>
        </w:rPr>
        <w:t xml:space="preserve">Flores M.A. Estimación de la dirección del ángulo de arribo de un fuente de voz. </w:t>
      </w:r>
      <w:r>
        <w:rPr>
          <w:rFonts w:ascii="Arial" w:hAnsi="Arial" w:cs="Arial"/>
          <w:lang w:val="en-US"/>
        </w:rPr>
        <w:t>Tesis de Maestrı́a, Universidad Nacional Autónoma de México, CDMX, 2107.</w:t>
      </w:r>
    </w:p>
    <w:p w:rsidR="00575A88" w:rsidRDefault="00575A88" w:rsidP="00575A88">
      <w:pPr>
        <w:numPr>
          <w:ilvl w:val="0"/>
          <w:numId w:val="7"/>
        </w:numPr>
        <w:tabs>
          <w:tab w:val="left" w:pos="750"/>
        </w:tabs>
        <w:suppressAutoHyphens/>
        <w:spacing w:after="0" w:line="240" w:lineRule="auto"/>
        <w:jc w:val="both"/>
      </w:pPr>
      <w:r>
        <w:rPr>
          <w:rFonts w:ascii="Arial" w:hAnsi="Arial" w:cs="Arial"/>
          <w:lang w:val="en-US"/>
        </w:rPr>
        <w:t>Doclo S. Multi-microphone noise reduction and dereverberation techniques for speech applications. PhD thesis, Katholieke Universiteit Leuven, 2003.</w:t>
      </w:r>
    </w:p>
    <w:p w:rsidR="00575A88" w:rsidRDefault="00575A88" w:rsidP="00575A88">
      <w:pPr>
        <w:numPr>
          <w:ilvl w:val="0"/>
          <w:numId w:val="7"/>
        </w:numPr>
        <w:tabs>
          <w:tab w:val="left" w:pos="750"/>
        </w:tabs>
        <w:suppressAutoHyphens/>
        <w:spacing w:after="0" w:line="240" w:lineRule="auto"/>
        <w:jc w:val="both"/>
      </w:pPr>
      <w:r>
        <w:rPr>
          <w:rFonts w:ascii="Arial" w:hAnsi="Arial" w:cs="Arial"/>
          <w:lang w:val="en-US"/>
        </w:rPr>
        <w:t>Robert J. M. Phased array antenna handbook. Volume 2. Artech House Boston, 2005.</w:t>
      </w:r>
    </w:p>
    <w:p w:rsidR="00575A88" w:rsidRDefault="00575A88" w:rsidP="00575A88">
      <w:pPr>
        <w:numPr>
          <w:ilvl w:val="0"/>
          <w:numId w:val="7"/>
        </w:numPr>
        <w:tabs>
          <w:tab w:val="left" w:pos="750"/>
        </w:tabs>
        <w:suppressAutoHyphens/>
        <w:spacing w:after="0" w:line="240" w:lineRule="auto"/>
        <w:jc w:val="both"/>
      </w:pPr>
      <w:r>
        <w:rPr>
          <w:rFonts w:ascii="Arial" w:hAnsi="Arial" w:cs="Arial"/>
          <w:lang w:val="en-US"/>
        </w:rPr>
        <w:t>Dunn F., Hartmann W., Campbell D., &amp; Flecher N. Handbook of acoustics. Springer, New York, 2015.</w:t>
      </w:r>
    </w:p>
    <w:p w:rsidR="00575A88" w:rsidRDefault="00575A88" w:rsidP="00575A88">
      <w:pPr>
        <w:numPr>
          <w:ilvl w:val="0"/>
          <w:numId w:val="7"/>
        </w:numPr>
        <w:tabs>
          <w:tab w:val="left" w:pos="750"/>
        </w:tabs>
        <w:suppressAutoHyphens/>
        <w:spacing w:after="0" w:line="240" w:lineRule="auto"/>
        <w:jc w:val="both"/>
      </w:pPr>
      <w:r>
        <w:rPr>
          <w:rFonts w:ascii="Arial" w:hAnsi="Arial" w:cs="Arial"/>
          <w:lang w:val="en-US"/>
        </w:rPr>
        <w:t>Duedgeon D. E. Array Signal Processing Concepts and Techniques. Prentice Hall. USA 1993.</w:t>
      </w:r>
    </w:p>
    <w:p w:rsidR="00575A88" w:rsidRPr="00575A88" w:rsidRDefault="00575A88" w:rsidP="00575A88">
      <w:pPr>
        <w:numPr>
          <w:ilvl w:val="0"/>
          <w:numId w:val="7"/>
        </w:numPr>
        <w:tabs>
          <w:tab w:val="left" w:pos="750"/>
        </w:tabs>
        <w:suppressAutoHyphens/>
        <w:spacing w:after="0" w:line="240" w:lineRule="auto"/>
        <w:jc w:val="both"/>
        <w:rPr>
          <w:lang w:val="en-US"/>
        </w:rPr>
      </w:pPr>
      <w:r>
        <w:rPr>
          <w:rFonts w:ascii="Arial" w:hAnsi="Arial" w:cs="Arial"/>
          <w:lang w:val="en-US"/>
        </w:rPr>
        <w:t>Welsh G. &amp; Bishop G. An introduction to the Kalman filter. University of North Carolina at Chapel Hill Chapel Hill NC, 95:95041, 1995.</w:t>
      </w:r>
    </w:p>
    <w:p w:rsidR="00575A88" w:rsidRDefault="00575A88" w:rsidP="00575A88">
      <w:pPr>
        <w:numPr>
          <w:ilvl w:val="0"/>
          <w:numId w:val="7"/>
        </w:numPr>
        <w:tabs>
          <w:tab w:val="left" w:pos="750"/>
        </w:tabs>
        <w:suppressAutoHyphens/>
        <w:spacing w:after="0" w:line="240" w:lineRule="auto"/>
        <w:jc w:val="both"/>
      </w:pPr>
      <w:r>
        <w:rPr>
          <w:rFonts w:ascii="Arial" w:hAnsi="Arial" w:cs="Arial"/>
          <w:lang w:val="en-US"/>
        </w:rPr>
        <w:t>Valin J.M., Michaud F. &amp; Rouat J. Robust localization and tracking of simultaneous moving sound sources using beamforming and particle filtering. Robotics and Autonomous Systems, 55(3):216228, 2007.</w:t>
      </w:r>
    </w:p>
    <w:p w:rsidR="00575A88" w:rsidRDefault="00575A88" w:rsidP="00575A88">
      <w:pPr>
        <w:numPr>
          <w:ilvl w:val="0"/>
          <w:numId w:val="7"/>
        </w:numPr>
        <w:tabs>
          <w:tab w:val="left" w:pos="750"/>
        </w:tabs>
        <w:suppressAutoHyphens/>
        <w:spacing w:after="0" w:line="240" w:lineRule="auto"/>
        <w:jc w:val="both"/>
      </w:pPr>
      <w:r>
        <w:rPr>
          <w:rFonts w:ascii="Arial" w:hAnsi="Arial" w:cs="Arial"/>
          <w:lang w:val="en-US"/>
        </w:rPr>
        <w:t>Grondin F., Ltourneau D., Ferland F., Rousseau V. &amp; Michaud F. The manyears open framework. Autonomous Robots, 34(3):217232, 2013.</w:t>
      </w:r>
    </w:p>
    <w:p w:rsidR="00575A88" w:rsidRDefault="00575A88" w:rsidP="00575A88">
      <w:pPr>
        <w:tabs>
          <w:tab w:val="left" w:pos="750"/>
        </w:tabs>
        <w:ind w:left="750"/>
        <w:jc w:val="both"/>
        <w:rPr>
          <w:rFonts w:ascii="Arial" w:hAnsi="Arial" w:cs="Arial"/>
          <w:lang w:val="en-US"/>
        </w:rPr>
      </w:pPr>
    </w:p>
    <w:p w:rsidR="00B31CE1" w:rsidRDefault="00B31CE1" w:rsidP="00B31CE1">
      <w:pPr>
        <w:autoSpaceDE w:val="0"/>
        <w:autoSpaceDN w:val="0"/>
        <w:adjustRightInd w:val="0"/>
        <w:jc w:val="both"/>
        <w:rPr>
          <w:lang w:val="en-US"/>
        </w:rPr>
      </w:pPr>
    </w:p>
    <w:p w:rsidR="00575A88" w:rsidRPr="0037343C" w:rsidRDefault="00575A88" w:rsidP="00AB59B2">
      <w:pPr>
        <w:pStyle w:val="1Titulo"/>
        <w:numPr>
          <w:ilvl w:val="0"/>
          <w:numId w:val="0"/>
        </w:numPr>
        <w:ind w:left="357"/>
        <w:jc w:val="center"/>
        <w:rPr>
          <w:color w:val="000000"/>
          <w:lang w:val="en-US"/>
        </w:rPr>
      </w:pPr>
      <w:bookmarkStart w:id="179" w:name="_Toc50031270"/>
      <w:r w:rsidRPr="0037343C">
        <w:rPr>
          <w:lang w:val="en-US"/>
        </w:rPr>
        <w:t>Numerical determination of voltage potential inside 2D n</w:t>
      </w:r>
      <w:r w:rsidRPr="0037343C">
        <w:rPr>
          <w:lang w:val="en-US" w:eastAsia="es-ES"/>
        </w:rPr>
        <w:t>onhomogeneous</w:t>
      </w:r>
      <w:r w:rsidRPr="0037343C">
        <w:rPr>
          <w:lang w:val="en-US"/>
        </w:rPr>
        <w:t xml:space="preserve"> media of circular shape using variational method.</w:t>
      </w:r>
      <w:bookmarkEnd w:id="179"/>
    </w:p>
    <w:p w:rsidR="00575A88" w:rsidRPr="0021647A" w:rsidRDefault="00575A88" w:rsidP="00575A88">
      <w:pPr>
        <w:jc w:val="center"/>
        <w:rPr>
          <w:rFonts w:ascii="Arial" w:hAnsi="Arial" w:cs="Arial"/>
          <w:color w:val="000000"/>
          <w:lang w:val="en-US"/>
        </w:rPr>
      </w:pPr>
    </w:p>
    <w:p w:rsidR="00575A88" w:rsidRPr="00575A88" w:rsidRDefault="00575A88" w:rsidP="00575A88">
      <w:pPr>
        <w:pStyle w:val="Author"/>
        <w:rPr>
          <w:rFonts w:ascii="Arial" w:hAnsi="Arial" w:cs="Arial"/>
          <w:szCs w:val="24"/>
          <w:lang w:val="en-US"/>
        </w:rPr>
      </w:pPr>
      <w:r w:rsidRPr="00575A88">
        <w:rPr>
          <w:rFonts w:ascii="Arial" w:hAnsi="Arial" w:cs="Arial"/>
          <w:szCs w:val="24"/>
          <w:u w:val="single"/>
          <w:lang w:val="en-US"/>
        </w:rPr>
        <w:t>Brilla, I.,</w:t>
      </w:r>
      <w:r w:rsidRPr="00575A88">
        <w:rPr>
          <w:rFonts w:ascii="Arial" w:hAnsi="Arial" w:cs="Arial"/>
          <w:szCs w:val="24"/>
          <w:lang w:val="en-US"/>
        </w:rPr>
        <w:t xml:space="preserve"> Janíček, F.</w:t>
      </w:r>
    </w:p>
    <w:p w:rsidR="00575A88" w:rsidRPr="0021647A" w:rsidRDefault="00575A88" w:rsidP="00575A88">
      <w:pPr>
        <w:pStyle w:val="Author"/>
        <w:rPr>
          <w:rFonts w:ascii="Arial" w:hAnsi="Arial" w:cs="Arial"/>
          <w:szCs w:val="24"/>
          <w:lang w:val="en-US"/>
        </w:rPr>
      </w:pPr>
      <w:r w:rsidRPr="0021647A">
        <w:rPr>
          <w:rFonts w:ascii="Arial" w:hAnsi="Arial" w:cs="Arial"/>
          <w:szCs w:val="24"/>
          <w:vertAlign w:val="superscript"/>
          <w:lang w:val="en-US"/>
        </w:rPr>
        <w:lastRenderedPageBreak/>
        <w:t>1</w:t>
      </w:r>
      <w:r w:rsidRPr="0021647A">
        <w:rPr>
          <w:rFonts w:ascii="Arial" w:hAnsi="Arial" w:cs="Arial"/>
          <w:szCs w:val="24"/>
          <w:lang w:val="pt-BR"/>
        </w:rPr>
        <w:t xml:space="preserve"> Department of Mathematics, Faculty of Electrical Engineering and Information Technology, Slovak University of Technology, Ilkovičova 3, Bratislava, Slovakia</w:t>
      </w:r>
      <w:r w:rsidRPr="0021647A">
        <w:rPr>
          <w:rFonts w:ascii="Arial" w:hAnsi="Arial" w:cs="Arial"/>
          <w:szCs w:val="24"/>
          <w:lang w:val="en-US"/>
        </w:rPr>
        <w:t xml:space="preserve">. </w:t>
      </w:r>
    </w:p>
    <w:p w:rsidR="00575A88" w:rsidRPr="0021647A" w:rsidRDefault="00575A88" w:rsidP="00575A88">
      <w:pPr>
        <w:pStyle w:val="Author"/>
        <w:rPr>
          <w:rFonts w:ascii="Arial" w:hAnsi="Arial" w:cs="Arial"/>
          <w:szCs w:val="24"/>
          <w:lang w:val="pt-BR"/>
        </w:rPr>
      </w:pPr>
      <w:r w:rsidRPr="0021647A">
        <w:rPr>
          <w:rFonts w:ascii="Arial" w:hAnsi="Arial" w:cs="Arial"/>
          <w:szCs w:val="24"/>
          <w:vertAlign w:val="superscript"/>
          <w:lang w:val="en-US"/>
        </w:rPr>
        <w:t>2</w:t>
      </w:r>
      <w:r w:rsidRPr="0021647A">
        <w:rPr>
          <w:rFonts w:ascii="Arial" w:hAnsi="Arial" w:cs="Arial"/>
          <w:szCs w:val="24"/>
          <w:lang w:val="pt-BR"/>
        </w:rPr>
        <w:t xml:space="preserve"> </w:t>
      </w:r>
      <w:r w:rsidRPr="0021647A">
        <w:rPr>
          <w:rFonts w:ascii="Arial" w:hAnsi="Arial" w:cs="Arial"/>
          <w:szCs w:val="24"/>
          <w:lang w:val="en-US"/>
        </w:rPr>
        <w:t>Institute of Power and Applied Electrical Engineering</w:t>
      </w:r>
      <w:r w:rsidRPr="0021647A">
        <w:rPr>
          <w:rFonts w:ascii="Arial" w:hAnsi="Arial" w:cs="Arial"/>
          <w:szCs w:val="24"/>
          <w:lang w:val="pt-BR"/>
        </w:rPr>
        <w:t xml:space="preserve">, Faculty of Electrical Engineering and Information Technology, Slovak University of Technology, </w:t>
      </w:r>
    </w:p>
    <w:p w:rsidR="00575A88" w:rsidRPr="0021647A" w:rsidRDefault="00575A88" w:rsidP="00575A88">
      <w:pPr>
        <w:pStyle w:val="Author"/>
        <w:rPr>
          <w:rFonts w:ascii="Arial" w:hAnsi="Arial" w:cs="Arial"/>
          <w:szCs w:val="24"/>
          <w:lang w:val="es-ES"/>
        </w:rPr>
      </w:pPr>
      <w:r w:rsidRPr="0021647A">
        <w:rPr>
          <w:rFonts w:ascii="Arial" w:hAnsi="Arial" w:cs="Arial"/>
          <w:szCs w:val="24"/>
          <w:lang w:val="pt-BR"/>
        </w:rPr>
        <w:t>Ilkovičova 3, Bratislava, Slovakia</w:t>
      </w:r>
      <w:r w:rsidRPr="0021647A">
        <w:rPr>
          <w:rFonts w:ascii="Arial" w:hAnsi="Arial" w:cs="Arial"/>
          <w:szCs w:val="24"/>
          <w:lang w:val="es-ES"/>
        </w:rPr>
        <w:t>.</w:t>
      </w:r>
    </w:p>
    <w:p w:rsidR="00575A88" w:rsidRPr="0021647A" w:rsidRDefault="00575A88" w:rsidP="00575A88">
      <w:pPr>
        <w:pStyle w:val="Author"/>
        <w:rPr>
          <w:rFonts w:ascii="Arial" w:hAnsi="Arial" w:cs="Arial"/>
          <w:szCs w:val="24"/>
          <w:lang w:val="es-ES"/>
        </w:rPr>
      </w:pPr>
      <w:r w:rsidRPr="0021647A">
        <w:rPr>
          <w:rFonts w:ascii="Arial" w:hAnsi="Arial" w:cs="Arial"/>
          <w:szCs w:val="24"/>
          <w:lang w:val="es-ES"/>
        </w:rPr>
        <w:t>e-mail: igor.brilla@stuba.sk, frantisek.janicek@stuba.sk</w:t>
      </w:r>
    </w:p>
    <w:p w:rsidR="00575A88" w:rsidRPr="0021647A" w:rsidRDefault="00575A88" w:rsidP="00575A88">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olor w:val="000000"/>
        </w:rPr>
      </w:pPr>
    </w:p>
    <w:p w:rsidR="00575A88" w:rsidRPr="00AB59B2" w:rsidRDefault="00575A88" w:rsidP="00575A88">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olor w:val="000000"/>
          <w:sz w:val="24"/>
          <w:szCs w:val="24"/>
        </w:rPr>
      </w:pPr>
      <w:bookmarkStart w:id="180" w:name="_Toc50031271"/>
      <w:r w:rsidRPr="00AB59B2">
        <w:rPr>
          <w:rFonts w:ascii="Arial" w:hAnsi="Arial" w:cs="Arial"/>
          <w:i/>
          <w:caps/>
          <w:sz w:val="24"/>
          <w:szCs w:val="24"/>
        </w:rPr>
        <w:t>1. A</w:t>
      </w:r>
      <w:r w:rsidRPr="00AB59B2">
        <w:rPr>
          <w:rFonts w:ascii="Arial" w:hAnsi="Arial" w:cs="Arial"/>
          <w:i/>
          <w:sz w:val="24"/>
          <w:szCs w:val="24"/>
        </w:rPr>
        <w:t>bstract</w:t>
      </w:r>
      <w:bookmarkEnd w:id="180"/>
      <w:r w:rsidRPr="00AB59B2">
        <w:rPr>
          <w:rFonts w:ascii="Arial" w:hAnsi="Arial" w:cs="Arial"/>
          <w:i/>
          <w:caps/>
          <w:sz w:val="24"/>
          <w:szCs w:val="24"/>
        </w:rPr>
        <w:t xml:space="preserve"> </w:t>
      </w:r>
    </w:p>
    <w:p w:rsidR="00575A88" w:rsidRPr="0021647A" w:rsidRDefault="00575A88" w:rsidP="00575A88">
      <w:pPr>
        <w:ind w:firstLine="567"/>
        <w:jc w:val="both"/>
        <w:rPr>
          <w:rFonts w:ascii="Arial" w:hAnsi="Arial" w:cs="Arial"/>
          <w:lang w:val="en-US"/>
        </w:rPr>
      </w:pPr>
      <w:r w:rsidRPr="0021647A">
        <w:rPr>
          <w:rFonts w:ascii="Arial" w:hAnsi="Arial" w:cs="Arial"/>
          <w:color w:val="000000"/>
          <w:lang w:val="en-US"/>
        </w:rPr>
        <w:t xml:space="preserve">The problem of numerical determination of voltage potential inside two dimensional nonhomogeneous media of circular shape using values of the voltage potential on the boundary of the media has been solved. The convenient form of variational formulation of the problem has been derived. The numerical solution of the problem has been obtained by the method of local variations. </w:t>
      </w:r>
    </w:p>
    <w:p w:rsidR="00575A88" w:rsidRPr="0021647A" w:rsidRDefault="00575A88" w:rsidP="00575A88">
      <w:pPr>
        <w:ind w:firstLine="567"/>
        <w:jc w:val="both"/>
        <w:rPr>
          <w:rFonts w:ascii="Arial" w:hAnsi="Arial" w:cs="Arial"/>
          <w:lang w:val="en-US"/>
        </w:rPr>
      </w:pPr>
    </w:p>
    <w:p w:rsidR="00575A88" w:rsidRPr="00AB59B2" w:rsidRDefault="00575A88" w:rsidP="00575A88">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aps/>
          <w:sz w:val="24"/>
          <w:szCs w:val="24"/>
        </w:rPr>
      </w:pPr>
      <w:bookmarkStart w:id="181" w:name="_Toc50031272"/>
      <w:r w:rsidRPr="00AB59B2">
        <w:rPr>
          <w:rFonts w:ascii="Arial" w:hAnsi="Arial" w:cs="Arial"/>
          <w:i/>
          <w:caps/>
          <w:sz w:val="24"/>
          <w:szCs w:val="24"/>
        </w:rPr>
        <w:t xml:space="preserve">2. </w:t>
      </w:r>
      <w:r w:rsidRPr="00AB59B2">
        <w:rPr>
          <w:rFonts w:ascii="Arial" w:hAnsi="Arial" w:cs="Arial"/>
          <w:bCs/>
          <w:i/>
          <w:sz w:val="24"/>
          <w:szCs w:val="24"/>
          <w:lang w:val="en-US" w:eastAsia="ar-SA"/>
        </w:rPr>
        <w:t>Introduction</w:t>
      </w:r>
      <w:bookmarkEnd w:id="181"/>
      <w:r w:rsidRPr="00AB59B2">
        <w:rPr>
          <w:rFonts w:ascii="Arial" w:hAnsi="Arial" w:cs="Arial"/>
          <w:i/>
          <w:caps/>
          <w:sz w:val="24"/>
          <w:szCs w:val="24"/>
        </w:rPr>
        <w:t xml:space="preserve"> </w:t>
      </w:r>
    </w:p>
    <w:p w:rsidR="00575A88" w:rsidRPr="0021647A" w:rsidRDefault="00575A88" w:rsidP="00575A88">
      <w:pPr>
        <w:pStyle w:val="Textoindependiente"/>
        <w:ind w:firstLine="567"/>
        <w:jc w:val="both"/>
        <w:rPr>
          <w:rFonts w:ascii="Arial" w:hAnsi="Arial" w:cs="Arial"/>
          <w:b w:val="0"/>
          <w:sz w:val="24"/>
        </w:rPr>
      </w:pPr>
      <w:r w:rsidRPr="0021647A">
        <w:rPr>
          <w:rFonts w:ascii="Arial" w:hAnsi="Arial" w:cs="Arial"/>
          <w:b w:val="0"/>
          <w:sz w:val="24"/>
          <w:lang w:val="en-GB"/>
        </w:rPr>
        <w:t>The paper is dealt with the numerical determination of voltage potential inside two dimensional nonhomogeneous media of circular shape using values of the voltage potential on the boundary of the media. For numerical determination of the problem is used the model described by the poten</w:t>
      </w:r>
      <w:r>
        <w:rPr>
          <w:rFonts w:ascii="Arial" w:hAnsi="Arial" w:cs="Arial"/>
          <w:b w:val="0"/>
          <w:sz w:val="24"/>
          <w:lang w:val="en-GB"/>
        </w:rPr>
        <w:t xml:space="preserve">tial equation for the </w:t>
      </w:r>
      <w:r w:rsidRPr="0021647A">
        <w:rPr>
          <w:rFonts w:ascii="Arial" w:hAnsi="Arial" w:cs="Arial"/>
          <w:b w:val="0"/>
          <w:sz w:val="24"/>
          <w:lang w:val="en-GB"/>
        </w:rPr>
        <w:t>nonhomogeneous media with</w:t>
      </w:r>
      <w:r>
        <w:rPr>
          <w:rFonts w:ascii="Arial" w:hAnsi="Arial" w:cs="Arial"/>
          <w:b w:val="0"/>
          <w:sz w:val="24"/>
          <w:lang w:val="en-GB"/>
        </w:rPr>
        <w:t xml:space="preserve"> appropriate boundary condition</w:t>
      </w:r>
      <w:r w:rsidRPr="0021647A">
        <w:rPr>
          <w:rFonts w:ascii="Arial" w:hAnsi="Arial" w:cs="Arial"/>
          <w:b w:val="0"/>
          <w:sz w:val="24"/>
          <w:lang w:val="en-GB"/>
        </w:rPr>
        <w:t>. The convenient form of variational formulation of the problem is derived. For numerical analysis of the problem are applied discrete methods. They are very convenient because in the case of practical problems input data are measured in discrete points. The numerical solution of the problem is obtained by the meth</w:t>
      </w:r>
      <w:r>
        <w:rPr>
          <w:rFonts w:ascii="Arial" w:hAnsi="Arial" w:cs="Arial"/>
          <w:b w:val="0"/>
          <w:sz w:val="24"/>
          <w:lang w:val="en-GB"/>
        </w:rPr>
        <w:t>od of local variations for two</w:t>
      </w:r>
      <w:r w:rsidRPr="0021647A">
        <w:rPr>
          <w:rFonts w:ascii="Arial" w:hAnsi="Arial" w:cs="Arial"/>
          <w:b w:val="0"/>
          <w:sz w:val="24"/>
          <w:lang w:val="en-GB"/>
        </w:rPr>
        <w:t xml:space="preserve"> dimensional problems</w:t>
      </w:r>
      <w:r w:rsidRPr="0021647A">
        <w:rPr>
          <w:rFonts w:ascii="Arial" w:hAnsi="Arial" w:cs="Arial"/>
          <w:b w:val="0"/>
          <w:noProof/>
          <w:sz w:val="24"/>
          <w:vertAlign w:val="superscript"/>
          <w:lang w:val="en-US"/>
        </w:rPr>
        <w:t>[1]</w:t>
      </w:r>
      <w:r w:rsidRPr="0021647A">
        <w:rPr>
          <w:rFonts w:ascii="Arial" w:hAnsi="Arial" w:cs="Arial"/>
          <w:b w:val="0"/>
          <w:sz w:val="24"/>
          <w:lang w:val="en-GB"/>
        </w:rPr>
        <w:t>. This approach is generalization of the method for numerical determination of voltage potential</w:t>
      </w:r>
      <w:r>
        <w:rPr>
          <w:rFonts w:ascii="Arial" w:hAnsi="Arial" w:cs="Arial"/>
          <w:b w:val="0"/>
          <w:sz w:val="24"/>
          <w:lang w:val="en-GB"/>
        </w:rPr>
        <w:t xml:space="preserve"> inside two </w:t>
      </w:r>
      <w:r w:rsidRPr="0021647A">
        <w:rPr>
          <w:rFonts w:ascii="Arial" w:hAnsi="Arial" w:cs="Arial"/>
          <w:b w:val="0"/>
          <w:sz w:val="24"/>
          <w:lang w:val="en-GB"/>
        </w:rPr>
        <w:t>and three dimensional nonhomogeneous media using values of the voltage potential on the boundary of the media derived in</w:t>
      </w:r>
      <w:r>
        <w:rPr>
          <w:rFonts w:ascii="Arial" w:hAnsi="Arial" w:cs="Arial"/>
          <w:b w:val="0"/>
          <w:noProof/>
          <w:sz w:val="24"/>
          <w:vertAlign w:val="superscript"/>
          <w:lang w:val="en-US"/>
        </w:rPr>
        <w:t>[2]</w:t>
      </w:r>
      <w:r w:rsidRPr="0021647A">
        <w:rPr>
          <w:rFonts w:ascii="Arial" w:hAnsi="Arial" w:cs="Arial"/>
          <w:b w:val="0"/>
          <w:sz w:val="24"/>
          <w:lang w:val="en-GB"/>
        </w:rPr>
        <w:t xml:space="preserve">. The convergence of the method of local variations for the problem is proved. The numerical experiments are done from a mathematical point of view. The numerical solutions are computed for different values of electrical conductivities of the media and for different values of the voltage potential on the boundary of the media. </w:t>
      </w:r>
      <w:r w:rsidRPr="0021647A">
        <w:rPr>
          <w:rFonts w:ascii="Arial" w:hAnsi="Arial" w:cs="Arial"/>
          <w:b w:val="0"/>
          <w:sz w:val="24"/>
        </w:rPr>
        <w:t>The case of discontinuous electrical conductivities is also considered.</w:t>
      </w:r>
    </w:p>
    <w:p w:rsidR="00575A88" w:rsidRPr="0021647A" w:rsidRDefault="00575A88" w:rsidP="00575A88">
      <w:pPr>
        <w:pStyle w:val="Textoindependiente"/>
        <w:ind w:firstLine="539"/>
        <w:rPr>
          <w:rFonts w:ascii="Arial" w:hAnsi="Arial" w:cs="Arial"/>
          <w:sz w:val="24"/>
          <w:lang w:val="en-US"/>
        </w:rPr>
      </w:pPr>
    </w:p>
    <w:p w:rsidR="00575A88" w:rsidRPr="00AB59B2" w:rsidRDefault="00575A88" w:rsidP="00575A88">
      <w:pPr>
        <w:pStyle w:val="Ttulo1"/>
        <w:keepLines w:val="0"/>
        <w:numPr>
          <w:ilvl w:val="0"/>
          <w:numId w:val="1"/>
        </w:numPr>
        <w:tabs>
          <w:tab w:val="clear" w:pos="432"/>
          <w:tab w:val="left" w:pos="0"/>
        </w:tabs>
        <w:suppressAutoHyphens/>
        <w:spacing w:before="0" w:after="0" w:line="360" w:lineRule="auto"/>
        <w:ind w:left="0" w:firstLine="0"/>
        <w:rPr>
          <w:rFonts w:ascii="Arial" w:hAnsi="Arial" w:cs="Arial"/>
          <w:b/>
          <w:i/>
          <w:sz w:val="24"/>
          <w:szCs w:val="24"/>
          <w:lang w:val="en-US"/>
        </w:rPr>
      </w:pPr>
      <w:bookmarkStart w:id="182" w:name="_Toc50031273"/>
      <w:r w:rsidRPr="00AB59B2">
        <w:rPr>
          <w:rFonts w:ascii="Arial" w:hAnsi="Arial" w:cs="Arial"/>
          <w:i/>
          <w:caps/>
          <w:sz w:val="24"/>
          <w:szCs w:val="24"/>
          <w:lang w:val="en-US"/>
        </w:rPr>
        <w:t xml:space="preserve">3. </w:t>
      </w:r>
      <w:r w:rsidRPr="00AB59B2">
        <w:rPr>
          <w:rFonts w:ascii="Arial" w:hAnsi="Arial" w:cs="Arial"/>
          <w:bCs/>
          <w:i/>
          <w:sz w:val="24"/>
          <w:szCs w:val="24"/>
          <w:lang w:val="en-US" w:eastAsia="ar-SA"/>
        </w:rPr>
        <w:t>Formulation of the problem</w:t>
      </w:r>
      <w:bookmarkEnd w:id="182"/>
    </w:p>
    <w:p w:rsidR="00575A88" w:rsidRDefault="00575A88" w:rsidP="00575A88">
      <w:pPr>
        <w:pStyle w:val="Textoindependiente"/>
        <w:ind w:firstLine="567"/>
        <w:jc w:val="both"/>
        <w:rPr>
          <w:rFonts w:ascii="Arial" w:hAnsi="Arial" w:cs="Arial"/>
          <w:b w:val="0"/>
          <w:sz w:val="24"/>
          <w:lang w:val="en-US"/>
        </w:rPr>
      </w:pPr>
      <w:r w:rsidRPr="0021647A">
        <w:rPr>
          <w:rFonts w:ascii="Arial" w:hAnsi="Arial" w:cs="Arial"/>
          <w:b w:val="0"/>
          <w:sz w:val="24"/>
          <w:lang w:val="en-US"/>
        </w:rPr>
        <w:t>The following two dimensional potential equation is considered</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21647A" w:rsidRDefault="00575A88" w:rsidP="00575A88">
      <w:pPr>
        <w:pStyle w:val="Textoindependiente"/>
        <w:jc w:val="right"/>
        <w:rPr>
          <w:rFonts w:ascii="Arial" w:hAnsi="Arial" w:cs="Arial"/>
          <w:b w:val="0"/>
          <w:bCs w:val="0"/>
          <w:sz w:val="24"/>
          <w:lang w:val="en-US"/>
        </w:rPr>
      </w:pPr>
      <w:r w:rsidRPr="0021647A">
        <w:rPr>
          <w:rFonts w:ascii="Arial" w:hAnsi="Arial" w:cs="Arial"/>
          <w:b w:val="0"/>
          <w:sz w:val="24"/>
          <w:lang w:val="en-US"/>
        </w:rPr>
        <w:t xml:space="preserve">                                         </w:t>
      </w:r>
      <w:r w:rsidRPr="0021647A">
        <w:rPr>
          <w:rFonts w:ascii="Arial" w:hAnsi="Arial" w:cs="Arial"/>
          <w:position w:val="-20"/>
          <w:sz w:val="24"/>
        </w:rPr>
        <w:object w:dxaOrig="1960" w:dyaOrig="440">
          <v:shape id="_x0000_i1274" type="#_x0000_t75" style="width:100.8pt;height:21.6pt" o:ole="">
            <v:imagedata r:id="rId690" o:title=""/>
          </v:shape>
          <o:OLEObject Type="Embed" ProgID="Equation.3" ShapeID="_x0000_i1274" DrawAspect="Content" ObjectID="_1660649371" r:id="rId691"/>
        </w:object>
      </w:r>
      <w:r w:rsidRPr="0021647A">
        <w:rPr>
          <w:rFonts w:ascii="Arial" w:hAnsi="Arial" w:cs="Arial"/>
          <w:b w:val="0"/>
          <w:sz w:val="24"/>
          <w:lang w:val="en-US"/>
        </w:rPr>
        <w:t xml:space="preserve"> </w:t>
      </w:r>
      <w:r w:rsidRPr="0021647A">
        <w:rPr>
          <w:rFonts w:ascii="Arial" w:hAnsi="Arial" w:cs="Arial"/>
          <w:sz w:val="24"/>
          <w:lang w:val="en-US"/>
        </w:rPr>
        <w:t xml:space="preserve">          </w:t>
      </w:r>
      <w:r w:rsidRPr="0021647A">
        <w:rPr>
          <w:rFonts w:ascii="Arial" w:hAnsi="Arial" w:cs="Arial"/>
          <w:b w:val="0"/>
          <w:bCs w:val="0"/>
          <w:sz w:val="24"/>
          <w:lang w:val="en-US"/>
        </w:rPr>
        <w:t xml:space="preserve">in     </w:t>
      </w:r>
      <w:r w:rsidRPr="0021647A">
        <w:rPr>
          <w:rFonts w:ascii="Arial" w:hAnsi="Arial" w:cs="Arial"/>
          <w:position w:val="-4"/>
          <w:sz w:val="24"/>
          <w:lang w:val="en-US"/>
        </w:rPr>
        <w:object w:dxaOrig="260" w:dyaOrig="260">
          <v:shape id="_x0000_i1275" type="#_x0000_t75" style="width:14.4pt;height:14.4pt" o:ole="">
            <v:imagedata r:id="rId692" o:title=""/>
          </v:shape>
          <o:OLEObject Type="Embed" ProgID="Equation.3" ShapeID="_x0000_i1275" DrawAspect="Content" ObjectID="_1660649372" r:id="rId693"/>
        </w:object>
      </w:r>
      <w:r w:rsidRPr="0021647A">
        <w:rPr>
          <w:rFonts w:ascii="Arial" w:hAnsi="Arial" w:cs="Arial"/>
          <w:sz w:val="24"/>
          <w:lang w:val="en-US"/>
        </w:rPr>
        <w:t xml:space="preserve">   </w:t>
      </w:r>
      <w:r w:rsidRPr="0021647A">
        <w:rPr>
          <w:rFonts w:ascii="Arial" w:hAnsi="Arial" w:cs="Arial"/>
          <w:b w:val="0"/>
          <w:bCs w:val="0"/>
          <w:sz w:val="24"/>
          <w:lang w:val="en-US"/>
        </w:rPr>
        <w:t>,                                       (1)</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287E7A" w:rsidRDefault="00575A88" w:rsidP="00575A88">
      <w:pPr>
        <w:jc w:val="both"/>
        <w:rPr>
          <w:rFonts w:ascii="Arial" w:hAnsi="Arial" w:cs="Arial"/>
          <w:lang w:val="en-US" w:eastAsia="ar-SA"/>
        </w:rPr>
      </w:pPr>
      <w:r w:rsidRPr="0021647A">
        <w:rPr>
          <w:rFonts w:ascii="Arial" w:hAnsi="Arial" w:cs="Arial"/>
          <w:lang w:val="en-US" w:eastAsia="ar-SA"/>
        </w:rPr>
        <w:t xml:space="preserve">where  </w:t>
      </w:r>
      <w:r w:rsidRPr="0021647A">
        <w:rPr>
          <w:rFonts w:ascii="Arial" w:hAnsi="Arial" w:cs="Arial"/>
          <w:color w:val="FF0000"/>
          <w:position w:val="-14"/>
          <w:lang w:val="en-GB"/>
        </w:rPr>
        <w:object w:dxaOrig="260" w:dyaOrig="380">
          <v:shape id="_x0000_i1276" type="#_x0000_t75" style="width:14.4pt;height:21.6pt" o:ole="">
            <v:imagedata r:id="rId694" o:title=""/>
          </v:shape>
          <o:OLEObject Type="Embed" ProgID="Equation.3" ShapeID="_x0000_i1276" DrawAspect="Content" ObjectID="_1660649373" r:id="rId695"/>
        </w:object>
      </w:r>
      <w:r>
        <w:rPr>
          <w:rFonts w:ascii="Arial" w:hAnsi="Arial" w:cs="Arial"/>
          <w:lang w:val="en-US" w:eastAsia="ar-SA"/>
        </w:rPr>
        <w:t xml:space="preserve"> is </w:t>
      </w:r>
      <w:r w:rsidRPr="0021647A">
        <w:rPr>
          <w:rFonts w:ascii="Arial" w:hAnsi="Arial" w:cs="Arial"/>
          <w:lang w:val="en-US" w:eastAsia="ar-SA"/>
        </w:rPr>
        <w:t xml:space="preserve">an electrical  conductivity of the  medium, </w:t>
      </w:r>
      <w:r w:rsidRPr="0021647A">
        <w:rPr>
          <w:rFonts w:ascii="Arial" w:hAnsi="Arial" w:cs="Arial"/>
          <w:position w:val="-6"/>
        </w:rPr>
        <w:object w:dxaOrig="200" w:dyaOrig="240">
          <v:shape id="_x0000_i1277" type="#_x0000_t75" style="width:7.2pt;height:14.4pt" o:ole="">
            <v:imagedata r:id="rId696" o:title=""/>
          </v:shape>
          <o:OLEObject Type="Embed" ProgID="Equation.3" ShapeID="_x0000_i1277" DrawAspect="Content" ObjectID="_1660649374" r:id="rId697"/>
        </w:object>
      </w:r>
      <w:r w:rsidRPr="0021647A">
        <w:rPr>
          <w:rFonts w:ascii="Arial" w:hAnsi="Arial" w:cs="Arial"/>
          <w:lang w:val="en-US" w:eastAsia="ar-SA"/>
        </w:rPr>
        <w:t xml:space="preserve">  is  a voltage  potential.  The  summation  and  differentiation  rule  with  respect  to  indices  is</w:t>
      </w:r>
      <w:r>
        <w:rPr>
          <w:rFonts w:ascii="Arial" w:hAnsi="Arial" w:cs="Arial"/>
          <w:lang w:val="en-US" w:eastAsia="ar-SA"/>
        </w:rPr>
        <w:t xml:space="preserve"> </w:t>
      </w:r>
      <w:r w:rsidRPr="0021647A">
        <w:rPr>
          <w:rFonts w:ascii="Arial" w:hAnsi="Arial" w:cs="Arial"/>
          <w:lang w:val="en-US" w:eastAsia="ar-SA"/>
        </w:rPr>
        <w:t xml:space="preserve">applied.  </w:t>
      </w:r>
      <w:r w:rsidRPr="0021647A">
        <w:rPr>
          <w:rFonts w:ascii="Arial" w:hAnsi="Arial" w:cs="Arial"/>
          <w:position w:val="-4"/>
        </w:rPr>
        <w:object w:dxaOrig="260" w:dyaOrig="260">
          <v:shape id="_x0000_i1278" type="#_x0000_t75" style="width:14.4pt;height:14.4pt" o:ole="">
            <v:imagedata r:id="rId698" o:title=""/>
          </v:shape>
          <o:OLEObject Type="Embed" ProgID="Equation.3" ShapeID="_x0000_i1278" DrawAspect="Content" ObjectID="_1660649375" r:id="rId699"/>
        </w:object>
      </w:r>
      <w:r w:rsidRPr="0021647A">
        <w:rPr>
          <w:rFonts w:ascii="Arial" w:hAnsi="Arial" w:cs="Arial"/>
          <w:lang w:val="en-GB" w:eastAsia="ar-SA"/>
        </w:rPr>
        <w:t xml:space="preserve">  is assumed as a two dimensional domain of following form</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jc w:val="center"/>
        <w:rPr>
          <w:rFonts w:ascii="Arial" w:hAnsi="Arial" w:cs="Arial"/>
        </w:rPr>
      </w:pPr>
      <w:r w:rsidRPr="0021647A">
        <w:rPr>
          <w:rFonts w:ascii="Arial" w:hAnsi="Arial" w:cs="Arial"/>
          <w:position w:val="-10"/>
        </w:rPr>
        <w:object w:dxaOrig="3379" w:dyaOrig="380">
          <v:shape id="_x0000_i1279" type="#_x0000_t75" style="width:172.8pt;height:21.6pt" o:ole="">
            <v:imagedata r:id="rId700" o:title=""/>
          </v:shape>
          <o:OLEObject Type="Embed" ProgID="Equation.3" ShapeID="_x0000_i1279" DrawAspect="Content" ObjectID="_1660649376" r:id="rId701"/>
        </w:objec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21647A" w:rsidRDefault="00575A88" w:rsidP="00575A88">
      <w:pPr>
        <w:jc w:val="both"/>
        <w:rPr>
          <w:rFonts w:ascii="Arial" w:hAnsi="Arial" w:cs="Arial"/>
          <w:lang w:val="en-GB" w:eastAsia="ar-SA"/>
        </w:rPr>
      </w:pPr>
      <w:r w:rsidRPr="0021647A">
        <w:rPr>
          <w:rFonts w:ascii="Arial" w:hAnsi="Arial" w:cs="Arial"/>
          <w:lang w:val="en-US"/>
        </w:rPr>
        <w:t xml:space="preserve">it means </w:t>
      </w:r>
      <w:r w:rsidRPr="0021647A">
        <w:rPr>
          <w:rFonts w:ascii="Arial" w:hAnsi="Arial" w:cs="Arial"/>
          <w:position w:val="-4"/>
        </w:rPr>
        <w:object w:dxaOrig="260" w:dyaOrig="260">
          <v:shape id="_x0000_i1280" type="#_x0000_t75" style="width:14.4pt;height:14.4pt" o:ole="">
            <v:imagedata r:id="rId702" o:title=""/>
          </v:shape>
          <o:OLEObject Type="Embed" ProgID="Equation.3" ShapeID="_x0000_i1280" DrawAspect="Content" ObjectID="_1660649377" r:id="rId703"/>
        </w:object>
      </w:r>
      <w:r w:rsidRPr="0021647A">
        <w:rPr>
          <w:rFonts w:ascii="Arial" w:hAnsi="Arial" w:cs="Arial"/>
          <w:lang w:val="en-US"/>
        </w:rPr>
        <w:t xml:space="preserve">  is </w:t>
      </w:r>
      <w:r>
        <w:rPr>
          <w:rFonts w:ascii="Arial" w:hAnsi="Arial" w:cs="Arial"/>
          <w:lang w:val="en-US"/>
        </w:rPr>
        <w:t xml:space="preserve">the </w:t>
      </w:r>
      <w:r w:rsidRPr="0021647A">
        <w:rPr>
          <w:rFonts w:ascii="Arial" w:hAnsi="Arial" w:cs="Arial"/>
          <w:lang w:val="en-US"/>
        </w:rPr>
        <w:t>circle with radius one.</w:t>
      </w:r>
    </w:p>
    <w:p w:rsidR="00575A88" w:rsidRDefault="00575A88" w:rsidP="00575A88">
      <w:pPr>
        <w:ind w:firstLine="567"/>
        <w:jc w:val="both"/>
        <w:rPr>
          <w:rFonts w:ascii="Arial" w:hAnsi="Arial" w:cs="Arial"/>
          <w:lang w:val="en-GB" w:eastAsia="ar-SA"/>
        </w:rPr>
      </w:pPr>
      <w:r w:rsidRPr="0021647A">
        <w:rPr>
          <w:rFonts w:ascii="Arial" w:hAnsi="Arial" w:cs="Arial"/>
          <w:lang w:val="en-GB" w:eastAsia="ar-SA"/>
        </w:rPr>
        <w:tab/>
        <w:t>For making numerical experiments from t</w:t>
      </w:r>
      <w:r>
        <w:rPr>
          <w:rFonts w:ascii="Arial" w:hAnsi="Arial" w:cs="Arial"/>
          <w:lang w:val="en-GB" w:eastAsia="ar-SA"/>
        </w:rPr>
        <w:t>he mathematical point of view</w:t>
      </w:r>
      <w:r w:rsidRPr="0021647A">
        <w:rPr>
          <w:rFonts w:ascii="Arial" w:hAnsi="Arial" w:cs="Arial"/>
          <w:lang w:val="en-GB" w:eastAsia="ar-SA"/>
        </w:rPr>
        <w:t xml:space="preserve"> equation (1)</w:t>
      </w:r>
      <w:r>
        <w:rPr>
          <w:rFonts w:ascii="Arial" w:hAnsi="Arial" w:cs="Arial"/>
          <w:lang w:val="en-GB" w:eastAsia="ar-SA"/>
        </w:rPr>
        <w:t xml:space="preserve"> is </w:t>
      </w:r>
      <w:r w:rsidRPr="0021647A">
        <w:rPr>
          <w:rFonts w:ascii="Arial" w:hAnsi="Arial" w:cs="Arial"/>
          <w:lang w:val="en-GB" w:eastAsia="ar-SA"/>
        </w:rPr>
        <w:t>consider</w:t>
      </w:r>
      <w:r>
        <w:rPr>
          <w:rFonts w:ascii="Arial" w:hAnsi="Arial" w:cs="Arial"/>
          <w:lang w:val="en-GB" w:eastAsia="ar-SA"/>
        </w:rPr>
        <w:t>ed</w:t>
      </w:r>
      <w:r w:rsidRPr="0021647A">
        <w:rPr>
          <w:rFonts w:ascii="Arial" w:hAnsi="Arial" w:cs="Arial"/>
          <w:lang w:val="en-GB" w:eastAsia="ar-SA"/>
        </w:rPr>
        <w:t xml:space="preserve"> in the following form</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Textoindependiente"/>
        <w:jc w:val="right"/>
        <w:rPr>
          <w:rFonts w:ascii="Arial" w:hAnsi="Arial" w:cs="Arial"/>
          <w:b w:val="0"/>
          <w:bCs w:val="0"/>
          <w:sz w:val="24"/>
          <w:lang w:val="en-US"/>
        </w:rPr>
      </w:pPr>
      <w:r w:rsidRPr="0021647A">
        <w:rPr>
          <w:rFonts w:ascii="Arial" w:hAnsi="Arial" w:cs="Arial"/>
          <w:b w:val="0"/>
          <w:sz w:val="24"/>
          <w:lang w:val="en-US"/>
        </w:rPr>
        <w:t xml:space="preserve">                                           </w:t>
      </w:r>
      <w:r w:rsidRPr="0021647A">
        <w:rPr>
          <w:rFonts w:ascii="Arial" w:hAnsi="Arial" w:cs="Arial"/>
          <w:position w:val="-20"/>
          <w:sz w:val="24"/>
        </w:rPr>
        <w:object w:dxaOrig="1980" w:dyaOrig="440">
          <v:shape id="_x0000_i1281" type="#_x0000_t75" style="width:100.8pt;height:21.6pt" o:ole="">
            <v:imagedata r:id="rId704" o:title=""/>
          </v:shape>
          <o:OLEObject Type="Embed" ProgID="Equation.3" ShapeID="_x0000_i1281" DrawAspect="Content" ObjectID="_1660649378" r:id="rId705"/>
        </w:object>
      </w:r>
      <w:r w:rsidRPr="0021647A">
        <w:rPr>
          <w:rFonts w:ascii="Arial" w:hAnsi="Arial" w:cs="Arial"/>
          <w:sz w:val="24"/>
          <w:lang w:val="en-US"/>
        </w:rPr>
        <w:t xml:space="preserve">          </w:t>
      </w:r>
      <w:r w:rsidRPr="0021647A">
        <w:rPr>
          <w:rFonts w:ascii="Arial" w:hAnsi="Arial" w:cs="Arial"/>
          <w:b w:val="0"/>
          <w:bCs w:val="0"/>
          <w:sz w:val="24"/>
          <w:lang w:val="en-US"/>
        </w:rPr>
        <w:t xml:space="preserve">in     </w:t>
      </w:r>
      <w:r w:rsidRPr="0021647A">
        <w:rPr>
          <w:rFonts w:ascii="Arial" w:hAnsi="Arial" w:cs="Arial"/>
          <w:position w:val="-4"/>
          <w:sz w:val="24"/>
          <w:lang w:val="en-US"/>
        </w:rPr>
        <w:object w:dxaOrig="260" w:dyaOrig="260">
          <v:shape id="_x0000_i1282" type="#_x0000_t75" style="width:14.4pt;height:14.4pt" o:ole="">
            <v:imagedata r:id="rId692" o:title=""/>
          </v:shape>
          <o:OLEObject Type="Embed" ProgID="Equation.3" ShapeID="_x0000_i1282" DrawAspect="Content" ObjectID="_1660649379" r:id="rId706"/>
        </w:object>
      </w:r>
      <w:r w:rsidRPr="0021647A">
        <w:rPr>
          <w:rFonts w:ascii="Arial" w:hAnsi="Arial" w:cs="Arial"/>
          <w:sz w:val="24"/>
          <w:lang w:val="en-US"/>
        </w:rPr>
        <w:t xml:space="preserve">   </w:t>
      </w:r>
      <w:r w:rsidRPr="0021647A">
        <w:rPr>
          <w:rFonts w:ascii="Arial" w:hAnsi="Arial" w:cs="Arial"/>
          <w:b w:val="0"/>
          <w:bCs w:val="0"/>
          <w:sz w:val="24"/>
          <w:lang w:val="en-US"/>
        </w:rPr>
        <w:t>,                                      (2)</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21647A" w:rsidRDefault="00575A88" w:rsidP="00575A88">
      <w:pPr>
        <w:rPr>
          <w:rFonts w:ascii="Arial" w:hAnsi="Arial" w:cs="Arial"/>
          <w:lang w:val="en-US"/>
        </w:rPr>
      </w:pPr>
      <w:r w:rsidRPr="0021647A">
        <w:rPr>
          <w:rFonts w:ascii="Arial" w:hAnsi="Arial" w:cs="Arial"/>
          <w:lang w:val="en-US"/>
        </w:rPr>
        <w:t xml:space="preserve">where  </w:t>
      </w:r>
      <w:r w:rsidRPr="0021647A">
        <w:rPr>
          <w:rFonts w:ascii="Arial" w:hAnsi="Arial" w:cs="Arial"/>
          <w:position w:val="-10"/>
          <w:lang w:val="en-GB"/>
        </w:rPr>
        <w:object w:dxaOrig="220" w:dyaOrig="279">
          <v:shape id="_x0000_i1283" type="#_x0000_t75" style="width:14.4pt;height:14.4pt" o:ole="">
            <v:imagedata r:id="rId707" o:title=""/>
          </v:shape>
          <o:OLEObject Type="Embed" ProgID="Equation.3" ShapeID="_x0000_i1283" DrawAspect="Content" ObjectID="_1660649380" r:id="rId708"/>
        </w:object>
      </w:r>
      <w:r w:rsidRPr="0021647A">
        <w:rPr>
          <w:rFonts w:ascii="Arial" w:hAnsi="Arial" w:cs="Arial"/>
          <w:lang w:val="en-GB"/>
        </w:rPr>
        <w:t xml:space="preserve">  </w:t>
      </w:r>
      <w:r w:rsidRPr="0021647A">
        <w:rPr>
          <w:rFonts w:ascii="Arial" w:hAnsi="Arial" w:cs="Arial"/>
          <w:lang w:val="en-US"/>
        </w:rPr>
        <w:t>is a free charge.</w:t>
      </w:r>
    </w:p>
    <w:p w:rsidR="00575A88" w:rsidRDefault="00575A88" w:rsidP="00575A88">
      <w:pPr>
        <w:tabs>
          <w:tab w:val="left" w:pos="288"/>
        </w:tabs>
        <w:ind w:firstLine="567"/>
        <w:jc w:val="both"/>
        <w:rPr>
          <w:rFonts w:ascii="Arial" w:eastAsia="MS Mincho" w:hAnsi="Arial" w:cs="Arial"/>
          <w:spacing w:val="-1"/>
          <w:lang w:val="en-GB" w:eastAsia="sk-SK"/>
        </w:rPr>
      </w:pPr>
      <w:r w:rsidRPr="0021647A">
        <w:rPr>
          <w:rFonts w:ascii="Arial" w:eastAsia="MS Mincho" w:hAnsi="Arial" w:cs="Arial"/>
          <w:spacing w:val="-1"/>
          <w:lang w:val="en-GB" w:eastAsia="sk-SK"/>
        </w:rPr>
        <w:t>The following Dirichlet boundary condition is considered for the voltage potential</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tabs>
          <w:tab w:val="left" w:pos="288"/>
        </w:tabs>
        <w:jc w:val="right"/>
        <w:rPr>
          <w:rFonts w:ascii="Arial" w:eastAsia="MS Mincho" w:hAnsi="Arial" w:cs="Arial"/>
          <w:spacing w:val="-1"/>
          <w:lang w:val="en-US" w:eastAsia="sk-SK"/>
        </w:rPr>
      </w:pPr>
      <w:r w:rsidRPr="0021647A">
        <w:rPr>
          <w:rFonts w:ascii="Arial" w:eastAsia="MS Mincho" w:hAnsi="Arial" w:cs="Arial"/>
          <w:spacing w:val="-1"/>
          <w:lang w:val="en-US" w:eastAsia="sk-SK"/>
        </w:rPr>
        <w:t xml:space="preserve">                                            </w:t>
      </w:r>
      <w:r w:rsidRPr="0021647A">
        <w:rPr>
          <w:rFonts w:ascii="Arial" w:eastAsia="MS Mincho" w:hAnsi="Arial" w:cs="Arial"/>
          <w:spacing w:val="-1"/>
          <w:position w:val="-10"/>
          <w:lang w:val="en-US" w:eastAsia="sk-SK"/>
        </w:rPr>
        <w:object w:dxaOrig="3140" w:dyaOrig="320">
          <v:shape id="_x0000_i1284" type="#_x0000_t75" style="width:158.4pt;height:14.4pt" o:ole="">
            <v:imagedata r:id="rId709" o:title=""/>
          </v:shape>
          <o:OLEObject Type="Embed" ProgID="Equation.3" ShapeID="_x0000_i1284" DrawAspect="Content" ObjectID="_1660649381" r:id="rId710"/>
        </w:object>
      </w:r>
      <w:r w:rsidRPr="0021647A">
        <w:rPr>
          <w:rFonts w:ascii="Arial" w:eastAsia="MS Mincho" w:hAnsi="Arial" w:cs="Arial"/>
          <w:spacing w:val="-1"/>
          <w:lang w:val="en-US" w:eastAsia="sk-SK"/>
        </w:rPr>
        <w:t xml:space="preserve">     ,                                       (3)</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21647A" w:rsidRDefault="00575A88" w:rsidP="00575A88">
      <w:pPr>
        <w:tabs>
          <w:tab w:val="left" w:pos="288"/>
        </w:tabs>
        <w:jc w:val="both"/>
        <w:rPr>
          <w:rFonts w:ascii="Arial" w:eastAsia="MS Mincho" w:hAnsi="Arial" w:cs="Arial"/>
          <w:spacing w:val="-1"/>
          <w:lang w:val="en-GB" w:eastAsia="sk-SK"/>
        </w:rPr>
      </w:pPr>
      <w:r w:rsidRPr="0021647A">
        <w:rPr>
          <w:rFonts w:ascii="Arial" w:eastAsia="MS Mincho" w:hAnsi="Arial" w:cs="Arial"/>
          <w:spacing w:val="-1"/>
          <w:lang w:val="en-US" w:eastAsia="sk-SK"/>
        </w:rPr>
        <w:t xml:space="preserve">where  </w:t>
      </w:r>
      <w:r w:rsidRPr="0021647A">
        <w:rPr>
          <w:rFonts w:ascii="Arial" w:eastAsia="MS Mincho" w:hAnsi="Arial" w:cs="Arial"/>
          <w:spacing w:val="-1"/>
          <w:position w:val="-4"/>
          <w:lang w:val="en-GB" w:eastAsia="sk-SK"/>
        </w:rPr>
        <w:object w:dxaOrig="180" w:dyaOrig="260">
          <v:shape id="_x0000_i1285" type="#_x0000_t75" style="width:7.2pt;height:14.4pt" o:ole="">
            <v:imagedata r:id="rId711" o:title=""/>
          </v:shape>
          <o:OLEObject Type="Embed" ProgID="Equation.3" ShapeID="_x0000_i1285" DrawAspect="Content" ObjectID="_1660649382" r:id="rId712"/>
        </w:object>
      </w:r>
      <w:r w:rsidRPr="0021647A">
        <w:rPr>
          <w:rFonts w:ascii="Arial" w:eastAsia="MS Mincho" w:hAnsi="Arial" w:cs="Arial"/>
          <w:spacing w:val="-1"/>
          <w:lang w:val="en-GB" w:eastAsia="sk-SK"/>
        </w:rPr>
        <w:t xml:space="preserve">  represents values </w:t>
      </w:r>
      <w:r w:rsidRPr="0021647A">
        <w:rPr>
          <w:rFonts w:ascii="Arial" w:eastAsia="MS Mincho" w:hAnsi="Arial" w:cs="Arial"/>
          <w:color w:val="000000"/>
          <w:spacing w:val="-1"/>
          <w:lang w:val="en-US" w:eastAsia="sk-SK"/>
        </w:rPr>
        <w:t>of the voltage potential on the boundary.</w:t>
      </w:r>
    </w:p>
    <w:p w:rsidR="00575A88" w:rsidRDefault="00575A88" w:rsidP="00575A88">
      <w:pPr>
        <w:pStyle w:val="Textoindependiente"/>
        <w:ind w:firstLine="567"/>
        <w:rPr>
          <w:rFonts w:ascii="Arial" w:hAnsi="Arial" w:cs="Arial"/>
          <w:b w:val="0"/>
          <w:sz w:val="24"/>
          <w:lang w:val="en-GB"/>
        </w:rPr>
      </w:pPr>
      <w:r>
        <w:rPr>
          <w:rFonts w:ascii="Arial" w:hAnsi="Arial" w:cs="Arial"/>
          <w:b w:val="0"/>
          <w:sz w:val="24"/>
          <w:lang w:val="en-GB"/>
        </w:rPr>
        <w:t>The equation (2</w:t>
      </w:r>
      <w:r w:rsidRPr="0021647A">
        <w:rPr>
          <w:rFonts w:ascii="Arial" w:hAnsi="Arial" w:cs="Arial"/>
          <w:b w:val="0"/>
          <w:sz w:val="24"/>
          <w:lang w:val="en-GB"/>
        </w:rPr>
        <w:t>) for two dimensional case can be written in the following form</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575A88" w:rsidRDefault="00575A88" w:rsidP="00575A88">
      <w:pPr>
        <w:pStyle w:val="Textoindependiente"/>
        <w:ind w:firstLine="567"/>
        <w:jc w:val="right"/>
        <w:rPr>
          <w:rFonts w:ascii="Arial" w:hAnsi="Arial" w:cs="Arial"/>
          <w:b w:val="0"/>
          <w:sz w:val="24"/>
          <w:lang w:val="en-US"/>
        </w:rPr>
      </w:pPr>
      <w:r w:rsidRPr="0021647A">
        <w:rPr>
          <w:rFonts w:ascii="Arial" w:hAnsi="Arial" w:cs="Arial"/>
          <w:position w:val="-20"/>
          <w:sz w:val="24"/>
          <w:lang w:val="en-GB"/>
        </w:rPr>
        <w:object w:dxaOrig="3040" w:dyaOrig="440">
          <v:shape id="_x0000_i1286" type="#_x0000_t75" style="width:151.2pt;height:21.6pt" o:ole="">
            <v:imagedata r:id="rId713" o:title=""/>
          </v:shape>
          <o:OLEObject Type="Embed" ProgID="Equation.3" ShapeID="_x0000_i1286" DrawAspect="Content" ObjectID="_1660649383" r:id="rId714"/>
        </w:object>
      </w:r>
      <w:r w:rsidRPr="0021647A">
        <w:rPr>
          <w:rFonts w:ascii="Arial" w:hAnsi="Arial" w:cs="Arial"/>
          <w:sz w:val="24"/>
          <w:lang w:val="en-GB"/>
        </w:rPr>
        <w:t xml:space="preserve">      </w:t>
      </w:r>
      <w:r w:rsidRPr="00EA5311">
        <w:rPr>
          <w:rFonts w:ascii="Arial" w:hAnsi="Arial" w:cs="Arial"/>
          <w:b w:val="0"/>
          <w:sz w:val="24"/>
          <w:lang w:val="en-US"/>
        </w:rPr>
        <w:t>in</w:t>
      </w:r>
      <w:r w:rsidRPr="00CD3AC0">
        <w:rPr>
          <w:rFonts w:ascii="Arial" w:hAnsi="Arial" w:cs="Arial"/>
          <w:sz w:val="24"/>
          <w:lang w:val="en-US"/>
        </w:rPr>
        <w:t xml:space="preserve">   </w:t>
      </w:r>
      <w:r w:rsidRPr="0021647A">
        <w:rPr>
          <w:rFonts w:ascii="Arial" w:hAnsi="Arial" w:cs="Arial"/>
          <w:position w:val="-4"/>
          <w:sz w:val="24"/>
        </w:rPr>
        <w:object w:dxaOrig="260" w:dyaOrig="260">
          <v:shape id="_x0000_i1287" type="#_x0000_t75" style="width:14.4pt;height:14.4pt" o:ole="">
            <v:imagedata r:id="rId715" o:title=""/>
          </v:shape>
          <o:OLEObject Type="Embed" ProgID="Equation.3" ShapeID="_x0000_i1287" DrawAspect="Content" ObjectID="_1660649384" r:id="rId716"/>
        </w:object>
      </w:r>
      <w:r w:rsidRPr="00CD3AC0">
        <w:rPr>
          <w:rFonts w:ascii="Arial" w:hAnsi="Arial" w:cs="Arial"/>
          <w:sz w:val="24"/>
          <w:lang w:val="en-US"/>
        </w:rPr>
        <w:t xml:space="preserve">   </w:t>
      </w:r>
      <w:r w:rsidRPr="00CD3AC0">
        <w:rPr>
          <w:rFonts w:ascii="Arial" w:hAnsi="Arial" w:cs="Arial"/>
          <w:b w:val="0"/>
          <w:sz w:val="24"/>
          <w:lang w:val="en-US"/>
        </w:rPr>
        <w:t xml:space="preserve">.                                 </w:t>
      </w:r>
      <w:r w:rsidRPr="00575A88">
        <w:rPr>
          <w:rFonts w:ascii="Arial" w:hAnsi="Arial" w:cs="Arial"/>
          <w:b w:val="0"/>
          <w:sz w:val="24"/>
          <w:lang w:val="en-US"/>
        </w:rPr>
        <w:t>(4)</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Textoindependiente"/>
        <w:ind w:firstLine="567"/>
        <w:jc w:val="both"/>
        <w:rPr>
          <w:rFonts w:ascii="Arial" w:hAnsi="Arial" w:cs="Arial"/>
          <w:b w:val="0"/>
          <w:sz w:val="24"/>
          <w:lang w:val="en-GB"/>
        </w:rPr>
      </w:pPr>
      <w:r w:rsidRPr="0021647A">
        <w:rPr>
          <w:rFonts w:ascii="Arial" w:hAnsi="Arial" w:cs="Arial"/>
          <w:b w:val="0"/>
          <w:sz w:val="24"/>
          <w:lang w:val="en-GB"/>
        </w:rPr>
        <w:t>It is possible to derive similarly as in</w:t>
      </w:r>
      <w:r>
        <w:rPr>
          <w:rFonts w:ascii="Arial" w:hAnsi="Arial" w:cs="Arial"/>
          <w:b w:val="0"/>
          <w:noProof/>
          <w:sz w:val="24"/>
          <w:vertAlign w:val="superscript"/>
          <w:lang w:val="en-US"/>
        </w:rPr>
        <w:t>[3</w:t>
      </w:r>
      <w:r w:rsidRPr="0021647A">
        <w:rPr>
          <w:rFonts w:ascii="Arial" w:hAnsi="Arial" w:cs="Arial"/>
          <w:b w:val="0"/>
          <w:noProof/>
          <w:sz w:val="24"/>
          <w:vertAlign w:val="superscript"/>
          <w:lang w:val="en-US"/>
        </w:rPr>
        <w:t>]</w:t>
      </w:r>
      <w:r w:rsidRPr="0021647A">
        <w:rPr>
          <w:rFonts w:ascii="Arial" w:hAnsi="Arial" w:cs="Arial"/>
          <w:b w:val="0"/>
          <w:sz w:val="24"/>
          <w:lang w:val="en-GB"/>
        </w:rPr>
        <w:t xml:space="preserve"> the convenient form of variational formulation of the problem (4), (3) as the following functional</w:t>
      </w:r>
    </w:p>
    <w:p w:rsidR="00575A88" w:rsidRPr="00E6125C" w:rsidRDefault="00575A88" w:rsidP="00575A88">
      <w:pPr>
        <w:tabs>
          <w:tab w:val="left" w:pos="288"/>
        </w:tabs>
        <w:spacing w:line="160" w:lineRule="exact"/>
        <w:jc w:val="both"/>
        <w:rPr>
          <w:rFonts w:ascii="Arial" w:eastAsia="MS Mincho" w:hAnsi="Arial" w:cs="Arial"/>
          <w:spacing w:val="-1"/>
          <w:lang w:val="en-GB" w:eastAsia="sk-SK"/>
        </w:rPr>
      </w:pPr>
    </w:p>
    <w:p w:rsidR="00575A88" w:rsidRDefault="00575A88" w:rsidP="00575A88">
      <w:pPr>
        <w:pStyle w:val="Textoindependiente"/>
        <w:ind w:firstLine="567"/>
        <w:jc w:val="right"/>
        <w:rPr>
          <w:rStyle w:val="TextoindependienteCar"/>
          <w:rFonts w:ascii="Arial" w:hAnsi="Arial" w:cs="Arial"/>
          <w:sz w:val="24"/>
          <w:lang w:val="en-US"/>
        </w:rPr>
      </w:pPr>
      <w:r w:rsidRPr="0021647A">
        <w:rPr>
          <w:rFonts w:ascii="Arial" w:hAnsi="Arial" w:cs="Arial"/>
          <w:position w:val="-36"/>
          <w:sz w:val="24"/>
          <w:lang w:val="en-US"/>
        </w:rPr>
        <w:lastRenderedPageBreak/>
        <w:t xml:space="preserve">               </w:t>
      </w:r>
      <w:r w:rsidRPr="0021647A">
        <w:rPr>
          <w:rFonts w:ascii="Arial" w:hAnsi="Arial" w:cs="Arial"/>
          <w:position w:val="-44"/>
          <w:sz w:val="24"/>
          <w:lang w:val="en-GB"/>
        </w:rPr>
        <w:object w:dxaOrig="5660" w:dyaOrig="840">
          <v:shape id="_x0000_i1288" type="#_x0000_t75" style="width:266.4pt;height:36pt" o:ole="">
            <v:imagedata r:id="rId717" o:title=""/>
          </v:shape>
          <o:OLEObject Type="Embed" ProgID="Equation.3" ShapeID="_x0000_i1288" DrawAspect="Content" ObjectID="_1660649385" r:id="rId718"/>
        </w:object>
      </w:r>
      <w:r w:rsidRPr="0021647A">
        <w:rPr>
          <w:rFonts w:ascii="Arial" w:hAnsi="Arial" w:cs="Arial"/>
          <w:sz w:val="24"/>
          <w:lang w:val="en-US"/>
        </w:rPr>
        <w:t xml:space="preserve">   </w:t>
      </w:r>
      <w:r w:rsidRPr="0021647A">
        <w:rPr>
          <w:rFonts w:ascii="Arial" w:hAnsi="Arial" w:cs="Arial"/>
          <w:b w:val="0"/>
          <w:sz w:val="24"/>
          <w:lang w:val="en-US"/>
        </w:rPr>
        <w:t xml:space="preserve">.                       </w:t>
      </w:r>
      <w:r w:rsidRPr="0021647A">
        <w:rPr>
          <w:rStyle w:val="TextoindependienteCar"/>
          <w:rFonts w:ascii="Arial" w:hAnsi="Arial" w:cs="Arial"/>
          <w:sz w:val="24"/>
          <w:lang w:val="en-US"/>
        </w:rPr>
        <w:t>(5)</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21647A" w:rsidRDefault="00575A88" w:rsidP="00575A88">
      <w:pPr>
        <w:ind w:firstLine="567"/>
        <w:jc w:val="both"/>
        <w:rPr>
          <w:rFonts w:ascii="Arial" w:hAnsi="Arial" w:cs="Arial"/>
          <w:lang w:val="en-GB" w:eastAsia="ar-SA"/>
        </w:rPr>
      </w:pPr>
      <w:r w:rsidRPr="0021647A">
        <w:rPr>
          <w:rFonts w:ascii="Arial" w:hAnsi="Arial" w:cs="Arial"/>
          <w:lang w:val="en-GB" w:eastAsia="ar-SA"/>
        </w:rPr>
        <w:t>It is possible to show</w:t>
      </w:r>
      <w:r>
        <w:rPr>
          <w:rFonts w:ascii="Arial" w:hAnsi="Arial" w:cs="Arial"/>
          <w:vertAlign w:val="superscript"/>
          <w:lang w:val="en-US" w:eastAsia="ar-SA"/>
        </w:rPr>
        <w:t>[3</w:t>
      </w:r>
      <w:r w:rsidRPr="0021647A">
        <w:rPr>
          <w:rFonts w:ascii="Arial" w:hAnsi="Arial" w:cs="Arial"/>
          <w:vertAlign w:val="superscript"/>
          <w:lang w:val="en-US" w:eastAsia="ar-SA"/>
        </w:rPr>
        <w:t>]</w:t>
      </w:r>
      <w:r w:rsidRPr="0021647A">
        <w:rPr>
          <w:rFonts w:ascii="Arial" w:hAnsi="Arial" w:cs="Arial"/>
          <w:lang w:val="en-GB" w:eastAsia="ar-SA"/>
        </w:rPr>
        <w:t xml:space="preserve"> that the solution of the problem (4)</w:t>
      </w:r>
      <w:r>
        <w:rPr>
          <w:rFonts w:ascii="Arial" w:hAnsi="Arial" w:cs="Arial"/>
          <w:lang w:val="en-GB" w:eastAsia="ar-SA"/>
        </w:rPr>
        <w:t>, (3</w:t>
      </w:r>
      <w:r w:rsidRPr="0021647A">
        <w:rPr>
          <w:rFonts w:ascii="Arial" w:hAnsi="Arial" w:cs="Arial"/>
          <w:lang w:val="en-GB" w:eastAsia="ar-SA"/>
        </w:rPr>
        <w:t xml:space="preserve">) may be characterized as stationary point  </w:t>
      </w:r>
      <w:r w:rsidRPr="0021647A">
        <w:rPr>
          <w:rFonts w:ascii="Arial" w:hAnsi="Arial" w:cs="Arial"/>
          <w:b/>
          <w:position w:val="-6"/>
          <w:lang w:val="en-GB"/>
        </w:rPr>
        <w:object w:dxaOrig="200" w:dyaOrig="240">
          <v:shape id="_x0000_i1289" type="#_x0000_t75" style="width:7.2pt;height:14.4pt" o:ole="">
            <v:imagedata r:id="rId719" o:title=""/>
          </v:shape>
          <o:OLEObject Type="Embed" ProgID="Equation.3" ShapeID="_x0000_i1289" DrawAspect="Content" ObjectID="_1660649386" r:id="rId720"/>
        </w:object>
      </w:r>
      <w:r w:rsidRPr="0021647A">
        <w:rPr>
          <w:rFonts w:ascii="Arial" w:hAnsi="Arial" w:cs="Arial"/>
          <w:lang w:val="en-GB" w:eastAsia="ar-SA"/>
        </w:rPr>
        <w:t xml:space="preserve"> </w:t>
      </w:r>
      <w:r>
        <w:rPr>
          <w:rFonts w:ascii="Arial" w:hAnsi="Arial" w:cs="Arial"/>
          <w:lang w:val="en-GB" w:eastAsia="ar-SA"/>
        </w:rPr>
        <w:t xml:space="preserve"> </w:t>
      </w:r>
      <w:r w:rsidRPr="0021647A">
        <w:rPr>
          <w:rFonts w:ascii="Arial" w:hAnsi="Arial" w:cs="Arial"/>
          <w:lang w:val="en-GB" w:eastAsia="ar-SA"/>
        </w:rPr>
        <w:t>of the functional (5).</w:t>
      </w:r>
    </w:p>
    <w:p w:rsidR="00575A88" w:rsidRDefault="00575A88" w:rsidP="00575A88">
      <w:pPr>
        <w:pStyle w:val="Textoindependiente"/>
        <w:ind w:firstLine="567"/>
        <w:jc w:val="both"/>
        <w:rPr>
          <w:rFonts w:ascii="Arial" w:hAnsi="Arial" w:cs="Arial"/>
          <w:b w:val="0"/>
          <w:sz w:val="24"/>
          <w:lang w:val="en-US"/>
        </w:rPr>
      </w:pPr>
      <w:r w:rsidRPr="0021647A">
        <w:rPr>
          <w:rFonts w:ascii="Arial" w:hAnsi="Arial" w:cs="Arial"/>
          <w:b w:val="0"/>
          <w:sz w:val="24"/>
          <w:lang w:val="en-GB"/>
        </w:rPr>
        <w:t xml:space="preserve">For the circular domain  </w:t>
      </w:r>
      <w:r w:rsidRPr="0021647A">
        <w:rPr>
          <w:rFonts w:ascii="Arial" w:hAnsi="Arial" w:cs="Arial"/>
          <w:position w:val="-4"/>
          <w:sz w:val="24"/>
        </w:rPr>
        <w:object w:dxaOrig="260" w:dyaOrig="260">
          <v:shape id="_x0000_i1290" type="#_x0000_t75" style="width:14.4pt;height:14.4pt" o:ole="">
            <v:imagedata r:id="rId702" o:title=""/>
          </v:shape>
          <o:OLEObject Type="Embed" ProgID="Equation.3" ShapeID="_x0000_i1290" DrawAspect="Content" ObjectID="_1660649387" r:id="rId721"/>
        </w:object>
      </w:r>
      <w:r w:rsidRPr="0021647A">
        <w:rPr>
          <w:rFonts w:ascii="Arial" w:hAnsi="Arial" w:cs="Arial"/>
          <w:sz w:val="24"/>
          <w:lang w:val="en-US"/>
        </w:rPr>
        <w:t xml:space="preserve">  </w:t>
      </w:r>
      <w:r w:rsidRPr="0021647A">
        <w:rPr>
          <w:rFonts w:ascii="Arial" w:hAnsi="Arial" w:cs="Arial"/>
          <w:b w:val="0"/>
          <w:sz w:val="24"/>
          <w:lang w:val="en-US"/>
        </w:rPr>
        <w:t>it is better to transform equation (4) into pola</w:t>
      </w:r>
      <w:r>
        <w:rPr>
          <w:rFonts w:ascii="Arial" w:hAnsi="Arial" w:cs="Arial"/>
          <w:b w:val="0"/>
          <w:sz w:val="24"/>
          <w:lang w:val="en-US"/>
        </w:rPr>
        <w:t xml:space="preserve">r form by the formulas of </w:t>
      </w:r>
      <w:r w:rsidRPr="0021647A">
        <w:rPr>
          <w:rFonts w:ascii="Arial" w:hAnsi="Arial" w:cs="Arial"/>
          <w:b w:val="0"/>
          <w:sz w:val="24"/>
          <w:lang w:val="en-US"/>
        </w:rPr>
        <w:t xml:space="preserve">polar transformation given by </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E6125C" w:rsidRDefault="00575A88" w:rsidP="00575A88">
      <w:pPr>
        <w:jc w:val="right"/>
        <w:rPr>
          <w:rFonts w:ascii="Arial" w:hAnsi="Arial" w:cs="Arial"/>
          <w:lang w:val="en-US" w:eastAsia="sk-SK"/>
        </w:rPr>
      </w:pPr>
      <w:r w:rsidRPr="0021647A">
        <w:rPr>
          <w:rFonts w:ascii="Arial" w:hAnsi="Arial" w:cs="Arial"/>
          <w:position w:val="-10"/>
          <w:lang w:val="en-US" w:eastAsia="sk-SK"/>
        </w:rPr>
        <w:object w:dxaOrig="3920" w:dyaOrig="320">
          <v:shape id="_x0000_i1291" type="#_x0000_t75" style="width:194.4pt;height:14.4pt" o:ole="">
            <v:imagedata r:id="rId722" o:title=""/>
          </v:shape>
          <o:OLEObject Type="Embed" ProgID="Equation.3" ShapeID="_x0000_i1291" DrawAspect="Content" ObjectID="_1660649388" r:id="rId723"/>
        </w:object>
      </w:r>
      <w:r w:rsidRPr="00E6125C">
        <w:rPr>
          <w:rFonts w:ascii="Arial" w:hAnsi="Arial" w:cs="Arial"/>
          <w:lang w:val="en-US" w:eastAsia="sk-SK"/>
        </w:rPr>
        <w:t xml:space="preserve">     .                                  (6)</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rPr>
          <w:rFonts w:ascii="Arial" w:hAnsi="Arial" w:cs="Arial"/>
          <w:lang w:val="en-US" w:eastAsia="sk-SK"/>
        </w:rPr>
      </w:pPr>
      <w:r w:rsidRPr="0021647A">
        <w:rPr>
          <w:rFonts w:ascii="Arial" w:hAnsi="Arial" w:cs="Arial"/>
          <w:lang w:val="en-US" w:eastAsia="sk-SK"/>
        </w:rPr>
        <w:t>Using (6) equation (4) is expressed in the form</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equation"/>
        <w:spacing w:before="0" w:after="0" w:line="240" w:lineRule="auto"/>
        <w:jc w:val="right"/>
        <w:rPr>
          <w:rFonts w:ascii="Arial" w:hAnsi="Arial" w:cs="Arial"/>
          <w:sz w:val="24"/>
          <w:szCs w:val="24"/>
        </w:rPr>
      </w:pPr>
      <w:r>
        <w:rPr>
          <w:rFonts w:ascii="Arial" w:hAnsi="Arial" w:cs="Arial"/>
          <w:position w:val="-18"/>
          <w:sz w:val="24"/>
          <w:szCs w:val="24"/>
          <w:lang w:val="en-GB"/>
        </w:rPr>
        <w:t xml:space="preserve">  </w:t>
      </w:r>
      <w:r w:rsidRPr="0021647A">
        <w:rPr>
          <w:rFonts w:ascii="Arial" w:hAnsi="Arial" w:cs="Arial"/>
          <w:position w:val="-18"/>
          <w:sz w:val="24"/>
          <w:szCs w:val="24"/>
          <w:lang w:val="en-GB"/>
        </w:rPr>
        <w:t xml:space="preserve">                        </w:t>
      </w:r>
      <w:r w:rsidRPr="0021647A">
        <w:rPr>
          <w:rFonts w:ascii="Arial" w:hAnsi="Arial" w:cs="Arial"/>
          <w:position w:val="-26"/>
          <w:sz w:val="24"/>
          <w:szCs w:val="24"/>
          <w:lang w:val="en-GB"/>
        </w:rPr>
        <w:object w:dxaOrig="4420" w:dyaOrig="639">
          <v:shape id="_x0000_i1292" type="#_x0000_t75" style="width:223.2pt;height:36pt" o:ole="">
            <v:imagedata r:id="rId724" o:title=""/>
          </v:shape>
          <o:OLEObject Type="Embed" ProgID="Equation.3" ShapeID="_x0000_i1292" DrawAspect="Content" ObjectID="_1660649389" r:id="rId725"/>
        </w:object>
      </w:r>
      <w:r w:rsidRPr="0021647A">
        <w:rPr>
          <w:rFonts w:ascii="Arial" w:hAnsi="Arial" w:cs="Arial"/>
          <w:sz w:val="24"/>
          <w:szCs w:val="24"/>
          <w:lang w:val="en-GB"/>
        </w:rPr>
        <w:t xml:space="preserve">      </w:t>
      </w:r>
      <w:r w:rsidRPr="0021647A">
        <w:rPr>
          <w:rFonts w:ascii="Arial" w:hAnsi="Arial" w:cs="Arial"/>
          <w:sz w:val="24"/>
          <w:szCs w:val="24"/>
        </w:rPr>
        <w:t xml:space="preserve">in   </w:t>
      </w:r>
      <w:r w:rsidRPr="0021647A">
        <w:rPr>
          <w:rFonts w:ascii="Arial" w:hAnsi="Arial" w:cs="Arial"/>
          <w:position w:val="-14"/>
          <w:sz w:val="24"/>
          <w:szCs w:val="24"/>
        </w:rPr>
        <w:object w:dxaOrig="360" w:dyaOrig="380">
          <v:shape id="_x0000_i1293" type="#_x0000_t75" style="width:21.6pt;height:21.6pt" o:ole="">
            <v:imagedata r:id="rId726" o:title=""/>
          </v:shape>
          <o:OLEObject Type="Embed" ProgID="Equation.3" ShapeID="_x0000_i1293" DrawAspect="Content" ObjectID="_1660649390" r:id="rId727"/>
        </w:object>
      </w:r>
      <w:r w:rsidRPr="0021647A">
        <w:rPr>
          <w:rFonts w:ascii="Arial" w:hAnsi="Arial" w:cs="Arial"/>
          <w:sz w:val="24"/>
          <w:szCs w:val="24"/>
        </w:rPr>
        <w:t xml:space="preserve">   ,                      (7)</w:t>
      </w:r>
    </w:p>
    <w:p w:rsidR="00575A88" w:rsidRDefault="00575A88" w:rsidP="00575A88">
      <w:pPr>
        <w:pStyle w:val="equation"/>
        <w:spacing w:before="0" w:after="0" w:line="240" w:lineRule="auto"/>
        <w:jc w:val="left"/>
        <w:rPr>
          <w:rFonts w:ascii="Arial" w:hAnsi="Arial" w:cs="Arial"/>
          <w:sz w:val="24"/>
          <w:szCs w:val="24"/>
        </w:rPr>
      </w:pPr>
      <w:r w:rsidRPr="0021647A">
        <w:rPr>
          <w:rFonts w:ascii="Arial" w:hAnsi="Arial" w:cs="Arial"/>
          <w:sz w:val="24"/>
          <w:szCs w:val="24"/>
        </w:rPr>
        <w:t>where now</w:t>
      </w:r>
    </w:p>
    <w:p w:rsidR="00575A88" w:rsidRDefault="00575A88" w:rsidP="00575A88">
      <w:pPr>
        <w:pStyle w:val="equation"/>
        <w:spacing w:before="0" w:after="0" w:line="240" w:lineRule="auto"/>
        <w:rPr>
          <w:rFonts w:ascii="Arial" w:hAnsi="Arial" w:cs="Arial"/>
          <w:sz w:val="24"/>
          <w:szCs w:val="24"/>
        </w:rPr>
      </w:pPr>
      <w:r w:rsidRPr="0021647A">
        <w:rPr>
          <w:rFonts w:ascii="Arial" w:hAnsi="Arial" w:cs="Arial"/>
          <w:position w:val="-14"/>
          <w:sz w:val="24"/>
          <w:szCs w:val="24"/>
        </w:rPr>
        <w:object w:dxaOrig="5000" w:dyaOrig="380">
          <v:shape id="_x0000_i1294" type="#_x0000_t75" style="width:259.2pt;height:21.6pt" o:ole="">
            <v:imagedata r:id="rId728" o:title=""/>
          </v:shape>
          <o:OLEObject Type="Embed" ProgID="Equation.3" ShapeID="_x0000_i1294" DrawAspect="Content" ObjectID="_1660649391" r:id="rId729"/>
        </w:objec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equation"/>
        <w:spacing w:before="0" w:after="0" w:line="240" w:lineRule="auto"/>
        <w:jc w:val="left"/>
        <w:rPr>
          <w:rFonts w:ascii="Arial" w:hAnsi="Arial" w:cs="Arial"/>
          <w:sz w:val="24"/>
          <w:szCs w:val="24"/>
        </w:rPr>
      </w:pPr>
      <w:r w:rsidRPr="0021647A">
        <w:rPr>
          <w:rFonts w:ascii="Arial" w:hAnsi="Arial" w:cs="Arial"/>
          <w:sz w:val="24"/>
          <w:szCs w:val="24"/>
        </w:rPr>
        <w:t>and the Dirichlet boundary condition is expressed in the form</w:t>
      </w:r>
    </w:p>
    <w:p w:rsidR="00575A88" w:rsidRDefault="00575A88" w:rsidP="00575A88">
      <w:pPr>
        <w:tabs>
          <w:tab w:val="left" w:pos="288"/>
        </w:tabs>
        <w:spacing w:line="160" w:lineRule="exact"/>
        <w:jc w:val="both"/>
        <w:rPr>
          <w:rFonts w:ascii="Arial" w:eastAsia="MS Mincho" w:hAnsi="Arial" w:cs="Arial"/>
          <w:spacing w:val="-1"/>
          <w:lang w:val="en-US" w:eastAsia="sk-SK"/>
        </w:rPr>
      </w:pPr>
      <w:r w:rsidRPr="00420623">
        <w:rPr>
          <w:rFonts w:ascii="Arial" w:hAnsi="Arial" w:cs="Arial"/>
          <w:lang w:val="en-US"/>
        </w:rPr>
        <w:t xml:space="preserve"> </w:t>
      </w:r>
    </w:p>
    <w:p w:rsidR="00575A88" w:rsidRPr="00575A88" w:rsidRDefault="00575A88" w:rsidP="00575A88">
      <w:pPr>
        <w:tabs>
          <w:tab w:val="left" w:pos="288"/>
        </w:tabs>
        <w:jc w:val="right"/>
        <w:rPr>
          <w:rFonts w:ascii="Arial" w:eastAsia="MS Mincho" w:hAnsi="Arial" w:cs="Arial"/>
          <w:spacing w:val="-1"/>
          <w:lang w:val="en-US" w:eastAsia="sk-SK"/>
        </w:rPr>
      </w:pPr>
      <w:r w:rsidRPr="0021647A">
        <w:rPr>
          <w:rFonts w:ascii="Arial" w:eastAsia="MS Mincho" w:hAnsi="Arial" w:cs="Arial"/>
          <w:spacing w:val="-1"/>
          <w:lang w:val="en-US" w:eastAsia="sk-SK"/>
        </w:rPr>
        <w:t xml:space="preserve">                                     </w:t>
      </w:r>
      <w:r w:rsidRPr="0021647A">
        <w:rPr>
          <w:rFonts w:ascii="Arial" w:eastAsia="MS Mincho" w:hAnsi="Arial" w:cs="Arial"/>
          <w:spacing w:val="-1"/>
          <w:position w:val="-10"/>
          <w:lang w:val="en-US" w:eastAsia="sk-SK"/>
        </w:rPr>
        <w:object w:dxaOrig="3940" w:dyaOrig="320">
          <v:shape id="_x0000_i1295" type="#_x0000_t75" style="width:194.4pt;height:14.4pt" o:ole="">
            <v:imagedata r:id="rId730" o:title=""/>
          </v:shape>
          <o:OLEObject Type="Embed" ProgID="Equation.3" ShapeID="_x0000_i1295" DrawAspect="Content" ObjectID="_1660649392" r:id="rId731"/>
        </w:object>
      </w:r>
      <w:r w:rsidRPr="00575A88">
        <w:rPr>
          <w:rFonts w:ascii="Arial" w:eastAsia="MS Mincho" w:hAnsi="Arial" w:cs="Arial"/>
          <w:spacing w:val="-1"/>
          <w:lang w:val="en-US" w:eastAsia="sk-SK"/>
        </w:rPr>
        <w:t xml:space="preserve">     .                                   (8)</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tabs>
          <w:tab w:val="left" w:pos="288"/>
        </w:tabs>
        <w:jc w:val="both"/>
        <w:rPr>
          <w:rFonts w:ascii="Arial" w:eastAsia="MS Mincho" w:hAnsi="Arial" w:cs="Arial"/>
          <w:spacing w:val="-1"/>
          <w:lang w:val="en-US" w:eastAsia="sk-SK"/>
        </w:rPr>
      </w:pPr>
      <w:r w:rsidRPr="0021647A">
        <w:rPr>
          <w:rFonts w:ascii="Arial" w:eastAsia="MS Mincho" w:hAnsi="Arial" w:cs="Arial"/>
          <w:spacing w:val="-1"/>
          <w:lang w:val="en-US" w:eastAsia="sk-SK"/>
        </w:rPr>
        <w:t xml:space="preserve">According to circular shape of domain  </w:t>
      </w:r>
      <w:r w:rsidRPr="0021647A">
        <w:rPr>
          <w:rFonts w:ascii="Arial" w:hAnsi="Arial" w:cs="Arial"/>
          <w:position w:val="-14"/>
        </w:rPr>
        <w:object w:dxaOrig="360" w:dyaOrig="380">
          <v:shape id="_x0000_i1296" type="#_x0000_t75" style="width:21.6pt;height:21.6pt" o:ole="">
            <v:imagedata r:id="rId726" o:title=""/>
          </v:shape>
          <o:OLEObject Type="Embed" ProgID="Equation.3" ShapeID="_x0000_i1296" DrawAspect="Content" ObjectID="_1660649393" r:id="rId732"/>
        </w:object>
      </w:r>
      <w:r w:rsidRPr="0021647A">
        <w:rPr>
          <w:rFonts w:ascii="Arial" w:hAnsi="Arial" w:cs="Arial"/>
          <w:position w:val="-4"/>
          <w:lang w:val="en-US"/>
        </w:rPr>
        <w:t xml:space="preserve"> </w:t>
      </w:r>
      <w:r>
        <w:rPr>
          <w:rFonts w:ascii="Arial" w:hAnsi="Arial" w:cs="Arial"/>
          <w:position w:val="-4"/>
          <w:lang w:val="en-US"/>
        </w:rPr>
        <w:t xml:space="preserve"> </w:t>
      </w:r>
      <w:r w:rsidRPr="0021647A">
        <w:rPr>
          <w:rFonts w:ascii="Arial" w:eastAsia="MS Mincho" w:hAnsi="Arial" w:cs="Arial"/>
          <w:spacing w:val="-1"/>
          <w:lang w:val="en-US" w:eastAsia="sk-SK"/>
        </w:rPr>
        <w:t>new conditions are appeared in the forms</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816D55" w:rsidRDefault="00575A88" w:rsidP="00575A88">
      <w:pPr>
        <w:tabs>
          <w:tab w:val="left" w:pos="288"/>
        </w:tabs>
        <w:jc w:val="right"/>
        <w:rPr>
          <w:rFonts w:ascii="Arial" w:eastAsia="MS Mincho" w:hAnsi="Arial" w:cs="Arial"/>
          <w:spacing w:val="-1"/>
          <w:lang w:val="en-US" w:eastAsia="sk-SK"/>
        </w:rPr>
      </w:pPr>
      <w:r>
        <w:rPr>
          <w:rFonts w:ascii="Arial" w:eastAsia="MS Mincho" w:hAnsi="Arial" w:cs="Arial"/>
          <w:spacing w:val="-1"/>
          <w:lang w:val="en-US" w:eastAsia="sk-SK"/>
        </w:rPr>
        <w:t xml:space="preserve">                                          </w:t>
      </w:r>
      <w:r w:rsidRPr="0021647A">
        <w:rPr>
          <w:rFonts w:ascii="Arial" w:eastAsia="MS Mincho" w:hAnsi="Arial" w:cs="Arial"/>
          <w:spacing w:val="-1"/>
          <w:position w:val="-10"/>
          <w:lang w:val="en-US" w:eastAsia="sk-SK"/>
        </w:rPr>
        <w:object w:dxaOrig="3620" w:dyaOrig="320">
          <v:shape id="_x0000_i1297" type="#_x0000_t75" style="width:180pt;height:14.4pt" o:ole="">
            <v:imagedata r:id="rId733" o:title=""/>
          </v:shape>
          <o:OLEObject Type="Embed" ProgID="Equation.3" ShapeID="_x0000_i1297" DrawAspect="Content" ObjectID="_1660649394" r:id="rId734"/>
        </w:object>
      </w:r>
      <w:r w:rsidRPr="00816D55">
        <w:rPr>
          <w:rFonts w:ascii="Arial" w:eastAsia="MS Mincho" w:hAnsi="Arial" w:cs="Arial"/>
          <w:spacing w:val="-1"/>
          <w:lang w:val="en-US" w:eastAsia="sk-SK"/>
        </w:rPr>
        <w:t xml:space="preserve">   ,</w:t>
      </w:r>
      <w:r>
        <w:rPr>
          <w:rFonts w:ascii="Arial" w:eastAsia="MS Mincho" w:hAnsi="Arial" w:cs="Arial"/>
          <w:spacing w:val="-1"/>
          <w:lang w:val="en-US" w:eastAsia="sk-SK"/>
        </w:rPr>
        <w:t xml:space="preserve">                                     </w:t>
      </w:r>
      <w:r w:rsidRPr="00816D55">
        <w:rPr>
          <w:rFonts w:ascii="Arial" w:eastAsia="MS Mincho" w:hAnsi="Arial" w:cs="Arial"/>
          <w:spacing w:val="-1"/>
          <w:lang w:val="en-US" w:eastAsia="sk-SK"/>
        </w:rPr>
        <w:t xml:space="preserve">(9)                </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816D55" w:rsidRDefault="00575A88" w:rsidP="00575A88">
      <w:pPr>
        <w:tabs>
          <w:tab w:val="left" w:pos="288"/>
        </w:tabs>
        <w:jc w:val="right"/>
        <w:rPr>
          <w:rFonts w:ascii="Arial" w:eastAsia="MS Mincho" w:hAnsi="Arial" w:cs="Arial"/>
          <w:spacing w:val="-1"/>
          <w:lang w:val="en-US" w:eastAsia="sk-SK"/>
        </w:rPr>
      </w:pPr>
      <w:r w:rsidRPr="0021647A">
        <w:rPr>
          <w:rFonts w:ascii="Arial" w:hAnsi="Arial" w:cs="Arial"/>
          <w:position w:val="-4"/>
          <w:lang w:val="en-US"/>
        </w:rPr>
        <w:t xml:space="preserve">  </w:t>
      </w:r>
      <w:r w:rsidRPr="0021647A">
        <w:rPr>
          <w:rFonts w:ascii="Arial" w:eastAsia="MS Mincho" w:hAnsi="Arial" w:cs="Arial"/>
          <w:spacing w:val="-1"/>
          <w:lang w:val="en-US" w:eastAsia="sk-SK"/>
        </w:rPr>
        <w:t xml:space="preserve"> </w:t>
      </w:r>
      <w:r w:rsidRPr="0021647A">
        <w:rPr>
          <w:rFonts w:ascii="Arial" w:eastAsia="MS Mincho" w:hAnsi="Arial" w:cs="Arial"/>
          <w:spacing w:val="-1"/>
          <w:position w:val="-10"/>
          <w:lang w:val="en-US" w:eastAsia="sk-SK"/>
        </w:rPr>
        <w:object w:dxaOrig="3760" w:dyaOrig="320">
          <v:shape id="_x0000_i1298" type="#_x0000_t75" style="width:187.2pt;height:14.4pt" o:ole="">
            <v:imagedata r:id="rId735" o:title=""/>
          </v:shape>
          <o:OLEObject Type="Embed" ProgID="Equation.3" ShapeID="_x0000_i1298" DrawAspect="Content" ObjectID="_1660649395" r:id="rId736"/>
        </w:object>
      </w:r>
      <w:r w:rsidRPr="00816D55">
        <w:rPr>
          <w:rFonts w:ascii="Arial" w:eastAsia="MS Mincho" w:hAnsi="Arial" w:cs="Arial"/>
          <w:spacing w:val="-1"/>
          <w:lang w:val="en-US" w:eastAsia="sk-SK"/>
        </w:rPr>
        <w:t xml:space="preserve">   .  </w:t>
      </w:r>
      <w:r>
        <w:rPr>
          <w:rFonts w:ascii="Arial" w:eastAsia="MS Mincho" w:hAnsi="Arial" w:cs="Arial"/>
          <w:spacing w:val="-1"/>
          <w:lang w:val="en-US" w:eastAsia="sk-SK"/>
        </w:rPr>
        <w:t xml:space="preserve">                             </w:t>
      </w:r>
      <w:r w:rsidRPr="00816D55">
        <w:rPr>
          <w:rFonts w:ascii="Arial" w:eastAsia="MS Mincho" w:hAnsi="Arial" w:cs="Arial"/>
          <w:spacing w:val="-1"/>
          <w:lang w:val="en-US" w:eastAsia="sk-SK"/>
        </w:rPr>
        <w:t xml:space="preserve">   (10)</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rPr>
          <w:rFonts w:ascii="Arial" w:hAnsi="Arial" w:cs="Arial"/>
          <w:lang w:val="en-US" w:eastAsia="sk-SK"/>
        </w:rPr>
      </w:pPr>
      <w:r w:rsidRPr="0021647A">
        <w:rPr>
          <w:rFonts w:ascii="Arial" w:hAnsi="Arial" w:cs="Arial"/>
          <w:lang w:val="en-US" w:eastAsia="sk-SK"/>
        </w:rPr>
        <w:t>Using (6) functional (5) is expressed in the form</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Textoindependiente"/>
        <w:ind w:firstLine="567"/>
        <w:jc w:val="right"/>
        <w:rPr>
          <w:rStyle w:val="TextoindependienteCar"/>
          <w:rFonts w:ascii="Arial" w:hAnsi="Arial" w:cs="Arial"/>
          <w:sz w:val="24"/>
          <w:lang w:val="en-US"/>
        </w:rPr>
      </w:pPr>
      <w:r w:rsidRPr="0021647A">
        <w:rPr>
          <w:rFonts w:ascii="Arial" w:hAnsi="Arial" w:cs="Arial"/>
          <w:position w:val="-36"/>
          <w:sz w:val="24"/>
          <w:lang w:val="en-US"/>
        </w:rPr>
        <w:lastRenderedPageBreak/>
        <w:t xml:space="preserve">             </w:t>
      </w:r>
      <w:r w:rsidRPr="0021647A">
        <w:rPr>
          <w:rFonts w:ascii="Arial" w:hAnsi="Arial" w:cs="Arial"/>
          <w:position w:val="-52"/>
          <w:sz w:val="24"/>
          <w:lang w:val="en-GB"/>
        </w:rPr>
        <w:object w:dxaOrig="6140" w:dyaOrig="999">
          <v:shape id="_x0000_i1299" type="#_x0000_t75" style="width:4in;height:43.2pt" o:ole="">
            <v:imagedata r:id="rId737" o:title=""/>
          </v:shape>
          <o:OLEObject Type="Embed" ProgID="Equation.3" ShapeID="_x0000_i1299" DrawAspect="Content" ObjectID="_1660649396" r:id="rId738"/>
        </w:object>
      </w:r>
      <w:r w:rsidRPr="0021647A">
        <w:rPr>
          <w:rFonts w:ascii="Arial" w:hAnsi="Arial" w:cs="Arial"/>
          <w:sz w:val="24"/>
          <w:lang w:val="en-US"/>
        </w:rPr>
        <w:t xml:space="preserve">   </w:t>
      </w:r>
      <w:r w:rsidRPr="0021647A">
        <w:rPr>
          <w:rFonts w:ascii="Arial" w:hAnsi="Arial" w:cs="Arial"/>
          <w:b w:val="0"/>
          <w:sz w:val="24"/>
          <w:lang w:val="en-US"/>
        </w:rPr>
        <w:t xml:space="preserve">.                       </w:t>
      </w:r>
      <w:r>
        <w:rPr>
          <w:rStyle w:val="TextoindependienteCar"/>
          <w:rFonts w:ascii="Arial" w:hAnsi="Arial" w:cs="Arial"/>
          <w:sz w:val="24"/>
          <w:lang w:val="en-US"/>
        </w:rPr>
        <w:t>(11</w:t>
      </w:r>
      <w:r w:rsidRPr="0021647A">
        <w:rPr>
          <w:rStyle w:val="TextoindependienteCar"/>
          <w:rFonts w:ascii="Arial" w:hAnsi="Arial" w:cs="Arial"/>
          <w:sz w:val="24"/>
          <w:lang w:val="en-US"/>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EF1D6B" w:rsidRDefault="00575A88" w:rsidP="00575A88">
      <w:pPr>
        <w:pStyle w:val="Textoindependiente"/>
        <w:ind w:firstLine="567"/>
        <w:jc w:val="center"/>
        <w:rPr>
          <w:rFonts w:ascii="Arial" w:hAnsi="Arial" w:cs="Arial"/>
          <w:b w:val="0"/>
          <w:sz w:val="24"/>
          <w:lang w:val="en-GB"/>
        </w:rPr>
      </w:pPr>
    </w:p>
    <w:p w:rsidR="00575A88" w:rsidRPr="00FF1F2D" w:rsidRDefault="00575A88" w:rsidP="00AB59B2">
      <w:pPr>
        <w:pStyle w:val="1Titulo"/>
        <w:numPr>
          <w:ilvl w:val="0"/>
          <w:numId w:val="0"/>
        </w:numPr>
        <w:ind w:left="357"/>
        <w:rPr>
          <w:lang w:val="en-US"/>
        </w:rPr>
      </w:pPr>
      <w:bookmarkStart w:id="183" w:name="_Toc50031274"/>
      <w:r w:rsidRPr="00FF1F2D">
        <w:rPr>
          <w:lang w:val="en-US"/>
        </w:rPr>
        <w:t>4. Results and discussion</w:t>
      </w:r>
      <w:bookmarkEnd w:id="183"/>
      <w:r w:rsidRPr="00FF1F2D">
        <w:rPr>
          <w:lang w:val="en-US"/>
        </w:rPr>
        <w:t xml:space="preserve">  </w:t>
      </w:r>
    </w:p>
    <w:p w:rsidR="00575A88" w:rsidRDefault="00575A88" w:rsidP="00575A88">
      <w:pPr>
        <w:pStyle w:val="Textoindependiente"/>
        <w:ind w:firstLine="567"/>
        <w:jc w:val="both"/>
        <w:rPr>
          <w:rFonts w:ascii="Arial" w:hAnsi="Arial" w:cs="Arial"/>
          <w:b w:val="0"/>
          <w:sz w:val="24"/>
          <w:lang w:val="en-GB"/>
        </w:rPr>
      </w:pPr>
      <w:r w:rsidRPr="0021647A">
        <w:rPr>
          <w:rFonts w:ascii="Arial" w:hAnsi="Arial" w:cs="Arial"/>
          <w:b w:val="0"/>
          <w:sz w:val="24"/>
          <w:lang w:val="en-GB"/>
        </w:rPr>
        <w:t xml:space="preserve">Discrete methods are applied for numerical analysis of the problem. They are very convenient because in the case of practical problems input data are measured in discrete points. On the domain </w:t>
      </w:r>
      <w:r w:rsidRPr="0021647A">
        <w:rPr>
          <w:rFonts w:ascii="Arial" w:hAnsi="Arial" w:cs="Arial"/>
          <w:position w:val="-14"/>
          <w:sz w:val="24"/>
        </w:rPr>
        <w:object w:dxaOrig="360" w:dyaOrig="380">
          <v:shape id="_x0000_i1300" type="#_x0000_t75" style="width:21.6pt;height:21.6pt" o:ole="">
            <v:imagedata r:id="rId726" o:title=""/>
          </v:shape>
          <o:OLEObject Type="Embed" ProgID="Equation.3" ShapeID="_x0000_i1300" DrawAspect="Content" ObjectID="_1660649397" r:id="rId739"/>
        </w:object>
      </w:r>
      <w:r w:rsidRPr="0021647A">
        <w:rPr>
          <w:rFonts w:ascii="Arial" w:hAnsi="Arial" w:cs="Arial"/>
          <w:b w:val="0"/>
          <w:sz w:val="24"/>
          <w:lang w:val="en-GB"/>
        </w:rPr>
        <w:t xml:space="preserve"> is considered grid consist of rectangles  </w:t>
      </w:r>
      <w:r w:rsidRPr="0021647A">
        <w:rPr>
          <w:rFonts w:ascii="Arial" w:hAnsi="Arial" w:cs="Arial"/>
          <w:b w:val="0"/>
          <w:snapToGrid w:val="0"/>
          <w:position w:val="-10"/>
          <w:sz w:val="24"/>
          <w:lang w:val="en-GB"/>
        </w:rPr>
        <w:object w:dxaOrig="3720" w:dyaOrig="340">
          <v:shape id="_x0000_i1301" type="#_x0000_t75" style="width:187.2pt;height:14.4pt" o:ole="">
            <v:imagedata r:id="rId740" o:title=""/>
          </v:shape>
          <o:OLEObject Type="Embed" ProgID="Equation.3" ShapeID="_x0000_i1301" DrawAspect="Content" ObjectID="_1660649398" r:id="rId741"/>
        </w:object>
      </w:r>
      <w:r w:rsidRPr="0021647A">
        <w:rPr>
          <w:rFonts w:ascii="Arial" w:hAnsi="Arial" w:cs="Arial"/>
          <w:b w:val="0"/>
          <w:sz w:val="24"/>
          <w:lang w:val="en-GB"/>
        </w:rPr>
        <w:t xml:space="preserve"> . The functional  </w:t>
      </w:r>
      <w:r w:rsidRPr="0021647A">
        <w:rPr>
          <w:rFonts w:ascii="Arial" w:hAnsi="Arial" w:cs="Arial"/>
          <w:b w:val="0"/>
          <w:position w:val="-6"/>
          <w:sz w:val="24"/>
          <w:lang w:val="en-GB"/>
        </w:rPr>
        <w:object w:dxaOrig="220" w:dyaOrig="279">
          <v:shape id="_x0000_i1302" type="#_x0000_t75" style="width:14.4pt;height:14.4pt" o:ole="">
            <v:imagedata r:id="rId742" o:title=""/>
          </v:shape>
          <o:OLEObject Type="Embed" ProgID="Equation.3" ShapeID="_x0000_i1302" DrawAspect="Content" ObjectID="_1660649399" r:id="rId743"/>
        </w:object>
      </w:r>
      <w:r w:rsidRPr="0021647A">
        <w:rPr>
          <w:rFonts w:ascii="Arial" w:hAnsi="Arial" w:cs="Arial"/>
          <w:b w:val="0"/>
          <w:sz w:val="24"/>
          <w:lang w:val="en-GB"/>
        </w:rPr>
        <w:t xml:space="preserve">  assume following discrete form</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09Equation"/>
        <w:numPr>
          <w:ilvl w:val="12"/>
          <w:numId w:val="0"/>
        </w:numPr>
        <w:spacing w:before="0"/>
        <w:jc w:val="right"/>
        <w:rPr>
          <w:rFonts w:ascii="Arial" w:hAnsi="Arial" w:cs="Arial"/>
          <w:sz w:val="24"/>
          <w:szCs w:val="24"/>
        </w:rPr>
      </w:pPr>
      <w:r w:rsidRPr="0021647A">
        <w:rPr>
          <w:rFonts w:ascii="Arial" w:hAnsi="Arial" w:cs="Arial"/>
          <w:sz w:val="24"/>
          <w:szCs w:val="24"/>
        </w:rPr>
        <w:t xml:space="preserve">                                      </w:t>
      </w:r>
      <w:r w:rsidRPr="0021647A">
        <w:rPr>
          <w:rFonts w:ascii="Arial" w:hAnsi="Arial" w:cs="Arial"/>
          <w:position w:val="-44"/>
          <w:sz w:val="24"/>
          <w:szCs w:val="24"/>
        </w:rPr>
        <w:object w:dxaOrig="3720" w:dyaOrig="960">
          <v:shape id="_x0000_i1303" type="#_x0000_t75" style="width:187.2pt;height:50.4pt" o:ole="">
            <v:imagedata r:id="rId744" o:title=""/>
          </v:shape>
          <o:OLEObject Type="Embed" ProgID="Equation.3" ShapeID="_x0000_i1303" DrawAspect="Content" ObjectID="_1660649400" r:id="rId745"/>
        </w:object>
      </w:r>
      <w:r w:rsidRPr="0021647A">
        <w:rPr>
          <w:rFonts w:ascii="Arial" w:hAnsi="Arial" w:cs="Arial"/>
          <w:sz w:val="24"/>
          <w:szCs w:val="24"/>
        </w:rPr>
        <w:t xml:space="preserve">     ,                                  </w:t>
      </w:r>
      <w:r>
        <w:rPr>
          <w:rFonts w:ascii="Arial" w:hAnsi="Arial" w:cs="Arial"/>
          <w:sz w:val="24"/>
          <w:szCs w:val="24"/>
        </w:rPr>
        <w:t>(12</w:t>
      </w:r>
      <w:r w:rsidRPr="0021647A">
        <w:rPr>
          <w:rFonts w:ascii="Arial" w:hAnsi="Arial" w:cs="Arial"/>
          <w:sz w:val="24"/>
          <w:szCs w:val="24"/>
        </w:rPr>
        <w:t>)</w:t>
      </w:r>
    </w:p>
    <w:p w:rsidR="00575A88" w:rsidRDefault="00575A88" w:rsidP="00575A88">
      <w:pPr>
        <w:pStyle w:val="09Equation"/>
        <w:numPr>
          <w:ilvl w:val="12"/>
          <w:numId w:val="0"/>
        </w:numPr>
        <w:spacing w:before="0"/>
        <w:rPr>
          <w:rFonts w:ascii="Arial" w:hAnsi="Arial" w:cs="Arial"/>
          <w:sz w:val="24"/>
          <w:szCs w:val="24"/>
        </w:rPr>
      </w:pPr>
      <w:r w:rsidRPr="0021647A">
        <w:rPr>
          <w:rFonts w:ascii="Arial" w:hAnsi="Arial" w:cs="Arial"/>
          <w:sz w:val="24"/>
          <w:szCs w:val="24"/>
        </w:rPr>
        <w:t>where</w:t>
      </w:r>
    </w:p>
    <w:p w:rsidR="00575A88" w:rsidRDefault="00575A88" w:rsidP="00575A88">
      <w:pPr>
        <w:pStyle w:val="equation"/>
        <w:spacing w:before="0" w:after="0" w:line="240" w:lineRule="auto"/>
        <w:jc w:val="right"/>
        <w:rPr>
          <w:rFonts w:ascii="Arial" w:hAnsi="Arial" w:cs="Arial"/>
          <w:position w:val="-14"/>
          <w:sz w:val="24"/>
          <w:szCs w:val="24"/>
        </w:rPr>
      </w:pPr>
      <w:r w:rsidRPr="0021647A">
        <w:rPr>
          <w:rFonts w:ascii="Arial" w:hAnsi="Arial" w:cs="Arial"/>
          <w:position w:val="-40"/>
          <w:sz w:val="24"/>
          <w:szCs w:val="24"/>
        </w:rPr>
        <w:object w:dxaOrig="6680" w:dyaOrig="920">
          <v:shape id="_x0000_i1304" type="#_x0000_t75" style="width:331.2pt;height:43.2pt" o:ole="">
            <v:imagedata r:id="rId746" o:title=""/>
          </v:shape>
          <o:OLEObject Type="Embed" ProgID="Equation.3" ShapeID="_x0000_i1304" DrawAspect="Content" ObjectID="_1660649401" r:id="rId747"/>
        </w:object>
      </w:r>
      <w:r>
        <w:rPr>
          <w:rFonts w:ascii="Arial" w:hAnsi="Arial" w:cs="Arial"/>
          <w:position w:val="-14"/>
          <w:sz w:val="24"/>
          <w:szCs w:val="24"/>
        </w:rPr>
        <w:t xml:space="preserve">               </w:t>
      </w:r>
      <w:r>
        <w:rPr>
          <w:rFonts w:ascii="Arial" w:hAnsi="Arial" w:cs="Arial"/>
          <w:sz w:val="24"/>
          <w:szCs w:val="24"/>
        </w:rPr>
        <w:t>(13</w:t>
      </w:r>
      <w:r w:rsidRPr="0021647A">
        <w:rPr>
          <w:rFonts w:ascii="Arial" w:hAnsi="Arial" w:cs="Arial"/>
          <w:sz w:val="24"/>
          <w:szCs w:val="24"/>
        </w:rPr>
        <w:t>)</w:t>
      </w:r>
      <w:r>
        <w:rPr>
          <w:rFonts w:ascii="Arial" w:hAnsi="Arial" w:cs="Arial"/>
          <w:position w:val="-14"/>
          <w:sz w:val="24"/>
          <w:szCs w:val="24"/>
        </w:rPr>
        <w:t xml:space="preserve">    </w:t>
      </w:r>
    </w:p>
    <w:p w:rsidR="00575A88" w:rsidRDefault="00575A88" w:rsidP="00575A88">
      <w:pPr>
        <w:pStyle w:val="Textoindependiente"/>
        <w:rPr>
          <w:rFonts w:ascii="Arial" w:eastAsia="Times New Roman" w:hAnsi="Arial" w:cs="Arial"/>
          <w:b w:val="0"/>
          <w:sz w:val="24"/>
          <w:lang w:val="en-US"/>
        </w:rPr>
      </w:pPr>
      <w:r>
        <w:rPr>
          <w:rFonts w:ascii="Arial" w:eastAsia="Times New Roman" w:hAnsi="Arial" w:cs="Arial"/>
          <w:b w:val="0"/>
          <w:sz w:val="24"/>
          <w:lang w:val="en-US"/>
        </w:rPr>
        <w:t>a</w:t>
      </w:r>
      <w:r w:rsidRPr="00A067CA">
        <w:rPr>
          <w:rFonts w:ascii="Arial" w:eastAsia="Times New Roman" w:hAnsi="Arial" w:cs="Arial"/>
          <w:b w:val="0"/>
          <w:sz w:val="24"/>
          <w:lang w:val="en-US"/>
        </w:rPr>
        <w:t>nd</w:t>
      </w:r>
    </w:p>
    <w:p w:rsidR="00575A88" w:rsidRDefault="00575A88" w:rsidP="00575A88">
      <w:pPr>
        <w:pStyle w:val="equation"/>
        <w:spacing w:before="0" w:after="0" w:line="240" w:lineRule="auto"/>
        <w:jc w:val="right"/>
        <w:rPr>
          <w:rFonts w:ascii="Arial" w:hAnsi="Arial" w:cs="Arial"/>
          <w:sz w:val="24"/>
          <w:szCs w:val="24"/>
        </w:rPr>
      </w:pPr>
      <w:r>
        <w:rPr>
          <w:rFonts w:ascii="Arial" w:hAnsi="Arial" w:cs="Arial"/>
          <w:position w:val="-16"/>
          <w:sz w:val="24"/>
          <w:szCs w:val="24"/>
        </w:rPr>
        <w:t xml:space="preserve">                                                   </w:t>
      </w:r>
      <w:r w:rsidRPr="00A067CA">
        <w:rPr>
          <w:rFonts w:ascii="Arial" w:hAnsi="Arial" w:cs="Arial"/>
          <w:position w:val="-14"/>
          <w:sz w:val="24"/>
          <w:szCs w:val="24"/>
        </w:rPr>
        <w:object w:dxaOrig="2260" w:dyaOrig="420">
          <v:shape id="_x0000_i1305" type="#_x0000_t75" style="width:115.2pt;height:21.6pt" o:ole="">
            <v:imagedata r:id="rId748" o:title=""/>
          </v:shape>
          <o:OLEObject Type="Embed" ProgID="Equation.3" ShapeID="_x0000_i1305" DrawAspect="Content" ObjectID="_1660649402" r:id="rId749"/>
        </w:object>
      </w:r>
      <w:r w:rsidRPr="0021647A">
        <w:rPr>
          <w:rFonts w:ascii="Arial" w:hAnsi="Arial" w:cs="Arial"/>
          <w:sz w:val="24"/>
          <w:szCs w:val="24"/>
        </w:rPr>
        <w:t xml:space="preserve">   ,</w:t>
      </w:r>
      <w:r>
        <w:rPr>
          <w:rFonts w:ascii="Arial" w:hAnsi="Arial" w:cs="Arial"/>
          <w:sz w:val="24"/>
          <w:szCs w:val="24"/>
        </w:rPr>
        <w:t xml:space="preserve">                                             (14</w:t>
      </w:r>
      <w:r w:rsidRPr="0021647A">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equation"/>
        <w:spacing w:before="0" w:after="0" w:line="240" w:lineRule="auto"/>
        <w:jc w:val="right"/>
        <w:rPr>
          <w:rFonts w:ascii="Arial" w:hAnsi="Arial" w:cs="Arial"/>
          <w:sz w:val="24"/>
          <w:szCs w:val="24"/>
        </w:rPr>
      </w:pPr>
      <w:r>
        <w:rPr>
          <w:rFonts w:ascii="Arial" w:hAnsi="Arial" w:cs="Arial"/>
          <w:position w:val="-16"/>
          <w:sz w:val="24"/>
          <w:szCs w:val="24"/>
        </w:rPr>
        <w:t xml:space="preserve">                                 </w:t>
      </w:r>
      <w:r w:rsidRPr="0021647A">
        <w:rPr>
          <w:rFonts w:ascii="Arial" w:hAnsi="Arial" w:cs="Arial"/>
          <w:position w:val="-16"/>
          <w:sz w:val="24"/>
          <w:szCs w:val="24"/>
        </w:rPr>
        <w:object w:dxaOrig="4720" w:dyaOrig="440">
          <v:shape id="_x0000_i1306" type="#_x0000_t75" style="width:237.6pt;height:21.6pt" o:ole="">
            <v:imagedata r:id="rId750" o:title=""/>
          </v:shape>
          <o:OLEObject Type="Embed" ProgID="Equation.3" ShapeID="_x0000_i1306" DrawAspect="Content" ObjectID="_1660649403" r:id="rId751"/>
        </w:object>
      </w:r>
      <w:r w:rsidRPr="0021647A">
        <w:rPr>
          <w:rFonts w:ascii="Arial" w:hAnsi="Arial" w:cs="Arial"/>
          <w:sz w:val="24"/>
          <w:szCs w:val="24"/>
        </w:rPr>
        <w:t xml:space="preserve">   ,</w:t>
      </w:r>
      <w:r>
        <w:rPr>
          <w:rFonts w:ascii="Arial" w:hAnsi="Arial" w:cs="Arial"/>
          <w:sz w:val="24"/>
          <w:szCs w:val="24"/>
        </w:rPr>
        <w:t xml:space="preserve">                          (15</w:t>
      </w:r>
      <w:r w:rsidRPr="0021647A">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equation"/>
        <w:spacing w:before="0" w:after="0" w:line="240" w:lineRule="auto"/>
        <w:jc w:val="right"/>
        <w:rPr>
          <w:rFonts w:ascii="Arial" w:hAnsi="Arial" w:cs="Arial"/>
          <w:sz w:val="24"/>
          <w:szCs w:val="24"/>
        </w:rPr>
      </w:pPr>
      <w:r>
        <w:rPr>
          <w:rFonts w:ascii="Arial" w:hAnsi="Arial" w:cs="Arial"/>
          <w:position w:val="-16"/>
          <w:sz w:val="24"/>
          <w:szCs w:val="24"/>
        </w:rPr>
        <w:t xml:space="preserve">                                 </w:t>
      </w:r>
      <w:r w:rsidRPr="00A067CA">
        <w:rPr>
          <w:rFonts w:ascii="Arial" w:hAnsi="Arial" w:cs="Arial"/>
          <w:position w:val="-14"/>
          <w:sz w:val="24"/>
          <w:szCs w:val="24"/>
        </w:rPr>
        <w:object w:dxaOrig="4760" w:dyaOrig="420">
          <v:shape id="_x0000_i1307" type="#_x0000_t75" style="width:237.6pt;height:21.6pt" o:ole="">
            <v:imagedata r:id="rId752" o:title=""/>
          </v:shape>
          <o:OLEObject Type="Embed" ProgID="Equation.3" ShapeID="_x0000_i1307" DrawAspect="Content" ObjectID="_1660649404" r:id="rId753"/>
        </w:object>
      </w:r>
      <w:r w:rsidRPr="0021647A">
        <w:rPr>
          <w:rFonts w:ascii="Arial" w:hAnsi="Arial" w:cs="Arial"/>
          <w:sz w:val="24"/>
          <w:szCs w:val="24"/>
        </w:rPr>
        <w:t xml:space="preserve">   ,        </w:t>
      </w:r>
      <w:r>
        <w:rPr>
          <w:rFonts w:ascii="Arial" w:hAnsi="Arial" w:cs="Arial"/>
          <w:sz w:val="24"/>
          <w:szCs w:val="24"/>
        </w:rPr>
        <w:t xml:space="preserve"> </w:t>
      </w:r>
      <w:r w:rsidRPr="0021647A">
        <w:rPr>
          <w:rFonts w:ascii="Arial" w:hAnsi="Arial" w:cs="Arial"/>
          <w:sz w:val="24"/>
          <w:szCs w:val="24"/>
        </w:rPr>
        <w:t xml:space="preserve">   </w:t>
      </w:r>
      <w:r>
        <w:rPr>
          <w:rFonts w:ascii="Arial" w:hAnsi="Arial" w:cs="Arial"/>
          <w:sz w:val="24"/>
          <w:szCs w:val="24"/>
        </w:rPr>
        <w:t xml:space="preserve">              (16</w:t>
      </w:r>
      <w:r w:rsidRPr="0021647A">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equation"/>
        <w:spacing w:before="0" w:after="0" w:line="240" w:lineRule="auto"/>
        <w:jc w:val="right"/>
        <w:rPr>
          <w:rFonts w:ascii="Arial" w:hAnsi="Arial" w:cs="Arial"/>
          <w:sz w:val="24"/>
          <w:szCs w:val="24"/>
        </w:rPr>
      </w:pPr>
      <w:r>
        <w:rPr>
          <w:rFonts w:ascii="Arial" w:hAnsi="Arial" w:cs="Arial"/>
          <w:position w:val="-16"/>
          <w:sz w:val="24"/>
          <w:szCs w:val="24"/>
        </w:rPr>
        <w:t xml:space="preserve">                                </w:t>
      </w:r>
      <w:r w:rsidRPr="00A067CA">
        <w:rPr>
          <w:rFonts w:ascii="Arial" w:hAnsi="Arial" w:cs="Arial"/>
          <w:position w:val="-14"/>
          <w:sz w:val="24"/>
          <w:szCs w:val="24"/>
        </w:rPr>
        <w:object w:dxaOrig="4780" w:dyaOrig="420">
          <v:shape id="_x0000_i1308" type="#_x0000_t75" style="width:237.6pt;height:21.6pt" o:ole="">
            <v:imagedata r:id="rId754" o:title=""/>
          </v:shape>
          <o:OLEObject Type="Embed" ProgID="Equation.3" ShapeID="_x0000_i1308" DrawAspect="Content" ObjectID="_1660649405" r:id="rId755"/>
        </w:object>
      </w:r>
      <w:r w:rsidRPr="0021647A">
        <w:rPr>
          <w:rFonts w:ascii="Arial" w:hAnsi="Arial" w:cs="Arial"/>
          <w:sz w:val="24"/>
          <w:szCs w:val="24"/>
        </w:rPr>
        <w:t xml:space="preserve">   ,   </w:t>
      </w:r>
      <w:r>
        <w:rPr>
          <w:rFonts w:ascii="Arial" w:hAnsi="Arial" w:cs="Arial"/>
          <w:sz w:val="24"/>
          <w:szCs w:val="24"/>
        </w:rPr>
        <w:t xml:space="preserve"> </w:t>
      </w:r>
      <w:r w:rsidRPr="0021647A">
        <w:rPr>
          <w:rFonts w:ascii="Arial" w:hAnsi="Arial" w:cs="Arial"/>
          <w:sz w:val="24"/>
          <w:szCs w:val="24"/>
        </w:rPr>
        <w:t xml:space="preserve">  </w:t>
      </w:r>
      <w:r>
        <w:rPr>
          <w:rFonts w:ascii="Arial" w:hAnsi="Arial" w:cs="Arial"/>
          <w:sz w:val="24"/>
          <w:szCs w:val="24"/>
        </w:rPr>
        <w:t xml:space="preserve">                    (17</w:t>
      </w:r>
      <w:r w:rsidRPr="0021647A">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equation"/>
        <w:spacing w:before="0" w:after="0" w:line="240" w:lineRule="auto"/>
        <w:jc w:val="right"/>
        <w:rPr>
          <w:rFonts w:ascii="Arial" w:hAnsi="Arial" w:cs="Arial"/>
          <w:sz w:val="24"/>
          <w:szCs w:val="24"/>
        </w:rPr>
      </w:pPr>
      <w:r>
        <w:rPr>
          <w:rFonts w:ascii="Arial" w:hAnsi="Arial" w:cs="Arial"/>
          <w:position w:val="-16"/>
          <w:sz w:val="24"/>
          <w:szCs w:val="24"/>
          <w:lang w:val="en-GB"/>
        </w:rPr>
        <w:t xml:space="preserve">                           </w:t>
      </w:r>
      <w:r w:rsidRPr="00872B3C">
        <w:rPr>
          <w:rFonts w:ascii="Arial" w:hAnsi="Arial" w:cs="Arial"/>
          <w:position w:val="-14"/>
          <w:sz w:val="24"/>
          <w:szCs w:val="24"/>
          <w:lang w:val="en-GB"/>
        </w:rPr>
        <w:object w:dxaOrig="5500" w:dyaOrig="420">
          <v:shape id="_x0000_i1309" type="#_x0000_t75" style="width:273.6pt;height:21.6pt" o:ole="">
            <v:imagedata r:id="rId756" o:title=""/>
          </v:shape>
          <o:OLEObject Type="Embed" ProgID="Equation.3" ShapeID="_x0000_i1309" DrawAspect="Content" ObjectID="_1660649406" r:id="rId757"/>
        </w:object>
      </w:r>
      <w:r w:rsidRPr="0021647A">
        <w:rPr>
          <w:rFonts w:ascii="Arial" w:hAnsi="Arial" w:cs="Arial"/>
          <w:sz w:val="24"/>
          <w:szCs w:val="24"/>
          <w:lang w:val="en-GB"/>
        </w:rPr>
        <w:t xml:space="preserve">   ,                 </w:t>
      </w:r>
      <w:r>
        <w:rPr>
          <w:rFonts w:ascii="Arial" w:hAnsi="Arial" w:cs="Arial"/>
          <w:sz w:val="24"/>
          <w:szCs w:val="24"/>
          <w:lang w:val="en-GB"/>
        </w:rPr>
        <w:t xml:space="preserve">    </w:t>
      </w:r>
      <w:r>
        <w:rPr>
          <w:rFonts w:ascii="Arial" w:hAnsi="Arial" w:cs="Arial"/>
          <w:sz w:val="24"/>
          <w:szCs w:val="24"/>
        </w:rPr>
        <w:t>(18</w:t>
      </w:r>
      <w:r w:rsidRPr="0021647A">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equation"/>
        <w:spacing w:before="0" w:after="0" w:line="240" w:lineRule="auto"/>
        <w:jc w:val="right"/>
        <w:rPr>
          <w:rFonts w:ascii="Arial" w:hAnsi="Arial" w:cs="Arial"/>
          <w:sz w:val="24"/>
          <w:szCs w:val="24"/>
        </w:rPr>
      </w:pPr>
      <w:r>
        <w:rPr>
          <w:rFonts w:ascii="Arial" w:hAnsi="Arial" w:cs="Arial"/>
          <w:position w:val="-16"/>
          <w:sz w:val="24"/>
          <w:szCs w:val="24"/>
          <w:lang w:val="en-GB"/>
        </w:rPr>
        <w:t xml:space="preserve">                           </w:t>
      </w:r>
      <w:r w:rsidRPr="00872B3C">
        <w:rPr>
          <w:rFonts w:ascii="Arial" w:hAnsi="Arial" w:cs="Arial"/>
          <w:position w:val="-14"/>
          <w:sz w:val="24"/>
          <w:szCs w:val="24"/>
          <w:lang w:val="en-GB"/>
        </w:rPr>
        <w:object w:dxaOrig="5580" w:dyaOrig="420">
          <v:shape id="_x0000_i1310" type="#_x0000_t75" style="width:280.8pt;height:21.6pt" o:ole="">
            <v:imagedata r:id="rId758" o:title=""/>
          </v:shape>
          <o:OLEObject Type="Embed" ProgID="Equation.3" ShapeID="_x0000_i1310" DrawAspect="Content" ObjectID="_1660649407" r:id="rId759"/>
        </w:object>
      </w:r>
      <w:r>
        <w:rPr>
          <w:rFonts w:ascii="Arial" w:hAnsi="Arial" w:cs="Arial"/>
          <w:position w:val="-16"/>
          <w:sz w:val="24"/>
          <w:szCs w:val="24"/>
          <w:lang w:val="en-GB"/>
        </w:rPr>
        <w:t xml:space="preserve">   </w:t>
      </w:r>
      <w:r>
        <w:rPr>
          <w:rFonts w:ascii="Arial" w:hAnsi="Arial" w:cs="Arial"/>
          <w:sz w:val="24"/>
          <w:szCs w:val="24"/>
        </w:rPr>
        <w:t xml:space="preserve">                   (19</w:t>
      </w:r>
      <w:r w:rsidRPr="0021647A">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equation"/>
        <w:spacing w:before="0" w:after="0" w:line="240" w:lineRule="auto"/>
        <w:jc w:val="left"/>
        <w:rPr>
          <w:rFonts w:ascii="Arial" w:hAnsi="Arial" w:cs="Arial"/>
          <w:sz w:val="24"/>
          <w:szCs w:val="24"/>
        </w:rPr>
      </w:pPr>
      <w:r w:rsidRPr="0021647A">
        <w:rPr>
          <w:rFonts w:ascii="Arial" w:hAnsi="Arial" w:cs="Arial"/>
          <w:sz w:val="24"/>
          <w:szCs w:val="24"/>
        </w:rPr>
        <w:tab/>
        <w:t>with the following discre</w:t>
      </w:r>
      <w:r>
        <w:rPr>
          <w:rFonts w:ascii="Arial" w:hAnsi="Arial" w:cs="Arial"/>
          <w:sz w:val="24"/>
          <w:szCs w:val="24"/>
        </w:rPr>
        <w:t>te form of boundary condition (8</w:t>
      </w:r>
      <w:r w:rsidRPr="0021647A">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equation"/>
        <w:spacing w:before="0" w:after="0" w:line="240" w:lineRule="auto"/>
        <w:jc w:val="right"/>
        <w:rPr>
          <w:rFonts w:ascii="Arial" w:hAnsi="Arial" w:cs="Arial"/>
          <w:sz w:val="24"/>
          <w:szCs w:val="24"/>
        </w:rPr>
      </w:pPr>
      <w:r w:rsidRPr="0008288F">
        <w:rPr>
          <w:rFonts w:ascii="Arial" w:hAnsi="Arial" w:cs="Arial"/>
          <w:position w:val="-16"/>
          <w:sz w:val="24"/>
          <w:szCs w:val="24"/>
        </w:rPr>
        <w:lastRenderedPageBreak/>
        <w:t xml:space="preserve">    </w:t>
      </w:r>
      <w:r>
        <w:rPr>
          <w:rFonts w:ascii="Arial" w:hAnsi="Arial" w:cs="Arial"/>
          <w:position w:val="-16"/>
          <w:sz w:val="24"/>
          <w:szCs w:val="24"/>
        </w:rPr>
        <w:t xml:space="preserve">                  </w:t>
      </w:r>
      <w:r w:rsidRPr="0008288F">
        <w:rPr>
          <w:rFonts w:ascii="Arial" w:hAnsi="Arial" w:cs="Arial"/>
          <w:position w:val="-16"/>
          <w:sz w:val="24"/>
          <w:szCs w:val="24"/>
        </w:rPr>
        <w:t xml:space="preserve">        </w:t>
      </w:r>
      <w:r w:rsidRPr="0008288F">
        <w:rPr>
          <w:rFonts w:ascii="Arial" w:hAnsi="Arial" w:cs="Arial"/>
          <w:position w:val="-16"/>
          <w:sz w:val="24"/>
          <w:szCs w:val="24"/>
        </w:rPr>
        <w:object w:dxaOrig="1939" w:dyaOrig="440">
          <v:shape id="_x0000_i1311" type="#_x0000_t75" style="width:100.8pt;height:21.6pt" o:ole="">
            <v:imagedata r:id="rId760" o:title=""/>
          </v:shape>
          <o:OLEObject Type="Embed" ProgID="Equation.3" ShapeID="_x0000_i1311" DrawAspect="Content" ObjectID="_1660649408" r:id="rId761"/>
        </w:object>
      </w:r>
      <w:r w:rsidRPr="0008288F">
        <w:rPr>
          <w:rFonts w:ascii="Arial" w:hAnsi="Arial" w:cs="Arial"/>
          <w:sz w:val="24"/>
          <w:szCs w:val="24"/>
        </w:rPr>
        <w:t xml:space="preserve">   ,     </w:t>
      </w:r>
      <w:r w:rsidRPr="0008288F">
        <w:rPr>
          <w:rFonts w:ascii="Arial" w:hAnsi="Arial" w:cs="Arial"/>
          <w:position w:val="-10"/>
          <w:sz w:val="24"/>
          <w:szCs w:val="24"/>
        </w:rPr>
        <w:object w:dxaOrig="1660" w:dyaOrig="320">
          <v:shape id="_x0000_i1312" type="#_x0000_t75" style="width:79.2pt;height:14.4pt" o:ole="">
            <v:imagedata r:id="rId762" o:title=""/>
          </v:shape>
          <o:OLEObject Type="Embed" ProgID="Equation.3" ShapeID="_x0000_i1312" DrawAspect="Content" ObjectID="_1660649409" r:id="rId763"/>
        </w:object>
      </w:r>
      <w:r w:rsidRPr="0008288F">
        <w:rPr>
          <w:rFonts w:ascii="Arial" w:hAnsi="Arial" w:cs="Arial"/>
          <w:sz w:val="24"/>
          <w:szCs w:val="24"/>
        </w:rPr>
        <w:t xml:space="preserve">                                 </w:t>
      </w:r>
      <w:r>
        <w:rPr>
          <w:rFonts w:ascii="Arial" w:hAnsi="Arial" w:cs="Arial"/>
          <w:sz w:val="24"/>
          <w:szCs w:val="24"/>
        </w:rPr>
        <w:t>(20</w:t>
      </w:r>
      <w:r w:rsidRPr="0008288F">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equation"/>
        <w:spacing w:before="0" w:after="0" w:line="240" w:lineRule="auto"/>
        <w:rPr>
          <w:rFonts w:ascii="Arial" w:hAnsi="Arial" w:cs="Arial"/>
          <w:sz w:val="24"/>
          <w:szCs w:val="24"/>
        </w:rPr>
      </w:pPr>
      <w:r>
        <w:rPr>
          <w:rFonts w:ascii="Arial" w:hAnsi="Arial" w:cs="Arial"/>
          <w:sz w:val="24"/>
          <w:szCs w:val="24"/>
        </w:rPr>
        <w:t>a</w:t>
      </w:r>
      <w:r w:rsidRPr="0008288F">
        <w:rPr>
          <w:rFonts w:ascii="Arial" w:hAnsi="Arial" w:cs="Arial"/>
          <w:sz w:val="24"/>
          <w:szCs w:val="24"/>
        </w:rPr>
        <w:t>nd</w:t>
      </w:r>
      <w:r>
        <w:rPr>
          <w:rFonts w:ascii="Arial" w:hAnsi="Arial" w:cs="Arial"/>
          <w:sz w:val="24"/>
          <w:szCs w:val="24"/>
        </w:rPr>
        <w:t xml:space="preserve"> conditions (9</w:t>
      </w:r>
      <w:r w:rsidRPr="0021647A">
        <w:rPr>
          <w:rFonts w:ascii="Arial" w:hAnsi="Arial" w:cs="Arial"/>
          <w:sz w:val="24"/>
          <w:szCs w:val="24"/>
        </w:rPr>
        <w:t>)</w:t>
      </w:r>
      <w:r>
        <w:rPr>
          <w:rFonts w:ascii="Arial" w:hAnsi="Arial" w:cs="Arial"/>
          <w:sz w:val="24"/>
          <w:szCs w:val="24"/>
        </w:rPr>
        <w:t xml:space="preserve"> and (10)</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equation"/>
        <w:spacing w:before="0" w:after="0" w:line="240" w:lineRule="auto"/>
        <w:jc w:val="right"/>
        <w:rPr>
          <w:rFonts w:ascii="Arial" w:hAnsi="Arial" w:cs="Arial"/>
          <w:sz w:val="24"/>
          <w:szCs w:val="24"/>
        </w:rPr>
      </w:pPr>
      <w:r>
        <w:rPr>
          <w:rFonts w:ascii="Arial" w:hAnsi="Arial" w:cs="Arial"/>
          <w:position w:val="-16"/>
          <w:sz w:val="24"/>
          <w:szCs w:val="24"/>
        </w:rPr>
        <w:t xml:space="preserve">  </w:t>
      </w:r>
      <w:r w:rsidRPr="00606512">
        <w:rPr>
          <w:rFonts w:ascii="Arial" w:hAnsi="Arial" w:cs="Arial"/>
          <w:position w:val="-14"/>
          <w:sz w:val="24"/>
          <w:szCs w:val="24"/>
        </w:rPr>
        <w:object w:dxaOrig="1600" w:dyaOrig="420">
          <v:shape id="_x0000_i1313" type="#_x0000_t75" style="width:79.2pt;height:21.6pt" o:ole="">
            <v:imagedata r:id="rId764" o:title=""/>
          </v:shape>
          <o:OLEObject Type="Embed" ProgID="Equation.3" ShapeID="_x0000_i1313" DrawAspect="Content" ObjectID="_1660649410" r:id="rId765"/>
        </w:object>
      </w:r>
      <w:r w:rsidRPr="00606512">
        <w:rPr>
          <w:rFonts w:ascii="Arial" w:hAnsi="Arial" w:cs="Arial"/>
          <w:sz w:val="24"/>
          <w:szCs w:val="24"/>
        </w:rPr>
        <w:t xml:space="preserve">   ,     </w:t>
      </w:r>
      <w:r>
        <w:rPr>
          <w:rFonts w:ascii="Arial" w:hAnsi="Arial" w:cs="Arial"/>
          <w:sz w:val="24"/>
          <w:szCs w:val="24"/>
        </w:rPr>
        <w:t xml:space="preserve">   </w:t>
      </w:r>
      <w:r w:rsidRPr="00606512">
        <w:rPr>
          <w:rFonts w:ascii="Arial" w:hAnsi="Arial" w:cs="Arial"/>
          <w:position w:val="-16"/>
          <w:sz w:val="24"/>
          <w:szCs w:val="24"/>
        </w:rPr>
        <w:t xml:space="preserve">     </w:t>
      </w:r>
      <w:r w:rsidRPr="00606512">
        <w:rPr>
          <w:rFonts w:ascii="Arial" w:hAnsi="Arial" w:cs="Arial"/>
          <w:position w:val="-10"/>
          <w:sz w:val="24"/>
          <w:szCs w:val="24"/>
        </w:rPr>
        <w:object w:dxaOrig="1560" w:dyaOrig="320">
          <v:shape id="_x0000_i1314" type="#_x0000_t75" style="width:79.2pt;height:14.4pt" o:ole="">
            <v:imagedata r:id="rId766" o:title=""/>
          </v:shape>
          <o:OLEObject Type="Embed" ProgID="Equation.3" ShapeID="_x0000_i1314" DrawAspect="Content" ObjectID="_1660649411" r:id="rId767"/>
        </w:object>
      </w:r>
      <w:r w:rsidRPr="00606512">
        <w:rPr>
          <w:rFonts w:ascii="Arial" w:hAnsi="Arial" w:cs="Arial"/>
          <w:sz w:val="24"/>
          <w:szCs w:val="24"/>
        </w:rPr>
        <w:t xml:space="preserve">   ,</w:t>
      </w:r>
      <w:r>
        <w:rPr>
          <w:rFonts w:ascii="Arial" w:hAnsi="Arial" w:cs="Arial"/>
          <w:sz w:val="24"/>
          <w:szCs w:val="24"/>
        </w:rPr>
        <w:t xml:space="preserve">                              (21</w:t>
      </w:r>
      <w:r w:rsidRPr="00C244A6">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equation"/>
        <w:spacing w:before="0" w:after="0" w:line="240" w:lineRule="auto"/>
        <w:jc w:val="right"/>
        <w:rPr>
          <w:rFonts w:ascii="Arial" w:hAnsi="Arial" w:cs="Arial"/>
          <w:sz w:val="24"/>
          <w:szCs w:val="24"/>
        </w:rPr>
      </w:pPr>
      <w:r>
        <w:rPr>
          <w:rFonts w:ascii="Arial" w:hAnsi="Arial" w:cs="Arial"/>
          <w:position w:val="-16"/>
          <w:sz w:val="24"/>
          <w:szCs w:val="24"/>
        </w:rPr>
        <w:t xml:space="preserve">    </w:t>
      </w:r>
      <w:r w:rsidRPr="00606512">
        <w:rPr>
          <w:rFonts w:ascii="Arial" w:hAnsi="Arial" w:cs="Arial"/>
          <w:position w:val="-14"/>
          <w:sz w:val="24"/>
          <w:szCs w:val="24"/>
        </w:rPr>
        <w:object w:dxaOrig="1520" w:dyaOrig="420">
          <v:shape id="_x0000_i1315" type="#_x0000_t75" style="width:79.2pt;height:21.6pt" o:ole="">
            <v:imagedata r:id="rId768" o:title=""/>
          </v:shape>
          <o:OLEObject Type="Embed" ProgID="Equation.3" ShapeID="_x0000_i1315" DrawAspect="Content" ObjectID="_1660649412" r:id="rId769"/>
        </w:object>
      </w:r>
      <w:r w:rsidRPr="00606512">
        <w:rPr>
          <w:rFonts w:ascii="Arial" w:hAnsi="Arial" w:cs="Arial"/>
          <w:sz w:val="24"/>
          <w:szCs w:val="24"/>
        </w:rPr>
        <w:t xml:space="preserve">   ,     </w:t>
      </w:r>
      <w:r>
        <w:rPr>
          <w:rFonts w:ascii="Arial" w:hAnsi="Arial" w:cs="Arial"/>
          <w:sz w:val="24"/>
          <w:szCs w:val="24"/>
        </w:rPr>
        <w:t xml:space="preserve">   </w:t>
      </w:r>
      <w:r w:rsidRPr="00606512">
        <w:rPr>
          <w:rFonts w:ascii="Arial" w:hAnsi="Arial" w:cs="Arial"/>
          <w:sz w:val="24"/>
          <w:szCs w:val="24"/>
        </w:rPr>
        <w:t xml:space="preserve">     </w:t>
      </w:r>
      <w:r w:rsidRPr="00606512">
        <w:rPr>
          <w:rFonts w:ascii="Arial" w:hAnsi="Arial" w:cs="Arial"/>
          <w:position w:val="-10"/>
          <w:sz w:val="24"/>
          <w:szCs w:val="24"/>
        </w:rPr>
        <w:object w:dxaOrig="1620" w:dyaOrig="320">
          <v:shape id="_x0000_i1316" type="#_x0000_t75" style="width:79.2pt;height:14.4pt" o:ole="">
            <v:imagedata r:id="rId770" o:title=""/>
          </v:shape>
          <o:OLEObject Type="Embed" ProgID="Equation.3" ShapeID="_x0000_i1316" DrawAspect="Content" ObjectID="_1660649413" r:id="rId771"/>
        </w:object>
      </w:r>
      <w:r>
        <w:rPr>
          <w:rFonts w:ascii="Arial" w:hAnsi="Arial" w:cs="Arial"/>
          <w:sz w:val="24"/>
          <w:szCs w:val="24"/>
        </w:rPr>
        <w:t xml:space="preserve">  </w:t>
      </w:r>
      <w:r w:rsidRPr="00606512">
        <w:rPr>
          <w:rFonts w:ascii="Arial" w:hAnsi="Arial" w:cs="Arial"/>
          <w:sz w:val="24"/>
          <w:szCs w:val="24"/>
        </w:rPr>
        <w:t xml:space="preserve"> </w:t>
      </w:r>
      <w:r w:rsidRPr="00C244A6">
        <w:rPr>
          <w:rFonts w:ascii="Arial" w:hAnsi="Arial" w:cs="Arial"/>
          <w:sz w:val="24"/>
          <w:szCs w:val="24"/>
        </w:rPr>
        <w:t>.</w:t>
      </w:r>
      <w:r>
        <w:rPr>
          <w:rFonts w:ascii="Arial" w:hAnsi="Arial" w:cs="Arial"/>
          <w:sz w:val="24"/>
          <w:szCs w:val="24"/>
        </w:rPr>
        <w:t xml:space="preserve">                       </w:t>
      </w:r>
      <w:r w:rsidRPr="00C244A6">
        <w:rPr>
          <w:rFonts w:ascii="Arial" w:hAnsi="Arial" w:cs="Arial"/>
          <w:sz w:val="24"/>
          <w:szCs w:val="24"/>
        </w:rPr>
        <w:t xml:space="preserve">       </w:t>
      </w:r>
      <w:r>
        <w:rPr>
          <w:rFonts w:ascii="Arial" w:hAnsi="Arial" w:cs="Arial"/>
          <w:sz w:val="24"/>
          <w:szCs w:val="24"/>
        </w:rPr>
        <w:t>(22</w:t>
      </w:r>
      <w:r w:rsidRPr="00C244A6">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Normln-Bodyofpaper"/>
        <w:ind w:firstLine="567"/>
        <w:rPr>
          <w:rFonts w:ascii="Arial" w:hAnsi="Arial"/>
          <w:sz w:val="24"/>
          <w:szCs w:val="24"/>
          <w:lang w:val="en-GB"/>
        </w:rPr>
      </w:pPr>
      <w:r w:rsidRPr="00144DE4">
        <w:rPr>
          <w:rFonts w:ascii="Arial" w:hAnsi="Arial"/>
          <w:sz w:val="24"/>
          <w:szCs w:val="24"/>
          <w:lang w:val="en-GB"/>
        </w:rPr>
        <w:t xml:space="preserve">Instead of finding the minimum of the functional  </w:t>
      </w:r>
      <w:r w:rsidRPr="00144DE4">
        <w:rPr>
          <w:rFonts w:ascii="Arial" w:hAnsi="Arial"/>
          <w:position w:val="-6"/>
          <w:sz w:val="24"/>
          <w:szCs w:val="24"/>
          <w:lang w:val="en-GB"/>
        </w:rPr>
        <w:object w:dxaOrig="220" w:dyaOrig="279">
          <v:shape id="_x0000_i1317" type="#_x0000_t75" style="width:7.2pt;height:14.4pt" o:ole="">
            <v:imagedata r:id="rId772" o:title=""/>
          </v:shape>
          <o:OLEObject Type="Embed" ProgID="Equation.3" ShapeID="_x0000_i1317" DrawAspect="Content" ObjectID="_1660649414" r:id="rId773"/>
        </w:object>
      </w:r>
      <w:r w:rsidRPr="00144DE4">
        <w:rPr>
          <w:rFonts w:ascii="Arial" w:hAnsi="Arial"/>
          <w:sz w:val="24"/>
          <w:szCs w:val="24"/>
          <w:lang w:val="en-GB"/>
        </w:rPr>
        <w:t xml:space="preserve">  no</w:t>
      </w:r>
      <w:r>
        <w:rPr>
          <w:rFonts w:ascii="Arial" w:hAnsi="Arial"/>
          <w:sz w:val="24"/>
          <w:szCs w:val="24"/>
          <w:lang w:val="en-GB"/>
        </w:rPr>
        <w:t>w the problem arises to find val</w:t>
      </w:r>
      <w:r w:rsidRPr="00144DE4">
        <w:rPr>
          <w:rFonts w:ascii="Arial" w:hAnsi="Arial"/>
          <w:sz w:val="24"/>
          <w:szCs w:val="24"/>
          <w:lang w:val="en-GB"/>
        </w:rPr>
        <w:t xml:space="preserve">ues  </w:t>
      </w:r>
      <w:r w:rsidRPr="00144DE4">
        <w:rPr>
          <w:rFonts w:ascii="Arial" w:hAnsi="Arial"/>
          <w:position w:val="-16"/>
          <w:sz w:val="24"/>
          <w:szCs w:val="24"/>
          <w:lang w:val="en-GB"/>
        </w:rPr>
        <w:object w:dxaOrig="440" w:dyaOrig="440">
          <v:shape id="_x0000_i1318" type="#_x0000_t75" style="width:21.6pt;height:21.6pt" o:ole="">
            <v:imagedata r:id="rId774" o:title=""/>
          </v:shape>
          <o:OLEObject Type="Embed" ProgID="Equation.3" ShapeID="_x0000_i1318" DrawAspect="Content" ObjectID="_1660649415" r:id="rId775"/>
        </w:object>
      </w:r>
      <w:r w:rsidRPr="00144DE4">
        <w:rPr>
          <w:rFonts w:ascii="Arial" w:hAnsi="Arial"/>
          <w:sz w:val="24"/>
          <w:szCs w:val="24"/>
          <w:lang w:val="en-GB"/>
        </w:rPr>
        <w:t xml:space="preserve">  which fulfil the</w:t>
      </w:r>
      <w:r>
        <w:rPr>
          <w:rFonts w:ascii="Arial" w:hAnsi="Arial"/>
          <w:sz w:val="24"/>
          <w:szCs w:val="24"/>
          <w:lang w:val="en-GB"/>
        </w:rPr>
        <w:t xml:space="preserve"> boundary conditions (20</w:t>
      </w:r>
      <w:r w:rsidRPr="00144DE4">
        <w:rPr>
          <w:rFonts w:ascii="Arial" w:hAnsi="Arial"/>
          <w:sz w:val="24"/>
          <w:szCs w:val="24"/>
          <w:lang w:val="en-GB"/>
        </w:rPr>
        <w:t>)</w:t>
      </w:r>
      <w:r>
        <w:rPr>
          <w:rFonts w:ascii="Arial" w:hAnsi="Arial"/>
          <w:sz w:val="24"/>
          <w:szCs w:val="24"/>
          <w:lang w:val="en-GB"/>
        </w:rPr>
        <w:t xml:space="preserve"> – (22) and such that (12</w:t>
      </w:r>
      <w:r w:rsidRPr="00144DE4">
        <w:rPr>
          <w:rFonts w:ascii="Arial" w:hAnsi="Arial"/>
          <w:sz w:val="24"/>
          <w:szCs w:val="24"/>
          <w:lang w:val="en-GB"/>
        </w:rPr>
        <w:t>) is minimal. T</w:t>
      </w:r>
      <w:r>
        <w:rPr>
          <w:rFonts w:ascii="Arial" w:hAnsi="Arial"/>
          <w:sz w:val="24"/>
          <w:szCs w:val="24"/>
          <w:lang w:val="en-GB"/>
        </w:rPr>
        <w:t>he minimum of (12</w:t>
      </w:r>
      <w:r w:rsidRPr="00144DE4">
        <w:rPr>
          <w:rFonts w:ascii="Arial" w:hAnsi="Arial"/>
          <w:sz w:val="24"/>
          <w:szCs w:val="24"/>
          <w:lang w:val="en-GB"/>
        </w:rPr>
        <w:t xml:space="preserve">) is found using </w:t>
      </w:r>
      <w:r w:rsidRPr="00144DE4">
        <w:rPr>
          <w:rFonts w:ascii="Arial" w:hAnsi="Arial"/>
          <w:bCs/>
          <w:sz w:val="24"/>
          <w:szCs w:val="24"/>
          <w:lang w:val="en-GB"/>
        </w:rPr>
        <w:t>the method of local variations</w:t>
      </w:r>
      <w:r w:rsidRPr="00144DE4">
        <w:rPr>
          <w:rFonts w:ascii="Arial" w:hAnsi="Arial"/>
          <w:bCs/>
          <w:sz w:val="24"/>
          <w:szCs w:val="24"/>
          <w:vertAlign w:val="superscript"/>
        </w:rPr>
        <w:t>[1]</w:t>
      </w:r>
      <w:r w:rsidRPr="00144DE4">
        <w:rPr>
          <w:rFonts w:ascii="Arial" w:hAnsi="Arial"/>
          <w:bCs/>
          <w:sz w:val="24"/>
          <w:szCs w:val="24"/>
          <w:lang w:val="en-GB"/>
        </w:rPr>
        <w:t>.</w:t>
      </w:r>
      <w:r w:rsidRPr="00144DE4">
        <w:rPr>
          <w:rFonts w:ascii="Arial" w:hAnsi="Arial"/>
          <w:b/>
          <w:bCs/>
          <w:sz w:val="24"/>
          <w:szCs w:val="24"/>
          <w:lang w:val="en-GB"/>
        </w:rPr>
        <w:t xml:space="preserve"> </w:t>
      </w:r>
      <w:r w:rsidRPr="00144DE4">
        <w:rPr>
          <w:rFonts w:ascii="Arial" w:hAnsi="Arial"/>
          <w:bCs/>
          <w:sz w:val="24"/>
          <w:szCs w:val="24"/>
          <w:lang w:val="en-GB"/>
        </w:rPr>
        <w:t xml:space="preserve">The algorithm of this method is given by a sequence of iterations. It is necessary to start the algorithm with determination of some initial approximation of the values </w:t>
      </w:r>
      <w:r w:rsidRPr="00144DE4">
        <w:rPr>
          <w:rFonts w:ascii="Arial" w:hAnsi="Arial"/>
          <w:position w:val="-16"/>
          <w:sz w:val="24"/>
          <w:szCs w:val="24"/>
          <w:lang w:val="en-GB"/>
        </w:rPr>
        <w:object w:dxaOrig="440" w:dyaOrig="440">
          <v:shape id="_x0000_i1319" type="#_x0000_t75" style="width:21.6pt;height:21.6pt" o:ole="">
            <v:imagedata r:id="rId774" o:title=""/>
          </v:shape>
          <o:OLEObject Type="Embed" ProgID="Equation.3" ShapeID="_x0000_i1319" DrawAspect="Content" ObjectID="_1660649416" r:id="rId776"/>
        </w:object>
      </w:r>
      <w:r w:rsidRPr="00144DE4">
        <w:rPr>
          <w:rFonts w:ascii="Arial" w:hAnsi="Arial"/>
          <w:sz w:val="24"/>
          <w:szCs w:val="24"/>
          <w:lang w:val="en-GB"/>
        </w:rPr>
        <w:t xml:space="preserve">, </w:t>
      </w:r>
      <w:r w:rsidRPr="00144DE4">
        <w:rPr>
          <w:rFonts w:ascii="Arial" w:hAnsi="Arial"/>
          <w:position w:val="-10"/>
          <w:sz w:val="24"/>
          <w:szCs w:val="24"/>
        </w:rPr>
        <w:object w:dxaOrig="1600" w:dyaOrig="320">
          <v:shape id="_x0000_i1320" type="#_x0000_t75" style="width:79.2pt;height:14.4pt" o:ole="">
            <v:imagedata r:id="rId777" o:title=""/>
          </v:shape>
          <o:OLEObject Type="Embed" ProgID="Equation.3" ShapeID="_x0000_i1320" DrawAspect="Content" ObjectID="_1660649417" r:id="rId778"/>
        </w:object>
      </w:r>
      <w:r w:rsidRPr="00144DE4">
        <w:rPr>
          <w:rFonts w:ascii="Arial" w:hAnsi="Arial"/>
          <w:sz w:val="24"/>
          <w:szCs w:val="24"/>
        </w:rPr>
        <w:t xml:space="preserve"> ,</w:t>
      </w:r>
      <w:r w:rsidRPr="00144DE4">
        <w:rPr>
          <w:rFonts w:ascii="Arial" w:hAnsi="Arial"/>
          <w:sz w:val="24"/>
          <w:szCs w:val="24"/>
          <w:lang w:val="en-GB"/>
        </w:rPr>
        <w:t xml:space="preserve">  </w:t>
      </w:r>
      <w:r w:rsidRPr="00144DE4">
        <w:rPr>
          <w:rFonts w:ascii="Arial" w:hAnsi="Arial"/>
          <w:position w:val="-10"/>
          <w:sz w:val="24"/>
          <w:szCs w:val="24"/>
        </w:rPr>
        <w:object w:dxaOrig="1660" w:dyaOrig="320">
          <v:shape id="_x0000_i1321" type="#_x0000_t75" style="width:79.2pt;height:14.4pt" o:ole="">
            <v:imagedata r:id="rId779" o:title=""/>
          </v:shape>
          <o:OLEObject Type="Embed" ProgID="Equation.3" ShapeID="_x0000_i1321" DrawAspect="Content" ObjectID="_1660649418" r:id="rId780"/>
        </w:object>
      </w:r>
      <w:r w:rsidRPr="00144DE4">
        <w:rPr>
          <w:rFonts w:ascii="Arial" w:hAnsi="Arial"/>
          <w:sz w:val="24"/>
          <w:szCs w:val="24"/>
        </w:rPr>
        <w:t xml:space="preserve"> </w:t>
      </w:r>
      <w:r w:rsidRPr="00144DE4">
        <w:rPr>
          <w:rFonts w:ascii="Arial" w:hAnsi="Arial"/>
          <w:sz w:val="24"/>
          <w:szCs w:val="24"/>
          <w:lang w:val="en-GB"/>
        </w:rPr>
        <w:t xml:space="preserve"> such that the boundary co</w:t>
      </w:r>
      <w:r>
        <w:rPr>
          <w:rFonts w:ascii="Arial" w:hAnsi="Arial"/>
          <w:sz w:val="24"/>
          <w:szCs w:val="24"/>
          <w:lang w:val="en-GB"/>
        </w:rPr>
        <w:t>nditions (20</w:t>
      </w:r>
      <w:r w:rsidRPr="00144DE4">
        <w:rPr>
          <w:rFonts w:ascii="Arial" w:hAnsi="Arial"/>
          <w:sz w:val="24"/>
          <w:szCs w:val="24"/>
          <w:lang w:val="en-GB"/>
        </w:rPr>
        <w:t>)</w:t>
      </w:r>
      <w:r>
        <w:rPr>
          <w:rFonts w:ascii="Arial" w:hAnsi="Arial"/>
          <w:sz w:val="24"/>
          <w:szCs w:val="24"/>
          <w:lang w:val="en-GB"/>
        </w:rPr>
        <w:t xml:space="preserve"> – (22) </w:t>
      </w:r>
      <w:r w:rsidRPr="00144DE4">
        <w:rPr>
          <w:rFonts w:ascii="Arial" w:hAnsi="Arial"/>
          <w:sz w:val="24"/>
          <w:szCs w:val="24"/>
          <w:lang w:val="en-GB"/>
        </w:rPr>
        <w:t xml:space="preserve">are fulfilled. The iterative solution is obtained in such a way, that the iteration from the previous step is considered as the initial approximation, and then it is necessary to go through all interior grid points in arbitrary order. At each grid point  </w:t>
      </w:r>
      <w:r w:rsidRPr="00144DE4">
        <w:rPr>
          <w:rFonts w:ascii="Arial" w:hAnsi="Arial"/>
          <w:position w:val="-14"/>
          <w:sz w:val="24"/>
          <w:szCs w:val="24"/>
          <w:lang w:val="en-GB"/>
        </w:rPr>
        <w:object w:dxaOrig="1240" w:dyaOrig="380">
          <v:shape id="_x0000_i1322" type="#_x0000_t75" style="width:64.8pt;height:21.6pt" o:ole="">
            <v:imagedata r:id="rId781" o:title=""/>
          </v:shape>
          <o:OLEObject Type="Embed" ProgID="Equation.3" ShapeID="_x0000_i1322" DrawAspect="Content" ObjectID="_1660649419" r:id="rId782"/>
        </w:object>
      </w:r>
      <w:r w:rsidRPr="00144DE4">
        <w:rPr>
          <w:rFonts w:ascii="Arial" w:hAnsi="Arial"/>
          <w:sz w:val="24"/>
          <w:szCs w:val="24"/>
          <w:lang w:val="en-GB"/>
        </w:rPr>
        <w:t xml:space="preserve">  </w:t>
      </w:r>
      <w:r w:rsidRPr="00144DE4">
        <w:rPr>
          <w:rFonts w:ascii="Arial" w:hAnsi="Arial"/>
          <w:position w:val="-10"/>
          <w:sz w:val="24"/>
          <w:szCs w:val="24"/>
        </w:rPr>
        <w:object w:dxaOrig="1440" w:dyaOrig="320">
          <v:shape id="_x0000_i1323" type="#_x0000_t75" style="width:1in;height:14.4pt" o:ole="">
            <v:imagedata r:id="rId783" o:title=""/>
          </v:shape>
          <o:OLEObject Type="Embed" ProgID="Equation.3" ShapeID="_x0000_i1323" DrawAspect="Content" ObjectID="_1660649420" r:id="rId784"/>
        </w:object>
      </w:r>
      <w:r w:rsidRPr="00144DE4">
        <w:rPr>
          <w:rFonts w:ascii="Arial" w:hAnsi="Arial"/>
          <w:sz w:val="24"/>
          <w:szCs w:val="24"/>
        </w:rPr>
        <w:t xml:space="preserve">  </w:t>
      </w:r>
      <w:r w:rsidRPr="00144DE4">
        <w:rPr>
          <w:rFonts w:ascii="Arial" w:hAnsi="Arial"/>
          <w:position w:val="-10"/>
          <w:sz w:val="24"/>
          <w:szCs w:val="24"/>
        </w:rPr>
        <w:object w:dxaOrig="1320" w:dyaOrig="320">
          <v:shape id="_x0000_i1324" type="#_x0000_t75" style="width:64.8pt;height:14.4pt" o:ole="">
            <v:imagedata r:id="rId785" o:title=""/>
          </v:shape>
          <o:OLEObject Type="Embed" ProgID="Equation.3" ShapeID="_x0000_i1324" DrawAspect="Content" ObjectID="_1660649421" r:id="rId786"/>
        </w:object>
      </w:r>
      <w:r w:rsidRPr="00144DE4">
        <w:rPr>
          <w:rFonts w:ascii="Arial" w:hAnsi="Arial"/>
          <w:sz w:val="24"/>
          <w:szCs w:val="24"/>
        </w:rPr>
        <w:t xml:space="preserve">  is</w:t>
      </w:r>
      <w:r w:rsidRPr="00144DE4">
        <w:rPr>
          <w:rFonts w:ascii="Arial" w:hAnsi="Arial"/>
          <w:sz w:val="24"/>
          <w:szCs w:val="24"/>
          <w:lang w:val="en-GB"/>
        </w:rPr>
        <w:t xml:space="preserve"> computed the value</w:t>
      </w:r>
    </w:p>
    <w:p w:rsidR="00575A88" w:rsidRDefault="00575A88" w:rsidP="00575A88">
      <w:pPr>
        <w:pStyle w:val="equation"/>
        <w:spacing w:before="0" w:after="0" w:line="240" w:lineRule="auto"/>
        <w:jc w:val="left"/>
        <w:rPr>
          <w:rFonts w:ascii="Arial" w:hAnsi="Arial" w:cs="Arial"/>
          <w:sz w:val="24"/>
          <w:szCs w:val="24"/>
        </w:rPr>
      </w:pPr>
      <w:r>
        <w:rPr>
          <w:rFonts w:ascii="Arial" w:hAnsi="Arial"/>
          <w:position w:val="-36"/>
          <w:sz w:val="24"/>
          <w:szCs w:val="24"/>
        </w:rPr>
        <w:t xml:space="preserve">                                 </w:t>
      </w:r>
      <w:r w:rsidRPr="00C244A6">
        <w:rPr>
          <w:rFonts w:ascii="Arial" w:hAnsi="Arial"/>
          <w:position w:val="-44"/>
          <w:sz w:val="24"/>
          <w:szCs w:val="24"/>
        </w:rPr>
        <w:object w:dxaOrig="4800" w:dyaOrig="960">
          <v:shape id="_x0000_i1325" type="#_x0000_t75" style="width:237.6pt;height:50.4pt" o:ole="">
            <v:imagedata r:id="rId787" o:title=""/>
          </v:shape>
          <o:OLEObject Type="Embed" ProgID="Equation.3" ShapeID="_x0000_i1325" DrawAspect="Content" ObjectID="_1660649422" r:id="rId788"/>
        </w:object>
      </w:r>
      <w:r w:rsidRPr="00C244A6">
        <w:rPr>
          <w:rFonts w:ascii="Arial" w:hAnsi="Arial" w:cs="Arial"/>
          <w:sz w:val="24"/>
          <w:szCs w:val="24"/>
        </w:rPr>
        <w:t xml:space="preserve">   ,</w:t>
      </w:r>
      <w:r>
        <w:rPr>
          <w:rFonts w:ascii="Arial" w:hAnsi="Arial"/>
          <w:sz w:val="24"/>
          <w:szCs w:val="24"/>
        </w:rPr>
        <w:t xml:space="preserve">                         </w:t>
      </w:r>
      <w:r>
        <w:rPr>
          <w:rFonts w:ascii="Arial" w:hAnsi="Arial" w:cs="Arial"/>
          <w:sz w:val="24"/>
          <w:szCs w:val="24"/>
        </w:rPr>
        <w:t>(23</w:t>
      </w:r>
      <w:r w:rsidRPr="003F7FFB">
        <w:rPr>
          <w:rFonts w:ascii="Arial" w:hAnsi="Arial" w:cs="Arial"/>
          <w:sz w:val="24"/>
          <w:szCs w:val="24"/>
        </w:rPr>
        <w:t>)</w:t>
      </w:r>
    </w:p>
    <w:p w:rsidR="00575A88" w:rsidRDefault="00575A88" w:rsidP="00575A88">
      <w:pPr>
        <w:pStyle w:val="equation"/>
        <w:spacing w:before="0" w:after="0" w:line="240" w:lineRule="auto"/>
        <w:jc w:val="left"/>
        <w:rPr>
          <w:rFonts w:ascii="Arial" w:hAnsi="Arial" w:cs="Arial"/>
          <w:sz w:val="24"/>
          <w:szCs w:val="24"/>
          <w:lang w:eastAsia="ar-SA"/>
        </w:rPr>
      </w:pPr>
      <w:r>
        <w:rPr>
          <w:rFonts w:ascii="Arial" w:hAnsi="Arial" w:cs="Arial"/>
          <w:sz w:val="24"/>
          <w:szCs w:val="24"/>
          <w:lang w:eastAsia="ar-SA"/>
        </w:rPr>
        <w:t>where</w:t>
      </w:r>
    </w:p>
    <w:p w:rsidR="00575A88" w:rsidRDefault="00575A88" w:rsidP="00575A88">
      <w:pPr>
        <w:tabs>
          <w:tab w:val="center" w:pos="2520"/>
          <w:tab w:val="right" w:pos="5040"/>
        </w:tabs>
        <w:jc w:val="right"/>
        <w:rPr>
          <w:rFonts w:ascii="Arial" w:hAnsi="Arial" w:cs="Arial"/>
          <w:lang w:val="en-US"/>
        </w:rPr>
      </w:pPr>
      <w:r>
        <w:rPr>
          <w:rFonts w:ascii="Arial" w:eastAsia="Times New Roman" w:hAnsi="Arial" w:cs="Arial"/>
          <w:position w:val="-36"/>
          <w:lang w:val="en-US" w:eastAsia="sk-SK"/>
        </w:rPr>
        <w:t xml:space="preserve">                                      </w:t>
      </w:r>
      <w:r w:rsidRPr="003F7FFB">
        <w:rPr>
          <w:rFonts w:ascii="Arial" w:eastAsia="Times New Roman" w:hAnsi="Arial" w:cs="Arial"/>
          <w:position w:val="-36"/>
          <w:lang w:val="en-US" w:eastAsia="sk-SK"/>
        </w:rPr>
        <w:object w:dxaOrig="4180" w:dyaOrig="840">
          <v:shape id="_x0000_i1326" type="#_x0000_t75" style="width:208.8pt;height:43.2pt" o:ole="">
            <v:imagedata r:id="rId789" o:title=""/>
          </v:shape>
          <o:OLEObject Type="Embed" ProgID="Equation.3" ShapeID="_x0000_i1326" DrawAspect="Content" ObjectID="_1660649423" r:id="rId790"/>
        </w:object>
      </w:r>
      <w:r w:rsidRPr="003F7FFB">
        <w:rPr>
          <w:rFonts w:ascii="Arial" w:eastAsia="Times New Roman" w:hAnsi="Arial" w:cs="Arial"/>
          <w:lang w:val="en-US" w:eastAsia="sk-SK"/>
        </w:rPr>
        <w:t xml:space="preserve">    </w:t>
      </w:r>
      <w:r>
        <w:rPr>
          <w:rFonts w:ascii="Arial" w:eastAsia="Times New Roman" w:hAnsi="Arial" w:cs="Arial"/>
          <w:lang w:val="en-US" w:eastAsia="sk-SK"/>
        </w:rPr>
        <w:t xml:space="preserve">, </w:t>
      </w:r>
      <w:r w:rsidRPr="003F7FFB">
        <w:rPr>
          <w:rFonts w:ascii="Arial" w:eastAsia="Times New Roman" w:hAnsi="Arial" w:cs="Arial"/>
          <w:lang w:val="en-US" w:eastAsia="sk-SK"/>
        </w:rPr>
        <w:t xml:space="preserve">                           </w:t>
      </w:r>
      <w:r>
        <w:rPr>
          <w:rFonts w:ascii="Arial" w:hAnsi="Arial" w:cs="Arial"/>
          <w:lang w:val="en-US"/>
        </w:rPr>
        <w:t>(24</w:t>
      </w:r>
      <w:r w:rsidRPr="003F7FFB">
        <w:rPr>
          <w:rFonts w:ascii="Arial" w:hAnsi="Arial" w:cs="Arial"/>
          <w:lang w:val="en-US"/>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tabs>
          <w:tab w:val="left" w:pos="288"/>
        </w:tabs>
        <w:jc w:val="both"/>
        <w:rPr>
          <w:rFonts w:ascii="Arial" w:eastAsia="MS Mincho" w:hAnsi="Arial" w:cs="Arial"/>
          <w:spacing w:val="-1"/>
          <w:lang w:val="en-GB" w:eastAsia="sk-SK"/>
        </w:rPr>
      </w:pPr>
      <w:r w:rsidRPr="003F7FFB">
        <w:rPr>
          <w:rFonts w:ascii="Arial" w:eastAsia="MS Mincho" w:hAnsi="Arial" w:cs="Arial"/>
          <w:spacing w:val="-1"/>
          <w:lang w:val="en-GB" w:eastAsia="sk-SK"/>
        </w:rPr>
        <w:t xml:space="preserve">which is the collection of such  </w:t>
      </w:r>
      <w:r w:rsidRPr="003F7FFB">
        <w:rPr>
          <w:rFonts w:ascii="Arial" w:eastAsia="MS Mincho" w:hAnsi="Arial" w:cs="Arial"/>
          <w:spacing w:val="-1"/>
          <w:position w:val="-14"/>
          <w:lang w:val="en-US" w:eastAsia="sk-SK"/>
        </w:rPr>
        <w:object w:dxaOrig="560" w:dyaOrig="380">
          <v:shape id="_x0000_i1327" type="#_x0000_t75" style="width:28.8pt;height:21.6pt" o:ole="">
            <v:imagedata r:id="rId791" o:title=""/>
          </v:shape>
          <o:OLEObject Type="Embed" ProgID="Equation.3" ShapeID="_x0000_i1327" DrawAspect="Content" ObjectID="_1660649424" r:id="rId792"/>
        </w:object>
      </w:r>
      <w:r w:rsidRPr="003F7FFB">
        <w:rPr>
          <w:rFonts w:ascii="Arial" w:eastAsia="MS Mincho" w:hAnsi="Arial" w:cs="Arial"/>
          <w:spacing w:val="-1"/>
          <w:lang w:val="en-GB" w:eastAsia="sk-SK"/>
        </w:rPr>
        <w:t xml:space="preserve">  </w:t>
      </w:r>
      <w:r>
        <w:rPr>
          <w:rFonts w:ascii="Arial" w:eastAsia="MS Mincho" w:hAnsi="Arial" w:cs="Arial"/>
          <w:spacing w:val="-1"/>
          <w:lang w:val="en-GB" w:eastAsia="sk-SK"/>
        </w:rPr>
        <w:t>from (12</w:t>
      </w:r>
      <w:r w:rsidRPr="003F7FFB">
        <w:rPr>
          <w:rFonts w:ascii="Arial" w:eastAsia="MS Mincho" w:hAnsi="Arial" w:cs="Arial"/>
          <w:spacing w:val="-1"/>
          <w:lang w:val="en-GB" w:eastAsia="sk-SK"/>
        </w:rPr>
        <w:t xml:space="preserve">) which depends on the value  </w:t>
      </w:r>
      <w:r w:rsidRPr="003F7FFB">
        <w:rPr>
          <w:rFonts w:ascii="Arial" w:eastAsia="MS Mincho" w:hAnsi="Arial" w:cs="Arial"/>
          <w:spacing w:val="-1"/>
          <w:position w:val="-14"/>
          <w:lang w:val="en-GB" w:eastAsia="sk-SK"/>
        </w:rPr>
        <w:object w:dxaOrig="420" w:dyaOrig="420">
          <v:shape id="_x0000_i1328" type="#_x0000_t75" style="width:21.6pt;height:21.6pt" o:ole="">
            <v:imagedata r:id="rId793" o:title=""/>
          </v:shape>
          <o:OLEObject Type="Embed" ProgID="Equation.3" ShapeID="_x0000_i1328" DrawAspect="Content" ObjectID="_1660649425" r:id="rId794"/>
        </w:object>
      </w:r>
      <w:r w:rsidRPr="003F7FFB">
        <w:rPr>
          <w:rFonts w:ascii="Arial" w:eastAsia="MS Mincho" w:hAnsi="Arial" w:cs="Arial"/>
          <w:spacing w:val="-1"/>
          <w:lang w:val="en-GB" w:eastAsia="sk-SK"/>
        </w:rPr>
        <w:t xml:space="preserve">. According </w:t>
      </w:r>
      <w:r>
        <w:rPr>
          <w:rFonts w:ascii="Arial" w:eastAsia="MS Mincho" w:hAnsi="Arial" w:cs="Arial"/>
          <w:spacing w:val="-1"/>
          <w:lang w:val="en-GB" w:eastAsia="sk-SK"/>
        </w:rPr>
        <w:t>(13</w:t>
      </w:r>
      <w:r w:rsidRPr="003F7FFB">
        <w:rPr>
          <w:rFonts w:ascii="Arial" w:eastAsia="MS Mincho" w:hAnsi="Arial" w:cs="Arial"/>
          <w:spacing w:val="-1"/>
          <w:lang w:val="en-GB" w:eastAsia="sk-SK"/>
        </w:rPr>
        <w:t>) - (1</w:t>
      </w:r>
      <w:r>
        <w:rPr>
          <w:rFonts w:ascii="Arial" w:eastAsia="MS Mincho" w:hAnsi="Arial" w:cs="Arial"/>
          <w:spacing w:val="-1"/>
          <w:lang w:val="en-GB" w:eastAsia="sk-SK"/>
        </w:rPr>
        <w:t>9</w:t>
      </w:r>
      <w:r w:rsidRPr="003F7FFB">
        <w:rPr>
          <w:rFonts w:ascii="Arial" w:eastAsia="MS Mincho" w:hAnsi="Arial" w:cs="Arial"/>
          <w:spacing w:val="-1"/>
          <w:lang w:val="en-GB" w:eastAsia="sk-SK"/>
        </w:rPr>
        <w:t>) it is possible to rewri</w:t>
      </w:r>
      <w:r>
        <w:rPr>
          <w:rFonts w:ascii="Arial" w:eastAsia="MS Mincho" w:hAnsi="Arial" w:cs="Arial"/>
          <w:spacing w:val="-1"/>
          <w:lang w:val="en-GB" w:eastAsia="sk-SK"/>
        </w:rPr>
        <w:t>te (23</w:t>
      </w:r>
      <w:r w:rsidRPr="003F7FFB">
        <w:rPr>
          <w:rFonts w:ascii="Arial" w:eastAsia="MS Mincho" w:hAnsi="Arial" w:cs="Arial"/>
          <w:spacing w:val="-1"/>
          <w:lang w:val="en-GB" w:eastAsia="sk-SK"/>
        </w:rPr>
        <w:t xml:space="preserve">) </w:t>
      </w:r>
      <w:r>
        <w:rPr>
          <w:rFonts w:ascii="Arial" w:eastAsia="MS Mincho" w:hAnsi="Arial" w:cs="Arial"/>
          <w:spacing w:val="-1"/>
          <w:lang w:val="en-GB" w:eastAsia="sk-SK"/>
        </w:rPr>
        <w:t xml:space="preserve">for  </w:t>
      </w:r>
      <w:r w:rsidRPr="00144DE4">
        <w:rPr>
          <w:rFonts w:ascii="Arial" w:hAnsi="Arial"/>
          <w:position w:val="-10"/>
        </w:rPr>
        <w:object w:dxaOrig="499" w:dyaOrig="320">
          <v:shape id="_x0000_i1329" type="#_x0000_t75" style="width:21.6pt;height:14.4pt" o:ole="">
            <v:imagedata r:id="rId795" o:title=""/>
          </v:shape>
          <o:OLEObject Type="Embed" ProgID="Equation.3" ShapeID="_x0000_i1329" DrawAspect="Content" ObjectID="_1660649426" r:id="rId796"/>
        </w:object>
      </w:r>
      <w:r w:rsidRPr="003E5597">
        <w:rPr>
          <w:rFonts w:ascii="Arial" w:hAnsi="Arial"/>
          <w:position w:val="-10"/>
          <w:lang w:val="en-US"/>
        </w:rPr>
        <w:t xml:space="preserve"> </w:t>
      </w:r>
      <w:r w:rsidRPr="003F7FFB">
        <w:rPr>
          <w:rFonts w:ascii="Arial" w:eastAsia="MS Mincho" w:hAnsi="Arial" w:cs="Arial"/>
          <w:spacing w:val="-1"/>
          <w:lang w:val="en-GB" w:eastAsia="sk-SK"/>
        </w:rPr>
        <w:t>in the following form</w:t>
      </w:r>
    </w:p>
    <w:p w:rsidR="00575A88" w:rsidRPr="00732661" w:rsidRDefault="00575A88" w:rsidP="00575A88">
      <w:pPr>
        <w:tabs>
          <w:tab w:val="left" w:pos="288"/>
        </w:tabs>
        <w:spacing w:line="160" w:lineRule="exact"/>
        <w:jc w:val="both"/>
        <w:rPr>
          <w:rFonts w:ascii="Arial" w:eastAsia="MS Mincho" w:hAnsi="Arial" w:cs="Arial"/>
          <w:spacing w:val="-1"/>
          <w:lang w:val="en-GB" w:eastAsia="sk-SK"/>
        </w:rPr>
      </w:pPr>
    </w:p>
    <w:p w:rsidR="00575A88" w:rsidRDefault="00575A88" w:rsidP="00575A88">
      <w:pPr>
        <w:tabs>
          <w:tab w:val="center" w:pos="2520"/>
          <w:tab w:val="right" w:pos="5040"/>
        </w:tabs>
        <w:jc w:val="right"/>
        <w:rPr>
          <w:rFonts w:ascii="Arial" w:eastAsia="Times New Roman" w:hAnsi="Arial" w:cs="Arial"/>
          <w:lang w:val="en-US" w:eastAsia="sk-SK"/>
        </w:rPr>
      </w:pPr>
      <w:r>
        <w:rPr>
          <w:rFonts w:ascii="Arial" w:eastAsia="Times New Roman" w:hAnsi="Arial" w:cs="Arial"/>
          <w:position w:val="-36"/>
          <w:lang w:val="en-US" w:eastAsia="sk-SK"/>
        </w:rPr>
        <w:t xml:space="preserve">                                    </w:t>
      </w:r>
      <w:r w:rsidRPr="00DE5686">
        <w:rPr>
          <w:rFonts w:ascii="Arial" w:eastAsia="Times New Roman" w:hAnsi="Arial" w:cs="Arial"/>
          <w:position w:val="-44"/>
          <w:lang w:val="en-US" w:eastAsia="sk-SK"/>
        </w:rPr>
        <w:object w:dxaOrig="4340" w:dyaOrig="960">
          <v:shape id="_x0000_i1330" type="#_x0000_t75" style="width:3in;height:43.2pt" o:ole="">
            <v:imagedata r:id="rId797" o:title=""/>
          </v:shape>
          <o:OLEObject Type="Embed" ProgID="Equation.3" ShapeID="_x0000_i1330" DrawAspect="Content" ObjectID="_1660649427" r:id="rId798"/>
        </w:object>
      </w:r>
      <w:r>
        <w:rPr>
          <w:rFonts w:ascii="Arial" w:eastAsia="Times New Roman" w:hAnsi="Arial" w:cs="Arial"/>
          <w:lang w:val="en-US" w:eastAsia="sk-SK"/>
        </w:rPr>
        <w:t xml:space="preserve">   ,</w:t>
      </w:r>
      <w:r w:rsidRPr="003F7FFB">
        <w:rPr>
          <w:rFonts w:ascii="Arial" w:eastAsia="Times New Roman" w:hAnsi="Arial" w:cs="Arial"/>
          <w:lang w:val="en-US" w:eastAsia="sk-SK"/>
        </w:rPr>
        <w:t xml:space="preserve">   </w:t>
      </w:r>
      <w:r>
        <w:rPr>
          <w:rFonts w:ascii="Arial" w:eastAsia="Times New Roman" w:hAnsi="Arial" w:cs="Arial"/>
          <w:lang w:val="en-US" w:eastAsia="sk-SK"/>
        </w:rPr>
        <w:t xml:space="preserve">                          (25</w:t>
      </w:r>
      <w:r w:rsidRPr="003F7FFB">
        <w:rPr>
          <w:rFonts w:ascii="Arial" w:eastAsia="Times New Roman" w:hAnsi="Arial" w:cs="Arial"/>
          <w:lang w:val="en-US" w:eastAsia="sk-SK"/>
        </w:rPr>
        <w:t>)</w:t>
      </w:r>
    </w:p>
    <w:p w:rsidR="00575A88" w:rsidRPr="007D2125" w:rsidRDefault="00575A88" w:rsidP="00575A88">
      <w:pPr>
        <w:tabs>
          <w:tab w:val="left" w:pos="288"/>
        </w:tabs>
        <w:jc w:val="both"/>
        <w:rPr>
          <w:rFonts w:ascii="Arial" w:hAnsi="Arial"/>
          <w:position w:val="-10"/>
          <w:lang w:val="en-US"/>
        </w:rPr>
      </w:pPr>
      <w:r>
        <w:rPr>
          <w:rFonts w:ascii="Arial" w:eastAsia="MS Mincho" w:hAnsi="Arial" w:cs="Arial"/>
          <w:spacing w:val="-1"/>
          <w:lang w:val="en-GB" w:eastAsia="sk-SK"/>
        </w:rPr>
        <w:t xml:space="preserve">where for  </w:t>
      </w:r>
      <w:r w:rsidRPr="00144DE4">
        <w:rPr>
          <w:rFonts w:ascii="Arial" w:hAnsi="Arial"/>
          <w:position w:val="-10"/>
        </w:rPr>
        <w:object w:dxaOrig="540" w:dyaOrig="320">
          <v:shape id="_x0000_i1331" type="#_x0000_t75" style="width:28.8pt;height:14.4pt" o:ole="">
            <v:imagedata r:id="rId799" o:title=""/>
          </v:shape>
          <o:OLEObject Type="Embed" ProgID="Equation.3" ShapeID="_x0000_i1331" DrawAspect="Content" ObjectID="_1660649428" r:id="rId800"/>
        </w:objec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C244A6" w:rsidRDefault="00575A88" w:rsidP="00575A88">
      <w:pPr>
        <w:pStyle w:val="equation"/>
        <w:spacing w:before="0" w:after="0" w:line="240" w:lineRule="auto"/>
        <w:jc w:val="right"/>
        <w:rPr>
          <w:rFonts w:ascii="Arial" w:hAnsi="Arial" w:cs="Arial"/>
          <w:sz w:val="24"/>
          <w:szCs w:val="24"/>
        </w:rPr>
      </w:pPr>
      <w:r>
        <w:rPr>
          <w:rFonts w:ascii="Arial" w:hAnsi="Arial" w:cs="Arial"/>
          <w:position w:val="-16"/>
          <w:sz w:val="24"/>
          <w:szCs w:val="24"/>
        </w:rPr>
        <w:lastRenderedPageBreak/>
        <w:t xml:space="preserve">      </w:t>
      </w:r>
      <w:r w:rsidRPr="00606512">
        <w:rPr>
          <w:rFonts w:ascii="Arial" w:hAnsi="Arial" w:cs="Arial"/>
          <w:position w:val="-14"/>
          <w:sz w:val="24"/>
          <w:szCs w:val="24"/>
        </w:rPr>
        <w:object w:dxaOrig="1480" w:dyaOrig="420">
          <v:shape id="_x0000_i1332" type="#_x0000_t75" style="width:1in;height:21.6pt" o:ole="">
            <v:imagedata r:id="rId801" o:title=""/>
          </v:shape>
          <o:OLEObject Type="Embed" ProgID="Equation.3" ShapeID="_x0000_i1332" DrawAspect="Content" ObjectID="_1660649429" r:id="rId802"/>
        </w:object>
      </w:r>
      <w:r w:rsidRPr="00606512">
        <w:rPr>
          <w:rFonts w:ascii="Arial" w:hAnsi="Arial" w:cs="Arial"/>
          <w:sz w:val="24"/>
          <w:szCs w:val="24"/>
        </w:rPr>
        <w:t xml:space="preserve">   ,     </w:t>
      </w:r>
      <w:r w:rsidRPr="00606512">
        <w:rPr>
          <w:rFonts w:ascii="Arial" w:hAnsi="Arial" w:cs="Arial"/>
          <w:position w:val="-14"/>
          <w:sz w:val="24"/>
          <w:szCs w:val="24"/>
        </w:rPr>
        <w:object w:dxaOrig="1480" w:dyaOrig="420">
          <v:shape id="_x0000_i1333" type="#_x0000_t75" style="width:1in;height:21.6pt" o:ole="">
            <v:imagedata r:id="rId803" o:title=""/>
          </v:shape>
          <o:OLEObject Type="Embed" ProgID="Equation.3" ShapeID="_x0000_i1333" DrawAspect="Content" ObjectID="_1660649430" r:id="rId804"/>
        </w:object>
      </w:r>
      <w:r w:rsidRPr="00606512">
        <w:rPr>
          <w:rFonts w:ascii="Arial" w:hAnsi="Arial" w:cs="Arial"/>
          <w:sz w:val="24"/>
          <w:szCs w:val="24"/>
        </w:rPr>
        <w:t xml:space="preserve">   ,     </w:t>
      </w:r>
      <w:r w:rsidRPr="00606512">
        <w:rPr>
          <w:rFonts w:ascii="Arial" w:hAnsi="Arial" w:cs="Arial"/>
          <w:position w:val="-14"/>
          <w:sz w:val="24"/>
          <w:szCs w:val="24"/>
        </w:rPr>
        <w:object w:dxaOrig="1520" w:dyaOrig="420">
          <v:shape id="_x0000_i1334" type="#_x0000_t75" style="width:79.2pt;height:21.6pt" o:ole="">
            <v:imagedata r:id="rId805" o:title=""/>
          </v:shape>
          <o:OLEObject Type="Embed" ProgID="Equation.3" ShapeID="_x0000_i1334" DrawAspect="Content" ObjectID="_1660649431" r:id="rId806"/>
        </w:object>
      </w:r>
      <w:r w:rsidRPr="00606512">
        <w:rPr>
          <w:rFonts w:ascii="Arial" w:hAnsi="Arial" w:cs="Arial"/>
          <w:sz w:val="24"/>
          <w:szCs w:val="24"/>
        </w:rPr>
        <w:t xml:space="preserve">   ,</w:t>
      </w:r>
      <w:r w:rsidRPr="00606512">
        <w:rPr>
          <w:rFonts w:ascii="Arial" w:hAnsi="Arial" w:cs="Arial"/>
          <w:position w:val="-16"/>
          <w:sz w:val="24"/>
          <w:szCs w:val="24"/>
        </w:rPr>
        <w:t xml:space="preserve">     </w:t>
      </w:r>
      <w:r w:rsidRPr="00606512">
        <w:rPr>
          <w:rFonts w:ascii="Arial" w:hAnsi="Arial" w:cs="Arial"/>
          <w:position w:val="-10"/>
          <w:sz w:val="24"/>
          <w:szCs w:val="24"/>
        </w:rPr>
        <w:object w:dxaOrig="1560" w:dyaOrig="320">
          <v:shape id="_x0000_i1335" type="#_x0000_t75" style="width:79.2pt;height:14.4pt" o:ole="">
            <v:imagedata r:id="rId807" o:title=""/>
          </v:shape>
          <o:OLEObject Type="Embed" ProgID="Equation.3" ShapeID="_x0000_i1335" DrawAspect="Content" ObjectID="_1660649432" r:id="rId808"/>
        </w:object>
      </w:r>
      <w:r w:rsidRPr="00606512">
        <w:rPr>
          <w:rFonts w:ascii="Arial" w:hAnsi="Arial" w:cs="Arial"/>
          <w:sz w:val="24"/>
          <w:szCs w:val="24"/>
        </w:rPr>
        <w:t xml:space="preserve">   </w:t>
      </w:r>
      <w:r>
        <w:rPr>
          <w:rFonts w:ascii="Arial" w:hAnsi="Arial" w:cs="Arial"/>
          <w:sz w:val="24"/>
          <w:szCs w:val="24"/>
        </w:rPr>
        <w:t>.     (26</w:t>
      </w:r>
      <w:r w:rsidRPr="00C244A6">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tabs>
          <w:tab w:val="left" w:pos="288"/>
        </w:tabs>
        <w:jc w:val="both"/>
        <w:rPr>
          <w:rFonts w:ascii="Arial" w:hAnsi="Arial"/>
          <w:lang w:val="en-GB"/>
        </w:rPr>
      </w:pPr>
      <w:r>
        <w:rPr>
          <w:rFonts w:ascii="Arial" w:eastAsia="MS Mincho" w:hAnsi="Arial" w:cs="Arial"/>
          <w:spacing w:val="-1"/>
          <w:lang w:val="en-GB" w:eastAsia="sk-SK"/>
        </w:rPr>
        <w:t xml:space="preserve">Different situation is for  </w:t>
      </w:r>
      <w:r w:rsidRPr="00144DE4">
        <w:rPr>
          <w:rFonts w:ascii="Arial" w:hAnsi="Arial"/>
          <w:position w:val="-10"/>
        </w:rPr>
        <w:object w:dxaOrig="499" w:dyaOrig="320">
          <v:shape id="_x0000_i1336" type="#_x0000_t75" style="width:21.6pt;height:14.4pt" o:ole="">
            <v:imagedata r:id="rId809" o:title=""/>
          </v:shape>
          <o:OLEObject Type="Embed" ProgID="Equation.3" ShapeID="_x0000_i1336" DrawAspect="Content" ObjectID="_1660649433" r:id="rId810"/>
        </w:object>
      </w:r>
      <w:r w:rsidRPr="00BE7AD5">
        <w:rPr>
          <w:rFonts w:ascii="Arial" w:hAnsi="Arial"/>
          <w:position w:val="-10"/>
          <w:lang w:val="en-US"/>
        </w:rPr>
        <w:t xml:space="preserve"> </w:t>
      </w:r>
      <w:r>
        <w:rPr>
          <w:rFonts w:ascii="Arial" w:eastAsia="MS Mincho" w:hAnsi="Arial" w:cs="Arial"/>
          <w:spacing w:val="-1"/>
          <w:lang w:val="en-GB" w:eastAsia="sk-SK"/>
        </w:rPr>
        <w:t xml:space="preserve"> because in this case all points  </w:t>
      </w:r>
      <w:r w:rsidRPr="00144DE4">
        <w:rPr>
          <w:rFonts w:ascii="Arial" w:hAnsi="Arial"/>
          <w:position w:val="-14"/>
          <w:lang w:val="en-GB"/>
        </w:rPr>
        <w:object w:dxaOrig="1540" w:dyaOrig="380">
          <v:shape id="_x0000_i1337" type="#_x0000_t75" style="width:79.2pt;height:21.6pt" o:ole="">
            <v:imagedata r:id="rId811" o:title=""/>
          </v:shape>
          <o:OLEObject Type="Embed" ProgID="Equation.3" ShapeID="_x0000_i1337" DrawAspect="Content" ObjectID="_1660649434" r:id="rId812"/>
        </w:object>
      </w:r>
      <w:r>
        <w:rPr>
          <w:rFonts w:ascii="Arial" w:eastAsia="MS Mincho" w:hAnsi="Arial" w:cs="Arial"/>
          <w:spacing w:val="-1"/>
          <w:lang w:val="en-GB" w:eastAsia="sk-SK"/>
        </w:rPr>
        <w:t xml:space="preserve"> ,</w:t>
      </w:r>
      <w:r w:rsidRPr="00BE7AD5">
        <w:rPr>
          <w:rFonts w:ascii="Arial" w:hAnsi="Arial"/>
          <w:position w:val="-10"/>
          <w:lang w:val="en-US"/>
        </w:rPr>
        <w:t xml:space="preserve">     </w:t>
      </w:r>
      <w:r w:rsidRPr="00144DE4">
        <w:rPr>
          <w:rFonts w:ascii="Arial" w:hAnsi="Arial"/>
          <w:position w:val="-10"/>
        </w:rPr>
        <w:object w:dxaOrig="1660" w:dyaOrig="320">
          <v:shape id="_x0000_i1338" type="#_x0000_t75" style="width:79.2pt;height:14.4pt" o:ole="">
            <v:imagedata r:id="rId779" o:title=""/>
          </v:shape>
          <o:OLEObject Type="Embed" ProgID="Equation.3" ShapeID="_x0000_i1338" DrawAspect="Content" ObjectID="_1660649435" r:id="rId813"/>
        </w:object>
      </w:r>
      <w:r w:rsidRPr="005B00ED">
        <w:rPr>
          <w:rFonts w:ascii="Arial" w:hAnsi="Arial"/>
          <w:lang w:val="en-US"/>
        </w:rPr>
        <w:t xml:space="preserve"> </w:t>
      </w:r>
      <w:r>
        <w:rPr>
          <w:rFonts w:ascii="Arial" w:hAnsi="Arial"/>
          <w:lang w:val="en-GB"/>
        </w:rPr>
        <w:t xml:space="preserve"> represen</w:t>
      </w:r>
      <w:r w:rsidRPr="00144DE4">
        <w:rPr>
          <w:rFonts w:ascii="Arial" w:hAnsi="Arial"/>
          <w:lang w:val="en-GB"/>
        </w:rPr>
        <w:t>t</w:t>
      </w:r>
      <w:r>
        <w:rPr>
          <w:rFonts w:ascii="Arial" w:hAnsi="Arial"/>
          <w:lang w:val="en-GB"/>
        </w:rPr>
        <w:t xml:space="preserve"> the only one point  </w:t>
      </w:r>
      <w:r w:rsidRPr="005B00ED">
        <w:rPr>
          <w:rFonts w:ascii="Arial" w:hAnsi="Arial"/>
          <w:position w:val="-10"/>
          <w:lang w:val="en-GB"/>
        </w:rPr>
        <w:object w:dxaOrig="1120" w:dyaOrig="340">
          <v:shape id="_x0000_i1339" type="#_x0000_t75" style="width:57.6pt;height:14.4pt" o:ole="">
            <v:imagedata r:id="rId814" o:title=""/>
          </v:shape>
          <o:OLEObject Type="Embed" ProgID="Equation.3" ShapeID="_x0000_i1339" DrawAspect="Content" ObjectID="_1660649436" r:id="rId815"/>
        </w:object>
      </w:r>
      <w:r>
        <w:rPr>
          <w:rFonts w:ascii="Arial" w:hAnsi="Arial"/>
          <w:lang w:val="en-GB"/>
        </w:rPr>
        <w:t>.</w:t>
      </w:r>
      <w:r w:rsidRPr="00B47631">
        <w:rPr>
          <w:rFonts w:ascii="Arial" w:eastAsia="MS Mincho" w:hAnsi="Arial" w:cs="Arial"/>
          <w:spacing w:val="-1"/>
          <w:lang w:val="en-GB" w:eastAsia="sk-SK"/>
        </w:rPr>
        <w:t xml:space="preserve"> </w:t>
      </w:r>
      <w:r w:rsidRPr="003F7FFB">
        <w:rPr>
          <w:rFonts w:ascii="Arial" w:eastAsia="MS Mincho" w:hAnsi="Arial" w:cs="Arial"/>
          <w:spacing w:val="-1"/>
          <w:lang w:val="en-GB" w:eastAsia="sk-SK"/>
        </w:rPr>
        <w:t xml:space="preserve">According </w:t>
      </w:r>
      <w:r>
        <w:rPr>
          <w:rFonts w:ascii="Arial" w:eastAsia="MS Mincho" w:hAnsi="Arial" w:cs="Arial"/>
          <w:spacing w:val="-1"/>
          <w:lang w:val="en-GB" w:eastAsia="sk-SK"/>
        </w:rPr>
        <w:t>this fact</w:t>
      </w:r>
      <w:r w:rsidRPr="003F7FFB">
        <w:rPr>
          <w:rFonts w:ascii="Arial" w:eastAsia="MS Mincho" w:hAnsi="Arial" w:cs="Arial"/>
          <w:spacing w:val="-1"/>
          <w:lang w:val="en-GB" w:eastAsia="sk-SK"/>
        </w:rPr>
        <w:t xml:space="preserve"> </w:t>
      </w:r>
      <w:r>
        <w:rPr>
          <w:rFonts w:ascii="Arial" w:eastAsia="MS Mincho" w:hAnsi="Arial" w:cs="Arial"/>
          <w:spacing w:val="-1"/>
          <w:lang w:val="en-GB" w:eastAsia="sk-SK"/>
        </w:rPr>
        <w:t xml:space="preserve">it means according (22) </w:t>
      </w:r>
      <w:r w:rsidRPr="003F7FFB">
        <w:rPr>
          <w:rFonts w:ascii="Arial" w:eastAsia="MS Mincho" w:hAnsi="Arial" w:cs="Arial"/>
          <w:spacing w:val="-1"/>
          <w:lang w:val="en-GB" w:eastAsia="sk-SK"/>
        </w:rPr>
        <w:t>it is possible to rewri</w:t>
      </w:r>
      <w:r>
        <w:rPr>
          <w:rFonts w:ascii="Arial" w:eastAsia="MS Mincho" w:hAnsi="Arial" w:cs="Arial"/>
          <w:spacing w:val="-1"/>
          <w:lang w:val="en-GB" w:eastAsia="sk-SK"/>
        </w:rPr>
        <w:t>te (23</w:t>
      </w:r>
      <w:r w:rsidRPr="003F7FFB">
        <w:rPr>
          <w:rFonts w:ascii="Arial" w:eastAsia="MS Mincho" w:hAnsi="Arial" w:cs="Arial"/>
          <w:spacing w:val="-1"/>
          <w:lang w:val="en-GB" w:eastAsia="sk-SK"/>
        </w:rPr>
        <w:t xml:space="preserve">) </w:t>
      </w:r>
      <w:r>
        <w:rPr>
          <w:rFonts w:ascii="Arial" w:eastAsia="MS Mincho" w:hAnsi="Arial" w:cs="Arial"/>
          <w:spacing w:val="-1"/>
          <w:lang w:val="en-GB" w:eastAsia="sk-SK"/>
        </w:rPr>
        <w:t xml:space="preserve">for  </w:t>
      </w:r>
      <w:r w:rsidRPr="00144DE4">
        <w:rPr>
          <w:rFonts w:ascii="Arial" w:hAnsi="Arial"/>
          <w:position w:val="-10"/>
        </w:rPr>
        <w:object w:dxaOrig="499" w:dyaOrig="320">
          <v:shape id="_x0000_i1340" type="#_x0000_t75" style="width:21.6pt;height:14.4pt" o:ole="">
            <v:imagedata r:id="rId809" o:title=""/>
          </v:shape>
          <o:OLEObject Type="Embed" ProgID="Equation.3" ShapeID="_x0000_i1340" DrawAspect="Content" ObjectID="_1660649437" r:id="rId816"/>
        </w:object>
      </w:r>
      <w:r w:rsidRPr="003E5597">
        <w:rPr>
          <w:rFonts w:ascii="Arial" w:hAnsi="Arial"/>
          <w:position w:val="-10"/>
          <w:lang w:val="en-US"/>
        </w:rPr>
        <w:t xml:space="preserve"> </w:t>
      </w:r>
      <w:r w:rsidRPr="003F7FFB">
        <w:rPr>
          <w:rFonts w:ascii="Arial" w:eastAsia="MS Mincho" w:hAnsi="Arial" w:cs="Arial"/>
          <w:spacing w:val="-1"/>
          <w:lang w:val="en-GB" w:eastAsia="sk-SK"/>
        </w:rPr>
        <w:t>in the following form</w:t>
      </w:r>
      <w:r w:rsidRPr="00144DE4">
        <w:rPr>
          <w:rFonts w:ascii="Arial" w:hAnsi="Arial"/>
          <w:lang w:val="en-GB"/>
        </w:rPr>
        <w:t xml:space="preserve"> </w:t>
      </w:r>
    </w:p>
    <w:p w:rsidR="00575A88" w:rsidRPr="00140439" w:rsidRDefault="00575A88" w:rsidP="00575A88">
      <w:pPr>
        <w:tabs>
          <w:tab w:val="left" w:pos="288"/>
        </w:tabs>
        <w:spacing w:line="160" w:lineRule="exact"/>
        <w:jc w:val="both"/>
        <w:rPr>
          <w:rFonts w:ascii="Arial" w:eastAsia="MS Mincho" w:hAnsi="Arial" w:cs="Arial"/>
          <w:spacing w:val="-1"/>
          <w:lang w:val="en-GB" w:eastAsia="sk-SK"/>
        </w:rPr>
      </w:pPr>
    </w:p>
    <w:p w:rsidR="00575A88" w:rsidRPr="009B10AB" w:rsidRDefault="00575A88" w:rsidP="00575A88">
      <w:pPr>
        <w:tabs>
          <w:tab w:val="center" w:pos="2520"/>
          <w:tab w:val="right" w:pos="5040"/>
        </w:tabs>
        <w:jc w:val="right"/>
        <w:rPr>
          <w:rFonts w:ascii="Arial" w:eastAsia="Times New Roman" w:hAnsi="Arial" w:cs="Arial"/>
          <w:lang w:val="en-US" w:eastAsia="sk-SK"/>
        </w:rPr>
      </w:pPr>
      <w:r w:rsidRPr="009B10AB">
        <w:rPr>
          <w:rFonts w:ascii="Arial" w:eastAsia="Times New Roman" w:hAnsi="Arial" w:cs="Arial"/>
          <w:position w:val="-36"/>
          <w:lang w:val="en-US" w:eastAsia="sk-SK"/>
        </w:rPr>
        <w:t xml:space="preserve">                                    </w:t>
      </w:r>
      <w:r w:rsidRPr="009B10AB">
        <w:rPr>
          <w:rFonts w:ascii="Arial" w:eastAsia="Times New Roman" w:hAnsi="Arial" w:cs="Arial"/>
          <w:position w:val="-44"/>
          <w:lang w:val="en-US" w:eastAsia="sk-SK"/>
        </w:rPr>
        <w:object w:dxaOrig="3700" w:dyaOrig="960">
          <v:shape id="_x0000_i1341" type="#_x0000_t75" style="width:187.2pt;height:43.2pt" o:ole="">
            <v:imagedata r:id="rId817" o:title=""/>
          </v:shape>
          <o:OLEObject Type="Embed" ProgID="Equation.3" ShapeID="_x0000_i1341" DrawAspect="Content" ObjectID="_1660649438" r:id="rId818"/>
        </w:object>
      </w:r>
      <w:r w:rsidRPr="009B10AB">
        <w:rPr>
          <w:rFonts w:ascii="Arial" w:eastAsia="Times New Roman" w:hAnsi="Arial" w:cs="Arial"/>
          <w:lang w:val="en-US" w:eastAsia="sk-SK"/>
        </w:rPr>
        <w:t xml:space="preserve">   .                                 </w:t>
      </w:r>
      <w:r>
        <w:rPr>
          <w:rFonts w:ascii="Arial" w:eastAsia="Times New Roman" w:hAnsi="Arial" w:cs="Arial"/>
          <w:lang w:val="en-US" w:eastAsia="sk-SK"/>
        </w:rPr>
        <w:t>(27</w:t>
      </w:r>
      <w:r w:rsidRPr="009B10AB">
        <w:rPr>
          <w:rFonts w:ascii="Arial" w:eastAsia="Times New Roman" w:hAnsi="Arial" w:cs="Arial"/>
          <w:lang w:val="en-US" w:eastAsia="sk-SK"/>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3F7FFB" w:rsidRDefault="00575A88" w:rsidP="00575A88">
      <w:pPr>
        <w:tabs>
          <w:tab w:val="left" w:pos="288"/>
        </w:tabs>
        <w:jc w:val="both"/>
        <w:rPr>
          <w:rFonts w:ascii="Arial" w:eastAsia="MS Mincho" w:hAnsi="Arial" w:cs="Arial"/>
          <w:spacing w:val="-1"/>
          <w:lang w:val="en-GB" w:eastAsia="sk-SK"/>
        </w:rPr>
      </w:pPr>
      <w:r w:rsidRPr="003F7FFB">
        <w:rPr>
          <w:rFonts w:ascii="Arial" w:eastAsia="MS Mincho" w:hAnsi="Arial" w:cs="Arial"/>
          <w:spacing w:val="-1"/>
          <w:lang w:val="en-GB" w:eastAsia="sk-SK"/>
        </w:rPr>
        <w:t xml:space="preserve">Then is changed a little the value  </w:t>
      </w:r>
      <w:r w:rsidRPr="006A7693">
        <w:rPr>
          <w:rFonts w:ascii="Arial" w:eastAsia="MS Mincho" w:hAnsi="Arial" w:cs="Arial"/>
          <w:spacing w:val="-1"/>
          <w:position w:val="-14"/>
          <w:lang w:val="en-GB" w:eastAsia="sk-SK"/>
        </w:rPr>
        <w:object w:dxaOrig="440" w:dyaOrig="420">
          <v:shape id="_x0000_i1342" type="#_x0000_t75" style="width:21.6pt;height:21.6pt" o:ole="">
            <v:imagedata r:id="rId819" o:title=""/>
          </v:shape>
          <o:OLEObject Type="Embed" ProgID="Equation.3" ShapeID="_x0000_i1342" DrawAspect="Content" ObjectID="_1660649439" r:id="rId820"/>
        </w:object>
      </w:r>
      <w:r w:rsidRPr="003F7FFB">
        <w:rPr>
          <w:rFonts w:ascii="Arial" w:eastAsia="MS Mincho" w:hAnsi="Arial" w:cs="Arial"/>
          <w:spacing w:val="-1"/>
          <w:lang w:val="en-GB" w:eastAsia="sk-SK"/>
        </w:rPr>
        <w:t xml:space="preserve">  to the values  </w:t>
      </w:r>
      <w:r w:rsidRPr="006A7693">
        <w:rPr>
          <w:rFonts w:ascii="Arial" w:eastAsia="MS Mincho" w:hAnsi="Arial" w:cs="Arial"/>
          <w:spacing w:val="-1"/>
          <w:position w:val="-14"/>
          <w:lang w:val="en-GB" w:eastAsia="sk-SK"/>
        </w:rPr>
        <w:object w:dxaOrig="880" w:dyaOrig="420">
          <v:shape id="_x0000_i1343" type="#_x0000_t75" style="width:43.2pt;height:21.6pt" o:ole="">
            <v:imagedata r:id="rId821" o:title=""/>
          </v:shape>
          <o:OLEObject Type="Embed" ProgID="Equation.3" ShapeID="_x0000_i1343" DrawAspect="Content" ObjectID="_1660649440" r:id="rId822"/>
        </w:object>
      </w:r>
      <w:r w:rsidRPr="003F7FFB">
        <w:rPr>
          <w:rFonts w:ascii="Arial" w:eastAsia="MS Mincho" w:hAnsi="Arial" w:cs="Arial"/>
          <w:spacing w:val="-1"/>
          <w:lang w:val="en-GB" w:eastAsia="sk-SK"/>
        </w:rPr>
        <w:t xml:space="preserve"> , where  </w:t>
      </w:r>
      <w:r w:rsidRPr="003F7FFB">
        <w:rPr>
          <w:rFonts w:ascii="Arial" w:eastAsia="MS Mincho" w:hAnsi="Arial" w:cs="Arial"/>
          <w:spacing w:val="-1"/>
          <w:position w:val="-10"/>
          <w:lang w:val="en-GB" w:eastAsia="sk-SK"/>
        </w:rPr>
        <w:object w:dxaOrig="620" w:dyaOrig="320">
          <v:shape id="_x0000_i1344" type="#_x0000_t75" style="width:28.8pt;height:14.4pt" o:ole="">
            <v:imagedata r:id="rId823" o:title=""/>
          </v:shape>
          <o:OLEObject Type="Embed" ProgID="Equation.3" ShapeID="_x0000_i1344" DrawAspect="Content" ObjectID="_1660649441" r:id="rId824"/>
        </w:object>
      </w:r>
      <w:r w:rsidRPr="003F7FFB">
        <w:rPr>
          <w:rFonts w:ascii="Arial" w:eastAsia="MS Mincho" w:hAnsi="Arial" w:cs="Arial"/>
          <w:spacing w:val="-1"/>
          <w:lang w:val="en-US" w:eastAsia="sk-SK"/>
        </w:rPr>
        <w:t xml:space="preserve"> </w:t>
      </w:r>
      <w:r w:rsidRPr="003F7FFB">
        <w:rPr>
          <w:rFonts w:ascii="Arial" w:eastAsia="MS Mincho" w:hAnsi="Arial" w:cs="Arial"/>
          <w:spacing w:val="-1"/>
          <w:lang w:val="en-GB" w:eastAsia="sk-SK"/>
        </w:rPr>
        <w:t xml:space="preserve"> is the given step and two corresponding values  </w:t>
      </w:r>
      <w:r w:rsidRPr="006A7693">
        <w:rPr>
          <w:rFonts w:ascii="Arial" w:eastAsia="MS Mincho" w:hAnsi="Arial" w:cs="Arial"/>
          <w:spacing w:val="-1"/>
          <w:position w:val="-14"/>
          <w:lang w:val="en-US" w:eastAsia="sk-SK"/>
        </w:rPr>
        <w:object w:dxaOrig="1480" w:dyaOrig="420">
          <v:shape id="_x0000_i1345" type="#_x0000_t75" style="width:1in;height:21.6pt" o:ole="">
            <v:imagedata r:id="rId825" o:title=""/>
          </v:shape>
          <o:OLEObject Type="Embed" ProgID="Equation.3" ShapeID="_x0000_i1345" DrawAspect="Content" ObjectID="_1660649442" r:id="rId826"/>
        </w:object>
      </w:r>
      <w:r w:rsidRPr="003F7FFB">
        <w:rPr>
          <w:rFonts w:ascii="Arial" w:eastAsia="MS Mincho" w:hAnsi="Arial" w:cs="Arial"/>
          <w:spacing w:val="-1"/>
          <w:lang w:val="en-GB" w:eastAsia="sk-SK"/>
        </w:rPr>
        <w:t xml:space="preserve"> ,  </w:t>
      </w:r>
      <w:r w:rsidRPr="006A7693">
        <w:rPr>
          <w:rFonts w:ascii="Arial" w:eastAsia="MS Mincho" w:hAnsi="Arial" w:cs="Arial"/>
          <w:spacing w:val="-1"/>
          <w:position w:val="-14"/>
          <w:lang w:val="en-US" w:eastAsia="sk-SK"/>
        </w:rPr>
        <w:object w:dxaOrig="1460" w:dyaOrig="420">
          <v:shape id="_x0000_i1346" type="#_x0000_t75" style="width:1in;height:21.6pt" o:ole="">
            <v:imagedata r:id="rId827" o:title=""/>
          </v:shape>
          <o:OLEObject Type="Embed" ProgID="Equation.3" ShapeID="_x0000_i1346" DrawAspect="Content" ObjectID="_1660649443" r:id="rId828"/>
        </w:object>
      </w:r>
      <w:r w:rsidRPr="003F7FFB">
        <w:rPr>
          <w:rFonts w:ascii="Arial" w:eastAsia="MS Mincho" w:hAnsi="Arial" w:cs="Arial"/>
          <w:spacing w:val="-1"/>
          <w:lang w:val="en-US" w:eastAsia="sk-SK"/>
        </w:rPr>
        <w:t xml:space="preserve">  </w:t>
      </w:r>
      <w:r w:rsidRPr="003F7FFB">
        <w:rPr>
          <w:rFonts w:ascii="Arial" w:eastAsia="MS Mincho" w:hAnsi="Arial" w:cs="Arial"/>
          <w:spacing w:val="-1"/>
          <w:lang w:val="en-GB" w:eastAsia="sk-SK"/>
        </w:rPr>
        <w:t xml:space="preserve">are computed. The new value of the solution at grid point  </w:t>
      </w:r>
      <w:r w:rsidRPr="006A7693">
        <w:rPr>
          <w:rFonts w:ascii="Arial" w:eastAsia="MS Mincho" w:hAnsi="Arial" w:cs="Arial"/>
          <w:spacing w:val="-1"/>
          <w:position w:val="-14"/>
          <w:lang w:val="en-GB" w:eastAsia="sk-SK"/>
        </w:rPr>
        <w:object w:dxaOrig="1240" w:dyaOrig="380">
          <v:shape id="_x0000_i1347" type="#_x0000_t75" style="width:64.8pt;height:21.6pt" o:ole="">
            <v:imagedata r:id="rId829" o:title=""/>
          </v:shape>
          <o:OLEObject Type="Embed" ProgID="Equation.3" ShapeID="_x0000_i1347" DrawAspect="Content" ObjectID="_1660649444" r:id="rId830"/>
        </w:object>
      </w:r>
      <w:r w:rsidRPr="003F7FFB">
        <w:rPr>
          <w:rFonts w:ascii="Arial" w:eastAsia="MS Mincho" w:hAnsi="Arial" w:cs="Arial"/>
          <w:spacing w:val="-1"/>
          <w:lang w:val="en-GB" w:eastAsia="sk-SK"/>
        </w:rPr>
        <w:t xml:space="preserve">  is chosen from the values  </w:t>
      </w:r>
      <w:r w:rsidRPr="006A7693">
        <w:rPr>
          <w:rFonts w:ascii="Arial" w:eastAsia="MS Mincho" w:hAnsi="Arial" w:cs="Arial"/>
          <w:spacing w:val="-1"/>
          <w:position w:val="-14"/>
          <w:lang w:val="en-GB" w:eastAsia="sk-SK"/>
        </w:rPr>
        <w:object w:dxaOrig="420" w:dyaOrig="420">
          <v:shape id="_x0000_i1348" type="#_x0000_t75" style="width:21.6pt;height:21.6pt" o:ole="">
            <v:imagedata r:id="rId831" o:title=""/>
          </v:shape>
          <o:OLEObject Type="Embed" ProgID="Equation.3" ShapeID="_x0000_i1348" DrawAspect="Content" ObjectID="_1660649445" r:id="rId832"/>
        </w:object>
      </w:r>
      <w:r w:rsidRPr="003F7FFB">
        <w:rPr>
          <w:rFonts w:ascii="Arial" w:eastAsia="MS Mincho" w:hAnsi="Arial" w:cs="Arial"/>
          <w:spacing w:val="-1"/>
          <w:lang w:val="en-GB" w:eastAsia="sk-SK"/>
        </w:rPr>
        <w:t xml:space="preserve"> ,  </w:t>
      </w:r>
      <w:r w:rsidRPr="006A7693">
        <w:rPr>
          <w:rFonts w:ascii="Arial" w:eastAsia="MS Mincho" w:hAnsi="Arial" w:cs="Arial"/>
          <w:spacing w:val="-1"/>
          <w:position w:val="-14"/>
          <w:lang w:val="en-GB" w:eastAsia="sk-SK"/>
        </w:rPr>
        <w:object w:dxaOrig="840" w:dyaOrig="420">
          <v:shape id="_x0000_i1349" type="#_x0000_t75" style="width:43.2pt;height:21.6pt" o:ole="">
            <v:imagedata r:id="rId833" o:title=""/>
          </v:shape>
          <o:OLEObject Type="Embed" ProgID="Equation.3" ShapeID="_x0000_i1349" DrawAspect="Content" ObjectID="_1660649446" r:id="rId834"/>
        </w:object>
      </w:r>
      <w:r w:rsidRPr="003F7FFB">
        <w:rPr>
          <w:rFonts w:ascii="Arial" w:eastAsia="MS Mincho" w:hAnsi="Arial" w:cs="Arial"/>
          <w:spacing w:val="-1"/>
          <w:lang w:val="en-GB" w:eastAsia="sk-SK"/>
        </w:rPr>
        <w:t xml:space="preserve"> ,  </w:t>
      </w:r>
      <w:r w:rsidRPr="006A7693">
        <w:rPr>
          <w:rFonts w:ascii="Arial" w:eastAsia="MS Mincho" w:hAnsi="Arial" w:cs="Arial"/>
          <w:spacing w:val="-1"/>
          <w:position w:val="-14"/>
          <w:lang w:val="en-GB" w:eastAsia="sk-SK"/>
        </w:rPr>
        <w:object w:dxaOrig="880" w:dyaOrig="420">
          <v:shape id="_x0000_i1350" type="#_x0000_t75" style="width:43.2pt;height:21.6pt" o:ole="">
            <v:imagedata r:id="rId835" o:title=""/>
          </v:shape>
          <o:OLEObject Type="Embed" ProgID="Equation.3" ShapeID="_x0000_i1350" DrawAspect="Content" ObjectID="_1660649447" r:id="rId836"/>
        </w:object>
      </w:r>
      <w:r w:rsidRPr="003F7FFB">
        <w:rPr>
          <w:rFonts w:ascii="Arial" w:eastAsia="MS Mincho" w:hAnsi="Arial" w:cs="Arial"/>
          <w:spacing w:val="-1"/>
          <w:lang w:val="en-GB" w:eastAsia="sk-SK"/>
        </w:rPr>
        <w:t xml:space="preserve">  and it is this one which corresponds to the minimum value of  </w:t>
      </w:r>
      <w:r w:rsidRPr="006A7693">
        <w:rPr>
          <w:rFonts w:ascii="Arial" w:eastAsia="MS Mincho" w:hAnsi="Arial" w:cs="Arial"/>
          <w:spacing w:val="-1"/>
          <w:position w:val="-14"/>
          <w:lang w:val="en-US" w:eastAsia="sk-SK"/>
        </w:rPr>
        <w:object w:dxaOrig="1060" w:dyaOrig="420">
          <v:shape id="_x0000_i1351" type="#_x0000_t75" style="width:50.4pt;height:21.6pt" o:ole="">
            <v:imagedata r:id="rId837" o:title=""/>
          </v:shape>
          <o:OLEObject Type="Embed" ProgID="Equation.3" ShapeID="_x0000_i1351" DrawAspect="Content" ObjectID="_1660649448" r:id="rId838"/>
        </w:object>
      </w:r>
      <w:r w:rsidRPr="003F7FFB">
        <w:rPr>
          <w:rFonts w:ascii="Arial" w:eastAsia="MS Mincho" w:hAnsi="Arial" w:cs="Arial"/>
          <w:spacing w:val="-1"/>
          <w:lang w:val="en-US" w:eastAsia="sk-SK"/>
        </w:rPr>
        <w:t xml:space="preserve"> </w:t>
      </w:r>
      <w:r w:rsidRPr="003F7FFB">
        <w:rPr>
          <w:rFonts w:ascii="Arial" w:eastAsia="MS Mincho" w:hAnsi="Arial" w:cs="Arial"/>
          <w:spacing w:val="-1"/>
          <w:lang w:val="en-GB" w:eastAsia="sk-SK"/>
        </w:rPr>
        <w:t xml:space="preserve">,   </w:t>
      </w:r>
      <w:r w:rsidRPr="006A7693">
        <w:rPr>
          <w:rFonts w:ascii="Arial" w:eastAsia="MS Mincho" w:hAnsi="Arial" w:cs="Arial"/>
          <w:spacing w:val="-1"/>
          <w:position w:val="-14"/>
          <w:lang w:val="en-US" w:eastAsia="sk-SK"/>
        </w:rPr>
        <w:object w:dxaOrig="1480" w:dyaOrig="420">
          <v:shape id="_x0000_i1352" type="#_x0000_t75" style="width:1in;height:21.6pt" o:ole="">
            <v:imagedata r:id="rId839" o:title=""/>
          </v:shape>
          <o:OLEObject Type="Embed" ProgID="Equation.3" ShapeID="_x0000_i1352" DrawAspect="Content" ObjectID="_1660649449" r:id="rId840"/>
        </w:object>
      </w:r>
      <w:r w:rsidRPr="003F7FFB">
        <w:rPr>
          <w:rFonts w:ascii="Arial" w:eastAsia="MS Mincho" w:hAnsi="Arial" w:cs="Arial"/>
          <w:spacing w:val="-1"/>
          <w:lang w:val="en-US" w:eastAsia="sk-SK"/>
        </w:rPr>
        <w:t xml:space="preserve"> </w:t>
      </w:r>
      <w:r w:rsidRPr="003F7FFB">
        <w:rPr>
          <w:rFonts w:ascii="Arial" w:eastAsia="MS Mincho" w:hAnsi="Arial" w:cs="Arial"/>
          <w:spacing w:val="-1"/>
          <w:lang w:val="en-GB" w:eastAsia="sk-SK"/>
        </w:rPr>
        <w:t xml:space="preserve">,  </w:t>
      </w:r>
      <w:r w:rsidRPr="006A7693">
        <w:rPr>
          <w:rFonts w:ascii="Arial" w:eastAsia="MS Mincho" w:hAnsi="Arial" w:cs="Arial"/>
          <w:spacing w:val="-1"/>
          <w:position w:val="-14"/>
          <w:lang w:val="en-US" w:eastAsia="sk-SK"/>
        </w:rPr>
        <w:object w:dxaOrig="1520" w:dyaOrig="420">
          <v:shape id="_x0000_i1353" type="#_x0000_t75" style="width:79.2pt;height:21.6pt" o:ole="">
            <v:imagedata r:id="rId841" o:title=""/>
          </v:shape>
          <o:OLEObject Type="Embed" ProgID="Equation.3" ShapeID="_x0000_i1353" DrawAspect="Content" ObjectID="_1660649450" r:id="rId842"/>
        </w:object>
      </w:r>
      <w:r w:rsidRPr="003F7FFB">
        <w:rPr>
          <w:rFonts w:ascii="Arial" w:eastAsia="MS Mincho" w:hAnsi="Arial" w:cs="Arial"/>
          <w:spacing w:val="-1"/>
          <w:lang w:val="en-US" w:eastAsia="sk-SK"/>
        </w:rPr>
        <w:t xml:space="preserve"> </w:t>
      </w:r>
      <w:r w:rsidRPr="003F7FFB">
        <w:rPr>
          <w:rFonts w:ascii="Arial" w:eastAsia="MS Mincho" w:hAnsi="Arial" w:cs="Arial"/>
          <w:spacing w:val="-1"/>
          <w:lang w:val="en-GB" w:eastAsia="sk-SK"/>
        </w:rPr>
        <w:t xml:space="preserve">.    The iteration is finished after we have gone through all interior grid points. Then the value of  </w:t>
      </w:r>
      <w:r w:rsidRPr="003F7FFB">
        <w:rPr>
          <w:rFonts w:ascii="Arial" w:eastAsia="MS Mincho" w:hAnsi="Arial" w:cs="Arial"/>
          <w:spacing w:val="-1"/>
          <w:position w:val="-4"/>
          <w:lang w:val="en-GB" w:eastAsia="sk-SK"/>
        </w:rPr>
        <w:object w:dxaOrig="139" w:dyaOrig="260">
          <v:shape id="_x0000_i1354" type="#_x0000_t75" style="width:7.2pt;height:14.4pt" o:ole="">
            <v:imagedata r:id="rId843" o:title=""/>
          </v:shape>
          <o:OLEObject Type="Embed" ProgID="Equation.3" ShapeID="_x0000_i1354" DrawAspect="Content" ObjectID="_1660649451" r:id="rId844"/>
        </w:object>
      </w:r>
      <w:r w:rsidRPr="003F7FFB">
        <w:rPr>
          <w:rFonts w:ascii="Arial" w:eastAsia="MS Mincho" w:hAnsi="Arial" w:cs="Arial"/>
          <w:spacing w:val="-1"/>
          <w:lang w:val="en-GB" w:eastAsia="sk-SK"/>
        </w:rPr>
        <w:t xml:space="preserve">  is calculated for such solution and the process is repeated until the value of  </w:t>
      </w:r>
      <w:r w:rsidRPr="003F7FFB">
        <w:rPr>
          <w:rFonts w:ascii="Arial" w:eastAsia="MS Mincho" w:hAnsi="Arial" w:cs="Arial"/>
          <w:spacing w:val="-1"/>
          <w:position w:val="-4"/>
          <w:lang w:val="en-GB" w:eastAsia="sk-SK"/>
        </w:rPr>
        <w:object w:dxaOrig="139" w:dyaOrig="260">
          <v:shape id="_x0000_i1355" type="#_x0000_t75" style="width:7.2pt;height:14.4pt" o:ole="">
            <v:imagedata r:id="rId845" o:title=""/>
          </v:shape>
          <o:OLEObject Type="Embed" ProgID="Equation.3" ShapeID="_x0000_i1355" DrawAspect="Content" ObjectID="_1660649452" r:id="rId846"/>
        </w:object>
      </w:r>
      <w:r w:rsidRPr="003F7FFB">
        <w:rPr>
          <w:rFonts w:ascii="Arial" w:eastAsia="MS Mincho" w:hAnsi="Arial" w:cs="Arial"/>
          <w:spacing w:val="-1"/>
          <w:lang w:val="en-GB" w:eastAsia="sk-SK"/>
        </w:rPr>
        <w:t xml:space="preserve"> is decreasing. Then it is possible to continue by dividing the step.</w:t>
      </w:r>
    </w:p>
    <w:p w:rsidR="00575A88" w:rsidRPr="00B3714F" w:rsidRDefault="00575A88" w:rsidP="00575A88">
      <w:pPr>
        <w:pStyle w:val="Textoindependiente"/>
        <w:ind w:firstLine="708"/>
        <w:jc w:val="both"/>
        <w:rPr>
          <w:rFonts w:ascii="Arial" w:hAnsi="Arial" w:cs="Arial"/>
          <w:b w:val="0"/>
          <w:sz w:val="24"/>
          <w:lang w:val="en-US"/>
        </w:rPr>
      </w:pPr>
      <w:r w:rsidRPr="00B3714F">
        <w:rPr>
          <w:rFonts w:ascii="Arial" w:hAnsi="Arial" w:cs="Arial"/>
          <w:b w:val="0"/>
          <w:sz w:val="24"/>
          <w:lang w:val="en-US"/>
        </w:rPr>
        <w:t>We can prove similarly to</w:t>
      </w:r>
      <w:r>
        <w:rPr>
          <w:rFonts w:ascii="Arial" w:hAnsi="Arial" w:cs="Arial"/>
          <w:b w:val="0"/>
          <w:noProof/>
          <w:sz w:val="24"/>
          <w:vertAlign w:val="superscript"/>
          <w:lang w:val="en-US"/>
        </w:rPr>
        <w:t>[4]</w:t>
      </w:r>
      <w:r w:rsidRPr="00B3714F">
        <w:rPr>
          <w:rFonts w:ascii="Arial" w:hAnsi="Arial" w:cs="Arial"/>
          <w:b w:val="0"/>
          <w:sz w:val="24"/>
          <w:lang w:val="en-US"/>
        </w:rPr>
        <w:t xml:space="preserve"> the following important theorem:</w:t>
      </w:r>
    </w:p>
    <w:p w:rsidR="00575A88" w:rsidRPr="00B3714F" w:rsidRDefault="00575A88" w:rsidP="00575A88">
      <w:pPr>
        <w:pStyle w:val="Textoindependiente"/>
        <w:jc w:val="both"/>
        <w:rPr>
          <w:rFonts w:ascii="Arial" w:hAnsi="Arial" w:cs="Arial"/>
          <w:b w:val="0"/>
          <w:sz w:val="24"/>
          <w:lang w:val="en-US"/>
        </w:rPr>
      </w:pPr>
      <w:r w:rsidRPr="00B3714F">
        <w:rPr>
          <w:rFonts w:ascii="Arial" w:hAnsi="Arial" w:cs="Arial"/>
          <w:b w:val="0"/>
          <w:sz w:val="24"/>
          <w:lang w:val="en-US"/>
        </w:rPr>
        <w:t>THEOREM. L</w:t>
      </w:r>
      <w:r>
        <w:rPr>
          <w:rFonts w:ascii="Arial" w:hAnsi="Arial" w:cs="Arial"/>
          <w:b w:val="0"/>
          <w:sz w:val="24"/>
          <w:lang w:val="en-US"/>
        </w:rPr>
        <w:t>et the electrical conductivity</w:t>
      </w:r>
      <w:r w:rsidRPr="00B3714F">
        <w:rPr>
          <w:rFonts w:ascii="Arial" w:hAnsi="Arial" w:cs="Arial"/>
          <w:b w:val="0"/>
          <w:sz w:val="24"/>
          <w:lang w:val="en-US"/>
        </w:rPr>
        <w:t xml:space="preserve"> </w:t>
      </w:r>
      <w:r>
        <w:rPr>
          <w:rFonts w:ascii="Arial" w:hAnsi="Arial" w:cs="Arial"/>
          <w:b w:val="0"/>
          <w:sz w:val="24"/>
          <w:lang w:val="en-US"/>
        </w:rPr>
        <w:t>is piecewise smooth function</w:t>
      </w:r>
      <w:r w:rsidRPr="00B3714F">
        <w:rPr>
          <w:rFonts w:ascii="Arial" w:hAnsi="Arial" w:cs="Arial"/>
          <w:b w:val="0"/>
          <w:sz w:val="24"/>
          <w:lang w:val="en-US"/>
        </w:rPr>
        <w:t xml:space="preserve">. Then the method of local variations </w:t>
      </w:r>
      <w:r>
        <w:rPr>
          <w:rFonts w:ascii="Arial" w:hAnsi="Arial" w:cs="Arial"/>
          <w:b w:val="0"/>
          <w:sz w:val="24"/>
          <w:lang w:val="en-US"/>
        </w:rPr>
        <w:t>is convergent for the problem (4), (3</w:t>
      </w:r>
      <w:r w:rsidRPr="00B3714F">
        <w:rPr>
          <w:rFonts w:ascii="Arial" w:hAnsi="Arial" w:cs="Arial"/>
          <w:b w:val="0"/>
          <w:sz w:val="24"/>
          <w:lang w:val="en-US"/>
        </w:rPr>
        <w:t>).</w:t>
      </w:r>
    </w:p>
    <w:p w:rsidR="00575A88" w:rsidRDefault="00575A88" w:rsidP="00575A88">
      <w:pPr>
        <w:pStyle w:val="Textoindependiente"/>
        <w:ind w:firstLine="708"/>
        <w:jc w:val="both"/>
        <w:rPr>
          <w:rFonts w:ascii="Arial" w:hAnsi="Arial" w:cs="Arial"/>
          <w:b w:val="0"/>
          <w:sz w:val="24"/>
          <w:lang w:val="en-US"/>
        </w:rPr>
      </w:pPr>
      <w:r w:rsidRPr="00B3714F">
        <w:rPr>
          <w:rFonts w:ascii="Arial" w:hAnsi="Arial" w:cs="Arial"/>
          <w:b w:val="0"/>
          <w:sz w:val="24"/>
          <w:lang w:val="en-US"/>
        </w:rPr>
        <w:t>The program realization of the method of local variations for the problem is elaborated in the programming language Fortran 77.</w:t>
      </w:r>
    </w:p>
    <w:p w:rsidR="00575A88" w:rsidRPr="00B3714F" w:rsidRDefault="00575A88" w:rsidP="00575A88">
      <w:pPr>
        <w:ind w:firstLine="708"/>
        <w:jc w:val="both"/>
        <w:rPr>
          <w:rFonts w:ascii="Arial" w:hAnsi="Arial" w:cs="Arial"/>
          <w:lang w:val="en-US"/>
        </w:rPr>
      </w:pPr>
      <w:r w:rsidRPr="00B3714F">
        <w:rPr>
          <w:rFonts w:ascii="Arial" w:hAnsi="Arial" w:cs="Arial"/>
          <w:lang w:val="en-GB"/>
        </w:rPr>
        <w:t xml:space="preserve">Numerical experiments are done from a mathematical point of view. </w:t>
      </w:r>
      <w:r w:rsidRPr="00B3714F">
        <w:rPr>
          <w:rFonts w:ascii="Arial" w:hAnsi="Arial" w:cs="Arial"/>
          <w:lang w:val="en-US"/>
        </w:rPr>
        <w:t xml:space="preserve">This means that at first is constructed the problem with the exact solution, afterwards is computed the numerical solution of this problem using the </w:t>
      </w:r>
      <w:r w:rsidRPr="00B3714F">
        <w:rPr>
          <w:rFonts w:ascii="Arial" w:hAnsi="Arial" w:cs="Arial"/>
          <w:bCs/>
          <w:lang w:val="en-US"/>
        </w:rPr>
        <w:t>method of local variations</w:t>
      </w:r>
      <w:r w:rsidRPr="00B3714F">
        <w:rPr>
          <w:rFonts w:ascii="Arial" w:hAnsi="Arial" w:cs="Arial"/>
          <w:lang w:val="en-US"/>
        </w:rPr>
        <w:t xml:space="preserve"> and in the end the computed numerical solution is compared it with the exact one.</w:t>
      </w:r>
    </w:p>
    <w:p w:rsidR="00575A88" w:rsidRDefault="00575A88" w:rsidP="00575A88">
      <w:pPr>
        <w:pStyle w:val="Textoindependiente"/>
        <w:ind w:firstLine="567"/>
        <w:jc w:val="both"/>
        <w:rPr>
          <w:rFonts w:ascii="Arial" w:hAnsi="Arial" w:cs="Arial"/>
          <w:b w:val="0"/>
          <w:sz w:val="24"/>
          <w:lang w:val="en-GB"/>
        </w:rPr>
      </w:pPr>
      <w:r w:rsidRPr="00B3714F">
        <w:rPr>
          <w:rFonts w:ascii="Arial" w:hAnsi="Arial" w:cs="Arial"/>
          <w:b w:val="0"/>
          <w:sz w:val="24"/>
          <w:lang w:val="en-GB"/>
        </w:rPr>
        <w:t>The numerical solutions were computed for different values of electrical conductivities of the media and for different values of the voltage potential on the boundary of the media.</w:t>
      </w:r>
    </w:p>
    <w:p w:rsidR="00575A88" w:rsidRDefault="00575A88" w:rsidP="00575A88">
      <w:pPr>
        <w:pStyle w:val="Textoindependiente"/>
        <w:ind w:firstLine="567"/>
        <w:rPr>
          <w:rFonts w:ascii="Arial" w:hAnsi="Arial" w:cs="Arial"/>
          <w:b w:val="0"/>
          <w:sz w:val="24"/>
          <w:lang w:val="en-GB"/>
        </w:rPr>
      </w:pPr>
      <w:r w:rsidRPr="007317B3">
        <w:rPr>
          <w:rFonts w:ascii="Arial" w:hAnsi="Arial" w:cs="Arial"/>
          <w:b w:val="0"/>
          <w:sz w:val="24"/>
          <w:lang w:val="en-GB"/>
        </w:rPr>
        <w:t>For the following voltage potential</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7B1A51" w:rsidRDefault="00575A88" w:rsidP="00575A88">
      <w:pPr>
        <w:pStyle w:val="equation"/>
        <w:spacing w:before="0" w:after="0" w:line="240" w:lineRule="auto"/>
        <w:jc w:val="right"/>
        <w:rPr>
          <w:rFonts w:ascii="Arial" w:hAnsi="Arial" w:cs="Arial"/>
          <w:sz w:val="24"/>
          <w:szCs w:val="24"/>
        </w:rPr>
      </w:pPr>
      <w:r>
        <w:rPr>
          <w:rFonts w:ascii="Arial" w:hAnsi="Arial" w:cs="Arial"/>
          <w:position w:val="-10"/>
          <w:sz w:val="24"/>
          <w:szCs w:val="24"/>
        </w:rPr>
        <w:lastRenderedPageBreak/>
        <w:t xml:space="preserve">                                                         </w:t>
      </w:r>
      <w:r w:rsidRPr="007B1A51">
        <w:rPr>
          <w:rFonts w:ascii="Arial" w:hAnsi="Arial" w:cs="Arial"/>
          <w:position w:val="-10"/>
          <w:sz w:val="24"/>
          <w:szCs w:val="24"/>
        </w:rPr>
        <w:object w:dxaOrig="1700" w:dyaOrig="380">
          <v:shape id="_x0000_i1356" type="#_x0000_t75" style="width:86.4pt;height:21.6pt" o:ole="">
            <v:imagedata r:id="rId847" o:title=""/>
          </v:shape>
          <o:OLEObject Type="Embed" ProgID="Equation.3" ShapeID="_x0000_i1356" DrawAspect="Content" ObjectID="_1660649453" r:id="rId848"/>
        </w:object>
      </w:r>
      <w:r>
        <w:rPr>
          <w:rFonts w:ascii="Arial" w:hAnsi="Arial" w:cs="Arial"/>
          <w:sz w:val="24"/>
          <w:szCs w:val="24"/>
        </w:rPr>
        <w:t xml:space="preserve">                                                    </w:t>
      </w:r>
      <w:r w:rsidRPr="007B1A51">
        <w:rPr>
          <w:rFonts w:ascii="Arial" w:hAnsi="Arial" w:cs="Arial"/>
          <w:sz w:val="24"/>
          <w:szCs w:val="24"/>
        </w:rPr>
        <w:t>(</w:t>
      </w:r>
      <w:r>
        <w:rPr>
          <w:rFonts w:ascii="Arial" w:hAnsi="Arial" w:cs="Arial"/>
          <w:sz w:val="24"/>
          <w:szCs w:val="24"/>
        </w:rPr>
        <w:t>28</w:t>
      </w:r>
      <w:r w:rsidRPr="007B1A51">
        <w:rPr>
          <w:rFonts w:ascii="Arial" w:hAnsi="Arial" w:cs="Arial"/>
          <w:sz w:val="24"/>
          <w:szCs w:val="24"/>
        </w:rPr>
        <w:t>)</w:t>
      </w:r>
    </w:p>
    <w:p w:rsidR="00575A88" w:rsidRDefault="00575A88" w:rsidP="00575A88">
      <w:pPr>
        <w:pStyle w:val="Textoindependiente"/>
        <w:rPr>
          <w:rFonts w:ascii="Arial" w:hAnsi="Arial" w:cs="Arial"/>
          <w:b w:val="0"/>
          <w:sz w:val="24"/>
          <w:lang w:val="en-US"/>
        </w:rPr>
      </w:pPr>
      <w:r>
        <w:rPr>
          <w:rFonts w:ascii="Arial" w:hAnsi="Arial" w:cs="Arial"/>
          <w:b w:val="0"/>
          <w:sz w:val="24"/>
          <w:lang w:val="en-US"/>
        </w:rPr>
        <w:t>in polar coordinates</w:t>
      </w:r>
    </w:p>
    <w:p w:rsidR="00575A88" w:rsidRPr="00686F00" w:rsidRDefault="00575A88" w:rsidP="00575A88">
      <w:pPr>
        <w:pStyle w:val="equation"/>
        <w:spacing w:before="0" w:after="0" w:line="240" w:lineRule="auto"/>
        <w:jc w:val="right"/>
        <w:rPr>
          <w:rFonts w:ascii="Arial" w:hAnsi="Arial" w:cs="Arial"/>
          <w:sz w:val="24"/>
          <w:szCs w:val="24"/>
        </w:rPr>
      </w:pPr>
      <w:r>
        <w:rPr>
          <w:rFonts w:ascii="Arial" w:hAnsi="Arial" w:cs="Arial"/>
          <w:position w:val="-10"/>
          <w:sz w:val="24"/>
          <w:szCs w:val="24"/>
        </w:rPr>
        <w:t xml:space="preserve">                                                         </w:t>
      </w:r>
      <w:r w:rsidRPr="007B1A51">
        <w:rPr>
          <w:rFonts w:ascii="Arial" w:hAnsi="Arial" w:cs="Arial"/>
          <w:position w:val="-10"/>
          <w:sz w:val="24"/>
          <w:szCs w:val="24"/>
        </w:rPr>
        <w:object w:dxaOrig="1100" w:dyaOrig="380">
          <v:shape id="_x0000_i1357" type="#_x0000_t75" style="width:57.6pt;height:21.6pt" o:ole="">
            <v:imagedata r:id="rId849" o:title=""/>
          </v:shape>
          <o:OLEObject Type="Embed" ProgID="Equation.3" ShapeID="_x0000_i1357" DrawAspect="Content" ObjectID="_1660649454" r:id="rId850"/>
        </w:object>
      </w:r>
      <w:r>
        <w:rPr>
          <w:rFonts w:ascii="Arial" w:hAnsi="Arial" w:cs="Arial"/>
          <w:sz w:val="24"/>
          <w:szCs w:val="24"/>
        </w:rPr>
        <w:t xml:space="preserve">                                                         </w:t>
      </w:r>
      <w:r w:rsidRPr="007B1A51">
        <w:rPr>
          <w:rFonts w:ascii="Arial" w:hAnsi="Arial" w:cs="Arial"/>
          <w:sz w:val="24"/>
          <w:szCs w:val="24"/>
        </w:rPr>
        <w:t>(</w:t>
      </w:r>
      <w:r>
        <w:rPr>
          <w:rFonts w:ascii="Arial" w:hAnsi="Arial" w:cs="Arial"/>
          <w:sz w:val="24"/>
          <w:szCs w:val="24"/>
        </w:rPr>
        <w:t>29)</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Textoindependiente"/>
        <w:rPr>
          <w:rFonts w:ascii="Arial" w:hAnsi="Arial" w:cs="Arial"/>
          <w:b w:val="0"/>
          <w:sz w:val="24"/>
          <w:lang w:val="en-US"/>
        </w:rPr>
      </w:pPr>
      <w:r w:rsidRPr="007317B3">
        <w:rPr>
          <w:rFonts w:ascii="Arial" w:hAnsi="Arial" w:cs="Arial"/>
          <w:b w:val="0"/>
          <w:sz w:val="24"/>
          <w:lang w:val="en-US"/>
        </w:rPr>
        <w:t xml:space="preserve">the </w:t>
      </w:r>
      <w:r w:rsidRPr="005D77D7">
        <w:rPr>
          <w:rFonts w:ascii="Arial" w:hAnsi="Arial" w:cs="Arial"/>
          <w:b w:val="0"/>
          <w:sz w:val="24"/>
          <w:lang w:val="en-US"/>
        </w:rPr>
        <w:t>homogeneous</w:t>
      </w:r>
      <w:r>
        <w:rPr>
          <w:rFonts w:ascii="Arial" w:hAnsi="Arial" w:cs="Arial"/>
          <w:b w:val="0"/>
          <w:sz w:val="24"/>
          <w:lang w:val="en-US"/>
        </w:rPr>
        <w:t xml:space="preserve"> </w:t>
      </w:r>
      <w:r w:rsidRPr="007317B3">
        <w:rPr>
          <w:rFonts w:ascii="Arial" w:hAnsi="Arial" w:cs="Arial"/>
          <w:b w:val="0"/>
          <w:sz w:val="24"/>
          <w:lang w:val="en-US"/>
        </w:rPr>
        <w:t>electrical conductivity</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9A216B" w:rsidRDefault="00575A88" w:rsidP="00575A88">
      <w:pPr>
        <w:pStyle w:val="Textoindependiente"/>
        <w:jc w:val="right"/>
        <w:rPr>
          <w:rFonts w:ascii="Arial" w:hAnsi="Arial" w:cs="Arial"/>
          <w:b w:val="0"/>
          <w:sz w:val="24"/>
          <w:lang w:val="en-US"/>
        </w:rPr>
      </w:pPr>
      <w:r w:rsidRPr="009A216B">
        <w:rPr>
          <w:rFonts w:ascii="Arial" w:hAnsi="Arial" w:cs="Arial"/>
          <w:b w:val="0"/>
          <w:position w:val="-10"/>
          <w:sz w:val="24"/>
          <w:lang w:val="en-US"/>
        </w:rPr>
        <w:t xml:space="preserve">                                                            </w:t>
      </w:r>
      <w:r w:rsidRPr="009A216B">
        <w:rPr>
          <w:rFonts w:ascii="Arial" w:hAnsi="Arial" w:cs="Arial"/>
          <w:b w:val="0"/>
          <w:position w:val="-10"/>
          <w:sz w:val="24"/>
        </w:rPr>
        <w:object w:dxaOrig="980" w:dyaOrig="320">
          <v:shape id="_x0000_i1358" type="#_x0000_t75" style="width:50.4pt;height:14.4pt" o:ole="">
            <v:imagedata r:id="rId851" o:title=""/>
          </v:shape>
          <o:OLEObject Type="Embed" ProgID="Equation.3" ShapeID="_x0000_i1358" DrawAspect="Content" ObjectID="_1660649455" r:id="rId852"/>
        </w:object>
      </w:r>
      <w:r w:rsidRPr="009A216B">
        <w:rPr>
          <w:rFonts w:ascii="Arial" w:hAnsi="Arial" w:cs="Arial"/>
          <w:b w:val="0"/>
          <w:sz w:val="24"/>
          <w:lang w:val="en-US"/>
        </w:rPr>
        <w:t xml:space="preserve">                                                           </w:t>
      </w:r>
      <w:r>
        <w:rPr>
          <w:rFonts w:ascii="Arial" w:hAnsi="Arial" w:cs="Arial"/>
          <w:b w:val="0"/>
          <w:sz w:val="24"/>
          <w:lang w:val="en-US"/>
        </w:rPr>
        <w:t>(30</w:t>
      </w:r>
      <w:r w:rsidRPr="009A216B">
        <w:rPr>
          <w:rFonts w:ascii="Arial" w:hAnsi="Arial" w:cs="Arial"/>
          <w:b w:val="0"/>
          <w:sz w:val="24"/>
          <w:lang w:val="en-US"/>
        </w:rPr>
        <w:t xml:space="preserve">) </w:t>
      </w:r>
    </w:p>
    <w:p w:rsidR="00575A88" w:rsidRDefault="00575A88" w:rsidP="00575A88">
      <w:pPr>
        <w:pStyle w:val="08Text"/>
        <w:spacing w:before="0"/>
        <w:ind w:firstLine="0"/>
        <w:jc w:val="both"/>
        <w:rPr>
          <w:sz w:val="24"/>
          <w:szCs w:val="24"/>
        </w:rPr>
      </w:pPr>
      <w:r w:rsidRPr="009A216B">
        <w:rPr>
          <w:sz w:val="24"/>
          <w:szCs w:val="24"/>
        </w:rPr>
        <w:t>for corresponding free charge</w:t>
      </w:r>
    </w:p>
    <w:p w:rsidR="00575A88" w:rsidRDefault="00575A88" w:rsidP="00575A88">
      <w:pPr>
        <w:pStyle w:val="Textoindependiente"/>
        <w:jc w:val="right"/>
        <w:rPr>
          <w:rFonts w:ascii="Arial" w:hAnsi="Arial" w:cs="Arial"/>
          <w:b w:val="0"/>
          <w:sz w:val="24"/>
          <w:lang w:val="en-US"/>
        </w:rPr>
      </w:pPr>
      <w:r>
        <w:rPr>
          <w:rFonts w:ascii="Arial" w:hAnsi="Arial" w:cs="Arial"/>
          <w:b w:val="0"/>
          <w:position w:val="-10"/>
          <w:sz w:val="24"/>
          <w:lang w:val="en-US"/>
        </w:rPr>
        <w:t xml:space="preserve">                  </w:t>
      </w:r>
      <w:r w:rsidRPr="009A216B">
        <w:rPr>
          <w:rFonts w:ascii="Arial" w:hAnsi="Arial" w:cs="Arial"/>
          <w:b w:val="0"/>
          <w:position w:val="-10"/>
          <w:sz w:val="24"/>
          <w:lang w:val="en-US"/>
        </w:rPr>
        <w:t xml:space="preserve">                                       </w:t>
      </w:r>
      <w:r w:rsidRPr="009A216B">
        <w:rPr>
          <w:rFonts w:ascii="Arial" w:hAnsi="Arial" w:cs="Arial"/>
          <w:b w:val="0"/>
          <w:position w:val="-10"/>
          <w:sz w:val="24"/>
        </w:rPr>
        <w:object w:dxaOrig="1200" w:dyaOrig="320">
          <v:shape id="_x0000_i1359" type="#_x0000_t75" style="width:57.6pt;height:14.4pt" o:ole="">
            <v:imagedata r:id="rId853" o:title=""/>
          </v:shape>
          <o:OLEObject Type="Embed" ProgID="Equation.3" ShapeID="_x0000_i1359" DrawAspect="Content" ObjectID="_1660649456" r:id="rId854"/>
        </w:object>
      </w:r>
      <w:r w:rsidRPr="009A216B">
        <w:rPr>
          <w:rFonts w:ascii="Arial" w:hAnsi="Arial" w:cs="Arial"/>
          <w:b w:val="0"/>
          <w:sz w:val="24"/>
          <w:lang w:val="en-US"/>
        </w:rPr>
        <w:t xml:space="preserve">                    </w:t>
      </w:r>
      <w:r>
        <w:rPr>
          <w:rFonts w:ascii="Arial" w:hAnsi="Arial" w:cs="Arial"/>
          <w:b w:val="0"/>
          <w:sz w:val="24"/>
          <w:lang w:val="en-US"/>
        </w:rPr>
        <w:t xml:space="preserve">               </w:t>
      </w:r>
      <w:r w:rsidRPr="009A216B">
        <w:rPr>
          <w:rFonts w:ascii="Arial" w:hAnsi="Arial" w:cs="Arial"/>
          <w:b w:val="0"/>
          <w:sz w:val="24"/>
          <w:lang w:val="en-US"/>
        </w:rPr>
        <w:t xml:space="preserve">                      </w:t>
      </w:r>
      <w:r>
        <w:rPr>
          <w:rFonts w:ascii="Arial" w:hAnsi="Arial" w:cs="Arial"/>
          <w:b w:val="0"/>
          <w:sz w:val="24"/>
          <w:lang w:val="en-US"/>
        </w:rPr>
        <w:t>(31</w:t>
      </w:r>
      <w:r w:rsidRPr="009A216B">
        <w:rPr>
          <w:rFonts w:ascii="Arial" w:hAnsi="Arial" w:cs="Arial"/>
          <w:b w:val="0"/>
          <w:sz w:val="24"/>
          <w:lang w:val="en-US"/>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7317B3" w:rsidRDefault="00575A88" w:rsidP="00575A88">
      <w:pPr>
        <w:pStyle w:val="08Text"/>
        <w:spacing w:before="0"/>
        <w:ind w:firstLine="0"/>
        <w:jc w:val="both"/>
        <w:rPr>
          <w:sz w:val="24"/>
          <w:szCs w:val="24"/>
          <w:lang w:val="en-US"/>
        </w:rPr>
      </w:pPr>
      <w:r>
        <w:rPr>
          <w:sz w:val="24"/>
          <w:szCs w:val="24"/>
        </w:rPr>
        <w:t>using (30), (31</w:t>
      </w:r>
      <w:r w:rsidRPr="009A216B">
        <w:rPr>
          <w:sz w:val="24"/>
          <w:szCs w:val="24"/>
        </w:rPr>
        <w:t>) and the boundary conditions constructed from (</w:t>
      </w:r>
      <w:r>
        <w:rPr>
          <w:sz w:val="24"/>
          <w:szCs w:val="24"/>
        </w:rPr>
        <w:t>29</w:t>
      </w:r>
      <w:r w:rsidRPr="009A216B">
        <w:rPr>
          <w:sz w:val="24"/>
          <w:szCs w:val="24"/>
        </w:rPr>
        <w:t xml:space="preserve">), using the </w:t>
      </w:r>
      <w:r w:rsidRPr="009A216B">
        <w:rPr>
          <w:sz w:val="24"/>
          <w:szCs w:val="24"/>
          <w:lang w:val="en-US"/>
        </w:rPr>
        <w:t>program</w:t>
      </w:r>
      <w:r w:rsidRPr="007317B3">
        <w:rPr>
          <w:sz w:val="24"/>
          <w:szCs w:val="24"/>
          <w:lang w:val="en-US"/>
        </w:rPr>
        <w:t xml:space="preserve"> realization of the </w:t>
      </w:r>
      <w:r w:rsidRPr="007317B3">
        <w:rPr>
          <w:bCs/>
          <w:sz w:val="24"/>
          <w:szCs w:val="24"/>
          <w:lang w:val="en-US"/>
        </w:rPr>
        <w:t>method of local variations</w:t>
      </w:r>
      <w:r w:rsidRPr="007317B3">
        <w:rPr>
          <w:sz w:val="24"/>
          <w:szCs w:val="24"/>
        </w:rPr>
        <w:t xml:space="preserve">  in the Table 1 it is able to see the percentage of errors in the computed solutions in the second column with respect to the exact solutions of the meshes given in the first column.  In the third column are reported the numbers of iterations after which the numerical solution is obtained on the given mesh. F</w:t>
      </w:r>
      <w:r w:rsidRPr="007317B3">
        <w:rPr>
          <w:sz w:val="24"/>
          <w:szCs w:val="24"/>
          <w:lang w:val="en-US"/>
        </w:rPr>
        <w:t>rom the results</w:t>
      </w:r>
      <w:r>
        <w:rPr>
          <w:sz w:val="24"/>
          <w:szCs w:val="24"/>
          <w:lang w:val="en-US"/>
        </w:rPr>
        <w:t xml:space="preserve"> it is possible to see that</w:t>
      </w:r>
      <w:r w:rsidRPr="007317B3">
        <w:rPr>
          <w:sz w:val="24"/>
          <w:szCs w:val="24"/>
          <w:lang w:val="en-US"/>
        </w:rPr>
        <w:t xml:space="preserve"> small errors</w:t>
      </w:r>
      <w:r w:rsidRPr="007317B3">
        <w:rPr>
          <w:sz w:val="24"/>
          <w:szCs w:val="24"/>
          <w:lang w:val="en-US" w:eastAsia="el-GR"/>
        </w:rPr>
        <w:t xml:space="preserve"> </w:t>
      </w:r>
      <w:r w:rsidRPr="007317B3">
        <w:rPr>
          <w:sz w:val="24"/>
          <w:szCs w:val="24"/>
          <w:lang w:val="en-US"/>
        </w:rPr>
        <w:t>are obtained for a course mesh and when the number of grid points increases, errors also increase slightly but are still small.</w:t>
      </w:r>
    </w:p>
    <w:p w:rsidR="00575A88" w:rsidRDefault="00575A88" w:rsidP="00575A88">
      <w:pPr>
        <w:pStyle w:val="Textoindependiente"/>
        <w:jc w:val="both"/>
        <w:rPr>
          <w:rFonts w:ascii="Arial" w:hAnsi="Arial" w:cs="Arial"/>
          <w:b w:val="0"/>
          <w:sz w:val="24"/>
          <w:lang w:val="en-GB"/>
        </w:rPr>
      </w:pPr>
    </w:p>
    <w:p w:rsidR="00575A88" w:rsidRPr="007B73B9" w:rsidRDefault="00575A88" w:rsidP="00575A88">
      <w:pPr>
        <w:numPr>
          <w:ilvl w:val="0"/>
          <w:numId w:val="1"/>
        </w:numPr>
        <w:tabs>
          <w:tab w:val="clear" w:pos="432"/>
          <w:tab w:val="num" w:pos="0"/>
        </w:tabs>
        <w:suppressAutoHyphens/>
        <w:spacing w:after="0" w:line="360" w:lineRule="auto"/>
        <w:ind w:left="0" w:firstLine="0"/>
        <w:jc w:val="center"/>
        <w:rPr>
          <w:rFonts w:ascii="Arial" w:eastAsia="Times New Roman" w:hAnsi="Arial" w:cs="Arial"/>
          <w:bCs/>
          <w:i/>
          <w:noProof/>
          <w:sz w:val="20"/>
          <w:szCs w:val="20"/>
          <w:lang w:val="en-US" w:eastAsia="en-GB"/>
        </w:rPr>
      </w:pPr>
      <w:r w:rsidRPr="007B73B9">
        <w:rPr>
          <w:rFonts w:ascii="Arial" w:eastAsia="Times New Roman" w:hAnsi="Arial" w:cs="Arial"/>
          <w:bCs/>
          <w:i/>
          <w:noProof/>
          <w:sz w:val="20"/>
          <w:szCs w:val="20"/>
          <w:lang w:val="en-US" w:eastAsia="en-GB"/>
        </w:rPr>
        <w:t>Tabla 1. Nume</w:t>
      </w:r>
      <w:r>
        <w:rPr>
          <w:rFonts w:ascii="Arial" w:eastAsia="Times New Roman" w:hAnsi="Arial" w:cs="Arial"/>
          <w:bCs/>
          <w:i/>
          <w:noProof/>
          <w:sz w:val="20"/>
          <w:szCs w:val="20"/>
          <w:lang w:val="en-US" w:eastAsia="en-GB"/>
        </w:rPr>
        <w:t>rical results for the problem (24</w:t>
      </w:r>
      <w:r w:rsidRPr="007B73B9">
        <w:rPr>
          <w:rFonts w:ascii="Arial" w:eastAsia="Times New Roman" w:hAnsi="Arial" w:cs="Arial"/>
          <w:bCs/>
          <w:i/>
          <w:noProof/>
          <w:sz w:val="20"/>
          <w:szCs w:val="20"/>
          <w:lang w:val="en-US" w:eastAsia="en-GB"/>
        </w:rPr>
        <w:t xml:space="preserve">) </w:t>
      </w:r>
      <w:r>
        <w:rPr>
          <w:rFonts w:ascii="Arial" w:eastAsia="Times New Roman" w:hAnsi="Arial" w:cs="Arial"/>
          <w:bCs/>
          <w:i/>
          <w:noProof/>
          <w:sz w:val="20"/>
          <w:szCs w:val="20"/>
          <w:lang w:val="en-US" w:eastAsia="en-GB"/>
        </w:rPr>
        <w:t xml:space="preserve">- </w:t>
      </w:r>
      <w:r w:rsidRPr="007B73B9">
        <w:rPr>
          <w:rFonts w:ascii="Arial" w:eastAsia="Times New Roman" w:hAnsi="Arial" w:cs="Arial"/>
          <w:bCs/>
          <w:i/>
          <w:noProof/>
          <w:sz w:val="20"/>
          <w:szCs w:val="20"/>
          <w:lang w:val="en-US" w:eastAsia="en-GB"/>
        </w:rPr>
        <w:t>(</w:t>
      </w:r>
      <w:r>
        <w:rPr>
          <w:rFonts w:ascii="Arial" w:eastAsia="Times New Roman" w:hAnsi="Arial" w:cs="Arial"/>
          <w:bCs/>
          <w:i/>
          <w:noProof/>
          <w:sz w:val="20"/>
          <w:szCs w:val="20"/>
          <w:lang w:val="en-US" w:eastAsia="en-GB"/>
        </w:rPr>
        <w:t>31</w:t>
      </w:r>
      <w:r w:rsidRPr="007B73B9">
        <w:rPr>
          <w:rFonts w:ascii="Arial" w:eastAsia="Times New Roman" w:hAnsi="Arial" w:cs="Arial"/>
          <w:bCs/>
          <w:i/>
          <w:noProof/>
          <w:sz w:val="20"/>
          <w:szCs w:val="20"/>
          <w:lang w:val="en-US" w:eastAsia="en-GB"/>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9"/>
        <w:gridCol w:w="1560"/>
        <w:gridCol w:w="1855"/>
      </w:tblGrid>
      <w:tr w:rsidR="00575A88" w:rsidRPr="00006C68" w:rsidTr="007F2707">
        <w:trPr>
          <w:jc w:val="center"/>
        </w:trPr>
        <w:tc>
          <w:tcPr>
            <w:tcW w:w="1559"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Pr>
                <w:rFonts w:ascii="Arial" w:eastAsia="Times New Roman" w:hAnsi="Arial"/>
                <w:b/>
                <w:sz w:val="20"/>
                <w:szCs w:val="20"/>
                <w:lang w:eastAsia="es-ES"/>
              </w:rPr>
              <w:t>Mesh</w:t>
            </w:r>
          </w:p>
        </w:tc>
        <w:tc>
          <w:tcPr>
            <w:tcW w:w="1560"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sidRPr="004B4336">
              <w:rPr>
                <w:rFonts w:ascii="Arial" w:eastAsia="Times New Roman" w:hAnsi="Arial"/>
                <w:b/>
                <w:sz w:val="20"/>
                <w:szCs w:val="20"/>
                <w:lang w:eastAsia="es-ES"/>
              </w:rPr>
              <w:t xml:space="preserve">Percent error (%) </w:t>
            </w:r>
          </w:p>
        </w:tc>
        <w:tc>
          <w:tcPr>
            <w:tcW w:w="1855"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sidRPr="004B4336">
              <w:rPr>
                <w:rFonts w:ascii="Arial" w:eastAsia="Times New Roman" w:hAnsi="Arial"/>
                <w:b/>
                <w:sz w:val="20"/>
                <w:szCs w:val="20"/>
                <w:lang w:eastAsia="es-ES"/>
              </w:rPr>
              <w:t>Number of iterations</w:t>
            </w:r>
          </w:p>
        </w:tc>
      </w:tr>
      <w:tr w:rsidR="00575A88" w:rsidRPr="004B4336" w:rsidTr="007F2707">
        <w:trPr>
          <w:jc w:val="center"/>
        </w:trPr>
        <w:tc>
          <w:tcPr>
            <w:tcW w:w="1559" w:type="dxa"/>
            <w:tcBorders>
              <w:bottom w:val="nil"/>
            </w:tcBorders>
            <w:vAlign w:val="center"/>
          </w:tcPr>
          <w:p w:rsidR="00575A88" w:rsidRPr="00006C68" w:rsidRDefault="00575A88" w:rsidP="007F2707">
            <w:pPr>
              <w:keepLines/>
              <w:spacing w:before="60"/>
              <w:jc w:val="center"/>
              <w:rPr>
                <w:rFonts w:ascii="Arial" w:eastAsia="Times New Roman" w:hAnsi="Arial"/>
                <w:sz w:val="20"/>
                <w:szCs w:val="20"/>
                <w:lang w:eastAsia="es-ES"/>
              </w:rPr>
            </w:pPr>
            <w:r>
              <w:rPr>
                <w:rFonts w:ascii="Arial" w:eastAsia="Times New Roman" w:hAnsi="Arial"/>
                <w:sz w:val="20"/>
                <w:szCs w:val="20"/>
                <w:lang w:eastAsia="es-ES"/>
              </w:rPr>
              <w:t>4   x   8</w:t>
            </w:r>
          </w:p>
        </w:tc>
        <w:tc>
          <w:tcPr>
            <w:tcW w:w="1560"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2</w:t>
            </w:r>
            <w:r w:rsidRPr="004B4336">
              <w:rPr>
                <w:rFonts w:ascii="Arial" w:eastAsia="Times New Roman" w:hAnsi="Arial"/>
                <w:sz w:val="20"/>
                <w:szCs w:val="20"/>
                <w:lang w:val="en-US" w:eastAsia="es-ES"/>
              </w:rPr>
              <w:t>.</w:t>
            </w:r>
            <w:r>
              <w:rPr>
                <w:rFonts w:ascii="Arial" w:eastAsia="Times New Roman" w:hAnsi="Arial"/>
                <w:sz w:val="20"/>
                <w:szCs w:val="20"/>
                <w:lang w:val="en-US" w:eastAsia="es-ES"/>
              </w:rPr>
              <w:t>2</w:t>
            </w:r>
            <w:r w:rsidRPr="004B4336">
              <w:rPr>
                <w:rFonts w:ascii="Arial" w:eastAsia="Times New Roman" w:hAnsi="Arial"/>
                <w:sz w:val="20"/>
                <w:szCs w:val="20"/>
                <w:lang w:val="en-US" w:eastAsia="es-ES"/>
              </w:rPr>
              <w:t xml:space="preserve">  10</w:t>
            </w:r>
            <w:r>
              <w:rPr>
                <w:rFonts w:ascii="Arial" w:eastAsia="Times New Roman" w:hAnsi="Arial"/>
                <w:sz w:val="20"/>
                <w:szCs w:val="20"/>
                <w:vertAlign w:val="superscript"/>
                <w:lang w:val="en-US" w:eastAsia="es-ES"/>
              </w:rPr>
              <w:t>-5</w:t>
            </w:r>
          </w:p>
        </w:tc>
        <w:tc>
          <w:tcPr>
            <w:tcW w:w="1855"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36</w:t>
            </w:r>
          </w:p>
        </w:tc>
      </w:tr>
      <w:tr w:rsidR="00575A88" w:rsidRPr="004B4336" w:rsidTr="007F2707">
        <w:trPr>
          <w:jc w:val="center"/>
        </w:trPr>
        <w:tc>
          <w:tcPr>
            <w:tcW w:w="1559" w:type="dxa"/>
            <w:tcBorders>
              <w:top w:val="nil"/>
              <w:bottom w:val="nil"/>
            </w:tcBorders>
            <w:vAlign w:val="center"/>
          </w:tcPr>
          <w:p w:rsidR="00575A88" w:rsidRPr="00140439" w:rsidRDefault="00575A88" w:rsidP="007F2707">
            <w:pPr>
              <w:keepLines/>
              <w:spacing w:before="60"/>
              <w:jc w:val="center"/>
              <w:rPr>
                <w:rFonts w:ascii="Arial" w:eastAsia="Times New Roman" w:hAnsi="Arial"/>
                <w:sz w:val="20"/>
                <w:szCs w:val="20"/>
                <w:lang w:val="en-US" w:eastAsia="es-ES"/>
              </w:rPr>
            </w:pPr>
            <w:r w:rsidRPr="00140439">
              <w:rPr>
                <w:rFonts w:ascii="Arial" w:eastAsia="Times New Roman" w:hAnsi="Arial"/>
                <w:sz w:val="20"/>
                <w:szCs w:val="20"/>
                <w:lang w:val="en-US" w:eastAsia="es-ES"/>
              </w:rPr>
              <w:t xml:space="preserve"> 8   x  16</w:t>
            </w:r>
          </w:p>
        </w:tc>
        <w:tc>
          <w:tcPr>
            <w:tcW w:w="1560"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4</w:t>
            </w:r>
            <w:r w:rsidRPr="004B4336">
              <w:rPr>
                <w:rFonts w:ascii="Arial" w:eastAsia="Times New Roman" w:hAnsi="Arial"/>
                <w:sz w:val="20"/>
                <w:szCs w:val="20"/>
                <w:lang w:val="en-US" w:eastAsia="es-ES"/>
              </w:rPr>
              <w:t>.</w:t>
            </w:r>
            <w:r>
              <w:rPr>
                <w:rFonts w:ascii="Arial" w:eastAsia="Times New Roman" w:hAnsi="Arial"/>
                <w:sz w:val="20"/>
                <w:szCs w:val="20"/>
                <w:lang w:val="en-US" w:eastAsia="es-ES"/>
              </w:rPr>
              <w:t>8</w:t>
            </w:r>
            <w:r w:rsidRPr="004B4336">
              <w:rPr>
                <w:rFonts w:ascii="Arial" w:eastAsia="Times New Roman" w:hAnsi="Arial"/>
                <w:sz w:val="20"/>
                <w:szCs w:val="20"/>
                <w:lang w:val="en-US" w:eastAsia="es-ES"/>
              </w:rPr>
              <w:t xml:space="preserve">  10</w:t>
            </w:r>
            <w:r>
              <w:rPr>
                <w:rFonts w:ascii="Arial" w:eastAsia="Times New Roman" w:hAnsi="Arial"/>
                <w:sz w:val="20"/>
                <w:szCs w:val="20"/>
                <w:vertAlign w:val="superscript"/>
                <w:lang w:val="en-US" w:eastAsia="es-ES"/>
              </w:rPr>
              <w:t>-4</w:t>
            </w:r>
          </w:p>
        </w:tc>
        <w:tc>
          <w:tcPr>
            <w:tcW w:w="1855"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311</w:t>
            </w:r>
          </w:p>
        </w:tc>
      </w:tr>
      <w:tr w:rsidR="00575A88" w:rsidRPr="004B4336" w:rsidTr="007F2707">
        <w:trPr>
          <w:jc w:val="center"/>
        </w:trPr>
        <w:tc>
          <w:tcPr>
            <w:tcW w:w="1559" w:type="dxa"/>
            <w:tcBorders>
              <w:top w:val="nil"/>
            </w:tcBorders>
            <w:vAlign w:val="center"/>
          </w:tcPr>
          <w:p w:rsidR="00575A88" w:rsidRPr="00301351" w:rsidRDefault="00575A88" w:rsidP="007F2707">
            <w:pPr>
              <w:keepLines/>
              <w:spacing w:before="60"/>
              <w:jc w:val="center"/>
              <w:rPr>
                <w:rFonts w:ascii="Arial" w:eastAsia="Times New Roman" w:hAnsi="Arial"/>
                <w:sz w:val="20"/>
                <w:szCs w:val="20"/>
                <w:lang w:val="en-US" w:eastAsia="es-ES"/>
              </w:rPr>
            </w:pPr>
            <w:r w:rsidRPr="00301351">
              <w:rPr>
                <w:rFonts w:ascii="Arial" w:eastAsia="Times New Roman" w:hAnsi="Arial"/>
                <w:sz w:val="20"/>
                <w:szCs w:val="20"/>
                <w:lang w:val="en-US" w:eastAsia="es-ES"/>
              </w:rPr>
              <w:t>16   x   32</w:t>
            </w:r>
          </w:p>
        </w:tc>
        <w:tc>
          <w:tcPr>
            <w:tcW w:w="1560"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9</w:t>
            </w:r>
            <w:r w:rsidRPr="004B4336">
              <w:rPr>
                <w:rFonts w:ascii="Arial" w:eastAsia="Times New Roman" w:hAnsi="Arial"/>
                <w:sz w:val="20"/>
                <w:szCs w:val="20"/>
                <w:lang w:val="en-US" w:eastAsia="es-ES"/>
              </w:rPr>
              <w:t>.</w:t>
            </w:r>
            <w:r>
              <w:rPr>
                <w:rFonts w:ascii="Arial" w:eastAsia="Times New Roman" w:hAnsi="Arial"/>
                <w:sz w:val="20"/>
                <w:szCs w:val="20"/>
                <w:lang w:val="en-US" w:eastAsia="es-ES"/>
              </w:rPr>
              <w:t>3</w:t>
            </w:r>
            <w:r w:rsidRPr="004B4336">
              <w:rPr>
                <w:rFonts w:ascii="Arial" w:eastAsia="Times New Roman" w:hAnsi="Arial"/>
                <w:sz w:val="20"/>
                <w:szCs w:val="20"/>
                <w:lang w:val="en-US" w:eastAsia="es-ES"/>
              </w:rPr>
              <w:t xml:space="preserve">  10</w:t>
            </w:r>
            <w:r>
              <w:rPr>
                <w:rFonts w:ascii="Arial" w:eastAsia="Times New Roman" w:hAnsi="Arial"/>
                <w:sz w:val="20"/>
                <w:szCs w:val="20"/>
                <w:vertAlign w:val="superscript"/>
                <w:lang w:val="en-US" w:eastAsia="es-ES"/>
              </w:rPr>
              <w:t>-3</w:t>
            </w:r>
          </w:p>
        </w:tc>
        <w:tc>
          <w:tcPr>
            <w:tcW w:w="1855"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1234</w:t>
            </w:r>
          </w:p>
        </w:tc>
      </w:tr>
    </w:tbl>
    <w:p w:rsidR="00575A88" w:rsidRDefault="00575A88" w:rsidP="00575A88">
      <w:pPr>
        <w:tabs>
          <w:tab w:val="left" w:pos="288"/>
        </w:tabs>
        <w:jc w:val="both"/>
        <w:rPr>
          <w:rFonts w:ascii="Arial" w:eastAsia="MS Mincho" w:hAnsi="Arial" w:cs="Arial"/>
          <w:spacing w:val="-1"/>
          <w:lang w:val="en-GB" w:eastAsia="sk-SK"/>
        </w:rPr>
      </w:pPr>
    </w:p>
    <w:p w:rsidR="00575A88" w:rsidRPr="00E7093F" w:rsidRDefault="00575A88" w:rsidP="00575A88">
      <w:pPr>
        <w:tabs>
          <w:tab w:val="left" w:pos="288"/>
        </w:tabs>
        <w:ind w:firstLine="567"/>
        <w:jc w:val="both"/>
        <w:rPr>
          <w:rFonts w:ascii="Arial" w:eastAsia="MS Mincho" w:hAnsi="Arial" w:cs="Arial"/>
          <w:spacing w:val="-1"/>
          <w:lang w:val="en-GB" w:eastAsia="sk-SK"/>
        </w:rPr>
      </w:pPr>
      <w:r>
        <w:rPr>
          <w:rFonts w:ascii="Arial" w:eastAsia="MS Mincho" w:hAnsi="Arial" w:cs="Arial"/>
          <w:spacing w:val="-1"/>
          <w:lang w:val="en-GB" w:eastAsia="sk-SK"/>
        </w:rPr>
        <w:tab/>
      </w:r>
      <w:r w:rsidRPr="00E7093F">
        <w:rPr>
          <w:rFonts w:ascii="Arial" w:eastAsia="MS Mincho" w:hAnsi="Arial" w:cs="Arial"/>
          <w:spacing w:val="-1"/>
          <w:lang w:val="en-GB" w:eastAsia="sk-SK"/>
        </w:rPr>
        <w:t>For the following voltage potential</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E7093F" w:rsidRDefault="00575A88" w:rsidP="00575A88">
      <w:pPr>
        <w:tabs>
          <w:tab w:val="left" w:pos="288"/>
        </w:tabs>
        <w:jc w:val="right"/>
        <w:rPr>
          <w:rFonts w:ascii="Arial" w:eastAsia="MS Mincho" w:hAnsi="Arial" w:cs="Arial"/>
          <w:spacing w:val="-1"/>
          <w:lang w:val="en-GB" w:eastAsia="sk-SK"/>
        </w:rPr>
      </w:pPr>
      <w:r>
        <w:rPr>
          <w:rFonts w:ascii="Arial" w:eastAsia="MS Mincho" w:hAnsi="Arial" w:cs="Arial"/>
          <w:spacing w:val="-1"/>
          <w:lang w:val="en-US" w:eastAsia="sk-SK"/>
        </w:rPr>
        <w:t xml:space="preserve">                                                    </w:t>
      </w:r>
      <w:r w:rsidRPr="005020A1">
        <w:rPr>
          <w:rFonts w:ascii="Arial" w:eastAsia="MS Mincho" w:hAnsi="Arial" w:cs="Arial"/>
          <w:spacing w:val="-1"/>
          <w:position w:val="-10"/>
          <w:lang w:val="en-US" w:eastAsia="sk-SK"/>
        </w:rPr>
        <w:object w:dxaOrig="2560" w:dyaOrig="320">
          <v:shape id="_x0000_i1360" type="#_x0000_t75" style="width:129.6pt;height:14.4pt" o:ole="">
            <v:imagedata r:id="rId855" o:title=""/>
          </v:shape>
          <o:OLEObject Type="Embed" ProgID="Equation.3" ShapeID="_x0000_i1360" DrawAspect="Content" ObjectID="_1660649457" r:id="rId856"/>
        </w:object>
      </w:r>
      <w:r>
        <w:rPr>
          <w:rFonts w:ascii="Arial" w:eastAsia="MS Mincho" w:hAnsi="Arial" w:cs="Arial"/>
          <w:spacing w:val="-1"/>
          <w:lang w:val="en-US" w:eastAsia="sk-SK"/>
        </w:rPr>
        <w:t xml:space="preserve">                                             </w:t>
      </w:r>
      <w:r w:rsidRPr="00E7093F">
        <w:rPr>
          <w:rFonts w:ascii="Arial" w:eastAsia="MS Mincho" w:hAnsi="Arial" w:cs="Arial"/>
          <w:spacing w:val="-1"/>
          <w:lang w:val="en-US" w:eastAsia="sk-SK"/>
        </w:rPr>
        <w:t>(</w:t>
      </w:r>
      <w:r>
        <w:rPr>
          <w:rFonts w:ascii="Arial" w:eastAsia="MS Mincho" w:hAnsi="Arial" w:cs="Arial"/>
          <w:spacing w:val="-1"/>
          <w:lang w:val="en-US" w:eastAsia="sk-SK"/>
        </w:rPr>
        <w:t>32</w:t>
      </w:r>
      <w:r w:rsidRPr="00E7093F">
        <w:rPr>
          <w:rFonts w:ascii="Arial" w:eastAsia="MS Mincho" w:hAnsi="Arial" w:cs="Arial"/>
          <w:spacing w:val="-1"/>
          <w:lang w:val="en-US" w:eastAsia="sk-SK"/>
        </w:rPr>
        <w:t>)</w:t>
      </w:r>
      <w:r>
        <w:rPr>
          <w:rFonts w:ascii="Arial" w:eastAsia="MS Mincho" w:hAnsi="Arial" w:cs="Arial"/>
          <w:spacing w:val="-1"/>
          <w:lang w:val="en-US" w:eastAsia="sk-SK"/>
        </w:rPr>
        <w:t xml:space="preserve">                  </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E7093F" w:rsidRDefault="00575A88" w:rsidP="00575A88">
      <w:pPr>
        <w:tabs>
          <w:tab w:val="left" w:pos="288"/>
        </w:tabs>
        <w:jc w:val="both"/>
        <w:rPr>
          <w:rFonts w:ascii="Arial" w:eastAsia="MS Mincho" w:hAnsi="Arial" w:cs="Arial"/>
          <w:spacing w:val="-1"/>
          <w:lang w:val="en-US" w:eastAsia="sk-SK"/>
        </w:rPr>
      </w:pPr>
      <w:r w:rsidRPr="00E7093F">
        <w:rPr>
          <w:rFonts w:ascii="Arial" w:eastAsia="MS Mincho" w:hAnsi="Arial" w:cs="Arial"/>
          <w:spacing w:val="-1"/>
          <w:lang w:val="en-US" w:eastAsia="sk-SK"/>
        </w:rPr>
        <w:t xml:space="preserve">the </w:t>
      </w:r>
      <w:r>
        <w:rPr>
          <w:rFonts w:ascii="Arial" w:eastAsia="MS Mincho" w:hAnsi="Arial" w:cs="Arial"/>
          <w:spacing w:val="-1"/>
          <w:lang w:val="en-US" w:eastAsia="sk-SK"/>
        </w:rPr>
        <w:t>non</w:t>
      </w:r>
      <w:r w:rsidRPr="0021647A">
        <w:rPr>
          <w:rFonts w:ascii="Arial" w:hAnsi="Arial" w:cs="Arial"/>
          <w:color w:val="000000"/>
          <w:lang w:val="en-US"/>
        </w:rPr>
        <w:t>homogeneous</w:t>
      </w:r>
      <w:r>
        <w:rPr>
          <w:rFonts w:ascii="Arial" w:hAnsi="Arial" w:cs="Arial"/>
          <w:color w:val="000000"/>
          <w:lang w:val="en-US"/>
        </w:rPr>
        <w:t xml:space="preserve"> </w:t>
      </w:r>
      <w:r w:rsidRPr="00E7093F">
        <w:rPr>
          <w:rFonts w:ascii="Arial" w:eastAsia="MS Mincho" w:hAnsi="Arial" w:cs="Arial"/>
          <w:spacing w:val="-1"/>
          <w:lang w:val="en-US" w:eastAsia="sk-SK"/>
        </w:rPr>
        <w:t>electrical conductivity</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tabs>
          <w:tab w:val="left" w:pos="288"/>
        </w:tabs>
        <w:jc w:val="right"/>
        <w:rPr>
          <w:rFonts w:ascii="Arial" w:eastAsia="MS Mincho" w:hAnsi="Arial" w:cs="Arial"/>
          <w:spacing w:val="-1"/>
          <w:lang w:val="en-US" w:eastAsia="sk-SK"/>
        </w:rPr>
      </w:pPr>
      <w:r>
        <w:rPr>
          <w:rFonts w:ascii="Arial" w:eastAsia="MS Mincho" w:hAnsi="Arial" w:cs="Arial"/>
          <w:spacing w:val="-1"/>
          <w:lang w:val="en-US" w:eastAsia="sk-SK"/>
        </w:rPr>
        <w:lastRenderedPageBreak/>
        <w:t xml:space="preserve">                                               </w:t>
      </w:r>
      <w:r w:rsidRPr="005020A1">
        <w:rPr>
          <w:rFonts w:ascii="Arial" w:eastAsia="MS Mincho" w:hAnsi="Arial" w:cs="Arial"/>
          <w:spacing w:val="-1"/>
          <w:position w:val="-10"/>
          <w:lang w:val="en-US" w:eastAsia="sk-SK"/>
        </w:rPr>
        <w:object w:dxaOrig="2820" w:dyaOrig="380">
          <v:shape id="_x0000_i1361" type="#_x0000_t75" style="width:2in;height:21.6pt" o:ole="">
            <v:imagedata r:id="rId857" o:title=""/>
          </v:shape>
          <o:OLEObject Type="Embed" ProgID="Equation.3" ShapeID="_x0000_i1361" DrawAspect="Content" ObjectID="_1660649458" r:id="rId858"/>
        </w:object>
      </w:r>
      <w:r w:rsidRPr="00E7093F">
        <w:rPr>
          <w:rFonts w:ascii="Arial" w:eastAsia="MS Mincho" w:hAnsi="Arial" w:cs="Arial"/>
          <w:spacing w:val="-1"/>
          <w:lang w:val="en-US" w:eastAsia="sk-SK"/>
        </w:rPr>
        <w:t xml:space="preserve"> </w:t>
      </w:r>
      <w:r>
        <w:rPr>
          <w:rFonts w:ascii="Arial" w:eastAsia="MS Mincho" w:hAnsi="Arial" w:cs="Arial"/>
          <w:spacing w:val="-1"/>
          <w:lang w:val="en-US" w:eastAsia="sk-SK"/>
        </w:rPr>
        <w:t xml:space="preserve">                                          </w:t>
      </w:r>
      <w:r w:rsidRPr="00E7093F">
        <w:rPr>
          <w:rFonts w:ascii="Arial" w:eastAsia="MS Mincho" w:hAnsi="Arial" w:cs="Arial"/>
          <w:spacing w:val="-1"/>
          <w:lang w:val="en-US" w:eastAsia="sk-SK"/>
        </w:rPr>
        <w:t>(</w:t>
      </w:r>
      <w:r>
        <w:rPr>
          <w:rFonts w:ascii="Arial" w:eastAsia="MS Mincho" w:hAnsi="Arial" w:cs="Arial"/>
          <w:spacing w:val="-1"/>
          <w:lang w:val="en-US" w:eastAsia="sk-SK"/>
        </w:rPr>
        <w:t>33</w:t>
      </w:r>
      <w:r w:rsidRPr="00E7093F">
        <w:rPr>
          <w:rFonts w:ascii="Arial" w:eastAsia="MS Mincho" w:hAnsi="Arial" w:cs="Arial"/>
          <w:spacing w:val="-1"/>
          <w:lang w:val="en-US" w:eastAsia="sk-SK"/>
        </w:rPr>
        <w:t>)</w:t>
      </w:r>
      <w:r>
        <w:rPr>
          <w:rFonts w:ascii="Arial" w:eastAsia="MS Mincho" w:hAnsi="Arial" w:cs="Arial"/>
          <w:spacing w:val="-1"/>
          <w:lang w:val="en-US" w:eastAsia="sk-SK"/>
        </w:rPr>
        <w:t xml:space="preserve">    </w:t>
      </w:r>
      <w:r w:rsidRPr="00E7093F">
        <w:rPr>
          <w:rFonts w:ascii="Arial" w:eastAsia="MS Mincho" w:hAnsi="Arial" w:cs="Arial"/>
          <w:spacing w:val="-1"/>
          <w:lang w:val="en-US" w:eastAsia="sk-SK"/>
        </w:rPr>
        <w:t xml:space="preserve">                                                                                                                                 </w:t>
      </w:r>
      <w:r>
        <w:rPr>
          <w:rFonts w:ascii="Arial" w:eastAsia="MS Mincho" w:hAnsi="Arial" w:cs="Arial"/>
          <w:spacing w:val="-1"/>
          <w:lang w:val="en-US" w:eastAsia="sk-SK"/>
        </w:rPr>
        <w:t xml:space="preserve"> </w:t>
      </w:r>
      <w:r w:rsidRPr="00DD7833">
        <w:rPr>
          <w:rFonts w:ascii="Arial" w:eastAsia="MS Mincho" w:hAnsi="Arial" w:cs="Arial"/>
          <w:spacing w:val="-1"/>
          <w:lang w:val="en-US" w:eastAsia="sk-SK"/>
        </w:rPr>
        <w:t xml:space="preserve">                                                                                                                                 </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08Text"/>
        <w:spacing w:before="0"/>
        <w:ind w:firstLine="0"/>
        <w:jc w:val="both"/>
        <w:rPr>
          <w:sz w:val="24"/>
          <w:szCs w:val="24"/>
        </w:rPr>
      </w:pPr>
      <w:r w:rsidRPr="009A216B">
        <w:rPr>
          <w:sz w:val="24"/>
          <w:szCs w:val="24"/>
        </w:rPr>
        <w:t>for corresponding free charge</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E7093F" w:rsidRDefault="00575A88" w:rsidP="00575A88">
      <w:pPr>
        <w:tabs>
          <w:tab w:val="left" w:pos="288"/>
        </w:tabs>
        <w:jc w:val="right"/>
        <w:rPr>
          <w:rFonts w:ascii="Arial" w:eastAsia="MS Mincho" w:hAnsi="Arial" w:cs="Arial"/>
          <w:spacing w:val="-1"/>
          <w:lang w:val="en-GB" w:eastAsia="sk-SK"/>
        </w:rPr>
      </w:pPr>
      <w:r>
        <w:rPr>
          <w:rFonts w:ascii="Arial" w:eastAsia="MS Mincho" w:hAnsi="Arial" w:cs="Arial"/>
          <w:spacing w:val="-1"/>
          <w:lang w:val="en-US" w:eastAsia="sk-SK"/>
        </w:rPr>
        <w:t xml:space="preserve">                                              </w:t>
      </w:r>
      <w:r w:rsidRPr="005020A1">
        <w:rPr>
          <w:rFonts w:ascii="Arial" w:eastAsia="MS Mincho" w:hAnsi="Arial" w:cs="Arial"/>
          <w:spacing w:val="-1"/>
          <w:position w:val="-10"/>
          <w:lang w:val="en-US" w:eastAsia="sk-SK"/>
        </w:rPr>
        <w:object w:dxaOrig="3120" w:dyaOrig="320">
          <v:shape id="_x0000_i1362" type="#_x0000_t75" style="width:158.4pt;height:14.4pt" o:ole="">
            <v:imagedata r:id="rId859" o:title=""/>
          </v:shape>
          <o:OLEObject Type="Embed" ProgID="Equation.3" ShapeID="_x0000_i1362" DrawAspect="Content" ObjectID="_1660649459" r:id="rId860"/>
        </w:object>
      </w:r>
      <w:r>
        <w:rPr>
          <w:rFonts w:ascii="Arial" w:eastAsia="MS Mincho" w:hAnsi="Arial" w:cs="Arial"/>
          <w:spacing w:val="-1"/>
          <w:lang w:val="en-US" w:eastAsia="sk-SK"/>
        </w:rPr>
        <w:t xml:space="preserve">                                           </w:t>
      </w:r>
      <w:r w:rsidRPr="00E7093F">
        <w:rPr>
          <w:rFonts w:ascii="Arial" w:eastAsia="MS Mincho" w:hAnsi="Arial" w:cs="Arial"/>
          <w:spacing w:val="-1"/>
          <w:lang w:val="en-US" w:eastAsia="sk-SK"/>
        </w:rPr>
        <w:t>(</w:t>
      </w:r>
      <w:r>
        <w:rPr>
          <w:rFonts w:ascii="Arial" w:eastAsia="MS Mincho" w:hAnsi="Arial" w:cs="Arial"/>
          <w:spacing w:val="-1"/>
          <w:lang w:val="en-US" w:eastAsia="sk-SK"/>
        </w:rPr>
        <w:t>34</w:t>
      </w:r>
      <w:r w:rsidRPr="00E7093F">
        <w:rPr>
          <w:rFonts w:ascii="Arial" w:eastAsia="MS Mincho" w:hAnsi="Arial" w:cs="Arial"/>
          <w:spacing w:val="-1"/>
          <w:lang w:val="en-US" w:eastAsia="sk-SK"/>
        </w:rPr>
        <w:t>)</w:t>
      </w:r>
      <w:r>
        <w:rPr>
          <w:rFonts w:ascii="Arial" w:eastAsia="MS Mincho" w:hAnsi="Arial" w:cs="Arial"/>
          <w:spacing w:val="-1"/>
          <w:lang w:val="en-US" w:eastAsia="sk-SK"/>
        </w:rPr>
        <w:t xml:space="preserve">                  </w:t>
      </w:r>
    </w:p>
    <w:p w:rsidR="00575A88" w:rsidRDefault="00575A88" w:rsidP="00575A88">
      <w:pPr>
        <w:pStyle w:val="Textoindependiente"/>
        <w:rPr>
          <w:rFonts w:ascii="Arial" w:hAnsi="Arial" w:cs="Arial"/>
          <w:b w:val="0"/>
          <w:sz w:val="24"/>
          <w:lang w:val="en-US"/>
        </w:rPr>
      </w:pPr>
      <w:r>
        <w:rPr>
          <w:rFonts w:ascii="Arial" w:hAnsi="Arial" w:cs="Arial"/>
          <w:b w:val="0"/>
          <w:sz w:val="24"/>
          <w:lang w:val="en-US"/>
        </w:rPr>
        <w:t>in polar coordinates</w:t>
      </w:r>
    </w:p>
    <w:p w:rsidR="00575A88" w:rsidRPr="00732661" w:rsidRDefault="00575A88" w:rsidP="00575A88">
      <w:pPr>
        <w:jc w:val="right"/>
        <w:rPr>
          <w:rFonts w:ascii="Arial" w:hAnsi="Arial" w:cs="Arial"/>
          <w:lang w:val="en-US" w:eastAsia="sk-SK"/>
        </w:rPr>
      </w:pPr>
      <w:r w:rsidRPr="0021647A">
        <w:rPr>
          <w:rFonts w:ascii="Arial" w:hAnsi="Arial" w:cs="Arial"/>
          <w:position w:val="-10"/>
          <w:lang w:val="en-US" w:eastAsia="sk-SK"/>
        </w:rPr>
        <w:object w:dxaOrig="2920" w:dyaOrig="320">
          <v:shape id="_x0000_i1363" type="#_x0000_t75" style="width:2in;height:14.4pt" o:ole="">
            <v:imagedata r:id="rId861" o:title=""/>
          </v:shape>
          <o:OLEObject Type="Embed" ProgID="Equation.3" ShapeID="_x0000_i1363" DrawAspect="Content" ObjectID="_1660649460" r:id="rId862"/>
        </w:object>
      </w:r>
      <w:r>
        <w:rPr>
          <w:rFonts w:ascii="Arial" w:hAnsi="Arial" w:cs="Arial"/>
          <w:lang w:val="en-US" w:eastAsia="sk-SK"/>
        </w:rPr>
        <w:t xml:space="preserve">   ,      </w:t>
      </w:r>
      <w:r w:rsidRPr="00732661">
        <w:rPr>
          <w:rFonts w:ascii="Arial" w:hAnsi="Arial" w:cs="Arial"/>
          <w:lang w:val="en-US" w:eastAsia="sk-SK"/>
        </w:rPr>
        <w:t xml:space="preserve">                                  </w:t>
      </w:r>
      <w:r>
        <w:rPr>
          <w:rFonts w:ascii="Arial" w:hAnsi="Arial" w:cs="Arial"/>
          <w:lang w:val="en-US" w:eastAsia="sk-SK"/>
        </w:rPr>
        <w:t>(35</w:t>
      </w:r>
      <w:r w:rsidRPr="00732661">
        <w:rPr>
          <w:rFonts w:ascii="Arial" w:hAnsi="Arial" w:cs="Arial"/>
          <w:lang w:val="en-US" w:eastAsia="sk-SK"/>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732661" w:rsidRDefault="00575A88" w:rsidP="00575A88">
      <w:pPr>
        <w:jc w:val="right"/>
        <w:rPr>
          <w:rFonts w:ascii="Arial" w:hAnsi="Arial" w:cs="Arial"/>
          <w:lang w:val="en-US" w:eastAsia="sk-SK"/>
        </w:rPr>
      </w:pPr>
      <w:r w:rsidRPr="0021647A">
        <w:rPr>
          <w:rFonts w:ascii="Arial" w:hAnsi="Arial" w:cs="Arial"/>
          <w:position w:val="-10"/>
          <w:lang w:val="en-US" w:eastAsia="sk-SK"/>
        </w:rPr>
        <w:object w:dxaOrig="4060" w:dyaOrig="400">
          <v:shape id="_x0000_i1364" type="#_x0000_t75" style="width:201.6pt;height:21.6pt" o:ole="">
            <v:imagedata r:id="rId863" o:title=""/>
          </v:shape>
          <o:OLEObject Type="Embed" ProgID="Equation.3" ShapeID="_x0000_i1364" DrawAspect="Content" ObjectID="_1660649461" r:id="rId864"/>
        </w:object>
      </w:r>
      <w:r>
        <w:rPr>
          <w:rFonts w:ascii="Arial" w:hAnsi="Arial" w:cs="Arial"/>
          <w:lang w:val="en-US" w:eastAsia="sk-SK"/>
        </w:rPr>
        <w:t xml:space="preserve">   ,     </w:t>
      </w:r>
      <w:r w:rsidRPr="00732661">
        <w:rPr>
          <w:rFonts w:ascii="Arial" w:hAnsi="Arial" w:cs="Arial"/>
          <w:lang w:val="en-US" w:eastAsia="sk-SK"/>
        </w:rPr>
        <w:t xml:space="preserve">                         </w:t>
      </w:r>
      <w:r>
        <w:rPr>
          <w:rFonts w:ascii="Arial" w:hAnsi="Arial" w:cs="Arial"/>
          <w:lang w:val="en-US" w:eastAsia="sk-SK"/>
        </w:rPr>
        <w:t>(36</w:t>
      </w:r>
      <w:r w:rsidRPr="00732661">
        <w:rPr>
          <w:rFonts w:ascii="Arial" w:hAnsi="Arial" w:cs="Arial"/>
          <w:lang w:val="en-US" w:eastAsia="sk-SK"/>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732661" w:rsidRDefault="00575A88" w:rsidP="00575A88">
      <w:pPr>
        <w:jc w:val="right"/>
        <w:rPr>
          <w:rFonts w:ascii="Arial" w:hAnsi="Arial" w:cs="Arial"/>
          <w:lang w:val="en-US" w:eastAsia="sk-SK"/>
        </w:rPr>
      </w:pPr>
      <w:r w:rsidRPr="0021647A">
        <w:rPr>
          <w:rFonts w:ascii="Arial" w:hAnsi="Arial" w:cs="Arial"/>
          <w:position w:val="-10"/>
          <w:lang w:val="en-US" w:eastAsia="sk-SK"/>
        </w:rPr>
        <w:object w:dxaOrig="3600" w:dyaOrig="320">
          <v:shape id="_x0000_i1365" type="#_x0000_t75" style="width:180pt;height:14.4pt" o:ole="">
            <v:imagedata r:id="rId865" o:title=""/>
          </v:shape>
          <o:OLEObject Type="Embed" ProgID="Equation.3" ShapeID="_x0000_i1365" DrawAspect="Content" ObjectID="_1660649462" r:id="rId866"/>
        </w:object>
      </w:r>
      <w:r>
        <w:rPr>
          <w:rFonts w:ascii="Arial" w:hAnsi="Arial" w:cs="Arial"/>
          <w:lang w:val="en-US" w:eastAsia="sk-SK"/>
        </w:rPr>
        <w:t xml:space="preserve">       </w:t>
      </w:r>
      <w:r w:rsidRPr="00732661">
        <w:rPr>
          <w:rFonts w:ascii="Arial" w:hAnsi="Arial" w:cs="Arial"/>
          <w:lang w:val="en-US" w:eastAsia="sk-SK"/>
        </w:rPr>
        <w:t xml:space="preserve">                              </w:t>
      </w:r>
      <w:r>
        <w:rPr>
          <w:rFonts w:ascii="Arial" w:hAnsi="Arial" w:cs="Arial"/>
          <w:lang w:val="en-US" w:eastAsia="sk-SK"/>
        </w:rPr>
        <w:t>(37</w:t>
      </w:r>
      <w:r w:rsidRPr="00732661">
        <w:rPr>
          <w:rFonts w:ascii="Arial" w:hAnsi="Arial" w:cs="Arial"/>
          <w:lang w:val="en-US" w:eastAsia="sk-SK"/>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tabs>
          <w:tab w:val="left" w:pos="288"/>
        </w:tabs>
        <w:jc w:val="both"/>
        <w:rPr>
          <w:rFonts w:ascii="Arial" w:eastAsia="MS Mincho" w:hAnsi="Arial" w:cs="Arial"/>
          <w:spacing w:val="-1"/>
          <w:lang w:val="en-GB" w:eastAsia="sk-SK"/>
        </w:rPr>
      </w:pPr>
      <w:r w:rsidRPr="00E7093F">
        <w:rPr>
          <w:rFonts w:ascii="Arial" w:eastAsia="MS Mincho" w:hAnsi="Arial" w:cs="Arial"/>
          <w:spacing w:val="-1"/>
          <w:lang w:val="en-US" w:eastAsia="sk-SK"/>
        </w:rPr>
        <w:t>as it is obvious from the Table 2 the accuracy of computation is not so good as in the previous case. This fact is caused by the discretization error, which is in this case greater than in the previous case.</w:t>
      </w:r>
      <w:r w:rsidRPr="00E7093F">
        <w:rPr>
          <w:rFonts w:ascii="Arial" w:eastAsia="MS Mincho" w:hAnsi="Arial" w:cs="Arial"/>
          <w:spacing w:val="-1"/>
          <w:lang w:val="en-GB" w:eastAsia="sk-SK"/>
        </w:rPr>
        <w:t xml:space="preserve"> From Table 2 it is seen that when the number of grid points increases, errors decrease.</w:t>
      </w:r>
    </w:p>
    <w:p w:rsidR="00575A88" w:rsidRDefault="00575A88" w:rsidP="00575A88">
      <w:pPr>
        <w:pStyle w:val="Textoindependiente"/>
        <w:jc w:val="both"/>
        <w:rPr>
          <w:rFonts w:ascii="Arial" w:hAnsi="Arial" w:cs="Arial"/>
          <w:b w:val="0"/>
          <w:sz w:val="24"/>
          <w:lang w:val="en-GB"/>
        </w:rPr>
      </w:pPr>
    </w:p>
    <w:p w:rsidR="00575A88" w:rsidRPr="007B73B9" w:rsidRDefault="00575A88" w:rsidP="00575A88">
      <w:pPr>
        <w:numPr>
          <w:ilvl w:val="0"/>
          <w:numId w:val="1"/>
        </w:numPr>
        <w:tabs>
          <w:tab w:val="clear" w:pos="432"/>
          <w:tab w:val="num" w:pos="0"/>
        </w:tabs>
        <w:suppressAutoHyphens/>
        <w:spacing w:after="0" w:line="360" w:lineRule="auto"/>
        <w:ind w:left="0" w:firstLine="0"/>
        <w:jc w:val="center"/>
        <w:rPr>
          <w:rFonts w:ascii="Arial" w:eastAsia="Times New Roman" w:hAnsi="Arial" w:cs="Arial"/>
          <w:bCs/>
          <w:i/>
          <w:noProof/>
          <w:sz w:val="20"/>
          <w:szCs w:val="20"/>
          <w:lang w:val="en-US" w:eastAsia="en-GB"/>
        </w:rPr>
      </w:pPr>
      <w:r>
        <w:rPr>
          <w:rFonts w:ascii="Arial" w:eastAsia="Times New Roman" w:hAnsi="Arial" w:cs="Arial"/>
          <w:bCs/>
          <w:i/>
          <w:noProof/>
          <w:sz w:val="20"/>
          <w:szCs w:val="20"/>
          <w:lang w:val="en-US" w:eastAsia="en-GB"/>
        </w:rPr>
        <w:t>Tabla 2</w:t>
      </w:r>
      <w:r w:rsidRPr="007B73B9">
        <w:rPr>
          <w:rFonts w:ascii="Arial" w:eastAsia="Times New Roman" w:hAnsi="Arial" w:cs="Arial"/>
          <w:bCs/>
          <w:i/>
          <w:noProof/>
          <w:sz w:val="20"/>
          <w:szCs w:val="20"/>
          <w:lang w:val="en-US" w:eastAsia="en-GB"/>
        </w:rPr>
        <w:t>. Nume</w:t>
      </w:r>
      <w:r>
        <w:rPr>
          <w:rFonts w:ascii="Arial" w:eastAsia="Times New Roman" w:hAnsi="Arial" w:cs="Arial"/>
          <w:bCs/>
          <w:i/>
          <w:noProof/>
          <w:sz w:val="20"/>
          <w:szCs w:val="20"/>
          <w:lang w:val="en-US" w:eastAsia="en-GB"/>
        </w:rPr>
        <w:t>rical results for the problem (32</w:t>
      </w:r>
      <w:r w:rsidRPr="007B73B9">
        <w:rPr>
          <w:rFonts w:ascii="Arial" w:eastAsia="Times New Roman" w:hAnsi="Arial" w:cs="Arial"/>
          <w:bCs/>
          <w:i/>
          <w:noProof/>
          <w:sz w:val="20"/>
          <w:szCs w:val="20"/>
          <w:lang w:val="en-US" w:eastAsia="en-GB"/>
        </w:rPr>
        <w:t xml:space="preserve">) </w:t>
      </w:r>
      <w:r>
        <w:rPr>
          <w:rFonts w:ascii="Arial" w:eastAsia="Times New Roman" w:hAnsi="Arial" w:cs="Arial"/>
          <w:bCs/>
          <w:i/>
          <w:noProof/>
          <w:sz w:val="20"/>
          <w:szCs w:val="20"/>
          <w:lang w:val="en-US" w:eastAsia="en-GB"/>
        </w:rPr>
        <w:t xml:space="preserve">- </w:t>
      </w:r>
      <w:r w:rsidRPr="007B73B9">
        <w:rPr>
          <w:rFonts w:ascii="Arial" w:eastAsia="Times New Roman" w:hAnsi="Arial" w:cs="Arial"/>
          <w:bCs/>
          <w:i/>
          <w:noProof/>
          <w:sz w:val="20"/>
          <w:szCs w:val="20"/>
          <w:lang w:val="en-US" w:eastAsia="en-GB"/>
        </w:rPr>
        <w:t>(</w:t>
      </w:r>
      <w:r>
        <w:rPr>
          <w:rFonts w:ascii="Arial" w:eastAsia="Times New Roman" w:hAnsi="Arial" w:cs="Arial"/>
          <w:bCs/>
          <w:i/>
          <w:noProof/>
          <w:sz w:val="20"/>
          <w:szCs w:val="20"/>
          <w:lang w:val="en-US" w:eastAsia="en-GB"/>
        </w:rPr>
        <w:t>37</w:t>
      </w:r>
      <w:r w:rsidRPr="007B73B9">
        <w:rPr>
          <w:rFonts w:ascii="Arial" w:eastAsia="Times New Roman" w:hAnsi="Arial" w:cs="Arial"/>
          <w:bCs/>
          <w:i/>
          <w:noProof/>
          <w:sz w:val="20"/>
          <w:szCs w:val="20"/>
          <w:lang w:val="en-US" w:eastAsia="en-GB"/>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9"/>
        <w:gridCol w:w="1560"/>
        <w:gridCol w:w="1855"/>
      </w:tblGrid>
      <w:tr w:rsidR="00575A88" w:rsidRPr="00006C68" w:rsidTr="007F2707">
        <w:trPr>
          <w:jc w:val="center"/>
        </w:trPr>
        <w:tc>
          <w:tcPr>
            <w:tcW w:w="1559"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Pr>
                <w:rFonts w:ascii="Arial" w:eastAsia="Times New Roman" w:hAnsi="Arial"/>
                <w:b/>
                <w:sz w:val="20"/>
                <w:szCs w:val="20"/>
                <w:lang w:eastAsia="es-ES"/>
              </w:rPr>
              <w:t>Mesh</w:t>
            </w:r>
          </w:p>
        </w:tc>
        <w:tc>
          <w:tcPr>
            <w:tcW w:w="1560"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sidRPr="004B4336">
              <w:rPr>
                <w:rFonts w:ascii="Arial" w:eastAsia="Times New Roman" w:hAnsi="Arial"/>
                <w:b/>
                <w:sz w:val="20"/>
                <w:szCs w:val="20"/>
                <w:lang w:eastAsia="es-ES"/>
              </w:rPr>
              <w:t xml:space="preserve">Percent error (%) </w:t>
            </w:r>
          </w:p>
        </w:tc>
        <w:tc>
          <w:tcPr>
            <w:tcW w:w="1855"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sidRPr="004B4336">
              <w:rPr>
                <w:rFonts w:ascii="Arial" w:eastAsia="Times New Roman" w:hAnsi="Arial"/>
                <w:b/>
                <w:sz w:val="20"/>
                <w:szCs w:val="20"/>
                <w:lang w:eastAsia="es-ES"/>
              </w:rPr>
              <w:t>Number of iterations</w:t>
            </w:r>
          </w:p>
        </w:tc>
      </w:tr>
      <w:tr w:rsidR="00575A88" w:rsidRPr="004B4336" w:rsidTr="007F2707">
        <w:trPr>
          <w:jc w:val="center"/>
        </w:trPr>
        <w:tc>
          <w:tcPr>
            <w:tcW w:w="1559" w:type="dxa"/>
            <w:tcBorders>
              <w:bottom w:val="nil"/>
            </w:tcBorders>
            <w:vAlign w:val="center"/>
          </w:tcPr>
          <w:p w:rsidR="00575A88" w:rsidRPr="00006C68" w:rsidRDefault="00575A88" w:rsidP="007F2707">
            <w:pPr>
              <w:keepLines/>
              <w:spacing w:before="60"/>
              <w:jc w:val="center"/>
              <w:rPr>
                <w:rFonts w:ascii="Arial" w:eastAsia="Times New Roman" w:hAnsi="Arial"/>
                <w:sz w:val="20"/>
                <w:szCs w:val="20"/>
                <w:lang w:eastAsia="es-ES"/>
              </w:rPr>
            </w:pPr>
            <w:r>
              <w:rPr>
                <w:rFonts w:ascii="Arial" w:eastAsia="Times New Roman" w:hAnsi="Arial"/>
                <w:sz w:val="20"/>
                <w:szCs w:val="20"/>
                <w:lang w:eastAsia="es-ES"/>
              </w:rPr>
              <w:t>4   x   8</w:t>
            </w:r>
          </w:p>
        </w:tc>
        <w:tc>
          <w:tcPr>
            <w:tcW w:w="1560"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0</w:t>
            </w:r>
            <w:r w:rsidRPr="004B4336">
              <w:rPr>
                <w:rFonts w:ascii="Arial" w:eastAsia="Times New Roman" w:hAnsi="Arial"/>
                <w:sz w:val="20"/>
                <w:szCs w:val="20"/>
                <w:lang w:val="en-US" w:eastAsia="es-ES"/>
              </w:rPr>
              <w:t>.</w:t>
            </w:r>
            <w:r>
              <w:rPr>
                <w:rFonts w:ascii="Arial" w:eastAsia="Times New Roman" w:hAnsi="Arial"/>
                <w:sz w:val="20"/>
                <w:szCs w:val="20"/>
                <w:lang w:val="en-US" w:eastAsia="es-ES"/>
              </w:rPr>
              <w:t>84</w:t>
            </w:r>
          </w:p>
        </w:tc>
        <w:tc>
          <w:tcPr>
            <w:tcW w:w="1855"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117</w:t>
            </w:r>
          </w:p>
        </w:tc>
      </w:tr>
      <w:tr w:rsidR="00575A88" w:rsidRPr="004B4336" w:rsidTr="007F2707">
        <w:trPr>
          <w:jc w:val="center"/>
        </w:trPr>
        <w:tc>
          <w:tcPr>
            <w:tcW w:w="1559" w:type="dxa"/>
            <w:tcBorders>
              <w:top w:val="nil"/>
              <w:bottom w:val="nil"/>
            </w:tcBorders>
            <w:vAlign w:val="center"/>
          </w:tcPr>
          <w:p w:rsidR="00575A88" w:rsidRPr="00006C68" w:rsidRDefault="00575A88" w:rsidP="007F2707">
            <w:pPr>
              <w:keepLines/>
              <w:spacing w:before="60"/>
              <w:jc w:val="center"/>
              <w:rPr>
                <w:rFonts w:ascii="Arial" w:eastAsia="Times New Roman" w:hAnsi="Arial"/>
                <w:sz w:val="20"/>
                <w:szCs w:val="20"/>
                <w:lang w:eastAsia="es-ES"/>
              </w:rPr>
            </w:pPr>
            <w:r>
              <w:rPr>
                <w:rFonts w:ascii="Arial" w:eastAsia="Times New Roman" w:hAnsi="Arial"/>
                <w:sz w:val="20"/>
                <w:szCs w:val="20"/>
                <w:lang w:eastAsia="es-ES"/>
              </w:rPr>
              <w:t xml:space="preserve"> 8   x  16</w:t>
            </w:r>
          </w:p>
        </w:tc>
        <w:tc>
          <w:tcPr>
            <w:tcW w:w="1560"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0</w:t>
            </w:r>
            <w:r w:rsidRPr="004B4336">
              <w:rPr>
                <w:rFonts w:ascii="Arial" w:eastAsia="Times New Roman" w:hAnsi="Arial"/>
                <w:sz w:val="20"/>
                <w:szCs w:val="20"/>
                <w:lang w:val="en-US" w:eastAsia="es-ES"/>
              </w:rPr>
              <w:t>.</w:t>
            </w:r>
            <w:r>
              <w:rPr>
                <w:rFonts w:ascii="Arial" w:eastAsia="Times New Roman" w:hAnsi="Arial"/>
                <w:sz w:val="20"/>
                <w:szCs w:val="20"/>
                <w:lang w:val="en-US" w:eastAsia="es-ES"/>
              </w:rPr>
              <w:t>21</w:t>
            </w:r>
          </w:p>
        </w:tc>
        <w:tc>
          <w:tcPr>
            <w:tcW w:w="1855"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374</w:t>
            </w:r>
          </w:p>
        </w:tc>
      </w:tr>
      <w:tr w:rsidR="00575A88" w:rsidRPr="004B4336" w:rsidTr="007F2707">
        <w:trPr>
          <w:jc w:val="center"/>
        </w:trPr>
        <w:tc>
          <w:tcPr>
            <w:tcW w:w="1559" w:type="dxa"/>
            <w:tcBorders>
              <w:top w:val="nil"/>
            </w:tcBorders>
            <w:vAlign w:val="center"/>
          </w:tcPr>
          <w:p w:rsidR="00575A88" w:rsidRPr="00301351" w:rsidRDefault="00575A88" w:rsidP="007F2707">
            <w:pPr>
              <w:keepLines/>
              <w:spacing w:before="60"/>
              <w:jc w:val="center"/>
              <w:rPr>
                <w:rFonts w:ascii="Arial" w:eastAsia="Times New Roman" w:hAnsi="Arial"/>
                <w:sz w:val="20"/>
                <w:szCs w:val="20"/>
                <w:lang w:val="en-US" w:eastAsia="es-ES"/>
              </w:rPr>
            </w:pPr>
            <w:r w:rsidRPr="00301351">
              <w:rPr>
                <w:rFonts w:ascii="Arial" w:eastAsia="Times New Roman" w:hAnsi="Arial"/>
                <w:sz w:val="20"/>
                <w:szCs w:val="20"/>
                <w:lang w:val="en-US" w:eastAsia="es-ES"/>
              </w:rPr>
              <w:t>16   x   32</w:t>
            </w:r>
          </w:p>
        </w:tc>
        <w:tc>
          <w:tcPr>
            <w:tcW w:w="1560"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5</w:t>
            </w:r>
            <w:r w:rsidRPr="004B4336">
              <w:rPr>
                <w:rFonts w:ascii="Arial" w:eastAsia="Times New Roman" w:hAnsi="Arial"/>
                <w:sz w:val="20"/>
                <w:szCs w:val="20"/>
                <w:lang w:val="en-US" w:eastAsia="es-ES"/>
              </w:rPr>
              <w:t>.</w:t>
            </w:r>
            <w:r>
              <w:rPr>
                <w:rFonts w:ascii="Arial" w:eastAsia="Times New Roman" w:hAnsi="Arial"/>
                <w:sz w:val="20"/>
                <w:szCs w:val="20"/>
                <w:lang w:val="en-US" w:eastAsia="es-ES"/>
              </w:rPr>
              <w:t>2</w:t>
            </w:r>
            <w:r w:rsidRPr="004B4336">
              <w:rPr>
                <w:rFonts w:ascii="Arial" w:eastAsia="Times New Roman" w:hAnsi="Arial"/>
                <w:sz w:val="20"/>
                <w:szCs w:val="20"/>
                <w:lang w:val="en-US" w:eastAsia="es-ES"/>
              </w:rPr>
              <w:t xml:space="preserve">  10</w:t>
            </w:r>
            <w:r>
              <w:rPr>
                <w:rFonts w:ascii="Arial" w:eastAsia="Times New Roman" w:hAnsi="Arial"/>
                <w:sz w:val="20"/>
                <w:szCs w:val="20"/>
                <w:vertAlign w:val="superscript"/>
                <w:lang w:val="en-US" w:eastAsia="es-ES"/>
              </w:rPr>
              <w:t>-2</w:t>
            </w:r>
          </w:p>
        </w:tc>
        <w:tc>
          <w:tcPr>
            <w:tcW w:w="1855"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 xml:space="preserve">1511 </w:t>
            </w:r>
          </w:p>
        </w:tc>
      </w:tr>
    </w:tbl>
    <w:p w:rsidR="00575A88" w:rsidRDefault="00575A88" w:rsidP="00575A88">
      <w:pPr>
        <w:tabs>
          <w:tab w:val="left" w:pos="288"/>
        </w:tabs>
        <w:jc w:val="both"/>
        <w:rPr>
          <w:rFonts w:ascii="Arial" w:eastAsia="MS Mincho" w:hAnsi="Arial" w:cs="Arial"/>
          <w:spacing w:val="-1"/>
          <w:lang w:val="en-US" w:eastAsia="sk-SK"/>
        </w:rPr>
      </w:pPr>
    </w:p>
    <w:p w:rsidR="00575A88" w:rsidRDefault="00575A88" w:rsidP="00575A88">
      <w:pPr>
        <w:tabs>
          <w:tab w:val="left" w:pos="288"/>
        </w:tabs>
        <w:ind w:firstLine="567"/>
        <w:jc w:val="both"/>
        <w:rPr>
          <w:rFonts w:ascii="Arial" w:eastAsia="MS Mincho" w:hAnsi="Arial" w:cs="Arial"/>
          <w:spacing w:val="-1"/>
          <w:lang w:val="en-US" w:eastAsia="sk-SK"/>
        </w:rPr>
      </w:pPr>
      <w:r w:rsidRPr="00E7093F">
        <w:rPr>
          <w:rFonts w:ascii="Arial" w:eastAsia="MS Mincho" w:hAnsi="Arial" w:cs="Arial"/>
          <w:spacing w:val="-1"/>
          <w:lang w:val="en-US" w:eastAsia="sk-SK"/>
        </w:rPr>
        <w:t>One way how to obtain better results in this case is to make computations for more grid points. Obtained results can be seen in the Table 3. From the Table 3 can be seen that the errors decrease, however the number of iterations rapidly increase. Second way how to obtain better results is to use better discretization scheme.</w:t>
      </w:r>
    </w:p>
    <w:p w:rsidR="00575A88" w:rsidRDefault="00575A88" w:rsidP="00575A88">
      <w:pPr>
        <w:pStyle w:val="Textoindependiente"/>
        <w:jc w:val="both"/>
        <w:rPr>
          <w:rFonts w:ascii="Arial" w:hAnsi="Arial" w:cs="Arial"/>
          <w:b w:val="0"/>
          <w:sz w:val="24"/>
          <w:lang w:val="en-GB"/>
        </w:rPr>
      </w:pPr>
    </w:p>
    <w:p w:rsidR="00575A88" w:rsidRPr="007B73B9" w:rsidRDefault="00575A88" w:rsidP="00575A88">
      <w:pPr>
        <w:numPr>
          <w:ilvl w:val="0"/>
          <w:numId w:val="1"/>
        </w:numPr>
        <w:tabs>
          <w:tab w:val="clear" w:pos="432"/>
          <w:tab w:val="num" w:pos="0"/>
        </w:tabs>
        <w:suppressAutoHyphens/>
        <w:spacing w:after="0" w:line="360" w:lineRule="auto"/>
        <w:ind w:left="0" w:firstLine="0"/>
        <w:jc w:val="center"/>
        <w:rPr>
          <w:rFonts w:ascii="Arial" w:eastAsia="Times New Roman" w:hAnsi="Arial" w:cs="Arial"/>
          <w:bCs/>
          <w:i/>
          <w:noProof/>
          <w:sz w:val="20"/>
          <w:szCs w:val="20"/>
          <w:lang w:val="en-US" w:eastAsia="en-GB"/>
        </w:rPr>
      </w:pPr>
      <w:r>
        <w:rPr>
          <w:rFonts w:ascii="Arial" w:eastAsia="Times New Roman" w:hAnsi="Arial" w:cs="Arial"/>
          <w:bCs/>
          <w:i/>
          <w:noProof/>
          <w:sz w:val="20"/>
          <w:szCs w:val="20"/>
          <w:lang w:val="en-US" w:eastAsia="en-GB"/>
        </w:rPr>
        <w:t>Tabla 3</w:t>
      </w:r>
      <w:r w:rsidRPr="007B73B9">
        <w:rPr>
          <w:rFonts w:ascii="Arial" w:eastAsia="Times New Roman" w:hAnsi="Arial" w:cs="Arial"/>
          <w:bCs/>
          <w:i/>
          <w:noProof/>
          <w:sz w:val="20"/>
          <w:szCs w:val="20"/>
          <w:lang w:val="en-US" w:eastAsia="en-GB"/>
        </w:rPr>
        <w:t>. Nume</w:t>
      </w:r>
      <w:r>
        <w:rPr>
          <w:rFonts w:ascii="Arial" w:eastAsia="Times New Roman" w:hAnsi="Arial" w:cs="Arial"/>
          <w:bCs/>
          <w:i/>
          <w:noProof/>
          <w:sz w:val="20"/>
          <w:szCs w:val="20"/>
          <w:lang w:val="en-US" w:eastAsia="en-GB"/>
        </w:rPr>
        <w:t>rical results for the problem (32</w:t>
      </w:r>
      <w:r w:rsidRPr="007B73B9">
        <w:rPr>
          <w:rFonts w:ascii="Arial" w:eastAsia="Times New Roman" w:hAnsi="Arial" w:cs="Arial"/>
          <w:bCs/>
          <w:i/>
          <w:noProof/>
          <w:sz w:val="20"/>
          <w:szCs w:val="20"/>
          <w:lang w:val="en-US" w:eastAsia="en-GB"/>
        </w:rPr>
        <w:t xml:space="preserve">) </w:t>
      </w:r>
      <w:r>
        <w:rPr>
          <w:rFonts w:ascii="Arial" w:eastAsia="Times New Roman" w:hAnsi="Arial" w:cs="Arial"/>
          <w:bCs/>
          <w:i/>
          <w:noProof/>
          <w:sz w:val="20"/>
          <w:szCs w:val="20"/>
          <w:lang w:val="en-US" w:eastAsia="en-GB"/>
        </w:rPr>
        <w:t xml:space="preserve">- </w:t>
      </w:r>
      <w:r w:rsidRPr="007B73B9">
        <w:rPr>
          <w:rFonts w:ascii="Arial" w:eastAsia="Times New Roman" w:hAnsi="Arial" w:cs="Arial"/>
          <w:bCs/>
          <w:i/>
          <w:noProof/>
          <w:sz w:val="20"/>
          <w:szCs w:val="20"/>
          <w:lang w:val="en-US" w:eastAsia="en-GB"/>
        </w:rPr>
        <w:t>(</w:t>
      </w:r>
      <w:r>
        <w:rPr>
          <w:rFonts w:ascii="Arial" w:eastAsia="Times New Roman" w:hAnsi="Arial" w:cs="Arial"/>
          <w:bCs/>
          <w:i/>
          <w:noProof/>
          <w:sz w:val="20"/>
          <w:szCs w:val="20"/>
          <w:lang w:val="en-US" w:eastAsia="en-GB"/>
        </w:rPr>
        <w:t>37</w:t>
      </w:r>
      <w:r w:rsidRPr="007B73B9">
        <w:rPr>
          <w:rFonts w:ascii="Arial" w:eastAsia="Times New Roman" w:hAnsi="Arial" w:cs="Arial"/>
          <w:bCs/>
          <w:i/>
          <w:noProof/>
          <w:sz w:val="20"/>
          <w:szCs w:val="20"/>
          <w:lang w:val="en-US" w:eastAsia="en-GB"/>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9"/>
        <w:gridCol w:w="1560"/>
        <w:gridCol w:w="1855"/>
      </w:tblGrid>
      <w:tr w:rsidR="00575A88" w:rsidRPr="00006C68" w:rsidTr="007F2707">
        <w:trPr>
          <w:jc w:val="center"/>
        </w:trPr>
        <w:tc>
          <w:tcPr>
            <w:tcW w:w="1559"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Pr>
                <w:rFonts w:ascii="Arial" w:eastAsia="Times New Roman" w:hAnsi="Arial"/>
                <w:b/>
                <w:sz w:val="20"/>
                <w:szCs w:val="20"/>
                <w:lang w:eastAsia="es-ES"/>
              </w:rPr>
              <w:lastRenderedPageBreak/>
              <w:t>Mesh</w:t>
            </w:r>
          </w:p>
        </w:tc>
        <w:tc>
          <w:tcPr>
            <w:tcW w:w="1560"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sidRPr="004B4336">
              <w:rPr>
                <w:rFonts w:ascii="Arial" w:eastAsia="Times New Roman" w:hAnsi="Arial"/>
                <w:b/>
                <w:sz w:val="20"/>
                <w:szCs w:val="20"/>
                <w:lang w:eastAsia="es-ES"/>
              </w:rPr>
              <w:t xml:space="preserve">Percent error (%) </w:t>
            </w:r>
          </w:p>
        </w:tc>
        <w:tc>
          <w:tcPr>
            <w:tcW w:w="1855"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sidRPr="004B4336">
              <w:rPr>
                <w:rFonts w:ascii="Arial" w:eastAsia="Times New Roman" w:hAnsi="Arial"/>
                <w:b/>
                <w:sz w:val="20"/>
                <w:szCs w:val="20"/>
                <w:lang w:eastAsia="es-ES"/>
              </w:rPr>
              <w:t>Number of iterations</w:t>
            </w:r>
          </w:p>
        </w:tc>
      </w:tr>
      <w:tr w:rsidR="00575A88" w:rsidRPr="004B4336" w:rsidTr="007F2707">
        <w:trPr>
          <w:jc w:val="center"/>
        </w:trPr>
        <w:tc>
          <w:tcPr>
            <w:tcW w:w="1559" w:type="dxa"/>
            <w:tcBorders>
              <w:bottom w:val="nil"/>
            </w:tcBorders>
            <w:vAlign w:val="center"/>
          </w:tcPr>
          <w:p w:rsidR="00575A88" w:rsidRPr="00006C68" w:rsidRDefault="00575A88" w:rsidP="007F2707">
            <w:pPr>
              <w:keepLines/>
              <w:spacing w:before="60"/>
              <w:jc w:val="center"/>
              <w:rPr>
                <w:rFonts w:ascii="Arial" w:eastAsia="Times New Roman" w:hAnsi="Arial"/>
                <w:sz w:val="20"/>
                <w:szCs w:val="20"/>
                <w:lang w:eastAsia="es-ES"/>
              </w:rPr>
            </w:pPr>
            <w:r>
              <w:rPr>
                <w:rFonts w:ascii="Arial" w:eastAsia="Times New Roman" w:hAnsi="Arial"/>
                <w:sz w:val="20"/>
                <w:szCs w:val="20"/>
                <w:lang w:eastAsia="es-ES"/>
              </w:rPr>
              <w:t>32   x   64</w:t>
            </w:r>
          </w:p>
        </w:tc>
        <w:tc>
          <w:tcPr>
            <w:tcW w:w="1560"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1</w:t>
            </w:r>
            <w:r w:rsidRPr="004B4336">
              <w:rPr>
                <w:rFonts w:ascii="Arial" w:eastAsia="Times New Roman" w:hAnsi="Arial"/>
                <w:sz w:val="20"/>
                <w:szCs w:val="20"/>
                <w:lang w:val="en-US" w:eastAsia="es-ES"/>
              </w:rPr>
              <w:t>.</w:t>
            </w:r>
            <w:r>
              <w:rPr>
                <w:rFonts w:ascii="Arial" w:eastAsia="Times New Roman" w:hAnsi="Arial"/>
                <w:sz w:val="20"/>
                <w:szCs w:val="20"/>
                <w:lang w:val="en-US" w:eastAsia="es-ES"/>
              </w:rPr>
              <w:t>3</w:t>
            </w:r>
            <w:r w:rsidRPr="004B4336">
              <w:rPr>
                <w:rFonts w:ascii="Arial" w:eastAsia="Times New Roman" w:hAnsi="Arial"/>
                <w:sz w:val="20"/>
                <w:szCs w:val="20"/>
                <w:lang w:val="en-US" w:eastAsia="es-ES"/>
              </w:rPr>
              <w:t xml:space="preserve">  10</w:t>
            </w:r>
            <w:r>
              <w:rPr>
                <w:rFonts w:ascii="Arial" w:eastAsia="Times New Roman" w:hAnsi="Arial"/>
                <w:sz w:val="20"/>
                <w:szCs w:val="20"/>
                <w:vertAlign w:val="superscript"/>
                <w:lang w:val="en-US" w:eastAsia="es-ES"/>
              </w:rPr>
              <w:t>-2</w:t>
            </w:r>
          </w:p>
        </w:tc>
        <w:tc>
          <w:tcPr>
            <w:tcW w:w="1855"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6097</w:t>
            </w:r>
          </w:p>
        </w:tc>
      </w:tr>
      <w:tr w:rsidR="00575A88" w:rsidRPr="004B4336" w:rsidTr="007F2707">
        <w:trPr>
          <w:jc w:val="center"/>
        </w:trPr>
        <w:tc>
          <w:tcPr>
            <w:tcW w:w="1559" w:type="dxa"/>
            <w:tcBorders>
              <w:top w:val="nil"/>
              <w:bottom w:val="nil"/>
            </w:tcBorders>
            <w:vAlign w:val="center"/>
          </w:tcPr>
          <w:p w:rsidR="00575A88" w:rsidRPr="009C4CE1" w:rsidRDefault="00575A88" w:rsidP="007F2707">
            <w:pPr>
              <w:keepLines/>
              <w:spacing w:before="60"/>
              <w:jc w:val="center"/>
              <w:rPr>
                <w:rFonts w:ascii="Arial" w:eastAsia="Times New Roman" w:hAnsi="Arial"/>
                <w:sz w:val="20"/>
                <w:szCs w:val="20"/>
                <w:lang w:val="en-US" w:eastAsia="es-ES"/>
              </w:rPr>
            </w:pPr>
            <w:r w:rsidRPr="009C4CE1">
              <w:rPr>
                <w:rFonts w:ascii="Arial" w:eastAsia="Times New Roman" w:hAnsi="Arial"/>
                <w:sz w:val="20"/>
                <w:szCs w:val="20"/>
                <w:lang w:val="en-US" w:eastAsia="es-ES"/>
              </w:rPr>
              <w:t xml:space="preserve">  64   x   128</w:t>
            </w:r>
          </w:p>
        </w:tc>
        <w:tc>
          <w:tcPr>
            <w:tcW w:w="1560"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3</w:t>
            </w:r>
            <w:r w:rsidRPr="004B4336">
              <w:rPr>
                <w:rFonts w:ascii="Arial" w:eastAsia="Times New Roman" w:hAnsi="Arial"/>
                <w:sz w:val="20"/>
                <w:szCs w:val="20"/>
                <w:lang w:val="en-US" w:eastAsia="es-ES"/>
              </w:rPr>
              <w:t>.</w:t>
            </w:r>
            <w:r>
              <w:rPr>
                <w:rFonts w:ascii="Arial" w:eastAsia="Times New Roman" w:hAnsi="Arial"/>
                <w:sz w:val="20"/>
                <w:szCs w:val="20"/>
                <w:lang w:val="en-US" w:eastAsia="es-ES"/>
              </w:rPr>
              <w:t>2</w:t>
            </w:r>
            <w:r w:rsidRPr="004B4336">
              <w:rPr>
                <w:rFonts w:ascii="Arial" w:eastAsia="Times New Roman" w:hAnsi="Arial"/>
                <w:sz w:val="20"/>
                <w:szCs w:val="20"/>
                <w:lang w:val="en-US" w:eastAsia="es-ES"/>
              </w:rPr>
              <w:t xml:space="preserve">  10</w:t>
            </w:r>
            <w:r>
              <w:rPr>
                <w:rFonts w:ascii="Arial" w:eastAsia="Times New Roman" w:hAnsi="Arial"/>
                <w:sz w:val="20"/>
                <w:szCs w:val="20"/>
                <w:vertAlign w:val="superscript"/>
                <w:lang w:val="en-US" w:eastAsia="es-ES"/>
              </w:rPr>
              <w:t>-3</w:t>
            </w:r>
          </w:p>
        </w:tc>
        <w:tc>
          <w:tcPr>
            <w:tcW w:w="1855"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23131</w:t>
            </w:r>
          </w:p>
        </w:tc>
      </w:tr>
      <w:tr w:rsidR="00575A88" w:rsidRPr="004B4336" w:rsidTr="007F2707">
        <w:trPr>
          <w:jc w:val="center"/>
        </w:trPr>
        <w:tc>
          <w:tcPr>
            <w:tcW w:w="1559" w:type="dxa"/>
            <w:tcBorders>
              <w:top w:val="nil"/>
            </w:tcBorders>
            <w:vAlign w:val="center"/>
          </w:tcPr>
          <w:p w:rsidR="00575A88" w:rsidRPr="00301351"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 xml:space="preserve">128   x   </w:t>
            </w:r>
            <w:r w:rsidRPr="00301351">
              <w:rPr>
                <w:rFonts w:ascii="Arial" w:eastAsia="Times New Roman" w:hAnsi="Arial"/>
                <w:sz w:val="20"/>
                <w:szCs w:val="20"/>
                <w:lang w:val="en-US" w:eastAsia="es-ES"/>
              </w:rPr>
              <w:t>2</w:t>
            </w:r>
            <w:r>
              <w:rPr>
                <w:rFonts w:ascii="Arial" w:eastAsia="Times New Roman" w:hAnsi="Arial"/>
                <w:sz w:val="20"/>
                <w:szCs w:val="20"/>
                <w:lang w:val="en-US" w:eastAsia="es-ES"/>
              </w:rPr>
              <w:t>56</w:t>
            </w:r>
          </w:p>
        </w:tc>
        <w:tc>
          <w:tcPr>
            <w:tcW w:w="1560"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5</w:t>
            </w:r>
            <w:r w:rsidRPr="004B4336">
              <w:rPr>
                <w:rFonts w:ascii="Arial" w:eastAsia="Times New Roman" w:hAnsi="Arial"/>
                <w:sz w:val="20"/>
                <w:szCs w:val="20"/>
                <w:lang w:val="en-US" w:eastAsia="es-ES"/>
              </w:rPr>
              <w:t>.</w:t>
            </w:r>
            <w:r>
              <w:rPr>
                <w:rFonts w:ascii="Arial" w:eastAsia="Times New Roman" w:hAnsi="Arial"/>
                <w:sz w:val="20"/>
                <w:szCs w:val="20"/>
                <w:lang w:val="en-US" w:eastAsia="es-ES"/>
              </w:rPr>
              <w:t>5</w:t>
            </w:r>
            <w:r w:rsidRPr="004B4336">
              <w:rPr>
                <w:rFonts w:ascii="Arial" w:eastAsia="Times New Roman" w:hAnsi="Arial"/>
                <w:sz w:val="20"/>
                <w:szCs w:val="20"/>
                <w:lang w:val="en-US" w:eastAsia="es-ES"/>
              </w:rPr>
              <w:t xml:space="preserve">  10</w:t>
            </w:r>
            <w:r>
              <w:rPr>
                <w:rFonts w:ascii="Arial" w:eastAsia="Times New Roman" w:hAnsi="Arial"/>
                <w:sz w:val="20"/>
                <w:szCs w:val="20"/>
                <w:vertAlign w:val="superscript"/>
                <w:lang w:val="en-US" w:eastAsia="es-ES"/>
              </w:rPr>
              <w:t>-4</w:t>
            </w:r>
          </w:p>
        </w:tc>
        <w:tc>
          <w:tcPr>
            <w:tcW w:w="1855"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93513</w:t>
            </w:r>
          </w:p>
        </w:tc>
      </w:tr>
    </w:tbl>
    <w:p w:rsidR="00575A88" w:rsidRDefault="00575A88" w:rsidP="00575A88">
      <w:pPr>
        <w:tabs>
          <w:tab w:val="left" w:pos="288"/>
        </w:tabs>
        <w:jc w:val="both"/>
        <w:rPr>
          <w:rFonts w:ascii="Arial" w:eastAsia="MS Mincho" w:hAnsi="Arial" w:cs="Arial"/>
          <w:spacing w:val="-1"/>
          <w:lang w:val="en-GB" w:eastAsia="sk-SK"/>
        </w:rPr>
      </w:pPr>
    </w:p>
    <w:p w:rsidR="00575A88" w:rsidRPr="00E7093F" w:rsidRDefault="00575A88" w:rsidP="00575A88">
      <w:pPr>
        <w:tabs>
          <w:tab w:val="left" w:pos="288"/>
        </w:tabs>
        <w:ind w:firstLine="567"/>
        <w:jc w:val="both"/>
        <w:rPr>
          <w:rFonts w:ascii="Arial" w:eastAsia="MS Mincho" w:hAnsi="Arial" w:cs="Arial"/>
          <w:spacing w:val="-1"/>
          <w:lang w:val="en-GB" w:eastAsia="sk-SK"/>
        </w:rPr>
      </w:pPr>
      <w:r w:rsidRPr="00E7093F">
        <w:rPr>
          <w:rFonts w:ascii="Arial" w:eastAsia="MS Mincho" w:hAnsi="Arial" w:cs="Arial"/>
          <w:spacing w:val="-1"/>
          <w:lang w:val="en-GB" w:eastAsia="sk-SK"/>
        </w:rPr>
        <w:t xml:space="preserve">For </w:t>
      </w:r>
      <w:r w:rsidRPr="00A45A91">
        <w:rPr>
          <w:rFonts w:ascii="Arial" w:eastAsia="MS Mincho" w:hAnsi="Arial" w:cs="Arial"/>
          <w:spacing w:val="-1"/>
          <w:lang w:val="en-GB" w:eastAsia="sk-SK"/>
        </w:rPr>
        <w:t xml:space="preserve">another </w:t>
      </w:r>
      <w:r w:rsidRPr="00E7093F">
        <w:rPr>
          <w:rFonts w:ascii="Arial" w:eastAsia="MS Mincho" w:hAnsi="Arial" w:cs="Arial"/>
          <w:spacing w:val="-1"/>
          <w:lang w:val="en-GB" w:eastAsia="sk-SK"/>
        </w:rPr>
        <w:t>voltage potential</w:t>
      </w:r>
    </w:p>
    <w:p w:rsidR="00575A88" w:rsidRPr="00B61465" w:rsidRDefault="00575A88" w:rsidP="00575A88">
      <w:pPr>
        <w:tabs>
          <w:tab w:val="left" w:pos="288"/>
        </w:tabs>
        <w:jc w:val="right"/>
        <w:rPr>
          <w:rFonts w:ascii="Arial" w:eastAsia="MS Mincho" w:hAnsi="Arial" w:cs="Arial"/>
          <w:spacing w:val="-1"/>
          <w:lang w:val="en-US" w:eastAsia="sk-SK"/>
        </w:rPr>
      </w:pPr>
      <w:r>
        <w:rPr>
          <w:rFonts w:ascii="Arial" w:eastAsia="MS Mincho" w:hAnsi="Arial" w:cs="Arial"/>
          <w:spacing w:val="-1"/>
          <w:lang w:val="en-US" w:eastAsia="sk-SK"/>
        </w:rPr>
        <w:t xml:space="preserve">                                               </w:t>
      </w:r>
      <w:r w:rsidRPr="005020A1">
        <w:rPr>
          <w:rFonts w:ascii="Arial" w:eastAsia="MS Mincho" w:hAnsi="Arial" w:cs="Arial"/>
          <w:spacing w:val="-1"/>
          <w:position w:val="-10"/>
          <w:lang w:val="en-US" w:eastAsia="sk-SK"/>
        </w:rPr>
        <w:object w:dxaOrig="2840" w:dyaOrig="380">
          <v:shape id="_x0000_i1366" type="#_x0000_t75" style="width:2in;height:21.6pt" o:ole="">
            <v:imagedata r:id="rId867" o:title=""/>
          </v:shape>
          <o:OLEObject Type="Embed" ProgID="Equation.3" ShapeID="_x0000_i1366" DrawAspect="Content" ObjectID="_1660649463" r:id="rId868"/>
        </w:object>
      </w:r>
      <w:r w:rsidRPr="00E7093F">
        <w:rPr>
          <w:rFonts w:ascii="Arial" w:eastAsia="MS Mincho" w:hAnsi="Arial" w:cs="Arial"/>
          <w:spacing w:val="-1"/>
          <w:lang w:val="en-US" w:eastAsia="sk-SK"/>
        </w:rPr>
        <w:t xml:space="preserve"> </w:t>
      </w:r>
      <w:r>
        <w:rPr>
          <w:rFonts w:ascii="Arial" w:eastAsia="MS Mincho" w:hAnsi="Arial" w:cs="Arial"/>
          <w:spacing w:val="-1"/>
          <w:lang w:val="en-US" w:eastAsia="sk-SK"/>
        </w:rPr>
        <w:t xml:space="preserve">                                         </w:t>
      </w:r>
      <w:r w:rsidRPr="00E7093F">
        <w:rPr>
          <w:rFonts w:ascii="Arial" w:eastAsia="MS Mincho" w:hAnsi="Arial" w:cs="Arial"/>
          <w:spacing w:val="-1"/>
          <w:lang w:val="en-US" w:eastAsia="sk-SK"/>
        </w:rPr>
        <w:t>(</w:t>
      </w:r>
      <w:r>
        <w:rPr>
          <w:rFonts w:ascii="Arial" w:eastAsia="MS Mincho" w:hAnsi="Arial" w:cs="Arial"/>
          <w:spacing w:val="-1"/>
          <w:lang w:val="en-US" w:eastAsia="sk-SK"/>
        </w:rPr>
        <w:t>38</w:t>
      </w:r>
      <w:r w:rsidRPr="00E7093F">
        <w:rPr>
          <w:rFonts w:ascii="Arial" w:eastAsia="MS Mincho" w:hAnsi="Arial" w:cs="Arial"/>
          <w:spacing w:val="-1"/>
          <w:lang w:val="en-US" w:eastAsia="sk-SK"/>
        </w:rPr>
        <w:t>)</w:t>
      </w:r>
      <w:r>
        <w:rPr>
          <w:rFonts w:ascii="Arial" w:eastAsia="MS Mincho" w:hAnsi="Arial" w:cs="Arial"/>
          <w:spacing w:val="-1"/>
          <w:lang w:val="en-US" w:eastAsia="sk-SK"/>
        </w:rPr>
        <w:t xml:space="preserve">    </w:t>
      </w:r>
      <w:r w:rsidRPr="00E7093F">
        <w:rPr>
          <w:rFonts w:ascii="Arial" w:eastAsia="MS Mincho" w:hAnsi="Arial" w:cs="Arial"/>
          <w:spacing w:val="-1"/>
          <w:lang w:val="en-US" w:eastAsia="sk-SK"/>
        </w:rPr>
        <w:t xml:space="preserve">                                                                                                                                 </w:t>
      </w:r>
      <w:r>
        <w:rPr>
          <w:rFonts w:ascii="Arial" w:eastAsia="MS Mincho" w:hAnsi="Arial" w:cs="Arial"/>
          <w:spacing w:val="-1"/>
          <w:lang w:val="en-US" w:eastAsia="sk-SK"/>
        </w:rPr>
        <w:t xml:space="preserve"> </w:t>
      </w:r>
      <w:r w:rsidRPr="00DD7833">
        <w:rPr>
          <w:rFonts w:ascii="Arial" w:eastAsia="MS Mincho" w:hAnsi="Arial" w:cs="Arial"/>
          <w:spacing w:val="-1"/>
          <w:lang w:val="en-US" w:eastAsia="sk-SK"/>
        </w:rPr>
        <w:t xml:space="preserve">                                                                                                                                 </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E7093F" w:rsidRDefault="00575A88" w:rsidP="00575A88">
      <w:pPr>
        <w:tabs>
          <w:tab w:val="left" w:pos="288"/>
        </w:tabs>
        <w:jc w:val="both"/>
        <w:rPr>
          <w:rFonts w:ascii="Arial" w:eastAsia="MS Mincho" w:hAnsi="Arial" w:cs="Arial"/>
          <w:spacing w:val="-1"/>
          <w:lang w:val="en-US" w:eastAsia="sk-SK"/>
        </w:rPr>
      </w:pPr>
      <w:r w:rsidRPr="00E7093F">
        <w:rPr>
          <w:rFonts w:ascii="Arial" w:eastAsia="MS Mincho" w:hAnsi="Arial" w:cs="Arial"/>
          <w:spacing w:val="-1"/>
          <w:lang w:val="en-US" w:eastAsia="sk-SK"/>
        </w:rPr>
        <w:t xml:space="preserve">the </w:t>
      </w:r>
      <w:r>
        <w:rPr>
          <w:rFonts w:ascii="Arial" w:eastAsia="MS Mincho" w:hAnsi="Arial" w:cs="Arial"/>
          <w:spacing w:val="-1"/>
          <w:lang w:val="en-US" w:eastAsia="sk-SK"/>
        </w:rPr>
        <w:t>non</w:t>
      </w:r>
      <w:r w:rsidRPr="0021647A">
        <w:rPr>
          <w:rFonts w:ascii="Arial" w:hAnsi="Arial" w:cs="Arial"/>
          <w:color w:val="000000"/>
          <w:lang w:val="en-US"/>
        </w:rPr>
        <w:t>homogeneous</w:t>
      </w:r>
      <w:r>
        <w:rPr>
          <w:rFonts w:ascii="Arial" w:hAnsi="Arial" w:cs="Arial"/>
          <w:color w:val="000000"/>
          <w:lang w:val="en-US"/>
        </w:rPr>
        <w:t xml:space="preserve"> </w:t>
      </w:r>
      <w:r w:rsidRPr="00E7093F">
        <w:rPr>
          <w:rFonts w:ascii="Arial" w:eastAsia="MS Mincho" w:hAnsi="Arial" w:cs="Arial"/>
          <w:spacing w:val="-1"/>
          <w:lang w:val="en-US" w:eastAsia="sk-SK"/>
        </w:rPr>
        <w:t>electrical conductivity</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tabs>
          <w:tab w:val="left" w:pos="288"/>
        </w:tabs>
        <w:jc w:val="right"/>
        <w:rPr>
          <w:rFonts w:ascii="Arial" w:eastAsia="MS Mincho" w:hAnsi="Arial" w:cs="Arial"/>
          <w:spacing w:val="-1"/>
          <w:lang w:val="en-US" w:eastAsia="sk-SK"/>
        </w:rPr>
      </w:pPr>
      <w:r>
        <w:rPr>
          <w:rFonts w:ascii="Arial" w:eastAsia="MS Mincho" w:hAnsi="Arial" w:cs="Arial"/>
          <w:spacing w:val="-1"/>
          <w:lang w:val="en-US" w:eastAsia="sk-SK"/>
        </w:rPr>
        <w:t xml:space="preserve">                                               </w:t>
      </w:r>
      <w:r w:rsidRPr="005020A1">
        <w:rPr>
          <w:rFonts w:ascii="Arial" w:eastAsia="MS Mincho" w:hAnsi="Arial" w:cs="Arial"/>
          <w:spacing w:val="-1"/>
          <w:position w:val="-10"/>
          <w:lang w:val="en-US" w:eastAsia="sk-SK"/>
        </w:rPr>
        <w:object w:dxaOrig="2340" w:dyaOrig="320">
          <v:shape id="_x0000_i1367" type="#_x0000_t75" style="width:115.2pt;height:14.4pt" o:ole="">
            <v:imagedata r:id="rId869" o:title=""/>
          </v:shape>
          <o:OLEObject Type="Embed" ProgID="Equation.3" ShapeID="_x0000_i1367" DrawAspect="Content" ObjectID="_1660649464" r:id="rId870"/>
        </w:object>
      </w:r>
      <w:r w:rsidRPr="00E7093F">
        <w:rPr>
          <w:rFonts w:ascii="Arial" w:eastAsia="MS Mincho" w:hAnsi="Arial" w:cs="Arial"/>
          <w:spacing w:val="-1"/>
          <w:lang w:val="en-US" w:eastAsia="sk-SK"/>
        </w:rPr>
        <w:t xml:space="preserve"> </w:t>
      </w:r>
      <w:r>
        <w:rPr>
          <w:rFonts w:ascii="Arial" w:eastAsia="MS Mincho" w:hAnsi="Arial" w:cs="Arial"/>
          <w:spacing w:val="-1"/>
          <w:lang w:val="en-US" w:eastAsia="sk-SK"/>
        </w:rPr>
        <w:t xml:space="preserve">                                             </w:t>
      </w:r>
      <w:r w:rsidRPr="00E7093F">
        <w:rPr>
          <w:rFonts w:ascii="Arial" w:eastAsia="MS Mincho" w:hAnsi="Arial" w:cs="Arial"/>
          <w:spacing w:val="-1"/>
          <w:lang w:val="en-US" w:eastAsia="sk-SK"/>
        </w:rPr>
        <w:t>(</w:t>
      </w:r>
      <w:r>
        <w:rPr>
          <w:rFonts w:ascii="Arial" w:eastAsia="MS Mincho" w:hAnsi="Arial" w:cs="Arial"/>
          <w:spacing w:val="-1"/>
          <w:lang w:val="en-US" w:eastAsia="sk-SK"/>
        </w:rPr>
        <w:t>39</w:t>
      </w:r>
      <w:r w:rsidRPr="00E7093F">
        <w:rPr>
          <w:rFonts w:ascii="Arial" w:eastAsia="MS Mincho" w:hAnsi="Arial" w:cs="Arial"/>
          <w:spacing w:val="-1"/>
          <w:lang w:val="en-US" w:eastAsia="sk-SK"/>
        </w:rPr>
        <w:t>)</w:t>
      </w:r>
      <w:r>
        <w:rPr>
          <w:rFonts w:ascii="Arial" w:eastAsia="MS Mincho" w:hAnsi="Arial" w:cs="Arial"/>
          <w:spacing w:val="-1"/>
          <w:lang w:val="en-US" w:eastAsia="sk-SK"/>
        </w:rPr>
        <w:t xml:space="preserve">    </w:t>
      </w:r>
      <w:r w:rsidRPr="00E7093F">
        <w:rPr>
          <w:rFonts w:ascii="Arial" w:eastAsia="MS Mincho" w:hAnsi="Arial" w:cs="Arial"/>
          <w:spacing w:val="-1"/>
          <w:lang w:val="en-US" w:eastAsia="sk-SK"/>
        </w:rPr>
        <w:t xml:space="preserve">                                                                                                                                 </w:t>
      </w:r>
      <w:r>
        <w:rPr>
          <w:rFonts w:ascii="Arial" w:eastAsia="MS Mincho" w:hAnsi="Arial" w:cs="Arial"/>
          <w:spacing w:val="-1"/>
          <w:lang w:val="en-US" w:eastAsia="sk-SK"/>
        </w:rPr>
        <w:t xml:space="preserve"> </w:t>
      </w:r>
      <w:r w:rsidRPr="00DD7833">
        <w:rPr>
          <w:rFonts w:ascii="Arial" w:eastAsia="MS Mincho" w:hAnsi="Arial" w:cs="Arial"/>
          <w:spacing w:val="-1"/>
          <w:lang w:val="en-US" w:eastAsia="sk-SK"/>
        </w:rPr>
        <w:t xml:space="preserve">                                                                                                                                 </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08Text"/>
        <w:spacing w:before="0"/>
        <w:ind w:firstLine="0"/>
        <w:jc w:val="both"/>
        <w:rPr>
          <w:sz w:val="24"/>
          <w:szCs w:val="24"/>
        </w:rPr>
      </w:pPr>
      <w:r w:rsidRPr="009A216B">
        <w:rPr>
          <w:sz w:val="24"/>
          <w:szCs w:val="24"/>
        </w:rPr>
        <w:t>for corresponding free charge</w:t>
      </w:r>
    </w:p>
    <w:p w:rsidR="00575A88" w:rsidRDefault="00575A88" w:rsidP="00575A88">
      <w:pPr>
        <w:tabs>
          <w:tab w:val="left" w:pos="288"/>
        </w:tabs>
        <w:spacing w:line="160" w:lineRule="exact"/>
        <w:jc w:val="both"/>
        <w:rPr>
          <w:rFonts w:ascii="Arial" w:eastAsia="MS Mincho" w:hAnsi="Arial" w:cs="Arial"/>
          <w:spacing w:val="-1"/>
          <w:lang w:val="en-US" w:eastAsia="sk-SK"/>
        </w:rPr>
      </w:pPr>
      <w:r>
        <w:rPr>
          <w:rFonts w:ascii="Arial" w:eastAsia="MS Mincho" w:hAnsi="Arial" w:cs="Arial"/>
          <w:spacing w:val="-1"/>
          <w:lang w:val="en-US" w:eastAsia="sk-SK"/>
        </w:rPr>
        <w:t xml:space="preserve">                                           </w:t>
      </w:r>
    </w:p>
    <w:p w:rsidR="00575A88" w:rsidRDefault="00575A88" w:rsidP="00575A88">
      <w:pPr>
        <w:tabs>
          <w:tab w:val="left" w:pos="288"/>
        </w:tabs>
        <w:jc w:val="right"/>
        <w:rPr>
          <w:rFonts w:ascii="Arial" w:eastAsia="MS Mincho" w:hAnsi="Arial" w:cs="Arial"/>
          <w:spacing w:val="-1"/>
          <w:lang w:val="en-US" w:eastAsia="sk-SK"/>
        </w:rPr>
      </w:pPr>
      <w:r>
        <w:rPr>
          <w:rFonts w:ascii="Arial" w:eastAsia="MS Mincho" w:hAnsi="Arial" w:cs="Arial"/>
          <w:spacing w:val="-1"/>
          <w:lang w:val="en-US" w:eastAsia="sk-SK"/>
        </w:rPr>
        <w:t xml:space="preserve">    </w:t>
      </w:r>
      <w:r w:rsidRPr="005020A1">
        <w:rPr>
          <w:rFonts w:ascii="Arial" w:eastAsia="MS Mincho" w:hAnsi="Arial" w:cs="Arial"/>
          <w:spacing w:val="-1"/>
          <w:position w:val="-10"/>
          <w:lang w:val="en-US" w:eastAsia="sk-SK"/>
        </w:rPr>
        <w:object w:dxaOrig="2740" w:dyaOrig="320">
          <v:shape id="_x0000_i1368" type="#_x0000_t75" style="width:136.8pt;height:14.4pt" o:ole="">
            <v:imagedata r:id="rId871" o:title=""/>
          </v:shape>
          <o:OLEObject Type="Embed" ProgID="Equation.3" ShapeID="_x0000_i1368" DrawAspect="Content" ObjectID="_1660649465" r:id="rId872"/>
        </w:object>
      </w:r>
      <w:r w:rsidRPr="00E7093F">
        <w:rPr>
          <w:rFonts w:ascii="Arial" w:eastAsia="MS Mincho" w:hAnsi="Arial" w:cs="Arial"/>
          <w:spacing w:val="-1"/>
          <w:lang w:val="en-US" w:eastAsia="sk-SK"/>
        </w:rPr>
        <w:t xml:space="preserve"> </w:t>
      </w:r>
      <w:r>
        <w:rPr>
          <w:rFonts w:ascii="Arial" w:eastAsia="MS Mincho" w:hAnsi="Arial" w:cs="Arial"/>
          <w:spacing w:val="-1"/>
          <w:lang w:val="en-US" w:eastAsia="sk-SK"/>
        </w:rPr>
        <w:t xml:space="preserve">                                            </w:t>
      </w:r>
      <w:r w:rsidRPr="00E7093F">
        <w:rPr>
          <w:rFonts w:ascii="Arial" w:eastAsia="MS Mincho" w:hAnsi="Arial" w:cs="Arial"/>
          <w:spacing w:val="-1"/>
          <w:lang w:val="en-US" w:eastAsia="sk-SK"/>
        </w:rPr>
        <w:t>(</w:t>
      </w:r>
      <w:r>
        <w:rPr>
          <w:rFonts w:ascii="Arial" w:eastAsia="MS Mincho" w:hAnsi="Arial" w:cs="Arial"/>
          <w:spacing w:val="-1"/>
          <w:lang w:val="en-US" w:eastAsia="sk-SK"/>
        </w:rPr>
        <w:t>40</w:t>
      </w:r>
      <w:r w:rsidRPr="00E7093F">
        <w:rPr>
          <w:rFonts w:ascii="Arial" w:eastAsia="MS Mincho" w:hAnsi="Arial" w:cs="Arial"/>
          <w:spacing w:val="-1"/>
          <w:lang w:val="en-US" w:eastAsia="sk-SK"/>
        </w:rPr>
        <w:t>)</w:t>
      </w:r>
      <w:r>
        <w:rPr>
          <w:rFonts w:ascii="Arial" w:eastAsia="MS Mincho" w:hAnsi="Arial" w:cs="Arial"/>
          <w:spacing w:val="-1"/>
          <w:lang w:val="en-US" w:eastAsia="sk-SK"/>
        </w:rPr>
        <w:t xml:space="preserve">    </w:t>
      </w:r>
      <w:r w:rsidRPr="00E7093F">
        <w:rPr>
          <w:rFonts w:ascii="Arial" w:eastAsia="MS Mincho" w:hAnsi="Arial" w:cs="Arial"/>
          <w:spacing w:val="-1"/>
          <w:lang w:val="en-US" w:eastAsia="sk-SK"/>
        </w:rPr>
        <w:t xml:space="preserve">                                                                                                                                 </w:t>
      </w:r>
      <w:r>
        <w:rPr>
          <w:rFonts w:ascii="Arial" w:eastAsia="MS Mincho" w:hAnsi="Arial" w:cs="Arial"/>
          <w:spacing w:val="-1"/>
          <w:lang w:val="en-US" w:eastAsia="sk-SK"/>
        </w:rPr>
        <w:t xml:space="preserve"> </w:t>
      </w:r>
      <w:r w:rsidRPr="00DD7833">
        <w:rPr>
          <w:rFonts w:ascii="Arial" w:eastAsia="MS Mincho" w:hAnsi="Arial" w:cs="Arial"/>
          <w:spacing w:val="-1"/>
          <w:lang w:val="en-US" w:eastAsia="sk-SK"/>
        </w:rPr>
        <w:t xml:space="preserve">                                                                                                                                 </w:t>
      </w:r>
    </w:p>
    <w:p w:rsidR="00575A88" w:rsidRDefault="00575A88" w:rsidP="00575A88">
      <w:pPr>
        <w:pStyle w:val="Textoindependiente"/>
        <w:rPr>
          <w:rFonts w:ascii="Arial" w:hAnsi="Arial" w:cs="Arial"/>
          <w:b w:val="0"/>
          <w:sz w:val="24"/>
          <w:lang w:val="en-US"/>
        </w:rPr>
      </w:pPr>
      <w:r>
        <w:rPr>
          <w:rFonts w:ascii="Arial" w:hAnsi="Arial" w:cs="Arial"/>
          <w:b w:val="0"/>
          <w:sz w:val="24"/>
          <w:lang w:val="en-US"/>
        </w:rPr>
        <w:t>in polar coordinates</w:t>
      </w:r>
    </w:p>
    <w:p w:rsidR="00575A88" w:rsidRPr="00A45A91" w:rsidRDefault="00575A88" w:rsidP="00575A88">
      <w:pPr>
        <w:jc w:val="right"/>
        <w:rPr>
          <w:rFonts w:ascii="Arial" w:hAnsi="Arial" w:cs="Arial"/>
          <w:lang w:val="en-US" w:eastAsia="sk-SK"/>
        </w:rPr>
      </w:pPr>
      <w:r w:rsidRPr="0021647A">
        <w:rPr>
          <w:rFonts w:ascii="Arial" w:hAnsi="Arial" w:cs="Arial"/>
          <w:position w:val="-10"/>
          <w:lang w:val="en-US" w:eastAsia="sk-SK"/>
        </w:rPr>
        <w:object w:dxaOrig="4080" w:dyaOrig="400">
          <v:shape id="_x0000_i1369" type="#_x0000_t75" style="width:201.6pt;height:21.6pt" o:ole="">
            <v:imagedata r:id="rId873" o:title=""/>
          </v:shape>
          <o:OLEObject Type="Embed" ProgID="Equation.3" ShapeID="_x0000_i1369" DrawAspect="Content" ObjectID="_1660649466" r:id="rId874"/>
        </w:object>
      </w:r>
      <w:r>
        <w:rPr>
          <w:rFonts w:ascii="Arial" w:hAnsi="Arial" w:cs="Arial"/>
          <w:lang w:val="en-US" w:eastAsia="sk-SK"/>
        </w:rPr>
        <w:t xml:space="preserve">  ,      </w:t>
      </w:r>
      <w:r w:rsidRPr="00A45A91">
        <w:rPr>
          <w:rFonts w:ascii="Arial" w:hAnsi="Arial" w:cs="Arial"/>
          <w:lang w:val="en-US" w:eastAsia="sk-SK"/>
        </w:rPr>
        <w:t xml:space="preserve">         </w:t>
      </w:r>
      <w:r>
        <w:rPr>
          <w:rFonts w:ascii="Arial" w:hAnsi="Arial" w:cs="Arial"/>
          <w:lang w:val="en-US" w:eastAsia="sk-SK"/>
        </w:rPr>
        <w:t xml:space="preserve">                (41</w:t>
      </w:r>
      <w:r w:rsidRPr="00A45A91">
        <w:rPr>
          <w:rFonts w:ascii="Arial" w:hAnsi="Arial" w:cs="Arial"/>
          <w:lang w:val="en-US" w:eastAsia="sk-SK"/>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A45A91" w:rsidRDefault="00575A88" w:rsidP="00575A88">
      <w:pPr>
        <w:jc w:val="right"/>
        <w:rPr>
          <w:rFonts w:ascii="Arial" w:hAnsi="Arial" w:cs="Arial"/>
          <w:lang w:val="en-US" w:eastAsia="sk-SK"/>
        </w:rPr>
      </w:pPr>
      <w:r w:rsidRPr="0021647A">
        <w:rPr>
          <w:rFonts w:ascii="Arial" w:hAnsi="Arial" w:cs="Arial"/>
          <w:position w:val="-10"/>
          <w:lang w:val="en-US" w:eastAsia="sk-SK"/>
        </w:rPr>
        <w:object w:dxaOrig="3560" w:dyaOrig="340">
          <v:shape id="_x0000_i1370" type="#_x0000_t75" style="width:180pt;height:14.4pt" o:ole="">
            <v:imagedata r:id="rId875" o:title=""/>
          </v:shape>
          <o:OLEObject Type="Embed" ProgID="Equation.3" ShapeID="_x0000_i1370" DrawAspect="Content" ObjectID="_1660649467" r:id="rId876"/>
        </w:object>
      </w:r>
      <w:r>
        <w:rPr>
          <w:rFonts w:ascii="Arial" w:hAnsi="Arial" w:cs="Arial"/>
          <w:lang w:val="en-US" w:eastAsia="sk-SK"/>
        </w:rPr>
        <w:t xml:space="preserve">   ,          </w:t>
      </w:r>
      <w:r w:rsidRPr="00A45A91">
        <w:rPr>
          <w:rFonts w:ascii="Arial" w:hAnsi="Arial" w:cs="Arial"/>
          <w:lang w:val="en-US" w:eastAsia="sk-SK"/>
        </w:rPr>
        <w:t xml:space="preserve">         </w:t>
      </w:r>
      <w:r>
        <w:rPr>
          <w:rFonts w:ascii="Arial" w:hAnsi="Arial" w:cs="Arial"/>
          <w:lang w:val="en-US" w:eastAsia="sk-SK"/>
        </w:rPr>
        <w:t xml:space="preserve">                (42</w:t>
      </w:r>
      <w:r w:rsidRPr="00A45A91">
        <w:rPr>
          <w:rFonts w:ascii="Arial" w:hAnsi="Arial" w:cs="Arial"/>
          <w:lang w:val="en-US" w:eastAsia="sk-SK"/>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A45A91" w:rsidRDefault="00575A88" w:rsidP="00575A88">
      <w:pPr>
        <w:jc w:val="right"/>
        <w:rPr>
          <w:rFonts w:ascii="Arial" w:hAnsi="Arial" w:cs="Arial"/>
          <w:lang w:val="en-US" w:eastAsia="sk-SK"/>
        </w:rPr>
      </w:pPr>
      <w:r w:rsidRPr="0021647A">
        <w:rPr>
          <w:rFonts w:ascii="Arial" w:hAnsi="Arial" w:cs="Arial"/>
          <w:position w:val="-10"/>
          <w:lang w:val="en-US" w:eastAsia="sk-SK"/>
        </w:rPr>
        <w:object w:dxaOrig="3960" w:dyaOrig="340">
          <v:shape id="_x0000_i1371" type="#_x0000_t75" style="width:201.6pt;height:14.4pt" o:ole="">
            <v:imagedata r:id="rId877" o:title=""/>
          </v:shape>
          <o:OLEObject Type="Embed" ProgID="Equation.3" ShapeID="_x0000_i1371" DrawAspect="Content" ObjectID="_1660649468" r:id="rId878"/>
        </w:object>
      </w:r>
      <w:r>
        <w:rPr>
          <w:rFonts w:ascii="Arial" w:hAnsi="Arial" w:cs="Arial"/>
          <w:lang w:val="en-US" w:eastAsia="sk-SK"/>
        </w:rPr>
        <w:t xml:space="preserve">          </w:t>
      </w:r>
      <w:r w:rsidRPr="00A45A91">
        <w:rPr>
          <w:rFonts w:ascii="Arial" w:hAnsi="Arial" w:cs="Arial"/>
          <w:lang w:val="en-US" w:eastAsia="sk-SK"/>
        </w:rPr>
        <w:t xml:space="preserve">         </w:t>
      </w:r>
      <w:r>
        <w:rPr>
          <w:rFonts w:ascii="Arial" w:hAnsi="Arial" w:cs="Arial"/>
          <w:lang w:val="en-US" w:eastAsia="sk-SK"/>
        </w:rPr>
        <w:t xml:space="preserve">               (43</w:t>
      </w:r>
      <w:r w:rsidRPr="00A45A91">
        <w:rPr>
          <w:rFonts w:ascii="Arial" w:hAnsi="Arial" w:cs="Arial"/>
          <w:lang w:val="en-US" w:eastAsia="sk-SK"/>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tabs>
          <w:tab w:val="left" w:pos="288"/>
        </w:tabs>
        <w:jc w:val="both"/>
        <w:rPr>
          <w:rFonts w:ascii="Arial" w:eastAsia="MS Mincho" w:hAnsi="Arial" w:cs="Arial"/>
          <w:spacing w:val="-1"/>
          <w:lang w:val="en-GB" w:eastAsia="sk-SK"/>
        </w:rPr>
      </w:pPr>
      <w:r w:rsidRPr="00E7093F">
        <w:rPr>
          <w:rFonts w:ascii="Arial" w:eastAsia="MS Mincho" w:hAnsi="Arial" w:cs="Arial"/>
          <w:spacing w:val="-1"/>
          <w:lang w:val="en-US" w:eastAsia="sk-SK"/>
        </w:rPr>
        <w:t>as it</w:t>
      </w:r>
      <w:r>
        <w:rPr>
          <w:rFonts w:ascii="Arial" w:eastAsia="MS Mincho" w:hAnsi="Arial" w:cs="Arial"/>
          <w:spacing w:val="-1"/>
          <w:lang w:val="en-US" w:eastAsia="sk-SK"/>
        </w:rPr>
        <w:t xml:space="preserve"> is obvious from the Table 4</w:t>
      </w:r>
      <w:r w:rsidRPr="00E7093F">
        <w:rPr>
          <w:rFonts w:ascii="Arial" w:eastAsia="MS Mincho" w:hAnsi="Arial" w:cs="Arial"/>
          <w:spacing w:val="-1"/>
          <w:lang w:val="en-US" w:eastAsia="sk-SK"/>
        </w:rPr>
        <w:t xml:space="preserve"> the accuracy of computation is </w:t>
      </w:r>
      <w:r>
        <w:rPr>
          <w:rFonts w:ascii="Arial" w:eastAsia="MS Mincho" w:hAnsi="Arial" w:cs="Arial"/>
          <w:spacing w:val="-1"/>
          <w:lang w:val="en-US" w:eastAsia="sk-SK"/>
        </w:rPr>
        <w:t>also now not so good as in the first</w:t>
      </w:r>
      <w:r w:rsidRPr="00E7093F">
        <w:rPr>
          <w:rFonts w:ascii="Arial" w:eastAsia="MS Mincho" w:hAnsi="Arial" w:cs="Arial"/>
          <w:spacing w:val="-1"/>
          <w:lang w:val="en-US" w:eastAsia="sk-SK"/>
        </w:rPr>
        <w:t xml:space="preserve"> case. This fact is caused by the discretization error, which is in this case greater than in the previous case.</w:t>
      </w:r>
      <w:r w:rsidRPr="00E7093F">
        <w:rPr>
          <w:rFonts w:ascii="Arial" w:eastAsia="MS Mincho" w:hAnsi="Arial" w:cs="Arial"/>
          <w:spacing w:val="-1"/>
          <w:lang w:val="en-GB" w:eastAsia="sk-SK"/>
        </w:rPr>
        <w:t xml:space="preserve"> From Table </w:t>
      </w:r>
      <w:r>
        <w:rPr>
          <w:rFonts w:ascii="Arial" w:eastAsia="MS Mincho" w:hAnsi="Arial" w:cs="Arial"/>
          <w:spacing w:val="-1"/>
          <w:lang w:val="en-GB" w:eastAsia="sk-SK"/>
        </w:rPr>
        <w:t>4</w:t>
      </w:r>
      <w:r w:rsidRPr="00E7093F">
        <w:rPr>
          <w:rFonts w:ascii="Arial" w:eastAsia="MS Mincho" w:hAnsi="Arial" w:cs="Arial"/>
          <w:spacing w:val="-1"/>
          <w:lang w:val="en-GB" w:eastAsia="sk-SK"/>
        </w:rPr>
        <w:t xml:space="preserve"> it is seen that when the number of grid points increases, errors decrease.</w:t>
      </w:r>
    </w:p>
    <w:p w:rsidR="00575A88" w:rsidRDefault="00575A88" w:rsidP="00575A88">
      <w:pPr>
        <w:pStyle w:val="Textoindependiente"/>
        <w:jc w:val="both"/>
        <w:rPr>
          <w:rFonts w:ascii="Arial" w:hAnsi="Arial" w:cs="Arial"/>
          <w:b w:val="0"/>
          <w:sz w:val="24"/>
          <w:lang w:val="en-GB"/>
        </w:rPr>
      </w:pPr>
    </w:p>
    <w:p w:rsidR="00575A88" w:rsidRPr="007B73B9" w:rsidRDefault="00575A88" w:rsidP="00575A88">
      <w:pPr>
        <w:numPr>
          <w:ilvl w:val="0"/>
          <w:numId w:val="1"/>
        </w:numPr>
        <w:tabs>
          <w:tab w:val="clear" w:pos="432"/>
          <w:tab w:val="num" w:pos="0"/>
        </w:tabs>
        <w:suppressAutoHyphens/>
        <w:spacing w:after="0" w:line="360" w:lineRule="auto"/>
        <w:ind w:left="0" w:firstLine="0"/>
        <w:jc w:val="center"/>
        <w:rPr>
          <w:rFonts w:ascii="Arial" w:eastAsia="Times New Roman" w:hAnsi="Arial" w:cs="Arial"/>
          <w:bCs/>
          <w:i/>
          <w:noProof/>
          <w:sz w:val="20"/>
          <w:szCs w:val="20"/>
          <w:lang w:val="en-US" w:eastAsia="en-GB"/>
        </w:rPr>
      </w:pPr>
      <w:r>
        <w:rPr>
          <w:rFonts w:ascii="Arial" w:eastAsia="Times New Roman" w:hAnsi="Arial" w:cs="Arial"/>
          <w:bCs/>
          <w:i/>
          <w:noProof/>
          <w:sz w:val="20"/>
          <w:szCs w:val="20"/>
          <w:lang w:val="en-US" w:eastAsia="en-GB"/>
        </w:rPr>
        <w:t>Tabla 4</w:t>
      </w:r>
      <w:r w:rsidRPr="007B73B9">
        <w:rPr>
          <w:rFonts w:ascii="Arial" w:eastAsia="Times New Roman" w:hAnsi="Arial" w:cs="Arial"/>
          <w:bCs/>
          <w:i/>
          <w:noProof/>
          <w:sz w:val="20"/>
          <w:szCs w:val="20"/>
          <w:lang w:val="en-US" w:eastAsia="en-GB"/>
        </w:rPr>
        <w:t>. Nume</w:t>
      </w:r>
      <w:r>
        <w:rPr>
          <w:rFonts w:ascii="Arial" w:eastAsia="Times New Roman" w:hAnsi="Arial" w:cs="Arial"/>
          <w:bCs/>
          <w:i/>
          <w:noProof/>
          <w:sz w:val="20"/>
          <w:szCs w:val="20"/>
          <w:lang w:val="en-US" w:eastAsia="en-GB"/>
        </w:rPr>
        <w:t>rical results for the problem (38</w:t>
      </w:r>
      <w:r w:rsidRPr="007B73B9">
        <w:rPr>
          <w:rFonts w:ascii="Arial" w:eastAsia="Times New Roman" w:hAnsi="Arial" w:cs="Arial"/>
          <w:bCs/>
          <w:i/>
          <w:noProof/>
          <w:sz w:val="20"/>
          <w:szCs w:val="20"/>
          <w:lang w:val="en-US" w:eastAsia="en-GB"/>
        </w:rPr>
        <w:t xml:space="preserve">) </w:t>
      </w:r>
      <w:r>
        <w:rPr>
          <w:rFonts w:ascii="Arial" w:eastAsia="Times New Roman" w:hAnsi="Arial" w:cs="Arial"/>
          <w:bCs/>
          <w:i/>
          <w:noProof/>
          <w:sz w:val="20"/>
          <w:szCs w:val="20"/>
          <w:lang w:val="en-US" w:eastAsia="en-GB"/>
        </w:rPr>
        <w:t xml:space="preserve">- </w:t>
      </w:r>
      <w:r w:rsidRPr="007B73B9">
        <w:rPr>
          <w:rFonts w:ascii="Arial" w:eastAsia="Times New Roman" w:hAnsi="Arial" w:cs="Arial"/>
          <w:bCs/>
          <w:i/>
          <w:noProof/>
          <w:sz w:val="20"/>
          <w:szCs w:val="20"/>
          <w:lang w:val="en-US" w:eastAsia="en-GB"/>
        </w:rPr>
        <w:t>(</w:t>
      </w:r>
      <w:r>
        <w:rPr>
          <w:rFonts w:ascii="Arial" w:eastAsia="Times New Roman" w:hAnsi="Arial" w:cs="Arial"/>
          <w:bCs/>
          <w:i/>
          <w:noProof/>
          <w:sz w:val="20"/>
          <w:szCs w:val="20"/>
          <w:lang w:val="en-US" w:eastAsia="en-GB"/>
        </w:rPr>
        <w:t>43</w:t>
      </w:r>
      <w:r w:rsidRPr="007B73B9">
        <w:rPr>
          <w:rFonts w:ascii="Arial" w:eastAsia="Times New Roman" w:hAnsi="Arial" w:cs="Arial"/>
          <w:bCs/>
          <w:i/>
          <w:noProof/>
          <w:sz w:val="20"/>
          <w:szCs w:val="20"/>
          <w:lang w:val="en-US" w:eastAsia="en-GB"/>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9"/>
        <w:gridCol w:w="1560"/>
        <w:gridCol w:w="1855"/>
      </w:tblGrid>
      <w:tr w:rsidR="00575A88" w:rsidRPr="00006C68" w:rsidTr="007F2707">
        <w:trPr>
          <w:jc w:val="center"/>
        </w:trPr>
        <w:tc>
          <w:tcPr>
            <w:tcW w:w="1559"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Pr>
                <w:rFonts w:ascii="Arial" w:eastAsia="Times New Roman" w:hAnsi="Arial"/>
                <w:b/>
                <w:sz w:val="20"/>
                <w:szCs w:val="20"/>
                <w:lang w:eastAsia="es-ES"/>
              </w:rPr>
              <w:lastRenderedPageBreak/>
              <w:t>Mesh</w:t>
            </w:r>
          </w:p>
        </w:tc>
        <w:tc>
          <w:tcPr>
            <w:tcW w:w="1560"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sidRPr="004B4336">
              <w:rPr>
                <w:rFonts w:ascii="Arial" w:eastAsia="Times New Roman" w:hAnsi="Arial"/>
                <w:b/>
                <w:sz w:val="20"/>
                <w:szCs w:val="20"/>
                <w:lang w:eastAsia="es-ES"/>
              </w:rPr>
              <w:t xml:space="preserve">Percent error (%) </w:t>
            </w:r>
          </w:p>
        </w:tc>
        <w:tc>
          <w:tcPr>
            <w:tcW w:w="1855"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sidRPr="004B4336">
              <w:rPr>
                <w:rFonts w:ascii="Arial" w:eastAsia="Times New Roman" w:hAnsi="Arial"/>
                <w:b/>
                <w:sz w:val="20"/>
                <w:szCs w:val="20"/>
                <w:lang w:eastAsia="es-ES"/>
              </w:rPr>
              <w:t>Number of iterations</w:t>
            </w:r>
          </w:p>
        </w:tc>
      </w:tr>
      <w:tr w:rsidR="00575A88" w:rsidRPr="004B4336" w:rsidTr="007F2707">
        <w:trPr>
          <w:jc w:val="center"/>
        </w:trPr>
        <w:tc>
          <w:tcPr>
            <w:tcW w:w="1559" w:type="dxa"/>
            <w:tcBorders>
              <w:bottom w:val="nil"/>
            </w:tcBorders>
            <w:vAlign w:val="center"/>
          </w:tcPr>
          <w:p w:rsidR="00575A88" w:rsidRPr="00006C68" w:rsidRDefault="00575A88" w:rsidP="007F2707">
            <w:pPr>
              <w:keepLines/>
              <w:spacing w:before="60"/>
              <w:jc w:val="center"/>
              <w:rPr>
                <w:rFonts w:ascii="Arial" w:eastAsia="Times New Roman" w:hAnsi="Arial"/>
                <w:sz w:val="20"/>
                <w:szCs w:val="20"/>
                <w:lang w:eastAsia="es-ES"/>
              </w:rPr>
            </w:pPr>
            <w:r>
              <w:rPr>
                <w:rFonts w:ascii="Arial" w:eastAsia="Times New Roman" w:hAnsi="Arial"/>
                <w:sz w:val="20"/>
                <w:szCs w:val="20"/>
                <w:lang w:eastAsia="es-ES"/>
              </w:rPr>
              <w:t>4   x   8</w:t>
            </w:r>
          </w:p>
        </w:tc>
        <w:tc>
          <w:tcPr>
            <w:tcW w:w="1560"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1</w:t>
            </w:r>
            <w:r w:rsidRPr="004B4336">
              <w:rPr>
                <w:rFonts w:ascii="Arial" w:eastAsia="Times New Roman" w:hAnsi="Arial"/>
                <w:sz w:val="20"/>
                <w:szCs w:val="20"/>
                <w:lang w:val="en-US" w:eastAsia="es-ES"/>
              </w:rPr>
              <w:t>.</w:t>
            </w:r>
            <w:r>
              <w:rPr>
                <w:rFonts w:ascii="Arial" w:eastAsia="Times New Roman" w:hAnsi="Arial"/>
                <w:sz w:val="20"/>
                <w:szCs w:val="20"/>
                <w:lang w:val="en-US" w:eastAsia="es-ES"/>
              </w:rPr>
              <w:t>9</w:t>
            </w:r>
          </w:p>
        </w:tc>
        <w:tc>
          <w:tcPr>
            <w:tcW w:w="1855"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231</w:t>
            </w:r>
          </w:p>
        </w:tc>
      </w:tr>
      <w:tr w:rsidR="00575A88" w:rsidRPr="004B4336" w:rsidTr="007F2707">
        <w:trPr>
          <w:jc w:val="center"/>
        </w:trPr>
        <w:tc>
          <w:tcPr>
            <w:tcW w:w="1559" w:type="dxa"/>
            <w:tcBorders>
              <w:top w:val="nil"/>
              <w:bottom w:val="nil"/>
            </w:tcBorders>
            <w:vAlign w:val="center"/>
          </w:tcPr>
          <w:p w:rsidR="00575A88" w:rsidRPr="00006C68" w:rsidRDefault="00575A88" w:rsidP="007F2707">
            <w:pPr>
              <w:keepLines/>
              <w:spacing w:before="60"/>
              <w:jc w:val="center"/>
              <w:rPr>
                <w:rFonts w:ascii="Arial" w:eastAsia="Times New Roman" w:hAnsi="Arial"/>
                <w:sz w:val="20"/>
                <w:szCs w:val="20"/>
                <w:lang w:eastAsia="es-ES"/>
              </w:rPr>
            </w:pPr>
            <w:r>
              <w:rPr>
                <w:rFonts w:ascii="Arial" w:eastAsia="Times New Roman" w:hAnsi="Arial"/>
                <w:sz w:val="20"/>
                <w:szCs w:val="20"/>
                <w:lang w:eastAsia="es-ES"/>
              </w:rPr>
              <w:t xml:space="preserve"> 8   x  16</w:t>
            </w:r>
          </w:p>
        </w:tc>
        <w:tc>
          <w:tcPr>
            <w:tcW w:w="1560"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0</w:t>
            </w:r>
            <w:r w:rsidRPr="004B4336">
              <w:rPr>
                <w:rFonts w:ascii="Arial" w:eastAsia="Times New Roman" w:hAnsi="Arial"/>
                <w:sz w:val="20"/>
                <w:szCs w:val="20"/>
                <w:lang w:val="en-US" w:eastAsia="es-ES"/>
              </w:rPr>
              <w:t>.</w:t>
            </w:r>
            <w:r>
              <w:rPr>
                <w:rFonts w:ascii="Arial" w:eastAsia="Times New Roman" w:hAnsi="Arial"/>
                <w:sz w:val="20"/>
                <w:szCs w:val="20"/>
                <w:lang w:val="en-US" w:eastAsia="es-ES"/>
              </w:rPr>
              <w:t>53</w:t>
            </w:r>
          </w:p>
        </w:tc>
        <w:tc>
          <w:tcPr>
            <w:tcW w:w="1855"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524</w:t>
            </w:r>
          </w:p>
        </w:tc>
      </w:tr>
      <w:tr w:rsidR="00575A88" w:rsidRPr="004B4336" w:rsidTr="007F2707">
        <w:trPr>
          <w:jc w:val="center"/>
        </w:trPr>
        <w:tc>
          <w:tcPr>
            <w:tcW w:w="1559" w:type="dxa"/>
            <w:tcBorders>
              <w:top w:val="nil"/>
            </w:tcBorders>
            <w:vAlign w:val="center"/>
          </w:tcPr>
          <w:p w:rsidR="00575A88" w:rsidRPr="00301351" w:rsidRDefault="00575A88" w:rsidP="007F2707">
            <w:pPr>
              <w:keepLines/>
              <w:spacing w:before="60"/>
              <w:jc w:val="center"/>
              <w:rPr>
                <w:rFonts w:ascii="Arial" w:eastAsia="Times New Roman" w:hAnsi="Arial"/>
                <w:sz w:val="20"/>
                <w:szCs w:val="20"/>
                <w:lang w:val="en-US" w:eastAsia="es-ES"/>
              </w:rPr>
            </w:pPr>
            <w:r w:rsidRPr="00301351">
              <w:rPr>
                <w:rFonts w:ascii="Arial" w:eastAsia="Times New Roman" w:hAnsi="Arial"/>
                <w:sz w:val="20"/>
                <w:szCs w:val="20"/>
                <w:lang w:val="en-US" w:eastAsia="es-ES"/>
              </w:rPr>
              <w:t>16   x   32</w:t>
            </w:r>
          </w:p>
        </w:tc>
        <w:tc>
          <w:tcPr>
            <w:tcW w:w="1560"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0</w:t>
            </w:r>
            <w:r w:rsidRPr="004B4336">
              <w:rPr>
                <w:rFonts w:ascii="Arial" w:eastAsia="Times New Roman" w:hAnsi="Arial"/>
                <w:sz w:val="20"/>
                <w:szCs w:val="20"/>
                <w:lang w:val="en-US" w:eastAsia="es-ES"/>
              </w:rPr>
              <w:t>.</w:t>
            </w:r>
            <w:r>
              <w:rPr>
                <w:rFonts w:ascii="Arial" w:eastAsia="Times New Roman" w:hAnsi="Arial"/>
                <w:sz w:val="20"/>
                <w:szCs w:val="20"/>
                <w:lang w:val="en-US" w:eastAsia="es-ES"/>
              </w:rPr>
              <w:t xml:space="preserve">15  </w:t>
            </w:r>
          </w:p>
        </w:tc>
        <w:tc>
          <w:tcPr>
            <w:tcW w:w="1855"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1764</w:t>
            </w:r>
          </w:p>
        </w:tc>
      </w:tr>
    </w:tbl>
    <w:p w:rsidR="00575A88" w:rsidRDefault="00575A88" w:rsidP="00575A88">
      <w:pPr>
        <w:tabs>
          <w:tab w:val="left" w:pos="288"/>
        </w:tabs>
        <w:jc w:val="both"/>
        <w:rPr>
          <w:rFonts w:ascii="Arial" w:eastAsia="MS Mincho" w:hAnsi="Arial" w:cs="Arial"/>
          <w:spacing w:val="-1"/>
          <w:lang w:val="en-US" w:eastAsia="sk-SK"/>
        </w:rPr>
      </w:pPr>
    </w:p>
    <w:p w:rsidR="00575A88" w:rsidRDefault="00575A88" w:rsidP="00575A88">
      <w:pPr>
        <w:tabs>
          <w:tab w:val="left" w:pos="288"/>
        </w:tabs>
        <w:ind w:firstLine="567"/>
        <w:jc w:val="both"/>
        <w:rPr>
          <w:rFonts w:ascii="Arial" w:eastAsia="MS Mincho" w:hAnsi="Arial" w:cs="Arial"/>
          <w:spacing w:val="-1"/>
          <w:lang w:val="en-US" w:eastAsia="sk-SK"/>
        </w:rPr>
      </w:pPr>
      <w:r w:rsidRPr="00E7093F">
        <w:rPr>
          <w:rFonts w:ascii="Arial" w:eastAsia="MS Mincho" w:hAnsi="Arial" w:cs="Arial"/>
          <w:spacing w:val="-1"/>
          <w:lang w:val="en-US" w:eastAsia="sk-SK"/>
        </w:rPr>
        <w:t>One way how to obtain better results in this case is to make computations for more grid points. Obtained re</w:t>
      </w:r>
      <w:r>
        <w:rPr>
          <w:rFonts w:ascii="Arial" w:eastAsia="MS Mincho" w:hAnsi="Arial" w:cs="Arial"/>
          <w:spacing w:val="-1"/>
          <w:lang w:val="en-US" w:eastAsia="sk-SK"/>
        </w:rPr>
        <w:t>sults can be seen in the Table 5. From the Table 5</w:t>
      </w:r>
      <w:r w:rsidRPr="00E7093F">
        <w:rPr>
          <w:rFonts w:ascii="Arial" w:eastAsia="MS Mincho" w:hAnsi="Arial" w:cs="Arial"/>
          <w:spacing w:val="-1"/>
          <w:lang w:val="en-US" w:eastAsia="sk-SK"/>
        </w:rPr>
        <w:t xml:space="preserve"> can be seen that the errors decrease, however the number of iterations rapidly increase. Second way how to obtain better results is to use better discretization scheme.</w:t>
      </w:r>
    </w:p>
    <w:p w:rsidR="00575A88" w:rsidRDefault="00575A88" w:rsidP="00575A88">
      <w:pPr>
        <w:pStyle w:val="Textoindependiente"/>
        <w:jc w:val="both"/>
        <w:rPr>
          <w:rFonts w:ascii="Arial" w:hAnsi="Arial" w:cs="Arial"/>
          <w:b w:val="0"/>
          <w:sz w:val="24"/>
          <w:lang w:val="en-GB"/>
        </w:rPr>
      </w:pPr>
    </w:p>
    <w:p w:rsidR="00575A88" w:rsidRPr="007B73B9" w:rsidRDefault="00575A88" w:rsidP="00575A88">
      <w:pPr>
        <w:numPr>
          <w:ilvl w:val="0"/>
          <w:numId w:val="1"/>
        </w:numPr>
        <w:tabs>
          <w:tab w:val="clear" w:pos="432"/>
          <w:tab w:val="num" w:pos="0"/>
        </w:tabs>
        <w:suppressAutoHyphens/>
        <w:spacing w:after="0" w:line="360" w:lineRule="auto"/>
        <w:ind w:left="0" w:firstLine="0"/>
        <w:jc w:val="center"/>
        <w:rPr>
          <w:rFonts w:ascii="Arial" w:eastAsia="Times New Roman" w:hAnsi="Arial" w:cs="Arial"/>
          <w:bCs/>
          <w:i/>
          <w:noProof/>
          <w:sz w:val="20"/>
          <w:szCs w:val="20"/>
          <w:lang w:val="en-US" w:eastAsia="en-GB"/>
        </w:rPr>
      </w:pPr>
      <w:r>
        <w:rPr>
          <w:rFonts w:ascii="Arial" w:eastAsia="Times New Roman" w:hAnsi="Arial" w:cs="Arial"/>
          <w:bCs/>
          <w:i/>
          <w:noProof/>
          <w:sz w:val="20"/>
          <w:szCs w:val="20"/>
          <w:lang w:val="en-US" w:eastAsia="en-GB"/>
        </w:rPr>
        <w:t>Tabla 5</w:t>
      </w:r>
      <w:r w:rsidRPr="007B73B9">
        <w:rPr>
          <w:rFonts w:ascii="Arial" w:eastAsia="Times New Roman" w:hAnsi="Arial" w:cs="Arial"/>
          <w:bCs/>
          <w:i/>
          <w:noProof/>
          <w:sz w:val="20"/>
          <w:szCs w:val="20"/>
          <w:lang w:val="en-US" w:eastAsia="en-GB"/>
        </w:rPr>
        <w:t>. Nume</w:t>
      </w:r>
      <w:r>
        <w:rPr>
          <w:rFonts w:ascii="Arial" w:eastAsia="Times New Roman" w:hAnsi="Arial" w:cs="Arial"/>
          <w:bCs/>
          <w:i/>
          <w:noProof/>
          <w:sz w:val="20"/>
          <w:szCs w:val="20"/>
          <w:lang w:val="en-US" w:eastAsia="en-GB"/>
        </w:rPr>
        <w:t>rical results for the problem (38</w:t>
      </w:r>
      <w:r w:rsidRPr="007B73B9">
        <w:rPr>
          <w:rFonts w:ascii="Arial" w:eastAsia="Times New Roman" w:hAnsi="Arial" w:cs="Arial"/>
          <w:bCs/>
          <w:i/>
          <w:noProof/>
          <w:sz w:val="20"/>
          <w:szCs w:val="20"/>
          <w:lang w:val="en-US" w:eastAsia="en-GB"/>
        </w:rPr>
        <w:t xml:space="preserve">) </w:t>
      </w:r>
      <w:r>
        <w:rPr>
          <w:rFonts w:ascii="Arial" w:eastAsia="Times New Roman" w:hAnsi="Arial" w:cs="Arial"/>
          <w:bCs/>
          <w:i/>
          <w:noProof/>
          <w:sz w:val="20"/>
          <w:szCs w:val="20"/>
          <w:lang w:val="en-US" w:eastAsia="en-GB"/>
        </w:rPr>
        <w:t xml:space="preserve">- </w:t>
      </w:r>
      <w:r w:rsidRPr="007B73B9">
        <w:rPr>
          <w:rFonts w:ascii="Arial" w:eastAsia="Times New Roman" w:hAnsi="Arial" w:cs="Arial"/>
          <w:bCs/>
          <w:i/>
          <w:noProof/>
          <w:sz w:val="20"/>
          <w:szCs w:val="20"/>
          <w:lang w:val="en-US" w:eastAsia="en-GB"/>
        </w:rPr>
        <w:t>(</w:t>
      </w:r>
      <w:r>
        <w:rPr>
          <w:rFonts w:ascii="Arial" w:eastAsia="Times New Roman" w:hAnsi="Arial" w:cs="Arial"/>
          <w:bCs/>
          <w:i/>
          <w:noProof/>
          <w:sz w:val="20"/>
          <w:szCs w:val="20"/>
          <w:lang w:val="en-US" w:eastAsia="en-GB"/>
        </w:rPr>
        <w:t>43</w:t>
      </w:r>
      <w:r w:rsidRPr="007B73B9">
        <w:rPr>
          <w:rFonts w:ascii="Arial" w:eastAsia="Times New Roman" w:hAnsi="Arial" w:cs="Arial"/>
          <w:bCs/>
          <w:i/>
          <w:noProof/>
          <w:sz w:val="20"/>
          <w:szCs w:val="20"/>
          <w:lang w:val="en-US" w:eastAsia="en-GB"/>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9"/>
        <w:gridCol w:w="1560"/>
        <w:gridCol w:w="1855"/>
      </w:tblGrid>
      <w:tr w:rsidR="00575A88" w:rsidRPr="00006C68" w:rsidTr="007F2707">
        <w:trPr>
          <w:jc w:val="center"/>
        </w:trPr>
        <w:tc>
          <w:tcPr>
            <w:tcW w:w="1559"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Pr>
                <w:rFonts w:ascii="Arial" w:eastAsia="Times New Roman" w:hAnsi="Arial"/>
                <w:b/>
                <w:sz w:val="20"/>
                <w:szCs w:val="20"/>
                <w:lang w:eastAsia="es-ES"/>
              </w:rPr>
              <w:t>Mesh</w:t>
            </w:r>
          </w:p>
        </w:tc>
        <w:tc>
          <w:tcPr>
            <w:tcW w:w="1560"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sidRPr="004B4336">
              <w:rPr>
                <w:rFonts w:ascii="Arial" w:eastAsia="Times New Roman" w:hAnsi="Arial"/>
                <w:b/>
                <w:sz w:val="20"/>
                <w:szCs w:val="20"/>
                <w:lang w:eastAsia="es-ES"/>
              </w:rPr>
              <w:t xml:space="preserve">Percent error (%) </w:t>
            </w:r>
          </w:p>
        </w:tc>
        <w:tc>
          <w:tcPr>
            <w:tcW w:w="1855"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sidRPr="004B4336">
              <w:rPr>
                <w:rFonts w:ascii="Arial" w:eastAsia="Times New Roman" w:hAnsi="Arial"/>
                <w:b/>
                <w:sz w:val="20"/>
                <w:szCs w:val="20"/>
                <w:lang w:eastAsia="es-ES"/>
              </w:rPr>
              <w:t>Number of iterations</w:t>
            </w:r>
          </w:p>
        </w:tc>
      </w:tr>
      <w:tr w:rsidR="00575A88" w:rsidRPr="004B4336" w:rsidTr="007F2707">
        <w:trPr>
          <w:jc w:val="center"/>
        </w:trPr>
        <w:tc>
          <w:tcPr>
            <w:tcW w:w="1559" w:type="dxa"/>
            <w:tcBorders>
              <w:bottom w:val="nil"/>
            </w:tcBorders>
            <w:vAlign w:val="center"/>
          </w:tcPr>
          <w:p w:rsidR="00575A88" w:rsidRPr="00006C68" w:rsidRDefault="00575A88" w:rsidP="007F2707">
            <w:pPr>
              <w:keepLines/>
              <w:spacing w:before="60"/>
              <w:jc w:val="center"/>
              <w:rPr>
                <w:rFonts w:ascii="Arial" w:eastAsia="Times New Roman" w:hAnsi="Arial"/>
                <w:sz w:val="20"/>
                <w:szCs w:val="20"/>
                <w:lang w:eastAsia="es-ES"/>
              </w:rPr>
            </w:pPr>
            <w:r>
              <w:rPr>
                <w:rFonts w:ascii="Arial" w:eastAsia="Times New Roman" w:hAnsi="Arial"/>
                <w:sz w:val="20"/>
                <w:szCs w:val="20"/>
                <w:lang w:eastAsia="es-ES"/>
              </w:rPr>
              <w:t>32   x   64</w:t>
            </w:r>
          </w:p>
        </w:tc>
        <w:tc>
          <w:tcPr>
            <w:tcW w:w="1560"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4</w:t>
            </w:r>
            <w:r w:rsidRPr="004B4336">
              <w:rPr>
                <w:rFonts w:ascii="Arial" w:eastAsia="Times New Roman" w:hAnsi="Arial"/>
                <w:sz w:val="20"/>
                <w:szCs w:val="20"/>
                <w:lang w:val="en-US" w:eastAsia="es-ES"/>
              </w:rPr>
              <w:t>.</w:t>
            </w:r>
            <w:r>
              <w:rPr>
                <w:rFonts w:ascii="Arial" w:eastAsia="Times New Roman" w:hAnsi="Arial"/>
                <w:sz w:val="20"/>
                <w:szCs w:val="20"/>
                <w:lang w:val="en-US" w:eastAsia="es-ES"/>
              </w:rPr>
              <w:t>1</w:t>
            </w:r>
            <w:r w:rsidRPr="004B4336">
              <w:rPr>
                <w:rFonts w:ascii="Arial" w:eastAsia="Times New Roman" w:hAnsi="Arial"/>
                <w:sz w:val="20"/>
                <w:szCs w:val="20"/>
                <w:lang w:val="en-US" w:eastAsia="es-ES"/>
              </w:rPr>
              <w:t xml:space="preserve">  10</w:t>
            </w:r>
            <w:r>
              <w:rPr>
                <w:rFonts w:ascii="Arial" w:eastAsia="Times New Roman" w:hAnsi="Arial"/>
                <w:sz w:val="20"/>
                <w:szCs w:val="20"/>
                <w:vertAlign w:val="superscript"/>
                <w:lang w:val="en-US" w:eastAsia="es-ES"/>
              </w:rPr>
              <w:t>-2</w:t>
            </w:r>
          </w:p>
        </w:tc>
        <w:tc>
          <w:tcPr>
            <w:tcW w:w="1855"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7335</w:t>
            </w:r>
          </w:p>
        </w:tc>
      </w:tr>
      <w:tr w:rsidR="00575A88" w:rsidRPr="004B4336" w:rsidTr="007F2707">
        <w:trPr>
          <w:jc w:val="center"/>
        </w:trPr>
        <w:tc>
          <w:tcPr>
            <w:tcW w:w="1559" w:type="dxa"/>
            <w:tcBorders>
              <w:top w:val="nil"/>
              <w:bottom w:val="nil"/>
            </w:tcBorders>
            <w:vAlign w:val="center"/>
          </w:tcPr>
          <w:p w:rsidR="00575A88" w:rsidRPr="00D942C3"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 xml:space="preserve">  64   x   </w:t>
            </w:r>
            <w:r w:rsidRPr="00D942C3">
              <w:rPr>
                <w:rFonts w:ascii="Arial" w:eastAsia="Times New Roman" w:hAnsi="Arial"/>
                <w:sz w:val="20"/>
                <w:szCs w:val="20"/>
                <w:lang w:val="en-US" w:eastAsia="es-ES"/>
              </w:rPr>
              <w:t>128</w:t>
            </w:r>
          </w:p>
        </w:tc>
        <w:tc>
          <w:tcPr>
            <w:tcW w:w="1560"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1</w:t>
            </w:r>
            <w:r w:rsidRPr="004B4336">
              <w:rPr>
                <w:rFonts w:ascii="Arial" w:eastAsia="Times New Roman" w:hAnsi="Arial"/>
                <w:sz w:val="20"/>
                <w:szCs w:val="20"/>
                <w:lang w:val="en-US" w:eastAsia="es-ES"/>
              </w:rPr>
              <w:t>.</w:t>
            </w:r>
            <w:r>
              <w:rPr>
                <w:rFonts w:ascii="Arial" w:eastAsia="Times New Roman" w:hAnsi="Arial"/>
                <w:sz w:val="20"/>
                <w:szCs w:val="20"/>
                <w:lang w:val="en-US" w:eastAsia="es-ES"/>
              </w:rPr>
              <w:t>1</w:t>
            </w:r>
            <w:r w:rsidRPr="004B4336">
              <w:rPr>
                <w:rFonts w:ascii="Arial" w:eastAsia="Times New Roman" w:hAnsi="Arial"/>
                <w:sz w:val="20"/>
                <w:szCs w:val="20"/>
                <w:lang w:val="en-US" w:eastAsia="es-ES"/>
              </w:rPr>
              <w:t xml:space="preserve">  10</w:t>
            </w:r>
            <w:r>
              <w:rPr>
                <w:rFonts w:ascii="Arial" w:eastAsia="Times New Roman" w:hAnsi="Arial"/>
                <w:sz w:val="20"/>
                <w:szCs w:val="20"/>
                <w:vertAlign w:val="superscript"/>
                <w:lang w:val="en-US" w:eastAsia="es-ES"/>
              </w:rPr>
              <w:t>-2</w:t>
            </w:r>
          </w:p>
        </w:tc>
        <w:tc>
          <w:tcPr>
            <w:tcW w:w="1855"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30243</w:t>
            </w:r>
          </w:p>
        </w:tc>
      </w:tr>
      <w:tr w:rsidR="00575A88" w:rsidRPr="004B4336" w:rsidTr="007F2707">
        <w:trPr>
          <w:jc w:val="center"/>
        </w:trPr>
        <w:tc>
          <w:tcPr>
            <w:tcW w:w="1559" w:type="dxa"/>
            <w:tcBorders>
              <w:top w:val="nil"/>
            </w:tcBorders>
            <w:vAlign w:val="center"/>
          </w:tcPr>
          <w:p w:rsidR="00575A88" w:rsidRPr="00301351"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 xml:space="preserve">128   x   </w:t>
            </w:r>
            <w:r w:rsidRPr="00301351">
              <w:rPr>
                <w:rFonts w:ascii="Arial" w:eastAsia="Times New Roman" w:hAnsi="Arial"/>
                <w:sz w:val="20"/>
                <w:szCs w:val="20"/>
                <w:lang w:val="en-US" w:eastAsia="es-ES"/>
              </w:rPr>
              <w:t>2</w:t>
            </w:r>
            <w:r>
              <w:rPr>
                <w:rFonts w:ascii="Arial" w:eastAsia="Times New Roman" w:hAnsi="Arial"/>
                <w:sz w:val="20"/>
                <w:szCs w:val="20"/>
                <w:lang w:val="en-US" w:eastAsia="es-ES"/>
              </w:rPr>
              <w:t>56</w:t>
            </w:r>
          </w:p>
        </w:tc>
        <w:tc>
          <w:tcPr>
            <w:tcW w:w="1560"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1</w:t>
            </w:r>
            <w:r w:rsidRPr="004B4336">
              <w:rPr>
                <w:rFonts w:ascii="Arial" w:eastAsia="Times New Roman" w:hAnsi="Arial"/>
                <w:sz w:val="20"/>
                <w:szCs w:val="20"/>
                <w:lang w:val="en-US" w:eastAsia="es-ES"/>
              </w:rPr>
              <w:t>.</w:t>
            </w:r>
            <w:r>
              <w:rPr>
                <w:rFonts w:ascii="Arial" w:eastAsia="Times New Roman" w:hAnsi="Arial"/>
                <w:sz w:val="20"/>
                <w:szCs w:val="20"/>
                <w:lang w:val="en-US" w:eastAsia="es-ES"/>
              </w:rPr>
              <w:t>5</w:t>
            </w:r>
            <w:r w:rsidRPr="004B4336">
              <w:rPr>
                <w:rFonts w:ascii="Arial" w:eastAsia="Times New Roman" w:hAnsi="Arial"/>
                <w:sz w:val="20"/>
                <w:szCs w:val="20"/>
                <w:lang w:val="en-US" w:eastAsia="es-ES"/>
              </w:rPr>
              <w:t xml:space="preserve">  10</w:t>
            </w:r>
            <w:r>
              <w:rPr>
                <w:rFonts w:ascii="Arial" w:eastAsia="Times New Roman" w:hAnsi="Arial"/>
                <w:sz w:val="20"/>
                <w:szCs w:val="20"/>
                <w:vertAlign w:val="superscript"/>
                <w:lang w:val="en-US" w:eastAsia="es-ES"/>
              </w:rPr>
              <w:t>-3</w:t>
            </w:r>
          </w:p>
        </w:tc>
        <w:tc>
          <w:tcPr>
            <w:tcW w:w="1855"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121368</w:t>
            </w:r>
          </w:p>
        </w:tc>
      </w:tr>
    </w:tbl>
    <w:p w:rsidR="00575A88" w:rsidRDefault="00575A88" w:rsidP="00575A88">
      <w:pPr>
        <w:tabs>
          <w:tab w:val="left" w:pos="288"/>
        </w:tabs>
        <w:jc w:val="both"/>
        <w:rPr>
          <w:rFonts w:ascii="Arial" w:eastAsia="MS Mincho" w:hAnsi="Arial" w:cs="Arial"/>
          <w:spacing w:val="-1"/>
          <w:lang w:val="en-GB" w:eastAsia="sk-SK"/>
        </w:rPr>
      </w:pPr>
    </w:p>
    <w:p w:rsidR="00575A88" w:rsidRDefault="00575A88" w:rsidP="00575A88">
      <w:pPr>
        <w:tabs>
          <w:tab w:val="left" w:pos="288"/>
        </w:tabs>
        <w:ind w:firstLine="567"/>
        <w:jc w:val="both"/>
        <w:rPr>
          <w:rFonts w:ascii="Arial" w:eastAsia="Times New Roman" w:hAnsi="Arial" w:cs="Arial"/>
          <w:lang w:val="sk-SK" w:eastAsia="cs-CZ"/>
        </w:rPr>
      </w:pPr>
      <w:r w:rsidRPr="00B66BC9">
        <w:rPr>
          <w:rFonts w:ascii="Arial" w:eastAsia="Times New Roman" w:hAnsi="Arial" w:cs="Arial"/>
          <w:lang w:val="en-GB" w:eastAsia="cs-CZ"/>
        </w:rPr>
        <w:t>The case of discontinuous electrical conductivities is also considered.</w:t>
      </w:r>
      <w:r>
        <w:rPr>
          <w:rFonts w:ascii="Arial" w:eastAsia="Times New Roman" w:hAnsi="Arial" w:cs="Arial"/>
          <w:lang w:val="en-GB" w:eastAsia="cs-CZ"/>
        </w:rPr>
        <w:t xml:space="preserve"> For</w:t>
      </w:r>
      <w:r w:rsidRPr="00972D6A">
        <w:rPr>
          <w:rFonts w:ascii="Arial" w:eastAsia="Times New Roman" w:hAnsi="Arial" w:cs="Arial"/>
          <w:lang w:val="en-GB" w:eastAsia="cs-CZ"/>
        </w:rPr>
        <w:t xml:space="preserve"> the </w:t>
      </w:r>
      <w:r w:rsidRPr="00B66BC9">
        <w:rPr>
          <w:rFonts w:ascii="Arial" w:eastAsia="Times New Roman" w:hAnsi="Arial" w:cs="Arial"/>
          <w:lang w:val="en-GB" w:eastAsia="cs-CZ"/>
        </w:rPr>
        <w:t xml:space="preserve">following </w:t>
      </w:r>
      <w:r w:rsidRPr="00972D6A">
        <w:rPr>
          <w:rFonts w:ascii="Arial" w:eastAsia="Times New Roman" w:hAnsi="Arial" w:cs="Arial"/>
          <w:lang w:val="el-GR" w:eastAsia="cs-CZ"/>
        </w:rPr>
        <w:t>discontinuous</w:t>
      </w:r>
      <w:r>
        <w:rPr>
          <w:rFonts w:ascii="Arial" w:eastAsia="Times New Roman" w:hAnsi="Arial" w:cs="Arial"/>
          <w:lang w:val="sk-SK" w:eastAsia="cs-CZ"/>
        </w:rPr>
        <w:t xml:space="preserve"> </w:t>
      </w:r>
      <w:r w:rsidRPr="00972D6A">
        <w:rPr>
          <w:rFonts w:ascii="Arial" w:eastAsia="Times New Roman" w:hAnsi="Arial" w:cs="Arial"/>
          <w:lang w:val="en-GB" w:eastAsia="cs-CZ"/>
        </w:rPr>
        <w:t xml:space="preserve">electrical </w:t>
      </w:r>
      <w:r>
        <w:rPr>
          <w:rFonts w:ascii="Arial" w:eastAsia="Times New Roman" w:hAnsi="Arial" w:cs="Arial"/>
          <w:lang w:val="el-GR" w:eastAsia="cs-CZ"/>
        </w:rPr>
        <w:t>conductivit</w:t>
      </w:r>
      <w:r>
        <w:rPr>
          <w:rFonts w:ascii="Arial" w:eastAsia="Times New Roman" w:hAnsi="Arial" w:cs="Arial"/>
          <w:lang w:val="sk-SK" w:eastAsia="cs-CZ"/>
        </w:rPr>
        <w:t>y</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CF5998" w:rsidRDefault="00575A88" w:rsidP="00575A88">
      <w:pPr>
        <w:pStyle w:val="Textoindependiente"/>
        <w:jc w:val="right"/>
        <w:rPr>
          <w:rFonts w:ascii="Arial" w:hAnsi="Arial" w:cs="Arial"/>
          <w:b w:val="0"/>
          <w:sz w:val="24"/>
          <w:lang w:val="en-US"/>
        </w:rPr>
      </w:pPr>
      <w:r w:rsidRPr="00CF5998">
        <w:rPr>
          <w:rFonts w:ascii="Arial" w:hAnsi="Arial" w:cs="Arial"/>
          <w:b w:val="0"/>
          <w:position w:val="-10"/>
          <w:sz w:val="24"/>
          <w:lang w:val="en-US"/>
        </w:rPr>
        <w:t xml:space="preserve">                                    </w:t>
      </w:r>
      <w:r w:rsidRPr="009A216B">
        <w:rPr>
          <w:rFonts w:ascii="Arial" w:hAnsi="Arial" w:cs="Arial"/>
          <w:b w:val="0"/>
          <w:position w:val="-10"/>
          <w:sz w:val="24"/>
        </w:rPr>
        <w:object w:dxaOrig="980" w:dyaOrig="320">
          <v:shape id="_x0000_i1372" type="#_x0000_t75" style="width:50.4pt;height:14.4pt" o:ole="">
            <v:imagedata r:id="rId851" o:title=""/>
          </v:shape>
          <o:OLEObject Type="Embed" ProgID="Equation.3" ShapeID="_x0000_i1372" DrawAspect="Content" ObjectID="_1660649469" r:id="rId879"/>
        </w:object>
      </w:r>
      <w:r w:rsidRPr="009A216B">
        <w:rPr>
          <w:rFonts w:ascii="Arial" w:hAnsi="Arial" w:cs="Arial"/>
          <w:b w:val="0"/>
          <w:sz w:val="24"/>
          <w:lang w:val="en-US"/>
        </w:rPr>
        <w:t xml:space="preserve">   </w:t>
      </w:r>
      <w:r>
        <w:rPr>
          <w:rFonts w:ascii="Arial" w:hAnsi="Arial" w:cs="Arial"/>
          <w:b w:val="0"/>
          <w:sz w:val="24"/>
          <w:lang w:val="en-US"/>
        </w:rPr>
        <w:t>,</w:t>
      </w:r>
      <w:r w:rsidRPr="009A216B">
        <w:rPr>
          <w:rFonts w:ascii="Arial" w:hAnsi="Arial" w:cs="Arial"/>
          <w:b w:val="0"/>
          <w:sz w:val="24"/>
          <w:lang w:val="en-US"/>
        </w:rPr>
        <w:t xml:space="preserve">   </w:t>
      </w:r>
      <w:r>
        <w:rPr>
          <w:rFonts w:ascii="Arial" w:hAnsi="Arial" w:cs="Arial"/>
          <w:b w:val="0"/>
          <w:sz w:val="24"/>
          <w:lang w:val="en-US"/>
        </w:rPr>
        <w:t xml:space="preserve">       </w:t>
      </w:r>
      <w:r w:rsidRPr="00F42668">
        <w:rPr>
          <w:rFonts w:ascii="Arial" w:hAnsi="Arial" w:cs="Arial"/>
          <w:b w:val="0"/>
          <w:position w:val="-10"/>
          <w:sz w:val="24"/>
        </w:rPr>
        <w:object w:dxaOrig="1920" w:dyaOrig="380">
          <v:shape id="_x0000_i1373" type="#_x0000_t75" style="width:93.6pt;height:21.6pt" o:ole="">
            <v:imagedata r:id="rId880" o:title=""/>
          </v:shape>
          <o:OLEObject Type="Embed" ProgID="Equation.3" ShapeID="_x0000_i1373" DrawAspect="Content" ObjectID="_1660649470" r:id="rId881"/>
        </w:object>
      </w:r>
      <w:r w:rsidRPr="00CF5998">
        <w:rPr>
          <w:rFonts w:ascii="Arial" w:hAnsi="Arial" w:cs="Arial"/>
          <w:b w:val="0"/>
          <w:sz w:val="24"/>
          <w:lang w:val="en-US"/>
        </w:rPr>
        <w:t xml:space="preserve">   ,                       </w:t>
      </w:r>
      <w:r>
        <w:rPr>
          <w:rFonts w:ascii="Arial" w:hAnsi="Arial" w:cs="Arial"/>
          <w:b w:val="0"/>
          <w:sz w:val="24"/>
          <w:lang w:val="en-US"/>
        </w:rPr>
        <w:t xml:space="preserve">            </w:t>
      </w:r>
      <w:r w:rsidRPr="009A216B">
        <w:rPr>
          <w:rFonts w:ascii="Arial" w:hAnsi="Arial" w:cs="Arial"/>
          <w:b w:val="0"/>
          <w:sz w:val="24"/>
          <w:lang w:val="en-US"/>
        </w:rPr>
        <w:t xml:space="preserve"> </w:t>
      </w:r>
      <w:r>
        <w:rPr>
          <w:rFonts w:ascii="Arial" w:hAnsi="Arial" w:cs="Arial"/>
          <w:b w:val="0"/>
          <w:sz w:val="24"/>
          <w:lang w:val="en-US"/>
        </w:rPr>
        <w:t>(44</w:t>
      </w:r>
      <w:r w:rsidRPr="009A216B">
        <w:rPr>
          <w:rFonts w:ascii="Arial" w:hAnsi="Arial" w:cs="Arial"/>
          <w:b w:val="0"/>
          <w:sz w:val="24"/>
          <w:lang w:val="en-US"/>
        </w:rPr>
        <w:t xml:space="preserve">) </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1C1DE7" w:rsidRDefault="00575A88" w:rsidP="00575A88">
      <w:pPr>
        <w:pStyle w:val="equation"/>
        <w:spacing w:before="0" w:after="0" w:line="240" w:lineRule="auto"/>
        <w:jc w:val="right"/>
        <w:rPr>
          <w:rFonts w:ascii="Arial" w:hAnsi="Arial" w:cs="Arial"/>
          <w:b/>
          <w:sz w:val="24"/>
        </w:rPr>
      </w:pPr>
      <w:r>
        <w:rPr>
          <w:rFonts w:ascii="Arial" w:hAnsi="Arial" w:cs="Arial"/>
          <w:position w:val="-10"/>
          <w:sz w:val="24"/>
          <w:szCs w:val="24"/>
        </w:rPr>
        <w:t xml:space="preserve">        </w:t>
      </w:r>
      <w:r w:rsidRPr="007B1A51">
        <w:rPr>
          <w:rFonts w:ascii="Arial" w:hAnsi="Arial" w:cs="Arial"/>
          <w:position w:val="-10"/>
          <w:sz w:val="24"/>
          <w:szCs w:val="24"/>
        </w:rPr>
        <w:object w:dxaOrig="2439" w:dyaOrig="380">
          <v:shape id="_x0000_i1374" type="#_x0000_t75" style="width:122.4pt;height:21.6pt" o:ole="">
            <v:imagedata r:id="rId882" o:title=""/>
          </v:shape>
          <o:OLEObject Type="Embed" ProgID="Equation.3" ShapeID="_x0000_i1374" DrawAspect="Content" ObjectID="_1660649471" r:id="rId883"/>
        </w:object>
      </w:r>
      <w:r>
        <w:rPr>
          <w:rFonts w:ascii="Arial" w:hAnsi="Arial" w:cs="Arial"/>
          <w:sz w:val="24"/>
          <w:szCs w:val="24"/>
        </w:rPr>
        <w:t xml:space="preserve">   ,      </w:t>
      </w:r>
      <w:r w:rsidRPr="00F42668">
        <w:rPr>
          <w:rFonts w:ascii="Arial" w:hAnsi="Arial" w:cs="Arial"/>
          <w:b/>
          <w:position w:val="-10"/>
          <w:sz w:val="24"/>
        </w:rPr>
        <w:object w:dxaOrig="1880" w:dyaOrig="380">
          <v:shape id="_x0000_i1375" type="#_x0000_t75" style="width:93.6pt;height:21.6pt" o:ole="">
            <v:imagedata r:id="rId884" o:title=""/>
          </v:shape>
          <o:OLEObject Type="Embed" ProgID="Equation.3" ShapeID="_x0000_i1375" DrawAspect="Content" ObjectID="_1660649472" r:id="rId885"/>
        </w:object>
      </w:r>
      <w:r>
        <w:rPr>
          <w:rFonts w:ascii="Arial" w:hAnsi="Arial" w:cs="Arial"/>
          <w:sz w:val="24"/>
          <w:szCs w:val="24"/>
        </w:rPr>
        <w:t xml:space="preserve">                             </w:t>
      </w:r>
      <w:r w:rsidRPr="007B1A51">
        <w:rPr>
          <w:rFonts w:ascii="Arial" w:hAnsi="Arial" w:cs="Arial"/>
          <w:sz w:val="24"/>
          <w:szCs w:val="24"/>
        </w:rPr>
        <w:t>(</w:t>
      </w:r>
      <w:r>
        <w:rPr>
          <w:rFonts w:ascii="Arial" w:hAnsi="Arial" w:cs="Arial"/>
          <w:sz w:val="24"/>
          <w:szCs w:val="24"/>
        </w:rPr>
        <w:t>45</w:t>
      </w:r>
      <w:r w:rsidRPr="007B1A51">
        <w:rPr>
          <w:rFonts w:ascii="Arial" w:hAnsi="Arial" w:cs="Arial"/>
          <w:sz w:val="24"/>
          <w:szCs w:val="24"/>
        </w:rPr>
        <w:t>)</w:t>
      </w:r>
    </w:p>
    <w:p w:rsidR="00575A88" w:rsidRDefault="00575A88" w:rsidP="00575A88">
      <w:pPr>
        <w:tabs>
          <w:tab w:val="left" w:pos="288"/>
        </w:tabs>
        <w:jc w:val="both"/>
        <w:rPr>
          <w:rFonts w:ascii="Arial" w:eastAsia="MS Mincho" w:hAnsi="Arial" w:cs="Arial"/>
          <w:spacing w:val="-1"/>
          <w:lang w:val="en-GB" w:eastAsia="sk-SK"/>
        </w:rPr>
      </w:pPr>
      <w:r w:rsidRPr="00E7093F">
        <w:rPr>
          <w:rFonts w:ascii="Arial" w:eastAsia="MS Mincho" w:hAnsi="Arial" w:cs="Arial"/>
          <w:spacing w:val="-1"/>
          <w:lang w:val="en-GB" w:eastAsia="sk-SK"/>
        </w:rPr>
        <w:t>voltage potential</w:t>
      </w:r>
    </w:p>
    <w:p w:rsidR="00575A88" w:rsidRPr="001C1DE7" w:rsidRDefault="00575A88" w:rsidP="00575A88">
      <w:pPr>
        <w:pStyle w:val="equation"/>
        <w:spacing w:before="0" w:after="0" w:line="240" w:lineRule="auto"/>
        <w:jc w:val="right"/>
        <w:rPr>
          <w:rFonts w:ascii="Arial" w:hAnsi="Arial" w:cs="Arial"/>
          <w:b/>
          <w:sz w:val="24"/>
        </w:rPr>
      </w:pPr>
      <w:r>
        <w:rPr>
          <w:rFonts w:ascii="Arial" w:hAnsi="Arial" w:cs="Arial"/>
          <w:position w:val="-10"/>
          <w:sz w:val="24"/>
          <w:szCs w:val="24"/>
        </w:rPr>
        <w:t xml:space="preserve">                           </w:t>
      </w:r>
      <w:r w:rsidRPr="007B1A51">
        <w:rPr>
          <w:rFonts w:ascii="Arial" w:hAnsi="Arial" w:cs="Arial"/>
          <w:position w:val="-10"/>
          <w:sz w:val="24"/>
          <w:szCs w:val="24"/>
        </w:rPr>
        <w:object w:dxaOrig="2100" w:dyaOrig="380">
          <v:shape id="_x0000_i1376" type="#_x0000_t75" style="width:108pt;height:21.6pt" o:ole="">
            <v:imagedata r:id="rId886" o:title=""/>
          </v:shape>
          <o:OLEObject Type="Embed" ProgID="Equation.3" ShapeID="_x0000_i1376" DrawAspect="Content" ObjectID="_1660649473" r:id="rId887"/>
        </w:object>
      </w:r>
      <w:r>
        <w:rPr>
          <w:rFonts w:ascii="Arial" w:hAnsi="Arial" w:cs="Arial"/>
          <w:sz w:val="24"/>
          <w:szCs w:val="24"/>
        </w:rPr>
        <w:t xml:space="preserve">   ,         </w:t>
      </w:r>
      <w:r w:rsidRPr="00F42668">
        <w:rPr>
          <w:rFonts w:ascii="Arial" w:hAnsi="Arial" w:cs="Arial"/>
          <w:b/>
          <w:position w:val="-10"/>
          <w:sz w:val="24"/>
        </w:rPr>
        <w:object w:dxaOrig="1920" w:dyaOrig="380">
          <v:shape id="_x0000_i1377" type="#_x0000_t75" style="width:93.6pt;height:21.6pt" o:ole="">
            <v:imagedata r:id="rId880" o:title=""/>
          </v:shape>
          <o:OLEObject Type="Embed" ProgID="Equation.3" ShapeID="_x0000_i1377" DrawAspect="Content" ObjectID="_1660649474" r:id="rId888"/>
        </w:object>
      </w:r>
      <w:r>
        <w:rPr>
          <w:rFonts w:ascii="Arial" w:hAnsi="Arial" w:cs="Arial"/>
          <w:sz w:val="24"/>
          <w:szCs w:val="24"/>
        </w:rPr>
        <w:t xml:space="preserve">   ,                            </w:t>
      </w:r>
      <w:r w:rsidRPr="007B1A51">
        <w:rPr>
          <w:rFonts w:ascii="Arial" w:hAnsi="Arial" w:cs="Arial"/>
          <w:sz w:val="24"/>
          <w:szCs w:val="24"/>
        </w:rPr>
        <w:t>(</w:t>
      </w:r>
      <w:r>
        <w:rPr>
          <w:rFonts w:ascii="Arial" w:hAnsi="Arial" w:cs="Arial"/>
          <w:sz w:val="24"/>
          <w:szCs w:val="24"/>
        </w:rPr>
        <w:t>46</w:t>
      </w:r>
      <w:r w:rsidRPr="007B1A51">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1C1DE7" w:rsidRDefault="00575A88" w:rsidP="00575A88">
      <w:pPr>
        <w:pStyle w:val="equation"/>
        <w:spacing w:before="0" w:after="0" w:line="240" w:lineRule="auto"/>
        <w:jc w:val="right"/>
        <w:rPr>
          <w:rFonts w:ascii="Arial" w:hAnsi="Arial" w:cs="Arial"/>
          <w:b/>
          <w:sz w:val="24"/>
        </w:rPr>
      </w:pPr>
      <w:r>
        <w:rPr>
          <w:rFonts w:ascii="Arial" w:hAnsi="Arial" w:cs="Arial"/>
          <w:position w:val="-10"/>
          <w:sz w:val="24"/>
          <w:szCs w:val="24"/>
        </w:rPr>
        <w:t xml:space="preserve">                      </w:t>
      </w:r>
      <w:r w:rsidRPr="007B1A51">
        <w:rPr>
          <w:rFonts w:ascii="Arial" w:hAnsi="Arial" w:cs="Arial"/>
          <w:position w:val="-10"/>
          <w:sz w:val="24"/>
          <w:szCs w:val="24"/>
        </w:rPr>
        <w:object w:dxaOrig="3860" w:dyaOrig="380">
          <v:shape id="_x0000_i1378" type="#_x0000_t75" style="width:194.4pt;height:21.6pt" o:ole="">
            <v:imagedata r:id="rId889" o:title=""/>
          </v:shape>
          <o:OLEObject Type="Embed" ProgID="Equation.3" ShapeID="_x0000_i1378" DrawAspect="Content" ObjectID="_1660649475" r:id="rId890"/>
        </w:object>
      </w:r>
      <w:r>
        <w:rPr>
          <w:rFonts w:ascii="Arial" w:hAnsi="Arial" w:cs="Arial"/>
          <w:sz w:val="24"/>
          <w:szCs w:val="24"/>
        </w:rPr>
        <w:t xml:space="preserve">   ,      </w:t>
      </w:r>
      <w:r w:rsidRPr="00F42668">
        <w:rPr>
          <w:rFonts w:ascii="Arial" w:hAnsi="Arial" w:cs="Arial"/>
          <w:b/>
          <w:position w:val="-10"/>
          <w:sz w:val="24"/>
        </w:rPr>
        <w:object w:dxaOrig="1880" w:dyaOrig="380">
          <v:shape id="_x0000_i1379" type="#_x0000_t75" style="width:93.6pt;height:21.6pt" o:ole="">
            <v:imagedata r:id="rId884" o:title=""/>
          </v:shape>
          <o:OLEObject Type="Embed" ProgID="Equation.3" ShapeID="_x0000_i1379" DrawAspect="Content" ObjectID="_1660649476" r:id="rId891"/>
        </w:object>
      </w:r>
      <w:r>
        <w:rPr>
          <w:rFonts w:ascii="Arial" w:hAnsi="Arial" w:cs="Arial"/>
          <w:sz w:val="24"/>
          <w:szCs w:val="24"/>
        </w:rPr>
        <w:t xml:space="preserve">               </w:t>
      </w:r>
      <w:r w:rsidRPr="007B1A51">
        <w:rPr>
          <w:rFonts w:ascii="Arial" w:hAnsi="Arial" w:cs="Arial"/>
          <w:sz w:val="24"/>
          <w:szCs w:val="24"/>
        </w:rPr>
        <w:t>(</w:t>
      </w:r>
      <w:r>
        <w:rPr>
          <w:rFonts w:ascii="Arial" w:hAnsi="Arial" w:cs="Arial"/>
          <w:sz w:val="24"/>
          <w:szCs w:val="24"/>
        </w:rPr>
        <w:t>47</w:t>
      </w:r>
      <w:r w:rsidRPr="007B1A51">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08Text"/>
        <w:spacing w:before="0"/>
        <w:ind w:firstLine="0"/>
        <w:jc w:val="both"/>
        <w:rPr>
          <w:sz w:val="24"/>
          <w:szCs w:val="24"/>
        </w:rPr>
      </w:pPr>
      <w:r w:rsidRPr="009A216B">
        <w:rPr>
          <w:sz w:val="24"/>
          <w:szCs w:val="24"/>
        </w:rPr>
        <w:t>corresponding free charge</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CF5998" w:rsidRDefault="00575A88" w:rsidP="00575A88">
      <w:pPr>
        <w:pStyle w:val="Textoindependiente"/>
        <w:jc w:val="right"/>
        <w:rPr>
          <w:rFonts w:ascii="Arial" w:hAnsi="Arial" w:cs="Arial"/>
          <w:b w:val="0"/>
          <w:sz w:val="24"/>
          <w:lang w:val="en-US"/>
        </w:rPr>
      </w:pPr>
      <w:r w:rsidRPr="00CF5998">
        <w:rPr>
          <w:rFonts w:ascii="Arial" w:hAnsi="Arial" w:cs="Arial"/>
          <w:b w:val="0"/>
          <w:position w:val="-10"/>
          <w:sz w:val="24"/>
          <w:lang w:val="en-US"/>
        </w:rPr>
        <w:t xml:space="preserve">                                 </w:t>
      </w:r>
      <w:r w:rsidRPr="009A216B">
        <w:rPr>
          <w:rFonts w:ascii="Arial" w:hAnsi="Arial" w:cs="Arial"/>
          <w:b w:val="0"/>
          <w:position w:val="-10"/>
          <w:sz w:val="24"/>
        </w:rPr>
        <w:object w:dxaOrig="1200" w:dyaOrig="320">
          <v:shape id="_x0000_i1380" type="#_x0000_t75" style="width:57.6pt;height:14.4pt" o:ole="">
            <v:imagedata r:id="rId892" o:title=""/>
          </v:shape>
          <o:OLEObject Type="Embed" ProgID="Equation.3" ShapeID="_x0000_i1380" DrawAspect="Content" ObjectID="_1660649477" r:id="rId893"/>
        </w:object>
      </w:r>
      <w:r w:rsidRPr="009A216B">
        <w:rPr>
          <w:rFonts w:ascii="Arial" w:hAnsi="Arial" w:cs="Arial"/>
          <w:b w:val="0"/>
          <w:sz w:val="24"/>
          <w:lang w:val="en-US"/>
        </w:rPr>
        <w:t xml:space="preserve">   </w:t>
      </w:r>
      <w:r>
        <w:rPr>
          <w:rFonts w:ascii="Arial" w:hAnsi="Arial" w:cs="Arial"/>
          <w:b w:val="0"/>
          <w:sz w:val="24"/>
          <w:lang w:val="en-US"/>
        </w:rPr>
        <w:t>,</w:t>
      </w:r>
      <w:r w:rsidRPr="009A216B">
        <w:rPr>
          <w:rFonts w:ascii="Arial" w:hAnsi="Arial" w:cs="Arial"/>
          <w:b w:val="0"/>
          <w:sz w:val="24"/>
          <w:lang w:val="en-US"/>
        </w:rPr>
        <w:t xml:space="preserve">   </w:t>
      </w:r>
      <w:r>
        <w:rPr>
          <w:rFonts w:ascii="Arial" w:hAnsi="Arial" w:cs="Arial"/>
          <w:b w:val="0"/>
          <w:sz w:val="24"/>
          <w:lang w:val="en-US"/>
        </w:rPr>
        <w:t xml:space="preserve">       </w:t>
      </w:r>
      <w:r w:rsidRPr="00F42668">
        <w:rPr>
          <w:rFonts w:ascii="Arial" w:hAnsi="Arial" w:cs="Arial"/>
          <w:b w:val="0"/>
          <w:position w:val="-10"/>
          <w:sz w:val="24"/>
        </w:rPr>
        <w:object w:dxaOrig="1920" w:dyaOrig="380">
          <v:shape id="_x0000_i1381" type="#_x0000_t75" style="width:93.6pt;height:21.6pt" o:ole="">
            <v:imagedata r:id="rId880" o:title=""/>
          </v:shape>
          <o:OLEObject Type="Embed" ProgID="Equation.3" ShapeID="_x0000_i1381" DrawAspect="Content" ObjectID="_1660649478" r:id="rId894"/>
        </w:object>
      </w:r>
      <w:r w:rsidRPr="00CF5998">
        <w:rPr>
          <w:rFonts w:ascii="Arial" w:hAnsi="Arial" w:cs="Arial"/>
          <w:b w:val="0"/>
          <w:sz w:val="24"/>
          <w:lang w:val="en-US"/>
        </w:rPr>
        <w:t xml:space="preserve">   ,                       </w:t>
      </w:r>
      <w:r>
        <w:rPr>
          <w:rFonts w:ascii="Arial" w:hAnsi="Arial" w:cs="Arial"/>
          <w:b w:val="0"/>
          <w:sz w:val="24"/>
          <w:lang w:val="en-US"/>
        </w:rPr>
        <w:t xml:space="preserve">            </w:t>
      </w:r>
      <w:r w:rsidRPr="009A216B">
        <w:rPr>
          <w:rFonts w:ascii="Arial" w:hAnsi="Arial" w:cs="Arial"/>
          <w:b w:val="0"/>
          <w:sz w:val="24"/>
          <w:lang w:val="en-US"/>
        </w:rPr>
        <w:t xml:space="preserve"> </w:t>
      </w:r>
      <w:r>
        <w:rPr>
          <w:rFonts w:ascii="Arial" w:hAnsi="Arial" w:cs="Arial"/>
          <w:b w:val="0"/>
          <w:sz w:val="24"/>
          <w:lang w:val="en-US"/>
        </w:rPr>
        <w:t>(48</w:t>
      </w:r>
      <w:r w:rsidRPr="009A216B">
        <w:rPr>
          <w:rFonts w:ascii="Arial" w:hAnsi="Arial" w:cs="Arial"/>
          <w:b w:val="0"/>
          <w:sz w:val="24"/>
          <w:lang w:val="en-US"/>
        </w:rPr>
        <w:t xml:space="preserve">) </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1C1DE7" w:rsidRDefault="00575A88" w:rsidP="00575A88">
      <w:pPr>
        <w:pStyle w:val="equation"/>
        <w:spacing w:before="0" w:after="0" w:line="240" w:lineRule="auto"/>
        <w:jc w:val="right"/>
        <w:rPr>
          <w:rFonts w:ascii="Arial" w:hAnsi="Arial" w:cs="Arial"/>
          <w:b/>
          <w:sz w:val="24"/>
        </w:rPr>
      </w:pPr>
      <w:r>
        <w:rPr>
          <w:rFonts w:ascii="Arial" w:hAnsi="Arial" w:cs="Arial"/>
          <w:position w:val="-10"/>
          <w:sz w:val="24"/>
          <w:szCs w:val="24"/>
        </w:rPr>
        <w:t xml:space="preserve">              </w:t>
      </w:r>
      <w:r w:rsidRPr="007B1A51">
        <w:rPr>
          <w:rFonts w:ascii="Arial" w:hAnsi="Arial" w:cs="Arial"/>
          <w:position w:val="-10"/>
          <w:sz w:val="24"/>
          <w:szCs w:val="24"/>
        </w:rPr>
        <w:object w:dxaOrig="3560" w:dyaOrig="380">
          <v:shape id="_x0000_i1382" type="#_x0000_t75" style="width:180pt;height:21.6pt" o:ole="">
            <v:imagedata r:id="rId895" o:title=""/>
          </v:shape>
          <o:OLEObject Type="Embed" ProgID="Equation.3" ShapeID="_x0000_i1382" DrawAspect="Content" ObjectID="_1660649479" r:id="rId896"/>
        </w:object>
      </w:r>
      <w:r>
        <w:rPr>
          <w:rFonts w:ascii="Arial" w:hAnsi="Arial" w:cs="Arial"/>
          <w:sz w:val="24"/>
          <w:szCs w:val="24"/>
        </w:rPr>
        <w:t xml:space="preserve">   ,      </w:t>
      </w:r>
      <w:r w:rsidRPr="00F42668">
        <w:rPr>
          <w:rFonts w:ascii="Arial" w:hAnsi="Arial" w:cs="Arial"/>
          <w:b/>
          <w:position w:val="-10"/>
          <w:sz w:val="24"/>
        </w:rPr>
        <w:object w:dxaOrig="1880" w:dyaOrig="380">
          <v:shape id="_x0000_i1383" type="#_x0000_t75" style="width:93.6pt;height:21.6pt" o:ole="">
            <v:imagedata r:id="rId884" o:title=""/>
          </v:shape>
          <o:OLEObject Type="Embed" ProgID="Equation.3" ShapeID="_x0000_i1383" DrawAspect="Content" ObjectID="_1660649480" r:id="rId897"/>
        </w:object>
      </w:r>
      <w:r>
        <w:rPr>
          <w:rFonts w:ascii="Arial" w:hAnsi="Arial" w:cs="Arial"/>
          <w:sz w:val="24"/>
          <w:szCs w:val="24"/>
        </w:rPr>
        <w:t xml:space="preserve">                    </w:t>
      </w:r>
      <w:r w:rsidRPr="007B1A51">
        <w:rPr>
          <w:rFonts w:ascii="Arial" w:hAnsi="Arial" w:cs="Arial"/>
          <w:sz w:val="24"/>
          <w:szCs w:val="24"/>
        </w:rPr>
        <w:t>(</w:t>
      </w:r>
      <w:r>
        <w:rPr>
          <w:rFonts w:ascii="Arial" w:hAnsi="Arial" w:cs="Arial"/>
          <w:sz w:val="24"/>
          <w:szCs w:val="24"/>
        </w:rPr>
        <w:t>49</w:t>
      </w:r>
      <w:r w:rsidRPr="007B1A51">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Textoindependiente"/>
        <w:rPr>
          <w:rFonts w:ascii="Arial" w:hAnsi="Arial" w:cs="Arial"/>
          <w:b w:val="0"/>
          <w:sz w:val="24"/>
          <w:lang w:val="en-US"/>
        </w:rPr>
      </w:pPr>
      <w:r>
        <w:rPr>
          <w:rFonts w:ascii="Arial" w:hAnsi="Arial" w:cs="Arial"/>
          <w:b w:val="0"/>
          <w:sz w:val="24"/>
          <w:lang w:val="en-US"/>
        </w:rPr>
        <w:t>in polar coordinates</w:t>
      </w:r>
    </w:p>
    <w:p w:rsidR="00575A88" w:rsidRPr="00CF5998" w:rsidRDefault="00575A88" w:rsidP="00575A88">
      <w:pPr>
        <w:pStyle w:val="Textoindependiente"/>
        <w:jc w:val="right"/>
        <w:rPr>
          <w:rFonts w:ascii="Arial" w:hAnsi="Arial" w:cs="Arial"/>
          <w:b w:val="0"/>
          <w:sz w:val="24"/>
          <w:lang w:val="en-US"/>
        </w:rPr>
      </w:pPr>
      <w:r w:rsidRPr="00CF5998">
        <w:rPr>
          <w:rFonts w:ascii="Arial" w:hAnsi="Arial" w:cs="Arial"/>
          <w:b w:val="0"/>
          <w:position w:val="-10"/>
          <w:sz w:val="24"/>
          <w:lang w:val="en-US"/>
        </w:rPr>
        <w:t xml:space="preserve">                                    </w:t>
      </w:r>
      <w:r w:rsidRPr="009A216B">
        <w:rPr>
          <w:rFonts w:ascii="Arial" w:hAnsi="Arial" w:cs="Arial"/>
          <w:b w:val="0"/>
          <w:position w:val="-10"/>
          <w:sz w:val="24"/>
        </w:rPr>
        <w:object w:dxaOrig="980" w:dyaOrig="320">
          <v:shape id="_x0000_i1384" type="#_x0000_t75" style="width:50.4pt;height:14.4pt" o:ole="">
            <v:imagedata r:id="rId851" o:title=""/>
          </v:shape>
          <o:OLEObject Type="Embed" ProgID="Equation.3" ShapeID="_x0000_i1384" DrawAspect="Content" ObjectID="_1660649481" r:id="rId898"/>
        </w:object>
      </w:r>
      <w:r w:rsidRPr="009A216B">
        <w:rPr>
          <w:rFonts w:ascii="Arial" w:hAnsi="Arial" w:cs="Arial"/>
          <w:b w:val="0"/>
          <w:sz w:val="24"/>
          <w:lang w:val="en-US"/>
        </w:rPr>
        <w:t xml:space="preserve">   </w:t>
      </w:r>
      <w:r>
        <w:rPr>
          <w:rFonts w:ascii="Arial" w:hAnsi="Arial" w:cs="Arial"/>
          <w:b w:val="0"/>
          <w:sz w:val="24"/>
          <w:lang w:val="en-US"/>
        </w:rPr>
        <w:t>,</w:t>
      </w:r>
      <w:r w:rsidRPr="009A216B">
        <w:rPr>
          <w:rFonts w:ascii="Arial" w:hAnsi="Arial" w:cs="Arial"/>
          <w:b w:val="0"/>
          <w:sz w:val="24"/>
          <w:lang w:val="en-US"/>
        </w:rPr>
        <w:t xml:space="preserve">   </w:t>
      </w:r>
      <w:r>
        <w:rPr>
          <w:rFonts w:ascii="Arial" w:hAnsi="Arial" w:cs="Arial"/>
          <w:b w:val="0"/>
          <w:sz w:val="24"/>
          <w:lang w:val="en-US"/>
        </w:rPr>
        <w:t xml:space="preserve">       </w:t>
      </w:r>
      <w:r w:rsidRPr="00F42668">
        <w:rPr>
          <w:rFonts w:ascii="Arial" w:hAnsi="Arial" w:cs="Arial"/>
          <w:b w:val="0"/>
          <w:position w:val="-10"/>
          <w:sz w:val="24"/>
        </w:rPr>
        <w:object w:dxaOrig="1180" w:dyaOrig="340">
          <v:shape id="_x0000_i1385" type="#_x0000_t75" style="width:57.6pt;height:14.4pt" o:ole="">
            <v:imagedata r:id="rId899" o:title=""/>
          </v:shape>
          <o:OLEObject Type="Embed" ProgID="Equation.3" ShapeID="_x0000_i1385" DrawAspect="Content" ObjectID="_1660649482" r:id="rId900"/>
        </w:object>
      </w:r>
      <w:r w:rsidRPr="00CF5998">
        <w:rPr>
          <w:rFonts w:ascii="Arial" w:hAnsi="Arial" w:cs="Arial"/>
          <w:b w:val="0"/>
          <w:sz w:val="24"/>
          <w:lang w:val="en-US"/>
        </w:rPr>
        <w:t xml:space="preserve">   ,                       </w:t>
      </w:r>
      <w:r>
        <w:rPr>
          <w:rFonts w:ascii="Arial" w:hAnsi="Arial" w:cs="Arial"/>
          <w:b w:val="0"/>
          <w:sz w:val="24"/>
          <w:lang w:val="en-US"/>
        </w:rPr>
        <w:t xml:space="preserve">            </w:t>
      </w:r>
      <w:r w:rsidRPr="009A216B">
        <w:rPr>
          <w:rFonts w:ascii="Arial" w:hAnsi="Arial" w:cs="Arial"/>
          <w:b w:val="0"/>
          <w:sz w:val="24"/>
          <w:lang w:val="en-US"/>
        </w:rPr>
        <w:t xml:space="preserve"> </w:t>
      </w:r>
      <w:r>
        <w:rPr>
          <w:rFonts w:ascii="Arial" w:hAnsi="Arial" w:cs="Arial"/>
          <w:b w:val="0"/>
          <w:sz w:val="24"/>
          <w:lang w:val="en-US"/>
        </w:rPr>
        <w:t>(50</w:t>
      </w:r>
      <w:r w:rsidRPr="009A216B">
        <w:rPr>
          <w:rFonts w:ascii="Arial" w:hAnsi="Arial" w:cs="Arial"/>
          <w:b w:val="0"/>
          <w:sz w:val="24"/>
          <w:lang w:val="en-US"/>
        </w:rPr>
        <w:t xml:space="preserve">) </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1C1DE7" w:rsidRDefault="00575A88" w:rsidP="00575A88">
      <w:pPr>
        <w:pStyle w:val="equation"/>
        <w:spacing w:before="0" w:after="0" w:line="240" w:lineRule="auto"/>
        <w:jc w:val="right"/>
        <w:rPr>
          <w:rFonts w:ascii="Arial" w:hAnsi="Arial" w:cs="Arial"/>
          <w:b/>
          <w:sz w:val="24"/>
        </w:rPr>
      </w:pPr>
      <w:r>
        <w:rPr>
          <w:rFonts w:ascii="Arial" w:hAnsi="Arial" w:cs="Arial"/>
          <w:position w:val="-10"/>
          <w:sz w:val="24"/>
          <w:szCs w:val="24"/>
        </w:rPr>
        <w:t xml:space="preserve">                           </w:t>
      </w:r>
      <w:r w:rsidRPr="007B1A51">
        <w:rPr>
          <w:rFonts w:ascii="Arial" w:hAnsi="Arial" w:cs="Arial"/>
          <w:position w:val="-10"/>
          <w:sz w:val="24"/>
          <w:szCs w:val="24"/>
        </w:rPr>
        <w:object w:dxaOrig="1860" w:dyaOrig="380">
          <v:shape id="_x0000_i1386" type="#_x0000_t75" style="width:93.6pt;height:21.6pt" o:ole="">
            <v:imagedata r:id="rId901" o:title=""/>
          </v:shape>
          <o:OLEObject Type="Embed" ProgID="Equation.3" ShapeID="_x0000_i1386" DrawAspect="Content" ObjectID="_1660649483" r:id="rId902"/>
        </w:object>
      </w:r>
      <w:r>
        <w:rPr>
          <w:rFonts w:ascii="Arial" w:hAnsi="Arial" w:cs="Arial"/>
          <w:sz w:val="24"/>
          <w:szCs w:val="24"/>
        </w:rPr>
        <w:t xml:space="preserve">   ,         </w:t>
      </w:r>
      <w:r w:rsidRPr="00F42668">
        <w:rPr>
          <w:rFonts w:ascii="Arial" w:hAnsi="Arial" w:cs="Arial"/>
          <w:b/>
          <w:position w:val="-10"/>
          <w:sz w:val="24"/>
        </w:rPr>
        <w:object w:dxaOrig="1140" w:dyaOrig="340">
          <v:shape id="_x0000_i1387" type="#_x0000_t75" style="width:57.6pt;height:14.4pt" o:ole="">
            <v:imagedata r:id="rId903" o:title=""/>
          </v:shape>
          <o:OLEObject Type="Embed" ProgID="Equation.3" ShapeID="_x0000_i1387" DrawAspect="Content" ObjectID="_1660649484" r:id="rId904"/>
        </w:object>
      </w:r>
      <w:r>
        <w:rPr>
          <w:rFonts w:ascii="Arial" w:hAnsi="Arial" w:cs="Arial"/>
          <w:sz w:val="24"/>
          <w:szCs w:val="24"/>
        </w:rPr>
        <w:t xml:space="preserve">   ,                              </w:t>
      </w:r>
      <w:r w:rsidRPr="007B1A51">
        <w:rPr>
          <w:rFonts w:ascii="Arial" w:hAnsi="Arial" w:cs="Arial"/>
          <w:sz w:val="24"/>
          <w:szCs w:val="24"/>
        </w:rPr>
        <w:t>(</w:t>
      </w:r>
      <w:r>
        <w:rPr>
          <w:rFonts w:ascii="Arial" w:hAnsi="Arial" w:cs="Arial"/>
          <w:sz w:val="24"/>
          <w:szCs w:val="24"/>
        </w:rPr>
        <w:t>51</w:t>
      </w:r>
      <w:r w:rsidRPr="007B1A51">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r>
        <w:rPr>
          <w:rFonts w:ascii="Arial" w:eastAsia="MS Mincho" w:hAnsi="Arial" w:cs="Arial"/>
          <w:spacing w:val="-1"/>
          <w:lang w:val="en-GB" w:eastAsia="sk-SK"/>
        </w:rPr>
        <w:t xml:space="preserve">                                            </w:t>
      </w:r>
    </w:p>
    <w:p w:rsidR="00575A88" w:rsidRPr="001C1DE7" w:rsidRDefault="00575A88" w:rsidP="00575A88">
      <w:pPr>
        <w:pStyle w:val="equation"/>
        <w:spacing w:before="0" w:after="0" w:line="240" w:lineRule="auto"/>
        <w:jc w:val="right"/>
        <w:rPr>
          <w:rFonts w:ascii="Arial" w:hAnsi="Arial" w:cs="Arial"/>
          <w:b/>
          <w:sz w:val="24"/>
        </w:rPr>
      </w:pPr>
      <w:r>
        <w:rPr>
          <w:rFonts w:ascii="Arial" w:hAnsi="Arial" w:cs="Arial"/>
          <w:position w:val="-10"/>
          <w:sz w:val="24"/>
          <w:szCs w:val="24"/>
        </w:rPr>
        <w:t xml:space="preserve">                           </w:t>
      </w:r>
      <w:r w:rsidRPr="007B1A51">
        <w:rPr>
          <w:rFonts w:ascii="Arial" w:hAnsi="Arial" w:cs="Arial"/>
          <w:position w:val="-10"/>
          <w:sz w:val="24"/>
          <w:szCs w:val="24"/>
        </w:rPr>
        <w:object w:dxaOrig="1520" w:dyaOrig="380">
          <v:shape id="_x0000_i1388" type="#_x0000_t75" style="width:79.2pt;height:21.6pt" o:ole="">
            <v:imagedata r:id="rId905" o:title=""/>
          </v:shape>
          <o:OLEObject Type="Embed" ProgID="Equation.3" ShapeID="_x0000_i1388" DrawAspect="Content" ObjectID="_1660649485" r:id="rId906"/>
        </w:object>
      </w:r>
      <w:r>
        <w:rPr>
          <w:rFonts w:ascii="Arial" w:hAnsi="Arial" w:cs="Arial"/>
          <w:sz w:val="24"/>
          <w:szCs w:val="24"/>
        </w:rPr>
        <w:t xml:space="preserve">   ,         </w:t>
      </w:r>
      <w:r w:rsidRPr="00F42668">
        <w:rPr>
          <w:rFonts w:ascii="Arial" w:hAnsi="Arial" w:cs="Arial"/>
          <w:b/>
          <w:position w:val="-10"/>
          <w:sz w:val="24"/>
        </w:rPr>
        <w:object w:dxaOrig="1180" w:dyaOrig="340">
          <v:shape id="_x0000_i1389" type="#_x0000_t75" style="width:57.6pt;height:14.4pt" o:ole="">
            <v:imagedata r:id="rId899" o:title=""/>
          </v:shape>
          <o:OLEObject Type="Embed" ProgID="Equation.3" ShapeID="_x0000_i1389" DrawAspect="Content" ObjectID="_1660649486" r:id="rId907"/>
        </w:object>
      </w:r>
      <w:r>
        <w:rPr>
          <w:rFonts w:ascii="Arial" w:hAnsi="Arial" w:cs="Arial"/>
          <w:sz w:val="24"/>
          <w:szCs w:val="24"/>
        </w:rPr>
        <w:t xml:space="preserve">   ,                                 </w:t>
      </w:r>
      <w:r w:rsidRPr="007B1A51">
        <w:rPr>
          <w:rFonts w:ascii="Arial" w:hAnsi="Arial" w:cs="Arial"/>
          <w:sz w:val="24"/>
          <w:szCs w:val="24"/>
        </w:rPr>
        <w:t>(</w:t>
      </w:r>
      <w:r>
        <w:rPr>
          <w:rFonts w:ascii="Arial" w:hAnsi="Arial" w:cs="Arial"/>
          <w:sz w:val="24"/>
          <w:szCs w:val="24"/>
        </w:rPr>
        <w:t>52</w:t>
      </w:r>
      <w:r w:rsidRPr="007B1A51">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r>
        <w:rPr>
          <w:rFonts w:ascii="Arial" w:eastAsia="MS Mincho" w:hAnsi="Arial" w:cs="Arial"/>
          <w:spacing w:val="-1"/>
          <w:lang w:val="en-US" w:eastAsia="sk-SK"/>
        </w:rPr>
        <w:t xml:space="preserve"> </w:t>
      </w:r>
    </w:p>
    <w:p w:rsidR="00575A88" w:rsidRDefault="00575A88" w:rsidP="00575A88">
      <w:pPr>
        <w:pStyle w:val="equation"/>
        <w:spacing w:before="0" w:after="0" w:line="240" w:lineRule="auto"/>
        <w:jc w:val="right"/>
        <w:rPr>
          <w:rFonts w:ascii="Arial" w:hAnsi="Arial" w:cs="Arial"/>
          <w:sz w:val="24"/>
          <w:szCs w:val="24"/>
        </w:rPr>
      </w:pPr>
      <w:r>
        <w:rPr>
          <w:rFonts w:ascii="Arial" w:hAnsi="Arial" w:cs="Arial"/>
          <w:position w:val="-10"/>
          <w:sz w:val="24"/>
          <w:szCs w:val="24"/>
        </w:rPr>
        <w:t xml:space="preserve">                       </w:t>
      </w:r>
      <w:r w:rsidRPr="007B1A51">
        <w:rPr>
          <w:rFonts w:ascii="Arial" w:hAnsi="Arial" w:cs="Arial"/>
          <w:position w:val="-10"/>
          <w:sz w:val="24"/>
          <w:szCs w:val="24"/>
        </w:rPr>
        <w:object w:dxaOrig="3340" w:dyaOrig="380">
          <v:shape id="_x0000_i1390" type="#_x0000_t75" style="width:165.6pt;height:21.6pt" o:ole="">
            <v:imagedata r:id="rId908" o:title=""/>
          </v:shape>
          <o:OLEObject Type="Embed" ProgID="Equation.3" ShapeID="_x0000_i1390" DrawAspect="Content" ObjectID="_1660649487" r:id="rId909"/>
        </w:object>
      </w:r>
      <w:r>
        <w:rPr>
          <w:rFonts w:ascii="Arial" w:hAnsi="Arial" w:cs="Arial"/>
          <w:sz w:val="24"/>
          <w:szCs w:val="24"/>
        </w:rPr>
        <w:t xml:space="preserve">   ,         </w:t>
      </w:r>
      <w:r w:rsidRPr="00F42668">
        <w:rPr>
          <w:rFonts w:ascii="Arial" w:hAnsi="Arial" w:cs="Arial"/>
          <w:b/>
          <w:position w:val="-10"/>
          <w:sz w:val="24"/>
        </w:rPr>
        <w:object w:dxaOrig="1140" w:dyaOrig="340">
          <v:shape id="_x0000_i1391" type="#_x0000_t75" style="width:57.6pt;height:14.4pt" o:ole="">
            <v:imagedata r:id="rId903" o:title=""/>
          </v:shape>
          <o:OLEObject Type="Embed" ProgID="Equation.3" ShapeID="_x0000_i1391" DrawAspect="Content" ObjectID="_1660649488" r:id="rId910"/>
        </w:object>
      </w:r>
      <w:r>
        <w:rPr>
          <w:rFonts w:ascii="Arial" w:hAnsi="Arial" w:cs="Arial"/>
          <w:sz w:val="24"/>
          <w:szCs w:val="24"/>
        </w:rPr>
        <w:t xml:space="preserve">   ,                 </w:t>
      </w:r>
      <w:r w:rsidRPr="007B1A51">
        <w:rPr>
          <w:rFonts w:ascii="Arial" w:hAnsi="Arial" w:cs="Arial"/>
          <w:sz w:val="24"/>
          <w:szCs w:val="24"/>
        </w:rPr>
        <w:t>(</w:t>
      </w:r>
      <w:r>
        <w:rPr>
          <w:rFonts w:ascii="Arial" w:hAnsi="Arial" w:cs="Arial"/>
          <w:sz w:val="24"/>
          <w:szCs w:val="24"/>
        </w:rPr>
        <w:t>53</w:t>
      </w:r>
      <w:r w:rsidRPr="007B1A51">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CF5998" w:rsidRDefault="00575A88" w:rsidP="00575A88">
      <w:pPr>
        <w:pStyle w:val="Textoindependiente"/>
        <w:jc w:val="right"/>
        <w:rPr>
          <w:rFonts w:ascii="Arial" w:hAnsi="Arial" w:cs="Arial"/>
          <w:b w:val="0"/>
          <w:sz w:val="24"/>
          <w:lang w:val="en-US"/>
        </w:rPr>
      </w:pPr>
      <w:r w:rsidRPr="00CF5998">
        <w:rPr>
          <w:rFonts w:ascii="Arial" w:hAnsi="Arial" w:cs="Arial"/>
          <w:b w:val="0"/>
          <w:position w:val="-10"/>
          <w:sz w:val="24"/>
          <w:lang w:val="en-US"/>
        </w:rPr>
        <w:t xml:space="preserve">                                    </w:t>
      </w:r>
      <w:r w:rsidRPr="009A216B">
        <w:rPr>
          <w:rFonts w:ascii="Arial" w:hAnsi="Arial" w:cs="Arial"/>
          <w:b w:val="0"/>
          <w:position w:val="-10"/>
          <w:sz w:val="24"/>
        </w:rPr>
        <w:object w:dxaOrig="1200" w:dyaOrig="320">
          <v:shape id="_x0000_i1392" type="#_x0000_t75" style="width:57.6pt;height:14.4pt" o:ole="">
            <v:imagedata r:id="rId911" o:title=""/>
          </v:shape>
          <o:OLEObject Type="Embed" ProgID="Equation.3" ShapeID="_x0000_i1392" DrawAspect="Content" ObjectID="_1660649489" r:id="rId912"/>
        </w:object>
      </w:r>
      <w:r w:rsidRPr="009A216B">
        <w:rPr>
          <w:rFonts w:ascii="Arial" w:hAnsi="Arial" w:cs="Arial"/>
          <w:b w:val="0"/>
          <w:sz w:val="24"/>
          <w:lang w:val="en-US"/>
        </w:rPr>
        <w:t xml:space="preserve">   </w:t>
      </w:r>
      <w:r>
        <w:rPr>
          <w:rFonts w:ascii="Arial" w:hAnsi="Arial" w:cs="Arial"/>
          <w:b w:val="0"/>
          <w:sz w:val="24"/>
          <w:lang w:val="en-US"/>
        </w:rPr>
        <w:t>,</w:t>
      </w:r>
      <w:r w:rsidRPr="009A216B">
        <w:rPr>
          <w:rFonts w:ascii="Arial" w:hAnsi="Arial" w:cs="Arial"/>
          <w:b w:val="0"/>
          <w:sz w:val="24"/>
          <w:lang w:val="en-US"/>
        </w:rPr>
        <w:t xml:space="preserve">   </w:t>
      </w:r>
      <w:r>
        <w:rPr>
          <w:rFonts w:ascii="Arial" w:hAnsi="Arial" w:cs="Arial"/>
          <w:b w:val="0"/>
          <w:sz w:val="24"/>
          <w:lang w:val="en-US"/>
        </w:rPr>
        <w:t xml:space="preserve">       </w:t>
      </w:r>
      <w:r w:rsidRPr="00F42668">
        <w:rPr>
          <w:rFonts w:ascii="Arial" w:hAnsi="Arial" w:cs="Arial"/>
          <w:b w:val="0"/>
          <w:position w:val="-10"/>
          <w:sz w:val="24"/>
        </w:rPr>
        <w:object w:dxaOrig="1180" w:dyaOrig="340">
          <v:shape id="_x0000_i1393" type="#_x0000_t75" style="width:57.6pt;height:14.4pt" o:ole="">
            <v:imagedata r:id="rId899" o:title=""/>
          </v:shape>
          <o:OLEObject Type="Embed" ProgID="Equation.3" ShapeID="_x0000_i1393" DrawAspect="Content" ObjectID="_1660649490" r:id="rId913"/>
        </w:object>
      </w:r>
      <w:r w:rsidRPr="00CF5998">
        <w:rPr>
          <w:rFonts w:ascii="Arial" w:hAnsi="Arial" w:cs="Arial"/>
          <w:b w:val="0"/>
          <w:sz w:val="24"/>
          <w:lang w:val="en-US"/>
        </w:rPr>
        <w:t xml:space="preserve">   ,</w:t>
      </w:r>
      <w:r>
        <w:rPr>
          <w:rFonts w:ascii="Arial" w:hAnsi="Arial" w:cs="Arial"/>
          <w:b w:val="0"/>
          <w:sz w:val="24"/>
          <w:lang w:val="en-US"/>
        </w:rPr>
        <w:t xml:space="preserve">                </w:t>
      </w:r>
      <w:r w:rsidRPr="00CF5998">
        <w:rPr>
          <w:rFonts w:ascii="Arial" w:hAnsi="Arial" w:cs="Arial"/>
          <w:b w:val="0"/>
          <w:sz w:val="24"/>
          <w:lang w:val="en-US"/>
        </w:rPr>
        <w:t xml:space="preserve">    </w:t>
      </w:r>
      <w:r>
        <w:rPr>
          <w:rFonts w:ascii="Arial" w:hAnsi="Arial" w:cs="Arial"/>
          <w:b w:val="0"/>
          <w:sz w:val="24"/>
          <w:lang w:val="en-US"/>
        </w:rPr>
        <w:t xml:space="preserve">            </w:t>
      </w:r>
      <w:r w:rsidRPr="009A216B">
        <w:rPr>
          <w:rFonts w:ascii="Arial" w:hAnsi="Arial" w:cs="Arial"/>
          <w:b w:val="0"/>
          <w:sz w:val="24"/>
          <w:lang w:val="en-US"/>
        </w:rPr>
        <w:t xml:space="preserve"> </w:t>
      </w:r>
      <w:r>
        <w:rPr>
          <w:rFonts w:ascii="Arial" w:hAnsi="Arial" w:cs="Arial"/>
          <w:b w:val="0"/>
          <w:sz w:val="24"/>
          <w:lang w:val="en-US"/>
        </w:rPr>
        <w:t>(54</w:t>
      </w:r>
      <w:r w:rsidRPr="009A216B">
        <w:rPr>
          <w:rFonts w:ascii="Arial" w:hAnsi="Arial" w:cs="Arial"/>
          <w:b w:val="0"/>
          <w:sz w:val="24"/>
          <w:lang w:val="en-US"/>
        </w:rPr>
        <w:t xml:space="preserve">) </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1C1DE7" w:rsidRDefault="00575A88" w:rsidP="00575A88">
      <w:pPr>
        <w:pStyle w:val="equation"/>
        <w:spacing w:before="0" w:after="0" w:line="240" w:lineRule="auto"/>
        <w:jc w:val="right"/>
        <w:rPr>
          <w:rFonts w:ascii="Arial" w:hAnsi="Arial" w:cs="Arial"/>
          <w:b/>
          <w:sz w:val="24"/>
        </w:rPr>
      </w:pPr>
      <w:r>
        <w:rPr>
          <w:rFonts w:ascii="Arial" w:hAnsi="Arial" w:cs="Arial"/>
          <w:position w:val="-10"/>
          <w:sz w:val="24"/>
          <w:szCs w:val="24"/>
        </w:rPr>
        <w:t xml:space="preserve">                   </w:t>
      </w:r>
      <w:r w:rsidRPr="007B1A51">
        <w:rPr>
          <w:rFonts w:ascii="Arial" w:hAnsi="Arial" w:cs="Arial"/>
          <w:position w:val="-10"/>
          <w:sz w:val="24"/>
          <w:szCs w:val="24"/>
        </w:rPr>
        <w:object w:dxaOrig="2840" w:dyaOrig="380">
          <v:shape id="_x0000_i1394" type="#_x0000_t75" style="width:2in;height:21.6pt" o:ole="">
            <v:imagedata r:id="rId914" o:title=""/>
          </v:shape>
          <o:OLEObject Type="Embed" ProgID="Equation.3" ShapeID="_x0000_i1394" DrawAspect="Content" ObjectID="_1660649491" r:id="rId915"/>
        </w:object>
      </w:r>
      <w:r>
        <w:rPr>
          <w:rFonts w:ascii="Arial" w:hAnsi="Arial" w:cs="Arial"/>
          <w:sz w:val="24"/>
          <w:szCs w:val="24"/>
        </w:rPr>
        <w:t xml:space="preserve">   ,         </w:t>
      </w:r>
      <w:r w:rsidRPr="00F42668">
        <w:rPr>
          <w:rFonts w:ascii="Arial" w:hAnsi="Arial" w:cs="Arial"/>
          <w:b/>
          <w:position w:val="-10"/>
          <w:sz w:val="24"/>
        </w:rPr>
        <w:object w:dxaOrig="1140" w:dyaOrig="340">
          <v:shape id="_x0000_i1395" type="#_x0000_t75" style="width:57.6pt;height:14.4pt" o:ole="">
            <v:imagedata r:id="rId903" o:title=""/>
          </v:shape>
          <o:OLEObject Type="Embed" ProgID="Equation.3" ShapeID="_x0000_i1395" DrawAspect="Content" ObjectID="_1660649492" r:id="rId916"/>
        </w:object>
      </w:r>
      <w:r>
        <w:rPr>
          <w:rFonts w:ascii="Arial" w:hAnsi="Arial" w:cs="Arial"/>
          <w:sz w:val="24"/>
          <w:szCs w:val="24"/>
        </w:rPr>
        <w:t xml:space="preserve">                       </w:t>
      </w:r>
      <w:r w:rsidRPr="007B1A51">
        <w:rPr>
          <w:rFonts w:ascii="Arial" w:hAnsi="Arial" w:cs="Arial"/>
          <w:sz w:val="24"/>
          <w:szCs w:val="24"/>
        </w:rPr>
        <w:t>(</w:t>
      </w:r>
      <w:r>
        <w:rPr>
          <w:rFonts w:ascii="Arial" w:hAnsi="Arial" w:cs="Arial"/>
          <w:sz w:val="24"/>
          <w:szCs w:val="24"/>
        </w:rPr>
        <w:t>55</w:t>
      </w:r>
      <w:r w:rsidRPr="007B1A51">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tabs>
          <w:tab w:val="left" w:pos="288"/>
        </w:tabs>
        <w:jc w:val="both"/>
        <w:rPr>
          <w:rFonts w:ascii="Arial" w:eastAsia="MS Mincho" w:hAnsi="Arial" w:cs="Arial"/>
          <w:spacing w:val="-1"/>
          <w:lang w:val="en-GB" w:eastAsia="sk-SK"/>
        </w:rPr>
      </w:pPr>
      <w:r w:rsidRPr="00E7093F">
        <w:rPr>
          <w:rFonts w:ascii="Arial" w:eastAsia="MS Mincho" w:hAnsi="Arial" w:cs="Arial"/>
          <w:spacing w:val="-1"/>
          <w:lang w:val="en-US" w:eastAsia="sk-SK"/>
        </w:rPr>
        <w:t>as it</w:t>
      </w:r>
      <w:r>
        <w:rPr>
          <w:rFonts w:ascii="Arial" w:eastAsia="MS Mincho" w:hAnsi="Arial" w:cs="Arial"/>
          <w:spacing w:val="-1"/>
          <w:lang w:val="en-US" w:eastAsia="sk-SK"/>
        </w:rPr>
        <w:t xml:space="preserve"> is obvious from the Table 6</w:t>
      </w:r>
      <w:r w:rsidRPr="00E7093F">
        <w:rPr>
          <w:rFonts w:ascii="Arial" w:eastAsia="MS Mincho" w:hAnsi="Arial" w:cs="Arial"/>
          <w:spacing w:val="-1"/>
          <w:lang w:val="en-US" w:eastAsia="sk-SK"/>
        </w:rPr>
        <w:t xml:space="preserve"> the accuracy of computation is not so good as in the </w:t>
      </w:r>
      <w:r>
        <w:rPr>
          <w:rFonts w:ascii="Arial" w:eastAsia="MS Mincho" w:hAnsi="Arial" w:cs="Arial"/>
          <w:spacing w:val="-1"/>
          <w:lang w:val="en-US" w:eastAsia="sk-SK"/>
        </w:rPr>
        <w:t>first</w:t>
      </w:r>
      <w:r w:rsidRPr="00E7093F">
        <w:rPr>
          <w:rFonts w:ascii="Arial" w:eastAsia="MS Mincho" w:hAnsi="Arial" w:cs="Arial"/>
          <w:spacing w:val="-1"/>
          <w:lang w:val="en-US" w:eastAsia="sk-SK"/>
        </w:rPr>
        <w:t xml:space="preserve"> case. This fact is </w:t>
      </w:r>
      <w:r>
        <w:rPr>
          <w:rFonts w:ascii="Arial" w:eastAsia="MS Mincho" w:hAnsi="Arial" w:cs="Arial"/>
          <w:spacing w:val="-1"/>
          <w:lang w:val="en-US" w:eastAsia="sk-SK"/>
        </w:rPr>
        <w:t xml:space="preserve">also now </w:t>
      </w:r>
      <w:r w:rsidRPr="00E7093F">
        <w:rPr>
          <w:rFonts w:ascii="Arial" w:eastAsia="MS Mincho" w:hAnsi="Arial" w:cs="Arial"/>
          <w:spacing w:val="-1"/>
          <w:lang w:val="en-US" w:eastAsia="sk-SK"/>
        </w:rPr>
        <w:t>caused by the discretization error, which is in this case greater than in the previous case.</w:t>
      </w:r>
      <w:r w:rsidRPr="00E7093F">
        <w:rPr>
          <w:rFonts w:ascii="Arial" w:eastAsia="MS Mincho" w:hAnsi="Arial" w:cs="Arial"/>
          <w:spacing w:val="-1"/>
          <w:lang w:val="en-GB" w:eastAsia="sk-SK"/>
        </w:rPr>
        <w:t xml:space="preserve"> From Table </w:t>
      </w:r>
      <w:r>
        <w:rPr>
          <w:rFonts w:ascii="Arial" w:eastAsia="MS Mincho" w:hAnsi="Arial" w:cs="Arial"/>
          <w:spacing w:val="-1"/>
          <w:lang w:val="en-GB" w:eastAsia="sk-SK"/>
        </w:rPr>
        <w:t>6</w:t>
      </w:r>
      <w:r w:rsidRPr="00E7093F">
        <w:rPr>
          <w:rFonts w:ascii="Arial" w:eastAsia="MS Mincho" w:hAnsi="Arial" w:cs="Arial"/>
          <w:spacing w:val="-1"/>
          <w:lang w:val="en-GB" w:eastAsia="sk-SK"/>
        </w:rPr>
        <w:t xml:space="preserve"> it is seen that when the number of grid points increases, errors decrease.</w:t>
      </w:r>
    </w:p>
    <w:p w:rsidR="00575A88" w:rsidRDefault="00575A88" w:rsidP="00575A88">
      <w:pPr>
        <w:pStyle w:val="Textoindependiente"/>
        <w:jc w:val="both"/>
        <w:rPr>
          <w:rFonts w:ascii="Arial" w:hAnsi="Arial" w:cs="Arial"/>
          <w:b w:val="0"/>
          <w:sz w:val="24"/>
          <w:lang w:val="en-GB"/>
        </w:rPr>
      </w:pPr>
    </w:p>
    <w:p w:rsidR="00575A88" w:rsidRPr="007B73B9" w:rsidRDefault="00575A88" w:rsidP="00575A88">
      <w:pPr>
        <w:numPr>
          <w:ilvl w:val="0"/>
          <w:numId w:val="1"/>
        </w:numPr>
        <w:tabs>
          <w:tab w:val="clear" w:pos="432"/>
          <w:tab w:val="num" w:pos="0"/>
        </w:tabs>
        <w:suppressAutoHyphens/>
        <w:spacing w:after="0" w:line="360" w:lineRule="auto"/>
        <w:ind w:left="0" w:firstLine="0"/>
        <w:jc w:val="center"/>
        <w:rPr>
          <w:rFonts w:ascii="Arial" w:eastAsia="Times New Roman" w:hAnsi="Arial" w:cs="Arial"/>
          <w:bCs/>
          <w:i/>
          <w:noProof/>
          <w:sz w:val="20"/>
          <w:szCs w:val="20"/>
          <w:lang w:val="en-US" w:eastAsia="en-GB"/>
        </w:rPr>
      </w:pPr>
      <w:r>
        <w:rPr>
          <w:rFonts w:ascii="Arial" w:eastAsia="Times New Roman" w:hAnsi="Arial" w:cs="Arial"/>
          <w:bCs/>
          <w:i/>
          <w:noProof/>
          <w:sz w:val="20"/>
          <w:szCs w:val="20"/>
          <w:lang w:val="en-US" w:eastAsia="en-GB"/>
        </w:rPr>
        <w:t>Tabla 6</w:t>
      </w:r>
      <w:r w:rsidRPr="007B73B9">
        <w:rPr>
          <w:rFonts w:ascii="Arial" w:eastAsia="Times New Roman" w:hAnsi="Arial" w:cs="Arial"/>
          <w:bCs/>
          <w:i/>
          <w:noProof/>
          <w:sz w:val="20"/>
          <w:szCs w:val="20"/>
          <w:lang w:val="en-US" w:eastAsia="en-GB"/>
        </w:rPr>
        <w:t>. Nume</w:t>
      </w:r>
      <w:r>
        <w:rPr>
          <w:rFonts w:ascii="Arial" w:eastAsia="Times New Roman" w:hAnsi="Arial" w:cs="Arial"/>
          <w:bCs/>
          <w:i/>
          <w:noProof/>
          <w:sz w:val="20"/>
          <w:szCs w:val="20"/>
          <w:lang w:val="en-US" w:eastAsia="en-GB"/>
        </w:rPr>
        <w:t>rical results for the problem (44</w:t>
      </w:r>
      <w:r w:rsidRPr="007B73B9">
        <w:rPr>
          <w:rFonts w:ascii="Arial" w:eastAsia="Times New Roman" w:hAnsi="Arial" w:cs="Arial"/>
          <w:bCs/>
          <w:i/>
          <w:noProof/>
          <w:sz w:val="20"/>
          <w:szCs w:val="20"/>
          <w:lang w:val="en-US" w:eastAsia="en-GB"/>
        </w:rPr>
        <w:t xml:space="preserve">) </w:t>
      </w:r>
      <w:r>
        <w:rPr>
          <w:rFonts w:ascii="Arial" w:eastAsia="Times New Roman" w:hAnsi="Arial" w:cs="Arial"/>
          <w:bCs/>
          <w:i/>
          <w:noProof/>
          <w:sz w:val="20"/>
          <w:szCs w:val="20"/>
          <w:lang w:val="en-US" w:eastAsia="en-GB"/>
        </w:rPr>
        <w:t xml:space="preserve">- </w:t>
      </w:r>
      <w:r w:rsidRPr="007B73B9">
        <w:rPr>
          <w:rFonts w:ascii="Arial" w:eastAsia="Times New Roman" w:hAnsi="Arial" w:cs="Arial"/>
          <w:bCs/>
          <w:i/>
          <w:noProof/>
          <w:sz w:val="20"/>
          <w:szCs w:val="20"/>
          <w:lang w:val="en-US" w:eastAsia="en-GB"/>
        </w:rPr>
        <w:t>(</w:t>
      </w:r>
      <w:r>
        <w:rPr>
          <w:rFonts w:ascii="Arial" w:eastAsia="Times New Roman" w:hAnsi="Arial" w:cs="Arial"/>
          <w:bCs/>
          <w:i/>
          <w:noProof/>
          <w:sz w:val="20"/>
          <w:szCs w:val="20"/>
          <w:lang w:val="en-US" w:eastAsia="en-GB"/>
        </w:rPr>
        <w:t>55</w:t>
      </w:r>
      <w:r w:rsidRPr="007B73B9">
        <w:rPr>
          <w:rFonts w:ascii="Arial" w:eastAsia="Times New Roman" w:hAnsi="Arial" w:cs="Arial"/>
          <w:bCs/>
          <w:i/>
          <w:noProof/>
          <w:sz w:val="20"/>
          <w:szCs w:val="20"/>
          <w:lang w:val="en-US" w:eastAsia="en-GB"/>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9"/>
        <w:gridCol w:w="1560"/>
        <w:gridCol w:w="1855"/>
      </w:tblGrid>
      <w:tr w:rsidR="00575A88" w:rsidRPr="00006C68" w:rsidTr="007F2707">
        <w:trPr>
          <w:jc w:val="center"/>
        </w:trPr>
        <w:tc>
          <w:tcPr>
            <w:tcW w:w="1559"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Pr>
                <w:rFonts w:ascii="Arial" w:eastAsia="Times New Roman" w:hAnsi="Arial"/>
                <w:b/>
                <w:sz w:val="20"/>
                <w:szCs w:val="20"/>
                <w:lang w:eastAsia="es-ES"/>
              </w:rPr>
              <w:t>Mesh</w:t>
            </w:r>
          </w:p>
        </w:tc>
        <w:tc>
          <w:tcPr>
            <w:tcW w:w="1560"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sidRPr="004B4336">
              <w:rPr>
                <w:rFonts w:ascii="Arial" w:eastAsia="Times New Roman" w:hAnsi="Arial"/>
                <w:b/>
                <w:sz w:val="20"/>
                <w:szCs w:val="20"/>
                <w:lang w:eastAsia="es-ES"/>
              </w:rPr>
              <w:t xml:space="preserve">Percent error (%) </w:t>
            </w:r>
          </w:p>
        </w:tc>
        <w:tc>
          <w:tcPr>
            <w:tcW w:w="1855"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sidRPr="004B4336">
              <w:rPr>
                <w:rFonts w:ascii="Arial" w:eastAsia="Times New Roman" w:hAnsi="Arial"/>
                <w:b/>
                <w:sz w:val="20"/>
                <w:szCs w:val="20"/>
                <w:lang w:eastAsia="es-ES"/>
              </w:rPr>
              <w:t>Number of iterations</w:t>
            </w:r>
          </w:p>
        </w:tc>
      </w:tr>
      <w:tr w:rsidR="00575A88" w:rsidRPr="004B4336" w:rsidTr="007F2707">
        <w:trPr>
          <w:jc w:val="center"/>
        </w:trPr>
        <w:tc>
          <w:tcPr>
            <w:tcW w:w="1559" w:type="dxa"/>
            <w:tcBorders>
              <w:bottom w:val="nil"/>
            </w:tcBorders>
            <w:vAlign w:val="center"/>
          </w:tcPr>
          <w:p w:rsidR="00575A88" w:rsidRPr="00006C68" w:rsidRDefault="00575A88" w:rsidP="007F2707">
            <w:pPr>
              <w:keepLines/>
              <w:spacing w:before="60"/>
              <w:jc w:val="center"/>
              <w:rPr>
                <w:rFonts w:ascii="Arial" w:eastAsia="Times New Roman" w:hAnsi="Arial"/>
                <w:sz w:val="20"/>
                <w:szCs w:val="20"/>
                <w:lang w:eastAsia="es-ES"/>
              </w:rPr>
            </w:pPr>
            <w:r>
              <w:rPr>
                <w:rFonts w:ascii="Arial" w:eastAsia="Times New Roman" w:hAnsi="Arial"/>
                <w:sz w:val="20"/>
                <w:szCs w:val="20"/>
                <w:lang w:eastAsia="es-ES"/>
              </w:rPr>
              <w:t>4   x   8</w:t>
            </w:r>
          </w:p>
        </w:tc>
        <w:tc>
          <w:tcPr>
            <w:tcW w:w="1560"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5</w:t>
            </w:r>
            <w:r w:rsidRPr="004B4336">
              <w:rPr>
                <w:rFonts w:ascii="Arial" w:eastAsia="Times New Roman" w:hAnsi="Arial"/>
                <w:sz w:val="20"/>
                <w:szCs w:val="20"/>
                <w:lang w:val="en-US" w:eastAsia="es-ES"/>
              </w:rPr>
              <w:t>.</w:t>
            </w:r>
            <w:r>
              <w:rPr>
                <w:rFonts w:ascii="Arial" w:eastAsia="Times New Roman" w:hAnsi="Arial"/>
                <w:sz w:val="20"/>
                <w:szCs w:val="20"/>
                <w:lang w:val="en-US" w:eastAsia="es-ES"/>
              </w:rPr>
              <w:t>47</w:t>
            </w:r>
          </w:p>
        </w:tc>
        <w:tc>
          <w:tcPr>
            <w:tcW w:w="1855"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73</w:t>
            </w:r>
          </w:p>
        </w:tc>
      </w:tr>
      <w:tr w:rsidR="00575A88" w:rsidRPr="004B4336" w:rsidTr="007F2707">
        <w:trPr>
          <w:jc w:val="center"/>
        </w:trPr>
        <w:tc>
          <w:tcPr>
            <w:tcW w:w="1559" w:type="dxa"/>
            <w:tcBorders>
              <w:top w:val="nil"/>
              <w:bottom w:val="nil"/>
            </w:tcBorders>
            <w:vAlign w:val="center"/>
          </w:tcPr>
          <w:p w:rsidR="00575A88" w:rsidRPr="00006C68" w:rsidRDefault="00575A88" w:rsidP="007F2707">
            <w:pPr>
              <w:keepLines/>
              <w:spacing w:before="60"/>
              <w:jc w:val="center"/>
              <w:rPr>
                <w:rFonts w:ascii="Arial" w:eastAsia="Times New Roman" w:hAnsi="Arial"/>
                <w:sz w:val="20"/>
                <w:szCs w:val="20"/>
                <w:lang w:eastAsia="es-ES"/>
              </w:rPr>
            </w:pPr>
            <w:r>
              <w:rPr>
                <w:rFonts w:ascii="Arial" w:eastAsia="Times New Roman" w:hAnsi="Arial"/>
                <w:sz w:val="20"/>
                <w:szCs w:val="20"/>
                <w:lang w:eastAsia="es-ES"/>
              </w:rPr>
              <w:t xml:space="preserve"> 8   x  16</w:t>
            </w:r>
          </w:p>
        </w:tc>
        <w:tc>
          <w:tcPr>
            <w:tcW w:w="1560"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1</w:t>
            </w:r>
            <w:r w:rsidRPr="004B4336">
              <w:rPr>
                <w:rFonts w:ascii="Arial" w:eastAsia="Times New Roman" w:hAnsi="Arial"/>
                <w:sz w:val="20"/>
                <w:szCs w:val="20"/>
                <w:lang w:val="en-US" w:eastAsia="es-ES"/>
              </w:rPr>
              <w:t>.</w:t>
            </w:r>
            <w:r>
              <w:rPr>
                <w:rFonts w:ascii="Arial" w:eastAsia="Times New Roman" w:hAnsi="Arial"/>
                <w:sz w:val="20"/>
                <w:szCs w:val="20"/>
                <w:lang w:val="en-US" w:eastAsia="es-ES"/>
              </w:rPr>
              <w:t>79</w:t>
            </w:r>
          </w:p>
        </w:tc>
        <w:tc>
          <w:tcPr>
            <w:tcW w:w="1855"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290</w:t>
            </w:r>
          </w:p>
        </w:tc>
      </w:tr>
      <w:tr w:rsidR="00575A88" w:rsidRPr="004B4336" w:rsidTr="007F2707">
        <w:trPr>
          <w:jc w:val="center"/>
        </w:trPr>
        <w:tc>
          <w:tcPr>
            <w:tcW w:w="1559" w:type="dxa"/>
            <w:tcBorders>
              <w:top w:val="nil"/>
            </w:tcBorders>
            <w:vAlign w:val="center"/>
          </w:tcPr>
          <w:p w:rsidR="00575A88" w:rsidRPr="00301351" w:rsidRDefault="00575A88" w:rsidP="007F2707">
            <w:pPr>
              <w:keepLines/>
              <w:spacing w:before="60"/>
              <w:jc w:val="center"/>
              <w:rPr>
                <w:rFonts w:ascii="Arial" w:eastAsia="Times New Roman" w:hAnsi="Arial"/>
                <w:sz w:val="20"/>
                <w:szCs w:val="20"/>
                <w:lang w:val="en-US" w:eastAsia="es-ES"/>
              </w:rPr>
            </w:pPr>
            <w:r w:rsidRPr="00301351">
              <w:rPr>
                <w:rFonts w:ascii="Arial" w:eastAsia="Times New Roman" w:hAnsi="Arial"/>
                <w:sz w:val="20"/>
                <w:szCs w:val="20"/>
                <w:lang w:val="en-US" w:eastAsia="es-ES"/>
              </w:rPr>
              <w:t>16   x   32</w:t>
            </w:r>
          </w:p>
        </w:tc>
        <w:tc>
          <w:tcPr>
            <w:tcW w:w="1560"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0</w:t>
            </w:r>
            <w:r w:rsidRPr="004B4336">
              <w:rPr>
                <w:rFonts w:ascii="Arial" w:eastAsia="Times New Roman" w:hAnsi="Arial"/>
                <w:sz w:val="20"/>
                <w:szCs w:val="20"/>
                <w:lang w:val="en-US" w:eastAsia="es-ES"/>
              </w:rPr>
              <w:t>.</w:t>
            </w:r>
            <w:r>
              <w:rPr>
                <w:rFonts w:ascii="Arial" w:eastAsia="Times New Roman" w:hAnsi="Arial"/>
                <w:sz w:val="20"/>
                <w:szCs w:val="20"/>
                <w:lang w:val="en-US" w:eastAsia="es-ES"/>
              </w:rPr>
              <w:t>31</w:t>
            </w:r>
          </w:p>
        </w:tc>
        <w:tc>
          <w:tcPr>
            <w:tcW w:w="1855"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1212</w:t>
            </w:r>
          </w:p>
        </w:tc>
      </w:tr>
    </w:tbl>
    <w:p w:rsidR="00575A88" w:rsidRDefault="00575A88" w:rsidP="00575A88">
      <w:pPr>
        <w:tabs>
          <w:tab w:val="left" w:pos="288"/>
        </w:tabs>
        <w:jc w:val="both"/>
        <w:rPr>
          <w:rFonts w:ascii="Arial" w:eastAsia="MS Mincho" w:hAnsi="Arial" w:cs="Arial"/>
          <w:spacing w:val="-1"/>
          <w:lang w:val="en-US" w:eastAsia="sk-SK"/>
        </w:rPr>
      </w:pPr>
    </w:p>
    <w:p w:rsidR="00575A88" w:rsidRDefault="00575A88" w:rsidP="00575A88">
      <w:pPr>
        <w:tabs>
          <w:tab w:val="left" w:pos="288"/>
        </w:tabs>
        <w:ind w:firstLine="567"/>
        <w:jc w:val="both"/>
        <w:rPr>
          <w:rFonts w:ascii="Arial" w:eastAsia="MS Mincho" w:hAnsi="Arial" w:cs="Arial"/>
          <w:spacing w:val="-1"/>
          <w:lang w:val="en-US" w:eastAsia="sk-SK"/>
        </w:rPr>
      </w:pPr>
      <w:r w:rsidRPr="00E7093F">
        <w:rPr>
          <w:rFonts w:ascii="Arial" w:eastAsia="MS Mincho" w:hAnsi="Arial" w:cs="Arial"/>
          <w:spacing w:val="-1"/>
          <w:lang w:val="en-US" w:eastAsia="sk-SK"/>
        </w:rPr>
        <w:lastRenderedPageBreak/>
        <w:t>One way how to obtain better results in this case is to make computations for more grid points. Obtained re</w:t>
      </w:r>
      <w:r>
        <w:rPr>
          <w:rFonts w:ascii="Arial" w:eastAsia="MS Mincho" w:hAnsi="Arial" w:cs="Arial"/>
          <w:spacing w:val="-1"/>
          <w:lang w:val="en-US" w:eastAsia="sk-SK"/>
        </w:rPr>
        <w:t>sults can be seen in the Table 7. From the Table 7</w:t>
      </w:r>
      <w:r w:rsidRPr="00E7093F">
        <w:rPr>
          <w:rFonts w:ascii="Arial" w:eastAsia="MS Mincho" w:hAnsi="Arial" w:cs="Arial"/>
          <w:spacing w:val="-1"/>
          <w:lang w:val="en-US" w:eastAsia="sk-SK"/>
        </w:rPr>
        <w:t xml:space="preserve"> can be seen that</w:t>
      </w:r>
      <w:r>
        <w:rPr>
          <w:rFonts w:ascii="Arial" w:eastAsia="MS Mincho" w:hAnsi="Arial" w:cs="Arial"/>
          <w:spacing w:val="-1"/>
          <w:lang w:val="en-US" w:eastAsia="sk-SK"/>
        </w:rPr>
        <w:t xml:space="preserve"> </w:t>
      </w:r>
      <w:r w:rsidRPr="00E7093F">
        <w:rPr>
          <w:rFonts w:ascii="Arial" w:eastAsia="MS Mincho" w:hAnsi="Arial" w:cs="Arial"/>
          <w:spacing w:val="-1"/>
          <w:lang w:val="en-US" w:eastAsia="sk-SK"/>
        </w:rPr>
        <w:t>the errors decrease, however the number of iterations rapidly increase. Second way how to obtain better results is to use better discretization scheme.</w:t>
      </w:r>
    </w:p>
    <w:p w:rsidR="00575A88" w:rsidRPr="00DB0DA0" w:rsidRDefault="00575A88" w:rsidP="00575A88">
      <w:pPr>
        <w:tabs>
          <w:tab w:val="left" w:pos="288"/>
        </w:tabs>
        <w:jc w:val="both"/>
        <w:rPr>
          <w:rFonts w:ascii="Arial" w:eastAsia="MS Mincho" w:hAnsi="Arial" w:cs="Arial"/>
          <w:spacing w:val="-1"/>
          <w:lang w:val="en-US" w:eastAsia="sk-SK"/>
        </w:rPr>
      </w:pPr>
      <w:r w:rsidRPr="00E7093F">
        <w:rPr>
          <w:rFonts w:ascii="Arial" w:eastAsia="MS Mincho" w:hAnsi="Arial" w:cs="Arial"/>
          <w:spacing w:val="-1"/>
          <w:lang w:val="en-US" w:eastAsia="sk-SK"/>
        </w:rPr>
        <w:t xml:space="preserve"> </w:t>
      </w:r>
    </w:p>
    <w:p w:rsidR="00575A88" w:rsidRPr="007B73B9" w:rsidRDefault="00575A88" w:rsidP="00575A88">
      <w:pPr>
        <w:numPr>
          <w:ilvl w:val="0"/>
          <w:numId w:val="1"/>
        </w:numPr>
        <w:tabs>
          <w:tab w:val="clear" w:pos="432"/>
          <w:tab w:val="num" w:pos="0"/>
        </w:tabs>
        <w:suppressAutoHyphens/>
        <w:spacing w:after="0" w:line="360" w:lineRule="auto"/>
        <w:ind w:left="0" w:firstLine="0"/>
        <w:jc w:val="center"/>
        <w:rPr>
          <w:rFonts w:ascii="Arial" w:eastAsia="Times New Roman" w:hAnsi="Arial" w:cs="Arial"/>
          <w:bCs/>
          <w:i/>
          <w:noProof/>
          <w:sz w:val="20"/>
          <w:szCs w:val="20"/>
          <w:lang w:val="en-US" w:eastAsia="en-GB"/>
        </w:rPr>
      </w:pPr>
      <w:r>
        <w:rPr>
          <w:rFonts w:ascii="Arial" w:eastAsia="Times New Roman" w:hAnsi="Arial" w:cs="Arial"/>
          <w:bCs/>
          <w:i/>
          <w:noProof/>
          <w:sz w:val="20"/>
          <w:szCs w:val="20"/>
          <w:lang w:val="en-US" w:eastAsia="en-GB"/>
        </w:rPr>
        <w:t>Tabla 7</w:t>
      </w:r>
      <w:r w:rsidRPr="007B73B9">
        <w:rPr>
          <w:rFonts w:ascii="Arial" w:eastAsia="Times New Roman" w:hAnsi="Arial" w:cs="Arial"/>
          <w:bCs/>
          <w:i/>
          <w:noProof/>
          <w:sz w:val="20"/>
          <w:szCs w:val="20"/>
          <w:lang w:val="en-US" w:eastAsia="en-GB"/>
        </w:rPr>
        <w:t>. Nume</w:t>
      </w:r>
      <w:r>
        <w:rPr>
          <w:rFonts w:ascii="Arial" w:eastAsia="Times New Roman" w:hAnsi="Arial" w:cs="Arial"/>
          <w:bCs/>
          <w:i/>
          <w:noProof/>
          <w:sz w:val="20"/>
          <w:szCs w:val="20"/>
          <w:lang w:val="en-US" w:eastAsia="en-GB"/>
        </w:rPr>
        <w:t>rical results for the problem (44</w:t>
      </w:r>
      <w:r w:rsidRPr="007B73B9">
        <w:rPr>
          <w:rFonts w:ascii="Arial" w:eastAsia="Times New Roman" w:hAnsi="Arial" w:cs="Arial"/>
          <w:bCs/>
          <w:i/>
          <w:noProof/>
          <w:sz w:val="20"/>
          <w:szCs w:val="20"/>
          <w:lang w:val="en-US" w:eastAsia="en-GB"/>
        </w:rPr>
        <w:t xml:space="preserve">) </w:t>
      </w:r>
      <w:r>
        <w:rPr>
          <w:rFonts w:ascii="Arial" w:eastAsia="Times New Roman" w:hAnsi="Arial" w:cs="Arial"/>
          <w:bCs/>
          <w:i/>
          <w:noProof/>
          <w:sz w:val="20"/>
          <w:szCs w:val="20"/>
          <w:lang w:val="en-US" w:eastAsia="en-GB"/>
        </w:rPr>
        <w:t xml:space="preserve">- </w:t>
      </w:r>
      <w:r w:rsidRPr="007B73B9">
        <w:rPr>
          <w:rFonts w:ascii="Arial" w:eastAsia="Times New Roman" w:hAnsi="Arial" w:cs="Arial"/>
          <w:bCs/>
          <w:i/>
          <w:noProof/>
          <w:sz w:val="20"/>
          <w:szCs w:val="20"/>
          <w:lang w:val="en-US" w:eastAsia="en-GB"/>
        </w:rPr>
        <w:t>(</w:t>
      </w:r>
      <w:r>
        <w:rPr>
          <w:rFonts w:ascii="Arial" w:eastAsia="Times New Roman" w:hAnsi="Arial" w:cs="Arial"/>
          <w:bCs/>
          <w:i/>
          <w:noProof/>
          <w:sz w:val="20"/>
          <w:szCs w:val="20"/>
          <w:lang w:val="en-US" w:eastAsia="en-GB"/>
        </w:rPr>
        <w:t>55</w:t>
      </w:r>
      <w:r w:rsidRPr="007B73B9">
        <w:rPr>
          <w:rFonts w:ascii="Arial" w:eastAsia="Times New Roman" w:hAnsi="Arial" w:cs="Arial"/>
          <w:bCs/>
          <w:i/>
          <w:noProof/>
          <w:sz w:val="20"/>
          <w:szCs w:val="20"/>
          <w:lang w:val="en-US" w:eastAsia="en-GB"/>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9"/>
        <w:gridCol w:w="1560"/>
        <w:gridCol w:w="1855"/>
      </w:tblGrid>
      <w:tr w:rsidR="00575A88" w:rsidRPr="00006C68" w:rsidTr="007F2707">
        <w:trPr>
          <w:jc w:val="center"/>
        </w:trPr>
        <w:tc>
          <w:tcPr>
            <w:tcW w:w="1559"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Pr>
                <w:rFonts w:ascii="Arial" w:eastAsia="Times New Roman" w:hAnsi="Arial"/>
                <w:b/>
                <w:sz w:val="20"/>
                <w:szCs w:val="20"/>
                <w:lang w:eastAsia="es-ES"/>
              </w:rPr>
              <w:t>Mesh</w:t>
            </w:r>
          </w:p>
        </w:tc>
        <w:tc>
          <w:tcPr>
            <w:tcW w:w="1560"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sidRPr="004B4336">
              <w:rPr>
                <w:rFonts w:ascii="Arial" w:eastAsia="Times New Roman" w:hAnsi="Arial"/>
                <w:b/>
                <w:sz w:val="20"/>
                <w:szCs w:val="20"/>
                <w:lang w:eastAsia="es-ES"/>
              </w:rPr>
              <w:t xml:space="preserve">Percent error (%) </w:t>
            </w:r>
          </w:p>
        </w:tc>
        <w:tc>
          <w:tcPr>
            <w:tcW w:w="1855"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sidRPr="004B4336">
              <w:rPr>
                <w:rFonts w:ascii="Arial" w:eastAsia="Times New Roman" w:hAnsi="Arial"/>
                <w:b/>
                <w:sz w:val="20"/>
                <w:szCs w:val="20"/>
                <w:lang w:eastAsia="es-ES"/>
              </w:rPr>
              <w:t>Number of iterations</w:t>
            </w:r>
          </w:p>
        </w:tc>
      </w:tr>
      <w:tr w:rsidR="00575A88" w:rsidRPr="004B4336" w:rsidTr="007F2707">
        <w:trPr>
          <w:jc w:val="center"/>
        </w:trPr>
        <w:tc>
          <w:tcPr>
            <w:tcW w:w="1559" w:type="dxa"/>
            <w:tcBorders>
              <w:bottom w:val="nil"/>
            </w:tcBorders>
            <w:vAlign w:val="center"/>
          </w:tcPr>
          <w:p w:rsidR="00575A88" w:rsidRPr="00006C68" w:rsidRDefault="00575A88" w:rsidP="007F2707">
            <w:pPr>
              <w:keepLines/>
              <w:spacing w:before="60"/>
              <w:jc w:val="center"/>
              <w:rPr>
                <w:rFonts w:ascii="Arial" w:eastAsia="Times New Roman" w:hAnsi="Arial"/>
                <w:sz w:val="20"/>
                <w:szCs w:val="20"/>
                <w:lang w:eastAsia="es-ES"/>
              </w:rPr>
            </w:pPr>
            <w:r>
              <w:rPr>
                <w:rFonts w:ascii="Arial" w:eastAsia="Times New Roman" w:hAnsi="Arial"/>
                <w:sz w:val="20"/>
                <w:szCs w:val="20"/>
                <w:lang w:eastAsia="es-ES"/>
              </w:rPr>
              <w:t>32   x   64</w:t>
            </w:r>
          </w:p>
        </w:tc>
        <w:tc>
          <w:tcPr>
            <w:tcW w:w="1560"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1</w:t>
            </w:r>
            <w:r w:rsidRPr="004B4336">
              <w:rPr>
                <w:rFonts w:ascii="Arial" w:eastAsia="Times New Roman" w:hAnsi="Arial"/>
                <w:sz w:val="20"/>
                <w:szCs w:val="20"/>
                <w:lang w:val="en-US" w:eastAsia="es-ES"/>
              </w:rPr>
              <w:t>.</w:t>
            </w:r>
            <w:r>
              <w:rPr>
                <w:rFonts w:ascii="Arial" w:eastAsia="Times New Roman" w:hAnsi="Arial"/>
                <w:sz w:val="20"/>
                <w:szCs w:val="20"/>
                <w:lang w:val="en-US" w:eastAsia="es-ES"/>
              </w:rPr>
              <w:t>4</w:t>
            </w:r>
            <w:r w:rsidRPr="004B4336">
              <w:rPr>
                <w:rFonts w:ascii="Arial" w:eastAsia="Times New Roman" w:hAnsi="Arial"/>
                <w:sz w:val="20"/>
                <w:szCs w:val="20"/>
                <w:lang w:val="en-US" w:eastAsia="es-ES"/>
              </w:rPr>
              <w:t xml:space="preserve">  10</w:t>
            </w:r>
            <w:r>
              <w:rPr>
                <w:rFonts w:ascii="Arial" w:eastAsia="Times New Roman" w:hAnsi="Arial"/>
                <w:sz w:val="20"/>
                <w:szCs w:val="20"/>
                <w:vertAlign w:val="superscript"/>
                <w:lang w:val="en-US" w:eastAsia="es-ES"/>
              </w:rPr>
              <w:t>-1</w:t>
            </w:r>
          </w:p>
        </w:tc>
        <w:tc>
          <w:tcPr>
            <w:tcW w:w="1855"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5088</w:t>
            </w:r>
          </w:p>
        </w:tc>
      </w:tr>
      <w:tr w:rsidR="00575A88" w:rsidRPr="004B4336" w:rsidTr="007F2707">
        <w:trPr>
          <w:jc w:val="center"/>
        </w:trPr>
        <w:tc>
          <w:tcPr>
            <w:tcW w:w="1559" w:type="dxa"/>
            <w:tcBorders>
              <w:top w:val="nil"/>
              <w:bottom w:val="nil"/>
            </w:tcBorders>
            <w:vAlign w:val="center"/>
          </w:tcPr>
          <w:p w:rsidR="00575A88" w:rsidRPr="00D942C3"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 xml:space="preserve">  </w:t>
            </w:r>
            <w:r w:rsidRPr="00D942C3">
              <w:rPr>
                <w:rFonts w:ascii="Arial" w:eastAsia="Times New Roman" w:hAnsi="Arial"/>
                <w:sz w:val="20"/>
                <w:szCs w:val="20"/>
                <w:lang w:val="en-US" w:eastAsia="es-ES"/>
              </w:rPr>
              <w:t>64   x   128</w:t>
            </w:r>
          </w:p>
        </w:tc>
        <w:tc>
          <w:tcPr>
            <w:tcW w:w="1560"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4</w:t>
            </w:r>
            <w:r w:rsidRPr="004B4336">
              <w:rPr>
                <w:rFonts w:ascii="Arial" w:eastAsia="Times New Roman" w:hAnsi="Arial"/>
                <w:sz w:val="20"/>
                <w:szCs w:val="20"/>
                <w:lang w:val="en-US" w:eastAsia="es-ES"/>
              </w:rPr>
              <w:t>.</w:t>
            </w:r>
            <w:r>
              <w:rPr>
                <w:rFonts w:ascii="Arial" w:eastAsia="Times New Roman" w:hAnsi="Arial"/>
                <w:sz w:val="20"/>
                <w:szCs w:val="20"/>
                <w:lang w:val="en-US" w:eastAsia="es-ES"/>
              </w:rPr>
              <w:t>4</w:t>
            </w:r>
            <w:r w:rsidRPr="004B4336">
              <w:rPr>
                <w:rFonts w:ascii="Arial" w:eastAsia="Times New Roman" w:hAnsi="Arial"/>
                <w:sz w:val="20"/>
                <w:szCs w:val="20"/>
                <w:lang w:val="en-US" w:eastAsia="es-ES"/>
              </w:rPr>
              <w:t xml:space="preserve">  10</w:t>
            </w:r>
            <w:r>
              <w:rPr>
                <w:rFonts w:ascii="Arial" w:eastAsia="Times New Roman" w:hAnsi="Arial"/>
                <w:sz w:val="20"/>
                <w:szCs w:val="20"/>
                <w:vertAlign w:val="superscript"/>
                <w:lang w:val="en-US" w:eastAsia="es-ES"/>
              </w:rPr>
              <w:t>-2</w:t>
            </w:r>
          </w:p>
        </w:tc>
        <w:tc>
          <w:tcPr>
            <w:tcW w:w="1855"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18790</w:t>
            </w:r>
          </w:p>
        </w:tc>
      </w:tr>
      <w:tr w:rsidR="00575A88" w:rsidRPr="004B4336" w:rsidTr="007F2707">
        <w:trPr>
          <w:jc w:val="center"/>
        </w:trPr>
        <w:tc>
          <w:tcPr>
            <w:tcW w:w="1559" w:type="dxa"/>
            <w:tcBorders>
              <w:top w:val="nil"/>
            </w:tcBorders>
            <w:vAlign w:val="center"/>
          </w:tcPr>
          <w:p w:rsidR="00575A88" w:rsidRPr="00301351"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 xml:space="preserve">128   x   </w:t>
            </w:r>
            <w:r w:rsidRPr="00301351">
              <w:rPr>
                <w:rFonts w:ascii="Arial" w:eastAsia="Times New Roman" w:hAnsi="Arial"/>
                <w:sz w:val="20"/>
                <w:szCs w:val="20"/>
                <w:lang w:val="en-US" w:eastAsia="es-ES"/>
              </w:rPr>
              <w:t>2</w:t>
            </w:r>
            <w:r>
              <w:rPr>
                <w:rFonts w:ascii="Arial" w:eastAsia="Times New Roman" w:hAnsi="Arial"/>
                <w:sz w:val="20"/>
                <w:szCs w:val="20"/>
                <w:lang w:val="en-US" w:eastAsia="es-ES"/>
              </w:rPr>
              <w:t>56</w:t>
            </w:r>
          </w:p>
        </w:tc>
        <w:tc>
          <w:tcPr>
            <w:tcW w:w="1560"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9</w:t>
            </w:r>
            <w:r w:rsidRPr="004B4336">
              <w:rPr>
                <w:rFonts w:ascii="Arial" w:eastAsia="Times New Roman" w:hAnsi="Arial"/>
                <w:sz w:val="20"/>
                <w:szCs w:val="20"/>
                <w:lang w:val="en-US" w:eastAsia="es-ES"/>
              </w:rPr>
              <w:t>.</w:t>
            </w:r>
            <w:r>
              <w:rPr>
                <w:rFonts w:ascii="Arial" w:eastAsia="Times New Roman" w:hAnsi="Arial"/>
                <w:sz w:val="20"/>
                <w:szCs w:val="20"/>
                <w:lang w:val="en-US" w:eastAsia="es-ES"/>
              </w:rPr>
              <w:t>8</w:t>
            </w:r>
            <w:r w:rsidRPr="004B4336">
              <w:rPr>
                <w:rFonts w:ascii="Arial" w:eastAsia="Times New Roman" w:hAnsi="Arial"/>
                <w:sz w:val="20"/>
                <w:szCs w:val="20"/>
                <w:lang w:val="en-US" w:eastAsia="es-ES"/>
              </w:rPr>
              <w:t xml:space="preserve">  10</w:t>
            </w:r>
            <w:r>
              <w:rPr>
                <w:rFonts w:ascii="Arial" w:eastAsia="Times New Roman" w:hAnsi="Arial"/>
                <w:sz w:val="20"/>
                <w:szCs w:val="20"/>
                <w:vertAlign w:val="superscript"/>
                <w:lang w:val="en-US" w:eastAsia="es-ES"/>
              </w:rPr>
              <w:t>-3</w:t>
            </w:r>
          </w:p>
        </w:tc>
        <w:tc>
          <w:tcPr>
            <w:tcW w:w="1855"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75468</w:t>
            </w:r>
          </w:p>
        </w:tc>
      </w:tr>
    </w:tbl>
    <w:p w:rsidR="00575A88" w:rsidRDefault="00575A88" w:rsidP="00575A88">
      <w:pPr>
        <w:rPr>
          <w:rFonts w:ascii="Arial" w:eastAsia="MS Mincho" w:hAnsi="Arial" w:cs="Arial"/>
          <w:spacing w:val="-1"/>
          <w:lang w:val="en-GB" w:eastAsia="sk-SK"/>
        </w:rPr>
      </w:pPr>
    </w:p>
    <w:p w:rsidR="00575A88" w:rsidRDefault="00575A88" w:rsidP="00575A88">
      <w:pPr>
        <w:tabs>
          <w:tab w:val="left" w:pos="288"/>
        </w:tabs>
        <w:ind w:firstLine="567"/>
        <w:jc w:val="both"/>
        <w:rPr>
          <w:rFonts w:ascii="Arial" w:eastAsia="Times New Roman" w:hAnsi="Arial" w:cs="Arial"/>
          <w:lang w:val="en-US" w:eastAsia="cs-CZ"/>
        </w:rPr>
      </w:pPr>
      <w:r w:rsidRPr="00711169">
        <w:rPr>
          <w:rFonts w:ascii="Arial" w:eastAsia="Times New Roman" w:hAnsi="Arial" w:cs="Arial"/>
          <w:lang w:val="en-US" w:eastAsia="cs-CZ"/>
        </w:rPr>
        <w:t xml:space="preserve">For </w:t>
      </w:r>
      <w:r>
        <w:rPr>
          <w:rFonts w:ascii="Arial" w:eastAsia="Times New Roman" w:hAnsi="Arial" w:cs="Arial"/>
          <w:lang w:val="en-US" w:eastAsia="cs-CZ"/>
        </w:rPr>
        <w:t>another type</w:t>
      </w:r>
      <w:r w:rsidRPr="00711169">
        <w:rPr>
          <w:rFonts w:ascii="Arial" w:eastAsia="Times New Roman" w:hAnsi="Arial" w:cs="Arial"/>
          <w:lang w:val="en-US" w:eastAsia="cs-CZ"/>
        </w:rPr>
        <w:t xml:space="preserve"> of discontinuity of electrical conductivity</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CF5998" w:rsidRDefault="00575A88" w:rsidP="00575A88">
      <w:pPr>
        <w:pStyle w:val="Textoindependiente"/>
        <w:jc w:val="right"/>
        <w:rPr>
          <w:rFonts w:ascii="Arial" w:hAnsi="Arial" w:cs="Arial"/>
          <w:b w:val="0"/>
          <w:sz w:val="24"/>
          <w:lang w:val="en-US"/>
        </w:rPr>
      </w:pPr>
      <w:r w:rsidRPr="00CF5998">
        <w:rPr>
          <w:rFonts w:ascii="Arial" w:hAnsi="Arial" w:cs="Arial"/>
          <w:b w:val="0"/>
          <w:position w:val="-10"/>
          <w:sz w:val="24"/>
          <w:lang w:val="en-US"/>
        </w:rPr>
        <w:t xml:space="preserve">                                    </w:t>
      </w:r>
      <w:r w:rsidRPr="009A216B">
        <w:rPr>
          <w:rFonts w:ascii="Arial" w:hAnsi="Arial" w:cs="Arial"/>
          <w:b w:val="0"/>
          <w:position w:val="-10"/>
          <w:sz w:val="24"/>
        </w:rPr>
        <w:object w:dxaOrig="980" w:dyaOrig="320">
          <v:shape id="_x0000_i1396" type="#_x0000_t75" style="width:50.4pt;height:14.4pt" o:ole="">
            <v:imagedata r:id="rId917" o:title=""/>
          </v:shape>
          <o:OLEObject Type="Embed" ProgID="Equation.3" ShapeID="_x0000_i1396" DrawAspect="Content" ObjectID="_1660649493" r:id="rId918"/>
        </w:object>
      </w:r>
      <w:r w:rsidRPr="009A216B">
        <w:rPr>
          <w:rFonts w:ascii="Arial" w:hAnsi="Arial" w:cs="Arial"/>
          <w:b w:val="0"/>
          <w:sz w:val="24"/>
          <w:lang w:val="en-US"/>
        </w:rPr>
        <w:t xml:space="preserve">   </w:t>
      </w:r>
      <w:r>
        <w:rPr>
          <w:rFonts w:ascii="Arial" w:hAnsi="Arial" w:cs="Arial"/>
          <w:b w:val="0"/>
          <w:sz w:val="24"/>
          <w:lang w:val="en-US"/>
        </w:rPr>
        <w:t>,</w:t>
      </w:r>
      <w:r w:rsidRPr="009A216B">
        <w:rPr>
          <w:rFonts w:ascii="Arial" w:hAnsi="Arial" w:cs="Arial"/>
          <w:b w:val="0"/>
          <w:sz w:val="24"/>
          <w:lang w:val="en-US"/>
        </w:rPr>
        <w:t xml:space="preserve">   </w:t>
      </w:r>
      <w:r>
        <w:rPr>
          <w:rFonts w:ascii="Arial" w:hAnsi="Arial" w:cs="Arial"/>
          <w:b w:val="0"/>
          <w:sz w:val="24"/>
          <w:lang w:val="en-US"/>
        </w:rPr>
        <w:t xml:space="preserve">       </w:t>
      </w:r>
      <w:r w:rsidRPr="00F42668">
        <w:rPr>
          <w:rFonts w:ascii="Arial" w:hAnsi="Arial" w:cs="Arial"/>
          <w:b w:val="0"/>
          <w:position w:val="-10"/>
          <w:sz w:val="24"/>
        </w:rPr>
        <w:object w:dxaOrig="999" w:dyaOrig="320">
          <v:shape id="_x0000_i1397" type="#_x0000_t75" style="width:50.4pt;height:14.4pt" o:ole="">
            <v:imagedata r:id="rId919" o:title=""/>
          </v:shape>
          <o:OLEObject Type="Embed" ProgID="Equation.3" ShapeID="_x0000_i1397" DrawAspect="Content" ObjectID="_1660649494" r:id="rId920"/>
        </w:object>
      </w:r>
      <w:r w:rsidRPr="00CF5998">
        <w:rPr>
          <w:rFonts w:ascii="Arial" w:hAnsi="Arial" w:cs="Arial"/>
          <w:b w:val="0"/>
          <w:sz w:val="24"/>
          <w:lang w:val="en-US"/>
        </w:rPr>
        <w:t xml:space="preserve">   ,                       </w:t>
      </w:r>
      <w:r>
        <w:rPr>
          <w:rFonts w:ascii="Arial" w:hAnsi="Arial" w:cs="Arial"/>
          <w:b w:val="0"/>
          <w:sz w:val="24"/>
          <w:lang w:val="en-US"/>
        </w:rPr>
        <w:t xml:space="preserve">            </w:t>
      </w:r>
      <w:r w:rsidRPr="009A216B">
        <w:rPr>
          <w:rFonts w:ascii="Arial" w:hAnsi="Arial" w:cs="Arial"/>
          <w:b w:val="0"/>
          <w:sz w:val="24"/>
          <w:lang w:val="en-US"/>
        </w:rPr>
        <w:t xml:space="preserve"> </w:t>
      </w:r>
      <w:r>
        <w:rPr>
          <w:rFonts w:ascii="Arial" w:hAnsi="Arial" w:cs="Arial"/>
          <w:b w:val="0"/>
          <w:sz w:val="24"/>
          <w:lang w:val="en-US"/>
        </w:rPr>
        <w:t>(56</w:t>
      </w:r>
      <w:r w:rsidRPr="009A216B">
        <w:rPr>
          <w:rFonts w:ascii="Arial" w:hAnsi="Arial" w:cs="Arial"/>
          <w:b w:val="0"/>
          <w:sz w:val="24"/>
          <w:lang w:val="en-US"/>
        </w:rPr>
        <w:t xml:space="preserve">) </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1C1DE7" w:rsidRDefault="00575A88" w:rsidP="00575A88">
      <w:pPr>
        <w:pStyle w:val="equation"/>
        <w:spacing w:before="0" w:after="0" w:line="240" w:lineRule="auto"/>
        <w:jc w:val="right"/>
        <w:rPr>
          <w:rFonts w:ascii="Arial" w:hAnsi="Arial" w:cs="Arial"/>
          <w:b/>
          <w:sz w:val="24"/>
        </w:rPr>
      </w:pPr>
      <w:r>
        <w:rPr>
          <w:rFonts w:ascii="Arial" w:hAnsi="Arial" w:cs="Arial"/>
          <w:position w:val="-10"/>
          <w:sz w:val="24"/>
          <w:szCs w:val="24"/>
        </w:rPr>
        <w:t xml:space="preserve">        </w:t>
      </w:r>
      <w:r w:rsidRPr="007B1A51">
        <w:rPr>
          <w:rFonts w:ascii="Arial" w:hAnsi="Arial" w:cs="Arial"/>
          <w:position w:val="-10"/>
          <w:sz w:val="24"/>
          <w:szCs w:val="24"/>
        </w:rPr>
        <w:object w:dxaOrig="1400" w:dyaOrig="320">
          <v:shape id="_x0000_i1398" type="#_x0000_t75" style="width:1in;height:14.4pt" o:ole="">
            <v:imagedata r:id="rId921" o:title=""/>
          </v:shape>
          <o:OLEObject Type="Embed" ProgID="Equation.3" ShapeID="_x0000_i1398" DrawAspect="Content" ObjectID="_1660649495" r:id="rId922"/>
        </w:object>
      </w:r>
      <w:r>
        <w:rPr>
          <w:rFonts w:ascii="Arial" w:hAnsi="Arial" w:cs="Arial"/>
          <w:sz w:val="24"/>
          <w:szCs w:val="24"/>
        </w:rPr>
        <w:t xml:space="preserve">   ,      </w:t>
      </w:r>
      <w:r w:rsidRPr="00F42668">
        <w:rPr>
          <w:rFonts w:ascii="Arial" w:hAnsi="Arial" w:cs="Arial"/>
          <w:b/>
          <w:position w:val="-10"/>
          <w:sz w:val="24"/>
        </w:rPr>
        <w:object w:dxaOrig="940" w:dyaOrig="320">
          <v:shape id="_x0000_i1399" type="#_x0000_t75" style="width:50.4pt;height:14.4pt" o:ole="">
            <v:imagedata r:id="rId923" o:title=""/>
          </v:shape>
          <o:OLEObject Type="Embed" ProgID="Equation.3" ShapeID="_x0000_i1399" DrawAspect="Content" ObjectID="_1660649496" r:id="rId924"/>
        </w:object>
      </w:r>
      <w:r>
        <w:rPr>
          <w:rFonts w:ascii="Arial" w:hAnsi="Arial" w:cs="Arial"/>
          <w:sz w:val="24"/>
          <w:szCs w:val="24"/>
        </w:rPr>
        <w:t xml:space="preserve">                                       </w:t>
      </w:r>
      <w:r w:rsidRPr="007B1A51">
        <w:rPr>
          <w:rFonts w:ascii="Arial" w:hAnsi="Arial" w:cs="Arial"/>
          <w:sz w:val="24"/>
          <w:szCs w:val="24"/>
        </w:rPr>
        <w:t>(</w:t>
      </w:r>
      <w:r>
        <w:rPr>
          <w:rFonts w:ascii="Arial" w:hAnsi="Arial" w:cs="Arial"/>
          <w:sz w:val="24"/>
          <w:szCs w:val="24"/>
        </w:rPr>
        <w:t>57</w:t>
      </w:r>
      <w:r w:rsidRPr="007B1A51">
        <w:rPr>
          <w:rFonts w:ascii="Arial" w:hAnsi="Arial" w:cs="Arial"/>
          <w:sz w:val="24"/>
          <w:szCs w:val="24"/>
        </w:rPr>
        <w:t>)</w:t>
      </w:r>
    </w:p>
    <w:p w:rsidR="00575A88" w:rsidRDefault="00575A88" w:rsidP="00575A88">
      <w:pPr>
        <w:tabs>
          <w:tab w:val="left" w:pos="288"/>
        </w:tabs>
        <w:jc w:val="both"/>
        <w:rPr>
          <w:rFonts w:ascii="Arial" w:eastAsia="MS Mincho" w:hAnsi="Arial" w:cs="Arial"/>
          <w:spacing w:val="-1"/>
          <w:lang w:val="en-GB" w:eastAsia="sk-SK"/>
        </w:rPr>
      </w:pPr>
      <w:r w:rsidRPr="00E7093F">
        <w:rPr>
          <w:rFonts w:ascii="Arial" w:eastAsia="MS Mincho" w:hAnsi="Arial" w:cs="Arial"/>
          <w:spacing w:val="-1"/>
          <w:lang w:val="en-GB" w:eastAsia="sk-SK"/>
        </w:rPr>
        <w:t>voltage potential</w:t>
      </w:r>
    </w:p>
    <w:p w:rsidR="00575A88" w:rsidRPr="001C1DE7" w:rsidRDefault="00575A88" w:rsidP="00575A88">
      <w:pPr>
        <w:pStyle w:val="equation"/>
        <w:spacing w:before="0" w:after="0" w:line="240" w:lineRule="auto"/>
        <w:jc w:val="right"/>
        <w:rPr>
          <w:rFonts w:ascii="Arial" w:hAnsi="Arial" w:cs="Arial"/>
          <w:b/>
          <w:sz w:val="24"/>
        </w:rPr>
      </w:pPr>
      <w:r>
        <w:rPr>
          <w:rFonts w:ascii="Arial" w:hAnsi="Arial" w:cs="Arial"/>
          <w:position w:val="-10"/>
          <w:sz w:val="24"/>
          <w:szCs w:val="24"/>
        </w:rPr>
        <w:t xml:space="preserve">                           </w:t>
      </w:r>
      <w:r w:rsidRPr="005020A1">
        <w:rPr>
          <w:rFonts w:ascii="Arial" w:eastAsia="MS Mincho" w:hAnsi="Arial" w:cs="Arial"/>
          <w:spacing w:val="-1"/>
          <w:position w:val="-10"/>
        </w:rPr>
        <w:object w:dxaOrig="2560" w:dyaOrig="320">
          <v:shape id="_x0000_i1400" type="#_x0000_t75" style="width:129.6pt;height:14.4pt" o:ole="">
            <v:imagedata r:id="rId855" o:title=""/>
          </v:shape>
          <o:OLEObject Type="Embed" ProgID="Equation.3" ShapeID="_x0000_i1400" DrawAspect="Content" ObjectID="_1660649497" r:id="rId925"/>
        </w:object>
      </w:r>
      <w:r>
        <w:rPr>
          <w:rFonts w:ascii="Arial" w:hAnsi="Arial" w:cs="Arial"/>
          <w:sz w:val="24"/>
          <w:szCs w:val="24"/>
        </w:rPr>
        <w:t xml:space="preserve">   ,          </w:t>
      </w:r>
      <w:r w:rsidRPr="00F42668">
        <w:rPr>
          <w:rFonts w:ascii="Arial" w:hAnsi="Arial" w:cs="Arial"/>
          <w:b/>
          <w:position w:val="-10"/>
          <w:sz w:val="24"/>
        </w:rPr>
        <w:object w:dxaOrig="999" w:dyaOrig="320">
          <v:shape id="_x0000_i1401" type="#_x0000_t75" style="width:50.4pt;height:14.4pt" o:ole="">
            <v:imagedata r:id="rId919" o:title=""/>
          </v:shape>
          <o:OLEObject Type="Embed" ProgID="Equation.3" ShapeID="_x0000_i1401" DrawAspect="Content" ObjectID="_1660649498" r:id="rId926"/>
        </w:object>
      </w:r>
      <w:r>
        <w:rPr>
          <w:rFonts w:ascii="Arial" w:hAnsi="Arial" w:cs="Arial"/>
          <w:sz w:val="24"/>
          <w:szCs w:val="24"/>
        </w:rPr>
        <w:t xml:space="preserve">  ,                            </w:t>
      </w:r>
      <w:r w:rsidRPr="007B1A51">
        <w:rPr>
          <w:rFonts w:ascii="Arial" w:hAnsi="Arial" w:cs="Arial"/>
          <w:sz w:val="24"/>
          <w:szCs w:val="24"/>
        </w:rPr>
        <w:t>(</w:t>
      </w:r>
      <w:r>
        <w:rPr>
          <w:rFonts w:ascii="Arial" w:hAnsi="Arial" w:cs="Arial"/>
          <w:sz w:val="24"/>
          <w:szCs w:val="24"/>
        </w:rPr>
        <w:t>58</w:t>
      </w:r>
      <w:r w:rsidRPr="007B1A51">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1C1DE7" w:rsidRDefault="00575A88" w:rsidP="00575A88">
      <w:pPr>
        <w:pStyle w:val="equation"/>
        <w:spacing w:before="0" w:after="0" w:line="240" w:lineRule="auto"/>
        <w:jc w:val="right"/>
        <w:rPr>
          <w:rFonts w:ascii="Arial" w:hAnsi="Arial" w:cs="Arial"/>
          <w:b/>
          <w:sz w:val="24"/>
        </w:rPr>
      </w:pPr>
      <w:r>
        <w:rPr>
          <w:rFonts w:ascii="Arial" w:hAnsi="Arial" w:cs="Arial"/>
          <w:position w:val="-10"/>
          <w:sz w:val="24"/>
          <w:szCs w:val="24"/>
        </w:rPr>
        <w:t xml:space="preserve">                        </w:t>
      </w:r>
      <w:r w:rsidRPr="005020A1">
        <w:rPr>
          <w:rFonts w:ascii="Arial" w:eastAsia="MS Mincho" w:hAnsi="Arial" w:cs="Arial"/>
          <w:spacing w:val="-1"/>
          <w:position w:val="-10"/>
        </w:rPr>
        <w:object w:dxaOrig="4120" w:dyaOrig="320">
          <v:shape id="_x0000_i1402" type="#_x0000_t75" style="width:208.8pt;height:14.4pt" o:ole="">
            <v:imagedata r:id="rId927" o:title=""/>
          </v:shape>
          <o:OLEObject Type="Embed" ProgID="Equation.3" ShapeID="_x0000_i1402" DrawAspect="Content" ObjectID="_1660649499" r:id="rId928"/>
        </w:object>
      </w:r>
      <w:r>
        <w:rPr>
          <w:rFonts w:ascii="Arial" w:hAnsi="Arial" w:cs="Arial"/>
          <w:sz w:val="24"/>
          <w:szCs w:val="24"/>
        </w:rPr>
        <w:t xml:space="preserve">   ,      </w:t>
      </w:r>
      <w:r w:rsidRPr="00F42668">
        <w:rPr>
          <w:rFonts w:ascii="Arial" w:hAnsi="Arial" w:cs="Arial"/>
          <w:b/>
          <w:position w:val="-10"/>
          <w:sz w:val="24"/>
        </w:rPr>
        <w:object w:dxaOrig="940" w:dyaOrig="320">
          <v:shape id="_x0000_i1403" type="#_x0000_t75" style="width:50.4pt;height:14.4pt" o:ole="">
            <v:imagedata r:id="rId923" o:title=""/>
          </v:shape>
          <o:OLEObject Type="Embed" ProgID="Equation.3" ShapeID="_x0000_i1403" DrawAspect="Content" ObjectID="_1660649500" r:id="rId929"/>
        </w:object>
      </w:r>
      <w:r>
        <w:rPr>
          <w:rFonts w:ascii="Arial" w:hAnsi="Arial" w:cs="Arial"/>
          <w:sz w:val="24"/>
          <w:szCs w:val="24"/>
        </w:rPr>
        <w:t xml:space="preserve">                     </w:t>
      </w:r>
      <w:r w:rsidRPr="007B1A51">
        <w:rPr>
          <w:rFonts w:ascii="Arial" w:hAnsi="Arial" w:cs="Arial"/>
          <w:sz w:val="24"/>
          <w:szCs w:val="24"/>
        </w:rPr>
        <w:t>(</w:t>
      </w:r>
      <w:r>
        <w:rPr>
          <w:rFonts w:ascii="Arial" w:hAnsi="Arial" w:cs="Arial"/>
          <w:sz w:val="24"/>
          <w:szCs w:val="24"/>
        </w:rPr>
        <w:t>59</w:t>
      </w:r>
      <w:r w:rsidRPr="007B1A51">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08Text"/>
        <w:spacing w:before="0"/>
        <w:ind w:firstLine="0"/>
        <w:jc w:val="both"/>
        <w:rPr>
          <w:sz w:val="24"/>
          <w:szCs w:val="24"/>
        </w:rPr>
      </w:pPr>
      <w:r w:rsidRPr="009A216B">
        <w:rPr>
          <w:sz w:val="24"/>
          <w:szCs w:val="24"/>
        </w:rPr>
        <w:t>corresponding free charge</w:t>
      </w:r>
    </w:p>
    <w:p w:rsidR="00575A88" w:rsidRPr="00CF5998" w:rsidRDefault="00575A88" w:rsidP="00575A88">
      <w:pPr>
        <w:pStyle w:val="Textoindependiente"/>
        <w:jc w:val="right"/>
        <w:rPr>
          <w:rFonts w:ascii="Arial" w:hAnsi="Arial" w:cs="Arial"/>
          <w:b w:val="0"/>
          <w:sz w:val="24"/>
          <w:lang w:val="en-US"/>
        </w:rPr>
      </w:pPr>
      <w:r w:rsidRPr="00CF5998">
        <w:rPr>
          <w:rFonts w:ascii="Arial" w:hAnsi="Arial" w:cs="Arial"/>
          <w:b w:val="0"/>
          <w:position w:val="-10"/>
          <w:sz w:val="24"/>
          <w:lang w:val="en-US"/>
        </w:rPr>
        <w:t xml:space="preserve">                                    </w:t>
      </w:r>
      <w:r w:rsidRPr="009A216B">
        <w:rPr>
          <w:rFonts w:ascii="Arial" w:hAnsi="Arial" w:cs="Arial"/>
          <w:b w:val="0"/>
          <w:position w:val="-10"/>
          <w:sz w:val="24"/>
        </w:rPr>
        <w:object w:dxaOrig="999" w:dyaOrig="320">
          <v:shape id="_x0000_i1404" type="#_x0000_t75" style="width:50.4pt;height:14.4pt" o:ole="">
            <v:imagedata r:id="rId930" o:title=""/>
          </v:shape>
          <o:OLEObject Type="Embed" ProgID="Equation.3" ShapeID="_x0000_i1404" DrawAspect="Content" ObjectID="_1660649501" r:id="rId931"/>
        </w:object>
      </w:r>
      <w:r w:rsidRPr="009A216B">
        <w:rPr>
          <w:rFonts w:ascii="Arial" w:hAnsi="Arial" w:cs="Arial"/>
          <w:b w:val="0"/>
          <w:sz w:val="24"/>
          <w:lang w:val="en-US"/>
        </w:rPr>
        <w:t xml:space="preserve">   </w:t>
      </w:r>
      <w:r>
        <w:rPr>
          <w:rFonts w:ascii="Arial" w:hAnsi="Arial" w:cs="Arial"/>
          <w:b w:val="0"/>
          <w:sz w:val="24"/>
          <w:lang w:val="en-US"/>
        </w:rPr>
        <w:t xml:space="preserve">                                        </w:t>
      </w:r>
      <w:r w:rsidRPr="00CF5998">
        <w:rPr>
          <w:rFonts w:ascii="Arial" w:hAnsi="Arial" w:cs="Arial"/>
          <w:b w:val="0"/>
          <w:sz w:val="24"/>
          <w:lang w:val="en-US"/>
        </w:rPr>
        <w:t xml:space="preserve">    </w:t>
      </w:r>
      <w:r>
        <w:rPr>
          <w:rFonts w:ascii="Arial" w:hAnsi="Arial" w:cs="Arial"/>
          <w:b w:val="0"/>
          <w:sz w:val="24"/>
          <w:lang w:val="en-US"/>
        </w:rPr>
        <w:t xml:space="preserve">            </w:t>
      </w:r>
      <w:r w:rsidRPr="009A216B">
        <w:rPr>
          <w:rFonts w:ascii="Arial" w:hAnsi="Arial" w:cs="Arial"/>
          <w:b w:val="0"/>
          <w:sz w:val="24"/>
          <w:lang w:val="en-US"/>
        </w:rPr>
        <w:t xml:space="preserve"> </w:t>
      </w:r>
      <w:r>
        <w:rPr>
          <w:rFonts w:ascii="Arial" w:hAnsi="Arial" w:cs="Arial"/>
          <w:b w:val="0"/>
          <w:sz w:val="24"/>
          <w:lang w:val="en-US"/>
        </w:rPr>
        <w:t>(60</w:t>
      </w:r>
      <w:r w:rsidRPr="009A216B">
        <w:rPr>
          <w:rFonts w:ascii="Arial" w:hAnsi="Arial" w:cs="Arial"/>
          <w:b w:val="0"/>
          <w:sz w:val="24"/>
          <w:lang w:val="en-US"/>
        </w:rPr>
        <w:t xml:space="preserve">) </w:t>
      </w:r>
    </w:p>
    <w:p w:rsidR="00575A88" w:rsidRDefault="00575A88" w:rsidP="00575A88">
      <w:pPr>
        <w:pStyle w:val="08Text"/>
        <w:spacing w:before="0"/>
        <w:ind w:firstLine="0"/>
        <w:jc w:val="both"/>
        <w:rPr>
          <w:sz w:val="24"/>
          <w:lang w:val="en-US"/>
        </w:rPr>
      </w:pPr>
      <w:r w:rsidRPr="00055F8B">
        <w:rPr>
          <w:sz w:val="24"/>
          <w:lang w:val="en-US"/>
        </w:rPr>
        <w:t>in polar coordinates</w:t>
      </w:r>
    </w:p>
    <w:p w:rsidR="00575A88" w:rsidRPr="00CF5998" w:rsidRDefault="00575A88" w:rsidP="00575A88">
      <w:pPr>
        <w:pStyle w:val="Textoindependiente"/>
        <w:jc w:val="right"/>
        <w:rPr>
          <w:rFonts w:ascii="Arial" w:hAnsi="Arial" w:cs="Arial"/>
          <w:b w:val="0"/>
          <w:sz w:val="24"/>
          <w:lang w:val="en-US"/>
        </w:rPr>
      </w:pPr>
      <w:r w:rsidRPr="00CF5998">
        <w:rPr>
          <w:rFonts w:ascii="Arial" w:hAnsi="Arial" w:cs="Arial"/>
          <w:b w:val="0"/>
          <w:position w:val="-10"/>
          <w:sz w:val="24"/>
          <w:lang w:val="en-US"/>
        </w:rPr>
        <w:t xml:space="preserve">                                    </w:t>
      </w:r>
      <w:r w:rsidRPr="009A216B">
        <w:rPr>
          <w:rFonts w:ascii="Arial" w:hAnsi="Arial" w:cs="Arial"/>
          <w:b w:val="0"/>
          <w:position w:val="-10"/>
          <w:sz w:val="24"/>
        </w:rPr>
        <w:object w:dxaOrig="980" w:dyaOrig="320">
          <v:shape id="_x0000_i1405" type="#_x0000_t75" style="width:50.4pt;height:14.4pt" o:ole="">
            <v:imagedata r:id="rId932" o:title=""/>
          </v:shape>
          <o:OLEObject Type="Embed" ProgID="Equation.3" ShapeID="_x0000_i1405" DrawAspect="Content" ObjectID="_1660649502" r:id="rId933"/>
        </w:object>
      </w:r>
      <w:r w:rsidRPr="009A216B">
        <w:rPr>
          <w:rFonts w:ascii="Arial" w:hAnsi="Arial" w:cs="Arial"/>
          <w:b w:val="0"/>
          <w:sz w:val="24"/>
          <w:lang w:val="en-US"/>
        </w:rPr>
        <w:t xml:space="preserve">   </w:t>
      </w:r>
      <w:r>
        <w:rPr>
          <w:rFonts w:ascii="Arial" w:hAnsi="Arial" w:cs="Arial"/>
          <w:b w:val="0"/>
          <w:sz w:val="24"/>
          <w:lang w:val="en-US"/>
        </w:rPr>
        <w:t>,</w:t>
      </w:r>
      <w:r w:rsidRPr="009A216B">
        <w:rPr>
          <w:rFonts w:ascii="Arial" w:hAnsi="Arial" w:cs="Arial"/>
          <w:b w:val="0"/>
          <w:sz w:val="24"/>
          <w:lang w:val="en-US"/>
        </w:rPr>
        <w:t xml:space="preserve">   </w:t>
      </w:r>
      <w:r>
        <w:rPr>
          <w:rFonts w:ascii="Arial" w:hAnsi="Arial" w:cs="Arial"/>
          <w:b w:val="0"/>
          <w:sz w:val="24"/>
          <w:lang w:val="en-US"/>
        </w:rPr>
        <w:t xml:space="preserve">       </w:t>
      </w:r>
      <w:r w:rsidRPr="00F42668">
        <w:rPr>
          <w:rFonts w:ascii="Arial" w:hAnsi="Arial" w:cs="Arial"/>
          <w:b w:val="0"/>
          <w:position w:val="-10"/>
          <w:sz w:val="24"/>
        </w:rPr>
        <w:object w:dxaOrig="1020" w:dyaOrig="300">
          <v:shape id="_x0000_i1406" type="#_x0000_t75" style="width:50.4pt;height:14.4pt" o:ole="">
            <v:imagedata r:id="rId934" o:title=""/>
          </v:shape>
          <o:OLEObject Type="Embed" ProgID="Equation.3" ShapeID="_x0000_i1406" DrawAspect="Content" ObjectID="_1660649503" r:id="rId935"/>
        </w:object>
      </w:r>
      <w:r w:rsidRPr="00CF5998">
        <w:rPr>
          <w:rFonts w:ascii="Arial" w:hAnsi="Arial" w:cs="Arial"/>
          <w:b w:val="0"/>
          <w:sz w:val="24"/>
          <w:lang w:val="en-US"/>
        </w:rPr>
        <w:t xml:space="preserve">   ,                       </w:t>
      </w:r>
      <w:r>
        <w:rPr>
          <w:rFonts w:ascii="Arial" w:hAnsi="Arial" w:cs="Arial"/>
          <w:b w:val="0"/>
          <w:sz w:val="24"/>
          <w:lang w:val="en-US"/>
        </w:rPr>
        <w:t xml:space="preserve">            </w:t>
      </w:r>
      <w:r w:rsidRPr="009A216B">
        <w:rPr>
          <w:rFonts w:ascii="Arial" w:hAnsi="Arial" w:cs="Arial"/>
          <w:b w:val="0"/>
          <w:sz w:val="24"/>
          <w:lang w:val="en-US"/>
        </w:rPr>
        <w:t xml:space="preserve"> </w:t>
      </w:r>
      <w:r>
        <w:rPr>
          <w:rFonts w:ascii="Arial" w:hAnsi="Arial" w:cs="Arial"/>
          <w:b w:val="0"/>
          <w:sz w:val="24"/>
          <w:lang w:val="en-US"/>
        </w:rPr>
        <w:t>(61</w:t>
      </w:r>
      <w:r w:rsidRPr="009A216B">
        <w:rPr>
          <w:rFonts w:ascii="Arial" w:hAnsi="Arial" w:cs="Arial"/>
          <w:b w:val="0"/>
          <w:sz w:val="24"/>
          <w:lang w:val="en-US"/>
        </w:rPr>
        <w:t xml:space="preserve">) </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1C1DE7" w:rsidRDefault="00575A88" w:rsidP="00575A88">
      <w:pPr>
        <w:pStyle w:val="equation"/>
        <w:spacing w:before="0" w:after="0" w:line="240" w:lineRule="auto"/>
        <w:jc w:val="right"/>
        <w:rPr>
          <w:rFonts w:ascii="Arial" w:hAnsi="Arial" w:cs="Arial"/>
          <w:b/>
          <w:sz w:val="24"/>
        </w:rPr>
      </w:pPr>
      <w:r>
        <w:rPr>
          <w:rFonts w:ascii="Arial" w:hAnsi="Arial" w:cs="Arial"/>
          <w:position w:val="-10"/>
          <w:sz w:val="24"/>
          <w:szCs w:val="24"/>
        </w:rPr>
        <w:t xml:space="preserve">                           </w:t>
      </w:r>
      <w:r w:rsidRPr="0021647A">
        <w:rPr>
          <w:rFonts w:ascii="Arial" w:hAnsi="Arial" w:cs="Arial"/>
          <w:position w:val="-10"/>
        </w:rPr>
        <w:object w:dxaOrig="1920" w:dyaOrig="320">
          <v:shape id="_x0000_i1407" type="#_x0000_t75" style="width:93.6pt;height:14.4pt" o:ole="">
            <v:imagedata r:id="rId936" o:title=""/>
          </v:shape>
          <o:OLEObject Type="Embed" ProgID="Equation.3" ShapeID="_x0000_i1407" DrawAspect="Content" ObjectID="_1660649504" r:id="rId937"/>
        </w:object>
      </w:r>
      <w:r>
        <w:rPr>
          <w:rFonts w:ascii="Arial" w:hAnsi="Arial" w:cs="Arial"/>
          <w:sz w:val="24"/>
          <w:szCs w:val="24"/>
        </w:rPr>
        <w:t xml:space="preserve">   ,         </w:t>
      </w:r>
      <w:r w:rsidRPr="00F42668">
        <w:rPr>
          <w:rFonts w:ascii="Arial" w:hAnsi="Arial" w:cs="Arial"/>
          <w:b/>
          <w:position w:val="-10"/>
          <w:sz w:val="24"/>
        </w:rPr>
        <w:object w:dxaOrig="960" w:dyaOrig="320">
          <v:shape id="_x0000_i1408" type="#_x0000_t75" style="width:50.4pt;height:14.4pt" o:ole="">
            <v:imagedata r:id="rId938" o:title=""/>
          </v:shape>
          <o:OLEObject Type="Embed" ProgID="Equation.3" ShapeID="_x0000_i1408" DrawAspect="Content" ObjectID="_1660649505" r:id="rId939"/>
        </w:object>
      </w:r>
      <w:r>
        <w:rPr>
          <w:rFonts w:ascii="Arial" w:hAnsi="Arial" w:cs="Arial"/>
          <w:sz w:val="24"/>
          <w:szCs w:val="24"/>
        </w:rPr>
        <w:t xml:space="preserve">   ,                               </w:t>
      </w:r>
      <w:r w:rsidRPr="007B1A51">
        <w:rPr>
          <w:rFonts w:ascii="Arial" w:hAnsi="Arial" w:cs="Arial"/>
          <w:sz w:val="24"/>
          <w:szCs w:val="24"/>
        </w:rPr>
        <w:t>(</w:t>
      </w:r>
      <w:r>
        <w:rPr>
          <w:rFonts w:ascii="Arial" w:hAnsi="Arial" w:cs="Arial"/>
          <w:sz w:val="24"/>
          <w:szCs w:val="24"/>
        </w:rPr>
        <w:t>62</w:t>
      </w:r>
      <w:r w:rsidRPr="007B1A51">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r>
        <w:rPr>
          <w:rFonts w:ascii="Arial" w:eastAsia="MS Mincho" w:hAnsi="Arial" w:cs="Arial"/>
          <w:spacing w:val="-1"/>
          <w:lang w:val="en-GB" w:eastAsia="sk-SK"/>
        </w:rPr>
        <w:t xml:space="preserve">                                            </w:t>
      </w:r>
    </w:p>
    <w:p w:rsidR="00575A88" w:rsidRPr="001C1DE7" w:rsidRDefault="00575A88" w:rsidP="00575A88">
      <w:pPr>
        <w:pStyle w:val="equation"/>
        <w:spacing w:before="0" w:after="0" w:line="240" w:lineRule="auto"/>
        <w:jc w:val="right"/>
        <w:rPr>
          <w:rFonts w:ascii="Arial" w:hAnsi="Arial" w:cs="Arial"/>
          <w:b/>
          <w:sz w:val="24"/>
        </w:rPr>
      </w:pPr>
      <w:r>
        <w:rPr>
          <w:rFonts w:ascii="Arial" w:hAnsi="Arial" w:cs="Arial"/>
          <w:position w:val="-10"/>
          <w:sz w:val="24"/>
          <w:szCs w:val="24"/>
        </w:rPr>
        <w:t xml:space="preserve">                           </w:t>
      </w:r>
      <w:r w:rsidRPr="0021647A">
        <w:rPr>
          <w:rFonts w:ascii="Arial" w:hAnsi="Arial" w:cs="Arial"/>
          <w:position w:val="-10"/>
        </w:rPr>
        <w:object w:dxaOrig="2920" w:dyaOrig="320">
          <v:shape id="_x0000_i1409" type="#_x0000_t75" style="width:2in;height:14.4pt" o:ole="">
            <v:imagedata r:id="rId861" o:title=""/>
          </v:shape>
          <o:OLEObject Type="Embed" ProgID="Equation.3" ShapeID="_x0000_i1409" DrawAspect="Content" ObjectID="_1660649506" r:id="rId940"/>
        </w:object>
      </w:r>
      <w:r>
        <w:rPr>
          <w:rFonts w:ascii="Arial" w:hAnsi="Arial" w:cs="Arial"/>
          <w:sz w:val="24"/>
          <w:szCs w:val="24"/>
        </w:rPr>
        <w:t xml:space="preserve">   ,         </w:t>
      </w:r>
      <w:r w:rsidRPr="00F42668">
        <w:rPr>
          <w:rFonts w:ascii="Arial" w:hAnsi="Arial" w:cs="Arial"/>
          <w:b/>
          <w:position w:val="-10"/>
          <w:sz w:val="24"/>
        </w:rPr>
        <w:object w:dxaOrig="1020" w:dyaOrig="300">
          <v:shape id="_x0000_i1410" type="#_x0000_t75" style="width:50.4pt;height:14.4pt" o:ole="">
            <v:imagedata r:id="rId934" o:title=""/>
          </v:shape>
          <o:OLEObject Type="Embed" ProgID="Equation.3" ShapeID="_x0000_i1410" DrawAspect="Content" ObjectID="_1660649507" r:id="rId941"/>
        </w:object>
      </w:r>
      <w:r>
        <w:rPr>
          <w:rFonts w:ascii="Arial" w:hAnsi="Arial" w:cs="Arial"/>
          <w:sz w:val="24"/>
          <w:szCs w:val="24"/>
        </w:rPr>
        <w:t xml:space="preserve">   ,                          </w:t>
      </w:r>
      <w:r w:rsidRPr="007B1A51">
        <w:rPr>
          <w:rFonts w:ascii="Arial" w:hAnsi="Arial" w:cs="Arial"/>
          <w:sz w:val="24"/>
          <w:szCs w:val="24"/>
        </w:rPr>
        <w:t>(</w:t>
      </w:r>
      <w:r>
        <w:rPr>
          <w:rFonts w:ascii="Arial" w:hAnsi="Arial" w:cs="Arial"/>
          <w:sz w:val="24"/>
          <w:szCs w:val="24"/>
        </w:rPr>
        <w:t>63</w:t>
      </w:r>
      <w:r w:rsidRPr="007B1A51">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pStyle w:val="equation"/>
        <w:spacing w:before="0" w:after="0" w:line="240" w:lineRule="auto"/>
        <w:jc w:val="right"/>
        <w:rPr>
          <w:rFonts w:ascii="Arial" w:hAnsi="Arial" w:cs="Arial"/>
          <w:sz w:val="24"/>
          <w:szCs w:val="24"/>
        </w:rPr>
      </w:pPr>
      <w:r>
        <w:rPr>
          <w:rFonts w:ascii="Arial" w:hAnsi="Arial" w:cs="Arial"/>
          <w:position w:val="-10"/>
          <w:sz w:val="24"/>
          <w:szCs w:val="24"/>
        </w:rPr>
        <w:lastRenderedPageBreak/>
        <w:t xml:space="preserve">                   </w:t>
      </w:r>
      <w:r w:rsidRPr="0021647A">
        <w:rPr>
          <w:rFonts w:ascii="Arial" w:hAnsi="Arial" w:cs="Arial"/>
          <w:position w:val="-10"/>
        </w:rPr>
        <w:object w:dxaOrig="4640" w:dyaOrig="340">
          <v:shape id="_x0000_i1411" type="#_x0000_t75" style="width:230.4pt;height:14.4pt" o:ole="">
            <v:imagedata r:id="rId942" o:title=""/>
          </v:shape>
          <o:OLEObject Type="Embed" ProgID="Equation.3" ShapeID="_x0000_i1411" DrawAspect="Content" ObjectID="_1660649508" r:id="rId943"/>
        </w:object>
      </w:r>
      <w:r>
        <w:rPr>
          <w:rFonts w:ascii="Arial" w:hAnsi="Arial" w:cs="Arial"/>
          <w:sz w:val="24"/>
          <w:szCs w:val="24"/>
        </w:rPr>
        <w:t xml:space="preserve">   ,         </w:t>
      </w:r>
      <w:r w:rsidRPr="00F42668">
        <w:rPr>
          <w:rFonts w:ascii="Arial" w:hAnsi="Arial" w:cs="Arial"/>
          <w:b/>
          <w:position w:val="-10"/>
          <w:sz w:val="24"/>
        </w:rPr>
        <w:object w:dxaOrig="980" w:dyaOrig="320">
          <v:shape id="_x0000_i1412" type="#_x0000_t75" style="width:50.4pt;height:14.4pt" o:ole="">
            <v:imagedata r:id="rId944" o:title=""/>
          </v:shape>
          <o:OLEObject Type="Embed" ProgID="Equation.3" ShapeID="_x0000_i1412" DrawAspect="Content" ObjectID="_1660649509" r:id="rId945"/>
        </w:object>
      </w:r>
      <w:r>
        <w:rPr>
          <w:rFonts w:ascii="Arial" w:hAnsi="Arial" w:cs="Arial"/>
          <w:sz w:val="24"/>
          <w:szCs w:val="24"/>
        </w:rPr>
        <w:t xml:space="preserve">   ,              </w:t>
      </w:r>
      <w:r w:rsidRPr="007B1A51">
        <w:rPr>
          <w:rFonts w:ascii="Arial" w:hAnsi="Arial" w:cs="Arial"/>
          <w:sz w:val="24"/>
          <w:szCs w:val="24"/>
        </w:rPr>
        <w:t>(</w:t>
      </w:r>
      <w:r>
        <w:rPr>
          <w:rFonts w:ascii="Arial" w:hAnsi="Arial" w:cs="Arial"/>
          <w:sz w:val="24"/>
          <w:szCs w:val="24"/>
        </w:rPr>
        <w:t>64</w:t>
      </w:r>
      <w:r w:rsidRPr="007B1A51">
        <w:rPr>
          <w:rFonts w:ascii="Arial" w:hAnsi="Arial" w:cs="Arial"/>
          <w:sz w:val="24"/>
          <w:szCs w:val="24"/>
        </w:rPr>
        <w:t>)</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Pr="00CF5998" w:rsidRDefault="00575A88" w:rsidP="00575A88">
      <w:pPr>
        <w:pStyle w:val="Textoindependiente"/>
        <w:jc w:val="right"/>
        <w:rPr>
          <w:rFonts w:ascii="Arial" w:hAnsi="Arial" w:cs="Arial"/>
          <w:b w:val="0"/>
          <w:sz w:val="24"/>
          <w:lang w:val="en-US"/>
        </w:rPr>
      </w:pPr>
      <w:r w:rsidRPr="00CF5998">
        <w:rPr>
          <w:rFonts w:ascii="Arial" w:hAnsi="Arial" w:cs="Arial"/>
          <w:b w:val="0"/>
          <w:position w:val="-10"/>
          <w:sz w:val="24"/>
          <w:lang w:val="en-US"/>
        </w:rPr>
        <w:t xml:space="preserve">                                    </w:t>
      </w:r>
      <w:r w:rsidRPr="009A216B">
        <w:rPr>
          <w:rFonts w:ascii="Arial" w:hAnsi="Arial" w:cs="Arial"/>
          <w:b w:val="0"/>
          <w:position w:val="-10"/>
          <w:sz w:val="24"/>
        </w:rPr>
        <w:object w:dxaOrig="999" w:dyaOrig="320">
          <v:shape id="_x0000_i1413" type="#_x0000_t75" style="width:50.4pt;height:14.4pt" o:ole="">
            <v:imagedata r:id="rId946" o:title=""/>
          </v:shape>
          <o:OLEObject Type="Embed" ProgID="Equation.3" ShapeID="_x0000_i1413" DrawAspect="Content" ObjectID="_1660649510" r:id="rId947"/>
        </w:object>
      </w:r>
      <w:r w:rsidRPr="009A216B">
        <w:rPr>
          <w:rFonts w:ascii="Arial" w:hAnsi="Arial" w:cs="Arial"/>
          <w:b w:val="0"/>
          <w:sz w:val="24"/>
          <w:lang w:val="en-US"/>
        </w:rPr>
        <w:t xml:space="preserve">   </w:t>
      </w:r>
      <w:r>
        <w:rPr>
          <w:rFonts w:ascii="Arial" w:hAnsi="Arial" w:cs="Arial"/>
          <w:b w:val="0"/>
          <w:sz w:val="24"/>
          <w:lang w:val="en-US"/>
        </w:rPr>
        <w:t xml:space="preserve">                                        </w:t>
      </w:r>
      <w:r w:rsidRPr="00CF5998">
        <w:rPr>
          <w:rFonts w:ascii="Arial" w:hAnsi="Arial" w:cs="Arial"/>
          <w:b w:val="0"/>
          <w:sz w:val="24"/>
          <w:lang w:val="en-US"/>
        </w:rPr>
        <w:t xml:space="preserve">    </w:t>
      </w:r>
      <w:r>
        <w:rPr>
          <w:rFonts w:ascii="Arial" w:hAnsi="Arial" w:cs="Arial"/>
          <w:b w:val="0"/>
          <w:sz w:val="24"/>
          <w:lang w:val="en-US"/>
        </w:rPr>
        <w:t xml:space="preserve">            </w:t>
      </w:r>
      <w:r w:rsidRPr="009A216B">
        <w:rPr>
          <w:rFonts w:ascii="Arial" w:hAnsi="Arial" w:cs="Arial"/>
          <w:b w:val="0"/>
          <w:sz w:val="24"/>
          <w:lang w:val="en-US"/>
        </w:rPr>
        <w:t xml:space="preserve"> </w:t>
      </w:r>
      <w:r>
        <w:rPr>
          <w:rFonts w:ascii="Arial" w:hAnsi="Arial" w:cs="Arial"/>
          <w:b w:val="0"/>
          <w:sz w:val="24"/>
          <w:lang w:val="en-US"/>
        </w:rPr>
        <w:t>(65</w:t>
      </w:r>
      <w:r w:rsidRPr="009A216B">
        <w:rPr>
          <w:rFonts w:ascii="Arial" w:hAnsi="Arial" w:cs="Arial"/>
          <w:b w:val="0"/>
          <w:sz w:val="24"/>
          <w:lang w:val="en-US"/>
        </w:rPr>
        <w:t xml:space="preserve">) </w:t>
      </w:r>
    </w:p>
    <w:p w:rsidR="00575A88" w:rsidRDefault="00575A88" w:rsidP="00575A88">
      <w:pPr>
        <w:tabs>
          <w:tab w:val="left" w:pos="288"/>
        </w:tabs>
        <w:spacing w:line="160" w:lineRule="exact"/>
        <w:jc w:val="both"/>
        <w:rPr>
          <w:rFonts w:ascii="Arial" w:eastAsia="MS Mincho" w:hAnsi="Arial" w:cs="Arial"/>
          <w:spacing w:val="-1"/>
          <w:lang w:val="en-US" w:eastAsia="sk-SK"/>
        </w:rPr>
      </w:pPr>
    </w:p>
    <w:p w:rsidR="00575A88" w:rsidRDefault="00575A88" w:rsidP="00575A88">
      <w:pPr>
        <w:tabs>
          <w:tab w:val="left" w:pos="288"/>
        </w:tabs>
        <w:jc w:val="both"/>
        <w:rPr>
          <w:rFonts w:ascii="Arial" w:eastAsia="MS Mincho" w:hAnsi="Arial" w:cs="Arial"/>
          <w:spacing w:val="-1"/>
          <w:lang w:val="en-GB" w:eastAsia="sk-SK"/>
        </w:rPr>
      </w:pPr>
      <w:r w:rsidRPr="00E7093F">
        <w:rPr>
          <w:rFonts w:ascii="Arial" w:eastAsia="MS Mincho" w:hAnsi="Arial" w:cs="Arial"/>
          <w:spacing w:val="-1"/>
          <w:lang w:val="en-US" w:eastAsia="sk-SK"/>
        </w:rPr>
        <w:t>as it</w:t>
      </w:r>
      <w:r>
        <w:rPr>
          <w:rFonts w:ascii="Arial" w:eastAsia="MS Mincho" w:hAnsi="Arial" w:cs="Arial"/>
          <w:spacing w:val="-1"/>
          <w:lang w:val="en-US" w:eastAsia="sk-SK"/>
        </w:rPr>
        <w:t xml:space="preserve"> is obvious from the Table 8</w:t>
      </w:r>
      <w:r w:rsidRPr="00E7093F">
        <w:rPr>
          <w:rFonts w:ascii="Arial" w:eastAsia="MS Mincho" w:hAnsi="Arial" w:cs="Arial"/>
          <w:spacing w:val="-1"/>
          <w:lang w:val="en-US" w:eastAsia="sk-SK"/>
        </w:rPr>
        <w:t xml:space="preserve"> the accuracy of computation is not so good as in the </w:t>
      </w:r>
      <w:r>
        <w:rPr>
          <w:rFonts w:ascii="Arial" w:eastAsia="MS Mincho" w:hAnsi="Arial" w:cs="Arial"/>
          <w:spacing w:val="-1"/>
          <w:lang w:val="en-US" w:eastAsia="sk-SK"/>
        </w:rPr>
        <w:t>first</w:t>
      </w:r>
      <w:r w:rsidRPr="00E7093F">
        <w:rPr>
          <w:rFonts w:ascii="Arial" w:eastAsia="MS Mincho" w:hAnsi="Arial" w:cs="Arial"/>
          <w:spacing w:val="-1"/>
          <w:lang w:val="en-US" w:eastAsia="sk-SK"/>
        </w:rPr>
        <w:t xml:space="preserve"> case. This fact is </w:t>
      </w:r>
      <w:r>
        <w:rPr>
          <w:rFonts w:ascii="Arial" w:eastAsia="MS Mincho" w:hAnsi="Arial" w:cs="Arial"/>
          <w:spacing w:val="-1"/>
          <w:lang w:val="en-US" w:eastAsia="sk-SK"/>
        </w:rPr>
        <w:t xml:space="preserve">also now </w:t>
      </w:r>
      <w:r w:rsidRPr="00E7093F">
        <w:rPr>
          <w:rFonts w:ascii="Arial" w:eastAsia="MS Mincho" w:hAnsi="Arial" w:cs="Arial"/>
          <w:spacing w:val="-1"/>
          <w:lang w:val="en-US" w:eastAsia="sk-SK"/>
        </w:rPr>
        <w:t>caused by the discretization error, which is in this case greater than in the previous case.</w:t>
      </w:r>
      <w:r w:rsidRPr="00E7093F">
        <w:rPr>
          <w:rFonts w:ascii="Arial" w:eastAsia="MS Mincho" w:hAnsi="Arial" w:cs="Arial"/>
          <w:spacing w:val="-1"/>
          <w:lang w:val="en-GB" w:eastAsia="sk-SK"/>
        </w:rPr>
        <w:t xml:space="preserve"> From Table </w:t>
      </w:r>
      <w:r>
        <w:rPr>
          <w:rFonts w:ascii="Arial" w:eastAsia="MS Mincho" w:hAnsi="Arial" w:cs="Arial"/>
          <w:spacing w:val="-1"/>
          <w:lang w:val="en-GB" w:eastAsia="sk-SK"/>
        </w:rPr>
        <w:t>8</w:t>
      </w:r>
      <w:r w:rsidRPr="00E7093F">
        <w:rPr>
          <w:rFonts w:ascii="Arial" w:eastAsia="MS Mincho" w:hAnsi="Arial" w:cs="Arial"/>
          <w:spacing w:val="-1"/>
          <w:lang w:val="en-GB" w:eastAsia="sk-SK"/>
        </w:rPr>
        <w:t xml:space="preserve"> it is seen that when the number of grid points increases, errors decrease.</w:t>
      </w:r>
    </w:p>
    <w:p w:rsidR="00575A88" w:rsidRDefault="00575A88" w:rsidP="00575A88">
      <w:pPr>
        <w:pStyle w:val="Textoindependiente"/>
        <w:jc w:val="both"/>
        <w:rPr>
          <w:rFonts w:ascii="Arial" w:hAnsi="Arial" w:cs="Arial"/>
          <w:b w:val="0"/>
          <w:sz w:val="24"/>
          <w:lang w:val="en-GB"/>
        </w:rPr>
      </w:pPr>
    </w:p>
    <w:p w:rsidR="00575A88" w:rsidRPr="007B73B9" w:rsidRDefault="00575A88" w:rsidP="00575A88">
      <w:pPr>
        <w:numPr>
          <w:ilvl w:val="0"/>
          <w:numId w:val="1"/>
        </w:numPr>
        <w:tabs>
          <w:tab w:val="clear" w:pos="432"/>
          <w:tab w:val="num" w:pos="0"/>
        </w:tabs>
        <w:suppressAutoHyphens/>
        <w:spacing w:after="0" w:line="360" w:lineRule="auto"/>
        <w:ind w:left="0" w:firstLine="0"/>
        <w:jc w:val="center"/>
        <w:rPr>
          <w:rFonts w:ascii="Arial" w:eastAsia="Times New Roman" w:hAnsi="Arial" w:cs="Arial"/>
          <w:bCs/>
          <w:i/>
          <w:noProof/>
          <w:sz w:val="20"/>
          <w:szCs w:val="20"/>
          <w:lang w:val="en-US" w:eastAsia="en-GB"/>
        </w:rPr>
      </w:pPr>
      <w:r>
        <w:rPr>
          <w:rFonts w:ascii="Arial" w:eastAsia="Times New Roman" w:hAnsi="Arial" w:cs="Arial"/>
          <w:bCs/>
          <w:i/>
          <w:noProof/>
          <w:sz w:val="20"/>
          <w:szCs w:val="20"/>
          <w:lang w:val="en-US" w:eastAsia="en-GB"/>
        </w:rPr>
        <w:t>Tabla 8</w:t>
      </w:r>
      <w:r w:rsidRPr="007B73B9">
        <w:rPr>
          <w:rFonts w:ascii="Arial" w:eastAsia="Times New Roman" w:hAnsi="Arial" w:cs="Arial"/>
          <w:bCs/>
          <w:i/>
          <w:noProof/>
          <w:sz w:val="20"/>
          <w:szCs w:val="20"/>
          <w:lang w:val="en-US" w:eastAsia="en-GB"/>
        </w:rPr>
        <w:t>. Nume</w:t>
      </w:r>
      <w:r>
        <w:rPr>
          <w:rFonts w:ascii="Arial" w:eastAsia="Times New Roman" w:hAnsi="Arial" w:cs="Arial"/>
          <w:bCs/>
          <w:i/>
          <w:noProof/>
          <w:sz w:val="20"/>
          <w:szCs w:val="20"/>
          <w:lang w:val="en-US" w:eastAsia="en-GB"/>
        </w:rPr>
        <w:t>rical results for the problem (56</w:t>
      </w:r>
      <w:r w:rsidRPr="007B73B9">
        <w:rPr>
          <w:rFonts w:ascii="Arial" w:eastAsia="Times New Roman" w:hAnsi="Arial" w:cs="Arial"/>
          <w:bCs/>
          <w:i/>
          <w:noProof/>
          <w:sz w:val="20"/>
          <w:szCs w:val="20"/>
          <w:lang w:val="en-US" w:eastAsia="en-GB"/>
        </w:rPr>
        <w:t xml:space="preserve">) </w:t>
      </w:r>
      <w:r>
        <w:rPr>
          <w:rFonts w:ascii="Arial" w:eastAsia="Times New Roman" w:hAnsi="Arial" w:cs="Arial"/>
          <w:bCs/>
          <w:i/>
          <w:noProof/>
          <w:sz w:val="20"/>
          <w:szCs w:val="20"/>
          <w:lang w:val="en-US" w:eastAsia="en-GB"/>
        </w:rPr>
        <w:t xml:space="preserve">- </w:t>
      </w:r>
      <w:r w:rsidRPr="007B73B9">
        <w:rPr>
          <w:rFonts w:ascii="Arial" w:eastAsia="Times New Roman" w:hAnsi="Arial" w:cs="Arial"/>
          <w:bCs/>
          <w:i/>
          <w:noProof/>
          <w:sz w:val="20"/>
          <w:szCs w:val="20"/>
          <w:lang w:val="en-US" w:eastAsia="en-GB"/>
        </w:rPr>
        <w:t>(</w:t>
      </w:r>
      <w:r>
        <w:rPr>
          <w:rFonts w:ascii="Arial" w:eastAsia="Times New Roman" w:hAnsi="Arial" w:cs="Arial"/>
          <w:bCs/>
          <w:i/>
          <w:noProof/>
          <w:sz w:val="20"/>
          <w:szCs w:val="20"/>
          <w:lang w:val="en-US" w:eastAsia="en-GB"/>
        </w:rPr>
        <w:t>65</w:t>
      </w:r>
      <w:r w:rsidRPr="007B73B9">
        <w:rPr>
          <w:rFonts w:ascii="Arial" w:eastAsia="Times New Roman" w:hAnsi="Arial" w:cs="Arial"/>
          <w:bCs/>
          <w:i/>
          <w:noProof/>
          <w:sz w:val="20"/>
          <w:szCs w:val="20"/>
          <w:lang w:val="en-US" w:eastAsia="en-GB"/>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9"/>
        <w:gridCol w:w="1560"/>
        <w:gridCol w:w="1855"/>
      </w:tblGrid>
      <w:tr w:rsidR="00575A88" w:rsidRPr="00006C68" w:rsidTr="007F2707">
        <w:trPr>
          <w:jc w:val="center"/>
        </w:trPr>
        <w:tc>
          <w:tcPr>
            <w:tcW w:w="1559"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Pr>
                <w:rFonts w:ascii="Arial" w:eastAsia="Times New Roman" w:hAnsi="Arial"/>
                <w:b/>
                <w:sz w:val="20"/>
                <w:szCs w:val="20"/>
                <w:lang w:eastAsia="es-ES"/>
              </w:rPr>
              <w:t>Mesh</w:t>
            </w:r>
          </w:p>
        </w:tc>
        <w:tc>
          <w:tcPr>
            <w:tcW w:w="1560"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sidRPr="004B4336">
              <w:rPr>
                <w:rFonts w:ascii="Arial" w:eastAsia="Times New Roman" w:hAnsi="Arial"/>
                <w:b/>
                <w:sz w:val="20"/>
                <w:szCs w:val="20"/>
                <w:lang w:eastAsia="es-ES"/>
              </w:rPr>
              <w:t xml:space="preserve">Percent error (%) </w:t>
            </w:r>
          </w:p>
        </w:tc>
        <w:tc>
          <w:tcPr>
            <w:tcW w:w="1855" w:type="dxa"/>
            <w:tcBorders>
              <w:bottom w:val="nil"/>
            </w:tcBorders>
            <w:vAlign w:val="center"/>
          </w:tcPr>
          <w:p w:rsidR="00575A88" w:rsidRPr="00006C68" w:rsidRDefault="00575A88" w:rsidP="007F2707">
            <w:pPr>
              <w:keepLines/>
              <w:spacing w:before="60" w:after="60"/>
              <w:jc w:val="center"/>
              <w:rPr>
                <w:rFonts w:ascii="Arial" w:eastAsia="Times New Roman" w:hAnsi="Arial"/>
                <w:b/>
                <w:sz w:val="20"/>
                <w:szCs w:val="20"/>
                <w:lang w:eastAsia="es-ES"/>
              </w:rPr>
            </w:pPr>
            <w:r w:rsidRPr="004B4336">
              <w:rPr>
                <w:rFonts w:ascii="Arial" w:eastAsia="Times New Roman" w:hAnsi="Arial"/>
                <w:b/>
                <w:sz w:val="20"/>
                <w:szCs w:val="20"/>
                <w:lang w:eastAsia="es-ES"/>
              </w:rPr>
              <w:t>Number of iterations</w:t>
            </w:r>
          </w:p>
        </w:tc>
      </w:tr>
      <w:tr w:rsidR="00575A88" w:rsidRPr="004B4336" w:rsidTr="007F2707">
        <w:trPr>
          <w:jc w:val="center"/>
        </w:trPr>
        <w:tc>
          <w:tcPr>
            <w:tcW w:w="1559" w:type="dxa"/>
            <w:tcBorders>
              <w:bottom w:val="nil"/>
            </w:tcBorders>
            <w:vAlign w:val="center"/>
          </w:tcPr>
          <w:p w:rsidR="00575A88" w:rsidRPr="00006C68" w:rsidRDefault="00575A88" w:rsidP="007F2707">
            <w:pPr>
              <w:keepLines/>
              <w:spacing w:before="60"/>
              <w:jc w:val="center"/>
              <w:rPr>
                <w:rFonts w:ascii="Arial" w:eastAsia="Times New Roman" w:hAnsi="Arial"/>
                <w:sz w:val="20"/>
                <w:szCs w:val="20"/>
                <w:lang w:eastAsia="es-ES"/>
              </w:rPr>
            </w:pPr>
            <w:r>
              <w:rPr>
                <w:rFonts w:ascii="Arial" w:eastAsia="Times New Roman" w:hAnsi="Arial"/>
                <w:sz w:val="20"/>
                <w:szCs w:val="20"/>
                <w:lang w:eastAsia="es-ES"/>
              </w:rPr>
              <w:t>4   x   8</w:t>
            </w:r>
          </w:p>
        </w:tc>
        <w:tc>
          <w:tcPr>
            <w:tcW w:w="1560"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1</w:t>
            </w:r>
            <w:r w:rsidRPr="004B4336">
              <w:rPr>
                <w:rFonts w:ascii="Arial" w:eastAsia="Times New Roman" w:hAnsi="Arial"/>
                <w:sz w:val="20"/>
                <w:szCs w:val="20"/>
                <w:lang w:val="en-US" w:eastAsia="es-ES"/>
              </w:rPr>
              <w:t>.</w:t>
            </w:r>
            <w:r>
              <w:rPr>
                <w:rFonts w:ascii="Arial" w:eastAsia="Times New Roman" w:hAnsi="Arial"/>
                <w:sz w:val="20"/>
                <w:szCs w:val="20"/>
                <w:lang w:val="en-US" w:eastAsia="es-ES"/>
              </w:rPr>
              <w:t>09</w:t>
            </w:r>
          </w:p>
        </w:tc>
        <w:tc>
          <w:tcPr>
            <w:tcW w:w="1855"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115</w:t>
            </w:r>
          </w:p>
        </w:tc>
      </w:tr>
      <w:tr w:rsidR="00575A88" w:rsidRPr="004B4336" w:rsidTr="007F2707">
        <w:trPr>
          <w:jc w:val="center"/>
        </w:trPr>
        <w:tc>
          <w:tcPr>
            <w:tcW w:w="1559" w:type="dxa"/>
            <w:tcBorders>
              <w:top w:val="nil"/>
              <w:bottom w:val="nil"/>
            </w:tcBorders>
            <w:vAlign w:val="center"/>
          </w:tcPr>
          <w:p w:rsidR="00575A88" w:rsidRPr="00006C68" w:rsidRDefault="00575A88" w:rsidP="007F2707">
            <w:pPr>
              <w:keepLines/>
              <w:spacing w:before="60"/>
              <w:jc w:val="center"/>
              <w:rPr>
                <w:rFonts w:ascii="Arial" w:eastAsia="Times New Roman" w:hAnsi="Arial"/>
                <w:sz w:val="20"/>
                <w:szCs w:val="20"/>
                <w:lang w:eastAsia="es-ES"/>
              </w:rPr>
            </w:pPr>
            <w:r>
              <w:rPr>
                <w:rFonts w:ascii="Arial" w:eastAsia="Times New Roman" w:hAnsi="Arial"/>
                <w:sz w:val="20"/>
                <w:szCs w:val="20"/>
                <w:lang w:eastAsia="es-ES"/>
              </w:rPr>
              <w:t xml:space="preserve"> 8   x  16</w:t>
            </w:r>
          </w:p>
        </w:tc>
        <w:tc>
          <w:tcPr>
            <w:tcW w:w="1560"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0</w:t>
            </w:r>
            <w:r w:rsidRPr="004B4336">
              <w:rPr>
                <w:rFonts w:ascii="Arial" w:eastAsia="Times New Roman" w:hAnsi="Arial"/>
                <w:sz w:val="20"/>
                <w:szCs w:val="20"/>
                <w:lang w:val="en-US" w:eastAsia="es-ES"/>
              </w:rPr>
              <w:t>.</w:t>
            </w:r>
            <w:r>
              <w:rPr>
                <w:rFonts w:ascii="Arial" w:eastAsia="Times New Roman" w:hAnsi="Arial"/>
                <w:sz w:val="20"/>
                <w:szCs w:val="20"/>
                <w:lang w:val="en-US" w:eastAsia="es-ES"/>
              </w:rPr>
              <w:t>66</w:t>
            </w:r>
          </w:p>
        </w:tc>
        <w:tc>
          <w:tcPr>
            <w:tcW w:w="1855"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488</w:t>
            </w:r>
          </w:p>
        </w:tc>
      </w:tr>
      <w:tr w:rsidR="00575A88" w:rsidRPr="004B4336" w:rsidTr="007F2707">
        <w:trPr>
          <w:jc w:val="center"/>
        </w:trPr>
        <w:tc>
          <w:tcPr>
            <w:tcW w:w="1559" w:type="dxa"/>
            <w:tcBorders>
              <w:top w:val="nil"/>
            </w:tcBorders>
            <w:vAlign w:val="center"/>
          </w:tcPr>
          <w:p w:rsidR="00575A88" w:rsidRPr="00301351" w:rsidRDefault="00575A88" w:rsidP="007F2707">
            <w:pPr>
              <w:keepLines/>
              <w:spacing w:before="60"/>
              <w:jc w:val="center"/>
              <w:rPr>
                <w:rFonts w:ascii="Arial" w:eastAsia="Times New Roman" w:hAnsi="Arial"/>
                <w:sz w:val="20"/>
                <w:szCs w:val="20"/>
                <w:lang w:val="en-US" w:eastAsia="es-ES"/>
              </w:rPr>
            </w:pPr>
            <w:r w:rsidRPr="00301351">
              <w:rPr>
                <w:rFonts w:ascii="Arial" w:eastAsia="Times New Roman" w:hAnsi="Arial"/>
                <w:sz w:val="20"/>
                <w:szCs w:val="20"/>
                <w:lang w:val="en-US" w:eastAsia="es-ES"/>
              </w:rPr>
              <w:t>16   x   32</w:t>
            </w:r>
          </w:p>
        </w:tc>
        <w:tc>
          <w:tcPr>
            <w:tcW w:w="1560"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0</w:t>
            </w:r>
            <w:r w:rsidRPr="004B4336">
              <w:rPr>
                <w:rFonts w:ascii="Arial" w:eastAsia="Times New Roman" w:hAnsi="Arial"/>
                <w:sz w:val="20"/>
                <w:szCs w:val="20"/>
                <w:lang w:val="en-US" w:eastAsia="es-ES"/>
              </w:rPr>
              <w:t>.</w:t>
            </w:r>
            <w:r>
              <w:rPr>
                <w:rFonts w:ascii="Arial" w:eastAsia="Times New Roman" w:hAnsi="Arial"/>
                <w:sz w:val="20"/>
                <w:szCs w:val="20"/>
                <w:lang w:val="en-US" w:eastAsia="es-ES"/>
              </w:rPr>
              <w:t xml:space="preserve">38 </w:t>
            </w:r>
          </w:p>
        </w:tc>
        <w:tc>
          <w:tcPr>
            <w:tcW w:w="1855"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1567</w:t>
            </w:r>
          </w:p>
        </w:tc>
      </w:tr>
    </w:tbl>
    <w:p w:rsidR="00575A88" w:rsidRDefault="00575A88" w:rsidP="00575A88">
      <w:pPr>
        <w:tabs>
          <w:tab w:val="left" w:pos="288"/>
        </w:tabs>
        <w:jc w:val="both"/>
        <w:rPr>
          <w:rFonts w:ascii="Arial" w:eastAsia="MS Mincho" w:hAnsi="Arial" w:cs="Arial"/>
          <w:spacing w:val="-1"/>
          <w:lang w:val="en-US" w:eastAsia="sk-SK"/>
        </w:rPr>
      </w:pPr>
    </w:p>
    <w:p w:rsidR="00575A88" w:rsidRDefault="00575A88" w:rsidP="00575A88">
      <w:pPr>
        <w:tabs>
          <w:tab w:val="left" w:pos="288"/>
        </w:tabs>
        <w:ind w:firstLine="567"/>
        <w:jc w:val="both"/>
        <w:rPr>
          <w:rFonts w:ascii="Arial" w:eastAsia="MS Mincho" w:hAnsi="Arial" w:cs="Arial"/>
          <w:spacing w:val="-1"/>
          <w:lang w:val="en-US" w:eastAsia="sk-SK"/>
        </w:rPr>
      </w:pPr>
      <w:r>
        <w:rPr>
          <w:rFonts w:ascii="Arial" w:eastAsia="MS Mincho" w:hAnsi="Arial" w:cs="Arial"/>
          <w:spacing w:val="-1"/>
          <w:lang w:val="en-US" w:eastAsia="sk-SK"/>
        </w:rPr>
        <w:t>Also now o</w:t>
      </w:r>
      <w:r w:rsidRPr="00E7093F">
        <w:rPr>
          <w:rFonts w:ascii="Arial" w:eastAsia="MS Mincho" w:hAnsi="Arial" w:cs="Arial"/>
          <w:spacing w:val="-1"/>
          <w:lang w:val="en-US" w:eastAsia="sk-SK"/>
        </w:rPr>
        <w:t>ne way how to obtain better results in this case is to make com</w:t>
      </w:r>
      <w:r>
        <w:rPr>
          <w:rFonts w:ascii="Arial" w:eastAsia="MS Mincho" w:hAnsi="Arial" w:cs="Arial"/>
          <w:spacing w:val="-1"/>
          <w:lang w:val="en-US" w:eastAsia="sk-SK"/>
        </w:rPr>
        <w:t xml:space="preserve">putations for more grid points.  </w:t>
      </w:r>
      <w:r w:rsidRPr="00E7093F">
        <w:rPr>
          <w:rFonts w:ascii="Arial" w:eastAsia="MS Mincho" w:hAnsi="Arial" w:cs="Arial"/>
          <w:spacing w:val="-1"/>
          <w:lang w:val="en-US" w:eastAsia="sk-SK"/>
        </w:rPr>
        <w:t>Obtained re</w:t>
      </w:r>
      <w:r>
        <w:rPr>
          <w:rFonts w:ascii="Arial" w:eastAsia="MS Mincho" w:hAnsi="Arial" w:cs="Arial"/>
          <w:spacing w:val="-1"/>
          <w:lang w:val="en-US" w:eastAsia="sk-SK"/>
        </w:rPr>
        <w:t>sults  can be seen in the Table 9.  From the Table 9</w:t>
      </w:r>
      <w:r w:rsidRPr="00E7093F">
        <w:rPr>
          <w:rFonts w:ascii="Arial" w:eastAsia="MS Mincho" w:hAnsi="Arial" w:cs="Arial"/>
          <w:spacing w:val="-1"/>
          <w:lang w:val="en-US" w:eastAsia="sk-SK"/>
        </w:rPr>
        <w:t xml:space="preserve"> can </w:t>
      </w:r>
      <w:r>
        <w:rPr>
          <w:rFonts w:ascii="Arial" w:eastAsia="MS Mincho" w:hAnsi="Arial" w:cs="Arial"/>
          <w:spacing w:val="-1"/>
          <w:lang w:val="en-US" w:eastAsia="sk-SK"/>
        </w:rPr>
        <w:t xml:space="preserve"> </w:t>
      </w:r>
      <w:r w:rsidRPr="00E7093F">
        <w:rPr>
          <w:rFonts w:ascii="Arial" w:eastAsia="MS Mincho" w:hAnsi="Arial" w:cs="Arial"/>
          <w:spacing w:val="-1"/>
          <w:lang w:val="en-US" w:eastAsia="sk-SK"/>
        </w:rPr>
        <w:t xml:space="preserve"> </w:t>
      </w:r>
    </w:p>
    <w:p w:rsidR="00575A88" w:rsidRDefault="00575A88" w:rsidP="00575A88">
      <w:pPr>
        <w:pStyle w:val="Textoindependiente"/>
        <w:jc w:val="both"/>
        <w:rPr>
          <w:rFonts w:ascii="Arial" w:hAnsi="Arial" w:cs="Arial"/>
          <w:b w:val="0"/>
          <w:sz w:val="24"/>
          <w:lang w:val="en-GB"/>
        </w:rPr>
      </w:pPr>
    </w:p>
    <w:p w:rsidR="00575A88" w:rsidRPr="007B73B9" w:rsidRDefault="00575A88" w:rsidP="00575A88">
      <w:pPr>
        <w:numPr>
          <w:ilvl w:val="0"/>
          <w:numId w:val="1"/>
        </w:numPr>
        <w:tabs>
          <w:tab w:val="clear" w:pos="432"/>
          <w:tab w:val="num" w:pos="0"/>
        </w:tabs>
        <w:suppressAutoHyphens/>
        <w:spacing w:after="0" w:line="360" w:lineRule="auto"/>
        <w:ind w:left="0" w:firstLine="0"/>
        <w:jc w:val="center"/>
        <w:rPr>
          <w:rFonts w:ascii="Arial" w:eastAsia="Times New Roman" w:hAnsi="Arial" w:cs="Arial"/>
          <w:bCs/>
          <w:i/>
          <w:noProof/>
          <w:sz w:val="20"/>
          <w:szCs w:val="20"/>
          <w:lang w:val="en-US" w:eastAsia="en-GB"/>
        </w:rPr>
      </w:pPr>
      <w:r>
        <w:rPr>
          <w:rFonts w:ascii="Arial" w:eastAsia="Times New Roman" w:hAnsi="Arial" w:cs="Arial"/>
          <w:bCs/>
          <w:i/>
          <w:noProof/>
          <w:sz w:val="20"/>
          <w:szCs w:val="20"/>
          <w:lang w:val="en-US" w:eastAsia="en-GB"/>
        </w:rPr>
        <w:t>Tabla 9</w:t>
      </w:r>
      <w:r w:rsidRPr="007B73B9">
        <w:rPr>
          <w:rFonts w:ascii="Arial" w:eastAsia="Times New Roman" w:hAnsi="Arial" w:cs="Arial"/>
          <w:bCs/>
          <w:i/>
          <w:noProof/>
          <w:sz w:val="20"/>
          <w:szCs w:val="20"/>
          <w:lang w:val="en-US" w:eastAsia="en-GB"/>
        </w:rPr>
        <w:t>. Nume</w:t>
      </w:r>
      <w:r>
        <w:rPr>
          <w:rFonts w:ascii="Arial" w:eastAsia="Times New Roman" w:hAnsi="Arial" w:cs="Arial"/>
          <w:bCs/>
          <w:i/>
          <w:noProof/>
          <w:sz w:val="20"/>
          <w:szCs w:val="20"/>
          <w:lang w:val="en-US" w:eastAsia="en-GB"/>
        </w:rPr>
        <w:t>rical results for the problem (56</w:t>
      </w:r>
      <w:r w:rsidRPr="007B73B9">
        <w:rPr>
          <w:rFonts w:ascii="Arial" w:eastAsia="Times New Roman" w:hAnsi="Arial" w:cs="Arial"/>
          <w:bCs/>
          <w:i/>
          <w:noProof/>
          <w:sz w:val="20"/>
          <w:szCs w:val="20"/>
          <w:lang w:val="en-US" w:eastAsia="en-GB"/>
        </w:rPr>
        <w:t xml:space="preserve">) </w:t>
      </w:r>
      <w:r>
        <w:rPr>
          <w:rFonts w:ascii="Arial" w:eastAsia="Times New Roman" w:hAnsi="Arial" w:cs="Arial"/>
          <w:bCs/>
          <w:i/>
          <w:noProof/>
          <w:sz w:val="20"/>
          <w:szCs w:val="20"/>
          <w:lang w:val="en-US" w:eastAsia="en-GB"/>
        </w:rPr>
        <w:t xml:space="preserve">- </w:t>
      </w:r>
      <w:r w:rsidRPr="007B73B9">
        <w:rPr>
          <w:rFonts w:ascii="Arial" w:eastAsia="Times New Roman" w:hAnsi="Arial" w:cs="Arial"/>
          <w:bCs/>
          <w:i/>
          <w:noProof/>
          <w:sz w:val="20"/>
          <w:szCs w:val="20"/>
          <w:lang w:val="en-US" w:eastAsia="en-GB"/>
        </w:rPr>
        <w:t>(</w:t>
      </w:r>
      <w:r>
        <w:rPr>
          <w:rFonts w:ascii="Arial" w:eastAsia="Times New Roman" w:hAnsi="Arial" w:cs="Arial"/>
          <w:bCs/>
          <w:i/>
          <w:noProof/>
          <w:sz w:val="20"/>
          <w:szCs w:val="20"/>
          <w:lang w:val="en-US" w:eastAsia="en-GB"/>
        </w:rPr>
        <w:t>65</w:t>
      </w:r>
      <w:r w:rsidRPr="007B73B9">
        <w:rPr>
          <w:rFonts w:ascii="Arial" w:eastAsia="Times New Roman" w:hAnsi="Arial" w:cs="Arial"/>
          <w:bCs/>
          <w:i/>
          <w:noProof/>
          <w:sz w:val="20"/>
          <w:szCs w:val="20"/>
          <w:lang w:val="en-US" w:eastAsia="en-GB"/>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9"/>
        <w:gridCol w:w="1560"/>
        <w:gridCol w:w="1855"/>
      </w:tblGrid>
      <w:tr w:rsidR="00575A88" w:rsidRPr="00CD2A1D" w:rsidTr="007F2707">
        <w:trPr>
          <w:jc w:val="center"/>
        </w:trPr>
        <w:tc>
          <w:tcPr>
            <w:tcW w:w="1559" w:type="dxa"/>
            <w:tcBorders>
              <w:bottom w:val="nil"/>
            </w:tcBorders>
            <w:vAlign w:val="center"/>
          </w:tcPr>
          <w:p w:rsidR="00575A88" w:rsidRPr="00CD2A1D" w:rsidRDefault="00575A88" w:rsidP="007F2707">
            <w:pPr>
              <w:keepLines/>
              <w:spacing w:before="60" w:after="60"/>
              <w:jc w:val="center"/>
              <w:rPr>
                <w:rFonts w:ascii="Arial" w:eastAsia="Times New Roman" w:hAnsi="Arial"/>
                <w:b/>
                <w:sz w:val="20"/>
                <w:szCs w:val="20"/>
                <w:lang w:val="en-US" w:eastAsia="es-ES"/>
              </w:rPr>
            </w:pPr>
            <w:r w:rsidRPr="00CD2A1D">
              <w:rPr>
                <w:rFonts w:ascii="Arial" w:eastAsia="Times New Roman" w:hAnsi="Arial"/>
                <w:b/>
                <w:sz w:val="20"/>
                <w:szCs w:val="20"/>
                <w:lang w:val="en-US" w:eastAsia="es-ES"/>
              </w:rPr>
              <w:t>Mesh</w:t>
            </w:r>
          </w:p>
        </w:tc>
        <w:tc>
          <w:tcPr>
            <w:tcW w:w="1560" w:type="dxa"/>
            <w:tcBorders>
              <w:bottom w:val="nil"/>
            </w:tcBorders>
            <w:vAlign w:val="center"/>
          </w:tcPr>
          <w:p w:rsidR="00575A88" w:rsidRPr="00CD2A1D" w:rsidRDefault="00575A88" w:rsidP="007F2707">
            <w:pPr>
              <w:keepLines/>
              <w:spacing w:before="60" w:after="60"/>
              <w:jc w:val="center"/>
              <w:rPr>
                <w:rFonts w:ascii="Arial" w:eastAsia="Times New Roman" w:hAnsi="Arial"/>
                <w:b/>
                <w:sz w:val="20"/>
                <w:szCs w:val="20"/>
                <w:lang w:val="en-US" w:eastAsia="es-ES"/>
              </w:rPr>
            </w:pPr>
            <w:r w:rsidRPr="00CD2A1D">
              <w:rPr>
                <w:rFonts w:ascii="Arial" w:eastAsia="Times New Roman" w:hAnsi="Arial"/>
                <w:b/>
                <w:sz w:val="20"/>
                <w:szCs w:val="20"/>
                <w:lang w:val="en-US" w:eastAsia="es-ES"/>
              </w:rPr>
              <w:t xml:space="preserve">Percent error (%) </w:t>
            </w:r>
          </w:p>
        </w:tc>
        <w:tc>
          <w:tcPr>
            <w:tcW w:w="1855" w:type="dxa"/>
            <w:tcBorders>
              <w:bottom w:val="nil"/>
            </w:tcBorders>
            <w:vAlign w:val="center"/>
          </w:tcPr>
          <w:p w:rsidR="00575A88" w:rsidRPr="00CD2A1D" w:rsidRDefault="00575A88" w:rsidP="007F2707">
            <w:pPr>
              <w:keepLines/>
              <w:spacing w:before="60" w:after="60"/>
              <w:jc w:val="center"/>
              <w:rPr>
                <w:rFonts w:ascii="Arial" w:eastAsia="Times New Roman" w:hAnsi="Arial"/>
                <w:b/>
                <w:sz w:val="20"/>
                <w:szCs w:val="20"/>
                <w:lang w:val="en-US" w:eastAsia="es-ES"/>
              </w:rPr>
            </w:pPr>
            <w:r w:rsidRPr="00CD2A1D">
              <w:rPr>
                <w:rFonts w:ascii="Arial" w:eastAsia="Times New Roman" w:hAnsi="Arial"/>
                <w:b/>
                <w:sz w:val="20"/>
                <w:szCs w:val="20"/>
                <w:lang w:val="en-US" w:eastAsia="es-ES"/>
              </w:rPr>
              <w:t>Number of iterations</w:t>
            </w:r>
          </w:p>
        </w:tc>
      </w:tr>
      <w:tr w:rsidR="00575A88" w:rsidRPr="004B4336" w:rsidTr="007F2707">
        <w:trPr>
          <w:jc w:val="center"/>
        </w:trPr>
        <w:tc>
          <w:tcPr>
            <w:tcW w:w="1559" w:type="dxa"/>
            <w:tcBorders>
              <w:bottom w:val="nil"/>
            </w:tcBorders>
            <w:vAlign w:val="center"/>
          </w:tcPr>
          <w:p w:rsidR="00575A88" w:rsidRPr="00CD2A1D" w:rsidRDefault="00575A88" w:rsidP="007F2707">
            <w:pPr>
              <w:keepLines/>
              <w:spacing w:before="60"/>
              <w:jc w:val="center"/>
              <w:rPr>
                <w:rFonts w:ascii="Arial" w:eastAsia="Times New Roman" w:hAnsi="Arial"/>
                <w:sz w:val="20"/>
                <w:szCs w:val="20"/>
                <w:lang w:val="en-US" w:eastAsia="es-ES"/>
              </w:rPr>
            </w:pPr>
            <w:r w:rsidRPr="00CD2A1D">
              <w:rPr>
                <w:rFonts w:ascii="Arial" w:eastAsia="Times New Roman" w:hAnsi="Arial"/>
                <w:sz w:val="20"/>
                <w:szCs w:val="20"/>
                <w:lang w:val="en-US" w:eastAsia="es-ES"/>
              </w:rPr>
              <w:t>32   x   64</w:t>
            </w:r>
          </w:p>
        </w:tc>
        <w:tc>
          <w:tcPr>
            <w:tcW w:w="1560"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0</w:t>
            </w:r>
            <w:r w:rsidRPr="004B4336">
              <w:rPr>
                <w:rFonts w:ascii="Arial" w:eastAsia="Times New Roman" w:hAnsi="Arial"/>
                <w:sz w:val="20"/>
                <w:szCs w:val="20"/>
                <w:lang w:val="en-US" w:eastAsia="es-ES"/>
              </w:rPr>
              <w:t>.</w:t>
            </w:r>
            <w:r>
              <w:rPr>
                <w:rFonts w:ascii="Arial" w:eastAsia="Times New Roman" w:hAnsi="Arial"/>
                <w:sz w:val="20"/>
                <w:szCs w:val="20"/>
                <w:lang w:val="en-US" w:eastAsia="es-ES"/>
              </w:rPr>
              <w:t>21</w:t>
            </w:r>
          </w:p>
        </w:tc>
        <w:tc>
          <w:tcPr>
            <w:tcW w:w="1855" w:type="dxa"/>
            <w:tcBorders>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7318</w:t>
            </w:r>
          </w:p>
        </w:tc>
      </w:tr>
      <w:tr w:rsidR="00575A88" w:rsidRPr="004B4336" w:rsidTr="007F2707">
        <w:trPr>
          <w:jc w:val="center"/>
        </w:trPr>
        <w:tc>
          <w:tcPr>
            <w:tcW w:w="1559" w:type="dxa"/>
            <w:tcBorders>
              <w:top w:val="nil"/>
              <w:bottom w:val="nil"/>
            </w:tcBorders>
            <w:vAlign w:val="center"/>
          </w:tcPr>
          <w:p w:rsidR="00575A88" w:rsidRPr="00D942C3"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 xml:space="preserve">  </w:t>
            </w:r>
            <w:r w:rsidRPr="00D942C3">
              <w:rPr>
                <w:rFonts w:ascii="Arial" w:eastAsia="Times New Roman" w:hAnsi="Arial"/>
                <w:sz w:val="20"/>
                <w:szCs w:val="20"/>
                <w:lang w:val="en-US" w:eastAsia="es-ES"/>
              </w:rPr>
              <w:t>64   x   128</w:t>
            </w:r>
          </w:p>
        </w:tc>
        <w:tc>
          <w:tcPr>
            <w:tcW w:w="1560"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0</w:t>
            </w:r>
            <w:r w:rsidRPr="004B4336">
              <w:rPr>
                <w:rFonts w:ascii="Arial" w:eastAsia="Times New Roman" w:hAnsi="Arial"/>
                <w:sz w:val="20"/>
                <w:szCs w:val="20"/>
                <w:lang w:val="en-US" w:eastAsia="es-ES"/>
              </w:rPr>
              <w:t>.</w:t>
            </w:r>
            <w:r>
              <w:rPr>
                <w:rFonts w:ascii="Arial" w:eastAsia="Times New Roman" w:hAnsi="Arial"/>
                <w:sz w:val="20"/>
                <w:szCs w:val="20"/>
                <w:lang w:val="en-US" w:eastAsia="es-ES"/>
              </w:rPr>
              <w:t xml:space="preserve">11 </w:t>
            </w:r>
          </w:p>
        </w:tc>
        <w:tc>
          <w:tcPr>
            <w:tcW w:w="1855" w:type="dxa"/>
            <w:tcBorders>
              <w:top w:val="nil"/>
              <w:bottom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29633</w:t>
            </w:r>
          </w:p>
        </w:tc>
      </w:tr>
      <w:tr w:rsidR="00575A88" w:rsidRPr="004B4336" w:rsidTr="007F2707">
        <w:trPr>
          <w:jc w:val="center"/>
        </w:trPr>
        <w:tc>
          <w:tcPr>
            <w:tcW w:w="1559" w:type="dxa"/>
            <w:tcBorders>
              <w:top w:val="nil"/>
            </w:tcBorders>
            <w:vAlign w:val="center"/>
          </w:tcPr>
          <w:p w:rsidR="00575A88" w:rsidRPr="00301351"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 xml:space="preserve">128   x   </w:t>
            </w:r>
            <w:r w:rsidRPr="00301351">
              <w:rPr>
                <w:rFonts w:ascii="Arial" w:eastAsia="Times New Roman" w:hAnsi="Arial"/>
                <w:sz w:val="20"/>
                <w:szCs w:val="20"/>
                <w:lang w:val="en-US" w:eastAsia="es-ES"/>
              </w:rPr>
              <w:t>2</w:t>
            </w:r>
            <w:r>
              <w:rPr>
                <w:rFonts w:ascii="Arial" w:eastAsia="Times New Roman" w:hAnsi="Arial"/>
                <w:sz w:val="20"/>
                <w:szCs w:val="20"/>
                <w:lang w:val="en-US" w:eastAsia="es-ES"/>
              </w:rPr>
              <w:t>56</w:t>
            </w:r>
          </w:p>
        </w:tc>
        <w:tc>
          <w:tcPr>
            <w:tcW w:w="1560"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5</w:t>
            </w:r>
            <w:r w:rsidRPr="004B4336">
              <w:rPr>
                <w:rFonts w:ascii="Arial" w:eastAsia="Times New Roman" w:hAnsi="Arial"/>
                <w:sz w:val="20"/>
                <w:szCs w:val="20"/>
                <w:lang w:val="en-US" w:eastAsia="es-ES"/>
              </w:rPr>
              <w:t>.</w:t>
            </w:r>
            <w:r>
              <w:rPr>
                <w:rFonts w:ascii="Arial" w:eastAsia="Times New Roman" w:hAnsi="Arial"/>
                <w:sz w:val="20"/>
                <w:szCs w:val="20"/>
                <w:lang w:val="en-US" w:eastAsia="es-ES"/>
              </w:rPr>
              <w:t>8</w:t>
            </w:r>
            <w:r w:rsidRPr="004B4336">
              <w:rPr>
                <w:rFonts w:ascii="Arial" w:eastAsia="Times New Roman" w:hAnsi="Arial"/>
                <w:sz w:val="20"/>
                <w:szCs w:val="20"/>
                <w:lang w:val="en-US" w:eastAsia="es-ES"/>
              </w:rPr>
              <w:t xml:space="preserve">  10</w:t>
            </w:r>
            <w:r>
              <w:rPr>
                <w:rFonts w:ascii="Arial" w:eastAsia="Times New Roman" w:hAnsi="Arial"/>
                <w:sz w:val="20"/>
                <w:szCs w:val="20"/>
                <w:vertAlign w:val="superscript"/>
                <w:lang w:val="en-US" w:eastAsia="es-ES"/>
              </w:rPr>
              <w:t>-2</w:t>
            </w:r>
          </w:p>
        </w:tc>
        <w:tc>
          <w:tcPr>
            <w:tcW w:w="1855" w:type="dxa"/>
            <w:tcBorders>
              <w:top w:val="nil"/>
            </w:tcBorders>
            <w:vAlign w:val="center"/>
          </w:tcPr>
          <w:p w:rsidR="00575A88" w:rsidRPr="004B4336" w:rsidRDefault="00575A88" w:rsidP="007F2707">
            <w:pPr>
              <w:keepLines/>
              <w:spacing w:before="60"/>
              <w:jc w:val="center"/>
              <w:rPr>
                <w:rFonts w:ascii="Arial" w:eastAsia="Times New Roman" w:hAnsi="Arial"/>
                <w:sz w:val="20"/>
                <w:szCs w:val="20"/>
                <w:lang w:val="en-US" w:eastAsia="es-ES"/>
              </w:rPr>
            </w:pPr>
            <w:r>
              <w:rPr>
                <w:rFonts w:ascii="Arial" w:eastAsia="Times New Roman" w:hAnsi="Arial"/>
                <w:sz w:val="20"/>
                <w:szCs w:val="20"/>
                <w:lang w:val="en-US" w:eastAsia="es-ES"/>
              </w:rPr>
              <w:t>126074</w:t>
            </w:r>
          </w:p>
        </w:tc>
      </w:tr>
    </w:tbl>
    <w:p w:rsidR="00575A88" w:rsidRDefault="00575A88" w:rsidP="00575A88">
      <w:pPr>
        <w:rPr>
          <w:rFonts w:ascii="Arial" w:eastAsia="MS Mincho" w:hAnsi="Arial" w:cs="Arial"/>
          <w:spacing w:val="-1"/>
          <w:lang w:val="en-GB" w:eastAsia="sk-SK"/>
        </w:rPr>
      </w:pPr>
    </w:p>
    <w:p w:rsidR="00575A88" w:rsidRDefault="00575A88" w:rsidP="00575A88">
      <w:pPr>
        <w:tabs>
          <w:tab w:val="left" w:pos="288"/>
        </w:tabs>
        <w:jc w:val="both"/>
        <w:rPr>
          <w:rFonts w:ascii="Arial" w:eastAsia="MS Mincho" w:hAnsi="Arial" w:cs="Arial"/>
          <w:spacing w:val="-1"/>
          <w:lang w:val="en-US" w:eastAsia="sk-SK"/>
        </w:rPr>
      </w:pPr>
      <w:r>
        <w:rPr>
          <w:rFonts w:ascii="Arial" w:eastAsia="MS Mincho" w:hAnsi="Arial" w:cs="Arial"/>
          <w:spacing w:val="-1"/>
          <w:lang w:val="en-GB" w:eastAsia="sk-SK"/>
        </w:rPr>
        <w:t>b</w:t>
      </w:r>
      <w:r>
        <w:rPr>
          <w:rFonts w:ascii="Arial" w:eastAsia="MS Mincho" w:hAnsi="Arial" w:cs="Arial"/>
          <w:spacing w:val="-1"/>
          <w:lang w:val="en-US" w:eastAsia="sk-SK"/>
        </w:rPr>
        <w:t xml:space="preserve">e </w:t>
      </w:r>
      <w:r w:rsidRPr="00E7093F">
        <w:rPr>
          <w:rFonts w:ascii="Arial" w:eastAsia="MS Mincho" w:hAnsi="Arial" w:cs="Arial"/>
          <w:spacing w:val="-1"/>
          <w:lang w:val="en-US" w:eastAsia="sk-SK"/>
        </w:rPr>
        <w:t>seen that the errors decrease, however the number of iterations rapidly increase. Second way how to obtain better results is to use better discretization scheme.</w:t>
      </w:r>
    </w:p>
    <w:p w:rsidR="00575A88" w:rsidRPr="003F7FFB" w:rsidRDefault="00575A88" w:rsidP="00575A88">
      <w:pPr>
        <w:rPr>
          <w:rFonts w:ascii="Arial" w:hAnsi="Arial" w:cs="Arial"/>
          <w:lang w:val="en-US" w:eastAsia="sk-SK"/>
        </w:rPr>
      </w:pPr>
    </w:p>
    <w:p w:rsidR="00575A88" w:rsidRPr="00FF1F2D" w:rsidRDefault="00575A88" w:rsidP="00AB59B2">
      <w:pPr>
        <w:pStyle w:val="1Titulo"/>
        <w:numPr>
          <w:ilvl w:val="0"/>
          <w:numId w:val="0"/>
        </w:numPr>
        <w:ind w:left="357"/>
        <w:rPr>
          <w:caps/>
          <w:lang w:val="en-US"/>
        </w:rPr>
      </w:pPr>
      <w:bookmarkStart w:id="184" w:name="_Toc50031275"/>
      <w:r w:rsidRPr="00FF1F2D">
        <w:rPr>
          <w:caps/>
          <w:lang w:val="en-US"/>
        </w:rPr>
        <w:t xml:space="preserve">5. </w:t>
      </w:r>
      <w:r w:rsidRPr="00FF1F2D">
        <w:rPr>
          <w:lang w:val="en-US"/>
        </w:rPr>
        <w:t>Conclusion</w:t>
      </w:r>
      <w:bookmarkEnd w:id="184"/>
    </w:p>
    <w:p w:rsidR="00575A88" w:rsidRPr="006D1833" w:rsidRDefault="00575A88" w:rsidP="00575A88">
      <w:pPr>
        <w:ind w:firstLine="567"/>
        <w:jc w:val="both"/>
        <w:rPr>
          <w:rFonts w:ascii="Arial" w:hAnsi="Arial" w:cs="Arial"/>
          <w:lang w:val="en-US"/>
        </w:rPr>
      </w:pPr>
      <w:r w:rsidRPr="006D1833">
        <w:rPr>
          <w:rFonts w:ascii="Arial" w:hAnsi="Arial" w:cs="Arial"/>
          <w:lang w:val="en-US"/>
        </w:rPr>
        <w:lastRenderedPageBreak/>
        <w:t>This paper is dealt with the numerical determination of voltage potenti</w:t>
      </w:r>
      <w:r>
        <w:rPr>
          <w:rFonts w:ascii="Arial" w:hAnsi="Arial" w:cs="Arial"/>
          <w:lang w:val="en-US"/>
        </w:rPr>
        <w:t xml:space="preserve">al inside two dimensional </w:t>
      </w:r>
      <w:r w:rsidRPr="00F35E18">
        <w:rPr>
          <w:rFonts w:ascii="Arial" w:hAnsi="Arial" w:cs="Arial"/>
          <w:lang w:val="en-US"/>
        </w:rPr>
        <w:t>nonhomogeneous media of circular shape using values of the voltage potential on the boundary of the media.</w:t>
      </w:r>
      <w:r w:rsidRPr="006D1833">
        <w:rPr>
          <w:rFonts w:ascii="Arial" w:hAnsi="Arial" w:cs="Arial"/>
          <w:lang w:val="en-US"/>
        </w:rPr>
        <w:t xml:space="preserve"> For numerical determination of the problem is used the model described by the</w:t>
      </w:r>
      <w:r>
        <w:rPr>
          <w:rFonts w:ascii="Arial" w:hAnsi="Arial" w:cs="Arial"/>
          <w:lang w:val="en-US"/>
        </w:rPr>
        <w:t xml:space="preserve"> potential equation for the </w:t>
      </w:r>
      <w:r w:rsidRPr="00F35E18">
        <w:rPr>
          <w:rFonts w:ascii="Arial" w:hAnsi="Arial" w:cs="Arial"/>
          <w:lang w:val="en-US"/>
        </w:rPr>
        <w:t>nonhomogeneous</w:t>
      </w:r>
      <w:r>
        <w:rPr>
          <w:rFonts w:ascii="Arial" w:hAnsi="Arial" w:cs="Arial"/>
          <w:lang w:val="en-US"/>
        </w:rPr>
        <w:t xml:space="preserve"> </w:t>
      </w:r>
      <w:r w:rsidRPr="006D1833">
        <w:rPr>
          <w:rFonts w:ascii="Arial" w:hAnsi="Arial" w:cs="Arial"/>
          <w:lang w:val="en-US"/>
        </w:rPr>
        <w:t>media with</w:t>
      </w:r>
      <w:r>
        <w:rPr>
          <w:rFonts w:ascii="Arial" w:hAnsi="Arial" w:cs="Arial"/>
          <w:lang w:val="en-US"/>
        </w:rPr>
        <w:t xml:space="preserve"> appropriate boundary condition</w:t>
      </w:r>
      <w:r w:rsidRPr="006D1833">
        <w:rPr>
          <w:rFonts w:ascii="Arial" w:hAnsi="Arial" w:cs="Arial"/>
          <w:lang w:val="en-US"/>
        </w:rPr>
        <w:t>. The convenient form of variational formulation of the problem is derived. The numerical solution of the problem is obtained by the meth</w:t>
      </w:r>
      <w:r>
        <w:rPr>
          <w:rFonts w:ascii="Arial" w:hAnsi="Arial" w:cs="Arial"/>
          <w:lang w:val="en-US"/>
        </w:rPr>
        <w:t>od of local variations for two</w:t>
      </w:r>
      <w:r w:rsidRPr="006D1833">
        <w:rPr>
          <w:rFonts w:ascii="Arial" w:hAnsi="Arial" w:cs="Arial"/>
          <w:lang w:val="en-US"/>
        </w:rPr>
        <w:t xml:space="preserve"> dimensional problems. The convergence of the method of local variations for the problem is proved. Program realization of the method of local variations is elaborated in the programming language Fortran 77.  </w:t>
      </w:r>
    </w:p>
    <w:p w:rsidR="00575A88" w:rsidRDefault="00575A88" w:rsidP="00575A88">
      <w:pPr>
        <w:ind w:firstLine="567"/>
        <w:jc w:val="both"/>
        <w:rPr>
          <w:rFonts w:ascii="Arial" w:hAnsi="Arial" w:cs="Arial"/>
          <w:lang w:val="en-US"/>
        </w:rPr>
      </w:pPr>
      <w:r w:rsidRPr="006D1833">
        <w:rPr>
          <w:rFonts w:ascii="Arial" w:hAnsi="Arial" w:cs="Arial"/>
          <w:lang w:val="en-US"/>
        </w:rPr>
        <w:t>The numerical experiments are done from a mathematical point of view. The numerical solutions are computed for different values of electrical conductivities of the media also for discontinuous electrical conductivities of the media and for different values of the voltage potentia</w:t>
      </w:r>
      <w:r>
        <w:rPr>
          <w:rFonts w:ascii="Arial" w:hAnsi="Arial" w:cs="Arial"/>
          <w:lang w:val="en-US"/>
        </w:rPr>
        <w:t>l on the boundary of the media.</w:t>
      </w:r>
      <w:r w:rsidRPr="00140570">
        <w:rPr>
          <w:rFonts w:ascii="Arial" w:hAnsi="Arial" w:cs="Arial"/>
          <w:lang w:val="en-US"/>
        </w:rPr>
        <w:t xml:space="preserve"> From computed examples it is seen that obtained accuracy of the computation depends on the discretization errors. One way how to obtain better results is </w:t>
      </w:r>
      <w:r>
        <w:rPr>
          <w:rFonts w:ascii="Arial" w:hAnsi="Arial" w:cs="Arial"/>
          <w:lang w:val="en-US"/>
        </w:rPr>
        <w:t xml:space="preserve">to </w:t>
      </w:r>
      <w:r w:rsidRPr="00140570">
        <w:rPr>
          <w:rFonts w:ascii="Arial" w:hAnsi="Arial" w:cs="Arial"/>
          <w:lang w:val="en-US"/>
        </w:rPr>
        <w:t xml:space="preserve">make computations for more grid points. Second way how to obtain better results is to use better discretization scheme. </w:t>
      </w:r>
      <w:r w:rsidRPr="006D1833">
        <w:rPr>
          <w:rFonts w:ascii="Arial" w:hAnsi="Arial" w:cs="Arial"/>
          <w:lang w:val="en-US"/>
        </w:rPr>
        <w:t xml:space="preserve"> </w:t>
      </w:r>
    </w:p>
    <w:p w:rsidR="00575A88" w:rsidRDefault="00575A88" w:rsidP="00575A88">
      <w:pPr>
        <w:ind w:firstLine="567"/>
        <w:jc w:val="both"/>
        <w:rPr>
          <w:rFonts w:ascii="Arial" w:hAnsi="Arial" w:cs="Arial"/>
          <w:lang w:val="en-US"/>
        </w:rPr>
      </w:pPr>
      <w:r w:rsidRPr="00140570">
        <w:rPr>
          <w:rFonts w:ascii="Arial" w:hAnsi="Arial" w:cs="Arial"/>
          <w:lang w:val="en-US"/>
        </w:rPr>
        <w:t xml:space="preserve">This approach is possible to generalize to the problem for numerical determination of </w:t>
      </w:r>
      <w:r>
        <w:rPr>
          <w:rFonts w:ascii="Arial" w:hAnsi="Arial" w:cs="Arial"/>
          <w:lang w:val="en-US"/>
        </w:rPr>
        <w:t>voltage potential inside</w:t>
      </w:r>
      <w:r w:rsidRPr="00140570">
        <w:rPr>
          <w:rFonts w:ascii="Arial" w:hAnsi="Arial" w:cs="Arial"/>
          <w:lang w:val="en-US"/>
        </w:rPr>
        <w:t xml:space="preserve"> three dimensional no</w:t>
      </w:r>
      <w:r>
        <w:rPr>
          <w:rFonts w:ascii="Arial" w:hAnsi="Arial" w:cs="Arial"/>
          <w:lang w:val="en-US"/>
        </w:rPr>
        <w:t>nhomogeneous media for cylindrical shape</w:t>
      </w:r>
      <w:r w:rsidRPr="00140570">
        <w:rPr>
          <w:rFonts w:ascii="Arial" w:hAnsi="Arial" w:cs="Arial"/>
          <w:lang w:val="en-US"/>
        </w:rPr>
        <w:t xml:space="preserve"> of the</w:t>
      </w:r>
      <w:r>
        <w:rPr>
          <w:rFonts w:ascii="Arial" w:hAnsi="Arial" w:cs="Arial"/>
          <w:lang w:val="en-US"/>
        </w:rPr>
        <w:t xml:space="preserve"> domain</w:t>
      </w:r>
      <w:r w:rsidRPr="00140570">
        <w:rPr>
          <w:rFonts w:ascii="Arial" w:hAnsi="Arial" w:cs="Arial"/>
          <w:lang w:val="en-US"/>
        </w:rPr>
        <w:t xml:space="preserve"> using variational methods.</w:t>
      </w:r>
    </w:p>
    <w:p w:rsidR="00575A88" w:rsidRDefault="00575A88" w:rsidP="00575A88">
      <w:pPr>
        <w:ind w:firstLine="567"/>
        <w:jc w:val="both"/>
        <w:rPr>
          <w:rFonts w:ascii="Arial" w:hAnsi="Arial" w:cs="Arial"/>
          <w:lang w:val="en-US"/>
        </w:rPr>
      </w:pPr>
    </w:p>
    <w:p w:rsidR="00575A88" w:rsidRPr="00FF1F2D" w:rsidRDefault="00575A88" w:rsidP="00AB59B2">
      <w:pPr>
        <w:pStyle w:val="1Titulo"/>
        <w:numPr>
          <w:ilvl w:val="0"/>
          <w:numId w:val="0"/>
        </w:numPr>
        <w:ind w:left="357"/>
        <w:rPr>
          <w:lang w:val="en-US"/>
        </w:rPr>
      </w:pPr>
      <w:bookmarkStart w:id="185" w:name="_Toc50031276"/>
      <w:r w:rsidRPr="00FF1F2D">
        <w:rPr>
          <w:lang w:val="en-US"/>
        </w:rPr>
        <w:t>6. Acknowledgements</w:t>
      </w:r>
      <w:bookmarkEnd w:id="185"/>
      <w:r w:rsidRPr="00FF1F2D">
        <w:rPr>
          <w:lang w:val="en-US"/>
        </w:rPr>
        <w:t xml:space="preserve"> </w:t>
      </w:r>
    </w:p>
    <w:p w:rsidR="00575A88" w:rsidRPr="00323662" w:rsidRDefault="00575A88" w:rsidP="00575A88">
      <w:pPr>
        <w:ind w:firstLine="539"/>
        <w:jc w:val="both"/>
        <w:rPr>
          <w:rFonts w:ascii="Arial" w:hAnsi="Arial" w:cs="Arial"/>
          <w:lang w:val="en-US" w:eastAsia="ar-SA"/>
        </w:rPr>
      </w:pPr>
      <w:r w:rsidRPr="00DA3A09">
        <w:rPr>
          <w:rFonts w:ascii="Arial" w:hAnsi="Arial" w:cs="Arial"/>
          <w:lang w:val="en-US" w:eastAsia="ar-SA"/>
        </w:rPr>
        <w:t>This publication is the result of the project implementations: "Developing of research and development capacities to ensure a stable supply of electricity following trends in the development of modern means of transport of the 21st century", ITMS code 313010T596 and „Effective control of production and consumption of energy from renewable resources“ ITMS code 26240220093, supported by the Research and Innovation Operational Programme funded by the ERDF."</w:t>
      </w:r>
      <w:r w:rsidRPr="00323662">
        <w:rPr>
          <w:rFonts w:ascii="Arial" w:hAnsi="Arial" w:cs="Arial"/>
          <w:lang w:val="en-US" w:eastAsia="ar-SA"/>
        </w:rPr>
        <w:t xml:space="preserve"> </w:t>
      </w:r>
    </w:p>
    <w:p w:rsidR="00575A88" w:rsidRPr="00323662" w:rsidRDefault="00575A88" w:rsidP="00575A88">
      <w:pPr>
        <w:ind w:firstLine="539"/>
        <w:rPr>
          <w:rFonts w:ascii="Arial" w:hAnsi="Arial" w:cs="Arial"/>
          <w:b/>
          <w:bCs/>
          <w:lang w:val="en-US" w:eastAsia="ar-SA"/>
        </w:rPr>
      </w:pPr>
    </w:p>
    <w:p w:rsidR="00575A88" w:rsidRPr="00FB72A0" w:rsidRDefault="00575A88" w:rsidP="00AB59B2">
      <w:pPr>
        <w:pStyle w:val="1Titulo"/>
        <w:numPr>
          <w:ilvl w:val="0"/>
          <w:numId w:val="0"/>
        </w:numPr>
        <w:ind w:left="357"/>
      </w:pPr>
      <w:bookmarkStart w:id="186" w:name="_Toc50031277"/>
      <w:r w:rsidRPr="00FB72A0">
        <w:t>7. References</w:t>
      </w:r>
      <w:bookmarkEnd w:id="186"/>
    </w:p>
    <w:p w:rsidR="00575A88" w:rsidRPr="00FF1F2D" w:rsidRDefault="00575A88" w:rsidP="00575A88">
      <w:pPr>
        <w:numPr>
          <w:ilvl w:val="0"/>
          <w:numId w:val="7"/>
        </w:numPr>
        <w:suppressAutoHyphens/>
        <w:spacing w:after="0" w:line="240" w:lineRule="auto"/>
        <w:jc w:val="both"/>
        <w:rPr>
          <w:rFonts w:ascii="Arial" w:hAnsi="Arial" w:cs="Arial"/>
          <w:lang w:val="es-MX"/>
        </w:rPr>
      </w:pPr>
      <w:r w:rsidRPr="00FF1F2D">
        <w:rPr>
          <w:rFonts w:ascii="Arial" w:hAnsi="Arial" w:cs="Arial"/>
          <w:lang w:val="es-MX"/>
        </w:rPr>
        <w:t>Černousko F.L., Baničuk N.V., “Variacionnye zadači mechaniki i upravlenija“, Izdateľstvo Nauka, Moskva, 1973.</w:t>
      </w:r>
    </w:p>
    <w:p w:rsidR="00575A88" w:rsidRPr="00FF1F2D" w:rsidRDefault="00575A88" w:rsidP="00575A88">
      <w:pPr>
        <w:numPr>
          <w:ilvl w:val="0"/>
          <w:numId w:val="7"/>
        </w:numPr>
        <w:suppressAutoHyphens/>
        <w:spacing w:after="0" w:line="240" w:lineRule="auto"/>
        <w:jc w:val="both"/>
        <w:rPr>
          <w:rFonts w:ascii="Arial" w:hAnsi="Arial" w:cs="Arial"/>
          <w:lang w:val="es-MX" w:eastAsia="ar-SA"/>
        </w:rPr>
      </w:pPr>
      <w:r w:rsidRPr="00FF1F2D">
        <w:rPr>
          <w:rFonts w:ascii="Arial" w:hAnsi="Arial" w:cs="Arial"/>
          <w:lang w:val="es-MX" w:eastAsia="ar-SA"/>
        </w:rPr>
        <w:t>Brilla I., Janíček F., “Numerical Determination of Voltage Potential Inside Nonhomogeneous Media Using Variational Approach“, Trabajos Completos del Congreso CAIP’2019, 21-24 October 2019, Lima, Perú, 857-867 (2019).</w:t>
      </w:r>
    </w:p>
    <w:p w:rsidR="00575A88" w:rsidRPr="00323662" w:rsidRDefault="00575A88" w:rsidP="00575A88">
      <w:pPr>
        <w:numPr>
          <w:ilvl w:val="0"/>
          <w:numId w:val="7"/>
        </w:numPr>
        <w:suppressAutoHyphens/>
        <w:spacing w:after="0" w:line="240" w:lineRule="auto"/>
        <w:jc w:val="both"/>
        <w:rPr>
          <w:rFonts w:ascii="Arial" w:hAnsi="Arial" w:cs="Arial"/>
          <w:lang w:val="en-US"/>
        </w:rPr>
      </w:pPr>
      <w:r>
        <w:rPr>
          <w:rFonts w:ascii="Arial" w:hAnsi="Arial" w:cs="Arial"/>
          <w:lang w:val="en-US"/>
        </w:rPr>
        <w:t>Rektorys</w:t>
      </w:r>
      <w:r w:rsidRPr="00323662">
        <w:rPr>
          <w:rFonts w:ascii="Arial" w:hAnsi="Arial" w:cs="Arial"/>
          <w:lang w:val="en-US"/>
        </w:rPr>
        <w:t xml:space="preserve"> K., “Variační metody v inženýrských problémech a v problémech matematické fyziky“, SNTL, Praha</w:t>
      </w:r>
      <w:r>
        <w:rPr>
          <w:rFonts w:ascii="Arial" w:hAnsi="Arial" w:cs="Arial"/>
          <w:lang w:val="en-US"/>
        </w:rPr>
        <w:t>,</w:t>
      </w:r>
      <w:r w:rsidRPr="00323662">
        <w:rPr>
          <w:rFonts w:ascii="Arial" w:hAnsi="Arial" w:cs="Arial"/>
          <w:lang w:val="en-US"/>
        </w:rPr>
        <w:t xml:space="preserve"> </w:t>
      </w:r>
      <w:r>
        <w:rPr>
          <w:rFonts w:ascii="Arial" w:hAnsi="Arial" w:cs="Arial"/>
          <w:lang w:val="en-US"/>
        </w:rPr>
        <w:t>1974</w:t>
      </w:r>
      <w:r w:rsidRPr="00323662">
        <w:rPr>
          <w:rFonts w:ascii="Arial" w:hAnsi="Arial" w:cs="Arial"/>
          <w:lang w:val="en-US"/>
        </w:rPr>
        <w:t>.</w:t>
      </w:r>
    </w:p>
    <w:p w:rsidR="00575A88" w:rsidRPr="00E21913" w:rsidRDefault="00575A88" w:rsidP="00575A88">
      <w:pPr>
        <w:numPr>
          <w:ilvl w:val="0"/>
          <w:numId w:val="7"/>
        </w:numPr>
        <w:tabs>
          <w:tab w:val="left" w:pos="0"/>
        </w:tabs>
        <w:suppressAutoHyphens/>
        <w:spacing w:after="0" w:line="240" w:lineRule="auto"/>
        <w:ind w:left="748" w:hanging="391"/>
        <w:jc w:val="both"/>
        <w:rPr>
          <w:rFonts w:ascii="Arial" w:hAnsi="Arial" w:cs="Arial"/>
          <w:lang w:val="en-US" w:eastAsia="ar-SA"/>
        </w:rPr>
      </w:pPr>
      <w:r>
        <w:rPr>
          <w:rFonts w:ascii="Arial" w:hAnsi="Arial" w:cs="Arial"/>
          <w:lang w:val="en-US" w:eastAsia="ar-SA"/>
        </w:rPr>
        <w:t>Brilla</w:t>
      </w:r>
      <w:r w:rsidRPr="00323662">
        <w:rPr>
          <w:rFonts w:ascii="Arial" w:hAnsi="Arial" w:cs="Arial"/>
          <w:lang w:val="en-US" w:eastAsia="ar-SA"/>
        </w:rPr>
        <w:t xml:space="preserve"> I., “</w:t>
      </w:r>
      <w:r w:rsidRPr="00323662">
        <w:rPr>
          <w:rFonts w:ascii="Arial" w:eastAsia="MS Mincho" w:hAnsi="Arial" w:cs="Arial"/>
          <w:lang w:val="en-US"/>
        </w:rPr>
        <w:t>Numerical Determination of Voltage Potential Inside Orthotropic Media Using Variational Methods</w:t>
      </w:r>
      <w:r w:rsidRPr="00323662">
        <w:rPr>
          <w:rFonts w:ascii="Arial" w:hAnsi="Arial" w:cs="Arial"/>
          <w:lang w:val="en-US" w:eastAsia="ar-SA"/>
        </w:rPr>
        <w:t>“, Proceedings of the 11th International Scientific Conference Energy-Ecology-Economy 2012, 15-17 May 2012, T</w:t>
      </w:r>
      <w:r>
        <w:rPr>
          <w:rFonts w:ascii="Arial" w:hAnsi="Arial" w:cs="Arial"/>
          <w:lang w:val="en-US" w:eastAsia="ar-SA"/>
        </w:rPr>
        <w:t>atranské Matliare, Slovakia,</w:t>
      </w:r>
      <w:r w:rsidRPr="00323662">
        <w:rPr>
          <w:rFonts w:ascii="Arial" w:hAnsi="Arial" w:cs="Arial"/>
          <w:lang w:val="en-US" w:eastAsia="ar-SA"/>
        </w:rPr>
        <w:t xml:space="preserve"> 1-6 on USB key, (2012).</w:t>
      </w:r>
    </w:p>
    <w:p w:rsidR="00575A88" w:rsidRPr="004B4415" w:rsidRDefault="00575A88" w:rsidP="00B31CE1">
      <w:pPr>
        <w:autoSpaceDE w:val="0"/>
        <w:autoSpaceDN w:val="0"/>
        <w:adjustRightInd w:val="0"/>
        <w:jc w:val="both"/>
        <w:rPr>
          <w:lang w:val="en-US"/>
        </w:rPr>
      </w:pPr>
    </w:p>
    <w:p w:rsidR="00B31CE1" w:rsidRPr="004B4415" w:rsidRDefault="00B31CE1" w:rsidP="00B31CE1">
      <w:pPr>
        <w:autoSpaceDE w:val="0"/>
        <w:autoSpaceDN w:val="0"/>
        <w:adjustRightInd w:val="0"/>
        <w:jc w:val="both"/>
        <w:rPr>
          <w:iCs/>
          <w:lang w:val="en-US"/>
        </w:rPr>
      </w:pPr>
    </w:p>
    <w:p w:rsidR="00123C57" w:rsidRPr="00E732FC" w:rsidRDefault="00123C57" w:rsidP="00123C57">
      <w:pPr>
        <w:jc w:val="center"/>
        <w:rPr>
          <w:rFonts w:ascii="Arial" w:eastAsia="Times New Roman" w:hAnsi="Arial"/>
          <w:b/>
          <w:kern w:val="1"/>
          <w:sz w:val="28"/>
          <w:szCs w:val="20"/>
        </w:rPr>
      </w:pPr>
      <w:r w:rsidRPr="00E732FC">
        <w:rPr>
          <w:rFonts w:ascii="Arial" w:eastAsia="Times New Roman" w:hAnsi="Arial"/>
          <w:b/>
          <w:kern w:val="1"/>
          <w:sz w:val="28"/>
          <w:szCs w:val="20"/>
        </w:rPr>
        <w:lastRenderedPageBreak/>
        <w:t>“</w:t>
      </w:r>
      <w:r w:rsidRPr="00123C57">
        <w:rPr>
          <w:rStyle w:val="1TituloCar"/>
          <w:sz w:val="28"/>
          <w:szCs w:val="28"/>
        </w:rPr>
        <w:t>Uso del pez cebra (Danio rerio) para evaluar la calidad y seguridad del agua renovada como potencial fuente de recarga del acuífero del Valle de México”</w:t>
      </w:r>
    </w:p>
    <w:p w:rsidR="00123C57" w:rsidRDefault="00123C57" w:rsidP="00123C57">
      <w:pPr>
        <w:pStyle w:val="Author"/>
        <w:rPr>
          <w:rFonts w:ascii="Arial" w:hAnsi="Arial" w:cs="Arial"/>
          <w:szCs w:val="24"/>
          <w:vertAlign w:val="superscript"/>
          <w:lang w:val="es-ES"/>
        </w:rPr>
      </w:pPr>
      <w:r w:rsidRPr="003D0632">
        <w:rPr>
          <w:rFonts w:ascii="Arial" w:hAnsi="Arial" w:cs="Arial"/>
          <w:szCs w:val="24"/>
          <w:u w:val="single"/>
          <w:lang w:val="es-ES"/>
        </w:rPr>
        <w:t>Ramos-Ramírez, I. A.1</w:t>
      </w:r>
      <w:r w:rsidRPr="009A10C2">
        <w:rPr>
          <w:rFonts w:ascii="Arial" w:hAnsi="Arial" w:cs="Arial"/>
          <w:szCs w:val="24"/>
          <w:lang w:val="es-ES"/>
        </w:rPr>
        <w:t>,</w:t>
      </w:r>
      <w:r>
        <w:rPr>
          <w:rFonts w:ascii="Arial" w:hAnsi="Arial" w:cs="Arial"/>
          <w:szCs w:val="24"/>
          <w:vertAlign w:val="superscript"/>
          <w:lang w:val="es-ES"/>
        </w:rPr>
        <w:t xml:space="preserve"> IINGEN-UNAM</w:t>
      </w:r>
      <w:r>
        <w:rPr>
          <w:rFonts w:ascii="Arial" w:hAnsi="Arial" w:cs="Arial"/>
          <w:szCs w:val="24"/>
          <w:lang w:val="es-ES"/>
        </w:rPr>
        <w:t xml:space="preserve"> Chávez-Mejía, A. C.2,</w:t>
      </w:r>
      <w:r>
        <w:rPr>
          <w:rFonts w:ascii="Arial" w:hAnsi="Arial" w:cs="Arial"/>
          <w:szCs w:val="24"/>
          <w:vertAlign w:val="superscript"/>
          <w:lang w:val="es-ES"/>
        </w:rPr>
        <w:t xml:space="preserve"> IINGEN-UNAM</w:t>
      </w:r>
      <w:r>
        <w:rPr>
          <w:rFonts w:ascii="Arial" w:hAnsi="Arial" w:cs="Arial"/>
          <w:szCs w:val="24"/>
          <w:lang w:val="es-ES"/>
        </w:rPr>
        <w:t xml:space="preserve"> Schnabel-Peraza, D. 3,</w:t>
      </w:r>
      <w:r>
        <w:rPr>
          <w:rFonts w:ascii="Arial" w:hAnsi="Arial" w:cs="Arial"/>
          <w:szCs w:val="24"/>
          <w:vertAlign w:val="superscript"/>
          <w:lang w:val="es-ES"/>
        </w:rPr>
        <w:t xml:space="preserve"> IBT-UNAM</w:t>
      </w:r>
      <w:r>
        <w:rPr>
          <w:rFonts w:ascii="Arial" w:hAnsi="Arial" w:cs="Arial"/>
          <w:szCs w:val="24"/>
          <w:lang w:val="es-ES"/>
        </w:rPr>
        <w:t xml:space="preserve"> Magaña-López, R.4,</w:t>
      </w:r>
      <w:r>
        <w:rPr>
          <w:rFonts w:ascii="Arial" w:hAnsi="Arial" w:cs="Arial"/>
          <w:szCs w:val="24"/>
          <w:vertAlign w:val="superscript"/>
          <w:lang w:val="es-ES"/>
        </w:rPr>
        <w:t xml:space="preserve"> IINGEN-UNAM</w:t>
      </w:r>
    </w:p>
    <w:p w:rsidR="00123C57" w:rsidRDefault="00123C57" w:rsidP="00123C57">
      <w:pPr>
        <w:pStyle w:val="affiliation"/>
        <w:rPr>
          <w:rFonts w:ascii="Arial" w:hAnsi="Arial" w:cs="Arial"/>
          <w:sz w:val="24"/>
          <w:szCs w:val="24"/>
          <w:lang w:val="es-ES"/>
        </w:rPr>
      </w:pPr>
      <w:r>
        <w:rPr>
          <w:rFonts w:ascii="Arial" w:hAnsi="Arial" w:cs="Arial"/>
          <w:sz w:val="24"/>
          <w:szCs w:val="24"/>
          <w:vertAlign w:val="superscript"/>
          <w:lang w:val="es-ES"/>
        </w:rPr>
        <w:t>1</w:t>
      </w:r>
      <w:r>
        <w:rPr>
          <w:rFonts w:ascii="Arial" w:hAnsi="Arial" w:cs="Arial"/>
          <w:sz w:val="24"/>
          <w:szCs w:val="24"/>
          <w:lang w:val="es-ES"/>
        </w:rPr>
        <w:t xml:space="preserve">Instituto de Ingeniería, Universidad Nacional Autónoma de México, I.I.U.N.A.M. 1. </w:t>
      </w:r>
    </w:p>
    <w:p w:rsidR="00123C57" w:rsidRDefault="00123C57" w:rsidP="00123C57">
      <w:pPr>
        <w:pStyle w:val="affiliation"/>
        <w:rPr>
          <w:rFonts w:ascii="Arial" w:hAnsi="Arial" w:cs="Arial"/>
          <w:sz w:val="24"/>
          <w:szCs w:val="24"/>
          <w:vertAlign w:val="superscript"/>
          <w:lang w:val="es-ES"/>
        </w:rPr>
      </w:pPr>
      <w:r w:rsidRPr="00DB5D84">
        <w:rPr>
          <w:rFonts w:ascii="Arial" w:hAnsi="Arial" w:cs="Arial"/>
          <w:sz w:val="24"/>
          <w:szCs w:val="24"/>
          <w:vertAlign w:val="superscript"/>
          <w:lang w:val="es-ES"/>
        </w:rPr>
        <w:t>1</w:t>
      </w:r>
      <w:r>
        <w:rPr>
          <w:rFonts w:ascii="Arial" w:hAnsi="Arial" w:cs="Arial"/>
          <w:sz w:val="24"/>
          <w:szCs w:val="24"/>
          <w:lang w:val="es-ES"/>
        </w:rPr>
        <w:t>I</w:t>
      </w:r>
      <w:r w:rsidRPr="00DB5D84">
        <w:rPr>
          <w:rFonts w:ascii="Arial" w:hAnsi="Arial" w:cs="Arial"/>
          <w:sz w:val="24"/>
          <w:szCs w:val="24"/>
          <w:lang w:val="es-ES"/>
        </w:rPr>
        <w:t>nstituto</w:t>
      </w:r>
      <w:r>
        <w:rPr>
          <w:rFonts w:ascii="Arial" w:hAnsi="Arial" w:cs="Arial"/>
          <w:sz w:val="24"/>
          <w:szCs w:val="24"/>
          <w:lang w:val="es-ES"/>
        </w:rPr>
        <w:t xml:space="preserve"> de Ingeniería, Universidad Nacional Autónoma de México, I.I.U.N.A.M. 2. </w:t>
      </w:r>
    </w:p>
    <w:p w:rsidR="00123C57" w:rsidRDefault="00123C57" w:rsidP="00123C57">
      <w:pPr>
        <w:pStyle w:val="affiliation"/>
        <w:rPr>
          <w:rFonts w:ascii="Arial" w:hAnsi="Arial" w:cs="Arial"/>
          <w:sz w:val="24"/>
          <w:szCs w:val="24"/>
          <w:lang w:val="es-ES"/>
        </w:rPr>
      </w:pPr>
      <w:r>
        <w:rPr>
          <w:rFonts w:ascii="Arial" w:hAnsi="Arial" w:cs="Arial"/>
          <w:sz w:val="24"/>
          <w:szCs w:val="24"/>
          <w:vertAlign w:val="superscript"/>
          <w:lang w:val="es-ES"/>
        </w:rPr>
        <w:t>2</w:t>
      </w:r>
      <w:r>
        <w:rPr>
          <w:rFonts w:ascii="Arial" w:hAnsi="Arial" w:cs="Arial"/>
          <w:sz w:val="24"/>
          <w:szCs w:val="24"/>
          <w:lang w:val="es-ES"/>
        </w:rPr>
        <w:t xml:space="preserve">Instituto de Biotecnología, Universidad Nacional Autónoma de México, Campus </w:t>
      </w:r>
      <w:r w:rsidRPr="005557B5">
        <w:rPr>
          <w:rFonts w:ascii="Arial" w:hAnsi="Arial" w:cs="Arial"/>
          <w:sz w:val="24"/>
          <w:szCs w:val="24"/>
          <w:lang w:val="es-ES"/>
        </w:rPr>
        <w:t>Morelos.</w:t>
      </w:r>
      <w:r>
        <w:rPr>
          <w:rFonts w:ascii="Arial" w:hAnsi="Arial" w:cs="Arial"/>
          <w:sz w:val="24"/>
          <w:szCs w:val="24"/>
          <w:lang w:val="es-ES"/>
        </w:rPr>
        <w:t xml:space="preserve"> </w:t>
      </w:r>
      <w:r w:rsidRPr="005557B5">
        <w:rPr>
          <w:rFonts w:ascii="Arial" w:hAnsi="Arial" w:cs="Arial"/>
          <w:sz w:val="24"/>
          <w:szCs w:val="24"/>
          <w:lang w:val="es-ES"/>
        </w:rPr>
        <w:t>3.</w:t>
      </w:r>
    </w:p>
    <w:p w:rsidR="00123C57" w:rsidRDefault="00123C57" w:rsidP="00123C57">
      <w:pPr>
        <w:pStyle w:val="affiliation"/>
        <w:rPr>
          <w:rFonts w:ascii="Arial" w:hAnsi="Arial" w:cs="Arial"/>
          <w:sz w:val="24"/>
          <w:szCs w:val="24"/>
          <w:vertAlign w:val="superscript"/>
          <w:lang w:val="es-ES"/>
        </w:rPr>
      </w:pPr>
      <w:r w:rsidRPr="00DB5D84">
        <w:rPr>
          <w:rFonts w:ascii="Arial" w:hAnsi="Arial" w:cs="Arial"/>
          <w:sz w:val="24"/>
          <w:szCs w:val="24"/>
          <w:vertAlign w:val="superscript"/>
          <w:lang w:val="es-ES"/>
        </w:rPr>
        <w:t>1</w:t>
      </w:r>
      <w:r>
        <w:rPr>
          <w:rFonts w:ascii="Arial" w:hAnsi="Arial" w:cs="Arial"/>
          <w:sz w:val="24"/>
          <w:szCs w:val="24"/>
          <w:lang w:val="es-ES"/>
        </w:rPr>
        <w:t>I</w:t>
      </w:r>
      <w:r w:rsidRPr="00DB5D84">
        <w:rPr>
          <w:rFonts w:ascii="Arial" w:hAnsi="Arial" w:cs="Arial"/>
          <w:sz w:val="24"/>
          <w:szCs w:val="24"/>
          <w:lang w:val="es-ES"/>
        </w:rPr>
        <w:t>nstituto</w:t>
      </w:r>
      <w:r>
        <w:rPr>
          <w:rFonts w:ascii="Arial" w:hAnsi="Arial" w:cs="Arial"/>
          <w:sz w:val="24"/>
          <w:szCs w:val="24"/>
          <w:lang w:val="es-ES"/>
        </w:rPr>
        <w:t xml:space="preserve"> de Ingeniería, Universidad Nacional Autónoma de México, I.I.U.N.A.M. 4. </w:t>
      </w:r>
    </w:p>
    <w:p w:rsidR="00123C57" w:rsidRDefault="00123C57" w:rsidP="00123C57">
      <w:pPr>
        <w:pStyle w:val="affiliation"/>
        <w:rPr>
          <w:rFonts w:ascii="Arial" w:hAnsi="Arial" w:cs="Arial"/>
          <w:sz w:val="24"/>
          <w:szCs w:val="24"/>
          <w:lang w:val="es-ES"/>
        </w:rPr>
      </w:pPr>
    </w:p>
    <w:p w:rsidR="00123C57" w:rsidRPr="005557B5" w:rsidRDefault="00123C57" w:rsidP="00123C57">
      <w:pPr>
        <w:pStyle w:val="affiliation"/>
        <w:rPr>
          <w:rFonts w:ascii="Arial" w:hAnsi="Arial" w:cs="Arial"/>
          <w:sz w:val="24"/>
          <w:szCs w:val="24"/>
          <w:lang w:val="es-ES"/>
        </w:rPr>
      </w:pPr>
    </w:p>
    <w:p w:rsidR="00123C57" w:rsidRPr="005557B5" w:rsidRDefault="00123C57" w:rsidP="00123C57">
      <w:pPr>
        <w:pStyle w:val="affiliation"/>
        <w:rPr>
          <w:rStyle w:val="Hipervnculo"/>
          <w:rFonts w:ascii="Arial" w:hAnsi="Arial" w:cs="Arial"/>
          <w:sz w:val="24"/>
          <w:szCs w:val="24"/>
          <w:lang w:val="es-ES"/>
        </w:rPr>
      </w:pPr>
      <w:r w:rsidRPr="005557B5">
        <w:rPr>
          <w:rStyle w:val="Hipervnculo"/>
          <w:rFonts w:ascii="Arial" w:hAnsi="Arial" w:cs="Arial"/>
          <w:sz w:val="24"/>
          <w:szCs w:val="24"/>
          <w:lang w:val="es-ES"/>
        </w:rPr>
        <w:t>IRamosR@iingen.unam.mx</w:t>
      </w:r>
      <w:r>
        <w:rPr>
          <w:rStyle w:val="Hipervnculo"/>
          <w:rFonts w:ascii="Arial" w:hAnsi="Arial" w:cs="Arial"/>
          <w:sz w:val="24"/>
          <w:szCs w:val="24"/>
          <w:lang w:val="es-ES"/>
        </w:rPr>
        <w:t>;ramosandro55@gmail.com</w:t>
      </w:r>
    </w:p>
    <w:p w:rsidR="00123C57" w:rsidRPr="005557B5" w:rsidRDefault="001345E4" w:rsidP="00123C57">
      <w:pPr>
        <w:pStyle w:val="affiliation"/>
        <w:rPr>
          <w:rFonts w:ascii="Arial" w:hAnsi="Arial" w:cs="Arial"/>
          <w:sz w:val="24"/>
          <w:szCs w:val="24"/>
          <w:lang w:val="es-ES"/>
        </w:rPr>
      </w:pPr>
      <w:hyperlink r:id="rId948" w:history="1">
        <w:r w:rsidR="00123C57" w:rsidRPr="005557B5">
          <w:rPr>
            <w:rStyle w:val="Hipervnculo"/>
            <w:rFonts w:ascii="Arial" w:hAnsi="Arial" w:cs="Arial"/>
            <w:sz w:val="24"/>
            <w:szCs w:val="24"/>
            <w:lang w:val="es-ES"/>
          </w:rPr>
          <w:t>AChavezM@iingen.unam.mx</w:t>
        </w:r>
      </w:hyperlink>
    </w:p>
    <w:p w:rsidR="00123C57" w:rsidRDefault="00123C57" w:rsidP="00123C57">
      <w:pPr>
        <w:pStyle w:val="affiliation"/>
        <w:rPr>
          <w:rStyle w:val="Hipervnculo"/>
          <w:rFonts w:ascii="Arial" w:hAnsi="Arial" w:cs="Arial"/>
          <w:sz w:val="24"/>
          <w:szCs w:val="24"/>
          <w:lang w:val="es-ES"/>
        </w:rPr>
      </w:pPr>
      <w:r w:rsidRPr="005557B5">
        <w:rPr>
          <w:rStyle w:val="Hipervnculo"/>
          <w:rFonts w:ascii="Arial" w:hAnsi="Arial" w:cs="Arial"/>
          <w:sz w:val="24"/>
          <w:szCs w:val="24"/>
          <w:lang w:val="es-ES"/>
        </w:rPr>
        <w:t>denhi.sch@gmail.com</w:t>
      </w:r>
    </w:p>
    <w:p w:rsidR="00123C57" w:rsidRPr="005557B5" w:rsidRDefault="00123C57" w:rsidP="00123C57">
      <w:pPr>
        <w:pStyle w:val="affiliation"/>
        <w:rPr>
          <w:rStyle w:val="Hipervnculo"/>
          <w:rFonts w:ascii="Arial" w:hAnsi="Arial" w:cs="Arial"/>
          <w:sz w:val="24"/>
          <w:szCs w:val="24"/>
          <w:lang w:val="es-ES"/>
        </w:rPr>
      </w:pPr>
      <w:r>
        <w:rPr>
          <w:rStyle w:val="Hipervnculo"/>
          <w:rFonts w:ascii="Arial" w:hAnsi="Arial" w:cs="Arial"/>
          <w:sz w:val="24"/>
          <w:szCs w:val="24"/>
          <w:lang w:val="es-ES"/>
        </w:rPr>
        <w:t>RMaganaL@iingen.unam.mx</w:t>
      </w:r>
    </w:p>
    <w:p w:rsidR="00123C57" w:rsidRPr="00123C57" w:rsidRDefault="00123C57" w:rsidP="00123C57">
      <w:pPr>
        <w:pStyle w:val="Ttulo1"/>
        <w:keepLines w:val="0"/>
        <w:numPr>
          <w:ilvl w:val="0"/>
          <w:numId w:val="1"/>
        </w:numPr>
        <w:tabs>
          <w:tab w:val="clear" w:pos="432"/>
          <w:tab w:val="num" w:pos="0"/>
        </w:tabs>
        <w:suppressAutoHyphens/>
        <w:spacing w:before="0" w:after="0"/>
        <w:ind w:left="0" w:firstLine="0"/>
        <w:rPr>
          <w:color w:val="000000"/>
          <w:sz w:val="24"/>
          <w:szCs w:val="24"/>
        </w:rPr>
      </w:pPr>
      <w:bookmarkStart w:id="187" w:name="_Toc50031278"/>
      <w:r w:rsidRPr="00123C57">
        <w:rPr>
          <w:caps/>
          <w:sz w:val="24"/>
          <w:szCs w:val="24"/>
        </w:rPr>
        <w:t>1. R</w:t>
      </w:r>
      <w:r w:rsidRPr="00123C57">
        <w:rPr>
          <w:sz w:val="24"/>
          <w:szCs w:val="24"/>
        </w:rPr>
        <w:t>esumen</w:t>
      </w:r>
      <w:bookmarkEnd w:id="187"/>
      <w:r w:rsidRPr="00123C57">
        <w:rPr>
          <w:caps/>
          <w:sz w:val="24"/>
          <w:szCs w:val="24"/>
        </w:rPr>
        <w:t xml:space="preserve"> </w:t>
      </w:r>
    </w:p>
    <w:p w:rsidR="00123C57" w:rsidRDefault="00123C57" w:rsidP="00123C57">
      <w:pPr>
        <w:ind w:firstLine="567"/>
        <w:jc w:val="both"/>
        <w:rPr>
          <w:rFonts w:ascii="Arial" w:hAnsi="Arial" w:cs="Arial"/>
          <w:lang w:val="es-ES_tradnl"/>
        </w:rPr>
      </w:pPr>
      <w:r w:rsidRPr="008500BF">
        <w:rPr>
          <w:rFonts w:ascii="Arial" w:hAnsi="Arial" w:cs="Arial"/>
        </w:rPr>
        <w:t xml:space="preserve">El presente estudio tuvo por objetivo </w:t>
      </w:r>
      <w:r>
        <w:rPr>
          <w:rFonts w:ascii="Arial" w:hAnsi="Arial" w:cs="Arial"/>
          <w:lang w:val="es-ES_tradnl"/>
        </w:rPr>
        <w:t xml:space="preserve">evaluar la calidad y seguridad del </w:t>
      </w:r>
      <w:r w:rsidRPr="005F258F">
        <w:rPr>
          <w:rFonts w:ascii="Arial" w:hAnsi="Arial" w:cs="Arial"/>
          <w:lang w:val="es-ES_tradnl"/>
        </w:rPr>
        <w:t>agua reno</w:t>
      </w:r>
      <w:r>
        <w:rPr>
          <w:rFonts w:ascii="Arial" w:hAnsi="Arial" w:cs="Arial"/>
          <w:lang w:val="es-ES_tradnl"/>
        </w:rPr>
        <w:t>vada utilizando</w:t>
      </w:r>
      <w:r w:rsidRPr="005F258F">
        <w:rPr>
          <w:rFonts w:ascii="Arial" w:hAnsi="Arial" w:cs="Arial"/>
          <w:lang w:val="es-ES_tradnl"/>
        </w:rPr>
        <w:t xml:space="preserve"> tr</w:t>
      </w:r>
      <w:r>
        <w:rPr>
          <w:rFonts w:ascii="Arial" w:hAnsi="Arial" w:cs="Arial"/>
          <w:lang w:val="es-ES_tradnl"/>
        </w:rPr>
        <w:t xml:space="preserve">atamientos terciarios avanzados en agua residual tratada por la Planta piloto para recarga del acuífero “Cerro de la Estrella”. </w:t>
      </w:r>
      <w:r w:rsidRPr="005F258F">
        <w:rPr>
          <w:rFonts w:ascii="Arial" w:hAnsi="Arial" w:cs="Arial"/>
          <w:lang w:val="es-ES_tradnl"/>
        </w:rPr>
        <w:t>Ello mediante</w:t>
      </w:r>
      <w:r>
        <w:rPr>
          <w:rFonts w:ascii="Arial" w:hAnsi="Arial" w:cs="Arial"/>
          <w:lang w:val="es-ES_tradnl"/>
        </w:rPr>
        <w:t xml:space="preserve"> la caracterización y cuantificación cromatográfica de microcontaminantes orgánicos (MCO) y el bio</w:t>
      </w:r>
      <w:r w:rsidRPr="003E3299">
        <w:rPr>
          <w:rFonts w:ascii="Arial" w:hAnsi="Arial" w:cs="Arial"/>
          <w:lang w:val="es-ES_tradnl"/>
        </w:rPr>
        <w:t>mo</w:t>
      </w:r>
      <w:r>
        <w:rPr>
          <w:rFonts w:ascii="Arial" w:hAnsi="Arial" w:cs="Arial"/>
          <w:lang w:val="es-ES_tradnl"/>
        </w:rPr>
        <w:t>nitoreo de sus unidades de proceso (UP) mediante ensayos de toxicidad aguda DL</w:t>
      </w:r>
      <w:r w:rsidRPr="00776247">
        <w:rPr>
          <w:rFonts w:ascii="Arial" w:hAnsi="Arial" w:cs="Arial"/>
          <w:vertAlign w:val="superscript"/>
          <w:lang w:val="es-ES_tradnl"/>
        </w:rPr>
        <w:t>50</w:t>
      </w:r>
      <w:r>
        <w:rPr>
          <w:rFonts w:ascii="Arial" w:hAnsi="Arial" w:cs="Arial"/>
          <w:lang w:val="es-ES_tradnl"/>
        </w:rPr>
        <w:t xml:space="preserve"> y ensayos del comportamiento motor utilizando embriones y larvas de pez cebra (</w:t>
      </w:r>
      <w:r w:rsidRPr="00D0124E">
        <w:rPr>
          <w:rFonts w:ascii="Arial" w:hAnsi="Arial" w:cs="Arial"/>
          <w:i/>
          <w:lang w:val="es-ES_tradnl"/>
        </w:rPr>
        <w:t>Danio rerio</w:t>
      </w:r>
      <w:r>
        <w:rPr>
          <w:rFonts w:ascii="Arial" w:hAnsi="Arial" w:cs="Arial"/>
          <w:lang w:val="es-ES_tradnl"/>
        </w:rPr>
        <w:t>). Los resultados indican que el efluente producido por la planta presenta rangos de concentraciones de MCO de bisfenol A (</w:t>
      </w:r>
      <w:r w:rsidRPr="00C72AF8">
        <w:rPr>
          <w:rFonts w:ascii="Arial" w:hAnsi="Arial" w:cs="Arial"/>
          <w:lang w:val="es-ES_tradnl"/>
        </w:rPr>
        <w:t>1</w:t>
      </w:r>
      <w:r>
        <w:rPr>
          <w:rFonts w:ascii="Arial" w:hAnsi="Arial" w:cs="Arial"/>
          <w:lang w:val="es-ES_tradnl"/>
        </w:rPr>
        <w:t>,</w:t>
      </w:r>
      <w:r w:rsidRPr="00C72AF8">
        <w:rPr>
          <w:rFonts w:ascii="Arial" w:hAnsi="Arial" w:cs="Arial"/>
          <w:lang w:val="es-ES_tradnl"/>
        </w:rPr>
        <w:t>198-2</w:t>
      </w:r>
      <w:r>
        <w:rPr>
          <w:rFonts w:ascii="Arial" w:hAnsi="Arial" w:cs="Arial"/>
          <w:lang w:val="es-ES_tradnl"/>
        </w:rPr>
        <w:t>,</w:t>
      </w:r>
      <w:r w:rsidRPr="00C72AF8">
        <w:rPr>
          <w:rFonts w:ascii="Arial" w:hAnsi="Arial" w:cs="Arial"/>
          <w:lang w:val="es-ES_tradnl"/>
        </w:rPr>
        <w:t>282</w:t>
      </w:r>
      <w:r>
        <w:rPr>
          <w:rFonts w:ascii="Arial" w:hAnsi="Arial" w:cs="Arial"/>
          <w:lang w:val="es-ES_tradnl"/>
        </w:rPr>
        <w:t xml:space="preserve"> ng/L); carbamazepina (89,000 ng/L);</w:t>
      </w:r>
      <w:r w:rsidRPr="00D622FA">
        <w:rPr>
          <w:rFonts w:ascii="Arial" w:hAnsi="Arial" w:cs="Arial"/>
          <w:lang w:val="es-ES_tradnl"/>
        </w:rPr>
        <w:t xml:space="preserve"> </w:t>
      </w:r>
      <w:r>
        <w:rPr>
          <w:rFonts w:ascii="Arial" w:hAnsi="Arial" w:cs="Arial"/>
          <w:lang w:val="es-ES_tradnl"/>
        </w:rPr>
        <w:t>nonilfenol (322 ng/L) y triclosán (</w:t>
      </w:r>
      <w:r w:rsidRPr="00C72AF8">
        <w:rPr>
          <w:rFonts w:ascii="Arial" w:hAnsi="Arial" w:cs="Arial"/>
          <w:lang w:val="es-ES_tradnl"/>
        </w:rPr>
        <w:t>1</w:t>
      </w:r>
      <w:r>
        <w:rPr>
          <w:rFonts w:ascii="Arial" w:hAnsi="Arial" w:cs="Arial"/>
          <w:lang w:val="es-ES_tradnl"/>
        </w:rPr>
        <w:t>,</w:t>
      </w:r>
      <w:r w:rsidRPr="00C72AF8">
        <w:rPr>
          <w:rFonts w:ascii="Arial" w:hAnsi="Arial" w:cs="Arial"/>
          <w:lang w:val="es-ES_tradnl"/>
        </w:rPr>
        <w:t>539-2</w:t>
      </w:r>
      <w:r>
        <w:rPr>
          <w:rFonts w:ascii="Arial" w:hAnsi="Arial" w:cs="Arial"/>
          <w:lang w:val="es-ES_tradnl"/>
        </w:rPr>
        <w:t>,</w:t>
      </w:r>
      <w:r w:rsidRPr="00C72AF8">
        <w:rPr>
          <w:rFonts w:ascii="Arial" w:hAnsi="Arial" w:cs="Arial"/>
          <w:lang w:val="es-ES_tradnl"/>
        </w:rPr>
        <w:t>354</w:t>
      </w:r>
      <w:r>
        <w:rPr>
          <w:rFonts w:ascii="Arial" w:hAnsi="Arial" w:cs="Arial"/>
          <w:lang w:val="es-ES_tradnl"/>
        </w:rPr>
        <w:t xml:space="preserve"> ng/L). Si bien no presenta </w:t>
      </w:r>
      <w:r w:rsidRPr="00703EBF">
        <w:rPr>
          <w:rFonts w:ascii="Arial" w:hAnsi="Arial" w:cs="Arial"/>
          <w:lang w:val="es-ES_tradnl"/>
        </w:rPr>
        <w:t>una dosis letal 50 (DL</w:t>
      </w:r>
      <w:r w:rsidRPr="00703EBF">
        <w:rPr>
          <w:rFonts w:ascii="Arial" w:hAnsi="Arial" w:cs="Arial"/>
          <w:vertAlign w:val="subscript"/>
          <w:lang w:val="es-ES_tradnl"/>
        </w:rPr>
        <w:t>50</w:t>
      </w:r>
      <w:r w:rsidRPr="00703EBF">
        <w:rPr>
          <w:rFonts w:ascii="Arial" w:hAnsi="Arial" w:cs="Arial"/>
          <w:lang w:val="es-ES_tradnl"/>
        </w:rPr>
        <w:t>)</w:t>
      </w:r>
      <w:r>
        <w:rPr>
          <w:rFonts w:ascii="Arial" w:hAnsi="Arial" w:cs="Arial"/>
          <w:lang w:val="es-ES_tradnl"/>
        </w:rPr>
        <w:t xml:space="preserve"> para el agua de salida</w:t>
      </w:r>
      <w:r w:rsidRPr="00703EBF">
        <w:rPr>
          <w:rFonts w:ascii="Arial" w:hAnsi="Arial" w:cs="Arial"/>
          <w:lang w:val="es-ES_tradnl"/>
        </w:rPr>
        <w:t>,</w:t>
      </w:r>
      <w:r>
        <w:rPr>
          <w:rFonts w:ascii="Arial" w:hAnsi="Arial" w:cs="Arial"/>
          <w:lang w:val="es-ES_tradnl"/>
        </w:rPr>
        <w:t xml:space="preserve"> si lo hacen para el MCO triclosán a concentraciones de 1000 y 2000 ng/L. Además, l</w:t>
      </w:r>
      <w:r w:rsidRPr="00703EBF">
        <w:rPr>
          <w:rFonts w:ascii="Arial" w:hAnsi="Arial" w:cs="Arial"/>
          <w:lang w:val="es-ES_tradnl"/>
        </w:rPr>
        <w:t xml:space="preserve">os ensayos de comportamiento mostraron trastornos </w:t>
      </w:r>
      <w:r>
        <w:rPr>
          <w:rFonts w:ascii="Arial" w:hAnsi="Arial" w:cs="Arial"/>
          <w:lang w:val="es-ES_tradnl"/>
        </w:rPr>
        <w:t xml:space="preserve">de motilidad sobre el organismo de prueba y no se descartan implicaciones </w:t>
      </w:r>
      <w:r w:rsidRPr="00703EBF">
        <w:rPr>
          <w:rFonts w:ascii="Arial" w:hAnsi="Arial" w:cs="Arial"/>
          <w:lang w:val="es-ES_tradnl"/>
        </w:rPr>
        <w:t>crónicas</w:t>
      </w:r>
      <w:r>
        <w:rPr>
          <w:rFonts w:ascii="Arial" w:hAnsi="Arial" w:cs="Arial"/>
          <w:lang w:val="es-ES_tradnl"/>
        </w:rPr>
        <w:t xml:space="preserve"> posteriores, que deberán ser estudiados </w:t>
      </w:r>
      <w:r w:rsidRPr="00703EBF">
        <w:rPr>
          <w:rFonts w:ascii="Arial" w:hAnsi="Arial" w:cs="Arial"/>
          <w:lang w:val="es-ES_tradnl"/>
        </w:rPr>
        <w:t>a detalle</w:t>
      </w:r>
      <w:r>
        <w:rPr>
          <w:rFonts w:ascii="Arial" w:hAnsi="Arial" w:cs="Arial"/>
          <w:lang w:val="es-ES_tradnl"/>
        </w:rPr>
        <w:t xml:space="preserve"> para garantizar el uso seguro del agua renovada.</w:t>
      </w:r>
      <w:r w:rsidRPr="0015589F">
        <w:t xml:space="preserve"> </w:t>
      </w:r>
      <w:r w:rsidRPr="0015589F">
        <w:rPr>
          <w:rFonts w:ascii="Arial" w:hAnsi="Arial" w:cs="Arial"/>
          <w:lang w:val="es-ES_tradnl"/>
        </w:rPr>
        <w:t xml:space="preserve">Por último, los costos de operación del proyecto de recarga demuestran su </w:t>
      </w:r>
      <w:r>
        <w:rPr>
          <w:rFonts w:ascii="Arial" w:hAnsi="Arial" w:cs="Arial"/>
          <w:lang w:val="es-ES_tradnl"/>
        </w:rPr>
        <w:t>rentabilidad e</w:t>
      </w:r>
      <w:r w:rsidRPr="0015589F">
        <w:rPr>
          <w:rFonts w:ascii="Arial" w:hAnsi="Arial" w:cs="Arial"/>
          <w:lang w:val="es-ES_tradnl"/>
        </w:rPr>
        <w:t>conómica</w:t>
      </w:r>
      <w:r>
        <w:rPr>
          <w:rFonts w:ascii="Arial" w:hAnsi="Arial" w:cs="Arial"/>
          <w:lang w:val="es-ES_tradnl"/>
        </w:rPr>
        <w:t>, por lo que puede ser una alternativa prometedora para solventar la problemática de abastecimiento de agua segura en zonas con poca disponibilidad del recurso a través de la recarga de los acuíferos locales.</w:t>
      </w:r>
    </w:p>
    <w:p w:rsidR="00123C57" w:rsidRPr="00123C57" w:rsidRDefault="00123C57" w:rsidP="00123C57">
      <w:pPr>
        <w:pStyle w:val="Ttulo1"/>
        <w:keepLines w:val="0"/>
        <w:numPr>
          <w:ilvl w:val="0"/>
          <w:numId w:val="1"/>
        </w:numPr>
        <w:tabs>
          <w:tab w:val="clear" w:pos="432"/>
          <w:tab w:val="num" w:pos="0"/>
        </w:tabs>
        <w:suppressAutoHyphens/>
        <w:spacing w:before="0" w:after="0"/>
        <w:ind w:left="0" w:firstLine="0"/>
        <w:rPr>
          <w:caps/>
          <w:sz w:val="24"/>
          <w:szCs w:val="24"/>
        </w:rPr>
      </w:pPr>
      <w:bookmarkStart w:id="188" w:name="_Toc50031279"/>
      <w:r w:rsidRPr="00123C57">
        <w:rPr>
          <w:caps/>
          <w:sz w:val="24"/>
          <w:szCs w:val="24"/>
        </w:rPr>
        <w:lastRenderedPageBreak/>
        <w:t>2. I</w:t>
      </w:r>
      <w:r w:rsidRPr="00123C57">
        <w:rPr>
          <w:sz w:val="24"/>
          <w:szCs w:val="24"/>
        </w:rPr>
        <w:t>ntroducción</w:t>
      </w:r>
      <w:bookmarkEnd w:id="188"/>
      <w:r w:rsidRPr="00123C57">
        <w:rPr>
          <w:caps/>
          <w:sz w:val="24"/>
          <w:szCs w:val="24"/>
        </w:rPr>
        <w:t xml:space="preserve"> </w:t>
      </w:r>
    </w:p>
    <w:p w:rsidR="00123C57" w:rsidRDefault="00123C57" w:rsidP="00123C57">
      <w:pPr>
        <w:ind w:firstLine="708"/>
        <w:jc w:val="both"/>
        <w:rPr>
          <w:rFonts w:ascii="Arial" w:hAnsi="Arial" w:cs="Arial"/>
          <w:bCs/>
          <w:lang w:val="es-ES_tradnl"/>
        </w:rPr>
      </w:pPr>
      <w:r w:rsidRPr="00AF7603">
        <w:rPr>
          <w:rFonts w:ascii="Arial" w:hAnsi="Arial" w:cs="Arial"/>
          <w:bCs/>
          <w:lang w:val="es-ES_tradnl"/>
        </w:rPr>
        <w:t>La presencia de</w:t>
      </w:r>
      <w:r>
        <w:rPr>
          <w:rFonts w:ascii="Arial" w:hAnsi="Arial" w:cs="Arial"/>
          <w:bCs/>
          <w:lang w:val="es-ES_tradnl"/>
        </w:rPr>
        <w:t xml:space="preserve"> microcontaminantes orgánicos</w:t>
      </w:r>
      <w:r w:rsidRPr="00AF7603">
        <w:rPr>
          <w:rFonts w:ascii="Arial" w:hAnsi="Arial" w:cs="Arial"/>
          <w:bCs/>
          <w:lang w:val="es-ES_tradnl"/>
        </w:rPr>
        <w:t xml:space="preserve"> </w:t>
      </w:r>
      <w:r>
        <w:rPr>
          <w:rFonts w:ascii="Arial" w:hAnsi="Arial" w:cs="Arial"/>
          <w:bCs/>
          <w:lang w:val="es-ES_tradnl"/>
        </w:rPr>
        <w:t>(</w:t>
      </w:r>
      <w:r w:rsidRPr="00AF7603">
        <w:rPr>
          <w:rFonts w:ascii="Arial" w:hAnsi="Arial" w:cs="Arial"/>
          <w:bCs/>
          <w:lang w:val="es-ES_tradnl"/>
        </w:rPr>
        <w:t>MCO</w:t>
      </w:r>
      <w:r>
        <w:rPr>
          <w:rFonts w:ascii="Arial" w:hAnsi="Arial" w:cs="Arial"/>
          <w:bCs/>
          <w:lang w:val="es-ES_tradnl"/>
        </w:rPr>
        <w:t>)</w:t>
      </w:r>
      <w:r w:rsidRPr="00AF7603">
        <w:rPr>
          <w:rFonts w:ascii="Arial" w:hAnsi="Arial" w:cs="Arial"/>
          <w:bCs/>
          <w:lang w:val="es-ES_tradnl"/>
        </w:rPr>
        <w:t xml:space="preserve"> en </w:t>
      </w:r>
      <w:r>
        <w:rPr>
          <w:rFonts w:ascii="Arial" w:hAnsi="Arial" w:cs="Arial"/>
          <w:bCs/>
          <w:lang w:val="es-ES_tradnl"/>
        </w:rPr>
        <w:t>agua</w:t>
      </w:r>
      <w:r w:rsidRPr="007A4A80">
        <w:rPr>
          <w:rFonts w:ascii="Arial" w:hAnsi="Arial" w:cs="Arial"/>
          <w:bCs/>
          <w:lang w:val="es-ES_tradnl"/>
        </w:rPr>
        <w:t xml:space="preserve"> </w:t>
      </w:r>
      <w:r w:rsidRPr="00AF7603">
        <w:rPr>
          <w:rFonts w:ascii="Arial" w:hAnsi="Arial" w:cs="Arial"/>
          <w:bCs/>
          <w:lang w:val="es-ES_tradnl"/>
        </w:rPr>
        <w:t>puede</w:t>
      </w:r>
      <w:r>
        <w:rPr>
          <w:rFonts w:ascii="Arial" w:hAnsi="Arial" w:cs="Arial"/>
          <w:bCs/>
          <w:lang w:val="es-ES_tradnl"/>
        </w:rPr>
        <w:t xml:space="preserve"> explicarse debido a que estos compuestos químicos</w:t>
      </w:r>
      <w:r w:rsidRPr="00AF7603">
        <w:rPr>
          <w:rFonts w:ascii="Arial" w:hAnsi="Arial" w:cs="Arial"/>
          <w:bCs/>
          <w:lang w:val="es-ES_tradnl"/>
        </w:rPr>
        <w:t xml:space="preserve"> </w:t>
      </w:r>
      <w:r>
        <w:rPr>
          <w:rFonts w:ascii="Arial" w:hAnsi="Arial" w:cs="Arial"/>
          <w:bCs/>
          <w:lang w:val="es-ES_tradnl"/>
        </w:rPr>
        <w:t xml:space="preserve">poseen una </w:t>
      </w:r>
      <w:r w:rsidRPr="00AF7603">
        <w:rPr>
          <w:rFonts w:ascii="Arial" w:hAnsi="Arial" w:cs="Arial"/>
          <w:bCs/>
          <w:lang w:val="es-ES_tradnl"/>
        </w:rPr>
        <w:t xml:space="preserve">variedad de </w:t>
      </w:r>
      <w:r>
        <w:rPr>
          <w:rFonts w:ascii="Arial" w:hAnsi="Arial" w:cs="Arial"/>
          <w:bCs/>
          <w:lang w:val="es-ES_tradnl"/>
        </w:rPr>
        <w:t>usos</w:t>
      </w:r>
      <w:r w:rsidRPr="00AF7603">
        <w:rPr>
          <w:rFonts w:ascii="Arial" w:hAnsi="Arial" w:cs="Arial"/>
          <w:bCs/>
          <w:lang w:val="es-ES_tradnl"/>
        </w:rPr>
        <w:t xml:space="preserve"> comerciales que incluyen calzado, cremas para el acné, efluentes de hospitales</w:t>
      </w:r>
      <w:r>
        <w:rPr>
          <w:rFonts w:ascii="Arial" w:hAnsi="Arial" w:cs="Arial"/>
          <w:bCs/>
          <w:lang w:val="es-ES_tradnl"/>
        </w:rPr>
        <w:t>,</w:t>
      </w:r>
      <w:r w:rsidRPr="00AF7603">
        <w:rPr>
          <w:rFonts w:ascii="Arial" w:hAnsi="Arial" w:cs="Arial"/>
          <w:bCs/>
          <w:lang w:val="es-ES_tradnl"/>
        </w:rPr>
        <w:t xml:space="preserve"> jabón de manos, pasta de dientes y recientemente </w:t>
      </w:r>
      <w:r>
        <w:rPr>
          <w:rFonts w:ascii="Arial" w:hAnsi="Arial" w:cs="Arial"/>
          <w:bCs/>
          <w:lang w:val="es-ES_tradnl"/>
        </w:rPr>
        <w:t xml:space="preserve">en </w:t>
      </w:r>
      <w:r w:rsidRPr="00AF7603">
        <w:rPr>
          <w:rFonts w:ascii="Arial" w:hAnsi="Arial" w:cs="Arial"/>
          <w:bCs/>
          <w:lang w:val="es-ES_tradnl"/>
        </w:rPr>
        <w:t>productos plásticos</w:t>
      </w:r>
      <w:r>
        <w:rPr>
          <w:rFonts w:ascii="Arial" w:hAnsi="Arial" w:cs="Arial"/>
          <w:bCs/>
          <w:lang w:val="es-ES_tradnl"/>
        </w:rPr>
        <w:t>, tal como ju</w:t>
      </w:r>
      <w:r w:rsidRPr="00AF7603">
        <w:rPr>
          <w:rFonts w:ascii="Arial" w:hAnsi="Arial" w:cs="Arial"/>
          <w:bCs/>
          <w:lang w:val="es-ES_tradnl"/>
        </w:rPr>
        <w:t>guetes</w:t>
      </w:r>
      <w:r>
        <w:rPr>
          <w:rFonts w:ascii="Arial" w:hAnsi="Arial" w:cs="Arial"/>
          <w:bCs/>
          <w:lang w:val="es-ES_tradnl"/>
        </w:rPr>
        <w:t xml:space="preserve">, así como para utensilios de cocina </w:t>
      </w:r>
      <w:r>
        <w:rPr>
          <w:rFonts w:ascii="Arial" w:hAnsi="Arial" w:cs="Arial"/>
          <w:bCs/>
          <w:vertAlign w:val="superscript"/>
          <w:lang w:val="es-ES_tradnl"/>
        </w:rPr>
        <w:t>[1]</w:t>
      </w:r>
      <w:r>
        <w:rPr>
          <w:rFonts w:ascii="Arial" w:hAnsi="Arial" w:cs="Arial"/>
          <w:bCs/>
          <w:lang w:val="es-ES_tradnl"/>
        </w:rPr>
        <w:t xml:space="preserve">. </w:t>
      </w:r>
      <w:r w:rsidRPr="00AF7603">
        <w:rPr>
          <w:rFonts w:ascii="Arial" w:hAnsi="Arial" w:cs="Arial"/>
          <w:bCs/>
          <w:lang w:val="es-ES_tradnl"/>
        </w:rPr>
        <w:t>Los procesos convencionales con los que operan las plantas de tratamiento de aguas residuales</w:t>
      </w:r>
      <w:r>
        <w:rPr>
          <w:rFonts w:ascii="Arial" w:hAnsi="Arial" w:cs="Arial"/>
          <w:bCs/>
          <w:lang w:val="es-ES_tradnl"/>
        </w:rPr>
        <w:t xml:space="preserve"> (PTAR)</w:t>
      </w:r>
      <w:r w:rsidRPr="00AF7603">
        <w:rPr>
          <w:rFonts w:ascii="Arial" w:hAnsi="Arial" w:cs="Arial"/>
          <w:bCs/>
          <w:lang w:val="es-ES_tradnl"/>
        </w:rPr>
        <w:t>, especialmente los de tipo biológico,</w:t>
      </w:r>
      <w:r>
        <w:rPr>
          <w:rFonts w:ascii="Arial" w:hAnsi="Arial" w:cs="Arial"/>
          <w:bCs/>
          <w:lang w:val="es-ES_tradnl"/>
        </w:rPr>
        <w:t xml:space="preserve"> y que utilizan lodos activados y desinfección por cloración han resultado in</w:t>
      </w:r>
      <w:r w:rsidRPr="00AF7603">
        <w:rPr>
          <w:rFonts w:ascii="Arial" w:hAnsi="Arial" w:cs="Arial"/>
          <w:bCs/>
          <w:lang w:val="es-ES_tradnl"/>
        </w:rPr>
        <w:t>e</w:t>
      </w:r>
      <w:r>
        <w:rPr>
          <w:rFonts w:ascii="Arial" w:hAnsi="Arial" w:cs="Arial"/>
          <w:bCs/>
          <w:lang w:val="es-ES_tradnl"/>
        </w:rPr>
        <w:t>ficientes en la remoción de estos agentes</w:t>
      </w:r>
      <w:r w:rsidRPr="00AF7603">
        <w:rPr>
          <w:rFonts w:ascii="Arial" w:hAnsi="Arial" w:cs="Arial"/>
          <w:bCs/>
          <w:lang w:val="es-ES_tradnl"/>
        </w:rPr>
        <w:t>.</w:t>
      </w:r>
      <w:r>
        <w:rPr>
          <w:rFonts w:ascii="Arial" w:hAnsi="Arial" w:cs="Arial"/>
          <w:bCs/>
          <w:lang w:val="es-ES_tradnl"/>
        </w:rPr>
        <w:t xml:space="preserve"> No obstante, e</w:t>
      </w:r>
      <w:r w:rsidRPr="00595248">
        <w:rPr>
          <w:rFonts w:ascii="Arial" w:hAnsi="Arial" w:cs="Arial"/>
          <w:bCs/>
          <w:lang w:val="es-ES_tradnl"/>
        </w:rPr>
        <w:t>l uso procesos avanzados</w:t>
      </w:r>
      <w:r>
        <w:rPr>
          <w:rFonts w:ascii="Arial" w:hAnsi="Arial" w:cs="Arial"/>
          <w:bCs/>
          <w:lang w:val="es-ES_tradnl"/>
        </w:rPr>
        <w:t xml:space="preserve"> dentro de las PTAR permiten incrementar la calidad del efluente, e inclusive </w:t>
      </w:r>
      <w:r w:rsidRPr="00595248">
        <w:rPr>
          <w:rFonts w:ascii="Arial" w:hAnsi="Arial" w:cs="Arial"/>
          <w:bCs/>
          <w:lang w:val="es-ES_tradnl"/>
        </w:rPr>
        <w:t>obtener un agua renovada de calidad</w:t>
      </w:r>
      <w:r>
        <w:rPr>
          <w:rFonts w:ascii="Arial" w:hAnsi="Arial" w:cs="Arial"/>
          <w:bCs/>
          <w:lang w:val="es-ES_tradnl"/>
        </w:rPr>
        <w:t xml:space="preserve"> </w:t>
      </w:r>
      <w:r w:rsidRPr="00595248">
        <w:rPr>
          <w:rFonts w:ascii="Arial" w:hAnsi="Arial" w:cs="Arial"/>
          <w:bCs/>
          <w:lang w:val="es-ES_tradnl"/>
        </w:rPr>
        <w:t>adecuada para su reúso urbano, industrial, recreativo y/o potable.</w:t>
      </w:r>
      <w:r>
        <w:rPr>
          <w:rFonts w:ascii="Arial" w:hAnsi="Arial" w:cs="Arial"/>
          <w:bCs/>
          <w:lang w:val="es-ES_tradnl"/>
        </w:rPr>
        <w:t xml:space="preserve"> </w:t>
      </w:r>
      <w:r w:rsidRPr="00595248">
        <w:rPr>
          <w:rFonts w:ascii="Arial" w:hAnsi="Arial" w:cs="Arial"/>
          <w:bCs/>
          <w:lang w:val="es-ES_tradnl"/>
        </w:rPr>
        <w:t xml:space="preserve">Las PTAR existentes en la </w:t>
      </w:r>
      <w:r>
        <w:rPr>
          <w:rFonts w:ascii="Arial" w:hAnsi="Arial" w:cs="Arial"/>
          <w:bCs/>
          <w:lang w:val="es-ES_tradnl"/>
        </w:rPr>
        <w:t xml:space="preserve">Zona Metropolitana del Valle de México </w:t>
      </w:r>
      <w:r w:rsidRPr="00595248">
        <w:rPr>
          <w:rFonts w:ascii="Arial" w:hAnsi="Arial" w:cs="Arial"/>
          <w:bCs/>
          <w:lang w:val="es-ES_tradnl"/>
        </w:rPr>
        <w:t xml:space="preserve">destinan sus efluentes </w:t>
      </w:r>
      <w:r>
        <w:rPr>
          <w:rFonts w:ascii="Arial" w:hAnsi="Arial" w:cs="Arial"/>
          <w:bCs/>
          <w:lang w:val="es-ES_tradnl"/>
        </w:rPr>
        <w:t xml:space="preserve">a cuerpos de agua, agricultura, </w:t>
      </w:r>
      <w:r w:rsidRPr="00595248">
        <w:rPr>
          <w:rFonts w:ascii="Arial" w:hAnsi="Arial" w:cs="Arial"/>
          <w:bCs/>
          <w:lang w:val="es-ES_tradnl"/>
        </w:rPr>
        <w:t>riego de áreas verdes, usos industriales</w:t>
      </w:r>
      <w:r>
        <w:rPr>
          <w:rFonts w:ascii="Arial" w:hAnsi="Arial" w:cs="Arial"/>
          <w:bCs/>
          <w:lang w:val="es-ES_tradnl"/>
        </w:rPr>
        <w:t xml:space="preserve">, </w:t>
      </w:r>
      <w:r w:rsidRPr="00D70F84">
        <w:rPr>
          <w:rFonts w:ascii="Arial" w:hAnsi="Arial" w:cs="Arial"/>
          <w:bCs/>
          <w:lang w:val="es-ES_tradnl"/>
        </w:rPr>
        <w:t xml:space="preserve">reúso urbano y </w:t>
      </w:r>
      <w:r>
        <w:rPr>
          <w:rFonts w:ascii="Arial" w:hAnsi="Arial" w:cs="Arial"/>
          <w:bCs/>
          <w:lang w:val="es-ES_tradnl"/>
        </w:rPr>
        <w:t xml:space="preserve">de manera casi </w:t>
      </w:r>
      <w:r w:rsidRPr="00D70F84">
        <w:rPr>
          <w:rFonts w:ascii="Arial" w:hAnsi="Arial" w:cs="Arial"/>
          <w:bCs/>
          <w:lang w:val="es-ES_tradnl"/>
        </w:rPr>
        <w:t>nula para la recarga de las aguas subterráneas</w:t>
      </w:r>
      <w:r w:rsidRPr="00D70F84">
        <w:rPr>
          <w:rFonts w:ascii="Arial" w:hAnsi="Arial" w:cs="Arial"/>
          <w:bCs/>
          <w:vertAlign w:val="superscript"/>
          <w:lang w:val="es-ES_tradnl"/>
        </w:rPr>
        <w:t xml:space="preserve"> </w:t>
      </w:r>
      <w:r w:rsidRPr="003F49BF">
        <w:rPr>
          <w:rFonts w:ascii="Arial" w:hAnsi="Arial" w:cs="Arial"/>
          <w:bCs/>
          <w:vertAlign w:val="superscript"/>
          <w:lang w:val="es-ES_tradnl"/>
        </w:rPr>
        <w:t>[2]</w:t>
      </w:r>
      <w:r w:rsidRPr="003F49BF">
        <w:rPr>
          <w:rFonts w:ascii="Arial" w:hAnsi="Arial" w:cs="Arial"/>
          <w:bCs/>
          <w:lang w:val="es-ES_tradnl"/>
        </w:rPr>
        <w:t>,</w:t>
      </w:r>
      <w:r>
        <w:rPr>
          <w:rFonts w:ascii="Arial" w:hAnsi="Arial" w:cs="Arial"/>
          <w:bCs/>
          <w:lang w:val="es-ES_tradnl"/>
        </w:rPr>
        <w:t xml:space="preserve"> promoviendo con ello un modelo no sostenible</w:t>
      </w:r>
      <w:r w:rsidRPr="00D70F84">
        <w:rPr>
          <w:rFonts w:ascii="Arial" w:hAnsi="Arial" w:cs="Arial"/>
          <w:bCs/>
          <w:lang w:val="es-ES_tradnl"/>
        </w:rPr>
        <w:t>.</w:t>
      </w:r>
      <w:r w:rsidRPr="001203FC">
        <w:rPr>
          <w:rFonts w:ascii="Arial" w:hAnsi="Arial" w:cs="Arial"/>
          <w:bCs/>
          <w:lang w:val="es-ES_tradnl"/>
        </w:rPr>
        <w:t xml:space="preserve"> </w:t>
      </w:r>
    </w:p>
    <w:p w:rsidR="00123C57" w:rsidRPr="001A42B1" w:rsidRDefault="00123C57" w:rsidP="00123C57">
      <w:pPr>
        <w:jc w:val="both"/>
        <w:rPr>
          <w:rFonts w:ascii="Arial" w:hAnsi="Arial" w:cs="Arial"/>
          <w:bCs/>
          <w:lang w:val="es-ES_tradnl"/>
        </w:rPr>
      </w:pPr>
      <w:r>
        <w:rPr>
          <w:rFonts w:ascii="Arial" w:hAnsi="Arial" w:cs="Arial"/>
          <w:bCs/>
          <w:lang w:val="es-ES_tradnl"/>
        </w:rPr>
        <w:t>Si bien, el uso de agua renovada es una alternativa para sitios con limitación del recurso, esto implica la necesidad de implementar procesos avanzados, que conllevan una inversión considerable para el prestador del servicio, así como garantizar la efectividad del proceso, pero más importante es asegurar un impacto inocuo para los elementos bióticos y abióticos del ecosistema,</w:t>
      </w:r>
      <w:r w:rsidRPr="00595248">
        <w:rPr>
          <w:rFonts w:ascii="Arial" w:hAnsi="Arial" w:cs="Arial"/>
          <w:bCs/>
          <w:lang w:val="es-ES_tradnl"/>
        </w:rPr>
        <w:t xml:space="preserve"> </w:t>
      </w:r>
      <w:r>
        <w:rPr>
          <w:rFonts w:ascii="Arial" w:hAnsi="Arial" w:cs="Arial"/>
          <w:bCs/>
          <w:lang w:val="es-ES_tradnl"/>
        </w:rPr>
        <w:t xml:space="preserve">considerando </w:t>
      </w:r>
      <w:r w:rsidRPr="00595248">
        <w:rPr>
          <w:rFonts w:ascii="Arial" w:hAnsi="Arial" w:cs="Arial"/>
          <w:bCs/>
          <w:lang w:val="es-ES_tradnl"/>
        </w:rPr>
        <w:t xml:space="preserve">que el efluente utilizado </w:t>
      </w:r>
      <w:r>
        <w:rPr>
          <w:rFonts w:ascii="Arial" w:hAnsi="Arial" w:cs="Arial"/>
          <w:bCs/>
          <w:lang w:val="es-ES_tradnl"/>
        </w:rPr>
        <w:t>debe alcanzar estándares operativos superiores a los que comúnmente brindan las PTAR.</w:t>
      </w:r>
    </w:p>
    <w:p w:rsidR="00123C57" w:rsidRPr="00123C57" w:rsidRDefault="00123C57" w:rsidP="00123C57">
      <w:pPr>
        <w:pStyle w:val="Ttulo2"/>
        <w:keepLines w:val="0"/>
        <w:numPr>
          <w:ilvl w:val="1"/>
          <w:numId w:val="1"/>
        </w:numPr>
        <w:tabs>
          <w:tab w:val="clear" w:pos="576"/>
          <w:tab w:val="num" w:pos="0"/>
        </w:tabs>
        <w:suppressAutoHyphens/>
        <w:spacing w:before="0"/>
        <w:ind w:left="0" w:firstLine="0"/>
        <w:rPr>
          <w:sz w:val="24"/>
          <w:szCs w:val="24"/>
        </w:rPr>
      </w:pPr>
      <w:bookmarkStart w:id="189" w:name="_Toc50031280"/>
      <w:r w:rsidRPr="00123C57">
        <w:rPr>
          <w:sz w:val="24"/>
          <w:szCs w:val="24"/>
        </w:rPr>
        <w:t>2.1 Planta piloto y generación de agua renovada</w:t>
      </w:r>
      <w:bookmarkEnd w:id="189"/>
      <w:r w:rsidRPr="00123C57">
        <w:rPr>
          <w:sz w:val="24"/>
          <w:szCs w:val="24"/>
        </w:rPr>
        <w:t xml:space="preserve"> </w:t>
      </w:r>
    </w:p>
    <w:p w:rsidR="00123C57" w:rsidRPr="00BE0D49" w:rsidRDefault="00123C57" w:rsidP="00123C57">
      <w:pPr>
        <w:ind w:firstLine="708"/>
        <w:jc w:val="both"/>
        <w:rPr>
          <w:rFonts w:ascii="Arial" w:hAnsi="Arial" w:cs="Arial"/>
          <w:bCs/>
          <w:highlight w:val="yellow"/>
          <w:lang w:val="es-MX"/>
        </w:rPr>
      </w:pPr>
      <w:r w:rsidRPr="00BE69CB">
        <w:rPr>
          <w:rFonts w:ascii="Arial" w:hAnsi="Arial" w:cs="Arial"/>
          <w:bCs/>
          <w:lang w:val="es-MX"/>
        </w:rPr>
        <w:t xml:space="preserve">El Sistema de Aguas de la Ciudad de México (SACMEX), a través de su Unidad Departamental de Investigación Tecnológica </w:t>
      </w:r>
      <w:r>
        <w:rPr>
          <w:rFonts w:ascii="Arial" w:hAnsi="Arial" w:cs="Arial"/>
          <w:bCs/>
          <w:lang w:val="es-MX"/>
        </w:rPr>
        <w:t xml:space="preserve">inició </w:t>
      </w:r>
      <w:r w:rsidRPr="00BE69CB">
        <w:rPr>
          <w:rFonts w:ascii="Arial" w:hAnsi="Arial" w:cs="Arial"/>
          <w:bCs/>
          <w:lang w:val="es-MX"/>
        </w:rPr>
        <w:t>un proyecto integral para la reinyección de agua al acuífero en el año 2008</w:t>
      </w:r>
      <w:r>
        <w:rPr>
          <w:rFonts w:ascii="Arial" w:hAnsi="Arial" w:cs="Arial"/>
          <w:bCs/>
          <w:lang w:val="es-MX"/>
        </w:rPr>
        <w:t xml:space="preserve">. Lo anterior, </w:t>
      </w:r>
      <w:r w:rsidRPr="00BE69CB">
        <w:rPr>
          <w:rFonts w:ascii="Arial" w:hAnsi="Arial" w:cs="Arial"/>
          <w:bCs/>
          <w:lang w:val="es-MX"/>
        </w:rPr>
        <w:t>con el propósito principal de recargar el agua renovada y reducir el hundimiento del suelo en la zona</w:t>
      </w:r>
      <w:r>
        <w:rPr>
          <w:rFonts w:ascii="Arial" w:hAnsi="Arial" w:cs="Arial"/>
          <w:bCs/>
          <w:lang w:val="es-MX"/>
        </w:rPr>
        <w:t xml:space="preserve"> de Iztapalapa, dentro de la CDMX, que es un sitio que históricamente ha carecido de agua y muestra desigualdades en cuanto a la calidad y la ración diaria por habitante, en donde el 60% de las zonas cuenta con un suministro de 170 L/hab/día superior al recomendado de 96 L/hab/día, sin embargo, existen otras zonas de la alcaldía sin red de agua entubada ni disponibilidad del recurso que deben solicitarlo mediante pipas o comprar agua embotellada purificada. Para identificar la viabilidad de la obtención de agua renovada en dicho sitio, se instaló una planta de tratamiento pi</w:t>
      </w:r>
      <w:r w:rsidRPr="00BE69CB">
        <w:rPr>
          <w:rFonts w:ascii="Arial" w:hAnsi="Arial" w:cs="Arial"/>
          <w:bCs/>
          <w:lang w:val="es-MX"/>
        </w:rPr>
        <w:t>loto</w:t>
      </w:r>
      <w:r>
        <w:rPr>
          <w:rFonts w:ascii="Arial" w:hAnsi="Arial" w:cs="Arial"/>
          <w:bCs/>
          <w:lang w:val="es-MX"/>
        </w:rPr>
        <w:t xml:space="preserve"> (PTP)</w:t>
      </w:r>
      <w:r w:rsidRPr="00BE69CB">
        <w:rPr>
          <w:rFonts w:ascii="Arial" w:hAnsi="Arial" w:cs="Arial"/>
          <w:bCs/>
          <w:lang w:val="es-MX"/>
        </w:rPr>
        <w:t xml:space="preserve"> de nivel avanzado </w:t>
      </w:r>
      <w:r>
        <w:rPr>
          <w:rFonts w:ascii="Arial" w:hAnsi="Arial" w:cs="Arial"/>
          <w:bCs/>
          <w:lang w:val="es-MX"/>
        </w:rPr>
        <w:t xml:space="preserve">que </w:t>
      </w:r>
      <w:r w:rsidRPr="00BE69CB">
        <w:rPr>
          <w:rFonts w:ascii="Arial" w:hAnsi="Arial" w:cs="Arial"/>
          <w:bCs/>
          <w:lang w:val="es-MX"/>
        </w:rPr>
        <w:t xml:space="preserve">está diseñada para un caudal inicial de </w:t>
      </w:r>
      <w:r>
        <w:rPr>
          <w:rFonts w:ascii="Arial" w:hAnsi="Arial" w:cs="Arial"/>
          <w:bCs/>
          <w:lang w:val="es-MX"/>
        </w:rPr>
        <w:t>0.0</w:t>
      </w:r>
      <w:r w:rsidRPr="00BE69CB">
        <w:rPr>
          <w:rFonts w:ascii="Arial" w:hAnsi="Arial" w:cs="Arial"/>
          <w:bCs/>
          <w:lang w:val="es-MX"/>
        </w:rPr>
        <w:t>2</w:t>
      </w:r>
      <w:r>
        <w:rPr>
          <w:rFonts w:ascii="Arial" w:hAnsi="Arial" w:cs="Arial"/>
          <w:bCs/>
          <w:lang w:val="es-MX"/>
        </w:rPr>
        <w:t xml:space="preserve"> m</w:t>
      </w:r>
      <w:r>
        <w:rPr>
          <w:rFonts w:ascii="Arial" w:hAnsi="Arial" w:cs="Arial"/>
          <w:bCs/>
          <w:vertAlign w:val="superscript"/>
          <w:lang w:val="es-MX"/>
        </w:rPr>
        <w:t>3</w:t>
      </w:r>
      <w:r>
        <w:rPr>
          <w:rFonts w:ascii="Arial" w:hAnsi="Arial" w:cs="Arial"/>
          <w:bCs/>
          <w:lang w:val="es-MX"/>
        </w:rPr>
        <w:t>/s</w:t>
      </w:r>
      <w:r w:rsidRPr="00BE69CB">
        <w:rPr>
          <w:rFonts w:ascii="Arial" w:hAnsi="Arial" w:cs="Arial"/>
          <w:bCs/>
          <w:lang w:val="es-MX"/>
        </w:rPr>
        <w:t xml:space="preserve">, la cual se puede escalar </w:t>
      </w:r>
      <w:r>
        <w:rPr>
          <w:rFonts w:ascii="Arial" w:hAnsi="Arial" w:cs="Arial"/>
          <w:bCs/>
          <w:lang w:val="es-MX"/>
        </w:rPr>
        <w:t>hasta 0.04 m</w:t>
      </w:r>
      <w:r>
        <w:rPr>
          <w:rFonts w:ascii="Arial" w:hAnsi="Arial" w:cs="Arial"/>
          <w:bCs/>
          <w:vertAlign w:val="superscript"/>
          <w:lang w:val="es-MX"/>
        </w:rPr>
        <w:t>3</w:t>
      </w:r>
      <w:r>
        <w:rPr>
          <w:rFonts w:ascii="Arial" w:hAnsi="Arial" w:cs="Arial"/>
          <w:bCs/>
          <w:lang w:val="es-MX"/>
        </w:rPr>
        <w:t xml:space="preserve">/s. La PTP toma como influente el efluente de la PTAR “Cerro de la Estrella” ubicada en la zona de Iztapalapa, la cual opera con tratamientos secundarios (lodos activados y cloración), para </w:t>
      </w:r>
      <w:r w:rsidRPr="00BE69CB">
        <w:rPr>
          <w:rFonts w:ascii="Arial" w:hAnsi="Arial" w:cs="Arial"/>
          <w:bCs/>
          <w:lang w:val="es-MX"/>
        </w:rPr>
        <w:t xml:space="preserve">posteriormente </w:t>
      </w:r>
      <w:r>
        <w:rPr>
          <w:rFonts w:ascii="Arial" w:hAnsi="Arial" w:cs="Arial"/>
          <w:bCs/>
          <w:lang w:val="es-MX"/>
        </w:rPr>
        <w:t>potabilizarl</w:t>
      </w:r>
      <w:r w:rsidRPr="00BE69CB">
        <w:rPr>
          <w:rFonts w:ascii="Arial" w:hAnsi="Arial" w:cs="Arial"/>
          <w:bCs/>
          <w:lang w:val="es-MX"/>
        </w:rPr>
        <w:t>a</w:t>
      </w:r>
      <w:r>
        <w:rPr>
          <w:rFonts w:ascii="Arial" w:hAnsi="Arial" w:cs="Arial"/>
          <w:bCs/>
          <w:lang w:val="es-MX"/>
        </w:rPr>
        <w:t xml:space="preserve"> con </w:t>
      </w:r>
      <w:r w:rsidRPr="00BE69CB">
        <w:rPr>
          <w:rFonts w:ascii="Arial" w:hAnsi="Arial" w:cs="Arial"/>
          <w:bCs/>
          <w:lang w:val="es-MX"/>
        </w:rPr>
        <w:t xml:space="preserve">el fin de implementar y desarrollar el proyecto de recarga artificial de </w:t>
      </w:r>
      <w:r w:rsidRPr="00D70F84">
        <w:rPr>
          <w:rFonts w:ascii="Arial" w:hAnsi="Arial" w:cs="Arial"/>
          <w:bCs/>
          <w:lang w:val="es-MX"/>
        </w:rPr>
        <w:t>a</w:t>
      </w:r>
      <w:r>
        <w:rPr>
          <w:rFonts w:ascii="Arial" w:hAnsi="Arial" w:cs="Arial"/>
          <w:bCs/>
          <w:lang w:val="es-MX"/>
        </w:rPr>
        <w:t>cuíferos a gran escala</w:t>
      </w:r>
      <w:r w:rsidRPr="00D70F84">
        <w:rPr>
          <w:rFonts w:ascii="Arial" w:hAnsi="Arial" w:cs="Arial"/>
          <w:bCs/>
          <w:lang w:val="es-MX"/>
        </w:rPr>
        <w:t xml:space="preserve"> </w:t>
      </w:r>
      <w:r w:rsidRPr="003F49BF">
        <w:rPr>
          <w:rFonts w:ascii="Arial" w:hAnsi="Arial" w:cs="Arial"/>
          <w:bCs/>
          <w:vertAlign w:val="superscript"/>
          <w:lang w:val="es-MX"/>
        </w:rPr>
        <w:t>[3]</w:t>
      </w:r>
      <w:r w:rsidRPr="003F49BF">
        <w:rPr>
          <w:rFonts w:ascii="Arial" w:hAnsi="Arial" w:cs="Arial"/>
          <w:bCs/>
          <w:lang w:val="es-MX"/>
        </w:rPr>
        <w:t>.</w:t>
      </w:r>
      <w:r w:rsidRPr="00D70F84">
        <w:rPr>
          <w:rFonts w:ascii="Arial" w:hAnsi="Arial" w:cs="Arial"/>
          <w:bCs/>
          <w:lang w:val="es-ES_tradnl"/>
        </w:rPr>
        <w:t xml:space="preserve"> </w:t>
      </w:r>
      <w:r>
        <w:rPr>
          <w:rFonts w:ascii="Arial" w:hAnsi="Arial" w:cs="Arial"/>
          <w:bCs/>
          <w:lang w:val="es-ES_tradnl"/>
        </w:rPr>
        <w:t>Es decir, ella</w:t>
      </w:r>
      <w:r w:rsidRPr="000074F5">
        <w:rPr>
          <w:rFonts w:ascii="Arial" w:hAnsi="Arial" w:cs="Arial"/>
          <w:bCs/>
          <w:lang w:val="es-ES_tradnl"/>
        </w:rPr>
        <w:t xml:space="preserve"> existe con la finalidad de iniciar la recarga del acuífero, mejorar las características del agua nativa y poder ser utilizada como fuente de suministro de agua potable.</w:t>
      </w:r>
    </w:p>
    <w:p w:rsidR="00123C57" w:rsidRPr="00303CC2" w:rsidRDefault="00123C57" w:rsidP="00123C57">
      <w:pPr>
        <w:jc w:val="both"/>
        <w:rPr>
          <w:rFonts w:ascii="Arial" w:hAnsi="Arial" w:cs="Arial"/>
          <w:bCs/>
          <w:iCs/>
          <w:lang w:val="es-ES_tradnl"/>
        </w:rPr>
      </w:pPr>
      <w:r w:rsidRPr="003E638A">
        <w:rPr>
          <w:rFonts w:ascii="Arial" w:hAnsi="Arial" w:cs="Arial"/>
          <w:bCs/>
          <w:iCs/>
          <w:lang w:val="es-ES_tradnl"/>
        </w:rPr>
        <w:t xml:space="preserve">La </w:t>
      </w:r>
      <w:r>
        <w:rPr>
          <w:rFonts w:ascii="Arial" w:hAnsi="Arial" w:cs="Arial"/>
          <w:bCs/>
          <w:iCs/>
          <w:lang w:val="es-ES_tradnl"/>
        </w:rPr>
        <w:t>planta c</w:t>
      </w:r>
      <w:r w:rsidRPr="003E638A">
        <w:rPr>
          <w:rFonts w:ascii="Arial" w:hAnsi="Arial" w:cs="Arial"/>
          <w:bCs/>
          <w:iCs/>
          <w:lang w:val="es-ES_tradnl"/>
        </w:rPr>
        <w:t>onsta de las siguientes unidades de proceso</w:t>
      </w:r>
      <w:r w:rsidRPr="00BE69CB">
        <w:rPr>
          <w:rFonts w:ascii="Arial" w:hAnsi="Arial" w:cs="Arial"/>
          <w:bCs/>
          <w:iCs/>
          <w:lang w:val="es-ES_tradnl"/>
        </w:rPr>
        <w:t xml:space="preserve"> (UP)</w:t>
      </w:r>
      <w:r>
        <w:rPr>
          <w:rFonts w:ascii="Arial" w:hAnsi="Arial" w:cs="Arial"/>
          <w:bCs/>
          <w:iCs/>
          <w:lang w:val="es-ES_tradnl"/>
        </w:rPr>
        <w:t xml:space="preserve">: 1) </w:t>
      </w:r>
      <w:r w:rsidRPr="001A42B1">
        <w:rPr>
          <w:rFonts w:ascii="Arial" w:hAnsi="Arial" w:cs="Arial"/>
          <w:bCs/>
          <w:iCs/>
          <w:lang w:val="es-MX"/>
        </w:rPr>
        <w:t>Coagulación-Floculación</w:t>
      </w:r>
      <w:r>
        <w:rPr>
          <w:rFonts w:ascii="Arial" w:hAnsi="Arial" w:cs="Arial"/>
          <w:bCs/>
          <w:iCs/>
          <w:lang w:val="es-MX"/>
        </w:rPr>
        <w:t xml:space="preserve"> del </w:t>
      </w:r>
      <w:r w:rsidRPr="00A20AF0">
        <w:rPr>
          <w:rFonts w:ascii="Arial" w:hAnsi="Arial" w:cs="Arial"/>
          <w:bCs/>
          <w:iCs/>
          <w:lang w:val="es-MX"/>
        </w:rPr>
        <w:t>Influente</w:t>
      </w:r>
      <w:r>
        <w:rPr>
          <w:rFonts w:ascii="Arial" w:hAnsi="Arial" w:cs="Arial"/>
          <w:bCs/>
          <w:iCs/>
          <w:lang w:val="es-MX"/>
        </w:rPr>
        <w:t>; consiste en la atracción de partículas en suspensión, para posterior sedimentación</w:t>
      </w:r>
      <w:r>
        <w:rPr>
          <w:rFonts w:ascii="Arial" w:hAnsi="Arial" w:cs="Arial"/>
          <w:bCs/>
          <w:lang w:val="es-MX"/>
        </w:rPr>
        <w:t xml:space="preserve">. 2) </w:t>
      </w:r>
      <w:r w:rsidRPr="000A6CD0">
        <w:rPr>
          <w:rFonts w:ascii="Arial" w:hAnsi="Arial" w:cs="Arial"/>
          <w:bCs/>
          <w:iCs/>
          <w:lang w:val="es-MX"/>
        </w:rPr>
        <w:t>Pre-Filtración con sílice</w:t>
      </w:r>
      <w:r>
        <w:rPr>
          <w:rFonts w:ascii="Arial" w:hAnsi="Arial" w:cs="Arial"/>
          <w:bCs/>
          <w:iCs/>
          <w:lang w:val="es-MX"/>
        </w:rPr>
        <w:t>; r</w:t>
      </w:r>
      <w:r w:rsidRPr="000A6CD0">
        <w:rPr>
          <w:rFonts w:ascii="Arial" w:hAnsi="Arial" w:cs="Arial"/>
          <w:bCs/>
          <w:iCs/>
          <w:lang w:val="es-MX"/>
        </w:rPr>
        <w:t>emoción física de material particulado.</w:t>
      </w:r>
      <w:r>
        <w:rPr>
          <w:rFonts w:ascii="Arial" w:hAnsi="Arial" w:cs="Arial"/>
          <w:bCs/>
          <w:lang w:val="es-MX"/>
        </w:rPr>
        <w:t xml:space="preserve"> 3) </w:t>
      </w:r>
      <w:r w:rsidRPr="000A6CD0">
        <w:rPr>
          <w:rFonts w:ascii="Arial" w:hAnsi="Arial" w:cs="Arial"/>
          <w:bCs/>
          <w:iCs/>
          <w:lang w:val="es-MX"/>
        </w:rPr>
        <w:t>Ozonización</w:t>
      </w:r>
      <w:r>
        <w:rPr>
          <w:rFonts w:ascii="Arial" w:hAnsi="Arial" w:cs="Arial"/>
          <w:bCs/>
          <w:iCs/>
          <w:lang w:val="es-MX"/>
        </w:rPr>
        <w:t>; r</w:t>
      </w:r>
      <w:r w:rsidRPr="000A6CD0">
        <w:rPr>
          <w:rFonts w:ascii="Arial" w:hAnsi="Arial" w:cs="Arial"/>
          <w:bCs/>
          <w:iCs/>
          <w:lang w:val="es-MX"/>
        </w:rPr>
        <w:t>emoción de color por oxidación de materia orgánica y posterior precipitación, es un proceso terciario de desinfección</w:t>
      </w:r>
      <w:r w:rsidRPr="000A6CD0">
        <w:rPr>
          <w:rFonts w:ascii="Calibri" w:eastAsia="Times New Roman" w:hAnsi="Calibri"/>
          <w:bCs/>
          <w:iCs/>
          <w:lang w:val="es-MX" w:eastAsia="es-ES"/>
        </w:rPr>
        <w:t xml:space="preserve"> </w:t>
      </w:r>
      <w:r w:rsidRPr="000A6CD0">
        <w:rPr>
          <w:rFonts w:ascii="Arial" w:hAnsi="Arial" w:cs="Arial"/>
          <w:bCs/>
          <w:iCs/>
          <w:lang w:val="es-MX"/>
        </w:rPr>
        <w:t>(no opero durante el estudio).</w:t>
      </w:r>
      <w:r>
        <w:rPr>
          <w:rFonts w:ascii="Arial" w:hAnsi="Arial" w:cs="Arial"/>
          <w:bCs/>
          <w:lang w:val="es-MX"/>
        </w:rPr>
        <w:t xml:space="preserve"> 4) </w:t>
      </w:r>
      <w:r w:rsidRPr="000A6CD0">
        <w:rPr>
          <w:rFonts w:ascii="Arial" w:hAnsi="Arial" w:cs="Arial"/>
          <w:bCs/>
          <w:iCs/>
          <w:lang w:val="es-MX"/>
        </w:rPr>
        <w:t>Post-filtración por Zeo</w:t>
      </w:r>
      <w:r>
        <w:rPr>
          <w:rFonts w:ascii="Arial" w:hAnsi="Arial" w:cs="Arial"/>
          <w:bCs/>
          <w:iCs/>
          <w:lang w:val="es-MX"/>
        </w:rPr>
        <w:t>lita (Adsorción); r</w:t>
      </w:r>
      <w:r w:rsidRPr="000A6CD0">
        <w:rPr>
          <w:rFonts w:ascii="Arial" w:hAnsi="Arial" w:cs="Arial"/>
          <w:bCs/>
          <w:iCs/>
          <w:lang w:val="es-MX"/>
        </w:rPr>
        <w:t xml:space="preserve">emoción física de material particulado. </w:t>
      </w:r>
      <w:r>
        <w:rPr>
          <w:rFonts w:ascii="Arial" w:hAnsi="Arial" w:cs="Arial"/>
          <w:bCs/>
          <w:lang w:val="es-MX"/>
        </w:rPr>
        <w:t xml:space="preserve">5) </w:t>
      </w:r>
      <w:r w:rsidRPr="000A6CD0">
        <w:rPr>
          <w:rFonts w:ascii="Arial" w:hAnsi="Arial" w:cs="Arial"/>
          <w:bCs/>
          <w:iCs/>
          <w:lang w:val="es-MX"/>
        </w:rPr>
        <w:t>Ósmosis Inversa</w:t>
      </w:r>
      <w:r>
        <w:rPr>
          <w:rFonts w:ascii="Arial" w:hAnsi="Arial" w:cs="Arial"/>
          <w:bCs/>
          <w:iCs/>
          <w:lang w:val="es-MX"/>
        </w:rPr>
        <w:t>;</w:t>
      </w:r>
      <w:r w:rsidRPr="000A6CD0">
        <w:rPr>
          <w:rFonts w:ascii="Calibri" w:eastAsia="Times New Roman" w:hAnsi="Calibri"/>
          <w:bCs/>
          <w:iCs/>
          <w:lang w:val="es-MX" w:eastAsia="es-ES"/>
        </w:rPr>
        <w:t xml:space="preserve"> </w:t>
      </w:r>
      <w:r>
        <w:rPr>
          <w:rFonts w:ascii="Arial" w:hAnsi="Arial" w:cs="Arial"/>
          <w:bCs/>
          <w:iCs/>
          <w:lang w:val="es-MX"/>
        </w:rPr>
        <w:t>l</w:t>
      </w:r>
      <w:r w:rsidRPr="000A6CD0">
        <w:rPr>
          <w:rFonts w:ascii="Arial" w:hAnsi="Arial" w:cs="Arial"/>
          <w:bCs/>
          <w:iCs/>
          <w:lang w:val="es-MX"/>
        </w:rPr>
        <w:t xml:space="preserve">a filtración por membranas tiene la finalidad de remover los sólidos disueltos totales </w:t>
      </w:r>
      <w:r w:rsidRPr="000A6CD0">
        <w:rPr>
          <w:rFonts w:ascii="Arial" w:hAnsi="Arial" w:cs="Arial"/>
          <w:bCs/>
          <w:iCs/>
          <w:lang w:val="es-MX"/>
        </w:rPr>
        <w:lastRenderedPageBreak/>
        <w:t xml:space="preserve">y de disminuir la conductividad de las sales disueltas en el agua </w:t>
      </w:r>
      <w:r w:rsidRPr="000A6CD0">
        <w:rPr>
          <w:rFonts w:ascii="Arial" w:hAnsi="Arial" w:cs="Arial"/>
          <w:bCs/>
          <w:iCs/>
        </w:rPr>
        <w:t>a través de membranas de poliamida con apertura de poro de 0.0005 a 0.002 micras</w:t>
      </w:r>
      <w:r w:rsidRPr="000A6CD0">
        <w:rPr>
          <w:rFonts w:ascii="Arial" w:hAnsi="Arial" w:cs="Arial"/>
          <w:bCs/>
          <w:iCs/>
          <w:lang w:val="es-MX"/>
        </w:rPr>
        <w:t>.</w:t>
      </w:r>
      <w:r>
        <w:rPr>
          <w:rFonts w:ascii="Arial" w:hAnsi="Arial" w:cs="Arial"/>
          <w:bCs/>
          <w:lang w:val="es-MX"/>
        </w:rPr>
        <w:t xml:space="preserve"> 6) </w:t>
      </w:r>
      <w:r w:rsidRPr="000A6CD0">
        <w:rPr>
          <w:rFonts w:ascii="Arial" w:hAnsi="Arial" w:cs="Arial"/>
          <w:bCs/>
          <w:iCs/>
          <w:lang w:val="es-MX"/>
        </w:rPr>
        <w:t>Desinfección con Luz Ultravioleta (</w:t>
      </w:r>
      <w:r w:rsidRPr="00A20AF0">
        <w:rPr>
          <w:rFonts w:ascii="Arial" w:hAnsi="Arial" w:cs="Arial"/>
          <w:bCs/>
          <w:iCs/>
          <w:lang w:val="es-MX"/>
        </w:rPr>
        <w:t>Efluente</w:t>
      </w:r>
      <w:r w:rsidRPr="000A6CD0">
        <w:rPr>
          <w:rFonts w:ascii="Arial" w:hAnsi="Arial" w:cs="Arial"/>
          <w:bCs/>
          <w:iCs/>
          <w:lang w:val="es-MX"/>
        </w:rPr>
        <w:t>)</w:t>
      </w:r>
      <w:r>
        <w:rPr>
          <w:rFonts w:ascii="Arial" w:hAnsi="Arial" w:cs="Arial"/>
          <w:bCs/>
          <w:iCs/>
          <w:lang w:val="es-MX"/>
        </w:rPr>
        <w:t>; r</w:t>
      </w:r>
      <w:r w:rsidRPr="000A6CD0">
        <w:rPr>
          <w:rFonts w:ascii="Arial" w:hAnsi="Arial" w:cs="Arial"/>
          <w:bCs/>
          <w:iCs/>
          <w:lang w:val="es-MX"/>
        </w:rPr>
        <w:t xml:space="preserve">adiación del flujo de agua, normalmente a 254 nm, </w:t>
      </w:r>
      <w:r>
        <w:rPr>
          <w:rFonts w:ascii="Arial" w:hAnsi="Arial" w:cs="Arial"/>
          <w:bCs/>
          <w:iCs/>
          <w:lang w:val="es-MX"/>
        </w:rPr>
        <w:t xml:space="preserve">con un </w:t>
      </w:r>
      <w:r w:rsidRPr="000A6CD0">
        <w:rPr>
          <w:rFonts w:ascii="Arial" w:hAnsi="Arial" w:cs="Arial"/>
          <w:bCs/>
          <w:iCs/>
          <w:lang w:val="es-MX"/>
        </w:rPr>
        <w:t>efecto germicida.</w:t>
      </w:r>
    </w:p>
    <w:p w:rsidR="00123C57" w:rsidRDefault="00123C57" w:rsidP="00123C57">
      <w:pPr>
        <w:jc w:val="center"/>
        <w:rPr>
          <w:rFonts w:ascii="Arial" w:hAnsi="Arial" w:cs="Arial"/>
          <w:bCs/>
          <w:iCs/>
          <w:lang w:val="es-MX"/>
        </w:rPr>
      </w:pPr>
      <w:r>
        <w:rPr>
          <w:rFonts w:ascii="Arial" w:hAnsi="Arial" w:cs="Arial"/>
          <w:bCs/>
          <w:iCs/>
          <w:noProof/>
          <w:lang w:val="en-US"/>
        </w:rPr>
        <w:drawing>
          <wp:inline distT="0" distB="0" distL="0" distR="0" wp14:anchorId="77B27F66" wp14:editId="15CE6AD6">
            <wp:extent cx="5153025" cy="2924175"/>
            <wp:effectExtent l="0" t="0" r="9525" b="9525"/>
            <wp:docPr id="269469670" name="Imagen 269469670" descr="UnidadesdeProc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UnidadesdeProceso"/>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5153025" cy="2924175"/>
                    </a:xfrm>
                    <a:prstGeom prst="rect">
                      <a:avLst/>
                    </a:prstGeom>
                    <a:noFill/>
                    <a:ln>
                      <a:noFill/>
                    </a:ln>
                  </pic:spPr>
                </pic:pic>
              </a:graphicData>
            </a:graphic>
          </wp:inline>
        </w:drawing>
      </w:r>
    </w:p>
    <w:p w:rsidR="00123C57" w:rsidRPr="00794516" w:rsidRDefault="00123C57" w:rsidP="00123C57">
      <w:pPr>
        <w:pStyle w:val="Descripcin"/>
        <w:jc w:val="center"/>
        <w:rPr>
          <w:sz w:val="20"/>
          <w:szCs w:val="22"/>
        </w:rPr>
      </w:pPr>
      <w:bookmarkStart w:id="190" w:name="_Toc39232760"/>
      <w:r w:rsidRPr="00794516">
        <w:rPr>
          <w:sz w:val="20"/>
          <w:szCs w:val="22"/>
        </w:rPr>
        <w:t>Figura 1. Esquema general del tren de tratamiento d</w:t>
      </w:r>
      <w:r>
        <w:rPr>
          <w:sz w:val="20"/>
          <w:szCs w:val="22"/>
        </w:rPr>
        <w:t xml:space="preserve">e la PTAR Cerro de la Estrella </w:t>
      </w:r>
      <w:r>
        <w:rPr>
          <w:sz w:val="20"/>
          <w:szCs w:val="22"/>
          <w:vertAlign w:val="superscript"/>
        </w:rPr>
        <w:t>[2]</w:t>
      </w:r>
      <w:r w:rsidRPr="00794516">
        <w:rPr>
          <w:sz w:val="20"/>
          <w:szCs w:val="22"/>
        </w:rPr>
        <w:t>.</w:t>
      </w:r>
      <w:bookmarkEnd w:id="190"/>
    </w:p>
    <w:p w:rsidR="00123C57" w:rsidRPr="00123C57" w:rsidRDefault="00123C57" w:rsidP="00123C57">
      <w:pPr>
        <w:pStyle w:val="Ttulo2"/>
        <w:keepLines w:val="0"/>
        <w:numPr>
          <w:ilvl w:val="1"/>
          <w:numId w:val="1"/>
        </w:numPr>
        <w:tabs>
          <w:tab w:val="clear" w:pos="576"/>
          <w:tab w:val="num" w:pos="0"/>
        </w:tabs>
        <w:suppressAutoHyphens/>
        <w:spacing w:before="0"/>
        <w:ind w:left="0" w:firstLine="0"/>
        <w:jc w:val="both"/>
        <w:rPr>
          <w:sz w:val="24"/>
          <w:szCs w:val="24"/>
        </w:rPr>
      </w:pPr>
      <w:bookmarkStart w:id="191" w:name="_Toc50031281"/>
      <w:r w:rsidRPr="00123C57">
        <w:rPr>
          <w:sz w:val="24"/>
          <w:szCs w:val="24"/>
        </w:rPr>
        <w:t>2.2 El pez cebra (Danio rerio) en bioensayos ecotoxicológicos como herramienta de monitoreo en la gestión del agua renovada</w:t>
      </w:r>
      <w:bookmarkEnd w:id="191"/>
    </w:p>
    <w:p w:rsidR="00123C57" w:rsidRPr="00D70F84" w:rsidRDefault="00123C57" w:rsidP="00123C57">
      <w:pPr>
        <w:ind w:firstLine="708"/>
        <w:jc w:val="both"/>
        <w:rPr>
          <w:rFonts w:ascii="Arial" w:hAnsi="Arial" w:cs="Arial"/>
          <w:bCs/>
          <w:iCs/>
          <w:lang w:val="es-ES_tradnl"/>
        </w:rPr>
      </w:pPr>
      <w:r w:rsidRPr="00977F8E">
        <w:rPr>
          <w:rFonts w:ascii="Arial" w:hAnsi="Arial" w:cs="Arial"/>
          <w:bCs/>
          <w:iCs/>
          <w:lang w:val="es-ES_tradnl"/>
        </w:rPr>
        <w:t xml:space="preserve">Los </w:t>
      </w:r>
      <w:r w:rsidRPr="00D70F84">
        <w:rPr>
          <w:rFonts w:ascii="Arial" w:hAnsi="Arial" w:cs="Arial"/>
          <w:bCs/>
          <w:iCs/>
          <w:lang w:val="es-ES_tradnl"/>
        </w:rPr>
        <w:t>bioensayos tienen como objetivo determinar la toxicidad de sustancias o materia</w:t>
      </w:r>
      <w:r>
        <w:rPr>
          <w:rFonts w:ascii="Arial" w:hAnsi="Arial" w:cs="Arial"/>
          <w:bCs/>
          <w:iCs/>
          <w:lang w:val="es-ES_tradnl"/>
        </w:rPr>
        <w:t>les a través del uso de organismos</w:t>
      </w:r>
      <w:r w:rsidRPr="00D70F84">
        <w:rPr>
          <w:rFonts w:ascii="Arial" w:hAnsi="Arial" w:cs="Arial"/>
          <w:bCs/>
          <w:iCs/>
          <w:lang w:val="es-ES_tradnl"/>
        </w:rPr>
        <w:t xml:space="preserve"> (conocidas como </w:t>
      </w:r>
      <w:r>
        <w:rPr>
          <w:rFonts w:ascii="Arial" w:hAnsi="Arial" w:cs="Arial"/>
          <w:bCs/>
          <w:iCs/>
          <w:lang w:val="es-ES_tradnl"/>
        </w:rPr>
        <w:t>esp</w:t>
      </w:r>
      <w:r w:rsidRPr="00D70F84">
        <w:rPr>
          <w:rFonts w:ascii="Arial" w:hAnsi="Arial" w:cs="Arial"/>
          <w:bCs/>
          <w:iCs/>
          <w:lang w:val="es-ES_tradnl"/>
        </w:rPr>
        <w:t>ecies centinela)</w:t>
      </w:r>
      <w:r>
        <w:rPr>
          <w:rFonts w:ascii="Arial" w:hAnsi="Arial" w:cs="Arial"/>
          <w:bCs/>
          <w:iCs/>
          <w:lang w:val="es-ES_tradnl"/>
        </w:rPr>
        <w:t>,</w:t>
      </w:r>
      <w:r w:rsidRPr="00D70F84">
        <w:rPr>
          <w:rFonts w:ascii="Arial" w:hAnsi="Arial" w:cs="Arial"/>
          <w:bCs/>
          <w:iCs/>
          <w:lang w:val="es-ES_tradnl"/>
        </w:rPr>
        <w:t xml:space="preserve"> o bien</w:t>
      </w:r>
      <w:r>
        <w:rPr>
          <w:rFonts w:ascii="Arial" w:hAnsi="Arial" w:cs="Arial"/>
          <w:bCs/>
          <w:iCs/>
          <w:lang w:val="es-ES_tradnl"/>
        </w:rPr>
        <w:t xml:space="preserve"> a través de otros organismos que representen fácil manejo como bacterias</w:t>
      </w:r>
      <w:r w:rsidRPr="00D70F84">
        <w:rPr>
          <w:rFonts w:ascii="Arial" w:hAnsi="Arial" w:cs="Arial"/>
          <w:bCs/>
          <w:iCs/>
          <w:lang w:val="es-ES_tradnl"/>
        </w:rPr>
        <w:t xml:space="preserve"> </w:t>
      </w:r>
      <w:r>
        <w:rPr>
          <w:rFonts w:ascii="Arial" w:hAnsi="Arial" w:cs="Arial"/>
          <w:bCs/>
          <w:iCs/>
          <w:lang w:val="es-ES_tradnl"/>
        </w:rPr>
        <w:t xml:space="preserve">y algunos invertebrados y vertebrados con órganos y tejidos diferenciados </w:t>
      </w:r>
      <w:r>
        <w:rPr>
          <w:rFonts w:ascii="Arial" w:hAnsi="Arial" w:cs="Arial"/>
          <w:bCs/>
          <w:iCs/>
          <w:vertAlign w:val="superscript"/>
          <w:lang w:val="es-ES_tradnl"/>
        </w:rPr>
        <w:t>[4]</w:t>
      </w:r>
      <w:r>
        <w:rPr>
          <w:rFonts w:ascii="Arial" w:hAnsi="Arial" w:cs="Arial"/>
          <w:bCs/>
          <w:iCs/>
          <w:lang w:val="es-ES_tradnl"/>
        </w:rPr>
        <w:t xml:space="preserve">. De hecho, es común su empleo </w:t>
      </w:r>
      <w:r w:rsidRPr="00D70F84">
        <w:rPr>
          <w:rFonts w:ascii="Arial" w:hAnsi="Arial" w:cs="Arial"/>
          <w:bCs/>
          <w:iCs/>
          <w:lang w:val="es-ES_tradnl"/>
        </w:rPr>
        <w:t>como indicadores de los procesos industriales y en</w:t>
      </w:r>
      <w:r>
        <w:rPr>
          <w:rFonts w:ascii="Arial" w:hAnsi="Arial" w:cs="Arial"/>
          <w:bCs/>
          <w:iCs/>
          <w:lang w:val="es-ES_tradnl"/>
        </w:rPr>
        <w:t xml:space="preserve"> distintas matrices ambientales, existiendo </w:t>
      </w:r>
      <w:r w:rsidRPr="00D70F84">
        <w:rPr>
          <w:rFonts w:ascii="Arial" w:hAnsi="Arial" w:cs="Arial"/>
          <w:bCs/>
          <w:iCs/>
          <w:lang w:val="es-ES_tradnl"/>
        </w:rPr>
        <w:t>una gran cantidad reportada de bioensayos para monitoreo, pero desde hace más de una década, la implem</w:t>
      </w:r>
      <w:r>
        <w:rPr>
          <w:rFonts w:ascii="Arial" w:hAnsi="Arial" w:cs="Arial"/>
          <w:bCs/>
          <w:iCs/>
          <w:lang w:val="es-ES_tradnl"/>
        </w:rPr>
        <w:t xml:space="preserve">entación de ensayos que evalúen potenciales efectos </w:t>
      </w:r>
      <w:r w:rsidRPr="00D70F84">
        <w:rPr>
          <w:rFonts w:ascii="Arial" w:hAnsi="Arial" w:cs="Arial"/>
          <w:bCs/>
          <w:iCs/>
          <w:lang w:val="es-ES_tradnl"/>
        </w:rPr>
        <w:t>en el organismo que no resulta</w:t>
      </w:r>
      <w:r>
        <w:rPr>
          <w:rFonts w:ascii="Arial" w:hAnsi="Arial" w:cs="Arial"/>
          <w:bCs/>
          <w:iCs/>
          <w:lang w:val="es-ES_tradnl"/>
        </w:rPr>
        <w:t xml:space="preserve">n letales, es una tendencia </w:t>
      </w:r>
      <w:r w:rsidRPr="001719E6">
        <w:rPr>
          <w:rFonts w:ascii="Arial" w:hAnsi="Arial" w:cs="Arial"/>
          <w:bCs/>
          <w:iCs/>
          <w:lang w:val="es-ES_tradnl"/>
        </w:rPr>
        <w:t>utilizada</w:t>
      </w:r>
      <w:r w:rsidRPr="001719E6">
        <w:rPr>
          <w:rFonts w:ascii="Arial" w:hAnsi="Arial" w:cs="Arial"/>
          <w:bCs/>
          <w:iCs/>
          <w:vertAlign w:val="superscript"/>
          <w:lang w:val="es-ES_tradnl"/>
        </w:rPr>
        <w:t xml:space="preserve"> [4]</w:t>
      </w:r>
      <w:r w:rsidRPr="001719E6">
        <w:rPr>
          <w:rFonts w:ascii="Arial" w:hAnsi="Arial" w:cs="Arial"/>
          <w:bCs/>
          <w:iCs/>
          <w:lang w:val="es-ES_tradnl"/>
        </w:rPr>
        <w:t>.</w:t>
      </w:r>
      <w:r w:rsidRPr="00D70F84">
        <w:rPr>
          <w:rFonts w:ascii="Arial" w:hAnsi="Arial" w:cs="Arial"/>
          <w:bCs/>
          <w:iCs/>
          <w:lang w:val="es-ES_tradnl"/>
        </w:rPr>
        <w:t xml:space="preserve"> En este contexto, el pez cebra es uno de los modelos más reco</w:t>
      </w:r>
      <w:r>
        <w:rPr>
          <w:rFonts w:ascii="Arial" w:hAnsi="Arial" w:cs="Arial"/>
          <w:bCs/>
          <w:iCs/>
          <w:lang w:val="es-ES_tradnl"/>
        </w:rPr>
        <w:t xml:space="preserve">nocidos utilizados al evaluar compuestos farmacéuticos e industriales, metales pesados, y otros efluentes con otros </w:t>
      </w:r>
      <w:r w:rsidRPr="00D70F84">
        <w:rPr>
          <w:rFonts w:ascii="Arial" w:hAnsi="Arial" w:cs="Arial"/>
          <w:bCs/>
          <w:iCs/>
          <w:lang w:val="es-ES_tradnl"/>
        </w:rPr>
        <w:t>compuestos químicos como los</w:t>
      </w:r>
      <w:r>
        <w:rPr>
          <w:rFonts w:ascii="Arial" w:hAnsi="Arial" w:cs="Arial"/>
          <w:bCs/>
          <w:iCs/>
          <w:lang w:val="es-ES_tradnl"/>
        </w:rPr>
        <w:t xml:space="preserve"> MCO. Dichos estudios, como el e</w:t>
      </w:r>
      <w:r w:rsidRPr="00D70F84">
        <w:rPr>
          <w:rFonts w:ascii="Arial" w:hAnsi="Arial" w:cs="Arial"/>
          <w:bCs/>
          <w:iCs/>
          <w:lang w:val="es-ES_tradnl"/>
        </w:rPr>
        <w:t xml:space="preserve">nsayo de toxicidad aguda en embriones </w:t>
      </w:r>
      <w:r w:rsidRPr="001719E6">
        <w:rPr>
          <w:rFonts w:ascii="Arial" w:hAnsi="Arial" w:cs="Arial"/>
          <w:bCs/>
          <w:iCs/>
          <w:vertAlign w:val="superscript"/>
          <w:lang w:val="es-ES_tradnl"/>
        </w:rPr>
        <w:t>[5]</w:t>
      </w:r>
      <w:r w:rsidRPr="00D70F84">
        <w:rPr>
          <w:rFonts w:ascii="Arial" w:hAnsi="Arial" w:cs="Arial"/>
          <w:bCs/>
          <w:iCs/>
          <w:lang w:val="es-ES_tradnl"/>
        </w:rPr>
        <w:t xml:space="preserve"> (</w:t>
      </w:r>
      <w:r w:rsidRPr="00D70F84">
        <w:rPr>
          <w:rFonts w:ascii="Arial" w:hAnsi="Arial" w:cs="Arial"/>
          <w:bCs/>
          <w:i/>
          <w:iCs/>
          <w:lang w:val="es-ES_tradnl"/>
        </w:rPr>
        <w:t>FET</w:t>
      </w:r>
      <w:r w:rsidRPr="00D70F84">
        <w:rPr>
          <w:rFonts w:ascii="Arial" w:hAnsi="Arial" w:cs="Arial"/>
          <w:bCs/>
          <w:iCs/>
          <w:lang w:val="es-ES_tradnl"/>
        </w:rPr>
        <w:t xml:space="preserve">, por sus siglas en inglés) se realizan </w:t>
      </w:r>
      <w:r w:rsidRPr="00D70F84">
        <w:rPr>
          <w:rFonts w:ascii="Arial" w:hAnsi="Arial" w:cs="Arial"/>
          <w:bCs/>
          <w:iCs/>
        </w:rPr>
        <w:t xml:space="preserve">debido a </w:t>
      </w:r>
      <w:r>
        <w:rPr>
          <w:rFonts w:ascii="Arial" w:hAnsi="Arial" w:cs="Arial"/>
          <w:bCs/>
          <w:iCs/>
        </w:rPr>
        <w:t xml:space="preserve">la transparencia del organismo que permite observar su interior, un tamaño que permite una manipulación dentro de laboratorio que </w:t>
      </w:r>
      <w:r w:rsidRPr="00D70F84">
        <w:rPr>
          <w:rFonts w:ascii="Arial" w:hAnsi="Arial" w:cs="Arial"/>
          <w:bCs/>
          <w:iCs/>
          <w:lang w:val="es-ES_tradnl"/>
        </w:rPr>
        <w:t>facilita</w:t>
      </w:r>
      <w:r>
        <w:rPr>
          <w:rFonts w:ascii="Arial" w:hAnsi="Arial" w:cs="Arial"/>
          <w:bCs/>
          <w:iCs/>
          <w:lang w:val="es-ES_tradnl"/>
        </w:rPr>
        <w:t xml:space="preserve"> las repeticiones del ensayo, </w:t>
      </w:r>
      <w:r w:rsidRPr="00D70F84">
        <w:rPr>
          <w:rFonts w:ascii="Arial" w:hAnsi="Arial" w:cs="Arial"/>
          <w:bCs/>
          <w:iCs/>
          <w:lang w:val="es-ES_tradnl"/>
        </w:rPr>
        <w:t>la exposición a los compuestos</w:t>
      </w:r>
      <w:r>
        <w:rPr>
          <w:rFonts w:ascii="Arial" w:hAnsi="Arial" w:cs="Arial"/>
          <w:bCs/>
          <w:iCs/>
          <w:lang w:val="es-ES_tradnl"/>
        </w:rPr>
        <w:t xml:space="preserve"> </w:t>
      </w:r>
      <w:r w:rsidRPr="00D70F84">
        <w:rPr>
          <w:rFonts w:ascii="Arial" w:hAnsi="Arial" w:cs="Arial"/>
          <w:bCs/>
          <w:iCs/>
          <w:lang w:val="es-ES_tradnl"/>
        </w:rPr>
        <w:t>en volúmenes reducidos</w:t>
      </w:r>
      <w:r>
        <w:rPr>
          <w:rFonts w:ascii="Arial" w:hAnsi="Arial" w:cs="Arial"/>
          <w:bCs/>
          <w:iCs/>
          <w:lang w:val="es-ES_tradnl"/>
        </w:rPr>
        <w:t xml:space="preserve"> y una respuesta de un par de días debido a su ciclo de vida</w:t>
      </w:r>
      <w:r w:rsidRPr="00D70F84">
        <w:rPr>
          <w:rFonts w:ascii="Arial" w:hAnsi="Arial" w:cs="Arial"/>
          <w:bCs/>
          <w:iCs/>
          <w:lang w:val="es-ES_tradnl"/>
        </w:rPr>
        <w:t xml:space="preserve">. </w:t>
      </w:r>
      <w:r>
        <w:rPr>
          <w:rFonts w:ascii="Arial" w:hAnsi="Arial" w:cs="Arial"/>
          <w:bCs/>
          <w:iCs/>
          <w:lang w:val="es-ES_tradnl"/>
        </w:rPr>
        <w:t>De manera adicional, s</w:t>
      </w:r>
      <w:r w:rsidRPr="00D70F84">
        <w:rPr>
          <w:rFonts w:ascii="Arial" w:hAnsi="Arial" w:cs="Arial"/>
          <w:bCs/>
          <w:iCs/>
          <w:lang w:val="es-ES_tradnl"/>
        </w:rPr>
        <w:t>u parecido genómico con el humano (70%)</w:t>
      </w:r>
      <w:r>
        <w:rPr>
          <w:rFonts w:ascii="Arial" w:hAnsi="Arial" w:cs="Arial"/>
          <w:bCs/>
          <w:iCs/>
          <w:lang w:val="es-ES_tradnl"/>
        </w:rPr>
        <w:t xml:space="preserve"> </w:t>
      </w:r>
      <w:r w:rsidRPr="001719E6">
        <w:rPr>
          <w:rFonts w:ascii="Arial" w:hAnsi="Arial" w:cs="Arial"/>
          <w:bCs/>
          <w:iCs/>
          <w:vertAlign w:val="superscript"/>
          <w:lang w:val="es-ES_tradnl"/>
        </w:rPr>
        <w:t>[6]</w:t>
      </w:r>
      <w:r>
        <w:rPr>
          <w:rFonts w:ascii="Arial" w:hAnsi="Arial" w:cs="Arial"/>
          <w:bCs/>
          <w:iCs/>
          <w:lang w:val="es-ES_tradnl"/>
        </w:rPr>
        <w:t xml:space="preserve"> </w:t>
      </w:r>
      <w:r w:rsidRPr="00D70F84">
        <w:rPr>
          <w:rFonts w:ascii="Arial" w:hAnsi="Arial" w:cs="Arial"/>
          <w:bCs/>
          <w:iCs/>
          <w:lang w:val="es-ES_tradnl"/>
        </w:rPr>
        <w:t>hace al pez cebra un excelente modelo para estudios en toxicología.</w:t>
      </w:r>
      <w:r>
        <w:rPr>
          <w:rFonts w:ascii="Arial" w:hAnsi="Arial" w:cs="Arial"/>
          <w:bCs/>
          <w:iCs/>
          <w:lang w:val="es-ES_tradnl"/>
        </w:rPr>
        <w:t xml:space="preserve"> </w:t>
      </w:r>
      <w:r>
        <w:rPr>
          <w:rFonts w:ascii="Arial" w:hAnsi="Arial" w:cs="Arial"/>
          <w:bCs/>
          <w:i/>
          <w:iCs/>
          <w:lang w:val="es-ES_tradnl"/>
        </w:rPr>
        <w:t>D.</w:t>
      </w:r>
      <w:r w:rsidRPr="00D70F84">
        <w:rPr>
          <w:rFonts w:ascii="Arial" w:hAnsi="Arial" w:cs="Arial"/>
          <w:bCs/>
          <w:i/>
          <w:iCs/>
          <w:lang w:val="es-ES_tradnl"/>
        </w:rPr>
        <w:t xml:space="preserve"> rerio </w:t>
      </w:r>
      <w:r>
        <w:rPr>
          <w:rFonts w:ascii="Arial" w:hAnsi="Arial" w:cs="Arial"/>
          <w:bCs/>
          <w:iCs/>
          <w:lang w:val="es-ES_tradnl"/>
        </w:rPr>
        <w:t>como modelo</w:t>
      </w:r>
      <w:r w:rsidRPr="00D70F84">
        <w:rPr>
          <w:rFonts w:ascii="Arial" w:hAnsi="Arial" w:cs="Arial"/>
          <w:bCs/>
          <w:iCs/>
          <w:lang w:val="es-ES_tradnl"/>
        </w:rPr>
        <w:t xml:space="preserve"> ofrece resultados a niveles con alta demanda tecnológic</w:t>
      </w:r>
      <w:r>
        <w:rPr>
          <w:rFonts w:ascii="Arial" w:hAnsi="Arial" w:cs="Arial"/>
          <w:bCs/>
          <w:iCs/>
          <w:lang w:val="es-ES_tradnl"/>
        </w:rPr>
        <w:t>a, como alteraciones genéticas y</w:t>
      </w:r>
      <w:r w:rsidRPr="00D70F84">
        <w:rPr>
          <w:rFonts w:ascii="Arial" w:hAnsi="Arial" w:cs="Arial"/>
          <w:bCs/>
          <w:iCs/>
          <w:lang w:val="es-ES_tradnl"/>
        </w:rPr>
        <w:t xml:space="preserve"> hor</w:t>
      </w:r>
      <w:r>
        <w:rPr>
          <w:rFonts w:ascii="Arial" w:hAnsi="Arial" w:cs="Arial"/>
          <w:bCs/>
          <w:iCs/>
          <w:lang w:val="es-ES_tradnl"/>
        </w:rPr>
        <w:t xml:space="preserve">monales, reduciendo </w:t>
      </w:r>
      <w:r w:rsidRPr="00D70F84">
        <w:rPr>
          <w:rFonts w:ascii="Arial" w:hAnsi="Arial" w:cs="Arial"/>
          <w:bCs/>
          <w:iCs/>
          <w:lang w:val="es-ES_tradnl"/>
        </w:rPr>
        <w:t>también el costo del análisis al ofrecer la oportunidad d</w:t>
      </w:r>
      <w:r>
        <w:rPr>
          <w:rFonts w:ascii="Arial" w:hAnsi="Arial" w:cs="Arial"/>
          <w:bCs/>
          <w:iCs/>
          <w:lang w:val="es-ES_tradnl"/>
        </w:rPr>
        <w:t>e calificar daños morfológicos y</w:t>
      </w:r>
      <w:r w:rsidRPr="00D70F84">
        <w:rPr>
          <w:rFonts w:ascii="Arial" w:hAnsi="Arial" w:cs="Arial"/>
          <w:bCs/>
          <w:iCs/>
          <w:lang w:val="es-ES_tradnl"/>
        </w:rPr>
        <w:t xml:space="preserve"> c</w:t>
      </w:r>
      <w:r>
        <w:rPr>
          <w:rFonts w:ascii="Arial" w:hAnsi="Arial" w:cs="Arial"/>
          <w:bCs/>
          <w:iCs/>
          <w:lang w:val="es-ES_tradnl"/>
        </w:rPr>
        <w:t xml:space="preserve">onductuales. </w:t>
      </w:r>
      <w:r w:rsidRPr="00D70F84">
        <w:rPr>
          <w:rFonts w:ascii="Arial" w:hAnsi="Arial" w:cs="Arial"/>
          <w:bCs/>
          <w:iCs/>
          <w:lang w:val="es-MX"/>
        </w:rPr>
        <w:t>A esto último, se ha demostrado que el comportamiento natatorio es una herramienta útil para estudiar la función neuromuscular</w:t>
      </w:r>
      <w:r w:rsidRPr="00D70F84">
        <w:rPr>
          <w:rFonts w:ascii="Arial" w:hAnsi="Arial" w:cs="Arial"/>
          <w:bCs/>
          <w:iCs/>
          <w:vertAlign w:val="superscript"/>
          <w:lang w:val="es-MX"/>
        </w:rPr>
        <w:t xml:space="preserve"> </w:t>
      </w:r>
      <w:r w:rsidRPr="001719E6">
        <w:rPr>
          <w:rFonts w:ascii="Arial" w:hAnsi="Arial" w:cs="Arial"/>
          <w:bCs/>
          <w:iCs/>
          <w:vertAlign w:val="superscript"/>
          <w:lang w:val="es-MX"/>
        </w:rPr>
        <w:t>[7]</w:t>
      </w:r>
      <w:r w:rsidRPr="001719E6">
        <w:rPr>
          <w:rFonts w:ascii="Arial" w:hAnsi="Arial" w:cs="Arial"/>
          <w:bCs/>
          <w:iCs/>
          <w:lang w:val="es-MX"/>
        </w:rPr>
        <w:t>.</w:t>
      </w:r>
      <w:r w:rsidRPr="00D70F84">
        <w:rPr>
          <w:rFonts w:ascii="Arial" w:hAnsi="Arial" w:cs="Arial"/>
          <w:bCs/>
          <w:iCs/>
          <w:lang w:val="es-MX"/>
        </w:rPr>
        <w:t xml:space="preserve"> Dentro de su desarrollo, los individuos de pez cebra empiezan un movimiento espontáneo (</w:t>
      </w:r>
      <w:r w:rsidRPr="00CA26CC">
        <w:rPr>
          <w:rFonts w:ascii="Arial" w:hAnsi="Arial" w:cs="Arial"/>
          <w:bCs/>
          <w:i/>
          <w:iCs/>
          <w:lang w:val="es-ES_tradnl"/>
        </w:rPr>
        <w:t>spontaneous contractions</w:t>
      </w:r>
      <w:r w:rsidRPr="00D70F84">
        <w:rPr>
          <w:rFonts w:ascii="Arial" w:hAnsi="Arial" w:cs="Arial"/>
          <w:bCs/>
          <w:iCs/>
          <w:lang w:val="es-MX"/>
        </w:rPr>
        <w:t xml:space="preserve">) alrededor de las 19 a 26 hpf (horas post </w:t>
      </w:r>
      <w:r w:rsidRPr="00D70F84">
        <w:rPr>
          <w:rFonts w:ascii="Arial" w:hAnsi="Arial" w:cs="Arial"/>
          <w:bCs/>
          <w:iCs/>
          <w:lang w:val="es-MX"/>
        </w:rPr>
        <w:lastRenderedPageBreak/>
        <w:t>fecundación), momento en el que aún permanecen dentro del corión.</w:t>
      </w:r>
      <w:r w:rsidRPr="00D70F84" w:rsidDel="005E086E">
        <w:rPr>
          <w:rFonts w:ascii="Arial" w:hAnsi="Arial" w:cs="Arial"/>
          <w:bCs/>
          <w:iCs/>
          <w:lang w:val="es-MX"/>
        </w:rPr>
        <w:t xml:space="preserve"> </w:t>
      </w:r>
      <w:r>
        <w:rPr>
          <w:rFonts w:ascii="Arial" w:hAnsi="Arial" w:cs="Arial"/>
          <w:bCs/>
          <w:iCs/>
          <w:lang w:val="es-MX"/>
        </w:rPr>
        <w:t>Posteriormente</w:t>
      </w:r>
      <w:r w:rsidRPr="00D70F84">
        <w:rPr>
          <w:rFonts w:ascii="Arial" w:hAnsi="Arial" w:cs="Arial"/>
          <w:bCs/>
          <w:iCs/>
          <w:lang w:val="es-MX"/>
        </w:rPr>
        <w:t xml:space="preserve">, salen del saco coriónico a las 48 hpf y </w:t>
      </w:r>
      <w:r>
        <w:rPr>
          <w:rFonts w:ascii="Arial" w:hAnsi="Arial" w:cs="Arial"/>
          <w:bCs/>
          <w:iCs/>
          <w:lang w:val="es-MX"/>
        </w:rPr>
        <w:t xml:space="preserve">presentan </w:t>
      </w:r>
      <w:r w:rsidRPr="00D70F84">
        <w:rPr>
          <w:rFonts w:ascii="Arial" w:hAnsi="Arial" w:cs="Arial"/>
          <w:bCs/>
          <w:iCs/>
          <w:lang w:val="es-MX"/>
        </w:rPr>
        <w:t>movimientos natatorios</w:t>
      </w:r>
      <w:r>
        <w:rPr>
          <w:rFonts w:ascii="Arial" w:hAnsi="Arial" w:cs="Arial"/>
          <w:bCs/>
          <w:iCs/>
          <w:lang w:val="es-MX"/>
        </w:rPr>
        <w:t xml:space="preserve"> bien determinados y característicos,</w:t>
      </w:r>
      <w:r w:rsidRPr="00D70F84">
        <w:rPr>
          <w:rFonts w:ascii="Arial" w:hAnsi="Arial" w:cs="Arial"/>
          <w:bCs/>
          <w:iCs/>
          <w:lang w:val="es-MX"/>
        </w:rPr>
        <w:t xml:space="preserve"> proporcionando pistas sobre el crecimiento del cerebro y la médula espinal</w:t>
      </w:r>
      <w:r>
        <w:rPr>
          <w:rFonts w:ascii="Arial" w:hAnsi="Arial" w:cs="Arial"/>
          <w:bCs/>
          <w:iCs/>
          <w:lang w:val="es-MX"/>
        </w:rPr>
        <w:t xml:space="preserve"> </w:t>
      </w:r>
      <w:r>
        <w:rPr>
          <w:rFonts w:ascii="Arial" w:hAnsi="Arial" w:cs="Arial"/>
          <w:bCs/>
          <w:iCs/>
          <w:vertAlign w:val="superscript"/>
          <w:lang w:val="es-MX"/>
        </w:rPr>
        <w:t>[8][9]</w:t>
      </w:r>
      <w:r>
        <w:rPr>
          <w:rFonts w:ascii="Arial" w:hAnsi="Arial" w:cs="Arial"/>
          <w:bCs/>
          <w:iCs/>
          <w:lang w:val="es-MX"/>
        </w:rPr>
        <w:t>.</w:t>
      </w:r>
    </w:p>
    <w:p w:rsidR="00123C57" w:rsidRPr="00123C57" w:rsidRDefault="00123C57" w:rsidP="00123C57">
      <w:pPr>
        <w:pStyle w:val="Ttulo1"/>
        <w:keepLines w:val="0"/>
        <w:numPr>
          <w:ilvl w:val="0"/>
          <w:numId w:val="1"/>
        </w:numPr>
        <w:tabs>
          <w:tab w:val="clear" w:pos="432"/>
          <w:tab w:val="num" w:pos="0"/>
        </w:tabs>
        <w:suppressAutoHyphens/>
        <w:spacing w:before="0" w:after="0"/>
        <w:ind w:left="0" w:firstLine="0"/>
        <w:rPr>
          <w:sz w:val="24"/>
          <w:szCs w:val="24"/>
        </w:rPr>
      </w:pPr>
      <w:bookmarkStart w:id="192" w:name="_Toc50031282"/>
      <w:r w:rsidRPr="00123C57">
        <w:rPr>
          <w:caps/>
          <w:sz w:val="24"/>
          <w:szCs w:val="24"/>
        </w:rPr>
        <w:t>3. C</w:t>
      </w:r>
      <w:r w:rsidRPr="00123C57">
        <w:rPr>
          <w:sz w:val="24"/>
          <w:szCs w:val="24"/>
        </w:rPr>
        <w:t>ondiciones experimentales</w:t>
      </w:r>
      <w:bookmarkEnd w:id="192"/>
    </w:p>
    <w:p w:rsidR="00123C57" w:rsidRPr="00123C57" w:rsidRDefault="00123C57" w:rsidP="00123C57">
      <w:pPr>
        <w:pStyle w:val="Ttulo2"/>
        <w:keepLines w:val="0"/>
        <w:numPr>
          <w:ilvl w:val="1"/>
          <w:numId w:val="1"/>
        </w:numPr>
        <w:tabs>
          <w:tab w:val="clear" w:pos="576"/>
          <w:tab w:val="num" w:pos="0"/>
        </w:tabs>
        <w:suppressAutoHyphens/>
        <w:spacing w:before="0"/>
        <w:ind w:left="0" w:firstLine="0"/>
        <w:jc w:val="both"/>
        <w:rPr>
          <w:sz w:val="24"/>
          <w:szCs w:val="24"/>
        </w:rPr>
      </w:pPr>
      <w:bookmarkStart w:id="193" w:name="_Toc50031283"/>
      <w:r w:rsidRPr="00123C57">
        <w:rPr>
          <w:sz w:val="24"/>
          <w:szCs w:val="24"/>
        </w:rPr>
        <w:t>3.1 Caracterización y cuantificación de la carga de MCO por unidad de proceso de la PTP</w:t>
      </w:r>
      <w:bookmarkEnd w:id="193"/>
      <w:r w:rsidRPr="00123C57">
        <w:rPr>
          <w:sz w:val="24"/>
          <w:szCs w:val="24"/>
        </w:rPr>
        <w:t xml:space="preserve"> </w:t>
      </w:r>
    </w:p>
    <w:p w:rsidR="00123C57" w:rsidRDefault="00123C57" w:rsidP="00123C57">
      <w:pPr>
        <w:pStyle w:val="Textoindependiente"/>
        <w:ind w:firstLine="708"/>
        <w:jc w:val="both"/>
        <w:rPr>
          <w:rFonts w:ascii="Arial" w:hAnsi="Arial" w:cs="Arial"/>
          <w:b w:val="0"/>
          <w:sz w:val="24"/>
        </w:rPr>
      </w:pPr>
      <w:r w:rsidRPr="00D70F84">
        <w:rPr>
          <w:rFonts w:ascii="Arial" w:hAnsi="Arial" w:cs="Arial"/>
          <w:b w:val="0"/>
          <w:sz w:val="24"/>
        </w:rPr>
        <w:t xml:space="preserve">Para este trabajo, se evaluaron los compuestos: </w:t>
      </w:r>
      <w:r>
        <w:rPr>
          <w:rFonts w:ascii="Arial" w:hAnsi="Arial" w:cs="Arial"/>
          <w:b w:val="0"/>
          <w:sz w:val="24"/>
        </w:rPr>
        <w:t>4-</w:t>
      </w:r>
      <w:r w:rsidRPr="00D70F84">
        <w:rPr>
          <w:rFonts w:ascii="Arial" w:hAnsi="Arial" w:cs="Arial"/>
          <w:b w:val="0"/>
          <w:sz w:val="24"/>
        </w:rPr>
        <w:t>n</w:t>
      </w:r>
      <w:r>
        <w:rPr>
          <w:rFonts w:ascii="Arial" w:hAnsi="Arial" w:cs="Arial"/>
          <w:b w:val="0"/>
          <w:sz w:val="24"/>
        </w:rPr>
        <w:t xml:space="preserve">onilfenol (4-NPH), bisfenol-A (BPA), </w:t>
      </w:r>
      <w:r w:rsidRPr="00D70F84">
        <w:rPr>
          <w:rFonts w:ascii="Arial" w:hAnsi="Arial" w:cs="Arial"/>
          <w:b w:val="0"/>
          <w:sz w:val="24"/>
        </w:rPr>
        <w:t>carbamazepina</w:t>
      </w:r>
      <w:r>
        <w:rPr>
          <w:rFonts w:ascii="Arial" w:hAnsi="Arial" w:cs="Arial"/>
          <w:b w:val="0"/>
          <w:sz w:val="24"/>
        </w:rPr>
        <w:t xml:space="preserve"> (CBZ)</w:t>
      </w:r>
      <w:r w:rsidRPr="00D70F84">
        <w:rPr>
          <w:rFonts w:ascii="Arial" w:hAnsi="Arial" w:cs="Arial"/>
          <w:b w:val="0"/>
          <w:sz w:val="24"/>
        </w:rPr>
        <w:t>,</w:t>
      </w:r>
      <w:r>
        <w:rPr>
          <w:rFonts w:ascii="Arial" w:hAnsi="Arial" w:cs="Arial"/>
          <w:b w:val="0"/>
          <w:sz w:val="24"/>
        </w:rPr>
        <w:t xml:space="preserve"> nonilfenol (NPH) y triclosán (TCS),</w:t>
      </w:r>
      <w:r w:rsidRPr="00D70F84">
        <w:rPr>
          <w:rFonts w:ascii="Arial" w:hAnsi="Arial" w:cs="Arial"/>
          <w:b w:val="0"/>
          <w:sz w:val="24"/>
        </w:rPr>
        <w:t xml:space="preserve"> los cuales se encuentran entre </w:t>
      </w:r>
      <w:r>
        <w:rPr>
          <w:rFonts w:ascii="Arial" w:hAnsi="Arial" w:cs="Arial"/>
          <w:b w:val="0"/>
          <w:sz w:val="24"/>
        </w:rPr>
        <w:t xml:space="preserve">los MCO más comunes en el mundo. Lo </w:t>
      </w:r>
      <w:r w:rsidRPr="00D70F84">
        <w:rPr>
          <w:rFonts w:ascii="Arial" w:hAnsi="Arial" w:cs="Arial"/>
          <w:b w:val="0"/>
          <w:sz w:val="24"/>
        </w:rPr>
        <w:t>anterior</w:t>
      </w:r>
      <w:r>
        <w:rPr>
          <w:rFonts w:ascii="Arial" w:hAnsi="Arial" w:cs="Arial"/>
          <w:b w:val="0"/>
          <w:sz w:val="24"/>
        </w:rPr>
        <w:t xml:space="preserve">, </w:t>
      </w:r>
      <w:r w:rsidRPr="00D70F84">
        <w:rPr>
          <w:rFonts w:ascii="Arial" w:hAnsi="Arial" w:cs="Arial"/>
          <w:b w:val="0"/>
          <w:sz w:val="24"/>
        </w:rPr>
        <w:t>debido a</w:t>
      </w:r>
      <w:r>
        <w:rPr>
          <w:rFonts w:ascii="Arial" w:hAnsi="Arial" w:cs="Arial"/>
          <w:b w:val="0"/>
          <w:sz w:val="24"/>
        </w:rPr>
        <w:t xml:space="preserve"> que dichos compuestos son de uso comercial y se han encontrado constantemente en </w:t>
      </w:r>
      <w:r w:rsidRPr="00D70F84">
        <w:rPr>
          <w:rFonts w:ascii="Arial" w:hAnsi="Arial" w:cs="Arial"/>
          <w:b w:val="0"/>
          <w:sz w:val="24"/>
        </w:rPr>
        <w:t>agua</w:t>
      </w:r>
      <w:r>
        <w:rPr>
          <w:rFonts w:ascii="Arial" w:hAnsi="Arial" w:cs="Arial"/>
          <w:b w:val="0"/>
          <w:sz w:val="24"/>
        </w:rPr>
        <w:t xml:space="preserve">s superficiales, subterráneas y residuales </w:t>
      </w:r>
      <w:r w:rsidRPr="00D70F84">
        <w:rPr>
          <w:rFonts w:ascii="Arial" w:hAnsi="Arial" w:cs="Arial"/>
          <w:b w:val="0"/>
          <w:sz w:val="24"/>
          <w:vertAlign w:val="superscript"/>
        </w:rPr>
        <w:t>[</w:t>
      </w:r>
      <w:r>
        <w:rPr>
          <w:rFonts w:ascii="Arial" w:hAnsi="Arial" w:cs="Arial"/>
          <w:b w:val="0"/>
          <w:sz w:val="24"/>
          <w:vertAlign w:val="superscript"/>
        </w:rPr>
        <w:t>10</w:t>
      </w:r>
      <w:r w:rsidRPr="00D70F84">
        <w:rPr>
          <w:rFonts w:ascii="Arial" w:hAnsi="Arial" w:cs="Arial"/>
          <w:b w:val="0"/>
          <w:sz w:val="24"/>
          <w:vertAlign w:val="superscript"/>
        </w:rPr>
        <w:t>]</w:t>
      </w:r>
      <w:r w:rsidRPr="00D70F84">
        <w:rPr>
          <w:rFonts w:ascii="Arial" w:hAnsi="Arial" w:cs="Arial"/>
          <w:b w:val="0"/>
          <w:sz w:val="24"/>
        </w:rPr>
        <w:t>.</w:t>
      </w:r>
    </w:p>
    <w:p w:rsidR="00123C57" w:rsidRPr="00AC5BC9" w:rsidRDefault="00123C57" w:rsidP="00123C57">
      <w:pPr>
        <w:pStyle w:val="Textoindependiente"/>
        <w:jc w:val="both"/>
        <w:rPr>
          <w:rFonts w:ascii="Arial" w:hAnsi="Arial" w:cs="Arial"/>
          <w:b w:val="0"/>
          <w:sz w:val="24"/>
          <w:highlight w:val="yellow"/>
        </w:rPr>
      </w:pPr>
      <w:r>
        <w:rPr>
          <w:rFonts w:ascii="Arial" w:hAnsi="Arial" w:cs="Arial"/>
          <w:b w:val="0"/>
          <w:sz w:val="24"/>
        </w:rPr>
        <w:t xml:space="preserve">Para ello, se recuperó 1L de la PTP del efluente de cada etapa del proceso </w:t>
      </w:r>
      <w:r w:rsidRPr="00E85848">
        <w:rPr>
          <w:rFonts w:ascii="Arial" w:hAnsi="Arial" w:cs="Arial"/>
          <w:b w:val="0"/>
          <w:sz w:val="24"/>
        </w:rPr>
        <w:t>(influente, prefiltració</w:t>
      </w:r>
      <w:r>
        <w:rPr>
          <w:rFonts w:ascii="Arial" w:hAnsi="Arial" w:cs="Arial"/>
          <w:b w:val="0"/>
          <w:sz w:val="24"/>
        </w:rPr>
        <w:t>n, posfiltración, osmosis</w:t>
      </w:r>
      <w:r w:rsidRPr="00E85848">
        <w:rPr>
          <w:rFonts w:ascii="Arial" w:hAnsi="Arial" w:cs="Arial"/>
          <w:b w:val="0"/>
          <w:sz w:val="24"/>
        </w:rPr>
        <w:t xml:space="preserve"> inversa y desinfección UV)</w:t>
      </w:r>
      <w:r>
        <w:rPr>
          <w:rFonts w:ascii="Arial" w:hAnsi="Arial" w:cs="Arial"/>
          <w:b w:val="0"/>
          <w:sz w:val="24"/>
        </w:rPr>
        <w:t xml:space="preserve"> para efectuar los análisis correspondientes</w:t>
      </w:r>
      <w:r w:rsidRPr="00E85848">
        <w:rPr>
          <w:rFonts w:ascii="Arial" w:hAnsi="Arial" w:cs="Arial"/>
          <w:b w:val="0"/>
          <w:sz w:val="24"/>
        </w:rPr>
        <w:t>.</w:t>
      </w:r>
      <w:r>
        <w:rPr>
          <w:rFonts w:ascii="Arial" w:hAnsi="Arial" w:cs="Arial"/>
          <w:b w:val="0"/>
          <w:sz w:val="24"/>
        </w:rPr>
        <w:t xml:space="preserve"> </w:t>
      </w:r>
      <w:r w:rsidRPr="00E85848">
        <w:rPr>
          <w:rFonts w:ascii="Arial" w:hAnsi="Arial" w:cs="Arial"/>
          <w:b w:val="0"/>
          <w:sz w:val="24"/>
        </w:rPr>
        <w:t>Su determinación se realizó según la técnica de extracción en fase sólida y análisis por cromatografía de gases acopla</w:t>
      </w:r>
      <w:r>
        <w:rPr>
          <w:rFonts w:ascii="Arial" w:hAnsi="Arial" w:cs="Arial"/>
          <w:b w:val="0"/>
          <w:sz w:val="24"/>
        </w:rPr>
        <w:t>da a un espectrómetro de masas (</w:t>
      </w:r>
      <w:r w:rsidRPr="00E85848">
        <w:rPr>
          <w:rFonts w:ascii="Arial" w:hAnsi="Arial" w:cs="Arial"/>
          <w:b w:val="0"/>
          <w:sz w:val="24"/>
        </w:rPr>
        <w:t>GC-MS</w:t>
      </w:r>
      <w:r>
        <w:rPr>
          <w:rFonts w:ascii="Arial" w:hAnsi="Arial" w:cs="Arial"/>
          <w:b w:val="0"/>
          <w:sz w:val="24"/>
        </w:rPr>
        <w:t>)</w:t>
      </w:r>
      <w:r w:rsidRPr="00E85848">
        <w:rPr>
          <w:rFonts w:ascii="Arial" w:hAnsi="Arial" w:cs="Arial"/>
          <w:b w:val="0"/>
          <w:sz w:val="24"/>
        </w:rPr>
        <w:t xml:space="preserve"> </w:t>
      </w:r>
      <w:r>
        <w:rPr>
          <w:rFonts w:ascii="Arial" w:hAnsi="Arial" w:cs="Arial"/>
          <w:b w:val="0"/>
          <w:sz w:val="24"/>
        </w:rPr>
        <w:t>y UHPLC</w:t>
      </w:r>
      <w:r w:rsidRPr="00E85848">
        <w:rPr>
          <w:rFonts w:ascii="Arial" w:hAnsi="Arial" w:cs="Arial"/>
          <w:b w:val="0"/>
          <w:sz w:val="24"/>
        </w:rPr>
        <w:t>, en la cual los analitos fueron extraídos a partir de las muestras modelo</w:t>
      </w:r>
      <w:r>
        <w:rPr>
          <w:rFonts w:ascii="Arial" w:hAnsi="Arial" w:cs="Arial"/>
          <w:b w:val="0"/>
          <w:sz w:val="24"/>
        </w:rPr>
        <w:t xml:space="preserve"> </w:t>
      </w:r>
      <w:r w:rsidRPr="00E85848">
        <w:rPr>
          <w:rFonts w:ascii="Arial" w:hAnsi="Arial" w:cs="Arial"/>
          <w:b w:val="0"/>
          <w:sz w:val="24"/>
        </w:rPr>
        <w:t>mediante su elución con metanol utilizando cartuchos C-18 con 500 mg de fase sólida</w:t>
      </w:r>
      <w:r>
        <w:rPr>
          <w:rFonts w:ascii="Arial" w:hAnsi="Arial" w:cs="Arial"/>
          <w:b w:val="0"/>
          <w:sz w:val="24"/>
        </w:rPr>
        <w:t xml:space="preserve"> </w:t>
      </w:r>
      <w:r>
        <w:rPr>
          <w:rFonts w:ascii="Arial" w:hAnsi="Arial" w:cs="Arial"/>
          <w:b w:val="0"/>
          <w:sz w:val="24"/>
          <w:vertAlign w:val="superscript"/>
        </w:rPr>
        <w:t>[10] [11]</w:t>
      </w:r>
      <w:r w:rsidRPr="001719E6">
        <w:rPr>
          <w:rFonts w:ascii="Arial" w:hAnsi="Arial" w:cs="Arial"/>
          <w:b w:val="0"/>
          <w:sz w:val="24"/>
        </w:rPr>
        <w:t>.</w:t>
      </w:r>
    </w:p>
    <w:p w:rsidR="00123C57" w:rsidRPr="00123C57" w:rsidRDefault="00123C57" w:rsidP="00123C57">
      <w:pPr>
        <w:pStyle w:val="Ttulo2"/>
        <w:keepLines w:val="0"/>
        <w:numPr>
          <w:ilvl w:val="1"/>
          <w:numId w:val="1"/>
        </w:numPr>
        <w:tabs>
          <w:tab w:val="clear" w:pos="576"/>
          <w:tab w:val="num" w:pos="0"/>
        </w:tabs>
        <w:suppressAutoHyphens/>
        <w:spacing w:before="0"/>
        <w:ind w:left="0" w:firstLine="0"/>
        <w:jc w:val="both"/>
        <w:rPr>
          <w:sz w:val="24"/>
          <w:szCs w:val="24"/>
        </w:rPr>
      </w:pPr>
      <w:bookmarkStart w:id="194" w:name="_Toc50031284"/>
      <w:r w:rsidRPr="00123C57">
        <w:rPr>
          <w:sz w:val="24"/>
          <w:szCs w:val="24"/>
        </w:rPr>
        <w:t>3.2 Bioensayos con D. rerio</w:t>
      </w:r>
      <w:bookmarkEnd w:id="194"/>
    </w:p>
    <w:p w:rsidR="00123C57" w:rsidRDefault="00123C57" w:rsidP="00123C57">
      <w:pPr>
        <w:pStyle w:val="Textoindependiente"/>
        <w:ind w:firstLine="708"/>
        <w:jc w:val="both"/>
        <w:rPr>
          <w:rFonts w:ascii="Arial" w:hAnsi="Arial" w:cs="Arial"/>
          <w:b w:val="0"/>
          <w:sz w:val="24"/>
        </w:rPr>
      </w:pPr>
      <w:r w:rsidRPr="00143A0E">
        <w:rPr>
          <w:rFonts w:ascii="Arial" w:hAnsi="Arial" w:cs="Arial"/>
          <w:b w:val="0"/>
          <w:sz w:val="24"/>
        </w:rPr>
        <w:t>Los embriones</w:t>
      </w:r>
      <w:r>
        <w:rPr>
          <w:rFonts w:ascii="Arial" w:hAnsi="Arial" w:cs="Arial"/>
          <w:b w:val="0"/>
          <w:sz w:val="24"/>
        </w:rPr>
        <w:t xml:space="preserve"> a emplear en el ensayo se obtuvieron a partir de la reproducción</w:t>
      </w:r>
      <w:r w:rsidRPr="00143A0E">
        <w:rPr>
          <w:rFonts w:ascii="Arial" w:hAnsi="Arial" w:cs="Arial"/>
          <w:b w:val="0"/>
          <w:sz w:val="24"/>
        </w:rPr>
        <w:t xml:space="preserve"> de peces</w:t>
      </w:r>
      <w:r>
        <w:rPr>
          <w:rFonts w:ascii="Arial" w:hAnsi="Arial" w:cs="Arial"/>
          <w:b w:val="0"/>
          <w:sz w:val="24"/>
        </w:rPr>
        <w:t xml:space="preserve"> cebra adultos (</w:t>
      </w:r>
      <w:r w:rsidRPr="001E2DFA">
        <w:rPr>
          <w:rFonts w:ascii="Arial" w:hAnsi="Arial" w:cs="Arial"/>
          <w:b w:val="0"/>
          <w:i/>
          <w:sz w:val="24"/>
        </w:rPr>
        <w:t>D. rerio</w:t>
      </w:r>
      <w:r>
        <w:rPr>
          <w:rFonts w:ascii="Arial" w:hAnsi="Arial" w:cs="Arial"/>
          <w:b w:val="0"/>
          <w:sz w:val="24"/>
        </w:rPr>
        <w:t xml:space="preserve"> </w:t>
      </w:r>
      <w:r w:rsidRPr="00EC2480">
        <w:rPr>
          <w:rFonts w:ascii="Arial" w:hAnsi="Arial" w:cs="Arial"/>
          <w:b w:val="0"/>
          <w:i/>
          <w:sz w:val="24"/>
        </w:rPr>
        <w:t>wild-type</w:t>
      </w:r>
      <w:r w:rsidRPr="00913232">
        <w:rPr>
          <w:rFonts w:ascii="Arial" w:hAnsi="Arial" w:cs="Arial"/>
          <w:b w:val="0"/>
          <w:sz w:val="24"/>
        </w:rPr>
        <w:t>)</w:t>
      </w:r>
      <w:r>
        <w:rPr>
          <w:rFonts w:ascii="Arial" w:hAnsi="Arial" w:cs="Arial"/>
          <w:b w:val="0"/>
          <w:sz w:val="24"/>
        </w:rPr>
        <w:t xml:space="preserve"> obtenidos en el </w:t>
      </w:r>
      <w:r w:rsidRPr="00143A0E">
        <w:rPr>
          <w:rFonts w:ascii="Arial" w:hAnsi="Arial" w:cs="Arial"/>
          <w:b w:val="0"/>
          <w:sz w:val="24"/>
        </w:rPr>
        <w:t>bioterio del Instituto de Biotecnol</w:t>
      </w:r>
      <w:r>
        <w:rPr>
          <w:rFonts w:ascii="Arial" w:hAnsi="Arial" w:cs="Arial"/>
          <w:b w:val="0"/>
          <w:sz w:val="24"/>
        </w:rPr>
        <w:t>ogía, UNAM-Morelos</w:t>
      </w:r>
      <w:r w:rsidRPr="00143A0E">
        <w:rPr>
          <w:rFonts w:ascii="Arial" w:hAnsi="Arial" w:cs="Arial"/>
          <w:b w:val="0"/>
          <w:sz w:val="24"/>
        </w:rPr>
        <w:t>.</w:t>
      </w:r>
      <w:r>
        <w:rPr>
          <w:rFonts w:ascii="Arial" w:hAnsi="Arial" w:cs="Arial"/>
          <w:b w:val="0"/>
          <w:sz w:val="24"/>
        </w:rPr>
        <w:t xml:space="preserve"> </w:t>
      </w:r>
      <w:r w:rsidRPr="00143A0E">
        <w:rPr>
          <w:rFonts w:ascii="Arial" w:hAnsi="Arial" w:cs="Arial"/>
          <w:b w:val="0"/>
          <w:sz w:val="24"/>
        </w:rPr>
        <w:t>El ensayo</w:t>
      </w:r>
      <w:r>
        <w:rPr>
          <w:rFonts w:ascii="Arial" w:hAnsi="Arial" w:cs="Arial"/>
          <w:b w:val="0"/>
          <w:sz w:val="24"/>
        </w:rPr>
        <w:t xml:space="preserve"> inició dentro del intervalo comprendido a las </w:t>
      </w:r>
      <w:r w:rsidRPr="00143A0E">
        <w:rPr>
          <w:rFonts w:ascii="Arial" w:hAnsi="Arial" w:cs="Arial"/>
          <w:b w:val="0"/>
          <w:sz w:val="24"/>
        </w:rPr>
        <w:t xml:space="preserve">2 h </w:t>
      </w:r>
      <w:r>
        <w:rPr>
          <w:rFonts w:ascii="Arial" w:hAnsi="Arial" w:cs="Arial"/>
          <w:b w:val="0"/>
          <w:sz w:val="24"/>
        </w:rPr>
        <w:t xml:space="preserve">posteriores a la </w:t>
      </w:r>
      <w:r w:rsidRPr="00143A0E">
        <w:rPr>
          <w:rFonts w:ascii="Arial" w:hAnsi="Arial" w:cs="Arial"/>
          <w:b w:val="0"/>
          <w:sz w:val="24"/>
        </w:rPr>
        <w:t xml:space="preserve">puesta, </w:t>
      </w:r>
      <w:r>
        <w:rPr>
          <w:rFonts w:ascii="Arial" w:hAnsi="Arial" w:cs="Arial"/>
          <w:b w:val="0"/>
          <w:sz w:val="24"/>
        </w:rPr>
        <w:t xml:space="preserve">recuperando de manera aleatoria diez embriones para caso explorado, agrupando y colocando cada grupo de manera independiente en placas de cultivo de fondo plano para facilitar su observación, destacando que cada ensayo de exposición se realizó por duplicado. </w:t>
      </w:r>
    </w:p>
    <w:p w:rsidR="00123C57" w:rsidRDefault="00123C57" w:rsidP="00123C57">
      <w:pPr>
        <w:pStyle w:val="Textoindependiente"/>
        <w:jc w:val="both"/>
        <w:rPr>
          <w:rFonts w:ascii="Arial" w:hAnsi="Arial" w:cs="Arial"/>
          <w:b w:val="0"/>
          <w:sz w:val="24"/>
        </w:rPr>
      </w:pPr>
      <w:r w:rsidRPr="00143A0E">
        <w:rPr>
          <w:rFonts w:ascii="Arial" w:hAnsi="Arial" w:cs="Arial"/>
          <w:b w:val="0"/>
          <w:sz w:val="24"/>
        </w:rPr>
        <w:t xml:space="preserve">Los embriones </w:t>
      </w:r>
      <w:r>
        <w:rPr>
          <w:rFonts w:ascii="Arial" w:hAnsi="Arial" w:cs="Arial"/>
          <w:b w:val="0"/>
          <w:sz w:val="24"/>
        </w:rPr>
        <w:t>se expusieron a las m</w:t>
      </w:r>
      <w:r w:rsidRPr="00E41CDA">
        <w:rPr>
          <w:rFonts w:ascii="Arial" w:hAnsi="Arial" w:cs="Arial"/>
          <w:b w:val="0"/>
          <w:sz w:val="24"/>
        </w:rPr>
        <w:t xml:space="preserve">uestras de agua de cada efluente de </w:t>
      </w:r>
      <w:r>
        <w:rPr>
          <w:rFonts w:ascii="Arial" w:hAnsi="Arial" w:cs="Arial"/>
          <w:b w:val="0"/>
          <w:sz w:val="24"/>
        </w:rPr>
        <w:t>la UP de la PTP mencionada en el apartado 3.1 en un volumen de 300 µl por pozo. En contraste otros grupos de embriones se expusieron en BPA, CBZ</w:t>
      </w:r>
      <w:r w:rsidRPr="00E41CDA">
        <w:rPr>
          <w:rFonts w:ascii="Arial" w:hAnsi="Arial" w:cs="Arial"/>
          <w:b w:val="0"/>
          <w:sz w:val="24"/>
        </w:rPr>
        <w:t xml:space="preserve">, </w:t>
      </w:r>
      <w:r>
        <w:rPr>
          <w:rFonts w:ascii="Arial" w:hAnsi="Arial" w:cs="Arial"/>
          <w:b w:val="0"/>
          <w:sz w:val="24"/>
        </w:rPr>
        <w:t>NPH y TCS en concentraciones de</w:t>
      </w:r>
      <w:r w:rsidRPr="00E41CDA">
        <w:rPr>
          <w:rFonts w:ascii="Arial" w:hAnsi="Arial" w:cs="Arial"/>
          <w:b w:val="0"/>
          <w:sz w:val="24"/>
        </w:rPr>
        <w:t xml:space="preserve"> 10</w:t>
      </w:r>
      <w:r>
        <w:rPr>
          <w:rFonts w:ascii="Arial" w:hAnsi="Arial" w:cs="Arial"/>
          <w:b w:val="0"/>
          <w:sz w:val="24"/>
        </w:rPr>
        <w:t>00ng/L; 2000 ng/L y 90 000 ng/L (esta última solo para la segunda concentración de CBZ)</w:t>
      </w:r>
      <w:r w:rsidRPr="00D622FA">
        <w:rPr>
          <w:rFonts w:ascii="Arial" w:hAnsi="Arial" w:cs="Arial"/>
          <w:b w:val="0"/>
          <w:sz w:val="24"/>
        </w:rPr>
        <w:t xml:space="preserve"> </w:t>
      </w:r>
      <w:r>
        <w:rPr>
          <w:rFonts w:ascii="Arial" w:hAnsi="Arial" w:cs="Arial"/>
          <w:b w:val="0"/>
          <w:sz w:val="24"/>
        </w:rPr>
        <w:t>disueltos en agua de acuario; El conjunto de los anteriores MCO en una misma solución con concentraciones de 1000 ng/L originan la Mezcla I con una concentración final de MCO de 4000 ng/L; y con concentraciones de 2000 y 90 000 ng/L originan la Mezcla II con una concentración final de MCO de 96,000 ng/L. El volumen usado en el ensayo fue de 300 µl por pozo (</w:t>
      </w:r>
      <w:r w:rsidRPr="00E41CDA">
        <w:rPr>
          <w:rFonts w:ascii="Arial" w:hAnsi="Arial" w:cs="Arial"/>
          <w:b w:val="0"/>
          <w:sz w:val="24"/>
        </w:rPr>
        <w:t>Tab</w:t>
      </w:r>
      <w:r>
        <w:rPr>
          <w:rFonts w:ascii="Arial" w:hAnsi="Arial" w:cs="Arial"/>
          <w:b w:val="0"/>
          <w:sz w:val="24"/>
        </w:rPr>
        <w:t>la 1)</w:t>
      </w:r>
      <w:r w:rsidRPr="00E41CDA">
        <w:rPr>
          <w:rFonts w:ascii="Arial" w:hAnsi="Arial" w:cs="Arial"/>
          <w:b w:val="0"/>
          <w:sz w:val="24"/>
        </w:rPr>
        <w:t>.</w:t>
      </w:r>
      <w:r>
        <w:rPr>
          <w:rFonts w:ascii="Arial" w:hAnsi="Arial" w:cs="Arial"/>
          <w:b w:val="0"/>
          <w:sz w:val="24"/>
        </w:rPr>
        <w:t xml:space="preserve"> </w:t>
      </w:r>
    </w:p>
    <w:p w:rsidR="00123C57" w:rsidRDefault="00123C57" w:rsidP="00123C57">
      <w:pPr>
        <w:pStyle w:val="Textoindependiente"/>
        <w:rPr>
          <w:rFonts w:ascii="Arial" w:hAnsi="Arial" w:cs="Arial"/>
          <w:b w:val="0"/>
          <w:sz w:val="24"/>
        </w:rPr>
      </w:pPr>
    </w:p>
    <w:p w:rsidR="00123C57" w:rsidRPr="00794516" w:rsidRDefault="00123C57" w:rsidP="00123C57">
      <w:pPr>
        <w:pStyle w:val="Descripcin"/>
        <w:jc w:val="center"/>
        <w:rPr>
          <w:sz w:val="20"/>
          <w:szCs w:val="22"/>
        </w:rPr>
      </w:pPr>
      <w:r w:rsidRPr="00794516">
        <w:rPr>
          <w:sz w:val="20"/>
          <w:szCs w:val="22"/>
        </w:rPr>
        <w:t xml:space="preserve">Tabla </w:t>
      </w:r>
      <w:r w:rsidRPr="00794516">
        <w:rPr>
          <w:sz w:val="20"/>
          <w:szCs w:val="22"/>
        </w:rPr>
        <w:fldChar w:fldCharType="begin"/>
      </w:r>
      <w:r w:rsidRPr="00794516">
        <w:rPr>
          <w:sz w:val="20"/>
          <w:szCs w:val="22"/>
        </w:rPr>
        <w:instrText xml:space="preserve"> SEQ Tabla \* ARABIC </w:instrText>
      </w:r>
      <w:r w:rsidRPr="00794516">
        <w:rPr>
          <w:sz w:val="20"/>
          <w:szCs w:val="22"/>
        </w:rPr>
        <w:fldChar w:fldCharType="separate"/>
      </w:r>
      <w:r>
        <w:rPr>
          <w:noProof/>
          <w:sz w:val="20"/>
          <w:szCs w:val="22"/>
        </w:rPr>
        <w:t>1</w:t>
      </w:r>
      <w:r w:rsidRPr="00794516">
        <w:rPr>
          <w:sz w:val="20"/>
          <w:szCs w:val="22"/>
        </w:rPr>
        <w:fldChar w:fldCharType="end"/>
      </w:r>
      <w:r>
        <w:rPr>
          <w:sz w:val="20"/>
          <w:szCs w:val="22"/>
        </w:rPr>
        <w:t>. Ensayos para la</w:t>
      </w:r>
      <w:r w:rsidRPr="00794516">
        <w:rPr>
          <w:sz w:val="20"/>
          <w:szCs w:val="22"/>
        </w:rPr>
        <w:t xml:space="preserve"> determinación de DL50 para </w:t>
      </w:r>
      <w:r>
        <w:rPr>
          <w:sz w:val="20"/>
          <w:szCs w:val="22"/>
        </w:rPr>
        <w:t>MCO</w:t>
      </w:r>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3260"/>
        <w:gridCol w:w="4125"/>
      </w:tblGrid>
      <w:tr w:rsidR="00123C57" w:rsidRPr="00616B20" w:rsidTr="007F2707">
        <w:trPr>
          <w:trHeight w:val="178"/>
        </w:trPr>
        <w:tc>
          <w:tcPr>
            <w:tcW w:w="2235" w:type="dxa"/>
          </w:tcPr>
          <w:p w:rsidR="00123C57" w:rsidRDefault="00123C57" w:rsidP="007F2707">
            <w:pPr>
              <w:jc w:val="cente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lastRenderedPageBreak/>
              <w:t># Ensayo</w:t>
            </w:r>
          </w:p>
        </w:tc>
        <w:tc>
          <w:tcPr>
            <w:tcW w:w="3260" w:type="dxa"/>
            <w:shd w:val="clear" w:color="auto" w:fill="auto"/>
            <w:noWrap/>
            <w:hideMark/>
          </w:tcPr>
          <w:p w:rsidR="00123C57" w:rsidRPr="00080AC5" w:rsidRDefault="00123C57" w:rsidP="007F2707">
            <w:pPr>
              <w:jc w:val="cente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 xml:space="preserve">Microcontaminantes orgánicos </w:t>
            </w:r>
          </w:p>
        </w:tc>
        <w:tc>
          <w:tcPr>
            <w:tcW w:w="4125" w:type="dxa"/>
            <w:shd w:val="clear" w:color="auto" w:fill="auto"/>
            <w:noWrap/>
            <w:hideMark/>
          </w:tcPr>
          <w:p w:rsidR="00123C57" w:rsidRPr="00080AC5" w:rsidRDefault="00123C57" w:rsidP="007F2707">
            <w:pPr>
              <w:jc w:val="center"/>
              <w:rPr>
                <w:rFonts w:ascii="Calibri" w:eastAsia="Times New Roman" w:hAnsi="Calibri"/>
                <w:color w:val="000000"/>
                <w:sz w:val="22"/>
                <w:szCs w:val="22"/>
                <w:lang w:val="es-MX" w:eastAsia="es-MX"/>
              </w:rPr>
            </w:pPr>
            <w:r w:rsidRPr="00080AC5">
              <w:rPr>
                <w:rFonts w:ascii="Calibri" w:eastAsia="Times New Roman" w:hAnsi="Calibri"/>
                <w:color w:val="000000"/>
                <w:sz w:val="22"/>
                <w:szCs w:val="22"/>
                <w:lang w:val="es-MX" w:eastAsia="es-MX"/>
              </w:rPr>
              <w:t>CONCENTRACIÓN</w:t>
            </w:r>
            <w:r>
              <w:rPr>
                <w:rFonts w:ascii="Calibri" w:eastAsia="Times New Roman" w:hAnsi="Calibri"/>
                <w:color w:val="000000"/>
                <w:sz w:val="22"/>
                <w:szCs w:val="22"/>
                <w:lang w:val="es-MX" w:eastAsia="es-MX"/>
              </w:rPr>
              <w:t xml:space="preserve"> (</w:t>
            </w:r>
            <w:r w:rsidRPr="00080AC5">
              <w:rPr>
                <w:rFonts w:ascii="Calibri" w:eastAsia="Times New Roman" w:hAnsi="Calibri"/>
                <w:color w:val="000000"/>
                <w:sz w:val="22"/>
                <w:szCs w:val="22"/>
                <w:lang w:val="es-MX" w:eastAsia="es-MX"/>
              </w:rPr>
              <w:t>ng/L</w:t>
            </w:r>
            <w:r>
              <w:rPr>
                <w:rFonts w:ascii="Calibri" w:eastAsia="Times New Roman" w:hAnsi="Calibri"/>
                <w:color w:val="000000"/>
                <w:sz w:val="22"/>
                <w:szCs w:val="22"/>
                <w:lang w:val="es-MX" w:eastAsia="es-MX"/>
              </w:rPr>
              <w:t>)</w:t>
            </w:r>
          </w:p>
        </w:tc>
      </w:tr>
      <w:tr w:rsidR="00123C57" w:rsidRPr="00616B20" w:rsidTr="007F2707">
        <w:trPr>
          <w:trHeight w:val="178"/>
        </w:trPr>
        <w:tc>
          <w:tcPr>
            <w:tcW w:w="2235" w:type="dxa"/>
            <w:vMerge w:val="restart"/>
          </w:tcPr>
          <w:p w:rsidR="00123C57" w:rsidRDefault="00123C57" w:rsidP="007F2707">
            <w:pPr>
              <w:jc w:val="center"/>
              <w:rPr>
                <w:rFonts w:ascii="Calibri" w:eastAsia="Times New Roman" w:hAnsi="Calibri"/>
                <w:color w:val="000000"/>
                <w:sz w:val="22"/>
                <w:szCs w:val="22"/>
                <w:lang w:val="es-MX" w:eastAsia="es-MX"/>
              </w:rPr>
            </w:pPr>
          </w:p>
          <w:p w:rsidR="00123C57" w:rsidRDefault="00123C57" w:rsidP="007F2707">
            <w:pPr>
              <w:jc w:val="center"/>
              <w:rPr>
                <w:rFonts w:ascii="Calibri" w:eastAsia="Times New Roman" w:hAnsi="Calibri"/>
                <w:color w:val="000000"/>
                <w:sz w:val="22"/>
                <w:szCs w:val="22"/>
                <w:lang w:val="es-MX" w:eastAsia="es-MX"/>
              </w:rPr>
            </w:pPr>
          </w:p>
          <w:p w:rsidR="00123C57" w:rsidRDefault="00123C57" w:rsidP="007F2707">
            <w:pPr>
              <w:jc w:val="cente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Bioensayo 1</w:t>
            </w:r>
          </w:p>
        </w:tc>
        <w:tc>
          <w:tcPr>
            <w:tcW w:w="3260" w:type="dxa"/>
            <w:shd w:val="clear" w:color="auto" w:fill="auto"/>
            <w:noWrap/>
            <w:hideMark/>
          </w:tcPr>
          <w:p w:rsidR="00123C57" w:rsidRPr="008152AC" w:rsidRDefault="00123C57" w:rsidP="007F2707">
            <w:pPr>
              <w:jc w:val="center"/>
              <w:rPr>
                <w:rFonts w:ascii="Calibri" w:eastAsia="Times New Roman" w:hAnsi="Calibri"/>
                <w:color w:val="000000"/>
                <w:sz w:val="22"/>
                <w:szCs w:val="22"/>
                <w:lang w:val="es-MX" w:eastAsia="es-MX"/>
              </w:rPr>
            </w:pPr>
            <w:r w:rsidRPr="008152AC">
              <w:rPr>
                <w:rFonts w:ascii="Calibri" w:eastAsia="Times New Roman" w:hAnsi="Calibri"/>
                <w:color w:val="000000"/>
                <w:sz w:val="22"/>
                <w:szCs w:val="22"/>
                <w:lang w:val="es-MX" w:eastAsia="es-MX"/>
              </w:rPr>
              <w:t>Bisfenol A</w:t>
            </w:r>
          </w:p>
        </w:tc>
        <w:tc>
          <w:tcPr>
            <w:tcW w:w="4125" w:type="dxa"/>
            <w:vMerge w:val="restart"/>
            <w:shd w:val="clear" w:color="auto" w:fill="auto"/>
            <w:noWrap/>
            <w:hideMark/>
          </w:tcPr>
          <w:p w:rsidR="00123C57" w:rsidRPr="00080AC5" w:rsidRDefault="00123C57" w:rsidP="007F2707">
            <w:pPr>
              <w:jc w:val="center"/>
              <w:rPr>
                <w:rFonts w:ascii="Calibri" w:eastAsia="Times New Roman" w:hAnsi="Calibri"/>
                <w:color w:val="000000"/>
                <w:sz w:val="22"/>
                <w:szCs w:val="22"/>
                <w:lang w:val="es-MX" w:eastAsia="es-MX"/>
              </w:rPr>
            </w:pPr>
          </w:p>
          <w:p w:rsidR="00123C57" w:rsidRPr="00080AC5" w:rsidRDefault="00123C57" w:rsidP="007F2707">
            <w:pPr>
              <w:jc w:val="center"/>
              <w:rPr>
                <w:rFonts w:ascii="Calibri" w:eastAsia="Times New Roman" w:hAnsi="Calibri"/>
                <w:color w:val="000000"/>
                <w:sz w:val="22"/>
                <w:szCs w:val="22"/>
                <w:lang w:val="es-MX" w:eastAsia="es-MX"/>
              </w:rPr>
            </w:pPr>
          </w:p>
          <w:p w:rsidR="00123C57" w:rsidRPr="00080AC5" w:rsidRDefault="00123C57" w:rsidP="007F2707">
            <w:pPr>
              <w:jc w:val="cente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1000</w:t>
            </w:r>
          </w:p>
        </w:tc>
      </w:tr>
      <w:tr w:rsidR="00123C57" w:rsidRPr="00616B20" w:rsidTr="007F2707">
        <w:trPr>
          <w:trHeight w:val="178"/>
        </w:trPr>
        <w:tc>
          <w:tcPr>
            <w:tcW w:w="2235" w:type="dxa"/>
            <w:vMerge/>
          </w:tcPr>
          <w:p w:rsidR="00123C57" w:rsidRDefault="00123C57" w:rsidP="007F2707">
            <w:pPr>
              <w:jc w:val="center"/>
              <w:rPr>
                <w:rFonts w:ascii="Calibri" w:eastAsia="Times New Roman" w:hAnsi="Calibri"/>
                <w:color w:val="000000"/>
                <w:sz w:val="22"/>
                <w:szCs w:val="22"/>
                <w:lang w:val="es-MX" w:eastAsia="es-MX"/>
              </w:rPr>
            </w:pPr>
          </w:p>
        </w:tc>
        <w:tc>
          <w:tcPr>
            <w:tcW w:w="3260" w:type="dxa"/>
            <w:shd w:val="clear" w:color="auto" w:fill="auto"/>
            <w:noWrap/>
            <w:hideMark/>
          </w:tcPr>
          <w:p w:rsidR="00123C57" w:rsidRPr="008152AC" w:rsidRDefault="00123C57" w:rsidP="007F2707">
            <w:pPr>
              <w:jc w:val="center"/>
              <w:rPr>
                <w:rFonts w:ascii="Calibri" w:eastAsia="Times New Roman" w:hAnsi="Calibri"/>
                <w:color w:val="000000"/>
                <w:sz w:val="22"/>
                <w:szCs w:val="22"/>
                <w:lang w:val="es-MX" w:eastAsia="es-MX"/>
              </w:rPr>
            </w:pPr>
            <w:r w:rsidRPr="008152AC">
              <w:rPr>
                <w:rFonts w:ascii="Calibri" w:eastAsia="Times New Roman" w:hAnsi="Calibri"/>
                <w:color w:val="000000"/>
                <w:sz w:val="22"/>
                <w:szCs w:val="22"/>
                <w:lang w:val="es-MX" w:eastAsia="es-MX"/>
              </w:rPr>
              <w:t>Triclosán</w:t>
            </w:r>
          </w:p>
        </w:tc>
        <w:tc>
          <w:tcPr>
            <w:tcW w:w="4125" w:type="dxa"/>
            <w:vMerge/>
            <w:shd w:val="clear" w:color="auto" w:fill="auto"/>
            <w:hideMark/>
          </w:tcPr>
          <w:p w:rsidR="00123C57" w:rsidRPr="00080AC5" w:rsidRDefault="00123C57" w:rsidP="007F2707">
            <w:pPr>
              <w:jc w:val="center"/>
              <w:rPr>
                <w:rFonts w:ascii="Calibri" w:eastAsia="Times New Roman" w:hAnsi="Calibri"/>
                <w:color w:val="000000"/>
                <w:sz w:val="22"/>
                <w:szCs w:val="22"/>
                <w:lang w:val="es-MX" w:eastAsia="es-MX"/>
              </w:rPr>
            </w:pPr>
          </w:p>
        </w:tc>
      </w:tr>
      <w:tr w:rsidR="00123C57" w:rsidRPr="00616B20" w:rsidTr="007F2707">
        <w:trPr>
          <w:trHeight w:val="178"/>
        </w:trPr>
        <w:tc>
          <w:tcPr>
            <w:tcW w:w="2235" w:type="dxa"/>
            <w:vMerge/>
          </w:tcPr>
          <w:p w:rsidR="00123C57" w:rsidRDefault="00123C57" w:rsidP="007F2707">
            <w:pPr>
              <w:jc w:val="center"/>
              <w:rPr>
                <w:rFonts w:ascii="Calibri" w:eastAsia="Times New Roman" w:hAnsi="Calibri"/>
                <w:color w:val="000000"/>
                <w:sz w:val="22"/>
                <w:szCs w:val="22"/>
                <w:lang w:val="es-MX" w:eastAsia="es-MX"/>
              </w:rPr>
            </w:pPr>
          </w:p>
        </w:tc>
        <w:tc>
          <w:tcPr>
            <w:tcW w:w="3260" w:type="dxa"/>
            <w:shd w:val="clear" w:color="auto" w:fill="auto"/>
            <w:noWrap/>
            <w:hideMark/>
          </w:tcPr>
          <w:p w:rsidR="00123C57" w:rsidRPr="008152AC" w:rsidRDefault="00123C57" w:rsidP="007F2707">
            <w:pPr>
              <w:jc w:val="center"/>
              <w:rPr>
                <w:rFonts w:ascii="Calibri" w:eastAsia="Times New Roman" w:hAnsi="Calibri"/>
                <w:color w:val="000000"/>
                <w:sz w:val="22"/>
                <w:szCs w:val="22"/>
                <w:lang w:val="es-MX" w:eastAsia="es-MX"/>
              </w:rPr>
            </w:pPr>
            <w:r w:rsidRPr="008152AC">
              <w:rPr>
                <w:rFonts w:ascii="Calibri" w:eastAsia="Times New Roman" w:hAnsi="Calibri"/>
                <w:color w:val="000000"/>
                <w:sz w:val="22"/>
                <w:szCs w:val="22"/>
                <w:lang w:val="es-MX" w:eastAsia="es-MX"/>
              </w:rPr>
              <w:t>Nonilfenol</w:t>
            </w:r>
          </w:p>
        </w:tc>
        <w:tc>
          <w:tcPr>
            <w:tcW w:w="4125" w:type="dxa"/>
            <w:vMerge/>
            <w:shd w:val="clear" w:color="auto" w:fill="auto"/>
            <w:hideMark/>
          </w:tcPr>
          <w:p w:rsidR="00123C57" w:rsidRPr="00080AC5" w:rsidRDefault="00123C57" w:rsidP="007F2707">
            <w:pPr>
              <w:jc w:val="center"/>
              <w:rPr>
                <w:rFonts w:ascii="Calibri" w:eastAsia="Times New Roman" w:hAnsi="Calibri"/>
                <w:color w:val="000000"/>
                <w:sz w:val="22"/>
                <w:szCs w:val="22"/>
                <w:lang w:val="es-MX" w:eastAsia="es-MX"/>
              </w:rPr>
            </w:pPr>
          </w:p>
        </w:tc>
      </w:tr>
      <w:tr w:rsidR="00123C57" w:rsidRPr="00616B20" w:rsidTr="007F2707">
        <w:trPr>
          <w:trHeight w:val="178"/>
        </w:trPr>
        <w:tc>
          <w:tcPr>
            <w:tcW w:w="2235" w:type="dxa"/>
            <w:vMerge/>
          </w:tcPr>
          <w:p w:rsidR="00123C57" w:rsidRDefault="00123C57" w:rsidP="007F2707">
            <w:pPr>
              <w:jc w:val="center"/>
              <w:rPr>
                <w:rFonts w:ascii="Calibri" w:eastAsia="Times New Roman" w:hAnsi="Calibri"/>
                <w:color w:val="000000"/>
                <w:sz w:val="22"/>
                <w:szCs w:val="22"/>
                <w:lang w:val="es-MX" w:eastAsia="es-MX"/>
              </w:rPr>
            </w:pPr>
          </w:p>
        </w:tc>
        <w:tc>
          <w:tcPr>
            <w:tcW w:w="3260" w:type="dxa"/>
            <w:shd w:val="clear" w:color="auto" w:fill="auto"/>
            <w:noWrap/>
            <w:hideMark/>
          </w:tcPr>
          <w:p w:rsidR="00123C57" w:rsidRPr="008152AC" w:rsidRDefault="00123C57" w:rsidP="007F2707">
            <w:pPr>
              <w:jc w:val="center"/>
              <w:rPr>
                <w:rFonts w:ascii="Calibri" w:eastAsia="Times New Roman" w:hAnsi="Calibri"/>
                <w:color w:val="000000"/>
                <w:sz w:val="22"/>
                <w:szCs w:val="22"/>
                <w:lang w:val="es-MX" w:eastAsia="es-MX"/>
              </w:rPr>
            </w:pPr>
            <w:r w:rsidRPr="008152AC">
              <w:rPr>
                <w:rFonts w:ascii="Calibri" w:eastAsia="Times New Roman" w:hAnsi="Calibri"/>
                <w:color w:val="000000"/>
                <w:sz w:val="22"/>
                <w:szCs w:val="22"/>
                <w:lang w:val="es-MX" w:eastAsia="es-MX"/>
              </w:rPr>
              <w:t>Carbamazepina</w:t>
            </w:r>
          </w:p>
        </w:tc>
        <w:tc>
          <w:tcPr>
            <w:tcW w:w="4125" w:type="dxa"/>
            <w:vMerge/>
            <w:shd w:val="clear" w:color="auto" w:fill="auto"/>
            <w:hideMark/>
          </w:tcPr>
          <w:p w:rsidR="00123C57" w:rsidRPr="00080AC5" w:rsidRDefault="00123C57" w:rsidP="007F2707">
            <w:pPr>
              <w:jc w:val="center"/>
              <w:rPr>
                <w:rFonts w:ascii="Calibri" w:eastAsia="Times New Roman" w:hAnsi="Calibri"/>
                <w:color w:val="000000"/>
                <w:sz w:val="22"/>
                <w:szCs w:val="22"/>
                <w:lang w:val="es-MX" w:eastAsia="es-MX"/>
              </w:rPr>
            </w:pPr>
          </w:p>
        </w:tc>
      </w:tr>
      <w:tr w:rsidR="00123C57" w:rsidRPr="00616B20" w:rsidTr="007F2707">
        <w:trPr>
          <w:trHeight w:val="178"/>
        </w:trPr>
        <w:tc>
          <w:tcPr>
            <w:tcW w:w="2235" w:type="dxa"/>
            <w:vMerge/>
          </w:tcPr>
          <w:p w:rsidR="00123C57" w:rsidRPr="00080AC5" w:rsidRDefault="00123C57" w:rsidP="007F2707">
            <w:pPr>
              <w:jc w:val="center"/>
              <w:rPr>
                <w:rFonts w:ascii="Calibri" w:eastAsia="Times New Roman" w:hAnsi="Calibri"/>
                <w:color w:val="000000"/>
                <w:sz w:val="22"/>
                <w:szCs w:val="22"/>
                <w:lang w:val="es-MX" w:eastAsia="es-MX"/>
              </w:rPr>
            </w:pPr>
          </w:p>
        </w:tc>
        <w:tc>
          <w:tcPr>
            <w:tcW w:w="3260" w:type="dxa"/>
            <w:shd w:val="clear" w:color="auto" w:fill="auto"/>
            <w:noWrap/>
            <w:hideMark/>
          </w:tcPr>
          <w:p w:rsidR="00123C57" w:rsidRPr="00080AC5" w:rsidRDefault="00123C57" w:rsidP="007F2707">
            <w:pPr>
              <w:jc w:val="center"/>
              <w:rPr>
                <w:rFonts w:ascii="Calibri" w:eastAsia="Times New Roman" w:hAnsi="Calibri"/>
                <w:color w:val="000000"/>
                <w:sz w:val="22"/>
                <w:szCs w:val="22"/>
                <w:lang w:val="es-MX" w:eastAsia="es-MX"/>
              </w:rPr>
            </w:pPr>
            <w:r w:rsidRPr="00080AC5">
              <w:rPr>
                <w:rFonts w:ascii="Calibri" w:eastAsia="Times New Roman" w:hAnsi="Calibri"/>
                <w:color w:val="000000"/>
                <w:sz w:val="22"/>
                <w:szCs w:val="22"/>
                <w:lang w:val="es-MX" w:eastAsia="es-MX"/>
              </w:rPr>
              <w:t>Mezcla</w:t>
            </w:r>
            <w:r>
              <w:rPr>
                <w:rFonts w:ascii="Calibri" w:eastAsia="Times New Roman" w:hAnsi="Calibri"/>
                <w:color w:val="000000"/>
                <w:sz w:val="22"/>
                <w:szCs w:val="22"/>
                <w:lang w:val="es-MX" w:eastAsia="es-MX"/>
              </w:rPr>
              <w:t xml:space="preserve"> I</w:t>
            </w:r>
          </w:p>
        </w:tc>
        <w:tc>
          <w:tcPr>
            <w:tcW w:w="4125" w:type="dxa"/>
            <w:shd w:val="clear" w:color="auto" w:fill="auto"/>
            <w:noWrap/>
            <w:hideMark/>
          </w:tcPr>
          <w:p w:rsidR="00123C57" w:rsidRPr="00080AC5" w:rsidRDefault="00123C57" w:rsidP="007F2707">
            <w:pPr>
              <w:jc w:val="center"/>
              <w:rPr>
                <w:rFonts w:ascii="Calibri" w:eastAsia="Times New Roman" w:hAnsi="Calibri"/>
                <w:color w:val="000000"/>
                <w:sz w:val="22"/>
                <w:szCs w:val="22"/>
                <w:lang w:val="es-MX" w:eastAsia="es-MX"/>
              </w:rPr>
            </w:pPr>
            <w:r w:rsidRPr="00080AC5">
              <w:rPr>
                <w:rFonts w:ascii="Calibri" w:eastAsia="Times New Roman" w:hAnsi="Calibri"/>
                <w:color w:val="000000"/>
                <w:sz w:val="22"/>
                <w:szCs w:val="22"/>
                <w:lang w:val="es-MX" w:eastAsia="es-MX"/>
              </w:rPr>
              <w:t>4000</w:t>
            </w:r>
          </w:p>
        </w:tc>
      </w:tr>
      <w:tr w:rsidR="00123C57" w:rsidRPr="00616B20" w:rsidTr="007F2707">
        <w:trPr>
          <w:trHeight w:val="178"/>
        </w:trPr>
        <w:tc>
          <w:tcPr>
            <w:tcW w:w="2235" w:type="dxa"/>
            <w:vMerge w:val="restart"/>
          </w:tcPr>
          <w:p w:rsidR="00123C57" w:rsidRDefault="00123C57" w:rsidP="007F2707">
            <w:pPr>
              <w:jc w:val="center"/>
              <w:rPr>
                <w:rFonts w:ascii="Calibri" w:eastAsia="Times New Roman" w:hAnsi="Calibri"/>
                <w:color w:val="000000"/>
                <w:sz w:val="22"/>
                <w:szCs w:val="22"/>
                <w:lang w:val="es-MX" w:eastAsia="es-MX"/>
              </w:rPr>
            </w:pPr>
          </w:p>
          <w:p w:rsidR="00123C57" w:rsidRDefault="00123C57" w:rsidP="007F2707">
            <w:pPr>
              <w:jc w:val="center"/>
              <w:rPr>
                <w:rFonts w:ascii="Calibri" w:eastAsia="Times New Roman" w:hAnsi="Calibri"/>
                <w:color w:val="000000"/>
                <w:sz w:val="22"/>
                <w:szCs w:val="22"/>
                <w:lang w:val="es-MX" w:eastAsia="es-MX"/>
              </w:rPr>
            </w:pPr>
          </w:p>
          <w:p w:rsidR="00123C57" w:rsidRDefault="00123C57" w:rsidP="007F2707">
            <w:pPr>
              <w:jc w:val="cente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Bioensayo 2</w:t>
            </w:r>
          </w:p>
        </w:tc>
        <w:tc>
          <w:tcPr>
            <w:tcW w:w="3260" w:type="dxa"/>
            <w:shd w:val="clear" w:color="auto" w:fill="auto"/>
            <w:noWrap/>
            <w:hideMark/>
          </w:tcPr>
          <w:p w:rsidR="00123C57" w:rsidRPr="00080AC5" w:rsidRDefault="00123C57" w:rsidP="007F2707">
            <w:pPr>
              <w:jc w:val="cente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Bisfenol A</w:t>
            </w:r>
          </w:p>
        </w:tc>
        <w:tc>
          <w:tcPr>
            <w:tcW w:w="4125" w:type="dxa"/>
            <w:vMerge w:val="restart"/>
            <w:shd w:val="clear" w:color="auto" w:fill="auto"/>
            <w:noWrap/>
            <w:hideMark/>
          </w:tcPr>
          <w:p w:rsidR="00123C57" w:rsidRPr="00080AC5" w:rsidRDefault="00123C57" w:rsidP="007F2707">
            <w:pPr>
              <w:jc w:val="center"/>
              <w:rPr>
                <w:rFonts w:ascii="Calibri" w:eastAsia="Times New Roman" w:hAnsi="Calibri"/>
                <w:color w:val="000000"/>
                <w:sz w:val="22"/>
                <w:szCs w:val="22"/>
                <w:lang w:val="es-MX" w:eastAsia="es-MX"/>
              </w:rPr>
            </w:pPr>
          </w:p>
          <w:p w:rsidR="00123C57" w:rsidRPr="00080AC5" w:rsidRDefault="00123C57" w:rsidP="007F2707">
            <w:pPr>
              <w:jc w:val="cente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2000</w:t>
            </w:r>
          </w:p>
        </w:tc>
      </w:tr>
      <w:tr w:rsidR="00123C57" w:rsidRPr="00616B20" w:rsidTr="007F2707">
        <w:trPr>
          <w:trHeight w:val="178"/>
        </w:trPr>
        <w:tc>
          <w:tcPr>
            <w:tcW w:w="2235" w:type="dxa"/>
            <w:vMerge/>
          </w:tcPr>
          <w:p w:rsidR="00123C57" w:rsidRDefault="00123C57" w:rsidP="007F2707">
            <w:pPr>
              <w:jc w:val="center"/>
              <w:rPr>
                <w:rFonts w:ascii="Calibri" w:eastAsia="Times New Roman" w:hAnsi="Calibri"/>
                <w:color w:val="000000"/>
                <w:sz w:val="22"/>
                <w:szCs w:val="22"/>
                <w:lang w:val="es-MX" w:eastAsia="es-MX"/>
              </w:rPr>
            </w:pPr>
          </w:p>
        </w:tc>
        <w:tc>
          <w:tcPr>
            <w:tcW w:w="3260" w:type="dxa"/>
            <w:shd w:val="clear" w:color="auto" w:fill="auto"/>
            <w:noWrap/>
            <w:hideMark/>
          </w:tcPr>
          <w:p w:rsidR="00123C57" w:rsidRPr="00080AC5" w:rsidRDefault="00123C57" w:rsidP="007F2707">
            <w:pPr>
              <w:jc w:val="cente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Triclosán</w:t>
            </w:r>
          </w:p>
        </w:tc>
        <w:tc>
          <w:tcPr>
            <w:tcW w:w="4125" w:type="dxa"/>
            <w:vMerge/>
            <w:shd w:val="clear" w:color="auto" w:fill="auto"/>
            <w:hideMark/>
          </w:tcPr>
          <w:p w:rsidR="00123C57" w:rsidRPr="00080AC5" w:rsidRDefault="00123C57" w:rsidP="007F2707">
            <w:pPr>
              <w:jc w:val="center"/>
              <w:rPr>
                <w:rFonts w:ascii="Calibri" w:eastAsia="Times New Roman" w:hAnsi="Calibri"/>
                <w:color w:val="000000"/>
                <w:sz w:val="22"/>
                <w:szCs w:val="22"/>
                <w:lang w:val="es-MX" w:eastAsia="es-MX"/>
              </w:rPr>
            </w:pPr>
          </w:p>
        </w:tc>
      </w:tr>
      <w:tr w:rsidR="00123C57" w:rsidRPr="00616B20" w:rsidTr="007F2707">
        <w:trPr>
          <w:trHeight w:val="178"/>
        </w:trPr>
        <w:tc>
          <w:tcPr>
            <w:tcW w:w="2235" w:type="dxa"/>
            <w:vMerge/>
          </w:tcPr>
          <w:p w:rsidR="00123C57" w:rsidRDefault="00123C57" w:rsidP="007F2707">
            <w:pPr>
              <w:jc w:val="center"/>
              <w:rPr>
                <w:rFonts w:ascii="Calibri" w:eastAsia="Times New Roman" w:hAnsi="Calibri"/>
                <w:color w:val="000000"/>
                <w:sz w:val="22"/>
                <w:szCs w:val="22"/>
                <w:lang w:val="es-MX" w:eastAsia="es-MX"/>
              </w:rPr>
            </w:pPr>
          </w:p>
        </w:tc>
        <w:tc>
          <w:tcPr>
            <w:tcW w:w="3260" w:type="dxa"/>
            <w:shd w:val="clear" w:color="auto" w:fill="auto"/>
            <w:noWrap/>
            <w:hideMark/>
          </w:tcPr>
          <w:p w:rsidR="00123C57" w:rsidRPr="00080AC5" w:rsidRDefault="00123C57" w:rsidP="007F2707">
            <w:pPr>
              <w:jc w:val="cente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Nonilfenol</w:t>
            </w:r>
          </w:p>
        </w:tc>
        <w:tc>
          <w:tcPr>
            <w:tcW w:w="4125" w:type="dxa"/>
            <w:vMerge/>
            <w:shd w:val="clear" w:color="auto" w:fill="auto"/>
            <w:hideMark/>
          </w:tcPr>
          <w:p w:rsidR="00123C57" w:rsidRPr="00080AC5" w:rsidRDefault="00123C57" w:rsidP="007F2707">
            <w:pPr>
              <w:jc w:val="center"/>
              <w:rPr>
                <w:rFonts w:ascii="Calibri" w:eastAsia="Times New Roman" w:hAnsi="Calibri"/>
                <w:color w:val="000000"/>
                <w:sz w:val="22"/>
                <w:szCs w:val="22"/>
                <w:lang w:val="es-MX" w:eastAsia="es-MX"/>
              </w:rPr>
            </w:pPr>
          </w:p>
        </w:tc>
      </w:tr>
      <w:tr w:rsidR="00123C57" w:rsidRPr="00616B20" w:rsidTr="007F2707">
        <w:trPr>
          <w:trHeight w:val="178"/>
        </w:trPr>
        <w:tc>
          <w:tcPr>
            <w:tcW w:w="2235" w:type="dxa"/>
            <w:vMerge/>
          </w:tcPr>
          <w:p w:rsidR="00123C57" w:rsidRDefault="00123C57" w:rsidP="007F2707">
            <w:pPr>
              <w:tabs>
                <w:tab w:val="center" w:pos="1787"/>
                <w:tab w:val="left" w:pos="2430"/>
              </w:tabs>
              <w:rPr>
                <w:rFonts w:ascii="Calibri" w:eastAsia="Times New Roman" w:hAnsi="Calibri"/>
                <w:color w:val="000000"/>
                <w:sz w:val="22"/>
                <w:szCs w:val="22"/>
                <w:lang w:val="es-MX" w:eastAsia="es-MX"/>
              </w:rPr>
            </w:pPr>
          </w:p>
        </w:tc>
        <w:tc>
          <w:tcPr>
            <w:tcW w:w="3260" w:type="dxa"/>
            <w:shd w:val="clear" w:color="auto" w:fill="auto"/>
            <w:noWrap/>
            <w:hideMark/>
          </w:tcPr>
          <w:p w:rsidR="00123C57" w:rsidRPr="00080AC5" w:rsidRDefault="00123C57" w:rsidP="007F2707">
            <w:pPr>
              <w:tabs>
                <w:tab w:val="center" w:pos="1787"/>
                <w:tab w:val="left" w:pos="2430"/>
              </w:tabs>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ab/>
            </w:r>
            <w:r w:rsidRPr="00080AC5">
              <w:rPr>
                <w:rFonts w:ascii="Calibri" w:eastAsia="Times New Roman" w:hAnsi="Calibri"/>
                <w:color w:val="000000"/>
                <w:sz w:val="22"/>
                <w:szCs w:val="22"/>
                <w:lang w:val="es-MX" w:eastAsia="es-MX"/>
              </w:rPr>
              <w:t>C</w:t>
            </w:r>
            <w:r>
              <w:rPr>
                <w:rFonts w:ascii="Calibri" w:eastAsia="Times New Roman" w:hAnsi="Calibri"/>
                <w:color w:val="000000"/>
                <w:sz w:val="22"/>
                <w:szCs w:val="22"/>
                <w:lang w:val="es-MX" w:eastAsia="es-MX"/>
              </w:rPr>
              <w:t>arbamazepina</w:t>
            </w:r>
          </w:p>
        </w:tc>
        <w:tc>
          <w:tcPr>
            <w:tcW w:w="4125" w:type="dxa"/>
            <w:shd w:val="clear" w:color="auto" w:fill="auto"/>
            <w:noWrap/>
            <w:hideMark/>
          </w:tcPr>
          <w:p w:rsidR="00123C57" w:rsidRPr="00080AC5" w:rsidRDefault="00123C57" w:rsidP="007F2707">
            <w:pPr>
              <w:jc w:val="center"/>
              <w:rPr>
                <w:rFonts w:ascii="Calibri" w:eastAsia="Times New Roman" w:hAnsi="Calibri"/>
                <w:color w:val="000000"/>
                <w:sz w:val="22"/>
                <w:szCs w:val="22"/>
                <w:lang w:val="es-MX" w:eastAsia="es-MX"/>
              </w:rPr>
            </w:pPr>
            <w:r w:rsidRPr="00080AC5">
              <w:rPr>
                <w:rFonts w:ascii="Calibri" w:eastAsia="Times New Roman" w:hAnsi="Calibri"/>
                <w:color w:val="000000"/>
                <w:sz w:val="22"/>
                <w:szCs w:val="22"/>
                <w:lang w:val="es-MX" w:eastAsia="es-MX"/>
              </w:rPr>
              <w:t>90 000</w:t>
            </w:r>
          </w:p>
        </w:tc>
      </w:tr>
      <w:tr w:rsidR="00123C57" w:rsidRPr="00616B20" w:rsidTr="007F2707">
        <w:trPr>
          <w:trHeight w:val="178"/>
        </w:trPr>
        <w:tc>
          <w:tcPr>
            <w:tcW w:w="2235" w:type="dxa"/>
            <w:vMerge/>
          </w:tcPr>
          <w:p w:rsidR="00123C57" w:rsidRPr="00080AC5" w:rsidRDefault="00123C57" w:rsidP="007F2707">
            <w:pPr>
              <w:jc w:val="center"/>
              <w:rPr>
                <w:rFonts w:ascii="Calibri" w:eastAsia="Times New Roman" w:hAnsi="Calibri"/>
                <w:color w:val="000000"/>
                <w:sz w:val="22"/>
                <w:szCs w:val="22"/>
                <w:lang w:val="es-MX" w:eastAsia="es-MX"/>
              </w:rPr>
            </w:pPr>
          </w:p>
        </w:tc>
        <w:tc>
          <w:tcPr>
            <w:tcW w:w="3260" w:type="dxa"/>
            <w:shd w:val="clear" w:color="auto" w:fill="auto"/>
            <w:noWrap/>
            <w:hideMark/>
          </w:tcPr>
          <w:p w:rsidR="00123C57" w:rsidRPr="00080AC5" w:rsidRDefault="00123C57" w:rsidP="007F2707">
            <w:pPr>
              <w:jc w:val="center"/>
              <w:rPr>
                <w:rFonts w:ascii="Calibri" w:eastAsia="Times New Roman" w:hAnsi="Calibri"/>
                <w:color w:val="000000"/>
                <w:sz w:val="22"/>
                <w:szCs w:val="22"/>
                <w:lang w:val="es-MX" w:eastAsia="es-MX"/>
              </w:rPr>
            </w:pPr>
            <w:r w:rsidRPr="00080AC5">
              <w:rPr>
                <w:rFonts w:ascii="Calibri" w:eastAsia="Times New Roman" w:hAnsi="Calibri"/>
                <w:color w:val="000000"/>
                <w:sz w:val="22"/>
                <w:szCs w:val="22"/>
                <w:lang w:val="es-MX" w:eastAsia="es-MX"/>
              </w:rPr>
              <w:t>Mezcla</w:t>
            </w:r>
            <w:r>
              <w:rPr>
                <w:rFonts w:ascii="Calibri" w:eastAsia="Times New Roman" w:hAnsi="Calibri"/>
                <w:color w:val="000000"/>
                <w:sz w:val="22"/>
                <w:szCs w:val="22"/>
                <w:lang w:val="es-MX" w:eastAsia="es-MX"/>
              </w:rPr>
              <w:t xml:space="preserve"> II</w:t>
            </w:r>
          </w:p>
        </w:tc>
        <w:tc>
          <w:tcPr>
            <w:tcW w:w="4125" w:type="dxa"/>
            <w:shd w:val="clear" w:color="auto" w:fill="auto"/>
            <w:noWrap/>
            <w:hideMark/>
          </w:tcPr>
          <w:p w:rsidR="00123C57" w:rsidRPr="00080AC5" w:rsidRDefault="00123C57" w:rsidP="007F2707">
            <w:pPr>
              <w:keepNext/>
              <w:jc w:val="cente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96 000</w:t>
            </w:r>
          </w:p>
        </w:tc>
      </w:tr>
    </w:tbl>
    <w:p w:rsidR="00123C57" w:rsidRDefault="00123C57" w:rsidP="00123C57">
      <w:pPr>
        <w:pStyle w:val="Textoindependiente"/>
        <w:jc w:val="both"/>
        <w:rPr>
          <w:rFonts w:ascii="Arial" w:hAnsi="Arial" w:cs="Arial"/>
          <w:b w:val="0"/>
          <w:sz w:val="24"/>
        </w:rPr>
      </w:pPr>
      <w:r w:rsidRPr="00143A0E">
        <w:rPr>
          <w:rFonts w:ascii="Arial" w:hAnsi="Arial" w:cs="Arial"/>
          <w:b w:val="0"/>
          <w:sz w:val="24"/>
        </w:rPr>
        <w:t>L</w:t>
      </w:r>
      <w:r>
        <w:rPr>
          <w:rFonts w:ascii="Arial" w:hAnsi="Arial" w:cs="Arial"/>
          <w:b w:val="0"/>
          <w:sz w:val="24"/>
        </w:rPr>
        <w:t>os siguientes</w:t>
      </w:r>
      <w:r w:rsidRPr="00143A0E">
        <w:rPr>
          <w:rFonts w:ascii="Arial" w:hAnsi="Arial" w:cs="Arial"/>
          <w:b w:val="0"/>
          <w:sz w:val="24"/>
        </w:rPr>
        <w:t xml:space="preserve"> ensayos realizados fueron acumulativos, es decir están encadenados a los resultados del ensayo inmediato anterior</w:t>
      </w:r>
      <w:r>
        <w:rPr>
          <w:rFonts w:ascii="Arial" w:hAnsi="Arial" w:cs="Arial"/>
          <w:b w:val="0"/>
          <w:sz w:val="24"/>
        </w:rPr>
        <w:t xml:space="preserve"> con el objeto de </w:t>
      </w:r>
      <w:r w:rsidRPr="00143A0E">
        <w:rPr>
          <w:rFonts w:ascii="Arial" w:hAnsi="Arial" w:cs="Arial"/>
          <w:b w:val="0"/>
          <w:sz w:val="24"/>
        </w:rPr>
        <w:t>disminu</w:t>
      </w:r>
      <w:r>
        <w:rPr>
          <w:rFonts w:ascii="Arial" w:hAnsi="Arial" w:cs="Arial"/>
          <w:b w:val="0"/>
          <w:sz w:val="24"/>
        </w:rPr>
        <w:t>ir los</w:t>
      </w:r>
      <w:r w:rsidRPr="00143A0E">
        <w:rPr>
          <w:rFonts w:ascii="Arial" w:hAnsi="Arial" w:cs="Arial"/>
          <w:b w:val="0"/>
          <w:sz w:val="24"/>
        </w:rPr>
        <w:t xml:space="preserve"> sesgos interpretativos.</w:t>
      </w:r>
    </w:p>
    <w:p w:rsidR="00123C57" w:rsidRPr="00123C57" w:rsidRDefault="00123C57" w:rsidP="00123C57">
      <w:pPr>
        <w:pStyle w:val="Ttulo2"/>
        <w:keepLines w:val="0"/>
        <w:numPr>
          <w:ilvl w:val="1"/>
          <w:numId w:val="1"/>
        </w:numPr>
        <w:tabs>
          <w:tab w:val="clear" w:pos="576"/>
          <w:tab w:val="num" w:pos="0"/>
        </w:tabs>
        <w:suppressAutoHyphens/>
        <w:spacing w:before="0"/>
        <w:ind w:left="0" w:firstLine="0"/>
        <w:rPr>
          <w:sz w:val="24"/>
          <w:szCs w:val="24"/>
        </w:rPr>
      </w:pPr>
      <w:bookmarkStart w:id="195" w:name="_Toc50031285"/>
      <w:r w:rsidRPr="00123C57">
        <w:rPr>
          <w:sz w:val="24"/>
          <w:szCs w:val="24"/>
        </w:rPr>
        <w:t>3.3 Determinación de la dosis letal 50 (DL50)</w:t>
      </w:r>
      <w:bookmarkEnd w:id="195"/>
    </w:p>
    <w:p w:rsidR="00123C57" w:rsidRDefault="00123C57" w:rsidP="00123C57">
      <w:pPr>
        <w:pStyle w:val="Textoindependiente"/>
        <w:ind w:firstLine="708"/>
        <w:jc w:val="both"/>
        <w:rPr>
          <w:rFonts w:ascii="Arial" w:hAnsi="Arial" w:cs="Arial"/>
          <w:b w:val="0"/>
          <w:sz w:val="24"/>
        </w:rPr>
      </w:pPr>
      <w:r w:rsidRPr="00E35CD3">
        <w:rPr>
          <w:rFonts w:ascii="Arial" w:hAnsi="Arial" w:cs="Arial"/>
          <w:b w:val="0"/>
          <w:sz w:val="24"/>
        </w:rPr>
        <w:t>La Dosis Letal 50, se establece como la cantidad de sustancia necesaria, para provocar la muerte del 50 % del total de individuos expuestos a ella</w:t>
      </w:r>
      <w:r>
        <w:rPr>
          <w:rFonts w:ascii="Arial" w:hAnsi="Arial" w:cs="Arial"/>
          <w:b w:val="0"/>
          <w:sz w:val="24"/>
        </w:rPr>
        <w:t xml:space="preserve"> </w:t>
      </w:r>
      <w:r w:rsidRPr="00343A3E">
        <w:rPr>
          <w:rFonts w:ascii="Arial" w:hAnsi="Arial" w:cs="Arial"/>
          <w:b w:val="0"/>
          <w:sz w:val="24"/>
          <w:vertAlign w:val="superscript"/>
        </w:rPr>
        <w:t>[5]</w:t>
      </w:r>
      <w:r w:rsidRPr="00343A3E">
        <w:rPr>
          <w:rFonts w:ascii="Arial" w:hAnsi="Arial" w:cs="Arial"/>
          <w:b w:val="0"/>
          <w:sz w:val="24"/>
        </w:rPr>
        <w:t>.</w:t>
      </w:r>
      <w:r>
        <w:rPr>
          <w:rFonts w:ascii="Arial" w:hAnsi="Arial" w:cs="Arial"/>
          <w:b w:val="0"/>
          <w:sz w:val="24"/>
        </w:rPr>
        <w:t xml:space="preserve"> </w:t>
      </w:r>
      <w:r w:rsidRPr="00E35CD3">
        <w:rPr>
          <w:rFonts w:ascii="Arial" w:hAnsi="Arial" w:cs="Arial"/>
          <w:b w:val="0"/>
          <w:sz w:val="24"/>
        </w:rPr>
        <w:t>Cuanto menor sea la cantidad de principio activo requerida para alcanzar la DL50, may</w:t>
      </w:r>
      <w:r>
        <w:rPr>
          <w:rFonts w:ascii="Arial" w:hAnsi="Arial" w:cs="Arial"/>
          <w:b w:val="0"/>
          <w:sz w:val="24"/>
        </w:rPr>
        <w:t xml:space="preserve">or será la toxicidad del mismo </w:t>
      </w:r>
      <w:r>
        <w:rPr>
          <w:rFonts w:ascii="Arial" w:hAnsi="Arial" w:cs="Arial"/>
          <w:b w:val="0"/>
          <w:sz w:val="24"/>
          <w:vertAlign w:val="superscript"/>
        </w:rPr>
        <w:t>[6]</w:t>
      </w:r>
      <w:r>
        <w:rPr>
          <w:rFonts w:ascii="Arial" w:hAnsi="Arial" w:cs="Arial"/>
          <w:b w:val="0"/>
          <w:sz w:val="24"/>
        </w:rPr>
        <w:t>. Para ello, s</w:t>
      </w:r>
      <w:r w:rsidRPr="00E35CD3">
        <w:rPr>
          <w:rFonts w:ascii="Arial" w:hAnsi="Arial" w:cs="Arial"/>
          <w:b w:val="0"/>
          <w:sz w:val="24"/>
        </w:rPr>
        <w:t xml:space="preserve">e utilizaron </w:t>
      </w:r>
      <w:r>
        <w:rPr>
          <w:rFonts w:ascii="Arial" w:hAnsi="Arial" w:cs="Arial"/>
          <w:b w:val="0"/>
          <w:sz w:val="24"/>
        </w:rPr>
        <w:t>los embriones recuperados en la forma mencionada en el apartado 3.2, empleando como</w:t>
      </w:r>
      <w:r w:rsidRPr="00E35CD3">
        <w:rPr>
          <w:rFonts w:ascii="Arial" w:hAnsi="Arial" w:cs="Arial"/>
          <w:b w:val="0"/>
          <w:sz w:val="24"/>
        </w:rPr>
        <w:t xml:space="preserve"> control negativo agua de acuario con </w:t>
      </w:r>
      <w:r>
        <w:rPr>
          <w:rFonts w:ascii="Arial" w:hAnsi="Arial" w:cs="Arial"/>
          <w:b w:val="0"/>
          <w:sz w:val="24"/>
        </w:rPr>
        <w:t xml:space="preserve">el mismo número de </w:t>
      </w:r>
      <w:r w:rsidRPr="00E35CD3">
        <w:rPr>
          <w:rFonts w:ascii="Arial" w:hAnsi="Arial" w:cs="Arial"/>
          <w:b w:val="0"/>
          <w:sz w:val="24"/>
        </w:rPr>
        <w:t>em</w:t>
      </w:r>
      <w:r>
        <w:rPr>
          <w:rFonts w:ascii="Arial" w:hAnsi="Arial" w:cs="Arial"/>
          <w:b w:val="0"/>
          <w:sz w:val="24"/>
        </w:rPr>
        <w:t>briones en un volumen de 300 µl</w:t>
      </w:r>
      <w:r w:rsidRPr="00E35CD3">
        <w:rPr>
          <w:rFonts w:ascii="Arial" w:hAnsi="Arial" w:cs="Arial"/>
          <w:b w:val="0"/>
          <w:sz w:val="24"/>
        </w:rPr>
        <w:t xml:space="preserve"> durante las 72 horas del ensayo</w:t>
      </w:r>
      <w:r>
        <w:rPr>
          <w:rFonts w:ascii="Arial" w:hAnsi="Arial" w:cs="Arial"/>
          <w:b w:val="0"/>
          <w:sz w:val="24"/>
        </w:rPr>
        <w:t>, sin recambios de agua p</w:t>
      </w:r>
      <w:r w:rsidRPr="00E35CD3">
        <w:rPr>
          <w:rFonts w:ascii="Arial" w:hAnsi="Arial" w:cs="Arial"/>
          <w:b w:val="0"/>
          <w:sz w:val="24"/>
        </w:rPr>
        <w:t>ara asegurar condiciones estándar necesarias para la viabilidad del ensayo. Al cabo de 72h, concluye el desarrollo embrionario, por lo que se registró el número de embriones</w:t>
      </w:r>
      <w:r>
        <w:rPr>
          <w:rFonts w:ascii="Arial" w:hAnsi="Arial" w:cs="Arial"/>
          <w:b w:val="0"/>
          <w:sz w:val="24"/>
        </w:rPr>
        <w:t xml:space="preserve"> </w:t>
      </w:r>
      <w:r w:rsidRPr="00E35CD3">
        <w:rPr>
          <w:rFonts w:ascii="Arial" w:hAnsi="Arial" w:cs="Arial"/>
          <w:b w:val="0"/>
          <w:sz w:val="24"/>
        </w:rPr>
        <w:t>m</w:t>
      </w:r>
      <w:r>
        <w:rPr>
          <w:rFonts w:ascii="Arial" w:hAnsi="Arial" w:cs="Arial"/>
          <w:b w:val="0"/>
          <w:sz w:val="24"/>
        </w:rPr>
        <w:t>uertos (necrosados y/o sin latidos)</w:t>
      </w:r>
      <w:r w:rsidRPr="00E35CD3">
        <w:rPr>
          <w:rFonts w:ascii="Arial" w:hAnsi="Arial" w:cs="Arial"/>
          <w:b w:val="0"/>
          <w:sz w:val="24"/>
        </w:rPr>
        <w:t xml:space="preserve"> </w:t>
      </w:r>
      <w:r>
        <w:rPr>
          <w:rFonts w:ascii="Arial" w:hAnsi="Arial" w:cs="Arial"/>
          <w:b w:val="0"/>
          <w:sz w:val="24"/>
        </w:rPr>
        <w:t>y</w:t>
      </w:r>
      <w:r w:rsidRPr="00E35CD3">
        <w:rPr>
          <w:rFonts w:ascii="Arial" w:hAnsi="Arial" w:cs="Arial"/>
          <w:b w:val="0"/>
          <w:sz w:val="24"/>
        </w:rPr>
        <w:t xml:space="preserve"> vivos (sobrevivencia)</w:t>
      </w:r>
      <w:r>
        <w:rPr>
          <w:rFonts w:ascii="Arial" w:hAnsi="Arial" w:cs="Arial"/>
          <w:b w:val="0"/>
          <w:sz w:val="24"/>
        </w:rPr>
        <w:t xml:space="preserve"> </w:t>
      </w:r>
      <w:r w:rsidRPr="00E35CD3">
        <w:rPr>
          <w:rFonts w:ascii="Arial" w:hAnsi="Arial" w:cs="Arial"/>
          <w:b w:val="0"/>
          <w:sz w:val="24"/>
        </w:rPr>
        <w:t>monitor</w:t>
      </w:r>
      <w:r>
        <w:rPr>
          <w:rFonts w:ascii="Arial" w:hAnsi="Arial" w:cs="Arial"/>
          <w:b w:val="0"/>
          <w:sz w:val="24"/>
        </w:rPr>
        <w:t>eados cada 24, 48 y 72 h.</w:t>
      </w:r>
      <w:r w:rsidRPr="00E35CD3">
        <w:rPr>
          <w:rFonts w:ascii="Arial" w:hAnsi="Arial" w:cs="Arial"/>
          <w:b w:val="0"/>
          <w:sz w:val="24"/>
        </w:rPr>
        <w:t xml:space="preserve"> La determinación de la DL50 a las 72 hpf fu</w:t>
      </w:r>
      <w:r>
        <w:rPr>
          <w:rFonts w:ascii="Arial" w:hAnsi="Arial" w:cs="Arial"/>
          <w:b w:val="0"/>
          <w:sz w:val="24"/>
        </w:rPr>
        <w:t>e realizada usando el método Pro</w:t>
      </w:r>
      <w:r w:rsidRPr="00E35CD3">
        <w:rPr>
          <w:rFonts w:ascii="Arial" w:hAnsi="Arial" w:cs="Arial"/>
          <w:b w:val="0"/>
          <w:sz w:val="24"/>
        </w:rPr>
        <w:t>bit, tal como es recomendado por la EPA de Estados Unidos</w:t>
      </w:r>
      <w:r w:rsidRPr="008919CD">
        <w:rPr>
          <w:rFonts w:ascii="Arial" w:hAnsi="Arial" w:cs="Arial"/>
          <w:b w:val="0"/>
          <w:sz w:val="24"/>
        </w:rPr>
        <w:t>.</w:t>
      </w:r>
    </w:p>
    <w:p w:rsidR="00123C57" w:rsidRPr="00123C57" w:rsidRDefault="00123C57" w:rsidP="00123C57">
      <w:pPr>
        <w:pStyle w:val="Ttulo2"/>
        <w:keepLines w:val="0"/>
        <w:numPr>
          <w:ilvl w:val="1"/>
          <w:numId w:val="1"/>
        </w:numPr>
        <w:tabs>
          <w:tab w:val="clear" w:pos="576"/>
          <w:tab w:val="num" w:pos="0"/>
        </w:tabs>
        <w:suppressAutoHyphens/>
        <w:spacing w:before="0"/>
        <w:ind w:left="0" w:firstLine="0"/>
        <w:rPr>
          <w:sz w:val="24"/>
          <w:szCs w:val="24"/>
        </w:rPr>
      </w:pPr>
      <w:bookmarkStart w:id="196" w:name="_Toc50031286"/>
      <w:r w:rsidRPr="00123C57">
        <w:rPr>
          <w:sz w:val="24"/>
          <w:szCs w:val="24"/>
        </w:rPr>
        <w:t>3.4 Ensayo de comportamiento</w:t>
      </w:r>
      <w:bookmarkEnd w:id="196"/>
      <w:r w:rsidRPr="00123C57">
        <w:rPr>
          <w:sz w:val="24"/>
          <w:szCs w:val="24"/>
        </w:rPr>
        <w:t xml:space="preserve"> </w:t>
      </w:r>
    </w:p>
    <w:p w:rsidR="00123C57" w:rsidRDefault="00123C57" w:rsidP="00123C57">
      <w:pPr>
        <w:pStyle w:val="Textoindependiente"/>
        <w:ind w:firstLine="708"/>
        <w:jc w:val="both"/>
        <w:rPr>
          <w:rFonts w:ascii="Arial" w:hAnsi="Arial" w:cs="Arial"/>
          <w:b w:val="0"/>
          <w:sz w:val="24"/>
        </w:rPr>
      </w:pPr>
      <w:r w:rsidRPr="00D70F84">
        <w:rPr>
          <w:rFonts w:ascii="Arial" w:hAnsi="Arial" w:cs="Arial"/>
          <w:b w:val="0"/>
          <w:sz w:val="24"/>
        </w:rPr>
        <w:t xml:space="preserve">El ensayo de comportamiento </w:t>
      </w:r>
      <w:r w:rsidRPr="00343A3E">
        <w:rPr>
          <w:rFonts w:ascii="Arial" w:hAnsi="Arial" w:cs="Arial"/>
          <w:b w:val="0"/>
          <w:sz w:val="24"/>
        </w:rPr>
        <w:t xml:space="preserve">motil </w:t>
      </w:r>
      <w:r w:rsidRPr="00343A3E">
        <w:rPr>
          <w:rFonts w:ascii="Arial" w:hAnsi="Arial" w:cs="Arial"/>
          <w:b w:val="0"/>
          <w:sz w:val="24"/>
          <w:vertAlign w:val="superscript"/>
        </w:rPr>
        <w:t>[8]</w:t>
      </w:r>
      <w:r w:rsidRPr="00D70F84">
        <w:rPr>
          <w:rFonts w:ascii="Arial" w:hAnsi="Arial" w:cs="Arial"/>
          <w:b w:val="0"/>
          <w:sz w:val="24"/>
        </w:rPr>
        <w:t xml:space="preserve"> fue analizado contabilizando las contracciones espontáneas de los embriones.</w:t>
      </w:r>
      <w:r>
        <w:rPr>
          <w:rFonts w:ascii="Arial" w:hAnsi="Arial" w:cs="Arial"/>
          <w:b w:val="0"/>
          <w:sz w:val="24"/>
        </w:rPr>
        <w:t xml:space="preserve"> Para ello, s</w:t>
      </w:r>
      <w:r w:rsidRPr="00D70F84">
        <w:rPr>
          <w:rFonts w:ascii="Arial" w:hAnsi="Arial" w:cs="Arial"/>
          <w:b w:val="0"/>
          <w:sz w:val="24"/>
        </w:rPr>
        <w:t>e observaron durante dos minutos bajo un microscopio estereoscópico Nikon</w:t>
      </w:r>
      <w:r w:rsidRPr="00AE65CD">
        <w:rPr>
          <w:rFonts w:ascii="Arial" w:hAnsi="Arial" w:cs="Arial"/>
          <w:b w:val="0"/>
          <w:sz w:val="24"/>
        </w:rPr>
        <w:t xml:space="preserve"> modelo 5M2800 con cámara ThorLabs 1545SM para contabilizar</w:t>
      </w:r>
      <w:r>
        <w:rPr>
          <w:rFonts w:ascii="Arial" w:hAnsi="Arial" w:cs="Arial"/>
          <w:b w:val="0"/>
          <w:sz w:val="24"/>
        </w:rPr>
        <w:t xml:space="preserve"> y </w:t>
      </w:r>
      <w:r w:rsidRPr="00AE65CD">
        <w:rPr>
          <w:rFonts w:ascii="Arial" w:hAnsi="Arial" w:cs="Arial"/>
          <w:b w:val="0"/>
          <w:sz w:val="24"/>
        </w:rPr>
        <w:t>las contorsiones espontaneas d</w:t>
      </w:r>
      <w:r>
        <w:rPr>
          <w:rFonts w:ascii="Arial" w:hAnsi="Arial" w:cs="Arial"/>
          <w:b w:val="0"/>
          <w:sz w:val="24"/>
        </w:rPr>
        <w:t xml:space="preserve">e cada embrión por </w:t>
      </w:r>
      <w:r>
        <w:rPr>
          <w:rFonts w:ascii="Arial" w:hAnsi="Arial" w:cs="Arial"/>
          <w:b w:val="0"/>
          <w:sz w:val="24"/>
        </w:rPr>
        <w:lastRenderedPageBreak/>
        <w:t>UP y los bioensayos 1 y 2 de</w:t>
      </w:r>
      <w:r w:rsidRPr="00AE65CD">
        <w:rPr>
          <w:rFonts w:ascii="Arial" w:hAnsi="Arial" w:cs="Arial"/>
          <w:b w:val="0"/>
          <w:sz w:val="24"/>
        </w:rPr>
        <w:t xml:space="preserve"> MCO</w:t>
      </w:r>
      <w:r>
        <w:rPr>
          <w:rFonts w:ascii="Arial" w:hAnsi="Arial" w:cs="Arial"/>
          <w:b w:val="0"/>
          <w:sz w:val="24"/>
        </w:rPr>
        <w:t xml:space="preserve"> (Tabla 1), así como para obtener evidencia en video de las mismas</w:t>
      </w:r>
      <w:r w:rsidRPr="00AE65CD">
        <w:rPr>
          <w:rFonts w:ascii="Arial" w:hAnsi="Arial" w:cs="Arial"/>
          <w:b w:val="0"/>
          <w:sz w:val="24"/>
        </w:rPr>
        <w:t>. Las contracciones espontaneas fueron grabadas con ayuda de la cámara, dispuesta en el estereoscopio utilizado</w:t>
      </w:r>
      <w:r>
        <w:rPr>
          <w:rFonts w:ascii="Arial" w:hAnsi="Arial" w:cs="Arial"/>
          <w:b w:val="0"/>
          <w:sz w:val="24"/>
        </w:rPr>
        <w:t xml:space="preserve"> y el programa Hypercam 2.29.00, donde</w:t>
      </w:r>
      <w:r w:rsidRPr="00AE65CD">
        <w:rPr>
          <w:rFonts w:ascii="Arial" w:hAnsi="Arial" w:cs="Arial"/>
          <w:b w:val="0"/>
          <w:sz w:val="24"/>
        </w:rPr>
        <w:t xml:space="preserve"> por cada cambio de dirección de cab</w:t>
      </w:r>
      <w:r>
        <w:rPr>
          <w:rFonts w:ascii="Arial" w:hAnsi="Arial" w:cs="Arial"/>
          <w:b w:val="0"/>
          <w:sz w:val="24"/>
        </w:rPr>
        <w:t>eza-cola se contabilizaba una contracción</w:t>
      </w:r>
      <w:r w:rsidRPr="00AE65CD">
        <w:rPr>
          <w:rFonts w:ascii="Arial" w:hAnsi="Arial" w:cs="Arial"/>
          <w:b w:val="0"/>
          <w:sz w:val="24"/>
        </w:rPr>
        <w:t>. Se realizó un análisis de varianza (ANOVA simple) usando el software Statgraphics C</w:t>
      </w:r>
      <w:r>
        <w:rPr>
          <w:rFonts w:ascii="Arial" w:hAnsi="Arial" w:cs="Arial"/>
          <w:b w:val="0"/>
          <w:sz w:val="24"/>
        </w:rPr>
        <w:t>enturion XVI.I, seguido de una p</w:t>
      </w:r>
      <w:r w:rsidRPr="00AE65CD">
        <w:rPr>
          <w:rFonts w:ascii="Arial" w:hAnsi="Arial" w:cs="Arial"/>
          <w:b w:val="0"/>
          <w:sz w:val="24"/>
        </w:rPr>
        <w:t>rueba de medianas de Kruskal-Wallis, para determinar cualquier diferenci</w:t>
      </w:r>
      <w:r>
        <w:rPr>
          <w:rFonts w:ascii="Arial" w:hAnsi="Arial" w:cs="Arial"/>
          <w:b w:val="0"/>
          <w:sz w:val="24"/>
        </w:rPr>
        <w:t>a significativa</w:t>
      </w:r>
      <w:r w:rsidRPr="00AE65CD">
        <w:rPr>
          <w:rFonts w:ascii="Arial" w:hAnsi="Arial" w:cs="Arial"/>
          <w:b w:val="0"/>
          <w:sz w:val="24"/>
        </w:rPr>
        <w:t xml:space="preserve"> ent</w:t>
      </w:r>
      <w:r>
        <w:rPr>
          <w:rFonts w:ascii="Arial" w:hAnsi="Arial" w:cs="Arial"/>
          <w:b w:val="0"/>
          <w:sz w:val="24"/>
        </w:rPr>
        <w:t>re los embriones de los ensayos</w:t>
      </w:r>
      <w:r w:rsidRPr="00AE65CD">
        <w:rPr>
          <w:rFonts w:ascii="Arial" w:hAnsi="Arial" w:cs="Arial"/>
          <w:b w:val="0"/>
          <w:sz w:val="24"/>
        </w:rPr>
        <w:t xml:space="preserve"> analizados y los embriones de control con un nivel de confianza del 95%</w:t>
      </w:r>
      <w:r>
        <w:rPr>
          <w:rFonts w:ascii="Arial" w:hAnsi="Arial" w:cs="Arial"/>
          <w:b w:val="0"/>
          <w:sz w:val="24"/>
        </w:rPr>
        <w:t>, mostrados gráficamente mediante un diagrama de caja y bigotes con muesca de mediana</w:t>
      </w:r>
      <w:r w:rsidRPr="00AE65CD">
        <w:rPr>
          <w:rFonts w:ascii="Arial" w:hAnsi="Arial" w:cs="Arial"/>
          <w:b w:val="0"/>
          <w:sz w:val="24"/>
        </w:rPr>
        <w:t>.</w:t>
      </w:r>
      <w:r>
        <w:rPr>
          <w:rFonts w:ascii="Arial" w:hAnsi="Arial" w:cs="Arial"/>
          <w:b w:val="0"/>
          <w:sz w:val="24"/>
        </w:rPr>
        <w:t xml:space="preserve"> </w:t>
      </w:r>
    </w:p>
    <w:p w:rsidR="00123C57" w:rsidRPr="00123C57" w:rsidRDefault="00123C57" w:rsidP="00123C57">
      <w:pPr>
        <w:pStyle w:val="Ttulo2"/>
        <w:keepLines w:val="0"/>
        <w:numPr>
          <w:ilvl w:val="1"/>
          <w:numId w:val="1"/>
        </w:numPr>
        <w:tabs>
          <w:tab w:val="clear" w:pos="576"/>
          <w:tab w:val="num" w:pos="0"/>
        </w:tabs>
        <w:suppressAutoHyphens/>
        <w:spacing w:before="0"/>
        <w:ind w:left="0" w:firstLine="0"/>
        <w:rPr>
          <w:sz w:val="24"/>
          <w:szCs w:val="24"/>
        </w:rPr>
      </w:pPr>
      <w:bookmarkStart w:id="197" w:name="_Toc50031287"/>
      <w:r w:rsidRPr="00123C57">
        <w:rPr>
          <w:sz w:val="24"/>
          <w:szCs w:val="24"/>
        </w:rPr>
        <w:t>3.5 Balance económico</w:t>
      </w:r>
      <w:bookmarkEnd w:id="197"/>
    </w:p>
    <w:p w:rsidR="00123C57" w:rsidRPr="007B0496" w:rsidRDefault="00123C57" w:rsidP="00123C57">
      <w:pPr>
        <w:pStyle w:val="Textoindependiente"/>
        <w:ind w:firstLine="708"/>
        <w:jc w:val="both"/>
        <w:rPr>
          <w:rFonts w:ascii="Arial" w:hAnsi="Arial" w:cs="Arial"/>
          <w:b w:val="0"/>
          <w:sz w:val="24"/>
          <w:lang w:val="es-ES_tradnl"/>
        </w:rPr>
      </w:pPr>
      <w:r>
        <w:rPr>
          <w:rFonts w:ascii="Arial" w:hAnsi="Arial" w:cs="Arial"/>
          <w:b w:val="0"/>
          <w:sz w:val="24"/>
          <w:lang w:val="es-ES_tradnl"/>
        </w:rPr>
        <w:t xml:space="preserve">Se realizó un análisis costo-beneficio proyectado a 5 años de operación. </w:t>
      </w:r>
      <w:r w:rsidRPr="007B0496">
        <w:rPr>
          <w:rFonts w:ascii="Arial" w:hAnsi="Arial" w:cs="Arial"/>
          <w:b w:val="0"/>
          <w:sz w:val="24"/>
          <w:lang w:val="es-ES_tradnl"/>
        </w:rPr>
        <w:t xml:space="preserve">Para el año cero se contempla inversión de la rehabilitación llevada a cabo por el </w:t>
      </w:r>
      <w:r>
        <w:rPr>
          <w:rFonts w:ascii="Arial" w:hAnsi="Arial" w:cs="Arial"/>
          <w:b w:val="0"/>
          <w:sz w:val="24"/>
          <w:lang w:val="es-ES_tradnl"/>
        </w:rPr>
        <w:t>administrador del servicio en 2016, que asciende</w:t>
      </w:r>
      <w:r w:rsidRPr="007B0496">
        <w:rPr>
          <w:rFonts w:ascii="Arial" w:hAnsi="Arial" w:cs="Arial"/>
          <w:b w:val="0"/>
          <w:sz w:val="24"/>
          <w:lang w:val="es-ES_tradnl"/>
        </w:rPr>
        <w:t xml:space="preserve"> a $10,023,776.28 MXN</w:t>
      </w:r>
      <w:r>
        <w:rPr>
          <w:rFonts w:ascii="Arial" w:hAnsi="Arial" w:cs="Arial"/>
          <w:b w:val="0"/>
          <w:sz w:val="24"/>
          <w:lang w:val="es-ES_tradnl"/>
        </w:rPr>
        <w:t xml:space="preserve"> (</w:t>
      </w:r>
      <w:r w:rsidRPr="00687F53">
        <w:rPr>
          <w:rFonts w:ascii="Arial" w:hAnsi="Arial" w:cs="Arial"/>
          <w:b w:val="0"/>
          <w:sz w:val="24"/>
          <w:lang w:val="es-ES_tradnl"/>
        </w:rPr>
        <w:t>454</w:t>
      </w:r>
      <w:r>
        <w:rPr>
          <w:rFonts w:ascii="Arial" w:hAnsi="Arial" w:cs="Arial"/>
          <w:b w:val="0"/>
          <w:sz w:val="24"/>
          <w:lang w:val="es-ES_tradnl"/>
        </w:rPr>
        <w:t>,</w:t>
      </w:r>
      <w:r w:rsidRPr="00687F53">
        <w:rPr>
          <w:rFonts w:ascii="Arial" w:hAnsi="Arial" w:cs="Arial"/>
          <w:b w:val="0"/>
          <w:sz w:val="24"/>
          <w:lang w:val="es-ES_tradnl"/>
        </w:rPr>
        <w:t>865.95</w:t>
      </w:r>
      <w:r>
        <w:rPr>
          <w:rFonts w:ascii="Arial" w:hAnsi="Arial" w:cs="Arial"/>
          <w:b w:val="0"/>
          <w:sz w:val="24"/>
          <w:lang w:val="es-ES_tradnl"/>
        </w:rPr>
        <w:t xml:space="preserve"> USD) </w:t>
      </w:r>
      <w:r w:rsidRPr="007B0496">
        <w:rPr>
          <w:rFonts w:ascii="Arial" w:hAnsi="Arial" w:cs="Arial"/>
          <w:b w:val="0"/>
          <w:sz w:val="24"/>
          <w:lang w:val="es-ES_tradnl"/>
        </w:rPr>
        <w:t>y la infraestructura para reinyección directa al acuífero calculado en $ 2,500,000.00 MXN</w:t>
      </w:r>
      <w:r>
        <w:rPr>
          <w:rFonts w:ascii="Arial" w:hAnsi="Arial" w:cs="Arial"/>
          <w:b w:val="0"/>
          <w:sz w:val="24"/>
          <w:lang w:val="es-ES_tradnl"/>
        </w:rPr>
        <w:t xml:space="preserve"> (</w:t>
      </w:r>
      <w:r w:rsidRPr="00687F53">
        <w:rPr>
          <w:rFonts w:ascii="Arial" w:hAnsi="Arial" w:cs="Arial"/>
          <w:b w:val="0"/>
          <w:sz w:val="24"/>
          <w:lang w:val="es-ES_tradnl"/>
        </w:rPr>
        <w:t>113</w:t>
      </w:r>
      <w:r>
        <w:rPr>
          <w:rFonts w:ascii="Arial" w:hAnsi="Arial" w:cs="Arial"/>
          <w:b w:val="0"/>
          <w:sz w:val="24"/>
          <w:lang w:val="es-ES_tradnl"/>
        </w:rPr>
        <w:t>,</w:t>
      </w:r>
      <w:r w:rsidRPr="00687F53">
        <w:rPr>
          <w:rFonts w:ascii="Arial" w:hAnsi="Arial" w:cs="Arial"/>
          <w:b w:val="0"/>
          <w:sz w:val="24"/>
          <w:lang w:val="es-ES_tradnl"/>
        </w:rPr>
        <w:t>446.75</w:t>
      </w:r>
      <w:r>
        <w:rPr>
          <w:rFonts w:ascii="Arial" w:hAnsi="Arial" w:cs="Arial"/>
          <w:b w:val="0"/>
          <w:sz w:val="24"/>
          <w:lang w:val="es-ES_tradnl"/>
        </w:rPr>
        <w:t xml:space="preserve"> USD)</w:t>
      </w:r>
      <w:r w:rsidRPr="007B0496">
        <w:rPr>
          <w:rFonts w:ascii="Arial" w:hAnsi="Arial" w:cs="Arial"/>
          <w:b w:val="0"/>
          <w:sz w:val="24"/>
          <w:lang w:val="es-ES_tradnl"/>
        </w:rPr>
        <w:t>.</w:t>
      </w:r>
      <w:r w:rsidRPr="007B0496">
        <w:t xml:space="preserve"> </w:t>
      </w:r>
      <w:r w:rsidRPr="007B0496">
        <w:rPr>
          <w:rFonts w:ascii="Arial" w:hAnsi="Arial" w:cs="Arial"/>
          <w:b w:val="0"/>
          <w:sz w:val="24"/>
          <w:lang w:val="es-ES_tradnl"/>
        </w:rPr>
        <w:t>Se determinó el flujo de efectivo acumulado para expresar el Valor Actual Neto</w:t>
      </w:r>
      <w:r>
        <w:rPr>
          <w:rFonts w:ascii="Arial" w:hAnsi="Arial" w:cs="Arial"/>
          <w:b w:val="0"/>
          <w:sz w:val="24"/>
          <w:lang w:val="es-ES_tradnl"/>
        </w:rPr>
        <w:t xml:space="preserve"> (VAN)</w:t>
      </w:r>
      <w:r w:rsidRPr="007B0496">
        <w:rPr>
          <w:rFonts w:ascii="Arial" w:hAnsi="Arial" w:cs="Arial"/>
          <w:b w:val="0"/>
          <w:sz w:val="24"/>
          <w:lang w:val="es-ES_tradnl"/>
        </w:rPr>
        <w:t>, Tasa Interna de Retorno (TIR), y la relación costo-beneficio (C/B).</w:t>
      </w:r>
    </w:p>
    <w:p w:rsidR="00123C57" w:rsidRPr="00646416" w:rsidRDefault="00123C57" w:rsidP="00123C57">
      <w:pPr>
        <w:pStyle w:val="Textoindependiente"/>
        <w:jc w:val="both"/>
        <w:rPr>
          <w:rFonts w:ascii="Arial" w:hAnsi="Arial" w:cs="Arial"/>
          <w:b w:val="0"/>
          <w:sz w:val="24"/>
          <w:lang w:val="es-ES_tradnl"/>
        </w:rPr>
      </w:pPr>
      <w:r>
        <w:rPr>
          <w:rFonts w:ascii="Arial" w:hAnsi="Arial" w:cs="Arial"/>
          <w:b w:val="0"/>
          <w:sz w:val="24"/>
          <w:lang w:val="es-ES_tradnl"/>
        </w:rPr>
        <w:t>El VAN</w:t>
      </w:r>
      <w:r w:rsidRPr="007B0496">
        <w:rPr>
          <w:rFonts w:ascii="Arial" w:hAnsi="Arial" w:cs="Arial"/>
          <w:b w:val="0"/>
          <w:sz w:val="24"/>
          <w:lang w:val="es-ES_tradnl"/>
        </w:rPr>
        <w:t xml:space="preserve"> sirvió para generar dos tipos de decisiones: ver si la inversión es efectuable y ver qué inversión es mejor que otra en términos absolutos</w:t>
      </w:r>
      <w:r>
        <w:rPr>
          <w:rFonts w:ascii="Arial" w:hAnsi="Arial" w:cs="Arial"/>
          <w:b w:val="0"/>
          <w:sz w:val="24"/>
          <w:vertAlign w:val="superscript"/>
          <w:lang w:val="es-ES_tradnl"/>
        </w:rPr>
        <w:t xml:space="preserve"> [12]</w:t>
      </w:r>
      <w:r w:rsidRPr="007B0496">
        <w:rPr>
          <w:rFonts w:ascii="Arial" w:hAnsi="Arial" w:cs="Arial"/>
          <w:b w:val="0"/>
          <w:sz w:val="24"/>
          <w:lang w:val="es-ES_tradnl"/>
        </w:rPr>
        <w:t>. Los criterios de dec</w:t>
      </w:r>
      <w:r>
        <w:rPr>
          <w:rFonts w:ascii="Arial" w:hAnsi="Arial" w:cs="Arial"/>
          <w:b w:val="0"/>
          <w:sz w:val="24"/>
          <w:lang w:val="es-ES_tradnl"/>
        </w:rPr>
        <w:t>isión se basan en lo siguiente: VAN &gt; 0</w:t>
      </w:r>
      <w:r w:rsidRPr="007B0496">
        <w:rPr>
          <w:rFonts w:ascii="Arial" w:hAnsi="Arial" w:cs="Arial"/>
          <w:b w:val="0"/>
          <w:sz w:val="24"/>
          <w:lang w:val="es-ES_tradnl"/>
        </w:rPr>
        <w:t>: la tasa de descuent</w:t>
      </w:r>
      <w:r>
        <w:rPr>
          <w:rFonts w:ascii="Arial" w:hAnsi="Arial" w:cs="Arial"/>
          <w:b w:val="0"/>
          <w:sz w:val="24"/>
          <w:lang w:val="es-ES_tradnl"/>
        </w:rPr>
        <w:t>o elegida generó beneficios. VAN = 0</w:t>
      </w:r>
      <w:r w:rsidRPr="007B0496">
        <w:rPr>
          <w:rFonts w:ascii="Arial" w:hAnsi="Arial" w:cs="Arial"/>
          <w:b w:val="0"/>
          <w:sz w:val="24"/>
          <w:lang w:val="es-ES_tradnl"/>
        </w:rPr>
        <w:t>: el</w:t>
      </w:r>
      <w:r>
        <w:rPr>
          <w:rFonts w:ascii="Arial" w:hAnsi="Arial" w:cs="Arial"/>
          <w:b w:val="0"/>
          <w:sz w:val="24"/>
          <w:lang w:val="es-ES_tradnl"/>
        </w:rPr>
        <w:t xml:space="preserve"> proyecto de inversión no gene</w:t>
      </w:r>
      <w:r w:rsidRPr="007B0496">
        <w:rPr>
          <w:rFonts w:ascii="Arial" w:hAnsi="Arial" w:cs="Arial"/>
          <w:b w:val="0"/>
          <w:sz w:val="24"/>
          <w:lang w:val="es-ES_tradnl"/>
        </w:rPr>
        <w:t>ró beneficios ni pérdidas, por lo que su real</w:t>
      </w:r>
      <w:r>
        <w:rPr>
          <w:rFonts w:ascii="Arial" w:hAnsi="Arial" w:cs="Arial"/>
          <w:b w:val="0"/>
          <w:sz w:val="24"/>
          <w:lang w:val="es-ES_tradnl"/>
        </w:rPr>
        <w:t>ización resultará indiferente. VAN &lt;0</w:t>
      </w:r>
      <w:r w:rsidRPr="007B0496">
        <w:rPr>
          <w:rFonts w:ascii="Arial" w:hAnsi="Arial" w:cs="Arial"/>
          <w:b w:val="0"/>
          <w:sz w:val="24"/>
          <w:lang w:val="es-ES_tradnl"/>
        </w:rPr>
        <w:t>:</w:t>
      </w:r>
      <w:r>
        <w:rPr>
          <w:rFonts w:ascii="Arial" w:hAnsi="Arial" w:cs="Arial"/>
          <w:b w:val="0"/>
          <w:sz w:val="24"/>
          <w:lang w:val="es-ES_tradnl"/>
        </w:rPr>
        <w:t xml:space="preserve"> el proyecto de inversión gene</w:t>
      </w:r>
      <w:r w:rsidRPr="007B0496">
        <w:rPr>
          <w:rFonts w:ascii="Arial" w:hAnsi="Arial" w:cs="Arial"/>
          <w:b w:val="0"/>
          <w:sz w:val="24"/>
          <w:lang w:val="es-ES_tradnl"/>
        </w:rPr>
        <w:t>ró pérdidas, por lo que deberá ser rechazado. La TIR está estrechamente relacionada con el VAN, en este caso si el porcentaje e</w:t>
      </w:r>
      <w:r>
        <w:rPr>
          <w:rFonts w:ascii="Arial" w:hAnsi="Arial" w:cs="Arial"/>
          <w:b w:val="0"/>
          <w:sz w:val="24"/>
          <w:lang w:val="es-ES_tradnl"/>
        </w:rPr>
        <w:t>s positivo el proyecto se acepta</w:t>
      </w:r>
      <w:r w:rsidRPr="007B0496">
        <w:rPr>
          <w:rFonts w:ascii="Arial" w:hAnsi="Arial" w:cs="Arial"/>
          <w:b w:val="0"/>
          <w:sz w:val="24"/>
          <w:lang w:val="es-ES_tradnl"/>
        </w:rPr>
        <w:t>,</w:t>
      </w:r>
      <w:r>
        <w:rPr>
          <w:rFonts w:ascii="Arial" w:hAnsi="Arial" w:cs="Arial"/>
          <w:b w:val="0"/>
          <w:sz w:val="24"/>
          <w:lang w:val="es-ES_tradnl"/>
        </w:rPr>
        <w:t xml:space="preserve"> mientras que en</w:t>
      </w:r>
      <w:r w:rsidRPr="007B0496">
        <w:rPr>
          <w:rFonts w:ascii="Arial" w:hAnsi="Arial" w:cs="Arial"/>
          <w:b w:val="0"/>
          <w:sz w:val="24"/>
          <w:lang w:val="es-ES_tradnl"/>
        </w:rPr>
        <w:t xml:space="preserve"> caso contrario si el resultado es negativo</w:t>
      </w:r>
      <w:r>
        <w:rPr>
          <w:rFonts w:ascii="Arial" w:hAnsi="Arial" w:cs="Arial"/>
          <w:b w:val="0"/>
          <w:sz w:val="24"/>
          <w:lang w:val="es-ES_tradnl"/>
        </w:rPr>
        <w:t xml:space="preserve"> es rechazado. </w:t>
      </w:r>
      <w:r w:rsidRPr="007B0496">
        <w:rPr>
          <w:rFonts w:ascii="Arial" w:hAnsi="Arial" w:cs="Arial" w:hint="eastAsia"/>
          <w:b w:val="0"/>
          <w:sz w:val="24"/>
          <w:lang w:val="es-ES_tradnl"/>
        </w:rPr>
        <w:t xml:space="preserve">Como tal la relación C/B debe de ser </w:t>
      </w:r>
      <w:r w:rsidRPr="007B0496">
        <w:rPr>
          <w:rFonts w:ascii="Arial" w:hAnsi="Arial" w:cs="Arial" w:hint="eastAsia"/>
          <w:b w:val="0"/>
          <w:sz w:val="24"/>
          <w:lang w:val="es-ES_tradnl"/>
        </w:rPr>
        <w:t>≥</w:t>
      </w:r>
      <w:r w:rsidRPr="007B0496">
        <w:rPr>
          <w:rFonts w:ascii="Arial" w:hAnsi="Arial" w:cs="Arial" w:hint="eastAsia"/>
          <w:b w:val="0"/>
          <w:sz w:val="24"/>
          <w:lang w:val="es-ES_tradnl"/>
        </w:rPr>
        <w:t xml:space="preserve"> a 1 para </w:t>
      </w:r>
      <w:r>
        <w:rPr>
          <w:rFonts w:ascii="Arial" w:hAnsi="Arial" w:cs="Arial"/>
          <w:b w:val="0"/>
          <w:sz w:val="24"/>
          <w:lang w:val="es-ES_tradnl"/>
        </w:rPr>
        <w:t xml:space="preserve">aceptar </w:t>
      </w:r>
      <w:r>
        <w:rPr>
          <w:rFonts w:ascii="Arial" w:hAnsi="Arial" w:cs="Arial" w:hint="eastAsia"/>
          <w:b w:val="0"/>
          <w:sz w:val="24"/>
          <w:lang w:val="es-ES_tradnl"/>
        </w:rPr>
        <w:t xml:space="preserve">el proyecto, mientras que </w:t>
      </w:r>
      <w:r w:rsidRPr="007B0496">
        <w:rPr>
          <w:rFonts w:ascii="Arial" w:hAnsi="Arial" w:cs="Arial" w:hint="eastAsia"/>
          <w:b w:val="0"/>
          <w:sz w:val="24"/>
          <w:lang w:val="es-ES_tradnl"/>
        </w:rPr>
        <w:t>de</w:t>
      </w:r>
      <w:r>
        <w:rPr>
          <w:rFonts w:ascii="Arial" w:hAnsi="Arial" w:cs="Arial"/>
          <w:b w:val="0"/>
          <w:sz w:val="24"/>
          <w:lang w:val="es-ES_tradnl"/>
        </w:rPr>
        <w:t xml:space="preserve">be ser </w:t>
      </w:r>
      <w:r w:rsidRPr="007B0496">
        <w:rPr>
          <w:rFonts w:ascii="Arial" w:hAnsi="Arial" w:cs="Arial" w:hint="eastAsia"/>
          <w:b w:val="0"/>
          <w:sz w:val="24"/>
          <w:lang w:val="es-ES_tradnl"/>
        </w:rPr>
        <w:t>rechaza</w:t>
      </w:r>
      <w:r>
        <w:rPr>
          <w:rFonts w:ascii="Arial" w:hAnsi="Arial" w:cs="Arial"/>
          <w:b w:val="0"/>
          <w:sz w:val="24"/>
          <w:lang w:val="es-ES_tradnl"/>
        </w:rPr>
        <w:t>do</w:t>
      </w:r>
      <w:r w:rsidRPr="007B0496">
        <w:rPr>
          <w:rFonts w:ascii="Arial" w:hAnsi="Arial" w:cs="Arial" w:hint="eastAsia"/>
          <w:b w:val="0"/>
          <w:sz w:val="24"/>
          <w:lang w:val="es-ES_tradnl"/>
        </w:rPr>
        <w:t xml:space="preserve"> si su valor es &lt;1</w:t>
      </w:r>
      <w:r>
        <w:rPr>
          <w:rFonts w:ascii="Arial" w:hAnsi="Arial" w:cs="Arial"/>
          <w:b w:val="0"/>
          <w:sz w:val="24"/>
          <w:lang w:val="es-ES_tradnl"/>
        </w:rPr>
        <w:t xml:space="preserve"> </w:t>
      </w:r>
      <w:r>
        <w:rPr>
          <w:rFonts w:ascii="Arial" w:hAnsi="Arial" w:cs="Arial"/>
          <w:b w:val="0"/>
          <w:sz w:val="24"/>
          <w:vertAlign w:val="superscript"/>
          <w:lang w:val="es-ES_tradnl"/>
        </w:rPr>
        <w:t>[13]</w:t>
      </w:r>
      <w:r>
        <w:rPr>
          <w:rFonts w:ascii="Arial" w:hAnsi="Arial" w:cs="Arial"/>
          <w:b w:val="0"/>
          <w:sz w:val="24"/>
          <w:lang w:val="es-ES_tradnl"/>
        </w:rPr>
        <w:t>.</w:t>
      </w:r>
    </w:p>
    <w:p w:rsidR="00123C57" w:rsidRPr="00123C57" w:rsidRDefault="00123C57" w:rsidP="00123C57">
      <w:pPr>
        <w:pStyle w:val="Ttulo1"/>
        <w:keepLines w:val="0"/>
        <w:numPr>
          <w:ilvl w:val="0"/>
          <w:numId w:val="1"/>
        </w:numPr>
        <w:tabs>
          <w:tab w:val="clear" w:pos="432"/>
          <w:tab w:val="num" w:pos="0"/>
        </w:tabs>
        <w:suppressAutoHyphens/>
        <w:spacing w:before="0" w:after="0"/>
        <w:ind w:left="0" w:firstLine="0"/>
        <w:rPr>
          <w:sz w:val="24"/>
          <w:szCs w:val="24"/>
        </w:rPr>
      </w:pPr>
      <w:bookmarkStart w:id="198" w:name="_Toc50031288"/>
      <w:r w:rsidRPr="00123C57">
        <w:rPr>
          <w:sz w:val="24"/>
          <w:szCs w:val="24"/>
        </w:rPr>
        <w:t>4. Resultados y discusión</w:t>
      </w:r>
      <w:bookmarkEnd w:id="198"/>
    </w:p>
    <w:p w:rsidR="00123C57" w:rsidRPr="00123C57" w:rsidRDefault="00123C57" w:rsidP="00123C57">
      <w:pPr>
        <w:pStyle w:val="Ttulo2"/>
        <w:keepLines w:val="0"/>
        <w:numPr>
          <w:ilvl w:val="1"/>
          <w:numId w:val="1"/>
        </w:numPr>
        <w:tabs>
          <w:tab w:val="clear" w:pos="576"/>
          <w:tab w:val="num" w:pos="0"/>
        </w:tabs>
        <w:suppressAutoHyphens/>
        <w:spacing w:before="0"/>
        <w:ind w:left="0" w:firstLine="0"/>
        <w:rPr>
          <w:sz w:val="24"/>
          <w:szCs w:val="24"/>
        </w:rPr>
      </w:pPr>
      <w:bookmarkStart w:id="199" w:name="_Toc50031289"/>
      <w:r w:rsidRPr="00123C57">
        <w:rPr>
          <w:sz w:val="24"/>
          <w:szCs w:val="24"/>
        </w:rPr>
        <w:t>4.1 Caracterización y cuantificación de la carga de MCO por unidad de proceso</w:t>
      </w:r>
      <w:bookmarkEnd w:id="199"/>
    </w:p>
    <w:p w:rsidR="00123C57" w:rsidRPr="004C6C48" w:rsidRDefault="00123C57" w:rsidP="00123C57">
      <w:pPr>
        <w:pStyle w:val="Textoindependiente"/>
        <w:ind w:firstLine="708"/>
        <w:jc w:val="both"/>
        <w:rPr>
          <w:rFonts w:ascii="Arial" w:hAnsi="Arial" w:cs="Arial"/>
          <w:b w:val="0"/>
          <w:sz w:val="24"/>
        </w:rPr>
      </w:pPr>
      <w:r w:rsidRPr="00D84DA0">
        <w:rPr>
          <w:rFonts w:ascii="Arial" w:hAnsi="Arial" w:cs="Arial"/>
          <w:b w:val="0"/>
          <w:sz w:val="24"/>
        </w:rPr>
        <w:t xml:space="preserve">Los niveles detectados de MCO </w:t>
      </w:r>
      <w:r>
        <w:rPr>
          <w:rFonts w:ascii="Arial" w:hAnsi="Arial" w:cs="Arial"/>
          <w:b w:val="0"/>
          <w:sz w:val="24"/>
        </w:rPr>
        <w:t xml:space="preserve">se encontraron </w:t>
      </w:r>
      <w:r w:rsidRPr="00D84DA0">
        <w:rPr>
          <w:rFonts w:ascii="Arial" w:hAnsi="Arial" w:cs="Arial"/>
          <w:b w:val="0"/>
          <w:sz w:val="24"/>
        </w:rPr>
        <w:t xml:space="preserve">en el intervalo </w:t>
      </w:r>
      <w:r>
        <w:rPr>
          <w:rFonts w:ascii="Arial" w:hAnsi="Arial" w:cs="Arial"/>
          <w:b w:val="0"/>
          <w:sz w:val="24"/>
        </w:rPr>
        <w:t xml:space="preserve">de 357- 89,000 </w:t>
      </w:r>
      <w:r w:rsidRPr="00D84DA0">
        <w:rPr>
          <w:rFonts w:ascii="Arial" w:hAnsi="Arial" w:cs="Arial"/>
          <w:b w:val="0"/>
          <w:sz w:val="24"/>
        </w:rPr>
        <w:t xml:space="preserve">ng/L, tanto en el influente como en los efluentes de las unidades de proceso (UP). Los </w:t>
      </w:r>
      <w:r>
        <w:rPr>
          <w:rFonts w:ascii="Arial" w:hAnsi="Arial" w:cs="Arial"/>
          <w:b w:val="0"/>
          <w:sz w:val="24"/>
        </w:rPr>
        <w:t xml:space="preserve">resultados muestran una </w:t>
      </w:r>
      <w:r w:rsidRPr="00D70F84">
        <w:rPr>
          <w:rFonts w:ascii="Arial" w:hAnsi="Arial" w:cs="Arial"/>
          <w:b w:val="0"/>
          <w:sz w:val="24"/>
        </w:rPr>
        <w:t>remoción</w:t>
      </w:r>
      <w:r>
        <w:rPr>
          <w:rFonts w:ascii="Arial" w:hAnsi="Arial" w:cs="Arial"/>
          <w:b w:val="0"/>
          <w:sz w:val="24"/>
        </w:rPr>
        <w:t xml:space="preserve"> que va desde 0.9 a 53% </w:t>
      </w:r>
      <w:r w:rsidRPr="00D70F84">
        <w:rPr>
          <w:rFonts w:ascii="Arial" w:hAnsi="Arial" w:cs="Arial"/>
          <w:b w:val="0"/>
          <w:sz w:val="24"/>
        </w:rPr>
        <w:t>a lo largo del tren de tratamiento, aunque si existe una disminución de su concentración posterior a</w:t>
      </w:r>
      <w:r>
        <w:rPr>
          <w:rFonts w:ascii="Arial" w:hAnsi="Arial" w:cs="Arial"/>
          <w:b w:val="0"/>
          <w:sz w:val="24"/>
        </w:rPr>
        <w:t>l tratamiento con membranas de osmosis inversa (O</w:t>
      </w:r>
      <w:r w:rsidRPr="00D70F84">
        <w:rPr>
          <w:rFonts w:ascii="Arial" w:hAnsi="Arial" w:cs="Arial"/>
          <w:b w:val="0"/>
          <w:sz w:val="24"/>
        </w:rPr>
        <w:t>I</w:t>
      </w:r>
      <w:r>
        <w:rPr>
          <w:rFonts w:ascii="Arial" w:hAnsi="Arial" w:cs="Arial"/>
          <w:b w:val="0"/>
          <w:sz w:val="24"/>
        </w:rPr>
        <w:t>) (53%)</w:t>
      </w:r>
      <w:r w:rsidRPr="00D70F84">
        <w:rPr>
          <w:rFonts w:ascii="Arial" w:hAnsi="Arial" w:cs="Arial"/>
          <w:b w:val="0"/>
          <w:sz w:val="24"/>
        </w:rPr>
        <w:t xml:space="preserve"> y desinfección UV</w:t>
      </w:r>
      <w:r>
        <w:rPr>
          <w:rFonts w:ascii="Arial" w:hAnsi="Arial" w:cs="Arial"/>
          <w:b w:val="0"/>
          <w:sz w:val="24"/>
        </w:rPr>
        <w:t xml:space="preserve"> (39.9%), las anteriores no son concordantes con </w:t>
      </w:r>
      <w:r w:rsidRPr="00D70F84">
        <w:rPr>
          <w:rFonts w:ascii="Arial" w:hAnsi="Arial" w:cs="Arial"/>
          <w:b w:val="0"/>
          <w:sz w:val="24"/>
        </w:rPr>
        <w:t>los porcentajes de remoción reportados para procesos de tratamiento con membranas de OI, nanofiltración (NF) y ultrafiltración (UL)</w:t>
      </w:r>
      <w:r>
        <w:rPr>
          <w:rFonts w:ascii="Arial" w:hAnsi="Arial" w:cs="Arial"/>
          <w:b w:val="0"/>
          <w:sz w:val="24"/>
        </w:rPr>
        <w:t xml:space="preserve">, en las cuales se mencionan </w:t>
      </w:r>
      <w:r w:rsidRPr="0080396B">
        <w:rPr>
          <w:rFonts w:ascii="Arial" w:hAnsi="Arial" w:cs="Arial"/>
          <w:b w:val="0"/>
          <w:sz w:val="24"/>
        </w:rPr>
        <w:t xml:space="preserve">eficiencias de remoción </w:t>
      </w:r>
      <w:r>
        <w:rPr>
          <w:rFonts w:ascii="Arial" w:hAnsi="Arial" w:cs="Arial"/>
          <w:b w:val="0"/>
          <w:sz w:val="24"/>
        </w:rPr>
        <w:t>superiores al 80%</w:t>
      </w:r>
      <w:r w:rsidRPr="00D70F84">
        <w:rPr>
          <w:rFonts w:ascii="Arial" w:hAnsi="Arial" w:cs="Arial"/>
          <w:b w:val="0"/>
          <w:sz w:val="24"/>
        </w:rPr>
        <w:t xml:space="preserve"> </w:t>
      </w:r>
      <w:r w:rsidRPr="00764789">
        <w:rPr>
          <w:rFonts w:ascii="Arial" w:hAnsi="Arial" w:cs="Arial"/>
          <w:b w:val="0"/>
          <w:sz w:val="24"/>
          <w:vertAlign w:val="superscript"/>
        </w:rPr>
        <w:t>[14]</w:t>
      </w:r>
      <w:r w:rsidRPr="00764789">
        <w:rPr>
          <w:rFonts w:ascii="Arial" w:hAnsi="Arial" w:cs="Arial"/>
          <w:b w:val="0"/>
          <w:sz w:val="24"/>
        </w:rPr>
        <w:t>.</w:t>
      </w:r>
      <w:r>
        <w:rPr>
          <w:rFonts w:ascii="Arial" w:hAnsi="Arial" w:cs="Arial"/>
          <w:b w:val="0"/>
          <w:sz w:val="24"/>
        </w:rPr>
        <w:t xml:space="preserve"> </w:t>
      </w:r>
      <w:r w:rsidRPr="00D84DA0">
        <w:rPr>
          <w:rFonts w:ascii="Arial" w:hAnsi="Arial" w:cs="Arial"/>
          <w:b w:val="0"/>
          <w:sz w:val="24"/>
        </w:rPr>
        <w:t>Existe también un increme</w:t>
      </w:r>
      <w:r>
        <w:rPr>
          <w:rFonts w:ascii="Arial" w:hAnsi="Arial" w:cs="Arial"/>
          <w:b w:val="0"/>
          <w:sz w:val="24"/>
        </w:rPr>
        <w:t>nto de la concentración en algunas UP</w:t>
      </w:r>
      <w:r w:rsidRPr="00D84DA0">
        <w:rPr>
          <w:rFonts w:ascii="Arial" w:hAnsi="Arial" w:cs="Arial"/>
          <w:b w:val="0"/>
          <w:sz w:val="24"/>
        </w:rPr>
        <w:t>,</w:t>
      </w:r>
      <w:r>
        <w:rPr>
          <w:rFonts w:ascii="Arial" w:hAnsi="Arial" w:cs="Arial"/>
          <w:b w:val="0"/>
          <w:sz w:val="24"/>
        </w:rPr>
        <w:t xml:space="preserve"> como posfiltración y desinfección, que </w:t>
      </w:r>
      <w:r>
        <w:rPr>
          <w:rFonts w:ascii="Arial" w:hAnsi="Arial" w:cs="Arial"/>
          <w:b w:val="0"/>
          <w:sz w:val="24"/>
        </w:rPr>
        <w:lastRenderedPageBreak/>
        <w:t>no son</w:t>
      </w:r>
      <w:r w:rsidRPr="00D84DA0">
        <w:rPr>
          <w:rFonts w:ascii="Arial" w:hAnsi="Arial" w:cs="Arial"/>
          <w:b w:val="0"/>
          <w:sz w:val="24"/>
        </w:rPr>
        <w:t xml:space="preserve"> consecuente</w:t>
      </w:r>
      <w:r>
        <w:rPr>
          <w:rFonts w:ascii="Arial" w:hAnsi="Arial" w:cs="Arial"/>
          <w:b w:val="0"/>
          <w:sz w:val="24"/>
        </w:rPr>
        <w:t xml:space="preserve">s con el tren de tratamiento. Ello </w:t>
      </w:r>
      <w:r w:rsidRPr="00D84DA0">
        <w:rPr>
          <w:rFonts w:ascii="Arial" w:hAnsi="Arial" w:cs="Arial"/>
          <w:b w:val="0"/>
          <w:sz w:val="24"/>
        </w:rPr>
        <w:t xml:space="preserve">puede deberse a particularidades en </w:t>
      </w:r>
      <w:r>
        <w:rPr>
          <w:rFonts w:ascii="Arial" w:hAnsi="Arial" w:cs="Arial"/>
          <w:b w:val="0"/>
          <w:sz w:val="24"/>
        </w:rPr>
        <w:t xml:space="preserve">cada unidad de proceso evaluada, la cual pudo derivarse de cuestiones operacionales y/o por falta de </w:t>
      </w:r>
      <w:r w:rsidRPr="004C6C48">
        <w:rPr>
          <w:rFonts w:ascii="Arial" w:hAnsi="Arial" w:cs="Arial"/>
          <w:b w:val="0"/>
          <w:sz w:val="24"/>
        </w:rPr>
        <w:t>mantenimiento</w:t>
      </w:r>
      <w:r>
        <w:rPr>
          <w:rFonts w:ascii="Arial" w:hAnsi="Arial" w:cs="Arial"/>
          <w:b w:val="0"/>
          <w:sz w:val="24"/>
        </w:rPr>
        <w:t xml:space="preserve">, tal como se muestra en la </w:t>
      </w:r>
      <w:r w:rsidRPr="004C6C48">
        <w:rPr>
          <w:rFonts w:ascii="Arial" w:hAnsi="Arial" w:cs="Arial"/>
          <w:b w:val="0"/>
          <w:sz w:val="24"/>
        </w:rPr>
        <w:t xml:space="preserve">Tabla 2.   </w:t>
      </w:r>
    </w:p>
    <w:p w:rsidR="00123C57" w:rsidRPr="00E55336" w:rsidRDefault="00123C57" w:rsidP="00123C57">
      <w:pPr>
        <w:keepNext/>
        <w:jc w:val="center"/>
        <w:rPr>
          <w:i/>
          <w:iCs/>
          <w:sz w:val="20"/>
          <w:szCs w:val="20"/>
        </w:rPr>
      </w:pPr>
      <w:bookmarkStart w:id="200" w:name="_Toc39232735"/>
      <w:r w:rsidRPr="00E55336">
        <w:rPr>
          <w:i/>
          <w:iCs/>
          <w:sz w:val="20"/>
          <w:szCs w:val="20"/>
        </w:rPr>
        <w:t>Tabla 2. Cuantificación de Micro contaminantes orgánicos (MCO)</w:t>
      </w:r>
      <w:r>
        <w:rPr>
          <w:i/>
          <w:iCs/>
          <w:sz w:val="20"/>
          <w:szCs w:val="20"/>
        </w:rPr>
        <w:t xml:space="preserve"> </w:t>
      </w:r>
      <w:r w:rsidRPr="00E55336">
        <w:rPr>
          <w:i/>
          <w:iCs/>
          <w:sz w:val="20"/>
          <w:szCs w:val="20"/>
        </w:rPr>
        <w:t>por unidad de proceso (UP).</w:t>
      </w:r>
      <w:bookmarkEnd w:id="200"/>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2"/>
        <w:gridCol w:w="996"/>
        <w:gridCol w:w="946"/>
        <w:gridCol w:w="681"/>
        <w:gridCol w:w="1011"/>
        <w:gridCol w:w="727"/>
        <w:gridCol w:w="1017"/>
        <w:gridCol w:w="667"/>
        <w:gridCol w:w="903"/>
        <w:gridCol w:w="1491"/>
      </w:tblGrid>
      <w:tr w:rsidR="00123C57" w:rsidRPr="00080AC5" w:rsidTr="007F2707">
        <w:trPr>
          <w:trHeight w:val="373"/>
          <w:jc w:val="center"/>
        </w:trPr>
        <w:tc>
          <w:tcPr>
            <w:tcW w:w="1122" w:type="dxa"/>
            <w:shd w:val="clear" w:color="auto" w:fill="auto"/>
          </w:tcPr>
          <w:p w:rsidR="00123C57" w:rsidRPr="00080AC5" w:rsidRDefault="00123C57" w:rsidP="007F2707">
            <w:pPr>
              <w:keepNext/>
              <w:jc w:val="center"/>
              <w:rPr>
                <w:rFonts w:ascii="Arial" w:hAnsi="Arial" w:cs="Arial"/>
                <w:iCs/>
                <w:sz w:val="16"/>
                <w:szCs w:val="16"/>
              </w:rPr>
            </w:pPr>
            <w:r>
              <w:rPr>
                <w:rFonts w:ascii="Arial" w:hAnsi="Arial" w:cs="Arial"/>
                <w:iCs/>
                <w:sz w:val="16"/>
                <w:szCs w:val="16"/>
              </w:rPr>
              <w:t>UP</w:t>
            </w:r>
          </w:p>
        </w:tc>
        <w:tc>
          <w:tcPr>
            <w:tcW w:w="1942" w:type="dxa"/>
            <w:gridSpan w:val="2"/>
            <w:shd w:val="clear" w:color="auto" w:fill="auto"/>
          </w:tcPr>
          <w:p w:rsidR="00123C57" w:rsidRPr="00080AC5" w:rsidRDefault="00123C57" w:rsidP="007F2707">
            <w:pPr>
              <w:keepNext/>
              <w:jc w:val="center"/>
              <w:rPr>
                <w:rFonts w:ascii="Arial" w:hAnsi="Arial" w:cs="Arial"/>
                <w:iCs/>
                <w:sz w:val="16"/>
                <w:szCs w:val="16"/>
              </w:rPr>
            </w:pPr>
            <w:r>
              <w:rPr>
                <w:rFonts w:ascii="Arial" w:hAnsi="Arial" w:cs="Arial"/>
                <w:iCs/>
                <w:sz w:val="16"/>
                <w:szCs w:val="16"/>
              </w:rPr>
              <w:t>Triclosán</w:t>
            </w:r>
          </w:p>
        </w:tc>
        <w:tc>
          <w:tcPr>
            <w:tcW w:w="1692" w:type="dxa"/>
            <w:gridSpan w:val="2"/>
            <w:shd w:val="clear" w:color="auto" w:fill="auto"/>
          </w:tcPr>
          <w:p w:rsidR="00123C57" w:rsidRPr="00080AC5" w:rsidRDefault="00123C57" w:rsidP="007F2707">
            <w:pPr>
              <w:keepNext/>
              <w:jc w:val="center"/>
              <w:rPr>
                <w:rFonts w:ascii="Arial" w:hAnsi="Arial" w:cs="Arial"/>
                <w:iCs/>
                <w:sz w:val="16"/>
                <w:szCs w:val="16"/>
              </w:rPr>
            </w:pPr>
            <w:r>
              <w:rPr>
                <w:rFonts w:ascii="Arial" w:hAnsi="Arial" w:cs="Arial"/>
                <w:iCs/>
                <w:sz w:val="16"/>
                <w:szCs w:val="16"/>
              </w:rPr>
              <w:t>Bisfenol A</w:t>
            </w:r>
          </w:p>
        </w:tc>
        <w:tc>
          <w:tcPr>
            <w:tcW w:w="1744" w:type="dxa"/>
            <w:gridSpan w:val="2"/>
            <w:shd w:val="clear" w:color="auto" w:fill="auto"/>
          </w:tcPr>
          <w:p w:rsidR="00123C57" w:rsidRPr="00080AC5" w:rsidRDefault="00123C57" w:rsidP="007F2707">
            <w:pPr>
              <w:keepNext/>
              <w:jc w:val="center"/>
              <w:rPr>
                <w:rFonts w:ascii="Arial" w:hAnsi="Arial" w:cs="Arial"/>
                <w:iCs/>
                <w:sz w:val="16"/>
                <w:szCs w:val="16"/>
              </w:rPr>
            </w:pPr>
            <w:r>
              <w:rPr>
                <w:rFonts w:ascii="Arial" w:hAnsi="Arial" w:cs="Arial"/>
                <w:iCs/>
                <w:sz w:val="16"/>
                <w:szCs w:val="16"/>
              </w:rPr>
              <w:t>4 Nonilfenol</w:t>
            </w:r>
          </w:p>
        </w:tc>
        <w:tc>
          <w:tcPr>
            <w:tcW w:w="1570" w:type="dxa"/>
            <w:gridSpan w:val="2"/>
            <w:shd w:val="clear" w:color="auto" w:fill="auto"/>
          </w:tcPr>
          <w:p w:rsidR="00123C57" w:rsidRPr="00080AC5" w:rsidRDefault="00123C57" w:rsidP="007F2707">
            <w:pPr>
              <w:keepNext/>
              <w:jc w:val="center"/>
              <w:rPr>
                <w:rFonts w:ascii="Arial" w:hAnsi="Arial" w:cs="Arial"/>
                <w:iCs/>
                <w:sz w:val="16"/>
                <w:szCs w:val="16"/>
              </w:rPr>
            </w:pPr>
            <w:r>
              <w:rPr>
                <w:rFonts w:ascii="Arial" w:hAnsi="Arial" w:cs="Arial"/>
                <w:iCs/>
                <w:sz w:val="16"/>
                <w:szCs w:val="16"/>
              </w:rPr>
              <w:t>Nonilfenol</w:t>
            </w:r>
          </w:p>
        </w:tc>
        <w:tc>
          <w:tcPr>
            <w:tcW w:w="1491" w:type="dxa"/>
            <w:shd w:val="clear" w:color="auto" w:fill="auto"/>
          </w:tcPr>
          <w:p w:rsidR="00123C57" w:rsidRPr="00F2648A" w:rsidRDefault="00123C57" w:rsidP="007F2707">
            <w:pPr>
              <w:keepNext/>
              <w:jc w:val="center"/>
              <w:rPr>
                <w:rFonts w:ascii="Arial" w:hAnsi="Arial" w:cs="Arial"/>
                <w:iCs/>
                <w:sz w:val="16"/>
                <w:szCs w:val="16"/>
              </w:rPr>
            </w:pPr>
            <w:r>
              <w:rPr>
                <w:rFonts w:ascii="Arial" w:hAnsi="Arial" w:cs="Arial"/>
                <w:iCs/>
                <w:sz w:val="16"/>
                <w:szCs w:val="16"/>
              </w:rPr>
              <w:t>Carbamazepina</w:t>
            </w:r>
          </w:p>
        </w:tc>
      </w:tr>
      <w:tr w:rsidR="00123C57" w:rsidRPr="00080AC5" w:rsidTr="007F2707">
        <w:trPr>
          <w:trHeight w:val="304"/>
          <w:jc w:val="center"/>
        </w:trPr>
        <w:tc>
          <w:tcPr>
            <w:tcW w:w="1122" w:type="dxa"/>
            <w:shd w:val="clear" w:color="auto" w:fill="auto"/>
          </w:tcPr>
          <w:p w:rsidR="00123C57" w:rsidRPr="00080AC5" w:rsidRDefault="00123C57" w:rsidP="007F2707">
            <w:pPr>
              <w:keepNext/>
              <w:jc w:val="center"/>
              <w:rPr>
                <w:rFonts w:ascii="Arial" w:hAnsi="Arial" w:cs="Arial"/>
                <w:iCs/>
                <w:sz w:val="16"/>
                <w:szCs w:val="16"/>
              </w:rPr>
            </w:pPr>
            <w:r>
              <w:rPr>
                <w:i/>
                <w:iCs/>
                <w:sz w:val="16"/>
                <w:szCs w:val="16"/>
              </w:rPr>
              <w:t>[ ng/L]</w:t>
            </w:r>
          </w:p>
        </w:tc>
        <w:tc>
          <w:tcPr>
            <w:tcW w:w="996" w:type="dxa"/>
            <w:shd w:val="clear" w:color="auto" w:fill="auto"/>
          </w:tcPr>
          <w:p w:rsidR="00123C57" w:rsidRPr="00080AC5" w:rsidRDefault="00123C57" w:rsidP="007F2707">
            <w:pPr>
              <w:keepNext/>
              <w:rPr>
                <w:rFonts w:ascii="Arial" w:hAnsi="Arial" w:cs="Arial"/>
                <w:iCs/>
                <w:sz w:val="16"/>
                <w:szCs w:val="16"/>
              </w:rPr>
            </w:pPr>
            <w:r>
              <w:rPr>
                <w:rFonts w:ascii="Arial" w:hAnsi="Arial" w:cs="Arial"/>
                <w:iCs/>
                <w:sz w:val="16"/>
                <w:szCs w:val="16"/>
              </w:rPr>
              <w:t>Media</w:t>
            </w:r>
          </w:p>
        </w:tc>
        <w:tc>
          <w:tcPr>
            <w:tcW w:w="946"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Min- Max</w:t>
            </w:r>
          </w:p>
        </w:tc>
        <w:tc>
          <w:tcPr>
            <w:tcW w:w="681" w:type="dxa"/>
            <w:shd w:val="clear" w:color="auto" w:fill="auto"/>
          </w:tcPr>
          <w:p w:rsidR="00123C57" w:rsidRPr="00080AC5" w:rsidRDefault="00123C57" w:rsidP="007F2707">
            <w:pPr>
              <w:keepNext/>
              <w:rPr>
                <w:rFonts w:ascii="Arial" w:hAnsi="Arial" w:cs="Arial"/>
                <w:iCs/>
                <w:sz w:val="16"/>
                <w:szCs w:val="16"/>
              </w:rPr>
            </w:pPr>
            <w:r>
              <w:rPr>
                <w:rFonts w:ascii="Arial" w:hAnsi="Arial" w:cs="Arial"/>
                <w:iCs/>
                <w:sz w:val="16"/>
                <w:szCs w:val="16"/>
              </w:rPr>
              <w:t>Media</w:t>
            </w:r>
          </w:p>
        </w:tc>
        <w:tc>
          <w:tcPr>
            <w:tcW w:w="1011"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Min- Max</w:t>
            </w:r>
          </w:p>
        </w:tc>
        <w:tc>
          <w:tcPr>
            <w:tcW w:w="727" w:type="dxa"/>
            <w:shd w:val="clear" w:color="auto" w:fill="auto"/>
          </w:tcPr>
          <w:p w:rsidR="00123C57" w:rsidRPr="00080AC5" w:rsidRDefault="00123C57" w:rsidP="007F2707">
            <w:pPr>
              <w:keepNext/>
              <w:rPr>
                <w:rFonts w:ascii="Arial" w:hAnsi="Arial" w:cs="Arial"/>
                <w:iCs/>
                <w:sz w:val="16"/>
                <w:szCs w:val="16"/>
              </w:rPr>
            </w:pPr>
            <w:r>
              <w:rPr>
                <w:rFonts w:ascii="Arial" w:hAnsi="Arial" w:cs="Arial"/>
                <w:iCs/>
                <w:sz w:val="16"/>
                <w:szCs w:val="16"/>
              </w:rPr>
              <w:t>Media</w:t>
            </w:r>
            <w:r w:rsidRPr="00080AC5">
              <w:rPr>
                <w:rFonts w:ascii="Arial" w:hAnsi="Arial" w:cs="Arial"/>
                <w:iCs/>
                <w:sz w:val="16"/>
                <w:szCs w:val="16"/>
              </w:rPr>
              <w:t xml:space="preserve"> </w:t>
            </w:r>
          </w:p>
        </w:tc>
        <w:tc>
          <w:tcPr>
            <w:tcW w:w="101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Min- Max</w:t>
            </w:r>
          </w:p>
        </w:tc>
        <w:tc>
          <w:tcPr>
            <w:tcW w:w="667" w:type="dxa"/>
            <w:shd w:val="clear" w:color="auto" w:fill="auto"/>
          </w:tcPr>
          <w:p w:rsidR="00123C57" w:rsidRPr="00080AC5" w:rsidRDefault="00123C57" w:rsidP="007F2707">
            <w:pPr>
              <w:keepNext/>
              <w:rPr>
                <w:rFonts w:ascii="Arial" w:hAnsi="Arial" w:cs="Arial"/>
                <w:iCs/>
                <w:sz w:val="16"/>
                <w:szCs w:val="16"/>
              </w:rPr>
            </w:pPr>
            <w:r>
              <w:rPr>
                <w:rFonts w:ascii="Arial" w:hAnsi="Arial" w:cs="Arial"/>
                <w:iCs/>
                <w:sz w:val="16"/>
                <w:szCs w:val="16"/>
              </w:rPr>
              <w:t>Media</w:t>
            </w:r>
          </w:p>
        </w:tc>
        <w:tc>
          <w:tcPr>
            <w:tcW w:w="903"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Min- Max</w:t>
            </w:r>
          </w:p>
        </w:tc>
        <w:tc>
          <w:tcPr>
            <w:tcW w:w="1491" w:type="dxa"/>
            <w:shd w:val="clear" w:color="auto" w:fill="auto"/>
          </w:tcPr>
          <w:p w:rsidR="00123C57" w:rsidRPr="00080AC5" w:rsidRDefault="00123C57" w:rsidP="007F2707">
            <w:pPr>
              <w:keepNext/>
              <w:jc w:val="center"/>
              <w:rPr>
                <w:rFonts w:ascii="Arial" w:hAnsi="Arial" w:cs="Arial"/>
                <w:iCs/>
                <w:sz w:val="16"/>
                <w:szCs w:val="16"/>
              </w:rPr>
            </w:pPr>
            <w:r>
              <w:rPr>
                <w:rFonts w:ascii="Arial" w:hAnsi="Arial" w:cs="Arial"/>
                <w:iCs/>
                <w:sz w:val="16"/>
                <w:szCs w:val="16"/>
              </w:rPr>
              <w:t>Media</w:t>
            </w:r>
          </w:p>
        </w:tc>
      </w:tr>
      <w:tr w:rsidR="00123C57" w:rsidRPr="00080AC5" w:rsidTr="007F2707">
        <w:trPr>
          <w:trHeight w:val="537"/>
          <w:jc w:val="center"/>
        </w:trPr>
        <w:tc>
          <w:tcPr>
            <w:tcW w:w="1122"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Influente</w:t>
            </w:r>
          </w:p>
        </w:tc>
        <w:tc>
          <w:tcPr>
            <w:tcW w:w="996"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2298</w:t>
            </w:r>
          </w:p>
        </w:tc>
        <w:tc>
          <w:tcPr>
            <w:tcW w:w="946"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1239-3918</w:t>
            </w:r>
          </w:p>
        </w:tc>
        <w:tc>
          <w:tcPr>
            <w:tcW w:w="681"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1675</w:t>
            </w:r>
          </w:p>
        </w:tc>
        <w:tc>
          <w:tcPr>
            <w:tcW w:w="1011"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1140-3083</w:t>
            </w:r>
          </w:p>
        </w:tc>
        <w:tc>
          <w:tcPr>
            <w:tcW w:w="72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0.309</w:t>
            </w:r>
          </w:p>
        </w:tc>
        <w:tc>
          <w:tcPr>
            <w:tcW w:w="101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0.192-0.394</w:t>
            </w:r>
          </w:p>
        </w:tc>
        <w:tc>
          <w:tcPr>
            <w:tcW w:w="66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353</w:t>
            </w:r>
          </w:p>
        </w:tc>
        <w:tc>
          <w:tcPr>
            <w:tcW w:w="903"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-LD</w:t>
            </w:r>
          </w:p>
        </w:tc>
        <w:tc>
          <w:tcPr>
            <w:tcW w:w="1491" w:type="dxa"/>
            <w:shd w:val="clear" w:color="auto" w:fill="auto"/>
          </w:tcPr>
          <w:p w:rsidR="00123C57" w:rsidRPr="00080AC5" w:rsidRDefault="00123C57" w:rsidP="007F2707">
            <w:pPr>
              <w:keepNext/>
              <w:jc w:val="center"/>
              <w:rPr>
                <w:rFonts w:ascii="Arial" w:hAnsi="Arial" w:cs="Arial"/>
                <w:iCs/>
                <w:sz w:val="16"/>
                <w:szCs w:val="16"/>
              </w:rPr>
            </w:pPr>
            <w:r w:rsidRPr="00080AC5">
              <w:rPr>
                <w:rFonts w:ascii="Arial" w:hAnsi="Arial" w:cs="Arial"/>
                <w:iCs/>
                <w:sz w:val="16"/>
                <w:szCs w:val="16"/>
              </w:rPr>
              <w:t>44810</w:t>
            </w:r>
          </w:p>
        </w:tc>
      </w:tr>
      <w:tr w:rsidR="00123C57" w:rsidRPr="00080AC5" w:rsidTr="007F2707">
        <w:trPr>
          <w:trHeight w:val="551"/>
          <w:jc w:val="center"/>
        </w:trPr>
        <w:tc>
          <w:tcPr>
            <w:tcW w:w="1122"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Prefiltración</w:t>
            </w:r>
          </w:p>
        </w:tc>
        <w:tc>
          <w:tcPr>
            <w:tcW w:w="996"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1949</w:t>
            </w:r>
          </w:p>
        </w:tc>
        <w:tc>
          <w:tcPr>
            <w:tcW w:w="946"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1622-2705</w:t>
            </w:r>
          </w:p>
        </w:tc>
        <w:tc>
          <w:tcPr>
            <w:tcW w:w="681"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1431</w:t>
            </w:r>
          </w:p>
        </w:tc>
        <w:tc>
          <w:tcPr>
            <w:tcW w:w="1011"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1226-1544</w:t>
            </w:r>
          </w:p>
        </w:tc>
        <w:tc>
          <w:tcPr>
            <w:tcW w:w="72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0.322</w:t>
            </w:r>
          </w:p>
        </w:tc>
        <w:tc>
          <w:tcPr>
            <w:tcW w:w="101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0.239-0.427</w:t>
            </w:r>
          </w:p>
        </w:tc>
        <w:tc>
          <w:tcPr>
            <w:tcW w:w="66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440</w:t>
            </w:r>
          </w:p>
        </w:tc>
        <w:tc>
          <w:tcPr>
            <w:tcW w:w="903"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-LD</w:t>
            </w:r>
          </w:p>
        </w:tc>
        <w:tc>
          <w:tcPr>
            <w:tcW w:w="1491" w:type="dxa"/>
            <w:shd w:val="clear" w:color="auto" w:fill="auto"/>
          </w:tcPr>
          <w:p w:rsidR="00123C57" w:rsidRPr="00080AC5" w:rsidRDefault="00123C57" w:rsidP="007F2707">
            <w:pPr>
              <w:keepNext/>
              <w:jc w:val="center"/>
              <w:rPr>
                <w:rFonts w:ascii="Arial" w:hAnsi="Arial" w:cs="Arial"/>
                <w:iCs/>
                <w:sz w:val="16"/>
                <w:szCs w:val="16"/>
              </w:rPr>
            </w:pPr>
            <w:r w:rsidRPr="00080AC5">
              <w:rPr>
                <w:rFonts w:ascii="Arial" w:hAnsi="Arial" w:cs="Arial"/>
                <w:iCs/>
                <w:sz w:val="16"/>
                <w:szCs w:val="16"/>
              </w:rPr>
              <w:t>30660</w:t>
            </w:r>
          </w:p>
        </w:tc>
      </w:tr>
      <w:tr w:rsidR="00123C57" w:rsidRPr="00080AC5" w:rsidTr="007F2707">
        <w:trPr>
          <w:trHeight w:val="537"/>
          <w:jc w:val="center"/>
        </w:trPr>
        <w:tc>
          <w:tcPr>
            <w:tcW w:w="1122"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Posfiltración</w:t>
            </w:r>
          </w:p>
        </w:tc>
        <w:tc>
          <w:tcPr>
            <w:tcW w:w="996"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2612</w:t>
            </w:r>
          </w:p>
        </w:tc>
        <w:tc>
          <w:tcPr>
            <w:tcW w:w="946"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1720-3212</w:t>
            </w:r>
          </w:p>
        </w:tc>
        <w:tc>
          <w:tcPr>
            <w:tcW w:w="681"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1761</w:t>
            </w:r>
          </w:p>
        </w:tc>
        <w:tc>
          <w:tcPr>
            <w:tcW w:w="1011"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1427-2083</w:t>
            </w:r>
          </w:p>
        </w:tc>
        <w:tc>
          <w:tcPr>
            <w:tcW w:w="72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0.4</w:t>
            </w:r>
          </w:p>
        </w:tc>
        <w:tc>
          <w:tcPr>
            <w:tcW w:w="101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0.266-0.582</w:t>
            </w:r>
          </w:p>
        </w:tc>
        <w:tc>
          <w:tcPr>
            <w:tcW w:w="66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223</w:t>
            </w:r>
          </w:p>
        </w:tc>
        <w:tc>
          <w:tcPr>
            <w:tcW w:w="903"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-LD</w:t>
            </w:r>
          </w:p>
        </w:tc>
        <w:tc>
          <w:tcPr>
            <w:tcW w:w="1491" w:type="dxa"/>
            <w:shd w:val="clear" w:color="auto" w:fill="auto"/>
          </w:tcPr>
          <w:p w:rsidR="00123C57" w:rsidRPr="00080AC5" w:rsidRDefault="00123C57" w:rsidP="007F2707">
            <w:pPr>
              <w:keepNext/>
              <w:jc w:val="center"/>
              <w:rPr>
                <w:rFonts w:ascii="Arial" w:hAnsi="Arial" w:cs="Arial"/>
                <w:iCs/>
                <w:sz w:val="16"/>
                <w:szCs w:val="16"/>
              </w:rPr>
            </w:pPr>
            <w:r w:rsidRPr="00080AC5">
              <w:rPr>
                <w:rFonts w:ascii="Arial" w:hAnsi="Arial" w:cs="Arial"/>
                <w:iCs/>
                <w:sz w:val="16"/>
                <w:szCs w:val="16"/>
              </w:rPr>
              <w:t>45830</w:t>
            </w:r>
          </w:p>
        </w:tc>
      </w:tr>
      <w:tr w:rsidR="00123C57" w:rsidRPr="00080AC5" w:rsidTr="007F2707">
        <w:trPr>
          <w:trHeight w:val="551"/>
          <w:jc w:val="center"/>
        </w:trPr>
        <w:tc>
          <w:tcPr>
            <w:tcW w:w="1122" w:type="dxa"/>
            <w:shd w:val="clear" w:color="auto" w:fill="auto"/>
          </w:tcPr>
          <w:p w:rsidR="00123C57" w:rsidRPr="00080AC5" w:rsidRDefault="00123C57" w:rsidP="007F2707">
            <w:pPr>
              <w:keepNext/>
              <w:rPr>
                <w:rFonts w:ascii="Arial" w:hAnsi="Arial" w:cs="Arial"/>
                <w:iCs/>
                <w:sz w:val="16"/>
                <w:szCs w:val="16"/>
              </w:rPr>
            </w:pPr>
            <w:r>
              <w:rPr>
                <w:rFonts w:ascii="Arial" w:hAnsi="Arial" w:cs="Arial"/>
                <w:iCs/>
                <w:sz w:val="16"/>
                <w:szCs w:val="16"/>
              </w:rPr>
              <w:t>O. Inversa</w:t>
            </w:r>
          </w:p>
        </w:tc>
        <w:tc>
          <w:tcPr>
            <w:tcW w:w="996"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1461</w:t>
            </w:r>
          </w:p>
        </w:tc>
        <w:tc>
          <w:tcPr>
            <w:tcW w:w="946"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1276-1822</w:t>
            </w:r>
          </w:p>
        </w:tc>
        <w:tc>
          <w:tcPr>
            <w:tcW w:w="681"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1335</w:t>
            </w:r>
          </w:p>
        </w:tc>
        <w:tc>
          <w:tcPr>
            <w:tcW w:w="1011"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913-2162</w:t>
            </w:r>
          </w:p>
        </w:tc>
        <w:tc>
          <w:tcPr>
            <w:tcW w:w="72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0.275</w:t>
            </w:r>
          </w:p>
        </w:tc>
        <w:tc>
          <w:tcPr>
            <w:tcW w:w="101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0.229-0.303</w:t>
            </w:r>
          </w:p>
        </w:tc>
        <w:tc>
          <w:tcPr>
            <w:tcW w:w="66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322</w:t>
            </w:r>
          </w:p>
        </w:tc>
        <w:tc>
          <w:tcPr>
            <w:tcW w:w="903"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-LD</w:t>
            </w:r>
          </w:p>
        </w:tc>
        <w:tc>
          <w:tcPr>
            <w:tcW w:w="1491" w:type="dxa"/>
            <w:shd w:val="clear" w:color="auto" w:fill="auto"/>
          </w:tcPr>
          <w:p w:rsidR="00123C57" w:rsidRPr="00080AC5" w:rsidRDefault="00123C57" w:rsidP="007F2707">
            <w:pPr>
              <w:keepNext/>
              <w:jc w:val="center"/>
              <w:rPr>
                <w:rFonts w:ascii="Arial" w:hAnsi="Arial" w:cs="Arial"/>
                <w:iCs/>
                <w:sz w:val="16"/>
                <w:szCs w:val="16"/>
              </w:rPr>
            </w:pPr>
            <w:r w:rsidRPr="00080AC5">
              <w:rPr>
                <w:rFonts w:ascii="Arial" w:hAnsi="Arial" w:cs="Arial"/>
                <w:iCs/>
                <w:sz w:val="16"/>
                <w:szCs w:val="16"/>
              </w:rPr>
              <w:t>50270</w:t>
            </w:r>
          </w:p>
        </w:tc>
      </w:tr>
      <w:tr w:rsidR="00123C57" w:rsidRPr="00080AC5" w:rsidTr="007F2707">
        <w:trPr>
          <w:trHeight w:val="537"/>
          <w:jc w:val="center"/>
        </w:trPr>
        <w:tc>
          <w:tcPr>
            <w:tcW w:w="1122"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Desinfección</w:t>
            </w:r>
          </w:p>
        </w:tc>
        <w:tc>
          <w:tcPr>
            <w:tcW w:w="996"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1810</w:t>
            </w:r>
          </w:p>
        </w:tc>
        <w:tc>
          <w:tcPr>
            <w:tcW w:w="946"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1539-2354</w:t>
            </w:r>
          </w:p>
        </w:tc>
        <w:tc>
          <w:tcPr>
            <w:tcW w:w="681"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1755</w:t>
            </w:r>
          </w:p>
        </w:tc>
        <w:tc>
          <w:tcPr>
            <w:tcW w:w="1011"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1198-2282</w:t>
            </w:r>
          </w:p>
        </w:tc>
        <w:tc>
          <w:tcPr>
            <w:tcW w:w="72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0.281</w:t>
            </w:r>
          </w:p>
        </w:tc>
        <w:tc>
          <w:tcPr>
            <w:tcW w:w="101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0.171-0.0347</w:t>
            </w:r>
          </w:p>
        </w:tc>
        <w:tc>
          <w:tcPr>
            <w:tcW w:w="66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ND</w:t>
            </w:r>
          </w:p>
        </w:tc>
        <w:tc>
          <w:tcPr>
            <w:tcW w:w="903"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-LD</w:t>
            </w:r>
          </w:p>
        </w:tc>
        <w:tc>
          <w:tcPr>
            <w:tcW w:w="1491" w:type="dxa"/>
            <w:shd w:val="clear" w:color="auto" w:fill="auto"/>
          </w:tcPr>
          <w:p w:rsidR="00123C57" w:rsidRPr="00080AC5" w:rsidRDefault="00123C57" w:rsidP="007F2707">
            <w:pPr>
              <w:keepNext/>
              <w:jc w:val="center"/>
              <w:rPr>
                <w:rFonts w:ascii="Arial" w:hAnsi="Arial" w:cs="Arial"/>
                <w:iCs/>
                <w:sz w:val="16"/>
                <w:szCs w:val="16"/>
              </w:rPr>
            </w:pPr>
            <w:r w:rsidRPr="00080AC5">
              <w:rPr>
                <w:rFonts w:ascii="Arial" w:hAnsi="Arial" w:cs="Arial"/>
                <w:iCs/>
                <w:sz w:val="16"/>
                <w:szCs w:val="16"/>
              </w:rPr>
              <w:t>89000</w:t>
            </w:r>
          </w:p>
        </w:tc>
      </w:tr>
      <w:tr w:rsidR="00123C57" w:rsidRPr="00080AC5" w:rsidTr="007F2707">
        <w:trPr>
          <w:trHeight w:val="551"/>
          <w:jc w:val="center"/>
        </w:trPr>
        <w:tc>
          <w:tcPr>
            <w:tcW w:w="1122"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Rechazo</w:t>
            </w:r>
          </w:p>
        </w:tc>
        <w:tc>
          <w:tcPr>
            <w:tcW w:w="996"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1949</w:t>
            </w:r>
          </w:p>
        </w:tc>
        <w:tc>
          <w:tcPr>
            <w:tcW w:w="946"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1455-2377</w:t>
            </w:r>
          </w:p>
        </w:tc>
        <w:tc>
          <w:tcPr>
            <w:tcW w:w="681"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1353</w:t>
            </w:r>
          </w:p>
        </w:tc>
        <w:tc>
          <w:tcPr>
            <w:tcW w:w="1011"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1039-2091</w:t>
            </w:r>
          </w:p>
        </w:tc>
        <w:tc>
          <w:tcPr>
            <w:tcW w:w="72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0.322</w:t>
            </w:r>
          </w:p>
        </w:tc>
        <w:tc>
          <w:tcPr>
            <w:tcW w:w="101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0.156-0.455</w:t>
            </w:r>
          </w:p>
        </w:tc>
        <w:tc>
          <w:tcPr>
            <w:tcW w:w="667"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518</w:t>
            </w:r>
          </w:p>
        </w:tc>
        <w:tc>
          <w:tcPr>
            <w:tcW w:w="903" w:type="dxa"/>
            <w:shd w:val="clear" w:color="auto" w:fill="auto"/>
          </w:tcPr>
          <w:p w:rsidR="00123C57" w:rsidRPr="00080AC5" w:rsidRDefault="00123C57" w:rsidP="007F2707">
            <w:pPr>
              <w:keepNext/>
              <w:rPr>
                <w:rFonts w:ascii="Arial" w:hAnsi="Arial" w:cs="Arial"/>
                <w:iCs/>
                <w:sz w:val="16"/>
                <w:szCs w:val="16"/>
              </w:rPr>
            </w:pPr>
            <w:r w:rsidRPr="00080AC5">
              <w:rPr>
                <w:rFonts w:ascii="Arial" w:hAnsi="Arial" w:cs="Arial"/>
                <w:iCs/>
                <w:sz w:val="16"/>
                <w:szCs w:val="16"/>
              </w:rPr>
              <w:t>357-773</w:t>
            </w:r>
          </w:p>
        </w:tc>
        <w:tc>
          <w:tcPr>
            <w:tcW w:w="1491" w:type="dxa"/>
            <w:shd w:val="clear" w:color="auto" w:fill="auto"/>
          </w:tcPr>
          <w:p w:rsidR="00123C57" w:rsidRPr="00080AC5" w:rsidRDefault="00123C57" w:rsidP="007F2707">
            <w:pPr>
              <w:keepNext/>
              <w:jc w:val="center"/>
              <w:rPr>
                <w:rFonts w:ascii="Arial" w:hAnsi="Arial" w:cs="Arial"/>
                <w:iCs/>
                <w:sz w:val="16"/>
                <w:szCs w:val="16"/>
              </w:rPr>
            </w:pPr>
            <w:r w:rsidRPr="00080AC5">
              <w:rPr>
                <w:rFonts w:ascii="Arial" w:hAnsi="Arial" w:cs="Arial"/>
                <w:iCs/>
                <w:sz w:val="16"/>
                <w:szCs w:val="16"/>
              </w:rPr>
              <w:t>45220</w:t>
            </w:r>
          </w:p>
        </w:tc>
      </w:tr>
    </w:tbl>
    <w:p w:rsidR="00123C57" w:rsidRDefault="00123C57" w:rsidP="00123C57">
      <w:pPr>
        <w:keepNext/>
        <w:rPr>
          <w:i/>
          <w:iCs/>
          <w:sz w:val="16"/>
          <w:szCs w:val="16"/>
        </w:rPr>
      </w:pPr>
      <w:r>
        <w:rPr>
          <w:i/>
          <w:iCs/>
          <w:sz w:val="16"/>
          <w:szCs w:val="16"/>
        </w:rPr>
        <w:t>LD: Límite de detección; Min= Valor mínimo; Max= Valor máximo</w:t>
      </w:r>
    </w:p>
    <w:p w:rsidR="00123C57" w:rsidRPr="00123C57" w:rsidRDefault="00123C57" w:rsidP="00123C57">
      <w:pPr>
        <w:pStyle w:val="Ttulo2"/>
        <w:keepLines w:val="0"/>
        <w:numPr>
          <w:ilvl w:val="7"/>
          <w:numId w:val="1"/>
        </w:numPr>
        <w:tabs>
          <w:tab w:val="clear" w:pos="1440"/>
          <w:tab w:val="num" w:pos="0"/>
        </w:tabs>
        <w:suppressAutoHyphens/>
        <w:spacing w:before="0"/>
        <w:ind w:left="0" w:firstLine="0"/>
        <w:rPr>
          <w:sz w:val="24"/>
          <w:szCs w:val="24"/>
        </w:rPr>
      </w:pPr>
      <w:r>
        <w:t xml:space="preserve"> </w:t>
      </w:r>
      <w:bookmarkStart w:id="201" w:name="_Toc50031290"/>
      <w:r w:rsidRPr="00123C57">
        <w:rPr>
          <w:sz w:val="24"/>
          <w:szCs w:val="24"/>
        </w:rPr>
        <w:t>4.2 Ensayos de mortalidad y determinación de DL50</w:t>
      </w:r>
      <w:bookmarkEnd w:id="201"/>
      <w:r w:rsidRPr="00123C57">
        <w:rPr>
          <w:sz w:val="24"/>
          <w:szCs w:val="24"/>
        </w:rPr>
        <w:t xml:space="preserve"> </w:t>
      </w:r>
    </w:p>
    <w:p w:rsidR="00123C57" w:rsidRPr="00A668E2" w:rsidRDefault="00123C57" w:rsidP="00123C57">
      <w:pPr>
        <w:ind w:firstLine="708"/>
        <w:jc w:val="both"/>
        <w:rPr>
          <w:rFonts w:ascii="Arial" w:hAnsi="Arial" w:cs="Arial"/>
        </w:rPr>
      </w:pPr>
      <w:r w:rsidRPr="00A668E2">
        <w:rPr>
          <w:rFonts w:ascii="Arial" w:hAnsi="Arial" w:cs="Arial"/>
        </w:rPr>
        <w:t>Los embriones sometidos al agua de las UP mostraron una mortalidad menor al 50% a las 24, 48 y 72 hpf, mientras que el control se mantuvo por debajo del 15 % de mortalidad durante todo el ensayo, apuntando con ello a que existe un efecto de los agentes expuestos sobre la mortalidad de los embriones. Con base a los resultados no se encontró una mortalidad mayor al 50% de los individuos dentro de las etapas de UP de la PTP al registrar valores similares de mortalidad que se encontraron entre 36-47%, con un</w:t>
      </w:r>
      <w:r>
        <w:rPr>
          <w:rFonts w:ascii="Arial" w:hAnsi="Arial" w:cs="Arial"/>
        </w:rPr>
        <w:t xml:space="preserve">a media </w:t>
      </w:r>
      <w:r w:rsidRPr="00A668E2">
        <w:rPr>
          <w:rFonts w:ascii="Arial" w:hAnsi="Arial" w:cs="Arial"/>
        </w:rPr>
        <w:t>de 42%. Por lo tanto, las primeras 24 horas de exposición no fueron determinantes en la mortalidad, mientras que a las 72 hpf los bioensayos de toxicidad aguda para las muestras de agua reflejaron resultados de mortalidad acumulativa cercanos, pero no absolutos al 50% (Tabla 3; Figura 2).</w:t>
      </w:r>
    </w:p>
    <w:p w:rsidR="00123C57" w:rsidRPr="00582AB3" w:rsidRDefault="00123C57" w:rsidP="00123C57">
      <w:pPr>
        <w:rPr>
          <w:rFonts w:eastAsia="Calibri"/>
          <w:sz w:val="22"/>
          <w:szCs w:val="22"/>
          <w:lang w:val="es-MX"/>
        </w:rPr>
      </w:pPr>
      <w:r w:rsidRPr="00F27F9C">
        <w:rPr>
          <w:lang w:val="es-MX"/>
        </w:rPr>
        <w:fldChar w:fldCharType="begin"/>
      </w:r>
      <w:r w:rsidRPr="00F27F9C">
        <w:rPr>
          <w:lang w:val="es-MX"/>
        </w:rPr>
        <w:instrText xml:space="preserve"> LINK Excel.Sheet.12 F:\\Costo_Beneficio.xlsx Hoja1!F1C2:F7C6 \a \f 5 \h  \* MERGEFORMAT </w:instrText>
      </w:r>
      <w:r w:rsidRPr="00F27F9C">
        <w:rPr>
          <w:lang w:val="es-MX"/>
        </w:rPr>
        <w:fldChar w:fldCharType="separate"/>
      </w:r>
    </w:p>
    <w:p w:rsidR="00123C57" w:rsidRPr="00E55336" w:rsidRDefault="00123C57" w:rsidP="00123C57">
      <w:pPr>
        <w:keepNext/>
        <w:jc w:val="center"/>
        <w:rPr>
          <w:i/>
          <w:iCs/>
          <w:sz w:val="20"/>
          <w:szCs w:val="20"/>
        </w:rPr>
      </w:pPr>
      <w:bookmarkStart w:id="202" w:name="_Toc39232740"/>
      <w:r w:rsidRPr="00E55336">
        <w:rPr>
          <w:i/>
          <w:iCs/>
          <w:sz w:val="20"/>
          <w:szCs w:val="20"/>
        </w:rPr>
        <w:t>Tabla</w:t>
      </w:r>
      <w:r>
        <w:rPr>
          <w:i/>
          <w:iCs/>
          <w:sz w:val="20"/>
          <w:szCs w:val="20"/>
        </w:rPr>
        <w:t xml:space="preserve"> 3</w:t>
      </w:r>
      <w:r w:rsidRPr="00E55336">
        <w:rPr>
          <w:i/>
          <w:iCs/>
          <w:sz w:val="20"/>
          <w:szCs w:val="20"/>
        </w:rPr>
        <w:t>. Porcentaje de Mortalidad de las unidades de proceso a las 72 hpf determinado por el Método Probit.</w:t>
      </w:r>
      <w:bookmarkEnd w:id="202"/>
    </w:p>
    <w:tbl>
      <w:tblPr>
        <w:tblW w:w="88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5"/>
        <w:gridCol w:w="1471"/>
        <w:gridCol w:w="2284"/>
        <w:gridCol w:w="1471"/>
        <w:gridCol w:w="1638"/>
      </w:tblGrid>
      <w:tr w:rsidR="00123C57" w:rsidRPr="00080AC5" w:rsidTr="007F2707">
        <w:trPr>
          <w:trHeight w:val="345"/>
          <w:jc w:val="center"/>
        </w:trPr>
        <w:tc>
          <w:tcPr>
            <w:tcW w:w="1955" w:type="dxa"/>
            <w:shd w:val="clear" w:color="auto" w:fill="auto"/>
            <w:noWrap/>
            <w:hideMark/>
          </w:tcPr>
          <w:p w:rsidR="00123C57" w:rsidRPr="00080AC5" w:rsidRDefault="00123C57" w:rsidP="007F2707">
            <w:pPr>
              <w:rPr>
                <w:sz w:val="20"/>
              </w:rPr>
            </w:pPr>
            <w:r w:rsidRPr="00080AC5">
              <w:rPr>
                <w:sz w:val="20"/>
              </w:rPr>
              <w:t>U. Proceso</w:t>
            </w:r>
          </w:p>
        </w:tc>
        <w:tc>
          <w:tcPr>
            <w:tcW w:w="1471" w:type="dxa"/>
            <w:shd w:val="clear" w:color="auto" w:fill="auto"/>
            <w:noWrap/>
            <w:hideMark/>
          </w:tcPr>
          <w:p w:rsidR="00123C57" w:rsidRPr="00080AC5" w:rsidRDefault="00123C57" w:rsidP="007F2707">
            <w:pPr>
              <w:rPr>
                <w:sz w:val="20"/>
              </w:rPr>
            </w:pPr>
            <w:r w:rsidRPr="00080AC5">
              <w:rPr>
                <w:sz w:val="20"/>
              </w:rPr>
              <w:t>log(C%)</w:t>
            </w:r>
          </w:p>
        </w:tc>
        <w:tc>
          <w:tcPr>
            <w:tcW w:w="2284" w:type="dxa"/>
            <w:shd w:val="clear" w:color="auto" w:fill="auto"/>
            <w:noWrap/>
            <w:hideMark/>
          </w:tcPr>
          <w:p w:rsidR="00123C57" w:rsidRPr="00080AC5" w:rsidRDefault="00123C57" w:rsidP="007F2707">
            <w:pPr>
              <w:rPr>
                <w:sz w:val="20"/>
              </w:rPr>
            </w:pPr>
            <w:r w:rsidRPr="00080AC5">
              <w:rPr>
                <w:sz w:val="20"/>
              </w:rPr>
              <w:t>Probit (P)</w:t>
            </w:r>
          </w:p>
        </w:tc>
        <w:tc>
          <w:tcPr>
            <w:tcW w:w="1471" w:type="dxa"/>
            <w:shd w:val="clear" w:color="auto" w:fill="auto"/>
            <w:noWrap/>
            <w:hideMark/>
          </w:tcPr>
          <w:p w:rsidR="00123C57" w:rsidRPr="00080AC5" w:rsidRDefault="00123C57" w:rsidP="007F2707">
            <w:pPr>
              <w:rPr>
                <w:sz w:val="20"/>
              </w:rPr>
            </w:pPr>
            <w:r w:rsidRPr="00080AC5">
              <w:rPr>
                <w:sz w:val="20"/>
              </w:rPr>
              <w:t>DL50</w:t>
            </w:r>
          </w:p>
        </w:tc>
        <w:tc>
          <w:tcPr>
            <w:tcW w:w="1638" w:type="dxa"/>
            <w:shd w:val="clear" w:color="auto" w:fill="auto"/>
            <w:noWrap/>
            <w:hideMark/>
          </w:tcPr>
          <w:p w:rsidR="00123C57" w:rsidRPr="00080AC5" w:rsidRDefault="00123C57" w:rsidP="007F2707">
            <w:pPr>
              <w:rPr>
                <w:sz w:val="20"/>
              </w:rPr>
            </w:pPr>
            <w:r w:rsidRPr="00080AC5">
              <w:rPr>
                <w:sz w:val="20"/>
              </w:rPr>
              <w:t>% Mortalidad</w:t>
            </w:r>
          </w:p>
        </w:tc>
      </w:tr>
      <w:tr w:rsidR="00123C57" w:rsidRPr="00080AC5" w:rsidTr="007F2707">
        <w:trPr>
          <w:trHeight w:val="345"/>
          <w:jc w:val="center"/>
        </w:trPr>
        <w:tc>
          <w:tcPr>
            <w:tcW w:w="1955" w:type="dxa"/>
            <w:shd w:val="clear" w:color="auto" w:fill="auto"/>
            <w:noWrap/>
            <w:hideMark/>
          </w:tcPr>
          <w:p w:rsidR="00123C57" w:rsidRPr="00080AC5" w:rsidRDefault="00123C57" w:rsidP="007F2707">
            <w:pPr>
              <w:rPr>
                <w:sz w:val="20"/>
              </w:rPr>
            </w:pPr>
            <w:r w:rsidRPr="00080AC5">
              <w:rPr>
                <w:sz w:val="20"/>
              </w:rPr>
              <w:t>Efluente</w:t>
            </w:r>
          </w:p>
        </w:tc>
        <w:tc>
          <w:tcPr>
            <w:tcW w:w="1471" w:type="dxa"/>
            <w:shd w:val="clear" w:color="auto" w:fill="auto"/>
            <w:noWrap/>
            <w:hideMark/>
          </w:tcPr>
          <w:p w:rsidR="00123C57" w:rsidRPr="00080AC5" w:rsidRDefault="00123C57" w:rsidP="007F2707">
            <w:pPr>
              <w:rPr>
                <w:sz w:val="20"/>
              </w:rPr>
            </w:pPr>
            <w:r w:rsidRPr="00080AC5">
              <w:rPr>
                <w:sz w:val="20"/>
              </w:rPr>
              <w:t>0.7</w:t>
            </w:r>
          </w:p>
        </w:tc>
        <w:tc>
          <w:tcPr>
            <w:tcW w:w="2284" w:type="dxa"/>
            <w:shd w:val="clear" w:color="auto" w:fill="auto"/>
            <w:noWrap/>
            <w:hideMark/>
          </w:tcPr>
          <w:p w:rsidR="00123C57" w:rsidRPr="00080AC5" w:rsidRDefault="00123C57" w:rsidP="007F2707">
            <w:pPr>
              <w:rPr>
                <w:sz w:val="20"/>
              </w:rPr>
            </w:pPr>
            <w:r w:rsidRPr="00080AC5">
              <w:rPr>
                <w:sz w:val="20"/>
              </w:rPr>
              <w:t>4.1283652</w:t>
            </w:r>
          </w:p>
        </w:tc>
        <w:tc>
          <w:tcPr>
            <w:tcW w:w="1471" w:type="dxa"/>
            <w:shd w:val="clear" w:color="auto" w:fill="auto"/>
            <w:noWrap/>
            <w:hideMark/>
          </w:tcPr>
          <w:p w:rsidR="00123C57" w:rsidRPr="00080AC5" w:rsidRDefault="00123C57" w:rsidP="007F2707">
            <w:pPr>
              <w:rPr>
                <w:sz w:val="20"/>
              </w:rPr>
            </w:pPr>
            <w:r w:rsidRPr="00080AC5">
              <w:rPr>
                <w:sz w:val="20"/>
              </w:rPr>
              <w:t>5</w:t>
            </w:r>
          </w:p>
        </w:tc>
        <w:tc>
          <w:tcPr>
            <w:tcW w:w="1638" w:type="dxa"/>
            <w:shd w:val="clear" w:color="auto" w:fill="auto"/>
            <w:noWrap/>
            <w:hideMark/>
          </w:tcPr>
          <w:p w:rsidR="00123C57" w:rsidRPr="00080AC5" w:rsidRDefault="00123C57" w:rsidP="007F2707">
            <w:pPr>
              <w:rPr>
                <w:sz w:val="20"/>
              </w:rPr>
            </w:pPr>
            <w:r w:rsidRPr="00080AC5">
              <w:rPr>
                <w:sz w:val="20"/>
              </w:rPr>
              <w:t>41%</w:t>
            </w:r>
          </w:p>
        </w:tc>
      </w:tr>
      <w:tr w:rsidR="00123C57" w:rsidRPr="00080AC5" w:rsidTr="007F2707">
        <w:trPr>
          <w:trHeight w:val="345"/>
          <w:jc w:val="center"/>
        </w:trPr>
        <w:tc>
          <w:tcPr>
            <w:tcW w:w="1955" w:type="dxa"/>
            <w:shd w:val="clear" w:color="auto" w:fill="auto"/>
            <w:noWrap/>
            <w:hideMark/>
          </w:tcPr>
          <w:p w:rsidR="00123C57" w:rsidRPr="00080AC5" w:rsidRDefault="00123C57" w:rsidP="007F2707">
            <w:pPr>
              <w:rPr>
                <w:sz w:val="20"/>
              </w:rPr>
            </w:pPr>
            <w:r w:rsidRPr="00080AC5">
              <w:rPr>
                <w:sz w:val="20"/>
              </w:rPr>
              <w:t>O.Inversa</w:t>
            </w:r>
          </w:p>
        </w:tc>
        <w:tc>
          <w:tcPr>
            <w:tcW w:w="1471" w:type="dxa"/>
            <w:shd w:val="clear" w:color="auto" w:fill="auto"/>
            <w:noWrap/>
            <w:hideMark/>
          </w:tcPr>
          <w:p w:rsidR="00123C57" w:rsidRPr="00080AC5" w:rsidRDefault="00123C57" w:rsidP="007F2707">
            <w:pPr>
              <w:rPr>
                <w:sz w:val="20"/>
              </w:rPr>
            </w:pPr>
            <w:r w:rsidRPr="00080AC5">
              <w:rPr>
                <w:sz w:val="20"/>
              </w:rPr>
              <w:t>0</w:t>
            </w:r>
          </w:p>
        </w:tc>
        <w:tc>
          <w:tcPr>
            <w:tcW w:w="2284" w:type="dxa"/>
            <w:shd w:val="clear" w:color="auto" w:fill="auto"/>
            <w:noWrap/>
            <w:hideMark/>
          </w:tcPr>
          <w:p w:rsidR="00123C57" w:rsidRPr="00080AC5" w:rsidRDefault="00123C57" w:rsidP="007F2707">
            <w:pPr>
              <w:rPr>
                <w:sz w:val="20"/>
              </w:rPr>
            </w:pPr>
            <w:r w:rsidRPr="00080AC5">
              <w:rPr>
                <w:sz w:val="20"/>
              </w:rPr>
              <w:t>3.5943691</w:t>
            </w:r>
          </w:p>
        </w:tc>
        <w:tc>
          <w:tcPr>
            <w:tcW w:w="1471" w:type="dxa"/>
            <w:shd w:val="clear" w:color="auto" w:fill="auto"/>
            <w:noWrap/>
            <w:hideMark/>
          </w:tcPr>
          <w:p w:rsidR="00123C57" w:rsidRPr="00080AC5" w:rsidRDefault="00123C57" w:rsidP="007F2707">
            <w:pPr>
              <w:rPr>
                <w:sz w:val="20"/>
              </w:rPr>
            </w:pPr>
            <w:r w:rsidRPr="00080AC5">
              <w:rPr>
                <w:sz w:val="20"/>
              </w:rPr>
              <w:t>5</w:t>
            </w:r>
          </w:p>
        </w:tc>
        <w:tc>
          <w:tcPr>
            <w:tcW w:w="1638" w:type="dxa"/>
            <w:shd w:val="clear" w:color="auto" w:fill="auto"/>
            <w:noWrap/>
            <w:hideMark/>
          </w:tcPr>
          <w:p w:rsidR="00123C57" w:rsidRPr="00080AC5" w:rsidRDefault="00123C57" w:rsidP="007F2707">
            <w:pPr>
              <w:rPr>
                <w:sz w:val="20"/>
              </w:rPr>
            </w:pPr>
            <w:r w:rsidRPr="00080AC5">
              <w:rPr>
                <w:sz w:val="20"/>
              </w:rPr>
              <w:t>36%</w:t>
            </w:r>
          </w:p>
        </w:tc>
      </w:tr>
      <w:tr w:rsidR="00123C57" w:rsidRPr="00080AC5" w:rsidTr="007F2707">
        <w:trPr>
          <w:trHeight w:val="345"/>
          <w:jc w:val="center"/>
        </w:trPr>
        <w:tc>
          <w:tcPr>
            <w:tcW w:w="1955" w:type="dxa"/>
            <w:shd w:val="clear" w:color="auto" w:fill="auto"/>
            <w:noWrap/>
            <w:hideMark/>
          </w:tcPr>
          <w:p w:rsidR="00123C57" w:rsidRPr="00080AC5" w:rsidRDefault="00123C57" w:rsidP="007F2707">
            <w:pPr>
              <w:rPr>
                <w:sz w:val="20"/>
              </w:rPr>
            </w:pPr>
            <w:r w:rsidRPr="00080AC5">
              <w:rPr>
                <w:sz w:val="20"/>
              </w:rPr>
              <w:lastRenderedPageBreak/>
              <w:t>Posfiltración</w:t>
            </w:r>
          </w:p>
        </w:tc>
        <w:tc>
          <w:tcPr>
            <w:tcW w:w="1471" w:type="dxa"/>
            <w:shd w:val="clear" w:color="auto" w:fill="auto"/>
            <w:noWrap/>
            <w:hideMark/>
          </w:tcPr>
          <w:p w:rsidR="00123C57" w:rsidRPr="00080AC5" w:rsidRDefault="00123C57" w:rsidP="007F2707">
            <w:pPr>
              <w:rPr>
                <w:sz w:val="20"/>
              </w:rPr>
            </w:pPr>
            <w:r w:rsidRPr="00080AC5">
              <w:rPr>
                <w:sz w:val="20"/>
              </w:rPr>
              <w:t>1.1</w:t>
            </w:r>
          </w:p>
        </w:tc>
        <w:tc>
          <w:tcPr>
            <w:tcW w:w="2284" w:type="dxa"/>
            <w:shd w:val="clear" w:color="auto" w:fill="auto"/>
            <w:noWrap/>
            <w:hideMark/>
          </w:tcPr>
          <w:p w:rsidR="00123C57" w:rsidRPr="00080AC5" w:rsidRDefault="00123C57" w:rsidP="007F2707">
            <w:pPr>
              <w:rPr>
                <w:sz w:val="20"/>
              </w:rPr>
            </w:pPr>
            <w:r w:rsidRPr="00080AC5">
              <w:rPr>
                <w:sz w:val="20"/>
              </w:rPr>
              <w:t>4.4425775</w:t>
            </w:r>
          </w:p>
        </w:tc>
        <w:tc>
          <w:tcPr>
            <w:tcW w:w="1471" w:type="dxa"/>
            <w:shd w:val="clear" w:color="auto" w:fill="auto"/>
            <w:noWrap/>
            <w:hideMark/>
          </w:tcPr>
          <w:p w:rsidR="00123C57" w:rsidRPr="00080AC5" w:rsidRDefault="00123C57" w:rsidP="007F2707">
            <w:pPr>
              <w:rPr>
                <w:sz w:val="20"/>
              </w:rPr>
            </w:pPr>
            <w:r w:rsidRPr="00080AC5">
              <w:rPr>
                <w:sz w:val="20"/>
              </w:rPr>
              <w:t>5</w:t>
            </w:r>
          </w:p>
        </w:tc>
        <w:tc>
          <w:tcPr>
            <w:tcW w:w="1638" w:type="dxa"/>
            <w:shd w:val="clear" w:color="auto" w:fill="auto"/>
            <w:noWrap/>
            <w:hideMark/>
          </w:tcPr>
          <w:p w:rsidR="00123C57" w:rsidRPr="00080AC5" w:rsidRDefault="00123C57" w:rsidP="007F2707">
            <w:pPr>
              <w:rPr>
                <w:sz w:val="20"/>
              </w:rPr>
            </w:pPr>
            <w:r w:rsidRPr="00080AC5">
              <w:rPr>
                <w:sz w:val="20"/>
              </w:rPr>
              <w:t>44%</w:t>
            </w:r>
          </w:p>
        </w:tc>
      </w:tr>
      <w:tr w:rsidR="00123C57" w:rsidRPr="00080AC5" w:rsidTr="007F2707">
        <w:trPr>
          <w:trHeight w:val="345"/>
          <w:jc w:val="center"/>
        </w:trPr>
        <w:tc>
          <w:tcPr>
            <w:tcW w:w="1955" w:type="dxa"/>
            <w:shd w:val="clear" w:color="auto" w:fill="auto"/>
            <w:noWrap/>
            <w:hideMark/>
          </w:tcPr>
          <w:p w:rsidR="00123C57" w:rsidRPr="00080AC5" w:rsidRDefault="00123C57" w:rsidP="007F2707">
            <w:pPr>
              <w:rPr>
                <w:sz w:val="20"/>
              </w:rPr>
            </w:pPr>
            <w:r w:rsidRPr="00080AC5">
              <w:rPr>
                <w:sz w:val="20"/>
              </w:rPr>
              <w:t>Prefiltración</w:t>
            </w:r>
          </w:p>
        </w:tc>
        <w:tc>
          <w:tcPr>
            <w:tcW w:w="1471" w:type="dxa"/>
            <w:shd w:val="clear" w:color="auto" w:fill="auto"/>
            <w:noWrap/>
            <w:hideMark/>
          </w:tcPr>
          <w:p w:rsidR="00123C57" w:rsidRPr="00080AC5" w:rsidRDefault="00123C57" w:rsidP="007F2707">
            <w:pPr>
              <w:rPr>
                <w:sz w:val="20"/>
              </w:rPr>
            </w:pPr>
            <w:r w:rsidRPr="00080AC5">
              <w:rPr>
                <w:sz w:val="20"/>
              </w:rPr>
              <w:t>1.3</w:t>
            </w:r>
          </w:p>
        </w:tc>
        <w:tc>
          <w:tcPr>
            <w:tcW w:w="2284" w:type="dxa"/>
            <w:shd w:val="clear" w:color="auto" w:fill="auto"/>
            <w:noWrap/>
            <w:hideMark/>
          </w:tcPr>
          <w:p w:rsidR="00123C57" w:rsidRPr="00080AC5" w:rsidRDefault="00123C57" w:rsidP="007F2707">
            <w:pPr>
              <w:rPr>
                <w:sz w:val="20"/>
              </w:rPr>
            </w:pPr>
            <w:r w:rsidRPr="00080AC5">
              <w:rPr>
                <w:sz w:val="20"/>
              </w:rPr>
              <w:t>4.7170808</w:t>
            </w:r>
          </w:p>
        </w:tc>
        <w:tc>
          <w:tcPr>
            <w:tcW w:w="1471" w:type="dxa"/>
            <w:shd w:val="clear" w:color="auto" w:fill="auto"/>
            <w:noWrap/>
            <w:hideMark/>
          </w:tcPr>
          <w:p w:rsidR="00123C57" w:rsidRPr="00080AC5" w:rsidRDefault="00123C57" w:rsidP="007F2707">
            <w:pPr>
              <w:rPr>
                <w:sz w:val="20"/>
              </w:rPr>
            </w:pPr>
            <w:r w:rsidRPr="00080AC5">
              <w:rPr>
                <w:sz w:val="20"/>
              </w:rPr>
              <w:t>5</w:t>
            </w:r>
          </w:p>
        </w:tc>
        <w:tc>
          <w:tcPr>
            <w:tcW w:w="1638" w:type="dxa"/>
            <w:shd w:val="clear" w:color="auto" w:fill="auto"/>
            <w:noWrap/>
            <w:hideMark/>
          </w:tcPr>
          <w:p w:rsidR="00123C57" w:rsidRPr="00080AC5" w:rsidRDefault="00123C57" w:rsidP="007F2707">
            <w:pPr>
              <w:rPr>
                <w:sz w:val="20"/>
              </w:rPr>
            </w:pPr>
            <w:r w:rsidRPr="00080AC5">
              <w:rPr>
                <w:sz w:val="20"/>
              </w:rPr>
              <w:t>47%</w:t>
            </w:r>
          </w:p>
        </w:tc>
      </w:tr>
      <w:tr w:rsidR="00123C57" w:rsidRPr="00080AC5" w:rsidTr="007F2707">
        <w:trPr>
          <w:trHeight w:val="345"/>
          <w:jc w:val="center"/>
        </w:trPr>
        <w:tc>
          <w:tcPr>
            <w:tcW w:w="1955" w:type="dxa"/>
            <w:shd w:val="clear" w:color="auto" w:fill="auto"/>
            <w:noWrap/>
          </w:tcPr>
          <w:p w:rsidR="00123C57" w:rsidRPr="00080AC5" w:rsidRDefault="00123C57" w:rsidP="007F2707">
            <w:pPr>
              <w:rPr>
                <w:sz w:val="20"/>
              </w:rPr>
            </w:pPr>
            <w:r w:rsidRPr="00080AC5">
              <w:rPr>
                <w:sz w:val="20"/>
              </w:rPr>
              <w:t>Influente</w:t>
            </w:r>
          </w:p>
        </w:tc>
        <w:tc>
          <w:tcPr>
            <w:tcW w:w="1471" w:type="dxa"/>
            <w:shd w:val="clear" w:color="auto" w:fill="auto"/>
            <w:noWrap/>
          </w:tcPr>
          <w:p w:rsidR="00123C57" w:rsidRPr="00080AC5" w:rsidRDefault="00123C57" w:rsidP="007F2707">
            <w:pPr>
              <w:rPr>
                <w:sz w:val="20"/>
              </w:rPr>
            </w:pPr>
            <w:r w:rsidRPr="00080AC5">
              <w:rPr>
                <w:sz w:val="20"/>
              </w:rPr>
              <w:t>1</w:t>
            </w:r>
          </w:p>
        </w:tc>
        <w:tc>
          <w:tcPr>
            <w:tcW w:w="2284" w:type="dxa"/>
            <w:shd w:val="clear" w:color="auto" w:fill="auto"/>
            <w:noWrap/>
          </w:tcPr>
          <w:p w:rsidR="00123C57" w:rsidRPr="00080AC5" w:rsidRDefault="00123C57" w:rsidP="007F2707">
            <w:pPr>
              <w:rPr>
                <w:sz w:val="20"/>
              </w:rPr>
            </w:pPr>
            <w:r w:rsidRPr="00080AC5">
              <w:rPr>
                <w:sz w:val="20"/>
              </w:rPr>
              <w:t>4.3677734</w:t>
            </w:r>
          </w:p>
        </w:tc>
        <w:tc>
          <w:tcPr>
            <w:tcW w:w="1471" w:type="dxa"/>
            <w:shd w:val="clear" w:color="auto" w:fill="auto"/>
            <w:noWrap/>
          </w:tcPr>
          <w:p w:rsidR="00123C57" w:rsidRPr="00080AC5" w:rsidRDefault="00123C57" w:rsidP="007F2707">
            <w:pPr>
              <w:rPr>
                <w:sz w:val="20"/>
              </w:rPr>
            </w:pPr>
            <w:r w:rsidRPr="00080AC5">
              <w:rPr>
                <w:sz w:val="20"/>
              </w:rPr>
              <w:t>5</w:t>
            </w:r>
          </w:p>
        </w:tc>
        <w:tc>
          <w:tcPr>
            <w:tcW w:w="1638" w:type="dxa"/>
            <w:shd w:val="clear" w:color="auto" w:fill="auto"/>
            <w:noWrap/>
          </w:tcPr>
          <w:p w:rsidR="00123C57" w:rsidRPr="00080AC5" w:rsidRDefault="00123C57" w:rsidP="007F2707">
            <w:pPr>
              <w:rPr>
                <w:sz w:val="20"/>
              </w:rPr>
            </w:pPr>
            <w:r w:rsidRPr="00080AC5">
              <w:rPr>
                <w:sz w:val="20"/>
              </w:rPr>
              <w:t>44%</w:t>
            </w:r>
          </w:p>
        </w:tc>
      </w:tr>
      <w:tr w:rsidR="00123C57" w:rsidRPr="00080AC5" w:rsidTr="007F2707">
        <w:trPr>
          <w:trHeight w:val="345"/>
          <w:jc w:val="center"/>
        </w:trPr>
        <w:tc>
          <w:tcPr>
            <w:tcW w:w="8819" w:type="dxa"/>
            <w:gridSpan w:val="5"/>
            <w:shd w:val="clear" w:color="auto" w:fill="auto"/>
            <w:noWrap/>
          </w:tcPr>
          <w:p w:rsidR="00123C57" w:rsidRPr="00080AC5" w:rsidRDefault="00123C57" w:rsidP="007F2707">
            <w:pPr>
              <w:rPr>
                <w:sz w:val="20"/>
              </w:rPr>
            </w:pPr>
            <w:r w:rsidRPr="00080AC5">
              <w:rPr>
                <w:sz w:val="20"/>
              </w:rPr>
              <w:t>Unidad concentradora de la ósmosis inversa</w:t>
            </w:r>
          </w:p>
        </w:tc>
      </w:tr>
      <w:tr w:rsidR="00123C57" w:rsidRPr="00080AC5" w:rsidTr="007F2707">
        <w:trPr>
          <w:trHeight w:val="345"/>
          <w:jc w:val="center"/>
        </w:trPr>
        <w:tc>
          <w:tcPr>
            <w:tcW w:w="1955" w:type="dxa"/>
            <w:shd w:val="clear" w:color="auto" w:fill="auto"/>
            <w:noWrap/>
          </w:tcPr>
          <w:p w:rsidR="00123C57" w:rsidRPr="00080AC5" w:rsidRDefault="00123C57" w:rsidP="007F2707">
            <w:pPr>
              <w:rPr>
                <w:sz w:val="20"/>
              </w:rPr>
            </w:pPr>
            <w:r w:rsidRPr="00080AC5">
              <w:rPr>
                <w:sz w:val="20"/>
              </w:rPr>
              <w:t>Rechazo</w:t>
            </w:r>
          </w:p>
        </w:tc>
        <w:tc>
          <w:tcPr>
            <w:tcW w:w="1471" w:type="dxa"/>
            <w:shd w:val="clear" w:color="auto" w:fill="auto"/>
            <w:noWrap/>
          </w:tcPr>
          <w:p w:rsidR="00123C57" w:rsidRPr="00080AC5" w:rsidRDefault="00123C57" w:rsidP="007F2707">
            <w:pPr>
              <w:rPr>
                <w:sz w:val="20"/>
              </w:rPr>
            </w:pPr>
            <w:r w:rsidRPr="00080AC5">
              <w:rPr>
                <w:sz w:val="20"/>
              </w:rPr>
              <w:t>0.9</w:t>
            </w:r>
          </w:p>
        </w:tc>
        <w:tc>
          <w:tcPr>
            <w:tcW w:w="2284" w:type="dxa"/>
            <w:shd w:val="clear" w:color="auto" w:fill="auto"/>
            <w:noWrap/>
          </w:tcPr>
          <w:p w:rsidR="00123C57" w:rsidRPr="00080AC5" w:rsidRDefault="00123C57" w:rsidP="007F2707">
            <w:pPr>
              <w:rPr>
                <w:sz w:val="20"/>
              </w:rPr>
            </w:pPr>
            <w:r w:rsidRPr="00080AC5">
              <w:rPr>
                <w:sz w:val="20"/>
              </w:rPr>
              <w:t>4.1435429</w:t>
            </w:r>
          </w:p>
        </w:tc>
        <w:tc>
          <w:tcPr>
            <w:tcW w:w="1471" w:type="dxa"/>
            <w:shd w:val="clear" w:color="auto" w:fill="auto"/>
            <w:noWrap/>
          </w:tcPr>
          <w:p w:rsidR="00123C57" w:rsidRPr="00080AC5" w:rsidRDefault="00123C57" w:rsidP="007F2707">
            <w:pPr>
              <w:rPr>
                <w:sz w:val="20"/>
              </w:rPr>
            </w:pPr>
            <w:r w:rsidRPr="00080AC5">
              <w:rPr>
                <w:sz w:val="20"/>
              </w:rPr>
              <w:t>5</w:t>
            </w:r>
          </w:p>
        </w:tc>
        <w:tc>
          <w:tcPr>
            <w:tcW w:w="1638" w:type="dxa"/>
            <w:shd w:val="clear" w:color="auto" w:fill="auto"/>
            <w:noWrap/>
          </w:tcPr>
          <w:p w:rsidR="00123C57" w:rsidRPr="00080AC5" w:rsidRDefault="00123C57" w:rsidP="007F2707">
            <w:pPr>
              <w:rPr>
                <w:sz w:val="20"/>
              </w:rPr>
            </w:pPr>
            <w:r w:rsidRPr="00080AC5">
              <w:rPr>
                <w:sz w:val="20"/>
              </w:rPr>
              <w:t>41%</w:t>
            </w:r>
          </w:p>
        </w:tc>
      </w:tr>
    </w:tbl>
    <w:p w:rsidR="00123C57" w:rsidRDefault="00123C57" w:rsidP="00123C57">
      <w:pPr>
        <w:pStyle w:val="Textoindependiente"/>
        <w:rPr>
          <w:lang w:val="es-MX"/>
        </w:rPr>
      </w:pPr>
      <w:r w:rsidRPr="00F27F9C">
        <w:rPr>
          <w:lang w:val="es-MX"/>
        </w:rPr>
        <w:fldChar w:fldCharType="end"/>
      </w:r>
    </w:p>
    <w:p w:rsidR="00123C57" w:rsidRDefault="00123C57" w:rsidP="00123C57">
      <w:pPr>
        <w:jc w:val="center"/>
        <w:rPr>
          <w:rFonts w:ascii="Arial" w:hAnsi="Arial" w:cs="Arial"/>
        </w:rPr>
      </w:pPr>
      <w:r>
        <w:rPr>
          <w:rFonts w:ascii="Arial" w:hAnsi="Arial" w:cs="Arial"/>
          <w:noProof/>
          <w:lang w:val="en-US"/>
        </w:rPr>
        <w:drawing>
          <wp:inline distT="0" distB="0" distL="0" distR="0" wp14:anchorId="2AE5541B" wp14:editId="3AD86AC6">
            <wp:extent cx="3958590" cy="2033270"/>
            <wp:effectExtent l="0" t="0" r="3810" b="5080"/>
            <wp:docPr id="269469671" name="Imagen 26946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3958590" cy="2033270"/>
                    </a:xfrm>
                    <a:prstGeom prst="rect">
                      <a:avLst/>
                    </a:prstGeom>
                    <a:noFill/>
                  </pic:spPr>
                </pic:pic>
              </a:graphicData>
            </a:graphic>
          </wp:inline>
        </w:drawing>
      </w:r>
    </w:p>
    <w:p w:rsidR="00123C57" w:rsidRPr="00617DA3" w:rsidRDefault="00123C57" w:rsidP="00123C57">
      <w:pPr>
        <w:jc w:val="center"/>
        <w:rPr>
          <w:i/>
          <w:iCs/>
          <w:sz w:val="20"/>
          <w:szCs w:val="20"/>
        </w:rPr>
      </w:pPr>
      <w:r>
        <w:rPr>
          <w:i/>
          <w:iCs/>
          <w:sz w:val="20"/>
          <w:szCs w:val="20"/>
        </w:rPr>
        <w:t xml:space="preserve">Figura 2. </w:t>
      </w:r>
      <w:r w:rsidRPr="00233D31">
        <w:rPr>
          <w:i/>
          <w:iCs/>
          <w:sz w:val="20"/>
          <w:szCs w:val="20"/>
        </w:rPr>
        <w:t>Mé</w:t>
      </w:r>
      <w:r>
        <w:rPr>
          <w:i/>
          <w:iCs/>
          <w:sz w:val="20"/>
          <w:szCs w:val="20"/>
        </w:rPr>
        <w:t>todo Pro</w:t>
      </w:r>
      <w:r w:rsidRPr="00233D31">
        <w:rPr>
          <w:i/>
          <w:iCs/>
          <w:sz w:val="20"/>
          <w:szCs w:val="20"/>
        </w:rPr>
        <w:t>bit para determinar DL</w:t>
      </w:r>
      <w:r w:rsidRPr="00233D31">
        <w:rPr>
          <w:i/>
          <w:iCs/>
          <w:sz w:val="20"/>
          <w:szCs w:val="20"/>
          <w:vertAlign w:val="subscript"/>
        </w:rPr>
        <w:t>50</w:t>
      </w:r>
      <w:r w:rsidRPr="00233D31">
        <w:rPr>
          <w:i/>
          <w:iCs/>
          <w:sz w:val="20"/>
          <w:szCs w:val="20"/>
        </w:rPr>
        <w:t xml:space="preserve">. ninguna Unidad de Proceso decrece al 50 % del total </w:t>
      </w:r>
      <w:r>
        <w:rPr>
          <w:i/>
          <w:iCs/>
          <w:sz w:val="20"/>
          <w:szCs w:val="20"/>
        </w:rPr>
        <w:t>de embriones.</w:t>
      </w:r>
    </w:p>
    <w:p w:rsidR="00123C57" w:rsidRPr="0001591E" w:rsidRDefault="00123C57" w:rsidP="00123C57">
      <w:pPr>
        <w:jc w:val="both"/>
        <w:rPr>
          <w:rFonts w:ascii="Arial" w:hAnsi="Arial" w:cs="Arial"/>
        </w:rPr>
      </w:pPr>
      <w:r w:rsidRPr="0001591E">
        <w:rPr>
          <w:rFonts w:ascii="Arial" w:hAnsi="Arial" w:cs="Arial"/>
        </w:rPr>
        <w:t xml:space="preserve">Los ensayos </w:t>
      </w:r>
      <w:r>
        <w:rPr>
          <w:rFonts w:ascii="Arial" w:hAnsi="Arial" w:cs="Arial"/>
        </w:rPr>
        <w:t xml:space="preserve">de BPA, CBZ, NPH, TCS y Mezcla I </w:t>
      </w:r>
      <w:r w:rsidRPr="0001591E">
        <w:rPr>
          <w:rFonts w:ascii="Arial" w:hAnsi="Arial" w:cs="Arial"/>
        </w:rPr>
        <w:t>a una concentración de 1000 ng/L</w:t>
      </w:r>
      <w:r>
        <w:rPr>
          <w:rFonts w:ascii="Arial" w:hAnsi="Arial" w:cs="Arial"/>
        </w:rPr>
        <w:t xml:space="preserve"> </w:t>
      </w:r>
      <w:r w:rsidRPr="0001591E">
        <w:rPr>
          <w:rFonts w:ascii="Arial" w:hAnsi="Arial" w:cs="Arial"/>
        </w:rPr>
        <w:t xml:space="preserve">presentaron una toxicidad </w:t>
      </w:r>
      <w:r>
        <w:rPr>
          <w:rFonts w:ascii="Arial" w:hAnsi="Arial" w:cs="Arial"/>
        </w:rPr>
        <w:t xml:space="preserve">entre 25-30% </w:t>
      </w:r>
      <w:r w:rsidRPr="0001591E">
        <w:rPr>
          <w:rFonts w:ascii="Arial" w:hAnsi="Arial" w:cs="Arial"/>
        </w:rPr>
        <w:t>a las 24 y 48 hpf, aunque si presentaron un retraso en el desarrollo embrionario</w:t>
      </w:r>
      <w:r>
        <w:rPr>
          <w:rFonts w:ascii="Arial" w:hAnsi="Arial" w:cs="Arial"/>
        </w:rPr>
        <w:t>, ya que a</w:t>
      </w:r>
      <w:r w:rsidRPr="00D622FA">
        <w:rPr>
          <w:rFonts w:ascii="Arial" w:hAnsi="Arial" w:cs="Arial"/>
        </w:rPr>
        <w:t xml:space="preserve"> las 24hpf se debe distinguir la segmentación de las tres áreas: cabeza, torso y cauda</w:t>
      </w:r>
      <w:r>
        <w:rPr>
          <w:rFonts w:ascii="Arial" w:hAnsi="Arial" w:cs="Arial"/>
        </w:rPr>
        <w:t xml:space="preserve">, sin embargo, se registraron individuos desde las 4 somitas a las 25 somitas que indican un retraso </w:t>
      </w:r>
      <w:r w:rsidRPr="0001591E">
        <w:rPr>
          <w:rFonts w:ascii="Arial" w:hAnsi="Arial" w:cs="Arial"/>
        </w:rPr>
        <w:t xml:space="preserve">claramente visible en los pozos evaluados con </w:t>
      </w:r>
      <w:r>
        <w:rPr>
          <w:rFonts w:ascii="Arial" w:hAnsi="Arial" w:cs="Arial"/>
        </w:rPr>
        <w:t>TCS y la Mezcla I. A</w:t>
      </w:r>
      <w:r w:rsidRPr="0001591E">
        <w:rPr>
          <w:rFonts w:ascii="Arial" w:hAnsi="Arial" w:cs="Arial"/>
        </w:rPr>
        <w:t xml:space="preserve"> las 72 hpf, los valores mostraron poca supervivencia en embriones expuestos en esos mismos pozos (TCS y la mezcla con un 52 y 68% de mortalida</w:t>
      </w:r>
      <w:r>
        <w:rPr>
          <w:rFonts w:ascii="Arial" w:hAnsi="Arial" w:cs="Arial"/>
        </w:rPr>
        <w:t>d, respectivamente) (Figura 3</w:t>
      </w:r>
      <w:r w:rsidRPr="0001591E">
        <w:rPr>
          <w:rFonts w:ascii="Arial" w:hAnsi="Arial" w:cs="Arial"/>
        </w:rPr>
        <w:t>).</w:t>
      </w:r>
    </w:p>
    <w:p w:rsidR="00123C57" w:rsidRPr="00E0678C" w:rsidRDefault="00123C57" w:rsidP="00123C57">
      <w:pPr>
        <w:jc w:val="center"/>
      </w:pPr>
      <w:r>
        <w:rPr>
          <w:noProof/>
          <w:lang w:val="en-US"/>
        </w:rPr>
        <w:drawing>
          <wp:inline distT="0" distB="0" distL="0" distR="0" wp14:anchorId="1B84F50A" wp14:editId="56B94292">
            <wp:extent cx="3990975" cy="1905000"/>
            <wp:effectExtent l="0" t="0" r="9525" b="0"/>
            <wp:docPr id="269469669" name="Imagen 269469669" descr="DL50M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DL50MIL"/>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3990975" cy="1905000"/>
                    </a:xfrm>
                    <a:prstGeom prst="rect">
                      <a:avLst/>
                    </a:prstGeom>
                    <a:noFill/>
                    <a:ln>
                      <a:noFill/>
                    </a:ln>
                  </pic:spPr>
                </pic:pic>
              </a:graphicData>
            </a:graphic>
          </wp:inline>
        </w:drawing>
      </w:r>
    </w:p>
    <w:p w:rsidR="00123C57" w:rsidRDefault="00123C57" w:rsidP="00123C57">
      <w:pPr>
        <w:keepNext/>
        <w:jc w:val="center"/>
      </w:pPr>
    </w:p>
    <w:p w:rsidR="00123C57" w:rsidRPr="002C1CB5" w:rsidRDefault="00123C57" w:rsidP="00123C57">
      <w:pPr>
        <w:pStyle w:val="Descripcin"/>
        <w:jc w:val="center"/>
        <w:rPr>
          <w:sz w:val="20"/>
          <w:szCs w:val="22"/>
        </w:rPr>
      </w:pPr>
      <w:bookmarkStart w:id="203" w:name="_Toc39232787"/>
      <w:r>
        <w:rPr>
          <w:sz w:val="20"/>
          <w:szCs w:val="22"/>
        </w:rPr>
        <w:t>Figura 3</w:t>
      </w:r>
      <w:r w:rsidRPr="00794516">
        <w:rPr>
          <w:sz w:val="20"/>
          <w:szCs w:val="22"/>
        </w:rPr>
        <w:t xml:space="preserve">. </w:t>
      </w:r>
      <w:r w:rsidRPr="00794516">
        <w:rPr>
          <w:iCs/>
          <w:sz w:val="20"/>
          <w:szCs w:val="22"/>
        </w:rPr>
        <w:t xml:space="preserve"> Método Probit para determinar DL</w:t>
      </w:r>
      <w:r w:rsidRPr="00794516">
        <w:rPr>
          <w:iCs/>
          <w:sz w:val="20"/>
          <w:szCs w:val="22"/>
          <w:vertAlign w:val="subscript"/>
        </w:rPr>
        <w:t>50</w:t>
      </w:r>
      <w:r w:rsidRPr="00794516">
        <w:rPr>
          <w:iCs/>
          <w:sz w:val="20"/>
          <w:szCs w:val="22"/>
        </w:rPr>
        <w:t>. a una concentración de 1000 ng/</w:t>
      </w:r>
      <w:bookmarkEnd w:id="203"/>
      <w:r>
        <w:rPr>
          <w:iCs/>
          <w:sz w:val="20"/>
          <w:szCs w:val="22"/>
        </w:rPr>
        <w:t>L para bisfenol A (BPA), carbamazepina (CBZ), nonilfenol ( NPH) y triclosán (TCS); 4000 ng/L para la Mezcla I.</w:t>
      </w:r>
    </w:p>
    <w:p w:rsidR="00123C57" w:rsidRPr="00916EA5" w:rsidRDefault="00123C57" w:rsidP="00123C57">
      <w:pPr>
        <w:jc w:val="both"/>
        <w:rPr>
          <w:rFonts w:ascii="Arial" w:hAnsi="Arial" w:cs="Arial"/>
          <w:lang w:val="es-ES_tradnl"/>
        </w:rPr>
      </w:pPr>
      <w:r w:rsidRPr="0001591E">
        <w:rPr>
          <w:rFonts w:ascii="Arial" w:hAnsi="Arial" w:cs="Arial"/>
        </w:rPr>
        <w:t>La determinación de la DL50 a una concentración de 2000 ng/L mostró una toxicidad del 100 % para TCS y la Mezcla a las 48 hpf; y del 52 y 54% para NPH y BPA a las 72 hpf con retrasos en el desarrollo embrionario en los individuos sob</w:t>
      </w:r>
      <w:r>
        <w:rPr>
          <w:rFonts w:ascii="Arial" w:hAnsi="Arial" w:cs="Arial"/>
        </w:rPr>
        <w:t>revivientes para NPH (Figura 4</w:t>
      </w:r>
      <w:r w:rsidRPr="0001591E">
        <w:rPr>
          <w:rFonts w:ascii="Arial" w:hAnsi="Arial" w:cs="Arial"/>
        </w:rPr>
        <w:t>). Por su parte, la DL50</w:t>
      </w:r>
      <w:r>
        <w:rPr>
          <w:rFonts w:ascii="Arial" w:hAnsi="Arial" w:cs="Arial"/>
        </w:rPr>
        <w:t xml:space="preserve"> a las 48 hpf para CBZ</w:t>
      </w:r>
      <w:r w:rsidRPr="0001591E">
        <w:rPr>
          <w:rFonts w:ascii="Arial" w:hAnsi="Arial" w:cs="Arial"/>
        </w:rPr>
        <w:t xml:space="preserve"> obtuvo un porcentaje de mortalidad del 3% pese a la elevada concentración de 90000 ng/L, a las 72 hpf el porcentaje de sobreviv</w:t>
      </w:r>
      <w:r>
        <w:rPr>
          <w:rFonts w:ascii="Arial" w:hAnsi="Arial" w:cs="Arial"/>
        </w:rPr>
        <w:t xml:space="preserve">encia final fue del 47%, y de 54% para NPH (Tabla </w:t>
      </w:r>
      <w:r w:rsidRPr="0001591E">
        <w:rPr>
          <w:rFonts w:ascii="Arial" w:hAnsi="Arial" w:cs="Arial"/>
        </w:rPr>
        <w:t>4).</w:t>
      </w:r>
      <w:r>
        <w:rPr>
          <w:rFonts w:ascii="Arial" w:hAnsi="Arial" w:cs="Arial"/>
        </w:rPr>
        <w:t xml:space="preserve"> Lo anterior indica que</w:t>
      </w:r>
      <w:r>
        <w:rPr>
          <w:rFonts w:ascii="Arial" w:hAnsi="Arial" w:cs="Arial"/>
          <w:lang w:val="es-MX"/>
        </w:rPr>
        <w:t xml:space="preserve"> </w:t>
      </w:r>
      <w:r w:rsidRPr="00916EA5">
        <w:rPr>
          <w:rFonts w:ascii="Arial" w:hAnsi="Arial" w:cs="Arial"/>
          <w:lang w:val="es-ES_tradnl"/>
        </w:rPr>
        <w:t xml:space="preserve">los </w:t>
      </w:r>
      <w:r>
        <w:rPr>
          <w:rFonts w:ascii="Arial" w:hAnsi="Arial" w:cs="Arial"/>
          <w:lang w:val="es-ES_tradnl"/>
        </w:rPr>
        <w:t>bio</w:t>
      </w:r>
      <w:r w:rsidRPr="00916EA5">
        <w:rPr>
          <w:rFonts w:ascii="Arial" w:hAnsi="Arial" w:cs="Arial"/>
          <w:lang w:val="es-ES_tradnl"/>
        </w:rPr>
        <w:t>ensayos</w:t>
      </w:r>
      <w:r>
        <w:rPr>
          <w:rFonts w:ascii="Arial" w:hAnsi="Arial" w:cs="Arial"/>
          <w:lang w:val="es-ES_tradnl"/>
        </w:rPr>
        <w:t xml:space="preserve"> 1 y 2</w:t>
      </w:r>
      <w:r w:rsidRPr="00916EA5">
        <w:rPr>
          <w:rFonts w:ascii="Arial" w:hAnsi="Arial" w:cs="Arial"/>
          <w:lang w:val="es-ES_tradnl"/>
        </w:rPr>
        <w:t xml:space="preserve"> realizados en agua sintética dopada con MCO, si presentan porcentajes de mortalidad que rebasaron el 50% al cabo de 72 hrs</w:t>
      </w:r>
      <w:r>
        <w:rPr>
          <w:rFonts w:ascii="Arial" w:hAnsi="Arial" w:cs="Arial"/>
          <w:lang w:val="es-ES_tradnl"/>
        </w:rPr>
        <w:t>, excepto para CBZ</w:t>
      </w:r>
      <w:r w:rsidRPr="00916EA5">
        <w:rPr>
          <w:rFonts w:ascii="Arial" w:hAnsi="Arial" w:cs="Arial"/>
          <w:lang w:val="es-ES_tradnl"/>
        </w:rPr>
        <w:t>.</w:t>
      </w:r>
      <w:r>
        <w:rPr>
          <w:rFonts w:ascii="Arial" w:hAnsi="Arial" w:cs="Arial"/>
          <w:lang w:val="es-ES_tradnl"/>
        </w:rPr>
        <w:t xml:space="preserve"> Al compararlo con el ensayo de toxicidad aguda de las UP, en donde no se determinó una DL50, l</w:t>
      </w:r>
      <w:r w:rsidRPr="00916EA5">
        <w:rPr>
          <w:rFonts w:ascii="Arial" w:hAnsi="Arial" w:cs="Arial"/>
          <w:lang w:val="es-ES_tradnl"/>
        </w:rPr>
        <w:t>o anterior puede ser una consecuencia de un comportamiento diferente entre la interacción de otros compuestos orgánicos e inorgánicos que están presentes en las muestras reales de la</w:t>
      </w:r>
      <w:r>
        <w:rPr>
          <w:rFonts w:ascii="Arial" w:hAnsi="Arial" w:cs="Arial"/>
          <w:lang w:val="es-ES_tradnl"/>
        </w:rPr>
        <w:t xml:space="preserve"> p</w:t>
      </w:r>
      <w:r w:rsidRPr="00916EA5">
        <w:rPr>
          <w:rFonts w:ascii="Arial" w:hAnsi="Arial" w:cs="Arial"/>
          <w:lang w:val="es-ES_tradnl"/>
        </w:rPr>
        <w:t>lanta piloto</w:t>
      </w:r>
      <w:r>
        <w:rPr>
          <w:rFonts w:ascii="Arial" w:hAnsi="Arial" w:cs="Arial"/>
          <w:lang w:val="es-ES_tradnl"/>
        </w:rPr>
        <w:t>.</w:t>
      </w:r>
      <w:r w:rsidRPr="00916EA5">
        <w:rPr>
          <w:rFonts w:ascii="Arial" w:hAnsi="Arial" w:cs="Arial"/>
          <w:lang w:val="es-ES_tradnl"/>
        </w:rPr>
        <w:t xml:space="preserve"> </w:t>
      </w:r>
    </w:p>
    <w:p w:rsidR="00123C57" w:rsidRPr="00916EA5" w:rsidRDefault="00123C57" w:rsidP="00123C57">
      <w:pPr>
        <w:jc w:val="both"/>
        <w:rPr>
          <w:rFonts w:ascii="Arial" w:hAnsi="Arial" w:cs="Arial"/>
        </w:rPr>
      </w:pPr>
    </w:p>
    <w:p w:rsidR="00123C57" w:rsidRDefault="00123C57" w:rsidP="00123C57">
      <w:pPr>
        <w:keepNext/>
      </w:pPr>
    </w:p>
    <w:p w:rsidR="00123C57" w:rsidRDefault="00123C57" w:rsidP="00123C57">
      <w:pPr>
        <w:keepNext/>
        <w:jc w:val="center"/>
      </w:pPr>
      <w:r>
        <w:rPr>
          <w:noProof/>
          <w:lang w:val="en-US"/>
        </w:rPr>
        <w:drawing>
          <wp:inline distT="0" distB="0" distL="0" distR="0" wp14:anchorId="1C3BAEE3" wp14:editId="38B0F7C2">
            <wp:extent cx="3838575" cy="1933575"/>
            <wp:effectExtent l="0" t="0" r="9525" b="9525"/>
            <wp:docPr id="269469668" name="Imagen 269469668" descr="DL50dosm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DL50dosmil"/>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3838575" cy="1933575"/>
                    </a:xfrm>
                    <a:prstGeom prst="rect">
                      <a:avLst/>
                    </a:prstGeom>
                    <a:noFill/>
                    <a:ln>
                      <a:noFill/>
                    </a:ln>
                  </pic:spPr>
                </pic:pic>
              </a:graphicData>
            </a:graphic>
          </wp:inline>
        </w:drawing>
      </w:r>
    </w:p>
    <w:p w:rsidR="00123C57" w:rsidRPr="002C1CB5" w:rsidRDefault="00123C57" w:rsidP="00123C57">
      <w:pPr>
        <w:pStyle w:val="Descripcin"/>
        <w:jc w:val="center"/>
        <w:rPr>
          <w:sz w:val="22"/>
        </w:rPr>
      </w:pPr>
      <w:bookmarkStart w:id="204" w:name="_Toc39232788"/>
      <w:r>
        <w:rPr>
          <w:sz w:val="20"/>
          <w:szCs w:val="22"/>
        </w:rPr>
        <w:t>Figura 4</w:t>
      </w:r>
      <w:r w:rsidRPr="00794516">
        <w:rPr>
          <w:sz w:val="20"/>
          <w:szCs w:val="22"/>
        </w:rPr>
        <w:t>.</w:t>
      </w:r>
      <w:r w:rsidRPr="00794516">
        <w:rPr>
          <w:sz w:val="22"/>
        </w:rPr>
        <w:t xml:space="preserve"> </w:t>
      </w:r>
      <w:r w:rsidRPr="00794516">
        <w:rPr>
          <w:iCs/>
          <w:sz w:val="20"/>
          <w:szCs w:val="22"/>
        </w:rPr>
        <w:t xml:space="preserve">Curva de mortalidad a las 72 hpf de MCO´s a una concentración de 2000 ng/L para </w:t>
      </w:r>
      <w:r>
        <w:rPr>
          <w:iCs/>
          <w:sz w:val="20"/>
          <w:szCs w:val="22"/>
        </w:rPr>
        <w:t>bisfenol A (</w:t>
      </w:r>
      <w:r w:rsidRPr="00794516">
        <w:rPr>
          <w:iCs/>
          <w:sz w:val="20"/>
          <w:szCs w:val="22"/>
        </w:rPr>
        <w:t>BPA</w:t>
      </w:r>
      <w:r>
        <w:rPr>
          <w:iCs/>
          <w:sz w:val="20"/>
          <w:szCs w:val="22"/>
        </w:rPr>
        <w:t>)</w:t>
      </w:r>
      <w:r w:rsidRPr="00794516">
        <w:rPr>
          <w:iCs/>
          <w:sz w:val="20"/>
          <w:szCs w:val="22"/>
        </w:rPr>
        <w:t xml:space="preserve">, </w:t>
      </w:r>
      <w:r>
        <w:rPr>
          <w:iCs/>
          <w:sz w:val="20"/>
          <w:szCs w:val="22"/>
        </w:rPr>
        <w:t>triclosán (</w:t>
      </w:r>
      <w:r w:rsidRPr="00794516">
        <w:rPr>
          <w:iCs/>
          <w:sz w:val="20"/>
          <w:szCs w:val="22"/>
        </w:rPr>
        <w:t>TCS</w:t>
      </w:r>
      <w:r>
        <w:rPr>
          <w:iCs/>
          <w:sz w:val="20"/>
          <w:szCs w:val="22"/>
        </w:rPr>
        <w:t>)</w:t>
      </w:r>
      <w:r w:rsidRPr="00794516">
        <w:rPr>
          <w:iCs/>
          <w:sz w:val="20"/>
          <w:szCs w:val="22"/>
        </w:rPr>
        <w:t xml:space="preserve"> y </w:t>
      </w:r>
      <w:r>
        <w:rPr>
          <w:iCs/>
          <w:sz w:val="20"/>
          <w:szCs w:val="22"/>
        </w:rPr>
        <w:t>nonilfenoles (</w:t>
      </w:r>
      <w:r w:rsidRPr="00794516">
        <w:rPr>
          <w:iCs/>
          <w:sz w:val="20"/>
          <w:szCs w:val="22"/>
        </w:rPr>
        <w:t>NPH</w:t>
      </w:r>
      <w:r>
        <w:rPr>
          <w:iCs/>
          <w:sz w:val="20"/>
          <w:szCs w:val="22"/>
        </w:rPr>
        <w:t>)</w:t>
      </w:r>
      <w:r w:rsidRPr="00794516">
        <w:rPr>
          <w:iCs/>
          <w:sz w:val="20"/>
          <w:szCs w:val="22"/>
        </w:rPr>
        <w:t xml:space="preserve">; 90000 para </w:t>
      </w:r>
      <w:r>
        <w:rPr>
          <w:iCs/>
          <w:sz w:val="20"/>
          <w:szCs w:val="22"/>
        </w:rPr>
        <w:t>carbamazepina (CBZ)</w:t>
      </w:r>
      <w:r w:rsidRPr="00794516">
        <w:rPr>
          <w:iCs/>
          <w:sz w:val="20"/>
          <w:szCs w:val="22"/>
        </w:rPr>
        <w:t>; 96 000 para la Mezcla</w:t>
      </w:r>
      <w:bookmarkEnd w:id="204"/>
      <w:r>
        <w:rPr>
          <w:iCs/>
          <w:sz w:val="20"/>
          <w:szCs w:val="22"/>
        </w:rPr>
        <w:t xml:space="preserve"> II.</w:t>
      </w:r>
    </w:p>
    <w:p w:rsidR="00123C57" w:rsidRPr="00794516" w:rsidRDefault="00123C57" w:rsidP="00123C57">
      <w:pPr>
        <w:pStyle w:val="Descripcin"/>
        <w:keepNext/>
        <w:jc w:val="center"/>
        <w:rPr>
          <w:sz w:val="20"/>
          <w:szCs w:val="22"/>
        </w:rPr>
      </w:pPr>
      <w:bookmarkStart w:id="205" w:name="_Toc39232742"/>
      <w:r w:rsidRPr="00794516">
        <w:rPr>
          <w:sz w:val="20"/>
          <w:szCs w:val="22"/>
        </w:rPr>
        <w:t>Tabla</w:t>
      </w:r>
      <w:r>
        <w:rPr>
          <w:sz w:val="20"/>
          <w:szCs w:val="22"/>
        </w:rPr>
        <w:t xml:space="preserve"> 4</w:t>
      </w:r>
      <w:r w:rsidRPr="00794516">
        <w:rPr>
          <w:sz w:val="20"/>
          <w:szCs w:val="22"/>
        </w:rPr>
        <w:t>. Porcentaje de Mortalidad de los MCO evaluados a concentraciones según bioensayo 2 a las 72 hpf determinado por el Método Probit.</w:t>
      </w:r>
      <w:bookmarkEnd w:id="205"/>
    </w:p>
    <w:tbl>
      <w:tblPr>
        <w:tblW w:w="88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6"/>
        <w:gridCol w:w="1352"/>
        <w:gridCol w:w="1735"/>
        <w:gridCol w:w="1000"/>
        <w:gridCol w:w="2370"/>
      </w:tblGrid>
      <w:tr w:rsidR="00123C57" w:rsidTr="007F2707">
        <w:trPr>
          <w:trHeight w:val="278"/>
        </w:trPr>
        <w:tc>
          <w:tcPr>
            <w:tcW w:w="8842" w:type="dxa"/>
            <w:gridSpan w:val="5"/>
            <w:shd w:val="clear" w:color="auto" w:fill="auto"/>
            <w:noWrap/>
            <w:hideMark/>
          </w:tcPr>
          <w:p w:rsidR="00123C57" w:rsidRPr="00080AC5" w:rsidRDefault="00123C57" w:rsidP="007F2707">
            <w:pPr>
              <w:jc w:val="center"/>
              <w:rPr>
                <w:rFonts w:ascii="Calibri" w:hAnsi="Calibri"/>
                <w:color w:val="000000"/>
                <w:sz w:val="22"/>
                <w:szCs w:val="22"/>
              </w:rPr>
            </w:pPr>
            <w:r w:rsidRPr="00080AC5">
              <w:rPr>
                <w:rFonts w:ascii="Calibri" w:eastAsia="Times New Roman" w:hAnsi="Calibri"/>
                <w:b/>
                <w:color w:val="000000"/>
                <w:sz w:val="22"/>
                <w:szCs w:val="22"/>
                <w:lang w:val="es-MX" w:eastAsia="es-MX"/>
              </w:rPr>
              <w:t>Bioensayo 2</w:t>
            </w:r>
          </w:p>
        </w:tc>
      </w:tr>
      <w:tr w:rsidR="00123C57" w:rsidTr="007F2707">
        <w:trPr>
          <w:trHeight w:val="292"/>
        </w:trPr>
        <w:tc>
          <w:tcPr>
            <w:tcW w:w="0" w:type="auto"/>
            <w:shd w:val="clear" w:color="auto" w:fill="auto"/>
            <w:noWrap/>
            <w:hideMark/>
          </w:tcPr>
          <w:p w:rsidR="00123C57" w:rsidRPr="00080AC5" w:rsidRDefault="00123C57" w:rsidP="007F2707">
            <w:pPr>
              <w:rPr>
                <w:rFonts w:ascii="Calibri" w:hAnsi="Calibri"/>
                <w:b/>
                <w:color w:val="000000"/>
                <w:sz w:val="22"/>
                <w:szCs w:val="22"/>
              </w:rPr>
            </w:pPr>
            <w:r w:rsidRPr="00080AC5">
              <w:rPr>
                <w:rFonts w:ascii="Calibri" w:hAnsi="Calibri"/>
                <w:b/>
                <w:color w:val="000000"/>
                <w:sz w:val="22"/>
                <w:szCs w:val="22"/>
              </w:rPr>
              <w:t>MCO</w:t>
            </w:r>
          </w:p>
        </w:tc>
        <w:tc>
          <w:tcPr>
            <w:tcW w:w="0" w:type="auto"/>
            <w:shd w:val="clear" w:color="auto" w:fill="auto"/>
            <w:noWrap/>
            <w:hideMark/>
          </w:tcPr>
          <w:p w:rsidR="00123C57" w:rsidRPr="00080AC5" w:rsidRDefault="00123C57" w:rsidP="007F2707">
            <w:pPr>
              <w:rPr>
                <w:rFonts w:ascii="Calibri" w:hAnsi="Calibri"/>
                <w:b/>
                <w:color w:val="000000"/>
                <w:sz w:val="22"/>
                <w:szCs w:val="22"/>
              </w:rPr>
            </w:pPr>
            <w:r w:rsidRPr="00080AC5">
              <w:rPr>
                <w:rFonts w:ascii="Calibri" w:hAnsi="Calibri"/>
                <w:b/>
                <w:color w:val="000000"/>
                <w:sz w:val="22"/>
                <w:szCs w:val="22"/>
              </w:rPr>
              <w:t>log(C%)</w:t>
            </w:r>
          </w:p>
        </w:tc>
        <w:tc>
          <w:tcPr>
            <w:tcW w:w="0" w:type="auto"/>
            <w:shd w:val="clear" w:color="auto" w:fill="auto"/>
            <w:noWrap/>
            <w:hideMark/>
          </w:tcPr>
          <w:p w:rsidR="00123C57" w:rsidRPr="00080AC5" w:rsidRDefault="00123C57" w:rsidP="007F2707">
            <w:pPr>
              <w:rPr>
                <w:rFonts w:ascii="Calibri" w:hAnsi="Calibri"/>
                <w:b/>
                <w:color w:val="000000"/>
                <w:sz w:val="22"/>
                <w:szCs w:val="22"/>
              </w:rPr>
            </w:pPr>
            <w:r w:rsidRPr="00080AC5">
              <w:rPr>
                <w:rFonts w:ascii="Calibri" w:hAnsi="Calibri"/>
                <w:b/>
                <w:color w:val="000000"/>
                <w:sz w:val="22"/>
                <w:szCs w:val="22"/>
              </w:rPr>
              <w:t>Probit (P)</w:t>
            </w:r>
          </w:p>
        </w:tc>
        <w:tc>
          <w:tcPr>
            <w:tcW w:w="0" w:type="auto"/>
            <w:shd w:val="clear" w:color="auto" w:fill="auto"/>
            <w:noWrap/>
            <w:hideMark/>
          </w:tcPr>
          <w:p w:rsidR="00123C57" w:rsidRPr="00080AC5" w:rsidRDefault="00123C57" w:rsidP="007F2707">
            <w:pPr>
              <w:rPr>
                <w:rFonts w:ascii="Calibri" w:hAnsi="Calibri"/>
                <w:b/>
                <w:color w:val="000000"/>
                <w:sz w:val="22"/>
                <w:szCs w:val="22"/>
              </w:rPr>
            </w:pPr>
            <w:r w:rsidRPr="00080AC5">
              <w:rPr>
                <w:rFonts w:ascii="Calibri" w:hAnsi="Calibri"/>
                <w:b/>
                <w:color w:val="000000"/>
                <w:sz w:val="22"/>
                <w:szCs w:val="22"/>
              </w:rPr>
              <w:t>DL50</w:t>
            </w:r>
          </w:p>
        </w:tc>
        <w:tc>
          <w:tcPr>
            <w:tcW w:w="0" w:type="auto"/>
            <w:shd w:val="clear" w:color="auto" w:fill="auto"/>
            <w:noWrap/>
            <w:hideMark/>
          </w:tcPr>
          <w:p w:rsidR="00123C57" w:rsidRPr="00080AC5" w:rsidRDefault="00123C57" w:rsidP="007F2707">
            <w:pPr>
              <w:rPr>
                <w:rFonts w:ascii="Calibri" w:hAnsi="Calibri"/>
                <w:b/>
                <w:color w:val="000000"/>
                <w:sz w:val="22"/>
                <w:szCs w:val="22"/>
              </w:rPr>
            </w:pPr>
            <w:r w:rsidRPr="00080AC5">
              <w:rPr>
                <w:rFonts w:ascii="Calibri" w:hAnsi="Calibri"/>
                <w:b/>
                <w:color w:val="000000"/>
                <w:sz w:val="22"/>
                <w:szCs w:val="22"/>
              </w:rPr>
              <w:t>Mortalidad</w:t>
            </w:r>
            <w:r>
              <w:rPr>
                <w:rFonts w:ascii="Calibri" w:hAnsi="Calibri"/>
                <w:b/>
                <w:color w:val="000000"/>
                <w:sz w:val="22"/>
                <w:szCs w:val="22"/>
              </w:rPr>
              <w:t xml:space="preserve"> (%)</w:t>
            </w:r>
          </w:p>
        </w:tc>
      </w:tr>
      <w:tr w:rsidR="00123C57" w:rsidTr="007F2707">
        <w:trPr>
          <w:trHeight w:val="292"/>
        </w:trPr>
        <w:tc>
          <w:tcPr>
            <w:tcW w:w="0" w:type="auto"/>
            <w:shd w:val="clear" w:color="auto" w:fill="auto"/>
            <w:noWrap/>
            <w:hideMark/>
          </w:tcPr>
          <w:p w:rsidR="00123C57" w:rsidRPr="00080AC5" w:rsidRDefault="00123C57" w:rsidP="007F2707">
            <w:pPr>
              <w:rPr>
                <w:rFonts w:ascii="Calibri" w:hAnsi="Calibri"/>
                <w:color w:val="000000"/>
                <w:sz w:val="22"/>
                <w:szCs w:val="22"/>
              </w:rPr>
            </w:pPr>
            <w:r>
              <w:rPr>
                <w:rFonts w:ascii="Calibri" w:hAnsi="Calibri"/>
                <w:color w:val="000000"/>
                <w:sz w:val="22"/>
                <w:szCs w:val="22"/>
              </w:rPr>
              <w:t>Bisfenol A</w:t>
            </w:r>
          </w:p>
        </w:tc>
        <w:tc>
          <w:tcPr>
            <w:tcW w:w="0" w:type="auto"/>
            <w:shd w:val="clear" w:color="auto" w:fill="auto"/>
            <w:noWrap/>
            <w:hideMark/>
          </w:tcPr>
          <w:p w:rsidR="00123C57" w:rsidRPr="00080AC5" w:rsidRDefault="00123C57" w:rsidP="007F2707">
            <w:pPr>
              <w:jc w:val="right"/>
              <w:rPr>
                <w:rFonts w:ascii="Calibri" w:hAnsi="Calibri"/>
                <w:color w:val="000000"/>
              </w:rPr>
            </w:pPr>
            <w:r w:rsidRPr="00080AC5">
              <w:rPr>
                <w:rFonts w:ascii="Calibri" w:hAnsi="Calibri"/>
                <w:color w:val="000000"/>
              </w:rPr>
              <w:t>0.6</w:t>
            </w:r>
          </w:p>
        </w:tc>
        <w:tc>
          <w:tcPr>
            <w:tcW w:w="0" w:type="auto"/>
            <w:shd w:val="clear" w:color="auto" w:fill="auto"/>
            <w:noWrap/>
            <w:hideMark/>
          </w:tcPr>
          <w:p w:rsidR="00123C57" w:rsidRPr="00080AC5" w:rsidRDefault="00123C57" w:rsidP="007F2707">
            <w:pPr>
              <w:jc w:val="right"/>
              <w:rPr>
                <w:rFonts w:ascii="Calibri" w:hAnsi="Calibri"/>
                <w:color w:val="000000"/>
                <w:sz w:val="22"/>
                <w:szCs w:val="22"/>
              </w:rPr>
            </w:pPr>
            <w:r w:rsidRPr="00080AC5">
              <w:rPr>
                <w:rFonts w:ascii="Calibri" w:hAnsi="Calibri"/>
                <w:color w:val="000000"/>
                <w:sz w:val="22"/>
                <w:szCs w:val="22"/>
              </w:rPr>
              <w:t>5.4307273</w:t>
            </w:r>
          </w:p>
        </w:tc>
        <w:tc>
          <w:tcPr>
            <w:tcW w:w="0" w:type="auto"/>
            <w:shd w:val="clear" w:color="auto" w:fill="auto"/>
            <w:noWrap/>
            <w:hideMark/>
          </w:tcPr>
          <w:p w:rsidR="00123C57" w:rsidRPr="00080AC5" w:rsidRDefault="00123C57" w:rsidP="007F2707">
            <w:pPr>
              <w:jc w:val="right"/>
              <w:rPr>
                <w:rFonts w:ascii="Calibri" w:hAnsi="Calibri"/>
                <w:color w:val="000000"/>
                <w:sz w:val="22"/>
                <w:szCs w:val="22"/>
              </w:rPr>
            </w:pPr>
            <w:r w:rsidRPr="00080AC5">
              <w:rPr>
                <w:rFonts w:ascii="Calibri" w:hAnsi="Calibri"/>
                <w:color w:val="000000"/>
                <w:sz w:val="22"/>
                <w:szCs w:val="22"/>
              </w:rPr>
              <w:t>5</w:t>
            </w:r>
          </w:p>
        </w:tc>
        <w:tc>
          <w:tcPr>
            <w:tcW w:w="0" w:type="auto"/>
            <w:shd w:val="clear" w:color="auto" w:fill="auto"/>
            <w:noWrap/>
            <w:hideMark/>
          </w:tcPr>
          <w:p w:rsidR="00123C57" w:rsidRPr="00080AC5" w:rsidRDefault="00123C57" w:rsidP="007F2707">
            <w:pPr>
              <w:jc w:val="right"/>
              <w:rPr>
                <w:rFonts w:ascii="Calibri" w:hAnsi="Calibri"/>
                <w:color w:val="000000"/>
                <w:sz w:val="22"/>
                <w:szCs w:val="22"/>
              </w:rPr>
            </w:pPr>
            <w:r>
              <w:rPr>
                <w:rFonts w:ascii="Calibri" w:hAnsi="Calibri"/>
                <w:color w:val="000000"/>
                <w:sz w:val="22"/>
                <w:szCs w:val="22"/>
              </w:rPr>
              <w:t>54</w:t>
            </w:r>
          </w:p>
        </w:tc>
      </w:tr>
      <w:tr w:rsidR="00123C57" w:rsidTr="007F2707">
        <w:trPr>
          <w:trHeight w:val="292"/>
        </w:trPr>
        <w:tc>
          <w:tcPr>
            <w:tcW w:w="0" w:type="auto"/>
            <w:shd w:val="clear" w:color="auto" w:fill="auto"/>
            <w:noWrap/>
            <w:hideMark/>
          </w:tcPr>
          <w:p w:rsidR="00123C57" w:rsidRPr="00080AC5" w:rsidRDefault="00123C57" w:rsidP="007F2707">
            <w:pPr>
              <w:rPr>
                <w:rFonts w:ascii="Calibri" w:hAnsi="Calibri"/>
                <w:color w:val="000000"/>
                <w:sz w:val="22"/>
                <w:szCs w:val="22"/>
              </w:rPr>
            </w:pPr>
            <w:r>
              <w:rPr>
                <w:rFonts w:ascii="Calibri" w:hAnsi="Calibri"/>
                <w:color w:val="000000"/>
                <w:sz w:val="22"/>
                <w:szCs w:val="22"/>
              </w:rPr>
              <w:t xml:space="preserve">Carbamazepina </w:t>
            </w:r>
          </w:p>
        </w:tc>
        <w:tc>
          <w:tcPr>
            <w:tcW w:w="0" w:type="auto"/>
            <w:shd w:val="clear" w:color="auto" w:fill="auto"/>
            <w:noWrap/>
            <w:hideMark/>
          </w:tcPr>
          <w:p w:rsidR="00123C57" w:rsidRPr="00080AC5" w:rsidRDefault="00123C57" w:rsidP="007F2707">
            <w:pPr>
              <w:jc w:val="right"/>
              <w:rPr>
                <w:rFonts w:ascii="Calibri" w:hAnsi="Calibri"/>
                <w:color w:val="000000"/>
              </w:rPr>
            </w:pPr>
            <w:r>
              <w:rPr>
                <w:rFonts w:ascii="Calibri" w:hAnsi="Calibri"/>
                <w:color w:val="000000"/>
              </w:rPr>
              <w:t xml:space="preserve">0.33 </w:t>
            </w:r>
          </w:p>
        </w:tc>
        <w:tc>
          <w:tcPr>
            <w:tcW w:w="0" w:type="auto"/>
            <w:shd w:val="clear" w:color="auto" w:fill="auto"/>
            <w:noWrap/>
            <w:hideMark/>
          </w:tcPr>
          <w:p w:rsidR="00123C57" w:rsidRPr="00080AC5" w:rsidRDefault="00123C57" w:rsidP="007F2707">
            <w:pPr>
              <w:jc w:val="right"/>
              <w:rPr>
                <w:rFonts w:ascii="Calibri" w:hAnsi="Calibri"/>
                <w:color w:val="000000"/>
                <w:sz w:val="22"/>
                <w:szCs w:val="22"/>
              </w:rPr>
            </w:pPr>
            <w:r>
              <w:rPr>
                <w:rFonts w:ascii="Calibri" w:hAnsi="Calibri"/>
                <w:color w:val="000000"/>
                <w:sz w:val="22"/>
                <w:szCs w:val="22"/>
              </w:rPr>
              <w:t xml:space="preserve">4.5692727 </w:t>
            </w:r>
          </w:p>
        </w:tc>
        <w:tc>
          <w:tcPr>
            <w:tcW w:w="0" w:type="auto"/>
            <w:shd w:val="clear" w:color="auto" w:fill="auto"/>
            <w:noWrap/>
            <w:hideMark/>
          </w:tcPr>
          <w:p w:rsidR="00123C57" w:rsidRPr="00080AC5" w:rsidRDefault="00123C57" w:rsidP="007F2707">
            <w:pPr>
              <w:jc w:val="right"/>
              <w:rPr>
                <w:rFonts w:ascii="Calibri" w:hAnsi="Calibri"/>
                <w:color w:val="000000"/>
                <w:sz w:val="22"/>
                <w:szCs w:val="22"/>
              </w:rPr>
            </w:pPr>
            <w:r w:rsidRPr="00080AC5">
              <w:rPr>
                <w:rFonts w:ascii="Calibri" w:hAnsi="Calibri"/>
                <w:color w:val="000000"/>
                <w:sz w:val="22"/>
                <w:szCs w:val="22"/>
              </w:rPr>
              <w:t>5</w:t>
            </w:r>
          </w:p>
        </w:tc>
        <w:tc>
          <w:tcPr>
            <w:tcW w:w="0" w:type="auto"/>
            <w:shd w:val="clear" w:color="auto" w:fill="auto"/>
            <w:noWrap/>
            <w:hideMark/>
          </w:tcPr>
          <w:p w:rsidR="00123C57" w:rsidRPr="00080AC5" w:rsidRDefault="00123C57" w:rsidP="007F2707">
            <w:pPr>
              <w:jc w:val="right"/>
              <w:rPr>
                <w:rFonts w:ascii="Calibri" w:hAnsi="Calibri"/>
                <w:color w:val="000000"/>
                <w:sz w:val="22"/>
                <w:szCs w:val="22"/>
              </w:rPr>
            </w:pPr>
            <w:r>
              <w:rPr>
                <w:rFonts w:ascii="Calibri" w:hAnsi="Calibri"/>
                <w:color w:val="000000"/>
                <w:sz w:val="22"/>
                <w:szCs w:val="22"/>
              </w:rPr>
              <w:t xml:space="preserve">46 </w:t>
            </w:r>
          </w:p>
        </w:tc>
      </w:tr>
      <w:tr w:rsidR="00123C57" w:rsidTr="007F2707">
        <w:trPr>
          <w:trHeight w:val="292"/>
        </w:trPr>
        <w:tc>
          <w:tcPr>
            <w:tcW w:w="0" w:type="auto"/>
            <w:shd w:val="clear" w:color="auto" w:fill="auto"/>
            <w:noWrap/>
            <w:hideMark/>
          </w:tcPr>
          <w:p w:rsidR="00123C57" w:rsidRPr="00080AC5" w:rsidRDefault="00123C57" w:rsidP="007F2707">
            <w:pPr>
              <w:rPr>
                <w:rFonts w:ascii="Calibri" w:hAnsi="Calibri"/>
                <w:color w:val="000000"/>
                <w:sz w:val="22"/>
                <w:szCs w:val="22"/>
              </w:rPr>
            </w:pPr>
            <w:r>
              <w:rPr>
                <w:rFonts w:ascii="Calibri" w:hAnsi="Calibri"/>
                <w:color w:val="000000"/>
                <w:sz w:val="22"/>
                <w:szCs w:val="22"/>
              </w:rPr>
              <w:lastRenderedPageBreak/>
              <w:t xml:space="preserve">Nonilfenoles </w:t>
            </w:r>
          </w:p>
        </w:tc>
        <w:tc>
          <w:tcPr>
            <w:tcW w:w="0" w:type="auto"/>
            <w:shd w:val="clear" w:color="auto" w:fill="auto"/>
            <w:noWrap/>
            <w:hideMark/>
          </w:tcPr>
          <w:p w:rsidR="00123C57" w:rsidRPr="00080AC5" w:rsidRDefault="00123C57" w:rsidP="007F2707">
            <w:pPr>
              <w:jc w:val="right"/>
              <w:rPr>
                <w:rFonts w:ascii="Calibri" w:hAnsi="Calibri"/>
                <w:color w:val="000000"/>
              </w:rPr>
            </w:pPr>
            <w:r w:rsidRPr="00080AC5">
              <w:rPr>
                <w:rFonts w:ascii="Calibri" w:hAnsi="Calibri"/>
                <w:color w:val="000000"/>
              </w:rPr>
              <w:t>0</w:t>
            </w:r>
            <w:r>
              <w:rPr>
                <w:rFonts w:ascii="Calibri" w:hAnsi="Calibri"/>
                <w:color w:val="000000"/>
              </w:rPr>
              <w:t>.56</w:t>
            </w:r>
          </w:p>
        </w:tc>
        <w:tc>
          <w:tcPr>
            <w:tcW w:w="0" w:type="auto"/>
            <w:shd w:val="clear" w:color="auto" w:fill="auto"/>
            <w:noWrap/>
            <w:hideMark/>
          </w:tcPr>
          <w:p w:rsidR="00123C57" w:rsidRPr="00080AC5" w:rsidRDefault="00123C57" w:rsidP="007F2707">
            <w:pPr>
              <w:jc w:val="right"/>
              <w:rPr>
                <w:rFonts w:ascii="Calibri" w:hAnsi="Calibri"/>
                <w:color w:val="000000"/>
                <w:sz w:val="22"/>
                <w:szCs w:val="22"/>
              </w:rPr>
            </w:pPr>
            <w:r>
              <w:rPr>
                <w:rFonts w:ascii="Calibri" w:hAnsi="Calibri"/>
                <w:color w:val="000000"/>
                <w:sz w:val="22"/>
                <w:szCs w:val="22"/>
              </w:rPr>
              <w:t>5.167894</w:t>
            </w:r>
          </w:p>
        </w:tc>
        <w:tc>
          <w:tcPr>
            <w:tcW w:w="0" w:type="auto"/>
            <w:shd w:val="clear" w:color="auto" w:fill="auto"/>
            <w:noWrap/>
            <w:hideMark/>
          </w:tcPr>
          <w:p w:rsidR="00123C57" w:rsidRPr="00080AC5" w:rsidRDefault="00123C57" w:rsidP="007F2707">
            <w:pPr>
              <w:jc w:val="right"/>
              <w:rPr>
                <w:rFonts w:ascii="Calibri" w:hAnsi="Calibri"/>
                <w:color w:val="000000"/>
                <w:sz w:val="22"/>
                <w:szCs w:val="22"/>
              </w:rPr>
            </w:pPr>
            <w:r w:rsidRPr="00080AC5">
              <w:rPr>
                <w:rFonts w:ascii="Calibri" w:hAnsi="Calibri"/>
                <w:color w:val="000000"/>
                <w:sz w:val="22"/>
                <w:szCs w:val="22"/>
              </w:rPr>
              <w:t>5</w:t>
            </w:r>
          </w:p>
        </w:tc>
        <w:tc>
          <w:tcPr>
            <w:tcW w:w="0" w:type="auto"/>
            <w:shd w:val="clear" w:color="auto" w:fill="auto"/>
            <w:noWrap/>
            <w:hideMark/>
          </w:tcPr>
          <w:p w:rsidR="00123C57" w:rsidRPr="00080AC5" w:rsidRDefault="00123C57" w:rsidP="007F2707">
            <w:pPr>
              <w:jc w:val="right"/>
              <w:rPr>
                <w:rFonts w:ascii="Calibri" w:hAnsi="Calibri"/>
                <w:color w:val="000000"/>
                <w:sz w:val="22"/>
                <w:szCs w:val="22"/>
              </w:rPr>
            </w:pPr>
            <w:r>
              <w:rPr>
                <w:rFonts w:ascii="Calibri" w:hAnsi="Calibri"/>
                <w:color w:val="000000"/>
                <w:sz w:val="22"/>
                <w:szCs w:val="22"/>
              </w:rPr>
              <w:t>52</w:t>
            </w:r>
          </w:p>
        </w:tc>
      </w:tr>
      <w:tr w:rsidR="00123C57" w:rsidTr="007F2707">
        <w:trPr>
          <w:trHeight w:val="292"/>
        </w:trPr>
        <w:tc>
          <w:tcPr>
            <w:tcW w:w="0" w:type="auto"/>
            <w:shd w:val="clear" w:color="auto" w:fill="auto"/>
            <w:noWrap/>
            <w:hideMark/>
          </w:tcPr>
          <w:p w:rsidR="00123C57" w:rsidRPr="00080AC5" w:rsidRDefault="00123C57" w:rsidP="007F2707">
            <w:pPr>
              <w:rPr>
                <w:rFonts w:ascii="Calibri" w:hAnsi="Calibri"/>
                <w:color w:val="000000"/>
                <w:sz w:val="22"/>
                <w:szCs w:val="22"/>
              </w:rPr>
            </w:pPr>
            <w:r>
              <w:rPr>
                <w:rFonts w:ascii="Calibri" w:hAnsi="Calibri"/>
                <w:color w:val="000000"/>
                <w:sz w:val="22"/>
                <w:szCs w:val="22"/>
              </w:rPr>
              <w:t>Triclosán</w:t>
            </w:r>
          </w:p>
        </w:tc>
        <w:tc>
          <w:tcPr>
            <w:tcW w:w="0" w:type="auto"/>
            <w:shd w:val="clear" w:color="auto" w:fill="auto"/>
            <w:noWrap/>
            <w:hideMark/>
          </w:tcPr>
          <w:p w:rsidR="00123C57" w:rsidRPr="00080AC5" w:rsidRDefault="00123C57" w:rsidP="007F2707">
            <w:pPr>
              <w:jc w:val="right"/>
              <w:rPr>
                <w:rFonts w:ascii="Calibri" w:hAnsi="Calibri"/>
                <w:color w:val="000000"/>
              </w:rPr>
            </w:pPr>
            <w:r>
              <w:rPr>
                <w:rFonts w:ascii="Calibri" w:hAnsi="Calibri"/>
                <w:color w:val="000000"/>
              </w:rPr>
              <w:t>0.96</w:t>
            </w:r>
          </w:p>
        </w:tc>
        <w:tc>
          <w:tcPr>
            <w:tcW w:w="0" w:type="auto"/>
            <w:shd w:val="clear" w:color="auto" w:fill="auto"/>
            <w:noWrap/>
            <w:hideMark/>
          </w:tcPr>
          <w:p w:rsidR="00123C57" w:rsidRPr="00080AC5" w:rsidRDefault="00123C57" w:rsidP="007F2707">
            <w:pPr>
              <w:jc w:val="right"/>
              <w:rPr>
                <w:rFonts w:ascii="Calibri" w:hAnsi="Calibri"/>
                <w:color w:val="000000"/>
                <w:sz w:val="22"/>
                <w:szCs w:val="22"/>
              </w:rPr>
            </w:pPr>
            <w:r>
              <w:rPr>
                <w:rFonts w:ascii="Calibri" w:hAnsi="Calibri"/>
                <w:color w:val="000000"/>
                <w:sz w:val="22"/>
                <w:szCs w:val="22"/>
              </w:rPr>
              <w:t>1.00</w:t>
            </w:r>
          </w:p>
        </w:tc>
        <w:tc>
          <w:tcPr>
            <w:tcW w:w="0" w:type="auto"/>
            <w:shd w:val="clear" w:color="auto" w:fill="auto"/>
            <w:noWrap/>
            <w:hideMark/>
          </w:tcPr>
          <w:p w:rsidR="00123C57" w:rsidRPr="00080AC5" w:rsidRDefault="00123C57" w:rsidP="007F2707">
            <w:pPr>
              <w:jc w:val="right"/>
              <w:rPr>
                <w:rFonts w:ascii="Calibri" w:hAnsi="Calibri"/>
                <w:color w:val="000000"/>
                <w:sz w:val="22"/>
                <w:szCs w:val="22"/>
              </w:rPr>
            </w:pPr>
            <w:r w:rsidRPr="00080AC5">
              <w:rPr>
                <w:rFonts w:ascii="Calibri" w:hAnsi="Calibri"/>
                <w:color w:val="000000"/>
                <w:sz w:val="22"/>
                <w:szCs w:val="22"/>
              </w:rPr>
              <w:t>5</w:t>
            </w:r>
          </w:p>
        </w:tc>
        <w:tc>
          <w:tcPr>
            <w:tcW w:w="0" w:type="auto"/>
            <w:shd w:val="clear" w:color="auto" w:fill="auto"/>
            <w:noWrap/>
            <w:hideMark/>
          </w:tcPr>
          <w:p w:rsidR="00123C57" w:rsidRPr="00080AC5" w:rsidRDefault="00123C57" w:rsidP="007F2707">
            <w:pPr>
              <w:jc w:val="right"/>
              <w:rPr>
                <w:rFonts w:ascii="Calibri" w:hAnsi="Calibri"/>
                <w:color w:val="000000"/>
                <w:sz w:val="22"/>
                <w:szCs w:val="22"/>
              </w:rPr>
            </w:pPr>
            <w:r>
              <w:rPr>
                <w:rFonts w:ascii="Calibri" w:hAnsi="Calibri"/>
                <w:color w:val="000000"/>
                <w:sz w:val="22"/>
                <w:szCs w:val="22"/>
              </w:rPr>
              <w:t>100</w:t>
            </w:r>
          </w:p>
        </w:tc>
      </w:tr>
      <w:tr w:rsidR="00123C57" w:rsidTr="007F2707">
        <w:trPr>
          <w:trHeight w:val="292"/>
        </w:trPr>
        <w:tc>
          <w:tcPr>
            <w:tcW w:w="0" w:type="auto"/>
            <w:shd w:val="clear" w:color="auto" w:fill="auto"/>
            <w:noWrap/>
            <w:hideMark/>
          </w:tcPr>
          <w:p w:rsidR="00123C57" w:rsidRPr="00080AC5" w:rsidRDefault="00123C57" w:rsidP="007F2707">
            <w:pPr>
              <w:rPr>
                <w:rFonts w:ascii="Calibri" w:hAnsi="Calibri"/>
                <w:color w:val="000000"/>
                <w:sz w:val="22"/>
                <w:szCs w:val="22"/>
              </w:rPr>
            </w:pPr>
            <w:r w:rsidRPr="00080AC5">
              <w:rPr>
                <w:rFonts w:ascii="Calibri" w:hAnsi="Calibri"/>
                <w:color w:val="000000"/>
                <w:sz w:val="22"/>
                <w:szCs w:val="22"/>
              </w:rPr>
              <w:t>MEZCLA</w:t>
            </w:r>
            <w:r>
              <w:rPr>
                <w:rFonts w:ascii="Calibri" w:hAnsi="Calibri"/>
                <w:color w:val="000000"/>
                <w:sz w:val="22"/>
                <w:szCs w:val="22"/>
              </w:rPr>
              <w:t xml:space="preserve"> II</w:t>
            </w:r>
          </w:p>
        </w:tc>
        <w:tc>
          <w:tcPr>
            <w:tcW w:w="0" w:type="auto"/>
            <w:shd w:val="clear" w:color="auto" w:fill="auto"/>
            <w:noWrap/>
            <w:hideMark/>
          </w:tcPr>
          <w:p w:rsidR="00123C57" w:rsidRPr="00080AC5" w:rsidRDefault="00123C57" w:rsidP="007F2707">
            <w:pPr>
              <w:jc w:val="right"/>
              <w:rPr>
                <w:rFonts w:ascii="Calibri" w:hAnsi="Calibri"/>
                <w:color w:val="000000"/>
              </w:rPr>
            </w:pPr>
            <w:r w:rsidRPr="00080AC5">
              <w:rPr>
                <w:rFonts w:ascii="Calibri" w:hAnsi="Calibri"/>
                <w:color w:val="000000"/>
              </w:rPr>
              <w:t>0.96</w:t>
            </w:r>
          </w:p>
        </w:tc>
        <w:tc>
          <w:tcPr>
            <w:tcW w:w="0" w:type="auto"/>
            <w:shd w:val="clear" w:color="auto" w:fill="auto"/>
            <w:noWrap/>
            <w:hideMark/>
          </w:tcPr>
          <w:p w:rsidR="00123C57" w:rsidRPr="00080AC5" w:rsidRDefault="00123C57" w:rsidP="007F2707">
            <w:pPr>
              <w:jc w:val="right"/>
              <w:rPr>
                <w:rFonts w:ascii="Calibri" w:hAnsi="Calibri"/>
                <w:color w:val="000000"/>
                <w:sz w:val="22"/>
                <w:szCs w:val="22"/>
              </w:rPr>
            </w:pPr>
            <w:r w:rsidRPr="00080AC5">
              <w:rPr>
                <w:rFonts w:ascii="Calibri" w:hAnsi="Calibri"/>
                <w:color w:val="000000"/>
                <w:sz w:val="22"/>
                <w:szCs w:val="22"/>
              </w:rPr>
              <w:t>1.00</w:t>
            </w:r>
          </w:p>
        </w:tc>
        <w:tc>
          <w:tcPr>
            <w:tcW w:w="0" w:type="auto"/>
            <w:shd w:val="clear" w:color="auto" w:fill="auto"/>
            <w:noWrap/>
            <w:hideMark/>
          </w:tcPr>
          <w:p w:rsidR="00123C57" w:rsidRPr="00080AC5" w:rsidRDefault="00123C57" w:rsidP="007F2707">
            <w:pPr>
              <w:jc w:val="right"/>
              <w:rPr>
                <w:rFonts w:ascii="Calibri" w:hAnsi="Calibri"/>
                <w:color w:val="000000"/>
                <w:sz w:val="22"/>
                <w:szCs w:val="22"/>
              </w:rPr>
            </w:pPr>
            <w:r w:rsidRPr="00080AC5">
              <w:rPr>
                <w:rFonts w:ascii="Calibri" w:hAnsi="Calibri"/>
                <w:color w:val="000000"/>
                <w:sz w:val="22"/>
                <w:szCs w:val="22"/>
              </w:rPr>
              <w:t>5</w:t>
            </w:r>
          </w:p>
        </w:tc>
        <w:tc>
          <w:tcPr>
            <w:tcW w:w="0" w:type="auto"/>
            <w:shd w:val="clear" w:color="auto" w:fill="auto"/>
            <w:noWrap/>
            <w:hideMark/>
          </w:tcPr>
          <w:p w:rsidR="00123C57" w:rsidRPr="00080AC5" w:rsidRDefault="00123C57" w:rsidP="007F2707">
            <w:pPr>
              <w:keepNext/>
              <w:jc w:val="right"/>
              <w:rPr>
                <w:rFonts w:ascii="Calibri" w:hAnsi="Calibri"/>
                <w:color w:val="000000"/>
                <w:sz w:val="22"/>
                <w:szCs w:val="22"/>
              </w:rPr>
            </w:pPr>
            <w:r>
              <w:rPr>
                <w:rFonts w:ascii="Calibri" w:hAnsi="Calibri"/>
                <w:color w:val="000000"/>
                <w:sz w:val="22"/>
                <w:szCs w:val="22"/>
              </w:rPr>
              <w:t>100</w:t>
            </w:r>
          </w:p>
        </w:tc>
      </w:tr>
    </w:tbl>
    <w:p w:rsidR="00123C57" w:rsidRPr="00F27F9C" w:rsidRDefault="00123C57" w:rsidP="00123C57">
      <w:pPr>
        <w:rPr>
          <w:lang w:val="es-MX"/>
        </w:rPr>
      </w:pPr>
    </w:p>
    <w:p w:rsidR="00123C57" w:rsidRPr="009E3307" w:rsidRDefault="00123C57" w:rsidP="00123C57">
      <w:pPr>
        <w:jc w:val="both"/>
        <w:rPr>
          <w:rFonts w:ascii="Arial" w:hAnsi="Arial" w:cs="Arial"/>
        </w:rPr>
      </w:pPr>
      <w:r w:rsidRPr="0001591E">
        <w:rPr>
          <w:rFonts w:ascii="Arial" w:hAnsi="Arial" w:cs="Arial"/>
        </w:rPr>
        <w:t xml:space="preserve">En consecuencia y con base a las condiciones en donde la exposición a los MCO </w:t>
      </w:r>
      <w:r>
        <w:rPr>
          <w:rFonts w:ascii="Arial" w:hAnsi="Arial" w:cs="Arial"/>
        </w:rPr>
        <w:t xml:space="preserve">se efectuó de manera </w:t>
      </w:r>
      <w:r w:rsidRPr="0001591E">
        <w:rPr>
          <w:rFonts w:ascii="Arial" w:hAnsi="Arial" w:cs="Arial"/>
        </w:rPr>
        <w:t>aislada con agua dopada, los resultados muestran una elevada toxic</w:t>
      </w:r>
      <w:r>
        <w:rPr>
          <w:rFonts w:ascii="Arial" w:hAnsi="Arial" w:cs="Arial"/>
        </w:rPr>
        <w:t>idad para las concentraciones del bioensayo 2 (2000 ng/L y Mezcla II) (Tabla 4), logrando un 100% de mortalidad para TCS y Mezcla II. L</w:t>
      </w:r>
      <w:r w:rsidRPr="0001591E">
        <w:rPr>
          <w:rFonts w:ascii="Arial" w:hAnsi="Arial" w:cs="Arial"/>
        </w:rPr>
        <w:t>a mortalidad</w:t>
      </w:r>
      <w:r>
        <w:rPr>
          <w:rFonts w:ascii="Arial" w:hAnsi="Arial" w:cs="Arial"/>
        </w:rPr>
        <w:t xml:space="preserve"> para el control</w:t>
      </w:r>
      <w:r w:rsidRPr="0001591E">
        <w:rPr>
          <w:rFonts w:ascii="Arial" w:hAnsi="Arial" w:cs="Arial"/>
        </w:rPr>
        <w:t xml:space="preserve"> se mantuvo entre 0-20%</w:t>
      </w:r>
      <w:r>
        <w:rPr>
          <w:rFonts w:ascii="Arial" w:hAnsi="Arial" w:cs="Arial"/>
        </w:rPr>
        <w:t>, Por otro lado, una comparación entre la mortalidad</w:t>
      </w:r>
      <w:r w:rsidRPr="0001591E">
        <w:rPr>
          <w:rFonts w:ascii="Arial" w:hAnsi="Arial" w:cs="Arial"/>
        </w:rPr>
        <w:t xml:space="preserve"> </w:t>
      </w:r>
      <w:r>
        <w:rPr>
          <w:rFonts w:ascii="Arial" w:hAnsi="Arial" w:cs="Arial"/>
        </w:rPr>
        <w:t xml:space="preserve">registrada al cabo de 72 hpf, para </w:t>
      </w:r>
      <w:r w:rsidRPr="0001591E">
        <w:rPr>
          <w:rFonts w:ascii="Arial" w:hAnsi="Arial" w:cs="Arial"/>
        </w:rPr>
        <w:t xml:space="preserve">las concentraciones </w:t>
      </w:r>
      <w:r>
        <w:rPr>
          <w:rFonts w:ascii="Arial" w:hAnsi="Arial" w:cs="Arial"/>
        </w:rPr>
        <w:t xml:space="preserve">versus el control evidencia que la mortalidad se incrementa con el aumento de concentración y el tiempo de exposición de los MCO </w:t>
      </w:r>
      <w:r w:rsidRPr="0001591E">
        <w:rPr>
          <w:rFonts w:ascii="Arial" w:hAnsi="Arial" w:cs="Arial"/>
        </w:rPr>
        <w:t>analizados</w:t>
      </w:r>
      <w:r>
        <w:rPr>
          <w:rFonts w:ascii="Arial" w:hAnsi="Arial" w:cs="Arial"/>
        </w:rPr>
        <w:t xml:space="preserve">. Estos estudios reflejan así </w:t>
      </w:r>
      <w:r w:rsidRPr="00D70F84">
        <w:rPr>
          <w:rFonts w:ascii="Arial" w:hAnsi="Arial" w:cs="Arial"/>
        </w:rPr>
        <w:t>efectos tóxicos a rangos de concentración menores a los previamente publicados</w:t>
      </w:r>
      <w:r>
        <w:rPr>
          <w:rFonts w:ascii="Arial" w:hAnsi="Arial" w:cs="Arial"/>
        </w:rPr>
        <w:t>, empleando el mismo organismo de prueba</w:t>
      </w:r>
      <w:r w:rsidRPr="00D70F84">
        <w:rPr>
          <w:rFonts w:ascii="Arial" w:hAnsi="Arial" w:cs="Arial"/>
        </w:rPr>
        <w:t xml:space="preserve"> </w:t>
      </w:r>
      <w:r>
        <w:rPr>
          <w:rFonts w:ascii="Arial" w:hAnsi="Arial" w:cs="Arial"/>
          <w:vertAlign w:val="superscript"/>
        </w:rPr>
        <w:t>[15</w:t>
      </w:r>
      <w:r w:rsidRPr="00D70F84">
        <w:rPr>
          <w:rFonts w:ascii="Arial" w:hAnsi="Arial" w:cs="Arial"/>
          <w:vertAlign w:val="superscript"/>
        </w:rPr>
        <w:t>]</w:t>
      </w:r>
      <w:r>
        <w:rPr>
          <w:rFonts w:ascii="Arial" w:hAnsi="Arial" w:cs="Arial"/>
          <w:vertAlign w:val="superscript"/>
        </w:rPr>
        <w:t xml:space="preserve"> [16]</w:t>
      </w:r>
      <w:r>
        <w:rPr>
          <w:rFonts w:ascii="Arial" w:hAnsi="Arial" w:cs="Arial"/>
        </w:rPr>
        <w:t xml:space="preserve">, los </w:t>
      </w:r>
      <w:r w:rsidRPr="00D70F84">
        <w:rPr>
          <w:rFonts w:ascii="Arial" w:hAnsi="Arial" w:cs="Arial"/>
        </w:rPr>
        <w:t>resultados confirman que las p</w:t>
      </w:r>
      <w:r>
        <w:rPr>
          <w:rFonts w:ascii="Arial" w:hAnsi="Arial" w:cs="Arial"/>
        </w:rPr>
        <w:t>ruebas de embriones de peces son equivalentes</w:t>
      </w:r>
      <w:r w:rsidRPr="0001591E">
        <w:rPr>
          <w:rFonts w:ascii="Arial" w:hAnsi="Arial" w:cs="Arial"/>
        </w:rPr>
        <w:t xml:space="preserve"> </w:t>
      </w:r>
      <w:r>
        <w:rPr>
          <w:rFonts w:ascii="Arial" w:hAnsi="Arial" w:cs="Arial"/>
        </w:rPr>
        <w:t xml:space="preserve">a </w:t>
      </w:r>
      <w:r w:rsidRPr="0001591E">
        <w:rPr>
          <w:rFonts w:ascii="Arial" w:hAnsi="Arial" w:cs="Arial"/>
        </w:rPr>
        <w:t>las pruebas de toxicidad aguda para peces adultos y brindan un fuerte respaldo científico para el FET como sustituto de l</w:t>
      </w:r>
      <w:r>
        <w:rPr>
          <w:rFonts w:ascii="Arial" w:hAnsi="Arial" w:cs="Arial"/>
        </w:rPr>
        <w:t>a prueba de toxicidad aguda con</w:t>
      </w:r>
      <w:r w:rsidRPr="0001591E">
        <w:rPr>
          <w:rFonts w:ascii="Arial" w:hAnsi="Arial" w:cs="Arial"/>
        </w:rPr>
        <w:t xml:space="preserve"> peces adultos, pero con la gran ventaja de llevarse a cabo en un menor tiempo de procesamiento</w:t>
      </w:r>
      <w:r>
        <w:rPr>
          <w:rFonts w:ascii="Arial" w:hAnsi="Arial" w:cs="Arial"/>
        </w:rPr>
        <w:t xml:space="preserve"> </w:t>
      </w:r>
      <w:r>
        <w:rPr>
          <w:rFonts w:ascii="Arial" w:hAnsi="Arial" w:cs="Arial"/>
          <w:vertAlign w:val="superscript"/>
        </w:rPr>
        <w:t>[15]</w:t>
      </w:r>
      <w:r w:rsidRPr="0001591E">
        <w:rPr>
          <w:rFonts w:ascii="Arial" w:hAnsi="Arial" w:cs="Arial"/>
        </w:rPr>
        <w:t xml:space="preserve">. </w:t>
      </w:r>
    </w:p>
    <w:p w:rsidR="00123C57" w:rsidRPr="00123C57" w:rsidRDefault="00123C57" w:rsidP="00123C57">
      <w:pPr>
        <w:pStyle w:val="Ttulo2"/>
        <w:keepLines w:val="0"/>
        <w:numPr>
          <w:ilvl w:val="1"/>
          <w:numId w:val="1"/>
        </w:numPr>
        <w:tabs>
          <w:tab w:val="clear" w:pos="576"/>
          <w:tab w:val="num" w:pos="0"/>
        </w:tabs>
        <w:suppressAutoHyphens/>
        <w:spacing w:before="0"/>
        <w:ind w:left="0" w:firstLine="0"/>
        <w:rPr>
          <w:sz w:val="24"/>
          <w:szCs w:val="24"/>
        </w:rPr>
      </w:pPr>
      <w:bookmarkStart w:id="206" w:name="_Toc50031291"/>
      <w:r w:rsidRPr="00123C57">
        <w:rPr>
          <w:sz w:val="24"/>
          <w:szCs w:val="24"/>
        </w:rPr>
        <w:t>4.3 Ensayo de Comportamiento Motil</w:t>
      </w:r>
      <w:bookmarkEnd w:id="206"/>
    </w:p>
    <w:p w:rsidR="00123C57" w:rsidRPr="009200DE" w:rsidRDefault="00123C57" w:rsidP="00123C57">
      <w:pPr>
        <w:ind w:firstLine="708"/>
        <w:jc w:val="both"/>
        <w:rPr>
          <w:rFonts w:ascii="Arial" w:hAnsi="Arial" w:cs="Arial"/>
        </w:rPr>
      </w:pPr>
      <w:r w:rsidRPr="00B64880">
        <w:rPr>
          <w:rFonts w:ascii="Arial" w:hAnsi="Arial" w:cs="Arial"/>
        </w:rPr>
        <w:t xml:space="preserve">Las contorsiones espontáneas de cabeza-cola de los embriones de </w:t>
      </w:r>
      <w:r w:rsidRPr="00A822AB">
        <w:rPr>
          <w:rFonts w:ascii="Arial" w:hAnsi="Arial" w:cs="Arial"/>
          <w:i/>
        </w:rPr>
        <w:t>D.</w:t>
      </w:r>
      <w:r>
        <w:rPr>
          <w:rFonts w:ascii="Arial" w:hAnsi="Arial" w:cs="Arial"/>
          <w:i/>
        </w:rPr>
        <w:t xml:space="preserve"> </w:t>
      </w:r>
      <w:r w:rsidRPr="00A822AB">
        <w:rPr>
          <w:rFonts w:ascii="Arial" w:hAnsi="Arial" w:cs="Arial"/>
          <w:i/>
        </w:rPr>
        <w:t>r</w:t>
      </w:r>
      <w:r>
        <w:rPr>
          <w:rFonts w:ascii="Arial" w:hAnsi="Arial" w:cs="Arial"/>
          <w:i/>
        </w:rPr>
        <w:t>e</w:t>
      </w:r>
      <w:r w:rsidRPr="00A822AB">
        <w:rPr>
          <w:rFonts w:ascii="Arial" w:hAnsi="Arial" w:cs="Arial"/>
          <w:i/>
        </w:rPr>
        <w:t>rio</w:t>
      </w:r>
      <w:r>
        <w:rPr>
          <w:rFonts w:ascii="Arial" w:hAnsi="Arial" w:cs="Arial"/>
        </w:rPr>
        <w:t xml:space="preserve"> </w:t>
      </w:r>
      <w:r w:rsidRPr="00B64880">
        <w:rPr>
          <w:rFonts w:ascii="Arial" w:hAnsi="Arial" w:cs="Arial"/>
        </w:rPr>
        <w:t>disminuyeron significativamente después de 24 h en los ensayos de las unidades de proceso en comparación con los controles, con la excepción de la p</w:t>
      </w:r>
      <w:r>
        <w:rPr>
          <w:rFonts w:ascii="Arial" w:hAnsi="Arial" w:cs="Arial"/>
        </w:rPr>
        <w:t>osfiltración y osmosis inversa que no mostraron diferencia (Figura 5)</w:t>
      </w:r>
      <w:r w:rsidRPr="00B64880">
        <w:rPr>
          <w:rFonts w:ascii="Arial" w:hAnsi="Arial" w:cs="Arial"/>
        </w:rPr>
        <w:t xml:space="preserve">. Efluente, rechazo, </w:t>
      </w:r>
      <w:r>
        <w:rPr>
          <w:rFonts w:ascii="Arial" w:hAnsi="Arial" w:cs="Arial"/>
        </w:rPr>
        <w:t xml:space="preserve">prefiltración </w:t>
      </w:r>
      <w:r w:rsidRPr="00B64880">
        <w:rPr>
          <w:rFonts w:ascii="Arial" w:hAnsi="Arial" w:cs="Arial"/>
        </w:rPr>
        <w:t xml:space="preserve">e influente causaron el menor número de </w:t>
      </w:r>
      <w:r w:rsidRPr="00D70F84">
        <w:rPr>
          <w:rFonts w:ascii="Arial" w:hAnsi="Arial" w:cs="Arial"/>
        </w:rPr>
        <w:t>contracciones</w:t>
      </w:r>
      <w:r>
        <w:rPr>
          <w:rFonts w:ascii="Arial" w:hAnsi="Arial" w:cs="Arial"/>
        </w:rPr>
        <w:t xml:space="preserve"> promedio</w:t>
      </w:r>
      <w:r w:rsidRPr="00D70F84">
        <w:rPr>
          <w:rFonts w:ascii="Arial" w:hAnsi="Arial" w:cs="Arial"/>
        </w:rPr>
        <w:t xml:space="preserve"> en los embriones (4.9,</w:t>
      </w:r>
      <w:r>
        <w:rPr>
          <w:rFonts w:ascii="Arial" w:hAnsi="Arial" w:cs="Arial"/>
        </w:rPr>
        <w:t xml:space="preserve"> 4.9, 5.7</w:t>
      </w:r>
      <w:r w:rsidRPr="00D70F84">
        <w:rPr>
          <w:rFonts w:ascii="Arial" w:hAnsi="Arial" w:cs="Arial"/>
        </w:rPr>
        <w:t xml:space="preserve"> y 6.4</w:t>
      </w:r>
      <w:r>
        <w:rPr>
          <w:rFonts w:ascii="Arial" w:hAnsi="Arial" w:cs="Arial"/>
        </w:rPr>
        <w:t>,</w:t>
      </w:r>
      <w:r w:rsidRPr="00D70F84">
        <w:rPr>
          <w:rFonts w:ascii="Arial" w:hAnsi="Arial" w:cs="Arial"/>
        </w:rPr>
        <w:t xml:space="preserve"> respectivamente)</w:t>
      </w:r>
      <w:r>
        <w:rPr>
          <w:rFonts w:ascii="Arial" w:hAnsi="Arial" w:cs="Arial"/>
        </w:rPr>
        <w:t>, mientras que los controles presentaron una media de 9.8 contracciones luego de dos minutos</w:t>
      </w:r>
      <w:r w:rsidRPr="00D70F84">
        <w:rPr>
          <w:rFonts w:ascii="Arial" w:hAnsi="Arial" w:cs="Arial"/>
        </w:rPr>
        <w:t>. Las contracciones</w:t>
      </w:r>
      <w:r>
        <w:rPr>
          <w:rFonts w:ascii="Arial" w:hAnsi="Arial" w:cs="Arial"/>
        </w:rPr>
        <w:t xml:space="preserve"> espontáneas nunca se detienen</w:t>
      </w:r>
      <w:r w:rsidRPr="00D70F84">
        <w:rPr>
          <w:rFonts w:ascii="Arial" w:hAnsi="Arial" w:cs="Arial"/>
        </w:rPr>
        <w:t xml:space="preserve"> por completo y probablemente sean la causa final de la eclosión </w:t>
      </w:r>
      <w:r w:rsidRPr="00D70F84">
        <w:rPr>
          <w:rFonts w:ascii="Arial" w:hAnsi="Arial" w:cs="Arial"/>
          <w:vertAlign w:val="superscript"/>
        </w:rPr>
        <w:t>[8] [12]</w:t>
      </w:r>
      <w:r>
        <w:rPr>
          <w:rFonts w:ascii="Arial" w:hAnsi="Arial" w:cs="Arial"/>
        </w:rPr>
        <w:t xml:space="preserve">, convirtiéndose en un comportamiento clave para el desarrollo de </w:t>
      </w:r>
      <w:r w:rsidRPr="00926AE7">
        <w:rPr>
          <w:rFonts w:ascii="Arial" w:hAnsi="Arial" w:cs="Arial"/>
          <w:i/>
        </w:rPr>
        <w:t>D. rerio</w:t>
      </w:r>
      <w:r>
        <w:rPr>
          <w:rFonts w:ascii="Arial" w:hAnsi="Arial" w:cs="Arial"/>
          <w:i/>
        </w:rPr>
        <w:t>.</w:t>
      </w:r>
    </w:p>
    <w:p w:rsidR="00123C57" w:rsidRDefault="00123C57" w:rsidP="00123C57">
      <w:pPr>
        <w:keepNext/>
        <w:jc w:val="center"/>
      </w:pPr>
      <w:r>
        <w:rPr>
          <w:noProof/>
          <w:lang w:val="en-US"/>
        </w:rPr>
        <w:lastRenderedPageBreak/>
        <w:drawing>
          <wp:inline distT="0" distB="0" distL="0" distR="0" wp14:anchorId="781D9747" wp14:editId="22417BC7">
            <wp:extent cx="4714875" cy="2114550"/>
            <wp:effectExtent l="0" t="0" r="9525" b="0"/>
            <wp:docPr id="269469667" name="Imagen 269469667" descr="contorsiones_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contorsiones_UP"/>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4714875" cy="2114550"/>
                    </a:xfrm>
                    <a:prstGeom prst="rect">
                      <a:avLst/>
                    </a:prstGeom>
                    <a:noFill/>
                    <a:ln>
                      <a:noFill/>
                    </a:ln>
                  </pic:spPr>
                </pic:pic>
              </a:graphicData>
            </a:graphic>
          </wp:inline>
        </w:drawing>
      </w:r>
    </w:p>
    <w:p w:rsidR="00123C57" w:rsidRPr="00C208FA" w:rsidRDefault="00123C57" w:rsidP="00123C57">
      <w:pPr>
        <w:pStyle w:val="Descripcin"/>
        <w:jc w:val="center"/>
        <w:rPr>
          <w:iCs/>
          <w:sz w:val="20"/>
          <w:szCs w:val="22"/>
        </w:rPr>
      </w:pPr>
      <w:bookmarkStart w:id="207" w:name="_Toc39232789"/>
      <w:r>
        <w:rPr>
          <w:sz w:val="20"/>
          <w:szCs w:val="22"/>
        </w:rPr>
        <w:t>Figura 5</w:t>
      </w:r>
      <w:r w:rsidRPr="00794516">
        <w:rPr>
          <w:sz w:val="20"/>
          <w:szCs w:val="22"/>
        </w:rPr>
        <w:t xml:space="preserve">. </w:t>
      </w:r>
      <w:bookmarkEnd w:id="207"/>
      <w:r>
        <w:rPr>
          <w:iCs/>
          <w:sz w:val="20"/>
          <w:szCs w:val="22"/>
        </w:rPr>
        <w:t>Diagrama de caja y bigotes que muestra d</w:t>
      </w:r>
      <w:r w:rsidRPr="00794516">
        <w:rPr>
          <w:iCs/>
          <w:sz w:val="20"/>
          <w:szCs w:val="22"/>
        </w:rPr>
        <w:t>iferencias significativas determinadas por prueba de medianas de Kruskal-Wallis</w:t>
      </w:r>
      <w:r>
        <w:rPr>
          <w:iCs/>
          <w:sz w:val="20"/>
          <w:szCs w:val="22"/>
        </w:rPr>
        <w:t xml:space="preserve"> para </w:t>
      </w:r>
      <w:r w:rsidRPr="00C208FA">
        <w:rPr>
          <w:iCs/>
          <w:sz w:val="20"/>
          <w:szCs w:val="22"/>
        </w:rPr>
        <w:t>los embriones exp</w:t>
      </w:r>
      <w:r>
        <w:rPr>
          <w:iCs/>
          <w:sz w:val="20"/>
          <w:szCs w:val="22"/>
        </w:rPr>
        <w:t>uestos a las unidades de proceso (UP) de la planta de tratamiento piloto (PTP) en el ensayo de comportamiento.</w:t>
      </w:r>
    </w:p>
    <w:p w:rsidR="00123C57" w:rsidRDefault="00123C57" w:rsidP="00123C57">
      <w:pPr>
        <w:jc w:val="both"/>
        <w:rPr>
          <w:noProof/>
          <w:lang w:val="es-MX" w:eastAsia="es-MX"/>
        </w:rPr>
      </w:pPr>
      <w:r w:rsidRPr="009E4D91">
        <w:rPr>
          <w:rFonts w:ascii="Arial" w:hAnsi="Arial" w:cs="Arial"/>
        </w:rPr>
        <w:t xml:space="preserve">Las contorsiones espontáneas de cabeza-cola de los embriones de pez cebra </w:t>
      </w:r>
      <w:r>
        <w:rPr>
          <w:rFonts w:ascii="Arial" w:hAnsi="Arial" w:cs="Arial"/>
        </w:rPr>
        <w:t xml:space="preserve">presentan </w:t>
      </w:r>
      <w:r w:rsidRPr="009E4D91">
        <w:rPr>
          <w:rFonts w:ascii="Arial" w:hAnsi="Arial" w:cs="Arial"/>
        </w:rPr>
        <w:t>difere</w:t>
      </w:r>
      <w:r>
        <w:rPr>
          <w:rFonts w:ascii="Arial" w:hAnsi="Arial" w:cs="Arial"/>
        </w:rPr>
        <w:t>ncias</w:t>
      </w:r>
      <w:r w:rsidRPr="009E4D91">
        <w:rPr>
          <w:rFonts w:ascii="Arial" w:hAnsi="Arial" w:cs="Arial"/>
        </w:rPr>
        <w:t xml:space="preserve"> después de 24 h en los </w:t>
      </w:r>
      <w:r>
        <w:rPr>
          <w:rFonts w:ascii="Arial" w:hAnsi="Arial" w:cs="Arial"/>
        </w:rPr>
        <w:t>bioensayos 1 y 2 evaluados con las</w:t>
      </w:r>
      <w:r w:rsidRPr="009E4D91">
        <w:rPr>
          <w:rFonts w:ascii="Arial" w:hAnsi="Arial" w:cs="Arial"/>
        </w:rPr>
        <w:t xml:space="preserve"> concentrac</w:t>
      </w:r>
      <w:r>
        <w:rPr>
          <w:rFonts w:ascii="Arial" w:hAnsi="Arial" w:cs="Arial"/>
        </w:rPr>
        <w:t>iones mencionadas en la Tabla 2</w:t>
      </w:r>
      <w:r w:rsidRPr="009E4D91">
        <w:rPr>
          <w:rFonts w:ascii="Arial" w:hAnsi="Arial" w:cs="Arial"/>
        </w:rPr>
        <w:t xml:space="preserve">, en comparación con los grupos control. El ensayo </w:t>
      </w:r>
      <w:r>
        <w:rPr>
          <w:rFonts w:ascii="Arial" w:hAnsi="Arial" w:cs="Arial"/>
        </w:rPr>
        <w:t xml:space="preserve">control presenta una </w:t>
      </w:r>
      <w:r w:rsidRPr="009E4D91">
        <w:rPr>
          <w:rFonts w:ascii="Arial" w:hAnsi="Arial" w:cs="Arial"/>
        </w:rPr>
        <w:t>m</w:t>
      </w:r>
      <w:r>
        <w:rPr>
          <w:rFonts w:ascii="Arial" w:hAnsi="Arial" w:cs="Arial"/>
        </w:rPr>
        <w:t>edia</w:t>
      </w:r>
      <w:r w:rsidRPr="009E4D91">
        <w:rPr>
          <w:rFonts w:ascii="Arial" w:hAnsi="Arial" w:cs="Arial"/>
        </w:rPr>
        <w:t xml:space="preserve"> de 1-2 contracciones cada 3-5 segundos, con un</w:t>
      </w:r>
      <w:r>
        <w:rPr>
          <w:rFonts w:ascii="Arial" w:hAnsi="Arial" w:cs="Arial"/>
        </w:rPr>
        <w:t xml:space="preserve">a media </w:t>
      </w:r>
      <w:r w:rsidRPr="009E4D91">
        <w:rPr>
          <w:rFonts w:ascii="Arial" w:hAnsi="Arial" w:cs="Arial"/>
        </w:rPr>
        <w:t>de 10 a 30 contracciones al cabo de los dos minutos que dura el ensayo</w:t>
      </w:r>
      <w:r>
        <w:rPr>
          <w:rFonts w:ascii="Arial" w:hAnsi="Arial" w:cs="Arial"/>
          <w:vertAlign w:val="superscript"/>
        </w:rPr>
        <w:t xml:space="preserve"> [8]</w:t>
      </w:r>
      <w:r w:rsidRPr="009E4D91">
        <w:rPr>
          <w:rFonts w:ascii="Arial" w:hAnsi="Arial" w:cs="Arial"/>
        </w:rPr>
        <w:t xml:space="preserve">. Los grupos control para el bioensayo </w:t>
      </w:r>
      <w:r>
        <w:rPr>
          <w:rFonts w:ascii="Arial" w:hAnsi="Arial" w:cs="Arial"/>
        </w:rPr>
        <w:t xml:space="preserve">1 </w:t>
      </w:r>
      <w:r w:rsidRPr="009E4D91">
        <w:rPr>
          <w:rFonts w:ascii="Arial" w:hAnsi="Arial" w:cs="Arial"/>
        </w:rPr>
        <w:t>se encuentran dentro de la media normal que postula el ensayo</w:t>
      </w:r>
      <w:r>
        <w:rPr>
          <w:rFonts w:ascii="Arial" w:hAnsi="Arial" w:cs="Arial"/>
        </w:rPr>
        <w:t xml:space="preserve"> con</w:t>
      </w:r>
      <w:r w:rsidRPr="009E4D91">
        <w:rPr>
          <w:rFonts w:ascii="Arial" w:hAnsi="Arial" w:cs="Arial"/>
        </w:rPr>
        <w:t xml:space="preserve"> 15.3 contracciones en dos minut</w:t>
      </w:r>
      <w:r>
        <w:rPr>
          <w:rFonts w:ascii="Arial" w:hAnsi="Arial" w:cs="Arial"/>
        </w:rPr>
        <w:t>os. Sin embargo, l</w:t>
      </w:r>
      <w:r w:rsidRPr="009E4D91">
        <w:rPr>
          <w:rFonts w:ascii="Arial" w:hAnsi="Arial" w:cs="Arial"/>
        </w:rPr>
        <w:t>os embriones tra</w:t>
      </w:r>
      <w:r>
        <w:rPr>
          <w:rFonts w:ascii="Arial" w:hAnsi="Arial" w:cs="Arial"/>
        </w:rPr>
        <w:t xml:space="preserve">tados con TCS y Mezcla I </w:t>
      </w:r>
      <w:r w:rsidRPr="009E4D91">
        <w:rPr>
          <w:rFonts w:ascii="Arial" w:hAnsi="Arial" w:cs="Arial"/>
        </w:rPr>
        <w:t xml:space="preserve">presentaron </w:t>
      </w:r>
      <w:r>
        <w:rPr>
          <w:rFonts w:ascii="Arial" w:hAnsi="Arial" w:cs="Arial"/>
        </w:rPr>
        <w:t xml:space="preserve">de 1 a cero contracciones </w:t>
      </w:r>
      <w:r w:rsidRPr="009E4D91">
        <w:rPr>
          <w:rFonts w:ascii="Arial" w:hAnsi="Arial" w:cs="Arial"/>
        </w:rPr>
        <w:t>durant</w:t>
      </w:r>
      <w:r>
        <w:rPr>
          <w:rFonts w:ascii="Arial" w:hAnsi="Arial" w:cs="Arial"/>
        </w:rPr>
        <w:t>e el ensayo de comportamiento, donde ello</w:t>
      </w:r>
      <w:r w:rsidRPr="009E4D91">
        <w:rPr>
          <w:rFonts w:ascii="Arial" w:hAnsi="Arial" w:cs="Arial"/>
        </w:rPr>
        <w:t xml:space="preserve"> significa que las contracciones se encuentran prácticamente inexistentes, y comprometen la capacidad de los embriones para salir del corión y continuar su desarrollo. </w:t>
      </w:r>
      <w:r>
        <w:rPr>
          <w:rFonts w:ascii="Arial" w:hAnsi="Arial" w:cs="Arial"/>
        </w:rPr>
        <w:t xml:space="preserve">Por su parte, CBZ </w:t>
      </w:r>
      <w:r w:rsidRPr="009E4D91">
        <w:rPr>
          <w:rFonts w:ascii="Arial" w:hAnsi="Arial" w:cs="Arial"/>
        </w:rPr>
        <w:t>también</w:t>
      </w:r>
      <w:r>
        <w:rPr>
          <w:rFonts w:ascii="Arial" w:hAnsi="Arial" w:cs="Arial"/>
        </w:rPr>
        <w:t xml:space="preserve"> presentó</w:t>
      </w:r>
      <w:r w:rsidRPr="009E4D91">
        <w:rPr>
          <w:rFonts w:ascii="Arial" w:hAnsi="Arial" w:cs="Arial"/>
        </w:rPr>
        <w:t xml:space="preserve"> un menor número de contracciones en los embriones con</w:t>
      </w:r>
      <w:r>
        <w:rPr>
          <w:rFonts w:ascii="Arial" w:hAnsi="Arial" w:cs="Arial"/>
        </w:rPr>
        <w:t xml:space="preserve"> 7.0 </w:t>
      </w:r>
      <w:r w:rsidRPr="009E4D91">
        <w:rPr>
          <w:rFonts w:ascii="Arial" w:hAnsi="Arial" w:cs="Arial"/>
        </w:rPr>
        <w:t>contracciones cada dos minutos</w:t>
      </w:r>
      <w:r>
        <w:rPr>
          <w:rFonts w:ascii="Arial" w:hAnsi="Arial" w:cs="Arial"/>
        </w:rPr>
        <w:t>, con ello p</w:t>
      </w:r>
      <w:r w:rsidRPr="009E4D91">
        <w:rPr>
          <w:rFonts w:ascii="Arial" w:hAnsi="Arial" w:cs="Arial"/>
        </w:rPr>
        <w:t>resentando diferencias significativas</w:t>
      </w:r>
      <w:r>
        <w:rPr>
          <w:rFonts w:ascii="Arial" w:hAnsi="Arial" w:cs="Arial"/>
        </w:rPr>
        <w:t xml:space="preserve"> de acuerdo a la prueba de medianas de Kruskal-Wallis</w:t>
      </w:r>
      <w:r w:rsidRPr="009E4D91">
        <w:rPr>
          <w:rFonts w:ascii="Arial" w:hAnsi="Arial" w:cs="Arial"/>
        </w:rPr>
        <w:t xml:space="preserve"> con respecto al control. Los ensayos con BPA</w:t>
      </w:r>
      <w:r>
        <w:rPr>
          <w:rFonts w:ascii="Arial" w:hAnsi="Arial" w:cs="Arial"/>
        </w:rPr>
        <w:t xml:space="preserve"> y NPH no tuvieron diferencias significativas (Figura 6)</w:t>
      </w:r>
      <w:r w:rsidRPr="009E4D91">
        <w:rPr>
          <w:rFonts w:ascii="Arial" w:hAnsi="Arial" w:cs="Arial"/>
        </w:rPr>
        <w:t>.</w:t>
      </w:r>
      <w:r w:rsidRPr="00DF24C6">
        <w:rPr>
          <w:noProof/>
          <w:lang w:val="es-MX" w:eastAsia="es-MX"/>
        </w:rPr>
        <w:t xml:space="preserve"> </w:t>
      </w:r>
    </w:p>
    <w:p w:rsidR="00123C57" w:rsidRPr="00DF24C6" w:rsidRDefault="00123C57" w:rsidP="00123C57">
      <w:pPr>
        <w:jc w:val="center"/>
        <w:rPr>
          <w:rFonts w:ascii="Arial" w:hAnsi="Arial" w:cs="Arial"/>
        </w:rPr>
      </w:pPr>
      <w:r>
        <w:rPr>
          <w:noProof/>
          <w:lang w:val="en-US"/>
        </w:rPr>
        <w:drawing>
          <wp:inline distT="0" distB="0" distL="0" distR="0" wp14:anchorId="453633DF" wp14:editId="4B70BCCA">
            <wp:extent cx="4086225" cy="2009775"/>
            <wp:effectExtent l="0" t="0" r="9525" b="9525"/>
            <wp:docPr id="269469666" name="Imagen 269469666" descr="contorsiones_M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contorsiones_MCO"/>
                    <pic:cNvPicPr>
                      <a:picLocks noChangeAspect="1" noChangeArrowheads="1"/>
                    </pic:cNvPicPr>
                  </pic:nvPicPr>
                  <pic:blipFill>
                    <a:blip r:embed="rId954" cstate="print">
                      <a:extLst>
                        <a:ext uri="{28A0092B-C50C-407E-A947-70E740481C1C}">
                          <a14:useLocalDpi xmlns:a14="http://schemas.microsoft.com/office/drawing/2010/main" val="0"/>
                        </a:ext>
                      </a:extLst>
                    </a:blip>
                    <a:srcRect t="471" r="11842"/>
                    <a:stretch>
                      <a:fillRect/>
                    </a:stretch>
                  </pic:blipFill>
                  <pic:spPr bwMode="auto">
                    <a:xfrm>
                      <a:off x="0" y="0"/>
                      <a:ext cx="4086225" cy="2009775"/>
                    </a:xfrm>
                    <a:prstGeom prst="rect">
                      <a:avLst/>
                    </a:prstGeom>
                    <a:noFill/>
                    <a:ln>
                      <a:noFill/>
                    </a:ln>
                  </pic:spPr>
                </pic:pic>
              </a:graphicData>
            </a:graphic>
          </wp:inline>
        </w:drawing>
      </w:r>
    </w:p>
    <w:p w:rsidR="00123C57" w:rsidRPr="00A7074F" w:rsidRDefault="00123C57" w:rsidP="00123C57">
      <w:pPr>
        <w:pStyle w:val="Descripcin"/>
        <w:rPr>
          <w:iCs/>
          <w:sz w:val="20"/>
          <w:szCs w:val="22"/>
        </w:rPr>
      </w:pPr>
      <w:bookmarkStart w:id="208" w:name="_Toc39232790"/>
      <w:r>
        <w:rPr>
          <w:sz w:val="20"/>
          <w:szCs w:val="22"/>
        </w:rPr>
        <w:t>Figura 6</w:t>
      </w:r>
      <w:r w:rsidRPr="00794516">
        <w:rPr>
          <w:sz w:val="20"/>
          <w:szCs w:val="22"/>
        </w:rPr>
        <w:t xml:space="preserve">. </w:t>
      </w:r>
      <w:bookmarkEnd w:id="208"/>
      <w:r w:rsidRPr="00A7074F">
        <w:rPr>
          <w:iCs/>
          <w:sz w:val="20"/>
          <w:szCs w:val="22"/>
        </w:rPr>
        <w:t>Diagrama de caja y bigotes que muestra diferencias significativas determinadas por prueba de medianas de Kruskal-Wallis para los embr</w:t>
      </w:r>
      <w:r>
        <w:rPr>
          <w:iCs/>
          <w:sz w:val="20"/>
          <w:szCs w:val="22"/>
        </w:rPr>
        <w:t>iones expuestos a bisfenol A (BPA), carbamazepina (CBZ), nonilfenoles (NPH), triclosán (TCS) y Mezcla I, del bioensayo 1</w:t>
      </w:r>
      <w:r w:rsidRPr="00A7074F">
        <w:rPr>
          <w:iCs/>
          <w:sz w:val="20"/>
          <w:szCs w:val="22"/>
        </w:rPr>
        <w:t>.</w:t>
      </w:r>
    </w:p>
    <w:p w:rsidR="00123C57" w:rsidRPr="009E4D91" w:rsidRDefault="00123C57" w:rsidP="00123C57">
      <w:pPr>
        <w:jc w:val="both"/>
        <w:rPr>
          <w:rFonts w:ascii="Arial" w:hAnsi="Arial" w:cs="Arial"/>
        </w:rPr>
      </w:pPr>
      <w:r>
        <w:rPr>
          <w:rFonts w:ascii="Arial" w:hAnsi="Arial" w:cs="Arial"/>
        </w:rPr>
        <w:lastRenderedPageBreak/>
        <w:t>Por su parte,</w:t>
      </w:r>
      <w:r w:rsidRPr="009E4D91">
        <w:rPr>
          <w:rFonts w:ascii="Arial" w:hAnsi="Arial" w:cs="Arial"/>
        </w:rPr>
        <w:t xml:space="preserve"> </w:t>
      </w:r>
      <w:r>
        <w:rPr>
          <w:rFonts w:ascii="Arial" w:hAnsi="Arial" w:cs="Arial"/>
        </w:rPr>
        <w:t xml:space="preserve">para el bioensayo 2, </w:t>
      </w:r>
      <w:r w:rsidRPr="009E4D91">
        <w:rPr>
          <w:rFonts w:ascii="Arial" w:hAnsi="Arial" w:cs="Arial"/>
        </w:rPr>
        <w:t>los embriones trat</w:t>
      </w:r>
      <w:r>
        <w:rPr>
          <w:rFonts w:ascii="Arial" w:hAnsi="Arial" w:cs="Arial"/>
        </w:rPr>
        <w:t xml:space="preserve">ados con TCS y la Mezcla II </w:t>
      </w:r>
      <w:r w:rsidRPr="009E4D91">
        <w:rPr>
          <w:rFonts w:ascii="Arial" w:hAnsi="Arial" w:cs="Arial"/>
        </w:rPr>
        <w:t>no presentaron contracciones durante el ensayo de comportamiento, significa</w:t>
      </w:r>
      <w:r>
        <w:rPr>
          <w:rFonts w:ascii="Arial" w:hAnsi="Arial" w:cs="Arial"/>
        </w:rPr>
        <w:t>ndo así,</w:t>
      </w:r>
      <w:r w:rsidRPr="009E4D91">
        <w:rPr>
          <w:rFonts w:ascii="Arial" w:hAnsi="Arial" w:cs="Arial"/>
        </w:rPr>
        <w:t xml:space="preserve"> que las contracciones se encuentran totalmente inhibidas debido a la exposición de estos contaminantes. </w:t>
      </w:r>
      <w:r>
        <w:rPr>
          <w:rFonts w:ascii="Arial" w:hAnsi="Arial" w:cs="Arial"/>
        </w:rPr>
        <w:t xml:space="preserve">La CBZ tuvo una media </w:t>
      </w:r>
      <w:r w:rsidRPr="009E4D91">
        <w:rPr>
          <w:rFonts w:ascii="Arial" w:hAnsi="Arial" w:cs="Arial"/>
        </w:rPr>
        <w:t>de contrac</w:t>
      </w:r>
      <w:r>
        <w:rPr>
          <w:rFonts w:ascii="Arial" w:hAnsi="Arial" w:cs="Arial"/>
        </w:rPr>
        <w:t xml:space="preserve">ciones de </w:t>
      </w:r>
      <w:r w:rsidRPr="009E4D91">
        <w:rPr>
          <w:rFonts w:ascii="Arial" w:hAnsi="Arial" w:cs="Arial"/>
        </w:rPr>
        <w:t>1.0 cada dos minutos</w:t>
      </w:r>
      <w:r>
        <w:rPr>
          <w:rFonts w:ascii="Arial" w:hAnsi="Arial" w:cs="Arial"/>
        </w:rPr>
        <w:t xml:space="preserve">, </w:t>
      </w:r>
      <w:r w:rsidRPr="009E4D91">
        <w:rPr>
          <w:rFonts w:ascii="Arial" w:hAnsi="Arial" w:cs="Arial"/>
        </w:rPr>
        <w:t>present</w:t>
      </w:r>
      <w:r>
        <w:rPr>
          <w:rFonts w:ascii="Arial" w:hAnsi="Arial" w:cs="Arial"/>
        </w:rPr>
        <w:t>ando diferencias significativas de acuerdo a la prueba de medianas de Kruskal-Wallis</w:t>
      </w:r>
      <w:r w:rsidRPr="009E4D91">
        <w:rPr>
          <w:rFonts w:ascii="Arial" w:hAnsi="Arial" w:cs="Arial"/>
        </w:rPr>
        <w:t xml:space="preserve"> con res</w:t>
      </w:r>
      <w:r>
        <w:rPr>
          <w:rFonts w:ascii="Arial" w:hAnsi="Arial" w:cs="Arial"/>
        </w:rPr>
        <w:t>pecto al control, BPA y NPH como se muestra en la Figura 7</w:t>
      </w:r>
      <w:r w:rsidRPr="009E4D91">
        <w:rPr>
          <w:rFonts w:ascii="Arial" w:hAnsi="Arial" w:cs="Arial"/>
        </w:rPr>
        <w:t xml:space="preserve">. </w:t>
      </w:r>
    </w:p>
    <w:p w:rsidR="00123C57" w:rsidRPr="00F27F9C" w:rsidRDefault="00123C57" w:rsidP="00123C57">
      <w:pPr>
        <w:jc w:val="both"/>
      </w:pPr>
    </w:p>
    <w:p w:rsidR="00123C57" w:rsidRPr="00F27F9C" w:rsidRDefault="00123C57" w:rsidP="00123C57">
      <w:pPr>
        <w:jc w:val="both"/>
      </w:pPr>
    </w:p>
    <w:p w:rsidR="00123C57" w:rsidRPr="00DF24C6" w:rsidRDefault="00123C57" w:rsidP="00123C57">
      <w:pPr>
        <w:keepNext/>
        <w:jc w:val="center"/>
        <w:rPr>
          <w:noProof/>
          <w:lang w:val="es-MX" w:eastAsia="es-MX"/>
        </w:rPr>
      </w:pPr>
      <w:r>
        <w:rPr>
          <w:noProof/>
          <w:lang w:val="en-US"/>
        </w:rPr>
        <w:drawing>
          <wp:inline distT="0" distB="0" distL="0" distR="0" wp14:anchorId="3F0775DD" wp14:editId="1C416904">
            <wp:extent cx="4048125" cy="2124075"/>
            <wp:effectExtent l="0" t="0" r="9525" b="9525"/>
            <wp:docPr id="269469665" name="Imagen 269469665" descr="contorsiones_MCO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contorsiones_MCO_2"/>
                    <pic:cNvPicPr>
                      <a:picLocks noChangeAspect="1" noChangeArrowheads="1"/>
                    </pic:cNvPicPr>
                  </pic:nvPicPr>
                  <pic:blipFill>
                    <a:blip r:embed="rId955">
                      <a:extLst>
                        <a:ext uri="{28A0092B-C50C-407E-A947-70E740481C1C}">
                          <a14:useLocalDpi xmlns:a14="http://schemas.microsoft.com/office/drawing/2010/main" val="0"/>
                        </a:ext>
                      </a:extLst>
                    </a:blip>
                    <a:srcRect l="5809" r="12656"/>
                    <a:stretch>
                      <a:fillRect/>
                    </a:stretch>
                  </pic:blipFill>
                  <pic:spPr bwMode="auto">
                    <a:xfrm>
                      <a:off x="0" y="0"/>
                      <a:ext cx="4048125" cy="2124075"/>
                    </a:xfrm>
                    <a:prstGeom prst="rect">
                      <a:avLst/>
                    </a:prstGeom>
                    <a:noFill/>
                    <a:ln>
                      <a:noFill/>
                    </a:ln>
                  </pic:spPr>
                </pic:pic>
              </a:graphicData>
            </a:graphic>
          </wp:inline>
        </w:drawing>
      </w:r>
    </w:p>
    <w:p w:rsidR="00123C57" w:rsidRPr="00794516" w:rsidRDefault="00123C57" w:rsidP="00123C57">
      <w:pPr>
        <w:pStyle w:val="Descripcin"/>
        <w:jc w:val="center"/>
      </w:pPr>
      <w:bookmarkStart w:id="209" w:name="_Toc39232791"/>
      <w:r>
        <w:rPr>
          <w:sz w:val="22"/>
          <w:szCs w:val="22"/>
        </w:rPr>
        <w:t>Figura 7</w:t>
      </w:r>
      <w:r w:rsidRPr="00794516">
        <w:rPr>
          <w:sz w:val="22"/>
          <w:szCs w:val="22"/>
        </w:rPr>
        <w:t>.</w:t>
      </w:r>
      <w:r w:rsidRPr="00794516">
        <w:t xml:space="preserve"> </w:t>
      </w:r>
      <w:bookmarkEnd w:id="209"/>
      <w:r>
        <w:rPr>
          <w:iCs/>
          <w:sz w:val="20"/>
          <w:szCs w:val="22"/>
        </w:rPr>
        <w:t>Diagrama de caja y bigotes que muestra d</w:t>
      </w:r>
      <w:r w:rsidRPr="00794516">
        <w:rPr>
          <w:iCs/>
          <w:sz w:val="20"/>
          <w:szCs w:val="22"/>
        </w:rPr>
        <w:t>iferencias significativas determinadas por prueba de medianas de Kruskal-Wallis</w:t>
      </w:r>
      <w:r>
        <w:rPr>
          <w:iCs/>
          <w:sz w:val="20"/>
          <w:szCs w:val="22"/>
        </w:rPr>
        <w:t xml:space="preserve"> para </w:t>
      </w:r>
      <w:r w:rsidRPr="00C208FA">
        <w:rPr>
          <w:iCs/>
          <w:sz w:val="20"/>
          <w:szCs w:val="22"/>
        </w:rPr>
        <w:t>los embriones exp</w:t>
      </w:r>
      <w:r>
        <w:rPr>
          <w:iCs/>
          <w:sz w:val="20"/>
          <w:szCs w:val="22"/>
        </w:rPr>
        <w:t>uestos a bisfenol A (BPA), carbamazepina (CBZ), nonilfenoles (NPH), triclosán (TCS) y Mezcla II, del bioensayo 2.</w:t>
      </w:r>
    </w:p>
    <w:p w:rsidR="00123C57" w:rsidRDefault="00123C57" w:rsidP="00123C57">
      <w:pPr>
        <w:jc w:val="both"/>
        <w:rPr>
          <w:rFonts w:ascii="Arial" w:hAnsi="Arial" w:cs="Arial"/>
        </w:rPr>
      </w:pPr>
      <w:r w:rsidRPr="00D70F84">
        <w:rPr>
          <w:rFonts w:ascii="Arial" w:hAnsi="Arial" w:cs="Arial"/>
        </w:rPr>
        <w:t xml:space="preserve">Las observaciones realizadas sugieren que las contracciones espontáneas resultan de la activación de un circuito espinal primitivo </w:t>
      </w:r>
      <w:r w:rsidRPr="00D70F84">
        <w:rPr>
          <w:rFonts w:ascii="Arial" w:hAnsi="Arial" w:cs="Arial"/>
          <w:vertAlign w:val="superscript"/>
        </w:rPr>
        <w:t>[8]</w:t>
      </w:r>
      <w:r w:rsidRPr="00D70F84">
        <w:rPr>
          <w:rFonts w:ascii="Arial" w:hAnsi="Arial" w:cs="Arial"/>
        </w:rPr>
        <w:t>. Esto quiere decir, que la médula espinal parece ser el lugar para el desarrollo</w:t>
      </w:r>
      <w:r w:rsidRPr="009E4D91">
        <w:rPr>
          <w:rFonts w:ascii="Arial" w:hAnsi="Arial" w:cs="Arial"/>
        </w:rPr>
        <w:t xml:space="preserve"> precoz de las funciones locomotoras de vertebrados</w:t>
      </w:r>
      <w:r>
        <w:rPr>
          <w:rFonts w:ascii="Arial" w:hAnsi="Arial" w:cs="Arial"/>
        </w:rPr>
        <w:t>, m</w:t>
      </w:r>
      <w:r w:rsidRPr="009E4D91">
        <w:rPr>
          <w:rFonts w:ascii="Arial" w:hAnsi="Arial" w:cs="Arial"/>
        </w:rPr>
        <w:t>ientras que el tacto y la natación requieren entradas adicionales del cerebro posterior para provocar comportamientos locomotores maduros</w:t>
      </w:r>
      <w:r>
        <w:rPr>
          <w:rFonts w:ascii="Arial" w:hAnsi="Arial" w:cs="Arial"/>
          <w:vertAlign w:val="superscript"/>
        </w:rPr>
        <w:t xml:space="preserve"> [15]</w:t>
      </w:r>
      <w:r w:rsidRPr="009E4D91">
        <w:rPr>
          <w:rFonts w:ascii="Arial" w:hAnsi="Arial" w:cs="Arial"/>
        </w:rPr>
        <w:t xml:space="preserve">. El análisis de la motilidad mostró que los hitos del desarrollo del embrión de pez cebra se pueden utilizar para realizar análisis de comportamiento. Se documentó un decremento en los movimientos espontáneos de la cabeza y la cola en los embriones de </w:t>
      </w:r>
      <w:r w:rsidRPr="00D64E3B">
        <w:rPr>
          <w:rFonts w:ascii="Arial" w:hAnsi="Arial" w:cs="Arial"/>
          <w:i/>
        </w:rPr>
        <w:t>D. rerio</w:t>
      </w:r>
      <w:r w:rsidRPr="009E4D91">
        <w:rPr>
          <w:rFonts w:ascii="Arial" w:hAnsi="Arial" w:cs="Arial"/>
        </w:rPr>
        <w:t xml:space="preserve"> tratados. Estas contracciones espontáneas se asociaron con características de movimiento de tipo epiléptico descritas en el pez cebra, tales como espasmos, nerviosismo y temblor</w:t>
      </w:r>
      <w:r>
        <w:rPr>
          <w:rFonts w:ascii="Arial" w:hAnsi="Arial" w:cs="Arial"/>
          <w:vertAlign w:val="superscript"/>
        </w:rPr>
        <w:t xml:space="preserve"> [17]</w:t>
      </w:r>
      <w:r w:rsidRPr="009E4D91">
        <w:rPr>
          <w:rFonts w:ascii="Arial" w:hAnsi="Arial" w:cs="Arial"/>
        </w:rPr>
        <w:t xml:space="preserve"> que pudieran estar suprimidas por la carga de MCO presentes en el agua generada</w:t>
      </w:r>
      <w:r>
        <w:rPr>
          <w:rFonts w:ascii="Arial" w:hAnsi="Arial" w:cs="Arial"/>
          <w:vertAlign w:val="superscript"/>
        </w:rPr>
        <w:t xml:space="preserve"> [16]</w:t>
      </w:r>
      <w:r w:rsidRPr="009E4D91">
        <w:rPr>
          <w:rFonts w:ascii="Arial" w:hAnsi="Arial" w:cs="Arial"/>
        </w:rPr>
        <w:t>. No es posible atribuir responsabilidad a un solo contaminante ya que estos se encuentran en forma de mezcla mixta a concentraciones variables</w:t>
      </w:r>
      <w:r>
        <w:rPr>
          <w:rFonts w:ascii="Arial" w:hAnsi="Arial" w:cs="Arial"/>
        </w:rPr>
        <w:t xml:space="preserve"> en las UP de la PTP, pero para los ensayos con agua dopada, TCS y Mezcla I y II muestran similitudes en resultados</w:t>
      </w:r>
      <w:r w:rsidRPr="009E4D91">
        <w:rPr>
          <w:rFonts w:ascii="Arial" w:hAnsi="Arial" w:cs="Arial"/>
        </w:rPr>
        <w:t>.</w:t>
      </w:r>
    </w:p>
    <w:p w:rsidR="00123C57" w:rsidRPr="00123C57" w:rsidRDefault="00123C57" w:rsidP="00123C57">
      <w:pPr>
        <w:pStyle w:val="Ttulo1"/>
        <w:keepLines w:val="0"/>
        <w:numPr>
          <w:ilvl w:val="0"/>
          <w:numId w:val="1"/>
        </w:numPr>
        <w:tabs>
          <w:tab w:val="clear" w:pos="432"/>
          <w:tab w:val="num" w:pos="0"/>
        </w:tabs>
        <w:suppressAutoHyphens/>
        <w:spacing w:before="0" w:after="0"/>
        <w:ind w:left="0" w:firstLine="0"/>
        <w:rPr>
          <w:sz w:val="24"/>
          <w:szCs w:val="24"/>
        </w:rPr>
      </w:pPr>
      <w:bookmarkStart w:id="210" w:name="_Toc50031292"/>
      <w:r w:rsidRPr="00123C57">
        <w:rPr>
          <w:sz w:val="24"/>
          <w:szCs w:val="24"/>
        </w:rPr>
        <w:t>5. Balance económico: Costos y ventajas obtenidas</w:t>
      </w:r>
      <w:bookmarkEnd w:id="210"/>
      <w:r w:rsidRPr="00123C57">
        <w:rPr>
          <w:sz w:val="24"/>
          <w:szCs w:val="24"/>
        </w:rPr>
        <w:t xml:space="preserve"> </w:t>
      </w:r>
    </w:p>
    <w:p w:rsidR="00123C57" w:rsidRDefault="00123C57" w:rsidP="00123C57">
      <w:pPr>
        <w:ind w:firstLine="708"/>
        <w:jc w:val="both"/>
        <w:rPr>
          <w:rFonts w:ascii="Arial" w:hAnsi="Arial" w:cs="Arial"/>
          <w:bCs/>
          <w:lang w:val="es-MX"/>
        </w:rPr>
      </w:pPr>
      <w:r>
        <w:rPr>
          <w:rFonts w:ascii="Arial" w:hAnsi="Arial" w:cs="Arial"/>
          <w:bCs/>
          <w:lang w:val="es-MX"/>
        </w:rPr>
        <w:t xml:space="preserve">En </w:t>
      </w:r>
      <w:r w:rsidRPr="00B47ECE">
        <w:rPr>
          <w:rFonts w:ascii="Arial" w:hAnsi="Arial" w:cs="Arial"/>
          <w:bCs/>
          <w:lang w:val="es-MX"/>
        </w:rPr>
        <w:t xml:space="preserve">términos prácticos son difíciles de cuantificar los beneficios y los costos de estos conceptos, </w:t>
      </w:r>
      <w:r>
        <w:rPr>
          <w:rFonts w:ascii="Arial" w:hAnsi="Arial" w:cs="Arial"/>
          <w:bCs/>
          <w:lang w:val="es-MX"/>
        </w:rPr>
        <w:t xml:space="preserve">ya que </w:t>
      </w:r>
      <w:r w:rsidRPr="00B47ECE">
        <w:rPr>
          <w:rFonts w:ascii="Arial" w:hAnsi="Arial" w:cs="Arial"/>
          <w:bCs/>
          <w:lang w:val="es-MX"/>
        </w:rPr>
        <w:t>el reúso debe incluir los costos de post-tratamiento de acuerdo con los requerimientos técnicos y normativos para cada uso específico</w:t>
      </w:r>
      <w:r>
        <w:rPr>
          <w:rFonts w:ascii="Arial" w:hAnsi="Arial" w:cs="Arial"/>
          <w:bCs/>
          <w:lang w:val="es-MX"/>
        </w:rPr>
        <w:t xml:space="preserve"> que se pretenda darle, además de</w:t>
      </w:r>
      <w:r w:rsidRPr="00B47ECE">
        <w:rPr>
          <w:rFonts w:ascii="Arial" w:hAnsi="Arial" w:cs="Arial"/>
          <w:bCs/>
          <w:lang w:val="es-MX"/>
        </w:rPr>
        <w:t xml:space="preserve"> los de conducción del agua </w:t>
      </w:r>
      <w:r w:rsidRPr="00B47ECE">
        <w:rPr>
          <w:rFonts w:ascii="Arial" w:hAnsi="Arial" w:cs="Arial"/>
          <w:bCs/>
          <w:lang w:val="es-MX"/>
        </w:rPr>
        <w:lastRenderedPageBreak/>
        <w:t>tratada hasta el sitio de reúso. En este caso, debido a las restricciones de información que se tuvieron a lo largo del proyecto, solo se toman en cuenta los costos post-tra</w:t>
      </w:r>
      <w:r>
        <w:rPr>
          <w:rFonts w:ascii="Arial" w:hAnsi="Arial" w:cs="Arial"/>
          <w:bCs/>
          <w:lang w:val="es-MX"/>
        </w:rPr>
        <w:t>tamiento</w:t>
      </w:r>
      <w:r w:rsidRPr="00B47ECE">
        <w:rPr>
          <w:rFonts w:ascii="Arial" w:hAnsi="Arial" w:cs="Arial"/>
          <w:bCs/>
          <w:lang w:val="es-MX"/>
        </w:rPr>
        <w:t>, costo de la inyección a pozo para un módulo piloto y el costo anual</w:t>
      </w:r>
      <w:r>
        <w:rPr>
          <w:rFonts w:ascii="Arial" w:hAnsi="Arial" w:cs="Arial"/>
          <w:bCs/>
          <w:lang w:val="es-MX"/>
        </w:rPr>
        <w:t xml:space="preserve"> de operación </w:t>
      </w:r>
      <w:r w:rsidRPr="00B47ECE">
        <w:rPr>
          <w:rFonts w:ascii="Arial" w:hAnsi="Arial" w:cs="Arial"/>
          <w:bCs/>
          <w:lang w:val="es-MX"/>
        </w:rPr>
        <w:t>como valor de producción, tomando en cuenta que se cumple el requerimiento técnico y normativo</w:t>
      </w:r>
      <w:r>
        <w:rPr>
          <w:rFonts w:ascii="Arial" w:hAnsi="Arial" w:cs="Arial"/>
          <w:bCs/>
          <w:lang w:val="es-MX"/>
        </w:rPr>
        <w:t xml:space="preserve"> (Tabla 5</w:t>
      </w:r>
      <w:r w:rsidRPr="00B47ECE">
        <w:rPr>
          <w:rFonts w:ascii="Arial" w:hAnsi="Arial" w:cs="Arial"/>
          <w:bCs/>
          <w:lang w:val="es-MX"/>
        </w:rPr>
        <w:t>).</w:t>
      </w:r>
    </w:p>
    <w:p w:rsidR="00123C57" w:rsidRDefault="00123C57" w:rsidP="00123C57">
      <w:pPr>
        <w:ind w:firstLine="708"/>
        <w:jc w:val="both"/>
        <w:rPr>
          <w:rFonts w:ascii="Arial" w:hAnsi="Arial" w:cs="Arial"/>
          <w:bCs/>
          <w:lang w:val="es-MX"/>
        </w:rPr>
      </w:pPr>
    </w:p>
    <w:p w:rsidR="00123C57" w:rsidRPr="00C37CE3" w:rsidRDefault="00123C57" w:rsidP="00123C57">
      <w:pPr>
        <w:pStyle w:val="Descripcin"/>
        <w:jc w:val="center"/>
        <w:rPr>
          <w:sz w:val="20"/>
          <w:szCs w:val="22"/>
        </w:rPr>
      </w:pPr>
      <w:r w:rsidRPr="004015E0">
        <w:rPr>
          <w:sz w:val="20"/>
          <w:szCs w:val="22"/>
        </w:rPr>
        <w:t>Tabla 5.  Análisis de costos por m</w:t>
      </w:r>
      <w:r w:rsidRPr="004015E0">
        <w:rPr>
          <w:sz w:val="20"/>
          <w:szCs w:val="22"/>
          <w:vertAlign w:val="superscript"/>
        </w:rPr>
        <w:t>3</w:t>
      </w:r>
      <w:r w:rsidRPr="004015E0">
        <w:rPr>
          <w:sz w:val="20"/>
          <w:szCs w:val="22"/>
        </w:rPr>
        <w:t>de agua renovada producida, agua de pozo extraída y costo asociado a la infraestructura para la inyecc</w:t>
      </w:r>
      <w:r>
        <w:rPr>
          <w:sz w:val="20"/>
          <w:szCs w:val="22"/>
        </w:rPr>
        <w:t>ión directa, a una TSD del 10%.</w:t>
      </w:r>
    </w:p>
    <w:tbl>
      <w:tblPr>
        <w:tblW w:w="96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2"/>
        <w:gridCol w:w="2468"/>
        <w:gridCol w:w="3118"/>
      </w:tblGrid>
      <w:tr w:rsidR="00123C57" w:rsidRPr="00B47ECE" w:rsidTr="007F2707">
        <w:trPr>
          <w:trHeight w:val="242"/>
          <w:jc w:val="center"/>
        </w:trPr>
        <w:tc>
          <w:tcPr>
            <w:tcW w:w="4052" w:type="dxa"/>
            <w:shd w:val="clear" w:color="auto" w:fill="auto"/>
            <w:noWrap/>
          </w:tcPr>
          <w:p w:rsidR="00123C57" w:rsidRPr="00B47ECE" w:rsidRDefault="00123C57" w:rsidP="007F2707">
            <w:pP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Concepto</w:t>
            </w:r>
          </w:p>
        </w:tc>
        <w:tc>
          <w:tcPr>
            <w:tcW w:w="5586" w:type="dxa"/>
            <w:gridSpan w:val="2"/>
            <w:shd w:val="clear" w:color="auto" w:fill="auto"/>
            <w:noWrap/>
            <w:hideMark/>
          </w:tcPr>
          <w:p w:rsidR="00123C57" w:rsidRPr="00B47ECE" w:rsidRDefault="00123C57" w:rsidP="007F2707">
            <w:pPr>
              <w:jc w:val="center"/>
              <w:rPr>
                <w:rFonts w:ascii="Calibri" w:eastAsia="Times New Roman" w:hAnsi="Calibri"/>
                <w:b/>
                <w:color w:val="000000"/>
                <w:sz w:val="22"/>
                <w:szCs w:val="22"/>
                <w:lang w:val="es-MX" w:eastAsia="es-MX"/>
              </w:rPr>
            </w:pPr>
            <w:r>
              <w:rPr>
                <w:rFonts w:ascii="Calibri" w:eastAsia="Times New Roman" w:hAnsi="Calibri"/>
                <w:color w:val="000000"/>
                <w:sz w:val="22"/>
                <w:szCs w:val="22"/>
                <w:lang w:val="es-MX" w:eastAsia="es-MX"/>
              </w:rPr>
              <w:t>Requerimientos</w:t>
            </w:r>
          </w:p>
        </w:tc>
      </w:tr>
      <w:tr w:rsidR="00123C57" w:rsidRPr="00B47ECE" w:rsidTr="007F2707">
        <w:trPr>
          <w:trHeight w:val="242"/>
          <w:jc w:val="center"/>
        </w:trPr>
        <w:tc>
          <w:tcPr>
            <w:tcW w:w="4052" w:type="dxa"/>
            <w:shd w:val="clear" w:color="auto" w:fill="auto"/>
            <w:noWrap/>
          </w:tcPr>
          <w:p w:rsidR="00123C57" w:rsidRPr="00B47ECE" w:rsidRDefault="00123C57" w:rsidP="007F2707">
            <w:pPr>
              <w:rPr>
                <w:rFonts w:ascii="Calibri" w:eastAsia="Times New Roman" w:hAnsi="Calibri"/>
                <w:color w:val="000000"/>
                <w:sz w:val="22"/>
                <w:szCs w:val="22"/>
                <w:lang w:val="es-MX" w:eastAsia="es-MX"/>
              </w:rPr>
            </w:pPr>
            <w:r w:rsidRPr="00B47ECE">
              <w:rPr>
                <w:rFonts w:ascii="Calibri" w:eastAsia="Times New Roman" w:hAnsi="Calibri"/>
                <w:color w:val="000000"/>
                <w:sz w:val="22"/>
                <w:szCs w:val="22"/>
                <w:lang w:val="es-MX" w:eastAsia="es-MX"/>
              </w:rPr>
              <w:t>Costo de Agua</w:t>
            </w:r>
            <w:r w:rsidRPr="00212509">
              <w:rPr>
                <w:rFonts w:ascii="Calibri" w:eastAsia="Times New Roman" w:hAnsi="Calibri"/>
                <w:color w:val="000000"/>
                <w:sz w:val="22"/>
                <w:szCs w:val="22"/>
                <w:lang w:val="es-MX" w:eastAsia="es-MX"/>
              </w:rPr>
              <w:t xml:space="preserve"> de la Planta</w:t>
            </w:r>
            <w:r w:rsidRPr="00B47ECE">
              <w:rPr>
                <w:rFonts w:ascii="Calibri" w:eastAsia="Times New Roman" w:hAnsi="Calibri"/>
                <w:color w:val="000000"/>
                <w:sz w:val="22"/>
                <w:szCs w:val="22"/>
                <w:lang w:val="es-MX" w:eastAsia="es-MX"/>
              </w:rPr>
              <w:t xml:space="preserve"> piloto ($)</w:t>
            </w:r>
          </w:p>
        </w:tc>
        <w:tc>
          <w:tcPr>
            <w:tcW w:w="5586" w:type="dxa"/>
            <w:gridSpan w:val="2"/>
            <w:shd w:val="clear" w:color="auto" w:fill="auto"/>
            <w:noWrap/>
          </w:tcPr>
          <w:p w:rsidR="00123C57" w:rsidRPr="00B47ECE" w:rsidRDefault="00123C57" w:rsidP="007F2707">
            <w:pPr>
              <w:jc w:val="center"/>
              <w:rPr>
                <w:rFonts w:ascii="Calibri" w:eastAsia="Times New Roman" w:hAnsi="Calibri"/>
                <w:b/>
                <w:color w:val="000000"/>
                <w:sz w:val="22"/>
                <w:szCs w:val="22"/>
                <w:lang w:val="es-MX" w:eastAsia="es-MX"/>
              </w:rPr>
            </w:pPr>
            <w:r w:rsidRPr="00B47ECE">
              <w:rPr>
                <w:rFonts w:ascii="Calibri" w:eastAsia="Times New Roman" w:hAnsi="Calibri"/>
                <w:color w:val="000000"/>
                <w:sz w:val="22"/>
                <w:szCs w:val="22"/>
                <w:lang w:val="es-MX" w:eastAsia="es-MX"/>
              </w:rPr>
              <w:t>5.60</w:t>
            </w:r>
            <w:r>
              <w:rPr>
                <w:rFonts w:ascii="Calibri" w:eastAsia="Times New Roman" w:hAnsi="Calibri"/>
                <w:color w:val="000000"/>
                <w:sz w:val="22"/>
                <w:szCs w:val="22"/>
                <w:lang w:val="es-MX" w:eastAsia="es-MX"/>
              </w:rPr>
              <w:t xml:space="preserve"> MXN (0.25 USD)</w:t>
            </w:r>
          </w:p>
        </w:tc>
      </w:tr>
      <w:tr w:rsidR="00123C57" w:rsidRPr="00B47ECE" w:rsidTr="007F2707">
        <w:trPr>
          <w:trHeight w:val="242"/>
          <w:jc w:val="center"/>
        </w:trPr>
        <w:tc>
          <w:tcPr>
            <w:tcW w:w="4052" w:type="dxa"/>
            <w:shd w:val="clear" w:color="auto" w:fill="auto"/>
            <w:noWrap/>
            <w:hideMark/>
          </w:tcPr>
          <w:p w:rsidR="00123C57" w:rsidRPr="00B47ECE" w:rsidRDefault="00123C57" w:rsidP="007F2707">
            <w:pPr>
              <w:rPr>
                <w:rFonts w:ascii="Calibri" w:eastAsia="Times New Roman" w:hAnsi="Calibri"/>
                <w:color w:val="000000"/>
                <w:sz w:val="22"/>
                <w:szCs w:val="22"/>
                <w:lang w:val="es-MX" w:eastAsia="es-MX"/>
              </w:rPr>
            </w:pPr>
            <w:r w:rsidRPr="00B47ECE">
              <w:rPr>
                <w:rFonts w:ascii="Calibri" w:eastAsia="Times New Roman" w:hAnsi="Calibri"/>
                <w:color w:val="000000"/>
                <w:sz w:val="22"/>
                <w:szCs w:val="22"/>
                <w:lang w:val="es-MX" w:eastAsia="es-MX"/>
              </w:rPr>
              <w:t>Costo de agua de pozo  ($)</w:t>
            </w:r>
          </w:p>
        </w:tc>
        <w:tc>
          <w:tcPr>
            <w:tcW w:w="5586" w:type="dxa"/>
            <w:gridSpan w:val="2"/>
            <w:shd w:val="clear" w:color="auto" w:fill="auto"/>
            <w:noWrap/>
            <w:hideMark/>
          </w:tcPr>
          <w:p w:rsidR="00123C57" w:rsidRPr="00B47ECE" w:rsidRDefault="00123C57" w:rsidP="007F2707">
            <w:pPr>
              <w:jc w:val="center"/>
              <w:rPr>
                <w:rFonts w:ascii="Calibri" w:eastAsia="Times New Roman" w:hAnsi="Calibri"/>
                <w:color w:val="000000"/>
                <w:sz w:val="22"/>
                <w:szCs w:val="22"/>
                <w:lang w:val="es-MX" w:eastAsia="es-MX"/>
              </w:rPr>
            </w:pPr>
            <w:r w:rsidRPr="00212509">
              <w:rPr>
                <w:rFonts w:ascii="Calibri" w:eastAsia="Times New Roman" w:hAnsi="Calibri"/>
                <w:color w:val="000000"/>
                <w:sz w:val="22"/>
                <w:szCs w:val="22"/>
                <w:lang w:val="es-MX" w:eastAsia="es-MX"/>
              </w:rPr>
              <w:t xml:space="preserve"> </w:t>
            </w:r>
            <w:r w:rsidRPr="00B47ECE">
              <w:rPr>
                <w:rFonts w:ascii="Calibri" w:eastAsia="Times New Roman" w:hAnsi="Calibri"/>
                <w:color w:val="000000"/>
                <w:sz w:val="22"/>
                <w:szCs w:val="22"/>
                <w:lang w:val="es-MX" w:eastAsia="es-MX"/>
              </w:rPr>
              <w:t xml:space="preserve">12.00 </w:t>
            </w:r>
            <w:r>
              <w:rPr>
                <w:rFonts w:ascii="Calibri" w:eastAsia="Times New Roman" w:hAnsi="Calibri"/>
                <w:color w:val="000000"/>
                <w:sz w:val="22"/>
                <w:szCs w:val="22"/>
                <w:lang w:val="es-MX" w:eastAsia="es-MX"/>
              </w:rPr>
              <w:t xml:space="preserve"> MXN (0.54 USD)</w:t>
            </w:r>
          </w:p>
        </w:tc>
      </w:tr>
      <w:tr w:rsidR="00123C57" w:rsidRPr="00B47ECE" w:rsidTr="007F2707">
        <w:trPr>
          <w:trHeight w:val="242"/>
          <w:jc w:val="center"/>
        </w:trPr>
        <w:tc>
          <w:tcPr>
            <w:tcW w:w="4052" w:type="dxa"/>
            <w:shd w:val="clear" w:color="auto" w:fill="auto"/>
            <w:noWrap/>
            <w:hideMark/>
          </w:tcPr>
          <w:p w:rsidR="00123C57" w:rsidRPr="00B47ECE" w:rsidRDefault="00123C57" w:rsidP="007F2707">
            <w:pPr>
              <w:rPr>
                <w:rFonts w:ascii="Calibri" w:eastAsia="Times New Roman" w:hAnsi="Calibri"/>
                <w:color w:val="000000"/>
                <w:sz w:val="22"/>
                <w:szCs w:val="22"/>
                <w:lang w:val="es-MX" w:eastAsia="es-MX"/>
              </w:rPr>
            </w:pPr>
            <w:r w:rsidRPr="00B47ECE">
              <w:rPr>
                <w:rFonts w:ascii="Calibri" w:eastAsia="Times New Roman" w:hAnsi="Calibri"/>
                <w:color w:val="000000"/>
                <w:sz w:val="22"/>
                <w:szCs w:val="22"/>
                <w:lang w:val="es-MX" w:eastAsia="es-MX"/>
              </w:rPr>
              <w:t>Costo m</w:t>
            </w:r>
            <w:r w:rsidRPr="00B47ECE">
              <w:rPr>
                <w:rFonts w:ascii="Calibri" w:eastAsia="Times New Roman" w:hAnsi="Calibri"/>
                <w:color w:val="000000"/>
                <w:sz w:val="22"/>
                <w:szCs w:val="22"/>
                <w:vertAlign w:val="superscript"/>
                <w:lang w:val="es-MX" w:eastAsia="es-MX"/>
              </w:rPr>
              <w:t xml:space="preserve">3 </w:t>
            </w:r>
            <w:r w:rsidRPr="00B47ECE">
              <w:rPr>
                <w:rFonts w:ascii="Calibri" w:eastAsia="Times New Roman" w:hAnsi="Calibri"/>
                <w:color w:val="000000"/>
                <w:sz w:val="22"/>
                <w:szCs w:val="22"/>
                <w:lang w:val="es-MX" w:eastAsia="es-MX"/>
              </w:rPr>
              <w:t>total ($)</w:t>
            </w:r>
          </w:p>
        </w:tc>
        <w:tc>
          <w:tcPr>
            <w:tcW w:w="5586" w:type="dxa"/>
            <w:gridSpan w:val="2"/>
            <w:shd w:val="clear" w:color="auto" w:fill="auto"/>
            <w:noWrap/>
            <w:hideMark/>
          </w:tcPr>
          <w:p w:rsidR="00123C57" w:rsidRPr="00B47ECE" w:rsidRDefault="00123C57" w:rsidP="007F2707">
            <w:pPr>
              <w:jc w:val="center"/>
              <w:rPr>
                <w:rFonts w:ascii="Calibri" w:eastAsia="Times New Roman" w:hAnsi="Calibri"/>
                <w:color w:val="000000"/>
                <w:sz w:val="22"/>
                <w:szCs w:val="22"/>
                <w:lang w:val="es-MX" w:eastAsia="es-MX"/>
              </w:rPr>
            </w:pPr>
            <w:r w:rsidRPr="00212509">
              <w:rPr>
                <w:rFonts w:ascii="Calibri" w:eastAsia="Times New Roman" w:hAnsi="Calibri"/>
                <w:color w:val="000000"/>
                <w:sz w:val="22"/>
                <w:szCs w:val="22"/>
                <w:lang w:val="es-MX" w:eastAsia="es-MX"/>
              </w:rPr>
              <w:t xml:space="preserve"> </w:t>
            </w:r>
            <w:r w:rsidRPr="00B47ECE">
              <w:rPr>
                <w:rFonts w:ascii="Calibri" w:eastAsia="Times New Roman" w:hAnsi="Calibri"/>
                <w:color w:val="000000"/>
                <w:sz w:val="22"/>
                <w:szCs w:val="22"/>
                <w:lang w:val="es-MX" w:eastAsia="es-MX"/>
              </w:rPr>
              <w:t>6.40</w:t>
            </w:r>
            <w:r>
              <w:rPr>
                <w:rFonts w:ascii="Calibri" w:eastAsia="Times New Roman" w:hAnsi="Calibri"/>
                <w:color w:val="000000"/>
                <w:sz w:val="22"/>
                <w:szCs w:val="22"/>
                <w:lang w:val="es-MX" w:eastAsia="es-MX"/>
              </w:rPr>
              <w:t xml:space="preserve"> MXN (0.29 USD)</w:t>
            </w:r>
            <w:r w:rsidRPr="00B47ECE">
              <w:rPr>
                <w:rFonts w:ascii="Calibri" w:eastAsia="Times New Roman" w:hAnsi="Calibri"/>
                <w:color w:val="000000"/>
                <w:sz w:val="22"/>
                <w:szCs w:val="22"/>
                <w:lang w:val="es-MX" w:eastAsia="es-MX"/>
              </w:rPr>
              <w:t xml:space="preserve"> </w:t>
            </w:r>
          </w:p>
        </w:tc>
      </w:tr>
      <w:tr w:rsidR="00123C57" w:rsidRPr="00212509" w:rsidTr="007F2707">
        <w:trPr>
          <w:trHeight w:val="242"/>
          <w:jc w:val="center"/>
        </w:trPr>
        <w:tc>
          <w:tcPr>
            <w:tcW w:w="4052" w:type="dxa"/>
            <w:shd w:val="clear" w:color="auto" w:fill="auto"/>
            <w:noWrap/>
            <w:hideMark/>
          </w:tcPr>
          <w:p w:rsidR="00123C57" w:rsidRPr="00B47ECE" w:rsidRDefault="00123C57" w:rsidP="007F2707">
            <w:pPr>
              <w:rPr>
                <w:rFonts w:ascii="Calibri" w:eastAsia="Times New Roman" w:hAnsi="Calibri"/>
                <w:color w:val="000000"/>
                <w:sz w:val="22"/>
                <w:szCs w:val="22"/>
                <w:lang w:val="es-MX" w:eastAsia="es-MX"/>
              </w:rPr>
            </w:pPr>
            <w:r w:rsidRPr="00B47ECE">
              <w:rPr>
                <w:rFonts w:ascii="Calibri" w:eastAsia="Times New Roman" w:hAnsi="Calibri"/>
                <w:color w:val="000000"/>
                <w:sz w:val="22"/>
                <w:szCs w:val="22"/>
                <w:lang w:val="es-MX" w:eastAsia="es-MX"/>
              </w:rPr>
              <w:t>m</w:t>
            </w:r>
            <w:r w:rsidRPr="00B47ECE">
              <w:rPr>
                <w:rFonts w:ascii="Calibri" w:eastAsia="Times New Roman" w:hAnsi="Calibri"/>
                <w:color w:val="000000"/>
                <w:sz w:val="22"/>
                <w:szCs w:val="22"/>
                <w:vertAlign w:val="superscript"/>
                <w:lang w:val="es-MX" w:eastAsia="es-MX"/>
              </w:rPr>
              <w:t>3</w:t>
            </w:r>
            <w:r w:rsidRPr="00B47ECE">
              <w:rPr>
                <w:rFonts w:ascii="Calibri" w:eastAsia="Times New Roman" w:hAnsi="Calibri"/>
                <w:color w:val="000000"/>
                <w:sz w:val="22"/>
                <w:szCs w:val="22"/>
                <w:lang w:val="es-MX" w:eastAsia="es-MX"/>
              </w:rPr>
              <w:t>/año</w:t>
            </w:r>
          </w:p>
        </w:tc>
        <w:tc>
          <w:tcPr>
            <w:tcW w:w="2468" w:type="dxa"/>
            <w:shd w:val="clear" w:color="auto" w:fill="auto"/>
            <w:noWrap/>
            <w:hideMark/>
          </w:tcPr>
          <w:p w:rsidR="00123C57" w:rsidRPr="00B47ECE" w:rsidRDefault="00123C57" w:rsidP="007F2707">
            <w:pPr>
              <w:jc w:val="center"/>
              <w:rPr>
                <w:rFonts w:ascii="Calibri" w:eastAsia="Times New Roman" w:hAnsi="Calibri"/>
                <w:color w:val="000000"/>
                <w:sz w:val="22"/>
                <w:szCs w:val="22"/>
                <w:lang w:val="es-MX" w:eastAsia="es-MX"/>
              </w:rPr>
            </w:pPr>
            <w:r w:rsidRPr="00B47ECE">
              <w:rPr>
                <w:rFonts w:ascii="Calibri" w:eastAsia="Times New Roman" w:hAnsi="Calibri"/>
                <w:color w:val="000000"/>
                <w:sz w:val="22"/>
                <w:szCs w:val="22"/>
                <w:lang w:val="es-MX" w:eastAsia="es-MX"/>
              </w:rPr>
              <w:t>1,261,440</w:t>
            </w:r>
          </w:p>
        </w:tc>
        <w:tc>
          <w:tcPr>
            <w:tcW w:w="3118" w:type="dxa"/>
            <w:shd w:val="clear" w:color="auto" w:fill="auto"/>
            <w:noWrap/>
            <w:hideMark/>
          </w:tcPr>
          <w:p w:rsidR="00123C57" w:rsidRPr="00B47ECE" w:rsidRDefault="00123C57" w:rsidP="007F2707">
            <w:pPr>
              <w:jc w:val="center"/>
              <w:rPr>
                <w:rFonts w:ascii="Calibri" w:eastAsia="Times New Roman" w:hAnsi="Calibri"/>
                <w:color w:val="000000"/>
                <w:sz w:val="22"/>
                <w:szCs w:val="22"/>
                <w:lang w:val="es-MX" w:eastAsia="es-MX"/>
              </w:rPr>
            </w:pPr>
            <w:r w:rsidRPr="00B47ECE">
              <w:rPr>
                <w:rFonts w:ascii="Calibri" w:eastAsia="Times New Roman" w:hAnsi="Calibri"/>
                <w:color w:val="000000"/>
                <w:sz w:val="22"/>
                <w:szCs w:val="22"/>
                <w:lang w:val="es-MX" w:eastAsia="es-MX"/>
              </w:rPr>
              <w:t>630,720</w:t>
            </w:r>
          </w:p>
        </w:tc>
      </w:tr>
      <w:tr w:rsidR="00123C57" w:rsidRPr="00B47ECE" w:rsidTr="007F2707">
        <w:trPr>
          <w:trHeight w:val="242"/>
          <w:jc w:val="center"/>
        </w:trPr>
        <w:tc>
          <w:tcPr>
            <w:tcW w:w="4052" w:type="dxa"/>
            <w:shd w:val="clear" w:color="auto" w:fill="auto"/>
            <w:noWrap/>
            <w:hideMark/>
          </w:tcPr>
          <w:p w:rsidR="00123C57" w:rsidRPr="00B47ECE" w:rsidRDefault="00123C57" w:rsidP="007F2707">
            <w:pPr>
              <w:rPr>
                <w:rFonts w:ascii="Calibri" w:eastAsia="Times New Roman" w:hAnsi="Calibri"/>
                <w:color w:val="000000"/>
                <w:sz w:val="22"/>
                <w:szCs w:val="22"/>
                <w:lang w:val="es-MX" w:eastAsia="es-MX"/>
              </w:rPr>
            </w:pPr>
            <w:r w:rsidRPr="00B47ECE">
              <w:rPr>
                <w:rFonts w:ascii="Calibri" w:eastAsia="Times New Roman" w:hAnsi="Calibri"/>
                <w:color w:val="000000"/>
                <w:sz w:val="22"/>
                <w:szCs w:val="22"/>
                <w:lang w:val="es-MX" w:eastAsia="es-MX"/>
              </w:rPr>
              <w:t>Caudal</w:t>
            </w:r>
          </w:p>
        </w:tc>
        <w:tc>
          <w:tcPr>
            <w:tcW w:w="2468" w:type="dxa"/>
            <w:shd w:val="clear" w:color="auto" w:fill="auto"/>
            <w:noWrap/>
            <w:hideMark/>
          </w:tcPr>
          <w:p w:rsidR="00123C57" w:rsidRPr="00B47ECE" w:rsidRDefault="00123C57" w:rsidP="007F2707">
            <w:pPr>
              <w:jc w:val="center"/>
              <w:rPr>
                <w:rFonts w:ascii="Calibri" w:eastAsia="Times New Roman" w:hAnsi="Calibri"/>
                <w:color w:val="000000"/>
                <w:sz w:val="22"/>
                <w:szCs w:val="22"/>
                <w:lang w:val="es-MX" w:eastAsia="es-MX"/>
              </w:rPr>
            </w:pPr>
            <w:r w:rsidRPr="00212509">
              <w:rPr>
                <w:rFonts w:ascii="Calibri" w:eastAsia="Times New Roman" w:hAnsi="Calibri"/>
                <w:color w:val="000000"/>
                <w:sz w:val="22"/>
                <w:szCs w:val="22"/>
                <w:lang w:val="es-MX" w:eastAsia="es-MX"/>
              </w:rPr>
              <w:t>0.040 m</w:t>
            </w:r>
            <w:r w:rsidRPr="00212509">
              <w:rPr>
                <w:rFonts w:ascii="Calibri" w:eastAsia="Times New Roman" w:hAnsi="Calibri"/>
                <w:color w:val="000000"/>
                <w:sz w:val="22"/>
                <w:szCs w:val="22"/>
                <w:vertAlign w:val="superscript"/>
                <w:lang w:val="es-MX" w:eastAsia="es-MX"/>
              </w:rPr>
              <w:t>3</w:t>
            </w:r>
            <w:r w:rsidRPr="00212509">
              <w:rPr>
                <w:rFonts w:ascii="Calibri" w:eastAsia="Times New Roman" w:hAnsi="Calibri"/>
                <w:color w:val="000000"/>
                <w:sz w:val="22"/>
                <w:szCs w:val="22"/>
                <w:lang w:val="es-MX" w:eastAsia="es-MX"/>
              </w:rPr>
              <w:t xml:space="preserve">/ </w:t>
            </w:r>
            <w:r w:rsidRPr="00B47ECE">
              <w:rPr>
                <w:rFonts w:ascii="Calibri" w:eastAsia="Times New Roman" w:hAnsi="Calibri"/>
                <w:color w:val="000000"/>
                <w:sz w:val="22"/>
                <w:szCs w:val="22"/>
                <w:lang w:val="es-MX" w:eastAsia="es-MX"/>
              </w:rPr>
              <w:t>s</w:t>
            </w:r>
          </w:p>
        </w:tc>
        <w:tc>
          <w:tcPr>
            <w:tcW w:w="3118" w:type="dxa"/>
            <w:shd w:val="clear" w:color="auto" w:fill="auto"/>
            <w:noWrap/>
            <w:hideMark/>
          </w:tcPr>
          <w:p w:rsidR="00123C57" w:rsidRPr="00B47ECE" w:rsidRDefault="00123C57" w:rsidP="007F2707">
            <w:pPr>
              <w:jc w:val="center"/>
              <w:rPr>
                <w:rFonts w:ascii="Calibri" w:eastAsia="Times New Roman" w:hAnsi="Calibri"/>
                <w:color w:val="000000"/>
                <w:sz w:val="22"/>
                <w:szCs w:val="22"/>
                <w:lang w:val="es-MX" w:eastAsia="es-MX"/>
              </w:rPr>
            </w:pPr>
            <w:r w:rsidRPr="00212509">
              <w:rPr>
                <w:rFonts w:ascii="Calibri" w:eastAsia="Times New Roman" w:hAnsi="Calibri"/>
                <w:color w:val="000000"/>
                <w:sz w:val="22"/>
                <w:szCs w:val="22"/>
                <w:lang w:val="es-MX" w:eastAsia="es-MX"/>
              </w:rPr>
              <w:t>0.0</w:t>
            </w:r>
            <w:r w:rsidRPr="00B47ECE">
              <w:rPr>
                <w:rFonts w:ascii="Calibri" w:eastAsia="Times New Roman" w:hAnsi="Calibri"/>
                <w:color w:val="000000"/>
                <w:sz w:val="22"/>
                <w:szCs w:val="22"/>
                <w:lang w:val="es-MX" w:eastAsia="es-MX"/>
              </w:rPr>
              <w:t xml:space="preserve">20 </w:t>
            </w:r>
            <w:r w:rsidRPr="00212509">
              <w:rPr>
                <w:rFonts w:ascii="Calibri" w:eastAsia="Times New Roman" w:hAnsi="Calibri"/>
                <w:color w:val="000000"/>
                <w:sz w:val="22"/>
                <w:szCs w:val="22"/>
                <w:lang w:val="es-MX" w:eastAsia="es-MX"/>
              </w:rPr>
              <w:t>m</w:t>
            </w:r>
            <w:r w:rsidRPr="00212509">
              <w:rPr>
                <w:rFonts w:ascii="Calibri" w:eastAsia="Times New Roman" w:hAnsi="Calibri"/>
                <w:color w:val="000000"/>
                <w:sz w:val="22"/>
                <w:szCs w:val="22"/>
                <w:vertAlign w:val="superscript"/>
                <w:lang w:val="es-MX" w:eastAsia="es-MX"/>
              </w:rPr>
              <w:t>3</w:t>
            </w:r>
            <w:r w:rsidRPr="00212509">
              <w:rPr>
                <w:rFonts w:ascii="Calibri" w:eastAsia="Times New Roman" w:hAnsi="Calibri"/>
                <w:color w:val="000000"/>
                <w:sz w:val="22"/>
                <w:szCs w:val="22"/>
                <w:lang w:val="es-MX" w:eastAsia="es-MX"/>
              </w:rPr>
              <w:t xml:space="preserve">/ </w:t>
            </w:r>
            <w:r w:rsidRPr="00B47ECE">
              <w:rPr>
                <w:rFonts w:ascii="Calibri" w:eastAsia="Times New Roman" w:hAnsi="Calibri"/>
                <w:color w:val="000000"/>
                <w:sz w:val="22"/>
                <w:szCs w:val="22"/>
                <w:lang w:val="es-MX" w:eastAsia="es-MX"/>
              </w:rPr>
              <w:t>s</w:t>
            </w:r>
          </w:p>
        </w:tc>
      </w:tr>
      <w:tr w:rsidR="00123C57" w:rsidRPr="00212509" w:rsidTr="007F2707">
        <w:trPr>
          <w:trHeight w:val="242"/>
          <w:jc w:val="center"/>
        </w:trPr>
        <w:tc>
          <w:tcPr>
            <w:tcW w:w="4052" w:type="dxa"/>
            <w:shd w:val="clear" w:color="auto" w:fill="auto"/>
            <w:noWrap/>
            <w:hideMark/>
          </w:tcPr>
          <w:p w:rsidR="00123C57" w:rsidRPr="00B47ECE" w:rsidRDefault="00123C57" w:rsidP="007F2707">
            <w:pPr>
              <w:rPr>
                <w:rFonts w:ascii="Calibri" w:eastAsia="Times New Roman" w:hAnsi="Calibri"/>
                <w:color w:val="000000"/>
                <w:sz w:val="22"/>
                <w:szCs w:val="22"/>
                <w:lang w:val="es-MX" w:eastAsia="es-MX"/>
              </w:rPr>
            </w:pPr>
            <w:r w:rsidRPr="00B47ECE">
              <w:rPr>
                <w:rFonts w:ascii="Calibri" w:eastAsia="Times New Roman" w:hAnsi="Calibri"/>
                <w:color w:val="000000"/>
                <w:sz w:val="22"/>
                <w:szCs w:val="22"/>
                <w:lang w:val="es-MX" w:eastAsia="es-MX"/>
              </w:rPr>
              <w:t>Costo anual  ($)</w:t>
            </w:r>
          </w:p>
        </w:tc>
        <w:tc>
          <w:tcPr>
            <w:tcW w:w="2468" w:type="dxa"/>
            <w:shd w:val="clear" w:color="auto" w:fill="auto"/>
            <w:noWrap/>
            <w:hideMark/>
          </w:tcPr>
          <w:p w:rsidR="00123C57" w:rsidRDefault="00123C57" w:rsidP="007F2707">
            <w:pPr>
              <w:jc w:val="cente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8,073,216 MXN</w:t>
            </w:r>
          </w:p>
          <w:p w:rsidR="00123C57" w:rsidRPr="00B47ECE" w:rsidRDefault="00123C57" w:rsidP="007F2707">
            <w:pPr>
              <w:jc w:val="cente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w:t>
            </w:r>
            <w:r w:rsidRPr="00D622FA">
              <w:rPr>
                <w:rFonts w:ascii="Calibri" w:eastAsia="Times New Roman" w:hAnsi="Calibri"/>
                <w:color w:val="000000"/>
                <w:sz w:val="22"/>
                <w:szCs w:val="22"/>
                <w:lang w:val="es-MX" w:eastAsia="es-MX"/>
              </w:rPr>
              <w:t>366352.05</w:t>
            </w:r>
            <w:r>
              <w:rPr>
                <w:rFonts w:ascii="Calibri" w:eastAsia="Times New Roman" w:hAnsi="Calibri"/>
                <w:color w:val="000000"/>
                <w:sz w:val="22"/>
                <w:szCs w:val="22"/>
                <w:lang w:val="es-MX" w:eastAsia="es-MX"/>
              </w:rPr>
              <w:t xml:space="preserve"> USD)</w:t>
            </w:r>
          </w:p>
        </w:tc>
        <w:tc>
          <w:tcPr>
            <w:tcW w:w="3118" w:type="dxa"/>
            <w:shd w:val="clear" w:color="auto" w:fill="auto"/>
            <w:noWrap/>
            <w:hideMark/>
          </w:tcPr>
          <w:p w:rsidR="00123C57" w:rsidRDefault="00123C57" w:rsidP="007F2707">
            <w:pPr>
              <w:jc w:val="cente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4,036,608 MXN</w:t>
            </w:r>
          </w:p>
          <w:p w:rsidR="00123C57" w:rsidRPr="00B47ECE" w:rsidRDefault="00123C57" w:rsidP="007F2707">
            <w:pPr>
              <w:jc w:val="cente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w:t>
            </w:r>
            <w:r w:rsidRPr="00D622FA">
              <w:rPr>
                <w:rFonts w:ascii="Calibri" w:eastAsia="Times New Roman" w:hAnsi="Calibri"/>
                <w:color w:val="000000"/>
                <w:sz w:val="22"/>
                <w:szCs w:val="22"/>
                <w:lang w:val="es-MX" w:eastAsia="es-MX"/>
              </w:rPr>
              <w:t>183</w:t>
            </w:r>
            <w:r>
              <w:rPr>
                <w:rFonts w:ascii="Calibri" w:eastAsia="Times New Roman" w:hAnsi="Calibri"/>
                <w:color w:val="000000"/>
                <w:sz w:val="22"/>
                <w:szCs w:val="22"/>
                <w:lang w:val="es-MX" w:eastAsia="es-MX"/>
              </w:rPr>
              <w:t>,</w:t>
            </w:r>
            <w:r w:rsidRPr="00D622FA">
              <w:rPr>
                <w:rFonts w:ascii="Calibri" w:eastAsia="Times New Roman" w:hAnsi="Calibri"/>
                <w:color w:val="000000"/>
                <w:sz w:val="22"/>
                <w:szCs w:val="22"/>
                <w:lang w:val="es-MX" w:eastAsia="es-MX"/>
              </w:rPr>
              <w:t>176.03</w:t>
            </w:r>
            <w:r>
              <w:rPr>
                <w:rFonts w:ascii="Calibri" w:eastAsia="Times New Roman" w:hAnsi="Calibri"/>
                <w:color w:val="000000"/>
                <w:sz w:val="22"/>
                <w:szCs w:val="22"/>
                <w:lang w:val="es-MX" w:eastAsia="es-MX"/>
              </w:rPr>
              <w:t>)</w:t>
            </w:r>
          </w:p>
        </w:tc>
      </w:tr>
      <w:tr w:rsidR="00123C57" w:rsidRPr="00B47ECE" w:rsidTr="007F2707">
        <w:trPr>
          <w:trHeight w:val="242"/>
          <w:jc w:val="center"/>
        </w:trPr>
        <w:tc>
          <w:tcPr>
            <w:tcW w:w="6520" w:type="dxa"/>
            <w:gridSpan w:val="2"/>
            <w:shd w:val="clear" w:color="auto" w:fill="auto"/>
            <w:noWrap/>
            <w:hideMark/>
          </w:tcPr>
          <w:p w:rsidR="00123C57" w:rsidRPr="00B47ECE" w:rsidRDefault="00123C57" w:rsidP="007F2707">
            <w:pPr>
              <w:rPr>
                <w:rFonts w:ascii="Calibri" w:eastAsia="Times New Roman" w:hAnsi="Calibri"/>
                <w:color w:val="000000"/>
                <w:sz w:val="22"/>
                <w:szCs w:val="22"/>
                <w:lang w:val="es-MX" w:eastAsia="es-MX"/>
              </w:rPr>
            </w:pPr>
            <w:r w:rsidRPr="00B47ECE">
              <w:rPr>
                <w:rFonts w:ascii="Calibri" w:eastAsia="Times New Roman" w:hAnsi="Calibri"/>
                <w:color w:val="000000"/>
                <w:sz w:val="22"/>
                <w:szCs w:val="22"/>
                <w:lang w:val="es-MX" w:eastAsia="es-MX"/>
              </w:rPr>
              <w:t>Infraestructura  para la inyección directa al pozo  ($)</w:t>
            </w:r>
          </w:p>
        </w:tc>
        <w:tc>
          <w:tcPr>
            <w:tcW w:w="3118" w:type="dxa"/>
            <w:shd w:val="clear" w:color="auto" w:fill="auto"/>
            <w:noWrap/>
            <w:hideMark/>
          </w:tcPr>
          <w:p w:rsidR="00123C57" w:rsidRDefault="00123C57" w:rsidP="007F2707">
            <w:pPr>
              <w:jc w:val="cente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2,500,000 MXN</w:t>
            </w:r>
          </w:p>
          <w:p w:rsidR="00123C57" w:rsidRPr="00B47ECE" w:rsidRDefault="00123C57" w:rsidP="007F2707">
            <w:pPr>
              <w:jc w:val="center"/>
              <w:rPr>
                <w:rFonts w:ascii="Calibri" w:eastAsia="Times New Roman" w:hAnsi="Calibri"/>
                <w:color w:val="000000"/>
                <w:sz w:val="22"/>
                <w:szCs w:val="22"/>
                <w:lang w:val="es-MX" w:eastAsia="es-MX"/>
              </w:rPr>
            </w:pPr>
            <w:r>
              <w:rPr>
                <w:rFonts w:ascii="Calibri" w:eastAsia="Times New Roman" w:hAnsi="Calibri"/>
                <w:color w:val="000000"/>
                <w:sz w:val="22"/>
                <w:szCs w:val="22"/>
                <w:lang w:val="es-MX" w:eastAsia="es-MX"/>
              </w:rPr>
              <w:t>(</w:t>
            </w:r>
            <w:r w:rsidRPr="00D622FA">
              <w:rPr>
                <w:rFonts w:ascii="Calibri" w:eastAsia="Times New Roman" w:hAnsi="Calibri"/>
                <w:color w:val="000000"/>
                <w:sz w:val="22"/>
                <w:szCs w:val="22"/>
                <w:lang w:val="es-MX" w:eastAsia="es-MX"/>
              </w:rPr>
              <w:t>113</w:t>
            </w:r>
            <w:r>
              <w:rPr>
                <w:rFonts w:ascii="Calibri" w:eastAsia="Times New Roman" w:hAnsi="Calibri"/>
                <w:color w:val="000000"/>
                <w:sz w:val="22"/>
                <w:szCs w:val="22"/>
                <w:lang w:val="es-MX" w:eastAsia="es-MX"/>
              </w:rPr>
              <w:t>,</w:t>
            </w:r>
            <w:r w:rsidRPr="00D622FA">
              <w:rPr>
                <w:rFonts w:ascii="Calibri" w:eastAsia="Times New Roman" w:hAnsi="Calibri"/>
                <w:color w:val="000000"/>
                <w:sz w:val="22"/>
                <w:szCs w:val="22"/>
                <w:lang w:val="es-MX" w:eastAsia="es-MX"/>
              </w:rPr>
              <w:t>446.75</w:t>
            </w:r>
            <w:r>
              <w:rPr>
                <w:rFonts w:ascii="Calibri" w:eastAsia="Times New Roman" w:hAnsi="Calibri"/>
                <w:color w:val="000000"/>
                <w:sz w:val="22"/>
                <w:szCs w:val="22"/>
                <w:lang w:val="es-MX" w:eastAsia="es-MX"/>
              </w:rPr>
              <w:t xml:space="preserve"> USD)</w:t>
            </w:r>
          </w:p>
        </w:tc>
      </w:tr>
      <w:tr w:rsidR="00123C57" w:rsidRPr="00B47ECE" w:rsidTr="007F2707">
        <w:trPr>
          <w:trHeight w:val="242"/>
          <w:jc w:val="center"/>
        </w:trPr>
        <w:tc>
          <w:tcPr>
            <w:tcW w:w="4052" w:type="dxa"/>
            <w:shd w:val="clear" w:color="auto" w:fill="auto"/>
            <w:noWrap/>
            <w:hideMark/>
          </w:tcPr>
          <w:p w:rsidR="00123C57" w:rsidRPr="00B47ECE" w:rsidRDefault="00123C57" w:rsidP="007F2707">
            <w:pPr>
              <w:rPr>
                <w:rFonts w:ascii="Calibri" w:eastAsia="Times New Roman" w:hAnsi="Calibri"/>
                <w:color w:val="000000"/>
                <w:sz w:val="22"/>
                <w:szCs w:val="22"/>
                <w:lang w:val="es-MX" w:eastAsia="es-MX"/>
              </w:rPr>
            </w:pPr>
            <w:r w:rsidRPr="00B47ECE">
              <w:rPr>
                <w:rFonts w:ascii="Calibri" w:eastAsia="Times New Roman" w:hAnsi="Calibri"/>
                <w:color w:val="000000"/>
                <w:sz w:val="22"/>
                <w:szCs w:val="22"/>
                <w:lang w:val="es-MX" w:eastAsia="es-MX"/>
              </w:rPr>
              <w:t>TSD</w:t>
            </w:r>
          </w:p>
        </w:tc>
        <w:tc>
          <w:tcPr>
            <w:tcW w:w="5586" w:type="dxa"/>
            <w:gridSpan w:val="2"/>
            <w:shd w:val="clear" w:color="auto" w:fill="auto"/>
            <w:noWrap/>
            <w:hideMark/>
          </w:tcPr>
          <w:p w:rsidR="00123C57" w:rsidRPr="00B47ECE" w:rsidRDefault="00123C57" w:rsidP="007F2707">
            <w:pPr>
              <w:jc w:val="center"/>
              <w:rPr>
                <w:rFonts w:ascii="Calibri" w:eastAsia="Times New Roman" w:hAnsi="Calibri"/>
                <w:color w:val="000000"/>
                <w:sz w:val="22"/>
                <w:szCs w:val="22"/>
                <w:lang w:val="es-MX" w:eastAsia="es-MX"/>
              </w:rPr>
            </w:pPr>
            <w:r w:rsidRPr="00B47ECE">
              <w:rPr>
                <w:rFonts w:ascii="Calibri" w:eastAsia="Times New Roman" w:hAnsi="Calibri"/>
                <w:color w:val="000000"/>
                <w:sz w:val="22"/>
                <w:szCs w:val="22"/>
                <w:lang w:val="es-MX" w:eastAsia="es-MX"/>
              </w:rPr>
              <w:t>10%</w:t>
            </w:r>
          </w:p>
        </w:tc>
      </w:tr>
    </w:tbl>
    <w:p w:rsidR="00123C57" w:rsidRDefault="00123C57" w:rsidP="00123C57">
      <w:pPr>
        <w:jc w:val="both"/>
        <w:rPr>
          <w:rFonts w:ascii="Arial" w:hAnsi="Arial" w:cs="Arial"/>
          <w:bCs/>
          <w:lang w:val="es-MX"/>
        </w:rPr>
      </w:pPr>
    </w:p>
    <w:p w:rsidR="00123C57" w:rsidRPr="006C041F" w:rsidRDefault="00123C57" w:rsidP="00123C57">
      <w:pPr>
        <w:jc w:val="both"/>
        <w:rPr>
          <w:rFonts w:ascii="Arial" w:hAnsi="Arial" w:cs="Arial"/>
          <w:bCs/>
          <w:lang w:val="es-ES_tradnl"/>
        </w:rPr>
      </w:pPr>
      <w:r w:rsidRPr="00AA322E">
        <w:rPr>
          <w:rFonts w:ascii="Arial" w:hAnsi="Arial" w:cs="Arial"/>
          <w:bCs/>
          <w:lang w:val="es-ES_tradnl"/>
        </w:rPr>
        <w:t>Una vez cuantificados y valorados los costos, se procedió a calcular la rentabilidad del proyecto, considerando una Tasa de Depreciación S</w:t>
      </w:r>
      <w:r>
        <w:rPr>
          <w:rFonts w:ascii="Arial" w:hAnsi="Arial" w:cs="Arial"/>
          <w:bCs/>
          <w:lang w:val="es-ES_tradnl"/>
        </w:rPr>
        <w:t xml:space="preserve">ocial (TSD) del 10%, </w:t>
      </w:r>
      <w:r w:rsidRPr="00AA322E">
        <w:rPr>
          <w:rFonts w:ascii="Arial" w:hAnsi="Arial" w:cs="Arial"/>
          <w:bCs/>
          <w:lang w:val="es-ES_tradnl"/>
        </w:rPr>
        <w:t>para lo cual se elaboró el flujo de evaluación del mismo</w:t>
      </w:r>
      <w:r>
        <w:rPr>
          <w:rFonts w:ascii="Arial" w:hAnsi="Arial" w:cs="Arial"/>
          <w:bCs/>
          <w:lang w:val="es-ES_tradnl"/>
        </w:rPr>
        <w:t xml:space="preserve"> a 5 años, y se calculó el Valor Actual Neto (VAN), la Tasa Interna de Retorno (TIR) y la relación Costo-Beneficio (C/B). Como resultado se obtuvo un </w:t>
      </w:r>
      <w:r w:rsidRPr="0078135C">
        <w:rPr>
          <w:rFonts w:ascii="Arial" w:hAnsi="Arial" w:cs="Arial"/>
          <w:bCs/>
          <w:lang w:val="es-ES_tradnl"/>
        </w:rPr>
        <w:t>VAN=$ 21,539,143.50</w:t>
      </w:r>
      <w:r>
        <w:rPr>
          <w:rFonts w:ascii="Arial" w:hAnsi="Arial" w:cs="Arial"/>
          <w:bCs/>
          <w:lang w:val="es-ES_tradnl"/>
        </w:rPr>
        <w:t xml:space="preserve"> (</w:t>
      </w:r>
      <w:r w:rsidRPr="00D622FA">
        <w:rPr>
          <w:rFonts w:ascii="Arial" w:hAnsi="Arial" w:cs="Arial"/>
          <w:bCs/>
          <w:lang w:val="es-ES_tradnl"/>
        </w:rPr>
        <w:t>977</w:t>
      </w:r>
      <w:r>
        <w:rPr>
          <w:rFonts w:ascii="Arial" w:hAnsi="Arial" w:cs="Arial"/>
          <w:bCs/>
          <w:lang w:val="es-ES_tradnl"/>
        </w:rPr>
        <w:t>,</w:t>
      </w:r>
      <w:r w:rsidRPr="00D622FA">
        <w:rPr>
          <w:rFonts w:ascii="Arial" w:hAnsi="Arial" w:cs="Arial"/>
          <w:bCs/>
          <w:lang w:val="es-ES_tradnl"/>
        </w:rPr>
        <w:t>418.35</w:t>
      </w:r>
      <w:r>
        <w:rPr>
          <w:rFonts w:ascii="Arial" w:hAnsi="Arial" w:cs="Arial"/>
          <w:bCs/>
          <w:lang w:val="es-ES_tradnl"/>
        </w:rPr>
        <w:t xml:space="preserve"> USD)</w:t>
      </w:r>
      <w:r w:rsidRPr="0078135C">
        <w:rPr>
          <w:rFonts w:ascii="Arial" w:hAnsi="Arial" w:cs="Arial"/>
          <w:bCs/>
          <w:lang w:val="es-ES_tradnl"/>
        </w:rPr>
        <w:t xml:space="preserve"> y</w:t>
      </w:r>
      <w:r>
        <w:rPr>
          <w:rFonts w:ascii="Arial" w:hAnsi="Arial" w:cs="Arial"/>
          <w:bCs/>
          <w:lang w:val="es-ES_tradnl"/>
        </w:rPr>
        <w:t xml:space="preserve"> </w:t>
      </w:r>
      <w:r w:rsidRPr="0078135C">
        <w:rPr>
          <w:rFonts w:ascii="Arial" w:hAnsi="Arial" w:cs="Arial"/>
          <w:bCs/>
          <w:lang w:val="es-ES_tradnl"/>
        </w:rPr>
        <w:t xml:space="preserve">TIR= </w:t>
      </w:r>
      <w:r>
        <w:rPr>
          <w:rFonts w:ascii="Arial" w:hAnsi="Arial" w:cs="Arial"/>
          <w:bCs/>
          <w:lang w:val="es-ES_tradnl"/>
        </w:rPr>
        <w:t xml:space="preserve">%18 valores que </w:t>
      </w:r>
      <w:r w:rsidRPr="0078135C">
        <w:rPr>
          <w:rFonts w:ascii="Arial" w:hAnsi="Arial" w:cs="Arial"/>
          <w:bCs/>
          <w:lang w:val="es-ES_tradnl"/>
        </w:rPr>
        <w:t xml:space="preserve">son positivos, lo que garantiza la rentabilidad del proyecto. Además, la relación Costo/Beneficio (C/B) es mayor a uno </w:t>
      </w:r>
      <w:r>
        <w:rPr>
          <w:rFonts w:ascii="Arial" w:hAnsi="Arial" w:cs="Arial"/>
          <w:bCs/>
          <w:lang w:val="es-ES_tradnl"/>
        </w:rPr>
        <w:t xml:space="preserve">(1.66) </w:t>
      </w:r>
      <w:r w:rsidRPr="0078135C">
        <w:rPr>
          <w:rFonts w:ascii="Arial" w:hAnsi="Arial" w:cs="Arial"/>
          <w:bCs/>
          <w:lang w:val="es-ES_tradnl"/>
        </w:rPr>
        <w:t>demostrando que el proyecto es factible</w:t>
      </w:r>
      <w:r>
        <w:rPr>
          <w:rFonts w:ascii="Arial" w:hAnsi="Arial" w:cs="Arial"/>
          <w:bCs/>
          <w:lang w:val="es-ES_tradnl"/>
        </w:rPr>
        <w:t>.</w:t>
      </w:r>
    </w:p>
    <w:p w:rsidR="00123C57" w:rsidRPr="0078135C" w:rsidRDefault="00123C57" w:rsidP="00123C57">
      <w:pPr>
        <w:jc w:val="both"/>
        <w:rPr>
          <w:rFonts w:ascii="Arial" w:hAnsi="Arial" w:cs="Arial"/>
          <w:bCs/>
          <w:lang w:val="es-ES_tradnl"/>
        </w:rPr>
      </w:pPr>
      <w:r>
        <w:rPr>
          <w:rFonts w:ascii="Arial" w:hAnsi="Arial" w:cs="Arial"/>
          <w:bCs/>
          <w:lang w:val="es-ES_tradnl"/>
        </w:rPr>
        <w:t xml:space="preserve">Era </w:t>
      </w:r>
      <w:r w:rsidRPr="0078135C">
        <w:rPr>
          <w:rFonts w:ascii="Arial" w:hAnsi="Arial" w:cs="Arial"/>
          <w:bCs/>
          <w:lang w:val="es-ES_tradnl"/>
        </w:rPr>
        <w:t xml:space="preserve">congruente y lógico </w:t>
      </w:r>
      <w:r>
        <w:rPr>
          <w:rFonts w:ascii="Arial" w:hAnsi="Arial" w:cs="Arial"/>
          <w:bCs/>
          <w:lang w:val="es-ES_tradnl"/>
        </w:rPr>
        <w:t xml:space="preserve">considerar </w:t>
      </w:r>
      <w:r w:rsidRPr="0078135C">
        <w:rPr>
          <w:rFonts w:ascii="Arial" w:hAnsi="Arial" w:cs="Arial"/>
          <w:bCs/>
          <w:lang w:val="es-ES_tradnl"/>
        </w:rPr>
        <w:t xml:space="preserve">que su valor </w:t>
      </w:r>
      <w:r>
        <w:rPr>
          <w:rFonts w:ascii="Arial" w:hAnsi="Arial" w:cs="Arial"/>
          <w:bCs/>
          <w:lang w:val="es-ES_tradnl"/>
        </w:rPr>
        <w:t xml:space="preserve">resultaría </w:t>
      </w:r>
      <w:r w:rsidRPr="0078135C">
        <w:rPr>
          <w:rFonts w:ascii="Arial" w:hAnsi="Arial" w:cs="Arial"/>
          <w:bCs/>
          <w:lang w:val="es-ES_tradnl"/>
        </w:rPr>
        <w:t>negativo</w:t>
      </w:r>
      <w:r>
        <w:rPr>
          <w:rFonts w:ascii="Arial" w:hAnsi="Arial" w:cs="Arial"/>
          <w:bCs/>
          <w:lang w:val="es-ES_tradnl"/>
        </w:rPr>
        <w:t xml:space="preserve">, </w:t>
      </w:r>
      <w:r w:rsidRPr="0078135C">
        <w:rPr>
          <w:rFonts w:ascii="Arial" w:hAnsi="Arial" w:cs="Arial"/>
          <w:bCs/>
          <w:lang w:val="es-ES_tradnl"/>
        </w:rPr>
        <w:t xml:space="preserve">ya que una planta de tratamiento de agua residual no </w:t>
      </w:r>
      <w:r>
        <w:rPr>
          <w:rFonts w:ascii="Arial" w:hAnsi="Arial" w:cs="Arial"/>
          <w:bCs/>
          <w:lang w:val="es-ES_tradnl"/>
        </w:rPr>
        <w:t>tiene ventas tangibles como tal. S</w:t>
      </w:r>
      <w:r w:rsidRPr="0078135C">
        <w:rPr>
          <w:rFonts w:ascii="Arial" w:hAnsi="Arial" w:cs="Arial"/>
          <w:bCs/>
          <w:lang w:val="es-ES_tradnl"/>
        </w:rPr>
        <w:t xml:space="preserve">in embargo, la justificación de este resultado para una inversión de este tipo, radica en la sostenibilidad que generara </w:t>
      </w:r>
      <w:r>
        <w:rPr>
          <w:rFonts w:ascii="Arial" w:hAnsi="Arial" w:cs="Arial"/>
          <w:bCs/>
          <w:lang w:val="es-ES_tradnl"/>
        </w:rPr>
        <w:t>con los años y la que se estima a corto plazo (5 años)</w:t>
      </w:r>
      <w:r w:rsidRPr="0078135C">
        <w:rPr>
          <w:rFonts w:ascii="Arial" w:hAnsi="Arial" w:cs="Arial"/>
          <w:bCs/>
          <w:lang w:val="es-ES_tradnl"/>
        </w:rPr>
        <w:t xml:space="preserve">, </w:t>
      </w:r>
      <w:r>
        <w:rPr>
          <w:rFonts w:ascii="Arial" w:hAnsi="Arial" w:cs="Arial"/>
          <w:bCs/>
          <w:lang w:val="es-ES_tradnl"/>
        </w:rPr>
        <w:t>resultando un negocio rentable y atractivo para el prestador del servicio a partir del cuarto año de operación. No obstante, l</w:t>
      </w:r>
      <w:r w:rsidRPr="0078135C">
        <w:rPr>
          <w:rFonts w:ascii="Arial" w:hAnsi="Arial" w:cs="Arial"/>
          <w:bCs/>
          <w:lang w:val="es-ES_tradnl"/>
        </w:rPr>
        <w:t xml:space="preserve">a oportunidad de reinvertir en el proyecto estará </w:t>
      </w:r>
      <w:r w:rsidRPr="0078135C">
        <w:rPr>
          <w:rFonts w:ascii="Arial" w:hAnsi="Arial" w:cs="Arial"/>
          <w:bCs/>
          <w:lang w:val="es-ES_tradnl"/>
        </w:rPr>
        <w:lastRenderedPageBreak/>
        <w:t>condicionad</w:t>
      </w:r>
      <w:r>
        <w:rPr>
          <w:rFonts w:ascii="Arial" w:hAnsi="Arial" w:cs="Arial"/>
          <w:bCs/>
          <w:lang w:val="es-ES_tradnl"/>
        </w:rPr>
        <w:t xml:space="preserve">a a la priorización que el administrador del servicio </w:t>
      </w:r>
      <w:r w:rsidRPr="0078135C">
        <w:rPr>
          <w:rFonts w:ascii="Arial" w:hAnsi="Arial" w:cs="Arial"/>
          <w:bCs/>
          <w:lang w:val="es-ES_tradnl"/>
        </w:rPr>
        <w:t>haga del proyecto, y en sí mismo, cuando los beneficios ambientales de recargar al acuífero de forma directa se hagan visibles.</w:t>
      </w:r>
    </w:p>
    <w:p w:rsidR="00123C57" w:rsidRPr="00DF24C6" w:rsidRDefault="00123C57" w:rsidP="00123C57">
      <w:pPr>
        <w:jc w:val="both"/>
        <w:rPr>
          <w:rFonts w:ascii="Arial" w:hAnsi="Arial" w:cs="Arial"/>
          <w:bCs/>
          <w:lang w:val="es-ES_tradnl"/>
        </w:rPr>
      </w:pPr>
      <w:r w:rsidRPr="0078135C">
        <w:rPr>
          <w:rFonts w:ascii="Arial" w:hAnsi="Arial" w:cs="Arial"/>
          <w:bCs/>
          <w:lang w:val="es-ES_tradnl"/>
        </w:rPr>
        <w:t>Una forma en la que la C/B para reinyección del a</w:t>
      </w:r>
      <w:r>
        <w:rPr>
          <w:rFonts w:ascii="Arial" w:hAnsi="Arial" w:cs="Arial"/>
          <w:bCs/>
          <w:lang w:val="es-ES_tradnl"/>
        </w:rPr>
        <w:t xml:space="preserve">cuífero sea mayor a corto plazo consiste en </w:t>
      </w:r>
      <w:r w:rsidRPr="0078135C">
        <w:rPr>
          <w:rFonts w:ascii="Arial" w:hAnsi="Arial" w:cs="Arial"/>
          <w:bCs/>
          <w:lang w:val="es-ES_tradnl"/>
        </w:rPr>
        <w:t>otorgar el derecho al recaudador de aumentar la concesión en proporción a los volúmenes infiltrados</w:t>
      </w:r>
      <w:r>
        <w:rPr>
          <w:rFonts w:ascii="Arial" w:hAnsi="Arial" w:cs="Arial"/>
          <w:bCs/>
          <w:lang w:val="es-ES_tradnl"/>
        </w:rPr>
        <w:t>,</w:t>
      </w:r>
      <w:r w:rsidRPr="0078135C">
        <w:rPr>
          <w:rFonts w:ascii="Arial" w:hAnsi="Arial" w:cs="Arial"/>
          <w:bCs/>
          <w:lang w:val="es-ES_tradnl"/>
        </w:rPr>
        <w:t xml:space="preserve"> y/o establecer que un porcentaje de la recaudación por uso, aprovechamiento o explotación, </w:t>
      </w:r>
      <w:r>
        <w:rPr>
          <w:rFonts w:ascii="Arial" w:hAnsi="Arial" w:cs="Arial"/>
          <w:bCs/>
          <w:lang w:val="es-ES_tradnl"/>
        </w:rPr>
        <w:t xml:space="preserve">el cual </w:t>
      </w:r>
      <w:r w:rsidRPr="0078135C">
        <w:rPr>
          <w:rFonts w:ascii="Arial" w:hAnsi="Arial" w:cs="Arial"/>
          <w:bCs/>
          <w:lang w:val="es-ES_tradnl"/>
        </w:rPr>
        <w:t>se destine al estudio, manejo y recarga del acuífero</w:t>
      </w:r>
      <w:r>
        <w:rPr>
          <w:rFonts w:ascii="Arial" w:hAnsi="Arial" w:cs="Arial"/>
          <w:bCs/>
          <w:vertAlign w:val="superscript"/>
          <w:lang w:val="es-ES_tradnl"/>
        </w:rPr>
        <w:t xml:space="preserve"> [18]</w:t>
      </w:r>
      <w:r w:rsidRPr="0078135C">
        <w:rPr>
          <w:rFonts w:ascii="Arial" w:hAnsi="Arial" w:cs="Arial"/>
          <w:bCs/>
          <w:lang w:val="es-ES_tradnl"/>
        </w:rPr>
        <w:t>. Este porcentaje se convertiría en un ingreso que mejoraría</w:t>
      </w:r>
      <w:r>
        <w:rPr>
          <w:rFonts w:ascii="Arial" w:hAnsi="Arial" w:cs="Arial"/>
          <w:bCs/>
          <w:lang w:val="es-ES_tradnl"/>
        </w:rPr>
        <w:t>, aún más,</w:t>
      </w:r>
      <w:r w:rsidRPr="0078135C">
        <w:rPr>
          <w:rFonts w:ascii="Arial" w:hAnsi="Arial" w:cs="Arial"/>
          <w:bCs/>
          <w:lang w:val="es-ES_tradnl"/>
        </w:rPr>
        <w:t xml:space="preserve"> la rentabilidad de este tipo de proyectos</w:t>
      </w:r>
      <w:r>
        <w:rPr>
          <w:rFonts w:ascii="Arial" w:hAnsi="Arial" w:cs="Arial"/>
          <w:bCs/>
          <w:lang w:val="es-ES_tradnl"/>
        </w:rPr>
        <w:t>.</w:t>
      </w:r>
    </w:p>
    <w:p w:rsidR="00123C57" w:rsidRPr="00123C57" w:rsidRDefault="00123C57" w:rsidP="00123C57">
      <w:pPr>
        <w:pStyle w:val="Ttulo1"/>
        <w:keepLines w:val="0"/>
        <w:numPr>
          <w:ilvl w:val="0"/>
          <w:numId w:val="1"/>
        </w:numPr>
        <w:tabs>
          <w:tab w:val="clear" w:pos="432"/>
          <w:tab w:val="num" w:pos="0"/>
        </w:tabs>
        <w:suppressAutoHyphens/>
        <w:spacing w:before="0" w:after="0"/>
        <w:ind w:left="0" w:firstLine="0"/>
        <w:rPr>
          <w:sz w:val="24"/>
          <w:szCs w:val="24"/>
        </w:rPr>
      </w:pPr>
      <w:bookmarkStart w:id="211" w:name="_Toc50031293"/>
      <w:r w:rsidRPr="00123C57">
        <w:rPr>
          <w:caps/>
          <w:sz w:val="24"/>
          <w:szCs w:val="24"/>
        </w:rPr>
        <w:t xml:space="preserve">6. </w:t>
      </w:r>
      <w:r w:rsidRPr="00123C57">
        <w:rPr>
          <w:sz w:val="24"/>
          <w:szCs w:val="24"/>
        </w:rPr>
        <w:t>Conclusiones</w:t>
      </w:r>
      <w:bookmarkEnd w:id="211"/>
    </w:p>
    <w:p w:rsidR="00123C57" w:rsidRDefault="00123C57" w:rsidP="00123C57">
      <w:pPr>
        <w:pStyle w:val="Textoindependiente"/>
        <w:ind w:firstLine="708"/>
        <w:jc w:val="both"/>
        <w:rPr>
          <w:rFonts w:ascii="Arial" w:hAnsi="Arial" w:cs="Arial"/>
          <w:b w:val="0"/>
          <w:sz w:val="24"/>
        </w:rPr>
      </w:pPr>
      <w:r>
        <w:rPr>
          <w:rFonts w:ascii="Arial" w:hAnsi="Arial" w:cs="Arial"/>
          <w:b w:val="0"/>
          <w:sz w:val="24"/>
        </w:rPr>
        <w:t>E</w:t>
      </w:r>
      <w:r w:rsidRPr="009743FA">
        <w:rPr>
          <w:rFonts w:ascii="Arial" w:hAnsi="Arial" w:cs="Arial"/>
          <w:b w:val="0"/>
          <w:sz w:val="24"/>
        </w:rPr>
        <w:t>l comportamiento del tren de tratamiento con respecto a la cuantificación de MCO, debe describirse como variable</w:t>
      </w:r>
      <w:r>
        <w:rPr>
          <w:rFonts w:ascii="Arial" w:hAnsi="Arial" w:cs="Arial"/>
          <w:b w:val="0"/>
          <w:sz w:val="24"/>
        </w:rPr>
        <w:t xml:space="preserve">, ya que se registran </w:t>
      </w:r>
      <w:r w:rsidRPr="009743FA">
        <w:rPr>
          <w:rFonts w:ascii="Arial" w:hAnsi="Arial" w:cs="Arial"/>
          <w:b w:val="0"/>
          <w:sz w:val="24"/>
        </w:rPr>
        <w:t xml:space="preserve">aumentos de concentración respecto a la UP de </w:t>
      </w:r>
      <w:r w:rsidRPr="00ED2351">
        <w:rPr>
          <w:rFonts w:ascii="Arial" w:hAnsi="Arial" w:cs="Arial"/>
          <w:b w:val="0"/>
          <w:sz w:val="24"/>
        </w:rPr>
        <w:t>O.I.</w:t>
      </w:r>
      <w:r w:rsidRPr="009743FA">
        <w:rPr>
          <w:rFonts w:ascii="Arial" w:hAnsi="Arial" w:cs="Arial"/>
          <w:b w:val="0"/>
          <w:sz w:val="24"/>
        </w:rPr>
        <w:t xml:space="preserve"> y</w:t>
      </w:r>
      <w:r>
        <w:rPr>
          <w:rFonts w:ascii="Arial" w:hAnsi="Arial" w:cs="Arial"/>
          <w:b w:val="0"/>
          <w:sz w:val="24"/>
        </w:rPr>
        <w:t xml:space="preserve"> en la</w:t>
      </w:r>
      <w:r w:rsidRPr="009743FA">
        <w:rPr>
          <w:rFonts w:ascii="Arial" w:hAnsi="Arial" w:cs="Arial"/>
          <w:b w:val="0"/>
          <w:sz w:val="24"/>
        </w:rPr>
        <w:t xml:space="preserve"> desinfección, siendo que esta última un tratamiento foto </w:t>
      </w:r>
      <w:r>
        <w:rPr>
          <w:rFonts w:ascii="Arial" w:hAnsi="Arial" w:cs="Arial"/>
          <w:b w:val="0"/>
          <w:sz w:val="24"/>
        </w:rPr>
        <w:t>catalítico que debería degradar</w:t>
      </w:r>
      <w:r w:rsidRPr="009743FA">
        <w:rPr>
          <w:rFonts w:ascii="Arial" w:hAnsi="Arial" w:cs="Arial"/>
          <w:b w:val="0"/>
          <w:sz w:val="24"/>
        </w:rPr>
        <w:t xml:space="preserve"> TCS y BPA</w:t>
      </w:r>
      <w:r>
        <w:rPr>
          <w:rFonts w:ascii="Arial" w:hAnsi="Arial" w:cs="Arial"/>
          <w:b w:val="0"/>
          <w:sz w:val="24"/>
        </w:rPr>
        <w:t xml:space="preserve">, </w:t>
      </w:r>
      <w:r w:rsidRPr="009743FA">
        <w:rPr>
          <w:rFonts w:ascii="Arial" w:hAnsi="Arial" w:cs="Arial"/>
          <w:b w:val="0"/>
          <w:sz w:val="24"/>
        </w:rPr>
        <w:t>observa</w:t>
      </w:r>
      <w:r>
        <w:rPr>
          <w:rFonts w:ascii="Arial" w:hAnsi="Arial" w:cs="Arial"/>
          <w:b w:val="0"/>
          <w:sz w:val="24"/>
        </w:rPr>
        <w:t>ndo</w:t>
      </w:r>
      <w:r w:rsidRPr="009743FA">
        <w:rPr>
          <w:rFonts w:ascii="Arial" w:hAnsi="Arial" w:cs="Arial"/>
          <w:b w:val="0"/>
          <w:sz w:val="24"/>
        </w:rPr>
        <w:t xml:space="preserve"> un incremento </w:t>
      </w:r>
      <w:r>
        <w:rPr>
          <w:rFonts w:ascii="Arial" w:hAnsi="Arial" w:cs="Arial"/>
          <w:b w:val="0"/>
          <w:sz w:val="24"/>
        </w:rPr>
        <w:t>para todos los MCO en alguna u</w:t>
      </w:r>
      <w:r w:rsidRPr="009743FA">
        <w:rPr>
          <w:rFonts w:ascii="Arial" w:hAnsi="Arial" w:cs="Arial"/>
          <w:b w:val="0"/>
          <w:sz w:val="24"/>
        </w:rPr>
        <w:t xml:space="preserve">nidad de proceso. </w:t>
      </w:r>
      <w:r>
        <w:rPr>
          <w:rFonts w:ascii="Arial" w:hAnsi="Arial" w:cs="Arial"/>
          <w:b w:val="0"/>
          <w:sz w:val="24"/>
        </w:rPr>
        <w:t>Di</w:t>
      </w:r>
      <w:r w:rsidRPr="00ED2351">
        <w:rPr>
          <w:rFonts w:ascii="Arial" w:hAnsi="Arial" w:cs="Arial"/>
          <w:b w:val="0"/>
          <w:sz w:val="24"/>
        </w:rPr>
        <w:t>cho comportamiento probablemente se relacione con la falta de operación de</w:t>
      </w:r>
      <w:r>
        <w:rPr>
          <w:rFonts w:ascii="Arial" w:hAnsi="Arial" w:cs="Arial"/>
          <w:b w:val="0"/>
          <w:sz w:val="24"/>
        </w:rPr>
        <w:t xml:space="preserve"> la unidad de proceso de ozonización, aumentando la carga de especies orgánicas en el tratamiento posterior, pudiendo provocar saturación de las membranas de </w:t>
      </w:r>
      <w:r w:rsidRPr="00ED2351">
        <w:rPr>
          <w:rFonts w:ascii="Arial" w:hAnsi="Arial" w:cs="Arial"/>
          <w:b w:val="0"/>
          <w:sz w:val="24"/>
        </w:rPr>
        <w:t>O.I.</w:t>
      </w:r>
      <w:r>
        <w:rPr>
          <w:rFonts w:ascii="Arial" w:hAnsi="Arial" w:cs="Arial"/>
          <w:b w:val="0"/>
          <w:sz w:val="24"/>
        </w:rPr>
        <w:t xml:space="preserve"> por adsorción de materia orgánica, incrustaciones salinas y/o crecimiento de biopelícula, provocando así un azolvamiento del sistema. </w:t>
      </w:r>
    </w:p>
    <w:p w:rsidR="00123C57" w:rsidRDefault="00123C57" w:rsidP="00123C57">
      <w:pPr>
        <w:pStyle w:val="Textoindependiente"/>
        <w:jc w:val="both"/>
        <w:rPr>
          <w:rFonts w:ascii="Arial" w:hAnsi="Arial" w:cs="Arial"/>
          <w:b w:val="0"/>
          <w:sz w:val="24"/>
        </w:rPr>
      </w:pPr>
      <w:r w:rsidRPr="00B13EE4">
        <w:rPr>
          <w:rFonts w:ascii="Arial" w:hAnsi="Arial" w:cs="Arial"/>
          <w:b w:val="0"/>
          <w:sz w:val="24"/>
        </w:rPr>
        <w:t>Con base en lo anterior, la adsorción podría provocar la acumulación significativa en la superficie de la membrana que podría disminuir su potencial de retención y aumentar su volumen de MCO, derivando en su posible ruptura y la liberación de la carga retenida</w:t>
      </w:r>
      <w:r>
        <w:rPr>
          <w:rFonts w:ascii="Arial" w:hAnsi="Arial" w:cs="Arial"/>
          <w:b w:val="0"/>
          <w:sz w:val="24"/>
        </w:rPr>
        <w:t>.</w:t>
      </w:r>
    </w:p>
    <w:p w:rsidR="00123C57" w:rsidRPr="009743FA" w:rsidRDefault="00123C57" w:rsidP="00123C57">
      <w:pPr>
        <w:pStyle w:val="Textoindependiente"/>
        <w:jc w:val="both"/>
        <w:rPr>
          <w:rFonts w:ascii="Arial" w:hAnsi="Arial" w:cs="Arial"/>
          <w:b w:val="0"/>
          <w:sz w:val="24"/>
        </w:rPr>
      </w:pPr>
      <w:r>
        <w:rPr>
          <w:rFonts w:ascii="Arial" w:hAnsi="Arial" w:cs="Arial"/>
          <w:b w:val="0"/>
          <w:sz w:val="24"/>
        </w:rPr>
        <w:t>En cuanto a los bioensayos, l</w:t>
      </w:r>
      <w:r w:rsidRPr="009743FA">
        <w:rPr>
          <w:rFonts w:ascii="Arial" w:hAnsi="Arial" w:cs="Arial"/>
          <w:b w:val="0"/>
          <w:sz w:val="24"/>
        </w:rPr>
        <w:t>os efectos demostraron ser no letales</w:t>
      </w:r>
      <w:r>
        <w:rPr>
          <w:rFonts w:ascii="Arial" w:hAnsi="Arial" w:cs="Arial"/>
          <w:b w:val="0"/>
          <w:sz w:val="24"/>
        </w:rPr>
        <w:t xml:space="preserve"> para 24 hpf, mientras que los realizados con</w:t>
      </w:r>
      <w:r w:rsidRPr="009743FA">
        <w:rPr>
          <w:rFonts w:ascii="Arial" w:hAnsi="Arial" w:cs="Arial"/>
          <w:b w:val="0"/>
          <w:sz w:val="24"/>
        </w:rPr>
        <w:t xml:space="preserve"> agua sintética dopada con MCO presentan porcentajes de mortalidad que </w:t>
      </w:r>
      <w:r>
        <w:rPr>
          <w:rFonts w:ascii="Arial" w:hAnsi="Arial" w:cs="Arial"/>
          <w:b w:val="0"/>
          <w:sz w:val="24"/>
        </w:rPr>
        <w:t>superaron el 50% al cabo de 72 hrs, e inhibición de las contracciones a las 24hrs con efectos crónicos en el comportamiento.</w:t>
      </w:r>
      <w:r w:rsidRPr="009743FA">
        <w:rPr>
          <w:rFonts w:ascii="Arial" w:hAnsi="Arial" w:cs="Arial"/>
          <w:b w:val="0"/>
          <w:sz w:val="24"/>
        </w:rPr>
        <w:t xml:space="preserve"> </w:t>
      </w:r>
      <w:r>
        <w:rPr>
          <w:rFonts w:ascii="Arial" w:hAnsi="Arial" w:cs="Arial"/>
          <w:b w:val="0"/>
          <w:sz w:val="24"/>
        </w:rPr>
        <w:t xml:space="preserve">Dicho comportamiento sugiere ser consecuentica de la interacción de </w:t>
      </w:r>
      <w:r w:rsidRPr="009743FA">
        <w:rPr>
          <w:rFonts w:ascii="Arial" w:hAnsi="Arial" w:cs="Arial"/>
          <w:b w:val="0"/>
          <w:sz w:val="24"/>
        </w:rPr>
        <w:t xml:space="preserve">otros compuestos orgánicos e inorgánicos presentes en las muestras reales de la </w:t>
      </w:r>
      <w:r>
        <w:rPr>
          <w:rFonts w:ascii="Arial" w:hAnsi="Arial" w:cs="Arial"/>
          <w:b w:val="0"/>
          <w:sz w:val="24"/>
        </w:rPr>
        <w:t xml:space="preserve">PTP en comparación con las muestras sintéticas </w:t>
      </w:r>
      <w:r w:rsidRPr="009743FA">
        <w:rPr>
          <w:rFonts w:ascii="Arial" w:hAnsi="Arial" w:cs="Arial"/>
          <w:b w:val="0"/>
          <w:sz w:val="24"/>
        </w:rPr>
        <w:t>con parámetros controlados.</w:t>
      </w:r>
    </w:p>
    <w:p w:rsidR="00123C57" w:rsidRDefault="00123C57" w:rsidP="00123C57">
      <w:pPr>
        <w:pStyle w:val="Textoindependiente"/>
        <w:jc w:val="both"/>
        <w:rPr>
          <w:rFonts w:ascii="Arial" w:hAnsi="Arial" w:cs="Arial"/>
          <w:b w:val="0"/>
          <w:sz w:val="24"/>
        </w:rPr>
      </w:pPr>
      <w:r w:rsidRPr="009743FA">
        <w:rPr>
          <w:rFonts w:ascii="Arial" w:hAnsi="Arial" w:cs="Arial"/>
          <w:b w:val="0"/>
          <w:sz w:val="24"/>
        </w:rPr>
        <w:t>Dada la presencia de MCO conocidos como disruptores endocrinos</w:t>
      </w:r>
      <w:r>
        <w:rPr>
          <w:rFonts w:ascii="Arial" w:hAnsi="Arial" w:cs="Arial"/>
          <w:b w:val="0"/>
          <w:sz w:val="24"/>
        </w:rPr>
        <w:t xml:space="preserve"> (compuestos capaces de alterar el sistema endocrino)</w:t>
      </w:r>
      <w:r w:rsidRPr="009743FA">
        <w:rPr>
          <w:rFonts w:ascii="Arial" w:hAnsi="Arial" w:cs="Arial"/>
          <w:b w:val="0"/>
          <w:sz w:val="24"/>
        </w:rPr>
        <w:t>, se recomiendan más ensayos para conocer si hay efectos en la línea germinal y la determina</w:t>
      </w:r>
      <w:r>
        <w:rPr>
          <w:rFonts w:ascii="Arial" w:hAnsi="Arial" w:cs="Arial"/>
          <w:b w:val="0"/>
          <w:sz w:val="24"/>
        </w:rPr>
        <w:t xml:space="preserve">ción del sexo de los organismos. De existir, pudieran comprometer de forma seria la calidad y seguridad del agua renovada producida, ya que </w:t>
      </w:r>
      <w:r w:rsidRPr="00776C48">
        <w:rPr>
          <w:rFonts w:ascii="Arial" w:hAnsi="Arial" w:cs="Arial"/>
          <w:b w:val="0"/>
          <w:sz w:val="24"/>
        </w:rPr>
        <w:t>la exposición a baja dosis de sustancias que interactúan con los receptores hormonales pueden interferir con la reproducción, el desarrollo y otros procesos regulados hormonalmente</w:t>
      </w:r>
      <w:r>
        <w:rPr>
          <w:rFonts w:ascii="Arial" w:hAnsi="Arial" w:cs="Arial"/>
          <w:b w:val="0"/>
          <w:sz w:val="24"/>
        </w:rPr>
        <w:t>.</w:t>
      </w:r>
    </w:p>
    <w:p w:rsidR="00123C57" w:rsidRPr="00C0405F" w:rsidRDefault="00123C57" w:rsidP="00123C57">
      <w:pPr>
        <w:pStyle w:val="Textoindependiente"/>
        <w:jc w:val="both"/>
        <w:rPr>
          <w:rFonts w:ascii="Arial" w:hAnsi="Arial" w:cs="Arial"/>
          <w:b w:val="0"/>
          <w:sz w:val="24"/>
          <w:lang w:val="es-ES_tradnl"/>
        </w:rPr>
      </w:pPr>
      <w:r>
        <w:rPr>
          <w:rFonts w:ascii="Arial" w:hAnsi="Arial" w:cs="Arial"/>
          <w:b w:val="0"/>
          <w:sz w:val="24"/>
          <w:lang w:val="es-ES_tradnl"/>
        </w:rPr>
        <w:lastRenderedPageBreak/>
        <w:t>Por último, l</w:t>
      </w:r>
      <w:r w:rsidRPr="00BB5BB6">
        <w:rPr>
          <w:rFonts w:ascii="Arial" w:hAnsi="Arial" w:cs="Arial"/>
          <w:b w:val="0"/>
          <w:sz w:val="24"/>
          <w:lang w:val="es-ES_tradnl"/>
        </w:rPr>
        <w:t>os costos de operación del proyecto de recarga demuestran su viabilidad económica, ya que representan montos similares o menores por m</w:t>
      </w:r>
      <w:r w:rsidRPr="00BB5BB6">
        <w:rPr>
          <w:rFonts w:ascii="Arial" w:hAnsi="Arial" w:cs="Arial"/>
          <w:b w:val="0"/>
          <w:sz w:val="24"/>
          <w:vertAlign w:val="superscript"/>
          <w:lang w:val="es-ES_tradnl"/>
        </w:rPr>
        <w:t>3</w:t>
      </w:r>
      <w:r w:rsidRPr="00BB5BB6">
        <w:rPr>
          <w:rFonts w:ascii="Arial" w:hAnsi="Arial" w:cs="Arial"/>
          <w:b w:val="0"/>
          <w:sz w:val="24"/>
          <w:lang w:val="es-ES_tradnl"/>
        </w:rPr>
        <w:t xml:space="preserve"> a los que actualmente se invierten para la potabilización y extracción de agua de pozo.</w:t>
      </w:r>
    </w:p>
    <w:p w:rsidR="00123C57" w:rsidRPr="00123C57" w:rsidRDefault="00123C57" w:rsidP="00123C57">
      <w:pPr>
        <w:pStyle w:val="Ttulo1"/>
        <w:keepLines w:val="0"/>
        <w:numPr>
          <w:ilvl w:val="0"/>
          <w:numId w:val="1"/>
        </w:numPr>
        <w:tabs>
          <w:tab w:val="clear" w:pos="432"/>
          <w:tab w:val="left" w:pos="0"/>
        </w:tabs>
        <w:suppressAutoHyphens/>
        <w:spacing w:before="0" w:after="0" w:line="360" w:lineRule="auto"/>
        <w:ind w:left="0" w:firstLine="0"/>
        <w:rPr>
          <w:rFonts w:cs="Arial"/>
          <w:i/>
          <w:sz w:val="24"/>
          <w:szCs w:val="24"/>
        </w:rPr>
      </w:pPr>
      <w:bookmarkStart w:id="212" w:name="_Toc50031294"/>
      <w:r w:rsidRPr="00123C57">
        <w:rPr>
          <w:rFonts w:cs="Arial"/>
          <w:i/>
          <w:caps/>
          <w:sz w:val="24"/>
          <w:szCs w:val="24"/>
        </w:rPr>
        <w:t>7. A</w:t>
      </w:r>
      <w:r w:rsidRPr="00123C57">
        <w:rPr>
          <w:rFonts w:cs="Arial"/>
          <w:i/>
          <w:sz w:val="24"/>
          <w:szCs w:val="24"/>
        </w:rPr>
        <w:t>gradecimientos</w:t>
      </w:r>
      <w:bookmarkEnd w:id="212"/>
    </w:p>
    <w:p w:rsidR="00123C57" w:rsidRDefault="00123C57" w:rsidP="00123C57">
      <w:pPr>
        <w:pStyle w:val="Textoindependiente"/>
        <w:ind w:firstLine="708"/>
        <w:jc w:val="both"/>
        <w:rPr>
          <w:rFonts w:ascii="Arial" w:hAnsi="Arial" w:cs="Arial"/>
          <w:b w:val="0"/>
          <w:sz w:val="24"/>
        </w:rPr>
      </w:pPr>
      <w:r>
        <w:rPr>
          <w:rFonts w:ascii="Arial" w:hAnsi="Arial" w:cs="Arial"/>
          <w:b w:val="0"/>
          <w:sz w:val="24"/>
        </w:rPr>
        <w:t>Isaac Alejandro Ramos Ramírez desea agradecer al PAPIIT por el apoyo recibido para la realización del proyecto: “</w:t>
      </w:r>
      <w:r w:rsidRPr="00DF24C6">
        <w:rPr>
          <w:rFonts w:ascii="Arial" w:hAnsi="Arial" w:cs="Arial"/>
          <w:b w:val="0"/>
          <w:sz w:val="24"/>
        </w:rPr>
        <w:t>Uso del pez cebra para evaluar la calidad y s</w:t>
      </w:r>
      <w:r>
        <w:rPr>
          <w:rFonts w:ascii="Arial" w:hAnsi="Arial" w:cs="Arial"/>
          <w:b w:val="0"/>
          <w:sz w:val="24"/>
        </w:rPr>
        <w:t xml:space="preserve">eguridad del agua renovada como </w:t>
      </w:r>
      <w:r w:rsidRPr="00DF24C6">
        <w:rPr>
          <w:rFonts w:ascii="Arial" w:hAnsi="Arial" w:cs="Arial"/>
          <w:b w:val="0"/>
          <w:sz w:val="24"/>
        </w:rPr>
        <w:t>potencial fuente de recarga del acuífero del Valle de México</w:t>
      </w:r>
      <w:r>
        <w:rPr>
          <w:rFonts w:ascii="Arial" w:hAnsi="Arial" w:cs="Arial"/>
          <w:b w:val="0"/>
          <w:sz w:val="24"/>
        </w:rPr>
        <w:t xml:space="preserve">” </w:t>
      </w:r>
      <w:r w:rsidRPr="00DF24C6">
        <w:rPr>
          <w:rFonts w:ascii="Arial" w:hAnsi="Arial" w:cs="Arial"/>
          <w:b w:val="0"/>
          <w:sz w:val="24"/>
        </w:rPr>
        <w:t>IN200618</w:t>
      </w:r>
      <w:r>
        <w:rPr>
          <w:rFonts w:ascii="Arial" w:hAnsi="Arial" w:cs="Arial"/>
          <w:b w:val="0"/>
          <w:sz w:val="24"/>
        </w:rPr>
        <w:t>. Y al CONACyT por el apoyo recibido para la realización de estudios de maestría en el II-UNAM a través del Posgrado en Ciencias de la Sostenibilidad, UNAM.</w:t>
      </w:r>
    </w:p>
    <w:p w:rsidR="00123C57" w:rsidRPr="00C0405F" w:rsidRDefault="00123C57" w:rsidP="00123C57">
      <w:pPr>
        <w:pStyle w:val="Textoindependiente"/>
        <w:jc w:val="both"/>
        <w:rPr>
          <w:rFonts w:ascii="Arial" w:hAnsi="Arial" w:cs="Arial"/>
          <w:b w:val="0"/>
          <w:sz w:val="24"/>
        </w:rPr>
      </w:pPr>
      <w:r w:rsidRPr="00C0405F">
        <w:rPr>
          <w:rFonts w:ascii="Arial" w:hAnsi="Arial" w:cs="Arial"/>
          <w:b w:val="0"/>
          <w:sz w:val="24"/>
        </w:rPr>
        <w:t>R</w:t>
      </w:r>
      <w:r>
        <w:rPr>
          <w:rFonts w:ascii="Arial" w:hAnsi="Arial" w:cs="Arial"/>
          <w:b w:val="0"/>
          <w:sz w:val="24"/>
        </w:rPr>
        <w:t xml:space="preserve">afael </w:t>
      </w:r>
      <w:r w:rsidRPr="00C0405F">
        <w:rPr>
          <w:rFonts w:ascii="Arial" w:hAnsi="Arial" w:cs="Arial"/>
          <w:b w:val="0"/>
          <w:sz w:val="24"/>
        </w:rPr>
        <w:t>M</w:t>
      </w:r>
      <w:r>
        <w:rPr>
          <w:rFonts w:ascii="Arial" w:hAnsi="Arial" w:cs="Arial"/>
          <w:b w:val="0"/>
          <w:sz w:val="24"/>
        </w:rPr>
        <w:t xml:space="preserve">agaña </w:t>
      </w:r>
      <w:r w:rsidRPr="00C0405F">
        <w:rPr>
          <w:rFonts w:ascii="Arial" w:hAnsi="Arial" w:cs="Arial"/>
          <w:b w:val="0"/>
          <w:sz w:val="24"/>
        </w:rPr>
        <w:t>L</w:t>
      </w:r>
      <w:r>
        <w:rPr>
          <w:rFonts w:ascii="Arial" w:hAnsi="Arial" w:cs="Arial"/>
          <w:b w:val="0"/>
          <w:sz w:val="24"/>
        </w:rPr>
        <w:t>ópez</w:t>
      </w:r>
      <w:r w:rsidRPr="00C0405F">
        <w:rPr>
          <w:rFonts w:ascii="Arial" w:hAnsi="Arial" w:cs="Arial"/>
          <w:b w:val="0"/>
          <w:sz w:val="24"/>
        </w:rPr>
        <w:t xml:space="preserve"> desea agradecer a la beca DGAPA y CTIC por el apoyo recibido para la realización de estudios Posdoctorales en el II-UNAM</w:t>
      </w:r>
      <w:r>
        <w:rPr>
          <w:rFonts w:ascii="Arial" w:hAnsi="Arial" w:cs="Arial"/>
          <w:b w:val="0"/>
          <w:sz w:val="24"/>
        </w:rPr>
        <w:t>.</w:t>
      </w:r>
    </w:p>
    <w:p w:rsidR="00123C57" w:rsidRPr="00123C57" w:rsidRDefault="00123C57" w:rsidP="00123C57">
      <w:pPr>
        <w:pStyle w:val="Ttulo1"/>
        <w:keepLines w:val="0"/>
        <w:numPr>
          <w:ilvl w:val="0"/>
          <w:numId w:val="1"/>
        </w:numPr>
        <w:tabs>
          <w:tab w:val="clear" w:pos="432"/>
          <w:tab w:val="left" w:pos="0"/>
        </w:tabs>
        <w:suppressAutoHyphens/>
        <w:spacing w:before="0" w:after="0" w:line="360" w:lineRule="auto"/>
        <w:ind w:left="0" w:firstLine="0"/>
        <w:rPr>
          <w:rFonts w:cs="Arial"/>
          <w:i/>
          <w:sz w:val="24"/>
          <w:szCs w:val="24"/>
        </w:rPr>
      </w:pPr>
      <w:bookmarkStart w:id="213" w:name="_Toc50031295"/>
      <w:r w:rsidRPr="00123C57">
        <w:rPr>
          <w:rFonts w:cs="Arial"/>
          <w:i/>
          <w:caps/>
          <w:sz w:val="24"/>
          <w:szCs w:val="24"/>
        </w:rPr>
        <w:t xml:space="preserve">8. </w:t>
      </w:r>
      <w:r w:rsidRPr="00123C57">
        <w:rPr>
          <w:rFonts w:cs="Arial"/>
          <w:i/>
          <w:sz w:val="24"/>
          <w:szCs w:val="24"/>
        </w:rPr>
        <w:t>Bibliografía</w:t>
      </w:r>
      <w:bookmarkEnd w:id="213"/>
    </w:p>
    <w:p w:rsidR="00123C57" w:rsidRDefault="00123C57" w:rsidP="00123C57">
      <w:pPr>
        <w:tabs>
          <w:tab w:val="left" w:pos="0"/>
        </w:tabs>
        <w:jc w:val="both"/>
        <w:rPr>
          <w:rFonts w:ascii="Arial" w:hAnsi="Arial" w:cs="Arial"/>
        </w:rPr>
      </w:pPr>
    </w:p>
    <w:p w:rsidR="00123C57" w:rsidRDefault="00123C57" w:rsidP="00123C57">
      <w:pPr>
        <w:numPr>
          <w:ilvl w:val="0"/>
          <w:numId w:val="7"/>
        </w:numPr>
        <w:suppressAutoHyphens/>
        <w:spacing w:after="0" w:line="240" w:lineRule="auto"/>
        <w:jc w:val="both"/>
        <w:rPr>
          <w:rFonts w:ascii="Arial" w:hAnsi="Arial" w:cs="Arial"/>
          <w:lang w:val="en-US"/>
        </w:rPr>
      </w:pPr>
      <w:r w:rsidRPr="003F49BF">
        <w:rPr>
          <w:rFonts w:ascii="Arial" w:hAnsi="Arial" w:cs="Arial"/>
          <w:lang w:val="en-US"/>
        </w:rPr>
        <w:t>Tierney, Keith B., Anthony P. Farrell, and Colin J. Brauner, eds. Fish Physiology: Organic Chemical Toxicology of Fishes. Academic Press, 2013.</w:t>
      </w:r>
    </w:p>
    <w:p w:rsidR="00123C57" w:rsidRPr="003F49BF" w:rsidRDefault="00123C57" w:rsidP="00123C57">
      <w:pPr>
        <w:numPr>
          <w:ilvl w:val="0"/>
          <w:numId w:val="7"/>
        </w:numPr>
        <w:suppressAutoHyphens/>
        <w:spacing w:after="0" w:line="240" w:lineRule="auto"/>
        <w:jc w:val="both"/>
        <w:rPr>
          <w:rFonts w:ascii="Arial" w:hAnsi="Arial" w:cs="Arial"/>
          <w:lang w:val="en-US"/>
        </w:rPr>
      </w:pPr>
      <w:r w:rsidRPr="003F49BF">
        <w:rPr>
          <w:rFonts w:ascii="Arial" w:hAnsi="Arial" w:cs="Arial"/>
        </w:rPr>
        <w:t>Rodríguez Romero, Abrahan Daniel, and Wendy Nathaly Sangucho Loachamin. </w:t>
      </w:r>
      <w:r w:rsidRPr="003F49BF">
        <w:rPr>
          <w:rFonts w:ascii="Arial" w:hAnsi="Arial" w:cs="Arial"/>
          <w:i/>
          <w:iCs/>
        </w:rPr>
        <w:t>Evaluación de la viabilidad del uso del raquis como lecho filtrante para el tratamiento de agua residual proveniente de la extracción de aceite de palma</w:t>
      </w:r>
      <w:r w:rsidRPr="003F49BF">
        <w:rPr>
          <w:rFonts w:ascii="Arial" w:hAnsi="Arial" w:cs="Arial"/>
        </w:rPr>
        <w:t>. BS thesis. Quito, 2018., 2018.</w:t>
      </w:r>
    </w:p>
    <w:p w:rsidR="00123C57" w:rsidRPr="005F5894" w:rsidRDefault="00123C57" w:rsidP="00123C57">
      <w:pPr>
        <w:numPr>
          <w:ilvl w:val="0"/>
          <w:numId w:val="7"/>
        </w:numPr>
        <w:suppressAutoHyphens/>
        <w:spacing w:after="0" w:line="240" w:lineRule="auto"/>
        <w:jc w:val="both"/>
        <w:rPr>
          <w:rFonts w:ascii="Arial" w:hAnsi="Arial" w:cs="Arial"/>
          <w:lang w:val="en-US"/>
        </w:rPr>
      </w:pPr>
      <w:r w:rsidRPr="00E32626">
        <w:rPr>
          <w:rFonts w:ascii="Arial" w:hAnsi="Arial" w:cs="Arial"/>
          <w:lang w:val="es-MX"/>
        </w:rPr>
        <w:t xml:space="preserve">Sistema de Aguas de la Ciudad de México, &amp; Sanchez-Vidal, D. (2017, enero 1). Plan de Acciones para mejorar los servicios de agua en Iztapalapa Abril 2016. </w:t>
      </w:r>
      <w:r w:rsidRPr="00DC0FD7">
        <w:rPr>
          <w:rFonts w:ascii="Arial" w:hAnsi="Arial" w:cs="Arial"/>
          <w:lang w:val="en-US"/>
        </w:rPr>
        <w:t>Recuperado 21 de abril de 2020, de https://slideplayer.es/slide/10372185/.</w:t>
      </w:r>
    </w:p>
    <w:p w:rsidR="00123C57" w:rsidRDefault="00123C57" w:rsidP="00123C57">
      <w:pPr>
        <w:numPr>
          <w:ilvl w:val="0"/>
          <w:numId w:val="7"/>
        </w:numPr>
        <w:tabs>
          <w:tab w:val="left" w:pos="750"/>
        </w:tabs>
        <w:suppressAutoHyphens/>
        <w:spacing w:after="0" w:line="240" w:lineRule="auto"/>
        <w:jc w:val="both"/>
        <w:rPr>
          <w:rFonts w:ascii="Arial" w:hAnsi="Arial" w:cs="Arial"/>
          <w:lang w:val="en-US"/>
        </w:rPr>
      </w:pPr>
      <w:r w:rsidRPr="00E32626">
        <w:rPr>
          <w:rFonts w:ascii="Arial" w:hAnsi="Arial" w:cs="Arial"/>
          <w:lang w:val="en-US"/>
        </w:rPr>
        <w:t>Wang, Faming, et al. Chemical and ecotoxicological analyses of sediments and elutriates of contaminated rivers due to e-waste recycling activities using a diverse battery of bioassays. </w:t>
      </w:r>
      <w:r w:rsidRPr="00E32626">
        <w:rPr>
          <w:rFonts w:ascii="Arial" w:hAnsi="Arial" w:cs="Arial"/>
          <w:i/>
          <w:iCs/>
          <w:lang w:val="en-US"/>
        </w:rPr>
        <w:t>Environmental Pollution</w:t>
      </w:r>
      <w:r w:rsidRPr="00E32626">
        <w:rPr>
          <w:rFonts w:ascii="Arial" w:hAnsi="Arial" w:cs="Arial"/>
          <w:lang w:val="en-US"/>
        </w:rPr>
        <w:t>, 2009, vol. 157, no 7, p. 2082-2090.</w:t>
      </w:r>
    </w:p>
    <w:p w:rsidR="00123C57" w:rsidRDefault="00123C57" w:rsidP="00123C57">
      <w:pPr>
        <w:numPr>
          <w:ilvl w:val="0"/>
          <w:numId w:val="7"/>
        </w:numPr>
        <w:suppressAutoHyphens/>
        <w:spacing w:after="0" w:line="240" w:lineRule="auto"/>
        <w:jc w:val="both"/>
        <w:rPr>
          <w:rFonts w:ascii="Arial" w:hAnsi="Arial" w:cs="Arial"/>
          <w:lang w:val="en-US"/>
        </w:rPr>
      </w:pPr>
      <w:r w:rsidRPr="004C7B29">
        <w:rPr>
          <w:rFonts w:ascii="Arial" w:hAnsi="Arial" w:cs="Arial"/>
          <w:lang w:val="en-US"/>
        </w:rPr>
        <w:t>Organisation de coopération et de développement économiques. Test No. 236: Fish Embryo Acute Toxicity (FET) Test. OECD Publishing, 2013.</w:t>
      </w:r>
    </w:p>
    <w:p w:rsidR="00123C57" w:rsidRDefault="00123C57" w:rsidP="00123C57">
      <w:pPr>
        <w:numPr>
          <w:ilvl w:val="0"/>
          <w:numId w:val="7"/>
        </w:numPr>
        <w:suppressAutoHyphens/>
        <w:spacing w:after="0" w:line="240" w:lineRule="auto"/>
        <w:jc w:val="both"/>
        <w:rPr>
          <w:rFonts w:ascii="Arial" w:hAnsi="Arial" w:cs="Arial"/>
          <w:lang w:val="en-US"/>
        </w:rPr>
      </w:pPr>
      <w:r w:rsidRPr="00994A0A">
        <w:rPr>
          <w:rFonts w:ascii="Arial" w:hAnsi="Arial" w:cs="Arial"/>
          <w:lang w:val="es-MX"/>
        </w:rPr>
        <w:t xml:space="preserve">Solis Soledad. “Alteraciones en el desarrollo embrionario del pez cebra por exposición a muestras del río Atoyac y descargas industriales”. </w:t>
      </w:r>
      <w:r w:rsidRPr="00AB18F9">
        <w:rPr>
          <w:rFonts w:ascii="Arial" w:hAnsi="Arial" w:cs="Arial"/>
          <w:lang w:val="en-US"/>
        </w:rPr>
        <w:t>Universidad Nacional Autónoma de México, 2013</w:t>
      </w:r>
    </w:p>
    <w:p w:rsidR="00123C57" w:rsidRDefault="00123C57" w:rsidP="00123C57">
      <w:pPr>
        <w:numPr>
          <w:ilvl w:val="0"/>
          <w:numId w:val="7"/>
        </w:numPr>
        <w:tabs>
          <w:tab w:val="left" w:pos="750"/>
        </w:tabs>
        <w:suppressAutoHyphens/>
        <w:spacing w:after="0" w:line="240" w:lineRule="auto"/>
        <w:jc w:val="both"/>
        <w:rPr>
          <w:rFonts w:ascii="Arial" w:hAnsi="Arial" w:cs="Arial"/>
        </w:rPr>
      </w:pPr>
      <w:r w:rsidRPr="00E32626">
        <w:rPr>
          <w:rFonts w:ascii="Arial" w:hAnsi="Arial" w:cs="Arial"/>
          <w:lang w:val="en-US"/>
        </w:rPr>
        <w:t xml:space="preserve">Lammer, E., Carr, G. J., Wendler, K., Rawlings, J. M., Belanger, S. E., &amp; Braunbeck, T. Is the fish embryo toxicity test (FET) with the zebrafish (Danio rerio) a potential alternative for the fish acute toxicity test?. </w:t>
      </w:r>
      <w:r w:rsidRPr="008E4BA3">
        <w:rPr>
          <w:rFonts w:ascii="Arial" w:hAnsi="Arial" w:cs="Arial"/>
        </w:rPr>
        <w:t>Comparative Biochemistry and Physiology Part C: Toxicology &amp; Pharmacology, 149(2), 196-209</w:t>
      </w:r>
      <w:r>
        <w:rPr>
          <w:rFonts w:ascii="Arial" w:hAnsi="Arial" w:cs="Arial"/>
        </w:rPr>
        <w:t xml:space="preserve"> (2009)</w:t>
      </w:r>
      <w:r w:rsidRPr="008E4BA3">
        <w:rPr>
          <w:rFonts w:ascii="Arial" w:hAnsi="Arial" w:cs="Arial"/>
        </w:rPr>
        <w:t>.</w:t>
      </w:r>
    </w:p>
    <w:p w:rsidR="00123C57" w:rsidRPr="001203FC" w:rsidRDefault="00123C57" w:rsidP="00123C57">
      <w:pPr>
        <w:numPr>
          <w:ilvl w:val="0"/>
          <w:numId w:val="7"/>
        </w:numPr>
        <w:suppressAutoHyphens/>
        <w:spacing w:after="0" w:line="240" w:lineRule="auto"/>
        <w:jc w:val="both"/>
        <w:rPr>
          <w:rFonts w:ascii="Arial" w:hAnsi="Arial" w:cs="Arial"/>
        </w:rPr>
      </w:pPr>
      <w:r w:rsidRPr="00994A0A">
        <w:rPr>
          <w:rFonts w:ascii="Arial" w:hAnsi="Arial" w:cs="Arial"/>
          <w:lang w:val="en-US"/>
        </w:rPr>
        <w:t>Saint</w:t>
      </w:r>
      <w:r w:rsidRPr="00994A0A">
        <w:rPr>
          <w:rFonts w:ascii="Cambria Math" w:hAnsi="Cambria Math" w:cs="Cambria Math"/>
          <w:lang w:val="en-US"/>
        </w:rPr>
        <w:t>‐</w:t>
      </w:r>
      <w:r w:rsidRPr="00994A0A">
        <w:rPr>
          <w:rFonts w:ascii="Arial" w:hAnsi="Arial" w:cs="Arial"/>
          <w:lang w:val="en-US"/>
        </w:rPr>
        <w:t xml:space="preserve">Amant, Louis, and Pierre Drapeau. "Time course of the development of motor behaviors in the zebrafish embryo." </w:t>
      </w:r>
      <w:r w:rsidRPr="001719E6">
        <w:rPr>
          <w:rFonts w:ascii="Arial" w:hAnsi="Arial" w:cs="Arial"/>
        </w:rPr>
        <w:t>Journal of neurobiology 37.4 (1998): 622-632.</w:t>
      </w:r>
    </w:p>
    <w:p w:rsidR="00123C57" w:rsidRDefault="00123C57" w:rsidP="00123C57">
      <w:pPr>
        <w:numPr>
          <w:ilvl w:val="0"/>
          <w:numId w:val="7"/>
        </w:numPr>
        <w:tabs>
          <w:tab w:val="left" w:pos="750"/>
        </w:tabs>
        <w:suppressAutoHyphens/>
        <w:spacing w:after="0" w:line="240" w:lineRule="auto"/>
        <w:jc w:val="both"/>
        <w:rPr>
          <w:rFonts w:ascii="Arial" w:hAnsi="Arial" w:cs="Arial"/>
          <w:lang w:val="en-US"/>
        </w:rPr>
      </w:pPr>
      <w:r w:rsidRPr="00E32626">
        <w:rPr>
          <w:rFonts w:ascii="Arial" w:hAnsi="Arial" w:cs="Arial"/>
          <w:lang w:val="en-US"/>
        </w:rPr>
        <w:t>Goody, Michelle F., and Clarissa A. Henry. "Motility assay for zebrafish embryos." </w:t>
      </w:r>
      <w:r w:rsidRPr="00E32626">
        <w:rPr>
          <w:rFonts w:ascii="Arial" w:hAnsi="Arial" w:cs="Arial"/>
          <w:i/>
          <w:iCs/>
          <w:lang w:val="en-US"/>
        </w:rPr>
        <w:t>Bio Protocol</w:t>
      </w:r>
      <w:r w:rsidRPr="00E32626">
        <w:rPr>
          <w:rFonts w:ascii="Arial" w:hAnsi="Arial" w:cs="Arial"/>
          <w:lang w:val="en-US"/>
        </w:rPr>
        <w:t> 3 (2013): e787.</w:t>
      </w:r>
      <w:r w:rsidRPr="006E0737">
        <w:rPr>
          <w:rFonts w:ascii="Arial" w:hAnsi="Arial" w:cs="Arial"/>
          <w:lang w:val="en-US"/>
        </w:rPr>
        <w:t>Tailing B., Krivenko P., “Blast Furnace Slag- The Ultimate Binder”, Chapter 5, Waste Materials used in Concrete Manufacturin</w:t>
      </w:r>
      <w:r>
        <w:rPr>
          <w:rFonts w:ascii="Arial" w:hAnsi="Arial" w:cs="Arial"/>
          <w:lang w:val="en-US"/>
        </w:rPr>
        <w:t>g. William Andrew Publishing Noyes, 1997.</w:t>
      </w:r>
    </w:p>
    <w:p w:rsidR="00123C57" w:rsidRDefault="00123C57" w:rsidP="00123C57">
      <w:pPr>
        <w:numPr>
          <w:ilvl w:val="0"/>
          <w:numId w:val="7"/>
        </w:numPr>
        <w:tabs>
          <w:tab w:val="left" w:pos="750"/>
        </w:tabs>
        <w:suppressAutoHyphens/>
        <w:spacing w:after="0" w:line="240" w:lineRule="auto"/>
        <w:jc w:val="both"/>
        <w:rPr>
          <w:rFonts w:ascii="Arial" w:hAnsi="Arial" w:cs="Arial"/>
        </w:rPr>
      </w:pPr>
      <w:r w:rsidRPr="00A450E6">
        <w:rPr>
          <w:rFonts w:ascii="Arial" w:hAnsi="Arial" w:cs="Arial"/>
        </w:rPr>
        <w:t xml:space="preserve">Jiménez B., Chávez A., Gibson </w:t>
      </w:r>
      <w:r>
        <w:rPr>
          <w:rFonts w:ascii="Arial" w:hAnsi="Arial" w:cs="Arial"/>
        </w:rPr>
        <w:t>R., Becerril JE., Landa O</w:t>
      </w:r>
      <w:r w:rsidRPr="00A450E6">
        <w:rPr>
          <w:rFonts w:ascii="Arial" w:hAnsi="Arial" w:cs="Arial"/>
        </w:rPr>
        <w:t>. Complemento de la Caracterización del Agua de Consumo Humano en el Valle de Tula. Primer Informe. Proyecto del fideicomiso 1928. 94 pp. 3 de septiembre de 2007.</w:t>
      </w:r>
    </w:p>
    <w:p w:rsidR="00123C57" w:rsidRDefault="00123C57" w:rsidP="00123C57">
      <w:pPr>
        <w:numPr>
          <w:ilvl w:val="0"/>
          <w:numId w:val="7"/>
        </w:numPr>
        <w:tabs>
          <w:tab w:val="left" w:pos="750"/>
        </w:tabs>
        <w:suppressAutoHyphens/>
        <w:spacing w:after="0" w:line="240" w:lineRule="auto"/>
        <w:jc w:val="both"/>
        <w:rPr>
          <w:rFonts w:ascii="Arial" w:hAnsi="Arial" w:cs="Arial"/>
        </w:rPr>
      </w:pPr>
      <w:r w:rsidRPr="00E32626">
        <w:rPr>
          <w:rFonts w:ascii="Arial" w:hAnsi="Arial" w:cs="Arial"/>
          <w:lang w:val="en-US"/>
        </w:rPr>
        <w:lastRenderedPageBreak/>
        <w:t>Sodré, F. F., Locatelli, M. A. F., &amp; Jardim, W. F. Occurrence of emerging contaminants in Brazilian drinking waters: a sewage-to-tap issue. </w:t>
      </w:r>
      <w:r w:rsidRPr="00A450E6">
        <w:rPr>
          <w:rFonts w:ascii="Arial" w:hAnsi="Arial" w:cs="Arial"/>
          <w:i/>
          <w:iCs/>
        </w:rPr>
        <w:t>Water, Air, and Soil Pollution</w:t>
      </w:r>
      <w:r w:rsidRPr="00A450E6">
        <w:rPr>
          <w:rFonts w:ascii="Arial" w:hAnsi="Arial" w:cs="Arial"/>
        </w:rPr>
        <w:t>, </w:t>
      </w:r>
      <w:r w:rsidRPr="00A450E6">
        <w:rPr>
          <w:rFonts w:ascii="Arial" w:hAnsi="Arial" w:cs="Arial"/>
          <w:i/>
          <w:iCs/>
        </w:rPr>
        <w:t>206</w:t>
      </w:r>
      <w:r w:rsidRPr="00A450E6">
        <w:rPr>
          <w:rFonts w:ascii="Arial" w:hAnsi="Arial" w:cs="Arial"/>
        </w:rPr>
        <w:t>(1-4), 57-67</w:t>
      </w:r>
      <w:r>
        <w:rPr>
          <w:rFonts w:ascii="Arial" w:hAnsi="Arial" w:cs="Arial"/>
        </w:rPr>
        <w:t xml:space="preserve"> (2010)</w:t>
      </w:r>
      <w:r w:rsidRPr="008E4BA3">
        <w:rPr>
          <w:rFonts w:ascii="Arial" w:hAnsi="Arial" w:cs="Arial"/>
        </w:rPr>
        <w:t>.</w:t>
      </w:r>
    </w:p>
    <w:p w:rsidR="00123C57" w:rsidRDefault="00123C57" w:rsidP="00123C57">
      <w:pPr>
        <w:numPr>
          <w:ilvl w:val="0"/>
          <w:numId w:val="7"/>
        </w:numPr>
        <w:suppressAutoHyphens/>
        <w:spacing w:after="0" w:line="240" w:lineRule="auto"/>
        <w:jc w:val="both"/>
        <w:rPr>
          <w:rFonts w:ascii="Arial" w:hAnsi="Arial" w:cs="Arial"/>
        </w:rPr>
      </w:pPr>
      <w:r w:rsidRPr="00343A3E">
        <w:rPr>
          <w:rFonts w:ascii="Arial" w:hAnsi="Arial" w:cs="Arial"/>
        </w:rPr>
        <w:t>Gonzalez Guadarrama, Rosa, and Carlos Eduardo Barrera Díaz. "Evaluación tecnico-economica de propuestas en procesos para Potabilizar Agua en una Planta Tratadora de Agua Química Residual cumpliendo con la NOM-127-SSA1-1994." (2013).</w:t>
      </w:r>
    </w:p>
    <w:p w:rsidR="00123C57" w:rsidRDefault="00123C57" w:rsidP="00123C57">
      <w:pPr>
        <w:numPr>
          <w:ilvl w:val="0"/>
          <w:numId w:val="7"/>
        </w:numPr>
        <w:suppressAutoHyphens/>
        <w:spacing w:after="0" w:line="240" w:lineRule="auto"/>
        <w:jc w:val="both"/>
        <w:rPr>
          <w:rFonts w:ascii="Arial" w:hAnsi="Arial" w:cs="Arial"/>
        </w:rPr>
      </w:pPr>
      <w:r w:rsidRPr="00994A0A">
        <w:rPr>
          <w:rFonts w:ascii="Arial" w:hAnsi="Arial" w:cs="Arial"/>
          <w:lang w:val="en-US"/>
        </w:rPr>
        <w:t xml:space="preserve">Wright, H. B., and W. L. Cairns. </w:t>
      </w:r>
      <w:r w:rsidRPr="00343A3E">
        <w:rPr>
          <w:rFonts w:ascii="Arial" w:hAnsi="Arial" w:cs="Arial"/>
        </w:rPr>
        <w:t>"Desinfección de agua por medio de luz ultravioleta." Trabajo presentado en los Anales simposio OPS: Calidad de agua, Desinfección efectiva. 1998.</w:t>
      </w:r>
    </w:p>
    <w:p w:rsidR="00123C57" w:rsidRDefault="00123C57" w:rsidP="00123C57">
      <w:pPr>
        <w:numPr>
          <w:ilvl w:val="0"/>
          <w:numId w:val="7"/>
        </w:numPr>
        <w:tabs>
          <w:tab w:val="left" w:pos="750"/>
        </w:tabs>
        <w:suppressAutoHyphens/>
        <w:spacing w:after="0" w:line="240" w:lineRule="auto"/>
        <w:jc w:val="both"/>
        <w:rPr>
          <w:rFonts w:ascii="Arial" w:hAnsi="Arial" w:cs="Arial"/>
        </w:rPr>
      </w:pPr>
      <w:r w:rsidRPr="00E32626">
        <w:rPr>
          <w:rFonts w:ascii="Arial" w:hAnsi="Arial" w:cs="Arial"/>
          <w:lang w:val="en-US"/>
        </w:rPr>
        <w:t xml:space="preserve">Li, S. Z., Li, X. Y., &amp; Wang, D. Z. Membrane (RO-UF) filtration for antibiotic wastewater treatment and recovery of antibiotics. </w:t>
      </w:r>
      <w:r w:rsidRPr="008E4BA3">
        <w:rPr>
          <w:rFonts w:ascii="Arial" w:hAnsi="Arial" w:cs="Arial"/>
        </w:rPr>
        <w:t>Separation and Purification Technology, 34(1-3), 109-114</w:t>
      </w:r>
      <w:r>
        <w:rPr>
          <w:rFonts w:ascii="Arial" w:hAnsi="Arial" w:cs="Arial"/>
        </w:rPr>
        <w:t xml:space="preserve"> </w:t>
      </w:r>
      <w:r w:rsidRPr="008E4BA3">
        <w:rPr>
          <w:rFonts w:ascii="Arial" w:hAnsi="Arial" w:cs="Arial"/>
        </w:rPr>
        <w:t>(2004).</w:t>
      </w:r>
    </w:p>
    <w:p w:rsidR="00123C57" w:rsidRPr="00E32626" w:rsidRDefault="00123C57" w:rsidP="00123C57">
      <w:pPr>
        <w:numPr>
          <w:ilvl w:val="0"/>
          <w:numId w:val="7"/>
        </w:numPr>
        <w:tabs>
          <w:tab w:val="left" w:pos="750"/>
        </w:tabs>
        <w:suppressAutoHyphens/>
        <w:spacing w:after="0" w:line="240" w:lineRule="auto"/>
        <w:jc w:val="both"/>
        <w:rPr>
          <w:rFonts w:ascii="Arial" w:hAnsi="Arial" w:cs="Arial"/>
          <w:lang w:val="en-US"/>
        </w:rPr>
      </w:pPr>
      <w:r w:rsidRPr="00E32626">
        <w:rPr>
          <w:rFonts w:ascii="Arial" w:hAnsi="Arial" w:cs="Arial"/>
          <w:lang w:val="en-US"/>
        </w:rPr>
        <w:t>Embry, M. R., Belanger, S. E., Braunbeck, T. A., Galay-Burgos, M., Halder, M., Hinton, D. E., ... &amp; Whale, G., The fish embryo toxicity test as an animal alternative method in hazard and risk assessment and scientific research. Aquatic toxicology, 97(2), 79-87 (2010).</w:t>
      </w:r>
    </w:p>
    <w:p w:rsidR="00123C57" w:rsidRDefault="00123C57" w:rsidP="00123C57">
      <w:pPr>
        <w:numPr>
          <w:ilvl w:val="0"/>
          <w:numId w:val="7"/>
        </w:numPr>
        <w:tabs>
          <w:tab w:val="left" w:pos="750"/>
        </w:tabs>
        <w:suppressAutoHyphens/>
        <w:spacing w:after="0" w:line="240" w:lineRule="auto"/>
        <w:jc w:val="both"/>
        <w:rPr>
          <w:rFonts w:ascii="Arial" w:hAnsi="Arial" w:cs="Arial"/>
        </w:rPr>
      </w:pPr>
      <w:r w:rsidRPr="00E32626">
        <w:rPr>
          <w:rFonts w:ascii="Arial" w:hAnsi="Arial" w:cs="Arial"/>
          <w:lang w:val="en-US"/>
        </w:rPr>
        <w:t>McGrath, P., &amp; Li, C. Q. Zebrafish: a predictive model for assessing drug-induced toxicity. </w:t>
      </w:r>
      <w:r w:rsidRPr="0043472C">
        <w:rPr>
          <w:rFonts w:ascii="Arial" w:hAnsi="Arial" w:cs="Arial"/>
          <w:i/>
          <w:iCs/>
        </w:rPr>
        <w:t>Drug discovery today</w:t>
      </w:r>
      <w:r w:rsidRPr="0043472C">
        <w:rPr>
          <w:rFonts w:ascii="Arial" w:hAnsi="Arial" w:cs="Arial"/>
        </w:rPr>
        <w:t>, </w:t>
      </w:r>
      <w:r w:rsidRPr="0043472C">
        <w:rPr>
          <w:rFonts w:ascii="Arial" w:hAnsi="Arial" w:cs="Arial"/>
          <w:i/>
          <w:iCs/>
        </w:rPr>
        <w:t>13</w:t>
      </w:r>
      <w:r w:rsidRPr="0043472C">
        <w:rPr>
          <w:rFonts w:ascii="Arial" w:hAnsi="Arial" w:cs="Arial"/>
        </w:rPr>
        <w:t>(9-10), 394-401</w:t>
      </w:r>
      <w:r>
        <w:rPr>
          <w:rFonts w:ascii="Arial" w:hAnsi="Arial" w:cs="Arial"/>
        </w:rPr>
        <w:t xml:space="preserve"> (2008)</w:t>
      </w:r>
      <w:r w:rsidRPr="0043472C">
        <w:rPr>
          <w:rFonts w:ascii="Arial" w:hAnsi="Arial" w:cs="Arial"/>
        </w:rPr>
        <w:t>.</w:t>
      </w:r>
    </w:p>
    <w:p w:rsidR="00123C57" w:rsidRDefault="00123C57" w:rsidP="00123C57">
      <w:pPr>
        <w:numPr>
          <w:ilvl w:val="0"/>
          <w:numId w:val="7"/>
        </w:numPr>
        <w:tabs>
          <w:tab w:val="left" w:pos="750"/>
        </w:tabs>
        <w:suppressAutoHyphens/>
        <w:spacing w:after="0" w:line="240" w:lineRule="auto"/>
        <w:jc w:val="both"/>
        <w:rPr>
          <w:rFonts w:ascii="Arial" w:hAnsi="Arial" w:cs="Arial"/>
        </w:rPr>
      </w:pPr>
      <w:r w:rsidRPr="00E32626">
        <w:rPr>
          <w:rFonts w:ascii="Arial" w:hAnsi="Arial" w:cs="Arial"/>
          <w:lang w:val="en-US"/>
        </w:rPr>
        <w:t xml:space="preserve">Kimmel, C. B., Patterson, J., &amp; Kimmel, R. O., The development and behavioral characteristics of the startle response in the zebra fish. </w:t>
      </w:r>
      <w:r w:rsidRPr="0043472C">
        <w:rPr>
          <w:rFonts w:ascii="Arial" w:hAnsi="Arial" w:cs="Arial"/>
        </w:rPr>
        <w:t>Developmental Psychobiology, 7, 47–60</w:t>
      </w:r>
      <w:r>
        <w:rPr>
          <w:rFonts w:ascii="Arial" w:hAnsi="Arial" w:cs="Arial"/>
        </w:rPr>
        <w:t xml:space="preserve"> (1974).</w:t>
      </w:r>
    </w:p>
    <w:p w:rsidR="00123C57" w:rsidRPr="00C3020C" w:rsidRDefault="00123C57" w:rsidP="00123C57">
      <w:pPr>
        <w:numPr>
          <w:ilvl w:val="0"/>
          <w:numId w:val="7"/>
        </w:numPr>
        <w:suppressAutoHyphens/>
        <w:spacing w:after="0" w:line="240" w:lineRule="auto"/>
        <w:jc w:val="both"/>
        <w:rPr>
          <w:rFonts w:ascii="Arial" w:hAnsi="Arial" w:cs="Arial"/>
          <w:lang w:val="en-US"/>
        </w:rPr>
      </w:pPr>
      <w:r w:rsidRPr="00994A0A">
        <w:rPr>
          <w:rFonts w:ascii="Arial" w:hAnsi="Arial" w:cs="Arial"/>
          <w:lang w:val="es-MX"/>
        </w:rPr>
        <w:t xml:space="preserve">Solis, Rebeca Judith Gonzales. "Mercados potenciales y beneficios del uso de agua residual tratada en la ciudad de Tijuana, Baja California." </w:t>
      </w:r>
      <w:r w:rsidRPr="001719E6">
        <w:rPr>
          <w:rFonts w:ascii="Arial" w:hAnsi="Arial" w:cs="Arial"/>
          <w:lang w:val="en-US"/>
        </w:rPr>
        <w:t>(2010).</w:t>
      </w:r>
    </w:p>
    <w:p w:rsidR="004B4415" w:rsidRPr="004B4415" w:rsidRDefault="004B4415" w:rsidP="00B31CE1">
      <w:pPr>
        <w:autoSpaceDE w:val="0"/>
        <w:autoSpaceDN w:val="0"/>
        <w:adjustRightInd w:val="0"/>
        <w:jc w:val="both"/>
        <w:rPr>
          <w:iCs/>
          <w:lang w:val="en-US"/>
        </w:rPr>
      </w:pPr>
    </w:p>
    <w:p w:rsidR="004B4415" w:rsidRPr="004B4415" w:rsidRDefault="004B4415" w:rsidP="00B31CE1">
      <w:pPr>
        <w:autoSpaceDE w:val="0"/>
        <w:autoSpaceDN w:val="0"/>
        <w:adjustRightInd w:val="0"/>
        <w:jc w:val="both"/>
        <w:rPr>
          <w:iCs/>
          <w:lang w:val="en-US"/>
        </w:rPr>
      </w:pPr>
    </w:p>
    <w:p w:rsidR="00915A46" w:rsidRPr="00C41244" w:rsidRDefault="00915A46" w:rsidP="00A208FA">
      <w:pPr>
        <w:pStyle w:val="1Titulo"/>
        <w:numPr>
          <w:ilvl w:val="0"/>
          <w:numId w:val="0"/>
        </w:numPr>
        <w:ind w:left="357"/>
        <w:jc w:val="center"/>
        <w:rPr>
          <w:rFonts w:cs="Times New Roman"/>
          <w:sz w:val="28"/>
          <w:szCs w:val="28"/>
          <w:lang w:val="es-ES"/>
        </w:rPr>
      </w:pPr>
      <w:bookmarkStart w:id="214" w:name="_Toc50031296"/>
      <w:r w:rsidRPr="00C41244">
        <w:rPr>
          <w:sz w:val="28"/>
          <w:szCs w:val="28"/>
        </w:rPr>
        <w:t>Digestión anaeróbica para la producción de fitorreguladores: efecto del pH inicial y caracte</w:t>
      </w:r>
      <w:r w:rsidR="00C41244">
        <w:rPr>
          <w:sz w:val="28"/>
          <w:szCs w:val="28"/>
        </w:rPr>
        <w:t>rización microbiana del proceso</w:t>
      </w:r>
      <w:bookmarkEnd w:id="214"/>
    </w:p>
    <w:p w:rsidR="0095276A" w:rsidRPr="00A208FA" w:rsidRDefault="0095276A" w:rsidP="0095276A">
      <w:pPr>
        <w:pStyle w:val="Author"/>
        <w:rPr>
          <w:rFonts w:ascii="Arial" w:hAnsi="Arial" w:cs="Arial"/>
          <w:sz w:val="24"/>
          <w:szCs w:val="24"/>
          <w:lang w:val="es-ES"/>
        </w:rPr>
      </w:pPr>
      <w:r w:rsidRPr="00A208FA">
        <w:rPr>
          <w:rFonts w:ascii="Arial" w:hAnsi="Arial" w:cs="Arial"/>
          <w:sz w:val="24"/>
          <w:szCs w:val="24"/>
          <w:lang w:val="es-ES"/>
        </w:rPr>
        <w:t>Castro-Ramos, J. J., Solís-Oba M.M., Calderón Vázquez C.L., Castro-Rivera R., Romero-Rodríguez A., Juárez-Rangel A., Pacheco-Ortiz J.A.</w:t>
      </w:r>
    </w:p>
    <w:p w:rsidR="00915A46" w:rsidRPr="00915A46" w:rsidRDefault="00915A46" w:rsidP="00915A46">
      <w:pPr>
        <w:pStyle w:val="Ttulo1"/>
        <w:keepLines w:val="0"/>
        <w:numPr>
          <w:ilvl w:val="0"/>
          <w:numId w:val="1"/>
        </w:numPr>
        <w:tabs>
          <w:tab w:val="clear" w:pos="432"/>
          <w:tab w:val="left" w:pos="0"/>
        </w:tabs>
        <w:suppressAutoHyphens/>
        <w:spacing w:before="0" w:after="0" w:line="360" w:lineRule="auto"/>
        <w:ind w:left="0" w:firstLine="0"/>
        <w:jc w:val="both"/>
        <w:rPr>
          <w:rFonts w:cs="Arial"/>
          <w:i/>
          <w:color w:val="000000"/>
          <w:sz w:val="24"/>
          <w:szCs w:val="24"/>
        </w:rPr>
      </w:pPr>
      <w:bookmarkStart w:id="215" w:name="_Toc50031297"/>
      <w:r w:rsidRPr="00915A46">
        <w:rPr>
          <w:rFonts w:cs="Arial"/>
          <w:i/>
          <w:caps/>
          <w:sz w:val="24"/>
          <w:szCs w:val="24"/>
        </w:rPr>
        <w:t>1. R</w:t>
      </w:r>
      <w:r w:rsidRPr="00915A46">
        <w:rPr>
          <w:rFonts w:cs="Arial"/>
          <w:i/>
          <w:sz w:val="24"/>
          <w:szCs w:val="24"/>
        </w:rPr>
        <w:t>esumen</w:t>
      </w:r>
      <w:bookmarkEnd w:id="215"/>
      <w:r w:rsidRPr="00915A46">
        <w:rPr>
          <w:rFonts w:cs="Arial"/>
          <w:i/>
          <w:caps/>
          <w:sz w:val="24"/>
          <w:szCs w:val="24"/>
        </w:rPr>
        <w:t xml:space="preserve"> </w:t>
      </w:r>
    </w:p>
    <w:p w:rsidR="00915A46" w:rsidRPr="006016CF" w:rsidRDefault="00915A46" w:rsidP="00915A46">
      <w:pPr>
        <w:ind w:firstLine="567"/>
        <w:jc w:val="both"/>
        <w:rPr>
          <w:rFonts w:cs="Arial"/>
          <w:color w:val="000000"/>
        </w:rPr>
      </w:pPr>
      <w:r>
        <w:rPr>
          <w:rFonts w:cs="Arial"/>
          <w:color w:val="000000"/>
        </w:rPr>
        <w:t xml:space="preserve">En esta </w:t>
      </w:r>
      <w:r w:rsidRPr="006016CF">
        <w:rPr>
          <w:rFonts w:cs="Arial"/>
          <w:color w:val="000000"/>
        </w:rPr>
        <w:t>investigación se evaluó la producción de ácido indolacético (IAA), ácido giberélico (GA</w:t>
      </w:r>
      <w:r w:rsidRPr="006016CF">
        <w:rPr>
          <w:rFonts w:cs="Arial"/>
          <w:color w:val="000000"/>
          <w:vertAlign w:val="subscript"/>
        </w:rPr>
        <w:t>3</w:t>
      </w:r>
      <w:r w:rsidRPr="006016CF">
        <w:rPr>
          <w:rFonts w:cs="Arial"/>
          <w:color w:val="000000"/>
        </w:rPr>
        <w:t>) y ácido abscísico (ABA) durante la digestión anaeróbica (DA) de estiércol de vaca en dos procesos, DA1 y DA2 a pH inicial de 5.5 y 7.5 respectivamente y 37</w:t>
      </w:r>
      <w:r w:rsidRPr="006016CF">
        <w:rPr>
          <w:rFonts w:cs="Arial"/>
          <w:color w:val="000000"/>
          <w:vertAlign w:val="superscript"/>
        </w:rPr>
        <w:t>o</w:t>
      </w:r>
      <w:r w:rsidRPr="006016CF">
        <w:rPr>
          <w:rFonts w:cs="Arial"/>
          <w:color w:val="000000"/>
        </w:rPr>
        <w:t>C. Además, se caracterizaron taxonómicamente las poblaciones microbianas a los 0, 4, 8 y 20 días de proceso de digestión por medio de análisis metagenómico. Los resultados mostraron diferencias en la producción de IAA y GA</w:t>
      </w:r>
      <w:r w:rsidRPr="006016CF">
        <w:rPr>
          <w:rFonts w:cs="Arial"/>
          <w:color w:val="000000"/>
          <w:vertAlign w:val="subscript"/>
        </w:rPr>
        <w:t xml:space="preserve">3 </w:t>
      </w:r>
      <w:r w:rsidRPr="006016CF">
        <w:rPr>
          <w:rFonts w:cs="Arial"/>
          <w:color w:val="000000"/>
        </w:rPr>
        <w:t xml:space="preserve">entre DA1 y DA2 mientras que el ABA no fue detectado. En ambos procesos disminuyó el pH del medio y se detectó la acumulación de ácidos grasos volátiles ocasionando la acidificación de las DA, además de que no se produjo metano; por lo que en los dos procesos predominó la fase acidogénica. La caracterización taxonómica mostró la presencia de 14 taxones a nivel familia siendo el más abundante inicialmente </w:t>
      </w:r>
      <w:r w:rsidRPr="006016CF">
        <w:rPr>
          <w:rFonts w:cs="Arial"/>
          <w:i/>
          <w:color w:val="000000"/>
        </w:rPr>
        <w:t xml:space="preserve">Ruminococcaceae </w:t>
      </w:r>
      <w:r w:rsidRPr="006016CF">
        <w:rPr>
          <w:rFonts w:cs="Arial"/>
          <w:color w:val="000000"/>
        </w:rPr>
        <w:t xml:space="preserve">mientras </w:t>
      </w:r>
      <w:r w:rsidRPr="006016CF">
        <w:rPr>
          <w:rFonts w:cs="Arial"/>
          <w:i/>
          <w:color w:val="000000"/>
        </w:rPr>
        <w:t>Peptostreptococcaceae</w:t>
      </w:r>
      <w:r w:rsidRPr="006016CF">
        <w:rPr>
          <w:rFonts w:cs="Arial"/>
          <w:color w:val="000000"/>
        </w:rPr>
        <w:t xml:space="preserve"> incrementó su abundancia y predominó en ambas DA. </w:t>
      </w:r>
    </w:p>
    <w:p w:rsidR="00915A46" w:rsidRPr="006016CF" w:rsidRDefault="00915A46" w:rsidP="00915A46">
      <w:pPr>
        <w:ind w:firstLine="567"/>
        <w:rPr>
          <w:rFonts w:cs="Arial"/>
        </w:rPr>
      </w:pPr>
    </w:p>
    <w:p w:rsidR="00915A46" w:rsidRPr="00915A46" w:rsidRDefault="00915A46" w:rsidP="00915A46">
      <w:pPr>
        <w:pStyle w:val="Ttulo1"/>
        <w:keepLines w:val="0"/>
        <w:numPr>
          <w:ilvl w:val="0"/>
          <w:numId w:val="1"/>
        </w:numPr>
        <w:tabs>
          <w:tab w:val="clear" w:pos="432"/>
          <w:tab w:val="left" w:pos="0"/>
        </w:tabs>
        <w:suppressAutoHyphens/>
        <w:spacing w:before="0" w:after="0" w:line="360" w:lineRule="auto"/>
        <w:ind w:left="0" w:firstLine="0"/>
        <w:jc w:val="both"/>
        <w:rPr>
          <w:rFonts w:cs="Arial"/>
          <w:i/>
          <w:caps/>
          <w:sz w:val="24"/>
          <w:szCs w:val="24"/>
        </w:rPr>
      </w:pPr>
      <w:bookmarkStart w:id="216" w:name="_Toc50031298"/>
      <w:r w:rsidRPr="00915A46">
        <w:rPr>
          <w:rFonts w:cs="Arial"/>
          <w:i/>
          <w:caps/>
          <w:sz w:val="24"/>
          <w:szCs w:val="24"/>
        </w:rPr>
        <w:lastRenderedPageBreak/>
        <w:t>2. I</w:t>
      </w:r>
      <w:r w:rsidRPr="00915A46">
        <w:rPr>
          <w:rFonts w:cs="Arial"/>
          <w:i/>
          <w:sz w:val="24"/>
          <w:szCs w:val="24"/>
        </w:rPr>
        <w:t>ntroducción</w:t>
      </w:r>
      <w:bookmarkEnd w:id="216"/>
      <w:r w:rsidRPr="00915A46">
        <w:rPr>
          <w:rFonts w:cs="Arial"/>
          <w:i/>
          <w:caps/>
          <w:sz w:val="24"/>
          <w:szCs w:val="24"/>
        </w:rPr>
        <w:t xml:space="preserve"> </w:t>
      </w:r>
    </w:p>
    <w:p w:rsidR="00915A46" w:rsidRDefault="00915A46" w:rsidP="00915A46">
      <w:pPr>
        <w:ind w:firstLine="708"/>
        <w:jc w:val="both"/>
      </w:pPr>
      <w:r w:rsidRPr="006016CF">
        <w:t>La digestión anaeróbica (DA) es un proceso de degradación microbiana de la materia orgánica comúnmente utilizado para el tratamiento de residuos orgánicos y la producción de biogás</w:t>
      </w:r>
      <w:r>
        <w:t xml:space="preserve"> </w:t>
      </w:r>
      <w:r>
        <w:rPr>
          <w:vertAlign w:val="superscript"/>
        </w:rPr>
        <w:t>[1]</w:t>
      </w:r>
      <w:r>
        <w:t xml:space="preserve">. Durante este proceso se producen diversos compuestos derivados del metabolismo microbiano, entre los que se encuentran los fitorreguladores </w:t>
      </w:r>
      <w:r>
        <w:rPr>
          <w:vertAlign w:val="superscript"/>
        </w:rPr>
        <w:t>[2]</w:t>
      </w:r>
      <w:r>
        <w:t xml:space="preserve">, los cuales son compuestos que regulan el desarrollo y crecimiento de las plantas </w:t>
      </w:r>
      <w:r>
        <w:rPr>
          <w:vertAlign w:val="superscript"/>
        </w:rPr>
        <w:t>[3]</w:t>
      </w:r>
      <w:r>
        <w:t>. Entre los fitorreguladores se encuentran el IAA, GA</w:t>
      </w:r>
      <w:r w:rsidRPr="009D4517">
        <w:rPr>
          <w:vertAlign w:val="subscript"/>
        </w:rPr>
        <w:t>3</w:t>
      </w:r>
      <w:r>
        <w:rPr>
          <w:vertAlign w:val="subscript"/>
        </w:rPr>
        <w:t xml:space="preserve"> </w:t>
      </w:r>
      <w:r>
        <w:t xml:space="preserve">y ABA los cuales participan en la regulación de la extensión radicular </w:t>
      </w:r>
      <w:r>
        <w:rPr>
          <w:vertAlign w:val="superscript"/>
        </w:rPr>
        <w:t>[4]</w:t>
      </w:r>
      <w:r>
        <w:t xml:space="preserve">, la inducción de la germinación </w:t>
      </w:r>
      <w:r>
        <w:rPr>
          <w:vertAlign w:val="superscript"/>
        </w:rPr>
        <w:t>[5]</w:t>
      </w:r>
      <w:r>
        <w:t xml:space="preserve"> y la adaptación a acondiciones de estrés </w:t>
      </w:r>
      <w:r>
        <w:rPr>
          <w:vertAlign w:val="superscript"/>
        </w:rPr>
        <w:t>[6]</w:t>
      </w:r>
      <w:r w:rsidRPr="00F36722">
        <w:t xml:space="preserve"> </w:t>
      </w:r>
      <w:r>
        <w:t xml:space="preserve">respectivamente. Los fitorreguladores son utilizados en la agricultura y en el cultivo de tejidos vegetales debido a su efecto en las plantas </w:t>
      </w:r>
      <w:r>
        <w:rPr>
          <w:vertAlign w:val="superscript"/>
        </w:rPr>
        <w:t>[7]</w:t>
      </w:r>
      <w:r>
        <w:t xml:space="preserve">. </w:t>
      </w:r>
    </w:p>
    <w:p w:rsidR="00915A46" w:rsidRDefault="00915A46" w:rsidP="00915A46">
      <w:pPr>
        <w:jc w:val="both"/>
      </w:pPr>
      <w:r>
        <w:t>A escala industrial los fitorreguladores como el IAA, GA</w:t>
      </w:r>
      <w:r w:rsidRPr="009D4517">
        <w:rPr>
          <w:vertAlign w:val="subscript"/>
        </w:rPr>
        <w:t>3</w:t>
      </w:r>
      <w:r>
        <w:rPr>
          <w:vertAlign w:val="subscript"/>
        </w:rPr>
        <w:t xml:space="preserve"> </w:t>
      </w:r>
      <w:r>
        <w:t xml:space="preserve">y ABA son producidos en sistemas de fermentación aeróbicos con cultivos axénicos y utilizando sustratos puros </w:t>
      </w:r>
      <w:r>
        <w:rPr>
          <w:vertAlign w:val="superscript"/>
        </w:rPr>
        <w:t>[8]</w:t>
      </w:r>
      <w:r>
        <w:t xml:space="preserve">. A pesar de que la producción de fitorreguladores en procesos de fermentación aeróbicos ha sido ampliamente reportada, la información con respecto al proceso anaeróbico es limitada. Sin embargo, existen antecedentes de la presencia de fitorreguladores en el digestato proveniente de la DA de diferentes residuos. Por ejemplo, </w:t>
      </w:r>
      <w:r w:rsidRPr="00E47887">
        <w:t>Ertani y col. (2013)</w:t>
      </w:r>
      <w:r>
        <w:t xml:space="preserve"> </w:t>
      </w:r>
      <w:r>
        <w:rPr>
          <w:vertAlign w:val="superscript"/>
        </w:rPr>
        <w:t>[9]</w:t>
      </w:r>
      <w:r>
        <w:t xml:space="preserve"> reportaron la presencia de IAA en una concentración de 0.006 mg/L en el digestato de la DA de estiércol de vaca, además evaluaron el efecto del digestato en plántulas de maíz encontrando que aumentó el peso fresco de raíces de las plántulas atribuyendo el efecto al IAA contenido en el digestato. De forma similar, </w:t>
      </w:r>
      <w:r w:rsidRPr="00E47887">
        <w:t>Scaglia y col. (2015)</w:t>
      </w:r>
      <w:r>
        <w:t xml:space="preserve"> </w:t>
      </w:r>
      <w:r>
        <w:rPr>
          <w:vertAlign w:val="superscript"/>
        </w:rPr>
        <w:t>[10]</w:t>
      </w:r>
      <w:r>
        <w:t xml:space="preserve"> también reportaron el contenido de 9.94 mg/L de IAA en el digestato de la DA de estiércol de cerdo a 37 ºC, concluyendo que el IAA del digestato promovió el enrraizamiento en semillas de pepino. Por su parte, </w:t>
      </w:r>
      <w:r w:rsidRPr="00E47887">
        <w:t>Xin y col. (2016)</w:t>
      </w:r>
      <w:r>
        <w:t xml:space="preserve"> </w:t>
      </w:r>
      <w:r>
        <w:rPr>
          <w:vertAlign w:val="superscript"/>
        </w:rPr>
        <w:t>[2]</w:t>
      </w:r>
      <w:r>
        <w:rPr>
          <w:highlight w:val="yellow"/>
        </w:rPr>
        <w:t xml:space="preserve"> </w:t>
      </w:r>
      <w:r>
        <w:t>realizaron el seguimiento de la producción de IAA, GA</w:t>
      </w:r>
      <w:r w:rsidRPr="009D4517">
        <w:rPr>
          <w:vertAlign w:val="subscript"/>
        </w:rPr>
        <w:t>3</w:t>
      </w:r>
      <w:r>
        <w:rPr>
          <w:vertAlign w:val="subscript"/>
        </w:rPr>
        <w:t xml:space="preserve"> </w:t>
      </w:r>
      <w:r>
        <w:t xml:space="preserve">y ABA durante las DA a 37 ºC de estiércol de vaca (pH 8.68), estiércol de pollo (pH 8.41) y estiércol de cerdo (pH 8.41), inoculados con lodos de depuradora de aguas residuales, encontrando que los tres fitorreguladores se producen en las tres DA variando su concentración en todo el proceso. Estos investigadores también argumentan que el IAA en las DA evaluadas podría haberse producido a partir de triptófano por bacterias del género </w:t>
      </w:r>
      <w:r w:rsidRPr="00F02147">
        <w:rPr>
          <w:i/>
        </w:rPr>
        <w:t>Clostridium</w:t>
      </w:r>
      <w:r>
        <w:t xml:space="preserve">. </w:t>
      </w:r>
    </w:p>
    <w:p w:rsidR="00915A46" w:rsidRDefault="00915A46" w:rsidP="00915A46">
      <w:pPr>
        <w:ind w:firstLine="708"/>
      </w:pPr>
      <w:r>
        <w:t xml:space="preserve">En esta investigación se evaluó el efecto de la modificación del pH inicial sobre la producción de fitorreguladores y las poblaciones microbianas durante el proceso de DA de estiércol de vaca. </w:t>
      </w:r>
    </w:p>
    <w:p w:rsidR="00915A46" w:rsidRDefault="00915A46" w:rsidP="00915A46"/>
    <w:p w:rsidR="00915A46" w:rsidRPr="00915A46" w:rsidRDefault="00915A46" w:rsidP="00915A46">
      <w:pPr>
        <w:pStyle w:val="Ttulo1"/>
        <w:keepLines w:val="0"/>
        <w:numPr>
          <w:ilvl w:val="0"/>
          <w:numId w:val="1"/>
        </w:numPr>
        <w:tabs>
          <w:tab w:val="clear" w:pos="432"/>
          <w:tab w:val="left" w:pos="0"/>
        </w:tabs>
        <w:suppressAutoHyphens/>
        <w:spacing w:before="0" w:after="0" w:line="360" w:lineRule="auto"/>
        <w:ind w:left="0" w:firstLine="0"/>
        <w:jc w:val="both"/>
        <w:rPr>
          <w:rFonts w:cs="Arial"/>
          <w:i/>
          <w:sz w:val="24"/>
          <w:szCs w:val="24"/>
        </w:rPr>
      </w:pPr>
      <w:bookmarkStart w:id="217" w:name="_Toc50031299"/>
      <w:r w:rsidRPr="00915A46">
        <w:rPr>
          <w:rFonts w:cs="Arial"/>
          <w:i/>
          <w:caps/>
          <w:sz w:val="24"/>
          <w:szCs w:val="24"/>
        </w:rPr>
        <w:t>3. C</w:t>
      </w:r>
      <w:r w:rsidRPr="00915A46">
        <w:rPr>
          <w:rFonts w:cs="Arial"/>
          <w:i/>
          <w:sz w:val="24"/>
          <w:szCs w:val="24"/>
        </w:rPr>
        <w:t>ondiciones experimentales</w:t>
      </w:r>
      <w:bookmarkEnd w:id="217"/>
    </w:p>
    <w:p w:rsidR="00915A46" w:rsidRPr="00DD183E" w:rsidRDefault="00915A46" w:rsidP="00915A46">
      <w:pPr>
        <w:rPr>
          <w:rFonts w:cs="Arial"/>
          <w:i/>
        </w:rPr>
      </w:pPr>
      <w:r w:rsidRPr="00DD183E">
        <w:rPr>
          <w:rFonts w:cs="Arial"/>
          <w:i/>
        </w:rPr>
        <w:t>3.1 Digestiones anaeróbicas</w:t>
      </w:r>
    </w:p>
    <w:p w:rsidR="00915A46" w:rsidRDefault="00915A46" w:rsidP="00915A46">
      <w:pPr>
        <w:ind w:firstLine="708"/>
        <w:jc w:val="both"/>
        <w:rPr>
          <w:rFonts w:cs="Arial"/>
        </w:rPr>
      </w:pPr>
      <w:r w:rsidRPr="00DD183E">
        <w:rPr>
          <w:rFonts w:cs="Arial"/>
        </w:rPr>
        <w:t xml:space="preserve">Se realizaron dos procesos de DA modificando el pH inicial a 5.5 (DA1) y 7.5 (DA2), manteniendo una temperatura de operación de 37 ºC en ambos casos. </w:t>
      </w:r>
      <w:r>
        <w:rPr>
          <w:rFonts w:cs="Arial"/>
        </w:rPr>
        <w:t xml:space="preserve">Se utilizó estiércol de vaca ajustado a 7 % de sólidos totales como sustrato e inóculo. </w:t>
      </w:r>
      <w:r w:rsidRPr="00DD183E">
        <w:rPr>
          <w:rFonts w:cs="Arial"/>
        </w:rPr>
        <w:t>Cada proceso de DA se llevó a cabo utilizando un lote de 18 botellas serológicas de 120 mL con un volumen de operación de 70 mL</w:t>
      </w:r>
      <w:r>
        <w:rPr>
          <w:rFonts w:cs="Arial"/>
        </w:rPr>
        <w:t>. Cada botella serológica se tomó como una repetición y se descartaron tres de estas en cada tiempo de muestreo (4, 8, 12, 16 y 20 días) para realizar la determinación de pH, IAA, GA</w:t>
      </w:r>
      <w:r w:rsidRPr="000E5C03">
        <w:rPr>
          <w:rFonts w:cs="Arial"/>
          <w:vertAlign w:val="subscript"/>
        </w:rPr>
        <w:t>3</w:t>
      </w:r>
      <w:r>
        <w:rPr>
          <w:rFonts w:cs="Arial"/>
        </w:rPr>
        <w:t xml:space="preserve">, ABA, AGVs </w:t>
      </w:r>
      <w:r w:rsidRPr="000E5C03">
        <w:rPr>
          <w:rFonts w:cs="Arial"/>
          <w:bCs/>
        </w:rPr>
        <w:t>(ácido acético, ácido propiónico, ácido isobutírico, ácido butírico, ácido isovalérico y ácido valérico)</w:t>
      </w:r>
      <w:r>
        <w:rPr>
          <w:rFonts w:cs="Arial"/>
          <w:bCs/>
        </w:rPr>
        <w:t xml:space="preserve"> y metano</w:t>
      </w:r>
      <w:r>
        <w:rPr>
          <w:rFonts w:cs="Arial"/>
        </w:rPr>
        <w:t xml:space="preserve">. </w:t>
      </w:r>
    </w:p>
    <w:p w:rsidR="00915A46" w:rsidRDefault="00915A46" w:rsidP="00915A46">
      <w:pPr>
        <w:rPr>
          <w:rFonts w:cs="Arial"/>
          <w:i/>
        </w:rPr>
      </w:pPr>
    </w:p>
    <w:p w:rsidR="00915A46" w:rsidRDefault="00915A46" w:rsidP="00915A46">
      <w:pPr>
        <w:rPr>
          <w:rFonts w:cs="Arial"/>
          <w:i/>
        </w:rPr>
      </w:pPr>
      <w:r w:rsidRPr="00DD183E">
        <w:rPr>
          <w:rFonts w:cs="Arial"/>
          <w:i/>
        </w:rPr>
        <w:lastRenderedPageBreak/>
        <w:t xml:space="preserve">3.2 Métodos analíticos </w:t>
      </w:r>
    </w:p>
    <w:p w:rsidR="00915A46" w:rsidRDefault="00915A46" w:rsidP="00915A46">
      <w:pPr>
        <w:ind w:firstLine="708"/>
        <w:rPr>
          <w:rFonts w:cs="Arial"/>
        </w:rPr>
      </w:pPr>
      <w:r>
        <w:rPr>
          <w:rFonts w:cs="Arial"/>
        </w:rPr>
        <w:t xml:space="preserve">Las muestras de digestato que se tomaron en los días indicados, se centrifugaron a 9000 rpm por 20 min a 20 ºC y a partir de la fracción del sobrenadante se realizó la extracción de fitorreguladores y AGVs como se indica a continuación. </w:t>
      </w:r>
    </w:p>
    <w:p w:rsidR="00915A46" w:rsidRDefault="00915A46" w:rsidP="00915A46">
      <w:pPr>
        <w:rPr>
          <w:rFonts w:cs="Arial"/>
        </w:rPr>
      </w:pPr>
    </w:p>
    <w:p w:rsidR="00915A46" w:rsidRPr="00BA2BAC" w:rsidRDefault="00915A46" w:rsidP="00915A46">
      <w:pPr>
        <w:rPr>
          <w:rFonts w:cs="Arial"/>
          <w:i/>
        </w:rPr>
      </w:pPr>
      <w:r>
        <w:rPr>
          <w:rFonts w:cs="Arial"/>
          <w:i/>
        </w:rPr>
        <w:t>3.2.1 Cuantifica</w:t>
      </w:r>
      <w:r w:rsidRPr="00BA2BAC">
        <w:rPr>
          <w:rFonts w:cs="Arial"/>
          <w:i/>
        </w:rPr>
        <w:t>ción de fitorreguladores</w:t>
      </w:r>
    </w:p>
    <w:p w:rsidR="00915A46" w:rsidRDefault="00915A46" w:rsidP="00915A46">
      <w:pPr>
        <w:ind w:firstLine="708"/>
        <w:jc w:val="both"/>
        <w:rPr>
          <w:rFonts w:cs="Arial"/>
        </w:rPr>
      </w:pPr>
      <w:r>
        <w:rPr>
          <w:rFonts w:cs="Arial"/>
        </w:rPr>
        <w:t>La extracción de fitorreguladores (IAA, GA</w:t>
      </w:r>
      <w:r w:rsidRPr="00D54417">
        <w:rPr>
          <w:rFonts w:cs="Arial"/>
          <w:vertAlign w:val="subscript"/>
        </w:rPr>
        <w:t>3</w:t>
      </w:r>
      <w:r>
        <w:rPr>
          <w:rFonts w:cs="Arial"/>
        </w:rPr>
        <w:t xml:space="preserve"> y ABA) se basó en una doble modificación del pH y la utilización de acetato de etilo como disolvente </w:t>
      </w:r>
      <w:r>
        <w:rPr>
          <w:vertAlign w:val="superscript"/>
        </w:rPr>
        <w:t>[11]</w:t>
      </w:r>
      <w:r>
        <w:t>.</w:t>
      </w:r>
      <w:r>
        <w:rPr>
          <w:rFonts w:cs="Arial"/>
        </w:rPr>
        <w:t xml:space="preserve"> Inicialmente, se aumentó el pH del sobrenadante a 9 con NaOH 10 M y se mezcló con acetato de etilo en una proporción 1:1, posteriormente se recuperó la fase acuosa, se modificó el pH a 1.5 con HCl y se mezcló nuevamente con acetato de etilo en una proporción 1:1. Se recuperó la fase orgánica, se evaporó el acetato de etilo a temperatura ambiente y el extracto se resuspendió en una mezcla de agua-metanol (1:1) con 0.2 % de ácido acético, finalmente se filtró con una membrana de nylon de 0.22 </w:t>
      </w:r>
      <w:r>
        <w:sym w:font="Symbol" w:char="F06D"/>
      </w:r>
      <w:r>
        <w:t>m.</w:t>
      </w:r>
      <w:r>
        <w:rPr>
          <w:rFonts w:cs="Arial"/>
        </w:rPr>
        <w:t xml:space="preserve"> La identificación y cuantificación de IAA, GA</w:t>
      </w:r>
      <w:r w:rsidRPr="00D54417">
        <w:rPr>
          <w:rFonts w:cs="Arial"/>
          <w:vertAlign w:val="subscript"/>
        </w:rPr>
        <w:t>3</w:t>
      </w:r>
      <w:r>
        <w:rPr>
          <w:rFonts w:cs="Arial"/>
        </w:rPr>
        <w:t xml:space="preserve"> y ABA se hizo por HPLC acoplado a un detector de arreglo de diodos, utilizando una columna analítica Eclipse XDB-C18 (4.6 mm ID x 250 mm 5</w:t>
      </w:r>
      <w:r>
        <w:rPr>
          <w:rFonts w:cs="Arial"/>
        </w:rPr>
        <w:sym w:font="Symbol" w:char="F06D"/>
      </w:r>
      <w:r>
        <w:rPr>
          <w:rFonts w:cs="Arial"/>
        </w:rPr>
        <w:t>m) acoplada a una precolumna Zorbax Reliance Cartridge (4.6 mm ID x 12.5 mm 5</w:t>
      </w:r>
      <w:r>
        <w:rPr>
          <w:rFonts w:cs="Arial"/>
        </w:rPr>
        <w:sym w:font="Symbol" w:char="F06D"/>
      </w:r>
      <w:r>
        <w:rPr>
          <w:rFonts w:cs="Arial"/>
        </w:rPr>
        <w:t xml:space="preserve">m), y como fase móvil tres líneas: agua (A), metanol (B) y agua-metanol (1:1) con 0.2 % de ácido acético (B). El volumen de inyección de la muestra fue de 20 </w:t>
      </w:r>
      <w:r>
        <w:rPr>
          <w:rFonts w:cs="Arial"/>
        </w:rPr>
        <w:sym w:font="Symbol" w:char="F06D"/>
      </w:r>
      <w:r>
        <w:rPr>
          <w:rFonts w:cs="Arial"/>
        </w:rPr>
        <w:t>L y la temperatura de la columna de 25 ºC. El programa de elución consistió en un gradiente lineal a un flujo de 1 mL/min, la línea C se mantuvo a 50 % durante toda la elución, mientras que la línea A disminuyó de 50 % (0 min) a 25 % (20 min) y la línea B aumentó de 0 % (0 min) a 25 % (20 min). Posteriormente esta proporción se mantuvo constante hasta el final de la elución (27 min). Para la detección de los fitorreguladores se monitorearon las longitudes de onda a 208 nm, 215 nm y 265 nm. La cuantificación se realizó utilizando curvas de calibración de cada compuesto.</w:t>
      </w:r>
    </w:p>
    <w:p w:rsidR="00915A46" w:rsidRDefault="00915A46" w:rsidP="00915A46">
      <w:pPr>
        <w:rPr>
          <w:rFonts w:cs="Arial"/>
        </w:rPr>
      </w:pPr>
    </w:p>
    <w:p w:rsidR="00915A46" w:rsidRPr="00BA2BAC" w:rsidRDefault="00915A46" w:rsidP="00915A46">
      <w:pPr>
        <w:rPr>
          <w:rFonts w:cs="Arial"/>
          <w:i/>
        </w:rPr>
      </w:pPr>
      <w:r w:rsidRPr="00BA2BAC">
        <w:rPr>
          <w:rFonts w:cs="Arial"/>
          <w:i/>
        </w:rPr>
        <w:t>3.2.2 Determinación de AGVs</w:t>
      </w:r>
    </w:p>
    <w:p w:rsidR="00915A46" w:rsidRDefault="00915A46" w:rsidP="00915A46">
      <w:pPr>
        <w:ind w:firstLine="708"/>
        <w:jc w:val="both"/>
      </w:pPr>
      <w:r>
        <w:rPr>
          <w:rFonts w:cs="Arial"/>
        </w:rPr>
        <w:t>Para la extracción de AGVs se ajustó el pH del sobrenadante a 2 con H</w:t>
      </w:r>
      <w:r w:rsidRPr="001D1721">
        <w:rPr>
          <w:rFonts w:cs="Arial"/>
          <w:vertAlign w:val="subscript"/>
        </w:rPr>
        <w:t>3</w:t>
      </w:r>
      <w:r>
        <w:rPr>
          <w:rFonts w:cs="Arial"/>
        </w:rPr>
        <w:t>PO</w:t>
      </w:r>
      <w:r w:rsidRPr="001D1721">
        <w:rPr>
          <w:rFonts w:cs="Arial"/>
          <w:vertAlign w:val="subscript"/>
        </w:rPr>
        <w:t>4</w:t>
      </w:r>
      <w:r>
        <w:rPr>
          <w:rFonts w:cs="Arial"/>
          <w:vertAlign w:val="subscript"/>
        </w:rPr>
        <w:t xml:space="preserve"> </w:t>
      </w:r>
      <w:r>
        <w:rPr>
          <w:rFonts w:cs="Arial"/>
        </w:rPr>
        <w:t>y se le agregaron 0.15 g de NaCl por cada mililitro de sobrenadante, posteriormente se mezcló con diclorometano en una proporción 1:1 y se centrifugó</w:t>
      </w:r>
      <w:r>
        <w:t xml:space="preserve"> a 7000 rpm por 15 min a 10 ºC</w:t>
      </w:r>
      <w:r>
        <w:rPr>
          <w:rFonts w:cs="Arial"/>
        </w:rPr>
        <w:t xml:space="preserve"> para reconstituir las fases. Finalmente se recuperó la fase orgánica en la cual se encontraban los AGVs. La cuantificación de AGVs se llevó a cabo en un cromatógrafo de gases acoplado a un detector de ionización de flama (FID) utilizando </w:t>
      </w:r>
      <w:r>
        <w:t xml:space="preserve">una columna capilar HP-5 (30 m 0.32 mm 0.25 </w:t>
      </w:r>
      <w:r>
        <w:sym w:font="Symbol" w:char="F06D"/>
      </w:r>
      <w:r>
        <w:t xml:space="preserve">m) y nitrógeno como gas de arrastre. La temperatura del inyector y detector fue de 250 ºC y 260 ºC respectivamente, mientras que en el horno se mantuvo a 45 ºC por 1.5 min y después aumentó hasta los 250 ºC a una tasa de 60 ºC por min, en donde se mantuvo por 5 min </w:t>
      </w:r>
      <w:r>
        <w:rPr>
          <w:vertAlign w:val="superscript"/>
        </w:rPr>
        <w:t>[12]</w:t>
      </w:r>
      <w:r>
        <w:t xml:space="preserve">.  </w:t>
      </w:r>
    </w:p>
    <w:p w:rsidR="00915A46" w:rsidRPr="001D1721" w:rsidRDefault="00915A46" w:rsidP="00915A46">
      <w:pPr>
        <w:rPr>
          <w:rFonts w:cs="Arial"/>
        </w:rPr>
      </w:pPr>
    </w:p>
    <w:p w:rsidR="00915A46" w:rsidRDefault="00915A46" w:rsidP="00915A46">
      <w:pPr>
        <w:rPr>
          <w:rFonts w:cs="Arial"/>
          <w:i/>
        </w:rPr>
      </w:pPr>
      <w:r>
        <w:rPr>
          <w:rFonts w:cs="Arial"/>
        </w:rPr>
        <w:t xml:space="preserve">3.2.3 </w:t>
      </w:r>
      <w:r w:rsidRPr="00BA2BAC">
        <w:rPr>
          <w:rFonts w:cs="Arial"/>
          <w:i/>
        </w:rPr>
        <w:t>Determinación de metano</w:t>
      </w:r>
    </w:p>
    <w:p w:rsidR="00915A46" w:rsidRDefault="00915A46" w:rsidP="00915A46">
      <w:pPr>
        <w:ind w:firstLine="708"/>
        <w:jc w:val="both"/>
        <w:rPr>
          <w:rFonts w:cs="Arial"/>
        </w:rPr>
      </w:pPr>
      <w:r>
        <w:rPr>
          <w:rFonts w:cs="Arial"/>
        </w:rPr>
        <w:lastRenderedPageBreak/>
        <w:t xml:space="preserve">La determinación de metano se realizó en un cromatógrafo de gases equipado con un detector de conductividad térmica (TCD), se utilizó una columna </w:t>
      </w:r>
      <w:r w:rsidRPr="00F35795">
        <w:rPr>
          <w:rFonts w:cs="Arial"/>
        </w:rPr>
        <w:t xml:space="preserve">GS-carbonplot (30 m, 0.32 mm, 3 </w:t>
      </w:r>
      <w:r w:rsidRPr="00F35795">
        <w:rPr>
          <w:rFonts w:cs="Arial"/>
        </w:rPr>
        <w:sym w:font="Symbol" w:char="F06D"/>
      </w:r>
      <w:r w:rsidRPr="00F35795">
        <w:rPr>
          <w:rFonts w:cs="Arial"/>
        </w:rPr>
        <w:t>m)</w:t>
      </w:r>
      <w:r>
        <w:rPr>
          <w:rFonts w:cs="Arial"/>
        </w:rPr>
        <w:t xml:space="preserve"> y nitrógeno como gas de arrastre. La temperatura del inyector y detector fue de 200 ºC mientras que la temperatura del horno se mantuvo en 35 ºC. El volumen de inyección fue de 500 </w:t>
      </w:r>
      <w:r w:rsidRPr="00F35795">
        <w:rPr>
          <w:rFonts w:cs="Arial"/>
        </w:rPr>
        <w:sym w:font="Symbol" w:char="F06D"/>
      </w:r>
      <w:r>
        <w:rPr>
          <w:rFonts w:cs="Arial"/>
        </w:rPr>
        <w:t xml:space="preserve">L y el flujo en la columna de 1.2 mL/min. </w:t>
      </w:r>
    </w:p>
    <w:p w:rsidR="00915A46" w:rsidRPr="008F7373" w:rsidRDefault="00915A46" w:rsidP="00915A46">
      <w:pPr>
        <w:rPr>
          <w:rFonts w:cs="Arial"/>
        </w:rPr>
      </w:pPr>
    </w:p>
    <w:p w:rsidR="00915A46" w:rsidRDefault="00915A46" w:rsidP="00915A46">
      <w:pPr>
        <w:rPr>
          <w:rFonts w:cs="Arial"/>
          <w:i/>
        </w:rPr>
      </w:pPr>
      <w:r>
        <w:rPr>
          <w:rFonts w:cs="Arial"/>
          <w:i/>
        </w:rPr>
        <w:t>3.2.4 Medición de pH</w:t>
      </w:r>
    </w:p>
    <w:p w:rsidR="00915A46" w:rsidRPr="00796CDF" w:rsidRDefault="00915A46" w:rsidP="00915A46">
      <w:pPr>
        <w:ind w:firstLine="708"/>
        <w:rPr>
          <w:rFonts w:cs="Arial"/>
        </w:rPr>
      </w:pPr>
      <w:r>
        <w:rPr>
          <w:rFonts w:cs="Arial"/>
        </w:rPr>
        <w:t xml:space="preserve">La medición de pH se realizó utilizando un equipo medidor de pH, para lo cual se homogenizaron las muestras de digestato y se diluyeron 1:2 con agua desionizada </w:t>
      </w:r>
      <w:r>
        <w:rPr>
          <w:vertAlign w:val="superscript"/>
        </w:rPr>
        <w:t>[13]</w:t>
      </w:r>
      <w:r>
        <w:rPr>
          <w:rFonts w:cs="Arial"/>
        </w:rPr>
        <w:t>.</w:t>
      </w:r>
    </w:p>
    <w:p w:rsidR="00915A46" w:rsidRPr="00BA2BAC" w:rsidRDefault="00915A46" w:rsidP="00915A46">
      <w:pPr>
        <w:rPr>
          <w:rFonts w:cs="Arial"/>
          <w:i/>
        </w:rPr>
      </w:pPr>
    </w:p>
    <w:p w:rsidR="00915A46" w:rsidRPr="00DD183E" w:rsidRDefault="00915A46" w:rsidP="00915A46">
      <w:pPr>
        <w:rPr>
          <w:rFonts w:cs="Arial"/>
          <w:i/>
        </w:rPr>
      </w:pPr>
      <w:r w:rsidRPr="00DD183E">
        <w:rPr>
          <w:rFonts w:cs="Arial"/>
          <w:i/>
        </w:rPr>
        <w:t xml:space="preserve">3.3 Análisis metagenómicos </w:t>
      </w:r>
    </w:p>
    <w:p w:rsidR="00915A46" w:rsidRDefault="00915A46" w:rsidP="00915A46">
      <w:pPr>
        <w:ind w:firstLine="708"/>
        <w:jc w:val="both"/>
      </w:pPr>
      <w:r>
        <w:t>Se realizaron análisis metagenómicos de las muestras tomadas a los 0, 4, 8 y 20 días de los procesos de DA. La muestra a los 0 días fue la misma para los dos procesos evaluados (DA1 y DA2). Para recuperar la pastilla celular las muestras de digestato se centrifugaron a 9000 rpm por 20 min, posteriormente se secó la pastilla celular de cada muestra a 60 ºC hasta alcanzar un peso constante y se formó una muestra compuesta de las 3 repeticiones correspondientes a cada tiempo de muestreo. De las muestras compuestas se realizó la extracción de ADN utilizando el Power Soil DNA Isolation Kit, de acuerdo a la metodología del fabricante únicamente extendiendo el tiempo de la etapa de lisis celular. La calidad del ADN extraído se evaluó por medio de la relación espectrofotométrica 260/280 y la concentración de las muestras se ajustó a 50 ng/</w:t>
      </w:r>
      <w:r>
        <w:sym w:font="Symbol" w:char="F06D"/>
      </w:r>
      <w:r>
        <w:t xml:space="preserve">L. Posteriormente se amplificó la región V4 del gen rARN 16s utilizando los oligonucleótidos 515/806 y el </w:t>
      </w:r>
      <w:r w:rsidRPr="00397125">
        <w:rPr>
          <w:lang w:val="es-MX"/>
        </w:rPr>
        <w:t>HotStarTaq Plus Master Mix Kit</w:t>
      </w:r>
      <w:r>
        <w:rPr>
          <w:lang w:val="es-MX"/>
        </w:rPr>
        <w:t>.</w:t>
      </w:r>
      <w:r>
        <w:t xml:space="preserve"> Los amplicones se secuenciaron en la plataforma PGM Ion Torrent obteniéndose lecturas de 300 pb aproximadamente. </w:t>
      </w:r>
    </w:p>
    <w:p w:rsidR="00915A46" w:rsidRDefault="00915A46" w:rsidP="00915A46">
      <w:pPr>
        <w:ind w:firstLine="708"/>
        <w:jc w:val="both"/>
      </w:pPr>
      <w:r>
        <w:t>El análisis bioinformático de los datos de secuenciación se realizó en los software QIIME 2, Cutadapt y FastQC. Inicialmente se eliminaron las lecturas menores a 295 pb y mayores a 300 pb en Cutadapt, después se desmultiplexaron las lecturas, se eliminaron códigos de barras y primers en QIIME 2. Posteriormente se eliminaron las lecturas con una longitud menor a 250 pb y mayor a 255 pb además de cortar las primeras 20 pb de cada lectura utilizando Cutadapt. Se realizó un filtrado de calidad teniendo como parámetro una calidad mínima de 20 (en la escala de Phred) para cada pb con una tolerancia de 3 pb por debajo de este valor antes de truncar la lectura, descartando las lecturas truncadas con una longitud menor al 75 % de su longitud original. Las lecturas resultantes se ingresaron en el paquete DADA2, incluido en QIIME 2, en el cual se agruparon las secuencias con un 100 % de similitud, se eliminaron secuencias quiméricas y se filtraron nuevamente los datos teniendo como parámetro un valor de 1 para el máximo error permitido. Finalmente se realizó la asignación taxonómica utilizando un clasificador bayesiano entrenado con la base de datos SILVA 132 (</w:t>
      </w:r>
      <w:r w:rsidRPr="005C4C38">
        <w:t>silva_132_99_16S</w:t>
      </w:r>
      <w:r>
        <w:t xml:space="preserve">) especifico para los primers 515/806. </w:t>
      </w:r>
    </w:p>
    <w:p w:rsidR="00915A46" w:rsidRPr="009613B7" w:rsidRDefault="00915A46" w:rsidP="00915A46"/>
    <w:p w:rsidR="00915A46" w:rsidRPr="00915A46" w:rsidRDefault="00915A46" w:rsidP="00915A46">
      <w:pPr>
        <w:pStyle w:val="Ttulo1"/>
        <w:keepLines w:val="0"/>
        <w:numPr>
          <w:ilvl w:val="0"/>
          <w:numId w:val="1"/>
        </w:numPr>
        <w:tabs>
          <w:tab w:val="clear" w:pos="432"/>
          <w:tab w:val="left" w:pos="0"/>
        </w:tabs>
        <w:suppressAutoHyphens/>
        <w:spacing w:before="0" w:after="0" w:line="360" w:lineRule="auto"/>
        <w:ind w:left="0" w:firstLine="0"/>
        <w:jc w:val="both"/>
        <w:rPr>
          <w:rFonts w:cs="Arial"/>
          <w:i/>
          <w:sz w:val="24"/>
          <w:szCs w:val="24"/>
        </w:rPr>
      </w:pPr>
      <w:bookmarkStart w:id="218" w:name="_Toc50031300"/>
      <w:r w:rsidRPr="00915A46">
        <w:rPr>
          <w:rFonts w:cs="Arial"/>
          <w:i/>
          <w:caps/>
          <w:sz w:val="24"/>
          <w:szCs w:val="24"/>
        </w:rPr>
        <w:lastRenderedPageBreak/>
        <w:t xml:space="preserve">4. </w:t>
      </w:r>
      <w:r w:rsidRPr="00915A46">
        <w:rPr>
          <w:rFonts w:cs="Arial"/>
          <w:i/>
          <w:sz w:val="24"/>
          <w:szCs w:val="24"/>
        </w:rPr>
        <w:t>Resultados y discusión</w:t>
      </w:r>
      <w:bookmarkEnd w:id="218"/>
    </w:p>
    <w:p w:rsidR="00915A46" w:rsidRDefault="00915A46" w:rsidP="00915A46">
      <w:pPr>
        <w:rPr>
          <w:i/>
        </w:rPr>
      </w:pPr>
      <w:r w:rsidRPr="00C702B9">
        <w:rPr>
          <w:i/>
        </w:rPr>
        <w:t xml:space="preserve">4.1 Producción de fitorreguladores </w:t>
      </w:r>
    </w:p>
    <w:p w:rsidR="00915A46" w:rsidRDefault="00915A46" w:rsidP="00915A46">
      <w:pPr>
        <w:ind w:firstLine="708"/>
      </w:pPr>
      <w:r>
        <w:t>En la Figura 1 se muestran las curvas e calibración utilizadas para cuantificar el IAA y AG</w:t>
      </w:r>
      <w:r w:rsidRPr="00F622FF">
        <w:rPr>
          <w:vertAlign w:val="subscript"/>
        </w:rPr>
        <w:t>3</w:t>
      </w:r>
      <w:r>
        <w:t xml:space="preserve"> mediante HPLC.</w:t>
      </w:r>
    </w:p>
    <w:p w:rsidR="00915A46" w:rsidRDefault="00915A46" w:rsidP="00915A46">
      <w:pPr>
        <w:rPr>
          <w:rFonts w:cs="Arial"/>
          <w:noProof/>
          <w:color w:val="000000"/>
        </w:rPr>
      </w:pPr>
      <w:r>
        <w:rPr>
          <w:rFonts w:cs="Arial"/>
          <w:noProof/>
          <w:color w:val="000000"/>
          <w:lang w:val="en-US"/>
        </w:rPr>
        <w:drawing>
          <wp:inline distT="0" distB="0" distL="0" distR="0" wp14:anchorId="14668E1B" wp14:editId="3D665882">
            <wp:extent cx="5962650" cy="1895475"/>
            <wp:effectExtent l="0" t="0" r="0" b="9525"/>
            <wp:docPr id="269469676" name="Imagen 269469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5962650" cy="1895475"/>
                    </a:xfrm>
                    <a:prstGeom prst="rect">
                      <a:avLst/>
                    </a:prstGeom>
                    <a:noFill/>
                    <a:ln>
                      <a:noFill/>
                    </a:ln>
                  </pic:spPr>
                </pic:pic>
              </a:graphicData>
            </a:graphic>
          </wp:inline>
        </w:drawing>
      </w:r>
    </w:p>
    <w:p w:rsidR="00915A46" w:rsidRDefault="00915A46" w:rsidP="00915A46">
      <w:pPr>
        <w:numPr>
          <w:ilvl w:val="0"/>
          <w:numId w:val="1"/>
        </w:numPr>
        <w:tabs>
          <w:tab w:val="clear" w:pos="432"/>
          <w:tab w:val="num" w:pos="0"/>
        </w:tabs>
        <w:suppressAutoHyphens/>
        <w:spacing w:after="0" w:line="240" w:lineRule="auto"/>
        <w:ind w:left="0" w:firstLine="0"/>
        <w:jc w:val="center"/>
        <w:rPr>
          <w:rFonts w:cs="Arial"/>
          <w:bCs/>
          <w:i/>
          <w:sz w:val="20"/>
          <w:szCs w:val="20"/>
        </w:rPr>
      </w:pPr>
      <w:r>
        <w:rPr>
          <w:rFonts w:cs="Arial"/>
          <w:bCs/>
          <w:i/>
          <w:sz w:val="20"/>
          <w:szCs w:val="20"/>
        </w:rPr>
        <w:t>Figura 1</w:t>
      </w:r>
      <w:r w:rsidRPr="00296222">
        <w:rPr>
          <w:rFonts w:cs="Arial"/>
          <w:bCs/>
          <w:i/>
          <w:sz w:val="20"/>
          <w:szCs w:val="20"/>
        </w:rPr>
        <w:t xml:space="preserve">. </w:t>
      </w:r>
      <w:r>
        <w:rPr>
          <w:rFonts w:cs="Arial"/>
          <w:bCs/>
          <w:i/>
          <w:sz w:val="20"/>
          <w:szCs w:val="20"/>
        </w:rPr>
        <w:t>Curva de calibración para la cuantificación de IAA (a) y GA</w:t>
      </w:r>
      <w:r>
        <w:rPr>
          <w:rFonts w:cs="Arial"/>
          <w:bCs/>
          <w:i/>
          <w:sz w:val="20"/>
          <w:szCs w:val="20"/>
          <w:vertAlign w:val="subscript"/>
        </w:rPr>
        <w:t>3</w:t>
      </w:r>
      <w:r>
        <w:rPr>
          <w:rFonts w:cs="Arial"/>
          <w:bCs/>
          <w:i/>
          <w:sz w:val="20"/>
          <w:szCs w:val="20"/>
        </w:rPr>
        <w:t xml:space="preserve"> (b) por HPLC</w:t>
      </w:r>
    </w:p>
    <w:p w:rsidR="00915A46" w:rsidRDefault="00915A46" w:rsidP="00915A46"/>
    <w:p w:rsidR="00915A46" w:rsidRDefault="00915A46" w:rsidP="00915A46">
      <w:pPr>
        <w:ind w:firstLine="708"/>
        <w:jc w:val="both"/>
      </w:pPr>
      <w:r>
        <w:t>En la figura 2 se muestran los resultados obtenidos del seguimiento de la producción de IAA y GA</w:t>
      </w:r>
      <w:r w:rsidRPr="00015CF0">
        <w:rPr>
          <w:vertAlign w:val="subscript"/>
        </w:rPr>
        <w:t>3</w:t>
      </w:r>
      <w:r>
        <w:t xml:space="preserve"> durante los procesos DA1 y DA2</w:t>
      </w:r>
      <w:r w:rsidRPr="00F622FF">
        <w:t>. Se</w:t>
      </w:r>
      <w:r>
        <w:t xml:space="preserve"> puede observar que hubo diferencias en la producción de estos compuestos de un proceso a otro, demostrando el impacto de la variación del pH inicial sobre la producción de fitorreguladores. </w:t>
      </w:r>
    </w:p>
    <w:p w:rsidR="00915A46" w:rsidRDefault="00915A46" w:rsidP="00915A46">
      <w:pPr>
        <w:ind w:firstLine="708"/>
      </w:pPr>
      <w:r>
        <w:t>Para el IAA se obtuvo una máxima concentración de 4.9 mg/L a los 4 días de proceso en DA1, mientras que en DA2 no se produjo IAA siendo la máxima concentración detectada en la muestra inicial (Figura 2</w:t>
      </w:r>
    </w:p>
    <w:p w:rsidR="00915A46" w:rsidRDefault="00915A46" w:rsidP="00915A46">
      <w:pPr>
        <w:ind w:firstLine="708"/>
        <w:jc w:val="both"/>
      </w:pPr>
      <w:r>
        <w:t xml:space="preserve">a). La concentración de IAA alcanzada en DA1 fue mayor a la reportada por </w:t>
      </w:r>
      <w:r w:rsidRPr="000D55CC">
        <w:t>Ertani y col. (2013)</w:t>
      </w:r>
      <w:r>
        <w:t xml:space="preserve"> </w:t>
      </w:r>
      <w:r>
        <w:rPr>
          <w:vertAlign w:val="superscript"/>
        </w:rPr>
        <w:t>[9]</w:t>
      </w:r>
      <w:r>
        <w:t xml:space="preserve"> de 0.006 mg/L en el digestato de la DA de estiércol de vaca y menor a la reportada por </w:t>
      </w:r>
      <w:r w:rsidRPr="000D55CC">
        <w:t>Scaglia y col. (2015)</w:t>
      </w:r>
      <w:r>
        <w:t xml:space="preserve"> </w:t>
      </w:r>
      <w:r>
        <w:rPr>
          <w:vertAlign w:val="superscript"/>
        </w:rPr>
        <w:t>[10]</w:t>
      </w:r>
      <w:r>
        <w:t xml:space="preserve"> con 9.94 mg/L en el digestato de la DA de estiércol de cerdo, así como a la reportada por </w:t>
      </w:r>
      <w:r w:rsidRPr="000D55CC">
        <w:t>Xin y col. (2016)</w:t>
      </w:r>
      <w:r>
        <w:t xml:space="preserve"> </w:t>
      </w:r>
      <w:r>
        <w:rPr>
          <w:vertAlign w:val="superscript"/>
        </w:rPr>
        <w:t>[2]</w:t>
      </w:r>
      <w:r>
        <w:t xml:space="preserve"> con 22 mg/L de IAA en el digestato de la DA de estiércol de vaca inoculado con lodos de depuradora de agua residual. </w:t>
      </w:r>
    </w:p>
    <w:p w:rsidR="00915A46" w:rsidRDefault="00915A46" w:rsidP="00915A46">
      <w:pPr>
        <w:ind w:firstLine="708"/>
        <w:jc w:val="both"/>
      </w:pPr>
      <w:r>
        <w:t>En cuanto a la producción de GA</w:t>
      </w:r>
      <w:r>
        <w:rPr>
          <w:vertAlign w:val="subscript"/>
        </w:rPr>
        <w:t xml:space="preserve">3 </w:t>
      </w:r>
      <w:r>
        <w:t xml:space="preserve">en DA1 se obtuvo la máxima concentración a los 20 días de proceso con 48.6 mg/L mientras que en DA2 la máxima concentración se alcanzó a los 4 días con 38 mg/L, cabe mencionar que a pesar de que en DA1 se obtuvo la máxima concentración de </w:t>
      </w:r>
      <w:r w:rsidRPr="009B43FB">
        <w:t>GA</w:t>
      </w:r>
      <w:r w:rsidRPr="009B43FB">
        <w:rPr>
          <w:vertAlign w:val="subscript"/>
        </w:rPr>
        <w:t>3</w:t>
      </w:r>
      <w:r>
        <w:t xml:space="preserve"> </w:t>
      </w:r>
      <w:r w:rsidRPr="009B43FB">
        <w:t>en</w:t>
      </w:r>
      <w:r>
        <w:t xml:space="preserve"> comparación con DA2, a los 4 días de proceso la concentración de GA</w:t>
      </w:r>
      <w:r w:rsidRPr="00BA6A4E">
        <w:rPr>
          <w:vertAlign w:val="subscript"/>
        </w:rPr>
        <w:t>3</w:t>
      </w:r>
      <w:r>
        <w:t xml:space="preserve"> fue mayor en DA1 que en DA2 (Figura 2b). Mientras que en DA1 hubo una acumulación de GA</w:t>
      </w:r>
      <w:r>
        <w:rPr>
          <w:vertAlign w:val="subscript"/>
        </w:rPr>
        <w:t>3</w:t>
      </w:r>
      <w:r>
        <w:t xml:space="preserve"> hasta el final del proceso, en DA2 se alcanzó una concentración máxima a los 4 días y posteriormente disminuyó hasta llegar a un mínimo al final del proceso, indicando que el GA</w:t>
      </w:r>
      <w:r w:rsidRPr="000459AD">
        <w:rPr>
          <w:vertAlign w:val="subscript"/>
        </w:rPr>
        <w:t>3</w:t>
      </w:r>
      <w:r>
        <w:t xml:space="preserve"> dejó de producirse en DA2. Con respecto a lo anterior se reporta que el IAA, GA</w:t>
      </w:r>
      <w:r w:rsidRPr="00FC0DEC">
        <w:rPr>
          <w:vertAlign w:val="subscript"/>
        </w:rPr>
        <w:t>3</w:t>
      </w:r>
      <w:r>
        <w:t xml:space="preserve"> y ABA se degradan conforme incrementa la temperatura </w:t>
      </w:r>
      <w:r>
        <w:rPr>
          <w:vertAlign w:val="superscript"/>
        </w:rPr>
        <w:t>[2]</w:t>
      </w:r>
      <w:r>
        <w:t>. En comparación con lo reportado en DA2 se obtuvo una mayor concentración de GA</w:t>
      </w:r>
      <w:r w:rsidRPr="000459AD">
        <w:rPr>
          <w:vertAlign w:val="subscript"/>
        </w:rPr>
        <w:t>3</w:t>
      </w:r>
      <w:r>
        <w:rPr>
          <w:vertAlign w:val="subscript"/>
        </w:rPr>
        <w:t xml:space="preserve"> </w:t>
      </w:r>
      <w:r>
        <w:t xml:space="preserve">que la obtenida por </w:t>
      </w:r>
      <w:r w:rsidRPr="000D55CC">
        <w:t>Xin y col. (2016)</w:t>
      </w:r>
      <w:r>
        <w:t xml:space="preserve"> </w:t>
      </w:r>
      <w:r>
        <w:rPr>
          <w:vertAlign w:val="superscript"/>
        </w:rPr>
        <w:t>[2]</w:t>
      </w:r>
      <w:r>
        <w:t xml:space="preserve">, en las DA de estiércol de vaca (16 mg/L), estiércol de cerdo (47mg/L) y estiércol de pollo </w:t>
      </w:r>
      <w:r>
        <w:lastRenderedPageBreak/>
        <w:t xml:space="preserve">(18 mg/L) inoculados con lodos activados de depuradora de aguas residuales. Por su parte, no se detectó la presencia de ABA tanto en DA1 como en DA2, en contraste con lo reportado por estos mismos investigadores. </w:t>
      </w:r>
    </w:p>
    <w:p w:rsidR="00915A46" w:rsidRDefault="00915A46" w:rsidP="00915A46"/>
    <w:p w:rsidR="00915A46" w:rsidRDefault="00915A46" w:rsidP="00915A46">
      <w:r w:rsidRPr="004C0680">
        <w:rPr>
          <w:rFonts w:cs="Arial"/>
          <w:noProof/>
          <w:color w:val="000000"/>
          <w:lang w:val="en-US"/>
        </w:rPr>
        <w:drawing>
          <wp:inline distT="0" distB="0" distL="0" distR="0" wp14:anchorId="1A5E3DA2" wp14:editId="2C6F317E">
            <wp:extent cx="5972175" cy="2133600"/>
            <wp:effectExtent l="0" t="0" r="9525" b="0"/>
            <wp:docPr id="269469675" name="Imagen 269469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957" cstate="print">
                      <a:extLst>
                        <a:ext uri="{28A0092B-C50C-407E-A947-70E740481C1C}">
                          <a14:useLocalDpi xmlns:a14="http://schemas.microsoft.com/office/drawing/2010/main" val="0"/>
                        </a:ext>
                      </a:extLst>
                    </a:blip>
                    <a:srcRect/>
                    <a:stretch>
                      <a:fillRect/>
                    </a:stretch>
                  </pic:blipFill>
                  <pic:spPr bwMode="auto">
                    <a:xfrm>
                      <a:off x="0" y="0"/>
                      <a:ext cx="5972175" cy="2133600"/>
                    </a:xfrm>
                    <a:prstGeom prst="rect">
                      <a:avLst/>
                    </a:prstGeom>
                    <a:noFill/>
                    <a:ln>
                      <a:noFill/>
                    </a:ln>
                  </pic:spPr>
                </pic:pic>
              </a:graphicData>
            </a:graphic>
          </wp:inline>
        </w:drawing>
      </w:r>
    </w:p>
    <w:p w:rsidR="00915A46" w:rsidRDefault="00915A46" w:rsidP="00915A46">
      <w:pPr>
        <w:numPr>
          <w:ilvl w:val="0"/>
          <w:numId w:val="1"/>
        </w:numPr>
        <w:tabs>
          <w:tab w:val="clear" w:pos="432"/>
          <w:tab w:val="num" w:pos="0"/>
        </w:tabs>
        <w:suppressAutoHyphens/>
        <w:spacing w:after="0" w:line="240" w:lineRule="auto"/>
        <w:ind w:left="0" w:firstLine="0"/>
        <w:jc w:val="center"/>
        <w:rPr>
          <w:rFonts w:cs="Arial"/>
          <w:bCs/>
          <w:i/>
          <w:sz w:val="20"/>
          <w:szCs w:val="20"/>
        </w:rPr>
      </w:pPr>
      <w:r>
        <w:rPr>
          <w:rFonts w:cs="Arial"/>
          <w:bCs/>
          <w:i/>
          <w:sz w:val="20"/>
          <w:szCs w:val="20"/>
        </w:rPr>
        <w:t>Figura 2</w:t>
      </w:r>
      <w:r w:rsidRPr="00296222">
        <w:rPr>
          <w:rFonts w:cs="Arial"/>
          <w:bCs/>
          <w:i/>
          <w:sz w:val="20"/>
          <w:szCs w:val="20"/>
        </w:rPr>
        <w:t xml:space="preserve">. </w:t>
      </w:r>
      <w:r>
        <w:rPr>
          <w:rFonts w:cs="Arial"/>
          <w:bCs/>
          <w:i/>
          <w:sz w:val="20"/>
          <w:szCs w:val="20"/>
        </w:rPr>
        <w:t>Producción de IAA (a); y GA</w:t>
      </w:r>
      <w:r>
        <w:rPr>
          <w:rFonts w:cs="Arial"/>
          <w:bCs/>
          <w:i/>
          <w:sz w:val="20"/>
          <w:szCs w:val="20"/>
          <w:vertAlign w:val="subscript"/>
        </w:rPr>
        <w:t>3</w:t>
      </w:r>
      <w:r>
        <w:rPr>
          <w:rFonts w:cs="Arial"/>
          <w:bCs/>
          <w:i/>
          <w:sz w:val="20"/>
          <w:szCs w:val="20"/>
        </w:rPr>
        <w:t xml:space="preserve"> (b); durante las digestiones anaeróbicas de estiércol de vaca a pH inicial 5.5 (DA1) y 7.5 (DA2) a 37 ºC. </w:t>
      </w:r>
    </w:p>
    <w:p w:rsidR="00915A46" w:rsidRDefault="00915A46" w:rsidP="00915A46">
      <w:pPr>
        <w:rPr>
          <w:rFonts w:cs="Arial"/>
          <w:bCs/>
          <w:i/>
          <w:sz w:val="20"/>
          <w:szCs w:val="20"/>
        </w:rPr>
      </w:pPr>
    </w:p>
    <w:p w:rsidR="00915A46" w:rsidRDefault="00915A46" w:rsidP="00915A46">
      <w:pPr>
        <w:rPr>
          <w:i/>
        </w:rPr>
      </w:pPr>
      <w:r w:rsidRPr="00C702B9">
        <w:rPr>
          <w:i/>
        </w:rPr>
        <w:t>4.2 Descripción de los procesos de digestión anaeróbica</w:t>
      </w:r>
    </w:p>
    <w:p w:rsidR="00915A46" w:rsidRPr="006016CF" w:rsidRDefault="00915A46" w:rsidP="00915A46">
      <w:pPr>
        <w:ind w:firstLine="708"/>
        <w:jc w:val="both"/>
      </w:pPr>
      <w:r>
        <w:t xml:space="preserve">En general los procesos de DA se dividen en 4 etapas: hidrolítica, acidogénica acetogénica y metanogénica en cada una de las cuales participa un consorcio microbiano diferente </w:t>
      </w:r>
      <w:r>
        <w:rPr>
          <w:vertAlign w:val="superscript"/>
        </w:rPr>
        <w:t>[14]</w:t>
      </w:r>
      <w:r>
        <w:t xml:space="preserve">. Para evaluar la evolución de los procesos de DA y la etapa en la que se </w:t>
      </w:r>
      <w:r w:rsidRPr="006016CF">
        <w:t xml:space="preserve">encuentran se dio seguimiento a los valores de pH, concentración de AGVs, volumen de biogás y contenido de metano en los procesos de DA. </w:t>
      </w:r>
    </w:p>
    <w:p w:rsidR="00915A46" w:rsidRDefault="00915A46" w:rsidP="00915A46">
      <w:pPr>
        <w:ind w:firstLine="708"/>
      </w:pPr>
      <w:r>
        <w:t>En la Figura 3</w:t>
      </w:r>
      <w:r w:rsidRPr="006016CF">
        <w:t>b se presenta el volumen de biogás acumulado en los procesos DA1 y DA2, a pesar de que en ambos casos se produjo biogás,</w:t>
      </w:r>
      <w:r>
        <w:t xml:space="preserve"> no se detectó la presencia de metano en ninguna muestra.  </w:t>
      </w:r>
    </w:p>
    <w:p w:rsidR="00915A46" w:rsidRDefault="00915A46" w:rsidP="00915A46">
      <w:pPr>
        <w:jc w:val="both"/>
      </w:pPr>
      <w:r>
        <w:t xml:space="preserve">Por su parte, el pH de DA1 y DA2 disminuyó desde el inicio del proceso hasta los 8 días y posteriormente se mantuvo aproximadamente constante hasta el final del proceso (Figura 3a), indicando la acidificación de las DA. Este comportamiento de los procesos de DA ha sido reportado previamente y se asocia con la utilización de sustratos altamente degradables o un desbalance en las poblaciones microbianas que participan en las diferentes etapas del proceso </w:t>
      </w:r>
      <w:r>
        <w:rPr>
          <w:vertAlign w:val="superscript"/>
        </w:rPr>
        <w:t>[15]</w:t>
      </w:r>
      <w:r>
        <w:t xml:space="preserve"> provocando una acumulación de ácidos orgánicos, principalmente AGVs </w:t>
      </w:r>
      <w:r>
        <w:rPr>
          <w:vertAlign w:val="superscript"/>
        </w:rPr>
        <w:t>[1]</w:t>
      </w:r>
      <w:r>
        <w:t xml:space="preserve"> como ocurrió tanto en DA1 como en DA2 (Figura 4). </w:t>
      </w:r>
    </w:p>
    <w:p w:rsidR="00915A46" w:rsidRDefault="00915A46" w:rsidP="00915A46">
      <w:r w:rsidRPr="004C0680">
        <w:rPr>
          <w:rFonts w:cs="Arial"/>
          <w:i/>
          <w:noProof/>
          <w:sz w:val="20"/>
          <w:szCs w:val="20"/>
          <w:lang w:val="en-US"/>
        </w:rPr>
        <w:lastRenderedPageBreak/>
        <w:drawing>
          <wp:inline distT="0" distB="0" distL="0" distR="0" wp14:anchorId="40CA66BF" wp14:editId="2FD47B2A">
            <wp:extent cx="5981700" cy="2171700"/>
            <wp:effectExtent l="0" t="0" r="0" b="0"/>
            <wp:docPr id="269469674" name="Imagen 269469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958" cstate="print">
                      <a:extLst>
                        <a:ext uri="{28A0092B-C50C-407E-A947-70E740481C1C}">
                          <a14:useLocalDpi xmlns:a14="http://schemas.microsoft.com/office/drawing/2010/main" val="0"/>
                        </a:ext>
                      </a:extLst>
                    </a:blip>
                    <a:srcRect/>
                    <a:stretch>
                      <a:fillRect/>
                    </a:stretch>
                  </pic:blipFill>
                  <pic:spPr bwMode="auto">
                    <a:xfrm>
                      <a:off x="0" y="0"/>
                      <a:ext cx="5981700" cy="2171700"/>
                    </a:xfrm>
                    <a:prstGeom prst="rect">
                      <a:avLst/>
                    </a:prstGeom>
                    <a:noFill/>
                    <a:ln>
                      <a:noFill/>
                    </a:ln>
                  </pic:spPr>
                </pic:pic>
              </a:graphicData>
            </a:graphic>
          </wp:inline>
        </w:drawing>
      </w:r>
    </w:p>
    <w:p w:rsidR="00915A46" w:rsidRDefault="00915A46" w:rsidP="00915A46">
      <w:pPr>
        <w:jc w:val="center"/>
        <w:rPr>
          <w:rFonts w:cs="Arial"/>
          <w:bCs/>
          <w:i/>
          <w:sz w:val="20"/>
          <w:szCs w:val="20"/>
        </w:rPr>
      </w:pPr>
      <w:r>
        <w:rPr>
          <w:rFonts w:cs="Arial"/>
          <w:bCs/>
          <w:i/>
          <w:sz w:val="20"/>
          <w:szCs w:val="20"/>
        </w:rPr>
        <w:t xml:space="preserve">Figura 3. Seguimiento del pH (a); y la producción de </w:t>
      </w:r>
      <w:r w:rsidRPr="006016CF">
        <w:rPr>
          <w:rFonts w:cs="Arial"/>
          <w:bCs/>
          <w:i/>
          <w:sz w:val="20"/>
          <w:szCs w:val="20"/>
        </w:rPr>
        <w:t>biogás</w:t>
      </w:r>
      <w:r>
        <w:rPr>
          <w:rFonts w:cs="Arial"/>
          <w:bCs/>
          <w:i/>
          <w:sz w:val="20"/>
          <w:szCs w:val="20"/>
        </w:rPr>
        <w:t xml:space="preserve"> (b); durante las digestiones anaeróbicas de estiércol de vaca a pH inicial 5.5 (DA1) y 7.5 (DA2) a 37 ºC.</w:t>
      </w:r>
    </w:p>
    <w:p w:rsidR="00915A46" w:rsidRDefault="00915A46" w:rsidP="00915A46">
      <w:pPr>
        <w:jc w:val="center"/>
        <w:rPr>
          <w:rFonts w:cs="Arial"/>
          <w:bCs/>
          <w:i/>
          <w:sz w:val="20"/>
          <w:szCs w:val="20"/>
        </w:rPr>
      </w:pPr>
    </w:p>
    <w:p w:rsidR="00915A46" w:rsidRDefault="00915A46" w:rsidP="00915A46">
      <w:pPr>
        <w:ind w:firstLine="708"/>
        <w:jc w:val="both"/>
      </w:pPr>
      <w:r>
        <w:t xml:space="preserve">En este sentido, se reporta que la actividad de los microorganismos metanogénicos se inhibe a valores de pH menores a 6.6 </w:t>
      </w:r>
      <w:r>
        <w:rPr>
          <w:vertAlign w:val="superscript"/>
        </w:rPr>
        <w:t>[12]</w:t>
      </w:r>
      <w:r>
        <w:t xml:space="preserve"> debido a la acumulación de AGVs de los cuales se reportan </w:t>
      </w:r>
      <w:r w:rsidRPr="006016CF">
        <w:t>límites</w:t>
      </w:r>
      <w:r>
        <w:t xml:space="preserve"> máximos de concentración antes de inhibir a los microorganismos metanogénicos, para el ácido acético 1600 mg/L, ácido propiónico 950 mg/L, ácido isobutírico 300 mg/L y ácido valérico 200 mg/L </w:t>
      </w:r>
      <w:r>
        <w:rPr>
          <w:vertAlign w:val="superscript"/>
        </w:rPr>
        <w:t>[12]</w:t>
      </w:r>
      <w:r>
        <w:t xml:space="preserve">.  A pesar de que la concentración de AGVs en las DA evaluadas fue menor, el pH se mantuvo por debajo de 6.5 por lo que se observó la inhibición de la actividad metanogénica dado que no se detectó la presencia de metano en ninguna muestra. </w:t>
      </w:r>
    </w:p>
    <w:p w:rsidR="00915A46" w:rsidRDefault="00915A46" w:rsidP="00915A46">
      <w:r w:rsidRPr="004C0680">
        <w:rPr>
          <w:rFonts w:cs="Arial"/>
          <w:i/>
          <w:noProof/>
          <w:sz w:val="20"/>
          <w:szCs w:val="20"/>
          <w:lang w:val="en-US"/>
        </w:rPr>
        <w:drawing>
          <wp:inline distT="0" distB="0" distL="0" distR="0" wp14:anchorId="0585C291" wp14:editId="7785F303">
            <wp:extent cx="5972175" cy="2124075"/>
            <wp:effectExtent l="0" t="0" r="9525" b="9525"/>
            <wp:docPr id="269469673" name="Imagen 269469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959" cstate="print">
                      <a:extLst>
                        <a:ext uri="{28A0092B-C50C-407E-A947-70E740481C1C}">
                          <a14:useLocalDpi xmlns:a14="http://schemas.microsoft.com/office/drawing/2010/main" val="0"/>
                        </a:ext>
                      </a:extLst>
                    </a:blip>
                    <a:srcRect/>
                    <a:stretch>
                      <a:fillRect/>
                    </a:stretch>
                  </pic:blipFill>
                  <pic:spPr bwMode="auto">
                    <a:xfrm>
                      <a:off x="0" y="0"/>
                      <a:ext cx="5972175" cy="2124075"/>
                    </a:xfrm>
                    <a:prstGeom prst="rect">
                      <a:avLst/>
                    </a:prstGeom>
                    <a:noFill/>
                    <a:ln>
                      <a:noFill/>
                    </a:ln>
                  </pic:spPr>
                </pic:pic>
              </a:graphicData>
            </a:graphic>
          </wp:inline>
        </w:drawing>
      </w:r>
    </w:p>
    <w:p w:rsidR="00915A46" w:rsidRDefault="00915A46" w:rsidP="00915A46">
      <w:pPr>
        <w:jc w:val="center"/>
      </w:pPr>
      <w:r>
        <w:rPr>
          <w:rFonts w:cs="Arial"/>
          <w:bCs/>
          <w:i/>
          <w:sz w:val="20"/>
          <w:szCs w:val="20"/>
        </w:rPr>
        <w:t>Figura 4. Seguimiento de la producción de AGVs (ácido acético, ácido propiónico, ácido isobutírico, ácido butírico, ácido isovalérico y ácido valérico) durante las digestiones anaeróbicas de estiércol de vaca a pH inicial 5.5 (DA1) (a); y 7.5 (DA2) (b); a 37 ºC.</w:t>
      </w:r>
    </w:p>
    <w:p w:rsidR="00915A46" w:rsidRDefault="00915A46" w:rsidP="00915A46"/>
    <w:p w:rsidR="00915A46" w:rsidRPr="008B21A9" w:rsidRDefault="00915A46" w:rsidP="00915A46">
      <w:pPr>
        <w:ind w:firstLine="708"/>
      </w:pPr>
      <w:r>
        <w:lastRenderedPageBreak/>
        <w:t>Todo lo anterior indicó que la DA1 y DA2 se desarrollaron en la etapa acidogénica de un proceso de DA siendo en esta etapa y bajo sus condiciones en las cuales se produjeron el IAA y GA</w:t>
      </w:r>
      <w:r>
        <w:rPr>
          <w:vertAlign w:val="subscript"/>
        </w:rPr>
        <w:t>3</w:t>
      </w:r>
      <w:r>
        <w:t xml:space="preserve">. </w:t>
      </w:r>
    </w:p>
    <w:p w:rsidR="00915A46" w:rsidRDefault="00915A46" w:rsidP="00915A46"/>
    <w:p w:rsidR="00915A46" w:rsidRDefault="00915A46" w:rsidP="00915A46">
      <w:pPr>
        <w:rPr>
          <w:i/>
        </w:rPr>
      </w:pPr>
      <w:r w:rsidRPr="008652E5">
        <w:rPr>
          <w:i/>
        </w:rPr>
        <w:t xml:space="preserve">4.3 </w:t>
      </w:r>
      <w:r>
        <w:rPr>
          <w:i/>
        </w:rPr>
        <w:t>Caracterización taxonómica de las poblaciones microbianas de las digestiones anaeróbicas</w:t>
      </w:r>
    </w:p>
    <w:p w:rsidR="00915A46" w:rsidRDefault="00915A46" w:rsidP="00915A46">
      <w:pPr>
        <w:ind w:firstLine="708"/>
        <w:jc w:val="both"/>
      </w:pPr>
      <w:r>
        <w:t xml:space="preserve">Posteriormente a las etapas de limpieza y filtrado de calidad de las lecturas correspondientes a cada una de las muestras analizadas, se obtuvieron un total de 27,405 para la muestra inicial (0 d); para DA1 24,381 (4 d), 26,822 (8 d) y 28,328 (20 d); para DA2 26,156 (4 d), (8 d) 26,238 y 27,768 (20 d). Las curvas de rarefacción (datos no mostrados) mostraron el comportamiento asintótico característico de una cobertura suficiente de lecturas para cada muestra </w:t>
      </w:r>
      <w:r>
        <w:rPr>
          <w:vertAlign w:val="superscript"/>
        </w:rPr>
        <w:t>[16]</w:t>
      </w:r>
      <w:r>
        <w:t xml:space="preserve">. </w:t>
      </w:r>
    </w:p>
    <w:p w:rsidR="00915A46" w:rsidRDefault="00915A46" w:rsidP="00915A46">
      <w:pPr>
        <w:ind w:firstLine="708"/>
        <w:jc w:val="both"/>
      </w:pPr>
      <w:r>
        <w:t xml:space="preserve">Al igual que en la producción de fitorreguladores, en las poblaciones microbianas también hubo diferencias tanto entre cada tiempo para cada una de las DA como entre ambos procesos, demostrando el efecto del pH inicial sobre los microorganismos de la DA, como se muestra en la Figura 5. En total se identificaron 14 taxones en el nivel de familia con una abundancia relativa mayor al 1 % en al menos una muestra. La mayoría de estas familias microbianas pertenecen a los filos </w:t>
      </w:r>
      <w:r w:rsidRPr="006C61F1">
        <w:rPr>
          <w:i/>
        </w:rPr>
        <w:t>Firmicutes</w:t>
      </w:r>
      <w:r>
        <w:t xml:space="preserve"> y </w:t>
      </w:r>
      <w:r w:rsidRPr="006C61F1">
        <w:rPr>
          <w:i/>
        </w:rPr>
        <w:t xml:space="preserve">Bacteroidetes </w:t>
      </w:r>
      <w:r>
        <w:t xml:space="preserve">siendo los mas abundantes, además de </w:t>
      </w:r>
      <w:r w:rsidRPr="00012EEE">
        <w:rPr>
          <w:i/>
        </w:rPr>
        <w:t>Actinobacteria</w:t>
      </w:r>
      <w:r>
        <w:rPr>
          <w:i/>
        </w:rPr>
        <w:t>, Tenericutes, y Spirochaetes</w:t>
      </w:r>
      <w:r>
        <w:t xml:space="preserve">. Estos filos microbianos son encontrados en el rumen de los rumiantes y en los procesos de DA </w:t>
      </w:r>
      <w:r>
        <w:rPr>
          <w:vertAlign w:val="superscript"/>
        </w:rPr>
        <w:t>[17], [18], [19], [20]</w:t>
      </w:r>
      <w:r>
        <w:t xml:space="preserve">. Las familias bacterianas </w:t>
      </w:r>
      <w:r w:rsidRPr="006016CF">
        <w:t>más</w:t>
      </w:r>
      <w:r>
        <w:t xml:space="preserve"> abundantes en la muestra inicial fueron </w:t>
      </w:r>
      <w:r w:rsidRPr="00F84D08">
        <w:rPr>
          <w:i/>
        </w:rPr>
        <w:t>Ruminococcaceae</w:t>
      </w:r>
      <w:r>
        <w:t xml:space="preserve"> y </w:t>
      </w:r>
      <w:r w:rsidRPr="00F84D08">
        <w:rPr>
          <w:i/>
        </w:rPr>
        <w:t>Peptostreptococcaceae</w:t>
      </w:r>
      <w:r>
        <w:t xml:space="preserve"> con 22.9 % y 21 % respectivamente. Posteriormente en ambos procesos </w:t>
      </w:r>
      <w:r w:rsidRPr="00F84D08">
        <w:rPr>
          <w:i/>
        </w:rPr>
        <w:t>Peptostreptococcaceae</w:t>
      </w:r>
      <w:r>
        <w:rPr>
          <w:i/>
        </w:rPr>
        <w:t xml:space="preserve"> </w:t>
      </w:r>
      <w:r>
        <w:t xml:space="preserve">se volvió el taxón dominante incrementando su abundancia relativa hasta alcanzar el 53.9 % y 49.5 % en DA1 y DA2 respectivamente, mientras que </w:t>
      </w:r>
      <w:r w:rsidRPr="00F84D08">
        <w:rPr>
          <w:i/>
        </w:rPr>
        <w:t>Ruminococcaceae</w:t>
      </w:r>
      <w:r>
        <w:rPr>
          <w:i/>
        </w:rPr>
        <w:t xml:space="preserve"> </w:t>
      </w:r>
      <w:r>
        <w:t xml:space="preserve">disminuyó su abundancia a los 4 días, incrementó a los 8 días y volvió a disminuir a los 20 días en ambos procesos. Por su parte </w:t>
      </w:r>
      <w:r w:rsidRPr="0019294D">
        <w:rPr>
          <w:i/>
        </w:rPr>
        <w:t>Clostridiaceae</w:t>
      </w:r>
      <w:r>
        <w:t xml:space="preserve">, al cual pertenece el género </w:t>
      </w:r>
      <w:r w:rsidRPr="0063374A">
        <w:rPr>
          <w:i/>
        </w:rPr>
        <w:t>Clostridium</w:t>
      </w:r>
      <w:r>
        <w:t xml:space="preserve">, incrementó su abundancia de 1.9 % en la muestra inicial, a 7.7 % y 16.2 % en DA1 y DA2 respectivamente. </w:t>
      </w:r>
    </w:p>
    <w:p w:rsidR="00915A46" w:rsidRPr="009F5A87" w:rsidRDefault="00915A46" w:rsidP="00915A46"/>
    <w:p w:rsidR="00915A46" w:rsidRDefault="00915A46" w:rsidP="00915A46">
      <w:r w:rsidRPr="000B3C32">
        <w:rPr>
          <w:rFonts w:cs="Arial"/>
          <w:i/>
          <w:noProof/>
          <w:sz w:val="20"/>
          <w:szCs w:val="20"/>
          <w:lang w:val="en-US"/>
        </w:rPr>
        <w:lastRenderedPageBreak/>
        <w:drawing>
          <wp:inline distT="0" distB="0" distL="0" distR="0" wp14:anchorId="68C8BF16" wp14:editId="785798B7">
            <wp:extent cx="5962650" cy="3629025"/>
            <wp:effectExtent l="0" t="0" r="0" b="0"/>
            <wp:docPr id="269469672" name="Imagen 269469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5962650" cy="3629025"/>
                    </a:xfrm>
                    <a:prstGeom prst="rect">
                      <a:avLst/>
                    </a:prstGeom>
                    <a:noFill/>
                    <a:ln>
                      <a:noFill/>
                    </a:ln>
                  </pic:spPr>
                </pic:pic>
              </a:graphicData>
            </a:graphic>
          </wp:inline>
        </w:drawing>
      </w:r>
    </w:p>
    <w:p w:rsidR="00915A46" w:rsidRDefault="00915A46" w:rsidP="00915A46">
      <w:pPr>
        <w:jc w:val="center"/>
        <w:rPr>
          <w:rFonts w:cs="Arial"/>
          <w:bCs/>
          <w:i/>
          <w:sz w:val="20"/>
          <w:szCs w:val="20"/>
        </w:rPr>
      </w:pPr>
      <w:r>
        <w:rPr>
          <w:rFonts w:cs="Arial"/>
          <w:bCs/>
          <w:i/>
          <w:sz w:val="20"/>
          <w:szCs w:val="20"/>
        </w:rPr>
        <w:t>Figura 5. Abundancia relativa de microorganismos a nivel familia, a los 0, 4, 8 y 20 días de proceso de las digestiones anaeróbicas de estiércol de vaca a pH inicial 5.5 (DA1) y 7.5 (DA2) a 37 ºC. Se muestran los taxones con una abundancia relativa mayor al 1 % en al menos una muestra.</w:t>
      </w:r>
    </w:p>
    <w:p w:rsidR="00915A46" w:rsidRPr="00955881" w:rsidRDefault="00915A46" w:rsidP="00915A46">
      <w:pPr>
        <w:jc w:val="center"/>
      </w:pPr>
    </w:p>
    <w:p w:rsidR="00915A46" w:rsidRPr="00915A46" w:rsidRDefault="00915A46" w:rsidP="00915A46">
      <w:pPr>
        <w:pStyle w:val="Ttulo1"/>
        <w:keepLines w:val="0"/>
        <w:numPr>
          <w:ilvl w:val="0"/>
          <w:numId w:val="1"/>
        </w:numPr>
        <w:tabs>
          <w:tab w:val="clear" w:pos="432"/>
          <w:tab w:val="left" w:pos="0"/>
        </w:tabs>
        <w:suppressAutoHyphens/>
        <w:spacing w:before="0" w:after="0" w:line="360" w:lineRule="auto"/>
        <w:ind w:left="0" w:firstLine="0"/>
        <w:jc w:val="both"/>
        <w:rPr>
          <w:rFonts w:cs="Arial"/>
          <w:i/>
          <w:sz w:val="24"/>
          <w:szCs w:val="24"/>
        </w:rPr>
      </w:pPr>
      <w:bookmarkStart w:id="219" w:name="_Toc50031301"/>
      <w:r w:rsidRPr="00915A46">
        <w:rPr>
          <w:rFonts w:cs="Arial"/>
          <w:i/>
          <w:caps/>
          <w:sz w:val="24"/>
          <w:szCs w:val="24"/>
        </w:rPr>
        <w:t xml:space="preserve">5. </w:t>
      </w:r>
      <w:r w:rsidRPr="00915A46">
        <w:rPr>
          <w:rFonts w:cs="Arial"/>
          <w:i/>
          <w:sz w:val="24"/>
          <w:szCs w:val="24"/>
        </w:rPr>
        <w:t>Conclusiones</w:t>
      </w:r>
      <w:bookmarkEnd w:id="219"/>
    </w:p>
    <w:p w:rsidR="00915A46" w:rsidRPr="00AB779A" w:rsidRDefault="00915A46" w:rsidP="00915A46">
      <w:pPr>
        <w:ind w:firstLine="708"/>
        <w:jc w:val="both"/>
      </w:pPr>
      <w:r>
        <w:t>La modificación del pH inicial influye en la composición microbiana y por lo tanto en la producción de fitorreguladores, induciendo la producción de IAA y aumentando la producción de GA</w:t>
      </w:r>
      <w:r w:rsidRPr="00797AFB">
        <w:rPr>
          <w:vertAlign w:val="subscript"/>
        </w:rPr>
        <w:t>3</w:t>
      </w:r>
      <w:r>
        <w:t xml:space="preserve"> a pH inicial de 5.5. Por su parte, los procesos de DA evaluados se acidificaron, desarrollándose en la etapa acidogénica en la cual se produjeron los </w:t>
      </w:r>
      <w:r w:rsidRPr="006016CF">
        <w:t>fitorreguladores. Los taxones</w:t>
      </w:r>
      <w:r>
        <w:t xml:space="preserve"> </w:t>
      </w:r>
      <w:r w:rsidRPr="006016CF">
        <w:t>m</w:t>
      </w:r>
      <w:r>
        <w:t>á</w:t>
      </w:r>
      <w:r w:rsidRPr="006016CF">
        <w:t xml:space="preserve">s abundantes en ambos procesos fueron </w:t>
      </w:r>
      <w:r w:rsidRPr="006016CF">
        <w:rPr>
          <w:i/>
        </w:rPr>
        <w:t>Ruminococcaceae</w:t>
      </w:r>
      <w:r w:rsidRPr="006016CF">
        <w:t xml:space="preserve"> y </w:t>
      </w:r>
      <w:r w:rsidRPr="006016CF">
        <w:rPr>
          <w:i/>
        </w:rPr>
        <w:t xml:space="preserve">Peptostreptococcaceae </w:t>
      </w:r>
      <w:r w:rsidRPr="006016CF">
        <w:t xml:space="preserve">pertenecientes al filo </w:t>
      </w:r>
      <w:r w:rsidRPr="006016CF">
        <w:rPr>
          <w:i/>
        </w:rPr>
        <w:t>Firmicutes</w:t>
      </w:r>
      <w:r w:rsidRPr="006016CF">
        <w:t>. A diferencia de lo reportado en la bibliografía, en los procesos de DA evaluados en este proyecto no se detectó la presencia de ABA. Finalmente, el proceso de DA podría representar una opción con potencial para la producción de fitorreguladores, debido a la utilización</w:t>
      </w:r>
      <w:r>
        <w:t xml:space="preserve"> de sustratos residuales y el no requerir de agitación y aireación, disminuyendo el costo energético del proceso, a diferencia de los procesos aeróbicos.  </w:t>
      </w:r>
    </w:p>
    <w:p w:rsidR="00915A46" w:rsidRPr="0063374A" w:rsidRDefault="00915A46" w:rsidP="00915A46"/>
    <w:p w:rsidR="00915A46" w:rsidRPr="00915A46" w:rsidRDefault="00915A46" w:rsidP="00915A46">
      <w:pPr>
        <w:pStyle w:val="Ttulo1"/>
        <w:spacing w:line="360" w:lineRule="auto"/>
        <w:rPr>
          <w:rFonts w:cs="Arial"/>
          <w:i/>
          <w:sz w:val="24"/>
          <w:szCs w:val="24"/>
          <w:lang w:val="en-US"/>
        </w:rPr>
      </w:pPr>
      <w:bookmarkStart w:id="220" w:name="_Toc50031302"/>
      <w:r w:rsidRPr="00915A46">
        <w:rPr>
          <w:rFonts w:cs="Arial"/>
          <w:i/>
          <w:caps/>
          <w:sz w:val="24"/>
          <w:szCs w:val="24"/>
          <w:lang w:val="en-US"/>
        </w:rPr>
        <w:t xml:space="preserve">6. </w:t>
      </w:r>
      <w:r w:rsidRPr="00915A46">
        <w:rPr>
          <w:rFonts w:cs="Arial"/>
          <w:i/>
          <w:sz w:val="24"/>
          <w:szCs w:val="24"/>
          <w:lang w:val="en-US"/>
        </w:rPr>
        <w:t>Bibliografía</w:t>
      </w:r>
      <w:bookmarkEnd w:id="220"/>
    </w:p>
    <w:p w:rsidR="00915A46" w:rsidRPr="00E236C1" w:rsidRDefault="00915A46" w:rsidP="00915A46">
      <w:pPr>
        <w:rPr>
          <w:lang w:val="en-US"/>
        </w:rPr>
      </w:pPr>
    </w:p>
    <w:p w:rsidR="00915A46" w:rsidRPr="00911796" w:rsidRDefault="00915A46" w:rsidP="00133D30">
      <w:pPr>
        <w:numPr>
          <w:ilvl w:val="0"/>
          <w:numId w:val="37"/>
        </w:numPr>
        <w:suppressAutoHyphens/>
        <w:spacing w:after="0" w:line="240" w:lineRule="auto"/>
        <w:jc w:val="both"/>
        <w:rPr>
          <w:lang w:val="en-US"/>
        </w:rPr>
      </w:pPr>
      <w:r w:rsidRPr="00E236C1">
        <w:rPr>
          <w:lang w:val="en-US"/>
        </w:rPr>
        <w:lastRenderedPageBreak/>
        <w:t>Brown,</w:t>
      </w:r>
      <w:r>
        <w:rPr>
          <w:lang w:val="en-US"/>
        </w:rPr>
        <w:t xml:space="preserve"> D., </w:t>
      </w:r>
      <w:r w:rsidRPr="00E236C1">
        <w:rPr>
          <w:lang w:val="en-US"/>
        </w:rPr>
        <w:t>Shi,</w:t>
      </w:r>
      <w:r>
        <w:rPr>
          <w:lang w:val="en-US"/>
        </w:rPr>
        <w:t xml:space="preserve"> J., </w:t>
      </w:r>
      <w:r w:rsidRPr="00E236C1">
        <w:rPr>
          <w:lang w:val="en-US"/>
        </w:rPr>
        <w:t>Li</w:t>
      </w:r>
      <w:r>
        <w:rPr>
          <w:lang w:val="en-US"/>
        </w:rPr>
        <w:t>, Y. (2012).</w:t>
      </w:r>
      <w:r w:rsidRPr="00E236C1">
        <w:rPr>
          <w:lang w:val="en-US"/>
        </w:rPr>
        <w:t xml:space="preserve"> Comparison of solid-state to liquid anaerobic digestion of lignocellulosic feedstocks</w:t>
      </w:r>
      <w:r>
        <w:rPr>
          <w:lang w:val="en-US"/>
        </w:rPr>
        <w:t xml:space="preserve"> </w:t>
      </w:r>
      <w:r w:rsidRPr="00E236C1">
        <w:rPr>
          <w:lang w:val="en-US"/>
        </w:rPr>
        <w:t>for biogas production</w:t>
      </w:r>
      <w:r>
        <w:rPr>
          <w:lang w:val="en-US"/>
        </w:rPr>
        <w:t xml:space="preserve">. </w:t>
      </w:r>
      <w:r w:rsidRPr="00911796">
        <w:rPr>
          <w:i/>
          <w:lang w:val="en-US"/>
        </w:rPr>
        <w:t>Bioresource Technology</w:t>
      </w:r>
      <w:r w:rsidRPr="00911796">
        <w:rPr>
          <w:lang w:val="en-US"/>
        </w:rPr>
        <w:t>, 124, 379-386.</w:t>
      </w:r>
    </w:p>
    <w:p w:rsidR="00915A46" w:rsidRPr="00911796" w:rsidRDefault="00915A46" w:rsidP="00133D30">
      <w:pPr>
        <w:numPr>
          <w:ilvl w:val="0"/>
          <w:numId w:val="37"/>
        </w:numPr>
        <w:suppressAutoHyphens/>
        <w:spacing w:after="0" w:line="240" w:lineRule="auto"/>
        <w:jc w:val="both"/>
        <w:rPr>
          <w:rFonts w:eastAsia="Helvetica"/>
          <w:lang w:val="en-US"/>
        </w:rPr>
      </w:pPr>
      <w:r w:rsidRPr="001149C9">
        <w:rPr>
          <w:lang w:val="en-US"/>
        </w:rPr>
        <w:t xml:space="preserve">Xin, L., Jianbin, G., Changle, P., Renjie, D. (2016). Anaerobic Digestion and Storage Influence Availability of PlantHormones in Livestock Slurry. </w:t>
      </w:r>
      <w:r w:rsidRPr="001149C9">
        <w:rPr>
          <w:i/>
          <w:lang w:val="en-US"/>
        </w:rPr>
        <w:t>ACS Sustainable Chemistry &amp; Engineering</w:t>
      </w:r>
      <w:r w:rsidRPr="001149C9">
        <w:rPr>
          <w:lang w:val="en-US"/>
        </w:rPr>
        <w:t>, 4, 719</w:t>
      </w:r>
      <w:r>
        <w:rPr>
          <w:rFonts w:eastAsia="Helvetica"/>
          <w:lang w:val="en-US"/>
        </w:rPr>
        <w:t>-</w:t>
      </w:r>
      <w:r w:rsidRPr="001149C9">
        <w:rPr>
          <w:rFonts w:eastAsia="Helvetica"/>
          <w:lang w:val="en-US"/>
        </w:rPr>
        <w:t>727.</w:t>
      </w:r>
    </w:p>
    <w:p w:rsidR="00915A46" w:rsidRDefault="00915A46" w:rsidP="00133D30">
      <w:pPr>
        <w:numPr>
          <w:ilvl w:val="0"/>
          <w:numId w:val="37"/>
        </w:numPr>
        <w:suppressAutoHyphens/>
        <w:spacing w:after="0" w:line="240" w:lineRule="auto"/>
        <w:jc w:val="both"/>
        <w:rPr>
          <w:lang w:val="es-ES_tradnl"/>
        </w:rPr>
      </w:pPr>
      <w:r w:rsidRPr="001F580F">
        <w:rPr>
          <w:lang w:val="en-US"/>
        </w:rPr>
        <w:t xml:space="preserve">Bose, A., Shah, D., Keharia, H. (2013). Production of indole-3-aceticacid (IAA) by the white rot fungus Pleurotus ostreatus under submerged condition of Jatropha seedcake. </w:t>
      </w:r>
      <w:r w:rsidRPr="001F580F">
        <w:rPr>
          <w:lang w:val="es-ES_tradnl"/>
        </w:rPr>
        <w:t>Mycology. 4 (2): 103-111.</w:t>
      </w:r>
    </w:p>
    <w:p w:rsidR="00915A46" w:rsidRPr="00E47887" w:rsidRDefault="00915A46" w:rsidP="00133D30">
      <w:pPr>
        <w:numPr>
          <w:ilvl w:val="0"/>
          <w:numId w:val="37"/>
        </w:numPr>
        <w:suppressAutoHyphens/>
        <w:spacing w:after="0" w:line="240" w:lineRule="auto"/>
        <w:jc w:val="both"/>
        <w:rPr>
          <w:lang w:val="en-US"/>
        </w:rPr>
      </w:pPr>
      <w:r w:rsidRPr="00F36722">
        <w:rPr>
          <w:lang w:val="en-US"/>
        </w:rPr>
        <w:t xml:space="preserve">Gutierrez, C. K., Matsui, G. Y., Lincoln, D. E., Lovell, C. R. (2009). Production of the Phytohormone Indole-3-Acetic Acid by Estuarine Species of the Genus </w:t>
      </w:r>
      <w:r w:rsidRPr="00F36722">
        <w:rPr>
          <w:i/>
          <w:lang w:val="en-US"/>
        </w:rPr>
        <w:t>Vibrio</w:t>
      </w:r>
      <w:r w:rsidRPr="00F36722">
        <w:rPr>
          <w:lang w:val="en-US"/>
        </w:rPr>
        <w:t xml:space="preserve">. </w:t>
      </w:r>
      <w:r w:rsidRPr="00F36722">
        <w:rPr>
          <w:i/>
          <w:lang w:val="en-US"/>
        </w:rPr>
        <w:t>Applied and Environmental Microbiology</w:t>
      </w:r>
      <w:r w:rsidRPr="00F36722">
        <w:rPr>
          <w:lang w:val="en-US"/>
        </w:rPr>
        <w:t>, 75 (8), 2253-2258.</w:t>
      </w:r>
    </w:p>
    <w:p w:rsidR="00915A46" w:rsidRDefault="00915A46" w:rsidP="00133D30">
      <w:pPr>
        <w:numPr>
          <w:ilvl w:val="0"/>
          <w:numId w:val="37"/>
        </w:numPr>
        <w:suppressAutoHyphens/>
        <w:spacing w:after="0" w:line="240" w:lineRule="auto"/>
        <w:jc w:val="both"/>
        <w:rPr>
          <w:lang w:val="en-US"/>
        </w:rPr>
      </w:pPr>
      <w:r w:rsidRPr="00F36722">
        <w:rPr>
          <w:lang w:val="en-US"/>
        </w:rPr>
        <w:t xml:space="preserve">Li, G., Liu, S., Sun, Z., Xia, L., Chen, G., You, J. (2015). A simple and sensitive HPLC method based on pre-column fluorescence labelling for multiple classes of plant growth regulator determination in food samples. </w:t>
      </w:r>
      <w:r w:rsidRPr="00F36722">
        <w:rPr>
          <w:i/>
          <w:lang w:val="en-US"/>
        </w:rPr>
        <w:t>Food Chemistry</w:t>
      </w:r>
      <w:r w:rsidRPr="00F36722">
        <w:rPr>
          <w:lang w:val="en-US"/>
        </w:rPr>
        <w:t>, 170, 123–130.</w:t>
      </w:r>
    </w:p>
    <w:p w:rsidR="00915A46" w:rsidRDefault="00915A46" w:rsidP="00133D30">
      <w:pPr>
        <w:numPr>
          <w:ilvl w:val="0"/>
          <w:numId w:val="37"/>
        </w:numPr>
        <w:suppressAutoHyphens/>
        <w:spacing w:after="0" w:line="240" w:lineRule="auto"/>
        <w:jc w:val="both"/>
        <w:rPr>
          <w:lang w:val="en-US"/>
        </w:rPr>
      </w:pPr>
      <w:r w:rsidRPr="00F36722">
        <w:rPr>
          <w:lang w:val="en-US"/>
        </w:rPr>
        <w:t xml:space="preserve">Endo y col., (2014). ABA Biosynthetic and Catabolic Pathways. En Da-Peng, Z. (Ed.), </w:t>
      </w:r>
      <w:r w:rsidRPr="00F36722">
        <w:rPr>
          <w:i/>
          <w:lang w:val="en-US"/>
        </w:rPr>
        <w:t>Abscisic Acid: Metabolism, Transport and Signaling (21-45)</w:t>
      </w:r>
      <w:r w:rsidRPr="00F36722">
        <w:rPr>
          <w:lang w:val="en-US"/>
        </w:rPr>
        <w:t>. Springer.</w:t>
      </w:r>
    </w:p>
    <w:p w:rsidR="00915A46" w:rsidRPr="00955881" w:rsidRDefault="00915A46" w:rsidP="00133D30">
      <w:pPr>
        <w:numPr>
          <w:ilvl w:val="0"/>
          <w:numId w:val="37"/>
        </w:numPr>
        <w:suppressAutoHyphens/>
        <w:spacing w:after="0" w:line="240" w:lineRule="auto"/>
        <w:jc w:val="both"/>
        <w:rPr>
          <w:lang w:val="en-US"/>
        </w:rPr>
      </w:pPr>
      <w:r>
        <w:rPr>
          <w:lang w:val="es-ES_tradnl"/>
        </w:rPr>
        <w:t xml:space="preserve">Castro-Ramos, J. J., Solís-Oba, M. M., Castro-Rivera, R., Calderón-Vázquez, C. L. (2019). Minireview: uso de fitorreguladores en el manejo de cultivos agrícolas. </w:t>
      </w:r>
      <w:r w:rsidRPr="00955881">
        <w:rPr>
          <w:i/>
          <w:lang w:val="en-US"/>
        </w:rPr>
        <w:t>Frontera Biotecnológica</w:t>
      </w:r>
      <w:r w:rsidRPr="00955881">
        <w:rPr>
          <w:lang w:val="en-US"/>
        </w:rPr>
        <w:t xml:space="preserve">, 13, 14-18. </w:t>
      </w:r>
    </w:p>
    <w:p w:rsidR="00915A46" w:rsidRDefault="00915A46" w:rsidP="00133D30">
      <w:pPr>
        <w:numPr>
          <w:ilvl w:val="0"/>
          <w:numId w:val="37"/>
        </w:numPr>
        <w:suppressAutoHyphens/>
        <w:spacing w:after="0" w:line="240" w:lineRule="auto"/>
        <w:jc w:val="both"/>
        <w:rPr>
          <w:lang w:val="nl-NL"/>
        </w:rPr>
      </w:pPr>
      <w:r w:rsidRPr="00915A46">
        <w:rPr>
          <w:lang w:val="es-MX"/>
        </w:rPr>
        <w:t xml:space="preserve">Tian-Qiong, S., Hui, P., Si-Yu, Z., Rong-Yu, J., Kun, S., He, H., Xiao-Ju. </w:t>
      </w:r>
      <w:r w:rsidRPr="00E47887">
        <w:rPr>
          <w:lang w:val="en-US"/>
        </w:rPr>
        <w:t xml:space="preserve">(2017). Microbial production of plant hormones: Opportunities and challenges. </w:t>
      </w:r>
      <w:r w:rsidRPr="00E47887">
        <w:rPr>
          <w:i/>
          <w:iCs/>
          <w:lang w:val="en-US"/>
        </w:rPr>
        <w:t>Bioengineered</w:t>
      </w:r>
      <w:r>
        <w:rPr>
          <w:lang w:val="nl-NL"/>
        </w:rPr>
        <w:t>, 8 (2), 124-</w:t>
      </w:r>
      <w:r w:rsidRPr="003F0AAC">
        <w:rPr>
          <w:lang w:val="nl-NL"/>
        </w:rPr>
        <w:t>128</w:t>
      </w:r>
      <w:r>
        <w:rPr>
          <w:lang w:val="nl-NL"/>
        </w:rPr>
        <w:t>.</w:t>
      </w:r>
    </w:p>
    <w:p w:rsidR="00915A46" w:rsidRPr="00E47887" w:rsidRDefault="00915A46" w:rsidP="00133D30">
      <w:pPr>
        <w:numPr>
          <w:ilvl w:val="0"/>
          <w:numId w:val="37"/>
        </w:numPr>
        <w:suppressAutoHyphens/>
        <w:spacing w:after="0" w:line="240" w:lineRule="auto"/>
        <w:jc w:val="both"/>
        <w:rPr>
          <w:lang w:val="en-US"/>
        </w:rPr>
      </w:pPr>
      <w:r w:rsidRPr="00E236C1">
        <w:rPr>
          <w:lang w:val="es-MX"/>
        </w:rPr>
        <w:t xml:space="preserve">Ertani, A., Pizzeghello, D., Baglieri, A., Cadili, V., Tambone, F., Gennari, M., Nardi, S. (2013). </w:t>
      </w:r>
      <w:r w:rsidRPr="00E236C1">
        <w:rPr>
          <w:lang w:val="en-US"/>
        </w:rPr>
        <w:t>Humic-like substances from agro-industrial residues affect growth and nitrogen assimilation in maize (</w:t>
      </w:r>
      <w:r w:rsidRPr="00E236C1">
        <w:rPr>
          <w:i/>
          <w:iCs/>
          <w:lang w:val="en-US"/>
        </w:rPr>
        <w:t>Zea mays L</w:t>
      </w:r>
      <w:r w:rsidRPr="00E236C1">
        <w:rPr>
          <w:lang w:val="en-US"/>
        </w:rPr>
        <w:t xml:space="preserve">.) plantlets. </w:t>
      </w:r>
      <w:r w:rsidRPr="00E236C1">
        <w:rPr>
          <w:i/>
          <w:iCs/>
          <w:lang w:val="en-US"/>
        </w:rPr>
        <w:t xml:space="preserve">Journal of Geochemical Exploration </w:t>
      </w:r>
      <w:r>
        <w:rPr>
          <w:lang w:val="en-US"/>
        </w:rPr>
        <w:t>129: 103-</w:t>
      </w:r>
      <w:r w:rsidRPr="00E236C1">
        <w:rPr>
          <w:lang w:val="en-US"/>
        </w:rPr>
        <w:t xml:space="preserve">111. </w:t>
      </w:r>
    </w:p>
    <w:p w:rsidR="00915A46" w:rsidRDefault="00915A46" w:rsidP="00133D30">
      <w:pPr>
        <w:numPr>
          <w:ilvl w:val="0"/>
          <w:numId w:val="37"/>
        </w:numPr>
        <w:suppressAutoHyphens/>
        <w:spacing w:after="0" w:line="240" w:lineRule="auto"/>
        <w:jc w:val="both"/>
        <w:rPr>
          <w:lang w:val="it-IT"/>
        </w:rPr>
      </w:pPr>
      <w:r w:rsidRPr="00E47887">
        <w:rPr>
          <w:lang w:val="es-MX"/>
        </w:rPr>
        <w:t xml:space="preserve">Scaglia, B., Pognani, M., Adani, F. (2015). </w:t>
      </w:r>
      <w:r w:rsidRPr="001149C9">
        <w:rPr>
          <w:lang w:val="en-US"/>
        </w:rPr>
        <w:t>Evaluation of hormone-like activity of the dissolved organic matter fraction</w:t>
      </w:r>
      <w:r>
        <w:rPr>
          <w:lang w:val="en-US"/>
        </w:rPr>
        <w:t xml:space="preserve"> </w:t>
      </w:r>
      <w:r w:rsidRPr="001149C9">
        <w:rPr>
          <w:lang w:val="en-US"/>
        </w:rPr>
        <w:t xml:space="preserve">(DOM) of compost </w:t>
      </w:r>
      <w:r w:rsidRPr="002A5F65">
        <w:rPr>
          <w:lang w:val="it-IT"/>
        </w:rPr>
        <w:t xml:space="preserve">and digestate. </w:t>
      </w:r>
      <w:r w:rsidRPr="002A5F65">
        <w:rPr>
          <w:i/>
          <w:iCs/>
          <w:lang w:val="it-IT"/>
        </w:rPr>
        <w:t>Science ot the Total Environment</w:t>
      </w:r>
      <w:r>
        <w:rPr>
          <w:lang w:val="it-IT"/>
        </w:rPr>
        <w:t>, 514, 314-</w:t>
      </w:r>
      <w:r w:rsidRPr="002A5F65">
        <w:rPr>
          <w:lang w:val="it-IT"/>
        </w:rPr>
        <w:t>321.</w:t>
      </w:r>
    </w:p>
    <w:p w:rsidR="00915A46" w:rsidRDefault="00915A46" w:rsidP="00133D30">
      <w:pPr>
        <w:numPr>
          <w:ilvl w:val="0"/>
          <w:numId w:val="37"/>
        </w:numPr>
        <w:suppressAutoHyphens/>
        <w:spacing w:after="0" w:line="240" w:lineRule="auto"/>
        <w:jc w:val="both"/>
        <w:rPr>
          <w:lang w:val="en-US"/>
        </w:rPr>
      </w:pPr>
      <w:r w:rsidRPr="001149C9">
        <w:rPr>
          <w:lang w:val="en-US"/>
        </w:rPr>
        <w:t>Ludwig-Mu</w:t>
      </w:r>
      <w:r w:rsidRPr="001149C9">
        <w:rPr>
          <w:rFonts w:eastAsia="Helvetica"/>
          <w:lang w:val="en-US"/>
        </w:rPr>
        <w:t>̈</w:t>
      </w:r>
      <w:r w:rsidRPr="001149C9">
        <w:rPr>
          <w:lang w:val="en-US"/>
        </w:rPr>
        <w:t xml:space="preserve">ller, J., Cohen, J. D. (2002). Identification and quantification of three active auxins in different tissues of </w:t>
      </w:r>
      <w:r w:rsidRPr="001149C9">
        <w:rPr>
          <w:i/>
          <w:lang w:val="en-US"/>
        </w:rPr>
        <w:t>Tropaeolum majus</w:t>
      </w:r>
      <w:r w:rsidRPr="001149C9">
        <w:rPr>
          <w:lang w:val="en-US"/>
        </w:rPr>
        <w:t xml:space="preserve">. </w:t>
      </w:r>
      <w:r w:rsidRPr="001149C9">
        <w:rPr>
          <w:i/>
          <w:lang w:val="en-US"/>
        </w:rPr>
        <w:t>Physiologia Plantarum</w:t>
      </w:r>
      <w:r>
        <w:rPr>
          <w:lang w:val="en-US"/>
        </w:rPr>
        <w:t>, 115, 320-</w:t>
      </w:r>
      <w:r w:rsidRPr="001149C9">
        <w:rPr>
          <w:lang w:val="en-US"/>
        </w:rPr>
        <w:t>329.</w:t>
      </w:r>
    </w:p>
    <w:p w:rsidR="00915A46" w:rsidRPr="00915A46" w:rsidRDefault="00915A46" w:rsidP="00133D30">
      <w:pPr>
        <w:numPr>
          <w:ilvl w:val="0"/>
          <w:numId w:val="37"/>
        </w:numPr>
        <w:suppressAutoHyphens/>
        <w:spacing w:after="0" w:line="240" w:lineRule="auto"/>
        <w:jc w:val="both"/>
        <w:rPr>
          <w:lang w:val="es-MX"/>
        </w:rPr>
      </w:pPr>
      <w:r w:rsidRPr="00E236C1">
        <w:rPr>
          <w:lang w:val="es-ES_tradnl"/>
        </w:rPr>
        <w:t xml:space="preserve">Teniza-García, O., Solís-Oba, M. M., Pérez-López, M. E., González-Prieto, J. M., Valencia-Vázquez, R. (2015). Producción de metano utilizando residuos cunícolas. </w:t>
      </w:r>
      <w:r w:rsidRPr="00E236C1">
        <w:rPr>
          <w:i/>
          <w:lang w:val="es-ES_tradnl"/>
        </w:rPr>
        <w:t>Revista Mexicana de Ingeniería Química</w:t>
      </w:r>
      <w:r w:rsidRPr="00E236C1">
        <w:rPr>
          <w:lang w:val="es-ES_tradnl"/>
        </w:rPr>
        <w:t>, 14 (2), 321-334.</w:t>
      </w:r>
    </w:p>
    <w:p w:rsidR="00915A46" w:rsidRDefault="00915A46" w:rsidP="00133D30">
      <w:pPr>
        <w:numPr>
          <w:ilvl w:val="0"/>
          <w:numId w:val="37"/>
        </w:numPr>
        <w:suppressAutoHyphens/>
        <w:spacing w:after="0" w:line="240" w:lineRule="auto"/>
        <w:jc w:val="both"/>
        <w:rPr>
          <w:lang w:val="es-ES_tradnl"/>
        </w:rPr>
      </w:pPr>
      <w:r>
        <w:rPr>
          <w:lang w:val="es-ES_tradnl"/>
        </w:rPr>
        <w:t>Barbazán, M.</w:t>
      </w:r>
      <w:r w:rsidRPr="001B546A">
        <w:rPr>
          <w:lang w:val="es-ES_tradnl"/>
        </w:rPr>
        <w:t>, del Pino</w:t>
      </w:r>
      <w:r>
        <w:rPr>
          <w:lang w:val="es-ES_tradnl"/>
        </w:rPr>
        <w:t>, A.</w:t>
      </w:r>
      <w:r w:rsidRPr="001B546A">
        <w:rPr>
          <w:lang w:val="es-ES_tradnl"/>
        </w:rPr>
        <w:t>, Moltini</w:t>
      </w:r>
      <w:r>
        <w:rPr>
          <w:lang w:val="es-ES_tradnl"/>
        </w:rPr>
        <w:t>, C.</w:t>
      </w:r>
      <w:r w:rsidRPr="001B546A">
        <w:rPr>
          <w:lang w:val="es-ES_tradnl"/>
        </w:rPr>
        <w:t>, Hernández</w:t>
      </w:r>
      <w:r>
        <w:rPr>
          <w:lang w:val="es-ES_tradnl"/>
        </w:rPr>
        <w:t>, J.</w:t>
      </w:r>
      <w:r w:rsidRPr="001B546A">
        <w:rPr>
          <w:lang w:val="es-ES_tradnl"/>
        </w:rPr>
        <w:t>, Rodríguez</w:t>
      </w:r>
      <w:r>
        <w:rPr>
          <w:lang w:val="es-ES_tradnl"/>
        </w:rPr>
        <w:t xml:space="preserve">, J. (2011). </w:t>
      </w:r>
      <w:r w:rsidRPr="001B546A">
        <w:rPr>
          <w:lang w:val="es-ES_tradnl"/>
        </w:rPr>
        <w:t>Caracterización de materiales orgánicos aplicados en sistemas agrícolas</w:t>
      </w:r>
      <w:r>
        <w:rPr>
          <w:lang w:val="es-ES_tradnl"/>
        </w:rPr>
        <w:t xml:space="preserve"> </w:t>
      </w:r>
      <w:r w:rsidRPr="001B546A">
        <w:rPr>
          <w:lang w:val="es-ES_tradnl"/>
        </w:rPr>
        <w:t>intensivos de Uruguay</w:t>
      </w:r>
      <w:r>
        <w:rPr>
          <w:lang w:val="es-ES_tradnl"/>
        </w:rPr>
        <w:t xml:space="preserve">. </w:t>
      </w:r>
      <w:r w:rsidRPr="001B546A">
        <w:rPr>
          <w:i/>
          <w:lang w:val="es-ES_tradnl"/>
        </w:rPr>
        <w:t>Agrociencia Uruguay</w:t>
      </w:r>
      <w:r>
        <w:rPr>
          <w:lang w:val="es-ES_tradnl"/>
        </w:rPr>
        <w:t xml:space="preserve">, </w:t>
      </w:r>
      <w:r w:rsidRPr="001B546A">
        <w:rPr>
          <w:lang w:val="es-ES_tradnl"/>
        </w:rPr>
        <w:t xml:space="preserve">15 </w:t>
      </w:r>
      <w:r>
        <w:rPr>
          <w:lang w:val="es-ES_tradnl"/>
        </w:rPr>
        <w:t>(</w:t>
      </w:r>
      <w:r w:rsidRPr="001B546A">
        <w:rPr>
          <w:lang w:val="es-ES_tradnl"/>
        </w:rPr>
        <w:t>1</w:t>
      </w:r>
      <w:r>
        <w:rPr>
          <w:lang w:val="es-ES_tradnl"/>
        </w:rPr>
        <w:t xml:space="preserve">), </w:t>
      </w:r>
      <w:r w:rsidRPr="001B546A">
        <w:rPr>
          <w:lang w:val="es-ES_tradnl"/>
        </w:rPr>
        <w:t>82-92</w:t>
      </w:r>
      <w:r>
        <w:rPr>
          <w:lang w:val="es-ES_tradnl"/>
        </w:rPr>
        <w:t>.</w:t>
      </w:r>
    </w:p>
    <w:p w:rsidR="00915A46" w:rsidRPr="00D21049" w:rsidRDefault="00915A46" w:rsidP="00133D30">
      <w:pPr>
        <w:numPr>
          <w:ilvl w:val="0"/>
          <w:numId w:val="37"/>
        </w:numPr>
        <w:suppressAutoHyphens/>
        <w:spacing w:after="0" w:line="240" w:lineRule="auto"/>
        <w:jc w:val="both"/>
        <w:rPr>
          <w:lang w:val="es-MX"/>
        </w:rPr>
      </w:pPr>
      <w:r w:rsidRPr="00D21049">
        <w:rPr>
          <w:lang w:val="en-US"/>
        </w:rPr>
        <w:t xml:space="preserve">Adekunle, K. F., Okolie, J. A. (2015). A Review of Biochemical Process of Anaerobic Digestion. </w:t>
      </w:r>
      <w:r w:rsidRPr="00D21049">
        <w:t>Advances in Bioscience and Biotechnology, 6, 205-212.</w:t>
      </w:r>
    </w:p>
    <w:p w:rsidR="00915A46" w:rsidRPr="00E47887" w:rsidRDefault="00915A46" w:rsidP="00133D30">
      <w:pPr>
        <w:numPr>
          <w:ilvl w:val="0"/>
          <w:numId w:val="37"/>
        </w:numPr>
        <w:suppressAutoHyphens/>
        <w:spacing w:after="0" w:line="240" w:lineRule="auto"/>
        <w:jc w:val="both"/>
        <w:rPr>
          <w:lang w:val="en-US"/>
        </w:rPr>
      </w:pPr>
      <w:r w:rsidRPr="001149C9">
        <w:rPr>
          <w:lang w:val="en-US"/>
        </w:rPr>
        <w:t xml:space="preserve">Pore, S. D., Shetty, D., Arora, P., Maheshwari, S., Dhakephalkar, P. K. (2016). Metagenome changes in the biogas producing community during anaerobic digestion of rice straw. </w:t>
      </w:r>
      <w:r w:rsidRPr="001149C9">
        <w:rPr>
          <w:i/>
          <w:lang w:val="en-US"/>
        </w:rPr>
        <w:t>Bioresource Technology</w:t>
      </w:r>
      <w:r w:rsidRPr="001149C9">
        <w:rPr>
          <w:lang w:val="en-US"/>
        </w:rPr>
        <w:t>, 213, 50</w:t>
      </w:r>
      <w:r w:rsidRPr="001149C9">
        <w:rPr>
          <w:rFonts w:eastAsia="Helvetica"/>
          <w:lang w:val="en-US"/>
        </w:rPr>
        <w:t>–53</w:t>
      </w:r>
      <w:r w:rsidRPr="001149C9">
        <w:rPr>
          <w:lang w:val="en-US"/>
        </w:rPr>
        <w:t>.</w:t>
      </w:r>
    </w:p>
    <w:p w:rsidR="00915A46" w:rsidRDefault="00915A46" w:rsidP="00133D30">
      <w:pPr>
        <w:numPr>
          <w:ilvl w:val="0"/>
          <w:numId w:val="37"/>
        </w:numPr>
        <w:suppressAutoHyphens/>
        <w:spacing w:after="0" w:line="240" w:lineRule="auto"/>
        <w:jc w:val="both"/>
        <w:rPr>
          <w:lang w:val="en-US"/>
        </w:rPr>
      </w:pPr>
      <w:r w:rsidRPr="00926E67">
        <w:rPr>
          <w:lang w:val="en-US"/>
        </w:rPr>
        <w:t>Han,</w:t>
      </w:r>
      <w:r>
        <w:rPr>
          <w:lang w:val="en-US"/>
        </w:rPr>
        <w:t xml:space="preserve"> X., </w:t>
      </w:r>
      <w:r w:rsidRPr="00926E67">
        <w:rPr>
          <w:lang w:val="en-US"/>
        </w:rPr>
        <w:t>Yang,</w:t>
      </w:r>
      <w:r>
        <w:rPr>
          <w:lang w:val="en-US"/>
        </w:rPr>
        <w:t xml:space="preserve"> Y., </w:t>
      </w:r>
      <w:r w:rsidRPr="00926E67">
        <w:rPr>
          <w:lang w:val="en-US"/>
        </w:rPr>
        <w:t>Yan,</w:t>
      </w:r>
      <w:r>
        <w:rPr>
          <w:lang w:val="en-US"/>
        </w:rPr>
        <w:t xml:space="preserve"> H., </w:t>
      </w:r>
      <w:r w:rsidRPr="00926E67">
        <w:rPr>
          <w:lang w:val="en-US"/>
        </w:rPr>
        <w:t>Wang,</w:t>
      </w:r>
      <w:r>
        <w:rPr>
          <w:lang w:val="en-US"/>
        </w:rPr>
        <w:t xml:space="preserve"> X., </w:t>
      </w:r>
      <w:r w:rsidRPr="00926E67">
        <w:rPr>
          <w:lang w:val="en-US"/>
        </w:rPr>
        <w:t>Qu,</w:t>
      </w:r>
      <w:r>
        <w:rPr>
          <w:lang w:val="en-US"/>
        </w:rPr>
        <w:t xml:space="preserve"> L., </w:t>
      </w:r>
      <w:r w:rsidRPr="00926E67">
        <w:rPr>
          <w:lang w:val="en-US"/>
        </w:rPr>
        <w:t>Chen</w:t>
      </w:r>
      <w:r>
        <w:rPr>
          <w:lang w:val="en-US"/>
        </w:rPr>
        <w:t xml:space="preserve">, Y. (2015). </w:t>
      </w:r>
      <w:r w:rsidRPr="00926E67">
        <w:rPr>
          <w:lang w:val="en-US"/>
        </w:rPr>
        <w:t>Rumen Bacterial Diversity of 80 to 110-Day-Old Goats Using 16S rRNA Sequencing</w:t>
      </w:r>
      <w:r>
        <w:rPr>
          <w:lang w:val="en-US"/>
        </w:rPr>
        <w:t xml:space="preserve">. </w:t>
      </w:r>
      <w:r w:rsidRPr="007A2692">
        <w:rPr>
          <w:i/>
          <w:shd w:val="clear" w:color="auto" w:fill="FFFFFF"/>
          <w:lang w:val="en-US" w:eastAsia="es-ES_tradnl"/>
        </w:rPr>
        <w:t>PLOS ONE</w:t>
      </w:r>
      <w:r>
        <w:rPr>
          <w:shd w:val="clear" w:color="auto" w:fill="FFFFFF"/>
          <w:lang w:val="en-US" w:eastAsia="es-ES_tradnl"/>
        </w:rPr>
        <w:t>,</w:t>
      </w:r>
      <w:r w:rsidRPr="00926E67">
        <w:rPr>
          <w:shd w:val="clear" w:color="auto" w:fill="FFFFFF"/>
          <w:lang w:val="en-US" w:eastAsia="es-ES_tradnl"/>
        </w:rPr>
        <w:t xml:space="preserve"> 10</w:t>
      </w:r>
      <w:r>
        <w:rPr>
          <w:shd w:val="clear" w:color="auto" w:fill="FFFFFF"/>
          <w:lang w:val="en-US" w:eastAsia="es-ES_tradnl"/>
        </w:rPr>
        <w:t xml:space="preserve"> </w:t>
      </w:r>
      <w:r w:rsidRPr="00926E67">
        <w:rPr>
          <w:shd w:val="clear" w:color="auto" w:fill="FFFFFF"/>
          <w:lang w:val="en-US" w:eastAsia="es-ES_tradnl"/>
        </w:rPr>
        <w:t>(2)</w:t>
      </w:r>
      <w:r>
        <w:rPr>
          <w:shd w:val="clear" w:color="auto" w:fill="FFFFFF"/>
          <w:lang w:val="en-US" w:eastAsia="es-ES_tradnl"/>
        </w:rPr>
        <w:t>, 1-12.</w:t>
      </w:r>
    </w:p>
    <w:p w:rsidR="00915A46" w:rsidRDefault="00915A46" w:rsidP="00133D30">
      <w:pPr>
        <w:numPr>
          <w:ilvl w:val="0"/>
          <w:numId w:val="37"/>
        </w:numPr>
        <w:suppressAutoHyphens/>
        <w:spacing w:after="0" w:line="240" w:lineRule="auto"/>
        <w:jc w:val="both"/>
        <w:rPr>
          <w:lang w:val="en-US"/>
        </w:rPr>
      </w:pPr>
      <w:r w:rsidRPr="00680E9F">
        <w:rPr>
          <w:lang w:val="es-MX"/>
        </w:rPr>
        <w:t>Alcántara-Hernández,</w:t>
      </w:r>
      <w:r>
        <w:rPr>
          <w:lang w:val="es-MX"/>
        </w:rPr>
        <w:t xml:space="preserve"> </w:t>
      </w:r>
      <w:r w:rsidRPr="00680E9F">
        <w:rPr>
          <w:lang w:val="es-MX"/>
        </w:rPr>
        <w:t>R.J., Tas,</w:t>
      </w:r>
      <w:r>
        <w:rPr>
          <w:lang w:val="es-MX"/>
        </w:rPr>
        <w:t xml:space="preserve"> N.,</w:t>
      </w:r>
      <w:r w:rsidRPr="00680E9F">
        <w:rPr>
          <w:lang w:val="es-MX"/>
        </w:rPr>
        <w:t xml:space="preserve"> Carlos-Pinedo</w:t>
      </w:r>
      <w:r>
        <w:rPr>
          <w:lang w:val="es-MX"/>
        </w:rPr>
        <w:t>, S.</w:t>
      </w:r>
      <w:r w:rsidRPr="00680E9F">
        <w:rPr>
          <w:lang w:val="es-MX"/>
        </w:rPr>
        <w:t>, Dur</w:t>
      </w:r>
      <w:r>
        <w:rPr>
          <w:lang w:val="es-MX"/>
        </w:rPr>
        <w:t>á</w:t>
      </w:r>
      <w:r w:rsidRPr="00680E9F">
        <w:rPr>
          <w:lang w:val="es-MX"/>
        </w:rPr>
        <w:t>n-Moreno</w:t>
      </w:r>
      <w:r>
        <w:rPr>
          <w:lang w:val="es-MX"/>
        </w:rPr>
        <w:t>,</w:t>
      </w:r>
      <w:r w:rsidRPr="00680E9F">
        <w:rPr>
          <w:lang w:val="es-MX"/>
        </w:rPr>
        <w:t xml:space="preserve"> A.</w:t>
      </w:r>
      <w:r>
        <w:rPr>
          <w:lang w:val="es-MX"/>
        </w:rPr>
        <w:t xml:space="preserve">, </w:t>
      </w:r>
      <w:r w:rsidRPr="00680E9F">
        <w:rPr>
          <w:lang w:val="es-MX"/>
        </w:rPr>
        <w:t>Falc</w:t>
      </w:r>
      <w:r>
        <w:rPr>
          <w:lang w:val="es-MX"/>
        </w:rPr>
        <w:t>ó</w:t>
      </w:r>
      <w:r w:rsidRPr="00680E9F">
        <w:rPr>
          <w:lang w:val="es-MX"/>
        </w:rPr>
        <w:t>n</w:t>
      </w:r>
      <w:r>
        <w:rPr>
          <w:lang w:val="es-MX"/>
        </w:rPr>
        <w:t>,</w:t>
      </w:r>
      <w:r w:rsidRPr="00026D79">
        <w:rPr>
          <w:lang w:val="es-MX"/>
        </w:rPr>
        <w:t xml:space="preserve"> </w:t>
      </w:r>
      <w:r w:rsidRPr="00680E9F">
        <w:rPr>
          <w:lang w:val="es-MX"/>
        </w:rPr>
        <w:t>L.I.</w:t>
      </w:r>
      <w:r>
        <w:rPr>
          <w:lang w:val="es-MX"/>
        </w:rPr>
        <w:t xml:space="preserve"> (2017). </w:t>
      </w:r>
      <w:r w:rsidRPr="00026D79">
        <w:rPr>
          <w:lang w:val="en-US"/>
        </w:rPr>
        <w:t xml:space="preserve">Microbial dynamics in anaerobic digestion reactors for treating organic urban residues during the start-up process. </w:t>
      </w:r>
      <w:r w:rsidRPr="00240691">
        <w:rPr>
          <w:i/>
          <w:lang w:val="en-US"/>
        </w:rPr>
        <w:t>Letters in Applied Microbiology</w:t>
      </w:r>
      <w:r w:rsidRPr="00240691">
        <w:rPr>
          <w:lang w:val="en-US"/>
        </w:rPr>
        <w:t>, 64, 438-445.</w:t>
      </w:r>
    </w:p>
    <w:p w:rsidR="00915A46" w:rsidRDefault="00915A46" w:rsidP="00133D30">
      <w:pPr>
        <w:numPr>
          <w:ilvl w:val="0"/>
          <w:numId w:val="37"/>
        </w:numPr>
        <w:suppressAutoHyphens/>
        <w:spacing w:after="0" w:line="240" w:lineRule="auto"/>
        <w:jc w:val="both"/>
        <w:rPr>
          <w:lang w:val="en-US"/>
        </w:rPr>
      </w:pPr>
      <w:r w:rsidRPr="000D55CC">
        <w:rPr>
          <w:lang w:val="en-US"/>
        </w:rPr>
        <w:t xml:space="preserve">De Nardi, R., Marchesini, G., Li, S., Khafipour, E., Plaizier, K. J. C., Gianesella, M., Ricci, R., Andrighetto, I., Segato, S. (2016). Metagenomic analysis of rumen microbial population in dairy heifers fed a high grain diet supplemented with dicarboxylic acids or polyphenols. </w:t>
      </w:r>
      <w:r w:rsidRPr="000D55CC">
        <w:rPr>
          <w:i/>
          <w:lang w:val="en-US"/>
        </w:rPr>
        <w:t>BMC Veterinary Research</w:t>
      </w:r>
      <w:r w:rsidRPr="000D55CC">
        <w:rPr>
          <w:lang w:val="en-US"/>
        </w:rPr>
        <w:t>, 12 (29), 1-9.</w:t>
      </w:r>
    </w:p>
    <w:p w:rsidR="00915A46" w:rsidRDefault="00915A46" w:rsidP="00133D30">
      <w:pPr>
        <w:numPr>
          <w:ilvl w:val="0"/>
          <w:numId w:val="37"/>
        </w:numPr>
        <w:suppressAutoHyphens/>
        <w:spacing w:after="0" w:line="240" w:lineRule="auto"/>
        <w:jc w:val="both"/>
        <w:rPr>
          <w:lang w:val="en-US"/>
        </w:rPr>
      </w:pPr>
      <w:r w:rsidRPr="002F6C1F">
        <w:t>Fernando, S. C.</w:t>
      </w:r>
      <w:r>
        <w:t xml:space="preserve">, </w:t>
      </w:r>
      <w:r w:rsidRPr="002F6C1F">
        <w:t>Purvis</w:t>
      </w:r>
      <w:r>
        <w:t>,</w:t>
      </w:r>
      <w:r w:rsidRPr="002F6C1F">
        <w:t xml:space="preserve"> H. T.</w:t>
      </w:r>
      <w:r>
        <w:t>,</w:t>
      </w:r>
      <w:r w:rsidRPr="002F6C1F">
        <w:t xml:space="preserve"> Najar</w:t>
      </w:r>
      <w:r>
        <w:t xml:space="preserve">, </w:t>
      </w:r>
      <w:r w:rsidRPr="002F6C1F">
        <w:t>F. Z.,</w:t>
      </w:r>
      <w:r>
        <w:t xml:space="preserve"> </w:t>
      </w:r>
      <w:r w:rsidRPr="002F6C1F">
        <w:t>Sukharnikov</w:t>
      </w:r>
      <w:r>
        <w:t>,</w:t>
      </w:r>
      <w:r w:rsidRPr="002F6C1F">
        <w:t xml:space="preserve"> L. O., Krehbiel, C. R.</w:t>
      </w:r>
      <w:r>
        <w:t xml:space="preserve">, </w:t>
      </w:r>
      <w:r w:rsidRPr="002F6C1F">
        <w:t>Nagaraja, T. G.</w:t>
      </w:r>
      <w:r>
        <w:t>,</w:t>
      </w:r>
      <w:r w:rsidRPr="002F6C1F">
        <w:t xml:space="preserve"> Roe, B. A.</w:t>
      </w:r>
      <w:r>
        <w:t>,</w:t>
      </w:r>
      <w:r w:rsidRPr="002F6C1F">
        <w:t xml:space="preserve"> DeSilva</w:t>
      </w:r>
      <w:r>
        <w:t>,</w:t>
      </w:r>
      <w:r w:rsidRPr="002F6C1F">
        <w:t xml:space="preserve"> U.</w:t>
      </w:r>
      <w:r>
        <w:t xml:space="preserve"> (2010). </w:t>
      </w:r>
      <w:r w:rsidRPr="00786C88">
        <w:rPr>
          <w:lang w:val="en-US"/>
        </w:rPr>
        <w:t xml:space="preserve">Rumen Microbial Population Dynamics during Adaptation to a High-Grain Diet. </w:t>
      </w:r>
      <w:r w:rsidRPr="00786C88">
        <w:rPr>
          <w:i/>
          <w:lang w:val="en-US"/>
        </w:rPr>
        <w:t>Applied and Environmental Microbiology</w:t>
      </w:r>
      <w:r w:rsidRPr="00786C88">
        <w:rPr>
          <w:lang w:val="en-US"/>
        </w:rPr>
        <w:t>, 76 (22), 7482-7490.</w:t>
      </w:r>
    </w:p>
    <w:p w:rsidR="00915A46" w:rsidRPr="00786C88" w:rsidRDefault="00915A46" w:rsidP="00133D30">
      <w:pPr>
        <w:numPr>
          <w:ilvl w:val="0"/>
          <w:numId w:val="37"/>
        </w:numPr>
        <w:suppressAutoHyphens/>
        <w:spacing w:after="0" w:line="240" w:lineRule="auto"/>
        <w:jc w:val="both"/>
        <w:rPr>
          <w:lang w:val="en-US"/>
        </w:rPr>
      </w:pPr>
      <w:r w:rsidRPr="00786C88">
        <w:rPr>
          <w:lang w:val="en-US"/>
        </w:rPr>
        <w:lastRenderedPageBreak/>
        <w:t xml:space="preserve">Iqbal, M. W., Zhang, Q., Yang, Y., Zou, C., Li, L., Liang, X., Wei, S., Lin, B. (2018). Ruminal fermentation and microbial community differently influenced by four typical subtropical forages in vitro. </w:t>
      </w:r>
      <w:r w:rsidRPr="00786C88">
        <w:rPr>
          <w:lang w:val="es-ES_tradnl"/>
        </w:rPr>
        <w:t>Animal Nutrition, (4), 100-108.</w:t>
      </w:r>
    </w:p>
    <w:p w:rsidR="004B4415" w:rsidRPr="004B4415" w:rsidRDefault="004B4415" w:rsidP="00B31CE1">
      <w:pPr>
        <w:autoSpaceDE w:val="0"/>
        <w:autoSpaceDN w:val="0"/>
        <w:adjustRightInd w:val="0"/>
        <w:jc w:val="both"/>
        <w:rPr>
          <w:iCs/>
          <w:lang w:val="en-US"/>
        </w:rPr>
      </w:pPr>
    </w:p>
    <w:p w:rsidR="00C1386C" w:rsidRPr="00C1386C" w:rsidRDefault="00C1386C" w:rsidP="00C1386C">
      <w:pPr>
        <w:pStyle w:val="1Titulo"/>
        <w:numPr>
          <w:ilvl w:val="0"/>
          <w:numId w:val="0"/>
        </w:numPr>
        <w:ind w:left="357"/>
        <w:rPr>
          <w:color w:val="000000"/>
          <w:sz w:val="28"/>
          <w:szCs w:val="28"/>
        </w:rPr>
      </w:pPr>
      <w:bookmarkStart w:id="221" w:name="_Toc50031303"/>
      <w:r w:rsidRPr="00C1386C">
        <w:rPr>
          <w:sz w:val="28"/>
          <w:szCs w:val="28"/>
        </w:rPr>
        <w:t>Efecto fertilizante de digestatos en cultivo de pasto Ballico perenne</w:t>
      </w:r>
      <w:bookmarkEnd w:id="221"/>
    </w:p>
    <w:p w:rsidR="00C1386C" w:rsidRDefault="00C1386C" w:rsidP="00C1386C">
      <w:pPr>
        <w:pStyle w:val="Author"/>
        <w:rPr>
          <w:rFonts w:ascii="Arial" w:hAnsi="Arial" w:cs="Arial"/>
          <w:szCs w:val="24"/>
          <w:lang w:val="es-ES"/>
        </w:rPr>
      </w:pPr>
    </w:p>
    <w:p w:rsidR="00C1386C" w:rsidRPr="005A11E4" w:rsidRDefault="00C1386C" w:rsidP="00C1386C">
      <w:pPr>
        <w:pStyle w:val="Author"/>
        <w:rPr>
          <w:rFonts w:ascii="Arial" w:hAnsi="Arial" w:cs="Arial"/>
          <w:szCs w:val="24"/>
          <w:lang w:val="es-ES"/>
        </w:rPr>
      </w:pPr>
      <w:r w:rsidRPr="007C0BE7">
        <w:rPr>
          <w:rFonts w:ascii="Arial" w:hAnsi="Arial" w:cs="Arial"/>
          <w:szCs w:val="24"/>
          <w:u w:val="single"/>
          <w:lang w:val="es-ES"/>
        </w:rPr>
        <w:t>Castro-Ramos, J. J.</w:t>
      </w:r>
      <w:r w:rsidRPr="005A11E4">
        <w:rPr>
          <w:rFonts w:ascii="Arial" w:hAnsi="Arial" w:cs="Arial"/>
          <w:szCs w:val="24"/>
          <w:vertAlign w:val="superscript"/>
          <w:lang w:val="es-ES"/>
        </w:rPr>
        <w:t xml:space="preserve"> 1</w:t>
      </w:r>
      <w:r w:rsidRPr="005A11E4">
        <w:rPr>
          <w:rFonts w:ascii="Arial" w:hAnsi="Arial" w:cs="Arial"/>
          <w:szCs w:val="24"/>
          <w:lang w:val="es-ES"/>
        </w:rPr>
        <w:t xml:space="preserve">, </w:t>
      </w:r>
      <w:r w:rsidRPr="007C0BE7">
        <w:rPr>
          <w:rFonts w:ascii="Arial" w:hAnsi="Arial" w:cs="Arial"/>
          <w:szCs w:val="24"/>
          <w:lang w:val="es-ES"/>
        </w:rPr>
        <w:t>Solís-Oba M.M.</w:t>
      </w:r>
      <w:r w:rsidRPr="005A11E4">
        <w:rPr>
          <w:rFonts w:ascii="Arial" w:hAnsi="Arial" w:cs="Arial"/>
          <w:szCs w:val="24"/>
          <w:vertAlign w:val="superscript"/>
          <w:lang w:val="es-ES"/>
        </w:rPr>
        <w:t>1</w:t>
      </w:r>
      <w:r w:rsidRPr="005A11E4">
        <w:rPr>
          <w:rFonts w:ascii="Arial" w:hAnsi="Arial" w:cs="Arial"/>
          <w:szCs w:val="24"/>
          <w:lang w:val="es-ES"/>
        </w:rPr>
        <w:t xml:space="preserve">, Castro-Rivera R., </w:t>
      </w:r>
      <w:r>
        <w:rPr>
          <w:rFonts w:ascii="Arial" w:hAnsi="Arial" w:cs="Arial"/>
          <w:szCs w:val="24"/>
          <w:lang w:val="es-ES"/>
        </w:rPr>
        <w:t>Osorio-Cortes G.</w:t>
      </w:r>
      <w:r w:rsidRPr="005A11E4">
        <w:rPr>
          <w:rFonts w:ascii="Arial" w:hAnsi="Arial" w:cs="Arial"/>
          <w:szCs w:val="24"/>
          <w:vertAlign w:val="superscript"/>
          <w:lang w:val="es-ES"/>
        </w:rPr>
        <w:t xml:space="preserve"> </w:t>
      </w:r>
      <w:r>
        <w:rPr>
          <w:rFonts w:ascii="Arial" w:hAnsi="Arial" w:cs="Arial"/>
          <w:szCs w:val="24"/>
          <w:vertAlign w:val="superscript"/>
          <w:lang w:val="es-ES"/>
        </w:rPr>
        <w:t>2</w:t>
      </w:r>
      <w:r>
        <w:rPr>
          <w:rFonts w:ascii="Arial" w:hAnsi="Arial" w:cs="Arial"/>
          <w:szCs w:val="24"/>
          <w:lang w:val="es-ES"/>
        </w:rPr>
        <w:t xml:space="preserve">, </w:t>
      </w:r>
      <w:r w:rsidRPr="005A11E4">
        <w:rPr>
          <w:rFonts w:ascii="Arial" w:hAnsi="Arial" w:cs="Arial"/>
          <w:szCs w:val="24"/>
          <w:lang w:val="es-ES"/>
        </w:rPr>
        <w:t>Romero-Rodríguez A.</w:t>
      </w:r>
      <w:r w:rsidRPr="005A11E4">
        <w:rPr>
          <w:rFonts w:ascii="Arial" w:hAnsi="Arial" w:cs="Arial"/>
          <w:szCs w:val="24"/>
          <w:vertAlign w:val="superscript"/>
          <w:lang w:val="es-ES"/>
        </w:rPr>
        <w:t xml:space="preserve"> 1</w:t>
      </w:r>
      <w:r w:rsidRPr="005A11E4">
        <w:rPr>
          <w:rFonts w:ascii="Arial" w:hAnsi="Arial" w:cs="Arial"/>
          <w:szCs w:val="24"/>
          <w:lang w:val="es-ES"/>
        </w:rPr>
        <w:t>, Juárez-Rangel A.</w:t>
      </w:r>
      <w:r w:rsidRPr="005A11E4">
        <w:rPr>
          <w:rFonts w:ascii="Arial" w:hAnsi="Arial" w:cs="Arial"/>
          <w:szCs w:val="24"/>
          <w:vertAlign w:val="superscript"/>
          <w:lang w:val="es-ES"/>
        </w:rPr>
        <w:t xml:space="preserve"> 1</w:t>
      </w:r>
      <w:r w:rsidRPr="005A11E4">
        <w:rPr>
          <w:rFonts w:ascii="Arial" w:hAnsi="Arial" w:cs="Arial"/>
          <w:szCs w:val="24"/>
          <w:lang w:val="es-ES"/>
        </w:rPr>
        <w:t>, Pacheco-Ortiz J.A.</w:t>
      </w:r>
      <w:r w:rsidRPr="005A11E4">
        <w:rPr>
          <w:rFonts w:ascii="Arial" w:hAnsi="Arial" w:cs="Arial"/>
          <w:szCs w:val="24"/>
          <w:vertAlign w:val="superscript"/>
          <w:lang w:val="es-ES"/>
        </w:rPr>
        <w:t xml:space="preserve"> 1</w:t>
      </w:r>
    </w:p>
    <w:p w:rsidR="00C1386C" w:rsidRDefault="00C1386C" w:rsidP="00C1386C">
      <w:pPr>
        <w:pStyle w:val="affiliation"/>
        <w:rPr>
          <w:rFonts w:ascii="Arial" w:hAnsi="Arial" w:cs="Arial"/>
          <w:sz w:val="24"/>
          <w:szCs w:val="24"/>
          <w:vertAlign w:val="superscript"/>
          <w:lang w:val="es-ES"/>
        </w:rPr>
      </w:pPr>
    </w:p>
    <w:p w:rsidR="00C1386C" w:rsidRPr="005A11E4" w:rsidRDefault="00C1386C" w:rsidP="00C1386C">
      <w:pPr>
        <w:pStyle w:val="affiliation"/>
        <w:rPr>
          <w:rFonts w:ascii="Arial" w:hAnsi="Arial" w:cs="Arial"/>
          <w:sz w:val="24"/>
          <w:szCs w:val="24"/>
          <w:vertAlign w:val="superscript"/>
          <w:lang w:val="es-ES"/>
        </w:rPr>
      </w:pPr>
      <w:r w:rsidRPr="005A11E4">
        <w:rPr>
          <w:rFonts w:ascii="Arial" w:hAnsi="Arial" w:cs="Arial"/>
          <w:sz w:val="24"/>
          <w:szCs w:val="24"/>
          <w:vertAlign w:val="superscript"/>
          <w:lang w:val="es-ES"/>
        </w:rPr>
        <w:t>1</w:t>
      </w:r>
      <w:r w:rsidRPr="005A11E4">
        <w:rPr>
          <w:rFonts w:ascii="Arial" w:hAnsi="Arial" w:cs="Arial"/>
          <w:i/>
          <w:sz w:val="24"/>
          <w:szCs w:val="24"/>
          <w:lang w:val="es-ES_tradnl" w:eastAsia="es-ES"/>
        </w:rPr>
        <w:t xml:space="preserve"> </w:t>
      </w:r>
      <w:r w:rsidRPr="005A11E4">
        <w:rPr>
          <w:rFonts w:ascii="Arial" w:hAnsi="Arial" w:cs="Arial"/>
          <w:sz w:val="24"/>
          <w:szCs w:val="24"/>
          <w:lang w:val="es-ES_tradnl" w:eastAsia="es-ES"/>
        </w:rPr>
        <w:t>Instituto Politécnico Nacional, Centro de Investigación en Biotecnología Aplicada, Tepetitla de Lardizábal, Tlaxcala, México, CP 90700</w:t>
      </w:r>
      <w:r w:rsidRPr="005A11E4">
        <w:rPr>
          <w:rFonts w:ascii="Arial" w:hAnsi="Arial" w:cs="Arial"/>
          <w:sz w:val="24"/>
          <w:szCs w:val="24"/>
          <w:lang w:val="es-ES"/>
        </w:rPr>
        <w:t xml:space="preserve">. </w:t>
      </w:r>
    </w:p>
    <w:p w:rsidR="00C1386C" w:rsidRDefault="00C1386C" w:rsidP="00C1386C">
      <w:pPr>
        <w:pStyle w:val="affiliation"/>
        <w:rPr>
          <w:rFonts w:ascii="Arial" w:hAnsi="Arial" w:cs="Arial"/>
          <w:sz w:val="24"/>
          <w:szCs w:val="24"/>
          <w:lang w:val="es-ES"/>
        </w:rPr>
      </w:pPr>
      <w:r w:rsidRPr="005A11E4">
        <w:rPr>
          <w:rFonts w:ascii="Arial" w:hAnsi="Arial" w:cs="Arial"/>
          <w:sz w:val="24"/>
          <w:szCs w:val="24"/>
          <w:vertAlign w:val="superscript"/>
          <w:lang w:val="es-ES"/>
        </w:rPr>
        <w:t>2</w:t>
      </w:r>
      <w:r w:rsidRPr="005A11E4">
        <w:rPr>
          <w:rFonts w:ascii="Arial" w:hAnsi="Arial" w:cs="Arial"/>
          <w:sz w:val="24"/>
          <w:szCs w:val="24"/>
          <w:lang w:val="es-ES"/>
        </w:rPr>
        <w:t xml:space="preserve">Instituto </w:t>
      </w:r>
      <w:r>
        <w:rPr>
          <w:rFonts w:ascii="Arial" w:hAnsi="Arial" w:cs="Arial"/>
          <w:sz w:val="24"/>
          <w:szCs w:val="24"/>
          <w:lang w:val="es-ES"/>
        </w:rPr>
        <w:t xml:space="preserve">Tecnológico Superior de Tlaxco, Tlaxcala, </w:t>
      </w:r>
      <w:r w:rsidRPr="005A11E4">
        <w:rPr>
          <w:rFonts w:ascii="Arial" w:hAnsi="Arial" w:cs="Arial"/>
          <w:sz w:val="24"/>
          <w:szCs w:val="24"/>
          <w:lang w:val="es-ES"/>
        </w:rPr>
        <w:t>México</w:t>
      </w:r>
    </w:p>
    <w:p w:rsidR="00C1386C" w:rsidRPr="005A11E4" w:rsidRDefault="001345E4" w:rsidP="00C1386C">
      <w:pPr>
        <w:pStyle w:val="affiliation"/>
        <w:rPr>
          <w:rFonts w:ascii="Arial" w:hAnsi="Arial" w:cs="Arial"/>
          <w:sz w:val="24"/>
          <w:szCs w:val="24"/>
          <w:lang w:val="es-ES"/>
        </w:rPr>
      </w:pPr>
      <w:hyperlink r:id="rId961" w:history="1">
        <w:r w:rsidR="00C1386C" w:rsidRPr="005A11E4">
          <w:rPr>
            <w:rStyle w:val="Hipervnculo"/>
            <w:rFonts w:ascii="Arial" w:hAnsi="Arial" w:cs="Arial"/>
            <w:sz w:val="24"/>
            <w:szCs w:val="24"/>
            <w:lang w:val="es-ES"/>
          </w:rPr>
          <w:t>jonathan_castro@live.com.mx</w:t>
        </w:r>
      </w:hyperlink>
      <w:r w:rsidR="00C1386C" w:rsidRPr="005A11E4">
        <w:rPr>
          <w:rFonts w:ascii="Arial" w:hAnsi="Arial" w:cs="Arial"/>
          <w:sz w:val="24"/>
          <w:szCs w:val="24"/>
          <w:lang w:val="es-ES"/>
        </w:rPr>
        <w:t xml:space="preserve">, </w:t>
      </w:r>
      <w:hyperlink r:id="rId962" w:history="1">
        <w:r w:rsidR="00C1386C" w:rsidRPr="005A11E4">
          <w:rPr>
            <w:rStyle w:val="Hipervnculo"/>
            <w:rFonts w:ascii="Arial" w:hAnsi="Arial" w:cs="Arial"/>
            <w:sz w:val="24"/>
            <w:szCs w:val="24"/>
            <w:lang w:val="es-ES"/>
          </w:rPr>
          <w:t>myrobatlx@yahoo.com.mx</w:t>
        </w:r>
      </w:hyperlink>
      <w:r w:rsidR="00C1386C" w:rsidRPr="005A11E4">
        <w:rPr>
          <w:rFonts w:ascii="Arial" w:hAnsi="Arial" w:cs="Arial"/>
          <w:sz w:val="24"/>
          <w:szCs w:val="24"/>
          <w:lang w:val="es-ES"/>
        </w:rPr>
        <w:t xml:space="preserve">, LupitaOsorio.9712@hotmail.com, </w:t>
      </w:r>
      <w:hyperlink r:id="rId963" w:history="1">
        <w:r w:rsidR="00C1386C" w:rsidRPr="005A11E4">
          <w:rPr>
            <w:rStyle w:val="Hipervnculo"/>
            <w:rFonts w:ascii="Arial" w:hAnsi="Arial" w:cs="Arial"/>
            <w:sz w:val="24"/>
            <w:szCs w:val="24"/>
            <w:lang w:val="es-ES"/>
          </w:rPr>
          <w:t>angei_raztaromer@hotmail.com</w:t>
        </w:r>
      </w:hyperlink>
      <w:r w:rsidR="00C1386C" w:rsidRPr="005A11E4">
        <w:rPr>
          <w:rFonts w:ascii="Arial" w:hAnsi="Arial" w:cs="Arial"/>
          <w:sz w:val="24"/>
          <w:szCs w:val="24"/>
          <w:lang w:val="es-ES"/>
        </w:rPr>
        <w:t xml:space="preserve">, </w:t>
      </w:r>
      <w:hyperlink r:id="rId964" w:history="1">
        <w:r w:rsidR="00C1386C" w:rsidRPr="005A11E4">
          <w:rPr>
            <w:rStyle w:val="Hipervnculo"/>
            <w:rFonts w:ascii="Arial" w:hAnsi="Arial" w:cs="Arial"/>
            <w:sz w:val="24"/>
            <w:szCs w:val="24"/>
            <w:lang w:val="es-ES"/>
          </w:rPr>
          <w:t>ing.biotec.rangel@outlook.es</w:t>
        </w:r>
      </w:hyperlink>
      <w:r w:rsidR="00C1386C" w:rsidRPr="005A11E4">
        <w:rPr>
          <w:rFonts w:ascii="Arial" w:hAnsi="Arial" w:cs="Arial"/>
          <w:sz w:val="24"/>
          <w:szCs w:val="24"/>
          <w:lang w:val="es-ES"/>
        </w:rPr>
        <w:t>, agustin.pacheco0192@gmail.com</w:t>
      </w:r>
    </w:p>
    <w:p w:rsidR="00C1386C" w:rsidRDefault="00C1386C" w:rsidP="00C1386C">
      <w:pPr>
        <w:pStyle w:val="affiliation"/>
        <w:rPr>
          <w:rFonts w:ascii="Arial" w:eastAsia="Batang" w:hAnsi="Arial" w:cs="Arial"/>
          <w:b/>
          <w:bCs/>
          <w:i/>
          <w:iCs/>
          <w:caps/>
          <w:sz w:val="24"/>
          <w:szCs w:val="24"/>
          <w:lang w:val="es-ES"/>
        </w:rPr>
      </w:pPr>
    </w:p>
    <w:p w:rsidR="00C1386C" w:rsidRPr="00C1386C" w:rsidRDefault="00C1386C" w:rsidP="00C1386C">
      <w:pPr>
        <w:pStyle w:val="Ttulo1"/>
        <w:keepLines w:val="0"/>
        <w:tabs>
          <w:tab w:val="left" w:pos="0"/>
        </w:tabs>
        <w:suppressAutoHyphens/>
        <w:spacing w:before="0" w:after="0" w:line="360" w:lineRule="auto"/>
        <w:rPr>
          <w:rFonts w:ascii="Arial" w:hAnsi="Arial" w:cs="Arial"/>
          <w:i/>
          <w:color w:val="000000"/>
          <w:sz w:val="24"/>
          <w:szCs w:val="24"/>
        </w:rPr>
      </w:pPr>
      <w:bookmarkStart w:id="222" w:name="_Toc50031304"/>
      <w:r w:rsidRPr="00C1386C">
        <w:rPr>
          <w:rFonts w:ascii="Arial" w:hAnsi="Arial" w:cs="Arial"/>
          <w:i/>
          <w:caps/>
          <w:sz w:val="24"/>
          <w:szCs w:val="24"/>
        </w:rPr>
        <w:t>1. R</w:t>
      </w:r>
      <w:r w:rsidRPr="00C1386C">
        <w:rPr>
          <w:rFonts w:ascii="Arial" w:hAnsi="Arial" w:cs="Arial"/>
          <w:i/>
          <w:sz w:val="24"/>
          <w:szCs w:val="24"/>
        </w:rPr>
        <w:t>esumen</w:t>
      </w:r>
      <w:bookmarkEnd w:id="222"/>
      <w:r w:rsidRPr="00C1386C">
        <w:rPr>
          <w:rFonts w:ascii="Arial" w:hAnsi="Arial" w:cs="Arial"/>
          <w:i/>
          <w:caps/>
          <w:sz w:val="24"/>
          <w:szCs w:val="24"/>
        </w:rPr>
        <w:t xml:space="preserve"> </w:t>
      </w:r>
    </w:p>
    <w:p w:rsidR="00C1386C" w:rsidRDefault="00C1386C" w:rsidP="00C1386C">
      <w:pPr>
        <w:ind w:firstLine="567"/>
        <w:jc w:val="both"/>
        <w:rPr>
          <w:rFonts w:ascii="Arial" w:hAnsi="Arial" w:cs="Arial"/>
        </w:rPr>
      </w:pPr>
      <w:r>
        <w:rPr>
          <w:rFonts w:ascii="Arial" w:hAnsi="Arial" w:cs="Arial"/>
        </w:rPr>
        <w:t>La digestión anaeróbica es un proceso mediante el cual se aprovechan los residuos para obtener biogás, que es una fuente alterna de energía y digestato, éste es un subproducto al que se le han atribuido propiedades fertilizantes por su contenido de materia orgánica y fitoreguladores. En este trabajo se hizo la digestión de estiércol de vaca al 7% de sólidos totales, con pH inicial de 5.5 y 7.5, a 37</w:t>
      </w:r>
      <w:r w:rsidRPr="007C0BE7">
        <w:rPr>
          <w:rFonts w:ascii="Arial" w:hAnsi="Arial" w:cs="Arial"/>
          <w:vertAlign w:val="superscript"/>
        </w:rPr>
        <w:t>o</w:t>
      </w:r>
      <w:r>
        <w:rPr>
          <w:rFonts w:ascii="Arial" w:hAnsi="Arial" w:cs="Arial"/>
        </w:rPr>
        <w:t xml:space="preserve">C. Se cuantificó la presencia de ácido índole acético (AIA) y ácido giberélico (AG), posteriormente los digestato obtenidos a 4, 8 y 20 días de digestión se utilizaron para fertilizar pasto Ballico perenne. Hubo un efecto diferenciado en la producción de fitoreguladores, a pH 5.5 fueron en mayor cantidad, mientras que a pH 7.5 no se produjo ácido indol acético.  Al aplicar todos los digestato se obtuvo un incremento tanto en la altura como en la biomasa comparado con el control negativo donde no se fertilizó. Se recomienda llevar a cabo la digestión a pH 5.5 y dejarla durante 20 días, ya que de esa forma se obtiene mayor cantidad de AIA y AG y mejores propiedades fertilizantes. </w:t>
      </w:r>
    </w:p>
    <w:p w:rsidR="00C1386C" w:rsidRDefault="00C1386C" w:rsidP="00C1386C">
      <w:pPr>
        <w:ind w:firstLine="567"/>
        <w:jc w:val="both"/>
        <w:rPr>
          <w:rFonts w:ascii="Arial" w:hAnsi="Arial" w:cs="Arial"/>
        </w:rPr>
      </w:pPr>
    </w:p>
    <w:p w:rsidR="00C1386C" w:rsidRPr="00C1386C" w:rsidRDefault="00C1386C" w:rsidP="00C1386C">
      <w:pPr>
        <w:pStyle w:val="Ttulo1"/>
        <w:keepLines w:val="0"/>
        <w:tabs>
          <w:tab w:val="left" w:pos="0"/>
        </w:tabs>
        <w:suppressAutoHyphens/>
        <w:spacing w:before="0" w:after="0" w:line="360" w:lineRule="auto"/>
        <w:rPr>
          <w:rFonts w:ascii="Arial" w:hAnsi="Arial" w:cs="Arial"/>
          <w:i/>
          <w:caps/>
          <w:sz w:val="24"/>
          <w:szCs w:val="24"/>
        </w:rPr>
      </w:pPr>
      <w:bookmarkStart w:id="223" w:name="_Toc50031305"/>
      <w:r w:rsidRPr="00C1386C">
        <w:rPr>
          <w:rFonts w:ascii="Arial" w:hAnsi="Arial" w:cs="Arial"/>
          <w:i/>
          <w:caps/>
          <w:sz w:val="24"/>
          <w:szCs w:val="24"/>
        </w:rPr>
        <w:t>2. I</w:t>
      </w:r>
      <w:r w:rsidRPr="00C1386C">
        <w:rPr>
          <w:rFonts w:ascii="Arial" w:hAnsi="Arial" w:cs="Arial"/>
          <w:i/>
          <w:sz w:val="24"/>
          <w:szCs w:val="24"/>
        </w:rPr>
        <w:t>ntroducción</w:t>
      </w:r>
      <w:bookmarkEnd w:id="223"/>
      <w:r w:rsidRPr="00C1386C">
        <w:rPr>
          <w:rFonts w:ascii="Arial" w:hAnsi="Arial" w:cs="Arial"/>
          <w:i/>
          <w:caps/>
          <w:sz w:val="24"/>
          <w:szCs w:val="24"/>
        </w:rPr>
        <w:t xml:space="preserve"> </w:t>
      </w:r>
    </w:p>
    <w:p w:rsidR="00C1386C" w:rsidRDefault="00C1386C" w:rsidP="00C1386C">
      <w:pPr>
        <w:jc w:val="both"/>
        <w:rPr>
          <w:rFonts w:ascii="Arial" w:hAnsi="Arial" w:cs="Arial"/>
        </w:rPr>
      </w:pPr>
      <w:r>
        <w:t xml:space="preserve">         </w:t>
      </w:r>
      <w:r w:rsidRPr="009823B2">
        <w:rPr>
          <w:rFonts w:ascii="Arial" w:hAnsi="Arial" w:cs="Arial"/>
        </w:rPr>
        <w:t>La digestión anaeróbica es un proceso bioquímico en el cual diversos microorganismos anaerobios degradan la materia orgánica en ausencia de oxígeno, y cuyo principal producto es el bi</w:t>
      </w:r>
      <w:r>
        <w:rPr>
          <w:rFonts w:ascii="Arial" w:hAnsi="Arial" w:cs="Arial"/>
        </w:rPr>
        <w:t xml:space="preserve">ogás </w:t>
      </w:r>
      <w:r>
        <w:rPr>
          <w:vertAlign w:val="superscript"/>
        </w:rPr>
        <w:t>[1]</w:t>
      </w:r>
      <w:r>
        <w:t xml:space="preserve">. </w:t>
      </w:r>
      <w:r w:rsidRPr="009823B2">
        <w:rPr>
          <w:rFonts w:ascii="Arial" w:hAnsi="Arial" w:cs="Arial"/>
        </w:rPr>
        <w:t xml:space="preserve">Tradicionalmente la digestión anaeróbica ha sido utilizada para el tratamiento de residuos sólidos y aguas residuales, debido a las ventajas que ofrece frente al tratamiento aeróbico;, sin embargo, debido a la necesidad por la generación de energía a partir de fuentes renovables, ha </w:t>
      </w:r>
      <w:r w:rsidRPr="009823B2">
        <w:rPr>
          <w:rFonts w:ascii="Arial" w:hAnsi="Arial" w:cs="Arial"/>
        </w:rPr>
        <w:lastRenderedPageBreak/>
        <w:t>recobrado gran interés por parte de la comunidad científica por la producción d</w:t>
      </w:r>
      <w:r>
        <w:rPr>
          <w:rFonts w:ascii="Arial" w:hAnsi="Arial" w:cs="Arial"/>
        </w:rPr>
        <w:t xml:space="preserve">el biogás </w:t>
      </w:r>
      <w:r>
        <w:rPr>
          <w:vertAlign w:val="superscript"/>
        </w:rPr>
        <w:t>[2]</w:t>
      </w:r>
      <w:r>
        <w:t>.</w:t>
      </w:r>
      <w:r>
        <w:rPr>
          <w:rFonts w:ascii="Arial" w:hAnsi="Arial" w:cs="Arial"/>
        </w:rPr>
        <w:t xml:space="preserve"> Adicionalmente la digestión anaeróbica está siendo ampliamente estudiada dado que el digestato, que es el subproducto de la digestión anaeróbica, se ha utilizado como fertilizante orgánico.</w:t>
      </w:r>
    </w:p>
    <w:p w:rsidR="00C1386C" w:rsidRDefault="00C1386C" w:rsidP="00C1386C">
      <w:pPr>
        <w:ind w:firstLine="708"/>
        <w:jc w:val="both"/>
        <w:rPr>
          <w:rFonts w:ascii="Arial" w:hAnsi="Arial" w:cs="Arial"/>
        </w:rPr>
      </w:pPr>
      <w:r>
        <w:rPr>
          <w:rFonts w:ascii="Arial" w:hAnsi="Arial" w:cs="Arial"/>
        </w:rPr>
        <w:t>En la actualidad ha incrementado el uso de fertilizantes orgánicos debido a que la fertilización química ha ocasionado graves problemas ambientales, como es la erosión y la contaminación de suelo, aire y agua. Entre los fertilizantes orgánicos que mas se han empelado destacan los siguientes:</w:t>
      </w:r>
    </w:p>
    <w:p w:rsidR="00C1386C" w:rsidRDefault="00C1386C" w:rsidP="00C1386C">
      <w:pPr>
        <w:jc w:val="both"/>
        <w:rPr>
          <w:rFonts w:ascii="Arial" w:hAnsi="Arial" w:cs="Arial"/>
        </w:rPr>
      </w:pPr>
      <w:r>
        <w:rPr>
          <w:rFonts w:ascii="Arial" w:hAnsi="Arial" w:cs="Arial"/>
        </w:rPr>
        <w:t xml:space="preserve">        El digestato. Como ya se mencionó, este es el subproducto de la digestión anaeróbica, se obtiene usando como sustratos diversos residuos, tanto de origen animal como vegetal </w:t>
      </w:r>
      <w:r>
        <w:rPr>
          <w:vertAlign w:val="superscript"/>
        </w:rPr>
        <w:t>[3]</w:t>
      </w:r>
      <w:r>
        <w:t>;</w:t>
      </w:r>
      <w:r>
        <w:rPr>
          <w:rFonts w:ascii="Arial" w:hAnsi="Arial" w:cs="Arial"/>
        </w:rPr>
        <w:t xml:space="preserve"> e</w:t>
      </w:r>
      <w:r w:rsidRPr="009823B2">
        <w:rPr>
          <w:rFonts w:ascii="Arial" w:hAnsi="Arial" w:cs="Arial"/>
        </w:rPr>
        <w:t>ste subproducto ha sido descrito ampliamente por sus propiedades como fertilizante en agricultura, atribuyendo su efecto principalmente a la elevada concentración de  macronutrientes (nitrógeno, fósforo y potasio), mientras que algunas investigaciones revelan que además poseen fitorreguladores, mismos que son producidos durante el proceso de digestió</w:t>
      </w:r>
      <w:r>
        <w:rPr>
          <w:rFonts w:ascii="Arial" w:hAnsi="Arial" w:cs="Arial"/>
        </w:rPr>
        <w:t xml:space="preserve">n anaeróbica </w:t>
      </w:r>
      <w:r>
        <w:rPr>
          <w:vertAlign w:val="superscript"/>
        </w:rPr>
        <w:t>[4]</w:t>
      </w:r>
      <w:r>
        <w:t xml:space="preserve">. </w:t>
      </w:r>
      <w:r>
        <w:rPr>
          <w:rFonts w:ascii="Arial" w:hAnsi="Arial" w:cs="Arial"/>
        </w:rPr>
        <w:t xml:space="preserve">Otro producto utilizado en el mismo sentido es la composta, esta se obtiene por la descomposición aeróbica de diversos residuos, usualmente el proceso se lleva a cabo en pilas, manteniendo la humedad y aireación para acelerar el proceso de descomposición </w:t>
      </w:r>
      <w:r>
        <w:rPr>
          <w:vertAlign w:val="superscript"/>
        </w:rPr>
        <w:t>[5]</w:t>
      </w:r>
      <w:r>
        <w:t>.</w:t>
      </w:r>
      <w:r>
        <w:rPr>
          <w:rFonts w:ascii="Arial" w:hAnsi="Arial" w:cs="Arial"/>
        </w:rPr>
        <w:t xml:space="preserve"> Este proceso de descomposición aeróbica también se ha llevado a cabo con la ayuda de la lombriz roja californiana </w:t>
      </w:r>
      <w:r w:rsidRPr="00575CDF">
        <w:rPr>
          <w:rFonts w:ascii="Arial" w:hAnsi="Arial" w:cs="Arial"/>
          <w:i/>
        </w:rPr>
        <w:t>Eisenia faetida</w:t>
      </w:r>
      <w:r>
        <w:rPr>
          <w:rFonts w:ascii="Arial" w:hAnsi="Arial" w:cs="Arial"/>
        </w:rPr>
        <w:t xml:space="preserve">, en este caso las lombrices además de acelerar el proceso de descomposición, llevan a cabo la aireación de manera natural. Estos abonos se han utilizado de manera satisfactoria para incrementar el desarrollo de las plantas y por ende la producción agrícola </w:t>
      </w:r>
      <w:r>
        <w:rPr>
          <w:vertAlign w:val="superscript"/>
        </w:rPr>
        <w:t>[6]</w:t>
      </w:r>
      <w:r>
        <w:t>.</w:t>
      </w:r>
    </w:p>
    <w:p w:rsidR="00C1386C" w:rsidRDefault="00C1386C" w:rsidP="00C1386C">
      <w:pPr>
        <w:ind w:firstLine="708"/>
        <w:jc w:val="both"/>
        <w:rPr>
          <w:rFonts w:ascii="Arial" w:hAnsi="Arial" w:cs="Arial"/>
        </w:rPr>
      </w:pPr>
      <w:r w:rsidRPr="009823B2">
        <w:rPr>
          <w:rFonts w:ascii="Arial" w:hAnsi="Arial" w:cs="Arial"/>
        </w:rPr>
        <w:t>Los fitorreguladores son compuestos que regulan los procesos fisiológicos de las plantas a lo largo de su desarrollo. Estas moléculas actúan donde son sintetizadas o se transportan a otros sitios de la planta, provocando respuestas bioquímicas, fisiologías o morfo</w:t>
      </w:r>
      <w:r>
        <w:rPr>
          <w:rFonts w:ascii="Arial" w:hAnsi="Arial" w:cs="Arial"/>
        </w:rPr>
        <w:t xml:space="preserve">lógicas </w:t>
      </w:r>
      <w:r>
        <w:rPr>
          <w:vertAlign w:val="superscript"/>
        </w:rPr>
        <w:t>[7]</w:t>
      </w:r>
      <w:r>
        <w:t xml:space="preserve">. </w:t>
      </w:r>
      <w:r w:rsidRPr="009823B2">
        <w:rPr>
          <w:rFonts w:ascii="Arial" w:hAnsi="Arial" w:cs="Arial"/>
        </w:rPr>
        <w:t>Los principales grupos de fitorreguladores son las auxinas, giberelinas, citoquininas e inhibidores, de donde el ácido giberélico (GA3), ácido indolacético (IAA) y ácido abscísico (ABA) son los principales representantes de las giberelinas, auxinas e inhibidores res</w:t>
      </w:r>
      <w:r>
        <w:rPr>
          <w:rFonts w:ascii="Arial" w:hAnsi="Arial" w:cs="Arial"/>
        </w:rPr>
        <w:t xml:space="preserve">pectivamente </w:t>
      </w:r>
      <w:r>
        <w:rPr>
          <w:vertAlign w:val="superscript"/>
        </w:rPr>
        <w:t>[8]</w:t>
      </w:r>
      <w:r>
        <w:t xml:space="preserve">. </w:t>
      </w:r>
      <w:r w:rsidRPr="009823B2">
        <w:rPr>
          <w:rFonts w:ascii="Arial" w:hAnsi="Arial" w:cs="Arial"/>
        </w:rPr>
        <w:t>Entre los fitorreguladores producidos durante la digestión anaeróbica encontrados en la fracción liqu</w:t>
      </w:r>
      <w:r>
        <w:rPr>
          <w:rFonts w:ascii="Arial" w:hAnsi="Arial" w:cs="Arial"/>
        </w:rPr>
        <w:t>ida del digestato están</w:t>
      </w:r>
      <w:r w:rsidRPr="009823B2">
        <w:rPr>
          <w:rFonts w:ascii="Arial" w:hAnsi="Arial" w:cs="Arial"/>
        </w:rPr>
        <w:t xml:space="preserve"> el GA</w:t>
      </w:r>
      <w:r>
        <w:rPr>
          <w:rFonts w:ascii="Arial" w:hAnsi="Arial" w:cs="Arial"/>
        </w:rPr>
        <w:t xml:space="preserve">3, IAA y ABA </w:t>
      </w:r>
      <w:r>
        <w:rPr>
          <w:vertAlign w:val="superscript"/>
        </w:rPr>
        <w:t>[4]</w:t>
      </w:r>
      <w:r>
        <w:t>.</w:t>
      </w:r>
    </w:p>
    <w:p w:rsidR="00C1386C" w:rsidRDefault="00C1386C" w:rsidP="00C1386C">
      <w:pPr>
        <w:ind w:firstLine="708"/>
        <w:jc w:val="both"/>
        <w:rPr>
          <w:rFonts w:ascii="Arial" w:hAnsi="Arial" w:cs="Arial"/>
        </w:rPr>
      </w:pPr>
      <w:r w:rsidRPr="009823B2">
        <w:rPr>
          <w:rFonts w:ascii="Arial" w:hAnsi="Arial" w:cs="Arial"/>
        </w:rPr>
        <w:t>Los fitorreguladores presentan diversas aplicac</w:t>
      </w:r>
      <w:r>
        <w:rPr>
          <w:rFonts w:ascii="Arial" w:hAnsi="Arial" w:cs="Arial"/>
        </w:rPr>
        <w:t xml:space="preserve">iones en la agricultura siendo </w:t>
      </w:r>
      <w:r w:rsidRPr="009823B2">
        <w:rPr>
          <w:rFonts w:ascii="Arial" w:hAnsi="Arial" w:cs="Arial"/>
        </w:rPr>
        <w:t>a menudo utilizados como una herramienta de manejo en cultivos tecnificados. Su utilización permite promover o reprimir eventos fisiológicos específicos en las plantas a fin de lograr el efecto deseado. Las giberelinas se utilizan para promover el inicio de la floración, desarrollo de frutos, aumentar los rendimientos en el cultivo de caña, en la regeneración de cultivos de plantas in vitro, así como en la germinación y malteado de la cebada, mientras que las citoquininas se aplican para la propagación y regeneración de tejidos de plantas y en el control de la senescencia. Por su parte, las auxinas sintéticas se usan para frenar el brote de yemas de tubérculos de papa, para destruir hierbvas de hoja ancha, para obtener frutos sin semillas, así como para prevenir la caída prematura de fruto</w:t>
      </w:r>
      <w:r>
        <w:rPr>
          <w:rFonts w:ascii="Arial" w:hAnsi="Arial" w:cs="Arial"/>
        </w:rPr>
        <w:t xml:space="preserve">s y pétalos de flores </w:t>
      </w:r>
      <w:r>
        <w:rPr>
          <w:vertAlign w:val="superscript"/>
        </w:rPr>
        <w:t>[9]</w:t>
      </w:r>
      <w:r>
        <w:t>.</w:t>
      </w:r>
    </w:p>
    <w:p w:rsidR="00C1386C" w:rsidRPr="009823B2" w:rsidRDefault="00C1386C" w:rsidP="00C1386C">
      <w:pPr>
        <w:ind w:firstLine="708"/>
        <w:jc w:val="both"/>
        <w:rPr>
          <w:rFonts w:ascii="Arial" w:hAnsi="Arial" w:cs="Arial"/>
        </w:rPr>
      </w:pPr>
      <w:r>
        <w:rPr>
          <w:rFonts w:ascii="Arial" w:hAnsi="Arial" w:cs="Arial"/>
        </w:rPr>
        <w:t>Por otro lado, e</w:t>
      </w:r>
      <w:r w:rsidRPr="00915E53">
        <w:rPr>
          <w:rFonts w:ascii="Arial" w:hAnsi="Arial" w:cs="Arial"/>
        </w:rPr>
        <w:t xml:space="preserve">l </w:t>
      </w:r>
      <w:r w:rsidRPr="002C556E">
        <w:rPr>
          <w:rFonts w:ascii="Arial" w:hAnsi="Arial" w:cs="Arial"/>
        </w:rPr>
        <w:t xml:space="preserve">Ballico </w:t>
      </w:r>
      <w:r w:rsidRPr="00915E53">
        <w:rPr>
          <w:rFonts w:ascii="Arial" w:hAnsi="Arial" w:cs="Arial"/>
        </w:rPr>
        <w:t xml:space="preserve">perenne </w:t>
      </w:r>
      <w:r w:rsidRPr="0E1EFABF">
        <w:rPr>
          <w:rFonts w:ascii="Arial" w:hAnsi="Arial" w:cs="Arial"/>
        </w:rPr>
        <w:t>Ballico perenne (</w:t>
      </w:r>
      <w:r>
        <w:rPr>
          <w:rFonts w:ascii="Arial" w:hAnsi="Arial" w:cs="Arial"/>
          <w:i/>
          <w:iCs/>
        </w:rPr>
        <w:t>Lolium p</w:t>
      </w:r>
      <w:r w:rsidRPr="0E1EFABF">
        <w:rPr>
          <w:rFonts w:ascii="Arial" w:hAnsi="Arial" w:cs="Arial"/>
          <w:i/>
          <w:iCs/>
        </w:rPr>
        <w:t>erenn</w:t>
      </w:r>
      <w:r w:rsidRPr="0E1EFABF">
        <w:rPr>
          <w:rFonts w:ascii="Arial" w:hAnsi="Arial" w:cs="Arial"/>
        </w:rPr>
        <w:t>e</w:t>
      </w:r>
      <w:r>
        <w:rPr>
          <w:rFonts w:ascii="Arial" w:hAnsi="Arial" w:cs="Arial"/>
        </w:rPr>
        <w:t xml:space="preserve"> L.</w:t>
      </w:r>
      <w:r w:rsidRPr="0E1EFABF">
        <w:rPr>
          <w:rFonts w:ascii="Arial" w:hAnsi="Arial" w:cs="Arial"/>
        </w:rPr>
        <w:t>) es de l</w:t>
      </w:r>
      <w:r>
        <w:rPr>
          <w:rFonts w:ascii="Arial" w:hAnsi="Arial" w:cs="Arial"/>
        </w:rPr>
        <w:t xml:space="preserve">as gramíneas </w:t>
      </w:r>
      <w:r w:rsidRPr="0E1EFABF">
        <w:rPr>
          <w:rFonts w:ascii="Arial" w:hAnsi="Arial" w:cs="Arial"/>
        </w:rPr>
        <w:t xml:space="preserve">más utilizados para la producción pecuaria en las zonas templadas de México, debido a sus altos rendimientos, calidad nutritiva y facilidad para crecer en diferentes </w:t>
      </w:r>
      <w:r>
        <w:rPr>
          <w:rFonts w:ascii="Arial" w:hAnsi="Arial" w:cs="Arial"/>
        </w:rPr>
        <w:t xml:space="preserve">tipos de suelo </w:t>
      </w:r>
      <w:r>
        <w:rPr>
          <w:vertAlign w:val="superscript"/>
        </w:rPr>
        <w:t>[10]</w:t>
      </w:r>
      <w:r>
        <w:t>;</w:t>
      </w:r>
      <w:r>
        <w:rPr>
          <w:rFonts w:ascii="Arial" w:hAnsi="Arial" w:cs="Arial"/>
        </w:rPr>
        <w:t xml:space="preserve"> </w:t>
      </w:r>
      <w:r w:rsidRPr="00915E53">
        <w:rPr>
          <w:rFonts w:ascii="Arial" w:hAnsi="Arial" w:cs="Arial"/>
        </w:rPr>
        <w:t xml:space="preserve">se cultiva </w:t>
      </w:r>
      <w:r w:rsidRPr="00915E53">
        <w:rPr>
          <w:rFonts w:ascii="Arial" w:hAnsi="Arial" w:cs="Arial"/>
        </w:rPr>
        <w:lastRenderedPageBreak/>
        <w:t>extensamente en gran parte del mundo como forraje o pasto</w:t>
      </w:r>
      <w:r>
        <w:rPr>
          <w:rFonts w:ascii="Arial" w:hAnsi="Arial" w:cs="Arial"/>
        </w:rPr>
        <w:t>, c</w:t>
      </w:r>
      <w:r w:rsidRPr="00915E53">
        <w:rPr>
          <w:rFonts w:ascii="Arial" w:hAnsi="Arial" w:cs="Arial"/>
        </w:rPr>
        <w:t>uando se siembra a altas densidades</w:t>
      </w:r>
      <w:r>
        <w:rPr>
          <w:rFonts w:ascii="Arial" w:hAnsi="Arial" w:cs="Arial"/>
        </w:rPr>
        <w:t xml:space="preserve"> (mayor a 75 kg semillas/ha)</w:t>
      </w:r>
      <w:r w:rsidRPr="00915E53">
        <w:rPr>
          <w:rFonts w:ascii="Arial" w:hAnsi="Arial" w:cs="Arial"/>
        </w:rPr>
        <w:t>, el Ballico perenne puede reducir el crecimiento de la vegetación circundante</w:t>
      </w:r>
      <w:r>
        <w:rPr>
          <w:rFonts w:ascii="Arial" w:hAnsi="Arial" w:cs="Arial"/>
        </w:rPr>
        <w:t xml:space="preserve">. </w:t>
      </w:r>
      <w:r w:rsidRPr="00915E53">
        <w:rPr>
          <w:rFonts w:ascii="Arial" w:hAnsi="Arial" w:cs="Arial"/>
        </w:rPr>
        <w:t>Las raíces de Ballico perenne atan el suelo, disminuyendo así la erosión, sin embargo, ésta especie disminuye la humedad del suelo y la disponibilidad de nutrientes. Es una especie altamente productiva, que puede llegar a 18-20 t ha</w:t>
      </w:r>
      <w:r w:rsidRPr="00915E53">
        <w:rPr>
          <w:rFonts w:ascii="Arial" w:hAnsi="Arial" w:cs="Arial"/>
          <w:vertAlign w:val="superscript"/>
        </w:rPr>
        <w:t>-1</w:t>
      </w:r>
      <w:r w:rsidRPr="00915E53">
        <w:rPr>
          <w:rFonts w:ascii="Arial" w:hAnsi="Arial" w:cs="Arial"/>
        </w:rPr>
        <w:t xml:space="preserve"> año</w:t>
      </w:r>
      <w:r w:rsidRPr="00915E53">
        <w:rPr>
          <w:rFonts w:ascii="Arial" w:hAnsi="Arial" w:cs="Arial"/>
          <w:vertAlign w:val="superscript"/>
        </w:rPr>
        <w:t>-1</w:t>
      </w:r>
      <w:r w:rsidRPr="00915E53">
        <w:rPr>
          <w:rFonts w:ascii="Arial" w:hAnsi="Arial" w:cs="Arial"/>
        </w:rPr>
        <w:t xml:space="preserve"> de MS bajo condiciones de manejo y ambientes ideales. En condiciones de trópico y sub-trópico se puede obtener producciones de biomasa superiores a 25 t </w:t>
      </w:r>
      <w:r>
        <w:rPr>
          <w:rFonts w:ascii="Arial" w:hAnsi="Arial" w:cs="Arial"/>
        </w:rPr>
        <w:t xml:space="preserve">MS </w:t>
      </w:r>
      <w:r w:rsidRPr="00915E53">
        <w:rPr>
          <w:rFonts w:ascii="Arial" w:hAnsi="Arial" w:cs="Arial"/>
        </w:rPr>
        <w:t>ha</w:t>
      </w:r>
      <w:r w:rsidRPr="00915E53">
        <w:rPr>
          <w:rFonts w:ascii="Arial" w:hAnsi="Arial" w:cs="Arial"/>
          <w:vertAlign w:val="superscript"/>
        </w:rPr>
        <w:t>-1</w:t>
      </w:r>
      <w:r w:rsidRPr="00915E53">
        <w:rPr>
          <w:rFonts w:ascii="Arial" w:hAnsi="Arial" w:cs="Arial"/>
        </w:rPr>
        <w:t xml:space="preserve"> año</w:t>
      </w:r>
      <w:r w:rsidRPr="00915E53">
        <w:rPr>
          <w:rFonts w:ascii="Arial" w:hAnsi="Arial" w:cs="Arial"/>
          <w:vertAlign w:val="superscript"/>
        </w:rPr>
        <w:t>-</w:t>
      </w:r>
      <w:r>
        <w:rPr>
          <w:rFonts w:ascii="Arial" w:hAnsi="Arial" w:cs="Arial"/>
          <w:vertAlign w:val="superscript"/>
        </w:rPr>
        <w:t xml:space="preserve">1 </w:t>
      </w:r>
      <w:r>
        <w:rPr>
          <w:vertAlign w:val="superscript"/>
        </w:rPr>
        <w:t>[11]</w:t>
      </w:r>
      <w:r>
        <w:t>.</w:t>
      </w:r>
    </w:p>
    <w:p w:rsidR="00C1386C" w:rsidRPr="00746A45" w:rsidRDefault="00C1386C" w:rsidP="00C1386C">
      <w:pPr>
        <w:jc w:val="both"/>
        <w:rPr>
          <w:rFonts w:ascii="Arial" w:hAnsi="Arial" w:cs="Arial"/>
          <w:b/>
          <w:color w:val="000000"/>
        </w:rPr>
      </w:pPr>
    </w:p>
    <w:p w:rsidR="00C1386C" w:rsidRPr="00C1386C" w:rsidRDefault="00C1386C" w:rsidP="00C1386C">
      <w:pPr>
        <w:pStyle w:val="Ttulo1"/>
        <w:spacing w:line="360" w:lineRule="auto"/>
        <w:rPr>
          <w:rFonts w:ascii="Arial" w:hAnsi="Arial" w:cs="Arial"/>
          <w:i/>
          <w:sz w:val="24"/>
          <w:szCs w:val="24"/>
        </w:rPr>
      </w:pPr>
      <w:bookmarkStart w:id="224" w:name="_Toc50031306"/>
      <w:r w:rsidRPr="00C1386C">
        <w:rPr>
          <w:rFonts w:ascii="Arial" w:hAnsi="Arial" w:cs="Arial"/>
          <w:i/>
          <w:caps/>
          <w:sz w:val="24"/>
          <w:szCs w:val="24"/>
        </w:rPr>
        <w:t>3. C</w:t>
      </w:r>
      <w:r w:rsidRPr="00C1386C">
        <w:rPr>
          <w:rFonts w:ascii="Arial" w:hAnsi="Arial" w:cs="Arial"/>
          <w:i/>
          <w:sz w:val="24"/>
          <w:szCs w:val="24"/>
        </w:rPr>
        <w:t>ondiciones experimentales</w:t>
      </w:r>
      <w:bookmarkEnd w:id="224"/>
    </w:p>
    <w:p w:rsidR="00C1386C" w:rsidRPr="00B75C7D" w:rsidRDefault="00C1386C" w:rsidP="00C1386C">
      <w:pPr>
        <w:pStyle w:val="Textoindependiente"/>
        <w:rPr>
          <w:rFonts w:ascii="Arial" w:hAnsi="Arial" w:cs="Arial"/>
          <w:b w:val="0"/>
          <w:i/>
          <w:sz w:val="24"/>
        </w:rPr>
      </w:pPr>
      <w:r w:rsidRPr="00B75C7D">
        <w:rPr>
          <w:rFonts w:ascii="Arial" w:hAnsi="Arial" w:cs="Arial"/>
          <w:b w:val="0"/>
          <w:i/>
          <w:sz w:val="24"/>
        </w:rPr>
        <w:t>3.1 Materiales</w:t>
      </w:r>
    </w:p>
    <w:p w:rsidR="00C1386C" w:rsidRDefault="00C1386C" w:rsidP="00C1386C">
      <w:pPr>
        <w:pStyle w:val="Textoindependiente"/>
        <w:ind w:firstLine="708"/>
        <w:jc w:val="both"/>
        <w:rPr>
          <w:rFonts w:ascii="Arial" w:hAnsi="Arial" w:cs="Arial"/>
          <w:b w:val="0"/>
          <w:sz w:val="24"/>
        </w:rPr>
      </w:pPr>
      <w:r w:rsidRPr="00B75C7D">
        <w:rPr>
          <w:rFonts w:ascii="Arial" w:hAnsi="Arial" w:cs="Arial"/>
          <w:b w:val="0"/>
          <w:sz w:val="24"/>
        </w:rPr>
        <w:t>El estiércol de vaca fue donado por el Instituto Tecnoló</w:t>
      </w:r>
      <w:r>
        <w:rPr>
          <w:rFonts w:ascii="Arial" w:hAnsi="Arial" w:cs="Arial"/>
          <w:b w:val="0"/>
          <w:sz w:val="24"/>
        </w:rPr>
        <w:t>gico del Altiplano de Tlaxcala.</w:t>
      </w:r>
    </w:p>
    <w:p w:rsidR="00C1386C" w:rsidRDefault="00C1386C" w:rsidP="00C1386C">
      <w:pPr>
        <w:pStyle w:val="Textoindependiente"/>
        <w:jc w:val="both"/>
        <w:rPr>
          <w:rFonts w:ascii="Arial" w:hAnsi="Arial" w:cs="Arial"/>
          <w:b w:val="0"/>
          <w:i/>
          <w:sz w:val="24"/>
        </w:rPr>
      </w:pPr>
    </w:p>
    <w:p w:rsidR="00C1386C" w:rsidRDefault="00C1386C" w:rsidP="00C1386C">
      <w:pPr>
        <w:pStyle w:val="Textoindependiente"/>
        <w:jc w:val="both"/>
        <w:rPr>
          <w:rFonts w:ascii="Arial" w:hAnsi="Arial" w:cs="Arial"/>
          <w:b w:val="0"/>
          <w:sz w:val="24"/>
        </w:rPr>
      </w:pPr>
      <w:r w:rsidRPr="00B75C7D">
        <w:rPr>
          <w:rFonts w:ascii="Arial" w:hAnsi="Arial" w:cs="Arial"/>
          <w:b w:val="0"/>
          <w:i/>
          <w:sz w:val="24"/>
        </w:rPr>
        <w:t>3.2 Digestiones anaeróbicas.</w:t>
      </w:r>
      <w:r w:rsidRPr="00B75C7D">
        <w:rPr>
          <w:rFonts w:ascii="Arial" w:hAnsi="Arial" w:cs="Arial"/>
          <w:b w:val="0"/>
          <w:sz w:val="24"/>
        </w:rPr>
        <w:t xml:space="preserve"> </w:t>
      </w:r>
    </w:p>
    <w:p w:rsidR="00C1386C" w:rsidRDefault="00C1386C" w:rsidP="00C1386C">
      <w:pPr>
        <w:pStyle w:val="Textoindependiente"/>
        <w:ind w:firstLine="708"/>
        <w:jc w:val="both"/>
        <w:rPr>
          <w:rFonts w:ascii="Arial" w:hAnsi="Arial" w:cs="Arial"/>
          <w:b w:val="0"/>
          <w:sz w:val="24"/>
        </w:rPr>
      </w:pPr>
      <w:r>
        <w:rPr>
          <w:rFonts w:ascii="Arial" w:hAnsi="Arial" w:cs="Arial"/>
          <w:b w:val="0"/>
          <w:sz w:val="24"/>
        </w:rPr>
        <w:t xml:space="preserve">Las digestiones se llevaron a cabo en </w:t>
      </w:r>
      <w:r w:rsidRPr="00B75C7D">
        <w:rPr>
          <w:rFonts w:ascii="Arial" w:hAnsi="Arial" w:cs="Arial"/>
          <w:b w:val="0"/>
          <w:sz w:val="24"/>
        </w:rPr>
        <w:t>botellas serológica</w:t>
      </w:r>
      <w:r>
        <w:rPr>
          <w:rFonts w:ascii="Arial" w:hAnsi="Arial" w:cs="Arial"/>
          <w:b w:val="0"/>
          <w:sz w:val="24"/>
        </w:rPr>
        <w:t>s de 135 ml, ajustando a</w:t>
      </w:r>
      <w:r w:rsidRPr="00B75C7D">
        <w:rPr>
          <w:rFonts w:ascii="Arial" w:hAnsi="Arial" w:cs="Arial"/>
          <w:b w:val="0"/>
          <w:sz w:val="24"/>
        </w:rPr>
        <w:t xml:space="preserve"> 7% de sólidos y pH i</w:t>
      </w:r>
      <w:r>
        <w:rPr>
          <w:rFonts w:ascii="Arial" w:hAnsi="Arial" w:cs="Arial"/>
          <w:b w:val="0"/>
          <w:sz w:val="24"/>
        </w:rPr>
        <w:t>nicial de 5.5 y 7.5,</w:t>
      </w:r>
      <w:r w:rsidRPr="00B75C7D">
        <w:rPr>
          <w:rFonts w:ascii="Arial" w:hAnsi="Arial" w:cs="Arial"/>
          <w:b w:val="0"/>
          <w:sz w:val="24"/>
        </w:rPr>
        <w:t xml:space="preserve"> se mantuvieron en incuba</w:t>
      </w:r>
      <w:r>
        <w:rPr>
          <w:rFonts w:ascii="Arial" w:hAnsi="Arial" w:cs="Arial"/>
          <w:b w:val="0"/>
          <w:sz w:val="24"/>
        </w:rPr>
        <w:t>ción a 37</w:t>
      </w:r>
      <w:r w:rsidRPr="007C0BE7">
        <w:rPr>
          <w:rFonts w:ascii="Arial" w:hAnsi="Arial" w:cs="Arial"/>
          <w:b w:val="0"/>
          <w:sz w:val="24"/>
          <w:vertAlign w:val="superscript"/>
        </w:rPr>
        <w:t>o</w:t>
      </w:r>
      <w:r>
        <w:rPr>
          <w:rFonts w:ascii="Arial" w:hAnsi="Arial" w:cs="Arial"/>
          <w:b w:val="0"/>
          <w:sz w:val="24"/>
        </w:rPr>
        <w:t xml:space="preserve">C. A los 4, 8, 12, 16 </w:t>
      </w:r>
      <w:r w:rsidRPr="00B75C7D">
        <w:rPr>
          <w:rFonts w:ascii="Arial" w:hAnsi="Arial" w:cs="Arial"/>
          <w:b w:val="0"/>
          <w:sz w:val="24"/>
        </w:rPr>
        <w:t xml:space="preserve">y 20 días se </w:t>
      </w:r>
      <w:r>
        <w:rPr>
          <w:rFonts w:ascii="Arial" w:hAnsi="Arial" w:cs="Arial"/>
          <w:b w:val="0"/>
          <w:sz w:val="24"/>
        </w:rPr>
        <w:t xml:space="preserve">tomaron 3 botellas de cada tratamiento y se </w:t>
      </w:r>
      <w:r w:rsidRPr="00B75C7D">
        <w:rPr>
          <w:rFonts w:ascii="Arial" w:hAnsi="Arial" w:cs="Arial"/>
          <w:b w:val="0"/>
          <w:sz w:val="24"/>
        </w:rPr>
        <w:t xml:space="preserve">midió el pH, ácido índole-3 acético (AIA) y ácido giberélico (AG3) </w:t>
      </w:r>
      <w:r>
        <w:rPr>
          <w:rFonts w:ascii="Arial" w:hAnsi="Arial" w:cs="Arial"/>
          <w:b w:val="0"/>
          <w:sz w:val="24"/>
        </w:rPr>
        <w:t>como se indica:</w:t>
      </w:r>
    </w:p>
    <w:p w:rsidR="00C1386C" w:rsidRDefault="00C1386C" w:rsidP="00C1386C">
      <w:pPr>
        <w:pStyle w:val="Textoindependiente"/>
        <w:jc w:val="both"/>
        <w:rPr>
          <w:rFonts w:ascii="Arial" w:hAnsi="Arial" w:cs="Arial"/>
          <w:b w:val="0"/>
          <w:sz w:val="24"/>
        </w:rPr>
      </w:pPr>
    </w:p>
    <w:p w:rsidR="00C1386C" w:rsidRPr="008546A1" w:rsidRDefault="00C1386C" w:rsidP="00C1386C">
      <w:pPr>
        <w:pStyle w:val="Textoindependiente"/>
        <w:jc w:val="both"/>
        <w:rPr>
          <w:rFonts w:ascii="Arial" w:hAnsi="Arial" w:cs="Arial"/>
          <w:b w:val="0"/>
          <w:i/>
          <w:sz w:val="24"/>
        </w:rPr>
      </w:pPr>
      <w:r w:rsidRPr="008546A1">
        <w:rPr>
          <w:rFonts w:ascii="Arial" w:hAnsi="Arial" w:cs="Arial"/>
          <w:b w:val="0"/>
          <w:i/>
          <w:sz w:val="24"/>
        </w:rPr>
        <w:t>3.3 Cuantificación de fitorreguladores</w:t>
      </w:r>
    </w:p>
    <w:p w:rsidR="00C1386C" w:rsidRPr="00B75C7D" w:rsidRDefault="00C1386C" w:rsidP="00C1386C">
      <w:pPr>
        <w:pStyle w:val="Textoindependiente"/>
        <w:ind w:firstLine="708"/>
        <w:jc w:val="both"/>
        <w:rPr>
          <w:rFonts w:ascii="Arial" w:hAnsi="Arial" w:cs="Arial"/>
          <w:b w:val="0"/>
          <w:sz w:val="24"/>
        </w:rPr>
      </w:pPr>
      <w:r>
        <w:rPr>
          <w:rFonts w:ascii="Arial" w:hAnsi="Arial" w:cs="Arial"/>
          <w:b w:val="0"/>
          <w:sz w:val="24"/>
        </w:rPr>
        <w:t xml:space="preserve">A las muestras de digestato se les centrifugó a 3000 rpm durante 5 min, el sobrenadante se ajustó a pH </w:t>
      </w:r>
      <w:r w:rsidRPr="008546A1">
        <w:rPr>
          <w:rFonts w:ascii="Arial" w:hAnsi="Arial" w:cs="Arial"/>
          <w:b w:val="0"/>
          <w:sz w:val="24"/>
        </w:rPr>
        <w:t xml:space="preserve">9 con NaOH 10 N y se </w:t>
      </w:r>
      <w:r>
        <w:rPr>
          <w:rFonts w:ascii="Arial" w:hAnsi="Arial" w:cs="Arial"/>
          <w:b w:val="0"/>
          <w:sz w:val="24"/>
        </w:rPr>
        <w:t xml:space="preserve">extrajo </w:t>
      </w:r>
      <w:r w:rsidRPr="008546A1">
        <w:rPr>
          <w:rFonts w:ascii="Arial" w:hAnsi="Arial" w:cs="Arial"/>
          <w:b w:val="0"/>
          <w:sz w:val="24"/>
        </w:rPr>
        <w:t xml:space="preserve">con acetato de etilo en una proporción </w:t>
      </w:r>
      <w:r>
        <w:rPr>
          <w:rFonts w:ascii="Arial" w:hAnsi="Arial" w:cs="Arial"/>
          <w:b w:val="0"/>
          <w:sz w:val="24"/>
        </w:rPr>
        <w:t>1:1, se descartó la fase orgánica. La fase acuosa se ajustó a pH a 1.5 con HCl y se extrajo</w:t>
      </w:r>
      <w:r w:rsidRPr="008546A1">
        <w:rPr>
          <w:rFonts w:ascii="Arial" w:hAnsi="Arial" w:cs="Arial"/>
          <w:b w:val="0"/>
          <w:sz w:val="24"/>
        </w:rPr>
        <w:t xml:space="preserve"> nuevamente con acetato de etilo en una proporción 1:1. </w:t>
      </w:r>
      <w:r>
        <w:rPr>
          <w:rFonts w:ascii="Arial" w:hAnsi="Arial" w:cs="Arial"/>
          <w:b w:val="0"/>
          <w:sz w:val="24"/>
        </w:rPr>
        <w:t>La fase orgánica</w:t>
      </w:r>
      <w:r w:rsidRPr="008546A1">
        <w:rPr>
          <w:rFonts w:ascii="Arial" w:hAnsi="Arial" w:cs="Arial"/>
          <w:b w:val="0"/>
          <w:sz w:val="24"/>
        </w:rPr>
        <w:t xml:space="preserve"> se </w:t>
      </w:r>
      <w:r>
        <w:rPr>
          <w:rFonts w:ascii="Arial" w:hAnsi="Arial" w:cs="Arial"/>
          <w:b w:val="0"/>
          <w:sz w:val="24"/>
        </w:rPr>
        <w:t xml:space="preserve">dejó evaporar a </w:t>
      </w:r>
      <w:r w:rsidRPr="008546A1">
        <w:rPr>
          <w:rFonts w:ascii="Arial" w:hAnsi="Arial" w:cs="Arial"/>
          <w:b w:val="0"/>
          <w:sz w:val="24"/>
        </w:rPr>
        <w:t xml:space="preserve">temperatura ambiente y el extracto se resuspendió en una mezcla de agua-metanol (1:1) con 0.2 % de ácido acético, finalmente se filtró con </w:t>
      </w:r>
      <w:r>
        <w:rPr>
          <w:rFonts w:ascii="Arial" w:hAnsi="Arial" w:cs="Arial"/>
          <w:b w:val="0"/>
          <w:sz w:val="24"/>
        </w:rPr>
        <w:t>una membrana de nylon de 0.22 micras</w:t>
      </w:r>
      <w:r w:rsidRPr="008546A1">
        <w:rPr>
          <w:rFonts w:ascii="Arial" w:hAnsi="Arial" w:cs="Arial"/>
          <w:b w:val="0"/>
          <w:sz w:val="24"/>
        </w:rPr>
        <w:t>. La identif</w:t>
      </w:r>
      <w:r>
        <w:rPr>
          <w:rFonts w:ascii="Arial" w:hAnsi="Arial" w:cs="Arial"/>
          <w:b w:val="0"/>
          <w:sz w:val="24"/>
        </w:rPr>
        <w:t>icación y cuantificación de IAA y</w:t>
      </w:r>
      <w:r w:rsidRPr="008546A1">
        <w:rPr>
          <w:rFonts w:ascii="Arial" w:hAnsi="Arial" w:cs="Arial"/>
          <w:b w:val="0"/>
          <w:sz w:val="24"/>
        </w:rPr>
        <w:t xml:space="preserve"> GA3 se hizo por HPLC acoplado a un detector de arreglo de diodos, utilizando una columna analítica Eclipse XDB-C18</w:t>
      </w:r>
      <w:r>
        <w:rPr>
          <w:rFonts w:ascii="Arial" w:hAnsi="Arial" w:cs="Arial"/>
          <w:b w:val="0"/>
          <w:sz w:val="24"/>
        </w:rPr>
        <w:t>,</w:t>
      </w:r>
      <w:r w:rsidRPr="008546A1">
        <w:rPr>
          <w:rFonts w:ascii="Arial" w:hAnsi="Arial" w:cs="Arial"/>
          <w:b w:val="0"/>
          <w:sz w:val="24"/>
        </w:rPr>
        <w:t xml:space="preserve"> como fase móvil</w:t>
      </w:r>
      <w:r>
        <w:rPr>
          <w:rFonts w:ascii="Arial" w:hAnsi="Arial" w:cs="Arial"/>
          <w:b w:val="0"/>
          <w:sz w:val="24"/>
        </w:rPr>
        <w:t xml:space="preserve"> </w:t>
      </w:r>
      <w:r w:rsidRPr="008546A1">
        <w:rPr>
          <w:rFonts w:ascii="Arial" w:hAnsi="Arial" w:cs="Arial"/>
          <w:b w:val="0"/>
          <w:sz w:val="24"/>
        </w:rPr>
        <w:t>agua-metanol (1:1</w:t>
      </w:r>
      <w:r>
        <w:rPr>
          <w:rFonts w:ascii="Arial" w:hAnsi="Arial" w:cs="Arial"/>
          <w:b w:val="0"/>
          <w:sz w:val="24"/>
        </w:rPr>
        <w:t xml:space="preserve">) con 0.2 % de ácido acético a un gradiente lineal de 1 mL/min. </w:t>
      </w:r>
      <w:r w:rsidRPr="008546A1">
        <w:rPr>
          <w:rFonts w:ascii="Arial" w:hAnsi="Arial" w:cs="Arial"/>
          <w:b w:val="0"/>
          <w:sz w:val="24"/>
        </w:rPr>
        <w:t>Para la detección de los fitorreguladores se monitorearon las longitudes de onda a 208 nm, 215 nm y 265 nm. La cuantificación se realizó utilizando curvas de calibración de cada compuesto.</w:t>
      </w:r>
    </w:p>
    <w:p w:rsidR="00C1386C" w:rsidRDefault="00C1386C" w:rsidP="00C1386C">
      <w:pPr>
        <w:pStyle w:val="Textoindependiente"/>
        <w:jc w:val="both"/>
        <w:rPr>
          <w:rFonts w:ascii="Arial" w:hAnsi="Arial" w:cs="Arial"/>
          <w:b w:val="0"/>
          <w:sz w:val="24"/>
        </w:rPr>
      </w:pPr>
    </w:p>
    <w:p w:rsidR="00C1386C" w:rsidRPr="008546A1" w:rsidRDefault="00C1386C" w:rsidP="00C1386C">
      <w:pPr>
        <w:pStyle w:val="Textoindependiente"/>
        <w:jc w:val="both"/>
        <w:rPr>
          <w:rFonts w:ascii="Arial" w:hAnsi="Arial" w:cs="Arial"/>
          <w:b w:val="0"/>
          <w:i/>
          <w:sz w:val="24"/>
        </w:rPr>
      </w:pPr>
      <w:r>
        <w:rPr>
          <w:rFonts w:ascii="Arial" w:hAnsi="Arial" w:cs="Arial"/>
          <w:b w:val="0"/>
          <w:i/>
          <w:sz w:val="24"/>
        </w:rPr>
        <w:t>3.4</w:t>
      </w:r>
      <w:r w:rsidRPr="008546A1">
        <w:rPr>
          <w:rFonts w:ascii="Arial" w:hAnsi="Arial" w:cs="Arial"/>
          <w:b w:val="0"/>
          <w:i/>
          <w:sz w:val="24"/>
        </w:rPr>
        <w:t xml:space="preserve"> Fertilización de Ballico perenne</w:t>
      </w:r>
    </w:p>
    <w:p w:rsidR="00C1386C" w:rsidRPr="00B75C7D" w:rsidRDefault="00C1386C" w:rsidP="00C1386C">
      <w:pPr>
        <w:pStyle w:val="Textoindependiente"/>
        <w:ind w:firstLine="708"/>
        <w:jc w:val="both"/>
        <w:rPr>
          <w:rFonts w:ascii="Arial" w:hAnsi="Arial" w:cs="Arial"/>
          <w:b w:val="0"/>
          <w:sz w:val="24"/>
        </w:rPr>
      </w:pPr>
      <w:r w:rsidRPr="00B75C7D">
        <w:rPr>
          <w:rFonts w:ascii="Arial" w:hAnsi="Arial" w:cs="Arial"/>
          <w:b w:val="0"/>
          <w:sz w:val="24"/>
        </w:rPr>
        <w:t xml:space="preserve">Se </w:t>
      </w:r>
      <w:r>
        <w:rPr>
          <w:rFonts w:ascii="Arial" w:hAnsi="Arial" w:cs="Arial"/>
          <w:b w:val="0"/>
          <w:sz w:val="24"/>
        </w:rPr>
        <w:t xml:space="preserve">probaron los digestatos obtenidos después de 4, 8 y 20 días de digestión y se utilizaron para fertilizar un cultivo de pasto ballico perenne. Primeramente, se estableció el cultivo colocando semillas de pasto Ballico en macetas conteniendo un kilogramo de suelo agrícola, se cuidó el riego y desyerbado periódico, a los 6 meses de que se hizo el sembrado, se hizo corte de uniformización a 5 cm. </w:t>
      </w:r>
      <w:r w:rsidRPr="00B75C7D">
        <w:rPr>
          <w:rFonts w:ascii="Arial" w:hAnsi="Arial" w:cs="Arial"/>
          <w:b w:val="0"/>
          <w:sz w:val="24"/>
        </w:rPr>
        <w:t>Cada maceta se fertilizó adicionando en la base del macollo 35 ml del digestato fermentado a 4, 8 y 20 días</w:t>
      </w:r>
      <w:r>
        <w:rPr>
          <w:rFonts w:ascii="Arial" w:hAnsi="Arial" w:cs="Arial"/>
          <w:b w:val="0"/>
          <w:sz w:val="24"/>
        </w:rPr>
        <w:t xml:space="preserve"> (tiempos elegidos de acuerdo con la producción de fitoreguladores) a los dos</w:t>
      </w:r>
      <w:r w:rsidRPr="00B75C7D">
        <w:rPr>
          <w:rFonts w:ascii="Arial" w:hAnsi="Arial" w:cs="Arial"/>
          <w:b w:val="0"/>
          <w:sz w:val="24"/>
        </w:rPr>
        <w:t xml:space="preserve"> valores</w:t>
      </w:r>
      <w:r>
        <w:rPr>
          <w:rFonts w:ascii="Arial" w:hAnsi="Arial" w:cs="Arial"/>
          <w:b w:val="0"/>
          <w:sz w:val="24"/>
        </w:rPr>
        <w:t xml:space="preserve"> de pH inicial;</w:t>
      </w:r>
      <w:r w:rsidRPr="00B75C7D">
        <w:rPr>
          <w:rFonts w:ascii="Arial" w:hAnsi="Arial" w:cs="Arial"/>
          <w:b w:val="0"/>
          <w:sz w:val="24"/>
        </w:rPr>
        <w:t xml:space="preserve"> el control negativo fue sin ninguna fertilización.</w:t>
      </w:r>
    </w:p>
    <w:p w:rsidR="00C1386C" w:rsidRPr="00B75C7D" w:rsidRDefault="00C1386C" w:rsidP="00C1386C">
      <w:pPr>
        <w:pStyle w:val="Textoindependiente"/>
        <w:ind w:firstLine="708"/>
        <w:jc w:val="both"/>
        <w:rPr>
          <w:rFonts w:ascii="Arial" w:hAnsi="Arial" w:cs="Arial"/>
          <w:b w:val="0"/>
          <w:sz w:val="24"/>
        </w:rPr>
      </w:pPr>
      <w:r w:rsidRPr="00B75C7D">
        <w:rPr>
          <w:rFonts w:ascii="Arial" w:hAnsi="Arial" w:cs="Arial"/>
          <w:b w:val="0"/>
          <w:sz w:val="24"/>
        </w:rPr>
        <w:t>El registro de altura del forraje se hizo semanalmente</w:t>
      </w:r>
      <w:r>
        <w:rPr>
          <w:rFonts w:ascii="Arial" w:hAnsi="Arial" w:cs="Arial"/>
          <w:b w:val="0"/>
          <w:sz w:val="24"/>
        </w:rPr>
        <w:t xml:space="preserve"> durante 5 semanas</w:t>
      </w:r>
      <w:r w:rsidRPr="00B75C7D">
        <w:rPr>
          <w:rFonts w:ascii="Arial" w:hAnsi="Arial" w:cs="Arial"/>
          <w:b w:val="0"/>
          <w:sz w:val="24"/>
        </w:rPr>
        <w:t>, considerando el valor de la regla graduada de 30 cm, colocada desde la base del tallo, hasta el tejido vegetal del dosel superior.</w:t>
      </w:r>
    </w:p>
    <w:p w:rsidR="00C1386C" w:rsidRPr="00B75C7D" w:rsidRDefault="00C1386C" w:rsidP="00C1386C">
      <w:pPr>
        <w:pStyle w:val="Textoindependiente"/>
        <w:ind w:firstLine="708"/>
        <w:jc w:val="both"/>
        <w:rPr>
          <w:rFonts w:ascii="Arial" w:hAnsi="Arial" w:cs="Arial"/>
          <w:b w:val="0"/>
          <w:sz w:val="24"/>
        </w:rPr>
      </w:pPr>
      <w:r w:rsidRPr="00B75C7D">
        <w:rPr>
          <w:rFonts w:ascii="Arial" w:hAnsi="Arial" w:cs="Arial"/>
          <w:b w:val="0"/>
          <w:sz w:val="24"/>
        </w:rPr>
        <w:t xml:space="preserve">El rendimiento de forraje, fue obtenido a una frecuencia de corte de cinco semanas de crecimiento, el material vegetal cosechado fue deshidratado en una estufa de aire forzado a </w:t>
      </w:r>
      <w:r>
        <w:rPr>
          <w:rFonts w:ascii="Arial" w:hAnsi="Arial" w:cs="Arial"/>
          <w:b w:val="0"/>
          <w:sz w:val="24"/>
        </w:rPr>
        <w:t xml:space="preserve">65 </w:t>
      </w:r>
      <w:r w:rsidRPr="0030607C">
        <w:rPr>
          <w:rFonts w:ascii="Arial" w:hAnsi="Arial" w:cs="Arial"/>
          <w:b w:val="0"/>
          <w:sz w:val="24"/>
          <w:vertAlign w:val="superscript"/>
        </w:rPr>
        <w:t>o</w:t>
      </w:r>
      <w:r>
        <w:rPr>
          <w:rFonts w:ascii="Arial" w:hAnsi="Arial" w:cs="Arial"/>
          <w:b w:val="0"/>
          <w:sz w:val="24"/>
        </w:rPr>
        <w:t>C, hasta un pes</w:t>
      </w:r>
      <w:r w:rsidRPr="00B75C7D">
        <w:rPr>
          <w:rFonts w:ascii="Arial" w:hAnsi="Arial" w:cs="Arial"/>
          <w:b w:val="0"/>
          <w:sz w:val="24"/>
        </w:rPr>
        <w:t xml:space="preserve">o constante y se registró el valor de materia seca. </w:t>
      </w:r>
    </w:p>
    <w:p w:rsidR="00C1386C" w:rsidRDefault="00C1386C" w:rsidP="00C1386C">
      <w:pPr>
        <w:pStyle w:val="Textoindependiente"/>
        <w:ind w:firstLine="708"/>
        <w:jc w:val="both"/>
        <w:rPr>
          <w:rFonts w:ascii="Arial" w:hAnsi="Arial" w:cs="Arial"/>
          <w:b w:val="0"/>
          <w:sz w:val="24"/>
        </w:rPr>
      </w:pPr>
      <w:r w:rsidRPr="00B75C7D">
        <w:rPr>
          <w:rFonts w:ascii="Arial" w:hAnsi="Arial" w:cs="Arial"/>
          <w:b w:val="0"/>
          <w:sz w:val="24"/>
        </w:rPr>
        <w:t>Se utilizó un diseño completamente al azar, y los resultados obtenidos en las variables se analizaron con el procedimiento PROC GLM del Software estadístico SAS® Versión 9.0 para Windows®. Las medias de tratamientos fueron estimadas utilizando Tukey a un nivel de significancia del 5%.</w:t>
      </w:r>
    </w:p>
    <w:p w:rsidR="00C1386C" w:rsidRPr="00CE57CF" w:rsidRDefault="00C1386C" w:rsidP="00C1386C">
      <w:pPr>
        <w:pStyle w:val="Textoindependiente"/>
        <w:jc w:val="both"/>
      </w:pPr>
      <w:r w:rsidRPr="00CE57CF">
        <w:tab/>
      </w:r>
    </w:p>
    <w:p w:rsidR="00C1386C" w:rsidRPr="00C1386C" w:rsidRDefault="00C1386C" w:rsidP="00C1386C">
      <w:pPr>
        <w:pStyle w:val="Ttulo1"/>
        <w:tabs>
          <w:tab w:val="left" w:pos="0"/>
        </w:tabs>
        <w:spacing w:line="360" w:lineRule="auto"/>
        <w:rPr>
          <w:rFonts w:ascii="Arial" w:hAnsi="Arial" w:cs="Arial"/>
          <w:i/>
          <w:sz w:val="24"/>
          <w:szCs w:val="24"/>
        </w:rPr>
      </w:pPr>
      <w:bookmarkStart w:id="225" w:name="_Toc50031307"/>
      <w:r w:rsidRPr="00C1386C">
        <w:rPr>
          <w:rFonts w:ascii="Arial" w:hAnsi="Arial" w:cs="Arial"/>
          <w:i/>
          <w:caps/>
          <w:sz w:val="24"/>
          <w:szCs w:val="24"/>
        </w:rPr>
        <w:t xml:space="preserve">4. </w:t>
      </w:r>
      <w:r w:rsidRPr="00C1386C">
        <w:rPr>
          <w:rFonts w:ascii="Arial" w:hAnsi="Arial" w:cs="Arial"/>
          <w:i/>
          <w:sz w:val="24"/>
          <w:szCs w:val="24"/>
        </w:rPr>
        <w:t>Resultados y discusión</w:t>
      </w:r>
      <w:bookmarkEnd w:id="225"/>
    </w:p>
    <w:p w:rsidR="00C1386C" w:rsidRPr="008B425E" w:rsidRDefault="00C1386C" w:rsidP="00C1386C">
      <w:pPr>
        <w:pStyle w:val="Textoindependiente"/>
        <w:rPr>
          <w:rFonts w:ascii="Arial" w:hAnsi="Arial" w:cs="Arial"/>
          <w:b w:val="0"/>
          <w:i/>
          <w:sz w:val="24"/>
        </w:rPr>
      </w:pPr>
      <w:r w:rsidRPr="008B425E">
        <w:rPr>
          <w:rFonts w:ascii="Arial" w:hAnsi="Arial" w:cs="Arial"/>
          <w:b w:val="0"/>
          <w:i/>
          <w:sz w:val="24"/>
        </w:rPr>
        <w:t>4.1 Producción de ácido giberélico</w:t>
      </w:r>
    </w:p>
    <w:p w:rsidR="00C1386C" w:rsidRPr="008B425E" w:rsidRDefault="00C1386C" w:rsidP="00C1386C">
      <w:pPr>
        <w:pStyle w:val="Textoindependiente"/>
        <w:ind w:firstLine="708"/>
        <w:jc w:val="both"/>
        <w:rPr>
          <w:rFonts w:ascii="Arial" w:hAnsi="Arial" w:cs="Arial"/>
          <w:b w:val="0"/>
          <w:sz w:val="24"/>
        </w:rPr>
      </w:pPr>
      <w:r w:rsidRPr="008B425E">
        <w:rPr>
          <w:rFonts w:ascii="Arial" w:hAnsi="Arial" w:cs="Arial"/>
          <w:b w:val="0"/>
          <w:sz w:val="24"/>
        </w:rPr>
        <w:t>La figura 1 muestra las cantidades medidas de ácido giberélico. La modificación del pH inicial cambió la producci</w:t>
      </w:r>
      <w:r>
        <w:rPr>
          <w:rFonts w:ascii="Arial" w:hAnsi="Arial" w:cs="Arial"/>
          <w:b w:val="0"/>
          <w:sz w:val="24"/>
        </w:rPr>
        <w:t>ón de AG3, esta fue mayor en la digestión llevada a pH 5.5; en esta</w:t>
      </w:r>
      <w:r w:rsidRPr="008B425E">
        <w:rPr>
          <w:rFonts w:ascii="Arial" w:hAnsi="Arial" w:cs="Arial"/>
          <w:b w:val="0"/>
          <w:sz w:val="24"/>
        </w:rPr>
        <w:t xml:space="preserve"> se detectó este ácido desde el inicio y hasta el día 20; la máxima produ</w:t>
      </w:r>
      <w:r>
        <w:rPr>
          <w:rFonts w:ascii="Arial" w:hAnsi="Arial" w:cs="Arial"/>
          <w:b w:val="0"/>
          <w:sz w:val="24"/>
        </w:rPr>
        <w:t>cción de AG3 fue de 4</w:t>
      </w:r>
      <w:r w:rsidRPr="008B425E">
        <w:rPr>
          <w:rFonts w:ascii="Arial" w:hAnsi="Arial" w:cs="Arial"/>
          <w:b w:val="0"/>
          <w:sz w:val="24"/>
        </w:rPr>
        <w:t xml:space="preserve">5.3 mg/L. En </w:t>
      </w:r>
      <w:r>
        <w:rPr>
          <w:rFonts w:ascii="Arial" w:hAnsi="Arial" w:cs="Arial"/>
          <w:b w:val="0"/>
          <w:sz w:val="24"/>
        </w:rPr>
        <w:t>la digestión que se llevó a cabo a pH inicial de 7.5 tuvo un máximo a los cuatro días de digestión y posteriormente disminuyó, teniendo un segundo máximo a los 12 días de digestión. En esta digestión la cantidad máxima de AG3 que se obtuvo fue de 37.7 mg/L. Hubo una diferencia en la digestión llevada a cabo a pH ácido respecto a la llevada a cabo a pH básico</w:t>
      </w:r>
    </w:p>
    <w:p w:rsidR="00C1386C" w:rsidRDefault="00C1386C" w:rsidP="00C1386C">
      <w:pPr>
        <w:pStyle w:val="Textoindependiente"/>
        <w:ind w:firstLine="539"/>
        <w:rPr>
          <w:rFonts w:ascii="Arial" w:hAnsi="Arial" w:cs="Arial"/>
          <w:sz w:val="24"/>
        </w:rPr>
      </w:pPr>
    </w:p>
    <w:p w:rsidR="00C1386C" w:rsidRDefault="00C1386C" w:rsidP="00C1386C">
      <w:pPr>
        <w:rPr>
          <w:rFonts w:ascii="Arial" w:hAnsi="Arial" w:cs="Arial"/>
          <w:bCs/>
          <w:i/>
          <w:sz w:val="20"/>
          <w:szCs w:val="20"/>
        </w:rPr>
      </w:pPr>
      <w:r w:rsidRPr="00180AB0">
        <w:rPr>
          <w:noProof/>
          <w:lang w:val="en-US"/>
        </w:rPr>
        <w:lastRenderedPageBreak/>
        <w:drawing>
          <wp:inline distT="0" distB="0" distL="0" distR="0" wp14:anchorId="538A89A2" wp14:editId="04CEEE16">
            <wp:extent cx="2697480" cy="1649730"/>
            <wp:effectExtent l="0" t="0" r="7620" b="7620"/>
            <wp:docPr id="269469680" name="Gráfico 2694696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5"/>
              </a:graphicData>
            </a:graphic>
          </wp:inline>
        </w:drawing>
      </w:r>
      <w:r>
        <w:rPr>
          <w:noProof/>
          <w:lang w:val="es-MX" w:eastAsia="es-MX"/>
        </w:rPr>
        <w:t xml:space="preserve">   </w:t>
      </w:r>
      <w:r w:rsidRPr="00180AB0">
        <w:rPr>
          <w:noProof/>
          <w:lang w:val="en-US"/>
        </w:rPr>
        <w:drawing>
          <wp:inline distT="0" distB="0" distL="0" distR="0" wp14:anchorId="11907A7E" wp14:editId="6EB7E599">
            <wp:extent cx="2811780" cy="1678305"/>
            <wp:effectExtent l="0" t="0" r="7620" b="17145"/>
            <wp:docPr id="269469678" name="Gráfico 2694696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6"/>
              </a:graphicData>
            </a:graphic>
          </wp:inline>
        </w:drawing>
      </w:r>
    </w:p>
    <w:p w:rsidR="00C1386C" w:rsidRDefault="00C1386C" w:rsidP="00C1386C">
      <w:pPr>
        <w:rPr>
          <w:rFonts w:ascii="Arial" w:hAnsi="Arial" w:cs="Arial"/>
          <w:bCs/>
          <w:i/>
          <w:sz w:val="20"/>
          <w:szCs w:val="20"/>
        </w:rPr>
      </w:pPr>
      <w:r>
        <w:rPr>
          <w:rFonts w:ascii="Arial" w:hAnsi="Arial" w:cs="Arial"/>
          <w:bCs/>
          <w:i/>
          <w:sz w:val="20"/>
          <w:szCs w:val="20"/>
        </w:rPr>
        <w:t xml:space="preserve">     Figura 1. Cinética de producción del ácido              Figura 2. Cinética de producción de ácido</w:t>
      </w:r>
    </w:p>
    <w:p w:rsidR="00C1386C" w:rsidRDefault="00C1386C" w:rsidP="00C1386C">
      <w:pPr>
        <w:rPr>
          <w:rFonts w:ascii="Arial" w:hAnsi="Arial" w:cs="Arial"/>
          <w:bCs/>
          <w:i/>
          <w:sz w:val="20"/>
          <w:szCs w:val="20"/>
        </w:rPr>
      </w:pPr>
      <w:r>
        <w:rPr>
          <w:rFonts w:ascii="Arial" w:hAnsi="Arial" w:cs="Arial"/>
          <w:bCs/>
          <w:i/>
          <w:sz w:val="20"/>
          <w:szCs w:val="20"/>
        </w:rPr>
        <w:t xml:space="preserve">                           Giberélico                                                                 índol acético</w:t>
      </w:r>
    </w:p>
    <w:p w:rsidR="00C1386C" w:rsidRDefault="00C1386C" w:rsidP="00C1386C">
      <w:pPr>
        <w:jc w:val="center"/>
        <w:rPr>
          <w:rFonts w:ascii="Arial" w:hAnsi="Arial" w:cs="Arial"/>
          <w:bCs/>
          <w:i/>
          <w:sz w:val="20"/>
          <w:szCs w:val="20"/>
        </w:rPr>
      </w:pPr>
    </w:p>
    <w:p w:rsidR="00C1386C" w:rsidRPr="008B425E" w:rsidRDefault="00C1386C" w:rsidP="00C1386C">
      <w:pPr>
        <w:pStyle w:val="Textoindependiente"/>
        <w:rPr>
          <w:rFonts w:ascii="Arial" w:hAnsi="Arial" w:cs="Arial"/>
          <w:b w:val="0"/>
          <w:i/>
          <w:sz w:val="24"/>
        </w:rPr>
      </w:pPr>
      <w:r>
        <w:rPr>
          <w:rFonts w:ascii="Arial" w:hAnsi="Arial" w:cs="Arial"/>
          <w:b w:val="0"/>
          <w:i/>
          <w:sz w:val="24"/>
        </w:rPr>
        <w:t>4.2</w:t>
      </w:r>
      <w:r w:rsidRPr="008B425E">
        <w:rPr>
          <w:rFonts w:ascii="Arial" w:hAnsi="Arial" w:cs="Arial"/>
          <w:b w:val="0"/>
          <w:i/>
          <w:sz w:val="24"/>
        </w:rPr>
        <w:t xml:space="preserve"> Producción</w:t>
      </w:r>
      <w:r>
        <w:rPr>
          <w:rFonts w:ascii="Arial" w:hAnsi="Arial" w:cs="Arial"/>
          <w:b w:val="0"/>
          <w:i/>
          <w:sz w:val="24"/>
        </w:rPr>
        <w:t xml:space="preserve"> de ácido indol acético</w:t>
      </w:r>
    </w:p>
    <w:p w:rsidR="00C1386C" w:rsidRPr="00C22942" w:rsidRDefault="00C1386C" w:rsidP="00C1386C">
      <w:pPr>
        <w:pStyle w:val="Textoindependiente"/>
        <w:ind w:firstLine="708"/>
        <w:jc w:val="both"/>
        <w:rPr>
          <w:rFonts w:ascii="Arial" w:hAnsi="Arial" w:cs="Arial"/>
          <w:b w:val="0"/>
          <w:sz w:val="24"/>
        </w:rPr>
      </w:pPr>
      <w:r>
        <w:rPr>
          <w:rFonts w:ascii="Arial" w:hAnsi="Arial" w:cs="Arial"/>
          <w:b w:val="0"/>
          <w:sz w:val="24"/>
        </w:rPr>
        <w:t>La figura 2</w:t>
      </w:r>
      <w:r w:rsidRPr="008B425E">
        <w:rPr>
          <w:rFonts w:ascii="Arial" w:hAnsi="Arial" w:cs="Arial"/>
          <w:b w:val="0"/>
          <w:sz w:val="24"/>
        </w:rPr>
        <w:t xml:space="preserve"> muestra las cantid</w:t>
      </w:r>
      <w:r>
        <w:rPr>
          <w:rFonts w:ascii="Arial" w:hAnsi="Arial" w:cs="Arial"/>
          <w:b w:val="0"/>
          <w:sz w:val="24"/>
        </w:rPr>
        <w:t>ades medidas de ácido indol acético. En este caso, l</w:t>
      </w:r>
      <w:r w:rsidRPr="008B425E">
        <w:rPr>
          <w:rFonts w:ascii="Arial" w:hAnsi="Arial" w:cs="Arial"/>
          <w:b w:val="0"/>
          <w:sz w:val="24"/>
        </w:rPr>
        <w:t xml:space="preserve">a modificación del pH inicial </w:t>
      </w:r>
      <w:r>
        <w:rPr>
          <w:rFonts w:ascii="Arial" w:hAnsi="Arial" w:cs="Arial"/>
          <w:b w:val="0"/>
          <w:sz w:val="24"/>
        </w:rPr>
        <w:t xml:space="preserve">influyó drásticamente en </w:t>
      </w:r>
      <w:r w:rsidRPr="008B425E">
        <w:rPr>
          <w:rFonts w:ascii="Arial" w:hAnsi="Arial" w:cs="Arial"/>
          <w:b w:val="0"/>
          <w:sz w:val="24"/>
        </w:rPr>
        <w:t>la producci</w:t>
      </w:r>
      <w:r>
        <w:rPr>
          <w:rFonts w:ascii="Arial" w:hAnsi="Arial" w:cs="Arial"/>
          <w:b w:val="0"/>
          <w:sz w:val="24"/>
        </w:rPr>
        <w:t>ón de AIA, esta únicamente se llevó a cabo en la digestión a pH inicial de 5.5; en esta</w:t>
      </w:r>
      <w:r w:rsidRPr="008B425E">
        <w:rPr>
          <w:rFonts w:ascii="Arial" w:hAnsi="Arial" w:cs="Arial"/>
          <w:b w:val="0"/>
          <w:sz w:val="24"/>
        </w:rPr>
        <w:t xml:space="preserve"> </w:t>
      </w:r>
      <w:r>
        <w:rPr>
          <w:rFonts w:ascii="Arial" w:hAnsi="Arial" w:cs="Arial"/>
          <w:b w:val="0"/>
          <w:sz w:val="24"/>
        </w:rPr>
        <w:t>hubo un máximo a los 4 días y posterior al día 12 volvió a incrementar</w:t>
      </w:r>
      <w:r w:rsidRPr="008B425E">
        <w:rPr>
          <w:rFonts w:ascii="Arial" w:hAnsi="Arial" w:cs="Arial"/>
          <w:b w:val="0"/>
          <w:sz w:val="24"/>
        </w:rPr>
        <w:t>; la máxima produ</w:t>
      </w:r>
      <w:r>
        <w:rPr>
          <w:rFonts w:ascii="Arial" w:hAnsi="Arial" w:cs="Arial"/>
          <w:b w:val="0"/>
          <w:sz w:val="24"/>
        </w:rPr>
        <w:t>cción fue de 4.8</w:t>
      </w:r>
      <w:r w:rsidRPr="008B425E">
        <w:rPr>
          <w:rFonts w:ascii="Arial" w:hAnsi="Arial" w:cs="Arial"/>
          <w:b w:val="0"/>
          <w:sz w:val="24"/>
        </w:rPr>
        <w:t xml:space="preserve"> mg/L. En </w:t>
      </w:r>
      <w:r>
        <w:rPr>
          <w:rFonts w:ascii="Arial" w:hAnsi="Arial" w:cs="Arial"/>
          <w:b w:val="0"/>
          <w:sz w:val="24"/>
        </w:rPr>
        <w:t xml:space="preserve">la digestión que se llevó a cabo a pH inicial de 7.5 no hubo producción de AIA. </w:t>
      </w:r>
    </w:p>
    <w:p w:rsidR="00C1386C" w:rsidRPr="008B425E" w:rsidRDefault="00C1386C" w:rsidP="00C1386C">
      <w:pPr>
        <w:pStyle w:val="Textoindependiente"/>
        <w:jc w:val="center"/>
        <w:rPr>
          <w:rFonts w:ascii="Arial" w:hAnsi="Arial" w:cs="Arial"/>
          <w:b w:val="0"/>
          <w:sz w:val="24"/>
        </w:rPr>
      </w:pPr>
    </w:p>
    <w:p w:rsidR="00C1386C" w:rsidRPr="00C833BD" w:rsidRDefault="00C1386C" w:rsidP="00C1386C">
      <w:pPr>
        <w:jc w:val="both"/>
        <w:rPr>
          <w:rFonts w:ascii="Arial" w:hAnsi="Arial" w:cs="Arial"/>
          <w:bCs/>
          <w:i/>
        </w:rPr>
      </w:pPr>
      <w:r w:rsidRPr="00C833BD">
        <w:rPr>
          <w:rFonts w:ascii="Arial" w:hAnsi="Arial" w:cs="Arial"/>
          <w:bCs/>
          <w:i/>
        </w:rPr>
        <w:t>4.3 Rendimiento en Ballico perenne</w:t>
      </w:r>
    </w:p>
    <w:p w:rsidR="00C1386C" w:rsidRDefault="00C1386C" w:rsidP="00C1386C">
      <w:pPr>
        <w:ind w:firstLine="708"/>
        <w:jc w:val="both"/>
        <w:rPr>
          <w:rFonts w:ascii="Arial" w:hAnsi="Arial" w:cs="Arial"/>
        </w:rPr>
      </w:pPr>
      <w:r w:rsidRPr="0030607C">
        <w:rPr>
          <w:rFonts w:ascii="Arial" w:hAnsi="Arial" w:cs="Arial"/>
        </w:rPr>
        <w:t xml:space="preserve">La </w:t>
      </w:r>
      <w:r>
        <w:rPr>
          <w:rFonts w:ascii="Arial" w:hAnsi="Arial" w:cs="Arial"/>
        </w:rPr>
        <w:t xml:space="preserve">figura 3 muestra las alturas medidas semanalmente a los pastos fertilizados con el digestato obtenido a los 4, 8 y 20 días de digestión, así como en el control, donde no se aplicó ningún fertilizante. Se observa que, desde la primera semana, los pastos tuvieron mayor altura que los correspondientes al control. Es importante destacar que según el análisis estadístico, no se observa diferencia significativa en las alturas aplicando digestato después de 4, 8 o 20 días de digestión, ya que el efecto en la altura es el mismo. Asimismo, no se observa diferencia significativa al aplicar digestato obtenido a pH inicial 5.5 o 7.5. Cualquiera de los digestatos puede usarse como fertilizante, lo cual indica que, si bien los fitoreguladores son importantes para mejorar el desarrollo de las plantas, hay otros componentes, como son los nutrientes y material orgánica del digestato que están favoreciendo al pasto. Xin </w:t>
      </w:r>
      <w:r w:rsidRPr="00D0182F">
        <w:rPr>
          <w:rFonts w:ascii="Arial" w:hAnsi="Arial" w:cs="Arial"/>
          <w:i/>
        </w:rPr>
        <w:t>et al.</w:t>
      </w:r>
      <w:r w:rsidRPr="0E1EFABF">
        <w:rPr>
          <w:rFonts w:ascii="Arial" w:hAnsi="Arial" w:cs="Arial"/>
        </w:rPr>
        <w:t xml:space="preserve"> </w:t>
      </w:r>
      <w:r>
        <w:rPr>
          <w:vertAlign w:val="superscript"/>
        </w:rPr>
        <w:t>[4]</w:t>
      </w:r>
      <w:r>
        <w:rPr>
          <w:rFonts w:ascii="Arial" w:hAnsi="Arial" w:cs="Arial"/>
        </w:rPr>
        <w:t xml:space="preserve"> </w:t>
      </w:r>
      <w:r w:rsidRPr="00E75CD0">
        <w:rPr>
          <w:rFonts w:ascii="Arial" w:hAnsi="Arial" w:cs="Arial"/>
        </w:rPr>
        <w:t>indican que el efecto positivo del digestato en las plantas se ha explicado por su contenido de macronutrientes: nitrógeno del 0.03 al 0.08 %, fósforo de 0.02 al 0.07 % y potasio del 0.05 al 1.4 %.</w:t>
      </w:r>
    </w:p>
    <w:p w:rsidR="00C1386C" w:rsidRDefault="00C1386C" w:rsidP="00C1386C">
      <w:pPr>
        <w:ind w:firstLine="708"/>
        <w:jc w:val="both"/>
        <w:rPr>
          <w:rFonts w:ascii="Arial" w:hAnsi="Arial" w:cs="Arial"/>
          <w:bCs/>
          <w:i/>
          <w:sz w:val="20"/>
          <w:szCs w:val="20"/>
        </w:rPr>
      </w:pPr>
      <w:r w:rsidRPr="0030607C">
        <w:rPr>
          <w:rFonts w:ascii="Arial" w:hAnsi="Arial" w:cs="Arial"/>
        </w:rPr>
        <w:t xml:space="preserve">La </w:t>
      </w:r>
      <w:r>
        <w:rPr>
          <w:rFonts w:ascii="Arial" w:hAnsi="Arial" w:cs="Arial"/>
        </w:rPr>
        <w:t xml:space="preserve">tabla 1 muestra la biomasa obtenida después de cinco semanas de haberse fertilizado con los digestatos, así como el control negativo, donde no se fertilizó. Se observa que al utilizar el digestato obtenido a pH 5.5 y 4 días de fermentación, la biomasa obtenida es estadísticamente igual al control sin fertilizar; pero en los demás tratamientos se obtuvo estadísticamente mayor biomasa que en el </w:t>
      </w:r>
      <w:r>
        <w:rPr>
          <w:rFonts w:ascii="Arial" w:hAnsi="Arial" w:cs="Arial"/>
        </w:rPr>
        <w:lastRenderedPageBreak/>
        <w:t xml:space="preserve">control. El tratamiento donde se obtuvo estadísticamente la mayor cantidad de biomasa fue aplicando digestato obtenido a pH inicial 5.5 y después de 20 días de fermentación; en este caso el incremento fue del 27% respecto al control negativo; el siguiente mayor valor fue usando digestato a pH inicial 5.5 y después de 8 días de digestión, así como los obtenidos a pH inicial 7.5 y a los 4 y 20 días de digestión, en estos casos el incremento fue del 19% respecto al control. </w:t>
      </w:r>
    </w:p>
    <w:p w:rsidR="00C1386C" w:rsidRPr="0030607C" w:rsidRDefault="00C1386C" w:rsidP="00C1386C">
      <w:pPr>
        <w:jc w:val="both"/>
        <w:rPr>
          <w:rFonts w:ascii="Arial" w:hAnsi="Arial" w:cs="Arial"/>
          <w:bCs/>
          <w:sz w:val="20"/>
          <w:szCs w:val="20"/>
        </w:rPr>
      </w:pPr>
    </w:p>
    <w:p w:rsidR="00C1386C" w:rsidRDefault="00C1386C" w:rsidP="00C1386C">
      <w:pPr>
        <w:jc w:val="center"/>
        <w:rPr>
          <w:rFonts w:ascii="Arial" w:hAnsi="Arial" w:cs="Arial"/>
          <w:bCs/>
          <w:i/>
          <w:sz w:val="20"/>
          <w:szCs w:val="20"/>
        </w:rPr>
      </w:pPr>
      <w:r>
        <w:rPr>
          <w:rFonts w:ascii="Arial" w:hAnsi="Arial" w:cs="Arial"/>
          <w:bCs/>
          <w:i/>
          <w:noProof/>
          <w:sz w:val="20"/>
          <w:szCs w:val="20"/>
          <w:lang w:val="en-US"/>
        </w:rPr>
        <w:drawing>
          <wp:inline distT="0" distB="0" distL="0" distR="0" wp14:anchorId="1FF016C5" wp14:editId="58A64487">
            <wp:extent cx="3733800" cy="2276475"/>
            <wp:effectExtent l="0" t="0" r="0" b="9525"/>
            <wp:docPr id="269469677" name="Imagen 269469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8"/>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3733800" cy="2276475"/>
                    </a:xfrm>
                    <a:prstGeom prst="rect">
                      <a:avLst/>
                    </a:prstGeom>
                    <a:noFill/>
                    <a:ln>
                      <a:noFill/>
                    </a:ln>
                  </pic:spPr>
                </pic:pic>
              </a:graphicData>
            </a:graphic>
          </wp:inline>
        </w:drawing>
      </w:r>
    </w:p>
    <w:p w:rsidR="00C1386C" w:rsidRDefault="00C1386C" w:rsidP="00C1386C">
      <w:pPr>
        <w:jc w:val="center"/>
        <w:rPr>
          <w:rFonts w:ascii="Arial" w:hAnsi="Arial" w:cs="Arial"/>
          <w:bCs/>
          <w:i/>
          <w:sz w:val="20"/>
          <w:szCs w:val="20"/>
        </w:rPr>
      </w:pPr>
    </w:p>
    <w:p w:rsidR="00C1386C" w:rsidRDefault="00C1386C" w:rsidP="00C1386C">
      <w:pPr>
        <w:jc w:val="center"/>
        <w:rPr>
          <w:rFonts w:ascii="Arial" w:hAnsi="Arial" w:cs="Arial"/>
          <w:bCs/>
          <w:i/>
          <w:sz w:val="20"/>
          <w:szCs w:val="20"/>
        </w:rPr>
      </w:pPr>
      <w:r>
        <w:rPr>
          <w:rFonts w:ascii="Arial" w:hAnsi="Arial" w:cs="Arial"/>
          <w:bCs/>
          <w:i/>
          <w:sz w:val="20"/>
          <w:szCs w:val="20"/>
        </w:rPr>
        <w:t>Figura 3. Altura semanal de las plantas fertilizadas con digestato obtenido después de 4, 8 y 20 días de digestión y en el control negativo</w:t>
      </w:r>
    </w:p>
    <w:p w:rsidR="00C1386C" w:rsidRDefault="00C1386C" w:rsidP="00C1386C">
      <w:pPr>
        <w:jc w:val="center"/>
        <w:rPr>
          <w:rFonts w:ascii="Arial" w:hAnsi="Arial" w:cs="Arial"/>
          <w:bCs/>
          <w:i/>
          <w:sz w:val="20"/>
          <w:szCs w:val="20"/>
        </w:rPr>
      </w:pPr>
    </w:p>
    <w:p w:rsidR="00C1386C" w:rsidRDefault="00C1386C" w:rsidP="00C1386C">
      <w:pPr>
        <w:ind w:firstLine="708"/>
        <w:jc w:val="both"/>
        <w:rPr>
          <w:rFonts w:ascii="Arial" w:hAnsi="Arial" w:cs="Arial"/>
        </w:rPr>
      </w:pPr>
      <w:r>
        <w:rPr>
          <w:rFonts w:ascii="Arial" w:hAnsi="Arial" w:cs="Arial"/>
        </w:rPr>
        <w:t>Si bien se obtuvo mayor cantidad de fitoreguladores en la digestión a pH inicial 5.5, no se observó mayor altura comparada con la digestión a pH inicial 7.5, pero si hubo un incremento en la biomasa al fertilizar con digestato obtenido con pH inicial 5.5.</w:t>
      </w:r>
    </w:p>
    <w:p w:rsidR="00C1386C" w:rsidRDefault="00C1386C" w:rsidP="00C1386C">
      <w:pPr>
        <w:ind w:firstLine="708"/>
        <w:jc w:val="both"/>
        <w:rPr>
          <w:rFonts w:ascii="Arial" w:hAnsi="Arial" w:cs="Arial"/>
        </w:rPr>
      </w:pPr>
    </w:p>
    <w:p w:rsidR="00C1386C" w:rsidRDefault="00C1386C" w:rsidP="00C1386C">
      <w:pPr>
        <w:ind w:firstLine="708"/>
        <w:jc w:val="both"/>
        <w:rPr>
          <w:rFonts w:ascii="Arial" w:hAnsi="Arial" w:cs="Arial"/>
        </w:rPr>
      </w:pPr>
      <w:r w:rsidRPr="000350AF">
        <w:rPr>
          <w:rFonts w:ascii="Arial" w:hAnsi="Arial" w:cs="Arial"/>
          <w:bCs/>
          <w:i/>
          <w:sz w:val="20"/>
          <w:szCs w:val="20"/>
        </w:rPr>
        <w:t>Tabla 1.</w:t>
      </w:r>
      <w:r>
        <w:rPr>
          <w:rFonts w:ascii="Arial" w:hAnsi="Arial" w:cs="Arial"/>
        </w:rPr>
        <w:t xml:space="preserve"> </w:t>
      </w:r>
      <w:r>
        <w:rPr>
          <w:rFonts w:ascii="Arial" w:hAnsi="Arial" w:cs="Arial"/>
          <w:bCs/>
          <w:i/>
          <w:sz w:val="20"/>
          <w:szCs w:val="20"/>
        </w:rPr>
        <w:t>Biomasa obtenida en las plantas fertilizadas con digestato obtenido después de 4, 8 y 20 días de digestión y en el control negativo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4"/>
        <w:gridCol w:w="1896"/>
        <w:gridCol w:w="1896"/>
        <w:gridCol w:w="2007"/>
      </w:tblGrid>
      <w:tr w:rsidR="00C1386C" w:rsidRPr="00C139E2" w:rsidTr="007F2707">
        <w:trPr>
          <w:jc w:val="center"/>
        </w:trPr>
        <w:tc>
          <w:tcPr>
            <w:tcW w:w="0" w:type="auto"/>
            <w:vMerge w:val="restart"/>
            <w:shd w:val="clear" w:color="auto" w:fill="auto"/>
          </w:tcPr>
          <w:p w:rsidR="00C1386C" w:rsidRPr="00C139E2" w:rsidRDefault="00C1386C" w:rsidP="007F2707">
            <w:pPr>
              <w:jc w:val="both"/>
              <w:rPr>
                <w:rFonts w:ascii="Arial" w:hAnsi="Arial" w:cs="Arial"/>
                <w:bCs/>
                <w:sz w:val="20"/>
                <w:szCs w:val="20"/>
              </w:rPr>
            </w:pPr>
            <w:r w:rsidRPr="00C139E2">
              <w:rPr>
                <w:rFonts w:ascii="Arial" w:hAnsi="Arial" w:cs="Arial"/>
                <w:bCs/>
                <w:sz w:val="20"/>
                <w:szCs w:val="20"/>
              </w:rPr>
              <w:t>Tratamiento</w:t>
            </w:r>
          </w:p>
        </w:tc>
        <w:tc>
          <w:tcPr>
            <w:tcW w:w="0" w:type="auto"/>
            <w:gridSpan w:val="3"/>
            <w:shd w:val="clear" w:color="auto" w:fill="auto"/>
          </w:tcPr>
          <w:p w:rsidR="00C1386C" w:rsidRPr="00C139E2" w:rsidRDefault="00C1386C" w:rsidP="007F2707">
            <w:pPr>
              <w:jc w:val="center"/>
              <w:rPr>
                <w:rFonts w:ascii="Arial" w:hAnsi="Arial" w:cs="Arial"/>
                <w:bCs/>
                <w:sz w:val="20"/>
                <w:szCs w:val="20"/>
              </w:rPr>
            </w:pPr>
            <w:r w:rsidRPr="00C139E2">
              <w:rPr>
                <w:rFonts w:ascii="Arial" w:hAnsi="Arial" w:cs="Arial"/>
                <w:bCs/>
                <w:sz w:val="20"/>
                <w:szCs w:val="20"/>
              </w:rPr>
              <w:t>Biomasa (g)</w:t>
            </w:r>
          </w:p>
        </w:tc>
      </w:tr>
      <w:tr w:rsidR="00C1386C" w:rsidRPr="00C139E2" w:rsidTr="007F2707">
        <w:trPr>
          <w:jc w:val="center"/>
        </w:trPr>
        <w:tc>
          <w:tcPr>
            <w:tcW w:w="0" w:type="auto"/>
            <w:vMerge/>
            <w:shd w:val="clear" w:color="auto" w:fill="auto"/>
          </w:tcPr>
          <w:p w:rsidR="00C1386C" w:rsidRPr="00C139E2" w:rsidRDefault="00C1386C" w:rsidP="007F2707">
            <w:pPr>
              <w:jc w:val="both"/>
              <w:rPr>
                <w:rFonts w:ascii="Arial" w:hAnsi="Arial" w:cs="Arial"/>
                <w:bCs/>
                <w:sz w:val="20"/>
                <w:szCs w:val="20"/>
              </w:rPr>
            </w:pPr>
          </w:p>
        </w:tc>
        <w:tc>
          <w:tcPr>
            <w:tcW w:w="0" w:type="auto"/>
            <w:shd w:val="clear" w:color="auto" w:fill="auto"/>
          </w:tcPr>
          <w:p w:rsidR="00C1386C" w:rsidRPr="00C139E2" w:rsidRDefault="00C1386C" w:rsidP="007F2707">
            <w:pPr>
              <w:jc w:val="both"/>
              <w:rPr>
                <w:rFonts w:ascii="Arial" w:hAnsi="Arial" w:cs="Arial"/>
                <w:bCs/>
                <w:sz w:val="20"/>
                <w:szCs w:val="20"/>
              </w:rPr>
            </w:pPr>
            <w:r w:rsidRPr="00C139E2">
              <w:rPr>
                <w:rFonts w:ascii="Arial" w:hAnsi="Arial" w:cs="Arial"/>
                <w:bCs/>
                <w:sz w:val="20"/>
                <w:szCs w:val="20"/>
              </w:rPr>
              <w:t>4 días de digestión</w:t>
            </w:r>
          </w:p>
        </w:tc>
        <w:tc>
          <w:tcPr>
            <w:tcW w:w="0" w:type="auto"/>
            <w:shd w:val="clear" w:color="auto" w:fill="auto"/>
          </w:tcPr>
          <w:p w:rsidR="00C1386C" w:rsidRPr="00C139E2" w:rsidRDefault="00C1386C" w:rsidP="007F2707">
            <w:pPr>
              <w:jc w:val="both"/>
              <w:rPr>
                <w:rFonts w:ascii="Arial" w:hAnsi="Arial" w:cs="Arial"/>
                <w:bCs/>
                <w:sz w:val="20"/>
                <w:szCs w:val="20"/>
              </w:rPr>
            </w:pPr>
            <w:r w:rsidRPr="00C139E2">
              <w:rPr>
                <w:rFonts w:ascii="Arial" w:hAnsi="Arial" w:cs="Arial"/>
                <w:bCs/>
                <w:sz w:val="20"/>
                <w:szCs w:val="20"/>
              </w:rPr>
              <w:t>8 días de digestión</w:t>
            </w:r>
          </w:p>
        </w:tc>
        <w:tc>
          <w:tcPr>
            <w:tcW w:w="0" w:type="auto"/>
            <w:shd w:val="clear" w:color="auto" w:fill="auto"/>
          </w:tcPr>
          <w:p w:rsidR="00C1386C" w:rsidRPr="00C139E2" w:rsidRDefault="00C1386C" w:rsidP="007F2707">
            <w:pPr>
              <w:jc w:val="both"/>
              <w:rPr>
                <w:rFonts w:ascii="Arial" w:hAnsi="Arial" w:cs="Arial"/>
                <w:bCs/>
                <w:sz w:val="20"/>
                <w:szCs w:val="20"/>
              </w:rPr>
            </w:pPr>
            <w:r w:rsidRPr="00C139E2">
              <w:rPr>
                <w:rFonts w:ascii="Arial" w:hAnsi="Arial" w:cs="Arial"/>
                <w:bCs/>
                <w:sz w:val="20"/>
                <w:szCs w:val="20"/>
              </w:rPr>
              <w:t>20 días de digestión</w:t>
            </w:r>
          </w:p>
          <w:p w:rsidR="00C1386C" w:rsidRPr="00C139E2" w:rsidRDefault="00C1386C" w:rsidP="007F2707">
            <w:pPr>
              <w:jc w:val="both"/>
              <w:rPr>
                <w:rFonts w:ascii="Arial" w:hAnsi="Arial" w:cs="Arial"/>
                <w:bCs/>
                <w:sz w:val="20"/>
                <w:szCs w:val="20"/>
              </w:rPr>
            </w:pPr>
          </w:p>
        </w:tc>
      </w:tr>
      <w:tr w:rsidR="00C1386C" w:rsidRPr="00C139E2" w:rsidTr="007F2707">
        <w:trPr>
          <w:jc w:val="center"/>
        </w:trPr>
        <w:tc>
          <w:tcPr>
            <w:tcW w:w="0" w:type="auto"/>
            <w:shd w:val="clear" w:color="auto" w:fill="auto"/>
          </w:tcPr>
          <w:p w:rsidR="00C1386C" w:rsidRPr="00C139E2" w:rsidRDefault="00C1386C" w:rsidP="007F2707">
            <w:pPr>
              <w:jc w:val="both"/>
              <w:rPr>
                <w:rFonts w:ascii="Arial" w:hAnsi="Arial" w:cs="Arial"/>
                <w:bCs/>
                <w:sz w:val="20"/>
                <w:szCs w:val="20"/>
              </w:rPr>
            </w:pPr>
            <w:r w:rsidRPr="00C139E2">
              <w:rPr>
                <w:rFonts w:ascii="Arial" w:hAnsi="Arial" w:cs="Arial"/>
                <w:bCs/>
                <w:sz w:val="20"/>
                <w:szCs w:val="20"/>
              </w:rPr>
              <w:t>pH 5.5</w:t>
            </w:r>
          </w:p>
        </w:tc>
        <w:tc>
          <w:tcPr>
            <w:tcW w:w="0" w:type="auto"/>
            <w:shd w:val="clear" w:color="auto" w:fill="auto"/>
          </w:tcPr>
          <w:p w:rsidR="00C1386C" w:rsidRPr="00C139E2" w:rsidRDefault="00C1386C" w:rsidP="007F2707">
            <w:pPr>
              <w:jc w:val="center"/>
              <w:rPr>
                <w:rFonts w:ascii="Arial" w:hAnsi="Arial" w:cs="Arial"/>
                <w:bCs/>
                <w:sz w:val="20"/>
                <w:szCs w:val="20"/>
              </w:rPr>
            </w:pPr>
            <w:r w:rsidRPr="00C139E2">
              <w:rPr>
                <w:rFonts w:ascii="Arial" w:hAnsi="Arial" w:cs="Arial"/>
                <w:bCs/>
                <w:sz w:val="20"/>
                <w:szCs w:val="20"/>
              </w:rPr>
              <w:t>49.5 c</w:t>
            </w:r>
          </w:p>
        </w:tc>
        <w:tc>
          <w:tcPr>
            <w:tcW w:w="0" w:type="auto"/>
            <w:shd w:val="clear" w:color="auto" w:fill="auto"/>
          </w:tcPr>
          <w:p w:rsidR="00C1386C" w:rsidRPr="00C139E2" w:rsidRDefault="00C1386C" w:rsidP="007F2707">
            <w:pPr>
              <w:jc w:val="center"/>
              <w:rPr>
                <w:rFonts w:ascii="Arial" w:hAnsi="Arial" w:cs="Arial"/>
                <w:bCs/>
                <w:sz w:val="20"/>
                <w:szCs w:val="20"/>
              </w:rPr>
            </w:pPr>
            <w:r w:rsidRPr="00C139E2">
              <w:rPr>
                <w:rFonts w:ascii="Arial" w:hAnsi="Arial" w:cs="Arial"/>
                <w:bCs/>
                <w:sz w:val="20"/>
                <w:szCs w:val="20"/>
              </w:rPr>
              <w:t>58.8 ab</w:t>
            </w:r>
          </w:p>
        </w:tc>
        <w:tc>
          <w:tcPr>
            <w:tcW w:w="0" w:type="auto"/>
            <w:shd w:val="clear" w:color="auto" w:fill="auto"/>
          </w:tcPr>
          <w:p w:rsidR="00C1386C" w:rsidRPr="00C139E2" w:rsidRDefault="00C1386C" w:rsidP="007F2707">
            <w:pPr>
              <w:jc w:val="center"/>
              <w:rPr>
                <w:rFonts w:ascii="Arial" w:hAnsi="Arial" w:cs="Arial"/>
                <w:bCs/>
                <w:sz w:val="20"/>
                <w:szCs w:val="20"/>
              </w:rPr>
            </w:pPr>
            <w:r w:rsidRPr="00C139E2">
              <w:rPr>
                <w:rFonts w:ascii="Arial" w:hAnsi="Arial" w:cs="Arial"/>
                <w:bCs/>
                <w:sz w:val="20"/>
                <w:szCs w:val="20"/>
              </w:rPr>
              <w:t>62.4 a</w:t>
            </w:r>
          </w:p>
          <w:p w:rsidR="00C1386C" w:rsidRPr="00C139E2" w:rsidRDefault="00C1386C" w:rsidP="007F2707">
            <w:pPr>
              <w:jc w:val="center"/>
              <w:rPr>
                <w:rFonts w:ascii="Arial" w:hAnsi="Arial" w:cs="Arial"/>
                <w:bCs/>
                <w:sz w:val="20"/>
                <w:szCs w:val="20"/>
              </w:rPr>
            </w:pPr>
          </w:p>
        </w:tc>
      </w:tr>
      <w:tr w:rsidR="00C1386C" w:rsidRPr="00C139E2" w:rsidTr="007F2707">
        <w:trPr>
          <w:jc w:val="center"/>
        </w:trPr>
        <w:tc>
          <w:tcPr>
            <w:tcW w:w="0" w:type="auto"/>
            <w:shd w:val="clear" w:color="auto" w:fill="auto"/>
          </w:tcPr>
          <w:p w:rsidR="00C1386C" w:rsidRPr="00C139E2" w:rsidRDefault="00C1386C" w:rsidP="007F2707">
            <w:pPr>
              <w:jc w:val="both"/>
              <w:rPr>
                <w:rFonts w:ascii="Arial" w:hAnsi="Arial" w:cs="Arial"/>
                <w:bCs/>
                <w:sz w:val="20"/>
                <w:szCs w:val="20"/>
              </w:rPr>
            </w:pPr>
            <w:r w:rsidRPr="00C139E2">
              <w:rPr>
                <w:rFonts w:ascii="Arial" w:hAnsi="Arial" w:cs="Arial"/>
                <w:bCs/>
                <w:sz w:val="20"/>
                <w:szCs w:val="20"/>
              </w:rPr>
              <w:lastRenderedPageBreak/>
              <w:t>pH 7.5</w:t>
            </w:r>
          </w:p>
        </w:tc>
        <w:tc>
          <w:tcPr>
            <w:tcW w:w="0" w:type="auto"/>
            <w:shd w:val="clear" w:color="auto" w:fill="auto"/>
          </w:tcPr>
          <w:p w:rsidR="00C1386C" w:rsidRPr="00C139E2" w:rsidRDefault="00C1386C" w:rsidP="007F2707">
            <w:pPr>
              <w:jc w:val="center"/>
              <w:rPr>
                <w:rFonts w:ascii="Arial" w:hAnsi="Arial" w:cs="Arial"/>
                <w:bCs/>
                <w:sz w:val="20"/>
                <w:szCs w:val="20"/>
              </w:rPr>
            </w:pPr>
            <w:r w:rsidRPr="00C139E2">
              <w:rPr>
                <w:rFonts w:ascii="Arial" w:hAnsi="Arial" w:cs="Arial"/>
                <w:bCs/>
                <w:sz w:val="20"/>
                <w:szCs w:val="20"/>
              </w:rPr>
              <w:t>58.4 ab</w:t>
            </w:r>
          </w:p>
        </w:tc>
        <w:tc>
          <w:tcPr>
            <w:tcW w:w="0" w:type="auto"/>
            <w:shd w:val="clear" w:color="auto" w:fill="auto"/>
          </w:tcPr>
          <w:p w:rsidR="00C1386C" w:rsidRPr="00C139E2" w:rsidRDefault="00C1386C" w:rsidP="007F2707">
            <w:pPr>
              <w:jc w:val="center"/>
              <w:rPr>
                <w:rFonts w:ascii="Arial" w:hAnsi="Arial" w:cs="Arial"/>
                <w:bCs/>
                <w:sz w:val="20"/>
                <w:szCs w:val="20"/>
              </w:rPr>
            </w:pPr>
            <w:r w:rsidRPr="00C139E2">
              <w:rPr>
                <w:rFonts w:ascii="Arial" w:hAnsi="Arial" w:cs="Arial"/>
                <w:bCs/>
                <w:sz w:val="20"/>
                <w:szCs w:val="20"/>
              </w:rPr>
              <w:t>51.2 b</w:t>
            </w:r>
          </w:p>
        </w:tc>
        <w:tc>
          <w:tcPr>
            <w:tcW w:w="0" w:type="auto"/>
            <w:shd w:val="clear" w:color="auto" w:fill="auto"/>
          </w:tcPr>
          <w:p w:rsidR="00C1386C" w:rsidRPr="00C139E2" w:rsidRDefault="00C1386C" w:rsidP="007F2707">
            <w:pPr>
              <w:jc w:val="center"/>
              <w:rPr>
                <w:rFonts w:ascii="Arial" w:hAnsi="Arial" w:cs="Arial"/>
                <w:bCs/>
                <w:sz w:val="20"/>
                <w:szCs w:val="20"/>
              </w:rPr>
            </w:pPr>
            <w:r w:rsidRPr="00C139E2">
              <w:rPr>
                <w:rFonts w:ascii="Arial" w:hAnsi="Arial" w:cs="Arial"/>
                <w:bCs/>
                <w:sz w:val="20"/>
                <w:szCs w:val="20"/>
              </w:rPr>
              <w:t>58.2 ab</w:t>
            </w:r>
          </w:p>
          <w:p w:rsidR="00C1386C" w:rsidRPr="00C139E2" w:rsidRDefault="00C1386C" w:rsidP="007F2707">
            <w:pPr>
              <w:jc w:val="center"/>
              <w:rPr>
                <w:rFonts w:ascii="Arial" w:hAnsi="Arial" w:cs="Arial"/>
                <w:bCs/>
                <w:sz w:val="20"/>
                <w:szCs w:val="20"/>
              </w:rPr>
            </w:pPr>
          </w:p>
        </w:tc>
      </w:tr>
      <w:tr w:rsidR="00C1386C" w:rsidRPr="00C139E2" w:rsidTr="007F2707">
        <w:trPr>
          <w:jc w:val="center"/>
        </w:trPr>
        <w:tc>
          <w:tcPr>
            <w:tcW w:w="0" w:type="auto"/>
            <w:shd w:val="clear" w:color="auto" w:fill="auto"/>
          </w:tcPr>
          <w:p w:rsidR="00C1386C" w:rsidRPr="00C139E2" w:rsidRDefault="00C1386C" w:rsidP="007F2707">
            <w:pPr>
              <w:jc w:val="both"/>
              <w:rPr>
                <w:rFonts w:ascii="Arial" w:hAnsi="Arial" w:cs="Arial"/>
                <w:bCs/>
                <w:sz w:val="20"/>
                <w:szCs w:val="20"/>
              </w:rPr>
            </w:pPr>
            <w:r w:rsidRPr="00C139E2">
              <w:rPr>
                <w:rFonts w:ascii="Arial" w:hAnsi="Arial" w:cs="Arial"/>
                <w:bCs/>
                <w:sz w:val="20"/>
                <w:szCs w:val="20"/>
              </w:rPr>
              <w:t>Control -</w:t>
            </w:r>
          </w:p>
        </w:tc>
        <w:tc>
          <w:tcPr>
            <w:tcW w:w="0" w:type="auto"/>
            <w:shd w:val="clear" w:color="auto" w:fill="auto"/>
          </w:tcPr>
          <w:p w:rsidR="00C1386C" w:rsidRPr="00C139E2" w:rsidRDefault="00C1386C" w:rsidP="007F2707">
            <w:pPr>
              <w:jc w:val="center"/>
              <w:rPr>
                <w:rFonts w:ascii="Arial" w:hAnsi="Arial" w:cs="Arial"/>
                <w:bCs/>
                <w:sz w:val="20"/>
                <w:szCs w:val="20"/>
              </w:rPr>
            </w:pPr>
            <w:r w:rsidRPr="00C139E2">
              <w:rPr>
                <w:rFonts w:ascii="Arial" w:hAnsi="Arial" w:cs="Arial"/>
                <w:bCs/>
                <w:sz w:val="20"/>
                <w:szCs w:val="20"/>
              </w:rPr>
              <w:t>49.1 c</w:t>
            </w:r>
          </w:p>
        </w:tc>
        <w:tc>
          <w:tcPr>
            <w:tcW w:w="0" w:type="auto"/>
            <w:shd w:val="clear" w:color="auto" w:fill="auto"/>
          </w:tcPr>
          <w:p w:rsidR="00C1386C" w:rsidRPr="00C139E2" w:rsidRDefault="00C1386C" w:rsidP="007F2707">
            <w:pPr>
              <w:jc w:val="center"/>
              <w:rPr>
                <w:rFonts w:ascii="Arial" w:hAnsi="Arial" w:cs="Arial"/>
                <w:bCs/>
                <w:sz w:val="20"/>
                <w:szCs w:val="20"/>
              </w:rPr>
            </w:pPr>
          </w:p>
        </w:tc>
        <w:tc>
          <w:tcPr>
            <w:tcW w:w="0" w:type="auto"/>
            <w:shd w:val="clear" w:color="auto" w:fill="auto"/>
          </w:tcPr>
          <w:p w:rsidR="00C1386C" w:rsidRPr="00C139E2" w:rsidRDefault="00C1386C" w:rsidP="007F2707">
            <w:pPr>
              <w:jc w:val="center"/>
              <w:rPr>
                <w:rFonts w:ascii="Arial" w:hAnsi="Arial" w:cs="Arial"/>
                <w:bCs/>
                <w:sz w:val="20"/>
                <w:szCs w:val="20"/>
              </w:rPr>
            </w:pPr>
          </w:p>
          <w:p w:rsidR="00C1386C" w:rsidRPr="00C139E2" w:rsidRDefault="00C1386C" w:rsidP="007F2707">
            <w:pPr>
              <w:jc w:val="center"/>
              <w:rPr>
                <w:rFonts w:ascii="Arial" w:hAnsi="Arial" w:cs="Arial"/>
                <w:bCs/>
                <w:sz w:val="20"/>
                <w:szCs w:val="20"/>
              </w:rPr>
            </w:pPr>
          </w:p>
        </w:tc>
      </w:tr>
    </w:tbl>
    <w:p w:rsidR="00C1386C" w:rsidRDefault="00C1386C" w:rsidP="00C1386C">
      <w:pPr>
        <w:ind w:firstLine="708"/>
        <w:jc w:val="both"/>
        <w:rPr>
          <w:rFonts w:ascii="Arial" w:hAnsi="Arial" w:cs="Arial"/>
          <w:bCs/>
          <w:i/>
          <w:sz w:val="20"/>
          <w:szCs w:val="20"/>
        </w:rPr>
      </w:pPr>
    </w:p>
    <w:p w:rsidR="00C1386C" w:rsidRDefault="00C1386C" w:rsidP="00C1386C">
      <w:pPr>
        <w:rPr>
          <w:rFonts w:ascii="Arial" w:hAnsi="Arial" w:cs="Arial"/>
          <w:bCs/>
          <w:i/>
          <w:sz w:val="20"/>
          <w:szCs w:val="20"/>
        </w:rPr>
      </w:pPr>
    </w:p>
    <w:p w:rsidR="00C1386C" w:rsidRPr="007C0BE7" w:rsidRDefault="00C1386C" w:rsidP="00C1386C">
      <w:pPr>
        <w:pStyle w:val="Textoindependiente"/>
        <w:ind w:firstLine="539"/>
        <w:jc w:val="both"/>
        <w:rPr>
          <w:rFonts w:ascii="Arial" w:hAnsi="Arial" w:cs="Arial"/>
          <w:b w:val="0"/>
          <w:sz w:val="24"/>
        </w:rPr>
      </w:pPr>
      <w:r>
        <w:rPr>
          <w:rFonts w:ascii="Arial" w:hAnsi="Arial" w:cs="Arial"/>
          <w:b w:val="0"/>
          <w:sz w:val="24"/>
        </w:rPr>
        <w:t>L</w:t>
      </w:r>
      <w:r w:rsidRPr="00254C13">
        <w:rPr>
          <w:rFonts w:ascii="Arial" w:hAnsi="Arial" w:cs="Arial"/>
          <w:b w:val="0"/>
          <w:sz w:val="24"/>
        </w:rPr>
        <w:t xml:space="preserve">os resultados </w:t>
      </w:r>
      <w:r>
        <w:rPr>
          <w:rFonts w:ascii="Arial" w:hAnsi="Arial" w:cs="Arial"/>
          <w:b w:val="0"/>
          <w:sz w:val="24"/>
        </w:rPr>
        <w:t xml:space="preserve">obtenidos </w:t>
      </w:r>
      <w:r w:rsidRPr="00254C13">
        <w:rPr>
          <w:rFonts w:ascii="Arial" w:hAnsi="Arial" w:cs="Arial"/>
          <w:b w:val="0"/>
          <w:sz w:val="24"/>
        </w:rPr>
        <w:t>concuerdan con lo reportado por</w:t>
      </w:r>
      <w:r>
        <w:rPr>
          <w:rFonts w:ascii="Arial" w:hAnsi="Arial" w:cs="Arial"/>
          <w:b w:val="0"/>
          <w:sz w:val="24"/>
        </w:rPr>
        <w:t xml:space="preserve"> otros autores, por ejemplo,</w:t>
      </w:r>
      <w:r w:rsidRPr="00254C13">
        <w:rPr>
          <w:rFonts w:ascii="Arial" w:hAnsi="Arial" w:cs="Arial"/>
          <w:b w:val="0"/>
          <w:sz w:val="24"/>
        </w:rPr>
        <w:t xml:space="preserve"> Eickenscheidt </w:t>
      </w:r>
      <w:r w:rsidRPr="00254C13">
        <w:rPr>
          <w:rFonts w:ascii="Arial" w:hAnsi="Arial" w:cs="Arial"/>
          <w:b w:val="0"/>
          <w:i/>
          <w:sz w:val="24"/>
        </w:rPr>
        <w:t>et al.</w:t>
      </w:r>
      <w:r w:rsidRPr="00254C13">
        <w:rPr>
          <w:rFonts w:ascii="Arial" w:hAnsi="Arial" w:cs="Arial"/>
          <w:b w:val="0"/>
          <w:sz w:val="24"/>
        </w:rPr>
        <w:t xml:space="preserve"> </w:t>
      </w:r>
      <w:r>
        <w:rPr>
          <w:vertAlign w:val="superscript"/>
        </w:rPr>
        <w:t>[12]</w:t>
      </w:r>
      <w:r>
        <w:rPr>
          <w:rFonts w:ascii="Arial" w:hAnsi="Arial" w:cs="Arial"/>
          <w:b w:val="0"/>
          <w:sz w:val="24"/>
        </w:rPr>
        <w:t xml:space="preserve"> </w:t>
      </w:r>
      <w:r w:rsidRPr="00254C13">
        <w:rPr>
          <w:rFonts w:ascii="Arial" w:hAnsi="Arial" w:cs="Arial"/>
          <w:b w:val="0"/>
          <w:sz w:val="24"/>
        </w:rPr>
        <w:t>encontraron que la aplicación de digestato a una parcela con pasto incrementó su rendimiento y la eficiencia aparente del uso de N total comparado con la aplicación de estiércol líquido.</w:t>
      </w:r>
      <w:r>
        <w:rPr>
          <w:rFonts w:ascii="Arial" w:hAnsi="Arial" w:cs="Arial"/>
          <w:b w:val="0"/>
          <w:sz w:val="24"/>
        </w:rPr>
        <w:t xml:space="preserve"> </w:t>
      </w:r>
      <w:r w:rsidRPr="00C22942">
        <w:rPr>
          <w:rFonts w:ascii="Arial" w:hAnsi="Arial" w:cs="Arial"/>
          <w:b w:val="0"/>
          <w:sz w:val="24"/>
        </w:rPr>
        <w:t>Temper</w:t>
      </w:r>
      <w:r>
        <w:rPr>
          <w:rFonts w:ascii="Arial" w:hAnsi="Arial" w:cs="Arial"/>
          <w:b w:val="0"/>
          <w:sz w:val="24"/>
        </w:rPr>
        <w:t xml:space="preserve">e y Viiralt </w:t>
      </w:r>
      <w:r>
        <w:rPr>
          <w:vertAlign w:val="superscript"/>
        </w:rPr>
        <w:t>[13]</w:t>
      </w:r>
      <w:r w:rsidRPr="00C22942">
        <w:rPr>
          <w:rFonts w:ascii="Arial" w:hAnsi="Arial" w:cs="Arial"/>
          <w:b w:val="0"/>
          <w:sz w:val="24"/>
        </w:rPr>
        <w:t xml:space="preserve"> encontraron que al aplicar digestato hubo mayor rendimiento en praderas que donde no se fertilizó o usando fertilizante químico.</w:t>
      </w:r>
      <w:r>
        <w:rPr>
          <w:rFonts w:ascii="Arial" w:hAnsi="Arial" w:cs="Arial"/>
          <w:b w:val="0"/>
          <w:sz w:val="24"/>
        </w:rPr>
        <w:t xml:space="preserve"> Eich-Greatorex et al. </w:t>
      </w:r>
      <w:r>
        <w:rPr>
          <w:vertAlign w:val="superscript"/>
        </w:rPr>
        <w:t>[14]</w:t>
      </w:r>
      <w:r w:rsidRPr="00254C13">
        <w:rPr>
          <w:rFonts w:ascii="Arial" w:hAnsi="Arial" w:cs="Arial"/>
          <w:b w:val="0"/>
          <w:sz w:val="24"/>
        </w:rPr>
        <w:t xml:space="preserve"> reportaron que la adición de digestato dio un efecto positivo en la producción de biomasa de dos tipos de pasto, posiblemente por la rápida mineralización, por lo que hubo mayor cantidad de N disponible y por la cantidad de P </w:t>
      </w:r>
      <w:r>
        <w:rPr>
          <w:rFonts w:ascii="Arial" w:hAnsi="Arial" w:cs="Arial"/>
          <w:b w:val="0"/>
          <w:sz w:val="24"/>
        </w:rPr>
        <w:t xml:space="preserve">proporcionada por el digestato. </w:t>
      </w:r>
    </w:p>
    <w:p w:rsidR="00C1386C" w:rsidRPr="007C0BE7" w:rsidRDefault="00C1386C" w:rsidP="00C1386C">
      <w:pPr>
        <w:pStyle w:val="Ttulo1"/>
        <w:keepLines w:val="0"/>
        <w:tabs>
          <w:tab w:val="left" w:pos="0"/>
        </w:tabs>
        <w:suppressAutoHyphens/>
        <w:spacing w:before="0" w:after="0" w:line="360" w:lineRule="auto"/>
        <w:rPr>
          <w:rFonts w:ascii="Arial" w:hAnsi="Arial" w:cs="Arial"/>
          <w:i/>
        </w:rPr>
      </w:pPr>
    </w:p>
    <w:p w:rsidR="00C1386C" w:rsidRPr="00C1386C" w:rsidRDefault="00C1386C" w:rsidP="00C1386C">
      <w:pPr>
        <w:pStyle w:val="Ttulo1"/>
        <w:keepLines w:val="0"/>
        <w:tabs>
          <w:tab w:val="left" w:pos="0"/>
        </w:tabs>
        <w:suppressAutoHyphens/>
        <w:spacing w:before="0" w:after="0" w:line="360" w:lineRule="auto"/>
        <w:rPr>
          <w:rFonts w:ascii="Arial" w:hAnsi="Arial" w:cs="Arial"/>
          <w:i/>
          <w:sz w:val="24"/>
          <w:szCs w:val="24"/>
        </w:rPr>
      </w:pPr>
      <w:bookmarkStart w:id="226" w:name="_Toc50031308"/>
      <w:r w:rsidRPr="00C1386C">
        <w:rPr>
          <w:rFonts w:ascii="Arial" w:hAnsi="Arial" w:cs="Arial"/>
          <w:i/>
          <w:caps/>
          <w:sz w:val="24"/>
          <w:szCs w:val="24"/>
        </w:rPr>
        <w:t xml:space="preserve">5. </w:t>
      </w:r>
      <w:r w:rsidRPr="00C1386C">
        <w:rPr>
          <w:rFonts w:ascii="Arial" w:hAnsi="Arial" w:cs="Arial"/>
          <w:i/>
          <w:sz w:val="24"/>
          <w:szCs w:val="24"/>
        </w:rPr>
        <w:t>Conclusiones</w:t>
      </w:r>
      <w:bookmarkEnd w:id="226"/>
    </w:p>
    <w:p w:rsidR="00C1386C" w:rsidRDefault="00C1386C" w:rsidP="00C1386C">
      <w:pPr>
        <w:pStyle w:val="Textoindependiente"/>
        <w:ind w:firstLine="539"/>
        <w:jc w:val="both"/>
        <w:rPr>
          <w:rFonts w:ascii="Arial" w:hAnsi="Arial" w:cs="Arial"/>
          <w:b w:val="0"/>
          <w:sz w:val="24"/>
        </w:rPr>
      </w:pPr>
      <w:r w:rsidRPr="007C0BE7">
        <w:rPr>
          <w:rFonts w:ascii="Arial" w:hAnsi="Arial" w:cs="Arial"/>
          <w:b w:val="0"/>
          <w:sz w:val="24"/>
        </w:rPr>
        <w:t>Los digestato obtenidos independienteme</w:t>
      </w:r>
      <w:r>
        <w:rPr>
          <w:rFonts w:ascii="Arial" w:hAnsi="Arial" w:cs="Arial"/>
          <w:b w:val="0"/>
          <w:sz w:val="24"/>
        </w:rPr>
        <w:t>nte del pH inicial del proceso de digestión (5.5 o 7.5)</w:t>
      </w:r>
      <w:r w:rsidRPr="007C0BE7">
        <w:rPr>
          <w:rFonts w:ascii="Arial" w:hAnsi="Arial" w:cs="Arial"/>
          <w:b w:val="0"/>
          <w:sz w:val="24"/>
        </w:rPr>
        <w:t>, tuvieron un e</w:t>
      </w:r>
      <w:r>
        <w:rPr>
          <w:rFonts w:ascii="Arial" w:hAnsi="Arial" w:cs="Arial"/>
          <w:b w:val="0"/>
          <w:sz w:val="24"/>
        </w:rPr>
        <w:t>fecto fertilizante en el pasto B</w:t>
      </w:r>
      <w:r w:rsidRPr="007C0BE7">
        <w:rPr>
          <w:rFonts w:ascii="Arial" w:hAnsi="Arial" w:cs="Arial"/>
          <w:b w:val="0"/>
          <w:sz w:val="24"/>
        </w:rPr>
        <w:t>allico</w:t>
      </w:r>
      <w:r>
        <w:rPr>
          <w:rFonts w:ascii="Arial" w:hAnsi="Arial" w:cs="Arial"/>
          <w:b w:val="0"/>
          <w:sz w:val="24"/>
        </w:rPr>
        <w:t xml:space="preserve"> perenne, incrementando tanto la altura como la biomasa. Se recomienda que la digestión se deje durante 20 días, ya que de esta forma la biomasa incrementó hasta un 27% comparado con el control negativo, esto en términos económicos puede ser un ahorro para la obtención de forrajes. </w:t>
      </w:r>
      <w:r w:rsidRPr="007C0BE7">
        <w:rPr>
          <w:rFonts w:ascii="Arial" w:hAnsi="Arial" w:cs="Arial"/>
          <w:b w:val="0"/>
          <w:sz w:val="24"/>
        </w:rPr>
        <w:t xml:space="preserve"> </w:t>
      </w:r>
    </w:p>
    <w:p w:rsidR="00C1386C" w:rsidRPr="00FA5EA4" w:rsidRDefault="00C1386C" w:rsidP="00C1386C">
      <w:pPr>
        <w:pStyle w:val="Textoindependiente"/>
        <w:ind w:firstLine="539"/>
        <w:rPr>
          <w:rFonts w:ascii="Arial" w:hAnsi="Arial" w:cs="Arial"/>
          <w:b w:val="0"/>
          <w:sz w:val="24"/>
        </w:rPr>
      </w:pPr>
    </w:p>
    <w:p w:rsidR="00C1386C" w:rsidRPr="00C1386C" w:rsidRDefault="00C1386C" w:rsidP="00C1386C">
      <w:pPr>
        <w:pStyle w:val="Ttulo1"/>
        <w:keepLines w:val="0"/>
        <w:tabs>
          <w:tab w:val="left" w:pos="0"/>
        </w:tabs>
        <w:suppressAutoHyphens/>
        <w:spacing w:before="0" w:after="0" w:line="360" w:lineRule="auto"/>
        <w:rPr>
          <w:rFonts w:ascii="Arial" w:hAnsi="Arial" w:cs="Arial"/>
          <w:i/>
          <w:sz w:val="24"/>
          <w:szCs w:val="24"/>
        </w:rPr>
      </w:pPr>
      <w:bookmarkStart w:id="227" w:name="_Toc50031309"/>
      <w:r w:rsidRPr="00C1386C">
        <w:rPr>
          <w:rFonts w:ascii="Arial" w:hAnsi="Arial" w:cs="Arial"/>
          <w:i/>
          <w:caps/>
          <w:sz w:val="24"/>
          <w:szCs w:val="24"/>
        </w:rPr>
        <w:t xml:space="preserve">6. </w:t>
      </w:r>
      <w:r w:rsidRPr="00C1386C">
        <w:rPr>
          <w:rFonts w:ascii="Arial" w:hAnsi="Arial" w:cs="Arial"/>
          <w:i/>
          <w:sz w:val="24"/>
          <w:szCs w:val="24"/>
        </w:rPr>
        <w:t>Bibliografía</w:t>
      </w:r>
      <w:bookmarkEnd w:id="227"/>
    </w:p>
    <w:p w:rsidR="00C1386C" w:rsidRDefault="00C1386C" w:rsidP="00C1386C">
      <w:pPr>
        <w:numPr>
          <w:ilvl w:val="0"/>
          <w:numId w:val="38"/>
        </w:numPr>
        <w:suppressAutoHyphens/>
        <w:spacing w:after="0" w:line="240" w:lineRule="auto"/>
        <w:jc w:val="both"/>
        <w:rPr>
          <w:rFonts w:ascii="Arial" w:hAnsi="Arial" w:cs="Arial"/>
          <w:lang w:val="en-US"/>
        </w:rPr>
      </w:pPr>
      <w:r w:rsidRPr="009823B2">
        <w:rPr>
          <w:rFonts w:ascii="Arial" w:hAnsi="Arial" w:cs="Arial"/>
          <w:lang w:val="en-US"/>
        </w:rPr>
        <w:t>Adekunle, K. F., Okolie, J. A. (2015). A Review of Biochemical Process of Anaerobic Digestion. Advances in Bioscience and Biotechnology, 6, 205-212.</w:t>
      </w:r>
    </w:p>
    <w:p w:rsidR="00C1386C" w:rsidRDefault="00C1386C" w:rsidP="00C1386C">
      <w:pPr>
        <w:numPr>
          <w:ilvl w:val="0"/>
          <w:numId w:val="38"/>
        </w:numPr>
        <w:tabs>
          <w:tab w:val="left" w:pos="0"/>
          <w:tab w:val="left" w:pos="360"/>
        </w:tabs>
        <w:suppressAutoHyphens/>
        <w:spacing w:after="0" w:line="240" w:lineRule="auto"/>
        <w:jc w:val="both"/>
        <w:rPr>
          <w:rFonts w:ascii="Arial" w:hAnsi="Arial" w:cs="Arial"/>
          <w:lang w:val="en-US"/>
        </w:rPr>
      </w:pPr>
      <w:r w:rsidRPr="007C0BE7">
        <w:rPr>
          <w:rFonts w:ascii="Arial" w:hAnsi="Arial" w:cs="Arial"/>
          <w:lang w:val="en-US"/>
        </w:rPr>
        <w:t>Mao, C., Feng, Y., Wang, X., Ren, G. Review on research achievements of biogas from anaerobic digestion. Renewa. Sustain. Ener. Rev. V. 45, 540–555 (2015).</w:t>
      </w:r>
    </w:p>
    <w:p w:rsidR="00C1386C" w:rsidRDefault="00C1386C" w:rsidP="00C1386C">
      <w:pPr>
        <w:numPr>
          <w:ilvl w:val="0"/>
          <w:numId w:val="38"/>
        </w:numPr>
        <w:suppressAutoHyphens/>
        <w:spacing w:after="0" w:line="240" w:lineRule="auto"/>
        <w:jc w:val="both"/>
        <w:rPr>
          <w:rFonts w:ascii="Arial" w:hAnsi="Arial" w:cs="Arial"/>
          <w:lang w:val="en-US"/>
        </w:rPr>
      </w:pPr>
      <w:r>
        <w:rPr>
          <w:rFonts w:ascii="Arial" w:hAnsi="Arial" w:cs="Arial"/>
          <w:lang w:val="en-US"/>
        </w:rPr>
        <w:t>Kalyuzhnyl S.V., Fedorovieh V.V., Lens P. Dispersed plug flow model for upflow anaerobic sludge bed reactors woth focus on granular sludge dynamics. J Ind. Microbio. Biotehcnol. V. 33, 221-237 (2006).</w:t>
      </w:r>
    </w:p>
    <w:p w:rsidR="00C1386C" w:rsidRPr="007C0BE7" w:rsidRDefault="00C1386C" w:rsidP="00C1386C">
      <w:pPr>
        <w:numPr>
          <w:ilvl w:val="0"/>
          <w:numId w:val="38"/>
        </w:numPr>
        <w:suppressAutoHyphens/>
        <w:spacing w:after="0" w:line="240" w:lineRule="auto"/>
        <w:jc w:val="both"/>
        <w:rPr>
          <w:rFonts w:ascii="Arial" w:hAnsi="Arial" w:cs="Arial"/>
          <w:lang w:val="en-US"/>
        </w:rPr>
      </w:pPr>
      <w:r w:rsidRPr="007C0BE7">
        <w:rPr>
          <w:rFonts w:ascii="Arial" w:hAnsi="Arial" w:cs="Arial"/>
          <w:lang w:val="en-US"/>
        </w:rPr>
        <w:t>Xin, L., Jianbin, G., Changle, P., Renjie, D. Anaerobic Digestion and Storage Influence Availability of PlantHormones in Livestock Slurry. ACS Sustain. Chem. Eng. V. 4, 719−727 (2016).</w:t>
      </w:r>
    </w:p>
    <w:p w:rsidR="00C1386C" w:rsidRDefault="00C1386C" w:rsidP="00C1386C">
      <w:pPr>
        <w:numPr>
          <w:ilvl w:val="0"/>
          <w:numId w:val="38"/>
        </w:numPr>
        <w:suppressAutoHyphens/>
        <w:spacing w:after="0" w:line="240" w:lineRule="auto"/>
        <w:jc w:val="both"/>
        <w:rPr>
          <w:rFonts w:ascii="Arial" w:hAnsi="Arial" w:cs="Arial"/>
          <w:lang w:val="en-US"/>
        </w:rPr>
      </w:pPr>
      <w:r w:rsidRPr="007C0BE7">
        <w:rPr>
          <w:rFonts w:ascii="Arial" w:hAnsi="Arial" w:cs="Arial"/>
          <w:lang w:val="en-US"/>
        </w:rPr>
        <w:lastRenderedPageBreak/>
        <w:t xml:space="preserve">Bustamante M.A., Albuquerque J.A., Restrepo A.P., De la Fuente C., Paredes C., Moral R., Co-composting of solid fraction of anaerobic digestate, to obtain added – value materials for use in agricultura. </w:t>
      </w:r>
      <w:r>
        <w:rPr>
          <w:rFonts w:ascii="Arial" w:hAnsi="Arial" w:cs="Arial"/>
          <w:lang w:val="en-US"/>
        </w:rPr>
        <w:t>Biomass. Bioener. V. 23, 26-35 (2012).</w:t>
      </w:r>
    </w:p>
    <w:p w:rsidR="00C1386C" w:rsidRPr="007C0BE7" w:rsidRDefault="00C1386C" w:rsidP="00C1386C">
      <w:pPr>
        <w:numPr>
          <w:ilvl w:val="0"/>
          <w:numId w:val="38"/>
        </w:numPr>
        <w:suppressAutoHyphens/>
        <w:spacing w:after="0" w:line="240" w:lineRule="auto"/>
        <w:jc w:val="both"/>
        <w:rPr>
          <w:rFonts w:ascii="Arial" w:hAnsi="Arial" w:cs="Arial"/>
          <w:lang w:val="en-US"/>
        </w:rPr>
      </w:pPr>
      <w:r w:rsidRPr="007C0BE7">
        <w:rPr>
          <w:rFonts w:ascii="Arial" w:hAnsi="Arial" w:cs="Arial"/>
          <w:lang w:val="en-US"/>
        </w:rPr>
        <w:t>Gutiérrez-Miceli F.A., Santiago-Boraz J., Montes-Molina J.A., Carlos-Nafate C., Abud-Archila M., Oliva-Llaven M.A., Rincon.Rosales R., Dendooven L. Veermicompost as a soil supplement to enhance the growth, yield and quality of tomato fruit (Licopersicum escu</w:t>
      </w:r>
      <w:r>
        <w:rPr>
          <w:rFonts w:ascii="Arial" w:hAnsi="Arial" w:cs="Arial"/>
          <w:lang w:val="en-US"/>
        </w:rPr>
        <w:t>lentum). Biores. Tecnjol. V. 98, 2781-2786 (2007).</w:t>
      </w:r>
    </w:p>
    <w:p w:rsidR="00C1386C" w:rsidRPr="007C0BE7" w:rsidRDefault="00C1386C" w:rsidP="00C1386C">
      <w:pPr>
        <w:numPr>
          <w:ilvl w:val="0"/>
          <w:numId w:val="38"/>
        </w:numPr>
        <w:suppressAutoHyphens/>
        <w:spacing w:after="0" w:line="240" w:lineRule="auto"/>
        <w:jc w:val="both"/>
        <w:rPr>
          <w:rFonts w:ascii="Arial" w:hAnsi="Arial" w:cs="Arial"/>
          <w:lang w:val="en-US"/>
        </w:rPr>
      </w:pPr>
      <w:r w:rsidRPr="007C0BE7">
        <w:rPr>
          <w:rFonts w:ascii="Arial" w:hAnsi="Arial" w:cs="Arial"/>
          <w:lang w:val="en-US"/>
        </w:rPr>
        <w:t>Baca, B. E., Elmerich, C. En: E., Elmerich, Newton, W. E. (eds.), Microbial production of plant hormones, Associative and Endophytic Nitrogen-fixing Bacteria and Cyanobacterial Associations. Netherlands: Kluwer Academic Publishers, (2003).</w:t>
      </w:r>
    </w:p>
    <w:p w:rsidR="00C1386C" w:rsidRPr="007C0BE7" w:rsidRDefault="00C1386C" w:rsidP="00C1386C">
      <w:pPr>
        <w:numPr>
          <w:ilvl w:val="0"/>
          <w:numId w:val="38"/>
        </w:numPr>
        <w:suppressAutoHyphens/>
        <w:spacing w:after="0" w:line="240" w:lineRule="auto"/>
        <w:jc w:val="both"/>
        <w:rPr>
          <w:rFonts w:ascii="Arial" w:hAnsi="Arial" w:cs="Arial"/>
          <w:lang w:val="en-US"/>
        </w:rPr>
      </w:pPr>
      <w:r w:rsidRPr="007C0BE7">
        <w:rPr>
          <w:rFonts w:ascii="Arial" w:hAnsi="Arial" w:cs="Arial"/>
          <w:lang w:val="en-US"/>
        </w:rPr>
        <w:t>Hou, S., Zhu, J., Ding, M., Lv, G. Simultaneous determination of gibberellic acid, indole-3-acetic acid and abscisic acid in wheat extracts by solid-phase extraction and liquid chromatography–electrospray tandem mass spectrometry. Talanta, V. 76, 798-802 (2008).</w:t>
      </w:r>
    </w:p>
    <w:p w:rsidR="00C1386C" w:rsidRPr="007C0BE7" w:rsidRDefault="00C1386C" w:rsidP="00C1386C">
      <w:pPr>
        <w:numPr>
          <w:ilvl w:val="0"/>
          <w:numId w:val="38"/>
        </w:numPr>
        <w:suppressAutoHyphens/>
        <w:spacing w:after="0" w:line="240" w:lineRule="auto"/>
        <w:jc w:val="both"/>
        <w:rPr>
          <w:rFonts w:ascii="Arial" w:hAnsi="Arial" w:cs="Arial"/>
          <w:lang w:val="en-US"/>
        </w:rPr>
      </w:pPr>
      <w:r w:rsidRPr="007C0BE7">
        <w:rPr>
          <w:rFonts w:ascii="Arial" w:hAnsi="Arial" w:cs="Arial"/>
          <w:lang w:val="es-MX"/>
        </w:rPr>
        <w:t xml:space="preserve">Jordán, M., Casaretto, J. Hormonas y Reguladores del Crecimiento: Auxinas, Giberelinas y Citocininas. En: Squeo, F. A., Cardemil, L. (eds.), Fisiología vegetal. La Serena, Chile: Ediciones Universidad de La Serena. </w:t>
      </w:r>
      <w:r w:rsidRPr="007C0BE7">
        <w:rPr>
          <w:rFonts w:ascii="Arial" w:hAnsi="Arial" w:cs="Arial"/>
          <w:lang w:val="en-US"/>
        </w:rPr>
        <w:t>(2006).</w:t>
      </w:r>
    </w:p>
    <w:p w:rsidR="00C1386C" w:rsidRDefault="00C1386C" w:rsidP="00C1386C">
      <w:pPr>
        <w:numPr>
          <w:ilvl w:val="0"/>
          <w:numId w:val="38"/>
        </w:numPr>
        <w:suppressAutoHyphens/>
        <w:spacing w:after="0" w:line="240" w:lineRule="auto"/>
        <w:jc w:val="both"/>
        <w:rPr>
          <w:rFonts w:ascii="Arial" w:hAnsi="Arial" w:cs="Arial"/>
          <w:lang w:val="es-MX"/>
        </w:rPr>
      </w:pPr>
      <w:r w:rsidRPr="007C0BE7">
        <w:rPr>
          <w:rFonts w:ascii="Arial" w:hAnsi="Arial" w:cs="Arial"/>
          <w:lang w:val="es-MX"/>
        </w:rPr>
        <w:t>Velasco-Zabuadúa, M.A., Hernández-Garay, A., González-Hernández, V.A., Pérez-Pérez, J., Vaquera-Huerta, H. (2002). Curvas estacionales de crecimiento de ballico perenne. Rev. Fitotec</w:t>
      </w:r>
      <w:r>
        <w:rPr>
          <w:rFonts w:ascii="Arial" w:hAnsi="Arial" w:cs="Arial"/>
          <w:lang w:val="es-MX"/>
        </w:rPr>
        <w:t>.</w:t>
      </w:r>
      <w:r w:rsidRPr="007C0BE7">
        <w:rPr>
          <w:rFonts w:ascii="Arial" w:hAnsi="Arial" w:cs="Arial"/>
          <w:lang w:val="es-MX"/>
        </w:rPr>
        <w:t xml:space="preserve"> Mex. 25 (1): 97-106.</w:t>
      </w:r>
    </w:p>
    <w:p w:rsidR="00C1386C" w:rsidRPr="007C0BE7" w:rsidRDefault="00C1386C" w:rsidP="00C1386C">
      <w:pPr>
        <w:numPr>
          <w:ilvl w:val="0"/>
          <w:numId w:val="38"/>
        </w:numPr>
        <w:suppressAutoHyphens/>
        <w:spacing w:after="0" w:line="240" w:lineRule="auto"/>
        <w:jc w:val="both"/>
        <w:rPr>
          <w:rFonts w:ascii="Arial" w:hAnsi="Arial" w:cs="Arial"/>
          <w:lang w:val="en-US"/>
        </w:rPr>
      </w:pPr>
      <w:r>
        <w:rPr>
          <w:rFonts w:ascii="Arial" w:hAnsi="Arial" w:cs="Arial"/>
          <w:lang w:val="es-MX"/>
        </w:rPr>
        <w:t xml:space="preserve">Villalobos, L., </w:t>
      </w:r>
      <w:r w:rsidRPr="007C0BE7">
        <w:rPr>
          <w:rFonts w:ascii="Arial" w:hAnsi="Arial" w:cs="Arial"/>
          <w:lang w:val="es-MX"/>
        </w:rPr>
        <w:t>Sánchez J.</w:t>
      </w:r>
      <w:r>
        <w:rPr>
          <w:rFonts w:ascii="Arial" w:hAnsi="Arial" w:cs="Arial"/>
          <w:lang w:val="es-MX"/>
        </w:rPr>
        <w:t>,</w:t>
      </w:r>
      <w:r w:rsidRPr="007C0BE7">
        <w:rPr>
          <w:rFonts w:ascii="Arial" w:hAnsi="Arial" w:cs="Arial"/>
          <w:lang w:val="es-MX"/>
        </w:rPr>
        <w:t xml:space="preserve"> Evaluación agronómica y nutricional del pasto raigrás perenne tetraploide (Lolium perenne) producido en lecherías de las zonas altas de Costa Rica. I. Producción de biomasa y fenología. </w:t>
      </w:r>
      <w:r w:rsidRPr="007C0BE7">
        <w:rPr>
          <w:rFonts w:ascii="Arial" w:hAnsi="Arial" w:cs="Arial"/>
          <w:lang w:val="en-US"/>
        </w:rPr>
        <w:t>Agron. Costarr. V. 34, 31-42 (2010).</w:t>
      </w:r>
    </w:p>
    <w:p w:rsidR="00C1386C" w:rsidRDefault="00C1386C" w:rsidP="00C1386C">
      <w:pPr>
        <w:numPr>
          <w:ilvl w:val="0"/>
          <w:numId w:val="38"/>
        </w:numPr>
        <w:suppressAutoHyphens/>
        <w:spacing w:after="0" w:line="240" w:lineRule="auto"/>
        <w:jc w:val="both"/>
        <w:rPr>
          <w:rFonts w:ascii="Arial" w:hAnsi="Arial" w:cs="Arial"/>
          <w:lang w:val="en-US"/>
        </w:rPr>
      </w:pPr>
      <w:r w:rsidRPr="007C0BE7">
        <w:rPr>
          <w:rFonts w:ascii="Arial" w:hAnsi="Arial" w:cs="Arial"/>
          <w:lang w:val="en-US"/>
        </w:rPr>
        <w:t>Eickenscheidt, T., Freibauer, A., Heinichen, J., Augustin, J., Drösler M. Short-term effects of biogas digestate and cattle slurry application on greenhouse gas emissions affected by N availability from grasslands on drained fen peatlands and ass</w:t>
      </w:r>
      <w:r>
        <w:rPr>
          <w:rFonts w:ascii="Arial" w:hAnsi="Arial" w:cs="Arial"/>
          <w:lang w:val="en-US"/>
        </w:rPr>
        <w:t>ociated organic soils. Biogeosc.</w:t>
      </w:r>
      <w:r w:rsidRPr="007C0BE7">
        <w:rPr>
          <w:rFonts w:ascii="Arial" w:hAnsi="Arial" w:cs="Arial"/>
          <w:lang w:val="en-US"/>
        </w:rPr>
        <w:t xml:space="preserve"> </w:t>
      </w:r>
      <w:r>
        <w:rPr>
          <w:rFonts w:ascii="Arial" w:hAnsi="Arial" w:cs="Arial"/>
          <w:lang w:val="en-US"/>
        </w:rPr>
        <w:t>V.11, 6187-6207</w:t>
      </w:r>
      <w:r w:rsidRPr="007C0BE7">
        <w:rPr>
          <w:rFonts w:ascii="Arial" w:hAnsi="Arial" w:cs="Arial"/>
          <w:lang w:val="en-US"/>
        </w:rPr>
        <w:t xml:space="preserve"> (2014). </w:t>
      </w:r>
    </w:p>
    <w:p w:rsidR="00C1386C" w:rsidRPr="007C0BE7" w:rsidRDefault="00C1386C" w:rsidP="00C1386C">
      <w:pPr>
        <w:numPr>
          <w:ilvl w:val="0"/>
          <w:numId w:val="38"/>
        </w:numPr>
        <w:suppressAutoHyphens/>
        <w:spacing w:after="0" w:line="240" w:lineRule="auto"/>
        <w:jc w:val="both"/>
        <w:rPr>
          <w:rFonts w:ascii="Arial" w:hAnsi="Arial" w:cs="Arial"/>
          <w:lang w:val="en-US"/>
        </w:rPr>
      </w:pPr>
      <w:r w:rsidRPr="007C0BE7">
        <w:rPr>
          <w:rFonts w:ascii="Arial" w:hAnsi="Arial" w:cs="Arial"/>
          <w:lang w:val="en-US"/>
        </w:rPr>
        <w:t>Tempere, M., Viiralt, R. The effficiency of biogás digestate on grassland and compared to mineral fertilizer ans cattle slurry. Res. Rural Develop. V. 1, 89-94 (2014).</w:t>
      </w:r>
    </w:p>
    <w:p w:rsidR="00C1386C" w:rsidRPr="007C0BE7" w:rsidRDefault="00C1386C" w:rsidP="00C1386C">
      <w:pPr>
        <w:numPr>
          <w:ilvl w:val="0"/>
          <w:numId w:val="38"/>
        </w:numPr>
        <w:suppressAutoHyphens/>
        <w:spacing w:after="0" w:line="240" w:lineRule="auto"/>
        <w:jc w:val="both"/>
        <w:rPr>
          <w:rFonts w:ascii="Arial" w:hAnsi="Arial" w:cs="Arial"/>
          <w:lang w:val="es-MX"/>
        </w:rPr>
      </w:pPr>
      <w:r w:rsidRPr="007C0BE7">
        <w:rPr>
          <w:rFonts w:ascii="Arial" w:hAnsi="Arial" w:cs="Arial"/>
          <w:lang w:val="en-US"/>
        </w:rPr>
        <w:t>Eich-Greatorex, S., Vivekanand, V., Estevez, M.A., Schnürer, A., Børresen T. &amp; Sogn, T.A. Biogas digestates based on lignin-rich feedstock – potential as fertilizer and soil amendment. Arch</w:t>
      </w:r>
      <w:r>
        <w:rPr>
          <w:rFonts w:ascii="Arial" w:hAnsi="Arial" w:cs="Arial"/>
          <w:lang w:val="en-US"/>
        </w:rPr>
        <w:t>.</w:t>
      </w:r>
      <w:r w:rsidRPr="007C0BE7">
        <w:rPr>
          <w:rFonts w:ascii="Arial" w:hAnsi="Arial" w:cs="Arial"/>
          <w:lang w:val="en-US"/>
        </w:rPr>
        <w:t xml:space="preserve"> Agron</w:t>
      </w:r>
      <w:r>
        <w:rPr>
          <w:rFonts w:ascii="Arial" w:hAnsi="Arial" w:cs="Arial"/>
          <w:lang w:val="en-US"/>
        </w:rPr>
        <w:t>.</w:t>
      </w:r>
      <w:r w:rsidRPr="007C0BE7">
        <w:rPr>
          <w:rFonts w:ascii="Arial" w:hAnsi="Arial" w:cs="Arial"/>
          <w:lang w:val="en-US"/>
        </w:rPr>
        <w:t xml:space="preserve"> Soil Sci</w:t>
      </w:r>
      <w:r>
        <w:rPr>
          <w:rFonts w:ascii="Arial" w:hAnsi="Arial" w:cs="Arial"/>
          <w:lang w:val="en-US"/>
        </w:rPr>
        <w:t>. V. 64, 347-359</w:t>
      </w:r>
      <w:r w:rsidRPr="007C0BE7">
        <w:rPr>
          <w:rFonts w:ascii="Arial" w:hAnsi="Arial" w:cs="Arial"/>
          <w:lang w:val="en-US"/>
        </w:rPr>
        <w:t xml:space="preserve"> (2018).</w:t>
      </w:r>
    </w:p>
    <w:p w:rsidR="00C1386C" w:rsidRPr="007C0BE7" w:rsidRDefault="00C1386C" w:rsidP="00C1386C">
      <w:pPr>
        <w:jc w:val="both"/>
        <w:rPr>
          <w:rFonts w:ascii="Arial" w:hAnsi="Arial" w:cs="Arial"/>
          <w:lang w:val="es-MX"/>
        </w:rPr>
      </w:pPr>
    </w:p>
    <w:p w:rsidR="000D24A4" w:rsidRPr="000D24A4" w:rsidRDefault="000D24A4" w:rsidP="000D24A4">
      <w:pPr>
        <w:pStyle w:val="1Titulo"/>
        <w:numPr>
          <w:ilvl w:val="0"/>
          <w:numId w:val="0"/>
        </w:numPr>
        <w:ind w:left="357"/>
        <w:jc w:val="center"/>
        <w:rPr>
          <w:sz w:val="28"/>
          <w:szCs w:val="28"/>
        </w:rPr>
      </w:pPr>
      <w:bookmarkStart w:id="228" w:name="_Toc50031310"/>
      <w:r w:rsidRPr="000D24A4">
        <w:rPr>
          <w:sz w:val="28"/>
          <w:szCs w:val="28"/>
        </w:rPr>
        <w:t xml:space="preserve">Obtención de glucosa proveniente de la Papa </w:t>
      </w:r>
      <w:r w:rsidRPr="000D24A4">
        <w:rPr>
          <w:i/>
          <w:iCs/>
          <w:sz w:val="28"/>
          <w:szCs w:val="28"/>
        </w:rPr>
        <w:t>Oxalis Tuberosa</w:t>
      </w:r>
      <w:r w:rsidRPr="000D24A4">
        <w:rPr>
          <w:sz w:val="28"/>
          <w:szCs w:val="28"/>
        </w:rPr>
        <w:t xml:space="preserve"> empleando dos enzimas comercial</w:t>
      </w:r>
      <w:r>
        <w:rPr>
          <w:sz w:val="28"/>
          <w:szCs w:val="28"/>
        </w:rPr>
        <w:t>es y tres sustratos enzimáticos</w:t>
      </w:r>
      <w:bookmarkEnd w:id="228"/>
    </w:p>
    <w:p w:rsidR="000D24A4" w:rsidRPr="00EF1751" w:rsidRDefault="000D24A4" w:rsidP="000D24A4">
      <w:pPr>
        <w:jc w:val="center"/>
        <w:rPr>
          <w:color w:val="000000"/>
          <w:sz w:val="28"/>
          <w:szCs w:val="28"/>
        </w:rPr>
      </w:pPr>
    </w:p>
    <w:p w:rsidR="000D24A4" w:rsidRPr="00EF1751" w:rsidRDefault="000D24A4" w:rsidP="000D24A4">
      <w:pPr>
        <w:pStyle w:val="Author"/>
        <w:rPr>
          <w:rFonts w:ascii="Arial" w:hAnsi="Arial" w:cs="Arial"/>
          <w:szCs w:val="24"/>
          <w:vertAlign w:val="superscript"/>
          <w:lang w:val="es-MX"/>
        </w:rPr>
      </w:pPr>
      <w:r w:rsidRPr="00EF1751">
        <w:rPr>
          <w:rFonts w:ascii="Arial" w:hAnsi="Arial" w:cs="Arial"/>
          <w:szCs w:val="24"/>
          <w:lang w:val="es-MX"/>
        </w:rPr>
        <w:t>Sánchez, B. I.,</w:t>
      </w:r>
      <w:r w:rsidRPr="00EF1751">
        <w:rPr>
          <w:rFonts w:ascii="Arial" w:hAnsi="Arial" w:cs="Arial"/>
          <w:szCs w:val="24"/>
          <w:vertAlign w:val="superscript"/>
          <w:lang w:val="es-MX"/>
        </w:rPr>
        <w:t>1</w:t>
      </w:r>
      <w:r w:rsidRPr="00EF1751">
        <w:rPr>
          <w:rFonts w:ascii="Arial" w:hAnsi="Arial" w:cs="Arial"/>
          <w:szCs w:val="24"/>
          <w:lang w:val="es-MX"/>
        </w:rPr>
        <w:t xml:space="preserve"> Del Ángel, Z. J.</w:t>
      </w:r>
      <w:r>
        <w:rPr>
          <w:rFonts w:ascii="Arial" w:hAnsi="Arial" w:cs="Arial"/>
          <w:szCs w:val="24"/>
          <w:lang w:val="es-MX"/>
        </w:rPr>
        <w:t xml:space="preserve"> A.</w:t>
      </w:r>
      <w:r w:rsidRPr="00EF1751">
        <w:rPr>
          <w:rFonts w:ascii="Arial" w:hAnsi="Arial" w:cs="Arial"/>
          <w:szCs w:val="24"/>
          <w:lang w:val="es-MX"/>
        </w:rPr>
        <w:t>,</w:t>
      </w:r>
      <w:r w:rsidRPr="00EF1751">
        <w:rPr>
          <w:rFonts w:ascii="Arial" w:hAnsi="Arial" w:cs="Arial"/>
          <w:szCs w:val="24"/>
          <w:vertAlign w:val="superscript"/>
          <w:lang w:val="es-MX"/>
        </w:rPr>
        <w:t xml:space="preserve"> 1</w:t>
      </w:r>
      <w:r w:rsidRPr="00EF1751">
        <w:rPr>
          <w:rFonts w:ascii="Arial" w:hAnsi="Arial" w:cs="Arial"/>
          <w:szCs w:val="24"/>
          <w:lang w:val="es-MX"/>
        </w:rPr>
        <w:t xml:space="preserve"> Juárez, R. V.,</w:t>
      </w:r>
      <w:r w:rsidRPr="00EF1751">
        <w:rPr>
          <w:rFonts w:ascii="Arial" w:hAnsi="Arial" w:cs="Arial"/>
          <w:szCs w:val="24"/>
          <w:vertAlign w:val="superscript"/>
          <w:lang w:val="es-MX"/>
        </w:rPr>
        <w:t>2</w:t>
      </w:r>
      <w:r w:rsidRPr="00EF1751">
        <w:rPr>
          <w:rFonts w:ascii="Arial" w:hAnsi="Arial" w:cs="Arial"/>
          <w:szCs w:val="24"/>
          <w:lang w:val="es-MX"/>
        </w:rPr>
        <w:t xml:space="preserve"> Juárez, R.O.,</w:t>
      </w:r>
      <w:r w:rsidRPr="00EF1751">
        <w:rPr>
          <w:rFonts w:ascii="Arial" w:hAnsi="Arial" w:cs="Arial"/>
          <w:szCs w:val="24"/>
          <w:vertAlign w:val="superscript"/>
          <w:lang w:val="es-MX"/>
        </w:rPr>
        <w:t>3</w:t>
      </w:r>
      <w:r w:rsidRPr="00EF1751">
        <w:rPr>
          <w:rFonts w:ascii="Arial" w:hAnsi="Arial" w:cs="Arial"/>
          <w:szCs w:val="24"/>
          <w:lang w:val="es-MX"/>
        </w:rPr>
        <w:t xml:space="preserve"> </w:t>
      </w:r>
      <w:r>
        <w:rPr>
          <w:rFonts w:ascii="Arial" w:hAnsi="Arial" w:cs="Arial"/>
          <w:szCs w:val="24"/>
          <w:lang w:val="es-MX"/>
        </w:rPr>
        <w:t>Juárez, S. A.</w:t>
      </w:r>
      <w:r w:rsidRPr="00EF1751">
        <w:rPr>
          <w:rFonts w:ascii="Arial" w:hAnsi="Arial" w:cs="Arial"/>
          <w:szCs w:val="24"/>
          <w:vertAlign w:val="superscript"/>
          <w:lang w:val="es-MX"/>
        </w:rPr>
        <w:t>3</w:t>
      </w:r>
      <w:r w:rsidRPr="00EF1751">
        <w:rPr>
          <w:rFonts w:ascii="Arial" w:hAnsi="Arial" w:cs="Arial"/>
          <w:szCs w:val="24"/>
          <w:lang w:val="es-MX"/>
        </w:rPr>
        <w:t xml:space="preserve"> García, H. T.,</w:t>
      </w:r>
      <w:r w:rsidRPr="00EF1751">
        <w:rPr>
          <w:rFonts w:ascii="Arial" w:hAnsi="Arial" w:cs="Arial"/>
          <w:szCs w:val="24"/>
          <w:vertAlign w:val="superscript"/>
          <w:lang w:val="es-MX"/>
        </w:rPr>
        <w:t>1</w:t>
      </w:r>
      <w:r w:rsidRPr="00EF1751">
        <w:rPr>
          <w:rFonts w:ascii="Arial" w:hAnsi="Arial" w:cs="Arial"/>
          <w:szCs w:val="24"/>
          <w:lang w:val="es-MX"/>
        </w:rPr>
        <w:t xml:space="preserve"> Barriga, O. N.,</w:t>
      </w:r>
      <w:r w:rsidRPr="00EF1751">
        <w:rPr>
          <w:rFonts w:ascii="Arial" w:hAnsi="Arial" w:cs="Arial"/>
          <w:szCs w:val="24"/>
          <w:vertAlign w:val="superscript"/>
          <w:lang w:val="es-MX"/>
        </w:rPr>
        <w:t>1</w:t>
      </w:r>
      <w:r w:rsidRPr="00EF1751">
        <w:rPr>
          <w:rFonts w:ascii="Arial" w:hAnsi="Arial" w:cs="Arial"/>
          <w:szCs w:val="24"/>
          <w:lang w:val="es-MX"/>
        </w:rPr>
        <w:t>.</w:t>
      </w:r>
    </w:p>
    <w:p w:rsidR="000D24A4" w:rsidRPr="00EF1751" w:rsidRDefault="000D24A4" w:rsidP="000D24A4">
      <w:pPr>
        <w:pStyle w:val="affiliation"/>
        <w:rPr>
          <w:rFonts w:ascii="Arial" w:hAnsi="Arial" w:cs="Arial"/>
          <w:sz w:val="24"/>
          <w:szCs w:val="24"/>
          <w:vertAlign w:val="superscript"/>
          <w:lang w:val="es-MX"/>
        </w:rPr>
      </w:pPr>
      <w:r w:rsidRPr="00EF1751">
        <w:rPr>
          <w:rFonts w:ascii="Arial" w:hAnsi="Arial" w:cs="Arial"/>
          <w:sz w:val="24"/>
          <w:szCs w:val="24"/>
          <w:vertAlign w:val="superscript"/>
          <w:lang w:val="es-MX"/>
        </w:rPr>
        <w:t>1</w:t>
      </w:r>
      <w:r w:rsidRPr="00EF1751">
        <w:rPr>
          <w:rFonts w:ascii="Arial" w:hAnsi="Arial" w:cs="Arial"/>
          <w:sz w:val="24"/>
          <w:szCs w:val="24"/>
          <w:lang w:val="es-MX"/>
        </w:rPr>
        <w:t>Universidad Veracruzana, Facultad de Ciencias Químicas, Orizaba, Veracruz, México.</w:t>
      </w:r>
    </w:p>
    <w:p w:rsidR="000D24A4" w:rsidRPr="00EF1751" w:rsidRDefault="000D24A4" w:rsidP="000D24A4">
      <w:pPr>
        <w:pStyle w:val="affiliation"/>
        <w:rPr>
          <w:rFonts w:ascii="Arial" w:hAnsi="Arial" w:cs="Arial"/>
          <w:sz w:val="24"/>
          <w:szCs w:val="24"/>
          <w:vertAlign w:val="superscript"/>
          <w:lang w:val="es-MX"/>
        </w:rPr>
      </w:pPr>
      <w:r w:rsidRPr="00EF1751">
        <w:rPr>
          <w:rFonts w:ascii="Arial" w:hAnsi="Arial" w:cs="Arial"/>
          <w:sz w:val="24"/>
          <w:szCs w:val="24"/>
          <w:vertAlign w:val="superscript"/>
          <w:lang w:val="es-MX"/>
        </w:rPr>
        <w:t>2</w:t>
      </w:r>
      <w:r w:rsidRPr="00EF1751">
        <w:rPr>
          <w:rFonts w:ascii="Arial" w:hAnsi="Arial" w:cs="Arial"/>
          <w:sz w:val="24"/>
          <w:szCs w:val="24"/>
          <w:lang w:val="es-MX"/>
        </w:rPr>
        <w:t>Universidad Veracruzana, Facultad de Ingeniería, Ixtaczoquitlán, Veracruz, México.</w:t>
      </w:r>
    </w:p>
    <w:p w:rsidR="000D24A4" w:rsidRPr="00EF1751" w:rsidRDefault="000D24A4" w:rsidP="000D24A4">
      <w:pPr>
        <w:pStyle w:val="affiliation"/>
        <w:rPr>
          <w:rFonts w:ascii="Arial" w:hAnsi="Arial" w:cs="Arial"/>
          <w:sz w:val="24"/>
          <w:szCs w:val="24"/>
          <w:vertAlign w:val="superscript"/>
          <w:lang w:val="es-MX"/>
        </w:rPr>
      </w:pPr>
      <w:r w:rsidRPr="00EF1751">
        <w:rPr>
          <w:rFonts w:ascii="Arial" w:hAnsi="Arial" w:cs="Arial"/>
          <w:sz w:val="24"/>
          <w:szCs w:val="24"/>
          <w:vertAlign w:val="superscript"/>
          <w:lang w:val="es-MX"/>
        </w:rPr>
        <w:t>3</w:t>
      </w:r>
      <w:r w:rsidRPr="00EF1751">
        <w:rPr>
          <w:rFonts w:ascii="Arial" w:hAnsi="Arial" w:cs="Arial"/>
          <w:sz w:val="24"/>
          <w:szCs w:val="24"/>
          <w:lang w:val="es-MX"/>
        </w:rPr>
        <w:t>Universidad Ver</w:t>
      </w:r>
      <w:r>
        <w:rPr>
          <w:rFonts w:ascii="Arial" w:hAnsi="Arial" w:cs="Arial"/>
          <w:sz w:val="24"/>
          <w:szCs w:val="24"/>
          <w:lang w:val="es-MX"/>
        </w:rPr>
        <w:t>acruzana, Facultad de Negocios y Tecnologias</w:t>
      </w:r>
      <w:r w:rsidRPr="00EF1751">
        <w:rPr>
          <w:rFonts w:ascii="Arial" w:hAnsi="Arial" w:cs="Arial"/>
          <w:sz w:val="24"/>
          <w:szCs w:val="24"/>
          <w:lang w:val="es-MX"/>
        </w:rPr>
        <w:t>, Ixtaczoquitlán, Veracruz, México.</w:t>
      </w:r>
    </w:p>
    <w:p w:rsidR="000D24A4" w:rsidRPr="00EF1751" w:rsidRDefault="000D24A4" w:rsidP="000D24A4">
      <w:pPr>
        <w:pStyle w:val="affiliation"/>
        <w:rPr>
          <w:rFonts w:ascii="Arial" w:hAnsi="Arial" w:cs="Arial"/>
          <w:sz w:val="24"/>
          <w:szCs w:val="24"/>
          <w:u w:val="single"/>
          <w:lang w:val="es-MX"/>
        </w:rPr>
      </w:pPr>
    </w:p>
    <w:p w:rsidR="000D24A4" w:rsidRPr="00EF1751" w:rsidRDefault="001345E4" w:rsidP="000D24A4">
      <w:pPr>
        <w:pStyle w:val="affiliation"/>
        <w:rPr>
          <w:rFonts w:ascii="Arial" w:hAnsi="Arial" w:cs="Arial"/>
          <w:sz w:val="24"/>
          <w:szCs w:val="24"/>
          <w:lang w:val="es-MX"/>
        </w:rPr>
      </w:pPr>
      <w:hyperlink r:id="rId968" w:history="1">
        <w:r w:rsidR="000D24A4" w:rsidRPr="00EF1751">
          <w:rPr>
            <w:rStyle w:val="Hipervnculo"/>
            <w:rFonts w:ascii="Arial" w:hAnsi="Arial" w:cs="Arial"/>
            <w:sz w:val="24"/>
            <w:szCs w:val="24"/>
            <w:lang w:val="es-MX"/>
          </w:rPr>
          <w:t>igsanchez@uv.mx</w:t>
        </w:r>
      </w:hyperlink>
      <w:r w:rsidR="000D24A4" w:rsidRPr="00EF1751">
        <w:rPr>
          <w:rFonts w:ascii="Arial" w:hAnsi="Arial" w:cs="Arial"/>
          <w:sz w:val="24"/>
          <w:szCs w:val="24"/>
          <w:lang w:val="es-MX"/>
        </w:rPr>
        <w:t xml:space="preserve">, </w:t>
      </w:r>
      <w:hyperlink r:id="rId969" w:history="1">
        <w:r w:rsidR="000D24A4" w:rsidRPr="00EF1751">
          <w:rPr>
            <w:rStyle w:val="Hipervnculo"/>
            <w:rFonts w:ascii="Arial" w:hAnsi="Arial" w:cs="Arial"/>
            <w:sz w:val="24"/>
            <w:szCs w:val="24"/>
            <w:lang w:val="es-MX"/>
          </w:rPr>
          <w:t>jodelangel@uv.mx</w:t>
        </w:r>
      </w:hyperlink>
      <w:r w:rsidR="000D24A4" w:rsidRPr="00EF1751">
        <w:rPr>
          <w:rFonts w:ascii="Arial" w:hAnsi="Arial" w:cs="Arial"/>
          <w:sz w:val="24"/>
          <w:szCs w:val="24"/>
          <w:lang w:val="es-MX"/>
        </w:rPr>
        <w:t xml:space="preserve">, </w:t>
      </w:r>
      <w:hyperlink r:id="rId970" w:history="1">
        <w:r w:rsidR="000D24A4" w:rsidRPr="00EF1751">
          <w:rPr>
            <w:rStyle w:val="Hipervnculo"/>
            <w:rFonts w:ascii="Arial" w:hAnsi="Arial" w:cs="Arial"/>
            <w:sz w:val="24"/>
            <w:szCs w:val="24"/>
            <w:lang w:val="es-MX"/>
          </w:rPr>
          <w:t>vijuarez@uv.mx</w:t>
        </w:r>
      </w:hyperlink>
      <w:r w:rsidR="000D24A4" w:rsidRPr="00EF1751">
        <w:rPr>
          <w:rFonts w:ascii="Arial" w:hAnsi="Arial" w:cs="Arial"/>
          <w:sz w:val="24"/>
          <w:szCs w:val="24"/>
          <w:lang w:val="es-MX"/>
        </w:rPr>
        <w:t xml:space="preserve">, </w:t>
      </w:r>
      <w:hyperlink r:id="rId971" w:history="1">
        <w:r w:rsidR="000D24A4" w:rsidRPr="00EF1751">
          <w:rPr>
            <w:rStyle w:val="Hipervnculo"/>
            <w:rFonts w:ascii="Arial" w:hAnsi="Arial" w:cs="Arial"/>
            <w:sz w:val="24"/>
            <w:szCs w:val="24"/>
            <w:lang w:val="es-MX"/>
          </w:rPr>
          <w:t>ojuarez@uv.mx</w:t>
        </w:r>
      </w:hyperlink>
      <w:r w:rsidR="000D24A4" w:rsidRPr="00EF1751">
        <w:rPr>
          <w:rFonts w:ascii="Arial" w:hAnsi="Arial" w:cs="Arial"/>
          <w:sz w:val="24"/>
          <w:szCs w:val="24"/>
          <w:lang w:val="es-MX"/>
        </w:rPr>
        <w:t xml:space="preserve">, </w:t>
      </w:r>
      <w:hyperlink r:id="rId972" w:history="1">
        <w:r w:rsidR="000D24A4" w:rsidRPr="00301F8B">
          <w:rPr>
            <w:rStyle w:val="Hipervnculo"/>
            <w:rFonts w:ascii="Arial" w:hAnsi="Arial" w:cs="Arial"/>
            <w:sz w:val="24"/>
            <w:szCs w:val="24"/>
            <w:lang w:val="es-MX"/>
          </w:rPr>
          <w:t>arjuarez@uv.mx</w:t>
        </w:r>
      </w:hyperlink>
      <w:r w:rsidR="000D24A4" w:rsidRPr="00EF1751">
        <w:rPr>
          <w:rFonts w:ascii="Arial" w:hAnsi="Arial" w:cs="Arial"/>
          <w:sz w:val="24"/>
          <w:szCs w:val="24"/>
          <w:lang w:val="es-MX"/>
        </w:rPr>
        <w:t xml:space="preserve">, </w:t>
      </w:r>
      <w:hyperlink r:id="rId973" w:history="1">
        <w:r w:rsidR="000D24A4" w:rsidRPr="00EF1751">
          <w:rPr>
            <w:rStyle w:val="Hipervnculo"/>
            <w:rFonts w:ascii="Arial" w:hAnsi="Arial" w:cs="Arial"/>
            <w:sz w:val="24"/>
            <w:szCs w:val="24"/>
            <w:lang w:val="es-MX"/>
          </w:rPr>
          <w:t>tangarcia@uv.mx</w:t>
        </w:r>
      </w:hyperlink>
      <w:r w:rsidR="000D24A4" w:rsidRPr="00EF1751">
        <w:rPr>
          <w:rFonts w:ascii="Arial" w:hAnsi="Arial" w:cs="Arial"/>
          <w:sz w:val="24"/>
          <w:szCs w:val="24"/>
          <w:lang w:val="es-MX"/>
        </w:rPr>
        <w:t xml:space="preserve">, </w:t>
      </w:r>
      <w:hyperlink r:id="rId974" w:history="1">
        <w:r w:rsidR="000D24A4" w:rsidRPr="00EF1751">
          <w:rPr>
            <w:rStyle w:val="Hipervnculo"/>
            <w:rFonts w:ascii="Arial" w:hAnsi="Arial" w:cs="Arial"/>
            <w:sz w:val="24"/>
            <w:szCs w:val="24"/>
            <w:lang w:val="es-MX"/>
          </w:rPr>
          <w:t>noviedo@uv.mx</w:t>
        </w:r>
      </w:hyperlink>
      <w:r w:rsidR="000D24A4" w:rsidRPr="00EF1751">
        <w:rPr>
          <w:rFonts w:ascii="Arial" w:hAnsi="Arial" w:cs="Arial"/>
          <w:sz w:val="24"/>
          <w:szCs w:val="24"/>
          <w:lang w:val="es-MX"/>
        </w:rPr>
        <w:t>.</w:t>
      </w:r>
    </w:p>
    <w:p w:rsidR="000D24A4" w:rsidRPr="00EF1751" w:rsidRDefault="000D24A4" w:rsidP="000D24A4">
      <w:pPr>
        <w:pStyle w:val="affiliation"/>
        <w:rPr>
          <w:rFonts w:ascii="Arial" w:eastAsia="Batang" w:hAnsi="Arial" w:cs="Arial"/>
          <w:b/>
          <w:bCs/>
          <w:i/>
          <w:iCs/>
          <w:caps/>
          <w:sz w:val="24"/>
          <w:szCs w:val="24"/>
          <w:lang w:val="es-MX"/>
        </w:rPr>
      </w:pPr>
    </w:p>
    <w:p w:rsidR="000D24A4" w:rsidRPr="000D24A4" w:rsidRDefault="000D24A4" w:rsidP="000D24A4">
      <w:pPr>
        <w:pStyle w:val="Ttulo1"/>
        <w:keepLines w:val="0"/>
        <w:tabs>
          <w:tab w:val="left" w:pos="0"/>
        </w:tabs>
        <w:suppressAutoHyphens/>
        <w:spacing w:before="0" w:after="0" w:line="360" w:lineRule="auto"/>
        <w:rPr>
          <w:rFonts w:ascii="Arial" w:hAnsi="Arial" w:cs="Arial"/>
          <w:i/>
          <w:color w:val="000000"/>
          <w:sz w:val="24"/>
          <w:szCs w:val="24"/>
        </w:rPr>
      </w:pPr>
      <w:bookmarkStart w:id="229" w:name="_Toc50031311"/>
      <w:r w:rsidRPr="000D24A4">
        <w:rPr>
          <w:rFonts w:ascii="Arial" w:hAnsi="Arial" w:cs="Arial"/>
          <w:caps/>
          <w:sz w:val="24"/>
          <w:szCs w:val="24"/>
        </w:rPr>
        <w:t>1. R</w:t>
      </w:r>
      <w:r w:rsidRPr="000D24A4">
        <w:rPr>
          <w:rFonts w:ascii="Arial" w:hAnsi="Arial" w:cs="Arial"/>
          <w:sz w:val="24"/>
          <w:szCs w:val="24"/>
        </w:rPr>
        <w:t>esumen</w:t>
      </w:r>
      <w:bookmarkEnd w:id="229"/>
      <w:r w:rsidRPr="000D24A4">
        <w:rPr>
          <w:rFonts w:ascii="Arial" w:hAnsi="Arial" w:cs="Arial"/>
          <w:caps/>
          <w:sz w:val="24"/>
          <w:szCs w:val="24"/>
        </w:rPr>
        <w:t xml:space="preserve"> </w:t>
      </w:r>
    </w:p>
    <w:p w:rsidR="000D24A4" w:rsidRPr="00EF1751" w:rsidRDefault="000D24A4" w:rsidP="000D24A4">
      <w:pPr>
        <w:ind w:firstLine="567"/>
        <w:jc w:val="both"/>
        <w:rPr>
          <w:rFonts w:ascii="Arial" w:hAnsi="Arial" w:cs="Arial"/>
          <w:color w:val="000000"/>
        </w:rPr>
      </w:pPr>
    </w:p>
    <w:p w:rsidR="000D24A4" w:rsidRPr="00EF1751" w:rsidRDefault="000D24A4" w:rsidP="000D24A4">
      <w:pPr>
        <w:ind w:firstLine="567"/>
        <w:jc w:val="both"/>
        <w:rPr>
          <w:rFonts w:ascii="Arial" w:hAnsi="Arial" w:cs="Arial"/>
          <w:color w:val="000000"/>
        </w:rPr>
      </w:pPr>
      <w:r w:rsidRPr="00EF1751">
        <w:rPr>
          <w:rFonts w:ascii="Arial" w:hAnsi="Arial" w:cs="Arial"/>
          <w:color w:val="000000"/>
        </w:rPr>
        <w:t>Entre los principales usos del almidón en la industria alimentaria destacan la elaboración de jarabes con alto contenido en glucosa y fruct</w:t>
      </w:r>
      <w:r>
        <w:rPr>
          <w:rFonts w:ascii="Arial" w:hAnsi="Arial" w:cs="Arial"/>
          <w:color w:val="000000"/>
        </w:rPr>
        <w:t>uosa, así como la</w:t>
      </w:r>
      <w:r w:rsidRPr="00EF1751">
        <w:rPr>
          <w:rFonts w:ascii="Arial" w:hAnsi="Arial" w:cs="Arial"/>
          <w:color w:val="000000"/>
        </w:rPr>
        <w:t xml:space="preserve"> obtención de glucosa y fructosa cristalina. En el presente trabajo se extrae almidón a partir de Papa </w:t>
      </w:r>
      <w:r w:rsidRPr="00EF1751">
        <w:rPr>
          <w:rFonts w:ascii="Arial" w:hAnsi="Arial" w:cs="Arial"/>
          <w:i/>
          <w:iCs/>
          <w:color w:val="000000"/>
        </w:rPr>
        <w:t>Oxalis Tuberosa</w:t>
      </w:r>
      <w:r w:rsidRPr="00EF1751">
        <w:rPr>
          <w:rFonts w:ascii="Arial" w:hAnsi="Arial" w:cs="Arial"/>
          <w:color w:val="000000"/>
        </w:rPr>
        <w:t xml:space="preserve"> realizándose la caracterización fisicoquímica y funcional, obteniéndose: una temperatura de gelatinización de 57.9 °C. </w:t>
      </w:r>
      <w:r>
        <w:rPr>
          <w:rFonts w:ascii="Arial" w:hAnsi="Arial" w:cs="Arial"/>
          <w:color w:val="000000"/>
        </w:rPr>
        <w:t>u h</w:t>
      </w:r>
      <w:r w:rsidRPr="00EF1751">
        <w:rPr>
          <w:rFonts w:ascii="Arial" w:hAnsi="Arial" w:cs="Arial"/>
          <w:color w:val="000000"/>
        </w:rPr>
        <w:t xml:space="preserve">umedad de 10.256 se sabe que un almidón con humedad menor al 10% resulta  evita el deterioro de los almidones durante su almacenamiento. Se emplean un total de cinco enzimas, de las cuales dos de ellas son comerciales y </w:t>
      </w:r>
      <w:r>
        <w:rPr>
          <w:rFonts w:ascii="Arial" w:hAnsi="Arial" w:cs="Arial"/>
          <w:color w:val="000000"/>
        </w:rPr>
        <w:t xml:space="preserve">las </w:t>
      </w:r>
      <w:r w:rsidRPr="00EF1751">
        <w:rPr>
          <w:rFonts w:ascii="Arial" w:hAnsi="Arial" w:cs="Arial"/>
          <w:color w:val="000000"/>
        </w:rPr>
        <w:t>tres restantes son extraídos</w:t>
      </w:r>
      <w:r>
        <w:rPr>
          <w:rFonts w:ascii="Arial" w:hAnsi="Arial" w:cs="Arial"/>
          <w:color w:val="000000"/>
        </w:rPr>
        <w:t xml:space="preserve"> de</w:t>
      </w:r>
      <w:r w:rsidRPr="00EF1751">
        <w:rPr>
          <w:rFonts w:ascii="Arial" w:hAnsi="Arial" w:cs="Arial"/>
          <w:color w:val="000000"/>
        </w:rPr>
        <w:t xml:space="preserve"> proyectos que se realizan en la Facultad de Ciencias Químicas de Orizaba, Veracruz, México. </w:t>
      </w:r>
      <w:r>
        <w:rPr>
          <w:rFonts w:ascii="Arial" w:hAnsi="Arial" w:cs="Arial"/>
          <w:color w:val="000000"/>
        </w:rPr>
        <w:t>Sé</w:t>
      </w:r>
      <w:r w:rsidRPr="00EF1751">
        <w:rPr>
          <w:rFonts w:ascii="Arial" w:hAnsi="Arial" w:cs="Arial"/>
          <w:color w:val="000000"/>
        </w:rPr>
        <w:t xml:space="preserve"> parte de </w:t>
      </w:r>
      <w:r>
        <w:rPr>
          <w:rFonts w:ascii="Arial" w:hAnsi="Arial" w:cs="Arial"/>
          <w:color w:val="000000"/>
        </w:rPr>
        <w:t>una hidró</w:t>
      </w:r>
      <w:r w:rsidRPr="00EF1751">
        <w:rPr>
          <w:rFonts w:ascii="Arial" w:hAnsi="Arial" w:cs="Arial"/>
          <w:color w:val="000000"/>
        </w:rPr>
        <w:t>lisis enzimática de almidón utilizando dos concentraciones al 1% y al 5%, se seleccionó a la Xilanasa como la enzima con mayor aprovechamiento, para posteriormente adicionarle vitamina C obtenida de cascara de naranja.</w:t>
      </w:r>
    </w:p>
    <w:p w:rsidR="000D24A4" w:rsidRPr="00EF1751" w:rsidRDefault="000D24A4" w:rsidP="000D24A4">
      <w:pPr>
        <w:jc w:val="both"/>
        <w:rPr>
          <w:rFonts w:ascii="Arial" w:hAnsi="Arial" w:cs="Arial"/>
          <w:color w:val="000000"/>
        </w:rPr>
      </w:pPr>
    </w:p>
    <w:p w:rsidR="000D24A4" w:rsidRPr="000D24A4" w:rsidRDefault="000D24A4" w:rsidP="000D24A4">
      <w:pPr>
        <w:pStyle w:val="Ttulo1"/>
        <w:keepLines w:val="0"/>
        <w:tabs>
          <w:tab w:val="left" w:pos="0"/>
        </w:tabs>
        <w:suppressAutoHyphens/>
        <w:spacing w:before="0" w:after="0" w:line="360" w:lineRule="auto"/>
        <w:rPr>
          <w:rFonts w:ascii="Arial" w:hAnsi="Arial" w:cs="Arial"/>
          <w:i/>
          <w:caps/>
          <w:sz w:val="24"/>
          <w:szCs w:val="24"/>
        </w:rPr>
      </w:pPr>
      <w:bookmarkStart w:id="230" w:name="_Toc50031312"/>
      <w:r w:rsidRPr="000D24A4">
        <w:rPr>
          <w:rFonts w:ascii="Arial" w:hAnsi="Arial" w:cs="Arial"/>
          <w:caps/>
          <w:sz w:val="24"/>
          <w:szCs w:val="24"/>
        </w:rPr>
        <w:t>2. I</w:t>
      </w:r>
      <w:r w:rsidRPr="000D24A4">
        <w:rPr>
          <w:rFonts w:ascii="Arial" w:hAnsi="Arial" w:cs="Arial"/>
          <w:sz w:val="24"/>
          <w:szCs w:val="24"/>
        </w:rPr>
        <w:t>ntroducción</w:t>
      </w:r>
      <w:bookmarkEnd w:id="230"/>
      <w:r w:rsidRPr="000D24A4">
        <w:rPr>
          <w:rFonts w:ascii="Arial" w:hAnsi="Arial" w:cs="Arial"/>
          <w:caps/>
          <w:sz w:val="24"/>
          <w:szCs w:val="24"/>
        </w:rPr>
        <w:t xml:space="preserve"> </w:t>
      </w:r>
    </w:p>
    <w:p w:rsidR="000D24A4" w:rsidRPr="00EF1751" w:rsidRDefault="000D24A4" w:rsidP="000D24A4">
      <w:pPr>
        <w:ind w:firstLine="567"/>
        <w:jc w:val="both"/>
        <w:rPr>
          <w:rFonts w:ascii="Arial" w:hAnsi="Arial" w:cs="Arial"/>
          <w:color w:val="000000"/>
        </w:rPr>
      </w:pPr>
    </w:p>
    <w:p w:rsidR="000D24A4" w:rsidRPr="00EF1751" w:rsidRDefault="000D24A4" w:rsidP="000D24A4">
      <w:pPr>
        <w:ind w:firstLine="567"/>
        <w:jc w:val="both"/>
        <w:rPr>
          <w:rFonts w:ascii="Arial" w:hAnsi="Arial" w:cs="Arial"/>
          <w:color w:val="000000"/>
        </w:rPr>
      </w:pPr>
      <w:r w:rsidRPr="00EF1751">
        <w:rPr>
          <w:rFonts w:ascii="Arial" w:hAnsi="Arial" w:cs="Arial"/>
          <w:color w:val="000000"/>
        </w:rPr>
        <w:t xml:space="preserve">El termino azúcar o “azucares” suele emplearse para designar los diferentes monosacáridos y/o disacáridos que se caracterizan por tener un sabor dulce. El 70% del azúcar del mundo se produce a partir de la caña de azúcar y el resto de la remolacha. En la actualidad, la alta ingesta de azúcar entre la población mexicana ha ocasionado problemas de salud. México </w:t>
      </w:r>
      <w:r>
        <w:rPr>
          <w:rFonts w:ascii="Arial" w:hAnsi="Arial" w:cs="Arial"/>
          <w:color w:val="000000"/>
        </w:rPr>
        <w:t xml:space="preserve">es </w:t>
      </w:r>
      <w:r w:rsidRPr="00EF1751">
        <w:rPr>
          <w:rFonts w:ascii="Arial" w:hAnsi="Arial" w:cs="Arial"/>
          <w:color w:val="000000"/>
        </w:rPr>
        <w:t>el país que ocupa el 6° lugar de consumo de azúcar a nivel mundial, según cifras oficiales México es de los países con mayor obesidad en el mundo.</w:t>
      </w:r>
    </w:p>
    <w:p w:rsidR="000D24A4" w:rsidRPr="00EF1751" w:rsidRDefault="000D24A4" w:rsidP="000D24A4">
      <w:pPr>
        <w:ind w:firstLine="567"/>
        <w:jc w:val="both"/>
        <w:rPr>
          <w:rFonts w:ascii="Arial" w:hAnsi="Arial" w:cs="Arial"/>
          <w:color w:val="000000"/>
        </w:rPr>
      </w:pPr>
    </w:p>
    <w:p w:rsidR="000D24A4" w:rsidRPr="00EF1751" w:rsidRDefault="000D24A4" w:rsidP="000D24A4">
      <w:pPr>
        <w:ind w:firstLine="567"/>
        <w:jc w:val="both"/>
        <w:rPr>
          <w:rFonts w:ascii="Arial" w:hAnsi="Arial" w:cs="Arial"/>
          <w:color w:val="000000"/>
        </w:rPr>
      </w:pPr>
      <w:r w:rsidRPr="00EF1751">
        <w:rPr>
          <w:rFonts w:ascii="Arial" w:hAnsi="Arial" w:cs="Arial"/>
          <w:color w:val="000000"/>
        </w:rPr>
        <w:t>El exceso en el consumo de productos azucarados es considerado como un factor de riesgo y puede llevar a la obesidad</w:t>
      </w:r>
      <w:r>
        <w:rPr>
          <w:rFonts w:ascii="Arial" w:hAnsi="Arial" w:cs="Arial"/>
          <w:color w:val="000000"/>
        </w:rPr>
        <w:t>,</w:t>
      </w:r>
      <w:r w:rsidRPr="00EF1751">
        <w:rPr>
          <w:rFonts w:ascii="Arial" w:hAnsi="Arial" w:cs="Arial"/>
          <w:color w:val="000000"/>
        </w:rPr>
        <w:t xml:space="preserve"> ya que sustituye el consumo de alimentos nutritivos</w:t>
      </w:r>
      <w:r w:rsidRPr="00B60FDD">
        <w:rPr>
          <w:rFonts w:ascii="Arial" w:hAnsi="Arial" w:cs="Arial"/>
          <w:color w:val="000000"/>
        </w:rPr>
        <w:t>. Si el cuerpo no recibe todos los nutrimentos que necesita para formar energía y otras funciones en cada comida</w:t>
      </w:r>
      <w:r w:rsidRPr="00EF1751">
        <w:rPr>
          <w:rFonts w:ascii="Arial" w:hAnsi="Arial" w:cs="Arial"/>
          <w:color w:val="000000"/>
        </w:rPr>
        <w:t xml:space="preserve">, se acumula como grasa, causando obesidad y otras enfermedades crónicas como la alta presión, alto colesterol, piedras en la vesícula, diabetes, entre otros. Los endulzantes </w:t>
      </w:r>
      <w:r>
        <w:rPr>
          <w:rFonts w:ascii="Arial" w:hAnsi="Arial" w:cs="Arial"/>
          <w:color w:val="000000"/>
        </w:rPr>
        <w:t>naturales son la mejor opción para</w:t>
      </w:r>
      <w:r w:rsidRPr="00EF1751">
        <w:rPr>
          <w:rFonts w:ascii="Arial" w:hAnsi="Arial" w:cs="Arial"/>
          <w:color w:val="000000"/>
        </w:rPr>
        <w:t xml:space="preserve"> satisfacer la necesidad de algo dulce. </w:t>
      </w:r>
    </w:p>
    <w:p w:rsidR="000D24A4" w:rsidRPr="00EF1751" w:rsidRDefault="000D24A4" w:rsidP="000D24A4">
      <w:pPr>
        <w:ind w:firstLine="567"/>
        <w:jc w:val="both"/>
        <w:rPr>
          <w:rFonts w:ascii="Arial" w:hAnsi="Arial" w:cs="Arial"/>
          <w:color w:val="000000"/>
        </w:rPr>
      </w:pPr>
      <w:r w:rsidRPr="00EF1751">
        <w:rPr>
          <w:rFonts w:ascii="Arial" w:hAnsi="Arial" w:cs="Arial"/>
          <w:color w:val="000000"/>
        </w:rPr>
        <w:t>Uno de los mayores problemas</w:t>
      </w:r>
      <w:r>
        <w:rPr>
          <w:rFonts w:ascii="Arial" w:hAnsi="Arial" w:cs="Arial"/>
          <w:color w:val="000000"/>
        </w:rPr>
        <w:t xml:space="preserve"> que se tienen es que el gusto de</w:t>
      </w:r>
      <w:r w:rsidRPr="00EF1751">
        <w:rPr>
          <w:rFonts w:ascii="Arial" w:hAnsi="Arial" w:cs="Arial"/>
          <w:color w:val="000000"/>
        </w:rPr>
        <w:t>l azúcar refinado es agradable y las personas no están dispuestas</w:t>
      </w:r>
      <w:r>
        <w:rPr>
          <w:rFonts w:ascii="Arial" w:hAnsi="Arial" w:cs="Arial"/>
          <w:color w:val="000000"/>
        </w:rPr>
        <w:t xml:space="preserve"> a sustituirla</w:t>
      </w:r>
      <w:r w:rsidRPr="00EF1751">
        <w:rPr>
          <w:rFonts w:ascii="Arial" w:hAnsi="Arial" w:cs="Arial"/>
          <w:color w:val="000000"/>
        </w:rPr>
        <w:t xml:space="preserve">, </w:t>
      </w:r>
      <w:r>
        <w:rPr>
          <w:rFonts w:ascii="Arial" w:hAnsi="Arial" w:cs="Arial"/>
          <w:color w:val="000000"/>
        </w:rPr>
        <w:t>sin embargo</w:t>
      </w:r>
      <w:r w:rsidRPr="00EF1751">
        <w:rPr>
          <w:rFonts w:ascii="Arial" w:hAnsi="Arial" w:cs="Arial"/>
          <w:color w:val="000000"/>
        </w:rPr>
        <w:t xml:space="preserve"> esto cambia completamente los sabores de los alimentos o bebidas que la contienen, es por eso que una alternativa factible es la implementación de edulcorantes obtenidos a partir de otras fuentes no convencionales.</w:t>
      </w:r>
    </w:p>
    <w:p w:rsidR="000D24A4" w:rsidRPr="00EF1751" w:rsidRDefault="000D24A4" w:rsidP="000D24A4">
      <w:pPr>
        <w:ind w:firstLine="567"/>
        <w:jc w:val="both"/>
        <w:rPr>
          <w:rFonts w:ascii="Arial" w:hAnsi="Arial" w:cs="Arial"/>
          <w:color w:val="000000"/>
        </w:rPr>
      </w:pPr>
    </w:p>
    <w:p w:rsidR="000D24A4" w:rsidRPr="00EF1751" w:rsidRDefault="000D24A4" w:rsidP="000D24A4">
      <w:pPr>
        <w:ind w:firstLine="567"/>
        <w:jc w:val="both"/>
        <w:rPr>
          <w:rFonts w:ascii="Arial" w:hAnsi="Arial" w:cs="Arial"/>
          <w:color w:val="000000"/>
        </w:rPr>
      </w:pPr>
      <w:r w:rsidRPr="00EF1751">
        <w:rPr>
          <w:rFonts w:ascii="Arial" w:hAnsi="Arial" w:cs="Arial"/>
          <w:color w:val="000000"/>
        </w:rPr>
        <w:t xml:space="preserve">El objetivo es extraer jarabe glucosado a partir del almidón de la papa </w:t>
      </w:r>
      <w:r w:rsidRPr="00E41CB1">
        <w:rPr>
          <w:rFonts w:ascii="Arial" w:hAnsi="Arial" w:cs="Arial"/>
          <w:i/>
          <w:iCs/>
          <w:color w:val="000000"/>
        </w:rPr>
        <w:t>Oxalis Tuberosa</w:t>
      </w:r>
      <w:r w:rsidRPr="00E41CB1">
        <w:rPr>
          <w:rFonts w:ascii="Arial" w:hAnsi="Arial" w:cs="Arial"/>
          <w:color w:val="000000"/>
        </w:rPr>
        <w:t xml:space="preserve"> </w:t>
      </w:r>
      <w:r>
        <w:rPr>
          <w:rFonts w:ascii="Arial" w:hAnsi="Arial" w:cs="Arial"/>
          <w:color w:val="000000"/>
        </w:rPr>
        <w:t>así como adicionar</w:t>
      </w:r>
      <w:r w:rsidRPr="00EF1751">
        <w:rPr>
          <w:rFonts w:ascii="Arial" w:hAnsi="Arial" w:cs="Arial"/>
          <w:color w:val="000000"/>
        </w:rPr>
        <w:t xml:space="preserve">  vitamina C </w:t>
      </w:r>
      <w:r>
        <w:rPr>
          <w:rFonts w:ascii="Arial" w:hAnsi="Arial" w:cs="Arial"/>
          <w:color w:val="000000"/>
        </w:rPr>
        <w:t>la cual</w:t>
      </w:r>
      <w:r w:rsidRPr="00EF1751">
        <w:rPr>
          <w:rFonts w:ascii="Arial" w:hAnsi="Arial" w:cs="Arial"/>
          <w:color w:val="000000"/>
        </w:rPr>
        <w:t xml:space="preserve"> es un tipo de vitamina que no se produce en el org</w:t>
      </w:r>
      <w:r>
        <w:rPr>
          <w:rFonts w:ascii="Arial" w:hAnsi="Arial" w:cs="Arial"/>
          <w:color w:val="000000"/>
        </w:rPr>
        <w:t>anismo humano y que se debe</w:t>
      </w:r>
      <w:r w:rsidRPr="00EF1751">
        <w:rPr>
          <w:rFonts w:ascii="Arial" w:hAnsi="Arial" w:cs="Arial"/>
          <w:color w:val="000000"/>
        </w:rPr>
        <w:t xml:space="preserve"> ingerir de manera muy frecuente debido a que es hidrosoluble, de igual manera posee propiedades y beneficios al organismo. Además, se realizaran pruebas a nivel laboratorio para determinar la factibilidad del producto y observar </w:t>
      </w:r>
      <w:r>
        <w:rPr>
          <w:rFonts w:ascii="Arial" w:hAnsi="Arial" w:cs="Arial"/>
          <w:color w:val="000000"/>
        </w:rPr>
        <w:t>el</w:t>
      </w:r>
      <w:r w:rsidRPr="00EF1751">
        <w:rPr>
          <w:rFonts w:ascii="Arial" w:hAnsi="Arial" w:cs="Arial"/>
          <w:color w:val="000000"/>
        </w:rPr>
        <w:t xml:space="preserve"> comporta</w:t>
      </w:r>
      <w:r>
        <w:rPr>
          <w:rFonts w:ascii="Arial" w:hAnsi="Arial" w:cs="Arial"/>
          <w:color w:val="000000"/>
        </w:rPr>
        <w:t>miento</w:t>
      </w:r>
      <w:r w:rsidRPr="00EF1751">
        <w:rPr>
          <w:rFonts w:ascii="Arial" w:hAnsi="Arial" w:cs="Arial"/>
          <w:color w:val="000000"/>
        </w:rPr>
        <w:t xml:space="preserve"> </w:t>
      </w:r>
      <w:r>
        <w:rPr>
          <w:rFonts w:ascii="Arial" w:hAnsi="Arial" w:cs="Arial"/>
          <w:color w:val="000000"/>
        </w:rPr>
        <w:t>d</w:t>
      </w:r>
      <w:r w:rsidRPr="00EF1751">
        <w:rPr>
          <w:rFonts w:ascii="Arial" w:hAnsi="Arial" w:cs="Arial"/>
          <w:color w:val="000000"/>
        </w:rPr>
        <w:t>el jarabe al adicionar la vitamina C y</w:t>
      </w:r>
      <w:r>
        <w:rPr>
          <w:rFonts w:ascii="Arial" w:hAnsi="Arial" w:cs="Arial"/>
          <w:color w:val="000000"/>
        </w:rPr>
        <w:t xml:space="preserve"> como</w:t>
      </w:r>
      <w:r w:rsidRPr="00EF1751">
        <w:rPr>
          <w:rFonts w:ascii="Arial" w:hAnsi="Arial" w:cs="Arial"/>
          <w:color w:val="000000"/>
        </w:rPr>
        <w:t xml:space="preserve"> se sabe  dicha vitamina es muy inestable </w:t>
      </w:r>
      <w:r>
        <w:rPr>
          <w:rFonts w:ascii="Arial" w:hAnsi="Arial" w:cs="Arial"/>
          <w:color w:val="000000"/>
        </w:rPr>
        <w:t>debido a que es muy</w:t>
      </w:r>
      <w:r w:rsidRPr="00EF1751">
        <w:rPr>
          <w:rFonts w:ascii="Arial" w:hAnsi="Arial" w:cs="Arial"/>
          <w:color w:val="000000"/>
        </w:rPr>
        <w:t xml:space="preserve"> termosensible y fotosensible a la vez. </w:t>
      </w:r>
    </w:p>
    <w:p w:rsidR="000D24A4" w:rsidRPr="00E34E7F" w:rsidRDefault="000D24A4" w:rsidP="000D24A4">
      <w:pPr>
        <w:ind w:firstLine="567"/>
        <w:jc w:val="both"/>
        <w:rPr>
          <w:rFonts w:ascii="Arial" w:hAnsi="Arial" w:cs="Arial"/>
          <w:color w:val="000000"/>
        </w:rPr>
      </w:pPr>
    </w:p>
    <w:p w:rsidR="000D24A4" w:rsidRPr="000D24A4" w:rsidRDefault="000D24A4" w:rsidP="000D24A4">
      <w:pPr>
        <w:pStyle w:val="Ttulo1"/>
        <w:keepLines w:val="0"/>
        <w:tabs>
          <w:tab w:val="left" w:pos="0"/>
        </w:tabs>
        <w:suppressAutoHyphens/>
        <w:spacing w:before="0" w:after="0" w:line="360" w:lineRule="auto"/>
        <w:rPr>
          <w:rFonts w:ascii="Arial" w:hAnsi="Arial" w:cs="Arial"/>
          <w:i/>
          <w:sz w:val="24"/>
          <w:szCs w:val="24"/>
        </w:rPr>
      </w:pPr>
      <w:bookmarkStart w:id="231" w:name="_Toc50031313"/>
      <w:r w:rsidRPr="000D24A4">
        <w:rPr>
          <w:rFonts w:ascii="Arial" w:hAnsi="Arial" w:cs="Arial"/>
          <w:caps/>
          <w:sz w:val="24"/>
          <w:szCs w:val="24"/>
        </w:rPr>
        <w:t>3. C</w:t>
      </w:r>
      <w:r w:rsidRPr="000D24A4">
        <w:rPr>
          <w:rFonts w:ascii="Arial" w:hAnsi="Arial" w:cs="Arial"/>
          <w:sz w:val="24"/>
          <w:szCs w:val="24"/>
        </w:rPr>
        <w:t>ondiciones experimentales</w:t>
      </w:r>
      <w:bookmarkEnd w:id="231"/>
    </w:p>
    <w:p w:rsidR="000D24A4" w:rsidRPr="00EF1751" w:rsidRDefault="000D24A4" w:rsidP="000D24A4">
      <w:pPr>
        <w:ind w:firstLine="567"/>
        <w:jc w:val="both"/>
        <w:rPr>
          <w:rFonts w:ascii="Arial" w:hAnsi="Arial" w:cs="Arial"/>
          <w:color w:val="000000"/>
        </w:rPr>
      </w:pPr>
      <w:r w:rsidRPr="00EF1751">
        <w:rPr>
          <w:rFonts w:ascii="Arial" w:hAnsi="Arial" w:cs="Arial"/>
          <w:color w:val="000000"/>
        </w:rPr>
        <w:t>El proceso de obtención de jarabe glucosado se realizó en dos etapas, inicialmente consistió en seleccionar la fuente de obtención del almidón, en este cas</w:t>
      </w:r>
      <w:r>
        <w:rPr>
          <w:rFonts w:ascii="Arial" w:hAnsi="Arial" w:cs="Arial"/>
          <w:color w:val="000000"/>
        </w:rPr>
        <w:t xml:space="preserve">o se optó por la papa </w:t>
      </w:r>
      <w:r w:rsidRPr="005D1905">
        <w:rPr>
          <w:rFonts w:ascii="Arial" w:hAnsi="Arial" w:cs="Arial"/>
          <w:i/>
          <w:iCs/>
          <w:color w:val="000000"/>
        </w:rPr>
        <w:t>Oxalis Tuberosa</w:t>
      </w:r>
      <w:r w:rsidRPr="00EF1751">
        <w:rPr>
          <w:rFonts w:ascii="Arial" w:hAnsi="Arial" w:cs="Arial"/>
          <w:color w:val="000000"/>
        </w:rPr>
        <w:t xml:space="preserve"> para posteriormente aislar el almidón contenido en el tubérculo. </w:t>
      </w:r>
      <w:r>
        <w:rPr>
          <w:rFonts w:ascii="Arial" w:hAnsi="Arial" w:cs="Arial"/>
          <w:color w:val="000000"/>
        </w:rPr>
        <w:t>E</w:t>
      </w:r>
      <w:r w:rsidRPr="00EF1751">
        <w:rPr>
          <w:rFonts w:ascii="Arial" w:hAnsi="Arial" w:cs="Arial"/>
          <w:color w:val="000000"/>
        </w:rPr>
        <w:t xml:space="preserve">l almidón obtenido y seco se le realizó pruebas fisicoquímicas. La </w:t>
      </w:r>
      <w:r w:rsidRPr="00E34E7F">
        <w:rPr>
          <w:rFonts w:ascii="Arial" w:hAnsi="Arial" w:cs="Arial"/>
          <w:color w:val="000000"/>
        </w:rPr>
        <w:t>Figura 1</w:t>
      </w:r>
      <w:r w:rsidRPr="00EF1751">
        <w:rPr>
          <w:rFonts w:ascii="Arial" w:hAnsi="Arial" w:cs="Arial"/>
          <w:color w:val="000000"/>
        </w:rPr>
        <w:t xml:space="preserve"> muestra la metodología que se empleó para realizar dicho proceso.</w:t>
      </w:r>
    </w:p>
    <w:p w:rsidR="000D24A4" w:rsidRPr="00EF1751" w:rsidRDefault="000D24A4" w:rsidP="000D24A4">
      <w:pPr>
        <w:ind w:firstLine="567"/>
        <w:jc w:val="both"/>
        <w:rPr>
          <w:rFonts w:ascii="Arial" w:hAnsi="Arial" w:cs="Arial"/>
          <w:color w:val="000000"/>
        </w:rPr>
      </w:pPr>
    </w:p>
    <w:p w:rsidR="000D24A4" w:rsidRPr="00EF1751" w:rsidRDefault="000D24A4" w:rsidP="000D24A4">
      <w:pPr>
        <w:jc w:val="center"/>
        <w:rPr>
          <w:rFonts w:ascii="Arial" w:hAnsi="Arial" w:cs="Arial"/>
          <w:color w:val="000000"/>
        </w:rPr>
      </w:pPr>
      <w:r w:rsidRPr="00EF1751">
        <w:rPr>
          <w:noProof/>
          <w:lang w:val="en-US"/>
        </w:rPr>
        <w:drawing>
          <wp:inline distT="0" distB="0" distL="0" distR="0" wp14:anchorId="7D9FDB63" wp14:editId="78B057D4">
            <wp:extent cx="2097405" cy="2008909"/>
            <wp:effectExtent l="0" t="0" r="0" b="0"/>
            <wp:docPr id="269469681" name="Imagen 26946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75" cstate="print">
                      <a:extLst>
                        <a:ext uri="{28A0092B-C50C-407E-A947-70E740481C1C}">
                          <a14:useLocalDpi xmlns:a14="http://schemas.microsoft.com/office/drawing/2010/main" val="0"/>
                        </a:ext>
                      </a:extLst>
                    </a:blip>
                    <a:srcRect l="3838" t="1717" r="9842"/>
                    <a:stretch>
                      <a:fillRect/>
                    </a:stretch>
                  </pic:blipFill>
                  <pic:spPr bwMode="auto">
                    <a:xfrm>
                      <a:off x="0" y="0"/>
                      <a:ext cx="2098584" cy="2010038"/>
                    </a:xfrm>
                    <a:prstGeom prst="rect">
                      <a:avLst/>
                    </a:prstGeom>
                    <a:noFill/>
                    <a:ln>
                      <a:noFill/>
                    </a:ln>
                  </pic:spPr>
                </pic:pic>
              </a:graphicData>
            </a:graphic>
          </wp:inline>
        </w:drawing>
      </w:r>
    </w:p>
    <w:p w:rsidR="000D24A4" w:rsidRPr="00EF1751" w:rsidRDefault="000D24A4" w:rsidP="000D24A4">
      <w:pPr>
        <w:jc w:val="center"/>
        <w:rPr>
          <w:rFonts w:ascii="Arial" w:hAnsi="Arial" w:cs="Arial"/>
          <w:bCs/>
          <w:i/>
          <w:sz w:val="20"/>
          <w:szCs w:val="20"/>
        </w:rPr>
      </w:pPr>
      <w:r w:rsidRPr="00EF1751">
        <w:rPr>
          <w:rFonts w:ascii="Arial" w:hAnsi="Arial" w:cs="Arial"/>
          <w:bCs/>
          <w:i/>
          <w:sz w:val="20"/>
          <w:szCs w:val="20"/>
        </w:rPr>
        <w:t>Figura 1. Metodología de la obtención de almidón enriquecido con vitamina C</w:t>
      </w:r>
    </w:p>
    <w:p w:rsidR="000D24A4" w:rsidRPr="00EF1751" w:rsidRDefault="000D24A4" w:rsidP="000D24A4">
      <w:pPr>
        <w:ind w:firstLine="567"/>
        <w:jc w:val="both"/>
        <w:rPr>
          <w:rFonts w:ascii="Arial" w:hAnsi="Arial" w:cs="Arial"/>
          <w:color w:val="000000"/>
        </w:rPr>
      </w:pPr>
    </w:p>
    <w:p w:rsidR="000D24A4" w:rsidRPr="00EF1751" w:rsidRDefault="000D24A4" w:rsidP="000D24A4">
      <w:pPr>
        <w:spacing w:line="360" w:lineRule="auto"/>
        <w:jc w:val="both"/>
        <w:rPr>
          <w:rFonts w:ascii="Arial" w:hAnsi="Arial" w:cs="Arial"/>
          <w:i/>
          <w:color w:val="000000"/>
        </w:rPr>
      </w:pPr>
      <w:r w:rsidRPr="00EF1751">
        <w:rPr>
          <w:rFonts w:ascii="Arial" w:hAnsi="Arial" w:cs="Arial"/>
          <w:i/>
          <w:color w:val="000000"/>
        </w:rPr>
        <w:t xml:space="preserve">3.1 </w:t>
      </w:r>
      <w:r>
        <w:rPr>
          <w:rFonts w:ascii="Arial" w:hAnsi="Arial" w:cs="Arial"/>
          <w:i/>
          <w:color w:val="000000"/>
        </w:rPr>
        <w:t>A</w:t>
      </w:r>
      <w:r w:rsidRPr="00EF1751">
        <w:rPr>
          <w:rFonts w:ascii="Arial" w:hAnsi="Arial" w:cs="Arial"/>
          <w:i/>
          <w:color w:val="000000"/>
        </w:rPr>
        <w:t>decuaciones preliminares</w:t>
      </w:r>
    </w:p>
    <w:p w:rsidR="000D24A4" w:rsidRPr="00EF1751" w:rsidRDefault="000D24A4" w:rsidP="000D24A4">
      <w:pPr>
        <w:ind w:firstLine="567"/>
        <w:jc w:val="both"/>
        <w:rPr>
          <w:rFonts w:ascii="Arial" w:hAnsi="Arial" w:cs="Arial"/>
          <w:color w:val="000000"/>
        </w:rPr>
      </w:pPr>
      <w:r w:rsidRPr="00EF1751">
        <w:rPr>
          <w:rFonts w:ascii="Arial" w:hAnsi="Arial" w:cs="Arial"/>
          <w:color w:val="000000"/>
        </w:rPr>
        <w:t>Los métodos utilizados han sido empleados para tener un perfil de la composición del almidón y el contr</w:t>
      </w:r>
      <w:r>
        <w:rPr>
          <w:rFonts w:ascii="Arial" w:hAnsi="Arial" w:cs="Arial"/>
          <w:color w:val="000000"/>
        </w:rPr>
        <w:t>ol de variables durante la hidró</w:t>
      </w:r>
      <w:r w:rsidRPr="00EF1751">
        <w:rPr>
          <w:rFonts w:ascii="Arial" w:hAnsi="Arial" w:cs="Arial"/>
          <w:color w:val="000000"/>
        </w:rPr>
        <w:t>lisis enzimática en utilización de las 5 enzimas ya mencionadas.</w:t>
      </w:r>
    </w:p>
    <w:p w:rsidR="000D24A4" w:rsidRPr="00EF1751" w:rsidRDefault="000D24A4" w:rsidP="000D24A4">
      <w:pPr>
        <w:ind w:firstLine="567"/>
        <w:jc w:val="both"/>
        <w:rPr>
          <w:rFonts w:ascii="Arial" w:hAnsi="Arial" w:cs="Arial"/>
          <w:color w:val="000000"/>
        </w:rPr>
      </w:pPr>
    </w:p>
    <w:p w:rsidR="000D24A4" w:rsidRPr="00EF1751" w:rsidRDefault="000D24A4" w:rsidP="000D24A4">
      <w:pPr>
        <w:spacing w:line="360" w:lineRule="auto"/>
        <w:jc w:val="both"/>
        <w:rPr>
          <w:rFonts w:ascii="Arial" w:hAnsi="Arial" w:cs="Arial"/>
          <w:i/>
          <w:color w:val="000000"/>
        </w:rPr>
      </w:pPr>
      <w:r w:rsidRPr="00EF1751">
        <w:rPr>
          <w:rFonts w:ascii="Arial" w:hAnsi="Arial" w:cs="Arial"/>
          <w:i/>
          <w:color w:val="000000"/>
        </w:rPr>
        <w:t>3.1.</w:t>
      </w:r>
      <w:r>
        <w:rPr>
          <w:rFonts w:ascii="Arial" w:hAnsi="Arial" w:cs="Arial"/>
          <w:i/>
          <w:color w:val="000000"/>
        </w:rPr>
        <w:t>1</w:t>
      </w:r>
      <w:r w:rsidRPr="00EF1751">
        <w:rPr>
          <w:rFonts w:ascii="Arial" w:hAnsi="Arial" w:cs="Arial"/>
          <w:i/>
          <w:color w:val="000000"/>
        </w:rPr>
        <w:t>. Extracción del almidón a partir de la Papa Oxalis Tuberosa</w:t>
      </w:r>
    </w:p>
    <w:p w:rsidR="000D24A4" w:rsidRPr="00EF1751" w:rsidRDefault="000D24A4" w:rsidP="000D24A4">
      <w:pPr>
        <w:ind w:firstLine="567"/>
        <w:jc w:val="both"/>
        <w:rPr>
          <w:rFonts w:ascii="Arial" w:hAnsi="Arial" w:cs="Arial"/>
          <w:color w:val="000000"/>
        </w:rPr>
      </w:pPr>
      <w:r w:rsidRPr="00EF1751">
        <w:rPr>
          <w:rFonts w:ascii="Arial" w:hAnsi="Arial" w:cs="Arial"/>
          <w:color w:val="000000"/>
        </w:rPr>
        <w:lastRenderedPageBreak/>
        <w:t xml:space="preserve">El procedimiento se realizó a nivel laboratorio, se obtuvieron 105.1 gr de almidón de un total de 7000 gr de papa </w:t>
      </w:r>
      <w:r>
        <w:rPr>
          <w:rFonts w:ascii="Arial" w:hAnsi="Arial" w:cs="Arial"/>
          <w:i/>
          <w:iCs/>
          <w:color w:val="000000"/>
        </w:rPr>
        <w:t>Oxal</w:t>
      </w:r>
      <w:r w:rsidRPr="00EF1751">
        <w:rPr>
          <w:rFonts w:ascii="Arial" w:hAnsi="Arial" w:cs="Arial"/>
          <w:i/>
          <w:iCs/>
          <w:color w:val="000000"/>
        </w:rPr>
        <w:t>is Tuberosa</w:t>
      </w:r>
      <w:r w:rsidRPr="00EF1751">
        <w:rPr>
          <w:rFonts w:ascii="Arial" w:hAnsi="Arial" w:cs="Arial"/>
          <w:color w:val="000000"/>
        </w:rPr>
        <w:t>. Se</w:t>
      </w:r>
      <w:r>
        <w:rPr>
          <w:rFonts w:ascii="Arial" w:hAnsi="Arial" w:cs="Arial"/>
          <w:color w:val="000000"/>
        </w:rPr>
        <w:t xml:space="preserve"> identificó que se obtiene</w:t>
      </w:r>
      <w:r w:rsidRPr="00EF1751">
        <w:rPr>
          <w:rFonts w:ascii="Arial" w:hAnsi="Arial" w:cs="Arial"/>
          <w:color w:val="000000"/>
        </w:rPr>
        <w:t xml:space="preserve"> un promedio de 15.014 g de almidón por cada 1000 g de materia prima, esto demuestra que la papa </w:t>
      </w:r>
      <w:r w:rsidRPr="00EF1751">
        <w:rPr>
          <w:rFonts w:ascii="Arial" w:hAnsi="Arial" w:cs="Arial"/>
          <w:i/>
          <w:iCs/>
          <w:color w:val="000000"/>
        </w:rPr>
        <w:t>Oxalis Tuberosa</w:t>
      </w:r>
      <w:r>
        <w:rPr>
          <w:rFonts w:ascii="Arial" w:hAnsi="Arial" w:cs="Arial"/>
          <w:color w:val="000000"/>
        </w:rPr>
        <w:t xml:space="preserve"> es una fuente potencial para la</w:t>
      </w:r>
      <w:r w:rsidRPr="00EF1751">
        <w:rPr>
          <w:rFonts w:ascii="Arial" w:hAnsi="Arial" w:cs="Arial"/>
          <w:color w:val="000000"/>
        </w:rPr>
        <w:t xml:space="preserve"> obtención de almidón en comparación con la jícama</w:t>
      </w:r>
      <w:r w:rsidRPr="00ED25A5">
        <w:rPr>
          <w:rFonts w:ascii="Arial" w:hAnsi="Arial" w:cs="Arial"/>
          <w:color w:val="000000"/>
          <w:vertAlign w:val="superscript"/>
        </w:rPr>
        <w:t>1</w:t>
      </w:r>
      <w:r>
        <w:rPr>
          <w:rFonts w:ascii="Arial" w:hAnsi="Arial" w:cs="Arial"/>
          <w:color w:val="000000"/>
        </w:rPr>
        <w:t>.</w:t>
      </w:r>
      <w:r w:rsidRPr="00EF1751">
        <w:rPr>
          <w:rFonts w:ascii="Arial" w:hAnsi="Arial" w:cs="Arial"/>
          <w:color w:val="000000"/>
        </w:rPr>
        <w:t xml:space="preserve"> Al realizar la prueba de identificación de almidón se</w:t>
      </w:r>
      <w:r>
        <w:rPr>
          <w:rFonts w:ascii="Arial" w:hAnsi="Arial" w:cs="Arial"/>
          <w:color w:val="000000"/>
        </w:rPr>
        <w:t xml:space="preserve"> observó que cuando se le añadieron</w:t>
      </w:r>
      <w:r w:rsidRPr="00EF1751">
        <w:rPr>
          <w:rFonts w:ascii="Arial" w:hAnsi="Arial" w:cs="Arial"/>
          <w:color w:val="000000"/>
        </w:rPr>
        <w:t xml:space="preserve"> gotas de yodo </w:t>
      </w:r>
      <w:r>
        <w:rPr>
          <w:rFonts w:ascii="Arial" w:hAnsi="Arial" w:cs="Arial"/>
          <w:color w:val="000000"/>
        </w:rPr>
        <w:t>u logro</w:t>
      </w:r>
      <w:r w:rsidRPr="00EF1751">
        <w:rPr>
          <w:rFonts w:ascii="Arial" w:hAnsi="Arial" w:cs="Arial"/>
          <w:color w:val="000000"/>
        </w:rPr>
        <w:t xml:space="preserve"> un cambio de color a azul oscuro. </w:t>
      </w:r>
    </w:p>
    <w:p w:rsidR="000D24A4" w:rsidRPr="00EF1751" w:rsidRDefault="000D24A4" w:rsidP="000D24A4">
      <w:pPr>
        <w:ind w:firstLine="567"/>
        <w:jc w:val="both"/>
        <w:rPr>
          <w:rFonts w:ascii="Arial" w:hAnsi="Arial" w:cs="Arial"/>
          <w:color w:val="000000"/>
        </w:rPr>
      </w:pPr>
    </w:p>
    <w:p w:rsidR="000D24A4" w:rsidRPr="00EF1751" w:rsidRDefault="000D24A4" w:rsidP="000D24A4">
      <w:pPr>
        <w:spacing w:line="360" w:lineRule="auto"/>
        <w:jc w:val="both"/>
        <w:rPr>
          <w:rFonts w:ascii="Arial" w:hAnsi="Arial" w:cs="Arial"/>
          <w:i/>
          <w:color w:val="000000"/>
        </w:rPr>
      </w:pPr>
      <w:r w:rsidRPr="00EF1751">
        <w:rPr>
          <w:rFonts w:ascii="Arial" w:hAnsi="Arial" w:cs="Arial"/>
          <w:i/>
          <w:color w:val="000000"/>
        </w:rPr>
        <w:t>3.2. Enzimas</w:t>
      </w:r>
    </w:p>
    <w:p w:rsidR="000D24A4" w:rsidRPr="00EF1751" w:rsidRDefault="000D24A4" w:rsidP="000D24A4">
      <w:pPr>
        <w:ind w:firstLine="567"/>
        <w:jc w:val="both"/>
        <w:rPr>
          <w:rFonts w:ascii="Arial" w:hAnsi="Arial" w:cs="Arial"/>
          <w:color w:val="000000"/>
        </w:rPr>
      </w:pPr>
      <w:r w:rsidRPr="00EF1751">
        <w:rPr>
          <w:rFonts w:ascii="Arial" w:hAnsi="Arial" w:cs="Arial"/>
          <w:color w:val="000000"/>
        </w:rPr>
        <w:t>Se emplearon en total cinco enzimas, de las cuales 2 son de uso comercial las  cuales son Celluclast 1.5 L. y Lyvanol Devisco 1500 Xylanase, en el caso de las formulaciones 2, 3 y 4 se obtuvieron a través de cultivos de microorganismo realizados en el laboratorio 111 de la Facultad de Ciencias Químicas</w:t>
      </w:r>
      <w:r w:rsidRPr="00ED25A5">
        <w:rPr>
          <w:rFonts w:ascii="Arial" w:hAnsi="Arial" w:cs="Arial"/>
          <w:color w:val="000000"/>
          <w:vertAlign w:val="superscript"/>
        </w:rPr>
        <w:t>2</w:t>
      </w:r>
      <w:r>
        <w:rPr>
          <w:rFonts w:ascii="Arial" w:hAnsi="Arial" w:cs="Arial"/>
          <w:color w:val="000000"/>
        </w:rPr>
        <w:t xml:space="preserve">, </w:t>
      </w:r>
      <w:r w:rsidRPr="00EF1751">
        <w:rPr>
          <w:rFonts w:ascii="Arial" w:hAnsi="Arial" w:cs="Arial"/>
          <w:color w:val="000000"/>
        </w:rPr>
        <w:t>por</w:t>
      </w:r>
      <w:r>
        <w:rPr>
          <w:rFonts w:ascii="Arial" w:hAnsi="Arial" w:cs="Arial"/>
          <w:color w:val="000000"/>
        </w:rPr>
        <w:t xml:space="preserve"> </w:t>
      </w:r>
      <w:r w:rsidRPr="00EF1751">
        <w:rPr>
          <w:rFonts w:ascii="Arial" w:hAnsi="Arial" w:cs="Arial"/>
          <w:color w:val="000000"/>
        </w:rPr>
        <w:t xml:space="preserve">los microorganismos utilizados para la realización de las distintas formulaciones se muestran en la </w:t>
      </w:r>
      <w:r w:rsidRPr="00113F94">
        <w:rPr>
          <w:rFonts w:ascii="Arial" w:hAnsi="Arial" w:cs="Arial"/>
          <w:i/>
          <w:iCs/>
          <w:color w:val="000000"/>
        </w:rPr>
        <w:t>Tabla 1</w:t>
      </w:r>
      <w:r>
        <w:rPr>
          <w:rFonts w:ascii="Arial" w:hAnsi="Arial" w:cs="Arial"/>
          <w:color w:val="000000"/>
        </w:rPr>
        <w:t>. D</w:t>
      </w:r>
      <w:r w:rsidRPr="00EF1751">
        <w:rPr>
          <w:rFonts w:ascii="Arial" w:hAnsi="Arial" w:cs="Arial"/>
          <w:color w:val="000000"/>
        </w:rPr>
        <w:t>ebido a estudios previos realizados se optó por utilizar dichos microorganismos ya que son los que obtuvieron mejor rendimiento</w:t>
      </w:r>
      <w:r w:rsidRPr="00ED25A5">
        <w:rPr>
          <w:rFonts w:ascii="Arial" w:hAnsi="Arial" w:cs="Arial"/>
          <w:color w:val="000000"/>
          <w:vertAlign w:val="superscript"/>
        </w:rPr>
        <w:t>3</w:t>
      </w:r>
      <w:r w:rsidRPr="00EF1751">
        <w:rPr>
          <w:rFonts w:ascii="Arial" w:hAnsi="Arial" w:cs="Arial"/>
          <w:color w:val="000000"/>
        </w:rPr>
        <w:t>.</w:t>
      </w:r>
    </w:p>
    <w:p w:rsidR="000D24A4" w:rsidRPr="00EF1751" w:rsidRDefault="000D24A4" w:rsidP="000D24A4">
      <w:pPr>
        <w:jc w:val="both"/>
        <w:rPr>
          <w:rFonts w:ascii="Arial" w:hAnsi="Arial" w:cs="Arial"/>
          <w:color w:val="000000"/>
        </w:rPr>
      </w:pPr>
    </w:p>
    <w:p w:rsidR="000D24A4" w:rsidRPr="00EF1751" w:rsidRDefault="000D24A4" w:rsidP="000D24A4">
      <w:pPr>
        <w:jc w:val="center"/>
        <w:rPr>
          <w:rFonts w:ascii="Arial" w:hAnsi="Arial" w:cs="Arial"/>
          <w:color w:val="000000"/>
        </w:rPr>
      </w:pPr>
      <w:r w:rsidRPr="00EF1751">
        <w:rPr>
          <w:rFonts w:ascii="Arial" w:eastAsia="Times New Roman" w:hAnsi="Arial" w:cs="Arial"/>
          <w:bCs/>
          <w:i/>
          <w:noProof/>
          <w:sz w:val="20"/>
          <w:szCs w:val="20"/>
          <w:lang w:eastAsia="en-GB"/>
        </w:rPr>
        <w:t>Tabla 1. Microorganismos utilizados y su procedencia</w:t>
      </w:r>
    </w:p>
    <w:tbl>
      <w:tblPr>
        <w:tblW w:w="0" w:type="auto"/>
        <w:jc w:val="center"/>
        <w:tblLook w:val="04A0" w:firstRow="1" w:lastRow="0" w:firstColumn="1" w:lastColumn="0" w:noHBand="0" w:noVBand="1"/>
      </w:tblPr>
      <w:tblGrid>
        <w:gridCol w:w="1941"/>
        <w:gridCol w:w="3788"/>
      </w:tblGrid>
      <w:tr w:rsidR="000D24A4" w:rsidRPr="00391447" w:rsidTr="007F2707">
        <w:trPr>
          <w:trHeight w:val="265"/>
          <w:jc w:val="center"/>
        </w:trPr>
        <w:tc>
          <w:tcPr>
            <w:tcW w:w="1941" w:type="dxa"/>
            <w:tcBorders>
              <w:top w:val="single" w:sz="4" w:space="0" w:color="auto"/>
              <w:bottom w:val="single" w:sz="4" w:space="0" w:color="auto"/>
            </w:tcBorders>
            <w:shd w:val="clear" w:color="auto" w:fill="auto"/>
            <w:vAlign w:val="center"/>
          </w:tcPr>
          <w:p w:rsidR="000D24A4" w:rsidRPr="00391447" w:rsidRDefault="000D24A4" w:rsidP="007F2707">
            <w:pPr>
              <w:jc w:val="center"/>
              <w:rPr>
                <w:rFonts w:ascii="Arial" w:hAnsi="Arial" w:cs="Arial"/>
                <w:b/>
                <w:bCs/>
                <w:color w:val="000000"/>
                <w:sz w:val="20"/>
                <w:szCs w:val="20"/>
              </w:rPr>
            </w:pPr>
            <w:r w:rsidRPr="00391447">
              <w:rPr>
                <w:rFonts w:ascii="Arial" w:hAnsi="Arial" w:cs="Arial"/>
                <w:b/>
                <w:bCs/>
                <w:color w:val="000000"/>
                <w:sz w:val="20"/>
                <w:szCs w:val="20"/>
              </w:rPr>
              <w:t>Procedencia</w:t>
            </w:r>
          </w:p>
        </w:tc>
        <w:tc>
          <w:tcPr>
            <w:tcW w:w="3788" w:type="dxa"/>
            <w:tcBorders>
              <w:top w:val="single" w:sz="4" w:space="0" w:color="auto"/>
              <w:bottom w:val="single" w:sz="4" w:space="0" w:color="auto"/>
            </w:tcBorders>
            <w:shd w:val="clear" w:color="auto" w:fill="auto"/>
            <w:vAlign w:val="center"/>
          </w:tcPr>
          <w:p w:rsidR="000D24A4" w:rsidRPr="00391447" w:rsidRDefault="000D24A4" w:rsidP="007F2707">
            <w:pPr>
              <w:ind w:hanging="42"/>
              <w:jc w:val="center"/>
              <w:rPr>
                <w:rFonts w:ascii="Arial" w:hAnsi="Arial" w:cs="Arial"/>
                <w:b/>
                <w:bCs/>
                <w:color w:val="000000"/>
                <w:sz w:val="20"/>
                <w:szCs w:val="20"/>
              </w:rPr>
            </w:pPr>
            <w:r w:rsidRPr="00391447">
              <w:rPr>
                <w:rFonts w:ascii="Arial" w:hAnsi="Arial" w:cs="Arial"/>
                <w:b/>
                <w:bCs/>
                <w:color w:val="000000"/>
                <w:sz w:val="20"/>
                <w:szCs w:val="20"/>
              </w:rPr>
              <w:t>Microorganismos</w:t>
            </w:r>
          </w:p>
        </w:tc>
      </w:tr>
      <w:tr w:rsidR="000D24A4" w:rsidRPr="00391447" w:rsidTr="007F2707">
        <w:trPr>
          <w:trHeight w:val="127"/>
          <w:jc w:val="center"/>
        </w:trPr>
        <w:tc>
          <w:tcPr>
            <w:tcW w:w="1941" w:type="dxa"/>
            <w:tcBorders>
              <w:top w:val="single" w:sz="4" w:space="0" w:color="auto"/>
            </w:tcBorders>
            <w:shd w:val="clear" w:color="auto" w:fill="auto"/>
            <w:vAlign w:val="center"/>
          </w:tcPr>
          <w:p w:rsidR="000D24A4" w:rsidRPr="00391447" w:rsidRDefault="000D24A4" w:rsidP="007F2707">
            <w:pPr>
              <w:jc w:val="center"/>
              <w:rPr>
                <w:rFonts w:ascii="Arial" w:hAnsi="Arial" w:cs="Arial"/>
                <w:color w:val="000000"/>
                <w:sz w:val="20"/>
                <w:szCs w:val="20"/>
              </w:rPr>
            </w:pPr>
            <w:r w:rsidRPr="00391447">
              <w:rPr>
                <w:rFonts w:ascii="Arial" w:hAnsi="Arial" w:cs="Arial"/>
                <w:color w:val="000000"/>
                <w:sz w:val="20"/>
                <w:szCs w:val="20"/>
              </w:rPr>
              <w:t>ATCC-MYA-4641</w:t>
            </w:r>
          </w:p>
        </w:tc>
        <w:tc>
          <w:tcPr>
            <w:tcW w:w="3788" w:type="dxa"/>
            <w:tcBorders>
              <w:top w:val="single" w:sz="4" w:space="0" w:color="auto"/>
            </w:tcBorders>
            <w:shd w:val="clear" w:color="auto" w:fill="auto"/>
            <w:vAlign w:val="center"/>
          </w:tcPr>
          <w:p w:rsidR="000D24A4" w:rsidRPr="00391447" w:rsidRDefault="000D24A4" w:rsidP="007F2707">
            <w:pPr>
              <w:ind w:hanging="42"/>
              <w:jc w:val="center"/>
              <w:rPr>
                <w:rFonts w:ascii="Arial" w:hAnsi="Arial" w:cs="Arial"/>
                <w:color w:val="000000"/>
                <w:sz w:val="20"/>
                <w:szCs w:val="20"/>
              </w:rPr>
            </w:pPr>
            <w:r w:rsidRPr="00391447">
              <w:rPr>
                <w:rFonts w:ascii="Arial" w:hAnsi="Arial" w:cs="Arial"/>
                <w:color w:val="000000"/>
                <w:sz w:val="20"/>
                <w:szCs w:val="20"/>
              </w:rPr>
              <w:t>Aspergillus carbonarius</w:t>
            </w:r>
          </w:p>
        </w:tc>
      </w:tr>
      <w:tr w:rsidR="000D24A4" w:rsidRPr="00391447" w:rsidTr="007F2707">
        <w:trPr>
          <w:trHeight w:val="173"/>
          <w:jc w:val="center"/>
        </w:trPr>
        <w:tc>
          <w:tcPr>
            <w:tcW w:w="1941" w:type="dxa"/>
            <w:shd w:val="clear" w:color="auto" w:fill="auto"/>
            <w:vAlign w:val="center"/>
          </w:tcPr>
          <w:p w:rsidR="000D24A4" w:rsidRPr="00391447" w:rsidRDefault="000D24A4" w:rsidP="007F2707">
            <w:pPr>
              <w:jc w:val="center"/>
              <w:rPr>
                <w:rFonts w:ascii="Arial" w:hAnsi="Arial" w:cs="Arial"/>
                <w:color w:val="000000"/>
                <w:sz w:val="20"/>
                <w:szCs w:val="20"/>
              </w:rPr>
            </w:pPr>
            <w:r w:rsidRPr="00391447">
              <w:rPr>
                <w:rFonts w:ascii="Arial" w:hAnsi="Arial" w:cs="Arial"/>
                <w:color w:val="000000"/>
                <w:sz w:val="20"/>
                <w:szCs w:val="20"/>
              </w:rPr>
              <w:t>ATCC-56765</w:t>
            </w:r>
          </w:p>
        </w:tc>
        <w:tc>
          <w:tcPr>
            <w:tcW w:w="3788" w:type="dxa"/>
            <w:shd w:val="clear" w:color="auto" w:fill="auto"/>
            <w:vAlign w:val="center"/>
          </w:tcPr>
          <w:p w:rsidR="000D24A4" w:rsidRPr="00391447" w:rsidRDefault="000D24A4" w:rsidP="007F2707">
            <w:pPr>
              <w:ind w:hanging="42"/>
              <w:jc w:val="center"/>
              <w:rPr>
                <w:rFonts w:ascii="Arial" w:hAnsi="Arial" w:cs="Arial"/>
                <w:color w:val="000000"/>
                <w:sz w:val="20"/>
                <w:szCs w:val="20"/>
              </w:rPr>
            </w:pPr>
            <w:r w:rsidRPr="00391447">
              <w:rPr>
                <w:rFonts w:ascii="Arial" w:hAnsi="Arial" w:cs="Arial"/>
                <w:color w:val="000000"/>
                <w:sz w:val="20"/>
                <w:szCs w:val="20"/>
              </w:rPr>
              <w:t>Trichoderma reesei</w:t>
            </w:r>
          </w:p>
        </w:tc>
      </w:tr>
      <w:tr w:rsidR="000D24A4" w:rsidRPr="00391447" w:rsidTr="007F2707">
        <w:trPr>
          <w:trHeight w:val="219"/>
          <w:jc w:val="center"/>
        </w:trPr>
        <w:tc>
          <w:tcPr>
            <w:tcW w:w="1941" w:type="dxa"/>
            <w:shd w:val="clear" w:color="auto" w:fill="auto"/>
            <w:vAlign w:val="center"/>
          </w:tcPr>
          <w:p w:rsidR="000D24A4" w:rsidRPr="00391447" w:rsidRDefault="000D24A4" w:rsidP="007F2707">
            <w:pPr>
              <w:jc w:val="center"/>
              <w:rPr>
                <w:rFonts w:ascii="Arial" w:hAnsi="Arial" w:cs="Arial"/>
                <w:color w:val="000000"/>
                <w:sz w:val="20"/>
                <w:szCs w:val="20"/>
              </w:rPr>
            </w:pPr>
            <w:r w:rsidRPr="00391447">
              <w:rPr>
                <w:rFonts w:ascii="Arial" w:hAnsi="Arial" w:cs="Arial"/>
                <w:color w:val="000000"/>
                <w:sz w:val="20"/>
                <w:szCs w:val="20"/>
              </w:rPr>
              <w:t>CIB-UAEM</w:t>
            </w:r>
          </w:p>
        </w:tc>
        <w:tc>
          <w:tcPr>
            <w:tcW w:w="3788" w:type="dxa"/>
            <w:shd w:val="clear" w:color="auto" w:fill="auto"/>
            <w:vAlign w:val="center"/>
          </w:tcPr>
          <w:p w:rsidR="000D24A4" w:rsidRPr="00391447" w:rsidRDefault="000D24A4" w:rsidP="007F2707">
            <w:pPr>
              <w:ind w:hanging="42"/>
              <w:jc w:val="center"/>
              <w:rPr>
                <w:rFonts w:ascii="Arial" w:hAnsi="Arial" w:cs="Arial"/>
                <w:color w:val="000000"/>
                <w:sz w:val="20"/>
                <w:szCs w:val="20"/>
              </w:rPr>
            </w:pPr>
            <w:r w:rsidRPr="00391447">
              <w:rPr>
                <w:rFonts w:ascii="Arial" w:hAnsi="Arial" w:cs="Arial"/>
                <w:color w:val="000000"/>
                <w:sz w:val="20"/>
                <w:szCs w:val="20"/>
              </w:rPr>
              <w:t>Trametes versicolor (cepa 12)</w:t>
            </w:r>
          </w:p>
        </w:tc>
      </w:tr>
      <w:tr w:rsidR="000D24A4" w:rsidRPr="00391447" w:rsidTr="007F2707">
        <w:trPr>
          <w:trHeight w:val="123"/>
          <w:jc w:val="center"/>
        </w:trPr>
        <w:tc>
          <w:tcPr>
            <w:tcW w:w="1941" w:type="dxa"/>
            <w:tcBorders>
              <w:bottom w:val="single" w:sz="4" w:space="0" w:color="auto"/>
            </w:tcBorders>
            <w:shd w:val="clear" w:color="auto" w:fill="auto"/>
            <w:vAlign w:val="center"/>
          </w:tcPr>
          <w:p w:rsidR="000D24A4" w:rsidRPr="00391447" w:rsidRDefault="000D24A4" w:rsidP="007F2707">
            <w:pPr>
              <w:jc w:val="center"/>
              <w:rPr>
                <w:rFonts w:ascii="Arial" w:hAnsi="Arial" w:cs="Arial"/>
                <w:color w:val="000000"/>
                <w:sz w:val="20"/>
                <w:szCs w:val="20"/>
              </w:rPr>
            </w:pPr>
            <w:r w:rsidRPr="00391447">
              <w:rPr>
                <w:rFonts w:ascii="Arial" w:hAnsi="Arial" w:cs="Arial"/>
                <w:color w:val="000000"/>
                <w:sz w:val="20"/>
                <w:szCs w:val="20"/>
              </w:rPr>
              <w:t>CIB-UAEM</w:t>
            </w:r>
          </w:p>
        </w:tc>
        <w:tc>
          <w:tcPr>
            <w:tcW w:w="3788" w:type="dxa"/>
            <w:tcBorders>
              <w:bottom w:val="single" w:sz="4" w:space="0" w:color="auto"/>
            </w:tcBorders>
            <w:shd w:val="clear" w:color="auto" w:fill="auto"/>
            <w:vAlign w:val="center"/>
          </w:tcPr>
          <w:p w:rsidR="000D24A4" w:rsidRPr="00391447" w:rsidRDefault="000D24A4" w:rsidP="007F2707">
            <w:pPr>
              <w:ind w:hanging="42"/>
              <w:jc w:val="center"/>
              <w:rPr>
                <w:rFonts w:ascii="Arial" w:hAnsi="Arial" w:cs="Arial"/>
                <w:color w:val="000000"/>
                <w:sz w:val="20"/>
                <w:szCs w:val="20"/>
              </w:rPr>
            </w:pPr>
            <w:r w:rsidRPr="00391447">
              <w:rPr>
                <w:rFonts w:ascii="Arial" w:hAnsi="Arial" w:cs="Arial"/>
                <w:color w:val="000000"/>
                <w:sz w:val="20"/>
                <w:szCs w:val="20"/>
              </w:rPr>
              <w:t>Pycnoporus sanguineus (cepa 1/5-1)</w:t>
            </w:r>
          </w:p>
        </w:tc>
      </w:tr>
    </w:tbl>
    <w:p w:rsidR="000D24A4" w:rsidRPr="00EF1751" w:rsidRDefault="000D24A4" w:rsidP="000D24A4">
      <w:pPr>
        <w:ind w:firstLine="567"/>
        <w:jc w:val="both"/>
        <w:rPr>
          <w:rFonts w:ascii="Arial" w:hAnsi="Arial" w:cs="Arial"/>
          <w:color w:val="000000"/>
        </w:rPr>
      </w:pPr>
    </w:p>
    <w:p w:rsidR="000D24A4" w:rsidRPr="00EF1751" w:rsidRDefault="000D24A4" w:rsidP="000D24A4">
      <w:pPr>
        <w:spacing w:line="360" w:lineRule="auto"/>
        <w:jc w:val="both"/>
        <w:rPr>
          <w:rFonts w:ascii="Arial" w:hAnsi="Arial" w:cs="Arial"/>
          <w:i/>
          <w:color w:val="000000"/>
        </w:rPr>
      </w:pPr>
      <w:bookmarkStart w:id="232" w:name="_Toc11946633"/>
      <w:r w:rsidRPr="00EF1751">
        <w:rPr>
          <w:rFonts w:ascii="Arial" w:hAnsi="Arial" w:cs="Arial"/>
          <w:i/>
          <w:color w:val="000000"/>
        </w:rPr>
        <w:t>3.</w:t>
      </w:r>
      <w:r>
        <w:rPr>
          <w:rFonts w:ascii="Arial" w:hAnsi="Arial" w:cs="Arial"/>
          <w:i/>
          <w:color w:val="000000"/>
        </w:rPr>
        <w:t>2.1.</w:t>
      </w:r>
      <w:r w:rsidRPr="00EF1751">
        <w:rPr>
          <w:rFonts w:ascii="Arial" w:hAnsi="Arial" w:cs="Arial"/>
          <w:i/>
          <w:color w:val="000000"/>
        </w:rPr>
        <w:t xml:space="preserve"> Preparación de extracto enzimático</w:t>
      </w:r>
      <w:bookmarkEnd w:id="232"/>
    </w:p>
    <w:p w:rsidR="000D24A4" w:rsidRDefault="000D24A4" w:rsidP="000D24A4">
      <w:pPr>
        <w:ind w:firstLine="567"/>
        <w:jc w:val="both"/>
        <w:rPr>
          <w:rFonts w:ascii="Arial" w:hAnsi="Arial" w:cs="Arial"/>
          <w:color w:val="000000"/>
        </w:rPr>
      </w:pPr>
    </w:p>
    <w:p w:rsidR="000D24A4" w:rsidRDefault="000D24A4" w:rsidP="000D24A4">
      <w:pPr>
        <w:ind w:firstLine="567"/>
        <w:jc w:val="both"/>
        <w:rPr>
          <w:rFonts w:ascii="Arial" w:hAnsi="Arial" w:cs="Arial"/>
          <w:color w:val="000000"/>
        </w:rPr>
      </w:pPr>
      <w:r w:rsidRPr="00EF1751">
        <w:rPr>
          <w:rFonts w:ascii="Arial" w:hAnsi="Arial" w:cs="Arial"/>
          <w:color w:val="000000"/>
        </w:rPr>
        <w:t xml:space="preserve">La producción de extractos enzimáticos fúngicos se realizó cultivando cada hongo de manera individual en el medio de cultivo como se describió previamente. En el caso de los microorganismos que producen dos enzimas de interés diferentes, se cultivaron por separado para obtener la misma cantidad de sobrenadante al término de su cultivo. </w:t>
      </w:r>
      <w:r>
        <w:rPr>
          <w:rFonts w:ascii="Arial" w:hAnsi="Arial" w:cs="Arial"/>
          <w:color w:val="000000"/>
        </w:rPr>
        <w:t xml:space="preserve"> </w:t>
      </w:r>
      <w:r w:rsidRPr="00EF1751">
        <w:rPr>
          <w:rFonts w:ascii="Arial" w:hAnsi="Arial" w:cs="Arial"/>
          <w:color w:val="000000"/>
        </w:rPr>
        <w:t>Se tomaron muestras a partir del momento de inoculación cada 24 horas manteniéndose en hielo para posteriormente ser centrifugadas a 10 000 rpm durante 10 minutos, se recuperó el sobrenadante y se almacenó en tubos de microcentrífuga de 1.5 mil de la marca Eppendorf™ estériles a -20°C para su posterior análisis. Todos los muestreos y manipulaciones se realizaron en condiciones de esterilidad total.</w:t>
      </w:r>
    </w:p>
    <w:p w:rsidR="000D24A4" w:rsidRPr="00EF1751" w:rsidRDefault="000D24A4" w:rsidP="000D24A4">
      <w:pPr>
        <w:ind w:firstLine="567"/>
        <w:jc w:val="both"/>
        <w:rPr>
          <w:rFonts w:ascii="Arial" w:hAnsi="Arial" w:cs="Arial"/>
          <w:color w:val="000000"/>
        </w:rPr>
      </w:pPr>
    </w:p>
    <w:p w:rsidR="000D24A4" w:rsidRDefault="000D24A4" w:rsidP="000D24A4">
      <w:pPr>
        <w:jc w:val="both"/>
        <w:rPr>
          <w:rFonts w:ascii="Arial" w:hAnsi="Arial" w:cs="Arial"/>
          <w:i/>
          <w:color w:val="000000"/>
        </w:rPr>
      </w:pPr>
      <w:bookmarkStart w:id="233" w:name="_Toc11946635"/>
      <w:r w:rsidRPr="00113F94">
        <w:rPr>
          <w:rFonts w:ascii="Arial" w:hAnsi="Arial" w:cs="Arial"/>
          <w:i/>
          <w:color w:val="000000"/>
        </w:rPr>
        <w:lastRenderedPageBreak/>
        <w:t>3.</w:t>
      </w:r>
      <w:r>
        <w:rPr>
          <w:rFonts w:ascii="Arial" w:hAnsi="Arial" w:cs="Arial"/>
          <w:i/>
          <w:color w:val="000000"/>
        </w:rPr>
        <w:t>2.2</w:t>
      </w:r>
      <w:r w:rsidRPr="00113F94">
        <w:rPr>
          <w:rFonts w:ascii="Arial" w:hAnsi="Arial" w:cs="Arial"/>
          <w:i/>
          <w:color w:val="000000"/>
        </w:rPr>
        <w:t xml:space="preserve"> Preparación de las formulaciones de extractos crudos de amplio espectro enzimático lignocelulósico.</w:t>
      </w:r>
      <w:bookmarkEnd w:id="233"/>
    </w:p>
    <w:p w:rsidR="000D24A4" w:rsidRDefault="000D24A4" w:rsidP="000D24A4">
      <w:pPr>
        <w:ind w:firstLine="567"/>
        <w:jc w:val="both"/>
        <w:rPr>
          <w:rFonts w:ascii="Arial" w:hAnsi="Arial" w:cs="Arial"/>
          <w:color w:val="000000"/>
        </w:rPr>
      </w:pPr>
    </w:p>
    <w:p w:rsidR="000D24A4" w:rsidRDefault="000D24A4" w:rsidP="000D24A4">
      <w:pPr>
        <w:ind w:firstLine="567"/>
        <w:jc w:val="both"/>
        <w:rPr>
          <w:rFonts w:ascii="Arial" w:hAnsi="Arial" w:cs="Arial"/>
          <w:color w:val="000000"/>
        </w:rPr>
      </w:pPr>
      <w:r>
        <w:rPr>
          <w:rFonts w:ascii="Arial" w:hAnsi="Arial" w:cs="Arial"/>
          <w:color w:val="000000"/>
        </w:rPr>
        <w:t>L</w:t>
      </w:r>
      <w:r w:rsidRPr="00EF1751">
        <w:rPr>
          <w:rFonts w:ascii="Arial" w:hAnsi="Arial" w:cs="Arial"/>
          <w:color w:val="000000"/>
        </w:rPr>
        <w:t>as formulaciones se prepararon a partir de los extractos crudos obtenidos previamente del cultivo en medio líquido. Se tomó un tubo con sobrenadante previamente alícuotado y congelado, de cada uno de los microorganismos en sus diferentes tiempos de cultivo, los cuales se centrifugaron a 10 000 rpm durante un tiempo de 10 min. Posteriormente se prepararon cada una de las formulaciones</w:t>
      </w:r>
      <w:r>
        <w:rPr>
          <w:rFonts w:ascii="Arial" w:hAnsi="Arial" w:cs="Arial"/>
          <w:i/>
          <w:iCs/>
          <w:color w:val="000000"/>
        </w:rPr>
        <w:t>,</w:t>
      </w:r>
      <w:r>
        <w:rPr>
          <w:rFonts w:ascii="Arial" w:hAnsi="Arial" w:cs="Arial"/>
          <w:color w:val="000000"/>
        </w:rPr>
        <w:t xml:space="preserve"> en tubos para centrí</w:t>
      </w:r>
      <w:r w:rsidRPr="00EF1751">
        <w:rPr>
          <w:rFonts w:ascii="Arial" w:hAnsi="Arial" w:cs="Arial"/>
          <w:color w:val="000000"/>
        </w:rPr>
        <w:t>fuga cónicos de 50 mil (Falcon™) estériles, los cuales se mantuvieron en un baño agua-hielo con un volumen total de 15 mil. Se homogenizaron los sobrenadantes con ayuda de un vórtex, y se almacenaron en congelación a -20°C hasta su posterior análisis</w:t>
      </w:r>
      <w:r>
        <w:rPr>
          <w:rFonts w:ascii="Arial" w:hAnsi="Arial" w:cs="Arial"/>
          <w:color w:val="000000"/>
        </w:rPr>
        <w:t xml:space="preserve"> como se muestra en la </w:t>
      </w:r>
      <w:r>
        <w:rPr>
          <w:rFonts w:ascii="Arial" w:hAnsi="Arial" w:cs="Arial"/>
          <w:i/>
          <w:iCs/>
          <w:color w:val="000000"/>
        </w:rPr>
        <w:t>T</w:t>
      </w:r>
      <w:r w:rsidRPr="00F02CD8">
        <w:rPr>
          <w:rFonts w:ascii="Arial" w:hAnsi="Arial" w:cs="Arial"/>
          <w:i/>
          <w:iCs/>
          <w:color w:val="000000"/>
        </w:rPr>
        <w:t>abla 2</w:t>
      </w:r>
      <w:r w:rsidRPr="00EF1751">
        <w:rPr>
          <w:rFonts w:ascii="Arial" w:hAnsi="Arial" w:cs="Arial"/>
          <w:color w:val="000000"/>
        </w:rPr>
        <w:t>.</w:t>
      </w:r>
    </w:p>
    <w:p w:rsidR="000D24A4" w:rsidRDefault="000D24A4" w:rsidP="000D24A4">
      <w:pPr>
        <w:ind w:firstLine="567"/>
        <w:jc w:val="both"/>
        <w:rPr>
          <w:rFonts w:ascii="Arial" w:hAnsi="Arial" w:cs="Arial"/>
          <w:color w:val="000000"/>
        </w:rPr>
      </w:pPr>
    </w:p>
    <w:p w:rsidR="000D24A4" w:rsidRDefault="000D24A4" w:rsidP="000D24A4">
      <w:pPr>
        <w:ind w:firstLine="567"/>
        <w:jc w:val="both"/>
        <w:rPr>
          <w:rFonts w:ascii="Arial" w:hAnsi="Arial" w:cs="Arial"/>
          <w:color w:val="000000"/>
        </w:rPr>
      </w:pPr>
    </w:p>
    <w:p w:rsidR="000D24A4" w:rsidRDefault="000D24A4" w:rsidP="000D24A4">
      <w:pPr>
        <w:ind w:firstLine="567"/>
        <w:jc w:val="both"/>
        <w:rPr>
          <w:rFonts w:ascii="Arial" w:hAnsi="Arial" w:cs="Arial"/>
          <w:color w:val="000000"/>
        </w:rPr>
      </w:pPr>
    </w:p>
    <w:p w:rsidR="000D24A4" w:rsidRDefault="000D24A4" w:rsidP="000D24A4">
      <w:pPr>
        <w:ind w:firstLine="567"/>
        <w:jc w:val="both"/>
        <w:rPr>
          <w:rFonts w:ascii="Arial" w:hAnsi="Arial" w:cs="Arial"/>
          <w:color w:val="000000"/>
        </w:rPr>
      </w:pPr>
    </w:p>
    <w:p w:rsidR="000D24A4" w:rsidRPr="00EF1751" w:rsidRDefault="000D24A4" w:rsidP="000D24A4">
      <w:pPr>
        <w:jc w:val="center"/>
        <w:rPr>
          <w:rFonts w:ascii="Arial" w:hAnsi="Arial" w:cs="Arial"/>
          <w:color w:val="000000"/>
        </w:rPr>
      </w:pPr>
      <w:r w:rsidRPr="00EF1751">
        <w:rPr>
          <w:rFonts w:ascii="Arial" w:eastAsia="Times New Roman" w:hAnsi="Arial" w:cs="Arial"/>
          <w:bCs/>
          <w:i/>
          <w:noProof/>
          <w:sz w:val="20"/>
          <w:szCs w:val="20"/>
          <w:lang w:eastAsia="en-GB"/>
        </w:rPr>
        <w:t>Tabla</w:t>
      </w:r>
      <w:r>
        <w:rPr>
          <w:rFonts w:ascii="Arial" w:eastAsia="Times New Roman" w:hAnsi="Arial" w:cs="Arial"/>
          <w:bCs/>
          <w:i/>
          <w:noProof/>
          <w:sz w:val="20"/>
          <w:szCs w:val="20"/>
          <w:lang w:eastAsia="en-GB"/>
        </w:rPr>
        <w:t xml:space="preserve"> 2</w:t>
      </w:r>
      <w:r w:rsidRPr="00EF1751">
        <w:rPr>
          <w:rFonts w:ascii="Arial" w:eastAsia="Times New Roman" w:hAnsi="Arial" w:cs="Arial"/>
          <w:bCs/>
          <w:i/>
          <w:noProof/>
          <w:sz w:val="20"/>
          <w:szCs w:val="20"/>
          <w:lang w:eastAsia="en-GB"/>
        </w:rPr>
        <w:t xml:space="preserve">. </w:t>
      </w:r>
      <w:r w:rsidRPr="003978BF">
        <w:rPr>
          <w:rFonts w:ascii="Arial" w:eastAsia="Times New Roman" w:hAnsi="Arial" w:cs="Arial"/>
          <w:bCs/>
          <w:i/>
          <w:noProof/>
          <w:sz w:val="20"/>
          <w:szCs w:val="20"/>
          <w:lang w:eastAsia="en-GB"/>
        </w:rPr>
        <w:t>Composición de las formulaciones 2, 3, 4</w:t>
      </w:r>
      <w:r>
        <w:rPr>
          <w:rFonts w:ascii="Arial" w:eastAsia="Times New Roman" w:hAnsi="Arial" w:cs="Arial"/>
          <w:bCs/>
          <w:i/>
          <w:noProof/>
          <w:sz w:val="20"/>
          <w:szCs w:val="20"/>
          <w:lang w:eastAsia="en-GB"/>
        </w:rPr>
        <w:t>.</w:t>
      </w:r>
    </w:p>
    <w:p w:rsidR="000D24A4" w:rsidRPr="00EF1751" w:rsidRDefault="000D24A4" w:rsidP="000D24A4">
      <w:pPr>
        <w:jc w:val="center"/>
        <w:rPr>
          <w:rFonts w:ascii="Arial" w:hAnsi="Arial" w:cs="Arial"/>
          <w:color w:val="000000"/>
        </w:rPr>
      </w:pPr>
      <w:r w:rsidRPr="003978BF">
        <w:rPr>
          <w:noProof/>
          <w:lang w:val="en-US"/>
        </w:rPr>
        <w:drawing>
          <wp:inline distT="0" distB="0" distL="0" distR="0" wp14:anchorId="20264B64" wp14:editId="7826FA0A">
            <wp:extent cx="5967730" cy="2434590"/>
            <wp:effectExtent l="0" t="0" r="0" b="0"/>
            <wp:docPr id="2694696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5967730" cy="2434590"/>
                    </a:xfrm>
                    <a:prstGeom prst="rect">
                      <a:avLst/>
                    </a:prstGeom>
                    <a:noFill/>
                    <a:ln>
                      <a:noFill/>
                    </a:ln>
                  </pic:spPr>
                </pic:pic>
              </a:graphicData>
            </a:graphic>
          </wp:inline>
        </w:drawing>
      </w:r>
    </w:p>
    <w:p w:rsidR="000D24A4" w:rsidRPr="00EF1751" w:rsidRDefault="000D24A4" w:rsidP="000D24A4">
      <w:pPr>
        <w:ind w:firstLine="567"/>
        <w:jc w:val="both"/>
        <w:rPr>
          <w:rFonts w:ascii="Arial" w:hAnsi="Arial" w:cs="Arial"/>
          <w:color w:val="000000"/>
        </w:rPr>
      </w:pPr>
    </w:p>
    <w:p w:rsidR="000D24A4" w:rsidRPr="000D24A4" w:rsidRDefault="000D24A4" w:rsidP="000D24A4">
      <w:pPr>
        <w:pStyle w:val="Ttulo1"/>
        <w:keepLines w:val="0"/>
        <w:tabs>
          <w:tab w:val="left" w:pos="0"/>
        </w:tabs>
        <w:suppressAutoHyphens/>
        <w:spacing w:before="0" w:after="0" w:line="360" w:lineRule="auto"/>
        <w:rPr>
          <w:rFonts w:ascii="Arial" w:hAnsi="Arial" w:cs="Arial"/>
          <w:i/>
          <w:caps/>
          <w:sz w:val="24"/>
          <w:szCs w:val="24"/>
        </w:rPr>
      </w:pPr>
      <w:bookmarkStart w:id="234" w:name="_Toc50031314"/>
      <w:r w:rsidRPr="000D24A4">
        <w:rPr>
          <w:rFonts w:ascii="Arial" w:hAnsi="Arial" w:cs="Arial"/>
          <w:caps/>
          <w:sz w:val="24"/>
          <w:szCs w:val="24"/>
        </w:rPr>
        <w:t>4. Resultados y discusión</w:t>
      </w:r>
      <w:bookmarkEnd w:id="234"/>
    </w:p>
    <w:p w:rsidR="000D24A4" w:rsidRDefault="000D24A4" w:rsidP="000D24A4">
      <w:pPr>
        <w:ind w:firstLine="567"/>
        <w:jc w:val="both"/>
        <w:rPr>
          <w:rFonts w:ascii="Arial" w:hAnsi="Arial" w:cs="Arial"/>
          <w:color w:val="000000"/>
        </w:rPr>
      </w:pPr>
      <w:r>
        <w:rPr>
          <w:rFonts w:ascii="Arial" w:hAnsi="Arial" w:cs="Arial"/>
          <w:color w:val="000000"/>
        </w:rPr>
        <w:t>E</w:t>
      </w:r>
      <w:r w:rsidRPr="00EF1751">
        <w:rPr>
          <w:rFonts w:ascii="Arial" w:hAnsi="Arial" w:cs="Arial"/>
          <w:color w:val="000000"/>
        </w:rPr>
        <w:t xml:space="preserve">n la </w:t>
      </w:r>
      <w:r w:rsidRPr="0014307C">
        <w:rPr>
          <w:rFonts w:ascii="Arial" w:hAnsi="Arial" w:cs="Arial"/>
          <w:i/>
          <w:iCs/>
          <w:color w:val="000000"/>
        </w:rPr>
        <w:t>Figura 2</w:t>
      </w:r>
      <w:r w:rsidRPr="00EF1751">
        <w:rPr>
          <w:rFonts w:ascii="Arial" w:hAnsi="Arial" w:cs="Arial"/>
          <w:color w:val="000000"/>
        </w:rPr>
        <w:t xml:space="preserve">. Se puede observar la composición del almidón de papa </w:t>
      </w:r>
      <w:r w:rsidRPr="00EF1751">
        <w:rPr>
          <w:rFonts w:ascii="Arial" w:hAnsi="Arial" w:cs="Arial"/>
          <w:i/>
          <w:color w:val="000000"/>
        </w:rPr>
        <w:t>Oxalis Tuberosa</w:t>
      </w:r>
      <w:r w:rsidRPr="003249B9">
        <w:rPr>
          <w:rFonts w:ascii="Arial" w:hAnsi="Arial" w:cs="Arial"/>
          <w:color w:val="000000"/>
        </w:rPr>
        <w:t xml:space="preserve"> </w:t>
      </w:r>
      <w:r>
        <w:rPr>
          <w:rFonts w:ascii="Arial" w:hAnsi="Arial" w:cs="Arial"/>
          <w:color w:val="000000"/>
        </w:rPr>
        <w:t xml:space="preserve">y los grupos </w:t>
      </w:r>
      <w:r w:rsidRPr="00EF1751">
        <w:rPr>
          <w:rFonts w:ascii="Arial" w:hAnsi="Arial" w:cs="Arial"/>
          <w:color w:val="000000"/>
        </w:rPr>
        <w:t>funcionales que se encuentran presentes, por ejemplo el enlace simple entre O-H que se encuentra en el primer pico que corresponde a 3289.01, el enlace C-H se encuentra en el segundo pico con un valor de 2926.57, de igual manera se observa el enlace C-O que se encuentra en la parte final del espectro con el pico más largo teniendo un valor de 995.41,</w:t>
      </w:r>
      <w:r>
        <w:rPr>
          <w:rFonts w:ascii="Arial" w:hAnsi="Arial" w:cs="Arial"/>
          <w:color w:val="000000"/>
        </w:rPr>
        <w:t xml:space="preserve"> por último el enlace C-C con</w:t>
      </w:r>
      <w:r w:rsidRPr="00EF1751">
        <w:rPr>
          <w:rFonts w:ascii="Arial" w:hAnsi="Arial" w:cs="Arial"/>
          <w:color w:val="000000"/>
        </w:rPr>
        <w:t xml:space="preserve"> un </w:t>
      </w:r>
      <w:r w:rsidRPr="00EF1751">
        <w:rPr>
          <w:rFonts w:ascii="Arial" w:hAnsi="Arial" w:cs="Arial"/>
          <w:color w:val="000000"/>
        </w:rPr>
        <w:lastRenderedPageBreak/>
        <w:t xml:space="preserve">valor de 927.53. En base a ello </w:t>
      </w:r>
      <w:r>
        <w:rPr>
          <w:rFonts w:ascii="Arial" w:hAnsi="Arial" w:cs="Arial"/>
          <w:color w:val="000000"/>
        </w:rPr>
        <w:t>se</w:t>
      </w:r>
      <w:r w:rsidRPr="00EF1751">
        <w:rPr>
          <w:rFonts w:ascii="Arial" w:hAnsi="Arial" w:cs="Arial"/>
          <w:color w:val="000000"/>
        </w:rPr>
        <w:t xml:space="preserve"> compr</w:t>
      </w:r>
      <w:r>
        <w:rPr>
          <w:rFonts w:ascii="Arial" w:hAnsi="Arial" w:cs="Arial"/>
          <w:color w:val="000000"/>
        </w:rPr>
        <w:t>ueba</w:t>
      </w:r>
      <w:r w:rsidRPr="00EF1751">
        <w:rPr>
          <w:rFonts w:ascii="Arial" w:hAnsi="Arial" w:cs="Arial"/>
          <w:color w:val="000000"/>
        </w:rPr>
        <w:t xml:space="preserve"> que la muestra analizada en efecto es almidón ya que contiene los mismos grupos funcionales que posee teóricamente la estructura de este.</w:t>
      </w:r>
    </w:p>
    <w:p w:rsidR="000D24A4" w:rsidRPr="00EF1751" w:rsidRDefault="000D24A4" w:rsidP="000D24A4">
      <w:pPr>
        <w:ind w:firstLine="567"/>
        <w:jc w:val="both"/>
        <w:rPr>
          <w:rFonts w:ascii="Arial" w:hAnsi="Arial" w:cs="Arial"/>
          <w:color w:val="000000"/>
        </w:rPr>
      </w:pPr>
    </w:p>
    <w:p w:rsidR="000D24A4" w:rsidRPr="00EF1751" w:rsidRDefault="000D24A4" w:rsidP="000D24A4">
      <w:pPr>
        <w:jc w:val="center"/>
        <w:rPr>
          <w:rFonts w:ascii="Arial" w:hAnsi="Arial" w:cs="Arial"/>
          <w:color w:val="000000"/>
        </w:rPr>
      </w:pPr>
      <w:r w:rsidRPr="00EF1751">
        <w:rPr>
          <w:noProof/>
          <w:lang w:val="en-US"/>
        </w:rPr>
        <w:drawing>
          <wp:inline distT="0" distB="0" distL="0" distR="0" wp14:anchorId="0A53531D" wp14:editId="39A82E37">
            <wp:extent cx="2734945" cy="2141855"/>
            <wp:effectExtent l="0" t="0" r="0" b="0"/>
            <wp:docPr id="2694696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2734945" cy="2141855"/>
                    </a:xfrm>
                    <a:prstGeom prst="rect">
                      <a:avLst/>
                    </a:prstGeom>
                    <a:noFill/>
                    <a:ln>
                      <a:noFill/>
                    </a:ln>
                  </pic:spPr>
                </pic:pic>
              </a:graphicData>
            </a:graphic>
          </wp:inline>
        </w:drawing>
      </w:r>
    </w:p>
    <w:p w:rsidR="000D24A4" w:rsidRPr="00EF1751" w:rsidRDefault="000D24A4" w:rsidP="000D24A4">
      <w:pPr>
        <w:jc w:val="center"/>
        <w:rPr>
          <w:rFonts w:ascii="Arial" w:hAnsi="Arial" w:cs="Arial"/>
          <w:bCs/>
          <w:i/>
          <w:sz w:val="20"/>
          <w:szCs w:val="20"/>
        </w:rPr>
      </w:pPr>
      <w:r w:rsidRPr="00E34E7F">
        <w:rPr>
          <w:rFonts w:ascii="Arial" w:hAnsi="Arial" w:cs="Arial"/>
          <w:bCs/>
          <w:i/>
          <w:sz w:val="20"/>
          <w:szCs w:val="20"/>
        </w:rPr>
        <w:t xml:space="preserve">Figura </w:t>
      </w:r>
      <w:r>
        <w:rPr>
          <w:rFonts w:ascii="Arial" w:hAnsi="Arial" w:cs="Arial"/>
          <w:bCs/>
          <w:i/>
          <w:sz w:val="20"/>
          <w:szCs w:val="20"/>
        </w:rPr>
        <w:t>2</w:t>
      </w:r>
      <w:r w:rsidRPr="00E34E7F">
        <w:rPr>
          <w:rFonts w:ascii="Arial" w:hAnsi="Arial" w:cs="Arial"/>
          <w:bCs/>
          <w:i/>
          <w:sz w:val="20"/>
          <w:szCs w:val="20"/>
        </w:rPr>
        <w:t>.</w:t>
      </w:r>
      <w:r w:rsidRPr="00EF1751">
        <w:rPr>
          <w:rFonts w:ascii="Arial" w:hAnsi="Arial" w:cs="Arial"/>
          <w:bCs/>
          <w:i/>
          <w:sz w:val="20"/>
          <w:szCs w:val="20"/>
        </w:rPr>
        <w:t xml:space="preserve"> IR de almidón de papa </w:t>
      </w:r>
      <w:r w:rsidRPr="00942195">
        <w:rPr>
          <w:rFonts w:ascii="Arial" w:hAnsi="Arial" w:cs="Arial"/>
          <w:bCs/>
          <w:i/>
          <w:sz w:val="20"/>
          <w:szCs w:val="20"/>
        </w:rPr>
        <w:t>Oxalis Tuberosa</w:t>
      </w:r>
    </w:p>
    <w:p w:rsidR="000D24A4" w:rsidRPr="00EF1751" w:rsidRDefault="000D24A4" w:rsidP="000D24A4">
      <w:pPr>
        <w:ind w:firstLine="567"/>
        <w:jc w:val="both"/>
        <w:rPr>
          <w:rFonts w:ascii="Arial" w:hAnsi="Arial" w:cs="Arial"/>
          <w:color w:val="000000"/>
        </w:rPr>
      </w:pPr>
    </w:p>
    <w:p w:rsidR="000D24A4" w:rsidRDefault="000D24A4" w:rsidP="000D24A4">
      <w:pPr>
        <w:jc w:val="both"/>
        <w:rPr>
          <w:rFonts w:ascii="Arial" w:hAnsi="Arial" w:cs="Arial"/>
          <w:i/>
          <w:color w:val="000000"/>
        </w:rPr>
      </w:pPr>
      <w:bookmarkStart w:id="235" w:name="_Toc11946646"/>
    </w:p>
    <w:p w:rsidR="000D24A4" w:rsidRDefault="000D24A4" w:rsidP="000D24A4">
      <w:pPr>
        <w:jc w:val="both"/>
        <w:rPr>
          <w:rFonts w:ascii="Arial" w:hAnsi="Arial" w:cs="Arial"/>
          <w:i/>
          <w:color w:val="000000"/>
        </w:rPr>
      </w:pPr>
    </w:p>
    <w:p w:rsidR="000D24A4" w:rsidRPr="001F461F" w:rsidRDefault="000D24A4" w:rsidP="000D24A4">
      <w:pPr>
        <w:jc w:val="both"/>
        <w:rPr>
          <w:rFonts w:ascii="Arial" w:hAnsi="Arial" w:cs="Arial"/>
          <w:i/>
          <w:color w:val="000000"/>
        </w:rPr>
      </w:pPr>
      <w:r>
        <w:rPr>
          <w:rFonts w:ascii="Arial" w:hAnsi="Arial" w:cs="Arial"/>
          <w:i/>
          <w:color w:val="000000"/>
        </w:rPr>
        <w:t>4</w:t>
      </w:r>
      <w:r w:rsidRPr="001F461F">
        <w:rPr>
          <w:rFonts w:ascii="Arial" w:hAnsi="Arial" w:cs="Arial"/>
          <w:i/>
          <w:color w:val="000000"/>
        </w:rPr>
        <w:t>.</w:t>
      </w:r>
      <w:r>
        <w:rPr>
          <w:rFonts w:ascii="Arial" w:hAnsi="Arial" w:cs="Arial"/>
          <w:i/>
          <w:color w:val="000000"/>
        </w:rPr>
        <w:t>1.</w:t>
      </w:r>
      <w:r w:rsidRPr="001F461F">
        <w:rPr>
          <w:rFonts w:ascii="Arial" w:hAnsi="Arial" w:cs="Arial"/>
          <w:i/>
          <w:color w:val="000000"/>
        </w:rPr>
        <w:t xml:space="preserve"> Caracterización fisicoquímica del almidón</w:t>
      </w:r>
      <w:bookmarkEnd w:id="235"/>
      <w:r w:rsidRPr="001F461F">
        <w:rPr>
          <w:rFonts w:ascii="Arial" w:hAnsi="Arial" w:cs="Arial"/>
          <w:i/>
          <w:color w:val="000000"/>
        </w:rPr>
        <w:t xml:space="preserve"> </w:t>
      </w:r>
    </w:p>
    <w:p w:rsidR="000D24A4" w:rsidRPr="00EF1751" w:rsidRDefault="000D24A4" w:rsidP="000D24A4">
      <w:pPr>
        <w:ind w:firstLine="567"/>
        <w:jc w:val="both"/>
        <w:rPr>
          <w:rFonts w:ascii="Arial" w:hAnsi="Arial" w:cs="Arial"/>
          <w:color w:val="000000"/>
        </w:rPr>
      </w:pPr>
      <w:r w:rsidRPr="00EF1751">
        <w:rPr>
          <w:rFonts w:ascii="Arial" w:hAnsi="Arial" w:cs="Arial"/>
          <w:color w:val="000000"/>
        </w:rPr>
        <w:t xml:space="preserve">En la </w:t>
      </w:r>
      <w:r w:rsidRPr="001F461F">
        <w:rPr>
          <w:rFonts w:ascii="Arial" w:hAnsi="Arial" w:cs="Arial"/>
          <w:i/>
          <w:iCs/>
          <w:color w:val="000000"/>
        </w:rPr>
        <w:t xml:space="preserve">Tabla </w:t>
      </w:r>
      <w:r>
        <w:rPr>
          <w:rFonts w:ascii="Arial" w:hAnsi="Arial" w:cs="Arial"/>
          <w:i/>
          <w:iCs/>
          <w:color w:val="000000"/>
        </w:rPr>
        <w:t>3</w:t>
      </w:r>
      <w:r w:rsidRPr="00EF1751">
        <w:rPr>
          <w:rFonts w:ascii="Arial" w:hAnsi="Arial" w:cs="Arial"/>
          <w:color w:val="000000"/>
        </w:rPr>
        <w:t xml:space="preserve"> se muestran los resultados de las pruebas fisicoquímicas realizadas al almidón de papa extranjera en comparación con las propiedades de la fuente principal de almidón en la producción de jarabe de alta fructosa. Los resultados muestran que la temperatura de gelatinización de papa </w:t>
      </w:r>
      <w:r>
        <w:rPr>
          <w:rFonts w:ascii="Arial" w:hAnsi="Arial" w:cs="Arial"/>
          <w:i/>
          <w:iCs/>
          <w:color w:val="000000"/>
        </w:rPr>
        <w:t>Oxali Tuberosa</w:t>
      </w:r>
      <w:r w:rsidRPr="00EB1A32">
        <w:rPr>
          <w:rFonts w:ascii="Arial" w:hAnsi="Arial" w:cs="Arial"/>
          <w:color w:val="000000"/>
        </w:rPr>
        <w:t xml:space="preserve"> </w:t>
      </w:r>
      <w:r w:rsidRPr="00EF1751">
        <w:rPr>
          <w:rFonts w:ascii="Arial" w:hAnsi="Arial" w:cs="Arial"/>
          <w:color w:val="000000"/>
        </w:rPr>
        <w:t xml:space="preserve">es más baja que la temperatura de gelatinización del maíz, de igual manera el porcentaje de humedad es un factor que depende tanto de la materia prima como </w:t>
      </w:r>
      <w:r>
        <w:rPr>
          <w:rFonts w:ascii="Arial" w:hAnsi="Arial" w:cs="Arial"/>
          <w:color w:val="000000"/>
        </w:rPr>
        <w:t>d</w:t>
      </w:r>
      <w:r w:rsidRPr="00EF1751">
        <w:rPr>
          <w:rFonts w:ascii="Arial" w:hAnsi="Arial" w:cs="Arial"/>
          <w:color w:val="000000"/>
        </w:rPr>
        <w:t>el método de obtención y las condiciones del proceso de deshidratación. Un contenido de humedad menor al 10% resulta conveniente para evitar el deterioro de los almidones durante su almacenamiento.</w:t>
      </w:r>
      <w:r>
        <w:rPr>
          <w:rFonts w:ascii="Arial" w:hAnsi="Arial" w:cs="Arial"/>
          <w:color w:val="000000"/>
        </w:rPr>
        <w:t xml:space="preserve"> </w:t>
      </w:r>
    </w:p>
    <w:p w:rsidR="000D24A4" w:rsidRPr="00EF1751" w:rsidRDefault="000D24A4" w:rsidP="000D24A4">
      <w:pPr>
        <w:ind w:firstLine="567"/>
        <w:jc w:val="both"/>
        <w:rPr>
          <w:rFonts w:ascii="Arial" w:hAnsi="Arial" w:cs="Arial"/>
          <w:color w:val="000000"/>
        </w:rPr>
      </w:pPr>
      <w:bookmarkStart w:id="236" w:name="_Toc11946647"/>
    </w:p>
    <w:p w:rsidR="000D24A4" w:rsidRPr="001F461F" w:rsidRDefault="000D24A4" w:rsidP="000D24A4">
      <w:pPr>
        <w:jc w:val="center"/>
        <w:rPr>
          <w:rFonts w:ascii="Arial" w:eastAsia="Times New Roman" w:hAnsi="Arial" w:cs="Arial"/>
          <w:bCs/>
          <w:i/>
          <w:noProof/>
          <w:sz w:val="20"/>
          <w:szCs w:val="20"/>
          <w:lang w:eastAsia="en-GB"/>
        </w:rPr>
      </w:pPr>
      <w:bookmarkStart w:id="237" w:name="_Toc6941083"/>
      <w:r w:rsidRPr="001F461F">
        <w:rPr>
          <w:rFonts w:ascii="Arial" w:eastAsia="Times New Roman" w:hAnsi="Arial" w:cs="Arial"/>
          <w:bCs/>
          <w:i/>
          <w:noProof/>
          <w:sz w:val="20"/>
          <w:szCs w:val="20"/>
          <w:lang w:eastAsia="en-GB"/>
        </w:rPr>
        <w:t xml:space="preserve">Tabla </w:t>
      </w:r>
      <w:r>
        <w:rPr>
          <w:rFonts w:ascii="Arial" w:eastAsia="Times New Roman" w:hAnsi="Arial" w:cs="Arial"/>
          <w:bCs/>
          <w:i/>
          <w:noProof/>
          <w:sz w:val="20"/>
          <w:szCs w:val="20"/>
          <w:lang w:eastAsia="en-GB"/>
        </w:rPr>
        <w:t>3</w:t>
      </w:r>
      <w:r w:rsidRPr="001F461F">
        <w:rPr>
          <w:rFonts w:ascii="Arial" w:eastAsia="Times New Roman" w:hAnsi="Arial" w:cs="Arial"/>
          <w:bCs/>
          <w:i/>
          <w:noProof/>
          <w:sz w:val="20"/>
          <w:szCs w:val="20"/>
          <w:lang w:eastAsia="en-GB"/>
        </w:rPr>
        <w:t xml:space="preserve">. Características fisicoquímicas del almidón de papa </w:t>
      </w:r>
      <w:bookmarkEnd w:id="237"/>
      <w:r w:rsidRPr="001F461F">
        <w:rPr>
          <w:rFonts w:ascii="Arial" w:eastAsia="Times New Roman" w:hAnsi="Arial" w:cs="Arial"/>
          <w:bCs/>
          <w:i/>
          <w:noProof/>
          <w:sz w:val="20"/>
          <w:szCs w:val="20"/>
          <w:lang w:eastAsia="en-GB"/>
        </w:rPr>
        <w:t>Oxalis Tuberosa</w:t>
      </w:r>
    </w:p>
    <w:p w:rsidR="000D24A4" w:rsidRPr="00EF1751" w:rsidRDefault="000D24A4" w:rsidP="000D24A4">
      <w:pPr>
        <w:jc w:val="center"/>
        <w:rPr>
          <w:rFonts w:ascii="Arial" w:hAnsi="Arial" w:cs="Arial"/>
          <w:color w:val="000000"/>
        </w:rPr>
      </w:pPr>
      <w:r w:rsidRPr="00EF1751">
        <w:rPr>
          <w:noProof/>
          <w:lang w:val="en-US"/>
        </w:rPr>
        <w:lastRenderedPageBreak/>
        <w:drawing>
          <wp:inline distT="0" distB="0" distL="0" distR="0" wp14:anchorId="0401D40B" wp14:editId="5530583A">
            <wp:extent cx="5895340" cy="1892935"/>
            <wp:effectExtent l="0" t="0" r="0" b="0"/>
            <wp:docPr id="2694696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78" cstate="print">
                      <a:extLst>
                        <a:ext uri="{28A0092B-C50C-407E-A947-70E740481C1C}">
                          <a14:useLocalDpi xmlns:a14="http://schemas.microsoft.com/office/drawing/2010/main" val="0"/>
                        </a:ext>
                      </a:extLst>
                    </a:blip>
                    <a:srcRect l="3171" t="2686" r="3481" b="7367"/>
                    <a:stretch>
                      <a:fillRect/>
                    </a:stretch>
                  </pic:blipFill>
                  <pic:spPr bwMode="auto">
                    <a:xfrm>
                      <a:off x="0" y="0"/>
                      <a:ext cx="5895340" cy="1892935"/>
                    </a:xfrm>
                    <a:prstGeom prst="rect">
                      <a:avLst/>
                    </a:prstGeom>
                    <a:noFill/>
                    <a:ln>
                      <a:noFill/>
                    </a:ln>
                  </pic:spPr>
                </pic:pic>
              </a:graphicData>
            </a:graphic>
          </wp:inline>
        </w:drawing>
      </w:r>
    </w:p>
    <w:bookmarkEnd w:id="236"/>
    <w:p w:rsidR="000D24A4" w:rsidRPr="00EF1751" w:rsidRDefault="000D24A4" w:rsidP="000D24A4">
      <w:pPr>
        <w:ind w:firstLine="567"/>
        <w:jc w:val="both"/>
        <w:rPr>
          <w:rFonts w:ascii="Arial" w:hAnsi="Arial" w:cs="Arial"/>
          <w:color w:val="000000"/>
        </w:rPr>
      </w:pPr>
    </w:p>
    <w:p w:rsidR="000D24A4" w:rsidRPr="001F461F" w:rsidRDefault="000D24A4" w:rsidP="000D24A4">
      <w:pPr>
        <w:jc w:val="both"/>
        <w:rPr>
          <w:rFonts w:ascii="Arial" w:hAnsi="Arial" w:cs="Arial"/>
          <w:i/>
          <w:color w:val="000000"/>
        </w:rPr>
      </w:pPr>
      <w:bookmarkStart w:id="238" w:name="_Toc11946649"/>
      <w:r>
        <w:rPr>
          <w:rFonts w:ascii="Arial" w:hAnsi="Arial" w:cs="Arial"/>
          <w:i/>
          <w:color w:val="000000"/>
        </w:rPr>
        <w:t>4.2.</w:t>
      </w:r>
      <w:r w:rsidRPr="001F461F">
        <w:rPr>
          <w:rFonts w:ascii="Arial" w:hAnsi="Arial" w:cs="Arial"/>
          <w:i/>
          <w:color w:val="000000"/>
        </w:rPr>
        <w:t xml:space="preserve"> Obtención y cuantificación de azucares reductores</w:t>
      </w:r>
      <w:bookmarkEnd w:id="238"/>
    </w:p>
    <w:p w:rsidR="000D24A4" w:rsidRDefault="000D24A4" w:rsidP="000D24A4">
      <w:pPr>
        <w:ind w:firstLine="567"/>
        <w:jc w:val="both"/>
        <w:rPr>
          <w:rFonts w:ascii="Arial" w:hAnsi="Arial" w:cs="Arial"/>
          <w:color w:val="000000"/>
        </w:rPr>
      </w:pPr>
      <w:r w:rsidRPr="00EF1751">
        <w:rPr>
          <w:rFonts w:ascii="Arial" w:hAnsi="Arial" w:cs="Arial"/>
          <w:color w:val="000000"/>
        </w:rPr>
        <w:t>Los resultados de g/L de glucosa obtenidos a una concentración del 1%, indicó que la enzima con un mayor rendimiento y aprovechamiento es la Xilanasa, ya que esta logra hidrolizar de una mejor manera el almidón y alcanzó un valor total de 67.82 g/L de glucosa, el mejor rendimiento de dicha enzima se alcanzó en el lapso de la</w:t>
      </w:r>
      <w:r>
        <w:rPr>
          <w:rFonts w:ascii="Arial" w:hAnsi="Arial" w:cs="Arial"/>
          <w:color w:val="000000"/>
        </w:rPr>
        <w:t>s</w:t>
      </w:r>
      <w:r w:rsidRPr="00EF1751">
        <w:rPr>
          <w:rFonts w:ascii="Arial" w:hAnsi="Arial" w:cs="Arial"/>
          <w:color w:val="000000"/>
        </w:rPr>
        <w:t xml:space="preserve"> hora</w:t>
      </w:r>
      <w:r>
        <w:rPr>
          <w:rFonts w:ascii="Arial" w:hAnsi="Arial" w:cs="Arial"/>
          <w:color w:val="000000"/>
        </w:rPr>
        <w:t>s</w:t>
      </w:r>
      <w:r w:rsidRPr="00EF1751">
        <w:rPr>
          <w:rFonts w:ascii="Arial" w:hAnsi="Arial" w:cs="Arial"/>
          <w:color w:val="000000"/>
        </w:rPr>
        <w:t xml:space="preserve"> 3 y 4 ya que incrementó de manera significativa en un 48%. </w:t>
      </w:r>
    </w:p>
    <w:p w:rsidR="000D24A4" w:rsidRDefault="000D24A4" w:rsidP="000D24A4">
      <w:pPr>
        <w:ind w:firstLine="567"/>
        <w:jc w:val="both"/>
        <w:rPr>
          <w:rFonts w:ascii="Arial" w:hAnsi="Arial" w:cs="Arial"/>
          <w:color w:val="000000"/>
        </w:rPr>
      </w:pPr>
    </w:p>
    <w:p w:rsidR="000D24A4" w:rsidRDefault="000D24A4" w:rsidP="000D24A4">
      <w:pPr>
        <w:ind w:firstLine="567"/>
        <w:jc w:val="both"/>
        <w:rPr>
          <w:rFonts w:ascii="Arial" w:hAnsi="Arial" w:cs="Arial"/>
          <w:color w:val="000000"/>
        </w:rPr>
      </w:pPr>
      <w:r w:rsidRPr="00EF1751">
        <w:rPr>
          <w:rFonts w:ascii="Arial" w:hAnsi="Arial" w:cs="Arial"/>
          <w:color w:val="000000"/>
        </w:rPr>
        <w:t xml:space="preserve">En la </w:t>
      </w:r>
      <w:r w:rsidRPr="00853712">
        <w:rPr>
          <w:rFonts w:ascii="Arial" w:hAnsi="Arial" w:cs="Arial"/>
          <w:i/>
          <w:iCs/>
          <w:color w:val="000000"/>
        </w:rPr>
        <w:t>Figura 3</w:t>
      </w:r>
      <w:r w:rsidRPr="00EF1751">
        <w:rPr>
          <w:rFonts w:ascii="Arial" w:hAnsi="Arial" w:cs="Arial"/>
          <w:color w:val="000000"/>
        </w:rPr>
        <w:t xml:space="preserve"> se observa a través de las líneas de tendencia el rendimiento de las enzimas con respecto al tiempo de incubación en la hidrólisis enzimática. Destaca que en la gráfica no aparece el re</w:t>
      </w:r>
      <w:r>
        <w:rPr>
          <w:rFonts w:ascii="Arial" w:hAnsi="Arial" w:cs="Arial"/>
          <w:color w:val="000000"/>
        </w:rPr>
        <w:t xml:space="preserve">ndimiento de la enzima xilanasa, </w:t>
      </w:r>
      <w:r w:rsidRPr="00EF1751">
        <w:rPr>
          <w:rFonts w:ascii="Arial" w:hAnsi="Arial" w:cs="Arial"/>
          <w:color w:val="000000"/>
        </w:rPr>
        <w:t xml:space="preserve">ya que como se mencionó anteriormente fue la enzima </w:t>
      </w:r>
      <w:r>
        <w:rPr>
          <w:rFonts w:ascii="Arial" w:hAnsi="Arial" w:cs="Arial"/>
          <w:color w:val="000000"/>
        </w:rPr>
        <w:t>con mejor rendimiento alcanzado,</w:t>
      </w:r>
      <w:r w:rsidRPr="00EF1751">
        <w:rPr>
          <w:rFonts w:ascii="Arial" w:hAnsi="Arial" w:cs="Arial"/>
          <w:color w:val="000000"/>
        </w:rPr>
        <w:t xml:space="preserve"> por lo que se representó en una gráfica por separado debido a la diferencia del rendimiento en comparación con las otras enzimas. </w:t>
      </w:r>
      <w:r>
        <w:rPr>
          <w:rFonts w:ascii="Arial" w:hAnsi="Arial" w:cs="Arial"/>
          <w:color w:val="000000"/>
        </w:rPr>
        <w:t>L</w:t>
      </w:r>
      <w:r w:rsidRPr="00EF1751">
        <w:rPr>
          <w:rFonts w:ascii="Arial" w:hAnsi="Arial" w:cs="Arial"/>
          <w:color w:val="000000"/>
        </w:rPr>
        <w:t>a formulación 3 tiene mejor rendimiento con respecto a las demás enzimas</w:t>
      </w:r>
      <w:r>
        <w:rPr>
          <w:rFonts w:ascii="Arial" w:hAnsi="Arial" w:cs="Arial"/>
          <w:color w:val="000000"/>
        </w:rPr>
        <w:t>,</w:t>
      </w:r>
      <w:r w:rsidRPr="00EF1751">
        <w:rPr>
          <w:rFonts w:ascii="Arial" w:hAnsi="Arial" w:cs="Arial"/>
          <w:color w:val="000000"/>
        </w:rPr>
        <w:t xml:space="preserve"> ya que con la ayuda de las líneas de tendencia se observó como la liberación de glucosa incrementa en mayor cantidad, también se aprecia como la </w:t>
      </w:r>
      <w:r>
        <w:rPr>
          <w:rFonts w:ascii="Arial" w:hAnsi="Arial" w:cs="Arial"/>
          <w:color w:val="000000"/>
        </w:rPr>
        <w:t>celula</w:t>
      </w:r>
      <w:r w:rsidRPr="00EF1751">
        <w:rPr>
          <w:rFonts w:ascii="Arial" w:hAnsi="Arial" w:cs="Arial"/>
          <w:color w:val="000000"/>
        </w:rPr>
        <w:t>sa y la prueba abiótica tienen el rendimiento más bajo debido a que la tendencia se mantienen prácticamente en 0, liberando una muy mínima cantidad de glucosa.</w:t>
      </w:r>
    </w:p>
    <w:p w:rsidR="000D24A4" w:rsidRDefault="000D24A4" w:rsidP="000D24A4">
      <w:pPr>
        <w:ind w:firstLine="567"/>
        <w:jc w:val="both"/>
        <w:rPr>
          <w:rFonts w:ascii="Arial" w:hAnsi="Arial" w:cs="Arial"/>
          <w:color w:val="000000"/>
        </w:rPr>
      </w:pPr>
    </w:p>
    <w:p w:rsidR="000D24A4" w:rsidRPr="00EF1751" w:rsidRDefault="000D24A4" w:rsidP="000D24A4">
      <w:pPr>
        <w:jc w:val="center"/>
        <w:rPr>
          <w:rFonts w:ascii="Arial" w:hAnsi="Arial" w:cs="Arial"/>
          <w:color w:val="000000"/>
        </w:rPr>
      </w:pPr>
      <w:r w:rsidRPr="00853712">
        <w:rPr>
          <w:noProof/>
          <w:lang w:val="en-US"/>
        </w:rPr>
        <w:drawing>
          <wp:inline distT="0" distB="0" distL="0" distR="0" wp14:anchorId="3AB585AF" wp14:editId="60D65188">
            <wp:extent cx="3865880" cy="1212100"/>
            <wp:effectExtent l="0" t="0" r="1270" b="7620"/>
            <wp:docPr id="2694696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79">
                      <a:extLst>
                        <a:ext uri="{28A0092B-C50C-407E-A947-70E740481C1C}">
                          <a14:useLocalDpi xmlns:a14="http://schemas.microsoft.com/office/drawing/2010/main" val="0"/>
                        </a:ext>
                      </a:extLst>
                    </a:blip>
                    <a:srcRect l="2074" t="12872" r="2084" b="4396"/>
                    <a:stretch>
                      <a:fillRect/>
                    </a:stretch>
                  </pic:blipFill>
                  <pic:spPr bwMode="auto">
                    <a:xfrm>
                      <a:off x="0" y="0"/>
                      <a:ext cx="3893030" cy="1220613"/>
                    </a:xfrm>
                    <a:prstGeom prst="rect">
                      <a:avLst/>
                    </a:prstGeom>
                    <a:noFill/>
                    <a:ln>
                      <a:noFill/>
                    </a:ln>
                  </pic:spPr>
                </pic:pic>
              </a:graphicData>
            </a:graphic>
          </wp:inline>
        </w:drawing>
      </w:r>
    </w:p>
    <w:p w:rsidR="000D24A4" w:rsidRPr="00503601" w:rsidRDefault="000D24A4" w:rsidP="000D24A4">
      <w:pPr>
        <w:jc w:val="center"/>
        <w:rPr>
          <w:rFonts w:ascii="Arial" w:hAnsi="Arial" w:cs="Arial"/>
          <w:bCs/>
          <w:i/>
          <w:sz w:val="20"/>
          <w:szCs w:val="20"/>
        </w:rPr>
      </w:pPr>
      <w:bookmarkStart w:id="239" w:name="_Toc6941118"/>
      <w:bookmarkStart w:id="240" w:name="_Toc11929531"/>
      <w:r w:rsidRPr="00503601">
        <w:rPr>
          <w:rFonts w:ascii="Arial" w:hAnsi="Arial" w:cs="Arial"/>
          <w:bCs/>
          <w:i/>
          <w:sz w:val="20"/>
          <w:szCs w:val="20"/>
        </w:rPr>
        <w:t>Figura</w:t>
      </w:r>
      <w:r>
        <w:rPr>
          <w:rFonts w:ascii="Arial" w:hAnsi="Arial" w:cs="Arial"/>
          <w:bCs/>
          <w:i/>
          <w:sz w:val="20"/>
          <w:szCs w:val="20"/>
        </w:rPr>
        <w:t xml:space="preserve"> 3</w:t>
      </w:r>
      <w:r w:rsidRPr="00503601">
        <w:rPr>
          <w:rFonts w:ascii="Arial" w:hAnsi="Arial" w:cs="Arial"/>
          <w:bCs/>
          <w:i/>
          <w:sz w:val="20"/>
          <w:szCs w:val="20"/>
        </w:rPr>
        <w:t>. g/L de glucosa liberada a una concentración de 1% de almidón.</w:t>
      </w:r>
      <w:bookmarkEnd w:id="239"/>
      <w:bookmarkEnd w:id="240"/>
    </w:p>
    <w:p w:rsidR="000D24A4" w:rsidRDefault="000D24A4" w:rsidP="000D24A4">
      <w:pPr>
        <w:ind w:firstLine="567"/>
        <w:jc w:val="both"/>
        <w:rPr>
          <w:rFonts w:ascii="Arial" w:hAnsi="Arial" w:cs="Arial"/>
          <w:color w:val="000000"/>
        </w:rPr>
      </w:pPr>
    </w:p>
    <w:p w:rsidR="000D24A4" w:rsidRDefault="000D24A4" w:rsidP="000D24A4">
      <w:pPr>
        <w:ind w:firstLine="567"/>
        <w:jc w:val="both"/>
        <w:rPr>
          <w:rFonts w:ascii="Arial" w:hAnsi="Arial" w:cs="Arial"/>
          <w:color w:val="000000"/>
        </w:rPr>
      </w:pPr>
      <w:r w:rsidRPr="00EF1751">
        <w:rPr>
          <w:rFonts w:ascii="Arial" w:hAnsi="Arial" w:cs="Arial"/>
          <w:color w:val="000000"/>
        </w:rPr>
        <w:lastRenderedPageBreak/>
        <w:t xml:space="preserve">En la Figura </w:t>
      </w:r>
      <w:r>
        <w:rPr>
          <w:rFonts w:ascii="Arial" w:hAnsi="Arial" w:cs="Arial"/>
          <w:color w:val="000000"/>
        </w:rPr>
        <w:t>4</w:t>
      </w:r>
      <w:r w:rsidRPr="00EF1751">
        <w:rPr>
          <w:rFonts w:ascii="Arial" w:hAnsi="Arial" w:cs="Arial"/>
          <w:color w:val="000000"/>
        </w:rPr>
        <w:t xml:space="preserve"> se observa el comportamiento de la enzima Xilanasa, cabe destacar que su rendimiento es muy bueno alcanzando un valor por encima del promedio</w:t>
      </w:r>
      <w:r>
        <w:rPr>
          <w:rFonts w:ascii="Arial" w:hAnsi="Arial" w:cs="Arial"/>
          <w:color w:val="000000"/>
        </w:rPr>
        <w:t>,</w:t>
      </w:r>
      <w:r w:rsidRPr="00EF1751">
        <w:rPr>
          <w:rFonts w:ascii="Arial" w:hAnsi="Arial" w:cs="Arial"/>
          <w:color w:val="000000"/>
        </w:rPr>
        <w:t xml:space="preserve"> por dicha razón se graficó aparte ya que su alto valor obtenido no permitía que se apreciaran el comportamiento de las demás enzima</w:t>
      </w:r>
      <w:r>
        <w:rPr>
          <w:rFonts w:ascii="Arial" w:hAnsi="Arial" w:cs="Arial"/>
          <w:color w:val="000000"/>
        </w:rPr>
        <w:t>s. Evidentemente se aprecia cómo</w:t>
      </w:r>
      <w:r w:rsidRPr="00EF1751">
        <w:rPr>
          <w:rFonts w:ascii="Arial" w:hAnsi="Arial" w:cs="Arial"/>
          <w:color w:val="000000"/>
        </w:rPr>
        <w:t xml:space="preserve"> la concentración de glucosa aumenta con el paso del tiempo</w:t>
      </w:r>
      <w:r>
        <w:rPr>
          <w:rFonts w:ascii="Arial" w:hAnsi="Arial" w:cs="Arial"/>
          <w:color w:val="000000"/>
        </w:rPr>
        <w:t xml:space="preserve">, donde </w:t>
      </w:r>
      <w:r w:rsidRPr="00EF1751">
        <w:rPr>
          <w:rFonts w:ascii="Arial" w:hAnsi="Arial" w:cs="Arial"/>
          <w:color w:val="000000"/>
        </w:rPr>
        <w:t xml:space="preserve"> con anterioridad se describió que dicha enzima alcanzó una mayor reacción a las cuatro horas de haber incubado las muestras de almidón con la enzima. De esta manera se comprueba que la Xilanasa a una concentración de 1% de almidón obtiene un gran rendimiento.</w:t>
      </w:r>
    </w:p>
    <w:p w:rsidR="000D24A4" w:rsidRDefault="000D24A4" w:rsidP="000D24A4">
      <w:pPr>
        <w:jc w:val="both"/>
        <w:rPr>
          <w:rFonts w:ascii="Arial" w:hAnsi="Arial" w:cs="Arial"/>
          <w:color w:val="000000"/>
        </w:rPr>
      </w:pPr>
    </w:p>
    <w:p w:rsidR="000D24A4" w:rsidRDefault="000D24A4" w:rsidP="000D24A4">
      <w:pPr>
        <w:jc w:val="center"/>
        <w:rPr>
          <w:rFonts w:ascii="Arial" w:hAnsi="Arial" w:cs="Arial"/>
          <w:color w:val="000000"/>
        </w:rPr>
      </w:pPr>
      <w:r>
        <w:rPr>
          <w:rFonts w:ascii="Arial" w:hAnsi="Arial" w:cs="Arial"/>
          <w:noProof/>
          <w:color w:val="000000"/>
          <w:lang w:val="en-US"/>
        </w:rPr>
        <w:drawing>
          <wp:inline distT="0" distB="0" distL="0" distR="0" wp14:anchorId="1902A8C6" wp14:editId="161169A8">
            <wp:extent cx="3415665" cy="1106805"/>
            <wp:effectExtent l="0" t="0" r="0" b="0"/>
            <wp:docPr id="269469686" name="Imagen 26946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80">
                      <a:extLst>
                        <a:ext uri="{28A0092B-C50C-407E-A947-70E740481C1C}">
                          <a14:useLocalDpi xmlns:a14="http://schemas.microsoft.com/office/drawing/2010/main" val="0"/>
                        </a:ext>
                      </a:extLst>
                    </a:blip>
                    <a:srcRect l="2625" t="12521" r="1653" b="4562"/>
                    <a:stretch>
                      <a:fillRect/>
                    </a:stretch>
                  </pic:blipFill>
                  <pic:spPr bwMode="auto">
                    <a:xfrm>
                      <a:off x="0" y="0"/>
                      <a:ext cx="3417011" cy="1107241"/>
                    </a:xfrm>
                    <a:prstGeom prst="rect">
                      <a:avLst/>
                    </a:prstGeom>
                    <a:noFill/>
                  </pic:spPr>
                </pic:pic>
              </a:graphicData>
            </a:graphic>
          </wp:inline>
        </w:drawing>
      </w:r>
    </w:p>
    <w:p w:rsidR="000D24A4" w:rsidRDefault="000D24A4" w:rsidP="000D24A4">
      <w:pPr>
        <w:jc w:val="center"/>
        <w:rPr>
          <w:rFonts w:ascii="Arial" w:hAnsi="Arial" w:cs="Arial"/>
          <w:bCs/>
          <w:i/>
          <w:sz w:val="20"/>
          <w:szCs w:val="20"/>
        </w:rPr>
      </w:pPr>
      <w:r>
        <w:rPr>
          <w:rFonts w:ascii="Arial" w:hAnsi="Arial" w:cs="Arial"/>
          <w:bCs/>
          <w:i/>
          <w:sz w:val="20"/>
          <w:szCs w:val="20"/>
        </w:rPr>
        <w:t xml:space="preserve">Figura 4. </w:t>
      </w:r>
      <w:r w:rsidRPr="00503601">
        <w:rPr>
          <w:rFonts w:ascii="Arial" w:hAnsi="Arial" w:cs="Arial"/>
          <w:bCs/>
          <w:i/>
          <w:sz w:val="20"/>
          <w:szCs w:val="20"/>
        </w:rPr>
        <w:t>Rendimiento de la Xilanasa a una concentración de 1% de almidón</w:t>
      </w:r>
    </w:p>
    <w:p w:rsidR="000D24A4" w:rsidRDefault="000D24A4" w:rsidP="000D24A4">
      <w:pPr>
        <w:jc w:val="center"/>
        <w:rPr>
          <w:rFonts w:ascii="Arial" w:hAnsi="Arial" w:cs="Arial"/>
          <w:bCs/>
          <w:i/>
          <w:sz w:val="20"/>
          <w:szCs w:val="20"/>
        </w:rPr>
      </w:pPr>
    </w:p>
    <w:p w:rsidR="000D24A4" w:rsidRDefault="000D24A4" w:rsidP="000D24A4">
      <w:pPr>
        <w:ind w:firstLine="567"/>
        <w:jc w:val="both"/>
        <w:rPr>
          <w:rFonts w:ascii="Arial" w:hAnsi="Arial" w:cs="Arial"/>
          <w:color w:val="000000"/>
        </w:rPr>
      </w:pPr>
      <w:r w:rsidRPr="00EF1751">
        <w:rPr>
          <w:rFonts w:ascii="Arial" w:hAnsi="Arial" w:cs="Arial"/>
          <w:color w:val="000000"/>
        </w:rPr>
        <w:t>Para la concentración del 5% de almidón, se observó que los resultados son similares ya que nuevamente la enzima xilanasa es la que obtiene un mejor rendimiento alcanzando un valor de 31.15 g/L de glucosa</w:t>
      </w:r>
      <w:r>
        <w:rPr>
          <w:rFonts w:ascii="Arial" w:hAnsi="Arial" w:cs="Arial"/>
          <w:color w:val="000000"/>
        </w:rPr>
        <w:t>,</w:t>
      </w:r>
      <w:r w:rsidRPr="00EF1751">
        <w:rPr>
          <w:rFonts w:ascii="Arial" w:hAnsi="Arial" w:cs="Arial"/>
          <w:color w:val="000000"/>
        </w:rPr>
        <w:t xml:space="preserve"> lo que lo convierte en la enzima con mejor aprovechamiento, pero a diferencia de la xilanasa al 1% esta obtiene un reacción mucho más tardía ya que se observó el incremento más significativo de liberación de glucosa en el lapso de tiempo de 8 a 24 horas.</w:t>
      </w:r>
      <w:r>
        <w:rPr>
          <w:rFonts w:ascii="Arial" w:hAnsi="Arial" w:cs="Arial"/>
          <w:color w:val="000000"/>
        </w:rPr>
        <w:t xml:space="preserve"> </w:t>
      </w:r>
      <w:r w:rsidRPr="00EF1751">
        <w:rPr>
          <w:rFonts w:ascii="Arial" w:hAnsi="Arial" w:cs="Arial"/>
          <w:color w:val="000000"/>
        </w:rPr>
        <w:t xml:space="preserve">En la </w:t>
      </w:r>
      <w:r w:rsidRPr="001D1B56">
        <w:rPr>
          <w:rFonts w:ascii="Arial" w:hAnsi="Arial" w:cs="Arial"/>
          <w:i/>
          <w:iCs/>
          <w:color w:val="000000"/>
        </w:rPr>
        <w:t>Figura 5</w:t>
      </w:r>
      <w:r w:rsidRPr="00EF1751">
        <w:rPr>
          <w:rFonts w:ascii="Arial" w:hAnsi="Arial" w:cs="Arial"/>
          <w:color w:val="000000"/>
        </w:rPr>
        <w:t xml:space="preserve"> se observa mejor el comportamiento de las enzimas al hidrolizar el almidón de papa </w:t>
      </w:r>
      <w:r w:rsidRPr="00F02CD8">
        <w:rPr>
          <w:rFonts w:ascii="Arial" w:hAnsi="Arial" w:cs="Arial"/>
          <w:i/>
          <w:iCs/>
          <w:color w:val="000000"/>
        </w:rPr>
        <w:t>Oxalis tuberosa</w:t>
      </w:r>
      <w:r w:rsidRPr="00EF1751">
        <w:rPr>
          <w:rFonts w:ascii="Arial" w:hAnsi="Arial" w:cs="Arial"/>
          <w:color w:val="000000"/>
        </w:rPr>
        <w:t>.</w:t>
      </w:r>
      <w:r>
        <w:rPr>
          <w:rFonts w:ascii="Arial" w:hAnsi="Arial" w:cs="Arial"/>
          <w:color w:val="000000"/>
        </w:rPr>
        <w:t xml:space="preserve"> L</w:t>
      </w:r>
      <w:r w:rsidRPr="00EF1751">
        <w:rPr>
          <w:rFonts w:ascii="Arial" w:hAnsi="Arial" w:cs="Arial"/>
          <w:color w:val="000000"/>
        </w:rPr>
        <w:t xml:space="preserve">a Xilanasa ya que logró tener los valores más altos representados mediante la línea de tendencia, las formulaciones 2, 3 y 4 se encuentran en una posición intermedia y nuevamente la celulasa y la prueba abiótica son las que obtuvieron el rendimiento más bajo. </w:t>
      </w:r>
    </w:p>
    <w:p w:rsidR="000D24A4" w:rsidRDefault="000D24A4" w:rsidP="000D24A4">
      <w:pPr>
        <w:rPr>
          <w:rFonts w:ascii="Arial" w:hAnsi="Arial" w:cs="Arial"/>
          <w:color w:val="000000"/>
        </w:rPr>
      </w:pPr>
    </w:p>
    <w:p w:rsidR="000D24A4" w:rsidRDefault="000D24A4" w:rsidP="000D24A4">
      <w:pPr>
        <w:jc w:val="center"/>
        <w:rPr>
          <w:rFonts w:ascii="Arial" w:hAnsi="Arial" w:cs="Arial"/>
          <w:color w:val="000000"/>
        </w:rPr>
      </w:pPr>
      <w:r w:rsidRPr="001D1B56">
        <w:rPr>
          <w:noProof/>
          <w:lang w:val="en-US"/>
        </w:rPr>
        <w:drawing>
          <wp:inline distT="0" distB="0" distL="0" distR="0" wp14:anchorId="350F0E93" wp14:editId="1DAEEE41">
            <wp:extent cx="3557270" cy="1435274"/>
            <wp:effectExtent l="0" t="0" r="5080" b="0"/>
            <wp:docPr id="2694696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81" cstate="print">
                      <a:extLst>
                        <a:ext uri="{28A0092B-C50C-407E-A947-70E740481C1C}">
                          <a14:useLocalDpi xmlns:a14="http://schemas.microsoft.com/office/drawing/2010/main" val="0"/>
                        </a:ext>
                      </a:extLst>
                    </a:blip>
                    <a:srcRect/>
                    <a:stretch>
                      <a:fillRect/>
                    </a:stretch>
                  </pic:blipFill>
                  <pic:spPr bwMode="auto">
                    <a:xfrm>
                      <a:off x="0" y="0"/>
                      <a:ext cx="3562703" cy="1437466"/>
                    </a:xfrm>
                    <a:prstGeom prst="rect">
                      <a:avLst/>
                    </a:prstGeom>
                    <a:noFill/>
                    <a:ln>
                      <a:noFill/>
                    </a:ln>
                  </pic:spPr>
                </pic:pic>
              </a:graphicData>
            </a:graphic>
          </wp:inline>
        </w:drawing>
      </w:r>
    </w:p>
    <w:p w:rsidR="000D24A4" w:rsidRPr="001D1B56" w:rsidRDefault="000D24A4" w:rsidP="000D24A4">
      <w:pPr>
        <w:jc w:val="center"/>
        <w:rPr>
          <w:rFonts w:ascii="Arial" w:hAnsi="Arial" w:cs="Arial"/>
          <w:bCs/>
          <w:i/>
          <w:sz w:val="20"/>
          <w:szCs w:val="20"/>
        </w:rPr>
      </w:pPr>
      <w:r>
        <w:rPr>
          <w:rFonts w:ascii="Arial" w:hAnsi="Arial" w:cs="Arial"/>
          <w:bCs/>
          <w:i/>
          <w:sz w:val="20"/>
          <w:szCs w:val="20"/>
        </w:rPr>
        <w:t xml:space="preserve">Figura 5. </w:t>
      </w:r>
      <w:r w:rsidRPr="001D1B56">
        <w:rPr>
          <w:rFonts w:ascii="Arial" w:hAnsi="Arial" w:cs="Arial"/>
          <w:bCs/>
          <w:i/>
          <w:sz w:val="20"/>
          <w:szCs w:val="20"/>
        </w:rPr>
        <w:t>g/L de glucosa liberada con una concentración al 5%</w:t>
      </w:r>
    </w:p>
    <w:p w:rsidR="000D24A4" w:rsidRPr="00EF1751" w:rsidRDefault="000D24A4" w:rsidP="000D24A4">
      <w:pPr>
        <w:ind w:firstLine="567"/>
        <w:jc w:val="both"/>
        <w:rPr>
          <w:rFonts w:ascii="Arial" w:hAnsi="Arial" w:cs="Arial"/>
          <w:color w:val="000000"/>
        </w:rPr>
      </w:pPr>
    </w:p>
    <w:p w:rsidR="000D24A4" w:rsidRPr="00EF1751" w:rsidRDefault="000D24A4" w:rsidP="000D24A4">
      <w:pPr>
        <w:ind w:firstLine="567"/>
        <w:jc w:val="both"/>
        <w:rPr>
          <w:rFonts w:ascii="Arial" w:hAnsi="Arial" w:cs="Arial"/>
          <w:color w:val="000000"/>
        </w:rPr>
      </w:pPr>
      <w:r w:rsidRPr="00EF1751">
        <w:rPr>
          <w:rFonts w:ascii="Arial" w:hAnsi="Arial" w:cs="Arial"/>
          <w:color w:val="000000"/>
        </w:rPr>
        <w:lastRenderedPageBreak/>
        <w:t>Por lo que se puede deducir que el rendimiento entre ambas concentraciones varía obteniendo mejores resultados a una concentración al 1% de almidón, en ambos casos la xilanasa resulto ser la enzima con mejor rendimiento, la celulasa y la prueba abiótica obtuvieron el rendimiento más bajo; esto debido a los factores que se mencionaron con anterioridad.</w:t>
      </w:r>
    </w:p>
    <w:p w:rsidR="000D24A4" w:rsidRDefault="000D24A4" w:rsidP="000D24A4">
      <w:pPr>
        <w:ind w:firstLine="567"/>
        <w:jc w:val="both"/>
        <w:rPr>
          <w:rFonts w:ascii="Arial" w:hAnsi="Arial" w:cs="Arial"/>
          <w:color w:val="000000"/>
        </w:rPr>
      </w:pPr>
      <w:r w:rsidRPr="00EF1751">
        <w:rPr>
          <w:rFonts w:ascii="Arial" w:hAnsi="Arial" w:cs="Arial"/>
          <w:color w:val="000000"/>
        </w:rPr>
        <w:t xml:space="preserve">Se realizó una comparación del rendimiento de las dos concentraciones, para ello se promediaron los resultados de glucosa obtenida por cada enzima en las dos concentraciones. En la </w:t>
      </w:r>
      <w:r w:rsidRPr="001D1B56">
        <w:rPr>
          <w:rFonts w:ascii="Arial" w:hAnsi="Arial" w:cs="Arial"/>
          <w:i/>
          <w:iCs/>
          <w:color w:val="000000"/>
        </w:rPr>
        <w:t>Figura 6</w:t>
      </w:r>
      <w:r>
        <w:rPr>
          <w:rFonts w:ascii="Arial" w:hAnsi="Arial" w:cs="Arial"/>
          <w:i/>
          <w:iCs/>
          <w:color w:val="000000"/>
        </w:rPr>
        <w:t xml:space="preserve"> s</w:t>
      </w:r>
      <w:r w:rsidRPr="00EF1751">
        <w:rPr>
          <w:rFonts w:ascii="Arial" w:hAnsi="Arial" w:cs="Arial"/>
          <w:color w:val="000000"/>
        </w:rPr>
        <w:t>e observa que la Xilanasa a una concentración de 1% de almidón obtiene el mejor rendimiento ya que alcanzó un promedio de 49.75 g/L de glucosa, en comparación con la Xilanasa al 5% que alcanzó un promedio de 9.61 g/L de glucosa liberada. Es decir</w:t>
      </w:r>
      <w:r>
        <w:rPr>
          <w:rFonts w:ascii="Arial" w:hAnsi="Arial" w:cs="Arial"/>
          <w:color w:val="000000"/>
        </w:rPr>
        <w:t>,</w:t>
      </w:r>
      <w:r w:rsidRPr="00EF1751">
        <w:rPr>
          <w:rFonts w:ascii="Arial" w:hAnsi="Arial" w:cs="Arial"/>
          <w:color w:val="000000"/>
        </w:rPr>
        <w:t xml:space="preserve"> </w:t>
      </w:r>
      <w:r>
        <w:rPr>
          <w:rFonts w:ascii="Arial" w:hAnsi="Arial" w:cs="Arial"/>
          <w:color w:val="000000"/>
        </w:rPr>
        <w:t>la X</w:t>
      </w:r>
      <w:r w:rsidRPr="00EF1751">
        <w:rPr>
          <w:rFonts w:ascii="Arial" w:hAnsi="Arial" w:cs="Arial"/>
          <w:color w:val="000000"/>
        </w:rPr>
        <w:t xml:space="preserve">ilanasa a una concentración de 1% es mucho más eficiente. En el caso de la celulasa se observó que en ambas concentraciones tiene un rendimiento muy deficiente debido a la dilución inicial que se hizo con esta enzima. Lo mismo sucede con la prueba abiótica; se observa claramente que en ambas concentraciones el rendimiento es muy precario obteniendo valores muy bajos de glucosa. </w:t>
      </w:r>
    </w:p>
    <w:p w:rsidR="000D24A4" w:rsidRDefault="000D24A4" w:rsidP="000D24A4">
      <w:pPr>
        <w:jc w:val="both"/>
        <w:rPr>
          <w:rFonts w:ascii="Arial" w:hAnsi="Arial" w:cs="Arial"/>
          <w:color w:val="000000"/>
        </w:rPr>
      </w:pPr>
    </w:p>
    <w:p w:rsidR="000D24A4" w:rsidRDefault="000D24A4" w:rsidP="000D24A4">
      <w:pPr>
        <w:jc w:val="center"/>
        <w:rPr>
          <w:rFonts w:ascii="Arial" w:hAnsi="Arial" w:cs="Arial"/>
          <w:color w:val="000000"/>
        </w:rPr>
      </w:pPr>
      <w:r w:rsidRPr="001D1B56">
        <w:rPr>
          <w:noProof/>
          <w:lang w:val="en-US"/>
        </w:rPr>
        <w:drawing>
          <wp:inline distT="0" distB="0" distL="0" distR="0" wp14:anchorId="5AF6E6B7" wp14:editId="4CFDCFAC">
            <wp:extent cx="3737610" cy="1699434"/>
            <wp:effectExtent l="0" t="0" r="0" b="0"/>
            <wp:docPr id="2694696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82" cstate="print">
                      <a:extLst>
                        <a:ext uri="{28A0092B-C50C-407E-A947-70E740481C1C}">
                          <a14:useLocalDpi xmlns:a14="http://schemas.microsoft.com/office/drawing/2010/main" val="0"/>
                        </a:ext>
                      </a:extLst>
                    </a:blip>
                    <a:srcRect/>
                    <a:stretch>
                      <a:fillRect/>
                    </a:stretch>
                  </pic:blipFill>
                  <pic:spPr bwMode="auto">
                    <a:xfrm>
                      <a:off x="0" y="0"/>
                      <a:ext cx="3752651" cy="1706273"/>
                    </a:xfrm>
                    <a:prstGeom prst="rect">
                      <a:avLst/>
                    </a:prstGeom>
                    <a:noFill/>
                    <a:ln>
                      <a:noFill/>
                    </a:ln>
                  </pic:spPr>
                </pic:pic>
              </a:graphicData>
            </a:graphic>
          </wp:inline>
        </w:drawing>
      </w:r>
    </w:p>
    <w:p w:rsidR="000D24A4" w:rsidRPr="001D1B56" w:rsidRDefault="000D24A4" w:rsidP="000D24A4">
      <w:pPr>
        <w:jc w:val="center"/>
        <w:rPr>
          <w:rFonts w:ascii="Arial" w:hAnsi="Arial" w:cs="Arial"/>
          <w:bCs/>
          <w:i/>
          <w:sz w:val="20"/>
          <w:szCs w:val="20"/>
        </w:rPr>
      </w:pPr>
      <w:r>
        <w:rPr>
          <w:rFonts w:ascii="Arial" w:hAnsi="Arial" w:cs="Arial"/>
          <w:bCs/>
          <w:i/>
          <w:sz w:val="20"/>
          <w:szCs w:val="20"/>
        </w:rPr>
        <w:t xml:space="preserve">Figura 6. </w:t>
      </w:r>
      <w:r w:rsidRPr="001D1B56">
        <w:rPr>
          <w:rFonts w:ascii="Arial" w:hAnsi="Arial" w:cs="Arial"/>
          <w:bCs/>
          <w:i/>
          <w:sz w:val="20"/>
          <w:szCs w:val="20"/>
        </w:rPr>
        <w:t>Promedio del rendimiento de enzimas según la concentración.</w:t>
      </w:r>
    </w:p>
    <w:p w:rsidR="000D24A4" w:rsidRDefault="000D24A4" w:rsidP="000D24A4">
      <w:pPr>
        <w:jc w:val="both"/>
        <w:rPr>
          <w:rFonts w:ascii="Arial" w:hAnsi="Arial" w:cs="Arial"/>
          <w:color w:val="000000"/>
        </w:rPr>
      </w:pPr>
      <w:bookmarkStart w:id="241" w:name="_Toc11946650"/>
    </w:p>
    <w:p w:rsidR="000D24A4" w:rsidRDefault="000D24A4" w:rsidP="000D24A4">
      <w:pPr>
        <w:jc w:val="both"/>
        <w:rPr>
          <w:rFonts w:ascii="Arial" w:hAnsi="Arial" w:cs="Arial"/>
          <w:i/>
          <w:color w:val="000000"/>
        </w:rPr>
      </w:pPr>
      <w:r w:rsidRPr="001D1B56">
        <w:rPr>
          <w:rFonts w:ascii="Arial" w:hAnsi="Arial" w:cs="Arial"/>
          <w:i/>
          <w:color w:val="000000"/>
        </w:rPr>
        <w:t>4.</w:t>
      </w:r>
      <w:r>
        <w:rPr>
          <w:rFonts w:ascii="Arial" w:hAnsi="Arial" w:cs="Arial"/>
          <w:i/>
          <w:color w:val="000000"/>
        </w:rPr>
        <w:t>3</w:t>
      </w:r>
      <w:r w:rsidRPr="001D1B56">
        <w:rPr>
          <w:rFonts w:ascii="Arial" w:hAnsi="Arial" w:cs="Arial"/>
          <w:i/>
          <w:color w:val="000000"/>
        </w:rPr>
        <w:t>. Obtención y adición de vitamina C</w:t>
      </w:r>
      <w:bookmarkEnd w:id="241"/>
      <w:r w:rsidRPr="001D1B56">
        <w:rPr>
          <w:rFonts w:ascii="Arial" w:hAnsi="Arial" w:cs="Arial"/>
          <w:i/>
          <w:color w:val="000000"/>
        </w:rPr>
        <w:t xml:space="preserve"> </w:t>
      </w:r>
    </w:p>
    <w:p w:rsidR="000D24A4" w:rsidRDefault="000D24A4" w:rsidP="000D24A4">
      <w:pPr>
        <w:ind w:firstLine="567"/>
        <w:jc w:val="both"/>
        <w:rPr>
          <w:rFonts w:ascii="Arial" w:hAnsi="Arial" w:cs="Arial"/>
          <w:color w:val="000000"/>
        </w:rPr>
      </w:pPr>
      <w:r>
        <w:rPr>
          <w:rFonts w:ascii="Arial" w:hAnsi="Arial" w:cs="Arial"/>
          <w:color w:val="000000"/>
        </w:rPr>
        <w:t>L</w:t>
      </w:r>
      <w:r w:rsidRPr="00EF1751">
        <w:rPr>
          <w:rFonts w:ascii="Arial" w:hAnsi="Arial" w:cs="Arial"/>
          <w:color w:val="000000"/>
        </w:rPr>
        <w:t xml:space="preserve">a muestra analizada </w:t>
      </w:r>
      <w:r>
        <w:rPr>
          <w:rFonts w:ascii="Arial" w:hAnsi="Arial" w:cs="Arial"/>
          <w:color w:val="000000"/>
        </w:rPr>
        <w:t xml:space="preserve">tenía presencia de vitamina C,lo </w:t>
      </w:r>
      <w:r w:rsidRPr="00EF1751">
        <w:rPr>
          <w:rFonts w:ascii="Arial" w:hAnsi="Arial" w:cs="Arial"/>
          <w:color w:val="000000"/>
        </w:rPr>
        <w:t>que indica como resultado que mientras la coloración de los tubos sea más cristalino mayor será la concentración de vitamina C dentro de la muestra analizada</w:t>
      </w:r>
      <w:r>
        <w:rPr>
          <w:rFonts w:ascii="Arial" w:hAnsi="Arial" w:cs="Arial"/>
          <w:color w:val="000000"/>
        </w:rPr>
        <w:t xml:space="preserve"> y se </w:t>
      </w:r>
      <w:r w:rsidRPr="00EF1751">
        <w:rPr>
          <w:rFonts w:ascii="Arial" w:hAnsi="Arial" w:cs="Arial"/>
          <w:color w:val="000000"/>
        </w:rPr>
        <w:t>obteniendo un resultado de 0.0019212 g de vitamina C. De igual manera se realizó una lectura de infrarrojo de la muestra de polvo de cascara de naranja obteniendo la siguiente lectura IR que se muestra en la figura 7.</w:t>
      </w:r>
    </w:p>
    <w:p w:rsidR="000D24A4" w:rsidRDefault="000D24A4" w:rsidP="000D24A4">
      <w:pPr>
        <w:jc w:val="both"/>
        <w:rPr>
          <w:rFonts w:ascii="Arial" w:hAnsi="Arial" w:cs="Arial"/>
          <w:color w:val="000000"/>
        </w:rPr>
      </w:pPr>
    </w:p>
    <w:p w:rsidR="000D24A4" w:rsidRDefault="000D24A4" w:rsidP="000D24A4">
      <w:pPr>
        <w:jc w:val="center"/>
        <w:rPr>
          <w:rFonts w:ascii="Arial" w:hAnsi="Arial" w:cs="Arial"/>
          <w:color w:val="000000"/>
        </w:rPr>
      </w:pPr>
      <w:r w:rsidRPr="00F12BEE">
        <w:rPr>
          <w:noProof/>
          <w:lang w:val="en-US"/>
        </w:rPr>
        <w:lastRenderedPageBreak/>
        <w:drawing>
          <wp:inline distT="0" distB="0" distL="0" distR="0" wp14:anchorId="4014E77B" wp14:editId="7D012608">
            <wp:extent cx="2266484" cy="1810970"/>
            <wp:effectExtent l="0" t="0" r="635" b="0"/>
            <wp:docPr id="269469689" name="Imagen 26946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271606" cy="1815062"/>
                    </a:xfrm>
                    <a:prstGeom prst="rect">
                      <a:avLst/>
                    </a:prstGeom>
                  </pic:spPr>
                </pic:pic>
              </a:graphicData>
            </a:graphic>
          </wp:inline>
        </w:drawing>
      </w:r>
    </w:p>
    <w:p w:rsidR="000D24A4" w:rsidRPr="00D770A5" w:rsidRDefault="000D24A4" w:rsidP="000D24A4">
      <w:pPr>
        <w:jc w:val="center"/>
        <w:rPr>
          <w:rFonts w:ascii="Arial" w:hAnsi="Arial" w:cs="Arial"/>
          <w:bCs/>
          <w:i/>
          <w:sz w:val="20"/>
          <w:szCs w:val="20"/>
        </w:rPr>
      </w:pPr>
      <w:r>
        <w:rPr>
          <w:rFonts w:ascii="Arial" w:hAnsi="Arial" w:cs="Arial"/>
          <w:bCs/>
          <w:i/>
          <w:sz w:val="20"/>
          <w:szCs w:val="20"/>
        </w:rPr>
        <w:t xml:space="preserve">Figura 7. </w:t>
      </w:r>
      <w:r w:rsidRPr="00D770A5">
        <w:rPr>
          <w:rFonts w:ascii="Arial" w:hAnsi="Arial" w:cs="Arial"/>
          <w:bCs/>
          <w:i/>
          <w:sz w:val="20"/>
          <w:szCs w:val="20"/>
        </w:rPr>
        <w:t>IR de polvo de cáscara de naranja (Vitamina C).</w:t>
      </w:r>
    </w:p>
    <w:p w:rsidR="000D24A4" w:rsidRDefault="000D24A4" w:rsidP="000D24A4">
      <w:pPr>
        <w:jc w:val="both"/>
        <w:rPr>
          <w:rFonts w:ascii="Arial" w:hAnsi="Arial" w:cs="Arial"/>
          <w:color w:val="000000"/>
        </w:rPr>
      </w:pPr>
    </w:p>
    <w:p w:rsidR="000D24A4" w:rsidRDefault="000D24A4" w:rsidP="000D24A4">
      <w:pPr>
        <w:ind w:firstLine="567"/>
        <w:jc w:val="both"/>
        <w:rPr>
          <w:rFonts w:ascii="Arial" w:hAnsi="Arial" w:cs="Arial"/>
          <w:i/>
          <w:iCs/>
          <w:color w:val="000000"/>
        </w:rPr>
      </w:pPr>
      <w:r w:rsidRPr="008E1594">
        <w:rPr>
          <w:rFonts w:ascii="Arial" w:hAnsi="Arial" w:cs="Arial"/>
          <w:color w:val="000000"/>
        </w:rPr>
        <w:t>La lectura del espectro fue corroborada de acuerdo a la estructura molecular del ácido ascórbico y se identificó la presencia de los grupos funcionales característicos de dicho compuesto</w:t>
      </w:r>
      <w:r>
        <w:rPr>
          <w:rFonts w:ascii="Arial" w:hAnsi="Arial" w:cs="Arial"/>
          <w:color w:val="000000"/>
        </w:rPr>
        <w:t>,</w:t>
      </w:r>
      <w:r w:rsidRPr="008E1594">
        <w:rPr>
          <w:rFonts w:ascii="Arial" w:hAnsi="Arial" w:cs="Arial"/>
          <w:color w:val="000000"/>
        </w:rPr>
        <w:t xml:space="preserve"> los cuales fueron los enlaces O-H que se encuentra</w:t>
      </w:r>
      <w:r>
        <w:rPr>
          <w:rFonts w:ascii="Arial" w:hAnsi="Arial" w:cs="Arial"/>
          <w:color w:val="000000"/>
        </w:rPr>
        <w:t>n</w:t>
      </w:r>
      <w:r w:rsidRPr="008E1594">
        <w:rPr>
          <w:rFonts w:ascii="Arial" w:hAnsi="Arial" w:cs="Arial"/>
          <w:color w:val="000000"/>
        </w:rPr>
        <w:t xml:space="preserve"> dentro del primer pico del IR el cual obtiene un valor de 3301.78, el segundo grupo funcional identificado es el C-H el cual  se encuentra ubicado a un costado del enlace O-H, este obtuvo un valor de 2853.17, también se encuentra</w:t>
      </w:r>
      <w:r>
        <w:rPr>
          <w:rFonts w:ascii="Arial" w:hAnsi="Arial" w:cs="Arial"/>
          <w:color w:val="000000"/>
        </w:rPr>
        <w:t>n enlaces dobles de C=O y C=C lo</w:t>
      </w:r>
      <w:r w:rsidRPr="008E1594">
        <w:rPr>
          <w:rFonts w:ascii="Arial" w:hAnsi="Arial" w:cs="Arial"/>
          <w:color w:val="000000"/>
        </w:rPr>
        <w:t xml:space="preserve">s cuales tienen valores de 1603.31 y 1366.91 respectivamente. De igual manera están presentes </w:t>
      </w:r>
      <w:r>
        <w:rPr>
          <w:rFonts w:ascii="Arial" w:hAnsi="Arial" w:cs="Arial"/>
          <w:color w:val="000000"/>
        </w:rPr>
        <w:t>los enlaces simples C-O y C-C lo</w:t>
      </w:r>
      <w:r w:rsidRPr="008E1594">
        <w:rPr>
          <w:rFonts w:ascii="Arial" w:hAnsi="Arial" w:cs="Arial"/>
          <w:color w:val="000000"/>
        </w:rPr>
        <w:t>s cuales tienen valores de intensidad de 1012.05 y 919.60, esto indica que todos los grupos funcionales que teóricamente se sabe que se encuentran en una molécula de ácido ascórbico si se encuentran presentes dentro de la muestra que del polvo de naranja que se analizó. Una vez obtenido esto, se procedió una vez má</w:t>
      </w:r>
      <w:r>
        <w:rPr>
          <w:rFonts w:ascii="Arial" w:hAnsi="Arial" w:cs="Arial"/>
          <w:color w:val="000000"/>
        </w:rPr>
        <w:t>s a realizar el proceso de hidró</w:t>
      </w:r>
      <w:r w:rsidRPr="008E1594">
        <w:rPr>
          <w:rFonts w:ascii="Arial" w:hAnsi="Arial" w:cs="Arial"/>
          <w:color w:val="000000"/>
        </w:rPr>
        <w:t xml:space="preserve">lisis enzimática con la enzima xilanasa, la primera lectura IR que corresponde a la muestra de glucosa se muestra en la </w:t>
      </w:r>
      <w:r>
        <w:rPr>
          <w:rFonts w:ascii="Arial" w:hAnsi="Arial" w:cs="Arial"/>
          <w:i/>
          <w:iCs/>
          <w:color w:val="000000"/>
        </w:rPr>
        <w:t>F</w:t>
      </w:r>
      <w:r w:rsidRPr="00347C03">
        <w:rPr>
          <w:rFonts w:ascii="Arial" w:hAnsi="Arial" w:cs="Arial"/>
          <w:i/>
          <w:iCs/>
          <w:color w:val="000000"/>
        </w:rPr>
        <w:t>igura</w:t>
      </w:r>
      <w:r>
        <w:rPr>
          <w:rFonts w:ascii="Arial" w:hAnsi="Arial" w:cs="Arial"/>
          <w:i/>
          <w:iCs/>
          <w:color w:val="000000"/>
        </w:rPr>
        <w:t xml:space="preserve"> </w:t>
      </w:r>
      <w:r w:rsidRPr="00347C03">
        <w:rPr>
          <w:rFonts w:ascii="Arial" w:hAnsi="Arial" w:cs="Arial"/>
          <w:i/>
          <w:iCs/>
          <w:color w:val="000000"/>
        </w:rPr>
        <w:t>8</w:t>
      </w:r>
      <w:r>
        <w:rPr>
          <w:rFonts w:ascii="Arial" w:hAnsi="Arial" w:cs="Arial"/>
          <w:i/>
          <w:iCs/>
          <w:color w:val="000000"/>
        </w:rPr>
        <w:t>.</w:t>
      </w:r>
    </w:p>
    <w:p w:rsidR="000D24A4" w:rsidRDefault="000D24A4" w:rsidP="000D24A4">
      <w:pPr>
        <w:ind w:firstLine="567"/>
        <w:jc w:val="both"/>
        <w:rPr>
          <w:rFonts w:ascii="Arial" w:hAnsi="Arial" w:cs="Arial"/>
          <w:color w:val="000000"/>
        </w:rPr>
      </w:pPr>
    </w:p>
    <w:p w:rsidR="000D24A4" w:rsidRDefault="000D24A4" w:rsidP="000D24A4">
      <w:pPr>
        <w:jc w:val="center"/>
        <w:rPr>
          <w:rFonts w:ascii="Arial" w:hAnsi="Arial" w:cs="Arial"/>
          <w:color w:val="000000"/>
        </w:rPr>
      </w:pPr>
      <w:r>
        <w:rPr>
          <w:noProof/>
          <w:lang w:val="en-US"/>
        </w:rPr>
        <w:drawing>
          <wp:inline distT="0" distB="0" distL="0" distR="0" wp14:anchorId="301D04A2" wp14:editId="64477AEA">
            <wp:extent cx="2805825" cy="2500298"/>
            <wp:effectExtent l="0" t="0" r="0" b="0"/>
            <wp:docPr id="269469690" name="Imagen 2694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4"/>
                    <a:stretch>
                      <a:fillRect/>
                    </a:stretch>
                  </pic:blipFill>
                  <pic:spPr>
                    <a:xfrm>
                      <a:off x="0" y="0"/>
                      <a:ext cx="2830076" cy="2521909"/>
                    </a:xfrm>
                    <a:prstGeom prst="rect">
                      <a:avLst/>
                    </a:prstGeom>
                  </pic:spPr>
                </pic:pic>
              </a:graphicData>
            </a:graphic>
          </wp:inline>
        </w:drawing>
      </w:r>
    </w:p>
    <w:p w:rsidR="000D24A4" w:rsidRPr="00D770A5" w:rsidRDefault="000D24A4" w:rsidP="000D24A4">
      <w:pPr>
        <w:jc w:val="center"/>
        <w:rPr>
          <w:rFonts w:ascii="Arial" w:hAnsi="Arial" w:cs="Arial"/>
          <w:bCs/>
          <w:i/>
          <w:sz w:val="20"/>
          <w:szCs w:val="20"/>
        </w:rPr>
      </w:pPr>
      <w:r>
        <w:rPr>
          <w:rFonts w:ascii="Arial" w:hAnsi="Arial" w:cs="Arial"/>
          <w:bCs/>
          <w:i/>
          <w:sz w:val="20"/>
          <w:szCs w:val="20"/>
        </w:rPr>
        <w:t xml:space="preserve">Figura 8. Lectura del </w:t>
      </w:r>
      <w:r w:rsidRPr="00D770A5">
        <w:rPr>
          <w:rFonts w:ascii="Arial" w:hAnsi="Arial" w:cs="Arial"/>
          <w:bCs/>
          <w:i/>
          <w:sz w:val="20"/>
          <w:szCs w:val="20"/>
        </w:rPr>
        <w:t xml:space="preserve">IR de </w:t>
      </w:r>
      <w:r>
        <w:rPr>
          <w:rFonts w:ascii="Arial" w:hAnsi="Arial" w:cs="Arial"/>
          <w:bCs/>
          <w:i/>
          <w:sz w:val="20"/>
          <w:szCs w:val="20"/>
        </w:rPr>
        <w:t>Glucosa Liberada</w:t>
      </w:r>
      <w:r w:rsidRPr="00D770A5">
        <w:rPr>
          <w:rFonts w:ascii="Arial" w:hAnsi="Arial" w:cs="Arial"/>
          <w:bCs/>
          <w:i/>
          <w:sz w:val="20"/>
          <w:szCs w:val="20"/>
        </w:rPr>
        <w:t>.</w:t>
      </w:r>
    </w:p>
    <w:p w:rsidR="000D24A4" w:rsidRDefault="000D24A4" w:rsidP="000D24A4">
      <w:pPr>
        <w:jc w:val="center"/>
        <w:rPr>
          <w:rFonts w:ascii="Arial" w:hAnsi="Arial" w:cs="Arial"/>
          <w:color w:val="000000"/>
        </w:rPr>
      </w:pPr>
    </w:p>
    <w:p w:rsidR="000D24A4" w:rsidRPr="00347C03" w:rsidRDefault="000D24A4" w:rsidP="000D24A4">
      <w:pPr>
        <w:ind w:firstLine="567"/>
        <w:jc w:val="both"/>
        <w:rPr>
          <w:rFonts w:ascii="Arial" w:hAnsi="Arial" w:cs="Arial"/>
          <w:color w:val="000000"/>
        </w:rPr>
      </w:pPr>
      <w:r>
        <w:t xml:space="preserve">En dicha lectura se puede observar como la molécula de almidón se degradó dando paso a una molécula de D-Glucosa, esto se puede corroborar mediante la identificación de enlaces y/o grupos funcionales que se encuentran presentes dentro de la muestra analizada, los enlaces simples O-H y C-H tiene un valores de 3282.01 y 2881.71 respectivamente, los enlaces C-O y C-C poseen valores de intensidad de 1032.59 y 922.74 lo que corrobora que en efecto a partir de la hidrólisis de almidón se obtuvo D-Glucosa, Posteriormente se realizó la prueba de IR a una última muestra de la glucosa enriquecida con vitamina C, el IR obtenido se observa en la </w:t>
      </w:r>
      <w:r w:rsidRPr="00347C03">
        <w:rPr>
          <w:i/>
          <w:iCs/>
        </w:rPr>
        <w:t>Figura 9</w:t>
      </w:r>
      <w:r>
        <w:rPr>
          <w:i/>
          <w:iCs/>
        </w:rPr>
        <w:t xml:space="preserve"> </w:t>
      </w:r>
      <w:r>
        <w:t>Mediante la lectura de IR de la glucosa enriquecida se observa que hay un ligero cambio en comparación con la lectura de glucosa sin vitamina, en esta se pueden distinguir los dobles enlaces de C=O y C=C que se encuentran presentes en el ácido ascórbico teniendo valores de 1645.95 y 1539.91 respectivamente.</w:t>
      </w:r>
    </w:p>
    <w:p w:rsidR="000D24A4" w:rsidRDefault="000D24A4" w:rsidP="000D24A4">
      <w:pPr>
        <w:jc w:val="center"/>
        <w:rPr>
          <w:rFonts w:ascii="Arial" w:hAnsi="Arial" w:cs="Arial"/>
          <w:color w:val="000000"/>
        </w:rPr>
      </w:pPr>
      <w:r w:rsidRPr="00347C03">
        <w:rPr>
          <w:noProof/>
          <w:lang w:val="en-US"/>
        </w:rPr>
        <w:drawing>
          <wp:inline distT="0" distB="0" distL="0" distR="0" wp14:anchorId="25434876" wp14:editId="213FAE76">
            <wp:extent cx="2985250" cy="2329410"/>
            <wp:effectExtent l="0" t="0" r="5715" b="0"/>
            <wp:docPr id="269469691" name="Imagen 26946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5"/>
                    <a:stretch>
                      <a:fillRect/>
                    </a:stretch>
                  </pic:blipFill>
                  <pic:spPr>
                    <a:xfrm>
                      <a:off x="0" y="0"/>
                      <a:ext cx="3001177" cy="2341838"/>
                    </a:xfrm>
                    <a:prstGeom prst="rect">
                      <a:avLst/>
                    </a:prstGeom>
                  </pic:spPr>
                </pic:pic>
              </a:graphicData>
            </a:graphic>
          </wp:inline>
        </w:drawing>
      </w:r>
    </w:p>
    <w:p w:rsidR="000D24A4" w:rsidRPr="00D770A5" w:rsidRDefault="000D24A4" w:rsidP="000D24A4">
      <w:pPr>
        <w:jc w:val="center"/>
        <w:rPr>
          <w:rFonts w:ascii="Arial" w:hAnsi="Arial" w:cs="Arial"/>
          <w:bCs/>
          <w:i/>
          <w:sz w:val="20"/>
          <w:szCs w:val="20"/>
        </w:rPr>
      </w:pPr>
      <w:r>
        <w:rPr>
          <w:rFonts w:ascii="Arial" w:hAnsi="Arial" w:cs="Arial"/>
          <w:bCs/>
          <w:i/>
          <w:sz w:val="20"/>
          <w:szCs w:val="20"/>
        </w:rPr>
        <w:t xml:space="preserve">Figura 9. </w:t>
      </w:r>
      <w:r w:rsidRPr="00347C03">
        <w:rPr>
          <w:rFonts w:ascii="Arial" w:hAnsi="Arial" w:cs="Arial"/>
          <w:bCs/>
          <w:i/>
          <w:sz w:val="20"/>
          <w:szCs w:val="20"/>
        </w:rPr>
        <w:t>Lectura de IR de glucosa enriquecida con vitamina C.</w:t>
      </w:r>
    </w:p>
    <w:p w:rsidR="000D24A4" w:rsidRPr="00EF1751" w:rsidRDefault="000D24A4" w:rsidP="000D24A4">
      <w:pPr>
        <w:ind w:firstLine="567"/>
        <w:jc w:val="both"/>
        <w:rPr>
          <w:rFonts w:ascii="Arial" w:hAnsi="Arial" w:cs="Arial"/>
          <w:color w:val="000000"/>
        </w:rPr>
      </w:pPr>
    </w:p>
    <w:p w:rsidR="000D24A4" w:rsidRPr="000D24A4" w:rsidRDefault="000D24A4" w:rsidP="000D24A4">
      <w:pPr>
        <w:pStyle w:val="Ttulo1"/>
        <w:keepLines w:val="0"/>
        <w:tabs>
          <w:tab w:val="left" w:pos="0"/>
        </w:tabs>
        <w:suppressAutoHyphens/>
        <w:spacing w:before="0" w:after="0" w:line="360" w:lineRule="auto"/>
        <w:rPr>
          <w:rFonts w:ascii="Arial" w:hAnsi="Arial" w:cs="Arial"/>
          <w:i/>
          <w:sz w:val="24"/>
          <w:szCs w:val="24"/>
        </w:rPr>
      </w:pPr>
      <w:bookmarkStart w:id="242" w:name="_Toc50031315"/>
      <w:r w:rsidRPr="000D24A4">
        <w:rPr>
          <w:rFonts w:ascii="Arial" w:hAnsi="Arial" w:cs="Arial"/>
          <w:caps/>
          <w:sz w:val="24"/>
          <w:szCs w:val="24"/>
        </w:rPr>
        <w:t xml:space="preserve">5. </w:t>
      </w:r>
      <w:r w:rsidRPr="000D24A4">
        <w:rPr>
          <w:rFonts w:ascii="Arial" w:hAnsi="Arial" w:cs="Arial"/>
          <w:sz w:val="24"/>
          <w:szCs w:val="24"/>
        </w:rPr>
        <w:t>Conclusiones</w:t>
      </w:r>
      <w:bookmarkEnd w:id="242"/>
    </w:p>
    <w:p w:rsidR="000D24A4" w:rsidRPr="00EF1751" w:rsidRDefault="000D24A4" w:rsidP="000D24A4">
      <w:pPr>
        <w:pStyle w:val="Textoindependiente"/>
        <w:ind w:firstLine="539"/>
        <w:rPr>
          <w:rFonts w:ascii="Arial" w:hAnsi="Arial" w:cs="Arial"/>
          <w:b w:val="0"/>
          <w:sz w:val="24"/>
        </w:rPr>
      </w:pPr>
    </w:p>
    <w:p w:rsidR="000D24A4" w:rsidRPr="00EF1751" w:rsidRDefault="000D24A4" w:rsidP="000D24A4">
      <w:pPr>
        <w:ind w:firstLine="567"/>
        <w:jc w:val="both"/>
        <w:rPr>
          <w:rFonts w:ascii="Arial" w:hAnsi="Arial" w:cs="Arial"/>
          <w:color w:val="000000"/>
        </w:rPr>
      </w:pPr>
      <w:r>
        <w:rPr>
          <w:rFonts w:ascii="Arial" w:hAnsi="Arial" w:cs="Arial"/>
          <w:color w:val="000000"/>
        </w:rPr>
        <w:t xml:space="preserve">Es posible emplear el </w:t>
      </w:r>
      <w:r w:rsidRPr="00EF1751">
        <w:rPr>
          <w:rFonts w:ascii="Arial" w:hAnsi="Arial" w:cs="Arial"/>
          <w:color w:val="000000"/>
        </w:rPr>
        <w:t xml:space="preserve">almidón de papa </w:t>
      </w:r>
      <w:r w:rsidRPr="00C41189">
        <w:rPr>
          <w:rFonts w:ascii="Arial" w:hAnsi="Arial" w:cs="Arial"/>
          <w:i/>
          <w:iCs/>
          <w:color w:val="000000"/>
        </w:rPr>
        <w:t>Oxalis Tuberosa</w:t>
      </w:r>
      <w:r w:rsidRPr="00EF1751">
        <w:rPr>
          <w:rFonts w:ascii="Arial" w:hAnsi="Arial" w:cs="Arial"/>
          <w:color w:val="000000"/>
        </w:rPr>
        <w:t xml:space="preserve">, </w:t>
      </w:r>
      <w:r>
        <w:rPr>
          <w:rFonts w:ascii="Arial" w:hAnsi="Arial" w:cs="Arial"/>
          <w:color w:val="000000"/>
        </w:rPr>
        <w:t>como</w:t>
      </w:r>
      <w:r w:rsidRPr="00EF1751">
        <w:rPr>
          <w:rFonts w:ascii="Arial" w:hAnsi="Arial" w:cs="Arial"/>
          <w:color w:val="000000"/>
        </w:rPr>
        <w:t xml:space="preserve"> una fuente potencial </w:t>
      </w:r>
      <w:r>
        <w:rPr>
          <w:rFonts w:ascii="Arial" w:hAnsi="Arial" w:cs="Arial"/>
          <w:color w:val="000000"/>
        </w:rPr>
        <w:t xml:space="preserve">de </w:t>
      </w:r>
      <w:r w:rsidRPr="00EF1751">
        <w:rPr>
          <w:rFonts w:ascii="Arial" w:hAnsi="Arial" w:cs="Arial"/>
          <w:color w:val="000000"/>
        </w:rPr>
        <w:t>almidón</w:t>
      </w:r>
      <w:r>
        <w:rPr>
          <w:rFonts w:ascii="Arial" w:hAnsi="Arial" w:cs="Arial"/>
          <w:color w:val="000000"/>
        </w:rPr>
        <w:t xml:space="preserve"> </w:t>
      </w:r>
      <w:r w:rsidRPr="00EF1751">
        <w:rPr>
          <w:rFonts w:ascii="Arial" w:hAnsi="Arial" w:cs="Arial"/>
          <w:color w:val="000000"/>
        </w:rPr>
        <w:t>comercial. Se obt</w:t>
      </w:r>
      <w:r>
        <w:rPr>
          <w:rFonts w:ascii="Arial" w:hAnsi="Arial" w:cs="Arial"/>
          <w:color w:val="000000"/>
        </w:rPr>
        <w:t xml:space="preserve">iene de </w:t>
      </w:r>
      <w:r w:rsidRPr="00EF1751">
        <w:rPr>
          <w:rFonts w:ascii="Arial" w:hAnsi="Arial" w:cs="Arial"/>
          <w:color w:val="000000"/>
        </w:rPr>
        <w:t xml:space="preserve">7000 gr de papa </w:t>
      </w:r>
      <w:r w:rsidRPr="00C41189">
        <w:rPr>
          <w:rFonts w:ascii="Arial" w:hAnsi="Arial" w:cs="Arial"/>
          <w:i/>
          <w:iCs/>
          <w:color w:val="000000"/>
        </w:rPr>
        <w:t>Oxalis Tuberosa</w:t>
      </w:r>
      <w:r w:rsidRPr="00EF1751">
        <w:rPr>
          <w:rFonts w:ascii="Arial" w:hAnsi="Arial" w:cs="Arial"/>
          <w:color w:val="000000"/>
        </w:rPr>
        <w:t xml:space="preserve"> una cantidad de 105.1 gr de almidón lo que equivale a 1.5% del total de materia prima</w:t>
      </w:r>
      <w:r>
        <w:rPr>
          <w:rFonts w:ascii="Arial" w:hAnsi="Arial" w:cs="Arial"/>
          <w:color w:val="000000"/>
        </w:rPr>
        <w:t>;</w:t>
      </w:r>
      <w:r w:rsidRPr="00EF1751">
        <w:rPr>
          <w:rFonts w:ascii="Arial" w:hAnsi="Arial" w:cs="Arial"/>
          <w:color w:val="000000"/>
        </w:rPr>
        <w:t xml:space="preserve"> </w:t>
      </w:r>
      <w:r>
        <w:rPr>
          <w:rFonts w:ascii="Arial" w:hAnsi="Arial" w:cs="Arial"/>
          <w:color w:val="000000"/>
        </w:rPr>
        <w:t xml:space="preserve">además el </w:t>
      </w:r>
      <w:r w:rsidRPr="00EF1751">
        <w:rPr>
          <w:rFonts w:ascii="Arial" w:hAnsi="Arial" w:cs="Arial"/>
          <w:color w:val="000000"/>
        </w:rPr>
        <w:t>almidón de papa posee propiedades fisicoquímicas similares al almidón de maíz</w:t>
      </w:r>
      <w:r>
        <w:rPr>
          <w:rFonts w:ascii="Arial" w:hAnsi="Arial" w:cs="Arial"/>
          <w:color w:val="000000"/>
        </w:rPr>
        <w:t>, d</w:t>
      </w:r>
      <w:r w:rsidRPr="00EF1751">
        <w:rPr>
          <w:rFonts w:ascii="Arial" w:hAnsi="Arial" w:cs="Arial"/>
          <w:color w:val="000000"/>
        </w:rPr>
        <w:t>entro de las propiedades fisicoquímicas</w:t>
      </w:r>
      <w:r>
        <w:rPr>
          <w:rFonts w:ascii="Arial" w:hAnsi="Arial" w:cs="Arial"/>
          <w:color w:val="000000"/>
        </w:rPr>
        <w:t>, l</w:t>
      </w:r>
      <w:r w:rsidRPr="00EF1751">
        <w:rPr>
          <w:rFonts w:ascii="Arial" w:hAnsi="Arial" w:cs="Arial"/>
          <w:color w:val="000000"/>
        </w:rPr>
        <w:t xml:space="preserve">a temperatura de gelatinización es de 57.9 °C, </w:t>
      </w:r>
    </w:p>
    <w:p w:rsidR="000D24A4" w:rsidRDefault="000D24A4" w:rsidP="000D24A4">
      <w:pPr>
        <w:ind w:firstLine="567"/>
        <w:jc w:val="both"/>
        <w:rPr>
          <w:rFonts w:ascii="Arial" w:hAnsi="Arial" w:cs="Arial"/>
          <w:color w:val="000000"/>
        </w:rPr>
      </w:pPr>
    </w:p>
    <w:p w:rsidR="000D24A4" w:rsidRPr="00EF1751" w:rsidRDefault="000D24A4" w:rsidP="000D24A4">
      <w:pPr>
        <w:ind w:firstLine="567"/>
        <w:jc w:val="both"/>
        <w:rPr>
          <w:rFonts w:ascii="Arial" w:hAnsi="Arial" w:cs="Arial"/>
          <w:color w:val="000000"/>
        </w:rPr>
      </w:pPr>
      <w:r>
        <w:rPr>
          <w:rFonts w:ascii="Arial" w:hAnsi="Arial" w:cs="Arial"/>
          <w:color w:val="000000"/>
        </w:rPr>
        <w:t>L</w:t>
      </w:r>
      <w:r w:rsidRPr="00EF1751">
        <w:rPr>
          <w:rFonts w:ascii="Arial" w:hAnsi="Arial" w:cs="Arial"/>
          <w:color w:val="000000"/>
        </w:rPr>
        <w:t>a cuantificación de azucares reductores con el método DNS, dem</w:t>
      </w:r>
      <w:r>
        <w:rPr>
          <w:rFonts w:ascii="Arial" w:hAnsi="Arial" w:cs="Arial"/>
          <w:color w:val="000000"/>
        </w:rPr>
        <w:t>ues</w:t>
      </w:r>
      <w:r w:rsidRPr="00EF1751">
        <w:rPr>
          <w:rFonts w:ascii="Arial" w:hAnsi="Arial" w:cs="Arial"/>
          <w:color w:val="000000"/>
        </w:rPr>
        <w:t>t</w:t>
      </w:r>
      <w:r>
        <w:rPr>
          <w:rFonts w:ascii="Arial" w:hAnsi="Arial" w:cs="Arial"/>
          <w:color w:val="000000"/>
        </w:rPr>
        <w:t>ra</w:t>
      </w:r>
      <w:r w:rsidRPr="00EF1751">
        <w:rPr>
          <w:rFonts w:ascii="Arial" w:hAnsi="Arial" w:cs="Arial"/>
          <w:color w:val="000000"/>
        </w:rPr>
        <w:t xml:space="preserve"> la precisión del método aplicado a las 2 concentraciones manejadas, de las 5 enzimas empleadas cabe destacar que la enzima que obtuvo un mejor rendimiento es la enzima Xilanasa; esta logro obtener concentraciones máximas de 67.82 y 31.15 g/L de glucosa liberada en concentraciones de 1% y 5% de almidón, en </w:t>
      </w:r>
      <w:r w:rsidRPr="00EF1751">
        <w:rPr>
          <w:rFonts w:ascii="Arial" w:hAnsi="Arial" w:cs="Arial"/>
          <w:color w:val="000000"/>
        </w:rPr>
        <w:lastRenderedPageBreak/>
        <w:t xml:space="preserve">contraste con la enzima Celulasa </w:t>
      </w:r>
      <w:r>
        <w:rPr>
          <w:rFonts w:ascii="Arial" w:hAnsi="Arial" w:cs="Arial"/>
          <w:color w:val="000000"/>
        </w:rPr>
        <w:t>la cual</w:t>
      </w:r>
      <w:r w:rsidRPr="00EF1751">
        <w:rPr>
          <w:rFonts w:ascii="Arial" w:hAnsi="Arial" w:cs="Arial"/>
          <w:color w:val="000000"/>
        </w:rPr>
        <w:t xml:space="preserve"> fue la enzima con menos resultados favorables obteniendo valores máximos de 0.94 y 0.96 g/L de glucosa liberada respectivamente. </w:t>
      </w:r>
    </w:p>
    <w:p w:rsidR="000D24A4" w:rsidRPr="00EF1751" w:rsidRDefault="000D24A4" w:rsidP="000D24A4">
      <w:pPr>
        <w:ind w:firstLine="567"/>
        <w:jc w:val="both"/>
        <w:rPr>
          <w:rFonts w:ascii="Arial" w:hAnsi="Arial" w:cs="Arial"/>
          <w:color w:val="000000"/>
        </w:rPr>
      </w:pPr>
    </w:p>
    <w:p w:rsidR="000D24A4" w:rsidRPr="00EF1751" w:rsidRDefault="000D24A4" w:rsidP="000D24A4">
      <w:pPr>
        <w:ind w:firstLine="567"/>
        <w:jc w:val="both"/>
        <w:rPr>
          <w:rFonts w:ascii="Arial" w:hAnsi="Arial" w:cs="Arial"/>
          <w:color w:val="000000"/>
        </w:rPr>
      </w:pPr>
      <w:r>
        <w:rPr>
          <w:rFonts w:ascii="Arial" w:hAnsi="Arial" w:cs="Arial"/>
          <w:color w:val="000000"/>
        </w:rPr>
        <w:t>En cuanto a l</w:t>
      </w:r>
      <w:r w:rsidRPr="00EF1751">
        <w:rPr>
          <w:rFonts w:ascii="Arial" w:hAnsi="Arial" w:cs="Arial"/>
          <w:color w:val="000000"/>
        </w:rPr>
        <w:t>a adición de vitamina C se puede concluir que mediante la técnica de IR puede identificar la presencia de los grupos funcionales característicos del ácido ascórbico dentro de la muestra de glucosa, pero en la lectura no se observó un cambio muy marcado en las diferencias del IR de glucosa comparado con el IR del ácido ascórbico.</w:t>
      </w:r>
    </w:p>
    <w:p w:rsidR="000D24A4" w:rsidRDefault="000D24A4" w:rsidP="000D24A4">
      <w:pPr>
        <w:ind w:firstLine="567"/>
        <w:jc w:val="both"/>
        <w:rPr>
          <w:rFonts w:ascii="Arial" w:hAnsi="Arial" w:cs="Arial"/>
          <w:color w:val="000000"/>
        </w:rPr>
      </w:pPr>
    </w:p>
    <w:p w:rsidR="000D24A4" w:rsidRDefault="000D24A4" w:rsidP="000D24A4">
      <w:pPr>
        <w:ind w:firstLine="567"/>
        <w:jc w:val="both"/>
        <w:rPr>
          <w:rFonts w:ascii="Arial" w:hAnsi="Arial" w:cs="Arial"/>
          <w:color w:val="000000"/>
        </w:rPr>
      </w:pPr>
      <w:r>
        <w:rPr>
          <w:rFonts w:ascii="Arial" w:hAnsi="Arial" w:cs="Arial"/>
          <w:color w:val="000000"/>
        </w:rPr>
        <w:t>E</w:t>
      </w:r>
      <w:r w:rsidRPr="00EF1751">
        <w:rPr>
          <w:rFonts w:ascii="Arial" w:hAnsi="Arial" w:cs="Arial"/>
          <w:color w:val="000000"/>
        </w:rPr>
        <w:t>s posible obte</w:t>
      </w:r>
      <w:r>
        <w:rPr>
          <w:rFonts w:ascii="Arial" w:hAnsi="Arial" w:cs="Arial"/>
          <w:color w:val="000000"/>
        </w:rPr>
        <w:t>ner glucosa a partir de la hidró</w:t>
      </w:r>
      <w:r w:rsidRPr="00EF1751">
        <w:rPr>
          <w:rFonts w:ascii="Arial" w:hAnsi="Arial" w:cs="Arial"/>
          <w:color w:val="000000"/>
        </w:rPr>
        <w:t>lisis enzimática de almidón de papa extranjera (Oxalis tuberosa), utilizando la enzima Xilanasa, ya que obtiene una mejor eficiencia en comparación con las demás enzimas. Esto indica cómo se mencionó ante</w:t>
      </w:r>
      <w:r>
        <w:rPr>
          <w:rFonts w:ascii="Arial" w:hAnsi="Arial" w:cs="Arial"/>
          <w:color w:val="000000"/>
        </w:rPr>
        <w:t xml:space="preserve">riormente que la papa </w:t>
      </w:r>
      <w:r w:rsidRPr="002A55D1">
        <w:rPr>
          <w:rFonts w:ascii="Arial" w:hAnsi="Arial" w:cs="Arial"/>
          <w:i/>
          <w:iCs/>
          <w:color w:val="000000"/>
        </w:rPr>
        <w:t>Oxallis Tuberosa</w:t>
      </w:r>
      <w:r w:rsidRPr="00EF1751">
        <w:rPr>
          <w:rFonts w:ascii="Arial" w:hAnsi="Arial" w:cs="Arial"/>
          <w:color w:val="000000"/>
        </w:rPr>
        <w:t xml:space="preserve"> es una muy buena alternativa para obtención de almidón y producción de edulcorante ya que en relación con otras fuentes de obtención esta tiene muy buen aprovechamiento.</w:t>
      </w:r>
    </w:p>
    <w:p w:rsidR="000D24A4" w:rsidRDefault="000D24A4" w:rsidP="000D24A4">
      <w:pPr>
        <w:ind w:firstLine="567"/>
        <w:jc w:val="both"/>
        <w:rPr>
          <w:rFonts w:ascii="Arial" w:hAnsi="Arial" w:cs="Arial"/>
          <w:color w:val="000000"/>
        </w:rPr>
      </w:pPr>
    </w:p>
    <w:p w:rsidR="000D24A4" w:rsidRPr="00EF1751" w:rsidRDefault="000D24A4" w:rsidP="000D24A4">
      <w:pPr>
        <w:ind w:firstLine="567"/>
        <w:jc w:val="both"/>
        <w:rPr>
          <w:rFonts w:ascii="Arial" w:hAnsi="Arial" w:cs="Arial"/>
          <w:color w:val="000000"/>
        </w:rPr>
      </w:pPr>
    </w:p>
    <w:p w:rsidR="000D24A4" w:rsidRPr="000D24A4" w:rsidRDefault="000D24A4" w:rsidP="000D24A4">
      <w:pPr>
        <w:pStyle w:val="Ttulo1"/>
        <w:keepLines w:val="0"/>
        <w:tabs>
          <w:tab w:val="left" w:pos="0"/>
        </w:tabs>
        <w:suppressAutoHyphens/>
        <w:spacing w:before="0" w:after="0" w:line="360" w:lineRule="auto"/>
        <w:rPr>
          <w:rFonts w:ascii="Arial" w:hAnsi="Arial" w:cs="Arial"/>
          <w:i/>
          <w:sz w:val="24"/>
          <w:szCs w:val="24"/>
        </w:rPr>
      </w:pPr>
      <w:bookmarkStart w:id="243" w:name="_Toc50031316"/>
      <w:r w:rsidRPr="000D24A4">
        <w:rPr>
          <w:rFonts w:ascii="Arial" w:hAnsi="Arial" w:cs="Arial"/>
          <w:caps/>
          <w:sz w:val="24"/>
          <w:szCs w:val="24"/>
        </w:rPr>
        <w:t xml:space="preserve">6. </w:t>
      </w:r>
      <w:r w:rsidRPr="000D24A4">
        <w:rPr>
          <w:rFonts w:ascii="Arial" w:hAnsi="Arial" w:cs="Arial"/>
          <w:sz w:val="24"/>
          <w:szCs w:val="24"/>
        </w:rPr>
        <w:t>Bibliografía</w:t>
      </w:r>
      <w:bookmarkEnd w:id="243"/>
    </w:p>
    <w:p w:rsidR="000D24A4" w:rsidRDefault="000D24A4" w:rsidP="000D24A4">
      <w:pPr>
        <w:jc w:val="both"/>
        <w:rPr>
          <w:rFonts w:ascii="Arial" w:hAnsi="Arial" w:cs="Arial"/>
        </w:rPr>
      </w:pPr>
    </w:p>
    <w:p w:rsidR="000D24A4" w:rsidRPr="00342B36" w:rsidRDefault="000D24A4" w:rsidP="000D24A4">
      <w:pPr>
        <w:numPr>
          <w:ilvl w:val="0"/>
          <w:numId w:val="39"/>
        </w:numPr>
        <w:tabs>
          <w:tab w:val="left" w:pos="750"/>
        </w:tabs>
        <w:suppressAutoHyphens/>
        <w:spacing w:after="0" w:line="240" w:lineRule="auto"/>
        <w:jc w:val="both"/>
        <w:rPr>
          <w:rFonts w:ascii="Arial" w:hAnsi="Arial" w:cs="Arial"/>
        </w:rPr>
      </w:pPr>
      <w:r w:rsidRPr="00342B36">
        <w:rPr>
          <w:rFonts w:ascii="Arial" w:hAnsi="Arial" w:cs="Arial"/>
        </w:rPr>
        <w:t>Cruz, G.</w:t>
      </w:r>
      <w:r>
        <w:rPr>
          <w:rFonts w:ascii="Arial" w:hAnsi="Arial" w:cs="Arial"/>
        </w:rPr>
        <w:t>,</w:t>
      </w:r>
      <w:r w:rsidRPr="00342B36">
        <w:rPr>
          <w:rFonts w:ascii="Arial" w:hAnsi="Arial" w:cs="Arial"/>
        </w:rPr>
        <w:t xml:space="preserve"> </w:t>
      </w:r>
      <w:r>
        <w:rPr>
          <w:rFonts w:ascii="Arial" w:hAnsi="Arial" w:cs="Arial"/>
        </w:rPr>
        <w:t>“</w:t>
      </w:r>
      <w:r w:rsidRPr="00342B36">
        <w:rPr>
          <w:rFonts w:ascii="Arial" w:hAnsi="Arial" w:cs="Arial"/>
        </w:rPr>
        <w:t xml:space="preserve">Glucosa obtenida a partir de hidrólisis enzimática de almidón de Jícama </w:t>
      </w:r>
      <w:r w:rsidRPr="00342B36">
        <w:rPr>
          <w:rFonts w:ascii="Arial" w:hAnsi="Arial" w:cs="Arial"/>
          <w:i/>
          <w:iCs/>
        </w:rPr>
        <w:t>Pachyrhizus Erosus"</w:t>
      </w:r>
      <w:r w:rsidRPr="00342B36">
        <w:rPr>
          <w:rFonts w:ascii="Arial" w:hAnsi="Arial" w:cs="Arial"/>
        </w:rPr>
        <w:t xml:space="preserve"> fortificado con vitamina C. Trabajo de pregrado. Orizaba, Veracruz.</w:t>
      </w:r>
    </w:p>
    <w:p w:rsidR="000D24A4" w:rsidRPr="00342B36" w:rsidRDefault="000D24A4" w:rsidP="000D24A4">
      <w:pPr>
        <w:numPr>
          <w:ilvl w:val="0"/>
          <w:numId w:val="39"/>
        </w:numPr>
        <w:tabs>
          <w:tab w:val="left" w:pos="750"/>
        </w:tabs>
        <w:suppressAutoHyphens/>
        <w:spacing w:after="0" w:line="240" w:lineRule="auto"/>
        <w:jc w:val="both"/>
        <w:rPr>
          <w:rFonts w:ascii="Arial" w:hAnsi="Arial" w:cs="Arial"/>
        </w:rPr>
      </w:pPr>
      <w:r w:rsidRPr="00342B36">
        <w:rPr>
          <w:rFonts w:ascii="Arial" w:hAnsi="Arial" w:cs="Arial"/>
        </w:rPr>
        <w:t>Badelt, M.</w:t>
      </w:r>
      <w:r>
        <w:rPr>
          <w:rFonts w:ascii="Arial" w:hAnsi="Arial" w:cs="Arial"/>
        </w:rPr>
        <w:t>,</w:t>
      </w:r>
      <w:r w:rsidRPr="00342B36">
        <w:rPr>
          <w:rFonts w:ascii="Arial" w:hAnsi="Arial" w:cs="Arial"/>
        </w:rPr>
        <w:t xml:space="preserve"> </w:t>
      </w:r>
      <w:r>
        <w:rPr>
          <w:rFonts w:ascii="Arial" w:hAnsi="Arial" w:cs="Arial"/>
        </w:rPr>
        <w:t>“</w:t>
      </w:r>
      <w:r w:rsidRPr="00342B36">
        <w:rPr>
          <w:rFonts w:ascii="Arial" w:hAnsi="Arial" w:cs="Arial"/>
        </w:rPr>
        <w:t>Formulación de un extracto multienzimatico para la obtención de azúcares fermentables a partir de celulosa comercial y bagazo de caña</w:t>
      </w:r>
      <w:r>
        <w:rPr>
          <w:rFonts w:ascii="Arial" w:hAnsi="Arial" w:cs="Arial"/>
        </w:rPr>
        <w:t>”</w:t>
      </w:r>
      <w:r w:rsidRPr="00342B36">
        <w:rPr>
          <w:rFonts w:ascii="Arial" w:hAnsi="Arial" w:cs="Arial"/>
        </w:rPr>
        <w:t>. (Tesis de pregrado). Universidad Veracruzana, Orizaba, Veracruz</w:t>
      </w:r>
      <w:r>
        <w:rPr>
          <w:rFonts w:ascii="Arial" w:hAnsi="Arial" w:cs="Arial"/>
        </w:rPr>
        <w:t>,</w:t>
      </w:r>
      <w:r w:rsidRPr="00342B36">
        <w:rPr>
          <w:rFonts w:ascii="Arial" w:hAnsi="Arial" w:cs="Arial"/>
        </w:rPr>
        <w:t xml:space="preserve"> 2019.</w:t>
      </w:r>
    </w:p>
    <w:p w:rsidR="000D24A4" w:rsidRPr="00342B36" w:rsidRDefault="000D24A4" w:rsidP="000D24A4">
      <w:pPr>
        <w:numPr>
          <w:ilvl w:val="0"/>
          <w:numId w:val="39"/>
        </w:numPr>
        <w:tabs>
          <w:tab w:val="left" w:pos="750"/>
        </w:tabs>
        <w:suppressAutoHyphens/>
        <w:spacing w:after="0" w:line="240" w:lineRule="auto"/>
        <w:jc w:val="both"/>
        <w:rPr>
          <w:rFonts w:ascii="Arial" w:hAnsi="Arial" w:cs="Arial"/>
        </w:rPr>
      </w:pPr>
      <w:r w:rsidRPr="00342B36">
        <w:rPr>
          <w:rFonts w:ascii="Arial" w:hAnsi="Arial" w:cs="Arial"/>
        </w:rPr>
        <w:t>3 Carapia, M.</w:t>
      </w:r>
      <w:r>
        <w:rPr>
          <w:rFonts w:ascii="Arial" w:hAnsi="Arial" w:cs="Arial"/>
        </w:rPr>
        <w:t>,</w:t>
      </w:r>
      <w:r w:rsidRPr="00342B36">
        <w:rPr>
          <w:rFonts w:ascii="Arial" w:hAnsi="Arial" w:cs="Arial"/>
        </w:rPr>
        <w:t xml:space="preserve"> Aprovechamiento del olote de maíz para la extracción alcalina de xilan y producción de xilanasas fúngicas. (Tesis de pregrado). Orizaba Ver</w:t>
      </w:r>
      <w:r>
        <w:rPr>
          <w:rFonts w:ascii="Arial" w:hAnsi="Arial" w:cs="Arial"/>
        </w:rPr>
        <w:t>acruz,</w:t>
      </w:r>
      <w:r w:rsidRPr="00342B36">
        <w:rPr>
          <w:rFonts w:ascii="Arial" w:hAnsi="Arial" w:cs="Arial"/>
        </w:rPr>
        <w:t xml:space="preserve"> 2018</w:t>
      </w:r>
      <w:r>
        <w:rPr>
          <w:rFonts w:ascii="Arial" w:hAnsi="Arial" w:cs="Arial"/>
        </w:rPr>
        <w:t xml:space="preserve">. </w:t>
      </w:r>
    </w:p>
    <w:p w:rsidR="000D24A4" w:rsidRPr="00EF1751" w:rsidRDefault="000D24A4" w:rsidP="000D24A4">
      <w:pPr>
        <w:tabs>
          <w:tab w:val="left" w:pos="750"/>
        </w:tabs>
        <w:ind w:left="750"/>
        <w:jc w:val="both"/>
        <w:rPr>
          <w:rFonts w:ascii="Arial" w:hAnsi="Arial" w:cs="Arial"/>
        </w:rPr>
      </w:pPr>
    </w:p>
    <w:p w:rsidR="00876D96" w:rsidRPr="00876D96" w:rsidRDefault="00876D96" w:rsidP="00876D96">
      <w:pPr>
        <w:pStyle w:val="1Titulo"/>
        <w:numPr>
          <w:ilvl w:val="0"/>
          <w:numId w:val="0"/>
        </w:numPr>
        <w:ind w:left="357"/>
        <w:jc w:val="center"/>
        <w:rPr>
          <w:sz w:val="28"/>
          <w:szCs w:val="28"/>
        </w:rPr>
      </w:pPr>
      <w:bookmarkStart w:id="244" w:name="_Toc50031317"/>
      <w:r w:rsidRPr="00876D96">
        <w:rPr>
          <w:sz w:val="28"/>
          <w:szCs w:val="28"/>
        </w:rPr>
        <w:t>Producción de ácido cítrico con Aspergillus niger a partir de mieles finales de la caña de azúcar</w:t>
      </w:r>
      <w:bookmarkEnd w:id="244"/>
    </w:p>
    <w:p w:rsidR="00876D96" w:rsidRPr="00D668A3" w:rsidRDefault="00876D96" w:rsidP="00876D96">
      <w:pPr>
        <w:jc w:val="center"/>
        <w:rPr>
          <w:rFonts w:ascii="Arial" w:hAnsi="Arial" w:cs="Arial"/>
          <w:sz w:val="20"/>
          <w:szCs w:val="20"/>
        </w:rPr>
      </w:pPr>
      <w:r w:rsidRPr="00B15A2C">
        <w:rPr>
          <w:rFonts w:ascii="Arial" w:hAnsi="Arial" w:cs="Arial"/>
          <w:sz w:val="20"/>
          <w:szCs w:val="20"/>
          <w:u w:val="single"/>
        </w:rPr>
        <w:t>Quintana D. Berenice</w:t>
      </w:r>
      <w:r w:rsidRPr="00D668A3">
        <w:rPr>
          <w:rFonts w:ascii="Arial" w:hAnsi="Arial" w:cs="Arial"/>
          <w:sz w:val="20"/>
          <w:szCs w:val="20"/>
          <w:vertAlign w:val="superscript"/>
        </w:rPr>
        <w:t xml:space="preserve"> 1</w:t>
      </w:r>
      <w:r>
        <w:rPr>
          <w:rFonts w:ascii="Arial" w:hAnsi="Arial" w:cs="Arial"/>
          <w:sz w:val="20"/>
          <w:szCs w:val="20"/>
        </w:rPr>
        <w:t>,</w:t>
      </w:r>
      <w:r w:rsidRPr="00734ADC">
        <w:rPr>
          <w:rFonts w:ascii="Arial" w:hAnsi="Arial" w:cs="Arial"/>
          <w:sz w:val="20"/>
          <w:szCs w:val="20"/>
        </w:rPr>
        <w:t xml:space="preserve"> </w:t>
      </w:r>
      <w:r>
        <w:rPr>
          <w:rFonts w:ascii="Arial" w:hAnsi="Arial" w:cs="Arial"/>
          <w:sz w:val="20"/>
          <w:szCs w:val="20"/>
        </w:rPr>
        <w:t>Rojas M. Jocelyn</w:t>
      </w:r>
      <w:r w:rsidRPr="00D668A3">
        <w:rPr>
          <w:rFonts w:ascii="Arial" w:hAnsi="Arial" w:cs="Arial"/>
          <w:sz w:val="20"/>
          <w:szCs w:val="20"/>
          <w:vertAlign w:val="superscript"/>
        </w:rPr>
        <w:t xml:space="preserve"> 2</w:t>
      </w:r>
      <w:r>
        <w:rPr>
          <w:rFonts w:ascii="Arial" w:hAnsi="Arial" w:cs="Arial"/>
          <w:sz w:val="20"/>
          <w:szCs w:val="20"/>
        </w:rPr>
        <w:t xml:space="preserve">, Contreras L. José </w:t>
      </w:r>
      <w:r w:rsidRPr="00D668A3">
        <w:rPr>
          <w:rFonts w:ascii="Arial" w:hAnsi="Arial" w:cs="Arial"/>
          <w:sz w:val="20"/>
          <w:szCs w:val="20"/>
          <w:vertAlign w:val="superscript"/>
        </w:rPr>
        <w:t xml:space="preserve"> </w:t>
      </w:r>
      <w:r>
        <w:rPr>
          <w:rFonts w:ascii="Arial" w:hAnsi="Arial" w:cs="Arial"/>
          <w:sz w:val="20"/>
          <w:szCs w:val="20"/>
        </w:rPr>
        <w:t>Luis</w:t>
      </w:r>
      <w:r w:rsidRPr="00D668A3">
        <w:rPr>
          <w:rFonts w:ascii="Arial" w:hAnsi="Arial" w:cs="Arial"/>
          <w:sz w:val="20"/>
          <w:szCs w:val="20"/>
          <w:vertAlign w:val="superscript"/>
        </w:rPr>
        <w:t>3</w:t>
      </w:r>
      <w:r>
        <w:rPr>
          <w:rFonts w:ascii="Arial" w:hAnsi="Arial" w:cs="Arial"/>
          <w:sz w:val="20"/>
          <w:szCs w:val="20"/>
        </w:rPr>
        <w:t>, Nuño L. Leticia</w:t>
      </w:r>
      <w:r w:rsidRPr="00D668A3">
        <w:rPr>
          <w:rFonts w:ascii="Arial" w:hAnsi="Arial" w:cs="Arial"/>
          <w:sz w:val="20"/>
          <w:szCs w:val="20"/>
          <w:vertAlign w:val="superscript"/>
        </w:rPr>
        <w:t>4</w:t>
      </w:r>
      <w:r>
        <w:rPr>
          <w:rFonts w:ascii="Arial" w:hAnsi="Arial" w:cs="Arial"/>
          <w:sz w:val="20"/>
          <w:szCs w:val="20"/>
        </w:rPr>
        <w:t>, Luna P. Ricardo</w:t>
      </w:r>
      <w:r w:rsidRPr="00D668A3">
        <w:rPr>
          <w:rFonts w:ascii="Arial" w:hAnsi="Arial" w:cs="Arial"/>
          <w:sz w:val="20"/>
          <w:szCs w:val="20"/>
          <w:vertAlign w:val="superscript"/>
        </w:rPr>
        <w:t>5</w:t>
      </w:r>
      <w:r w:rsidRPr="00D668A3">
        <w:rPr>
          <w:rFonts w:ascii="Arial" w:hAnsi="Arial" w:cs="Arial"/>
          <w:sz w:val="20"/>
          <w:szCs w:val="20"/>
        </w:rPr>
        <w:t>.</w:t>
      </w:r>
    </w:p>
    <w:p w:rsidR="00876D96" w:rsidRPr="00475B22" w:rsidRDefault="00876D96" w:rsidP="00876D96">
      <w:pPr>
        <w:spacing w:line="240" w:lineRule="auto"/>
        <w:jc w:val="center"/>
        <w:rPr>
          <w:rFonts w:ascii="Arial" w:hAnsi="Arial" w:cs="Arial"/>
          <w:sz w:val="20"/>
          <w:szCs w:val="20"/>
        </w:rPr>
      </w:pPr>
      <w:r w:rsidRPr="00D668A3">
        <w:rPr>
          <w:rFonts w:ascii="Arial" w:hAnsi="Arial" w:cs="Arial"/>
          <w:sz w:val="20"/>
          <w:szCs w:val="20"/>
          <w:vertAlign w:val="superscript"/>
        </w:rPr>
        <w:t>1</w:t>
      </w:r>
      <w:r w:rsidRPr="00475B22">
        <w:rPr>
          <w:rFonts w:ascii="Arial" w:hAnsi="Arial" w:cs="Arial"/>
          <w:sz w:val="20"/>
          <w:szCs w:val="20"/>
        </w:rPr>
        <w:t>Universidad Autónoma Metropolitana-Azcapotzalco, Av. San Pablo # 180, Reynosa Tamaulipas C.P. 02200, email</w:t>
      </w:r>
      <w:r>
        <w:rPr>
          <w:rFonts w:ascii="Arial" w:hAnsi="Arial" w:cs="Arial"/>
          <w:sz w:val="20"/>
          <w:szCs w:val="20"/>
        </w:rPr>
        <w:t xml:space="preserve"> </w:t>
      </w:r>
      <w:hyperlink r:id="rId986" w:history="1">
        <w:r w:rsidRPr="00254521">
          <w:rPr>
            <w:rStyle w:val="Hipervnculo"/>
            <w:rFonts w:ascii="Arial" w:hAnsi="Arial" w:cs="Arial"/>
            <w:sz w:val="20"/>
            <w:szCs w:val="20"/>
          </w:rPr>
          <w:t>mbqd@azc.uma.mx</w:t>
        </w:r>
      </w:hyperlink>
      <w:r>
        <w:rPr>
          <w:rFonts w:ascii="Arial" w:hAnsi="Arial" w:cs="Arial"/>
          <w:sz w:val="20"/>
          <w:szCs w:val="20"/>
        </w:rPr>
        <w:t>,</w:t>
      </w:r>
    </w:p>
    <w:p w:rsidR="00876D96" w:rsidRDefault="00876D96" w:rsidP="00876D96">
      <w:pPr>
        <w:spacing w:line="240" w:lineRule="auto"/>
        <w:jc w:val="center"/>
        <w:rPr>
          <w:rFonts w:ascii="Arial" w:hAnsi="Arial" w:cs="Arial"/>
          <w:sz w:val="20"/>
          <w:szCs w:val="20"/>
        </w:rPr>
      </w:pPr>
      <w:r w:rsidRPr="00475B22">
        <w:rPr>
          <w:rFonts w:ascii="Arial" w:hAnsi="Arial" w:cs="Arial"/>
          <w:sz w:val="20"/>
          <w:szCs w:val="20"/>
          <w:vertAlign w:val="superscript"/>
        </w:rPr>
        <w:t>2</w:t>
      </w:r>
      <w:r w:rsidRPr="00D668A3">
        <w:rPr>
          <w:rFonts w:ascii="Arial" w:hAnsi="Arial" w:cs="Arial"/>
          <w:sz w:val="20"/>
          <w:szCs w:val="20"/>
        </w:rPr>
        <w:t xml:space="preserve"> </w:t>
      </w:r>
      <w:r w:rsidRPr="00475B22">
        <w:rPr>
          <w:rFonts w:ascii="Arial" w:hAnsi="Arial" w:cs="Arial"/>
          <w:sz w:val="20"/>
          <w:szCs w:val="20"/>
        </w:rPr>
        <w:t xml:space="preserve">Universidad Autónoma Metropolitana-Azcapotzalco, Av. San Pablo # 180, Reynosa Tamaulipas C.P. 02200, email </w:t>
      </w:r>
      <w:r w:rsidRPr="00D668A3">
        <w:rPr>
          <w:rFonts w:ascii="Arial" w:hAnsi="Arial" w:cs="Arial"/>
          <w:color w:val="365F91" w:themeColor="accent1" w:themeShade="BF"/>
          <w:sz w:val="20"/>
          <w:szCs w:val="20"/>
          <w:u w:val="single"/>
        </w:rPr>
        <w:t>raventtgo@gmail.com</w:t>
      </w:r>
      <w:r w:rsidRPr="00475B22">
        <w:rPr>
          <w:rFonts w:ascii="Arial" w:hAnsi="Arial" w:cs="Arial"/>
          <w:sz w:val="20"/>
          <w:szCs w:val="20"/>
        </w:rPr>
        <w:t>,</w:t>
      </w:r>
    </w:p>
    <w:p w:rsidR="00876D96" w:rsidRDefault="00876D96" w:rsidP="00876D96">
      <w:pPr>
        <w:spacing w:line="240" w:lineRule="auto"/>
        <w:jc w:val="center"/>
        <w:rPr>
          <w:rFonts w:ascii="Arial" w:hAnsi="Arial" w:cs="Arial"/>
          <w:sz w:val="20"/>
          <w:szCs w:val="20"/>
        </w:rPr>
      </w:pPr>
      <w:r w:rsidRPr="00475B22">
        <w:rPr>
          <w:rFonts w:ascii="Arial" w:hAnsi="Arial" w:cs="Arial"/>
          <w:sz w:val="20"/>
          <w:szCs w:val="20"/>
          <w:vertAlign w:val="superscript"/>
        </w:rPr>
        <w:t>3</w:t>
      </w:r>
      <w:r w:rsidRPr="00475B22">
        <w:rPr>
          <w:rFonts w:ascii="Arial" w:hAnsi="Arial" w:cs="Arial"/>
          <w:sz w:val="20"/>
          <w:szCs w:val="20"/>
        </w:rPr>
        <w:t xml:space="preserve">Universidad Autónoma Metropolitana-Azcapotzalco, Av. San Pablo # 180, Reynosa Tamaulipas C.P. 02200, email </w:t>
      </w:r>
      <w:hyperlink r:id="rId987" w:history="1">
        <w:r w:rsidRPr="00254521">
          <w:rPr>
            <w:rStyle w:val="Hipervnculo"/>
            <w:rFonts w:ascii="Arial" w:hAnsi="Arial" w:cs="Arial"/>
            <w:sz w:val="20"/>
            <w:szCs w:val="20"/>
          </w:rPr>
          <w:t>jlcl@azc.uam.mx</w:t>
        </w:r>
      </w:hyperlink>
      <w:r>
        <w:rPr>
          <w:rFonts w:ascii="Arial" w:hAnsi="Arial" w:cs="Arial"/>
          <w:sz w:val="20"/>
          <w:szCs w:val="20"/>
        </w:rPr>
        <w:t>,</w:t>
      </w:r>
    </w:p>
    <w:p w:rsidR="00876D96" w:rsidRDefault="00876D96" w:rsidP="00876D96">
      <w:pPr>
        <w:spacing w:line="240" w:lineRule="auto"/>
        <w:jc w:val="center"/>
        <w:rPr>
          <w:rFonts w:ascii="Arial" w:hAnsi="Arial" w:cs="Arial"/>
          <w:sz w:val="20"/>
          <w:szCs w:val="20"/>
        </w:rPr>
      </w:pPr>
      <w:r w:rsidRPr="00475B22">
        <w:rPr>
          <w:rFonts w:ascii="Arial" w:hAnsi="Arial" w:cs="Arial"/>
          <w:sz w:val="20"/>
          <w:szCs w:val="20"/>
          <w:vertAlign w:val="superscript"/>
        </w:rPr>
        <w:t>4</w:t>
      </w:r>
      <w:r w:rsidRPr="00D668A3">
        <w:rPr>
          <w:rFonts w:ascii="Arial" w:hAnsi="Arial" w:cs="Arial"/>
          <w:sz w:val="20"/>
          <w:szCs w:val="20"/>
        </w:rPr>
        <w:t xml:space="preserve"> </w:t>
      </w:r>
      <w:r w:rsidRPr="00475B22">
        <w:rPr>
          <w:rFonts w:ascii="Arial" w:hAnsi="Arial" w:cs="Arial"/>
          <w:sz w:val="20"/>
          <w:szCs w:val="20"/>
        </w:rPr>
        <w:t xml:space="preserve">Universidad Autónoma Metropolitana-Azcapotzalco, Av. San Pablo # 180, Reynosa Tamaulipas C.P. 02200, email </w:t>
      </w:r>
      <w:hyperlink r:id="rId988" w:history="1">
        <w:r w:rsidRPr="00D635EA">
          <w:rPr>
            <w:rStyle w:val="Hipervnculo"/>
            <w:rFonts w:ascii="Arial" w:hAnsi="Arial" w:cs="Arial"/>
            <w:sz w:val="20"/>
            <w:szCs w:val="20"/>
          </w:rPr>
          <w:t>lnr@azc.uam.mx</w:t>
        </w:r>
      </w:hyperlink>
      <w:r>
        <w:rPr>
          <w:rFonts w:ascii="Arial" w:hAnsi="Arial" w:cs="Arial"/>
          <w:sz w:val="20"/>
          <w:szCs w:val="20"/>
        </w:rPr>
        <w:t>,</w:t>
      </w:r>
    </w:p>
    <w:p w:rsidR="00876D96" w:rsidRDefault="00876D96" w:rsidP="00876D96">
      <w:pPr>
        <w:spacing w:line="240" w:lineRule="auto"/>
        <w:jc w:val="center"/>
        <w:rPr>
          <w:rFonts w:ascii="Arial" w:hAnsi="Arial" w:cs="Arial"/>
          <w:sz w:val="20"/>
          <w:szCs w:val="20"/>
        </w:rPr>
      </w:pPr>
      <w:r>
        <w:rPr>
          <w:rFonts w:ascii="Arial" w:hAnsi="Arial" w:cs="Arial"/>
          <w:sz w:val="20"/>
          <w:szCs w:val="20"/>
          <w:vertAlign w:val="superscript"/>
        </w:rPr>
        <w:lastRenderedPageBreak/>
        <w:t>5</w:t>
      </w:r>
      <w:r w:rsidRPr="00475B22">
        <w:rPr>
          <w:rFonts w:ascii="Arial" w:hAnsi="Arial" w:cs="Arial"/>
          <w:sz w:val="20"/>
          <w:szCs w:val="20"/>
        </w:rPr>
        <w:t xml:space="preserve"> Universidad Autónoma Metropolitana-Azcapotzalco, Av. San Pablo # 180, Reynosa Tamaulipas C.P. 02200, email </w:t>
      </w:r>
      <w:hyperlink r:id="rId989" w:history="1">
        <w:r w:rsidRPr="00D635EA">
          <w:rPr>
            <w:rStyle w:val="Hipervnculo"/>
            <w:rFonts w:ascii="Arial" w:hAnsi="Arial" w:cs="Arial"/>
            <w:sz w:val="20"/>
            <w:szCs w:val="20"/>
          </w:rPr>
          <w:t>lpr@azc.uam.mx</w:t>
        </w:r>
      </w:hyperlink>
      <w:r>
        <w:rPr>
          <w:rFonts w:ascii="Arial" w:hAnsi="Arial" w:cs="Arial"/>
          <w:sz w:val="20"/>
          <w:szCs w:val="20"/>
        </w:rPr>
        <w:t>,</w:t>
      </w:r>
    </w:p>
    <w:p w:rsidR="00876D96" w:rsidRPr="00DC1DAD" w:rsidRDefault="00876D96" w:rsidP="00876D96">
      <w:pPr>
        <w:rPr>
          <w:rFonts w:ascii="Arial" w:hAnsi="Arial" w:cs="Arial"/>
          <w:sz w:val="24"/>
          <w:szCs w:val="24"/>
        </w:rPr>
      </w:pPr>
    </w:p>
    <w:p w:rsidR="00876D96" w:rsidRPr="00DD5139" w:rsidRDefault="00876D96" w:rsidP="00876D96">
      <w:pPr>
        <w:pStyle w:val="1Titulo"/>
        <w:numPr>
          <w:ilvl w:val="0"/>
          <w:numId w:val="0"/>
        </w:numPr>
        <w:ind w:left="357"/>
      </w:pPr>
      <w:bookmarkStart w:id="245" w:name="_Toc50031318"/>
      <w:r>
        <w:t xml:space="preserve">1.- </w:t>
      </w:r>
      <w:r w:rsidRPr="00DD5139">
        <w:t>Resumen</w:t>
      </w:r>
      <w:bookmarkEnd w:id="245"/>
    </w:p>
    <w:p w:rsidR="00876D96" w:rsidRDefault="00876D96" w:rsidP="00876D96">
      <w:pPr>
        <w:spacing w:line="240" w:lineRule="auto"/>
        <w:jc w:val="both"/>
        <w:rPr>
          <w:rFonts w:ascii="Arial" w:hAnsi="Arial" w:cs="Arial"/>
          <w:sz w:val="24"/>
          <w:szCs w:val="24"/>
        </w:rPr>
      </w:pPr>
      <w:r>
        <w:rPr>
          <w:rFonts w:ascii="Arial" w:hAnsi="Arial" w:cs="Arial"/>
          <w:sz w:val="24"/>
          <w:szCs w:val="24"/>
        </w:rPr>
        <w:t xml:space="preserve">Con la intención de aprovechar un subproducto de la industria azucarera mexicana, se examinan las mieles finales de la caña (melaza) como sustrato para la producción de ácido cítrico empleando </w:t>
      </w:r>
      <w:r>
        <w:rPr>
          <w:rFonts w:ascii="Arial" w:hAnsi="Arial" w:cs="Arial"/>
          <w:i/>
          <w:sz w:val="24"/>
          <w:szCs w:val="24"/>
        </w:rPr>
        <w:t>Aspergillus niger</w:t>
      </w:r>
      <w:r>
        <w:rPr>
          <w:rFonts w:ascii="Arial" w:hAnsi="Arial" w:cs="Arial"/>
          <w:sz w:val="24"/>
          <w:szCs w:val="24"/>
        </w:rPr>
        <w:t xml:space="preserve">. Para este sustrato se realizó una comparación con o sin tratamiento de hidrólisis ácida, para poder comparar la producción de ácido cítrico al proporcionarle al hongo una fuente de carbono más o menos fácil de asimilar. El sustrato también recibió un tratamiento con resina de intercambio catiónico, para la reducción y/o remoción de los elementos traza que influyen en el proceso de fermentación. El hongo </w:t>
      </w:r>
      <w:r>
        <w:rPr>
          <w:rFonts w:ascii="Arial" w:hAnsi="Arial" w:cs="Arial"/>
          <w:i/>
          <w:sz w:val="24"/>
          <w:szCs w:val="24"/>
        </w:rPr>
        <w:t>Aspergillus niger,</w:t>
      </w:r>
      <w:r>
        <w:rPr>
          <w:rFonts w:ascii="Arial" w:hAnsi="Arial" w:cs="Arial"/>
          <w:sz w:val="24"/>
          <w:szCs w:val="24"/>
        </w:rPr>
        <w:t xml:space="preserve"> fue seleccionado por su facilidad de manejo, su capacidad para fermentar una gran variedad de sustratos y su alto rendimiento. El proceso de fermentación se desarrolló en cultivo sumergido en un reactor agitado con rastreo de las variables en el tiempo.</w:t>
      </w:r>
    </w:p>
    <w:p w:rsidR="00876D96" w:rsidRDefault="00876D96" w:rsidP="00876D96">
      <w:pPr>
        <w:pStyle w:val="1Titulo"/>
        <w:numPr>
          <w:ilvl w:val="0"/>
          <w:numId w:val="0"/>
        </w:numPr>
        <w:ind w:left="357"/>
      </w:pPr>
      <w:bookmarkStart w:id="246" w:name="_Toc50031319"/>
      <w:r>
        <w:t>2.- Introducción.</w:t>
      </w:r>
      <w:bookmarkEnd w:id="246"/>
    </w:p>
    <w:p w:rsidR="00876D96" w:rsidRDefault="00876D96" w:rsidP="00876D96">
      <w:pPr>
        <w:spacing w:line="240" w:lineRule="auto"/>
        <w:jc w:val="both"/>
        <w:rPr>
          <w:rFonts w:ascii="Arial" w:hAnsi="Arial" w:cs="Arial"/>
          <w:sz w:val="24"/>
          <w:szCs w:val="24"/>
        </w:rPr>
      </w:pPr>
      <w:r>
        <w:rPr>
          <w:rFonts w:ascii="Arial" w:hAnsi="Arial" w:cs="Arial"/>
          <w:sz w:val="24"/>
          <w:szCs w:val="24"/>
        </w:rPr>
        <w:t>El ácido cítrico es un producto con una gran demanda mundial, debido a sus aplicaciones en la industria farmacéutica, alimentaria, cosmética, plásticos, detergentes y en la manufactura de tintas y colorantes. La producción industrial de ácido cítrico se realiza por fermentación a partir de microorganismos como levaduras, bacterias, hongos.</w:t>
      </w:r>
    </w:p>
    <w:p w:rsidR="00876D96" w:rsidRDefault="00876D96" w:rsidP="00876D96">
      <w:pPr>
        <w:spacing w:line="240" w:lineRule="auto"/>
        <w:jc w:val="both"/>
        <w:rPr>
          <w:rFonts w:ascii="Arial" w:hAnsi="Arial" w:cs="Arial"/>
          <w:sz w:val="24"/>
          <w:szCs w:val="24"/>
        </w:rPr>
      </w:pPr>
      <w:r>
        <w:rPr>
          <w:rFonts w:ascii="Arial" w:hAnsi="Arial" w:cs="Arial"/>
          <w:sz w:val="24"/>
          <w:szCs w:val="24"/>
        </w:rPr>
        <w:t xml:space="preserve">La producción de azúcar en México durante 2019 alcanzó los 6,425,000 toneladas, de las cuales se obtuvieron 2,030,000 de toneladas de melaza, el uso de este recurso es principalmente como alimento para ganado y se busca maximizar su aprovechamiento con la producción de ácido cítrico. </w:t>
      </w:r>
    </w:p>
    <w:p w:rsidR="00876D96" w:rsidRDefault="00876D96" w:rsidP="00876D96">
      <w:pPr>
        <w:spacing w:line="240" w:lineRule="auto"/>
        <w:jc w:val="both"/>
        <w:rPr>
          <w:rFonts w:ascii="Arial" w:hAnsi="Arial" w:cs="Arial"/>
          <w:sz w:val="24"/>
          <w:szCs w:val="24"/>
        </w:rPr>
      </w:pPr>
      <w:r>
        <w:rPr>
          <w:rFonts w:ascii="Arial" w:hAnsi="Arial" w:cs="Arial"/>
          <w:sz w:val="24"/>
          <w:szCs w:val="24"/>
        </w:rPr>
        <w:t xml:space="preserve">El contenido de azucares en la melaza es de 40-50% en forma de sacarosa, glucosa y fructosa. Se ha reportado que la sacarosa es la fuente de carbono más conveniente seguida de la glucosa, fructosa y lactosa </w:t>
      </w:r>
      <w:r>
        <w:rPr>
          <w:rFonts w:ascii="Arial" w:hAnsi="Arial" w:cs="Arial"/>
          <w:sz w:val="24"/>
          <w:szCs w:val="24"/>
          <w:vertAlign w:val="superscript"/>
        </w:rPr>
        <w:t>[1]</w:t>
      </w:r>
      <w:r>
        <w:rPr>
          <w:rFonts w:ascii="Arial" w:hAnsi="Arial" w:cs="Arial"/>
          <w:sz w:val="24"/>
          <w:szCs w:val="24"/>
        </w:rPr>
        <w:t xml:space="preserve">. El </w:t>
      </w:r>
      <w:r w:rsidRPr="00A4092A">
        <w:rPr>
          <w:rFonts w:ascii="Arial" w:hAnsi="Arial" w:cs="Arial"/>
          <w:i/>
          <w:sz w:val="24"/>
          <w:szCs w:val="24"/>
        </w:rPr>
        <w:t xml:space="preserve">Aspergillus niger </w:t>
      </w:r>
      <w:r>
        <w:rPr>
          <w:rFonts w:ascii="Arial" w:hAnsi="Arial" w:cs="Arial"/>
          <w:sz w:val="24"/>
          <w:szCs w:val="24"/>
        </w:rPr>
        <w:t xml:space="preserve">puede consumir rápidamente azucares simples como glucosa y fructosa, el microorganismo posee un enlace en el micelio que hidroliza la sacarosa en sus monómeros </w:t>
      </w:r>
      <w:r>
        <w:rPr>
          <w:rFonts w:ascii="Arial" w:hAnsi="Arial" w:cs="Arial"/>
          <w:sz w:val="24"/>
          <w:szCs w:val="24"/>
          <w:vertAlign w:val="superscript"/>
        </w:rPr>
        <w:t>[2]</w:t>
      </w:r>
      <w:r>
        <w:rPr>
          <w:rFonts w:ascii="Arial" w:hAnsi="Arial" w:cs="Arial"/>
          <w:sz w:val="24"/>
          <w:szCs w:val="24"/>
        </w:rPr>
        <w:t xml:space="preserve">. </w:t>
      </w:r>
    </w:p>
    <w:p w:rsidR="00876D96" w:rsidRDefault="00876D96" w:rsidP="00876D96">
      <w:pPr>
        <w:spacing w:line="240" w:lineRule="auto"/>
        <w:jc w:val="both"/>
        <w:rPr>
          <w:rFonts w:ascii="Arial" w:hAnsi="Arial" w:cs="Arial"/>
          <w:sz w:val="24"/>
          <w:szCs w:val="24"/>
        </w:rPr>
      </w:pPr>
      <w:r>
        <w:rPr>
          <w:rFonts w:ascii="Arial" w:hAnsi="Arial" w:cs="Arial"/>
          <w:sz w:val="24"/>
          <w:szCs w:val="24"/>
        </w:rPr>
        <w:t xml:space="preserve">En la producción de ácido cítrico por </w:t>
      </w:r>
      <w:r w:rsidRPr="000B6B0C">
        <w:rPr>
          <w:rFonts w:ascii="Arial" w:hAnsi="Arial" w:cs="Arial"/>
          <w:i/>
          <w:sz w:val="24"/>
          <w:szCs w:val="24"/>
        </w:rPr>
        <w:t>Aspergillus niger</w:t>
      </w:r>
      <w:r>
        <w:rPr>
          <w:rFonts w:ascii="Arial" w:hAnsi="Arial" w:cs="Arial"/>
          <w:i/>
          <w:sz w:val="24"/>
          <w:szCs w:val="24"/>
        </w:rPr>
        <w:t>,</w:t>
      </w:r>
      <w:r>
        <w:rPr>
          <w:rFonts w:ascii="Arial" w:hAnsi="Arial" w:cs="Arial"/>
          <w:sz w:val="24"/>
          <w:szCs w:val="24"/>
        </w:rPr>
        <w:t xml:space="preserve"> la temperatura, el pH, agitación,</w:t>
      </w:r>
      <w:r w:rsidRPr="000B6B0C">
        <w:rPr>
          <w:rFonts w:ascii="Arial" w:hAnsi="Arial" w:cs="Arial"/>
          <w:sz w:val="24"/>
          <w:szCs w:val="24"/>
        </w:rPr>
        <w:t xml:space="preserve"> </w:t>
      </w:r>
      <w:r>
        <w:rPr>
          <w:rFonts w:ascii="Arial" w:hAnsi="Arial" w:cs="Arial"/>
          <w:sz w:val="24"/>
          <w:szCs w:val="24"/>
        </w:rPr>
        <w:t xml:space="preserve">fuente de carbono y nitrógeno, iones metálicos, niveles de nutrientes, concentración de fosfato, son los principales factores que regulan la morfología del microorganismo y el proceso fermentativo </w:t>
      </w:r>
      <w:r>
        <w:rPr>
          <w:rFonts w:ascii="Arial" w:hAnsi="Arial" w:cs="Arial"/>
          <w:sz w:val="24"/>
          <w:szCs w:val="24"/>
          <w:vertAlign w:val="superscript"/>
        </w:rPr>
        <w:t>[2,3]</w:t>
      </w:r>
      <w:r>
        <w:rPr>
          <w:rFonts w:ascii="Arial" w:hAnsi="Arial" w:cs="Arial"/>
          <w:sz w:val="24"/>
          <w:szCs w:val="24"/>
        </w:rPr>
        <w:t xml:space="preserve">. </w:t>
      </w:r>
    </w:p>
    <w:p w:rsidR="00876D96" w:rsidRDefault="00876D96" w:rsidP="00876D96">
      <w:pPr>
        <w:pStyle w:val="1Titulo"/>
        <w:numPr>
          <w:ilvl w:val="0"/>
          <w:numId w:val="0"/>
        </w:numPr>
        <w:ind w:left="357"/>
      </w:pPr>
      <w:bookmarkStart w:id="247" w:name="_Toc50031320"/>
      <w:r>
        <w:t>3. Condiciones experimentales</w:t>
      </w:r>
      <w:bookmarkEnd w:id="247"/>
    </w:p>
    <w:p w:rsidR="00876D96" w:rsidRDefault="00876D96" w:rsidP="00876D96">
      <w:pPr>
        <w:spacing w:line="240" w:lineRule="auto"/>
        <w:jc w:val="both"/>
        <w:rPr>
          <w:rFonts w:ascii="Arial" w:hAnsi="Arial" w:cs="Arial"/>
          <w:sz w:val="24"/>
          <w:szCs w:val="24"/>
        </w:rPr>
      </w:pPr>
      <w:r>
        <w:rPr>
          <w:rFonts w:ascii="Arial" w:hAnsi="Arial" w:cs="Arial"/>
          <w:sz w:val="24"/>
          <w:szCs w:val="24"/>
        </w:rPr>
        <w:t xml:space="preserve">El hongo de Aspergillus niger fue adquirido del Centro de Investigación y de Estudios Avanzados del Instituto Politécnico Nacional con la clasificación CDBB623. Para la preservación de la cepa se empleó Agar de dextrosa y papa (PDA), en tubos de agar inclinado incubados a 28°C durante 6 días y posteriormente mantenidos en refrigeración a 4°C. </w:t>
      </w:r>
    </w:p>
    <w:p w:rsidR="00876D96" w:rsidRDefault="00876D96" w:rsidP="00876D96">
      <w:pPr>
        <w:spacing w:line="240" w:lineRule="auto"/>
        <w:jc w:val="both"/>
        <w:rPr>
          <w:rFonts w:ascii="Arial" w:hAnsi="Arial" w:cs="Arial"/>
          <w:sz w:val="24"/>
          <w:szCs w:val="24"/>
        </w:rPr>
      </w:pPr>
      <w:r>
        <w:rPr>
          <w:rFonts w:ascii="Arial" w:hAnsi="Arial" w:cs="Arial"/>
          <w:sz w:val="24"/>
          <w:szCs w:val="24"/>
        </w:rPr>
        <w:lastRenderedPageBreak/>
        <w:t>La melaza como subproducto de la industria azucarera es una fuente de carbono, cuya composición es: 23.4% o menos de agua, 53.5% o más de azúcares y 23.1% o menos de no azucares. Los azucares están compuestos de (60% - 63%)en peso sacarosa, (6% - 9%en peso) glucosa y (5% - 10% en peso) fructosa y los no azúcares están compuestos por 33% de sustancias inorgánicas (Fe</w:t>
      </w:r>
      <w:r>
        <w:rPr>
          <w:rFonts w:ascii="Arial" w:hAnsi="Arial" w:cs="Arial"/>
          <w:sz w:val="24"/>
          <w:szCs w:val="24"/>
          <w:vertAlign w:val="superscript"/>
        </w:rPr>
        <w:t>3+</w:t>
      </w:r>
      <w:r>
        <w:rPr>
          <w:rFonts w:ascii="Arial" w:hAnsi="Arial" w:cs="Arial"/>
          <w:sz w:val="24"/>
          <w:szCs w:val="24"/>
        </w:rPr>
        <w:t>, K</w:t>
      </w:r>
      <w:r>
        <w:rPr>
          <w:rFonts w:ascii="Arial" w:hAnsi="Arial" w:cs="Arial"/>
          <w:sz w:val="24"/>
          <w:szCs w:val="24"/>
          <w:vertAlign w:val="superscript"/>
        </w:rPr>
        <w:t>+</w:t>
      </w:r>
      <w:r>
        <w:rPr>
          <w:rFonts w:ascii="Arial" w:hAnsi="Arial" w:cs="Arial"/>
          <w:sz w:val="24"/>
          <w:szCs w:val="24"/>
        </w:rPr>
        <w:t>, Na</w:t>
      </w:r>
      <w:r>
        <w:rPr>
          <w:rFonts w:ascii="Arial" w:hAnsi="Arial" w:cs="Arial"/>
          <w:sz w:val="24"/>
          <w:szCs w:val="24"/>
          <w:vertAlign w:val="superscript"/>
        </w:rPr>
        <w:t>+</w:t>
      </w:r>
      <w:r>
        <w:rPr>
          <w:rFonts w:ascii="Arial" w:hAnsi="Arial" w:cs="Arial"/>
          <w:sz w:val="24"/>
          <w:szCs w:val="24"/>
        </w:rPr>
        <w:t>, Ca</w:t>
      </w:r>
      <w:r>
        <w:rPr>
          <w:rFonts w:ascii="Arial" w:hAnsi="Arial" w:cs="Arial"/>
          <w:sz w:val="24"/>
          <w:szCs w:val="24"/>
          <w:vertAlign w:val="superscript"/>
        </w:rPr>
        <w:t>2+</w:t>
      </w:r>
      <w:r>
        <w:rPr>
          <w:rFonts w:ascii="Arial" w:hAnsi="Arial" w:cs="Arial"/>
          <w:sz w:val="24"/>
          <w:szCs w:val="24"/>
        </w:rPr>
        <w:t>, Mg</w:t>
      </w:r>
      <w:r>
        <w:rPr>
          <w:rFonts w:ascii="Arial" w:hAnsi="Arial" w:cs="Arial"/>
          <w:sz w:val="24"/>
          <w:szCs w:val="24"/>
          <w:vertAlign w:val="superscript"/>
        </w:rPr>
        <w:t>2+</w:t>
      </w:r>
      <w:r>
        <w:rPr>
          <w:rFonts w:ascii="Arial" w:hAnsi="Arial" w:cs="Arial"/>
          <w:sz w:val="24"/>
          <w:szCs w:val="24"/>
        </w:rPr>
        <w:t>, Zn</w:t>
      </w:r>
      <w:r>
        <w:rPr>
          <w:rFonts w:ascii="Arial" w:hAnsi="Arial" w:cs="Arial"/>
          <w:sz w:val="24"/>
          <w:szCs w:val="24"/>
          <w:vertAlign w:val="superscript"/>
        </w:rPr>
        <w:t>2+</w:t>
      </w:r>
      <w:r>
        <w:rPr>
          <w:rFonts w:ascii="Arial" w:hAnsi="Arial" w:cs="Arial"/>
          <w:sz w:val="24"/>
          <w:szCs w:val="24"/>
        </w:rPr>
        <w:t>, As</w:t>
      </w:r>
      <w:r>
        <w:rPr>
          <w:rFonts w:ascii="Arial" w:hAnsi="Arial" w:cs="Arial"/>
          <w:sz w:val="24"/>
          <w:szCs w:val="24"/>
          <w:vertAlign w:val="superscript"/>
        </w:rPr>
        <w:t>3+</w:t>
      </w:r>
      <w:r>
        <w:rPr>
          <w:rFonts w:ascii="Arial" w:hAnsi="Arial" w:cs="Arial"/>
          <w:sz w:val="24"/>
          <w:szCs w:val="24"/>
        </w:rPr>
        <w:t>, Cd</w:t>
      </w:r>
      <w:r>
        <w:rPr>
          <w:rFonts w:ascii="Arial" w:hAnsi="Arial" w:cs="Arial"/>
          <w:sz w:val="24"/>
          <w:szCs w:val="24"/>
          <w:vertAlign w:val="superscript"/>
        </w:rPr>
        <w:t>2+</w:t>
      </w:r>
      <w:r>
        <w:rPr>
          <w:rFonts w:ascii="Arial" w:hAnsi="Arial" w:cs="Arial"/>
          <w:sz w:val="24"/>
          <w:szCs w:val="24"/>
        </w:rPr>
        <w:t>, Hg</w:t>
      </w:r>
      <w:r>
        <w:rPr>
          <w:rFonts w:ascii="Arial" w:hAnsi="Arial" w:cs="Arial"/>
          <w:sz w:val="24"/>
          <w:szCs w:val="24"/>
          <w:vertAlign w:val="superscript"/>
        </w:rPr>
        <w:t>+</w:t>
      </w:r>
      <w:r>
        <w:rPr>
          <w:rFonts w:ascii="Arial" w:hAnsi="Arial" w:cs="Arial"/>
          <w:sz w:val="24"/>
          <w:szCs w:val="24"/>
        </w:rPr>
        <w:t>, Pb</w:t>
      </w:r>
      <w:r>
        <w:rPr>
          <w:rFonts w:ascii="Arial" w:hAnsi="Arial" w:cs="Arial"/>
          <w:sz w:val="24"/>
          <w:szCs w:val="24"/>
          <w:vertAlign w:val="superscript"/>
        </w:rPr>
        <w:t>+</w:t>
      </w:r>
      <w:r>
        <w:rPr>
          <w:rFonts w:ascii="Arial" w:hAnsi="Arial" w:cs="Arial"/>
          <w:sz w:val="24"/>
          <w:szCs w:val="24"/>
        </w:rPr>
        <w:t xml:space="preserve"> y Cl</w:t>
      </w:r>
      <w:r>
        <w:rPr>
          <w:rFonts w:ascii="Arial" w:hAnsi="Arial" w:cs="Arial"/>
          <w:sz w:val="24"/>
          <w:szCs w:val="24"/>
          <w:vertAlign w:val="superscript"/>
        </w:rPr>
        <w:t>-</w:t>
      </w:r>
      <w:r>
        <w:rPr>
          <w:rFonts w:ascii="Arial" w:hAnsi="Arial" w:cs="Arial"/>
          <w:sz w:val="24"/>
          <w:szCs w:val="24"/>
        </w:rPr>
        <w:t>, NO</w:t>
      </w:r>
      <w:r>
        <w:rPr>
          <w:rFonts w:ascii="Arial" w:hAnsi="Arial" w:cs="Arial"/>
          <w:sz w:val="24"/>
          <w:szCs w:val="24"/>
          <w:vertAlign w:val="subscript"/>
        </w:rPr>
        <w:t>3</w:t>
      </w:r>
      <w:r>
        <w:rPr>
          <w:rFonts w:ascii="Arial" w:hAnsi="Arial" w:cs="Arial"/>
          <w:sz w:val="24"/>
          <w:szCs w:val="24"/>
          <w:vertAlign w:val="superscript"/>
        </w:rPr>
        <w:t>-</w:t>
      </w:r>
      <w:r>
        <w:rPr>
          <w:rFonts w:ascii="Arial" w:hAnsi="Arial" w:cs="Arial"/>
          <w:sz w:val="24"/>
          <w:szCs w:val="24"/>
        </w:rPr>
        <w:t>, SO</w:t>
      </w:r>
      <w:r>
        <w:rPr>
          <w:rFonts w:ascii="Arial" w:hAnsi="Arial" w:cs="Arial"/>
          <w:sz w:val="24"/>
          <w:szCs w:val="24"/>
          <w:vertAlign w:val="subscript"/>
        </w:rPr>
        <w:t>2</w:t>
      </w:r>
      <w:r>
        <w:rPr>
          <w:rFonts w:ascii="Arial" w:hAnsi="Arial" w:cs="Arial"/>
          <w:sz w:val="24"/>
          <w:szCs w:val="24"/>
          <w:vertAlign w:val="superscript"/>
        </w:rPr>
        <w:t>-</w:t>
      </w:r>
      <w:r>
        <w:rPr>
          <w:rFonts w:ascii="Arial" w:hAnsi="Arial" w:cs="Arial"/>
          <w:sz w:val="24"/>
          <w:szCs w:val="24"/>
        </w:rPr>
        <w:t>), 42% corresponde a sustancias nitrogenadas (aminoácidos, péptidos, colorantes) y el 25% de sustancias orgánicas libres de nitrógeno (ácidos carboxílicos, alcoholes, fenoles, ésteres, vitaminas, gomas y dextranos)</w:t>
      </w:r>
      <w:r>
        <w:rPr>
          <w:rFonts w:ascii="Arial" w:hAnsi="Arial" w:cs="Arial"/>
          <w:sz w:val="24"/>
          <w:szCs w:val="24"/>
          <w:vertAlign w:val="superscript"/>
        </w:rPr>
        <w:t>[4]</w:t>
      </w:r>
      <w:r>
        <w:rPr>
          <w:rFonts w:ascii="Arial" w:hAnsi="Arial" w:cs="Arial"/>
          <w:sz w:val="24"/>
          <w:szCs w:val="24"/>
        </w:rPr>
        <w:t xml:space="preserve">. </w:t>
      </w:r>
    </w:p>
    <w:p w:rsidR="00876D96" w:rsidRDefault="00876D96" w:rsidP="00876D96">
      <w:pPr>
        <w:spacing w:line="240" w:lineRule="auto"/>
        <w:jc w:val="both"/>
        <w:rPr>
          <w:rFonts w:ascii="Arial" w:hAnsi="Arial" w:cs="Arial"/>
          <w:sz w:val="24"/>
          <w:szCs w:val="24"/>
        </w:rPr>
      </w:pPr>
      <w:r>
        <w:rPr>
          <w:rFonts w:ascii="Arial" w:hAnsi="Arial" w:cs="Arial"/>
          <w:sz w:val="24"/>
          <w:szCs w:val="24"/>
        </w:rPr>
        <w:t xml:space="preserve">La melaza es rica en compuestos que contienen nitrógeno y raramente se tienen que sustituir con alguna otra fuente del mismo </w:t>
      </w:r>
      <w:r>
        <w:rPr>
          <w:rFonts w:ascii="Arial" w:hAnsi="Arial" w:cs="Arial"/>
          <w:sz w:val="24"/>
          <w:szCs w:val="24"/>
          <w:vertAlign w:val="superscript"/>
        </w:rPr>
        <w:t>[7]</w:t>
      </w:r>
      <w:r>
        <w:rPr>
          <w:rFonts w:ascii="Arial" w:hAnsi="Arial" w:cs="Arial"/>
          <w:sz w:val="24"/>
          <w:szCs w:val="24"/>
        </w:rPr>
        <w:t xml:space="preserve">. La concentración de fósforo requerida por el hongo para una máxima producción de ácido cítrico es 0.5 a 5 g/l </w:t>
      </w:r>
      <w:r>
        <w:rPr>
          <w:rFonts w:ascii="Arial" w:hAnsi="Arial" w:cs="Arial"/>
          <w:sz w:val="24"/>
          <w:szCs w:val="24"/>
          <w:vertAlign w:val="superscript"/>
        </w:rPr>
        <w:t>[6]</w:t>
      </w:r>
      <w:r>
        <w:rPr>
          <w:rFonts w:ascii="Arial" w:hAnsi="Arial" w:cs="Arial"/>
          <w:sz w:val="24"/>
          <w:szCs w:val="24"/>
        </w:rPr>
        <w:t xml:space="preserve">. </w:t>
      </w:r>
    </w:p>
    <w:p w:rsidR="00876D96" w:rsidRDefault="00876D96" w:rsidP="00876D96">
      <w:pPr>
        <w:spacing w:line="240" w:lineRule="auto"/>
        <w:jc w:val="both"/>
        <w:rPr>
          <w:rFonts w:ascii="Arial" w:hAnsi="Arial" w:cs="Arial"/>
          <w:sz w:val="24"/>
          <w:szCs w:val="24"/>
        </w:rPr>
      </w:pPr>
      <w:r>
        <w:rPr>
          <w:rFonts w:ascii="Arial" w:hAnsi="Arial" w:cs="Arial"/>
          <w:sz w:val="24"/>
          <w:szCs w:val="24"/>
        </w:rPr>
        <w:t>Pretratamiento de la melaza. La hidrólisis ácida se llevó a cabo para incrementar la disponibilidad de la melaza y elevar la producción de ácido cítrico,</w:t>
      </w:r>
      <w:r w:rsidRPr="00241C07">
        <w:rPr>
          <w:rFonts w:ascii="Arial" w:hAnsi="Arial" w:cs="Arial"/>
          <w:sz w:val="24"/>
          <w:szCs w:val="24"/>
        </w:rPr>
        <w:t xml:space="preserve"> </w:t>
      </w:r>
      <w:r>
        <w:rPr>
          <w:rFonts w:ascii="Arial" w:hAnsi="Arial" w:cs="Arial"/>
          <w:sz w:val="24"/>
          <w:szCs w:val="24"/>
        </w:rPr>
        <w:t xml:space="preserve">se utilizó el procedimiento propuesto por Sikandier </w:t>
      </w:r>
      <w:r>
        <w:rPr>
          <w:rFonts w:ascii="Arial" w:hAnsi="Arial" w:cs="Arial"/>
          <w:sz w:val="24"/>
          <w:szCs w:val="24"/>
          <w:vertAlign w:val="superscript"/>
        </w:rPr>
        <w:t>[7</w:t>
      </w:r>
      <w:r w:rsidRPr="00FA2050">
        <w:rPr>
          <w:rFonts w:ascii="Arial" w:hAnsi="Arial" w:cs="Arial"/>
          <w:sz w:val="24"/>
          <w:szCs w:val="24"/>
          <w:vertAlign w:val="superscript"/>
        </w:rPr>
        <w:t>]</w:t>
      </w:r>
      <w:r>
        <w:rPr>
          <w:rFonts w:ascii="Arial" w:hAnsi="Arial" w:cs="Arial"/>
          <w:sz w:val="24"/>
          <w:szCs w:val="24"/>
        </w:rPr>
        <w:t>, el cual consiste en diluir al 25% el nivel de azúcar de la melaza, agregando 35 ml de H</w:t>
      </w:r>
      <w:r>
        <w:rPr>
          <w:rFonts w:ascii="Arial" w:hAnsi="Arial" w:cs="Arial"/>
          <w:sz w:val="24"/>
          <w:szCs w:val="24"/>
          <w:vertAlign w:val="subscript"/>
        </w:rPr>
        <w:t>2</w:t>
      </w:r>
      <w:r>
        <w:rPr>
          <w:rFonts w:ascii="Arial" w:hAnsi="Arial" w:cs="Arial"/>
          <w:sz w:val="24"/>
          <w:szCs w:val="24"/>
        </w:rPr>
        <w:t>SO</w:t>
      </w:r>
      <w:r>
        <w:rPr>
          <w:rFonts w:ascii="Arial" w:hAnsi="Arial" w:cs="Arial"/>
          <w:sz w:val="24"/>
          <w:szCs w:val="24"/>
          <w:vertAlign w:val="subscript"/>
        </w:rPr>
        <w:t>4</w:t>
      </w:r>
      <w:r>
        <w:rPr>
          <w:rFonts w:ascii="Arial" w:hAnsi="Arial" w:cs="Arial"/>
          <w:sz w:val="24"/>
          <w:szCs w:val="24"/>
        </w:rPr>
        <w:t xml:space="preserve"> 1N por cada litro de solución y hervir durante media hora, dejar enfriar y neutralizar la solución con CaO, dejar reposar durante 12 horas para que se lleve a cabo la clarificación. Finalmente diluir al 15% el sobrenadante líquido.</w:t>
      </w:r>
    </w:p>
    <w:p w:rsidR="00876D96" w:rsidRDefault="00876D96" w:rsidP="00876D96">
      <w:pPr>
        <w:spacing w:line="240" w:lineRule="auto"/>
        <w:jc w:val="both"/>
        <w:rPr>
          <w:rFonts w:ascii="Arial" w:hAnsi="Arial" w:cs="Arial"/>
          <w:sz w:val="24"/>
          <w:szCs w:val="24"/>
        </w:rPr>
      </w:pPr>
      <w:r>
        <w:rPr>
          <w:rFonts w:ascii="Arial" w:hAnsi="Arial" w:cs="Arial"/>
          <w:sz w:val="24"/>
          <w:szCs w:val="24"/>
        </w:rPr>
        <w:t xml:space="preserve">Con la finalidad de remover los iones de metales pesados, se agregó una cantidad de resina al sustrato manteniéndolo agitado por 30 minutos para después filtrar. No todos los iones deberán ser removidos durante este proceso puesto que algunos de ellos, son necesarios para el crecimiento del micelio de Aspergillus niger </w:t>
      </w:r>
      <w:r>
        <w:rPr>
          <w:rFonts w:ascii="Arial" w:hAnsi="Arial" w:cs="Arial"/>
          <w:sz w:val="24"/>
          <w:szCs w:val="24"/>
          <w:vertAlign w:val="superscript"/>
        </w:rPr>
        <w:t>[8]</w:t>
      </w:r>
      <w:r>
        <w:rPr>
          <w:rFonts w:ascii="Arial" w:hAnsi="Arial" w:cs="Arial"/>
          <w:sz w:val="24"/>
          <w:szCs w:val="24"/>
        </w:rPr>
        <w:t xml:space="preserve">. </w:t>
      </w:r>
    </w:p>
    <w:p w:rsidR="00876D96" w:rsidRDefault="00876D96" w:rsidP="00876D96">
      <w:pPr>
        <w:spacing w:line="240" w:lineRule="auto"/>
        <w:jc w:val="both"/>
        <w:rPr>
          <w:rFonts w:ascii="Arial" w:hAnsi="Arial" w:cs="Arial"/>
          <w:sz w:val="24"/>
          <w:szCs w:val="24"/>
        </w:rPr>
      </w:pPr>
      <w:r>
        <w:rPr>
          <w:rFonts w:ascii="Arial" w:hAnsi="Arial" w:cs="Arial"/>
          <w:sz w:val="24"/>
          <w:szCs w:val="24"/>
        </w:rPr>
        <w:t>La concentración inicial de melaza utilizada para cada sustrato fue de 150g por litro de solución, a excepción de los sustratos hidrolizados donde la concentración fue de 37.5 g por litro de solución (Tabla 1).</w:t>
      </w:r>
    </w:p>
    <w:p w:rsidR="00876D96" w:rsidRDefault="00876D96" w:rsidP="00876D96">
      <w:pPr>
        <w:spacing w:line="240" w:lineRule="auto"/>
        <w:jc w:val="both"/>
        <w:rPr>
          <w:rFonts w:ascii="Arial" w:hAnsi="Arial" w:cs="Arial"/>
          <w:sz w:val="24"/>
          <w:szCs w:val="24"/>
        </w:rPr>
      </w:pPr>
    </w:p>
    <w:p w:rsidR="00876D96" w:rsidRPr="00F91EC4" w:rsidRDefault="00876D96" w:rsidP="00876D96">
      <w:pPr>
        <w:spacing w:line="240" w:lineRule="auto"/>
        <w:jc w:val="center"/>
        <w:rPr>
          <w:rFonts w:ascii="Arial" w:hAnsi="Arial" w:cs="Arial"/>
          <w:i/>
          <w:sz w:val="20"/>
          <w:szCs w:val="20"/>
        </w:rPr>
      </w:pPr>
      <w:r>
        <w:rPr>
          <w:rFonts w:ascii="Arial" w:hAnsi="Arial" w:cs="Arial"/>
          <w:i/>
          <w:sz w:val="20"/>
          <w:szCs w:val="20"/>
        </w:rPr>
        <w:t>Tabla 1. Condiciones de experimentación utilizadas en la fermentación.</w:t>
      </w:r>
    </w:p>
    <w:tbl>
      <w:tblPr>
        <w:tblStyle w:val="Tablaconcuadrcula"/>
        <w:tblW w:w="0" w:type="auto"/>
        <w:jc w:val="center"/>
        <w:tblLook w:val="04A0" w:firstRow="1" w:lastRow="0" w:firstColumn="1" w:lastColumn="0" w:noHBand="0" w:noVBand="1"/>
      </w:tblPr>
      <w:tblGrid>
        <w:gridCol w:w="3138"/>
        <w:gridCol w:w="1070"/>
        <w:gridCol w:w="1070"/>
        <w:gridCol w:w="1070"/>
        <w:gridCol w:w="1070"/>
      </w:tblGrid>
      <w:tr w:rsidR="00876D96" w:rsidTr="007F2707">
        <w:trPr>
          <w:jc w:val="center"/>
        </w:trPr>
        <w:tc>
          <w:tcPr>
            <w:tcW w:w="0" w:type="auto"/>
          </w:tcPr>
          <w:p w:rsidR="00876D96" w:rsidRDefault="00876D96" w:rsidP="007F2707">
            <w:pPr>
              <w:jc w:val="both"/>
              <w:rPr>
                <w:rFonts w:ascii="Arial" w:hAnsi="Arial" w:cs="Arial"/>
                <w:sz w:val="24"/>
                <w:szCs w:val="24"/>
              </w:rPr>
            </w:pPr>
            <w:r>
              <w:rPr>
                <w:rFonts w:ascii="Arial" w:hAnsi="Arial" w:cs="Arial"/>
                <w:sz w:val="24"/>
                <w:szCs w:val="24"/>
              </w:rPr>
              <w:t>Experimentación</w:t>
            </w:r>
          </w:p>
        </w:tc>
        <w:tc>
          <w:tcPr>
            <w:tcW w:w="0" w:type="auto"/>
          </w:tcPr>
          <w:p w:rsidR="00876D96" w:rsidRDefault="00876D96" w:rsidP="007F2707">
            <w:pPr>
              <w:jc w:val="both"/>
              <w:rPr>
                <w:rFonts w:ascii="Arial" w:hAnsi="Arial" w:cs="Arial"/>
                <w:sz w:val="24"/>
                <w:szCs w:val="24"/>
              </w:rPr>
            </w:pPr>
            <w:r>
              <w:rPr>
                <w:rFonts w:ascii="Arial" w:hAnsi="Arial" w:cs="Arial"/>
                <w:sz w:val="24"/>
                <w:szCs w:val="24"/>
              </w:rPr>
              <w:t>Medio 1</w:t>
            </w:r>
          </w:p>
        </w:tc>
        <w:tc>
          <w:tcPr>
            <w:tcW w:w="0" w:type="auto"/>
          </w:tcPr>
          <w:p w:rsidR="00876D96" w:rsidRDefault="00876D96" w:rsidP="007F2707">
            <w:pPr>
              <w:jc w:val="both"/>
              <w:rPr>
                <w:rFonts w:ascii="Arial" w:hAnsi="Arial" w:cs="Arial"/>
                <w:sz w:val="24"/>
                <w:szCs w:val="24"/>
              </w:rPr>
            </w:pPr>
            <w:r>
              <w:rPr>
                <w:rFonts w:ascii="Arial" w:hAnsi="Arial" w:cs="Arial"/>
                <w:sz w:val="24"/>
                <w:szCs w:val="24"/>
              </w:rPr>
              <w:t>Medio 2</w:t>
            </w:r>
          </w:p>
        </w:tc>
        <w:tc>
          <w:tcPr>
            <w:tcW w:w="0" w:type="auto"/>
          </w:tcPr>
          <w:p w:rsidR="00876D96" w:rsidRDefault="00876D96" w:rsidP="007F2707">
            <w:pPr>
              <w:jc w:val="both"/>
              <w:rPr>
                <w:rFonts w:ascii="Arial" w:hAnsi="Arial" w:cs="Arial"/>
                <w:sz w:val="24"/>
                <w:szCs w:val="24"/>
              </w:rPr>
            </w:pPr>
            <w:r>
              <w:rPr>
                <w:rFonts w:ascii="Arial" w:hAnsi="Arial" w:cs="Arial"/>
                <w:sz w:val="24"/>
                <w:szCs w:val="24"/>
              </w:rPr>
              <w:t>Medio 3</w:t>
            </w:r>
          </w:p>
        </w:tc>
        <w:tc>
          <w:tcPr>
            <w:tcW w:w="0" w:type="auto"/>
          </w:tcPr>
          <w:p w:rsidR="00876D96" w:rsidRDefault="00876D96" w:rsidP="007F2707">
            <w:pPr>
              <w:jc w:val="both"/>
              <w:rPr>
                <w:rFonts w:ascii="Arial" w:hAnsi="Arial" w:cs="Arial"/>
                <w:sz w:val="24"/>
                <w:szCs w:val="24"/>
              </w:rPr>
            </w:pPr>
            <w:r>
              <w:rPr>
                <w:rFonts w:ascii="Arial" w:hAnsi="Arial" w:cs="Arial"/>
                <w:sz w:val="24"/>
                <w:szCs w:val="24"/>
              </w:rPr>
              <w:t>Medio 4</w:t>
            </w:r>
          </w:p>
        </w:tc>
      </w:tr>
      <w:tr w:rsidR="00876D96" w:rsidTr="007F2707">
        <w:trPr>
          <w:jc w:val="center"/>
        </w:trPr>
        <w:tc>
          <w:tcPr>
            <w:tcW w:w="0" w:type="auto"/>
          </w:tcPr>
          <w:p w:rsidR="00876D96" w:rsidRDefault="00876D96" w:rsidP="007F2707">
            <w:pPr>
              <w:jc w:val="both"/>
              <w:rPr>
                <w:rFonts w:ascii="Arial" w:hAnsi="Arial" w:cs="Arial"/>
                <w:sz w:val="24"/>
                <w:szCs w:val="24"/>
              </w:rPr>
            </w:pPr>
            <w:r>
              <w:rPr>
                <w:rFonts w:ascii="Arial" w:hAnsi="Arial" w:cs="Arial"/>
                <w:sz w:val="24"/>
                <w:szCs w:val="24"/>
              </w:rPr>
              <w:t>Fuente de carbono (g/l)</w:t>
            </w:r>
          </w:p>
        </w:tc>
        <w:tc>
          <w:tcPr>
            <w:tcW w:w="0" w:type="auto"/>
          </w:tcPr>
          <w:p w:rsidR="00876D96" w:rsidRDefault="00876D96" w:rsidP="007F2707">
            <w:pPr>
              <w:jc w:val="center"/>
              <w:rPr>
                <w:rFonts w:ascii="Arial" w:hAnsi="Arial" w:cs="Arial"/>
                <w:sz w:val="24"/>
                <w:szCs w:val="24"/>
              </w:rPr>
            </w:pPr>
            <w:r>
              <w:rPr>
                <w:rFonts w:ascii="Arial" w:hAnsi="Arial" w:cs="Arial"/>
                <w:sz w:val="24"/>
                <w:szCs w:val="24"/>
              </w:rPr>
              <w:t>37.5</w:t>
            </w:r>
          </w:p>
        </w:tc>
        <w:tc>
          <w:tcPr>
            <w:tcW w:w="0" w:type="auto"/>
          </w:tcPr>
          <w:p w:rsidR="00876D96" w:rsidRDefault="00876D96" w:rsidP="007F2707">
            <w:pPr>
              <w:jc w:val="center"/>
              <w:rPr>
                <w:rFonts w:ascii="Arial" w:hAnsi="Arial" w:cs="Arial"/>
                <w:sz w:val="24"/>
                <w:szCs w:val="24"/>
              </w:rPr>
            </w:pPr>
            <w:r>
              <w:rPr>
                <w:rFonts w:ascii="Arial" w:hAnsi="Arial" w:cs="Arial"/>
                <w:sz w:val="24"/>
                <w:szCs w:val="24"/>
              </w:rPr>
              <w:t>37.5</w:t>
            </w:r>
          </w:p>
        </w:tc>
        <w:tc>
          <w:tcPr>
            <w:tcW w:w="0" w:type="auto"/>
          </w:tcPr>
          <w:p w:rsidR="00876D96" w:rsidRDefault="00876D96" w:rsidP="007F2707">
            <w:pPr>
              <w:jc w:val="center"/>
              <w:rPr>
                <w:rFonts w:ascii="Arial" w:hAnsi="Arial" w:cs="Arial"/>
                <w:sz w:val="24"/>
                <w:szCs w:val="24"/>
              </w:rPr>
            </w:pPr>
            <w:r>
              <w:rPr>
                <w:rFonts w:ascii="Arial" w:hAnsi="Arial" w:cs="Arial"/>
                <w:sz w:val="24"/>
                <w:szCs w:val="24"/>
              </w:rPr>
              <w:t>150</w:t>
            </w:r>
          </w:p>
        </w:tc>
        <w:tc>
          <w:tcPr>
            <w:tcW w:w="0" w:type="auto"/>
          </w:tcPr>
          <w:p w:rsidR="00876D96" w:rsidRDefault="00876D96" w:rsidP="007F2707">
            <w:pPr>
              <w:jc w:val="center"/>
              <w:rPr>
                <w:rFonts w:ascii="Arial" w:hAnsi="Arial" w:cs="Arial"/>
                <w:sz w:val="24"/>
                <w:szCs w:val="24"/>
              </w:rPr>
            </w:pPr>
            <w:r>
              <w:rPr>
                <w:rFonts w:ascii="Arial" w:hAnsi="Arial" w:cs="Arial"/>
                <w:sz w:val="24"/>
                <w:szCs w:val="24"/>
              </w:rPr>
              <w:t>150</w:t>
            </w:r>
          </w:p>
        </w:tc>
      </w:tr>
      <w:tr w:rsidR="00876D96" w:rsidTr="007F2707">
        <w:trPr>
          <w:jc w:val="center"/>
        </w:trPr>
        <w:tc>
          <w:tcPr>
            <w:tcW w:w="0" w:type="auto"/>
          </w:tcPr>
          <w:p w:rsidR="00876D96" w:rsidRDefault="00876D96" w:rsidP="007F2707">
            <w:pPr>
              <w:jc w:val="both"/>
              <w:rPr>
                <w:rFonts w:ascii="Arial" w:hAnsi="Arial" w:cs="Arial"/>
                <w:sz w:val="24"/>
                <w:szCs w:val="24"/>
              </w:rPr>
            </w:pPr>
            <w:r>
              <w:rPr>
                <w:rFonts w:ascii="Arial" w:hAnsi="Arial" w:cs="Arial"/>
                <w:sz w:val="24"/>
                <w:szCs w:val="24"/>
              </w:rPr>
              <w:t>Gramos de resina catiónica</w:t>
            </w:r>
          </w:p>
        </w:tc>
        <w:tc>
          <w:tcPr>
            <w:tcW w:w="0" w:type="auto"/>
          </w:tcPr>
          <w:p w:rsidR="00876D96" w:rsidRDefault="00876D96" w:rsidP="007F2707">
            <w:pPr>
              <w:jc w:val="center"/>
              <w:rPr>
                <w:rFonts w:ascii="Arial" w:hAnsi="Arial" w:cs="Arial"/>
                <w:sz w:val="24"/>
                <w:szCs w:val="24"/>
              </w:rPr>
            </w:pPr>
            <w:r>
              <w:rPr>
                <w:rFonts w:ascii="Arial" w:hAnsi="Arial" w:cs="Arial"/>
                <w:sz w:val="24"/>
                <w:szCs w:val="24"/>
              </w:rPr>
              <w:t>350</w:t>
            </w:r>
          </w:p>
        </w:tc>
        <w:tc>
          <w:tcPr>
            <w:tcW w:w="0" w:type="auto"/>
          </w:tcPr>
          <w:p w:rsidR="00876D96" w:rsidRDefault="00876D96" w:rsidP="007F2707">
            <w:pPr>
              <w:jc w:val="center"/>
              <w:rPr>
                <w:rFonts w:ascii="Arial" w:hAnsi="Arial" w:cs="Arial"/>
                <w:sz w:val="24"/>
                <w:szCs w:val="24"/>
              </w:rPr>
            </w:pPr>
            <w:r>
              <w:rPr>
                <w:rFonts w:ascii="Arial" w:hAnsi="Arial" w:cs="Arial"/>
                <w:sz w:val="24"/>
                <w:szCs w:val="24"/>
              </w:rPr>
              <w:t>175</w:t>
            </w:r>
          </w:p>
        </w:tc>
        <w:tc>
          <w:tcPr>
            <w:tcW w:w="0" w:type="auto"/>
          </w:tcPr>
          <w:p w:rsidR="00876D96" w:rsidRDefault="00876D96" w:rsidP="007F2707">
            <w:pPr>
              <w:jc w:val="center"/>
              <w:rPr>
                <w:rFonts w:ascii="Arial" w:hAnsi="Arial" w:cs="Arial"/>
                <w:sz w:val="24"/>
                <w:szCs w:val="24"/>
              </w:rPr>
            </w:pPr>
            <w:r>
              <w:rPr>
                <w:rFonts w:ascii="Arial" w:hAnsi="Arial" w:cs="Arial"/>
                <w:sz w:val="24"/>
                <w:szCs w:val="24"/>
              </w:rPr>
              <w:t>175</w:t>
            </w:r>
          </w:p>
        </w:tc>
        <w:tc>
          <w:tcPr>
            <w:tcW w:w="0" w:type="auto"/>
          </w:tcPr>
          <w:p w:rsidR="00876D96" w:rsidRDefault="00876D96" w:rsidP="007F2707">
            <w:pPr>
              <w:jc w:val="center"/>
              <w:rPr>
                <w:rFonts w:ascii="Arial" w:hAnsi="Arial" w:cs="Arial"/>
                <w:sz w:val="24"/>
                <w:szCs w:val="24"/>
              </w:rPr>
            </w:pPr>
            <w:r>
              <w:rPr>
                <w:rFonts w:ascii="Arial" w:hAnsi="Arial" w:cs="Arial"/>
                <w:sz w:val="24"/>
                <w:szCs w:val="24"/>
              </w:rPr>
              <w:t>350</w:t>
            </w:r>
          </w:p>
        </w:tc>
      </w:tr>
      <w:tr w:rsidR="00876D96" w:rsidTr="007F2707">
        <w:trPr>
          <w:jc w:val="center"/>
        </w:trPr>
        <w:tc>
          <w:tcPr>
            <w:tcW w:w="0" w:type="auto"/>
          </w:tcPr>
          <w:p w:rsidR="00876D96" w:rsidRDefault="00876D96" w:rsidP="007F2707">
            <w:pPr>
              <w:jc w:val="both"/>
              <w:rPr>
                <w:rFonts w:ascii="Arial" w:hAnsi="Arial" w:cs="Arial"/>
                <w:sz w:val="24"/>
                <w:szCs w:val="24"/>
              </w:rPr>
            </w:pPr>
            <w:r>
              <w:rPr>
                <w:rFonts w:ascii="Arial" w:hAnsi="Arial" w:cs="Arial"/>
                <w:sz w:val="24"/>
                <w:szCs w:val="24"/>
              </w:rPr>
              <w:t>Hidrólisis</w:t>
            </w:r>
          </w:p>
        </w:tc>
        <w:tc>
          <w:tcPr>
            <w:tcW w:w="0" w:type="auto"/>
          </w:tcPr>
          <w:p w:rsidR="00876D96" w:rsidRDefault="00876D96" w:rsidP="007F2707">
            <w:pPr>
              <w:jc w:val="center"/>
              <w:rPr>
                <w:rFonts w:ascii="Arial" w:hAnsi="Arial" w:cs="Arial"/>
                <w:sz w:val="24"/>
                <w:szCs w:val="24"/>
              </w:rPr>
            </w:pPr>
            <w:r>
              <w:rPr>
                <w:rFonts w:ascii="Arial" w:hAnsi="Arial" w:cs="Arial"/>
                <w:sz w:val="24"/>
                <w:szCs w:val="24"/>
              </w:rPr>
              <w:t>si</w:t>
            </w:r>
          </w:p>
        </w:tc>
        <w:tc>
          <w:tcPr>
            <w:tcW w:w="0" w:type="auto"/>
          </w:tcPr>
          <w:p w:rsidR="00876D96" w:rsidRDefault="00876D96" w:rsidP="007F2707">
            <w:pPr>
              <w:jc w:val="center"/>
              <w:rPr>
                <w:rFonts w:ascii="Arial" w:hAnsi="Arial" w:cs="Arial"/>
                <w:sz w:val="24"/>
                <w:szCs w:val="24"/>
              </w:rPr>
            </w:pPr>
            <w:r>
              <w:rPr>
                <w:rFonts w:ascii="Arial" w:hAnsi="Arial" w:cs="Arial"/>
                <w:sz w:val="24"/>
                <w:szCs w:val="24"/>
              </w:rPr>
              <w:t>si</w:t>
            </w:r>
          </w:p>
        </w:tc>
        <w:tc>
          <w:tcPr>
            <w:tcW w:w="0" w:type="auto"/>
          </w:tcPr>
          <w:p w:rsidR="00876D96" w:rsidRDefault="00876D96" w:rsidP="007F2707">
            <w:pPr>
              <w:jc w:val="center"/>
              <w:rPr>
                <w:rFonts w:ascii="Arial" w:hAnsi="Arial" w:cs="Arial"/>
                <w:sz w:val="24"/>
                <w:szCs w:val="24"/>
              </w:rPr>
            </w:pPr>
            <w:r>
              <w:rPr>
                <w:rFonts w:ascii="Arial" w:hAnsi="Arial" w:cs="Arial"/>
                <w:sz w:val="24"/>
                <w:szCs w:val="24"/>
              </w:rPr>
              <w:t>no</w:t>
            </w:r>
          </w:p>
        </w:tc>
        <w:tc>
          <w:tcPr>
            <w:tcW w:w="0" w:type="auto"/>
          </w:tcPr>
          <w:p w:rsidR="00876D96" w:rsidRDefault="00876D96" w:rsidP="007F2707">
            <w:pPr>
              <w:jc w:val="center"/>
              <w:rPr>
                <w:rFonts w:ascii="Arial" w:hAnsi="Arial" w:cs="Arial"/>
                <w:sz w:val="24"/>
                <w:szCs w:val="24"/>
              </w:rPr>
            </w:pPr>
            <w:r>
              <w:rPr>
                <w:rFonts w:ascii="Arial" w:hAnsi="Arial" w:cs="Arial"/>
                <w:sz w:val="24"/>
                <w:szCs w:val="24"/>
              </w:rPr>
              <w:t>no</w:t>
            </w:r>
          </w:p>
        </w:tc>
      </w:tr>
    </w:tbl>
    <w:p w:rsidR="00876D96" w:rsidRPr="00310C31" w:rsidRDefault="00876D96" w:rsidP="00876D96">
      <w:pPr>
        <w:spacing w:line="240" w:lineRule="auto"/>
        <w:jc w:val="both"/>
        <w:rPr>
          <w:rFonts w:ascii="Arial" w:hAnsi="Arial" w:cs="Arial"/>
          <w:sz w:val="24"/>
          <w:szCs w:val="24"/>
        </w:rPr>
      </w:pPr>
      <w:r>
        <w:rPr>
          <w:rFonts w:ascii="Arial" w:hAnsi="Arial" w:cs="Arial"/>
          <w:sz w:val="24"/>
          <w:szCs w:val="24"/>
        </w:rPr>
        <w:t>El inoculo consistió en una suspensión de esporas, que se produjo por lavado del cultivo del hongo. La técnica consistió en agregar una solución salina estéril (0.85% NaCl) y agitar vigorosamente durante un minuto, con la finalidad de arrastrar las esporas maduras. El inoculo representó el 1% (v/v) del volumen de operación del reactor (2.1 l).</w:t>
      </w:r>
    </w:p>
    <w:p w:rsidR="00876D96" w:rsidRPr="005C530A" w:rsidRDefault="00876D96" w:rsidP="00876D96">
      <w:pPr>
        <w:spacing w:line="240" w:lineRule="auto"/>
        <w:jc w:val="both"/>
        <w:rPr>
          <w:rFonts w:ascii="Arial" w:hAnsi="Arial" w:cs="Arial"/>
          <w:sz w:val="24"/>
          <w:szCs w:val="24"/>
        </w:rPr>
      </w:pPr>
      <w:r>
        <w:rPr>
          <w:rFonts w:ascii="Arial" w:hAnsi="Arial" w:cs="Arial"/>
          <w:sz w:val="24"/>
          <w:szCs w:val="24"/>
        </w:rPr>
        <w:t xml:space="preserve">Para llevar a cabo la fermentación sumergida, se adicionó el inoculo a un reactor de vidrio, enchaquetado con agitación mecánica por medio de un impulsor tipo Rushton de cuatro paletas de acero inoxidable (200 rpm). La agitación intensiva está asociada al desarrollo de los filamentos que producen el ácido cítrico, además, el esfuerzo cortante puede </w:t>
      </w:r>
      <w:r>
        <w:rPr>
          <w:rFonts w:ascii="Arial" w:hAnsi="Arial" w:cs="Arial"/>
          <w:sz w:val="24"/>
          <w:szCs w:val="24"/>
        </w:rPr>
        <w:lastRenderedPageBreak/>
        <w:t xml:space="preserve">causar la ruptura de los filamentos que a su vez generan nuevos filamentos productores de ácido cítrico </w:t>
      </w:r>
      <w:r>
        <w:rPr>
          <w:rFonts w:ascii="Arial" w:hAnsi="Arial" w:cs="Arial"/>
          <w:sz w:val="24"/>
          <w:szCs w:val="24"/>
          <w:vertAlign w:val="superscript"/>
        </w:rPr>
        <w:t>[3]</w:t>
      </w:r>
      <w:r>
        <w:rPr>
          <w:rFonts w:ascii="Arial" w:hAnsi="Arial" w:cs="Arial"/>
          <w:sz w:val="24"/>
          <w:szCs w:val="24"/>
        </w:rPr>
        <w:t>.</w:t>
      </w:r>
    </w:p>
    <w:p w:rsidR="00876D96" w:rsidRDefault="00876D96" w:rsidP="00876D96">
      <w:pPr>
        <w:spacing w:line="240" w:lineRule="auto"/>
        <w:jc w:val="both"/>
        <w:rPr>
          <w:rFonts w:ascii="Arial" w:hAnsi="Arial" w:cs="Arial"/>
          <w:sz w:val="24"/>
          <w:szCs w:val="24"/>
        </w:rPr>
      </w:pPr>
      <w:r>
        <w:rPr>
          <w:rFonts w:ascii="Arial" w:hAnsi="Arial" w:cs="Arial"/>
          <w:sz w:val="24"/>
          <w:szCs w:val="24"/>
        </w:rPr>
        <w:t>El aire se hizo pasar a través de una manguera conectada a una línea de aire estéril, con un flujo (5 l/min) controlado mediante un rotámetro. La temperatura del reactor se mantuvo 30±2°C por medio de la chaqueta del reactor. La biomasa fue separada mediante filtros (0.45 µm de apertura de poro) y un sistema de vacío (figura 2). El periodo de fermentación fue de diez días con toma de muestra diaria.</w:t>
      </w:r>
      <w:r w:rsidRPr="004A2203">
        <w:rPr>
          <w:rFonts w:ascii="Arial" w:hAnsi="Arial" w:cs="Arial"/>
          <w:sz w:val="24"/>
          <w:szCs w:val="24"/>
        </w:rPr>
        <w:t xml:space="preserve"> </w:t>
      </w:r>
    </w:p>
    <w:p w:rsidR="00876D96" w:rsidRDefault="00876D96" w:rsidP="00876D96">
      <w:pPr>
        <w:spacing w:line="240" w:lineRule="auto"/>
        <w:jc w:val="center"/>
        <w:rPr>
          <w:rFonts w:ascii="Arial" w:hAnsi="Arial" w:cs="Arial"/>
          <w:sz w:val="24"/>
          <w:szCs w:val="24"/>
        </w:rPr>
      </w:pPr>
      <w:r>
        <w:rPr>
          <w:rFonts w:ascii="Arial" w:hAnsi="Arial" w:cs="Arial"/>
          <w:noProof/>
          <w:sz w:val="24"/>
          <w:szCs w:val="24"/>
          <w:lang w:val="en-US"/>
        </w:rPr>
        <w:drawing>
          <wp:inline distT="0" distB="0" distL="0" distR="0" wp14:anchorId="2314A54F" wp14:editId="6A168344">
            <wp:extent cx="5035550" cy="2463800"/>
            <wp:effectExtent l="0" t="0" r="0" b="0"/>
            <wp:docPr id="269469692" name="Imagen 269469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5059592" cy="2475563"/>
                    </a:xfrm>
                    <a:prstGeom prst="rect">
                      <a:avLst/>
                    </a:prstGeom>
                    <a:noFill/>
                  </pic:spPr>
                </pic:pic>
              </a:graphicData>
            </a:graphic>
          </wp:inline>
        </w:drawing>
      </w:r>
    </w:p>
    <w:p w:rsidR="00876D96" w:rsidRPr="00936B30" w:rsidRDefault="00876D96" w:rsidP="00876D96">
      <w:pPr>
        <w:spacing w:line="240" w:lineRule="auto"/>
        <w:jc w:val="center"/>
        <w:rPr>
          <w:rFonts w:ascii="Arial" w:hAnsi="Arial" w:cs="Arial"/>
          <w:i/>
          <w:sz w:val="20"/>
          <w:szCs w:val="20"/>
        </w:rPr>
      </w:pPr>
      <w:r>
        <w:rPr>
          <w:rFonts w:ascii="Arial" w:hAnsi="Arial" w:cs="Arial"/>
          <w:i/>
          <w:sz w:val="20"/>
          <w:szCs w:val="20"/>
        </w:rPr>
        <w:t>Figura 2. Diagrama de flujo de proceso.</w:t>
      </w:r>
    </w:p>
    <w:p w:rsidR="00876D96" w:rsidRDefault="00876D96" w:rsidP="00876D96">
      <w:pPr>
        <w:spacing w:line="240" w:lineRule="auto"/>
        <w:jc w:val="both"/>
        <w:rPr>
          <w:rFonts w:ascii="Arial" w:hAnsi="Arial" w:cs="Arial"/>
          <w:sz w:val="24"/>
          <w:szCs w:val="24"/>
        </w:rPr>
      </w:pPr>
      <w:r>
        <w:rPr>
          <w:rFonts w:ascii="Arial" w:hAnsi="Arial" w:cs="Arial"/>
          <w:sz w:val="24"/>
          <w:szCs w:val="24"/>
        </w:rPr>
        <w:t>Nomenclatura empleada en el diagrama, R-101 reactor enchaquetado, Ag-201 agitador 200 rpm, C-301 compresor de aire, V-301 válvula, Fi-301 filtro de membrana, V-302 válvula de aguja, AF-301 filtro de alúmina y fibra de vidrio, X-301 Rotámetro, PC-301 Bomba centrífuga, BT-301 Baño termostático.</w:t>
      </w:r>
    </w:p>
    <w:p w:rsidR="00876D96" w:rsidRDefault="00876D96" w:rsidP="00876D96">
      <w:pPr>
        <w:spacing w:line="240" w:lineRule="auto"/>
        <w:jc w:val="both"/>
        <w:rPr>
          <w:rFonts w:ascii="Arial" w:hAnsi="Arial" w:cs="Arial"/>
          <w:sz w:val="24"/>
          <w:szCs w:val="24"/>
        </w:rPr>
      </w:pPr>
      <w:r>
        <w:rPr>
          <w:rFonts w:ascii="Arial" w:hAnsi="Arial" w:cs="Arial"/>
          <w:sz w:val="24"/>
          <w:szCs w:val="24"/>
        </w:rPr>
        <w:t>El pH para la producción de ácido cítrico debe ser menor a 2, esto reduce los riegos de contaminación de la fermentación con otros microorganismos e inhibe la producción de ácidos orgánicos no deseados (ácido glucónico y ácido oxálico)</w:t>
      </w:r>
      <w:r w:rsidRPr="004C6D4B">
        <w:rPr>
          <w:rFonts w:ascii="Arial" w:hAnsi="Arial" w:cs="Arial"/>
          <w:sz w:val="24"/>
          <w:szCs w:val="24"/>
          <w:vertAlign w:val="superscript"/>
        </w:rPr>
        <w:t xml:space="preserve"> </w:t>
      </w:r>
      <w:r>
        <w:rPr>
          <w:rFonts w:ascii="Arial" w:hAnsi="Arial" w:cs="Arial"/>
          <w:sz w:val="24"/>
          <w:szCs w:val="24"/>
          <w:vertAlign w:val="superscript"/>
        </w:rPr>
        <w:t>[9]</w:t>
      </w:r>
      <w:r>
        <w:rPr>
          <w:rFonts w:ascii="Arial" w:hAnsi="Arial" w:cs="Arial"/>
          <w:sz w:val="24"/>
          <w:szCs w:val="24"/>
        </w:rPr>
        <w:t xml:space="preserve">. El pH inicial entre 5.4 –y 6.5 es el óptimo para la melaza </w:t>
      </w:r>
      <w:r>
        <w:rPr>
          <w:rFonts w:ascii="Arial" w:hAnsi="Arial" w:cs="Arial"/>
          <w:sz w:val="24"/>
          <w:szCs w:val="24"/>
          <w:vertAlign w:val="superscript"/>
        </w:rPr>
        <w:t>[1]</w:t>
      </w:r>
      <w:r>
        <w:rPr>
          <w:rFonts w:ascii="Arial" w:hAnsi="Arial" w:cs="Arial"/>
          <w:sz w:val="24"/>
          <w:szCs w:val="24"/>
        </w:rPr>
        <w:t xml:space="preserve">. </w:t>
      </w:r>
    </w:p>
    <w:p w:rsidR="00876D96" w:rsidRDefault="00876D96" w:rsidP="00876D96">
      <w:pPr>
        <w:spacing w:line="240" w:lineRule="auto"/>
        <w:jc w:val="both"/>
        <w:rPr>
          <w:rFonts w:ascii="Arial" w:hAnsi="Arial" w:cs="Arial"/>
          <w:sz w:val="24"/>
          <w:szCs w:val="24"/>
        </w:rPr>
      </w:pPr>
      <w:r>
        <w:rPr>
          <w:rFonts w:ascii="Arial" w:hAnsi="Arial" w:cs="Arial"/>
          <w:sz w:val="24"/>
          <w:szCs w:val="24"/>
        </w:rPr>
        <w:t xml:space="preserve">Para la determinación de ácido cítrico se utilizó el método de Marrier y Boulet </w:t>
      </w:r>
      <w:r>
        <w:rPr>
          <w:rFonts w:ascii="Arial" w:hAnsi="Arial" w:cs="Arial"/>
          <w:sz w:val="24"/>
          <w:szCs w:val="24"/>
          <w:vertAlign w:val="superscript"/>
        </w:rPr>
        <w:t>[11]</w:t>
      </w:r>
      <w:r>
        <w:rPr>
          <w:rFonts w:ascii="Arial" w:hAnsi="Arial" w:cs="Arial"/>
          <w:sz w:val="24"/>
          <w:szCs w:val="24"/>
        </w:rPr>
        <w:t>, el cual consiste en añadir anhídrido acético en exceso caliente y piridina a una muestra líquida de ácido cítrico en condiciones de sequedad total. Bajo estas condiciones, el ácido cítrico, con la adición de la piridina da un color amarillo, el cual es proporcional a su concentración. La concentración se determinó, por la medición de la absorbancia a 405 nanometros en un espectrofotómetro visible marca Spectronic Instruments modelo 21D.</w:t>
      </w:r>
    </w:p>
    <w:p w:rsidR="00876D96" w:rsidRPr="000A7BD2" w:rsidRDefault="00876D96" w:rsidP="00876D96">
      <w:pPr>
        <w:spacing w:line="240" w:lineRule="auto"/>
        <w:jc w:val="both"/>
        <w:rPr>
          <w:rFonts w:ascii="Arial" w:hAnsi="Arial" w:cs="Arial"/>
          <w:sz w:val="24"/>
          <w:szCs w:val="24"/>
        </w:rPr>
      </w:pPr>
      <w:r>
        <w:rPr>
          <w:rFonts w:ascii="Arial" w:hAnsi="Arial" w:cs="Arial"/>
          <w:sz w:val="24"/>
          <w:szCs w:val="24"/>
        </w:rPr>
        <w:t xml:space="preserve">Para la determinación de azúcares, se midieron los ° Brix de las soluciones por medio de un refractómetro marca Atago IT modelo NAR-it. La biomasa producida durante la fermentación, se calculó separándola del medio de cultivo por filtración en membranas, llevándolas a peso constante a 50°C, utilizando la diferencia de pesos, dividido entre el volumen de la muestra </w:t>
      </w:r>
      <w:r>
        <w:rPr>
          <w:rFonts w:ascii="Arial" w:hAnsi="Arial" w:cs="Arial"/>
          <w:sz w:val="24"/>
          <w:szCs w:val="24"/>
          <w:vertAlign w:val="superscript"/>
        </w:rPr>
        <w:t>[10]</w:t>
      </w:r>
      <w:r>
        <w:rPr>
          <w:rFonts w:ascii="Arial" w:hAnsi="Arial" w:cs="Arial"/>
          <w:sz w:val="24"/>
          <w:szCs w:val="24"/>
        </w:rPr>
        <w:t>.</w:t>
      </w:r>
    </w:p>
    <w:p w:rsidR="00876D96" w:rsidRDefault="00876D96" w:rsidP="00876D96">
      <w:pPr>
        <w:pStyle w:val="1Titulo"/>
        <w:numPr>
          <w:ilvl w:val="0"/>
          <w:numId w:val="0"/>
        </w:numPr>
        <w:ind w:left="357"/>
      </w:pPr>
      <w:bookmarkStart w:id="248" w:name="_Toc50031321"/>
      <w:r>
        <w:lastRenderedPageBreak/>
        <w:t>5.- Resultados y discusión.</w:t>
      </w:r>
      <w:bookmarkEnd w:id="248"/>
    </w:p>
    <w:p w:rsidR="00876D96" w:rsidRDefault="00876D96" w:rsidP="00876D96">
      <w:pPr>
        <w:spacing w:line="240" w:lineRule="auto"/>
        <w:jc w:val="both"/>
        <w:rPr>
          <w:rFonts w:ascii="Arial" w:hAnsi="Arial" w:cs="Arial"/>
          <w:sz w:val="24"/>
          <w:szCs w:val="24"/>
        </w:rPr>
      </w:pPr>
      <w:r>
        <w:rPr>
          <w:rFonts w:ascii="Arial" w:hAnsi="Arial" w:cs="Arial"/>
          <w:sz w:val="24"/>
          <w:szCs w:val="24"/>
        </w:rPr>
        <w:t>Para la primera experimentación, la mayor producción de ácido cítrico se registró al tercer día de fermentación con 22 mg/ml, después decayó notablemente en el quinto día y de ahí hasta el noveno día la producción disminuyó de manera constante. Los azúcares se consumieron de manera prácticamente constante y</w:t>
      </w:r>
      <w:r w:rsidRPr="006741A0">
        <w:rPr>
          <w:rFonts w:ascii="Arial" w:hAnsi="Arial" w:cs="Arial"/>
          <w:sz w:val="24"/>
          <w:szCs w:val="24"/>
        </w:rPr>
        <w:t xml:space="preserve"> </w:t>
      </w:r>
      <w:r>
        <w:rPr>
          <w:rFonts w:ascii="Arial" w:hAnsi="Arial" w:cs="Arial"/>
          <w:sz w:val="24"/>
          <w:szCs w:val="24"/>
        </w:rPr>
        <w:t>la generación de biomasa aumento lentamente conforme transcurrieron los días de la fermentación, el hongo no logro crecer. La cantidad de ácido cítrico es determinada par el crecimiento del Aspergillus niger y por el tratamiento de hidrólisis del sustrato, aunque después del quinto día la producción del ácido cítrico es menor, suceso posiblemente influenciado por la menor cantidad de azucares disponibles (figura 3).</w:t>
      </w:r>
    </w:p>
    <w:p w:rsidR="00876D96" w:rsidRDefault="00876D96" w:rsidP="00876D96">
      <w:pPr>
        <w:spacing w:line="240" w:lineRule="auto"/>
        <w:jc w:val="both"/>
        <w:rPr>
          <w:rFonts w:ascii="Arial" w:hAnsi="Arial" w:cs="Arial"/>
          <w:sz w:val="24"/>
          <w:szCs w:val="24"/>
        </w:rPr>
      </w:pPr>
    </w:p>
    <w:p w:rsidR="00876D96" w:rsidRDefault="00876D96" w:rsidP="00876D96">
      <w:pPr>
        <w:spacing w:line="240" w:lineRule="auto"/>
        <w:jc w:val="center"/>
        <w:rPr>
          <w:rFonts w:ascii="Arial" w:hAnsi="Arial" w:cs="Arial"/>
          <w:sz w:val="24"/>
          <w:szCs w:val="24"/>
        </w:rPr>
      </w:pPr>
      <w:r w:rsidRPr="00AC3558">
        <w:rPr>
          <w:noProof/>
          <w:lang w:val="en-US"/>
        </w:rPr>
        <w:drawing>
          <wp:inline distT="0" distB="0" distL="0" distR="0" wp14:anchorId="7CB6B10D" wp14:editId="07B32867">
            <wp:extent cx="3240000" cy="1638742"/>
            <wp:effectExtent l="0" t="0" r="0" b="0"/>
            <wp:docPr id="269469693" name="Imagen 269469693" descr="C:\Users\Energia 10\Pictures\ac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ergia 10\Pictures\acf5.jpg"/>
                    <pic:cNvPicPr>
                      <a:picLocks noChangeAspect="1" noChangeArrowheads="1"/>
                    </pic:cNvPicPr>
                  </pic:nvPicPr>
                  <pic:blipFill rotWithShape="1">
                    <a:blip r:embed="rId991">
                      <a:extLst>
                        <a:ext uri="{28A0092B-C50C-407E-A947-70E740481C1C}">
                          <a14:useLocalDpi xmlns:a14="http://schemas.microsoft.com/office/drawing/2010/main" val="0"/>
                        </a:ext>
                      </a:extLst>
                    </a:blip>
                    <a:srcRect l="-1" r="55412" b="44261"/>
                    <a:stretch/>
                  </pic:blipFill>
                  <pic:spPr bwMode="auto">
                    <a:xfrm>
                      <a:off x="0" y="0"/>
                      <a:ext cx="3240000" cy="1638742"/>
                    </a:xfrm>
                    <a:prstGeom prst="rect">
                      <a:avLst/>
                    </a:prstGeom>
                    <a:noFill/>
                    <a:ln>
                      <a:noFill/>
                    </a:ln>
                    <a:extLst>
                      <a:ext uri="{53640926-AAD7-44D8-BBD7-CCE9431645EC}">
                        <a14:shadowObscured xmlns:a14="http://schemas.microsoft.com/office/drawing/2010/main"/>
                      </a:ext>
                    </a:extLst>
                  </pic:spPr>
                </pic:pic>
              </a:graphicData>
            </a:graphic>
          </wp:inline>
        </w:drawing>
      </w:r>
    </w:p>
    <w:p w:rsidR="00876D96" w:rsidRDefault="00876D96" w:rsidP="00876D96">
      <w:pPr>
        <w:spacing w:line="240" w:lineRule="auto"/>
        <w:ind w:left="708" w:hanging="708"/>
        <w:jc w:val="center"/>
        <w:rPr>
          <w:rFonts w:ascii="Arial" w:hAnsi="Arial" w:cs="Arial"/>
          <w:i/>
          <w:sz w:val="20"/>
          <w:szCs w:val="20"/>
        </w:rPr>
      </w:pPr>
      <w:r>
        <w:rPr>
          <w:rFonts w:ascii="Arial" w:hAnsi="Arial" w:cs="Arial"/>
          <w:i/>
          <w:sz w:val="20"/>
          <w:szCs w:val="20"/>
        </w:rPr>
        <w:t>Figura 3. Producción de ácido cítrico, primer experimento.</w:t>
      </w:r>
    </w:p>
    <w:p w:rsidR="00876D96" w:rsidRDefault="00876D96" w:rsidP="00876D96">
      <w:pPr>
        <w:spacing w:line="240" w:lineRule="auto"/>
        <w:jc w:val="both"/>
        <w:rPr>
          <w:rFonts w:ascii="Arial" w:hAnsi="Arial" w:cs="Arial"/>
          <w:sz w:val="24"/>
          <w:szCs w:val="24"/>
        </w:rPr>
      </w:pPr>
      <w:r>
        <w:rPr>
          <w:rFonts w:ascii="Arial" w:hAnsi="Arial" w:cs="Arial"/>
          <w:sz w:val="24"/>
          <w:szCs w:val="24"/>
        </w:rPr>
        <w:t>Para la segunda experimentación la mayor producción de ácido cítrico se registró al tercer día de fermentación con 2.2 mg/ml, a pesar de que el sustrato fue hidrolizado. La cantidad de azucares decae de 2.5 a 1.3° Brix, lo que indica que el hongo Aspergillus niger no creció y por consiguiente no hubo transformación de los azucares. En cuanto a la generación de biomasa el valor máximo obtenido fue de 3.4 mg/ml el primer día. Posiblemente coexisten metales traza que impiden una buena fermentación (figura 4).</w:t>
      </w:r>
    </w:p>
    <w:p w:rsidR="00876D96" w:rsidRDefault="00876D96" w:rsidP="00876D96">
      <w:pPr>
        <w:spacing w:line="240" w:lineRule="auto"/>
        <w:ind w:left="708" w:hanging="708"/>
        <w:jc w:val="center"/>
        <w:rPr>
          <w:rFonts w:ascii="Arial" w:hAnsi="Arial" w:cs="Arial"/>
          <w:sz w:val="24"/>
          <w:szCs w:val="24"/>
        </w:rPr>
      </w:pPr>
      <w:r>
        <w:rPr>
          <w:noProof/>
          <w:lang w:val="en-US"/>
        </w:rPr>
        <w:drawing>
          <wp:inline distT="0" distB="0" distL="0" distR="0" wp14:anchorId="7F21A173" wp14:editId="483BB528">
            <wp:extent cx="3240000" cy="1711696"/>
            <wp:effectExtent l="0" t="0" r="0" b="3175"/>
            <wp:docPr id="269469694" name="Imagen 26946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92">
                      <a:extLst>
                        <a:ext uri="{28A0092B-C50C-407E-A947-70E740481C1C}">
                          <a14:useLocalDpi xmlns:a14="http://schemas.microsoft.com/office/drawing/2010/main" val="0"/>
                        </a:ext>
                      </a:extLst>
                    </a:blip>
                    <a:srcRect r="55266" b="44493"/>
                    <a:stretch/>
                  </pic:blipFill>
                  <pic:spPr bwMode="auto">
                    <a:xfrm>
                      <a:off x="0" y="0"/>
                      <a:ext cx="3240000" cy="1711696"/>
                    </a:xfrm>
                    <a:prstGeom prst="rect">
                      <a:avLst/>
                    </a:prstGeom>
                    <a:noFill/>
                    <a:ln>
                      <a:noFill/>
                    </a:ln>
                    <a:extLst>
                      <a:ext uri="{53640926-AAD7-44D8-BBD7-CCE9431645EC}">
                        <a14:shadowObscured xmlns:a14="http://schemas.microsoft.com/office/drawing/2010/main"/>
                      </a:ext>
                    </a:extLst>
                  </pic:spPr>
                </pic:pic>
              </a:graphicData>
            </a:graphic>
          </wp:inline>
        </w:drawing>
      </w:r>
    </w:p>
    <w:p w:rsidR="00876D96" w:rsidRDefault="00876D96" w:rsidP="00876D96">
      <w:pPr>
        <w:spacing w:line="240" w:lineRule="auto"/>
        <w:ind w:left="708" w:hanging="708"/>
        <w:jc w:val="center"/>
        <w:rPr>
          <w:rFonts w:ascii="Arial" w:hAnsi="Arial" w:cs="Arial"/>
          <w:i/>
          <w:sz w:val="20"/>
          <w:szCs w:val="20"/>
        </w:rPr>
      </w:pPr>
      <w:r>
        <w:rPr>
          <w:rFonts w:ascii="Arial" w:hAnsi="Arial" w:cs="Arial"/>
          <w:i/>
          <w:sz w:val="20"/>
          <w:szCs w:val="20"/>
        </w:rPr>
        <w:t>Figura 4. Producción de ácido cítrico, segundo experimento.</w:t>
      </w:r>
    </w:p>
    <w:p w:rsidR="00876D96" w:rsidRDefault="00876D96" w:rsidP="00876D96">
      <w:pPr>
        <w:tabs>
          <w:tab w:val="left" w:pos="1350"/>
        </w:tabs>
        <w:spacing w:line="240" w:lineRule="auto"/>
        <w:jc w:val="both"/>
        <w:rPr>
          <w:rFonts w:ascii="Arial" w:hAnsi="Arial" w:cs="Arial"/>
          <w:sz w:val="24"/>
          <w:szCs w:val="24"/>
        </w:rPr>
      </w:pPr>
      <w:r>
        <w:rPr>
          <w:rFonts w:ascii="Arial" w:hAnsi="Arial" w:cs="Arial"/>
          <w:sz w:val="24"/>
          <w:szCs w:val="24"/>
        </w:rPr>
        <w:t xml:space="preserve">Para la tercera experimentación, la máxima producción de ácido cítrico se alcanzó en el quinto día con una producción de 16 mg/ml, la cantidad de azucares disminuyo de 12 a </w:t>
      </w:r>
      <w:r>
        <w:rPr>
          <w:rFonts w:ascii="Arial" w:hAnsi="Arial" w:cs="Arial"/>
          <w:sz w:val="24"/>
          <w:szCs w:val="24"/>
        </w:rPr>
        <w:lastRenderedPageBreak/>
        <w:t>9°Brix, la biomasa generada 26 mg/ml es mayor que la cantidad de ácido cítrico producido. En este caso el tratamiento fue con 175 g de resina catiónica por litro de solución (figura 5).</w:t>
      </w:r>
    </w:p>
    <w:p w:rsidR="00876D96" w:rsidRDefault="00876D96" w:rsidP="00876D96">
      <w:pPr>
        <w:spacing w:line="240" w:lineRule="auto"/>
        <w:jc w:val="center"/>
        <w:rPr>
          <w:rFonts w:ascii="Arial" w:hAnsi="Arial" w:cs="Arial"/>
          <w:sz w:val="24"/>
          <w:szCs w:val="24"/>
        </w:rPr>
      </w:pPr>
      <w:r>
        <w:rPr>
          <w:noProof/>
          <w:lang w:val="en-US"/>
        </w:rPr>
        <w:drawing>
          <wp:inline distT="0" distB="0" distL="0" distR="0" wp14:anchorId="35A1AD74" wp14:editId="16880087">
            <wp:extent cx="3240000" cy="1825160"/>
            <wp:effectExtent l="0" t="0" r="0" b="3810"/>
            <wp:docPr id="269469695" name="Imagen 269469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93">
                      <a:extLst>
                        <a:ext uri="{28A0092B-C50C-407E-A947-70E740481C1C}">
                          <a14:useLocalDpi xmlns:a14="http://schemas.microsoft.com/office/drawing/2010/main" val="0"/>
                        </a:ext>
                      </a:extLst>
                    </a:blip>
                    <a:srcRect r="55266" b="46035"/>
                    <a:stretch/>
                  </pic:blipFill>
                  <pic:spPr bwMode="auto">
                    <a:xfrm>
                      <a:off x="0" y="0"/>
                      <a:ext cx="3240000" cy="1825160"/>
                    </a:xfrm>
                    <a:prstGeom prst="rect">
                      <a:avLst/>
                    </a:prstGeom>
                    <a:noFill/>
                    <a:ln>
                      <a:noFill/>
                    </a:ln>
                    <a:extLst>
                      <a:ext uri="{53640926-AAD7-44D8-BBD7-CCE9431645EC}">
                        <a14:shadowObscured xmlns:a14="http://schemas.microsoft.com/office/drawing/2010/main"/>
                      </a:ext>
                    </a:extLst>
                  </pic:spPr>
                </pic:pic>
              </a:graphicData>
            </a:graphic>
          </wp:inline>
        </w:drawing>
      </w:r>
    </w:p>
    <w:p w:rsidR="00876D96" w:rsidRDefault="00876D96" w:rsidP="00876D96">
      <w:pPr>
        <w:spacing w:line="240" w:lineRule="auto"/>
        <w:jc w:val="center"/>
        <w:rPr>
          <w:rFonts w:ascii="Arial" w:hAnsi="Arial" w:cs="Arial"/>
          <w:i/>
          <w:sz w:val="20"/>
          <w:szCs w:val="20"/>
        </w:rPr>
      </w:pPr>
      <w:r>
        <w:rPr>
          <w:rFonts w:ascii="Arial" w:hAnsi="Arial" w:cs="Arial"/>
          <w:i/>
          <w:sz w:val="20"/>
          <w:szCs w:val="20"/>
        </w:rPr>
        <w:t>Figura 5. Producción de ácido cítrico, tercer experimento.</w:t>
      </w:r>
    </w:p>
    <w:p w:rsidR="00876D96" w:rsidRDefault="00876D96" w:rsidP="00876D96">
      <w:pPr>
        <w:spacing w:line="240" w:lineRule="auto"/>
        <w:jc w:val="both"/>
        <w:rPr>
          <w:rFonts w:ascii="Arial" w:hAnsi="Arial" w:cs="Arial"/>
          <w:sz w:val="24"/>
          <w:szCs w:val="24"/>
        </w:rPr>
      </w:pPr>
      <w:r>
        <w:rPr>
          <w:rFonts w:ascii="Arial" w:hAnsi="Arial" w:cs="Arial"/>
          <w:sz w:val="24"/>
          <w:szCs w:val="24"/>
        </w:rPr>
        <w:t xml:space="preserve">Para la cuarta experimentación se alcanzó la mayor producción de ácido cítrico, 39 mg/ml en el quinto día. La variación de los azucares de 15 a 12° Brix. La cantidad máxima de biomasa fue de 23 mg/ml. Esta fermentación presenta las mejores condiciones de operación debido a que se da la mayor producción de ácido cítrico cuando disminuye la cantidad de azucares y el aumento en la biomasa (figura 6). </w:t>
      </w:r>
    </w:p>
    <w:p w:rsidR="00876D96" w:rsidRDefault="00876D96" w:rsidP="00876D96">
      <w:pPr>
        <w:spacing w:line="240" w:lineRule="auto"/>
        <w:jc w:val="center"/>
        <w:rPr>
          <w:rFonts w:ascii="Arial" w:hAnsi="Arial" w:cs="Arial"/>
          <w:sz w:val="24"/>
          <w:szCs w:val="24"/>
        </w:rPr>
      </w:pPr>
      <w:r>
        <w:rPr>
          <w:noProof/>
          <w:lang w:val="en-US"/>
        </w:rPr>
        <w:drawing>
          <wp:inline distT="0" distB="0" distL="0" distR="0" wp14:anchorId="7A88F628" wp14:editId="735868CB">
            <wp:extent cx="3240000" cy="1623170"/>
            <wp:effectExtent l="0" t="0" r="0" b="0"/>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94">
                      <a:extLst>
                        <a:ext uri="{28A0092B-C50C-407E-A947-70E740481C1C}">
                          <a14:useLocalDpi xmlns:a14="http://schemas.microsoft.com/office/drawing/2010/main" val="0"/>
                        </a:ext>
                      </a:extLst>
                    </a:blip>
                    <a:srcRect r="55493" b="43612"/>
                    <a:stretch/>
                  </pic:blipFill>
                  <pic:spPr bwMode="auto">
                    <a:xfrm>
                      <a:off x="0" y="0"/>
                      <a:ext cx="3240000" cy="1623170"/>
                    </a:xfrm>
                    <a:prstGeom prst="rect">
                      <a:avLst/>
                    </a:prstGeom>
                    <a:noFill/>
                    <a:ln>
                      <a:noFill/>
                    </a:ln>
                    <a:extLst>
                      <a:ext uri="{53640926-AAD7-44D8-BBD7-CCE9431645EC}">
                        <a14:shadowObscured xmlns:a14="http://schemas.microsoft.com/office/drawing/2010/main"/>
                      </a:ext>
                    </a:extLst>
                  </pic:spPr>
                </pic:pic>
              </a:graphicData>
            </a:graphic>
          </wp:inline>
        </w:drawing>
      </w:r>
    </w:p>
    <w:p w:rsidR="00876D96" w:rsidRPr="00B15A2C" w:rsidRDefault="00876D96" w:rsidP="00876D96">
      <w:pPr>
        <w:spacing w:line="240" w:lineRule="auto"/>
        <w:jc w:val="center"/>
        <w:rPr>
          <w:rFonts w:ascii="Arial" w:hAnsi="Arial" w:cs="Arial"/>
          <w:i/>
          <w:sz w:val="20"/>
          <w:szCs w:val="20"/>
        </w:rPr>
      </w:pPr>
      <w:r>
        <w:rPr>
          <w:rFonts w:ascii="Arial" w:hAnsi="Arial" w:cs="Arial"/>
          <w:i/>
          <w:sz w:val="20"/>
          <w:szCs w:val="20"/>
        </w:rPr>
        <w:t>Figura 6. Producción de ácido cítrico, cuarto experimento.</w:t>
      </w:r>
    </w:p>
    <w:p w:rsidR="00876D96" w:rsidRDefault="00876D96" w:rsidP="00876D96">
      <w:pPr>
        <w:pStyle w:val="1Titulo"/>
        <w:numPr>
          <w:ilvl w:val="0"/>
          <w:numId w:val="0"/>
        </w:numPr>
        <w:ind w:left="357"/>
      </w:pPr>
      <w:bookmarkStart w:id="249" w:name="_Toc50031322"/>
      <w:r>
        <w:t>5.- Conclusiones</w:t>
      </w:r>
      <w:bookmarkEnd w:id="249"/>
    </w:p>
    <w:p w:rsidR="00876D96" w:rsidRPr="00B15A2C" w:rsidRDefault="00876D96" w:rsidP="00876D96">
      <w:pPr>
        <w:spacing w:line="240" w:lineRule="auto"/>
        <w:jc w:val="both"/>
        <w:rPr>
          <w:rFonts w:ascii="Arial" w:hAnsi="Arial" w:cs="Arial"/>
          <w:b/>
          <w:sz w:val="24"/>
          <w:szCs w:val="24"/>
        </w:rPr>
      </w:pPr>
      <w:r>
        <w:rPr>
          <w:rFonts w:ascii="Arial" w:hAnsi="Arial" w:cs="Arial"/>
          <w:sz w:val="24"/>
          <w:szCs w:val="24"/>
        </w:rPr>
        <w:t xml:space="preserve">En el periodo evaluado, la máxima producción de ácido cítrico se obtuvo entre 3-5 día, aunque su cantidad despende de las condiciones en las que se realizó la fermentación. La hidrólisis favorece la producción de ácido al aumentar la disponibilidad de la melaza, debido a la transformación de sacarosa a glucosa y fructosa que son consumidos por el hongo </w:t>
      </w:r>
      <w:r w:rsidRPr="000A7BD2">
        <w:rPr>
          <w:rFonts w:ascii="Arial" w:hAnsi="Arial" w:cs="Arial"/>
          <w:i/>
          <w:sz w:val="24"/>
          <w:szCs w:val="24"/>
        </w:rPr>
        <w:t>Aspergillus niger</w:t>
      </w:r>
      <w:r>
        <w:rPr>
          <w:rFonts w:ascii="Arial" w:hAnsi="Arial" w:cs="Arial"/>
          <w:sz w:val="24"/>
          <w:szCs w:val="24"/>
        </w:rPr>
        <w:t xml:space="preserve"> para la producción de ácido cítrico. El tratamiento con resina catiónica fue necesario para la remoción/reducción de los elementos traza, aunque se corre el riesgo de eliminarlos y evitar las mejores condiciones de fermentación porque algunos de ellos son requeridos. No fue necesario el suministro de una fuente de nitrógeno para la producción del ácido cítrico.  En la mayoría de los experimentos se aprecia un aumento en la cantidad de biomasa al disminuir la producción de ácido cítrico.</w:t>
      </w:r>
    </w:p>
    <w:p w:rsidR="00876D96" w:rsidRDefault="00876D96" w:rsidP="00876D96">
      <w:pPr>
        <w:pStyle w:val="1Titulo"/>
        <w:numPr>
          <w:ilvl w:val="0"/>
          <w:numId w:val="0"/>
        </w:numPr>
        <w:ind w:left="357"/>
      </w:pPr>
      <w:bookmarkStart w:id="250" w:name="_Toc50031323"/>
      <w:r>
        <w:lastRenderedPageBreak/>
        <w:t>6.- Bibliografía.</w:t>
      </w:r>
      <w:bookmarkEnd w:id="250"/>
    </w:p>
    <w:p w:rsidR="00876D96" w:rsidRPr="00671514" w:rsidRDefault="00876D96" w:rsidP="00876D96">
      <w:pPr>
        <w:spacing w:line="240" w:lineRule="auto"/>
        <w:jc w:val="both"/>
        <w:rPr>
          <w:rFonts w:ascii="Arial" w:hAnsi="Arial" w:cs="Arial"/>
          <w:sz w:val="24"/>
          <w:szCs w:val="24"/>
          <w:lang w:val="en-US"/>
        </w:rPr>
      </w:pPr>
      <w:r w:rsidRPr="00671514">
        <w:rPr>
          <w:rFonts w:ascii="Arial" w:hAnsi="Arial" w:cs="Arial"/>
          <w:sz w:val="24"/>
          <w:szCs w:val="24"/>
          <w:lang w:val="es-MX"/>
        </w:rPr>
        <w:t xml:space="preserve">[1] Grewal H., &amp; Kalra K. (1995). </w:t>
      </w:r>
      <w:r w:rsidRPr="00876D96">
        <w:rPr>
          <w:rFonts w:ascii="Arial" w:hAnsi="Arial" w:cs="Arial"/>
          <w:sz w:val="24"/>
          <w:szCs w:val="24"/>
          <w:lang w:val="en-US"/>
        </w:rPr>
        <w:t xml:space="preserve">Fungal production of citric acid. </w:t>
      </w:r>
      <w:r w:rsidRPr="00671514">
        <w:rPr>
          <w:rFonts w:ascii="Arial" w:hAnsi="Arial" w:cs="Arial"/>
          <w:i/>
          <w:sz w:val="24"/>
          <w:szCs w:val="24"/>
          <w:lang w:val="en-US"/>
        </w:rPr>
        <w:t>Journal of Biotechnology Advances.</w:t>
      </w:r>
      <w:r w:rsidRPr="00671514">
        <w:rPr>
          <w:rFonts w:ascii="Arial" w:hAnsi="Arial" w:cs="Arial"/>
          <w:sz w:val="24"/>
          <w:szCs w:val="24"/>
          <w:lang w:val="en-US"/>
        </w:rPr>
        <w:t xml:space="preserve"> Vol. 13. pp. 209-234.</w:t>
      </w:r>
    </w:p>
    <w:p w:rsidR="00876D96" w:rsidRPr="00876D96" w:rsidRDefault="00876D96" w:rsidP="00876D96">
      <w:pPr>
        <w:spacing w:line="240" w:lineRule="auto"/>
        <w:jc w:val="both"/>
        <w:rPr>
          <w:rFonts w:ascii="Arial" w:hAnsi="Arial" w:cs="Arial"/>
          <w:sz w:val="24"/>
          <w:szCs w:val="24"/>
          <w:lang w:val="en-US"/>
        </w:rPr>
      </w:pPr>
      <w:r w:rsidRPr="00876D96">
        <w:rPr>
          <w:rFonts w:ascii="Arial" w:hAnsi="Arial" w:cs="Arial"/>
          <w:sz w:val="24"/>
          <w:szCs w:val="24"/>
          <w:lang w:val="en-US"/>
        </w:rPr>
        <w:t xml:space="preserve">[2] Hossain et al. (1984). The effect of sugar source on citric acid production por A. niger. </w:t>
      </w:r>
      <w:r w:rsidRPr="00876D96">
        <w:rPr>
          <w:rFonts w:ascii="Arial" w:hAnsi="Arial" w:cs="Arial"/>
          <w:i/>
          <w:sz w:val="24"/>
          <w:szCs w:val="24"/>
          <w:lang w:val="en-US"/>
        </w:rPr>
        <w:t xml:space="preserve">Appl. Microbiol. Biotechnol. </w:t>
      </w:r>
      <w:r w:rsidRPr="00876D96">
        <w:rPr>
          <w:rFonts w:ascii="Arial" w:hAnsi="Arial" w:cs="Arial"/>
          <w:sz w:val="24"/>
          <w:szCs w:val="24"/>
          <w:lang w:val="en-US"/>
        </w:rPr>
        <w:t>Vol.19. pp. 393-397.</w:t>
      </w:r>
    </w:p>
    <w:p w:rsidR="00876D96" w:rsidRPr="00876D96" w:rsidRDefault="00876D96" w:rsidP="00876D96">
      <w:pPr>
        <w:spacing w:line="240" w:lineRule="auto"/>
        <w:jc w:val="both"/>
        <w:rPr>
          <w:rFonts w:ascii="Arial" w:hAnsi="Arial" w:cs="Arial"/>
          <w:sz w:val="24"/>
          <w:szCs w:val="24"/>
          <w:lang w:val="en-US"/>
        </w:rPr>
      </w:pPr>
      <w:r w:rsidRPr="00876D96">
        <w:rPr>
          <w:rFonts w:ascii="Arial" w:hAnsi="Arial" w:cs="Arial"/>
          <w:sz w:val="24"/>
          <w:szCs w:val="24"/>
          <w:lang w:val="en-US"/>
        </w:rPr>
        <w:t xml:space="preserve">[3] Papagianni, M., Mattey M., Kristiansen, B. (1999). The influence of glucose concentration on citric acid production and morphology of Aspergillus niger in batch and fed-batch culture. </w:t>
      </w:r>
      <w:r w:rsidRPr="00876D96">
        <w:rPr>
          <w:rFonts w:ascii="Arial" w:hAnsi="Arial" w:cs="Arial"/>
          <w:i/>
          <w:sz w:val="24"/>
          <w:szCs w:val="24"/>
          <w:lang w:val="en-US"/>
        </w:rPr>
        <w:t xml:space="preserve">Enzime Microb. Technol. </w:t>
      </w:r>
      <w:r w:rsidRPr="00876D96">
        <w:rPr>
          <w:rFonts w:ascii="Arial" w:hAnsi="Arial" w:cs="Arial"/>
          <w:sz w:val="24"/>
          <w:szCs w:val="24"/>
          <w:lang w:val="en-US"/>
        </w:rPr>
        <w:t>Vol.25 pp. 710-717.</w:t>
      </w:r>
    </w:p>
    <w:p w:rsidR="00876D96" w:rsidRPr="00876D96" w:rsidRDefault="00876D96" w:rsidP="00876D96">
      <w:pPr>
        <w:spacing w:line="240" w:lineRule="auto"/>
        <w:jc w:val="both"/>
        <w:rPr>
          <w:rFonts w:ascii="Arial" w:hAnsi="Arial" w:cs="Arial"/>
          <w:sz w:val="24"/>
          <w:szCs w:val="24"/>
          <w:lang w:val="en-US"/>
        </w:rPr>
      </w:pPr>
      <w:r w:rsidRPr="00876D96">
        <w:rPr>
          <w:rFonts w:ascii="Arial" w:hAnsi="Arial" w:cs="Arial"/>
          <w:sz w:val="24"/>
          <w:szCs w:val="24"/>
          <w:lang w:val="en-US"/>
        </w:rPr>
        <w:t xml:space="preserve">[4] Association of America Feed Control Officials. </w:t>
      </w:r>
      <w:hyperlink r:id="rId995" w:history="1">
        <w:r w:rsidRPr="00876D96">
          <w:rPr>
            <w:rStyle w:val="Hipervnculo"/>
            <w:rFonts w:ascii="Arial" w:hAnsi="Arial" w:cs="Arial"/>
            <w:sz w:val="24"/>
            <w:szCs w:val="24"/>
            <w:lang w:val="en-US"/>
          </w:rPr>
          <w:t>https://www.aafco.org/</w:t>
        </w:r>
      </w:hyperlink>
    </w:p>
    <w:p w:rsidR="00876D96" w:rsidRPr="00876D96" w:rsidRDefault="00876D96" w:rsidP="00876D96">
      <w:pPr>
        <w:spacing w:line="240" w:lineRule="auto"/>
        <w:jc w:val="both"/>
        <w:rPr>
          <w:rFonts w:ascii="Arial" w:hAnsi="Arial" w:cs="Arial"/>
          <w:sz w:val="24"/>
          <w:szCs w:val="24"/>
          <w:lang w:val="en-US"/>
        </w:rPr>
      </w:pPr>
      <w:r w:rsidRPr="00876D96">
        <w:rPr>
          <w:rFonts w:ascii="Arial" w:hAnsi="Arial" w:cs="Arial"/>
          <w:sz w:val="24"/>
          <w:szCs w:val="24"/>
          <w:lang w:val="en-US"/>
        </w:rPr>
        <w:t xml:space="preserve">[5] Mattey M. (1992). The production of organic acids. </w:t>
      </w:r>
      <w:r w:rsidRPr="00876D96">
        <w:rPr>
          <w:rFonts w:ascii="Arial" w:hAnsi="Arial" w:cs="Arial"/>
          <w:i/>
          <w:sz w:val="24"/>
          <w:szCs w:val="24"/>
          <w:lang w:val="en-US"/>
        </w:rPr>
        <w:t xml:space="preserve">Crit. Rev. Biotechnolog. </w:t>
      </w:r>
      <w:r w:rsidRPr="00876D96">
        <w:rPr>
          <w:rFonts w:ascii="Arial" w:hAnsi="Arial" w:cs="Arial"/>
          <w:sz w:val="24"/>
          <w:szCs w:val="24"/>
          <w:lang w:val="en-US"/>
        </w:rPr>
        <w:t>Vol.12 pp.87-132.</w:t>
      </w:r>
    </w:p>
    <w:p w:rsidR="00876D96" w:rsidRPr="00876D96" w:rsidRDefault="00876D96" w:rsidP="00876D96">
      <w:pPr>
        <w:spacing w:line="240" w:lineRule="auto"/>
        <w:jc w:val="both"/>
        <w:rPr>
          <w:rFonts w:ascii="Arial" w:hAnsi="Arial" w:cs="Arial"/>
          <w:sz w:val="24"/>
          <w:szCs w:val="24"/>
          <w:lang w:val="en-US"/>
        </w:rPr>
      </w:pPr>
      <w:r w:rsidRPr="00876D96">
        <w:rPr>
          <w:rFonts w:ascii="Arial" w:hAnsi="Arial" w:cs="Arial"/>
          <w:sz w:val="24"/>
          <w:szCs w:val="24"/>
          <w:lang w:val="en-US"/>
        </w:rPr>
        <w:t xml:space="preserve">[6] Shu, P., Johnson M. (1948), Citric acid production by submerged fermentation with Aspergillus niger. </w:t>
      </w:r>
      <w:r w:rsidRPr="00876D96">
        <w:rPr>
          <w:rFonts w:ascii="Arial" w:hAnsi="Arial" w:cs="Arial"/>
          <w:i/>
          <w:sz w:val="24"/>
          <w:szCs w:val="24"/>
          <w:lang w:val="en-US"/>
        </w:rPr>
        <w:t>Ind. Eng. Chem.</w:t>
      </w:r>
      <w:r w:rsidRPr="00876D96">
        <w:rPr>
          <w:rFonts w:ascii="Arial" w:hAnsi="Arial" w:cs="Arial"/>
          <w:sz w:val="24"/>
          <w:szCs w:val="24"/>
          <w:lang w:val="en-US"/>
        </w:rPr>
        <w:t xml:space="preserve"> Vol.40. pp.1202-1205.</w:t>
      </w:r>
    </w:p>
    <w:p w:rsidR="00876D96" w:rsidRPr="00876D96" w:rsidRDefault="00876D96" w:rsidP="00876D96">
      <w:pPr>
        <w:spacing w:line="240" w:lineRule="auto"/>
        <w:jc w:val="both"/>
        <w:rPr>
          <w:rFonts w:ascii="Arial" w:hAnsi="Arial" w:cs="Arial"/>
          <w:sz w:val="24"/>
          <w:szCs w:val="24"/>
          <w:lang w:val="en-US"/>
        </w:rPr>
      </w:pPr>
      <w:r w:rsidRPr="00876D96">
        <w:rPr>
          <w:rFonts w:ascii="Arial" w:hAnsi="Arial" w:cs="Arial"/>
          <w:sz w:val="24"/>
          <w:szCs w:val="24"/>
          <w:lang w:val="en-US"/>
        </w:rPr>
        <w:t xml:space="preserve">[7] Sikander A., Haq I., Qadeer M. A., Iqbal J. (2002). Production of Citric Acid by Aspergillus niger using cane molasses in a stirrer fermentor. </w:t>
      </w:r>
      <w:r w:rsidRPr="00876D96">
        <w:rPr>
          <w:rFonts w:ascii="Arial" w:hAnsi="Arial" w:cs="Arial"/>
          <w:i/>
          <w:sz w:val="24"/>
          <w:szCs w:val="24"/>
          <w:lang w:val="en-US"/>
        </w:rPr>
        <w:t xml:space="preserve">Electronic Journal of Biotechnology. </w:t>
      </w:r>
      <w:r w:rsidRPr="00876D96">
        <w:rPr>
          <w:rFonts w:ascii="Arial" w:hAnsi="Arial" w:cs="Arial"/>
          <w:sz w:val="24"/>
          <w:szCs w:val="24"/>
          <w:lang w:val="en-US"/>
        </w:rPr>
        <w:t>Vol. 5.</w:t>
      </w:r>
    </w:p>
    <w:p w:rsidR="00876D96" w:rsidRPr="00876D96" w:rsidRDefault="00876D96" w:rsidP="00876D96">
      <w:pPr>
        <w:spacing w:line="240" w:lineRule="auto"/>
        <w:jc w:val="both"/>
        <w:rPr>
          <w:rFonts w:ascii="Arial" w:hAnsi="Arial" w:cs="Arial"/>
          <w:sz w:val="24"/>
          <w:szCs w:val="24"/>
          <w:lang w:val="en-US"/>
        </w:rPr>
      </w:pPr>
      <w:r w:rsidRPr="00876D96">
        <w:rPr>
          <w:rFonts w:ascii="Arial" w:hAnsi="Arial" w:cs="Arial"/>
          <w:sz w:val="24"/>
          <w:szCs w:val="24"/>
          <w:lang w:val="en-US"/>
        </w:rPr>
        <w:t xml:space="preserve">[8] Lesniak W. (1999). </w:t>
      </w:r>
      <w:r w:rsidRPr="00876D96">
        <w:rPr>
          <w:rFonts w:ascii="Arial" w:hAnsi="Arial" w:cs="Arial"/>
          <w:i/>
          <w:sz w:val="24"/>
          <w:szCs w:val="24"/>
          <w:lang w:val="en-US"/>
        </w:rPr>
        <w:t>Citric acid biotechnology; fermentation substrates.</w:t>
      </w:r>
      <w:r w:rsidRPr="00876D96">
        <w:rPr>
          <w:rFonts w:ascii="Arial" w:hAnsi="Arial" w:cs="Arial"/>
          <w:sz w:val="24"/>
          <w:szCs w:val="24"/>
          <w:lang w:val="en-US"/>
        </w:rPr>
        <w:t xml:space="preserve"> Ed. Kristiansen B. Mattey M. and Linden J. London, Taylor Fransic Ltd. pp. 149-159.</w:t>
      </w:r>
    </w:p>
    <w:p w:rsidR="00876D96" w:rsidRPr="00876D96" w:rsidRDefault="00876D96" w:rsidP="00876D96">
      <w:pPr>
        <w:spacing w:line="240" w:lineRule="auto"/>
        <w:jc w:val="both"/>
        <w:rPr>
          <w:rFonts w:ascii="Arial" w:hAnsi="Arial" w:cs="Arial"/>
          <w:sz w:val="24"/>
          <w:szCs w:val="24"/>
          <w:lang w:val="en-US"/>
        </w:rPr>
      </w:pPr>
      <w:r w:rsidRPr="00876D96">
        <w:rPr>
          <w:rFonts w:ascii="Arial" w:hAnsi="Arial" w:cs="Arial"/>
          <w:sz w:val="24"/>
          <w:szCs w:val="24"/>
          <w:lang w:val="en-US"/>
        </w:rPr>
        <w:t xml:space="preserve">[9] Saffran M Denstedt F. (1948). </w:t>
      </w:r>
      <w:r w:rsidRPr="00876D96">
        <w:rPr>
          <w:rFonts w:ascii="Arial" w:hAnsi="Arial" w:cs="Arial"/>
          <w:i/>
          <w:sz w:val="24"/>
          <w:szCs w:val="24"/>
          <w:lang w:val="en-US"/>
        </w:rPr>
        <w:t xml:space="preserve">A rapid method for the determination of citric acid. </w:t>
      </w:r>
      <w:r w:rsidRPr="00876D96">
        <w:rPr>
          <w:rFonts w:ascii="Arial" w:hAnsi="Arial" w:cs="Arial"/>
          <w:sz w:val="24"/>
          <w:szCs w:val="24"/>
          <w:lang w:val="en-US"/>
        </w:rPr>
        <w:t>Department of Biochemistry. Montreal Cánada.</w:t>
      </w:r>
    </w:p>
    <w:p w:rsidR="00876D96" w:rsidRPr="00FA4EA4" w:rsidRDefault="00876D96" w:rsidP="00876D96">
      <w:pPr>
        <w:spacing w:line="240" w:lineRule="auto"/>
        <w:jc w:val="both"/>
        <w:rPr>
          <w:rFonts w:ascii="Arial" w:hAnsi="Arial" w:cs="Arial"/>
          <w:sz w:val="24"/>
          <w:szCs w:val="24"/>
        </w:rPr>
      </w:pPr>
      <w:r w:rsidRPr="00876D96">
        <w:rPr>
          <w:rFonts w:ascii="Arial" w:hAnsi="Arial" w:cs="Arial"/>
          <w:sz w:val="24"/>
          <w:szCs w:val="24"/>
          <w:lang w:val="en-US"/>
        </w:rPr>
        <w:t xml:space="preserve">[10] Jiménez G. J. C., Pérez E. T. (2004). </w:t>
      </w:r>
      <w:r>
        <w:rPr>
          <w:rFonts w:ascii="Arial" w:hAnsi="Arial" w:cs="Arial"/>
          <w:sz w:val="24"/>
          <w:szCs w:val="24"/>
        </w:rPr>
        <w:t>Estudio cinético de la obtención de ácido cítrico, en un biorreactor a nivel laboratorio y planta piloto. Tesis de licenciatura. Universidad Autónoma Metropolitana.</w:t>
      </w:r>
    </w:p>
    <w:p w:rsidR="004B4415" w:rsidRPr="008A6EAC" w:rsidRDefault="004B4415" w:rsidP="00B31CE1">
      <w:pPr>
        <w:autoSpaceDE w:val="0"/>
        <w:autoSpaceDN w:val="0"/>
        <w:adjustRightInd w:val="0"/>
        <w:jc w:val="both"/>
        <w:rPr>
          <w:iCs/>
          <w:lang w:val="es-MX"/>
        </w:rPr>
      </w:pPr>
    </w:p>
    <w:p w:rsidR="008A6EAC" w:rsidRPr="008A6EAC" w:rsidRDefault="008A6EAC" w:rsidP="008A6EAC">
      <w:pPr>
        <w:pStyle w:val="1Titulo"/>
        <w:numPr>
          <w:ilvl w:val="0"/>
          <w:numId w:val="0"/>
        </w:numPr>
        <w:ind w:left="357"/>
        <w:jc w:val="center"/>
        <w:rPr>
          <w:color w:val="000000"/>
          <w:sz w:val="28"/>
          <w:szCs w:val="28"/>
        </w:rPr>
      </w:pPr>
      <w:bookmarkStart w:id="251" w:name="_Toc50031324"/>
      <w:r w:rsidRPr="008A6EAC">
        <w:rPr>
          <w:sz w:val="28"/>
          <w:szCs w:val="28"/>
        </w:rPr>
        <w:t>Sistema de control basado en la reconfiguración de una red neuronal artificial para estimar conjuntos de movimientos en robots modulares tipo cadena</w:t>
      </w:r>
      <w:bookmarkEnd w:id="251"/>
    </w:p>
    <w:p w:rsidR="008A6EAC" w:rsidRDefault="008A6EAC" w:rsidP="008A6EAC">
      <w:pPr>
        <w:jc w:val="center"/>
        <w:rPr>
          <w:color w:val="000000"/>
          <w:sz w:val="28"/>
          <w:szCs w:val="28"/>
        </w:rPr>
      </w:pPr>
    </w:p>
    <w:p w:rsidR="008A6EAC" w:rsidRDefault="008A6EAC" w:rsidP="008A6EAC">
      <w:pPr>
        <w:pStyle w:val="Author"/>
        <w:rPr>
          <w:rFonts w:ascii="Arial" w:hAnsi="Arial" w:cs="Arial"/>
          <w:szCs w:val="24"/>
          <w:lang w:val="es-ES"/>
        </w:rPr>
      </w:pPr>
      <w:r w:rsidRPr="00D17440">
        <w:rPr>
          <w:rFonts w:ascii="Arial" w:hAnsi="Arial" w:cs="Arial"/>
          <w:szCs w:val="24"/>
          <w:lang w:val="es-ES"/>
        </w:rPr>
        <w:t>Arenas Morantes, Angie</w:t>
      </w:r>
      <w:r>
        <w:rPr>
          <w:rFonts w:ascii="Arial" w:hAnsi="Arial" w:cs="Arial"/>
          <w:szCs w:val="24"/>
          <w:vertAlign w:val="superscript"/>
          <w:lang w:val="es-ES"/>
        </w:rPr>
        <w:t>1</w:t>
      </w:r>
      <w:r w:rsidRPr="00D17440">
        <w:rPr>
          <w:rFonts w:ascii="Arial" w:hAnsi="Arial" w:cs="Arial"/>
          <w:szCs w:val="24"/>
          <w:lang w:val="es-ES"/>
        </w:rPr>
        <w:t>, Rincón Cevallos, Angie</w:t>
      </w:r>
      <w:r>
        <w:rPr>
          <w:rFonts w:ascii="Arial" w:hAnsi="Arial" w:cs="Arial"/>
          <w:szCs w:val="24"/>
          <w:vertAlign w:val="superscript"/>
          <w:lang w:val="es-ES"/>
        </w:rPr>
        <w:t>1</w:t>
      </w:r>
      <w:r w:rsidRPr="00D17440">
        <w:rPr>
          <w:rFonts w:ascii="Arial" w:hAnsi="Arial" w:cs="Arial"/>
          <w:szCs w:val="24"/>
          <w:lang w:val="es-ES"/>
        </w:rPr>
        <w:t xml:space="preserve">, </w:t>
      </w:r>
      <w:r w:rsidRPr="002A0351">
        <w:rPr>
          <w:rFonts w:ascii="Arial" w:hAnsi="Arial" w:cs="Arial"/>
          <w:szCs w:val="24"/>
          <w:u w:val="single"/>
          <w:lang w:val="es-ES"/>
        </w:rPr>
        <w:t>Pedraza, Luis Fernando</w:t>
      </w:r>
      <w:r>
        <w:rPr>
          <w:rFonts w:ascii="Arial" w:hAnsi="Arial" w:cs="Arial"/>
          <w:szCs w:val="24"/>
          <w:u w:val="single"/>
          <w:vertAlign w:val="superscript"/>
          <w:lang w:val="es-ES"/>
        </w:rPr>
        <w:t>1</w:t>
      </w:r>
      <w:r w:rsidRPr="00D17440">
        <w:rPr>
          <w:rFonts w:ascii="Arial" w:hAnsi="Arial" w:cs="Arial"/>
          <w:szCs w:val="24"/>
          <w:lang w:val="es-ES"/>
        </w:rPr>
        <w:t>,</w:t>
      </w:r>
      <w:r>
        <w:rPr>
          <w:rFonts w:ascii="Arial" w:hAnsi="Arial" w:cs="Arial"/>
          <w:szCs w:val="24"/>
          <w:lang w:val="es-ES"/>
        </w:rPr>
        <w:t xml:space="preserve"> Hernández Martínez, Henry</w:t>
      </w:r>
      <w:r>
        <w:rPr>
          <w:rFonts w:ascii="Arial" w:hAnsi="Arial" w:cs="Arial"/>
          <w:szCs w:val="24"/>
          <w:vertAlign w:val="superscript"/>
          <w:lang w:val="es-ES"/>
        </w:rPr>
        <w:t>1</w:t>
      </w:r>
      <w:r>
        <w:rPr>
          <w:rFonts w:ascii="Arial" w:hAnsi="Arial" w:cs="Arial"/>
          <w:szCs w:val="24"/>
          <w:lang w:val="es-ES"/>
        </w:rPr>
        <w:t>, Cadena, Ernesto</w:t>
      </w:r>
      <w:r>
        <w:rPr>
          <w:rFonts w:ascii="Arial" w:hAnsi="Arial" w:cs="Arial"/>
          <w:szCs w:val="24"/>
          <w:vertAlign w:val="superscript"/>
          <w:lang w:val="es-ES"/>
        </w:rPr>
        <w:t>1</w:t>
      </w:r>
      <w:r>
        <w:rPr>
          <w:rFonts w:ascii="Arial" w:hAnsi="Arial" w:cs="Arial"/>
          <w:szCs w:val="24"/>
          <w:lang w:val="es-ES"/>
        </w:rPr>
        <w:t>.</w:t>
      </w:r>
    </w:p>
    <w:p w:rsidR="008A6EAC" w:rsidRDefault="008A6EAC" w:rsidP="008A6EAC">
      <w:pPr>
        <w:pStyle w:val="affiliation"/>
        <w:rPr>
          <w:rFonts w:ascii="Arial" w:hAnsi="Arial" w:cs="Arial"/>
          <w:sz w:val="24"/>
          <w:szCs w:val="24"/>
          <w:vertAlign w:val="superscript"/>
          <w:lang w:val="es-ES"/>
        </w:rPr>
      </w:pPr>
      <w:r>
        <w:rPr>
          <w:rFonts w:ascii="Arial" w:hAnsi="Arial" w:cs="Arial"/>
          <w:sz w:val="24"/>
          <w:szCs w:val="24"/>
          <w:vertAlign w:val="superscript"/>
          <w:lang w:val="es-ES"/>
        </w:rPr>
        <w:t>1</w:t>
      </w:r>
      <w:r>
        <w:rPr>
          <w:rFonts w:ascii="Arial" w:hAnsi="Arial" w:cs="Arial"/>
          <w:sz w:val="24"/>
          <w:szCs w:val="24"/>
          <w:lang w:val="es-ES"/>
        </w:rPr>
        <w:t xml:space="preserve">Universidad Distrital Francisco José de Caldas. </w:t>
      </w:r>
    </w:p>
    <w:p w:rsidR="008A6EAC" w:rsidRPr="002A0351" w:rsidRDefault="008A6EAC" w:rsidP="008A6EAC">
      <w:pPr>
        <w:pStyle w:val="affiliation"/>
        <w:rPr>
          <w:rFonts w:ascii="Arial" w:hAnsi="Arial" w:cs="Arial"/>
          <w:szCs w:val="22"/>
          <w:lang w:val="es-ES"/>
        </w:rPr>
      </w:pPr>
      <w:r w:rsidRPr="002A0351">
        <w:rPr>
          <w:rFonts w:ascii="Arial" w:hAnsi="Arial" w:cs="Arial"/>
          <w:szCs w:val="22"/>
          <w:lang w:val="es-ES"/>
        </w:rPr>
        <w:lastRenderedPageBreak/>
        <w:t>aaarenasm@correo.udistrital.edu.co,aprinconc@correo.udistrital.edu.co,</w:t>
      </w:r>
      <w:hyperlink r:id="rId996" w:history="1">
        <w:r w:rsidRPr="002A0351">
          <w:rPr>
            <w:rStyle w:val="Hipervnculo"/>
            <w:rFonts w:ascii="Arial" w:hAnsi="Arial" w:cs="Arial"/>
            <w:szCs w:val="22"/>
            <w:lang w:val="es-ES"/>
          </w:rPr>
          <w:t>lfpedrazam@udistrital.edu.co</w:t>
        </w:r>
      </w:hyperlink>
      <w:r w:rsidRPr="002A0351">
        <w:rPr>
          <w:rFonts w:ascii="Arial" w:hAnsi="Arial" w:cs="Arial"/>
          <w:szCs w:val="22"/>
          <w:lang w:val="es-ES"/>
        </w:rPr>
        <w:t>,</w:t>
      </w:r>
      <w:hyperlink r:id="rId997" w:history="1">
        <w:r w:rsidRPr="002A0351">
          <w:rPr>
            <w:rStyle w:val="Hipervnculo"/>
            <w:rFonts w:ascii="Arial" w:hAnsi="Arial" w:cs="Arial"/>
            <w:szCs w:val="22"/>
            <w:lang w:val="es-ES"/>
          </w:rPr>
          <w:t>hahernandezm@udistrital.edu.co</w:t>
        </w:r>
      </w:hyperlink>
      <w:r>
        <w:rPr>
          <w:rFonts w:ascii="Arial" w:hAnsi="Arial" w:cs="Arial"/>
          <w:szCs w:val="22"/>
          <w:lang w:val="es-ES"/>
        </w:rPr>
        <w:t xml:space="preserve">, </w:t>
      </w:r>
      <w:r w:rsidRPr="00F47E1D">
        <w:rPr>
          <w:rFonts w:ascii="Arial" w:hAnsi="Arial" w:cs="Arial"/>
          <w:szCs w:val="22"/>
          <w:lang w:val="es-ES"/>
        </w:rPr>
        <w:t>ecadenam@udistrital.edu.co</w:t>
      </w:r>
      <w:r>
        <w:rPr>
          <w:rFonts w:ascii="Arial" w:hAnsi="Arial" w:cs="Arial"/>
          <w:szCs w:val="22"/>
          <w:lang w:val="es-ES"/>
        </w:rPr>
        <w:t>.</w:t>
      </w:r>
      <w:r w:rsidRPr="002A0351">
        <w:rPr>
          <w:rFonts w:ascii="Arial" w:hAnsi="Arial" w:cs="Arial"/>
          <w:szCs w:val="22"/>
          <w:lang w:val="es-ES"/>
        </w:rPr>
        <w:t xml:space="preserve"> </w:t>
      </w:r>
    </w:p>
    <w:p w:rsidR="008A6EAC" w:rsidRPr="008A6EAC" w:rsidRDefault="008A6EAC" w:rsidP="008A6EAC">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olor w:val="000000"/>
          <w:sz w:val="24"/>
          <w:szCs w:val="24"/>
        </w:rPr>
      </w:pPr>
      <w:bookmarkStart w:id="252" w:name="_Toc50031325"/>
      <w:r w:rsidRPr="008A6EAC">
        <w:rPr>
          <w:rFonts w:ascii="Arial" w:hAnsi="Arial" w:cs="Arial"/>
          <w:i/>
          <w:caps/>
          <w:sz w:val="24"/>
          <w:szCs w:val="24"/>
        </w:rPr>
        <w:t>1. R</w:t>
      </w:r>
      <w:r w:rsidRPr="008A6EAC">
        <w:rPr>
          <w:rFonts w:ascii="Arial" w:hAnsi="Arial" w:cs="Arial"/>
          <w:i/>
          <w:sz w:val="24"/>
          <w:szCs w:val="24"/>
        </w:rPr>
        <w:t>esumen</w:t>
      </w:r>
      <w:bookmarkEnd w:id="252"/>
      <w:r w:rsidRPr="008A6EAC">
        <w:rPr>
          <w:rFonts w:ascii="Arial" w:hAnsi="Arial" w:cs="Arial"/>
          <w:i/>
          <w:caps/>
          <w:sz w:val="24"/>
          <w:szCs w:val="24"/>
        </w:rPr>
        <w:t xml:space="preserve"> </w:t>
      </w:r>
    </w:p>
    <w:p w:rsidR="008A6EAC" w:rsidRPr="005C18F3" w:rsidRDefault="008A6EAC" w:rsidP="008A6EAC">
      <w:pPr>
        <w:ind w:firstLine="567"/>
        <w:jc w:val="both"/>
        <w:rPr>
          <w:rFonts w:ascii="Arial" w:hAnsi="Arial" w:cs="Arial"/>
          <w:color w:val="000000"/>
        </w:rPr>
      </w:pPr>
      <w:r w:rsidRPr="00F47E1D">
        <w:rPr>
          <w:rFonts w:ascii="Arial" w:hAnsi="Arial" w:cs="Arial"/>
          <w:color w:val="000000"/>
        </w:rPr>
        <w:t>Los sistemas de múltiples robots (robots modulares) son estructuras flexibles que realizan movimientos al coordinar un conjunto de articulaciones. Sin embargo, la complejidad de generar un movimiento varía en función de la morfología del robot, por lo tanto, al aumentar la cantidad de articulaciones, también lo hace la dificultad para planificar un movimiento. En este trabajo se propone una forma de control para robots modulares en configuraciones de tipo cadena, que le permite al robot recorrer diferentes entornos al modificar la configuración de una RNA (Red Neuronal Artificial) mediante un algoritmo de entrenamiento adaptativo. Este algoritmo estima los parámetros de la RNA en un entorno virtual que implementa tres escenarios diferentes con superficies planas u obstáculos. Finalmente, los parámetros estimados en el simulador se envían al robot modular EMERGE, para evaluar el rendimiento del sistema de control en entornos reales con las mismas características del entorno virtual.</w:t>
      </w:r>
      <w:r>
        <w:rPr>
          <w:rFonts w:ascii="Arial" w:hAnsi="Arial" w:cs="Arial"/>
          <w:color w:val="000000"/>
        </w:rPr>
        <w:t xml:space="preserve"> </w:t>
      </w:r>
    </w:p>
    <w:p w:rsidR="008A6EAC" w:rsidRDefault="008A6EAC" w:rsidP="008A6EAC">
      <w:pPr>
        <w:ind w:firstLine="567"/>
        <w:jc w:val="both"/>
        <w:rPr>
          <w:rFonts w:ascii="Arial" w:hAnsi="Arial" w:cs="Arial"/>
        </w:rPr>
      </w:pPr>
    </w:p>
    <w:p w:rsidR="008A6EAC" w:rsidRPr="008A6EAC" w:rsidRDefault="008A6EAC" w:rsidP="008A6EAC">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aps/>
          <w:sz w:val="24"/>
          <w:szCs w:val="24"/>
        </w:rPr>
      </w:pPr>
      <w:bookmarkStart w:id="253" w:name="_Toc50031326"/>
      <w:r w:rsidRPr="008A6EAC">
        <w:rPr>
          <w:rFonts w:ascii="Arial" w:hAnsi="Arial" w:cs="Arial"/>
          <w:i/>
          <w:caps/>
          <w:sz w:val="24"/>
          <w:szCs w:val="24"/>
        </w:rPr>
        <w:t>2. I</w:t>
      </w:r>
      <w:r w:rsidRPr="008A6EAC">
        <w:rPr>
          <w:rFonts w:ascii="Arial" w:hAnsi="Arial" w:cs="Arial"/>
          <w:i/>
          <w:sz w:val="24"/>
          <w:szCs w:val="24"/>
        </w:rPr>
        <w:t>ntroducción</w:t>
      </w:r>
      <w:bookmarkEnd w:id="253"/>
      <w:r w:rsidRPr="008A6EAC">
        <w:rPr>
          <w:rFonts w:ascii="Arial" w:hAnsi="Arial" w:cs="Arial"/>
          <w:i/>
          <w:caps/>
          <w:sz w:val="24"/>
          <w:szCs w:val="24"/>
        </w:rPr>
        <w:t xml:space="preserve"> </w:t>
      </w:r>
    </w:p>
    <w:p w:rsidR="008A6EAC" w:rsidRDefault="008A6EAC" w:rsidP="008A6EAC">
      <w:pPr>
        <w:numPr>
          <w:ilvl w:val="0"/>
          <w:numId w:val="1"/>
        </w:numPr>
        <w:tabs>
          <w:tab w:val="clear" w:pos="432"/>
          <w:tab w:val="num" w:pos="0"/>
        </w:tabs>
        <w:suppressAutoHyphens/>
        <w:spacing w:after="0" w:line="240" w:lineRule="auto"/>
        <w:ind w:left="0" w:firstLine="0"/>
        <w:jc w:val="both"/>
        <w:rPr>
          <w:rFonts w:ascii="Arial" w:hAnsi="Arial" w:cs="Arial"/>
        </w:rPr>
      </w:pPr>
      <w:r>
        <w:rPr>
          <w:rFonts w:ascii="Arial" w:hAnsi="Arial" w:cs="Arial"/>
        </w:rPr>
        <w:t xml:space="preserve">Un robot modular es una estructura compuesta por múltiples robots, que se combinan en diferentes configuraciones para realizar varios tipos de tarea. Algunas de estas tareas comprenden desde movimientos simples como girar o avanzar hasta algunos movimientos compuestos como arrastrarse o caminar. El alcance y forma de los movimientos de la estructura robótica ensamblada depende de la forma y la cantidad de grados de libertad de cada módulo, ya que, estas variables pueden aumentar la capacidad de procesamiento requerida para sincronizar las articulaciones de cada módulo </w:t>
      </w:r>
      <w:r w:rsidRPr="00E50C52">
        <w:rPr>
          <w:rFonts w:ascii="Arial" w:hAnsi="Arial" w:cs="Arial"/>
          <w:vertAlign w:val="superscript"/>
        </w:rPr>
        <w:t>[1,2]</w:t>
      </w:r>
      <w:r>
        <w:rPr>
          <w:rFonts w:ascii="Arial" w:hAnsi="Arial" w:cs="Arial"/>
        </w:rPr>
        <w:t>.</w:t>
      </w:r>
    </w:p>
    <w:p w:rsidR="008A6EAC" w:rsidRDefault="008A6EAC" w:rsidP="008A6EAC">
      <w:pPr>
        <w:numPr>
          <w:ilvl w:val="0"/>
          <w:numId w:val="1"/>
        </w:numPr>
        <w:tabs>
          <w:tab w:val="clear" w:pos="432"/>
          <w:tab w:val="num" w:pos="0"/>
        </w:tabs>
        <w:suppressAutoHyphens/>
        <w:spacing w:after="0" w:line="240" w:lineRule="auto"/>
        <w:ind w:left="0" w:firstLine="0"/>
        <w:jc w:val="both"/>
        <w:rPr>
          <w:rFonts w:ascii="Arial" w:hAnsi="Arial" w:cs="Arial"/>
        </w:rPr>
      </w:pPr>
      <w:r>
        <w:t xml:space="preserve">        </w:t>
      </w:r>
      <w:r>
        <w:rPr>
          <w:rFonts w:ascii="Arial" w:hAnsi="Arial" w:cs="Arial"/>
        </w:rPr>
        <w:t xml:space="preserve">Existen diversas formas de módulos, debido a que los acoples electro-mecánicos determinan la forma de las caras. Los acoples le permiten al usuario conectar los módulos en configuraciones de conectores macho (con sobresaltos) y hembra (con ranuras) o hermafroditas (combinan ranuras y sobresaltos), en algunas ocasiones estos conectores incorporan buses de conexión para energizar el módulo y/o compartir información entre ellos </w:t>
      </w:r>
      <w:r w:rsidRPr="00E50C52">
        <w:rPr>
          <w:rFonts w:ascii="Arial" w:hAnsi="Arial" w:cs="Arial"/>
          <w:vertAlign w:val="superscript"/>
        </w:rPr>
        <w:t>[3]</w:t>
      </w:r>
      <w:r>
        <w:rPr>
          <w:rFonts w:ascii="Arial" w:hAnsi="Arial" w:cs="Arial"/>
        </w:rPr>
        <w:t xml:space="preserve">. </w:t>
      </w:r>
    </w:p>
    <w:p w:rsidR="008A6EAC" w:rsidRDefault="008A6EAC" w:rsidP="008A6EAC">
      <w:pPr>
        <w:numPr>
          <w:ilvl w:val="0"/>
          <w:numId w:val="1"/>
        </w:numPr>
        <w:tabs>
          <w:tab w:val="clear" w:pos="432"/>
          <w:tab w:val="num" w:pos="0"/>
        </w:tabs>
        <w:suppressAutoHyphens/>
        <w:spacing w:after="0" w:line="240" w:lineRule="auto"/>
        <w:ind w:left="0" w:firstLine="0"/>
        <w:jc w:val="both"/>
        <w:rPr>
          <w:rFonts w:ascii="Arial" w:hAnsi="Arial" w:cs="Arial"/>
        </w:rPr>
      </w:pPr>
      <w:r>
        <w:t xml:space="preserve">        </w:t>
      </w:r>
      <w:r>
        <w:rPr>
          <w:rFonts w:ascii="Arial" w:hAnsi="Arial" w:cs="Arial"/>
        </w:rPr>
        <w:t xml:space="preserve">La información que viaja entre los módulos define la posición de cada articulación, lo que le permite al robot realizar un movimiento. Sin embargo, existe la posibilidad de que los paquetes de información que viajan a través de los buses del robot se pierdan, ya que, los módulos están sujetos a desconexión mientras se mueven, o puede que, el controlador del robot envié más paquetes de los que los módulos pueden procesar. El manejo de los paquetes de información aumenta su complejidad al aumentar los grados de libertad del robot, debido a que, la capacidad de procesamiento del controlador varía en función de la cantidad de sensores, la velocidad de los actuadores del robot y la configuración del controlador </w:t>
      </w:r>
      <w:r w:rsidRPr="00E50C52">
        <w:rPr>
          <w:rFonts w:ascii="Arial" w:hAnsi="Arial" w:cs="Arial"/>
          <w:vertAlign w:val="superscript"/>
        </w:rPr>
        <w:t>[4-5]</w:t>
      </w:r>
      <w:r>
        <w:rPr>
          <w:rFonts w:ascii="Arial" w:hAnsi="Arial" w:cs="Arial"/>
        </w:rPr>
        <w:t>.</w:t>
      </w:r>
    </w:p>
    <w:p w:rsidR="008A6EAC" w:rsidRDefault="008A6EAC" w:rsidP="008A6EAC">
      <w:pPr>
        <w:numPr>
          <w:ilvl w:val="0"/>
          <w:numId w:val="1"/>
        </w:numPr>
        <w:tabs>
          <w:tab w:val="clear" w:pos="432"/>
          <w:tab w:val="num" w:pos="0"/>
        </w:tabs>
        <w:suppressAutoHyphens/>
        <w:spacing w:after="0" w:line="240" w:lineRule="auto"/>
        <w:ind w:left="0" w:firstLine="0"/>
        <w:jc w:val="both"/>
        <w:rPr>
          <w:rFonts w:ascii="Arial" w:hAnsi="Arial" w:cs="Arial"/>
        </w:rPr>
      </w:pPr>
      <w:r>
        <w:rPr>
          <w:rFonts w:ascii="Arial" w:hAnsi="Arial" w:cs="Arial"/>
        </w:rPr>
        <w:t xml:space="preserve">  </w:t>
      </w:r>
      <w:r>
        <w:t xml:space="preserve">        </w:t>
      </w:r>
      <w:r>
        <w:rPr>
          <w:rFonts w:ascii="Arial" w:hAnsi="Arial" w:cs="Arial"/>
        </w:rPr>
        <w:t xml:space="preserve">La velocidad de procesamiento es un factor determinante durante la ejecución de diversas tareas, ya que, reduce o aumenta la velocidad del movimiento y así mismo la duración de una tarea. Algunos algoritmos de control le permiten al usuario reducir la velocidad de procesamiento hasta el punto en que los movimientos repetitivos parecen ejecutarse en tiempo real o guardar conjuntos de memoria del robot para luego enviarlos en cada articulación y ejecutarlos de manera cíclica para evitar el retraso de transito del paquete a través del bus </w:t>
      </w:r>
      <w:r w:rsidRPr="00E50C52">
        <w:rPr>
          <w:rFonts w:ascii="Arial" w:hAnsi="Arial" w:cs="Arial"/>
          <w:vertAlign w:val="superscript"/>
        </w:rPr>
        <w:t>[6]</w:t>
      </w:r>
      <w:r>
        <w:rPr>
          <w:rFonts w:ascii="Arial" w:hAnsi="Arial" w:cs="Arial"/>
        </w:rPr>
        <w:t xml:space="preserve">.  </w:t>
      </w:r>
    </w:p>
    <w:p w:rsidR="008A6EAC" w:rsidRDefault="008A6EAC" w:rsidP="008A6EAC">
      <w:pPr>
        <w:numPr>
          <w:ilvl w:val="0"/>
          <w:numId w:val="1"/>
        </w:numPr>
        <w:tabs>
          <w:tab w:val="clear" w:pos="432"/>
          <w:tab w:val="num" w:pos="0"/>
        </w:tabs>
        <w:suppressAutoHyphens/>
        <w:spacing w:after="0" w:line="240" w:lineRule="auto"/>
        <w:ind w:left="0" w:firstLine="0"/>
        <w:jc w:val="both"/>
        <w:rPr>
          <w:rFonts w:ascii="Arial" w:hAnsi="Arial" w:cs="Arial"/>
        </w:rPr>
      </w:pPr>
      <w:r>
        <w:t xml:space="preserve">         </w:t>
      </w:r>
      <w:r>
        <w:rPr>
          <w:rFonts w:ascii="Arial" w:hAnsi="Arial" w:cs="Arial"/>
        </w:rPr>
        <w:t xml:space="preserve">Las formas de control de un robot modular pueden ser centralizadas, descentralizadas o hibridas. En el primer caso el control de la estructura se encuentra embebido en un único dispositivo. En el segundo caso, el controlador puede ser cualquier módulo de la estructura. En el tercer caso, el controlador incorpora características de los controladores mencionados anteriormente, es decir, hay </w:t>
      </w:r>
      <w:r>
        <w:rPr>
          <w:rFonts w:ascii="Arial" w:hAnsi="Arial" w:cs="Arial"/>
        </w:rPr>
        <w:lastRenderedPageBreak/>
        <w:t xml:space="preserve">un controlador central que envía parámetros a los módulos que traducen dicha información para efectuar una tarea </w:t>
      </w:r>
      <w:r w:rsidRPr="00E50C52">
        <w:rPr>
          <w:rFonts w:ascii="Arial" w:hAnsi="Arial" w:cs="Arial"/>
          <w:vertAlign w:val="superscript"/>
        </w:rPr>
        <w:t>[7-8]</w:t>
      </w:r>
      <w:r>
        <w:rPr>
          <w:rFonts w:ascii="Arial" w:hAnsi="Arial" w:cs="Arial"/>
        </w:rPr>
        <w:t>.</w:t>
      </w:r>
    </w:p>
    <w:p w:rsidR="008A6EAC" w:rsidRDefault="008A6EAC" w:rsidP="008A6EAC">
      <w:pPr>
        <w:numPr>
          <w:ilvl w:val="0"/>
          <w:numId w:val="1"/>
        </w:numPr>
        <w:tabs>
          <w:tab w:val="clear" w:pos="432"/>
          <w:tab w:val="num" w:pos="0"/>
        </w:tabs>
        <w:suppressAutoHyphens/>
        <w:spacing w:after="0" w:line="240" w:lineRule="auto"/>
        <w:ind w:left="0" w:firstLine="0"/>
        <w:jc w:val="both"/>
        <w:rPr>
          <w:rFonts w:ascii="Arial" w:hAnsi="Arial" w:cs="Arial"/>
        </w:rPr>
      </w:pPr>
      <w:r>
        <w:t xml:space="preserve">         </w:t>
      </w:r>
      <w:r>
        <w:rPr>
          <w:rFonts w:ascii="Arial" w:hAnsi="Arial" w:cs="Arial"/>
        </w:rPr>
        <w:t>Como se observa existen muchas formas de controlar un robot modular [9]. No obstante, la perdida de información durante la desconexión del controlador o la perdida de paquetes son casos de estudio para los investigadores en esta área, ya que, al haber perdida de paquetes se incrementa el tiempo de procesamiento del robot, lo que reduce su eficiencia. Por lo tanto, en este trabajo se propone una solución parcial a este problema mediante un controlador inalámbrico que construye el recorrido del robot a partir de una simulación realizada en un computador. Este artículo se encuentra organizado de la siguiente manera: En la sección 3 se encuentra una descripción detallada del experimento realizado para controlar el robot</w:t>
      </w:r>
      <w:r w:rsidRPr="00CB0BC1">
        <w:rPr>
          <w:rFonts w:ascii="Arial" w:hAnsi="Arial" w:cs="Arial"/>
        </w:rPr>
        <w:t>. En la sección 4 se encuentran los principales resultados obtenidos con la ejecución del simulador y el movimiento real del robot.</w:t>
      </w:r>
      <w:r>
        <w:rPr>
          <w:rFonts w:ascii="Arial" w:hAnsi="Arial" w:cs="Arial"/>
        </w:rPr>
        <w:t xml:space="preserve"> </w:t>
      </w:r>
    </w:p>
    <w:p w:rsidR="008A6EAC" w:rsidRDefault="008A6EAC" w:rsidP="008A6EAC">
      <w:pPr>
        <w:jc w:val="both"/>
        <w:rPr>
          <w:rFonts w:ascii="Arial" w:hAnsi="Arial" w:cs="Arial"/>
        </w:rPr>
      </w:pPr>
    </w:p>
    <w:p w:rsidR="008A6EAC" w:rsidRDefault="008A6EAC" w:rsidP="008A6EAC">
      <w:pPr>
        <w:pStyle w:val="1Titulo"/>
        <w:numPr>
          <w:ilvl w:val="0"/>
          <w:numId w:val="0"/>
        </w:numPr>
        <w:ind w:left="357"/>
      </w:pPr>
      <w:bookmarkStart w:id="254" w:name="_Toc50031327"/>
      <w:r>
        <w:t xml:space="preserve">3. </w:t>
      </w:r>
      <w:r w:rsidRPr="00330D36">
        <w:t>Desarrollo del sistema</w:t>
      </w:r>
      <w:bookmarkEnd w:id="254"/>
    </w:p>
    <w:p w:rsidR="008A6EAC" w:rsidRDefault="008A6EAC" w:rsidP="008A6EAC">
      <w:pPr>
        <w:jc w:val="both"/>
        <w:rPr>
          <w:rFonts w:ascii="Arial" w:hAnsi="Arial" w:cs="Arial"/>
        </w:rPr>
      </w:pPr>
      <w:r>
        <w:t xml:space="preserve">        </w:t>
      </w:r>
      <w:r w:rsidRPr="00330D36">
        <w:rPr>
          <w:rFonts w:ascii="Arial" w:hAnsi="Arial" w:cs="Arial"/>
        </w:rPr>
        <w:t>Los robots modulares y la robótica modular son un tema en desarrollo, por lo tanto, en esta sección se presentan los conceptos necesarios para comprender el funcionamiento del robot EMERGE, la forma de control y una descripción de los experimentos realizados para probar el controlador.</w:t>
      </w:r>
    </w:p>
    <w:p w:rsidR="008A6EAC" w:rsidRDefault="008A6EAC" w:rsidP="008A6EAC">
      <w:pPr>
        <w:jc w:val="both"/>
        <w:rPr>
          <w:rFonts w:ascii="Arial" w:hAnsi="Arial" w:cs="Arial"/>
        </w:rPr>
      </w:pPr>
    </w:p>
    <w:p w:rsidR="008A6EAC" w:rsidRPr="00CB0BC1" w:rsidRDefault="008A6EAC" w:rsidP="008A6EAC">
      <w:pPr>
        <w:spacing w:line="360" w:lineRule="auto"/>
        <w:jc w:val="both"/>
        <w:rPr>
          <w:rFonts w:ascii="Arial" w:hAnsi="Arial" w:cs="Arial"/>
          <w:bCs/>
          <w:i/>
          <w:iCs/>
          <w:color w:val="000000"/>
        </w:rPr>
      </w:pPr>
      <w:r w:rsidRPr="00CB0BC1">
        <w:rPr>
          <w:rFonts w:ascii="Arial" w:hAnsi="Arial" w:cs="Arial"/>
          <w:bCs/>
          <w:i/>
          <w:iCs/>
          <w:color w:val="000000"/>
        </w:rPr>
        <w:t>3.1. El robot EMERGE</w:t>
      </w:r>
    </w:p>
    <w:p w:rsidR="008A6EAC" w:rsidRDefault="008A6EAC" w:rsidP="008A6EAC">
      <w:pPr>
        <w:jc w:val="both"/>
        <w:rPr>
          <w:rFonts w:ascii="Arial" w:hAnsi="Arial" w:cs="Arial"/>
        </w:rPr>
      </w:pPr>
      <w:r>
        <w:t xml:space="preserve">        </w:t>
      </w:r>
      <w:r>
        <w:rPr>
          <w:rFonts w:ascii="Arial" w:hAnsi="Arial" w:cs="Arial"/>
        </w:rPr>
        <w:t>El robot EMERGE (Figura 1a) es un prototipo de uso libre, es decir, los materiales, circuitos eléctricos y el procedimiento necesario para su ensamblaje se encuentran disponibles en un repositorio</w:t>
      </w:r>
      <w:r>
        <w:rPr>
          <w:rStyle w:val="Refdenotaalpie"/>
          <w:rFonts w:ascii="Arial" w:hAnsi="Arial" w:cs="Arial"/>
        </w:rPr>
        <w:footnoteReference w:id="2"/>
      </w:r>
      <w:r>
        <w:rPr>
          <w:rFonts w:ascii="Arial" w:hAnsi="Arial" w:cs="Arial"/>
        </w:rPr>
        <w:t xml:space="preserve">. Además, este prototipo es flexible lo que le permite al usuario adaptar los circuitos a sus necesidades particulares </w:t>
      </w:r>
      <w:r w:rsidRPr="00E50C52">
        <w:rPr>
          <w:rFonts w:ascii="Arial" w:hAnsi="Arial" w:cs="Arial"/>
          <w:vertAlign w:val="superscript"/>
        </w:rPr>
        <w:t>[9-12]</w:t>
      </w:r>
      <w:r>
        <w:rPr>
          <w:rFonts w:ascii="Arial" w:hAnsi="Arial" w:cs="Arial"/>
        </w:rPr>
        <w:t>. Por ejemplo, en este caso se agregó al robot un circuito impreso que le permite comunicarse con el computador usando las tecnologías inalámbricas WiFi y LoRa.</w:t>
      </w:r>
    </w:p>
    <w:p w:rsidR="008A6EAC" w:rsidRDefault="008A6EAC" w:rsidP="008A6EAC">
      <w:pPr>
        <w:jc w:val="both"/>
        <w:rPr>
          <w:rFonts w:ascii="Arial" w:hAnsi="Arial" w:cs="Arial"/>
        </w:rPr>
      </w:pPr>
      <w:r>
        <w:t xml:space="preserve">        </w:t>
      </w:r>
      <w:r>
        <w:rPr>
          <w:rFonts w:ascii="Arial" w:hAnsi="Arial" w:cs="Arial"/>
        </w:rPr>
        <w:t xml:space="preserve">Básicamente, este robot se compone de varios módulos (Figura 1b) cuya agrupación depende del usuario. Cada módulo tiene cuatro caras con imanes que le permite conectarse con otros módulos. Además, el exterior de una de las caras tiene una forma sellada con sobresaltos (conector macho, Figura 1(c)) y las otras tienen formas ranuradas (conector hembra, Figura 1(d)). Bajo cada cara hay un circuito impreso de dos caras: En la parte superior tiene cuatro (4) puntos de conexión para energizar y compartir información entre módulos. La información se comparte usando el protocolo CAN (del inglés, </w:t>
      </w:r>
      <w:r w:rsidRPr="00965794">
        <w:rPr>
          <w:rFonts w:ascii="Arial" w:hAnsi="Arial" w:cs="Arial"/>
        </w:rPr>
        <w:t>Controller Area Network</w:t>
      </w:r>
      <w:r>
        <w:rPr>
          <w:rFonts w:ascii="Arial" w:hAnsi="Arial" w:cs="Arial"/>
        </w:rPr>
        <w:t xml:space="preserve">) que le permite al controlador empaquetar, enviar y recibir la información desde un módulo o dispositivo especifico, así la comunicación se realice a través de un solo bus. En la parte inferior de cada circuito impreso se encuentra un controlador local que controla el motor del módulo a partir de los parámetros recibidos por el controlador </w:t>
      </w:r>
      <w:r w:rsidRPr="00E50C52">
        <w:rPr>
          <w:rFonts w:ascii="Arial" w:hAnsi="Arial" w:cs="Arial"/>
          <w:vertAlign w:val="superscript"/>
        </w:rPr>
        <w:t>[9-12]</w:t>
      </w:r>
      <w:r>
        <w:rPr>
          <w:rFonts w:ascii="Arial" w:hAnsi="Arial" w:cs="Arial"/>
        </w:rPr>
        <w:t xml:space="preserve">. </w:t>
      </w:r>
    </w:p>
    <w:p w:rsidR="008A6EAC" w:rsidRDefault="008A6EAC" w:rsidP="008A6EAC">
      <w:pPr>
        <w:jc w:val="both"/>
        <w:rPr>
          <w:rFonts w:ascii="Arial" w:hAnsi="Arial" w:cs="Arial"/>
        </w:rPr>
      </w:pPr>
    </w:p>
    <w:tbl>
      <w:tblPr>
        <w:tblW w:w="0" w:type="auto"/>
        <w:jc w:val="center"/>
        <w:tblLook w:val="04A0" w:firstRow="1" w:lastRow="0" w:firstColumn="1" w:lastColumn="0" w:noHBand="0" w:noVBand="1"/>
      </w:tblPr>
      <w:tblGrid>
        <w:gridCol w:w="5236"/>
        <w:gridCol w:w="4168"/>
      </w:tblGrid>
      <w:tr w:rsidR="008A6EAC" w:rsidRPr="001C797E" w:rsidTr="007F2707">
        <w:trPr>
          <w:jc w:val="center"/>
        </w:trPr>
        <w:tc>
          <w:tcPr>
            <w:tcW w:w="5482" w:type="dxa"/>
            <w:shd w:val="clear" w:color="auto" w:fill="auto"/>
          </w:tcPr>
          <w:p w:rsidR="008A6EAC" w:rsidRPr="001C797E" w:rsidRDefault="008A6EAC" w:rsidP="007F2707">
            <w:pPr>
              <w:jc w:val="center"/>
              <w:rPr>
                <w:rFonts w:ascii="Arial" w:hAnsi="Arial" w:cs="Arial"/>
              </w:rPr>
            </w:pPr>
            <w:r w:rsidRPr="003D0BA6">
              <w:rPr>
                <w:noProof/>
                <w:lang w:val="en-US"/>
              </w:rPr>
              <w:lastRenderedPageBreak/>
              <w:drawing>
                <wp:inline distT="0" distB="0" distL="0" distR="0" wp14:anchorId="21B93526" wp14:editId="5938C0F4">
                  <wp:extent cx="2676525" cy="1190625"/>
                  <wp:effectExtent l="0" t="0" r="9525" b="9525"/>
                  <wp:docPr id="426" name="Imagen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98" cstate="print">
                            <a:extLst>
                              <a:ext uri="{28A0092B-C50C-407E-A947-70E740481C1C}">
                                <a14:useLocalDpi xmlns:a14="http://schemas.microsoft.com/office/drawing/2010/main" val="0"/>
                              </a:ext>
                            </a:extLst>
                          </a:blip>
                          <a:srcRect l="11278" t="24866" r="34436" b="32353"/>
                          <a:stretch>
                            <a:fillRect/>
                          </a:stretch>
                        </pic:blipFill>
                        <pic:spPr bwMode="auto">
                          <a:xfrm>
                            <a:off x="0" y="0"/>
                            <a:ext cx="2676525" cy="1190625"/>
                          </a:xfrm>
                          <a:prstGeom prst="rect">
                            <a:avLst/>
                          </a:prstGeom>
                          <a:noFill/>
                          <a:ln>
                            <a:noFill/>
                          </a:ln>
                        </pic:spPr>
                      </pic:pic>
                    </a:graphicData>
                  </a:graphic>
                </wp:inline>
              </w:drawing>
            </w:r>
          </w:p>
        </w:tc>
        <w:tc>
          <w:tcPr>
            <w:tcW w:w="4706" w:type="dxa"/>
            <w:shd w:val="clear" w:color="auto" w:fill="auto"/>
          </w:tcPr>
          <w:p w:rsidR="008A6EAC" w:rsidRPr="001C797E" w:rsidRDefault="008A6EAC" w:rsidP="007F2707">
            <w:pPr>
              <w:jc w:val="center"/>
              <w:rPr>
                <w:rFonts w:ascii="Arial" w:hAnsi="Arial" w:cs="Arial"/>
              </w:rPr>
            </w:pPr>
            <w:r w:rsidRPr="001C797E">
              <w:rPr>
                <w:rFonts w:ascii="Arial" w:hAnsi="Arial" w:cs="Arial"/>
                <w:noProof/>
                <w:lang w:val="en-US"/>
              </w:rPr>
              <w:drawing>
                <wp:inline distT="0" distB="0" distL="0" distR="0" wp14:anchorId="714F3BC9" wp14:editId="07B5847C">
                  <wp:extent cx="952500" cy="1181100"/>
                  <wp:effectExtent l="0" t="0" r="0" b="0"/>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1"/>
                          <pic:cNvPicPr>
                            <a:picLocks noChangeAspect="1" noChangeArrowheads="1"/>
                          </pic:cNvPicPr>
                        </pic:nvPicPr>
                        <pic:blipFill>
                          <a:blip r:embed="rId999" cstate="print">
                            <a:extLst>
                              <a:ext uri="{28A0092B-C50C-407E-A947-70E740481C1C}">
                                <a14:useLocalDpi xmlns:a14="http://schemas.microsoft.com/office/drawing/2010/main" val="0"/>
                              </a:ext>
                            </a:extLst>
                          </a:blip>
                          <a:srcRect/>
                          <a:stretch>
                            <a:fillRect/>
                          </a:stretch>
                        </pic:blipFill>
                        <pic:spPr bwMode="auto">
                          <a:xfrm>
                            <a:off x="0" y="0"/>
                            <a:ext cx="952500" cy="1181100"/>
                          </a:xfrm>
                          <a:prstGeom prst="rect">
                            <a:avLst/>
                          </a:prstGeom>
                          <a:noFill/>
                          <a:ln>
                            <a:noFill/>
                          </a:ln>
                        </pic:spPr>
                      </pic:pic>
                    </a:graphicData>
                  </a:graphic>
                </wp:inline>
              </w:drawing>
            </w:r>
          </w:p>
        </w:tc>
      </w:tr>
      <w:tr w:rsidR="008A6EAC" w:rsidRPr="001C797E" w:rsidTr="007F2707">
        <w:trPr>
          <w:jc w:val="center"/>
        </w:trPr>
        <w:tc>
          <w:tcPr>
            <w:tcW w:w="5482" w:type="dxa"/>
            <w:shd w:val="clear" w:color="auto" w:fill="auto"/>
          </w:tcPr>
          <w:p w:rsidR="008A6EAC" w:rsidRPr="001C797E" w:rsidRDefault="008A6EAC" w:rsidP="00390F7C">
            <w:pPr>
              <w:numPr>
                <w:ilvl w:val="0"/>
                <w:numId w:val="40"/>
              </w:numPr>
              <w:suppressAutoHyphens/>
              <w:spacing w:after="0" w:line="240" w:lineRule="auto"/>
              <w:jc w:val="center"/>
              <w:rPr>
                <w:rFonts w:ascii="Arial" w:hAnsi="Arial" w:cs="Arial"/>
              </w:rPr>
            </w:pPr>
          </w:p>
        </w:tc>
        <w:tc>
          <w:tcPr>
            <w:tcW w:w="4706" w:type="dxa"/>
            <w:shd w:val="clear" w:color="auto" w:fill="auto"/>
          </w:tcPr>
          <w:p w:rsidR="008A6EAC" w:rsidRPr="001C797E" w:rsidRDefault="008A6EAC" w:rsidP="00390F7C">
            <w:pPr>
              <w:numPr>
                <w:ilvl w:val="0"/>
                <w:numId w:val="40"/>
              </w:numPr>
              <w:suppressAutoHyphens/>
              <w:spacing w:after="0" w:line="240" w:lineRule="auto"/>
              <w:jc w:val="center"/>
              <w:rPr>
                <w:rFonts w:ascii="Arial" w:hAnsi="Arial" w:cs="Arial"/>
              </w:rPr>
            </w:pPr>
          </w:p>
        </w:tc>
      </w:tr>
      <w:tr w:rsidR="008A6EAC" w:rsidRPr="001C797E" w:rsidTr="007F2707">
        <w:trPr>
          <w:jc w:val="center"/>
        </w:trPr>
        <w:tc>
          <w:tcPr>
            <w:tcW w:w="5482" w:type="dxa"/>
            <w:shd w:val="clear" w:color="auto" w:fill="auto"/>
          </w:tcPr>
          <w:p w:rsidR="008A6EAC" w:rsidRPr="001C797E" w:rsidRDefault="008A6EAC" w:rsidP="007F2707">
            <w:pPr>
              <w:jc w:val="center"/>
              <w:rPr>
                <w:rFonts w:ascii="Arial" w:hAnsi="Arial" w:cs="Arial"/>
              </w:rPr>
            </w:pPr>
            <w:r w:rsidRPr="001C797E">
              <w:rPr>
                <w:rFonts w:ascii="Arial" w:hAnsi="Arial" w:cs="Arial"/>
                <w:noProof/>
                <w:lang w:val="en-US"/>
              </w:rPr>
              <w:drawing>
                <wp:inline distT="0" distB="0" distL="0" distR="0" wp14:anchorId="59A84344" wp14:editId="272966B7">
                  <wp:extent cx="1571625" cy="1171575"/>
                  <wp:effectExtent l="0" t="0" r="9525" b="9525"/>
                  <wp:docPr id="424" name="Imagen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2"/>
                          <pic:cNvPicPr>
                            <a:picLocks noChangeAspect="1" noChangeArrowheads="1"/>
                          </pic:cNvPicPr>
                        </pic:nvPicPr>
                        <pic:blipFill>
                          <a:blip r:embed="rId1000" cstate="print">
                            <a:extLst>
                              <a:ext uri="{28A0092B-C50C-407E-A947-70E740481C1C}">
                                <a14:useLocalDpi xmlns:a14="http://schemas.microsoft.com/office/drawing/2010/main" val="0"/>
                              </a:ext>
                            </a:extLst>
                          </a:blip>
                          <a:srcRect/>
                          <a:stretch>
                            <a:fillRect/>
                          </a:stretch>
                        </pic:blipFill>
                        <pic:spPr bwMode="auto">
                          <a:xfrm>
                            <a:off x="0" y="0"/>
                            <a:ext cx="1571625" cy="1171575"/>
                          </a:xfrm>
                          <a:prstGeom prst="rect">
                            <a:avLst/>
                          </a:prstGeom>
                          <a:noFill/>
                          <a:ln>
                            <a:noFill/>
                          </a:ln>
                        </pic:spPr>
                      </pic:pic>
                    </a:graphicData>
                  </a:graphic>
                </wp:inline>
              </w:drawing>
            </w:r>
          </w:p>
        </w:tc>
        <w:tc>
          <w:tcPr>
            <w:tcW w:w="4706" w:type="dxa"/>
            <w:shd w:val="clear" w:color="auto" w:fill="auto"/>
          </w:tcPr>
          <w:p w:rsidR="008A6EAC" w:rsidRPr="001C797E" w:rsidRDefault="008A6EAC" w:rsidP="007F2707">
            <w:pPr>
              <w:jc w:val="center"/>
              <w:rPr>
                <w:rFonts w:ascii="Arial" w:hAnsi="Arial" w:cs="Arial"/>
              </w:rPr>
            </w:pPr>
            <w:r w:rsidRPr="001C797E">
              <w:rPr>
                <w:rFonts w:ascii="Arial" w:hAnsi="Arial" w:cs="Arial"/>
                <w:noProof/>
                <w:lang w:val="en-US"/>
              </w:rPr>
              <w:drawing>
                <wp:inline distT="0" distB="0" distL="0" distR="0" wp14:anchorId="7A563A3E" wp14:editId="59054C77">
                  <wp:extent cx="1400175" cy="1143000"/>
                  <wp:effectExtent l="0" t="0" r="9525" b="0"/>
                  <wp:docPr id="423" name="Imagen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3"/>
                          <pic:cNvPicPr>
                            <a:picLocks noChangeAspect="1" noChangeArrowheads="1"/>
                          </pic:cNvPicPr>
                        </pic:nvPicPr>
                        <pic:blipFill>
                          <a:blip r:embed="rId1001" cstate="print">
                            <a:extLst>
                              <a:ext uri="{28A0092B-C50C-407E-A947-70E740481C1C}">
                                <a14:useLocalDpi xmlns:a14="http://schemas.microsoft.com/office/drawing/2010/main" val="0"/>
                              </a:ext>
                            </a:extLst>
                          </a:blip>
                          <a:srcRect/>
                          <a:stretch>
                            <a:fillRect/>
                          </a:stretch>
                        </pic:blipFill>
                        <pic:spPr bwMode="auto">
                          <a:xfrm>
                            <a:off x="0" y="0"/>
                            <a:ext cx="1400175" cy="1143000"/>
                          </a:xfrm>
                          <a:prstGeom prst="rect">
                            <a:avLst/>
                          </a:prstGeom>
                          <a:noFill/>
                          <a:ln>
                            <a:noFill/>
                          </a:ln>
                        </pic:spPr>
                      </pic:pic>
                    </a:graphicData>
                  </a:graphic>
                </wp:inline>
              </w:drawing>
            </w:r>
          </w:p>
        </w:tc>
      </w:tr>
      <w:tr w:rsidR="008A6EAC" w:rsidRPr="001C797E" w:rsidTr="007F2707">
        <w:trPr>
          <w:jc w:val="center"/>
        </w:trPr>
        <w:tc>
          <w:tcPr>
            <w:tcW w:w="5482" w:type="dxa"/>
            <w:shd w:val="clear" w:color="auto" w:fill="auto"/>
          </w:tcPr>
          <w:p w:rsidR="008A6EAC" w:rsidRPr="001C797E" w:rsidRDefault="008A6EAC" w:rsidP="00390F7C">
            <w:pPr>
              <w:numPr>
                <w:ilvl w:val="0"/>
                <w:numId w:val="40"/>
              </w:numPr>
              <w:suppressAutoHyphens/>
              <w:spacing w:after="0" w:line="240" w:lineRule="auto"/>
              <w:jc w:val="center"/>
              <w:rPr>
                <w:rFonts w:ascii="Arial" w:hAnsi="Arial" w:cs="Arial"/>
              </w:rPr>
            </w:pPr>
          </w:p>
        </w:tc>
        <w:tc>
          <w:tcPr>
            <w:tcW w:w="4706" w:type="dxa"/>
            <w:shd w:val="clear" w:color="auto" w:fill="auto"/>
          </w:tcPr>
          <w:p w:rsidR="008A6EAC" w:rsidRPr="001C797E" w:rsidRDefault="008A6EAC" w:rsidP="00390F7C">
            <w:pPr>
              <w:numPr>
                <w:ilvl w:val="0"/>
                <w:numId w:val="40"/>
              </w:numPr>
              <w:suppressAutoHyphens/>
              <w:spacing w:after="0" w:line="240" w:lineRule="auto"/>
              <w:jc w:val="center"/>
              <w:rPr>
                <w:rFonts w:ascii="Arial" w:hAnsi="Arial" w:cs="Arial"/>
              </w:rPr>
            </w:pPr>
          </w:p>
        </w:tc>
      </w:tr>
    </w:tbl>
    <w:p w:rsidR="008A6EAC" w:rsidRDefault="008A6EAC" w:rsidP="008A6EAC">
      <w:pPr>
        <w:jc w:val="center"/>
        <w:rPr>
          <w:rFonts w:ascii="Arial" w:hAnsi="Arial" w:cs="Arial"/>
          <w:bCs/>
          <w:i/>
          <w:sz w:val="20"/>
          <w:szCs w:val="20"/>
        </w:rPr>
      </w:pPr>
      <w:r>
        <w:rPr>
          <w:rFonts w:ascii="Arial" w:hAnsi="Arial" w:cs="Arial"/>
          <w:bCs/>
          <w:i/>
          <w:sz w:val="20"/>
          <w:szCs w:val="20"/>
        </w:rPr>
        <w:t>Figura 1. Robot modular EMERGE: (a) Ejemplo de ensamble, (b) Modulo del robot, (c) Conector macho y (d) Conector hembra</w:t>
      </w:r>
    </w:p>
    <w:p w:rsidR="008A6EAC" w:rsidRDefault="008A6EAC" w:rsidP="008A6EAC">
      <w:pPr>
        <w:jc w:val="both"/>
      </w:pPr>
    </w:p>
    <w:p w:rsidR="008A6EAC" w:rsidRDefault="008A6EAC" w:rsidP="008A6EAC">
      <w:pPr>
        <w:jc w:val="both"/>
        <w:rPr>
          <w:rFonts w:ascii="Arial" w:hAnsi="Arial" w:cs="Arial"/>
        </w:rPr>
      </w:pPr>
      <w:r>
        <w:t xml:space="preserve">         </w:t>
      </w:r>
      <w:r>
        <w:rPr>
          <w:rFonts w:ascii="Arial" w:hAnsi="Arial" w:cs="Arial"/>
        </w:rPr>
        <w:t xml:space="preserve">La forma de control tradicional del robot EMERGE se basa en un controlador centralizado (Figura 2a) que se implementa sobre la plataforma, es decir, el controlador tiene un algoritmo de control embebido que se ejecuta en tiempo real durante el funcionamiento de la plataforma </w:t>
      </w:r>
      <w:r w:rsidRPr="00E50C52">
        <w:rPr>
          <w:rFonts w:ascii="Arial" w:hAnsi="Arial" w:cs="Arial"/>
          <w:vertAlign w:val="superscript"/>
        </w:rPr>
        <w:t>[9]</w:t>
      </w:r>
      <w:r>
        <w:rPr>
          <w:rFonts w:ascii="Arial" w:hAnsi="Arial" w:cs="Arial"/>
        </w:rPr>
        <w:t xml:space="preserve">. Sin embargo, cuando la plataforma se apaga o algún modulo se desconecta el controlador se desincroniza y el robot deja de moverse, lo cual se reduce al implementar la estrategia de control propuesta en este artículo. </w:t>
      </w:r>
    </w:p>
    <w:p w:rsidR="008A6EAC" w:rsidRDefault="008A6EAC" w:rsidP="008A6EAC">
      <w:pPr>
        <w:jc w:val="both"/>
        <w:rPr>
          <w:rFonts w:ascii="Arial" w:hAnsi="Arial" w:cs="Arial"/>
        </w:rPr>
      </w:pPr>
    </w:p>
    <w:tbl>
      <w:tblPr>
        <w:tblW w:w="0" w:type="auto"/>
        <w:tblLook w:val="04A0" w:firstRow="1" w:lastRow="0" w:firstColumn="1" w:lastColumn="0" w:noHBand="0" w:noVBand="1"/>
      </w:tblPr>
      <w:tblGrid>
        <w:gridCol w:w="4195"/>
        <w:gridCol w:w="3565"/>
        <w:gridCol w:w="1644"/>
      </w:tblGrid>
      <w:tr w:rsidR="008A6EAC" w:rsidRPr="001C797E" w:rsidTr="007F2707">
        <w:tc>
          <w:tcPr>
            <w:tcW w:w="4646" w:type="dxa"/>
            <w:shd w:val="clear" w:color="auto" w:fill="auto"/>
          </w:tcPr>
          <w:p w:rsidR="008A6EAC" w:rsidRPr="001C797E" w:rsidRDefault="008A6EAC" w:rsidP="007F2707">
            <w:pPr>
              <w:jc w:val="center"/>
              <w:rPr>
                <w:rFonts w:ascii="Arial" w:hAnsi="Arial" w:cs="Arial"/>
              </w:rPr>
            </w:pPr>
            <w:r>
              <w:object w:dxaOrig="3915" w:dyaOrig="2415">
                <v:shape id="_x0000_i1414" type="#_x0000_t75" style="width:158.4pt;height:100.8pt" o:ole="">
                  <v:imagedata r:id="rId1002" o:title=""/>
                </v:shape>
                <o:OLEObject Type="Embed" ProgID="PBrush" ShapeID="_x0000_i1414" DrawAspect="Content" ObjectID="_1660649511" r:id="rId1003"/>
              </w:object>
            </w:r>
          </w:p>
        </w:tc>
        <w:tc>
          <w:tcPr>
            <w:tcW w:w="4049" w:type="dxa"/>
            <w:shd w:val="clear" w:color="auto" w:fill="auto"/>
          </w:tcPr>
          <w:p w:rsidR="008A6EAC" w:rsidRPr="001C797E" w:rsidRDefault="008A6EAC" w:rsidP="007F2707">
            <w:pPr>
              <w:jc w:val="center"/>
              <w:rPr>
                <w:rFonts w:ascii="Arial" w:hAnsi="Arial" w:cs="Arial"/>
              </w:rPr>
            </w:pPr>
            <w:r>
              <w:object w:dxaOrig="5175" w:dyaOrig="3975">
                <v:shape id="_x0000_i1415" type="#_x0000_t75" style="width:122.4pt;height:93.6pt" o:ole="">
                  <v:imagedata r:id="rId1004" o:title=""/>
                </v:shape>
                <o:OLEObject Type="Embed" ProgID="PBrush" ShapeID="_x0000_i1415" DrawAspect="Content" ObjectID="_1660649512" r:id="rId1005"/>
              </w:object>
            </w:r>
          </w:p>
        </w:tc>
        <w:tc>
          <w:tcPr>
            <w:tcW w:w="1493" w:type="dxa"/>
            <w:shd w:val="clear" w:color="auto" w:fill="auto"/>
          </w:tcPr>
          <w:p w:rsidR="008A6EAC" w:rsidRDefault="008A6EAC" w:rsidP="007F2707">
            <w:pPr>
              <w:jc w:val="center"/>
            </w:pPr>
            <w:r>
              <w:object w:dxaOrig="6345" w:dyaOrig="8385">
                <v:shape id="_x0000_i1416" type="#_x0000_t75" style="width:1in;height:93.6pt" o:ole="">
                  <v:imagedata r:id="rId1006" o:title=""/>
                </v:shape>
                <o:OLEObject Type="Embed" ProgID="PBrush" ShapeID="_x0000_i1416" DrawAspect="Content" ObjectID="_1660649513" r:id="rId1007"/>
              </w:object>
            </w:r>
          </w:p>
        </w:tc>
      </w:tr>
      <w:tr w:rsidR="008A6EAC" w:rsidRPr="001C797E" w:rsidTr="007F2707">
        <w:tc>
          <w:tcPr>
            <w:tcW w:w="4646" w:type="dxa"/>
            <w:shd w:val="clear" w:color="auto" w:fill="auto"/>
          </w:tcPr>
          <w:p w:rsidR="008A6EAC" w:rsidRPr="003E2190" w:rsidRDefault="008A6EAC" w:rsidP="007F2707">
            <w:pPr>
              <w:jc w:val="center"/>
              <w:rPr>
                <w:rFonts w:ascii="Arial" w:hAnsi="Arial" w:cs="Arial"/>
                <w:sz w:val="20"/>
                <w:szCs w:val="20"/>
              </w:rPr>
            </w:pPr>
            <w:r w:rsidRPr="003E2190">
              <w:rPr>
                <w:rFonts w:ascii="Arial" w:hAnsi="Arial" w:cs="Arial"/>
                <w:sz w:val="20"/>
                <w:szCs w:val="20"/>
              </w:rPr>
              <w:t>(a)</w:t>
            </w:r>
          </w:p>
        </w:tc>
        <w:tc>
          <w:tcPr>
            <w:tcW w:w="4049" w:type="dxa"/>
            <w:shd w:val="clear" w:color="auto" w:fill="auto"/>
          </w:tcPr>
          <w:p w:rsidR="008A6EAC" w:rsidRPr="003E2190" w:rsidRDefault="008A6EAC" w:rsidP="007F2707">
            <w:pPr>
              <w:jc w:val="center"/>
              <w:rPr>
                <w:rFonts w:ascii="Arial" w:hAnsi="Arial" w:cs="Arial"/>
                <w:sz w:val="20"/>
                <w:szCs w:val="20"/>
              </w:rPr>
            </w:pPr>
            <w:r w:rsidRPr="003E2190">
              <w:rPr>
                <w:rFonts w:ascii="Arial" w:hAnsi="Arial" w:cs="Arial"/>
                <w:sz w:val="20"/>
                <w:szCs w:val="20"/>
              </w:rPr>
              <w:t>(b)</w:t>
            </w:r>
          </w:p>
        </w:tc>
        <w:tc>
          <w:tcPr>
            <w:tcW w:w="1493" w:type="dxa"/>
            <w:shd w:val="clear" w:color="auto" w:fill="auto"/>
          </w:tcPr>
          <w:p w:rsidR="008A6EAC" w:rsidRPr="003E2190" w:rsidRDefault="008A6EAC" w:rsidP="007F2707">
            <w:pPr>
              <w:jc w:val="center"/>
              <w:rPr>
                <w:rFonts w:ascii="Arial" w:hAnsi="Arial" w:cs="Arial"/>
                <w:sz w:val="20"/>
                <w:szCs w:val="20"/>
              </w:rPr>
            </w:pPr>
            <w:r w:rsidRPr="003E2190">
              <w:rPr>
                <w:rFonts w:ascii="Arial" w:hAnsi="Arial" w:cs="Arial"/>
                <w:sz w:val="20"/>
                <w:szCs w:val="20"/>
              </w:rPr>
              <w:t>(c)</w:t>
            </w:r>
          </w:p>
        </w:tc>
      </w:tr>
    </w:tbl>
    <w:p w:rsidR="008A6EAC" w:rsidRDefault="008A6EAC" w:rsidP="008A6EAC">
      <w:pPr>
        <w:jc w:val="center"/>
        <w:rPr>
          <w:rFonts w:ascii="Arial" w:hAnsi="Arial" w:cs="Arial"/>
          <w:bCs/>
          <w:i/>
          <w:sz w:val="20"/>
          <w:szCs w:val="20"/>
        </w:rPr>
      </w:pPr>
      <w:r>
        <w:rPr>
          <w:rFonts w:ascii="Arial" w:hAnsi="Arial" w:cs="Arial"/>
          <w:bCs/>
          <w:i/>
          <w:sz w:val="20"/>
          <w:szCs w:val="20"/>
        </w:rPr>
        <w:t>Figura 2. Controladores locales: (a) Tradicional, (b) Modulo LoRa para el robot y (c) Modulo LoRa para el PC</w:t>
      </w:r>
    </w:p>
    <w:p w:rsidR="008A6EAC" w:rsidRDefault="008A6EAC" w:rsidP="008A6EAC">
      <w:pPr>
        <w:jc w:val="both"/>
        <w:rPr>
          <w:rFonts w:ascii="Arial" w:hAnsi="Arial" w:cs="Arial"/>
        </w:rPr>
      </w:pPr>
      <w:r>
        <w:t xml:space="preserve">         </w:t>
      </w:r>
      <w:r>
        <w:rPr>
          <w:rFonts w:ascii="Arial" w:hAnsi="Arial" w:cs="Arial"/>
        </w:rPr>
        <w:t xml:space="preserve">Esta estrategia modifica la forma de control actual con base en un algoritmo evolutivo que se ejecuta en el controlador de manera local. Lo anterior se consigue, generando los parámetros de control en un computador y enviándolos al robot a través de un dispositivo que utiliza tecnología LoRa (Figura 2b y 2c). Este dispositivo reduce la cantidad de cables, ya que inalámbricamente se conecta </w:t>
      </w:r>
      <w:r>
        <w:rPr>
          <w:rFonts w:ascii="Arial" w:hAnsi="Arial" w:cs="Arial"/>
        </w:rPr>
        <w:lastRenderedPageBreak/>
        <w:t xml:space="preserve">con otro dispositivo LoRa conectado al robot que envía la información recibida a cada módulo a través </w:t>
      </w:r>
      <w:r w:rsidRPr="00CB0BC1">
        <w:rPr>
          <w:rFonts w:ascii="Arial" w:hAnsi="Arial" w:cs="Arial"/>
        </w:rPr>
        <w:t xml:space="preserve">del bus CAN </w:t>
      </w:r>
      <w:r w:rsidRPr="00E50C52">
        <w:rPr>
          <w:rFonts w:ascii="Arial" w:hAnsi="Arial" w:cs="Arial"/>
          <w:vertAlign w:val="superscript"/>
        </w:rPr>
        <w:t>[9]</w:t>
      </w:r>
      <w:r w:rsidRPr="00CB0BC1">
        <w:rPr>
          <w:rFonts w:ascii="Arial" w:hAnsi="Arial" w:cs="Arial"/>
        </w:rPr>
        <w:t>.</w:t>
      </w:r>
    </w:p>
    <w:p w:rsidR="008A6EAC" w:rsidRDefault="008A6EAC" w:rsidP="008A6EAC">
      <w:pPr>
        <w:jc w:val="both"/>
        <w:rPr>
          <w:rFonts w:ascii="Arial" w:hAnsi="Arial" w:cs="Arial"/>
        </w:rPr>
      </w:pPr>
      <w:r>
        <w:t xml:space="preserve">         </w:t>
      </w:r>
      <w:r>
        <w:rPr>
          <w:rFonts w:ascii="Arial" w:hAnsi="Arial" w:cs="Arial"/>
        </w:rPr>
        <w:t>Los parámetros de control determinan las posiciones de cada módulo las cuales se estiman en un programa de simulación. El programa implementa una rutina de funcionamiento que le permite al usuario escoger entre dos modos de funcionamiento: Uno de ellos es el modo manual, donde los movimientos del robot se encuentran predefinidos y el otro es el modo automático donde el simulador usa los resultados proporcionados por una RNA para calcular la posición de cada módulo.</w:t>
      </w:r>
    </w:p>
    <w:p w:rsidR="008A6EAC" w:rsidRDefault="008A6EAC" w:rsidP="008A6EAC">
      <w:pPr>
        <w:jc w:val="both"/>
        <w:rPr>
          <w:rFonts w:ascii="Arial" w:hAnsi="Arial" w:cs="Arial"/>
        </w:rPr>
      </w:pPr>
      <w:r>
        <w:t xml:space="preserve">         </w:t>
      </w:r>
      <w:r>
        <w:rPr>
          <w:rFonts w:ascii="Arial" w:hAnsi="Arial" w:cs="Arial"/>
        </w:rPr>
        <w:t xml:space="preserve">Una RNA es un modelo inspirado en el funcionamiento de una red de neuronas, es decir, este modelo conexionista estima un valor de salida a partir del recorrido que realice un conjunto de datos de entrada. Este valor de salida depende de los coeficientes o pesos estimados con un algoritmo de entrenamiento al momento de enseñar los datos de entrenamiento, que básicamente son conjuntos de datos donde el usuario asocia unos valores de entrada a lo que espera como resultado o valor de salida </w:t>
      </w:r>
      <w:r w:rsidRPr="00E50C52">
        <w:rPr>
          <w:rFonts w:ascii="Arial" w:hAnsi="Arial" w:cs="Arial"/>
          <w:vertAlign w:val="superscript"/>
        </w:rPr>
        <w:t>[13-15]</w:t>
      </w:r>
      <w:r>
        <w:rPr>
          <w:rFonts w:ascii="Arial" w:hAnsi="Arial" w:cs="Arial"/>
        </w:rPr>
        <w:t>.</w:t>
      </w:r>
    </w:p>
    <w:p w:rsidR="008A6EAC" w:rsidRDefault="008A6EAC" w:rsidP="008A6EAC">
      <w:pPr>
        <w:jc w:val="both"/>
        <w:rPr>
          <w:rFonts w:ascii="Arial" w:hAnsi="Arial" w:cs="Arial"/>
        </w:rPr>
      </w:pPr>
      <w:r>
        <w:rPr>
          <w:rFonts w:ascii="Arial" w:hAnsi="Arial" w:cs="Arial"/>
        </w:rPr>
        <w:t xml:space="preserve">         En este caso se implementó una RNA (Figura 3a) de retro-propagación (del inglés, back propagation) que implementa un algoritmo de entrenamiento por corrección del error hacia atrás. Es decir, se utiliza un conjunto de datos inicial para estimar un valor de salida, el cual se compara con un conjunto de datos de entrenamiento (Tabla 1) para estimar el margen de error. Además, este algoritmo reorganiza o actualiza los pesos de las capas intermedias de la red de cada capa para reducir el error. En este caso, el conjunto de datos de entrenamiento es una base de datos que tiene la siguiente información: cantidad de módulos, forma del entorno y las posiciones de los módulos. Donde las entradas de la RNA son la forma del entorno y la cantidad de módulos, y la salida son las posiciones de los módulos. </w:t>
      </w:r>
    </w:p>
    <w:p w:rsidR="008A6EAC" w:rsidRDefault="008A6EAC" w:rsidP="008A6EAC">
      <w:pPr>
        <w:jc w:val="both"/>
        <w:rPr>
          <w:rFonts w:ascii="Arial" w:hAnsi="Arial" w:cs="Arial"/>
        </w:rPr>
      </w:pPr>
      <w:r>
        <w:t xml:space="preserve">           </w:t>
      </w:r>
      <w:r>
        <w:rPr>
          <w:rFonts w:ascii="Arial" w:hAnsi="Arial" w:cs="Arial"/>
        </w:rPr>
        <w:t>Las posiciones de los módulos se estimaron de forma manual, es decir, se midieron todos los ángulos y posiciones de los módulos necesarias para que el robot se desplazara de un punto a otro en cada entorno real. Luego estos movimientos se cargaron al simulador y se probaron con los módulos virtualizados y por último se entrenó la RNA para reproducir el conjunto de movimientos dado (Figura 3b).</w:t>
      </w:r>
    </w:p>
    <w:tbl>
      <w:tblPr>
        <w:tblW w:w="0" w:type="auto"/>
        <w:tblLook w:val="04A0" w:firstRow="1" w:lastRow="0" w:firstColumn="1" w:lastColumn="0" w:noHBand="0" w:noVBand="1"/>
      </w:tblPr>
      <w:tblGrid>
        <w:gridCol w:w="9404"/>
      </w:tblGrid>
      <w:tr w:rsidR="008A6EAC" w:rsidRPr="00FF2BBD" w:rsidTr="007F2707">
        <w:tc>
          <w:tcPr>
            <w:tcW w:w="10112" w:type="dxa"/>
            <w:shd w:val="clear" w:color="auto" w:fill="auto"/>
          </w:tcPr>
          <w:p w:rsidR="008A6EAC" w:rsidRPr="00FF2BBD" w:rsidRDefault="008A6EAC" w:rsidP="007F2707">
            <w:pPr>
              <w:jc w:val="both"/>
              <w:rPr>
                <w:rFonts w:ascii="Arial" w:hAnsi="Arial" w:cs="Arial"/>
                <w:bCs/>
                <w:i/>
                <w:sz w:val="20"/>
                <w:szCs w:val="20"/>
              </w:rPr>
            </w:pPr>
            <w:r w:rsidRPr="00FF2BBD">
              <w:rPr>
                <w:rFonts w:ascii="Arial" w:hAnsi="Arial" w:cs="Arial"/>
                <w:noProof/>
                <w:lang w:val="en-US"/>
              </w:rPr>
              <mc:AlternateContent>
                <mc:Choice Requires="wpg">
                  <w:drawing>
                    <wp:anchor distT="0" distB="0" distL="114300" distR="114300" simplePos="0" relativeHeight="251811840" behindDoc="0" locked="0" layoutInCell="1" allowOverlap="1" wp14:anchorId="3B535975" wp14:editId="079BAA62">
                      <wp:simplePos x="0" y="0"/>
                      <wp:positionH relativeFrom="column">
                        <wp:posOffset>1122045</wp:posOffset>
                      </wp:positionH>
                      <wp:positionV relativeFrom="paragraph">
                        <wp:posOffset>64770</wp:posOffset>
                      </wp:positionV>
                      <wp:extent cx="4200525" cy="2381250"/>
                      <wp:effectExtent l="3810" t="635" r="0" b="0"/>
                      <wp:wrapNone/>
                      <wp:docPr id="298038931" name="Grupo 298038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0525" cy="2381250"/>
                                <a:chOff x="2715" y="8573"/>
                                <a:chExt cx="6615" cy="3750"/>
                              </a:xfrm>
                            </wpg:grpSpPr>
                            <wps:wsp>
                              <wps:cNvPr id="298038932" name="AutoShape 392"/>
                              <wps:cNvCnPr>
                                <a:cxnSpLocks noChangeShapeType="1"/>
                              </wps:cNvCnPr>
                              <wps:spPr bwMode="auto">
                                <a:xfrm>
                                  <a:off x="6540" y="9383"/>
                                  <a:ext cx="330" cy="10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98038933" name="Group 393"/>
                              <wpg:cNvGrpSpPr>
                                <a:grpSpLocks/>
                              </wpg:cNvGrpSpPr>
                              <wpg:grpSpPr bwMode="auto">
                                <a:xfrm>
                                  <a:off x="2715" y="8573"/>
                                  <a:ext cx="6615" cy="3750"/>
                                  <a:chOff x="2715" y="8573"/>
                                  <a:chExt cx="6615" cy="3750"/>
                                </a:xfrm>
                              </wpg:grpSpPr>
                              <wps:wsp>
                                <wps:cNvPr id="298038934" name="AutoShape 394"/>
                                <wps:cNvCnPr>
                                  <a:cxnSpLocks noChangeShapeType="1"/>
                                </wps:cNvCnPr>
                                <wps:spPr bwMode="auto">
                                  <a:xfrm flipV="1">
                                    <a:off x="6510" y="9383"/>
                                    <a:ext cx="330" cy="1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98038935" name="Group 395"/>
                                <wpg:cNvGrpSpPr>
                                  <a:grpSpLocks/>
                                </wpg:cNvGrpSpPr>
                                <wpg:grpSpPr bwMode="auto">
                                  <a:xfrm>
                                    <a:off x="2715" y="8573"/>
                                    <a:ext cx="6615" cy="3750"/>
                                    <a:chOff x="2715" y="6642"/>
                                    <a:chExt cx="6615" cy="3750"/>
                                  </a:xfrm>
                                </wpg:grpSpPr>
                                <wpg:grpSp>
                                  <wpg:cNvPr id="298038936" name="Group 396"/>
                                  <wpg:cNvGrpSpPr>
                                    <a:grpSpLocks/>
                                  </wpg:cNvGrpSpPr>
                                  <wpg:grpSpPr bwMode="auto">
                                    <a:xfrm>
                                      <a:off x="2820" y="7002"/>
                                      <a:ext cx="6330" cy="3180"/>
                                      <a:chOff x="2820" y="6405"/>
                                      <a:chExt cx="6330" cy="3180"/>
                                    </a:xfrm>
                                  </wpg:grpSpPr>
                                  <wpg:grpSp>
                                    <wpg:cNvPr id="298038937" name="Group 397"/>
                                    <wpg:cNvGrpSpPr>
                                      <a:grpSpLocks/>
                                    </wpg:cNvGrpSpPr>
                                    <wpg:grpSpPr bwMode="auto">
                                      <a:xfrm>
                                        <a:off x="3195" y="6495"/>
                                        <a:ext cx="5655" cy="3060"/>
                                        <a:chOff x="3195" y="6495"/>
                                        <a:chExt cx="5655" cy="3060"/>
                                      </a:xfrm>
                                    </wpg:grpSpPr>
                                    <wpg:grpSp>
                                      <wpg:cNvPr id="298038938" name="Group 398"/>
                                      <wpg:cNvGrpSpPr>
                                        <a:grpSpLocks/>
                                      </wpg:cNvGrpSpPr>
                                      <wpg:grpSpPr bwMode="auto">
                                        <a:xfrm>
                                          <a:off x="3195" y="6495"/>
                                          <a:ext cx="5655" cy="3060"/>
                                          <a:chOff x="3195" y="6495"/>
                                          <a:chExt cx="5655" cy="3060"/>
                                        </a:xfrm>
                                      </wpg:grpSpPr>
                                      <wpg:grpSp>
                                        <wpg:cNvPr id="298038939" name="Group 399"/>
                                        <wpg:cNvGrpSpPr>
                                          <a:grpSpLocks/>
                                        </wpg:cNvGrpSpPr>
                                        <wpg:grpSpPr bwMode="auto">
                                          <a:xfrm>
                                            <a:off x="3195" y="6495"/>
                                            <a:ext cx="5655" cy="3060"/>
                                            <a:chOff x="3195" y="6495"/>
                                            <a:chExt cx="5655" cy="3060"/>
                                          </a:xfrm>
                                        </wpg:grpSpPr>
                                        <wpg:grpSp>
                                          <wpg:cNvPr id="298038940" name="Group 400"/>
                                          <wpg:cNvGrpSpPr>
                                            <a:grpSpLocks/>
                                          </wpg:cNvGrpSpPr>
                                          <wpg:grpSpPr bwMode="auto">
                                            <a:xfrm>
                                              <a:off x="3195" y="6495"/>
                                              <a:ext cx="5655" cy="3060"/>
                                              <a:chOff x="3195" y="6495"/>
                                              <a:chExt cx="5655" cy="3060"/>
                                            </a:xfrm>
                                          </wpg:grpSpPr>
                                          <wps:wsp>
                                            <wps:cNvPr id="298038941" name="AutoShape 401"/>
                                            <wps:cNvCnPr>
                                              <a:cxnSpLocks noChangeShapeType="1"/>
                                            </wps:cNvCnPr>
                                            <wps:spPr bwMode="auto">
                                              <a:xfrm>
                                                <a:off x="5355" y="9195"/>
                                                <a:ext cx="3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98038942" name="Group 402"/>
                                            <wpg:cNvGrpSpPr>
                                              <a:grpSpLocks/>
                                            </wpg:cNvGrpSpPr>
                                            <wpg:grpSpPr bwMode="auto">
                                              <a:xfrm>
                                                <a:off x="3195" y="6495"/>
                                                <a:ext cx="5655" cy="3060"/>
                                                <a:chOff x="3195" y="6495"/>
                                                <a:chExt cx="5655" cy="3060"/>
                                              </a:xfrm>
                                            </wpg:grpSpPr>
                                            <wps:wsp>
                                              <wps:cNvPr id="298038943" name="AutoShape 403"/>
                                              <wps:cNvCnPr>
                                                <a:cxnSpLocks noChangeShapeType="1"/>
                                              </wps:cNvCnPr>
                                              <wps:spPr bwMode="auto">
                                                <a:xfrm>
                                                  <a:off x="4005" y="8670"/>
                                                  <a:ext cx="555" cy="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781276352" name="Group 404"/>
                                              <wpg:cNvGrpSpPr>
                                                <a:grpSpLocks/>
                                              </wpg:cNvGrpSpPr>
                                              <wpg:grpSpPr bwMode="auto">
                                                <a:xfrm>
                                                  <a:off x="3195" y="6495"/>
                                                  <a:ext cx="5655" cy="3060"/>
                                                  <a:chOff x="3195" y="6495"/>
                                                  <a:chExt cx="5655" cy="3060"/>
                                                </a:xfrm>
                                              </wpg:grpSpPr>
                                              <wpg:grpSp>
                                                <wpg:cNvPr id="781276353" name="Group 405"/>
                                                <wpg:cNvGrpSpPr>
                                                  <a:grpSpLocks/>
                                                </wpg:cNvGrpSpPr>
                                                <wpg:grpSpPr bwMode="auto">
                                                  <a:xfrm>
                                                    <a:off x="3195" y="6495"/>
                                                    <a:ext cx="5655" cy="3060"/>
                                                    <a:chOff x="3195" y="6495"/>
                                                    <a:chExt cx="5655" cy="3060"/>
                                                  </a:xfrm>
                                                </wpg:grpSpPr>
                                                <wps:wsp>
                                                  <wps:cNvPr id="781276354" name="Oval 406"/>
                                                  <wps:cNvSpPr>
                                                    <a:spLocks noChangeArrowheads="1"/>
                                                  </wps:cNvSpPr>
                                                  <wps:spPr bwMode="auto">
                                                    <a:xfrm>
                                                      <a:off x="3195" y="7125"/>
                                                      <a:ext cx="780" cy="7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81276355" name="Oval 407"/>
                                                  <wps:cNvSpPr>
                                                    <a:spLocks noChangeArrowheads="1"/>
                                                  </wps:cNvSpPr>
                                                  <wps:spPr bwMode="auto">
                                                    <a:xfrm>
                                                      <a:off x="3225" y="8325"/>
                                                      <a:ext cx="780" cy="7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81276356" name="Oval 408"/>
                                                  <wps:cNvSpPr>
                                                    <a:spLocks noChangeArrowheads="1"/>
                                                  </wps:cNvSpPr>
                                                  <wps:spPr bwMode="auto">
                                                    <a:xfrm>
                                                      <a:off x="4530" y="6540"/>
                                                      <a:ext cx="780" cy="7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81276357" name="Oval 409"/>
                                                  <wps:cNvSpPr>
                                                    <a:spLocks noChangeArrowheads="1"/>
                                                  </wps:cNvSpPr>
                                                  <wps:spPr bwMode="auto">
                                                    <a:xfrm>
                                                      <a:off x="4560" y="7620"/>
                                                      <a:ext cx="780" cy="7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81276358" name="Oval 410"/>
                                                  <wps:cNvSpPr>
                                                    <a:spLocks noChangeArrowheads="1"/>
                                                  </wps:cNvSpPr>
                                                  <wps:spPr bwMode="auto">
                                                    <a:xfrm>
                                                      <a:off x="4575" y="8775"/>
                                                      <a:ext cx="780" cy="7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81276359" name="Oval 411"/>
                                                  <wps:cNvSpPr>
                                                    <a:spLocks noChangeArrowheads="1"/>
                                                  </wps:cNvSpPr>
                                                  <wps:spPr bwMode="auto">
                                                    <a:xfrm>
                                                      <a:off x="5700" y="6510"/>
                                                      <a:ext cx="780" cy="7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81276360" name="Oval 412"/>
                                                  <wps:cNvSpPr>
                                                    <a:spLocks noChangeArrowheads="1"/>
                                                  </wps:cNvSpPr>
                                                  <wps:spPr bwMode="auto">
                                                    <a:xfrm>
                                                      <a:off x="5730" y="7590"/>
                                                      <a:ext cx="780" cy="7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81276361" name="Oval 413"/>
                                                  <wps:cNvSpPr>
                                                    <a:spLocks noChangeArrowheads="1"/>
                                                  </wps:cNvSpPr>
                                                  <wps:spPr bwMode="auto">
                                                    <a:xfrm>
                                                      <a:off x="5745" y="8745"/>
                                                      <a:ext cx="780" cy="7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81276362" name="Oval 414"/>
                                                  <wps:cNvSpPr>
                                                    <a:spLocks noChangeArrowheads="1"/>
                                                  </wps:cNvSpPr>
                                                  <wps:spPr bwMode="auto">
                                                    <a:xfrm>
                                                      <a:off x="6870" y="6495"/>
                                                      <a:ext cx="780" cy="7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81276363" name="Oval 415"/>
                                                  <wps:cNvSpPr>
                                                    <a:spLocks noChangeArrowheads="1"/>
                                                  </wps:cNvSpPr>
                                                  <wps:spPr bwMode="auto">
                                                    <a:xfrm>
                                                      <a:off x="6900" y="7575"/>
                                                      <a:ext cx="780" cy="7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81276364" name="Oval 416"/>
                                                  <wps:cNvSpPr>
                                                    <a:spLocks noChangeArrowheads="1"/>
                                                  </wps:cNvSpPr>
                                                  <wps:spPr bwMode="auto">
                                                    <a:xfrm>
                                                      <a:off x="6915" y="8730"/>
                                                      <a:ext cx="780" cy="7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81276365" name="Oval 417"/>
                                                  <wps:cNvSpPr>
                                                    <a:spLocks noChangeArrowheads="1"/>
                                                  </wps:cNvSpPr>
                                                  <wps:spPr bwMode="auto">
                                                    <a:xfrm>
                                                      <a:off x="8070" y="7575"/>
                                                      <a:ext cx="780" cy="7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81276366" name="AutoShape 418"/>
                                                  <wps:cNvCnPr>
                                                    <a:cxnSpLocks noChangeShapeType="1"/>
                                                  </wps:cNvCnPr>
                                                  <wps:spPr bwMode="auto">
                                                    <a:xfrm flipV="1">
                                                      <a:off x="3975" y="6975"/>
                                                      <a:ext cx="540" cy="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1276367" name="AutoShape 419"/>
                                                  <wps:cNvCnPr>
                                                    <a:cxnSpLocks noChangeShapeType="1"/>
                                                  </wps:cNvCnPr>
                                                  <wps:spPr bwMode="auto">
                                                    <a:xfrm>
                                                      <a:off x="3975" y="7410"/>
                                                      <a:ext cx="570" cy="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1276368" name="AutoShape 420"/>
                                                  <wps:cNvCnPr>
                                                    <a:cxnSpLocks noChangeShapeType="1"/>
                                                  </wps:cNvCnPr>
                                                  <wps:spPr bwMode="auto">
                                                    <a:xfrm>
                                                      <a:off x="3990" y="7410"/>
                                                      <a:ext cx="585" cy="17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1276369" name="AutoShape 421"/>
                                                  <wps:cNvCnPr>
                                                    <a:cxnSpLocks noChangeShapeType="1"/>
                                                  </wps:cNvCnPr>
                                                  <wps:spPr bwMode="auto">
                                                    <a:xfrm flipV="1">
                                                      <a:off x="4005" y="7050"/>
                                                      <a:ext cx="465" cy="15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1276370" name="AutoShape 422"/>
                                                  <wps:cNvCnPr>
                                                    <a:cxnSpLocks noChangeShapeType="1"/>
                                                  </wps:cNvCnPr>
                                                  <wps:spPr bwMode="auto">
                                                    <a:xfrm flipV="1">
                                                      <a:off x="4005" y="7995"/>
                                                      <a:ext cx="510" cy="6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781276371" name="AutoShape 423"/>
                                                <wps:cNvCnPr>
                                                  <a:cxnSpLocks noChangeShapeType="1"/>
                                                </wps:cNvCnPr>
                                                <wps:spPr bwMode="auto">
                                                  <a:xfrm>
                                                    <a:off x="6510" y="6885"/>
                                                    <a:ext cx="3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1276372" name="AutoShape 424"/>
                                                <wps:cNvCnPr>
                                                  <a:cxnSpLocks noChangeShapeType="1"/>
                                                </wps:cNvCnPr>
                                                <wps:spPr bwMode="auto">
                                                  <a:xfrm>
                                                    <a:off x="7665" y="6915"/>
                                                    <a:ext cx="435" cy="8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1276373" name="AutoShape 425"/>
                                                <wps:cNvCnPr>
                                                  <a:cxnSpLocks noChangeShapeType="1"/>
                                                </wps:cNvCnPr>
                                                <wps:spPr bwMode="auto">
                                                  <a:xfrm>
                                                    <a:off x="5310" y="6900"/>
                                                    <a:ext cx="420" cy="1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1276374" name="AutoShape 426"/>
                                                <wps:cNvCnPr>
                                                  <a:cxnSpLocks noChangeShapeType="1"/>
                                                </wps:cNvCnPr>
                                                <wps:spPr bwMode="auto">
                                                  <a:xfrm>
                                                    <a:off x="5325" y="6915"/>
                                                    <a:ext cx="405" cy="22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1276375" name="AutoShape 427"/>
                                                <wps:cNvCnPr>
                                                  <a:cxnSpLocks noChangeShapeType="1"/>
                                                </wps:cNvCnPr>
                                                <wps:spPr bwMode="auto">
                                                  <a:xfrm flipV="1">
                                                    <a:off x="5325" y="6930"/>
                                                    <a:ext cx="345" cy="1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1276376" name="AutoShape 428"/>
                                                <wps:cNvCnPr>
                                                  <a:cxnSpLocks noChangeShapeType="1"/>
                                                </wps:cNvCnPr>
                                                <wps:spPr bwMode="auto">
                                                  <a:xfrm>
                                                    <a:off x="5340" y="8025"/>
                                                    <a:ext cx="390" cy="1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1276377" name="AutoShape 429"/>
                                                <wps:cNvCnPr>
                                                  <a:cxnSpLocks noChangeShapeType="1"/>
                                                </wps:cNvCnPr>
                                                <wps:spPr bwMode="auto">
                                                  <a:xfrm flipV="1">
                                                    <a:off x="5370" y="8070"/>
                                                    <a:ext cx="330" cy="11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1276378" name="AutoShape 430"/>
                                                <wps:cNvCnPr>
                                                  <a:cxnSpLocks noChangeShapeType="1"/>
                                                </wps:cNvCnPr>
                                                <wps:spPr bwMode="auto">
                                                  <a:xfrm flipV="1">
                                                    <a:off x="5355" y="6960"/>
                                                    <a:ext cx="300" cy="2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1276379" name="AutoShape 431"/>
                                                <wps:cNvCnPr>
                                                  <a:cxnSpLocks noChangeShapeType="1"/>
                                                </wps:cNvCnPr>
                                                <wps:spPr bwMode="auto">
                                                  <a:xfrm>
                                                    <a:off x="6540" y="6900"/>
                                                    <a:ext cx="405" cy="19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1276380" name="AutoShape 432"/>
                                                <wps:cNvCnPr>
                                                  <a:cxnSpLocks noChangeShapeType="1"/>
                                                </wps:cNvCnPr>
                                                <wps:spPr bwMode="auto">
                                                  <a:xfrm>
                                                    <a:off x="6525" y="7965"/>
                                                    <a:ext cx="375" cy="1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1276381" name="AutoShape 433"/>
                                                <wps:cNvCnPr>
                                                  <a:cxnSpLocks noChangeShapeType="1"/>
                                                </wps:cNvCnPr>
                                                <wps:spPr bwMode="auto">
                                                  <a:xfrm flipV="1">
                                                    <a:off x="6555" y="8085"/>
                                                    <a:ext cx="330" cy="1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1276383" name="AutoShape 434"/>
                                                <wps:cNvCnPr>
                                                  <a:cxnSpLocks noChangeShapeType="1"/>
                                                </wps:cNvCnPr>
                                                <wps:spPr bwMode="auto">
                                                  <a:xfrm flipV="1">
                                                    <a:off x="6555" y="7065"/>
                                                    <a:ext cx="315" cy="20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6623616" name="AutoShape 435"/>
                                                <wps:cNvCnPr>
                                                  <a:cxnSpLocks noChangeShapeType="1"/>
                                                </wps:cNvCnPr>
                                                <wps:spPr bwMode="auto">
                                                  <a:xfrm flipV="1">
                                                    <a:off x="7710" y="8100"/>
                                                    <a:ext cx="375" cy="9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6623617" name="AutoShape 436"/>
                                                <wps:cNvCnPr>
                                                  <a:cxnSpLocks noChangeShapeType="1"/>
                                                </wps:cNvCnPr>
                                                <wps:spPr bwMode="auto">
                                                  <a:xfrm flipV="1">
                                                    <a:off x="7695" y="7950"/>
                                                    <a:ext cx="360" cy="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s:wsp>
                                          <wps:cNvPr id="2026623618" name="AutoShape 437"/>
                                          <wps:cNvCnPr>
                                            <a:cxnSpLocks noChangeShapeType="1"/>
                                          </wps:cNvCnPr>
                                          <wps:spPr bwMode="auto">
                                            <a:xfrm flipV="1">
                                              <a:off x="5325" y="6885"/>
                                              <a:ext cx="375" cy="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6623619" name="AutoShape 438"/>
                                          <wps:cNvCnPr>
                                            <a:cxnSpLocks noChangeShapeType="1"/>
                                          </wps:cNvCnPr>
                                          <wps:spPr bwMode="auto">
                                            <a:xfrm>
                                              <a:off x="5325" y="8010"/>
                                              <a:ext cx="375" cy="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026623620" name="AutoShape 439"/>
                                        <wps:cNvCnPr>
                                          <a:cxnSpLocks noChangeShapeType="1"/>
                                        </wps:cNvCnPr>
                                        <wps:spPr bwMode="auto">
                                          <a:xfrm>
                                            <a:off x="6525" y="7980"/>
                                            <a:ext cx="375" cy="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026623621" name="AutoShape 440"/>
                                      <wps:cNvCnPr>
                                        <a:cxnSpLocks noChangeShapeType="1"/>
                                      </wps:cNvCnPr>
                                      <wps:spPr bwMode="auto">
                                        <a:xfrm>
                                          <a:off x="6540" y="9120"/>
                                          <a:ext cx="3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026623622" name="Rectangle 441"/>
                                    <wps:cNvSpPr>
                                      <a:spLocks noChangeArrowheads="1"/>
                                    </wps:cNvSpPr>
                                    <wps:spPr bwMode="auto">
                                      <a:xfrm>
                                        <a:off x="2820" y="6405"/>
                                        <a:ext cx="1335" cy="3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6623623" name="Rectangle 442"/>
                                    <wps:cNvSpPr>
                                      <a:spLocks noChangeArrowheads="1"/>
                                    </wps:cNvSpPr>
                                    <wps:spPr bwMode="auto">
                                      <a:xfrm>
                                        <a:off x="4155" y="6420"/>
                                        <a:ext cx="3660" cy="3165"/>
                                      </a:xfrm>
                                      <a:prstGeom prst="rect">
                                        <a:avLst/>
                                      </a:prstGeom>
                                      <a:noFill/>
                                      <a:ln w="2857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6623624" name="Rectangle 443"/>
                                    <wps:cNvSpPr>
                                      <a:spLocks noChangeArrowheads="1"/>
                                    </wps:cNvSpPr>
                                    <wps:spPr bwMode="auto">
                                      <a:xfrm>
                                        <a:off x="7815" y="6405"/>
                                        <a:ext cx="1335" cy="3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026623625" name="Text Box 444"/>
                                  <wps:cNvSpPr txBox="1">
                                    <a:spLocks noChangeArrowheads="1"/>
                                  </wps:cNvSpPr>
                                  <wps:spPr bwMode="auto">
                                    <a:xfrm>
                                      <a:off x="2715" y="7347"/>
                                      <a:ext cx="615" cy="2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C0F" w:rsidRPr="00051206" w:rsidRDefault="00C20C0F" w:rsidP="008A6EAC">
                                        <w:pPr>
                                          <w:rPr>
                                            <w:lang w:val="es-CO"/>
                                          </w:rPr>
                                        </w:pPr>
                                        <w:r>
                                          <w:rPr>
                                            <w:lang w:val="es-CO"/>
                                          </w:rPr>
                                          <w:t>CAPA DE ENTRADA</w:t>
                                        </w:r>
                                      </w:p>
                                    </w:txbxContent>
                                  </wps:txbx>
                                  <wps:bodyPr rot="0" vert="vert270" wrap="square" lIns="91440" tIns="45720" rIns="91440" bIns="45720" anchor="t" anchorCtr="0" upright="1">
                                    <a:noAutofit/>
                                  </wps:bodyPr>
                                </wps:wsp>
                                <wps:wsp>
                                  <wps:cNvPr id="2026623626" name="Text Box 445"/>
                                  <wps:cNvSpPr txBox="1">
                                    <a:spLocks noChangeArrowheads="1"/>
                                  </wps:cNvSpPr>
                                  <wps:spPr bwMode="auto">
                                    <a:xfrm>
                                      <a:off x="2985" y="7452"/>
                                      <a:ext cx="1635"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C0F" w:rsidRPr="00051206" w:rsidRDefault="00C20C0F" w:rsidP="008A6EAC">
                                        <w:pPr>
                                          <w:rPr>
                                            <w:b/>
                                            <w:bCs/>
                                            <w:sz w:val="16"/>
                                            <w:szCs w:val="16"/>
                                            <w:lang w:val="es-CO"/>
                                          </w:rPr>
                                        </w:pPr>
                                        <w:r w:rsidRPr="00051206">
                                          <w:rPr>
                                            <w:b/>
                                            <w:bCs/>
                                            <w:sz w:val="16"/>
                                            <w:szCs w:val="16"/>
                                            <w:lang w:val="es-CO"/>
                                          </w:rPr>
                                          <w:t>ESCENARIO</w:t>
                                        </w:r>
                                      </w:p>
                                    </w:txbxContent>
                                  </wps:txbx>
                                  <wps:bodyPr rot="0" vert="horz" wrap="square" lIns="91440" tIns="45720" rIns="91440" bIns="45720" anchor="t" anchorCtr="0" upright="1">
                                    <a:noAutofit/>
                                  </wps:bodyPr>
                                </wps:wsp>
                                <wps:wsp>
                                  <wps:cNvPr id="2026623627" name="Text Box 446"/>
                                  <wps:cNvSpPr txBox="1">
                                    <a:spLocks noChangeArrowheads="1"/>
                                  </wps:cNvSpPr>
                                  <wps:spPr bwMode="auto">
                                    <a:xfrm>
                                      <a:off x="2790" y="9717"/>
                                      <a:ext cx="1470" cy="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C0F" w:rsidRPr="00051206" w:rsidRDefault="00C20C0F" w:rsidP="008A6EAC">
                                        <w:pPr>
                                          <w:jc w:val="center"/>
                                          <w:rPr>
                                            <w:b/>
                                            <w:bCs/>
                                            <w:sz w:val="16"/>
                                            <w:szCs w:val="16"/>
                                            <w:lang w:val="es-CO"/>
                                          </w:rPr>
                                        </w:pPr>
                                        <w:r>
                                          <w:rPr>
                                            <w:b/>
                                            <w:bCs/>
                                            <w:sz w:val="16"/>
                                            <w:szCs w:val="16"/>
                                            <w:lang w:val="es-CO"/>
                                          </w:rPr>
                                          <w:t>CANTIDAD DE MODULOS</w:t>
                                        </w:r>
                                      </w:p>
                                    </w:txbxContent>
                                  </wps:txbx>
                                  <wps:bodyPr rot="0" vert="horz" wrap="square" lIns="91440" tIns="45720" rIns="91440" bIns="45720" anchor="t" anchorCtr="0" upright="1">
                                    <a:noAutofit/>
                                  </wps:bodyPr>
                                </wps:wsp>
                                <wps:wsp>
                                  <wps:cNvPr id="2026623628" name="Text Box 447"/>
                                  <wps:cNvSpPr txBox="1">
                                    <a:spLocks noChangeArrowheads="1"/>
                                  </wps:cNvSpPr>
                                  <wps:spPr bwMode="auto">
                                    <a:xfrm>
                                      <a:off x="4650" y="6642"/>
                                      <a:ext cx="391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C0F" w:rsidRPr="00051206" w:rsidRDefault="00C20C0F" w:rsidP="008A6EAC">
                                        <w:pPr>
                                          <w:rPr>
                                            <w:lang w:val="es-CO"/>
                                          </w:rPr>
                                        </w:pPr>
                                        <w:r>
                                          <w:rPr>
                                            <w:lang w:val="es-CO"/>
                                          </w:rPr>
                                          <w:t>CAPAS OCULTAS =25</w:t>
                                        </w:r>
                                      </w:p>
                                    </w:txbxContent>
                                  </wps:txbx>
                                  <wps:bodyPr rot="0" vert="horz" wrap="square" lIns="91440" tIns="45720" rIns="91440" bIns="45720" anchor="t" anchorCtr="0" upright="1">
                                    <a:noAutofit/>
                                  </wps:bodyPr>
                                </wps:wsp>
                                <wps:wsp>
                                  <wps:cNvPr id="2026623629" name="Text Box 448"/>
                                  <wps:cNvSpPr txBox="1">
                                    <a:spLocks noChangeArrowheads="1"/>
                                  </wps:cNvSpPr>
                                  <wps:spPr bwMode="auto">
                                    <a:xfrm>
                                      <a:off x="8670" y="7437"/>
                                      <a:ext cx="615" cy="2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C0F" w:rsidRPr="00051206" w:rsidRDefault="00C20C0F" w:rsidP="008A6EAC">
                                        <w:pPr>
                                          <w:rPr>
                                            <w:lang w:val="es-CO"/>
                                          </w:rPr>
                                        </w:pPr>
                                        <w:r>
                                          <w:rPr>
                                            <w:lang w:val="es-CO"/>
                                          </w:rPr>
                                          <w:t>CAPA DE SALIDA</w:t>
                                        </w:r>
                                      </w:p>
                                    </w:txbxContent>
                                  </wps:txbx>
                                  <wps:bodyPr rot="0" vert="vert270" wrap="square" lIns="91440" tIns="45720" rIns="91440" bIns="45720" anchor="t" anchorCtr="0" upright="1">
                                    <a:noAutofit/>
                                  </wps:bodyPr>
                                </wps:wsp>
                                <wps:wsp>
                                  <wps:cNvPr id="2026623630" name="Text Box 449"/>
                                  <wps:cNvSpPr txBox="1">
                                    <a:spLocks noChangeArrowheads="1"/>
                                  </wps:cNvSpPr>
                                  <wps:spPr bwMode="auto">
                                    <a:xfrm>
                                      <a:off x="7665" y="7062"/>
                                      <a:ext cx="1665" cy="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C0F" w:rsidRPr="00051206" w:rsidRDefault="00C20C0F" w:rsidP="008A6EAC">
                                        <w:pPr>
                                          <w:jc w:val="center"/>
                                          <w:rPr>
                                            <w:b/>
                                            <w:bCs/>
                                            <w:sz w:val="16"/>
                                            <w:szCs w:val="16"/>
                                            <w:lang w:val="es-CO"/>
                                          </w:rPr>
                                        </w:pPr>
                                        <w:r>
                                          <w:rPr>
                                            <w:b/>
                                            <w:bCs/>
                                            <w:sz w:val="16"/>
                                            <w:szCs w:val="16"/>
                                            <w:lang w:val="es-CO"/>
                                          </w:rPr>
                                          <w:t>CONJUNTO DE MOVIMIENTOS</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3B535975" id="Grupo 298038931" o:spid="_x0000_s1036" style="position:absolute;left:0;text-align:left;margin-left:88.35pt;margin-top:5.1pt;width:330.75pt;height:187.5pt;z-index:251811840" coordorigin="2715,8573" coordsize="6615,3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KKnJQwAAHCfAAAOAAAAZHJzL2Uyb0RvYy54bWzsXduSm0gSfd+I/QdC721xLUBhecJudTs2&#10;wjvjWHv3nRZIIhYBC7Qlz8T8+2bWTQVCfZsGu9XVDy0kBILi5KnMk1lVb3/ZbzPjW1LVaZHPJ9Yb&#10;c2Ik+bKI03w9n/z76/VFMDHqJsrjKCvyZD75ntSTX979/W9vd+UssYtNkcVJZcBJ8nq2K+eTTdOU&#10;s+m0Xm6SbVS/Kcokh52rotpGDbyt1tO4inZw9m02tU2TTHdFFZdVsUzqGj5dsJ2Td/T8q1WybH5b&#10;reqkMbL5BK6tof8r+v8G/0/fvY1m6yoqN+mSX0b0hKvYRmkOPypPtYiayLit0qNTbdNlVdTFqnmz&#10;LLbTYrVKlwm9B7gby+zczcequC3pvaxnu3UpmwmattNOTz7t8tdvnysjjecTOwxMJwgda2Lk0RYe&#10;1cfqtiyMw8fQVLtyPYMjPlbll/Jzxe4XNj8Vy//WsHva3Y/v1+zLxs3un0UMp41um4I21X5VbfEU&#10;0AjGnj6R7/KJJPvGWMKHLjxjz/YmxhL22U5g2R5/ZssNPFg8zvYt2A+7A8932PNcbq748YTgTjzY&#10;8dmR02jGfpheLL84vDPAX31o4vqvNfGXTVQm9MnV2GCdJrZFE7+HtqBfNZzQxmvHy4DvX+asdZf7&#10;nLeukReXmyhfJ/TrX7+X0JIWHgG3oRyCb2p4NPe2NvFcMAdol9AJeKuJNncc2INNZpmOR39CNFk0&#10;K6u6+ZgUWwM35pO6qaJ0vWkuizwHUysqiz7Z6NunusFrOxyADzovrtMsg8+jWZYbO/htfLT4ti6y&#10;NMad9E21vrnMKuNbhDZL//hVtL4GtpHH9GSbJIqv+HYTpRlsGw1toaZKoc2yZIK/tk3iiZElQFO4&#10;xS4vy/EX4c7hgvkWM9s/QjO8Cq4C98K1ydWFay4WF++vL90Lcm353sJZXF4urD/x4i13tknjOMnx&#10;+gWFWO7D8MPJjBm/JBHZUNP22WmLwsWKV3rRFAD4zBl6bor4++cK745DmlktBTrbPMajI/BICQew&#10;SBHRNWYkt+cy9h6jFfA7Ntlo9pKN3RWNqxq7i/hrWS7c5PMau7HK0vI/yBIIbE6yxLMeYPYB5VjJ&#10;lAcr1mZ/TmYPPaPo6cHPALOnbP9Tmz0hLu0nkRKuHt/Hc2/kFA+SboMQZqbDOT12YDN79E2T35jk&#10;QdkPOxYzSJUHxXHENelTazXI0ZHSlLtOzz0N4ncbxB+6QRwLUIh+CXEZHGnvTH1Bj3jClzNJ1wvs&#10;Oe6AkOMjn9ogEM20TSZ45Q0SdhskfN0Ngl61ihDXpEgdklR7oC845Bj4Cof0HPckkxkvcHJlbHrw&#10;pVyThkHD+lKKB+U5yEIYOCFT0fhDtLYDrEQDJ+0+vYKoCRyRjqXzCH44b6HHYgX2zs3SZUiqWjoP&#10;SxW9A+jseaMmxdKBupmlB8Tn7oZsbeGJuFohOWuFxAfF0SeOd2TrPIA/X1s/ERmIBpH2ySQjHoVo&#10;N+eByn6/PiwaV0pGv4EGargmD0Mp7wnhvWaqu9SF31dVsUMlFJTrljDMDniwMCz7GB+09rZ/40MY&#10;Sv0b3GD6qdDwO7pwkoH2VKMAHs1OiMEtLbdWJd9r+sd/oPW1oVVjdk+oCfeKqkZVsPwR5LtgY1NU&#10;v4OwDLkjEML/dxtVCcjL/8ih/UPLxTigoW9cz8cYv1L33Kh7onwJp5pPmonBNi8blqC6LSsU14WE&#10;lxfYF65Sqqzj82RSb1vpHcEZFyiFzpFFOhylXBsYB6U2JoXACw8cjdK29K9RStOZAqVS0+Mo5YLN&#10;KCh1PUyloZiF2bZWrKi5VHNpPJ8IlEqhlaOUq2gjoRR1C0CpT6Cj0iileTnWt2oubXGpVL8ZSiGV&#10;CGjhytvQfim4UbzH92FDo1SjVEKPV9cILpUpCY5SVR8eGqUe5PF4j8+s45C+0j2+7vEPPT52uWr0&#10;ZKnlX8OjlPulvhfqHr9VOKV7fLXHJzLhxrlUVeCHR6krenzY0D2+7vFP9PhEqvMcpWp13dAoJQEk&#10;h2iMf1Swont83eMrPb5MmXCUUk4bKXoiIfdLfQyjNJdqLj3FpZ3ckzVm7omEYiiHDw6qRqlG6SmU&#10;dnJP1pi5p8DkPb7m0roz7ERHT63oSeaelCImS01ADTTOq3fohxNyAZXgRotc6VgwHPEFw+1wj6yO&#10;1iM/XuiAr/HKAIhMXakgV/NXA4FcqdST0PbdruoKgiyrWfGgZE9D+wzGMo4IbZnvUqDNGJKHbWNA&#10;GxRampw9hnYAXhAdp+uzGhhN2y99nO6I2JZZMhXbaqpsIGz3+iay1No3xfh+UWrtEoFynqvQKNco&#10;V2b8uLOSFjt/lmVTUa6m2n4MysPu0CE6LBu5nLCRjRrkLxvkh3G2TMEYfGoRXvzgy4SdCng1azcQ&#10;4BVvXM4xQALwUFqBpoMZPYS5DjPPYoTceP6KL3N8KrDVRN/wwPYJ+iJI0qhTt4CN48AosAMWgGr+&#10;ftn8jfHdaJwtE4MqtCnARgszPQdwy6DNBqwf6tZQE2RhpnnfsB89HdTLmA5qRGzLdKKKbTWnODxt&#10;ezhE6ARt4whf9EdsWyvf5zGQd0RsA3aOg0s1EzkQtnslFAXl3dy59LotzeBnMqHfiCjvS2LaIyQx&#10;lYjSc/hklYHZHe3poDxORXBTM7hm8KMpdO+WB/tyl/YIucsTDM7rSmiBSSu8lBO6WZaOLzXKH4ny&#10;vjQm8xGGjS9PoJzPn0VCJnUfIk0Ha1SZN96Zq1nXoeg6lHx9N5f3JTRhMnPg0WFRrvgpclJtWm7d&#10;YnCcIIf5KTz3oxVCrRA+NI2J8+4cRZrOCGnMFra5iuKHoIK3sA1T6wsfnO3S2NbYfjC2+zKWzggZ&#10;y17vBKYYBiyDIBiYR7lLHDPLIk3tnWgf/HE+OKyx0cPgI6Qv70a5bx5xuVgvxTZ1waxG+QNRbps2&#10;IbZDYLRYD8xHSGX2wtz3eVITkvKd4WTSZQnZ0HLtsWiP5V6PRaK8TzZ0Rkhq9qOc8BUT/LBbOysn&#10;JGflKhrkLxvkalHhqe1RClekIfQqiz8+A3pcdygjVNoXaUN42YYwLsh7hcWxE6BcfAlgkchT4ouG&#10;9hnU1Kq8PirMscrvWGMcIRfarzGyUkMlNyQYnCWuNIO/bAb/cTDvkxvZ5Mzjp4lCi9WsKDDXAyTO&#10;aOHVH4dyOVriX7AsL10C13Bh9axDMnToadHkwoaHBQrFiE7LEYMlxMKGp9m8gsu/axUJuVKuWFLY&#10;hlWgn76m8DZtYDXyLN1iAgD/mK/Vs8AwtCRc9c+5fHBrzYwHLa3x5HWG9YQvdMIXERDbUuZX7U5N&#10;1A5td64lymv4XC5K34JjS2kGy7Huy9OObHe4fMwiqjdsze8YtpjhaXukq4pTrgH6FK+n1/3W9ti2&#10;Rzn8RLVHNbk8tD3CuFyWUNb9ILkaOWbR/SBbxwoGMgJz4Nps66r8AtvjCguAfyYsfEUP8EOxB1dU&#10;zXyjCRrNHnaIla6GWtvM9rkx+o5LVepD50hk3tu9T2F4VN+I6oZ0Ul+Dx8ia9LZK55M/IL51zQ92&#10;eHENsyRfuNeudxH6ZnBhWuEHqP51Q3dx/Se695Y726RxnOSf0jwx9tssr2fwIayx1jTlbDqtl5tk&#10;G9VvtumyKurOGntxFe3SfD21QRudbqM0h0XZYA02DyRTbP3TLEA9fDETQetrj/Q7WpcvOmnx2tdZ&#10;N/ubPe2omJqL9ti74AwuNGfjqIDXt8qcdKllSYFCH2pFwYj0EeKMW1Ac5ruwIGirBNKCNUKZb33v&#10;FIqaPjI0DWkz12lGP5hRB1fTB+oK9/j6B/qQkk4vfbzWFSold8hCDYU71DqNEbnD5/P4hT6brPjg&#10;eliumKOSgHTFhKUT66pq7tDcEc2aKM2u8pgiRdIoek7C5RCvd7seUpbS3DFb/vqNryImuUPWtijc&#10;oZa2jMcdMAUiuIDgdxDidvwOh86Yj1Xp7n2Ts2ju0NzxbNwhJTTNHX3cIUuGFO5QK4bG446A8EHl&#10;vutoyYPrA3fLAqfWn9cxy/P4HVL76+UOLXkQHGh2pJiqlVjj0Yec8hBGCnVcD4vOhoiuhw5bqvXN&#10;ZVax7KWmjwdUTvyFsEVqf7308RNKHmrm5Wh7t8bcTASZmajcpMtF1ETqe9jelbPELjZFFifVu/8D&#10;AAD//wMAUEsDBBQABgAIAAAAIQBb/pzU4AAAAAoBAAAPAAAAZHJzL2Rvd25yZXYueG1sTI/NasMw&#10;EITvhb6D2EJvjfxDEuNaDiG0PYVCk0LpbWNtbBNLMpZiO2/f7am9zbAfszPFZjadGGnwrbMK4kUE&#10;gmzldGtrBZ/H16cMhA9oNXbOkoIbediU93cF5tpN9oPGQ6gFh1ifo4ImhD6X0lcNGfQL15Pl29kN&#10;BgPboZZ6wInDTSeTKFpJg63lDw32tGuouhyuRsHbhNM2jV/G/eW8u30fl+9f+5iUenyYt88gAs3h&#10;D4bf+lwdSu50clervejYr1drRllECQgGsjRjcVKQZssEZFnI/xPKHwAAAP//AwBQSwECLQAUAAYA&#10;CAAAACEAtoM4kv4AAADhAQAAEwAAAAAAAAAAAAAAAAAAAAAAW0NvbnRlbnRfVHlwZXNdLnhtbFBL&#10;AQItABQABgAIAAAAIQA4/SH/1gAAAJQBAAALAAAAAAAAAAAAAAAAAC8BAABfcmVscy8ucmVsc1BL&#10;AQItABQABgAIAAAAIQAzVKKnJQwAAHCfAAAOAAAAAAAAAAAAAAAAAC4CAABkcnMvZTJvRG9jLnht&#10;bFBLAQItABQABgAIAAAAIQBb/pzU4AAAAAoBAAAPAAAAAAAAAAAAAAAAAH8OAABkcnMvZG93bnJl&#10;di54bWxQSwUGAAAAAAQABADzAAAAjA8AAAAA&#10;">
                      <v:shapetype id="_x0000_t32" coordsize="21600,21600" o:spt="32" o:oned="t" path="m,l21600,21600e" filled="f">
                        <v:path arrowok="t" fillok="f" o:connecttype="none"/>
                        <o:lock v:ext="edit" shapetype="t"/>
                      </v:shapetype>
                      <v:shape id="AutoShape 392" o:spid="_x0000_s1037" type="#_x0000_t32" style="position:absolute;left:6540;top:9383;width:330;height:10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xe8ywAAAOIAAAAPAAAAZHJzL2Rvd25yZXYueG1sRI9Ba8JA&#10;FITvBf/D8oTe6sYIJYmuIoWWYumhWoLeHtlnEsy+Dburxv76bkHocZiZb5jFajCduJDzrWUF00kC&#10;griyuuVawffu9SkD4QOyxs4yKbiRh9Vy9LDAQtsrf9FlG2oRIewLVNCE0BdS+qohg35ie+LoHa0z&#10;GKJ0tdQOrxFuOpkmybM02HJcaLCnl4aq0/ZsFOw/8nN5Kz9pU07zzQGd8T+7N6Uex8N6DiLQEP7D&#10;9/a7VpDmWTLL8lkKf5fiHZDLXwAAAP//AwBQSwECLQAUAAYACAAAACEA2+H2y+4AAACFAQAAEwAA&#10;AAAAAAAAAAAAAAAAAAAAW0NvbnRlbnRfVHlwZXNdLnhtbFBLAQItABQABgAIAAAAIQBa9CxbvwAA&#10;ABUBAAALAAAAAAAAAAAAAAAAAB8BAABfcmVscy8ucmVsc1BLAQItABQABgAIAAAAIQDTtxe8ywAA&#10;AOIAAAAPAAAAAAAAAAAAAAAAAAcCAABkcnMvZG93bnJldi54bWxQSwUGAAAAAAMAAwC3AAAA/wIA&#10;AAAA&#10;">
                        <v:stroke endarrow="block"/>
                      </v:shape>
                      <v:group id="Group 393" o:spid="_x0000_s1038" style="position:absolute;left:2715;top:8573;width:6615;height:3750" coordorigin="2715,8573" coordsize="6615,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xTJygAAAOIAAAAPAAAAZHJzL2Rvd25yZXYueG1sRI9Ba8JA&#10;FITvQv/D8gq96SYGJUZXEWlLDyKoheLtkX0mwezbkN0m8d+7hYLHYWa+YVabwdSio9ZVlhXEkwgE&#10;cW51xYWC7/PHOAXhPLLG2jIpuJODzfpltMJM256P1J18IQKEXYYKSu+bTEqXl2TQTWxDHLyrbQ36&#10;INtC6hb7ADe1nEbRXBqsOCyU2NCupPx2+jUKPnvst0n83u1v1939cp4dfvYxKfX2OmyXIDwN/hn+&#10;b39pBdNFGiXpIkng71K4A3L9AAAA//8DAFBLAQItABQABgAIAAAAIQDb4fbL7gAAAIUBAAATAAAA&#10;AAAAAAAAAAAAAAAAAABbQ29udGVudF9UeXBlc10ueG1sUEsBAi0AFAAGAAgAAAAhAFr0LFu/AAAA&#10;FQEAAAsAAAAAAAAAAAAAAAAAHwEAAF9yZWxzLy5yZWxzUEsBAi0AFAAGAAgAAAAhAFnnFMnKAAAA&#10;4gAAAA8AAAAAAAAAAAAAAAAABwIAAGRycy9kb3ducmV2LnhtbFBLBQYAAAAAAwADALcAAAD+AgAA&#10;AAA=&#10;">
                        <v:shape id="AutoShape 394" o:spid="_x0000_s1039" type="#_x0000_t32" style="position:absolute;left:6510;top:9383;width:330;height:10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en4yQAAAOIAAAAPAAAAZHJzL2Rvd25yZXYueG1sRI9BawIx&#10;FITvBf9DeAVvmq3Wsq5GUUGQXoq2UI+Pzetu6OZl2cTN+u+bQqHHYWa+YdbbwTaip84bxwqephkI&#10;4tJpw5WCj/fjJAfhA7LGxjEpuJOH7Wb0sMZCu8hn6i+hEgnCvkAFdQhtIaUva7Lop64lTt6X6yyG&#10;JLtK6g5jgttGzrLsRVo0nBZqbOlQU/l9uVkFJr6Zvj0d4v718+p1JHNfOKPU+HHYrUAEGsJ/+K99&#10;0gpmyzyb58v5M/xeSndAbn4AAAD//wMAUEsBAi0AFAAGAAgAAAAhANvh9svuAAAAhQEAABMAAAAA&#10;AAAAAAAAAAAAAAAAAFtDb250ZW50X1R5cGVzXS54bWxQSwECLQAUAAYACAAAACEAWvQsW78AAAAV&#10;AQAACwAAAAAAAAAAAAAAAAAfAQAAX3JlbHMvLnJlbHNQSwECLQAUAAYACAAAACEAmpHp+MkAAADi&#10;AAAADwAAAAAAAAAAAAAAAAAHAgAAZHJzL2Rvd25yZXYueG1sUEsFBgAAAAADAAMAtwAAAP0CAAAA&#10;AA==&#10;">
                          <v:stroke endarrow="block"/>
                        </v:shape>
                        <v:group id="Group 395" o:spid="_x0000_s1040" style="position:absolute;left:2715;top:8573;width:6615;height:3750" coordorigin="2715,6642" coordsize="6615,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ikmygAAAOIAAAAPAAAAZHJzL2Rvd25yZXYueG1sRI9Ba8JA&#10;FITvQv/D8gredBODElNXEanSgwjVQuntkX0mwezbkF2T+O+7hYLHYWa+YVabwdSio9ZVlhXE0wgE&#10;cW51xYWCr8t+koJwHlljbZkUPMjBZv0yWmGmbc+f1J19IQKEXYYKSu+bTEqXl2TQTW1DHLyrbQ36&#10;INtC6hb7ADe1nEXRQhqsOCyU2NCupPx2vhsFhx77bRK/d8fbdff4ucxP38eYlBq/Dts3EJ4G/wz/&#10;tz+0gtkyjZJ0mczh71K4A3L9CwAA//8DAFBLAQItABQABgAIAAAAIQDb4fbL7gAAAIUBAAATAAAA&#10;AAAAAAAAAAAAAAAAAABbQ29udGVudF9UeXBlc10ueG1sUEsBAi0AFAAGAAgAAAAhAFr0LFu/AAAA&#10;FQEAAAsAAAAAAAAAAAAAAAAAHwEAAF9yZWxzLy5yZWxzUEsBAi0AFAAGAAgAAAAhALlCKSbKAAAA&#10;4gAAAA8AAAAAAAAAAAAAAAAABwIAAGRycy9kb3ducmV2LnhtbFBLBQYAAAAAAwADALcAAAD+AgAA&#10;AAA=&#10;">
                          <v:group id="Group 396" o:spid="_x0000_s1041" style="position:absolute;left:2820;top:7002;width:6330;height:3180" coordorigin="2820,6405" coordsize="6330,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LdRygAAAOIAAAAPAAAAZHJzL2Rvd25yZXYueG1sRI9Ba8JA&#10;FITvQv/D8gredBNDJaauIlKlBylUC6W3R/aZBLNvQ3ZN4r93hYLHYWa+YZbrwdSio9ZVlhXE0wgE&#10;cW51xYWCn9NukoJwHlljbZkU3MjBevUyWmKmbc/f1B19IQKEXYYKSu+bTEqXl2TQTW1DHLyzbQ36&#10;INtC6hb7ADe1nEXRXBqsOCyU2NC2pPxyvBoF+x77TRJ/dIfLeXv7O719/R5iUmr8OmzeQXga/DP8&#10;3/7UCmaLNErSRTKHx6VwB+TqDgAA//8DAFBLAQItABQABgAIAAAAIQDb4fbL7gAAAIUBAAATAAAA&#10;AAAAAAAAAAAAAAAAAABbQ29udGVudF9UeXBlc10ueG1sUEsBAi0AFAAGAAgAAAAhAFr0LFu/AAAA&#10;FQEAAAsAAAAAAAAAAAAAAAAAHwEAAF9yZWxzLy5yZWxzUEsBAi0AFAAGAAgAAAAhAEmQt1HKAAAA&#10;4gAAAA8AAAAAAAAAAAAAAAAABwIAAGRycy9kb3ducmV2LnhtbFBLBQYAAAAAAwADALcAAAD+AgAA&#10;AAA=&#10;">
                            <v:group id="Group 397" o:spid="_x0000_s1042" style="position:absolute;left:3195;top:6495;width:5655;height:3060" coordorigin="3195,6495" coordsize="565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BLKywAAAOIAAAAPAAAAZHJzL2Rvd25yZXYueG1sRI9Ba8JA&#10;FITvQv/D8gq91U0MtTG6ikhbehChKoi3R/aZBLNvQ3abxH/fFQoeh5n5hlmsBlOLjlpXWVYQjyMQ&#10;xLnVFRcKjofP1xSE88gaa8uk4EYOVsun0QIzbXv+oW7vCxEg7DJUUHrfZFK6vCSDbmwb4uBdbGvQ&#10;B9kWUrfYB7ip5SSKptJgxWGhxIY2JeXX/a9R8NVjv07ij257vWxu58Pb7rSNSamX52E9B+Fp8I/w&#10;f/tbK5jM0ihJZ8k73C+FOyCXfwAAAP//AwBQSwECLQAUAAYACAAAACEA2+H2y+4AAACFAQAAEwAA&#10;AAAAAAAAAAAAAAAAAAAAW0NvbnRlbnRfVHlwZXNdLnhtbFBLAQItABQABgAIAAAAIQBa9CxbvwAA&#10;ABUBAAALAAAAAAAAAAAAAAAAAB8BAABfcmVscy8ucmVsc1BLAQItABQABgAIAAAAIQAm3BLKywAA&#10;AOIAAAAPAAAAAAAAAAAAAAAAAAcCAABkcnMvZG93bnJldi54bWxQSwUGAAAAAAMAAwC3AAAA/wIA&#10;AAAA&#10;">
                              <v:group id="Group 398" o:spid="_x0000_s1043" style="position:absolute;left:3195;top:6495;width:5655;height:3060" coordorigin="3195,6495" coordsize="565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4a4yAAAAOIAAAAPAAAAZHJzL2Rvd25yZXYueG1sRE9Na8JA&#10;EL0L/Q/LFHrTTQxKjK4i0pYeRDAWirchOybB7GzIbpP4791DocfH+97sRtOInjpXW1YQzyIQxIXV&#10;NZcKvi8f0xSE88gaG8uk4EEOdtuXyQYzbQc+U5/7UoQQdhkqqLxvMyldUZFBN7MtceButjPoA+xK&#10;qTscQrhp5DyKltJgzaGhwpYOFRX3/Nco+Bxw2Cfxe3+83w6P62Vx+jnGpNTb67hfg/A0+n/xn/tL&#10;K5iv0ihJV0nYHC6FOyC3TwAAAP//AwBQSwECLQAUAAYACAAAACEA2+H2y+4AAACFAQAAEwAAAAAA&#10;AAAAAAAAAAAAAAAAW0NvbnRlbnRfVHlwZXNdLnhtbFBLAQItABQABgAIAAAAIQBa9CxbvwAAABUB&#10;AAALAAAAAAAAAAAAAAAAAB8BAABfcmVscy8ucmVsc1BLAQItABQABgAIAAAAIQBXQ4a4yAAAAOIA&#10;AAAPAAAAAAAAAAAAAAAAAAcCAABkcnMvZG93bnJldi54bWxQSwUGAAAAAAMAAwC3AAAA/AIAAAAA&#10;">
                                <v:group id="Group 399" o:spid="_x0000_s1044" style="position:absolute;left:3195;top:6495;width:5655;height:3060" coordorigin="3195,6495" coordsize="565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yMjywAAAOIAAAAPAAAAZHJzL2Rvd25yZXYueG1sRI9Ba8JA&#10;FITvQv/D8gq96SYGJUldRaQtPYhQLZTeHtlnEsy+DdltEv+9Kwg9DjPzDbPajKYRPXWutqwgnkUg&#10;iAuray4VfJ/epykI55E1NpZJwZUcbNZPkxXm2g78Rf3RlyJA2OWooPK+zaV0RUUG3cy2xME7286g&#10;D7Irpe5wCHDTyHkULaXBmsNChS3tKiouxz+j4GPAYZvEb/3+ct5df0+Lw88+JqVensftKwhPo/8P&#10;P9qfWsE8S6MkzZIM7pfCHZDrGwAAAP//AwBQSwECLQAUAAYACAAAACEA2+H2y+4AAACFAQAAEwAA&#10;AAAAAAAAAAAAAAAAAAAAW0NvbnRlbnRfVHlwZXNdLnhtbFBLAQItABQABgAIAAAAIQBa9CxbvwAA&#10;ABUBAAALAAAAAAAAAAAAAAAAAB8BAABfcmVscy8ucmVsc1BLAQItABQABgAIAAAAIQA4DyMjywAA&#10;AOIAAAAPAAAAAAAAAAAAAAAAAAcCAABkcnMvZG93bnJldi54bWxQSwUGAAAAAAMAAwC3AAAA/wIA&#10;AAAA&#10;">
                                  <v:group id="Group 400" o:spid="_x0000_s1045" style="position:absolute;left:3195;top:6495;width:5655;height:3060" coordorigin="3195,6495" coordsize="565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nDygAAAOIAAAAPAAAAZHJzL2Rvd25yZXYueG1sRI/NasJA&#10;FIX3Bd9huAV3ZhKtJaaOIqLShQhqoXR3yVyTYOZOyIxJfPvOotDl4fzxLdeDqUVHrassK0iiGARx&#10;bnXFhYKv636SgnAeWWNtmRQ8ycF6NXpZYqZtz2fqLr4QYYRdhgpK75tMSpeXZNBFtiEO3s22Bn2Q&#10;bSF1i30YN7WcxvG7NFhxeCixoW1J+f3yMAoOPfabWbLrjvfb9vlznZ++jwkpNX4dNh8gPA3+P/zX&#10;/tQKpos0nqWLtwARkAIOyNUvAAAA//8DAFBLAQItABQABgAIAAAAIQDb4fbL7gAAAIUBAAATAAAA&#10;AAAAAAAAAAAAAAAAAABbQ29udGVudF9UeXBlc10ueG1sUEsBAi0AFAAGAAgAAAAhAFr0LFu/AAAA&#10;FQEAAAsAAAAAAAAAAAAAAAAAHwEAAF9yZWxzLy5yZWxzUEsBAi0AFAAGAAgAAAAhAPEz+cPKAAAA&#10;4gAAAA8AAAAAAAAAAAAAAAAABwIAAGRycy9kb3ducmV2LnhtbFBLBQYAAAAAAwADALcAAAD+AgAA&#10;AAA=&#10;">
                                    <v:shape id="AutoShape 401" o:spid="_x0000_s1046" type="#_x0000_t32" style="position:absolute;left:5355;top:9195;width:3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q2ywAAAOIAAAAPAAAAZHJzL2Rvd25yZXYueG1sRI9Ba8JA&#10;FITvQv/D8gq96Sa2lCS6ShEsxdKDWoLeHtlnEpp9G3ZXjf313UKhx2FmvmHmy8F04kLOt5YVpJME&#10;BHFldcu1gs/9epyB8AFZY2eZFNzIw3JxN5pjoe2Vt3TZhVpECPsCFTQh9IWUvmrIoJ/Ynjh6J+sM&#10;hihdLbXDa4SbTk6T5FkabDkuNNjTqqHqa3c2Cg7v+bm8lR+0KdN8c0Rn/Pf+VamH++FlBiLQEP7D&#10;f+03rWCaZ8ljlj+l8Hsp3gG5+AEAAP//AwBQSwECLQAUAAYACAAAACEA2+H2y+4AAACFAQAAEwAA&#10;AAAAAAAAAAAAAAAAAAAAW0NvbnRlbnRfVHlwZXNdLnhtbFBLAQItABQABgAIAAAAIQBa9CxbvwAA&#10;ABUBAAALAAAAAAAAAAAAAAAAAB8BAABfcmVscy8ucmVsc1BLAQItABQABgAIAAAAIQB7Y/q2ywAA&#10;AOIAAAAPAAAAAAAAAAAAAAAAAAcCAABkcnMvZG93bnJldi54bWxQSwUGAAAAAAMAAwC3AAAA/wIA&#10;AAAA&#10;">
                                      <v:stroke endarrow="block"/>
                                    </v:shape>
                                    <v:group id="Group 402" o:spid="_x0000_s1047" style="position:absolute;left:3195;top:6495;width:5655;height:3060" coordorigin="3195,6495" coordsize="565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cIvywAAAOIAAAAPAAAAZHJzL2Rvd25yZXYueG1sRI9Ba8JA&#10;FITvQv/D8gq91U1iLTG6ikhbehChKoi3R/aZBLNvQ3abxH/fFQoeh5n5hlmsBlOLjlpXWVYQjyMQ&#10;xLnVFRcKjofP1xSE88gaa8uk4EYOVsun0QIzbXv+oW7vCxEg7DJUUHrfZFK6vCSDbmwb4uBdbGvQ&#10;B9kWUrfYB7ipZRJF79JgxWGhxIY2JeXX/a9R8NVjv57EH932etnczofp7rSNSamX52E9B+Fp8I/w&#10;f/tbK0hmaTRJZ28J3C+FOyCXfwAAAP//AwBQSwECLQAUAAYACAAAACEA2+H2y+4AAACFAQAAEwAA&#10;AAAAAAAAAAAAAAAAAAAAW0NvbnRlbnRfVHlwZXNdLnhtbFBLAQItABQABgAIAAAAIQBa9CxbvwAA&#10;ABUBAAALAAAAAAAAAAAAAAAAAB8BAABfcmVscy8ucmVsc1BLAQItABQABgAIAAAAIQBurcIvywAA&#10;AOIAAAAPAAAAAAAAAAAAAAAAAAcCAABkcnMvZG93bnJldi54bWxQSwUGAAAAAAMAAwC3AAAA/wIA&#10;AAAA&#10;">
                                      <v:shape id="AutoShape 403" o:spid="_x0000_s1048" type="#_x0000_t32" style="position:absolute;left:4005;top:8670;width:555;height:4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FaywAAAOIAAAAPAAAAZHJzL2Rvd25yZXYueG1sRI9Ba8JA&#10;FITvBf/D8gRvdaMWSaKriNAilh6qJdTbI/uahGbfht1VY399tyD0OMzMN8xy3ZtWXMj5xrKCyTgB&#10;QVxa3XCl4OP4/JiC8AFZY2uZFNzIw3o1eFhiru2V3+lyCJWIEPY5KqhD6HIpfVmTQT+2HXH0vqwz&#10;GKJ0ldQOrxFuWjlNkrk02HBcqLGjbU3l9+FsFHy+ZufiVrzRvphk+xM643+OL0qNhv1mASJQH/7D&#10;9/ZOK5hmaTJLs6cZ/F2Kd0CufgEAAP//AwBQSwECLQAUAAYACAAAACEA2+H2y+4AAACFAQAAEwAA&#10;AAAAAAAAAAAAAAAAAAAAW0NvbnRlbnRfVHlwZXNdLnhtbFBLAQItABQABgAIAAAAIQBa9CxbvwAA&#10;ABUBAAALAAAAAAAAAAAAAAAAAB8BAABfcmVscy8ucmVsc1BLAQItABQABgAIAAAAIQDk/cFaywAA&#10;AOIAAAAPAAAAAAAAAAAAAAAAAAcCAABkcnMvZG93bnJldi54bWxQSwUGAAAAAAMAAwC3AAAA/wIA&#10;AAAA&#10;">
                                        <v:stroke endarrow="block"/>
                                      </v:shape>
                                      <v:group id="Group 404" o:spid="_x0000_s1049" style="position:absolute;left:3195;top:6495;width:5655;height:3060" coordorigin="3195,6495" coordsize="565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nbJywAAAOIAAAAPAAAAZHJzL2Rvd25yZXYueG1sRI9Pa8JA&#10;FMTvQr/D8gredJOIf4iuIlJLDyJUC8XbI/tMgtm3IbtN4rd3BaHHYWZ+w6w2valES40rLSuIxxEI&#10;4szqknMFP+f9aAHCeWSNlWVScCcHm/XbYIWpth1/U3vyuQgQdikqKLyvUyldVpBBN7Y1cfCutjHo&#10;g2xyqRvsAtxUMomimTRYclgosKZdQdnt9GcUfHbYbSfxR3u4XXf3y3l6/D3EpNTwvd8uQXjq/X/4&#10;1f7SCuaLOJnPJtMEnpfCHZDrBwAAAP//AwBQSwECLQAUAAYACAAAACEA2+H2y+4AAACFAQAAEwAA&#10;AAAAAAAAAAAAAAAAAAAAW0NvbnRlbnRfVHlwZXNdLnhtbFBLAQItABQABgAIAAAAIQBa9CxbvwAA&#10;ABUBAAALAAAAAAAAAAAAAAAAAB8BAABfcmVscy8ucmVsc1BLAQItABQABgAIAAAAIQDvInbJywAA&#10;AOIAAAAPAAAAAAAAAAAAAAAAAAcCAABkcnMvZG93bnJldi54bWxQSwUGAAAAAAMAAwC3AAAA/wIA&#10;AAAA&#10;">
                                        <v:group id="Group 405" o:spid="_x0000_s1050" style="position:absolute;left:3195;top:6495;width:5655;height:3060" coordorigin="3195,6495" coordsize="565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tNSywAAAOIAAAAPAAAAZHJzL2Rvd25yZXYueG1sRI9Pa8JA&#10;FMTvQr/D8gq96SYG/xBdRaQVDyJUC8XbI/tMgtm3IbtN4rd3BaHHYWZ+wyzXvalES40rLSuIRxEI&#10;4szqknMFP+ev4RyE88gaK8uk4E4O1qu3wRJTbTv+pvbkcxEg7FJUUHhfp1K6rCCDbmRr4uBdbWPQ&#10;B9nkUjfYBbip5DiKptJgyWGhwJq2BWW3059RsOuw2yTxZ3u4Xbf3y3ly/D3EpNTHe79ZgPDU+//w&#10;q73XCmbzeDybJpMEnpfCHZCrBwAAAP//AwBQSwECLQAUAAYACAAAACEA2+H2y+4AAACFAQAAEwAA&#10;AAAAAAAAAAAAAAAAAAAAW0NvbnRlbnRfVHlwZXNdLnhtbFBLAQItABQABgAIAAAAIQBa9CxbvwAA&#10;ABUBAAALAAAAAAAAAAAAAAAAAB8BAABfcmVscy8ucmVsc1BLAQItABQABgAIAAAAIQCAbtNSywAA&#10;AOIAAAAPAAAAAAAAAAAAAAAAAAcCAABkcnMvZG93bnJldi54bWxQSwUGAAAAAAMAAwC3AAAA/wIA&#10;AAAA&#10;">
                                          <v:oval id="Oval 406" o:spid="_x0000_s1051" style="position:absolute;left:3195;top:7125;width:78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hedyQAAAOIAAAAPAAAAZHJzL2Rvd25yZXYueG1sRI9BS8NA&#10;FITvgv9heYI3u0lj0hK7LcUi1IOHRr0/sq9JaPZtyD7T+O9dQfA4zMw3zGY3u15NNIbOs4F0kYAi&#10;rr3tuDHw8f7ysAYVBNli75kMfFOA3fb2ZoOl9Vc+0VRJoyKEQ4kGWpGh1DrULTkMCz8QR+/sR4cS&#10;5dhoO+I1wl2vl0lSaIcdx4UWB3puqb5UX87AodlXxaQzybPz4Sj55fPtNUuNub+b90+ghGb5D/+1&#10;j9bAap0uV0WWP8LvpXgH9PYHAAD//wMAUEsBAi0AFAAGAAgAAAAhANvh9svuAAAAhQEAABMAAAAA&#10;AAAAAAAAAAAAAAAAAFtDb250ZW50X1R5cGVzXS54bWxQSwECLQAUAAYACAAAACEAWvQsW78AAAAV&#10;AQAACwAAAAAAAAAAAAAAAAAfAQAAX3JlbHMvLnJlbHNQSwECLQAUAAYACAAAACEAjd4XnckAAADi&#10;AAAADwAAAAAAAAAAAAAAAAAHAgAAZHJzL2Rvd25yZXYueG1sUEsFBgAAAAADAAMAtwAAAP0CAAAA&#10;AA==&#10;"/>
                                          <v:oval id="Oval 407" o:spid="_x0000_s1052" style="position:absolute;left:3225;top:8325;width:78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rIGyQAAAOIAAAAPAAAAZHJzL2Rvd25yZXYueG1sRI9BS8NA&#10;FITvQv/D8gre7CYNSUvsthSLUA8ejHp/ZF+T0OzbkH2m8d+7guBxmJlvmN1hdr2aaAydZwPpKgFF&#10;XHvbcWPg4/35YQsqCLLF3jMZ+KYAh/3iboel9Td+o6mSRkUIhxINtCJDqXWoW3IYVn4gjt7Fjw4l&#10;yrHRdsRbhLter5Ok0A47jgstDvTUUn2tvpyBU3OsiklnkmeX01ny6+frS5Yac7+cj4+ghGb5D/+1&#10;z9bAZpuuN0WW5/B7Kd4Bvf8BAAD//wMAUEsBAi0AFAAGAAgAAAAhANvh9svuAAAAhQEAABMAAAAA&#10;AAAAAAAAAAAAAAAAAFtDb250ZW50X1R5cGVzXS54bWxQSwECLQAUAAYACAAAACEAWvQsW78AAAAV&#10;AQAACwAAAAAAAAAAAAAAAAAfAQAAX3JlbHMvLnJlbHNQSwECLQAUAAYACAAAACEA4pKyBskAAADi&#10;AAAADwAAAAAAAAAAAAAAAAAHAgAAZHJzL2Rvd25yZXYueG1sUEsFBgAAAAADAAMAtwAAAP0CAAAA&#10;AA==&#10;"/>
                                          <v:oval id="Oval 408" o:spid="_x0000_s1053" style="position:absolute;left:4530;top:6540;width:78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CxxyQAAAOIAAAAPAAAAZHJzL2Rvd25yZXYueG1sRI9BS8NA&#10;FITvQv/D8gre7CYNSUvsthSLUA8ejHp/ZF+T0OzbkH2m8d+7guBxmJlvmN1hdr2aaAydZwPpKgFF&#10;XHvbcWPg4/35YQsqCLLF3jMZ+KYAh/3iboel9Td+o6mSRkUIhxINtCJDqXWoW3IYVn4gjt7Fjw4l&#10;yrHRdsRbhLter5Ok0A47jgstDvTUUn2tvpyBU3OsiklnkmeX01ny6+frS5Yac7+cj4+ghGb5D/+1&#10;z9bAZpuuN0WWF/B7Kd4Bvf8BAAD//wMAUEsBAi0AFAAGAAgAAAAhANvh9svuAAAAhQEAABMAAAAA&#10;AAAAAAAAAAAAAAAAAFtDb250ZW50X1R5cGVzXS54bWxQSwECLQAUAAYACAAAACEAWvQsW78AAAAV&#10;AQAACwAAAAAAAAAAAAAAAAAfAQAAX3JlbHMvLnJlbHNQSwECLQAUAAYACAAAACEAEkAscckAAADi&#10;AAAADwAAAAAAAAAAAAAAAAAHAgAAZHJzL2Rvd25yZXYueG1sUEsFBgAAAAADAAMAtwAAAP0CAAAA&#10;AA==&#10;"/>
                                          <v:oval id="Oval 409" o:spid="_x0000_s1054" style="position:absolute;left:4560;top:7620;width:78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InqyQAAAOIAAAAPAAAAZHJzL2Rvd25yZXYueG1sRI9BS8NA&#10;FITvgv9heYI3u0lDkhK7LcUi1IMHo94f2dckNPs2ZJ9p/PeuIHgcZuYbZrtf3KBmmkLv2UC6SkAR&#10;N9723Br4eH9+2IAKgmxx8EwGvinAfnd7s8XK+iu/0VxLqyKEQ4UGOpGx0jo0HTkMKz8SR+/sJ4cS&#10;5dRqO+E1wt2g10lSaIc9x4UOR3rqqLnUX87AsT3UxawzybPz8ST55fP1JUuNub9bDo+ghBb5D/+1&#10;T9ZAuUnXZZHlJfxeindA734AAAD//wMAUEsBAi0AFAAGAAgAAAAhANvh9svuAAAAhQEAABMAAAAA&#10;AAAAAAAAAAAAAAAAAFtDb250ZW50X1R5cGVzXS54bWxQSwECLQAUAAYACAAAACEAWvQsW78AAAAV&#10;AQAACwAAAAAAAAAAAAAAAAAfAQAAX3JlbHMvLnJlbHNQSwECLQAUAAYACAAAACEAfQyJ6skAAADi&#10;AAAADwAAAAAAAAAAAAAAAAAHAgAAZHJzL2Rvd25yZXYueG1sUEsFBgAAAAADAAMAtwAAAP0CAAAA&#10;AA==&#10;"/>
                                          <v:oval id="Oval 410" o:spid="_x0000_s1055" style="position:absolute;left:4575;top:8775;width:78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x2YxwAAAOIAAAAPAAAAZHJzL2Rvd25yZXYueG1sRE9Na8JA&#10;EL0X+h+WEXqrmxgSJbqKVAr20ENjex+yYxLMzobsNKb/vnso9Ph437vD7Ho10Rg6zwbSZQKKuPa2&#10;48bA5+X1eQMqCLLF3jMZ+KEAh/3jww5L6+/8QVMljYohHEo00IoMpdahbslhWPqBOHJXPzqUCMdG&#10;2xHvMdz1epUkhXbYcWxocaCXlupb9e0MnJpjVUw6kzy7ns6S377e37LUmKfFfNyCEprlX/znPlsD&#10;6026WhdZHjfHS/EO6P0vAAAA//8DAFBLAQItABQABgAIAAAAIQDb4fbL7gAAAIUBAAATAAAAAAAA&#10;AAAAAAAAAAAAAABbQ29udGVudF9UeXBlc10ueG1sUEsBAi0AFAAGAAgAAAAhAFr0LFu/AAAAFQEA&#10;AAsAAAAAAAAAAAAAAAAAHwEAAF9yZWxzLy5yZWxzUEsBAi0AFAAGAAgAAAAhAAyTHZjHAAAA4gAA&#10;AA8AAAAAAAAAAAAAAAAABwIAAGRycy9kb3ducmV2LnhtbFBLBQYAAAAAAwADALcAAAD7AgAAAAA=&#10;"/>
                                          <v:oval id="Oval 411" o:spid="_x0000_s1056" style="position:absolute;left:5700;top:6510;width:78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7gDyQAAAOIAAAAPAAAAZHJzL2Rvd25yZXYueG1sRI9BS8NA&#10;FITvgv9heYI3u0lD0hq7LcUi1IOHRr0/sq9JaPZtyD7T+O9dQfA4zMw3zGY3u15NNIbOs4F0kYAi&#10;rr3tuDHw8f7ysAYVBNli75kMfFOA3fb2ZoOl9Vc+0VRJoyKEQ4kGWpGh1DrULTkMCz8QR+/sR4cS&#10;5dhoO+I1wl2vl0lSaIcdx4UWB3puqb5UX87AodlXxaQzybPz4Sj55fPtNUuNub+b90+ghGb5D/+1&#10;j9bAap0uV0WWP8LvpXgH9PYHAAD//wMAUEsBAi0AFAAGAAgAAAAhANvh9svuAAAAhQEAABMAAAAA&#10;AAAAAAAAAAAAAAAAAFtDb250ZW50X1R5cGVzXS54bWxQSwECLQAUAAYACAAAACEAWvQsW78AAAAV&#10;AQAACwAAAAAAAAAAAAAAAAAfAQAAX3JlbHMvLnJlbHNQSwECLQAUAAYACAAAACEAY9+4A8kAAADi&#10;AAAADwAAAAAAAAAAAAAAAAAHAgAAZHJzL2Rvd25yZXYueG1sUEsFBgAAAAADAAMAtwAAAP0CAAAA&#10;AA==&#10;"/>
                                          <v:oval id="Oval 412" o:spid="_x0000_s1057" style="position:absolute;left:5730;top:7590;width:78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dsjyAAAAOIAAAAPAAAAZHJzL2Rvd25yZXYueG1sRI9Na8JA&#10;EIbvhf6HZQre6iYGo6SuIpWCPfTQqPchOybB7GzITmP8991DoceX94tns5tcp0YaQuvZQDpPQBFX&#10;3rZcGzifPl7XoIIgW+w8k4EHBdhtn582WFh/528aS6lVHOFQoIFGpC+0DlVDDsPc98TRu/rBoUQ5&#10;1NoOeI/jrtOLJMm1w5bjQ4M9vTdU3cofZ+BQ78t81Jkss+vhKMvb5eszS42ZvUz7N1BCk/yH/9pH&#10;a2C1TherPMsjRESKOKC3vwAAAP//AwBQSwECLQAUAAYACAAAACEA2+H2y+4AAACFAQAAEwAAAAAA&#10;AAAAAAAAAAAAAAAAW0NvbnRlbnRfVHlwZXNdLnhtbFBLAQItABQABgAIAAAAIQBa9CxbvwAAABUB&#10;AAALAAAAAAAAAAAAAAAAAB8BAABfcmVscy8ucmVsc1BLAQItABQABgAIAAAAIQA8idsjyAAAAOIA&#10;AAAPAAAAAAAAAAAAAAAAAAcCAABkcnMvZG93bnJldi54bWxQSwUGAAAAAAMAAwC3AAAA/AIAAAAA&#10;"/>
                                          <v:oval id="Oval 413" o:spid="_x0000_s1058" style="position:absolute;left:5745;top:8745;width:78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X64yQAAAOIAAAAPAAAAZHJzL2Rvd25yZXYueG1sRI9Ba8JA&#10;FITvhf6H5RV6q5sYjJK6iigFe/DQtL0/ss8kmH0bss+Y/vtuQehxmJlvmPV2cp0aaQitZwPpLAFF&#10;XHnbcm3g6/PtZQUqCLLFzjMZ+KEA283jwxoL62/8QWMptYoQDgUaaET6QutQNeQwzHxPHL2zHxxK&#10;lEOt7YC3CHednidJrh22HBca7GnfUHUpr87Aod6V+agzWWTnw1EWl+/Te5Ya8/w07V5BCU3yH763&#10;j9bAcpXOl3mWp/B3Kd4BvfkFAAD//wMAUEsBAi0AFAAGAAgAAAAhANvh9svuAAAAhQEAABMAAAAA&#10;AAAAAAAAAAAAAAAAAFtDb250ZW50X1R5cGVzXS54bWxQSwECLQAUAAYACAAAACEAWvQsW78AAAAV&#10;AQAACwAAAAAAAAAAAAAAAAAfAQAAX3JlbHMvLnJlbHNQSwECLQAUAAYACAAAACEAU8V+uMkAAADi&#10;AAAADwAAAAAAAAAAAAAAAAAHAgAAZHJzL2Rvd25yZXYueG1sUEsFBgAAAAADAAMAtwAAAP0CAAAA&#10;AA==&#10;"/>
                                          <v:oval id="Oval 414" o:spid="_x0000_s1059" style="position:absolute;left:6870;top:6495;width:78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DPyQAAAOIAAAAPAAAAZHJzL2Rvd25yZXYueG1sRI9PS8NA&#10;FMTvQr/D8gre7OYPTUvsthSLUA8ejHp/ZF+T0OzbkH2m8du7guBxmJnfMLvD7Ho10Rg6zwbSVQKK&#10;uPa248bAx/vzwxZUEGSLvWcy8E0BDvvF3Q5L62/8RlMljYoQDiUaaEWGUutQt+QwrPxAHL2LHx1K&#10;lGOj7Yi3CHe9zpKk0A47jgstDvTUUn2tvpyBU3Osiknnss4vp7Osr5+vL3lqzP1yPj6CEprlP/zX&#10;PlsDm22abYq8yOD3UrwDev8DAAD//wMAUEsBAi0AFAAGAAgAAAAhANvh9svuAAAAhQEAABMAAAAA&#10;AAAAAAAAAAAAAAAAAFtDb250ZW50X1R5cGVzXS54bWxQSwECLQAUAAYACAAAACEAWvQsW78AAAAV&#10;AQAACwAAAAAAAAAAAAAAAAAfAQAAX3JlbHMvLnJlbHNQSwECLQAUAAYACAAAACEAoxfgz8kAAADi&#10;AAAADwAAAAAAAAAAAAAAAAAHAgAAZHJzL2Rvd25yZXYueG1sUEsFBgAAAAADAAMAtwAAAP0CAAAA&#10;AA==&#10;"/>
                                          <v:oval id="Oval 415" o:spid="_x0000_s1060" style="position:absolute;left:6900;top:7575;width:78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0VUyQAAAOIAAAAPAAAAZHJzL2Rvd25yZXYueG1sRI9BS8NA&#10;FITvgv9heYI3u0mXpiV2W4pFqAcPRr0/sq9JaPZtyD7T+O9dQfA4zMw3zHY/+15NNMYusIV8kYEi&#10;roPruLHw8f78sAEVBdlhH5gsfFOE/e72ZoulC1d+o6mSRiUIxxIttCJDqXWsW/IYF2EgTt45jB4l&#10;ybHRbsRrgvteL7Os0B47TgstDvTUUn2pvryFY3OoikkbWZnz8SSry+fri8mtvb+bD4+ghGb5D/+1&#10;T87CepMv14UpDPxeSndA734AAAD//wMAUEsBAi0AFAAGAAgAAAAhANvh9svuAAAAhQEAABMAAAAA&#10;AAAAAAAAAAAAAAAAAFtDb250ZW50X1R5cGVzXS54bWxQSwECLQAUAAYACAAAACEAWvQsW78AAAAV&#10;AQAACwAAAAAAAAAAAAAAAAAfAQAAX3JlbHMvLnJlbHNQSwECLQAUAAYACAAAACEAzFtFVMkAAADi&#10;AAAADwAAAAAAAAAAAAAAAAAHAgAAZHJzL2Rvd25yZXYueG1sUEsFBgAAAAADAAMAtwAAAP0CAAAA&#10;AA==&#10;"/>
                                          <v:oval id="Oval 416" o:spid="_x0000_s1061" style="position:absolute;left:6915;top:8730;width:78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t0gygAAAOIAAAAPAAAAZHJzL2Rvd25yZXYueG1sRI9BS8NA&#10;FITvgv9heYI3u0lj05J2W4pFqAcPjfb+yL4modm3IftM4793BcHjMDPfMJvd5Do10hBazwbSWQKK&#10;uPK25drA58fr0wpUEGSLnWcy8E0Bdtv7uw0W1t/4RGMptYoQDgUaaET6QutQNeQwzHxPHL2LHxxK&#10;lEOt7YC3CHednidJrh22HBca7OmloepafjkDh3pf5qPOZJFdDkdZXM/vb1lqzOPDtF+DEprkP/zX&#10;PloDy1U6X+ZZ/gy/l+Id0NsfAAAA//8DAFBLAQItABQABgAIAAAAIQDb4fbL7gAAAIUBAAATAAAA&#10;AAAAAAAAAAAAAAAAAABbQ29udGVudF9UeXBlc10ueG1sUEsBAi0AFAAGAAgAAAAhAFr0LFu/AAAA&#10;FQEAAAsAAAAAAAAAAAAAAAAAHwEAAF9yZWxzLy5yZWxzUEsBAi0AFAAGAAgAAAAhAEOy3SDKAAAA&#10;4gAAAA8AAAAAAAAAAAAAAAAABwIAAGRycy9kb3ducmV2LnhtbFBLBQYAAAAAAwADALcAAAD+AgAA&#10;AAA=&#10;"/>
                                          <v:oval id="Oval 417" o:spid="_x0000_s1062" style="position:absolute;left:8070;top:7575;width:78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i7yQAAAOIAAAAPAAAAZHJzL2Rvd25yZXYueG1sRI9BS8NA&#10;FITvQv/D8gre7CYNSUvsthSLUA8ejHp/ZF+T0OzbkH2m8d+7guBxmJlvmN1hdr2aaAydZwPpKgFF&#10;XHvbcWPg4/35YQsqCLLF3jMZ+KYAh/3iboel9Td+o6mSRkUIhxINtCJDqXWoW3IYVn4gjt7Fjw4l&#10;yrHRdsRbhLter5Ok0A47jgstDvTUUn2tvpyBU3OsiklnkmeX01ny6+frS5Yac7+cj4+ghGb5D/+1&#10;z9bAZpuuN0VW5PB7Kd4Bvf8BAAD//wMAUEsBAi0AFAAGAAgAAAAhANvh9svuAAAAhQEAABMAAAAA&#10;AAAAAAAAAAAAAAAAAFtDb250ZW50X1R5cGVzXS54bWxQSwECLQAUAAYACAAAACEAWvQsW78AAAAV&#10;AQAACwAAAAAAAAAAAAAAAAAfAQAAX3JlbHMvLnJlbHNQSwECLQAUAAYACAAAACEALP54u8kAAADi&#10;AAAADwAAAAAAAAAAAAAAAAAHAgAAZHJzL2Rvd25yZXYueG1sUEsFBgAAAAADAAMAtwAAAP0CAAAA&#10;AA==&#10;"/>
                                          <v:shape id="AutoShape 418" o:spid="_x0000_s1063" type="#_x0000_t32" style="position:absolute;left:3975;top:6975;width:540;height:4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t8yyAAAAOIAAAAPAAAAZHJzL2Rvd25yZXYueG1sRI9BawIx&#10;FITvhf6H8ArealbFVVajtIIgXkq1UI+Pzetu6OZl2cTN+u+NUOhxmJlvmPV2sI3oqfPGsYLJOANB&#10;XDptuFLwdd6/LkH4gKyxcUwKbuRhu3l+WmOhXeRP6k+hEgnCvkAFdQhtIaUva7Lox64lTt6P6yyG&#10;JLtK6g5jgttGTrMslxYNp4UaW9rVVP6erlaBiR+mbw+7+H78vngdydzmzig1ehneViACDeE//Nc+&#10;aAWL5WS6yGd5Do9L6Q7IzR0AAP//AwBQSwECLQAUAAYACAAAACEA2+H2y+4AAACFAQAAEwAAAAAA&#10;AAAAAAAAAAAAAAAAW0NvbnRlbnRfVHlwZXNdLnhtbFBLAQItABQABgAIAAAAIQBa9CxbvwAAABUB&#10;AAALAAAAAAAAAAAAAAAAAB8BAABfcmVscy8ucmVsc1BLAQItABQABgAIAAAAIQAS6t8yyAAAAOIA&#10;AAAPAAAAAAAAAAAAAAAAAAcCAABkcnMvZG93bnJldi54bWxQSwUGAAAAAAMAAwC3AAAA/AIAAAAA&#10;">
                                            <v:stroke endarrow="block"/>
                                          </v:shape>
                                          <v:shape id="AutoShape 419" o:spid="_x0000_s1064" type="#_x0000_t32" style="position:absolute;left:3975;top:7410;width:570;height:5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bkCywAAAOIAAAAPAAAAZHJzL2Rvd25yZXYueG1sRI9Ba8JA&#10;FITvBf/D8gq91U0sJBpdRQotxdKDWkJ7e2SfSWj2bdhdNfbXu0Khx2FmvmEWq8F04kTOt5YVpOME&#10;BHFldcu1gs/9y+MUhA/IGjvLpOBCHlbL0d0CC23PvKXTLtQiQtgXqKAJoS+k9FVDBv3Y9sTRO1hn&#10;METpaqkdniPcdHKSJJk02HJcaLCn54aqn93RKPh6nx3LS/lBmzKdbb7RGf+7f1Xq4X5Yz0EEGsJ/&#10;+K/9phXk03SSZ09ZDrdL8Q7I5RUAAP//AwBQSwECLQAUAAYACAAAACEA2+H2y+4AAACFAQAAEwAA&#10;AAAAAAAAAAAAAAAAAAAAW0NvbnRlbnRfVHlwZXNdLnhtbFBLAQItABQABgAIAAAAIQBa9CxbvwAA&#10;ABUBAAALAAAAAAAAAAAAAAAAAB8BAABfcmVscy8ucmVsc1BLAQItABQABgAIAAAAIQDUJbkCywAA&#10;AOIAAAAPAAAAAAAAAAAAAAAAAAcCAABkcnMvZG93bnJldi54bWxQSwUGAAAAAAMAAwC3AAAA/wIA&#10;AAAA&#10;">
                                            <v:stroke endarrow="block"/>
                                          </v:shape>
                                          <v:shape id="AutoShape 420" o:spid="_x0000_s1065" type="#_x0000_t32" style="position:absolute;left:3990;top:7410;width:585;height:17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i1wyAAAAOIAAAAPAAAAZHJzL2Rvd25yZXYueG1sRE/Pa8Iw&#10;FL4L+x/CG3jTtApVq1HGYGMoHqajzNujeWvLmpeSRK37681B2PHj+73a9KYVF3K+sawgHScgiEur&#10;G64UfB3fRnMQPiBrbC2Tght52KyfBivMtb3yJ10OoRIxhH2OCuoQulxKX9Zk0I9tRxy5H+sMhghd&#10;JbXDaww3rZwkSSYNNhwbauzotaby93A2Cr53i3NxK/a0LdLF9oTO+L/ju1LD5/5lCSJQH/7FD/eH&#10;VjCbp5NZNs3i5ngp3gG5vgMAAP//AwBQSwECLQAUAAYACAAAACEA2+H2y+4AAACFAQAAEwAAAAAA&#10;AAAAAAAAAAAAAAAAW0NvbnRlbnRfVHlwZXNdLnhtbFBLAQItABQABgAIAAAAIQBa9CxbvwAAABUB&#10;AAALAAAAAAAAAAAAAAAAAB8BAABfcmVscy8ucmVsc1BLAQItABQABgAIAAAAIQClui1wyAAAAOIA&#10;AAAPAAAAAAAAAAAAAAAAAAcCAABkcnMvZG93bnJldi54bWxQSwUGAAAAAAMAAwC3AAAA/AIAAAAA&#10;">
                                            <v:stroke endarrow="block"/>
                                          </v:shape>
                                          <v:shape id="AutoShape 421" o:spid="_x0000_s1066" type="#_x0000_t32" style="position:absolute;left:4005;top:7050;width:465;height:15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UtAyQAAAOIAAAAPAAAAZHJzL2Rvd25yZXYueG1sRI9BawIx&#10;FITvhf6H8ArealZLV12N0gqCeClVQY+Pzetu6OZl2aSb9d83QqHHYWa+YVabwTaip84bxwom4wwE&#10;cem04UrB+bR7noPwAVlj45gU3MjDZv34sMJCu8if1B9DJRKEfYEK6hDaQkpf1mTRj11LnLwv11kM&#10;SXaV1B3GBLeNnGZZLi0aTgs1trStqfw+/lgFJn6Yvt1v4/vhcvU6krm9OqPU6Gl4W4IINIT/8F97&#10;rxXM5pPpLH/JF3C/lO6AXP8CAAD//wMAUEsBAi0AFAAGAAgAAAAhANvh9svuAAAAhQEAABMAAAAA&#10;AAAAAAAAAAAAAAAAAFtDb250ZW50X1R5cGVzXS54bWxQSwECLQAUAAYACAAAACEAWvQsW78AAAAV&#10;AQAACwAAAAAAAAAAAAAAAAAfAQAAX3JlbHMvLnJlbHNQSwECLQAUAAYACAAAACEAY3VLQMkAAADi&#10;AAAADwAAAAAAAAAAAAAAAAAHAgAAZHJzL2Rvd25yZXYueG1sUEsFBgAAAAADAAMAtwAAAP0CAAAA&#10;AA==&#10;">
                                            <v:stroke endarrow="block"/>
                                          </v:shape>
                                          <v:shape id="AutoShape 422" o:spid="_x0000_s1067" type="#_x0000_t32" style="position:absolute;left:4005;top:7995;width:510;height:6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nQAxwAAAOIAAAAPAAAAZHJzL2Rvd25yZXYueG1sRI9da8Iw&#10;FIbvB/6HcATvZqoyK9UoThBkN2NuoJeH5tgGm5PSZE399+ZisMuX94tnsxtsI3rqvHGsYDbNQBCX&#10;ThuuFPx8H19XIHxA1tg4JgUP8rDbjl42WGgX+Yv6c6hEGmFfoII6hLaQ0pc1WfRT1xIn7+Y6iyHJ&#10;rpK6w5jGbSPnWbaUFg2nhxpbOtRU3s+/VoGJn6ZvT4f4/nG5eh3JPN6cUWoyHvZrEIGG8B/+a5+0&#10;gnw1m+fLRZ4gElLCAbl9AgAA//8DAFBLAQItABQABgAIAAAAIQDb4fbL7gAAAIUBAAATAAAAAAAA&#10;AAAAAAAAAAAAAABbQ29udGVudF9UeXBlc10ueG1sUEsBAi0AFAAGAAgAAAAhAFr0LFu/AAAAFQEA&#10;AAsAAAAAAAAAAAAAAAAAHwEAAF9yZWxzLy5yZWxzUEsBAi0AFAAGAAgAAAAhAHeWdADHAAAA4gAA&#10;AA8AAAAAAAAAAAAAAAAABwIAAGRycy9kb3ducmV2LnhtbFBLBQYAAAAAAwADALcAAAD7AgAAAAA=&#10;">
                                            <v:stroke endarrow="block"/>
                                          </v:shape>
                                        </v:group>
                                        <v:shape id="AutoShape 423" o:spid="_x0000_s1068" type="#_x0000_t32" style="position:absolute;left:6510;top:6885;width:3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RIwywAAAOIAAAAPAAAAZHJzL2Rvd25yZXYueG1sRI9Ba8JA&#10;FITvhf6H5RV6q5soGI2uUgqVYvGglqC3R/aZhGbfht1VY399tyD0OMzMN8x82ZtWXMj5xrKCdJCA&#10;IC6tbrhS8LV/f5mA8AFZY2uZFNzIw3Lx+DDHXNsrb+myC5WIEPY5KqhD6HIpfVmTQT+wHXH0TtYZ&#10;DFG6SmqH1wg3rRwmyVgabDgu1NjRW03l9+5sFBw+p+fiVmxoXaTT9RGd8T/7lVLPT/3rDESgPvyH&#10;7+0PrSCbpMNsPMpS+LsU74Bc/AIAAP//AwBQSwECLQAUAAYACAAAACEA2+H2y+4AAACFAQAAEwAA&#10;AAAAAAAAAAAAAAAAAAAAW0NvbnRlbnRfVHlwZXNdLnhtbFBLAQItABQABgAIAAAAIQBa9CxbvwAA&#10;ABUBAAALAAAAAAAAAAAAAAAAAB8BAABfcmVscy8ucmVsc1BLAQItABQABgAIAAAAIQCxWRIwywAA&#10;AOIAAAAPAAAAAAAAAAAAAAAAAAcCAABkcnMvZG93bnJldi54bWxQSwUGAAAAAAMAAwC3AAAA/wIA&#10;AAAA&#10;">
                                          <v:stroke endarrow="block"/>
                                        </v:shape>
                                        <v:shape id="AutoShape 424" o:spid="_x0000_s1069" type="#_x0000_t32" style="position:absolute;left:7665;top:6915;width:435;height: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4xHywAAAOIAAAAPAAAAZHJzL2Rvd25yZXYueG1sRI9Ba8JA&#10;FITvBf/D8gq91U1SMBpdRQotxdKDWkJ7e2SfSWj2bdhdNfbXu0Khx2FmvmEWq8F04kTOt5YVpOME&#10;BHFldcu1gs/9y+MUhA/IGjvLpOBCHlbL0d0CC23PvKXTLtQiQtgXqKAJoS+k9FVDBv3Y9sTRO1hn&#10;METpaqkdniPcdDJLkok02HJcaLCn54aqn93RKPh6nx3LS/lBmzKdbb7RGf+7f1Xq4X5Yz0EEGsJ/&#10;+K/9phXk0zTLJ095BrdL8Q7I5RUAAP//AwBQSwECLQAUAAYACAAAACEA2+H2y+4AAACFAQAAEwAA&#10;AAAAAAAAAAAAAAAAAAAAW0NvbnRlbnRfVHlwZXNdLnhtbFBLAQItABQABgAIAAAAIQBa9CxbvwAA&#10;ABUBAAALAAAAAAAAAAAAAAAAAB8BAABfcmVscy8ucmVsc1BLAQItABQABgAIAAAAIQBBi4xHywAA&#10;AOIAAAAPAAAAAAAAAAAAAAAAAAcCAABkcnMvZG93bnJldi54bWxQSwUGAAAAAAMAAwC3AAAA/wIA&#10;AAAA&#10;">
                                          <v:stroke endarrow="block"/>
                                        </v:shape>
                                        <v:shape id="AutoShape 425" o:spid="_x0000_s1070" type="#_x0000_t32" style="position:absolute;left:5310;top:6900;width:42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yncywAAAOIAAAAPAAAAZHJzL2Rvd25yZXYueG1sRI9Ba8JA&#10;FITvQv/D8gq96SYKRqOrlEJLsXioStDbI/uahGbfht1VY399tyD0OMzMN8xy3ZtWXMj5xrKCdJSA&#10;IC6tbrhScNi/DmcgfEDW2FomBTfysF49DJaYa3vlT7rsQiUihH2OCuoQulxKX9Zk0I9sRxy9L+sM&#10;hihdJbXDa4SbVo6TZCoNNhwXauzopabye3c2Co4f83NxK7a0KdL55oTO+J/9m1JPj/3zAkSgPvyH&#10;7+13rSCbpeNsOskm8Hcp3gG5+gUAAP//AwBQSwECLQAUAAYACAAAACEA2+H2y+4AAACFAQAAEwAA&#10;AAAAAAAAAAAAAAAAAAAAW0NvbnRlbnRfVHlwZXNdLnhtbFBLAQItABQABgAIAAAAIQBa9CxbvwAA&#10;ABUBAAALAAAAAAAAAAAAAAAAAB8BAABfcmVscy8ucmVsc1BLAQItABQABgAIAAAAIQAuxyncywAA&#10;AOIAAAAPAAAAAAAAAAAAAAAAAAcCAABkcnMvZG93bnJldi54bWxQSwUGAAAAAAMAAwC3AAAA/wIA&#10;AAAA&#10;">
                                          <v:stroke endarrow="block"/>
                                        </v:shape>
                                        <v:shape id="AutoShape 426" o:spid="_x0000_s1071" type="#_x0000_t32" style="position:absolute;left:5325;top:6915;width:405;height:22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rGozAAAAOIAAAAPAAAAZHJzL2Rvd25yZXYueG1sRI9Ba8JA&#10;FITvQv/D8gq96SZajKauIoKlWHqoltDeHtnXJDT7NuyuGv31XaHQ4zAz3zCLVW9acSLnG8sK0lEC&#10;gri0uuFKwcdhO5yB8AFZY2uZFFzIw2p5N1hgru2Z3+m0D5WIEPY5KqhD6HIpfVmTQT+yHXH0vq0z&#10;GKJ0ldQOzxFuWjlOkqk02HBcqLGjTU3lz/5oFHy+zo/FpXijXZHOd1/ojL8enpV6uO/XTyAC9eE/&#10;/Nd+0QqyWTrOppPsEW6X4h2Qy18AAAD//wMAUEsBAi0AFAAGAAgAAAAhANvh9svuAAAAhQEAABMA&#10;AAAAAAAAAAAAAAAAAAAAAFtDb250ZW50X1R5cGVzXS54bWxQSwECLQAUAAYACAAAACEAWvQsW78A&#10;AAAVAQAACwAAAAAAAAAAAAAAAAAfAQAAX3JlbHMvLnJlbHNQSwECLQAUAAYACAAAACEAoS6xqMwA&#10;AADiAAAADwAAAAAAAAAAAAAAAAAHAgAAZHJzL2Rvd25yZXYueG1sUEsFBgAAAAADAAMAtwAAAAAD&#10;AAAAAA==&#10;">
                                          <v:stroke endarrow="block"/>
                                        </v:shape>
                                        <v:shape id="AutoShape 427" o:spid="_x0000_s1072" type="#_x0000_t32" style="position:absolute;left:5325;top:6930;width:345;height:10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deYyQAAAOIAAAAPAAAAZHJzL2Rvd25yZXYueG1sRI9BawIx&#10;FITvBf9DeEJvNatFV1ajWKEgvUhtQY+PzXM3uHlZNulm/fdNQehxmJlvmPV2sI3oqfPGsYLpJANB&#10;XDptuFLw/fX+sgThA7LGxjEpuJOH7Wb0tMZCu8if1J9CJRKEfYEK6hDaQkpf1mTRT1xLnLyr6yyG&#10;JLtK6g5jgttGzrJsIS0aTgs1trSvqbydfqwCE4+mbw/7+PZxvngdydznzij1PB52KxCBhvAffrQP&#10;WkG+nM7yxWs+h79L6Q7IzS8AAAD//wMAUEsBAi0AFAAGAAgAAAAhANvh9svuAAAAhQEAABMAAAAA&#10;AAAAAAAAAAAAAAAAAFtDb250ZW50X1R5cGVzXS54bWxQSwECLQAUAAYACAAAACEAWvQsW78AAAAV&#10;AQAACwAAAAAAAAAAAAAAAAAfAQAAX3JlbHMvLnJlbHNQSwECLQAUAAYACAAAACEAZ+HXmMkAAADi&#10;AAAADwAAAAAAAAAAAAAAAAAHAgAAZHJzL2Rvd25yZXYueG1sUEsFBgAAAAADAAMAtwAAAP0CAAAA&#10;AA==&#10;">
                                          <v:stroke endarrow="block"/>
                                        </v:shape>
                                        <v:shape id="AutoShape 428" o:spid="_x0000_s1073" type="#_x0000_t32" style="position:absolute;left:5340;top:8025;width:390;height:10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pEywAAAOIAAAAPAAAAZHJzL2Rvd25yZXYueG1sRI9Ba8JA&#10;FITvBf/D8gq91U0sJBpdRQotxdKDWkJ7e2SfSWj2bdhdNfbXu0Khx2FmvmEWq8F04kTOt5YVpOME&#10;BHFldcu1gs/9y+MUhA/IGjvLpOBCHlbL0d0CC23PvKXTLtQiQtgXqKAJoS+k9FVDBv3Y9sTRO1hn&#10;METpaqkdniPcdHKSJJk02HJcaLCn54aqn93RKPh6nx3LS/lBmzKdbb7RGf+7f1Xq4X5Yz0EEGsJ/&#10;+K/9phXk03SSZ095BrdL8Q7I5RUAAP//AwBQSwECLQAUAAYACAAAACEA2+H2y+4AAACFAQAAEwAA&#10;AAAAAAAAAAAAAAAAAAAAW0NvbnRlbnRfVHlwZXNdLnhtbFBLAQItABQABgAIAAAAIQBa9CxbvwAA&#10;ABUBAAALAAAAAAAAAAAAAAAAAB8BAABfcmVscy8ucmVsc1BLAQItABQABgAIAAAAIQA+sIpEywAA&#10;AOIAAAAPAAAAAAAAAAAAAAAAAAcCAABkcnMvZG93bnJldi54bWxQSwUGAAAAAAMAAwC3AAAA/wIA&#10;AAAA&#10;">
                                          <v:stroke endarrow="block"/>
                                        </v:shape>
                                        <v:shape id="AutoShape 429" o:spid="_x0000_s1074" type="#_x0000_t32" style="position:absolute;left:5370;top:8070;width:330;height:1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x0yQAAAOIAAAAPAAAAZHJzL2Rvd25yZXYueG1sRI9Ba8JA&#10;FITvQv/D8gq96UaLRqKrtEJBeinGQj0+sq/J0uzbkN1m47/vCgWPw8x8w2z3o23FQL03jhXMZxkI&#10;4sppw7WCz/PbdA3CB2SNrWNScCUP+93DZIuFdpFPNJShFgnCvkAFTQhdIaWvGrLoZ64jTt636y2G&#10;JPta6h5jgttWLrJsJS0aTgsNdnRoqPopf60CEz/M0B0P8fX96+J1JHNdOqPU0+P4sgERaAz38H/7&#10;qBXk6/kiXz3nOdwupTsgd38AAAD//wMAUEsBAi0AFAAGAAgAAAAhANvh9svuAAAAhQEAABMAAAAA&#10;AAAAAAAAAAAAAAAAAFtDb250ZW50X1R5cGVzXS54bWxQSwECLQAUAAYACAAAACEAWvQsW78AAAAV&#10;AQAACwAAAAAAAAAAAAAAAAAfAQAAX3JlbHMvLnJlbHNQSwECLQAUAAYACAAAACEA+H/sdMkAAADi&#10;AAAADwAAAAAAAAAAAAAAAAAHAgAAZHJzL2Rvd25yZXYueG1sUEsFBgAAAAADAAMAtwAAAP0CAAAA&#10;AA==&#10;">
                                          <v:stroke endarrow="block"/>
                                        </v:shape>
                                        <v:shape id="AutoShape 430" o:spid="_x0000_s1075" type="#_x0000_t32" style="position:absolute;left:5355;top:6960;width:300;height:2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HgGxQAAAOIAAAAPAAAAZHJzL2Rvd25yZXYueG1sRE/Pa8Iw&#10;FL4P/B/CE7zNVGVWqlGcIMguY26gx0fzbIPNS2mypv735jDY8eP7vdkNthE9dd44VjCbZiCIS6cN&#10;Vwp+vo+vKxA+IGtsHJOCB3nYbUcvGyy0i/xF/TlUIoWwL1BBHUJbSOnLmiz6qWuJE3dzncWQYFdJ&#10;3WFM4baR8yxbSouGU0ONLR1qKu/nX6vAxE/Tt6dDfP+4XL2OZB5vzig1GQ/7NYhAQ/gX/7lPWkG+&#10;ms3z5SJPm9OldAfk9gkAAP//AwBQSwECLQAUAAYACAAAACEA2+H2y+4AAACFAQAAEwAAAAAAAAAA&#10;AAAAAAAAAAAAW0NvbnRlbnRfVHlwZXNdLnhtbFBLAQItABQABgAIAAAAIQBa9CxbvwAAABUBAAAL&#10;AAAAAAAAAAAAAAAAAB8BAABfcmVscy8ucmVsc1BLAQItABQABgAIAAAAIQCJ4HgGxQAAAOIAAAAP&#10;AAAAAAAAAAAAAAAAAAcCAABkcnMvZG93bnJldi54bWxQSwUGAAAAAAMAAwC3AAAA+QIAAAAA&#10;">
                                          <v:stroke endarrow="block"/>
                                        </v:shape>
                                        <v:shape id="AutoShape 431" o:spid="_x0000_s1076" type="#_x0000_t32" style="position:absolute;left:6540;top:6900;width:405;height:19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42ywAAAOIAAAAPAAAAZHJzL2Rvd25yZXYueG1sRI9Ba8JA&#10;FITvBf/D8gq91U0sGBNdRQotxdKDWkJ7e2SfSWj2bdhdNfbXu0Khx2FmvmEWq8F04kTOt5YVpOME&#10;BHFldcu1gs/9y+MMhA/IGjvLpOBCHlbL0d0CC23PvKXTLtQiQtgXqKAJoS+k9FVDBv3Y9sTRO1hn&#10;METpaqkdniPcdHKSJFNpsOW40GBPzw1VP7ujUfD1nh/LS/lBmzLNN9/ojP/dvyr1cD+s5yACDeE/&#10;/Nd+0wqyWTrJpk9ZDrdL8Q7I5RUAAP//AwBQSwECLQAUAAYACAAAACEA2+H2y+4AAACFAQAAEwAA&#10;AAAAAAAAAAAAAAAAAAAAW0NvbnRlbnRfVHlwZXNdLnhtbFBLAQItABQABgAIAAAAIQBa9CxbvwAA&#10;ABUBAAALAAAAAAAAAAAAAAAAAB8BAABfcmVscy8ucmVsc1BLAQItABQABgAIAAAAIQBPLx42ywAA&#10;AOIAAAAPAAAAAAAAAAAAAAAAAAcCAABkcnMvZG93bnJldi54bWxQSwUGAAAAAAMAAwC3AAAA/wIA&#10;AAAA&#10;">
                                          <v:stroke endarrow="block"/>
                                        </v:shape>
                                        <v:shape id="AutoShape 432" o:spid="_x0000_s1077" type="#_x0000_t32" style="position:absolute;left:6525;top:7965;width:375;height:10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MeMygAAAOIAAAAPAAAAZHJzL2Rvd25yZXYueG1sRI/NasJA&#10;FIX3hb7DcAvd1UksaIyOUgqKKF2oJdTdJXObhGbuhJlRo0/vLAouD+ePb7boTSvO5HxjWUE6SEAQ&#10;l1Y3XCn4PizfMhA+IGtsLZOCK3lYzJ+fZphre+EdnfehEnGEfY4K6hC6XEpf1mTQD2xHHL1f6wyG&#10;KF0ltcNLHDetHCbJSBpsOD7U2NFnTeXf/mQU/Gwnp+JafNGmSCebIzrjb4eVUq8v/ccURKA+PML/&#10;7bVWMM7S4Xj0nkWIiBRxQM7vAAAA//8DAFBLAQItABQABgAIAAAAIQDb4fbL7gAAAIUBAAATAAAA&#10;AAAAAAAAAAAAAAAAAABbQ29udGVudF9UeXBlc10ueG1sUEsBAi0AFAAGAAgAAAAhAFr0LFu/AAAA&#10;FQEAAAsAAAAAAAAAAAAAAAAAHwEAAF9yZWxzLy5yZWxzUEsBAi0AFAAGAAgAAAAhAOvAx4zKAAAA&#10;4gAAAA8AAAAAAAAAAAAAAAAABwIAAGRycy9kb3ducmV2LnhtbFBLBQYAAAAAAwADALcAAAD+AgAA&#10;AAA=&#10;">
                                          <v:stroke endarrow="block"/>
                                        </v:shape>
                                        <v:shape id="AutoShape 433" o:spid="_x0000_s1078" type="#_x0000_t32" style="position:absolute;left:6555;top:8085;width:330;height:10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6G8yQAAAOIAAAAPAAAAZHJzL2Rvd25yZXYueG1sRI9Ba8JA&#10;FITvhf6H5RV6q5tY1BBdpRUK0ktRC/X4yD6TxezbkN1m47/vCgWPw8x8w6w2o23FQL03jhXkkwwE&#10;ceW04VrB9/HjpQDhA7LG1jEpuJKHzfrxYYWldpH3NBxCLRKEfYkKmhC6UkpfNWTRT1xHnLyz6y2G&#10;JPta6h5jgttWTrNsLi0aTgsNdrRtqLocfq0CE7/M0O228f3z5+R1JHOdOaPU89P4tgQRaAz38H97&#10;pxUsiny6mL8WOdwupTsg138AAAD//wMAUEsBAi0AFAAGAAgAAAAhANvh9svuAAAAhQEAABMAAAAA&#10;AAAAAAAAAAAAAAAAAFtDb250ZW50X1R5cGVzXS54bWxQSwECLQAUAAYACAAAACEAWvQsW78AAAAV&#10;AQAACwAAAAAAAAAAAAAAAAAfAQAAX3JlbHMvLnJlbHNQSwECLQAUAAYACAAAACEALQ+hvMkAAADi&#10;AAAADwAAAAAAAAAAAAAAAAAHAgAAZHJzL2Rvd25yZXYueG1sUEsFBgAAAAADAAMAtwAAAP0CAAAA&#10;AA==&#10;">
                                          <v:stroke endarrow="block"/>
                                        </v:shape>
                                        <v:shape id="AutoShape 434" o:spid="_x0000_s1079" type="#_x0000_t32" style="position:absolute;left:6555;top:7065;width:315;height:20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ZpQyQAAAOIAAAAPAAAAZHJzL2Rvd25yZXYueG1sRI9Ba8JA&#10;FITvQv/D8gq96UZFDamrtEJBeimmBT0+sq/J0uzbkN1m47/vCgWPw8x8w2z3o23FQL03jhXMZxkI&#10;4sppw7WCr8+3aQ7CB2SNrWNScCUP+93DZIuFdpFPNJShFgnCvkAFTQhdIaWvGrLoZ64jTt636y2G&#10;JPta6h5jgttWLrJsLS0aTgsNdnRoqPopf60CEz/M0B0P8fX9fPE6krmunFHq6XF8eQYRaAz38H/7&#10;qBVs8vlis17mS7hdSndA7v4AAAD//wMAUEsBAi0AFAAGAAgAAAAhANvh9svuAAAAhQEAABMAAAAA&#10;AAAAAAAAAAAAAAAAAFtDb250ZW50X1R5cGVzXS54bWxQSwECLQAUAAYACAAAACEAWvQsW78AAAAV&#10;AQAACwAAAAAAAAAAAAAAAAAfAQAAX3JlbHMvLnJlbHNQSwECLQAUAAYACAAAACEAspGaUMkAAADi&#10;AAAADwAAAAAAAAAAAAAAAAAHAgAAZHJzL2Rvd25yZXYueG1sUEsFBgAAAAADAAMAtwAAAP0CAAAA&#10;AA==&#10;">
                                          <v:stroke endarrow="block"/>
                                        </v:shape>
                                        <v:shape id="AutoShape 435" o:spid="_x0000_s1080" type="#_x0000_t32" style="position:absolute;left:7710;top:8100;width:375;height:9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m8IyQAAAOMAAAAPAAAAZHJzL2Rvd25yZXYueG1sRI/BasMw&#10;EETvhf6D2EJvjRyXiuJECW0gEHopSQvNcbE2toi1MpZiOX9fFQo5DjPzhlmuJ9eJkYZgPWuYzwoQ&#10;xLU3lhsN31/bp1cQISIb7DyThisFWK/u75ZYGZ94T+MhNiJDOFSooY2xr6QMdUsOw8z3xNk7+cFh&#10;zHJopBkwZbjrZFkUSjq0nBda7GnTUn0+XJwGmz7t2O826f3j5xhMInt98Vbrx4fpbQEi0hRv4f/2&#10;zmgoi1Kp8lnNFfx9yn9Arn4BAAD//wMAUEsBAi0AFAAGAAgAAAAhANvh9svuAAAAhQEAABMAAAAA&#10;AAAAAAAAAAAAAAAAAFtDb250ZW50X1R5cGVzXS54bWxQSwECLQAUAAYACAAAACEAWvQsW78AAAAV&#10;AQAACwAAAAAAAAAAAAAAAAAfAQAAX3JlbHMvLnJlbHNQSwECLQAUAAYACAAAACEAVRJvCMkAAADj&#10;AAAADwAAAAAAAAAAAAAAAAAHAgAAZHJzL2Rvd25yZXYueG1sUEsFBgAAAAADAAMAtwAAAP0CAAAA&#10;AA==&#10;">
                                          <v:stroke endarrow="block"/>
                                        </v:shape>
                                        <v:shape id="AutoShape 436" o:spid="_x0000_s1081" type="#_x0000_t32" style="position:absolute;left:7695;top:7950;width:360;height: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sqTyQAAAOMAAAAPAAAAZHJzL2Rvd25yZXYueG1sRI9Ba8JA&#10;FITvBf/D8oTe6saURomu0goF6aVUBT0+ss9kMfs2ZLfZ+O+7hUKPw8x8w6y3o23FQL03jhXMZxkI&#10;4sppw7WC0/H9aQnCB2SNrWNScCcP283kYY2ldpG/aDiEWiQI+xIVNCF0pZS+asiin7mOOHlX11sM&#10;Sfa11D3GBLetzLOskBYNp4UGO9o1VN0O31aBiZ9m6Pa7+PZxvngdydxfnFHqcTq+rkAEGsN/+K+9&#10;1wryLC+K/LmYL+D3U/oDcvMDAAD//wMAUEsBAi0AFAAGAAgAAAAhANvh9svuAAAAhQEAABMAAAAA&#10;AAAAAAAAAAAAAAAAAFtDb250ZW50X1R5cGVzXS54bWxQSwECLQAUAAYACAAAACEAWvQsW78AAAAV&#10;AQAACwAAAAAAAAAAAAAAAAAfAQAAX3JlbHMvLnJlbHNQSwECLQAUAAYACAAAACEAOl7Kk8kAAADj&#10;AAAADwAAAAAAAAAAAAAAAAAHAgAAZHJzL2Rvd25yZXYueG1sUEsFBgAAAAADAAMAtwAAAP0CAAAA&#10;AA==&#10;">
                                          <v:stroke endarrow="block"/>
                                        </v:shape>
                                      </v:group>
                                    </v:group>
                                  </v:group>
                                  <v:shape id="AutoShape 437" o:spid="_x0000_s1082" type="#_x0000_t32" style="position:absolute;left:5325;top:6885;width:375;height: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V7hxgAAAOMAAAAPAAAAZHJzL2Rvd25yZXYueG1sRE/Pa8Iw&#10;FL4P/B/CE7zN1I4V6YwyhYF4kamgx0fz1oY1L6WJTf3vzWGw48f3e7UZbSsG6r1xrGAxz0AQV04b&#10;rhVczl+vSxA+IGtsHZOCB3nYrCcvKyy1i/xNwynUIoWwL1FBE0JXSumrhiz6ueuIE/fjeoshwb6W&#10;useYwm0r8ywrpEXDqaHBjnYNVb+nu1Vg4tEM3X4Xt4frzetI5vHujFKz6fj5ASLQGP7Ff+69VpBn&#10;eVHkb8UijU6f0h+Q6ycAAAD//wMAUEsBAi0AFAAGAAgAAAAhANvh9svuAAAAhQEAABMAAAAAAAAA&#10;AAAAAAAAAAAAAFtDb250ZW50X1R5cGVzXS54bWxQSwECLQAUAAYACAAAACEAWvQsW78AAAAVAQAA&#10;CwAAAAAAAAAAAAAAAAAfAQAAX3JlbHMvLnJlbHNQSwECLQAUAAYACAAAACEAS8Fe4cYAAADjAAAA&#10;DwAAAAAAAAAAAAAAAAAHAgAAZHJzL2Rvd25yZXYueG1sUEsFBgAAAAADAAMAtwAAAPoCAAAAAA==&#10;">
                                    <v:stroke endarrow="block"/>
                                  </v:shape>
                                  <v:shape id="AutoShape 438" o:spid="_x0000_s1083" type="#_x0000_t32" style="position:absolute;left:5325;top:8010;width:375;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VrVzAAAAOMAAAAPAAAAZHJzL2Rvd25yZXYueG1sRI9Ba8JA&#10;FITvBf/D8gRvdZMUQpO6iggtRemhWkJ7e2Rfk9Ds27C7auyv7xYEj8PMfMMsVqPpxYmc7ywrSOcJ&#10;COLa6o4bBR+H5/tHED4ga+wtk4ILeVgtJ3cLLLU98zud9qEREcK+RAVtCEMppa9bMujndiCO3rd1&#10;BkOUrpHa4TnCTS+zJMmlwY7jQosDbVqqf/ZHo+BzVxyrS/VG2yottl/ojP89vCg1m47rJxCBxnAL&#10;X9uvWkGWZHmePeRpAf+f4h+Qyz8AAAD//wMAUEsBAi0AFAAGAAgAAAAhANvh9svuAAAAhQEAABMA&#10;AAAAAAAAAAAAAAAAAAAAAFtDb250ZW50X1R5cGVzXS54bWxQSwECLQAUAAYACAAAACEAWvQsW78A&#10;AAAVAQAACwAAAAAAAAAAAAAAAAAfAQAAX3JlbHMvLnJlbHNQSwECLQAUAAYACAAAACEA61Va1cwA&#10;AADjAAAADwAAAAAAAAAAAAAAAAAHAgAAZHJzL2Rvd25yZXYueG1sUEsFBgAAAAADAAMAtwAAAAAD&#10;AAAAAA==&#10;">
                                    <v:stroke endarrow="block"/>
                                  </v:shape>
                                </v:group>
                                <v:shape id="AutoShape 439" o:spid="_x0000_s1084" type="#_x0000_t32" style="position:absolute;left:6525;top:7980;width:375;height: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zn1ygAAAOMAAAAPAAAAZHJzL2Rvd25yZXYueG1sRI9da8Iw&#10;FIbvB/sP4Qx2N1MjlFmNMgYb4tjFdJR5d2iObbE5KUnU6q83FwMvX94vnvlysJ04kQ+tYw3jUQaC&#10;uHKm5VrD7/bj5RVEiMgGO8ek4UIBlovHhzkWxp35h06bWIs0wqFADU2MfSFlqBqyGEauJ07e3nmL&#10;MUlfS+PxnMZtJ1WW5dJiy+mhwZ7eG6oOm6PV8Pc1PZaX8pvW5Xi63qG34br91Pr5aXibgYg0xHv4&#10;v70yGlSm8lxNcpUoElPiAbm4AQAA//8DAFBLAQItABQABgAIAAAAIQDb4fbL7gAAAIUBAAATAAAA&#10;AAAAAAAAAAAAAAAAAABbQ29udGVudF9UeXBlc10ueG1sUEsBAi0AFAAGAAgAAAAhAFr0LFu/AAAA&#10;FQEAAAsAAAAAAAAAAAAAAAAAHwEAAF9yZWxzLy5yZWxzUEsBAi0AFAAGAAgAAAAhALQDOfXKAAAA&#10;4wAAAA8AAAAAAAAAAAAAAAAABwIAAGRycy9kb3ducmV2LnhtbFBLBQYAAAAAAwADALcAAAD+AgAA&#10;AAA=&#10;">
                                  <v:stroke endarrow="block"/>
                                </v:shape>
                              </v:group>
                              <v:shape id="AutoShape 440" o:spid="_x0000_s1085" type="#_x0000_t32" style="position:absolute;left:6540;top:9120;width:3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5xuzAAAAOMAAAAPAAAAZHJzL2Rvd25yZXYueG1sRI9BS8NA&#10;FITvQv/D8gre7CYrBJt2W0pBkYoHWwn29sg+k2D2bdjdtqm/3hUEj8PMfMMs16PtxZl86BxryGcZ&#10;COLamY4bDe+Hx7sHECEiG+wdk4YrBVivJjdLLI278Bud97ERCcKhRA1tjEMpZahbshhmbiBO3qfz&#10;FmOSvpHG4yXBbS9VlhXSYsdpocWBti3VX/uT1fDxMj9V1+qVdlU+3x3R2/B9eNL6djpuFiAijfE/&#10;/Nd+NhpUpopC3Rcqh99P6Q/I1Q8AAAD//wMAUEsBAi0AFAAGAAgAAAAhANvh9svuAAAAhQEAABMA&#10;AAAAAAAAAAAAAAAAAAAAAFtDb250ZW50X1R5cGVzXS54bWxQSwECLQAUAAYACAAAACEAWvQsW78A&#10;AAAVAQAACwAAAAAAAAAAAAAAAAAfAQAAX3JlbHMvLnJlbHNQSwECLQAUAAYACAAAACEA20+cbswA&#10;AADjAAAADwAAAAAAAAAAAAAAAAAHAgAAZHJzL2Rvd25yZXYueG1sUEsFBgAAAAADAAMAtwAAAAAD&#10;AAAAAA==&#10;">
                                <v:stroke endarrow="block"/>
                              </v:shape>
                            </v:group>
                            <v:rect id="Rectangle 441" o:spid="_x0000_s1086" style="position:absolute;left:2820;top:6405;width:1335;height:3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PWEywAAAOMAAAAPAAAAZHJzL2Rvd25yZXYueG1sRI9BS8NA&#10;FITvgv9heYI3u9utRkm7LTUgCPXSKLTeHtnXJJh9G7JrG/vrXaHgcZiZb5jFanSdONIQWs8GphMF&#10;grjytuXawMf7y90TiBCRLXaeycAPBVgtr68WmFt/4i0dy1iLBOGQo4Emxj6XMlQNOQwT3xMn7+AH&#10;hzHJoZZ2wFOCu05qpTLpsOW00GBPRUPVV/ntDGwfntef+8fZzp3Vprwv3pwuptqY25txPQcRaYz/&#10;4Uv71RrQSmeZnmVaw9+n9Afk8hcAAP//AwBQSwECLQAUAAYACAAAACEA2+H2y+4AAACFAQAAEwAA&#10;AAAAAAAAAAAAAAAAAAAAW0NvbnRlbnRfVHlwZXNdLnhtbFBLAQItABQABgAIAAAAIQBa9CxbvwAA&#10;ABUBAAALAAAAAAAAAAAAAAAAAB8BAABfcmVscy8ucmVsc1BLAQItABQABgAIAAAAIQACOPWEywAA&#10;AOMAAAAPAAAAAAAAAAAAAAAAAAcCAABkcnMvZG93bnJldi54bWxQSwUGAAAAAAMAAwC3AAAA/wIA&#10;AAAA&#10;" filled="f" strokeweight="2.25pt"/>
                            <v:rect id="Rectangle 442" o:spid="_x0000_s1087" style="position:absolute;left:4155;top:6420;width:3660;height:3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BgpyAAAAOMAAAAPAAAAZHJzL2Rvd25yZXYueG1sRE9da8Iw&#10;FH0X/A/hCnvT1Ap1VKO4wWAwX+pk8/HSXNtuzU1JMtv9eyMIwnk5nC/OejuYVlzI+caygvksAUFc&#10;Wt1wpeD4+TZ9BuEDssbWMin4Jw/bzXi0xlzbngu6HEIlYgn7HBXUIXS5lL6syaCf2Y44amfrDIZI&#10;XSW1wz6Wm1amSZJJgw3HhRo7eq2p/D38GQXy2H8vilPRvvQ/9qT5y+0/uqVST5NhtwIRaAgP8z39&#10;rhWkSZpl6SICbp/iH5CbKwAAAP//AwBQSwECLQAUAAYACAAAACEA2+H2y+4AAACFAQAAEwAAAAAA&#10;AAAAAAAAAAAAAAAAW0NvbnRlbnRfVHlwZXNdLnhtbFBLAQItABQABgAIAAAAIQBa9CxbvwAAABUB&#10;AAALAAAAAAAAAAAAAAAAAB8BAABfcmVscy8ucmVsc1BLAQItABQABgAIAAAAIQCjvBgpyAAAAOMA&#10;AAAPAAAAAAAAAAAAAAAAAAcCAABkcnMvZG93bnJldi54bWxQSwUGAAAAAAMAAwC3AAAA/AIAAAAA&#10;" filled="f" strokeweight="2.25pt">
                              <v:stroke dashstyle="dash"/>
                            </v:rect>
                            <v:rect id="Rectangle 443" o:spid="_x0000_s1088" style="position:absolute;left:7815;top:6405;width:1335;height:3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chrzAAAAOMAAAAPAAAAZHJzL2Rvd25yZXYueG1sRI9BS8NA&#10;FITvgv9heYI3u9ttTSV2W2pAEOqlUajeHtnXJDT7NmTXNvbXu4LgcZiZb5jlenSdONEQWs8GphMF&#10;grjytuXawPvb890DiBCRLXaeycA3BVivrq+WmFt/5h2dyliLBOGQo4Emxj6XMlQNOQwT3xMn7+AH&#10;hzHJoZZ2wHOCu05qpTLpsOW00GBPRUPVsfxyBnb3T5vPj8Vs7y5qW86LV6eLqTbm9mbcPIKINMb/&#10;8F/7xRrQSmeZnmV6Dr+f0h+Qqx8AAAD//wMAUEsBAi0AFAAGAAgAAAAhANvh9svuAAAAhQEAABMA&#10;AAAAAAAAAAAAAAAAAAAAAFtDb250ZW50X1R5cGVzXS54bWxQSwECLQAUAAYACAAAACEAWvQsW78A&#10;AAAVAQAACwAAAAAAAAAAAAAAAAAfAQAAX3JlbHMvLnJlbHNQSwECLQAUAAYACAAAACEA4p3Ia8wA&#10;AADjAAAADwAAAAAAAAAAAAAAAAAHAgAAZHJzL2Rvd25yZXYueG1sUEsFBgAAAAADAAMAtwAAAAAD&#10;AAAAAA==&#10;" filled="f" strokeweight="2.25pt"/>
                          </v:group>
                          <v:shape id="Text Box 444" o:spid="_x0000_s1089" type="#_x0000_t202" style="position:absolute;left:2715;top:7347;width:615;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7MzAAAAOMAAAAPAAAAZHJzL2Rvd25yZXYueG1sRI9BS8NA&#10;FITvgv9heYI3u+sWg8RuiygWvZQ22kNvz+xrEpp9G7Nrk/77rlDwOMzMN8xsMbpWHKkPjWcD9xMF&#10;grj0tuHKwNfn290jiBCRLbaeycCJAizm11czzK0feEPHIlYiQTjkaKCOsculDGVNDsPEd8TJ2/ve&#10;YUyyr6TtcUhw10qtVCYdNpwWauzopabyUPw6A9vv1anddNOdaoaP9bj8WRevy8qY25vx+QlEpDH+&#10;hy/td2tAK51leprpB/j7lP6AnJ8BAAD//wMAUEsBAi0AFAAGAAgAAAAhANvh9svuAAAAhQEAABMA&#10;AAAAAAAAAAAAAAAAAAAAAFtDb250ZW50X1R5cGVzXS54bWxQSwECLQAUAAYACAAAACEAWvQsW78A&#10;AAAVAQAACwAAAAAAAAAAAAAAAAAfAQAAX3JlbHMvLnJlbHNQSwECLQAUAAYACAAAACEAQQ7+zMwA&#10;AADjAAAADwAAAAAAAAAAAAAAAAAHAgAAZHJzL2Rvd25yZXYueG1sUEsFBgAAAAADAAMAtwAAAAAD&#10;AAAAAA==&#10;" filled="f" stroked="f">
                            <v:textbox style="layout-flow:vertical;mso-layout-flow-alt:bottom-to-top">
                              <w:txbxContent>
                                <w:p w:rsidR="00C20C0F" w:rsidRPr="00051206" w:rsidRDefault="00C20C0F" w:rsidP="008A6EAC">
                                  <w:pPr>
                                    <w:rPr>
                                      <w:lang w:val="es-CO"/>
                                    </w:rPr>
                                  </w:pPr>
                                  <w:r>
                                    <w:rPr>
                                      <w:lang w:val="es-CO"/>
                                    </w:rPr>
                                    <w:t>CAPA DE ENTRADA</w:t>
                                  </w:r>
                                </w:p>
                              </w:txbxContent>
                            </v:textbox>
                          </v:shape>
                          <v:shape id="Text Box 445" o:spid="_x0000_s1090" type="#_x0000_t202" style="position:absolute;left:2985;top:7452;width:163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dPgyQAAAOMAAAAPAAAAZHJzL2Rvd25yZXYueG1sRI9BSwMx&#10;FITvBf9DeIK3NjG2oa5NiyiCJ6XVCt4em9fdxc3Lsond7b83QqHHYWa+YVab0bfiSH1sAlu4nSkQ&#10;xGVwDVcWPj9epksQMSE7bAOThRNF2KyvJissXBh4S8ddqkSGcCzQQp1SV0gZy5o8xlnoiLN3CL3H&#10;lGVfSdfjkOG+lVopIz02nBdq7OippvJn9+st7N8O319z9V49+0U3hFFJ9vfS2pvr8fEBRKIxXcLn&#10;9quzoJU2Rt8ZbeD/U/4Dcv0HAAD//wMAUEsBAi0AFAAGAAgAAAAhANvh9svuAAAAhQEAABMAAAAA&#10;AAAAAAAAAAAAAAAAAFtDb250ZW50X1R5cGVzXS54bWxQSwECLQAUAAYACAAAACEAWvQsW78AAAAV&#10;AQAACwAAAAAAAAAAAAAAAAAfAQAAX3JlbHMvLnJlbHNQSwECLQAUAAYACAAAACEAymHT4MkAAADj&#10;AAAADwAAAAAAAAAAAAAAAAAHAgAAZHJzL2Rvd25yZXYueG1sUEsFBgAAAAADAAMAtwAAAP0CAAAA&#10;AA==&#10;" filled="f" stroked="f">
                            <v:textbox>
                              <w:txbxContent>
                                <w:p w:rsidR="00C20C0F" w:rsidRPr="00051206" w:rsidRDefault="00C20C0F" w:rsidP="008A6EAC">
                                  <w:pPr>
                                    <w:rPr>
                                      <w:b/>
                                      <w:bCs/>
                                      <w:sz w:val="16"/>
                                      <w:szCs w:val="16"/>
                                      <w:lang w:val="es-CO"/>
                                    </w:rPr>
                                  </w:pPr>
                                  <w:r w:rsidRPr="00051206">
                                    <w:rPr>
                                      <w:b/>
                                      <w:bCs/>
                                      <w:sz w:val="16"/>
                                      <w:szCs w:val="16"/>
                                      <w:lang w:val="es-CO"/>
                                    </w:rPr>
                                    <w:t>ESCENARIO</w:t>
                                  </w:r>
                                </w:p>
                              </w:txbxContent>
                            </v:textbox>
                          </v:shape>
                          <v:shape id="Text Box 446" o:spid="_x0000_s1091" type="#_x0000_t202" style="position:absolute;left:2790;top:9717;width:1470;height: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XZ7ygAAAOMAAAAPAAAAZHJzL2Rvd25yZXYueG1sRI9PSwMx&#10;FMTvBb9DeIK3NjHWrV2blqIIniz2j9DbY/O6u3Tzsmxid/vtjSB4HGbmN8xiNbhGXKgLtWcD9xMF&#10;grjwtubSwH73Nn4CESKyxcYzGbhSgNXyZrTA3PqeP+myjaVIEA45GqhibHMpQ1GRwzDxLXHyTr5z&#10;GJPsSmk77BPcNVIrlUmHNaeFClt6qag4b7+dgcPH6fg1VZvy1T22vR+UZDeXxtzdDutnEJGG+B/+&#10;a79bA1rpLNMPmZ7B76f0B+TyBwAA//8DAFBLAQItABQABgAIAAAAIQDb4fbL7gAAAIUBAAATAAAA&#10;AAAAAAAAAAAAAAAAAABbQ29udGVudF9UeXBlc10ueG1sUEsBAi0AFAAGAAgAAAAhAFr0LFu/AAAA&#10;FQEAAAsAAAAAAAAAAAAAAAAAHwEAAF9yZWxzLy5yZWxzUEsBAi0AFAAGAAgAAAAhAKUtdnvKAAAA&#10;4wAAAA8AAAAAAAAAAAAAAAAABwIAAGRycy9kb3ducmV2LnhtbFBLBQYAAAAAAwADALcAAAD+AgAA&#10;AAA=&#10;" filled="f" stroked="f">
                            <v:textbox>
                              <w:txbxContent>
                                <w:p w:rsidR="00C20C0F" w:rsidRPr="00051206" w:rsidRDefault="00C20C0F" w:rsidP="008A6EAC">
                                  <w:pPr>
                                    <w:jc w:val="center"/>
                                    <w:rPr>
                                      <w:b/>
                                      <w:bCs/>
                                      <w:sz w:val="16"/>
                                      <w:szCs w:val="16"/>
                                      <w:lang w:val="es-CO"/>
                                    </w:rPr>
                                  </w:pPr>
                                  <w:r>
                                    <w:rPr>
                                      <w:b/>
                                      <w:bCs/>
                                      <w:sz w:val="16"/>
                                      <w:szCs w:val="16"/>
                                      <w:lang w:val="es-CO"/>
                                    </w:rPr>
                                    <w:t>CANTIDAD DE MODULOS</w:t>
                                  </w:r>
                                </w:p>
                              </w:txbxContent>
                            </v:textbox>
                          </v:shape>
                          <v:shape id="Text Box 447" o:spid="_x0000_s1092" type="#_x0000_t202" style="position:absolute;left:4650;top:6642;width:3915;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uIJxgAAAOMAAAAPAAAAZHJzL2Rvd25yZXYueG1sRE9ba8Iw&#10;FH4f7D+EM/BtJotb0WqUsSHsacMr+HZojm2xOSlNtN2/Xx4GPn5898VqcI24URdqzwZexgoEceFt&#10;zaWB/W79PAURIrLFxjMZ+KUAq+XjwwJz63ve0G0bS5FCOORooIqxzaUMRUUOw9i3xIk7+85hTLAr&#10;pe2wT+GukVqpTDqsOTVU2NJHRcVle3UGDt/n0/FV/ZSf7q3t/aAku5k0ZvQ0vM9BRBriXfzv/rIG&#10;tNJZpieZTqPTp/QH5PIPAAD//wMAUEsBAi0AFAAGAAgAAAAhANvh9svuAAAAhQEAABMAAAAAAAAA&#10;AAAAAAAAAAAAAFtDb250ZW50X1R5cGVzXS54bWxQSwECLQAUAAYACAAAACEAWvQsW78AAAAVAQAA&#10;CwAAAAAAAAAAAAAAAAAfAQAAX3JlbHMvLnJlbHNQSwECLQAUAAYACAAAACEA1LLiCcYAAADjAAAA&#10;DwAAAAAAAAAAAAAAAAAHAgAAZHJzL2Rvd25yZXYueG1sUEsFBgAAAAADAAMAtwAAAPoCAAAAAA==&#10;" filled="f" stroked="f">
                            <v:textbox>
                              <w:txbxContent>
                                <w:p w:rsidR="00C20C0F" w:rsidRPr="00051206" w:rsidRDefault="00C20C0F" w:rsidP="008A6EAC">
                                  <w:pPr>
                                    <w:rPr>
                                      <w:lang w:val="es-CO"/>
                                    </w:rPr>
                                  </w:pPr>
                                  <w:r>
                                    <w:rPr>
                                      <w:lang w:val="es-CO"/>
                                    </w:rPr>
                                    <w:t>CAPAS OCULTAS =25</w:t>
                                  </w:r>
                                </w:p>
                              </w:txbxContent>
                            </v:textbox>
                          </v:shape>
                          <v:shape id="Text Box 448" o:spid="_x0000_s1093" type="#_x0000_t202" style="position:absolute;left:8670;top:7437;width:615;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TJzAAAAOMAAAAPAAAAZHJzL2Rvd25yZXYueG1sRI9BS8NA&#10;FITvgv9heYI3u+sWQo3dFlEsepE22kNvz+xrEpp9G7Nrk/77rlDwOMzMN8x8ObpWHKkPjWcD9xMF&#10;grj0tuHKwNfn690MRIjIFlvPZOBEAZaL66s55tYPvKFjESuRIBxyNFDH2OVShrImh2HiO+Lk7X3v&#10;MCbZV9L2OCS4a6VWKpMOG04LNXb0XFN5KH6dge33x6nddNOdaob39bj6WRcvq8qY25vx6RFEpDH+&#10;hy/tN2tAK51leprpB/j7lP6AXJwBAAD//wMAUEsBAi0AFAAGAAgAAAAhANvh9svuAAAAhQEAABMA&#10;AAAAAAAAAAAAAAAAAAAAAFtDb250ZW50X1R5cGVzXS54bWxQSwECLQAUAAYACAAAACEAWvQsW78A&#10;AAAVAQAACwAAAAAAAAAAAAAAAAAfAQAAX3JlbHMvLnJlbHNQSwECLQAUAAYACAAAACEAwEP0ycwA&#10;AADjAAAADwAAAAAAAAAAAAAAAAAHAgAAZHJzL2Rvd25yZXYueG1sUEsFBgAAAAADAAMAtwAAAAAD&#10;AAAAAA==&#10;" filled="f" stroked="f">
                            <v:textbox style="layout-flow:vertical;mso-layout-flow-alt:bottom-to-top">
                              <w:txbxContent>
                                <w:p w:rsidR="00C20C0F" w:rsidRPr="00051206" w:rsidRDefault="00C20C0F" w:rsidP="008A6EAC">
                                  <w:pPr>
                                    <w:rPr>
                                      <w:lang w:val="es-CO"/>
                                    </w:rPr>
                                  </w:pPr>
                                  <w:r>
                                    <w:rPr>
                                      <w:lang w:val="es-CO"/>
                                    </w:rPr>
                                    <w:t>CAPA DE SALIDA</w:t>
                                  </w:r>
                                </w:p>
                              </w:txbxContent>
                            </v:textbox>
                          </v:shape>
                          <v:shape id="Text Box 449" o:spid="_x0000_s1094" type="#_x0000_t202" style="position:absolute;left:7665;top:7062;width:1665;height: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jSyQAAAOMAAAAPAAAAZHJzL2Rvd25yZXYueG1sRI/LasJA&#10;FIb3gu8wHKE7nTHWYGNGEUuhq0ptLbg7ZE4umDkTMlOTvn1nUejy57/x5fvRtuJOvW8ca1guFAji&#10;wpmGKw2fHy/zDQgfkA22jknDD3nY76aTHDPjBn6n+zlUIo6wz1BDHUKXSemLmiz6heuIo1e63mKI&#10;sq+k6XGI47aViVKptNhwfKixo2NNxe38bTVc3srr16M6Vc923Q1uVJLtk9T6YTYetiACjeE//Nd+&#10;NRoSlaRpskpXkSIyRR6Qu18AAAD//wMAUEsBAi0AFAAGAAgAAAAhANvh9svuAAAAhQEAABMAAAAA&#10;AAAAAAAAAAAAAAAAAFtDb250ZW50X1R5cGVzXS54bWxQSwECLQAUAAYACAAAACEAWvQsW78AAAAV&#10;AQAACwAAAAAAAAAAAAAAAAAfAQAAX3JlbHMvLnJlbHNQSwECLQAUAAYACAAAACEArx140skAAADj&#10;AAAADwAAAAAAAAAAAAAAAAAHAgAAZHJzL2Rvd25yZXYueG1sUEsFBgAAAAADAAMAtwAAAP0CAAAA&#10;AA==&#10;" filled="f" stroked="f">
                            <v:textbox>
                              <w:txbxContent>
                                <w:p w:rsidR="00C20C0F" w:rsidRPr="00051206" w:rsidRDefault="00C20C0F" w:rsidP="008A6EAC">
                                  <w:pPr>
                                    <w:jc w:val="center"/>
                                    <w:rPr>
                                      <w:b/>
                                      <w:bCs/>
                                      <w:sz w:val="16"/>
                                      <w:szCs w:val="16"/>
                                      <w:lang w:val="es-CO"/>
                                    </w:rPr>
                                  </w:pPr>
                                  <w:r>
                                    <w:rPr>
                                      <w:b/>
                                      <w:bCs/>
                                      <w:sz w:val="16"/>
                                      <w:szCs w:val="16"/>
                                      <w:lang w:val="es-CO"/>
                                    </w:rPr>
                                    <w:t>CONJUNTO DE MOVIMIENTOS</w:t>
                                  </w:r>
                                </w:p>
                              </w:txbxContent>
                            </v:textbox>
                          </v:shape>
                        </v:group>
                      </v:group>
                    </v:group>
                  </w:pict>
                </mc:Fallback>
              </mc:AlternateContent>
            </w: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tc>
      </w:tr>
      <w:tr w:rsidR="008A6EAC" w:rsidRPr="00FF2BBD" w:rsidTr="007F2707">
        <w:tc>
          <w:tcPr>
            <w:tcW w:w="10112" w:type="dxa"/>
            <w:shd w:val="clear" w:color="auto" w:fill="auto"/>
          </w:tcPr>
          <w:p w:rsidR="008A6EAC" w:rsidRPr="00683AC9" w:rsidRDefault="008A6EAC" w:rsidP="007F2707">
            <w:pPr>
              <w:ind w:left="360"/>
              <w:jc w:val="center"/>
              <w:rPr>
                <w:rFonts w:ascii="Arial" w:hAnsi="Arial" w:cs="Arial"/>
                <w:bCs/>
                <w:iCs/>
                <w:sz w:val="20"/>
                <w:szCs w:val="20"/>
              </w:rPr>
            </w:pPr>
            <w:r w:rsidRPr="00683AC9">
              <w:rPr>
                <w:rFonts w:ascii="Arial" w:hAnsi="Arial" w:cs="Arial"/>
                <w:bCs/>
                <w:iCs/>
                <w:sz w:val="20"/>
                <w:szCs w:val="20"/>
              </w:rPr>
              <w:lastRenderedPageBreak/>
              <w:t>(a)</w:t>
            </w:r>
          </w:p>
        </w:tc>
      </w:tr>
      <w:tr w:rsidR="008A6EAC" w:rsidRPr="00FF2BBD" w:rsidTr="007F2707">
        <w:tc>
          <w:tcPr>
            <w:tcW w:w="10112" w:type="dxa"/>
            <w:shd w:val="clear" w:color="auto" w:fill="auto"/>
          </w:tcPr>
          <w:p w:rsidR="008A6EAC" w:rsidRPr="00FF2BBD" w:rsidRDefault="008A6EAC" w:rsidP="007F2707">
            <w:pPr>
              <w:jc w:val="both"/>
              <w:rPr>
                <w:rFonts w:ascii="Arial" w:hAnsi="Arial" w:cs="Arial"/>
                <w:bCs/>
                <w:i/>
                <w:sz w:val="20"/>
                <w:szCs w:val="20"/>
              </w:rPr>
            </w:pPr>
          </w:p>
          <w:p w:rsidR="008A6EAC"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p w:rsidR="008A6EAC" w:rsidRPr="00FF2BBD" w:rsidRDefault="008A6EAC" w:rsidP="007F2707">
            <w:pPr>
              <w:jc w:val="both"/>
              <w:rPr>
                <w:rFonts w:ascii="Arial" w:hAnsi="Arial" w:cs="Arial"/>
                <w:bCs/>
                <w:i/>
                <w:sz w:val="20"/>
                <w:szCs w:val="20"/>
              </w:rPr>
            </w:pPr>
          </w:p>
        </w:tc>
      </w:tr>
      <w:tr w:rsidR="008A6EAC" w:rsidRPr="00FF2BBD" w:rsidTr="007F2707">
        <w:tc>
          <w:tcPr>
            <w:tcW w:w="10112" w:type="dxa"/>
            <w:shd w:val="clear" w:color="auto" w:fill="auto"/>
          </w:tcPr>
          <w:p w:rsidR="008A6EAC" w:rsidRDefault="008A6EAC" w:rsidP="007F2707">
            <w:pPr>
              <w:ind w:left="720"/>
              <w:jc w:val="center"/>
              <w:rPr>
                <w:rFonts w:ascii="Arial" w:hAnsi="Arial" w:cs="Arial"/>
                <w:b/>
                <w:i/>
                <w:sz w:val="20"/>
                <w:szCs w:val="20"/>
              </w:rPr>
            </w:pPr>
          </w:p>
          <w:p w:rsidR="008A6EAC" w:rsidRDefault="008A6EAC" w:rsidP="007F2707">
            <w:pPr>
              <w:ind w:left="720"/>
              <w:jc w:val="center"/>
              <w:rPr>
                <w:rFonts w:ascii="Arial" w:hAnsi="Arial" w:cs="Arial"/>
                <w:b/>
                <w:i/>
                <w:sz w:val="20"/>
                <w:szCs w:val="20"/>
              </w:rPr>
            </w:pPr>
          </w:p>
          <w:p w:rsidR="008A6EAC" w:rsidRDefault="008A6EAC" w:rsidP="007F2707">
            <w:pPr>
              <w:ind w:left="720"/>
              <w:jc w:val="center"/>
              <w:rPr>
                <w:rFonts w:ascii="Arial" w:hAnsi="Arial" w:cs="Arial"/>
                <w:b/>
                <w:i/>
                <w:sz w:val="20"/>
                <w:szCs w:val="20"/>
              </w:rPr>
            </w:pPr>
          </w:p>
          <w:p w:rsidR="008A6EAC" w:rsidRPr="00683AC9" w:rsidRDefault="008A6EAC" w:rsidP="007F2707">
            <w:pPr>
              <w:ind w:left="720"/>
              <w:jc w:val="center"/>
              <w:rPr>
                <w:rFonts w:ascii="Arial" w:hAnsi="Arial" w:cs="Arial"/>
                <w:bCs/>
                <w:iCs/>
                <w:sz w:val="20"/>
                <w:szCs w:val="20"/>
              </w:rPr>
            </w:pPr>
            <w:r w:rsidRPr="00683AC9">
              <w:rPr>
                <w:rFonts w:ascii="Arial" w:hAnsi="Arial" w:cs="Arial"/>
                <w:bCs/>
                <w:iCs/>
                <w:sz w:val="20"/>
                <w:szCs w:val="20"/>
              </w:rPr>
              <w:t>(b)</w:t>
            </w:r>
          </w:p>
        </w:tc>
      </w:tr>
      <w:tr w:rsidR="008A6EAC" w:rsidRPr="00FF2BBD" w:rsidTr="007F2707">
        <w:tc>
          <w:tcPr>
            <w:tcW w:w="10112" w:type="dxa"/>
            <w:shd w:val="clear" w:color="auto" w:fill="auto"/>
          </w:tcPr>
          <w:p w:rsidR="008A6EAC" w:rsidRPr="00FF2BBD" w:rsidRDefault="008A6EAC" w:rsidP="007F2707">
            <w:pPr>
              <w:jc w:val="center"/>
              <w:rPr>
                <w:rFonts w:ascii="Arial" w:hAnsi="Arial" w:cs="Arial"/>
                <w:bCs/>
                <w:i/>
                <w:sz w:val="20"/>
                <w:szCs w:val="20"/>
              </w:rPr>
            </w:pPr>
            <w:r w:rsidRPr="00FF2BBD">
              <w:rPr>
                <w:rFonts w:ascii="Arial" w:hAnsi="Arial" w:cs="Arial"/>
                <w:bCs/>
                <w:i/>
                <w:sz w:val="20"/>
                <w:szCs w:val="20"/>
              </w:rPr>
              <w:t>Figura 3. Configuración de la RNA</w:t>
            </w:r>
            <w:r>
              <w:rPr>
                <w:rFonts w:ascii="Arial" w:hAnsi="Arial" w:cs="Arial"/>
                <w:bCs/>
                <w:i/>
                <w:sz w:val="20"/>
                <w:szCs w:val="20"/>
              </w:rPr>
              <w:t>: (a) Implementación de las capas</w:t>
            </w:r>
            <w:r w:rsidRPr="00FF2BBD">
              <w:rPr>
                <w:rFonts w:ascii="Arial" w:hAnsi="Arial" w:cs="Arial"/>
                <w:bCs/>
                <w:i/>
                <w:sz w:val="20"/>
                <w:szCs w:val="20"/>
              </w:rPr>
              <w:t xml:space="preserve"> y </w:t>
            </w:r>
            <w:r>
              <w:rPr>
                <w:rFonts w:ascii="Arial" w:hAnsi="Arial" w:cs="Arial"/>
                <w:bCs/>
                <w:i/>
                <w:sz w:val="20"/>
                <w:szCs w:val="20"/>
              </w:rPr>
              <w:t>(b)</w:t>
            </w:r>
            <w:r w:rsidRPr="00FF2BBD">
              <w:rPr>
                <w:rFonts w:ascii="Arial" w:hAnsi="Arial" w:cs="Arial"/>
                <w:bCs/>
                <w:i/>
                <w:sz w:val="20"/>
                <w:szCs w:val="20"/>
              </w:rPr>
              <w:t xml:space="preserve"> </w:t>
            </w:r>
            <w:r>
              <w:rPr>
                <w:rFonts w:ascii="Arial" w:hAnsi="Arial" w:cs="Arial"/>
                <w:bCs/>
                <w:i/>
                <w:sz w:val="20"/>
                <w:szCs w:val="20"/>
              </w:rPr>
              <w:t>C</w:t>
            </w:r>
            <w:r w:rsidRPr="00FF2BBD">
              <w:rPr>
                <w:rFonts w:ascii="Arial" w:hAnsi="Arial" w:cs="Arial"/>
                <w:bCs/>
                <w:i/>
                <w:sz w:val="20"/>
                <w:szCs w:val="20"/>
              </w:rPr>
              <w:t>ontrolador del robot</w:t>
            </w:r>
          </w:p>
        </w:tc>
      </w:tr>
    </w:tbl>
    <w:p w:rsidR="008A6EAC" w:rsidRDefault="008A6EAC" w:rsidP="008A6EAC">
      <w:pPr>
        <w:jc w:val="both"/>
        <w:rPr>
          <w:rFonts w:ascii="Arial" w:hAnsi="Arial" w:cs="Arial"/>
          <w:bCs/>
          <w:i/>
          <w:sz w:val="20"/>
          <w:szCs w:val="20"/>
        </w:rPr>
      </w:pPr>
      <w:r w:rsidRPr="00FF2BBD">
        <w:rPr>
          <w:rFonts w:ascii="Arial" w:hAnsi="Arial" w:cs="Arial"/>
          <w:noProof/>
          <w:lang w:val="en-US"/>
        </w:rPr>
        <mc:AlternateContent>
          <mc:Choice Requires="wpg">
            <w:drawing>
              <wp:anchor distT="0" distB="0" distL="114300" distR="114300" simplePos="0" relativeHeight="251812864" behindDoc="0" locked="0" layoutInCell="1" allowOverlap="1" wp14:anchorId="79E43303" wp14:editId="4285E9E2">
                <wp:simplePos x="0" y="0"/>
                <wp:positionH relativeFrom="column">
                  <wp:posOffset>287655</wp:posOffset>
                </wp:positionH>
                <wp:positionV relativeFrom="paragraph">
                  <wp:posOffset>-1751330</wp:posOffset>
                </wp:positionV>
                <wp:extent cx="5765165" cy="1329055"/>
                <wp:effectExtent l="7620" t="9525" r="8890" b="13970"/>
                <wp:wrapNone/>
                <wp:docPr id="427" name="Grupo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5165" cy="1329055"/>
                          <a:chOff x="1317" y="6004"/>
                          <a:chExt cx="9079" cy="2093"/>
                        </a:xfrm>
                      </wpg:grpSpPr>
                      <wpg:grpSp>
                        <wpg:cNvPr id="428" name="Group 451"/>
                        <wpg:cNvGrpSpPr>
                          <a:grpSpLocks/>
                        </wpg:cNvGrpSpPr>
                        <wpg:grpSpPr bwMode="auto">
                          <a:xfrm>
                            <a:off x="1317" y="6004"/>
                            <a:ext cx="3410" cy="1221"/>
                            <a:chOff x="1807" y="6045"/>
                            <a:chExt cx="3410" cy="1221"/>
                          </a:xfrm>
                        </wpg:grpSpPr>
                        <wps:wsp>
                          <wps:cNvPr id="429" name="AutoShape 452"/>
                          <wps:cNvSpPr>
                            <a:spLocks noChangeArrowheads="1"/>
                          </wps:cNvSpPr>
                          <wps:spPr bwMode="auto">
                            <a:xfrm>
                              <a:off x="2133" y="6358"/>
                              <a:ext cx="829" cy="360"/>
                            </a:xfrm>
                            <a:prstGeom prst="roundRect">
                              <a:avLst>
                                <a:gd name="adj" fmla="val 16667"/>
                              </a:avLst>
                            </a:prstGeom>
                            <a:solidFill>
                              <a:srgbClr val="FFFFFF"/>
                            </a:solidFill>
                            <a:ln w="9525">
                              <a:solidFill>
                                <a:srgbClr val="000000"/>
                              </a:solidFill>
                              <a:round/>
                              <a:headEnd/>
                              <a:tailEnd/>
                            </a:ln>
                          </wps:spPr>
                          <wps:txbx>
                            <w:txbxContent>
                              <w:p w:rsidR="00C20C0F" w:rsidRPr="003A3CED" w:rsidRDefault="00C20C0F" w:rsidP="008A6EAC">
                                <w:pPr>
                                  <w:jc w:val="center"/>
                                  <w:rPr>
                                    <w:rFonts w:ascii="Arial" w:hAnsi="Arial" w:cs="Arial"/>
                                    <w:sz w:val="16"/>
                                    <w:szCs w:val="16"/>
                                    <w:lang w:val="es-CO"/>
                                  </w:rPr>
                                </w:pPr>
                                <w:r w:rsidRPr="003A3CED">
                                  <w:rPr>
                                    <w:rFonts w:ascii="Arial" w:hAnsi="Arial" w:cs="Arial"/>
                                    <w:sz w:val="16"/>
                                    <w:szCs w:val="16"/>
                                    <w:lang w:val="es-CO"/>
                                  </w:rPr>
                                  <w:t>RNA</w:t>
                                </w:r>
                              </w:p>
                            </w:txbxContent>
                          </wps:txbx>
                          <wps:bodyPr rot="0" vert="horz" wrap="square" lIns="91440" tIns="45720" rIns="91440" bIns="45720" anchor="t" anchorCtr="0" upright="1">
                            <a:noAutofit/>
                          </wps:bodyPr>
                        </wps:wsp>
                        <wps:wsp>
                          <wps:cNvPr id="430" name="AutoShape 453"/>
                          <wps:cNvSpPr>
                            <a:spLocks noChangeArrowheads="1"/>
                          </wps:cNvSpPr>
                          <wps:spPr bwMode="auto">
                            <a:xfrm>
                              <a:off x="3289" y="6358"/>
                              <a:ext cx="1774" cy="557"/>
                            </a:xfrm>
                            <a:prstGeom prst="roundRect">
                              <a:avLst>
                                <a:gd name="adj" fmla="val 16667"/>
                              </a:avLst>
                            </a:prstGeom>
                            <a:solidFill>
                              <a:srgbClr val="FFFFFF"/>
                            </a:solidFill>
                            <a:ln w="9525">
                              <a:solidFill>
                                <a:srgbClr val="000000"/>
                              </a:solidFill>
                              <a:round/>
                              <a:headEnd/>
                              <a:tailEnd/>
                            </a:ln>
                          </wps:spPr>
                          <wps:txbx>
                            <w:txbxContent>
                              <w:p w:rsidR="00C20C0F" w:rsidRPr="003A3CED" w:rsidRDefault="00C20C0F" w:rsidP="008A6EAC">
                                <w:pPr>
                                  <w:jc w:val="center"/>
                                  <w:rPr>
                                    <w:rFonts w:ascii="Arial" w:hAnsi="Arial" w:cs="Arial"/>
                                    <w:sz w:val="16"/>
                                    <w:szCs w:val="16"/>
                                    <w:lang w:val="es-CO"/>
                                  </w:rPr>
                                </w:pPr>
                                <w:r w:rsidRPr="003A3CED">
                                  <w:rPr>
                                    <w:rFonts w:ascii="Arial" w:hAnsi="Arial" w:cs="Arial"/>
                                    <w:sz w:val="16"/>
                                    <w:szCs w:val="16"/>
                                    <w:lang w:val="es-CO"/>
                                  </w:rPr>
                                  <w:t>EMPAQUETAR MOVIMIENTO</w:t>
                                </w:r>
                              </w:p>
                            </w:txbxContent>
                          </wps:txbx>
                          <wps:bodyPr rot="0" vert="horz" wrap="square" lIns="91440" tIns="45720" rIns="91440" bIns="45720" anchor="t" anchorCtr="0" upright="1">
                            <a:noAutofit/>
                          </wps:bodyPr>
                        </wps:wsp>
                        <wps:wsp>
                          <wps:cNvPr id="431" name="AutoShape 454"/>
                          <wps:cNvCnPr>
                            <a:cxnSpLocks noChangeShapeType="1"/>
                          </wps:cNvCnPr>
                          <wps:spPr bwMode="auto">
                            <a:xfrm>
                              <a:off x="2971" y="6548"/>
                              <a:ext cx="3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2" name="AutoShape 455"/>
                          <wps:cNvSpPr>
                            <a:spLocks noChangeArrowheads="1"/>
                          </wps:cNvSpPr>
                          <wps:spPr bwMode="auto">
                            <a:xfrm>
                              <a:off x="1807" y="6045"/>
                              <a:ext cx="3410" cy="1141"/>
                            </a:xfrm>
                            <a:prstGeom prst="roundRect">
                              <a:avLst>
                                <a:gd name="adj" fmla="val 16667"/>
                              </a:avLst>
                            </a:prstGeom>
                            <a:noFill/>
                            <a:ln w="9525">
                              <a:solidFill>
                                <a:srgbClr val="000000"/>
                              </a:solidFill>
                              <a:prstDash val="dash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 name="Text Box 456"/>
                          <wps:cNvSpPr txBox="1">
                            <a:spLocks noChangeArrowheads="1"/>
                          </wps:cNvSpPr>
                          <wps:spPr bwMode="auto">
                            <a:xfrm>
                              <a:off x="1873" y="6859"/>
                              <a:ext cx="2280"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C0F" w:rsidRPr="00653CDB" w:rsidRDefault="00C20C0F" w:rsidP="008A6EAC">
                                <w:pPr>
                                  <w:rPr>
                                    <w:rFonts w:ascii="Arial" w:hAnsi="Arial" w:cs="Arial"/>
                                    <w:b/>
                                    <w:bCs/>
                                    <w:i/>
                                    <w:iCs/>
                                    <w:sz w:val="16"/>
                                    <w:szCs w:val="16"/>
                                    <w:lang w:val="es-CO"/>
                                  </w:rPr>
                                </w:pPr>
                                <w:r w:rsidRPr="00653CDB">
                                  <w:rPr>
                                    <w:rFonts w:ascii="Arial" w:hAnsi="Arial" w:cs="Arial"/>
                                    <w:b/>
                                    <w:bCs/>
                                    <w:i/>
                                    <w:iCs/>
                                    <w:sz w:val="16"/>
                                    <w:szCs w:val="16"/>
                                    <w:lang w:val="es-CO"/>
                                  </w:rPr>
                                  <w:t>CONTROLADOR</w:t>
                                </w:r>
                              </w:p>
                            </w:txbxContent>
                          </wps:txbx>
                          <wps:bodyPr rot="0" vert="horz" wrap="square" lIns="91440" tIns="45720" rIns="91440" bIns="45720" anchor="t" anchorCtr="0" upright="1">
                            <a:noAutofit/>
                          </wps:bodyPr>
                        </wps:wsp>
                      </wpg:grpSp>
                      <wpg:grpSp>
                        <wpg:cNvPr id="434" name="Group 457"/>
                        <wpg:cNvGrpSpPr>
                          <a:grpSpLocks/>
                        </wpg:cNvGrpSpPr>
                        <wpg:grpSpPr bwMode="auto">
                          <a:xfrm>
                            <a:off x="5715" y="6032"/>
                            <a:ext cx="4681" cy="2065"/>
                            <a:chOff x="4764" y="7506"/>
                            <a:chExt cx="4681" cy="2065"/>
                          </a:xfrm>
                        </wpg:grpSpPr>
                        <wps:wsp>
                          <wps:cNvPr id="437" name="AutoShape 458"/>
                          <wps:cNvSpPr>
                            <a:spLocks noChangeArrowheads="1"/>
                          </wps:cNvSpPr>
                          <wps:spPr bwMode="auto">
                            <a:xfrm>
                              <a:off x="6475" y="7651"/>
                              <a:ext cx="1625" cy="542"/>
                            </a:xfrm>
                            <a:prstGeom prst="roundRect">
                              <a:avLst>
                                <a:gd name="adj" fmla="val 16667"/>
                              </a:avLst>
                            </a:prstGeom>
                            <a:solidFill>
                              <a:srgbClr val="FFFFFF"/>
                            </a:solidFill>
                            <a:ln w="9525">
                              <a:solidFill>
                                <a:srgbClr val="000000"/>
                              </a:solidFill>
                              <a:round/>
                              <a:headEnd/>
                              <a:tailEnd/>
                            </a:ln>
                          </wps:spPr>
                          <wps:txbx>
                            <w:txbxContent>
                              <w:p w:rsidR="00C20C0F" w:rsidRPr="003A3CED" w:rsidRDefault="00C20C0F" w:rsidP="008A6EAC">
                                <w:pPr>
                                  <w:jc w:val="center"/>
                                  <w:rPr>
                                    <w:rFonts w:ascii="Arial" w:hAnsi="Arial" w:cs="Arial"/>
                                    <w:sz w:val="16"/>
                                    <w:szCs w:val="16"/>
                                    <w:lang w:val="es-CO"/>
                                  </w:rPr>
                                </w:pPr>
                                <w:r w:rsidRPr="003A3CED">
                                  <w:rPr>
                                    <w:rFonts w:ascii="Arial" w:hAnsi="Arial" w:cs="Arial"/>
                                    <w:sz w:val="16"/>
                                    <w:szCs w:val="16"/>
                                    <w:lang w:val="es-CO"/>
                                  </w:rPr>
                                  <w:t>CONTROLADOR LOCAL</w:t>
                                </w:r>
                              </w:p>
                            </w:txbxContent>
                          </wps:txbx>
                          <wps:bodyPr rot="0" vert="horz" wrap="square" lIns="91440" tIns="45720" rIns="91440" bIns="45720" anchor="t" anchorCtr="0" upright="1">
                            <a:noAutofit/>
                          </wps:bodyPr>
                        </wps:wsp>
                        <wps:wsp>
                          <wps:cNvPr id="438" name="AutoShape 459"/>
                          <wps:cNvSpPr>
                            <a:spLocks noChangeArrowheads="1"/>
                          </wps:cNvSpPr>
                          <wps:spPr bwMode="auto">
                            <a:xfrm>
                              <a:off x="4983" y="8830"/>
                              <a:ext cx="1062" cy="544"/>
                            </a:xfrm>
                            <a:prstGeom prst="roundRect">
                              <a:avLst>
                                <a:gd name="adj" fmla="val 16667"/>
                              </a:avLst>
                            </a:prstGeom>
                            <a:solidFill>
                              <a:srgbClr val="FFFFFF"/>
                            </a:solidFill>
                            <a:ln w="9525">
                              <a:solidFill>
                                <a:srgbClr val="000000"/>
                              </a:solidFill>
                              <a:round/>
                              <a:headEnd/>
                              <a:tailEnd/>
                            </a:ln>
                          </wps:spPr>
                          <wps:txbx>
                            <w:txbxContent>
                              <w:p w:rsidR="00C20C0F" w:rsidRPr="003A3CED" w:rsidRDefault="00C20C0F" w:rsidP="008A6EAC">
                                <w:pPr>
                                  <w:jc w:val="center"/>
                                  <w:rPr>
                                    <w:rFonts w:ascii="Arial" w:hAnsi="Arial" w:cs="Arial"/>
                                    <w:sz w:val="16"/>
                                    <w:szCs w:val="16"/>
                                    <w:lang w:val="es-CO"/>
                                  </w:rPr>
                                </w:pPr>
                                <w:r w:rsidRPr="003A3CED">
                                  <w:rPr>
                                    <w:rFonts w:ascii="Arial" w:hAnsi="Arial" w:cs="Arial"/>
                                    <w:sz w:val="16"/>
                                    <w:szCs w:val="16"/>
                                    <w:lang w:val="es-CO"/>
                                  </w:rPr>
                                  <w:t>MODULO 1</w:t>
                                </w:r>
                              </w:p>
                            </w:txbxContent>
                          </wps:txbx>
                          <wps:bodyPr rot="0" vert="horz" wrap="square" lIns="91440" tIns="45720" rIns="91440" bIns="45720" anchor="t" anchorCtr="0" upright="1">
                            <a:noAutofit/>
                          </wps:bodyPr>
                        </wps:wsp>
                        <wps:wsp>
                          <wps:cNvPr id="439" name="AutoShape 460"/>
                          <wps:cNvSpPr>
                            <a:spLocks noChangeArrowheads="1"/>
                          </wps:cNvSpPr>
                          <wps:spPr bwMode="auto">
                            <a:xfrm>
                              <a:off x="7398" y="8803"/>
                              <a:ext cx="741" cy="47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0C0F" w:rsidRPr="003A3CED" w:rsidRDefault="00C20C0F" w:rsidP="008A6EAC">
                                <w:pPr>
                                  <w:jc w:val="center"/>
                                  <w:rPr>
                                    <w:rFonts w:ascii="Arial" w:hAnsi="Arial" w:cs="Arial"/>
                                    <w:b/>
                                    <w:bCs/>
                                    <w:sz w:val="28"/>
                                    <w:szCs w:val="28"/>
                                    <w:lang w:val="es-CO"/>
                                  </w:rPr>
                                </w:pPr>
                                <w:r w:rsidRPr="003A3CED">
                                  <w:rPr>
                                    <w:rFonts w:ascii="Arial" w:hAnsi="Arial" w:cs="Arial"/>
                                    <w:b/>
                                    <w:bCs/>
                                    <w:sz w:val="28"/>
                                    <w:szCs w:val="28"/>
                                    <w:lang w:val="es-CO"/>
                                  </w:rPr>
                                  <w:t>…</w:t>
                                </w:r>
                              </w:p>
                            </w:txbxContent>
                          </wps:txbx>
                          <wps:bodyPr rot="0" vert="horz" wrap="square" lIns="91440" tIns="45720" rIns="91440" bIns="45720" anchor="t" anchorCtr="0" upright="1">
                            <a:noAutofit/>
                          </wps:bodyPr>
                        </wps:wsp>
                        <wps:wsp>
                          <wps:cNvPr id="440" name="AutoShape 461"/>
                          <wps:cNvSpPr>
                            <a:spLocks noChangeArrowheads="1"/>
                          </wps:cNvSpPr>
                          <wps:spPr bwMode="auto">
                            <a:xfrm>
                              <a:off x="6324" y="8830"/>
                              <a:ext cx="1062" cy="544"/>
                            </a:xfrm>
                            <a:prstGeom prst="roundRect">
                              <a:avLst>
                                <a:gd name="adj" fmla="val 16667"/>
                              </a:avLst>
                            </a:prstGeom>
                            <a:solidFill>
                              <a:srgbClr val="FFFFFF"/>
                            </a:solidFill>
                            <a:ln w="9525">
                              <a:solidFill>
                                <a:srgbClr val="000000"/>
                              </a:solidFill>
                              <a:round/>
                              <a:headEnd/>
                              <a:tailEnd/>
                            </a:ln>
                          </wps:spPr>
                          <wps:txbx>
                            <w:txbxContent>
                              <w:p w:rsidR="00C20C0F" w:rsidRPr="003A3CED" w:rsidRDefault="00C20C0F" w:rsidP="008A6EAC">
                                <w:pPr>
                                  <w:jc w:val="center"/>
                                  <w:rPr>
                                    <w:rFonts w:ascii="Arial" w:hAnsi="Arial" w:cs="Arial"/>
                                    <w:sz w:val="16"/>
                                    <w:szCs w:val="16"/>
                                    <w:lang w:val="es-CO"/>
                                  </w:rPr>
                                </w:pPr>
                                <w:r w:rsidRPr="003A3CED">
                                  <w:rPr>
                                    <w:rFonts w:ascii="Arial" w:hAnsi="Arial" w:cs="Arial"/>
                                    <w:sz w:val="16"/>
                                    <w:szCs w:val="16"/>
                                    <w:lang w:val="es-CO"/>
                                  </w:rPr>
                                  <w:t xml:space="preserve">MODULO </w:t>
                                </w:r>
                                <w:r>
                                  <w:rPr>
                                    <w:rFonts w:ascii="Arial" w:hAnsi="Arial" w:cs="Arial"/>
                                    <w:sz w:val="16"/>
                                    <w:szCs w:val="16"/>
                                    <w:lang w:val="es-CO"/>
                                  </w:rPr>
                                  <w:t>2</w:t>
                                </w:r>
                              </w:p>
                            </w:txbxContent>
                          </wps:txbx>
                          <wps:bodyPr rot="0" vert="horz" wrap="square" lIns="91440" tIns="45720" rIns="91440" bIns="45720" anchor="t" anchorCtr="0" upright="1">
                            <a:noAutofit/>
                          </wps:bodyPr>
                        </wps:wsp>
                        <wps:wsp>
                          <wps:cNvPr id="441" name="AutoShape 462"/>
                          <wps:cNvSpPr>
                            <a:spLocks noChangeArrowheads="1"/>
                          </wps:cNvSpPr>
                          <wps:spPr bwMode="auto">
                            <a:xfrm>
                              <a:off x="8198" y="8816"/>
                              <a:ext cx="1062" cy="544"/>
                            </a:xfrm>
                            <a:prstGeom prst="roundRect">
                              <a:avLst>
                                <a:gd name="adj" fmla="val 16667"/>
                              </a:avLst>
                            </a:prstGeom>
                            <a:solidFill>
                              <a:srgbClr val="FFFFFF"/>
                            </a:solidFill>
                            <a:ln w="9525">
                              <a:solidFill>
                                <a:srgbClr val="000000"/>
                              </a:solidFill>
                              <a:round/>
                              <a:headEnd/>
                              <a:tailEnd/>
                            </a:ln>
                          </wps:spPr>
                          <wps:txbx>
                            <w:txbxContent>
                              <w:p w:rsidR="00C20C0F" w:rsidRPr="003A3CED" w:rsidRDefault="00C20C0F" w:rsidP="008A6EAC">
                                <w:pPr>
                                  <w:jc w:val="center"/>
                                  <w:rPr>
                                    <w:rFonts w:ascii="Arial" w:hAnsi="Arial" w:cs="Arial"/>
                                    <w:sz w:val="16"/>
                                    <w:szCs w:val="16"/>
                                    <w:lang w:val="es-CO"/>
                                  </w:rPr>
                                </w:pPr>
                                <w:r w:rsidRPr="003A3CED">
                                  <w:rPr>
                                    <w:rFonts w:ascii="Arial" w:hAnsi="Arial" w:cs="Arial"/>
                                    <w:sz w:val="16"/>
                                    <w:szCs w:val="16"/>
                                    <w:lang w:val="es-CO"/>
                                  </w:rPr>
                                  <w:t xml:space="preserve">MODULO </w:t>
                                </w:r>
                                <w:r>
                                  <w:rPr>
                                    <w:rFonts w:ascii="Arial" w:hAnsi="Arial" w:cs="Arial"/>
                                    <w:sz w:val="16"/>
                                    <w:szCs w:val="16"/>
                                    <w:lang w:val="es-CO"/>
                                  </w:rPr>
                                  <w:t>n</w:t>
                                </w:r>
                              </w:p>
                            </w:txbxContent>
                          </wps:txbx>
                          <wps:bodyPr rot="0" vert="horz" wrap="square" lIns="91440" tIns="45720" rIns="91440" bIns="45720" anchor="t" anchorCtr="0" upright="1">
                            <a:noAutofit/>
                          </wps:bodyPr>
                        </wps:wsp>
                        <wps:wsp>
                          <wps:cNvPr id="442" name="AutoShape 463"/>
                          <wps:cNvCnPr>
                            <a:cxnSpLocks noChangeShapeType="1"/>
                          </wps:cNvCnPr>
                          <wps:spPr bwMode="auto">
                            <a:xfrm>
                              <a:off x="5543" y="8450"/>
                              <a:ext cx="320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3" name="AutoShape 464"/>
                          <wps:cNvCnPr>
                            <a:cxnSpLocks noChangeShapeType="1"/>
                          </wps:cNvCnPr>
                          <wps:spPr bwMode="auto">
                            <a:xfrm>
                              <a:off x="5543" y="8450"/>
                              <a:ext cx="0" cy="33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4" name="AutoShape 465"/>
                          <wps:cNvCnPr>
                            <a:cxnSpLocks noChangeShapeType="1"/>
                          </wps:cNvCnPr>
                          <wps:spPr bwMode="auto">
                            <a:xfrm>
                              <a:off x="6855" y="8450"/>
                              <a:ext cx="1" cy="3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5" name="AutoShape 466"/>
                          <wps:cNvCnPr>
                            <a:cxnSpLocks noChangeShapeType="1"/>
                          </wps:cNvCnPr>
                          <wps:spPr bwMode="auto">
                            <a:xfrm>
                              <a:off x="8750" y="8450"/>
                              <a:ext cx="0" cy="35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6" name="AutoShape 467"/>
                          <wps:cNvCnPr>
                            <a:cxnSpLocks noChangeShapeType="1"/>
                          </wps:cNvCnPr>
                          <wps:spPr bwMode="auto">
                            <a:xfrm flipV="1">
                              <a:off x="7268" y="8193"/>
                              <a:ext cx="0" cy="28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7" name="AutoShape 468"/>
                          <wps:cNvSpPr>
                            <a:spLocks noChangeArrowheads="1"/>
                          </wps:cNvSpPr>
                          <wps:spPr bwMode="auto">
                            <a:xfrm>
                              <a:off x="4764" y="7506"/>
                              <a:ext cx="4681" cy="2065"/>
                            </a:xfrm>
                            <a:prstGeom prst="roundRect">
                              <a:avLst>
                                <a:gd name="adj" fmla="val 16667"/>
                              </a:avLst>
                            </a:prstGeom>
                            <a:noFill/>
                            <a:ln w="9525">
                              <a:solidFill>
                                <a:srgbClr val="000000"/>
                              </a:solidFill>
                              <a:prstDash val="dash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038912" name="Text Box 469"/>
                          <wps:cNvSpPr txBox="1">
                            <a:spLocks noChangeArrowheads="1"/>
                          </wps:cNvSpPr>
                          <wps:spPr bwMode="auto">
                            <a:xfrm>
                              <a:off x="4830" y="7527"/>
                              <a:ext cx="2280"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C0F" w:rsidRPr="00653CDB" w:rsidRDefault="00C20C0F" w:rsidP="008A6EAC">
                                <w:pPr>
                                  <w:rPr>
                                    <w:rFonts w:ascii="Arial" w:hAnsi="Arial" w:cs="Arial"/>
                                    <w:b/>
                                    <w:bCs/>
                                    <w:i/>
                                    <w:iCs/>
                                    <w:sz w:val="16"/>
                                    <w:szCs w:val="16"/>
                                    <w:lang w:val="es-CO"/>
                                  </w:rPr>
                                </w:pPr>
                                <w:r>
                                  <w:rPr>
                                    <w:rFonts w:ascii="Arial" w:hAnsi="Arial" w:cs="Arial"/>
                                    <w:b/>
                                    <w:bCs/>
                                    <w:i/>
                                    <w:iCs/>
                                    <w:sz w:val="16"/>
                                    <w:szCs w:val="16"/>
                                    <w:lang w:val="es-CO"/>
                                  </w:rPr>
                                  <w:t>ROBOT</w:t>
                                </w:r>
                              </w:p>
                            </w:txbxContent>
                          </wps:txbx>
                          <wps:bodyPr rot="0" vert="horz" wrap="square" lIns="91440" tIns="45720" rIns="91440" bIns="45720" anchor="t" anchorCtr="0" upright="1">
                            <a:noAutofit/>
                          </wps:bodyPr>
                        </wps:wsp>
                      </wpg:grpSp>
                      <wps:wsp>
                        <wps:cNvPr id="298038913" name="AutoShape 470"/>
                        <wps:cNvCnPr>
                          <a:cxnSpLocks noChangeShapeType="1"/>
                        </wps:cNvCnPr>
                        <wps:spPr bwMode="auto">
                          <a:xfrm>
                            <a:off x="4768" y="6616"/>
                            <a:ext cx="932" cy="0"/>
                          </a:xfrm>
                          <a:prstGeom prst="straightConnector1">
                            <a:avLst/>
                          </a:prstGeom>
                          <a:noFill/>
                          <a:ln w="38100">
                            <a:solidFill>
                              <a:srgbClr val="000000"/>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wpg:grpSp>
                        <wpg:cNvPr id="298038914" name="Group 471"/>
                        <wpg:cNvGrpSpPr>
                          <a:grpSpLocks/>
                        </wpg:cNvGrpSpPr>
                        <wpg:grpSpPr bwMode="auto">
                          <a:xfrm>
                            <a:off x="5026" y="6274"/>
                            <a:ext cx="408" cy="285"/>
                            <a:chOff x="5026" y="6274"/>
                            <a:chExt cx="408" cy="285"/>
                          </a:xfrm>
                        </wpg:grpSpPr>
                        <wps:wsp>
                          <wps:cNvPr id="298038916" name="Rectangle 472"/>
                          <wps:cNvSpPr>
                            <a:spLocks noChangeArrowheads="1"/>
                          </wps:cNvSpPr>
                          <wps:spPr bwMode="auto">
                            <a:xfrm>
                              <a:off x="5026" y="6274"/>
                              <a:ext cx="40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8038917" name="AutoShape 473"/>
                          <wps:cNvCnPr>
                            <a:cxnSpLocks noChangeShapeType="1"/>
                          </wps:cNvCnPr>
                          <wps:spPr bwMode="auto">
                            <a:xfrm>
                              <a:off x="5034" y="6280"/>
                              <a:ext cx="194" cy="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8038918" name="AutoShape 474"/>
                          <wps:cNvCnPr>
                            <a:cxnSpLocks noChangeShapeType="1"/>
                          </wps:cNvCnPr>
                          <wps:spPr bwMode="auto">
                            <a:xfrm flipV="1">
                              <a:off x="5228" y="6274"/>
                              <a:ext cx="200" cy="13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98038919" name="Group 475"/>
                        <wpg:cNvGrpSpPr>
                          <a:grpSpLocks/>
                        </wpg:cNvGrpSpPr>
                        <wpg:grpSpPr bwMode="auto">
                          <a:xfrm>
                            <a:off x="6694" y="6989"/>
                            <a:ext cx="408" cy="285"/>
                            <a:chOff x="5026" y="6274"/>
                            <a:chExt cx="408" cy="285"/>
                          </a:xfrm>
                        </wpg:grpSpPr>
                        <wps:wsp>
                          <wps:cNvPr id="298038920" name="Rectangle 476"/>
                          <wps:cNvSpPr>
                            <a:spLocks noChangeArrowheads="1"/>
                          </wps:cNvSpPr>
                          <wps:spPr bwMode="auto">
                            <a:xfrm>
                              <a:off x="5026" y="6274"/>
                              <a:ext cx="40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8038921" name="AutoShape 477"/>
                          <wps:cNvCnPr>
                            <a:cxnSpLocks noChangeShapeType="1"/>
                          </wps:cNvCnPr>
                          <wps:spPr bwMode="auto">
                            <a:xfrm>
                              <a:off x="5034" y="6280"/>
                              <a:ext cx="194" cy="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8038922" name="AutoShape 478"/>
                          <wps:cNvCnPr>
                            <a:cxnSpLocks noChangeShapeType="1"/>
                          </wps:cNvCnPr>
                          <wps:spPr bwMode="auto">
                            <a:xfrm flipV="1">
                              <a:off x="5228" y="6274"/>
                              <a:ext cx="200" cy="13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98038923" name="Group 479"/>
                        <wpg:cNvGrpSpPr>
                          <a:grpSpLocks/>
                        </wpg:cNvGrpSpPr>
                        <wpg:grpSpPr bwMode="auto">
                          <a:xfrm>
                            <a:off x="7892" y="7003"/>
                            <a:ext cx="408" cy="285"/>
                            <a:chOff x="5026" y="6274"/>
                            <a:chExt cx="408" cy="285"/>
                          </a:xfrm>
                        </wpg:grpSpPr>
                        <wps:wsp>
                          <wps:cNvPr id="298038924" name="Rectangle 480"/>
                          <wps:cNvSpPr>
                            <a:spLocks noChangeArrowheads="1"/>
                          </wps:cNvSpPr>
                          <wps:spPr bwMode="auto">
                            <a:xfrm>
                              <a:off x="5026" y="6274"/>
                              <a:ext cx="40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8038925" name="AutoShape 481"/>
                          <wps:cNvCnPr>
                            <a:cxnSpLocks noChangeShapeType="1"/>
                          </wps:cNvCnPr>
                          <wps:spPr bwMode="auto">
                            <a:xfrm>
                              <a:off x="5034" y="6280"/>
                              <a:ext cx="194" cy="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8038926" name="AutoShape 482"/>
                          <wps:cNvCnPr>
                            <a:cxnSpLocks noChangeShapeType="1"/>
                          </wps:cNvCnPr>
                          <wps:spPr bwMode="auto">
                            <a:xfrm flipV="1">
                              <a:off x="5228" y="6274"/>
                              <a:ext cx="200" cy="13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98038927" name="Group 483"/>
                        <wpg:cNvGrpSpPr>
                          <a:grpSpLocks/>
                        </wpg:cNvGrpSpPr>
                        <wpg:grpSpPr bwMode="auto">
                          <a:xfrm>
                            <a:off x="9204" y="7003"/>
                            <a:ext cx="408" cy="285"/>
                            <a:chOff x="5026" y="6274"/>
                            <a:chExt cx="408" cy="285"/>
                          </a:xfrm>
                        </wpg:grpSpPr>
                        <wps:wsp>
                          <wps:cNvPr id="298038928" name="Rectangle 484"/>
                          <wps:cNvSpPr>
                            <a:spLocks noChangeArrowheads="1"/>
                          </wps:cNvSpPr>
                          <wps:spPr bwMode="auto">
                            <a:xfrm>
                              <a:off x="5026" y="6274"/>
                              <a:ext cx="408" cy="2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8038929" name="AutoShape 485"/>
                          <wps:cNvCnPr>
                            <a:cxnSpLocks noChangeShapeType="1"/>
                          </wps:cNvCnPr>
                          <wps:spPr bwMode="auto">
                            <a:xfrm>
                              <a:off x="5034" y="6280"/>
                              <a:ext cx="194" cy="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8038930" name="AutoShape 486"/>
                          <wps:cNvCnPr>
                            <a:cxnSpLocks noChangeShapeType="1"/>
                          </wps:cNvCnPr>
                          <wps:spPr bwMode="auto">
                            <a:xfrm flipV="1">
                              <a:off x="5228" y="6274"/>
                              <a:ext cx="200" cy="13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79E43303" id="Grupo 427" o:spid="_x0000_s1095" style="position:absolute;left:0;text-align:left;margin-left:22.65pt;margin-top:-137.9pt;width:453.95pt;height:104.65pt;z-index:251812864" coordorigin="1317,6004" coordsize="9079,2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paEdAkAAL5jAAAOAAAAZHJzL2Uyb0RvYy54bWzsXVtzm0YUfu9M/wPDuyIuy00TpZNYdqYz&#10;aZtp0r5jgSRaBBRwJLfT/96zZy8gCWzLDjT2rB9sZARaDt9+5zuXRa9/2G9T7UtcVkmezXXzlaFr&#10;cbbMoyRbz/XfPl9NfF2r6jCLwjTP4rl+G1f6D2++/+71rpjFVr7J0yguNThJVs12xVzf1HUxm06r&#10;5SbehtWrvIgz2LnKy21Yw8tyPY3KcAdn36ZTyzDc6S4vo6LMl3FVwX8XbKf+Bs+/WsXL+pfVqopr&#10;LZ3rMLYaf5f4+5r+nr55Hc7WZVhskiUfRviIUWzDJIMPladahHWo3ZTJyam2ybLMq3xVv1rm22m+&#10;WiXLGK8BrsY0jq7mfZnfFHgt69luXUgzgWmP7PTo0y5//vKx1JJorhPL07Us3MJNel/eFLlG/wHm&#10;2RXrGbzrfVl8Kj6W7Bph80O+/LOC3dPj/fT1mr1Zu979lEdwwvCmztE8+1W5paeAC9f2eBdu5V2I&#10;97W2hH86nuuYrqNrS9hn2lZgOA67T8sN3Ex6nGmbMFjY7RoGEfsu+fGB4QXsYMsIbLp3Gs7YB+Ng&#10;+eDYleELeZHSFIBaYQq4BRpxzKFN0XFJwiA2MQG6aA3LwoGEs8YUviFMQaSZhClOj+w1BUy/qkFY&#10;9TSEfdqERYzArSh2pFnhvjCzvgVA4JvAtBYzLb5TQKxi+NKy/GITZuv4bVnmu00cRjAwtADcydYB&#10;9EUF6LwXcJZp2ww4tuMz4Agr+xZHje0iLUhLhbOirOr3cb7V6MZch1mZRb8CtSCkwy8fqhqnRcQv&#10;Loz+0LXVNgUi+RKmmum6Ls4kOCN/M2yJc9IjqzxNoqskTfFFub6+SEsNDp3rV/jDMXzwtjTTdnM9&#10;cCwHR3Gwr2qfwsCfrlPgdSABUsteZhFu12GSsm0YZZrhDGfWpdOkmtX76z0ShumKG3edR7dg/DJn&#10;9AruADY2efm3ru2AWud69ddNWMa6lv6YwQ0MTEIoF+ML4ngWvCjbe67be8JsCaea67Wusc2LmvH3&#10;TVEm6w18kokWyHIKqlVSM1KqZmxUfPwAbjb84VFuw+WcohyJ6AC0cN8HQrlt+YBlSo8nKDc9jzAu&#10;cRwBSkHKApIK5gcw515QAErBnMkF2+yCOXpjDvOLjOmF5T7jekHyOXL/59sCtMEBnbNDHk7ngQej&#10;oEB3yBGd23QaUp95D5lXdRlSGrnIswwoPS8ZmyBRM+kgpgUl5yynNI08OTQBazWapy4TcIApkCfQ&#10;/TaOgERjUNp0iw2PUnQ4Ay/G3RD1Z6g8/wmM4NK/9MmEWO7lhBiLxeTt1QWZuFem5yzsxcXFwvyX&#10;cqdJZpskiuKMXpxQwSZ5mAbgepzpV6mDpaGmh2dHMQZDFH9x0OjMqf9mFM2IW9D4mMxtdUEaVdVI&#10;zG2eqjmhT1paziRs0ghZ26iJoahb3k4qCZ4sPOiMWoTVhmmcCLYWeU3hHM4eqEm+PcD3C7A+Dffo&#10;maE8EPdAIOWZ0PpMJ8m7fA/RhBSlEHfQaEKr97BDiMShFJfpezyu8J2AIVnMW8vyuSciEKkxzu5T&#10;XAcxBXtrr/c5cEdcqr/oaYEXJ1ybaRHjnRVMrlzfm5Ar4kwCz/Anhhm8C1yDBGRxdejaPiRZ/HTX&#10;9mTq2yY15LvSZDvXfRmYhbO+AEx6Zjp84TPF3y7f2URnqIeo23ou0VmTnGH5mO7UjA3hy2Fqhuvz&#10;4bJUjmdCNgqzTTYmKxgSaa6KuD4IUCozLQNSVujCZGqGeC4MFvZ5joG0RNM2lzxLdXokzOHuLNUY&#10;qRlbJv/aqRmJIU6mlHOGolCXeMzKNP13SKGmC1kOtLJD8AZIUw2vfM73619FIj1QBx0p52b2oxN6&#10;TrOfjnWE3IxM7LZhLo01AsxJ4DOl4PsQoSJhCKVgGi4EIJRMHIJxtII51zV9MIfMIVhQwRxN0Eq0&#10;212JdpbWpsYaAeaeHcBUAyj7voGpz8ZnehC9Isop4TOR26eHv3ai/SCMVQL6OQro+x3j4zWzhbpD&#10;0ckxndBqzUlFw5XGGoFOXNtiUlp5zYcnyXq9pqy4PpfQcBxxSP3SKcylsUaAuW9Kr8mqq43XVOLw&#10;3Pq0JUuuCubtLgwIoTtgLo0FMB++cOc4hEdBxDmKgmyLNrQ858od07SqLocdfGd1pvX0DVGsnBLz&#10;uKXmOxDL0/s2RF13hjOq1KxKzaIVDhI8HZBul5qHJ2HXh8ZKjNFPSJhH6DaUrhSkVffEYZN1H0sD&#10;mE5Zul2PHR7SPpRaeiAtWNpBpdOfWlUsrVhasrTbBWnZEDicVNZWaVL8LroWeLe8Z7k8p2qyvvYm&#10;OuTgtvx76gYK3ArcEtxdJV9AGDj8kYoEHQVyUQu7ozw+fM33oEzw5JYP1e1GFzaobreHrvrqlldW&#10;AIU0PzBl8qbpeXOP69fj9LwRWsBm7S1spVjjjlTP23nLeXonBzMpb+dWPW+8yb23sCFTQs8l4wtX&#10;wldLMqc7eAeMoJGujJonuymGE7a06M7lLHh/Jmdd97jYEUCf3QgpYNs3DePRy+cO/Xp1W/U3sT9o&#10;LUc440vvHvRu3hmDBPGyV360Jgj2eHL9KpAsE2m4WlojsCIIFeyA/aCGBXEh9La4Fiymgw9rHB8x&#10;ANLYDuofd4M6p0e1ukGPjpPpiYYgxOqY0ShCxr50qSuuQQLjjlkN7bCYDA/67HUaHNzTU/8/9Xee&#10;2QfetRD3ufi4UYr3gg26YlpYmtHEtMPnIB2D9qgjPbD0eUMPZgB7KD2Y0NAMY5LT/AS232yiho1a&#10;FTe/VnFTABf8xknynHkXnowZCLidmUYHArgeDwcPXeEQhiUDCsLf+LrZRj7csaZGQFA2DQslxcuR&#10;wykp16WESKkygCcWAJoaqnxBSoo+34LN7baSahfGhn7siVJSdz7SRCmpVn8YZwPohe5wSCOUvloZ&#10;AqWk1OMbup6LdmeG3JIZ8tYSL69d1lJKis6xr/uQqBefhzpHSUHnMedOoaR4hWY4JeX5AeAelJRn&#10;HK+3eklKSib7WkqKBdkjlayVklJK6vRBnXc7pK6+OHhsAIQ7w4b2SkmJp4WoB2HBU3LPV1KyAtBS&#10;Un67AqCUlFJSZz/L7SwlJfP5XEnBwxOQN4dTUoEFjxR++UpK5pvbSkr2T4yw1lEpKaWkzlVSMkPd&#10;dkjjLppROSmVkzpbSXU+EtpvVwCUklJK6klKClUVfEkENhXwL7Sg30LRfg3b7a/dePMfAAAA//8D&#10;AFBLAwQUAAYACAAAACEAI7hiPOIAAAALAQAADwAAAGRycy9kb3ducmV2LnhtbEyPy07DMBBF90j8&#10;gzVI7FrngQOEOFVVAauqEi0SYufG0yRqbEexm6R/z7CC5cwc3Tm3WM2mYyMOvnVWQryMgKGtnG5t&#10;LeHz8LZ4AuaDslp1zqKEK3pYlbc3hcq1m+wHjvtQMwqxPlcSmhD6nHNfNWiUX7oeLd1ObjAq0DjU&#10;XA9qonDT8SSKMm5Ua+lDo3rcNFid9xcj4X1S0zqNX8ft+bS5fh/E7msbo5T3d/P6BVjAOfzB8KtP&#10;6lCS09FdrPask/AgUiIlLJJHQR2IeBZpAuxIqywTwMuC/+9Q/gAAAP//AwBQSwECLQAUAAYACAAA&#10;ACEAtoM4kv4AAADhAQAAEwAAAAAAAAAAAAAAAAAAAAAAW0NvbnRlbnRfVHlwZXNdLnhtbFBLAQIt&#10;ABQABgAIAAAAIQA4/SH/1gAAAJQBAAALAAAAAAAAAAAAAAAAAC8BAABfcmVscy8ucmVsc1BLAQIt&#10;ABQABgAIAAAAIQBEhpaEdAkAAL5jAAAOAAAAAAAAAAAAAAAAAC4CAABkcnMvZTJvRG9jLnhtbFBL&#10;AQItABQABgAIAAAAIQAjuGI84gAAAAsBAAAPAAAAAAAAAAAAAAAAAM4LAABkcnMvZG93bnJldi54&#10;bWxQSwUGAAAAAAQABADzAAAA3QwAAAAA&#10;">
                <v:group id="Group 451" o:spid="_x0000_s1096" style="position:absolute;left:1317;top:6004;width:3410;height:1221" coordorigin="1807,6045" coordsize="3410,1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Wm+wgAAANwAAAAPAAAAZHJzL2Rvd25yZXYueG1sRE/LisIw&#10;FN0L8w/hDrjTtL4YOkYRGYdZiGAdEHeX5toWm5vSxLb+vVkILg/nvVz3phItNa60rCAeRyCIM6tL&#10;zhX8n3ajLxDOI2usLJOCBzlYrz4GS0y07fhIbepzEULYJaig8L5OpHRZQQbd2NbEgbvaxqAPsMml&#10;brAL4aaSkyhaSIMlh4YCa9oWlN3Su1Hw22G3mcY/7f523T4up/nhvI9JqeFnv/kG4an3b/HL/acV&#10;zCZhbTgTjoBcPQEAAP//AwBQSwECLQAUAAYACAAAACEA2+H2y+4AAACFAQAAEwAAAAAAAAAAAAAA&#10;AAAAAAAAW0NvbnRlbnRfVHlwZXNdLnhtbFBLAQItABQABgAIAAAAIQBa9CxbvwAAABUBAAALAAAA&#10;AAAAAAAAAAAAAB8BAABfcmVscy8ucmVsc1BLAQItABQABgAIAAAAIQCTaWm+wgAAANwAAAAPAAAA&#10;AAAAAAAAAAAAAAcCAABkcnMvZG93bnJldi54bWxQSwUGAAAAAAMAAwC3AAAA9gIAAAAA&#10;">
                  <v:roundrect id="AutoShape 452" o:spid="_x0000_s1097" style="position:absolute;left:2133;top:6358;width:829;height:36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WJ0xAAAANwAAAAPAAAAZHJzL2Rvd25yZXYueG1sRI9BawIx&#10;FITvBf9DeEJvNVFs0dUoUqj0Vrp68PjcPHcXNy9rkl23/fVNodDjMDPfMOvtYBvRkw+1Yw3TiQJB&#10;XDhTc6nheHh7WoAIEdlg45g0fFGA7Wb0sMbMuDt/Up/HUiQIhww1VDG2mZShqMhimLiWOHkX5y3G&#10;JH0pjcd7gttGzpR6kRZrTgsVtvRaUXHNO6uhMKpT/tR/LM/PMf/uuxvL/U3rx/GwW4GINMT/8F/7&#10;3WiYz5bweyYdAbn5AQAA//8DAFBLAQItABQABgAIAAAAIQDb4fbL7gAAAIUBAAATAAAAAAAAAAAA&#10;AAAAAAAAAABbQ29udGVudF9UeXBlc10ueG1sUEsBAi0AFAAGAAgAAAAhAFr0LFu/AAAAFQEAAAsA&#10;AAAAAAAAAAAAAAAAHwEAAF9yZWxzLy5yZWxzUEsBAi0AFAAGAAgAAAAhAKuRYnTEAAAA3AAAAA8A&#10;AAAAAAAAAAAAAAAABwIAAGRycy9kb3ducmV2LnhtbFBLBQYAAAAAAwADALcAAAD4AgAAAAA=&#10;">
                    <v:textbox>
                      <w:txbxContent>
                        <w:p w:rsidR="00C20C0F" w:rsidRPr="003A3CED" w:rsidRDefault="00C20C0F" w:rsidP="008A6EAC">
                          <w:pPr>
                            <w:jc w:val="center"/>
                            <w:rPr>
                              <w:rFonts w:ascii="Arial" w:hAnsi="Arial" w:cs="Arial"/>
                              <w:sz w:val="16"/>
                              <w:szCs w:val="16"/>
                              <w:lang w:val="es-CO"/>
                            </w:rPr>
                          </w:pPr>
                          <w:r w:rsidRPr="003A3CED">
                            <w:rPr>
                              <w:rFonts w:ascii="Arial" w:hAnsi="Arial" w:cs="Arial"/>
                              <w:sz w:val="16"/>
                              <w:szCs w:val="16"/>
                              <w:lang w:val="es-CO"/>
                            </w:rPr>
                            <w:t>RNA</w:t>
                          </w:r>
                        </w:p>
                      </w:txbxContent>
                    </v:textbox>
                  </v:roundrect>
                  <v:roundrect id="AutoShape 453" o:spid="_x0000_s1098" style="position:absolute;left:3289;top:6358;width:1774;height:55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00wQAAANwAAAAPAAAAZHJzL2Rvd25yZXYueG1sRE89b8Iw&#10;EN2R+h+sq8QGdgtUkGJQVakVGyJ0YDziaxI1PgfbCWl/fT0gMT697/V2sI3oyYfasYanqQJBXDhT&#10;c6nh6/gxWYIIEdlg45g0/FKA7eZhtMbMuCsfqM9jKVIIhww1VDG2mZShqMhimLqWOHHfzluMCfpS&#10;Go/XFG4b+azUi7RYc2qosKX3ioqfvLMaCqM65U/9fnVexPyv7y4sPy9ajx+Ht1cQkYZ4F9/cO6Nh&#10;Pkvz05l0BOTmHwAA//8DAFBLAQItABQABgAIAAAAIQDb4fbL7gAAAIUBAAATAAAAAAAAAAAAAAAA&#10;AAAAAABbQ29udGVudF9UeXBlc10ueG1sUEsBAi0AFAAGAAgAAAAhAFr0LFu/AAAAFQEAAAsAAAAA&#10;AAAAAAAAAAAAHwEAAF9yZWxzLy5yZWxzUEsBAi0AFAAGAAgAAAAhAL9yXTTBAAAA3AAAAA8AAAAA&#10;AAAAAAAAAAAABwIAAGRycy9kb3ducmV2LnhtbFBLBQYAAAAAAwADALcAAAD1AgAAAAA=&#10;">
                    <v:textbox>
                      <w:txbxContent>
                        <w:p w:rsidR="00C20C0F" w:rsidRPr="003A3CED" w:rsidRDefault="00C20C0F" w:rsidP="008A6EAC">
                          <w:pPr>
                            <w:jc w:val="center"/>
                            <w:rPr>
                              <w:rFonts w:ascii="Arial" w:hAnsi="Arial" w:cs="Arial"/>
                              <w:sz w:val="16"/>
                              <w:szCs w:val="16"/>
                              <w:lang w:val="es-CO"/>
                            </w:rPr>
                          </w:pPr>
                          <w:r w:rsidRPr="003A3CED">
                            <w:rPr>
                              <w:rFonts w:ascii="Arial" w:hAnsi="Arial" w:cs="Arial"/>
                              <w:sz w:val="16"/>
                              <w:szCs w:val="16"/>
                              <w:lang w:val="es-CO"/>
                            </w:rPr>
                            <w:t>EMPAQUETAR MOVIMIENTO</w:t>
                          </w:r>
                        </w:p>
                      </w:txbxContent>
                    </v:textbox>
                  </v:roundrect>
                  <v:shape id="AutoShape 454" o:spid="_x0000_s1099" type="#_x0000_t32" style="position:absolute;left:2971;top:6548;width:3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eI2xgAAANwAAAAPAAAAZHJzL2Rvd25yZXYueG1sRI9Pa8JA&#10;FMTvBb/D8oTe6ia1FI2uIkKlWHrwD0Fvj+wzCWbfht1VYz99t1DwOMzMb5jpvDONuJLztWUF6SAB&#10;QVxYXXOpYL/7eBmB8AFZY2OZFNzJw3zWe5pipu2NN3TdhlJECPsMFVQhtJmUvqjIoB/Yljh6J+sM&#10;hihdKbXDW4SbRr4mybs0WHNcqLClZUXFeXsxCg5f40t+z79pnafj9RGd8T+7lVLP/W4xARGoC4/w&#10;f/tTK3gbpvB3Jh4BOfsFAAD//wMAUEsBAi0AFAAGAAgAAAAhANvh9svuAAAAhQEAABMAAAAAAAAA&#10;AAAAAAAAAAAAAFtDb250ZW50X1R5cGVzXS54bWxQSwECLQAUAAYACAAAACEAWvQsW78AAAAVAQAA&#10;CwAAAAAAAAAAAAAAAAAfAQAAX3JlbHMvLnJlbHNQSwECLQAUAAYACAAAACEAO/HiNsYAAADcAAAA&#10;DwAAAAAAAAAAAAAAAAAHAgAAZHJzL2Rvd25yZXYueG1sUEsFBgAAAAADAAMAtwAAAPoCAAAAAA==&#10;">
                    <v:stroke endarrow="block"/>
                  </v:shape>
                  <v:roundrect id="AutoShape 455" o:spid="_x0000_s1100" style="position:absolute;left:1807;top:6045;width:3410;height:114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UmExQAAANwAAAAPAAAAZHJzL2Rvd25yZXYueG1sRI/RasJA&#10;FETfC/7DcoW+FN2YVtHoKlIQSl+K0Q+4ZK/ZaPZuyK5J/Hu3UOjjMDNnmM1usLXoqPWVYwWzaQKC&#10;uHC64lLB+XSYLEH4gKyxdkwKHuRhtx29bDDTrucjdXkoRYSwz1CBCaHJpPSFIYt+6hri6F1cazFE&#10;2ZZSt9hHuK1lmiQLabHiuGCwoU9DxS2/WwXfjyR9u1/7xeVnXspO7k1+Ww1KvY6H/RpEoCH8h//a&#10;X1rBx3sKv2fiEZDbJwAAAP//AwBQSwECLQAUAAYACAAAACEA2+H2y+4AAACFAQAAEwAAAAAAAAAA&#10;AAAAAAAAAAAAW0NvbnRlbnRfVHlwZXNdLnhtbFBLAQItABQABgAIAAAAIQBa9CxbvwAAABUBAAAL&#10;AAAAAAAAAAAAAAAAAB8BAABfcmVscy8ucmVsc1BLAQItABQABgAIAAAAIQAzuUmExQAAANwAAAAP&#10;AAAAAAAAAAAAAAAAAAcCAABkcnMvZG93bnJldi54bWxQSwUGAAAAAAMAAwC3AAAA+QIAAAAA&#10;" filled="f">
                    <v:stroke dashstyle="dashDot"/>
                  </v:roundrect>
                  <v:shape id="Text Box 456" o:spid="_x0000_s1101" type="#_x0000_t202" style="position:absolute;left:1873;top:6859;width:2280;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iuxAAAANwAAAAPAAAAZHJzL2Rvd25yZXYueG1sRI9Pa8JA&#10;FMTvBb/D8oTedNc/FRtdRRTBU4tpLXh7ZJ9JMPs2ZLcmfnu3IPQ4zMxvmOW6s5W4UeNLxxpGQwWC&#10;OHOm5FzD99d+MAfhA7LByjFpuJOH9ar3ssTEuJaPdEtDLiKEfYIaihDqREqfFWTRD11NHL2LayyG&#10;KJtcmgbbCLeVHCs1kxZLjgsF1rQtKLumv1bD6eNy/pmqz3xn3+rWdUqyfZdav/a7zQJEoC78h5/t&#10;g9EwnUzg70w8AnL1AAAA//8DAFBLAQItABQABgAIAAAAIQDb4fbL7gAAAIUBAAATAAAAAAAAAAAA&#10;AAAAAAAAAABbQ29udGVudF9UeXBlc10ueG1sUEsBAi0AFAAGAAgAAAAhAFr0LFu/AAAAFQEAAAsA&#10;AAAAAAAAAAAAAAAAHwEAAF9yZWxzLy5yZWxzUEsBAi0AFAAGAAgAAAAhAL+A6K7EAAAA3AAAAA8A&#10;AAAAAAAAAAAAAAAABwIAAGRycy9kb3ducmV2LnhtbFBLBQYAAAAAAwADALcAAAD4AgAAAAA=&#10;" filled="f" stroked="f">
                    <v:textbox>
                      <w:txbxContent>
                        <w:p w:rsidR="00C20C0F" w:rsidRPr="00653CDB" w:rsidRDefault="00C20C0F" w:rsidP="008A6EAC">
                          <w:pPr>
                            <w:rPr>
                              <w:rFonts w:ascii="Arial" w:hAnsi="Arial" w:cs="Arial"/>
                              <w:b/>
                              <w:bCs/>
                              <w:i/>
                              <w:iCs/>
                              <w:sz w:val="16"/>
                              <w:szCs w:val="16"/>
                              <w:lang w:val="es-CO"/>
                            </w:rPr>
                          </w:pPr>
                          <w:r w:rsidRPr="00653CDB">
                            <w:rPr>
                              <w:rFonts w:ascii="Arial" w:hAnsi="Arial" w:cs="Arial"/>
                              <w:b/>
                              <w:bCs/>
                              <w:i/>
                              <w:iCs/>
                              <w:sz w:val="16"/>
                              <w:szCs w:val="16"/>
                              <w:lang w:val="es-CO"/>
                            </w:rPr>
                            <w:t>CONTROLADOR</w:t>
                          </w:r>
                        </w:p>
                      </w:txbxContent>
                    </v:textbox>
                  </v:shape>
                </v:group>
                <v:group id="Group 457" o:spid="_x0000_s1102" style="position:absolute;left:5715;top:6032;width:4681;height:2065" coordorigin="4764,7506" coordsize="468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mxgAAANwAAAAPAAAAZHJzL2Rvd25yZXYueG1sRI9Ba8JA&#10;FITvBf/D8gremk00LZ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l/31ZsYAAADcAAAA&#10;DwAAAAAAAAAAAAAAAAAHAgAAZHJzL2Rvd25yZXYueG1sUEsFBgAAAAADAAMAtwAAAPoCAAAAAA==&#10;">
                  <v:roundrect id="AutoShape 458" o:spid="_x0000_s1103" style="position:absolute;left:6475;top:7651;width:1625;height:54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8VAxQAAANwAAAAPAAAAZHJzL2Rvd25yZXYueG1sRI/NbsIw&#10;EITvlXgHa5G4Fbs/FBowqKpE1VtFyoHjNl6SqPE62E5I+/R1JSSOo5n5RrPaDLYRPflQO9ZwN1Ug&#10;iAtnai417D+3twsQISIbbByThh8KsFmPblaYGXfmHfV5LEWCcMhQQxVjm0kZiooshqlriZN3dN5i&#10;TNKX0ng8J7ht5L1ST9JizWmhwpZeKyq+885qKIzqlD/0H89fs5j/9t2J5dtJ68l4eFmCiDTEa/jS&#10;fjcaHh/m8H8mHQG5/gMAAP//AwBQSwECLQAUAAYACAAAACEA2+H2y+4AAACFAQAAEwAAAAAAAAAA&#10;AAAAAAAAAAAAW0NvbnRlbnRfVHlwZXNdLnhtbFBLAQItABQABgAIAAAAIQBa9CxbvwAAABUBAAAL&#10;AAAAAAAAAAAAAAAAAB8BAABfcmVscy8ucmVsc1BLAQItABQABgAIAAAAIQAwm8VAxQAAANwAAAAP&#10;AAAAAAAAAAAAAAAAAAcCAABkcnMvZG93bnJldi54bWxQSwUGAAAAAAMAAwC3AAAA+QIAAAAA&#10;">
                    <v:textbox>
                      <w:txbxContent>
                        <w:p w:rsidR="00C20C0F" w:rsidRPr="003A3CED" w:rsidRDefault="00C20C0F" w:rsidP="008A6EAC">
                          <w:pPr>
                            <w:jc w:val="center"/>
                            <w:rPr>
                              <w:rFonts w:ascii="Arial" w:hAnsi="Arial" w:cs="Arial"/>
                              <w:sz w:val="16"/>
                              <w:szCs w:val="16"/>
                              <w:lang w:val="es-CO"/>
                            </w:rPr>
                          </w:pPr>
                          <w:r w:rsidRPr="003A3CED">
                            <w:rPr>
                              <w:rFonts w:ascii="Arial" w:hAnsi="Arial" w:cs="Arial"/>
                              <w:sz w:val="16"/>
                              <w:szCs w:val="16"/>
                              <w:lang w:val="es-CO"/>
                            </w:rPr>
                            <w:t>CONTROLADOR LOCAL</w:t>
                          </w:r>
                        </w:p>
                      </w:txbxContent>
                    </v:textbox>
                  </v:roundrect>
                  <v:roundrect id="AutoShape 459" o:spid="_x0000_s1104" style="position:absolute;left:4983;top:8830;width:1062;height:54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FEywQAAANwAAAAPAAAAZHJzL2Rvd25yZXYueG1sRE89b8Iw&#10;EN2R+h+sq8QGdgtUkGJQVakVGyJ0YDziaxI1PgfbCWl/fT0gMT697/V2sI3oyYfasYanqQJBXDhT&#10;c6nh6/gxWYIIEdlg45g0/FKA7eZhtMbMuCsfqM9jKVIIhww1VDG2mZShqMhimLqWOHHfzluMCfpS&#10;Go/XFG4b+azUi7RYc2qosKX3ioqfvLMaCqM65U/9fnVexPyv7y4sPy9ajx+Ht1cQkYZ4F9/cO6Nh&#10;Pktr05l0BOTmHwAA//8DAFBLAQItABQABgAIAAAAIQDb4fbL7gAAAIUBAAATAAAAAAAAAAAAAAAA&#10;AAAAAABbQ29udGVudF9UeXBlc10ueG1sUEsBAi0AFAAGAAgAAAAhAFr0LFu/AAAAFQEAAAsAAAAA&#10;AAAAAAAAAAAAHwEAAF9yZWxzLy5yZWxzUEsBAi0AFAAGAAgAAAAhAEEEUTLBAAAA3AAAAA8AAAAA&#10;AAAAAAAAAAAABwIAAGRycy9kb3ducmV2LnhtbFBLBQYAAAAAAwADALcAAAD1AgAAAAA=&#10;">
                    <v:textbox>
                      <w:txbxContent>
                        <w:p w:rsidR="00C20C0F" w:rsidRPr="003A3CED" w:rsidRDefault="00C20C0F" w:rsidP="008A6EAC">
                          <w:pPr>
                            <w:jc w:val="center"/>
                            <w:rPr>
                              <w:rFonts w:ascii="Arial" w:hAnsi="Arial" w:cs="Arial"/>
                              <w:sz w:val="16"/>
                              <w:szCs w:val="16"/>
                              <w:lang w:val="es-CO"/>
                            </w:rPr>
                          </w:pPr>
                          <w:r w:rsidRPr="003A3CED">
                            <w:rPr>
                              <w:rFonts w:ascii="Arial" w:hAnsi="Arial" w:cs="Arial"/>
                              <w:sz w:val="16"/>
                              <w:szCs w:val="16"/>
                              <w:lang w:val="es-CO"/>
                            </w:rPr>
                            <w:t>MODULO 1</w:t>
                          </w:r>
                        </w:p>
                      </w:txbxContent>
                    </v:textbox>
                  </v:roundrect>
                  <v:roundrect id="AutoShape 460" o:spid="_x0000_s1105" style="position:absolute;left:7398;top:8803;width:741;height:4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2P+xgAAANwAAAAPAAAAZHJzL2Rvd25yZXYueG1sRI/dagIx&#10;FITvC32HcITe1aw/1HY1ilaEglSp9QEOm+Pu2uRkSaKuPn0jFHo5zMw3zGTWWiPO5EPtWEGvm4Eg&#10;LpyuuVSw/149v4IIEVmjcUwKrhRgNn18mGCu3YW/6LyLpUgQDjkqqGJscilDUZHF0HUNcfIOzluM&#10;SfpSao+XBLdG9rPsRVqsOS1U2NB7RcXP7mQVHM1SbheZPY1Ks2k/16Obnw9uSj112vkYRKQ2/of/&#10;2h9awXDwBvcz6QjI6S8AAAD//wMAUEsBAi0AFAAGAAgAAAAhANvh9svuAAAAhQEAABMAAAAAAAAA&#10;AAAAAAAAAAAAAFtDb250ZW50X1R5cGVzXS54bWxQSwECLQAUAAYACAAAACEAWvQsW78AAAAVAQAA&#10;CwAAAAAAAAAAAAAAAAAfAQAAX3JlbHMvLnJlbHNQSwECLQAUAAYACAAAACEAAn9j/sYAAADcAAAA&#10;DwAAAAAAAAAAAAAAAAAHAgAAZHJzL2Rvd25yZXYueG1sUEsFBgAAAAADAAMAtwAAAPoCAAAAAA==&#10;" filled="f" stroked="f">
                    <v:textbox>
                      <w:txbxContent>
                        <w:p w:rsidR="00C20C0F" w:rsidRPr="003A3CED" w:rsidRDefault="00C20C0F" w:rsidP="008A6EAC">
                          <w:pPr>
                            <w:jc w:val="center"/>
                            <w:rPr>
                              <w:rFonts w:ascii="Arial" w:hAnsi="Arial" w:cs="Arial"/>
                              <w:b/>
                              <w:bCs/>
                              <w:sz w:val="28"/>
                              <w:szCs w:val="28"/>
                              <w:lang w:val="es-CO"/>
                            </w:rPr>
                          </w:pPr>
                          <w:r w:rsidRPr="003A3CED">
                            <w:rPr>
                              <w:rFonts w:ascii="Arial" w:hAnsi="Arial" w:cs="Arial"/>
                              <w:b/>
                              <w:bCs/>
                              <w:sz w:val="28"/>
                              <w:szCs w:val="28"/>
                              <w:lang w:val="es-CO"/>
                            </w:rPr>
                            <w:t>…</w:t>
                          </w:r>
                        </w:p>
                      </w:txbxContent>
                    </v:textbox>
                  </v:roundrect>
                  <v:roundrect id="AutoShape 461" o:spid="_x0000_s1106" style="position:absolute;left:6324;top:8830;width:1062;height:54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C5JwQAAANwAAAAPAAAAZHJzL2Rvd25yZXYueG1sRE/Pa8Iw&#10;FL4L+x/CG3jTZEPHrEYZg8luYvWw47N5tmXNS03S2vnXm4Ow48f3e7UZbCN68qF2rOFlqkAQF87U&#10;XGo4Hr4m7yBCRDbYOCYNfxRgs34arTAz7sp76vNYihTCIUMNVYxtJmUoKrIYpq4lTtzZeYsxQV9K&#10;4/Gawm0jX5V6kxZrTg0VtvRZUfGbd1ZDYVSn/E+/W5zmMb/13YXl9qL1+Hn4WIKINMR/8cP9bTTM&#10;Zml+OpOOgFzfAQAA//8DAFBLAQItABQABgAIAAAAIQDb4fbL7gAAAIUBAAATAAAAAAAAAAAAAAAA&#10;AAAAAABbQ29udGVudF9UeXBlc10ueG1sUEsBAi0AFAAGAAgAAAAhAFr0LFu/AAAAFQEAAAsAAAAA&#10;AAAAAAAAAAAAHwEAAF9yZWxzLy5yZWxzUEsBAi0AFAAGAAgAAAAhAOd0LknBAAAA3AAAAA8AAAAA&#10;AAAAAAAAAAAABwIAAGRycy9kb3ducmV2LnhtbFBLBQYAAAAAAwADALcAAAD1AgAAAAA=&#10;">
                    <v:textbox>
                      <w:txbxContent>
                        <w:p w:rsidR="00C20C0F" w:rsidRPr="003A3CED" w:rsidRDefault="00C20C0F" w:rsidP="008A6EAC">
                          <w:pPr>
                            <w:jc w:val="center"/>
                            <w:rPr>
                              <w:rFonts w:ascii="Arial" w:hAnsi="Arial" w:cs="Arial"/>
                              <w:sz w:val="16"/>
                              <w:szCs w:val="16"/>
                              <w:lang w:val="es-CO"/>
                            </w:rPr>
                          </w:pPr>
                          <w:r w:rsidRPr="003A3CED">
                            <w:rPr>
                              <w:rFonts w:ascii="Arial" w:hAnsi="Arial" w:cs="Arial"/>
                              <w:sz w:val="16"/>
                              <w:szCs w:val="16"/>
                              <w:lang w:val="es-CO"/>
                            </w:rPr>
                            <w:t xml:space="preserve">MODULO </w:t>
                          </w:r>
                          <w:r>
                            <w:rPr>
                              <w:rFonts w:ascii="Arial" w:hAnsi="Arial" w:cs="Arial"/>
                              <w:sz w:val="16"/>
                              <w:szCs w:val="16"/>
                              <w:lang w:val="es-CO"/>
                            </w:rPr>
                            <w:t>2</w:t>
                          </w:r>
                        </w:p>
                      </w:txbxContent>
                    </v:textbox>
                  </v:roundrect>
                  <v:roundrect id="AutoShape 462" o:spid="_x0000_s1107" style="position:absolute;left:8198;top:8816;width:1062;height:54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IvSxAAAANwAAAAPAAAAZHJzL2Rvd25yZXYueG1sRI9BawIx&#10;FITvhf6H8AreamLR0q5GKQXFm7h66PF189xdunlZk+y6+utNodDjMDPfMIvVYBvRkw+1Yw2TsQJB&#10;XDhTc6nheFg/v4EIEdlg45g0XCnAavn4sMDMuAvvqc9jKRKEQ4YaqhjbTMpQVGQxjF1LnLyT8xZj&#10;kr6UxuMlwW0jX5R6lRZrTgsVtvRZUfGTd1ZDYVSn/Fe/e/+exfzWd2eWm7PWo6fhYw4i0hD/w3/t&#10;rdEwnU7g90w6AnJ5BwAA//8DAFBLAQItABQABgAIAAAAIQDb4fbL7gAAAIUBAAATAAAAAAAAAAAA&#10;AAAAAAAAAABbQ29udGVudF9UeXBlc10ueG1sUEsBAi0AFAAGAAgAAAAhAFr0LFu/AAAAFQEAAAsA&#10;AAAAAAAAAAAAAAAAHwEAAF9yZWxzLy5yZWxzUEsBAi0AFAAGAAgAAAAhAIg4i9LEAAAA3AAAAA8A&#10;AAAAAAAAAAAAAAAABwIAAGRycy9kb3ducmV2LnhtbFBLBQYAAAAAAwADALcAAAD4AgAAAAA=&#10;">
                    <v:textbox>
                      <w:txbxContent>
                        <w:p w:rsidR="00C20C0F" w:rsidRPr="003A3CED" w:rsidRDefault="00C20C0F" w:rsidP="008A6EAC">
                          <w:pPr>
                            <w:jc w:val="center"/>
                            <w:rPr>
                              <w:rFonts w:ascii="Arial" w:hAnsi="Arial" w:cs="Arial"/>
                              <w:sz w:val="16"/>
                              <w:szCs w:val="16"/>
                              <w:lang w:val="es-CO"/>
                            </w:rPr>
                          </w:pPr>
                          <w:r w:rsidRPr="003A3CED">
                            <w:rPr>
                              <w:rFonts w:ascii="Arial" w:hAnsi="Arial" w:cs="Arial"/>
                              <w:sz w:val="16"/>
                              <w:szCs w:val="16"/>
                              <w:lang w:val="es-CO"/>
                            </w:rPr>
                            <w:t xml:space="preserve">MODULO </w:t>
                          </w:r>
                          <w:r>
                            <w:rPr>
                              <w:rFonts w:ascii="Arial" w:hAnsi="Arial" w:cs="Arial"/>
                              <w:sz w:val="16"/>
                              <w:szCs w:val="16"/>
                              <w:lang w:val="es-CO"/>
                            </w:rPr>
                            <w:t>n</w:t>
                          </w:r>
                        </w:p>
                      </w:txbxContent>
                    </v:textbox>
                  </v:roundrect>
                  <v:shape id="AutoShape 463" o:spid="_x0000_s1108" type="#_x0000_t32" style="position:absolute;left:5543;top:8450;width:32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NrxQAAANwAAAAPAAAAZHJzL2Rvd25yZXYueG1sRI9PawIx&#10;FMTvBb9DeIVeimYVFdkaZS0IteDBf/fn5nUTunnZbqJuv31TEDwOM/MbZr7sXC2u1AbrWcFwkIEg&#10;Lr22XCk4Htb9GYgQkTXWnknBLwVYLnpPc8y1v/GOrvtYiQThkKMCE2OTSxlKQw7DwDfEyfvyrcOY&#10;ZFtJ3eItwV0tR1k2lQ4tpwWDDb0bKr/3F6dguxmuirOxm8/dj91O1kV9qV5PSr08d8UbiEhdfITv&#10;7Q+tYDwewf+ZdATk4g8AAP//AwBQSwECLQAUAAYACAAAACEA2+H2y+4AAACFAQAAEwAAAAAAAAAA&#10;AAAAAAAAAAAAW0NvbnRlbnRfVHlwZXNdLnhtbFBLAQItABQABgAIAAAAIQBa9CxbvwAAABUBAAAL&#10;AAAAAAAAAAAAAAAAAB8BAABfcmVscy8ucmVsc1BLAQItABQABgAIAAAAIQC+8qNrxQAAANwAAAAP&#10;AAAAAAAAAAAAAAAAAAcCAABkcnMvZG93bnJldi54bWxQSwUGAAAAAAMAAwC3AAAA+QIAAAAA&#10;"/>
                  <v:shape id="AutoShape 464" o:spid="_x0000_s1109" type="#_x0000_t32" style="position:absolute;left:5543;top:8450;width:0;height:3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aqnxwAAANwAAAAPAAAAZHJzL2Rvd25yZXYueG1sRI9Pa8JA&#10;FMTvhX6H5RW81Y1/KDVmI0VQisVDtQS9PbLPJDT7NuyuGvvpu0Khx2FmfsNki9604kLON5YVjIYJ&#10;COLS6oYrBV/71fMrCB+QNbaWScGNPCzyx4cMU22v/EmXXahEhLBPUUEdQpdK6cuaDPqh7Yijd7LO&#10;YIjSVVI7vEa4aeU4SV6kwYbjQo0dLWsqv3dno+DwMTsXt2JLm2I02xzRGf+zXys1eOrf5iAC9eE/&#10;/Nd+1wqm0wncz8QjIPNfAAAA//8DAFBLAQItABQABgAIAAAAIQDb4fbL7gAAAIUBAAATAAAAAAAA&#10;AAAAAAAAAAAAAABbQ29udGVudF9UeXBlc10ueG1sUEsBAi0AFAAGAAgAAAAhAFr0LFu/AAAAFQEA&#10;AAsAAAAAAAAAAAAAAAAAHwEAAF9yZWxzLy5yZWxzUEsBAi0AFAAGAAgAAAAhAPxpqqfHAAAA3AAA&#10;AA8AAAAAAAAAAAAAAAAABwIAAGRycy9kb3ducmV2LnhtbFBLBQYAAAAAAwADALcAAAD7AgAAAAA=&#10;">
                    <v:stroke endarrow="block"/>
                  </v:shape>
                  <v:shape id="AutoShape 465" o:spid="_x0000_s1110" type="#_x0000_t32" style="position:absolute;left:6855;top:8450;width:1;height:3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DLTxQAAANwAAAAPAAAAZHJzL2Rvd25yZXYueG1sRI9Ba8JA&#10;FITvBf/D8gRvdWMJpUZXEcEilh6qEvT2yD6TYPZt2F019td3C4LHYWa+YabzzjTiSs7XlhWMhgkI&#10;4sLqmksF+93q9QOED8gaG8uk4E4e5rPeyxQzbW/8Q9dtKEWEsM9QQRVCm0npi4oM+qFtiaN3ss5g&#10;iNKVUju8Rbhp5FuSvEuDNceFCltaVlSctxej4PA1vuT3/Js2+Wi8OaIz/nf3qdSg3y0mIAJ14Rl+&#10;tNdaQZqm8H8mHgE5+wMAAP//AwBQSwECLQAUAAYACAAAACEA2+H2y+4AAACFAQAAEwAAAAAAAAAA&#10;AAAAAAAAAAAAW0NvbnRlbnRfVHlwZXNdLnhtbFBLAQItABQABgAIAAAAIQBa9CxbvwAAABUBAAAL&#10;AAAAAAAAAAAAAAAAAB8BAABfcmVscy8ucmVsc1BLAQItABQABgAIAAAAIQBzgDLTxQAAANwAAAAP&#10;AAAAAAAAAAAAAAAAAAcCAABkcnMvZG93bnJldi54bWxQSwUGAAAAAAMAAwC3AAAA+QIAAAAA&#10;">
                    <v:stroke endarrow="block"/>
                  </v:shape>
                  <v:shape id="AutoShape 466" o:spid="_x0000_s1111" type="#_x0000_t32" style="position:absolute;left:8750;top:8450;width:0;height:3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JdIxgAAANwAAAAPAAAAZHJzL2Rvd25yZXYueG1sRI9Ba8JA&#10;FITvBf/D8oTe6kaxRdNsRISWonioSmhvj+xrEsy+Dburxv56Vyj0OMzMN0y26E0rzuR8Y1nBeJSA&#10;IC6tbrhScNi/Pc1A+ICssbVMCq7kYZEPHjJMtb3wJ513oRIRwj5FBXUIXSqlL2sy6Ee2I47ej3UG&#10;Q5SuktrhJcJNKydJ8iINNhwXauxoVVN53J2Mgq/N/FRciy2ti/F8/Y3O+N/9u1KPw375CiJQH/7D&#10;f+0PrWA6fYb7mXgEZH4DAAD//wMAUEsBAi0AFAAGAAgAAAAhANvh9svuAAAAhQEAABMAAAAAAAAA&#10;AAAAAAAAAAAAAFtDb250ZW50X1R5cGVzXS54bWxQSwECLQAUAAYACAAAACEAWvQsW78AAAAVAQAA&#10;CwAAAAAAAAAAAAAAAAAfAQAAX3JlbHMvLnJlbHNQSwECLQAUAAYACAAAACEAHMyXSMYAAADcAAAA&#10;DwAAAAAAAAAAAAAAAAAHAgAAZHJzL2Rvd25yZXYueG1sUEsFBgAAAAADAAMAtwAAAPoCAAAAAA==&#10;">
                    <v:stroke endarrow="block"/>
                  </v:shape>
                  <v:shape id="AutoShape 467" o:spid="_x0000_s1112" type="#_x0000_t32" style="position:absolute;left:7268;top:8193;width:0;height:2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0J8wwAAANwAAAAPAAAAZHJzL2Rvd25yZXYueG1sRI9Ba8JA&#10;FITvhf6H5RW81U2LlRJdgw0I4qWohfb4yD6TxezbkN1m4793BcHjMDPfMMtitK0YqPfGsYK3aQaC&#10;uHLacK3g57h5/QThA7LG1jEpuJCHYvX8tMRcu8h7Gg6hFgnCPkcFTQhdLqWvGrLop64jTt7J9RZD&#10;kn0tdY8xwW0r37NsLi0aTgsNdlQ2VJ0P/1aBid9m6LZl/Nr9/nkdyVw+nFFq8jKuFyACjeERvre3&#10;WsFsNofbmXQE5OoKAAD//wMAUEsBAi0AFAAGAAgAAAAhANvh9svuAAAAhQEAABMAAAAAAAAAAAAA&#10;AAAAAAAAAFtDb250ZW50X1R5cGVzXS54bWxQSwECLQAUAAYACAAAACEAWvQsW78AAAAVAQAACwAA&#10;AAAAAAAAAAAAAAAfAQAAX3JlbHMvLnJlbHNQSwECLQAUAAYACAAAACEA/Q9CfMMAAADcAAAADwAA&#10;AAAAAAAAAAAAAAAHAgAAZHJzL2Rvd25yZXYueG1sUEsFBgAAAAADAAMAtwAAAPcCAAAAAA==&#10;">
                    <v:stroke endarrow="block"/>
                  </v:shape>
                  <v:roundrect id="AutoShape 468" o:spid="_x0000_s1113" style="position:absolute;left:4764;top:7506;width:4681;height:206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JlhxAAAANwAAAAPAAAAZHJzL2Rvd25yZXYueG1sRI/dasJA&#10;FITvC32H5RS8KbpR/E1dRQSheCOmfYBD9phNzZ4N2TWJb98VBC+HmfmGWW97W4mWGl86VjAeJSCI&#10;c6dLLhT8/hyGSxA+IGusHJOCO3nYbt7f1phq1/GZ2iwUIkLYp6jAhFCnUvrckEU/cjVx9C6usRii&#10;bAqpG+wi3FZykiRzabHkuGCwpr2h/JrdrILjPZl83v66+eU0K2Qrdya7rnqlBh/97gtEoD68ws/2&#10;t1YwnS7gcSYeAbn5BwAA//8DAFBLAQItABQABgAIAAAAIQDb4fbL7gAAAIUBAAATAAAAAAAAAAAA&#10;AAAAAAAAAABbQ29udGVudF9UeXBlc10ueG1sUEsBAi0AFAAGAAgAAAAhAFr0LFu/AAAAFQEAAAsA&#10;AAAAAAAAAAAAAAAAHwEAAF9yZWxzLy5yZWxzUEsBAi0AFAAGAAgAAAAhAHvImWHEAAAA3AAAAA8A&#10;AAAAAAAAAAAAAAAABwIAAGRycy9kb3ducmV2LnhtbFBLBQYAAAAAAwADALcAAAD4AgAAAAA=&#10;" filled="f">
                    <v:stroke dashstyle="dashDot"/>
                  </v:roundrect>
                  <v:shape id="Text Box 469" o:spid="_x0000_s1114" type="#_x0000_t202" style="position:absolute;left:4830;top:7527;width:2280;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EEyQAAAOIAAAAPAAAAZHJzL2Rvd25yZXYueG1sRI9Ba8JA&#10;FITvhf6H5RW86a6xlSR1ldIi9GTRVqG3R/aZhGbfhuxq4r93BaHHYWa+YRarwTbiTJ2vHWuYThQI&#10;4sKZmksNP9/rcQrCB2SDjWPScCEPq+XjwwJz43re0nkXShEh7HPUUIXQ5lL6oiKLfuJa4ugdXWcx&#10;RNmV0nTYR7htZKLUXFqsOS5U2NJ7RcXf7mQ17DfH38Oz+io/7Evbu0FJtpnUevQ0vL2CCDSE//C9&#10;/Wk0JFmqZmk2TeB2Kd4BubwCAAD//wMAUEsBAi0AFAAGAAgAAAAhANvh9svuAAAAhQEAABMAAAAA&#10;AAAAAAAAAAAAAAAAAFtDb250ZW50X1R5cGVzXS54bWxQSwECLQAUAAYACAAAACEAWvQsW78AAAAV&#10;AQAACwAAAAAAAAAAAAAAAAAfAQAAX3JlbHMvLnJlbHNQSwECLQAUAAYACAAAACEAhv+xBMkAAADi&#10;AAAADwAAAAAAAAAAAAAAAAAHAgAAZHJzL2Rvd25yZXYueG1sUEsFBgAAAAADAAMAtwAAAP0CAAAA&#10;AA==&#10;" filled="f" stroked="f">
                    <v:textbox>
                      <w:txbxContent>
                        <w:p w:rsidR="00C20C0F" w:rsidRPr="00653CDB" w:rsidRDefault="00C20C0F" w:rsidP="008A6EAC">
                          <w:pPr>
                            <w:rPr>
                              <w:rFonts w:ascii="Arial" w:hAnsi="Arial" w:cs="Arial"/>
                              <w:b/>
                              <w:bCs/>
                              <w:i/>
                              <w:iCs/>
                              <w:sz w:val="16"/>
                              <w:szCs w:val="16"/>
                              <w:lang w:val="es-CO"/>
                            </w:rPr>
                          </w:pPr>
                          <w:r>
                            <w:rPr>
                              <w:rFonts w:ascii="Arial" w:hAnsi="Arial" w:cs="Arial"/>
                              <w:b/>
                              <w:bCs/>
                              <w:i/>
                              <w:iCs/>
                              <w:sz w:val="16"/>
                              <w:szCs w:val="16"/>
                              <w:lang w:val="es-CO"/>
                            </w:rPr>
                            <w:t>ROBOT</w:t>
                          </w:r>
                        </w:p>
                      </w:txbxContent>
                    </v:textbox>
                  </v:shape>
                </v:group>
                <v:shape id="AutoShape 470" o:spid="_x0000_s1115" type="#_x0000_t32" style="position:absolute;left:4768;top:6616;width:9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jCCywAAAOIAAAAPAAAAZHJzL2Rvd25yZXYueG1sRI/NasMw&#10;EITvhb6D2EIvpZF/oDhulBACgVx6SJpAclusrWVqrYykxG6fvioUehxm5htmsZpsL27kQ+dYQT7L&#10;QBA3TnfcKji+b58rECEia+wdk4IvCrBa3t8tsNZu5D3dDrEVCcKhRgUmxqGWMjSGLIaZG4iT9+G8&#10;xZikb6X2OCa47WWRZS/SYsdpweBAG0PN5+FqFbRXvz9fvMu/x9JsN0/F6Q2Lk1KPD9P6FUSkKf6H&#10;/9o7raCYV1lZzfMSfi+lOyCXPwAAAP//AwBQSwECLQAUAAYACAAAACEA2+H2y+4AAACFAQAAEwAA&#10;AAAAAAAAAAAAAAAAAAAAW0NvbnRlbnRfVHlwZXNdLnhtbFBLAQItABQABgAIAAAAIQBa9CxbvwAA&#10;ABUBAAALAAAAAAAAAAAAAAAAAB8BAABfcmVscy8ucmVsc1BLAQItABQABgAIAAAAIQCmCjCCywAA&#10;AOIAAAAPAAAAAAAAAAAAAAAAAAcCAABkcnMvZG93bnJldi54bWxQSwUGAAAAAAMAAwC3AAAA/wIA&#10;AAAA&#10;" strokeweight="3pt">
                  <v:stroke dashstyle="1 1" startarrow="block" endarrow="block"/>
                </v:shape>
                <v:group id="Group 471" o:spid="_x0000_s1116" style="position:absolute;left:5026;top:6274;width:408;height:285" coordorigin="5026,6274" coordsize="40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9DdygAAAOIAAAAPAAAAZHJzL2Rvd25yZXYueG1sRI9Ba8JA&#10;FITvBf/D8oTe6iZaS4yuItIWDyJUBfH2yD6TYPZtyG6T+O9dodDjMDPfMItVbyrRUuNKywriUQSC&#10;OLO65FzB6fj1loBwHlljZZkU3MnBajl4WWCqbcc/1B58LgKEXYoKCu/rVEqXFWTQjWxNHLyrbQz6&#10;IJtc6ga7ADeVHEfRhzRYclgosKZNQdnt8GsUfHfYrSfxZ7u7XTf3y3G6P+9iUup12K/nIDz1/j/8&#10;195qBeNZEk2SWfwOz0vhDsjlAwAA//8DAFBLAQItABQABgAIAAAAIQDb4fbL7gAAAIUBAAATAAAA&#10;AAAAAAAAAAAAAAAAAABbQ29udGVudF9UeXBlc10ueG1sUEsBAi0AFAAGAAgAAAAhAFr0LFu/AAAA&#10;FQEAAAsAAAAAAAAAAAAAAAAAHwEAAF9yZWxzLy5yZWxzUEsBAi0AFAAGAAgAAAAhAJ270N3KAAAA&#10;4gAAAA8AAAAAAAAAAAAAAAAABwIAAGRycy9kb3ducmV2LnhtbFBLBQYAAAAAAwADALcAAAD+AgAA&#10;AAA=&#10;">
                  <v:rect id="Rectangle 472" o:spid="_x0000_s1117" style="position:absolute;left:5026;top:6274;width:408;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gcZyQAAAOIAAAAPAAAAZHJzL2Rvd25yZXYueG1sRI9Ba8JA&#10;FITvhf6H5RW81V0jSBJdpbRY7FHjxdsz+0zSZt+G7KrRX98tFDwOM/MNs1gNthUX6n3jWMNkrEAQ&#10;l840XGnYF+vXFIQPyAZbx6ThRh5Wy+enBebGXXlLl12oRISwz1FDHUKXS+nLmiz6seuIo3dyvcUQ&#10;ZV9J0+M1wm0rE6Vm0mLDcaHGjt5rKn92Z6vh2CR7vG+LT2Wz9TR8DcX3+fCh9ehleJuDCDSER/i/&#10;vTEakixV0zSbzODvUrwDcvkLAAD//wMAUEsBAi0AFAAGAAgAAAAhANvh9svuAAAAhQEAABMAAAAA&#10;AAAAAAAAAAAAAAAAAFtDb250ZW50X1R5cGVzXS54bWxQSwECLQAUAAYACAAAACEAWvQsW78AAAAV&#10;AQAACwAAAAAAAAAAAAAAAAAfAQAAX3JlbHMvLnJlbHNQSwECLQAUAAYACAAAACEAwHoHGckAAADi&#10;AAAADwAAAAAAAAAAAAAAAAAHAgAAZHJzL2Rvd25yZXYueG1sUEsFBgAAAAADAAMAtwAAAP0CAAAA&#10;AA==&#10;"/>
                  <v:shape id="AutoShape 473" o:spid="_x0000_s1118" type="#_x0000_t32" style="position:absolute;left:5034;top:6280;width:194;height:1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kGqzAAAAOIAAAAPAAAAZHJzL2Rvd25yZXYueG1sRI9BSwMx&#10;FITvQv9DeAUvYrNbUbdr07IKBVvooVXvz81zE7p52W7Sdv33RhA8DjPzDTNfDq4VZ+qD9awgn2Qg&#10;iGuvLTcK3t9WtwWIEJE1tp5JwTcFWC5GV3Mstb/wjs772IgE4VCiAhNjV0oZakMOw8R3xMn78r3D&#10;mGTfSN3jJcFdK6dZ9iAdWk4LBjt6MVQf9ienYLvOn6tPY9eb3dFu71dVe2puPpS6Hg/VE4hIQ/wP&#10;/7VftYLprMjuiln+CL+X0h2Qix8AAAD//wMAUEsBAi0AFAAGAAgAAAAhANvh9svuAAAAhQEAABMA&#10;AAAAAAAAAAAAAAAAAAAAAFtDb250ZW50X1R5cGVzXS54bWxQSwECLQAUAAYACAAAACEAWvQsW78A&#10;AAAVAQAACwAAAAAAAAAAAAAAAAAfAQAAX3JlbHMvLnJlbHNQSwECLQAUAAYACAAAACEAoV5BqswA&#10;AADiAAAADwAAAAAAAAAAAAAAAAAHAgAAZHJzL2Rvd25yZXYueG1sUEsFBgAAAAADAAMAtwAAAAAD&#10;AAAAAA==&#10;"/>
                  <v:shape id="AutoShape 474" o:spid="_x0000_s1119" type="#_x0000_t32" style="position:absolute;left:5228;top:6274;width:200;height:1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ChxxwAAAOIAAAAPAAAAZHJzL2Rvd25yZXYueG1sRE89a8Mw&#10;EN0D/Q/iAl1CLDuBYrtRQikUSoZAEw8ZD+lqm1gnV1Id999XQ6Hj433vDrMdxEQ+9I4VFFkOglg7&#10;03OroLm8rUsQISIbHByTgh8KcNg/LHZYG3fnD5rOsRUphEONCroYx1rKoDuyGDI3Eifu03mLMUHf&#10;SuPxnsLtIDd5/iQt9pwaOhzptSN9O39bBf2xOTXT6it6XR6Lqy/C5TpopR6X88sziEhz/Bf/ud+N&#10;gk1V5tuyKtLmdCndAbn/BQAA//8DAFBLAQItABQABgAIAAAAIQDb4fbL7gAAAIUBAAATAAAAAAAA&#10;AAAAAAAAAAAAAABbQ29udGVudF9UeXBlc10ueG1sUEsBAi0AFAAGAAgAAAAhAFr0LFu/AAAAFQEA&#10;AAsAAAAAAAAAAAAAAAAAHwEAAF9yZWxzLy5yZWxzUEsBAi0AFAAGAAgAAAAhAFykKHHHAAAA4gAA&#10;AA8AAAAAAAAAAAAAAAAABwIAAGRycy9kb3ducmV2LnhtbFBLBQYAAAAAAwADALcAAAD7AgAAAAA=&#10;"/>
                </v:group>
                <v:group id="Group 475" o:spid="_x0000_s1120" style="position:absolute;left:6694;top:6989;width:408;height:285" coordorigin="5026,6274" coordsize="40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n9DygAAAOIAAAAPAAAAZHJzL2Rvd25yZXYueG1sRI9Ba8JA&#10;FITvQv/D8gq96SaKkkRXEWlLDyKoheLtkX0mwezbkN0m8d+7hYLHYWa+YVabwdSio9ZVlhXEkwgE&#10;cW51xYWC7/PHOAHhPLLG2jIpuJODzfpltMJM256P1J18IQKEXYYKSu+bTEqXl2TQTWxDHLyrbQ36&#10;INtC6hb7ADe1nEbRQhqsOCyU2NCupPx2+jUKPnvst7P4vdvfrrv75Tw//OxjUurtddguQXga/DP8&#10;3/7SCqZpEs2SNE7h71K4A3L9AAAA//8DAFBLAQItABQABgAIAAAAIQDb4fbL7gAAAIUBAAATAAAA&#10;AAAAAAAAAAAAAAAAAABbQ29udGVudF9UeXBlc10ueG1sUEsBAi0AFAAGAAgAAAAhAFr0LFu/AAAA&#10;FQEAAAsAAAAAAAAAAAAAAAAAHwEAAF9yZWxzLy5yZWxzUEsBAi0AFAAGAAgAAAAhAHO6f0PKAAAA&#10;4gAAAA8AAAAAAAAAAAAAAAAABwIAAGRycy9kb3ducmV2LnhtbFBLBQYAAAAAAwADALcAAAD+AgAA&#10;AAA=&#10;">
                  <v:rect id="Rectangle 476" o:spid="_x0000_s1121" style="position:absolute;left:5026;top:6274;width:408;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BLyAAAAOIAAAAPAAAAZHJzL2Rvd25yZXYueG1sRI+9bsIw&#10;FIX3SryDdZHYik2QUJJiEAKB6Ahh6XYb3yZp4+soNhD69Hio1PHo/Olbrgfbihv1vnGsYTZVIIhL&#10;ZxquNFyK/WsKwgdkg61j0vAgD+vV6GWJuXF3PtHtHCoRR9jnqKEOocul9GVNFv3UdcTR+3K9xRBl&#10;X0nT4z2O21YmSi2kxYbjQ40dbWsqf85Xq+GzSS74eyoOymb7eXgfiu/rx07ryXjYvIEINIT/8F/7&#10;aDQkWarmaZZEiIgUcUCungAAAP//AwBQSwECLQAUAAYACAAAACEA2+H2y+4AAACFAQAAEwAAAAAA&#10;AAAAAAAAAAAAAAAAW0NvbnRlbnRfVHlwZXNdLnhtbFBLAQItABQABgAIAAAAIQBa9CxbvwAAABUB&#10;AAALAAAAAAAAAAAAAAAAAB8BAABfcmVscy8ucmVsc1BLAQItABQABgAIAAAAIQDus/BLyAAAAOIA&#10;AAAPAAAAAAAAAAAAAAAAAAcCAABkcnMvZG93bnJldi54bWxQSwUGAAAAAAMAAwC3AAAA/AIAAAAA&#10;"/>
                  <v:shape id="AutoShape 477" o:spid="_x0000_s1122" type="#_x0000_t32" style="position:absolute;left:5034;top:6280;width:194;height:1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7b4ywAAAOIAAAAPAAAAZHJzL2Rvd25yZXYueG1sRI9BS8NA&#10;FITvQv/D8gQvYjeJKGnabYlCwQo9tOr9mX3NLmbfptltG/+9Kwgeh5n5hlmsRteJMw3BelaQTzMQ&#10;xI3XllsF72/ruxJEiMgaO8+k4JsCrJaTqwVW2l94R+d9bEWCcKhQgYmxr6QMjSGHYep74uQd/OAw&#10;Jjm0Ug94SXDXySLLHqVDy2nBYE/Phpqv/ckp2G7yp/rT2M3r7mi3D+u6O7W3H0rdXI/1HESkMf6H&#10;/9ovWkExK7P7clbk8Hsp3QG5/AEAAP//AwBQSwECLQAUAAYACAAAACEA2+H2y+4AAACFAQAAEwAA&#10;AAAAAAAAAAAAAAAAAAAAW0NvbnRlbnRfVHlwZXNdLnhtbFBLAQItABQABgAIAAAAIQBa9CxbvwAA&#10;ABUBAAALAAAAAAAAAAAAAAAAAB8BAABfcmVscy8ucmVsc1BLAQItABQABgAIAAAAIQCPl7b4ywAA&#10;AOIAAAAPAAAAAAAAAAAAAAAAAAcCAABkcnMvZG93bnJldi54bWxQSwUGAAAAAAMAAwC3AAAA/wIA&#10;AAAA&#10;"/>
                  <v:shape id="AutoShape 478" o:spid="_x0000_s1123" type="#_x0000_t32" style="position:absolute;left:5228;top:6274;width:200;height:1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NUmygAAAOIAAAAPAAAAZHJzL2Rvd25yZXYueG1sRI/BasMw&#10;EETvgfyD2EAvoZHtQnGcKKEUCiWHQhIfclykrW1irVxJddy/rwqBHoeZecNs95PtxUg+dI4V5KsM&#10;BLF2puNGQX1+eyxBhIhssHdMCn4owH43n22xMu7GRxpPsREJwqFCBW2MQyVl0C1ZDCs3ECfv03mL&#10;MUnfSOPxluC2l0WWPUuLHaeFFgd6bUlfT99WQXeoP+px+RW9Lg/5xefhfOm1Ug+L6WUDItIU/8P3&#10;9rtRUKzL7KlcFwX8XUp3QO5+AQAA//8DAFBLAQItABQABgAIAAAAIQDb4fbL7gAAAIUBAAATAAAA&#10;AAAAAAAAAAAAAAAAAABbQ29udGVudF9UeXBlc10ueG1sUEsBAi0AFAAGAAgAAAAhAFr0LFu/AAAA&#10;FQEAAAsAAAAAAAAAAAAAAAAAHwEAAF9yZWxzLy5yZWxzUEsBAi0AFAAGAAgAAAAhAPMg1SbKAAAA&#10;4gAAAA8AAAAAAAAAAAAAAAAABwIAAGRycy9kb3ducmV2LnhtbFBLBQYAAAAAAwADALcAAAD+AgAA&#10;AAA=&#10;"/>
                </v:group>
                <v:group id="Group 479" o:spid="_x0000_s1124" style="position:absolute;left:7892;top:7003;width:408;height:285" coordorigin="5026,6274" coordsize="40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oIUywAAAOIAAAAPAAAAZHJzL2Rvd25yZXYueG1sRI9Pa8JA&#10;FMTvQr/D8gq96eYPSkxdRaQtPYhQLZTeHtlnEsy+DdltEr+9Kwg9DjPzG2a1GU0jeupcbVlBPItA&#10;EBdW11wq+D69TzMQziNrbCyTgis52KyfJivMtR34i/qjL0WAsMtRQeV9m0vpiooMupltiYN3tp1B&#10;H2RXSt3hEOCmkUkULaTBmsNChS3tKiouxz+j4GPAYZvGb/3+ct5df0/zw88+JqVensftKwhPo/8P&#10;P9qfWkGyzKI0WyYp3C+FOyDXNwAAAP//AwBQSwECLQAUAAYACAAAACEA2+H2y+4AAACFAQAAEwAA&#10;AAAAAAAAAAAAAAAAAAAAW0NvbnRlbnRfVHlwZXNdLnhtbFBLAQItABQABgAIAAAAIQBa9CxbvwAA&#10;ABUBAAALAAAAAAAAAAAAAAAAAB8BAABfcmVscy8ucmVsc1BLAQItABQABgAIAAAAIQDcPoIUywAA&#10;AOIAAAAPAAAAAAAAAAAAAAAAAAcCAABkcnMvZG93bnJldi54bWxQSwUGAAAAAAMAAwC3AAAA/wIA&#10;AAAA&#10;">
                  <v:rect id="Rectangle 480" o:spid="_x0000_s1125" style="position:absolute;left:5026;top:6274;width:408;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PZIygAAAOIAAAAPAAAAZHJzL2Rvd25yZXYueG1sRI9Ba8JA&#10;FITvhf6H5RW81d1GKUl0ldKi2KPGS2+v2WeSNvs2ZFeN/vpuQfA4zMw3zHw52FacqPeNYw0vYwWC&#10;uHSm4UrDvlg9pyB8QDbYOiYNF/KwXDw+zDE37sxbOu1CJSKEfY4a6hC6XEpf1mTRj11HHL2D6y2G&#10;KPtKmh7PEW5bmSj1Ki02HBdq7Oi9pvJ3d7Qavptkj9dtsVY2W03C51D8HL8+tB49DW8zEIGGcA/f&#10;2hujIclSNUmzZAr/l+IdkIs/AAAA//8DAFBLAQItABQABgAIAAAAIQDb4fbL7gAAAIUBAAATAAAA&#10;AAAAAAAAAAAAAAAAAABbQ29udGVudF9UeXBlc10ueG1sUEsBAi0AFAAGAAgAAAAhAFr0LFu/AAAA&#10;FQEAAAsAAAAAAAAAAAAAAAAAHwEAAF9yZWxzLy5yZWxzUEsBAi0AFAAGAAgAAAAhAJGI9kjKAAAA&#10;4gAAAA8AAAAAAAAAAAAAAAAABwIAAGRycy9kb3ducmV2LnhtbFBLBQYAAAAAAwADALcAAAD+AgAA&#10;AAA=&#10;"/>
                  <v:shape id="AutoShape 481" o:spid="_x0000_s1126" type="#_x0000_t32" style="position:absolute;left:5034;top:6280;width:194;height:1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LD7zAAAAOIAAAAPAAAAZHJzL2Rvd25yZXYueG1sRI9BSwMx&#10;FITvQv9DeAUvYrNdadmuTcsqFKzQQ6ven5vnJrh5WTdpu/57IxR6HGbmG2a5HlwrTtQH61nBdJKB&#10;IK69ttwoeH/b3BcgQkTW2HomBb8UYL0a3Syx1P7MezodYiMShEOJCkyMXSllqA05DBPfESfvy/cO&#10;Y5J9I3WP5wR3rcyzbC4dWk4LBjt6NlR/H45OwW47fao+jd2+7n/sbrap2mNz96HU7XioHkFEGuI1&#10;fGm/aAX5osgeikU+g/9L6Q7I1R8AAAD//wMAUEsBAi0AFAAGAAgAAAAhANvh9svuAAAAhQEAABMA&#10;AAAAAAAAAAAAAAAAAAAAAFtDb250ZW50X1R5cGVzXS54bWxQSwECLQAUAAYACAAAACEAWvQsW78A&#10;AAAVAQAACwAAAAAAAAAAAAAAAAAfAQAAX3JlbHMvLnJlbHNQSwECLQAUAAYACAAAACEA8Kyw+8wA&#10;AADiAAAADwAAAAAAAAAAAAAAAAAHAgAAZHJzL2Rvd25yZXYueG1sUEsFBgAAAAADAAMAtwAAAAAD&#10;AAAAAA==&#10;"/>
                  <v:shape id="AutoShape 482" o:spid="_x0000_s1127" type="#_x0000_t32" style="position:absolute;left:5228;top:6274;width:200;height:1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9MlygAAAOIAAAAPAAAAZHJzL2Rvd25yZXYueG1sRI/BasMw&#10;EETvhfyD2EAvJZHtQnCcKKEUCiWHQhMfclykjW1irRxJddy/rwqFHoeZecNs95PtxUg+dI4V5MsM&#10;BLF2puNGQX16W5QgQkQ22DsmBd8UYL+bPWyxMu7OnzQeYyMShEOFCtoYh0rKoFuyGJZuIE7exXmL&#10;MUnfSOPxnuC2l0WWraTFjtNCiwO9tqSvxy+roDvUH/X4dItel4f87PNwOvdaqcf59LIBEWmK/+G/&#10;9rtRUKzL7LlcFyv4vZTugNz9AAAA//8DAFBLAQItABQABgAIAAAAIQDb4fbL7gAAAIUBAAATAAAA&#10;AAAAAAAAAAAAAAAAAABbQ29udGVudF9UeXBlc10ueG1sUEsBAi0AFAAGAAgAAAAhAFr0LFu/AAAA&#10;FQEAAAsAAAAAAAAAAAAAAAAAHwEAAF9yZWxzLy5yZWxzUEsBAi0AFAAGAAgAAAAhAIwb0yXKAAAA&#10;4gAAAA8AAAAAAAAAAAAAAAAABwIAAGRycy9kb3ducmV2LnhtbFBLBQYAAAAAAwADALcAAAD+AgAA&#10;AAA=&#10;"/>
                </v:group>
                <v:group id="Group 483" o:spid="_x0000_s1128" style="position:absolute;left:9204;top:7003;width:408;height:285" coordorigin="5026,6274" coordsize="40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YQXywAAAOIAAAAPAAAAZHJzL2Rvd25yZXYueG1sRI9Ba8JA&#10;FITvQv/D8gq91U0itTG6ikhbehChKoi3R/aZBLNvQ3abxH/fFQoeh5n5hlmsBlOLjlpXWVYQjyMQ&#10;xLnVFRcKjofP1xSE88gaa8uk4EYOVsun0QIzbXv+oW7vCxEg7DJUUHrfZFK6vCSDbmwb4uBdbGvQ&#10;B9kWUrfYB7ipZRJFU2mw4rBQYkObkvLr/tco+OqxX0/ij257vWxu58Pb7rSNSamX52E9B+Fp8I/w&#10;f/tbK0hmaTRJZ8k73C+FOyCXfwAAAP//AwBQSwECLQAUAAYACAAAACEA2+H2y+4AAACFAQAAEwAA&#10;AAAAAAAAAAAAAAAAAAAAW0NvbnRlbnRfVHlwZXNdLnhtbFBLAQItABQABgAIAAAAIQBa9CxbvwAA&#10;ABUBAAALAAAAAAAAAAAAAAAAAB8BAABfcmVscy8ucmVsc1BLAQItABQABgAIAAAAIQCjBYQXywAA&#10;AOIAAAAPAAAAAAAAAAAAAAAAAAcCAABkcnMvZG93bnJldi54bWxQSwUGAAAAAAMAAwC3AAAA/wIA&#10;AAAA&#10;">
                  <v:rect id="Rectangle 484" o:spid="_x0000_s1129" style="position:absolute;left:5026;top:6274;width:408;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fxNxgAAAOIAAAAPAAAAZHJzL2Rvd25yZXYueG1sRE89b8Iw&#10;EN0r8R+sQ2IrNkFCSYpBCASiI4Sl2zW+JmnjcxQbCP31eKjU8el9L9eDbcWNet841jCbKhDEpTMN&#10;Vxouxf41BeEDssHWMWl4kIf1avSyxNy4O5/odg6ViCHsc9RQh9DlUvqyJot+6jriyH253mKIsK+k&#10;6fEew20rE6UW0mLDsaHGjrY1lT/nq9Xw2SQX/D0VB2Wz/Ty8D8X39WOn9WQ8bN5ABBrCv/jPfTQa&#10;kixV8zRL4uZ4Kd4BuXoCAAD//wMAUEsBAi0AFAAGAAgAAAAhANvh9svuAAAAhQEAABMAAAAAAAAA&#10;AAAAAAAAAAAAAFtDb250ZW50X1R5cGVzXS54bWxQSwECLQAUAAYACAAAACEAWvQsW78AAAAVAQAA&#10;CwAAAAAAAAAAAAAAAAAfAQAAX3JlbHMvLnJlbHNQSwECLQAUAAYACAAAACEAEMX8TcYAAADiAAAA&#10;DwAAAAAAAAAAAAAAAAAHAgAAZHJzL2Rvd25yZXYueG1sUEsFBgAAAAADAAMAtwAAAPoCAAAAAA==&#10;"/>
                  <v:shape id="AutoShape 485" o:spid="_x0000_s1130" type="#_x0000_t32" style="position:absolute;left:5034;top:6280;width:194;height:1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br+ywAAAOIAAAAPAAAAZHJzL2Rvd25yZXYueG1sRI9BS8NA&#10;FITvQv/D8gQvYjeNWJLYbYlCwQo9tNX7M/vMLmbfptltG/+9Kwgeh5n5hlmsRteJMw3BelYwm2Yg&#10;iBuvLbcK3g7ruwJEiMgaO8+k4JsCrJaTqwVW2l94R+d9bEWCcKhQgYmxr6QMjSGHYep74uR9+sFh&#10;THJopR7wkuCuk3mWzaVDy2nBYE/Phpqv/ckp2G5mT/WHsZvX3dFuH9Z1d2pv35W6uR7rRxCRxvgf&#10;/mu/aAV5WWT3RZmX8Hsp3QG5/AEAAP//AwBQSwECLQAUAAYACAAAACEA2+H2y+4AAACFAQAAEwAA&#10;AAAAAAAAAAAAAAAAAAAAW0NvbnRlbnRfVHlwZXNdLnhtbFBLAQItABQABgAIAAAAIQBa9CxbvwAA&#10;ABUBAAALAAAAAAAAAAAAAAAAAB8BAABfcmVscy8ucmVsc1BLAQItABQABgAIAAAAIQBx4br+ywAA&#10;AOIAAAAPAAAAAAAAAAAAAAAAAAcCAABkcnMvZG93bnJldi54bWxQSwUGAAAAAAMAAwC3AAAA/wIA&#10;AAAA&#10;"/>
                  <v:shape id="AutoShape 486" o:spid="_x0000_s1131" type="#_x0000_t32" style="position:absolute;left:5228;top:6274;width:200;height:1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3gXyAAAAOIAAAAPAAAAZHJzL2Rvd25yZXYueG1sRI9Pa8Iw&#10;GMbvA79DeIVdhqZVGLUzyhAGw4Mw7cHjS/LaljVvuiTW7tubg+Dx4fnHb70dbScG8qF1rCCfZyCI&#10;tTMt1wqq09esABEissHOMSn4pwDbzeRljaVxN/6h4RhrkUY4lKigibEvpQy6IYth7nri5F2ctxiT&#10;9LU0Hm9p3HZykWXv0mLL6aHBnnYN6d/j1Spo99WhGt7+otfFPj/7PJzOnVbqdTp+foCINMZn+NH+&#10;NgoWqyJbFqtlgkhICQfk5g4AAP//AwBQSwECLQAUAAYACAAAACEA2+H2y+4AAACFAQAAEwAAAAAA&#10;AAAAAAAAAAAAAAAAW0NvbnRlbnRfVHlwZXNdLnhtbFBLAQItABQABgAIAAAAIQBa9CxbvwAAABUB&#10;AAALAAAAAAAAAAAAAAAAAB8BAABfcmVscy8ucmVsc1BLAQItABQABgAIAAAAIQDpZ3gXyAAAAOIA&#10;AAAPAAAAAAAAAAAAAAAAAAcCAABkcnMvZG93bnJldi54bWxQSwUGAAAAAAMAAwC3AAAA/AIAAAAA&#10;"/>
                </v:group>
              </v:group>
            </w:pict>
          </mc:Fallback>
        </mc:AlternateContent>
      </w:r>
    </w:p>
    <w:p w:rsidR="008A6EAC" w:rsidRPr="001F68D8" w:rsidRDefault="008A6EAC" w:rsidP="008A6EAC">
      <w:pPr>
        <w:numPr>
          <w:ilvl w:val="0"/>
          <w:numId w:val="1"/>
        </w:numPr>
        <w:tabs>
          <w:tab w:val="clear" w:pos="432"/>
          <w:tab w:val="num" w:pos="0"/>
        </w:tabs>
        <w:suppressAutoHyphens/>
        <w:spacing w:after="0" w:line="360" w:lineRule="auto"/>
        <w:ind w:left="0" w:firstLine="0"/>
        <w:jc w:val="center"/>
        <w:rPr>
          <w:rFonts w:ascii="Arial" w:eastAsia="Times New Roman" w:hAnsi="Arial" w:cs="Arial"/>
          <w:bCs/>
          <w:i/>
          <w:noProof/>
          <w:sz w:val="20"/>
          <w:szCs w:val="20"/>
          <w:lang w:eastAsia="en-GB"/>
        </w:rPr>
      </w:pPr>
      <w:r w:rsidRPr="0066532E">
        <w:rPr>
          <w:rFonts w:ascii="Arial" w:eastAsia="Times New Roman" w:hAnsi="Arial" w:cs="Arial"/>
          <w:bCs/>
          <w:i/>
          <w:noProof/>
          <w:sz w:val="20"/>
          <w:szCs w:val="20"/>
          <w:lang w:eastAsia="en-GB"/>
        </w:rPr>
        <w:lastRenderedPageBreak/>
        <w:t xml:space="preserve">Tabla 1. </w:t>
      </w:r>
      <w:r>
        <w:rPr>
          <w:rFonts w:ascii="Arial" w:eastAsia="Times New Roman" w:hAnsi="Arial" w:cs="Arial"/>
          <w:bCs/>
          <w:i/>
          <w:noProof/>
          <w:sz w:val="20"/>
          <w:szCs w:val="20"/>
          <w:lang w:eastAsia="en-GB"/>
        </w:rPr>
        <w:t>Segmento de la base de datos utilizada para entrenar la RNA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581"/>
        <w:gridCol w:w="1553"/>
        <w:gridCol w:w="1553"/>
        <w:gridCol w:w="1554"/>
        <w:gridCol w:w="1554"/>
      </w:tblGrid>
      <w:tr w:rsidR="008A6EAC" w:rsidRPr="001C797E" w:rsidTr="007F2707">
        <w:tc>
          <w:tcPr>
            <w:tcW w:w="3370" w:type="dxa"/>
            <w:gridSpan w:val="2"/>
            <w:shd w:val="clear" w:color="auto" w:fill="auto"/>
            <w:vAlign w:val="center"/>
          </w:tcPr>
          <w:p w:rsidR="008A6EAC" w:rsidRPr="001C797E" w:rsidRDefault="008A6EAC" w:rsidP="007F2707">
            <w:pPr>
              <w:jc w:val="center"/>
              <w:rPr>
                <w:rFonts w:ascii="Arial" w:hAnsi="Arial" w:cs="Arial"/>
                <w:b/>
                <w:bCs/>
              </w:rPr>
            </w:pPr>
            <w:r w:rsidRPr="001C797E">
              <w:rPr>
                <w:rFonts w:ascii="Arial" w:hAnsi="Arial" w:cs="Arial"/>
                <w:b/>
                <w:bCs/>
              </w:rPr>
              <w:t>Entradas</w:t>
            </w:r>
          </w:p>
        </w:tc>
        <w:tc>
          <w:tcPr>
            <w:tcW w:w="6742" w:type="dxa"/>
            <w:gridSpan w:val="4"/>
            <w:shd w:val="clear" w:color="auto" w:fill="auto"/>
            <w:vAlign w:val="center"/>
          </w:tcPr>
          <w:p w:rsidR="008A6EAC" w:rsidRPr="001C797E" w:rsidRDefault="008A6EAC" w:rsidP="007F2707">
            <w:pPr>
              <w:jc w:val="center"/>
              <w:rPr>
                <w:rFonts w:ascii="Arial" w:hAnsi="Arial" w:cs="Arial"/>
                <w:b/>
                <w:bCs/>
              </w:rPr>
            </w:pPr>
            <w:r w:rsidRPr="001C797E">
              <w:rPr>
                <w:rFonts w:ascii="Arial" w:hAnsi="Arial" w:cs="Arial"/>
                <w:b/>
                <w:bCs/>
              </w:rPr>
              <w:t>Salidas</w:t>
            </w:r>
          </w:p>
        </w:tc>
      </w:tr>
      <w:tr w:rsidR="008A6EAC" w:rsidRPr="001C797E" w:rsidTr="007F2707">
        <w:tc>
          <w:tcPr>
            <w:tcW w:w="1685" w:type="dxa"/>
            <w:shd w:val="clear" w:color="auto" w:fill="auto"/>
            <w:vAlign w:val="center"/>
          </w:tcPr>
          <w:p w:rsidR="008A6EAC" w:rsidRPr="001C797E" w:rsidRDefault="008A6EAC" w:rsidP="007F2707">
            <w:pPr>
              <w:jc w:val="center"/>
              <w:rPr>
                <w:rFonts w:ascii="Arial" w:hAnsi="Arial" w:cs="Arial"/>
                <w:b/>
                <w:bCs/>
              </w:rPr>
            </w:pPr>
            <w:r w:rsidRPr="001C797E">
              <w:rPr>
                <w:rFonts w:ascii="Arial" w:hAnsi="Arial" w:cs="Arial"/>
                <w:b/>
                <w:bCs/>
              </w:rPr>
              <w:t>Escenario</w:t>
            </w:r>
          </w:p>
        </w:tc>
        <w:tc>
          <w:tcPr>
            <w:tcW w:w="1685" w:type="dxa"/>
            <w:shd w:val="clear" w:color="auto" w:fill="auto"/>
            <w:vAlign w:val="center"/>
          </w:tcPr>
          <w:p w:rsidR="008A6EAC" w:rsidRPr="001C797E" w:rsidRDefault="008A6EAC" w:rsidP="007F2707">
            <w:pPr>
              <w:jc w:val="center"/>
              <w:rPr>
                <w:rFonts w:ascii="Arial" w:hAnsi="Arial" w:cs="Arial"/>
                <w:b/>
                <w:bCs/>
              </w:rPr>
            </w:pPr>
            <w:r w:rsidRPr="001C797E">
              <w:rPr>
                <w:rFonts w:ascii="Arial" w:hAnsi="Arial" w:cs="Arial"/>
                <w:b/>
                <w:bCs/>
              </w:rPr>
              <w:t>Cantidad de módulos</w:t>
            </w:r>
          </w:p>
        </w:tc>
        <w:tc>
          <w:tcPr>
            <w:tcW w:w="1685" w:type="dxa"/>
            <w:shd w:val="clear" w:color="auto" w:fill="auto"/>
            <w:vAlign w:val="center"/>
          </w:tcPr>
          <w:p w:rsidR="008A6EAC" w:rsidRPr="001C797E" w:rsidRDefault="008A6EAC" w:rsidP="007F2707">
            <w:pPr>
              <w:jc w:val="center"/>
              <w:rPr>
                <w:rFonts w:ascii="Arial" w:hAnsi="Arial" w:cs="Arial"/>
                <w:b/>
                <w:bCs/>
              </w:rPr>
            </w:pPr>
            <w:r w:rsidRPr="001C797E">
              <w:rPr>
                <w:rFonts w:ascii="Arial" w:hAnsi="Arial" w:cs="Arial"/>
                <w:b/>
                <w:bCs/>
              </w:rPr>
              <w:t>Modulo 1</w:t>
            </w:r>
          </w:p>
        </w:tc>
        <w:tc>
          <w:tcPr>
            <w:tcW w:w="1685" w:type="dxa"/>
            <w:shd w:val="clear" w:color="auto" w:fill="auto"/>
            <w:vAlign w:val="center"/>
          </w:tcPr>
          <w:p w:rsidR="008A6EAC" w:rsidRPr="001C797E" w:rsidRDefault="008A6EAC" w:rsidP="007F2707">
            <w:pPr>
              <w:jc w:val="center"/>
              <w:rPr>
                <w:rFonts w:ascii="Arial" w:hAnsi="Arial" w:cs="Arial"/>
                <w:b/>
                <w:bCs/>
              </w:rPr>
            </w:pPr>
            <w:r w:rsidRPr="001C797E">
              <w:rPr>
                <w:rFonts w:ascii="Arial" w:hAnsi="Arial" w:cs="Arial"/>
                <w:b/>
                <w:bCs/>
              </w:rPr>
              <w:t>Modulo 2</w:t>
            </w:r>
          </w:p>
        </w:tc>
        <w:tc>
          <w:tcPr>
            <w:tcW w:w="1686" w:type="dxa"/>
            <w:shd w:val="clear" w:color="auto" w:fill="auto"/>
            <w:vAlign w:val="center"/>
          </w:tcPr>
          <w:p w:rsidR="008A6EAC" w:rsidRPr="001C797E" w:rsidRDefault="008A6EAC" w:rsidP="007F2707">
            <w:pPr>
              <w:jc w:val="center"/>
              <w:rPr>
                <w:rFonts w:ascii="Arial" w:hAnsi="Arial" w:cs="Arial"/>
                <w:b/>
                <w:bCs/>
              </w:rPr>
            </w:pPr>
            <w:r w:rsidRPr="001C797E">
              <w:rPr>
                <w:rFonts w:ascii="Arial" w:hAnsi="Arial" w:cs="Arial"/>
                <w:b/>
                <w:bCs/>
              </w:rPr>
              <w:t>Modulo 3</w:t>
            </w:r>
          </w:p>
        </w:tc>
        <w:tc>
          <w:tcPr>
            <w:tcW w:w="1686" w:type="dxa"/>
            <w:shd w:val="clear" w:color="auto" w:fill="auto"/>
            <w:vAlign w:val="center"/>
          </w:tcPr>
          <w:p w:rsidR="008A6EAC" w:rsidRPr="001C797E" w:rsidRDefault="008A6EAC" w:rsidP="007F2707">
            <w:pPr>
              <w:jc w:val="center"/>
              <w:rPr>
                <w:rFonts w:ascii="Arial" w:hAnsi="Arial" w:cs="Arial"/>
                <w:b/>
                <w:bCs/>
              </w:rPr>
            </w:pPr>
            <w:r w:rsidRPr="001C797E">
              <w:rPr>
                <w:rFonts w:ascii="Arial" w:hAnsi="Arial" w:cs="Arial"/>
                <w:b/>
                <w:bCs/>
              </w:rPr>
              <w:t>Modulo 4</w:t>
            </w:r>
          </w:p>
        </w:tc>
      </w:tr>
      <w:tr w:rsidR="008A6EAC" w:rsidRPr="001C797E" w:rsidTr="007F2707">
        <w:tc>
          <w:tcPr>
            <w:tcW w:w="1685" w:type="dxa"/>
            <w:shd w:val="clear" w:color="auto" w:fill="auto"/>
          </w:tcPr>
          <w:p w:rsidR="008A6EAC" w:rsidRPr="001C797E" w:rsidRDefault="008A6EAC" w:rsidP="007F2707">
            <w:pPr>
              <w:jc w:val="center"/>
              <w:rPr>
                <w:rFonts w:ascii="Arial" w:hAnsi="Arial" w:cs="Arial"/>
              </w:rPr>
            </w:pPr>
            <w:r w:rsidRPr="001C797E">
              <w:rPr>
                <w:rFonts w:ascii="Arial" w:hAnsi="Arial" w:cs="Arial"/>
              </w:rPr>
              <w:t>1</w:t>
            </w:r>
          </w:p>
        </w:tc>
        <w:tc>
          <w:tcPr>
            <w:tcW w:w="1685" w:type="dxa"/>
            <w:shd w:val="clear" w:color="auto" w:fill="auto"/>
          </w:tcPr>
          <w:p w:rsidR="008A6EAC" w:rsidRPr="001C797E" w:rsidRDefault="008A6EAC" w:rsidP="007F2707">
            <w:pPr>
              <w:jc w:val="center"/>
              <w:rPr>
                <w:rFonts w:ascii="Arial" w:hAnsi="Arial" w:cs="Arial"/>
              </w:rPr>
            </w:pPr>
            <w:r w:rsidRPr="001C797E">
              <w:rPr>
                <w:rFonts w:ascii="Arial" w:hAnsi="Arial" w:cs="Arial"/>
              </w:rPr>
              <w:t>4</w:t>
            </w:r>
          </w:p>
        </w:tc>
        <w:tc>
          <w:tcPr>
            <w:tcW w:w="1685" w:type="dxa"/>
            <w:shd w:val="clear" w:color="auto" w:fill="auto"/>
          </w:tcPr>
          <w:p w:rsidR="008A6EAC" w:rsidRPr="001C797E" w:rsidRDefault="008A6EAC" w:rsidP="007F2707">
            <w:pPr>
              <w:jc w:val="center"/>
              <w:rPr>
                <w:rFonts w:ascii="Arial" w:hAnsi="Arial" w:cs="Arial"/>
              </w:rPr>
            </w:pPr>
            <w:r w:rsidRPr="001C797E">
              <w:rPr>
                <w:rFonts w:ascii="Arial" w:hAnsi="Arial" w:cs="Arial"/>
              </w:rPr>
              <w:t>0</w:t>
            </w:r>
          </w:p>
        </w:tc>
        <w:tc>
          <w:tcPr>
            <w:tcW w:w="1685" w:type="dxa"/>
            <w:shd w:val="clear" w:color="auto" w:fill="auto"/>
          </w:tcPr>
          <w:p w:rsidR="008A6EAC" w:rsidRPr="001C797E" w:rsidRDefault="008A6EAC" w:rsidP="007F2707">
            <w:pPr>
              <w:jc w:val="center"/>
              <w:rPr>
                <w:rFonts w:ascii="Arial" w:hAnsi="Arial" w:cs="Arial"/>
              </w:rPr>
            </w:pPr>
            <w:r w:rsidRPr="001C797E">
              <w:rPr>
                <w:rFonts w:ascii="Arial" w:hAnsi="Arial" w:cs="Arial"/>
              </w:rPr>
              <w:t>20</w:t>
            </w:r>
          </w:p>
        </w:tc>
        <w:tc>
          <w:tcPr>
            <w:tcW w:w="1686" w:type="dxa"/>
            <w:shd w:val="clear" w:color="auto" w:fill="auto"/>
          </w:tcPr>
          <w:p w:rsidR="008A6EAC" w:rsidRPr="001C797E" w:rsidRDefault="008A6EAC" w:rsidP="007F2707">
            <w:pPr>
              <w:jc w:val="center"/>
              <w:rPr>
                <w:rFonts w:ascii="Arial" w:hAnsi="Arial" w:cs="Arial"/>
              </w:rPr>
            </w:pPr>
            <w:r w:rsidRPr="001C797E">
              <w:rPr>
                <w:rFonts w:ascii="Arial" w:hAnsi="Arial" w:cs="Arial"/>
              </w:rPr>
              <w:t>40</w:t>
            </w:r>
          </w:p>
        </w:tc>
        <w:tc>
          <w:tcPr>
            <w:tcW w:w="1686" w:type="dxa"/>
            <w:shd w:val="clear" w:color="auto" w:fill="auto"/>
          </w:tcPr>
          <w:p w:rsidR="008A6EAC" w:rsidRPr="001C797E" w:rsidRDefault="008A6EAC" w:rsidP="007F2707">
            <w:pPr>
              <w:jc w:val="center"/>
              <w:rPr>
                <w:rFonts w:ascii="Arial" w:hAnsi="Arial" w:cs="Arial"/>
              </w:rPr>
            </w:pPr>
            <w:r w:rsidRPr="001C797E">
              <w:rPr>
                <w:rFonts w:ascii="Arial" w:hAnsi="Arial" w:cs="Arial"/>
              </w:rPr>
              <w:t>60</w:t>
            </w:r>
          </w:p>
        </w:tc>
      </w:tr>
      <w:tr w:rsidR="008A6EAC" w:rsidRPr="001C797E" w:rsidTr="007F2707">
        <w:tc>
          <w:tcPr>
            <w:tcW w:w="1685" w:type="dxa"/>
            <w:shd w:val="clear" w:color="auto" w:fill="auto"/>
          </w:tcPr>
          <w:p w:rsidR="008A6EAC" w:rsidRPr="001C797E" w:rsidRDefault="008A6EAC" w:rsidP="007F2707">
            <w:pPr>
              <w:jc w:val="center"/>
              <w:rPr>
                <w:rFonts w:ascii="Arial" w:hAnsi="Arial" w:cs="Arial"/>
              </w:rPr>
            </w:pPr>
            <w:r w:rsidRPr="001C797E">
              <w:rPr>
                <w:rFonts w:ascii="Arial" w:hAnsi="Arial" w:cs="Arial"/>
              </w:rPr>
              <w:t>1</w:t>
            </w:r>
          </w:p>
        </w:tc>
        <w:tc>
          <w:tcPr>
            <w:tcW w:w="1685" w:type="dxa"/>
            <w:shd w:val="clear" w:color="auto" w:fill="auto"/>
          </w:tcPr>
          <w:p w:rsidR="008A6EAC" w:rsidRPr="001C797E" w:rsidRDefault="008A6EAC" w:rsidP="007F2707">
            <w:pPr>
              <w:jc w:val="center"/>
              <w:rPr>
                <w:rFonts w:ascii="Arial" w:hAnsi="Arial" w:cs="Arial"/>
              </w:rPr>
            </w:pPr>
            <w:r w:rsidRPr="001C797E">
              <w:rPr>
                <w:rFonts w:ascii="Arial" w:hAnsi="Arial" w:cs="Arial"/>
              </w:rPr>
              <w:t>4</w:t>
            </w:r>
          </w:p>
        </w:tc>
        <w:tc>
          <w:tcPr>
            <w:tcW w:w="1685" w:type="dxa"/>
            <w:shd w:val="clear" w:color="auto" w:fill="auto"/>
          </w:tcPr>
          <w:p w:rsidR="008A6EAC" w:rsidRPr="001C797E" w:rsidRDefault="008A6EAC" w:rsidP="007F2707">
            <w:pPr>
              <w:jc w:val="center"/>
              <w:rPr>
                <w:rFonts w:ascii="Arial" w:hAnsi="Arial" w:cs="Arial"/>
              </w:rPr>
            </w:pPr>
            <w:r w:rsidRPr="001C797E">
              <w:rPr>
                <w:rFonts w:ascii="Arial" w:hAnsi="Arial" w:cs="Arial"/>
              </w:rPr>
              <w:t>25</w:t>
            </w:r>
          </w:p>
        </w:tc>
        <w:tc>
          <w:tcPr>
            <w:tcW w:w="1685" w:type="dxa"/>
            <w:shd w:val="clear" w:color="auto" w:fill="auto"/>
          </w:tcPr>
          <w:p w:rsidR="008A6EAC" w:rsidRPr="001C797E" w:rsidRDefault="008A6EAC" w:rsidP="007F2707">
            <w:pPr>
              <w:jc w:val="center"/>
              <w:rPr>
                <w:rFonts w:ascii="Arial" w:hAnsi="Arial" w:cs="Arial"/>
              </w:rPr>
            </w:pPr>
            <w:r w:rsidRPr="001C797E">
              <w:rPr>
                <w:rFonts w:ascii="Arial" w:hAnsi="Arial" w:cs="Arial"/>
              </w:rPr>
              <w:t>45</w:t>
            </w:r>
          </w:p>
        </w:tc>
        <w:tc>
          <w:tcPr>
            <w:tcW w:w="1686" w:type="dxa"/>
            <w:shd w:val="clear" w:color="auto" w:fill="auto"/>
          </w:tcPr>
          <w:p w:rsidR="008A6EAC" w:rsidRPr="001C797E" w:rsidRDefault="008A6EAC" w:rsidP="007F2707">
            <w:pPr>
              <w:jc w:val="center"/>
              <w:rPr>
                <w:rFonts w:ascii="Arial" w:hAnsi="Arial" w:cs="Arial"/>
              </w:rPr>
            </w:pPr>
            <w:r w:rsidRPr="001C797E">
              <w:rPr>
                <w:rFonts w:ascii="Arial" w:hAnsi="Arial" w:cs="Arial"/>
              </w:rPr>
              <w:t>65</w:t>
            </w:r>
          </w:p>
        </w:tc>
        <w:tc>
          <w:tcPr>
            <w:tcW w:w="1686" w:type="dxa"/>
            <w:shd w:val="clear" w:color="auto" w:fill="auto"/>
          </w:tcPr>
          <w:p w:rsidR="008A6EAC" w:rsidRPr="001C797E" w:rsidRDefault="008A6EAC" w:rsidP="007F2707">
            <w:pPr>
              <w:jc w:val="center"/>
              <w:rPr>
                <w:rFonts w:ascii="Arial" w:hAnsi="Arial" w:cs="Arial"/>
              </w:rPr>
            </w:pPr>
            <w:r w:rsidRPr="001C797E">
              <w:rPr>
                <w:rFonts w:ascii="Arial" w:hAnsi="Arial" w:cs="Arial"/>
              </w:rPr>
              <w:t>85</w:t>
            </w:r>
          </w:p>
        </w:tc>
      </w:tr>
      <w:tr w:rsidR="008A6EAC" w:rsidRPr="001C797E" w:rsidTr="007F2707">
        <w:tc>
          <w:tcPr>
            <w:tcW w:w="1685" w:type="dxa"/>
            <w:shd w:val="clear" w:color="auto" w:fill="auto"/>
          </w:tcPr>
          <w:p w:rsidR="008A6EAC" w:rsidRPr="001C797E" w:rsidRDefault="008A6EAC" w:rsidP="007F2707">
            <w:pPr>
              <w:jc w:val="center"/>
              <w:rPr>
                <w:rFonts w:ascii="Arial" w:hAnsi="Arial" w:cs="Arial"/>
              </w:rPr>
            </w:pPr>
            <w:r w:rsidRPr="001C797E">
              <w:rPr>
                <w:rFonts w:ascii="Arial" w:hAnsi="Arial" w:cs="Arial"/>
              </w:rPr>
              <w:t>1</w:t>
            </w:r>
          </w:p>
        </w:tc>
        <w:tc>
          <w:tcPr>
            <w:tcW w:w="1685" w:type="dxa"/>
            <w:shd w:val="clear" w:color="auto" w:fill="auto"/>
          </w:tcPr>
          <w:p w:rsidR="008A6EAC" w:rsidRPr="001C797E" w:rsidRDefault="008A6EAC" w:rsidP="007F2707">
            <w:pPr>
              <w:jc w:val="center"/>
              <w:rPr>
                <w:rFonts w:ascii="Arial" w:hAnsi="Arial" w:cs="Arial"/>
              </w:rPr>
            </w:pPr>
            <w:r w:rsidRPr="001C797E">
              <w:rPr>
                <w:rFonts w:ascii="Arial" w:hAnsi="Arial" w:cs="Arial"/>
              </w:rPr>
              <w:t>4</w:t>
            </w:r>
          </w:p>
        </w:tc>
        <w:tc>
          <w:tcPr>
            <w:tcW w:w="1685" w:type="dxa"/>
            <w:shd w:val="clear" w:color="auto" w:fill="auto"/>
            <w:vAlign w:val="center"/>
          </w:tcPr>
          <w:p w:rsidR="008A6EAC" w:rsidRPr="001C797E" w:rsidRDefault="008A6EAC" w:rsidP="007F2707">
            <w:pPr>
              <w:jc w:val="center"/>
              <w:rPr>
                <w:rFonts w:ascii="Arial" w:hAnsi="Arial" w:cs="Arial"/>
              </w:rPr>
            </w:pPr>
            <w:r w:rsidRPr="001C797E">
              <w:rPr>
                <w:rFonts w:ascii="Arial" w:hAnsi="Arial" w:cs="Arial"/>
                <w:color w:val="000000"/>
              </w:rPr>
              <w:t>50</w:t>
            </w:r>
          </w:p>
        </w:tc>
        <w:tc>
          <w:tcPr>
            <w:tcW w:w="1685" w:type="dxa"/>
            <w:shd w:val="clear" w:color="auto" w:fill="auto"/>
            <w:vAlign w:val="center"/>
          </w:tcPr>
          <w:p w:rsidR="008A6EAC" w:rsidRPr="001C797E" w:rsidRDefault="008A6EAC" w:rsidP="007F2707">
            <w:pPr>
              <w:jc w:val="center"/>
              <w:rPr>
                <w:rFonts w:ascii="Arial" w:hAnsi="Arial" w:cs="Arial"/>
              </w:rPr>
            </w:pPr>
            <w:r w:rsidRPr="001C797E">
              <w:rPr>
                <w:rFonts w:ascii="Arial" w:hAnsi="Arial" w:cs="Arial"/>
                <w:color w:val="000000"/>
              </w:rPr>
              <w:t>70</w:t>
            </w:r>
          </w:p>
        </w:tc>
        <w:tc>
          <w:tcPr>
            <w:tcW w:w="1686" w:type="dxa"/>
            <w:shd w:val="clear" w:color="auto" w:fill="auto"/>
            <w:vAlign w:val="center"/>
          </w:tcPr>
          <w:p w:rsidR="008A6EAC" w:rsidRPr="001C797E" w:rsidRDefault="008A6EAC" w:rsidP="007F2707">
            <w:pPr>
              <w:jc w:val="center"/>
              <w:rPr>
                <w:rFonts w:ascii="Arial" w:hAnsi="Arial" w:cs="Arial"/>
              </w:rPr>
            </w:pPr>
            <w:r w:rsidRPr="001C797E">
              <w:rPr>
                <w:rFonts w:ascii="Arial" w:hAnsi="Arial" w:cs="Arial"/>
                <w:color w:val="000000"/>
              </w:rPr>
              <w:t>90</w:t>
            </w:r>
          </w:p>
        </w:tc>
        <w:tc>
          <w:tcPr>
            <w:tcW w:w="1686" w:type="dxa"/>
            <w:shd w:val="clear" w:color="auto" w:fill="auto"/>
            <w:vAlign w:val="center"/>
          </w:tcPr>
          <w:p w:rsidR="008A6EAC" w:rsidRPr="001C797E" w:rsidRDefault="008A6EAC" w:rsidP="007F2707">
            <w:pPr>
              <w:jc w:val="center"/>
              <w:rPr>
                <w:rFonts w:ascii="Arial" w:hAnsi="Arial" w:cs="Arial"/>
              </w:rPr>
            </w:pPr>
            <w:r w:rsidRPr="001C797E">
              <w:rPr>
                <w:rFonts w:ascii="Arial" w:hAnsi="Arial" w:cs="Arial"/>
                <w:color w:val="000000"/>
              </w:rPr>
              <w:t>110</w:t>
            </w:r>
          </w:p>
        </w:tc>
      </w:tr>
      <w:tr w:rsidR="008A6EAC" w:rsidRPr="001C797E" w:rsidTr="007F2707">
        <w:tc>
          <w:tcPr>
            <w:tcW w:w="1685" w:type="dxa"/>
            <w:shd w:val="clear" w:color="auto" w:fill="auto"/>
          </w:tcPr>
          <w:p w:rsidR="008A6EAC" w:rsidRPr="001C797E" w:rsidRDefault="008A6EAC" w:rsidP="007F2707">
            <w:pPr>
              <w:jc w:val="center"/>
              <w:rPr>
                <w:rFonts w:ascii="Arial" w:hAnsi="Arial" w:cs="Arial"/>
              </w:rPr>
            </w:pPr>
            <w:r w:rsidRPr="001C797E">
              <w:rPr>
                <w:rFonts w:ascii="Arial" w:hAnsi="Arial" w:cs="Arial"/>
              </w:rPr>
              <w:t>1</w:t>
            </w:r>
          </w:p>
        </w:tc>
        <w:tc>
          <w:tcPr>
            <w:tcW w:w="1685" w:type="dxa"/>
            <w:shd w:val="clear" w:color="auto" w:fill="auto"/>
          </w:tcPr>
          <w:p w:rsidR="008A6EAC" w:rsidRPr="001C797E" w:rsidRDefault="008A6EAC" w:rsidP="007F2707">
            <w:pPr>
              <w:jc w:val="center"/>
              <w:rPr>
                <w:rFonts w:ascii="Arial" w:hAnsi="Arial" w:cs="Arial"/>
              </w:rPr>
            </w:pPr>
            <w:r w:rsidRPr="001C797E">
              <w:rPr>
                <w:rFonts w:ascii="Arial" w:hAnsi="Arial" w:cs="Arial"/>
              </w:rPr>
              <w:t>4</w:t>
            </w:r>
          </w:p>
        </w:tc>
        <w:tc>
          <w:tcPr>
            <w:tcW w:w="1685" w:type="dxa"/>
            <w:shd w:val="clear" w:color="auto" w:fill="auto"/>
            <w:vAlign w:val="center"/>
          </w:tcPr>
          <w:p w:rsidR="008A6EAC" w:rsidRPr="001C797E" w:rsidRDefault="008A6EAC" w:rsidP="007F2707">
            <w:pPr>
              <w:jc w:val="center"/>
              <w:rPr>
                <w:rFonts w:ascii="Arial" w:hAnsi="Arial" w:cs="Arial"/>
              </w:rPr>
            </w:pPr>
            <w:r w:rsidRPr="001C797E">
              <w:rPr>
                <w:rFonts w:ascii="Arial" w:hAnsi="Arial" w:cs="Arial"/>
                <w:color w:val="000000"/>
              </w:rPr>
              <w:t>75</w:t>
            </w:r>
          </w:p>
        </w:tc>
        <w:tc>
          <w:tcPr>
            <w:tcW w:w="1685" w:type="dxa"/>
            <w:shd w:val="clear" w:color="auto" w:fill="auto"/>
            <w:vAlign w:val="center"/>
          </w:tcPr>
          <w:p w:rsidR="008A6EAC" w:rsidRPr="001C797E" w:rsidRDefault="008A6EAC" w:rsidP="007F2707">
            <w:pPr>
              <w:jc w:val="center"/>
              <w:rPr>
                <w:rFonts w:ascii="Arial" w:hAnsi="Arial" w:cs="Arial"/>
              </w:rPr>
            </w:pPr>
            <w:r w:rsidRPr="001C797E">
              <w:rPr>
                <w:rFonts w:ascii="Arial" w:hAnsi="Arial" w:cs="Arial"/>
                <w:color w:val="000000"/>
              </w:rPr>
              <w:t>95</w:t>
            </w:r>
          </w:p>
        </w:tc>
        <w:tc>
          <w:tcPr>
            <w:tcW w:w="1686" w:type="dxa"/>
            <w:shd w:val="clear" w:color="auto" w:fill="auto"/>
            <w:vAlign w:val="center"/>
          </w:tcPr>
          <w:p w:rsidR="008A6EAC" w:rsidRPr="001C797E" w:rsidRDefault="008A6EAC" w:rsidP="007F2707">
            <w:pPr>
              <w:jc w:val="center"/>
              <w:rPr>
                <w:rFonts w:ascii="Arial" w:hAnsi="Arial" w:cs="Arial"/>
              </w:rPr>
            </w:pPr>
            <w:r w:rsidRPr="001C797E">
              <w:rPr>
                <w:rFonts w:ascii="Arial" w:hAnsi="Arial" w:cs="Arial"/>
                <w:color w:val="000000"/>
              </w:rPr>
              <w:t>115</w:t>
            </w:r>
          </w:p>
        </w:tc>
        <w:tc>
          <w:tcPr>
            <w:tcW w:w="1686" w:type="dxa"/>
            <w:shd w:val="clear" w:color="auto" w:fill="auto"/>
            <w:vAlign w:val="center"/>
          </w:tcPr>
          <w:p w:rsidR="008A6EAC" w:rsidRPr="001C797E" w:rsidRDefault="008A6EAC" w:rsidP="007F2707">
            <w:pPr>
              <w:jc w:val="center"/>
              <w:rPr>
                <w:rFonts w:ascii="Arial" w:hAnsi="Arial" w:cs="Arial"/>
              </w:rPr>
            </w:pPr>
            <w:r w:rsidRPr="001C797E">
              <w:rPr>
                <w:rFonts w:ascii="Arial" w:hAnsi="Arial" w:cs="Arial"/>
                <w:color w:val="000000"/>
              </w:rPr>
              <w:t>135</w:t>
            </w:r>
          </w:p>
        </w:tc>
      </w:tr>
      <w:tr w:rsidR="008A6EAC" w:rsidRPr="001C797E" w:rsidTr="007F2707">
        <w:tc>
          <w:tcPr>
            <w:tcW w:w="1685" w:type="dxa"/>
            <w:shd w:val="clear" w:color="auto" w:fill="auto"/>
          </w:tcPr>
          <w:p w:rsidR="008A6EAC" w:rsidRPr="001C797E" w:rsidRDefault="008A6EAC" w:rsidP="007F2707">
            <w:pPr>
              <w:jc w:val="center"/>
              <w:rPr>
                <w:rFonts w:ascii="Arial" w:hAnsi="Arial" w:cs="Arial"/>
              </w:rPr>
            </w:pPr>
            <w:r w:rsidRPr="001C797E">
              <w:rPr>
                <w:rFonts w:ascii="Arial" w:hAnsi="Arial" w:cs="Arial"/>
              </w:rPr>
              <w:t>1</w:t>
            </w:r>
          </w:p>
        </w:tc>
        <w:tc>
          <w:tcPr>
            <w:tcW w:w="1685" w:type="dxa"/>
            <w:shd w:val="clear" w:color="auto" w:fill="auto"/>
          </w:tcPr>
          <w:p w:rsidR="008A6EAC" w:rsidRPr="001C797E" w:rsidRDefault="008A6EAC" w:rsidP="007F2707">
            <w:pPr>
              <w:jc w:val="center"/>
              <w:rPr>
                <w:rFonts w:ascii="Arial" w:hAnsi="Arial" w:cs="Arial"/>
              </w:rPr>
            </w:pPr>
            <w:r w:rsidRPr="001C797E">
              <w:rPr>
                <w:rFonts w:ascii="Arial" w:hAnsi="Arial" w:cs="Arial"/>
              </w:rPr>
              <w:t>4</w:t>
            </w:r>
          </w:p>
        </w:tc>
        <w:tc>
          <w:tcPr>
            <w:tcW w:w="1685" w:type="dxa"/>
            <w:shd w:val="clear" w:color="auto" w:fill="auto"/>
            <w:vAlign w:val="center"/>
          </w:tcPr>
          <w:p w:rsidR="008A6EAC" w:rsidRPr="001C797E" w:rsidRDefault="008A6EAC" w:rsidP="007F2707">
            <w:pPr>
              <w:jc w:val="center"/>
              <w:rPr>
                <w:rFonts w:ascii="Arial" w:hAnsi="Arial" w:cs="Arial"/>
              </w:rPr>
            </w:pPr>
            <w:r w:rsidRPr="001C797E">
              <w:rPr>
                <w:rFonts w:ascii="Arial" w:hAnsi="Arial" w:cs="Arial"/>
                <w:color w:val="000000"/>
              </w:rPr>
              <w:t>100</w:t>
            </w:r>
          </w:p>
        </w:tc>
        <w:tc>
          <w:tcPr>
            <w:tcW w:w="1685" w:type="dxa"/>
            <w:shd w:val="clear" w:color="auto" w:fill="auto"/>
            <w:vAlign w:val="center"/>
          </w:tcPr>
          <w:p w:rsidR="008A6EAC" w:rsidRPr="001C797E" w:rsidRDefault="008A6EAC" w:rsidP="007F2707">
            <w:pPr>
              <w:jc w:val="center"/>
              <w:rPr>
                <w:rFonts w:ascii="Arial" w:hAnsi="Arial" w:cs="Arial"/>
              </w:rPr>
            </w:pPr>
            <w:r w:rsidRPr="001C797E">
              <w:rPr>
                <w:rFonts w:ascii="Arial" w:hAnsi="Arial" w:cs="Arial"/>
                <w:color w:val="000000"/>
              </w:rPr>
              <w:t>120</w:t>
            </w:r>
          </w:p>
        </w:tc>
        <w:tc>
          <w:tcPr>
            <w:tcW w:w="1686" w:type="dxa"/>
            <w:shd w:val="clear" w:color="auto" w:fill="auto"/>
            <w:vAlign w:val="center"/>
          </w:tcPr>
          <w:p w:rsidR="008A6EAC" w:rsidRPr="001C797E" w:rsidRDefault="008A6EAC" w:rsidP="007F2707">
            <w:pPr>
              <w:jc w:val="center"/>
              <w:rPr>
                <w:rFonts w:ascii="Arial" w:hAnsi="Arial" w:cs="Arial"/>
              </w:rPr>
            </w:pPr>
            <w:r w:rsidRPr="001C797E">
              <w:rPr>
                <w:rFonts w:ascii="Arial" w:hAnsi="Arial" w:cs="Arial"/>
                <w:color w:val="000000"/>
              </w:rPr>
              <w:t>140</w:t>
            </w:r>
          </w:p>
        </w:tc>
        <w:tc>
          <w:tcPr>
            <w:tcW w:w="1686" w:type="dxa"/>
            <w:shd w:val="clear" w:color="auto" w:fill="auto"/>
            <w:vAlign w:val="center"/>
          </w:tcPr>
          <w:p w:rsidR="008A6EAC" w:rsidRPr="001C797E" w:rsidRDefault="008A6EAC" w:rsidP="007F2707">
            <w:pPr>
              <w:jc w:val="center"/>
              <w:rPr>
                <w:rFonts w:ascii="Arial" w:hAnsi="Arial" w:cs="Arial"/>
              </w:rPr>
            </w:pPr>
            <w:r w:rsidRPr="001C797E">
              <w:rPr>
                <w:rFonts w:ascii="Arial" w:hAnsi="Arial" w:cs="Arial"/>
                <w:color w:val="000000"/>
              </w:rPr>
              <w:t>160</w:t>
            </w:r>
          </w:p>
        </w:tc>
      </w:tr>
      <w:tr w:rsidR="008A6EAC" w:rsidRPr="001C797E" w:rsidTr="007F2707">
        <w:tc>
          <w:tcPr>
            <w:tcW w:w="1685" w:type="dxa"/>
            <w:shd w:val="clear" w:color="auto" w:fill="auto"/>
          </w:tcPr>
          <w:p w:rsidR="008A6EAC" w:rsidRPr="001C797E" w:rsidRDefault="008A6EAC" w:rsidP="007F2707">
            <w:pPr>
              <w:jc w:val="center"/>
              <w:rPr>
                <w:rFonts w:ascii="Arial" w:hAnsi="Arial" w:cs="Arial"/>
              </w:rPr>
            </w:pPr>
            <w:r w:rsidRPr="001C797E">
              <w:rPr>
                <w:rFonts w:ascii="Arial" w:hAnsi="Arial" w:cs="Arial"/>
              </w:rPr>
              <w:t>1</w:t>
            </w:r>
          </w:p>
        </w:tc>
        <w:tc>
          <w:tcPr>
            <w:tcW w:w="1685" w:type="dxa"/>
            <w:shd w:val="clear" w:color="auto" w:fill="auto"/>
          </w:tcPr>
          <w:p w:rsidR="008A6EAC" w:rsidRPr="001C797E" w:rsidRDefault="008A6EAC" w:rsidP="007F2707">
            <w:pPr>
              <w:jc w:val="center"/>
              <w:rPr>
                <w:rFonts w:ascii="Arial" w:hAnsi="Arial" w:cs="Arial"/>
              </w:rPr>
            </w:pPr>
            <w:r w:rsidRPr="001C797E">
              <w:rPr>
                <w:rFonts w:ascii="Arial" w:hAnsi="Arial" w:cs="Arial"/>
              </w:rPr>
              <w:t>4</w:t>
            </w:r>
          </w:p>
        </w:tc>
        <w:tc>
          <w:tcPr>
            <w:tcW w:w="1685" w:type="dxa"/>
            <w:shd w:val="clear" w:color="auto" w:fill="auto"/>
            <w:vAlign w:val="center"/>
          </w:tcPr>
          <w:p w:rsidR="008A6EAC" w:rsidRPr="001C797E" w:rsidRDefault="008A6EAC" w:rsidP="007F2707">
            <w:pPr>
              <w:jc w:val="center"/>
              <w:rPr>
                <w:rFonts w:ascii="Arial" w:hAnsi="Arial" w:cs="Arial"/>
              </w:rPr>
            </w:pPr>
            <w:r w:rsidRPr="001C797E">
              <w:rPr>
                <w:rFonts w:ascii="Arial" w:hAnsi="Arial" w:cs="Arial"/>
                <w:color w:val="000000"/>
              </w:rPr>
              <w:t>125</w:t>
            </w:r>
          </w:p>
        </w:tc>
        <w:tc>
          <w:tcPr>
            <w:tcW w:w="1685" w:type="dxa"/>
            <w:shd w:val="clear" w:color="auto" w:fill="auto"/>
            <w:vAlign w:val="center"/>
          </w:tcPr>
          <w:p w:rsidR="008A6EAC" w:rsidRPr="001C797E" w:rsidRDefault="008A6EAC" w:rsidP="007F2707">
            <w:pPr>
              <w:jc w:val="center"/>
              <w:rPr>
                <w:rFonts w:ascii="Arial" w:hAnsi="Arial" w:cs="Arial"/>
              </w:rPr>
            </w:pPr>
            <w:r w:rsidRPr="001C797E">
              <w:rPr>
                <w:rFonts w:ascii="Arial" w:hAnsi="Arial" w:cs="Arial"/>
                <w:color w:val="000000"/>
              </w:rPr>
              <w:t>145</w:t>
            </w:r>
          </w:p>
        </w:tc>
        <w:tc>
          <w:tcPr>
            <w:tcW w:w="1686" w:type="dxa"/>
            <w:shd w:val="clear" w:color="auto" w:fill="auto"/>
            <w:vAlign w:val="center"/>
          </w:tcPr>
          <w:p w:rsidR="008A6EAC" w:rsidRPr="001C797E" w:rsidRDefault="008A6EAC" w:rsidP="007F2707">
            <w:pPr>
              <w:jc w:val="center"/>
              <w:rPr>
                <w:rFonts w:ascii="Arial" w:hAnsi="Arial" w:cs="Arial"/>
              </w:rPr>
            </w:pPr>
            <w:r w:rsidRPr="001C797E">
              <w:rPr>
                <w:rFonts w:ascii="Arial" w:hAnsi="Arial" w:cs="Arial"/>
                <w:color w:val="000000"/>
              </w:rPr>
              <w:t>165</w:t>
            </w:r>
          </w:p>
        </w:tc>
        <w:tc>
          <w:tcPr>
            <w:tcW w:w="1686" w:type="dxa"/>
            <w:shd w:val="clear" w:color="auto" w:fill="auto"/>
            <w:vAlign w:val="center"/>
          </w:tcPr>
          <w:p w:rsidR="008A6EAC" w:rsidRPr="001C797E" w:rsidRDefault="008A6EAC" w:rsidP="007F2707">
            <w:pPr>
              <w:jc w:val="center"/>
              <w:rPr>
                <w:rFonts w:ascii="Arial" w:hAnsi="Arial" w:cs="Arial"/>
              </w:rPr>
            </w:pPr>
            <w:r w:rsidRPr="001C797E">
              <w:rPr>
                <w:rFonts w:ascii="Arial" w:hAnsi="Arial" w:cs="Arial"/>
                <w:color w:val="000000"/>
              </w:rPr>
              <w:t>185</w:t>
            </w:r>
          </w:p>
        </w:tc>
      </w:tr>
    </w:tbl>
    <w:p w:rsidR="008A6EAC" w:rsidRDefault="008A6EAC" w:rsidP="008A6EAC">
      <w:pPr>
        <w:jc w:val="both"/>
      </w:pPr>
      <w:r>
        <w:t xml:space="preserve">         </w:t>
      </w:r>
    </w:p>
    <w:p w:rsidR="008A6EAC" w:rsidRDefault="008A6EAC" w:rsidP="008A6EAC">
      <w:pPr>
        <w:ind w:firstLine="708"/>
        <w:jc w:val="both"/>
        <w:rPr>
          <w:rFonts w:ascii="Arial" w:hAnsi="Arial" w:cs="Arial"/>
        </w:rPr>
      </w:pPr>
      <w:r>
        <w:rPr>
          <w:rFonts w:ascii="Arial" w:hAnsi="Arial" w:cs="Arial"/>
        </w:rPr>
        <w:t>El entorno de realidad virtual y el TOOLBOX de MATLAB se utilizaron para reproducir los movimientos del robot al terminar de entrenar la RNA como se muestra en el Algoritmo 1. Esta estrategia de control se ejecuta con un SCRIPT el cual envía los movimientos utilizando el protocolo serial y se implementó en un computador con 4Gb de memoria RAM y un procesador Intel Pentium Core I3. Finalmente, se realizaron las pruebas del robot en tres configuraciones de entorno diferente (Figura 4).</w:t>
      </w:r>
    </w:p>
    <w:p w:rsidR="008A6EAC" w:rsidRDefault="008A6EAC" w:rsidP="008A6EAC">
      <w:pPr>
        <w:jc w:val="both"/>
        <w:rPr>
          <w:rFonts w:ascii="Arial" w:hAnsi="Arial" w:cs="Arial"/>
        </w:rPr>
      </w:pPr>
    </w:p>
    <w:p w:rsidR="008A6EAC" w:rsidRPr="00CC008A" w:rsidRDefault="008A6EAC" w:rsidP="008A6EAC">
      <w:pPr>
        <w:numPr>
          <w:ilvl w:val="0"/>
          <w:numId w:val="1"/>
        </w:numPr>
        <w:tabs>
          <w:tab w:val="clear" w:pos="432"/>
          <w:tab w:val="num" w:pos="0"/>
        </w:tabs>
        <w:suppressAutoHyphens/>
        <w:spacing w:after="0" w:line="360" w:lineRule="auto"/>
        <w:ind w:left="0" w:firstLine="0"/>
        <w:jc w:val="center"/>
        <w:rPr>
          <w:rFonts w:ascii="Arial" w:eastAsia="Times New Roman" w:hAnsi="Arial" w:cs="Arial"/>
          <w:bCs/>
          <w:i/>
          <w:noProof/>
          <w:sz w:val="20"/>
          <w:szCs w:val="20"/>
          <w:lang w:eastAsia="en-GB"/>
        </w:rPr>
      </w:pPr>
      <w:r>
        <w:rPr>
          <w:rFonts w:ascii="Arial" w:eastAsia="Times New Roman" w:hAnsi="Arial" w:cs="Arial"/>
          <w:bCs/>
          <w:i/>
          <w:noProof/>
          <w:sz w:val="20"/>
          <w:szCs w:val="20"/>
          <w:lang w:eastAsia="en-GB"/>
        </w:rPr>
        <w:t>Algoritmo</w:t>
      </w:r>
      <w:r w:rsidRPr="0066532E">
        <w:rPr>
          <w:rFonts w:ascii="Arial" w:eastAsia="Times New Roman" w:hAnsi="Arial" w:cs="Arial"/>
          <w:bCs/>
          <w:i/>
          <w:noProof/>
          <w:sz w:val="20"/>
          <w:szCs w:val="20"/>
          <w:lang w:eastAsia="en-GB"/>
        </w:rPr>
        <w:t xml:space="preserve"> 1. </w:t>
      </w:r>
      <w:r>
        <w:rPr>
          <w:rFonts w:ascii="Arial" w:eastAsia="Times New Roman" w:hAnsi="Arial" w:cs="Arial"/>
          <w:bCs/>
          <w:i/>
          <w:noProof/>
          <w:sz w:val="20"/>
          <w:szCs w:val="20"/>
          <w:lang w:eastAsia="en-GB"/>
        </w:rPr>
        <w:t>Esquema de control utilizado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4"/>
      </w:tblGrid>
      <w:tr w:rsidR="008A6EAC" w:rsidRPr="001C797E" w:rsidTr="007F2707">
        <w:tc>
          <w:tcPr>
            <w:tcW w:w="10112" w:type="dxa"/>
            <w:shd w:val="clear" w:color="auto" w:fill="auto"/>
          </w:tcPr>
          <w:p w:rsidR="008A6EAC" w:rsidRPr="001C797E" w:rsidRDefault="008A6EAC" w:rsidP="007F2707">
            <w:pPr>
              <w:spacing w:line="276" w:lineRule="auto"/>
              <w:rPr>
                <w:rFonts w:ascii="Arial" w:eastAsia="Times New Roman" w:hAnsi="Arial" w:cs="Arial"/>
                <w:sz w:val="22"/>
                <w:szCs w:val="22"/>
                <w:lang w:val="es-CO"/>
              </w:rPr>
            </w:pPr>
            <w:r w:rsidRPr="001C797E">
              <w:rPr>
                <w:rFonts w:ascii="Arial" w:eastAsia="Times New Roman" w:hAnsi="Arial" w:cs="Arial"/>
                <w:b/>
                <w:sz w:val="22"/>
                <w:szCs w:val="22"/>
                <w:lang w:val="es-CO"/>
              </w:rPr>
              <w:t>Función</w:t>
            </w:r>
            <w:r w:rsidRPr="001C797E">
              <w:rPr>
                <w:rFonts w:ascii="Arial" w:eastAsia="Times New Roman" w:hAnsi="Arial" w:cs="Arial"/>
                <w:sz w:val="22"/>
                <w:szCs w:val="22"/>
                <w:lang w:val="es-CO"/>
              </w:rPr>
              <w:t xml:space="preserve"> RNA (Margen de error)</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Iniciar variables ()</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Umbral=4*10^-8</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Iniciar RNA ()</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Iniciar pesos de la RNA ()</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Establecer la función de activación en la RNA ()</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Expandir capas ocultas de la RNA ()</w:t>
            </w:r>
          </w:p>
          <w:p w:rsidR="008A6EAC" w:rsidRPr="001C797E" w:rsidRDefault="008A6EAC" w:rsidP="007F2707">
            <w:pPr>
              <w:spacing w:line="276" w:lineRule="auto"/>
              <w:ind w:left="227"/>
              <w:rPr>
                <w:rFonts w:ascii="Arial" w:eastAsia="Times New Roman" w:hAnsi="Arial" w:cs="Arial"/>
                <w:b/>
                <w:sz w:val="22"/>
                <w:szCs w:val="22"/>
                <w:lang w:val="es-CO"/>
              </w:rPr>
            </w:pPr>
            <w:r w:rsidRPr="001C797E">
              <w:rPr>
                <w:rFonts w:ascii="Arial" w:eastAsia="Times New Roman" w:hAnsi="Arial" w:cs="Arial"/>
                <w:b/>
                <w:sz w:val="22"/>
                <w:szCs w:val="22"/>
                <w:lang w:val="es-CO"/>
              </w:rPr>
              <w:t xml:space="preserve">Mientras </w:t>
            </w:r>
            <w:r w:rsidRPr="001C797E">
              <w:rPr>
                <w:rFonts w:ascii="Arial" w:eastAsia="Times New Roman" w:hAnsi="Arial" w:cs="Arial"/>
                <w:sz w:val="22"/>
                <w:szCs w:val="22"/>
                <w:lang w:val="es-CO"/>
              </w:rPr>
              <w:t xml:space="preserve">Umbral </w:t>
            </w:r>
            <w:r w:rsidRPr="001C797E">
              <w:rPr>
                <w:rFonts w:ascii="Arial" w:eastAsia="Times New Roman" w:hAnsi="Arial" w:cs="Arial"/>
                <w:b/>
                <w:sz w:val="22"/>
                <w:szCs w:val="22"/>
                <w:lang w:val="es-CO"/>
              </w:rPr>
              <w:t xml:space="preserve">menor que el </w:t>
            </w:r>
            <w:r w:rsidRPr="001C797E">
              <w:rPr>
                <w:rFonts w:ascii="Arial" w:eastAsia="Times New Roman" w:hAnsi="Arial" w:cs="Arial"/>
                <w:sz w:val="22"/>
                <w:szCs w:val="22"/>
                <w:lang w:val="es-CO"/>
              </w:rPr>
              <w:t xml:space="preserve">Margen de error </w:t>
            </w:r>
            <w:r w:rsidRPr="001C797E">
              <w:rPr>
                <w:rFonts w:ascii="Arial" w:eastAsia="Times New Roman" w:hAnsi="Arial" w:cs="Arial"/>
                <w:b/>
                <w:sz w:val="22"/>
                <w:szCs w:val="22"/>
                <w:lang w:val="es-CO"/>
              </w:rPr>
              <w:t>haga</w:t>
            </w:r>
          </w:p>
          <w:p w:rsidR="008A6EAC" w:rsidRPr="001C797E" w:rsidRDefault="008A6EAC" w:rsidP="007F2707">
            <w:pPr>
              <w:spacing w:line="276" w:lineRule="auto"/>
              <w:ind w:left="454"/>
              <w:rPr>
                <w:rFonts w:ascii="Arial" w:eastAsia="Times New Roman" w:hAnsi="Arial" w:cs="Arial"/>
                <w:sz w:val="22"/>
                <w:szCs w:val="22"/>
                <w:lang w:val="es-CO"/>
              </w:rPr>
            </w:pPr>
            <w:r w:rsidRPr="001C797E">
              <w:rPr>
                <w:rFonts w:ascii="Arial" w:eastAsia="Times New Roman" w:hAnsi="Arial" w:cs="Arial"/>
                <w:sz w:val="22"/>
                <w:szCs w:val="22"/>
                <w:lang w:val="es-CO"/>
              </w:rPr>
              <w:t>Optimice los pesos de la RNA ()</w:t>
            </w:r>
          </w:p>
          <w:p w:rsidR="008A6EAC" w:rsidRPr="001C797E" w:rsidRDefault="008A6EAC" w:rsidP="007F2707">
            <w:pPr>
              <w:spacing w:line="276" w:lineRule="auto"/>
              <w:ind w:left="454"/>
              <w:rPr>
                <w:rFonts w:ascii="Arial" w:eastAsia="Times New Roman" w:hAnsi="Arial" w:cs="Arial"/>
                <w:sz w:val="22"/>
                <w:szCs w:val="22"/>
                <w:lang w:val="es-CO"/>
              </w:rPr>
            </w:pPr>
            <w:r w:rsidRPr="001C797E">
              <w:rPr>
                <w:rFonts w:ascii="Arial" w:eastAsia="Times New Roman" w:hAnsi="Arial" w:cs="Arial"/>
                <w:sz w:val="22"/>
                <w:szCs w:val="22"/>
                <w:lang w:val="es-CO"/>
              </w:rPr>
              <w:lastRenderedPageBreak/>
              <w:t>Estime el margen de error</w:t>
            </w:r>
          </w:p>
          <w:p w:rsidR="008A6EAC" w:rsidRPr="001C797E" w:rsidRDefault="008A6EAC" w:rsidP="007F2707">
            <w:pPr>
              <w:spacing w:line="276" w:lineRule="auto"/>
              <w:ind w:left="227"/>
              <w:rPr>
                <w:rFonts w:ascii="Arial" w:eastAsia="Times New Roman" w:hAnsi="Arial" w:cs="Arial"/>
                <w:b/>
                <w:sz w:val="22"/>
                <w:szCs w:val="22"/>
                <w:lang w:val="es-CO"/>
              </w:rPr>
            </w:pPr>
            <w:r w:rsidRPr="001C797E">
              <w:rPr>
                <w:rFonts w:ascii="Arial" w:eastAsia="Times New Roman" w:hAnsi="Arial" w:cs="Arial"/>
                <w:b/>
                <w:sz w:val="22"/>
                <w:szCs w:val="22"/>
                <w:lang w:val="es-CO"/>
              </w:rPr>
              <w:t>Fin Mientras</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Exportar clase RNA ()</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Ejecute Simulador ()</w:t>
            </w:r>
          </w:p>
          <w:p w:rsidR="008A6EAC" w:rsidRPr="001C797E" w:rsidRDefault="008A6EAC" w:rsidP="007F2707">
            <w:pPr>
              <w:spacing w:line="276" w:lineRule="auto"/>
              <w:rPr>
                <w:rFonts w:ascii="Arial" w:eastAsia="Times New Roman" w:hAnsi="Arial" w:cs="Arial"/>
                <w:sz w:val="22"/>
                <w:szCs w:val="22"/>
                <w:lang w:val="es-CO"/>
              </w:rPr>
            </w:pPr>
            <w:r w:rsidRPr="001C797E">
              <w:rPr>
                <w:rFonts w:ascii="Arial" w:eastAsia="Times New Roman" w:hAnsi="Arial" w:cs="Arial"/>
                <w:b/>
                <w:sz w:val="22"/>
                <w:szCs w:val="22"/>
                <w:lang w:val="es-CO"/>
              </w:rPr>
              <w:t xml:space="preserve">Fin </w:t>
            </w:r>
            <w:r w:rsidRPr="001C797E">
              <w:rPr>
                <w:rFonts w:ascii="Arial" w:eastAsia="Times New Roman" w:hAnsi="Arial" w:cs="Arial"/>
                <w:sz w:val="22"/>
                <w:szCs w:val="22"/>
                <w:lang w:val="es-CO"/>
              </w:rPr>
              <w:t>RNA</w:t>
            </w:r>
          </w:p>
          <w:p w:rsidR="008A6EAC" w:rsidRPr="001C797E" w:rsidRDefault="008A6EAC" w:rsidP="007F2707">
            <w:pPr>
              <w:spacing w:line="276" w:lineRule="auto"/>
              <w:rPr>
                <w:rFonts w:ascii="Arial" w:eastAsia="Times New Roman" w:hAnsi="Arial" w:cs="Arial"/>
                <w:sz w:val="22"/>
                <w:szCs w:val="22"/>
                <w:lang w:val="es-CO"/>
              </w:rPr>
            </w:pPr>
            <w:r w:rsidRPr="001C797E">
              <w:rPr>
                <w:rFonts w:ascii="Arial" w:eastAsia="Times New Roman" w:hAnsi="Arial" w:cs="Arial"/>
                <w:b/>
                <w:sz w:val="22"/>
                <w:szCs w:val="22"/>
                <w:lang w:val="es-CO"/>
              </w:rPr>
              <w:t xml:space="preserve">Función </w:t>
            </w:r>
            <w:r w:rsidRPr="001C797E">
              <w:rPr>
                <w:rFonts w:ascii="Arial" w:eastAsia="Times New Roman" w:hAnsi="Arial" w:cs="Arial"/>
                <w:sz w:val="22"/>
                <w:szCs w:val="22"/>
                <w:lang w:val="es-CO"/>
              </w:rPr>
              <w:t>Simulador ()</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Cargar librerías ENTORNO DE REALIDAD VIRTUAL</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Cargar RNA</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Iniciar variables</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Iniciar puerto SERIE</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 xml:space="preserve">Crear hilo de </w:t>
            </w:r>
            <w:r w:rsidRPr="001C797E">
              <w:rPr>
                <w:rFonts w:ascii="Arial" w:eastAsia="Times New Roman" w:hAnsi="Arial" w:cs="Arial"/>
                <w:b/>
                <w:sz w:val="22"/>
                <w:szCs w:val="22"/>
                <w:lang w:val="es-CO"/>
              </w:rPr>
              <w:t>recepción</w:t>
            </w:r>
            <w:r w:rsidRPr="001C797E">
              <w:rPr>
                <w:rFonts w:ascii="Arial" w:eastAsia="Times New Roman" w:hAnsi="Arial" w:cs="Arial"/>
                <w:sz w:val="22"/>
                <w:szCs w:val="22"/>
                <w:lang w:val="es-CO"/>
              </w:rPr>
              <w:t xml:space="preserve"> del puerto de comunicación</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 xml:space="preserve">Crear hilo de </w:t>
            </w:r>
            <w:r w:rsidRPr="001C797E">
              <w:rPr>
                <w:rFonts w:ascii="Arial" w:eastAsia="Times New Roman" w:hAnsi="Arial" w:cs="Arial"/>
                <w:b/>
                <w:sz w:val="22"/>
                <w:szCs w:val="22"/>
                <w:lang w:val="es-CO"/>
              </w:rPr>
              <w:t>envió</w:t>
            </w:r>
            <w:r w:rsidRPr="001C797E">
              <w:rPr>
                <w:rFonts w:ascii="Arial" w:eastAsia="Times New Roman" w:hAnsi="Arial" w:cs="Arial"/>
                <w:sz w:val="22"/>
                <w:szCs w:val="22"/>
                <w:lang w:val="es-CO"/>
              </w:rPr>
              <w:t xml:space="preserve"> del puerto de comunicación</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Iniciar objetos de la interfaz grafica</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Iniciar RNA</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Ingrese Cantidad de Módulos</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Ingrese escenario</w:t>
            </w:r>
          </w:p>
          <w:p w:rsidR="008A6EAC" w:rsidRPr="001C797E" w:rsidRDefault="008A6EAC" w:rsidP="007F2707">
            <w:pPr>
              <w:spacing w:line="276" w:lineRule="auto"/>
              <w:ind w:left="227"/>
              <w:rPr>
                <w:rFonts w:ascii="Arial" w:eastAsia="Times New Roman" w:hAnsi="Arial" w:cs="Arial"/>
                <w:sz w:val="22"/>
                <w:szCs w:val="22"/>
                <w:lang w:val="es-CO"/>
              </w:rPr>
            </w:pPr>
            <w:r w:rsidRPr="001C797E">
              <w:rPr>
                <w:rFonts w:ascii="Arial" w:eastAsia="Times New Roman" w:hAnsi="Arial" w:cs="Arial"/>
                <w:sz w:val="22"/>
                <w:szCs w:val="22"/>
                <w:lang w:val="es-CO"/>
              </w:rPr>
              <w:t>Duración=0</w:t>
            </w:r>
          </w:p>
          <w:p w:rsidR="008A6EAC" w:rsidRPr="001C797E" w:rsidRDefault="008A6EAC" w:rsidP="007F2707">
            <w:pPr>
              <w:spacing w:line="276" w:lineRule="auto"/>
              <w:rPr>
                <w:rFonts w:ascii="Arial" w:eastAsia="Times New Roman" w:hAnsi="Arial" w:cs="Arial"/>
                <w:sz w:val="22"/>
                <w:szCs w:val="22"/>
                <w:lang w:val="es-CO"/>
              </w:rPr>
            </w:pPr>
            <w:r w:rsidRPr="001C797E">
              <w:rPr>
                <w:rFonts w:ascii="Arial" w:eastAsia="Times New Roman" w:hAnsi="Arial" w:cs="Arial"/>
                <w:sz w:val="22"/>
                <w:szCs w:val="22"/>
                <w:lang w:val="es-CO"/>
              </w:rPr>
              <w:t xml:space="preserve">    X=Posiciones angulares de los módulos = RNA (Escenario, Cantidad de Módulos)</w:t>
            </w:r>
          </w:p>
          <w:p w:rsidR="008A6EAC" w:rsidRPr="001C797E" w:rsidRDefault="008A6EAC" w:rsidP="007F2707">
            <w:pPr>
              <w:spacing w:line="276" w:lineRule="auto"/>
              <w:ind w:left="227"/>
              <w:rPr>
                <w:rFonts w:ascii="Arial" w:eastAsia="Times New Roman" w:hAnsi="Arial" w:cs="Arial"/>
                <w:b/>
                <w:sz w:val="22"/>
                <w:szCs w:val="22"/>
                <w:lang w:val="es-CO"/>
              </w:rPr>
            </w:pPr>
            <w:r w:rsidRPr="001C797E">
              <w:rPr>
                <w:rFonts w:ascii="Arial" w:eastAsia="Times New Roman" w:hAnsi="Arial" w:cs="Arial"/>
                <w:b/>
                <w:sz w:val="22"/>
                <w:szCs w:val="22"/>
                <w:lang w:val="es-CO"/>
              </w:rPr>
              <w:t xml:space="preserve">Mientras </w:t>
            </w:r>
            <w:r w:rsidRPr="001C797E">
              <w:rPr>
                <w:rFonts w:ascii="Arial" w:eastAsia="Times New Roman" w:hAnsi="Arial" w:cs="Arial"/>
                <w:sz w:val="22"/>
                <w:szCs w:val="22"/>
                <w:lang w:val="es-CO"/>
              </w:rPr>
              <w:t xml:space="preserve">Duración &lt; 1000 </w:t>
            </w:r>
            <w:r w:rsidRPr="001C797E">
              <w:rPr>
                <w:rFonts w:ascii="Arial" w:eastAsia="Times New Roman" w:hAnsi="Arial" w:cs="Arial"/>
                <w:b/>
                <w:bCs/>
                <w:sz w:val="22"/>
                <w:szCs w:val="22"/>
                <w:lang w:val="es-CO"/>
              </w:rPr>
              <w:t>haga</w:t>
            </w:r>
          </w:p>
          <w:p w:rsidR="008A6EAC" w:rsidRPr="001C797E" w:rsidRDefault="008A6EAC" w:rsidP="007F2707">
            <w:pPr>
              <w:spacing w:line="276" w:lineRule="auto"/>
              <w:ind w:left="454"/>
              <w:rPr>
                <w:rFonts w:ascii="Arial" w:eastAsia="Times New Roman" w:hAnsi="Arial" w:cs="Arial"/>
                <w:sz w:val="22"/>
                <w:szCs w:val="22"/>
                <w:lang w:val="es-CO"/>
              </w:rPr>
            </w:pPr>
            <w:r w:rsidRPr="001C797E">
              <w:rPr>
                <w:rFonts w:ascii="Arial" w:eastAsia="Times New Roman" w:hAnsi="Arial" w:cs="Arial"/>
                <w:sz w:val="22"/>
                <w:szCs w:val="22"/>
                <w:lang w:val="es-CO"/>
              </w:rPr>
              <w:t xml:space="preserve"> Enviar por puerto serie (X [Duración])</w:t>
            </w:r>
          </w:p>
          <w:p w:rsidR="008A6EAC" w:rsidRPr="001C797E" w:rsidRDefault="008A6EAC" w:rsidP="007F2707">
            <w:pPr>
              <w:spacing w:line="276" w:lineRule="auto"/>
              <w:ind w:left="454"/>
              <w:rPr>
                <w:rFonts w:ascii="Arial" w:eastAsia="Times New Roman" w:hAnsi="Arial" w:cs="Arial"/>
                <w:sz w:val="22"/>
                <w:szCs w:val="22"/>
                <w:lang w:val="es-CO"/>
              </w:rPr>
            </w:pPr>
            <w:r w:rsidRPr="001C797E">
              <w:rPr>
                <w:rFonts w:ascii="Arial" w:eastAsia="Times New Roman" w:hAnsi="Arial" w:cs="Arial"/>
                <w:sz w:val="22"/>
                <w:szCs w:val="22"/>
                <w:lang w:val="es-CO"/>
              </w:rPr>
              <w:t xml:space="preserve"> Enviar a entorno de realidad virtual (X [Duración])</w:t>
            </w:r>
          </w:p>
          <w:p w:rsidR="008A6EAC" w:rsidRPr="001C797E" w:rsidRDefault="008A6EAC" w:rsidP="007F2707">
            <w:pPr>
              <w:spacing w:line="276" w:lineRule="auto"/>
              <w:ind w:left="454"/>
              <w:rPr>
                <w:rFonts w:ascii="Arial" w:eastAsia="Times New Roman" w:hAnsi="Arial" w:cs="Arial"/>
                <w:sz w:val="22"/>
                <w:szCs w:val="22"/>
                <w:lang w:val="es-CO"/>
              </w:rPr>
            </w:pPr>
            <w:r w:rsidRPr="001C797E">
              <w:rPr>
                <w:rFonts w:ascii="Arial" w:eastAsia="Times New Roman" w:hAnsi="Arial" w:cs="Arial"/>
                <w:sz w:val="22"/>
                <w:szCs w:val="22"/>
                <w:lang w:val="es-CO"/>
              </w:rPr>
              <w:t xml:space="preserve"> Ejecute la rutina de movimiento durante 100 milisegundos</w:t>
            </w:r>
          </w:p>
          <w:p w:rsidR="008A6EAC" w:rsidRPr="001C797E" w:rsidRDefault="008A6EAC" w:rsidP="007F2707">
            <w:pPr>
              <w:spacing w:line="276" w:lineRule="auto"/>
              <w:ind w:left="454"/>
              <w:rPr>
                <w:rFonts w:ascii="Arial" w:eastAsia="Times New Roman" w:hAnsi="Arial" w:cs="Arial"/>
                <w:sz w:val="22"/>
                <w:szCs w:val="22"/>
                <w:lang w:val="es-CO"/>
              </w:rPr>
            </w:pPr>
            <w:r w:rsidRPr="001C797E">
              <w:rPr>
                <w:rFonts w:ascii="Arial" w:eastAsia="Times New Roman" w:hAnsi="Arial" w:cs="Arial"/>
                <w:sz w:val="22"/>
                <w:szCs w:val="22"/>
                <w:lang w:val="es-CO"/>
              </w:rPr>
              <w:t xml:space="preserve"> Duración++</w:t>
            </w:r>
          </w:p>
          <w:p w:rsidR="008A6EAC" w:rsidRPr="001C797E" w:rsidRDefault="008A6EAC" w:rsidP="007F2707">
            <w:pPr>
              <w:jc w:val="both"/>
              <w:rPr>
                <w:rFonts w:ascii="Arial" w:hAnsi="Arial" w:cs="Arial"/>
              </w:rPr>
            </w:pPr>
            <w:r w:rsidRPr="001C797E">
              <w:rPr>
                <w:rFonts w:ascii="Arial" w:eastAsia="Times New Roman" w:hAnsi="Arial" w:cs="Arial"/>
                <w:b/>
                <w:sz w:val="22"/>
                <w:szCs w:val="22"/>
                <w:lang w:val="es-CO"/>
              </w:rPr>
              <w:t xml:space="preserve">    Fin Mientras</w:t>
            </w:r>
          </w:p>
        </w:tc>
      </w:tr>
    </w:tbl>
    <w:p w:rsidR="008A6EAC" w:rsidRDefault="008A6EAC" w:rsidP="008A6EAC">
      <w:pPr>
        <w:jc w:val="both"/>
        <w:rPr>
          <w:rFonts w:ascii="Arial" w:hAnsi="Arial" w:cs="Arial"/>
        </w:rPr>
      </w:pPr>
    </w:p>
    <w:tbl>
      <w:tblPr>
        <w:tblW w:w="0" w:type="auto"/>
        <w:tblLook w:val="04A0" w:firstRow="1" w:lastRow="0" w:firstColumn="1" w:lastColumn="0" w:noHBand="0" w:noVBand="1"/>
      </w:tblPr>
      <w:tblGrid>
        <w:gridCol w:w="2970"/>
        <w:gridCol w:w="3076"/>
        <w:gridCol w:w="3358"/>
      </w:tblGrid>
      <w:tr w:rsidR="008A6EAC" w:rsidRPr="001C797E" w:rsidTr="007F2707">
        <w:tc>
          <w:tcPr>
            <w:tcW w:w="3370" w:type="dxa"/>
            <w:shd w:val="clear" w:color="auto" w:fill="auto"/>
          </w:tcPr>
          <w:p w:rsidR="008A6EAC" w:rsidRPr="001C797E" w:rsidRDefault="008A6EAC" w:rsidP="007F2707">
            <w:pPr>
              <w:jc w:val="center"/>
              <w:rPr>
                <w:rFonts w:ascii="Arial" w:hAnsi="Arial" w:cs="Arial"/>
              </w:rPr>
            </w:pPr>
            <w:r w:rsidRPr="003D0BA6">
              <w:rPr>
                <w:noProof/>
                <w:lang w:val="en-US"/>
              </w:rPr>
              <w:lastRenderedPageBreak/>
              <w:drawing>
                <wp:inline distT="0" distB="0" distL="0" distR="0" wp14:anchorId="266A5D3E" wp14:editId="5987DAB4">
                  <wp:extent cx="1066800" cy="1466850"/>
                  <wp:effectExtent l="0" t="0" r="0" b="0"/>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08" cstate="print">
                            <a:extLst>
                              <a:ext uri="{28A0092B-C50C-407E-A947-70E740481C1C}">
                                <a14:useLocalDpi xmlns:a14="http://schemas.microsoft.com/office/drawing/2010/main" val="0"/>
                              </a:ext>
                            </a:extLst>
                          </a:blip>
                          <a:srcRect l="39699" t="16043" r="38701" b="32353"/>
                          <a:stretch>
                            <a:fillRect/>
                          </a:stretch>
                        </pic:blipFill>
                        <pic:spPr bwMode="auto">
                          <a:xfrm>
                            <a:off x="0" y="0"/>
                            <a:ext cx="1066800" cy="1466850"/>
                          </a:xfrm>
                          <a:prstGeom prst="rect">
                            <a:avLst/>
                          </a:prstGeom>
                          <a:noFill/>
                          <a:ln>
                            <a:noFill/>
                          </a:ln>
                        </pic:spPr>
                      </pic:pic>
                    </a:graphicData>
                  </a:graphic>
                </wp:inline>
              </w:drawing>
            </w:r>
          </w:p>
        </w:tc>
        <w:tc>
          <w:tcPr>
            <w:tcW w:w="3371" w:type="dxa"/>
            <w:shd w:val="clear" w:color="auto" w:fill="auto"/>
          </w:tcPr>
          <w:p w:rsidR="008A6EAC" w:rsidRPr="001C797E" w:rsidRDefault="008A6EAC" w:rsidP="007F2707">
            <w:pPr>
              <w:jc w:val="center"/>
              <w:rPr>
                <w:rFonts w:ascii="Arial" w:hAnsi="Arial" w:cs="Arial"/>
              </w:rPr>
            </w:pPr>
            <w:r w:rsidRPr="003D0BA6">
              <w:rPr>
                <w:noProof/>
                <w:lang w:val="en-US"/>
              </w:rPr>
              <w:drawing>
                <wp:inline distT="0" distB="0" distL="0" distR="0" wp14:anchorId="4BDE1AA9" wp14:editId="22B1951F">
                  <wp:extent cx="1314450" cy="1466850"/>
                  <wp:effectExtent l="0" t="0" r="0" b="0"/>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09" cstate="print">
                            <a:extLst>
                              <a:ext uri="{28A0092B-C50C-407E-A947-70E740481C1C}">
                                <a14:useLocalDpi xmlns:a14="http://schemas.microsoft.com/office/drawing/2010/main" val="0"/>
                              </a:ext>
                            </a:extLst>
                          </a:blip>
                          <a:srcRect l="35037" t="31284" r="35489" b="10161"/>
                          <a:stretch>
                            <a:fillRect/>
                          </a:stretch>
                        </pic:blipFill>
                        <pic:spPr bwMode="auto">
                          <a:xfrm>
                            <a:off x="0" y="0"/>
                            <a:ext cx="1314450" cy="1466850"/>
                          </a:xfrm>
                          <a:prstGeom prst="rect">
                            <a:avLst/>
                          </a:prstGeom>
                          <a:noFill/>
                          <a:ln>
                            <a:noFill/>
                          </a:ln>
                        </pic:spPr>
                      </pic:pic>
                    </a:graphicData>
                  </a:graphic>
                </wp:inline>
              </w:drawing>
            </w:r>
          </w:p>
        </w:tc>
        <w:tc>
          <w:tcPr>
            <w:tcW w:w="3371" w:type="dxa"/>
            <w:shd w:val="clear" w:color="auto" w:fill="auto"/>
          </w:tcPr>
          <w:p w:rsidR="008A6EAC" w:rsidRPr="001C797E" w:rsidRDefault="008A6EAC" w:rsidP="007F2707">
            <w:pPr>
              <w:jc w:val="both"/>
              <w:rPr>
                <w:rFonts w:ascii="Arial" w:hAnsi="Arial" w:cs="Arial"/>
              </w:rPr>
            </w:pPr>
            <w:r>
              <w:object w:dxaOrig="9900" w:dyaOrig="6060">
                <v:shape id="_x0000_i1417" type="#_x0000_t75" style="width:158.4pt;height:93.6pt" o:ole="">
                  <v:imagedata r:id="rId1010" o:title=""/>
                </v:shape>
                <o:OLEObject Type="Embed" ProgID="PBrush" ShapeID="_x0000_i1417" DrawAspect="Content" ObjectID="_1660649514" r:id="rId1011"/>
              </w:object>
            </w:r>
          </w:p>
        </w:tc>
      </w:tr>
      <w:tr w:rsidR="008A6EAC" w:rsidRPr="001C797E" w:rsidTr="007F2707">
        <w:tc>
          <w:tcPr>
            <w:tcW w:w="3370" w:type="dxa"/>
            <w:shd w:val="clear" w:color="auto" w:fill="auto"/>
          </w:tcPr>
          <w:p w:rsidR="008A6EAC" w:rsidRPr="006A6482" w:rsidRDefault="008A6EAC" w:rsidP="007F2707">
            <w:pPr>
              <w:jc w:val="center"/>
              <w:rPr>
                <w:rFonts w:ascii="Arial" w:hAnsi="Arial" w:cs="Arial"/>
                <w:sz w:val="20"/>
                <w:szCs w:val="20"/>
              </w:rPr>
            </w:pPr>
            <w:r w:rsidRPr="006A6482">
              <w:rPr>
                <w:rFonts w:ascii="Arial" w:hAnsi="Arial" w:cs="Arial"/>
                <w:sz w:val="20"/>
                <w:szCs w:val="20"/>
              </w:rPr>
              <w:t>(a)</w:t>
            </w:r>
          </w:p>
        </w:tc>
        <w:tc>
          <w:tcPr>
            <w:tcW w:w="3371" w:type="dxa"/>
            <w:shd w:val="clear" w:color="auto" w:fill="auto"/>
          </w:tcPr>
          <w:p w:rsidR="008A6EAC" w:rsidRPr="006A6482" w:rsidRDefault="008A6EAC" w:rsidP="007F2707">
            <w:pPr>
              <w:jc w:val="center"/>
              <w:rPr>
                <w:rFonts w:ascii="Arial" w:hAnsi="Arial" w:cs="Arial"/>
                <w:sz w:val="20"/>
                <w:szCs w:val="20"/>
              </w:rPr>
            </w:pPr>
            <w:r w:rsidRPr="006A6482">
              <w:rPr>
                <w:rFonts w:ascii="Arial" w:hAnsi="Arial" w:cs="Arial"/>
                <w:sz w:val="20"/>
                <w:szCs w:val="20"/>
              </w:rPr>
              <w:t>(b)</w:t>
            </w:r>
          </w:p>
        </w:tc>
        <w:tc>
          <w:tcPr>
            <w:tcW w:w="3371" w:type="dxa"/>
            <w:shd w:val="clear" w:color="auto" w:fill="auto"/>
          </w:tcPr>
          <w:p w:rsidR="008A6EAC" w:rsidRPr="006A6482" w:rsidRDefault="008A6EAC" w:rsidP="007F2707">
            <w:pPr>
              <w:jc w:val="center"/>
              <w:rPr>
                <w:rFonts w:ascii="Arial" w:hAnsi="Arial" w:cs="Arial"/>
                <w:sz w:val="20"/>
                <w:szCs w:val="20"/>
              </w:rPr>
            </w:pPr>
            <w:r w:rsidRPr="006A6482">
              <w:rPr>
                <w:rFonts w:ascii="Arial" w:hAnsi="Arial" w:cs="Arial"/>
                <w:sz w:val="20"/>
                <w:szCs w:val="20"/>
              </w:rPr>
              <w:t>(c)</w:t>
            </w:r>
          </w:p>
        </w:tc>
      </w:tr>
    </w:tbl>
    <w:p w:rsidR="008A6EAC" w:rsidRPr="00CC008A" w:rsidRDefault="008A6EAC" w:rsidP="008A6EAC">
      <w:pPr>
        <w:numPr>
          <w:ilvl w:val="0"/>
          <w:numId w:val="1"/>
        </w:numPr>
        <w:tabs>
          <w:tab w:val="clear" w:pos="432"/>
          <w:tab w:val="num" w:pos="0"/>
        </w:tabs>
        <w:suppressAutoHyphens/>
        <w:spacing w:after="0" w:line="240" w:lineRule="auto"/>
        <w:ind w:left="0" w:firstLine="0"/>
        <w:jc w:val="center"/>
        <w:rPr>
          <w:rFonts w:ascii="Arial" w:eastAsia="Times New Roman" w:hAnsi="Arial" w:cs="Arial"/>
          <w:bCs/>
          <w:i/>
          <w:noProof/>
          <w:sz w:val="20"/>
          <w:szCs w:val="20"/>
          <w:lang w:eastAsia="en-GB"/>
        </w:rPr>
      </w:pPr>
      <w:r>
        <w:rPr>
          <w:rFonts w:ascii="Arial" w:eastAsia="Times New Roman" w:hAnsi="Arial" w:cs="Arial"/>
          <w:bCs/>
          <w:i/>
          <w:noProof/>
          <w:sz w:val="20"/>
          <w:szCs w:val="20"/>
          <w:lang w:eastAsia="en-GB"/>
        </w:rPr>
        <w:t>Figura 4</w:t>
      </w:r>
      <w:r w:rsidRPr="0066532E">
        <w:rPr>
          <w:rFonts w:ascii="Arial" w:eastAsia="Times New Roman" w:hAnsi="Arial" w:cs="Arial"/>
          <w:bCs/>
          <w:i/>
          <w:noProof/>
          <w:sz w:val="20"/>
          <w:szCs w:val="20"/>
          <w:lang w:eastAsia="en-GB"/>
        </w:rPr>
        <w:t xml:space="preserve">. </w:t>
      </w:r>
      <w:r>
        <w:rPr>
          <w:rFonts w:ascii="Arial" w:eastAsia="Times New Roman" w:hAnsi="Arial" w:cs="Arial"/>
          <w:bCs/>
          <w:i/>
          <w:noProof/>
          <w:sz w:val="20"/>
          <w:szCs w:val="20"/>
          <w:lang w:eastAsia="en-GB"/>
        </w:rPr>
        <w:t>Entornos usados para probar el algoritmo de control  (a) Pasillo recto, (b) En forma de ele y (c) Obstaculo</w:t>
      </w:r>
    </w:p>
    <w:p w:rsidR="008A6EAC" w:rsidRDefault="008A6EAC" w:rsidP="008A6EAC">
      <w:pPr>
        <w:pStyle w:val="1Titulo"/>
        <w:numPr>
          <w:ilvl w:val="0"/>
          <w:numId w:val="0"/>
        </w:numPr>
        <w:ind w:left="357"/>
      </w:pPr>
      <w:bookmarkStart w:id="255" w:name="_Toc50031328"/>
      <w:r>
        <w:t>4. Resultados y discusión</w:t>
      </w:r>
      <w:bookmarkEnd w:id="255"/>
    </w:p>
    <w:p w:rsidR="008A6EAC" w:rsidRDefault="008A6EAC" w:rsidP="008A6EAC">
      <w:pPr>
        <w:jc w:val="both"/>
        <w:rPr>
          <w:rFonts w:ascii="Arial" w:hAnsi="Arial" w:cs="Arial"/>
        </w:rPr>
      </w:pPr>
      <w:r>
        <w:t xml:space="preserve">         </w:t>
      </w:r>
      <w:r>
        <w:rPr>
          <w:rFonts w:ascii="Arial" w:hAnsi="Arial" w:cs="Arial"/>
        </w:rPr>
        <w:t>Al combinar la RNA con el simulador se obtuvieron movimientos cercanos a los proyectados en la base de datos, los cuales permiten al robot desplazarse en los entornos propuestos de forma virtual y real como se muestra en la Figura 5. Además, otro resultado importante se ve reflejado en las gráficas de la Figura 6, ya que muestran el comportamiento de la RNA durante su entrenamiento y el margen de error entre los datos de entrenamiento y los datos reales.</w:t>
      </w:r>
    </w:p>
    <w:tbl>
      <w:tblPr>
        <w:tblW w:w="0" w:type="auto"/>
        <w:tblLook w:val="04A0" w:firstRow="1" w:lastRow="0" w:firstColumn="1" w:lastColumn="0" w:noHBand="0" w:noVBand="1"/>
      </w:tblPr>
      <w:tblGrid>
        <w:gridCol w:w="4816"/>
        <w:gridCol w:w="4588"/>
      </w:tblGrid>
      <w:tr w:rsidR="008A6EAC" w:rsidRPr="001C797E" w:rsidTr="007F2707">
        <w:tc>
          <w:tcPr>
            <w:tcW w:w="5056" w:type="dxa"/>
            <w:shd w:val="clear" w:color="auto" w:fill="auto"/>
          </w:tcPr>
          <w:p w:rsidR="008A6EAC" w:rsidRPr="001C797E" w:rsidRDefault="008A6EAC" w:rsidP="007F2707">
            <w:pPr>
              <w:jc w:val="center"/>
              <w:rPr>
                <w:rFonts w:ascii="Arial" w:hAnsi="Arial" w:cs="Arial"/>
              </w:rPr>
            </w:pPr>
            <w:r w:rsidRPr="003D0BA6">
              <w:rPr>
                <w:noProof/>
                <w:lang w:val="en-US"/>
              </w:rPr>
              <w:drawing>
                <wp:inline distT="0" distB="0" distL="0" distR="0" wp14:anchorId="11B283EE" wp14:editId="087C07BF">
                  <wp:extent cx="2600325" cy="1409700"/>
                  <wp:effectExtent l="0" t="0" r="9525" b="0"/>
                  <wp:docPr id="420" name="Imagen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12">
                            <a:extLst>
                              <a:ext uri="{28A0092B-C50C-407E-A947-70E740481C1C}">
                                <a14:useLocalDpi xmlns:a14="http://schemas.microsoft.com/office/drawing/2010/main" val="0"/>
                              </a:ext>
                            </a:extLst>
                          </a:blip>
                          <a:srcRect l="32933" t="38503" r="34509" b="29947"/>
                          <a:stretch>
                            <a:fillRect/>
                          </a:stretch>
                        </pic:blipFill>
                        <pic:spPr bwMode="auto">
                          <a:xfrm>
                            <a:off x="0" y="0"/>
                            <a:ext cx="2600325" cy="1409700"/>
                          </a:xfrm>
                          <a:prstGeom prst="rect">
                            <a:avLst/>
                          </a:prstGeom>
                          <a:noFill/>
                          <a:ln>
                            <a:noFill/>
                          </a:ln>
                        </pic:spPr>
                      </pic:pic>
                    </a:graphicData>
                  </a:graphic>
                </wp:inline>
              </w:drawing>
            </w:r>
          </w:p>
        </w:tc>
        <w:tc>
          <w:tcPr>
            <w:tcW w:w="5056" w:type="dxa"/>
            <w:shd w:val="clear" w:color="auto" w:fill="auto"/>
          </w:tcPr>
          <w:p w:rsidR="008A6EAC" w:rsidRPr="001C797E" w:rsidRDefault="008A6EAC" w:rsidP="007F2707">
            <w:pPr>
              <w:jc w:val="center"/>
              <w:rPr>
                <w:rFonts w:ascii="Arial" w:hAnsi="Arial" w:cs="Arial"/>
              </w:rPr>
            </w:pPr>
            <w:r w:rsidRPr="003D0BA6">
              <w:rPr>
                <w:noProof/>
                <w:lang w:val="en-US"/>
              </w:rPr>
              <w:drawing>
                <wp:inline distT="0" distB="0" distL="0" distR="0" wp14:anchorId="1941EC67" wp14:editId="1116DFDF">
                  <wp:extent cx="2171700" cy="1400175"/>
                  <wp:effectExtent l="0" t="0" r="0" b="9525"/>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13" cstate="print">
                            <a:extLst>
                              <a:ext uri="{28A0092B-C50C-407E-A947-70E740481C1C}">
                                <a14:useLocalDpi xmlns:a14="http://schemas.microsoft.com/office/drawing/2010/main" val="0"/>
                              </a:ext>
                            </a:extLst>
                          </a:blip>
                          <a:srcRect l="20300" t="12834" r="20451" b="19252"/>
                          <a:stretch>
                            <a:fillRect/>
                          </a:stretch>
                        </pic:blipFill>
                        <pic:spPr bwMode="auto">
                          <a:xfrm>
                            <a:off x="0" y="0"/>
                            <a:ext cx="2171700" cy="1400175"/>
                          </a:xfrm>
                          <a:prstGeom prst="rect">
                            <a:avLst/>
                          </a:prstGeom>
                          <a:noFill/>
                          <a:ln>
                            <a:noFill/>
                          </a:ln>
                        </pic:spPr>
                      </pic:pic>
                    </a:graphicData>
                  </a:graphic>
                </wp:inline>
              </w:drawing>
            </w:r>
          </w:p>
        </w:tc>
      </w:tr>
      <w:tr w:rsidR="008A6EAC" w:rsidRPr="001C797E" w:rsidTr="007F2707">
        <w:tc>
          <w:tcPr>
            <w:tcW w:w="5056" w:type="dxa"/>
            <w:shd w:val="clear" w:color="auto" w:fill="auto"/>
          </w:tcPr>
          <w:p w:rsidR="008A6EAC" w:rsidRPr="006A6482" w:rsidRDefault="008A6EAC" w:rsidP="007F2707">
            <w:pPr>
              <w:jc w:val="center"/>
              <w:rPr>
                <w:rFonts w:ascii="Arial" w:hAnsi="Arial" w:cs="Arial"/>
                <w:sz w:val="20"/>
                <w:szCs w:val="20"/>
              </w:rPr>
            </w:pPr>
            <w:r w:rsidRPr="006A6482">
              <w:rPr>
                <w:rFonts w:ascii="Arial" w:hAnsi="Arial" w:cs="Arial"/>
                <w:sz w:val="20"/>
                <w:szCs w:val="20"/>
              </w:rPr>
              <w:t>(a)</w:t>
            </w:r>
          </w:p>
        </w:tc>
        <w:tc>
          <w:tcPr>
            <w:tcW w:w="5056" w:type="dxa"/>
            <w:shd w:val="clear" w:color="auto" w:fill="auto"/>
          </w:tcPr>
          <w:p w:rsidR="008A6EAC" w:rsidRPr="006A6482" w:rsidRDefault="008A6EAC" w:rsidP="007F2707">
            <w:pPr>
              <w:jc w:val="center"/>
              <w:rPr>
                <w:rFonts w:ascii="Arial" w:hAnsi="Arial" w:cs="Arial"/>
                <w:sz w:val="20"/>
                <w:szCs w:val="20"/>
              </w:rPr>
            </w:pPr>
            <w:r w:rsidRPr="006A6482">
              <w:rPr>
                <w:rFonts w:ascii="Arial" w:hAnsi="Arial" w:cs="Arial"/>
                <w:sz w:val="20"/>
                <w:szCs w:val="20"/>
              </w:rPr>
              <w:t>(b)</w:t>
            </w:r>
          </w:p>
        </w:tc>
      </w:tr>
    </w:tbl>
    <w:p w:rsidR="008A6EAC" w:rsidRDefault="008A6EAC" w:rsidP="008A6EAC">
      <w:pPr>
        <w:numPr>
          <w:ilvl w:val="0"/>
          <w:numId w:val="1"/>
        </w:numPr>
        <w:tabs>
          <w:tab w:val="clear" w:pos="432"/>
          <w:tab w:val="num" w:pos="0"/>
        </w:tabs>
        <w:suppressAutoHyphens/>
        <w:spacing w:after="0" w:line="240" w:lineRule="auto"/>
        <w:ind w:left="0" w:firstLine="0"/>
        <w:jc w:val="center"/>
        <w:rPr>
          <w:rFonts w:ascii="Arial" w:eastAsia="Times New Roman" w:hAnsi="Arial" w:cs="Arial"/>
          <w:bCs/>
          <w:i/>
          <w:noProof/>
          <w:sz w:val="20"/>
          <w:szCs w:val="20"/>
          <w:lang w:eastAsia="en-GB"/>
        </w:rPr>
      </w:pPr>
      <w:r>
        <w:rPr>
          <w:rFonts w:ascii="Arial" w:eastAsia="Times New Roman" w:hAnsi="Arial" w:cs="Arial"/>
          <w:bCs/>
          <w:i/>
          <w:noProof/>
          <w:sz w:val="20"/>
          <w:szCs w:val="20"/>
          <w:lang w:eastAsia="en-GB"/>
        </w:rPr>
        <w:t>Figura 5</w:t>
      </w:r>
      <w:r w:rsidRPr="0066532E">
        <w:rPr>
          <w:rFonts w:ascii="Arial" w:eastAsia="Times New Roman" w:hAnsi="Arial" w:cs="Arial"/>
          <w:bCs/>
          <w:i/>
          <w:noProof/>
          <w:sz w:val="20"/>
          <w:szCs w:val="20"/>
          <w:lang w:eastAsia="en-GB"/>
        </w:rPr>
        <w:t xml:space="preserve">. </w:t>
      </w:r>
      <w:r>
        <w:rPr>
          <w:rFonts w:ascii="Arial" w:eastAsia="Times New Roman" w:hAnsi="Arial" w:cs="Arial"/>
          <w:bCs/>
          <w:i/>
          <w:noProof/>
          <w:sz w:val="20"/>
          <w:szCs w:val="20"/>
          <w:lang w:eastAsia="en-GB"/>
        </w:rPr>
        <w:t>Simulación realizada con una configuración del robot de tres modulos: (a) Entorno virtual y (b) Entorno real</w:t>
      </w:r>
    </w:p>
    <w:p w:rsidR="008A6EAC" w:rsidRPr="00CC008A" w:rsidRDefault="008A6EAC" w:rsidP="008A6EAC">
      <w:pPr>
        <w:numPr>
          <w:ilvl w:val="0"/>
          <w:numId w:val="1"/>
        </w:numPr>
        <w:tabs>
          <w:tab w:val="clear" w:pos="432"/>
          <w:tab w:val="num" w:pos="0"/>
        </w:tabs>
        <w:suppressAutoHyphens/>
        <w:spacing w:after="0" w:line="240" w:lineRule="auto"/>
        <w:ind w:left="0" w:firstLine="0"/>
        <w:jc w:val="center"/>
        <w:rPr>
          <w:rFonts w:ascii="Arial" w:eastAsia="Times New Roman" w:hAnsi="Arial" w:cs="Arial"/>
          <w:bCs/>
          <w:i/>
          <w:noProof/>
          <w:sz w:val="20"/>
          <w:szCs w:val="20"/>
          <w:lang w:eastAsia="en-GB"/>
        </w:rPr>
      </w:pPr>
    </w:p>
    <w:tbl>
      <w:tblPr>
        <w:tblW w:w="0" w:type="auto"/>
        <w:tblLook w:val="04A0" w:firstRow="1" w:lastRow="0" w:firstColumn="1" w:lastColumn="0" w:noHBand="0" w:noVBand="1"/>
      </w:tblPr>
      <w:tblGrid>
        <w:gridCol w:w="4652"/>
        <w:gridCol w:w="4752"/>
      </w:tblGrid>
      <w:tr w:rsidR="008A6EAC" w:rsidRPr="001C797E" w:rsidTr="007F2707">
        <w:tc>
          <w:tcPr>
            <w:tcW w:w="5056" w:type="dxa"/>
            <w:shd w:val="clear" w:color="auto" w:fill="auto"/>
          </w:tcPr>
          <w:p w:rsidR="008A6EAC" w:rsidRPr="001C797E" w:rsidRDefault="008A6EAC" w:rsidP="007F2707">
            <w:pPr>
              <w:jc w:val="center"/>
              <w:rPr>
                <w:rFonts w:ascii="Arial" w:hAnsi="Arial" w:cs="Arial"/>
              </w:rPr>
            </w:pPr>
            <w:r w:rsidRPr="003D0BA6">
              <w:rPr>
                <w:noProof/>
                <w:lang w:val="en-US"/>
              </w:rPr>
              <w:lastRenderedPageBreak/>
              <w:drawing>
                <wp:inline distT="0" distB="0" distL="0" distR="0" wp14:anchorId="3597272F" wp14:editId="02C70042">
                  <wp:extent cx="2714625" cy="2181225"/>
                  <wp:effectExtent l="0" t="0" r="9525" b="9525"/>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14">
                            <a:extLst>
                              <a:ext uri="{28A0092B-C50C-407E-A947-70E740481C1C}">
                                <a14:useLocalDpi xmlns:a14="http://schemas.microsoft.com/office/drawing/2010/main" val="0"/>
                              </a:ext>
                            </a:extLst>
                          </a:blip>
                          <a:srcRect l="49474" t="33690" r="10075" b="8556"/>
                          <a:stretch>
                            <a:fillRect/>
                          </a:stretch>
                        </pic:blipFill>
                        <pic:spPr bwMode="auto">
                          <a:xfrm>
                            <a:off x="0" y="0"/>
                            <a:ext cx="2714625" cy="2181225"/>
                          </a:xfrm>
                          <a:prstGeom prst="rect">
                            <a:avLst/>
                          </a:prstGeom>
                          <a:noFill/>
                          <a:ln>
                            <a:noFill/>
                          </a:ln>
                        </pic:spPr>
                      </pic:pic>
                    </a:graphicData>
                  </a:graphic>
                </wp:inline>
              </w:drawing>
            </w:r>
          </w:p>
        </w:tc>
        <w:tc>
          <w:tcPr>
            <w:tcW w:w="5056" w:type="dxa"/>
            <w:shd w:val="clear" w:color="auto" w:fill="auto"/>
          </w:tcPr>
          <w:p w:rsidR="008A6EAC" w:rsidRPr="001C797E" w:rsidRDefault="008A6EAC" w:rsidP="007F2707">
            <w:pPr>
              <w:jc w:val="center"/>
              <w:rPr>
                <w:rFonts w:ascii="Arial" w:hAnsi="Arial" w:cs="Arial"/>
              </w:rPr>
            </w:pPr>
            <w:r>
              <w:object w:dxaOrig="8400" w:dyaOrig="6510">
                <v:shape id="_x0000_i1418" type="#_x0000_t75" style="width:223.2pt;height:172.8pt" o:ole="">
                  <v:imagedata r:id="rId1015" o:title=""/>
                </v:shape>
                <o:OLEObject Type="Embed" ProgID="PBrush" ShapeID="_x0000_i1418" DrawAspect="Content" ObjectID="_1660649515" r:id="rId1016"/>
              </w:object>
            </w:r>
          </w:p>
        </w:tc>
      </w:tr>
      <w:tr w:rsidR="008A6EAC" w:rsidRPr="001C797E" w:rsidTr="007F2707">
        <w:tc>
          <w:tcPr>
            <w:tcW w:w="5056" w:type="dxa"/>
            <w:shd w:val="clear" w:color="auto" w:fill="auto"/>
          </w:tcPr>
          <w:p w:rsidR="008A6EAC" w:rsidRPr="006A6482" w:rsidRDefault="008A6EAC" w:rsidP="007F2707">
            <w:pPr>
              <w:jc w:val="center"/>
              <w:rPr>
                <w:rFonts w:ascii="Arial" w:hAnsi="Arial" w:cs="Arial"/>
                <w:sz w:val="20"/>
                <w:szCs w:val="20"/>
              </w:rPr>
            </w:pPr>
            <w:r w:rsidRPr="006A6482">
              <w:rPr>
                <w:rFonts w:ascii="Arial" w:hAnsi="Arial" w:cs="Arial"/>
                <w:sz w:val="20"/>
                <w:szCs w:val="20"/>
              </w:rPr>
              <w:t>(a)</w:t>
            </w:r>
          </w:p>
        </w:tc>
        <w:tc>
          <w:tcPr>
            <w:tcW w:w="5056" w:type="dxa"/>
            <w:shd w:val="clear" w:color="auto" w:fill="auto"/>
          </w:tcPr>
          <w:p w:rsidR="008A6EAC" w:rsidRPr="006A6482" w:rsidRDefault="008A6EAC" w:rsidP="007F2707">
            <w:pPr>
              <w:jc w:val="center"/>
              <w:rPr>
                <w:rFonts w:ascii="Arial" w:hAnsi="Arial" w:cs="Arial"/>
                <w:sz w:val="20"/>
                <w:szCs w:val="20"/>
              </w:rPr>
            </w:pPr>
            <w:r w:rsidRPr="006A6482">
              <w:rPr>
                <w:rFonts w:ascii="Arial" w:hAnsi="Arial" w:cs="Arial"/>
                <w:sz w:val="20"/>
                <w:szCs w:val="20"/>
              </w:rPr>
              <w:t>(b)</w:t>
            </w:r>
          </w:p>
        </w:tc>
      </w:tr>
    </w:tbl>
    <w:p w:rsidR="008A6EAC" w:rsidRDefault="008A6EAC" w:rsidP="008A6EAC">
      <w:pPr>
        <w:numPr>
          <w:ilvl w:val="0"/>
          <w:numId w:val="1"/>
        </w:numPr>
        <w:tabs>
          <w:tab w:val="clear" w:pos="432"/>
          <w:tab w:val="num" w:pos="0"/>
        </w:tabs>
        <w:suppressAutoHyphens/>
        <w:spacing w:after="0" w:line="240" w:lineRule="auto"/>
        <w:ind w:left="0" w:firstLine="0"/>
        <w:jc w:val="center"/>
        <w:rPr>
          <w:rFonts w:ascii="Arial" w:eastAsia="Times New Roman" w:hAnsi="Arial" w:cs="Arial"/>
          <w:bCs/>
          <w:i/>
          <w:noProof/>
          <w:sz w:val="20"/>
          <w:szCs w:val="20"/>
          <w:lang w:eastAsia="en-GB"/>
        </w:rPr>
      </w:pPr>
      <w:r>
        <w:rPr>
          <w:rFonts w:ascii="Arial" w:eastAsia="Times New Roman" w:hAnsi="Arial" w:cs="Arial"/>
          <w:bCs/>
          <w:i/>
          <w:noProof/>
          <w:sz w:val="20"/>
          <w:szCs w:val="20"/>
          <w:lang w:eastAsia="en-GB"/>
        </w:rPr>
        <w:t>Figura 6</w:t>
      </w:r>
      <w:r w:rsidRPr="0066532E">
        <w:rPr>
          <w:rFonts w:ascii="Arial" w:eastAsia="Times New Roman" w:hAnsi="Arial" w:cs="Arial"/>
          <w:bCs/>
          <w:i/>
          <w:noProof/>
          <w:sz w:val="20"/>
          <w:szCs w:val="20"/>
          <w:lang w:eastAsia="en-GB"/>
        </w:rPr>
        <w:t xml:space="preserve">. </w:t>
      </w:r>
      <w:r>
        <w:rPr>
          <w:rFonts w:ascii="Arial" w:eastAsia="Times New Roman" w:hAnsi="Arial" w:cs="Arial"/>
          <w:bCs/>
          <w:i/>
          <w:noProof/>
          <w:sz w:val="20"/>
          <w:szCs w:val="20"/>
          <w:lang w:eastAsia="en-GB"/>
        </w:rPr>
        <w:t>Comportamiento de la RNA al intentar predecir los datos de la base de dato: (a) Respuesta del algoritmo de entenamiento y (b)Salida de la RNA vs el valor medido para en un solo modulo.</w:t>
      </w:r>
    </w:p>
    <w:p w:rsidR="008A6EAC" w:rsidRDefault="008A6EAC" w:rsidP="008A6EAC">
      <w:pPr>
        <w:jc w:val="both"/>
      </w:pPr>
    </w:p>
    <w:p w:rsidR="008A6EAC" w:rsidRDefault="008A6EAC" w:rsidP="008A6EAC">
      <w:pPr>
        <w:jc w:val="both"/>
        <w:rPr>
          <w:rFonts w:ascii="Arial" w:hAnsi="Arial" w:cs="Arial"/>
        </w:rPr>
      </w:pPr>
      <w:r>
        <w:t xml:space="preserve">         </w:t>
      </w:r>
      <w:r>
        <w:rPr>
          <w:rFonts w:ascii="Arial" w:hAnsi="Arial" w:cs="Arial"/>
        </w:rPr>
        <w:t>Finalmente, una vez establecida la configuración de la RNA más apropiada para controlar el robot se probó la misma RNA cambiando la cantidad de capas ocultas y se obtuvieron los resultados presentados en la Figura 7.</w:t>
      </w:r>
    </w:p>
    <w:p w:rsidR="008A6EAC" w:rsidRDefault="008A6EAC" w:rsidP="008A6EAC">
      <w:pPr>
        <w:jc w:val="center"/>
        <w:rPr>
          <w:noProof/>
        </w:rPr>
      </w:pPr>
      <w:r>
        <w:rPr>
          <w:noProof/>
          <w:lang w:val="en-US"/>
        </w:rPr>
        <w:drawing>
          <wp:inline distT="0" distB="0" distL="0" distR="0" wp14:anchorId="276190B6" wp14:editId="64F95A74">
            <wp:extent cx="3200400" cy="2590800"/>
            <wp:effectExtent l="0" t="0" r="0" b="0"/>
            <wp:docPr id="417" name="Imagen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3200400" cy="2590800"/>
                    </a:xfrm>
                    <a:prstGeom prst="rect">
                      <a:avLst/>
                    </a:prstGeom>
                    <a:noFill/>
                    <a:ln>
                      <a:noFill/>
                    </a:ln>
                  </pic:spPr>
                </pic:pic>
              </a:graphicData>
            </a:graphic>
          </wp:inline>
        </w:drawing>
      </w:r>
    </w:p>
    <w:p w:rsidR="008A6EAC" w:rsidRPr="001E3D56" w:rsidRDefault="008A6EAC" w:rsidP="008A6EAC">
      <w:pPr>
        <w:numPr>
          <w:ilvl w:val="0"/>
          <w:numId w:val="1"/>
        </w:numPr>
        <w:tabs>
          <w:tab w:val="clear" w:pos="432"/>
          <w:tab w:val="num" w:pos="0"/>
        </w:tabs>
        <w:suppressAutoHyphens/>
        <w:spacing w:after="0" w:line="240" w:lineRule="auto"/>
        <w:ind w:left="0" w:firstLine="0"/>
        <w:jc w:val="center"/>
        <w:rPr>
          <w:rFonts w:ascii="Arial" w:hAnsi="Arial" w:cs="Arial"/>
        </w:rPr>
      </w:pPr>
      <w:r w:rsidRPr="001E3D56">
        <w:rPr>
          <w:rFonts w:ascii="Arial" w:eastAsia="Times New Roman" w:hAnsi="Arial" w:cs="Arial"/>
          <w:bCs/>
          <w:i/>
          <w:noProof/>
          <w:sz w:val="20"/>
          <w:szCs w:val="20"/>
          <w:lang w:eastAsia="en-GB"/>
        </w:rPr>
        <w:t xml:space="preserve">Figura </w:t>
      </w:r>
      <w:r>
        <w:rPr>
          <w:rFonts w:ascii="Arial" w:eastAsia="Times New Roman" w:hAnsi="Arial" w:cs="Arial"/>
          <w:bCs/>
          <w:i/>
          <w:noProof/>
          <w:sz w:val="20"/>
          <w:szCs w:val="20"/>
          <w:lang w:eastAsia="en-GB"/>
        </w:rPr>
        <w:t>7</w:t>
      </w:r>
      <w:r w:rsidRPr="001E3D56">
        <w:rPr>
          <w:rFonts w:ascii="Arial" w:eastAsia="Times New Roman" w:hAnsi="Arial" w:cs="Arial"/>
          <w:bCs/>
          <w:i/>
          <w:noProof/>
          <w:sz w:val="20"/>
          <w:szCs w:val="20"/>
          <w:lang w:eastAsia="en-GB"/>
        </w:rPr>
        <w:t>. Comportamiento de la RNA con diferentes configuraciones de capas ocultas.</w:t>
      </w:r>
    </w:p>
    <w:p w:rsidR="008A6EAC" w:rsidRDefault="008A6EAC" w:rsidP="008A6EAC">
      <w:pPr>
        <w:spacing w:line="360" w:lineRule="auto"/>
        <w:jc w:val="both"/>
        <w:rPr>
          <w:rFonts w:ascii="Arial" w:hAnsi="Arial" w:cs="Arial"/>
          <w:b/>
          <w:color w:val="000000"/>
        </w:rPr>
      </w:pPr>
    </w:p>
    <w:p w:rsidR="008A6EAC" w:rsidRDefault="008A6EAC" w:rsidP="008A6EAC">
      <w:pPr>
        <w:pStyle w:val="1Titulo"/>
        <w:numPr>
          <w:ilvl w:val="0"/>
          <w:numId w:val="0"/>
        </w:numPr>
        <w:ind w:left="357"/>
      </w:pPr>
      <w:bookmarkStart w:id="256" w:name="_Toc50031329"/>
      <w:r>
        <w:t>5. Conclusiones</w:t>
      </w:r>
      <w:bookmarkEnd w:id="256"/>
    </w:p>
    <w:p w:rsidR="008A6EAC" w:rsidRDefault="008A6EAC" w:rsidP="008A6EAC">
      <w:pPr>
        <w:jc w:val="both"/>
        <w:rPr>
          <w:rFonts w:ascii="Arial" w:hAnsi="Arial" w:cs="Arial"/>
        </w:rPr>
      </w:pPr>
      <w:r>
        <w:rPr>
          <w:rFonts w:ascii="Arial" w:hAnsi="Arial" w:cs="Arial"/>
        </w:rPr>
        <w:t xml:space="preserve">En las Figura 5 y 6 se observa que es posible controlar un robot modular a partir de la salida reconstruida por una RNA de 25 capas ocultas, 2 entradas y 1 salida, la cual predice los movimientos del robot con un margen de error menor al 5% comparado con los movimientos construidos de forma </w:t>
      </w:r>
      <w:r>
        <w:rPr>
          <w:rFonts w:ascii="Arial" w:hAnsi="Arial" w:cs="Arial"/>
        </w:rPr>
        <w:lastRenderedPageBreak/>
        <w:t>manual. Además, se observa que este tipo de estrategia es adaptativa, es decir, con una sola configuración de RNA el robot recorre su entorno. Otra ventaja de esta estrategia de control es que el robot recorre su entorno a pesar de que un módulo llegue a fallar, ya que los parámetros de control son enviados desde un dispositivo externo y no dependen de la fuente de alimentación del robot.</w:t>
      </w:r>
    </w:p>
    <w:p w:rsidR="008A6EAC" w:rsidRDefault="008A6EAC" w:rsidP="008A6EAC">
      <w:pPr>
        <w:jc w:val="both"/>
        <w:rPr>
          <w:rFonts w:ascii="Arial" w:hAnsi="Arial" w:cs="Arial"/>
        </w:rPr>
      </w:pPr>
      <w:r>
        <w:t xml:space="preserve">         </w:t>
      </w:r>
      <w:r>
        <w:rPr>
          <w:rFonts w:ascii="Arial" w:hAnsi="Arial" w:cs="Arial"/>
        </w:rPr>
        <w:t>El comportamiento de la RNA con diferentes configuraciones de capas ocultas muestra una región de trabajo óptima para generar el controlador del robot (de 20 a 30 capas), ya que, al aumentar (más de 50) o disminuir (menos de 10) en gran medida la cantidad de capas ocultas evita que el algoritmo de entrenamiento converja satisfactoriamente. Por un lado, al reducir la cantidad de capas ocultas el algoritmo de entrenamiento no converge, y por otro, al aumentar la cantidad de capas ocultas el algoritmo converge más lentamente; aunque el resultado obtenido no es mejor que el logrado en la región óptima de trabajo. De tal manera, que al seleccionar una cantidad de capas ocultas diferente a las de la región óptima de trabajo, con una cantidad de iteraciones de entrenamiento igual a las usadas para entrenar a la RNA en esta región de trabajo, conlleva a que el controlador no encuentre un conjunto de movimientos apropiado para que el robot se desplace de un lugar a otro.</w:t>
      </w:r>
    </w:p>
    <w:p w:rsidR="008A6EAC" w:rsidRDefault="008A6EAC" w:rsidP="008A6EAC">
      <w:pPr>
        <w:jc w:val="both"/>
        <w:rPr>
          <w:rFonts w:ascii="Arial" w:hAnsi="Arial" w:cs="Arial"/>
        </w:rPr>
      </w:pPr>
      <w:r>
        <w:t xml:space="preserve">         </w:t>
      </w:r>
      <w:r>
        <w:rPr>
          <w:rFonts w:ascii="Arial" w:hAnsi="Arial" w:cs="Arial"/>
        </w:rPr>
        <w:t>Finalmente, Utilizando la tecnología LoRa se obtiene un beneficio de funcionamiento con respecto a la tecnología WiFi, ya que, el robot puede recorrer grandes distancias (hasta 3km con línea de vista) con un solo dispositivo de comunicación. Lo que reduce la cantidad de infraestructura necesaria para que el controlador envié los parámetros desde un terminal remoto.</w:t>
      </w:r>
    </w:p>
    <w:p w:rsidR="008A6EAC" w:rsidRDefault="008A6EAC" w:rsidP="008A6EAC">
      <w:pPr>
        <w:jc w:val="both"/>
        <w:rPr>
          <w:rFonts w:ascii="Arial" w:hAnsi="Arial" w:cs="Arial"/>
        </w:rPr>
      </w:pPr>
    </w:p>
    <w:p w:rsidR="008A6EAC" w:rsidRDefault="008A6EAC" w:rsidP="008A6EAC">
      <w:pPr>
        <w:pStyle w:val="1Titulo"/>
        <w:numPr>
          <w:ilvl w:val="0"/>
          <w:numId w:val="0"/>
        </w:numPr>
        <w:ind w:left="357"/>
      </w:pPr>
      <w:bookmarkStart w:id="257" w:name="_Toc50031330"/>
      <w:r>
        <w:t>6. Bibliografía</w:t>
      </w:r>
      <w:bookmarkEnd w:id="257"/>
    </w:p>
    <w:p w:rsidR="008A6EAC" w:rsidRDefault="008A6EAC" w:rsidP="00390F7C">
      <w:pPr>
        <w:numPr>
          <w:ilvl w:val="0"/>
          <w:numId w:val="41"/>
        </w:numPr>
        <w:suppressAutoHyphens/>
        <w:spacing w:after="0" w:line="240" w:lineRule="auto"/>
        <w:jc w:val="both"/>
        <w:rPr>
          <w:rFonts w:ascii="Arial" w:hAnsi="Arial" w:cs="Arial"/>
          <w:lang w:val="en-US"/>
        </w:rPr>
      </w:pPr>
      <w:r w:rsidRPr="009C7FD6">
        <w:rPr>
          <w:rFonts w:ascii="Arial" w:hAnsi="Arial" w:cs="Arial"/>
          <w:lang w:val="en-US"/>
        </w:rPr>
        <w:t>Jie Zhao, Yanhui Wei, Jizhuang Fan, Jun Shen and Hegao Cai, "New Type Reconfigurable Modular Robot Design and Intelligent Control Method Research," 2006 6th World Congress on Intelligent Control and Automation, Dalian, 2006, pp. 8907-8911.</w:t>
      </w:r>
    </w:p>
    <w:p w:rsidR="008A6EAC" w:rsidRDefault="008A6EAC" w:rsidP="00390F7C">
      <w:pPr>
        <w:numPr>
          <w:ilvl w:val="0"/>
          <w:numId w:val="41"/>
        </w:numPr>
        <w:suppressAutoHyphens/>
        <w:spacing w:after="0" w:line="240" w:lineRule="auto"/>
        <w:jc w:val="both"/>
        <w:rPr>
          <w:rFonts w:ascii="Arial" w:hAnsi="Arial" w:cs="Arial"/>
          <w:lang w:val="en-US"/>
        </w:rPr>
      </w:pPr>
      <w:r w:rsidRPr="009C7FD6">
        <w:rPr>
          <w:rFonts w:ascii="Arial" w:hAnsi="Arial" w:cs="Arial"/>
          <w:lang w:val="en-US"/>
        </w:rPr>
        <w:t>C. Ye, N. Chen, L. Chen and C. Jiang, "A Variable-Scale Modular 3D Printing Robot of Building Interior Wall," 2018 IEEE International Conference on Mechatronics and Automation (ICMA), Changchun, 2018, pp. 1818-1822.</w:t>
      </w:r>
    </w:p>
    <w:p w:rsidR="008A6EAC" w:rsidRDefault="008A6EAC" w:rsidP="00390F7C">
      <w:pPr>
        <w:numPr>
          <w:ilvl w:val="0"/>
          <w:numId w:val="41"/>
        </w:numPr>
        <w:suppressAutoHyphens/>
        <w:spacing w:after="0" w:line="240" w:lineRule="auto"/>
        <w:jc w:val="both"/>
        <w:rPr>
          <w:rFonts w:ascii="Arial" w:hAnsi="Arial" w:cs="Arial"/>
          <w:lang w:val="en-US"/>
        </w:rPr>
      </w:pPr>
      <w:r w:rsidRPr="009C7FD6">
        <w:rPr>
          <w:rFonts w:ascii="Arial" w:hAnsi="Arial" w:cs="Arial"/>
          <w:lang w:val="en-US"/>
        </w:rPr>
        <w:t>J. Baca, M. Ferre, A. Campos, J. Fernandez and R. Aracil, "On the Analysis of a Multi-task Modular Robot System for Field Robotics," 2010 IEEE Electronics, Robotics and Automotive Mechanics Conference, Morelos, 2010, pp. 475-480.</w:t>
      </w:r>
    </w:p>
    <w:p w:rsidR="008A6EAC" w:rsidRDefault="008A6EAC" w:rsidP="00390F7C">
      <w:pPr>
        <w:numPr>
          <w:ilvl w:val="0"/>
          <w:numId w:val="41"/>
        </w:numPr>
        <w:suppressAutoHyphens/>
        <w:spacing w:after="0" w:line="240" w:lineRule="auto"/>
        <w:jc w:val="both"/>
        <w:rPr>
          <w:rFonts w:ascii="Arial" w:hAnsi="Arial" w:cs="Arial"/>
          <w:lang w:val="en-US"/>
        </w:rPr>
      </w:pPr>
      <w:r w:rsidRPr="009C7FD6">
        <w:rPr>
          <w:rFonts w:ascii="Arial" w:hAnsi="Arial" w:cs="Arial"/>
          <w:lang w:val="en-US"/>
        </w:rPr>
        <w:t>H. Bin, H. L. Zhi, L. W. Zhen and L. Ming, "Feature-Based Modular Design Method and its Application in Robot," 2010 International Conference on Measuring Technology and Mechatronics Automation, Changsha City, 2010, pp. 256-259.</w:t>
      </w:r>
    </w:p>
    <w:p w:rsidR="008A6EAC" w:rsidRDefault="008A6EAC" w:rsidP="00390F7C">
      <w:pPr>
        <w:numPr>
          <w:ilvl w:val="0"/>
          <w:numId w:val="41"/>
        </w:numPr>
        <w:suppressAutoHyphens/>
        <w:spacing w:after="0" w:line="240" w:lineRule="auto"/>
        <w:jc w:val="both"/>
        <w:rPr>
          <w:rFonts w:ascii="Arial" w:hAnsi="Arial" w:cs="Arial"/>
          <w:lang w:val="en-US"/>
        </w:rPr>
      </w:pPr>
      <w:r w:rsidRPr="009C7FD6">
        <w:rPr>
          <w:rFonts w:ascii="Arial" w:hAnsi="Arial" w:cs="Arial"/>
          <w:lang w:val="en-US"/>
        </w:rPr>
        <w:t>G. S. Hornby, H. Lipson and J. B. Pollack, "Evolution of generative design systems for modular physical robots," Proceedings 2001 ICRA. IEEE International Conference on Robotics and Automation (Cat. No.01CH37164), Seoul, South Korea, 2001, pp. 4146-4151 vol.4.</w:t>
      </w:r>
    </w:p>
    <w:p w:rsidR="008A6EAC" w:rsidRDefault="008A6EAC" w:rsidP="00390F7C">
      <w:pPr>
        <w:numPr>
          <w:ilvl w:val="0"/>
          <w:numId w:val="41"/>
        </w:numPr>
        <w:suppressAutoHyphens/>
        <w:spacing w:after="0" w:line="240" w:lineRule="auto"/>
        <w:jc w:val="both"/>
        <w:rPr>
          <w:rFonts w:ascii="Arial" w:hAnsi="Arial" w:cs="Arial"/>
          <w:lang w:val="en-US"/>
        </w:rPr>
      </w:pPr>
      <w:r w:rsidRPr="009C7FD6">
        <w:rPr>
          <w:rFonts w:ascii="Arial" w:hAnsi="Arial" w:cs="Arial"/>
          <w:lang w:val="en-US"/>
        </w:rPr>
        <w:t>J. Campbell, P. Pillai and S. C. Goldstein, "The robot is the tether: active, adaptive power routing modular robots with unary inter-robot connectors," 2005 IEEE/RSJ International Conference on Intelligent Robots and Systems, Edmonton, Alta., 2005, pp. 4108-4115.</w:t>
      </w:r>
    </w:p>
    <w:p w:rsidR="008A6EAC" w:rsidRDefault="008A6EAC" w:rsidP="00390F7C">
      <w:pPr>
        <w:numPr>
          <w:ilvl w:val="0"/>
          <w:numId w:val="41"/>
        </w:numPr>
        <w:suppressAutoHyphens/>
        <w:spacing w:after="0" w:line="240" w:lineRule="auto"/>
        <w:jc w:val="both"/>
        <w:rPr>
          <w:rFonts w:ascii="Arial" w:hAnsi="Arial" w:cs="Arial"/>
          <w:lang w:val="en-US"/>
        </w:rPr>
      </w:pPr>
      <w:r w:rsidRPr="009C7FD6">
        <w:rPr>
          <w:rFonts w:ascii="Arial" w:hAnsi="Arial" w:cs="Arial"/>
          <w:lang w:val="en-US"/>
        </w:rPr>
        <w:t xml:space="preserve"> A. Katalin, "Data Acquisition for Pressure Monitoring and Control in Distribuited Systems," 2006 IEEE International Conference on Automation, Quality and Testing, Robotics, Cluj-Napoca, 2006, pp. 157-160.</w:t>
      </w:r>
    </w:p>
    <w:p w:rsidR="008A6EAC" w:rsidRDefault="008A6EAC" w:rsidP="00390F7C">
      <w:pPr>
        <w:numPr>
          <w:ilvl w:val="0"/>
          <w:numId w:val="41"/>
        </w:numPr>
        <w:suppressAutoHyphens/>
        <w:spacing w:after="0" w:line="240" w:lineRule="auto"/>
        <w:jc w:val="both"/>
        <w:rPr>
          <w:rFonts w:ascii="Arial" w:hAnsi="Arial" w:cs="Arial"/>
          <w:lang w:val="en-US"/>
        </w:rPr>
      </w:pPr>
      <w:r w:rsidRPr="009C7FD6">
        <w:rPr>
          <w:rFonts w:ascii="Arial" w:hAnsi="Arial" w:cs="Arial"/>
          <w:lang w:val="es-CO"/>
        </w:rPr>
        <w:t xml:space="preserve">Rodrigo Moreno, Frank Veenstra, David Silvera, Julian Franco, Oscar Gracia, Ernesto Cordoba, Jonatan Gomez and Andres Faina, 2018. </w:t>
      </w:r>
      <w:r w:rsidRPr="009C7FD6">
        <w:rPr>
          <w:rFonts w:ascii="Arial" w:hAnsi="Arial" w:cs="Arial"/>
          <w:lang w:val="en-US"/>
        </w:rPr>
        <w:t xml:space="preserve">"Automated Reconfiguration of Modular Robots Using </w:t>
      </w:r>
      <w:r w:rsidRPr="009C7FD6">
        <w:rPr>
          <w:rFonts w:ascii="Arial" w:hAnsi="Arial" w:cs="Arial"/>
          <w:lang w:val="en-US"/>
        </w:rPr>
        <w:lastRenderedPageBreak/>
        <w:t>Robot Manipulators". In Proceedings of IEEE Conference on Evolvable Systems, part of the 2018 Symposium Series on Computational Intelligence (IEEE-SSCI 2018), Bengaluru, India, November 18-23, 2018. In Press</w:t>
      </w:r>
    </w:p>
    <w:p w:rsidR="008A6EAC" w:rsidRDefault="008A6EAC" w:rsidP="00390F7C">
      <w:pPr>
        <w:numPr>
          <w:ilvl w:val="0"/>
          <w:numId w:val="41"/>
        </w:numPr>
        <w:suppressAutoHyphens/>
        <w:spacing w:after="0" w:line="240" w:lineRule="auto"/>
        <w:jc w:val="both"/>
        <w:rPr>
          <w:rFonts w:ascii="Arial" w:hAnsi="Arial" w:cs="Arial"/>
          <w:lang w:val="en-US"/>
        </w:rPr>
      </w:pPr>
      <w:r w:rsidRPr="009C7FD6">
        <w:rPr>
          <w:rFonts w:ascii="Arial" w:hAnsi="Arial" w:cs="Arial"/>
          <w:lang w:val="en-US"/>
        </w:rPr>
        <w:t>Henry Hernández, Rodrigo Moreno, Andres Faina, and Jonatan Gomez, 2018 "Design of a bio-inspired controller to operate a modular robot autonomously". In Proceedings of the 16th Ibero-American Conference on Artificial Intelligence, Trujillo, Peru, November 13-16, 2018.</w:t>
      </w:r>
    </w:p>
    <w:p w:rsidR="008A6EAC" w:rsidRDefault="008A6EAC" w:rsidP="00390F7C">
      <w:pPr>
        <w:numPr>
          <w:ilvl w:val="0"/>
          <w:numId w:val="41"/>
        </w:numPr>
        <w:suppressAutoHyphens/>
        <w:spacing w:after="0" w:line="240" w:lineRule="auto"/>
        <w:jc w:val="both"/>
        <w:rPr>
          <w:rFonts w:ascii="Arial" w:hAnsi="Arial" w:cs="Arial"/>
          <w:lang w:val="en-US"/>
        </w:rPr>
      </w:pPr>
      <w:r w:rsidRPr="009C7FD6">
        <w:rPr>
          <w:rFonts w:ascii="Arial" w:hAnsi="Arial" w:cs="Arial"/>
          <w:lang w:val="es-CO"/>
        </w:rPr>
        <w:t xml:space="preserve">Rodrigo Moreno, Ceyue Liu, Andres Faina, Henry Hernandez, and Jonatan Gomez. </w:t>
      </w:r>
      <w:r w:rsidRPr="009C7FD6">
        <w:rPr>
          <w:rFonts w:ascii="Arial" w:hAnsi="Arial" w:cs="Arial"/>
          <w:lang w:val="en-US"/>
        </w:rPr>
        <w:t>2017. " The EMeRGE modular robot, an open platform for quick testing of evolved robot morphologies". In Proceedings of GECCO ’17 Companion, Berlin, Germany, July 15-19, 2017.</w:t>
      </w:r>
    </w:p>
    <w:p w:rsidR="008A6EAC" w:rsidRDefault="008A6EAC" w:rsidP="00390F7C">
      <w:pPr>
        <w:numPr>
          <w:ilvl w:val="0"/>
          <w:numId w:val="41"/>
        </w:numPr>
        <w:suppressAutoHyphens/>
        <w:spacing w:after="0" w:line="240" w:lineRule="auto"/>
        <w:jc w:val="both"/>
        <w:rPr>
          <w:rFonts w:ascii="Arial" w:hAnsi="Arial" w:cs="Arial"/>
          <w:lang w:val="en-US"/>
        </w:rPr>
      </w:pPr>
      <w:r w:rsidRPr="009C7FD6">
        <w:rPr>
          <w:rFonts w:ascii="Arial" w:hAnsi="Arial" w:cs="Arial"/>
          <w:lang w:val="en-US"/>
        </w:rPr>
        <w:t>Ceyue Liu, Jiangong Liu, Rodrigo Moreno, Frank Veenstra and Andres Faina, 2017. "The impact of module morphologies on modular robots". ICAR 2017.</w:t>
      </w:r>
    </w:p>
    <w:p w:rsidR="008A6EAC" w:rsidRDefault="008A6EAC" w:rsidP="00390F7C">
      <w:pPr>
        <w:numPr>
          <w:ilvl w:val="0"/>
          <w:numId w:val="41"/>
        </w:numPr>
        <w:suppressAutoHyphens/>
        <w:spacing w:after="0" w:line="240" w:lineRule="auto"/>
        <w:jc w:val="both"/>
        <w:rPr>
          <w:rFonts w:ascii="Arial" w:hAnsi="Arial" w:cs="Arial"/>
          <w:lang w:val="en-US"/>
        </w:rPr>
      </w:pPr>
      <w:r w:rsidRPr="009C7FD6">
        <w:rPr>
          <w:rFonts w:ascii="Arial" w:hAnsi="Arial" w:cs="Arial"/>
          <w:lang w:val="en-US"/>
        </w:rPr>
        <w:t>Frank Veenstra, Andres Faina, Sebastian Risi, Kasper Stoy, 2017. "Evolution and Morphogenesis of Simulated Modular Robots: A Comparison Between a Direct and Generative Encoding". Evostar 2017, In press.</w:t>
      </w:r>
    </w:p>
    <w:p w:rsidR="008A6EAC" w:rsidRDefault="008A6EAC" w:rsidP="00390F7C">
      <w:pPr>
        <w:numPr>
          <w:ilvl w:val="0"/>
          <w:numId w:val="41"/>
        </w:numPr>
        <w:suppressAutoHyphens/>
        <w:spacing w:after="0" w:line="240" w:lineRule="auto"/>
        <w:jc w:val="both"/>
        <w:rPr>
          <w:rFonts w:ascii="Arial" w:hAnsi="Arial" w:cs="Arial"/>
          <w:lang w:val="en-US"/>
        </w:rPr>
      </w:pPr>
      <w:r w:rsidRPr="009C7FD6">
        <w:rPr>
          <w:rFonts w:ascii="Arial" w:hAnsi="Arial" w:cs="Arial"/>
          <w:lang w:val="en-US"/>
        </w:rPr>
        <w:t>D. M. Charney and G. M. Josin, "Neural network servo control of a robot manipulator joint in real-time," [Proceedings] 1991 IEEE International Joint Conference on Neural Networks, Singapore, 1991, pp. 1989-1994 vol.3.</w:t>
      </w:r>
    </w:p>
    <w:p w:rsidR="008A6EAC" w:rsidRDefault="008A6EAC" w:rsidP="00390F7C">
      <w:pPr>
        <w:numPr>
          <w:ilvl w:val="0"/>
          <w:numId w:val="41"/>
        </w:numPr>
        <w:suppressAutoHyphens/>
        <w:spacing w:after="0" w:line="240" w:lineRule="auto"/>
        <w:jc w:val="both"/>
        <w:rPr>
          <w:rFonts w:ascii="Arial" w:hAnsi="Arial" w:cs="Arial"/>
          <w:lang w:val="en-US"/>
        </w:rPr>
      </w:pPr>
      <w:r w:rsidRPr="009C7FD6">
        <w:rPr>
          <w:rFonts w:ascii="Arial" w:hAnsi="Arial" w:cs="Arial"/>
          <w:lang w:val="en-US"/>
        </w:rPr>
        <w:t>H. Li, J. Li and X. Han, "Robot Vision Model Based on Multi-Neural Network Fusion," 2019 IEEE 3rd Information Technology, Networking, Electronic and Automation Control Conference (ITNEC), Chengdu, China, 2019, pp. 2571-2577.</w:t>
      </w:r>
    </w:p>
    <w:p w:rsidR="008A6EAC" w:rsidRPr="009C7FD6" w:rsidRDefault="008A6EAC" w:rsidP="00390F7C">
      <w:pPr>
        <w:numPr>
          <w:ilvl w:val="0"/>
          <w:numId w:val="41"/>
        </w:numPr>
        <w:suppressAutoHyphens/>
        <w:spacing w:after="0" w:line="240" w:lineRule="auto"/>
        <w:jc w:val="both"/>
        <w:rPr>
          <w:rFonts w:ascii="Arial" w:hAnsi="Arial" w:cs="Arial"/>
          <w:lang w:val="en-US"/>
        </w:rPr>
      </w:pPr>
      <w:r w:rsidRPr="009C7FD6">
        <w:rPr>
          <w:rFonts w:ascii="Arial" w:hAnsi="Arial" w:cs="Arial"/>
          <w:lang w:val="en-US"/>
        </w:rPr>
        <w:t>H. Li and J. Li, "Recognition of Robot Based on Attention Mechanism and Convolutional Neural Network," 2019 IEEE 3rd Information Technology, Networking, Electronic and Automation Control Conference (ITNEC), Chengdu, China, 2019, pp. 2578-2584.</w:t>
      </w:r>
    </w:p>
    <w:p w:rsidR="004B4415" w:rsidRPr="004B4415" w:rsidRDefault="004B4415" w:rsidP="00B31CE1">
      <w:pPr>
        <w:autoSpaceDE w:val="0"/>
        <w:autoSpaceDN w:val="0"/>
        <w:adjustRightInd w:val="0"/>
        <w:jc w:val="both"/>
        <w:rPr>
          <w:iCs/>
          <w:lang w:val="en-US"/>
        </w:rPr>
      </w:pPr>
    </w:p>
    <w:p w:rsidR="00874DD5" w:rsidRPr="00874DD5" w:rsidRDefault="00874DD5" w:rsidP="00874DD5">
      <w:pPr>
        <w:pStyle w:val="1Titulo"/>
        <w:numPr>
          <w:ilvl w:val="0"/>
          <w:numId w:val="0"/>
        </w:numPr>
        <w:ind w:left="357"/>
        <w:jc w:val="center"/>
        <w:rPr>
          <w:color w:val="000000"/>
          <w:sz w:val="28"/>
          <w:szCs w:val="28"/>
        </w:rPr>
      </w:pPr>
      <w:bookmarkStart w:id="258" w:name="_Toc50031331"/>
      <w:r w:rsidRPr="00874DD5">
        <w:rPr>
          <w:sz w:val="28"/>
          <w:szCs w:val="28"/>
        </w:rPr>
        <w:t>Desarrollo de un módulo de construcción del modelo dinámico inverso para un manipulador robótico industrial</w:t>
      </w:r>
      <w:bookmarkEnd w:id="258"/>
    </w:p>
    <w:p w:rsidR="00874DD5" w:rsidRDefault="00874DD5" w:rsidP="00874DD5">
      <w:pPr>
        <w:pStyle w:val="Author"/>
        <w:rPr>
          <w:rFonts w:ascii="Arial" w:hAnsi="Arial" w:cs="Arial"/>
          <w:szCs w:val="24"/>
          <w:lang w:val="es-ES"/>
        </w:rPr>
      </w:pPr>
    </w:p>
    <w:p w:rsidR="00874DD5" w:rsidRDefault="00874DD5" w:rsidP="00874DD5">
      <w:pPr>
        <w:pStyle w:val="Author"/>
        <w:rPr>
          <w:rFonts w:ascii="Arial" w:hAnsi="Arial" w:cs="Arial"/>
          <w:szCs w:val="24"/>
          <w:vertAlign w:val="superscript"/>
          <w:lang w:val="es-ES"/>
        </w:rPr>
      </w:pPr>
      <w:r w:rsidRPr="00866A68">
        <w:rPr>
          <w:rFonts w:ascii="Arial" w:hAnsi="Arial" w:cs="Arial"/>
          <w:szCs w:val="24"/>
          <w:u w:val="single"/>
          <w:lang w:val="es-ES"/>
        </w:rPr>
        <w:t>Hossian, Alejandro</w:t>
      </w:r>
      <w:r>
        <w:rPr>
          <w:rFonts w:ascii="Arial" w:hAnsi="Arial" w:cs="Arial"/>
          <w:szCs w:val="24"/>
          <w:lang w:val="es-ES"/>
        </w:rPr>
        <w:t>,</w:t>
      </w:r>
      <w:r>
        <w:rPr>
          <w:rFonts w:ascii="Arial" w:hAnsi="Arial" w:cs="Arial"/>
          <w:szCs w:val="24"/>
          <w:vertAlign w:val="superscript"/>
          <w:lang w:val="es-ES"/>
        </w:rPr>
        <w:t>1</w:t>
      </w:r>
      <w:r>
        <w:rPr>
          <w:rFonts w:ascii="Arial" w:hAnsi="Arial" w:cs="Arial"/>
          <w:szCs w:val="24"/>
          <w:lang w:val="es-ES"/>
        </w:rPr>
        <w:t xml:space="preserve">. </w:t>
      </w:r>
      <w:r w:rsidRPr="00866A68">
        <w:rPr>
          <w:rFonts w:ascii="Arial" w:hAnsi="Arial" w:cs="Arial"/>
          <w:szCs w:val="24"/>
          <w:u w:val="single"/>
          <w:lang w:val="es-ES"/>
        </w:rPr>
        <w:t>Alveal, Maximiliano</w:t>
      </w:r>
      <w:r>
        <w:rPr>
          <w:rFonts w:ascii="Arial" w:hAnsi="Arial" w:cs="Arial"/>
          <w:szCs w:val="24"/>
          <w:lang w:val="es-ES"/>
        </w:rPr>
        <w:t>,</w:t>
      </w:r>
      <w:r>
        <w:rPr>
          <w:rFonts w:ascii="Arial" w:hAnsi="Arial" w:cs="Arial"/>
          <w:szCs w:val="24"/>
          <w:vertAlign w:val="superscript"/>
          <w:lang w:val="es-ES"/>
        </w:rPr>
        <w:t>1</w:t>
      </w:r>
      <w:r>
        <w:rPr>
          <w:rFonts w:ascii="Arial" w:hAnsi="Arial" w:cs="Arial"/>
          <w:szCs w:val="24"/>
          <w:lang w:val="es-ES"/>
        </w:rPr>
        <w:t xml:space="preserve">. </w:t>
      </w:r>
      <w:r w:rsidRPr="00E75435">
        <w:rPr>
          <w:rFonts w:ascii="Arial" w:hAnsi="Arial" w:cs="Arial"/>
          <w:szCs w:val="24"/>
          <w:u w:val="single"/>
          <w:lang w:val="es-ES"/>
        </w:rPr>
        <w:t>Carabajal, Roberto</w:t>
      </w:r>
      <w:r>
        <w:rPr>
          <w:rFonts w:ascii="Arial" w:hAnsi="Arial" w:cs="Arial"/>
          <w:szCs w:val="24"/>
          <w:lang w:val="es-ES"/>
        </w:rPr>
        <w:t xml:space="preserve">,1. </w:t>
      </w:r>
      <w:r w:rsidRPr="00E75435">
        <w:rPr>
          <w:rFonts w:ascii="Arial" w:hAnsi="Arial" w:cs="Arial"/>
          <w:szCs w:val="24"/>
          <w:u w:val="single"/>
          <w:lang w:val="es-ES"/>
        </w:rPr>
        <w:t>Echeverria, Cesar</w:t>
      </w:r>
      <w:r>
        <w:rPr>
          <w:rFonts w:ascii="Arial" w:hAnsi="Arial" w:cs="Arial"/>
          <w:szCs w:val="24"/>
          <w:lang w:val="es-ES"/>
        </w:rPr>
        <w:t xml:space="preserve">,1. </w:t>
      </w:r>
      <w:r w:rsidRPr="00E75435">
        <w:rPr>
          <w:rFonts w:ascii="Arial" w:hAnsi="Arial" w:cs="Arial"/>
          <w:szCs w:val="24"/>
          <w:u w:val="single"/>
          <w:lang w:val="es-ES"/>
        </w:rPr>
        <w:t>Merlino, Hernan</w:t>
      </w:r>
      <w:r>
        <w:rPr>
          <w:rFonts w:ascii="Arial" w:hAnsi="Arial" w:cs="Arial"/>
          <w:szCs w:val="24"/>
          <w:lang w:val="es-ES"/>
        </w:rPr>
        <w:t>, 2.</w:t>
      </w:r>
    </w:p>
    <w:p w:rsidR="00874DD5" w:rsidRDefault="00874DD5" w:rsidP="00874DD5">
      <w:pPr>
        <w:pStyle w:val="affiliation"/>
        <w:rPr>
          <w:rFonts w:ascii="Arial" w:hAnsi="Arial" w:cs="Arial"/>
          <w:sz w:val="24"/>
          <w:szCs w:val="24"/>
          <w:vertAlign w:val="superscript"/>
          <w:lang w:val="es-ES"/>
        </w:rPr>
      </w:pPr>
      <w:r>
        <w:rPr>
          <w:rFonts w:ascii="Arial" w:hAnsi="Arial" w:cs="Arial"/>
          <w:sz w:val="24"/>
          <w:szCs w:val="24"/>
          <w:vertAlign w:val="superscript"/>
          <w:lang w:val="es-ES"/>
        </w:rPr>
        <w:t>1</w:t>
      </w:r>
      <w:r>
        <w:rPr>
          <w:rFonts w:ascii="Arial" w:hAnsi="Arial" w:cs="Arial"/>
          <w:sz w:val="24"/>
          <w:szCs w:val="24"/>
          <w:lang w:val="es-ES"/>
        </w:rPr>
        <w:t xml:space="preserve">Universidad Tecnologica Nacional, Facultad Regional del Neuquen. </w:t>
      </w:r>
    </w:p>
    <w:p w:rsidR="00874DD5" w:rsidRDefault="00874DD5" w:rsidP="00874DD5">
      <w:pPr>
        <w:pStyle w:val="affiliation"/>
        <w:rPr>
          <w:rFonts w:ascii="Arial" w:hAnsi="Arial" w:cs="Arial"/>
          <w:sz w:val="24"/>
          <w:szCs w:val="24"/>
          <w:lang w:val="es-ES"/>
        </w:rPr>
      </w:pPr>
      <w:r>
        <w:rPr>
          <w:rFonts w:ascii="Arial" w:hAnsi="Arial" w:cs="Arial"/>
          <w:sz w:val="24"/>
          <w:szCs w:val="24"/>
          <w:vertAlign w:val="superscript"/>
          <w:lang w:val="es-ES"/>
        </w:rPr>
        <w:t>2</w:t>
      </w:r>
      <w:r>
        <w:rPr>
          <w:rFonts w:ascii="Arial" w:hAnsi="Arial" w:cs="Arial"/>
          <w:sz w:val="24"/>
          <w:szCs w:val="24"/>
          <w:lang w:val="es-ES"/>
        </w:rPr>
        <w:t>Universidad Nacional de Lanus.</w:t>
      </w:r>
    </w:p>
    <w:p w:rsidR="00874DD5" w:rsidRDefault="001345E4" w:rsidP="00874DD5">
      <w:pPr>
        <w:pStyle w:val="affiliation"/>
        <w:rPr>
          <w:rFonts w:ascii="Arial" w:hAnsi="Arial" w:cs="Arial"/>
          <w:sz w:val="24"/>
          <w:szCs w:val="24"/>
          <w:lang w:val="es-ES"/>
        </w:rPr>
      </w:pPr>
      <w:hyperlink r:id="rId1018" w:history="1">
        <w:r w:rsidR="00874DD5" w:rsidRPr="00C36D81">
          <w:rPr>
            <w:rStyle w:val="Hipervnculo"/>
            <w:rFonts w:ascii="Arial" w:hAnsi="Arial" w:cs="Arial"/>
            <w:sz w:val="24"/>
            <w:szCs w:val="24"/>
            <w:lang w:val="es-ES"/>
          </w:rPr>
          <w:t>alejandrohossian@yahoo.com.ar</w:t>
        </w:r>
      </w:hyperlink>
    </w:p>
    <w:p w:rsidR="00874DD5" w:rsidRDefault="001345E4" w:rsidP="00874DD5">
      <w:pPr>
        <w:pStyle w:val="affiliation"/>
        <w:rPr>
          <w:rFonts w:ascii="Arial" w:hAnsi="Arial" w:cs="Arial"/>
          <w:sz w:val="24"/>
          <w:szCs w:val="24"/>
          <w:lang w:val="es-ES"/>
        </w:rPr>
      </w:pPr>
      <w:hyperlink r:id="rId1019" w:history="1">
        <w:r w:rsidR="00874DD5" w:rsidRPr="00C36D81">
          <w:rPr>
            <w:rStyle w:val="Hipervnculo"/>
            <w:rFonts w:ascii="Arial" w:hAnsi="Arial" w:cs="Arial"/>
            <w:sz w:val="24"/>
            <w:szCs w:val="24"/>
            <w:lang w:val="es-ES"/>
          </w:rPr>
          <w:t>maximilianoalveal@hotmail.com</w:t>
        </w:r>
      </w:hyperlink>
    </w:p>
    <w:p w:rsidR="00874DD5" w:rsidRDefault="001345E4" w:rsidP="00874DD5">
      <w:pPr>
        <w:pStyle w:val="affiliation"/>
        <w:rPr>
          <w:rFonts w:ascii="Arial" w:hAnsi="Arial" w:cs="Arial"/>
          <w:sz w:val="24"/>
          <w:szCs w:val="24"/>
          <w:lang w:val="es-ES"/>
        </w:rPr>
      </w:pPr>
      <w:hyperlink r:id="rId1020" w:history="1">
        <w:r w:rsidR="00874DD5" w:rsidRPr="00C36D81">
          <w:rPr>
            <w:rStyle w:val="Hipervnculo"/>
            <w:rFonts w:ascii="Arial" w:hAnsi="Arial" w:cs="Arial"/>
            <w:sz w:val="24"/>
            <w:szCs w:val="24"/>
            <w:lang w:val="es-ES"/>
          </w:rPr>
          <w:t>rcarabaj@copelnet.com.ar</w:t>
        </w:r>
      </w:hyperlink>
    </w:p>
    <w:p w:rsidR="00874DD5" w:rsidRDefault="001345E4" w:rsidP="00874DD5">
      <w:pPr>
        <w:pStyle w:val="affiliation"/>
        <w:rPr>
          <w:rFonts w:ascii="Arial" w:hAnsi="Arial" w:cs="Arial"/>
          <w:sz w:val="24"/>
          <w:szCs w:val="24"/>
          <w:lang w:val="es-ES"/>
        </w:rPr>
      </w:pPr>
      <w:hyperlink r:id="rId1021" w:history="1">
        <w:r w:rsidR="00874DD5" w:rsidRPr="00C36D81">
          <w:rPr>
            <w:rStyle w:val="Hipervnculo"/>
            <w:rFonts w:ascii="Arial" w:hAnsi="Arial" w:cs="Arial"/>
            <w:sz w:val="24"/>
            <w:szCs w:val="24"/>
            <w:lang w:val="es-ES"/>
          </w:rPr>
          <w:t>checesarito@hotmail.com</w:t>
        </w:r>
      </w:hyperlink>
    </w:p>
    <w:p w:rsidR="00874DD5" w:rsidRPr="00874DD5" w:rsidRDefault="00874DD5" w:rsidP="00874DD5">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olor w:val="000000"/>
          <w:sz w:val="24"/>
          <w:szCs w:val="24"/>
        </w:rPr>
      </w:pPr>
      <w:bookmarkStart w:id="259" w:name="_Toc50031332"/>
      <w:r w:rsidRPr="00874DD5">
        <w:rPr>
          <w:rFonts w:ascii="Arial" w:hAnsi="Arial" w:cs="Arial"/>
          <w:i/>
          <w:caps/>
          <w:sz w:val="24"/>
          <w:szCs w:val="24"/>
        </w:rPr>
        <w:t>1. R</w:t>
      </w:r>
      <w:r w:rsidRPr="00874DD5">
        <w:rPr>
          <w:rFonts w:ascii="Arial" w:hAnsi="Arial" w:cs="Arial"/>
          <w:i/>
          <w:sz w:val="24"/>
          <w:szCs w:val="24"/>
        </w:rPr>
        <w:t>esumen</w:t>
      </w:r>
      <w:bookmarkEnd w:id="259"/>
      <w:r w:rsidRPr="00874DD5">
        <w:rPr>
          <w:rFonts w:ascii="Arial" w:hAnsi="Arial" w:cs="Arial"/>
          <w:i/>
          <w:caps/>
          <w:sz w:val="24"/>
          <w:szCs w:val="24"/>
        </w:rPr>
        <w:t xml:space="preserve"> </w:t>
      </w:r>
    </w:p>
    <w:p w:rsidR="00874DD5" w:rsidRDefault="00874DD5" w:rsidP="00874DD5">
      <w:pPr>
        <w:ind w:firstLine="567"/>
        <w:jc w:val="both"/>
        <w:rPr>
          <w:rFonts w:ascii="Arial" w:hAnsi="Arial" w:cs="Arial"/>
          <w:color w:val="000000"/>
        </w:rPr>
      </w:pPr>
      <w:r w:rsidRPr="00BF641A">
        <w:rPr>
          <w:rFonts w:ascii="Arial" w:hAnsi="Arial" w:cs="Arial"/>
          <w:color w:val="000000"/>
        </w:rPr>
        <w:t xml:space="preserve">La mecánica analítica constituye una sólida herramienta </w:t>
      </w:r>
      <w:r>
        <w:rPr>
          <w:rFonts w:ascii="Arial" w:hAnsi="Arial" w:cs="Arial"/>
          <w:color w:val="000000"/>
        </w:rPr>
        <w:t>matemática</w:t>
      </w:r>
      <w:r w:rsidRPr="00BF641A">
        <w:rPr>
          <w:rFonts w:ascii="Arial" w:hAnsi="Arial" w:cs="Arial"/>
          <w:color w:val="000000"/>
        </w:rPr>
        <w:t xml:space="preserve"> para formular modelos de sistemas mecánicos. </w:t>
      </w:r>
      <w:r>
        <w:rPr>
          <w:rFonts w:ascii="Arial" w:hAnsi="Arial" w:cs="Arial"/>
          <w:color w:val="000000"/>
        </w:rPr>
        <w:t>El</w:t>
      </w:r>
      <w:r w:rsidRPr="00BF641A">
        <w:rPr>
          <w:rFonts w:ascii="Arial" w:hAnsi="Arial" w:cs="Arial"/>
          <w:color w:val="000000"/>
        </w:rPr>
        <w:t xml:space="preserve"> “Modelo Dinámico” de un manipulador </w:t>
      </w:r>
      <w:r>
        <w:rPr>
          <w:rFonts w:ascii="Arial" w:hAnsi="Arial" w:cs="Arial"/>
          <w:color w:val="000000"/>
        </w:rPr>
        <w:t>robótico analiza</w:t>
      </w:r>
      <w:r w:rsidRPr="00BF641A">
        <w:rPr>
          <w:rFonts w:ascii="Arial" w:hAnsi="Arial" w:cs="Arial"/>
          <w:color w:val="000000"/>
        </w:rPr>
        <w:t xml:space="preserve"> la relación entre el movimiento producido en el robot y los pares/fuerzas aplicados </w:t>
      </w:r>
      <w:r>
        <w:rPr>
          <w:rFonts w:ascii="Arial" w:hAnsi="Arial" w:cs="Arial"/>
          <w:color w:val="000000"/>
        </w:rPr>
        <w:t xml:space="preserve">en las articulaciones del mismo. Se </w:t>
      </w:r>
      <w:r>
        <w:rPr>
          <w:rFonts w:ascii="Arial" w:hAnsi="Arial" w:cs="Arial"/>
          <w:color w:val="000000"/>
        </w:rPr>
        <w:lastRenderedPageBreak/>
        <w:t>presenta un p</w:t>
      </w:r>
      <w:r w:rsidRPr="00EB56B8">
        <w:rPr>
          <w:rFonts w:ascii="Arial" w:hAnsi="Arial" w:cs="Arial"/>
          <w:color w:val="000000"/>
        </w:rPr>
        <w:t xml:space="preserve">roceso de </w:t>
      </w:r>
      <w:r>
        <w:rPr>
          <w:rFonts w:ascii="Arial" w:hAnsi="Arial" w:cs="Arial"/>
          <w:color w:val="000000"/>
        </w:rPr>
        <w:t>construcción</w:t>
      </w:r>
      <w:r w:rsidRPr="00EB56B8">
        <w:rPr>
          <w:rFonts w:ascii="Arial" w:hAnsi="Arial" w:cs="Arial"/>
          <w:color w:val="000000"/>
        </w:rPr>
        <w:t xml:space="preserve"> del modelo dinámico de un robot manipulador en base a la formulación de las ecuaciones de Lagrang</w:t>
      </w:r>
      <w:r>
        <w:rPr>
          <w:rFonts w:ascii="Arial" w:hAnsi="Arial" w:cs="Arial"/>
          <w:color w:val="000000"/>
        </w:rPr>
        <w:t xml:space="preserve">e, </w:t>
      </w:r>
      <w:r w:rsidRPr="00BF641A">
        <w:rPr>
          <w:rFonts w:ascii="Arial" w:hAnsi="Arial" w:cs="Arial"/>
          <w:color w:val="000000"/>
        </w:rPr>
        <w:t xml:space="preserve">las cuales describen la dinámica de un robot manipulador </w:t>
      </w:r>
      <w:r>
        <w:rPr>
          <w:rFonts w:ascii="Arial" w:hAnsi="Arial" w:cs="Arial"/>
          <w:color w:val="000000"/>
        </w:rPr>
        <w:t xml:space="preserve">mediante </w:t>
      </w:r>
      <w:r w:rsidRPr="00BF641A">
        <w:rPr>
          <w:rFonts w:ascii="Arial" w:hAnsi="Arial" w:cs="Arial"/>
          <w:color w:val="000000"/>
        </w:rPr>
        <w:t xml:space="preserve">el balance de la energía cinética y potencial de sus eslabones). </w:t>
      </w:r>
      <w:r>
        <w:rPr>
          <w:rFonts w:ascii="Arial" w:hAnsi="Arial" w:cs="Arial"/>
          <w:color w:val="000000"/>
        </w:rPr>
        <w:t>Con este modelo se analizan</w:t>
      </w:r>
      <w:r w:rsidRPr="00BF641A">
        <w:rPr>
          <w:rFonts w:ascii="Arial" w:hAnsi="Arial" w:cs="Arial"/>
          <w:color w:val="000000"/>
        </w:rPr>
        <w:t xml:space="preserve"> </w:t>
      </w:r>
      <w:r>
        <w:rPr>
          <w:rFonts w:ascii="Arial" w:hAnsi="Arial" w:cs="Arial"/>
          <w:color w:val="000000"/>
        </w:rPr>
        <w:t>fenómenos físicos</w:t>
      </w:r>
      <w:r w:rsidRPr="00BF641A">
        <w:rPr>
          <w:rFonts w:ascii="Arial" w:hAnsi="Arial" w:cs="Arial"/>
          <w:color w:val="000000"/>
        </w:rPr>
        <w:t xml:space="preserve"> como: “Efectos Inerciales” – “Fuerzas Centrípetas y de Coriolis” – “Par Gravitacional” y “Fricción”.</w:t>
      </w:r>
      <w:r>
        <w:rPr>
          <w:rFonts w:ascii="Arial" w:hAnsi="Arial" w:cs="Arial"/>
          <w:color w:val="000000"/>
        </w:rPr>
        <w:t xml:space="preserve"> Este</w:t>
      </w:r>
      <w:r w:rsidRPr="00EB56B8">
        <w:rPr>
          <w:rFonts w:ascii="Arial" w:hAnsi="Arial" w:cs="Arial"/>
          <w:color w:val="000000"/>
        </w:rPr>
        <w:t xml:space="preserve"> proceso </w:t>
      </w:r>
      <w:r>
        <w:rPr>
          <w:rFonts w:ascii="Arial" w:hAnsi="Arial" w:cs="Arial"/>
          <w:color w:val="000000"/>
        </w:rPr>
        <w:t>posee</w:t>
      </w:r>
      <w:r w:rsidRPr="00EB56B8">
        <w:rPr>
          <w:rFonts w:ascii="Arial" w:hAnsi="Arial" w:cs="Arial"/>
          <w:color w:val="000000"/>
        </w:rPr>
        <w:t xml:space="preserve"> como “insumos de entrada” los parámetros dinámicos (masas, longitudes y momentos de inercia de eslabones)</w:t>
      </w:r>
      <w:r>
        <w:rPr>
          <w:rFonts w:ascii="Arial" w:hAnsi="Arial" w:cs="Arial"/>
          <w:color w:val="000000"/>
        </w:rPr>
        <w:t xml:space="preserve"> y</w:t>
      </w:r>
      <w:r w:rsidRPr="00EB56B8">
        <w:rPr>
          <w:rFonts w:ascii="Arial" w:hAnsi="Arial" w:cs="Arial"/>
          <w:color w:val="000000"/>
        </w:rPr>
        <w:t xml:space="preserve"> la matriz de transformación homogénea suministrada por modelo cinemático directo</w:t>
      </w:r>
      <w:r>
        <w:rPr>
          <w:rFonts w:ascii="Arial" w:hAnsi="Arial" w:cs="Arial"/>
          <w:color w:val="000000"/>
        </w:rPr>
        <w:t xml:space="preserve"> y como “productos de salida” </w:t>
      </w:r>
      <w:r w:rsidRPr="00EB56B8">
        <w:rPr>
          <w:rFonts w:ascii="Arial" w:hAnsi="Arial" w:cs="Arial"/>
          <w:color w:val="000000"/>
        </w:rPr>
        <w:t>las fu</w:t>
      </w:r>
      <w:r>
        <w:rPr>
          <w:rFonts w:ascii="Arial" w:hAnsi="Arial" w:cs="Arial"/>
          <w:color w:val="000000"/>
        </w:rPr>
        <w:t xml:space="preserve">erzas y pares de torsión que se </w:t>
      </w:r>
      <w:r w:rsidRPr="00EB56B8">
        <w:rPr>
          <w:rFonts w:ascii="Arial" w:hAnsi="Arial" w:cs="Arial"/>
          <w:color w:val="000000"/>
        </w:rPr>
        <w:t>deben aplicar en cada articulación</w:t>
      </w:r>
      <w:r>
        <w:rPr>
          <w:rFonts w:ascii="Arial" w:hAnsi="Arial" w:cs="Arial"/>
          <w:color w:val="000000"/>
        </w:rPr>
        <w:t>.</w:t>
      </w:r>
    </w:p>
    <w:p w:rsidR="00874DD5" w:rsidRDefault="00874DD5" w:rsidP="00874DD5">
      <w:pPr>
        <w:ind w:firstLine="567"/>
        <w:jc w:val="both"/>
        <w:rPr>
          <w:rFonts w:ascii="Arial" w:hAnsi="Arial" w:cs="Arial"/>
        </w:rPr>
      </w:pPr>
    </w:p>
    <w:p w:rsidR="00874DD5" w:rsidRPr="00874DD5" w:rsidRDefault="00874DD5" w:rsidP="00874DD5">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aps/>
          <w:sz w:val="24"/>
          <w:szCs w:val="24"/>
        </w:rPr>
      </w:pPr>
      <w:bookmarkStart w:id="260" w:name="_Toc50031333"/>
      <w:r w:rsidRPr="00874DD5">
        <w:rPr>
          <w:rFonts w:ascii="Arial" w:hAnsi="Arial" w:cs="Arial"/>
          <w:i/>
          <w:caps/>
          <w:sz w:val="24"/>
          <w:szCs w:val="24"/>
        </w:rPr>
        <w:t>2. I</w:t>
      </w:r>
      <w:r w:rsidRPr="00874DD5">
        <w:rPr>
          <w:rFonts w:ascii="Arial" w:hAnsi="Arial" w:cs="Arial"/>
          <w:i/>
          <w:sz w:val="24"/>
          <w:szCs w:val="24"/>
        </w:rPr>
        <w:t>ntroducción</w:t>
      </w:r>
      <w:bookmarkEnd w:id="260"/>
      <w:r w:rsidRPr="00874DD5">
        <w:rPr>
          <w:rFonts w:ascii="Arial" w:hAnsi="Arial" w:cs="Arial"/>
          <w:i/>
          <w:caps/>
          <w:sz w:val="24"/>
          <w:szCs w:val="24"/>
        </w:rPr>
        <w:t xml:space="preserve"> </w:t>
      </w:r>
    </w:p>
    <w:p w:rsidR="00874DD5" w:rsidRPr="0082021D" w:rsidRDefault="00874DD5" w:rsidP="00874DD5">
      <w:pPr>
        <w:ind w:firstLine="567"/>
        <w:jc w:val="both"/>
        <w:rPr>
          <w:rFonts w:ascii="Arial" w:hAnsi="Arial" w:cs="Arial"/>
          <w:lang w:val="es-ES_tradnl"/>
        </w:rPr>
      </w:pPr>
      <w:r>
        <w:rPr>
          <w:rFonts w:ascii="Arial" w:hAnsi="Arial" w:cs="Arial"/>
          <w:lang w:val="es-ES_tradnl"/>
        </w:rPr>
        <w:t xml:space="preserve">El </w:t>
      </w:r>
      <w:r w:rsidRPr="00EA404E">
        <w:rPr>
          <w:rFonts w:ascii="Arial" w:hAnsi="Arial" w:cs="Arial"/>
          <w:lang w:val="es-ES_tradnl"/>
        </w:rPr>
        <w:t xml:space="preserve">modelo dinámico </w:t>
      </w:r>
      <w:r>
        <w:rPr>
          <w:rFonts w:ascii="Arial" w:hAnsi="Arial" w:cs="Arial"/>
          <w:lang w:val="es-ES_tradnl"/>
        </w:rPr>
        <w:t xml:space="preserve">[1] </w:t>
      </w:r>
      <w:r w:rsidRPr="00EA404E">
        <w:rPr>
          <w:rFonts w:ascii="Arial" w:hAnsi="Arial" w:cs="Arial"/>
          <w:lang w:val="es-ES_tradnl"/>
        </w:rPr>
        <w:t>del robot manipulador</w:t>
      </w:r>
      <w:r>
        <w:rPr>
          <w:rFonts w:ascii="Arial" w:hAnsi="Arial" w:cs="Arial"/>
          <w:lang w:val="es-ES_tradnl"/>
        </w:rPr>
        <w:t xml:space="preserve"> </w:t>
      </w:r>
      <w:r w:rsidRPr="00EA404E">
        <w:rPr>
          <w:rFonts w:ascii="Arial" w:hAnsi="Arial" w:cs="Arial"/>
          <w:lang w:val="es-ES_tradnl"/>
        </w:rPr>
        <w:t>permite explicar una gran variedad de fenómenos físicos presentes en la estructura mecánica del sistema – robot; tales como, fuerzas centrífugas y de Coriolis</w:t>
      </w:r>
      <w:r>
        <w:rPr>
          <w:rFonts w:ascii="Arial" w:hAnsi="Arial" w:cs="Arial"/>
          <w:lang w:val="es-ES_tradnl"/>
        </w:rPr>
        <w:t xml:space="preserve"> [2]</w:t>
      </w:r>
      <w:r w:rsidRPr="00EA404E">
        <w:rPr>
          <w:rFonts w:ascii="Arial" w:hAnsi="Arial" w:cs="Arial"/>
          <w:lang w:val="es-ES_tradnl"/>
        </w:rPr>
        <w:t xml:space="preserve">, efectos inerciales, par gravitacional y fenómenos de fricción (viscosa, Coulomb y estática). Estos fenómenos son intrínsecos de la naturaleza dinámica del robot [3]. En figura 1se </w:t>
      </w:r>
      <w:r>
        <w:rPr>
          <w:rFonts w:ascii="Arial" w:hAnsi="Arial" w:cs="Arial"/>
          <w:lang w:val="es-ES_tradnl"/>
        </w:rPr>
        <w:t xml:space="preserve">ve </w:t>
      </w:r>
      <w:r w:rsidRPr="00EA404E">
        <w:rPr>
          <w:rFonts w:ascii="Arial" w:hAnsi="Arial" w:cs="Arial"/>
          <w:lang w:val="es-ES_tradnl"/>
        </w:rPr>
        <w:t xml:space="preserve">la relación entre momentos de torsión </w:t>
      </w:r>
      <w:r w:rsidRPr="00775A91">
        <w:rPr>
          <w:rFonts w:ascii="Arial" w:hAnsi="Arial" w:cs="Arial"/>
          <w:lang w:val="es-ES_tradnl"/>
        </w:rPr>
        <w:t>τ</w:t>
      </w:r>
      <w:r w:rsidRPr="00EA404E">
        <w:rPr>
          <w:rFonts w:ascii="Arial" w:hAnsi="Arial" w:cs="Arial"/>
          <w:lang w:val="es-ES_tradnl"/>
        </w:rPr>
        <w:t xml:space="preserve">, las variables articulares ϴ y la trayectoria (T) que desarrolla el </w:t>
      </w:r>
      <w:r>
        <w:rPr>
          <w:rFonts w:ascii="Arial" w:hAnsi="Arial" w:cs="Arial"/>
          <w:lang w:val="es-ES_tradnl"/>
        </w:rPr>
        <w:t>extremo</w:t>
      </w:r>
      <w:r w:rsidRPr="00EA404E">
        <w:rPr>
          <w:rFonts w:ascii="Arial" w:hAnsi="Arial" w:cs="Arial"/>
          <w:lang w:val="es-ES_tradnl"/>
        </w:rPr>
        <w:t xml:space="preserve"> del robot desde un punto A hasta el B.</w:t>
      </w:r>
    </w:p>
    <w:p w:rsidR="00874DD5" w:rsidRDefault="00874DD5" w:rsidP="00874DD5">
      <w:pPr>
        <w:jc w:val="center"/>
      </w:pPr>
      <w:r>
        <w:rPr>
          <w:noProof/>
          <w:lang w:val="en-US"/>
        </w:rPr>
        <w:drawing>
          <wp:inline distT="0" distB="0" distL="0" distR="0" wp14:anchorId="4D0FF7CB" wp14:editId="78A216E9">
            <wp:extent cx="2143125" cy="1514475"/>
            <wp:effectExtent l="0" t="0" r="9525" b="9525"/>
            <wp:docPr id="2026623631" name="Imagen 202662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1"/>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2143125" cy="1514475"/>
                    </a:xfrm>
                    <a:prstGeom prst="rect">
                      <a:avLst/>
                    </a:prstGeom>
                    <a:noFill/>
                    <a:ln>
                      <a:noFill/>
                    </a:ln>
                  </pic:spPr>
                </pic:pic>
              </a:graphicData>
            </a:graphic>
          </wp:inline>
        </w:drawing>
      </w:r>
    </w:p>
    <w:p w:rsidR="00874DD5" w:rsidRPr="00163EF1" w:rsidRDefault="00874DD5" w:rsidP="00874DD5">
      <w:pPr>
        <w:jc w:val="center"/>
        <w:rPr>
          <w:rFonts w:ascii="Arial" w:hAnsi="Arial" w:cs="Arial"/>
          <w:i/>
          <w:sz w:val="20"/>
          <w:szCs w:val="20"/>
        </w:rPr>
      </w:pPr>
      <w:r w:rsidRPr="00163EF1">
        <w:rPr>
          <w:rFonts w:ascii="Arial" w:hAnsi="Arial" w:cs="Arial"/>
          <w:bCs/>
          <w:i/>
          <w:sz w:val="20"/>
          <w:szCs w:val="20"/>
        </w:rPr>
        <w:t xml:space="preserve">Figura 1. </w:t>
      </w:r>
      <w:r w:rsidRPr="00163EF1">
        <w:rPr>
          <w:rFonts w:ascii="Arial" w:hAnsi="Arial" w:cs="Arial"/>
          <w:i/>
          <w:sz w:val="20"/>
          <w:szCs w:val="20"/>
          <w:lang w:val="es-ES_tradnl"/>
        </w:rPr>
        <w:t>Relación entre los momentos de torsión τ, las variables articulares ϴ y la trayectoria (T) que desarrolla el órgano terminal del robot desde un punto A hasta el B</w:t>
      </w:r>
    </w:p>
    <w:p w:rsidR="00874DD5" w:rsidRPr="00BC4A57" w:rsidRDefault="00874DD5" w:rsidP="00874DD5">
      <w:pPr>
        <w:ind w:firstLine="567"/>
        <w:jc w:val="both"/>
        <w:rPr>
          <w:rFonts w:ascii="Arial" w:hAnsi="Arial" w:cs="Arial"/>
        </w:rPr>
      </w:pPr>
      <w:r w:rsidRPr="00647339">
        <w:rPr>
          <w:rFonts w:ascii="Arial" w:hAnsi="Arial" w:cs="Arial"/>
          <w:lang w:val="es-ES_tradnl"/>
        </w:rPr>
        <w:t xml:space="preserve">El grupo de investigación en </w:t>
      </w:r>
      <w:r w:rsidRPr="00647339">
        <w:rPr>
          <w:rFonts w:ascii="Arial" w:hAnsi="Arial" w:cs="Arial"/>
          <w:i/>
          <w:lang w:val="es-ES_tradnl"/>
        </w:rPr>
        <w:t>“Robótica aplicada a la Ingeniería"</w:t>
      </w:r>
      <w:r>
        <w:rPr>
          <w:rFonts w:ascii="Arial" w:hAnsi="Arial" w:cs="Arial"/>
          <w:lang w:val="es-ES_tradnl"/>
        </w:rPr>
        <w:t xml:space="preserve"> desarrolla </w:t>
      </w:r>
      <w:r w:rsidRPr="00647339">
        <w:rPr>
          <w:rFonts w:ascii="Arial" w:hAnsi="Arial" w:cs="Arial"/>
          <w:lang w:val="es-ES_tradnl"/>
        </w:rPr>
        <w:t>un modelo de proceso de investigación en base a tres fases que procuran optimizar el diseño de un m</w:t>
      </w:r>
      <w:r>
        <w:rPr>
          <w:rFonts w:ascii="Arial" w:hAnsi="Arial" w:cs="Arial"/>
          <w:lang w:val="es-ES_tradnl"/>
        </w:rPr>
        <w:t xml:space="preserve">anipulador robótico industrial. La </w:t>
      </w:r>
      <w:r w:rsidRPr="00647339">
        <w:rPr>
          <w:rFonts w:ascii="Arial" w:hAnsi="Arial" w:cs="Arial"/>
          <w:b/>
          <w:i/>
          <w:lang w:val="es-ES_tradnl"/>
        </w:rPr>
        <w:t>primera fase</w:t>
      </w:r>
      <w:r>
        <w:rPr>
          <w:rFonts w:ascii="Arial" w:hAnsi="Arial" w:cs="Arial"/>
          <w:lang w:val="es-ES_tradnl"/>
        </w:rPr>
        <w:t xml:space="preserve"> corresponde a la Cinemática </w:t>
      </w:r>
      <w:r w:rsidRPr="00647339">
        <w:rPr>
          <w:rFonts w:ascii="Arial" w:hAnsi="Arial" w:cs="Arial"/>
          <w:lang w:val="es-ES_tradnl"/>
        </w:rPr>
        <w:t xml:space="preserve">del Robot, para la obtención de los Modelos Cinemático Directo e Inverso y del Modelo Diferencial de los manipuladores robóticos industriales; </w:t>
      </w:r>
      <w:r>
        <w:rPr>
          <w:rFonts w:ascii="Arial" w:hAnsi="Arial" w:cs="Arial"/>
          <w:lang w:val="es-ES_tradnl"/>
        </w:rPr>
        <w:t>l</w:t>
      </w:r>
      <w:r w:rsidRPr="00647339">
        <w:rPr>
          <w:rFonts w:ascii="Arial" w:hAnsi="Arial" w:cs="Arial"/>
          <w:lang w:val="es-ES_tradnl"/>
        </w:rPr>
        <w:t xml:space="preserve">a </w:t>
      </w:r>
      <w:r w:rsidRPr="00647339">
        <w:rPr>
          <w:rFonts w:ascii="Arial" w:hAnsi="Arial" w:cs="Arial"/>
          <w:b/>
          <w:i/>
          <w:lang w:val="es-ES_tradnl"/>
        </w:rPr>
        <w:t>segunda fase</w:t>
      </w:r>
      <w:r w:rsidRPr="00647339">
        <w:rPr>
          <w:rFonts w:ascii="Arial" w:hAnsi="Arial" w:cs="Arial"/>
          <w:lang w:val="es-ES_tradnl"/>
        </w:rPr>
        <w:t xml:space="preserve"> corresponde </w:t>
      </w:r>
      <w:r>
        <w:rPr>
          <w:rFonts w:ascii="Arial" w:hAnsi="Arial" w:cs="Arial"/>
          <w:lang w:val="es-ES_tradnl"/>
        </w:rPr>
        <w:t xml:space="preserve">a </w:t>
      </w:r>
      <w:r w:rsidRPr="00647339">
        <w:rPr>
          <w:rFonts w:ascii="Arial" w:hAnsi="Arial" w:cs="Arial"/>
          <w:lang w:val="es-ES_tradnl"/>
        </w:rPr>
        <w:t xml:space="preserve">la Dinámica del Robot, que se aplica a la obtención del Modelo Dinámico de estos brazos; y una </w:t>
      </w:r>
      <w:r w:rsidRPr="00647339">
        <w:rPr>
          <w:rFonts w:ascii="Arial" w:hAnsi="Arial" w:cs="Arial"/>
          <w:b/>
          <w:i/>
          <w:lang w:val="es-ES_tradnl"/>
        </w:rPr>
        <w:t>tercera fase</w:t>
      </w:r>
      <w:r w:rsidRPr="00647339">
        <w:rPr>
          <w:rFonts w:ascii="Arial" w:hAnsi="Arial" w:cs="Arial"/>
          <w:lang w:val="es-ES_tradnl"/>
        </w:rPr>
        <w:t xml:space="preserve"> vinculada a los aspectos que hacen al </w:t>
      </w:r>
      <w:r>
        <w:rPr>
          <w:rFonts w:ascii="Arial" w:hAnsi="Arial" w:cs="Arial"/>
          <w:lang w:val="es-ES_tradnl"/>
        </w:rPr>
        <w:t>Control del R</w:t>
      </w:r>
      <w:r w:rsidRPr="00647339">
        <w:rPr>
          <w:rFonts w:ascii="Arial" w:hAnsi="Arial" w:cs="Arial"/>
          <w:lang w:val="es-ES_tradnl"/>
        </w:rPr>
        <w:t>obot, cuyos algoritmos permiten mejorar las características de velocidad y precisión.</w:t>
      </w:r>
      <w:r>
        <w:rPr>
          <w:rFonts w:ascii="Arial" w:hAnsi="Arial" w:cs="Arial"/>
          <w:lang w:val="es-ES_tradnl"/>
        </w:rPr>
        <w:t xml:space="preserve"> </w:t>
      </w:r>
      <w:r w:rsidRPr="00BC4A57">
        <w:rPr>
          <w:rFonts w:ascii="Arial" w:hAnsi="Arial" w:cs="Arial"/>
          <w:lang w:val="es-AR"/>
        </w:rPr>
        <w:t xml:space="preserve">El problema que se analiza en este artículo se encuadra dentro de la segunda fase del modelo de proceso de investigación, correspondiente </w:t>
      </w:r>
      <w:r>
        <w:rPr>
          <w:rFonts w:ascii="Arial" w:hAnsi="Arial" w:cs="Arial"/>
          <w:lang w:val="es-AR"/>
        </w:rPr>
        <w:t>a</w:t>
      </w:r>
      <w:r w:rsidRPr="00BC4A57">
        <w:rPr>
          <w:rFonts w:ascii="Arial" w:hAnsi="Arial" w:cs="Arial"/>
          <w:lang w:val="es-AR"/>
        </w:rPr>
        <w:t xml:space="preserve"> la Dinámica del Robot</w:t>
      </w:r>
      <w:r>
        <w:rPr>
          <w:rFonts w:ascii="Arial" w:hAnsi="Arial" w:cs="Arial"/>
          <w:lang w:val="es-AR"/>
        </w:rPr>
        <w:t xml:space="preserve"> [5]</w:t>
      </w:r>
      <w:r w:rsidRPr="00BC4A57">
        <w:rPr>
          <w:rFonts w:ascii="Arial" w:hAnsi="Arial" w:cs="Arial"/>
          <w:lang w:val="es-AR"/>
        </w:rPr>
        <w:t>.</w:t>
      </w:r>
    </w:p>
    <w:p w:rsidR="00874DD5" w:rsidRDefault="00874DD5" w:rsidP="00874DD5">
      <w:pPr>
        <w:ind w:firstLine="567"/>
        <w:jc w:val="both"/>
        <w:rPr>
          <w:rFonts w:ascii="Arial" w:hAnsi="Arial" w:cs="Arial"/>
        </w:rPr>
      </w:pPr>
      <w:r w:rsidRPr="00CE6570">
        <w:rPr>
          <w:rFonts w:ascii="Arial" w:hAnsi="Arial" w:cs="Arial"/>
        </w:rPr>
        <w:t xml:space="preserve">El modelo de proceso de investigación y desarrollo con sus tres fases (Cinemática del Robot, Dinámica del Robot y </w:t>
      </w:r>
      <w:r>
        <w:rPr>
          <w:rFonts w:ascii="Arial" w:hAnsi="Arial" w:cs="Arial"/>
        </w:rPr>
        <w:t xml:space="preserve">Control del Robot), </w:t>
      </w:r>
      <w:r w:rsidRPr="00CE6570">
        <w:rPr>
          <w:rFonts w:ascii="Arial" w:hAnsi="Arial" w:cs="Arial"/>
        </w:rPr>
        <w:t>se detalla en la figura 2.</w:t>
      </w:r>
    </w:p>
    <w:p w:rsidR="00874DD5" w:rsidRPr="00CE6570" w:rsidRDefault="00874DD5" w:rsidP="00874DD5">
      <w:pPr>
        <w:ind w:firstLine="567"/>
        <w:jc w:val="both"/>
        <w:rPr>
          <w:rFonts w:ascii="Arial" w:hAnsi="Arial" w:cs="Arial"/>
        </w:rPr>
      </w:pPr>
    </w:p>
    <w:p w:rsidR="00874DD5" w:rsidRDefault="00874DD5" w:rsidP="00874DD5">
      <w:pPr>
        <w:ind w:firstLine="567"/>
        <w:jc w:val="center"/>
      </w:pPr>
      <w:r>
        <w:rPr>
          <w:noProof/>
          <w:lang w:val="en-US"/>
        </w:rPr>
        <w:lastRenderedPageBreak/>
        <w:drawing>
          <wp:inline distT="0" distB="0" distL="0" distR="0" wp14:anchorId="7D55E59F" wp14:editId="63570410">
            <wp:extent cx="5000625" cy="2640965"/>
            <wp:effectExtent l="0" t="0" r="9525" b="6985"/>
            <wp:docPr id="2026623675" name="Imagen 202662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5000625" cy="2640965"/>
                    </a:xfrm>
                    <a:prstGeom prst="rect">
                      <a:avLst/>
                    </a:prstGeom>
                    <a:noFill/>
                  </pic:spPr>
                </pic:pic>
              </a:graphicData>
            </a:graphic>
          </wp:inline>
        </w:drawing>
      </w:r>
    </w:p>
    <w:p w:rsidR="00874DD5" w:rsidRDefault="00874DD5" w:rsidP="00874DD5">
      <w:pPr>
        <w:ind w:firstLine="567"/>
        <w:jc w:val="center"/>
      </w:pPr>
      <w:r w:rsidRPr="00163EF1">
        <w:rPr>
          <w:rFonts w:ascii="Arial" w:hAnsi="Arial" w:cs="Arial"/>
          <w:bCs/>
          <w:i/>
          <w:sz w:val="20"/>
          <w:szCs w:val="20"/>
        </w:rPr>
        <w:t xml:space="preserve">Figura </w:t>
      </w:r>
      <w:r>
        <w:rPr>
          <w:rFonts w:ascii="Arial" w:hAnsi="Arial" w:cs="Arial"/>
          <w:bCs/>
          <w:i/>
          <w:sz w:val="20"/>
          <w:szCs w:val="20"/>
        </w:rPr>
        <w:t>2</w:t>
      </w:r>
      <w:r w:rsidRPr="00163EF1">
        <w:rPr>
          <w:rFonts w:ascii="Arial" w:hAnsi="Arial" w:cs="Arial"/>
          <w:bCs/>
          <w:i/>
          <w:sz w:val="20"/>
          <w:szCs w:val="20"/>
        </w:rPr>
        <w:t xml:space="preserve">. </w:t>
      </w:r>
      <w:r>
        <w:rPr>
          <w:rFonts w:ascii="Arial" w:hAnsi="Arial" w:cs="Arial"/>
          <w:i/>
          <w:sz w:val="20"/>
          <w:szCs w:val="20"/>
          <w:lang w:val="es-ES_tradnl"/>
        </w:rPr>
        <w:t>Modelo de Proceso de Investigación y Desarrollo</w:t>
      </w:r>
    </w:p>
    <w:p w:rsidR="00874DD5" w:rsidRDefault="00874DD5" w:rsidP="00874DD5">
      <w:pPr>
        <w:ind w:firstLine="567"/>
        <w:jc w:val="both"/>
        <w:rPr>
          <w:sz w:val="22"/>
          <w:szCs w:val="20"/>
          <w:lang w:val="es-ES_tradnl"/>
        </w:rPr>
      </w:pPr>
    </w:p>
    <w:p w:rsidR="00874DD5" w:rsidRPr="00AB7D0C" w:rsidRDefault="00874DD5" w:rsidP="00874DD5">
      <w:pPr>
        <w:ind w:firstLine="567"/>
        <w:jc w:val="both"/>
        <w:rPr>
          <w:rFonts w:ascii="Arial" w:hAnsi="Arial" w:cs="Arial"/>
        </w:rPr>
      </w:pPr>
      <w:r>
        <w:rPr>
          <w:rFonts w:ascii="Arial" w:hAnsi="Arial" w:cs="Arial"/>
          <w:lang w:val="es-ES_tradnl"/>
        </w:rPr>
        <w:t xml:space="preserve">Se resalta el </w:t>
      </w:r>
      <w:r w:rsidRPr="00AB7D0C">
        <w:rPr>
          <w:rFonts w:ascii="Arial" w:hAnsi="Arial" w:cs="Arial"/>
          <w:lang w:val="es-ES_tradnl"/>
        </w:rPr>
        <w:t>Modelo Dinámico Directo e</w:t>
      </w:r>
      <w:r>
        <w:rPr>
          <w:rFonts w:ascii="Arial" w:hAnsi="Arial" w:cs="Arial"/>
          <w:lang w:val="es-ES_tradnl"/>
        </w:rPr>
        <w:t xml:space="preserve"> </w:t>
      </w:r>
      <w:r w:rsidRPr="00AB7D0C">
        <w:rPr>
          <w:rFonts w:ascii="Arial" w:hAnsi="Arial" w:cs="Arial"/>
          <w:lang w:val="es-ES_tradnl"/>
        </w:rPr>
        <w:t xml:space="preserve">Inverso y su vinculación con la fase de Dinámica del Robot; así como también, el suministro de insumos entre las diferentes fases del proceso. </w:t>
      </w:r>
      <w:r>
        <w:rPr>
          <w:rFonts w:ascii="Arial" w:hAnsi="Arial" w:cs="Arial"/>
          <w:lang w:val="es-ES_tradnl"/>
        </w:rPr>
        <w:t>L</w:t>
      </w:r>
      <w:r w:rsidRPr="00AB7D0C">
        <w:rPr>
          <w:rFonts w:ascii="Arial" w:hAnsi="Arial" w:cs="Arial"/>
          <w:lang w:val="es-ES_tradnl"/>
        </w:rPr>
        <w:t xml:space="preserve">a fase de cinemática debe suministrar a la de dinámica las ecuaciones cinemáticas necesarias para </w:t>
      </w:r>
      <w:r>
        <w:rPr>
          <w:rFonts w:ascii="Arial" w:hAnsi="Arial" w:cs="Arial"/>
          <w:lang w:val="es-ES_tradnl"/>
        </w:rPr>
        <w:t>desarrollar</w:t>
      </w:r>
      <w:r w:rsidRPr="00AB7D0C">
        <w:rPr>
          <w:rFonts w:ascii="Arial" w:hAnsi="Arial" w:cs="Arial"/>
          <w:lang w:val="es-ES_tradnl"/>
        </w:rPr>
        <w:t xml:space="preserve"> los balances de energía que ex</w:t>
      </w:r>
      <w:r>
        <w:rPr>
          <w:rFonts w:ascii="Arial" w:hAnsi="Arial" w:cs="Arial"/>
          <w:lang w:val="es-ES_tradnl"/>
        </w:rPr>
        <w:t>ige la formulación Lagrangiana. Para</w:t>
      </w:r>
      <w:r w:rsidRPr="00AB7D0C">
        <w:rPr>
          <w:rFonts w:ascii="Arial" w:hAnsi="Arial" w:cs="Arial"/>
          <w:lang w:val="es-ES_tradnl"/>
        </w:rPr>
        <w:t xml:space="preserve"> </w:t>
      </w:r>
      <w:r>
        <w:rPr>
          <w:rFonts w:ascii="Arial" w:hAnsi="Arial" w:cs="Arial"/>
          <w:lang w:val="es-ES_tradnl"/>
        </w:rPr>
        <w:t xml:space="preserve">obtener el </w:t>
      </w:r>
      <w:r w:rsidRPr="00AB7D0C">
        <w:rPr>
          <w:rFonts w:ascii="Arial" w:hAnsi="Arial" w:cs="Arial"/>
          <w:lang w:val="es-ES_tradnl"/>
        </w:rPr>
        <w:t xml:space="preserve">modelo dinámico inverso es preciso contar con la forma adaptada de las ecuaciones de Lagrange; las cuales son suministradas desde la fase de dinámica del robot al módulo de construcción de los modelos dinámicos directo e inverso. </w:t>
      </w:r>
      <w:r>
        <w:rPr>
          <w:rFonts w:ascii="Arial" w:hAnsi="Arial" w:cs="Arial"/>
          <w:lang w:val="es-ES_tradnl"/>
        </w:rPr>
        <w:t>Por su parte, l</w:t>
      </w:r>
      <w:r w:rsidRPr="00AB7D0C">
        <w:rPr>
          <w:rFonts w:ascii="Arial" w:hAnsi="Arial" w:cs="Arial"/>
          <w:lang w:val="es-ES_tradnl"/>
        </w:rPr>
        <w:t>a fase de cinemática del robot genera referencias a las fases de dinámica y control del robot [7]; y la fase de dinámica suministra insumos a la fase de control, para la realización del control dinámico [8].</w:t>
      </w:r>
      <w:r>
        <w:rPr>
          <w:rFonts w:ascii="Arial" w:hAnsi="Arial" w:cs="Arial"/>
          <w:lang w:val="es-ES_tradnl"/>
        </w:rPr>
        <w:t xml:space="preserve"> </w:t>
      </w:r>
    </w:p>
    <w:p w:rsidR="00874DD5" w:rsidRDefault="00874DD5" w:rsidP="00874DD5">
      <w:pPr>
        <w:ind w:firstLine="567"/>
        <w:jc w:val="both"/>
        <w:rPr>
          <w:rFonts w:ascii="Arial" w:hAnsi="Arial" w:cs="Arial"/>
        </w:rPr>
      </w:pPr>
      <w:r>
        <w:rPr>
          <w:rFonts w:ascii="Arial" w:hAnsi="Arial" w:cs="Arial"/>
        </w:rPr>
        <w:t>En las siguientes sub – secciones</w:t>
      </w:r>
      <w:r w:rsidRPr="00BD6822">
        <w:rPr>
          <w:rFonts w:ascii="Arial" w:hAnsi="Arial" w:cs="Arial"/>
        </w:rPr>
        <w:t xml:space="preserve"> </w:t>
      </w:r>
      <w:r>
        <w:rPr>
          <w:rFonts w:ascii="Arial" w:hAnsi="Arial" w:cs="Arial"/>
        </w:rPr>
        <w:t xml:space="preserve">siguientes </w:t>
      </w:r>
      <w:r w:rsidRPr="00BD6822">
        <w:rPr>
          <w:rFonts w:ascii="Arial" w:hAnsi="Arial" w:cs="Arial"/>
        </w:rPr>
        <w:t xml:space="preserve">se analizan </w:t>
      </w:r>
      <w:r>
        <w:rPr>
          <w:rFonts w:ascii="Arial" w:hAnsi="Arial" w:cs="Arial"/>
        </w:rPr>
        <w:t>los aspectos fundamentales del proceso de construcción.</w:t>
      </w:r>
    </w:p>
    <w:p w:rsidR="00874DD5" w:rsidRDefault="00874DD5" w:rsidP="00874DD5">
      <w:pPr>
        <w:ind w:firstLine="567"/>
        <w:jc w:val="both"/>
        <w:rPr>
          <w:rFonts w:ascii="Arial" w:hAnsi="Arial" w:cs="Arial"/>
        </w:rPr>
      </w:pPr>
    </w:p>
    <w:p w:rsidR="00874DD5" w:rsidRPr="00AB7D0C" w:rsidRDefault="00874DD5" w:rsidP="00874DD5">
      <w:pPr>
        <w:spacing w:line="360" w:lineRule="auto"/>
        <w:jc w:val="both"/>
        <w:rPr>
          <w:rFonts w:ascii="Arial" w:hAnsi="Arial" w:cs="Arial"/>
        </w:rPr>
      </w:pPr>
      <w:r>
        <w:rPr>
          <w:rFonts w:ascii="Arial" w:hAnsi="Arial" w:cs="Arial"/>
          <w:i/>
          <w:color w:val="000000"/>
        </w:rPr>
        <w:t>2</w:t>
      </w:r>
      <w:r w:rsidRPr="00BC5E0A">
        <w:rPr>
          <w:rFonts w:ascii="Arial" w:hAnsi="Arial" w:cs="Arial"/>
          <w:i/>
          <w:color w:val="000000"/>
        </w:rPr>
        <w:t xml:space="preserve">.1 </w:t>
      </w:r>
      <w:r>
        <w:rPr>
          <w:rFonts w:ascii="Arial" w:hAnsi="Arial" w:cs="Arial"/>
          <w:i/>
          <w:color w:val="000000"/>
        </w:rPr>
        <w:t xml:space="preserve">Descripción global del Módulo de Construcción del Modelo Dinámico </w:t>
      </w:r>
    </w:p>
    <w:p w:rsidR="00874DD5" w:rsidRPr="00856269" w:rsidRDefault="00874DD5" w:rsidP="00874DD5">
      <w:pPr>
        <w:ind w:firstLine="567"/>
        <w:jc w:val="both"/>
        <w:rPr>
          <w:rFonts w:ascii="Arial" w:hAnsi="Arial" w:cs="Arial"/>
        </w:rPr>
      </w:pPr>
      <w:r>
        <w:rPr>
          <w:rFonts w:ascii="Arial" w:hAnsi="Arial" w:cs="Arial"/>
        </w:rPr>
        <w:t>El proceso de construcción del</w:t>
      </w:r>
      <w:r>
        <w:rPr>
          <w:rFonts w:ascii="Arial" w:hAnsi="Arial" w:cs="Arial"/>
          <w:bCs/>
          <w:lang w:val="es-ES_tradnl"/>
        </w:rPr>
        <w:t xml:space="preserve"> modelo dinámico del </w:t>
      </w:r>
      <w:r w:rsidRPr="00856269">
        <w:rPr>
          <w:rFonts w:ascii="Arial" w:hAnsi="Arial" w:cs="Arial"/>
          <w:bCs/>
          <w:lang w:val="es-ES_tradnl"/>
        </w:rPr>
        <w:t xml:space="preserve">manipulador </w:t>
      </w:r>
      <w:r>
        <w:rPr>
          <w:rFonts w:ascii="Arial" w:hAnsi="Arial" w:cs="Arial"/>
          <w:bCs/>
          <w:lang w:val="es-ES_tradnl"/>
        </w:rPr>
        <w:t xml:space="preserve">robótico se sustenta </w:t>
      </w:r>
      <w:r w:rsidRPr="00856269">
        <w:rPr>
          <w:rFonts w:ascii="Arial" w:hAnsi="Arial" w:cs="Arial"/>
          <w:bCs/>
          <w:lang w:val="es-ES_tradnl"/>
        </w:rPr>
        <w:t>en la mecánica Lagrangiana</w:t>
      </w:r>
      <w:r>
        <w:rPr>
          <w:rFonts w:ascii="Arial" w:hAnsi="Arial" w:cs="Arial"/>
          <w:lang w:val="es-ES_tradnl"/>
        </w:rPr>
        <w:t xml:space="preserve">. Los insumos de entrada que recibe este proceso; son </w:t>
      </w:r>
      <w:r w:rsidRPr="00856269">
        <w:rPr>
          <w:rFonts w:ascii="Arial" w:hAnsi="Arial" w:cs="Arial"/>
          <w:lang w:val="es-ES_tradnl"/>
        </w:rPr>
        <w:t>los parámetros dinámicos (masas, longitudes y momentos de inercia de eslabones)</w:t>
      </w:r>
      <w:r>
        <w:rPr>
          <w:rFonts w:ascii="Arial" w:hAnsi="Arial" w:cs="Arial"/>
          <w:lang w:val="es-ES_tradnl"/>
        </w:rPr>
        <w:t xml:space="preserve">, y los que suministra </w:t>
      </w:r>
      <w:r w:rsidRPr="00856269">
        <w:rPr>
          <w:rFonts w:ascii="Arial" w:hAnsi="Arial" w:cs="Arial"/>
          <w:lang w:val="es-ES_tradnl"/>
        </w:rPr>
        <w:t xml:space="preserve">el módulo </w:t>
      </w:r>
      <w:r>
        <w:rPr>
          <w:rFonts w:ascii="Arial" w:hAnsi="Arial" w:cs="Arial"/>
          <w:lang w:val="es-ES_tradnl"/>
        </w:rPr>
        <w:t>cinemático (</w:t>
      </w:r>
      <w:r w:rsidRPr="00856269">
        <w:rPr>
          <w:rFonts w:ascii="Arial" w:hAnsi="Arial" w:cs="Arial"/>
          <w:lang w:val="es-ES_tradnl"/>
        </w:rPr>
        <w:t xml:space="preserve">la matriz de transformación homogénea con la información de las coordenadas cartesianas del </w:t>
      </w:r>
      <w:r>
        <w:rPr>
          <w:rFonts w:ascii="Arial" w:hAnsi="Arial" w:cs="Arial"/>
          <w:lang w:val="es-ES_tradnl"/>
        </w:rPr>
        <w:t>extremo</w:t>
      </w:r>
      <w:r w:rsidRPr="00856269">
        <w:rPr>
          <w:rFonts w:ascii="Arial" w:hAnsi="Arial" w:cs="Arial"/>
          <w:lang w:val="es-ES_tradnl"/>
        </w:rPr>
        <w:t xml:space="preserve"> en función de las variables articulares (</w:t>
      </w:r>
      <w:r w:rsidRPr="00856269">
        <w:rPr>
          <w:rFonts w:ascii="Arial" w:hAnsi="Arial" w:cs="Arial"/>
          <w:vertAlign w:val="superscript"/>
          <w:lang w:val="es-ES_tradnl"/>
        </w:rPr>
        <w:t>0</w:t>
      </w:r>
      <w:r w:rsidRPr="00856269">
        <w:rPr>
          <w:rFonts w:ascii="Arial" w:hAnsi="Arial" w:cs="Arial"/>
          <w:lang w:val="es-ES_tradnl"/>
        </w:rPr>
        <w:t>p</w:t>
      </w:r>
      <w:r w:rsidRPr="00856269">
        <w:rPr>
          <w:rFonts w:ascii="Arial" w:hAnsi="Arial" w:cs="Arial"/>
          <w:vertAlign w:val="subscript"/>
          <w:lang w:val="es-ES_tradnl"/>
        </w:rPr>
        <w:t>n</w:t>
      </w:r>
      <w:r w:rsidRPr="00856269">
        <w:rPr>
          <w:rFonts w:ascii="Arial" w:hAnsi="Arial" w:cs="Arial"/>
          <w:lang w:val="es-ES_tradnl"/>
        </w:rPr>
        <w:t>(t) en función de q(t)</w:t>
      </w:r>
      <w:r w:rsidRPr="00856269">
        <w:rPr>
          <w:rStyle w:val="Refdenotaalpie"/>
          <w:rFonts w:ascii="Arial" w:hAnsi="Arial" w:cs="Arial"/>
          <w:lang w:val="es-ES_tradnl"/>
        </w:rPr>
        <w:footnoteReference w:id="3"/>
      </w:r>
      <w:r w:rsidRPr="00856269">
        <w:rPr>
          <w:rFonts w:ascii="Arial" w:hAnsi="Arial" w:cs="Arial"/>
          <w:lang w:val="es-ES_tradnl"/>
        </w:rPr>
        <w:t xml:space="preserve">), respecto al </w:t>
      </w:r>
      <w:r w:rsidRPr="00856269">
        <w:rPr>
          <w:rFonts w:ascii="Arial" w:hAnsi="Arial" w:cs="Arial"/>
          <w:lang w:val="es-ES_tradnl"/>
        </w:rPr>
        <w:lastRenderedPageBreak/>
        <w:t>sistema de referencia asociado a la base del robot</w:t>
      </w:r>
      <w:r>
        <w:rPr>
          <w:rFonts w:ascii="Arial" w:hAnsi="Arial" w:cs="Arial"/>
          <w:lang w:val="es-ES_tradnl"/>
        </w:rPr>
        <w:t>)</w:t>
      </w:r>
      <w:r w:rsidRPr="00856269">
        <w:rPr>
          <w:rFonts w:ascii="Arial" w:hAnsi="Arial" w:cs="Arial"/>
          <w:lang w:val="es-ES_tradnl"/>
        </w:rPr>
        <w:t xml:space="preserve">. El producto </w:t>
      </w:r>
      <w:r>
        <w:rPr>
          <w:rFonts w:ascii="Arial" w:hAnsi="Arial" w:cs="Arial"/>
          <w:lang w:val="es-ES_tradnl"/>
        </w:rPr>
        <w:t>que se obtiene a la</w:t>
      </w:r>
      <w:r w:rsidRPr="00856269">
        <w:rPr>
          <w:rFonts w:ascii="Arial" w:hAnsi="Arial" w:cs="Arial"/>
          <w:lang w:val="es-ES_tradnl"/>
        </w:rPr>
        <w:t xml:space="preserve"> salida de este proceso, es un</w:t>
      </w:r>
      <w:r w:rsidRPr="00856269">
        <w:rPr>
          <w:rFonts w:ascii="Arial" w:hAnsi="Arial" w:cs="Arial"/>
          <w:bCs/>
        </w:rPr>
        <w:t xml:space="preserve"> vector (τ) de fuerzas y momentos de torsión aplicados en los actuadores de las articulaciones</w:t>
      </w:r>
      <w:r w:rsidRPr="00856269">
        <w:rPr>
          <w:rFonts w:ascii="Arial" w:hAnsi="Arial" w:cs="Arial"/>
          <w:lang w:val="es-ES_tradnl"/>
        </w:rPr>
        <w:t xml:space="preserve"> para obtener determinadas trayectorias articulares (posición, velocidad y aceleración).</w:t>
      </w:r>
    </w:p>
    <w:p w:rsidR="00874DD5" w:rsidRDefault="00874DD5" w:rsidP="00874DD5">
      <w:pPr>
        <w:ind w:firstLine="567"/>
        <w:jc w:val="both"/>
        <w:rPr>
          <w:rFonts w:ascii="Arial" w:hAnsi="Arial" w:cs="Arial"/>
        </w:rPr>
      </w:pPr>
      <w:r>
        <w:rPr>
          <w:rFonts w:ascii="Arial" w:hAnsi="Arial" w:cs="Arial"/>
        </w:rPr>
        <w:t xml:space="preserve">En figura 3 se ilustra </w:t>
      </w:r>
      <w:r w:rsidRPr="00F20B48">
        <w:rPr>
          <w:rFonts w:ascii="Arial" w:hAnsi="Arial" w:cs="Arial"/>
        </w:rPr>
        <w:t xml:space="preserve">se exhibe un esquema global con la entrada y la salida al módulo de construcción del modelo dinámico </w:t>
      </w:r>
      <w:r>
        <w:rPr>
          <w:rFonts w:ascii="Arial" w:hAnsi="Arial" w:cs="Arial"/>
        </w:rPr>
        <w:t>(</w:t>
      </w:r>
      <w:r w:rsidRPr="00F20B48">
        <w:rPr>
          <w:rFonts w:ascii="Arial" w:hAnsi="Arial" w:cs="Arial"/>
        </w:rPr>
        <w:t>directo e inverso</w:t>
      </w:r>
      <w:r>
        <w:rPr>
          <w:rFonts w:ascii="Arial" w:hAnsi="Arial" w:cs="Arial"/>
        </w:rPr>
        <w:t>)</w:t>
      </w:r>
      <w:r w:rsidRPr="00F20B48">
        <w:rPr>
          <w:rFonts w:ascii="Arial" w:hAnsi="Arial" w:cs="Arial"/>
        </w:rPr>
        <w:t xml:space="preserve"> para la implementación de</w:t>
      </w:r>
      <w:r>
        <w:rPr>
          <w:rFonts w:ascii="Arial" w:hAnsi="Arial" w:cs="Arial"/>
        </w:rPr>
        <w:t>l mencionado</w:t>
      </w:r>
      <w:r w:rsidRPr="00F20B48">
        <w:rPr>
          <w:rFonts w:ascii="Arial" w:hAnsi="Arial" w:cs="Arial"/>
        </w:rPr>
        <w:t xml:space="preserve"> proceso</w:t>
      </w:r>
      <w:r>
        <w:rPr>
          <w:rFonts w:ascii="Arial" w:hAnsi="Arial" w:cs="Arial"/>
        </w:rPr>
        <w:t xml:space="preserve">. Cabe señalar, que </w:t>
      </w:r>
      <w:r w:rsidRPr="00F20B48">
        <w:rPr>
          <w:rFonts w:ascii="Arial" w:hAnsi="Arial" w:cs="Arial"/>
        </w:rPr>
        <w:t xml:space="preserve">se obtiene el vector τ en forma general conforme a la configuración del robot </w:t>
      </w:r>
      <w:r>
        <w:rPr>
          <w:rFonts w:ascii="Arial" w:hAnsi="Arial" w:cs="Arial"/>
        </w:rPr>
        <w:t xml:space="preserve">en cuestión, </w:t>
      </w:r>
      <w:r w:rsidRPr="00F20B48">
        <w:rPr>
          <w:rFonts w:ascii="Arial" w:hAnsi="Arial" w:cs="Arial"/>
        </w:rPr>
        <w:t xml:space="preserve">para luego hallar </w:t>
      </w:r>
      <w:r>
        <w:rPr>
          <w:rFonts w:ascii="Arial" w:hAnsi="Arial" w:cs="Arial"/>
        </w:rPr>
        <w:t>este</w:t>
      </w:r>
      <w:r w:rsidRPr="00F20B48">
        <w:rPr>
          <w:rFonts w:ascii="Arial" w:hAnsi="Arial" w:cs="Arial"/>
        </w:rPr>
        <w:t xml:space="preserve"> vector τ par</w:t>
      </w:r>
      <w:r>
        <w:rPr>
          <w:rFonts w:ascii="Arial" w:hAnsi="Arial" w:cs="Arial"/>
        </w:rPr>
        <w:t>a las trayectorias articulares en línea con las prestaciones que debe realizar el robot</w:t>
      </w:r>
      <w:r w:rsidRPr="00F20B48">
        <w:rPr>
          <w:rFonts w:ascii="Arial" w:hAnsi="Arial" w:cs="Arial"/>
        </w:rPr>
        <w:t>.</w:t>
      </w:r>
      <w:r>
        <w:rPr>
          <w:rFonts w:ascii="Arial" w:hAnsi="Arial" w:cs="Arial"/>
        </w:rPr>
        <w:t xml:space="preserve"> </w:t>
      </w:r>
    </w:p>
    <w:p w:rsidR="00874DD5" w:rsidRPr="00856269" w:rsidRDefault="00874DD5" w:rsidP="00874DD5">
      <w:pPr>
        <w:ind w:firstLine="567"/>
        <w:jc w:val="both"/>
        <w:rPr>
          <w:rFonts w:ascii="Arial" w:hAnsi="Arial" w:cs="Arial"/>
        </w:rPr>
      </w:pPr>
    </w:p>
    <w:p w:rsidR="00874DD5" w:rsidRPr="00856269" w:rsidRDefault="00874DD5" w:rsidP="00874DD5">
      <w:pPr>
        <w:ind w:firstLine="567"/>
        <w:jc w:val="center"/>
        <w:rPr>
          <w:rFonts w:ascii="Arial" w:hAnsi="Arial" w:cs="Arial"/>
        </w:rPr>
      </w:pPr>
      <w:r>
        <w:rPr>
          <w:rFonts w:ascii="Arial" w:hAnsi="Arial" w:cs="Arial"/>
          <w:noProof/>
          <w:lang w:val="en-US"/>
        </w:rPr>
        <w:drawing>
          <wp:inline distT="0" distB="0" distL="0" distR="0" wp14:anchorId="1C43CB08" wp14:editId="6FD0B6FD">
            <wp:extent cx="5374005" cy="1019810"/>
            <wp:effectExtent l="0" t="0" r="0" b="8890"/>
            <wp:docPr id="2026623674" name="Imagen 202662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5374005" cy="1019810"/>
                    </a:xfrm>
                    <a:prstGeom prst="rect">
                      <a:avLst/>
                    </a:prstGeom>
                    <a:noFill/>
                  </pic:spPr>
                </pic:pic>
              </a:graphicData>
            </a:graphic>
          </wp:inline>
        </w:drawing>
      </w:r>
    </w:p>
    <w:p w:rsidR="00874DD5" w:rsidRPr="00856269" w:rsidRDefault="00874DD5" w:rsidP="00874DD5">
      <w:pPr>
        <w:jc w:val="center"/>
        <w:rPr>
          <w:rFonts w:ascii="Arial" w:hAnsi="Arial" w:cs="Arial"/>
        </w:rPr>
      </w:pPr>
      <w:r w:rsidRPr="00163EF1">
        <w:rPr>
          <w:rFonts w:ascii="Arial" w:hAnsi="Arial" w:cs="Arial"/>
          <w:bCs/>
          <w:i/>
          <w:sz w:val="20"/>
          <w:szCs w:val="20"/>
        </w:rPr>
        <w:t xml:space="preserve">Figura </w:t>
      </w:r>
      <w:r>
        <w:rPr>
          <w:rFonts w:ascii="Arial" w:hAnsi="Arial" w:cs="Arial"/>
          <w:bCs/>
          <w:i/>
          <w:sz w:val="20"/>
          <w:szCs w:val="20"/>
        </w:rPr>
        <w:t>3</w:t>
      </w:r>
      <w:r w:rsidRPr="00163EF1">
        <w:rPr>
          <w:rFonts w:ascii="Arial" w:hAnsi="Arial" w:cs="Arial"/>
          <w:bCs/>
          <w:i/>
          <w:sz w:val="20"/>
          <w:szCs w:val="20"/>
        </w:rPr>
        <w:t xml:space="preserve">. </w:t>
      </w:r>
      <w:r>
        <w:rPr>
          <w:rFonts w:ascii="Arial" w:hAnsi="Arial" w:cs="Arial"/>
          <w:i/>
          <w:sz w:val="20"/>
          <w:szCs w:val="20"/>
          <w:lang w:val="es-ES_tradnl"/>
        </w:rPr>
        <w:t>Insumos de Entrada y Producto de Salida al Módulo de Construcción del Modelo Dinámico</w:t>
      </w:r>
    </w:p>
    <w:p w:rsidR="00874DD5" w:rsidRPr="00AB7D0C" w:rsidRDefault="00874DD5" w:rsidP="00874DD5">
      <w:pPr>
        <w:ind w:firstLine="567"/>
        <w:jc w:val="both"/>
        <w:rPr>
          <w:rFonts w:ascii="Arial" w:hAnsi="Arial" w:cs="Arial"/>
        </w:rPr>
      </w:pPr>
    </w:p>
    <w:p w:rsidR="00874DD5" w:rsidRDefault="00874DD5" w:rsidP="00874DD5">
      <w:pPr>
        <w:ind w:firstLine="567"/>
        <w:jc w:val="both"/>
        <w:rPr>
          <w:rFonts w:ascii="Arial" w:hAnsi="Arial" w:cs="Arial"/>
        </w:rPr>
      </w:pPr>
      <w:r w:rsidRPr="00BD6822">
        <w:rPr>
          <w:rFonts w:ascii="Arial" w:hAnsi="Arial" w:cs="Arial"/>
        </w:rPr>
        <w:t xml:space="preserve">En </w:t>
      </w:r>
      <w:r>
        <w:rPr>
          <w:rFonts w:ascii="Arial" w:hAnsi="Arial" w:cs="Arial"/>
        </w:rPr>
        <w:t>las dos sub – secciones</w:t>
      </w:r>
      <w:r w:rsidRPr="00BD6822">
        <w:rPr>
          <w:rFonts w:ascii="Arial" w:hAnsi="Arial" w:cs="Arial"/>
        </w:rPr>
        <w:t xml:space="preserve"> </w:t>
      </w:r>
      <w:r>
        <w:rPr>
          <w:rFonts w:ascii="Arial" w:hAnsi="Arial" w:cs="Arial"/>
        </w:rPr>
        <w:t xml:space="preserve">siguientes </w:t>
      </w:r>
      <w:r w:rsidRPr="00BD6822">
        <w:rPr>
          <w:rFonts w:ascii="Arial" w:hAnsi="Arial" w:cs="Arial"/>
        </w:rPr>
        <w:t xml:space="preserve">se analizan </w:t>
      </w:r>
      <w:r>
        <w:rPr>
          <w:rFonts w:ascii="Arial" w:hAnsi="Arial" w:cs="Arial"/>
        </w:rPr>
        <w:t xml:space="preserve">las características de </w:t>
      </w:r>
      <w:r w:rsidRPr="00BD6822">
        <w:rPr>
          <w:rFonts w:ascii="Arial" w:hAnsi="Arial" w:cs="Arial"/>
        </w:rPr>
        <w:t xml:space="preserve">las dos herramientas </w:t>
      </w:r>
      <w:r>
        <w:rPr>
          <w:rFonts w:ascii="Arial" w:hAnsi="Arial" w:cs="Arial"/>
        </w:rPr>
        <w:t>principales</w:t>
      </w:r>
      <w:r w:rsidRPr="00BD6822">
        <w:rPr>
          <w:rFonts w:ascii="Arial" w:hAnsi="Arial" w:cs="Arial"/>
        </w:rPr>
        <w:t xml:space="preserve"> del proceso propuesto</w:t>
      </w:r>
      <w:r>
        <w:rPr>
          <w:rFonts w:ascii="Arial" w:hAnsi="Arial" w:cs="Arial"/>
        </w:rPr>
        <w:t>; considerando que ambas provienen de la mecánica analítica y se adaptan al análisis dinámico de un robot manipulador</w:t>
      </w:r>
      <w:r w:rsidRPr="00BD6822">
        <w:rPr>
          <w:rFonts w:ascii="Arial" w:hAnsi="Arial" w:cs="Arial"/>
        </w:rPr>
        <w:t xml:space="preserve">. </w:t>
      </w:r>
    </w:p>
    <w:p w:rsidR="00874DD5" w:rsidRDefault="00874DD5" w:rsidP="00874DD5">
      <w:pPr>
        <w:jc w:val="both"/>
        <w:rPr>
          <w:rFonts w:ascii="Arial" w:hAnsi="Arial" w:cs="Arial"/>
        </w:rPr>
      </w:pPr>
    </w:p>
    <w:p w:rsidR="00874DD5" w:rsidRDefault="00874DD5" w:rsidP="00874DD5">
      <w:pPr>
        <w:spacing w:line="360" w:lineRule="auto"/>
        <w:jc w:val="both"/>
        <w:rPr>
          <w:rFonts w:ascii="Arial" w:hAnsi="Arial" w:cs="Arial"/>
        </w:rPr>
      </w:pPr>
      <w:r>
        <w:rPr>
          <w:rFonts w:ascii="Arial" w:hAnsi="Arial" w:cs="Arial"/>
          <w:i/>
          <w:color w:val="000000"/>
        </w:rPr>
        <w:t>2.2</w:t>
      </w:r>
      <w:r w:rsidRPr="00BC5E0A">
        <w:rPr>
          <w:rFonts w:ascii="Arial" w:hAnsi="Arial" w:cs="Arial"/>
          <w:i/>
          <w:color w:val="000000"/>
        </w:rPr>
        <w:t xml:space="preserve"> </w:t>
      </w:r>
      <w:r>
        <w:rPr>
          <w:rFonts w:ascii="Arial" w:hAnsi="Arial" w:cs="Arial"/>
          <w:i/>
          <w:color w:val="000000"/>
        </w:rPr>
        <w:t>Aspectos fundamentales del Modelo Dinámico para un Robot Manipulador</w:t>
      </w:r>
    </w:p>
    <w:p w:rsidR="00874DD5" w:rsidRDefault="00874DD5" w:rsidP="00874DD5">
      <w:pPr>
        <w:ind w:firstLine="567"/>
        <w:jc w:val="both"/>
        <w:rPr>
          <w:rFonts w:ascii="Arial" w:hAnsi="Arial" w:cs="Arial"/>
        </w:rPr>
      </w:pPr>
      <w:r w:rsidRPr="00623A45">
        <w:rPr>
          <w:rFonts w:ascii="Arial" w:hAnsi="Arial" w:cs="Arial"/>
        </w:rPr>
        <w:t xml:space="preserve">La descripción matemática del modelo dinámico de un robot manipulador de n grados de libertad, está dada por la ecuación diferencial </w:t>
      </w:r>
      <w:r>
        <w:rPr>
          <w:rFonts w:ascii="Arial" w:hAnsi="Arial" w:cs="Arial"/>
        </w:rPr>
        <w:t xml:space="preserve">compleja y de naturaleza continua. Esta ecuación es </w:t>
      </w:r>
      <w:r w:rsidRPr="00B6591E">
        <w:rPr>
          <w:rFonts w:ascii="Arial" w:hAnsi="Arial" w:cs="Arial"/>
        </w:rPr>
        <w:t xml:space="preserve">multivariable con dinámica fuertemente acoplada y “no lineal” en el vector de estados </w:t>
      </w:r>
      <w:r w:rsidRPr="003C2A75">
        <w:rPr>
          <w:b/>
          <w:bCs/>
          <w:position w:val="-10"/>
          <w:sz w:val="22"/>
          <w:szCs w:val="22"/>
        </w:rPr>
        <w:object w:dxaOrig="940" w:dyaOrig="499">
          <v:shape id="_x0000_i1419" type="#_x0000_t75" style="width:50.4pt;height:21.6pt" o:ole="">
            <v:imagedata r:id="rId1025" o:title=""/>
          </v:shape>
          <o:OLEObject Type="Embed" ProgID="Equation.3" ShapeID="_x0000_i1419" DrawAspect="Content" ObjectID="_1660649516" r:id="rId1026"/>
        </w:object>
      </w:r>
      <w:r w:rsidRPr="00B6591E">
        <w:rPr>
          <w:rFonts w:ascii="Arial" w:hAnsi="Arial" w:cs="Arial"/>
        </w:rPr>
        <w:t xml:space="preserve">; además de ser válida </w:t>
      </w:r>
      <w:r>
        <w:rPr>
          <w:rFonts w:ascii="Arial" w:hAnsi="Arial" w:cs="Arial"/>
        </w:rPr>
        <w:t>para un robot con</w:t>
      </w:r>
      <w:r w:rsidRPr="00B6591E">
        <w:rPr>
          <w:rFonts w:ascii="Arial" w:hAnsi="Arial" w:cs="Arial"/>
        </w:rPr>
        <w:t xml:space="preserve"> una estructura en cadena cinemática abierta</w:t>
      </w:r>
      <w:r>
        <w:rPr>
          <w:rFonts w:ascii="Arial" w:hAnsi="Arial" w:cs="Arial"/>
        </w:rPr>
        <w:t xml:space="preserve">, </w:t>
      </w:r>
      <w:r w:rsidRPr="00B6591E">
        <w:rPr>
          <w:rFonts w:ascii="Arial" w:hAnsi="Arial" w:cs="Arial"/>
        </w:rPr>
        <w:t>que no incluye el fenómeno de elasticidad</w:t>
      </w:r>
      <w:r>
        <w:rPr>
          <w:rFonts w:ascii="Arial" w:hAnsi="Arial" w:cs="Arial"/>
        </w:rPr>
        <w:t xml:space="preserve"> (1).</w:t>
      </w:r>
    </w:p>
    <w:p w:rsidR="00874DD5" w:rsidRPr="002535C3" w:rsidRDefault="00874DD5" w:rsidP="00874DD5">
      <w:pPr>
        <w:spacing w:before="120" w:after="120"/>
        <w:ind w:firstLine="567"/>
        <w:jc w:val="center"/>
        <w:rPr>
          <w:rFonts w:ascii="Arial" w:hAnsi="Arial" w:cs="Arial"/>
        </w:rPr>
      </w:pPr>
      <w:r>
        <w:rPr>
          <w:rFonts w:ascii="Arial" w:hAnsi="Arial" w:cs="Arial"/>
          <w:b/>
          <w:bCs/>
        </w:rPr>
        <w:t xml:space="preserve">                          </w:t>
      </w:r>
      <w:r w:rsidRPr="00D90A4F">
        <w:rPr>
          <w:rFonts w:ascii="Arial" w:hAnsi="Arial" w:cs="Arial"/>
          <w:b/>
          <w:bCs/>
          <w:position w:val="-14"/>
        </w:rPr>
        <w:object w:dxaOrig="4200" w:dyaOrig="520">
          <v:shape id="_x0000_i1420" type="#_x0000_t75" style="width:201.6pt;height:28.8pt" o:ole="">
            <v:imagedata r:id="rId1027" o:title=""/>
          </v:shape>
          <o:OLEObject Type="Embed" ProgID="Equation.3" ShapeID="_x0000_i1420" DrawAspect="Content" ObjectID="_1660649517" r:id="rId1028"/>
        </w:object>
      </w:r>
      <w:r>
        <w:rPr>
          <w:rFonts w:ascii="Arial" w:hAnsi="Arial" w:cs="Arial"/>
          <w:b/>
          <w:bCs/>
        </w:rPr>
        <w:t xml:space="preserve">                                 </w:t>
      </w:r>
      <w:r w:rsidRPr="00116C2E">
        <w:rPr>
          <w:rFonts w:ascii="Arial" w:hAnsi="Arial" w:cs="Arial"/>
          <w:bCs/>
        </w:rPr>
        <w:t>(</w:t>
      </w:r>
      <w:r w:rsidRPr="00623A45">
        <w:rPr>
          <w:bCs/>
          <w:sz w:val="22"/>
          <w:szCs w:val="22"/>
        </w:rPr>
        <w:t>1)</w:t>
      </w:r>
    </w:p>
    <w:p w:rsidR="00874DD5" w:rsidRDefault="00874DD5" w:rsidP="00874DD5">
      <w:pPr>
        <w:ind w:firstLine="567"/>
        <w:jc w:val="both"/>
        <w:rPr>
          <w:rFonts w:ascii="Arial" w:hAnsi="Arial" w:cs="Arial"/>
          <w:lang w:val="es-ES_tradnl"/>
        </w:rPr>
      </w:pPr>
      <w:r w:rsidRPr="00C24A85">
        <w:rPr>
          <w:rFonts w:ascii="Arial" w:hAnsi="Arial" w:cs="Arial"/>
          <w:lang w:val="es-ES_tradnl"/>
        </w:rPr>
        <w:t xml:space="preserve">Donde </w:t>
      </w:r>
      <w:r w:rsidRPr="00C24A85">
        <w:rPr>
          <w:rFonts w:ascii="Arial" w:hAnsi="Arial" w:cs="Arial"/>
          <w:b/>
          <w:bCs/>
          <w:position w:val="-10"/>
        </w:rPr>
        <w:object w:dxaOrig="440" w:dyaOrig="320">
          <v:shape id="_x0000_i1421" type="#_x0000_t75" style="width:21.6pt;height:14.4pt" o:ole="">
            <v:imagedata r:id="rId1029" o:title=""/>
          </v:shape>
          <o:OLEObject Type="Embed" ProgID="Equation.3" ShapeID="_x0000_i1421" DrawAspect="Content" ObjectID="_1660649518" r:id="rId1030"/>
        </w:object>
      </w:r>
      <w:r>
        <w:rPr>
          <w:rFonts w:ascii="Arial" w:hAnsi="Arial" w:cs="Arial"/>
          <w:lang w:val="es-ES_tradnl"/>
        </w:rPr>
        <w:t xml:space="preserve"> </w:t>
      </w:r>
      <w:r w:rsidRPr="00C24A85">
        <w:rPr>
          <w:rFonts w:ascii="Arial" w:hAnsi="Arial" w:cs="Arial"/>
          <w:lang w:val="es-ES_tradnl"/>
        </w:rPr>
        <w:t>es el vector de fuerzas o pares que se aplica a cada articulación, q ϵ R</w:t>
      </w:r>
      <w:r w:rsidRPr="00BE3829">
        <w:rPr>
          <w:rFonts w:ascii="Arial" w:hAnsi="Arial" w:cs="Arial"/>
          <w:vertAlign w:val="superscript"/>
          <w:lang w:val="es-ES_tradnl"/>
        </w:rPr>
        <w:t>n</w:t>
      </w:r>
      <w:r w:rsidRPr="00C24A85">
        <w:rPr>
          <w:rFonts w:ascii="Arial" w:hAnsi="Arial" w:cs="Arial"/>
          <w:lang w:val="es-ES_tradnl"/>
        </w:rPr>
        <w:t xml:space="preserve"> es el vector de posiciones articulares o coordenadas generalizadas</w:t>
      </w:r>
      <w:r w:rsidRPr="00C24A85">
        <w:rPr>
          <w:rStyle w:val="Refdenotaalpie"/>
          <w:rFonts w:ascii="Arial" w:hAnsi="Arial" w:cs="Arial"/>
          <w:bCs/>
        </w:rPr>
        <w:footnoteReference w:id="4"/>
      </w:r>
      <w:r w:rsidRPr="00C24A85">
        <w:rPr>
          <w:rFonts w:ascii="Arial" w:hAnsi="Arial" w:cs="Arial"/>
          <w:lang w:val="es-ES_tradnl"/>
        </w:rPr>
        <w:t xml:space="preserve">, </w:t>
      </w:r>
      <w:r w:rsidRPr="00C24A85">
        <w:rPr>
          <w:rFonts w:ascii="Arial" w:hAnsi="Arial" w:cs="Arial"/>
          <w:b/>
          <w:bCs/>
          <w:position w:val="-10"/>
        </w:rPr>
        <w:object w:dxaOrig="700" w:dyaOrig="480">
          <v:shape id="_x0000_i1422" type="#_x0000_t75" style="width:36pt;height:21.6pt" o:ole="">
            <v:imagedata r:id="rId1031" o:title=""/>
          </v:shape>
          <o:OLEObject Type="Embed" ProgID="Equation.3" ShapeID="_x0000_i1422" DrawAspect="Content" ObjectID="_1660649519" r:id="rId1032"/>
        </w:object>
      </w:r>
      <w:r w:rsidRPr="00C24A85">
        <w:rPr>
          <w:rFonts w:ascii="Arial" w:hAnsi="Arial" w:cs="Arial"/>
          <w:lang w:val="es-ES_tradnl"/>
        </w:rPr>
        <w:t xml:space="preserve"> es el vector de velocidades </w:t>
      </w:r>
      <w:r w:rsidRPr="00C24A85">
        <w:rPr>
          <w:rFonts w:ascii="Arial" w:hAnsi="Arial" w:cs="Arial"/>
          <w:lang w:val="es-ES_tradnl"/>
        </w:rPr>
        <w:lastRenderedPageBreak/>
        <w:t xml:space="preserve">articulares, </w:t>
      </w:r>
      <w:r w:rsidRPr="00C24A85">
        <w:rPr>
          <w:rFonts w:ascii="Arial" w:hAnsi="Arial" w:cs="Arial"/>
          <w:b/>
          <w:bCs/>
          <w:position w:val="-10"/>
        </w:rPr>
        <w:object w:dxaOrig="700" w:dyaOrig="480">
          <v:shape id="_x0000_i1423" type="#_x0000_t75" style="width:28.8pt;height:21.6pt" o:ole="">
            <v:imagedata r:id="rId1033" o:title=""/>
          </v:shape>
          <o:OLEObject Type="Embed" ProgID="Equation.3" ShapeID="_x0000_i1423" DrawAspect="Content" ObjectID="_1660649520" r:id="rId1034"/>
        </w:object>
      </w:r>
      <w:r>
        <w:rPr>
          <w:rFonts w:ascii="Arial" w:hAnsi="Arial" w:cs="Arial"/>
          <w:lang w:val="es-ES_tradnl"/>
        </w:rPr>
        <w:t xml:space="preserve"> </w:t>
      </w:r>
      <w:r w:rsidRPr="00C24A85">
        <w:rPr>
          <w:rFonts w:ascii="Arial" w:hAnsi="Arial" w:cs="Arial"/>
          <w:lang w:val="es-ES_tradnl"/>
        </w:rPr>
        <w:t>es el vector de aceleraciones</w:t>
      </w:r>
      <w:r>
        <w:rPr>
          <w:rFonts w:ascii="Arial" w:hAnsi="Arial" w:cs="Arial"/>
          <w:lang w:val="es-ES_tradnl"/>
        </w:rPr>
        <w:t xml:space="preserve"> articulares. A su vez, e</w:t>
      </w:r>
      <w:r w:rsidRPr="002535C3">
        <w:rPr>
          <w:rFonts w:ascii="Arial" w:hAnsi="Arial" w:cs="Arial"/>
          <w:lang w:val="es-ES_tradnl"/>
        </w:rPr>
        <w:t xml:space="preserve">l modelo dinámico posee propiedades </w:t>
      </w:r>
      <w:r>
        <w:rPr>
          <w:rFonts w:ascii="Arial" w:hAnsi="Arial" w:cs="Arial"/>
          <w:lang w:val="es-ES_tradnl"/>
        </w:rPr>
        <w:t>fundamentales para el estudio del</w:t>
      </w:r>
      <w:r w:rsidRPr="002535C3">
        <w:rPr>
          <w:rFonts w:ascii="Arial" w:hAnsi="Arial" w:cs="Arial"/>
          <w:lang w:val="es-ES_tradnl"/>
        </w:rPr>
        <w:t xml:space="preserve"> control de robots manipuladores; </w:t>
      </w:r>
      <w:r>
        <w:rPr>
          <w:rFonts w:ascii="Arial" w:hAnsi="Arial" w:cs="Arial"/>
          <w:lang w:val="es-ES_tradnl"/>
        </w:rPr>
        <w:t>las cuales están asociadas a cada uno de los términos.</w:t>
      </w:r>
    </w:p>
    <w:p w:rsidR="00874DD5" w:rsidRDefault="00874DD5" w:rsidP="00390F7C">
      <w:pPr>
        <w:numPr>
          <w:ilvl w:val="0"/>
          <w:numId w:val="42"/>
        </w:numPr>
        <w:tabs>
          <w:tab w:val="left" w:pos="142"/>
        </w:tabs>
        <w:suppressAutoHyphens/>
        <w:spacing w:after="0" w:line="240" w:lineRule="auto"/>
        <w:ind w:left="0" w:firstLine="0"/>
        <w:jc w:val="both"/>
        <w:rPr>
          <w:rFonts w:ascii="Arial" w:hAnsi="Arial" w:cs="Arial"/>
          <w:lang w:val="es-ES_tradnl"/>
        </w:rPr>
      </w:pPr>
      <w:r w:rsidRPr="00BD016B">
        <w:rPr>
          <w:rFonts w:ascii="Arial" w:hAnsi="Arial" w:cs="Arial"/>
          <w:i/>
          <w:lang w:val="es-ES_tradnl"/>
        </w:rPr>
        <w:t>Efectos inerciales</w:t>
      </w:r>
      <w:r w:rsidRPr="002535C3">
        <w:rPr>
          <w:rFonts w:ascii="Arial" w:hAnsi="Arial" w:cs="Arial"/>
          <w:lang w:val="es-ES_tradnl"/>
        </w:rPr>
        <w:t xml:space="preserve">: está representado por </w:t>
      </w:r>
      <w:r>
        <w:rPr>
          <w:rFonts w:ascii="Arial" w:hAnsi="Arial" w:cs="Arial"/>
          <w:lang w:val="es-ES_tradnl"/>
        </w:rPr>
        <w:t xml:space="preserve">el producto entre </w:t>
      </w:r>
      <w:r w:rsidRPr="002535C3">
        <w:rPr>
          <w:rFonts w:ascii="Arial" w:hAnsi="Arial" w:cs="Arial"/>
          <w:lang w:val="es-ES_tradnl"/>
        </w:rPr>
        <w:t>la matriz de inercia</w:t>
      </w:r>
      <w:r>
        <w:rPr>
          <w:rFonts w:ascii="Arial" w:hAnsi="Arial" w:cs="Arial"/>
          <w:lang w:val="es-ES_tradnl"/>
        </w:rPr>
        <w:t xml:space="preserve"> y la aceleración articular</w:t>
      </w:r>
      <w:r w:rsidRPr="002535C3">
        <w:rPr>
          <w:rFonts w:ascii="Arial" w:hAnsi="Arial" w:cs="Arial"/>
          <w:lang w:val="es-ES_tradnl"/>
        </w:rPr>
        <w:t xml:space="preserve"> </w:t>
      </w:r>
      <w:r w:rsidRPr="00376D40">
        <w:rPr>
          <w:b/>
          <w:bCs/>
          <w:position w:val="-10"/>
          <w:sz w:val="22"/>
          <w:szCs w:val="22"/>
        </w:rPr>
        <w:object w:dxaOrig="780" w:dyaOrig="480">
          <v:shape id="_x0000_i1424" type="#_x0000_t75" style="width:36pt;height:21.6pt" o:ole="">
            <v:imagedata r:id="rId1035" o:title=""/>
          </v:shape>
          <o:OLEObject Type="Embed" ProgID="Equation.3" ShapeID="_x0000_i1424" DrawAspect="Content" ObjectID="_1660649521" r:id="rId1036"/>
        </w:object>
      </w:r>
      <w:r w:rsidRPr="002535C3">
        <w:rPr>
          <w:rFonts w:ascii="Arial" w:hAnsi="Arial" w:cs="Arial"/>
          <w:lang w:val="es-ES_tradnl"/>
        </w:rPr>
        <w:t xml:space="preserve"> , </w:t>
      </w:r>
      <w:r>
        <w:rPr>
          <w:rFonts w:ascii="Arial" w:hAnsi="Arial" w:cs="Arial"/>
          <w:lang w:val="es-ES_tradnl"/>
        </w:rPr>
        <w:t xml:space="preserve">y </w:t>
      </w:r>
      <w:r w:rsidRPr="002535C3">
        <w:rPr>
          <w:rFonts w:ascii="Arial" w:hAnsi="Arial" w:cs="Arial"/>
          <w:lang w:val="es-ES_tradnl"/>
        </w:rPr>
        <w:t>cuyo principal significado se manifiesta en el cambio de estado de movimiento del robot. A su vez, la matriz M (q)</w:t>
      </w:r>
      <w:r w:rsidRPr="00BD016B">
        <w:rPr>
          <w:rFonts w:ascii="Arial" w:hAnsi="Arial" w:cs="Arial"/>
          <w:vertAlign w:val="superscript"/>
          <w:lang w:val="es-ES_tradnl"/>
        </w:rPr>
        <w:t>nxn</w:t>
      </w:r>
      <w:r w:rsidRPr="002535C3">
        <w:rPr>
          <w:rFonts w:ascii="Arial" w:hAnsi="Arial" w:cs="Arial"/>
          <w:lang w:val="es-ES_tradnl"/>
        </w:rPr>
        <w:t xml:space="preserve"> (siendo n los grados de libertad del robot) es una matriz simétrica </w:t>
      </w:r>
      <w:r w:rsidRPr="000905C2">
        <w:rPr>
          <w:bCs/>
          <w:position w:val="-10"/>
          <w:sz w:val="22"/>
          <w:szCs w:val="22"/>
        </w:rPr>
        <w:object w:dxaOrig="1480" w:dyaOrig="360">
          <v:shape id="_x0000_i1425" type="#_x0000_t75" style="width:1in;height:21.6pt" o:ole="">
            <v:imagedata r:id="rId1037" o:title=""/>
          </v:shape>
          <o:OLEObject Type="Embed" ProgID="Equation.3" ShapeID="_x0000_i1425" DrawAspect="Content" ObjectID="_1660649522" r:id="rId1038"/>
        </w:object>
      </w:r>
      <w:r w:rsidRPr="002535C3">
        <w:rPr>
          <w:rFonts w:ascii="Arial" w:hAnsi="Arial" w:cs="Arial"/>
          <w:lang w:val="es-ES_tradnl"/>
        </w:rPr>
        <w:t>, definida positiva M (q) &gt; 0 y, por lo tanto, que admite inversa (</w:t>
      </w:r>
      <w:r w:rsidRPr="000905C2">
        <w:rPr>
          <w:bCs/>
          <w:position w:val="-10"/>
          <w:sz w:val="22"/>
          <w:szCs w:val="22"/>
        </w:rPr>
        <w:object w:dxaOrig="920" w:dyaOrig="360">
          <v:shape id="_x0000_i1426" type="#_x0000_t75" style="width:43.2pt;height:21.6pt" o:ole="">
            <v:imagedata r:id="rId1039" o:title=""/>
          </v:shape>
          <o:OLEObject Type="Embed" ProgID="Equation.3" ShapeID="_x0000_i1426" DrawAspect="Content" ObjectID="_1660649523" r:id="rId1040"/>
        </w:object>
      </w:r>
      <w:r w:rsidRPr="002535C3">
        <w:rPr>
          <w:rFonts w:ascii="Arial" w:hAnsi="Arial" w:cs="Arial"/>
          <w:lang w:val="es-ES_tradnl"/>
        </w:rPr>
        <w:t>).Los elementos de la matriz M dependen de las variables articulares y sus coeficientes son expresiones que incluyen las masas concentradas y las longitudes entre ellas.</w:t>
      </w:r>
    </w:p>
    <w:p w:rsidR="00874DD5" w:rsidRPr="002F4B52" w:rsidRDefault="00874DD5" w:rsidP="00390F7C">
      <w:pPr>
        <w:numPr>
          <w:ilvl w:val="0"/>
          <w:numId w:val="42"/>
        </w:numPr>
        <w:tabs>
          <w:tab w:val="left" w:pos="142"/>
          <w:tab w:val="left" w:pos="567"/>
        </w:tabs>
        <w:suppressAutoHyphens/>
        <w:spacing w:after="0" w:line="240" w:lineRule="auto"/>
        <w:ind w:left="0" w:firstLine="0"/>
        <w:jc w:val="both"/>
        <w:rPr>
          <w:rFonts w:ascii="Arial" w:hAnsi="Arial" w:cs="Arial"/>
          <w:lang w:val="es-ES_tradnl"/>
        </w:rPr>
      </w:pPr>
      <w:r w:rsidRPr="00BD016B">
        <w:rPr>
          <w:rFonts w:ascii="Arial" w:hAnsi="Arial" w:cs="Arial"/>
          <w:bCs/>
          <w:i/>
        </w:rPr>
        <w:t>Fuerzas Centrípetas y de Coriolis</w:t>
      </w:r>
      <w:r w:rsidRPr="00BD016B">
        <w:rPr>
          <w:rFonts w:ascii="Arial" w:hAnsi="Arial" w:cs="Arial"/>
          <w:bCs/>
        </w:rPr>
        <w:t>:</w:t>
      </w:r>
      <w:r>
        <w:rPr>
          <w:rFonts w:ascii="Arial" w:hAnsi="Arial" w:cs="Arial"/>
          <w:bCs/>
        </w:rPr>
        <w:t xml:space="preserve"> </w:t>
      </w:r>
      <w:r w:rsidRPr="006C169F">
        <w:rPr>
          <w:rFonts w:ascii="Arial" w:hAnsi="Arial" w:cs="Arial"/>
          <w:b/>
          <w:bCs/>
          <w:position w:val="-10"/>
        </w:rPr>
        <w:object w:dxaOrig="1380" w:dyaOrig="480">
          <v:shape id="_x0000_i1427" type="#_x0000_t75" style="width:57.6pt;height:21.6pt" o:ole="">
            <v:imagedata r:id="rId1041" o:title=""/>
          </v:shape>
          <o:OLEObject Type="Embed" ProgID="Equation.3" ShapeID="_x0000_i1427" DrawAspect="Content" ObjectID="_1660649524" r:id="rId1042"/>
        </w:object>
      </w:r>
      <w:r>
        <w:rPr>
          <w:rFonts w:ascii="Arial" w:hAnsi="Arial" w:cs="Arial"/>
          <w:lang w:val="es-ES_tradnl"/>
        </w:rPr>
        <w:t xml:space="preserve"> </w:t>
      </w:r>
      <w:r w:rsidRPr="00BE3829">
        <w:rPr>
          <w:rFonts w:ascii="Arial" w:hAnsi="Arial" w:cs="Arial"/>
          <w:lang w:val="es-ES_tradnl"/>
        </w:rPr>
        <w:t>es la matriz de fuerzas centrípetas (fuerzas radiales en movimientos curvilíneos hacia adentro del centro de curvatura) y de Coriolis (esta fuerza representa la desviación del movimiento de traslación a raíz de su componente de rotación [9] y, al igual que la matriz M(q), también es vital en el estudio de la estabilidad del sistema de control del robot [10]),</w:t>
      </w:r>
      <w:r w:rsidRPr="00BD016B">
        <w:rPr>
          <w:rFonts w:ascii="Arial" w:hAnsi="Arial" w:cs="Arial"/>
          <w:bCs/>
        </w:rPr>
        <w:t xml:space="preserve"> </w:t>
      </w:r>
      <w:r>
        <w:rPr>
          <w:rFonts w:ascii="Arial" w:hAnsi="Arial" w:cs="Arial"/>
          <w:bCs/>
        </w:rPr>
        <w:t>.</w:t>
      </w:r>
      <w:r>
        <w:rPr>
          <w:rFonts w:ascii="Arial" w:hAnsi="Arial" w:cs="Arial"/>
          <w:lang w:val="es-ES_tradnl"/>
        </w:rPr>
        <w:t>A su vez,</w:t>
      </w:r>
      <w:r w:rsidRPr="00BD016B">
        <w:rPr>
          <w:rFonts w:ascii="Arial" w:hAnsi="Arial" w:cs="Arial"/>
          <w:lang w:val="es-ES_tradnl"/>
        </w:rPr>
        <w:t xml:space="preserve"> (</w:t>
      </w:r>
      <w:r w:rsidRPr="00BD016B">
        <w:rPr>
          <w:rFonts w:ascii="Arial" w:hAnsi="Arial" w:cs="Arial"/>
          <w:bCs/>
          <w:position w:val="-12"/>
        </w:rPr>
        <w:object w:dxaOrig="1100" w:dyaOrig="499">
          <v:shape id="_x0000_i1428" type="#_x0000_t75" style="width:43.2pt;height:21.6pt" o:ole="">
            <v:imagedata r:id="rId1043" o:title=""/>
          </v:shape>
          <o:OLEObject Type="Embed" ProgID="Equation.3" ShapeID="_x0000_i1428" DrawAspect="Content" ObjectID="_1660649525" r:id="rId1044"/>
        </w:object>
      </w:r>
      <w:r w:rsidRPr="00BD016B">
        <w:rPr>
          <w:rFonts w:ascii="Arial" w:hAnsi="Arial" w:cs="Arial"/>
          <w:bCs/>
        </w:rPr>
        <w:t>)</w:t>
      </w:r>
      <w:r>
        <w:rPr>
          <w:rFonts w:ascii="Arial" w:hAnsi="Arial" w:cs="Arial"/>
          <w:bCs/>
        </w:rPr>
        <w:t xml:space="preserve"> d</w:t>
      </w:r>
      <w:r w:rsidRPr="00BD016B">
        <w:rPr>
          <w:rFonts w:ascii="Arial" w:hAnsi="Arial" w:cs="Arial"/>
          <w:bCs/>
        </w:rPr>
        <w:t xml:space="preserve">epende </w:t>
      </w:r>
      <w:r w:rsidRPr="002F4B52">
        <w:rPr>
          <w:rFonts w:ascii="Arial" w:hAnsi="Arial" w:cs="Arial"/>
          <w:bCs/>
        </w:rPr>
        <w:t xml:space="preserve">de </w:t>
      </w:r>
      <w:r w:rsidRPr="002F4B52">
        <w:rPr>
          <w:rFonts w:ascii="Arial" w:hAnsi="Arial" w:cs="Arial"/>
          <w:bCs/>
          <w:position w:val="-10"/>
        </w:rPr>
        <w:object w:dxaOrig="720" w:dyaOrig="480">
          <v:shape id="_x0000_i1429" type="#_x0000_t75" style="width:28.8pt;height:21.6pt" o:ole="">
            <v:imagedata r:id="rId1045" o:title=""/>
          </v:shape>
          <o:OLEObject Type="Embed" ProgID="Equation.3" ShapeID="_x0000_i1429" DrawAspect="Content" ObjectID="_1660649526" r:id="rId1046"/>
        </w:object>
      </w:r>
      <w:r w:rsidRPr="002F4B52">
        <w:rPr>
          <w:rFonts w:ascii="Arial" w:hAnsi="Arial" w:cs="Arial"/>
          <w:bCs/>
        </w:rPr>
        <w:t xml:space="preserve"> y no es única; pero el vector </w:t>
      </w:r>
      <w:r w:rsidRPr="002F4B52">
        <w:rPr>
          <w:rFonts w:ascii="Arial" w:hAnsi="Arial" w:cs="Arial"/>
          <w:bCs/>
          <w:position w:val="-12"/>
        </w:rPr>
        <w:object w:dxaOrig="1579" w:dyaOrig="499">
          <v:shape id="_x0000_i1430" type="#_x0000_t75" style="width:1in;height:21.6pt" o:ole="">
            <v:imagedata r:id="rId1047" o:title=""/>
          </v:shape>
          <o:OLEObject Type="Embed" ProgID="Equation.3" ShapeID="_x0000_i1430" DrawAspect="Content" ObjectID="_1660649527" r:id="rId1048"/>
        </w:object>
      </w:r>
      <w:r w:rsidRPr="002F4B52">
        <w:rPr>
          <w:rFonts w:ascii="Arial" w:hAnsi="Arial" w:cs="Arial"/>
          <w:bCs/>
        </w:rPr>
        <w:t xml:space="preserve"> si lo es. Las fuerzas centrípetas son radiales y se originan debido al movimiento de rotación; mientras que las fuerzas de Coriolis, se deben al movimiento relativo existente entre los distintos elementos que dependen de la configuración instantánea del manipulador, y siempre contienen el producto de dos velocidades de articulación distintas. </w:t>
      </w:r>
    </w:p>
    <w:p w:rsidR="00874DD5" w:rsidRPr="002F4B52" w:rsidRDefault="00874DD5" w:rsidP="00390F7C">
      <w:pPr>
        <w:numPr>
          <w:ilvl w:val="0"/>
          <w:numId w:val="42"/>
        </w:numPr>
        <w:tabs>
          <w:tab w:val="left" w:pos="142"/>
          <w:tab w:val="left" w:pos="567"/>
        </w:tabs>
        <w:suppressAutoHyphens/>
        <w:spacing w:after="0" w:line="240" w:lineRule="auto"/>
        <w:ind w:left="0" w:firstLine="0"/>
        <w:jc w:val="both"/>
        <w:rPr>
          <w:rFonts w:ascii="Arial" w:hAnsi="Arial" w:cs="Arial"/>
          <w:lang w:val="es-ES_tradnl"/>
        </w:rPr>
      </w:pPr>
      <w:r w:rsidRPr="002F4B52">
        <w:rPr>
          <w:rFonts w:ascii="Arial" w:hAnsi="Arial" w:cs="Arial"/>
          <w:i/>
          <w:lang w:val="es-ES_tradnl"/>
        </w:rPr>
        <w:t>Efecto gravitacional</w:t>
      </w:r>
      <w:r w:rsidRPr="002F4B52">
        <w:rPr>
          <w:rFonts w:ascii="Arial" w:hAnsi="Arial" w:cs="Arial"/>
          <w:lang w:val="es-ES_tradnl"/>
        </w:rPr>
        <w:t>: G(q) ϵ R</w:t>
      </w:r>
      <w:r w:rsidRPr="002F4B52">
        <w:rPr>
          <w:rFonts w:ascii="Arial" w:hAnsi="Arial" w:cs="Arial"/>
          <w:vertAlign w:val="superscript"/>
          <w:lang w:val="es-ES_tradnl"/>
        </w:rPr>
        <w:t>n</w:t>
      </w:r>
      <w:r w:rsidRPr="002F4B52">
        <w:rPr>
          <w:rFonts w:ascii="Arial" w:hAnsi="Arial" w:cs="Arial"/>
          <w:lang w:val="es-ES_tradnl"/>
        </w:rPr>
        <w:t xml:space="preserve"> es el vector de pares gravitacionales (vector gradiente   de la energía potencial)</w:t>
      </w:r>
      <w:r>
        <w:rPr>
          <w:rFonts w:ascii="Arial" w:hAnsi="Arial" w:cs="Arial"/>
          <w:lang w:val="es-ES_tradnl"/>
        </w:rPr>
        <w:t xml:space="preserve"> y </w:t>
      </w:r>
      <w:r w:rsidRPr="002F4B52">
        <w:rPr>
          <w:rFonts w:ascii="Arial" w:hAnsi="Arial" w:cs="Arial"/>
          <w:lang w:val="es-ES_tradnl"/>
        </w:rPr>
        <w:t>depende</w:t>
      </w:r>
      <w:r>
        <w:rPr>
          <w:rFonts w:ascii="Arial" w:hAnsi="Arial" w:cs="Arial"/>
          <w:lang w:val="es-ES_tradnl"/>
        </w:rPr>
        <w:t xml:space="preserve"> de las variables articulares q</w:t>
      </w:r>
      <w:r>
        <w:rPr>
          <w:rFonts w:ascii="Arial" w:hAnsi="Arial" w:cs="Arial"/>
          <w:vertAlign w:val="subscript"/>
          <w:lang w:val="es-ES_tradnl"/>
        </w:rPr>
        <w:t>i</w:t>
      </w:r>
      <w:r>
        <w:rPr>
          <w:rFonts w:ascii="Arial" w:hAnsi="Arial" w:cs="Arial"/>
          <w:lang w:val="es-ES_tradnl"/>
        </w:rPr>
        <w:t xml:space="preserve">. </w:t>
      </w:r>
    </w:p>
    <w:p w:rsidR="00874DD5" w:rsidRPr="00550241" w:rsidRDefault="00874DD5" w:rsidP="00874DD5">
      <w:pPr>
        <w:pStyle w:val="NormalWeb"/>
        <w:spacing w:before="0" w:beforeAutospacing="0" w:after="0" w:afterAutospacing="0"/>
        <w:jc w:val="both"/>
        <w:rPr>
          <w:rFonts w:ascii="Arial" w:hAnsi="Arial" w:cs="Arial"/>
        </w:rPr>
      </w:pPr>
      <w:r w:rsidRPr="00550241">
        <w:rPr>
          <w:rFonts w:ascii="Arial" w:hAnsi="Arial" w:cs="Arial"/>
          <w:i/>
          <w:lang w:val="es-ES_tradnl"/>
        </w:rPr>
        <w:t>Efecto de fricción</w:t>
      </w:r>
      <w:r w:rsidRPr="00550241">
        <w:rPr>
          <w:rFonts w:ascii="Arial" w:hAnsi="Arial" w:cs="Arial"/>
          <w:lang w:val="es-ES_tradnl"/>
        </w:rPr>
        <w:t>: el vector</w:t>
      </w:r>
      <w:r>
        <w:rPr>
          <w:rFonts w:ascii="Arial" w:hAnsi="Arial" w:cs="Arial"/>
          <w:lang w:val="es-ES_tradnl"/>
        </w:rPr>
        <w:t xml:space="preserve"> </w:t>
      </w:r>
      <w:r w:rsidRPr="00862285">
        <w:rPr>
          <w:b/>
          <w:bCs/>
          <w:position w:val="-14"/>
          <w:sz w:val="22"/>
          <w:szCs w:val="22"/>
        </w:rPr>
        <w:object w:dxaOrig="1460" w:dyaOrig="520">
          <v:shape id="_x0000_i1431" type="#_x0000_t75" style="width:64.8pt;height:21.6pt" o:ole="">
            <v:imagedata r:id="rId1049" o:title=""/>
          </v:shape>
          <o:OLEObject Type="Embed" ProgID="Equation.3" ShapeID="_x0000_i1431" DrawAspect="Content" ObjectID="_1660649528" r:id="rId1050"/>
        </w:object>
      </w:r>
      <w:r w:rsidRPr="00550241">
        <w:rPr>
          <w:rFonts w:ascii="Arial" w:hAnsi="Arial" w:cs="Arial"/>
          <w:lang w:val="es-ES_tradnl"/>
        </w:rPr>
        <w:t xml:space="preserve"> es el vector de pares de fricción (viscosa, Coulomb y estática) de cada articulación del manipulador. Este fenómeno posee el efecto físico de oponerse al movimiento del robot. Un modelo clásico de fricción es el que combina la fricción viscosa y la de Coulomb, el cual depende de la velocidad de la variable articular y está dado por el vector </w:t>
      </w:r>
      <w:r w:rsidRPr="00862285">
        <w:rPr>
          <w:b/>
          <w:bCs/>
          <w:position w:val="-14"/>
          <w:sz w:val="22"/>
          <w:szCs w:val="22"/>
        </w:rPr>
        <w:object w:dxaOrig="2580" w:dyaOrig="520">
          <v:shape id="_x0000_i1432" type="#_x0000_t75" style="width:108pt;height:21.6pt" o:ole="">
            <v:imagedata r:id="rId1051" o:title=""/>
          </v:shape>
          <o:OLEObject Type="Embed" ProgID="Equation.3" ShapeID="_x0000_i1432" DrawAspect="Content" ObjectID="_1660649529" r:id="rId1052"/>
        </w:object>
      </w:r>
      <w:r w:rsidRPr="00550241">
        <w:rPr>
          <w:rFonts w:ascii="Arial" w:hAnsi="Arial" w:cs="Arial"/>
          <w:lang w:val="es-ES_tradnl"/>
        </w:rPr>
        <w:t xml:space="preserve">. Donde </w:t>
      </w:r>
      <w:r w:rsidRPr="00550241">
        <w:rPr>
          <w:rFonts w:ascii="Arial" w:hAnsi="Arial" w:cs="Arial"/>
          <w:i/>
          <w:lang w:val="es-ES_tradnl"/>
        </w:rPr>
        <w:t>f</w:t>
      </w:r>
      <w:r w:rsidRPr="00550241">
        <w:rPr>
          <w:rFonts w:ascii="Arial" w:hAnsi="Arial" w:cs="Arial"/>
          <w:i/>
          <w:vertAlign w:val="subscript"/>
          <w:lang w:val="es-ES_tradnl"/>
        </w:rPr>
        <w:t>m1</w:t>
      </w:r>
      <w:r w:rsidRPr="00550241">
        <w:rPr>
          <w:rFonts w:ascii="Arial" w:hAnsi="Arial" w:cs="Arial"/>
          <w:i/>
          <w:lang w:val="es-ES_tradnl"/>
        </w:rPr>
        <w:t xml:space="preserve"> </w:t>
      </w:r>
      <w:r w:rsidRPr="00550241">
        <w:rPr>
          <w:rFonts w:ascii="Arial" w:hAnsi="Arial" w:cs="Arial"/>
          <w:lang w:val="es-ES_tradnl"/>
        </w:rPr>
        <w:t>y</w:t>
      </w:r>
      <w:r w:rsidRPr="00550241">
        <w:rPr>
          <w:rFonts w:ascii="Arial" w:hAnsi="Arial" w:cs="Arial"/>
          <w:i/>
          <w:lang w:val="es-ES_tradnl"/>
        </w:rPr>
        <w:t xml:space="preserve"> f</w:t>
      </w:r>
      <w:r w:rsidRPr="00550241">
        <w:rPr>
          <w:rFonts w:ascii="Arial" w:hAnsi="Arial" w:cs="Arial"/>
          <w:i/>
          <w:vertAlign w:val="subscript"/>
          <w:lang w:val="es-ES_tradnl"/>
        </w:rPr>
        <w:t>m2</w:t>
      </w:r>
      <w:r w:rsidRPr="00550241">
        <w:rPr>
          <w:rFonts w:ascii="Arial" w:hAnsi="Arial" w:cs="Arial"/>
          <w:lang w:val="es-ES_tradnl"/>
        </w:rPr>
        <w:t xml:space="preserve"> son matrices diagonales definidas positivas. Los elementos de la diagonal de </w:t>
      </w:r>
      <w:r w:rsidRPr="00550241">
        <w:rPr>
          <w:rFonts w:ascii="Arial" w:hAnsi="Arial" w:cs="Arial"/>
          <w:i/>
          <w:lang w:val="es-ES_tradnl"/>
        </w:rPr>
        <w:t>f</w:t>
      </w:r>
      <w:r w:rsidRPr="00550241">
        <w:rPr>
          <w:rFonts w:ascii="Arial" w:hAnsi="Arial" w:cs="Arial"/>
          <w:i/>
          <w:vertAlign w:val="subscript"/>
          <w:lang w:val="es-ES_tradnl"/>
        </w:rPr>
        <w:t>m1</w:t>
      </w:r>
      <w:r w:rsidRPr="00550241">
        <w:rPr>
          <w:rFonts w:ascii="Arial" w:hAnsi="Arial" w:cs="Arial"/>
          <w:lang w:val="es-ES_tradnl"/>
        </w:rPr>
        <w:t xml:space="preserve"> son los parámetros de la fricción viscosa, y los de </w:t>
      </w:r>
      <w:r w:rsidRPr="00550241">
        <w:rPr>
          <w:rFonts w:ascii="Arial" w:hAnsi="Arial" w:cs="Arial"/>
          <w:i/>
          <w:lang w:val="es-ES_tradnl"/>
        </w:rPr>
        <w:t>f</w:t>
      </w:r>
      <w:r w:rsidRPr="00550241">
        <w:rPr>
          <w:rFonts w:ascii="Arial" w:hAnsi="Arial" w:cs="Arial"/>
          <w:i/>
          <w:vertAlign w:val="subscript"/>
          <w:lang w:val="es-ES_tradnl"/>
        </w:rPr>
        <w:t>m2</w:t>
      </w:r>
      <w:r w:rsidRPr="00550241">
        <w:rPr>
          <w:rFonts w:ascii="Arial" w:hAnsi="Arial" w:cs="Arial"/>
          <w:lang w:val="es-ES_tradnl"/>
        </w:rPr>
        <w:t xml:space="preserve"> son los de la fricción de Coulomb. La fricción es un fenómeno disipativo (no conservativo) que se traduce en desgaste de las partes mecánicas del sistema; por lo es complejo modelar con exactitud estos términos. </w:t>
      </w:r>
    </w:p>
    <w:p w:rsidR="00874DD5" w:rsidRPr="00550241" w:rsidRDefault="00874DD5" w:rsidP="00874DD5">
      <w:pPr>
        <w:tabs>
          <w:tab w:val="left" w:pos="142"/>
          <w:tab w:val="left" w:pos="567"/>
        </w:tabs>
        <w:jc w:val="both"/>
        <w:rPr>
          <w:rFonts w:ascii="Arial" w:hAnsi="Arial" w:cs="Arial"/>
        </w:rPr>
      </w:pPr>
    </w:p>
    <w:p w:rsidR="00874DD5" w:rsidRDefault="00874DD5" w:rsidP="00874DD5">
      <w:pPr>
        <w:spacing w:line="360" w:lineRule="auto"/>
        <w:jc w:val="both"/>
        <w:rPr>
          <w:rFonts w:ascii="Arial" w:hAnsi="Arial" w:cs="Arial"/>
        </w:rPr>
      </w:pPr>
      <w:r>
        <w:rPr>
          <w:rFonts w:ascii="Arial" w:hAnsi="Arial" w:cs="Arial"/>
          <w:i/>
          <w:color w:val="000000"/>
        </w:rPr>
        <w:t>2.3</w:t>
      </w:r>
      <w:r w:rsidRPr="00BC5E0A">
        <w:rPr>
          <w:rFonts w:ascii="Arial" w:hAnsi="Arial" w:cs="Arial"/>
          <w:i/>
          <w:color w:val="000000"/>
        </w:rPr>
        <w:t xml:space="preserve"> </w:t>
      </w:r>
      <w:r>
        <w:rPr>
          <w:rFonts w:ascii="Arial" w:hAnsi="Arial" w:cs="Arial"/>
          <w:i/>
          <w:color w:val="000000"/>
        </w:rPr>
        <w:t>Aspectos fundamentales de la Formulación Lagrangiana</w:t>
      </w:r>
    </w:p>
    <w:p w:rsidR="00874DD5" w:rsidRPr="00956C6A" w:rsidRDefault="00874DD5" w:rsidP="00874DD5">
      <w:pPr>
        <w:ind w:firstLine="567"/>
        <w:jc w:val="both"/>
        <w:rPr>
          <w:rFonts w:ascii="Arial" w:hAnsi="Arial" w:cs="Arial"/>
        </w:rPr>
      </w:pPr>
      <w:r w:rsidRPr="00956C6A">
        <w:rPr>
          <w:rFonts w:ascii="Arial" w:hAnsi="Arial" w:cs="Arial"/>
        </w:rPr>
        <w:t xml:space="preserve">Las ecuaciones de Lagrange permiten describir la dinámica de un manipulador </w:t>
      </w:r>
      <w:r>
        <w:rPr>
          <w:rFonts w:ascii="Arial" w:hAnsi="Arial" w:cs="Arial"/>
        </w:rPr>
        <w:t xml:space="preserve">mediante </w:t>
      </w:r>
      <w:r w:rsidRPr="00956C6A">
        <w:rPr>
          <w:rFonts w:ascii="Arial" w:hAnsi="Arial" w:cs="Arial"/>
        </w:rPr>
        <w:t xml:space="preserve">un balance de energía, la cual se expresa en términos de la energía cinética y potencial de </w:t>
      </w:r>
      <w:r>
        <w:rPr>
          <w:rFonts w:ascii="Arial" w:hAnsi="Arial" w:cs="Arial"/>
        </w:rPr>
        <w:t xml:space="preserve">sus eslabones. </w:t>
      </w:r>
      <w:r w:rsidRPr="00956C6A">
        <w:rPr>
          <w:rFonts w:ascii="Arial" w:hAnsi="Arial" w:cs="Arial"/>
        </w:rPr>
        <w:t>Para realizar la formulación Lagrangiana, es preciso contar con la cinemática directa del manipulador, lo que brinda la posibilidad de llevar a cabo cuatro procedimientos de cálculo: A) cálculo de la energía cinética</w:t>
      </w:r>
      <w:r>
        <w:rPr>
          <w:rFonts w:ascii="Arial" w:hAnsi="Arial" w:cs="Arial"/>
        </w:rPr>
        <w:t xml:space="preserve"> (</w:t>
      </w:r>
      <w:r w:rsidRPr="00A33A88">
        <w:rPr>
          <w:b/>
          <w:i/>
          <w:position w:val="-10"/>
          <w:sz w:val="22"/>
          <w:szCs w:val="22"/>
          <w:lang w:val="es-ES_tradnl"/>
        </w:rPr>
        <w:object w:dxaOrig="1260" w:dyaOrig="480">
          <v:shape id="_x0000_i1433" type="#_x0000_t75" style="width:64.8pt;height:21.6pt" o:ole="">
            <v:imagedata r:id="rId1053" o:title=""/>
          </v:shape>
          <o:OLEObject Type="Embed" ProgID="Equation.3" ShapeID="_x0000_i1433" DrawAspect="Content" ObjectID="_1660649530" r:id="rId1054"/>
        </w:object>
      </w:r>
      <w:r>
        <w:rPr>
          <w:rFonts w:ascii="Arial" w:hAnsi="Arial" w:cs="Arial"/>
        </w:rPr>
        <w:t>),</w:t>
      </w:r>
      <w:r w:rsidRPr="00956C6A">
        <w:rPr>
          <w:rFonts w:ascii="Arial" w:hAnsi="Arial" w:cs="Arial"/>
        </w:rPr>
        <w:t>B) cálculo de la energía potencial (</w:t>
      </w:r>
      <w:r w:rsidRPr="00A33A88">
        <w:rPr>
          <w:b/>
          <w:position w:val="-10"/>
          <w:sz w:val="22"/>
          <w:szCs w:val="22"/>
          <w:lang w:val="es-ES_tradnl"/>
        </w:rPr>
        <w:object w:dxaOrig="800" w:dyaOrig="320">
          <v:shape id="_x0000_i1434" type="#_x0000_t75" style="width:43.2pt;height:14.4pt" o:ole="">
            <v:imagedata r:id="rId1055" o:title=""/>
          </v:shape>
          <o:OLEObject Type="Embed" ProgID="Equation.3" ShapeID="_x0000_i1434" DrawAspect="Content" ObjectID="_1660649531" r:id="rId1056"/>
        </w:object>
      </w:r>
      <w:r w:rsidRPr="00956C6A">
        <w:rPr>
          <w:rFonts w:ascii="Arial" w:hAnsi="Arial" w:cs="Arial"/>
        </w:rPr>
        <w:t>), C) cálculo del Lagrangiano (</w:t>
      </w:r>
      <w:r w:rsidRPr="00A33A88">
        <w:rPr>
          <w:b/>
          <w:i/>
          <w:position w:val="-10"/>
          <w:sz w:val="22"/>
          <w:szCs w:val="22"/>
          <w:lang w:val="es-ES_tradnl"/>
        </w:rPr>
        <w:object w:dxaOrig="2600" w:dyaOrig="480">
          <v:shape id="_x0000_i1435" type="#_x0000_t75" style="width:115.2pt;height:21.6pt" o:ole="">
            <v:imagedata r:id="rId1057" o:title=""/>
          </v:shape>
          <o:OLEObject Type="Embed" ProgID="Equation.3" ShapeID="_x0000_i1435" DrawAspect="Content" ObjectID="_1660649532" r:id="rId1058"/>
        </w:object>
      </w:r>
      <w:r w:rsidRPr="00956C6A">
        <w:rPr>
          <w:rFonts w:ascii="Arial" w:hAnsi="Arial" w:cs="Arial"/>
        </w:rPr>
        <w:t xml:space="preserve"> ) y D) formulación de las ecuaciones escalares dinámicas de movimiento de Lagrange para un robot manipulador de n grados de libertad (gdl); las cuales se desarrollan para cada </w:t>
      </w:r>
      <w:r w:rsidRPr="00956C6A">
        <w:rPr>
          <w:rFonts w:ascii="Arial" w:hAnsi="Arial" w:cs="Arial"/>
        </w:rPr>
        <w:lastRenderedPageBreak/>
        <w:t xml:space="preserve">uno de ellos, donde el miembro  </w:t>
      </w:r>
      <w:r w:rsidRPr="004B6356">
        <w:rPr>
          <w:b/>
          <w:bCs/>
          <w:position w:val="-14"/>
          <w:sz w:val="22"/>
          <w:szCs w:val="22"/>
        </w:rPr>
        <w:object w:dxaOrig="1300" w:dyaOrig="520">
          <v:shape id="_x0000_i1436" type="#_x0000_t75" style="width:50.4pt;height:21.6pt" o:ole="">
            <v:imagedata r:id="rId1059" o:title=""/>
          </v:shape>
          <o:OLEObject Type="Embed" ProgID="Equation.3" ShapeID="_x0000_i1436" DrawAspect="Content" ObjectID="_1660649533" r:id="rId1060"/>
        </w:object>
      </w:r>
      <w:r w:rsidRPr="00956C6A">
        <w:rPr>
          <w:rFonts w:ascii="Arial" w:hAnsi="Arial" w:cs="Arial"/>
        </w:rPr>
        <w:t xml:space="preserve"> se refiere a fuerzas o pares no conservativos en cada articulación</w:t>
      </w:r>
      <w:r>
        <w:rPr>
          <w:rFonts w:ascii="Arial" w:hAnsi="Arial" w:cs="Arial"/>
        </w:rPr>
        <w:t xml:space="preserve"> (2)</w:t>
      </w:r>
      <w:r w:rsidRPr="00956C6A">
        <w:rPr>
          <w:rFonts w:ascii="Arial" w:hAnsi="Arial" w:cs="Arial"/>
        </w:rPr>
        <w:t>.</w:t>
      </w:r>
    </w:p>
    <w:p w:rsidR="00874DD5" w:rsidRPr="00AB7D0C" w:rsidRDefault="00874DD5" w:rsidP="00874DD5">
      <w:pPr>
        <w:spacing w:before="120" w:after="120"/>
        <w:ind w:firstLine="567"/>
        <w:jc w:val="center"/>
        <w:rPr>
          <w:rFonts w:ascii="Arial" w:hAnsi="Arial" w:cs="Arial"/>
        </w:rPr>
      </w:pPr>
      <w:r>
        <w:rPr>
          <w:b/>
          <w:bCs/>
          <w:sz w:val="20"/>
          <w:szCs w:val="20"/>
        </w:rPr>
        <w:t xml:space="preserve">                </w:t>
      </w:r>
      <w:r w:rsidRPr="004B6356">
        <w:rPr>
          <w:b/>
          <w:bCs/>
          <w:position w:val="-42"/>
          <w:sz w:val="20"/>
          <w:szCs w:val="20"/>
        </w:rPr>
        <w:object w:dxaOrig="5020" w:dyaOrig="960">
          <v:shape id="_x0000_i1437" type="#_x0000_t75" style="width:223.2pt;height:50.4pt" o:ole="">
            <v:imagedata r:id="rId1061" o:title=""/>
          </v:shape>
          <o:OLEObject Type="Embed" ProgID="Equation.3" ShapeID="_x0000_i1437" DrawAspect="Content" ObjectID="_1660649534" r:id="rId1062"/>
        </w:object>
      </w:r>
      <w:r>
        <w:rPr>
          <w:rFonts w:ascii="Arial" w:hAnsi="Arial" w:cs="Arial"/>
        </w:rPr>
        <w:t xml:space="preserve">              (</w:t>
      </w:r>
      <w:r w:rsidRPr="00956C6A">
        <w:rPr>
          <w:rFonts w:ascii="Arial" w:hAnsi="Arial" w:cs="Arial"/>
        </w:rPr>
        <w:t>2)</w:t>
      </w:r>
    </w:p>
    <w:p w:rsidR="00874DD5" w:rsidRDefault="00874DD5" w:rsidP="00874DD5">
      <w:pPr>
        <w:spacing w:line="360" w:lineRule="auto"/>
        <w:jc w:val="both"/>
        <w:rPr>
          <w:rFonts w:ascii="Arial" w:hAnsi="Arial" w:cs="Arial"/>
        </w:rPr>
      </w:pPr>
      <w:r>
        <w:rPr>
          <w:rFonts w:ascii="Arial" w:hAnsi="Arial" w:cs="Arial"/>
          <w:i/>
          <w:color w:val="000000"/>
        </w:rPr>
        <w:t>2.4</w:t>
      </w:r>
      <w:r w:rsidRPr="00BC5E0A">
        <w:rPr>
          <w:rFonts w:ascii="Arial" w:hAnsi="Arial" w:cs="Arial"/>
          <w:i/>
          <w:color w:val="000000"/>
        </w:rPr>
        <w:t xml:space="preserve"> </w:t>
      </w:r>
      <w:r>
        <w:rPr>
          <w:rFonts w:ascii="Arial" w:hAnsi="Arial" w:cs="Arial"/>
          <w:i/>
          <w:color w:val="000000"/>
        </w:rPr>
        <w:t>Desarrollo del Módulo de Construcción del Modelo Dinámico</w:t>
      </w:r>
    </w:p>
    <w:p w:rsidR="00874DD5" w:rsidRDefault="00874DD5" w:rsidP="00874DD5">
      <w:pPr>
        <w:ind w:firstLine="567"/>
        <w:jc w:val="both"/>
        <w:rPr>
          <w:rFonts w:ascii="Arial" w:hAnsi="Arial" w:cs="Arial"/>
          <w:lang w:val="es-ES_tradnl"/>
        </w:rPr>
      </w:pPr>
      <w:r w:rsidRPr="004C7D77">
        <w:rPr>
          <w:rFonts w:ascii="Arial" w:hAnsi="Arial" w:cs="Arial"/>
        </w:rPr>
        <w:t xml:space="preserve">Como se detalló en la sub – sección 2.1, este módulo presenta como “insumos de entrada” los parámetros dinámicos (masas, longitudes y momentos de inercia de eslabones) la matriz de transformación homogénea suministrada por modelo cinemático directo. Por su parte, este proceso provee como “producto de salida” las fuerzas y pares de torsión que se deben aplicar en cada articulación, ajustados a las trayectorias articulares que se proponen. De acuerdo al esquema global de figura 3, en la figura 4 se exhibe el núcleo de aplicación del proceso; el cual se conforma de tres fases que permiten obtener las fuerzas y pares de torsión </w:t>
      </w:r>
      <w:r w:rsidRPr="004C7D77">
        <w:rPr>
          <w:rFonts w:ascii="Arial" w:hAnsi="Arial" w:cs="Arial"/>
          <w:b/>
          <w:i/>
          <w:position w:val="-10"/>
          <w:lang w:val="es-ES_tradnl"/>
        </w:rPr>
        <w:object w:dxaOrig="1920" w:dyaOrig="480">
          <v:shape id="_x0000_i1438" type="#_x0000_t75" style="width:93.6pt;height:21.6pt" o:ole="">
            <v:imagedata r:id="rId1063" o:title=""/>
          </v:shape>
          <o:OLEObject Type="Embed" ProgID="Equation.3" ShapeID="_x0000_i1438" DrawAspect="Content" ObjectID="_1660649535" r:id="rId1064"/>
        </w:object>
      </w:r>
      <w:r w:rsidRPr="004C7D77">
        <w:rPr>
          <w:rFonts w:ascii="Arial" w:hAnsi="Arial" w:cs="Arial"/>
        </w:rPr>
        <w:t>. La 1</w:t>
      </w:r>
      <w:r w:rsidRPr="004C7D77">
        <w:rPr>
          <w:rFonts w:ascii="Arial" w:hAnsi="Arial" w:cs="Arial"/>
          <w:vertAlign w:val="superscript"/>
        </w:rPr>
        <w:t>ra</w:t>
      </w:r>
      <w:r w:rsidRPr="004C7D77">
        <w:rPr>
          <w:rFonts w:ascii="Arial" w:hAnsi="Arial" w:cs="Arial"/>
        </w:rPr>
        <w:t xml:space="preserve"> fase desarrolla la “Formulación Lagrangiana” mediante los cuatro procedimientos citados en </w:t>
      </w:r>
      <w:r>
        <w:rPr>
          <w:rFonts w:ascii="Arial" w:hAnsi="Arial" w:cs="Arial"/>
        </w:rPr>
        <w:t xml:space="preserve">sub – sección </w:t>
      </w:r>
      <w:r w:rsidRPr="004C7D77">
        <w:rPr>
          <w:rFonts w:ascii="Arial" w:hAnsi="Arial" w:cs="Arial"/>
        </w:rPr>
        <w:t>2.3. En la 2</w:t>
      </w:r>
      <w:r w:rsidRPr="004C7D77">
        <w:rPr>
          <w:rFonts w:ascii="Arial" w:hAnsi="Arial" w:cs="Arial"/>
          <w:vertAlign w:val="superscript"/>
        </w:rPr>
        <w:t>da</w:t>
      </w:r>
      <w:r w:rsidRPr="004C7D77">
        <w:rPr>
          <w:rFonts w:ascii="Arial" w:hAnsi="Arial" w:cs="Arial"/>
        </w:rPr>
        <w:t xml:space="preserve"> fase se obtienen los pares de torsión en forma matricial; en otros términos, el modelo dinámico inverso general en función de la configuración del robot manipulador que se estudia. Para la realización de la 3</w:t>
      </w:r>
      <w:r w:rsidRPr="004C7D77">
        <w:rPr>
          <w:rFonts w:ascii="Arial" w:hAnsi="Arial" w:cs="Arial"/>
          <w:vertAlign w:val="superscript"/>
        </w:rPr>
        <w:t>ra</w:t>
      </w:r>
      <w:r w:rsidRPr="004C7D77">
        <w:rPr>
          <w:rFonts w:ascii="Arial" w:hAnsi="Arial" w:cs="Arial"/>
        </w:rPr>
        <w:t xml:space="preserve"> fase se incorporan las trayectorias articulares </w:t>
      </w:r>
      <w:r w:rsidRPr="004C7D77">
        <w:rPr>
          <w:rFonts w:ascii="Arial" w:hAnsi="Arial" w:cs="Arial"/>
          <w:b/>
          <w:i/>
          <w:position w:val="-10"/>
          <w:lang w:val="es-ES_tradnl"/>
        </w:rPr>
        <w:object w:dxaOrig="1500" w:dyaOrig="480">
          <v:shape id="_x0000_i1439" type="#_x0000_t75" style="width:1in;height:21.6pt" o:ole="">
            <v:imagedata r:id="rId1065" o:title=""/>
          </v:shape>
          <o:OLEObject Type="Embed" ProgID="Equation.3" ShapeID="_x0000_i1439" DrawAspect="Content" ObjectID="_1660649536" r:id="rId1066"/>
        </w:object>
      </w:r>
      <w:r w:rsidRPr="004C7D77">
        <w:rPr>
          <w:rFonts w:ascii="Arial" w:hAnsi="Arial" w:cs="Arial"/>
          <w:lang w:val="es-ES_tradnl"/>
        </w:rPr>
        <w:t xml:space="preserve">. </w:t>
      </w:r>
      <w:r>
        <w:rPr>
          <w:rFonts w:ascii="Arial" w:hAnsi="Arial" w:cs="Arial"/>
          <w:lang w:val="es-ES_tradnl"/>
        </w:rPr>
        <w:t>Se calculan</w:t>
      </w:r>
      <w:r w:rsidRPr="004C7D77">
        <w:rPr>
          <w:rFonts w:ascii="Arial" w:hAnsi="Arial" w:cs="Arial"/>
          <w:lang w:val="es-ES_tradnl"/>
        </w:rPr>
        <w:t xml:space="preserve"> los pares de torsión </w:t>
      </w:r>
      <w:r>
        <w:rPr>
          <w:rFonts w:ascii="Arial" w:hAnsi="Arial" w:cs="Arial"/>
          <w:lang w:val="es-ES_tradnl"/>
        </w:rPr>
        <w:t>a</w:t>
      </w:r>
      <w:r w:rsidRPr="004C7D77">
        <w:rPr>
          <w:rFonts w:ascii="Arial" w:hAnsi="Arial" w:cs="Arial"/>
          <w:lang w:val="es-ES_tradnl"/>
        </w:rPr>
        <w:t xml:space="preserve"> aplicar </w:t>
      </w:r>
      <w:r>
        <w:rPr>
          <w:rFonts w:ascii="Arial" w:hAnsi="Arial" w:cs="Arial"/>
          <w:lang w:val="es-ES_tradnl"/>
        </w:rPr>
        <w:t>en las articulaciones del robot</w:t>
      </w:r>
      <w:r w:rsidRPr="004C7D77">
        <w:rPr>
          <w:rFonts w:ascii="Arial" w:hAnsi="Arial" w:cs="Arial"/>
          <w:lang w:val="es-ES_tradnl"/>
        </w:rPr>
        <w:t xml:space="preserve"> para que el </w:t>
      </w:r>
      <w:r>
        <w:rPr>
          <w:rFonts w:ascii="Arial" w:hAnsi="Arial" w:cs="Arial"/>
          <w:lang w:val="es-ES_tradnl"/>
        </w:rPr>
        <w:t xml:space="preserve">extremo </w:t>
      </w:r>
      <w:r w:rsidRPr="004C7D77">
        <w:rPr>
          <w:rFonts w:ascii="Arial" w:hAnsi="Arial" w:cs="Arial"/>
          <w:lang w:val="es-ES_tradnl"/>
        </w:rPr>
        <w:t>del robot respete dichas trayectorias</w:t>
      </w:r>
      <w:r>
        <w:rPr>
          <w:rFonts w:ascii="Arial" w:hAnsi="Arial" w:cs="Arial"/>
          <w:lang w:val="es-ES_tradnl"/>
        </w:rPr>
        <w:t xml:space="preserve">; una vez que se consideren los fenómenos de fricción u otras perturbaciones. </w:t>
      </w:r>
      <w:r w:rsidRPr="004C7D77">
        <w:rPr>
          <w:rFonts w:ascii="Arial" w:hAnsi="Arial" w:cs="Arial"/>
          <w:lang w:val="es-ES_tradnl"/>
        </w:rPr>
        <w:t>Cabe señalar, que los resultados obtenidos constituyen importantes referencias hacia el módulo de control dinámico, siendo sustanciales en el diseño del sistema de control del robot.</w:t>
      </w:r>
    </w:p>
    <w:p w:rsidR="00874DD5" w:rsidRPr="004C7D77" w:rsidRDefault="00874DD5" w:rsidP="00874DD5">
      <w:pPr>
        <w:ind w:firstLine="567"/>
        <w:jc w:val="both"/>
        <w:rPr>
          <w:rFonts w:ascii="Arial" w:hAnsi="Arial" w:cs="Arial"/>
        </w:rPr>
      </w:pPr>
    </w:p>
    <w:p w:rsidR="00874DD5" w:rsidRPr="004C7D77" w:rsidRDefault="00874DD5" w:rsidP="00874DD5">
      <w:pPr>
        <w:ind w:firstLine="567"/>
        <w:jc w:val="center"/>
        <w:rPr>
          <w:rFonts w:ascii="Arial" w:hAnsi="Arial" w:cs="Arial"/>
        </w:rPr>
      </w:pPr>
      <w:r>
        <w:rPr>
          <w:rFonts w:ascii="Arial" w:hAnsi="Arial" w:cs="Arial"/>
          <w:noProof/>
          <w:lang w:val="en-US"/>
        </w:rPr>
        <w:lastRenderedPageBreak/>
        <w:drawing>
          <wp:inline distT="0" distB="0" distL="0" distR="0" wp14:anchorId="3508F3E2" wp14:editId="3380F533">
            <wp:extent cx="4671060" cy="3292475"/>
            <wp:effectExtent l="0" t="0" r="0" b="3175"/>
            <wp:docPr id="2026623673" name="Imagen 202662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bwMode="auto">
                    <a:xfrm>
                      <a:off x="0" y="0"/>
                      <a:ext cx="4671060" cy="3292475"/>
                    </a:xfrm>
                    <a:prstGeom prst="rect">
                      <a:avLst/>
                    </a:prstGeom>
                    <a:noFill/>
                  </pic:spPr>
                </pic:pic>
              </a:graphicData>
            </a:graphic>
          </wp:inline>
        </w:drawing>
      </w:r>
    </w:p>
    <w:p w:rsidR="00874DD5" w:rsidRDefault="00874DD5" w:rsidP="00874DD5">
      <w:pPr>
        <w:ind w:firstLine="567"/>
        <w:jc w:val="center"/>
        <w:rPr>
          <w:rFonts w:ascii="Arial" w:hAnsi="Arial" w:cs="Arial"/>
          <w:i/>
          <w:sz w:val="20"/>
          <w:szCs w:val="20"/>
          <w:lang w:val="es-ES_tradnl"/>
        </w:rPr>
      </w:pPr>
      <w:r w:rsidRPr="00163EF1">
        <w:rPr>
          <w:rFonts w:ascii="Arial" w:hAnsi="Arial" w:cs="Arial"/>
          <w:bCs/>
          <w:i/>
          <w:sz w:val="20"/>
          <w:szCs w:val="20"/>
        </w:rPr>
        <w:t xml:space="preserve">Figura </w:t>
      </w:r>
      <w:r>
        <w:rPr>
          <w:rFonts w:ascii="Arial" w:hAnsi="Arial" w:cs="Arial"/>
          <w:bCs/>
          <w:i/>
          <w:sz w:val="20"/>
          <w:szCs w:val="20"/>
        </w:rPr>
        <w:t>4</w:t>
      </w:r>
      <w:r w:rsidRPr="00163EF1">
        <w:rPr>
          <w:rFonts w:ascii="Arial" w:hAnsi="Arial" w:cs="Arial"/>
          <w:bCs/>
          <w:i/>
          <w:sz w:val="20"/>
          <w:szCs w:val="20"/>
        </w:rPr>
        <w:t xml:space="preserve">. </w:t>
      </w:r>
      <w:r>
        <w:rPr>
          <w:rFonts w:ascii="Arial" w:hAnsi="Arial" w:cs="Arial"/>
          <w:bCs/>
          <w:i/>
          <w:sz w:val="20"/>
          <w:szCs w:val="20"/>
        </w:rPr>
        <w:t xml:space="preserve">Núcleo y desarrollo del </w:t>
      </w:r>
      <w:r>
        <w:rPr>
          <w:rFonts w:ascii="Arial" w:hAnsi="Arial" w:cs="Arial"/>
          <w:i/>
          <w:sz w:val="20"/>
          <w:szCs w:val="20"/>
          <w:lang w:val="es-ES_tradnl"/>
        </w:rPr>
        <w:t>Proceso del Módulo de Construcción del Modelo Dinámico</w:t>
      </w:r>
    </w:p>
    <w:p w:rsidR="00874DD5" w:rsidRPr="00590DD8" w:rsidRDefault="00874DD5" w:rsidP="00874DD5">
      <w:pPr>
        <w:ind w:firstLine="567"/>
        <w:jc w:val="center"/>
        <w:rPr>
          <w:rFonts w:ascii="Arial" w:hAnsi="Arial" w:cs="Arial"/>
          <w:lang w:val="es-ES_tradnl"/>
        </w:rPr>
      </w:pPr>
    </w:p>
    <w:p w:rsidR="00874DD5" w:rsidRPr="003C7915" w:rsidRDefault="00874DD5" w:rsidP="00874DD5">
      <w:pPr>
        <w:pStyle w:val="1Titulo"/>
        <w:numPr>
          <w:ilvl w:val="0"/>
          <w:numId w:val="0"/>
        </w:numPr>
        <w:ind w:left="357"/>
      </w:pPr>
      <w:bookmarkStart w:id="261" w:name="_Toc50031334"/>
      <w:r w:rsidRPr="003C7915">
        <w:rPr>
          <w:caps/>
        </w:rPr>
        <w:t>3. C</w:t>
      </w:r>
      <w:r w:rsidRPr="003C7915">
        <w:t>ondiciones experimentales</w:t>
      </w:r>
      <w:bookmarkEnd w:id="261"/>
    </w:p>
    <w:p w:rsidR="00874DD5" w:rsidRDefault="00874DD5" w:rsidP="00874DD5">
      <w:pPr>
        <w:ind w:firstLine="567"/>
        <w:jc w:val="both"/>
        <w:rPr>
          <w:rFonts w:ascii="Arial" w:hAnsi="Arial" w:cs="Arial"/>
        </w:rPr>
      </w:pPr>
      <w:r w:rsidRPr="00725914">
        <w:rPr>
          <w:rFonts w:ascii="Arial" w:hAnsi="Arial" w:cs="Arial"/>
        </w:rPr>
        <w:t xml:space="preserve">En la figura 5 se ilustra un </w:t>
      </w:r>
      <w:r>
        <w:rPr>
          <w:rFonts w:ascii="Arial" w:hAnsi="Arial" w:cs="Arial"/>
        </w:rPr>
        <w:t>manipulador robótico</w:t>
      </w:r>
      <w:r w:rsidRPr="00725914">
        <w:rPr>
          <w:rFonts w:ascii="Arial" w:hAnsi="Arial" w:cs="Arial"/>
        </w:rPr>
        <w:t xml:space="preserve"> de dos (gdl) con </w:t>
      </w:r>
      <w:r>
        <w:rPr>
          <w:rFonts w:ascii="Arial" w:hAnsi="Arial" w:cs="Arial"/>
        </w:rPr>
        <w:t>2</w:t>
      </w:r>
      <w:r w:rsidRPr="00725914">
        <w:rPr>
          <w:rFonts w:ascii="Arial" w:hAnsi="Arial" w:cs="Arial"/>
        </w:rPr>
        <w:t xml:space="preserve"> articulaciones rotacionales </w:t>
      </w:r>
      <w:r>
        <w:rPr>
          <w:rFonts w:ascii="Arial" w:hAnsi="Arial" w:cs="Arial"/>
        </w:rPr>
        <w:t xml:space="preserve">(RR) </w:t>
      </w:r>
      <w:r w:rsidRPr="00725914">
        <w:rPr>
          <w:rFonts w:ascii="Arial" w:hAnsi="Arial" w:cs="Arial"/>
        </w:rPr>
        <w:t xml:space="preserve">y </w:t>
      </w:r>
      <w:r>
        <w:rPr>
          <w:rFonts w:ascii="Arial" w:hAnsi="Arial" w:cs="Arial"/>
        </w:rPr>
        <w:t>2</w:t>
      </w:r>
      <w:r w:rsidRPr="00725914">
        <w:rPr>
          <w:rFonts w:ascii="Arial" w:hAnsi="Arial" w:cs="Arial"/>
        </w:rPr>
        <w:t xml:space="preserve"> eslabones rígidos</w:t>
      </w:r>
      <w:r>
        <w:rPr>
          <w:rFonts w:ascii="Arial" w:hAnsi="Arial" w:cs="Arial"/>
        </w:rPr>
        <w:t>, donde la muñeca se considera fija</w:t>
      </w:r>
      <w:r w:rsidRPr="00725914">
        <w:rPr>
          <w:rFonts w:ascii="Arial" w:hAnsi="Arial" w:cs="Arial"/>
        </w:rPr>
        <w:t>.</w:t>
      </w:r>
      <w:r>
        <w:rPr>
          <w:rFonts w:ascii="Arial" w:hAnsi="Arial" w:cs="Arial"/>
        </w:rPr>
        <w:t xml:space="preserve"> </w:t>
      </w:r>
    </w:p>
    <w:p w:rsidR="00874DD5" w:rsidRDefault="00874DD5" w:rsidP="00874DD5">
      <w:pPr>
        <w:ind w:firstLine="567"/>
        <w:jc w:val="center"/>
        <w:rPr>
          <w:rFonts w:ascii="Arial" w:hAnsi="Arial" w:cs="Arial"/>
        </w:rPr>
      </w:pPr>
      <w:r>
        <w:rPr>
          <w:rFonts w:ascii="Arial" w:hAnsi="Arial" w:cs="Arial"/>
          <w:noProof/>
          <w:lang w:val="en-US"/>
        </w:rPr>
        <w:drawing>
          <wp:inline distT="0" distB="0" distL="0" distR="0" wp14:anchorId="754B8608" wp14:editId="6D61DF4F">
            <wp:extent cx="4238625" cy="1936750"/>
            <wp:effectExtent l="0" t="0" r="9525" b="6350"/>
            <wp:docPr id="2026623672" name="Imagen 202662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bwMode="auto">
                    <a:xfrm>
                      <a:off x="0" y="0"/>
                      <a:ext cx="4238625" cy="1936750"/>
                    </a:xfrm>
                    <a:prstGeom prst="rect">
                      <a:avLst/>
                    </a:prstGeom>
                    <a:noFill/>
                  </pic:spPr>
                </pic:pic>
              </a:graphicData>
            </a:graphic>
          </wp:inline>
        </w:drawing>
      </w:r>
    </w:p>
    <w:p w:rsidR="00874DD5" w:rsidRDefault="00874DD5" w:rsidP="00874DD5">
      <w:pPr>
        <w:ind w:firstLine="567"/>
        <w:jc w:val="both"/>
        <w:rPr>
          <w:rFonts w:ascii="Arial" w:hAnsi="Arial" w:cs="Arial"/>
        </w:rPr>
      </w:pPr>
    </w:p>
    <w:p w:rsidR="00874DD5" w:rsidRDefault="00874DD5" w:rsidP="00874DD5">
      <w:pPr>
        <w:ind w:firstLine="567"/>
        <w:jc w:val="center"/>
        <w:rPr>
          <w:rFonts w:ascii="Arial" w:hAnsi="Arial" w:cs="Arial"/>
        </w:rPr>
      </w:pPr>
      <w:r w:rsidRPr="00163EF1">
        <w:rPr>
          <w:rFonts w:ascii="Arial" w:hAnsi="Arial" w:cs="Arial"/>
          <w:bCs/>
          <w:i/>
          <w:sz w:val="20"/>
          <w:szCs w:val="20"/>
        </w:rPr>
        <w:t xml:space="preserve">Figura </w:t>
      </w:r>
      <w:r>
        <w:rPr>
          <w:rFonts w:ascii="Arial" w:hAnsi="Arial" w:cs="Arial"/>
          <w:bCs/>
          <w:i/>
          <w:sz w:val="20"/>
          <w:szCs w:val="20"/>
        </w:rPr>
        <w:t>5</w:t>
      </w:r>
      <w:r w:rsidRPr="00163EF1">
        <w:rPr>
          <w:rFonts w:ascii="Arial" w:hAnsi="Arial" w:cs="Arial"/>
          <w:bCs/>
          <w:i/>
          <w:sz w:val="20"/>
          <w:szCs w:val="20"/>
        </w:rPr>
        <w:t xml:space="preserve">. </w:t>
      </w:r>
      <w:r>
        <w:rPr>
          <w:rFonts w:ascii="Arial" w:hAnsi="Arial" w:cs="Arial"/>
          <w:bCs/>
          <w:i/>
          <w:sz w:val="20"/>
          <w:szCs w:val="20"/>
        </w:rPr>
        <w:t>Manipulador Robótico Industrial de 2 Grados de Libertad</w:t>
      </w:r>
    </w:p>
    <w:p w:rsidR="00874DD5" w:rsidRDefault="00874DD5" w:rsidP="00874DD5">
      <w:pPr>
        <w:ind w:firstLine="567"/>
        <w:jc w:val="both"/>
        <w:rPr>
          <w:rFonts w:ascii="Arial" w:hAnsi="Arial" w:cs="Arial"/>
        </w:rPr>
      </w:pPr>
    </w:p>
    <w:p w:rsidR="00874DD5" w:rsidRDefault="00874DD5" w:rsidP="00874DD5">
      <w:pPr>
        <w:ind w:firstLine="567"/>
        <w:jc w:val="both"/>
        <w:rPr>
          <w:rFonts w:ascii="Arial" w:hAnsi="Arial" w:cs="Arial"/>
        </w:rPr>
      </w:pPr>
      <w:r w:rsidRPr="0025609B">
        <w:rPr>
          <w:rFonts w:ascii="Arial" w:hAnsi="Arial" w:cs="Arial"/>
        </w:rPr>
        <w:lastRenderedPageBreak/>
        <w:t xml:space="preserve">Insumos de entrada al proceso: 1) parámetros dinámicos: longitudes </w:t>
      </w:r>
      <w:r>
        <w:rPr>
          <w:rFonts w:ascii="Arial" w:hAnsi="Arial" w:cs="Arial"/>
        </w:rPr>
        <w:t xml:space="preserve">y masas </w:t>
      </w:r>
      <w:r w:rsidRPr="0025609B">
        <w:rPr>
          <w:rFonts w:ascii="Arial" w:hAnsi="Arial" w:cs="Arial"/>
        </w:rPr>
        <w:t>de eslabones (l</w:t>
      </w:r>
      <w:r w:rsidRPr="0025609B">
        <w:rPr>
          <w:rFonts w:ascii="Arial" w:hAnsi="Arial" w:cs="Arial"/>
          <w:vertAlign w:val="subscript"/>
        </w:rPr>
        <w:t>1</w:t>
      </w:r>
      <w:r>
        <w:rPr>
          <w:rFonts w:ascii="Arial" w:hAnsi="Arial" w:cs="Arial"/>
        </w:rPr>
        <w:t xml:space="preserve">, </w:t>
      </w:r>
      <w:r w:rsidRPr="0025609B">
        <w:rPr>
          <w:rFonts w:ascii="Arial" w:hAnsi="Arial" w:cs="Arial"/>
        </w:rPr>
        <w:t>l</w:t>
      </w:r>
      <w:r w:rsidRPr="0025609B">
        <w:rPr>
          <w:rFonts w:ascii="Arial" w:hAnsi="Arial" w:cs="Arial"/>
          <w:vertAlign w:val="subscript"/>
        </w:rPr>
        <w:t>2</w:t>
      </w:r>
      <w:r>
        <w:rPr>
          <w:rFonts w:ascii="Arial" w:hAnsi="Arial" w:cs="Arial"/>
        </w:rPr>
        <w:t xml:space="preserve">, </w:t>
      </w:r>
      <w:r w:rsidRPr="0025609B">
        <w:rPr>
          <w:rFonts w:ascii="Arial" w:hAnsi="Arial" w:cs="Arial"/>
        </w:rPr>
        <w:t>m</w:t>
      </w:r>
      <w:r w:rsidRPr="0025609B">
        <w:rPr>
          <w:rFonts w:ascii="Arial" w:hAnsi="Arial" w:cs="Arial"/>
          <w:vertAlign w:val="subscript"/>
        </w:rPr>
        <w:t>1</w:t>
      </w:r>
      <w:r w:rsidRPr="0025609B">
        <w:rPr>
          <w:rFonts w:ascii="Arial" w:hAnsi="Arial" w:cs="Arial"/>
        </w:rPr>
        <w:t xml:space="preserve"> y m</w:t>
      </w:r>
      <w:r w:rsidRPr="0025609B">
        <w:rPr>
          <w:rFonts w:ascii="Arial" w:hAnsi="Arial" w:cs="Arial"/>
          <w:vertAlign w:val="subscript"/>
        </w:rPr>
        <w:t>2</w:t>
      </w:r>
      <w:r w:rsidRPr="0025609B">
        <w:rPr>
          <w:rFonts w:ascii="Arial" w:hAnsi="Arial" w:cs="Arial"/>
        </w:rPr>
        <w:t>), distancias entre los centros de masas (c</w:t>
      </w:r>
      <w:r w:rsidRPr="0025609B">
        <w:rPr>
          <w:rFonts w:ascii="Arial" w:hAnsi="Arial" w:cs="Arial"/>
          <w:vertAlign w:val="subscript"/>
        </w:rPr>
        <w:t xml:space="preserve">1 </w:t>
      </w:r>
      <w:r w:rsidRPr="0025609B">
        <w:rPr>
          <w:rFonts w:ascii="Arial" w:hAnsi="Arial" w:cs="Arial"/>
        </w:rPr>
        <w:t>y c</w:t>
      </w:r>
      <w:r w:rsidRPr="0025609B">
        <w:rPr>
          <w:rFonts w:ascii="Arial" w:hAnsi="Arial" w:cs="Arial"/>
          <w:vertAlign w:val="subscript"/>
        </w:rPr>
        <w:t>2</w:t>
      </w:r>
      <w:r w:rsidRPr="0025609B">
        <w:rPr>
          <w:rFonts w:ascii="Arial" w:hAnsi="Arial" w:cs="Arial"/>
        </w:rPr>
        <w:t>) y los ejes de giro (l</w:t>
      </w:r>
      <w:r w:rsidRPr="0025609B">
        <w:rPr>
          <w:rFonts w:ascii="Arial" w:hAnsi="Arial" w:cs="Arial"/>
          <w:vertAlign w:val="subscript"/>
        </w:rPr>
        <w:t>c1</w:t>
      </w:r>
      <w:r w:rsidRPr="0025609B">
        <w:rPr>
          <w:rFonts w:ascii="Arial" w:hAnsi="Arial" w:cs="Arial"/>
        </w:rPr>
        <w:t xml:space="preserve"> y l</w:t>
      </w:r>
      <w:r w:rsidRPr="0025609B">
        <w:rPr>
          <w:rFonts w:ascii="Arial" w:hAnsi="Arial" w:cs="Arial"/>
          <w:vertAlign w:val="subscript"/>
        </w:rPr>
        <w:t>c2</w:t>
      </w:r>
      <w:r w:rsidRPr="0025609B">
        <w:rPr>
          <w:rFonts w:ascii="Arial" w:hAnsi="Arial" w:cs="Arial"/>
        </w:rPr>
        <w:t>) y los momentos de inercia de cada eslabón con respecto al eje que pasa por su centro de masa (J</w:t>
      </w:r>
      <w:r w:rsidRPr="0025609B">
        <w:rPr>
          <w:rFonts w:ascii="Arial" w:hAnsi="Arial" w:cs="Arial"/>
          <w:vertAlign w:val="subscript"/>
        </w:rPr>
        <w:t>1</w:t>
      </w:r>
      <w:r w:rsidRPr="0025609B">
        <w:rPr>
          <w:rFonts w:ascii="Arial" w:hAnsi="Arial" w:cs="Arial"/>
        </w:rPr>
        <w:t xml:space="preserve"> y J</w:t>
      </w:r>
      <w:r w:rsidRPr="0025609B">
        <w:rPr>
          <w:rFonts w:ascii="Arial" w:hAnsi="Arial" w:cs="Arial"/>
          <w:vertAlign w:val="subscript"/>
        </w:rPr>
        <w:t>2</w:t>
      </w:r>
      <w:r w:rsidRPr="0025609B">
        <w:rPr>
          <w:rFonts w:ascii="Arial" w:hAnsi="Arial" w:cs="Arial"/>
        </w:rPr>
        <w:t>). 2) matriz de transformación homogénea respecto a la base, la cual</w:t>
      </w:r>
      <w:r w:rsidRPr="0025609B">
        <w:rPr>
          <w:rStyle w:val="Refdenotaalpie"/>
          <w:rFonts w:ascii="Arial" w:hAnsi="Arial" w:cs="Arial"/>
        </w:rPr>
        <w:footnoteReference w:id="5"/>
      </w:r>
      <w:r w:rsidRPr="0025609B">
        <w:rPr>
          <w:rFonts w:ascii="Arial" w:hAnsi="Arial" w:cs="Arial"/>
        </w:rPr>
        <w:t>, la última columna indica las componentes (x, y) del vector posición del extremo del robot, respecto al sistema de referencia asociado a la base S</w:t>
      </w:r>
      <w:r w:rsidRPr="0025609B">
        <w:rPr>
          <w:rFonts w:ascii="Arial" w:hAnsi="Arial" w:cs="Arial"/>
          <w:vertAlign w:val="subscript"/>
        </w:rPr>
        <w:t>0</w:t>
      </w:r>
      <w:r w:rsidRPr="0025609B">
        <w:rPr>
          <w:rFonts w:ascii="Arial" w:hAnsi="Arial" w:cs="Arial"/>
        </w:rPr>
        <w:t>(X</w:t>
      </w:r>
      <w:r w:rsidRPr="0025609B">
        <w:rPr>
          <w:rFonts w:ascii="Arial" w:hAnsi="Arial" w:cs="Arial"/>
          <w:vertAlign w:val="subscript"/>
        </w:rPr>
        <w:t>0</w:t>
      </w:r>
      <w:r w:rsidRPr="0025609B">
        <w:rPr>
          <w:rFonts w:ascii="Arial" w:hAnsi="Arial" w:cs="Arial"/>
        </w:rPr>
        <w:t>, Y</w:t>
      </w:r>
      <w:r w:rsidRPr="0025609B">
        <w:rPr>
          <w:rFonts w:ascii="Arial" w:hAnsi="Arial" w:cs="Arial"/>
          <w:vertAlign w:val="subscript"/>
        </w:rPr>
        <w:t>0</w:t>
      </w:r>
      <w:r w:rsidRPr="0025609B">
        <w:rPr>
          <w:rFonts w:ascii="Arial" w:hAnsi="Arial" w:cs="Arial"/>
        </w:rPr>
        <w:t>).</w:t>
      </w:r>
    </w:p>
    <w:p w:rsidR="00874DD5" w:rsidRDefault="00874DD5" w:rsidP="00874DD5">
      <w:pPr>
        <w:ind w:firstLine="567"/>
        <w:jc w:val="center"/>
        <w:rPr>
          <w:rFonts w:ascii="Arial" w:hAnsi="Arial" w:cs="Arial"/>
        </w:rPr>
      </w:pPr>
      <w:r w:rsidRPr="0025609B">
        <w:rPr>
          <w:rFonts w:ascii="Arial" w:hAnsi="Arial" w:cs="Arial"/>
          <w:position w:val="-66"/>
        </w:rPr>
        <w:object w:dxaOrig="3100" w:dyaOrig="1440">
          <v:shape id="_x0000_i1440" type="#_x0000_t75" style="width:2in;height:64.8pt" o:ole="">
            <v:imagedata r:id="rId1069" o:title=""/>
          </v:shape>
          <o:OLEObject Type="Embed" ProgID="Equation.DSMT4" ShapeID="_x0000_i1440" DrawAspect="Content" ObjectID="_1660649537" r:id="rId1070"/>
        </w:object>
      </w:r>
    </w:p>
    <w:p w:rsidR="00874DD5" w:rsidRDefault="00874DD5" w:rsidP="00874DD5">
      <w:pPr>
        <w:ind w:firstLine="567"/>
        <w:jc w:val="both"/>
        <w:rPr>
          <w:rFonts w:ascii="Arial" w:hAnsi="Arial" w:cs="Arial"/>
        </w:rPr>
      </w:pPr>
      <w:r>
        <w:rPr>
          <w:rFonts w:ascii="Arial" w:hAnsi="Arial" w:cs="Arial"/>
        </w:rPr>
        <w:t xml:space="preserve">Se inicia el </w:t>
      </w:r>
      <w:r w:rsidRPr="00A85752">
        <w:rPr>
          <w:rFonts w:ascii="Arial" w:hAnsi="Arial" w:cs="Arial"/>
        </w:rPr>
        <w:t>Proceso del Módulo de Construcción del Modelo Dinámico</w:t>
      </w:r>
      <w:r>
        <w:rPr>
          <w:rFonts w:ascii="Arial" w:hAnsi="Arial" w:cs="Arial"/>
        </w:rPr>
        <w:t>, conforme</w:t>
      </w:r>
      <w:r w:rsidRPr="004C7D77">
        <w:rPr>
          <w:rFonts w:ascii="Arial" w:hAnsi="Arial" w:cs="Arial"/>
        </w:rPr>
        <w:t xml:space="preserve"> </w:t>
      </w:r>
      <w:r>
        <w:rPr>
          <w:rFonts w:ascii="Arial" w:hAnsi="Arial" w:cs="Arial"/>
        </w:rPr>
        <w:t>a sus 3</w:t>
      </w:r>
      <w:r w:rsidRPr="004C7D77">
        <w:rPr>
          <w:rFonts w:ascii="Arial" w:hAnsi="Arial" w:cs="Arial"/>
        </w:rPr>
        <w:t xml:space="preserve"> fases </w:t>
      </w:r>
      <w:r>
        <w:rPr>
          <w:rFonts w:ascii="Arial" w:hAnsi="Arial" w:cs="Arial"/>
        </w:rPr>
        <w:t xml:space="preserve">para </w:t>
      </w:r>
      <w:r w:rsidRPr="004C7D77">
        <w:rPr>
          <w:rFonts w:ascii="Arial" w:hAnsi="Arial" w:cs="Arial"/>
        </w:rPr>
        <w:t>obtener las fuerzas y pares de torsión</w:t>
      </w:r>
      <w:r>
        <w:rPr>
          <w:rFonts w:ascii="Arial" w:hAnsi="Arial" w:cs="Arial"/>
        </w:rPr>
        <w:t xml:space="preserve"> en las articulaciones del robot.</w:t>
      </w:r>
    </w:p>
    <w:p w:rsidR="00874DD5" w:rsidRDefault="00874DD5" w:rsidP="00874DD5">
      <w:pPr>
        <w:ind w:firstLine="567"/>
        <w:jc w:val="both"/>
        <w:rPr>
          <w:rFonts w:ascii="Arial" w:hAnsi="Arial" w:cs="Arial"/>
        </w:rPr>
      </w:pPr>
      <w:r w:rsidRPr="008B76DC">
        <w:rPr>
          <w:rFonts w:ascii="Arial" w:hAnsi="Arial" w:cs="Arial"/>
          <w:b/>
          <w:i/>
        </w:rPr>
        <w:t xml:space="preserve">Fase 1: </w:t>
      </w:r>
      <w:r w:rsidRPr="008B76DC">
        <w:rPr>
          <w:rFonts w:ascii="Arial" w:hAnsi="Arial" w:cs="Arial"/>
          <w:i/>
        </w:rPr>
        <w:t>Formulación Lagrangiana</w:t>
      </w:r>
      <w:r>
        <w:rPr>
          <w:rFonts w:ascii="Arial" w:hAnsi="Arial" w:cs="Arial"/>
        </w:rPr>
        <w:t>: se desarrollan los 4 procedimientos.</w:t>
      </w:r>
    </w:p>
    <w:p w:rsidR="00874DD5" w:rsidRDefault="00874DD5" w:rsidP="00874DD5">
      <w:pPr>
        <w:ind w:firstLine="567"/>
        <w:jc w:val="both"/>
        <w:rPr>
          <w:rFonts w:ascii="Arial" w:hAnsi="Arial" w:cs="Arial"/>
        </w:rPr>
      </w:pPr>
      <w:r w:rsidRPr="0068425E">
        <w:rPr>
          <w:rFonts w:ascii="Arial" w:hAnsi="Arial" w:cs="Arial"/>
          <w:lang w:val="es-ES_tradnl"/>
        </w:rPr>
        <w:t>Cálculo de la Energía Cinética (</w:t>
      </w:r>
      <w:r w:rsidRPr="0068425E">
        <w:rPr>
          <w:rFonts w:ascii="Arial" w:hAnsi="Arial" w:cs="Arial"/>
          <w:b/>
          <w:i/>
          <w:position w:val="-10"/>
          <w:lang w:val="es-ES_tradnl"/>
        </w:rPr>
        <w:object w:dxaOrig="1260" w:dyaOrig="480">
          <v:shape id="_x0000_i1441" type="#_x0000_t75" style="width:1in;height:21.6pt" o:ole="">
            <v:imagedata r:id="rId1053" o:title=""/>
          </v:shape>
          <o:OLEObject Type="Embed" ProgID="Equation.3" ShapeID="_x0000_i1441" DrawAspect="Content" ObjectID="_1660649538" r:id="rId1071"/>
        </w:object>
      </w:r>
      <w:r w:rsidRPr="0068425E">
        <w:rPr>
          <w:rFonts w:ascii="Arial" w:hAnsi="Arial" w:cs="Arial"/>
          <w:lang w:val="es-ES_tradnl"/>
        </w:rPr>
        <w:t>): la energía cinética total del robot es la suma de la energía almacenada en cada eslabón (</w:t>
      </w:r>
      <w:r w:rsidRPr="0068425E">
        <w:rPr>
          <w:rFonts w:ascii="Arial" w:hAnsi="Arial" w:cs="Arial"/>
        </w:rPr>
        <w:t>K</w:t>
      </w:r>
      <w:r w:rsidRPr="0068425E">
        <w:rPr>
          <w:rFonts w:ascii="Arial" w:hAnsi="Arial" w:cs="Arial"/>
          <w:vertAlign w:val="subscript"/>
        </w:rPr>
        <w:t>Total</w:t>
      </w:r>
      <w:r w:rsidRPr="0068425E">
        <w:rPr>
          <w:rFonts w:ascii="Arial" w:hAnsi="Arial" w:cs="Arial"/>
        </w:rPr>
        <w:t xml:space="preserve"> = K</w:t>
      </w:r>
      <w:r w:rsidRPr="0068425E">
        <w:rPr>
          <w:rFonts w:ascii="Arial" w:hAnsi="Arial" w:cs="Arial"/>
          <w:vertAlign w:val="subscript"/>
        </w:rPr>
        <w:t>1</w:t>
      </w:r>
      <w:r w:rsidRPr="0068425E">
        <w:rPr>
          <w:rFonts w:ascii="Arial" w:hAnsi="Arial" w:cs="Arial"/>
        </w:rPr>
        <w:t xml:space="preserve"> + K</w:t>
      </w:r>
      <w:r w:rsidRPr="0068425E">
        <w:rPr>
          <w:rFonts w:ascii="Arial" w:hAnsi="Arial" w:cs="Arial"/>
          <w:vertAlign w:val="subscript"/>
        </w:rPr>
        <w:t>2</w:t>
      </w:r>
      <w:r>
        <w:rPr>
          <w:rFonts w:ascii="Arial" w:hAnsi="Arial" w:cs="Arial"/>
          <w:lang w:val="es-ES_tradnl"/>
        </w:rPr>
        <w:t>). P</w:t>
      </w:r>
      <w:r w:rsidRPr="0068425E">
        <w:rPr>
          <w:rFonts w:ascii="Arial" w:hAnsi="Arial" w:cs="Arial"/>
          <w:lang w:val="es-ES_tradnl"/>
        </w:rPr>
        <w:t xml:space="preserve">ara cada </w:t>
      </w:r>
      <w:r>
        <w:rPr>
          <w:rFonts w:ascii="Arial" w:hAnsi="Arial" w:cs="Arial"/>
          <w:lang w:val="es-ES_tradnl"/>
        </w:rPr>
        <w:t>eslabón</w:t>
      </w:r>
      <w:r w:rsidRPr="0068425E">
        <w:rPr>
          <w:rFonts w:ascii="Arial" w:hAnsi="Arial" w:cs="Arial"/>
          <w:lang w:val="es-ES_tradnl"/>
        </w:rPr>
        <w:t xml:space="preserve">, la energía cinética total </w:t>
      </w:r>
      <w:r>
        <w:rPr>
          <w:rFonts w:ascii="Arial" w:hAnsi="Arial" w:cs="Arial"/>
          <w:lang w:val="es-ES_tradnl"/>
        </w:rPr>
        <w:t>es la suma</w:t>
      </w:r>
      <w:r w:rsidRPr="0068425E">
        <w:rPr>
          <w:rFonts w:ascii="Arial" w:hAnsi="Arial" w:cs="Arial"/>
          <w:lang w:val="es-ES_tradnl"/>
        </w:rPr>
        <w:t xml:space="preserve"> de traslación </w:t>
      </w:r>
      <w:r>
        <w:rPr>
          <w:rFonts w:ascii="Arial" w:hAnsi="Arial" w:cs="Arial"/>
          <w:lang w:val="es-ES_tradnl"/>
        </w:rPr>
        <w:t xml:space="preserve">más la de rotación </w:t>
      </w:r>
      <w:r w:rsidRPr="0068425E">
        <w:rPr>
          <w:rFonts w:ascii="Arial" w:hAnsi="Arial" w:cs="Arial"/>
          <w:lang w:val="es-ES_tradnl"/>
        </w:rPr>
        <w:t xml:space="preserve">De la cinemática diferencial se obtiene las coordenadas y velocidades del CM de cada eslabón. </w:t>
      </w:r>
      <w:r w:rsidRPr="0068425E">
        <w:rPr>
          <w:rFonts w:ascii="Arial" w:hAnsi="Arial" w:cs="Arial"/>
          <w:color w:val="000000"/>
        </w:rPr>
        <w:t>Para el eslabón 1: x</w:t>
      </w:r>
      <w:r w:rsidRPr="0068425E">
        <w:rPr>
          <w:rFonts w:ascii="Arial" w:hAnsi="Arial" w:cs="Arial"/>
          <w:color w:val="000000"/>
          <w:vertAlign w:val="subscript"/>
        </w:rPr>
        <w:t>1</w:t>
      </w:r>
      <w:r w:rsidRPr="0068425E">
        <w:rPr>
          <w:rFonts w:ascii="Arial" w:hAnsi="Arial" w:cs="Arial"/>
          <w:color w:val="000000"/>
        </w:rPr>
        <w:t xml:space="preserve"> = l</w:t>
      </w:r>
      <w:r w:rsidRPr="0068425E">
        <w:rPr>
          <w:rFonts w:ascii="Arial" w:hAnsi="Arial" w:cs="Arial"/>
          <w:color w:val="000000"/>
          <w:vertAlign w:val="subscript"/>
        </w:rPr>
        <w:t>c1</w:t>
      </w:r>
      <w:r w:rsidRPr="0068425E">
        <w:rPr>
          <w:rFonts w:ascii="Arial" w:hAnsi="Arial" w:cs="Arial"/>
          <w:color w:val="000000"/>
        </w:rPr>
        <w:t>C</w:t>
      </w:r>
      <w:r w:rsidRPr="0068425E">
        <w:rPr>
          <w:rFonts w:ascii="Arial" w:hAnsi="Arial" w:cs="Arial"/>
          <w:color w:val="000000"/>
          <w:vertAlign w:val="subscript"/>
        </w:rPr>
        <w:t>1</w:t>
      </w:r>
      <w:r w:rsidRPr="0068425E">
        <w:rPr>
          <w:rFonts w:ascii="Arial" w:hAnsi="Arial" w:cs="Arial"/>
          <w:color w:val="000000"/>
        </w:rPr>
        <w:t xml:space="preserve"> y</w:t>
      </w:r>
      <w:r w:rsidRPr="0068425E">
        <w:rPr>
          <w:rFonts w:ascii="Arial" w:hAnsi="Arial" w:cs="Arial"/>
          <w:color w:val="000000"/>
          <w:vertAlign w:val="subscript"/>
        </w:rPr>
        <w:t>1</w:t>
      </w:r>
      <w:r w:rsidRPr="0068425E">
        <w:rPr>
          <w:rFonts w:ascii="Arial" w:hAnsi="Arial" w:cs="Arial"/>
          <w:color w:val="000000"/>
        </w:rPr>
        <w:t xml:space="preserve"> = l</w:t>
      </w:r>
      <w:r w:rsidRPr="0068425E">
        <w:rPr>
          <w:rFonts w:ascii="Arial" w:hAnsi="Arial" w:cs="Arial"/>
          <w:color w:val="000000"/>
          <w:vertAlign w:val="subscript"/>
        </w:rPr>
        <w:t>c1</w:t>
      </w:r>
      <w:r w:rsidRPr="0068425E">
        <w:rPr>
          <w:rFonts w:ascii="Arial" w:hAnsi="Arial" w:cs="Arial"/>
          <w:color w:val="000000"/>
        </w:rPr>
        <w:t>S</w:t>
      </w:r>
      <w:r w:rsidRPr="0068425E">
        <w:rPr>
          <w:rFonts w:ascii="Arial" w:hAnsi="Arial" w:cs="Arial"/>
          <w:color w:val="000000"/>
          <w:vertAlign w:val="subscript"/>
        </w:rPr>
        <w:t>1</w:t>
      </w:r>
      <w:r w:rsidRPr="0068425E">
        <w:rPr>
          <w:rFonts w:ascii="Arial" w:hAnsi="Arial" w:cs="Arial"/>
          <w:color w:val="000000"/>
        </w:rPr>
        <w:t>;</w:t>
      </w:r>
      <w:r>
        <w:rPr>
          <w:rFonts w:ascii="Arial" w:hAnsi="Arial" w:cs="Arial"/>
          <w:color w:val="000000"/>
        </w:rPr>
        <w:t xml:space="preserve"> luego es:</w:t>
      </w:r>
    </w:p>
    <w:p w:rsidR="00874DD5" w:rsidRDefault="00874DD5" w:rsidP="00874DD5">
      <w:pPr>
        <w:jc w:val="center"/>
        <w:rPr>
          <w:rFonts w:ascii="Arial" w:hAnsi="Arial" w:cs="Arial"/>
        </w:rPr>
      </w:pPr>
      <w:r w:rsidRPr="005D057F">
        <w:rPr>
          <w:bCs/>
          <w:position w:val="-74"/>
          <w:sz w:val="22"/>
          <w:szCs w:val="22"/>
        </w:rPr>
        <w:object w:dxaOrig="9400" w:dyaOrig="1600">
          <v:shape id="_x0000_i1442" type="#_x0000_t75" style="width:446.4pt;height:79.2pt" o:ole="">
            <v:imagedata r:id="rId1072" o:title=""/>
          </v:shape>
          <o:OLEObject Type="Embed" ProgID="Equation.3" ShapeID="_x0000_i1442" DrawAspect="Content" ObjectID="_1660649539" r:id="rId1073"/>
        </w:object>
      </w:r>
    </w:p>
    <w:p w:rsidR="00874DD5" w:rsidRDefault="00874DD5" w:rsidP="00874DD5">
      <w:pPr>
        <w:ind w:firstLine="567"/>
        <w:jc w:val="both"/>
        <w:rPr>
          <w:rFonts w:ascii="Arial" w:hAnsi="Arial" w:cs="Arial"/>
        </w:rPr>
      </w:pPr>
      <w:r>
        <w:rPr>
          <w:rFonts w:ascii="Arial" w:hAnsi="Arial" w:cs="Arial"/>
        </w:rPr>
        <w:t>La energía cinética total del eslabón 1 es igual a la suma de ambas contribuciones</w:t>
      </w:r>
    </w:p>
    <w:p w:rsidR="00874DD5" w:rsidRDefault="00874DD5" w:rsidP="00874DD5">
      <w:pPr>
        <w:spacing w:before="120" w:after="120"/>
        <w:ind w:firstLine="567"/>
        <w:jc w:val="center"/>
        <w:rPr>
          <w:rFonts w:ascii="Arial" w:hAnsi="Arial" w:cs="Arial"/>
        </w:rPr>
      </w:pPr>
      <w:r>
        <w:rPr>
          <w:bCs/>
          <w:sz w:val="22"/>
          <w:szCs w:val="22"/>
        </w:rPr>
        <w:t xml:space="preserve">                                </w:t>
      </w:r>
      <w:r w:rsidRPr="00BD7CA6">
        <w:rPr>
          <w:bCs/>
          <w:position w:val="-24"/>
          <w:sz w:val="22"/>
          <w:szCs w:val="22"/>
        </w:rPr>
        <w:object w:dxaOrig="3960" w:dyaOrig="660">
          <v:shape id="_x0000_i1443" type="#_x0000_t75" style="width:187.2pt;height:36pt" o:ole="">
            <v:imagedata r:id="rId1074" o:title=""/>
          </v:shape>
          <o:OLEObject Type="Embed" ProgID="Equation.3" ShapeID="_x0000_i1443" DrawAspect="Content" ObjectID="_1660649540" r:id="rId1075"/>
        </w:object>
      </w:r>
      <w:r>
        <w:rPr>
          <w:bCs/>
          <w:sz w:val="22"/>
          <w:szCs w:val="22"/>
        </w:rPr>
        <w:t xml:space="preserve">                                   </w:t>
      </w:r>
      <w:r>
        <w:rPr>
          <w:rFonts w:ascii="Arial" w:hAnsi="Arial" w:cs="Arial"/>
        </w:rPr>
        <w:t>(3</w:t>
      </w:r>
      <w:r w:rsidRPr="00956C6A">
        <w:rPr>
          <w:rFonts w:ascii="Arial" w:hAnsi="Arial" w:cs="Arial"/>
        </w:rPr>
        <w:t>)</w:t>
      </w:r>
    </w:p>
    <w:p w:rsidR="00874DD5" w:rsidRDefault="00874DD5" w:rsidP="00874DD5">
      <w:pPr>
        <w:ind w:firstLine="567"/>
        <w:jc w:val="both"/>
        <w:rPr>
          <w:rFonts w:ascii="Arial" w:hAnsi="Arial" w:cs="Arial"/>
        </w:rPr>
      </w:pPr>
      <w:r>
        <w:rPr>
          <w:rFonts w:ascii="Arial" w:hAnsi="Arial" w:cs="Arial"/>
        </w:rPr>
        <w:t xml:space="preserve">Análogamente, para el eslabón 2 es: </w:t>
      </w:r>
      <w:r w:rsidRPr="00E057B8">
        <w:rPr>
          <w:rFonts w:ascii="Arial" w:hAnsi="Arial" w:cs="Arial"/>
        </w:rPr>
        <w:t>x</w:t>
      </w:r>
      <w:r w:rsidRPr="00E057B8">
        <w:rPr>
          <w:rFonts w:ascii="Arial" w:hAnsi="Arial" w:cs="Arial"/>
          <w:vertAlign w:val="subscript"/>
        </w:rPr>
        <w:t>2</w:t>
      </w:r>
      <w:r w:rsidRPr="00E057B8">
        <w:rPr>
          <w:rFonts w:ascii="Arial" w:hAnsi="Arial" w:cs="Arial"/>
        </w:rPr>
        <w:t xml:space="preserve"> = l</w:t>
      </w:r>
      <w:r w:rsidRPr="00E057B8">
        <w:rPr>
          <w:rFonts w:ascii="Arial" w:hAnsi="Arial" w:cs="Arial"/>
          <w:vertAlign w:val="subscript"/>
        </w:rPr>
        <w:t>1</w:t>
      </w:r>
      <w:r w:rsidRPr="00E057B8">
        <w:rPr>
          <w:rFonts w:ascii="Arial" w:hAnsi="Arial" w:cs="Arial"/>
        </w:rPr>
        <w:t>C</w:t>
      </w:r>
      <w:r w:rsidRPr="00E057B8">
        <w:rPr>
          <w:rFonts w:ascii="Arial" w:hAnsi="Arial" w:cs="Arial"/>
          <w:vertAlign w:val="subscript"/>
        </w:rPr>
        <w:t>1</w:t>
      </w:r>
      <w:r w:rsidRPr="00E057B8">
        <w:rPr>
          <w:rFonts w:ascii="Arial" w:hAnsi="Arial" w:cs="Arial"/>
        </w:rPr>
        <w:t xml:space="preserve"> + l</w:t>
      </w:r>
      <w:r w:rsidRPr="00E057B8">
        <w:rPr>
          <w:rFonts w:ascii="Arial" w:hAnsi="Arial" w:cs="Arial"/>
          <w:vertAlign w:val="subscript"/>
        </w:rPr>
        <w:t>c2</w:t>
      </w:r>
      <w:r w:rsidRPr="00E057B8">
        <w:rPr>
          <w:rFonts w:ascii="Arial" w:hAnsi="Arial" w:cs="Arial"/>
        </w:rPr>
        <w:t xml:space="preserve"> C</w:t>
      </w:r>
      <w:r w:rsidRPr="00E057B8">
        <w:rPr>
          <w:rFonts w:ascii="Arial" w:hAnsi="Arial" w:cs="Arial"/>
          <w:vertAlign w:val="subscript"/>
        </w:rPr>
        <w:t>12</w:t>
      </w:r>
      <w:r>
        <w:rPr>
          <w:rFonts w:ascii="Arial" w:hAnsi="Arial" w:cs="Arial"/>
        </w:rPr>
        <w:t xml:space="preserve">, </w:t>
      </w:r>
      <w:r w:rsidRPr="00E057B8">
        <w:rPr>
          <w:rFonts w:ascii="Arial" w:hAnsi="Arial" w:cs="Arial"/>
        </w:rPr>
        <w:t>y</w:t>
      </w:r>
      <w:r w:rsidRPr="00E057B8">
        <w:rPr>
          <w:rFonts w:ascii="Arial" w:hAnsi="Arial" w:cs="Arial"/>
          <w:vertAlign w:val="subscript"/>
        </w:rPr>
        <w:t>2</w:t>
      </w:r>
      <w:r w:rsidRPr="00E057B8">
        <w:rPr>
          <w:rFonts w:ascii="Arial" w:hAnsi="Arial" w:cs="Arial"/>
        </w:rPr>
        <w:t xml:space="preserve"> = l</w:t>
      </w:r>
      <w:r w:rsidRPr="00E057B8">
        <w:rPr>
          <w:rFonts w:ascii="Arial" w:hAnsi="Arial" w:cs="Arial"/>
          <w:vertAlign w:val="subscript"/>
        </w:rPr>
        <w:t>1</w:t>
      </w:r>
      <w:r w:rsidRPr="00E057B8">
        <w:rPr>
          <w:rFonts w:ascii="Arial" w:hAnsi="Arial" w:cs="Arial"/>
        </w:rPr>
        <w:t>S</w:t>
      </w:r>
      <w:r w:rsidRPr="00E057B8">
        <w:rPr>
          <w:rFonts w:ascii="Arial" w:hAnsi="Arial" w:cs="Arial"/>
          <w:vertAlign w:val="subscript"/>
        </w:rPr>
        <w:t>1</w:t>
      </w:r>
      <w:r w:rsidRPr="00E057B8">
        <w:rPr>
          <w:rFonts w:ascii="Arial" w:hAnsi="Arial" w:cs="Arial"/>
        </w:rPr>
        <w:t xml:space="preserve"> + l</w:t>
      </w:r>
      <w:r w:rsidRPr="00E057B8">
        <w:rPr>
          <w:rFonts w:ascii="Arial" w:hAnsi="Arial" w:cs="Arial"/>
          <w:vertAlign w:val="subscript"/>
        </w:rPr>
        <w:t>c2</w:t>
      </w:r>
      <w:r w:rsidRPr="00E057B8">
        <w:rPr>
          <w:rFonts w:ascii="Arial" w:hAnsi="Arial" w:cs="Arial"/>
        </w:rPr>
        <w:t>S</w:t>
      </w:r>
      <w:r w:rsidRPr="00E057B8">
        <w:rPr>
          <w:rFonts w:ascii="Arial" w:hAnsi="Arial" w:cs="Arial"/>
          <w:vertAlign w:val="subscript"/>
        </w:rPr>
        <w:t>12</w:t>
      </w:r>
      <w:r>
        <w:rPr>
          <w:rFonts w:ascii="Arial" w:hAnsi="Arial" w:cs="Arial"/>
        </w:rPr>
        <w:t xml:space="preserve">. Aquí se debe considerar que </w:t>
      </w:r>
      <w:r w:rsidRPr="004A76F0">
        <w:rPr>
          <w:rFonts w:ascii="Arial" w:hAnsi="Arial" w:cs="Arial"/>
        </w:rPr>
        <w:t xml:space="preserve">la energía cinética rotacional </w:t>
      </w:r>
      <w:r>
        <w:rPr>
          <w:rFonts w:ascii="Arial" w:hAnsi="Arial" w:cs="Arial"/>
        </w:rPr>
        <w:t>es</w:t>
      </w:r>
      <w:r w:rsidRPr="004A76F0">
        <w:rPr>
          <w:rFonts w:ascii="Arial" w:hAnsi="Arial" w:cs="Arial"/>
        </w:rPr>
        <w:t xml:space="preserve"> la suma de las velocidades </w:t>
      </w:r>
      <w:r w:rsidRPr="00AC7C76">
        <w:rPr>
          <w:rFonts w:ascii="Arial" w:hAnsi="Arial" w:cs="Arial"/>
          <w:bCs/>
          <w:position w:val="-12"/>
        </w:rPr>
        <w:object w:dxaOrig="900" w:dyaOrig="499">
          <v:shape id="_x0000_i1444" type="#_x0000_t75" style="width:36pt;height:21.6pt" o:ole="">
            <v:imagedata r:id="rId1076" o:title=""/>
          </v:shape>
          <o:OLEObject Type="Embed" ProgID="Equation.3" ShapeID="_x0000_i1444" DrawAspect="Content" ObjectID="_1660649541" r:id="rId1077"/>
        </w:object>
      </w:r>
      <w:r>
        <w:rPr>
          <w:rFonts w:ascii="Arial" w:hAnsi="Arial" w:cs="Arial"/>
          <w:bCs/>
        </w:rPr>
        <w:t>.</w:t>
      </w:r>
      <w:r w:rsidRPr="004A76F0">
        <w:rPr>
          <w:rFonts w:ascii="Arial" w:hAnsi="Arial" w:cs="Arial"/>
        </w:rPr>
        <w:t xml:space="preserve"> </w:t>
      </w:r>
      <w:r>
        <w:rPr>
          <w:rFonts w:ascii="Arial" w:hAnsi="Arial" w:cs="Arial"/>
        </w:rPr>
        <w:t>L</w:t>
      </w:r>
      <w:r w:rsidRPr="004A76F0">
        <w:rPr>
          <w:rFonts w:ascii="Arial" w:hAnsi="Arial" w:cs="Arial"/>
        </w:rPr>
        <w:t>a energía cinética total del eslabón</w:t>
      </w:r>
      <w:r>
        <w:rPr>
          <w:rFonts w:ascii="Arial" w:hAnsi="Arial" w:cs="Arial"/>
        </w:rPr>
        <w:t xml:space="preserve"> 2 es la de traslación más la de rotación.</w:t>
      </w:r>
    </w:p>
    <w:p w:rsidR="00874DD5" w:rsidRDefault="00874DD5" w:rsidP="00874DD5">
      <w:pPr>
        <w:ind w:firstLine="567"/>
        <w:jc w:val="both"/>
        <w:rPr>
          <w:rFonts w:ascii="Arial" w:hAnsi="Arial" w:cs="Arial"/>
        </w:rPr>
      </w:pPr>
      <w:r w:rsidRPr="00294771">
        <w:rPr>
          <w:rFonts w:ascii="Arial" w:hAnsi="Arial" w:cs="Arial"/>
          <w:bCs/>
          <w:position w:val="-24"/>
        </w:rPr>
        <w:object w:dxaOrig="8360" w:dyaOrig="620">
          <v:shape id="_x0000_i1445" type="#_x0000_t75" style="width:403.2pt;height:28.8pt" o:ole="">
            <v:imagedata r:id="rId1078" o:title=""/>
          </v:shape>
          <o:OLEObject Type="Embed" ProgID="Equation.3" ShapeID="_x0000_i1445" DrawAspect="Content" ObjectID="_1660649542" r:id="rId1079"/>
        </w:object>
      </w:r>
    </w:p>
    <w:p w:rsidR="00874DD5" w:rsidRDefault="00874DD5" w:rsidP="00874DD5">
      <w:pPr>
        <w:spacing w:before="120" w:after="120"/>
        <w:rPr>
          <w:rFonts w:ascii="Arial" w:hAnsi="Arial" w:cs="Arial"/>
        </w:rPr>
      </w:pPr>
      <w:r>
        <w:rPr>
          <w:bCs/>
          <w:sz w:val="22"/>
          <w:szCs w:val="22"/>
        </w:rPr>
        <w:lastRenderedPageBreak/>
        <w:t xml:space="preserve">            </w:t>
      </w:r>
      <w:r w:rsidRPr="00E057B8">
        <w:rPr>
          <w:bCs/>
          <w:position w:val="-32"/>
          <w:sz w:val="22"/>
          <w:szCs w:val="22"/>
        </w:rPr>
        <w:object w:dxaOrig="8040" w:dyaOrig="760">
          <v:shape id="_x0000_i1446" type="#_x0000_t75" style="width:374.4pt;height:36pt" o:ole="">
            <v:imagedata r:id="rId1080" o:title=""/>
          </v:shape>
          <o:OLEObject Type="Embed" ProgID="Equation.3" ShapeID="_x0000_i1446" DrawAspect="Content" ObjectID="_1660649543" r:id="rId1081"/>
        </w:object>
      </w:r>
      <w:r>
        <w:rPr>
          <w:bCs/>
          <w:sz w:val="22"/>
          <w:szCs w:val="22"/>
        </w:rPr>
        <w:t xml:space="preserve">    </w:t>
      </w:r>
      <w:r>
        <w:rPr>
          <w:rFonts w:ascii="Arial" w:hAnsi="Arial" w:cs="Arial"/>
        </w:rPr>
        <w:t>(4</w:t>
      </w:r>
      <w:r w:rsidRPr="00956C6A">
        <w:rPr>
          <w:rFonts w:ascii="Arial" w:hAnsi="Arial" w:cs="Arial"/>
        </w:rPr>
        <w:t>)</w:t>
      </w:r>
    </w:p>
    <w:p w:rsidR="00874DD5" w:rsidRPr="004A76F0" w:rsidRDefault="00874DD5" w:rsidP="00874DD5">
      <w:pPr>
        <w:ind w:firstLine="567"/>
        <w:jc w:val="both"/>
        <w:rPr>
          <w:rFonts w:ascii="Arial" w:hAnsi="Arial" w:cs="Arial"/>
        </w:rPr>
      </w:pPr>
      <w:r>
        <w:rPr>
          <w:rFonts w:ascii="Arial" w:hAnsi="Arial" w:cs="Arial"/>
        </w:rPr>
        <w:t>Par</w:t>
      </w:r>
      <w:r w:rsidRPr="004A76F0">
        <w:rPr>
          <w:rFonts w:ascii="Arial" w:hAnsi="Arial" w:cs="Arial"/>
        </w:rPr>
        <w:t>a</w:t>
      </w:r>
      <w:r>
        <w:rPr>
          <w:rFonts w:ascii="Arial" w:hAnsi="Arial" w:cs="Arial"/>
        </w:rPr>
        <w:t xml:space="preserve"> la</w:t>
      </w:r>
      <w:r w:rsidRPr="004A76F0">
        <w:rPr>
          <w:rFonts w:ascii="Arial" w:hAnsi="Arial" w:cs="Arial"/>
        </w:rPr>
        <w:t xml:space="preserve"> energía cinética total </w:t>
      </w:r>
      <w:r>
        <w:rPr>
          <w:rFonts w:ascii="Arial" w:hAnsi="Arial" w:cs="Arial"/>
        </w:rPr>
        <w:t xml:space="preserve">se reemplaza </w:t>
      </w:r>
      <w:r w:rsidRPr="004A76F0">
        <w:rPr>
          <w:rFonts w:ascii="Arial" w:hAnsi="Arial" w:cs="Arial"/>
        </w:rPr>
        <w:t>3) y 4) en K</w:t>
      </w:r>
      <w:r w:rsidRPr="004A76F0">
        <w:rPr>
          <w:rFonts w:ascii="Arial" w:hAnsi="Arial" w:cs="Arial"/>
          <w:vertAlign w:val="subscript"/>
        </w:rPr>
        <w:t>Total</w:t>
      </w:r>
      <w:r w:rsidRPr="004A76F0">
        <w:rPr>
          <w:rFonts w:ascii="Arial" w:hAnsi="Arial" w:cs="Arial"/>
        </w:rPr>
        <w:t xml:space="preserve"> = K</w:t>
      </w:r>
      <w:r w:rsidRPr="004A76F0">
        <w:rPr>
          <w:rFonts w:ascii="Arial" w:hAnsi="Arial" w:cs="Arial"/>
          <w:vertAlign w:val="subscript"/>
        </w:rPr>
        <w:t>1</w:t>
      </w:r>
      <w:r w:rsidRPr="004A76F0">
        <w:rPr>
          <w:rFonts w:ascii="Arial" w:hAnsi="Arial" w:cs="Arial"/>
        </w:rPr>
        <w:t xml:space="preserve"> + K</w:t>
      </w:r>
      <w:r w:rsidRPr="004A76F0">
        <w:rPr>
          <w:rFonts w:ascii="Arial" w:hAnsi="Arial" w:cs="Arial"/>
          <w:vertAlign w:val="subscript"/>
        </w:rPr>
        <w:t>2</w:t>
      </w:r>
      <w:r w:rsidRPr="004A76F0">
        <w:rPr>
          <w:rFonts w:ascii="Arial" w:hAnsi="Arial" w:cs="Arial"/>
        </w:rPr>
        <w:t xml:space="preserve"> obteniéndose:</w:t>
      </w:r>
    </w:p>
    <w:p w:rsidR="00874DD5" w:rsidRDefault="00874DD5" w:rsidP="00874DD5">
      <w:pPr>
        <w:spacing w:before="120" w:after="120"/>
        <w:ind w:firstLine="567"/>
        <w:jc w:val="center"/>
        <w:rPr>
          <w:rFonts w:ascii="Arial" w:hAnsi="Arial" w:cs="Arial"/>
        </w:rPr>
      </w:pPr>
      <w:r>
        <w:rPr>
          <w:rFonts w:ascii="Arial" w:hAnsi="Arial" w:cs="Arial"/>
          <w:bCs/>
        </w:rPr>
        <w:t xml:space="preserve">   </w:t>
      </w:r>
      <w:r w:rsidRPr="000C43B6">
        <w:rPr>
          <w:rFonts w:ascii="Arial" w:hAnsi="Arial" w:cs="Arial"/>
          <w:bCs/>
          <w:position w:val="-64"/>
        </w:rPr>
        <w:object w:dxaOrig="6640" w:dyaOrig="1400">
          <v:shape id="_x0000_i1447" type="#_x0000_t75" style="width:345.6pt;height:1in" o:ole="">
            <v:imagedata r:id="rId1082" o:title=""/>
          </v:shape>
          <o:OLEObject Type="Embed" ProgID="Equation.3" ShapeID="_x0000_i1447" DrawAspect="Content" ObjectID="_1660649544" r:id="rId1083"/>
        </w:object>
      </w:r>
      <w:r>
        <w:rPr>
          <w:rFonts w:ascii="Arial" w:hAnsi="Arial" w:cs="Arial"/>
          <w:bCs/>
        </w:rPr>
        <w:t xml:space="preserve">        </w:t>
      </w:r>
      <w:r>
        <w:rPr>
          <w:rFonts w:ascii="Arial" w:hAnsi="Arial" w:cs="Arial"/>
        </w:rPr>
        <w:t>(5</w:t>
      </w:r>
      <w:r w:rsidRPr="00956C6A">
        <w:rPr>
          <w:rFonts w:ascii="Arial" w:hAnsi="Arial" w:cs="Arial"/>
        </w:rPr>
        <w:t>)</w:t>
      </w:r>
    </w:p>
    <w:p w:rsidR="00874DD5" w:rsidRDefault="00874DD5" w:rsidP="00874DD5">
      <w:pPr>
        <w:ind w:firstLine="567"/>
        <w:jc w:val="both"/>
        <w:rPr>
          <w:rFonts w:ascii="Arial" w:hAnsi="Arial" w:cs="Arial"/>
        </w:rPr>
      </w:pPr>
      <w:r>
        <w:rPr>
          <w:rFonts w:ascii="Arial" w:hAnsi="Arial" w:cs="Arial"/>
          <w:i/>
        </w:rPr>
        <w:t>Obtención de la Energía Potencial</w:t>
      </w:r>
      <w:r>
        <w:rPr>
          <w:rFonts w:ascii="Arial" w:hAnsi="Arial" w:cs="Arial"/>
        </w:rPr>
        <w:t xml:space="preserve">: </w:t>
      </w:r>
      <w:r w:rsidRPr="001D1883">
        <w:rPr>
          <w:rFonts w:ascii="Arial" w:hAnsi="Arial" w:cs="Arial"/>
        </w:rPr>
        <w:t>la energía potencial total del robot es la suma de la energía almacenada en cada eslabón</w:t>
      </w:r>
      <w:r>
        <w:rPr>
          <w:rFonts w:ascii="Arial" w:hAnsi="Arial" w:cs="Arial"/>
        </w:rPr>
        <w:t>.</w:t>
      </w:r>
    </w:p>
    <w:p w:rsidR="00874DD5" w:rsidRPr="001D1883" w:rsidRDefault="00874DD5" w:rsidP="00874DD5">
      <w:pPr>
        <w:spacing w:before="120" w:after="120"/>
        <w:ind w:firstLine="567"/>
        <w:jc w:val="center"/>
        <w:rPr>
          <w:rFonts w:ascii="Arial" w:hAnsi="Arial" w:cs="Arial"/>
          <w:lang w:val="en-US"/>
        </w:rPr>
      </w:pPr>
      <w:r w:rsidRPr="00874DD5">
        <w:rPr>
          <w:rFonts w:ascii="Arial" w:hAnsi="Arial" w:cs="Arial"/>
          <w:lang w:val="es-MX"/>
        </w:rPr>
        <w:t xml:space="preserve">                </w:t>
      </w:r>
      <w:r w:rsidRPr="001D1883">
        <w:rPr>
          <w:rFonts w:ascii="Arial" w:hAnsi="Arial" w:cs="Arial"/>
          <w:lang w:val="en-US"/>
        </w:rPr>
        <w:t>(U</w:t>
      </w:r>
      <w:r w:rsidRPr="001D1883">
        <w:rPr>
          <w:rFonts w:ascii="Arial" w:hAnsi="Arial" w:cs="Arial"/>
          <w:vertAlign w:val="subscript"/>
          <w:lang w:val="en-US"/>
        </w:rPr>
        <w:t>Total</w:t>
      </w:r>
      <w:r w:rsidRPr="001D1883">
        <w:rPr>
          <w:rFonts w:ascii="Arial" w:hAnsi="Arial" w:cs="Arial"/>
          <w:lang w:val="en-US"/>
        </w:rPr>
        <w:t xml:space="preserve"> = U</w:t>
      </w:r>
      <w:r w:rsidRPr="001D1883">
        <w:rPr>
          <w:rFonts w:ascii="Arial" w:hAnsi="Arial" w:cs="Arial"/>
          <w:vertAlign w:val="subscript"/>
          <w:lang w:val="en-US"/>
        </w:rPr>
        <w:t>1</w:t>
      </w:r>
      <w:r w:rsidRPr="001D1883">
        <w:rPr>
          <w:rFonts w:ascii="Arial" w:hAnsi="Arial" w:cs="Arial"/>
          <w:lang w:val="en-US"/>
        </w:rPr>
        <w:t xml:space="preserve"> + U</w:t>
      </w:r>
      <w:r w:rsidRPr="001D1883">
        <w:rPr>
          <w:rFonts w:ascii="Arial" w:hAnsi="Arial" w:cs="Arial"/>
          <w:vertAlign w:val="subscript"/>
          <w:lang w:val="en-US"/>
        </w:rPr>
        <w:t>2</w:t>
      </w:r>
      <w:r w:rsidRPr="001D1883">
        <w:rPr>
          <w:rFonts w:ascii="Arial" w:hAnsi="Arial" w:cs="Arial"/>
          <w:lang w:val="en-US"/>
        </w:rPr>
        <w:t xml:space="preserve"> = m</w:t>
      </w:r>
      <w:r w:rsidRPr="001D1883">
        <w:rPr>
          <w:rFonts w:ascii="Arial" w:hAnsi="Arial" w:cs="Arial"/>
          <w:vertAlign w:val="subscript"/>
          <w:lang w:val="en-US"/>
        </w:rPr>
        <w:t>1</w:t>
      </w:r>
      <w:r w:rsidRPr="001D1883">
        <w:rPr>
          <w:rFonts w:ascii="Arial" w:hAnsi="Arial" w:cs="Arial"/>
          <w:lang w:val="en-US"/>
        </w:rPr>
        <w:t>gl</w:t>
      </w:r>
      <w:r w:rsidRPr="001D1883">
        <w:rPr>
          <w:rFonts w:ascii="Arial" w:hAnsi="Arial" w:cs="Arial"/>
          <w:vertAlign w:val="subscript"/>
          <w:lang w:val="en-US"/>
        </w:rPr>
        <w:t>c1</w:t>
      </w:r>
      <w:r w:rsidRPr="001D1883">
        <w:rPr>
          <w:rFonts w:ascii="Arial" w:hAnsi="Arial" w:cs="Arial"/>
          <w:lang w:val="en-US"/>
        </w:rPr>
        <w:t>S</w:t>
      </w:r>
      <w:r w:rsidRPr="001D1883">
        <w:rPr>
          <w:rFonts w:ascii="Arial" w:hAnsi="Arial" w:cs="Arial"/>
          <w:vertAlign w:val="subscript"/>
          <w:lang w:val="en-US"/>
        </w:rPr>
        <w:t>1</w:t>
      </w:r>
      <w:r w:rsidRPr="001D1883">
        <w:rPr>
          <w:rFonts w:ascii="Arial" w:hAnsi="Arial" w:cs="Arial"/>
          <w:lang w:val="en-US"/>
        </w:rPr>
        <w:t xml:space="preserve"> + m</w:t>
      </w:r>
      <w:r w:rsidRPr="001D1883">
        <w:rPr>
          <w:rFonts w:ascii="Arial" w:hAnsi="Arial" w:cs="Arial"/>
          <w:vertAlign w:val="subscript"/>
          <w:lang w:val="en-US"/>
        </w:rPr>
        <w:t>2</w:t>
      </w:r>
      <w:r w:rsidRPr="001D1883">
        <w:rPr>
          <w:rFonts w:ascii="Arial" w:hAnsi="Arial" w:cs="Arial"/>
          <w:lang w:val="en-US"/>
        </w:rPr>
        <w:t>g (l</w:t>
      </w:r>
      <w:r w:rsidRPr="001D1883">
        <w:rPr>
          <w:rFonts w:ascii="Arial" w:hAnsi="Arial" w:cs="Arial"/>
          <w:vertAlign w:val="subscript"/>
          <w:lang w:val="en-US"/>
        </w:rPr>
        <w:t>1</w:t>
      </w:r>
      <w:r w:rsidRPr="001D1883">
        <w:rPr>
          <w:rFonts w:ascii="Arial" w:hAnsi="Arial" w:cs="Arial"/>
          <w:lang w:val="en-US"/>
        </w:rPr>
        <w:t>S</w:t>
      </w:r>
      <w:r w:rsidRPr="001D1883">
        <w:rPr>
          <w:rFonts w:ascii="Arial" w:hAnsi="Arial" w:cs="Arial"/>
          <w:vertAlign w:val="subscript"/>
          <w:lang w:val="en-US"/>
        </w:rPr>
        <w:t>1</w:t>
      </w:r>
      <w:r w:rsidRPr="001D1883">
        <w:rPr>
          <w:rFonts w:ascii="Arial" w:hAnsi="Arial" w:cs="Arial"/>
          <w:lang w:val="en-US"/>
        </w:rPr>
        <w:t xml:space="preserve"> + l</w:t>
      </w:r>
      <w:r w:rsidRPr="001D1883">
        <w:rPr>
          <w:rFonts w:ascii="Arial" w:hAnsi="Arial" w:cs="Arial"/>
          <w:vertAlign w:val="subscript"/>
          <w:lang w:val="en-US"/>
        </w:rPr>
        <w:t>c2</w:t>
      </w:r>
      <w:r w:rsidRPr="001D1883">
        <w:rPr>
          <w:rFonts w:ascii="Arial" w:hAnsi="Arial" w:cs="Arial"/>
          <w:lang w:val="en-US"/>
        </w:rPr>
        <w:t>S</w:t>
      </w:r>
      <w:r w:rsidRPr="001D1883">
        <w:rPr>
          <w:rFonts w:ascii="Arial" w:hAnsi="Arial" w:cs="Arial"/>
          <w:vertAlign w:val="subscript"/>
          <w:lang w:val="en-US"/>
        </w:rPr>
        <w:t>12</w:t>
      </w:r>
      <w:r w:rsidRPr="001D1883">
        <w:rPr>
          <w:rFonts w:ascii="Arial" w:hAnsi="Arial" w:cs="Arial"/>
          <w:lang w:val="en-US"/>
        </w:rPr>
        <w:t xml:space="preserve">) </w:t>
      </w:r>
      <w:r>
        <w:rPr>
          <w:rFonts w:ascii="Arial" w:hAnsi="Arial" w:cs="Arial"/>
          <w:lang w:val="en-US"/>
        </w:rPr>
        <w:t xml:space="preserve">                           </w:t>
      </w:r>
      <w:r w:rsidRPr="001D1883">
        <w:rPr>
          <w:rFonts w:ascii="Arial" w:hAnsi="Arial" w:cs="Arial"/>
          <w:lang w:val="en-US"/>
        </w:rPr>
        <w:t>(</w:t>
      </w:r>
      <w:r>
        <w:rPr>
          <w:rFonts w:ascii="Arial" w:hAnsi="Arial" w:cs="Arial"/>
          <w:lang w:val="en-US"/>
        </w:rPr>
        <w:t>6</w:t>
      </w:r>
      <w:r w:rsidRPr="001D1883">
        <w:rPr>
          <w:rFonts w:ascii="Arial" w:hAnsi="Arial" w:cs="Arial"/>
          <w:lang w:val="en-US"/>
        </w:rPr>
        <w:t>)</w:t>
      </w:r>
    </w:p>
    <w:p w:rsidR="00874DD5" w:rsidRPr="001D1883" w:rsidRDefault="00874DD5" w:rsidP="00874DD5">
      <w:pPr>
        <w:ind w:firstLine="567"/>
        <w:jc w:val="both"/>
        <w:rPr>
          <w:rFonts w:ascii="Arial" w:hAnsi="Arial" w:cs="Arial"/>
          <w:lang w:val="es-AR"/>
        </w:rPr>
      </w:pPr>
      <w:r>
        <w:rPr>
          <w:rFonts w:ascii="Arial" w:hAnsi="Arial" w:cs="Arial"/>
          <w:i/>
        </w:rPr>
        <w:t>Obtención del Lagrangiano</w:t>
      </w:r>
      <w:r>
        <w:rPr>
          <w:rFonts w:ascii="Arial" w:hAnsi="Arial" w:cs="Arial"/>
        </w:rPr>
        <w:t>: para esto se calcula</w:t>
      </w:r>
      <w:r w:rsidRPr="00692A8C">
        <w:rPr>
          <w:rFonts w:ascii="Arial" w:hAnsi="Arial" w:cs="Arial"/>
        </w:rPr>
        <w:t xml:space="preserve"> la diferencia entre la energía cinética total y la energí</w:t>
      </w:r>
      <w:r>
        <w:rPr>
          <w:rFonts w:ascii="Arial" w:hAnsi="Arial" w:cs="Arial"/>
        </w:rPr>
        <w:t>a potencial gravitatoria total.</w:t>
      </w:r>
      <w:r>
        <w:rPr>
          <w:b/>
          <w:i/>
          <w:sz w:val="22"/>
          <w:szCs w:val="22"/>
          <w:lang w:val="es-ES_tradnl"/>
        </w:rPr>
        <w:t xml:space="preserve">     </w:t>
      </w:r>
      <w:r w:rsidRPr="0005785E">
        <w:rPr>
          <w:b/>
          <w:i/>
          <w:position w:val="-12"/>
          <w:sz w:val="22"/>
          <w:szCs w:val="22"/>
          <w:lang w:val="es-ES_tradnl"/>
        </w:rPr>
        <w:object w:dxaOrig="3320" w:dyaOrig="499">
          <v:shape id="_x0000_i1448" type="#_x0000_t75" style="width:151.2pt;height:21.6pt" o:ole="">
            <v:imagedata r:id="rId1084" o:title=""/>
          </v:shape>
          <o:OLEObject Type="Embed" ProgID="Equation.3" ShapeID="_x0000_i1448" DrawAspect="Content" ObjectID="_1660649545" r:id="rId1085"/>
        </w:object>
      </w:r>
      <w:r>
        <w:rPr>
          <w:b/>
          <w:i/>
          <w:sz w:val="22"/>
          <w:szCs w:val="22"/>
          <w:lang w:val="es-ES_tradnl"/>
        </w:rPr>
        <w:t xml:space="preserve">                                   </w:t>
      </w:r>
    </w:p>
    <w:p w:rsidR="00874DD5" w:rsidRDefault="00874DD5" w:rsidP="00874DD5">
      <w:pPr>
        <w:ind w:firstLine="567"/>
        <w:jc w:val="both"/>
        <w:rPr>
          <w:rFonts w:ascii="Arial" w:hAnsi="Arial" w:cs="Arial"/>
        </w:rPr>
      </w:pPr>
      <w:r>
        <w:rPr>
          <w:rFonts w:ascii="Arial" w:hAnsi="Arial" w:cs="Arial"/>
        </w:rPr>
        <w:t>Luego</w:t>
      </w:r>
      <w:r w:rsidRPr="00692A8C">
        <w:rPr>
          <w:rFonts w:ascii="Arial" w:hAnsi="Arial" w:cs="Arial"/>
        </w:rPr>
        <w:t xml:space="preserve">, sustituyendo 5) – 6) en </w:t>
      </w:r>
      <w:r>
        <w:rPr>
          <w:rFonts w:ascii="Arial" w:hAnsi="Arial" w:cs="Arial"/>
        </w:rPr>
        <w:t>la expresión anterior se obtiene (</w:t>
      </w:r>
      <w:r w:rsidRPr="00692A8C">
        <w:rPr>
          <w:rFonts w:ascii="Arial" w:hAnsi="Arial" w:cs="Arial"/>
        </w:rPr>
        <w:t>7):</w:t>
      </w:r>
      <w:r>
        <w:rPr>
          <w:rFonts w:ascii="Arial" w:hAnsi="Arial" w:cs="Arial"/>
        </w:rPr>
        <w:t xml:space="preserve"> </w:t>
      </w:r>
    </w:p>
    <w:p w:rsidR="00874DD5" w:rsidRPr="00692A8C" w:rsidRDefault="00874DD5" w:rsidP="00874DD5">
      <w:pPr>
        <w:spacing w:before="120" w:after="120"/>
        <w:ind w:firstLine="567"/>
        <w:jc w:val="center"/>
        <w:rPr>
          <w:rFonts w:ascii="Arial" w:hAnsi="Arial" w:cs="Arial"/>
          <w:lang w:val="es-AR"/>
        </w:rPr>
      </w:pPr>
      <w:r w:rsidRPr="00692A8C">
        <w:rPr>
          <w:rFonts w:ascii="Arial" w:hAnsi="Arial" w:cs="Arial"/>
          <w:bCs/>
          <w:position w:val="-64"/>
        </w:rPr>
        <w:object w:dxaOrig="6320" w:dyaOrig="1400">
          <v:shape id="_x0000_i1449" type="#_x0000_t75" style="width:352.8pt;height:64.8pt" o:ole="">
            <v:imagedata r:id="rId1086" o:title=""/>
          </v:shape>
          <o:OLEObject Type="Embed" ProgID="Equation.3" ShapeID="_x0000_i1449" DrawAspect="Content" ObjectID="_1660649546" r:id="rId1087"/>
        </w:object>
      </w:r>
      <w:r>
        <w:rPr>
          <w:rFonts w:ascii="Arial" w:hAnsi="Arial" w:cs="Arial"/>
          <w:bCs/>
        </w:rPr>
        <w:t xml:space="preserve">         </w:t>
      </w:r>
      <w:r w:rsidRPr="00692A8C">
        <w:rPr>
          <w:rFonts w:ascii="Arial" w:hAnsi="Arial" w:cs="Arial"/>
          <w:lang w:val="es-AR"/>
        </w:rPr>
        <w:t>(7)</w:t>
      </w:r>
    </w:p>
    <w:p w:rsidR="00874DD5" w:rsidRDefault="00874DD5" w:rsidP="00874DD5">
      <w:pPr>
        <w:ind w:firstLine="567"/>
        <w:jc w:val="both"/>
        <w:rPr>
          <w:rFonts w:ascii="Arial" w:hAnsi="Arial" w:cs="Arial"/>
          <w:lang w:val="es-AR"/>
        </w:rPr>
      </w:pPr>
      <w:r w:rsidRPr="0029775D">
        <w:rPr>
          <w:rFonts w:ascii="Arial" w:hAnsi="Arial" w:cs="Arial"/>
          <w:i/>
        </w:rPr>
        <w:t>Formulación de las ecuaciones de Lagrange</w:t>
      </w:r>
      <w:r>
        <w:rPr>
          <w:rFonts w:ascii="Arial" w:hAnsi="Arial" w:cs="Arial"/>
        </w:rPr>
        <w:t>:</w:t>
      </w:r>
      <w:r w:rsidRPr="0029775D">
        <w:rPr>
          <w:rFonts w:ascii="Arial" w:hAnsi="Arial" w:cs="Arial"/>
          <w:i/>
        </w:rPr>
        <w:t xml:space="preserve"> </w:t>
      </w:r>
      <w:r>
        <w:rPr>
          <w:rFonts w:ascii="Arial" w:hAnsi="Arial" w:cs="Arial"/>
        </w:rPr>
        <w:t>de</w:t>
      </w:r>
      <w:r w:rsidRPr="0029775D">
        <w:rPr>
          <w:rFonts w:ascii="Arial" w:hAnsi="Arial" w:cs="Arial"/>
        </w:rPr>
        <w:t xml:space="preserve"> la ecuación 2) para cada coordenada generalizada q</w:t>
      </w:r>
      <w:r w:rsidRPr="0029775D">
        <w:rPr>
          <w:rFonts w:ascii="Arial" w:hAnsi="Arial" w:cs="Arial"/>
          <w:vertAlign w:val="subscript"/>
        </w:rPr>
        <w:t>1</w:t>
      </w:r>
      <w:r w:rsidRPr="0029775D">
        <w:rPr>
          <w:rFonts w:ascii="Arial" w:hAnsi="Arial" w:cs="Arial"/>
        </w:rPr>
        <w:t xml:space="preserve"> y q</w:t>
      </w:r>
      <w:r w:rsidRPr="0029775D">
        <w:rPr>
          <w:rFonts w:ascii="Arial" w:hAnsi="Arial" w:cs="Arial"/>
          <w:vertAlign w:val="subscript"/>
        </w:rPr>
        <w:t>2</w:t>
      </w:r>
      <w:r>
        <w:rPr>
          <w:rFonts w:ascii="Arial" w:hAnsi="Arial" w:cs="Arial"/>
        </w:rPr>
        <w:t>)</w:t>
      </w:r>
      <w:r>
        <w:rPr>
          <w:rStyle w:val="Refdenotaalpie"/>
          <w:rFonts w:ascii="Arial" w:hAnsi="Arial" w:cs="Arial"/>
        </w:rPr>
        <w:footnoteReference w:id="6"/>
      </w:r>
      <w:r>
        <w:rPr>
          <w:rFonts w:ascii="Arial" w:hAnsi="Arial" w:cs="Arial"/>
        </w:rPr>
        <w:t xml:space="preserve">, se tienen las expresiones (8), (9), (10) y (11): derivando L respecto a la posición y velocidad articular de cada coordenada. </w:t>
      </w:r>
      <w:r w:rsidRPr="009B7A56">
        <w:rPr>
          <w:rFonts w:ascii="Arial" w:hAnsi="Arial" w:cs="Arial"/>
          <w:b/>
          <w:bCs/>
          <w:position w:val="-66"/>
        </w:rPr>
        <w:object w:dxaOrig="9279" w:dyaOrig="1440">
          <v:shape id="_x0000_i1450" type="#_x0000_t75" style="width:6in;height:79.2pt" o:ole="">
            <v:imagedata r:id="rId1088" o:title=""/>
          </v:shape>
          <o:OLEObject Type="Embed" ProgID="Equation.3" ShapeID="_x0000_i1450" DrawAspect="Content" ObjectID="_1660649547" r:id="rId1089"/>
        </w:object>
      </w:r>
      <w:r>
        <w:rPr>
          <w:rFonts w:ascii="Arial" w:hAnsi="Arial" w:cs="Arial"/>
          <w:b/>
          <w:bCs/>
        </w:rPr>
        <w:t xml:space="preserve">  </w:t>
      </w:r>
      <w:r w:rsidRPr="00C40890">
        <w:rPr>
          <w:rFonts w:ascii="Arial" w:hAnsi="Arial" w:cs="Arial"/>
          <w:lang w:val="es-AR"/>
        </w:rPr>
        <w:t>(8)</w:t>
      </w:r>
      <w:r>
        <w:rPr>
          <w:rFonts w:ascii="Arial" w:hAnsi="Arial" w:cs="Arial"/>
          <w:lang w:val="es-AR"/>
        </w:rPr>
        <w:t xml:space="preserve"> </w:t>
      </w:r>
    </w:p>
    <w:p w:rsidR="00874DD5" w:rsidRDefault="00874DD5" w:rsidP="00874DD5">
      <w:pPr>
        <w:spacing w:before="120" w:after="120"/>
        <w:ind w:firstLine="567"/>
        <w:jc w:val="center"/>
        <w:rPr>
          <w:rFonts w:ascii="Arial" w:hAnsi="Arial" w:cs="Arial"/>
          <w:lang w:val="es-AR"/>
        </w:rPr>
      </w:pPr>
      <w:r>
        <w:rPr>
          <w:rFonts w:ascii="Arial" w:hAnsi="Arial" w:cs="Arial"/>
          <w:b/>
          <w:bCs/>
        </w:rPr>
        <w:t xml:space="preserve">        </w:t>
      </w:r>
      <w:r w:rsidRPr="00286122">
        <w:rPr>
          <w:rFonts w:ascii="Arial" w:hAnsi="Arial" w:cs="Arial"/>
          <w:b/>
          <w:bCs/>
          <w:position w:val="-42"/>
        </w:rPr>
        <w:object w:dxaOrig="7040" w:dyaOrig="960">
          <v:shape id="_x0000_i1451" type="#_x0000_t75" style="width:5in;height:43.2pt" o:ole="">
            <v:imagedata r:id="rId1090" o:title=""/>
          </v:shape>
          <o:OLEObject Type="Embed" ProgID="Equation.3" ShapeID="_x0000_i1451" DrawAspect="Content" ObjectID="_1660649548" r:id="rId1091"/>
        </w:object>
      </w:r>
      <w:r>
        <w:rPr>
          <w:rFonts w:ascii="Arial" w:hAnsi="Arial" w:cs="Arial"/>
          <w:b/>
          <w:bCs/>
        </w:rPr>
        <w:t xml:space="preserve">       </w:t>
      </w:r>
      <w:r>
        <w:rPr>
          <w:rFonts w:ascii="Arial" w:hAnsi="Arial" w:cs="Arial"/>
          <w:bCs/>
        </w:rPr>
        <w:t>(</w:t>
      </w:r>
      <w:r w:rsidRPr="00C40890">
        <w:rPr>
          <w:rFonts w:ascii="Arial" w:hAnsi="Arial" w:cs="Arial"/>
          <w:lang w:val="es-AR"/>
        </w:rPr>
        <w:t>9)</w:t>
      </w:r>
    </w:p>
    <w:p w:rsidR="00874DD5" w:rsidRDefault="00874DD5" w:rsidP="00874DD5">
      <w:pPr>
        <w:spacing w:before="120" w:after="120"/>
        <w:ind w:firstLine="567"/>
        <w:jc w:val="center"/>
        <w:rPr>
          <w:rFonts w:ascii="Arial" w:hAnsi="Arial" w:cs="Arial"/>
          <w:lang w:val="es-AR"/>
        </w:rPr>
      </w:pPr>
      <w:r>
        <w:rPr>
          <w:rFonts w:ascii="Arial" w:hAnsi="Arial" w:cs="Arial"/>
          <w:b/>
          <w:bCs/>
        </w:rPr>
        <w:lastRenderedPageBreak/>
        <w:t xml:space="preserve">                                  </w:t>
      </w:r>
      <w:r w:rsidRPr="00B25E8B">
        <w:rPr>
          <w:rFonts w:ascii="Arial" w:hAnsi="Arial" w:cs="Arial"/>
          <w:b/>
          <w:bCs/>
          <w:position w:val="-30"/>
        </w:rPr>
        <w:object w:dxaOrig="4099" w:dyaOrig="820">
          <v:shape id="_x0000_i1452" type="#_x0000_t75" style="width:194.4pt;height:43.2pt" o:ole="">
            <v:imagedata r:id="rId1092" o:title=""/>
          </v:shape>
          <o:OLEObject Type="Embed" ProgID="Equation.3" ShapeID="_x0000_i1452" DrawAspect="Content" ObjectID="_1660649549" r:id="rId1093"/>
        </w:object>
      </w:r>
      <w:r>
        <w:rPr>
          <w:rFonts w:ascii="Arial" w:hAnsi="Arial" w:cs="Arial"/>
          <w:b/>
          <w:bCs/>
        </w:rPr>
        <w:t xml:space="preserve">                             </w:t>
      </w:r>
      <w:r>
        <w:rPr>
          <w:rFonts w:ascii="Arial" w:hAnsi="Arial" w:cs="Arial"/>
          <w:bCs/>
        </w:rPr>
        <w:t>(</w:t>
      </w:r>
      <w:r w:rsidRPr="00C40890">
        <w:rPr>
          <w:rFonts w:ascii="Arial" w:hAnsi="Arial" w:cs="Arial"/>
          <w:lang w:val="es-AR"/>
        </w:rPr>
        <w:t>10)</w:t>
      </w:r>
    </w:p>
    <w:p w:rsidR="00874DD5" w:rsidRDefault="00874DD5" w:rsidP="00874DD5">
      <w:pPr>
        <w:spacing w:before="120" w:after="120"/>
        <w:ind w:firstLine="567"/>
        <w:jc w:val="center"/>
        <w:rPr>
          <w:rFonts w:ascii="Arial" w:hAnsi="Arial" w:cs="Arial"/>
          <w:bCs/>
        </w:rPr>
      </w:pPr>
      <w:r>
        <w:rPr>
          <w:noProof/>
          <w:lang w:val="en-US"/>
        </w:rPr>
        <w:drawing>
          <wp:anchor distT="0" distB="0" distL="114300" distR="114300" simplePos="0" relativeHeight="251820032" behindDoc="0" locked="0" layoutInCell="1" allowOverlap="1" wp14:anchorId="5EC0C405" wp14:editId="242CEA6E">
            <wp:simplePos x="0" y="0"/>
            <wp:positionH relativeFrom="column">
              <wp:posOffset>3195320</wp:posOffset>
            </wp:positionH>
            <wp:positionV relativeFrom="paragraph">
              <wp:posOffset>585470</wp:posOffset>
            </wp:positionV>
            <wp:extent cx="2771775" cy="1838325"/>
            <wp:effectExtent l="0" t="0" r="9525" b="9525"/>
            <wp:wrapNone/>
            <wp:docPr id="2026623671" name="Imagen 202662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277177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w:drawing>
          <wp:anchor distT="0" distB="0" distL="114300" distR="114300" simplePos="0" relativeHeight="251816960" behindDoc="0" locked="0" layoutInCell="1" allowOverlap="1" wp14:anchorId="6A2A460A" wp14:editId="72CDE3CB">
            <wp:simplePos x="0" y="0"/>
            <wp:positionH relativeFrom="column">
              <wp:posOffset>110490</wp:posOffset>
            </wp:positionH>
            <wp:positionV relativeFrom="paragraph">
              <wp:posOffset>539115</wp:posOffset>
            </wp:positionV>
            <wp:extent cx="2857500" cy="1781175"/>
            <wp:effectExtent l="0" t="0" r="0" b="9525"/>
            <wp:wrapNone/>
            <wp:docPr id="2026623670" name="Imagen 202662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rPr>
        <w:t xml:space="preserve">                   </w:t>
      </w:r>
      <w:r w:rsidRPr="006E1642">
        <w:rPr>
          <w:rFonts w:ascii="Arial" w:hAnsi="Arial" w:cs="Arial"/>
          <w:b/>
          <w:bCs/>
          <w:position w:val="-30"/>
        </w:rPr>
        <w:object w:dxaOrig="5140" w:dyaOrig="820">
          <v:shape id="_x0000_i1453" type="#_x0000_t75" style="width:273.6pt;height:43.2pt" o:ole="">
            <v:imagedata r:id="rId1096" o:title=""/>
          </v:shape>
          <o:OLEObject Type="Embed" ProgID="Equation.3" ShapeID="_x0000_i1453" DrawAspect="Content" ObjectID="_1660649550" r:id="rId1097"/>
        </w:object>
      </w:r>
      <w:r>
        <w:rPr>
          <w:rFonts w:ascii="Arial" w:hAnsi="Arial" w:cs="Arial"/>
          <w:b/>
          <w:bCs/>
        </w:rPr>
        <w:t xml:space="preserve">                  </w:t>
      </w:r>
      <w:r>
        <w:rPr>
          <w:rFonts w:ascii="Arial" w:hAnsi="Arial" w:cs="Arial"/>
          <w:bCs/>
        </w:rPr>
        <w:t>(11</w:t>
      </w:r>
      <w:r w:rsidRPr="006E1642">
        <w:rPr>
          <w:rFonts w:ascii="Arial" w:hAnsi="Arial" w:cs="Arial"/>
          <w:bCs/>
        </w:rPr>
        <w:t>)</w:t>
      </w:r>
    </w:p>
    <w:p w:rsidR="00874DD5" w:rsidRDefault="00874DD5" w:rsidP="00874DD5">
      <w:pPr>
        <w:spacing w:before="120" w:after="120"/>
        <w:ind w:firstLine="567"/>
        <w:jc w:val="center"/>
        <w:rPr>
          <w:rFonts w:ascii="Arial" w:hAnsi="Arial" w:cs="Arial"/>
          <w:bCs/>
        </w:rPr>
      </w:pPr>
    </w:p>
    <w:p w:rsidR="00874DD5" w:rsidRDefault="00874DD5" w:rsidP="00874DD5">
      <w:pPr>
        <w:spacing w:before="120" w:after="120"/>
        <w:ind w:firstLine="567"/>
        <w:jc w:val="center"/>
        <w:rPr>
          <w:rFonts w:ascii="Arial" w:hAnsi="Arial" w:cs="Arial"/>
          <w:bCs/>
        </w:rPr>
      </w:pPr>
    </w:p>
    <w:p w:rsidR="00874DD5" w:rsidRDefault="00874DD5" w:rsidP="00874DD5">
      <w:pPr>
        <w:spacing w:before="120" w:after="120"/>
        <w:ind w:firstLine="567"/>
        <w:jc w:val="center"/>
        <w:rPr>
          <w:rFonts w:ascii="Arial" w:hAnsi="Arial" w:cs="Arial"/>
          <w:bCs/>
        </w:rPr>
      </w:pPr>
    </w:p>
    <w:p w:rsidR="00874DD5" w:rsidRDefault="00874DD5" w:rsidP="00874DD5">
      <w:pPr>
        <w:spacing w:before="120" w:after="120"/>
        <w:ind w:firstLine="567"/>
        <w:jc w:val="center"/>
        <w:rPr>
          <w:rFonts w:ascii="Arial" w:hAnsi="Arial" w:cs="Arial"/>
          <w:bCs/>
        </w:rPr>
      </w:pPr>
    </w:p>
    <w:p w:rsidR="00874DD5" w:rsidRDefault="00874DD5" w:rsidP="00874DD5">
      <w:pPr>
        <w:spacing w:before="120" w:after="120"/>
        <w:ind w:firstLine="567"/>
        <w:jc w:val="center"/>
        <w:rPr>
          <w:rFonts w:ascii="Arial" w:hAnsi="Arial" w:cs="Arial"/>
          <w:bCs/>
        </w:rPr>
      </w:pPr>
    </w:p>
    <w:p w:rsidR="00874DD5" w:rsidRDefault="00874DD5" w:rsidP="00874DD5">
      <w:pPr>
        <w:spacing w:before="120" w:after="120"/>
        <w:ind w:firstLine="567"/>
        <w:jc w:val="center"/>
        <w:rPr>
          <w:rFonts w:ascii="Arial" w:hAnsi="Arial" w:cs="Arial"/>
          <w:bCs/>
        </w:rPr>
      </w:pPr>
    </w:p>
    <w:p w:rsidR="00874DD5" w:rsidRDefault="00874DD5" w:rsidP="00874DD5">
      <w:pPr>
        <w:spacing w:before="120" w:after="120"/>
        <w:ind w:firstLine="567"/>
        <w:jc w:val="center"/>
        <w:rPr>
          <w:rFonts w:ascii="Arial" w:hAnsi="Arial" w:cs="Arial"/>
          <w:bCs/>
        </w:rPr>
      </w:pPr>
    </w:p>
    <w:p w:rsidR="00874DD5" w:rsidRDefault="00874DD5" w:rsidP="00874DD5">
      <w:pPr>
        <w:spacing w:before="120" w:after="120"/>
        <w:ind w:firstLine="567"/>
        <w:jc w:val="center"/>
        <w:rPr>
          <w:rFonts w:ascii="Arial" w:hAnsi="Arial" w:cs="Arial"/>
          <w:bCs/>
        </w:rPr>
      </w:pPr>
    </w:p>
    <w:p w:rsidR="00874DD5" w:rsidRPr="00C32761" w:rsidRDefault="00874DD5" w:rsidP="00874DD5">
      <w:pPr>
        <w:jc w:val="center"/>
        <w:rPr>
          <w:rFonts w:ascii="Arial" w:hAnsi="Arial" w:cs="Arial"/>
          <w:bCs/>
          <w:i/>
          <w:sz w:val="20"/>
          <w:szCs w:val="20"/>
        </w:rPr>
      </w:pPr>
      <w:r w:rsidRPr="00163EF1">
        <w:rPr>
          <w:rFonts w:ascii="Arial" w:hAnsi="Arial" w:cs="Arial"/>
          <w:bCs/>
          <w:i/>
          <w:sz w:val="20"/>
          <w:szCs w:val="20"/>
        </w:rPr>
        <w:t xml:space="preserve">Figura </w:t>
      </w:r>
      <w:r>
        <w:rPr>
          <w:rFonts w:ascii="Arial" w:hAnsi="Arial" w:cs="Arial"/>
          <w:bCs/>
          <w:i/>
          <w:sz w:val="20"/>
          <w:szCs w:val="20"/>
        </w:rPr>
        <w:t>6</w:t>
      </w:r>
      <w:r w:rsidRPr="00163EF1">
        <w:rPr>
          <w:rFonts w:ascii="Arial" w:hAnsi="Arial" w:cs="Arial"/>
          <w:bCs/>
          <w:i/>
          <w:sz w:val="20"/>
          <w:szCs w:val="20"/>
        </w:rPr>
        <w:t xml:space="preserve">. </w:t>
      </w:r>
      <w:r>
        <w:rPr>
          <w:rFonts w:ascii="Arial" w:hAnsi="Arial" w:cs="Arial"/>
          <w:bCs/>
          <w:i/>
          <w:sz w:val="20"/>
          <w:szCs w:val="20"/>
        </w:rPr>
        <w:t xml:space="preserve">a) Evolucion temporal de los pares de torsión </w:t>
      </w:r>
      <m:oMath>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 xml:space="preserve"> y </m:t>
        </m:r>
        <m:sSub>
          <m:sSubPr>
            <m:ctrlPr>
              <w:rPr>
                <w:rFonts w:ascii="Cambria Math" w:hAnsi="Cambria Math"/>
                <w:i/>
              </w:rPr>
            </m:ctrlPr>
          </m:sSubPr>
          <m:e>
            <m:r>
              <w:rPr>
                <w:rFonts w:ascii="Cambria Math" w:hAnsi="Cambria Math"/>
              </w:rPr>
              <m:t>τ</m:t>
            </m:r>
          </m:e>
          <m:sub>
            <m:r>
              <w:rPr>
                <w:rFonts w:ascii="Cambria Math" w:hAnsi="Cambria Math"/>
              </w:rPr>
              <m:t>2</m:t>
            </m:r>
          </m:sub>
        </m:sSub>
      </m:oMath>
      <w:r>
        <w:t xml:space="preserve"> </w:t>
      </w:r>
      <w:r w:rsidRPr="00C32761">
        <w:rPr>
          <w:rFonts w:ascii="Arial" w:hAnsi="Arial" w:cs="Arial"/>
          <w:bCs/>
          <w:i/>
          <w:sz w:val="20"/>
          <w:szCs w:val="20"/>
        </w:rPr>
        <w:t>correspondientes al caso 1.</w:t>
      </w:r>
    </w:p>
    <w:p w:rsidR="00874DD5" w:rsidRDefault="00874DD5" w:rsidP="00874DD5">
      <w:pPr>
        <w:jc w:val="center"/>
      </w:pPr>
      <w:r w:rsidRPr="00C32761">
        <w:rPr>
          <w:rFonts w:ascii="Arial" w:hAnsi="Arial" w:cs="Arial"/>
          <w:bCs/>
          <w:i/>
          <w:sz w:val="20"/>
          <w:szCs w:val="20"/>
        </w:rPr>
        <w:t>b) Evolucion temporal de las variables articulares correspondientes al caso 1</w:t>
      </w:r>
    </w:p>
    <w:p w:rsidR="00874DD5" w:rsidRDefault="00874DD5" w:rsidP="00874DD5">
      <w:pPr>
        <w:ind w:firstLine="567"/>
        <w:jc w:val="both"/>
        <w:rPr>
          <w:rFonts w:ascii="Arial" w:hAnsi="Arial" w:cs="Arial"/>
          <w:b/>
          <w:i/>
        </w:rPr>
      </w:pPr>
    </w:p>
    <w:p w:rsidR="00874DD5" w:rsidRPr="00CB73C7" w:rsidRDefault="00874DD5" w:rsidP="00874DD5">
      <w:pPr>
        <w:ind w:firstLine="567"/>
        <w:jc w:val="both"/>
        <w:rPr>
          <w:rFonts w:ascii="Arial" w:hAnsi="Arial" w:cs="Arial"/>
        </w:rPr>
      </w:pPr>
      <w:r w:rsidRPr="008B76DC">
        <w:rPr>
          <w:rFonts w:ascii="Arial" w:hAnsi="Arial" w:cs="Arial"/>
          <w:b/>
          <w:i/>
        </w:rPr>
        <w:t xml:space="preserve">Fase </w:t>
      </w:r>
      <w:r>
        <w:rPr>
          <w:rFonts w:ascii="Arial" w:hAnsi="Arial" w:cs="Arial"/>
          <w:b/>
          <w:i/>
        </w:rPr>
        <w:t>2</w:t>
      </w:r>
      <w:r w:rsidRPr="008B76DC">
        <w:rPr>
          <w:rFonts w:ascii="Arial" w:hAnsi="Arial" w:cs="Arial"/>
          <w:b/>
          <w:i/>
        </w:rPr>
        <w:t xml:space="preserve">: </w:t>
      </w:r>
      <w:r>
        <w:rPr>
          <w:rFonts w:ascii="Arial" w:hAnsi="Arial" w:cs="Arial"/>
          <w:i/>
        </w:rPr>
        <w:t>Obtención de los pares de torsión en forma matricial</w:t>
      </w:r>
      <w:r>
        <w:rPr>
          <w:rFonts w:ascii="Arial" w:hAnsi="Arial" w:cs="Arial"/>
        </w:rPr>
        <w:t>:</w:t>
      </w:r>
      <w:r>
        <w:rPr>
          <w:rFonts w:ascii="Arial" w:hAnsi="Arial" w:cs="Arial"/>
          <w:i/>
        </w:rPr>
        <w:t xml:space="preserve"> </w:t>
      </w:r>
      <w:r>
        <w:rPr>
          <w:rFonts w:ascii="Arial" w:hAnsi="Arial" w:cs="Arial"/>
        </w:rPr>
        <w:t>s</w:t>
      </w:r>
      <w:r w:rsidRPr="00263304">
        <w:rPr>
          <w:rFonts w:ascii="Arial" w:hAnsi="Arial" w:cs="Arial"/>
        </w:rPr>
        <w:t>e aplica la ecuación 2) para las</w:t>
      </w:r>
      <w:r>
        <w:rPr>
          <w:rFonts w:ascii="Arial" w:hAnsi="Arial" w:cs="Arial"/>
        </w:rPr>
        <w:t xml:space="preserve"> coordenadas articulares 1 y 2; operando </w:t>
      </w:r>
      <w:r w:rsidRPr="00263304">
        <w:rPr>
          <w:rFonts w:ascii="Arial" w:hAnsi="Arial" w:cs="Arial"/>
        </w:rPr>
        <w:t>con las ecuaciones (8), (9), (10) y (11)</w:t>
      </w:r>
      <w:r>
        <w:rPr>
          <w:rFonts w:ascii="Arial" w:hAnsi="Arial" w:cs="Arial"/>
        </w:rPr>
        <w:t xml:space="preserve"> de la forma: </w:t>
      </w:r>
      <w:r w:rsidRPr="00E441D6">
        <w:rPr>
          <w:bCs/>
          <w:position w:val="-10"/>
          <w:sz w:val="22"/>
          <w:szCs w:val="22"/>
        </w:rPr>
        <w:object w:dxaOrig="3320" w:dyaOrig="340">
          <v:shape id="_x0000_i1454" type="#_x0000_t75" style="width:3in;height:21.6pt" o:ole="">
            <v:imagedata r:id="rId1098" o:title=""/>
          </v:shape>
          <o:OLEObject Type="Embed" ProgID="Equation.3" ShapeID="_x0000_i1454" DrawAspect="Content" ObjectID="_1660649551" r:id="rId1099"/>
        </w:object>
      </w:r>
      <w:r>
        <w:rPr>
          <w:bCs/>
          <w:sz w:val="22"/>
          <w:szCs w:val="22"/>
        </w:rPr>
        <w:t xml:space="preserve">, </w:t>
      </w:r>
      <w:r>
        <w:rPr>
          <w:rFonts w:ascii="Arial" w:hAnsi="Arial" w:cs="Arial"/>
        </w:rPr>
        <w:t>se obtiene la expresión (12)</w:t>
      </w:r>
      <w:r>
        <w:rPr>
          <w:bCs/>
          <w:sz w:val="22"/>
          <w:szCs w:val="22"/>
        </w:rPr>
        <w:t>.</w:t>
      </w:r>
      <w:r>
        <w:rPr>
          <w:rFonts w:ascii="Arial" w:hAnsi="Arial" w:cs="Arial"/>
        </w:rPr>
        <w:t xml:space="preserve"> Por simplicidad de se omiten J</w:t>
      </w:r>
      <w:r>
        <w:rPr>
          <w:rFonts w:ascii="Arial" w:hAnsi="Arial" w:cs="Arial"/>
          <w:vertAlign w:val="subscript"/>
        </w:rPr>
        <w:t>1</w:t>
      </w:r>
      <w:r>
        <w:rPr>
          <w:rFonts w:ascii="Arial" w:hAnsi="Arial" w:cs="Arial"/>
        </w:rPr>
        <w:t xml:space="preserve"> y J</w:t>
      </w:r>
      <w:r>
        <w:rPr>
          <w:rFonts w:ascii="Arial" w:hAnsi="Arial" w:cs="Arial"/>
          <w:vertAlign w:val="subscript"/>
        </w:rPr>
        <w:t>2</w:t>
      </w:r>
      <w:r>
        <w:rPr>
          <w:rFonts w:ascii="Arial" w:hAnsi="Arial" w:cs="Arial"/>
        </w:rPr>
        <w:t>. Luego, s</w:t>
      </w:r>
      <w:r w:rsidRPr="00CB73C7">
        <w:rPr>
          <w:rFonts w:ascii="Arial" w:hAnsi="Arial" w:cs="Arial"/>
        </w:rPr>
        <w:t xml:space="preserve">i se efectúa el producto matricial en </w:t>
      </w:r>
      <w:r>
        <w:rPr>
          <w:rFonts w:ascii="Arial" w:hAnsi="Arial" w:cs="Arial"/>
        </w:rPr>
        <w:t>(</w:t>
      </w:r>
      <w:r w:rsidRPr="00CB73C7">
        <w:rPr>
          <w:rFonts w:ascii="Arial" w:hAnsi="Arial" w:cs="Arial"/>
        </w:rPr>
        <w:t>12</w:t>
      </w:r>
      <w:r>
        <w:rPr>
          <w:rFonts w:ascii="Arial" w:hAnsi="Arial" w:cs="Arial"/>
        </w:rPr>
        <w:t>)</w:t>
      </w:r>
      <w:r w:rsidRPr="00CB73C7">
        <w:rPr>
          <w:rFonts w:ascii="Arial" w:hAnsi="Arial" w:cs="Arial"/>
        </w:rPr>
        <w:t xml:space="preserve">; y se expresa cada par de torsión por separado, se arriba a las expresiones </w:t>
      </w:r>
      <w:r>
        <w:rPr>
          <w:rFonts w:ascii="Arial" w:hAnsi="Arial" w:cs="Arial"/>
        </w:rPr>
        <w:t>(</w:t>
      </w:r>
      <w:r w:rsidRPr="00CB73C7">
        <w:rPr>
          <w:rFonts w:ascii="Arial" w:hAnsi="Arial" w:cs="Arial"/>
        </w:rPr>
        <w:t>13</w:t>
      </w:r>
      <w:r>
        <w:rPr>
          <w:rFonts w:ascii="Arial" w:hAnsi="Arial" w:cs="Arial"/>
        </w:rPr>
        <w:t>)</w:t>
      </w:r>
      <w:r w:rsidRPr="00CB73C7">
        <w:rPr>
          <w:rFonts w:ascii="Arial" w:hAnsi="Arial" w:cs="Arial"/>
        </w:rPr>
        <w:t xml:space="preserve"> y </w:t>
      </w:r>
      <w:r>
        <w:rPr>
          <w:rFonts w:ascii="Arial" w:hAnsi="Arial" w:cs="Arial"/>
        </w:rPr>
        <w:t>(</w:t>
      </w:r>
      <w:r w:rsidRPr="00CB73C7">
        <w:rPr>
          <w:rFonts w:ascii="Arial" w:hAnsi="Arial" w:cs="Arial"/>
        </w:rPr>
        <w:t>14</w:t>
      </w:r>
      <w:r>
        <w:rPr>
          <w:rFonts w:ascii="Arial" w:hAnsi="Arial" w:cs="Arial"/>
        </w:rPr>
        <w:t>)</w:t>
      </w:r>
      <w:r w:rsidRPr="00CB73C7">
        <w:rPr>
          <w:rFonts w:ascii="Arial" w:hAnsi="Arial" w:cs="Arial"/>
        </w:rPr>
        <w:t>:</w:t>
      </w:r>
    </w:p>
    <w:p w:rsidR="00874DD5" w:rsidRDefault="00874DD5" w:rsidP="00874DD5">
      <w:pPr>
        <w:spacing w:before="120" w:after="120"/>
        <w:ind w:firstLine="567"/>
        <w:jc w:val="center"/>
        <w:rPr>
          <w:rFonts w:ascii="Arial" w:hAnsi="Arial" w:cs="Arial"/>
          <w:lang w:val="es-AR"/>
        </w:rPr>
      </w:pPr>
      <w:r w:rsidRPr="00C40890">
        <w:rPr>
          <w:bCs/>
          <w:position w:val="-84"/>
          <w:sz w:val="22"/>
          <w:szCs w:val="22"/>
        </w:rPr>
        <w:object w:dxaOrig="9620" w:dyaOrig="1800">
          <v:shape id="_x0000_i1455" type="#_x0000_t75" style="width:403.2pt;height:79.2pt" o:ole="">
            <v:imagedata r:id="rId1100" o:title=""/>
          </v:shape>
          <o:OLEObject Type="Embed" ProgID="Equation.3" ShapeID="_x0000_i1455" DrawAspect="Content" ObjectID="_1660649552" r:id="rId1101"/>
        </w:object>
      </w:r>
      <w:r>
        <w:rPr>
          <w:bCs/>
          <w:sz w:val="22"/>
          <w:szCs w:val="22"/>
        </w:rPr>
        <w:t xml:space="preserve">  </w:t>
      </w:r>
      <w:r>
        <w:rPr>
          <w:rFonts w:ascii="Arial" w:hAnsi="Arial" w:cs="Arial"/>
          <w:bCs/>
        </w:rPr>
        <w:t>(12</w:t>
      </w:r>
      <w:r w:rsidRPr="006E1642">
        <w:rPr>
          <w:rFonts w:ascii="Arial" w:hAnsi="Arial" w:cs="Arial"/>
          <w:bCs/>
        </w:rPr>
        <w:t>)</w:t>
      </w:r>
    </w:p>
    <w:p w:rsidR="00874DD5" w:rsidRDefault="00874DD5" w:rsidP="00874DD5">
      <w:pPr>
        <w:spacing w:before="120" w:after="120"/>
        <w:jc w:val="center"/>
        <w:rPr>
          <w:rFonts w:ascii="Arial" w:hAnsi="Arial" w:cs="Arial"/>
          <w:lang w:val="es-AR"/>
        </w:rPr>
      </w:pPr>
      <w:r w:rsidRPr="00CB73C7">
        <w:rPr>
          <w:position w:val="-46"/>
        </w:rPr>
        <w:object w:dxaOrig="7280" w:dyaOrig="1040">
          <v:shape id="_x0000_i1456" type="#_x0000_t75" style="width:6in;height:50.4pt" o:ole="">
            <v:imagedata r:id="rId1102" o:title=""/>
          </v:shape>
          <o:OLEObject Type="Embed" ProgID="Equation.3" ShapeID="_x0000_i1456" DrawAspect="Content" ObjectID="_1660649553" r:id="rId1103"/>
        </w:object>
      </w:r>
      <w:r>
        <w:t xml:space="preserve">   </w:t>
      </w:r>
      <w:r>
        <w:rPr>
          <w:rFonts w:ascii="Arial" w:hAnsi="Arial" w:cs="Arial"/>
          <w:bCs/>
        </w:rPr>
        <w:t>(13</w:t>
      </w:r>
      <w:r w:rsidRPr="006E1642">
        <w:rPr>
          <w:rFonts w:ascii="Arial" w:hAnsi="Arial" w:cs="Arial"/>
          <w:bCs/>
        </w:rPr>
        <w:t>)</w:t>
      </w:r>
    </w:p>
    <w:p w:rsidR="00874DD5" w:rsidRDefault="00874DD5" w:rsidP="00874DD5">
      <w:pPr>
        <w:ind w:firstLine="567"/>
        <w:jc w:val="center"/>
        <w:rPr>
          <w:rFonts w:ascii="Arial" w:hAnsi="Arial" w:cs="Arial"/>
          <w:lang w:val="es-AR"/>
        </w:rPr>
      </w:pPr>
      <w:r>
        <w:t xml:space="preserve">    </w:t>
      </w:r>
      <w:r w:rsidRPr="00CB73C7">
        <w:rPr>
          <w:position w:val="-16"/>
        </w:rPr>
        <w:object w:dxaOrig="6140" w:dyaOrig="580">
          <v:shape id="_x0000_i1457" type="#_x0000_t75" style="width:367.2pt;height:28.8pt" o:ole="">
            <v:imagedata r:id="rId1104" o:title=""/>
          </v:shape>
          <o:OLEObject Type="Embed" ProgID="Equation.3" ShapeID="_x0000_i1457" DrawAspect="Content" ObjectID="_1660649554" r:id="rId1105"/>
        </w:object>
      </w:r>
      <w:r>
        <w:t xml:space="preserve">           </w:t>
      </w:r>
      <w:r>
        <w:rPr>
          <w:rFonts w:ascii="Arial" w:hAnsi="Arial" w:cs="Arial"/>
          <w:bCs/>
        </w:rPr>
        <w:t>(14</w:t>
      </w:r>
      <w:r w:rsidRPr="006E1642">
        <w:rPr>
          <w:rFonts w:ascii="Arial" w:hAnsi="Arial" w:cs="Arial"/>
          <w:bCs/>
        </w:rPr>
        <w:t>)</w:t>
      </w:r>
    </w:p>
    <w:p w:rsidR="00874DD5" w:rsidRDefault="00874DD5" w:rsidP="00874DD5">
      <w:pPr>
        <w:pStyle w:val="NormalWeb"/>
        <w:spacing w:before="0" w:beforeAutospacing="0" w:after="0" w:afterAutospacing="0"/>
        <w:ind w:firstLine="567"/>
        <w:jc w:val="both"/>
        <w:rPr>
          <w:rFonts w:ascii="Arial" w:hAnsi="Arial" w:cs="Arial"/>
          <w:lang w:val="es-ES_tradnl"/>
        </w:rPr>
      </w:pPr>
      <w:r w:rsidRPr="00C54214">
        <w:rPr>
          <w:rFonts w:ascii="Arial" w:hAnsi="Arial" w:cs="Arial"/>
          <w:b/>
          <w:i/>
          <w:lang w:val="es-AR"/>
        </w:rPr>
        <w:t>Fase 3</w:t>
      </w:r>
      <w:r w:rsidRPr="008B76DC">
        <w:rPr>
          <w:rFonts w:ascii="Arial" w:hAnsi="Arial" w:cs="Arial"/>
          <w:b/>
          <w:i/>
        </w:rPr>
        <w:t xml:space="preserve">: </w:t>
      </w:r>
      <w:r w:rsidRPr="00C54214">
        <w:rPr>
          <w:rFonts w:ascii="Arial" w:hAnsi="Arial" w:cs="Arial"/>
          <w:i/>
          <w:lang w:val="es-AR"/>
        </w:rPr>
        <w:t>Cálculo de los pares de torsión a aplicar en las articulaciones de acuerdo a las Trayectorias Articulares</w:t>
      </w:r>
      <w:r w:rsidRPr="00C54214">
        <w:rPr>
          <w:rFonts w:ascii="Arial" w:hAnsi="Arial" w:cs="Arial"/>
          <w:lang w:val="es-AR"/>
        </w:rPr>
        <w:t xml:space="preserve">: </w:t>
      </w:r>
      <w:r>
        <w:rPr>
          <w:rFonts w:ascii="Arial" w:hAnsi="Arial" w:cs="Arial"/>
          <w:lang w:val="es-ES_tradnl"/>
        </w:rPr>
        <w:t xml:space="preserve">en esta fase, se disponen de ciertas trayectorias articulares, </w:t>
      </w:r>
      <w:r w:rsidRPr="00C54214">
        <w:rPr>
          <w:rFonts w:ascii="Arial" w:hAnsi="Arial" w:cs="Arial"/>
          <w:lang w:val="es-ES_tradnl"/>
        </w:rPr>
        <w:t>como:</w:t>
      </w:r>
      <w:r>
        <w:rPr>
          <w:sz w:val="22"/>
          <w:szCs w:val="22"/>
          <w:lang w:val="es-ES_tradnl"/>
        </w:rPr>
        <w:t xml:space="preserve"> </w:t>
      </w:r>
      <w:r w:rsidRPr="00C54214">
        <w:rPr>
          <w:rFonts w:ascii="Arial" w:hAnsi="Arial" w:cs="Arial"/>
          <w:b/>
          <w:i/>
          <w:position w:val="-10"/>
          <w:lang w:val="es-ES_tradnl"/>
        </w:rPr>
        <w:object w:dxaOrig="1500" w:dyaOrig="480">
          <v:shape id="_x0000_i1458" type="#_x0000_t75" style="width:79.2pt;height:21.6pt" o:ole="">
            <v:imagedata r:id="rId1065" o:title=""/>
          </v:shape>
          <o:OLEObject Type="Embed" ProgID="Equation.3" ShapeID="_x0000_i1458" DrawAspect="Content" ObjectID="_1660649555" r:id="rId1106"/>
        </w:object>
      </w:r>
      <w:r>
        <w:rPr>
          <w:rFonts w:ascii="Arial" w:hAnsi="Arial" w:cs="Arial"/>
          <w:lang w:val="es-ES_tradnl"/>
        </w:rPr>
        <w:t>, y se calculan</w:t>
      </w:r>
      <w:r w:rsidRPr="00C54214">
        <w:rPr>
          <w:rFonts w:ascii="Arial" w:hAnsi="Arial" w:cs="Arial"/>
          <w:lang w:val="es-ES_tradnl"/>
        </w:rPr>
        <w:t xml:space="preserve"> los pares de torsión </w:t>
      </w:r>
      <w:r>
        <w:rPr>
          <w:rFonts w:ascii="Arial" w:hAnsi="Arial" w:cs="Arial"/>
          <w:lang w:val="es-ES_tradnl"/>
        </w:rPr>
        <w:t>en cada articulación</w:t>
      </w:r>
      <w:r w:rsidRPr="00C54214">
        <w:rPr>
          <w:rFonts w:ascii="Arial" w:hAnsi="Arial" w:cs="Arial"/>
          <w:lang w:val="es-ES_tradnl"/>
        </w:rPr>
        <w:t xml:space="preserve"> del robot, para que el órgano terminal </w:t>
      </w:r>
      <w:r>
        <w:rPr>
          <w:rFonts w:ascii="Arial" w:hAnsi="Arial" w:cs="Arial"/>
          <w:lang w:val="es-ES_tradnl"/>
        </w:rPr>
        <w:t>desarrolle estas</w:t>
      </w:r>
      <w:r w:rsidRPr="00C54214">
        <w:rPr>
          <w:rFonts w:ascii="Arial" w:hAnsi="Arial" w:cs="Arial"/>
          <w:lang w:val="es-ES_tradnl"/>
        </w:rPr>
        <w:t xml:space="preserve"> trayectorias. </w:t>
      </w:r>
      <w:r>
        <w:rPr>
          <w:rFonts w:ascii="Arial" w:hAnsi="Arial" w:cs="Arial"/>
          <w:lang w:val="es-ES_tradnl"/>
        </w:rPr>
        <w:t>S</w:t>
      </w:r>
      <w:r w:rsidRPr="00C54214">
        <w:rPr>
          <w:rFonts w:ascii="Arial" w:hAnsi="Arial" w:cs="Arial"/>
          <w:lang w:val="es-ES_tradnl"/>
        </w:rPr>
        <w:t>e plante</w:t>
      </w:r>
      <w:r>
        <w:rPr>
          <w:rFonts w:ascii="Arial" w:hAnsi="Arial" w:cs="Arial"/>
          <w:lang w:val="es-ES_tradnl"/>
        </w:rPr>
        <w:t>a</w:t>
      </w:r>
      <w:r w:rsidRPr="00C54214">
        <w:rPr>
          <w:rFonts w:ascii="Arial" w:hAnsi="Arial" w:cs="Arial"/>
          <w:lang w:val="es-ES_tradnl"/>
        </w:rPr>
        <w:t xml:space="preserve">n </w:t>
      </w:r>
      <w:r>
        <w:rPr>
          <w:rFonts w:ascii="Arial" w:hAnsi="Arial" w:cs="Arial"/>
          <w:lang w:val="es-ES_tradnl"/>
        </w:rPr>
        <w:t>2</w:t>
      </w:r>
      <w:r w:rsidRPr="00C54214">
        <w:rPr>
          <w:rFonts w:ascii="Arial" w:hAnsi="Arial" w:cs="Arial"/>
          <w:lang w:val="es-ES_tradnl"/>
        </w:rPr>
        <w:t xml:space="preserve"> casos experimentales </w:t>
      </w:r>
      <w:r>
        <w:rPr>
          <w:rFonts w:ascii="Arial" w:hAnsi="Arial" w:cs="Arial"/>
          <w:lang w:val="es-ES_tradnl"/>
        </w:rPr>
        <w:t>cuyos</w:t>
      </w:r>
      <w:r w:rsidRPr="00C54214">
        <w:rPr>
          <w:rFonts w:ascii="Arial" w:hAnsi="Arial" w:cs="Arial"/>
          <w:lang w:val="es-ES_tradnl"/>
        </w:rPr>
        <w:t xml:space="preserve"> parámetros dinámicos </w:t>
      </w:r>
      <w:r>
        <w:rPr>
          <w:rFonts w:ascii="Arial" w:hAnsi="Arial" w:cs="Arial"/>
          <w:lang w:val="es-ES_tradnl"/>
        </w:rPr>
        <w:t>se corresponden con los de</w:t>
      </w:r>
      <w:r w:rsidRPr="00C54214">
        <w:rPr>
          <w:rFonts w:ascii="Arial" w:hAnsi="Arial" w:cs="Arial"/>
          <w:lang w:val="es-ES_tradnl"/>
        </w:rPr>
        <w:t xml:space="preserve"> la figura 5: m</w:t>
      </w:r>
      <w:r w:rsidRPr="00C54214">
        <w:rPr>
          <w:rFonts w:ascii="Arial" w:hAnsi="Arial" w:cs="Arial"/>
          <w:vertAlign w:val="subscript"/>
          <w:lang w:val="es-ES_tradnl"/>
        </w:rPr>
        <w:t>1</w:t>
      </w:r>
      <w:r w:rsidRPr="00C54214">
        <w:rPr>
          <w:rFonts w:ascii="Arial" w:hAnsi="Arial" w:cs="Arial"/>
          <w:lang w:val="es-ES_tradnl"/>
        </w:rPr>
        <w:t xml:space="preserve"> = m</w:t>
      </w:r>
      <w:r w:rsidRPr="00C54214">
        <w:rPr>
          <w:rFonts w:ascii="Arial" w:hAnsi="Arial" w:cs="Arial"/>
          <w:vertAlign w:val="subscript"/>
          <w:lang w:val="es-ES_tradnl"/>
        </w:rPr>
        <w:t>2</w:t>
      </w:r>
      <w:r w:rsidRPr="00C54214">
        <w:rPr>
          <w:rFonts w:ascii="Arial" w:hAnsi="Arial" w:cs="Arial"/>
          <w:lang w:val="es-ES_tradnl"/>
        </w:rPr>
        <w:t xml:space="preserve"> = 10kg, l</w:t>
      </w:r>
      <w:r w:rsidRPr="00C54214">
        <w:rPr>
          <w:rFonts w:ascii="Arial" w:hAnsi="Arial" w:cs="Arial"/>
          <w:vertAlign w:val="subscript"/>
          <w:lang w:val="es-ES_tradnl"/>
        </w:rPr>
        <w:t>1</w:t>
      </w:r>
      <w:r w:rsidRPr="00C54214">
        <w:rPr>
          <w:rFonts w:ascii="Arial" w:hAnsi="Arial" w:cs="Arial"/>
          <w:lang w:val="es-ES_tradnl"/>
        </w:rPr>
        <w:t xml:space="preserve"> = l</w:t>
      </w:r>
      <w:r w:rsidRPr="00C54214">
        <w:rPr>
          <w:rFonts w:ascii="Arial" w:hAnsi="Arial" w:cs="Arial"/>
          <w:vertAlign w:val="subscript"/>
          <w:lang w:val="es-ES_tradnl"/>
        </w:rPr>
        <w:t>2</w:t>
      </w:r>
      <w:r w:rsidRPr="00C54214">
        <w:rPr>
          <w:rFonts w:ascii="Arial" w:hAnsi="Arial" w:cs="Arial"/>
          <w:lang w:val="es-ES_tradnl"/>
        </w:rPr>
        <w:t xml:space="preserve"> = 1m, l</w:t>
      </w:r>
      <w:r w:rsidRPr="00C54214">
        <w:rPr>
          <w:rFonts w:ascii="Arial" w:hAnsi="Arial" w:cs="Arial"/>
          <w:vertAlign w:val="subscript"/>
          <w:lang w:val="es-ES_tradnl"/>
        </w:rPr>
        <w:t>c1</w:t>
      </w:r>
      <w:r w:rsidRPr="00C54214">
        <w:rPr>
          <w:rFonts w:ascii="Arial" w:hAnsi="Arial" w:cs="Arial"/>
          <w:lang w:val="es-ES_tradnl"/>
        </w:rPr>
        <w:t xml:space="preserve"> = l</w:t>
      </w:r>
      <w:r w:rsidRPr="00C54214">
        <w:rPr>
          <w:rFonts w:ascii="Arial" w:hAnsi="Arial" w:cs="Arial"/>
          <w:vertAlign w:val="subscript"/>
          <w:lang w:val="es-ES_tradnl"/>
        </w:rPr>
        <w:t>c2</w:t>
      </w:r>
      <w:r w:rsidRPr="00C54214">
        <w:rPr>
          <w:rFonts w:ascii="Arial" w:hAnsi="Arial" w:cs="Arial"/>
          <w:lang w:val="es-ES_tradnl"/>
        </w:rPr>
        <w:t xml:space="preserve"> = 0,5m, g = 10m/seg</w:t>
      </w:r>
      <w:r w:rsidRPr="00C54214">
        <w:rPr>
          <w:rFonts w:ascii="Arial" w:hAnsi="Arial" w:cs="Arial"/>
          <w:vertAlign w:val="superscript"/>
          <w:lang w:val="es-ES_tradnl"/>
        </w:rPr>
        <w:t>2</w:t>
      </w:r>
      <w:r w:rsidRPr="00C54214">
        <w:rPr>
          <w:rFonts w:ascii="Arial" w:hAnsi="Arial" w:cs="Arial"/>
          <w:lang w:val="es-ES_tradnl"/>
        </w:rPr>
        <w:t xml:space="preserve"> (no se consideran J</w:t>
      </w:r>
      <w:r w:rsidRPr="00C54214">
        <w:rPr>
          <w:rFonts w:ascii="Arial" w:hAnsi="Arial" w:cs="Arial"/>
          <w:vertAlign w:val="subscript"/>
          <w:lang w:val="es-ES_tradnl"/>
        </w:rPr>
        <w:t>1</w:t>
      </w:r>
      <w:r w:rsidRPr="00C54214">
        <w:rPr>
          <w:rFonts w:ascii="Arial" w:hAnsi="Arial" w:cs="Arial"/>
          <w:lang w:val="es-ES_tradnl"/>
        </w:rPr>
        <w:t xml:space="preserve"> y J</w:t>
      </w:r>
      <w:r w:rsidRPr="00C54214">
        <w:rPr>
          <w:rFonts w:ascii="Arial" w:hAnsi="Arial" w:cs="Arial"/>
          <w:vertAlign w:val="subscript"/>
          <w:lang w:val="es-ES_tradnl"/>
        </w:rPr>
        <w:t>2</w:t>
      </w:r>
      <w:r w:rsidRPr="00C54214">
        <w:rPr>
          <w:rFonts w:ascii="Arial" w:hAnsi="Arial" w:cs="Arial"/>
          <w:lang w:val="es-ES_tradnl"/>
        </w:rPr>
        <w:t>).</w:t>
      </w:r>
      <w:r>
        <w:rPr>
          <w:rFonts w:ascii="Arial" w:hAnsi="Arial" w:cs="Arial"/>
          <w:lang w:val="es-ES_tradnl"/>
        </w:rPr>
        <w:t xml:space="preserve"> En ambos casos se adopta un lapso de tiempo de 0 a 200 seg.</w:t>
      </w:r>
    </w:p>
    <w:p w:rsidR="00874DD5" w:rsidRDefault="00874DD5" w:rsidP="00874DD5">
      <w:pPr>
        <w:pStyle w:val="NormalWeb"/>
        <w:spacing w:before="60" w:beforeAutospacing="0" w:after="60" w:afterAutospacing="0"/>
        <w:ind w:firstLine="567"/>
        <w:jc w:val="both"/>
        <w:rPr>
          <w:rFonts w:ascii="Arial" w:hAnsi="Arial" w:cs="Arial"/>
          <w:lang w:val="es-ES_tradnl"/>
        </w:rPr>
      </w:pPr>
      <w:r>
        <w:rPr>
          <w:rFonts w:ascii="Arial" w:hAnsi="Arial" w:cs="Arial"/>
          <w:i/>
          <w:lang w:val="es-ES_tradnl"/>
        </w:rPr>
        <w:t xml:space="preserve">Caso 1: </w:t>
      </w:r>
      <w:r>
        <w:rPr>
          <w:rFonts w:ascii="Arial" w:hAnsi="Arial" w:cs="Arial"/>
          <w:lang w:val="es-ES_tradnl"/>
        </w:rPr>
        <w:t xml:space="preserve">durante los 200 seg </w:t>
      </w:r>
      <w:r w:rsidRPr="00334703">
        <w:rPr>
          <w:rFonts w:ascii="Arial" w:hAnsi="Arial" w:cs="Arial"/>
          <w:lang w:val="es-ES_tradnl"/>
        </w:rPr>
        <w:t>la variable articular q</w:t>
      </w:r>
      <w:r w:rsidRPr="00334703">
        <w:rPr>
          <w:rFonts w:ascii="Arial" w:hAnsi="Arial" w:cs="Arial"/>
          <w:vertAlign w:val="subscript"/>
          <w:lang w:val="es-ES_tradnl"/>
        </w:rPr>
        <w:t>1</w:t>
      </w:r>
      <w:r w:rsidRPr="00334703">
        <w:rPr>
          <w:rFonts w:ascii="Arial" w:hAnsi="Arial" w:cs="Arial"/>
          <w:lang w:val="es-ES_tradnl"/>
        </w:rPr>
        <w:t xml:space="preserve"> </w:t>
      </w:r>
      <w:r>
        <w:rPr>
          <w:rFonts w:ascii="Arial" w:hAnsi="Arial" w:cs="Arial"/>
          <w:lang w:val="es-ES_tradnl"/>
        </w:rPr>
        <w:t>desarrolla</w:t>
      </w:r>
      <w:r w:rsidRPr="00334703">
        <w:rPr>
          <w:rFonts w:ascii="Arial" w:hAnsi="Arial" w:cs="Arial"/>
          <w:lang w:val="es-ES_tradnl"/>
        </w:rPr>
        <w:t xml:space="preserve"> velocidad constante de 0,0157rad/seg y q</w:t>
      </w:r>
      <w:r w:rsidRPr="00334703">
        <w:rPr>
          <w:rFonts w:ascii="Arial" w:hAnsi="Arial" w:cs="Arial"/>
          <w:vertAlign w:val="subscript"/>
          <w:lang w:val="es-ES_tradnl"/>
        </w:rPr>
        <w:t>2</w:t>
      </w:r>
      <w:r w:rsidRPr="00334703">
        <w:rPr>
          <w:rFonts w:ascii="Arial" w:hAnsi="Arial" w:cs="Arial"/>
          <w:lang w:val="es-ES_tradnl"/>
        </w:rPr>
        <w:t xml:space="preserve"> </w:t>
      </w:r>
      <w:r>
        <w:rPr>
          <w:rFonts w:ascii="Arial" w:hAnsi="Arial" w:cs="Arial"/>
          <w:lang w:val="es-ES_tradnl"/>
        </w:rPr>
        <w:t>= 0</w:t>
      </w:r>
      <w:r w:rsidRPr="00334703">
        <w:rPr>
          <w:rFonts w:ascii="Arial" w:hAnsi="Arial" w:cs="Arial"/>
          <w:lang w:val="es-ES_tradnl"/>
        </w:rPr>
        <w:t>.</w:t>
      </w:r>
      <w:r>
        <w:rPr>
          <w:rFonts w:ascii="Arial" w:hAnsi="Arial" w:cs="Arial"/>
          <w:lang w:val="es-ES_tradnl"/>
        </w:rPr>
        <w:t xml:space="preserve"> Es decir, q</w:t>
      </w:r>
      <w:r>
        <w:rPr>
          <w:rFonts w:ascii="Arial" w:hAnsi="Arial" w:cs="Arial"/>
          <w:vertAlign w:val="subscript"/>
          <w:lang w:val="es-ES_tradnl"/>
        </w:rPr>
        <w:t>1</w:t>
      </w:r>
      <w:r>
        <w:rPr>
          <w:rFonts w:ascii="Arial" w:hAnsi="Arial" w:cs="Arial"/>
          <w:lang w:val="es-ES_tradnl"/>
        </w:rPr>
        <w:t xml:space="preserve"> varía de 0 a 180º en los 200 seg y el brazo completo del manipulador permanece estirado. Se tienen las siguientes expresiones para las variables articulares: </w:t>
      </w:r>
    </w:p>
    <w:p w:rsidR="00874DD5" w:rsidRDefault="00874DD5" w:rsidP="00874DD5">
      <w:pPr>
        <w:pStyle w:val="NormalWeb"/>
        <w:spacing w:before="60" w:beforeAutospacing="0" w:after="60" w:afterAutospacing="0"/>
        <w:jc w:val="both"/>
        <w:rPr>
          <w:sz w:val="22"/>
          <w:szCs w:val="20"/>
          <w:lang w:val="es-ES_tradnl"/>
        </w:rPr>
      </w:pPr>
      <w:r w:rsidRPr="00A622C0">
        <w:rPr>
          <w:position w:val="-22"/>
          <w:sz w:val="22"/>
          <w:szCs w:val="20"/>
          <w:lang w:val="es-ES_tradnl"/>
        </w:rPr>
        <w:object w:dxaOrig="2400" w:dyaOrig="520">
          <v:shape id="_x0000_i1459" type="#_x0000_t75" style="width:108pt;height:28.8pt" o:ole="">
            <v:imagedata r:id="rId1107" o:title=""/>
          </v:shape>
          <o:OLEObject Type="Embed" ProgID="Equation.3" ShapeID="_x0000_i1459" DrawAspect="Content" ObjectID="_1660649556" r:id="rId1108"/>
        </w:object>
      </w:r>
      <w:r>
        <w:rPr>
          <w:sz w:val="22"/>
          <w:szCs w:val="20"/>
          <w:lang w:val="es-ES_tradnl"/>
        </w:rPr>
        <w:t xml:space="preserve"> , </w:t>
      </w:r>
      <w:r w:rsidRPr="00A622C0">
        <w:rPr>
          <w:position w:val="-22"/>
          <w:sz w:val="22"/>
          <w:szCs w:val="20"/>
          <w:lang w:val="es-ES_tradnl"/>
        </w:rPr>
        <w:object w:dxaOrig="2260" w:dyaOrig="600">
          <v:shape id="_x0000_i1460" type="#_x0000_t75" style="width:108pt;height:28.8pt" o:ole="">
            <v:imagedata r:id="rId1109" o:title=""/>
          </v:shape>
          <o:OLEObject Type="Embed" ProgID="Equation.3" ShapeID="_x0000_i1460" DrawAspect="Content" ObjectID="_1660649557" r:id="rId1110"/>
        </w:object>
      </w:r>
      <w:r>
        <w:rPr>
          <w:sz w:val="22"/>
          <w:szCs w:val="20"/>
          <w:lang w:val="es-ES_tradnl"/>
        </w:rPr>
        <w:t xml:space="preserve"> y </w:t>
      </w:r>
      <w:r w:rsidRPr="00A622C0">
        <w:rPr>
          <w:position w:val="-12"/>
          <w:sz w:val="22"/>
          <w:szCs w:val="20"/>
          <w:lang w:val="es-ES_tradnl"/>
        </w:rPr>
        <w:object w:dxaOrig="2380" w:dyaOrig="499">
          <v:shape id="_x0000_i1461" type="#_x0000_t75" style="width:122.4pt;height:21.6pt" o:ole="">
            <v:imagedata r:id="rId1111" o:title=""/>
          </v:shape>
          <o:OLEObject Type="Embed" ProgID="Equation.3" ShapeID="_x0000_i1461" DrawAspect="Content" ObjectID="_1660649558" r:id="rId1112"/>
        </w:object>
      </w:r>
    </w:p>
    <w:p w:rsidR="00874DD5" w:rsidRPr="00290A6D" w:rsidRDefault="00874DD5" w:rsidP="00874DD5">
      <w:pPr>
        <w:ind w:firstLine="567"/>
        <w:jc w:val="both"/>
        <w:rPr>
          <w:rFonts w:ascii="Arial" w:hAnsi="Arial" w:cs="Arial"/>
          <w:lang w:val="es-AR"/>
        </w:rPr>
      </w:pPr>
      <w:r w:rsidRPr="00290A6D">
        <w:rPr>
          <w:rFonts w:ascii="Arial" w:hAnsi="Arial" w:cs="Arial"/>
          <w:lang w:val="es-AR"/>
        </w:rPr>
        <w:t xml:space="preserve">Sustituyendo estos valores y los parámetros dinámicos en </w:t>
      </w:r>
      <w:r>
        <w:rPr>
          <w:rFonts w:ascii="Arial" w:hAnsi="Arial" w:cs="Arial"/>
          <w:lang w:val="es-AR"/>
        </w:rPr>
        <w:t>(</w:t>
      </w:r>
      <w:r w:rsidRPr="00290A6D">
        <w:rPr>
          <w:rFonts w:ascii="Arial" w:hAnsi="Arial" w:cs="Arial"/>
          <w:lang w:val="es-AR"/>
        </w:rPr>
        <w:t>13</w:t>
      </w:r>
      <w:r>
        <w:rPr>
          <w:rFonts w:ascii="Arial" w:hAnsi="Arial" w:cs="Arial"/>
          <w:lang w:val="es-AR"/>
        </w:rPr>
        <w:t>)</w:t>
      </w:r>
      <w:r w:rsidRPr="00290A6D">
        <w:rPr>
          <w:rFonts w:ascii="Arial" w:hAnsi="Arial" w:cs="Arial"/>
          <w:lang w:val="es-AR"/>
        </w:rPr>
        <w:t xml:space="preserve"> y </w:t>
      </w:r>
      <w:r>
        <w:rPr>
          <w:rFonts w:ascii="Arial" w:hAnsi="Arial" w:cs="Arial"/>
          <w:lang w:val="es-AR"/>
        </w:rPr>
        <w:t>(</w:t>
      </w:r>
      <w:r w:rsidRPr="00290A6D">
        <w:rPr>
          <w:rFonts w:ascii="Arial" w:hAnsi="Arial" w:cs="Arial"/>
          <w:lang w:val="es-AR"/>
        </w:rPr>
        <w:t>14</w:t>
      </w:r>
      <w:r>
        <w:rPr>
          <w:rFonts w:ascii="Arial" w:hAnsi="Arial" w:cs="Arial"/>
          <w:lang w:val="es-AR"/>
        </w:rPr>
        <w:t xml:space="preserve">), </w:t>
      </w:r>
      <w:r w:rsidRPr="00290A6D">
        <w:rPr>
          <w:rFonts w:ascii="Arial" w:hAnsi="Arial" w:cs="Arial"/>
          <w:lang w:val="es-AR"/>
        </w:rPr>
        <w:t>se tiene</w:t>
      </w:r>
      <w:r>
        <w:rPr>
          <w:rFonts w:ascii="Arial" w:hAnsi="Arial" w:cs="Arial"/>
          <w:lang w:val="es-AR"/>
        </w:rPr>
        <w:t xml:space="preserve">n las (15) y (16) </w:t>
      </w:r>
      <w:r w:rsidRPr="00290A6D">
        <w:rPr>
          <w:rFonts w:ascii="Arial" w:hAnsi="Arial" w:cs="Arial"/>
          <w:lang w:val="es-AR"/>
        </w:rPr>
        <w:t>para los pares de torsión</w:t>
      </w:r>
      <w:r>
        <w:rPr>
          <w:rFonts w:ascii="Arial" w:hAnsi="Arial" w:cs="Arial"/>
          <w:lang w:val="es-AR"/>
        </w:rPr>
        <w:t>, cuya</w:t>
      </w:r>
      <w:r w:rsidRPr="00290A6D">
        <w:rPr>
          <w:rFonts w:ascii="Arial" w:hAnsi="Arial" w:cs="Arial"/>
          <w:lang w:val="es-AR"/>
        </w:rPr>
        <w:t xml:space="preserve"> </w:t>
      </w:r>
      <w:r>
        <w:rPr>
          <w:rFonts w:ascii="Arial" w:hAnsi="Arial" w:cs="Arial"/>
          <w:lang w:val="es-AR"/>
        </w:rPr>
        <w:t>representación se ve en la figura (6b)</w:t>
      </w:r>
      <w:r w:rsidRPr="00290A6D">
        <w:rPr>
          <w:rFonts w:ascii="Arial" w:hAnsi="Arial" w:cs="Arial"/>
          <w:lang w:val="es-AR"/>
        </w:rPr>
        <w:t>:</w:t>
      </w:r>
    </w:p>
    <w:p w:rsidR="00874DD5" w:rsidRDefault="00874DD5" w:rsidP="00874DD5">
      <w:pPr>
        <w:pStyle w:val="NormalWeb"/>
        <w:spacing w:before="120" w:beforeAutospacing="0" w:after="120" w:afterAutospacing="0"/>
        <w:jc w:val="center"/>
        <w:rPr>
          <w:sz w:val="22"/>
          <w:szCs w:val="20"/>
          <w:lang w:val="es-ES_tradnl"/>
        </w:rPr>
      </w:pPr>
      <w:r w:rsidRPr="00196012">
        <w:rPr>
          <w:position w:val="-24"/>
          <w:sz w:val="22"/>
          <w:szCs w:val="20"/>
          <w:lang w:val="es-ES_tradnl"/>
        </w:rPr>
        <w:object w:dxaOrig="3680" w:dyaOrig="600">
          <v:shape id="_x0000_i1462" type="#_x0000_t75" style="width:187.2pt;height:28.8pt" o:ole="">
            <v:imagedata r:id="rId1113" o:title=""/>
          </v:shape>
          <o:OLEObject Type="Embed" ProgID="Equation.3" ShapeID="_x0000_i1462" DrawAspect="Content" ObjectID="_1660649559" r:id="rId1114"/>
        </w:object>
      </w:r>
      <w:r>
        <w:rPr>
          <w:sz w:val="22"/>
          <w:szCs w:val="20"/>
          <w:lang w:val="es-ES_tradnl"/>
        </w:rPr>
        <w:t xml:space="preserve">   (15)   </w:t>
      </w:r>
      <w:r w:rsidRPr="00196012">
        <w:rPr>
          <w:position w:val="-24"/>
          <w:sz w:val="22"/>
          <w:szCs w:val="20"/>
          <w:lang w:val="es-ES_tradnl"/>
        </w:rPr>
        <w:object w:dxaOrig="3560" w:dyaOrig="600">
          <v:shape id="_x0000_i1463" type="#_x0000_t75" style="width:180pt;height:28.8pt" o:ole="">
            <v:imagedata r:id="rId1115" o:title=""/>
          </v:shape>
          <o:OLEObject Type="Embed" ProgID="Equation.3" ShapeID="_x0000_i1463" DrawAspect="Content" ObjectID="_1660649560" r:id="rId1116"/>
        </w:object>
      </w:r>
      <w:r>
        <w:rPr>
          <w:sz w:val="22"/>
          <w:szCs w:val="20"/>
          <w:lang w:val="es-ES_tradnl"/>
        </w:rPr>
        <w:t xml:space="preserve"> (16)</w:t>
      </w:r>
    </w:p>
    <w:p w:rsidR="00874DD5" w:rsidRPr="00290A6D" w:rsidRDefault="00874DD5" w:rsidP="00874DD5">
      <w:pPr>
        <w:ind w:firstLine="567"/>
        <w:jc w:val="both"/>
        <w:rPr>
          <w:rFonts w:ascii="Arial" w:hAnsi="Arial" w:cs="Arial"/>
          <w:lang w:val="es-AR"/>
        </w:rPr>
      </w:pPr>
      <w:r>
        <w:rPr>
          <w:rFonts w:ascii="Arial" w:hAnsi="Arial" w:cs="Arial"/>
          <w:i/>
          <w:lang w:val="es-ES_tradnl"/>
        </w:rPr>
        <w:t xml:space="preserve">Caso 2: </w:t>
      </w:r>
      <w:r>
        <w:rPr>
          <w:rFonts w:ascii="Arial" w:hAnsi="Arial" w:cs="Arial"/>
          <w:lang w:val="es-ES_tradnl"/>
        </w:rPr>
        <w:t xml:space="preserve">durante los 200 seg </w:t>
      </w:r>
      <w:r w:rsidRPr="00334703">
        <w:rPr>
          <w:rFonts w:ascii="Arial" w:hAnsi="Arial" w:cs="Arial"/>
          <w:lang w:val="es-ES_tradnl"/>
        </w:rPr>
        <w:t>la variable articular q</w:t>
      </w:r>
      <w:r>
        <w:rPr>
          <w:rFonts w:ascii="Arial" w:hAnsi="Arial" w:cs="Arial"/>
          <w:vertAlign w:val="subscript"/>
          <w:lang w:val="es-ES_tradnl"/>
        </w:rPr>
        <w:t>2</w:t>
      </w:r>
      <w:r w:rsidRPr="00334703">
        <w:rPr>
          <w:rFonts w:ascii="Arial" w:hAnsi="Arial" w:cs="Arial"/>
          <w:lang w:val="es-ES_tradnl"/>
        </w:rPr>
        <w:t xml:space="preserve"> </w:t>
      </w:r>
      <w:r>
        <w:rPr>
          <w:rFonts w:ascii="Arial" w:hAnsi="Arial" w:cs="Arial"/>
          <w:lang w:val="es-ES_tradnl"/>
        </w:rPr>
        <w:t>desarrolla</w:t>
      </w:r>
      <w:r w:rsidRPr="00334703">
        <w:rPr>
          <w:rFonts w:ascii="Arial" w:hAnsi="Arial" w:cs="Arial"/>
          <w:lang w:val="es-ES_tradnl"/>
        </w:rPr>
        <w:t xml:space="preserve"> velocidad constante de 0,0157rad/seg y q</w:t>
      </w:r>
      <w:r>
        <w:rPr>
          <w:rFonts w:ascii="Arial" w:hAnsi="Arial" w:cs="Arial"/>
          <w:vertAlign w:val="subscript"/>
          <w:lang w:val="es-ES_tradnl"/>
        </w:rPr>
        <w:t>1</w:t>
      </w:r>
      <w:r w:rsidRPr="00334703">
        <w:rPr>
          <w:rFonts w:ascii="Arial" w:hAnsi="Arial" w:cs="Arial"/>
          <w:lang w:val="es-ES_tradnl"/>
        </w:rPr>
        <w:t xml:space="preserve"> </w:t>
      </w:r>
      <w:r>
        <w:rPr>
          <w:rFonts w:ascii="Arial" w:hAnsi="Arial" w:cs="Arial"/>
          <w:lang w:val="es-ES_tradnl"/>
        </w:rPr>
        <w:t>= 0</w:t>
      </w:r>
      <w:r w:rsidRPr="00334703">
        <w:rPr>
          <w:rFonts w:ascii="Arial" w:hAnsi="Arial" w:cs="Arial"/>
          <w:lang w:val="es-ES_tradnl"/>
        </w:rPr>
        <w:t>.</w:t>
      </w:r>
      <w:r>
        <w:rPr>
          <w:rFonts w:ascii="Arial" w:hAnsi="Arial" w:cs="Arial"/>
          <w:lang w:val="es-ES_tradnl"/>
        </w:rPr>
        <w:t xml:space="preserve"> Es decir, q</w:t>
      </w:r>
      <w:r>
        <w:rPr>
          <w:rFonts w:ascii="Arial" w:hAnsi="Arial" w:cs="Arial"/>
          <w:vertAlign w:val="subscript"/>
          <w:lang w:val="es-ES_tradnl"/>
        </w:rPr>
        <w:t>2</w:t>
      </w:r>
      <w:r>
        <w:rPr>
          <w:rFonts w:ascii="Arial" w:hAnsi="Arial" w:cs="Arial"/>
          <w:lang w:val="es-ES_tradnl"/>
        </w:rPr>
        <w:t xml:space="preserve"> varía de 0 a 180º en los 200 seg y el eslabón 1 permanece estirado. Se tienen las siguientes expresiones para las variables articulares:</w:t>
      </w:r>
    </w:p>
    <w:p w:rsidR="00874DD5" w:rsidRDefault="00874DD5" w:rsidP="00874DD5">
      <w:pPr>
        <w:pStyle w:val="NormalWeb"/>
        <w:spacing w:before="60" w:beforeAutospacing="0" w:after="60" w:afterAutospacing="0"/>
        <w:jc w:val="both"/>
        <w:rPr>
          <w:sz w:val="22"/>
          <w:szCs w:val="20"/>
          <w:lang w:val="es-ES_tradnl"/>
        </w:rPr>
      </w:pPr>
      <w:r w:rsidRPr="00A622C0">
        <w:rPr>
          <w:position w:val="-22"/>
          <w:sz w:val="22"/>
          <w:szCs w:val="20"/>
          <w:lang w:val="es-ES_tradnl"/>
        </w:rPr>
        <w:object w:dxaOrig="2439" w:dyaOrig="520">
          <v:shape id="_x0000_i1464" type="#_x0000_t75" style="width:115.2pt;height:28.8pt" o:ole="">
            <v:imagedata r:id="rId1117" o:title=""/>
          </v:shape>
          <o:OLEObject Type="Embed" ProgID="Equation.3" ShapeID="_x0000_i1464" DrawAspect="Content" ObjectID="_1660649561" r:id="rId1118"/>
        </w:object>
      </w:r>
      <w:r>
        <w:rPr>
          <w:sz w:val="22"/>
          <w:szCs w:val="20"/>
          <w:lang w:val="es-ES_tradnl"/>
        </w:rPr>
        <w:t xml:space="preserve"> </w:t>
      </w:r>
      <w:r w:rsidRPr="00D3722B">
        <w:rPr>
          <w:rFonts w:ascii="Arial" w:hAnsi="Arial" w:cs="Arial"/>
          <w:lang w:val="es-ES_tradnl"/>
        </w:rPr>
        <w:t>(figura (</w:t>
      </w:r>
      <w:r>
        <w:rPr>
          <w:rFonts w:ascii="Arial" w:hAnsi="Arial" w:cs="Arial"/>
          <w:lang w:val="es-ES_tradnl"/>
        </w:rPr>
        <w:t>7a</w:t>
      </w:r>
      <w:r w:rsidRPr="00D3722B">
        <w:rPr>
          <w:rFonts w:ascii="Arial" w:hAnsi="Arial" w:cs="Arial"/>
          <w:lang w:val="es-ES_tradnl"/>
        </w:rPr>
        <w:t>))</w:t>
      </w:r>
      <w:r>
        <w:rPr>
          <w:sz w:val="22"/>
          <w:szCs w:val="20"/>
          <w:lang w:val="es-ES_tradnl"/>
        </w:rPr>
        <w:t xml:space="preserve">, </w:t>
      </w:r>
      <w:r w:rsidRPr="00A622C0">
        <w:rPr>
          <w:position w:val="-22"/>
          <w:sz w:val="22"/>
          <w:szCs w:val="20"/>
          <w:lang w:val="es-ES_tradnl"/>
        </w:rPr>
        <w:object w:dxaOrig="2280" w:dyaOrig="600">
          <v:shape id="_x0000_i1465" type="#_x0000_t75" style="width:108pt;height:28.8pt" o:ole="">
            <v:imagedata r:id="rId1119" o:title=""/>
          </v:shape>
          <o:OLEObject Type="Embed" ProgID="Equation.3" ShapeID="_x0000_i1465" DrawAspect="Content" ObjectID="_1660649562" r:id="rId1120"/>
        </w:object>
      </w:r>
      <w:r>
        <w:rPr>
          <w:sz w:val="22"/>
          <w:szCs w:val="20"/>
          <w:lang w:val="es-ES_tradnl"/>
        </w:rPr>
        <w:t xml:space="preserve"> y </w:t>
      </w:r>
      <w:r w:rsidRPr="006E5172">
        <w:rPr>
          <w:position w:val="-12"/>
          <w:sz w:val="22"/>
          <w:szCs w:val="20"/>
          <w:lang w:val="es-ES_tradnl"/>
        </w:rPr>
        <w:object w:dxaOrig="2340" w:dyaOrig="499">
          <v:shape id="_x0000_i1466" type="#_x0000_t75" style="width:115.2pt;height:21.6pt" o:ole="">
            <v:imagedata r:id="rId1121" o:title=""/>
          </v:shape>
          <o:OLEObject Type="Embed" ProgID="Equation.3" ShapeID="_x0000_i1466" DrawAspect="Content" ObjectID="_1660649563" r:id="rId1122"/>
        </w:object>
      </w:r>
    </w:p>
    <w:p w:rsidR="00874DD5" w:rsidRPr="00290A6D" w:rsidRDefault="00874DD5" w:rsidP="00874DD5">
      <w:pPr>
        <w:ind w:firstLine="567"/>
        <w:jc w:val="both"/>
        <w:rPr>
          <w:rFonts w:ascii="Arial" w:hAnsi="Arial" w:cs="Arial"/>
          <w:lang w:val="es-AR"/>
        </w:rPr>
      </w:pPr>
      <w:r w:rsidRPr="00290A6D">
        <w:rPr>
          <w:rFonts w:ascii="Arial" w:hAnsi="Arial" w:cs="Arial"/>
          <w:lang w:val="es-AR"/>
        </w:rPr>
        <w:t xml:space="preserve">Sustituyendo estos valores y los parámetros dinámicos en </w:t>
      </w:r>
      <w:r>
        <w:rPr>
          <w:rFonts w:ascii="Arial" w:hAnsi="Arial" w:cs="Arial"/>
          <w:lang w:val="es-AR"/>
        </w:rPr>
        <w:t>(</w:t>
      </w:r>
      <w:r w:rsidRPr="00290A6D">
        <w:rPr>
          <w:rFonts w:ascii="Arial" w:hAnsi="Arial" w:cs="Arial"/>
          <w:lang w:val="es-AR"/>
        </w:rPr>
        <w:t>13</w:t>
      </w:r>
      <w:r>
        <w:rPr>
          <w:rFonts w:ascii="Arial" w:hAnsi="Arial" w:cs="Arial"/>
          <w:lang w:val="es-AR"/>
        </w:rPr>
        <w:t>)</w:t>
      </w:r>
      <w:r w:rsidRPr="00290A6D">
        <w:rPr>
          <w:rFonts w:ascii="Arial" w:hAnsi="Arial" w:cs="Arial"/>
          <w:lang w:val="es-AR"/>
        </w:rPr>
        <w:t xml:space="preserve"> y </w:t>
      </w:r>
      <w:r>
        <w:rPr>
          <w:rFonts w:ascii="Arial" w:hAnsi="Arial" w:cs="Arial"/>
          <w:lang w:val="es-AR"/>
        </w:rPr>
        <w:t>(</w:t>
      </w:r>
      <w:r w:rsidRPr="00290A6D">
        <w:rPr>
          <w:rFonts w:ascii="Arial" w:hAnsi="Arial" w:cs="Arial"/>
          <w:lang w:val="es-AR"/>
        </w:rPr>
        <w:t>14</w:t>
      </w:r>
      <w:r>
        <w:rPr>
          <w:rFonts w:ascii="Arial" w:hAnsi="Arial" w:cs="Arial"/>
          <w:lang w:val="es-AR"/>
        </w:rPr>
        <w:t xml:space="preserve">), </w:t>
      </w:r>
      <w:r w:rsidRPr="00290A6D">
        <w:rPr>
          <w:rFonts w:ascii="Arial" w:hAnsi="Arial" w:cs="Arial"/>
          <w:lang w:val="es-AR"/>
        </w:rPr>
        <w:t>se tiene</w:t>
      </w:r>
      <w:r>
        <w:rPr>
          <w:rFonts w:ascii="Arial" w:hAnsi="Arial" w:cs="Arial"/>
          <w:lang w:val="es-AR"/>
        </w:rPr>
        <w:t xml:space="preserve">n las (17) y (18) </w:t>
      </w:r>
      <w:r w:rsidRPr="00290A6D">
        <w:rPr>
          <w:rFonts w:ascii="Arial" w:hAnsi="Arial" w:cs="Arial"/>
          <w:lang w:val="es-AR"/>
        </w:rPr>
        <w:t>para los pares de torsión</w:t>
      </w:r>
      <w:r>
        <w:rPr>
          <w:rFonts w:ascii="Arial" w:hAnsi="Arial" w:cs="Arial"/>
          <w:lang w:val="es-AR"/>
        </w:rPr>
        <w:t>, cuya</w:t>
      </w:r>
      <w:r w:rsidRPr="00290A6D">
        <w:rPr>
          <w:rFonts w:ascii="Arial" w:hAnsi="Arial" w:cs="Arial"/>
          <w:lang w:val="es-AR"/>
        </w:rPr>
        <w:t xml:space="preserve"> </w:t>
      </w:r>
      <w:r>
        <w:rPr>
          <w:rFonts w:ascii="Arial" w:hAnsi="Arial" w:cs="Arial"/>
          <w:lang w:val="es-AR"/>
        </w:rPr>
        <w:t>representación se ve en la figura (7b)</w:t>
      </w:r>
      <w:r w:rsidRPr="00290A6D">
        <w:rPr>
          <w:rFonts w:ascii="Arial" w:hAnsi="Arial" w:cs="Arial"/>
          <w:lang w:val="es-AR"/>
        </w:rPr>
        <w:t>:</w:t>
      </w:r>
    </w:p>
    <w:p w:rsidR="00874DD5" w:rsidRPr="00463E83" w:rsidRDefault="00874DD5" w:rsidP="00874DD5">
      <w:pPr>
        <w:pStyle w:val="NormalWeb"/>
        <w:spacing w:before="120" w:beforeAutospacing="0" w:after="120" w:afterAutospacing="0"/>
        <w:jc w:val="center"/>
        <w:rPr>
          <w:sz w:val="22"/>
          <w:szCs w:val="20"/>
          <w:lang w:val="es-ES_tradnl"/>
        </w:rPr>
      </w:pPr>
      <w:r w:rsidRPr="00463E83">
        <w:rPr>
          <w:position w:val="-24"/>
          <w:sz w:val="22"/>
          <w:szCs w:val="20"/>
          <w:lang w:val="es-ES_tradnl"/>
        </w:rPr>
        <w:object w:dxaOrig="8100" w:dyaOrig="600">
          <v:shape id="_x0000_i1467" type="#_x0000_t75" style="width:388.8pt;height:28.8pt" o:ole="">
            <v:imagedata r:id="rId1123" o:title=""/>
          </v:shape>
          <o:OLEObject Type="Embed" ProgID="Equation.3" ShapeID="_x0000_i1467" DrawAspect="Content" ObjectID="_1660649564" r:id="rId1124"/>
        </w:object>
      </w:r>
      <w:r>
        <w:rPr>
          <w:sz w:val="22"/>
          <w:szCs w:val="20"/>
          <w:lang w:val="es-ES_tradnl"/>
        </w:rPr>
        <w:t xml:space="preserve">  (17)</w:t>
      </w:r>
    </w:p>
    <w:p w:rsidR="00874DD5" w:rsidRDefault="00874DD5" w:rsidP="00874DD5">
      <w:pPr>
        <w:spacing w:before="120" w:after="120"/>
        <w:ind w:firstLine="567"/>
        <w:jc w:val="center"/>
        <w:rPr>
          <w:sz w:val="22"/>
          <w:szCs w:val="20"/>
          <w:lang w:val="es-ES_tradnl"/>
        </w:rPr>
      </w:pPr>
      <w:r>
        <w:rPr>
          <w:noProof/>
          <w:lang w:val="en-US"/>
        </w:rPr>
        <w:drawing>
          <wp:anchor distT="0" distB="0" distL="114300" distR="114300" simplePos="0" relativeHeight="251819008" behindDoc="0" locked="0" layoutInCell="1" allowOverlap="1" wp14:anchorId="5FA8CDBE" wp14:editId="69E9DA8C">
            <wp:simplePos x="0" y="0"/>
            <wp:positionH relativeFrom="column">
              <wp:posOffset>5080</wp:posOffset>
            </wp:positionH>
            <wp:positionV relativeFrom="paragraph">
              <wp:posOffset>461010</wp:posOffset>
            </wp:positionV>
            <wp:extent cx="3562350" cy="2495550"/>
            <wp:effectExtent l="0" t="0" r="0" b="0"/>
            <wp:wrapNone/>
            <wp:docPr id="2026623669" name="Imagen 202662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3562350" cy="249555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2"/>
          <w:szCs w:val="20"/>
          <w:lang w:val="es-ES_tradnl"/>
        </w:rPr>
        <w:t xml:space="preserve">                              </w:t>
      </w:r>
      <w:r w:rsidRPr="00196012">
        <w:rPr>
          <w:position w:val="-24"/>
          <w:sz w:val="22"/>
          <w:szCs w:val="20"/>
          <w:lang w:val="es-ES_tradnl"/>
        </w:rPr>
        <w:object w:dxaOrig="3560" w:dyaOrig="600">
          <v:shape id="_x0000_i1468" type="#_x0000_t75" style="width:180pt;height:28.8pt" o:ole="">
            <v:imagedata r:id="rId1115" o:title=""/>
          </v:shape>
          <o:OLEObject Type="Embed" ProgID="Equation.3" ShapeID="_x0000_i1468" DrawAspect="Content" ObjectID="_1660649565" r:id="rId1126"/>
        </w:object>
      </w:r>
      <w:r>
        <w:rPr>
          <w:sz w:val="22"/>
          <w:szCs w:val="20"/>
          <w:lang w:val="es-ES_tradnl"/>
        </w:rPr>
        <w:t xml:space="preserve">                                       (18)</w:t>
      </w:r>
    </w:p>
    <w:p w:rsidR="00874DD5" w:rsidRDefault="00874DD5" w:rsidP="00874DD5">
      <w:pPr>
        <w:spacing w:before="120" w:after="120"/>
        <w:ind w:firstLine="567"/>
        <w:jc w:val="center"/>
        <w:rPr>
          <w:sz w:val="22"/>
          <w:szCs w:val="20"/>
          <w:lang w:val="es-ES_tradnl"/>
        </w:rPr>
      </w:pPr>
    </w:p>
    <w:p w:rsidR="00874DD5" w:rsidRDefault="00874DD5" w:rsidP="00874DD5">
      <w:pPr>
        <w:spacing w:before="120" w:after="120"/>
        <w:ind w:firstLine="567"/>
        <w:jc w:val="center"/>
        <w:rPr>
          <w:sz w:val="22"/>
          <w:szCs w:val="20"/>
          <w:lang w:val="es-ES_tradnl"/>
        </w:rPr>
      </w:pPr>
      <w:r>
        <w:rPr>
          <w:noProof/>
          <w:sz w:val="22"/>
          <w:szCs w:val="20"/>
          <w:lang w:val="en-US"/>
        </w:rPr>
        <w:drawing>
          <wp:anchor distT="0" distB="0" distL="114300" distR="114300" simplePos="0" relativeHeight="251817984" behindDoc="0" locked="0" layoutInCell="1" allowOverlap="1" wp14:anchorId="4B72159C" wp14:editId="72B3D8F6">
            <wp:simplePos x="0" y="0"/>
            <wp:positionH relativeFrom="column">
              <wp:posOffset>3641725</wp:posOffset>
            </wp:positionH>
            <wp:positionV relativeFrom="paragraph">
              <wp:posOffset>12065</wp:posOffset>
            </wp:positionV>
            <wp:extent cx="2790825" cy="1866900"/>
            <wp:effectExtent l="0" t="0" r="9525" b="0"/>
            <wp:wrapNone/>
            <wp:docPr id="2026623668" name="Imagen 202662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2790825"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4DD5" w:rsidRDefault="00874DD5" w:rsidP="00874DD5">
      <w:pPr>
        <w:spacing w:before="120" w:after="120"/>
        <w:ind w:firstLine="567"/>
        <w:jc w:val="center"/>
        <w:rPr>
          <w:sz w:val="22"/>
          <w:szCs w:val="20"/>
          <w:lang w:val="es-ES_tradnl"/>
        </w:rPr>
      </w:pPr>
    </w:p>
    <w:p w:rsidR="00874DD5" w:rsidRDefault="00874DD5" w:rsidP="00874DD5">
      <w:pPr>
        <w:spacing w:before="120" w:after="120"/>
        <w:ind w:firstLine="567"/>
        <w:jc w:val="center"/>
        <w:rPr>
          <w:sz w:val="22"/>
          <w:szCs w:val="20"/>
          <w:lang w:val="es-ES_tradnl"/>
        </w:rPr>
      </w:pPr>
    </w:p>
    <w:p w:rsidR="00874DD5" w:rsidRDefault="00874DD5" w:rsidP="00874DD5">
      <w:pPr>
        <w:spacing w:before="120" w:after="120"/>
        <w:ind w:firstLine="567"/>
        <w:jc w:val="center"/>
        <w:rPr>
          <w:sz w:val="22"/>
          <w:szCs w:val="20"/>
          <w:lang w:val="es-ES_tradnl"/>
        </w:rPr>
      </w:pPr>
    </w:p>
    <w:p w:rsidR="00874DD5" w:rsidRDefault="00874DD5" w:rsidP="00874DD5">
      <w:pPr>
        <w:spacing w:before="120" w:after="120"/>
        <w:ind w:firstLine="567"/>
        <w:jc w:val="center"/>
        <w:rPr>
          <w:sz w:val="22"/>
          <w:szCs w:val="20"/>
          <w:lang w:val="es-ES_tradnl"/>
        </w:rPr>
      </w:pPr>
    </w:p>
    <w:p w:rsidR="00874DD5" w:rsidRDefault="00874DD5" w:rsidP="00874DD5">
      <w:pPr>
        <w:spacing w:before="120" w:after="120"/>
        <w:ind w:firstLine="567"/>
        <w:jc w:val="center"/>
        <w:rPr>
          <w:sz w:val="22"/>
          <w:szCs w:val="20"/>
          <w:lang w:val="es-ES_tradnl"/>
        </w:rPr>
      </w:pPr>
    </w:p>
    <w:p w:rsidR="00874DD5" w:rsidRDefault="00874DD5" w:rsidP="00874DD5">
      <w:pPr>
        <w:spacing w:before="120" w:after="120"/>
        <w:ind w:firstLine="567"/>
        <w:jc w:val="center"/>
        <w:rPr>
          <w:sz w:val="22"/>
          <w:szCs w:val="20"/>
          <w:lang w:val="es-ES_tradnl"/>
        </w:rPr>
      </w:pPr>
    </w:p>
    <w:p w:rsidR="00874DD5" w:rsidRDefault="00874DD5" w:rsidP="00874DD5">
      <w:pPr>
        <w:spacing w:before="120" w:after="120"/>
        <w:ind w:firstLine="567"/>
        <w:jc w:val="center"/>
        <w:rPr>
          <w:sz w:val="22"/>
          <w:szCs w:val="20"/>
          <w:lang w:val="es-ES_tradnl"/>
        </w:rPr>
      </w:pPr>
    </w:p>
    <w:p w:rsidR="00874DD5" w:rsidRDefault="00874DD5" w:rsidP="00874DD5">
      <w:pPr>
        <w:spacing w:before="120" w:after="120"/>
        <w:ind w:firstLine="567"/>
        <w:jc w:val="center"/>
        <w:rPr>
          <w:sz w:val="22"/>
          <w:szCs w:val="20"/>
          <w:lang w:val="es-ES_tradnl"/>
        </w:rPr>
      </w:pPr>
    </w:p>
    <w:p w:rsidR="00874DD5" w:rsidRDefault="00874DD5" w:rsidP="00874DD5">
      <w:pPr>
        <w:spacing w:before="120" w:after="120"/>
        <w:ind w:firstLine="567"/>
        <w:jc w:val="center"/>
        <w:rPr>
          <w:sz w:val="22"/>
          <w:szCs w:val="20"/>
          <w:lang w:val="es-ES_tradnl"/>
        </w:rPr>
      </w:pPr>
    </w:p>
    <w:p w:rsidR="00874DD5" w:rsidRPr="00C32761" w:rsidRDefault="00874DD5" w:rsidP="00874DD5">
      <w:pPr>
        <w:jc w:val="center"/>
        <w:rPr>
          <w:rFonts w:ascii="Arial" w:hAnsi="Arial" w:cs="Arial"/>
          <w:bCs/>
          <w:i/>
          <w:sz w:val="20"/>
          <w:szCs w:val="20"/>
        </w:rPr>
      </w:pPr>
      <w:r w:rsidRPr="00163EF1">
        <w:rPr>
          <w:rFonts w:ascii="Arial" w:hAnsi="Arial" w:cs="Arial"/>
          <w:bCs/>
          <w:i/>
          <w:sz w:val="20"/>
          <w:szCs w:val="20"/>
        </w:rPr>
        <w:t xml:space="preserve">Figura </w:t>
      </w:r>
      <w:r>
        <w:rPr>
          <w:rFonts w:ascii="Arial" w:hAnsi="Arial" w:cs="Arial"/>
          <w:bCs/>
          <w:i/>
          <w:sz w:val="20"/>
          <w:szCs w:val="20"/>
        </w:rPr>
        <w:t>6</w:t>
      </w:r>
      <w:r w:rsidRPr="00163EF1">
        <w:rPr>
          <w:rFonts w:ascii="Arial" w:hAnsi="Arial" w:cs="Arial"/>
          <w:bCs/>
          <w:i/>
          <w:sz w:val="20"/>
          <w:szCs w:val="20"/>
        </w:rPr>
        <w:t xml:space="preserve">. </w:t>
      </w:r>
      <w:r>
        <w:rPr>
          <w:rFonts w:ascii="Arial" w:hAnsi="Arial" w:cs="Arial"/>
          <w:bCs/>
          <w:i/>
          <w:sz w:val="20"/>
          <w:szCs w:val="20"/>
        </w:rPr>
        <w:t xml:space="preserve">a) Evolucion temporal de los pares de torsión </w:t>
      </w:r>
      <m:oMath>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 xml:space="preserve"> y </m:t>
        </m:r>
        <m:sSub>
          <m:sSubPr>
            <m:ctrlPr>
              <w:rPr>
                <w:rFonts w:ascii="Cambria Math" w:hAnsi="Cambria Math"/>
                <w:i/>
              </w:rPr>
            </m:ctrlPr>
          </m:sSubPr>
          <m:e>
            <m:r>
              <w:rPr>
                <w:rFonts w:ascii="Cambria Math" w:hAnsi="Cambria Math"/>
              </w:rPr>
              <m:t>τ</m:t>
            </m:r>
          </m:e>
          <m:sub>
            <m:r>
              <w:rPr>
                <w:rFonts w:ascii="Cambria Math" w:hAnsi="Cambria Math"/>
              </w:rPr>
              <m:t>2</m:t>
            </m:r>
          </m:sub>
        </m:sSub>
      </m:oMath>
      <w:r>
        <w:t xml:space="preserve"> </w:t>
      </w:r>
      <w:r w:rsidRPr="00C32761">
        <w:rPr>
          <w:rFonts w:ascii="Arial" w:hAnsi="Arial" w:cs="Arial"/>
          <w:bCs/>
          <w:i/>
          <w:sz w:val="20"/>
          <w:szCs w:val="20"/>
        </w:rPr>
        <w:t xml:space="preserve">correspondientes al caso </w:t>
      </w:r>
      <w:r>
        <w:rPr>
          <w:rFonts w:ascii="Arial" w:hAnsi="Arial" w:cs="Arial"/>
          <w:bCs/>
          <w:i/>
          <w:sz w:val="20"/>
          <w:szCs w:val="20"/>
        </w:rPr>
        <w:t>2</w:t>
      </w:r>
      <w:r w:rsidRPr="00C32761">
        <w:rPr>
          <w:rFonts w:ascii="Arial" w:hAnsi="Arial" w:cs="Arial"/>
          <w:bCs/>
          <w:i/>
          <w:sz w:val="20"/>
          <w:szCs w:val="20"/>
        </w:rPr>
        <w:t>.</w:t>
      </w:r>
    </w:p>
    <w:p w:rsidR="00874DD5" w:rsidRDefault="00874DD5" w:rsidP="00874DD5">
      <w:pPr>
        <w:jc w:val="center"/>
      </w:pPr>
      <w:r w:rsidRPr="00C32761">
        <w:rPr>
          <w:rFonts w:ascii="Arial" w:hAnsi="Arial" w:cs="Arial"/>
          <w:bCs/>
          <w:i/>
          <w:sz w:val="20"/>
          <w:szCs w:val="20"/>
        </w:rPr>
        <w:t>b) Evolucion temporal de las variables articu</w:t>
      </w:r>
      <w:r>
        <w:rPr>
          <w:rFonts w:ascii="Arial" w:hAnsi="Arial" w:cs="Arial"/>
          <w:bCs/>
          <w:i/>
          <w:sz w:val="20"/>
          <w:szCs w:val="20"/>
        </w:rPr>
        <w:t>lares correspondientes al caso 2.</w:t>
      </w:r>
    </w:p>
    <w:p w:rsidR="00874DD5" w:rsidRDefault="00874DD5" w:rsidP="00874DD5">
      <w:pPr>
        <w:spacing w:before="120" w:after="120"/>
        <w:ind w:firstLine="567"/>
        <w:jc w:val="center"/>
        <w:rPr>
          <w:lang w:val="es-AR"/>
        </w:rPr>
      </w:pPr>
    </w:p>
    <w:p w:rsidR="00874DD5" w:rsidRPr="008729EB" w:rsidRDefault="00874DD5" w:rsidP="00874DD5">
      <w:pPr>
        <w:pStyle w:val="1Titulo"/>
        <w:numPr>
          <w:ilvl w:val="0"/>
          <w:numId w:val="0"/>
        </w:numPr>
        <w:ind w:left="357"/>
        <w:rPr>
          <w:lang w:val="es-AR"/>
        </w:rPr>
      </w:pPr>
      <w:bookmarkStart w:id="262" w:name="_Toc50031335"/>
      <w:r w:rsidRPr="008729EB">
        <w:rPr>
          <w:caps/>
        </w:rPr>
        <w:t xml:space="preserve">4. </w:t>
      </w:r>
      <w:r w:rsidRPr="008729EB">
        <w:t>Resultados y discusión</w:t>
      </w:r>
      <w:bookmarkEnd w:id="262"/>
    </w:p>
    <w:p w:rsidR="00874DD5" w:rsidRPr="008729EB" w:rsidRDefault="00874DD5" w:rsidP="00874DD5">
      <w:pPr>
        <w:ind w:firstLine="567"/>
        <w:jc w:val="both"/>
        <w:rPr>
          <w:rFonts w:ascii="Arial" w:hAnsi="Arial" w:cs="Arial"/>
          <w:lang w:val="es-AR"/>
        </w:rPr>
      </w:pPr>
    </w:p>
    <w:p w:rsidR="00874DD5" w:rsidRPr="008729EB" w:rsidRDefault="00874DD5" w:rsidP="00874DD5">
      <w:pPr>
        <w:ind w:firstLine="567"/>
        <w:jc w:val="both"/>
        <w:rPr>
          <w:rFonts w:ascii="Arial" w:hAnsi="Arial" w:cs="Arial"/>
          <w:lang w:val="es-AR"/>
        </w:rPr>
      </w:pPr>
      <w:r w:rsidRPr="008729EB">
        <w:rPr>
          <w:rFonts w:ascii="Arial" w:hAnsi="Arial" w:cs="Arial"/>
          <w:lang w:val="es-AR"/>
        </w:rPr>
        <w:t>Se discuten lo</w:t>
      </w:r>
      <w:r>
        <w:rPr>
          <w:rFonts w:ascii="Arial" w:hAnsi="Arial" w:cs="Arial"/>
          <w:lang w:val="es-AR"/>
        </w:rPr>
        <w:t>s</w:t>
      </w:r>
      <w:r w:rsidRPr="008729EB">
        <w:rPr>
          <w:rFonts w:ascii="Arial" w:hAnsi="Arial" w:cs="Arial"/>
          <w:lang w:val="es-AR"/>
        </w:rPr>
        <w:t xml:space="preserve"> resultados </w:t>
      </w:r>
      <w:r>
        <w:rPr>
          <w:rFonts w:ascii="Arial" w:hAnsi="Arial" w:cs="Arial"/>
          <w:lang w:val="es-AR"/>
        </w:rPr>
        <w:t xml:space="preserve">de los casos 1 y 2 para esas variables articulares. </w:t>
      </w:r>
    </w:p>
    <w:p w:rsidR="00874DD5" w:rsidRPr="00924A53" w:rsidRDefault="00874DD5" w:rsidP="00874DD5">
      <w:pPr>
        <w:ind w:firstLine="567"/>
        <w:jc w:val="both"/>
        <w:rPr>
          <w:rFonts w:ascii="Arial" w:hAnsi="Arial" w:cs="Arial"/>
          <w:lang w:val="es-ES_tradnl"/>
        </w:rPr>
      </w:pPr>
      <w:r w:rsidRPr="008D27F4">
        <w:rPr>
          <w:rFonts w:ascii="Arial" w:hAnsi="Arial" w:cs="Arial"/>
          <w:b/>
          <w:i/>
          <w:lang w:val="es-ES_tradnl"/>
        </w:rPr>
        <w:t>Caso 1</w:t>
      </w:r>
      <w:r>
        <w:rPr>
          <w:rFonts w:ascii="Arial" w:hAnsi="Arial" w:cs="Arial"/>
          <w:lang w:val="es-ES_tradnl"/>
        </w:rPr>
        <w:t>:</w:t>
      </w:r>
      <w:r w:rsidRPr="00924A53">
        <w:rPr>
          <w:rFonts w:ascii="Arial" w:hAnsi="Arial" w:cs="Arial"/>
          <w:lang w:val="es-ES_tradnl"/>
        </w:rPr>
        <w:t xml:space="preserve"> </w:t>
      </w:r>
      <w:r>
        <w:rPr>
          <w:rFonts w:ascii="Arial" w:hAnsi="Arial" w:cs="Arial"/>
          <w:lang w:val="es-ES_tradnl"/>
        </w:rPr>
        <w:t xml:space="preserve">las ecuaciones 15 y 16 indican que los pares de torsión que los actuadores proveen en </w:t>
      </w:r>
      <w:r w:rsidRPr="00924A53">
        <w:rPr>
          <w:rFonts w:ascii="Arial" w:hAnsi="Arial" w:cs="Arial"/>
          <w:lang w:val="es-ES_tradnl"/>
        </w:rPr>
        <w:t xml:space="preserve">ambas articulaciones </w:t>
      </w:r>
      <w:r>
        <w:rPr>
          <w:rFonts w:ascii="Arial" w:hAnsi="Arial" w:cs="Arial"/>
          <w:lang w:val="es-ES_tradnl"/>
        </w:rPr>
        <w:t>deben</w:t>
      </w:r>
      <w:r w:rsidRPr="00924A53">
        <w:rPr>
          <w:rFonts w:ascii="Arial" w:hAnsi="Arial" w:cs="Arial"/>
          <w:lang w:val="es-ES_tradnl"/>
        </w:rPr>
        <w:t xml:space="preserve"> contrarrestar el efecto gravitatorio de ambos eslabones (solo </w:t>
      </w:r>
      <w:r>
        <w:rPr>
          <w:rFonts w:ascii="Arial" w:hAnsi="Arial" w:cs="Arial"/>
          <w:lang w:val="es-ES_tradnl"/>
        </w:rPr>
        <w:t>quedan</w:t>
      </w:r>
      <w:r w:rsidRPr="00924A53">
        <w:rPr>
          <w:rFonts w:ascii="Arial" w:hAnsi="Arial" w:cs="Arial"/>
          <w:lang w:val="es-ES_tradnl"/>
        </w:rPr>
        <w:t xml:space="preserve"> términos </w:t>
      </w:r>
      <w:r>
        <w:rPr>
          <w:rFonts w:ascii="Arial" w:hAnsi="Arial" w:cs="Arial"/>
          <w:lang w:val="es-ES_tradnl"/>
        </w:rPr>
        <w:t xml:space="preserve">en cos </w:t>
      </w:r>
      <w:r w:rsidRPr="00924A53">
        <w:rPr>
          <w:rFonts w:ascii="Arial" w:hAnsi="Arial" w:cs="Arial"/>
          <w:lang w:val="es-ES_tradnl"/>
        </w:rPr>
        <w:t>q</w:t>
      </w:r>
      <w:r w:rsidRPr="008D27F4">
        <w:rPr>
          <w:rFonts w:ascii="Arial" w:hAnsi="Arial" w:cs="Arial"/>
          <w:vertAlign w:val="subscript"/>
          <w:lang w:val="es-ES_tradnl"/>
        </w:rPr>
        <w:t>1</w:t>
      </w:r>
      <w:r w:rsidRPr="00924A53">
        <w:rPr>
          <w:rFonts w:ascii="Arial" w:hAnsi="Arial" w:cs="Arial"/>
          <w:lang w:val="es-ES_tradnl"/>
        </w:rPr>
        <w:t xml:space="preserve">). </w:t>
      </w:r>
      <w:r>
        <w:rPr>
          <w:rFonts w:ascii="Arial" w:hAnsi="Arial" w:cs="Arial"/>
          <w:lang w:val="es-ES_tradnl"/>
        </w:rPr>
        <w:t xml:space="preserve">El efecto mecánico es que no contribuyen </w:t>
      </w:r>
      <w:r w:rsidRPr="00924A53">
        <w:rPr>
          <w:rFonts w:ascii="Arial" w:hAnsi="Arial" w:cs="Arial"/>
          <w:lang w:val="es-ES_tradnl"/>
        </w:rPr>
        <w:t xml:space="preserve">los efectos inerciales (las dos aceleraciones articulares son nulas), </w:t>
      </w:r>
      <w:r>
        <w:rPr>
          <w:rFonts w:ascii="Arial" w:hAnsi="Arial" w:cs="Arial"/>
          <w:lang w:val="es-ES_tradnl"/>
        </w:rPr>
        <w:t xml:space="preserve">ni </w:t>
      </w:r>
      <w:r w:rsidRPr="00924A53">
        <w:rPr>
          <w:rFonts w:ascii="Arial" w:hAnsi="Arial" w:cs="Arial"/>
          <w:lang w:val="es-ES_tradnl"/>
        </w:rPr>
        <w:t>el término de Coriolis (una velocidad articular es nula)</w:t>
      </w:r>
      <w:r>
        <w:rPr>
          <w:rFonts w:ascii="Arial" w:hAnsi="Arial" w:cs="Arial"/>
          <w:lang w:val="es-ES_tradnl"/>
        </w:rPr>
        <w:t>, ni</w:t>
      </w:r>
      <w:r w:rsidRPr="00924A53">
        <w:rPr>
          <w:rFonts w:ascii="Arial" w:hAnsi="Arial" w:cs="Arial"/>
          <w:lang w:val="es-ES_tradnl"/>
        </w:rPr>
        <w:t xml:space="preserve"> los términos de las fuerzas centrípetas (el brazo 2 está siempre estirado, q</w:t>
      </w:r>
      <w:r>
        <w:rPr>
          <w:rFonts w:ascii="Arial" w:hAnsi="Arial" w:cs="Arial"/>
          <w:vertAlign w:val="subscript"/>
          <w:lang w:val="es-ES_tradnl"/>
        </w:rPr>
        <w:t>2</w:t>
      </w:r>
      <w:r>
        <w:rPr>
          <w:rFonts w:ascii="Arial" w:hAnsi="Arial" w:cs="Arial"/>
          <w:lang w:val="es-ES_tradnl"/>
        </w:rPr>
        <w:t xml:space="preserve"> = 0 </w:t>
      </w:r>
      <w:r w:rsidRPr="00924A53">
        <w:rPr>
          <w:rFonts w:ascii="Arial" w:hAnsi="Arial" w:cs="Arial"/>
          <w:lang w:val="es-ES_tradnl"/>
        </w:rPr>
        <w:t xml:space="preserve">y es </w:t>
      </w:r>
      <w:r>
        <w:rPr>
          <w:rFonts w:ascii="Arial" w:hAnsi="Arial" w:cs="Arial"/>
          <w:lang w:val="es-ES_tradnl"/>
        </w:rPr>
        <w:t xml:space="preserve">nula la velocidad articular 2).   </w:t>
      </w:r>
      <w:r w:rsidRPr="00924A53">
        <w:rPr>
          <w:rFonts w:ascii="Arial" w:hAnsi="Arial" w:cs="Arial"/>
          <w:lang w:val="es-ES_tradnl"/>
        </w:rPr>
        <w:t xml:space="preserve">Un breve análisis de la situación física real, en sintonía con el gráfico de figura </w:t>
      </w:r>
      <w:r>
        <w:rPr>
          <w:rFonts w:ascii="Arial" w:hAnsi="Arial" w:cs="Arial"/>
          <w:lang w:val="es-ES_tradnl"/>
        </w:rPr>
        <w:t>6a</w:t>
      </w:r>
      <w:r w:rsidRPr="00924A53">
        <w:rPr>
          <w:rFonts w:ascii="Arial" w:hAnsi="Arial" w:cs="Arial"/>
          <w:lang w:val="es-ES_tradnl"/>
        </w:rPr>
        <w:t xml:space="preserve"> indica que: en t = 0seg es q</w:t>
      </w:r>
      <w:r w:rsidRPr="008C239E">
        <w:rPr>
          <w:rFonts w:ascii="Arial" w:hAnsi="Arial" w:cs="Arial"/>
          <w:vertAlign w:val="subscript"/>
          <w:lang w:val="es-ES_tradnl"/>
        </w:rPr>
        <w:t>1</w:t>
      </w:r>
      <w:r w:rsidRPr="00924A53">
        <w:rPr>
          <w:rFonts w:ascii="Arial" w:hAnsi="Arial" w:cs="Arial"/>
          <w:lang w:val="es-ES_tradnl"/>
        </w:rPr>
        <w:t xml:space="preserve"> = q</w:t>
      </w:r>
      <w:r w:rsidRPr="008C239E">
        <w:rPr>
          <w:rFonts w:ascii="Arial" w:hAnsi="Arial" w:cs="Arial"/>
          <w:vertAlign w:val="subscript"/>
          <w:lang w:val="es-ES_tradnl"/>
        </w:rPr>
        <w:t>2</w:t>
      </w:r>
      <w:r w:rsidRPr="00924A53">
        <w:rPr>
          <w:rFonts w:ascii="Arial" w:hAnsi="Arial" w:cs="Arial"/>
          <w:lang w:val="es-ES_tradnl"/>
        </w:rPr>
        <w:t xml:space="preserve"> = 0º (ambos brazos estirados en forma horizontal, figura 8</w:t>
      </w:r>
      <w:r>
        <w:rPr>
          <w:rFonts w:ascii="Arial" w:hAnsi="Arial" w:cs="Arial"/>
          <w:lang w:val="es-ES_tradnl"/>
        </w:rPr>
        <w:t>a</w:t>
      </w:r>
      <w:r w:rsidRPr="00924A53">
        <w:rPr>
          <w:rFonts w:ascii="Arial" w:hAnsi="Arial" w:cs="Arial"/>
          <w:lang w:val="es-ES_tradnl"/>
        </w:rPr>
        <w:t>), τ</w:t>
      </w:r>
      <w:r w:rsidRPr="00B4753E">
        <w:rPr>
          <w:rFonts w:ascii="Arial" w:hAnsi="Arial" w:cs="Arial"/>
          <w:vertAlign w:val="subscript"/>
          <w:lang w:val="es-ES_tradnl"/>
        </w:rPr>
        <w:t>1</w:t>
      </w:r>
      <w:r w:rsidRPr="00924A53">
        <w:rPr>
          <w:rFonts w:ascii="Arial" w:hAnsi="Arial" w:cs="Arial"/>
          <w:lang w:val="es-ES_tradnl"/>
        </w:rPr>
        <w:t xml:space="preserve"> = 200Nm y τ</w:t>
      </w:r>
      <w:r w:rsidRPr="00B4753E">
        <w:rPr>
          <w:rFonts w:ascii="Arial" w:hAnsi="Arial" w:cs="Arial"/>
          <w:vertAlign w:val="subscript"/>
          <w:lang w:val="es-ES_tradnl"/>
        </w:rPr>
        <w:t>2</w:t>
      </w:r>
      <w:r w:rsidRPr="00924A53">
        <w:rPr>
          <w:rFonts w:ascii="Arial" w:hAnsi="Arial" w:cs="Arial"/>
          <w:lang w:val="es-ES_tradnl"/>
        </w:rPr>
        <w:t xml:space="preserve"> = 50Nm (requiriendo ambas articulaciones par de torsión máximo en este instante). En t = 100seg es q</w:t>
      </w:r>
      <w:r w:rsidRPr="00B4753E">
        <w:rPr>
          <w:rFonts w:ascii="Arial" w:hAnsi="Arial" w:cs="Arial"/>
          <w:vertAlign w:val="subscript"/>
          <w:lang w:val="es-ES_tradnl"/>
        </w:rPr>
        <w:t>1</w:t>
      </w:r>
      <w:r w:rsidRPr="00924A53">
        <w:rPr>
          <w:rFonts w:ascii="Arial" w:hAnsi="Arial" w:cs="Arial"/>
          <w:lang w:val="es-ES_tradnl"/>
        </w:rPr>
        <w:t xml:space="preserve"> = q</w:t>
      </w:r>
      <w:r w:rsidRPr="00B4753E">
        <w:rPr>
          <w:rFonts w:ascii="Arial" w:hAnsi="Arial" w:cs="Arial"/>
          <w:vertAlign w:val="subscript"/>
          <w:lang w:val="es-ES_tradnl"/>
        </w:rPr>
        <w:t>2</w:t>
      </w:r>
      <w:r w:rsidRPr="00924A53">
        <w:rPr>
          <w:rFonts w:ascii="Arial" w:hAnsi="Arial" w:cs="Arial"/>
          <w:lang w:val="es-ES_tradnl"/>
        </w:rPr>
        <w:t xml:space="preserve"> = 90º (π/2) (ambos brazos estirados en forma vertical, figura </w:t>
      </w:r>
      <w:r>
        <w:rPr>
          <w:rFonts w:ascii="Arial" w:hAnsi="Arial" w:cs="Arial"/>
          <w:lang w:val="es-ES_tradnl"/>
        </w:rPr>
        <w:t>8b</w:t>
      </w:r>
      <w:r w:rsidRPr="00924A53">
        <w:rPr>
          <w:rFonts w:ascii="Arial" w:hAnsi="Arial" w:cs="Arial"/>
          <w:lang w:val="es-ES_tradnl"/>
        </w:rPr>
        <w:t>), τ</w:t>
      </w:r>
      <w:r w:rsidRPr="00B4753E">
        <w:rPr>
          <w:rFonts w:ascii="Arial" w:hAnsi="Arial" w:cs="Arial"/>
          <w:vertAlign w:val="subscript"/>
          <w:lang w:val="es-ES_tradnl"/>
        </w:rPr>
        <w:t>1</w:t>
      </w:r>
      <w:r w:rsidRPr="00924A53">
        <w:rPr>
          <w:rFonts w:ascii="Arial" w:hAnsi="Arial" w:cs="Arial"/>
          <w:lang w:val="es-ES_tradnl"/>
        </w:rPr>
        <w:t xml:space="preserve"> = </w:t>
      </w:r>
      <w:r w:rsidRPr="00B4753E">
        <w:rPr>
          <w:rFonts w:ascii="Arial" w:hAnsi="Arial" w:cs="Arial"/>
          <w:lang w:val="es-ES_tradnl"/>
        </w:rPr>
        <w:t>τ</w:t>
      </w:r>
      <w:r w:rsidRPr="00B4753E">
        <w:rPr>
          <w:rFonts w:ascii="Arial" w:hAnsi="Arial" w:cs="Arial"/>
          <w:vertAlign w:val="subscript"/>
          <w:lang w:val="es-ES_tradnl"/>
        </w:rPr>
        <w:t>2</w:t>
      </w:r>
      <w:r w:rsidRPr="00924A53">
        <w:rPr>
          <w:rFonts w:ascii="Arial" w:hAnsi="Arial" w:cs="Arial"/>
          <w:lang w:val="es-ES_tradnl"/>
        </w:rPr>
        <w:t xml:space="preserve"> = 0Nm (en este instante el par de torsión es nulo en ambas articulaciones. Si continúan aumentando las variables articulares pasados </w:t>
      </w:r>
      <w:r>
        <w:rPr>
          <w:rFonts w:ascii="Arial" w:hAnsi="Arial" w:cs="Arial"/>
          <w:lang w:val="es-ES_tradnl"/>
        </w:rPr>
        <w:t xml:space="preserve">los 90º </w:t>
      </w:r>
      <w:r w:rsidRPr="00924A53">
        <w:rPr>
          <w:rFonts w:ascii="Arial" w:hAnsi="Arial" w:cs="Arial"/>
          <w:lang w:val="es-ES_tradnl"/>
        </w:rPr>
        <w:t>hasta los 180º en t = 200seg, ambos pares vuelven a crecer en su valor pero con signo contrario. Esto se debe a que ambos brazos tienden a caer por efecto gravitatorio; y debe graduar esa “caída” mediante los pares aplicados en las articulaciones para que el manipulador “baje” conforme a la trayectoria propuesta. Es decir, en t = 200seg es q</w:t>
      </w:r>
      <w:r w:rsidRPr="00B4753E">
        <w:rPr>
          <w:rFonts w:ascii="Arial" w:hAnsi="Arial" w:cs="Arial"/>
          <w:vertAlign w:val="subscript"/>
          <w:lang w:val="es-ES_tradnl"/>
        </w:rPr>
        <w:t>1</w:t>
      </w:r>
      <w:r w:rsidRPr="00924A53">
        <w:rPr>
          <w:rFonts w:ascii="Arial" w:hAnsi="Arial" w:cs="Arial"/>
          <w:lang w:val="es-ES_tradnl"/>
        </w:rPr>
        <w:t xml:space="preserve"> = q</w:t>
      </w:r>
      <w:r w:rsidRPr="00B4753E">
        <w:rPr>
          <w:rFonts w:ascii="Arial" w:hAnsi="Arial" w:cs="Arial"/>
          <w:vertAlign w:val="subscript"/>
          <w:lang w:val="es-ES_tradnl"/>
        </w:rPr>
        <w:t>2</w:t>
      </w:r>
      <w:r w:rsidRPr="00924A53">
        <w:rPr>
          <w:rFonts w:ascii="Arial" w:hAnsi="Arial" w:cs="Arial"/>
          <w:lang w:val="es-ES_tradnl"/>
        </w:rPr>
        <w:t xml:space="preserve"> = 180º (π) (ambos brazos estirados en forma horizontal, figura 10), τ</w:t>
      </w:r>
      <w:r w:rsidRPr="00B4753E">
        <w:rPr>
          <w:rFonts w:ascii="Arial" w:hAnsi="Arial" w:cs="Arial"/>
          <w:vertAlign w:val="subscript"/>
          <w:lang w:val="es-ES_tradnl"/>
        </w:rPr>
        <w:t>1</w:t>
      </w:r>
      <w:r w:rsidRPr="00924A53">
        <w:rPr>
          <w:rFonts w:ascii="Arial" w:hAnsi="Arial" w:cs="Arial"/>
          <w:lang w:val="es-ES_tradnl"/>
        </w:rPr>
        <w:t xml:space="preserve"> = -200Nm y τ</w:t>
      </w:r>
      <w:r w:rsidRPr="00B4753E">
        <w:rPr>
          <w:rFonts w:ascii="Arial" w:hAnsi="Arial" w:cs="Arial"/>
          <w:vertAlign w:val="subscript"/>
          <w:lang w:val="es-ES_tradnl"/>
        </w:rPr>
        <w:t>2</w:t>
      </w:r>
      <w:r w:rsidRPr="00924A53">
        <w:rPr>
          <w:rFonts w:ascii="Arial" w:hAnsi="Arial" w:cs="Arial"/>
          <w:lang w:val="es-ES_tradnl"/>
        </w:rPr>
        <w:t xml:space="preserve"> = -50Nm (requiriendo ambas articulaciones par máximo en este instante).</w:t>
      </w:r>
      <w:r>
        <w:rPr>
          <w:rFonts w:ascii="Arial" w:hAnsi="Arial" w:cs="Arial"/>
          <w:lang w:val="es-ES_tradnl"/>
        </w:rPr>
        <w:t xml:space="preserve"> Ver figura 8c.</w:t>
      </w:r>
    </w:p>
    <w:p w:rsidR="00874DD5" w:rsidRPr="00924A53" w:rsidRDefault="00874DD5" w:rsidP="00874DD5">
      <w:pPr>
        <w:ind w:firstLine="567"/>
        <w:jc w:val="both"/>
        <w:rPr>
          <w:rFonts w:ascii="Arial" w:hAnsi="Arial" w:cs="Arial"/>
          <w:lang w:val="es-AR"/>
        </w:rPr>
      </w:pPr>
      <w:r>
        <w:rPr>
          <w:noProof/>
          <w:lang w:val="en-US"/>
        </w:rPr>
        <mc:AlternateContent>
          <mc:Choice Requires="wpg">
            <w:drawing>
              <wp:anchor distT="0" distB="0" distL="114300" distR="114300" simplePos="0" relativeHeight="251814912" behindDoc="0" locked="0" layoutInCell="1" allowOverlap="1" wp14:anchorId="789746A8" wp14:editId="5E7E8D72">
                <wp:simplePos x="0" y="0"/>
                <wp:positionH relativeFrom="column">
                  <wp:posOffset>553085</wp:posOffset>
                </wp:positionH>
                <wp:positionV relativeFrom="paragraph">
                  <wp:posOffset>111760</wp:posOffset>
                </wp:positionV>
                <wp:extent cx="4900930" cy="1081405"/>
                <wp:effectExtent l="91440" t="25400" r="93980" b="0"/>
                <wp:wrapNone/>
                <wp:docPr id="2026623649" name="Grupo 2026623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0930" cy="1081405"/>
                          <a:chOff x="2289" y="12120"/>
                          <a:chExt cx="7718" cy="1703"/>
                        </a:xfrm>
                      </wpg:grpSpPr>
                      <wpg:grpSp>
                        <wpg:cNvPr id="2026623650" name="Group 492"/>
                        <wpg:cNvGrpSpPr>
                          <a:grpSpLocks/>
                        </wpg:cNvGrpSpPr>
                        <wpg:grpSpPr bwMode="auto">
                          <a:xfrm>
                            <a:off x="2289" y="12600"/>
                            <a:ext cx="1516" cy="677"/>
                            <a:chOff x="1672" y="12538"/>
                            <a:chExt cx="1516" cy="683"/>
                          </a:xfrm>
                        </wpg:grpSpPr>
                        <wps:wsp>
                          <wps:cNvPr id="2026623651" name="17 CuadroTexto"/>
                          <wps:cNvSpPr txBox="1">
                            <a:spLocks noChangeArrowheads="1"/>
                          </wps:cNvSpPr>
                          <wps:spPr bwMode="auto">
                            <a:xfrm>
                              <a:off x="1770" y="12840"/>
                              <a:ext cx="519"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1 </w:t>
                                </w:r>
                              </w:p>
                            </w:txbxContent>
                          </wps:txbx>
                          <wps:bodyPr rot="0" vert="horz" wrap="square" lIns="91440" tIns="45720" rIns="91440" bIns="45720" anchor="ctr" anchorCtr="0" upright="1">
                            <a:noAutofit/>
                          </wps:bodyPr>
                        </wps:wsp>
                        <wps:wsp>
                          <wps:cNvPr id="2026623652" name="17 CuadroTexto"/>
                          <wps:cNvSpPr txBox="1">
                            <a:spLocks noChangeArrowheads="1"/>
                          </wps:cNvSpPr>
                          <wps:spPr bwMode="auto">
                            <a:xfrm>
                              <a:off x="2521" y="12840"/>
                              <a:ext cx="519"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2 </w:t>
                                </w:r>
                              </w:p>
                            </w:txbxContent>
                          </wps:txbx>
                          <wps:bodyPr rot="0" vert="horz" wrap="square" lIns="91440" tIns="45720" rIns="91440" bIns="45720" anchor="ctr" anchorCtr="0" upright="1">
                            <a:noAutofit/>
                          </wps:bodyPr>
                        </wps:wsp>
                        <wps:wsp>
                          <wps:cNvPr id="2026623653" name="AutoShape 495"/>
                          <wps:cNvCnPr>
                            <a:cxnSpLocks noChangeShapeType="1"/>
                          </wps:cNvCnPr>
                          <wps:spPr bwMode="auto">
                            <a:xfrm>
                              <a:off x="1672" y="12538"/>
                              <a:ext cx="758" cy="2"/>
                            </a:xfrm>
                            <a:prstGeom prst="straightConnector1">
                              <a:avLst/>
                            </a:prstGeom>
                            <a:noFill/>
                            <a:ln w="38100">
                              <a:solidFill>
                                <a:srgbClr val="000000"/>
                              </a:solidFill>
                              <a:round/>
                              <a:headEnd type="oval" w="med" len="med"/>
                              <a:tailEnd type="oval" w="med" len="med"/>
                            </a:ln>
                            <a:extLst>
                              <a:ext uri="{909E8E84-426E-40DD-AFC4-6F175D3DCCD1}">
                                <a14:hiddenFill xmlns:a14="http://schemas.microsoft.com/office/drawing/2010/main">
                                  <a:noFill/>
                                </a14:hiddenFill>
                              </a:ext>
                            </a:extLst>
                          </wps:spPr>
                          <wps:bodyPr/>
                        </wps:wsp>
                        <wps:wsp>
                          <wps:cNvPr id="2026623654" name="AutoShape 496"/>
                          <wps:cNvCnPr>
                            <a:cxnSpLocks noChangeShapeType="1"/>
                          </wps:cNvCnPr>
                          <wps:spPr bwMode="auto">
                            <a:xfrm>
                              <a:off x="2521" y="12540"/>
                              <a:ext cx="667" cy="1"/>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grpSp>
                        <wpg:cNvPr id="2026623655" name="Group 497"/>
                        <wpg:cNvGrpSpPr>
                          <a:grpSpLocks/>
                        </wpg:cNvGrpSpPr>
                        <wpg:grpSpPr bwMode="auto">
                          <a:xfrm>
                            <a:off x="5985" y="12120"/>
                            <a:ext cx="856" cy="1462"/>
                            <a:chOff x="5953" y="12541"/>
                            <a:chExt cx="856" cy="1462"/>
                          </a:xfrm>
                        </wpg:grpSpPr>
                        <wps:wsp>
                          <wps:cNvPr id="2026623656" name="17 CuadroTexto"/>
                          <wps:cNvSpPr txBox="1">
                            <a:spLocks noChangeArrowheads="1"/>
                          </wps:cNvSpPr>
                          <wps:spPr bwMode="auto">
                            <a:xfrm>
                              <a:off x="6251" y="13419"/>
                              <a:ext cx="558"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1 </w:t>
                                </w:r>
                              </w:p>
                            </w:txbxContent>
                          </wps:txbx>
                          <wps:bodyPr rot="0" vert="horz" wrap="square" lIns="91440" tIns="45720" rIns="91440" bIns="45720" anchor="ctr" anchorCtr="0" upright="1">
                            <a:noAutofit/>
                          </wps:bodyPr>
                        </wps:wsp>
                        <wps:wsp>
                          <wps:cNvPr id="2026623657" name="17 CuadroTexto"/>
                          <wps:cNvSpPr txBox="1">
                            <a:spLocks noChangeArrowheads="1"/>
                          </wps:cNvSpPr>
                          <wps:spPr bwMode="auto">
                            <a:xfrm>
                              <a:off x="6251" y="12645"/>
                              <a:ext cx="558"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2 </w:t>
                                </w:r>
                              </w:p>
                            </w:txbxContent>
                          </wps:txbx>
                          <wps:bodyPr rot="0" vert="horz" wrap="square" lIns="91440" tIns="45720" rIns="91440" bIns="45720" anchor="ctr" anchorCtr="0" upright="1">
                            <a:noAutofit/>
                          </wps:bodyPr>
                        </wps:wsp>
                        <wps:wsp>
                          <wps:cNvPr id="2026623658" name="AutoShape 500"/>
                          <wps:cNvCnPr>
                            <a:cxnSpLocks noChangeShapeType="1"/>
                          </wps:cNvCnPr>
                          <wps:spPr bwMode="auto">
                            <a:xfrm flipV="1">
                              <a:off x="5953" y="13293"/>
                              <a:ext cx="0" cy="710"/>
                            </a:xfrm>
                            <a:prstGeom prst="straightConnector1">
                              <a:avLst/>
                            </a:prstGeom>
                            <a:noFill/>
                            <a:ln w="38100">
                              <a:solidFill>
                                <a:srgbClr val="000000"/>
                              </a:solidFill>
                              <a:round/>
                              <a:headEnd type="oval" w="med" len="med"/>
                              <a:tailEnd type="oval" w="med" len="med"/>
                            </a:ln>
                            <a:extLst>
                              <a:ext uri="{909E8E84-426E-40DD-AFC4-6F175D3DCCD1}">
                                <a14:hiddenFill xmlns:a14="http://schemas.microsoft.com/office/drawing/2010/main">
                                  <a:noFill/>
                                </a14:hiddenFill>
                              </a:ext>
                            </a:extLst>
                          </wps:spPr>
                          <wps:bodyPr/>
                        </wps:wsp>
                        <wps:wsp>
                          <wps:cNvPr id="2026623659" name="AutoShape 501"/>
                          <wps:cNvCnPr>
                            <a:cxnSpLocks noChangeShapeType="1"/>
                          </wps:cNvCnPr>
                          <wps:spPr bwMode="auto">
                            <a:xfrm flipV="1">
                              <a:off x="5953" y="12541"/>
                              <a:ext cx="1" cy="75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grpSp>
                        <wpg:cNvPr id="2026623660" name="Group 502"/>
                        <wpg:cNvGrpSpPr>
                          <a:grpSpLocks/>
                        </wpg:cNvGrpSpPr>
                        <wpg:grpSpPr bwMode="auto">
                          <a:xfrm>
                            <a:off x="8492" y="12499"/>
                            <a:ext cx="1515" cy="778"/>
                            <a:chOff x="7658" y="12720"/>
                            <a:chExt cx="1515" cy="648"/>
                          </a:xfrm>
                        </wpg:grpSpPr>
                        <wps:wsp>
                          <wps:cNvPr id="2026623661" name="AutoShape 503"/>
                          <wps:cNvCnPr>
                            <a:cxnSpLocks noChangeShapeType="1"/>
                          </wps:cNvCnPr>
                          <wps:spPr bwMode="auto">
                            <a:xfrm flipV="1">
                              <a:off x="8415" y="12720"/>
                              <a:ext cx="758" cy="2"/>
                            </a:xfrm>
                            <a:prstGeom prst="straightConnector1">
                              <a:avLst/>
                            </a:prstGeom>
                            <a:noFill/>
                            <a:ln w="38100">
                              <a:solidFill>
                                <a:srgbClr val="000000"/>
                              </a:solidFill>
                              <a:round/>
                              <a:headEnd type="oval" w="med" len="med"/>
                              <a:tailEnd type="oval" w="med" len="med"/>
                            </a:ln>
                            <a:extLst>
                              <a:ext uri="{909E8E84-426E-40DD-AFC4-6F175D3DCCD1}">
                                <a14:hiddenFill xmlns:a14="http://schemas.microsoft.com/office/drawing/2010/main">
                                  <a:noFill/>
                                </a14:hiddenFill>
                              </a:ext>
                            </a:extLst>
                          </wps:spPr>
                          <wps:bodyPr/>
                        </wps:wsp>
                        <wps:wsp>
                          <wps:cNvPr id="2026623662" name="AutoShape 504"/>
                          <wps:cNvCnPr>
                            <a:cxnSpLocks noChangeShapeType="1"/>
                          </wps:cNvCnPr>
                          <wps:spPr bwMode="auto">
                            <a:xfrm flipV="1">
                              <a:off x="7658" y="12724"/>
                              <a:ext cx="667" cy="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026623663" name="17 CuadroTexto"/>
                          <wps:cNvSpPr txBox="1">
                            <a:spLocks noChangeArrowheads="1"/>
                          </wps:cNvSpPr>
                          <wps:spPr bwMode="auto">
                            <a:xfrm>
                              <a:off x="8516" y="13007"/>
                              <a:ext cx="558"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1 </w:t>
                                </w:r>
                              </w:p>
                            </w:txbxContent>
                          </wps:txbx>
                          <wps:bodyPr rot="0" vert="horz" wrap="square" lIns="91440" tIns="45720" rIns="91440" bIns="45720" anchor="ctr" anchorCtr="0" upright="1">
                            <a:noAutofit/>
                          </wps:bodyPr>
                        </wps:wsp>
                        <wps:wsp>
                          <wps:cNvPr id="2026623664" name="17 CuadroTexto"/>
                          <wps:cNvSpPr txBox="1">
                            <a:spLocks noChangeArrowheads="1"/>
                          </wps:cNvSpPr>
                          <wps:spPr bwMode="auto">
                            <a:xfrm>
                              <a:off x="7767" y="13006"/>
                              <a:ext cx="558"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2 </w:t>
                                </w:r>
                              </w:p>
                            </w:txbxContent>
                          </wps:txbx>
                          <wps:bodyPr rot="0" vert="horz" wrap="square" lIns="91440" tIns="45720" rIns="91440" bIns="45720" anchor="ctr" anchorCtr="0" upright="1">
                            <a:noAutofit/>
                          </wps:bodyPr>
                        </wps:wsp>
                      </wpg:grpSp>
                      <wps:wsp>
                        <wps:cNvPr id="2026623665" name="Text Box 507"/>
                        <wps:cNvSpPr txBox="1">
                          <a:spLocks noChangeArrowheads="1"/>
                        </wps:cNvSpPr>
                        <wps:spPr bwMode="auto">
                          <a:xfrm>
                            <a:off x="2646" y="13403"/>
                            <a:ext cx="729"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20C0F" w:rsidRPr="00504390" w:rsidRDefault="00C20C0F" w:rsidP="00874DD5">
                              <w:pPr>
                                <w:jc w:val="center"/>
                                <w:rPr>
                                  <w:rFonts w:ascii="Calibri" w:hAnsi="Calibri" w:cs="Calibri"/>
                                  <w:sz w:val="20"/>
                                  <w:szCs w:val="20"/>
                                  <w:lang w:val="es-AR"/>
                                </w:rPr>
                              </w:pPr>
                              <w:r w:rsidRPr="00504390">
                                <w:rPr>
                                  <w:rFonts w:ascii="Calibri" w:hAnsi="Calibri" w:cs="Calibri"/>
                                  <w:sz w:val="20"/>
                                  <w:szCs w:val="20"/>
                                  <w:lang w:val="es-AR"/>
                                </w:rPr>
                                <w:t>(a)</w:t>
                              </w:r>
                            </w:p>
                          </w:txbxContent>
                        </wps:txbx>
                        <wps:bodyPr rot="0" vert="horz" wrap="square" lIns="91440" tIns="45720" rIns="91440" bIns="45720" anchor="t" anchorCtr="0" upright="1">
                          <a:noAutofit/>
                        </wps:bodyPr>
                      </wps:wsp>
                      <wps:wsp>
                        <wps:cNvPr id="2026623666" name="Text Box 508"/>
                        <wps:cNvSpPr txBox="1">
                          <a:spLocks noChangeArrowheads="1"/>
                        </wps:cNvSpPr>
                        <wps:spPr bwMode="auto">
                          <a:xfrm>
                            <a:off x="6841" y="13359"/>
                            <a:ext cx="729"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20C0F" w:rsidRPr="00903888" w:rsidRDefault="00C20C0F" w:rsidP="00874DD5">
                              <w:pPr>
                                <w:jc w:val="center"/>
                                <w:rPr>
                                  <w:rFonts w:ascii="Calibri" w:hAnsi="Calibri" w:cs="Calibri"/>
                                  <w:sz w:val="20"/>
                                  <w:szCs w:val="20"/>
                                  <w:lang w:val="es-AR"/>
                                </w:rPr>
                              </w:pPr>
                              <w:r w:rsidRPr="00903888">
                                <w:rPr>
                                  <w:rFonts w:ascii="Calibri" w:hAnsi="Calibri" w:cs="Calibri"/>
                                  <w:sz w:val="20"/>
                                  <w:szCs w:val="20"/>
                                  <w:lang w:val="es-AR"/>
                                </w:rPr>
                                <w:t>(</w:t>
                              </w:r>
                              <w:r>
                                <w:rPr>
                                  <w:rFonts w:ascii="Calibri" w:hAnsi="Calibri" w:cs="Calibri"/>
                                  <w:sz w:val="20"/>
                                  <w:szCs w:val="20"/>
                                  <w:lang w:val="es-AR"/>
                                </w:rPr>
                                <w:t>b</w:t>
                              </w:r>
                              <w:r w:rsidRPr="00903888">
                                <w:rPr>
                                  <w:rFonts w:ascii="Calibri" w:hAnsi="Calibri" w:cs="Calibri"/>
                                  <w:sz w:val="20"/>
                                  <w:szCs w:val="20"/>
                                  <w:lang w:val="es-AR"/>
                                </w:rPr>
                                <w:t>)</w:t>
                              </w:r>
                            </w:p>
                          </w:txbxContent>
                        </wps:txbx>
                        <wps:bodyPr rot="0" vert="horz" wrap="square" lIns="91440" tIns="45720" rIns="91440" bIns="45720" anchor="t" anchorCtr="0" upright="1">
                          <a:noAutofit/>
                        </wps:bodyPr>
                      </wps:wsp>
                      <wps:wsp>
                        <wps:cNvPr id="2026623667" name="Text Box 509"/>
                        <wps:cNvSpPr txBox="1">
                          <a:spLocks noChangeArrowheads="1"/>
                        </wps:cNvSpPr>
                        <wps:spPr bwMode="auto">
                          <a:xfrm>
                            <a:off x="9179" y="13359"/>
                            <a:ext cx="729"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20C0F" w:rsidRPr="00991E54" w:rsidRDefault="00C20C0F" w:rsidP="00874DD5">
                              <w:pPr>
                                <w:jc w:val="center"/>
                                <w:rPr>
                                  <w:rFonts w:ascii="Calibri" w:hAnsi="Calibri" w:cs="Calibri"/>
                                  <w:sz w:val="20"/>
                                  <w:szCs w:val="20"/>
                                  <w:lang w:val="es-AR"/>
                                </w:rPr>
                              </w:pPr>
                              <w:r w:rsidRPr="00991E54">
                                <w:rPr>
                                  <w:rFonts w:ascii="Calibri" w:hAnsi="Calibri" w:cs="Calibri"/>
                                  <w:sz w:val="20"/>
                                  <w:szCs w:val="20"/>
                                  <w:lang w:val="es-AR"/>
                                </w:rPr>
                                <w:t>(</w:t>
                              </w:r>
                              <w:r>
                                <w:rPr>
                                  <w:rFonts w:ascii="Calibri" w:hAnsi="Calibri" w:cs="Calibri"/>
                                  <w:sz w:val="20"/>
                                  <w:szCs w:val="20"/>
                                  <w:lang w:val="es-AR"/>
                                </w:rPr>
                                <w:t>c</w:t>
                              </w:r>
                              <w:r w:rsidRPr="00991E54">
                                <w:rPr>
                                  <w:rFonts w:ascii="Calibri" w:hAnsi="Calibri" w:cs="Calibri"/>
                                  <w:sz w:val="20"/>
                                  <w:szCs w:val="20"/>
                                  <w:lang w:val="es-AR"/>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9746A8" id="Grupo 2026623649" o:spid="_x0000_s1132" style="position:absolute;left:0;text-align:left;margin-left:43.55pt;margin-top:8.8pt;width:385.9pt;height:85.15pt;z-index:251814912" coordorigin="2289,12120" coordsize="7718,1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BV2FgcAAM47AAAOAAAAZHJzL2Uyb0RvYy54bWzsW1tv2zYUfh+w/0Do3bUu1BV1itaOgwHd&#10;VqDd3hlJtoXJokbJsdNh/32HF1Gy4jZBmigOpjwElihS5OHhd75z0dt3h22OblJWZbSYGdYb00Bp&#10;EdMkK9Yz448vy0lgoKomRUJyWqQz4zatjHcXP//0dl9GqU03NE9ShmCQoor25czY1HUZTadVvEm3&#10;pHpDy7SAxhVlW1LDJVtPE0b2MPo2n9qm6U33lCUlo3FaVXB3IRuNCzH+apXG9e+rVZXWKJ8ZMLda&#10;/Gfi/zX/P714S6I1I+Umi9U0yCNmsSVZAS/VQy1ITdCOZXeG2mYxoxVd1W9iup3S1SqLU7EGWI1l&#10;9lZzxeiuFGtZR/t1qcUEou3J6dHDxr/dfGIoS2aGbdqeZzseDg1UkC3s1RXblRR17oOw9uU6gj5X&#10;rPxcfmJyxfDzI43/qqB52m/n12v5MLre/0oTGJfsaiqEdVixLR8CxIAOYk9u9Z6khxrFcBOHphk6&#10;sHUxtFlmYGHTlbsWb2BreT/bDmDOvNm2bLWl8eZSDeD7Fuig6O2bDu86JZF8s5itmp1cmrjQq+xJ&#10;xoVZNJKBjUE4tPlw/SVzJXgqkXSW5plqaY1kLNfy5MI83++JxPJ8W4nEdYKmsRFJp2fwfYnAoaxa&#10;vat+TO8+b0iZCnWuuA71pWs10rV8NN+RhNEvsFQqRSx6cJVD9eEDhU23hAZVUvNQQecbUqzT94zR&#10;/SYlCUzV4j1hi3VXvlVVVPFB7lNFy/dhs4VKBbgnd9cCbeP65ATyFY06kahkVX2V0i3iP2YGA/gR&#10;0yQ3H6taal7zCNf7gi6zPIf7JMqLoxugovIOSAC68ja+7QJR/gnN8DK4DPAE297lBJuLxeT9co4n&#10;3tLy3YWzmM8X1r/8vRaONlmSpAV/TYNuFn7YLiqclbik8a2ieZbw4fiUKra+nucM3RBA16X4EzKH&#10;lvax6fE0xPGDtfSWZNnY/GCHk6UX+BO8xO4k9M1gYlrhh9AzcYgXy+MlfcyK9MeXhPagJ6EJJ1us&#10;p511b3Gm+Lu7OBJtsxoMWJ5tZ0agHyIR18HLIhF7W5Msl787suDzb2UB+93stNBYrqRSXevD9UHi&#10;s4A9rsHXNLkFHWYUVAy0FKwv/NhQ9tVAe7BkM6P6e0dYaqD8lwLOQWhhUGFUiwvs+gCRiHVbrrst&#10;pIhhqJkR18xA8mJeS4O5K1m23sC75Nkr6HsA8lUmFLudlzpzgBtyAcMBCCCehOczABDbtQHPRgAp&#10;1iOAcHQ8BwDxGlM6AogkBX0G4jQAwoFNsBXgeBp2gbLMC8l540OhOK9mHuLxL7cl8Nsj4iG7PJx4&#10;nCBu3PJzKuy7isgK2qlZ7B3aUdWMcKCe06IABkKZxOuHkBBuD4HWANV8rD0El0WZPWUCUS2EQoEk&#10;gH2aGds0AcuUgrfIf3UN5L1Pni0r0kSuY+AlSZKGvTH0gsr1DLw8jJwcciV5AbOJT2m9xopBtL5j&#10;Ld0+3fY8X7lvin41XmPDpBXZPi+t7+o139tz5fNPrLmgw8rfl37x9/1pt9E8EegArBVu7HP6024Y&#10;wEuPQwUNvAaucqct7AmEJZEOMbihC8ZB9HOxwHfeeKmA+U5Pjc2tPBo+PxwdhtWcDR32bFfRYQeD&#10;+yxORyN3tzFrjjf606M/PZg/rcBm9KdFWOxEQA7s7hkCiO1hFQA+ASD3MOMxIAdxu29y1KMY4xiQ&#10;A/U6xdfbgJyIq7eBrzEg1/enwV2VANL6067MYnCpPZ9ngVZ5Vv7ZxClVdqmlcI4diqyH1HfuWUNE&#10;lAf0fUuE+jV7Gz1rnsF80XzDE/snysXWmdTnzWjpTGpX/wXHfVH9t7UL01hQ4OZC/9177OfoY+vK&#10;hJMZ99M5syfW4danfICP7QG0SQyWPrZrii1+Th874Hlx6SvjsOfrQeYZ/G+ha75OS6s0vu9xR1D4&#10;2DxHJXzE1sdue3pY9NQo3cpjcB8bHNYTFk4Ylxc44QHmwj0WYHPCx9jx/yQCN6iFgzjZCf3H/Oy+&#10;gP4fAYiYRMvwdBR5tHDPUBXyxBZuWB3WWb8zKBsIRE0Xh3DHNFVRVwPhY5x0rDtqa6+GqzsSFI4f&#10;ybFs4GTZgKcTqGcAIL7P06UKQEQSt7WBHQC5xwqOcdIxTgr1nU9TuAjF24oPvh4AaX3KgYsYPZ0T&#10;58XPCEqdkSuJgCLUw9VAQ6IFUsgCSrAsnG+hxLdVDTSWnrp2xu+ETO+Dkk6lcK/m9lsFxY0j1yGd&#10;3yuWfsFERuja7qMLqQYz8I6OSA5yPutXVlbs6TqKzonUqR9IYgx3Ij2I8KgT6bi9yNp4Io+/qbob&#10;iuXFh6/kRKoY7UCU+9WdSF2Y0DmR2ksZ9ESGlq8+PXPGE9l+tvnA5MgrOpE6pv9abKRgsPDRqKg9&#10;VR+48q9Su9fwu/sZ7sV/AAAA//8DAFBLAwQUAAYACAAAACEAUIA3meAAAAAJAQAADwAAAGRycy9k&#10;b3ducmV2LnhtbEyPQUvDQBCF74L/YRnBm91EaZOm2ZRS1FMRbAXpbZudJqHZ2ZDdJum/dzzpcd57&#10;vPlevp5sKwbsfeNIQTyLQCCVzjRUKfg6vD2lIHzQZHTrCBXc0MO6uL/LdWbcSJ847EMluIR8phXU&#10;IXSZlL6s0Wo/cx0Se2fXWx347Ctpej1yuW3lcxQtpNUN8Ydad7itsbzsr1bB+6jHzUv8Ouwu5+3t&#10;eJh/fO9iVOrxYdqsQAScwl8YfvEZHQpmOrkrGS9aBWkSc5L1ZAGC/XSeLkGcWEiTJcgil/8XFD8A&#10;AAD//wMAUEsBAi0AFAAGAAgAAAAhALaDOJL+AAAA4QEAABMAAAAAAAAAAAAAAAAAAAAAAFtDb250&#10;ZW50X1R5cGVzXS54bWxQSwECLQAUAAYACAAAACEAOP0h/9YAAACUAQAACwAAAAAAAAAAAAAAAAAv&#10;AQAAX3JlbHMvLnJlbHNQSwECLQAUAAYACAAAACEAoYgVdhYHAADOOwAADgAAAAAAAAAAAAAAAAAu&#10;AgAAZHJzL2Uyb0RvYy54bWxQSwECLQAUAAYACAAAACEAUIA3meAAAAAJAQAADwAAAAAAAAAAAAAA&#10;AABwCQAAZHJzL2Rvd25yZXYueG1sUEsFBgAAAAAEAAQA8wAAAH0KAAAAAA==&#10;">
                <v:group id="Group 492" o:spid="_x0000_s1133" style="position:absolute;left:2289;top:12600;width:1516;height:677" coordorigin="1672,12538" coordsize="1516,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cRYyQAAAOMAAAAPAAAAZHJzL2Rvd25yZXYueG1sRI/NisIw&#10;FIX3A/MO4Q64G9NWLEPHKCKjuBBBHRB3l+baFpub0sS2vr1ZCC4P549vthhMLTpqXWVZQTyOQBDn&#10;VldcKPg/rb9/QDiPrLG2TAoe5GAx//yYYaZtzwfqjr4QYYRdhgpK75tMSpeXZNCNbUMcvKttDfog&#10;20LqFvswbmqZRFEqDVYcHkpsaFVSfjvejYJNj/1yEv91u9t19bicpvvzLialRl/D8heEp8G/w6/2&#10;VitIoiRNk0k6DRSBKfCAnD8BAAD//wMAUEsBAi0AFAAGAAgAAAAhANvh9svuAAAAhQEAABMAAAAA&#10;AAAAAAAAAAAAAAAAAFtDb250ZW50X1R5cGVzXS54bWxQSwECLQAUAAYACAAAACEAWvQsW78AAAAV&#10;AQAACwAAAAAAAAAAAAAAAAAfAQAAX3JlbHMvLnJlbHNQSwECLQAUAAYACAAAACEAB7XEWMkAAADj&#10;AAAADwAAAAAAAAAAAAAAAAAHAgAAZHJzL2Rvd25yZXYueG1sUEsFBgAAAAADAAMAtwAAAP0CAAAA&#10;AA==&#10;">
                  <v:shape id="17 CuadroTexto" o:spid="_x0000_s1134" type="#_x0000_t202" style="position:absolute;left:1770;top:12840;width:519;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Eb5zAAAAOMAAAAPAAAAZHJzL2Rvd25yZXYueG1sRI/dSgMx&#10;FITvBd8hHME7m3SroWyblqKIghbatZZeHjZnf+gmWZK4Xd/eCIKXw8x8wyzXo+nYQD60ziqYTgQw&#10;sqXTra0VHD6e7+bAQkSrsXOWFHxTgPXq+mqJuXYXu6ehiDVLEBtyVNDE2Oech7Ihg2HierLJq5w3&#10;GJP0NdceLwluOp4JIbnB1qaFBnt6bKg8F19GgXyab++H7dvs6N9fdqdTdfisCqHU7c24WQCLNMb/&#10;8F/7VSvIRCZlNpMPU/j9lP4AX/0AAAD//wMAUEsBAi0AFAAGAAgAAAAhANvh9svuAAAAhQEAABMA&#10;AAAAAAAAAAAAAAAAAAAAAFtDb250ZW50X1R5cGVzXS54bWxQSwECLQAUAAYACAAAACEAWvQsW78A&#10;AAAVAQAACwAAAAAAAAAAAAAAAAAfAQAAX3JlbHMvLnJlbHNQSwECLQAUAAYACAAAACEAkYRG+cwA&#10;AADjAAAADwAAAAAAAAAAAAAAAAAHAgAAZHJzL2Rvd25yZXYueG1sUEsFBgAAAAADAAMAtwAAAAAD&#10;AAAAAA==&#10;" filled="f" stroked="f" strokeweight="1.5pt">
                    <v:textbo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1 </w:t>
                          </w:r>
                        </w:p>
                      </w:txbxContent>
                    </v:textbox>
                  </v:shape>
                  <v:shape id="17 CuadroTexto" o:spid="_x0000_s1135" type="#_x0000_t202" style="position:absolute;left:2521;top:12840;width:519;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tiOywAAAOMAAAAPAAAAZHJzL2Rvd25yZXYueG1sRI/dSgMx&#10;FITvBd8hHME7m5hqKGvTIoooaEHXtvQybM7+4OZkSeJ2fXtTELwcZuYbZrmeXM9GDLHzpOF6JoAh&#10;Vd521GjYfj5dLYDFZMia3hNq+MEI69X52dIU1h/pA8cyNSxDKBZGQ5vSUHAeqxadiTM/IGWv9sGZ&#10;lGVouA3mmOGu51IIxZ3pKC+0ZsCHFquv8ttpUI+Lzc24eZ3vw9vz++FQb3d1KbS+vJju74AlnNJ/&#10;+K/9YjVIIZWSc3Ur4fQp/wG++gUAAP//AwBQSwECLQAUAAYACAAAACEA2+H2y+4AAACFAQAAEwAA&#10;AAAAAAAAAAAAAAAAAAAAW0NvbnRlbnRfVHlwZXNdLnhtbFBLAQItABQABgAIAAAAIQBa9CxbvwAA&#10;ABUBAAALAAAAAAAAAAAAAAAAAB8BAABfcmVscy8ucmVsc1BLAQItABQABgAIAAAAIQBhVtiOywAA&#10;AOMAAAAPAAAAAAAAAAAAAAAAAAcCAABkcnMvZG93bnJldi54bWxQSwUGAAAAAAMAAwC3AAAA/wIA&#10;AAAA&#10;" filled="f" stroked="f" strokeweight="1.5pt">
                    <v:textbo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2 </w:t>
                          </w:r>
                        </w:p>
                      </w:txbxContent>
                    </v:textbox>
                  </v:shape>
                  <v:shape id="AutoShape 495" o:spid="_x0000_s1136" type="#_x0000_t32" style="position:absolute;left:1672;top:12538;width:758;height: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SETygAAAOMAAAAPAAAAZHJzL2Rvd25yZXYueG1sRI9Ba8JA&#10;FITvhf6H5RW81U03NpToKqVo8VAKRqHXR/aZxGbfhuyq23/fLRQ8DjPzDbNYRduLC42+c6zhaZqB&#10;IK6d6bjRcNhvHl9A+IBssHdMGn7Iw2p5f7fA0rgr7+hShUYkCPsSNbQhDKWUvm7Jop+6gTh5Rzda&#10;DEmOjTQjXhPc9lJlWSEtdpwWWhzoraX6uzrbRJmt8+OHev8aTg3GfGeoiu5T68lDfJ2DCBTDLfzf&#10;3hoNKlNFofLiOYe/T+kPyOUvAAAA//8DAFBLAQItABQABgAIAAAAIQDb4fbL7gAAAIUBAAATAAAA&#10;AAAAAAAAAAAAAAAAAABbQ29udGVudF9UeXBlc10ueG1sUEsBAi0AFAAGAAgAAAAhAFr0LFu/AAAA&#10;FQEAAAsAAAAAAAAAAAAAAAAAHwEAAF9yZWxzLy5yZWxzUEsBAi0AFAAGAAgAAAAhAJKBIRPKAAAA&#10;4wAAAA8AAAAAAAAAAAAAAAAABwIAAGRycy9kb3ducmV2LnhtbFBLBQYAAAAAAwADALcAAAD+AgAA&#10;AAA=&#10;" strokeweight="3pt">
                    <v:stroke startarrow="oval" endarrow="oval"/>
                  </v:shape>
                  <v:shape id="AutoShape 496" o:spid="_x0000_s1137" type="#_x0000_t32" style="position:absolute;left:2521;top:12540;width:66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j91ywAAAOMAAAAPAAAAZHJzL2Rvd25yZXYueG1sRI9Ba8JA&#10;FITvgv9heUJvummqQVJX0WLBQw82Ss+P7GsSk32bZrcm7a/vCkKPw8x8w6w2g2nElTpXWVbwOItA&#10;EOdWV1woOJ9ep0sQziNrbCyTgh9ysFmPRytMte35na6ZL0SAsEtRQel9m0rp8pIMupltiYP3aTuD&#10;PsiukLrDPsBNI+MoSqTBisNCiS29lJTX2bdRcBmkbfuv/f6tuHzUuyW6+vjrlHqYDNtnEJ4G/x++&#10;tw9aQRzFSRI/JYs53D6FPyDXfwAAAP//AwBQSwECLQAUAAYACAAAACEA2+H2y+4AAACFAQAAEwAA&#10;AAAAAAAAAAAAAAAAAAAAW0NvbnRlbnRfVHlwZXNdLnhtbFBLAQItABQABgAIAAAAIQBa9CxbvwAA&#10;ABUBAAALAAAAAAAAAAAAAAAAAB8BAABfcmVscy8ucmVsc1BLAQItABQABgAIAAAAIQB7zj91ywAA&#10;AOMAAAAPAAAAAAAAAAAAAAAAAAcCAABkcnMvZG93bnJldi54bWxQSwUGAAAAAAMAAwC3AAAA/wIA&#10;AAAA&#10;" strokeweight="3pt"/>
                </v:group>
                <v:group id="Group 497" o:spid="_x0000_s1138" style="position:absolute;left:5985;top:12120;width:856;height:1462" coordorigin="5953,12541" coordsize="856,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mfAywAAAOMAAAAPAAAAZHJzL2Rvd25yZXYueG1sRI9Ba8JA&#10;FITvgv9heUJvukkkQaKriLSlBymoheLtkX0mwezbkN0m8d93CwWPw8x8w2x2o2lET52rLSuIFxEI&#10;4sLqmksFX5e3+QqE88gaG8uk4EEOdtvpZIO5tgOfqD/7UgQIuxwVVN63uZSuqMigW9iWOHg32xn0&#10;QXal1B0OAW4amURRJg3WHBYqbOlQUXE//xgF7wMO+2X82h/vt8Pjekk/v48xKfUyG/drEJ5G/wz/&#10;tz+0giRKsixZZmkKf5/CH5DbXwAAAP//AwBQSwECLQAUAAYACAAAACEA2+H2y+4AAACFAQAAEwAA&#10;AAAAAAAAAAAAAAAAAAAAW0NvbnRlbnRfVHlwZXNdLnhtbFBLAQItABQABgAIAAAAIQBa9CxbvwAA&#10;ABUBAAALAAAAAAAAAAAAAAAAAB8BAABfcmVscy8ucmVsc1BLAQItABQABgAIAAAAIQAXwmfAywAA&#10;AOMAAAAPAAAAAAAAAAAAAAAAAAcCAABkcnMvZG93bnJldi54bWxQSwUGAAAAAAMAAwC3AAAA/wIA&#10;AAAA&#10;">
                  <v:shape id="17 CuadroTexto" o:spid="_x0000_s1139" type="#_x0000_t202" style="position:absolute;left:6251;top:13419;width:558;height:3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d6NzAAAAOMAAAAPAAAAZHJzL2Rvd25yZXYueG1sRI/dSgMx&#10;FITvhb5DOAXvbOJWQ1mblqKIghZ0bUsvw+bsD92cLEncrm9vCoKXw8x8wyzXo+3YgD60jhTczgQw&#10;pNKZlmoFu6/nmwWwEDUZ3TlCBT8YYL2aXC11btyZPnEoYs0ShEKuFTQx9jnnoWzQ6jBzPVLyKuet&#10;jkn6mhuvzwluO54JIbnVLaWFRvf42GB5Kr6tAvm02N4N27f5wb+/fByP1W5fFUKp6+m4eQAWcYz/&#10;4b/2q1GQiUzKbC7vJVw+pT/AV78AAAD//wMAUEsBAi0AFAAGAAgAAAAhANvh9svuAAAAhQEAABMA&#10;AAAAAAAAAAAAAAAAAAAAAFtDb250ZW50X1R5cGVzXS54bWxQSwECLQAUAAYACAAAACEAWvQsW78A&#10;AAAVAQAACwAAAAAAAAAAAAAAAAAfAQAAX3JlbHMvLnJlbHNQSwECLQAUAAYACAAAACEAHm3ejcwA&#10;AADjAAAADwAAAAAAAAAAAAAAAAAHAgAAZHJzL2Rvd25yZXYueG1sUEsFBgAAAAADAAMAtwAAAAAD&#10;AAAAAA==&#10;" filled="f" stroked="f" strokeweight="1.5pt">
                    <v:textbo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1 </w:t>
                          </w:r>
                        </w:p>
                      </w:txbxContent>
                    </v:textbox>
                  </v:shape>
                  <v:shape id="17 CuadroTexto" o:spid="_x0000_s1140" type="#_x0000_t202" style="position:absolute;left:6251;top:12645;width:558;height: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XsWzAAAAOMAAAAPAAAAZHJzL2Rvd25yZXYueG1sRI/dSgMx&#10;FITvBd8hnELvbNKtxrI2LWIRBS3otpVeHjZnf3CTLEncrm9vBMHLYWa+YVab0XRsIB9aZxXMZwIY&#10;2dLp1tYKDvvHqyWwENFq7JwlBd8UYLO+vFhhrt3ZvtNQxJoliA05Kmhi7HPOQ9mQwTBzPdnkVc4b&#10;jEn6mmuP5wQ3Hc+EkNxga9NCgz09NFR+Fl9Ggdwud9fD7mXx4V+f3k6n6nCsCqHUdDLe3wGLNMb/&#10;8F/7WSvIRCZltpA3t/D7Kf0Bvv4BAAD//wMAUEsBAi0AFAAGAAgAAAAhANvh9svuAAAAhQEAABMA&#10;AAAAAAAAAAAAAAAAAAAAAFtDb250ZW50X1R5cGVzXS54bWxQSwECLQAUAAYACAAAACEAWvQsW78A&#10;AAAVAQAACwAAAAAAAAAAAAAAAAAfAQAAX3JlbHMvLnJlbHNQSwECLQAUAAYACAAAACEAcSF7FswA&#10;AADjAAAADwAAAAAAAAAAAAAAAAAHAgAAZHJzL2Rvd25yZXYueG1sUEsFBgAAAAADAAMAtwAAAAAD&#10;AAAAAA==&#10;" filled="f" stroked="f" strokeweight="1.5pt">
                    <v:textbo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2 </w:t>
                          </w:r>
                        </w:p>
                      </w:txbxContent>
                    </v:textbox>
                  </v:shape>
                  <v:shape id="AutoShape 500" o:spid="_x0000_s1141" type="#_x0000_t32" style="position:absolute;left:5953;top:13293;width:0;height:7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T6FyQAAAOMAAAAPAAAAZHJzL2Rvd25yZXYueG1sRE/PS8Mw&#10;FL4L/g/hDby5dBXr6JYNFXTDnaxD5+3RPNtq8xKT2FX/enMQPH58v5fr0fRiIB86ywpm0wwEcW11&#10;x42C/dPd+RxEiMgae8uk4JsCrFenJ0sstT3yIw1VbEQK4VCigjZGV0oZ6pYMhql1xIl7s95gTNA3&#10;Uns8pnDTyzzLCmmw49TQoqPbluqP6ssoeHH2yju/Gd5fN5/b6vDzfLN7uFfqbDJeL0BEGuO/+M+9&#10;1QryLC+K/KK4TKPTp/QH5OoXAAD//wMAUEsBAi0AFAAGAAgAAAAhANvh9svuAAAAhQEAABMAAAAA&#10;AAAAAAAAAAAAAAAAAFtDb250ZW50X1R5cGVzXS54bWxQSwECLQAUAAYACAAAACEAWvQsW78AAAAV&#10;AQAACwAAAAAAAAAAAAAAAAAfAQAAX3JlbHMvLnJlbHNQSwECLQAUAAYACAAAACEA76k+hckAAADj&#10;AAAADwAAAAAAAAAAAAAAAAAHAgAAZHJzL2Rvd25yZXYueG1sUEsFBgAAAAADAAMAtwAAAP0CAAAA&#10;AA==&#10;" strokeweight="3pt">
                    <v:stroke startarrow="oval" endarrow="oval"/>
                  </v:shape>
                  <v:shape id="AutoShape 501" o:spid="_x0000_s1142" type="#_x0000_t32" style="position:absolute;left:5953;top:12541;width:1;height:7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s/zQAAAOMAAAAPAAAAZHJzL2Rvd25yZXYueG1sRI9Ba8JA&#10;FITvBf/D8gq91d1GGtvUVaRSECtITaH09sg+k9js25BdNfbXdwWhx2FmvmEms9424kidrx1reBgq&#10;EMSFMzWXGj7zt/snED4gG2wck4YzeZhNBzcTzIw78Qcdt6EUEcI+Qw1VCG0mpS8qsuiHriWO3s51&#10;FkOUXSlNh6cIt41MlEqlxZrjQoUtvVZU/GwPNlLUap6r/Puw3HytNr/r3WL8Xuy1vrvt5y8gAvXh&#10;P3xtL42GRCVpmozSx2e4fIp/QE7/AAAA//8DAFBLAQItABQABgAIAAAAIQDb4fbL7gAAAIUBAAAT&#10;AAAAAAAAAAAAAAAAAAAAAABbQ29udGVudF9UeXBlc10ueG1sUEsBAi0AFAAGAAgAAAAhAFr0LFu/&#10;AAAAFQEAAAsAAAAAAAAAAAAAAAAAHwEAAF9yZWxzLy5yZWxzUEsBAi0AFAAGAAgAAAAhAD+BKz/N&#10;AAAA4wAAAA8AAAAAAAAAAAAAAAAABwIAAGRycy9kb3ducmV2LnhtbFBLBQYAAAAAAwADALcAAAAB&#10;AwAAAAA=&#10;" strokeweight="3pt"/>
                </v:group>
                <v:group id="Group 502" o:spid="_x0000_s1143" style="position:absolute;left:8492;top:12499;width:1515;height:778" coordorigin="7658,12720" coordsize="151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Q7lyQAAAOMAAAAPAAAAZHJzL2Rvd25yZXYueG1sRI/NasJA&#10;FIX3gu8wXKE7nSTiIKmjiLSlCymohdLdJXNNgpk7ITNN4ts7i4LLw/nj2+xG24ieOl871pAuEhDE&#10;hTM1lxq+L+/zNQgfkA02jknDnTzsttPJBnPjBj5Rfw6liCPsc9RQhdDmUvqiIot+4Vri6F1dZzFE&#10;2ZXSdDjEcdvILEmUtFhzfKiwpUNFxe38ZzV8DDjsl+lbf7xdD/ffy+rr55iS1i+zcf8KItAYnuH/&#10;9qfRkCWZUtlSqUgRmSIPyO0DAAD//wMAUEsBAi0AFAAGAAgAAAAhANvh9svuAAAAhQEAABMAAAAA&#10;AAAAAAAAAAAAAAAAAFtDb250ZW50X1R5cGVzXS54bWxQSwECLQAUAAYACAAAACEAWvQsW78AAAAV&#10;AQAACwAAAAAAAAAAAAAAAAAfAQAAX3JlbHMvLnJlbHNQSwECLQAUAAYACAAAACEAydkO5ckAAADj&#10;AAAADwAAAAAAAAAAAAAAAAAHAgAAZHJzL2Rvd25yZXYueG1sUEsFBgAAAAADAAMAtwAAAP0CAAAA&#10;AA==&#10;">
                  <v:shape id="AutoShape 503" o:spid="_x0000_s1144" type="#_x0000_t32" style="position:absolute;left:8415;top:12720;width:758;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2lywAAAOMAAAAPAAAAZHJzL2Rvd25yZXYueG1sRI9BS8Qw&#10;FITvgv8hPMGbm26FKHWziwq6i56ssqu3R/Nsq81LTGK3+uuNIHgcZuYbZrGa7CBGCrF3rGE+K0AQ&#10;N8703Gp4erw5OQcRE7LBwTFp+KIIq+XhwQIr4/b8QGOdWpEhHCvU0KXkKylj05HFOHOeOHuvLlhM&#10;WYZWmoD7DLeDLItCSYs954UOPV131LzXn1bDzruz4MN6fHtZf2zq5+/t1f3drdbHR9PlBYhEU/oP&#10;/7U3RkNZlEqVp0rN4fdT/gNy+QMAAP//AwBQSwECLQAUAAYACAAAACEA2+H2y+4AAACFAQAAEwAA&#10;AAAAAAAAAAAAAAAAAAAAW0NvbnRlbnRfVHlwZXNdLnhtbFBLAQItABQABgAIAAAAIQBa9CxbvwAA&#10;ABUBAAALAAAAAAAAAAAAAAAAAB8BAABfcmVscy8ucmVsc1BLAQItABQABgAIAAAAIQCw/12lywAA&#10;AOMAAAAPAAAAAAAAAAAAAAAAAAcCAABkcnMvZG93bnJldi54bWxQSwUGAAAAAAMAAwC3AAAA/wIA&#10;AAAA&#10;" strokeweight="3pt">
                    <v:stroke startarrow="oval" endarrow="oval"/>
                  </v:shape>
                  <v:shape id="AutoShape 504" o:spid="_x0000_s1145" type="#_x0000_t32" style="position:absolute;left:7658;top:12724;width:667;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PzzAAAAOMAAAAPAAAAZHJzL2Rvd25yZXYueG1sRI/BasJA&#10;EIbvQt9hmUJvutsU0hJdRVoKYgXRCOJtyI5JNDsbsqumPn23UOhhDsP8/zd8k1lvG3GlzteONTyP&#10;FAjiwpmaSw27/HP4BsIHZIONY9LwTR5m04fBBDPjbryh6zaUIkLYZ6ihCqHNpPRFRRb9yLXE8XZ0&#10;ncUQ166UpsNbhNtGJkql0mLN8UOFLb1XVJy3FxspajnPVX64LNb75fq+On68fhUnrZ8e+/kYRKA+&#10;/If/2gujIVFJmiYvceDXKfqAnP4AAAD//wMAUEsBAi0AFAAGAAgAAAAhANvh9svuAAAAhQEAABMA&#10;AAAAAAAAAAAAAAAAAAAAAFtDb250ZW50X1R5cGVzXS54bWxQSwECLQAUAAYACAAAACEAWvQsW78A&#10;AAAVAQAACwAAAAAAAAAAAAAAAAAfAQAAX3JlbHMvLnJlbHNQSwECLQAUAAYACAAAACEA/0lz88wA&#10;AADjAAAADwAAAAAAAAAAAAAAAAAHAgAAZHJzL2Rvd25yZXYueG1sUEsFBgAAAAADAAMAtwAAAAAD&#10;AAAAAA==&#10;" strokeweight="3pt"/>
                  <v:shape id="17 CuadroTexto" o:spid="_x0000_s1146" type="#_x0000_t202" style="position:absolute;left:8516;top:13007;width:558;height:3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reoywAAAOMAAAAPAAAAZHJzL2Rvd25yZXYueG1sRI/dSgMx&#10;FITvhb5DOIJ3NnFXQlmblqKIghbstpZehs3ZH7o5WZK4Xd/eCIKXw8x8wyzXk+3ZiD50jhTczQUw&#10;pMqZjhoFh/3z7QJYiJqM7h2hgm8MsF7Nrpa6MO5COxzL2LAEoVBoBW2MQ8F5qFq0OszdgJS82nmr&#10;Y5K+4cbrS4LbnmdCSG51R2mh1QM+tlidyy+rQD4ttvfj9i0/+veXj9OpPnzWpVDq5nraPACLOMX/&#10;8F/71SjIRCZllkuZw++n9Af46gcAAP//AwBQSwECLQAUAAYACAAAACEA2+H2y+4AAACFAQAAEwAA&#10;AAAAAAAAAAAAAAAAAAAAW0NvbnRlbnRfVHlwZXNdLnhtbFBLAQItABQABgAIAAAAIQBa9CxbvwAA&#10;ABUBAAALAAAAAAAAAAAAAAAAAB8BAABfcmVscy8ucmVsc1BLAQItABQABgAIAAAAIQDAdreoywAA&#10;AOMAAAAPAAAAAAAAAAAAAAAAAAcCAABkcnMvZG93bnJldi54bWxQSwUGAAAAAAMAAwC3AAAA/wIA&#10;AAAA&#10;" filled="f" stroked="f" strokeweight="1.5pt">
                    <v:textbo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1 </w:t>
                          </w:r>
                        </w:p>
                      </w:txbxContent>
                    </v:textbox>
                  </v:shape>
                  <v:shape id="17 CuadroTexto" o:spid="_x0000_s1147" type="#_x0000_t202" style="position:absolute;left:7767;top:13006;width:558;height: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y/czAAAAOMAAAAPAAAAZHJzL2Rvd25yZXYueG1sRI/dSgMx&#10;FITvBd8hHME7m3RbQtk2LUURBS20ay29PGzO/uAmWZK4Xd/eCEIvh5n5hlltRtOxgXxonVUwnQhg&#10;ZEunW1srOH48PyyAhYhWY+csKfihAJv17c0Kc+0u9kBDEWuWIDbkqKCJsc85D2VDBsPE9WSTVzlv&#10;MCbpa649XhLcdDwTQnKDrU0LDfb02FD5VXwbBfJpsZsPu7fZyb+/7M/n6vhZFUKp+7txuwQWaYzX&#10;8H/7VSvIRCZlNpNyDn+f0h/g618AAAD//wMAUEsBAi0AFAAGAAgAAAAhANvh9svuAAAAhQEAABMA&#10;AAAAAAAAAAAAAAAAAAAAAFtDb250ZW50X1R5cGVzXS54bWxQSwECLQAUAAYACAAAACEAWvQsW78A&#10;AAAVAQAACwAAAAAAAAAAAAAAAAAfAQAAX3JlbHMvLnJlbHNQSwECLQAUAAYACAAAACEAT58v3MwA&#10;AADjAAAADwAAAAAAAAAAAAAAAAAHAgAAZHJzL2Rvd25yZXYueG1sUEsFBgAAAAADAAMAtwAAAAAD&#10;AAAAAA==&#10;" filled="f" stroked="f" strokeweight="1.5pt">
                    <v:textbo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2 </w:t>
                          </w:r>
                        </w:p>
                      </w:txbxContent>
                    </v:textbox>
                  </v:shape>
                </v:group>
                <v:shape id="Text Box 507" o:spid="_x0000_s1148" type="#_x0000_t202" style="position:absolute;left:2646;top:13403;width:729;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FRByQAAAOMAAAAPAAAAZHJzL2Rvd25yZXYueG1sRI/NbsIw&#10;EITvlfoO1lbiUhWnoZg2xSBAouLKzwMs8ZJEjddRbEh4e4yExHE0M99opvPe1uJCra8ca/gcJiCI&#10;c2cqLjQc9uuPbxA+IBusHZOGK3mYz15fppgZ1/GWLrtQiAhhn6GGMoQmk9LnJVn0Q9cQR+/kWosh&#10;yraQpsUuwm0t0yRR0mLFcaHEhlYl5f+7s9Vw2nTv45/u+BcOk+2XWmI1Obqr1oO3fvELIlAfnuFH&#10;e2M0pEmqVDpSagz3T/EPyNkNAAD//wMAUEsBAi0AFAAGAAgAAAAhANvh9svuAAAAhQEAABMAAAAA&#10;AAAAAAAAAAAAAAAAAFtDb250ZW50X1R5cGVzXS54bWxQSwECLQAUAAYACAAAACEAWvQsW78AAAAV&#10;AQAACwAAAAAAAAAAAAAAAAAfAQAAX3JlbHMvLnJlbHNQSwECLQAUAAYACAAAACEAmXBUQckAAADj&#10;AAAADwAAAAAAAAAAAAAAAAAHAgAAZHJzL2Rvd25yZXYueG1sUEsFBgAAAAADAAMAtwAAAP0CAAAA&#10;AA==&#10;" stroked="f">
                  <v:textbox>
                    <w:txbxContent>
                      <w:p w:rsidR="00C20C0F" w:rsidRPr="00504390" w:rsidRDefault="00C20C0F" w:rsidP="00874DD5">
                        <w:pPr>
                          <w:jc w:val="center"/>
                          <w:rPr>
                            <w:rFonts w:ascii="Calibri" w:hAnsi="Calibri" w:cs="Calibri"/>
                            <w:sz w:val="20"/>
                            <w:szCs w:val="20"/>
                            <w:lang w:val="es-AR"/>
                          </w:rPr>
                        </w:pPr>
                        <w:r w:rsidRPr="00504390">
                          <w:rPr>
                            <w:rFonts w:ascii="Calibri" w:hAnsi="Calibri" w:cs="Calibri"/>
                            <w:sz w:val="20"/>
                            <w:szCs w:val="20"/>
                            <w:lang w:val="es-AR"/>
                          </w:rPr>
                          <w:t>(a)</w:t>
                        </w:r>
                      </w:p>
                    </w:txbxContent>
                  </v:textbox>
                </v:shape>
                <v:shape id="Text Box 508" o:spid="_x0000_s1149" type="#_x0000_t202" style="position:absolute;left:6841;top:13359;width:729;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so2yQAAAOMAAAAPAAAAZHJzL2Rvd25yZXYueG1sRI/NbsIw&#10;EITvlXgHa5G4VMUhLaZNMQgqUXHl5wGWeEki4nUUGxLeHleqxHE0M99o5sve1uJGra8ca5iMExDE&#10;uTMVFxqOh83bJwgfkA3WjknDnTwsF4OXOWbGdbyj2z4UIkLYZ6ihDKHJpPR5SRb92DXE0Tu71mKI&#10;si2kabGLcFvLNEmUtFhxXCixoZ+S8sv+ajWct93r9Ks7/YbjbPeh1ljNTu6u9WjYr75BBOrDM/zf&#10;3hoNaZIqlb4rpeDvU/wDcvEAAAD//wMAUEsBAi0AFAAGAAgAAAAhANvh9svuAAAAhQEAABMAAAAA&#10;AAAAAAAAAAAAAAAAAFtDb250ZW50X1R5cGVzXS54bWxQSwECLQAUAAYACAAAACEAWvQsW78AAAAV&#10;AQAACwAAAAAAAAAAAAAAAAAfAQAAX3JlbHMvLnJlbHNQSwECLQAUAAYACAAAACEAaaLKNskAAADj&#10;AAAADwAAAAAAAAAAAAAAAAAHAgAAZHJzL2Rvd25yZXYueG1sUEsFBgAAAAADAAMAtwAAAP0CAAAA&#10;AA==&#10;" stroked="f">
                  <v:textbox>
                    <w:txbxContent>
                      <w:p w:rsidR="00C20C0F" w:rsidRPr="00903888" w:rsidRDefault="00C20C0F" w:rsidP="00874DD5">
                        <w:pPr>
                          <w:jc w:val="center"/>
                          <w:rPr>
                            <w:rFonts w:ascii="Calibri" w:hAnsi="Calibri" w:cs="Calibri"/>
                            <w:sz w:val="20"/>
                            <w:szCs w:val="20"/>
                            <w:lang w:val="es-AR"/>
                          </w:rPr>
                        </w:pPr>
                        <w:r w:rsidRPr="00903888">
                          <w:rPr>
                            <w:rFonts w:ascii="Calibri" w:hAnsi="Calibri" w:cs="Calibri"/>
                            <w:sz w:val="20"/>
                            <w:szCs w:val="20"/>
                            <w:lang w:val="es-AR"/>
                          </w:rPr>
                          <w:t>(</w:t>
                        </w:r>
                        <w:r>
                          <w:rPr>
                            <w:rFonts w:ascii="Calibri" w:hAnsi="Calibri" w:cs="Calibri"/>
                            <w:sz w:val="20"/>
                            <w:szCs w:val="20"/>
                            <w:lang w:val="es-AR"/>
                          </w:rPr>
                          <w:t>b</w:t>
                        </w:r>
                        <w:r w:rsidRPr="00903888">
                          <w:rPr>
                            <w:rFonts w:ascii="Calibri" w:hAnsi="Calibri" w:cs="Calibri"/>
                            <w:sz w:val="20"/>
                            <w:szCs w:val="20"/>
                            <w:lang w:val="es-AR"/>
                          </w:rPr>
                          <w:t>)</w:t>
                        </w:r>
                      </w:p>
                    </w:txbxContent>
                  </v:textbox>
                </v:shape>
                <v:shape id="Text Box 509" o:spid="_x0000_s1150" type="#_x0000_t202" style="position:absolute;left:9179;top:13359;width:729;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m+tyQAAAOMAAAAPAAAAZHJzL2Rvd25yZXYueG1sRI/BbsIw&#10;EETvlfoP1lbiUhWnoXVKwCBAasUVygcs8ZJEjddRbEj4+xoJieNoZt5o5svBNuJCna8da3gfJyCI&#10;C2dqLjUcfr/fvkD4gGywcUwaruRhuXh+mmNuXM87uuxDKSKEfY4aqhDaXEpfVGTRj11LHL2T6yyG&#10;KLtSmg77CLeNTJNESYs1x4UKW9pUVPztz1bDadu/fk774084ZLsPtcY6O7qr1qOXYTUDEWgIj/C9&#10;vTUa0iRVKp0olcHtU/wDcvEPAAD//wMAUEsBAi0AFAAGAAgAAAAhANvh9svuAAAAhQEAABMAAAAA&#10;AAAAAAAAAAAAAAAAAFtDb250ZW50X1R5cGVzXS54bWxQSwECLQAUAAYACAAAACEAWvQsW78AAAAV&#10;AQAACwAAAAAAAAAAAAAAAAAfAQAAX3JlbHMvLnJlbHNQSwECLQAUAAYACAAAACEABu5vrckAAADj&#10;AAAADwAAAAAAAAAAAAAAAAAHAgAAZHJzL2Rvd25yZXYueG1sUEsFBgAAAAADAAMAtwAAAP0CAAAA&#10;AA==&#10;" stroked="f">
                  <v:textbox>
                    <w:txbxContent>
                      <w:p w:rsidR="00C20C0F" w:rsidRPr="00991E54" w:rsidRDefault="00C20C0F" w:rsidP="00874DD5">
                        <w:pPr>
                          <w:jc w:val="center"/>
                          <w:rPr>
                            <w:rFonts w:ascii="Calibri" w:hAnsi="Calibri" w:cs="Calibri"/>
                            <w:sz w:val="20"/>
                            <w:szCs w:val="20"/>
                            <w:lang w:val="es-AR"/>
                          </w:rPr>
                        </w:pPr>
                        <w:r w:rsidRPr="00991E54">
                          <w:rPr>
                            <w:rFonts w:ascii="Calibri" w:hAnsi="Calibri" w:cs="Calibri"/>
                            <w:sz w:val="20"/>
                            <w:szCs w:val="20"/>
                            <w:lang w:val="es-AR"/>
                          </w:rPr>
                          <w:t>(</w:t>
                        </w:r>
                        <w:r>
                          <w:rPr>
                            <w:rFonts w:ascii="Calibri" w:hAnsi="Calibri" w:cs="Calibri"/>
                            <w:sz w:val="20"/>
                            <w:szCs w:val="20"/>
                            <w:lang w:val="es-AR"/>
                          </w:rPr>
                          <w:t>c</w:t>
                        </w:r>
                        <w:r w:rsidRPr="00991E54">
                          <w:rPr>
                            <w:rFonts w:ascii="Calibri" w:hAnsi="Calibri" w:cs="Calibri"/>
                            <w:sz w:val="20"/>
                            <w:szCs w:val="20"/>
                            <w:lang w:val="es-AR"/>
                          </w:rPr>
                          <w:t>)</w:t>
                        </w:r>
                      </w:p>
                    </w:txbxContent>
                  </v:textbox>
                </v:shape>
              </v:group>
            </w:pict>
          </mc:Fallback>
        </mc:AlternateContent>
      </w:r>
    </w:p>
    <w:p w:rsidR="00874DD5" w:rsidRDefault="00874DD5" w:rsidP="00874DD5">
      <w:pPr>
        <w:ind w:firstLine="567"/>
        <w:jc w:val="both"/>
        <w:rPr>
          <w:lang w:val="es-AR"/>
        </w:rPr>
      </w:pPr>
    </w:p>
    <w:p w:rsidR="00874DD5" w:rsidRDefault="00874DD5" w:rsidP="00874DD5">
      <w:pPr>
        <w:ind w:firstLine="567"/>
        <w:jc w:val="both"/>
        <w:rPr>
          <w:lang w:val="es-AR"/>
        </w:rPr>
      </w:pPr>
    </w:p>
    <w:p w:rsidR="00874DD5" w:rsidRDefault="00874DD5" w:rsidP="00874DD5">
      <w:pPr>
        <w:ind w:firstLine="567"/>
        <w:jc w:val="both"/>
        <w:rPr>
          <w:lang w:val="es-AR"/>
        </w:rPr>
      </w:pPr>
    </w:p>
    <w:p w:rsidR="00874DD5" w:rsidRDefault="00874DD5" w:rsidP="00874DD5">
      <w:pPr>
        <w:ind w:firstLine="567"/>
        <w:jc w:val="both"/>
        <w:rPr>
          <w:lang w:val="es-AR"/>
        </w:rPr>
      </w:pPr>
    </w:p>
    <w:p w:rsidR="00874DD5" w:rsidRDefault="00874DD5" w:rsidP="00874DD5">
      <w:pPr>
        <w:ind w:left="1467"/>
        <w:jc w:val="both"/>
        <w:rPr>
          <w:rFonts w:ascii="Arial" w:hAnsi="Arial" w:cs="Arial"/>
          <w:sz w:val="20"/>
          <w:szCs w:val="20"/>
          <w:lang w:val="es-AR"/>
        </w:rPr>
      </w:pPr>
      <w:r>
        <w:rPr>
          <w:rFonts w:ascii="Arial" w:hAnsi="Arial" w:cs="Arial"/>
          <w:sz w:val="20"/>
          <w:szCs w:val="20"/>
          <w:lang w:val="es-AR"/>
        </w:rPr>
        <w:t xml:space="preserve">                                                                                                        </w:t>
      </w:r>
    </w:p>
    <w:p w:rsidR="00874DD5" w:rsidRDefault="00874DD5" w:rsidP="00874DD5">
      <w:pPr>
        <w:jc w:val="center"/>
        <w:rPr>
          <w:rFonts w:ascii="Arial" w:hAnsi="Arial" w:cs="Arial"/>
          <w:sz w:val="20"/>
          <w:szCs w:val="20"/>
          <w:lang w:val="es-AR"/>
        </w:rPr>
      </w:pPr>
      <w:r>
        <w:rPr>
          <w:rFonts w:ascii="Arial" w:hAnsi="Arial" w:cs="Arial"/>
          <w:sz w:val="20"/>
          <w:szCs w:val="20"/>
          <w:lang w:val="es-AR"/>
        </w:rPr>
        <w:t xml:space="preserve">                                </w:t>
      </w:r>
    </w:p>
    <w:p w:rsidR="00874DD5" w:rsidRDefault="00874DD5" w:rsidP="00874DD5">
      <w:pPr>
        <w:jc w:val="center"/>
        <w:rPr>
          <w:rFonts w:ascii="Arial" w:hAnsi="Arial" w:cs="Arial"/>
          <w:sz w:val="20"/>
          <w:szCs w:val="20"/>
          <w:lang w:val="es-AR"/>
        </w:rPr>
      </w:pPr>
    </w:p>
    <w:p w:rsidR="00874DD5" w:rsidRDefault="00874DD5" w:rsidP="00874DD5">
      <w:pPr>
        <w:jc w:val="center"/>
        <w:rPr>
          <w:rFonts w:ascii="Arial" w:hAnsi="Arial" w:cs="Arial"/>
          <w:bCs/>
          <w:i/>
          <w:sz w:val="20"/>
          <w:szCs w:val="20"/>
        </w:rPr>
      </w:pPr>
      <w:r w:rsidRPr="00163EF1">
        <w:rPr>
          <w:rFonts w:ascii="Arial" w:hAnsi="Arial" w:cs="Arial"/>
          <w:bCs/>
          <w:i/>
          <w:sz w:val="20"/>
          <w:szCs w:val="20"/>
        </w:rPr>
        <w:t xml:space="preserve">Figura </w:t>
      </w:r>
      <w:r>
        <w:rPr>
          <w:rFonts w:ascii="Arial" w:hAnsi="Arial" w:cs="Arial"/>
          <w:bCs/>
          <w:i/>
          <w:sz w:val="20"/>
          <w:szCs w:val="20"/>
        </w:rPr>
        <w:t>8</w:t>
      </w:r>
      <w:r w:rsidRPr="00163EF1">
        <w:rPr>
          <w:rFonts w:ascii="Arial" w:hAnsi="Arial" w:cs="Arial"/>
          <w:bCs/>
          <w:i/>
          <w:sz w:val="20"/>
          <w:szCs w:val="20"/>
        </w:rPr>
        <w:t xml:space="preserve">. </w:t>
      </w:r>
      <w:r>
        <w:rPr>
          <w:rFonts w:ascii="Arial" w:hAnsi="Arial" w:cs="Arial"/>
          <w:bCs/>
          <w:i/>
          <w:sz w:val="20"/>
          <w:szCs w:val="20"/>
        </w:rPr>
        <w:t>Posiciones del Manipulador q</w:t>
      </w:r>
      <w:r>
        <w:rPr>
          <w:rFonts w:ascii="Arial" w:hAnsi="Arial" w:cs="Arial"/>
          <w:bCs/>
          <w:i/>
          <w:sz w:val="20"/>
          <w:szCs w:val="20"/>
          <w:vertAlign w:val="subscript"/>
        </w:rPr>
        <w:t>1</w:t>
      </w:r>
      <w:r>
        <w:rPr>
          <w:rFonts w:ascii="Arial" w:hAnsi="Arial" w:cs="Arial"/>
          <w:bCs/>
          <w:i/>
          <w:sz w:val="20"/>
          <w:szCs w:val="20"/>
        </w:rPr>
        <w:t xml:space="preserve"> = 0,0157rad/seg.t y q</w:t>
      </w:r>
      <w:r>
        <w:rPr>
          <w:rFonts w:ascii="Arial" w:hAnsi="Arial" w:cs="Arial"/>
          <w:bCs/>
          <w:i/>
          <w:sz w:val="20"/>
          <w:szCs w:val="20"/>
          <w:vertAlign w:val="subscript"/>
        </w:rPr>
        <w:t>2</w:t>
      </w:r>
      <w:r>
        <w:rPr>
          <w:rFonts w:ascii="Arial" w:hAnsi="Arial" w:cs="Arial"/>
          <w:bCs/>
          <w:i/>
          <w:sz w:val="20"/>
          <w:szCs w:val="20"/>
        </w:rPr>
        <w:t xml:space="preserve"> = 0º y para t = 0, 100 y 200 seg </w:t>
      </w:r>
    </w:p>
    <w:p w:rsidR="00874DD5" w:rsidRPr="00681CF1" w:rsidRDefault="00874DD5" w:rsidP="00874DD5">
      <w:pPr>
        <w:jc w:val="center"/>
        <w:rPr>
          <w:lang w:val="es-AR"/>
        </w:rPr>
      </w:pPr>
    </w:p>
    <w:p w:rsidR="00874DD5" w:rsidRDefault="00874DD5" w:rsidP="00874DD5">
      <w:pPr>
        <w:ind w:firstLine="567"/>
        <w:jc w:val="both"/>
        <w:rPr>
          <w:lang w:val="es-AR"/>
        </w:rPr>
      </w:pPr>
      <w:r w:rsidRPr="008D27F4">
        <w:rPr>
          <w:rFonts w:ascii="Arial" w:hAnsi="Arial" w:cs="Arial"/>
          <w:b/>
          <w:i/>
          <w:lang w:val="es-ES_tradnl"/>
        </w:rPr>
        <w:t xml:space="preserve">Caso </w:t>
      </w:r>
      <w:r>
        <w:rPr>
          <w:rFonts w:ascii="Arial" w:hAnsi="Arial" w:cs="Arial"/>
          <w:b/>
          <w:i/>
          <w:lang w:val="es-ES_tradnl"/>
        </w:rPr>
        <w:t>2</w:t>
      </w:r>
      <w:r>
        <w:rPr>
          <w:rFonts w:ascii="Arial" w:hAnsi="Arial" w:cs="Arial"/>
          <w:lang w:val="es-ES_tradnl"/>
        </w:rPr>
        <w:t>:</w:t>
      </w:r>
      <w:r w:rsidRPr="00924A53">
        <w:rPr>
          <w:rFonts w:ascii="Arial" w:hAnsi="Arial" w:cs="Arial"/>
          <w:lang w:val="es-ES_tradnl"/>
        </w:rPr>
        <w:t xml:space="preserve"> </w:t>
      </w:r>
      <w:r>
        <w:rPr>
          <w:rFonts w:ascii="Arial" w:hAnsi="Arial" w:cs="Arial"/>
          <w:lang w:val="es-ES_tradnl"/>
        </w:rPr>
        <w:t>según</w:t>
      </w:r>
      <w:r w:rsidRPr="00312EDE">
        <w:rPr>
          <w:rFonts w:ascii="Arial" w:hAnsi="Arial" w:cs="Arial"/>
          <w:lang w:val="es-ES_tradnl"/>
        </w:rPr>
        <w:t xml:space="preserve"> las ecuaciones 17 y 18, </w:t>
      </w:r>
      <w:r>
        <w:rPr>
          <w:rFonts w:ascii="Arial" w:hAnsi="Arial" w:cs="Arial"/>
          <w:lang w:val="es-ES_tradnl"/>
        </w:rPr>
        <w:t>y similar al caso 1, ambos</w:t>
      </w:r>
      <w:r w:rsidRPr="00312EDE">
        <w:rPr>
          <w:rFonts w:ascii="Arial" w:hAnsi="Arial" w:cs="Arial"/>
          <w:lang w:val="es-ES_tradnl"/>
        </w:rPr>
        <w:t xml:space="preserve"> pares de torsión </w:t>
      </w:r>
      <w:r>
        <w:rPr>
          <w:rFonts w:ascii="Arial" w:hAnsi="Arial" w:cs="Arial"/>
          <w:lang w:val="es-ES_tradnl"/>
        </w:rPr>
        <w:t xml:space="preserve">deben </w:t>
      </w:r>
      <w:r w:rsidRPr="00312EDE">
        <w:rPr>
          <w:rFonts w:ascii="Arial" w:hAnsi="Arial" w:cs="Arial"/>
          <w:lang w:val="es-ES_tradnl"/>
        </w:rPr>
        <w:t>contrarrestar el efecto gravitatorio de ambos eslabones; con la salvedad que existe el término de la fuerza centrípeta de m</w:t>
      </w:r>
      <w:r w:rsidRPr="00312EDE">
        <w:rPr>
          <w:rFonts w:ascii="Arial" w:hAnsi="Arial" w:cs="Arial"/>
          <w:vertAlign w:val="subscript"/>
          <w:lang w:val="es-ES_tradnl"/>
        </w:rPr>
        <w:t>2</w:t>
      </w:r>
      <w:r>
        <w:rPr>
          <w:rFonts w:ascii="Arial" w:hAnsi="Arial" w:cs="Arial"/>
          <w:lang w:val="es-ES_tradnl"/>
        </w:rPr>
        <w:t xml:space="preserve"> sobre la articulación 1 (aunque se puede despreciar frente a los otros valores)</w:t>
      </w:r>
      <w:r w:rsidRPr="00312EDE">
        <w:rPr>
          <w:rFonts w:ascii="Arial" w:hAnsi="Arial" w:cs="Arial"/>
          <w:lang w:val="es-ES_tradnl"/>
        </w:rPr>
        <w:t>. También se anula el término de Coriolis por las mismas razones; y como q</w:t>
      </w:r>
      <w:r w:rsidRPr="00312EDE">
        <w:rPr>
          <w:rFonts w:ascii="Arial" w:hAnsi="Arial" w:cs="Arial"/>
          <w:vertAlign w:val="subscript"/>
          <w:lang w:val="es-ES_tradnl"/>
        </w:rPr>
        <w:t>1</w:t>
      </w:r>
      <w:r w:rsidRPr="00312EDE">
        <w:rPr>
          <w:rFonts w:ascii="Arial" w:hAnsi="Arial" w:cs="Arial"/>
          <w:lang w:val="es-ES_tradnl"/>
        </w:rPr>
        <w:t xml:space="preserve"> = 0, </w:t>
      </w:r>
      <w:r>
        <w:rPr>
          <w:rFonts w:ascii="Arial" w:hAnsi="Arial" w:cs="Arial"/>
          <w:lang w:val="es-ES_tradnl"/>
        </w:rPr>
        <w:t>hay un</w:t>
      </w:r>
      <w:r w:rsidRPr="00312EDE">
        <w:rPr>
          <w:rFonts w:ascii="Arial" w:hAnsi="Arial" w:cs="Arial"/>
          <w:lang w:val="es-ES_tradnl"/>
        </w:rPr>
        <w:t xml:space="preserve"> término independiente de 150Nm en la ecuación 17 para τ</w:t>
      </w:r>
      <w:r w:rsidRPr="00312EDE">
        <w:rPr>
          <w:rFonts w:ascii="Arial" w:hAnsi="Arial" w:cs="Arial"/>
          <w:vertAlign w:val="subscript"/>
          <w:lang w:val="es-ES_tradnl"/>
        </w:rPr>
        <w:t>1</w:t>
      </w:r>
      <w:r w:rsidRPr="00312EDE">
        <w:rPr>
          <w:rFonts w:ascii="Arial" w:hAnsi="Arial" w:cs="Arial"/>
          <w:lang w:val="es-ES_tradnl"/>
        </w:rPr>
        <w:t xml:space="preserve">. Este hecho modifica sustancialmente la situación con respecto al caso </w:t>
      </w:r>
      <w:r>
        <w:rPr>
          <w:rFonts w:ascii="Arial" w:hAnsi="Arial" w:cs="Arial"/>
          <w:lang w:val="es-ES_tradnl"/>
        </w:rPr>
        <w:t>1</w:t>
      </w:r>
      <w:r w:rsidRPr="00312EDE">
        <w:rPr>
          <w:rFonts w:ascii="Arial" w:hAnsi="Arial" w:cs="Arial"/>
          <w:lang w:val="es-ES_tradnl"/>
        </w:rPr>
        <w:t xml:space="preserve">, </w:t>
      </w:r>
      <w:r>
        <w:rPr>
          <w:rFonts w:ascii="Arial" w:hAnsi="Arial" w:cs="Arial"/>
          <w:lang w:val="es-ES_tradnl"/>
        </w:rPr>
        <w:t>dado</w:t>
      </w:r>
      <w:r w:rsidRPr="00312EDE">
        <w:rPr>
          <w:rFonts w:ascii="Arial" w:hAnsi="Arial" w:cs="Arial"/>
          <w:lang w:val="es-ES_tradnl"/>
        </w:rPr>
        <w:t xml:space="preserve"> que no se anula el par τ</w:t>
      </w:r>
      <w:r w:rsidRPr="00462B19">
        <w:rPr>
          <w:rFonts w:ascii="Arial" w:hAnsi="Arial" w:cs="Arial"/>
          <w:vertAlign w:val="subscript"/>
          <w:lang w:val="es-ES_tradnl"/>
        </w:rPr>
        <w:t>1</w:t>
      </w:r>
      <w:r>
        <w:rPr>
          <w:rFonts w:ascii="Arial" w:hAnsi="Arial" w:cs="Arial"/>
          <w:lang w:val="es-ES_tradnl"/>
        </w:rPr>
        <w:t xml:space="preserve"> en ningún instante</w:t>
      </w:r>
      <w:r w:rsidRPr="00312EDE">
        <w:rPr>
          <w:rFonts w:ascii="Arial" w:hAnsi="Arial" w:cs="Arial"/>
          <w:lang w:val="es-ES_tradnl"/>
        </w:rPr>
        <w:t>.</w:t>
      </w:r>
      <w:r>
        <w:rPr>
          <w:rFonts w:ascii="Arial" w:hAnsi="Arial" w:cs="Arial"/>
          <w:lang w:val="es-ES_tradnl"/>
        </w:rPr>
        <w:t xml:space="preserve"> </w:t>
      </w:r>
      <w:r w:rsidRPr="00462B19">
        <w:rPr>
          <w:rFonts w:ascii="Arial" w:hAnsi="Arial" w:cs="Arial"/>
          <w:lang w:val="es-ES_tradnl"/>
        </w:rPr>
        <w:t xml:space="preserve">Un breve análisis de la situación física real, en sintonía con el gráfico de figura </w:t>
      </w:r>
      <w:r>
        <w:rPr>
          <w:rFonts w:ascii="Arial" w:hAnsi="Arial" w:cs="Arial"/>
          <w:lang w:val="es-ES_tradnl"/>
        </w:rPr>
        <w:t>7a</w:t>
      </w:r>
      <w:r w:rsidRPr="00462B19">
        <w:rPr>
          <w:rFonts w:ascii="Arial" w:hAnsi="Arial" w:cs="Arial"/>
          <w:lang w:val="es-ES_tradnl"/>
        </w:rPr>
        <w:t xml:space="preserve"> indica que: en t = 0seg es q</w:t>
      </w:r>
      <w:r w:rsidRPr="00300230">
        <w:rPr>
          <w:rFonts w:ascii="Arial" w:hAnsi="Arial" w:cs="Arial"/>
          <w:vertAlign w:val="subscript"/>
          <w:lang w:val="es-ES_tradnl"/>
        </w:rPr>
        <w:t>1</w:t>
      </w:r>
      <w:r w:rsidRPr="00462B19">
        <w:rPr>
          <w:rFonts w:ascii="Arial" w:hAnsi="Arial" w:cs="Arial"/>
          <w:lang w:val="es-ES_tradnl"/>
        </w:rPr>
        <w:t xml:space="preserve"> = q</w:t>
      </w:r>
      <w:r w:rsidRPr="00300230">
        <w:rPr>
          <w:rFonts w:ascii="Arial" w:hAnsi="Arial" w:cs="Arial"/>
          <w:vertAlign w:val="subscript"/>
          <w:lang w:val="es-ES_tradnl"/>
        </w:rPr>
        <w:t>2</w:t>
      </w:r>
      <w:r w:rsidRPr="00462B19">
        <w:rPr>
          <w:rFonts w:ascii="Arial" w:hAnsi="Arial" w:cs="Arial"/>
          <w:lang w:val="es-ES_tradnl"/>
        </w:rPr>
        <w:t xml:space="preserve"> = 0º (ambos brazos estirados en forma horizontal, figura </w:t>
      </w:r>
      <w:r>
        <w:rPr>
          <w:rFonts w:ascii="Arial" w:hAnsi="Arial" w:cs="Arial"/>
          <w:lang w:val="es-ES_tradnl"/>
        </w:rPr>
        <w:t>9a</w:t>
      </w:r>
      <w:r w:rsidRPr="00462B19">
        <w:rPr>
          <w:rFonts w:ascii="Arial" w:hAnsi="Arial" w:cs="Arial"/>
          <w:lang w:val="es-ES_tradnl"/>
        </w:rPr>
        <w:t>), τ</w:t>
      </w:r>
      <w:r w:rsidRPr="00300230">
        <w:rPr>
          <w:rFonts w:ascii="Arial" w:hAnsi="Arial" w:cs="Arial"/>
          <w:vertAlign w:val="subscript"/>
          <w:lang w:val="es-ES_tradnl"/>
        </w:rPr>
        <w:t>1</w:t>
      </w:r>
      <w:r w:rsidRPr="00462B19">
        <w:rPr>
          <w:rFonts w:ascii="Arial" w:hAnsi="Arial" w:cs="Arial"/>
          <w:lang w:val="es-ES_tradnl"/>
        </w:rPr>
        <w:t xml:space="preserve"> = 200Nm y τ</w:t>
      </w:r>
      <w:r w:rsidRPr="00300230">
        <w:rPr>
          <w:rFonts w:ascii="Arial" w:hAnsi="Arial" w:cs="Arial"/>
          <w:vertAlign w:val="subscript"/>
          <w:lang w:val="es-ES_tradnl"/>
        </w:rPr>
        <w:t>2</w:t>
      </w:r>
      <w:r w:rsidRPr="00462B19">
        <w:rPr>
          <w:rFonts w:ascii="Arial" w:hAnsi="Arial" w:cs="Arial"/>
          <w:lang w:val="es-ES_tradnl"/>
        </w:rPr>
        <w:t xml:space="preserve"> = 50Nm (requiriendo ambas articulaciones pares de torsión máximo en este instante). Es decir que para este instante la situación es igual al caso anterior. En t = 100seg es q</w:t>
      </w:r>
      <w:r w:rsidRPr="00300230">
        <w:rPr>
          <w:rFonts w:ascii="Arial" w:hAnsi="Arial" w:cs="Arial"/>
          <w:vertAlign w:val="subscript"/>
          <w:lang w:val="es-ES_tradnl"/>
        </w:rPr>
        <w:t>1</w:t>
      </w:r>
      <w:r w:rsidRPr="00462B19">
        <w:rPr>
          <w:rFonts w:ascii="Arial" w:hAnsi="Arial" w:cs="Arial"/>
          <w:lang w:val="es-ES_tradnl"/>
        </w:rPr>
        <w:t xml:space="preserve"> = 0º y q</w:t>
      </w:r>
      <w:r w:rsidRPr="00300230">
        <w:rPr>
          <w:rFonts w:ascii="Arial" w:hAnsi="Arial" w:cs="Arial"/>
          <w:vertAlign w:val="subscript"/>
          <w:lang w:val="es-ES_tradnl"/>
        </w:rPr>
        <w:t>2</w:t>
      </w:r>
      <w:r w:rsidRPr="00462B19">
        <w:rPr>
          <w:rFonts w:ascii="Arial" w:hAnsi="Arial" w:cs="Arial"/>
          <w:lang w:val="es-ES_tradnl"/>
        </w:rPr>
        <w:t xml:space="preserve"> = 90º (π/2) (situación que se ilustra en la figura </w:t>
      </w:r>
      <w:r>
        <w:rPr>
          <w:rFonts w:ascii="Arial" w:hAnsi="Arial" w:cs="Arial"/>
          <w:lang w:val="es-ES_tradnl"/>
        </w:rPr>
        <w:t>9b</w:t>
      </w:r>
      <w:r w:rsidRPr="00462B19">
        <w:rPr>
          <w:rFonts w:ascii="Arial" w:hAnsi="Arial" w:cs="Arial"/>
          <w:lang w:val="es-ES_tradnl"/>
        </w:rPr>
        <w:t>); aquí τ</w:t>
      </w:r>
      <w:r w:rsidRPr="00300230">
        <w:rPr>
          <w:rFonts w:ascii="Arial" w:hAnsi="Arial" w:cs="Arial"/>
          <w:vertAlign w:val="subscript"/>
          <w:lang w:val="es-ES_tradnl"/>
        </w:rPr>
        <w:t>1</w:t>
      </w:r>
      <w:r w:rsidRPr="00462B19">
        <w:rPr>
          <w:rFonts w:ascii="Arial" w:hAnsi="Arial" w:cs="Arial"/>
          <w:lang w:val="es-ES_tradnl"/>
        </w:rPr>
        <w:t xml:space="preserve"> = 150Nm y τ</w:t>
      </w:r>
      <w:r w:rsidRPr="00300230">
        <w:rPr>
          <w:rFonts w:ascii="Arial" w:hAnsi="Arial" w:cs="Arial"/>
          <w:vertAlign w:val="subscript"/>
          <w:lang w:val="es-ES_tradnl"/>
        </w:rPr>
        <w:t>2</w:t>
      </w:r>
      <w:r w:rsidRPr="00462B19">
        <w:rPr>
          <w:rFonts w:ascii="Arial" w:hAnsi="Arial" w:cs="Arial"/>
          <w:lang w:val="es-ES_tradnl"/>
        </w:rPr>
        <w:t xml:space="preserve"> = 0Nm. En este instante la articulación 1 requiere un par de 100Nm ejercido por el peso del eslabón 2 en posición vertical (se redujo en 50Nm con respecto al caso anterior porque se acortó el brazo de palanca en 0,5m con respecto a cuándo éste está estirado), más el otro par de 50Nm proveniente del peso del eslabón 1. Si el eslabón 2 continúa girando respecto a la vertical y la variable articula supera los 90º hasta llegar a los 180º en t = 200seg, permaneciendo siempre el eslabón 1 en posición horizontal, será q</w:t>
      </w:r>
      <w:r w:rsidRPr="00300230">
        <w:rPr>
          <w:rFonts w:ascii="Arial" w:hAnsi="Arial" w:cs="Arial"/>
          <w:vertAlign w:val="subscript"/>
          <w:lang w:val="es-ES_tradnl"/>
        </w:rPr>
        <w:t>1</w:t>
      </w:r>
      <w:r w:rsidRPr="00462B19">
        <w:rPr>
          <w:rFonts w:ascii="Arial" w:hAnsi="Arial" w:cs="Arial"/>
          <w:lang w:val="es-ES_tradnl"/>
        </w:rPr>
        <w:t xml:space="preserve"> = 0º, q</w:t>
      </w:r>
      <w:r w:rsidRPr="00300230">
        <w:rPr>
          <w:rFonts w:ascii="Arial" w:hAnsi="Arial" w:cs="Arial"/>
          <w:vertAlign w:val="subscript"/>
          <w:lang w:val="es-ES_tradnl"/>
        </w:rPr>
        <w:t>2</w:t>
      </w:r>
      <w:r w:rsidRPr="00462B19">
        <w:rPr>
          <w:rFonts w:ascii="Arial" w:hAnsi="Arial" w:cs="Arial"/>
          <w:lang w:val="es-ES_tradnl"/>
        </w:rPr>
        <w:t xml:space="preserve"> = 180º (π) (el brazo 2 doblado sobre el 1 en forma horizontal, figura </w:t>
      </w:r>
      <w:r>
        <w:rPr>
          <w:rFonts w:ascii="Arial" w:hAnsi="Arial" w:cs="Arial"/>
          <w:lang w:val="es-ES_tradnl"/>
        </w:rPr>
        <w:t>9c</w:t>
      </w:r>
      <w:r w:rsidRPr="00462B19">
        <w:rPr>
          <w:rFonts w:ascii="Arial" w:hAnsi="Arial" w:cs="Arial"/>
          <w:lang w:val="es-ES_tradnl"/>
        </w:rPr>
        <w:t>), τ</w:t>
      </w:r>
      <w:r w:rsidRPr="00300230">
        <w:rPr>
          <w:rFonts w:ascii="Arial" w:hAnsi="Arial" w:cs="Arial"/>
          <w:vertAlign w:val="subscript"/>
          <w:lang w:val="es-ES_tradnl"/>
        </w:rPr>
        <w:t>1</w:t>
      </w:r>
      <w:r w:rsidRPr="00462B19">
        <w:rPr>
          <w:rFonts w:ascii="Arial" w:hAnsi="Arial" w:cs="Arial"/>
          <w:lang w:val="es-ES_tradnl"/>
        </w:rPr>
        <w:t xml:space="preserve"> = 100Nm (valor mínimo que adopta el par τ</w:t>
      </w:r>
      <w:r w:rsidRPr="00300230">
        <w:rPr>
          <w:rFonts w:ascii="Arial" w:hAnsi="Arial" w:cs="Arial"/>
          <w:vertAlign w:val="subscript"/>
          <w:lang w:val="es-ES_tradnl"/>
        </w:rPr>
        <w:t>1</w:t>
      </w:r>
      <w:r w:rsidRPr="00462B19">
        <w:rPr>
          <w:rFonts w:ascii="Arial" w:hAnsi="Arial" w:cs="Arial"/>
          <w:lang w:val="es-ES_tradnl"/>
        </w:rPr>
        <w:t xml:space="preserve"> sobre la articulación 1) y τ</w:t>
      </w:r>
      <w:r w:rsidRPr="00300230">
        <w:rPr>
          <w:rFonts w:ascii="Arial" w:hAnsi="Arial" w:cs="Arial"/>
          <w:vertAlign w:val="subscript"/>
          <w:lang w:val="es-ES_tradnl"/>
        </w:rPr>
        <w:t>2</w:t>
      </w:r>
      <w:r w:rsidRPr="00462B19">
        <w:rPr>
          <w:rFonts w:ascii="Arial" w:hAnsi="Arial" w:cs="Arial"/>
          <w:lang w:val="es-ES_tradnl"/>
        </w:rPr>
        <w:t xml:space="preserve"> = -50Nm. Desde el punto de vista físico, el valor del par τ</w:t>
      </w:r>
      <w:r w:rsidRPr="00300230">
        <w:rPr>
          <w:rFonts w:ascii="Arial" w:hAnsi="Arial" w:cs="Arial"/>
          <w:vertAlign w:val="subscript"/>
          <w:lang w:val="es-ES_tradnl"/>
        </w:rPr>
        <w:t>1</w:t>
      </w:r>
      <w:r w:rsidRPr="00462B19">
        <w:rPr>
          <w:rFonts w:ascii="Arial" w:hAnsi="Arial" w:cs="Arial"/>
          <w:lang w:val="es-ES_tradnl"/>
        </w:rPr>
        <w:t xml:space="preserve"> se compone de 50 Nm que aporta el peso del eslabón 1</w:t>
      </w:r>
      <w:r>
        <w:rPr>
          <w:rFonts w:ascii="Arial" w:hAnsi="Arial" w:cs="Arial"/>
          <w:lang w:val="es-ES_tradnl"/>
        </w:rPr>
        <w:t>, el cual siempre</w:t>
      </w:r>
      <w:r w:rsidRPr="00462B19">
        <w:rPr>
          <w:rFonts w:ascii="Arial" w:hAnsi="Arial" w:cs="Arial"/>
          <w:lang w:val="es-ES_tradnl"/>
        </w:rPr>
        <w:t xml:space="preserve"> par de torsión a la articulación 1 porque permanece en posición horizontal los 200 segundos), más los otros 50 Nm que aporta el eslabón 2 (también en posición</w:t>
      </w:r>
      <w:r>
        <w:rPr>
          <w:rFonts w:ascii="Arial" w:hAnsi="Arial" w:cs="Arial"/>
          <w:lang w:val="es-ES_tradnl"/>
        </w:rPr>
        <w:t xml:space="preserve"> </w:t>
      </w:r>
      <w:r w:rsidRPr="00A33AFF">
        <w:rPr>
          <w:rFonts w:ascii="Arial" w:hAnsi="Arial" w:cs="Arial"/>
          <w:lang w:val="es-ES_tradnl"/>
        </w:rPr>
        <w:t>horizontal para</w:t>
      </w:r>
      <w:r>
        <w:rPr>
          <w:rFonts w:ascii="Arial" w:hAnsi="Arial" w:cs="Arial"/>
          <w:lang w:val="es-ES_tradnl"/>
        </w:rPr>
        <w:t xml:space="preserve"> este instante de 200 segundos). El</w:t>
      </w:r>
      <w:r w:rsidRPr="00A33AFF">
        <w:rPr>
          <w:rFonts w:ascii="Arial" w:hAnsi="Arial" w:cs="Arial"/>
          <w:lang w:val="es-ES_tradnl"/>
        </w:rPr>
        <w:t xml:space="preserve"> par sobre la articulación 2, </w:t>
      </w:r>
      <w:r>
        <w:rPr>
          <w:rFonts w:ascii="Arial" w:hAnsi="Arial" w:cs="Arial"/>
          <w:lang w:val="es-ES_tradnl"/>
        </w:rPr>
        <w:t>vale</w:t>
      </w:r>
      <w:r w:rsidRPr="00A33AFF">
        <w:rPr>
          <w:rFonts w:ascii="Arial" w:hAnsi="Arial" w:cs="Arial"/>
          <w:lang w:val="es-ES_tradnl"/>
        </w:rPr>
        <w:t xml:space="preserve"> τ</w:t>
      </w:r>
      <w:r w:rsidRPr="00A33AFF">
        <w:rPr>
          <w:rFonts w:ascii="Arial" w:hAnsi="Arial" w:cs="Arial"/>
          <w:vertAlign w:val="subscript"/>
          <w:lang w:val="es-ES_tradnl"/>
        </w:rPr>
        <w:t>2</w:t>
      </w:r>
      <w:r w:rsidRPr="00A33AFF">
        <w:rPr>
          <w:rFonts w:ascii="Arial" w:hAnsi="Arial" w:cs="Arial"/>
          <w:lang w:val="es-ES_tradnl"/>
        </w:rPr>
        <w:t xml:space="preserve"> = -50Nm, dado que al invertirse la posición del eslabón 2 (como se ve en figura </w:t>
      </w:r>
      <w:r>
        <w:rPr>
          <w:rFonts w:ascii="Arial" w:hAnsi="Arial" w:cs="Arial"/>
          <w:lang w:val="es-ES_tradnl"/>
        </w:rPr>
        <w:t>9c</w:t>
      </w:r>
      <w:r w:rsidRPr="00A33AFF">
        <w:rPr>
          <w:rFonts w:ascii="Arial" w:hAnsi="Arial" w:cs="Arial"/>
          <w:lang w:val="es-ES_tradnl"/>
        </w:rPr>
        <w:t>), el par de torsión mantiene su valor pero ahora la articulación 2 debe reaccionar con un par en sentido contrario (antihorario) al primer caso en donde q</w:t>
      </w:r>
      <w:r w:rsidRPr="00A33AFF">
        <w:rPr>
          <w:rFonts w:ascii="Arial" w:hAnsi="Arial" w:cs="Arial"/>
          <w:vertAlign w:val="subscript"/>
          <w:lang w:val="es-ES_tradnl"/>
        </w:rPr>
        <w:t>2</w:t>
      </w:r>
      <w:r w:rsidRPr="00A33AFF">
        <w:rPr>
          <w:rFonts w:ascii="Arial" w:hAnsi="Arial" w:cs="Arial"/>
          <w:lang w:val="es-ES_tradnl"/>
        </w:rPr>
        <w:t xml:space="preserve"> = 0.</w:t>
      </w:r>
    </w:p>
    <w:p w:rsidR="00874DD5" w:rsidRDefault="00874DD5" w:rsidP="00874DD5">
      <w:pPr>
        <w:ind w:firstLine="567"/>
        <w:jc w:val="center"/>
        <w:rPr>
          <w:lang w:val="es-AR"/>
        </w:rPr>
      </w:pPr>
      <w:r>
        <w:rPr>
          <w:noProof/>
          <w:lang w:val="en-US"/>
        </w:rPr>
        <mc:AlternateContent>
          <mc:Choice Requires="wpg">
            <w:drawing>
              <wp:anchor distT="0" distB="0" distL="114300" distR="114300" simplePos="0" relativeHeight="251815936" behindDoc="0" locked="0" layoutInCell="1" allowOverlap="1" wp14:anchorId="38053657" wp14:editId="3B027EF9">
                <wp:simplePos x="0" y="0"/>
                <wp:positionH relativeFrom="column">
                  <wp:posOffset>394970</wp:posOffset>
                </wp:positionH>
                <wp:positionV relativeFrom="paragraph">
                  <wp:posOffset>97155</wp:posOffset>
                </wp:positionV>
                <wp:extent cx="5262880" cy="906145"/>
                <wp:effectExtent l="95250" t="1270" r="4445" b="0"/>
                <wp:wrapNone/>
                <wp:docPr id="2026623632" name="Grupo 2026623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2880" cy="906145"/>
                          <a:chOff x="2139" y="8953"/>
                          <a:chExt cx="8609" cy="1607"/>
                        </a:xfrm>
                      </wpg:grpSpPr>
                      <wps:wsp>
                        <wps:cNvPr id="2026623633" name="Text Box 511"/>
                        <wps:cNvSpPr txBox="1">
                          <a:spLocks noChangeArrowheads="1"/>
                        </wps:cNvSpPr>
                        <wps:spPr bwMode="auto">
                          <a:xfrm>
                            <a:off x="2598" y="10000"/>
                            <a:ext cx="729" cy="4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20C0F" w:rsidRPr="00A33AFF" w:rsidRDefault="00C20C0F" w:rsidP="00874DD5">
                              <w:pPr>
                                <w:jc w:val="center"/>
                                <w:rPr>
                                  <w:rFonts w:ascii="Calibri" w:hAnsi="Calibri" w:cs="Calibri"/>
                                  <w:sz w:val="20"/>
                                  <w:szCs w:val="20"/>
                                  <w:lang w:val="es-AR"/>
                                </w:rPr>
                              </w:pPr>
                              <w:r w:rsidRPr="00A33AFF">
                                <w:rPr>
                                  <w:rFonts w:ascii="Calibri" w:hAnsi="Calibri" w:cs="Calibri"/>
                                  <w:sz w:val="20"/>
                                  <w:szCs w:val="20"/>
                                  <w:lang w:val="es-AR"/>
                                </w:rPr>
                                <w:t>(a)</w:t>
                              </w:r>
                            </w:p>
                          </w:txbxContent>
                        </wps:txbx>
                        <wps:bodyPr rot="0" vert="horz" wrap="square" lIns="91440" tIns="45720" rIns="91440" bIns="45720" anchor="t" anchorCtr="0" upright="1">
                          <a:noAutofit/>
                        </wps:bodyPr>
                      </wps:wsp>
                      <wps:wsp>
                        <wps:cNvPr id="2026623634" name="Text Box 512"/>
                        <wps:cNvSpPr txBox="1">
                          <a:spLocks noChangeArrowheads="1"/>
                        </wps:cNvSpPr>
                        <wps:spPr bwMode="auto">
                          <a:xfrm>
                            <a:off x="6259" y="10140"/>
                            <a:ext cx="729"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20C0F" w:rsidRPr="00903888" w:rsidRDefault="00C20C0F" w:rsidP="00874DD5">
                              <w:pPr>
                                <w:jc w:val="center"/>
                                <w:rPr>
                                  <w:rFonts w:ascii="Calibri" w:hAnsi="Calibri" w:cs="Calibri"/>
                                  <w:sz w:val="20"/>
                                  <w:szCs w:val="20"/>
                                  <w:lang w:val="es-AR"/>
                                </w:rPr>
                              </w:pPr>
                              <w:r w:rsidRPr="00903888">
                                <w:rPr>
                                  <w:rFonts w:ascii="Calibri" w:hAnsi="Calibri" w:cs="Calibri"/>
                                  <w:sz w:val="20"/>
                                  <w:szCs w:val="20"/>
                                  <w:lang w:val="es-AR"/>
                                </w:rPr>
                                <w:t>(</w:t>
                              </w:r>
                              <w:r>
                                <w:rPr>
                                  <w:rFonts w:ascii="Calibri" w:hAnsi="Calibri" w:cs="Calibri"/>
                                  <w:sz w:val="20"/>
                                  <w:szCs w:val="20"/>
                                  <w:lang w:val="es-AR"/>
                                </w:rPr>
                                <w:t>b</w:t>
                              </w:r>
                              <w:r w:rsidRPr="00903888">
                                <w:rPr>
                                  <w:rFonts w:ascii="Calibri" w:hAnsi="Calibri" w:cs="Calibri"/>
                                  <w:sz w:val="20"/>
                                  <w:szCs w:val="20"/>
                                  <w:lang w:val="es-AR"/>
                                </w:rPr>
                                <w:t>)</w:t>
                              </w:r>
                            </w:p>
                          </w:txbxContent>
                        </wps:txbx>
                        <wps:bodyPr rot="0" vert="horz" wrap="square" lIns="91440" tIns="45720" rIns="91440" bIns="45720" anchor="t" anchorCtr="0" upright="1">
                          <a:noAutofit/>
                        </wps:bodyPr>
                      </wps:wsp>
                      <wps:wsp>
                        <wps:cNvPr id="2026623635" name="Text Box 513"/>
                        <wps:cNvSpPr txBox="1">
                          <a:spLocks noChangeArrowheads="1"/>
                        </wps:cNvSpPr>
                        <wps:spPr bwMode="auto">
                          <a:xfrm>
                            <a:off x="10019" y="10000"/>
                            <a:ext cx="729"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20C0F" w:rsidRPr="00991E54" w:rsidRDefault="00C20C0F" w:rsidP="00874DD5">
                              <w:pPr>
                                <w:jc w:val="center"/>
                                <w:rPr>
                                  <w:rFonts w:ascii="Calibri" w:hAnsi="Calibri" w:cs="Calibri"/>
                                  <w:sz w:val="20"/>
                                  <w:szCs w:val="20"/>
                                  <w:lang w:val="es-AR"/>
                                </w:rPr>
                              </w:pPr>
                              <w:r w:rsidRPr="00991E54">
                                <w:rPr>
                                  <w:rFonts w:ascii="Calibri" w:hAnsi="Calibri" w:cs="Calibri"/>
                                  <w:sz w:val="20"/>
                                  <w:szCs w:val="20"/>
                                  <w:lang w:val="es-AR"/>
                                </w:rPr>
                                <w:t>(</w:t>
                              </w:r>
                              <w:r>
                                <w:rPr>
                                  <w:rFonts w:ascii="Calibri" w:hAnsi="Calibri" w:cs="Calibri"/>
                                  <w:sz w:val="20"/>
                                  <w:szCs w:val="20"/>
                                  <w:lang w:val="es-AR"/>
                                </w:rPr>
                                <w:t>c</w:t>
                              </w:r>
                              <w:r w:rsidRPr="00991E54">
                                <w:rPr>
                                  <w:rFonts w:ascii="Calibri" w:hAnsi="Calibri" w:cs="Calibri"/>
                                  <w:sz w:val="20"/>
                                  <w:szCs w:val="20"/>
                                  <w:lang w:val="es-AR"/>
                                </w:rPr>
                                <w:t>)</w:t>
                              </w:r>
                            </w:p>
                          </w:txbxContent>
                        </wps:txbx>
                        <wps:bodyPr rot="0" vert="horz" wrap="square" lIns="91440" tIns="45720" rIns="91440" bIns="45720" anchor="t" anchorCtr="0" upright="1">
                          <a:noAutofit/>
                        </wps:bodyPr>
                      </wps:wsp>
                      <wps:wsp>
                        <wps:cNvPr id="2026623636" name="AutoShape 514"/>
                        <wps:cNvCnPr>
                          <a:cxnSpLocks noChangeShapeType="1"/>
                        </wps:cNvCnPr>
                        <wps:spPr bwMode="auto">
                          <a:xfrm>
                            <a:off x="9099" y="9730"/>
                            <a:ext cx="758" cy="0"/>
                          </a:xfrm>
                          <a:prstGeom prst="straightConnector1">
                            <a:avLst/>
                          </a:prstGeom>
                          <a:noFill/>
                          <a:ln w="38100">
                            <a:solidFill>
                              <a:srgbClr val="000000"/>
                            </a:solidFill>
                            <a:round/>
                            <a:headEnd type="oval" w="med" len="med"/>
                            <a:tailEnd type="oval" w="med" len="med"/>
                          </a:ln>
                          <a:extLst>
                            <a:ext uri="{909E8E84-426E-40DD-AFC4-6F175D3DCCD1}">
                              <a14:hiddenFill xmlns:a14="http://schemas.microsoft.com/office/drawing/2010/main">
                                <a:noFill/>
                              </a14:hiddenFill>
                            </a:ext>
                          </a:extLst>
                        </wps:spPr>
                        <wps:bodyPr/>
                      </wps:wsp>
                      <wps:wsp>
                        <wps:cNvPr id="2026623637" name="AutoShape 515"/>
                        <wps:cNvCnPr>
                          <a:cxnSpLocks noChangeShapeType="1"/>
                        </wps:cNvCnPr>
                        <wps:spPr bwMode="auto">
                          <a:xfrm flipV="1">
                            <a:off x="9099" y="9555"/>
                            <a:ext cx="758" cy="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026623638" name="17 CuadroTexto"/>
                        <wps:cNvSpPr txBox="1">
                          <a:spLocks noChangeArrowheads="1"/>
                        </wps:cNvSpPr>
                        <wps:spPr bwMode="auto">
                          <a:xfrm>
                            <a:off x="9200" y="9928"/>
                            <a:ext cx="558"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1 </w:t>
                              </w:r>
                            </w:p>
                          </w:txbxContent>
                        </wps:txbx>
                        <wps:bodyPr rot="0" vert="horz" wrap="square" lIns="91440" tIns="45720" rIns="91440" bIns="45720" anchor="ctr" anchorCtr="0" upright="1">
                          <a:noAutofit/>
                        </wps:bodyPr>
                      </wps:wsp>
                      <wps:wsp>
                        <wps:cNvPr id="2026623639" name="17 CuadroTexto"/>
                        <wps:cNvSpPr txBox="1">
                          <a:spLocks noChangeArrowheads="1"/>
                        </wps:cNvSpPr>
                        <wps:spPr bwMode="auto">
                          <a:xfrm>
                            <a:off x="9200" y="8953"/>
                            <a:ext cx="558"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2 </w:t>
                              </w:r>
                            </w:p>
                          </w:txbxContent>
                        </wps:txbx>
                        <wps:bodyPr rot="0" vert="horz" wrap="square" lIns="91440" tIns="45720" rIns="91440" bIns="45720" anchor="ctr" anchorCtr="0" upright="1">
                          <a:noAutofit/>
                        </wps:bodyPr>
                      </wps:wsp>
                      <wps:wsp>
                        <wps:cNvPr id="2026623640" name="17 CuadroTexto"/>
                        <wps:cNvSpPr txBox="1">
                          <a:spLocks noChangeArrowheads="1"/>
                        </wps:cNvSpPr>
                        <wps:spPr bwMode="auto">
                          <a:xfrm>
                            <a:off x="5470" y="10000"/>
                            <a:ext cx="558"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1 </w:t>
                              </w:r>
                            </w:p>
                          </w:txbxContent>
                        </wps:txbx>
                        <wps:bodyPr rot="0" vert="horz" wrap="square" lIns="91440" tIns="45720" rIns="91440" bIns="45720" anchor="ctr" anchorCtr="0" upright="1">
                          <a:noAutofit/>
                        </wps:bodyPr>
                      </wps:wsp>
                      <wps:wsp>
                        <wps:cNvPr id="2026623641" name="17 CuadroTexto"/>
                        <wps:cNvSpPr txBox="1">
                          <a:spLocks noChangeArrowheads="1"/>
                        </wps:cNvSpPr>
                        <wps:spPr bwMode="auto">
                          <a:xfrm>
                            <a:off x="6430" y="9182"/>
                            <a:ext cx="558"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2 </w:t>
                              </w:r>
                            </w:p>
                          </w:txbxContent>
                        </wps:txbx>
                        <wps:bodyPr rot="0" vert="horz" wrap="square" lIns="91440" tIns="45720" rIns="91440" bIns="45720" anchor="ctr" anchorCtr="0" upright="1">
                          <a:noAutofit/>
                        </wps:bodyPr>
                      </wps:wsp>
                      <wps:wsp>
                        <wps:cNvPr id="2026623642" name="AutoShape 520"/>
                        <wps:cNvCnPr>
                          <a:cxnSpLocks noChangeShapeType="1"/>
                        </wps:cNvCnPr>
                        <wps:spPr bwMode="auto">
                          <a:xfrm flipV="1">
                            <a:off x="6132" y="9078"/>
                            <a:ext cx="1" cy="75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026623644" name="AutoShape 521"/>
                        <wps:cNvCnPr>
                          <a:cxnSpLocks noChangeShapeType="1"/>
                        </wps:cNvCnPr>
                        <wps:spPr bwMode="auto">
                          <a:xfrm>
                            <a:off x="5375" y="9802"/>
                            <a:ext cx="758" cy="2"/>
                          </a:xfrm>
                          <a:prstGeom prst="straightConnector1">
                            <a:avLst/>
                          </a:prstGeom>
                          <a:noFill/>
                          <a:ln w="38100">
                            <a:solidFill>
                              <a:srgbClr val="000000"/>
                            </a:solidFill>
                            <a:round/>
                            <a:headEnd type="oval" w="med" len="med"/>
                            <a:tailEnd type="oval" w="med" len="med"/>
                          </a:ln>
                          <a:extLst>
                            <a:ext uri="{909E8E84-426E-40DD-AFC4-6F175D3DCCD1}">
                              <a14:hiddenFill xmlns:a14="http://schemas.microsoft.com/office/drawing/2010/main">
                                <a:noFill/>
                              </a14:hiddenFill>
                            </a:ext>
                          </a:extLst>
                        </wps:spPr>
                        <wps:bodyPr/>
                      </wps:wsp>
                      <wps:wsp>
                        <wps:cNvPr id="2026623645" name="17 CuadroTexto"/>
                        <wps:cNvSpPr txBox="1">
                          <a:spLocks noChangeArrowheads="1"/>
                        </wps:cNvSpPr>
                        <wps:spPr bwMode="auto">
                          <a:xfrm>
                            <a:off x="2237" y="9622"/>
                            <a:ext cx="519"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1 </w:t>
                              </w:r>
                            </w:p>
                          </w:txbxContent>
                        </wps:txbx>
                        <wps:bodyPr rot="0" vert="horz" wrap="square" lIns="91440" tIns="45720" rIns="91440" bIns="45720" anchor="ctr" anchorCtr="0" upright="1">
                          <a:noAutofit/>
                        </wps:bodyPr>
                      </wps:wsp>
                      <wps:wsp>
                        <wps:cNvPr id="2026623646" name="17 CuadroTexto"/>
                        <wps:cNvSpPr txBox="1">
                          <a:spLocks noChangeArrowheads="1"/>
                        </wps:cNvSpPr>
                        <wps:spPr bwMode="auto">
                          <a:xfrm>
                            <a:off x="3136" y="9622"/>
                            <a:ext cx="519"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2 </w:t>
                              </w:r>
                            </w:p>
                          </w:txbxContent>
                        </wps:txbx>
                        <wps:bodyPr rot="0" vert="horz" wrap="square" lIns="91440" tIns="45720" rIns="91440" bIns="45720" anchor="ctr" anchorCtr="0" upright="1">
                          <a:noAutofit/>
                        </wps:bodyPr>
                      </wps:wsp>
                      <wps:wsp>
                        <wps:cNvPr id="2026623647" name="AutoShape 524"/>
                        <wps:cNvCnPr>
                          <a:cxnSpLocks noChangeShapeType="1"/>
                        </wps:cNvCnPr>
                        <wps:spPr bwMode="auto">
                          <a:xfrm>
                            <a:off x="2139" y="9388"/>
                            <a:ext cx="758" cy="2"/>
                          </a:xfrm>
                          <a:prstGeom prst="straightConnector1">
                            <a:avLst/>
                          </a:prstGeom>
                          <a:noFill/>
                          <a:ln w="38100">
                            <a:solidFill>
                              <a:srgbClr val="000000"/>
                            </a:solidFill>
                            <a:round/>
                            <a:headEnd type="oval" w="med" len="med"/>
                            <a:tailEnd type="oval" w="med" len="med"/>
                          </a:ln>
                          <a:extLst>
                            <a:ext uri="{909E8E84-426E-40DD-AFC4-6F175D3DCCD1}">
                              <a14:hiddenFill xmlns:a14="http://schemas.microsoft.com/office/drawing/2010/main">
                                <a:noFill/>
                              </a14:hiddenFill>
                            </a:ext>
                          </a:extLst>
                        </wps:spPr>
                        <wps:bodyPr/>
                      </wps:wsp>
                      <wps:wsp>
                        <wps:cNvPr id="2026623648" name="AutoShape 525"/>
                        <wps:cNvCnPr>
                          <a:cxnSpLocks noChangeShapeType="1"/>
                        </wps:cNvCnPr>
                        <wps:spPr bwMode="auto">
                          <a:xfrm>
                            <a:off x="2988" y="9390"/>
                            <a:ext cx="667" cy="1"/>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8053657" id="Grupo 2026623632" o:spid="_x0000_s1151" style="position:absolute;left:0;text-align:left;margin-left:31.1pt;margin-top:7.65pt;width:414.4pt;height:71.35pt;z-index:251815936" coordorigin="2139,8953" coordsize="8609,1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mxvSwYAAFQ4AAAOAAAAZHJzL2Uyb0RvYy54bWzsW1tvo0YUfq/U/zDi3Wsuw82Ks9q146jS&#10;tl1p075PANuowNABx85W/e89ZwYIZu04TXaRLZEHBxgYZs6cy3e+OVy936UJeYhEEfNsqhnvdI1E&#10;WcDDOFtNtT/uFiNPI0XJspAlPIum2mNUaO+vf/7paptPIpOveRJGgkAnWTHZ5lNtXZb5ZDwugnWU&#10;suIdz6MMGpdcpKyEU7Eah4Jtofc0GZu67oy3XIS54EFUFHB1rhq1a9n/chkF5e/LZRGVJJlqMLZS&#10;/gr5e4+/4+srNlkJlq/joBoGe8UoUhZn8NKmqzkrGdmI+Juu0jgQvODL8l3A0zFfLuMgknOA2Rh6&#10;Zza3gm9yOZfVZLvKGzGBaDtyenW3wW8PnwWJw6lm6qbjmJZjmRrJWAprdSs2OSet6yCsbb6awDO3&#10;Iv+SfxZqxnD4iQd/FdA87rbj+UrdTO63v/IQ+mWbkkth7ZYixS5ADGQn1+SxWZNoV5IALtqmY3oe&#10;LF0Abb7uGNRWixasYWXxMdOwfI1Aq+fbVt12Uz3uOTo04rOGo7vYOmYT9V451mpsODFQwOJJxsXb&#10;ZPxlzfJILl2B8urK2KplfIfz/Mh3xDYMHB0OA+5H4ZJyBw0wcCmrQsmYZHy2Ztkq+iAE364jFsJA&#10;5ZMwneZR1U+BnZwSumn7YKIoHx3+lPhq2btmJTtqqlfUomOTXBTlbcRTggdTTYChyWGyh09FqaRc&#10;34IrXPAkDhdxksgTsbqfJYI8MDDKhfyrFmbvtiTDmzOOj6ke1RUYHbwD23Cc0sj+8Q2T6h9Nf7Rw&#10;PHdEF9Qe+a7ujXTD/+g7OvXpfPEvDtCgk3UchlH2Kc6i2uAN+rLFrlyPMlVp8mQLSmmbtlqio5NE&#10;0SrhgvbtTTKNS/B/SZyC+jY3sQku7E0WwrTZpGRxoo7H+8OXugwyqP9LqUg1wJVXOlDu7nfSvC1a&#10;q9c9Dx9BMQSHdQO7AucNB2suvmpkC45wqhV/b5iINJL8koFy+Qal6DnlCbVdE05Eu+W+3cKyALqa&#10;aqVG1OGsVN52k4t4tYY3KXXO+AfwAstY6gpqrhqV9CDSEPu2SHrAIs1aZL1apAMmWVmkAZKXOnDA&#10;ImVL48wGi9THl2aRMpA96f5gkfs4xD5gkTK+twJdPzESQqNRm2Tlx1XwQYDSCpKDSQKYvegg6dQe&#10;fwiSh2CrU5skBm8JcQG3NsACouQsU0lBsMuqpKABrPL2u8ccEoA9vKoeQZt+EV71dV+Zou9a3eBo&#10;A5JFqH/CDotSMMQiM55lgFu5UJDkCHRtACibJBniPcsDf/BqwAcpXYXrKoxHSikTDmgYANhUS6MQ&#10;oFcE2TQetRHgyTsBDTwDkXX/xrvx6Iiazs2I6vP56MNiRkfOwnDtuTWfzebGPkRG4P12iNwB8Q0A&#10;V9kADPkEglWWiAkA6gikaH0jQ/eQ0jex+8cpPVkmcf5nDZirHPlJ/W27SoQbbFirv4Stx5Hheal/&#10;W8FxkQcVrqiv/0XpnKAbwC8qSsdwyWzDQsGRd+B1sOs1vfGBtpPpje+b3n52Y9caTC0J9I7r8Cm+&#10;Yc9pdzzQmfrIPVqgeAlF0qID9p3puTAjhq/br4+U/VEjkhfsLRELSnFp5AggrvPzH090bx0BW/5D&#10;xsbBfzxLsQ7+4ztRqzKMDf4DciIUAqCJznYH8sdn4z9s6ir8cWDDo3EglvPGDY8BgJzD1sylABC/&#10;RuK90E6XB0CocUYOxKFAPOGOqW94MtV+4oJb/uNEEj4kMLAVPACQ7wNA1C7hAECOA5CmpqVFXMNG&#10;NhBOFWL5QcT1QQ7PMbDGBh2I7nYYEPBzSGC79gn3MXB4TYnYQZ7s202oDgl0cTQ0bQoU2iosUeqP&#10;VWEUXEU+25YLm7KouJ7eiXxuTd1dlOKe3FFpqm9O3jkQ13XN5kGDxDLNQyWOzxPXUOt3PomjaVqw&#10;FYTa75gd7bexPAAdt6Uc+kA8DcRTDzV9kBZVCGbIGw8TT03BwhlsfFmGBcMZ/MeqVT+L4GLY+OrI&#10;oLeNLyrD2JA3Hs8bD9V+mP0WPDWfN/iW18kWB9A9VIt8/2oR2lSLtDPNHgqeWpmm6YOuy1hp+Z0q&#10;P8cBo5Qf9CD4OY60B4rkDCgS+Y0VfLomF6r6zA6/jWufw3H7Y8Dr/wAAAP//AwBQSwMEFAAGAAgA&#10;AAAhADYj1YDfAAAACQEAAA8AAABkcnMvZG93bnJldi54bWxMj0FrwkAQhe+F/odlCr3VTSJKGrMR&#10;kbYnKVQLxduaHZNgdjZk1yT++46n9jjvPd58L19PthUD9r5xpCCeRSCQSmcaqhR8H95fUhA+aDK6&#10;dYQKbuhhXTw+5DozbqQvHPahElxCPtMK6hC6TEpf1mi1n7kOib2z660OfPaVNL0eudy2MomipbS6&#10;If5Q6w63NZaX/dUq+Bj1uJnHb8Puct7ejofF588uRqWen6bNCkTAKfyF4Y7P6FAw08ldyXjRKlgm&#10;CSdZX8xBsJ++xrztdBfSCGSRy/8Lil8AAAD//wMAUEsBAi0AFAAGAAgAAAAhALaDOJL+AAAA4QEA&#10;ABMAAAAAAAAAAAAAAAAAAAAAAFtDb250ZW50X1R5cGVzXS54bWxQSwECLQAUAAYACAAAACEAOP0h&#10;/9YAAACUAQAACwAAAAAAAAAAAAAAAAAvAQAAX3JlbHMvLnJlbHNQSwECLQAUAAYACAAAACEAxmps&#10;b0sGAABUOAAADgAAAAAAAAAAAAAAAAAuAgAAZHJzL2Uyb0RvYy54bWxQSwECLQAUAAYACAAAACEA&#10;NiPVgN8AAAAJAQAADwAAAAAAAAAAAAAAAAClCAAAZHJzL2Rvd25yZXYueG1sUEsFBgAAAAAEAAQA&#10;8wAAALEJAAAAAA==&#10;">
                <v:shape id="Text Box 511" o:spid="_x0000_s1152" type="#_x0000_t202" style="position:absolute;left:2598;top:10000;width:729;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kazygAAAOMAAAAPAAAAZHJzL2Rvd25yZXYueG1sRI/NbsIw&#10;EITvlfoO1lbqpQKnSTEQMKit1IorPw+wxEsSEa+j2CXh7WskJI6jmflGs1wPthEX6nztWMP7OAFB&#10;XDhTc6nhsP8ZzUD4gGywcUwaruRhvXp+WmJuXM9buuxCKSKEfY4aqhDaXEpfVGTRj11LHL2T6yyG&#10;KLtSmg77CLeNTJNESYs1x4UKW/quqDjv/qyG06Z/m8z74284TLcf6gvr6dFdtX59GT4XIAIN4RG+&#10;tzdGQ5qkSqWZyjK4fYp/QK7+AQAA//8DAFBLAQItABQABgAIAAAAIQDb4fbL7gAAAIUBAAATAAAA&#10;AAAAAAAAAAAAAAAAAABbQ29udGVudF9UeXBlc10ueG1sUEsBAi0AFAAGAAgAAAAhAFr0LFu/AAAA&#10;FQEAAAsAAAAAAAAAAAAAAAAAHwEAAF9yZWxzLy5yZWxzUEsBAi0AFAAGAAgAAAAhAGpmRrPKAAAA&#10;4wAAAA8AAAAAAAAAAAAAAAAABwIAAGRycy9kb3ducmV2LnhtbFBLBQYAAAAAAwADALcAAAD+AgAA&#10;AAA=&#10;" stroked="f">
                  <v:textbox>
                    <w:txbxContent>
                      <w:p w:rsidR="00C20C0F" w:rsidRPr="00A33AFF" w:rsidRDefault="00C20C0F" w:rsidP="00874DD5">
                        <w:pPr>
                          <w:jc w:val="center"/>
                          <w:rPr>
                            <w:rFonts w:ascii="Calibri" w:hAnsi="Calibri" w:cs="Calibri"/>
                            <w:sz w:val="20"/>
                            <w:szCs w:val="20"/>
                            <w:lang w:val="es-AR"/>
                          </w:rPr>
                        </w:pPr>
                        <w:r w:rsidRPr="00A33AFF">
                          <w:rPr>
                            <w:rFonts w:ascii="Calibri" w:hAnsi="Calibri" w:cs="Calibri"/>
                            <w:sz w:val="20"/>
                            <w:szCs w:val="20"/>
                            <w:lang w:val="es-AR"/>
                          </w:rPr>
                          <w:t>(a)</w:t>
                        </w:r>
                      </w:p>
                    </w:txbxContent>
                  </v:textbox>
                </v:shape>
                <v:shape id="Text Box 512" o:spid="_x0000_s1153" type="#_x0000_t202" style="position:absolute;left:6259;top:10140;width:729;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97HygAAAOMAAAAPAAAAZHJzL2Rvd25yZXYueG1sRI/NbsIw&#10;EITvlfoO1lbiUoHTAAYCBhWkVlz5eYAlXpKo8TqKXRLeHleqxHE0M99oVpve1uJGra8ca/gYJSCI&#10;c2cqLjScT1/DOQgfkA3WjknDnTxs1q8vK8yM6/hAt2MoRISwz1BDGUKTSenzkiz6kWuIo3d1rcUQ&#10;ZVtI02IX4baWaZIoabHiuFBiQ7uS8p/jr9Vw3Xfv00V3+Q7n2WGitljNLu6u9eCt/1yCCNSHZ/i/&#10;vTca0iRVKh2r8QT+PsU/INcPAAAA//8DAFBLAQItABQABgAIAAAAIQDb4fbL7gAAAIUBAAATAAAA&#10;AAAAAAAAAAAAAAAAAABbQ29udGVudF9UeXBlc10ueG1sUEsBAi0AFAAGAAgAAAAhAFr0LFu/AAAA&#10;FQEAAAsAAAAAAAAAAAAAAAAAHwEAAF9yZWxzLy5yZWxzUEsBAi0AFAAGAAgAAAAhAOWP3sfKAAAA&#10;4wAAAA8AAAAAAAAAAAAAAAAABwIAAGRycy9kb3ducmV2LnhtbFBLBQYAAAAAAwADALcAAAD+AgAA&#10;AAA=&#10;" stroked="f">
                  <v:textbox>
                    <w:txbxContent>
                      <w:p w:rsidR="00C20C0F" w:rsidRPr="00903888" w:rsidRDefault="00C20C0F" w:rsidP="00874DD5">
                        <w:pPr>
                          <w:jc w:val="center"/>
                          <w:rPr>
                            <w:rFonts w:ascii="Calibri" w:hAnsi="Calibri" w:cs="Calibri"/>
                            <w:sz w:val="20"/>
                            <w:szCs w:val="20"/>
                            <w:lang w:val="es-AR"/>
                          </w:rPr>
                        </w:pPr>
                        <w:r w:rsidRPr="00903888">
                          <w:rPr>
                            <w:rFonts w:ascii="Calibri" w:hAnsi="Calibri" w:cs="Calibri"/>
                            <w:sz w:val="20"/>
                            <w:szCs w:val="20"/>
                            <w:lang w:val="es-AR"/>
                          </w:rPr>
                          <w:t>(</w:t>
                        </w:r>
                        <w:r>
                          <w:rPr>
                            <w:rFonts w:ascii="Calibri" w:hAnsi="Calibri" w:cs="Calibri"/>
                            <w:sz w:val="20"/>
                            <w:szCs w:val="20"/>
                            <w:lang w:val="es-AR"/>
                          </w:rPr>
                          <w:t>b</w:t>
                        </w:r>
                        <w:r w:rsidRPr="00903888">
                          <w:rPr>
                            <w:rFonts w:ascii="Calibri" w:hAnsi="Calibri" w:cs="Calibri"/>
                            <w:sz w:val="20"/>
                            <w:szCs w:val="20"/>
                            <w:lang w:val="es-AR"/>
                          </w:rPr>
                          <w:t>)</w:t>
                        </w:r>
                      </w:p>
                    </w:txbxContent>
                  </v:textbox>
                </v:shape>
                <v:shape id="Text Box 513" o:spid="_x0000_s1154" type="#_x0000_t202" style="position:absolute;left:10019;top:10000;width:729;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3tcyQAAAOMAAAAPAAAAZHJzL2Rvd25yZXYueG1sRI/BbsIw&#10;EETvSP0Hayv1gorTUEwbMKggUXGF8gFLvCQR8TqKXRL+HiMhcRzNzBvNfNnbWlyo9ZVjDR+jBARx&#10;7kzFhYbD3+b9C4QPyAZrx6ThSh6Wi5fBHDPjOt7RZR8KESHsM9RQhtBkUvq8JIt+5Bri6J1cazFE&#10;2RbStNhFuK1lmiRKWqw4LpTY0Lqk/Lz/txpO2244+e6Ov+Ew3X2qFVbTo7tq/fba/8xABOrDM/xo&#10;b42GNEmVSsdqPIH7p/gH5OIGAAD//wMAUEsBAi0AFAAGAAgAAAAhANvh9svuAAAAhQEAABMAAAAA&#10;AAAAAAAAAAAAAAAAAFtDb250ZW50X1R5cGVzXS54bWxQSwECLQAUAAYACAAAACEAWvQsW78AAAAV&#10;AQAACwAAAAAAAAAAAAAAAAAfAQAAX3JlbHMvLnJlbHNQSwECLQAUAAYACAAAACEAisN7XMkAAADj&#10;AAAADwAAAAAAAAAAAAAAAAAHAgAAZHJzL2Rvd25yZXYueG1sUEsFBgAAAAADAAMAtwAAAP0CAAAA&#10;AA==&#10;" stroked="f">
                  <v:textbox>
                    <w:txbxContent>
                      <w:p w:rsidR="00C20C0F" w:rsidRPr="00991E54" w:rsidRDefault="00C20C0F" w:rsidP="00874DD5">
                        <w:pPr>
                          <w:jc w:val="center"/>
                          <w:rPr>
                            <w:rFonts w:ascii="Calibri" w:hAnsi="Calibri" w:cs="Calibri"/>
                            <w:sz w:val="20"/>
                            <w:szCs w:val="20"/>
                            <w:lang w:val="es-AR"/>
                          </w:rPr>
                        </w:pPr>
                        <w:r w:rsidRPr="00991E54">
                          <w:rPr>
                            <w:rFonts w:ascii="Calibri" w:hAnsi="Calibri" w:cs="Calibri"/>
                            <w:sz w:val="20"/>
                            <w:szCs w:val="20"/>
                            <w:lang w:val="es-AR"/>
                          </w:rPr>
                          <w:t>(</w:t>
                        </w:r>
                        <w:r>
                          <w:rPr>
                            <w:rFonts w:ascii="Calibri" w:hAnsi="Calibri" w:cs="Calibri"/>
                            <w:sz w:val="20"/>
                            <w:szCs w:val="20"/>
                            <w:lang w:val="es-AR"/>
                          </w:rPr>
                          <w:t>c</w:t>
                        </w:r>
                        <w:r w:rsidRPr="00991E54">
                          <w:rPr>
                            <w:rFonts w:ascii="Calibri" w:hAnsi="Calibri" w:cs="Calibri"/>
                            <w:sz w:val="20"/>
                            <w:szCs w:val="20"/>
                            <w:lang w:val="es-AR"/>
                          </w:rPr>
                          <w:t>)</w:t>
                        </w:r>
                      </w:p>
                    </w:txbxContent>
                  </v:textbox>
                </v:shape>
                <v:shape id="AutoShape 514" o:spid="_x0000_s1155" type="#_x0000_t32" style="position:absolute;left:9099;top:9730;width:7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WcryQAAAOMAAAAPAAAAZHJzL2Rvd25yZXYueG1sRI9BSwMx&#10;FITvgv8hPMGbzZotQbZNSxEVD6XQVfD62Lzubrt5WTaxjf/eFASPw8x8wyzXyQ3iTFPoPRt4nBUg&#10;iBtve24NfH68PjyBCBHZ4uCZDPxQgPXq9maJlfUX3tO5jq3IEA4VGuhiHCspQ9ORwzDzI3H2Dn5y&#10;GLOcWmknvGS4G6QqCi0d9pwXOhzpuaPmVH+7TJm/lIetevsajy2mcm+pTn5nzP1d2ixARErxP/zX&#10;frcGVKG0VqUuNVw/5T8gV78AAAD//wMAUEsBAi0AFAAGAAgAAAAhANvh9svuAAAAhQEAABMAAAAA&#10;AAAAAAAAAAAAAAAAAFtDb250ZW50X1R5cGVzXS54bWxQSwECLQAUAAYACAAAACEAWvQsW78AAAAV&#10;AQAACwAAAAAAAAAAAAAAAAAfAQAAX3JlbHMvLnJlbHNQSwECLQAUAAYACAAAACEAXylnK8kAAADj&#10;AAAADwAAAAAAAAAAAAAAAAAHAgAAZHJzL2Rvd25yZXYueG1sUEsFBgAAAAADAAMAtwAAAP0CAAAA&#10;AA==&#10;" strokeweight="3pt">
                  <v:stroke startarrow="oval" endarrow="oval"/>
                </v:shape>
                <v:shape id="AutoShape 515" o:spid="_x0000_s1156" type="#_x0000_t32" style="position:absolute;left:9099;top:9555;width:758;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f92zAAAAOMAAAAPAAAAZHJzL2Rvd25yZXYueG1sRI9Ba8JA&#10;FITvhf6H5RW81d1GiJK6ilQE0YJoCqW3R/aZpM2+DdlV0/56tyB4HGbmG2Y6720jztT52rGGl6EC&#10;QVw4U3Op4SNfPU9A+IBssHFMGn7Jw3z2+DDFzLgL7+l8CKWIEPYZaqhCaDMpfVGRRT90LXH0jq6z&#10;GKLsSmk6vES4bWSiVCot1hwXKmzpraLi53CykaI2i1zlX6f17nOz+3s/Lsfb4lvrwVO/eAURqA/3&#10;8K29NhoSlaRpMkpHY/j/FP+AnF0BAAD//wMAUEsBAi0AFAAGAAgAAAAhANvh9svuAAAAhQEAABMA&#10;AAAAAAAAAAAAAAAAAAAAAFtDb250ZW50X1R5cGVzXS54bWxQSwECLQAUAAYACAAAACEAWvQsW78A&#10;AAAVAQAACwAAAAAAAAAAAAAAAAAfAQAAX3JlbHMvLnJlbHNQSwECLQAUAAYACAAAACEA/I3/dswA&#10;AADjAAAADwAAAAAAAAAAAAAAAAAHAgAAZHJzL2Rvd25yZXYueG1sUEsFBgAAAAADAAMAtwAAAAAD&#10;AAAAAA==&#10;" strokeweight="3pt"/>
                <v:shape id="17 CuadroTexto" o:spid="_x0000_s1157" type="#_x0000_t202" style="position:absolute;left:9200;top:9928;width:558;height: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QrEyQAAAOMAAAAPAAAAZHJzL2Rvd25yZXYueG1sRE9bS8Mw&#10;FH4X9h/CEXxzia2EUZeNoYiCDrZujj0emtMLa5KSxK7+e/Mg+Pjx3ZfryfRsJB86ZxU8zAUwspXT&#10;nW0UHA+v9wtgIaLV2DtLCn4owHo1u1liod3V7mksY8NSiA0FKmhjHArOQ9WSwTB3A9nE1c4bjAn6&#10;hmuP1xRuep4JIbnBzqaGFgd6bqm6lN9GgXxZbB/H7Ud+8p9vu/O5Pn7VpVDq7nbaPAGLNMV/8Z/7&#10;XSvIRCZllss8jU6f0h/gq18AAAD//wMAUEsBAi0AFAAGAAgAAAAhANvh9svuAAAAhQEAABMAAAAA&#10;AAAAAAAAAAAAAAAAAFtDb250ZW50X1R5cGVzXS54bWxQSwECLQAUAAYACAAAACEAWvQsW78AAAAV&#10;AQAACwAAAAAAAAAAAAAAAAAfAQAAX3JlbHMvLnJlbHNQSwECLQAUAAYACAAAACEA3WEKxMkAAADj&#10;AAAADwAAAAAAAAAAAAAAAAAHAgAAZHJzL2Rvd25yZXYueG1sUEsFBgAAAAADAAMAtwAAAP0CAAAA&#10;AA==&#10;" filled="f" stroked="f" strokeweight="1.5pt">
                  <v:textbo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1 </w:t>
                        </w:r>
                      </w:p>
                    </w:txbxContent>
                  </v:textbox>
                </v:shape>
                <v:shape id="17 CuadroTexto" o:spid="_x0000_s1158" type="#_x0000_t202" style="position:absolute;left:9200;top:8953;width:558;height: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a9fzAAAAOMAAAAPAAAAZHJzL2Rvd25yZXYueG1sRI/dSgMx&#10;FITvhb5DOIJ3NnFXQl2bFlFEQQu6Vull2Jz9oZuTJYnb7ds3BcHLYWa+YZbryfZsRB86Rwpu5gIY&#10;UuVMR42C7dfz9QJYiJqM7h2hgiMGWK9mF0tdGHegTxzL2LAEoVBoBW2MQ8F5qFq0OszdgJS82nmr&#10;Y5K+4cbrQ4LbnmdCSG51R2mh1QM+tljty1+rQD4tNrfj5i3/8e8vH7tdvf2uS6HU1eX0cA8s4hT/&#10;w3/tV6MgE5mUWS7zOzh/Sn+Ar04AAAD//wMAUEsBAi0AFAAGAAgAAAAhANvh9svuAAAAhQEAABMA&#10;AAAAAAAAAAAAAAAAAAAAAFtDb250ZW50X1R5cGVzXS54bWxQSwECLQAUAAYACAAAACEAWvQsW78A&#10;AAAVAQAACwAAAAAAAAAAAAAAAAAfAQAAX3JlbHMvLnJlbHNQSwECLQAUAAYACAAAACEAsi2vX8wA&#10;AADjAAAADwAAAAAAAAAAAAAAAAAHAgAAZHJzL2Rvd25yZXYueG1sUEsFBgAAAAADAAMAtwAAAAAD&#10;AAAAAA==&#10;" filled="f" stroked="f" strokeweight="1.5pt">
                  <v:textbo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2 </w:t>
                        </w:r>
                      </w:p>
                    </w:txbxContent>
                  </v:textbox>
                </v:shape>
                <v:shape id="17 CuadroTexto" o:spid="_x0000_s1159" type="#_x0000_t202" style="position:absolute;left:5470;top:10000;width:558;height:3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XW/ygAAAOMAAAAPAAAAZHJzL2Rvd25yZXYueG1sRI/LSgMx&#10;FIb3gu8QjuDOJk5LKGPTIoooaEHHKl0eJmcuODkZkjgd394sBJc//41vs5vdICYKsfds4HqhQBDX&#10;3vbcGji8P1ytQcSEbHHwTAZ+KMJue362wdL6E7/RVKVW5BGOJRroUhpLKWPdkcO48CNx9hofHKYs&#10;QyttwFMed4MslNLSYc/5ocOR7jqqv6pvZ0Dfr/eraf+8/Awvj6/HY3P4aCplzOXFfHsDItGc/sN/&#10;7SdroFCF1sVSrzJFZso8ILe/AAAA//8DAFBLAQItABQABgAIAAAAIQDb4fbL7gAAAIUBAAATAAAA&#10;AAAAAAAAAAAAAAAAAABbQ29udGVudF9UeXBlc10ueG1sUEsBAi0AFAAGAAgAAAAhAFr0LFu/AAAA&#10;FQEAAAsAAAAAAAAAAAAAAAAAHwEAAF9yZWxzLy5yZWxzUEsBAi0AFAAGAAgAAAAhAHsRdb/KAAAA&#10;4wAAAA8AAAAAAAAAAAAAAAAABwIAAGRycy9kb3ducmV2LnhtbFBLBQYAAAAAAwADALcAAAD+AgAA&#10;AAA=&#10;" filled="f" stroked="f" strokeweight="1.5pt">
                  <v:textbo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1 </w:t>
                        </w:r>
                      </w:p>
                    </w:txbxContent>
                  </v:textbox>
                </v:shape>
                <v:shape id="17 CuadroTexto" o:spid="_x0000_s1160" type="#_x0000_t202" style="position:absolute;left:6430;top:9182;width:558;height: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dAkzAAAAOMAAAAPAAAAZHJzL2Rvd25yZXYueG1sRI/dSgMx&#10;FITvBd8hHME7m3RbQlmblqKIghbstpZehs3ZH9ycLEncrm/fCAUvh5n5hlmuR9uxAX1oHSmYTgQw&#10;pNKZlmoFh/3LwwJYiJqM7hyhgl8MsF7d3ix1btyZdjgUsWYJQiHXCpoY+5zzUDZodZi4Hil5lfNW&#10;xyR9zY3X5wS3Hc+EkNzqltJCo3t8arD8Ln6sAvm82M6H7fvs6D9eP0+n6vBVFUKp+7tx8wgs4hj/&#10;w9f2m1GQiUzKbCbnU/j7lP4AX10AAAD//wMAUEsBAi0AFAAGAAgAAAAhANvh9svuAAAAhQEAABMA&#10;AAAAAAAAAAAAAAAAAAAAAFtDb250ZW50X1R5cGVzXS54bWxQSwECLQAUAAYACAAAACEAWvQsW78A&#10;AAAVAQAACwAAAAAAAAAAAAAAAAAfAQAAX3JlbHMvLnJlbHNQSwECLQAUAAYACAAAACEAFF3QJMwA&#10;AADjAAAADwAAAAAAAAAAAAAAAAAHAgAAZHJzL2Rvd25yZXYueG1sUEsFBgAAAAADAAMAtwAAAAAD&#10;AAAAAA==&#10;" filled="f" stroked="f" strokeweight="1.5pt">
                  <v:textbo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2 </w:t>
                        </w:r>
                      </w:p>
                    </w:txbxContent>
                  </v:textbox>
                </v:shape>
                <v:shape id="AutoShape 520" o:spid="_x0000_s1161" type="#_x0000_t32" style="position:absolute;left:6132;top:9078;width:1;height:7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TzAAAAOMAAAAPAAAAZHJzL2Rvd25yZXYueG1sRI9RS8Mw&#10;FIXfBf9DuMLeXGIm3eiWjaEIYwrDVZC9XZq7ttrclCbbqr/eCIKPh3POdziL1eBacaY+NJ4N3I0V&#10;COLS24YrA2/F0+0MRIjIFlvPZOCLAqyW11cLzK2/8Cud97ESCcIhRwN1jF0uZShrchjGviNO3tH3&#10;DmOSfSVtj5cEd63USmXSYcNpocaOHmoqP/cnlyhquy5UcThtdu/b3ffL8XH6XH4YM7oZ1nMQkYb4&#10;H/5rb6wBrXSW6Ul2r+H3U/oDcvkDAAD//wMAUEsBAi0AFAAGAAgAAAAhANvh9svuAAAAhQEAABMA&#10;AAAAAAAAAAAAAAAAAAAAAFtDb250ZW50X1R5cGVzXS54bWxQSwECLQAUAAYACAAAACEAWvQsW78A&#10;AAAVAQAACwAAAAAAAAAAAAAAAAAfAQAAX3JlbHMvLnJlbHNQSwECLQAUAAYACAAAACEAtPwvk8wA&#10;AADjAAAADwAAAAAAAAAAAAAAAAAHAgAAZHJzL2Rvd25yZXYueG1sUEsFBgAAAAADAAMAtwAAAAAD&#10;AAAAAA==&#10;" strokeweight="3pt"/>
                <v:shape id="AutoShape 521" o:spid="_x0000_s1162" type="#_x0000_t32" style="position:absolute;left:5375;top:9802;width:758;height: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S+6yAAAAOMAAAAPAAAAZHJzL2Rvd25yZXYueG1sRI9BS8Qw&#10;FITvgv8hPMGbTU1LkbppEVHxsAjbFbw+mrdttXkpTdyN/34jCB6HmfmG2bTRzuJIq58ca7jNchDE&#10;vTMTDxre9883dyB8QDY4OyYNP+ShbS4vNlgbd+IdHbswiARhX6OGMYSlltL3I1n0mVuIk3dwq8WQ&#10;5DpIs+Ipwe0sVZ5X0uLEaWHEhR5H6r+6b5so5VNx2KqXj+VzwFjsDHXRvWl9fRUf7kEEiuE//Nd+&#10;NRpUrqpKFVVZwu+n9AdkcwYAAP//AwBQSwECLQAUAAYACAAAACEA2+H2y+4AAACFAQAAEwAAAAAA&#10;AAAAAAAAAAAAAAAAW0NvbnRlbnRfVHlwZXNdLnhtbFBLAQItABQABgAIAAAAIQBa9CxbvwAAABUB&#10;AAALAAAAAAAAAAAAAAAAAB8BAABfcmVscy8ucmVsc1BLAQItABQABgAIAAAAIQCYsS+6yAAAAOMA&#10;AAAPAAAAAAAAAAAAAAAAAAcCAABkcnMvZG93bnJldi54bWxQSwUGAAAAAAMAAwC3AAAA/AIAAAAA&#10;" strokeweight="3pt">
                  <v:stroke startarrow="oval" endarrow="oval"/>
                </v:shape>
                <v:shape id="17 CuadroTexto" o:spid="_x0000_s1163" type="#_x0000_t202" style="position:absolute;left:2237;top:9622;width:519;height: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tYnzAAAAOMAAAAPAAAAZHJzL2Rvd25yZXYueG1sRI/dSgMx&#10;FITvBd8hHME7m7itoWybFlFEwRbatZZehs3ZH9ycLEncrm/fCIKXw8x8wyzXo+3YgD60jhTcTwQw&#10;pNKZlmoFh4+XuzmwEDUZ3TlCBT8YYL26vlrq3Lgz7XEoYs0ShEKuFTQx9jnnoWzQ6jBxPVLyKuet&#10;jkn6mhuvzwluO54JIbnVLaWFRvf41GD5VXxbBfJ5vp0N2/fp0W9ed6dTdfisCqHU7c34uAAWcYz/&#10;4b/2m1GQiUzKbCpnD/D7Kf0BvroAAAD//wMAUEsBAi0AFAAGAAgAAAAhANvh9svuAAAAhQEAABMA&#10;AAAAAAAAAAAAAAAAAAAAAFtDb250ZW50X1R5cGVzXS54bWxQSwECLQAUAAYACAAAACEAWvQsW78A&#10;AAAVAQAACwAAAAAAAAAAAAAAAAAfAQAAX3JlbHMvLnJlbHNQSwECLQAUAAYACAAAACEAa2bWJ8wA&#10;AADjAAAADwAAAAAAAAAAAAAAAAAHAgAAZHJzL2Rvd25yZXYueG1sUEsFBgAAAAADAAMAtwAAAAAD&#10;AAAAAA==&#10;" filled="f" stroked="f" strokeweight="1.5pt">
                  <v:textbo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1 </w:t>
                        </w:r>
                      </w:p>
                    </w:txbxContent>
                  </v:textbox>
                </v:shape>
                <v:shape id="17 CuadroTexto" o:spid="_x0000_s1164" type="#_x0000_t202" style="position:absolute;left:3136;top:9622;width:519;height: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hQzAAAAOMAAAAPAAAAZHJzL2Rvd25yZXYueG1sRI/dSgMx&#10;FITvBd8hHME7m3RbQtk2LUURBS20ay29PGzO/uAmWZK4Xd/eCEIvh5n5hlltRtOxgXxonVUwnQhg&#10;ZEunW1srOH48PyyAhYhWY+csKfihAJv17c0Kc+0u9kBDEWuWIDbkqKCJsc85D2VDBsPE9WSTVzlv&#10;MCbpa649XhLcdDwTQnKDrU0LDfb02FD5VXwbBfJpsZsPu7fZyb+/7M/n6vhZFUKp+7txuwQWaYzX&#10;8H/7VSvIRCZlNpNzCX+f0h/g618AAAD//wMAUEsBAi0AFAAGAAgAAAAhANvh9svuAAAAhQEAABMA&#10;AAAAAAAAAAAAAAAAAAAAAFtDb250ZW50X1R5cGVzXS54bWxQSwECLQAUAAYACAAAACEAWvQsW78A&#10;AAAVAQAACwAAAAAAAAAAAAAAAAAfAQAAX3JlbHMvLnJlbHNQSwECLQAUAAYACAAAACEAm7RIUMwA&#10;AADjAAAADwAAAAAAAAAAAAAAAAAHAgAAZHJzL2Rvd25yZXYueG1sUEsFBgAAAAADAAMAtwAAAAAD&#10;AAAAAA==&#10;" filled="f" stroked="f" strokeweight="1.5pt">
                  <v:textbox>
                    <w:txbxContent>
                      <w:p w:rsidR="00C20C0F" w:rsidRPr="00D8773A" w:rsidRDefault="00C20C0F" w:rsidP="00874DD5">
                        <w:pPr>
                          <w:pStyle w:val="NormalWeb"/>
                          <w:spacing w:before="0" w:beforeAutospacing="0" w:after="0" w:afterAutospacing="0"/>
                          <w:jc w:val="center"/>
                          <w:rPr>
                            <w:b/>
                            <w:bCs/>
                            <w:iCs/>
                            <w:color w:val="000000"/>
                            <w:kern w:val="24"/>
                            <w:sz w:val="18"/>
                            <w:szCs w:val="18"/>
                            <w:vertAlign w:val="subscript"/>
                            <w:lang w:val="es-AR"/>
                          </w:rPr>
                        </w:pPr>
                        <w:r>
                          <w:rPr>
                            <w:b/>
                            <w:bCs/>
                            <w:iCs/>
                            <w:color w:val="000000"/>
                            <w:kern w:val="24"/>
                            <w:sz w:val="18"/>
                            <w:szCs w:val="18"/>
                            <w:lang w:val="es-AR"/>
                          </w:rPr>
                          <w:t>l</w:t>
                        </w:r>
                        <w:r>
                          <w:rPr>
                            <w:b/>
                            <w:bCs/>
                            <w:iCs/>
                            <w:color w:val="000000"/>
                            <w:kern w:val="24"/>
                            <w:sz w:val="18"/>
                            <w:szCs w:val="18"/>
                            <w:vertAlign w:val="subscript"/>
                            <w:lang w:val="es-AR"/>
                          </w:rPr>
                          <w:t xml:space="preserve">2 </w:t>
                        </w:r>
                      </w:p>
                    </w:txbxContent>
                  </v:textbox>
                </v:shape>
                <v:shape id="AutoShape 524" o:spid="_x0000_s1165" type="#_x0000_t32" style="position:absolute;left:2139;top:9388;width:758;height: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7HNygAAAOMAAAAPAAAAZHJzL2Rvd25yZXYueG1sRI9Ba8JA&#10;FITvhf6H5RW81U03kkp0lVKq9FAKRsHrI/tMYrNvQ3ar67/vFgo9DjPzDbNcR9uLC42+c6zhaZqB&#10;IK6d6bjRcNhvHucgfEA22DsmDTfysF7d3y2xNO7KO7pUoREJwr5EDW0IQymlr1uy6KduIE7eyY0W&#10;Q5JjI82I1wS3vVRZVkiLHaeFFgd6ban+qr5tosze8tOH2h6Hc4Mx3xmqovvUevIQXxYgAsXwH/5r&#10;vxsNKlNFofJi9gy/n9IfkKsfAAAA//8DAFBLAQItABQABgAIAAAAIQDb4fbL7gAAAIUBAAATAAAA&#10;AAAAAAAAAAAAAAAAAABbQ29udGVudF9UeXBlc10ueG1sUEsBAi0AFAAGAAgAAAAhAFr0LFu/AAAA&#10;FQEAAAsAAAAAAAAAAAAAAAAAHwEAAF9yZWxzLy5yZWxzUEsBAi0AFAAGAAgAAAAhAGhjsc3KAAAA&#10;4wAAAA8AAAAAAAAAAAAAAAAABwIAAGRycy9kb3ducmV2LnhtbFBLBQYAAAAAAwADALcAAAD+AgAA&#10;AAA=&#10;" strokeweight="3pt">
                  <v:stroke startarrow="oval" endarrow="oval"/>
                </v:shape>
                <v:shape id="AutoShape 525" o:spid="_x0000_s1166" type="#_x0000_t32" style="position:absolute;left:2988;top:9390;width:66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OtxwAAAOMAAAAPAAAAZHJzL2Rvd25yZXYueG1sRE/LasJA&#10;FN0L/sNwhe500rQEiU6kioUuXFRbur5krnnOnZgZTezXdxZCl4fzXm9G04ob9a6yrOB5EYEgzq2u&#10;uFDw/fU+X4JwHllja5kU3MnBJptO1phqO/CRbidfiBDCLkUFpfddKqXLSzLoFrYjDtzZ9gZ9gH0h&#10;dY9DCDetjKMokQYrDg0ldrQrKW9OV6OgHqXthst+fyjqn2a7RNd8/jqlnmbj2wqEp9H/ix/uD60g&#10;juIkiV+S1zA6fAp/QGZ/AAAA//8DAFBLAQItABQABgAIAAAAIQDb4fbL7gAAAIUBAAATAAAAAAAA&#10;AAAAAAAAAAAAAABbQ29udGVudF9UeXBlc10ueG1sUEsBAi0AFAAGAAgAAAAhAFr0LFu/AAAAFQEA&#10;AAsAAAAAAAAAAAAAAAAAHwEAAF9yZWxzLy5yZWxzUEsBAi0AFAAGAAgAAAAhAH9ao63HAAAA4wAA&#10;AA8AAAAAAAAAAAAAAAAABwIAAGRycy9kb3ducmV2LnhtbFBLBQYAAAAAAwADALcAAAD7AgAAAAA=&#10;" strokeweight="3pt"/>
              </v:group>
            </w:pict>
          </mc:Fallback>
        </mc:AlternateContent>
      </w:r>
    </w:p>
    <w:p w:rsidR="00874DD5" w:rsidRDefault="00874DD5" w:rsidP="00874DD5">
      <w:pPr>
        <w:ind w:firstLine="567"/>
        <w:jc w:val="both"/>
        <w:rPr>
          <w:lang w:val="es-AR"/>
        </w:rPr>
      </w:pPr>
    </w:p>
    <w:p w:rsidR="00874DD5" w:rsidRDefault="00874DD5" w:rsidP="00874DD5">
      <w:pPr>
        <w:ind w:firstLine="567"/>
        <w:jc w:val="both"/>
        <w:rPr>
          <w:lang w:val="es-AR"/>
        </w:rPr>
      </w:pPr>
    </w:p>
    <w:p w:rsidR="00874DD5" w:rsidRDefault="00874DD5" w:rsidP="00874DD5">
      <w:pPr>
        <w:ind w:firstLine="567"/>
        <w:jc w:val="both"/>
        <w:rPr>
          <w:lang w:val="es-AR"/>
        </w:rPr>
      </w:pPr>
    </w:p>
    <w:p w:rsidR="00874DD5" w:rsidRDefault="00874DD5" w:rsidP="00874DD5">
      <w:pPr>
        <w:ind w:firstLine="567"/>
        <w:jc w:val="both"/>
        <w:rPr>
          <w:lang w:val="es-AR"/>
        </w:rPr>
      </w:pPr>
    </w:p>
    <w:p w:rsidR="00874DD5" w:rsidRDefault="00874DD5" w:rsidP="00874DD5">
      <w:pPr>
        <w:ind w:firstLine="567"/>
        <w:jc w:val="both"/>
        <w:rPr>
          <w:lang w:val="es-AR"/>
        </w:rPr>
      </w:pPr>
    </w:p>
    <w:p w:rsidR="00874DD5" w:rsidRDefault="00874DD5" w:rsidP="00874DD5">
      <w:pPr>
        <w:jc w:val="center"/>
        <w:rPr>
          <w:lang w:val="es-AR"/>
        </w:rPr>
      </w:pPr>
      <w:r w:rsidRPr="00163EF1">
        <w:rPr>
          <w:rFonts w:ascii="Arial" w:hAnsi="Arial" w:cs="Arial"/>
          <w:bCs/>
          <w:i/>
          <w:sz w:val="20"/>
          <w:szCs w:val="20"/>
        </w:rPr>
        <w:t xml:space="preserve">Figura </w:t>
      </w:r>
      <w:r>
        <w:rPr>
          <w:rFonts w:ascii="Arial" w:hAnsi="Arial" w:cs="Arial"/>
          <w:bCs/>
          <w:i/>
          <w:sz w:val="20"/>
          <w:szCs w:val="20"/>
        </w:rPr>
        <w:t>9</w:t>
      </w:r>
      <w:r w:rsidRPr="00163EF1">
        <w:rPr>
          <w:rFonts w:ascii="Arial" w:hAnsi="Arial" w:cs="Arial"/>
          <w:bCs/>
          <w:i/>
          <w:sz w:val="20"/>
          <w:szCs w:val="20"/>
        </w:rPr>
        <w:t xml:space="preserve">. </w:t>
      </w:r>
      <w:r>
        <w:rPr>
          <w:rFonts w:ascii="Arial" w:hAnsi="Arial" w:cs="Arial"/>
          <w:bCs/>
          <w:i/>
          <w:sz w:val="20"/>
          <w:szCs w:val="20"/>
        </w:rPr>
        <w:t>Posiciones del Manipulador q</w:t>
      </w:r>
      <w:r>
        <w:rPr>
          <w:rFonts w:ascii="Arial" w:hAnsi="Arial" w:cs="Arial"/>
          <w:bCs/>
          <w:i/>
          <w:sz w:val="20"/>
          <w:szCs w:val="20"/>
          <w:vertAlign w:val="subscript"/>
        </w:rPr>
        <w:t>1</w:t>
      </w:r>
      <w:r>
        <w:rPr>
          <w:rFonts w:ascii="Arial" w:hAnsi="Arial" w:cs="Arial"/>
          <w:bCs/>
          <w:i/>
          <w:sz w:val="20"/>
          <w:szCs w:val="20"/>
        </w:rPr>
        <w:t xml:space="preserve"> = 0º y q</w:t>
      </w:r>
      <w:r>
        <w:rPr>
          <w:rFonts w:ascii="Arial" w:hAnsi="Arial" w:cs="Arial"/>
          <w:bCs/>
          <w:i/>
          <w:sz w:val="20"/>
          <w:szCs w:val="20"/>
          <w:vertAlign w:val="subscript"/>
        </w:rPr>
        <w:t>2</w:t>
      </w:r>
      <w:r>
        <w:rPr>
          <w:rFonts w:ascii="Arial" w:hAnsi="Arial" w:cs="Arial"/>
          <w:bCs/>
          <w:i/>
          <w:sz w:val="20"/>
          <w:szCs w:val="20"/>
        </w:rPr>
        <w:t xml:space="preserve"> = 0,0157rad/seg.t y para t = 0, 100 y 200 seg</w:t>
      </w:r>
    </w:p>
    <w:p w:rsidR="00874DD5" w:rsidRDefault="00874DD5" w:rsidP="00874DD5">
      <w:pPr>
        <w:ind w:firstLine="567"/>
        <w:jc w:val="both"/>
        <w:rPr>
          <w:lang w:val="es-AR"/>
        </w:rPr>
      </w:pPr>
    </w:p>
    <w:p w:rsidR="00874DD5" w:rsidRDefault="00874DD5" w:rsidP="00874DD5">
      <w:pPr>
        <w:pStyle w:val="1Titulo"/>
        <w:numPr>
          <w:ilvl w:val="0"/>
          <w:numId w:val="0"/>
        </w:numPr>
        <w:ind w:left="357"/>
        <w:rPr>
          <w:lang w:val="es-AR"/>
        </w:rPr>
      </w:pPr>
      <w:bookmarkStart w:id="263" w:name="_Toc50031336"/>
      <w:r>
        <w:t>5. Conclusiones y futuras líneas de investigación</w:t>
      </w:r>
      <w:bookmarkEnd w:id="263"/>
    </w:p>
    <w:p w:rsidR="00874DD5" w:rsidRDefault="00874DD5" w:rsidP="00874DD5">
      <w:pPr>
        <w:ind w:firstLine="567"/>
        <w:jc w:val="both"/>
        <w:rPr>
          <w:lang w:val="es-AR"/>
        </w:rPr>
      </w:pPr>
    </w:p>
    <w:p w:rsidR="00874DD5" w:rsidRDefault="00874DD5" w:rsidP="00874DD5">
      <w:pPr>
        <w:ind w:firstLine="567"/>
        <w:jc w:val="both"/>
        <w:rPr>
          <w:rFonts w:ascii="Arial" w:hAnsi="Arial" w:cs="Arial"/>
          <w:lang w:val="es-AR"/>
        </w:rPr>
      </w:pPr>
      <w:r w:rsidRPr="002F69B7">
        <w:rPr>
          <w:rFonts w:ascii="Arial" w:hAnsi="Arial" w:cs="Arial"/>
          <w:lang w:val="es-AR"/>
        </w:rPr>
        <w:lastRenderedPageBreak/>
        <w:t xml:space="preserve">Se extraen las siguientes conclusiones de esta propuesta: 1) el problema analizado </w:t>
      </w:r>
      <w:r>
        <w:rPr>
          <w:rFonts w:ascii="Arial" w:hAnsi="Arial" w:cs="Arial"/>
          <w:lang w:val="es-AR"/>
        </w:rPr>
        <w:t>se encuadra</w:t>
      </w:r>
      <w:r w:rsidRPr="002F69B7">
        <w:rPr>
          <w:rFonts w:ascii="Arial" w:hAnsi="Arial" w:cs="Arial"/>
          <w:lang w:val="es-AR"/>
        </w:rPr>
        <w:t xml:space="preserve"> en el modelo de proces</w:t>
      </w:r>
      <w:r>
        <w:rPr>
          <w:rFonts w:ascii="Arial" w:hAnsi="Arial" w:cs="Arial"/>
          <w:lang w:val="es-AR"/>
        </w:rPr>
        <w:t xml:space="preserve">o de investigación y desarrollo, </w:t>
      </w:r>
      <w:r w:rsidRPr="002F69B7">
        <w:rPr>
          <w:rFonts w:ascii="Arial" w:hAnsi="Arial" w:cs="Arial"/>
          <w:lang w:val="es-AR"/>
        </w:rPr>
        <w:t xml:space="preserve">2) se </w:t>
      </w:r>
      <w:r>
        <w:rPr>
          <w:rFonts w:ascii="Arial" w:hAnsi="Arial" w:cs="Arial"/>
          <w:lang w:val="es-AR"/>
        </w:rPr>
        <w:t>desarrolla</w:t>
      </w:r>
      <w:r w:rsidRPr="002F69B7">
        <w:rPr>
          <w:rFonts w:ascii="Arial" w:hAnsi="Arial" w:cs="Arial"/>
          <w:lang w:val="es-AR"/>
        </w:rPr>
        <w:t xml:space="preserve"> un proceso de </w:t>
      </w:r>
      <w:r>
        <w:rPr>
          <w:rFonts w:ascii="Arial" w:hAnsi="Arial" w:cs="Arial"/>
          <w:lang w:val="es-AR"/>
        </w:rPr>
        <w:t>construcción</w:t>
      </w:r>
      <w:r w:rsidRPr="002F69B7">
        <w:rPr>
          <w:rFonts w:ascii="Arial" w:hAnsi="Arial" w:cs="Arial"/>
          <w:lang w:val="es-AR"/>
        </w:rPr>
        <w:t xml:space="preserve"> del modelo dinámico de un manipulador en base a la formulación Lagrangiana </w:t>
      </w:r>
      <w:r>
        <w:rPr>
          <w:rFonts w:ascii="Arial" w:hAnsi="Arial" w:cs="Arial"/>
          <w:lang w:val="es-AR"/>
        </w:rPr>
        <w:t xml:space="preserve">en base a </w:t>
      </w:r>
      <w:r w:rsidRPr="002F69B7">
        <w:rPr>
          <w:rFonts w:ascii="Arial" w:hAnsi="Arial" w:cs="Arial"/>
          <w:lang w:val="es-AR"/>
        </w:rPr>
        <w:t xml:space="preserve">tres </w:t>
      </w:r>
      <w:r>
        <w:rPr>
          <w:rFonts w:ascii="Arial" w:hAnsi="Arial" w:cs="Arial"/>
          <w:lang w:val="es-AR"/>
        </w:rPr>
        <w:t>fase</w:t>
      </w:r>
      <w:r w:rsidRPr="002F69B7">
        <w:rPr>
          <w:rFonts w:ascii="Arial" w:hAnsi="Arial" w:cs="Arial"/>
          <w:lang w:val="es-AR"/>
        </w:rPr>
        <w:t>s que se desa</w:t>
      </w:r>
      <w:r>
        <w:rPr>
          <w:rFonts w:ascii="Arial" w:hAnsi="Arial" w:cs="Arial"/>
          <w:lang w:val="es-AR"/>
        </w:rPr>
        <w:t>rrollan en forma interconectada,</w:t>
      </w:r>
      <w:r w:rsidRPr="002F69B7">
        <w:rPr>
          <w:rFonts w:ascii="Arial" w:hAnsi="Arial" w:cs="Arial"/>
          <w:lang w:val="es-AR"/>
        </w:rPr>
        <w:t xml:space="preserve"> 3) este proceso se nutre con la matriz de transformación homogénea y los parámetros dinámicos del robot, y proporciona como salida las fuerzas y pares de torsión que se deben aplicar en cada articulación, de acuerdo a las trayectorias articulares que se proponen. 4) se describe un caso de estudio de un manipulador de </w:t>
      </w:r>
      <w:r>
        <w:rPr>
          <w:rFonts w:ascii="Arial" w:hAnsi="Arial" w:cs="Arial"/>
          <w:lang w:val="es-AR"/>
        </w:rPr>
        <w:t xml:space="preserve">2 gdl </w:t>
      </w:r>
      <w:r w:rsidRPr="002F69B7">
        <w:rPr>
          <w:rFonts w:ascii="Arial" w:hAnsi="Arial" w:cs="Arial"/>
          <w:lang w:val="es-AR"/>
        </w:rPr>
        <w:t xml:space="preserve">y se analizan en detalle </w:t>
      </w:r>
      <w:r>
        <w:rPr>
          <w:rFonts w:ascii="Arial" w:hAnsi="Arial" w:cs="Arial"/>
          <w:lang w:val="es-AR"/>
        </w:rPr>
        <w:t>los resultados de 2</w:t>
      </w:r>
      <w:r w:rsidRPr="002F69B7">
        <w:rPr>
          <w:rFonts w:ascii="Arial" w:hAnsi="Arial" w:cs="Arial"/>
          <w:lang w:val="es-AR"/>
        </w:rPr>
        <w:t xml:space="preserve"> casos experimentales. </w:t>
      </w:r>
    </w:p>
    <w:p w:rsidR="00874DD5" w:rsidRDefault="00874DD5" w:rsidP="00874DD5">
      <w:pPr>
        <w:ind w:firstLine="567"/>
        <w:jc w:val="both"/>
        <w:rPr>
          <w:rFonts w:ascii="Arial" w:hAnsi="Arial" w:cs="Arial"/>
          <w:lang w:val="es-AR"/>
        </w:rPr>
      </w:pPr>
      <w:r w:rsidRPr="006D3AC6">
        <w:rPr>
          <w:rFonts w:ascii="Arial" w:hAnsi="Arial" w:cs="Arial"/>
          <w:lang w:val="es-AR"/>
        </w:rPr>
        <w:t xml:space="preserve">Se </w:t>
      </w:r>
      <w:r>
        <w:rPr>
          <w:rFonts w:ascii="Arial" w:hAnsi="Arial" w:cs="Arial"/>
          <w:lang w:val="es-AR"/>
        </w:rPr>
        <w:t>desarrollan</w:t>
      </w:r>
      <w:r w:rsidRPr="006D3AC6">
        <w:rPr>
          <w:rFonts w:ascii="Arial" w:hAnsi="Arial" w:cs="Arial"/>
          <w:lang w:val="es-AR"/>
        </w:rPr>
        <w:t xml:space="preserve"> las siguientes líneas de investigación: I) probar el modelo analítico obtenido en banco ex</w:t>
      </w:r>
      <w:r>
        <w:rPr>
          <w:rFonts w:ascii="Arial" w:hAnsi="Arial" w:cs="Arial"/>
          <w:lang w:val="es-AR"/>
        </w:rPr>
        <w:t xml:space="preserve">perimental donde los eslabones </w:t>
      </w:r>
      <w:r w:rsidRPr="006D3AC6">
        <w:rPr>
          <w:rFonts w:ascii="Arial" w:hAnsi="Arial" w:cs="Arial"/>
          <w:lang w:val="es-AR"/>
        </w:rPr>
        <w:t xml:space="preserve">y sistemas de trasmisión se construyen en </w:t>
      </w:r>
      <w:r>
        <w:rPr>
          <w:rFonts w:ascii="Arial" w:hAnsi="Arial" w:cs="Arial"/>
          <w:lang w:val="es-AR"/>
        </w:rPr>
        <w:t xml:space="preserve">nuestro </w:t>
      </w:r>
      <w:r w:rsidRPr="006D3AC6">
        <w:rPr>
          <w:rFonts w:ascii="Arial" w:hAnsi="Arial" w:cs="Arial"/>
          <w:lang w:val="es-AR"/>
        </w:rPr>
        <w:t>laboratorio.</w:t>
      </w:r>
      <w:r>
        <w:rPr>
          <w:rFonts w:ascii="Arial" w:hAnsi="Arial" w:cs="Arial"/>
          <w:lang w:val="es-AR"/>
        </w:rPr>
        <w:t xml:space="preserve"> </w:t>
      </w:r>
      <w:r w:rsidRPr="006D3AC6">
        <w:rPr>
          <w:rFonts w:ascii="Arial" w:hAnsi="Arial" w:cs="Arial"/>
          <w:lang w:val="es-AR"/>
        </w:rPr>
        <w:t xml:space="preserve">II) diseño y evaluación del sistema de control dinámico del robot </w:t>
      </w:r>
      <w:r>
        <w:rPr>
          <w:rFonts w:ascii="Arial" w:hAnsi="Arial" w:cs="Arial"/>
          <w:lang w:val="es-AR"/>
        </w:rPr>
        <w:t>utilizando</w:t>
      </w:r>
      <w:r w:rsidRPr="006D3AC6">
        <w:rPr>
          <w:rFonts w:ascii="Arial" w:hAnsi="Arial" w:cs="Arial"/>
          <w:lang w:val="es-AR"/>
        </w:rPr>
        <w:t xml:space="preserve"> los pares de torsión obtenidos como entrada al sistema</w:t>
      </w:r>
      <w:r>
        <w:rPr>
          <w:rFonts w:ascii="Arial" w:hAnsi="Arial" w:cs="Arial"/>
          <w:lang w:val="es-AR"/>
        </w:rPr>
        <w:t xml:space="preserve">. III) </w:t>
      </w:r>
      <w:r w:rsidRPr="00E579AA">
        <w:rPr>
          <w:rFonts w:ascii="Arial" w:hAnsi="Arial" w:cs="Arial"/>
          <w:lang w:val="es-AR"/>
        </w:rPr>
        <w:t>probar trayectorias articulares más complejas.</w:t>
      </w:r>
      <w:r>
        <w:rPr>
          <w:rFonts w:ascii="Arial" w:hAnsi="Arial" w:cs="Arial"/>
          <w:lang w:val="es-AR"/>
        </w:rPr>
        <w:t xml:space="preserve"> IV) introducir</w:t>
      </w:r>
      <w:r w:rsidRPr="00E579AA">
        <w:rPr>
          <w:rFonts w:ascii="Arial" w:hAnsi="Arial" w:cs="Arial"/>
          <w:lang w:val="es-AR"/>
        </w:rPr>
        <w:t xml:space="preserve"> fricciones</w:t>
      </w:r>
      <w:r>
        <w:rPr>
          <w:rFonts w:ascii="Arial" w:hAnsi="Arial" w:cs="Arial"/>
          <w:lang w:val="es-AR"/>
        </w:rPr>
        <w:t xml:space="preserve"> viscosas en las articulaciones</w:t>
      </w:r>
      <w:r w:rsidRPr="00E579AA">
        <w:rPr>
          <w:rFonts w:ascii="Arial" w:hAnsi="Arial" w:cs="Arial"/>
          <w:lang w:val="es-AR"/>
        </w:rPr>
        <w:t xml:space="preserve"> y medir la respuesta del sistema en condiciones</w:t>
      </w:r>
      <w:r>
        <w:rPr>
          <w:rFonts w:ascii="Arial" w:hAnsi="Arial" w:cs="Arial"/>
          <w:lang w:val="es-AR"/>
        </w:rPr>
        <w:t xml:space="preserve"> </w:t>
      </w:r>
      <w:r w:rsidRPr="00E579AA">
        <w:rPr>
          <w:rFonts w:ascii="Arial" w:hAnsi="Arial" w:cs="Arial"/>
          <w:lang w:val="es-AR"/>
        </w:rPr>
        <w:t>similares</w:t>
      </w:r>
      <w:r>
        <w:rPr>
          <w:rFonts w:ascii="Arial" w:hAnsi="Arial" w:cs="Arial"/>
          <w:lang w:val="es-AR"/>
        </w:rPr>
        <w:t>.</w:t>
      </w:r>
      <w:r w:rsidRPr="00E579AA">
        <w:rPr>
          <w:rFonts w:ascii="Arial" w:hAnsi="Arial" w:cs="Arial"/>
          <w:lang w:val="es-AR"/>
        </w:rPr>
        <w:t xml:space="preserve"> </w:t>
      </w:r>
    </w:p>
    <w:p w:rsidR="00874DD5" w:rsidRDefault="00874DD5" w:rsidP="00874DD5">
      <w:pPr>
        <w:ind w:firstLine="567"/>
        <w:jc w:val="both"/>
        <w:rPr>
          <w:rFonts w:ascii="Arial" w:hAnsi="Arial" w:cs="Arial"/>
          <w:lang w:val="es-AR"/>
        </w:rPr>
      </w:pPr>
    </w:p>
    <w:p w:rsidR="00874DD5" w:rsidRDefault="00874DD5" w:rsidP="00874DD5">
      <w:pPr>
        <w:ind w:firstLine="567"/>
        <w:jc w:val="both"/>
        <w:rPr>
          <w:rFonts w:ascii="Arial" w:hAnsi="Arial" w:cs="Arial"/>
          <w:lang w:val="es-AR"/>
        </w:rPr>
      </w:pPr>
    </w:p>
    <w:p w:rsidR="00874DD5" w:rsidRDefault="00874DD5" w:rsidP="00874DD5">
      <w:pPr>
        <w:pStyle w:val="1Titulo"/>
        <w:numPr>
          <w:ilvl w:val="0"/>
          <w:numId w:val="0"/>
        </w:numPr>
        <w:ind w:left="357"/>
      </w:pPr>
      <w:bookmarkStart w:id="264" w:name="_Toc50031337"/>
      <w:r>
        <w:t>6. Bibliografía</w:t>
      </w:r>
      <w:bookmarkEnd w:id="264"/>
    </w:p>
    <w:p w:rsidR="00874DD5" w:rsidRPr="00676FAF" w:rsidRDefault="00874DD5" w:rsidP="00390F7C">
      <w:pPr>
        <w:pStyle w:val="referenceitem"/>
        <w:numPr>
          <w:ilvl w:val="0"/>
          <w:numId w:val="43"/>
        </w:numPr>
        <w:overflowPunct/>
        <w:spacing w:line="240" w:lineRule="auto"/>
        <w:jc w:val="left"/>
        <w:textAlignment w:val="auto"/>
        <w:rPr>
          <w:rFonts w:ascii="Arial" w:eastAsia="Batang" w:hAnsi="Arial" w:cs="Arial"/>
          <w:sz w:val="24"/>
          <w:szCs w:val="24"/>
          <w:lang w:val="es-AR" w:eastAsia="ko-KR"/>
        </w:rPr>
      </w:pPr>
      <w:r w:rsidRPr="00676FAF">
        <w:rPr>
          <w:rFonts w:ascii="Arial" w:eastAsia="Batang" w:hAnsi="Arial" w:cs="Arial"/>
          <w:sz w:val="24"/>
          <w:szCs w:val="24"/>
          <w:lang w:val="es-AR" w:eastAsia="ko-KR"/>
        </w:rPr>
        <w:t>Reyes Cortes, F.: Control de robots manipuladores. (2011).</w:t>
      </w:r>
    </w:p>
    <w:p w:rsidR="00874DD5" w:rsidRPr="00676FAF" w:rsidRDefault="00874DD5" w:rsidP="00390F7C">
      <w:pPr>
        <w:pStyle w:val="referenceitem"/>
        <w:numPr>
          <w:ilvl w:val="0"/>
          <w:numId w:val="43"/>
        </w:numPr>
        <w:overflowPunct/>
        <w:spacing w:line="240" w:lineRule="auto"/>
        <w:jc w:val="left"/>
        <w:textAlignment w:val="auto"/>
        <w:rPr>
          <w:rFonts w:ascii="Arial" w:eastAsia="Batang" w:hAnsi="Arial" w:cs="Arial"/>
          <w:sz w:val="24"/>
          <w:szCs w:val="24"/>
          <w:lang w:val="es-AR" w:eastAsia="ko-KR"/>
        </w:rPr>
      </w:pPr>
      <w:r w:rsidRPr="00676FAF">
        <w:rPr>
          <w:rFonts w:ascii="Arial" w:eastAsia="Batang" w:hAnsi="Arial" w:cs="Arial"/>
          <w:sz w:val="24"/>
          <w:szCs w:val="24"/>
          <w:lang w:val="es-AR" w:eastAsia="ko-KR"/>
        </w:rPr>
        <w:t>Barrientos, A., Pañin, L. F., Balaguer, C., Araci, R: Fundamentos de robotica. 2da edn. McGrawHill, España (2007).</w:t>
      </w:r>
    </w:p>
    <w:p w:rsidR="00874DD5" w:rsidRPr="00676FAF" w:rsidRDefault="00874DD5" w:rsidP="00390F7C">
      <w:pPr>
        <w:pStyle w:val="referenceitem"/>
        <w:numPr>
          <w:ilvl w:val="0"/>
          <w:numId w:val="43"/>
        </w:numPr>
        <w:overflowPunct/>
        <w:spacing w:line="240" w:lineRule="auto"/>
        <w:jc w:val="left"/>
        <w:textAlignment w:val="auto"/>
        <w:rPr>
          <w:rFonts w:ascii="Arial" w:eastAsia="Batang" w:hAnsi="Arial" w:cs="Arial"/>
          <w:sz w:val="24"/>
          <w:szCs w:val="24"/>
          <w:lang w:val="es-AR" w:eastAsia="ko-KR"/>
        </w:rPr>
      </w:pPr>
      <w:r w:rsidRPr="00676FAF">
        <w:rPr>
          <w:rFonts w:ascii="Arial" w:eastAsia="Batang" w:hAnsi="Arial" w:cs="Arial"/>
          <w:sz w:val="24"/>
          <w:szCs w:val="24"/>
          <w:lang w:val="es-AR" w:eastAsia="ko-KR"/>
        </w:rPr>
        <w:t>Santos, J.: Evolucion artificial y robotica autónoma. 2da edn., RA-MA, España (2004).</w:t>
      </w:r>
    </w:p>
    <w:p w:rsidR="00874DD5" w:rsidRPr="00676FAF" w:rsidRDefault="00874DD5" w:rsidP="00390F7C">
      <w:pPr>
        <w:pStyle w:val="referenceitem"/>
        <w:numPr>
          <w:ilvl w:val="0"/>
          <w:numId w:val="43"/>
        </w:numPr>
        <w:overflowPunct/>
        <w:spacing w:line="240" w:lineRule="auto"/>
        <w:jc w:val="left"/>
        <w:textAlignment w:val="auto"/>
        <w:rPr>
          <w:rFonts w:ascii="Arial" w:eastAsia="Batang" w:hAnsi="Arial" w:cs="Arial"/>
          <w:sz w:val="24"/>
          <w:szCs w:val="24"/>
          <w:lang w:val="es-AR" w:eastAsia="ko-KR"/>
        </w:rPr>
      </w:pPr>
      <w:r w:rsidRPr="00874DD5">
        <w:rPr>
          <w:rFonts w:ascii="Arial" w:eastAsia="Batang" w:hAnsi="Arial" w:cs="Arial"/>
          <w:sz w:val="24"/>
          <w:szCs w:val="24"/>
          <w:lang w:eastAsia="ko-KR"/>
        </w:rPr>
        <w:t xml:space="preserve">Frey, C. y Osborne, M. Technology at Work v2.0: The Future Is Not What It Used to Be. </w:t>
      </w:r>
      <w:r w:rsidRPr="00676FAF">
        <w:rPr>
          <w:rFonts w:ascii="Arial" w:eastAsia="Batang" w:hAnsi="Arial" w:cs="Arial"/>
          <w:sz w:val="24"/>
          <w:szCs w:val="24"/>
          <w:lang w:val="es-AR" w:eastAsia="ko-KR"/>
        </w:rPr>
        <w:t>University of Oxford. 2016.</w:t>
      </w:r>
    </w:p>
    <w:p w:rsidR="00874DD5" w:rsidRPr="00676FAF" w:rsidRDefault="00874DD5" w:rsidP="00390F7C">
      <w:pPr>
        <w:pStyle w:val="referenceitem"/>
        <w:numPr>
          <w:ilvl w:val="0"/>
          <w:numId w:val="43"/>
        </w:numPr>
        <w:overflowPunct/>
        <w:spacing w:line="240" w:lineRule="auto"/>
        <w:jc w:val="left"/>
        <w:textAlignment w:val="auto"/>
        <w:rPr>
          <w:rFonts w:ascii="Arial" w:eastAsia="Batang" w:hAnsi="Arial" w:cs="Arial"/>
          <w:sz w:val="24"/>
          <w:szCs w:val="24"/>
          <w:lang w:val="es-AR" w:eastAsia="ko-KR"/>
        </w:rPr>
      </w:pPr>
      <w:r w:rsidRPr="00676FAF">
        <w:rPr>
          <w:rFonts w:ascii="Arial" w:eastAsia="Batang" w:hAnsi="Arial" w:cs="Arial"/>
          <w:sz w:val="24"/>
          <w:szCs w:val="24"/>
          <w:lang w:val="es-AR" w:eastAsia="ko-KR"/>
        </w:rPr>
        <w:t>Hossian, A., Olivera, V., Cejas, L.: Analisis de conductas de vehiculos roboticos en entornos estructurados mediante la aplicacion de tecnologías inteligentes.18 Convencion científica de ingeniería y arquitectura. La Habana, Cuba. 2016</w:t>
      </w:r>
    </w:p>
    <w:p w:rsidR="00874DD5" w:rsidRPr="00676FAF" w:rsidRDefault="00874DD5" w:rsidP="00390F7C">
      <w:pPr>
        <w:pStyle w:val="referenceitem"/>
        <w:numPr>
          <w:ilvl w:val="0"/>
          <w:numId w:val="43"/>
        </w:numPr>
        <w:overflowPunct/>
        <w:spacing w:line="240" w:lineRule="auto"/>
        <w:jc w:val="left"/>
        <w:textAlignment w:val="auto"/>
        <w:rPr>
          <w:rFonts w:ascii="Arial" w:eastAsia="Batang" w:hAnsi="Arial" w:cs="Arial"/>
          <w:sz w:val="24"/>
          <w:szCs w:val="24"/>
          <w:lang w:val="es-AR" w:eastAsia="ko-KR"/>
        </w:rPr>
      </w:pPr>
      <w:r w:rsidRPr="00676FAF">
        <w:rPr>
          <w:rFonts w:ascii="Arial" w:eastAsia="Batang" w:hAnsi="Arial" w:cs="Arial"/>
          <w:sz w:val="24"/>
          <w:szCs w:val="24"/>
          <w:lang w:val="es-AR" w:eastAsia="ko-KR"/>
        </w:rPr>
        <w:t>Hossian, A., Olivera, V., Cejas, L., Sapag, L.: Estudio del comportamiento de robots móviles autónomos en entornos de navegación estructurados mediante la aplicación de tecnologías inteligentes.12 Congreso interamericano de computación aplicada a la industria de procesos. Lima, Peru. 2016</w:t>
      </w:r>
    </w:p>
    <w:p w:rsidR="00874DD5" w:rsidRPr="00676FAF" w:rsidRDefault="00874DD5" w:rsidP="00390F7C">
      <w:pPr>
        <w:pStyle w:val="referenceitem"/>
        <w:numPr>
          <w:ilvl w:val="0"/>
          <w:numId w:val="43"/>
        </w:numPr>
        <w:overflowPunct/>
        <w:spacing w:line="240" w:lineRule="auto"/>
        <w:jc w:val="left"/>
        <w:textAlignment w:val="auto"/>
        <w:rPr>
          <w:rFonts w:ascii="Arial" w:eastAsia="Batang" w:hAnsi="Arial" w:cs="Arial"/>
          <w:sz w:val="24"/>
          <w:szCs w:val="24"/>
          <w:lang w:val="es-AR" w:eastAsia="ko-KR"/>
        </w:rPr>
      </w:pPr>
      <w:r w:rsidRPr="00874DD5">
        <w:rPr>
          <w:rFonts w:ascii="Arial" w:eastAsia="Batang" w:hAnsi="Arial" w:cs="Arial"/>
          <w:sz w:val="24"/>
          <w:szCs w:val="24"/>
          <w:lang w:eastAsia="ko-KR"/>
        </w:rPr>
        <w:t xml:space="preserve">Arntz, M., Gregory, T. y Zierahn, U. “The Risk of Automation for Jobs in OECD Coutries: A Comparative Analysis”. OECD Social, Employment and Migration WorkingPapers No.189. París: OECD Publishing. </w:t>
      </w:r>
      <w:r w:rsidRPr="00676FAF">
        <w:rPr>
          <w:rFonts w:ascii="Arial" w:eastAsia="Batang" w:hAnsi="Arial" w:cs="Arial"/>
          <w:sz w:val="24"/>
          <w:szCs w:val="24"/>
          <w:lang w:val="es-AR" w:eastAsia="ko-KR"/>
        </w:rPr>
        <w:t>2016.</w:t>
      </w:r>
    </w:p>
    <w:p w:rsidR="00874DD5" w:rsidRPr="00676FAF" w:rsidRDefault="00874DD5" w:rsidP="00390F7C">
      <w:pPr>
        <w:pStyle w:val="referenceitem"/>
        <w:numPr>
          <w:ilvl w:val="0"/>
          <w:numId w:val="43"/>
        </w:numPr>
        <w:overflowPunct/>
        <w:spacing w:line="240" w:lineRule="auto"/>
        <w:ind w:firstLine="0"/>
        <w:jc w:val="left"/>
        <w:textAlignment w:val="auto"/>
        <w:rPr>
          <w:rFonts w:ascii="Arial" w:eastAsia="Batang" w:hAnsi="Arial" w:cs="Arial"/>
          <w:sz w:val="24"/>
          <w:szCs w:val="24"/>
          <w:lang w:val="es-AR" w:eastAsia="ko-KR"/>
        </w:rPr>
      </w:pPr>
      <w:r w:rsidRPr="00874DD5">
        <w:rPr>
          <w:rFonts w:ascii="Arial" w:eastAsia="Batang" w:hAnsi="Arial" w:cs="Arial"/>
          <w:sz w:val="24"/>
          <w:szCs w:val="24"/>
          <w:lang w:eastAsia="ko-KR"/>
        </w:rPr>
        <w:t xml:space="preserve">Bartlett, J. The Dark Net. Inside the Digital Underworld. Nueva York: Melville House. </w:t>
      </w:r>
      <w:r w:rsidRPr="00676FAF">
        <w:rPr>
          <w:rFonts w:ascii="Arial" w:eastAsia="Batang" w:hAnsi="Arial" w:cs="Arial"/>
          <w:sz w:val="24"/>
          <w:szCs w:val="24"/>
          <w:lang w:val="es-AR" w:eastAsia="ko-KR"/>
        </w:rPr>
        <w:t>2015</w:t>
      </w:r>
    </w:p>
    <w:p w:rsidR="00874DD5" w:rsidRPr="00874DD5" w:rsidRDefault="00874DD5" w:rsidP="00874DD5">
      <w:pPr>
        <w:pStyle w:val="referenceitem"/>
        <w:numPr>
          <w:ilvl w:val="0"/>
          <w:numId w:val="0"/>
        </w:numPr>
        <w:tabs>
          <w:tab w:val="num" w:pos="284"/>
        </w:tabs>
        <w:overflowPunct/>
        <w:spacing w:line="240" w:lineRule="auto"/>
        <w:ind w:left="227"/>
        <w:jc w:val="left"/>
        <w:textAlignment w:val="auto"/>
        <w:rPr>
          <w:rFonts w:ascii="Arial" w:eastAsia="Batang" w:hAnsi="Arial" w:cs="Arial"/>
          <w:sz w:val="24"/>
          <w:szCs w:val="24"/>
          <w:lang w:eastAsia="ko-KR"/>
        </w:rPr>
      </w:pPr>
      <w:r>
        <w:rPr>
          <w:rFonts w:ascii="Arial" w:eastAsia="Batang" w:hAnsi="Arial" w:cs="Arial"/>
          <w:sz w:val="24"/>
          <w:szCs w:val="24"/>
          <w:lang w:eastAsia="ko-KR"/>
        </w:rPr>
        <w:t>9</w:t>
      </w:r>
      <w:r w:rsidRPr="001472CD">
        <w:rPr>
          <w:rFonts w:ascii="Arial" w:eastAsia="Batang" w:hAnsi="Arial" w:cs="Arial"/>
          <w:sz w:val="24"/>
          <w:szCs w:val="24"/>
          <w:lang w:eastAsia="ko-KR"/>
        </w:rPr>
        <w:t xml:space="preserve">. Colvin, K. F., Champaign, J., Liu, A. et al. 2014. </w:t>
      </w:r>
      <w:r w:rsidRPr="00874DD5">
        <w:rPr>
          <w:rFonts w:ascii="Arial" w:eastAsia="Batang" w:hAnsi="Arial" w:cs="Arial"/>
          <w:sz w:val="24"/>
          <w:szCs w:val="24"/>
          <w:lang w:eastAsia="ko-KR"/>
        </w:rPr>
        <w:t>“Learning in an Introductory Physics MOOC: All Cohorts Learn Equally, Including an On-Campus Class”. The International Review of Research in Open and Distance Learning. 15 (4): 263-283.</w:t>
      </w:r>
    </w:p>
    <w:p w:rsidR="00874DD5" w:rsidRPr="00874DD5" w:rsidRDefault="00874DD5" w:rsidP="00874DD5">
      <w:pPr>
        <w:ind w:left="426" w:hanging="284"/>
        <w:rPr>
          <w:rFonts w:ascii="Arial" w:hAnsi="Arial" w:cs="Arial"/>
          <w:lang w:val="en-US"/>
        </w:rPr>
      </w:pPr>
      <w:r w:rsidRPr="00874DD5">
        <w:rPr>
          <w:rFonts w:ascii="Arial" w:hAnsi="Arial" w:cs="Arial"/>
          <w:lang w:val="en-US"/>
        </w:rPr>
        <w:t>10 Brynjolfsson, E. y McAfee, A. 2014. The Second Machine Age. Nueva York y Londres:     Norton &amp; Company.</w:t>
      </w:r>
    </w:p>
    <w:p w:rsidR="00186522" w:rsidRPr="00AA2A74" w:rsidRDefault="00186522" w:rsidP="00AA2A74">
      <w:pPr>
        <w:pStyle w:val="1Titulo"/>
        <w:numPr>
          <w:ilvl w:val="0"/>
          <w:numId w:val="0"/>
        </w:numPr>
        <w:ind w:left="357"/>
        <w:jc w:val="center"/>
        <w:rPr>
          <w:rFonts w:cs="Times New Roman"/>
          <w:color w:val="000000"/>
          <w:sz w:val="28"/>
          <w:szCs w:val="28"/>
        </w:rPr>
      </w:pPr>
      <w:bookmarkStart w:id="265" w:name="_Toc50031338"/>
      <w:r w:rsidRPr="00AA2A74">
        <w:rPr>
          <w:sz w:val="28"/>
          <w:szCs w:val="28"/>
        </w:rPr>
        <w:lastRenderedPageBreak/>
        <w:t>Sistema de comunicación basado en radio definido por software para un robot modular</w:t>
      </w:r>
      <w:bookmarkEnd w:id="265"/>
    </w:p>
    <w:p w:rsidR="00186522" w:rsidRDefault="00186522" w:rsidP="00186522">
      <w:pPr>
        <w:jc w:val="center"/>
        <w:rPr>
          <w:color w:val="000000"/>
          <w:sz w:val="28"/>
          <w:szCs w:val="28"/>
        </w:rPr>
      </w:pPr>
    </w:p>
    <w:p w:rsidR="00186522" w:rsidRPr="00BF4916" w:rsidRDefault="00186522" w:rsidP="00186522">
      <w:pPr>
        <w:pStyle w:val="Author"/>
        <w:rPr>
          <w:rFonts w:ascii="Arial" w:hAnsi="Arial" w:cs="Arial"/>
          <w:szCs w:val="24"/>
          <w:lang w:val="es-ES"/>
        </w:rPr>
      </w:pPr>
      <w:r>
        <w:rPr>
          <w:rFonts w:ascii="Arial" w:hAnsi="Arial" w:cs="Arial"/>
          <w:szCs w:val="24"/>
          <w:lang w:val="es-ES"/>
        </w:rPr>
        <w:t>Gómez, Helmunt A.</w:t>
      </w:r>
      <w:r>
        <w:rPr>
          <w:rFonts w:ascii="Arial" w:hAnsi="Arial" w:cs="Arial"/>
          <w:szCs w:val="24"/>
          <w:vertAlign w:val="superscript"/>
          <w:lang w:val="es-ES"/>
        </w:rPr>
        <w:t>1</w:t>
      </w:r>
      <w:r>
        <w:rPr>
          <w:rFonts w:ascii="Arial" w:hAnsi="Arial" w:cs="Arial"/>
          <w:szCs w:val="24"/>
          <w:lang w:val="es-ES"/>
        </w:rPr>
        <w:t>, Porras, Nicolas</w:t>
      </w:r>
      <w:r>
        <w:rPr>
          <w:rFonts w:ascii="Arial" w:hAnsi="Arial" w:cs="Arial"/>
          <w:szCs w:val="24"/>
          <w:vertAlign w:val="superscript"/>
          <w:lang w:val="es-ES"/>
        </w:rPr>
        <w:t>1</w:t>
      </w:r>
      <w:r>
        <w:rPr>
          <w:rFonts w:ascii="Arial" w:hAnsi="Arial" w:cs="Arial"/>
          <w:szCs w:val="24"/>
          <w:lang w:val="es-ES"/>
        </w:rPr>
        <w:t xml:space="preserve">, </w:t>
      </w:r>
      <w:r w:rsidRPr="00266E89">
        <w:rPr>
          <w:rFonts w:ascii="Arial" w:hAnsi="Arial" w:cs="Arial"/>
          <w:szCs w:val="24"/>
          <w:u w:val="single"/>
          <w:lang w:val="es-ES"/>
        </w:rPr>
        <w:t>Pedraza, Luis</w:t>
      </w:r>
      <w:r w:rsidRPr="00266E89">
        <w:rPr>
          <w:rFonts w:ascii="Arial" w:hAnsi="Arial" w:cs="Arial"/>
          <w:szCs w:val="24"/>
          <w:u w:val="single"/>
          <w:vertAlign w:val="superscript"/>
          <w:lang w:val="es-ES"/>
        </w:rPr>
        <w:t>1</w:t>
      </w:r>
      <w:r>
        <w:rPr>
          <w:rFonts w:ascii="Arial" w:hAnsi="Arial" w:cs="Arial"/>
          <w:szCs w:val="24"/>
          <w:lang w:val="es-ES"/>
        </w:rPr>
        <w:t>.</w:t>
      </w:r>
    </w:p>
    <w:p w:rsidR="00186522" w:rsidRPr="00266E89" w:rsidRDefault="00186522" w:rsidP="00186522">
      <w:pPr>
        <w:pStyle w:val="affiliation"/>
        <w:rPr>
          <w:rFonts w:ascii="Arial" w:hAnsi="Arial" w:cs="Arial"/>
          <w:sz w:val="28"/>
          <w:szCs w:val="28"/>
          <w:lang w:val="es-ES"/>
        </w:rPr>
      </w:pPr>
      <w:r>
        <w:rPr>
          <w:rFonts w:ascii="Arial" w:hAnsi="Arial" w:cs="Arial"/>
          <w:sz w:val="24"/>
          <w:szCs w:val="24"/>
          <w:vertAlign w:val="superscript"/>
          <w:lang w:val="es-ES"/>
        </w:rPr>
        <w:t>1</w:t>
      </w:r>
      <w:r w:rsidRPr="00266E89">
        <w:rPr>
          <w:rFonts w:ascii="Arial" w:hAnsi="Arial" w:cs="Arial"/>
          <w:sz w:val="24"/>
          <w:szCs w:val="22"/>
          <w:lang w:val="es-ES"/>
        </w:rPr>
        <w:t>Universidad Distrital Francisco José de Caldas</w:t>
      </w:r>
    </w:p>
    <w:p w:rsidR="00186522" w:rsidRPr="00524FAF" w:rsidRDefault="00186522" w:rsidP="00186522">
      <w:pPr>
        <w:pStyle w:val="affiliation"/>
        <w:rPr>
          <w:rFonts w:ascii="Arial" w:hAnsi="Arial" w:cs="Arial"/>
          <w:sz w:val="24"/>
          <w:szCs w:val="24"/>
          <w:lang w:val="es-ES"/>
        </w:rPr>
      </w:pPr>
      <w:r w:rsidRPr="00524FAF">
        <w:rPr>
          <w:rFonts w:ascii="Arial" w:hAnsi="Arial" w:cs="Arial"/>
          <w:sz w:val="24"/>
          <w:szCs w:val="24"/>
          <w:lang w:val="es-ES"/>
        </w:rPr>
        <w:t xml:space="preserve"> </w:t>
      </w:r>
      <w:hyperlink r:id="rId1128" w:history="1">
        <w:r w:rsidRPr="00524FAF">
          <w:rPr>
            <w:rStyle w:val="Hipervnculo"/>
            <w:rFonts w:ascii="Arial" w:hAnsi="Arial" w:cs="Arial"/>
            <w:color w:val="auto"/>
            <w:sz w:val="24"/>
            <w:szCs w:val="24"/>
            <w:lang w:val="es-ES"/>
          </w:rPr>
          <w:t>hagomezp@correo.udistrital.edu.co</w:t>
        </w:r>
      </w:hyperlink>
      <w:r w:rsidRPr="00524FAF">
        <w:rPr>
          <w:rFonts w:ascii="Arial" w:hAnsi="Arial" w:cs="Arial"/>
          <w:sz w:val="24"/>
          <w:szCs w:val="24"/>
          <w:lang w:val="es-ES"/>
        </w:rPr>
        <w:t xml:space="preserve">, </w:t>
      </w:r>
      <w:hyperlink r:id="rId1129" w:history="1">
        <w:r w:rsidRPr="00524FAF">
          <w:rPr>
            <w:rStyle w:val="Hipervnculo"/>
            <w:rFonts w:ascii="Arial" w:hAnsi="Arial" w:cs="Arial"/>
            <w:color w:val="auto"/>
            <w:sz w:val="24"/>
            <w:szCs w:val="24"/>
            <w:lang w:val="de-DE"/>
          </w:rPr>
          <w:t>nporrasg@correo.udistrital.edu.co</w:t>
        </w:r>
      </w:hyperlink>
      <w:r w:rsidRPr="00524FAF">
        <w:rPr>
          <w:rFonts w:ascii="Arial" w:hAnsi="Arial" w:cs="Arial"/>
          <w:sz w:val="24"/>
          <w:szCs w:val="24"/>
          <w:lang w:val="de-DE"/>
        </w:rPr>
        <w:t xml:space="preserve">, </w:t>
      </w:r>
      <w:hyperlink r:id="rId1130" w:history="1">
        <w:r w:rsidRPr="00524FAF">
          <w:rPr>
            <w:rStyle w:val="Hipervnculo"/>
            <w:rFonts w:ascii="Arial" w:hAnsi="Arial" w:cs="Arial"/>
            <w:color w:val="auto"/>
            <w:sz w:val="24"/>
            <w:szCs w:val="24"/>
            <w:lang w:val="de-DE"/>
          </w:rPr>
          <w:t>lfpedrazam@udistrital.edu.co</w:t>
        </w:r>
      </w:hyperlink>
    </w:p>
    <w:p w:rsidR="00186522" w:rsidRDefault="00186522" w:rsidP="00186522">
      <w:pPr>
        <w:pStyle w:val="affiliation"/>
        <w:rPr>
          <w:rFonts w:ascii="Arial" w:eastAsia="Batang" w:hAnsi="Arial" w:cs="Arial"/>
          <w:b/>
          <w:bCs/>
          <w:i/>
          <w:iCs/>
          <w:caps/>
          <w:sz w:val="24"/>
          <w:szCs w:val="24"/>
          <w:lang w:val="es-ES"/>
        </w:rPr>
      </w:pPr>
    </w:p>
    <w:p w:rsidR="00186522" w:rsidRPr="00AA2A74" w:rsidRDefault="00186522" w:rsidP="00186522">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olor w:val="000000"/>
          <w:sz w:val="24"/>
          <w:szCs w:val="24"/>
        </w:rPr>
      </w:pPr>
      <w:bookmarkStart w:id="266" w:name="_Toc50031339"/>
      <w:r w:rsidRPr="00AA2A74">
        <w:rPr>
          <w:rFonts w:ascii="Arial" w:hAnsi="Arial" w:cs="Arial"/>
          <w:caps/>
          <w:sz w:val="24"/>
          <w:szCs w:val="24"/>
        </w:rPr>
        <w:t>1. R</w:t>
      </w:r>
      <w:r w:rsidRPr="00AA2A74">
        <w:rPr>
          <w:rFonts w:ascii="Arial" w:hAnsi="Arial" w:cs="Arial"/>
          <w:sz w:val="24"/>
          <w:szCs w:val="24"/>
        </w:rPr>
        <w:t>esumen</w:t>
      </w:r>
      <w:bookmarkEnd w:id="266"/>
      <w:r w:rsidRPr="00AA2A74">
        <w:rPr>
          <w:rFonts w:ascii="Arial" w:hAnsi="Arial" w:cs="Arial"/>
          <w:caps/>
          <w:sz w:val="24"/>
          <w:szCs w:val="24"/>
        </w:rPr>
        <w:t xml:space="preserve"> </w:t>
      </w:r>
    </w:p>
    <w:p w:rsidR="00186522" w:rsidRDefault="00186522" w:rsidP="00186522">
      <w:pPr>
        <w:ind w:firstLine="567"/>
        <w:jc w:val="both"/>
        <w:rPr>
          <w:rFonts w:ascii="Arial" w:hAnsi="Arial" w:cs="Arial"/>
          <w:color w:val="000000"/>
        </w:rPr>
      </w:pPr>
      <w:r w:rsidRPr="00A62839">
        <w:rPr>
          <w:rFonts w:ascii="Arial" w:hAnsi="Arial" w:cs="Arial"/>
          <w:color w:val="000000"/>
        </w:rPr>
        <w:t xml:space="preserve">Este proyecto presenta </w:t>
      </w:r>
      <w:r>
        <w:rPr>
          <w:rFonts w:ascii="Arial" w:hAnsi="Arial" w:cs="Arial"/>
          <w:color w:val="000000"/>
        </w:rPr>
        <w:t>el desarrollo</w:t>
      </w:r>
      <w:r w:rsidRPr="00A62839">
        <w:rPr>
          <w:rFonts w:ascii="Arial" w:hAnsi="Arial" w:cs="Arial"/>
          <w:color w:val="000000"/>
        </w:rPr>
        <w:t xml:space="preserve"> de un sistema de comunicación </w:t>
      </w:r>
      <w:r>
        <w:rPr>
          <w:rFonts w:ascii="Arial" w:hAnsi="Arial" w:cs="Arial"/>
          <w:color w:val="000000"/>
        </w:rPr>
        <w:t>controlado desde una</w:t>
      </w:r>
      <w:r w:rsidRPr="00A62839">
        <w:rPr>
          <w:rFonts w:ascii="Arial" w:hAnsi="Arial" w:cs="Arial"/>
          <w:color w:val="000000"/>
        </w:rPr>
        <w:t xml:space="preserve"> Raspberry pi 3 para enviar instrucciones de movimiento </w:t>
      </w:r>
      <w:r>
        <w:rPr>
          <w:rFonts w:ascii="Arial" w:hAnsi="Arial" w:cs="Arial"/>
          <w:color w:val="000000"/>
        </w:rPr>
        <w:t>a</w:t>
      </w:r>
      <w:r w:rsidRPr="00A62839">
        <w:rPr>
          <w:rFonts w:ascii="Arial" w:hAnsi="Arial" w:cs="Arial"/>
          <w:color w:val="000000"/>
        </w:rPr>
        <w:t xml:space="preserve"> un robot modular. El sistema de comunicación usa tecnología WiFi </w:t>
      </w:r>
      <w:r>
        <w:rPr>
          <w:rFonts w:ascii="Arial" w:hAnsi="Arial" w:cs="Arial"/>
          <w:color w:val="000000"/>
        </w:rPr>
        <w:t>(</w:t>
      </w:r>
      <w:r w:rsidRPr="00950AE1">
        <w:rPr>
          <w:rFonts w:ascii="Arial" w:hAnsi="Arial" w:cs="Arial"/>
          <w:color w:val="000000"/>
        </w:rPr>
        <w:t>IEEE</w:t>
      </w:r>
      <w:r>
        <w:rPr>
          <w:rFonts w:ascii="Arial" w:hAnsi="Arial" w:cs="Arial"/>
          <w:color w:val="000000"/>
        </w:rPr>
        <w:t xml:space="preserve"> </w:t>
      </w:r>
      <w:r w:rsidRPr="00950AE1">
        <w:rPr>
          <w:rFonts w:ascii="Arial" w:hAnsi="Arial" w:cs="Arial"/>
          <w:color w:val="000000"/>
        </w:rPr>
        <w:t>802.11b,</w:t>
      </w:r>
      <w:r>
        <w:rPr>
          <w:rFonts w:ascii="Arial" w:hAnsi="Arial" w:cs="Arial"/>
          <w:color w:val="000000"/>
        </w:rPr>
        <w:t xml:space="preserve"> g, </w:t>
      </w:r>
      <w:r w:rsidRPr="00950AE1">
        <w:rPr>
          <w:rFonts w:ascii="Arial" w:hAnsi="Arial" w:cs="Arial"/>
          <w:color w:val="000000"/>
        </w:rPr>
        <w:t>n</w:t>
      </w:r>
      <w:r>
        <w:rPr>
          <w:rFonts w:ascii="Arial" w:hAnsi="Arial" w:cs="Arial"/>
          <w:color w:val="000000"/>
        </w:rPr>
        <w:t xml:space="preserve">) con base en el principio de la </w:t>
      </w:r>
      <w:r w:rsidRPr="00A62839">
        <w:rPr>
          <w:rFonts w:ascii="Arial" w:hAnsi="Arial" w:cs="Arial"/>
          <w:color w:val="000000"/>
        </w:rPr>
        <w:t xml:space="preserve">radio definida por software (SDR) para </w:t>
      </w:r>
      <w:r>
        <w:rPr>
          <w:rFonts w:ascii="Arial" w:hAnsi="Arial" w:cs="Arial"/>
          <w:color w:val="000000"/>
        </w:rPr>
        <w:t xml:space="preserve">transmitir sobre el canal con mayor </w:t>
      </w:r>
      <w:r w:rsidRPr="00A62839">
        <w:rPr>
          <w:rFonts w:ascii="Arial" w:hAnsi="Arial" w:cs="Arial"/>
          <w:color w:val="000000"/>
        </w:rPr>
        <w:t>relación señal a ruido (SNR)</w:t>
      </w:r>
      <w:r>
        <w:rPr>
          <w:rFonts w:ascii="Arial" w:hAnsi="Arial" w:cs="Arial"/>
          <w:color w:val="000000"/>
        </w:rPr>
        <w:t xml:space="preserve"> disponible</w:t>
      </w:r>
      <w:r w:rsidRPr="00A62839">
        <w:rPr>
          <w:rFonts w:ascii="Arial" w:hAnsi="Arial" w:cs="Arial"/>
          <w:color w:val="000000"/>
        </w:rPr>
        <w:t xml:space="preserve">. </w:t>
      </w:r>
      <w:r>
        <w:rPr>
          <w:rFonts w:ascii="Arial" w:hAnsi="Arial" w:cs="Arial"/>
          <w:color w:val="000000"/>
        </w:rPr>
        <w:t>El sistema también permite que el robot envíe la información de la velocidad promedio angular hacia la nube y dicha información se aloje en un servidor. Los resultados muestran el correcto funcionamiento del sistema de comunicación implementado</w:t>
      </w:r>
      <w:r w:rsidRPr="00A62839">
        <w:rPr>
          <w:rFonts w:ascii="Arial" w:hAnsi="Arial" w:cs="Arial"/>
          <w:color w:val="000000"/>
        </w:rPr>
        <w:t>.</w:t>
      </w:r>
    </w:p>
    <w:p w:rsidR="00186522" w:rsidRDefault="00186522" w:rsidP="00186522">
      <w:pPr>
        <w:ind w:firstLine="567"/>
        <w:jc w:val="both"/>
        <w:rPr>
          <w:rFonts w:ascii="Arial" w:hAnsi="Arial" w:cs="Arial"/>
        </w:rPr>
      </w:pPr>
    </w:p>
    <w:p w:rsidR="00186522" w:rsidRPr="00AA2A74" w:rsidRDefault="00186522" w:rsidP="00186522">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aps/>
          <w:sz w:val="24"/>
          <w:szCs w:val="24"/>
        </w:rPr>
      </w:pPr>
      <w:bookmarkStart w:id="267" w:name="_Toc50031340"/>
      <w:r w:rsidRPr="00AA2A74">
        <w:rPr>
          <w:rFonts w:ascii="Arial" w:hAnsi="Arial" w:cs="Arial"/>
          <w:caps/>
          <w:sz w:val="24"/>
          <w:szCs w:val="24"/>
        </w:rPr>
        <w:t>2. I</w:t>
      </w:r>
      <w:r w:rsidRPr="00AA2A74">
        <w:rPr>
          <w:rFonts w:ascii="Arial" w:hAnsi="Arial" w:cs="Arial"/>
          <w:sz w:val="24"/>
          <w:szCs w:val="24"/>
        </w:rPr>
        <w:t>ntroducción</w:t>
      </w:r>
      <w:bookmarkEnd w:id="267"/>
      <w:r w:rsidRPr="00AA2A74">
        <w:rPr>
          <w:rFonts w:ascii="Arial" w:hAnsi="Arial" w:cs="Arial"/>
          <w:caps/>
          <w:sz w:val="24"/>
          <w:szCs w:val="24"/>
        </w:rPr>
        <w:t xml:space="preserve"> </w:t>
      </w:r>
    </w:p>
    <w:p w:rsidR="00186522" w:rsidRDefault="00186522" w:rsidP="00186522">
      <w:pPr>
        <w:ind w:firstLine="708"/>
        <w:jc w:val="both"/>
        <w:rPr>
          <w:rFonts w:ascii="Arial" w:hAnsi="Arial" w:cs="Arial"/>
          <w:lang w:val="es-CO"/>
        </w:rPr>
      </w:pPr>
      <w:r>
        <w:rPr>
          <w:rFonts w:ascii="Arial" w:hAnsi="Arial" w:cs="Arial"/>
          <w:lang w:val="es-CO"/>
        </w:rPr>
        <w:t xml:space="preserve">Los sistemas de comunicación han evolucionado a través de los años con el fin de ser más eficaces en la transmisión de la información, por tanto, han surgido avances en los tipos de modulación, los medios de transmisión, etc </w:t>
      </w:r>
      <w:r w:rsidRPr="008776C7">
        <w:rPr>
          <w:rFonts w:ascii="Arial" w:hAnsi="Arial" w:cs="Arial"/>
          <w:vertAlign w:val="superscript"/>
          <w:lang w:val="es-CO"/>
        </w:rPr>
        <w:t>[1]</w:t>
      </w:r>
      <w:r>
        <w:rPr>
          <w:rFonts w:ascii="Arial" w:hAnsi="Arial" w:cs="Arial"/>
          <w:lang w:val="es-CO"/>
        </w:rPr>
        <w:t>. Uno de los enfoques novedosos de los sistemas de comunicación corresponde al desarrollo de la tecnología de SDR, que es un s</w:t>
      </w:r>
      <w:r w:rsidRPr="00F356A7">
        <w:rPr>
          <w:rFonts w:ascii="Arial" w:hAnsi="Arial" w:cs="Arial"/>
          <w:lang w:val="es-CO"/>
        </w:rPr>
        <w:t xml:space="preserve">istema </w:t>
      </w:r>
      <w:r>
        <w:rPr>
          <w:rFonts w:ascii="Arial" w:hAnsi="Arial" w:cs="Arial"/>
          <w:lang w:val="es-CO"/>
        </w:rPr>
        <w:t>de</w:t>
      </w:r>
      <w:r w:rsidRPr="00F356A7">
        <w:rPr>
          <w:rFonts w:ascii="Arial" w:hAnsi="Arial" w:cs="Arial"/>
          <w:lang w:val="es-CO"/>
        </w:rPr>
        <w:t xml:space="preserve"> radio en donde los componentes se implementan utilizando</w:t>
      </w:r>
      <w:r>
        <w:rPr>
          <w:rFonts w:ascii="Arial" w:hAnsi="Arial" w:cs="Arial"/>
          <w:lang w:val="es-CO"/>
        </w:rPr>
        <w:t xml:space="preserve"> </w:t>
      </w:r>
      <w:r w:rsidRPr="00F356A7">
        <w:rPr>
          <w:rFonts w:ascii="Arial" w:hAnsi="Arial" w:cs="Arial"/>
          <w:lang w:val="es-CO"/>
        </w:rPr>
        <w:t>software</w:t>
      </w:r>
      <w:r>
        <w:rPr>
          <w:rFonts w:ascii="Arial" w:hAnsi="Arial" w:cs="Arial"/>
          <w:lang w:val="es-CO"/>
        </w:rPr>
        <w:t xml:space="preserve"> para interactuar con el </w:t>
      </w:r>
      <w:r w:rsidRPr="00C50C38">
        <w:rPr>
          <w:rFonts w:ascii="Arial" w:hAnsi="Arial" w:cs="Arial"/>
          <w:lang w:val="es-CO"/>
        </w:rPr>
        <w:t xml:space="preserve">hardware </w:t>
      </w:r>
      <w:r w:rsidRPr="008776C7">
        <w:rPr>
          <w:rFonts w:ascii="Arial" w:hAnsi="Arial" w:cs="Arial"/>
          <w:vertAlign w:val="superscript"/>
          <w:lang w:val="es-CO"/>
        </w:rPr>
        <w:t>[2]</w:t>
      </w:r>
      <w:r w:rsidRPr="00C50C38">
        <w:rPr>
          <w:rFonts w:ascii="Arial" w:hAnsi="Arial" w:cs="Arial"/>
          <w:lang w:val="es-CO"/>
        </w:rPr>
        <w:t>. También</w:t>
      </w:r>
      <w:r>
        <w:rPr>
          <w:rFonts w:ascii="Arial" w:hAnsi="Arial" w:cs="Arial"/>
          <w:lang w:val="es-CO"/>
        </w:rPr>
        <w:t xml:space="preserve">, se ha indicado que la SDR es una de las tecnologías que abarca el Internet de </w:t>
      </w:r>
      <w:r w:rsidRPr="00C452F2">
        <w:rPr>
          <w:rFonts w:ascii="Arial" w:hAnsi="Arial" w:cs="Arial"/>
          <w:lang w:val="es-CO"/>
        </w:rPr>
        <w:t xml:space="preserve">las Cosas (IoT) </w:t>
      </w:r>
      <w:r w:rsidRPr="008776C7">
        <w:rPr>
          <w:rFonts w:ascii="Arial" w:hAnsi="Arial" w:cs="Arial"/>
          <w:vertAlign w:val="superscript"/>
          <w:lang w:val="es-CO"/>
        </w:rPr>
        <w:t>[3]</w:t>
      </w:r>
      <w:r w:rsidRPr="00C452F2">
        <w:rPr>
          <w:rFonts w:ascii="Arial" w:hAnsi="Arial" w:cs="Arial"/>
          <w:lang w:val="es-CO"/>
        </w:rPr>
        <w:t>,</w:t>
      </w:r>
      <w:r>
        <w:rPr>
          <w:rFonts w:ascii="Arial" w:hAnsi="Arial" w:cs="Arial"/>
          <w:lang w:val="es-CO"/>
        </w:rPr>
        <w:t xml:space="preserve"> por esto se ha utilizado en diferentes esquemas de redes como en los recientes estándares</w:t>
      </w:r>
      <w:r w:rsidRPr="00502142">
        <w:rPr>
          <w:rFonts w:ascii="Arial" w:hAnsi="Arial" w:cs="Arial"/>
          <w:lang w:val="es-CO"/>
        </w:rPr>
        <w:t xml:space="preserve"> IEEE 802.11p e IEEE 802.11ah</w:t>
      </w:r>
      <w:r>
        <w:rPr>
          <w:rFonts w:ascii="Arial" w:hAnsi="Arial" w:cs="Arial"/>
          <w:lang w:val="es-CO"/>
        </w:rPr>
        <w:t xml:space="preserve"> </w:t>
      </w:r>
      <w:r w:rsidRPr="008776C7">
        <w:rPr>
          <w:rFonts w:ascii="Arial" w:hAnsi="Arial" w:cs="Arial"/>
          <w:vertAlign w:val="superscript"/>
          <w:lang w:val="es-CO"/>
        </w:rPr>
        <w:t>[4,5]</w:t>
      </w:r>
      <w:r>
        <w:rPr>
          <w:rFonts w:ascii="Arial" w:hAnsi="Arial" w:cs="Arial"/>
          <w:lang w:val="es-CO"/>
        </w:rPr>
        <w:t xml:space="preserve">. Además, en </w:t>
      </w:r>
      <w:r w:rsidRPr="008776C7">
        <w:rPr>
          <w:rFonts w:ascii="Arial" w:hAnsi="Arial" w:cs="Arial"/>
          <w:vertAlign w:val="superscript"/>
          <w:lang w:val="es-CO"/>
        </w:rPr>
        <w:t>[6]</w:t>
      </w:r>
      <w:r>
        <w:rPr>
          <w:rFonts w:ascii="Arial" w:hAnsi="Arial" w:cs="Arial"/>
          <w:lang w:val="es-CO"/>
        </w:rPr>
        <w:t xml:space="preserve"> se han analizado</w:t>
      </w:r>
      <w:r w:rsidRPr="00176679">
        <w:rPr>
          <w:rFonts w:ascii="Arial" w:hAnsi="Arial" w:cs="Arial"/>
          <w:lang w:val="es-CO"/>
        </w:rPr>
        <w:t xml:space="preserve"> diferentes dispositivos de SDR</w:t>
      </w:r>
      <w:r>
        <w:rPr>
          <w:rFonts w:ascii="Arial" w:hAnsi="Arial" w:cs="Arial"/>
          <w:lang w:val="es-CO"/>
        </w:rPr>
        <w:t xml:space="preserve"> de bajo costo, evaluando parámetros como la</w:t>
      </w:r>
      <w:r w:rsidRPr="00176679">
        <w:rPr>
          <w:rFonts w:ascii="Arial" w:hAnsi="Arial" w:cs="Arial"/>
          <w:lang w:val="es-CO"/>
        </w:rPr>
        <w:t xml:space="preserve"> potencia de salida, </w:t>
      </w:r>
      <w:r>
        <w:rPr>
          <w:rFonts w:ascii="Arial" w:hAnsi="Arial" w:cs="Arial"/>
          <w:lang w:val="es-CO"/>
        </w:rPr>
        <w:t xml:space="preserve">el </w:t>
      </w:r>
      <w:r w:rsidRPr="00176679">
        <w:rPr>
          <w:rFonts w:ascii="Arial" w:hAnsi="Arial" w:cs="Arial"/>
          <w:lang w:val="es-CO"/>
        </w:rPr>
        <w:t xml:space="preserve">ancho de banda </w:t>
      </w:r>
      <w:r>
        <w:rPr>
          <w:rFonts w:ascii="Arial" w:hAnsi="Arial" w:cs="Arial"/>
          <w:lang w:val="es-CO"/>
        </w:rPr>
        <w:t>y la</w:t>
      </w:r>
      <w:r w:rsidRPr="00176679">
        <w:rPr>
          <w:rFonts w:ascii="Arial" w:hAnsi="Arial" w:cs="Arial"/>
          <w:lang w:val="es-CO"/>
        </w:rPr>
        <w:t xml:space="preserve"> frecuencia de muestreo. </w:t>
      </w:r>
    </w:p>
    <w:p w:rsidR="00186522" w:rsidRDefault="00186522" w:rsidP="00186522">
      <w:pPr>
        <w:ind w:firstLine="708"/>
        <w:jc w:val="both"/>
        <w:rPr>
          <w:rFonts w:ascii="Arial" w:hAnsi="Arial" w:cs="Arial"/>
          <w:lang w:val="es-CO"/>
        </w:rPr>
      </w:pPr>
      <w:r>
        <w:rPr>
          <w:rFonts w:ascii="Arial" w:hAnsi="Arial" w:cs="Arial"/>
          <w:lang w:val="es-CO"/>
        </w:rPr>
        <w:t>En este proyecto se usa el dispositivo Raspberry Pi 3 para implementar el SDR, puesto que es</w:t>
      </w:r>
      <w:r w:rsidRPr="00982C72">
        <w:rPr>
          <w:rFonts w:ascii="Arial" w:hAnsi="Arial" w:cs="Arial"/>
          <w:lang w:val="es-CO"/>
        </w:rPr>
        <w:t xml:space="preserve"> un dispositivo </w:t>
      </w:r>
      <w:r>
        <w:rPr>
          <w:rFonts w:ascii="Arial" w:hAnsi="Arial" w:cs="Arial"/>
          <w:lang w:val="es-CO"/>
        </w:rPr>
        <w:t>en el que es posible desarrollar</w:t>
      </w:r>
      <w:r w:rsidRPr="00982C72">
        <w:rPr>
          <w:rFonts w:ascii="Arial" w:hAnsi="Arial" w:cs="Arial"/>
          <w:lang w:val="es-CO"/>
        </w:rPr>
        <w:t xml:space="preserve"> aplicaciones inalámbricas </w:t>
      </w:r>
      <w:r>
        <w:rPr>
          <w:rFonts w:ascii="Arial" w:hAnsi="Arial" w:cs="Arial"/>
          <w:lang w:val="es-CO"/>
        </w:rPr>
        <w:t xml:space="preserve">con </w:t>
      </w:r>
      <w:r w:rsidRPr="00982C72">
        <w:rPr>
          <w:rFonts w:ascii="Arial" w:hAnsi="Arial" w:cs="Arial"/>
          <w:lang w:val="es-CO"/>
        </w:rPr>
        <w:t xml:space="preserve">un </w:t>
      </w:r>
      <w:r>
        <w:rPr>
          <w:rFonts w:ascii="Arial" w:hAnsi="Arial" w:cs="Arial"/>
          <w:lang w:val="es-CO"/>
        </w:rPr>
        <w:t xml:space="preserve">robusto sistema </w:t>
      </w:r>
      <w:r w:rsidRPr="00982C72">
        <w:rPr>
          <w:rFonts w:ascii="Arial" w:hAnsi="Arial" w:cs="Arial"/>
          <w:lang w:val="es-CO"/>
        </w:rPr>
        <w:t xml:space="preserve">embebido de bajo costo. </w:t>
      </w:r>
      <w:r>
        <w:rPr>
          <w:rFonts w:ascii="Arial" w:hAnsi="Arial" w:cs="Arial"/>
          <w:lang w:val="es-CO"/>
        </w:rPr>
        <w:t xml:space="preserve">En diversas aplicaciones se hace uso de la comunicación inalámbrica con Raspberry, p. ej., en </w:t>
      </w:r>
      <w:r w:rsidRPr="008776C7">
        <w:rPr>
          <w:rFonts w:ascii="Arial" w:hAnsi="Arial" w:cs="Arial"/>
          <w:vertAlign w:val="superscript"/>
          <w:lang w:val="es-CO"/>
        </w:rPr>
        <w:t>[7]</w:t>
      </w:r>
      <w:r w:rsidRPr="00982C72">
        <w:rPr>
          <w:rFonts w:ascii="Arial" w:hAnsi="Arial" w:cs="Arial"/>
          <w:lang w:val="es-CO"/>
        </w:rPr>
        <w:t xml:space="preserve"> se utiliza la Rapberry Pi 3 como un servidor que es capaz de transferir archivos a varios computadores utilizando WiFi mediante el software Samba</w:t>
      </w:r>
      <w:r>
        <w:rPr>
          <w:rFonts w:ascii="Arial" w:hAnsi="Arial" w:cs="Arial"/>
          <w:lang w:val="es-CO"/>
        </w:rPr>
        <w:t>.</w:t>
      </w:r>
      <w:r w:rsidRPr="00982C72">
        <w:rPr>
          <w:rFonts w:ascii="Arial" w:hAnsi="Arial" w:cs="Arial"/>
          <w:lang w:val="es-CO"/>
        </w:rPr>
        <w:t xml:space="preserve"> </w:t>
      </w:r>
      <w:r>
        <w:rPr>
          <w:rFonts w:ascii="Arial" w:hAnsi="Arial" w:cs="Arial"/>
          <w:lang w:val="es-CO"/>
        </w:rPr>
        <w:t xml:space="preserve">En </w:t>
      </w:r>
      <w:r w:rsidRPr="008776C7">
        <w:rPr>
          <w:rFonts w:ascii="Arial" w:hAnsi="Arial" w:cs="Arial"/>
          <w:vertAlign w:val="superscript"/>
          <w:lang w:val="es-CO"/>
        </w:rPr>
        <w:t>[8-12]</w:t>
      </w:r>
      <w:r>
        <w:rPr>
          <w:rFonts w:ascii="Arial" w:hAnsi="Arial" w:cs="Arial"/>
          <w:lang w:val="es-CO"/>
        </w:rPr>
        <w:t xml:space="preserve"> se </w:t>
      </w:r>
      <w:r w:rsidRPr="00982C72">
        <w:rPr>
          <w:rFonts w:ascii="Arial" w:hAnsi="Arial" w:cs="Arial"/>
          <w:lang w:val="es-CO"/>
        </w:rPr>
        <w:t>realiza</w:t>
      </w:r>
      <w:r>
        <w:rPr>
          <w:rFonts w:ascii="Arial" w:hAnsi="Arial" w:cs="Arial"/>
          <w:lang w:val="es-CO"/>
        </w:rPr>
        <w:t>n</w:t>
      </w:r>
      <w:r w:rsidRPr="00982C72">
        <w:rPr>
          <w:rFonts w:ascii="Arial" w:hAnsi="Arial" w:cs="Arial"/>
          <w:lang w:val="es-CO"/>
        </w:rPr>
        <w:t xml:space="preserve"> controles y monitoreo de</w:t>
      </w:r>
      <w:r>
        <w:rPr>
          <w:rFonts w:ascii="Arial" w:hAnsi="Arial" w:cs="Arial"/>
          <w:lang w:val="es-CO"/>
        </w:rPr>
        <w:t xml:space="preserve"> diferentes variables para</w:t>
      </w:r>
      <w:r w:rsidRPr="00982C72">
        <w:rPr>
          <w:rFonts w:ascii="Arial" w:hAnsi="Arial" w:cs="Arial"/>
          <w:lang w:val="es-CO"/>
        </w:rPr>
        <w:t xml:space="preserve"> sistemas de riego</w:t>
      </w:r>
      <w:r>
        <w:rPr>
          <w:rFonts w:ascii="Arial" w:hAnsi="Arial" w:cs="Arial"/>
          <w:lang w:val="es-CO"/>
        </w:rPr>
        <w:t xml:space="preserve">. Para el control de robots en </w:t>
      </w:r>
      <w:r w:rsidRPr="008776C7">
        <w:rPr>
          <w:rFonts w:ascii="Arial" w:hAnsi="Arial" w:cs="Arial"/>
          <w:vertAlign w:val="superscript"/>
          <w:lang w:val="es-CO"/>
        </w:rPr>
        <w:t>[13]</w:t>
      </w:r>
      <w:r>
        <w:rPr>
          <w:rFonts w:ascii="Arial" w:hAnsi="Arial" w:cs="Arial"/>
          <w:lang w:val="es-CO"/>
        </w:rPr>
        <w:t xml:space="preserve"> se utiliza como</w:t>
      </w:r>
      <w:r w:rsidRPr="00E10A39">
        <w:rPr>
          <w:rFonts w:ascii="Arial" w:hAnsi="Arial" w:cs="Arial"/>
          <w:lang w:val="es-CO"/>
        </w:rPr>
        <w:t xml:space="preserve"> sistema de comunicación el protocolo 802.11g</w:t>
      </w:r>
      <w:r>
        <w:rPr>
          <w:rFonts w:ascii="Arial" w:hAnsi="Arial" w:cs="Arial"/>
          <w:lang w:val="es-CO"/>
        </w:rPr>
        <w:t xml:space="preserve"> con el que se </w:t>
      </w:r>
      <w:r w:rsidRPr="00E10A39">
        <w:rPr>
          <w:rFonts w:ascii="Arial" w:hAnsi="Arial" w:cs="Arial"/>
          <w:lang w:val="es-CO"/>
        </w:rPr>
        <w:t>monitore</w:t>
      </w:r>
      <w:r>
        <w:rPr>
          <w:rFonts w:ascii="Arial" w:hAnsi="Arial" w:cs="Arial"/>
          <w:lang w:val="es-CO"/>
        </w:rPr>
        <w:t>a</w:t>
      </w:r>
      <w:r w:rsidRPr="00E10A39">
        <w:rPr>
          <w:rFonts w:ascii="Arial" w:hAnsi="Arial" w:cs="Arial"/>
          <w:lang w:val="es-CO"/>
        </w:rPr>
        <w:t xml:space="preserve"> y almacena</w:t>
      </w:r>
      <w:r>
        <w:rPr>
          <w:rFonts w:ascii="Arial" w:hAnsi="Arial" w:cs="Arial"/>
          <w:lang w:val="es-CO"/>
        </w:rPr>
        <w:t xml:space="preserve"> </w:t>
      </w:r>
      <w:r w:rsidRPr="00E10A39">
        <w:rPr>
          <w:rFonts w:ascii="Arial" w:hAnsi="Arial" w:cs="Arial"/>
          <w:lang w:val="es-CO"/>
        </w:rPr>
        <w:t xml:space="preserve">datos en </w:t>
      </w:r>
      <w:r w:rsidRPr="00E10A39">
        <w:rPr>
          <w:rFonts w:ascii="Arial" w:hAnsi="Arial" w:cs="Arial"/>
          <w:lang w:val="es-CO"/>
        </w:rPr>
        <w:lastRenderedPageBreak/>
        <w:t>tiempo real</w:t>
      </w:r>
      <w:r>
        <w:rPr>
          <w:rFonts w:ascii="Arial" w:hAnsi="Arial" w:cs="Arial"/>
          <w:lang w:val="es-CO"/>
        </w:rPr>
        <w:t>, y e</w:t>
      </w:r>
      <w:r w:rsidRPr="00E10A39">
        <w:rPr>
          <w:rFonts w:ascii="Arial" w:hAnsi="Arial" w:cs="Arial"/>
          <w:lang w:val="es-CO"/>
        </w:rPr>
        <w:t xml:space="preserve">n </w:t>
      </w:r>
      <w:r w:rsidRPr="008776C7">
        <w:rPr>
          <w:rFonts w:ascii="Arial" w:hAnsi="Arial" w:cs="Arial"/>
          <w:vertAlign w:val="superscript"/>
          <w:lang w:val="es-CO"/>
        </w:rPr>
        <w:t>[14]</w:t>
      </w:r>
      <w:r w:rsidRPr="00E10A39">
        <w:rPr>
          <w:rFonts w:ascii="Arial" w:hAnsi="Arial" w:cs="Arial"/>
          <w:lang w:val="es-CO"/>
        </w:rPr>
        <w:t xml:space="preserve"> se programa un control para un robot en Python </w:t>
      </w:r>
      <w:r>
        <w:rPr>
          <w:rFonts w:ascii="Arial" w:hAnsi="Arial" w:cs="Arial"/>
          <w:lang w:val="es-CO"/>
        </w:rPr>
        <w:t>que</w:t>
      </w:r>
      <w:r w:rsidRPr="00E10A39">
        <w:rPr>
          <w:rFonts w:ascii="Arial" w:hAnsi="Arial" w:cs="Arial"/>
          <w:lang w:val="es-CO"/>
        </w:rPr>
        <w:t xml:space="preserve"> genera movimientos básicos y </w:t>
      </w:r>
      <w:r>
        <w:rPr>
          <w:rFonts w:ascii="Arial" w:hAnsi="Arial" w:cs="Arial"/>
          <w:lang w:val="es-CO"/>
        </w:rPr>
        <w:t>envía</w:t>
      </w:r>
      <w:r w:rsidRPr="00E10A39">
        <w:rPr>
          <w:rFonts w:ascii="Arial" w:hAnsi="Arial" w:cs="Arial"/>
          <w:lang w:val="es-CO"/>
        </w:rPr>
        <w:t xml:space="preserve"> video a un dispositivo Android.</w:t>
      </w:r>
    </w:p>
    <w:p w:rsidR="00186522" w:rsidRDefault="00186522" w:rsidP="00186522">
      <w:pPr>
        <w:ind w:firstLine="708"/>
        <w:jc w:val="both"/>
        <w:rPr>
          <w:rFonts w:ascii="Arial" w:hAnsi="Arial" w:cs="Arial"/>
          <w:lang w:val="es-CO"/>
        </w:rPr>
      </w:pPr>
    </w:p>
    <w:p w:rsidR="00186522" w:rsidRDefault="00186522" w:rsidP="00186522">
      <w:pPr>
        <w:jc w:val="both"/>
        <w:rPr>
          <w:rFonts w:ascii="Arial" w:hAnsi="Arial" w:cs="Arial"/>
        </w:rPr>
      </w:pPr>
      <w:r>
        <w:rPr>
          <w:rFonts w:ascii="Arial" w:hAnsi="Arial" w:cs="Arial"/>
          <w:lang w:val="es-CO"/>
        </w:rPr>
        <w:t xml:space="preserve">En este trabajo se desarrolla una propuesta novedosa en la que se envía información para el movimiento de un robot modular </w:t>
      </w:r>
      <w:r w:rsidRPr="008776C7">
        <w:rPr>
          <w:rFonts w:ascii="Arial" w:hAnsi="Arial" w:cs="Arial"/>
          <w:vertAlign w:val="superscript"/>
          <w:lang w:val="es-CO"/>
        </w:rPr>
        <w:t>[15]</w:t>
      </w:r>
      <w:r>
        <w:rPr>
          <w:rFonts w:ascii="Arial" w:hAnsi="Arial" w:cs="Arial"/>
          <w:lang w:val="es-CO"/>
        </w:rPr>
        <w:t xml:space="preserve"> a través de un dispositivo de SDR implementado en la Raspberry Pi 3 que evalúa la mejor relación señal a ruido (SNR) de los canales WiFi, adicionalmente el robot envía el dato de la velocidad angular promedio hacia la nube. </w:t>
      </w:r>
      <w:r>
        <w:rPr>
          <w:rFonts w:ascii="Arial" w:hAnsi="Arial" w:cs="Arial"/>
        </w:rPr>
        <w:t xml:space="preserve">Este artículo se encuentra organizado de la siguiente manera: </w:t>
      </w:r>
      <w:r w:rsidRPr="00405A7F">
        <w:rPr>
          <w:rFonts w:ascii="Arial" w:hAnsi="Arial" w:cs="Arial"/>
        </w:rPr>
        <w:t>En la sección 3 se presenta una descripción detallada del sistema de comunicación. En la sección 4 se exhiben los principales resultados alcanzados. Y finalmente, en la sección 5, se muestran las conclusiones obtenidas.</w:t>
      </w:r>
      <w:r>
        <w:rPr>
          <w:rFonts w:ascii="Arial" w:hAnsi="Arial" w:cs="Arial"/>
        </w:rPr>
        <w:t xml:space="preserve"> </w:t>
      </w:r>
    </w:p>
    <w:p w:rsidR="00186522" w:rsidRDefault="00186522" w:rsidP="00186522">
      <w:pPr>
        <w:ind w:firstLine="708"/>
        <w:jc w:val="both"/>
        <w:rPr>
          <w:rFonts w:ascii="Arial" w:hAnsi="Arial" w:cs="Arial"/>
          <w:lang w:val="es-CO"/>
        </w:rPr>
      </w:pPr>
    </w:p>
    <w:p w:rsidR="00186522" w:rsidRPr="00AA2A74" w:rsidRDefault="00186522" w:rsidP="00186522">
      <w:pPr>
        <w:pStyle w:val="Ttulo1"/>
        <w:keepLines w:val="0"/>
        <w:numPr>
          <w:ilvl w:val="0"/>
          <w:numId w:val="1"/>
        </w:numPr>
        <w:tabs>
          <w:tab w:val="clear" w:pos="432"/>
          <w:tab w:val="left" w:pos="0"/>
        </w:tabs>
        <w:suppressAutoHyphens/>
        <w:spacing w:before="240" w:after="0" w:line="360" w:lineRule="auto"/>
        <w:ind w:left="0" w:firstLine="0"/>
        <w:rPr>
          <w:rFonts w:ascii="Arial" w:hAnsi="Arial" w:cs="Arial"/>
          <w:i/>
          <w:sz w:val="24"/>
          <w:szCs w:val="24"/>
        </w:rPr>
      </w:pPr>
      <w:bookmarkStart w:id="268" w:name="_Toc50031341"/>
      <w:r w:rsidRPr="00AA2A74">
        <w:rPr>
          <w:rFonts w:ascii="Arial" w:hAnsi="Arial" w:cs="Arial"/>
          <w:caps/>
          <w:sz w:val="24"/>
          <w:szCs w:val="24"/>
        </w:rPr>
        <w:t xml:space="preserve">3. </w:t>
      </w:r>
      <w:r w:rsidRPr="00AA2A74">
        <w:rPr>
          <w:rFonts w:ascii="Arial" w:hAnsi="Arial" w:cs="Arial"/>
          <w:sz w:val="24"/>
          <w:szCs w:val="24"/>
        </w:rPr>
        <w:t>Esquema del sistema de comunicación</w:t>
      </w:r>
      <w:bookmarkEnd w:id="268"/>
    </w:p>
    <w:p w:rsidR="00186522" w:rsidRDefault="00186522" w:rsidP="00186522">
      <w:pPr>
        <w:pStyle w:val="Textoindependiente"/>
        <w:jc w:val="both"/>
        <w:rPr>
          <w:rFonts w:ascii="Arial" w:hAnsi="Arial" w:cs="Arial"/>
          <w:b w:val="0"/>
          <w:bCs w:val="0"/>
          <w:sz w:val="24"/>
        </w:rPr>
      </w:pPr>
      <w:r>
        <w:rPr>
          <w:rFonts w:ascii="Arial" w:hAnsi="Arial" w:cs="Arial"/>
          <w:b w:val="0"/>
          <w:sz w:val="24"/>
        </w:rPr>
        <w:t xml:space="preserve">          </w:t>
      </w:r>
      <w:r>
        <w:rPr>
          <w:rFonts w:ascii="Arial" w:hAnsi="Arial" w:cs="Arial"/>
          <w:b w:val="0"/>
          <w:sz w:val="24"/>
        </w:rPr>
        <w:tab/>
        <w:t>El sistema de comunicaciones desarrollado, el cual se observa en la Figura 1, está compuesto: primero, por una Raspberry Pi 3, que se configura como Punto de Acceso Inalámbrico (WAP) y en la que se desarrolla el SDR, segundo, por un router que brinda</w:t>
      </w:r>
      <w:r w:rsidRPr="00EE2617">
        <w:rPr>
          <w:rFonts w:ascii="Arial" w:hAnsi="Arial" w:cs="Arial"/>
          <w:b w:val="0"/>
          <w:sz w:val="24"/>
        </w:rPr>
        <w:t xml:space="preserve"> conexión a internet</w:t>
      </w:r>
      <w:r>
        <w:rPr>
          <w:rFonts w:ascii="Arial" w:hAnsi="Arial" w:cs="Arial"/>
          <w:b w:val="0"/>
          <w:sz w:val="24"/>
        </w:rPr>
        <w:t xml:space="preserve"> y envía la información generada desde el robot hacia la nube, también se conecta con un PC donde existe un software que analiza la red para medir el nivel de potencia de los canales de las redes WiFi. En este PC también se genera la secuencia de movimientos que se envía al robot; tercero, por un microcontrolador ESP32 que se comunica bidireccionalmente con la Raspberry, transmitiendo la secuencia de movimientos al robot y la información de la velocidad angular del robot hacia la Raspberry para ser enviada y almacenada en la nube.</w:t>
      </w:r>
    </w:p>
    <w:p w:rsidR="00186522" w:rsidRDefault="00186522" w:rsidP="00186522">
      <w:pPr>
        <w:pStyle w:val="Textoindependiente"/>
        <w:jc w:val="both"/>
        <w:rPr>
          <w:rFonts w:ascii="Arial" w:hAnsi="Arial" w:cs="Arial"/>
          <w:b w:val="0"/>
          <w:bCs w:val="0"/>
          <w:sz w:val="24"/>
        </w:rPr>
      </w:pPr>
    </w:p>
    <w:p w:rsidR="00186522" w:rsidRPr="00866BDD" w:rsidRDefault="00186522" w:rsidP="00186522">
      <w:pPr>
        <w:pStyle w:val="Textoindependiente"/>
        <w:jc w:val="center"/>
        <w:rPr>
          <w:rFonts w:ascii="Arial" w:hAnsi="Arial" w:cs="Arial"/>
          <w:b w:val="0"/>
          <w:bCs w:val="0"/>
          <w:sz w:val="24"/>
        </w:rPr>
      </w:pPr>
      <w:r>
        <w:rPr>
          <w:noProof/>
          <w:lang w:val="en-US"/>
        </w:rPr>
        <w:lastRenderedPageBreak/>
        <w:drawing>
          <wp:inline distT="0" distB="0" distL="0" distR="0" wp14:anchorId="69CDE85A" wp14:editId="1B57B2FE">
            <wp:extent cx="3971925" cy="2819400"/>
            <wp:effectExtent l="0" t="0" r="9525" b="0"/>
            <wp:docPr id="2026623676" name="Imagen 202662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1" cstate="print">
                      <a:extLst>
                        <a:ext uri="{28A0092B-C50C-407E-A947-70E740481C1C}">
                          <a14:useLocalDpi xmlns:a14="http://schemas.microsoft.com/office/drawing/2010/main" val="0"/>
                        </a:ext>
                      </a:extLst>
                    </a:blip>
                    <a:srcRect/>
                    <a:stretch>
                      <a:fillRect/>
                    </a:stretch>
                  </pic:blipFill>
                  <pic:spPr bwMode="auto">
                    <a:xfrm>
                      <a:off x="0" y="0"/>
                      <a:ext cx="3971925" cy="2819400"/>
                    </a:xfrm>
                    <a:prstGeom prst="rect">
                      <a:avLst/>
                    </a:prstGeom>
                    <a:noFill/>
                    <a:ln>
                      <a:noFill/>
                    </a:ln>
                  </pic:spPr>
                </pic:pic>
              </a:graphicData>
            </a:graphic>
          </wp:inline>
        </w:drawing>
      </w:r>
    </w:p>
    <w:p w:rsidR="00186522" w:rsidRPr="00DB58F0" w:rsidRDefault="00186522" w:rsidP="00186522">
      <w:pPr>
        <w:spacing w:before="240"/>
        <w:jc w:val="center"/>
        <w:rPr>
          <w:rFonts w:ascii="Arial" w:hAnsi="Arial" w:cs="Arial"/>
          <w:bCs/>
          <w:i/>
          <w:sz w:val="20"/>
          <w:szCs w:val="20"/>
        </w:rPr>
      </w:pPr>
      <w:r>
        <w:rPr>
          <w:rFonts w:ascii="Arial" w:hAnsi="Arial" w:cs="Arial"/>
          <w:bCs/>
          <w:i/>
          <w:sz w:val="20"/>
          <w:szCs w:val="20"/>
        </w:rPr>
        <w:t>Figura 1</w:t>
      </w:r>
      <w:r w:rsidRPr="00296222">
        <w:rPr>
          <w:rFonts w:ascii="Arial" w:hAnsi="Arial" w:cs="Arial"/>
          <w:bCs/>
          <w:i/>
          <w:sz w:val="20"/>
          <w:szCs w:val="20"/>
        </w:rPr>
        <w:t xml:space="preserve">. </w:t>
      </w:r>
      <w:r w:rsidRPr="00D74B2C">
        <w:rPr>
          <w:rFonts w:ascii="Arial" w:hAnsi="Arial" w:cs="Arial"/>
          <w:bCs/>
          <w:i/>
          <w:sz w:val="20"/>
          <w:szCs w:val="20"/>
        </w:rPr>
        <w:t xml:space="preserve">Diagrama de bloques </w:t>
      </w:r>
      <w:r>
        <w:rPr>
          <w:rFonts w:ascii="Arial" w:hAnsi="Arial" w:cs="Arial"/>
          <w:bCs/>
          <w:i/>
          <w:sz w:val="20"/>
          <w:szCs w:val="20"/>
        </w:rPr>
        <w:t>del sistema de comunicación</w:t>
      </w:r>
    </w:p>
    <w:p w:rsidR="00186522" w:rsidRDefault="00186522" w:rsidP="00186522">
      <w:pPr>
        <w:numPr>
          <w:ilvl w:val="0"/>
          <w:numId w:val="1"/>
        </w:numPr>
        <w:tabs>
          <w:tab w:val="clear" w:pos="432"/>
          <w:tab w:val="num" w:pos="0"/>
        </w:tabs>
        <w:suppressAutoHyphens/>
        <w:spacing w:before="240" w:after="240" w:line="240" w:lineRule="auto"/>
        <w:ind w:left="0" w:firstLine="0"/>
        <w:rPr>
          <w:rFonts w:ascii="Arial" w:hAnsi="Arial" w:cs="Arial"/>
          <w:i/>
        </w:rPr>
      </w:pPr>
      <w:r>
        <w:rPr>
          <w:rFonts w:ascii="Arial" w:hAnsi="Arial" w:cs="Arial"/>
          <w:i/>
          <w:color w:val="000000"/>
        </w:rPr>
        <w:t>3</w:t>
      </w:r>
      <w:r w:rsidRPr="00BC5E0A">
        <w:rPr>
          <w:rFonts w:ascii="Arial" w:hAnsi="Arial" w:cs="Arial"/>
          <w:i/>
          <w:color w:val="000000"/>
        </w:rPr>
        <w:t>.1</w:t>
      </w:r>
      <w:r>
        <w:rPr>
          <w:rFonts w:ascii="Arial" w:hAnsi="Arial" w:cs="Arial"/>
          <w:i/>
          <w:color w:val="000000"/>
        </w:rPr>
        <w:t>.</w:t>
      </w:r>
      <w:r w:rsidRPr="00BC5E0A">
        <w:rPr>
          <w:rFonts w:ascii="Arial" w:hAnsi="Arial" w:cs="Arial"/>
          <w:i/>
          <w:color w:val="000000"/>
        </w:rPr>
        <w:t xml:space="preserve"> </w:t>
      </w:r>
      <w:r>
        <w:rPr>
          <w:rFonts w:ascii="Arial" w:hAnsi="Arial" w:cs="Arial"/>
          <w:i/>
          <w:color w:val="000000"/>
        </w:rPr>
        <w:t>Configuración del Punto de Acceso Inalámbrico en la Raspberry Pi 3</w:t>
      </w:r>
    </w:p>
    <w:p w:rsidR="00186522" w:rsidRDefault="00186522" w:rsidP="00186522">
      <w:pPr>
        <w:jc w:val="both"/>
        <w:rPr>
          <w:rFonts w:ascii="Arial" w:hAnsi="Arial" w:cs="Arial"/>
        </w:rPr>
      </w:pPr>
      <w:r>
        <w:rPr>
          <w:rFonts w:ascii="Arial" w:hAnsi="Arial" w:cs="Arial"/>
        </w:rPr>
        <w:tab/>
        <w:t xml:space="preserve">La </w:t>
      </w:r>
      <w:r w:rsidRPr="00D566E7">
        <w:rPr>
          <w:rFonts w:ascii="Arial" w:hAnsi="Arial" w:cs="Arial"/>
        </w:rPr>
        <w:t xml:space="preserve">Raspberry </w:t>
      </w:r>
      <w:r>
        <w:rPr>
          <w:rFonts w:ascii="Arial" w:hAnsi="Arial" w:cs="Arial"/>
        </w:rPr>
        <w:t>Pi 3 tiene una tarjeta de red incorporada, para su configuración se utilizan los paquetes de software</w:t>
      </w:r>
      <w:r w:rsidRPr="00060E13">
        <w:rPr>
          <w:rFonts w:ascii="Arial" w:hAnsi="Arial" w:cs="Arial"/>
          <w:b/>
          <w:bCs/>
        </w:rPr>
        <w:t xml:space="preserve"> </w:t>
      </w:r>
      <w:r w:rsidRPr="00060E13">
        <w:rPr>
          <w:rFonts w:ascii="Arial" w:hAnsi="Arial" w:cs="Arial"/>
          <w:i/>
          <w:iCs/>
        </w:rPr>
        <w:t>hostapd</w:t>
      </w:r>
      <w:r w:rsidRPr="00D566E7">
        <w:rPr>
          <w:rFonts w:ascii="Arial" w:hAnsi="Arial" w:cs="Arial"/>
        </w:rPr>
        <w:t xml:space="preserve"> y </w:t>
      </w:r>
      <w:r w:rsidRPr="00060E13">
        <w:rPr>
          <w:rFonts w:ascii="Arial" w:hAnsi="Arial" w:cs="Arial"/>
          <w:i/>
          <w:iCs/>
        </w:rPr>
        <w:t>dnsmasq</w:t>
      </w:r>
      <w:r>
        <w:rPr>
          <w:rFonts w:ascii="Arial" w:hAnsi="Arial" w:cs="Arial"/>
        </w:rPr>
        <w:t xml:space="preserve">. </w:t>
      </w:r>
      <w:r w:rsidRPr="00060E13">
        <w:rPr>
          <w:rFonts w:ascii="Arial" w:hAnsi="Arial" w:cs="Arial"/>
        </w:rPr>
        <w:t xml:space="preserve">El paquete </w:t>
      </w:r>
      <w:r w:rsidRPr="00060E13">
        <w:rPr>
          <w:rFonts w:ascii="Arial" w:hAnsi="Arial" w:cs="Arial"/>
          <w:i/>
          <w:iCs/>
        </w:rPr>
        <w:t>hostapd</w:t>
      </w:r>
      <w:r w:rsidRPr="00060E13">
        <w:rPr>
          <w:rFonts w:ascii="Arial" w:hAnsi="Arial" w:cs="Arial"/>
        </w:rPr>
        <w:t xml:space="preserve"> </w:t>
      </w:r>
      <w:r>
        <w:rPr>
          <w:rFonts w:ascii="Arial" w:hAnsi="Arial" w:cs="Arial"/>
        </w:rPr>
        <w:t>permite la configuración del WAP, como por ejemplo, el nombre de la red inalámbrica (SSID),</w:t>
      </w:r>
      <w:r w:rsidRPr="00514A67">
        <w:rPr>
          <w:rFonts w:ascii="Arial" w:hAnsi="Arial" w:cs="Arial"/>
        </w:rPr>
        <w:t xml:space="preserve"> el canal</w:t>
      </w:r>
      <w:r>
        <w:rPr>
          <w:rFonts w:ascii="Arial" w:hAnsi="Arial" w:cs="Arial"/>
        </w:rPr>
        <w:t xml:space="preserve">, el nivel de seguridad, entre otros. </w:t>
      </w:r>
      <w:r w:rsidRPr="00D566E7">
        <w:rPr>
          <w:rFonts w:ascii="Arial" w:hAnsi="Arial" w:cs="Arial"/>
        </w:rPr>
        <w:t xml:space="preserve">Por su parte, </w:t>
      </w:r>
      <w:r w:rsidRPr="00AC72E1">
        <w:rPr>
          <w:rFonts w:ascii="Arial" w:hAnsi="Arial" w:cs="Arial"/>
          <w:i/>
          <w:iCs/>
        </w:rPr>
        <w:t>dnsmasq</w:t>
      </w:r>
      <w:r w:rsidRPr="00D566E7">
        <w:rPr>
          <w:rFonts w:ascii="Arial" w:hAnsi="Arial" w:cs="Arial"/>
        </w:rPr>
        <w:t xml:space="preserve"> brinda utilidades para la configuración de un servidor </w:t>
      </w:r>
      <w:r>
        <w:rPr>
          <w:rFonts w:ascii="Arial" w:hAnsi="Arial" w:cs="Arial"/>
        </w:rPr>
        <w:t>de</w:t>
      </w:r>
      <w:r w:rsidRPr="00AC72E1">
        <w:rPr>
          <w:rFonts w:ascii="Arial" w:hAnsi="Arial" w:cs="Arial"/>
        </w:rPr>
        <w:t xml:space="preserve">l Protocolo </w:t>
      </w:r>
      <w:r>
        <w:rPr>
          <w:rFonts w:ascii="Arial" w:hAnsi="Arial" w:cs="Arial"/>
        </w:rPr>
        <w:t>d</w:t>
      </w:r>
      <w:r w:rsidRPr="00AC72E1">
        <w:rPr>
          <w:rFonts w:ascii="Arial" w:hAnsi="Arial" w:cs="Arial"/>
        </w:rPr>
        <w:t xml:space="preserve">e Configuración Dinámica </w:t>
      </w:r>
      <w:r>
        <w:rPr>
          <w:rFonts w:ascii="Arial" w:hAnsi="Arial" w:cs="Arial"/>
        </w:rPr>
        <w:t>d</w:t>
      </w:r>
      <w:r w:rsidRPr="00AC72E1">
        <w:rPr>
          <w:rFonts w:ascii="Arial" w:hAnsi="Arial" w:cs="Arial"/>
        </w:rPr>
        <w:t xml:space="preserve">e Host </w:t>
      </w:r>
      <w:r>
        <w:rPr>
          <w:rFonts w:ascii="Arial" w:hAnsi="Arial" w:cs="Arial"/>
        </w:rPr>
        <w:t>(</w:t>
      </w:r>
      <w:r w:rsidRPr="00D566E7">
        <w:rPr>
          <w:rFonts w:ascii="Arial" w:hAnsi="Arial" w:cs="Arial"/>
        </w:rPr>
        <w:t>DHCP</w:t>
      </w:r>
      <w:r>
        <w:rPr>
          <w:rFonts w:ascii="Arial" w:hAnsi="Arial" w:cs="Arial"/>
        </w:rPr>
        <w:t>)</w:t>
      </w:r>
      <w:r w:rsidRPr="00D566E7">
        <w:rPr>
          <w:rFonts w:ascii="Arial" w:hAnsi="Arial" w:cs="Arial"/>
        </w:rPr>
        <w:t xml:space="preserve"> y </w:t>
      </w:r>
      <w:r>
        <w:rPr>
          <w:rFonts w:ascii="Arial" w:hAnsi="Arial" w:cs="Arial"/>
        </w:rPr>
        <w:t xml:space="preserve">del </w:t>
      </w:r>
      <w:r w:rsidRPr="00AC72E1">
        <w:rPr>
          <w:rFonts w:ascii="Arial" w:hAnsi="Arial" w:cs="Arial"/>
        </w:rPr>
        <w:t xml:space="preserve">Sistema de </w:t>
      </w:r>
      <w:r>
        <w:rPr>
          <w:rFonts w:ascii="Arial" w:hAnsi="Arial" w:cs="Arial"/>
        </w:rPr>
        <w:t>N</w:t>
      </w:r>
      <w:r w:rsidRPr="00AC72E1">
        <w:rPr>
          <w:rFonts w:ascii="Arial" w:hAnsi="Arial" w:cs="Arial"/>
        </w:rPr>
        <w:t xml:space="preserve">ombres de </w:t>
      </w:r>
      <w:r>
        <w:rPr>
          <w:rFonts w:ascii="Arial" w:hAnsi="Arial" w:cs="Arial"/>
        </w:rPr>
        <w:t>D</w:t>
      </w:r>
      <w:r w:rsidRPr="00AC72E1">
        <w:rPr>
          <w:rFonts w:ascii="Arial" w:hAnsi="Arial" w:cs="Arial"/>
        </w:rPr>
        <w:t xml:space="preserve">ominio </w:t>
      </w:r>
      <w:r>
        <w:rPr>
          <w:rFonts w:ascii="Arial" w:hAnsi="Arial" w:cs="Arial"/>
        </w:rPr>
        <w:t>(</w:t>
      </w:r>
      <w:r w:rsidRPr="00D566E7">
        <w:rPr>
          <w:rFonts w:ascii="Arial" w:hAnsi="Arial" w:cs="Arial"/>
        </w:rPr>
        <w:t>DNS</w:t>
      </w:r>
      <w:r>
        <w:rPr>
          <w:rFonts w:ascii="Arial" w:hAnsi="Arial" w:cs="Arial"/>
        </w:rPr>
        <w:t>)</w:t>
      </w:r>
      <w:r w:rsidRPr="00D566E7">
        <w:rPr>
          <w:rFonts w:ascii="Arial" w:hAnsi="Arial" w:cs="Arial"/>
        </w:rPr>
        <w:t>.</w:t>
      </w:r>
    </w:p>
    <w:p w:rsidR="00186522" w:rsidRDefault="00186522" w:rsidP="00186522">
      <w:pPr>
        <w:jc w:val="both"/>
        <w:rPr>
          <w:rFonts w:ascii="Arial" w:hAnsi="Arial" w:cs="Arial"/>
        </w:rPr>
      </w:pPr>
      <w:r>
        <w:rPr>
          <w:rFonts w:ascii="Arial" w:hAnsi="Arial" w:cs="Arial"/>
        </w:rPr>
        <w:t xml:space="preserve">     </w:t>
      </w:r>
      <w:r>
        <w:rPr>
          <w:rFonts w:ascii="Arial" w:hAnsi="Arial" w:cs="Arial"/>
        </w:rPr>
        <w:tab/>
      </w:r>
      <w:r w:rsidRPr="00D566E7">
        <w:rPr>
          <w:rFonts w:ascii="Arial" w:hAnsi="Arial" w:cs="Arial"/>
        </w:rPr>
        <w:t xml:space="preserve">Para brindar acceso a internet </w:t>
      </w:r>
      <w:r>
        <w:rPr>
          <w:rFonts w:ascii="Arial" w:hAnsi="Arial" w:cs="Arial"/>
        </w:rPr>
        <w:t>del</w:t>
      </w:r>
      <w:r w:rsidRPr="00D566E7">
        <w:rPr>
          <w:rFonts w:ascii="Arial" w:hAnsi="Arial" w:cs="Arial"/>
        </w:rPr>
        <w:t xml:space="preserve"> </w:t>
      </w:r>
      <w:r>
        <w:rPr>
          <w:rFonts w:ascii="Arial" w:hAnsi="Arial" w:cs="Arial"/>
        </w:rPr>
        <w:t>WAP</w:t>
      </w:r>
      <w:r w:rsidRPr="00D566E7">
        <w:rPr>
          <w:rFonts w:ascii="Arial" w:hAnsi="Arial" w:cs="Arial"/>
        </w:rPr>
        <w:t xml:space="preserve">, es necesario realizar un </w:t>
      </w:r>
      <w:r w:rsidRPr="005A6861">
        <w:rPr>
          <w:rFonts w:ascii="Arial" w:hAnsi="Arial" w:cs="Arial"/>
          <w:i/>
          <w:iCs/>
        </w:rPr>
        <w:t>brigde</w:t>
      </w:r>
      <w:r w:rsidRPr="00D566E7">
        <w:rPr>
          <w:rFonts w:ascii="Arial" w:hAnsi="Arial" w:cs="Arial"/>
        </w:rPr>
        <w:t xml:space="preserve"> (puente) entre la interfaz inalámbrica de la Raspberry y el adaptador de red </w:t>
      </w:r>
      <w:r>
        <w:rPr>
          <w:rFonts w:ascii="Arial" w:hAnsi="Arial" w:cs="Arial"/>
        </w:rPr>
        <w:t>Ethernet</w:t>
      </w:r>
      <w:r w:rsidRPr="00D566E7">
        <w:rPr>
          <w:rFonts w:ascii="Arial" w:hAnsi="Arial" w:cs="Arial"/>
        </w:rPr>
        <w:t xml:space="preserve">, de esta forma todo el tráfico se redireccionará a través del cable </w:t>
      </w:r>
      <w:r>
        <w:rPr>
          <w:rFonts w:ascii="Arial" w:hAnsi="Arial" w:cs="Arial"/>
        </w:rPr>
        <w:t>de red que se conecta a un router para acceder</w:t>
      </w:r>
      <w:r w:rsidRPr="00D566E7">
        <w:rPr>
          <w:rFonts w:ascii="Arial" w:hAnsi="Arial" w:cs="Arial"/>
        </w:rPr>
        <w:t xml:space="preserve"> a </w:t>
      </w:r>
      <w:r w:rsidRPr="00897800">
        <w:rPr>
          <w:rFonts w:ascii="Arial" w:hAnsi="Arial" w:cs="Arial"/>
        </w:rPr>
        <w:t>internet.</w:t>
      </w:r>
    </w:p>
    <w:p w:rsidR="00186522" w:rsidRDefault="00186522" w:rsidP="00186522">
      <w:pPr>
        <w:spacing w:before="240" w:after="240"/>
        <w:rPr>
          <w:rFonts w:ascii="Arial" w:hAnsi="Arial" w:cs="Arial"/>
          <w:i/>
          <w:color w:val="000000"/>
        </w:rPr>
      </w:pPr>
      <w:r>
        <w:rPr>
          <w:rFonts w:ascii="Arial" w:hAnsi="Arial" w:cs="Arial"/>
          <w:i/>
          <w:color w:val="000000"/>
        </w:rPr>
        <w:t>3</w:t>
      </w:r>
      <w:r w:rsidRPr="00BC5E0A">
        <w:rPr>
          <w:rFonts w:ascii="Arial" w:hAnsi="Arial" w:cs="Arial"/>
          <w:i/>
          <w:color w:val="000000"/>
        </w:rPr>
        <w:t>.</w:t>
      </w:r>
      <w:r>
        <w:rPr>
          <w:rFonts w:ascii="Arial" w:hAnsi="Arial" w:cs="Arial"/>
          <w:i/>
          <w:color w:val="000000"/>
        </w:rPr>
        <w:t>2</w:t>
      </w:r>
      <w:r w:rsidRPr="00BC5E0A">
        <w:rPr>
          <w:rFonts w:ascii="Arial" w:hAnsi="Arial" w:cs="Arial"/>
          <w:i/>
          <w:color w:val="000000"/>
        </w:rPr>
        <w:t xml:space="preserve"> </w:t>
      </w:r>
      <w:r>
        <w:rPr>
          <w:rFonts w:ascii="Arial" w:hAnsi="Arial" w:cs="Arial"/>
          <w:i/>
          <w:color w:val="000000"/>
        </w:rPr>
        <w:t>Medición de</w:t>
      </w:r>
      <w:r w:rsidRPr="005E271E">
        <w:rPr>
          <w:rFonts w:ascii="Arial" w:hAnsi="Arial" w:cs="Arial"/>
          <w:i/>
          <w:color w:val="000000"/>
        </w:rPr>
        <w:t xml:space="preserve"> potencia de l</w:t>
      </w:r>
      <w:r>
        <w:rPr>
          <w:rFonts w:ascii="Arial" w:hAnsi="Arial" w:cs="Arial"/>
          <w:i/>
          <w:color w:val="000000"/>
        </w:rPr>
        <w:t>os canales WiFi</w:t>
      </w:r>
    </w:p>
    <w:p w:rsidR="00186522" w:rsidRDefault="00186522" w:rsidP="00186522">
      <w:pPr>
        <w:spacing w:before="240"/>
        <w:jc w:val="both"/>
        <w:rPr>
          <w:rFonts w:ascii="Arial" w:hAnsi="Arial" w:cs="Arial"/>
          <w:iCs/>
          <w:color w:val="000000"/>
        </w:rPr>
      </w:pPr>
      <w:r>
        <w:rPr>
          <w:rFonts w:ascii="Arial" w:hAnsi="Arial" w:cs="Arial"/>
          <w:iCs/>
          <w:color w:val="000000"/>
        </w:rPr>
        <w:tab/>
        <w:t xml:space="preserve">En la Raspberry Pi se tiene </w:t>
      </w:r>
      <w:r w:rsidRPr="004F0CB8">
        <w:rPr>
          <w:rFonts w:ascii="Arial" w:hAnsi="Arial" w:cs="Arial"/>
          <w:iCs/>
          <w:color w:val="000000"/>
        </w:rPr>
        <w:t xml:space="preserve">limitaciones en </w:t>
      </w:r>
      <w:r>
        <w:rPr>
          <w:rFonts w:ascii="Arial" w:hAnsi="Arial" w:cs="Arial"/>
          <w:iCs/>
          <w:color w:val="000000"/>
        </w:rPr>
        <w:t xml:space="preserve">la interfaz de red, ya que al realizar la configuración del </w:t>
      </w:r>
      <w:r w:rsidRPr="002F0222">
        <w:rPr>
          <w:rFonts w:ascii="Arial" w:hAnsi="Arial" w:cs="Arial"/>
          <w:i/>
          <w:color w:val="000000"/>
        </w:rPr>
        <w:t>brigde</w:t>
      </w:r>
      <w:r>
        <w:rPr>
          <w:rFonts w:ascii="Arial" w:hAnsi="Arial" w:cs="Arial"/>
          <w:iCs/>
          <w:color w:val="000000"/>
        </w:rPr>
        <w:t xml:space="preserve"> para la conexión a internet se inhabilitan las funciones inalámbricas del dispositivo. Por esta razón se utiliza un software llamado </w:t>
      </w:r>
      <w:r w:rsidRPr="002F0222">
        <w:rPr>
          <w:rFonts w:ascii="Arial" w:hAnsi="Arial" w:cs="Arial"/>
          <w:i/>
          <w:iCs/>
        </w:rPr>
        <w:t>WifiInfoView</w:t>
      </w:r>
      <w:r>
        <w:rPr>
          <w:rFonts w:ascii="Arial" w:hAnsi="Arial" w:cs="Arial"/>
          <w:iCs/>
          <w:color w:val="000000"/>
        </w:rPr>
        <w:t xml:space="preserve"> </w:t>
      </w:r>
      <w:r w:rsidRPr="008776C7">
        <w:rPr>
          <w:rFonts w:ascii="Arial" w:hAnsi="Arial" w:cs="Arial"/>
          <w:iCs/>
          <w:color w:val="000000"/>
          <w:vertAlign w:val="superscript"/>
        </w:rPr>
        <w:t>[16]</w:t>
      </w:r>
      <w:r>
        <w:rPr>
          <w:rFonts w:ascii="Arial" w:hAnsi="Arial" w:cs="Arial"/>
          <w:iCs/>
          <w:color w:val="000000"/>
        </w:rPr>
        <w:t xml:space="preserve"> instalado en el PC para medir la potencia de los canales WiFi de las redes inalámbricas circundantes. Luego de medir la potencia de los canales en la banda de 2.4 GHz, se envía esta información a la Raspberry Pi para poner en </w:t>
      </w:r>
      <w:r w:rsidRPr="00405A7F">
        <w:rPr>
          <w:rFonts w:ascii="Arial" w:hAnsi="Arial" w:cs="Arial"/>
          <w:iCs/>
          <w:color w:val="000000"/>
        </w:rPr>
        <w:t>funcionamiento el SDR.</w:t>
      </w:r>
    </w:p>
    <w:p w:rsidR="00186522" w:rsidRPr="004F0CB8" w:rsidRDefault="00186522" w:rsidP="00186522">
      <w:pPr>
        <w:spacing w:before="240"/>
        <w:jc w:val="both"/>
        <w:rPr>
          <w:rFonts w:ascii="Arial" w:hAnsi="Arial" w:cs="Arial"/>
          <w:iCs/>
        </w:rPr>
      </w:pPr>
    </w:p>
    <w:p w:rsidR="00186522" w:rsidRDefault="00186522" w:rsidP="00186522">
      <w:pPr>
        <w:jc w:val="both"/>
        <w:rPr>
          <w:rFonts w:ascii="Arial" w:hAnsi="Arial" w:cs="Arial"/>
          <w:i/>
          <w:color w:val="000000"/>
        </w:rPr>
      </w:pPr>
      <w:r>
        <w:rPr>
          <w:rFonts w:ascii="Arial" w:hAnsi="Arial" w:cs="Arial"/>
          <w:i/>
          <w:color w:val="000000"/>
        </w:rPr>
        <w:t>3.3</w:t>
      </w:r>
      <w:r w:rsidRPr="00BC5E0A">
        <w:rPr>
          <w:rFonts w:ascii="Arial" w:hAnsi="Arial" w:cs="Arial"/>
          <w:i/>
          <w:color w:val="000000"/>
        </w:rPr>
        <w:t xml:space="preserve"> </w:t>
      </w:r>
      <w:r>
        <w:rPr>
          <w:rFonts w:ascii="Arial" w:hAnsi="Arial" w:cs="Arial"/>
          <w:i/>
          <w:color w:val="000000"/>
        </w:rPr>
        <w:t>Desarrollo de la aplicación de SDR</w:t>
      </w:r>
    </w:p>
    <w:p w:rsidR="00186522" w:rsidRDefault="00186522" w:rsidP="00186522">
      <w:pPr>
        <w:jc w:val="both"/>
        <w:rPr>
          <w:rFonts w:ascii="Arial" w:hAnsi="Arial" w:cs="Arial"/>
          <w:i/>
        </w:rPr>
      </w:pPr>
    </w:p>
    <w:p w:rsidR="00186522" w:rsidRDefault="00186522" w:rsidP="00186522">
      <w:pPr>
        <w:jc w:val="both"/>
        <w:rPr>
          <w:rFonts w:ascii="Arial" w:hAnsi="Arial" w:cs="Arial"/>
        </w:rPr>
      </w:pPr>
      <w:r>
        <w:rPr>
          <w:rFonts w:ascii="Arial" w:hAnsi="Arial" w:cs="Arial"/>
        </w:rPr>
        <w:tab/>
        <w:t xml:space="preserve">El sistema de SDR desarrollado establece la transmisión WiFi entre la Raspberry y el ESP32, desde el comienzo, utilizando el canal que tiene mayor SNR. Para lograr lo anterior se realiza lo </w:t>
      </w:r>
      <w:r>
        <w:rPr>
          <w:rFonts w:ascii="Arial" w:hAnsi="Arial" w:cs="Arial"/>
        </w:rPr>
        <w:lastRenderedPageBreak/>
        <w:t xml:space="preserve">siguiente. Primero se toman las potencias o </w:t>
      </w:r>
      <w:r w:rsidRPr="003F07C0">
        <w:rPr>
          <w:rFonts w:ascii="Arial" w:hAnsi="Arial" w:cs="Arial"/>
        </w:rPr>
        <w:t>indicador</w:t>
      </w:r>
      <w:r>
        <w:rPr>
          <w:rFonts w:ascii="Arial" w:hAnsi="Arial" w:cs="Arial"/>
        </w:rPr>
        <w:t>es</w:t>
      </w:r>
      <w:r w:rsidRPr="003F07C0">
        <w:rPr>
          <w:rFonts w:ascii="Arial" w:hAnsi="Arial" w:cs="Arial"/>
        </w:rPr>
        <w:t xml:space="preserve"> de fuerza de la señal recibida</w:t>
      </w:r>
      <w:r>
        <w:rPr>
          <w:rFonts w:ascii="Arial" w:hAnsi="Arial" w:cs="Arial"/>
        </w:rPr>
        <w:t xml:space="preserve"> (RSSI) de los canales de los puntos de acceso que se encuentran en el entorno de la Raspberry, los cuales son medidos por el </w:t>
      </w:r>
      <w:r>
        <w:rPr>
          <w:rFonts w:ascii="Arial" w:hAnsi="Arial" w:cs="Arial"/>
          <w:iCs/>
          <w:color w:val="000000"/>
        </w:rPr>
        <w:t xml:space="preserve">software </w:t>
      </w:r>
      <w:r w:rsidRPr="002F0222">
        <w:rPr>
          <w:rFonts w:ascii="Arial" w:hAnsi="Arial" w:cs="Arial"/>
          <w:i/>
          <w:iCs/>
        </w:rPr>
        <w:t>WifiInfoView</w:t>
      </w:r>
      <w:r>
        <w:rPr>
          <w:rFonts w:ascii="Arial" w:hAnsi="Arial" w:cs="Arial"/>
        </w:rPr>
        <w:t>. Luego se promedia la potencia por canal a partir de las mediciones de RSSI de los puntos de acceso, como se muestra en la ecuación 1.</w:t>
      </w:r>
    </w:p>
    <w:p w:rsidR="00186522" w:rsidRDefault="001345E4" w:rsidP="00186522">
      <w:pPr>
        <w:pStyle w:val="Prrafodelista"/>
        <w:spacing w:before="240" w:line="480" w:lineRule="auto"/>
        <w:jc w:val="right"/>
        <w:rPr>
          <w:szCs w:val="22"/>
          <w:lang w:eastAsia="es-ES"/>
        </w:rPr>
      </w:pPr>
      <m:oMath>
        <m:sSub>
          <m:sSubPr>
            <m:ctrlPr>
              <w:rPr>
                <w:rFonts w:ascii="Cambria Math" w:hAnsi="Cambria Math"/>
                <w:i/>
                <w:sz w:val="28"/>
                <w:lang w:eastAsia="es-ES"/>
              </w:rPr>
            </m:ctrlPr>
          </m:sSubPr>
          <m:e>
            <m:acc>
              <m:accPr>
                <m:chr m:val="̅"/>
                <m:ctrlPr>
                  <w:rPr>
                    <w:rFonts w:ascii="Cambria Math" w:hAnsi="Cambria Math"/>
                    <w:i/>
                    <w:sz w:val="28"/>
                    <w:lang w:eastAsia="es-ES"/>
                  </w:rPr>
                </m:ctrlPr>
              </m:accPr>
              <m:e>
                <m:r>
                  <w:rPr>
                    <w:rFonts w:ascii="Cambria Math" w:hAnsi="Cambria Math"/>
                    <w:sz w:val="28"/>
                    <w:lang w:eastAsia="es-ES"/>
                  </w:rPr>
                  <m:t>P</m:t>
                </m:r>
              </m:e>
            </m:acc>
          </m:e>
          <m:sub>
            <m:r>
              <w:rPr>
                <w:rFonts w:ascii="Cambria Math" w:hAnsi="Cambria Math"/>
                <w:sz w:val="28"/>
                <w:lang w:eastAsia="es-ES"/>
              </w:rPr>
              <m:t>channel</m:t>
            </m:r>
          </m:sub>
        </m:sSub>
        <m:r>
          <w:rPr>
            <w:rFonts w:ascii="Cambria Math" w:hAnsi="Cambria Math"/>
            <w:sz w:val="28"/>
            <w:lang w:eastAsia="es-ES"/>
          </w:rPr>
          <m:t>[dBm]=</m:t>
        </m:r>
        <m:f>
          <m:fPr>
            <m:ctrlPr>
              <w:rPr>
                <w:rFonts w:ascii="Cambria Math" w:hAnsi="Cambria Math"/>
                <w:i/>
                <w:sz w:val="28"/>
                <w:lang w:eastAsia="es-ES"/>
              </w:rPr>
            </m:ctrlPr>
          </m:fPr>
          <m:num>
            <m:nary>
              <m:naryPr>
                <m:chr m:val="∑"/>
                <m:limLoc m:val="undOvr"/>
                <m:ctrlPr>
                  <w:rPr>
                    <w:rFonts w:ascii="Cambria Math" w:hAnsi="Cambria Math"/>
                    <w:i/>
                    <w:sz w:val="28"/>
                    <w:lang w:eastAsia="es-ES"/>
                  </w:rPr>
                </m:ctrlPr>
              </m:naryPr>
              <m:sub>
                <m:r>
                  <w:rPr>
                    <w:rFonts w:ascii="Cambria Math" w:hAnsi="Cambria Math"/>
                    <w:sz w:val="28"/>
                    <w:lang w:eastAsia="es-ES"/>
                  </w:rPr>
                  <m:t>i=1</m:t>
                </m:r>
              </m:sub>
              <m:sup>
                <m:r>
                  <w:rPr>
                    <w:rFonts w:ascii="Cambria Math" w:hAnsi="Cambria Math"/>
                    <w:sz w:val="28"/>
                    <w:lang w:eastAsia="es-ES"/>
                  </w:rPr>
                  <m:t>N</m:t>
                </m:r>
              </m:sup>
              <m:e>
                <m:sSub>
                  <m:sSubPr>
                    <m:ctrlPr>
                      <w:rPr>
                        <w:rFonts w:ascii="Cambria Math" w:hAnsi="Cambria Math"/>
                        <w:i/>
                        <w:sz w:val="28"/>
                        <w:lang w:eastAsia="es-ES"/>
                      </w:rPr>
                    </m:ctrlPr>
                  </m:sSubPr>
                  <m:e>
                    <m:r>
                      <w:rPr>
                        <w:rFonts w:ascii="Cambria Math" w:hAnsi="Cambria Math"/>
                        <w:sz w:val="28"/>
                        <w:lang w:eastAsia="es-ES"/>
                      </w:rPr>
                      <m:t>P</m:t>
                    </m:r>
                  </m:e>
                  <m:sub>
                    <m:r>
                      <w:rPr>
                        <w:rFonts w:ascii="Cambria Math" w:hAnsi="Cambria Math"/>
                        <w:sz w:val="28"/>
                        <w:lang w:eastAsia="es-ES"/>
                      </w:rPr>
                      <m:t>channel</m:t>
                    </m:r>
                  </m:sub>
                </m:sSub>
              </m:e>
            </m:nary>
          </m:num>
          <m:den>
            <m:r>
              <w:rPr>
                <w:rFonts w:ascii="Cambria Math" w:hAnsi="Cambria Math"/>
                <w:sz w:val="28"/>
                <w:lang w:eastAsia="es-ES"/>
              </w:rPr>
              <m:t>N</m:t>
            </m:r>
          </m:den>
        </m:f>
      </m:oMath>
      <w:r w:rsidR="00186522">
        <w:rPr>
          <w:sz w:val="28"/>
          <w:lang w:eastAsia="es-ES"/>
        </w:rPr>
        <w:t xml:space="preserve">                                    </w:t>
      </w:r>
      <w:r w:rsidR="00186522" w:rsidRPr="00B85D55">
        <w:rPr>
          <w:szCs w:val="22"/>
          <w:lang w:eastAsia="es-ES"/>
        </w:rPr>
        <w:t>(1)</w:t>
      </w:r>
    </w:p>
    <w:p w:rsidR="00186522" w:rsidRPr="00524FAF" w:rsidRDefault="00186522" w:rsidP="00186522">
      <w:pPr>
        <w:pStyle w:val="Prrafodelista"/>
        <w:spacing w:before="240" w:line="240" w:lineRule="auto"/>
        <w:ind w:left="0" w:firstLine="720"/>
        <w:rPr>
          <w:rFonts w:cs="Arial"/>
          <w:lang w:eastAsia="es-ES"/>
        </w:rPr>
      </w:pPr>
      <w:r w:rsidRPr="00524FAF">
        <w:rPr>
          <w:rFonts w:cs="Arial"/>
          <w:lang w:eastAsia="es-ES"/>
        </w:rPr>
        <w:t xml:space="preserve">Donde </w:t>
      </w:r>
      <m:oMath>
        <m:sSub>
          <m:sSubPr>
            <m:ctrlPr>
              <w:rPr>
                <w:rFonts w:ascii="Cambria Math" w:hAnsi="Cambria Math" w:cs="Arial"/>
                <w:lang w:eastAsia="es-ES"/>
              </w:rPr>
            </m:ctrlPr>
          </m:sSubPr>
          <m:e>
            <m:acc>
              <m:accPr>
                <m:chr m:val="̅"/>
                <m:ctrlPr>
                  <w:rPr>
                    <w:rFonts w:ascii="Cambria Math" w:hAnsi="Cambria Math" w:cs="Arial"/>
                    <w:lang w:eastAsia="es-ES"/>
                  </w:rPr>
                </m:ctrlPr>
              </m:accPr>
              <m:e>
                <m:r>
                  <w:rPr>
                    <w:rFonts w:ascii="Cambria Math" w:hAnsi="Cambria Math" w:cs="Arial"/>
                    <w:lang w:eastAsia="es-ES"/>
                  </w:rPr>
                  <m:t>P</m:t>
                </m:r>
              </m:e>
            </m:acc>
          </m:e>
          <m:sub>
            <m:r>
              <w:rPr>
                <w:rFonts w:ascii="Cambria Math" w:hAnsi="Cambria Math" w:cs="Arial"/>
                <w:lang w:eastAsia="es-ES"/>
              </w:rPr>
              <m:t>channel</m:t>
            </m:r>
          </m:sub>
        </m:sSub>
        <m:r>
          <w:rPr>
            <w:rFonts w:ascii="Cambria Math" w:hAnsi="Cambria Math" w:cs="Arial"/>
            <w:lang w:eastAsia="es-ES"/>
          </w:rPr>
          <m:t xml:space="preserve"> </m:t>
        </m:r>
      </m:oMath>
      <w:r w:rsidRPr="00524FAF">
        <w:rPr>
          <w:rFonts w:cs="Arial"/>
          <w:lang w:eastAsia="es-ES"/>
        </w:rPr>
        <w:t xml:space="preserve">es la potencia promedio del canal WiFi en dBm, </w:t>
      </w:r>
      <m:oMath>
        <m:sSub>
          <m:sSubPr>
            <m:ctrlPr>
              <w:rPr>
                <w:rFonts w:ascii="Cambria Math" w:hAnsi="Cambria Math" w:cs="Arial"/>
                <w:lang w:eastAsia="es-ES"/>
              </w:rPr>
            </m:ctrlPr>
          </m:sSubPr>
          <m:e>
            <m:r>
              <w:rPr>
                <w:rFonts w:ascii="Cambria Math" w:hAnsi="Cambria Math" w:cs="Arial"/>
                <w:lang w:eastAsia="es-ES"/>
              </w:rPr>
              <m:t>P</m:t>
            </m:r>
          </m:e>
          <m:sub>
            <m:r>
              <w:rPr>
                <w:rFonts w:ascii="Cambria Math" w:hAnsi="Cambria Math" w:cs="Arial"/>
                <w:lang w:eastAsia="es-ES"/>
              </w:rPr>
              <m:t>channel</m:t>
            </m:r>
          </m:sub>
        </m:sSub>
      </m:oMath>
      <w:r w:rsidRPr="00524FAF">
        <w:rPr>
          <w:rFonts w:cs="Arial"/>
          <w:lang w:eastAsia="es-ES"/>
        </w:rPr>
        <w:t xml:space="preserve"> es la potencia del canal para un punto de acceso inalámbrico en dBm y </w:t>
      </w:r>
      <w:r w:rsidRPr="00524FAF">
        <w:rPr>
          <w:rFonts w:cs="Arial"/>
          <w:i/>
          <w:iCs/>
          <w:lang w:eastAsia="es-ES"/>
        </w:rPr>
        <w:t xml:space="preserve">N </w:t>
      </w:r>
      <w:r w:rsidRPr="00524FAF">
        <w:rPr>
          <w:rFonts w:cs="Arial"/>
          <w:lang w:eastAsia="es-ES"/>
        </w:rPr>
        <w:t>es el número de puntos de acceso inalámbricos que están presentes para el mismo canal.</w:t>
      </w:r>
    </w:p>
    <w:p w:rsidR="00186522" w:rsidRDefault="00186522" w:rsidP="00186522">
      <w:pPr>
        <w:ind w:firstLine="708"/>
        <w:jc w:val="both"/>
        <w:rPr>
          <w:rFonts w:ascii="Arial" w:hAnsi="Arial" w:cs="Arial"/>
          <w:lang w:eastAsia="es-ES"/>
        </w:rPr>
      </w:pPr>
      <w:r w:rsidRPr="00F93A4C">
        <w:rPr>
          <w:rFonts w:ascii="Arial" w:hAnsi="Arial" w:cs="Arial"/>
          <w:lang w:eastAsia="es-ES"/>
        </w:rPr>
        <w:t xml:space="preserve">Ahora se procede con el cálculo de la </w:t>
      </w:r>
      <w:r>
        <w:rPr>
          <w:rFonts w:ascii="Arial" w:hAnsi="Arial" w:cs="Arial"/>
          <w:lang w:eastAsia="es-ES"/>
        </w:rPr>
        <w:t>p</w:t>
      </w:r>
      <w:r w:rsidRPr="00F93A4C">
        <w:rPr>
          <w:rFonts w:ascii="Arial" w:hAnsi="Arial" w:cs="Arial"/>
          <w:lang w:eastAsia="es-ES"/>
        </w:rPr>
        <w:t xml:space="preserve">otencia de ruido blanco </w:t>
      </w:r>
      <w:r>
        <w:rPr>
          <w:rFonts w:ascii="Arial" w:hAnsi="Arial" w:cs="Arial"/>
          <w:lang w:eastAsia="es-ES"/>
        </w:rPr>
        <w:t>g</w:t>
      </w:r>
      <w:r w:rsidRPr="00F93A4C">
        <w:rPr>
          <w:rFonts w:ascii="Arial" w:hAnsi="Arial" w:cs="Arial"/>
          <w:lang w:eastAsia="es-ES"/>
        </w:rPr>
        <w:t>aussiano (</w:t>
      </w:r>
      <m:oMath>
        <m:sSub>
          <m:sSubPr>
            <m:ctrlPr>
              <w:rPr>
                <w:rFonts w:ascii="Cambria Math" w:hAnsi="Cambria Math" w:cs="Arial"/>
                <w:i/>
                <w:lang w:eastAsia="es-ES"/>
              </w:rPr>
            </m:ctrlPr>
          </m:sSubPr>
          <m:e>
            <m:r>
              <w:rPr>
                <w:rFonts w:ascii="Cambria Math" w:hAnsi="Cambria Math" w:cs="Arial"/>
                <w:lang w:eastAsia="es-ES"/>
              </w:rPr>
              <m:t>P</m:t>
            </m:r>
          </m:e>
          <m:sub>
            <m:r>
              <w:rPr>
                <w:rFonts w:ascii="Cambria Math" w:hAnsi="Cambria Math" w:cs="Arial"/>
                <w:lang w:eastAsia="es-ES"/>
              </w:rPr>
              <m:t>white_noise</m:t>
            </m:r>
          </m:sub>
        </m:sSub>
      </m:oMath>
      <w:r w:rsidRPr="00F93A4C">
        <w:rPr>
          <w:rFonts w:ascii="Arial" w:hAnsi="Arial" w:cs="Arial"/>
          <w:lang w:eastAsia="es-ES"/>
        </w:rPr>
        <w:t>)</w:t>
      </w:r>
      <w:r>
        <w:rPr>
          <w:rFonts w:ascii="Arial" w:hAnsi="Arial" w:cs="Arial"/>
          <w:lang w:eastAsia="es-ES"/>
        </w:rPr>
        <w:t>:</w:t>
      </w:r>
      <w:r w:rsidRPr="00F93A4C">
        <w:rPr>
          <w:rFonts w:ascii="Arial" w:hAnsi="Arial" w:cs="Arial"/>
          <w:lang w:eastAsia="es-ES"/>
        </w:rPr>
        <w:t xml:space="preserve"> </w:t>
      </w:r>
    </w:p>
    <w:p w:rsidR="00186522" w:rsidRDefault="001345E4" w:rsidP="00186522">
      <w:pPr>
        <w:pStyle w:val="Prrafodelista"/>
        <w:spacing w:before="240" w:line="480" w:lineRule="auto"/>
        <w:jc w:val="right"/>
        <w:rPr>
          <w:szCs w:val="22"/>
          <w:lang w:eastAsia="es-ES"/>
        </w:rPr>
      </w:pPr>
      <m:oMath>
        <m:sSub>
          <m:sSubPr>
            <m:ctrlPr>
              <w:rPr>
                <w:rFonts w:ascii="Cambria Math" w:hAnsi="Cambria Math"/>
                <w:i/>
                <w:sz w:val="28"/>
                <w:lang w:eastAsia="es-ES"/>
              </w:rPr>
            </m:ctrlPr>
          </m:sSubPr>
          <m:e>
            <m:r>
              <w:rPr>
                <w:rFonts w:ascii="Cambria Math" w:hAnsi="Cambria Math"/>
                <w:sz w:val="28"/>
                <w:lang w:eastAsia="es-ES"/>
              </w:rPr>
              <m:t>P</m:t>
            </m:r>
          </m:e>
          <m:sub>
            <m:r>
              <w:rPr>
                <w:rFonts w:ascii="Cambria Math" w:hAnsi="Cambria Math"/>
                <w:sz w:val="28"/>
                <w:lang w:eastAsia="es-ES"/>
              </w:rPr>
              <m:t>white_noise</m:t>
            </m:r>
          </m:sub>
        </m:sSub>
        <m:r>
          <w:rPr>
            <w:rFonts w:ascii="Cambria Math" w:hAnsi="Cambria Math"/>
            <w:sz w:val="28"/>
            <w:lang w:eastAsia="es-ES"/>
          </w:rPr>
          <m:t>[dBm]=10</m:t>
        </m:r>
        <m:r>
          <m:rPr>
            <m:sty m:val="p"/>
          </m:rPr>
          <w:rPr>
            <w:rFonts w:ascii="Cambria Math" w:hAnsi="Cambria Math"/>
            <w:sz w:val="28"/>
            <w:lang w:eastAsia="es-ES"/>
          </w:rPr>
          <m:t>log⁡</m:t>
        </m:r>
        <m:r>
          <w:rPr>
            <w:rFonts w:ascii="Cambria Math" w:hAnsi="Cambria Math"/>
            <w:sz w:val="28"/>
            <w:lang w:eastAsia="es-ES"/>
          </w:rPr>
          <m:t>(kTB)</m:t>
        </m:r>
      </m:oMath>
      <w:r w:rsidR="00186522">
        <w:rPr>
          <w:sz w:val="28"/>
          <w:lang w:eastAsia="es-ES"/>
        </w:rPr>
        <w:t xml:space="preserve">                              </w:t>
      </w:r>
      <w:r w:rsidR="00186522" w:rsidRPr="00F93A4C">
        <w:rPr>
          <w:szCs w:val="22"/>
          <w:lang w:eastAsia="es-ES"/>
        </w:rPr>
        <w:t>(2)</w:t>
      </w:r>
    </w:p>
    <w:p w:rsidR="00186522" w:rsidRDefault="00186522" w:rsidP="00186522">
      <w:pPr>
        <w:pStyle w:val="Prrafodelista"/>
        <w:spacing w:line="240" w:lineRule="auto"/>
        <w:ind w:left="0" w:firstLine="720"/>
        <w:rPr>
          <w:rFonts w:cs="Arial"/>
          <w:lang w:eastAsia="es-ES"/>
        </w:rPr>
      </w:pPr>
      <w:r>
        <w:rPr>
          <w:lang w:eastAsia="es-ES"/>
        </w:rPr>
        <w:t xml:space="preserve">Donde </w:t>
      </w:r>
      <m:oMath>
        <m:r>
          <w:rPr>
            <w:rFonts w:ascii="Cambria Math" w:hAnsi="Cambria Math" w:cs="Arial"/>
            <w:lang w:eastAsia="es-ES"/>
          </w:rPr>
          <m:t>k</m:t>
        </m:r>
      </m:oMath>
      <w:r w:rsidRPr="00F93A4C">
        <w:rPr>
          <w:rFonts w:cs="Arial"/>
          <w:lang w:eastAsia="es-ES"/>
        </w:rPr>
        <w:t xml:space="preserve"> es la constante de Boltzmann</w:t>
      </w:r>
      <w:r>
        <w:rPr>
          <w:rFonts w:cs="Arial"/>
          <w:lang w:eastAsia="es-ES"/>
        </w:rPr>
        <w:t xml:space="preserve"> </w:t>
      </w:r>
      <w:r w:rsidRPr="00F93A4C">
        <w:rPr>
          <w:rFonts w:cs="Arial"/>
          <w:lang w:eastAsia="es-ES"/>
        </w:rPr>
        <w:t>1.3806852×10</w:t>
      </w:r>
      <w:r w:rsidRPr="00F93A4C">
        <w:rPr>
          <w:rFonts w:cs="Arial"/>
          <w:vertAlign w:val="superscript"/>
          <w:lang w:eastAsia="es-ES"/>
        </w:rPr>
        <w:t>-23</w:t>
      </w:r>
      <w:r>
        <w:rPr>
          <w:rFonts w:cs="Arial"/>
          <w:lang w:eastAsia="es-ES"/>
        </w:rPr>
        <w:t xml:space="preserve"> </w:t>
      </w:r>
      <w:r w:rsidRPr="00F93A4C">
        <w:rPr>
          <w:rFonts w:cs="Arial"/>
          <w:lang w:eastAsia="es-ES"/>
        </w:rPr>
        <w:t>J/K</w:t>
      </w:r>
      <w:r>
        <w:rPr>
          <w:rFonts w:cs="Arial"/>
          <w:lang w:eastAsia="es-ES"/>
        </w:rPr>
        <w:t xml:space="preserve">, </w:t>
      </w:r>
      <w:r w:rsidRPr="00F93A4C">
        <w:rPr>
          <w:rFonts w:cs="Arial"/>
          <w:i/>
          <w:iCs/>
          <w:lang w:eastAsia="es-ES"/>
        </w:rPr>
        <w:t>T</w:t>
      </w:r>
      <w:r>
        <w:rPr>
          <w:rFonts w:cs="Arial"/>
          <w:i/>
          <w:iCs/>
          <w:lang w:eastAsia="es-ES"/>
        </w:rPr>
        <w:t xml:space="preserve"> </w:t>
      </w:r>
      <w:r w:rsidRPr="00F93A4C">
        <w:rPr>
          <w:rFonts w:cs="Arial"/>
          <w:lang w:eastAsia="es-ES"/>
        </w:rPr>
        <w:t>es la temperatura ambiente en grados Kelvin</w:t>
      </w:r>
      <w:r>
        <w:rPr>
          <w:rFonts w:cs="Arial"/>
          <w:lang w:eastAsia="es-ES"/>
        </w:rPr>
        <w:t xml:space="preserve">, para este caso es 298.15 ºK y </w:t>
      </w:r>
      <w:r w:rsidRPr="00F93A4C">
        <w:rPr>
          <w:rFonts w:cs="Arial"/>
          <w:i/>
          <w:iCs/>
          <w:lang w:eastAsia="es-ES"/>
        </w:rPr>
        <w:t>B</w:t>
      </w:r>
      <w:r w:rsidRPr="00F93A4C">
        <w:rPr>
          <w:rFonts w:cs="Arial"/>
          <w:lang w:eastAsia="es-ES"/>
        </w:rPr>
        <w:t xml:space="preserve"> es el ancho de banda de cada canal WiFi en Hz</w:t>
      </w:r>
      <w:r>
        <w:rPr>
          <w:rFonts w:cs="Arial"/>
          <w:lang w:eastAsia="es-ES"/>
        </w:rPr>
        <w:t xml:space="preserve"> que es 20 MHz. Por tanto, la </w:t>
      </w:r>
      <m:oMath>
        <m:sSub>
          <m:sSubPr>
            <m:ctrlPr>
              <w:rPr>
                <w:rFonts w:ascii="Cambria Math" w:hAnsi="Cambria Math" w:cs="Arial"/>
                <w:i/>
                <w:lang w:eastAsia="es-ES"/>
              </w:rPr>
            </m:ctrlPr>
          </m:sSubPr>
          <m:e>
            <m:r>
              <w:rPr>
                <w:rFonts w:ascii="Cambria Math" w:hAnsi="Cambria Math" w:cs="Arial"/>
                <w:lang w:eastAsia="es-ES"/>
              </w:rPr>
              <m:t>P</m:t>
            </m:r>
          </m:e>
          <m:sub>
            <m:r>
              <w:rPr>
                <w:rFonts w:ascii="Cambria Math" w:hAnsi="Cambria Math" w:cs="Arial"/>
                <w:lang w:eastAsia="es-ES"/>
              </w:rPr>
              <m:t>white_noise</m:t>
            </m:r>
          </m:sub>
        </m:sSub>
      </m:oMath>
      <w:r>
        <w:rPr>
          <w:rFonts w:cs="Arial"/>
          <w:lang w:eastAsia="es-ES"/>
        </w:rPr>
        <w:t xml:space="preserve"> es -131 dBm.</w:t>
      </w:r>
    </w:p>
    <w:p w:rsidR="00186522" w:rsidRDefault="00186522" w:rsidP="00186522">
      <w:pPr>
        <w:pStyle w:val="Prrafodelista"/>
        <w:spacing w:line="240" w:lineRule="auto"/>
        <w:ind w:left="0" w:firstLine="720"/>
        <w:rPr>
          <w:rFonts w:cs="Arial"/>
          <w:szCs w:val="22"/>
          <w:lang w:eastAsia="es-ES"/>
        </w:rPr>
      </w:pPr>
      <w:r w:rsidRPr="00052694">
        <w:rPr>
          <w:rFonts w:cs="Arial"/>
          <w:szCs w:val="22"/>
          <w:lang w:eastAsia="es-ES"/>
        </w:rPr>
        <w:t>Finalmente</w:t>
      </w:r>
      <w:r>
        <w:rPr>
          <w:rFonts w:cs="Arial"/>
          <w:szCs w:val="22"/>
          <w:lang w:eastAsia="es-ES"/>
        </w:rPr>
        <w:t xml:space="preserve">, la SNR de cada canal se encuentra con la ecuación 3 </w:t>
      </w:r>
      <w:r w:rsidRPr="008776C7">
        <w:rPr>
          <w:rFonts w:cs="Arial"/>
          <w:vertAlign w:val="superscript"/>
        </w:rPr>
        <w:fldChar w:fldCharType="begin" w:fldLock="1"/>
      </w:r>
      <w:r w:rsidRPr="008776C7">
        <w:rPr>
          <w:rFonts w:cs="Arial"/>
          <w:vertAlign w:val="superscript"/>
        </w:rPr>
        <w:instrText>ADDIN CSL_CITATION {"citationItems":[{"id":"ITEM-1","itemData":{"ISSN":"16130073","abstract":"One of the key problems in 802.11 standard networks are interferences. It is not possible to avoid the influence of other wireless systems. One can only minimize the power level of unwanted signals. Typically the designer should find the best localization of access points (AP), but there is no planning and coordination between different private networks. To reduce the level of interferences, the transmitting power reduction is applied. The mathematical model was built to analyze the relationship between the coverage and the level of interferences. The results of these simulations are presented in this article.","author":[{"dropping-particle":"","family":"Dolińska","given":"Iwona","non-dropping-particle":"","parse-names":false,"suffix":""},{"dropping-particle":"","family":"Masiukiewicz","given":"Antoni","non-dropping-particle":"","parse-names":false,"suffix":""},{"dropping-particle":"","family":"Rządkowski","given":"Grzegorz","non-dropping-particle":"","parse-names":false,"suffix":""}],"container-title":"CEUR Workshop Proceedings","id":"ITEM-1","issued":{"date-parts":[["2013"]]},"page":"99-110","title":"The mathematical model for interference simulation and optimization in 802.11n networks","type":"article-journal","volume":"1032"},"uris":["http://www.mendeley.com/documents/?uuid=231ca623-4bdd-4cf1-b25b-5eb5fb1c8c89"]}],"mendeley":{"formattedCitation":"[6]","plainTextFormattedCitation":"[6]","previouslyFormattedCitation":"[5]"},"properties":{"noteIndex":0},"schema":"https://github.com/citation-style-language/schema/raw/master/csl-citation.json"}</w:instrText>
      </w:r>
      <w:r w:rsidRPr="008776C7">
        <w:rPr>
          <w:rFonts w:cs="Arial"/>
          <w:vertAlign w:val="superscript"/>
        </w:rPr>
        <w:fldChar w:fldCharType="separate"/>
      </w:r>
      <w:r w:rsidRPr="008776C7">
        <w:rPr>
          <w:rFonts w:cs="Arial"/>
          <w:noProof/>
          <w:vertAlign w:val="superscript"/>
        </w:rPr>
        <w:t>[17]</w:t>
      </w:r>
      <w:r w:rsidRPr="008776C7">
        <w:rPr>
          <w:rFonts w:cs="Arial"/>
          <w:vertAlign w:val="superscript"/>
        </w:rPr>
        <w:fldChar w:fldCharType="end"/>
      </w:r>
      <w:r>
        <w:rPr>
          <w:rFonts w:cs="Arial"/>
          <w:szCs w:val="22"/>
          <w:lang w:eastAsia="es-ES"/>
        </w:rPr>
        <w:t>.</w:t>
      </w:r>
    </w:p>
    <w:p w:rsidR="00186522" w:rsidRDefault="00186522" w:rsidP="00186522">
      <w:pPr>
        <w:pStyle w:val="Prrafodelista"/>
        <w:spacing w:line="240" w:lineRule="auto"/>
        <w:ind w:left="0" w:firstLine="720"/>
        <w:rPr>
          <w:rFonts w:cs="Arial"/>
          <w:szCs w:val="22"/>
          <w:lang w:eastAsia="es-ES"/>
        </w:rPr>
      </w:pPr>
    </w:p>
    <w:p w:rsidR="00186522" w:rsidRPr="00052694" w:rsidRDefault="00186522" w:rsidP="00186522">
      <w:pPr>
        <w:pStyle w:val="Prrafodelista"/>
        <w:spacing w:before="240" w:line="480" w:lineRule="auto"/>
        <w:jc w:val="right"/>
        <w:rPr>
          <w:lang w:eastAsia="es-ES"/>
        </w:rPr>
      </w:pPr>
      <m:oMath>
        <m:r>
          <w:rPr>
            <w:rFonts w:ascii="Cambria Math" w:hAnsi="Cambria Math"/>
            <w:lang w:eastAsia="es-ES"/>
          </w:rPr>
          <m:t>SNR[dB]=</m:t>
        </m:r>
        <m:sSub>
          <m:sSubPr>
            <m:ctrlPr>
              <w:rPr>
                <w:rFonts w:ascii="Cambria Math" w:hAnsi="Cambria Math"/>
                <w:i/>
                <w:sz w:val="28"/>
                <w:lang w:eastAsia="es-ES"/>
              </w:rPr>
            </m:ctrlPr>
          </m:sSubPr>
          <m:e>
            <m:acc>
              <m:accPr>
                <m:chr m:val="̅"/>
                <m:ctrlPr>
                  <w:rPr>
                    <w:rFonts w:ascii="Cambria Math" w:hAnsi="Cambria Math"/>
                    <w:i/>
                    <w:sz w:val="28"/>
                    <w:lang w:eastAsia="es-ES"/>
                  </w:rPr>
                </m:ctrlPr>
              </m:accPr>
              <m:e>
                <m:r>
                  <w:rPr>
                    <w:rFonts w:ascii="Cambria Math" w:hAnsi="Cambria Math"/>
                    <w:sz w:val="28"/>
                    <w:lang w:eastAsia="es-ES"/>
                  </w:rPr>
                  <m:t>P</m:t>
                </m:r>
              </m:e>
            </m:acc>
          </m:e>
          <m:sub>
            <m:r>
              <w:rPr>
                <w:rFonts w:ascii="Cambria Math" w:hAnsi="Cambria Math"/>
                <w:sz w:val="28"/>
                <w:lang w:eastAsia="es-ES"/>
              </w:rPr>
              <m:t>channel</m:t>
            </m:r>
          </m:sub>
        </m:sSub>
        <m:d>
          <m:dPr>
            <m:begChr m:val="["/>
            <m:endChr m:val="]"/>
            <m:ctrlPr>
              <w:rPr>
                <w:rFonts w:ascii="Cambria Math" w:hAnsi="Cambria Math"/>
                <w:i/>
                <w:sz w:val="28"/>
                <w:lang w:eastAsia="es-ES"/>
              </w:rPr>
            </m:ctrlPr>
          </m:dPr>
          <m:e>
            <m:r>
              <w:rPr>
                <w:rFonts w:ascii="Cambria Math" w:hAnsi="Cambria Math"/>
                <w:sz w:val="28"/>
                <w:lang w:eastAsia="es-ES"/>
              </w:rPr>
              <m:t>dBm</m:t>
            </m:r>
          </m:e>
        </m:d>
        <m:r>
          <w:rPr>
            <w:rFonts w:ascii="Cambria Math" w:hAnsi="Cambria Math"/>
            <w:sz w:val="28"/>
            <w:lang w:eastAsia="es-ES"/>
          </w:rPr>
          <m:t>-</m:t>
        </m:r>
        <m:sSub>
          <m:sSubPr>
            <m:ctrlPr>
              <w:rPr>
                <w:rFonts w:ascii="Cambria Math" w:hAnsi="Cambria Math"/>
                <w:i/>
                <w:sz w:val="28"/>
                <w:lang w:eastAsia="es-ES"/>
              </w:rPr>
            </m:ctrlPr>
          </m:sSubPr>
          <m:e>
            <m:r>
              <w:rPr>
                <w:rFonts w:ascii="Cambria Math" w:hAnsi="Cambria Math"/>
                <w:sz w:val="28"/>
                <w:lang w:eastAsia="es-ES"/>
              </w:rPr>
              <m:t>P</m:t>
            </m:r>
          </m:e>
          <m:sub>
            <m:r>
              <w:rPr>
                <w:rFonts w:ascii="Cambria Math" w:hAnsi="Cambria Math"/>
                <w:sz w:val="28"/>
                <w:lang w:eastAsia="es-ES"/>
              </w:rPr>
              <m:t>whit</m:t>
            </m:r>
            <m:sSub>
              <m:sSubPr>
                <m:ctrlPr>
                  <w:rPr>
                    <w:rFonts w:ascii="Cambria Math" w:hAnsi="Cambria Math"/>
                    <w:i/>
                    <w:sz w:val="28"/>
                    <w:lang w:eastAsia="es-ES"/>
                  </w:rPr>
                </m:ctrlPr>
              </m:sSubPr>
              <m:e>
                <m:r>
                  <w:rPr>
                    <w:rFonts w:ascii="Cambria Math" w:hAnsi="Cambria Math"/>
                    <w:sz w:val="28"/>
                    <w:lang w:eastAsia="es-ES"/>
                  </w:rPr>
                  <m:t>e</m:t>
                </m:r>
              </m:e>
              <m:sub>
                <m:r>
                  <w:rPr>
                    <w:rFonts w:ascii="Cambria Math" w:hAnsi="Cambria Math"/>
                    <w:sz w:val="28"/>
                    <w:lang w:eastAsia="es-ES"/>
                  </w:rPr>
                  <m:t>noise</m:t>
                </m:r>
              </m:sub>
            </m:sSub>
          </m:sub>
        </m:sSub>
        <m:r>
          <w:rPr>
            <w:rFonts w:ascii="Cambria Math" w:hAnsi="Cambria Math"/>
            <w:sz w:val="28"/>
            <w:lang w:eastAsia="es-ES"/>
          </w:rPr>
          <m:t>[dBm]</m:t>
        </m:r>
      </m:oMath>
      <w:r>
        <w:rPr>
          <w:sz w:val="28"/>
          <w:lang w:eastAsia="es-ES"/>
        </w:rPr>
        <w:t xml:space="preserve">                     </w:t>
      </w:r>
      <w:r w:rsidRPr="00052694">
        <w:rPr>
          <w:szCs w:val="22"/>
          <w:lang w:eastAsia="es-ES"/>
        </w:rPr>
        <w:t>(3)</w:t>
      </w:r>
    </w:p>
    <w:p w:rsidR="00186522" w:rsidRDefault="00186522" w:rsidP="00186522">
      <w:pPr>
        <w:ind w:firstLine="708"/>
        <w:jc w:val="both"/>
        <w:rPr>
          <w:rFonts w:ascii="Arial" w:eastAsia="Times New Roman" w:hAnsi="Arial"/>
          <w:lang w:eastAsia="es-ES"/>
        </w:rPr>
      </w:pPr>
      <w:r>
        <w:rPr>
          <w:rFonts w:ascii="Arial" w:eastAsia="Times New Roman" w:hAnsi="Arial"/>
          <w:lang w:eastAsia="es-ES"/>
        </w:rPr>
        <w:t>E</w:t>
      </w:r>
      <w:r w:rsidRPr="00A223F4">
        <w:rPr>
          <w:rFonts w:ascii="Arial" w:eastAsia="Times New Roman" w:hAnsi="Arial"/>
          <w:lang w:eastAsia="es-ES"/>
        </w:rPr>
        <w:t xml:space="preserve">n el diagrama de flujo </w:t>
      </w:r>
      <w:r>
        <w:rPr>
          <w:rFonts w:ascii="Arial" w:eastAsia="Times New Roman" w:hAnsi="Arial"/>
          <w:lang w:eastAsia="es-ES"/>
        </w:rPr>
        <w:t>de la Figura 2</w:t>
      </w:r>
      <w:r w:rsidRPr="00A223F4">
        <w:rPr>
          <w:rFonts w:ascii="Arial" w:eastAsia="Times New Roman" w:hAnsi="Arial"/>
          <w:lang w:eastAsia="es-ES"/>
        </w:rPr>
        <w:t xml:space="preserve"> se presenta la secuencia usada para ejecutar </w:t>
      </w:r>
      <w:r>
        <w:rPr>
          <w:rFonts w:ascii="Arial" w:eastAsia="Times New Roman" w:hAnsi="Arial"/>
          <w:lang w:eastAsia="es-ES"/>
        </w:rPr>
        <w:t>la aplicación</w:t>
      </w:r>
      <w:r w:rsidRPr="00A223F4">
        <w:rPr>
          <w:rFonts w:ascii="Arial" w:eastAsia="Times New Roman" w:hAnsi="Arial"/>
          <w:lang w:eastAsia="es-ES"/>
        </w:rPr>
        <w:t xml:space="preserve"> de SDR </w:t>
      </w:r>
      <w:r>
        <w:rPr>
          <w:rFonts w:ascii="Arial" w:eastAsia="Times New Roman" w:hAnsi="Arial"/>
          <w:lang w:eastAsia="es-ES"/>
        </w:rPr>
        <w:t xml:space="preserve">desarrollada </w:t>
      </w:r>
      <w:r w:rsidRPr="00A223F4">
        <w:rPr>
          <w:rFonts w:ascii="Arial" w:eastAsia="Times New Roman" w:hAnsi="Arial"/>
          <w:lang w:eastAsia="es-ES"/>
        </w:rPr>
        <w:t>en la Raspberry</w:t>
      </w:r>
      <w:r>
        <w:rPr>
          <w:rFonts w:ascii="Arial" w:eastAsia="Times New Roman" w:hAnsi="Arial"/>
          <w:lang w:eastAsia="es-ES"/>
        </w:rPr>
        <w:t>.</w:t>
      </w:r>
      <w:r w:rsidRPr="00A223F4">
        <w:rPr>
          <w:rFonts w:ascii="Arial" w:eastAsia="Times New Roman" w:hAnsi="Arial"/>
          <w:lang w:eastAsia="es-ES"/>
        </w:rPr>
        <w:t xml:space="preserve"> </w:t>
      </w:r>
      <w:r>
        <w:rPr>
          <w:rFonts w:ascii="Arial" w:eastAsia="Times New Roman" w:hAnsi="Arial"/>
          <w:lang w:eastAsia="es-ES"/>
        </w:rPr>
        <w:t>E</w:t>
      </w:r>
      <w:r w:rsidRPr="00A223F4">
        <w:rPr>
          <w:rFonts w:ascii="Arial" w:eastAsia="Times New Roman" w:hAnsi="Arial"/>
          <w:lang w:eastAsia="es-ES"/>
        </w:rPr>
        <w:t xml:space="preserve">n primera instancia abre el archivo proveniente </w:t>
      </w:r>
      <w:r>
        <w:rPr>
          <w:rFonts w:ascii="Arial" w:eastAsia="Times New Roman" w:hAnsi="Arial"/>
          <w:lang w:eastAsia="es-ES"/>
        </w:rPr>
        <w:t xml:space="preserve">de la aplicación </w:t>
      </w:r>
      <w:r w:rsidRPr="00D07118">
        <w:rPr>
          <w:rFonts w:ascii="Arial" w:eastAsia="Times New Roman" w:hAnsi="Arial"/>
          <w:i/>
          <w:iCs/>
          <w:lang w:eastAsia="es-ES"/>
        </w:rPr>
        <w:t>WifiInfo</w:t>
      </w:r>
      <w:r>
        <w:rPr>
          <w:rFonts w:ascii="Arial" w:eastAsia="Times New Roman" w:hAnsi="Arial"/>
          <w:i/>
          <w:iCs/>
          <w:lang w:eastAsia="es-ES"/>
        </w:rPr>
        <w:t>V</w:t>
      </w:r>
      <w:r w:rsidRPr="00D07118">
        <w:rPr>
          <w:rFonts w:ascii="Arial" w:eastAsia="Times New Roman" w:hAnsi="Arial"/>
          <w:i/>
          <w:iCs/>
          <w:lang w:eastAsia="es-ES"/>
        </w:rPr>
        <w:t>iew</w:t>
      </w:r>
      <w:r w:rsidRPr="00A223F4">
        <w:rPr>
          <w:rFonts w:ascii="Arial" w:eastAsia="Times New Roman" w:hAnsi="Arial"/>
          <w:lang w:eastAsia="es-ES"/>
        </w:rPr>
        <w:t>, luego realiza la transferencia de archivos</w:t>
      </w:r>
      <w:r>
        <w:rPr>
          <w:rFonts w:ascii="Arial" w:eastAsia="Times New Roman" w:hAnsi="Arial"/>
          <w:lang w:eastAsia="es-ES"/>
        </w:rPr>
        <w:t xml:space="preserve"> entre plataformas (PC – Raspberry)</w:t>
      </w:r>
      <w:r w:rsidRPr="00A223F4">
        <w:rPr>
          <w:rFonts w:ascii="Arial" w:eastAsia="Times New Roman" w:hAnsi="Arial"/>
          <w:lang w:eastAsia="es-ES"/>
        </w:rPr>
        <w:t xml:space="preserve"> </w:t>
      </w:r>
      <w:r>
        <w:rPr>
          <w:rFonts w:ascii="Arial" w:eastAsia="Times New Roman" w:hAnsi="Arial"/>
          <w:lang w:eastAsia="es-ES"/>
        </w:rPr>
        <w:t>mediante el</w:t>
      </w:r>
      <w:r w:rsidRPr="00A223F4">
        <w:rPr>
          <w:rFonts w:ascii="Arial" w:eastAsia="Times New Roman" w:hAnsi="Arial"/>
          <w:lang w:eastAsia="es-ES"/>
        </w:rPr>
        <w:t xml:space="preserve"> protocolo SMB/CIFS, después compara las SNR obtenidas por cada canal </w:t>
      </w:r>
      <w:r>
        <w:rPr>
          <w:rFonts w:ascii="Arial" w:eastAsia="Times New Roman" w:hAnsi="Arial"/>
          <w:lang w:eastAsia="es-ES"/>
        </w:rPr>
        <w:t>medido</w:t>
      </w:r>
      <w:r w:rsidRPr="00A223F4">
        <w:rPr>
          <w:rFonts w:ascii="Arial" w:eastAsia="Times New Roman" w:hAnsi="Arial"/>
          <w:lang w:eastAsia="es-ES"/>
        </w:rPr>
        <w:t xml:space="preserve"> en el </w:t>
      </w:r>
      <w:r>
        <w:rPr>
          <w:rFonts w:ascii="Arial" w:eastAsia="Times New Roman" w:hAnsi="Arial"/>
          <w:lang w:eastAsia="es-ES"/>
        </w:rPr>
        <w:t>entorno (usando la ecuación 3)</w:t>
      </w:r>
      <w:r w:rsidRPr="00A223F4">
        <w:rPr>
          <w:rFonts w:ascii="Arial" w:eastAsia="Times New Roman" w:hAnsi="Arial"/>
          <w:lang w:eastAsia="es-ES"/>
        </w:rPr>
        <w:t xml:space="preserve">, </w:t>
      </w:r>
      <w:r>
        <w:rPr>
          <w:rFonts w:ascii="Arial" w:eastAsia="Times New Roman" w:hAnsi="Arial"/>
          <w:lang w:eastAsia="es-ES"/>
        </w:rPr>
        <w:t>posteriormente</w:t>
      </w:r>
      <w:r w:rsidRPr="00A223F4">
        <w:rPr>
          <w:rFonts w:ascii="Arial" w:eastAsia="Times New Roman" w:hAnsi="Arial"/>
          <w:lang w:eastAsia="es-ES"/>
        </w:rPr>
        <w:t xml:space="preserve">, se elige el canal donde hay </w:t>
      </w:r>
      <w:r>
        <w:rPr>
          <w:rFonts w:ascii="Arial" w:eastAsia="Times New Roman" w:hAnsi="Arial"/>
          <w:lang w:eastAsia="es-ES"/>
        </w:rPr>
        <w:t>mayor</w:t>
      </w:r>
      <w:r w:rsidRPr="00A223F4">
        <w:rPr>
          <w:rFonts w:ascii="Arial" w:eastAsia="Times New Roman" w:hAnsi="Arial"/>
          <w:lang w:eastAsia="es-ES"/>
        </w:rPr>
        <w:t xml:space="preserve"> SNR y </w:t>
      </w:r>
      <w:r>
        <w:rPr>
          <w:rFonts w:ascii="Arial" w:eastAsia="Times New Roman" w:hAnsi="Arial"/>
          <w:lang w:eastAsia="es-ES"/>
        </w:rPr>
        <w:t xml:space="preserve">finalmente, </w:t>
      </w:r>
      <w:r w:rsidRPr="00A223F4">
        <w:rPr>
          <w:rFonts w:ascii="Arial" w:eastAsia="Times New Roman" w:hAnsi="Arial"/>
          <w:lang w:eastAsia="es-ES"/>
        </w:rPr>
        <w:t xml:space="preserve">se configura </w:t>
      </w:r>
      <w:r>
        <w:rPr>
          <w:rFonts w:ascii="Arial" w:eastAsia="Times New Roman" w:hAnsi="Arial"/>
          <w:lang w:eastAsia="es-ES"/>
        </w:rPr>
        <w:t xml:space="preserve">este canal elegido en el punto de acceso. </w:t>
      </w:r>
    </w:p>
    <w:p w:rsidR="00186522" w:rsidRPr="00A223F4" w:rsidRDefault="00186522" w:rsidP="00186522">
      <w:pPr>
        <w:jc w:val="center"/>
        <w:rPr>
          <w:rFonts w:ascii="Arial" w:eastAsia="Times New Roman" w:hAnsi="Arial"/>
          <w:lang w:eastAsia="es-ES"/>
        </w:rPr>
      </w:pPr>
      <w:r>
        <w:rPr>
          <w:noProof/>
          <w:lang w:val="en-US"/>
        </w:rPr>
        <w:lastRenderedPageBreak/>
        <w:drawing>
          <wp:inline distT="0" distB="0" distL="0" distR="0" wp14:anchorId="0E7A7C24" wp14:editId="0BF91798">
            <wp:extent cx="3697356" cy="4720596"/>
            <wp:effectExtent l="0" t="0" r="0" b="0"/>
            <wp:docPr id="2026623677" name="Imagen 202662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32" cstate="print">
                      <a:extLst>
                        <a:ext uri="{28A0092B-C50C-407E-A947-70E740481C1C}">
                          <a14:useLocalDpi xmlns:a14="http://schemas.microsoft.com/office/drawing/2010/main" val="0"/>
                        </a:ext>
                      </a:extLst>
                    </a:blip>
                    <a:srcRect l="40938" t="6588" r="664" b="2451"/>
                    <a:stretch/>
                  </pic:blipFill>
                  <pic:spPr bwMode="auto">
                    <a:xfrm>
                      <a:off x="0" y="0"/>
                      <a:ext cx="3697902" cy="4721294"/>
                    </a:xfrm>
                    <a:prstGeom prst="rect">
                      <a:avLst/>
                    </a:prstGeom>
                    <a:noFill/>
                    <a:ln>
                      <a:noFill/>
                    </a:ln>
                    <a:extLst>
                      <a:ext uri="{53640926-AAD7-44D8-BBD7-CCE9431645EC}">
                        <a14:shadowObscured xmlns:a14="http://schemas.microsoft.com/office/drawing/2010/main"/>
                      </a:ext>
                    </a:extLst>
                  </pic:spPr>
                </pic:pic>
              </a:graphicData>
            </a:graphic>
          </wp:inline>
        </w:drawing>
      </w:r>
    </w:p>
    <w:p w:rsidR="00186522" w:rsidRPr="00A223F4" w:rsidRDefault="00186522" w:rsidP="00186522">
      <w:pPr>
        <w:jc w:val="center"/>
        <w:rPr>
          <w:rFonts w:ascii="Arial" w:hAnsi="Arial" w:cs="Arial"/>
          <w:bCs/>
          <w:i/>
          <w:sz w:val="20"/>
          <w:szCs w:val="20"/>
        </w:rPr>
      </w:pPr>
      <w:r>
        <w:rPr>
          <w:rFonts w:ascii="Arial" w:hAnsi="Arial" w:cs="Arial"/>
          <w:bCs/>
          <w:i/>
          <w:sz w:val="20"/>
          <w:szCs w:val="20"/>
        </w:rPr>
        <w:t>Figura 2</w:t>
      </w:r>
      <w:r w:rsidRPr="00296222">
        <w:rPr>
          <w:rFonts w:ascii="Arial" w:hAnsi="Arial" w:cs="Arial"/>
          <w:bCs/>
          <w:i/>
          <w:sz w:val="20"/>
          <w:szCs w:val="20"/>
        </w:rPr>
        <w:t xml:space="preserve">. </w:t>
      </w:r>
      <w:r w:rsidRPr="00A223F4">
        <w:rPr>
          <w:rFonts w:ascii="Arial" w:hAnsi="Arial" w:cs="Arial"/>
          <w:bCs/>
          <w:i/>
          <w:sz w:val="20"/>
          <w:szCs w:val="20"/>
        </w:rPr>
        <w:t xml:space="preserve">Diagrama </w:t>
      </w:r>
      <w:r>
        <w:rPr>
          <w:rFonts w:ascii="Arial" w:hAnsi="Arial" w:cs="Arial"/>
          <w:bCs/>
          <w:i/>
          <w:sz w:val="20"/>
          <w:szCs w:val="20"/>
        </w:rPr>
        <w:t xml:space="preserve">de flujo del </w:t>
      </w:r>
      <w:r w:rsidRPr="00A223F4">
        <w:rPr>
          <w:rFonts w:ascii="Arial" w:hAnsi="Arial" w:cs="Arial"/>
          <w:bCs/>
          <w:i/>
          <w:sz w:val="20"/>
          <w:szCs w:val="20"/>
        </w:rPr>
        <w:t xml:space="preserve">algoritmo </w:t>
      </w:r>
      <w:r>
        <w:rPr>
          <w:rFonts w:ascii="Arial" w:hAnsi="Arial" w:cs="Arial"/>
          <w:bCs/>
          <w:i/>
          <w:sz w:val="20"/>
          <w:szCs w:val="20"/>
        </w:rPr>
        <w:t>de</w:t>
      </w:r>
      <w:r w:rsidRPr="00A223F4">
        <w:rPr>
          <w:rFonts w:ascii="Arial" w:hAnsi="Arial" w:cs="Arial"/>
          <w:bCs/>
          <w:i/>
          <w:sz w:val="20"/>
          <w:szCs w:val="20"/>
        </w:rPr>
        <w:t xml:space="preserve"> </w:t>
      </w:r>
      <w:r w:rsidRPr="00DE31BB">
        <w:rPr>
          <w:rFonts w:ascii="Arial" w:hAnsi="Arial" w:cs="Arial"/>
          <w:bCs/>
          <w:i/>
          <w:sz w:val="20"/>
          <w:szCs w:val="20"/>
        </w:rPr>
        <w:t>SDR</w:t>
      </w:r>
    </w:p>
    <w:p w:rsidR="00186522" w:rsidRDefault="00186522" w:rsidP="00186522">
      <w:pPr>
        <w:spacing w:line="360" w:lineRule="auto"/>
        <w:jc w:val="both"/>
        <w:rPr>
          <w:rFonts w:ascii="Arial" w:hAnsi="Arial" w:cs="Arial"/>
          <w:i/>
          <w:color w:val="000000"/>
        </w:rPr>
      </w:pPr>
    </w:p>
    <w:p w:rsidR="00186522" w:rsidRPr="00BC5E0A" w:rsidRDefault="00186522" w:rsidP="00186522">
      <w:pPr>
        <w:spacing w:line="360" w:lineRule="auto"/>
        <w:jc w:val="both"/>
        <w:rPr>
          <w:rFonts w:ascii="Arial" w:hAnsi="Arial" w:cs="Arial"/>
          <w:i/>
        </w:rPr>
      </w:pPr>
      <w:r>
        <w:rPr>
          <w:rFonts w:ascii="Arial" w:hAnsi="Arial" w:cs="Arial"/>
          <w:i/>
          <w:color w:val="000000"/>
        </w:rPr>
        <w:t>3.4</w:t>
      </w:r>
      <w:r w:rsidRPr="00BC5E0A">
        <w:rPr>
          <w:rFonts w:ascii="Arial" w:hAnsi="Arial" w:cs="Arial"/>
          <w:i/>
          <w:color w:val="000000"/>
        </w:rPr>
        <w:t xml:space="preserve"> </w:t>
      </w:r>
      <w:r>
        <w:rPr>
          <w:rFonts w:ascii="Arial" w:hAnsi="Arial" w:cs="Arial"/>
          <w:i/>
          <w:color w:val="000000"/>
        </w:rPr>
        <w:t>Comunicación entre la Raspberry Pi y el ESP32</w:t>
      </w:r>
      <w:r w:rsidRPr="00BC5E0A">
        <w:rPr>
          <w:rFonts w:ascii="Arial" w:hAnsi="Arial" w:cs="Arial"/>
          <w:b/>
          <w:i/>
        </w:rPr>
        <w:t xml:space="preserve"> </w:t>
      </w:r>
    </w:p>
    <w:p w:rsidR="00186522" w:rsidRDefault="00186522" w:rsidP="00186522">
      <w:pPr>
        <w:ind w:firstLine="708"/>
        <w:jc w:val="both"/>
        <w:rPr>
          <w:rFonts w:ascii="Arial" w:hAnsi="Arial" w:cs="Arial"/>
          <w:bCs/>
          <w:iCs/>
        </w:rPr>
      </w:pPr>
      <w:r>
        <w:rPr>
          <w:rFonts w:ascii="Arial" w:hAnsi="Arial" w:cs="Arial"/>
          <w:bCs/>
          <w:iCs/>
        </w:rPr>
        <w:t xml:space="preserve">La comunicación entre estos dos dispositivos es bidireccional. Aquí la Raspberry le envía al ESP32, ubicado en el robot modular, la secuencia de movimientos; y el ESP32 le envía a la Raspberry la velocidad angular promedio del robot. Para esto se usó el protocolo </w:t>
      </w:r>
      <w:r w:rsidRPr="00A25294">
        <w:rPr>
          <w:rFonts w:ascii="Arial" w:hAnsi="Arial" w:cs="Arial"/>
          <w:bCs/>
          <w:iCs/>
        </w:rPr>
        <w:t>UDP (</w:t>
      </w:r>
      <w:r>
        <w:rPr>
          <w:rFonts w:ascii="Arial" w:hAnsi="Arial" w:cs="Arial"/>
          <w:bCs/>
          <w:iCs/>
        </w:rPr>
        <w:t>P</w:t>
      </w:r>
      <w:r w:rsidRPr="001A122A">
        <w:rPr>
          <w:rFonts w:ascii="Arial" w:hAnsi="Arial" w:cs="Arial"/>
          <w:bCs/>
          <w:iCs/>
        </w:rPr>
        <w:t xml:space="preserve">rotocolo de </w:t>
      </w:r>
      <w:r>
        <w:rPr>
          <w:rFonts w:ascii="Arial" w:hAnsi="Arial" w:cs="Arial"/>
          <w:bCs/>
          <w:iCs/>
        </w:rPr>
        <w:t>D</w:t>
      </w:r>
      <w:r w:rsidRPr="001A122A">
        <w:rPr>
          <w:rFonts w:ascii="Arial" w:hAnsi="Arial" w:cs="Arial"/>
          <w:bCs/>
          <w:iCs/>
        </w:rPr>
        <w:t xml:space="preserve">atagramas de </w:t>
      </w:r>
      <w:r>
        <w:rPr>
          <w:rFonts w:ascii="Arial" w:hAnsi="Arial" w:cs="Arial"/>
          <w:bCs/>
          <w:iCs/>
        </w:rPr>
        <w:t>U</w:t>
      </w:r>
      <w:r w:rsidRPr="001A122A">
        <w:rPr>
          <w:rFonts w:ascii="Arial" w:hAnsi="Arial" w:cs="Arial"/>
          <w:bCs/>
          <w:iCs/>
        </w:rPr>
        <w:t>suario</w:t>
      </w:r>
      <w:r w:rsidRPr="00A25294">
        <w:rPr>
          <w:rFonts w:ascii="Arial" w:hAnsi="Arial" w:cs="Arial"/>
          <w:bCs/>
          <w:iCs/>
        </w:rPr>
        <w:t>)</w:t>
      </w:r>
      <w:r>
        <w:rPr>
          <w:rFonts w:ascii="Arial" w:hAnsi="Arial" w:cs="Arial"/>
          <w:bCs/>
          <w:iCs/>
        </w:rPr>
        <w:t xml:space="preserve">. </w:t>
      </w:r>
    </w:p>
    <w:p w:rsidR="00186522" w:rsidRDefault="00186522" w:rsidP="00186522">
      <w:pPr>
        <w:ind w:firstLine="708"/>
        <w:jc w:val="both"/>
        <w:rPr>
          <w:rFonts w:ascii="Arial" w:hAnsi="Arial" w:cs="Arial"/>
          <w:bCs/>
          <w:iCs/>
        </w:rPr>
      </w:pPr>
      <w:r>
        <w:rPr>
          <w:rFonts w:ascii="Arial" w:hAnsi="Arial" w:cs="Arial"/>
          <w:bCs/>
          <w:iCs/>
        </w:rPr>
        <w:t xml:space="preserve">La rutina programada en la Raspberry Pi, se desarrolló en Python, la cual direcciona los paquetes de la secuencia de movimiento del robot a la dirección IP del ESP32, habilita el buffer de entrada para recibir paquetes provenientes del ESP32, y ejecuta un sub-proceso para realizar la conexión a los servidores de </w:t>
      </w:r>
      <w:r w:rsidRPr="00E10EB8">
        <w:rPr>
          <w:rFonts w:ascii="Arial" w:hAnsi="Arial" w:cs="Arial"/>
          <w:bCs/>
          <w:i/>
        </w:rPr>
        <w:t>ThingSpeak</w:t>
      </w:r>
      <w:r>
        <w:rPr>
          <w:rFonts w:ascii="Arial" w:hAnsi="Arial" w:cs="Arial"/>
          <w:bCs/>
          <w:iCs/>
        </w:rPr>
        <w:t xml:space="preserve"> y así enviar a la nube el parámetro de desempeño del robot, que</w:t>
      </w:r>
      <w:r w:rsidRPr="00FD124F">
        <w:rPr>
          <w:rFonts w:ascii="Arial" w:hAnsi="Arial" w:cs="Arial"/>
          <w:bCs/>
          <w:iCs/>
        </w:rPr>
        <w:t xml:space="preserve"> para este caso es la </w:t>
      </w:r>
      <w:r w:rsidRPr="00E10EB8">
        <w:rPr>
          <w:rFonts w:ascii="Arial" w:hAnsi="Arial" w:cs="Arial"/>
          <w:bCs/>
          <w:iCs/>
        </w:rPr>
        <w:t>velocidad angular promedio de cada movimiento.</w:t>
      </w:r>
    </w:p>
    <w:p w:rsidR="00186522" w:rsidRDefault="00186522" w:rsidP="00186522">
      <w:pPr>
        <w:ind w:firstLine="708"/>
        <w:jc w:val="both"/>
        <w:rPr>
          <w:rFonts w:ascii="Arial" w:hAnsi="Arial" w:cs="Arial"/>
          <w:bCs/>
          <w:iCs/>
        </w:rPr>
      </w:pPr>
      <w:r>
        <w:rPr>
          <w:rFonts w:ascii="Arial" w:hAnsi="Arial" w:cs="Arial"/>
          <w:bCs/>
          <w:iCs/>
        </w:rPr>
        <w:lastRenderedPageBreak/>
        <w:t xml:space="preserve">El algoritmo </w:t>
      </w:r>
      <w:r w:rsidRPr="00A25294">
        <w:rPr>
          <w:rFonts w:ascii="Arial" w:hAnsi="Arial" w:cs="Arial"/>
          <w:bCs/>
          <w:iCs/>
        </w:rPr>
        <w:t>de programación contenid</w:t>
      </w:r>
      <w:r>
        <w:rPr>
          <w:rFonts w:ascii="Arial" w:hAnsi="Arial" w:cs="Arial"/>
          <w:bCs/>
          <w:iCs/>
        </w:rPr>
        <w:t>o</w:t>
      </w:r>
      <w:r w:rsidRPr="00A25294">
        <w:rPr>
          <w:rFonts w:ascii="Arial" w:hAnsi="Arial" w:cs="Arial"/>
          <w:bCs/>
          <w:iCs/>
        </w:rPr>
        <w:t xml:space="preserve"> en el ESP32 </w:t>
      </w:r>
      <w:r>
        <w:rPr>
          <w:rFonts w:ascii="Arial" w:hAnsi="Arial" w:cs="Arial"/>
          <w:bCs/>
          <w:iCs/>
        </w:rPr>
        <w:t>fue desarrollado</w:t>
      </w:r>
      <w:r w:rsidRPr="00A25294">
        <w:rPr>
          <w:rFonts w:ascii="Arial" w:hAnsi="Arial" w:cs="Arial"/>
          <w:bCs/>
          <w:iCs/>
        </w:rPr>
        <w:t xml:space="preserve"> en Arduino </w:t>
      </w:r>
      <w:r>
        <w:rPr>
          <w:rFonts w:ascii="Arial" w:hAnsi="Arial" w:cs="Arial"/>
          <w:bCs/>
          <w:iCs/>
        </w:rPr>
        <w:t>IDE. Este contiene</w:t>
      </w:r>
      <w:r w:rsidRPr="00A25294">
        <w:rPr>
          <w:rFonts w:ascii="Arial" w:hAnsi="Arial" w:cs="Arial"/>
          <w:bCs/>
          <w:iCs/>
        </w:rPr>
        <w:t xml:space="preserve"> las instrucciones necesarias para interpretar los comandos enviados desde la Raspberry Pi para </w:t>
      </w:r>
      <w:r>
        <w:rPr>
          <w:rFonts w:ascii="Arial" w:hAnsi="Arial" w:cs="Arial"/>
          <w:bCs/>
          <w:iCs/>
        </w:rPr>
        <w:t>mover</w:t>
      </w:r>
      <w:r w:rsidRPr="00A25294">
        <w:rPr>
          <w:rFonts w:ascii="Arial" w:hAnsi="Arial" w:cs="Arial"/>
          <w:bCs/>
          <w:iCs/>
        </w:rPr>
        <w:t xml:space="preserve"> el robot</w:t>
      </w:r>
      <w:r>
        <w:rPr>
          <w:rFonts w:ascii="Arial" w:hAnsi="Arial" w:cs="Arial"/>
          <w:bCs/>
          <w:iCs/>
        </w:rPr>
        <w:t>, también,</w:t>
      </w:r>
      <w:r w:rsidRPr="00A25294">
        <w:rPr>
          <w:rFonts w:ascii="Arial" w:hAnsi="Arial" w:cs="Arial"/>
          <w:bCs/>
          <w:iCs/>
        </w:rPr>
        <w:t xml:space="preserve"> recopila</w:t>
      </w:r>
      <w:r>
        <w:rPr>
          <w:rFonts w:ascii="Arial" w:hAnsi="Arial" w:cs="Arial"/>
          <w:bCs/>
          <w:iCs/>
        </w:rPr>
        <w:t xml:space="preserve"> y envía</w:t>
      </w:r>
      <w:r w:rsidRPr="00A25294">
        <w:rPr>
          <w:rFonts w:ascii="Arial" w:hAnsi="Arial" w:cs="Arial"/>
          <w:bCs/>
          <w:iCs/>
        </w:rPr>
        <w:t xml:space="preserve"> los datos obtenidos por el robot</w:t>
      </w:r>
      <w:r>
        <w:rPr>
          <w:rFonts w:ascii="Arial" w:hAnsi="Arial" w:cs="Arial"/>
          <w:bCs/>
          <w:iCs/>
        </w:rPr>
        <w:t xml:space="preserve"> conectándose</w:t>
      </w:r>
      <w:r w:rsidRPr="00A25294">
        <w:rPr>
          <w:rFonts w:ascii="Arial" w:hAnsi="Arial" w:cs="Arial"/>
          <w:bCs/>
          <w:iCs/>
        </w:rPr>
        <w:t xml:space="preserve"> </w:t>
      </w:r>
      <w:r>
        <w:rPr>
          <w:rFonts w:ascii="Arial" w:hAnsi="Arial" w:cs="Arial"/>
          <w:bCs/>
          <w:iCs/>
        </w:rPr>
        <w:t>al WAP de la Raspberry.</w:t>
      </w:r>
    </w:p>
    <w:p w:rsidR="00186522" w:rsidRDefault="00186522" w:rsidP="00186522">
      <w:pPr>
        <w:ind w:firstLine="708"/>
        <w:jc w:val="both"/>
        <w:rPr>
          <w:rFonts w:ascii="Arial" w:hAnsi="Arial" w:cs="Arial"/>
          <w:bCs/>
          <w:iCs/>
        </w:rPr>
      </w:pPr>
    </w:p>
    <w:p w:rsidR="00186522" w:rsidRPr="00E10EB8" w:rsidRDefault="00186522" w:rsidP="00186522">
      <w:pPr>
        <w:ind w:firstLine="708"/>
        <w:jc w:val="both"/>
        <w:rPr>
          <w:rFonts w:ascii="Arial" w:hAnsi="Arial" w:cs="Arial"/>
          <w:bCs/>
          <w:iCs/>
        </w:rPr>
      </w:pPr>
    </w:p>
    <w:p w:rsidR="00186522" w:rsidRPr="0062292B" w:rsidRDefault="00186522" w:rsidP="00186522">
      <w:pPr>
        <w:spacing w:line="360" w:lineRule="auto"/>
        <w:jc w:val="both"/>
        <w:rPr>
          <w:rFonts w:ascii="Arial" w:hAnsi="Arial" w:cs="Arial"/>
          <w:i/>
        </w:rPr>
      </w:pPr>
      <w:r>
        <w:rPr>
          <w:rFonts w:ascii="Arial" w:hAnsi="Arial" w:cs="Arial"/>
          <w:i/>
          <w:color w:val="000000"/>
        </w:rPr>
        <w:t xml:space="preserve">3.5 </w:t>
      </w:r>
      <w:r>
        <w:rPr>
          <w:rFonts w:ascii="Arial" w:hAnsi="Arial" w:cs="Arial"/>
        </w:rPr>
        <w:t>Conexión a la nube</w:t>
      </w:r>
    </w:p>
    <w:p w:rsidR="00186522" w:rsidRDefault="00186522" w:rsidP="00186522">
      <w:pPr>
        <w:ind w:firstLine="708"/>
        <w:jc w:val="both"/>
        <w:rPr>
          <w:rFonts w:ascii="Arial" w:hAnsi="Arial" w:cs="Arial"/>
          <w:bCs/>
          <w:iCs/>
        </w:rPr>
      </w:pPr>
      <w:r w:rsidRPr="00E235C4">
        <w:rPr>
          <w:rFonts w:ascii="Arial" w:hAnsi="Arial" w:cs="Arial"/>
          <w:bCs/>
          <w:iCs/>
        </w:rPr>
        <w:t xml:space="preserve">Para realizar la conexión al servidor de </w:t>
      </w:r>
      <w:r w:rsidRPr="009B160C">
        <w:rPr>
          <w:rFonts w:ascii="Arial" w:hAnsi="Arial" w:cs="Arial"/>
          <w:bCs/>
          <w:i/>
        </w:rPr>
        <w:t>ThingSpeak</w:t>
      </w:r>
      <w:r w:rsidRPr="00E235C4">
        <w:rPr>
          <w:rFonts w:ascii="Arial" w:hAnsi="Arial" w:cs="Arial"/>
          <w:bCs/>
          <w:iCs/>
        </w:rPr>
        <w:t xml:space="preserve">, se ejecuta </w:t>
      </w:r>
      <w:r>
        <w:rPr>
          <w:rFonts w:ascii="Arial" w:hAnsi="Arial" w:cs="Arial"/>
          <w:bCs/>
          <w:iCs/>
        </w:rPr>
        <w:t>un script como sub-proceso dentro de la rutina principal de comunicación UDP</w:t>
      </w:r>
      <w:r w:rsidRPr="00E235C4">
        <w:rPr>
          <w:rFonts w:ascii="Arial" w:hAnsi="Arial" w:cs="Arial"/>
          <w:bCs/>
          <w:iCs/>
        </w:rPr>
        <w:t xml:space="preserve"> en la Raspberry</w:t>
      </w:r>
      <w:r>
        <w:rPr>
          <w:rFonts w:ascii="Arial" w:hAnsi="Arial" w:cs="Arial"/>
          <w:bCs/>
          <w:iCs/>
        </w:rPr>
        <w:t xml:space="preserve">. </w:t>
      </w:r>
      <w:r w:rsidRPr="00FD493D">
        <w:rPr>
          <w:rFonts w:ascii="Arial" w:hAnsi="Arial" w:cs="Arial"/>
          <w:bCs/>
          <w:iCs/>
        </w:rPr>
        <w:t xml:space="preserve">En la </w:t>
      </w:r>
      <w:r>
        <w:rPr>
          <w:rFonts w:ascii="Arial" w:hAnsi="Arial" w:cs="Arial"/>
          <w:bCs/>
          <w:iCs/>
        </w:rPr>
        <w:t>Figura</w:t>
      </w:r>
      <w:r w:rsidRPr="00FD493D">
        <w:rPr>
          <w:rFonts w:ascii="Arial" w:hAnsi="Arial" w:cs="Arial"/>
          <w:bCs/>
          <w:iCs/>
        </w:rPr>
        <w:t xml:space="preserve"> </w:t>
      </w:r>
      <w:r>
        <w:rPr>
          <w:rFonts w:ascii="Arial" w:hAnsi="Arial" w:cs="Arial"/>
          <w:bCs/>
          <w:iCs/>
        </w:rPr>
        <w:t>3</w:t>
      </w:r>
      <w:r w:rsidRPr="00FD493D">
        <w:rPr>
          <w:rFonts w:ascii="Arial" w:hAnsi="Arial" w:cs="Arial"/>
          <w:bCs/>
          <w:iCs/>
        </w:rPr>
        <w:t xml:space="preserve">, se muestra el proceso </w:t>
      </w:r>
      <w:r>
        <w:rPr>
          <w:rFonts w:ascii="Arial" w:hAnsi="Arial" w:cs="Arial"/>
          <w:bCs/>
          <w:iCs/>
        </w:rPr>
        <w:t>desarrollado en</w:t>
      </w:r>
      <w:r w:rsidRPr="00FD493D">
        <w:rPr>
          <w:rFonts w:ascii="Arial" w:hAnsi="Arial" w:cs="Arial"/>
          <w:bCs/>
          <w:iCs/>
        </w:rPr>
        <w:t xml:space="preserve"> el sistema de comunicación para alojar los datos en el servidor. Mediante la </w:t>
      </w:r>
      <w:r>
        <w:rPr>
          <w:rFonts w:ascii="Arial" w:hAnsi="Arial" w:cs="Arial"/>
          <w:bCs/>
          <w:iCs/>
        </w:rPr>
        <w:t>clave</w:t>
      </w:r>
      <w:r w:rsidRPr="00FD493D">
        <w:rPr>
          <w:rFonts w:ascii="Arial" w:hAnsi="Arial" w:cs="Arial"/>
          <w:bCs/>
          <w:iCs/>
        </w:rPr>
        <w:t xml:space="preserve"> y la identificación</w:t>
      </w:r>
      <w:r>
        <w:rPr>
          <w:rFonts w:ascii="Arial" w:hAnsi="Arial" w:cs="Arial"/>
          <w:bCs/>
          <w:iCs/>
        </w:rPr>
        <w:t xml:space="preserve"> (</w:t>
      </w:r>
      <w:r w:rsidRPr="00FD493D">
        <w:rPr>
          <w:rFonts w:ascii="Arial" w:hAnsi="Arial" w:cs="Arial"/>
          <w:bCs/>
          <w:iCs/>
        </w:rPr>
        <w:t>ID</w:t>
      </w:r>
      <w:r>
        <w:rPr>
          <w:rFonts w:ascii="Arial" w:hAnsi="Arial" w:cs="Arial"/>
          <w:bCs/>
          <w:iCs/>
        </w:rPr>
        <w:t>)</w:t>
      </w:r>
      <w:r w:rsidRPr="00FD493D">
        <w:rPr>
          <w:rFonts w:ascii="Arial" w:hAnsi="Arial" w:cs="Arial"/>
          <w:bCs/>
          <w:iCs/>
        </w:rPr>
        <w:t xml:space="preserve"> proporcionados por la plataforma, se accede al canal previamente creado. Posteriormente, tras lograr la transmisión de datos entre </w:t>
      </w:r>
      <w:r>
        <w:rPr>
          <w:rFonts w:ascii="Arial" w:hAnsi="Arial" w:cs="Arial"/>
          <w:bCs/>
          <w:iCs/>
        </w:rPr>
        <w:t>WAP</w:t>
      </w:r>
      <w:r w:rsidRPr="00FD493D">
        <w:rPr>
          <w:rFonts w:ascii="Arial" w:hAnsi="Arial" w:cs="Arial"/>
          <w:bCs/>
          <w:iCs/>
        </w:rPr>
        <w:t xml:space="preserve"> y el microcontrolador, se habilita la rutina que envía el parámetro de desempeño al servidor para ser visualizado</w:t>
      </w:r>
      <w:r>
        <w:rPr>
          <w:rFonts w:ascii="Arial" w:hAnsi="Arial" w:cs="Arial"/>
          <w:bCs/>
          <w:iCs/>
        </w:rPr>
        <w:t>,</w:t>
      </w:r>
      <w:r w:rsidRPr="00FD493D">
        <w:rPr>
          <w:rFonts w:ascii="Arial" w:hAnsi="Arial" w:cs="Arial"/>
          <w:bCs/>
          <w:iCs/>
        </w:rPr>
        <w:t xml:space="preserve"> tras un retardo</w:t>
      </w:r>
      <w:r>
        <w:rPr>
          <w:rFonts w:ascii="Arial" w:hAnsi="Arial" w:cs="Arial"/>
          <w:bCs/>
          <w:iCs/>
        </w:rPr>
        <w:t xml:space="preserve"> de alrededor de un minuto</w:t>
      </w:r>
      <w:r w:rsidRPr="00FD493D">
        <w:rPr>
          <w:rFonts w:ascii="Arial" w:hAnsi="Arial" w:cs="Arial"/>
          <w:bCs/>
          <w:iCs/>
        </w:rPr>
        <w:t>.</w:t>
      </w:r>
    </w:p>
    <w:p w:rsidR="00186522" w:rsidRDefault="00186522" w:rsidP="00186522">
      <w:pPr>
        <w:spacing w:before="240"/>
        <w:ind w:firstLine="708"/>
        <w:jc w:val="center"/>
        <w:rPr>
          <w:noProof/>
          <w:lang w:eastAsia="es-ES"/>
        </w:rPr>
      </w:pPr>
      <w:r>
        <w:rPr>
          <w:noProof/>
          <w:lang w:val="en-US"/>
        </w:rPr>
        <w:lastRenderedPageBreak/>
        <w:drawing>
          <wp:inline distT="0" distB="0" distL="0" distR="0" wp14:anchorId="6E0AE3A1" wp14:editId="32CB8748">
            <wp:extent cx="3752850" cy="5392022"/>
            <wp:effectExtent l="0" t="0" r="0" b="0"/>
            <wp:docPr id="2026623678" name="Imagen 202662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33" cstate="print">
                      <a:extLst>
                        <a:ext uri="{28A0092B-C50C-407E-A947-70E740481C1C}">
                          <a14:useLocalDpi xmlns:a14="http://schemas.microsoft.com/office/drawing/2010/main" val="0"/>
                        </a:ext>
                      </a:extLst>
                    </a:blip>
                    <a:srcRect l="27753" t="6751" r="-1083" b="1889"/>
                    <a:stretch/>
                  </pic:blipFill>
                  <pic:spPr bwMode="auto">
                    <a:xfrm>
                      <a:off x="0" y="0"/>
                      <a:ext cx="3757112" cy="5398146"/>
                    </a:xfrm>
                    <a:prstGeom prst="rect">
                      <a:avLst/>
                    </a:prstGeom>
                    <a:noFill/>
                    <a:ln>
                      <a:noFill/>
                    </a:ln>
                    <a:extLst>
                      <a:ext uri="{53640926-AAD7-44D8-BBD7-CCE9431645EC}">
                        <a14:shadowObscured xmlns:a14="http://schemas.microsoft.com/office/drawing/2010/main"/>
                      </a:ext>
                    </a:extLst>
                  </pic:spPr>
                </pic:pic>
              </a:graphicData>
            </a:graphic>
          </wp:inline>
        </w:drawing>
      </w:r>
    </w:p>
    <w:p w:rsidR="00186522" w:rsidRDefault="00186522" w:rsidP="00186522">
      <w:pPr>
        <w:ind w:firstLine="708"/>
        <w:jc w:val="center"/>
        <w:rPr>
          <w:rFonts w:ascii="Arial" w:hAnsi="Arial" w:cs="Arial"/>
          <w:bCs/>
          <w:i/>
          <w:sz w:val="20"/>
          <w:szCs w:val="20"/>
        </w:rPr>
      </w:pPr>
      <w:r>
        <w:rPr>
          <w:rFonts w:ascii="Arial" w:hAnsi="Arial" w:cs="Arial"/>
          <w:bCs/>
          <w:i/>
          <w:sz w:val="20"/>
          <w:szCs w:val="20"/>
        </w:rPr>
        <w:t>Figura 3</w:t>
      </w:r>
      <w:r w:rsidRPr="00296222">
        <w:rPr>
          <w:rFonts w:ascii="Arial" w:hAnsi="Arial" w:cs="Arial"/>
          <w:bCs/>
          <w:i/>
          <w:sz w:val="20"/>
          <w:szCs w:val="20"/>
        </w:rPr>
        <w:t xml:space="preserve">. </w:t>
      </w:r>
      <w:r w:rsidRPr="00FD493D">
        <w:rPr>
          <w:rFonts w:ascii="Arial" w:hAnsi="Arial" w:cs="Arial"/>
          <w:bCs/>
          <w:i/>
          <w:sz w:val="20"/>
          <w:szCs w:val="20"/>
        </w:rPr>
        <w:t xml:space="preserve">Diagrama </w:t>
      </w:r>
      <w:r>
        <w:rPr>
          <w:rFonts w:ascii="Arial" w:hAnsi="Arial" w:cs="Arial"/>
          <w:bCs/>
          <w:i/>
          <w:sz w:val="20"/>
          <w:szCs w:val="20"/>
        </w:rPr>
        <w:t>de</w:t>
      </w:r>
      <w:r w:rsidRPr="00FD493D">
        <w:rPr>
          <w:rFonts w:ascii="Arial" w:hAnsi="Arial" w:cs="Arial"/>
          <w:bCs/>
          <w:i/>
          <w:sz w:val="20"/>
          <w:szCs w:val="20"/>
        </w:rPr>
        <w:t xml:space="preserve"> conexión a la nube</w:t>
      </w:r>
    </w:p>
    <w:p w:rsidR="00186522" w:rsidRPr="00AA2A74" w:rsidRDefault="00186522" w:rsidP="00186522">
      <w:pPr>
        <w:pStyle w:val="Ttulo1"/>
        <w:keepLines w:val="0"/>
        <w:numPr>
          <w:ilvl w:val="0"/>
          <w:numId w:val="1"/>
        </w:numPr>
        <w:tabs>
          <w:tab w:val="clear" w:pos="432"/>
          <w:tab w:val="left" w:pos="0"/>
        </w:tabs>
        <w:suppressAutoHyphens/>
        <w:spacing w:before="240" w:after="0" w:line="360" w:lineRule="auto"/>
        <w:ind w:left="0" w:firstLine="0"/>
        <w:rPr>
          <w:rFonts w:ascii="Arial" w:hAnsi="Arial" w:cs="Arial"/>
          <w:i/>
          <w:sz w:val="24"/>
          <w:szCs w:val="24"/>
        </w:rPr>
      </w:pPr>
      <w:bookmarkStart w:id="269" w:name="_Toc50031342"/>
      <w:r w:rsidRPr="00AA2A74">
        <w:rPr>
          <w:rFonts w:ascii="Arial" w:hAnsi="Arial" w:cs="Arial"/>
          <w:caps/>
          <w:sz w:val="24"/>
          <w:szCs w:val="24"/>
        </w:rPr>
        <w:t xml:space="preserve">4. </w:t>
      </w:r>
      <w:r w:rsidRPr="00AA2A74">
        <w:rPr>
          <w:rFonts w:ascii="Arial" w:hAnsi="Arial" w:cs="Arial"/>
          <w:sz w:val="24"/>
          <w:szCs w:val="24"/>
        </w:rPr>
        <w:t>Resultados</w:t>
      </w:r>
      <w:bookmarkEnd w:id="269"/>
    </w:p>
    <w:p w:rsidR="00186522" w:rsidRPr="00055CDF" w:rsidRDefault="00186522" w:rsidP="00186522">
      <w:pPr>
        <w:pStyle w:val="Textoindependiente"/>
        <w:ind w:firstLine="539"/>
        <w:jc w:val="both"/>
        <w:rPr>
          <w:rFonts w:ascii="Arial" w:hAnsi="Arial" w:cs="Arial"/>
          <w:b w:val="0"/>
          <w:sz w:val="24"/>
        </w:rPr>
      </w:pPr>
      <w:r w:rsidRPr="00815D3C">
        <w:rPr>
          <w:rFonts w:ascii="Arial" w:hAnsi="Arial" w:cs="Arial"/>
          <w:b w:val="0"/>
          <w:sz w:val="24"/>
        </w:rPr>
        <w:t xml:space="preserve">En la </w:t>
      </w:r>
      <w:r>
        <w:rPr>
          <w:rFonts w:ascii="Arial" w:hAnsi="Arial" w:cs="Arial"/>
          <w:b w:val="0"/>
          <w:sz w:val="24"/>
        </w:rPr>
        <w:t>Figura 4</w:t>
      </w:r>
      <w:r w:rsidRPr="00815D3C">
        <w:rPr>
          <w:rFonts w:ascii="Arial" w:hAnsi="Arial" w:cs="Arial"/>
          <w:b w:val="0"/>
          <w:sz w:val="24"/>
        </w:rPr>
        <w:t xml:space="preserve"> se </w:t>
      </w:r>
      <w:r>
        <w:rPr>
          <w:rFonts w:ascii="Arial" w:hAnsi="Arial" w:cs="Arial"/>
          <w:b w:val="0"/>
          <w:sz w:val="24"/>
        </w:rPr>
        <w:t>presenta</w:t>
      </w:r>
      <w:r w:rsidRPr="00815D3C">
        <w:rPr>
          <w:rFonts w:ascii="Arial" w:hAnsi="Arial" w:cs="Arial"/>
          <w:b w:val="0"/>
          <w:sz w:val="24"/>
        </w:rPr>
        <w:t xml:space="preserve">n </w:t>
      </w:r>
      <w:r>
        <w:rPr>
          <w:rFonts w:ascii="Arial" w:hAnsi="Arial" w:cs="Arial"/>
          <w:b w:val="0"/>
          <w:sz w:val="24"/>
        </w:rPr>
        <w:t xml:space="preserve">los elementos que </w:t>
      </w:r>
      <w:r w:rsidRPr="00815D3C">
        <w:rPr>
          <w:rFonts w:ascii="Arial" w:hAnsi="Arial" w:cs="Arial"/>
          <w:b w:val="0"/>
          <w:sz w:val="24"/>
        </w:rPr>
        <w:t>componen el sistema de comunicación</w:t>
      </w:r>
      <w:r>
        <w:rPr>
          <w:rFonts w:ascii="Arial" w:hAnsi="Arial" w:cs="Arial"/>
          <w:b w:val="0"/>
          <w:sz w:val="24"/>
        </w:rPr>
        <w:t xml:space="preserve">: </w:t>
      </w:r>
      <w:r w:rsidRPr="00815D3C">
        <w:rPr>
          <w:rFonts w:ascii="Arial" w:hAnsi="Arial" w:cs="Arial"/>
          <w:b w:val="0"/>
          <w:sz w:val="24"/>
        </w:rPr>
        <w:t>el</w:t>
      </w:r>
      <w:r>
        <w:rPr>
          <w:rFonts w:ascii="Arial" w:hAnsi="Arial" w:cs="Arial"/>
          <w:b w:val="0"/>
          <w:sz w:val="24"/>
        </w:rPr>
        <w:t xml:space="preserve"> </w:t>
      </w:r>
      <w:r w:rsidRPr="00815D3C">
        <w:rPr>
          <w:rFonts w:ascii="Arial" w:hAnsi="Arial" w:cs="Arial"/>
          <w:b w:val="0"/>
          <w:sz w:val="24"/>
        </w:rPr>
        <w:t xml:space="preserve">router, la Raspberry </w:t>
      </w:r>
      <w:r>
        <w:rPr>
          <w:rFonts w:ascii="Arial" w:hAnsi="Arial" w:cs="Arial"/>
          <w:b w:val="0"/>
          <w:sz w:val="24"/>
        </w:rPr>
        <w:t>P</w:t>
      </w:r>
      <w:r w:rsidRPr="00815D3C">
        <w:rPr>
          <w:rFonts w:ascii="Arial" w:hAnsi="Arial" w:cs="Arial"/>
          <w:b w:val="0"/>
          <w:sz w:val="24"/>
        </w:rPr>
        <w:t xml:space="preserve">i 3 y el </w:t>
      </w:r>
      <w:r>
        <w:rPr>
          <w:rFonts w:ascii="Arial" w:hAnsi="Arial" w:cs="Arial"/>
          <w:b w:val="0"/>
          <w:sz w:val="24"/>
        </w:rPr>
        <w:t>PC</w:t>
      </w:r>
      <w:r w:rsidRPr="00815D3C">
        <w:rPr>
          <w:rFonts w:ascii="Arial" w:hAnsi="Arial" w:cs="Arial"/>
          <w:b w:val="0"/>
          <w:sz w:val="24"/>
        </w:rPr>
        <w:t xml:space="preserve"> para el escaneo de la </w:t>
      </w:r>
      <w:r>
        <w:rPr>
          <w:rFonts w:ascii="Arial" w:hAnsi="Arial" w:cs="Arial"/>
          <w:b w:val="0"/>
          <w:sz w:val="24"/>
        </w:rPr>
        <w:t xml:space="preserve">potencia de los canales de las </w:t>
      </w:r>
      <w:r w:rsidRPr="00815D3C">
        <w:rPr>
          <w:rFonts w:ascii="Arial" w:hAnsi="Arial" w:cs="Arial"/>
          <w:b w:val="0"/>
          <w:sz w:val="24"/>
        </w:rPr>
        <w:t>red</w:t>
      </w:r>
      <w:r>
        <w:rPr>
          <w:rFonts w:ascii="Arial" w:hAnsi="Arial" w:cs="Arial"/>
          <w:b w:val="0"/>
          <w:sz w:val="24"/>
        </w:rPr>
        <w:t>es</w:t>
      </w:r>
      <w:r w:rsidRPr="00FA5EA4">
        <w:rPr>
          <w:rFonts w:ascii="Arial" w:hAnsi="Arial" w:cs="Arial"/>
          <w:b w:val="0"/>
          <w:sz w:val="24"/>
        </w:rPr>
        <w:t>.</w:t>
      </w:r>
      <w:r>
        <w:rPr>
          <w:rFonts w:ascii="Arial" w:hAnsi="Arial" w:cs="Arial"/>
          <w:b w:val="0"/>
          <w:sz w:val="24"/>
        </w:rPr>
        <w:t xml:space="preserve"> También se observa</w:t>
      </w:r>
      <w:r w:rsidRPr="00815D3C">
        <w:rPr>
          <w:rFonts w:ascii="Arial" w:hAnsi="Arial" w:cs="Arial"/>
          <w:b w:val="0"/>
          <w:sz w:val="24"/>
        </w:rPr>
        <w:t xml:space="preserve"> el robot</w:t>
      </w:r>
      <w:r>
        <w:rPr>
          <w:rFonts w:ascii="Arial" w:hAnsi="Arial" w:cs="Arial"/>
          <w:b w:val="0"/>
          <w:sz w:val="24"/>
        </w:rPr>
        <w:t xml:space="preserve"> modular</w:t>
      </w:r>
      <w:r w:rsidRPr="00815D3C">
        <w:rPr>
          <w:rFonts w:ascii="Arial" w:hAnsi="Arial" w:cs="Arial"/>
          <w:b w:val="0"/>
          <w:sz w:val="24"/>
        </w:rPr>
        <w:t xml:space="preserve"> EMeRGE</w:t>
      </w:r>
      <w:r>
        <w:rPr>
          <w:rFonts w:ascii="Arial" w:hAnsi="Arial" w:cs="Arial"/>
          <w:b w:val="0"/>
          <w:sz w:val="24"/>
        </w:rPr>
        <w:t>.</w:t>
      </w:r>
    </w:p>
    <w:p w:rsidR="00186522" w:rsidRDefault="00186522" w:rsidP="00186522">
      <w:pPr>
        <w:pStyle w:val="Textoindependiente"/>
        <w:spacing w:after="240"/>
        <w:ind w:firstLine="539"/>
        <w:jc w:val="center"/>
        <w:rPr>
          <w:noProof/>
          <w:lang w:eastAsia="es-ES"/>
        </w:rPr>
      </w:pPr>
      <w:r w:rsidRPr="008D1E4A">
        <w:rPr>
          <w:noProof/>
          <w:lang w:val="en-US"/>
        </w:rPr>
        <w:lastRenderedPageBreak/>
        <w:drawing>
          <wp:inline distT="0" distB="0" distL="0" distR="0" wp14:anchorId="4511AF4C" wp14:editId="527EBDCA">
            <wp:extent cx="3257550" cy="2438400"/>
            <wp:effectExtent l="0" t="0" r="0" b="0"/>
            <wp:docPr id="2026623679" name="Imagen 2026623679" descr="C:\Users\CPE\AppData\Local\Microsoft\Windows\Temporary Internet Files\Content.Word\IMG_20200219_193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C:\Users\CPE\AppData\Local\Microsoft\Windows\Temporary Internet Files\Content.Word\IMG_20200219_193603.jpg"/>
                    <pic:cNvPicPr>
                      <a:picLocks noChangeAspect="1" noChangeArrowheads="1"/>
                    </pic:cNvPicPr>
                  </pic:nvPicPr>
                  <pic:blipFill>
                    <a:blip r:embed="rId1134" cstate="print">
                      <a:extLst>
                        <a:ext uri="{28A0092B-C50C-407E-A947-70E740481C1C}">
                          <a14:useLocalDpi xmlns:a14="http://schemas.microsoft.com/office/drawing/2010/main" val="0"/>
                        </a:ext>
                      </a:extLst>
                    </a:blip>
                    <a:srcRect/>
                    <a:stretch>
                      <a:fillRect/>
                    </a:stretch>
                  </pic:blipFill>
                  <pic:spPr bwMode="auto">
                    <a:xfrm>
                      <a:off x="0" y="0"/>
                      <a:ext cx="3257550" cy="2438400"/>
                    </a:xfrm>
                    <a:prstGeom prst="rect">
                      <a:avLst/>
                    </a:prstGeom>
                    <a:noFill/>
                    <a:ln>
                      <a:noFill/>
                    </a:ln>
                  </pic:spPr>
                </pic:pic>
              </a:graphicData>
            </a:graphic>
          </wp:inline>
        </w:drawing>
      </w:r>
    </w:p>
    <w:p w:rsidR="00186522" w:rsidRDefault="00186522" w:rsidP="00186522">
      <w:pPr>
        <w:spacing w:line="276" w:lineRule="auto"/>
        <w:jc w:val="center"/>
        <w:rPr>
          <w:rFonts w:ascii="Arial" w:hAnsi="Arial" w:cs="Arial"/>
          <w:bCs/>
          <w:i/>
          <w:sz w:val="20"/>
          <w:szCs w:val="20"/>
        </w:rPr>
      </w:pPr>
      <w:r>
        <w:rPr>
          <w:rFonts w:ascii="Arial" w:hAnsi="Arial" w:cs="Arial"/>
          <w:bCs/>
          <w:i/>
          <w:sz w:val="20"/>
          <w:szCs w:val="20"/>
        </w:rPr>
        <w:t>Figura 4</w:t>
      </w:r>
      <w:r w:rsidRPr="00296222">
        <w:rPr>
          <w:rFonts w:ascii="Arial" w:hAnsi="Arial" w:cs="Arial"/>
          <w:bCs/>
          <w:i/>
          <w:sz w:val="20"/>
          <w:szCs w:val="20"/>
        </w:rPr>
        <w:t xml:space="preserve">. </w:t>
      </w:r>
      <w:r>
        <w:rPr>
          <w:rFonts w:ascii="Arial" w:hAnsi="Arial" w:cs="Arial"/>
          <w:bCs/>
          <w:i/>
          <w:sz w:val="20"/>
          <w:szCs w:val="20"/>
        </w:rPr>
        <w:t>Elementos</w:t>
      </w:r>
      <w:r w:rsidRPr="00486C44">
        <w:rPr>
          <w:rFonts w:ascii="Arial" w:hAnsi="Arial" w:cs="Arial"/>
          <w:bCs/>
          <w:i/>
          <w:sz w:val="20"/>
          <w:szCs w:val="20"/>
        </w:rPr>
        <w:t xml:space="preserve"> del sistema de comunicación</w:t>
      </w:r>
      <w:r>
        <w:rPr>
          <w:rFonts w:ascii="Arial" w:hAnsi="Arial" w:cs="Arial"/>
          <w:bCs/>
          <w:i/>
          <w:sz w:val="20"/>
          <w:szCs w:val="20"/>
        </w:rPr>
        <w:t xml:space="preserve"> y robot modular.</w:t>
      </w:r>
    </w:p>
    <w:p w:rsidR="00186522" w:rsidRDefault="00186522" w:rsidP="00186522">
      <w:pPr>
        <w:spacing w:before="240" w:after="240"/>
        <w:rPr>
          <w:rFonts w:ascii="Arial" w:hAnsi="Arial" w:cs="Arial"/>
          <w:i/>
          <w:color w:val="000000"/>
        </w:rPr>
      </w:pPr>
      <w:r>
        <w:rPr>
          <w:rFonts w:ascii="Arial" w:hAnsi="Arial" w:cs="Arial"/>
          <w:i/>
          <w:color w:val="000000"/>
        </w:rPr>
        <w:t>4</w:t>
      </w:r>
      <w:r w:rsidRPr="00BC5E0A">
        <w:rPr>
          <w:rFonts w:ascii="Arial" w:hAnsi="Arial" w:cs="Arial"/>
          <w:i/>
          <w:color w:val="000000"/>
        </w:rPr>
        <w:t>.</w:t>
      </w:r>
      <w:r>
        <w:rPr>
          <w:rFonts w:ascii="Arial" w:hAnsi="Arial" w:cs="Arial"/>
          <w:i/>
          <w:color w:val="000000"/>
        </w:rPr>
        <w:t>1</w:t>
      </w:r>
      <w:r w:rsidRPr="00BC5E0A">
        <w:rPr>
          <w:rFonts w:ascii="Arial" w:hAnsi="Arial" w:cs="Arial"/>
          <w:i/>
          <w:color w:val="000000"/>
        </w:rPr>
        <w:t xml:space="preserve"> </w:t>
      </w:r>
      <w:r>
        <w:rPr>
          <w:rFonts w:ascii="Arial" w:hAnsi="Arial" w:cs="Arial"/>
          <w:i/>
          <w:color w:val="000000"/>
        </w:rPr>
        <w:t>Transmisión de datos</w:t>
      </w:r>
    </w:p>
    <w:p w:rsidR="00186522" w:rsidRPr="00486C44" w:rsidRDefault="00186522" w:rsidP="00186522">
      <w:pPr>
        <w:ind w:firstLine="708"/>
        <w:jc w:val="both"/>
        <w:rPr>
          <w:rFonts w:ascii="Arial" w:hAnsi="Arial" w:cs="Arial"/>
        </w:rPr>
      </w:pPr>
      <w:r>
        <w:rPr>
          <w:rFonts w:ascii="Arial" w:hAnsi="Arial" w:cs="Arial"/>
        </w:rPr>
        <w:t xml:space="preserve">Inicialmente se verifica la conexión a internet por parte </w:t>
      </w:r>
      <w:r w:rsidRPr="00486C44">
        <w:rPr>
          <w:rFonts w:ascii="Arial" w:hAnsi="Arial" w:cs="Arial"/>
        </w:rPr>
        <w:t xml:space="preserve">de la Raspberry, </w:t>
      </w:r>
      <w:r>
        <w:rPr>
          <w:rFonts w:ascii="Arial" w:hAnsi="Arial" w:cs="Arial"/>
        </w:rPr>
        <w:t xml:space="preserve">luego </w:t>
      </w:r>
      <w:r w:rsidRPr="00486C44">
        <w:rPr>
          <w:rFonts w:ascii="Arial" w:hAnsi="Arial" w:cs="Arial"/>
        </w:rPr>
        <w:t xml:space="preserve">se ejecuta el script programado que posibilita la comunicación UDP entre </w:t>
      </w:r>
      <w:r>
        <w:rPr>
          <w:rFonts w:ascii="Arial" w:hAnsi="Arial" w:cs="Arial"/>
        </w:rPr>
        <w:t>la Raspberry</w:t>
      </w:r>
      <w:r w:rsidRPr="00486C44">
        <w:rPr>
          <w:rFonts w:ascii="Arial" w:hAnsi="Arial" w:cs="Arial"/>
        </w:rPr>
        <w:t xml:space="preserve"> y el ESP32</w:t>
      </w:r>
      <w:r>
        <w:rPr>
          <w:rFonts w:ascii="Arial" w:hAnsi="Arial" w:cs="Arial"/>
        </w:rPr>
        <w:t>, y</w:t>
      </w:r>
      <w:r w:rsidRPr="00486C44">
        <w:rPr>
          <w:rFonts w:ascii="Arial" w:hAnsi="Arial" w:cs="Arial"/>
        </w:rPr>
        <w:t xml:space="preserve"> también </w:t>
      </w:r>
      <w:r>
        <w:rPr>
          <w:rFonts w:ascii="Arial" w:hAnsi="Arial" w:cs="Arial"/>
        </w:rPr>
        <w:t xml:space="preserve">se </w:t>
      </w:r>
      <w:r w:rsidRPr="00486C44">
        <w:rPr>
          <w:rFonts w:ascii="Arial" w:hAnsi="Arial" w:cs="Arial"/>
        </w:rPr>
        <w:t xml:space="preserve">inicia el sub-proceso para el envío de datos a </w:t>
      </w:r>
      <w:r>
        <w:rPr>
          <w:rFonts w:ascii="Arial" w:hAnsi="Arial" w:cs="Arial"/>
        </w:rPr>
        <w:t>la nube (</w:t>
      </w:r>
      <w:r w:rsidRPr="006728E8">
        <w:rPr>
          <w:rFonts w:ascii="Arial" w:hAnsi="Arial" w:cs="Arial"/>
          <w:i/>
          <w:iCs/>
        </w:rPr>
        <w:t>ThingSpeak</w:t>
      </w:r>
      <w:r>
        <w:rPr>
          <w:rFonts w:ascii="Arial" w:hAnsi="Arial" w:cs="Arial"/>
        </w:rPr>
        <w:t>)</w:t>
      </w:r>
      <w:r w:rsidRPr="00486C44">
        <w:rPr>
          <w:rFonts w:ascii="Arial" w:hAnsi="Arial" w:cs="Arial"/>
        </w:rPr>
        <w:t xml:space="preserve">. En la </w:t>
      </w:r>
      <w:r>
        <w:rPr>
          <w:rFonts w:ascii="Arial" w:hAnsi="Arial" w:cs="Arial"/>
        </w:rPr>
        <w:t>Figura</w:t>
      </w:r>
      <w:r w:rsidRPr="00486C44">
        <w:rPr>
          <w:rFonts w:ascii="Arial" w:hAnsi="Arial" w:cs="Arial"/>
        </w:rPr>
        <w:t xml:space="preserve"> </w:t>
      </w:r>
      <w:r>
        <w:rPr>
          <w:rFonts w:ascii="Arial" w:hAnsi="Arial" w:cs="Arial"/>
        </w:rPr>
        <w:t>5</w:t>
      </w:r>
      <w:r w:rsidRPr="00486C44">
        <w:rPr>
          <w:rFonts w:ascii="Arial" w:hAnsi="Arial" w:cs="Arial"/>
        </w:rPr>
        <w:t xml:space="preserve"> se muestra la consola de ejecución del algoritmo UDP en la Raspberry, el programa ejecuta líneas en </w:t>
      </w:r>
      <w:r>
        <w:rPr>
          <w:rFonts w:ascii="Arial" w:hAnsi="Arial" w:cs="Arial"/>
        </w:rPr>
        <w:t>la</w:t>
      </w:r>
      <w:r w:rsidRPr="00486C44">
        <w:rPr>
          <w:rFonts w:ascii="Arial" w:hAnsi="Arial" w:cs="Arial"/>
        </w:rPr>
        <w:t xml:space="preserve"> terminal cada vez que envía exitosamente </w:t>
      </w:r>
      <w:r>
        <w:rPr>
          <w:rFonts w:ascii="Arial" w:hAnsi="Arial" w:cs="Arial"/>
        </w:rPr>
        <w:t>secuencias de movimiento</w:t>
      </w:r>
      <w:r w:rsidRPr="00486C44">
        <w:rPr>
          <w:rFonts w:ascii="Arial" w:hAnsi="Arial" w:cs="Arial"/>
        </w:rPr>
        <w:t xml:space="preserve"> al ESP32</w:t>
      </w:r>
      <w:r>
        <w:rPr>
          <w:rFonts w:ascii="Arial" w:hAnsi="Arial" w:cs="Arial"/>
        </w:rPr>
        <w:t xml:space="preserve"> para el robot</w:t>
      </w:r>
      <w:r w:rsidRPr="00486C44">
        <w:rPr>
          <w:rFonts w:ascii="Arial" w:hAnsi="Arial" w:cs="Arial"/>
        </w:rPr>
        <w:t xml:space="preserve">. En este caso, el ESP32 toma el rol de cliente con una dirección IP 10.28.1.192 </w:t>
      </w:r>
      <w:r>
        <w:rPr>
          <w:rFonts w:ascii="Arial" w:hAnsi="Arial" w:cs="Arial"/>
        </w:rPr>
        <w:t>y</w:t>
      </w:r>
      <w:r w:rsidRPr="00486C44">
        <w:rPr>
          <w:rFonts w:ascii="Arial" w:hAnsi="Arial" w:cs="Arial"/>
        </w:rPr>
        <w:t xml:space="preserve"> el puerto 1234, desde la Raspberry se envía la secuencia de movimiento del robot (A0512#B0512#...) y, además, </w:t>
      </w:r>
      <w:r>
        <w:rPr>
          <w:rFonts w:ascii="Arial" w:hAnsi="Arial" w:cs="Arial"/>
        </w:rPr>
        <w:t xml:space="preserve">se recibe </w:t>
      </w:r>
      <w:r w:rsidRPr="00486C44">
        <w:rPr>
          <w:rFonts w:ascii="Arial" w:hAnsi="Arial" w:cs="Arial"/>
        </w:rPr>
        <w:t xml:space="preserve">desde el ESP32 el mensaje </w:t>
      </w:r>
      <w:r>
        <w:rPr>
          <w:rFonts w:ascii="Arial" w:hAnsi="Arial" w:cs="Arial"/>
        </w:rPr>
        <w:t xml:space="preserve">de confirmación </w:t>
      </w:r>
      <w:r w:rsidRPr="00486C44">
        <w:rPr>
          <w:rFonts w:ascii="Arial" w:hAnsi="Arial" w:cs="Arial"/>
        </w:rPr>
        <w:t xml:space="preserve">‘ArduinoToRasp’ </w:t>
      </w:r>
      <w:r>
        <w:rPr>
          <w:rFonts w:ascii="Arial" w:hAnsi="Arial" w:cs="Arial"/>
        </w:rPr>
        <w:t>en</w:t>
      </w:r>
      <w:r w:rsidRPr="00486C44">
        <w:rPr>
          <w:rFonts w:ascii="Arial" w:hAnsi="Arial" w:cs="Arial"/>
        </w:rPr>
        <w:t xml:space="preserve"> la Raspberry.</w:t>
      </w:r>
    </w:p>
    <w:p w:rsidR="00186522" w:rsidRDefault="00186522" w:rsidP="00186522">
      <w:pPr>
        <w:pStyle w:val="Textoindependiente"/>
        <w:spacing w:before="240" w:after="240"/>
        <w:ind w:firstLine="539"/>
        <w:jc w:val="center"/>
        <w:rPr>
          <w:noProof/>
          <w:lang w:eastAsia="es-ES"/>
        </w:rPr>
      </w:pPr>
      <w:r w:rsidRPr="008D1E4A">
        <w:rPr>
          <w:noProof/>
          <w:lang w:val="en-US"/>
        </w:rPr>
        <w:drawing>
          <wp:inline distT="0" distB="0" distL="0" distR="0" wp14:anchorId="6343DDA6" wp14:editId="3D9B1F64">
            <wp:extent cx="4257675" cy="2924175"/>
            <wp:effectExtent l="0" t="0" r="9525" b="9525"/>
            <wp:docPr id="2026623680" name="Imagen 2026623680" descr="E:\Proshecto de grado uwu\2020-02-21-181606_1280x720_scr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E:\Proshecto de grado uwu\2020-02-21-181606_1280x720_scrot.png"/>
                    <pic:cNvPicPr>
                      <a:picLocks noChangeAspect="1" noChangeArrowheads="1"/>
                    </pic:cNvPicPr>
                  </pic:nvPicPr>
                  <pic:blipFill>
                    <a:blip r:embed="rId1135">
                      <a:extLst>
                        <a:ext uri="{28A0092B-C50C-407E-A947-70E740481C1C}">
                          <a14:useLocalDpi xmlns:a14="http://schemas.microsoft.com/office/drawing/2010/main" val="0"/>
                        </a:ext>
                      </a:extLst>
                    </a:blip>
                    <a:srcRect l="48633" b="37154"/>
                    <a:stretch>
                      <a:fillRect/>
                    </a:stretch>
                  </pic:blipFill>
                  <pic:spPr bwMode="auto">
                    <a:xfrm>
                      <a:off x="0" y="0"/>
                      <a:ext cx="4257675" cy="2924175"/>
                    </a:xfrm>
                    <a:prstGeom prst="rect">
                      <a:avLst/>
                    </a:prstGeom>
                    <a:noFill/>
                    <a:ln>
                      <a:noFill/>
                    </a:ln>
                  </pic:spPr>
                </pic:pic>
              </a:graphicData>
            </a:graphic>
          </wp:inline>
        </w:drawing>
      </w:r>
    </w:p>
    <w:p w:rsidR="00186522" w:rsidRDefault="00186522" w:rsidP="00186522">
      <w:pPr>
        <w:spacing w:line="276" w:lineRule="auto"/>
        <w:jc w:val="center"/>
        <w:rPr>
          <w:rFonts w:ascii="Arial" w:hAnsi="Arial" w:cs="Arial"/>
          <w:bCs/>
          <w:i/>
          <w:sz w:val="20"/>
          <w:szCs w:val="20"/>
        </w:rPr>
      </w:pPr>
      <w:r>
        <w:rPr>
          <w:rFonts w:ascii="Arial" w:hAnsi="Arial" w:cs="Arial"/>
          <w:bCs/>
          <w:i/>
          <w:sz w:val="20"/>
          <w:szCs w:val="20"/>
        </w:rPr>
        <w:lastRenderedPageBreak/>
        <w:t>Figura 5</w:t>
      </w:r>
      <w:r w:rsidRPr="00296222">
        <w:rPr>
          <w:rFonts w:ascii="Arial" w:hAnsi="Arial" w:cs="Arial"/>
          <w:bCs/>
          <w:i/>
          <w:sz w:val="20"/>
          <w:szCs w:val="20"/>
        </w:rPr>
        <w:t xml:space="preserve">. </w:t>
      </w:r>
      <w:r>
        <w:rPr>
          <w:rFonts w:ascii="Arial" w:hAnsi="Arial" w:cs="Arial"/>
          <w:bCs/>
          <w:i/>
          <w:sz w:val="20"/>
          <w:szCs w:val="20"/>
        </w:rPr>
        <w:t>Ejecución del</w:t>
      </w:r>
      <w:r w:rsidRPr="004B1AE2">
        <w:rPr>
          <w:rFonts w:ascii="Arial" w:hAnsi="Arial" w:cs="Arial"/>
          <w:bCs/>
          <w:i/>
          <w:sz w:val="20"/>
          <w:szCs w:val="20"/>
        </w:rPr>
        <w:t xml:space="preserve"> algoritmo UDP en</w:t>
      </w:r>
      <w:r>
        <w:rPr>
          <w:rFonts w:ascii="Arial" w:hAnsi="Arial" w:cs="Arial"/>
          <w:bCs/>
          <w:i/>
          <w:sz w:val="20"/>
          <w:szCs w:val="20"/>
        </w:rPr>
        <w:t xml:space="preserve"> la</w:t>
      </w:r>
      <w:r w:rsidRPr="004B1AE2">
        <w:rPr>
          <w:rFonts w:ascii="Arial" w:hAnsi="Arial" w:cs="Arial"/>
          <w:bCs/>
          <w:i/>
          <w:sz w:val="20"/>
          <w:szCs w:val="20"/>
        </w:rPr>
        <w:t xml:space="preserve"> Raspberry</w:t>
      </w:r>
      <w:r>
        <w:rPr>
          <w:rFonts w:ascii="Arial" w:hAnsi="Arial" w:cs="Arial"/>
          <w:bCs/>
          <w:i/>
          <w:sz w:val="20"/>
          <w:szCs w:val="20"/>
        </w:rPr>
        <w:t>.</w:t>
      </w:r>
    </w:p>
    <w:p w:rsidR="00186522" w:rsidRDefault="00186522" w:rsidP="00186522">
      <w:pPr>
        <w:ind w:firstLine="708"/>
        <w:jc w:val="both"/>
        <w:rPr>
          <w:rFonts w:ascii="Arial" w:hAnsi="Arial" w:cs="Arial"/>
          <w:bCs/>
          <w:iCs/>
        </w:rPr>
      </w:pPr>
      <w:r>
        <w:rPr>
          <w:rFonts w:ascii="Arial" w:hAnsi="Arial" w:cs="Arial"/>
          <w:bCs/>
          <w:iCs/>
        </w:rPr>
        <w:t>E</w:t>
      </w:r>
      <w:r w:rsidRPr="004B1AE2">
        <w:rPr>
          <w:rFonts w:ascii="Arial" w:hAnsi="Arial" w:cs="Arial"/>
          <w:bCs/>
          <w:iCs/>
        </w:rPr>
        <w:t xml:space="preserve">n la rutina principal del ESP32 </w:t>
      </w:r>
      <w:r>
        <w:rPr>
          <w:rFonts w:ascii="Arial" w:hAnsi="Arial" w:cs="Arial"/>
          <w:bCs/>
          <w:iCs/>
        </w:rPr>
        <w:t>se pueden observar los datos recibidos desde la Raspberry.</w:t>
      </w:r>
      <w:r w:rsidRPr="004B1AE2">
        <w:rPr>
          <w:rFonts w:ascii="Arial" w:hAnsi="Arial" w:cs="Arial"/>
          <w:bCs/>
          <w:iCs/>
        </w:rPr>
        <w:t xml:space="preserve"> </w:t>
      </w:r>
      <w:r>
        <w:rPr>
          <w:rFonts w:ascii="Arial" w:hAnsi="Arial" w:cs="Arial"/>
          <w:bCs/>
          <w:iCs/>
        </w:rPr>
        <w:t>A</w:t>
      </w:r>
      <w:r w:rsidRPr="004B1AE2">
        <w:rPr>
          <w:rFonts w:ascii="Arial" w:hAnsi="Arial" w:cs="Arial"/>
          <w:bCs/>
          <w:iCs/>
        </w:rPr>
        <w:t xml:space="preserve">l abrir el puerto serie en Arduino se muestra </w:t>
      </w:r>
      <w:r>
        <w:rPr>
          <w:rFonts w:ascii="Arial" w:hAnsi="Arial" w:cs="Arial"/>
          <w:bCs/>
          <w:iCs/>
        </w:rPr>
        <w:t xml:space="preserve">la </w:t>
      </w:r>
      <w:r w:rsidRPr="004B1AE2">
        <w:rPr>
          <w:rFonts w:ascii="Arial" w:hAnsi="Arial" w:cs="Arial"/>
          <w:bCs/>
          <w:iCs/>
        </w:rPr>
        <w:t xml:space="preserve">información relacionada con el protocolo UDP </w:t>
      </w:r>
      <w:r>
        <w:rPr>
          <w:rFonts w:ascii="Arial" w:hAnsi="Arial" w:cs="Arial"/>
          <w:bCs/>
          <w:iCs/>
        </w:rPr>
        <w:t>y</w:t>
      </w:r>
      <w:r w:rsidRPr="004B1AE2">
        <w:rPr>
          <w:rFonts w:ascii="Arial" w:hAnsi="Arial" w:cs="Arial"/>
          <w:bCs/>
          <w:iCs/>
        </w:rPr>
        <w:t xml:space="preserve"> la red</w:t>
      </w:r>
      <w:r>
        <w:rPr>
          <w:rFonts w:ascii="Arial" w:hAnsi="Arial" w:cs="Arial"/>
          <w:bCs/>
          <w:iCs/>
        </w:rPr>
        <w:t xml:space="preserve"> configurada</w:t>
      </w:r>
      <w:r w:rsidRPr="004B1AE2">
        <w:rPr>
          <w:rFonts w:ascii="Arial" w:hAnsi="Arial" w:cs="Arial"/>
          <w:bCs/>
          <w:iCs/>
        </w:rPr>
        <w:t xml:space="preserve">, </w:t>
      </w:r>
      <w:r>
        <w:rPr>
          <w:rFonts w:ascii="Arial" w:hAnsi="Arial" w:cs="Arial"/>
          <w:bCs/>
          <w:iCs/>
        </w:rPr>
        <w:t xml:space="preserve">tal como se exhibe </w:t>
      </w:r>
      <w:r w:rsidRPr="004B1AE2">
        <w:rPr>
          <w:rFonts w:ascii="Arial" w:hAnsi="Arial" w:cs="Arial"/>
          <w:bCs/>
          <w:iCs/>
        </w:rPr>
        <w:t xml:space="preserve">en la </w:t>
      </w:r>
      <w:r>
        <w:rPr>
          <w:rFonts w:ascii="Arial" w:hAnsi="Arial" w:cs="Arial"/>
          <w:bCs/>
          <w:iCs/>
        </w:rPr>
        <w:t xml:space="preserve">Figura 6. Aquí aparece que </w:t>
      </w:r>
      <w:r w:rsidRPr="004B1AE2">
        <w:rPr>
          <w:rFonts w:ascii="Arial" w:hAnsi="Arial" w:cs="Arial"/>
          <w:bCs/>
          <w:iCs/>
        </w:rPr>
        <w:t xml:space="preserve">el canal es el </w:t>
      </w:r>
      <w:r>
        <w:rPr>
          <w:rFonts w:ascii="Arial" w:hAnsi="Arial" w:cs="Arial"/>
          <w:bCs/>
          <w:iCs/>
        </w:rPr>
        <w:t>“</w:t>
      </w:r>
      <w:r w:rsidRPr="004B1AE2">
        <w:rPr>
          <w:rFonts w:ascii="Arial" w:hAnsi="Arial" w:cs="Arial"/>
          <w:bCs/>
          <w:iCs/>
        </w:rPr>
        <w:t>1</w:t>
      </w:r>
      <w:r>
        <w:rPr>
          <w:rFonts w:ascii="Arial" w:hAnsi="Arial" w:cs="Arial"/>
          <w:bCs/>
          <w:iCs/>
        </w:rPr>
        <w:t>”</w:t>
      </w:r>
      <w:r w:rsidRPr="004B1AE2">
        <w:rPr>
          <w:rFonts w:ascii="Arial" w:hAnsi="Arial" w:cs="Arial"/>
          <w:bCs/>
          <w:iCs/>
        </w:rPr>
        <w:t xml:space="preserve">, la dirección IP desde donde </w:t>
      </w:r>
      <w:r>
        <w:rPr>
          <w:rFonts w:ascii="Arial" w:hAnsi="Arial" w:cs="Arial"/>
          <w:bCs/>
          <w:iCs/>
        </w:rPr>
        <w:t>se transmite</w:t>
      </w:r>
      <w:r w:rsidRPr="004B1AE2">
        <w:rPr>
          <w:rFonts w:ascii="Arial" w:hAnsi="Arial" w:cs="Arial"/>
          <w:bCs/>
          <w:iCs/>
        </w:rPr>
        <w:t xml:space="preserve"> la información es </w:t>
      </w:r>
      <w:r>
        <w:rPr>
          <w:rFonts w:ascii="Arial" w:hAnsi="Arial" w:cs="Arial"/>
          <w:bCs/>
          <w:iCs/>
        </w:rPr>
        <w:t xml:space="preserve">la </w:t>
      </w:r>
      <w:r w:rsidRPr="004B1AE2">
        <w:rPr>
          <w:rFonts w:ascii="Arial" w:hAnsi="Arial" w:cs="Arial"/>
          <w:bCs/>
          <w:iCs/>
        </w:rPr>
        <w:t xml:space="preserve">10.28.1.174, la dirección IP del dispositivo de destino es </w:t>
      </w:r>
      <w:r>
        <w:rPr>
          <w:rFonts w:ascii="Arial" w:hAnsi="Arial" w:cs="Arial"/>
          <w:bCs/>
          <w:iCs/>
        </w:rPr>
        <w:t xml:space="preserve">la </w:t>
      </w:r>
      <w:r w:rsidRPr="004B1AE2">
        <w:rPr>
          <w:rFonts w:ascii="Arial" w:hAnsi="Arial" w:cs="Arial"/>
          <w:bCs/>
          <w:iCs/>
        </w:rPr>
        <w:t>10.28.1.192 y la longitud de la cadena de datos.</w:t>
      </w:r>
    </w:p>
    <w:p w:rsidR="00186522" w:rsidRDefault="00186522" w:rsidP="00186522">
      <w:pPr>
        <w:spacing w:before="240" w:after="240"/>
        <w:jc w:val="center"/>
        <w:rPr>
          <w:noProof/>
          <w:lang w:eastAsia="es-ES"/>
        </w:rPr>
      </w:pPr>
      <w:r w:rsidRPr="008D1E4A">
        <w:rPr>
          <w:noProof/>
          <w:lang w:val="en-US"/>
        </w:rPr>
        <w:drawing>
          <wp:inline distT="0" distB="0" distL="0" distR="0" wp14:anchorId="0310235D" wp14:editId="1D2946B5">
            <wp:extent cx="6316843" cy="2886075"/>
            <wp:effectExtent l="0" t="0" r="8255" b="0"/>
            <wp:docPr id="2026623681" name="Imagen 202662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rotWithShape="1">
                    <a:blip r:embed="rId1136">
                      <a:extLst>
                        <a:ext uri="{28A0092B-C50C-407E-A947-70E740481C1C}">
                          <a14:useLocalDpi xmlns:a14="http://schemas.microsoft.com/office/drawing/2010/main" val="0"/>
                        </a:ext>
                      </a:extLst>
                    </a:blip>
                    <a:srcRect l="21211" t="27951" r="6998" b="13545"/>
                    <a:stretch/>
                  </pic:blipFill>
                  <pic:spPr bwMode="auto">
                    <a:xfrm>
                      <a:off x="0" y="0"/>
                      <a:ext cx="6332520" cy="2893238"/>
                    </a:xfrm>
                    <a:prstGeom prst="rect">
                      <a:avLst/>
                    </a:prstGeom>
                    <a:noFill/>
                    <a:ln>
                      <a:noFill/>
                    </a:ln>
                    <a:extLst>
                      <a:ext uri="{53640926-AAD7-44D8-BBD7-CCE9431645EC}">
                        <a14:shadowObscured xmlns:a14="http://schemas.microsoft.com/office/drawing/2010/main"/>
                      </a:ext>
                    </a:extLst>
                  </pic:spPr>
                </pic:pic>
              </a:graphicData>
            </a:graphic>
          </wp:inline>
        </w:drawing>
      </w:r>
    </w:p>
    <w:p w:rsidR="00186522" w:rsidRPr="00A46573" w:rsidRDefault="00186522" w:rsidP="00186522">
      <w:pPr>
        <w:pStyle w:val="Descripcin"/>
        <w:jc w:val="center"/>
        <w:rPr>
          <w:rFonts w:ascii="Arial" w:hAnsi="Arial" w:cs="Arial"/>
          <w:sz w:val="20"/>
          <w:szCs w:val="20"/>
        </w:rPr>
      </w:pPr>
      <w:r>
        <w:rPr>
          <w:rFonts w:ascii="Arial" w:hAnsi="Arial" w:cs="Arial"/>
          <w:sz w:val="20"/>
          <w:szCs w:val="20"/>
        </w:rPr>
        <w:t>Figura</w:t>
      </w:r>
      <w:r w:rsidRPr="00215178">
        <w:rPr>
          <w:rFonts w:ascii="Arial" w:hAnsi="Arial" w:cs="Arial"/>
          <w:sz w:val="20"/>
          <w:szCs w:val="20"/>
        </w:rPr>
        <w:t xml:space="preserve"> </w:t>
      </w:r>
      <w:r>
        <w:rPr>
          <w:rFonts w:ascii="Arial" w:hAnsi="Arial" w:cs="Arial"/>
          <w:sz w:val="20"/>
          <w:szCs w:val="20"/>
        </w:rPr>
        <w:t>6</w:t>
      </w:r>
      <w:r w:rsidRPr="00215178">
        <w:rPr>
          <w:rFonts w:ascii="Arial" w:hAnsi="Arial" w:cs="Arial"/>
          <w:sz w:val="20"/>
          <w:szCs w:val="20"/>
        </w:rPr>
        <w:t>.</w:t>
      </w:r>
      <w:r w:rsidRPr="00296222">
        <w:rPr>
          <w:rFonts w:ascii="Arial" w:hAnsi="Arial" w:cs="Arial"/>
          <w:sz w:val="20"/>
          <w:szCs w:val="20"/>
        </w:rPr>
        <w:t xml:space="preserve"> </w:t>
      </w:r>
      <w:r>
        <w:rPr>
          <w:rFonts w:ascii="Arial" w:hAnsi="Arial" w:cs="Arial"/>
          <w:sz w:val="20"/>
          <w:szCs w:val="20"/>
        </w:rPr>
        <w:t>Ejecución</w:t>
      </w:r>
      <w:r w:rsidRPr="00A46573">
        <w:rPr>
          <w:rFonts w:ascii="Arial" w:hAnsi="Arial" w:cs="Arial"/>
          <w:sz w:val="20"/>
          <w:szCs w:val="20"/>
        </w:rPr>
        <w:t xml:space="preserve"> </w:t>
      </w:r>
      <w:r>
        <w:rPr>
          <w:rFonts w:ascii="Arial" w:hAnsi="Arial" w:cs="Arial"/>
          <w:sz w:val="20"/>
          <w:szCs w:val="20"/>
        </w:rPr>
        <w:t>d</w:t>
      </w:r>
      <w:r w:rsidRPr="00A46573">
        <w:rPr>
          <w:rFonts w:ascii="Arial" w:hAnsi="Arial" w:cs="Arial"/>
          <w:sz w:val="20"/>
          <w:szCs w:val="20"/>
        </w:rPr>
        <w:t xml:space="preserve">el algoritmo </w:t>
      </w:r>
      <w:r>
        <w:rPr>
          <w:rFonts w:ascii="Arial" w:hAnsi="Arial" w:cs="Arial"/>
          <w:sz w:val="20"/>
          <w:szCs w:val="20"/>
        </w:rPr>
        <w:t xml:space="preserve">en </w:t>
      </w:r>
      <w:r w:rsidRPr="00A46573">
        <w:rPr>
          <w:rFonts w:ascii="Arial" w:hAnsi="Arial" w:cs="Arial"/>
          <w:sz w:val="20"/>
          <w:szCs w:val="20"/>
        </w:rPr>
        <w:t>el ESP32.</w:t>
      </w:r>
    </w:p>
    <w:p w:rsidR="00186522" w:rsidRDefault="00186522" w:rsidP="00186522">
      <w:pPr>
        <w:ind w:firstLine="708"/>
        <w:jc w:val="both"/>
        <w:rPr>
          <w:rFonts w:ascii="Arial" w:hAnsi="Arial" w:cs="Arial"/>
          <w:bCs/>
          <w:iCs/>
        </w:rPr>
      </w:pPr>
      <w:r>
        <w:rPr>
          <w:rFonts w:ascii="Arial" w:hAnsi="Arial" w:cs="Arial"/>
          <w:bCs/>
          <w:iCs/>
        </w:rPr>
        <w:t xml:space="preserve">Los paquetes que se </w:t>
      </w:r>
      <w:r w:rsidRPr="007E349F">
        <w:rPr>
          <w:rFonts w:ascii="Arial" w:hAnsi="Arial" w:cs="Arial"/>
          <w:bCs/>
          <w:iCs/>
        </w:rPr>
        <w:t>transmiten entre la Raspberry, el router y el microcontrolador se</w:t>
      </w:r>
      <w:r w:rsidRPr="00A46573">
        <w:rPr>
          <w:rFonts w:ascii="Arial" w:hAnsi="Arial" w:cs="Arial"/>
          <w:bCs/>
          <w:iCs/>
        </w:rPr>
        <w:t xml:space="preserve"> </w:t>
      </w:r>
      <w:r>
        <w:rPr>
          <w:rFonts w:ascii="Arial" w:hAnsi="Arial" w:cs="Arial"/>
          <w:bCs/>
          <w:iCs/>
        </w:rPr>
        <w:t xml:space="preserve">pueden visualizar </w:t>
      </w:r>
      <w:r w:rsidRPr="00A46573">
        <w:rPr>
          <w:rFonts w:ascii="Arial" w:hAnsi="Arial" w:cs="Arial"/>
          <w:bCs/>
          <w:iCs/>
        </w:rPr>
        <w:t>usa</w:t>
      </w:r>
      <w:r>
        <w:rPr>
          <w:rFonts w:ascii="Arial" w:hAnsi="Arial" w:cs="Arial"/>
          <w:bCs/>
          <w:iCs/>
        </w:rPr>
        <w:t>ndo un analizador de protocolos como</w:t>
      </w:r>
      <w:r w:rsidRPr="00A46573">
        <w:rPr>
          <w:rFonts w:ascii="Arial" w:hAnsi="Arial" w:cs="Arial"/>
          <w:bCs/>
          <w:iCs/>
        </w:rPr>
        <w:t xml:space="preserve"> </w:t>
      </w:r>
      <w:r>
        <w:rPr>
          <w:rFonts w:ascii="Arial" w:hAnsi="Arial" w:cs="Arial"/>
          <w:bCs/>
          <w:iCs/>
        </w:rPr>
        <w:t>lo es</w:t>
      </w:r>
      <w:r w:rsidRPr="00A46573">
        <w:rPr>
          <w:rFonts w:ascii="Arial" w:hAnsi="Arial" w:cs="Arial"/>
          <w:bCs/>
          <w:iCs/>
        </w:rPr>
        <w:t xml:space="preserve"> </w:t>
      </w:r>
      <w:r w:rsidRPr="000F3C6E">
        <w:rPr>
          <w:rFonts w:ascii="Arial" w:hAnsi="Arial" w:cs="Arial"/>
          <w:bCs/>
          <w:i/>
        </w:rPr>
        <w:t>Wireshark</w:t>
      </w:r>
      <w:r w:rsidRPr="00A46573">
        <w:rPr>
          <w:rFonts w:ascii="Arial" w:hAnsi="Arial" w:cs="Arial"/>
          <w:bCs/>
          <w:iCs/>
        </w:rPr>
        <w:t xml:space="preserve"> </w:t>
      </w:r>
      <w:r>
        <w:rPr>
          <w:rFonts w:ascii="Arial" w:hAnsi="Arial" w:cs="Arial"/>
          <w:bCs/>
          <w:iCs/>
        </w:rPr>
        <w:t>que</w:t>
      </w:r>
      <w:r w:rsidRPr="00A46573">
        <w:rPr>
          <w:rFonts w:ascii="Arial" w:hAnsi="Arial" w:cs="Arial"/>
          <w:bCs/>
          <w:iCs/>
        </w:rPr>
        <w:t xml:space="preserve"> captura los datos que están presente en la red, </w:t>
      </w:r>
      <w:r>
        <w:rPr>
          <w:rFonts w:ascii="Arial" w:hAnsi="Arial" w:cs="Arial"/>
          <w:bCs/>
          <w:iCs/>
        </w:rPr>
        <w:t xml:space="preserve">como las direcciones de fuente, de destino y </w:t>
      </w:r>
      <w:r w:rsidRPr="00A46573">
        <w:rPr>
          <w:rFonts w:ascii="Arial" w:hAnsi="Arial" w:cs="Arial"/>
          <w:bCs/>
          <w:iCs/>
        </w:rPr>
        <w:t>el protocolo u</w:t>
      </w:r>
      <w:r>
        <w:rPr>
          <w:rFonts w:ascii="Arial" w:hAnsi="Arial" w:cs="Arial"/>
          <w:bCs/>
          <w:iCs/>
        </w:rPr>
        <w:t>tiliz</w:t>
      </w:r>
      <w:r w:rsidRPr="00A46573">
        <w:rPr>
          <w:rFonts w:ascii="Arial" w:hAnsi="Arial" w:cs="Arial"/>
          <w:bCs/>
          <w:iCs/>
        </w:rPr>
        <w:t>ado</w:t>
      </w:r>
      <w:r w:rsidRPr="007E349F">
        <w:rPr>
          <w:rFonts w:ascii="Arial" w:hAnsi="Arial" w:cs="Arial"/>
          <w:bCs/>
          <w:iCs/>
        </w:rPr>
        <w:t>. La Figura 7 muestra la captura de datos en el WAP donde se observa la comunicación con el router. En la Figura 8 se observa la comunicación entre el ESP32 (identificado como Espressi_b5:40:e0 que</w:t>
      </w:r>
      <w:r>
        <w:rPr>
          <w:rFonts w:ascii="Arial" w:hAnsi="Arial" w:cs="Arial"/>
          <w:bCs/>
          <w:iCs/>
        </w:rPr>
        <w:t xml:space="preserve"> es la dirección Ethernet) y la Raspberry.</w:t>
      </w:r>
    </w:p>
    <w:p w:rsidR="00186522" w:rsidRDefault="00186522" w:rsidP="00186522">
      <w:pPr>
        <w:spacing w:before="240"/>
        <w:jc w:val="center"/>
        <w:rPr>
          <w:noProof/>
          <w:lang w:eastAsia="es-ES"/>
        </w:rPr>
      </w:pPr>
      <w:r w:rsidRPr="008D1E4A">
        <w:rPr>
          <w:noProof/>
          <w:lang w:val="en-US"/>
        </w:rPr>
        <w:lastRenderedPageBreak/>
        <w:drawing>
          <wp:inline distT="0" distB="0" distL="0" distR="0" wp14:anchorId="538A4FC4" wp14:editId="7C230404">
            <wp:extent cx="5343525" cy="2540900"/>
            <wp:effectExtent l="0" t="0" r="0" b="0"/>
            <wp:docPr id="2026623682" name="Imagen 202662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137" cstate="print">
                      <a:extLst>
                        <a:ext uri="{28A0092B-C50C-407E-A947-70E740481C1C}">
                          <a14:useLocalDpi xmlns:a14="http://schemas.microsoft.com/office/drawing/2010/main" val="0"/>
                        </a:ext>
                      </a:extLst>
                    </a:blip>
                    <a:srcRect b="15660"/>
                    <a:stretch>
                      <a:fillRect/>
                    </a:stretch>
                  </pic:blipFill>
                  <pic:spPr bwMode="auto">
                    <a:xfrm>
                      <a:off x="0" y="0"/>
                      <a:ext cx="5364580" cy="2550912"/>
                    </a:xfrm>
                    <a:prstGeom prst="rect">
                      <a:avLst/>
                    </a:prstGeom>
                    <a:noFill/>
                    <a:ln>
                      <a:noFill/>
                    </a:ln>
                  </pic:spPr>
                </pic:pic>
              </a:graphicData>
            </a:graphic>
          </wp:inline>
        </w:drawing>
      </w:r>
    </w:p>
    <w:p w:rsidR="00186522" w:rsidRDefault="00186522" w:rsidP="00186522">
      <w:pPr>
        <w:pStyle w:val="Descripcin"/>
        <w:jc w:val="center"/>
        <w:rPr>
          <w:rFonts w:ascii="Arial" w:hAnsi="Arial" w:cs="Arial"/>
          <w:sz w:val="20"/>
          <w:szCs w:val="20"/>
        </w:rPr>
      </w:pPr>
      <w:r>
        <w:rPr>
          <w:rFonts w:ascii="Arial" w:hAnsi="Arial" w:cs="Arial"/>
          <w:sz w:val="20"/>
          <w:szCs w:val="20"/>
        </w:rPr>
        <w:t>Figura</w:t>
      </w:r>
      <w:r w:rsidRPr="00215178">
        <w:rPr>
          <w:rFonts w:ascii="Arial" w:hAnsi="Arial" w:cs="Arial"/>
          <w:sz w:val="20"/>
          <w:szCs w:val="20"/>
        </w:rPr>
        <w:t xml:space="preserve"> </w:t>
      </w:r>
      <w:r>
        <w:rPr>
          <w:rFonts w:ascii="Arial" w:hAnsi="Arial" w:cs="Arial"/>
          <w:sz w:val="20"/>
          <w:szCs w:val="20"/>
        </w:rPr>
        <w:t>7</w:t>
      </w:r>
      <w:r w:rsidRPr="00215178">
        <w:rPr>
          <w:rFonts w:ascii="Arial" w:hAnsi="Arial" w:cs="Arial"/>
          <w:sz w:val="20"/>
          <w:szCs w:val="20"/>
        </w:rPr>
        <w:t>.</w:t>
      </w:r>
      <w:r w:rsidRPr="00296222">
        <w:rPr>
          <w:rFonts w:ascii="Arial" w:hAnsi="Arial" w:cs="Arial"/>
          <w:sz w:val="20"/>
          <w:szCs w:val="20"/>
        </w:rPr>
        <w:t xml:space="preserve"> </w:t>
      </w:r>
      <w:r w:rsidRPr="00215178">
        <w:rPr>
          <w:rFonts w:ascii="Arial" w:hAnsi="Arial" w:cs="Arial"/>
          <w:sz w:val="20"/>
          <w:szCs w:val="20"/>
        </w:rPr>
        <w:t xml:space="preserve">Datos </w:t>
      </w:r>
      <w:r>
        <w:rPr>
          <w:rFonts w:ascii="Arial" w:hAnsi="Arial" w:cs="Arial"/>
          <w:sz w:val="20"/>
          <w:szCs w:val="20"/>
        </w:rPr>
        <w:t>capturados</w:t>
      </w:r>
      <w:r w:rsidRPr="00215178">
        <w:rPr>
          <w:rFonts w:ascii="Arial" w:hAnsi="Arial" w:cs="Arial"/>
          <w:sz w:val="20"/>
          <w:szCs w:val="20"/>
        </w:rPr>
        <w:t xml:space="preserve"> </w:t>
      </w:r>
      <w:r>
        <w:rPr>
          <w:rFonts w:ascii="Arial" w:hAnsi="Arial" w:cs="Arial"/>
          <w:sz w:val="20"/>
          <w:szCs w:val="20"/>
        </w:rPr>
        <w:t>en la Raspberry</w:t>
      </w:r>
      <w:r w:rsidRPr="00A46573">
        <w:rPr>
          <w:rFonts w:ascii="Arial" w:hAnsi="Arial" w:cs="Arial"/>
          <w:sz w:val="20"/>
          <w:szCs w:val="20"/>
        </w:rPr>
        <w:t>.</w:t>
      </w:r>
    </w:p>
    <w:p w:rsidR="00186522" w:rsidRDefault="00186522" w:rsidP="00186522">
      <w:pPr>
        <w:pStyle w:val="Descripcin"/>
        <w:jc w:val="center"/>
        <w:rPr>
          <w:rFonts w:ascii="Arial" w:hAnsi="Arial" w:cs="Arial"/>
          <w:sz w:val="20"/>
          <w:szCs w:val="20"/>
        </w:rPr>
      </w:pPr>
      <w:r>
        <w:rPr>
          <w:noProof/>
          <w:lang w:val="en-US"/>
        </w:rPr>
        <w:drawing>
          <wp:inline distT="0" distB="0" distL="0" distR="0" wp14:anchorId="665E0A48" wp14:editId="40BD5DAC">
            <wp:extent cx="5400040" cy="3036071"/>
            <wp:effectExtent l="0" t="0" r="0" b="0"/>
            <wp:docPr id="2026623683" name="Imagen 202662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8"/>
                    <a:stretch>
                      <a:fillRect/>
                    </a:stretch>
                  </pic:blipFill>
                  <pic:spPr>
                    <a:xfrm>
                      <a:off x="0" y="0"/>
                      <a:ext cx="5400040" cy="3036071"/>
                    </a:xfrm>
                    <a:prstGeom prst="rect">
                      <a:avLst/>
                    </a:prstGeom>
                  </pic:spPr>
                </pic:pic>
              </a:graphicData>
            </a:graphic>
          </wp:inline>
        </w:drawing>
      </w:r>
    </w:p>
    <w:p w:rsidR="00186522" w:rsidRDefault="00186522" w:rsidP="00186522">
      <w:pPr>
        <w:pStyle w:val="Descripcin"/>
        <w:jc w:val="center"/>
        <w:rPr>
          <w:rFonts w:ascii="Arial" w:hAnsi="Arial" w:cs="Arial"/>
          <w:sz w:val="20"/>
          <w:szCs w:val="20"/>
        </w:rPr>
      </w:pPr>
      <w:r>
        <w:rPr>
          <w:rFonts w:ascii="Arial" w:hAnsi="Arial" w:cs="Arial"/>
          <w:sz w:val="20"/>
          <w:szCs w:val="20"/>
        </w:rPr>
        <w:t>Figura</w:t>
      </w:r>
      <w:r w:rsidRPr="00215178">
        <w:rPr>
          <w:rFonts w:ascii="Arial" w:hAnsi="Arial" w:cs="Arial"/>
          <w:sz w:val="20"/>
          <w:szCs w:val="20"/>
        </w:rPr>
        <w:t xml:space="preserve"> </w:t>
      </w:r>
      <w:r>
        <w:rPr>
          <w:rFonts w:ascii="Arial" w:hAnsi="Arial" w:cs="Arial"/>
          <w:sz w:val="20"/>
          <w:szCs w:val="20"/>
        </w:rPr>
        <w:t>8</w:t>
      </w:r>
      <w:r w:rsidRPr="00215178">
        <w:rPr>
          <w:rFonts w:ascii="Arial" w:hAnsi="Arial" w:cs="Arial"/>
          <w:sz w:val="20"/>
          <w:szCs w:val="20"/>
        </w:rPr>
        <w:t>.</w:t>
      </w:r>
      <w:r w:rsidRPr="00296222">
        <w:rPr>
          <w:rFonts w:ascii="Arial" w:hAnsi="Arial" w:cs="Arial"/>
          <w:sz w:val="20"/>
          <w:szCs w:val="20"/>
        </w:rPr>
        <w:t xml:space="preserve"> </w:t>
      </w:r>
      <w:r w:rsidRPr="00215178">
        <w:rPr>
          <w:rFonts w:ascii="Arial" w:hAnsi="Arial" w:cs="Arial"/>
          <w:sz w:val="20"/>
          <w:szCs w:val="20"/>
        </w:rPr>
        <w:t xml:space="preserve">Datos </w:t>
      </w:r>
      <w:r>
        <w:rPr>
          <w:rFonts w:ascii="Arial" w:hAnsi="Arial" w:cs="Arial"/>
          <w:sz w:val="20"/>
          <w:szCs w:val="20"/>
        </w:rPr>
        <w:t>capturados</w:t>
      </w:r>
      <w:r w:rsidRPr="00215178">
        <w:rPr>
          <w:rFonts w:ascii="Arial" w:hAnsi="Arial" w:cs="Arial"/>
          <w:sz w:val="20"/>
          <w:szCs w:val="20"/>
        </w:rPr>
        <w:t xml:space="preserve"> </w:t>
      </w:r>
      <w:r>
        <w:rPr>
          <w:rFonts w:ascii="Arial" w:hAnsi="Arial" w:cs="Arial"/>
          <w:sz w:val="20"/>
          <w:szCs w:val="20"/>
        </w:rPr>
        <w:t>en el ESP32</w:t>
      </w:r>
      <w:r w:rsidRPr="00A46573">
        <w:rPr>
          <w:rFonts w:ascii="Arial" w:hAnsi="Arial" w:cs="Arial"/>
          <w:sz w:val="20"/>
          <w:szCs w:val="20"/>
        </w:rPr>
        <w:t>.</w:t>
      </w:r>
    </w:p>
    <w:p w:rsidR="00186522" w:rsidRDefault="00186522" w:rsidP="00186522">
      <w:pPr>
        <w:ind w:firstLine="708"/>
        <w:jc w:val="both"/>
        <w:rPr>
          <w:rFonts w:ascii="Arial" w:hAnsi="Arial" w:cs="Arial"/>
          <w:bCs/>
          <w:iCs/>
        </w:rPr>
      </w:pPr>
      <w:r w:rsidRPr="00215178">
        <w:rPr>
          <w:rFonts w:ascii="Arial" w:hAnsi="Arial" w:cs="Arial"/>
          <w:bCs/>
          <w:iCs/>
        </w:rPr>
        <w:t xml:space="preserve">Finalmente, la información </w:t>
      </w:r>
      <w:r>
        <w:rPr>
          <w:rFonts w:ascii="Arial" w:hAnsi="Arial" w:cs="Arial"/>
          <w:bCs/>
          <w:iCs/>
        </w:rPr>
        <w:t xml:space="preserve">de la velocidad angular promedio </w:t>
      </w:r>
      <w:r w:rsidRPr="00215178">
        <w:rPr>
          <w:rFonts w:ascii="Arial" w:hAnsi="Arial" w:cs="Arial"/>
          <w:bCs/>
          <w:iCs/>
        </w:rPr>
        <w:t xml:space="preserve">es alojada en </w:t>
      </w:r>
      <w:r>
        <w:rPr>
          <w:rFonts w:ascii="Arial" w:hAnsi="Arial" w:cs="Arial"/>
          <w:bCs/>
          <w:iCs/>
        </w:rPr>
        <w:t>la nube a través d</w:t>
      </w:r>
      <w:r w:rsidRPr="00215178">
        <w:rPr>
          <w:rFonts w:ascii="Arial" w:hAnsi="Arial" w:cs="Arial"/>
          <w:bCs/>
          <w:iCs/>
        </w:rPr>
        <w:t xml:space="preserve">el servidor dispuesto en </w:t>
      </w:r>
      <w:r w:rsidRPr="00AD6401">
        <w:rPr>
          <w:rFonts w:ascii="Arial" w:hAnsi="Arial" w:cs="Arial"/>
          <w:bCs/>
          <w:i/>
        </w:rPr>
        <w:t>ThingSpeak</w:t>
      </w:r>
      <w:r w:rsidRPr="00215178">
        <w:rPr>
          <w:rFonts w:ascii="Arial" w:hAnsi="Arial" w:cs="Arial"/>
          <w:bCs/>
          <w:iCs/>
        </w:rPr>
        <w:t xml:space="preserve">, tal como se </w:t>
      </w:r>
      <w:r>
        <w:rPr>
          <w:rFonts w:ascii="Arial" w:hAnsi="Arial" w:cs="Arial"/>
          <w:bCs/>
          <w:iCs/>
        </w:rPr>
        <w:t>presenta</w:t>
      </w:r>
      <w:r w:rsidRPr="00215178">
        <w:rPr>
          <w:rFonts w:ascii="Arial" w:hAnsi="Arial" w:cs="Arial"/>
          <w:bCs/>
          <w:iCs/>
        </w:rPr>
        <w:t xml:space="preserve"> en la </w:t>
      </w:r>
      <w:r>
        <w:rPr>
          <w:rFonts w:ascii="Arial" w:hAnsi="Arial" w:cs="Arial"/>
          <w:bCs/>
          <w:iCs/>
        </w:rPr>
        <w:t>Figura</w:t>
      </w:r>
      <w:r w:rsidRPr="00215178">
        <w:rPr>
          <w:rFonts w:ascii="Arial" w:hAnsi="Arial" w:cs="Arial"/>
          <w:bCs/>
          <w:iCs/>
        </w:rPr>
        <w:t xml:space="preserve"> </w:t>
      </w:r>
      <w:r>
        <w:rPr>
          <w:rFonts w:ascii="Arial" w:hAnsi="Arial" w:cs="Arial"/>
          <w:bCs/>
          <w:iCs/>
        </w:rPr>
        <w:t>9</w:t>
      </w:r>
      <w:r w:rsidRPr="00215178">
        <w:rPr>
          <w:rFonts w:ascii="Arial" w:hAnsi="Arial" w:cs="Arial"/>
          <w:bCs/>
          <w:iCs/>
        </w:rPr>
        <w:t>.</w:t>
      </w:r>
    </w:p>
    <w:p w:rsidR="00186522" w:rsidRDefault="00186522" w:rsidP="00186522">
      <w:pPr>
        <w:spacing w:before="240" w:after="240"/>
        <w:ind w:firstLine="708"/>
        <w:jc w:val="center"/>
        <w:rPr>
          <w:noProof/>
          <w:lang w:eastAsia="es-ES"/>
        </w:rPr>
      </w:pPr>
      <w:r w:rsidRPr="008D1E4A">
        <w:rPr>
          <w:noProof/>
          <w:lang w:val="en-US"/>
        </w:rPr>
        <w:lastRenderedPageBreak/>
        <w:drawing>
          <wp:inline distT="0" distB="0" distL="0" distR="0" wp14:anchorId="3BBF7071" wp14:editId="3A497A8A">
            <wp:extent cx="5997393" cy="2962275"/>
            <wp:effectExtent l="0" t="0" r="3810" b="0"/>
            <wp:docPr id="2026623684" name="Imagen 202662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139" cstate="print">
                      <a:extLst>
                        <a:ext uri="{28A0092B-C50C-407E-A947-70E740481C1C}">
                          <a14:useLocalDpi xmlns:a14="http://schemas.microsoft.com/office/drawing/2010/main" val="0"/>
                        </a:ext>
                      </a:extLst>
                    </a:blip>
                    <a:srcRect t="8470" r="1059" b="4373"/>
                    <a:stretch>
                      <a:fillRect/>
                    </a:stretch>
                  </pic:blipFill>
                  <pic:spPr bwMode="auto">
                    <a:xfrm>
                      <a:off x="0" y="0"/>
                      <a:ext cx="6009855" cy="2968430"/>
                    </a:xfrm>
                    <a:prstGeom prst="rect">
                      <a:avLst/>
                    </a:prstGeom>
                    <a:noFill/>
                    <a:ln>
                      <a:noFill/>
                    </a:ln>
                  </pic:spPr>
                </pic:pic>
              </a:graphicData>
            </a:graphic>
          </wp:inline>
        </w:drawing>
      </w:r>
    </w:p>
    <w:p w:rsidR="00186522" w:rsidRDefault="00186522" w:rsidP="00186522">
      <w:pPr>
        <w:pStyle w:val="Descripcin"/>
        <w:jc w:val="center"/>
        <w:rPr>
          <w:rFonts w:ascii="Arial" w:hAnsi="Arial" w:cs="Arial"/>
          <w:sz w:val="20"/>
          <w:szCs w:val="20"/>
        </w:rPr>
      </w:pPr>
      <w:r>
        <w:rPr>
          <w:rFonts w:ascii="Arial" w:hAnsi="Arial" w:cs="Arial"/>
          <w:sz w:val="20"/>
          <w:szCs w:val="20"/>
        </w:rPr>
        <w:t>Figura</w:t>
      </w:r>
      <w:r w:rsidRPr="00215178">
        <w:rPr>
          <w:rFonts w:ascii="Arial" w:hAnsi="Arial" w:cs="Arial"/>
          <w:sz w:val="20"/>
          <w:szCs w:val="20"/>
        </w:rPr>
        <w:t xml:space="preserve"> </w:t>
      </w:r>
      <w:r>
        <w:rPr>
          <w:rFonts w:ascii="Arial" w:hAnsi="Arial" w:cs="Arial"/>
          <w:sz w:val="20"/>
          <w:szCs w:val="20"/>
        </w:rPr>
        <w:t>9</w:t>
      </w:r>
      <w:r w:rsidRPr="00215178">
        <w:rPr>
          <w:rFonts w:ascii="Arial" w:hAnsi="Arial" w:cs="Arial"/>
          <w:sz w:val="20"/>
          <w:szCs w:val="20"/>
        </w:rPr>
        <w:t>.</w:t>
      </w:r>
      <w:r w:rsidRPr="00296222">
        <w:rPr>
          <w:rFonts w:ascii="Arial" w:hAnsi="Arial" w:cs="Arial"/>
          <w:sz w:val="20"/>
          <w:szCs w:val="20"/>
        </w:rPr>
        <w:t xml:space="preserve"> </w:t>
      </w:r>
      <w:r w:rsidRPr="00AD6401">
        <w:rPr>
          <w:rFonts w:ascii="Arial" w:hAnsi="Arial" w:cs="Arial"/>
          <w:sz w:val="20"/>
          <w:szCs w:val="20"/>
        </w:rPr>
        <w:t xml:space="preserve">Velocidad angular promedio </w:t>
      </w:r>
      <w:r>
        <w:rPr>
          <w:rFonts w:ascii="Arial" w:hAnsi="Arial" w:cs="Arial"/>
          <w:sz w:val="20"/>
          <w:szCs w:val="20"/>
        </w:rPr>
        <w:t>alojada en el s</w:t>
      </w:r>
      <w:r w:rsidRPr="00AD6401">
        <w:rPr>
          <w:rFonts w:ascii="Arial" w:hAnsi="Arial" w:cs="Arial"/>
          <w:sz w:val="20"/>
          <w:szCs w:val="20"/>
        </w:rPr>
        <w:t>ervidor de ThingSpeak</w:t>
      </w:r>
      <w:r w:rsidRPr="00A46573">
        <w:rPr>
          <w:rFonts w:ascii="Arial" w:hAnsi="Arial" w:cs="Arial"/>
          <w:sz w:val="20"/>
          <w:szCs w:val="20"/>
        </w:rPr>
        <w:t>.</w:t>
      </w:r>
    </w:p>
    <w:p w:rsidR="00186522" w:rsidRPr="00215178" w:rsidRDefault="00186522" w:rsidP="00186522">
      <w:pPr>
        <w:pStyle w:val="Descripcin"/>
        <w:jc w:val="center"/>
        <w:rPr>
          <w:rFonts w:ascii="Arial" w:hAnsi="Arial" w:cs="Arial"/>
          <w:sz w:val="20"/>
          <w:szCs w:val="20"/>
        </w:rPr>
      </w:pPr>
    </w:p>
    <w:p w:rsidR="00186522" w:rsidRPr="00186522" w:rsidRDefault="00186522" w:rsidP="00186522">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270" w:name="_Toc50031343"/>
      <w:r w:rsidRPr="00186522">
        <w:rPr>
          <w:rFonts w:ascii="Arial" w:hAnsi="Arial" w:cs="Arial"/>
          <w:caps/>
          <w:sz w:val="24"/>
          <w:szCs w:val="24"/>
        </w:rPr>
        <w:t xml:space="preserve">5. </w:t>
      </w:r>
      <w:r w:rsidRPr="00186522">
        <w:rPr>
          <w:rFonts w:ascii="Arial" w:hAnsi="Arial" w:cs="Arial"/>
          <w:sz w:val="24"/>
          <w:szCs w:val="24"/>
        </w:rPr>
        <w:t>Conclusiones</w:t>
      </w:r>
      <w:bookmarkEnd w:id="270"/>
    </w:p>
    <w:p w:rsidR="00186522" w:rsidRPr="00551C15" w:rsidRDefault="00186522" w:rsidP="00186522">
      <w:pPr>
        <w:pStyle w:val="Textoindependiente"/>
        <w:ind w:firstLine="539"/>
        <w:jc w:val="both"/>
        <w:rPr>
          <w:rFonts w:ascii="Arial" w:hAnsi="Arial" w:cs="Arial"/>
          <w:b w:val="0"/>
          <w:sz w:val="24"/>
        </w:rPr>
      </w:pPr>
      <w:r w:rsidRPr="00551C15">
        <w:rPr>
          <w:rFonts w:ascii="Arial" w:hAnsi="Arial" w:cs="Arial"/>
          <w:b w:val="0"/>
          <w:sz w:val="24"/>
        </w:rPr>
        <w:t>El presente sistema de comunicación logró transmitir la información correspondiente a los movimientos del robot desde el PC al mismo robot, usando un WAP desarrollado con la Raspberry Pi 3 y un microcontrolador ESP32 ubicado en el robot. La Raspberry seleccionó desde el establecimiento de la comunicación el canal WiFi con mayor SNR, lo que conllevó a una menor pérdida de la información y mayor velocidad de transferencia frente a canales con menor SNR. Adicionalmente, en la nube se visualizó la información transmitida por el robot que fue la velocidad angular promedio con la que se desplazó el robot.</w:t>
      </w:r>
    </w:p>
    <w:p w:rsidR="00186522" w:rsidRPr="006478C3" w:rsidRDefault="00186522" w:rsidP="00186522">
      <w:pPr>
        <w:pStyle w:val="Textoindependiente"/>
        <w:ind w:firstLine="539"/>
        <w:jc w:val="both"/>
        <w:rPr>
          <w:rFonts w:ascii="Arial" w:hAnsi="Arial" w:cs="Arial"/>
          <w:b w:val="0"/>
          <w:sz w:val="24"/>
        </w:rPr>
      </w:pPr>
      <w:r w:rsidRPr="006478C3">
        <w:rPr>
          <w:rFonts w:ascii="Arial" w:hAnsi="Arial" w:cs="Arial"/>
          <w:b w:val="0"/>
          <w:sz w:val="24"/>
        </w:rPr>
        <w:t xml:space="preserve">El modelo matemático implementado para calcular la SNR en los canales WiFi, </w:t>
      </w:r>
      <w:r>
        <w:rPr>
          <w:rFonts w:ascii="Arial" w:hAnsi="Arial" w:cs="Arial"/>
          <w:b w:val="0"/>
          <w:sz w:val="24"/>
        </w:rPr>
        <w:t>aplica</w:t>
      </w:r>
      <w:r w:rsidRPr="006478C3">
        <w:rPr>
          <w:rFonts w:ascii="Arial" w:hAnsi="Arial" w:cs="Arial"/>
          <w:b w:val="0"/>
          <w:sz w:val="24"/>
        </w:rPr>
        <w:t xml:space="preserve"> los fundamentos de </w:t>
      </w:r>
      <w:r>
        <w:rPr>
          <w:rFonts w:ascii="Arial" w:hAnsi="Arial" w:cs="Arial"/>
          <w:b w:val="0"/>
          <w:sz w:val="24"/>
        </w:rPr>
        <w:t xml:space="preserve">la </w:t>
      </w:r>
      <w:r w:rsidRPr="006478C3">
        <w:rPr>
          <w:rFonts w:ascii="Arial" w:hAnsi="Arial" w:cs="Arial"/>
          <w:b w:val="0"/>
          <w:sz w:val="24"/>
        </w:rPr>
        <w:t>SDR</w:t>
      </w:r>
      <w:r>
        <w:rPr>
          <w:rFonts w:ascii="Arial" w:hAnsi="Arial" w:cs="Arial"/>
          <w:b w:val="0"/>
          <w:sz w:val="24"/>
        </w:rPr>
        <w:t>, puesto que</w:t>
      </w:r>
      <w:r w:rsidRPr="006478C3">
        <w:rPr>
          <w:rFonts w:ascii="Arial" w:hAnsi="Arial" w:cs="Arial"/>
          <w:b w:val="0"/>
          <w:sz w:val="24"/>
        </w:rPr>
        <w:t xml:space="preserve"> adapta las condiciones de hardware </w:t>
      </w:r>
      <w:r>
        <w:rPr>
          <w:rFonts w:ascii="Arial" w:hAnsi="Arial" w:cs="Arial"/>
          <w:b w:val="0"/>
          <w:sz w:val="24"/>
        </w:rPr>
        <w:t>para elegir</w:t>
      </w:r>
      <w:r w:rsidRPr="006478C3">
        <w:rPr>
          <w:rFonts w:ascii="Arial" w:hAnsi="Arial" w:cs="Arial"/>
          <w:b w:val="0"/>
          <w:sz w:val="24"/>
        </w:rPr>
        <w:t xml:space="preserve"> el canal</w:t>
      </w:r>
      <w:r>
        <w:rPr>
          <w:rFonts w:ascii="Arial" w:hAnsi="Arial" w:cs="Arial"/>
          <w:b w:val="0"/>
          <w:sz w:val="24"/>
        </w:rPr>
        <w:t xml:space="preserve"> más adecuado bajo este criterio.</w:t>
      </w:r>
    </w:p>
    <w:p w:rsidR="00186522" w:rsidRPr="006478C3" w:rsidRDefault="00186522" w:rsidP="00186522">
      <w:pPr>
        <w:pStyle w:val="Textoindependiente"/>
        <w:ind w:firstLine="539"/>
        <w:jc w:val="both"/>
        <w:rPr>
          <w:rFonts w:ascii="Arial" w:hAnsi="Arial" w:cs="Arial"/>
          <w:b w:val="0"/>
          <w:sz w:val="24"/>
        </w:rPr>
      </w:pPr>
      <w:r w:rsidRPr="0073620C">
        <w:rPr>
          <w:rFonts w:ascii="Arial" w:hAnsi="Arial" w:cs="Arial"/>
          <w:b w:val="0"/>
          <w:i/>
          <w:iCs/>
          <w:sz w:val="24"/>
        </w:rPr>
        <w:t>ThingSpeak</w:t>
      </w:r>
      <w:r w:rsidRPr="006478C3">
        <w:rPr>
          <w:rFonts w:ascii="Arial" w:hAnsi="Arial" w:cs="Arial"/>
          <w:b w:val="0"/>
          <w:sz w:val="24"/>
        </w:rPr>
        <w:t xml:space="preserve"> es una herramienta versátil para el envío de datos a la nube, permitiendo alojar una cantidad de datos considerables y mostra</w:t>
      </w:r>
      <w:r>
        <w:rPr>
          <w:rFonts w:ascii="Arial" w:hAnsi="Arial" w:cs="Arial"/>
          <w:b w:val="0"/>
          <w:sz w:val="24"/>
        </w:rPr>
        <w:t>ndo</w:t>
      </w:r>
      <w:r w:rsidRPr="006478C3">
        <w:rPr>
          <w:rFonts w:ascii="Arial" w:hAnsi="Arial" w:cs="Arial"/>
          <w:b w:val="0"/>
          <w:sz w:val="24"/>
        </w:rPr>
        <w:t xml:space="preserve"> gráficas básicas para el análisis periódico de los datos. Sin embargo,</w:t>
      </w:r>
      <w:r>
        <w:rPr>
          <w:rFonts w:ascii="Arial" w:hAnsi="Arial" w:cs="Arial"/>
          <w:b w:val="0"/>
          <w:sz w:val="24"/>
        </w:rPr>
        <w:t xml:space="preserve"> </w:t>
      </w:r>
      <w:bookmarkStart w:id="271" w:name="_Hlk35266291"/>
      <w:r>
        <w:rPr>
          <w:rFonts w:ascii="Arial" w:hAnsi="Arial" w:cs="Arial"/>
          <w:b w:val="0"/>
          <w:sz w:val="24"/>
        </w:rPr>
        <w:t>la versión gratuita de</w:t>
      </w:r>
      <w:r w:rsidRPr="006478C3">
        <w:rPr>
          <w:rFonts w:ascii="Arial" w:hAnsi="Arial" w:cs="Arial"/>
          <w:b w:val="0"/>
          <w:sz w:val="24"/>
        </w:rPr>
        <w:t xml:space="preserve"> </w:t>
      </w:r>
      <w:r w:rsidRPr="0073620C">
        <w:rPr>
          <w:rFonts w:ascii="Arial" w:hAnsi="Arial" w:cs="Arial"/>
          <w:b w:val="0"/>
          <w:i/>
          <w:iCs/>
          <w:sz w:val="24"/>
        </w:rPr>
        <w:t>ThingSpeak</w:t>
      </w:r>
      <w:r w:rsidRPr="006478C3">
        <w:rPr>
          <w:rFonts w:ascii="Arial" w:hAnsi="Arial" w:cs="Arial"/>
          <w:b w:val="0"/>
          <w:sz w:val="24"/>
        </w:rPr>
        <w:t xml:space="preserve"> </w:t>
      </w:r>
      <w:bookmarkEnd w:id="271"/>
      <w:r w:rsidRPr="006478C3">
        <w:rPr>
          <w:rFonts w:ascii="Arial" w:hAnsi="Arial" w:cs="Arial"/>
          <w:b w:val="0"/>
          <w:sz w:val="24"/>
        </w:rPr>
        <w:t xml:space="preserve">tiene limitaciones en cuanto a los </w:t>
      </w:r>
      <w:r>
        <w:rPr>
          <w:rFonts w:ascii="Arial" w:hAnsi="Arial" w:cs="Arial"/>
          <w:b w:val="0"/>
          <w:sz w:val="24"/>
        </w:rPr>
        <w:t xml:space="preserve">tiempos de </w:t>
      </w:r>
      <w:r w:rsidRPr="006478C3">
        <w:rPr>
          <w:rFonts w:ascii="Arial" w:hAnsi="Arial" w:cs="Arial"/>
          <w:b w:val="0"/>
          <w:sz w:val="24"/>
        </w:rPr>
        <w:t>intervalos de subida y actualización de las gráficas entre cada dato.</w:t>
      </w:r>
    </w:p>
    <w:p w:rsidR="00186522" w:rsidRPr="00FA5EA4" w:rsidRDefault="00186522" w:rsidP="00186522">
      <w:pPr>
        <w:pStyle w:val="Textoindependiente"/>
        <w:ind w:firstLine="539"/>
        <w:jc w:val="both"/>
        <w:rPr>
          <w:rFonts w:ascii="Arial" w:hAnsi="Arial" w:cs="Arial"/>
          <w:b w:val="0"/>
          <w:sz w:val="24"/>
        </w:rPr>
      </w:pPr>
      <w:r>
        <w:rPr>
          <w:rFonts w:ascii="Arial" w:hAnsi="Arial" w:cs="Arial"/>
          <w:b w:val="0"/>
          <w:sz w:val="24"/>
        </w:rPr>
        <w:t>L</w:t>
      </w:r>
      <w:r w:rsidRPr="006478C3">
        <w:rPr>
          <w:rFonts w:ascii="Arial" w:hAnsi="Arial" w:cs="Arial"/>
          <w:b w:val="0"/>
          <w:sz w:val="24"/>
        </w:rPr>
        <w:t xml:space="preserve">a Raspberry </w:t>
      </w:r>
      <w:r>
        <w:rPr>
          <w:rFonts w:ascii="Arial" w:hAnsi="Arial" w:cs="Arial"/>
          <w:b w:val="0"/>
          <w:sz w:val="24"/>
        </w:rPr>
        <w:t>P</w:t>
      </w:r>
      <w:r w:rsidRPr="006478C3">
        <w:rPr>
          <w:rFonts w:ascii="Arial" w:hAnsi="Arial" w:cs="Arial"/>
          <w:b w:val="0"/>
          <w:sz w:val="24"/>
        </w:rPr>
        <w:t xml:space="preserve">i 3 posee una interfaz de red inalámbrica, </w:t>
      </w:r>
      <w:r>
        <w:rPr>
          <w:rFonts w:ascii="Arial" w:hAnsi="Arial" w:cs="Arial"/>
          <w:b w:val="0"/>
          <w:sz w:val="24"/>
        </w:rPr>
        <w:t xml:space="preserve">por tanto, al </w:t>
      </w:r>
      <w:r w:rsidRPr="006478C3">
        <w:rPr>
          <w:rFonts w:ascii="Arial" w:hAnsi="Arial" w:cs="Arial"/>
          <w:b w:val="0"/>
          <w:sz w:val="24"/>
        </w:rPr>
        <w:t xml:space="preserve">configurarla como </w:t>
      </w:r>
      <w:r>
        <w:rPr>
          <w:rFonts w:ascii="Arial" w:hAnsi="Arial" w:cs="Arial"/>
          <w:b w:val="0"/>
          <w:sz w:val="24"/>
        </w:rPr>
        <w:t xml:space="preserve">WAP se </w:t>
      </w:r>
      <w:r w:rsidRPr="006478C3">
        <w:rPr>
          <w:rFonts w:ascii="Arial" w:hAnsi="Arial" w:cs="Arial"/>
          <w:b w:val="0"/>
          <w:sz w:val="24"/>
        </w:rPr>
        <w:t>limit</w:t>
      </w:r>
      <w:r>
        <w:rPr>
          <w:rFonts w:ascii="Arial" w:hAnsi="Arial" w:cs="Arial"/>
          <w:b w:val="0"/>
          <w:sz w:val="24"/>
        </w:rPr>
        <w:t>ó</w:t>
      </w:r>
      <w:r w:rsidRPr="006478C3">
        <w:rPr>
          <w:rFonts w:ascii="Arial" w:hAnsi="Arial" w:cs="Arial"/>
          <w:b w:val="0"/>
          <w:sz w:val="24"/>
        </w:rPr>
        <w:t xml:space="preserve"> la cantidad de funcionalidades de las que se pu</w:t>
      </w:r>
      <w:r>
        <w:rPr>
          <w:rFonts w:ascii="Arial" w:hAnsi="Arial" w:cs="Arial"/>
          <w:b w:val="0"/>
          <w:sz w:val="24"/>
        </w:rPr>
        <w:t>do</w:t>
      </w:r>
      <w:r w:rsidRPr="006478C3">
        <w:rPr>
          <w:rFonts w:ascii="Arial" w:hAnsi="Arial" w:cs="Arial"/>
          <w:b w:val="0"/>
          <w:sz w:val="24"/>
        </w:rPr>
        <w:t xml:space="preserve"> disponer</w:t>
      </w:r>
      <w:r>
        <w:rPr>
          <w:rFonts w:ascii="Arial" w:hAnsi="Arial" w:cs="Arial"/>
          <w:b w:val="0"/>
          <w:sz w:val="24"/>
        </w:rPr>
        <w:t>.</w:t>
      </w:r>
      <w:r w:rsidRPr="006478C3">
        <w:rPr>
          <w:rFonts w:ascii="Arial" w:hAnsi="Arial" w:cs="Arial"/>
          <w:b w:val="0"/>
          <w:sz w:val="24"/>
        </w:rPr>
        <w:t xml:space="preserve"> </w:t>
      </w:r>
      <w:r>
        <w:rPr>
          <w:rFonts w:ascii="Arial" w:hAnsi="Arial" w:cs="Arial"/>
          <w:b w:val="0"/>
          <w:sz w:val="24"/>
        </w:rPr>
        <w:t xml:space="preserve">Por esta </w:t>
      </w:r>
      <w:r>
        <w:rPr>
          <w:rFonts w:ascii="Arial" w:hAnsi="Arial" w:cs="Arial"/>
          <w:b w:val="0"/>
          <w:sz w:val="24"/>
        </w:rPr>
        <w:lastRenderedPageBreak/>
        <w:t xml:space="preserve">razón, se usó </w:t>
      </w:r>
      <w:r w:rsidRPr="006478C3">
        <w:rPr>
          <w:rFonts w:ascii="Arial" w:hAnsi="Arial" w:cs="Arial"/>
          <w:b w:val="0"/>
          <w:sz w:val="24"/>
        </w:rPr>
        <w:t xml:space="preserve">un </w:t>
      </w:r>
      <w:r>
        <w:rPr>
          <w:rFonts w:ascii="Arial" w:hAnsi="Arial" w:cs="Arial"/>
          <w:b w:val="0"/>
          <w:sz w:val="24"/>
        </w:rPr>
        <w:t>PC</w:t>
      </w:r>
      <w:r w:rsidRPr="006478C3">
        <w:rPr>
          <w:rFonts w:ascii="Arial" w:hAnsi="Arial" w:cs="Arial"/>
          <w:b w:val="0"/>
          <w:sz w:val="24"/>
        </w:rPr>
        <w:t xml:space="preserve"> </w:t>
      </w:r>
      <w:r>
        <w:rPr>
          <w:rFonts w:ascii="Arial" w:hAnsi="Arial" w:cs="Arial"/>
          <w:b w:val="0"/>
          <w:sz w:val="24"/>
        </w:rPr>
        <w:t>para medir las potencias de los canales WiFi;</w:t>
      </w:r>
      <w:r w:rsidRPr="006478C3">
        <w:rPr>
          <w:rFonts w:ascii="Arial" w:hAnsi="Arial" w:cs="Arial"/>
          <w:b w:val="0"/>
          <w:sz w:val="24"/>
        </w:rPr>
        <w:t xml:space="preserve"> </w:t>
      </w:r>
      <w:r>
        <w:rPr>
          <w:rFonts w:ascii="Arial" w:hAnsi="Arial" w:cs="Arial"/>
          <w:b w:val="0"/>
          <w:sz w:val="24"/>
        </w:rPr>
        <w:t>s</w:t>
      </w:r>
      <w:r w:rsidRPr="006478C3">
        <w:rPr>
          <w:rFonts w:ascii="Arial" w:hAnsi="Arial" w:cs="Arial"/>
          <w:b w:val="0"/>
          <w:sz w:val="24"/>
        </w:rPr>
        <w:t xml:space="preserve">in embargo, </w:t>
      </w:r>
      <w:r>
        <w:rPr>
          <w:rFonts w:ascii="Arial" w:hAnsi="Arial" w:cs="Arial"/>
          <w:b w:val="0"/>
          <w:sz w:val="24"/>
        </w:rPr>
        <w:t>esto puede</w:t>
      </w:r>
      <w:r w:rsidRPr="006478C3">
        <w:rPr>
          <w:rFonts w:ascii="Arial" w:hAnsi="Arial" w:cs="Arial"/>
          <w:b w:val="0"/>
          <w:sz w:val="24"/>
        </w:rPr>
        <w:t xml:space="preserve"> ser soluciona</w:t>
      </w:r>
      <w:r>
        <w:rPr>
          <w:rFonts w:ascii="Arial" w:hAnsi="Arial" w:cs="Arial"/>
          <w:b w:val="0"/>
          <w:sz w:val="24"/>
        </w:rPr>
        <w:t>do</w:t>
      </w:r>
      <w:r w:rsidRPr="006478C3">
        <w:rPr>
          <w:rFonts w:ascii="Arial" w:hAnsi="Arial" w:cs="Arial"/>
          <w:b w:val="0"/>
          <w:sz w:val="24"/>
        </w:rPr>
        <w:t xml:space="preserve"> </w:t>
      </w:r>
      <w:r>
        <w:rPr>
          <w:rFonts w:ascii="Arial" w:hAnsi="Arial" w:cs="Arial"/>
          <w:b w:val="0"/>
          <w:sz w:val="24"/>
        </w:rPr>
        <w:t xml:space="preserve">si se utiliza un dongle </w:t>
      </w:r>
      <w:r w:rsidRPr="006478C3">
        <w:rPr>
          <w:rFonts w:ascii="Arial" w:hAnsi="Arial" w:cs="Arial"/>
          <w:b w:val="0"/>
          <w:sz w:val="24"/>
        </w:rPr>
        <w:t xml:space="preserve">USB en la Raspberry para darle </w:t>
      </w:r>
      <w:r>
        <w:rPr>
          <w:rFonts w:ascii="Arial" w:hAnsi="Arial" w:cs="Arial"/>
          <w:b w:val="0"/>
          <w:sz w:val="24"/>
        </w:rPr>
        <w:t>mayor autonomía al sistema.</w:t>
      </w:r>
      <w:r w:rsidRPr="00FA5EA4">
        <w:rPr>
          <w:rFonts w:ascii="Arial" w:hAnsi="Arial" w:cs="Arial"/>
          <w:b w:val="0"/>
          <w:sz w:val="24"/>
        </w:rPr>
        <w:t xml:space="preserve">  </w:t>
      </w:r>
    </w:p>
    <w:p w:rsidR="00186522" w:rsidRPr="00FA5EA4" w:rsidRDefault="00186522" w:rsidP="00186522">
      <w:pPr>
        <w:pStyle w:val="Textoindependiente"/>
        <w:ind w:firstLine="539"/>
        <w:rPr>
          <w:rFonts w:ascii="Arial" w:hAnsi="Arial" w:cs="Arial"/>
          <w:b w:val="0"/>
          <w:sz w:val="24"/>
        </w:rPr>
      </w:pPr>
    </w:p>
    <w:p w:rsidR="00186522" w:rsidRPr="00186522" w:rsidRDefault="00186522" w:rsidP="00186522">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272" w:name="_Toc50031344"/>
      <w:r w:rsidRPr="00186522">
        <w:rPr>
          <w:rFonts w:ascii="Arial" w:hAnsi="Arial" w:cs="Arial"/>
          <w:caps/>
          <w:sz w:val="24"/>
          <w:szCs w:val="24"/>
        </w:rPr>
        <w:t xml:space="preserve">6. </w:t>
      </w:r>
      <w:r w:rsidRPr="00186522">
        <w:rPr>
          <w:rFonts w:ascii="Arial" w:hAnsi="Arial" w:cs="Arial"/>
          <w:sz w:val="24"/>
          <w:szCs w:val="24"/>
        </w:rPr>
        <w:t>Bibliografía</w:t>
      </w:r>
      <w:bookmarkEnd w:id="272"/>
    </w:p>
    <w:p w:rsidR="00186522" w:rsidRPr="0070697B" w:rsidRDefault="00186522" w:rsidP="00186522"/>
    <w:p w:rsidR="00186522" w:rsidRPr="00186522" w:rsidRDefault="00186522" w:rsidP="00186522">
      <w:pPr>
        <w:widowControl w:val="0"/>
        <w:autoSpaceDE w:val="0"/>
        <w:autoSpaceDN w:val="0"/>
        <w:adjustRightInd w:val="0"/>
        <w:ind w:left="640" w:hanging="640"/>
        <w:rPr>
          <w:rFonts w:ascii="Arial" w:hAnsi="Arial" w:cs="Arial"/>
          <w:noProof/>
          <w:lang w:val="en-US"/>
        </w:rPr>
      </w:pPr>
      <w:r>
        <w:rPr>
          <w:rFonts w:ascii="Arial" w:hAnsi="Arial" w:cs="Arial"/>
          <w:lang w:val="en-US"/>
        </w:rPr>
        <w:fldChar w:fldCharType="begin" w:fldLock="1"/>
      </w:r>
      <w:r>
        <w:rPr>
          <w:rFonts w:ascii="Arial" w:hAnsi="Arial" w:cs="Arial"/>
          <w:lang w:val="en-US"/>
        </w:rPr>
        <w:instrText xml:space="preserve">ADDIN Mendeley Bibliography CSL_BIBLIOGRAPHY </w:instrText>
      </w:r>
      <w:r>
        <w:rPr>
          <w:rFonts w:ascii="Arial" w:hAnsi="Arial" w:cs="Arial"/>
          <w:lang w:val="en-US"/>
        </w:rPr>
        <w:fldChar w:fldCharType="separate"/>
      </w:r>
      <w:r w:rsidRPr="00186522">
        <w:rPr>
          <w:rFonts w:ascii="Arial" w:hAnsi="Arial" w:cs="Arial"/>
          <w:noProof/>
          <w:lang w:val="en-US"/>
        </w:rPr>
        <w:t xml:space="preserve"> 1.</w:t>
      </w:r>
      <w:r w:rsidRPr="00186522">
        <w:rPr>
          <w:rFonts w:ascii="Arial" w:hAnsi="Arial" w:cs="Arial"/>
          <w:noProof/>
          <w:lang w:val="en-US"/>
        </w:rPr>
        <w:tab/>
        <w:t>Grubesic T.H. Future Shock: Telecommunications Technology and Infrastructure in Regional Research. In: Jackson R., Schaeffer P. (eds) Regional Research Frontiers - Vol. 1. Advances in Spatial Science (The Regional Science Series). Springer, Cham (2017)</w:t>
      </w:r>
    </w:p>
    <w:p w:rsidR="00186522" w:rsidRPr="00186522" w:rsidRDefault="00186522" w:rsidP="00186522">
      <w:pPr>
        <w:widowControl w:val="0"/>
        <w:autoSpaceDE w:val="0"/>
        <w:autoSpaceDN w:val="0"/>
        <w:adjustRightInd w:val="0"/>
        <w:ind w:left="640" w:hanging="640"/>
        <w:rPr>
          <w:rFonts w:ascii="Arial" w:hAnsi="Arial" w:cs="Arial"/>
          <w:noProof/>
          <w:lang w:val="en-US"/>
        </w:rPr>
      </w:pPr>
      <w:r w:rsidRPr="00186522">
        <w:rPr>
          <w:rFonts w:ascii="Arial" w:hAnsi="Arial" w:cs="Arial"/>
          <w:noProof/>
          <w:lang w:val="en-US"/>
        </w:rPr>
        <w:t xml:space="preserve">2. </w:t>
      </w:r>
      <w:r w:rsidRPr="00186522">
        <w:rPr>
          <w:rFonts w:ascii="Arial" w:hAnsi="Arial" w:cs="Arial"/>
          <w:noProof/>
          <w:lang w:val="en-US"/>
        </w:rPr>
        <w:tab/>
        <w:t>Saber M., Aroussi H. K., El Rharras A., Saadane R., Raspberry Pi and RTL-SDR for Spectrum Sensing based on FM Real Signals, Int. Conf. Multimed. Comput. Syst. -Proceedings, vol. 2018-May, 1–6 (2018).</w:t>
      </w:r>
    </w:p>
    <w:p w:rsidR="00186522" w:rsidRPr="00186522" w:rsidRDefault="00186522" w:rsidP="00186522">
      <w:pPr>
        <w:widowControl w:val="0"/>
        <w:autoSpaceDE w:val="0"/>
        <w:autoSpaceDN w:val="0"/>
        <w:adjustRightInd w:val="0"/>
        <w:ind w:left="640" w:hanging="640"/>
        <w:jc w:val="both"/>
        <w:rPr>
          <w:rFonts w:ascii="Arial" w:hAnsi="Arial" w:cs="Arial"/>
          <w:noProof/>
          <w:lang w:val="en-US"/>
        </w:rPr>
      </w:pPr>
      <w:r w:rsidRPr="00186522">
        <w:rPr>
          <w:rFonts w:ascii="Arial" w:hAnsi="Arial" w:cs="Arial"/>
          <w:noProof/>
          <w:lang w:val="en-US"/>
        </w:rPr>
        <w:t>3.</w:t>
      </w:r>
      <w:r w:rsidRPr="00186522">
        <w:rPr>
          <w:rFonts w:ascii="Arial" w:hAnsi="Arial" w:cs="Arial"/>
          <w:noProof/>
          <w:lang w:val="en-US"/>
        </w:rPr>
        <w:tab/>
        <w:t>D. V., Kumar Singh A., Internet of Things: a Survey of the Advancements, Int. J. Eng. Technol., vol. 7, no. 3.12, 255 (2018).</w:t>
      </w:r>
    </w:p>
    <w:p w:rsidR="00186522" w:rsidRPr="00186522" w:rsidRDefault="00186522" w:rsidP="00186522">
      <w:pPr>
        <w:widowControl w:val="0"/>
        <w:autoSpaceDE w:val="0"/>
        <w:autoSpaceDN w:val="0"/>
        <w:adjustRightInd w:val="0"/>
        <w:ind w:left="640" w:hanging="640"/>
        <w:jc w:val="both"/>
        <w:rPr>
          <w:rFonts w:ascii="Arial" w:hAnsi="Arial" w:cs="Arial"/>
          <w:noProof/>
          <w:lang w:val="en-US"/>
        </w:rPr>
      </w:pPr>
      <w:r w:rsidRPr="00186522">
        <w:rPr>
          <w:rFonts w:ascii="Arial" w:hAnsi="Arial" w:cs="Arial"/>
          <w:noProof/>
          <w:lang w:val="en-US"/>
        </w:rPr>
        <w:t>4.</w:t>
      </w:r>
      <w:r w:rsidRPr="00186522">
        <w:rPr>
          <w:rFonts w:ascii="Arial" w:hAnsi="Arial" w:cs="Arial"/>
          <w:noProof/>
          <w:lang w:val="en-US"/>
        </w:rPr>
        <w:tab/>
        <w:t>Bloessl B., Segata M., Sommer C., Dressler F., Performance Assessment of IEEE 802.11p with an Open Source SDR-Based Prototype, IEEE Trans. Mob. Comput., vol. 17, no. 5, 1162–1175 (2018).</w:t>
      </w:r>
    </w:p>
    <w:p w:rsidR="00186522" w:rsidRPr="00186522" w:rsidRDefault="00186522" w:rsidP="00186522">
      <w:pPr>
        <w:widowControl w:val="0"/>
        <w:autoSpaceDE w:val="0"/>
        <w:autoSpaceDN w:val="0"/>
        <w:adjustRightInd w:val="0"/>
        <w:ind w:left="640" w:hanging="640"/>
        <w:jc w:val="both"/>
        <w:rPr>
          <w:rFonts w:ascii="Arial" w:hAnsi="Arial" w:cs="Arial"/>
          <w:noProof/>
          <w:lang w:val="en-US"/>
        </w:rPr>
      </w:pPr>
      <w:r w:rsidRPr="00186522">
        <w:rPr>
          <w:rFonts w:ascii="Arial" w:hAnsi="Arial" w:cs="Arial"/>
          <w:noProof/>
          <w:lang w:val="en-US"/>
        </w:rPr>
        <w:t xml:space="preserve">5. </w:t>
      </w:r>
      <w:r w:rsidRPr="00186522">
        <w:rPr>
          <w:rFonts w:ascii="Arial" w:hAnsi="Arial" w:cs="Arial"/>
          <w:noProof/>
          <w:lang w:val="en-US"/>
        </w:rPr>
        <w:tab/>
        <w:t>Ramírez B., A study of IEEE 802.11ah and its SDR implementation, Tesis, Esc. Técnica Super. Ing. Ind. y Telecomunicación, Univ. Pública Navarra, (2016).</w:t>
      </w:r>
    </w:p>
    <w:p w:rsidR="00186522" w:rsidRPr="00186522" w:rsidRDefault="00186522" w:rsidP="00186522">
      <w:pPr>
        <w:widowControl w:val="0"/>
        <w:autoSpaceDE w:val="0"/>
        <w:autoSpaceDN w:val="0"/>
        <w:adjustRightInd w:val="0"/>
        <w:ind w:left="640" w:hanging="640"/>
        <w:jc w:val="both"/>
        <w:rPr>
          <w:rFonts w:ascii="Arial" w:hAnsi="Arial" w:cs="Arial"/>
          <w:noProof/>
          <w:lang w:val="en-US"/>
        </w:rPr>
      </w:pPr>
      <w:r w:rsidRPr="00186522">
        <w:rPr>
          <w:rFonts w:ascii="Arial" w:hAnsi="Arial" w:cs="Arial"/>
          <w:noProof/>
          <w:lang w:val="en-US"/>
        </w:rPr>
        <w:t xml:space="preserve">6. </w:t>
      </w:r>
      <w:r w:rsidRPr="00186522">
        <w:rPr>
          <w:rFonts w:ascii="Arial" w:hAnsi="Arial" w:cs="Arial"/>
          <w:noProof/>
          <w:lang w:val="en-US"/>
        </w:rPr>
        <w:tab/>
        <w:t>Zitouni R., George L., Output power analysis of a software defined radio device, 2016 IEEE Radio Antenna Days Indian Ocean. RADIO 2016, 1–2 (2016).</w:t>
      </w:r>
    </w:p>
    <w:p w:rsidR="00186522" w:rsidRPr="00186522" w:rsidRDefault="00186522" w:rsidP="00186522">
      <w:pPr>
        <w:widowControl w:val="0"/>
        <w:autoSpaceDE w:val="0"/>
        <w:autoSpaceDN w:val="0"/>
        <w:adjustRightInd w:val="0"/>
        <w:ind w:left="640" w:hanging="640"/>
        <w:jc w:val="both"/>
        <w:rPr>
          <w:rFonts w:ascii="Arial" w:hAnsi="Arial" w:cs="Arial"/>
          <w:noProof/>
          <w:lang w:val="en-US"/>
        </w:rPr>
      </w:pPr>
      <w:r w:rsidRPr="00186522">
        <w:rPr>
          <w:rFonts w:ascii="Arial" w:hAnsi="Arial" w:cs="Arial"/>
          <w:noProof/>
          <w:lang w:val="en-US"/>
        </w:rPr>
        <w:t xml:space="preserve">7. </w:t>
      </w:r>
      <w:r w:rsidRPr="00186522">
        <w:rPr>
          <w:rFonts w:ascii="Arial" w:hAnsi="Arial" w:cs="Arial"/>
          <w:noProof/>
          <w:lang w:val="en-US"/>
        </w:rPr>
        <w:tab/>
        <w:t>Wai Zhao C., Jegatheesan J., Chee Loon S., Exploring IOT Application Using Raspberry Pi, Int. J. Comput. Networks Appl., vol. 2, no. 1, 27-34 (2015).</w:t>
      </w:r>
    </w:p>
    <w:p w:rsidR="00186522" w:rsidRPr="00186522" w:rsidRDefault="00186522" w:rsidP="00186522">
      <w:pPr>
        <w:widowControl w:val="0"/>
        <w:autoSpaceDE w:val="0"/>
        <w:autoSpaceDN w:val="0"/>
        <w:adjustRightInd w:val="0"/>
        <w:ind w:left="640" w:hanging="640"/>
        <w:jc w:val="both"/>
        <w:rPr>
          <w:rFonts w:ascii="Arial" w:hAnsi="Arial" w:cs="Arial"/>
          <w:noProof/>
          <w:lang w:val="en-US"/>
        </w:rPr>
      </w:pPr>
      <w:r w:rsidRPr="00186522">
        <w:rPr>
          <w:rFonts w:ascii="Arial" w:hAnsi="Arial" w:cs="Arial"/>
          <w:noProof/>
          <w:lang w:val="en-US"/>
        </w:rPr>
        <w:t>8.</w:t>
      </w:r>
      <w:r w:rsidRPr="00186522">
        <w:rPr>
          <w:rFonts w:ascii="Arial" w:hAnsi="Arial" w:cs="Arial"/>
          <w:noProof/>
          <w:lang w:val="en-US"/>
        </w:rPr>
        <w:tab/>
        <w:t>Mcbride W. J., Courter J. R., Using Raspberry Pi microcomputers to remotely monitor birds and collect environmental data, (2019).</w:t>
      </w:r>
    </w:p>
    <w:p w:rsidR="00186522" w:rsidRPr="00186522" w:rsidRDefault="00186522" w:rsidP="00186522">
      <w:pPr>
        <w:widowControl w:val="0"/>
        <w:autoSpaceDE w:val="0"/>
        <w:autoSpaceDN w:val="0"/>
        <w:adjustRightInd w:val="0"/>
        <w:ind w:left="640" w:hanging="640"/>
        <w:jc w:val="both"/>
        <w:rPr>
          <w:rFonts w:ascii="Arial" w:hAnsi="Arial" w:cs="Arial"/>
          <w:noProof/>
          <w:lang w:val="en-US"/>
        </w:rPr>
      </w:pPr>
      <w:r w:rsidRPr="00186522">
        <w:rPr>
          <w:rFonts w:ascii="Arial" w:hAnsi="Arial" w:cs="Arial"/>
          <w:noProof/>
          <w:lang w:val="en-US"/>
        </w:rPr>
        <w:t xml:space="preserve">9. </w:t>
      </w:r>
      <w:r w:rsidRPr="00186522">
        <w:rPr>
          <w:rFonts w:ascii="Arial" w:hAnsi="Arial" w:cs="Arial"/>
          <w:noProof/>
          <w:lang w:val="en-US"/>
        </w:rPr>
        <w:tab/>
        <w:t>Imteaj A., Rahman T., Hossain M. K., Zaman S., IoT based autonomous percipient irrigation system using raspberry Pi, 19th International Conference on Computer and Information Technology, ICCIT 2016, 563–568 (2017).</w:t>
      </w:r>
    </w:p>
    <w:p w:rsidR="00186522" w:rsidRPr="00671514" w:rsidRDefault="00186522" w:rsidP="00186522">
      <w:pPr>
        <w:widowControl w:val="0"/>
        <w:autoSpaceDE w:val="0"/>
        <w:autoSpaceDN w:val="0"/>
        <w:adjustRightInd w:val="0"/>
        <w:ind w:left="640" w:hanging="640"/>
        <w:jc w:val="both"/>
        <w:rPr>
          <w:rFonts w:ascii="Arial" w:hAnsi="Arial" w:cs="Arial"/>
          <w:noProof/>
          <w:lang w:val="en-US"/>
        </w:rPr>
      </w:pPr>
      <w:r w:rsidRPr="00186522">
        <w:rPr>
          <w:rFonts w:ascii="Arial" w:hAnsi="Arial" w:cs="Arial"/>
          <w:noProof/>
          <w:lang w:val="en-US"/>
        </w:rPr>
        <w:t xml:space="preserve">10. </w:t>
      </w:r>
      <w:r w:rsidRPr="00186522">
        <w:rPr>
          <w:rFonts w:ascii="Arial" w:hAnsi="Arial" w:cs="Arial"/>
          <w:noProof/>
          <w:lang w:val="en-US"/>
        </w:rPr>
        <w:tab/>
        <w:t xml:space="preserve">Kim Y., Evans R. G., Iversen W. M., Remote Sensing and Control of an Irrigation System Using a Distributed Wireless Sensor Network, IEEE Trans. </w:t>
      </w:r>
      <w:r w:rsidRPr="00671514">
        <w:rPr>
          <w:rFonts w:ascii="Arial" w:hAnsi="Arial" w:cs="Arial"/>
          <w:noProof/>
          <w:lang w:val="en-US"/>
        </w:rPr>
        <w:t>Instrum. Meas., vol. 57, no. 7, 1379–1387 (2008).</w:t>
      </w:r>
    </w:p>
    <w:p w:rsidR="00186522" w:rsidRPr="00186522" w:rsidRDefault="00186522" w:rsidP="00186522">
      <w:pPr>
        <w:widowControl w:val="0"/>
        <w:autoSpaceDE w:val="0"/>
        <w:autoSpaceDN w:val="0"/>
        <w:adjustRightInd w:val="0"/>
        <w:ind w:left="640" w:hanging="640"/>
        <w:jc w:val="both"/>
        <w:rPr>
          <w:rFonts w:ascii="Arial" w:hAnsi="Arial" w:cs="Arial"/>
          <w:noProof/>
          <w:lang w:val="en-US"/>
        </w:rPr>
      </w:pPr>
      <w:r w:rsidRPr="00186522">
        <w:rPr>
          <w:rFonts w:ascii="Arial" w:hAnsi="Arial" w:cs="Arial"/>
          <w:noProof/>
          <w:lang w:val="en-US"/>
        </w:rPr>
        <w:t xml:space="preserve">11. </w:t>
      </w:r>
      <w:r w:rsidRPr="00186522">
        <w:rPr>
          <w:rFonts w:ascii="Arial" w:hAnsi="Arial" w:cs="Arial"/>
          <w:noProof/>
          <w:lang w:val="en-US"/>
        </w:rPr>
        <w:tab/>
        <w:t>Namala K. K., Krishna Kanth Prabhu A. V., Math A., Kumari A., Kulkarni S., Smart irrigation with embedded system, IEEE Bombay Section Symposium 2016: Frontiers of Technology: Fuelling Prosperity of Planet and People, IBSS 2016, (2017).</w:t>
      </w:r>
    </w:p>
    <w:p w:rsidR="00186522" w:rsidRPr="00186522" w:rsidRDefault="00186522" w:rsidP="00186522">
      <w:pPr>
        <w:widowControl w:val="0"/>
        <w:autoSpaceDE w:val="0"/>
        <w:autoSpaceDN w:val="0"/>
        <w:adjustRightInd w:val="0"/>
        <w:ind w:left="640" w:hanging="640"/>
        <w:jc w:val="both"/>
        <w:rPr>
          <w:rFonts w:ascii="Arial" w:hAnsi="Arial" w:cs="Arial"/>
          <w:noProof/>
          <w:lang w:val="en-US"/>
        </w:rPr>
      </w:pPr>
      <w:r w:rsidRPr="00186522">
        <w:rPr>
          <w:rFonts w:ascii="Arial" w:hAnsi="Arial" w:cs="Arial"/>
          <w:noProof/>
          <w:lang w:val="en-US"/>
        </w:rPr>
        <w:lastRenderedPageBreak/>
        <w:t xml:space="preserve">12. </w:t>
      </w:r>
      <w:r w:rsidRPr="00186522">
        <w:rPr>
          <w:rFonts w:ascii="Arial" w:hAnsi="Arial" w:cs="Arial"/>
          <w:noProof/>
          <w:lang w:val="en-US"/>
        </w:rPr>
        <w:tab/>
        <w:t>Vaishali S., Suraj S., Vignesh G., Dhivya S., Udhayakumar S., Mobile integrated smart irrigation management and monitoring system using IOT, 2017 International Conference on Communication and Signal Processing (ICCSP), 2164–2167 (2017).</w:t>
      </w:r>
    </w:p>
    <w:p w:rsidR="00186522" w:rsidRPr="00186522" w:rsidRDefault="00186522" w:rsidP="00186522">
      <w:pPr>
        <w:widowControl w:val="0"/>
        <w:autoSpaceDE w:val="0"/>
        <w:autoSpaceDN w:val="0"/>
        <w:adjustRightInd w:val="0"/>
        <w:ind w:left="640" w:hanging="640"/>
        <w:jc w:val="both"/>
        <w:rPr>
          <w:rFonts w:ascii="Arial" w:hAnsi="Arial" w:cs="Arial"/>
          <w:noProof/>
          <w:lang w:val="en-US"/>
        </w:rPr>
      </w:pPr>
      <w:r w:rsidRPr="00186522">
        <w:rPr>
          <w:rFonts w:ascii="Arial" w:hAnsi="Arial" w:cs="Arial"/>
          <w:noProof/>
          <w:lang w:val="en-US"/>
        </w:rPr>
        <w:t xml:space="preserve">13. </w:t>
      </w:r>
      <w:r w:rsidRPr="00186522">
        <w:rPr>
          <w:rFonts w:ascii="Arial" w:hAnsi="Arial" w:cs="Arial"/>
          <w:noProof/>
          <w:lang w:val="en-US"/>
        </w:rPr>
        <w:tab/>
        <w:t>Li X., Ding X., Zhang Y., Sun Z., Zhao H., IoT Family Robot Based on Raspberry Pi, 2016 International Conference on Information System and Artificial Intelligence (ISAI), Hong Kong, 622-625 (2016).</w:t>
      </w:r>
    </w:p>
    <w:p w:rsidR="00186522" w:rsidRPr="00186522" w:rsidRDefault="00186522" w:rsidP="00186522">
      <w:pPr>
        <w:widowControl w:val="0"/>
        <w:autoSpaceDE w:val="0"/>
        <w:autoSpaceDN w:val="0"/>
        <w:adjustRightInd w:val="0"/>
        <w:ind w:left="640" w:hanging="640"/>
        <w:jc w:val="both"/>
        <w:rPr>
          <w:rFonts w:ascii="Arial" w:hAnsi="Arial" w:cs="Arial"/>
          <w:noProof/>
          <w:lang w:val="en-US"/>
        </w:rPr>
      </w:pPr>
      <w:r w:rsidRPr="00186522">
        <w:rPr>
          <w:rFonts w:ascii="Arial" w:hAnsi="Arial" w:cs="Arial"/>
          <w:noProof/>
          <w:lang w:val="en-US"/>
        </w:rPr>
        <w:t xml:space="preserve">14. </w:t>
      </w:r>
      <w:r w:rsidRPr="00186522">
        <w:rPr>
          <w:rFonts w:ascii="Arial" w:hAnsi="Arial" w:cs="Arial"/>
          <w:noProof/>
          <w:lang w:val="en-US"/>
        </w:rPr>
        <w:tab/>
        <w:t>Güleçi M., Orhun M., Android based WI-FI controlled robot using Raspberry Pi, 2017 International Conference on Computer Science and Engineering (UBMK), Antalya, 978-982 (2017).</w:t>
      </w:r>
    </w:p>
    <w:p w:rsidR="00186522" w:rsidRPr="00BC25A3" w:rsidRDefault="00186522" w:rsidP="00186522">
      <w:pPr>
        <w:widowControl w:val="0"/>
        <w:autoSpaceDE w:val="0"/>
        <w:autoSpaceDN w:val="0"/>
        <w:adjustRightInd w:val="0"/>
        <w:ind w:left="640" w:hanging="640"/>
        <w:jc w:val="both"/>
        <w:rPr>
          <w:rFonts w:ascii="Arial" w:hAnsi="Arial" w:cs="Arial"/>
          <w:noProof/>
        </w:rPr>
      </w:pPr>
      <w:r>
        <w:rPr>
          <w:rFonts w:ascii="Arial" w:hAnsi="Arial" w:cs="Arial"/>
          <w:noProof/>
        </w:rPr>
        <w:t>15.</w:t>
      </w:r>
      <w:r>
        <w:rPr>
          <w:rFonts w:ascii="Arial" w:hAnsi="Arial" w:cs="Arial"/>
          <w:noProof/>
        </w:rPr>
        <w:tab/>
      </w:r>
      <w:r w:rsidRPr="00BC25A3">
        <w:rPr>
          <w:rFonts w:ascii="Arial" w:hAnsi="Arial" w:cs="Arial"/>
          <w:noProof/>
        </w:rPr>
        <w:t xml:space="preserve">Hernández H., Estimación de una serie de movimientos utilizando un algoritmo de optimización bio-inspirado para la operación de manera autónoma y On-Line de una plataforma Multi-Robot ( Caso robot modular ), </w:t>
      </w:r>
      <w:r>
        <w:rPr>
          <w:rFonts w:ascii="Arial" w:hAnsi="Arial" w:cs="Arial"/>
          <w:noProof/>
        </w:rPr>
        <w:t>Tesis de Maestría en Ingeniería en Telecomunicaciones, Universidad Nacional de Colombia, (</w:t>
      </w:r>
      <w:r w:rsidRPr="00BC25A3">
        <w:rPr>
          <w:rFonts w:ascii="Arial" w:hAnsi="Arial" w:cs="Arial"/>
          <w:noProof/>
        </w:rPr>
        <w:t>2018</w:t>
      </w:r>
      <w:r>
        <w:rPr>
          <w:rFonts w:ascii="Arial" w:hAnsi="Arial" w:cs="Arial"/>
          <w:noProof/>
        </w:rPr>
        <w:t>)</w:t>
      </w:r>
      <w:r w:rsidRPr="00BC25A3">
        <w:rPr>
          <w:rFonts w:ascii="Arial" w:hAnsi="Arial" w:cs="Arial"/>
          <w:noProof/>
        </w:rPr>
        <w:t>.</w:t>
      </w:r>
    </w:p>
    <w:p w:rsidR="00186522" w:rsidRPr="00186522" w:rsidRDefault="00186522" w:rsidP="00186522">
      <w:pPr>
        <w:widowControl w:val="0"/>
        <w:autoSpaceDE w:val="0"/>
        <w:autoSpaceDN w:val="0"/>
        <w:adjustRightInd w:val="0"/>
        <w:ind w:left="640" w:hanging="640"/>
        <w:jc w:val="both"/>
        <w:rPr>
          <w:rFonts w:ascii="Arial" w:hAnsi="Arial" w:cs="Arial"/>
          <w:noProof/>
          <w:lang w:val="en-US"/>
        </w:rPr>
      </w:pPr>
      <w:r w:rsidRPr="00186522">
        <w:rPr>
          <w:rFonts w:ascii="Arial" w:hAnsi="Arial" w:cs="Arial"/>
          <w:noProof/>
          <w:lang w:val="en-US"/>
        </w:rPr>
        <w:t>16.</w:t>
      </w:r>
      <w:r w:rsidRPr="00186522">
        <w:rPr>
          <w:rFonts w:ascii="Arial" w:hAnsi="Arial" w:cs="Arial"/>
          <w:noProof/>
          <w:lang w:val="en-US"/>
        </w:rPr>
        <w:tab/>
        <w:t>Horowitz M., WifiInfoView is a great Wi-Fi utility for Windows, https://www.computerworld.com/article/3225458/wifiinfoview-is-a-great-wi-fi-utility-for-windows.html (2017).</w:t>
      </w:r>
    </w:p>
    <w:p w:rsidR="00186522" w:rsidRPr="00186522" w:rsidRDefault="00186522" w:rsidP="00186522">
      <w:pPr>
        <w:widowControl w:val="0"/>
        <w:autoSpaceDE w:val="0"/>
        <w:autoSpaceDN w:val="0"/>
        <w:adjustRightInd w:val="0"/>
        <w:ind w:left="640" w:hanging="640"/>
        <w:jc w:val="both"/>
        <w:rPr>
          <w:rFonts w:ascii="Arial" w:hAnsi="Arial" w:cs="Arial"/>
          <w:noProof/>
          <w:lang w:val="en-US"/>
        </w:rPr>
      </w:pPr>
      <w:r w:rsidRPr="00186522">
        <w:rPr>
          <w:rFonts w:ascii="Arial" w:hAnsi="Arial" w:cs="Arial"/>
          <w:noProof/>
          <w:lang w:val="en-US"/>
        </w:rPr>
        <w:t>17.</w:t>
      </w:r>
      <w:r w:rsidRPr="00186522">
        <w:rPr>
          <w:rFonts w:ascii="Arial" w:hAnsi="Arial" w:cs="Arial"/>
          <w:noProof/>
          <w:lang w:val="en-US"/>
        </w:rPr>
        <w:tab/>
        <w:t>Dolińska I., Masiukiewicz A., Rządkowski G., The mathematical model for interference simulation and optimization in 802.11n networks, CEUR Workshop Proc., vol. 1032, 99–110 (2013).</w:t>
      </w:r>
    </w:p>
    <w:p w:rsidR="004B4415" w:rsidRPr="004B4415" w:rsidRDefault="00186522" w:rsidP="00186522">
      <w:pPr>
        <w:autoSpaceDE w:val="0"/>
        <w:autoSpaceDN w:val="0"/>
        <w:adjustRightInd w:val="0"/>
        <w:jc w:val="both"/>
        <w:rPr>
          <w:iCs/>
          <w:lang w:val="en-US"/>
        </w:rPr>
      </w:pPr>
      <w:r>
        <w:rPr>
          <w:rFonts w:ascii="Arial" w:hAnsi="Arial" w:cs="Arial"/>
          <w:lang w:val="en-US"/>
        </w:rPr>
        <w:fldChar w:fldCharType="end"/>
      </w:r>
    </w:p>
    <w:p w:rsidR="006726CB" w:rsidRPr="006726CB" w:rsidRDefault="006726CB" w:rsidP="006726CB">
      <w:pPr>
        <w:pStyle w:val="1Titulo"/>
        <w:numPr>
          <w:ilvl w:val="0"/>
          <w:numId w:val="0"/>
        </w:numPr>
        <w:ind w:left="357"/>
        <w:jc w:val="center"/>
        <w:rPr>
          <w:color w:val="000000"/>
          <w:sz w:val="28"/>
          <w:szCs w:val="28"/>
        </w:rPr>
      </w:pPr>
      <w:bookmarkStart w:id="273" w:name="_Toc50031345"/>
      <w:r w:rsidRPr="006726CB">
        <w:rPr>
          <w:sz w:val="28"/>
          <w:szCs w:val="28"/>
        </w:rPr>
        <w:t>Cálculo del rendimiento de combustible y las emisiones de bióxido de carbono de tractocamiones</w:t>
      </w:r>
      <w:bookmarkEnd w:id="273"/>
    </w:p>
    <w:p w:rsidR="006726CB" w:rsidRPr="003C5965" w:rsidRDefault="006726CB" w:rsidP="006726CB">
      <w:pPr>
        <w:jc w:val="center"/>
        <w:rPr>
          <w:color w:val="000000"/>
          <w:sz w:val="28"/>
          <w:szCs w:val="28"/>
        </w:rPr>
      </w:pPr>
    </w:p>
    <w:p w:rsidR="006726CB" w:rsidRPr="003C5965" w:rsidRDefault="006726CB" w:rsidP="006726CB">
      <w:pPr>
        <w:pStyle w:val="Author"/>
        <w:rPr>
          <w:rFonts w:ascii="Arial" w:hAnsi="Arial" w:cs="Arial"/>
          <w:szCs w:val="24"/>
          <w:u w:val="single"/>
          <w:vertAlign w:val="superscript"/>
          <w:lang w:val="es-ES"/>
        </w:rPr>
      </w:pPr>
      <w:r w:rsidRPr="003C5965">
        <w:rPr>
          <w:rFonts w:ascii="Arial" w:hAnsi="Arial" w:cs="Arial"/>
          <w:szCs w:val="24"/>
          <w:lang w:val="es-ES"/>
        </w:rPr>
        <w:t>Pantoja-Gallegos, J.L.,</w:t>
      </w:r>
      <w:r w:rsidRPr="003C5965">
        <w:rPr>
          <w:rFonts w:ascii="Arial" w:hAnsi="Arial" w:cs="Arial"/>
          <w:szCs w:val="24"/>
          <w:vertAlign w:val="superscript"/>
          <w:lang w:val="es-ES"/>
        </w:rPr>
        <w:t>1</w:t>
      </w:r>
      <w:r w:rsidRPr="003C5965">
        <w:rPr>
          <w:rFonts w:ascii="Arial" w:hAnsi="Arial" w:cs="Arial"/>
          <w:szCs w:val="24"/>
          <w:lang w:val="es-ES"/>
        </w:rPr>
        <w:t xml:space="preserve"> Domínguez-Pérez, D.N.,</w:t>
      </w:r>
      <w:r w:rsidRPr="003C5965">
        <w:rPr>
          <w:rFonts w:ascii="Arial" w:hAnsi="Arial" w:cs="Arial"/>
          <w:szCs w:val="24"/>
          <w:vertAlign w:val="superscript"/>
          <w:lang w:val="es-ES"/>
        </w:rPr>
        <w:t xml:space="preserve">2 </w:t>
      </w:r>
      <w:r w:rsidRPr="003C5965">
        <w:rPr>
          <w:rFonts w:ascii="Arial" w:hAnsi="Arial" w:cs="Arial"/>
          <w:szCs w:val="24"/>
          <w:u w:val="single"/>
          <w:lang w:val="es-ES"/>
        </w:rPr>
        <w:t>Domínguez-Vergara, N.</w:t>
      </w:r>
      <w:r w:rsidRPr="003C5965">
        <w:rPr>
          <w:rFonts w:ascii="Arial" w:hAnsi="Arial" w:cs="Arial"/>
          <w:szCs w:val="24"/>
          <w:u w:val="single"/>
          <w:vertAlign w:val="superscript"/>
          <w:lang w:val="es-ES"/>
        </w:rPr>
        <w:t>1</w:t>
      </w:r>
      <w:r w:rsidRPr="003C5965">
        <w:rPr>
          <w:rFonts w:ascii="Arial" w:hAnsi="Arial" w:cs="Arial"/>
          <w:szCs w:val="24"/>
          <w:lang w:val="es-ES"/>
        </w:rPr>
        <w:t xml:space="preserve"> </w:t>
      </w:r>
    </w:p>
    <w:p w:rsidR="006726CB" w:rsidRPr="003C5965" w:rsidRDefault="006726CB" w:rsidP="006726CB">
      <w:pPr>
        <w:pStyle w:val="affiliation"/>
        <w:rPr>
          <w:rFonts w:ascii="Arial" w:hAnsi="Arial" w:cs="Arial"/>
          <w:sz w:val="24"/>
          <w:szCs w:val="24"/>
          <w:vertAlign w:val="superscript"/>
          <w:lang w:val="es-ES"/>
        </w:rPr>
      </w:pPr>
      <w:r w:rsidRPr="003C5965">
        <w:rPr>
          <w:rFonts w:ascii="Arial" w:hAnsi="Arial" w:cs="Arial"/>
          <w:sz w:val="24"/>
          <w:szCs w:val="24"/>
          <w:vertAlign w:val="superscript"/>
          <w:lang w:val="es-ES"/>
        </w:rPr>
        <w:t>1</w:t>
      </w:r>
      <w:r w:rsidRPr="003C5965">
        <w:rPr>
          <w:rFonts w:ascii="Arial" w:hAnsi="Arial" w:cs="Arial"/>
          <w:sz w:val="24"/>
          <w:szCs w:val="24"/>
          <w:lang w:val="es-ES"/>
        </w:rPr>
        <w:t xml:space="preserve">Universidad Autónoma Metropolitana Azcapotzalco. </w:t>
      </w:r>
    </w:p>
    <w:p w:rsidR="006726CB" w:rsidRPr="003C5965" w:rsidRDefault="006726CB" w:rsidP="006726CB">
      <w:pPr>
        <w:pStyle w:val="affiliation"/>
        <w:rPr>
          <w:rFonts w:ascii="Arial" w:hAnsi="Arial" w:cs="Arial"/>
          <w:sz w:val="24"/>
          <w:szCs w:val="24"/>
          <w:lang w:val="es-ES"/>
        </w:rPr>
      </w:pPr>
      <w:r w:rsidRPr="003C5965">
        <w:rPr>
          <w:rFonts w:ascii="Arial" w:hAnsi="Arial" w:cs="Arial"/>
          <w:sz w:val="24"/>
          <w:szCs w:val="24"/>
          <w:vertAlign w:val="superscript"/>
          <w:lang w:val="es-ES"/>
        </w:rPr>
        <w:t>2</w:t>
      </w:r>
      <w:r w:rsidRPr="003C5965">
        <w:rPr>
          <w:rFonts w:ascii="Arial" w:hAnsi="Arial" w:cs="Arial"/>
          <w:sz w:val="24"/>
          <w:szCs w:val="24"/>
          <w:lang w:val="es-ES"/>
        </w:rPr>
        <w:t>Facultad de Ingeniería, Universidad Nacional Autónoma de México.</w:t>
      </w:r>
    </w:p>
    <w:p w:rsidR="006726CB" w:rsidRPr="003C5965" w:rsidRDefault="001345E4" w:rsidP="006726CB">
      <w:pPr>
        <w:pStyle w:val="affiliation"/>
        <w:rPr>
          <w:rFonts w:ascii="Arial" w:hAnsi="Arial" w:cs="Arial"/>
          <w:sz w:val="24"/>
          <w:szCs w:val="24"/>
          <w:lang w:val="es-ES"/>
        </w:rPr>
      </w:pPr>
      <w:hyperlink r:id="rId1140" w:history="1">
        <w:r w:rsidR="006726CB" w:rsidRPr="003C5965">
          <w:rPr>
            <w:rStyle w:val="Hipervnculo"/>
            <w:rFonts w:ascii="Arial" w:hAnsi="Arial" w:cs="Arial"/>
            <w:sz w:val="24"/>
            <w:szCs w:val="24"/>
            <w:lang w:val="es-ES"/>
          </w:rPr>
          <w:t>jpg@correo.azc.uam.mx</w:t>
        </w:r>
      </w:hyperlink>
      <w:r w:rsidR="006726CB" w:rsidRPr="003C5965">
        <w:rPr>
          <w:rFonts w:ascii="Arial" w:hAnsi="Arial" w:cs="Arial"/>
          <w:sz w:val="24"/>
          <w:szCs w:val="24"/>
          <w:lang w:val="es-ES"/>
        </w:rPr>
        <w:t xml:space="preserve">, </w:t>
      </w:r>
      <w:hyperlink r:id="rId1141" w:history="1">
        <w:r w:rsidR="006726CB" w:rsidRPr="003C5965">
          <w:rPr>
            <w:rStyle w:val="Hipervnculo"/>
            <w:rFonts w:ascii="Arial" w:hAnsi="Arial" w:cs="Arial"/>
            <w:sz w:val="24"/>
            <w:szCs w:val="24"/>
            <w:lang w:val="es-ES"/>
          </w:rPr>
          <w:t>dannickfox@gmail.com</w:t>
        </w:r>
      </w:hyperlink>
      <w:r w:rsidR="006726CB" w:rsidRPr="003C5965">
        <w:rPr>
          <w:rFonts w:ascii="Arial" w:hAnsi="Arial" w:cs="Arial"/>
          <w:sz w:val="24"/>
          <w:szCs w:val="24"/>
          <w:lang w:val="es-ES"/>
        </w:rPr>
        <w:t xml:space="preserve">, </w:t>
      </w:r>
      <w:hyperlink r:id="rId1142" w:history="1">
        <w:r w:rsidR="006726CB" w:rsidRPr="003C5965">
          <w:rPr>
            <w:rStyle w:val="Hipervnculo"/>
            <w:rFonts w:ascii="Arial" w:hAnsi="Arial" w:cs="Arial"/>
            <w:sz w:val="24"/>
            <w:szCs w:val="24"/>
            <w:lang w:val="es-ES"/>
          </w:rPr>
          <w:t>ndv@correo.azc.uam.mx</w:t>
        </w:r>
      </w:hyperlink>
    </w:p>
    <w:p w:rsidR="006726CB" w:rsidRPr="003C5965" w:rsidRDefault="006726CB" w:rsidP="006726CB">
      <w:pPr>
        <w:pStyle w:val="affiliation"/>
        <w:rPr>
          <w:rFonts w:ascii="Arial" w:eastAsia="Batang" w:hAnsi="Arial" w:cs="Arial"/>
          <w:b/>
          <w:bCs/>
          <w:i/>
          <w:iCs/>
          <w:caps/>
          <w:sz w:val="24"/>
          <w:szCs w:val="24"/>
          <w:lang w:val="es-ES"/>
        </w:rPr>
      </w:pPr>
    </w:p>
    <w:p w:rsidR="006726CB" w:rsidRPr="006726CB" w:rsidRDefault="006726CB" w:rsidP="006726CB">
      <w:pPr>
        <w:pStyle w:val="Ttulo1"/>
        <w:keepLines w:val="0"/>
        <w:tabs>
          <w:tab w:val="left" w:pos="0"/>
        </w:tabs>
        <w:suppressAutoHyphens/>
        <w:spacing w:before="0" w:after="0" w:line="360" w:lineRule="auto"/>
        <w:rPr>
          <w:rFonts w:ascii="Arial" w:hAnsi="Arial" w:cs="Arial"/>
          <w:i/>
          <w:color w:val="000000"/>
          <w:sz w:val="24"/>
          <w:szCs w:val="24"/>
        </w:rPr>
      </w:pPr>
      <w:bookmarkStart w:id="274" w:name="_Toc50031346"/>
      <w:r w:rsidRPr="006726CB">
        <w:rPr>
          <w:rFonts w:ascii="Arial" w:hAnsi="Arial" w:cs="Arial"/>
          <w:i/>
          <w:caps/>
          <w:sz w:val="24"/>
          <w:szCs w:val="24"/>
        </w:rPr>
        <w:t>1. r</w:t>
      </w:r>
      <w:r w:rsidRPr="006726CB">
        <w:rPr>
          <w:rFonts w:ascii="Arial" w:hAnsi="Arial" w:cs="Arial"/>
          <w:i/>
          <w:sz w:val="24"/>
          <w:szCs w:val="24"/>
        </w:rPr>
        <w:t>esumen</w:t>
      </w:r>
      <w:bookmarkEnd w:id="274"/>
      <w:r w:rsidRPr="006726CB">
        <w:rPr>
          <w:rFonts w:ascii="Arial" w:hAnsi="Arial" w:cs="Arial"/>
          <w:i/>
          <w:sz w:val="24"/>
          <w:szCs w:val="24"/>
        </w:rPr>
        <w:t xml:space="preserve"> </w:t>
      </w:r>
    </w:p>
    <w:p w:rsidR="006726CB" w:rsidRPr="003C5965" w:rsidRDefault="006726CB" w:rsidP="006726CB">
      <w:pPr>
        <w:ind w:firstLine="567"/>
        <w:jc w:val="both"/>
        <w:rPr>
          <w:rFonts w:ascii="Arial" w:hAnsi="Arial" w:cs="Arial"/>
          <w:lang w:val="es-MX"/>
        </w:rPr>
      </w:pPr>
      <w:r w:rsidRPr="003C5965">
        <w:rPr>
          <w:rFonts w:ascii="Arial" w:hAnsi="Arial" w:cs="Arial"/>
        </w:rPr>
        <w:t>Por medio del uso d</w:t>
      </w:r>
      <w:r w:rsidRPr="003C5965">
        <w:rPr>
          <w:rFonts w:ascii="Arial" w:hAnsi="Arial" w:cs="Arial"/>
          <w:lang w:val="es-MX"/>
        </w:rPr>
        <w:t xml:space="preserve">el paquete computacional, UAMmero, desarrollado en la Universidad Autónoma Metropolitana unidad Azcapotzalco, se calcula el consumo de combustible, las emisiones de bióxido de carbono y el rendimiento de combustible de un tractocamión de 3 ejes durante tres ciclos </w:t>
      </w:r>
      <w:r w:rsidRPr="003C5965">
        <w:rPr>
          <w:rFonts w:ascii="Arial" w:hAnsi="Arial" w:cs="Arial"/>
          <w:lang w:val="es-MX"/>
        </w:rPr>
        <w:lastRenderedPageBreak/>
        <w:t xml:space="preserve">de manejo para 2 cargas diferentes, </w:t>
      </w:r>
      <w:r w:rsidRPr="003C5965">
        <w:rPr>
          <w:rFonts w:ascii="Arial" w:hAnsi="Arial" w:cs="Arial"/>
        </w:rPr>
        <w:t>17236</w:t>
      </w:r>
      <w:r w:rsidRPr="003C5965">
        <w:rPr>
          <w:rFonts w:ascii="Arial" w:hAnsi="Arial" w:cs="Arial"/>
          <w:lang w:val="es-MX"/>
        </w:rPr>
        <w:t xml:space="preserve"> y </w:t>
      </w:r>
      <w:r w:rsidRPr="003C5965">
        <w:rPr>
          <w:rFonts w:ascii="Arial" w:hAnsi="Arial" w:cs="Arial"/>
        </w:rPr>
        <w:t>22258</w:t>
      </w:r>
      <w:r w:rsidRPr="003C5965">
        <w:rPr>
          <w:rFonts w:ascii="Arial" w:hAnsi="Arial" w:cs="Arial"/>
          <w:lang w:val="es-MX"/>
        </w:rPr>
        <w:t xml:space="preserve"> kilogramos. También se realizan los cálculos para dos valores de inclinación de la carretera, 0 y 1.5 grados. La carga de 17236 kilogramos y la inclinación de 0 grados son las variables que se usan en Estados Unidos para la certificación de los tractocamiones nuevos al consumo de combustible y emisiones de bióxido de carbono. Los cálculos que se realizaron en este trabajo son los que se llevarían a cabo para certificar a los tractocamiones nuevos de 3 ejes al consumo de combustible y emisiones de gases de efecto invernadero en México. </w:t>
      </w:r>
    </w:p>
    <w:p w:rsidR="006726CB" w:rsidRPr="003C5965" w:rsidRDefault="006726CB" w:rsidP="006726CB">
      <w:pPr>
        <w:ind w:firstLine="567"/>
        <w:jc w:val="both"/>
        <w:rPr>
          <w:rFonts w:ascii="Arial" w:hAnsi="Arial" w:cs="Arial"/>
        </w:rPr>
      </w:pPr>
    </w:p>
    <w:p w:rsidR="006726CB" w:rsidRPr="006726CB" w:rsidRDefault="006726CB" w:rsidP="006726CB">
      <w:pPr>
        <w:pStyle w:val="Ttulo1"/>
        <w:keepLines w:val="0"/>
        <w:tabs>
          <w:tab w:val="left" w:pos="0"/>
        </w:tabs>
        <w:suppressAutoHyphens/>
        <w:spacing w:before="0" w:after="0" w:line="360" w:lineRule="auto"/>
        <w:rPr>
          <w:rFonts w:ascii="Arial" w:hAnsi="Arial" w:cs="Arial"/>
          <w:i/>
          <w:caps/>
          <w:sz w:val="24"/>
          <w:szCs w:val="24"/>
        </w:rPr>
      </w:pPr>
      <w:bookmarkStart w:id="275" w:name="_Toc50031347"/>
      <w:r w:rsidRPr="006726CB">
        <w:rPr>
          <w:rFonts w:ascii="Arial" w:hAnsi="Arial" w:cs="Arial"/>
          <w:i/>
          <w:caps/>
          <w:sz w:val="24"/>
          <w:szCs w:val="24"/>
        </w:rPr>
        <w:t>2. I</w:t>
      </w:r>
      <w:r w:rsidRPr="006726CB">
        <w:rPr>
          <w:rFonts w:ascii="Arial" w:hAnsi="Arial" w:cs="Arial"/>
          <w:i/>
          <w:sz w:val="24"/>
          <w:szCs w:val="24"/>
        </w:rPr>
        <w:t>ntroducción</w:t>
      </w:r>
      <w:bookmarkEnd w:id="275"/>
      <w:r w:rsidRPr="006726CB">
        <w:rPr>
          <w:rFonts w:ascii="Arial" w:hAnsi="Arial" w:cs="Arial"/>
          <w:i/>
          <w:sz w:val="24"/>
          <w:szCs w:val="24"/>
        </w:rPr>
        <w:t xml:space="preserve"> </w:t>
      </w:r>
    </w:p>
    <w:p w:rsidR="006726CB" w:rsidRPr="003C5965" w:rsidRDefault="006726CB" w:rsidP="006726CB">
      <w:pPr>
        <w:jc w:val="both"/>
        <w:rPr>
          <w:rFonts w:ascii="Arial" w:hAnsi="Arial" w:cs="Arial"/>
          <w:lang w:val="es-MX"/>
        </w:rPr>
      </w:pPr>
      <w:r w:rsidRPr="003C5965">
        <w:t xml:space="preserve">         </w:t>
      </w:r>
      <w:r w:rsidRPr="003C5965">
        <w:rPr>
          <w:rFonts w:ascii="Arial" w:hAnsi="Arial" w:cs="Arial"/>
          <w:lang w:val="es-MX"/>
        </w:rPr>
        <w:t xml:space="preserve">En Japón, Estados Unidos </w:t>
      </w:r>
      <w:r w:rsidRPr="003C5965">
        <w:rPr>
          <w:rFonts w:ascii="Arial" w:hAnsi="Arial" w:cs="Arial"/>
          <w:vertAlign w:val="superscript"/>
        </w:rPr>
        <w:t>[1]</w:t>
      </w:r>
      <w:r w:rsidRPr="003C5965">
        <w:rPr>
          <w:rFonts w:ascii="Arial" w:hAnsi="Arial" w:cs="Arial"/>
          <w:lang w:val="es-MX"/>
        </w:rPr>
        <w:t xml:space="preserve">, China, Canadá, la Unión Europea e India se han implantado o se están implantando normas de consumo de combustible o de emisiones de bióxido de carbono de los vehículos pesados nuevos. Los vehículos pesados son aquellos que pesan más de 3.857 toneladas (tons) e incluyen camionetas pesadas, tortones, carros utilitarios como de la basura y tractocamiones entre muchos otros. El consumo de combustible de los tractocamiones de 3 ejes cambia significativamente cuando se le cambia el remolque que arrastran porque modifican las características físicas de la combinación tráiler-remolque, o sea la aerodinámica del vehículo, el coeficiente de fricción de sus llantas y los momentos de inercia de las partes del vehículo que rotan, entre otras cosas. Por toda la gran variedad de los vehículos pesados es más conveniente certificarlos en su consumo de combustible y emisiones de bióxido de carbono, no con un dinamómetro de chasis como el que se usa para certificar a los automóviles, sino mediante un software que simule su recorrido en carretera. Los tractocamiones de 3 ejes son los vehículos pesados que más consumen combustible y por lo tanto a los que se les debiera regular primero en México; sin embargo, la metodología descrita en este trabajo para la evaluación del rendimiento energético y las emisiones de bióxido de carbono, es la base que se puede aplicar al resto de los vehículos pesados. Existen unas pocas herramientas computacionales en el mundo que se usan o usarán para certificar a los vehículos pesados, entre ellos se encuentran el </w:t>
      </w:r>
      <w:r w:rsidRPr="003C5965">
        <w:rPr>
          <w:rFonts w:ascii="Arial" w:hAnsi="Arial" w:cs="Arial"/>
          <w:lang w:val="es-MX" w:eastAsia="es-MX"/>
        </w:rPr>
        <w:t>Vehicle Energy Consumption calculation TOol (</w:t>
      </w:r>
      <w:r w:rsidRPr="003C5965">
        <w:rPr>
          <w:rFonts w:ascii="Arial" w:hAnsi="Arial" w:cs="Arial"/>
          <w:lang w:val="es-MX"/>
        </w:rPr>
        <w:t xml:space="preserve">VECTO) </w:t>
      </w:r>
      <w:r w:rsidRPr="003C5965">
        <w:rPr>
          <w:rFonts w:ascii="Arial" w:hAnsi="Arial" w:cs="Arial"/>
          <w:vertAlign w:val="superscript"/>
        </w:rPr>
        <w:t>[2]</w:t>
      </w:r>
      <w:r w:rsidRPr="003C5965">
        <w:rPr>
          <w:rFonts w:ascii="Arial" w:hAnsi="Arial" w:cs="Arial"/>
          <w:lang w:val="es-MX"/>
        </w:rPr>
        <w:t xml:space="preserve"> desarrollado por la Unión Europea y el Greenhouse Gas Emissions Model (GEM) </w:t>
      </w:r>
      <w:r w:rsidRPr="003C5965">
        <w:rPr>
          <w:rFonts w:ascii="Arial" w:hAnsi="Arial" w:cs="Arial"/>
          <w:vertAlign w:val="superscript"/>
          <w:lang w:val="es-MX"/>
        </w:rPr>
        <w:t>[</w:t>
      </w:r>
      <w:r w:rsidRPr="003C5965">
        <w:rPr>
          <w:rFonts w:ascii="Arial" w:hAnsi="Arial" w:cs="Arial"/>
          <w:vertAlign w:val="superscript"/>
        </w:rPr>
        <w:t>3]</w:t>
      </w:r>
      <w:r w:rsidRPr="003C5965">
        <w:rPr>
          <w:rFonts w:ascii="Arial" w:hAnsi="Arial" w:cs="Arial"/>
          <w:lang w:val="es-MX"/>
        </w:rPr>
        <w:t xml:space="preserve"> desarrollado por la Agencia de Protección Ambiental (EPA) de Estados Unidos de América. En la Universidad Autónoma Metropolitana (UAM) los autores han estado desarrollando UAMmero </w:t>
      </w:r>
      <w:r w:rsidRPr="003C5965">
        <w:rPr>
          <w:rFonts w:ascii="Arial" w:hAnsi="Arial" w:cs="Arial"/>
          <w:vertAlign w:val="superscript"/>
          <w:lang w:val="es-MX"/>
        </w:rPr>
        <w:t>[</w:t>
      </w:r>
      <w:r w:rsidRPr="003C5965">
        <w:rPr>
          <w:rFonts w:ascii="Arial" w:hAnsi="Arial" w:cs="Arial"/>
          <w:vertAlign w:val="superscript"/>
        </w:rPr>
        <w:t>4]</w:t>
      </w:r>
      <w:r w:rsidRPr="003C5965">
        <w:rPr>
          <w:rFonts w:ascii="Arial" w:hAnsi="Arial" w:cs="Arial"/>
          <w:lang w:val="es-MX"/>
        </w:rPr>
        <w:t xml:space="preserve"> con el mismo propósito. Para certificar a los vehículos pesados se simula, usando un software, el movimiento de los vehículos en ciclos de manejo, como si estuvieran en un dinamómetro de chasis. En Estados Unidos, para certificar un vehículo pesado, el GEM simula que se mueve en 3 ciclos de manejo, el transitorio ARB, velocidad crucero de 55 millas por hora y velocidad crucero de 65 millas por hora </w:t>
      </w:r>
      <w:r w:rsidRPr="003C5965">
        <w:rPr>
          <w:rFonts w:ascii="Arial" w:hAnsi="Arial" w:cs="Arial"/>
          <w:vertAlign w:val="superscript"/>
        </w:rPr>
        <w:t>[3]</w:t>
      </w:r>
      <w:r w:rsidRPr="003C5965">
        <w:rPr>
          <w:rFonts w:ascii="Arial" w:hAnsi="Arial" w:cs="Arial"/>
          <w:lang w:val="es-MX"/>
        </w:rPr>
        <w:t xml:space="preserve">. Con el software VECTO se simula que cada vehículo pesado se mueve en un ciclo de manejo que depende del uso que se dé al vehículo. En el mundo se escogen ciclos de manejo diferentes porque las distancias recorridas y la geografía por la que se mueven los vehículos pesados no son las mismas; por ejemplo, Estados Unidos tiene carreteras muy largas a lo largo y ancho del país, mientras que en Japón los recorridos en carretera no son muy largos, también los límites de las cargas transportadas y las dimensiones que tienen los vehículos son diferentes en los distintos países. En México se tiene la peculiaridad de que las cargas transportadas son grandes con el fin de reducir los costos de operación y de que las carreteras por las que se transportan los bienes tienen pendientes diferentes de cero, es decir, parte de sus trayectos tienen una inclinación (porque se han construido sobre montañas). En este trabajo usando UAMmero, se reportan los cálculos del consumo de combustible, las emisiones de bióxido de </w:t>
      </w:r>
      <w:r w:rsidRPr="003C5965">
        <w:rPr>
          <w:rFonts w:ascii="Arial" w:hAnsi="Arial" w:cs="Arial"/>
          <w:lang w:val="es-MX"/>
        </w:rPr>
        <w:lastRenderedPageBreak/>
        <w:t>carbono (CO2) y el rendimiento de combustible de un tractocamión de 3 ejes que se mueve en los 3 ciclos de manejo mencionados anteriormente. El estudio de los tractocamiones de 3 ejes se debe a que son los vehículos más usados para transportar las cargas más grandes. En trabajos futuros se detallarán los resultados para vehículos menos pesados que tienen otros números de ejes así como otras características tecnológicas diferentes a los reportados en este trabajo. Los cálculos se realizan para dos trayectos diferentes (dos pendientes diferentes) y con dos cargas de diferentes masas, para mostrar la manera en que se usaría UAMmero para certificar tractocamiones de 3 ejes. Desde luego que el grupo que trabaje en la elaboración de la norma mexicana definiría la inclinación y la carga con la que se correría UAMmero u otro software para demostrar si un tractocamión cumple con los límites de consumo de combustible y emisiones de bióxido de carbono que establezca la norma.</w:t>
      </w:r>
    </w:p>
    <w:p w:rsidR="006726CB" w:rsidRPr="003C5965" w:rsidRDefault="006726CB" w:rsidP="006726CB">
      <w:pPr>
        <w:ind w:firstLine="539"/>
        <w:jc w:val="both"/>
        <w:rPr>
          <w:rFonts w:ascii="Arial" w:hAnsi="Arial" w:cs="Arial"/>
          <w:color w:val="000000"/>
        </w:rPr>
      </w:pPr>
    </w:p>
    <w:p w:rsidR="006726CB" w:rsidRPr="003C5965" w:rsidRDefault="006726CB" w:rsidP="006726CB">
      <w:pPr>
        <w:pStyle w:val="1Titulo"/>
        <w:numPr>
          <w:ilvl w:val="0"/>
          <w:numId w:val="0"/>
        </w:numPr>
        <w:ind w:left="357"/>
      </w:pPr>
      <w:bookmarkStart w:id="276" w:name="_Toc50031348"/>
      <w:r w:rsidRPr="003C5965">
        <w:t>3. Cálculo del consumo de combustible y emisiones de CO2</w:t>
      </w:r>
      <w:bookmarkEnd w:id="276"/>
    </w:p>
    <w:p w:rsidR="006726CB" w:rsidRPr="003C5965" w:rsidRDefault="006726CB" w:rsidP="006726CB">
      <w:pPr>
        <w:ind w:firstLine="567"/>
        <w:jc w:val="both"/>
        <w:rPr>
          <w:rFonts w:ascii="Arial" w:hAnsi="Arial" w:cs="Arial"/>
        </w:rPr>
      </w:pPr>
      <w:r w:rsidRPr="003C5965">
        <w:rPr>
          <w:rFonts w:ascii="Arial" w:hAnsi="Arial" w:cs="Arial"/>
        </w:rPr>
        <w:t xml:space="preserve">El paquete computacional </w:t>
      </w:r>
      <w:r w:rsidRPr="003C5965">
        <w:rPr>
          <w:rFonts w:ascii="Arial" w:hAnsi="Arial" w:cs="Arial"/>
          <w:lang w:val="es-MX"/>
        </w:rPr>
        <w:t xml:space="preserve">UAMmero simula el movimiento de un vehículo pesado en los 3 ciclos de manejo mencionados anteriormente así como también en carreteras de México </w:t>
      </w:r>
      <w:r w:rsidRPr="003C5965">
        <w:rPr>
          <w:rFonts w:ascii="Arial" w:hAnsi="Arial" w:cs="Arial"/>
          <w:vertAlign w:val="superscript"/>
          <w:lang w:val="es-MX"/>
        </w:rPr>
        <w:t>[</w:t>
      </w:r>
      <w:r w:rsidRPr="003C5965">
        <w:rPr>
          <w:rFonts w:ascii="Arial" w:hAnsi="Arial" w:cs="Arial"/>
          <w:vertAlign w:val="superscript"/>
        </w:rPr>
        <w:t>4]</w:t>
      </w:r>
      <w:r w:rsidRPr="003C5965">
        <w:rPr>
          <w:rFonts w:ascii="Arial" w:hAnsi="Arial" w:cs="Arial"/>
          <w:lang w:val="es-MX"/>
        </w:rPr>
        <w:t>, aunque en este trabajo no realizamos cálculos para viajes del vehículo en carreteras del país. La dinámica vehicular está descrita en la Ecuación (1)</w:t>
      </w:r>
      <w:r w:rsidRPr="003C5965">
        <w:rPr>
          <w:rFonts w:ascii="Arial" w:hAnsi="Arial" w:cs="Arial"/>
          <w:vertAlign w:val="superscript"/>
        </w:rPr>
        <w:t xml:space="preserve"> [4][5][6]</w:t>
      </w:r>
      <w:r w:rsidRPr="003C5965">
        <w:rPr>
          <w:rFonts w:ascii="Arial" w:hAnsi="Arial" w:cs="Arial"/>
          <w:lang w:val="es-MX"/>
        </w:rPr>
        <w:t>.</w:t>
      </w:r>
    </w:p>
    <w:p w:rsidR="006726CB" w:rsidRPr="003C5965" w:rsidRDefault="006726CB" w:rsidP="006726CB">
      <w:pPr>
        <w:jc w:val="both"/>
        <w:rPr>
          <w:rFonts w:ascii="Arial" w:hAnsi="Arial" w:cs="Arial"/>
          <w:lang w:val="es-MX"/>
        </w:rPr>
      </w:pPr>
    </w:p>
    <w:p w:rsidR="006726CB" w:rsidRPr="003C5965" w:rsidRDefault="006726CB" w:rsidP="006726CB">
      <w:pPr>
        <w:jc w:val="center"/>
        <w:rPr>
          <w:rFonts w:ascii="Arial" w:hAnsi="Arial" w:cs="Arial"/>
          <w:lang w:val="es-MX" w:eastAsia="es-ES"/>
        </w:rPr>
      </w:pPr>
      <w:r w:rsidRPr="003C5965">
        <w:rPr>
          <w:rFonts w:ascii="Arial" w:hAnsi="Arial" w:cs="Arial"/>
          <w:lang w:val="es-MX" w:eastAsia="es-ES"/>
        </w:rPr>
        <w:t xml:space="preserve">                                 </w:t>
      </w:r>
      <m:oMath>
        <m:sSub>
          <m:sSubPr>
            <m:ctrlPr>
              <w:rPr>
                <w:rFonts w:ascii="Cambria Math" w:eastAsia="Times New Roman" w:hAnsi="Cambria Math" w:cs="Arial"/>
                <w:i/>
                <w:lang w:eastAsia="es-ES"/>
              </w:rPr>
            </m:ctrlPr>
          </m:sSubPr>
          <m:e>
            <m:sSub>
              <m:sSubPr>
                <m:ctrlPr>
                  <w:rPr>
                    <w:rFonts w:ascii="Cambria Math" w:eastAsia="Times New Roman" w:hAnsi="Cambria Math" w:cs="Arial"/>
                    <w:i/>
                    <w:lang w:eastAsia="es-ES"/>
                  </w:rPr>
                </m:ctrlPr>
              </m:sSubPr>
              <m:e>
                <m:r>
                  <w:rPr>
                    <w:rFonts w:ascii="Cambria Math" w:hAnsi="Cambria Math" w:cs="Arial"/>
                    <w:lang w:val="es-MX"/>
                  </w:rPr>
                  <m:t>(</m:t>
                </m:r>
                <m:r>
                  <w:rPr>
                    <w:rFonts w:ascii="Cambria Math" w:hAnsi="Cambria Math" w:cs="Arial"/>
                  </w:rPr>
                  <m:t>M</m:t>
                </m:r>
              </m:e>
              <m:sub>
                <m:r>
                  <w:rPr>
                    <w:rFonts w:ascii="Cambria Math" w:hAnsi="Cambria Math" w:cs="Arial"/>
                    <w:lang w:val="es-MX"/>
                  </w:rPr>
                  <m:t xml:space="preserve"> </m:t>
                </m:r>
              </m:sub>
            </m:sSub>
            <m:r>
              <w:rPr>
                <w:rFonts w:ascii="Cambria Math" w:hAnsi="Cambria Math" w:cs="Arial"/>
                <w:lang w:val="es-MX"/>
              </w:rPr>
              <m:t>+</m:t>
            </m:r>
            <m:sSub>
              <m:sSubPr>
                <m:ctrlPr>
                  <w:rPr>
                    <w:rFonts w:ascii="Cambria Math" w:eastAsia="Times New Roman" w:hAnsi="Cambria Math" w:cs="Arial"/>
                    <w:i/>
                    <w:lang w:val="es-ES_tradnl" w:eastAsia="es-ES"/>
                  </w:rPr>
                </m:ctrlPr>
              </m:sSubPr>
              <m:e>
                <m:r>
                  <w:rPr>
                    <w:rFonts w:ascii="Cambria Math" w:hAnsi="Cambria Math" w:cs="Arial"/>
                  </w:rPr>
                  <m:t>m</m:t>
                </m:r>
              </m:e>
              <m:sub>
                <m:r>
                  <w:rPr>
                    <w:rFonts w:ascii="Cambria Math" w:hAnsi="Cambria Math" w:cs="Arial"/>
                  </w:rPr>
                  <m:t>inercial</m:t>
                </m:r>
              </m:sub>
            </m:sSub>
            <m:r>
              <w:rPr>
                <w:rFonts w:ascii="Cambria Math" w:hAnsi="Cambria Math" w:cs="Arial"/>
                <w:lang w:val="es-MX"/>
              </w:rPr>
              <m:t>)</m:t>
            </m:r>
            <m:r>
              <w:rPr>
                <w:rFonts w:ascii="Cambria Math" w:hAnsi="Cambria Math" w:cs="Arial"/>
              </w:rPr>
              <m:t>a</m:t>
            </m:r>
            <m:r>
              <w:rPr>
                <w:rFonts w:ascii="Cambria Math" w:hAnsi="Cambria Math" w:cs="Arial"/>
                <w:lang w:val="es-MX"/>
              </w:rPr>
              <m:t>=</m:t>
            </m:r>
            <m:f>
              <m:fPr>
                <m:ctrlPr>
                  <w:rPr>
                    <w:rFonts w:ascii="Cambria Math" w:hAnsi="Cambria Math" w:cs="Arial"/>
                    <w:i/>
                    <w:lang w:val="es-MX"/>
                  </w:rPr>
                </m:ctrlPr>
              </m:fPr>
              <m:num>
                <m:sSub>
                  <m:sSubPr>
                    <m:ctrlPr>
                      <w:rPr>
                        <w:rFonts w:ascii="Cambria Math" w:hAnsi="Cambria Math" w:cs="Arial"/>
                        <w:i/>
                        <w:lang w:val="es-MX"/>
                      </w:rPr>
                    </m:ctrlPr>
                  </m:sSubPr>
                  <m:e>
                    <m:r>
                      <w:rPr>
                        <w:rFonts w:ascii="Cambria Math" w:hAnsi="Cambria Math" w:cs="Arial"/>
                        <w:lang w:val="es-MX"/>
                      </w:rPr>
                      <m:t>T</m:t>
                    </m:r>
                  </m:e>
                  <m:sub>
                    <m:r>
                      <w:rPr>
                        <w:rFonts w:ascii="Cambria Math" w:hAnsi="Cambria Math" w:cs="Arial"/>
                        <w:lang w:val="es-MX"/>
                      </w:rPr>
                      <m:t>e</m:t>
                    </m:r>
                  </m:sub>
                </m:sSub>
                <m:sSub>
                  <m:sSubPr>
                    <m:ctrlPr>
                      <w:rPr>
                        <w:rFonts w:ascii="Cambria Math" w:hAnsi="Cambria Math" w:cs="Arial"/>
                        <w:i/>
                        <w:lang w:val="es-MX"/>
                      </w:rPr>
                    </m:ctrlPr>
                  </m:sSubPr>
                  <m:e>
                    <m:r>
                      <w:rPr>
                        <w:rFonts w:ascii="Cambria Math" w:hAnsi="Cambria Math" w:cs="Arial"/>
                        <w:lang w:val="es-MX"/>
                      </w:rPr>
                      <m:t>N</m:t>
                    </m:r>
                  </m:e>
                  <m:sub>
                    <m:r>
                      <w:rPr>
                        <w:rFonts w:ascii="Cambria Math" w:hAnsi="Cambria Math" w:cs="Arial"/>
                        <w:lang w:val="es-MX"/>
                      </w:rPr>
                      <m:t>td</m:t>
                    </m:r>
                  </m:sub>
                </m:sSub>
              </m:num>
              <m:den>
                <m:sSub>
                  <m:sSubPr>
                    <m:ctrlPr>
                      <w:rPr>
                        <w:rFonts w:ascii="Cambria Math" w:hAnsi="Cambria Math" w:cs="Arial"/>
                        <w:i/>
                        <w:lang w:val="es-MX"/>
                      </w:rPr>
                    </m:ctrlPr>
                  </m:sSubPr>
                  <m:e>
                    <m:r>
                      <w:rPr>
                        <w:rFonts w:ascii="Cambria Math" w:hAnsi="Cambria Math" w:cs="Arial"/>
                        <w:lang w:val="es-MX"/>
                      </w:rPr>
                      <m:t>r</m:t>
                    </m:r>
                  </m:e>
                  <m:sub>
                    <m:r>
                      <w:rPr>
                        <w:rFonts w:ascii="Cambria Math" w:hAnsi="Cambria Math" w:cs="Arial"/>
                        <w:lang w:val="es-MX"/>
                      </w:rPr>
                      <m:t>w</m:t>
                    </m:r>
                  </m:sub>
                </m:sSub>
              </m:den>
            </m:f>
            <m:r>
              <w:rPr>
                <w:rFonts w:ascii="Cambria Math" w:hAnsi="Cambria Math" w:cs="Arial"/>
                <w:lang w:val="es-MX"/>
              </w:rPr>
              <m:t>-</m:t>
            </m:r>
          </m:e>
          <m:sub>
            <m:r>
              <w:rPr>
                <w:rFonts w:ascii="Cambria Math" w:hAnsi="Cambria Math" w:cs="Arial"/>
                <w:lang w:val="es-MX"/>
              </w:rPr>
              <m:t xml:space="preserve"> </m:t>
            </m:r>
          </m:sub>
        </m:sSub>
        <m:sSub>
          <m:sSubPr>
            <m:ctrlPr>
              <w:rPr>
                <w:rFonts w:ascii="Cambria Math" w:eastAsia="Times New Roman" w:hAnsi="Cambria Math" w:cs="Arial"/>
                <w:i/>
                <w:color w:val="000000"/>
                <w:lang w:eastAsia="es-ES"/>
              </w:rPr>
            </m:ctrlPr>
          </m:sSubPr>
          <m:e>
            <m:r>
              <w:rPr>
                <w:rFonts w:ascii="Cambria Math" w:hAnsi="Cambria Math" w:cs="Arial"/>
                <w:color w:val="000000"/>
              </w:rPr>
              <m:t>F</m:t>
            </m:r>
          </m:e>
          <m:sub>
            <m:r>
              <w:rPr>
                <w:rFonts w:ascii="Cambria Math" w:hAnsi="Cambria Math" w:cs="Arial"/>
                <w:color w:val="000000"/>
              </w:rPr>
              <m:t>a</m:t>
            </m:r>
          </m:sub>
        </m:sSub>
        <m:r>
          <w:rPr>
            <w:rFonts w:ascii="Cambria Math" w:eastAsia="Times New Roman" w:hAnsi="Cambria Math" w:cs="Arial"/>
            <w:color w:val="000000"/>
            <w:lang w:val="es-MX" w:eastAsia="es-ES"/>
          </w:rPr>
          <m:t>-</m:t>
        </m:r>
        <m:sSub>
          <m:sSubPr>
            <m:ctrlPr>
              <w:rPr>
                <w:rFonts w:ascii="Cambria Math" w:eastAsia="Times New Roman" w:hAnsi="Cambria Math" w:cs="Arial"/>
                <w:i/>
                <w:lang w:val="es-ES_tradnl" w:eastAsia="es-ES"/>
              </w:rPr>
            </m:ctrlPr>
          </m:sSubPr>
          <m:e>
            <m:r>
              <w:rPr>
                <w:rFonts w:ascii="Cambria Math" w:hAnsi="Cambria Math" w:cs="Arial"/>
              </w:rPr>
              <m:t>F</m:t>
            </m:r>
          </m:e>
          <m:sub>
            <m:r>
              <w:rPr>
                <w:rFonts w:ascii="Cambria Math" w:hAnsi="Cambria Math" w:cs="Arial"/>
              </w:rPr>
              <m:t>p</m:t>
            </m:r>
          </m:sub>
        </m:sSub>
        <m:r>
          <w:rPr>
            <w:rFonts w:ascii="Cambria Math" w:eastAsia="Times New Roman" w:hAnsi="Cambria Math" w:cs="Arial"/>
            <w:lang w:val="es-ES_tradnl" w:eastAsia="es-ES"/>
          </w:rPr>
          <m:t>-</m:t>
        </m:r>
        <m:sSub>
          <m:sSubPr>
            <m:ctrlPr>
              <w:rPr>
                <w:rFonts w:ascii="Cambria Math" w:eastAsia="Times New Roman" w:hAnsi="Cambria Math" w:cs="Arial"/>
                <w:i/>
                <w:lang w:eastAsia="es-ES"/>
              </w:rPr>
            </m:ctrlPr>
          </m:sSubPr>
          <m:e>
            <m:r>
              <w:rPr>
                <w:rFonts w:ascii="Cambria Math" w:hAnsi="Cambria Math" w:cs="Arial"/>
              </w:rPr>
              <m:t>F</m:t>
            </m:r>
          </m:e>
          <m:sub>
            <m:r>
              <w:rPr>
                <w:rFonts w:ascii="Cambria Math" w:hAnsi="Cambria Math" w:cs="Arial"/>
              </w:rPr>
              <m:t>r</m:t>
            </m:r>
          </m:sub>
        </m:sSub>
      </m:oMath>
      <w:r w:rsidRPr="003C5965">
        <w:rPr>
          <w:rFonts w:ascii="Arial" w:hAnsi="Arial" w:cs="Arial"/>
          <w:lang w:val="es-MX" w:eastAsia="es-ES"/>
        </w:rPr>
        <w:t xml:space="preserve">                                         (1)                                        </w:t>
      </w:r>
    </w:p>
    <w:p w:rsidR="006726CB" w:rsidRPr="003C5965" w:rsidRDefault="006726CB" w:rsidP="006726CB">
      <w:pPr>
        <w:jc w:val="both"/>
        <w:rPr>
          <w:rFonts w:ascii="Arial" w:hAnsi="Arial" w:cs="Arial"/>
          <w:lang w:val="es-MX"/>
        </w:rPr>
      </w:pPr>
    </w:p>
    <w:p w:rsidR="006726CB" w:rsidRPr="003C5965" w:rsidRDefault="006726CB" w:rsidP="006726CB">
      <w:pPr>
        <w:pStyle w:val="Sinespaciado"/>
        <w:jc w:val="both"/>
        <w:rPr>
          <w:rFonts w:ascii="Arial" w:hAnsi="Arial" w:cs="Arial"/>
          <w:sz w:val="24"/>
          <w:szCs w:val="24"/>
        </w:rPr>
      </w:pPr>
      <w:r w:rsidRPr="003C5965">
        <w:t xml:space="preserve">         </w:t>
      </w:r>
      <w:r w:rsidRPr="003C5965">
        <w:rPr>
          <w:rFonts w:ascii="Arial" w:hAnsi="Arial" w:cs="Arial"/>
          <w:sz w:val="24"/>
          <w:szCs w:val="24"/>
        </w:rPr>
        <w:t>Donde</w:t>
      </w:r>
      <m:oMath>
        <m:r>
          <w:rPr>
            <w:rFonts w:ascii="Cambria Math" w:hAnsi="Cambria Math" w:cs="Arial"/>
          </w:rPr>
          <m:t xml:space="preserve"> </m:t>
        </m:r>
        <m:sSub>
          <m:sSubPr>
            <m:ctrlPr>
              <w:rPr>
                <w:rFonts w:ascii="Cambria Math" w:eastAsia="Times New Roman" w:hAnsi="Cambria Math" w:cs="Arial"/>
                <w:i/>
                <w:color w:val="000000"/>
                <w:lang w:eastAsia="es-ES"/>
              </w:rPr>
            </m:ctrlPr>
          </m:sSubPr>
          <m:e>
            <m:r>
              <w:rPr>
                <w:rFonts w:ascii="Cambria Math" w:hAnsi="Cambria Math" w:cs="Arial"/>
                <w:color w:val="000000"/>
              </w:rPr>
              <m:t>F</m:t>
            </m:r>
          </m:e>
          <m:sub>
            <m:r>
              <w:rPr>
                <w:rFonts w:ascii="Cambria Math" w:hAnsi="Cambria Math" w:cs="Arial"/>
                <w:color w:val="000000"/>
              </w:rPr>
              <m:t>a</m:t>
            </m:r>
          </m:sub>
        </m:sSub>
      </m:oMath>
      <w:r w:rsidRPr="003C5965">
        <w:rPr>
          <w:rFonts w:ascii="Arial" w:hAnsi="Arial" w:cs="Arial"/>
          <w:sz w:val="24"/>
          <w:szCs w:val="24"/>
        </w:rPr>
        <w:t xml:space="preserve">, es la fuerza aerodinámica, </w:t>
      </w:r>
      <m:oMath>
        <m:sSub>
          <m:sSubPr>
            <m:ctrlPr>
              <w:rPr>
                <w:rFonts w:ascii="Cambria Math" w:eastAsia="Times New Roman" w:hAnsi="Cambria Math" w:cs="Arial"/>
                <w:i/>
                <w:lang w:val="es-ES_tradnl" w:eastAsia="es-ES"/>
              </w:rPr>
            </m:ctrlPr>
          </m:sSubPr>
          <m:e>
            <m:r>
              <w:rPr>
                <w:rFonts w:ascii="Cambria Math" w:hAnsi="Cambria Math" w:cs="Arial"/>
              </w:rPr>
              <m:t>F</m:t>
            </m:r>
          </m:e>
          <m:sub>
            <m:r>
              <w:rPr>
                <w:rFonts w:ascii="Cambria Math" w:hAnsi="Cambria Math" w:cs="Arial"/>
              </w:rPr>
              <m:t>p</m:t>
            </m:r>
          </m:sub>
        </m:sSub>
      </m:oMath>
      <w:r w:rsidRPr="003C5965">
        <w:rPr>
          <w:rFonts w:ascii="Arial" w:hAnsi="Arial" w:cs="Arial"/>
          <w:sz w:val="24"/>
          <w:szCs w:val="24"/>
        </w:rPr>
        <w:t xml:space="preserve"> la fuerza debida a la pendiente del recorrido, </w:t>
      </w:r>
      <m:oMath>
        <m:sSub>
          <m:sSubPr>
            <m:ctrlPr>
              <w:rPr>
                <w:rFonts w:ascii="Cambria Math" w:eastAsia="Times New Roman" w:hAnsi="Cambria Math" w:cs="Arial"/>
                <w:i/>
                <w:lang w:val="es-ES_tradnl" w:eastAsia="es-ES"/>
              </w:rPr>
            </m:ctrlPr>
          </m:sSubPr>
          <m:e>
            <m:r>
              <w:rPr>
                <w:rFonts w:ascii="Cambria Math" w:hAnsi="Cambria Math" w:cs="Arial"/>
              </w:rPr>
              <m:t>F</m:t>
            </m:r>
          </m:e>
          <m:sub>
            <m:r>
              <w:rPr>
                <w:rFonts w:ascii="Cambria Math" w:hAnsi="Cambria Math" w:cs="Arial"/>
              </w:rPr>
              <m:t>r</m:t>
            </m:r>
          </m:sub>
        </m:sSub>
      </m:oMath>
      <w:r w:rsidRPr="003C5965">
        <w:rPr>
          <w:rFonts w:ascii="Arial" w:hAnsi="Arial" w:cs="Arial"/>
          <w:sz w:val="24"/>
          <w:szCs w:val="24"/>
        </w:rPr>
        <w:t xml:space="preserve"> la fuerza de fricción debida al rodamiento de las llantas, </w:t>
      </w:r>
      <m:oMath>
        <m:r>
          <w:rPr>
            <w:rFonts w:ascii="Cambria Math" w:hAnsi="Cambria Math" w:cs="Arial"/>
          </w:rPr>
          <m:t>M</m:t>
        </m:r>
      </m:oMath>
      <w:r w:rsidRPr="003C5965">
        <w:rPr>
          <w:rFonts w:ascii="Arial" w:hAnsi="Arial" w:cs="Arial"/>
          <w:sz w:val="24"/>
          <w:szCs w:val="24"/>
        </w:rPr>
        <w:t xml:space="preserve"> es la masa del vehículo (tráiler, más remolque y carga),</w:t>
      </w:r>
      <m:oMath>
        <m:r>
          <w:rPr>
            <w:rFonts w:ascii="Cambria Math" w:hAnsi="Cambria Math" w:cs="Arial"/>
          </w:rPr>
          <m:t xml:space="preserve"> </m:t>
        </m:r>
        <m:sSub>
          <m:sSubPr>
            <m:ctrlPr>
              <w:rPr>
                <w:rFonts w:ascii="Cambria Math" w:eastAsia="Times New Roman" w:hAnsi="Cambria Math" w:cs="Arial"/>
                <w:i/>
                <w:lang w:val="es-ES_tradnl" w:eastAsia="es-ES"/>
              </w:rPr>
            </m:ctrlPr>
          </m:sSubPr>
          <m:e>
            <m:r>
              <w:rPr>
                <w:rFonts w:ascii="Cambria Math" w:hAnsi="Cambria Math" w:cs="Arial"/>
              </w:rPr>
              <m:t>m</m:t>
            </m:r>
          </m:e>
          <m:sub>
            <m:r>
              <w:rPr>
                <w:rFonts w:ascii="Cambria Math" w:hAnsi="Cambria Math" w:cs="Arial"/>
              </w:rPr>
              <m:t>inercial</m:t>
            </m:r>
          </m:sub>
        </m:sSub>
      </m:oMath>
      <w:r w:rsidRPr="003C5965">
        <w:rPr>
          <w:rFonts w:ascii="Arial" w:hAnsi="Arial" w:cs="Arial"/>
          <w:sz w:val="24"/>
          <w:szCs w:val="24"/>
        </w:rPr>
        <w:t xml:space="preserve"> la masa inercial, </w:t>
      </w:r>
      <m:oMath>
        <m:r>
          <w:rPr>
            <w:rFonts w:ascii="Cambria Math" w:hAnsi="Cambria Math" w:cs="Arial"/>
          </w:rPr>
          <m:t xml:space="preserve">a </m:t>
        </m:r>
      </m:oMath>
      <w:r w:rsidRPr="003C5965">
        <w:rPr>
          <w:rFonts w:ascii="Arial" w:hAnsi="Arial" w:cs="Arial"/>
          <w:sz w:val="24"/>
          <w:szCs w:val="24"/>
        </w:rPr>
        <w:t xml:space="preserve">la magnitud de la aceleración lineal del vehículo, </w:t>
      </w:r>
      <m:oMath>
        <m:sSub>
          <m:sSubPr>
            <m:ctrlPr>
              <w:rPr>
                <w:rFonts w:ascii="Cambria Math" w:hAnsi="Cambria Math" w:cs="Arial"/>
                <w:i/>
              </w:rPr>
            </m:ctrlPr>
          </m:sSubPr>
          <m:e>
            <m:r>
              <w:rPr>
                <w:rFonts w:ascii="Cambria Math" w:hAnsi="Cambria Math" w:cs="Arial"/>
              </w:rPr>
              <m:t>r</m:t>
            </m:r>
          </m:e>
          <m:sub>
            <m:r>
              <w:rPr>
                <w:rFonts w:ascii="Cambria Math" w:hAnsi="Cambria Math" w:cs="Arial"/>
              </w:rPr>
              <m:t>w</m:t>
            </m:r>
          </m:sub>
        </m:sSub>
      </m:oMath>
      <w:r w:rsidRPr="003C5965">
        <w:rPr>
          <w:rFonts w:ascii="Arial" w:hAnsi="Arial" w:cs="Arial"/>
          <w:sz w:val="24"/>
          <w:szCs w:val="24"/>
        </w:rPr>
        <w:t xml:space="preserve"> el radio de las llantas y </w:t>
      </w:r>
      <m:oMath>
        <m:sSub>
          <m:sSubPr>
            <m:ctrlPr>
              <w:rPr>
                <w:rFonts w:ascii="Cambria Math" w:hAnsi="Cambria Math" w:cs="Arial"/>
                <w:i/>
              </w:rPr>
            </m:ctrlPr>
          </m:sSubPr>
          <m:e>
            <m:r>
              <w:rPr>
                <w:rFonts w:ascii="Cambria Math" w:hAnsi="Cambria Math" w:cs="Arial"/>
              </w:rPr>
              <m:t>T</m:t>
            </m:r>
          </m:e>
          <m:sub>
            <m:r>
              <w:rPr>
                <w:rFonts w:ascii="Cambria Math" w:hAnsi="Cambria Math" w:cs="Arial"/>
              </w:rPr>
              <m:t>e</m:t>
            </m:r>
          </m:sub>
        </m:sSub>
        <m:r>
          <w:rPr>
            <w:rFonts w:ascii="Cambria Math" w:hAnsi="Cambria Math" w:cs="Arial"/>
          </w:rPr>
          <m:t xml:space="preserve"> </m:t>
        </m:r>
      </m:oMath>
      <w:r w:rsidRPr="003C5965">
        <w:rPr>
          <w:rFonts w:ascii="Arial" w:hAnsi="Arial" w:cs="Arial"/>
          <w:sz w:val="24"/>
          <w:szCs w:val="24"/>
        </w:rPr>
        <w:t xml:space="preserve">el torque del motor. En este modelo el vehículo se mueve en línea recta. </w:t>
      </w:r>
      <m:oMath>
        <m:sSub>
          <m:sSubPr>
            <m:ctrlPr>
              <w:rPr>
                <w:rFonts w:ascii="Cambria Math" w:eastAsia="Times New Roman" w:hAnsi="Cambria Math" w:cs="Arial"/>
                <w:i/>
                <w:lang w:eastAsia="es-MX"/>
              </w:rPr>
            </m:ctrlPr>
          </m:sSubPr>
          <m:e>
            <m:r>
              <w:rPr>
                <w:rFonts w:ascii="Cambria Math" w:hAnsi="Cambria Math" w:cs="Arial"/>
              </w:rPr>
              <m:t>N</m:t>
            </m:r>
          </m:e>
          <m:sub>
            <m:r>
              <w:rPr>
                <w:rFonts w:ascii="Cambria Math" w:hAnsi="Cambria Math" w:cs="Arial"/>
              </w:rPr>
              <m:t>td</m:t>
            </m:r>
          </m:sub>
        </m:sSub>
      </m:oMath>
      <w:r w:rsidRPr="003C5965">
        <w:rPr>
          <w:rFonts w:ascii="Arial" w:hAnsi="Arial" w:cs="Arial"/>
          <w:sz w:val="24"/>
          <w:szCs w:val="24"/>
        </w:rPr>
        <w:t xml:space="preserve"> representa las relaciones combinadas de la transmisión y el diferencial incluyendo las eficiencias de la transmisión y el diferencial; esta variable es más compleja para tractocamiones con muchas ruedas y ejes. Los valores de las variables que aparecen en la Ecuación (1) se reportan en la referencia 6 o en la segunda columna de la Tabla 2 de la referencia 3. Así, en este trabajo consideramos que la masa total del tractocamión más el tráiler (sin carga) es de 14.742 tons. Cada tractocamión a certificar tendrá una masa y otras variables del vehículo diferentes (que conforman un paquete tecnológico) a las que se usan en el ejemplo de este trabajo y esas son las que deben usarse para modelar el vehículo en UAMmero u otro software y certificar si cumple con los límites de consumo de combustible y emisiones de bióxido de carbono que establezca la norma que se implante. </w:t>
      </w:r>
    </w:p>
    <w:p w:rsidR="006726CB" w:rsidRPr="003C5965" w:rsidRDefault="006726CB" w:rsidP="006726CB">
      <w:pPr>
        <w:pStyle w:val="Sinespaciado"/>
        <w:jc w:val="both"/>
        <w:rPr>
          <w:rFonts w:ascii="Arial" w:hAnsi="Arial" w:cs="Arial"/>
          <w:sz w:val="24"/>
          <w:szCs w:val="24"/>
        </w:rPr>
      </w:pPr>
      <w:r w:rsidRPr="003C5965">
        <w:t xml:space="preserve">         </w:t>
      </w:r>
      <w:r w:rsidRPr="003C5965">
        <w:rPr>
          <w:rFonts w:ascii="Arial" w:hAnsi="Arial" w:cs="Arial"/>
          <w:sz w:val="24"/>
          <w:szCs w:val="24"/>
        </w:rPr>
        <w:t xml:space="preserve">En Estados Unidos, con el GEM, se simula que el vehículo se mueve en los 3 ciclos de manejo mencionados anteriormente y que el recorrido tiene un pendiente cero; pero en México podría considerarse para la certificación que no sea ese valor sino que el recorrido tenga una inclinación diferente de cero dadas las carreteras que se tienen en el país, por ejemplo que tiene una inclinación de 1.5 grados. Lo mismo para la carga, debido </w:t>
      </w:r>
      <w:r w:rsidRPr="003C5965">
        <w:rPr>
          <w:rFonts w:ascii="Arial" w:hAnsi="Arial" w:cs="Arial"/>
          <w:sz w:val="24"/>
          <w:szCs w:val="24"/>
        </w:rPr>
        <w:lastRenderedPageBreak/>
        <w:t xml:space="preserve">a que en México se sobrecarga a los vehículos bien podría considerarse que la carga que se considere para certificar el tractocamión sea un poco mayor que la que se usa en Estados Unidos (que es de 17.236 tons) y se podría considerar una carga de 22.258 tons (para una masa total en movimiento en la Ecuación 1 de M=37 tons). Más abajo presentamos los resultados de las simulaciones con inclinaciones de los recorridos de 0 y 1.5 grados y con cargas de 17.236 y 22.258 tons. Las cargas y pendientes que se deben usar  para la certificación de los tractocamiones en México se tendrán que definir en el grupo de trabajo que diseñe la norma, pero lo que se establece en este trabajo es que los autores ya están construyendo la herramienta que se puede usar para la certificación: UAMmero. </w:t>
      </w:r>
    </w:p>
    <w:p w:rsidR="006726CB" w:rsidRPr="003C5965" w:rsidRDefault="006726CB" w:rsidP="006726CB">
      <w:pPr>
        <w:pStyle w:val="Sinespaciado"/>
        <w:jc w:val="both"/>
        <w:rPr>
          <w:rFonts w:ascii="Arial" w:hAnsi="Arial" w:cs="Arial"/>
          <w:sz w:val="24"/>
          <w:szCs w:val="24"/>
        </w:rPr>
      </w:pPr>
      <w:r w:rsidRPr="003C5965">
        <w:rPr>
          <w:rFonts w:ascii="Arial" w:hAnsi="Arial" w:cs="Arial"/>
          <w:sz w:val="24"/>
          <w:szCs w:val="24"/>
        </w:rPr>
        <w:t xml:space="preserve">En un trabajo anterior </w:t>
      </w:r>
      <w:r w:rsidRPr="003C5965">
        <w:rPr>
          <w:rFonts w:ascii="Arial" w:hAnsi="Arial" w:cs="Arial"/>
          <w:vertAlign w:val="superscript"/>
        </w:rPr>
        <w:t>[6]</w:t>
      </w:r>
      <w:r w:rsidRPr="003C5965">
        <w:rPr>
          <w:rFonts w:ascii="Arial" w:hAnsi="Arial" w:cs="Arial"/>
          <w:sz w:val="24"/>
          <w:szCs w:val="24"/>
        </w:rPr>
        <w:t xml:space="preserve"> se estudió, usando UAMmero, el efecto del aumento de la carga y la variación en la inclinación del recorrido para dos tipos de vehículos pesados para el caso en el que los vehículos se mueven con una rapidez constante.</w:t>
      </w:r>
    </w:p>
    <w:p w:rsidR="006726CB" w:rsidRPr="003C5965" w:rsidRDefault="006726CB" w:rsidP="006726CB">
      <w:pPr>
        <w:pStyle w:val="Sinespaciado"/>
        <w:jc w:val="both"/>
        <w:rPr>
          <w:rFonts w:ascii="Arial" w:hAnsi="Arial" w:cs="Arial"/>
          <w:sz w:val="24"/>
          <w:szCs w:val="24"/>
        </w:rPr>
      </w:pPr>
      <w:r w:rsidRPr="003C5965">
        <w:t xml:space="preserve">         </w:t>
      </w:r>
      <w:r w:rsidRPr="003C5965">
        <w:rPr>
          <w:rFonts w:ascii="Arial" w:hAnsi="Arial" w:cs="Arial"/>
          <w:sz w:val="24"/>
          <w:szCs w:val="24"/>
        </w:rPr>
        <w:t>En UAMmero se obtiene el avance del vehículo en el tiempo al programar que el vehículo se mueve a la rapidez que está determinada por los 3 ciclos que son el ciclo transitorio ARB, el ciclo de velocidad crucero de 55 millas por hora y el ciclo de velocidad crucero de 65 millas por hora que se muestran en la Figura 1. En la Figura 1 se muestra la rapidez contra el tiempo de esos 3 ciclos. El ciclo transitorio ARB modela que el vehículo se mueve en un calle o trayecto urbano, el segundo ciclo modela que el vehículo se mueve en un carretera cuya máxima rapidez que se puede alcanzar es de 55 millas por hora (88.5115 km/hora) y el tercer ciclo modela que el vehículo se mueve a una rapidez máxima de 65 millas por hora (104.6045 km/hora). Si la carga es muy pequeña y se simula que la pendiente del camino es cero (carretera plana) la rapidez del vehículo será muy cercana a la programada; sin embargo si la carga transportada aumenta o si se simula que el vehículo viaja por una carretera que tiene una pendiente positiva (subida) entonces la rapidez del vehículo disminuye porque el motor no podrá proporcionar el torque ni la potencia requerida para que el vehículo viaje a la rapidez programada. En UAMmero se reduce la rapidez a la que viaja el vehículo de tal manera que ni el torque ni la potencia que puede proporcionar el motor rebasen sus máximos.</w:t>
      </w:r>
    </w:p>
    <w:p w:rsidR="006726CB" w:rsidRPr="003C5965" w:rsidRDefault="006726CB" w:rsidP="006726CB">
      <w:pPr>
        <w:jc w:val="both"/>
        <w:rPr>
          <w:rFonts w:ascii="Arial" w:eastAsia="Times New Roman" w:hAnsi="Arial" w:cs="Arial"/>
          <w:lang w:val="es-MX" w:eastAsia="es-MX"/>
        </w:rPr>
      </w:pPr>
      <w:r w:rsidRPr="003C5965">
        <w:rPr>
          <w:rFonts w:ascii="Arial" w:hAnsi="Arial" w:cs="Arial"/>
          <w:lang w:val="es-MX"/>
        </w:rPr>
        <w:t>El paquete UAMmero ha sido desarrollado en C y usa la paquetería gratuita de koolplots para la graficación de resultados.</w:t>
      </w:r>
    </w:p>
    <w:p w:rsidR="006726CB" w:rsidRPr="003C5965" w:rsidRDefault="006726CB" w:rsidP="006726CB">
      <w:pPr>
        <w:pStyle w:val="Sinespaciado"/>
        <w:jc w:val="both"/>
        <w:rPr>
          <w:rFonts w:ascii="Arial" w:hAnsi="Arial" w:cs="Arial"/>
          <w:sz w:val="24"/>
          <w:szCs w:val="24"/>
        </w:rPr>
      </w:pPr>
      <w:r w:rsidRPr="003C5965">
        <w:t xml:space="preserve">         </w:t>
      </w:r>
      <w:r w:rsidRPr="003C5965">
        <w:rPr>
          <w:rFonts w:ascii="Arial" w:hAnsi="Arial" w:cs="Arial"/>
          <w:sz w:val="24"/>
          <w:szCs w:val="24"/>
        </w:rPr>
        <w:t xml:space="preserve">En este trabajo, se usa UAMmero, para calcular el consumo de combustible, las emisiones de bióxido de carbono y el rendimiento de combustible de un tractocamión de 3 ejes que tiene una masa de 14.742 tons sin carga y que transporta cargas de 17.236 tons o 22.258 tons y para cada carga se considera que la carretera tiene 0 o 1.5 grados de inclinación. </w:t>
      </w:r>
    </w:p>
    <w:p w:rsidR="006726CB" w:rsidRPr="003C5965" w:rsidRDefault="006726CB" w:rsidP="006726CB">
      <w:pPr>
        <w:pStyle w:val="Sinespaciado"/>
        <w:jc w:val="both"/>
        <w:rPr>
          <w:rFonts w:ascii="Arial" w:hAnsi="Arial" w:cs="Arial"/>
          <w:sz w:val="24"/>
          <w:szCs w:val="24"/>
        </w:rPr>
      </w:pPr>
    </w:p>
    <w:p w:rsidR="006726CB" w:rsidRPr="003C5965" w:rsidRDefault="006726CB" w:rsidP="006726CB">
      <w:pPr>
        <w:pStyle w:val="1Titulo"/>
        <w:numPr>
          <w:ilvl w:val="0"/>
          <w:numId w:val="0"/>
        </w:numPr>
        <w:ind w:left="357"/>
      </w:pPr>
      <w:bookmarkStart w:id="277" w:name="_Toc50031349"/>
      <w:r w:rsidRPr="003C5965">
        <w:t>4. Resultados y discusión</w:t>
      </w:r>
      <w:bookmarkEnd w:id="277"/>
    </w:p>
    <w:p w:rsidR="006726CB" w:rsidRPr="003C5965" w:rsidRDefault="006726CB" w:rsidP="006726CB">
      <w:pPr>
        <w:ind w:firstLine="567"/>
        <w:jc w:val="both"/>
        <w:rPr>
          <w:rFonts w:ascii="Arial" w:hAnsi="Arial" w:cs="Arial"/>
          <w:lang w:val="es-MX"/>
        </w:rPr>
      </w:pPr>
      <w:r w:rsidRPr="003C5965">
        <w:rPr>
          <w:rFonts w:ascii="Arial" w:hAnsi="Arial" w:cs="Arial"/>
          <w:lang w:val="es-MX"/>
        </w:rPr>
        <w:t xml:space="preserve">En la Figura 1 se muestra el resultado de la rapidez (km/hora) contra el tiempo (segundos) de un tractocamión que se programa para moverse en los 3 ciclos de manejo con una carga de </w:t>
      </w:r>
      <w:r w:rsidRPr="003C5965">
        <w:rPr>
          <w:rFonts w:ascii="Arial" w:hAnsi="Arial" w:cs="Arial"/>
        </w:rPr>
        <w:t>17.236</w:t>
      </w:r>
      <w:r w:rsidRPr="003C5965">
        <w:rPr>
          <w:rFonts w:ascii="Arial" w:hAnsi="Arial" w:cs="Arial"/>
          <w:lang w:val="es-MX"/>
        </w:rPr>
        <w:t xml:space="preserve"> tons en un recorrido que tiene una inclinación de 0 grados. </w:t>
      </w:r>
    </w:p>
    <w:p w:rsidR="006726CB" w:rsidRPr="003C5965" w:rsidRDefault="006726CB" w:rsidP="006726CB">
      <w:pPr>
        <w:ind w:firstLine="567"/>
        <w:jc w:val="center"/>
        <w:rPr>
          <w:rFonts w:ascii="Arial" w:hAnsi="Arial" w:cs="Arial"/>
          <w:lang w:val="es-MX"/>
        </w:rPr>
      </w:pPr>
    </w:p>
    <w:p w:rsidR="006726CB" w:rsidRPr="003C5965" w:rsidRDefault="006726CB" w:rsidP="006726CB">
      <w:pPr>
        <w:jc w:val="center"/>
        <w:rPr>
          <w:rFonts w:ascii="Arial" w:hAnsi="Arial" w:cs="Arial"/>
          <w:i/>
          <w:sz w:val="20"/>
          <w:szCs w:val="20"/>
          <w:lang w:val="es-MX"/>
        </w:rPr>
      </w:pPr>
      <w:r w:rsidRPr="003C5965">
        <w:rPr>
          <w:noProof/>
          <w:lang w:val="en-US"/>
        </w:rPr>
        <w:lastRenderedPageBreak/>
        <w:drawing>
          <wp:inline distT="0" distB="0" distL="0" distR="0" wp14:anchorId="2FEED1A8" wp14:editId="77EDE57B">
            <wp:extent cx="5943600" cy="2457450"/>
            <wp:effectExtent l="0" t="0" r="0" b="0"/>
            <wp:docPr id="2026623694" name="Imagen 202662369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ell phone&#10;&#10;Description automatically generated"/>
                    <pic:cNvPicPr>
                      <a:picLocks noChangeAspect="1" noChangeArrowheads="1"/>
                    </pic:cNvPicPr>
                  </pic:nvPicPr>
                  <pic:blipFill>
                    <a:blip r:embed="rId1143" cstate="print">
                      <a:extLst>
                        <a:ext uri="{28A0092B-C50C-407E-A947-70E740481C1C}">
                          <a14:useLocalDpi xmlns:a14="http://schemas.microsoft.com/office/drawing/2010/main" val="0"/>
                        </a:ext>
                      </a:extLst>
                    </a:blip>
                    <a:srcRect/>
                    <a:stretch>
                      <a:fillRect/>
                    </a:stretch>
                  </pic:blipFill>
                  <pic:spPr bwMode="auto">
                    <a:xfrm>
                      <a:off x="0" y="0"/>
                      <a:ext cx="5943600" cy="2457450"/>
                    </a:xfrm>
                    <a:prstGeom prst="rect">
                      <a:avLst/>
                    </a:prstGeom>
                    <a:noFill/>
                    <a:ln>
                      <a:noFill/>
                    </a:ln>
                  </pic:spPr>
                </pic:pic>
              </a:graphicData>
            </a:graphic>
          </wp:inline>
        </w:drawing>
      </w:r>
    </w:p>
    <w:p w:rsidR="006726CB" w:rsidRPr="003C5965" w:rsidRDefault="006726CB" w:rsidP="006726CB">
      <w:pPr>
        <w:jc w:val="center"/>
        <w:rPr>
          <w:rFonts w:ascii="Arial" w:hAnsi="Arial" w:cs="Arial"/>
          <w:i/>
          <w:sz w:val="20"/>
          <w:szCs w:val="20"/>
          <w:lang w:val="es-MX"/>
        </w:rPr>
      </w:pPr>
    </w:p>
    <w:p w:rsidR="006726CB" w:rsidRPr="003C5965" w:rsidRDefault="006726CB" w:rsidP="006726CB">
      <w:pPr>
        <w:jc w:val="center"/>
        <w:rPr>
          <w:rFonts w:ascii="Arial" w:hAnsi="Arial" w:cs="Arial"/>
          <w:i/>
          <w:sz w:val="20"/>
          <w:szCs w:val="20"/>
          <w:lang w:val="es-MX"/>
        </w:rPr>
      </w:pPr>
      <w:r w:rsidRPr="003C5965">
        <w:rPr>
          <w:rFonts w:ascii="Arial" w:hAnsi="Arial" w:cs="Arial"/>
          <w:i/>
          <w:sz w:val="20"/>
          <w:szCs w:val="20"/>
          <w:lang w:val="es-MX"/>
        </w:rPr>
        <w:t xml:space="preserve">Figura 1. Rapidez (km/hora) contra tiempo (segundos) para un tractocamión con carga de </w:t>
      </w:r>
      <w:r w:rsidRPr="003C5965">
        <w:rPr>
          <w:rFonts w:ascii="Arial" w:hAnsi="Arial" w:cs="Arial"/>
          <w:i/>
          <w:sz w:val="20"/>
          <w:szCs w:val="20"/>
        </w:rPr>
        <w:t>17.236 tons</w:t>
      </w:r>
      <w:r w:rsidRPr="003C5965">
        <w:rPr>
          <w:rFonts w:ascii="Arial" w:hAnsi="Arial" w:cs="Arial"/>
          <w:i/>
          <w:sz w:val="20"/>
          <w:szCs w:val="20"/>
          <w:lang w:val="es-MX"/>
        </w:rPr>
        <w:t xml:space="preserve"> en un recorrido con inclinación de 0 grados. (Resultados como los proporciona UAMmero.)</w:t>
      </w:r>
    </w:p>
    <w:p w:rsidR="006726CB" w:rsidRPr="003C5965" w:rsidRDefault="006726CB" w:rsidP="006726CB">
      <w:pPr>
        <w:jc w:val="both"/>
        <w:rPr>
          <w:rFonts w:ascii="Arial" w:hAnsi="Arial" w:cs="Arial"/>
          <w:i/>
          <w:sz w:val="20"/>
          <w:szCs w:val="20"/>
          <w:lang w:val="es-MX"/>
        </w:rPr>
      </w:pPr>
    </w:p>
    <w:p w:rsidR="006726CB" w:rsidRPr="003C5965" w:rsidRDefault="006726CB" w:rsidP="006726CB">
      <w:pPr>
        <w:jc w:val="both"/>
        <w:rPr>
          <w:rFonts w:ascii="Arial" w:hAnsi="Arial" w:cs="Arial"/>
          <w:lang w:val="es-MX"/>
        </w:rPr>
      </w:pPr>
      <w:r w:rsidRPr="003C5965">
        <w:t xml:space="preserve">         </w:t>
      </w:r>
      <w:r w:rsidRPr="003C5965">
        <w:rPr>
          <w:rFonts w:ascii="Arial" w:hAnsi="Arial" w:cs="Arial"/>
          <w:lang w:val="es-MX"/>
        </w:rPr>
        <w:t xml:space="preserve">En la Figura 2 se muestra la rapidez contra el tiempo (en segundos) para el caso del tractocamión que transporta una carga de </w:t>
      </w:r>
      <w:r w:rsidRPr="003C5965">
        <w:rPr>
          <w:rFonts w:ascii="Arial" w:hAnsi="Arial" w:cs="Arial"/>
        </w:rPr>
        <w:t>22.258</w:t>
      </w:r>
      <w:r w:rsidRPr="003C5965">
        <w:rPr>
          <w:rFonts w:ascii="Arial" w:hAnsi="Arial" w:cs="Arial"/>
          <w:sz w:val="20"/>
          <w:szCs w:val="20"/>
        </w:rPr>
        <w:t xml:space="preserve"> </w:t>
      </w:r>
      <w:r w:rsidRPr="003C5965">
        <w:rPr>
          <w:rFonts w:ascii="Arial" w:hAnsi="Arial" w:cs="Arial"/>
          <w:lang w:val="es-MX"/>
        </w:rPr>
        <w:t xml:space="preserve"> tons y en un recorrido que tiene una inclinación de 1.5 grados. Se puede observar que la rapidez del vehículo en este caso no alcanza los máximos de rapidez programada porque su carga es mayor y viaja en una trayectoria que tiene una pendiente de 1.5 grados. En la simulación de UAMmero si el vehículo va aumentando su rapidez o su aceleración lineal se checa en cada instante si rebasaría en el siguiente intervalo de tiempo el torque o la potencia máximos, si eso sucediera se disminuye la rapidez en el siguiente intervalo de tiempo de acuerdo a los máximos del torque y la potencia. En la gráfica de la rapidez contra el tiempo los puntos en los que el vehículo viaja usando el máximo torque o potencia se distinguen porque la rapidez es constante y a un valor menor que el programado.</w:t>
      </w:r>
    </w:p>
    <w:p w:rsidR="006726CB" w:rsidRPr="003C5965" w:rsidRDefault="006726CB" w:rsidP="006726CB">
      <w:pPr>
        <w:ind w:firstLine="567"/>
        <w:jc w:val="both"/>
        <w:rPr>
          <w:rFonts w:ascii="Arial" w:hAnsi="Arial" w:cs="Arial"/>
          <w:lang w:val="es-MX"/>
        </w:rPr>
      </w:pPr>
      <w:r w:rsidRPr="003C5965">
        <w:rPr>
          <w:rFonts w:ascii="Arial" w:hAnsi="Arial" w:cs="Arial"/>
          <w:lang w:val="es-MX"/>
        </w:rPr>
        <w:t xml:space="preserve">En la Tabla 1 se presentan los resultados del consumo de combustible en litros (Consumo), el consumo de combustible por tonelada transportada en litros/(kilómetro*tonelada) (Cons), las emisiones de bióxido de carbono en gramos/(kilómetro*tonelada) (Emis), para cada uno de los 3 ciclos de manejo. En la quinta columna de la tabla también se reportan los resultados del consumo de combustible total y la distancia recorrida total en los 3 ciclos de manejo. La carga se proporciona en toneladas (tons), la inclinación en grados y la distancia en kilómetros. </w:t>
      </w:r>
    </w:p>
    <w:p w:rsidR="006726CB" w:rsidRPr="003C5965" w:rsidRDefault="006726CB" w:rsidP="006726CB">
      <w:pPr>
        <w:jc w:val="both"/>
        <w:rPr>
          <w:rFonts w:ascii="Arial" w:hAnsi="Arial" w:cs="Arial"/>
          <w:i/>
          <w:sz w:val="20"/>
          <w:szCs w:val="20"/>
          <w:lang w:val="es-MX"/>
        </w:rPr>
      </w:pPr>
    </w:p>
    <w:p w:rsidR="006726CB" w:rsidRPr="003C5965" w:rsidRDefault="006726CB" w:rsidP="006726CB">
      <w:pPr>
        <w:jc w:val="center"/>
        <w:rPr>
          <w:rFonts w:ascii="Arial" w:hAnsi="Arial" w:cs="Arial"/>
          <w:i/>
          <w:sz w:val="20"/>
          <w:szCs w:val="20"/>
          <w:lang w:val="es-MX"/>
        </w:rPr>
      </w:pPr>
    </w:p>
    <w:p w:rsidR="006726CB" w:rsidRPr="003C5965" w:rsidRDefault="006726CB" w:rsidP="006726CB">
      <w:pPr>
        <w:jc w:val="center"/>
        <w:rPr>
          <w:rFonts w:ascii="Arial" w:hAnsi="Arial" w:cs="Arial"/>
          <w:i/>
          <w:sz w:val="20"/>
          <w:szCs w:val="20"/>
          <w:lang w:val="es-MX"/>
        </w:rPr>
      </w:pPr>
      <w:r w:rsidRPr="003C5965">
        <w:rPr>
          <w:noProof/>
          <w:lang w:val="en-US"/>
        </w:rPr>
        <w:lastRenderedPageBreak/>
        <w:drawing>
          <wp:inline distT="0" distB="0" distL="0" distR="0" wp14:anchorId="7C899C83" wp14:editId="46463F1B">
            <wp:extent cx="5943600" cy="2438400"/>
            <wp:effectExtent l="0" t="0" r="0" b="0"/>
            <wp:docPr id="2026623693" name="Imagen 202662369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close up of a map&#10;&#10;Description automatically generated"/>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943600" cy="2438400"/>
                    </a:xfrm>
                    <a:prstGeom prst="rect">
                      <a:avLst/>
                    </a:prstGeom>
                    <a:noFill/>
                    <a:ln>
                      <a:noFill/>
                    </a:ln>
                  </pic:spPr>
                </pic:pic>
              </a:graphicData>
            </a:graphic>
          </wp:inline>
        </w:drawing>
      </w:r>
    </w:p>
    <w:p w:rsidR="006726CB" w:rsidRPr="003C5965" w:rsidRDefault="006726CB" w:rsidP="006726CB">
      <w:pPr>
        <w:jc w:val="center"/>
        <w:rPr>
          <w:rFonts w:ascii="Arial" w:hAnsi="Arial" w:cs="Arial"/>
          <w:i/>
          <w:sz w:val="20"/>
          <w:szCs w:val="20"/>
          <w:lang w:val="es-MX"/>
        </w:rPr>
      </w:pPr>
    </w:p>
    <w:p w:rsidR="006726CB" w:rsidRPr="003C5965" w:rsidRDefault="006726CB" w:rsidP="006726CB">
      <w:pPr>
        <w:jc w:val="center"/>
        <w:rPr>
          <w:rFonts w:ascii="Arial" w:hAnsi="Arial" w:cs="Arial"/>
          <w:sz w:val="20"/>
          <w:szCs w:val="20"/>
          <w:lang w:val="es-MX"/>
        </w:rPr>
      </w:pPr>
      <w:r w:rsidRPr="003C5965">
        <w:rPr>
          <w:rFonts w:ascii="Arial" w:hAnsi="Arial" w:cs="Arial"/>
          <w:i/>
          <w:sz w:val="20"/>
          <w:szCs w:val="20"/>
          <w:lang w:val="es-MX"/>
        </w:rPr>
        <w:t xml:space="preserve">Figura 2. Rapidez (km/hora) contra tiempo (segundos) para un tractocamión con carga de </w:t>
      </w:r>
      <w:r w:rsidRPr="003C5965">
        <w:rPr>
          <w:rFonts w:ascii="Arial" w:hAnsi="Arial" w:cs="Arial"/>
          <w:i/>
          <w:sz w:val="20"/>
          <w:szCs w:val="20"/>
        </w:rPr>
        <w:t>22.258 tons</w:t>
      </w:r>
      <w:r w:rsidRPr="003C5965">
        <w:rPr>
          <w:rFonts w:ascii="Arial" w:hAnsi="Arial" w:cs="Arial"/>
          <w:i/>
          <w:sz w:val="20"/>
          <w:szCs w:val="20"/>
          <w:lang w:val="es-MX"/>
        </w:rPr>
        <w:t xml:space="preserve"> en un recorrido con inclinación de 1.5 grados. (Resultados como los proporciona UAMmero.)</w:t>
      </w:r>
    </w:p>
    <w:p w:rsidR="006726CB" w:rsidRPr="003C5965" w:rsidRDefault="006726CB" w:rsidP="006726CB">
      <w:pPr>
        <w:jc w:val="both"/>
        <w:rPr>
          <w:rFonts w:ascii="Arial" w:hAnsi="Arial" w:cs="Arial"/>
          <w:lang w:val="es-MX"/>
        </w:rPr>
      </w:pPr>
    </w:p>
    <w:p w:rsidR="006726CB" w:rsidRPr="003C5965" w:rsidRDefault="006726CB" w:rsidP="006726CB">
      <w:pPr>
        <w:ind w:firstLine="567"/>
        <w:jc w:val="both"/>
        <w:rPr>
          <w:i/>
          <w:sz w:val="20"/>
          <w:szCs w:val="20"/>
          <w:lang w:val="es-MX"/>
        </w:rPr>
      </w:pPr>
      <w:r w:rsidRPr="003C5965">
        <w:rPr>
          <w:i/>
          <w:sz w:val="20"/>
          <w:szCs w:val="20"/>
          <w:lang w:val="es-MX"/>
        </w:rPr>
        <w:t xml:space="preserve">Tabla 1. Consumo de combustible en litros (Consumo), consumo de combustible por tonelada transportada en  </w:t>
      </w:r>
      <w:r w:rsidRPr="003C5965">
        <w:rPr>
          <w:sz w:val="20"/>
          <w:szCs w:val="20"/>
          <w:lang w:val="es-MX"/>
        </w:rPr>
        <w:t>litros/(kilómetro*tonelada) (Cons),</w:t>
      </w:r>
      <w:r w:rsidRPr="003C5965">
        <w:rPr>
          <w:i/>
          <w:sz w:val="20"/>
          <w:szCs w:val="20"/>
          <w:lang w:val="es-MX"/>
        </w:rPr>
        <w:t xml:space="preserve">  emisiones de bióxido de carbono  en </w:t>
      </w:r>
      <w:r w:rsidRPr="003C5965">
        <w:rPr>
          <w:sz w:val="20"/>
          <w:szCs w:val="20"/>
          <w:lang w:val="es-MX"/>
        </w:rPr>
        <w:t xml:space="preserve">gramos/(kilómetro*tonelada) (Emis) y distancia recorrida en kilómetros </w:t>
      </w:r>
      <w:r w:rsidRPr="003C5965">
        <w:rPr>
          <w:i/>
          <w:sz w:val="20"/>
          <w:szCs w:val="20"/>
          <w:lang w:val="es-MX"/>
        </w:rPr>
        <w:t>para viajes de un tractocamión  con dos cargas diferentes y dos recorridos con inclinaciones diferentes.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0"/>
        <w:gridCol w:w="2023"/>
        <w:gridCol w:w="1921"/>
        <w:gridCol w:w="1903"/>
        <w:gridCol w:w="1947"/>
      </w:tblGrid>
      <w:tr w:rsidR="006726CB" w:rsidRPr="003C5965" w:rsidTr="007F2707">
        <w:tc>
          <w:tcPr>
            <w:tcW w:w="1407" w:type="dxa"/>
            <w:vMerge w:val="restart"/>
            <w:shd w:val="clear" w:color="auto" w:fill="auto"/>
          </w:tcPr>
          <w:p w:rsidR="006726CB" w:rsidRPr="003C5965" w:rsidRDefault="006726CB" w:rsidP="007F2707">
            <w:pPr>
              <w:jc w:val="both"/>
              <w:rPr>
                <w:rFonts w:ascii="Arial" w:hAnsi="Arial" w:cs="Arial"/>
                <w:sz w:val="20"/>
                <w:szCs w:val="20"/>
                <w:lang w:val="es-MX"/>
              </w:rPr>
            </w:pPr>
          </w:p>
        </w:tc>
        <w:tc>
          <w:tcPr>
            <w:tcW w:w="6005" w:type="dxa"/>
            <w:gridSpan w:val="3"/>
            <w:shd w:val="clear" w:color="auto" w:fill="auto"/>
          </w:tcPr>
          <w:p w:rsidR="006726CB" w:rsidRPr="003C5965" w:rsidRDefault="006726CB" w:rsidP="007F2707">
            <w:pPr>
              <w:jc w:val="center"/>
              <w:rPr>
                <w:rFonts w:ascii="Arial" w:hAnsi="Arial" w:cs="Arial"/>
                <w:b/>
                <w:sz w:val="20"/>
                <w:szCs w:val="20"/>
                <w:lang w:val="es-MX"/>
              </w:rPr>
            </w:pPr>
            <w:r w:rsidRPr="003C5965">
              <w:rPr>
                <w:rFonts w:ascii="Arial" w:hAnsi="Arial" w:cs="Arial"/>
                <w:b/>
                <w:sz w:val="20"/>
                <w:szCs w:val="20"/>
                <w:lang w:val="es-MX"/>
              </w:rPr>
              <w:t>Ciclo</w:t>
            </w:r>
          </w:p>
        </w:tc>
        <w:tc>
          <w:tcPr>
            <w:tcW w:w="1958" w:type="dxa"/>
            <w:shd w:val="clear" w:color="auto" w:fill="auto"/>
          </w:tcPr>
          <w:p w:rsidR="006726CB" w:rsidRPr="003C5965" w:rsidRDefault="006726CB" w:rsidP="007F2707">
            <w:pPr>
              <w:jc w:val="both"/>
              <w:rPr>
                <w:rFonts w:ascii="Arial" w:hAnsi="Arial" w:cs="Arial"/>
                <w:sz w:val="20"/>
                <w:szCs w:val="20"/>
                <w:lang w:val="es-MX"/>
              </w:rPr>
            </w:pPr>
          </w:p>
        </w:tc>
      </w:tr>
      <w:tr w:rsidR="006726CB" w:rsidRPr="003C5965" w:rsidTr="007F2707">
        <w:tc>
          <w:tcPr>
            <w:tcW w:w="1407" w:type="dxa"/>
            <w:vMerge/>
            <w:shd w:val="clear" w:color="auto" w:fill="auto"/>
          </w:tcPr>
          <w:p w:rsidR="006726CB" w:rsidRPr="003C5965" w:rsidRDefault="006726CB" w:rsidP="007F2707">
            <w:pPr>
              <w:jc w:val="both"/>
              <w:rPr>
                <w:rFonts w:ascii="Arial" w:hAnsi="Arial" w:cs="Arial"/>
                <w:sz w:val="20"/>
                <w:szCs w:val="20"/>
                <w:lang w:val="es-MX"/>
              </w:rPr>
            </w:pPr>
          </w:p>
        </w:tc>
        <w:tc>
          <w:tcPr>
            <w:tcW w:w="2023" w:type="dxa"/>
            <w:shd w:val="clear" w:color="auto" w:fill="auto"/>
          </w:tcPr>
          <w:p w:rsidR="006726CB" w:rsidRPr="003C5965" w:rsidRDefault="006726CB" w:rsidP="007F2707">
            <w:pPr>
              <w:jc w:val="center"/>
              <w:rPr>
                <w:rFonts w:ascii="Arial" w:hAnsi="Arial" w:cs="Arial"/>
                <w:b/>
                <w:sz w:val="20"/>
                <w:szCs w:val="20"/>
                <w:lang w:val="es-MX"/>
              </w:rPr>
            </w:pPr>
            <w:r w:rsidRPr="003C5965">
              <w:rPr>
                <w:rFonts w:ascii="Arial" w:hAnsi="Arial" w:cs="Arial"/>
                <w:b/>
                <w:sz w:val="20"/>
                <w:szCs w:val="20"/>
                <w:lang w:val="es-MX"/>
              </w:rPr>
              <w:t>Transitorio (urbano)</w:t>
            </w:r>
          </w:p>
        </w:tc>
        <w:tc>
          <w:tcPr>
            <w:tcW w:w="1957" w:type="dxa"/>
            <w:shd w:val="clear" w:color="auto" w:fill="auto"/>
          </w:tcPr>
          <w:p w:rsidR="006726CB" w:rsidRPr="003C5965" w:rsidRDefault="006726CB" w:rsidP="007F2707">
            <w:pPr>
              <w:jc w:val="both"/>
              <w:rPr>
                <w:rFonts w:ascii="Arial" w:hAnsi="Arial" w:cs="Arial"/>
                <w:b/>
                <w:sz w:val="20"/>
                <w:szCs w:val="20"/>
                <w:lang w:val="es-MX"/>
              </w:rPr>
            </w:pPr>
            <w:r w:rsidRPr="003C5965">
              <w:rPr>
                <w:rFonts w:ascii="Arial" w:hAnsi="Arial" w:cs="Arial"/>
                <w:b/>
                <w:sz w:val="20"/>
                <w:szCs w:val="20"/>
              </w:rPr>
              <w:t>88.5115</w:t>
            </w:r>
            <w:r w:rsidRPr="003C5965">
              <w:rPr>
                <w:rFonts w:ascii="Arial" w:hAnsi="Arial" w:cs="Arial"/>
                <w:b/>
                <w:sz w:val="20"/>
                <w:szCs w:val="20"/>
                <w:lang w:val="es-MX"/>
              </w:rPr>
              <w:t xml:space="preserve"> (km/hora)</w:t>
            </w:r>
          </w:p>
        </w:tc>
        <w:tc>
          <w:tcPr>
            <w:tcW w:w="2025" w:type="dxa"/>
            <w:shd w:val="clear" w:color="auto" w:fill="auto"/>
          </w:tcPr>
          <w:p w:rsidR="006726CB" w:rsidRPr="003C5965" w:rsidRDefault="006726CB" w:rsidP="007F2707">
            <w:pPr>
              <w:jc w:val="both"/>
              <w:rPr>
                <w:rFonts w:ascii="Arial" w:hAnsi="Arial" w:cs="Arial"/>
                <w:b/>
                <w:sz w:val="20"/>
                <w:szCs w:val="20"/>
                <w:lang w:val="es-MX"/>
              </w:rPr>
            </w:pPr>
            <w:r w:rsidRPr="003C5965">
              <w:rPr>
                <w:rFonts w:ascii="Arial" w:hAnsi="Arial" w:cs="Arial"/>
                <w:b/>
                <w:sz w:val="20"/>
                <w:szCs w:val="20"/>
              </w:rPr>
              <w:t>104.6045</w:t>
            </w:r>
            <w:r w:rsidRPr="003C5965">
              <w:rPr>
                <w:rFonts w:ascii="Arial" w:hAnsi="Arial" w:cs="Arial"/>
                <w:b/>
                <w:sz w:val="20"/>
                <w:szCs w:val="20"/>
                <w:lang w:val="es-MX"/>
              </w:rPr>
              <w:t xml:space="preserve"> (km/hora)</w:t>
            </w:r>
          </w:p>
        </w:tc>
        <w:tc>
          <w:tcPr>
            <w:tcW w:w="1958" w:type="dxa"/>
            <w:shd w:val="clear" w:color="auto" w:fill="auto"/>
          </w:tcPr>
          <w:p w:rsidR="006726CB" w:rsidRPr="003C5965" w:rsidRDefault="006726CB" w:rsidP="007F2707">
            <w:pPr>
              <w:jc w:val="both"/>
              <w:rPr>
                <w:rFonts w:ascii="Arial" w:hAnsi="Arial" w:cs="Arial"/>
                <w:b/>
                <w:sz w:val="20"/>
                <w:szCs w:val="20"/>
                <w:lang w:val="es-MX"/>
              </w:rPr>
            </w:pPr>
            <w:r w:rsidRPr="003C5965">
              <w:rPr>
                <w:rFonts w:ascii="Arial" w:hAnsi="Arial" w:cs="Arial"/>
                <w:b/>
                <w:sz w:val="20"/>
                <w:szCs w:val="20"/>
                <w:lang w:val="es-MX"/>
              </w:rPr>
              <w:t>Total 3 ciclos</w:t>
            </w:r>
          </w:p>
        </w:tc>
      </w:tr>
      <w:tr w:rsidR="006726CB" w:rsidRPr="003C5965" w:rsidTr="007F2707">
        <w:tc>
          <w:tcPr>
            <w:tcW w:w="1407" w:type="dxa"/>
            <w:vMerge w:val="restart"/>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 xml:space="preserve">Carga </w:t>
            </w:r>
            <w:r w:rsidRPr="003C5965">
              <w:rPr>
                <w:rFonts w:ascii="Arial" w:hAnsi="Arial" w:cs="Arial"/>
                <w:sz w:val="20"/>
                <w:szCs w:val="20"/>
              </w:rPr>
              <w:t>17.236 tons</w:t>
            </w:r>
          </w:p>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 xml:space="preserve">Inclinación </w:t>
            </w:r>
          </w:p>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0 grados</w:t>
            </w:r>
          </w:p>
        </w:tc>
        <w:tc>
          <w:tcPr>
            <w:tcW w:w="2023"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Consumo=2.3478</w:t>
            </w:r>
          </w:p>
        </w:tc>
        <w:tc>
          <w:tcPr>
            <w:tcW w:w="1957"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Consumo=4.7998</w:t>
            </w:r>
          </w:p>
        </w:tc>
        <w:tc>
          <w:tcPr>
            <w:tcW w:w="2025"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Consumo= 6.6369</w:t>
            </w:r>
          </w:p>
        </w:tc>
        <w:tc>
          <w:tcPr>
            <w:tcW w:w="1958" w:type="dxa"/>
            <w:vMerge w:val="restart"/>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Consumo=13.7845</w:t>
            </w:r>
          </w:p>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Distancia=36.7136</w:t>
            </w:r>
          </w:p>
        </w:tc>
      </w:tr>
      <w:tr w:rsidR="006726CB" w:rsidRPr="003C5965" w:rsidTr="007F2707">
        <w:tc>
          <w:tcPr>
            <w:tcW w:w="1407" w:type="dxa"/>
            <w:vMerge/>
            <w:shd w:val="clear" w:color="auto" w:fill="auto"/>
          </w:tcPr>
          <w:p w:rsidR="006726CB" w:rsidRPr="003C5965" w:rsidRDefault="006726CB" w:rsidP="007F2707">
            <w:pPr>
              <w:jc w:val="both"/>
              <w:rPr>
                <w:rFonts w:ascii="Arial" w:hAnsi="Arial" w:cs="Arial"/>
                <w:sz w:val="20"/>
                <w:szCs w:val="20"/>
                <w:lang w:val="es-MX"/>
              </w:rPr>
            </w:pPr>
          </w:p>
        </w:tc>
        <w:tc>
          <w:tcPr>
            <w:tcW w:w="2023"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 0.0298</w:t>
            </w:r>
          </w:p>
        </w:tc>
        <w:tc>
          <w:tcPr>
            <w:tcW w:w="1957"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Cons=0.0189</w:t>
            </w:r>
          </w:p>
        </w:tc>
        <w:tc>
          <w:tcPr>
            <w:tcW w:w="2025"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 0.0221</w:t>
            </w:r>
          </w:p>
        </w:tc>
        <w:tc>
          <w:tcPr>
            <w:tcW w:w="1958" w:type="dxa"/>
            <w:vMerge/>
            <w:shd w:val="clear" w:color="auto" w:fill="auto"/>
          </w:tcPr>
          <w:p w:rsidR="006726CB" w:rsidRPr="003C5965" w:rsidRDefault="006726CB" w:rsidP="007F2707">
            <w:pPr>
              <w:jc w:val="both"/>
              <w:rPr>
                <w:rFonts w:ascii="Arial" w:hAnsi="Arial" w:cs="Arial"/>
                <w:sz w:val="20"/>
                <w:szCs w:val="20"/>
                <w:lang w:val="es-MX"/>
              </w:rPr>
            </w:pPr>
          </w:p>
        </w:tc>
      </w:tr>
      <w:tr w:rsidR="006726CB" w:rsidRPr="003C5965" w:rsidTr="007F2707">
        <w:tc>
          <w:tcPr>
            <w:tcW w:w="1407" w:type="dxa"/>
            <w:vMerge/>
            <w:shd w:val="clear" w:color="auto" w:fill="auto"/>
          </w:tcPr>
          <w:p w:rsidR="006726CB" w:rsidRPr="003C5965" w:rsidRDefault="006726CB" w:rsidP="007F2707">
            <w:pPr>
              <w:jc w:val="both"/>
              <w:rPr>
                <w:rFonts w:ascii="Arial" w:hAnsi="Arial" w:cs="Arial"/>
                <w:sz w:val="20"/>
                <w:szCs w:val="20"/>
                <w:lang w:val="es-MX"/>
              </w:rPr>
            </w:pPr>
          </w:p>
        </w:tc>
        <w:tc>
          <w:tcPr>
            <w:tcW w:w="2023"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Emis=77.4331</w:t>
            </w:r>
          </w:p>
        </w:tc>
        <w:tc>
          <w:tcPr>
            <w:tcW w:w="1957"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Emis=49.0795</w:t>
            </w:r>
          </w:p>
        </w:tc>
        <w:tc>
          <w:tcPr>
            <w:tcW w:w="2025"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Emis=57.5790</w:t>
            </w:r>
          </w:p>
        </w:tc>
        <w:tc>
          <w:tcPr>
            <w:tcW w:w="1958" w:type="dxa"/>
            <w:vMerge/>
            <w:shd w:val="clear" w:color="auto" w:fill="auto"/>
          </w:tcPr>
          <w:p w:rsidR="006726CB" w:rsidRPr="003C5965" w:rsidRDefault="006726CB" w:rsidP="007F2707">
            <w:pPr>
              <w:jc w:val="both"/>
              <w:rPr>
                <w:rFonts w:ascii="Arial" w:hAnsi="Arial" w:cs="Arial"/>
                <w:sz w:val="20"/>
                <w:szCs w:val="20"/>
                <w:lang w:val="es-MX"/>
              </w:rPr>
            </w:pPr>
          </w:p>
        </w:tc>
      </w:tr>
      <w:tr w:rsidR="006726CB" w:rsidRPr="003C5965" w:rsidTr="007F2707">
        <w:tc>
          <w:tcPr>
            <w:tcW w:w="1407" w:type="dxa"/>
            <w:vMerge w:val="restart"/>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 xml:space="preserve">Carga </w:t>
            </w:r>
            <w:r w:rsidRPr="003C5965">
              <w:rPr>
                <w:rFonts w:ascii="Arial" w:hAnsi="Arial" w:cs="Arial"/>
                <w:sz w:val="20"/>
                <w:szCs w:val="20"/>
              </w:rPr>
              <w:t>22.258 tons</w:t>
            </w:r>
          </w:p>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Inclinación</w:t>
            </w:r>
          </w:p>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0 grados</w:t>
            </w:r>
          </w:p>
        </w:tc>
        <w:tc>
          <w:tcPr>
            <w:tcW w:w="2023"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Consumo= 2.5779</w:t>
            </w:r>
          </w:p>
        </w:tc>
        <w:tc>
          <w:tcPr>
            <w:tcW w:w="1957"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Consumo= 5.0382</w:t>
            </w:r>
          </w:p>
        </w:tc>
        <w:tc>
          <w:tcPr>
            <w:tcW w:w="2025"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Consumo= 7.0635</w:t>
            </w:r>
          </w:p>
        </w:tc>
        <w:tc>
          <w:tcPr>
            <w:tcW w:w="1958" w:type="dxa"/>
            <w:vMerge w:val="restart"/>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Consumo=14.6796</w:t>
            </w:r>
          </w:p>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Distancia=36.7136</w:t>
            </w:r>
          </w:p>
        </w:tc>
      </w:tr>
      <w:tr w:rsidR="006726CB" w:rsidRPr="003C5965" w:rsidTr="007F2707">
        <w:tc>
          <w:tcPr>
            <w:tcW w:w="1407" w:type="dxa"/>
            <w:vMerge/>
            <w:shd w:val="clear" w:color="auto" w:fill="auto"/>
          </w:tcPr>
          <w:p w:rsidR="006726CB" w:rsidRPr="003C5965" w:rsidRDefault="006726CB" w:rsidP="007F2707">
            <w:pPr>
              <w:jc w:val="both"/>
              <w:rPr>
                <w:rFonts w:ascii="Arial" w:hAnsi="Arial" w:cs="Arial"/>
                <w:sz w:val="20"/>
                <w:szCs w:val="20"/>
                <w:lang w:val="es-MX"/>
              </w:rPr>
            </w:pPr>
          </w:p>
        </w:tc>
        <w:tc>
          <w:tcPr>
            <w:tcW w:w="2023"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 0.0253</w:t>
            </w:r>
          </w:p>
        </w:tc>
        <w:tc>
          <w:tcPr>
            <w:tcW w:w="1957"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Cons=0.01534</w:t>
            </w:r>
          </w:p>
        </w:tc>
        <w:tc>
          <w:tcPr>
            <w:tcW w:w="2025"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 0.0183</w:t>
            </w:r>
          </w:p>
        </w:tc>
        <w:tc>
          <w:tcPr>
            <w:tcW w:w="1958" w:type="dxa"/>
            <w:vMerge/>
            <w:shd w:val="clear" w:color="auto" w:fill="auto"/>
          </w:tcPr>
          <w:p w:rsidR="006726CB" w:rsidRPr="003C5965" w:rsidRDefault="006726CB" w:rsidP="007F2707">
            <w:pPr>
              <w:jc w:val="both"/>
              <w:rPr>
                <w:rFonts w:ascii="Arial" w:hAnsi="Arial" w:cs="Arial"/>
                <w:sz w:val="20"/>
                <w:szCs w:val="20"/>
                <w:lang w:val="es-MX"/>
              </w:rPr>
            </w:pPr>
          </w:p>
        </w:tc>
      </w:tr>
      <w:tr w:rsidR="006726CB" w:rsidRPr="003C5965" w:rsidTr="007F2707">
        <w:tc>
          <w:tcPr>
            <w:tcW w:w="1407" w:type="dxa"/>
            <w:vMerge/>
            <w:shd w:val="clear" w:color="auto" w:fill="auto"/>
          </w:tcPr>
          <w:p w:rsidR="006726CB" w:rsidRPr="003C5965" w:rsidRDefault="006726CB" w:rsidP="007F2707">
            <w:pPr>
              <w:jc w:val="both"/>
              <w:rPr>
                <w:rFonts w:ascii="Arial" w:hAnsi="Arial" w:cs="Arial"/>
                <w:sz w:val="20"/>
                <w:szCs w:val="20"/>
                <w:lang w:val="es-MX"/>
              </w:rPr>
            </w:pPr>
          </w:p>
        </w:tc>
        <w:tc>
          <w:tcPr>
            <w:tcW w:w="2023"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Emis= 65.8400</w:t>
            </w:r>
          </w:p>
        </w:tc>
        <w:tc>
          <w:tcPr>
            <w:tcW w:w="1957"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Emis=39.8933</w:t>
            </w:r>
          </w:p>
        </w:tc>
        <w:tc>
          <w:tcPr>
            <w:tcW w:w="2025"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Emis=47.4536</w:t>
            </w:r>
          </w:p>
        </w:tc>
        <w:tc>
          <w:tcPr>
            <w:tcW w:w="1958" w:type="dxa"/>
            <w:vMerge/>
            <w:shd w:val="clear" w:color="auto" w:fill="auto"/>
          </w:tcPr>
          <w:p w:rsidR="006726CB" w:rsidRPr="003C5965" w:rsidRDefault="006726CB" w:rsidP="007F2707">
            <w:pPr>
              <w:jc w:val="both"/>
              <w:rPr>
                <w:rFonts w:ascii="Arial" w:hAnsi="Arial" w:cs="Arial"/>
                <w:sz w:val="20"/>
                <w:szCs w:val="20"/>
                <w:lang w:val="es-MX"/>
              </w:rPr>
            </w:pPr>
          </w:p>
        </w:tc>
      </w:tr>
      <w:tr w:rsidR="006726CB" w:rsidRPr="003C5965" w:rsidTr="007F2707">
        <w:tc>
          <w:tcPr>
            <w:tcW w:w="1407" w:type="dxa"/>
            <w:vMerge w:val="restart"/>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 xml:space="preserve">Carga </w:t>
            </w:r>
            <w:r w:rsidRPr="003C5965">
              <w:rPr>
                <w:rFonts w:ascii="Arial" w:hAnsi="Arial" w:cs="Arial"/>
                <w:sz w:val="20"/>
                <w:szCs w:val="20"/>
              </w:rPr>
              <w:t>17.236 tons</w:t>
            </w:r>
          </w:p>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lastRenderedPageBreak/>
              <w:t>Inclinación 1.5 grados</w:t>
            </w:r>
          </w:p>
        </w:tc>
        <w:tc>
          <w:tcPr>
            <w:tcW w:w="2023"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lastRenderedPageBreak/>
              <w:t>Consumo=3.611003</w:t>
            </w:r>
          </w:p>
        </w:tc>
        <w:tc>
          <w:tcPr>
            <w:tcW w:w="1957"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Consumo= 9.524913</w:t>
            </w:r>
          </w:p>
        </w:tc>
        <w:tc>
          <w:tcPr>
            <w:tcW w:w="2025"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Consumo= 9.7168</w:t>
            </w:r>
          </w:p>
        </w:tc>
        <w:tc>
          <w:tcPr>
            <w:tcW w:w="1958" w:type="dxa"/>
            <w:vMerge w:val="restart"/>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Consumo=22.8527</w:t>
            </w:r>
          </w:p>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lastRenderedPageBreak/>
              <w:t>Distancia=36.7136</w:t>
            </w:r>
          </w:p>
        </w:tc>
      </w:tr>
      <w:tr w:rsidR="006726CB" w:rsidRPr="003C5965" w:rsidTr="007F2707">
        <w:tc>
          <w:tcPr>
            <w:tcW w:w="1407" w:type="dxa"/>
            <w:vMerge/>
            <w:shd w:val="clear" w:color="auto" w:fill="auto"/>
          </w:tcPr>
          <w:p w:rsidR="006726CB" w:rsidRPr="003C5965" w:rsidRDefault="006726CB" w:rsidP="007F2707">
            <w:pPr>
              <w:jc w:val="both"/>
              <w:rPr>
                <w:rFonts w:ascii="Arial" w:hAnsi="Arial" w:cs="Arial"/>
                <w:sz w:val="20"/>
                <w:szCs w:val="20"/>
                <w:lang w:val="es-MX"/>
              </w:rPr>
            </w:pPr>
          </w:p>
        </w:tc>
        <w:tc>
          <w:tcPr>
            <w:tcW w:w="2023"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Cons=0.0458</w:t>
            </w:r>
          </w:p>
        </w:tc>
        <w:tc>
          <w:tcPr>
            <w:tcW w:w="1957"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Cons=0.0374</w:t>
            </w:r>
          </w:p>
        </w:tc>
        <w:tc>
          <w:tcPr>
            <w:tcW w:w="2025"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Cons=0.0324</w:t>
            </w:r>
          </w:p>
        </w:tc>
        <w:tc>
          <w:tcPr>
            <w:tcW w:w="1958" w:type="dxa"/>
            <w:vMerge/>
            <w:shd w:val="clear" w:color="auto" w:fill="auto"/>
          </w:tcPr>
          <w:p w:rsidR="006726CB" w:rsidRPr="003C5965" w:rsidRDefault="006726CB" w:rsidP="007F2707">
            <w:pPr>
              <w:jc w:val="both"/>
              <w:rPr>
                <w:rFonts w:ascii="Arial" w:hAnsi="Arial" w:cs="Arial"/>
                <w:sz w:val="20"/>
                <w:szCs w:val="20"/>
                <w:lang w:val="es-MX"/>
              </w:rPr>
            </w:pPr>
          </w:p>
        </w:tc>
      </w:tr>
      <w:tr w:rsidR="006726CB" w:rsidRPr="003C5965" w:rsidTr="007F2707">
        <w:tc>
          <w:tcPr>
            <w:tcW w:w="1407" w:type="dxa"/>
            <w:vMerge/>
            <w:shd w:val="clear" w:color="auto" w:fill="auto"/>
          </w:tcPr>
          <w:p w:rsidR="006726CB" w:rsidRPr="003C5965" w:rsidRDefault="006726CB" w:rsidP="007F2707">
            <w:pPr>
              <w:jc w:val="both"/>
              <w:rPr>
                <w:rFonts w:ascii="Arial" w:hAnsi="Arial" w:cs="Arial"/>
                <w:sz w:val="20"/>
                <w:szCs w:val="20"/>
                <w:lang w:val="es-MX"/>
              </w:rPr>
            </w:pPr>
          </w:p>
        </w:tc>
        <w:tc>
          <w:tcPr>
            <w:tcW w:w="2023"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Emis=119.0958</w:t>
            </w:r>
          </w:p>
        </w:tc>
        <w:tc>
          <w:tcPr>
            <w:tcW w:w="1957"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Emis=97.3952</w:t>
            </w:r>
          </w:p>
        </w:tc>
        <w:tc>
          <w:tcPr>
            <w:tcW w:w="2025"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Emis= 84.2986</w:t>
            </w:r>
          </w:p>
        </w:tc>
        <w:tc>
          <w:tcPr>
            <w:tcW w:w="1958" w:type="dxa"/>
            <w:vMerge/>
            <w:shd w:val="clear" w:color="auto" w:fill="auto"/>
          </w:tcPr>
          <w:p w:rsidR="006726CB" w:rsidRPr="003C5965" w:rsidRDefault="006726CB" w:rsidP="007F2707">
            <w:pPr>
              <w:jc w:val="both"/>
              <w:rPr>
                <w:rFonts w:ascii="Arial" w:hAnsi="Arial" w:cs="Arial"/>
                <w:sz w:val="20"/>
                <w:szCs w:val="20"/>
                <w:lang w:val="es-MX"/>
              </w:rPr>
            </w:pPr>
          </w:p>
        </w:tc>
      </w:tr>
      <w:tr w:rsidR="006726CB" w:rsidRPr="003C5965" w:rsidTr="007F2707">
        <w:tc>
          <w:tcPr>
            <w:tcW w:w="1407" w:type="dxa"/>
            <w:vMerge w:val="restart"/>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 xml:space="preserve">Carga </w:t>
            </w:r>
            <w:r w:rsidRPr="003C5965">
              <w:rPr>
                <w:rFonts w:ascii="Arial" w:hAnsi="Arial" w:cs="Arial"/>
                <w:sz w:val="20"/>
                <w:szCs w:val="20"/>
              </w:rPr>
              <w:t>22.258 tons</w:t>
            </w:r>
            <w:r w:rsidRPr="003C5965">
              <w:rPr>
                <w:rFonts w:ascii="Arial" w:hAnsi="Arial" w:cs="Arial"/>
                <w:sz w:val="20"/>
                <w:szCs w:val="20"/>
                <w:lang w:val="es-MX"/>
              </w:rPr>
              <w:br/>
              <w:t>Inclinación 1.5 grados</w:t>
            </w:r>
          </w:p>
        </w:tc>
        <w:tc>
          <w:tcPr>
            <w:tcW w:w="2023"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Consumo= 4.0685</w:t>
            </w:r>
          </w:p>
        </w:tc>
        <w:tc>
          <w:tcPr>
            <w:tcW w:w="1957"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Consumo=9.7355</w:t>
            </w:r>
          </w:p>
        </w:tc>
        <w:tc>
          <w:tcPr>
            <w:tcW w:w="2025"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Consumo= 11.7128</w:t>
            </w:r>
          </w:p>
        </w:tc>
        <w:tc>
          <w:tcPr>
            <w:tcW w:w="1958" w:type="dxa"/>
            <w:vMerge w:val="restart"/>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 xml:space="preserve">Consumo=25.5167 </w:t>
            </w:r>
          </w:p>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Distancia=36.7136</w:t>
            </w:r>
          </w:p>
        </w:tc>
      </w:tr>
      <w:tr w:rsidR="006726CB" w:rsidRPr="003C5965" w:rsidTr="007F2707">
        <w:tc>
          <w:tcPr>
            <w:tcW w:w="1407" w:type="dxa"/>
            <w:vMerge/>
            <w:shd w:val="clear" w:color="auto" w:fill="auto"/>
          </w:tcPr>
          <w:p w:rsidR="006726CB" w:rsidRPr="003C5965" w:rsidRDefault="006726CB" w:rsidP="007F2707">
            <w:pPr>
              <w:jc w:val="both"/>
              <w:rPr>
                <w:rFonts w:ascii="Arial" w:hAnsi="Arial" w:cs="Arial"/>
                <w:sz w:val="20"/>
                <w:szCs w:val="20"/>
                <w:lang w:val="es-MX"/>
              </w:rPr>
            </w:pPr>
          </w:p>
        </w:tc>
        <w:tc>
          <w:tcPr>
            <w:tcW w:w="2023"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 0.0400</w:t>
            </w:r>
          </w:p>
        </w:tc>
        <w:tc>
          <w:tcPr>
            <w:tcW w:w="1957"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Cons=0.0296</w:t>
            </w:r>
          </w:p>
        </w:tc>
        <w:tc>
          <w:tcPr>
            <w:tcW w:w="2025"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Cons=0.0303</w:t>
            </w:r>
          </w:p>
        </w:tc>
        <w:tc>
          <w:tcPr>
            <w:tcW w:w="1958" w:type="dxa"/>
            <w:vMerge/>
            <w:shd w:val="clear" w:color="auto" w:fill="auto"/>
          </w:tcPr>
          <w:p w:rsidR="006726CB" w:rsidRPr="003C5965" w:rsidRDefault="006726CB" w:rsidP="007F2707">
            <w:pPr>
              <w:jc w:val="both"/>
              <w:rPr>
                <w:rFonts w:ascii="Arial" w:hAnsi="Arial" w:cs="Arial"/>
                <w:sz w:val="20"/>
                <w:szCs w:val="20"/>
                <w:lang w:val="es-MX"/>
              </w:rPr>
            </w:pPr>
          </w:p>
        </w:tc>
      </w:tr>
      <w:tr w:rsidR="006726CB" w:rsidRPr="003C5965" w:rsidTr="007F2707">
        <w:tc>
          <w:tcPr>
            <w:tcW w:w="1407" w:type="dxa"/>
            <w:vMerge/>
            <w:shd w:val="clear" w:color="auto" w:fill="auto"/>
          </w:tcPr>
          <w:p w:rsidR="006726CB" w:rsidRPr="003C5965" w:rsidRDefault="006726CB" w:rsidP="007F2707">
            <w:pPr>
              <w:jc w:val="both"/>
              <w:rPr>
                <w:rFonts w:ascii="Arial" w:hAnsi="Arial" w:cs="Arial"/>
                <w:sz w:val="20"/>
                <w:szCs w:val="20"/>
                <w:lang w:val="es-MX"/>
              </w:rPr>
            </w:pPr>
          </w:p>
        </w:tc>
        <w:tc>
          <w:tcPr>
            <w:tcW w:w="2023"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Emis= 103.9085</w:t>
            </w:r>
          </w:p>
        </w:tc>
        <w:tc>
          <w:tcPr>
            <w:tcW w:w="1957"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Emis= 77.0873</w:t>
            </w:r>
          </w:p>
        </w:tc>
        <w:tc>
          <w:tcPr>
            <w:tcW w:w="2025" w:type="dxa"/>
            <w:shd w:val="clear" w:color="auto" w:fill="auto"/>
          </w:tcPr>
          <w:p w:rsidR="006726CB" w:rsidRPr="003C5965" w:rsidRDefault="006726CB" w:rsidP="007F2707">
            <w:pPr>
              <w:jc w:val="both"/>
              <w:rPr>
                <w:rFonts w:ascii="Arial" w:hAnsi="Arial" w:cs="Arial"/>
                <w:sz w:val="20"/>
                <w:szCs w:val="20"/>
                <w:lang w:val="es-MX"/>
              </w:rPr>
            </w:pPr>
            <w:r w:rsidRPr="003C5965">
              <w:rPr>
                <w:rFonts w:ascii="Arial" w:hAnsi="Arial" w:cs="Arial"/>
                <w:sz w:val="20"/>
                <w:szCs w:val="20"/>
                <w:lang w:val="es-MX"/>
              </w:rPr>
              <w:t>Emis= 78.6880</w:t>
            </w:r>
          </w:p>
        </w:tc>
        <w:tc>
          <w:tcPr>
            <w:tcW w:w="1958" w:type="dxa"/>
            <w:vMerge/>
            <w:shd w:val="clear" w:color="auto" w:fill="auto"/>
          </w:tcPr>
          <w:p w:rsidR="006726CB" w:rsidRPr="003C5965" w:rsidRDefault="006726CB" w:rsidP="007F2707">
            <w:pPr>
              <w:jc w:val="both"/>
              <w:rPr>
                <w:rFonts w:ascii="Arial" w:hAnsi="Arial" w:cs="Arial"/>
                <w:sz w:val="20"/>
                <w:szCs w:val="20"/>
                <w:lang w:val="es-MX"/>
              </w:rPr>
            </w:pPr>
          </w:p>
        </w:tc>
      </w:tr>
    </w:tbl>
    <w:p w:rsidR="006726CB" w:rsidRPr="003C5965" w:rsidRDefault="006726CB" w:rsidP="006726CB">
      <w:pPr>
        <w:jc w:val="both"/>
        <w:rPr>
          <w:rFonts w:ascii="Arial" w:hAnsi="Arial" w:cs="Arial"/>
          <w:lang w:val="es-MX"/>
        </w:rPr>
      </w:pPr>
    </w:p>
    <w:p w:rsidR="006726CB" w:rsidRPr="003C5965" w:rsidRDefault="006726CB" w:rsidP="006726CB">
      <w:pPr>
        <w:ind w:firstLine="567"/>
        <w:jc w:val="both"/>
        <w:rPr>
          <w:rFonts w:ascii="Arial" w:hAnsi="Arial" w:cs="Arial"/>
          <w:lang w:val="es-MX"/>
        </w:rPr>
      </w:pPr>
      <w:r w:rsidRPr="003C5965">
        <w:rPr>
          <w:rFonts w:ascii="Arial" w:hAnsi="Arial" w:cs="Arial"/>
          <w:lang w:val="es-MX"/>
        </w:rPr>
        <w:t xml:space="preserve">En la tabla 1 se nota que conforme aumenta la carga transportada por el tractocamión aumenta el consumo de combustible. De la misma manera si aumenta la inclinación en la que se mueve el tractocamión aumenta el consumo de combustible. El consumo de combustible (en litros) es mayor si aumenta la carga y también la inclinación del recorrido. </w:t>
      </w:r>
    </w:p>
    <w:p w:rsidR="006726CB" w:rsidRPr="003C5965" w:rsidRDefault="006726CB" w:rsidP="006726CB">
      <w:pPr>
        <w:ind w:firstLine="567"/>
        <w:jc w:val="both"/>
        <w:rPr>
          <w:rFonts w:ascii="Arial" w:hAnsi="Arial" w:cs="Arial"/>
          <w:lang w:val="es-MX"/>
        </w:rPr>
      </w:pPr>
      <w:r w:rsidRPr="003C5965">
        <w:rPr>
          <w:rFonts w:ascii="Arial" w:hAnsi="Arial" w:cs="Arial"/>
          <w:lang w:val="es-MX"/>
        </w:rPr>
        <w:t xml:space="preserve">En la Figura 3 se muestra el consumo de combustible acumulado contra el tiempo para el caso de una carga de </w:t>
      </w:r>
      <w:r w:rsidRPr="003C5965">
        <w:rPr>
          <w:rFonts w:ascii="Arial" w:hAnsi="Arial" w:cs="Arial"/>
        </w:rPr>
        <w:t>17.236</w:t>
      </w:r>
      <w:r w:rsidRPr="003C5965">
        <w:rPr>
          <w:rFonts w:ascii="Arial" w:hAnsi="Arial" w:cs="Arial"/>
          <w:lang w:val="es-MX"/>
        </w:rPr>
        <w:t xml:space="preserve"> tons e inclinación de 0 grados. En la Figura 4 se muestra el consumo de combustible contra el tiempo para una carga de </w:t>
      </w:r>
      <w:r w:rsidRPr="003C5965">
        <w:rPr>
          <w:rFonts w:ascii="Arial" w:hAnsi="Arial" w:cs="Arial"/>
          <w:i/>
        </w:rPr>
        <w:t>22.258</w:t>
      </w:r>
      <w:r w:rsidRPr="003C5965">
        <w:rPr>
          <w:rFonts w:ascii="Arial" w:hAnsi="Arial" w:cs="Arial"/>
          <w:i/>
          <w:sz w:val="20"/>
          <w:szCs w:val="20"/>
          <w:lang w:val="es-MX"/>
        </w:rPr>
        <w:t xml:space="preserve"> </w:t>
      </w:r>
      <w:r w:rsidRPr="003C5965">
        <w:rPr>
          <w:rFonts w:ascii="Arial" w:hAnsi="Arial" w:cs="Arial"/>
          <w:lang w:val="es-MX"/>
        </w:rPr>
        <w:t xml:space="preserve"> tons e inclinación de 1.5 grados.</w:t>
      </w:r>
    </w:p>
    <w:p w:rsidR="006726CB" w:rsidRPr="003C5965" w:rsidRDefault="006726CB" w:rsidP="006726CB">
      <w:pPr>
        <w:jc w:val="center"/>
        <w:rPr>
          <w:rFonts w:ascii="Arial" w:hAnsi="Arial" w:cs="Arial"/>
          <w:lang w:val="es-MX"/>
        </w:rPr>
      </w:pPr>
    </w:p>
    <w:p w:rsidR="006726CB" w:rsidRPr="003C5965" w:rsidRDefault="006726CB" w:rsidP="006726CB">
      <w:pPr>
        <w:jc w:val="center"/>
        <w:rPr>
          <w:rFonts w:ascii="Arial" w:hAnsi="Arial" w:cs="Arial"/>
          <w:lang w:val="es-MX"/>
        </w:rPr>
      </w:pPr>
      <w:r w:rsidRPr="003C5965">
        <w:rPr>
          <w:noProof/>
          <w:lang w:val="en-US"/>
        </w:rPr>
        <w:drawing>
          <wp:inline distT="0" distB="0" distL="0" distR="0" wp14:anchorId="0FEFCFD8" wp14:editId="7E054D8F">
            <wp:extent cx="5943600" cy="2400300"/>
            <wp:effectExtent l="0" t="0" r="0" b="0"/>
            <wp:docPr id="2026623692" name="Imagen 202662369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close up of a map&#10;&#10;Description automatically generated"/>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5943600" cy="2400300"/>
                    </a:xfrm>
                    <a:prstGeom prst="rect">
                      <a:avLst/>
                    </a:prstGeom>
                    <a:noFill/>
                    <a:ln>
                      <a:noFill/>
                    </a:ln>
                  </pic:spPr>
                </pic:pic>
              </a:graphicData>
            </a:graphic>
          </wp:inline>
        </w:drawing>
      </w:r>
    </w:p>
    <w:p w:rsidR="006726CB" w:rsidRPr="003C5965" w:rsidRDefault="006726CB" w:rsidP="006726CB">
      <w:pPr>
        <w:jc w:val="center"/>
        <w:rPr>
          <w:rFonts w:ascii="Arial" w:hAnsi="Arial" w:cs="Arial"/>
          <w:lang w:val="es-MX"/>
        </w:rPr>
      </w:pPr>
    </w:p>
    <w:p w:rsidR="006726CB" w:rsidRPr="003C5965" w:rsidRDefault="006726CB" w:rsidP="006726CB">
      <w:pPr>
        <w:jc w:val="center"/>
        <w:rPr>
          <w:rFonts w:ascii="Arial" w:hAnsi="Arial" w:cs="Arial"/>
          <w:i/>
          <w:sz w:val="20"/>
          <w:szCs w:val="20"/>
          <w:lang w:val="es-MX"/>
        </w:rPr>
      </w:pPr>
      <w:r w:rsidRPr="003C5965">
        <w:rPr>
          <w:rFonts w:ascii="Arial" w:hAnsi="Arial" w:cs="Arial"/>
          <w:i/>
          <w:sz w:val="20"/>
          <w:szCs w:val="20"/>
          <w:lang w:val="es-MX"/>
        </w:rPr>
        <w:t xml:space="preserve">Figura 3. Consumo de combustible (litros) contra tiempo (segundos) para una carga de </w:t>
      </w:r>
      <w:r w:rsidRPr="003C5965">
        <w:rPr>
          <w:rFonts w:ascii="Arial" w:hAnsi="Arial" w:cs="Arial"/>
          <w:i/>
          <w:sz w:val="20"/>
          <w:szCs w:val="20"/>
        </w:rPr>
        <w:t>17.236</w:t>
      </w:r>
      <w:r w:rsidRPr="003C5965">
        <w:rPr>
          <w:rFonts w:ascii="Arial" w:hAnsi="Arial" w:cs="Arial"/>
          <w:i/>
          <w:sz w:val="20"/>
          <w:szCs w:val="20"/>
          <w:lang w:val="es-MX"/>
        </w:rPr>
        <w:t xml:space="preserve"> tons e inclinación del recorrido de 0 grados.</w:t>
      </w:r>
    </w:p>
    <w:p w:rsidR="006726CB" w:rsidRPr="003C5965" w:rsidRDefault="006726CB" w:rsidP="006726CB">
      <w:pPr>
        <w:jc w:val="both"/>
        <w:rPr>
          <w:rFonts w:ascii="Arial" w:hAnsi="Arial" w:cs="Arial"/>
          <w:i/>
          <w:lang w:val="es-MX"/>
        </w:rPr>
      </w:pPr>
    </w:p>
    <w:p w:rsidR="006726CB" w:rsidRPr="003C5965" w:rsidRDefault="006726CB" w:rsidP="006726CB">
      <w:pPr>
        <w:ind w:firstLine="567"/>
        <w:jc w:val="both"/>
        <w:rPr>
          <w:rFonts w:ascii="Arial" w:hAnsi="Arial" w:cs="Arial"/>
          <w:lang w:val="es-MX"/>
        </w:rPr>
      </w:pPr>
      <w:r w:rsidRPr="003C5965">
        <w:rPr>
          <w:rFonts w:ascii="Arial" w:hAnsi="Arial" w:cs="Arial"/>
          <w:lang w:val="es-MX"/>
        </w:rPr>
        <w:t xml:space="preserve">En las Figuras 3 y 4 se muestra el consumo de combustible del tractocamión conforme el vehículo se mueve en cada uno de los ciclos. Los consumos de combustible aumentan más rápidamente cuando el vehículo se acelera, si el vehículo viaja a rapidez constante el aumento en el </w:t>
      </w:r>
      <w:r w:rsidRPr="003C5965">
        <w:rPr>
          <w:rFonts w:ascii="Arial" w:hAnsi="Arial" w:cs="Arial"/>
          <w:lang w:val="es-MX"/>
        </w:rPr>
        <w:lastRenderedPageBreak/>
        <w:t>consumo tiene un comportamiento lineal. En el modelo UAMmero el vehículo no consume combustible si desacelera.</w:t>
      </w:r>
    </w:p>
    <w:p w:rsidR="006726CB" w:rsidRPr="003C5965" w:rsidRDefault="006726CB" w:rsidP="006726CB">
      <w:pPr>
        <w:jc w:val="center"/>
        <w:rPr>
          <w:rFonts w:ascii="Arial" w:hAnsi="Arial" w:cs="Arial"/>
          <w:i/>
          <w:sz w:val="20"/>
          <w:szCs w:val="20"/>
          <w:lang w:val="es-MX"/>
        </w:rPr>
      </w:pPr>
    </w:p>
    <w:p w:rsidR="006726CB" w:rsidRPr="003C5965" w:rsidRDefault="006726CB" w:rsidP="006726CB">
      <w:pPr>
        <w:jc w:val="center"/>
        <w:rPr>
          <w:rFonts w:ascii="Arial" w:hAnsi="Arial" w:cs="Arial"/>
          <w:i/>
          <w:sz w:val="20"/>
          <w:szCs w:val="20"/>
          <w:lang w:val="es-MX"/>
        </w:rPr>
      </w:pPr>
      <w:r w:rsidRPr="003C5965">
        <w:rPr>
          <w:noProof/>
          <w:lang w:val="en-US"/>
        </w:rPr>
        <w:drawing>
          <wp:inline distT="0" distB="0" distL="0" distR="0" wp14:anchorId="2C7D5AB7" wp14:editId="600DEA62">
            <wp:extent cx="5943600" cy="2409825"/>
            <wp:effectExtent l="0" t="0" r="0" b="9525"/>
            <wp:docPr id="2026623691" name="Imagen 202662369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close up of a map&#10;&#10;Description automatically generated"/>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5943600" cy="2409825"/>
                    </a:xfrm>
                    <a:prstGeom prst="rect">
                      <a:avLst/>
                    </a:prstGeom>
                    <a:noFill/>
                    <a:ln>
                      <a:noFill/>
                    </a:ln>
                  </pic:spPr>
                </pic:pic>
              </a:graphicData>
            </a:graphic>
          </wp:inline>
        </w:drawing>
      </w:r>
    </w:p>
    <w:p w:rsidR="006726CB" w:rsidRPr="003C5965" w:rsidRDefault="006726CB" w:rsidP="006726CB">
      <w:pPr>
        <w:jc w:val="center"/>
        <w:rPr>
          <w:rFonts w:ascii="Arial" w:hAnsi="Arial" w:cs="Arial"/>
          <w:i/>
          <w:sz w:val="20"/>
          <w:szCs w:val="20"/>
          <w:lang w:val="es-MX"/>
        </w:rPr>
      </w:pPr>
    </w:p>
    <w:p w:rsidR="006726CB" w:rsidRPr="003C5965" w:rsidRDefault="006726CB" w:rsidP="006726CB">
      <w:pPr>
        <w:jc w:val="center"/>
        <w:rPr>
          <w:rFonts w:ascii="Arial" w:hAnsi="Arial" w:cs="Arial"/>
          <w:i/>
          <w:sz w:val="20"/>
          <w:szCs w:val="20"/>
          <w:lang w:val="es-MX"/>
        </w:rPr>
      </w:pPr>
      <w:r w:rsidRPr="003C5965">
        <w:rPr>
          <w:rFonts w:ascii="Arial" w:hAnsi="Arial" w:cs="Arial"/>
          <w:i/>
          <w:sz w:val="20"/>
          <w:szCs w:val="20"/>
          <w:lang w:val="es-MX"/>
        </w:rPr>
        <w:t xml:space="preserve">Figura 4. Consumo de combustible (litros) contra tiempo (segundos) para una carga de </w:t>
      </w:r>
      <w:r w:rsidRPr="003C5965">
        <w:rPr>
          <w:rFonts w:ascii="Arial" w:hAnsi="Arial" w:cs="Arial"/>
          <w:i/>
          <w:sz w:val="20"/>
          <w:szCs w:val="20"/>
        </w:rPr>
        <w:t>22.258</w:t>
      </w:r>
      <w:r w:rsidRPr="003C5965">
        <w:rPr>
          <w:rFonts w:ascii="Arial" w:hAnsi="Arial" w:cs="Arial"/>
          <w:i/>
          <w:sz w:val="20"/>
          <w:szCs w:val="20"/>
          <w:lang w:val="es-MX"/>
        </w:rPr>
        <w:t xml:space="preserve"> tons e inclinación del recorrido de 1.5 grados.</w:t>
      </w:r>
    </w:p>
    <w:p w:rsidR="006726CB" w:rsidRPr="003C5965" w:rsidRDefault="006726CB" w:rsidP="006726CB">
      <w:pPr>
        <w:jc w:val="both"/>
        <w:rPr>
          <w:rFonts w:ascii="Arial" w:hAnsi="Arial" w:cs="Arial"/>
          <w:i/>
          <w:sz w:val="20"/>
          <w:szCs w:val="20"/>
          <w:lang w:val="es-MX"/>
        </w:rPr>
      </w:pPr>
    </w:p>
    <w:p w:rsidR="006726CB" w:rsidRPr="003C5965" w:rsidRDefault="006726CB" w:rsidP="006726CB">
      <w:pPr>
        <w:ind w:firstLine="567"/>
        <w:jc w:val="both"/>
        <w:rPr>
          <w:rFonts w:ascii="Arial" w:hAnsi="Arial" w:cs="Arial"/>
          <w:lang w:val="es-MX"/>
        </w:rPr>
      </w:pPr>
      <w:r w:rsidRPr="003C5965">
        <w:rPr>
          <w:rFonts w:ascii="Arial" w:hAnsi="Arial" w:cs="Arial"/>
          <w:lang w:val="es-MX"/>
        </w:rPr>
        <w:t xml:space="preserve">En la Figura 5 se muestra el rendimiento de combustible instantáneo en kilómetros por litro contra la distancia recorrida para una carga de </w:t>
      </w:r>
      <w:r w:rsidRPr="003C5965">
        <w:rPr>
          <w:rFonts w:ascii="Arial" w:hAnsi="Arial" w:cs="Arial"/>
        </w:rPr>
        <w:t>17.236 tons</w:t>
      </w:r>
      <w:r w:rsidRPr="003C5965">
        <w:rPr>
          <w:rFonts w:ascii="Arial" w:hAnsi="Arial" w:cs="Arial"/>
          <w:sz w:val="22"/>
          <w:szCs w:val="22"/>
          <w:lang w:val="es-MX"/>
        </w:rPr>
        <w:t xml:space="preserve"> </w:t>
      </w:r>
      <w:r w:rsidRPr="003C5965">
        <w:rPr>
          <w:rFonts w:ascii="Arial" w:hAnsi="Arial" w:cs="Arial"/>
          <w:lang w:val="es-MX"/>
        </w:rPr>
        <w:t xml:space="preserve">e inclinación del recorrido de 0 grados. En la Figura 6 se muestra el rendimiento de combustible para una carga de 22.258 tons e inclinación del recorrido de 1.5 grados. </w:t>
      </w:r>
    </w:p>
    <w:p w:rsidR="006726CB" w:rsidRPr="003C5965" w:rsidRDefault="006726CB" w:rsidP="006726CB">
      <w:pPr>
        <w:jc w:val="center"/>
        <w:rPr>
          <w:rFonts w:ascii="Arial" w:hAnsi="Arial" w:cs="Arial"/>
          <w:sz w:val="22"/>
          <w:szCs w:val="22"/>
          <w:lang w:val="es-MX"/>
        </w:rPr>
      </w:pPr>
    </w:p>
    <w:p w:rsidR="006726CB" w:rsidRPr="003C5965" w:rsidRDefault="006726CB" w:rsidP="006726CB">
      <w:pPr>
        <w:jc w:val="center"/>
        <w:rPr>
          <w:rFonts w:ascii="Arial" w:hAnsi="Arial" w:cs="Arial"/>
          <w:lang w:val="es-MX"/>
        </w:rPr>
      </w:pPr>
      <w:r w:rsidRPr="003C5965">
        <w:rPr>
          <w:noProof/>
          <w:lang w:val="en-US"/>
        </w:rPr>
        <w:drawing>
          <wp:inline distT="0" distB="0" distL="0" distR="0" wp14:anchorId="10E58B85" wp14:editId="51261F98">
            <wp:extent cx="5943600" cy="2438400"/>
            <wp:effectExtent l="0" t="0" r="0" b="0"/>
            <wp:docPr id="2026623690" name="Imagen 202662369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close up of text on a white background&#10;&#10;Description automatically generated"/>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5943600" cy="2438400"/>
                    </a:xfrm>
                    <a:prstGeom prst="rect">
                      <a:avLst/>
                    </a:prstGeom>
                    <a:noFill/>
                    <a:ln>
                      <a:noFill/>
                    </a:ln>
                  </pic:spPr>
                </pic:pic>
              </a:graphicData>
            </a:graphic>
          </wp:inline>
        </w:drawing>
      </w:r>
    </w:p>
    <w:p w:rsidR="006726CB" w:rsidRPr="003C5965" w:rsidRDefault="006726CB" w:rsidP="006726CB">
      <w:pPr>
        <w:jc w:val="center"/>
        <w:rPr>
          <w:rFonts w:ascii="Arial" w:hAnsi="Arial" w:cs="Arial"/>
          <w:i/>
          <w:sz w:val="20"/>
          <w:szCs w:val="20"/>
          <w:lang w:val="es-MX"/>
        </w:rPr>
      </w:pPr>
    </w:p>
    <w:p w:rsidR="006726CB" w:rsidRPr="003C5965" w:rsidRDefault="006726CB" w:rsidP="006726CB">
      <w:pPr>
        <w:jc w:val="center"/>
        <w:rPr>
          <w:rFonts w:ascii="Arial" w:hAnsi="Arial" w:cs="Arial"/>
          <w:sz w:val="20"/>
          <w:szCs w:val="20"/>
          <w:lang w:val="es-MX"/>
        </w:rPr>
      </w:pPr>
      <w:r w:rsidRPr="003C5965">
        <w:rPr>
          <w:rFonts w:ascii="Arial" w:hAnsi="Arial" w:cs="Arial"/>
          <w:i/>
          <w:sz w:val="20"/>
          <w:szCs w:val="20"/>
          <w:lang w:val="es-MX"/>
        </w:rPr>
        <w:t xml:space="preserve">Figura 5. Rendimiento de combustible instantáneo (kilómetros/litro) contra tiempo (segundos) para una carga de </w:t>
      </w:r>
      <w:r w:rsidRPr="003C5965">
        <w:rPr>
          <w:rFonts w:ascii="Arial" w:hAnsi="Arial" w:cs="Arial"/>
          <w:i/>
          <w:sz w:val="20"/>
          <w:szCs w:val="20"/>
        </w:rPr>
        <w:t>17.236 tons e inclinación del recorrido de 0 grados.</w:t>
      </w:r>
      <w:r w:rsidRPr="003C5965">
        <w:rPr>
          <w:rFonts w:ascii="Arial" w:hAnsi="Arial" w:cs="Arial"/>
          <w:i/>
          <w:sz w:val="20"/>
          <w:szCs w:val="20"/>
          <w:lang w:val="es-MX"/>
        </w:rPr>
        <w:t xml:space="preserve"> (Resultados como los proporciona UAMmero.)</w:t>
      </w:r>
    </w:p>
    <w:p w:rsidR="006726CB" w:rsidRPr="003C5965" w:rsidRDefault="006726CB" w:rsidP="006726CB">
      <w:pPr>
        <w:jc w:val="center"/>
        <w:rPr>
          <w:rFonts w:ascii="Arial" w:hAnsi="Arial" w:cs="Arial"/>
          <w:i/>
          <w:sz w:val="20"/>
          <w:szCs w:val="20"/>
          <w:lang w:val="es-MX"/>
        </w:rPr>
      </w:pPr>
    </w:p>
    <w:p w:rsidR="006726CB" w:rsidRPr="003C5965" w:rsidRDefault="006726CB" w:rsidP="006726CB">
      <w:pPr>
        <w:jc w:val="center"/>
        <w:rPr>
          <w:rFonts w:ascii="Arial" w:hAnsi="Arial" w:cs="Arial"/>
          <w:i/>
          <w:sz w:val="20"/>
          <w:szCs w:val="20"/>
          <w:lang w:val="es-MX"/>
        </w:rPr>
      </w:pPr>
      <w:r w:rsidRPr="003C5965">
        <w:rPr>
          <w:noProof/>
          <w:lang w:val="en-US"/>
        </w:rPr>
        <w:drawing>
          <wp:inline distT="0" distB="0" distL="0" distR="0" wp14:anchorId="3E96DF7D" wp14:editId="3D088D03">
            <wp:extent cx="5943600" cy="2428875"/>
            <wp:effectExtent l="0" t="0" r="0" b="9525"/>
            <wp:docPr id="2026623689" name="Imagen 202662368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screenshot of a cell phone&#10;&#10;Description automatically generated"/>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5943600" cy="2428875"/>
                    </a:xfrm>
                    <a:prstGeom prst="rect">
                      <a:avLst/>
                    </a:prstGeom>
                    <a:noFill/>
                    <a:ln>
                      <a:noFill/>
                    </a:ln>
                  </pic:spPr>
                </pic:pic>
              </a:graphicData>
            </a:graphic>
          </wp:inline>
        </w:drawing>
      </w:r>
    </w:p>
    <w:p w:rsidR="006726CB" w:rsidRPr="003C5965" w:rsidRDefault="006726CB" w:rsidP="006726CB">
      <w:pPr>
        <w:jc w:val="center"/>
        <w:rPr>
          <w:rFonts w:ascii="Arial" w:hAnsi="Arial" w:cs="Arial"/>
          <w:i/>
          <w:sz w:val="20"/>
          <w:szCs w:val="20"/>
          <w:lang w:val="es-MX"/>
        </w:rPr>
      </w:pPr>
    </w:p>
    <w:p w:rsidR="006726CB" w:rsidRPr="003C5965" w:rsidRDefault="006726CB" w:rsidP="006726CB">
      <w:pPr>
        <w:jc w:val="center"/>
        <w:rPr>
          <w:rFonts w:ascii="Arial" w:hAnsi="Arial" w:cs="Arial"/>
          <w:i/>
          <w:sz w:val="20"/>
          <w:szCs w:val="20"/>
          <w:lang w:val="es-MX"/>
        </w:rPr>
      </w:pPr>
      <w:r w:rsidRPr="003C5965">
        <w:rPr>
          <w:rFonts w:ascii="Arial" w:hAnsi="Arial" w:cs="Arial"/>
          <w:i/>
          <w:sz w:val="20"/>
          <w:szCs w:val="20"/>
          <w:lang w:val="es-MX"/>
        </w:rPr>
        <w:t xml:space="preserve">Figura 6. Rendimiento de combustible instantáneo (kilómetros/litro) contra tiempo (segundos) para una carga de </w:t>
      </w:r>
      <w:r w:rsidRPr="003C5965">
        <w:rPr>
          <w:rFonts w:ascii="Arial" w:hAnsi="Arial" w:cs="Arial"/>
          <w:i/>
          <w:sz w:val="20"/>
          <w:szCs w:val="20"/>
        </w:rPr>
        <w:t>22.258 tons e inclinación del recorrido de 1.5 grados.</w:t>
      </w:r>
      <w:r w:rsidRPr="003C5965">
        <w:rPr>
          <w:rFonts w:ascii="Arial" w:hAnsi="Arial" w:cs="Arial"/>
          <w:i/>
          <w:sz w:val="20"/>
          <w:szCs w:val="20"/>
          <w:lang w:val="es-MX"/>
        </w:rPr>
        <w:t xml:space="preserve"> (Resultados como los proporciona UAMmero.)</w:t>
      </w:r>
    </w:p>
    <w:p w:rsidR="006726CB" w:rsidRPr="003C5965" w:rsidRDefault="006726CB" w:rsidP="006726CB">
      <w:pPr>
        <w:jc w:val="both"/>
        <w:rPr>
          <w:rFonts w:ascii="Arial" w:hAnsi="Arial" w:cs="Arial"/>
          <w:sz w:val="20"/>
          <w:szCs w:val="20"/>
          <w:lang w:val="es-MX"/>
        </w:rPr>
      </w:pPr>
    </w:p>
    <w:p w:rsidR="006726CB" w:rsidRPr="003C5965" w:rsidRDefault="006726CB" w:rsidP="006726CB">
      <w:pPr>
        <w:jc w:val="both"/>
        <w:rPr>
          <w:rFonts w:ascii="Arial" w:hAnsi="Arial" w:cs="Arial"/>
          <w:lang w:val="es-MX"/>
        </w:rPr>
      </w:pPr>
      <w:r w:rsidRPr="003C5965">
        <w:t xml:space="preserve">         </w:t>
      </w:r>
      <w:r w:rsidRPr="003C5965">
        <w:rPr>
          <w:rFonts w:ascii="Arial" w:hAnsi="Arial" w:cs="Arial"/>
          <w:lang w:val="es-MX"/>
        </w:rPr>
        <w:t>El rendimiento de combustible disminuye cuando la carga aumenta o la inclinación del recorrido aumenta (en subidas) como se muestra en los resultados de las Figuras 5 y 6. En el primer ciclo cambia mucho el rendimiento debido a los cambios en la aceleración del vehículo. En el segundo y tercer ciclo el máximo de rendimiento se alcanza cuando el vehículo no se acelera (viaja con una rapidez constante).</w:t>
      </w:r>
    </w:p>
    <w:p w:rsidR="006726CB" w:rsidRPr="003C5965" w:rsidRDefault="006726CB" w:rsidP="006726CB">
      <w:pPr>
        <w:ind w:firstLine="567"/>
        <w:jc w:val="both"/>
        <w:rPr>
          <w:rFonts w:ascii="Arial" w:hAnsi="Arial" w:cs="Arial"/>
          <w:lang w:val="es-MX"/>
        </w:rPr>
      </w:pPr>
      <w:r w:rsidRPr="003C5965">
        <w:rPr>
          <w:rFonts w:ascii="Arial" w:hAnsi="Arial" w:cs="Arial"/>
          <w:lang w:val="es-MX"/>
        </w:rPr>
        <w:t xml:space="preserve">En la Figura 7 se muestra el torque en Newtons-metro contra el tiempo en segundos, necesario para que el tractocamión se mueva para una carga de </w:t>
      </w:r>
      <w:r w:rsidRPr="003C5965">
        <w:rPr>
          <w:rFonts w:ascii="Arial" w:hAnsi="Arial" w:cs="Arial"/>
        </w:rPr>
        <w:t>17.236 tons</w:t>
      </w:r>
      <w:r w:rsidRPr="003C5965">
        <w:rPr>
          <w:rFonts w:ascii="Arial" w:hAnsi="Arial" w:cs="Arial"/>
          <w:sz w:val="22"/>
          <w:szCs w:val="22"/>
          <w:lang w:val="es-MX"/>
        </w:rPr>
        <w:t xml:space="preserve"> </w:t>
      </w:r>
      <w:r w:rsidRPr="003C5965">
        <w:rPr>
          <w:rFonts w:ascii="Arial" w:hAnsi="Arial" w:cs="Arial"/>
          <w:lang w:val="es-MX"/>
        </w:rPr>
        <w:t xml:space="preserve">e inclinación del recorrido de 0 grados. En la Figura 8 se muestra el torque contra el tiempo para una carga de 22.258 tons e inclinación del recorrido de 1.5 grados. </w:t>
      </w:r>
    </w:p>
    <w:p w:rsidR="006726CB" w:rsidRPr="003C5965" w:rsidRDefault="006726CB" w:rsidP="006726CB">
      <w:pPr>
        <w:jc w:val="center"/>
        <w:rPr>
          <w:rFonts w:ascii="Arial" w:hAnsi="Arial" w:cs="Arial"/>
          <w:sz w:val="22"/>
          <w:szCs w:val="22"/>
          <w:lang w:val="es-MX"/>
        </w:rPr>
      </w:pPr>
    </w:p>
    <w:p w:rsidR="006726CB" w:rsidRPr="003C5965" w:rsidRDefault="006726CB" w:rsidP="006726CB">
      <w:pPr>
        <w:jc w:val="center"/>
        <w:rPr>
          <w:rFonts w:ascii="Arial" w:hAnsi="Arial" w:cs="Arial"/>
          <w:lang w:val="es-MX"/>
        </w:rPr>
      </w:pPr>
      <w:r w:rsidRPr="003C5965">
        <w:rPr>
          <w:noProof/>
          <w:lang w:val="en-US"/>
        </w:rPr>
        <w:lastRenderedPageBreak/>
        <w:drawing>
          <wp:inline distT="0" distB="0" distL="0" distR="0" wp14:anchorId="0C167453" wp14:editId="54794B86">
            <wp:extent cx="3162300" cy="3276600"/>
            <wp:effectExtent l="0" t="0" r="0" b="0"/>
            <wp:docPr id="2026623688" name="Imagen 202662368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close up of a map&#10;&#10;Description automatically generated"/>
                    <pic:cNvPicPr>
                      <a:picLocks noChangeAspect="1" noChangeArrowheads="1"/>
                    </pic:cNvPicPr>
                  </pic:nvPicPr>
                  <pic:blipFill>
                    <a:blip r:embed="rId1149" cstate="print">
                      <a:extLst>
                        <a:ext uri="{28A0092B-C50C-407E-A947-70E740481C1C}">
                          <a14:useLocalDpi xmlns:a14="http://schemas.microsoft.com/office/drawing/2010/main" val="0"/>
                        </a:ext>
                      </a:extLst>
                    </a:blip>
                    <a:srcRect/>
                    <a:stretch>
                      <a:fillRect/>
                    </a:stretch>
                  </pic:blipFill>
                  <pic:spPr bwMode="auto">
                    <a:xfrm>
                      <a:off x="0" y="0"/>
                      <a:ext cx="3162300" cy="3276600"/>
                    </a:xfrm>
                    <a:prstGeom prst="rect">
                      <a:avLst/>
                    </a:prstGeom>
                    <a:noFill/>
                    <a:ln>
                      <a:noFill/>
                    </a:ln>
                  </pic:spPr>
                </pic:pic>
              </a:graphicData>
            </a:graphic>
          </wp:inline>
        </w:drawing>
      </w:r>
    </w:p>
    <w:p w:rsidR="006726CB" w:rsidRPr="003C5965" w:rsidRDefault="006726CB" w:rsidP="006726CB">
      <w:pPr>
        <w:jc w:val="center"/>
        <w:rPr>
          <w:rFonts w:ascii="Arial" w:hAnsi="Arial" w:cs="Arial"/>
          <w:i/>
          <w:sz w:val="20"/>
          <w:szCs w:val="20"/>
          <w:lang w:val="es-MX"/>
        </w:rPr>
      </w:pPr>
    </w:p>
    <w:p w:rsidR="006726CB" w:rsidRPr="003C5965" w:rsidRDefault="006726CB" w:rsidP="006726CB">
      <w:pPr>
        <w:jc w:val="center"/>
        <w:rPr>
          <w:rFonts w:ascii="Arial" w:hAnsi="Arial" w:cs="Arial"/>
          <w:sz w:val="20"/>
          <w:szCs w:val="20"/>
          <w:lang w:val="es-MX"/>
        </w:rPr>
      </w:pPr>
      <w:r w:rsidRPr="003C5965">
        <w:rPr>
          <w:rFonts w:ascii="Arial" w:hAnsi="Arial" w:cs="Arial"/>
          <w:i/>
          <w:sz w:val="20"/>
          <w:szCs w:val="20"/>
          <w:lang w:val="es-MX"/>
        </w:rPr>
        <w:t xml:space="preserve">Figura 7. Torque (Newtons-metro) contra el tiempo (segundos) para una carga de </w:t>
      </w:r>
      <w:r w:rsidRPr="003C5965">
        <w:rPr>
          <w:rFonts w:ascii="Arial" w:hAnsi="Arial" w:cs="Arial"/>
          <w:i/>
          <w:sz w:val="20"/>
          <w:szCs w:val="20"/>
        </w:rPr>
        <w:t>17.236 tons e inclinación del recorrido de 0 grados.</w:t>
      </w:r>
      <w:r w:rsidRPr="003C5965">
        <w:rPr>
          <w:rFonts w:ascii="Arial" w:hAnsi="Arial" w:cs="Arial"/>
          <w:i/>
          <w:sz w:val="20"/>
          <w:szCs w:val="20"/>
          <w:lang w:val="es-MX"/>
        </w:rPr>
        <w:t xml:space="preserve"> (Resultados como los proporciona UAMmero.)</w:t>
      </w:r>
    </w:p>
    <w:p w:rsidR="006726CB" w:rsidRPr="003C5965" w:rsidRDefault="006726CB" w:rsidP="006726CB">
      <w:pPr>
        <w:jc w:val="center"/>
        <w:rPr>
          <w:rFonts w:ascii="Arial" w:hAnsi="Arial" w:cs="Arial"/>
          <w:i/>
          <w:sz w:val="20"/>
          <w:szCs w:val="20"/>
          <w:lang w:val="es-MX"/>
        </w:rPr>
      </w:pPr>
    </w:p>
    <w:p w:rsidR="006726CB" w:rsidRPr="003C5965" w:rsidRDefault="006726CB" w:rsidP="006726CB">
      <w:pPr>
        <w:jc w:val="center"/>
        <w:rPr>
          <w:rFonts w:ascii="Arial" w:hAnsi="Arial" w:cs="Arial"/>
          <w:i/>
          <w:sz w:val="20"/>
          <w:szCs w:val="20"/>
          <w:lang w:val="es-MX"/>
        </w:rPr>
      </w:pPr>
      <w:r w:rsidRPr="003C5965">
        <w:rPr>
          <w:noProof/>
          <w:lang w:val="en-US"/>
        </w:rPr>
        <w:drawing>
          <wp:inline distT="0" distB="0" distL="0" distR="0" wp14:anchorId="4C53366F" wp14:editId="2F5C299A">
            <wp:extent cx="3171825" cy="3286125"/>
            <wp:effectExtent l="0" t="0" r="9525" b="9525"/>
            <wp:docPr id="2026623687" name="Imagen 202662368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close up of a map&#10;&#10;Description automatically generated"/>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3171825" cy="3286125"/>
                    </a:xfrm>
                    <a:prstGeom prst="rect">
                      <a:avLst/>
                    </a:prstGeom>
                    <a:noFill/>
                    <a:ln>
                      <a:noFill/>
                    </a:ln>
                  </pic:spPr>
                </pic:pic>
              </a:graphicData>
            </a:graphic>
          </wp:inline>
        </w:drawing>
      </w:r>
    </w:p>
    <w:p w:rsidR="006726CB" w:rsidRPr="003C5965" w:rsidRDefault="006726CB" w:rsidP="006726CB">
      <w:pPr>
        <w:jc w:val="center"/>
        <w:rPr>
          <w:rFonts w:ascii="Arial" w:hAnsi="Arial" w:cs="Arial"/>
          <w:i/>
          <w:sz w:val="20"/>
          <w:szCs w:val="20"/>
          <w:lang w:val="es-MX"/>
        </w:rPr>
      </w:pPr>
    </w:p>
    <w:p w:rsidR="006726CB" w:rsidRPr="003C5965" w:rsidRDefault="006726CB" w:rsidP="006726CB">
      <w:pPr>
        <w:jc w:val="center"/>
        <w:rPr>
          <w:rFonts w:ascii="Arial" w:hAnsi="Arial" w:cs="Arial"/>
          <w:i/>
          <w:sz w:val="20"/>
          <w:szCs w:val="20"/>
          <w:lang w:val="es-MX"/>
        </w:rPr>
      </w:pPr>
      <w:r w:rsidRPr="003C5965">
        <w:rPr>
          <w:rFonts w:ascii="Arial" w:hAnsi="Arial" w:cs="Arial"/>
          <w:i/>
          <w:sz w:val="20"/>
          <w:szCs w:val="20"/>
          <w:lang w:val="es-MX"/>
        </w:rPr>
        <w:t xml:space="preserve">Figura 8. Torque (Newtons-metro) contra tiempo (segundos) para una carga de </w:t>
      </w:r>
      <w:r w:rsidRPr="003C5965">
        <w:rPr>
          <w:rFonts w:ascii="Arial" w:hAnsi="Arial" w:cs="Arial"/>
          <w:i/>
          <w:sz w:val="20"/>
          <w:szCs w:val="20"/>
        </w:rPr>
        <w:t>22.258 tons e inclinación del recorrido de 1.5 grados.</w:t>
      </w:r>
      <w:r w:rsidRPr="003C5965">
        <w:rPr>
          <w:rFonts w:ascii="Arial" w:hAnsi="Arial" w:cs="Arial"/>
          <w:i/>
          <w:sz w:val="20"/>
          <w:szCs w:val="20"/>
          <w:lang w:val="es-MX"/>
        </w:rPr>
        <w:t xml:space="preserve"> (Resultados como los proporciona UAMmero.)</w:t>
      </w:r>
    </w:p>
    <w:p w:rsidR="006726CB" w:rsidRPr="003C5965" w:rsidRDefault="006726CB" w:rsidP="006726CB">
      <w:pPr>
        <w:pStyle w:val="Textoindependiente"/>
        <w:rPr>
          <w:rFonts w:ascii="Arial" w:hAnsi="Arial" w:cs="Arial"/>
          <w:b w:val="0"/>
          <w:sz w:val="24"/>
        </w:rPr>
      </w:pPr>
    </w:p>
    <w:p w:rsidR="006726CB" w:rsidRPr="003C5965" w:rsidRDefault="006726CB" w:rsidP="006726CB">
      <w:pPr>
        <w:ind w:firstLine="567"/>
        <w:jc w:val="both"/>
        <w:rPr>
          <w:rFonts w:ascii="Arial" w:hAnsi="Arial" w:cs="Arial"/>
          <w:lang w:val="es-MX"/>
        </w:rPr>
      </w:pPr>
      <w:r w:rsidRPr="003C5965">
        <w:rPr>
          <w:rFonts w:ascii="Arial" w:hAnsi="Arial" w:cs="Arial"/>
          <w:lang w:val="es-MX"/>
        </w:rPr>
        <w:t xml:space="preserve">En la Figura 9 se muestra la potencia en kilowatts contra el tiempo en segundos, necesaria para mover el vehículo para una carga de </w:t>
      </w:r>
      <w:r w:rsidRPr="003C5965">
        <w:rPr>
          <w:rFonts w:ascii="Arial" w:hAnsi="Arial" w:cs="Arial"/>
        </w:rPr>
        <w:t>17.236 tons</w:t>
      </w:r>
      <w:r w:rsidRPr="003C5965">
        <w:rPr>
          <w:rFonts w:ascii="Arial" w:hAnsi="Arial" w:cs="Arial"/>
          <w:sz w:val="22"/>
          <w:szCs w:val="22"/>
          <w:lang w:val="es-MX"/>
        </w:rPr>
        <w:t xml:space="preserve"> </w:t>
      </w:r>
      <w:r w:rsidRPr="003C5965">
        <w:rPr>
          <w:rFonts w:ascii="Arial" w:hAnsi="Arial" w:cs="Arial"/>
          <w:lang w:val="es-MX"/>
        </w:rPr>
        <w:t xml:space="preserve">e inclinación del recorrido de 0 grados. </w:t>
      </w:r>
    </w:p>
    <w:p w:rsidR="006726CB" w:rsidRPr="003C5965" w:rsidRDefault="006726CB" w:rsidP="006726CB">
      <w:pPr>
        <w:jc w:val="center"/>
        <w:rPr>
          <w:rFonts w:ascii="Arial" w:hAnsi="Arial" w:cs="Arial"/>
          <w:sz w:val="22"/>
          <w:szCs w:val="22"/>
          <w:lang w:val="es-MX"/>
        </w:rPr>
      </w:pPr>
    </w:p>
    <w:p w:rsidR="006726CB" w:rsidRPr="003C5965" w:rsidRDefault="006726CB" w:rsidP="006726CB">
      <w:pPr>
        <w:jc w:val="center"/>
        <w:rPr>
          <w:rFonts w:ascii="Arial" w:hAnsi="Arial" w:cs="Arial"/>
          <w:lang w:val="es-MX"/>
        </w:rPr>
      </w:pPr>
      <w:r w:rsidRPr="003C5965">
        <w:rPr>
          <w:noProof/>
          <w:lang w:val="en-US"/>
        </w:rPr>
        <w:drawing>
          <wp:inline distT="0" distB="0" distL="0" distR="0" wp14:anchorId="7DB4B449" wp14:editId="18754F54">
            <wp:extent cx="5943600" cy="2419350"/>
            <wp:effectExtent l="0" t="0" r="0" b="0"/>
            <wp:docPr id="2026623686" name="Imagen 202662368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close up of a map&#10;&#10;Description automatically generated"/>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0" y="0"/>
                      <a:ext cx="5943600" cy="2419350"/>
                    </a:xfrm>
                    <a:prstGeom prst="rect">
                      <a:avLst/>
                    </a:prstGeom>
                    <a:noFill/>
                    <a:ln>
                      <a:noFill/>
                    </a:ln>
                  </pic:spPr>
                </pic:pic>
              </a:graphicData>
            </a:graphic>
          </wp:inline>
        </w:drawing>
      </w:r>
    </w:p>
    <w:p w:rsidR="006726CB" w:rsidRPr="003C5965" w:rsidRDefault="006726CB" w:rsidP="006726CB">
      <w:pPr>
        <w:jc w:val="center"/>
        <w:rPr>
          <w:rFonts w:ascii="Arial" w:hAnsi="Arial" w:cs="Arial"/>
          <w:i/>
          <w:sz w:val="20"/>
          <w:szCs w:val="20"/>
          <w:lang w:val="es-MX"/>
        </w:rPr>
      </w:pPr>
    </w:p>
    <w:p w:rsidR="006726CB" w:rsidRPr="003C5965" w:rsidRDefault="006726CB" w:rsidP="006726CB">
      <w:pPr>
        <w:jc w:val="center"/>
        <w:rPr>
          <w:rFonts w:ascii="Arial" w:hAnsi="Arial" w:cs="Arial"/>
          <w:sz w:val="20"/>
          <w:szCs w:val="20"/>
          <w:lang w:val="es-MX"/>
        </w:rPr>
      </w:pPr>
      <w:r w:rsidRPr="003C5965">
        <w:rPr>
          <w:rFonts w:ascii="Arial" w:hAnsi="Arial" w:cs="Arial"/>
          <w:i/>
          <w:sz w:val="20"/>
          <w:szCs w:val="20"/>
          <w:lang w:val="es-MX"/>
        </w:rPr>
        <w:t xml:space="preserve">Figura 9. Potencia (kilowatts) contra tiempo (segundos) para una carga de </w:t>
      </w:r>
      <w:r w:rsidRPr="003C5965">
        <w:rPr>
          <w:rFonts w:ascii="Arial" w:hAnsi="Arial" w:cs="Arial"/>
          <w:i/>
          <w:sz w:val="20"/>
          <w:szCs w:val="20"/>
        </w:rPr>
        <w:t>17.236 tons e inclinación del recorrido de 0 grados.</w:t>
      </w:r>
      <w:r w:rsidRPr="003C5965">
        <w:rPr>
          <w:rFonts w:ascii="Arial" w:hAnsi="Arial" w:cs="Arial"/>
          <w:i/>
          <w:sz w:val="20"/>
          <w:szCs w:val="20"/>
          <w:lang w:val="es-MX"/>
        </w:rPr>
        <w:t xml:space="preserve"> (Resultados como los proporciona UAMmero.)</w:t>
      </w:r>
    </w:p>
    <w:p w:rsidR="006726CB" w:rsidRPr="003C5965" w:rsidRDefault="006726CB" w:rsidP="006726CB">
      <w:pPr>
        <w:ind w:firstLine="567"/>
        <w:rPr>
          <w:rFonts w:ascii="Arial" w:hAnsi="Arial" w:cs="Arial"/>
          <w:lang w:val="es-MX"/>
        </w:rPr>
      </w:pPr>
    </w:p>
    <w:p w:rsidR="006726CB" w:rsidRPr="003C5965" w:rsidRDefault="006726CB" w:rsidP="006726CB">
      <w:pPr>
        <w:ind w:firstLine="567"/>
        <w:jc w:val="both"/>
        <w:rPr>
          <w:rFonts w:ascii="Arial" w:hAnsi="Arial" w:cs="Arial"/>
          <w:lang w:val="es-MX"/>
        </w:rPr>
      </w:pPr>
      <w:r w:rsidRPr="003C5965">
        <w:rPr>
          <w:rFonts w:ascii="Arial" w:hAnsi="Arial" w:cs="Arial"/>
          <w:lang w:val="es-MX"/>
        </w:rPr>
        <w:t>En la Figura 10 se muestra la potencia (kilowatts) contra el tiempo (segundos) para una carga de 22.258 tons e inclinación de 1.5 grados.</w:t>
      </w:r>
    </w:p>
    <w:p w:rsidR="006726CB" w:rsidRPr="003C5965" w:rsidRDefault="006726CB" w:rsidP="006726CB">
      <w:pPr>
        <w:rPr>
          <w:rFonts w:ascii="Arial" w:hAnsi="Arial" w:cs="Arial"/>
          <w:i/>
          <w:sz w:val="20"/>
          <w:szCs w:val="20"/>
          <w:lang w:val="es-MX"/>
        </w:rPr>
      </w:pPr>
    </w:p>
    <w:p w:rsidR="006726CB" w:rsidRPr="003C5965" w:rsidRDefault="006726CB" w:rsidP="006726CB">
      <w:pPr>
        <w:jc w:val="center"/>
        <w:rPr>
          <w:rFonts w:ascii="Arial" w:hAnsi="Arial" w:cs="Arial"/>
          <w:i/>
          <w:sz w:val="20"/>
          <w:szCs w:val="20"/>
          <w:lang w:val="es-MX"/>
        </w:rPr>
      </w:pPr>
      <w:r w:rsidRPr="003C5965">
        <w:rPr>
          <w:noProof/>
          <w:lang w:val="en-US"/>
        </w:rPr>
        <w:lastRenderedPageBreak/>
        <w:drawing>
          <wp:inline distT="0" distB="0" distL="0" distR="0" wp14:anchorId="67711843" wp14:editId="78BCBEDE">
            <wp:extent cx="5943600" cy="2419350"/>
            <wp:effectExtent l="0" t="0" r="0" b="0"/>
            <wp:docPr id="2026623685" name="Imagen 202662368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close up of a map&#10;&#10;Description automatically generated"/>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bwMode="auto">
                    <a:xfrm>
                      <a:off x="0" y="0"/>
                      <a:ext cx="5943600" cy="2419350"/>
                    </a:xfrm>
                    <a:prstGeom prst="rect">
                      <a:avLst/>
                    </a:prstGeom>
                    <a:noFill/>
                    <a:ln>
                      <a:noFill/>
                    </a:ln>
                  </pic:spPr>
                </pic:pic>
              </a:graphicData>
            </a:graphic>
          </wp:inline>
        </w:drawing>
      </w:r>
    </w:p>
    <w:p w:rsidR="006726CB" w:rsidRPr="003C5965" w:rsidRDefault="006726CB" w:rsidP="006726CB">
      <w:pPr>
        <w:jc w:val="center"/>
        <w:rPr>
          <w:rFonts w:ascii="Arial" w:hAnsi="Arial" w:cs="Arial"/>
          <w:i/>
          <w:sz w:val="20"/>
          <w:szCs w:val="20"/>
          <w:lang w:val="es-MX"/>
        </w:rPr>
      </w:pPr>
      <w:r w:rsidRPr="003C5965">
        <w:rPr>
          <w:rFonts w:ascii="Arial" w:hAnsi="Arial" w:cs="Arial"/>
          <w:i/>
          <w:sz w:val="20"/>
          <w:szCs w:val="20"/>
          <w:lang w:val="es-MX"/>
        </w:rPr>
        <w:t xml:space="preserve">Figura 10. Potencia (kilowatts) contra tiempo (segundos) para una carga de </w:t>
      </w:r>
      <w:r w:rsidRPr="003C5965">
        <w:rPr>
          <w:rFonts w:ascii="Arial" w:hAnsi="Arial" w:cs="Arial"/>
          <w:i/>
          <w:sz w:val="20"/>
          <w:szCs w:val="20"/>
        </w:rPr>
        <w:t>22.258 tons e inclinación del recorrido de 1.5 grados.</w:t>
      </w:r>
      <w:r w:rsidRPr="003C5965">
        <w:rPr>
          <w:rFonts w:ascii="Arial" w:hAnsi="Arial" w:cs="Arial"/>
          <w:i/>
          <w:sz w:val="20"/>
          <w:szCs w:val="20"/>
          <w:lang w:val="es-MX"/>
        </w:rPr>
        <w:t xml:space="preserve"> (Resultados como los proporciona UAMmero.)</w:t>
      </w:r>
    </w:p>
    <w:p w:rsidR="006726CB" w:rsidRPr="003C5965" w:rsidRDefault="006726CB" w:rsidP="006726CB">
      <w:pPr>
        <w:pStyle w:val="Textoindependiente"/>
        <w:rPr>
          <w:rFonts w:ascii="Arial" w:hAnsi="Arial" w:cs="Arial"/>
          <w:b w:val="0"/>
          <w:sz w:val="24"/>
        </w:rPr>
      </w:pPr>
    </w:p>
    <w:p w:rsidR="006726CB" w:rsidRPr="006726CB" w:rsidRDefault="006726CB" w:rsidP="006726CB">
      <w:pPr>
        <w:pStyle w:val="Ttulo1"/>
        <w:keepLines w:val="0"/>
        <w:tabs>
          <w:tab w:val="left" w:pos="0"/>
        </w:tabs>
        <w:suppressAutoHyphens/>
        <w:spacing w:before="0" w:after="0" w:line="360" w:lineRule="auto"/>
        <w:rPr>
          <w:rFonts w:ascii="Arial" w:hAnsi="Arial" w:cs="Arial"/>
          <w:i/>
          <w:sz w:val="24"/>
          <w:szCs w:val="24"/>
        </w:rPr>
      </w:pPr>
      <w:bookmarkStart w:id="278" w:name="_Toc50031350"/>
      <w:r w:rsidRPr="006726CB">
        <w:rPr>
          <w:rFonts w:ascii="Arial" w:hAnsi="Arial" w:cs="Arial"/>
          <w:i/>
          <w:caps/>
          <w:sz w:val="24"/>
          <w:szCs w:val="24"/>
        </w:rPr>
        <w:t>5. C</w:t>
      </w:r>
      <w:r w:rsidRPr="006726CB">
        <w:rPr>
          <w:rFonts w:ascii="Arial" w:hAnsi="Arial" w:cs="Arial"/>
          <w:i/>
          <w:sz w:val="24"/>
          <w:szCs w:val="24"/>
        </w:rPr>
        <w:t>onclusiones</w:t>
      </w:r>
      <w:bookmarkEnd w:id="278"/>
    </w:p>
    <w:p w:rsidR="006726CB" w:rsidRPr="003C5965" w:rsidRDefault="006726CB" w:rsidP="006726CB">
      <w:pPr>
        <w:jc w:val="both"/>
        <w:rPr>
          <w:rFonts w:ascii="Arial" w:hAnsi="Arial" w:cs="Arial"/>
          <w:lang w:val="es-MX"/>
        </w:rPr>
      </w:pPr>
      <w:r w:rsidRPr="003C5965">
        <w:t xml:space="preserve">         </w:t>
      </w:r>
      <w:r w:rsidRPr="003C5965">
        <w:rPr>
          <w:rFonts w:ascii="Arial" w:hAnsi="Arial" w:cs="Arial"/>
          <w:lang w:val="es-MX"/>
        </w:rPr>
        <w:t xml:space="preserve">UAMmero, podría ser una herramienta apropiada para la certificación en México de tractocamiones nuevos al consumo de combustible y emisiones de bióxido de carbono mediante la simulación matemática. </w:t>
      </w:r>
    </w:p>
    <w:p w:rsidR="006726CB" w:rsidRPr="003C5965" w:rsidRDefault="006726CB" w:rsidP="006726CB">
      <w:pPr>
        <w:ind w:firstLine="567"/>
        <w:jc w:val="both"/>
        <w:rPr>
          <w:rFonts w:ascii="Arial" w:hAnsi="Arial" w:cs="Arial"/>
          <w:lang w:val="es-MX"/>
        </w:rPr>
      </w:pPr>
      <w:r w:rsidRPr="003C5965">
        <w:rPr>
          <w:rFonts w:ascii="Arial" w:hAnsi="Arial" w:cs="Arial"/>
          <w:lang w:val="es-MX"/>
        </w:rPr>
        <w:t>El consumo de combustible y las emisiones de bióxido de carbono resultantes de cualquiera de los cuatro casos estudiados bien podrían ser los límites de consumo de combustible y emisiones de bióxido de carbono de los tractocamiones de una norma mexicana, si se encuentra que el costo beneficio es adecuado; un estudio para determinarlo se explica en otro trabajo de los autores que también se publicará. O los límites podrían establecerse como un promedio pesado de los resultados de cada uno de los 3 ciclos.</w:t>
      </w:r>
    </w:p>
    <w:p w:rsidR="006726CB" w:rsidRPr="003C5965" w:rsidRDefault="006726CB" w:rsidP="006726CB">
      <w:pPr>
        <w:pStyle w:val="Textoindependiente"/>
        <w:rPr>
          <w:rFonts w:ascii="Arial" w:hAnsi="Arial" w:cs="Arial"/>
          <w:sz w:val="24"/>
        </w:rPr>
      </w:pPr>
      <w:r w:rsidRPr="003C5965">
        <w:rPr>
          <w:rFonts w:ascii="Arial" w:hAnsi="Arial" w:cs="Arial"/>
          <w:sz w:val="24"/>
        </w:rPr>
        <w:t xml:space="preserve"> </w:t>
      </w:r>
    </w:p>
    <w:p w:rsidR="006726CB" w:rsidRPr="006726CB" w:rsidRDefault="006726CB" w:rsidP="006726CB">
      <w:pPr>
        <w:pStyle w:val="Ttulo1"/>
        <w:keepLines w:val="0"/>
        <w:tabs>
          <w:tab w:val="left" w:pos="0"/>
        </w:tabs>
        <w:suppressAutoHyphens/>
        <w:spacing w:before="0" w:after="0" w:line="360" w:lineRule="auto"/>
        <w:rPr>
          <w:rFonts w:ascii="Arial" w:hAnsi="Arial" w:cs="Arial"/>
          <w:i/>
          <w:sz w:val="24"/>
          <w:szCs w:val="24"/>
        </w:rPr>
      </w:pPr>
      <w:bookmarkStart w:id="279" w:name="_Toc50031351"/>
      <w:r w:rsidRPr="006726CB">
        <w:rPr>
          <w:rFonts w:ascii="Arial" w:hAnsi="Arial" w:cs="Arial"/>
          <w:i/>
          <w:caps/>
          <w:sz w:val="24"/>
          <w:szCs w:val="24"/>
        </w:rPr>
        <w:t>6. B</w:t>
      </w:r>
      <w:r w:rsidRPr="006726CB">
        <w:rPr>
          <w:rFonts w:ascii="Arial" w:hAnsi="Arial" w:cs="Arial"/>
          <w:i/>
          <w:sz w:val="24"/>
          <w:szCs w:val="24"/>
        </w:rPr>
        <w:t>ibliografía</w:t>
      </w:r>
      <w:bookmarkEnd w:id="279"/>
    </w:p>
    <w:p w:rsidR="006726CB" w:rsidRPr="003C5965" w:rsidRDefault="006726CB" w:rsidP="00390F7C">
      <w:pPr>
        <w:pStyle w:val="Referencias"/>
        <w:numPr>
          <w:ilvl w:val="0"/>
          <w:numId w:val="44"/>
        </w:numPr>
        <w:spacing w:before="0" w:after="0"/>
        <w:rPr>
          <w:rFonts w:ascii="Arial" w:hAnsi="Arial" w:cs="Arial"/>
          <w:sz w:val="24"/>
          <w:szCs w:val="24"/>
          <w:lang w:val="en-US"/>
        </w:rPr>
      </w:pPr>
      <w:r w:rsidRPr="003C5965">
        <w:rPr>
          <w:rFonts w:ascii="Arial" w:eastAsia="Calibri" w:hAnsi="Arial" w:cs="Arial"/>
          <w:bCs/>
          <w:sz w:val="24"/>
          <w:szCs w:val="24"/>
          <w:lang w:val="en-US" w:eastAsia="en-US"/>
        </w:rPr>
        <w:t xml:space="preserve">EPA y NHTSA., “Greenhouse Gas Emissions and Fuel Efficiency Standards for Medium- and Heavy-Duty Engines and Vehicles — Phase 2”, Federal Register, </w:t>
      </w:r>
      <w:r w:rsidRPr="003C5965">
        <w:rPr>
          <w:rFonts w:ascii="Arial" w:eastAsia="Calibri" w:hAnsi="Arial" w:cs="Arial"/>
          <w:sz w:val="24"/>
          <w:szCs w:val="24"/>
          <w:lang w:val="en-US" w:eastAsia="en-US"/>
        </w:rPr>
        <w:t>V. 81, No. 206 (2016).</w:t>
      </w:r>
    </w:p>
    <w:p w:rsidR="006726CB" w:rsidRPr="003C5965" w:rsidRDefault="006726CB" w:rsidP="00390F7C">
      <w:pPr>
        <w:pStyle w:val="Referencias"/>
        <w:numPr>
          <w:ilvl w:val="0"/>
          <w:numId w:val="44"/>
        </w:numPr>
        <w:spacing w:before="0" w:after="0"/>
        <w:rPr>
          <w:rFonts w:ascii="Arial" w:hAnsi="Arial" w:cs="Arial"/>
          <w:sz w:val="24"/>
          <w:szCs w:val="24"/>
          <w:shd w:val="clear" w:color="auto" w:fill="FFFFFF"/>
          <w:lang w:val="es-MX"/>
        </w:rPr>
      </w:pPr>
      <w:r w:rsidRPr="006726CB">
        <w:rPr>
          <w:rFonts w:ascii="Arial" w:hAnsi="Arial" w:cs="Arial"/>
          <w:sz w:val="24"/>
          <w:szCs w:val="24"/>
          <w:lang w:val="es-MX" w:eastAsia="es-MX"/>
        </w:rPr>
        <w:t xml:space="preserve">European Commission, “Vehicle Energy Consumption calculation TOol – VECTO”, Consultado abril 6, 2020. Bajado de </w:t>
      </w:r>
      <w:hyperlink r:id="rId1153" w:history="1">
        <w:r w:rsidRPr="003C5965">
          <w:rPr>
            <w:rStyle w:val="Hipervnculo"/>
            <w:rFonts w:ascii="Arial" w:hAnsi="Arial" w:cs="Arial"/>
            <w:sz w:val="24"/>
            <w:szCs w:val="24"/>
            <w:lang w:val="es-MX"/>
          </w:rPr>
          <w:t>https://ec.europa.eu/clima/policies/transport/vehicles/vecto_en</w:t>
        </w:r>
      </w:hyperlink>
    </w:p>
    <w:p w:rsidR="006726CB" w:rsidRPr="003C5965" w:rsidRDefault="006726CB" w:rsidP="00390F7C">
      <w:pPr>
        <w:pStyle w:val="Referencias"/>
        <w:numPr>
          <w:ilvl w:val="0"/>
          <w:numId w:val="44"/>
        </w:numPr>
        <w:spacing w:before="0" w:after="0"/>
        <w:rPr>
          <w:rFonts w:ascii="Arial" w:hAnsi="Arial" w:cs="Arial"/>
          <w:sz w:val="24"/>
          <w:szCs w:val="24"/>
          <w:shd w:val="clear" w:color="auto" w:fill="FFFFFF"/>
          <w:lang w:val="en-US"/>
        </w:rPr>
      </w:pPr>
      <w:r w:rsidRPr="003C5965">
        <w:rPr>
          <w:rFonts w:ascii="Arial" w:hAnsi="Arial" w:cs="Arial"/>
          <w:sz w:val="24"/>
          <w:szCs w:val="24"/>
          <w:shd w:val="clear" w:color="auto" w:fill="FFFFFF"/>
          <w:lang w:val="en-US"/>
        </w:rPr>
        <w:t>EPA., “Greenhouse Gas Emissions Model (GEM) User Guide”, 2010.</w:t>
      </w:r>
      <w:r w:rsidRPr="003C5965">
        <w:rPr>
          <w:rFonts w:ascii="Arial" w:hAnsi="Arial" w:cs="Arial"/>
          <w:sz w:val="24"/>
          <w:szCs w:val="24"/>
          <w:lang w:val="en-US"/>
        </w:rPr>
        <w:t xml:space="preserve"> </w:t>
      </w:r>
    </w:p>
    <w:p w:rsidR="006726CB" w:rsidRPr="003C5965" w:rsidRDefault="006726CB" w:rsidP="00390F7C">
      <w:pPr>
        <w:pStyle w:val="Referencias"/>
        <w:numPr>
          <w:ilvl w:val="0"/>
          <w:numId w:val="44"/>
        </w:numPr>
        <w:spacing w:before="0" w:after="0"/>
        <w:rPr>
          <w:rFonts w:ascii="Arial" w:hAnsi="Arial" w:cs="Arial"/>
          <w:sz w:val="24"/>
          <w:szCs w:val="24"/>
        </w:rPr>
      </w:pPr>
      <w:r w:rsidRPr="003C5965">
        <w:rPr>
          <w:rFonts w:ascii="Arial" w:hAnsi="Arial" w:cs="Arial"/>
          <w:sz w:val="24"/>
          <w:szCs w:val="24"/>
        </w:rPr>
        <w:t>Domínguez Vergara N</w:t>
      </w:r>
      <w:r w:rsidRPr="003C5965">
        <w:rPr>
          <w:rFonts w:ascii="Arial" w:hAnsi="Arial" w:cs="Arial"/>
          <w:sz w:val="24"/>
          <w:szCs w:val="24"/>
          <w:u w:val="single"/>
        </w:rPr>
        <w:t>.,</w:t>
      </w:r>
      <w:r w:rsidRPr="003C5965">
        <w:rPr>
          <w:rFonts w:ascii="Arial" w:hAnsi="Arial" w:cs="Arial"/>
          <w:sz w:val="24"/>
          <w:szCs w:val="24"/>
        </w:rPr>
        <w:t xml:space="preserve"> Pantoja-Gallegos J.L., Domínguez-Pérez D.N., “UAMmero, software para estimar el consumo de combustible y las emisiones de </w:t>
      </w:r>
      <w:r w:rsidRPr="003C5965">
        <w:rPr>
          <w:rFonts w:ascii="Arial" w:hAnsi="Arial" w:cs="Arial"/>
          <w:sz w:val="24"/>
          <w:szCs w:val="24"/>
        </w:rPr>
        <w:lastRenderedPageBreak/>
        <w:t xml:space="preserve">bióxido de carbono de vehículos pesados”, del </w:t>
      </w:r>
      <w:r w:rsidRPr="003C5965">
        <w:rPr>
          <w:rFonts w:ascii="Arial" w:eastAsia="Calibri" w:hAnsi="Arial" w:cs="Arial"/>
          <w:bCs/>
          <w:sz w:val="24"/>
          <w:szCs w:val="24"/>
          <w:lang w:val="es-MX"/>
        </w:rPr>
        <w:t xml:space="preserve">Congreso multidisciplinario de ciencias aplicadas en Latinoamérica, Editorial UNAM, </w:t>
      </w:r>
      <w:r w:rsidRPr="003C5965">
        <w:rPr>
          <w:rFonts w:ascii="Arial" w:hAnsi="Arial" w:cs="Arial"/>
          <w:sz w:val="24"/>
          <w:szCs w:val="24"/>
        </w:rPr>
        <w:t>600-606 (2018).</w:t>
      </w:r>
    </w:p>
    <w:p w:rsidR="006726CB" w:rsidRPr="003C5965" w:rsidRDefault="006726CB" w:rsidP="00390F7C">
      <w:pPr>
        <w:numPr>
          <w:ilvl w:val="0"/>
          <w:numId w:val="44"/>
        </w:numPr>
        <w:suppressAutoHyphens/>
        <w:spacing w:after="0" w:line="240" w:lineRule="auto"/>
        <w:jc w:val="both"/>
        <w:rPr>
          <w:rFonts w:ascii="Arial" w:hAnsi="Arial" w:cs="Arial"/>
          <w:color w:val="000000"/>
          <w:shd w:val="clear" w:color="auto" w:fill="FFFFFF"/>
          <w:lang w:val="en-US"/>
        </w:rPr>
      </w:pPr>
      <w:r w:rsidRPr="003C5965">
        <w:rPr>
          <w:rFonts w:ascii="Arial" w:hAnsi="Arial" w:cs="Arial"/>
          <w:lang w:val="en-US"/>
        </w:rPr>
        <w:t>Kiencke U., Nielsen L., “</w:t>
      </w:r>
      <w:r w:rsidRPr="003C5965">
        <w:rPr>
          <w:rFonts w:ascii="Arial" w:hAnsi="Arial" w:cs="Arial"/>
          <w:iCs/>
          <w:lang w:val="en-US"/>
        </w:rPr>
        <w:t xml:space="preserve">Automotive Control Systems, </w:t>
      </w:r>
      <w:r w:rsidRPr="003C5965">
        <w:rPr>
          <w:rFonts w:ascii="Arial" w:hAnsi="Arial" w:cs="Arial"/>
          <w:lang w:val="en-US"/>
        </w:rPr>
        <w:t>For Engine, Driveline, and Vehicle”, Springer-Verlag,</w:t>
      </w:r>
      <w:r w:rsidRPr="003C5965">
        <w:rPr>
          <w:rFonts w:ascii="Arial" w:hAnsi="Arial" w:cs="Arial"/>
          <w:shd w:val="clear" w:color="auto" w:fill="FFFFFF"/>
          <w:lang w:val="en-US"/>
        </w:rPr>
        <w:t xml:space="preserve"> </w:t>
      </w:r>
      <w:r w:rsidRPr="003C5965">
        <w:rPr>
          <w:rFonts w:ascii="Arial" w:hAnsi="Arial" w:cs="Arial"/>
          <w:lang w:val="en-US"/>
        </w:rPr>
        <w:t xml:space="preserve">2005.  </w:t>
      </w:r>
    </w:p>
    <w:p w:rsidR="006726CB" w:rsidRDefault="006726CB" w:rsidP="00390F7C">
      <w:pPr>
        <w:pStyle w:val="Referencias"/>
        <w:numPr>
          <w:ilvl w:val="0"/>
          <w:numId w:val="44"/>
        </w:numPr>
        <w:spacing w:before="0" w:after="0"/>
        <w:rPr>
          <w:rFonts w:ascii="Arial" w:hAnsi="Arial" w:cs="Arial"/>
          <w:sz w:val="24"/>
          <w:szCs w:val="24"/>
          <w:shd w:val="clear" w:color="auto" w:fill="FFFFFF"/>
          <w:lang w:val="es-MX"/>
        </w:rPr>
      </w:pPr>
      <w:r w:rsidRPr="003C5965">
        <w:rPr>
          <w:rFonts w:ascii="Arial" w:hAnsi="Arial" w:cs="Arial"/>
          <w:sz w:val="24"/>
          <w:szCs w:val="24"/>
          <w:shd w:val="clear" w:color="auto" w:fill="FFFFFF"/>
          <w:lang w:val="es-MX"/>
        </w:rPr>
        <w:t xml:space="preserve">Domínguez Vergara N., Pantoja Gallegos J.L. y Domínguez Pérez D.N., “Análisis de un modelo para la certificación de vehículos pesados”, Libro Científico I, 2018, del Congreso Internacional Mujeres en las Ciencias, Editorial UAM, </w:t>
      </w:r>
      <w:r w:rsidRPr="003C5965">
        <w:rPr>
          <w:rFonts w:ascii="Arial" w:hAnsi="Arial" w:cs="Arial"/>
          <w:sz w:val="24"/>
          <w:szCs w:val="24"/>
          <w:lang w:val="es-MX"/>
        </w:rPr>
        <w:t>113-126 (</w:t>
      </w:r>
      <w:r w:rsidRPr="003C5965">
        <w:rPr>
          <w:rFonts w:ascii="Arial" w:hAnsi="Arial" w:cs="Arial"/>
          <w:sz w:val="24"/>
          <w:szCs w:val="24"/>
          <w:shd w:val="clear" w:color="auto" w:fill="FFFFFF"/>
          <w:lang w:val="es-MX"/>
        </w:rPr>
        <w:t>2018).</w:t>
      </w:r>
    </w:p>
    <w:p w:rsidR="006726CB" w:rsidRDefault="006726CB" w:rsidP="006726CB">
      <w:pPr>
        <w:rPr>
          <w:lang w:val="es-MX" w:eastAsia="es-ES"/>
        </w:rPr>
      </w:pPr>
    </w:p>
    <w:p w:rsidR="006726CB" w:rsidRDefault="006726CB" w:rsidP="006726CB">
      <w:r>
        <w:t>7</w:t>
      </w:r>
      <w:r w:rsidRPr="00FB6B23">
        <w:t>. Agradecimientos</w:t>
      </w:r>
    </w:p>
    <w:p w:rsidR="006726CB" w:rsidRPr="00FB6B23" w:rsidRDefault="006726CB" w:rsidP="006726CB">
      <w:pPr>
        <w:jc w:val="both"/>
        <w:rPr>
          <w:rFonts w:ascii="Arial" w:hAnsi="Arial" w:cs="Arial"/>
          <w:b/>
        </w:rPr>
      </w:pPr>
    </w:p>
    <w:p w:rsidR="006726CB" w:rsidRDefault="006726CB" w:rsidP="006726CB">
      <w:pPr>
        <w:jc w:val="both"/>
        <w:rPr>
          <w:rFonts w:ascii="Arial" w:hAnsi="Arial" w:cs="Arial"/>
        </w:rPr>
      </w:pPr>
      <w:r w:rsidRPr="00676B24">
        <w:rPr>
          <w:rFonts w:ascii="Arial" w:hAnsi="Arial" w:cs="Arial"/>
        </w:rPr>
        <w:t xml:space="preserve">         </w:t>
      </w:r>
      <w:r>
        <w:rPr>
          <w:rFonts w:ascii="Arial" w:hAnsi="Arial" w:cs="Arial"/>
        </w:rPr>
        <w:t>A J. García Osorio y A. Maldonado Susano. También a los revisores por sus valiosas observaciones.  Uno de los autores (N. D.-V.) l</w:t>
      </w:r>
      <w:r w:rsidRPr="00676B24">
        <w:rPr>
          <w:rFonts w:ascii="Arial" w:hAnsi="Arial" w:cs="Arial"/>
        </w:rPr>
        <w:t>e agradece</w:t>
      </w:r>
      <w:r>
        <w:rPr>
          <w:rFonts w:ascii="Arial" w:hAnsi="Arial" w:cs="Arial"/>
        </w:rPr>
        <w:t xml:space="preserve"> a H. Pérez-Vivián por su valioso apoyo.</w:t>
      </w:r>
    </w:p>
    <w:p w:rsidR="002429F5" w:rsidRDefault="002429F5" w:rsidP="0049551D"/>
    <w:p w:rsidR="006A04E6" w:rsidRPr="00671514" w:rsidRDefault="006A04E6" w:rsidP="0049551D">
      <w:pPr>
        <w:rPr>
          <w:lang w:val="es-MX"/>
        </w:rPr>
      </w:pPr>
    </w:p>
    <w:p w:rsidR="00AB2ED5" w:rsidRPr="00671514" w:rsidRDefault="00AB2ED5" w:rsidP="0049551D">
      <w:pPr>
        <w:rPr>
          <w:lang w:val="es-MX"/>
        </w:rPr>
      </w:pPr>
    </w:p>
    <w:p w:rsidR="00AB2ED5" w:rsidRPr="00263972" w:rsidRDefault="00AB2ED5" w:rsidP="00113EA4">
      <w:pPr>
        <w:pStyle w:val="1Titulo"/>
        <w:numPr>
          <w:ilvl w:val="0"/>
          <w:numId w:val="0"/>
        </w:numPr>
        <w:ind w:left="357"/>
        <w:jc w:val="center"/>
        <w:rPr>
          <w:sz w:val="28"/>
          <w:szCs w:val="28"/>
        </w:rPr>
      </w:pPr>
      <w:bookmarkStart w:id="280" w:name="_Toc50031352"/>
      <w:r w:rsidRPr="00263972">
        <w:rPr>
          <w:sz w:val="28"/>
          <w:szCs w:val="28"/>
        </w:rPr>
        <w:t>Cinemática del flujo en contenedores cilíndricos con impulsores de flujo axial descendente y ascendente</w:t>
      </w:r>
      <w:bookmarkEnd w:id="280"/>
    </w:p>
    <w:p w:rsidR="00AB2ED5" w:rsidRDefault="00AB2ED5" w:rsidP="00AB2ED5">
      <w:pPr>
        <w:pStyle w:val="affiliation"/>
        <w:jc w:val="left"/>
        <w:rPr>
          <w:rFonts w:ascii="Arial" w:hAnsi="Arial" w:cs="Arial"/>
          <w:sz w:val="24"/>
          <w:szCs w:val="24"/>
          <w:lang w:val="es-ES"/>
        </w:rPr>
      </w:pPr>
    </w:p>
    <w:p w:rsidR="00AB2ED5" w:rsidRDefault="00AB2ED5" w:rsidP="00AB2ED5">
      <w:pPr>
        <w:pStyle w:val="affiliation"/>
        <w:rPr>
          <w:rFonts w:ascii="Arial" w:hAnsi="Arial" w:cs="Arial"/>
          <w:sz w:val="24"/>
          <w:szCs w:val="24"/>
          <w:lang w:val="es-ES"/>
        </w:rPr>
      </w:pPr>
      <w:r w:rsidRPr="00DA3156">
        <w:rPr>
          <w:rFonts w:ascii="Arial" w:hAnsi="Arial" w:cs="Arial"/>
          <w:sz w:val="24"/>
          <w:szCs w:val="24"/>
          <w:u w:val="single"/>
          <w:lang w:val="es-ES"/>
        </w:rPr>
        <w:t>Lizardi, R. A.</w:t>
      </w:r>
      <w:r w:rsidRPr="00DA3156">
        <w:rPr>
          <w:rFonts w:ascii="Arial" w:hAnsi="Arial" w:cs="Arial"/>
          <w:sz w:val="24"/>
          <w:szCs w:val="24"/>
          <w:u w:val="single"/>
          <w:vertAlign w:val="superscript"/>
          <w:lang w:val="es-ES"/>
        </w:rPr>
        <w:t>1</w:t>
      </w:r>
      <w:r w:rsidRPr="00977823">
        <w:rPr>
          <w:rFonts w:ascii="Arial" w:hAnsi="Arial" w:cs="Arial"/>
          <w:sz w:val="24"/>
          <w:szCs w:val="24"/>
          <w:lang w:val="es-ES"/>
        </w:rPr>
        <w:t xml:space="preserve">, López, </w:t>
      </w:r>
      <w:r>
        <w:rPr>
          <w:rFonts w:ascii="Arial" w:hAnsi="Arial" w:cs="Arial"/>
          <w:sz w:val="24"/>
          <w:szCs w:val="24"/>
          <w:lang w:val="es-ES"/>
        </w:rPr>
        <w:t xml:space="preserve">C. </w:t>
      </w:r>
      <w:r w:rsidRPr="00977823">
        <w:rPr>
          <w:rFonts w:ascii="Arial" w:hAnsi="Arial" w:cs="Arial"/>
          <w:sz w:val="24"/>
          <w:szCs w:val="24"/>
          <w:lang w:val="es-ES"/>
        </w:rPr>
        <w:t>R</w:t>
      </w:r>
      <w:r>
        <w:rPr>
          <w:rFonts w:ascii="Arial" w:hAnsi="Arial" w:cs="Arial"/>
          <w:sz w:val="24"/>
          <w:szCs w:val="24"/>
          <w:lang w:val="es-ES"/>
        </w:rPr>
        <w:t>.</w:t>
      </w:r>
      <w:r w:rsidRPr="000C32AD">
        <w:rPr>
          <w:rFonts w:ascii="Arial" w:hAnsi="Arial" w:cs="Arial"/>
          <w:sz w:val="24"/>
          <w:szCs w:val="24"/>
          <w:vertAlign w:val="superscript"/>
          <w:lang w:val="es-ES"/>
        </w:rPr>
        <w:t>1</w:t>
      </w:r>
      <w:r w:rsidRPr="00977823">
        <w:rPr>
          <w:rFonts w:ascii="Arial" w:hAnsi="Arial" w:cs="Arial"/>
          <w:sz w:val="24"/>
          <w:szCs w:val="24"/>
          <w:lang w:val="es-ES"/>
        </w:rPr>
        <w:t>, Terres,</w:t>
      </w:r>
      <w:r>
        <w:rPr>
          <w:rFonts w:ascii="Arial" w:hAnsi="Arial" w:cs="Arial"/>
          <w:sz w:val="24"/>
          <w:szCs w:val="24"/>
          <w:lang w:val="es-ES"/>
        </w:rPr>
        <w:t xml:space="preserve"> P.</w:t>
      </w:r>
      <w:r w:rsidRPr="00977823">
        <w:rPr>
          <w:rFonts w:ascii="Arial" w:hAnsi="Arial" w:cs="Arial"/>
          <w:sz w:val="24"/>
          <w:szCs w:val="24"/>
          <w:lang w:val="es-ES"/>
        </w:rPr>
        <w:t xml:space="preserve"> H</w:t>
      </w:r>
      <w:r>
        <w:rPr>
          <w:rFonts w:ascii="Arial" w:hAnsi="Arial" w:cs="Arial"/>
          <w:sz w:val="24"/>
          <w:szCs w:val="24"/>
          <w:lang w:val="es-ES"/>
        </w:rPr>
        <w:t>.</w:t>
      </w:r>
      <w:r w:rsidRPr="000C32AD">
        <w:rPr>
          <w:rFonts w:ascii="Arial" w:hAnsi="Arial" w:cs="Arial"/>
          <w:sz w:val="24"/>
          <w:szCs w:val="24"/>
          <w:vertAlign w:val="superscript"/>
          <w:lang w:val="es-ES"/>
        </w:rPr>
        <w:t>1</w:t>
      </w:r>
      <w:r>
        <w:rPr>
          <w:rFonts w:ascii="Arial" w:hAnsi="Arial" w:cs="Arial"/>
          <w:sz w:val="24"/>
          <w:szCs w:val="24"/>
          <w:lang w:val="es-ES"/>
        </w:rPr>
        <w:t>, Chaves, S. S</w:t>
      </w:r>
      <w:r>
        <w:rPr>
          <w:rFonts w:ascii="Arial" w:hAnsi="Arial" w:cs="Arial"/>
          <w:sz w:val="24"/>
          <w:szCs w:val="24"/>
          <w:vertAlign w:val="superscript"/>
          <w:lang w:val="es-ES"/>
        </w:rPr>
        <w:t>1</w:t>
      </w:r>
      <w:r>
        <w:rPr>
          <w:rFonts w:ascii="Arial" w:hAnsi="Arial" w:cs="Arial"/>
          <w:sz w:val="24"/>
          <w:szCs w:val="24"/>
          <w:lang w:val="es-ES"/>
        </w:rPr>
        <w:t xml:space="preserve">., </w:t>
      </w:r>
      <w:r w:rsidRPr="00977823">
        <w:rPr>
          <w:rFonts w:ascii="Arial" w:hAnsi="Arial" w:cs="Arial"/>
          <w:sz w:val="24"/>
          <w:szCs w:val="24"/>
          <w:lang w:val="es-ES"/>
        </w:rPr>
        <w:t>Vaca,</w:t>
      </w:r>
      <w:r>
        <w:rPr>
          <w:rFonts w:ascii="Arial" w:hAnsi="Arial" w:cs="Arial"/>
          <w:sz w:val="24"/>
          <w:szCs w:val="24"/>
          <w:lang w:val="es-ES"/>
        </w:rPr>
        <w:t xml:space="preserve"> M.</w:t>
      </w:r>
      <w:r w:rsidRPr="00977823">
        <w:rPr>
          <w:rFonts w:ascii="Arial" w:hAnsi="Arial" w:cs="Arial"/>
          <w:sz w:val="24"/>
          <w:szCs w:val="24"/>
          <w:lang w:val="es-ES"/>
        </w:rPr>
        <w:t xml:space="preserve"> M</w:t>
      </w:r>
      <w:r>
        <w:rPr>
          <w:rFonts w:ascii="Arial" w:hAnsi="Arial" w:cs="Arial"/>
          <w:sz w:val="24"/>
          <w:szCs w:val="24"/>
          <w:lang w:val="es-ES"/>
        </w:rPr>
        <w:t>.</w:t>
      </w:r>
      <w:r w:rsidRPr="000C32AD">
        <w:rPr>
          <w:rFonts w:ascii="Arial" w:hAnsi="Arial" w:cs="Arial"/>
          <w:sz w:val="24"/>
          <w:szCs w:val="24"/>
          <w:vertAlign w:val="superscript"/>
          <w:lang w:val="es-ES"/>
        </w:rPr>
        <w:t>1</w:t>
      </w:r>
      <w:r>
        <w:rPr>
          <w:rFonts w:ascii="Arial" w:hAnsi="Arial" w:cs="Arial"/>
          <w:sz w:val="24"/>
          <w:szCs w:val="24"/>
          <w:lang w:val="es-ES"/>
        </w:rPr>
        <w:t>, Lara, V. A.</w:t>
      </w:r>
      <w:r>
        <w:rPr>
          <w:rFonts w:ascii="Arial" w:hAnsi="Arial" w:cs="Arial"/>
          <w:sz w:val="24"/>
          <w:szCs w:val="24"/>
          <w:vertAlign w:val="superscript"/>
          <w:lang w:val="es-ES"/>
        </w:rPr>
        <w:t>1</w:t>
      </w:r>
      <w:r>
        <w:rPr>
          <w:rFonts w:ascii="Arial" w:hAnsi="Arial" w:cs="Arial"/>
          <w:sz w:val="24"/>
          <w:szCs w:val="24"/>
          <w:lang w:val="es-ES"/>
        </w:rPr>
        <w:t>, Morales, G. J. R</w:t>
      </w:r>
      <w:r>
        <w:rPr>
          <w:rFonts w:ascii="Arial" w:hAnsi="Arial" w:cs="Arial"/>
          <w:sz w:val="24"/>
          <w:szCs w:val="24"/>
          <w:vertAlign w:val="superscript"/>
          <w:lang w:val="es-ES"/>
        </w:rPr>
        <w:t>1</w:t>
      </w:r>
    </w:p>
    <w:p w:rsidR="00AB2ED5" w:rsidRPr="00523B7A" w:rsidRDefault="00AB2ED5" w:rsidP="00AB2ED5">
      <w:pPr>
        <w:pStyle w:val="affiliation"/>
        <w:jc w:val="left"/>
        <w:rPr>
          <w:rFonts w:ascii="Arial" w:hAnsi="Arial" w:cs="Arial"/>
          <w:sz w:val="24"/>
          <w:szCs w:val="24"/>
          <w:lang w:val="es-ES"/>
        </w:rPr>
      </w:pPr>
    </w:p>
    <w:p w:rsidR="00AB2ED5" w:rsidRDefault="00AB2ED5" w:rsidP="00AB2ED5">
      <w:pPr>
        <w:jc w:val="center"/>
        <w:rPr>
          <w:rFonts w:ascii="Arial" w:hAnsi="Arial" w:cs="Arial"/>
        </w:rPr>
      </w:pPr>
      <w:r>
        <w:rPr>
          <w:rFonts w:ascii="Arial" w:hAnsi="Arial" w:cs="Arial"/>
          <w:vertAlign w:val="superscript"/>
        </w:rPr>
        <w:t>1</w:t>
      </w:r>
      <w:r w:rsidRPr="000C32AD">
        <w:rPr>
          <w:rFonts w:ascii="Arial" w:hAnsi="Arial" w:cs="Arial"/>
        </w:rPr>
        <w:t>Universidad Autónoma Metropolitana-Azcapotzalco</w:t>
      </w:r>
      <w:r>
        <w:rPr>
          <w:rFonts w:ascii="Arial" w:hAnsi="Arial" w:cs="Arial"/>
        </w:rPr>
        <w:t>.</w:t>
      </w:r>
      <w:r w:rsidRPr="00523B7A">
        <w:rPr>
          <w:rFonts w:ascii="Arial" w:hAnsi="Arial" w:cs="Arial"/>
        </w:rPr>
        <w:t xml:space="preserve"> Av. San Pablo 180, </w:t>
      </w:r>
      <w:r>
        <w:rPr>
          <w:rFonts w:ascii="Arial" w:hAnsi="Arial" w:cs="Arial"/>
        </w:rPr>
        <w:t xml:space="preserve">Col. </w:t>
      </w:r>
      <w:r w:rsidRPr="00523B7A">
        <w:rPr>
          <w:rFonts w:ascii="Arial" w:hAnsi="Arial" w:cs="Arial"/>
        </w:rPr>
        <w:t>Reynosa Tamaulipas,</w:t>
      </w:r>
      <w:r>
        <w:rPr>
          <w:rFonts w:ascii="Arial" w:hAnsi="Arial" w:cs="Arial"/>
        </w:rPr>
        <w:t xml:space="preserve"> Alcaldía</w:t>
      </w:r>
      <w:r w:rsidRPr="00523B7A">
        <w:rPr>
          <w:rFonts w:ascii="Arial" w:hAnsi="Arial" w:cs="Arial"/>
        </w:rPr>
        <w:t xml:space="preserve"> Azcapotzalco, C.</w:t>
      </w:r>
      <w:r>
        <w:rPr>
          <w:rFonts w:ascii="Arial" w:hAnsi="Arial" w:cs="Arial"/>
        </w:rPr>
        <w:t xml:space="preserve"> </w:t>
      </w:r>
      <w:r w:rsidRPr="00523B7A">
        <w:rPr>
          <w:rFonts w:ascii="Arial" w:hAnsi="Arial" w:cs="Arial"/>
        </w:rPr>
        <w:t>P. 02200, Ciudad de México, México</w:t>
      </w:r>
    </w:p>
    <w:p w:rsidR="00AB2ED5" w:rsidRPr="00AB2ED5" w:rsidRDefault="00AB2ED5" w:rsidP="00AB2ED5">
      <w:pPr>
        <w:pStyle w:val="affiliation"/>
        <w:jc w:val="left"/>
        <w:rPr>
          <w:rFonts w:ascii="Arial" w:hAnsi="Arial" w:cs="Arial"/>
          <w:lang w:val="es-MX"/>
        </w:rPr>
      </w:pPr>
    </w:p>
    <w:p w:rsidR="00AB2ED5" w:rsidRDefault="001345E4" w:rsidP="00AB2ED5">
      <w:pPr>
        <w:pStyle w:val="affiliation"/>
        <w:rPr>
          <w:rFonts w:ascii="Arial" w:hAnsi="Arial" w:cs="Arial"/>
          <w:sz w:val="24"/>
          <w:szCs w:val="24"/>
          <w:lang w:val="es-ES"/>
        </w:rPr>
      </w:pPr>
      <w:hyperlink r:id="rId1154" w:history="1">
        <w:r w:rsidR="00AB2ED5" w:rsidRPr="000604C3">
          <w:rPr>
            <w:rStyle w:val="Hipervnculo"/>
            <w:rFonts w:ascii="Arial" w:hAnsi="Arial" w:cs="Arial"/>
            <w:sz w:val="24"/>
            <w:szCs w:val="24"/>
            <w:lang w:val="es-ES"/>
          </w:rPr>
          <w:t>arlr@azc.uam.mx</w:t>
        </w:r>
      </w:hyperlink>
      <w:r w:rsidR="00AB2ED5">
        <w:rPr>
          <w:rFonts w:ascii="Arial" w:hAnsi="Arial" w:cs="Arial"/>
          <w:sz w:val="24"/>
          <w:szCs w:val="24"/>
          <w:lang w:val="es-ES"/>
        </w:rPr>
        <w:t xml:space="preserve">, </w:t>
      </w:r>
      <w:hyperlink r:id="rId1155" w:history="1">
        <w:r w:rsidR="00AB2ED5" w:rsidRPr="000604C3">
          <w:rPr>
            <w:rStyle w:val="Hipervnculo"/>
            <w:rFonts w:ascii="Arial" w:hAnsi="Arial" w:cs="Arial"/>
            <w:sz w:val="24"/>
            <w:szCs w:val="24"/>
            <w:lang w:val="es-ES"/>
          </w:rPr>
          <w:t>rlc@azc.uam.mx</w:t>
        </w:r>
      </w:hyperlink>
      <w:r w:rsidR="00AB2ED5">
        <w:rPr>
          <w:rFonts w:ascii="Arial" w:hAnsi="Arial" w:cs="Arial"/>
          <w:sz w:val="24"/>
          <w:szCs w:val="24"/>
          <w:lang w:val="es-ES"/>
        </w:rPr>
        <w:t xml:space="preserve">, </w:t>
      </w:r>
      <w:hyperlink r:id="rId1156" w:history="1">
        <w:r w:rsidR="00AB2ED5" w:rsidRPr="000604C3">
          <w:rPr>
            <w:rStyle w:val="Hipervnculo"/>
            <w:rFonts w:ascii="Arial" w:hAnsi="Arial" w:cs="Arial"/>
            <w:sz w:val="24"/>
            <w:szCs w:val="24"/>
            <w:lang w:val="es-ES"/>
          </w:rPr>
          <w:t>tph@azc.uam.mx</w:t>
        </w:r>
      </w:hyperlink>
      <w:r w:rsidR="00AB2ED5">
        <w:rPr>
          <w:rFonts w:ascii="Arial" w:hAnsi="Arial" w:cs="Arial"/>
          <w:sz w:val="24"/>
          <w:szCs w:val="24"/>
          <w:lang w:val="es-ES"/>
        </w:rPr>
        <w:t xml:space="preserve">, </w:t>
      </w:r>
      <w:hyperlink r:id="rId1157" w:history="1">
        <w:r w:rsidR="00AB2ED5" w:rsidRPr="000604C3">
          <w:rPr>
            <w:rStyle w:val="Hipervnculo"/>
            <w:rFonts w:ascii="Arial" w:hAnsi="Arial" w:cs="Arial"/>
            <w:sz w:val="24"/>
            <w:szCs w:val="24"/>
            <w:lang w:val="es-ES"/>
          </w:rPr>
          <w:t>scs@azc.uam.mx</w:t>
        </w:r>
      </w:hyperlink>
      <w:r w:rsidR="00AB2ED5">
        <w:rPr>
          <w:rFonts w:ascii="Arial" w:hAnsi="Arial" w:cs="Arial"/>
          <w:sz w:val="24"/>
          <w:szCs w:val="24"/>
          <w:lang w:val="es-ES"/>
        </w:rPr>
        <w:t xml:space="preserve">, </w:t>
      </w:r>
      <w:hyperlink r:id="rId1158" w:history="1">
        <w:r w:rsidR="00AB2ED5" w:rsidRPr="000604C3">
          <w:rPr>
            <w:rStyle w:val="Hipervnculo"/>
            <w:rFonts w:ascii="Arial" w:hAnsi="Arial" w:cs="Arial"/>
            <w:sz w:val="24"/>
            <w:szCs w:val="24"/>
            <w:lang w:val="es-ES"/>
          </w:rPr>
          <w:t>mvm@azc.uam.mx</w:t>
        </w:r>
      </w:hyperlink>
      <w:r w:rsidR="00AB2ED5">
        <w:rPr>
          <w:rFonts w:ascii="Arial" w:hAnsi="Arial" w:cs="Arial"/>
          <w:sz w:val="24"/>
          <w:szCs w:val="24"/>
          <w:lang w:val="es-ES"/>
        </w:rPr>
        <w:t xml:space="preserve">, </w:t>
      </w:r>
      <w:hyperlink r:id="rId1159" w:history="1">
        <w:r w:rsidR="00AB2ED5" w:rsidRPr="000604C3">
          <w:rPr>
            <w:rStyle w:val="Hipervnculo"/>
            <w:rFonts w:ascii="Arial" w:hAnsi="Arial" w:cs="Arial"/>
            <w:sz w:val="24"/>
            <w:szCs w:val="24"/>
            <w:lang w:val="es-ES"/>
          </w:rPr>
          <w:t>arlv@azc.uam.mx</w:t>
        </w:r>
      </w:hyperlink>
      <w:r w:rsidR="00AB2ED5">
        <w:rPr>
          <w:rFonts w:ascii="Arial" w:hAnsi="Arial" w:cs="Arial"/>
          <w:sz w:val="24"/>
          <w:szCs w:val="24"/>
          <w:lang w:val="es-ES"/>
        </w:rPr>
        <w:t xml:space="preserve">, </w:t>
      </w:r>
      <w:hyperlink r:id="rId1160" w:history="1">
        <w:r w:rsidR="00AB2ED5" w:rsidRPr="000604C3">
          <w:rPr>
            <w:rStyle w:val="Hipervnculo"/>
            <w:rFonts w:ascii="Arial" w:hAnsi="Arial" w:cs="Arial"/>
            <w:sz w:val="24"/>
            <w:szCs w:val="24"/>
            <w:lang w:val="es-ES"/>
          </w:rPr>
          <w:t>mgjr@azc.uam.mx</w:t>
        </w:r>
      </w:hyperlink>
    </w:p>
    <w:p w:rsidR="00AB2ED5" w:rsidRPr="000C32AD" w:rsidRDefault="00AB2ED5" w:rsidP="00AB2ED5">
      <w:pPr>
        <w:pStyle w:val="affiliation"/>
        <w:jc w:val="left"/>
        <w:rPr>
          <w:rFonts w:ascii="Arial" w:hAnsi="Arial" w:cs="Arial"/>
          <w:sz w:val="24"/>
          <w:szCs w:val="24"/>
          <w:lang w:val="es-ES"/>
        </w:rPr>
      </w:pPr>
    </w:p>
    <w:p w:rsidR="00AB2ED5" w:rsidRPr="000C32AD" w:rsidRDefault="00AB2ED5" w:rsidP="00AB2ED5">
      <w:pPr>
        <w:pStyle w:val="1Titulo"/>
        <w:numPr>
          <w:ilvl w:val="0"/>
          <w:numId w:val="0"/>
        </w:numPr>
        <w:ind w:left="1069"/>
      </w:pPr>
      <w:bookmarkStart w:id="281" w:name="_Toc50031353"/>
      <w:r>
        <w:t xml:space="preserve">1. </w:t>
      </w:r>
      <w:r w:rsidRPr="000C32AD">
        <w:t>Resumen</w:t>
      </w:r>
      <w:bookmarkEnd w:id="281"/>
    </w:p>
    <w:p w:rsidR="00AB2ED5" w:rsidRPr="000C32AD" w:rsidRDefault="00AB2ED5" w:rsidP="00AB2ED5">
      <w:pPr>
        <w:pStyle w:val="TextoPrincipalV2"/>
      </w:pPr>
      <w:r w:rsidRPr="00977823">
        <w:t xml:space="preserve">Este trabajo </w:t>
      </w:r>
      <w:r>
        <w:t>trata del</w:t>
      </w:r>
      <w:r w:rsidRPr="00977823">
        <w:t xml:space="preserve"> movimiento de un fluido </w:t>
      </w:r>
      <w:r>
        <w:t>dentro</w:t>
      </w:r>
      <w:r w:rsidRPr="00977823">
        <w:t xml:space="preserve"> de un tanque cilíndrico que es promovido por la rotación de un eje que tiene: en un caso dos impulsores de disco y en otro </w:t>
      </w:r>
      <w:r>
        <w:t xml:space="preserve">caso </w:t>
      </w:r>
      <w:r w:rsidRPr="00977823">
        <w:t xml:space="preserve">dos impulsores de flujo axial, uno descendente y otro ascendente. La </w:t>
      </w:r>
      <w:r w:rsidRPr="00977823">
        <w:lastRenderedPageBreak/>
        <w:t>fundamentación matemática se basa en las ecuaciones de continuidad y momentum</w:t>
      </w:r>
      <w:r>
        <w:t xml:space="preserve">. </w:t>
      </w:r>
      <w:r w:rsidRPr="00977823">
        <w:t xml:space="preserve">Los resultados se muestran </w:t>
      </w:r>
      <w:r>
        <w:t>con</w:t>
      </w:r>
      <w:r w:rsidRPr="00977823">
        <w:t xml:space="preserve"> los campos del vector velocidad (</w:t>
      </w:r>
      <m:oMath>
        <m:acc>
          <m:accPr>
            <m:chr m:val="⃑"/>
            <m:ctrlPr>
              <w:rPr>
                <w:rFonts w:ascii="Cambria Math" w:eastAsia="Calibri" w:hAnsi="Cambria Math"/>
              </w:rPr>
            </m:ctrlPr>
          </m:accPr>
          <m:e>
            <m:r>
              <m:rPr>
                <m:sty m:val="p"/>
              </m:rPr>
              <w:rPr>
                <w:rFonts w:ascii="Cambria Math" w:eastAsia="Calibri"/>
              </w:rPr>
              <m:t>V</m:t>
            </m:r>
          </m:e>
        </m:acc>
      </m:oMath>
      <w:r w:rsidRPr="00977823">
        <w:t xml:space="preserve">) y las componentes de velocidad radial (u) y axial (w). </w:t>
      </w:r>
      <w:r>
        <w:t>Comparando</w:t>
      </w:r>
      <w:r w:rsidRPr="00977823">
        <w:t xml:space="preserve"> la gráfica de la componente de velocidad radial, en la posición m1=2 cm, y de la componente de velocidad axial</w:t>
      </w:r>
      <w:r>
        <w:t>,</w:t>
      </w:r>
      <w:r w:rsidRPr="00977823">
        <w:t xml:space="preserve"> en las posiciones m2= 1.25, m3=3.75 y m4=4.75 cm, para </w:t>
      </w:r>
      <w:r>
        <w:t>ambos</w:t>
      </w:r>
      <w:r w:rsidRPr="00977823">
        <w:t xml:space="preserve"> modelos, se encontró que el sistema con impulsores de flujo axial obtuvo el mejor desempeño pues incrementó la velocidad radial y axial positiva y negativa promedio en: 336 y 124%, 105 y 138%, 21 y 621%, 2 y 258%, respectivamente.</w:t>
      </w:r>
    </w:p>
    <w:p w:rsidR="00AB2ED5" w:rsidRPr="000C32AD" w:rsidRDefault="00AB2ED5" w:rsidP="00AB2ED5">
      <w:pPr>
        <w:jc w:val="both"/>
        <w:rPr>
          <w:rFonts w:ascii="Arial" w:hAnsi="Arial" w:cs="Arial"/>
        </w:rPr>
      </w:pPr>
    </w:p>
    <w:p w:rsidR="00AB2ED5" w:rsidRPr="000C32AD" w:rsidRDefault="00AB2ED5" w:rsidP="00AB2ED5">
      <w:pPr>
        <w:pStyle w:val="1Titulo"/>
        <w:numPr>
          <w:ilvl w:val="0"/>
          <w:numId w:val="0"/>
        </w:numPr>
        <w:ind w:left="357"/>
        <w:rPr>
          <w:caps/>
        </w:rPr>
      </w:pPr>
      <w:bookmarkStart w:id="282" w:name="_Toc50031354"/>
      <w:r>
        <w:rPr>
          <w:caps/>
        </w:rPr>
        <w:t xml:space="preserve">2. </w:t>
      </w:r>
      <w:r w:rsidRPr="000C32AD">
        <w:rPr>
          <w:caps/>
        </w:rPr>
        <w:t>I</w:t>
      </w:r>
      <w:r w:rsidRPr="000C32AD">
        <w:t>ntroducción</w:t>
      </w:r>
      <w:bookmarkEnd w:id="282"/>
    </w:p>
    <w:p w:rsidR="00AB2ED5" w:rsidRDefault="00AB2ED5" w:rsidP="00AB2ED5">
      <w:pPr>
        <w:pStyle w:val="TextoPrincipalV2"/>
      </w:pPr>
      <w:r w:rsidRPr="00977823">
        <w:t xml:space="preserve">La agitación y el mezclado son operaciones unitarias que se presentan en buena parte de los procesos industriales. Su uso se extiende en diversos campos de la industria alimentaria, cosmetológica, química, petroquímica, entre otras. La agitación consiste en forzar el movimiento de un fluido por medios mecánicos para que éste adquiera un flujo circulatorio en el interior de un depósito; mientras que el mezclado pretende conseguir la máxima interposición entre materiales para obtener un grado determinado de </w:t>
      </w:r>
      <w:r>
        <w:t>uniformidad entre los mismos [1] y [2]</w:t>
      </w:r>
      <w:r w:rsidRPr="00977823">
        <w:t>.</w:t>
      </w:r>
    </w:p>
    <w:p w:rsidR="00AB2ED5" w:rsidRDefault="00AB2ED5" w:rsidP="00AB2ED5">
      <w:pPr>
        <w:pStyle w:val="TextoPrincipalV2"/>
      </w:pPr>
      <w:r w:rsidRPr="00977823">
        <w:t>El objetivo de este trabajo es determinar los patrones de flujo en estado permanente de un fluido newtoniano, viscoso e incompresible, confinado en un contenedor cilíndrico vertical cerrado. El movimiento del fluido en el depósito se genera a través de una flecha que gira en sentido horario y que tiene montados dos impulsores; uno en la parte inferior (cerca del fondo del tanque) y otro en la parte superior (cerca de la tapa del mismo). En el estudio se manejan dos modelos: en el primero se colocan dos impulsores de disco y en el segundo se colocan dos impulsores de flujo axial con tres álabes verticales rectos (el inferior con un ángulo de inclinación respecto a la vertical de +30° y el superior con un ángulo de -30°). Lo anterior con el propósito de que el impulsor inferior y superior favorezcan el movimiento del fluido hacia el fondo y tapa del recipiente, respectivamente. La fundamentación matemática se basa en las ecuaciones de continuidad y momentum en coordenadas polares cilíndricas, en estado permanente, junto con las condiciones de frontera adecuadas. Los resultados se obtendrán al comparar los patrones de flujo del vector velocidad (</w:t>
      </w:r>
      <m:oMath>
        <m:acc>
          <m:accPr>
            <m:chr m:val="⃑"/>
            <m:ctrlPr>
              <w:rPr>
                <w:rFonts w:ascii="Cambria Math" w:eastAsia="Calibri" w:hAnsi="Cambria Math"/>
              </w:rPr>
            </m:ctrlPr>
          </m:accPr>
          <m:e>
            <m:r>
              <m:rPr>
                <m:sty m:val="p"/>
              </m:rPr>
              <w:rPr>
                <w:rFonts w:ascii="Cambria Math" w:eastAsia="Calibri"/>
              </w:rPr>
              <m:t>V</m:t>
            </m:r>
          </m:e>
        </m:acc>
      </m:oMath>
      <w:r w:rsidRPr="00977823">
        <w:t xml:space="preserve">) y de las componentes de velocidad radial (u) y axial (w) para cuatro posiciones de interés y para los dos modelos. Se manejará agua como fluido de trabajo, una relación altura/radio del contenedor constante y la misma velocidad </w:t>
      </w:r>
      <w:r>
        <w:t>angular</w:t>
      </w:r>
      <w:r w:rsidRPr="00977823">
        <w:t>.</w:t>
      </w:r>
    </w:p>
    <w:p w:rsidR="00AB2ED5" w:rsidRDefault="00AB2ED5" w:rsidP="00AB2ED5">
      <w:pPr>
        <w:pStyle w:val="TextoPrincipalV2"/>
      </w:pPr>
      <w:r w:rsidRPr="00977823">
        <w:t>El análisis numérico y experimental del movimiento de fluidos en el interior de cilindros verticales se ha abordado desde la tercera parte del siglo pasado. Por ejemplo, Pao [3] propuso un método numérico para estudiar un fluido viscoso incompresible confinado en una cámara cilíndrica donde la tapa superior estaba rotando a una velocidad angular constante y las paredes y fondo del recipiente permanecían fijos. Analizó la función corriente, la circulación, la distribución de velocidades y el coeficiente de par para un rango del número de Reynolds de 1 a 400. Bertelá y Gori [4] presentaron un método numérico que permitía resolver el flujo estable y transitorio de un fluido dentro de un depósito cilíndrico con la cubierta rotando. En el estudio analizaron las componentes de velocidad, líneas de corriente y coeficiente de torque para un número de Reynolds de 100 y 1000, y para una rel</w:t>
      </w:r>
      <w:r>
        <w:t>ación geométrica de 0.5, 1 y 2.</w:t>
      </w:r>
    </w:p>
    <w:p w:rsidR="00AB2ED5" w:rsidRDefault="00AB2ED5" w:rsidP="00AB2ED5">
      <w:pPr>
        <w:pStyle w:val="TextoPrincipalV2"/>
      </w:pPr>
      <w:r w:rsidRPr="006C5A9C">
        <w:lastRenderedPageBreak/>
        <w:t>Otros investigadores empezaron a estudiar el movimiento inducido por discos giratorios dentro de tanques cilíndricos. Khalili, et al. [</w:t>
      </w:r>
      <w:r>
        <w:t>5</w:t>
      </w:r>
      <w:r w:rsidRPr="006C5A9C">
        <w:t>] obtuvieron una solución numérica para un flujo laminar inducido, dentro de un cilindro, por un disco rotatorio situado asimétricamente respecto a la altura. Presentaron el análisis de las líneas de corriente, de la componente de velocidad tangencial y del coeficiente de torque para distintos posicionamientos del disco, para una relación geométrica de 1 a 2 y para un rango de números de Reynolds de 1 a 5000. Yu, et al. [</w:t>
      </w:r>
      <w:r>
        <w:t>6</w:t>
      </w:r>
      <w:r w:rsidRPr="006C5A9C">
        <w:t>] estudiaron numéricamente el flujo en una cámara cilíndrica cerrada con un disco giratorio en el fondo y cuyo radio era menor al de la cámara. El comportamiento del flujo se investigó para una amplia gama de parámetros. Se analizaron, en el plano meridional, las líneas de corriente, momento angular y vorticidad, para diferentes Reynolds (1000, 1500 y 2000), relación geométrica H/R (1.5) y relación de radios R/rd (1.5, 1.8, 2.0, 2.2, 2.6, 3.0, 5.0).</w:t>
      </w:r>
    </w:p>
    <w:p w:rsidR="00AB2ED5" w:rsidRDefault="00AB2ED5" w:rsidP="00AB2ED5">
      <w:pPr>
        <w:pStyle w:val="TextoPrincipalV2"/>
      </w:pPr>
      <w:r>
        <w:t>En los últimos años y debido a los grandes avances en CFD (Computational Fluid Dynamic), se han resuelto problemas que involucran geometrías complejas y flujos turbulentos, Achouri, et al. [7] realizaron un estudio de un tanque agitado con impulsores de pala inclinada PBT (Pitched Blade Turbine, por sus siglas en inglés) compuestos por seis alabes y con flujo descendente. El tanque se simuló para flujos multifásicos de gas-líquido a una velocidad constante del impulsor de 480 rpm y con dos inclinaciones de alabes diferentes: 45° y 60°. Ameur [8] presenta los resultados numéricos sobre la mezcla de fluidos complejos con agitadores de dos placas planas verticales e inclinadas. Analizó los efectos del ángulo de inclinación de las palas sobre las características locales y globales de la mezcla. También se estudió el efecto del número de Reynolds con el comportamiento reológico de la mezcla.</w:t>
      </w:r>
    </w:p>
    <w:p w:rsidR="00AB2ED5" w:rsidRDefault="00AB2ED5" w:rsidP="00AB2ED5">
      <w:pPr>
        <w:pStyle w:val="TextoPrincipalV2"/>
      </w:pPr>
    </w:p>
    <w:p w:rsidR="00AB2ED5" w:rsidRDefault="00AB2ED5" w:rsidP="00390F7C">
      <w:pPr>
        <w:pStyle w:val="1Titulo"/>
        <w:numPr>
          <w:ilvl w:val="0"/>
          <w:numId w:val="47"/>
        </w:numPr>
      </w:pPr>
      <w:bookmarkStart w:id="283" w:name="_Toc50031355"/>
      <w:r>
        <w:t>Planteamiento y solución del problema</w:t>
      </w:r>
      <w:bookmarkEnd w:id="283"/>
    </w:p>
    <w:p w:rsidR="00AB2ED5" w:rsidRPr="009C2BD9" w:rsidRDefault="00AB2ED5" w:rsidP="00AB2ED5">
      <w:pPr>
        <w:pStyle w:val="11Ttulo"/>
        <w:numPr>
          <w:ilvl w:val="0"/>
          <w:numId w:val="0"/>
        </w:numPr>
        <w:ind w:left="720"/>
      </w:pPr>
      <w:r>
        <w:t>3.1 S</w:t>
      </w:r>
      <w:r w:rsidRPr="00E44579">
        <w:t>istema físico</w:t>
      </w:r>
    </w:p>
    <w:p w:rsidR="00AB2ED5" w:rsidRPr="00F41610" w:rsidRDefault="00AB2ED5" w:rsidP="00AB2ED5">
      <w:pPr>
        <w:pStyle w:val="TextoPrincipalV2"/>
      </w:pPr>
      <w:r w:rsidRPr="00E44579">
        <w:t>El modelo a analizar consiste en un tanque cilíndrico vertical cerrado de 4.5 cm de radio, 9 cm de parte recta y 3 cm de fondo. En el eje se acoplan por separado dos impulsores: de disco y de flujo axial, con álabes inclinados a ±30°. Los impulsores de disco tiene</w:t>
      </w:r>
      <w:r>
        <w:t>n</w:t>
      </w:r>
      <w:r w:rsidRPr="00E44579">
        <w:t xml:space="preserve"> un radio de 2 cm y una altura de 0.5 cm (Fig. 1 y 2). Los impulsores de flujo axial tienen un radio proyectado de 2 cm y tres álabes rectos de 0.5 cm de altura por 0.1 cm de espesor (Fig. 2 y 3). Los impulsores están unidos por una flecha de 0.5 cm de radio que gira en sentido horario a una velocidad angular constante de 13.61 rad/s.</w:t>
      </w:r>
    </w:p>
    <w:p w:rsidR="00AB2ED5" w:rsidRDefault="00AB2ED5" w:rsidP="00AB2ED5">
      <w:pPr>
        <w:pStyle w:val="Textoindependiente"/>
        <w:rPr>
          <w:rFonts w:ascii="Arial" w:hAnsi="Arial" w:cs="Arial"/>
          <w:b w:val="0"/>
          <w:sz w:val="24"/>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707"/>
      </w:tblGrid>
      <w:tr w:rsidR="00AB2ED5" w:rsidTr="007F2707">
        <w:tc>
          <w:tcPr>
            <w:tcW w:w="4772" w:type="dxa"/>
          </w:tcPr>
          <w:p w:rsidR="00AB2ED5" w:rsidRDefault="00AB2ED5" w:rsidP="007F2707">
            <w:pPr>
              <w:pStyle w:val="Textoindependiente"/>
              <w:jc w:val="center"/>
              <w:rPr>
                <w:rFonts w:ascii="Arial" w:hAnsi="Arial" w:cs="Arial"/>
                <w:b w:val="0"/>
                <w:sz w:val="24"/>
              </w:rPr>
            </w:pPr>
            <w:r>
              <w:rPr>
                <w:noProof/>
                <w:lang w:val="en-US"/>
              </w:rPr>
              <w:lastRenderedPageBreak/>
              <w:drawing>
                <wp:inline distT="0" distB="0" distL="0" distR="0" wp14:anchorId="7BF34680" wp14:editId="3EE4A672">
                  <wp:extent cx="1568465" cy="2160000"/>
                  <wp:effectExtent l="0" t="0" r="0" b="0"/>
                  <wp:docPr id="2026623704" name="Imagen 202662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1"/>
                          <a:srcRect l="27924" t="19667" r="39279"/>
                          <a:stretch/>
                        </pic:blipFill>
                        <pic:spPr bwMode="auto">
                          <a:xfrm>
                            <a:off x="0" y="0"/>
                            <a:ext cx="1568465"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4772" w:type="dxa"/>
          </w:tcPr>
          <w:p w:rsidR="00AB2ED5" w:rsidRDefault="00AB2ED5" w:rsidP="007F2707">
            <w:pPr>
              <w:pStyle w:val="Textoindependiente"/>
              <w:jc w:val="center"/>
              <w:rPr>
                <w:rFonts w:ascii="Arial" w:hAnsi="Arial" w:cs="Arial"/>
                <w:b w:val="0"/>
                <w:sz w:val="24"/>
              </w:rPr>
            </w:pPr>
            <w:r>
              <w:rPr>
                <w:rFonts w:ascii="Arial" w:hAnsi="Arial" w:cs="Arial"/>
                <w:b w:val="0"/>
                <w:bCs w:val="0"/>
                <w:noProof/>
                <w:sz w:val="20"/>
                <w:lang w:val="en-US"/>
              </w:rPr>
              <w:drawing>
                <wp:inline distT="0" distB="0" distL="0" distR="0" wp14:anchorId="64D22653" wp14:editId="6D151FDB">
                  <wp:extent cx="1751838" cy="2156604"/>
                  <wp:effectExtent l="0" t="0" r="1270" b="0"/>
                  <wp:docPr id="2026623705" name="Imagen 202662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1752372" cy="2157262"/>
                          </a:xfrm>
                          <a:prstGeom prst="rect">
                            <a:avLst/>
                          </a:prstGeom>
                          <a:noFill/>
                        </pic:spPr>
                      </pic:pic>
                    </a:graphicData>
                  </a:graphic>
                </wp:inline>
              </w:drawing>
            </w:r>
          </w:p>
        </w:tc>
      </w:tr>
      <w:tr w:rsidR="00AB2ED5" w:rsidRPr="00B11138" w:rsidTr="007F2707">
        <w:tc>
          <w:tcPr>
            <w:tcW w:w="4772" w:type="dxa"/>
          </w:tcPr>
          <w:p w:rsidR="00AB2ED5" w:rsidRPr="00B11138" w:rsidRDefault="00AB2ED5" w:rsidP="007F2707">
            <w:pPr>
              <w:pStyle w:val="Textoindependiente"/>
              <w:jc w:val="center"/>
              <w:rPr>
                <w:rFonts w:ascii="Arial" w:hAnsi="Arial" w:cs="Arial"/>
                <w:b w:val="0"/>
                <w:i/>
                <w:sz w:val="20"/>
              </w:rPr>
            </w:pPr>
            <w:r w:rsidRPr="00B11138">
              <w:rPr>
                <w:rFonts w:ascii="Arial" w:hAnsi="Arial" w:cs="Arial"/>
                <w:b w:val="0"/>
                <w:i/>
                <w:sz w:val="20"/>
              </w:rPr>
              <w:t>Figura 1 Modelo con impulsores de disco y líneas de referencia para el análisis de velocidades</w:t>
            </w:r>
          </w:p>
        </w:tc>
        <w:tc>
          <w:tcPr>
            <w:tcW w:w="4772" w:type="dxa"/>
          </w:tcPr>
          <w:p w:rsidR="00AB2ED5" w:rsidRPr="00B11138" w:rsidRDefault="00AB2ED5" w:rsidP="007F2707">
            <w:pPr>
              <w:pStyle w:val="Textoindependiente"/>
              <w:jc w:val="center"/>
              <w:rPr>
                <w:rFonts w:ascii="Arial" w:hAnsi="Arial" w:cs="Arial"/>
                <w:b w:val="0"/>
                <w:i/>
                <w:sz w:val="20"/>
              </w:rPr>
            </w:pPr>
            <w:r w:rsidRPr="00B11138">
              <w:rPr>
                <w:rFonts w:ascii="Arial" w:hAnsi="Arial" w:cs="Arial"/>
                <w:b w:val="0"/>
                <w:i/>
                <w:sz w:val="20"/>
              </w:rPr>
              <w:t>Figura 2 Modelo con impulsores de flujo axial (±30°)</w:t>
            </w:r>
          </w:p>
        </w:tc>
      </w:tr>
    </w:tbl>
    <w:p w:rsidR="00AB2ED5" w:rsidRDefault="00AB2ED5" w:rsidP="00AB2ED5">
      <w:pPr>
        <w:pStyle w:val="Textoindependiente"/>
        <w:rPr>
          <w:rFonts w:ascii="Arial" w:hAnsi="Arial" w:cs="Arial"/>
          <w:b w:val="0"/>
          <w:sz w:val="24"/>
          <w:lang w:val="es-MX"/>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1"/>
      </w:tblGrid>
      <w:tr w:rsidR="00AB2ED5" w:rsidRPr="007963B0" w:rsidTr="007F2707">
        <w:trPr>
          <w:trHeight w:val="1885"/>
          <w:jc w:val="center"/>
        </w:trPr>
        <w:tc>
          <w:tcPr>
            <w:tcW w:w="9351" w:type="dxa"/>
            <w:hideMark/>
          </w:tcPr>
          <w:p w:rsidR="00AB2ED5" w:rsidRPr="007963B0" w:rsidRDefault="00AB2ED5" w:rsidP="007F2707">
            <w:pPr>
              <w:pStyle w:val="TextoPrincipalV2"/>
              <w:jc w:val="center"/>
            </w:pPr>
            <w:r>
              <w:rPr>
                <w:noProof/>
                <w:lang w:val="en-US" w:eastAsia="en-US"/>
              </w:rPr>
              <w:drawing>
                <wp:inline distT="0" distB="0" distL="0" distR="0" wp14:anchorId="5E740F5D" wp14:editId="257E57E6">
                  <wp:extent cx="2204425" cy="1800000"/>
                  <wp:effectExtent l="0" t="0" r="5715" b="0"/>
                  <wp:docPr id="2026623706" name="Imagen 202662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2204425" cy="1800000"/>
                          </a:xfrm>
                          <a:prstGeom prst="rect">
                            <a:avLst/>
                          </a:prstGeom>
                          <a:noFill/>
                        </pic:spPr>
                      </pic:pic>
                    </a:graphicData>
                  </a:graphic>
                </wp:inline>
              </w:drawing>
            </w:r>
          </w:p>
        </w:tc>
      </w:tr>
      <w:tr w:rsidR="00AB2ED5" w:rsidRPr="00B11138" w:rsidTr="007F2707">
        <w:trPr>
          <w:trHeight w:val="299"/>
          <w:jc w:val="center"/>
        </w:trPr>
        <w:tc>
          <w:tcPr>
            <w:tcW w:w="9351" w:type="dxa"/>
            <w:hideMark/>
          </w:tcPr>
          <w:p w:rsidR="00AB2ED5" w:rsidRPr="00B11138" w:rsidRDefault="00AB2ED5" w:rsidP="007F2707">
            <w:pPr>
              <w:pStyle w:val="TextoPrincipalV2"/>
              <w:ind w:left="-57"/>
              <w:jc w:val="center"/>
              <w:rPr>
                <w:i/>
                <w:iCs/>
                <w:sz w:val="20"/>
                <w:szCs w:val="20"/>
              </w:rPr>
            </w:pPr>
            <w:r w:rsidRPr="00B11138">
              <w:rPr>
                <w:i/>
                <w:sz w:val="20"/>
                <w:szCs w:val="20"/>
              </w:rPr>
              <w:t xml:space="preserve">Figura </w:t>
            </w:r>
            <w:r>
              <w:rPr>
                <w:i/>
                <w:sz w:val="20"/>
                <w:szCs w:val="20"/>
              </w:rPr>
              <w:t>3</w:t>
            </w:r>
            <w:r w:rsidRPr="00B11138">
              <w:rPr>
                <w:i/>
                <w:sz w:val="20"/>
                <w:szCs w:val="20"/>
              </w:rPr>
              <w:t xml:space="preserve"> </w:t>
            </w:r>
            <w:r>
              <w:rPr>
                <w:i/>
                <w:sz w:val="20"/>
                <w:szCs w:val="20"/>
              </w:rPr>
              <w:t>Detalle de los impulsores de flujo axial</w:t>
            </w:r>
          </w:p>
        </w:tc>
      </w:tr>
    </w:tbl>
    <w:p w:rsidR="00AB2ED5" w:rsidRDefault="00AB2ED5" w:rsidP="00AB2ED5">
      <w:pPr>
        <w:pStyle w:val="TextoPrincipalV2"/>
      </w:pPr>
    </w:p>
    <w:p w:rsidR="00AB2ED5" w:rsidRDefault="00AB2ED5" w:rsidP="00AB2ED5">
      <w:pPr>
        <w:pStyle w:val="TextoPrincipalV2"/>
      </w:pPr>
      <w:r w:rsidRPr="00E44579">
        <w:t>Los impulsores de flujo axial que se ubican en la parte inferior y superior del recipiente, tienen tres álabes con un ángulo de inclinación de +30° y -30°, respectivamente (Fig. 2 y 3). Lo anterior tiene por objeto que, al girar el eje en sentido horario, el impulsor de abajo expulse al fluido hacia el fondo del tanque, y el impulsor de arriba proyecte al fluido hacia la tapa del depósito; mejorando con esto el movimiento del fluido en el contenedor. La sustancia empleada en la simulación es agua y se considera como un fluido viscoso e incompresible de propiedades físicas constantes</w:t>
      </w:r>
      <w:r>
        <w:t>.</w:t>
      </w:r>
    </w:p>
    <w:p w:rsidR="00AB2ED5" w:rsidRPr="00471353" w:rsidRDefault="00AB2ED5" w:rsidP="00AB2ED5">
      <w:pPr>
        <w:pStyle w:val="TextoPrincipalV2"/>
      </w:pPr>
    </w:p>
    <w:p w:rsidR="00AB2ED5" w:rsidRDefault="00AB2ED5" w:rsidP="00390F7C">
      <w:pPr>
        <w:pStyle w:val="11Ttulo"/>
        <w:numPr>
          <w:ilvl w:val="1"/>
          <w:numId w:val="46"/>
        </w:numPr>
      </w:pPr>
      <w:r>
        <w:t>Ecuaciones gobernantes</w:t>
      </w:r>
    </w:p>
    <w:p w:rsidR="00AB2ED5" w:rsidRPr="00FD51BF" w:rsidRDefault="00AB2ED5" w:rsidP="00AB2ED5">
      <w:pPr>
        <w:pStyle w:val="TextoPrincipalV2"/>
      </w:pPr>
      <w:r w:rsidRPr="007963B0">
        <w:t>Las ecuaciones que definen el flujo de un fluido newtoniano, viscoso, incompresible, en estado permanente, en el interior de un recipiente cilíndrico, son las ecuaciones de continuidad y momentum en coordenadas cilíndricas [</w:t>
      </w:r>
      <w:r>
        <w:t>9</w:t>
      </w:r>
      <w:r w:rsidRPr="007963B0">
        <w:t>] y [1</w:t>
      </w:r>
      <w:r>
        <w:t>0</w:t>
      </w:r>
      <w:r w:rsidRPr="007963B0">
        <w:t>].</w:t>
      </w:r>
    </w:p>
    <w:p w:rsidR="00AB2ED5" w:rsidRDefault="00AB2ED5" w:rsidP="00AB2ED5">
      <w:pPr>
        <w:pStyle w:val="TextoPrincipalV2"/>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5"/>
        <w:gridCol w:w="509"/>
      </w:tblGrid>
      <w:tr w:rsidR="00AB2ED5" w:rsidRPr="00931434" w:rsidTr="007F2707">
        <w:trPr>
          <w:jc w:val="center"/>
        </w:trPr>
        <w:tc>
          <w:tcPr>
            <w:tcW w:w="9067" w:type="dxa"/>
            <w:hideMark/>
          </w:tcPr>
          <w:p w:rsidR="00AB2ED5" w:rsidRPr="00931434" w:rsidRDefault="001345E4" w:rsidP="007F2707">
            <w:pPr>
              <w:spacing w:after="160" w:line="259" w:lineRule="auto"/>
              <w:rPr>
                <w:rFonts w:ascii="Arial" w:hAnsi="Arial" w:cs="Arial"/>
                <w:iCs/>
              </w:rPr>
            </w:pPr>
            <m:oMathPara>
              <m:oMath>
                <m:f>
                  <m:fPr>
                    <m:ctrlPr>
                      <w:rPr>
                        <w:rFonts w:ascii="Cambria Math" w:hAnsi="Cambria Math" w:cs="Arial"/>
                        <w:i/>
                        <w:iCs/>
                      </w:rPr>
                    </m:ctrlPr>
                  </m:fPr>
                  <m:num>
                    <m:r>
                      <w:rPr>
                        <w:rFonts w:ascii="Cambria Math" w:hAnsi="Cambria Math" w:cs="Arial"/>
                      </w:rPr>
                      <m:t>1</m:t>
                    </m:r>
                  </m:num>
                  <m:den>
                    <m:r>
                      <w:rPr>
                        <w:rFonts w:ascii="Cambria Math" w:hAnsi="Cambria Math" w:cs="Arial"/>
                      </w:rPr>
                      <m:t>r</m:t>
                    </m:r>
                  </m:den>
                </m:f>
                <m:f>
                  <m:fPr>
                    <m:ctrlPr>
                      <w:rPr>
                        <w:rFonts w:ascii="Cambria Math" w:hAnsi="Cambria Math" w:cs="Arial"/>
                        <w:i/>
                        <w:iCs/>
                      </w:rPr>
                    </m:ctrlPr>
                  </m:fPr>
                  <m:num>
                    <m:r>
                      <w:rPr>
                        <w:rFonts w:ascii="Cambria Math" w:hAnsi="Cambria Math" w:cs="Arial"/>
                      </w:rPr>
                      <m:t>∂</m:t>
                    </m:r>
                  </m:num>
                  <m:den>
                    <m:r>
                      <w:rPr>
                        <w:rFonts w:ascii="Cambria Math" w:hAnsi="Cambria Math" w:cs="Arial"/>
                      </w:rPr>
                      <m:t>∂r</m:t>
                    </m:r>
                  </m:den>
                </m:f>
                <m:d>
                  <m:dPr>
                    <m:ctrlPr>
                      <w:rPr>
                        <w:rFonts w:ascii="Cambria Math" w:hAnsi="Cambria Math" w:cs="Arial"/>
                        <w:i/>
                        <w:iCs/>
                      </w:rPr>
                    </m:ctrlPr>
                  </m:dPr>
                  <m:e>
                    <m:r>
                      <w:rPr>
                        <w:rFonts w:ascii="Cambria Math" w:hAnsi="Cambria Math" w:cs="Arial"/>
                      </w:rPr>
                      <m:t>ru</m:t>
                    </m:r>
                  </m:e>
                </m:d>
                <m:r>
                  <w:rPr>
                    <w:rFonts w:ascii="Cambria Math" w:hAnsi="Cambria Math" w:cs="Arial"/>
                  </w:rPr>
                  <m:t>+</m:t>
                </m:r>
                <m:f>
                  <m:fPr>
                    <m:ctrlPr>
                      <w:rPr>
                        <w:rFonts w:ascii="Cambria Math" w:hAnsi="Cambria Math" w:cs="Arial"/>
                        <w:i/>
                        <w:iCs/>
                      </w:rPr>
                    </m:ctrlPr>
                  </m:fPr>
                  <m:num>
                    <m:r>
                      <w:rPr>
                        <w:rFonts w:ascii="Cambria Math" w:hAnsi="Cambria Math" w:cs="Arial"/>
                      </w:rPr>
                      <m:t>1</m:t>
                    </m:r>
                  </m:num>
                  <m:den>
                    <m:r>
                      <w:rPr>
                        <w:rFonts w:ascii="Cambria Math" w:hAnsi="Cambria Math" w:cs="Arial"/>
                      </w:rPr>
                      <m:t>r</m:t>
                    </m:r>
                  </m:den>
                </m:f>
                <m:f>
                  <m:fPr>
                    <m:ctrlPr>
                      <w:rPr>
                        <w:rFonts w:ascii="Cambria Math" w:hAnsi="Cambria Math" w:cs="Arial"/>
                        <w:i/>
                        <w:iCs/>
                      </w:rPr>
                    </m:ctrlPr>
                  </m:fPr>
                  <m:num>
                    <m:r>
                      <w:rPr>
                        <w:rFonts w:ascii="Cambria Math" w:hAnsi="Cambria Math" w:cs="Arial"/>
                      </w:rPr>
                      <m:t>∂v</m:t>
                    </m:r>
                  </m:num>
                  <m:den>
                    <m:r>
                      <w:rPr>
                        <w:rFonts w:ascii="Cambria Math" w:hAnsi="Cambria Math" w:cs="Arial"/>
                      </w:rPr>
                      <m:t>∂θ</m:t>
                    </m:r>
                  </m:den>
                </m:f>
                <m:r>
                  <w:rPr>
                    <w:rFonts w:ascii="Cambria Math" w:hAnsi="Cambria Math" w:cs="Arial"/>
                  </w:rPr>
                  <m:t>+</m:t>
                </m:r>
                <m:f>
                  <m:fPr>
                    <m:ctrlPr>
                      <w:rPr>
                        <w:rFonts w:ascii="Cambria Math" w:hAnsi="Cambria Math" w:cs="Arial"/>
                        <w:i/>
                        <w:iCs/>
                      </w:rPr>
                    </m:ctrlPr>
                  </m:fPr>
                  <m:num>
                    <m:r>
                      <w:rPr>
                        <w:rFonts w:ascii="Cambria Math" w:hAnsi="Cambria Math" w:cs="Arial"/>
                      </w:rPr>
                      <m:t>∂w</m:t>
                    </m:r>
                  </m:num>
                  <m:den>
                    <m:r>
                      <w:rPr>
                        <w:rFonts w:ascii="Cambria Math" w:hAnsi="Cambria Math" w:cs="Arial"/>
                      </w:rPr>
                      <m:t>∂z</m:t>
                    </m:r>
                  </m:den>
                </m:f>
                <m:r>
                  <w:rPr>
                    <w:rFonts w:ascii="Cambria Math" w:hAnsi="Cambria Math" w:cs="Arial"/>
                  </w:rPr>
                  <m:t>=0</m:t>
                </m:r>
              </m:oMath>
            </m:oMathPara>
          </w:p>
        </w:tc>
        <w:tc>
          <w:tcPr>
            <w:tcW w:w="510" w:type="dxa"/>
            <w:hideMark/>
          </w:tcPr>
          <w:p w:rsidR="00AB2ED5" w:rsidRPr="00931434" w:rsidRDefault="00AB2ED5" w:rsidP="007F2707">
            <w:pPr>
              <w:spacing w:after="160" w:line="259" w:lineRule="auto"/>
              <w:rPr>
                <w:rFonts w:ascii="Arial" w:hAnsi="Arial" w:cs="Arial"/>
              </w:rPr>
            </w:pPr>
            <w:r w:rsidRPr="00931434">
              <w:rPr>
                <w:rFonts w:ascii="Arial" w:hAnsi="Arial" w:cs="Arial"/>
              </w:rPr>
              <w:t>(1)</w:t>
            </w:r>
          </w:p>
        </w:tc>
      </w:tr>
    </w:tbl>
    <w:p w:rsidR="00AB2ED5" w:rsidRPr="00931434" w:rsidRDefault="00AB2ED5" w:rsidP="00AB2ED5">
      <w:pPr>
        <w:pStyle w:val="TextoPrincipalV2"/>
      </w:pPr>
    </w:p>
    <w:tbl>
      <w:tblPr>
        <w:tblStyle w:val="Tablaconcuadrcula"/>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567"/>
      </w:tblGrid>
      <w:tr w:rsidR="00AB2ED5" w:rsidRPr="00931434" w:rsidTr="007F2707">
        <w:tc>
          <w:tcPr>
            <w:tcW w:w="9039" w:type="dxa"/>
            <w:hideMark/>
          </w:tcPr>
          <w:p w:rsidR="00AB2ED5" w:rsidRPr="00326E7A" w:rsidRDefault="00AB2ED5" w:rsidP="007F2707">
            <w:pPr>
              <w:spacing w:after="160" w:line="259" w:lineRule="auto"/>
              <w:rPr>
                <w:rFonts w:ascii="Cambria Math" w:hAnsi="Arial" w:cs="Arial"/>
                <w:iCs/>
              </w:rPr>
            </w:pPr>
            <m:oMathPara>
              <m:oMath>
                <m:r>
                  <m:rPr>
                    <m:nor/>
                  </m:rPr>
                  <w:rPr>
                    <w:rFonts w:ascii="Arial" w:hAnsi="Arial" w:cs="Arial"/>
                    <w:iCs/>
                  </w:rPr>
                  <w:lastRenderedPageBreak/>
                  <m:t xml:space="preserve"> </m:t>
                </m:r>
                <m:r>
                  <m:rPr>
                    <m:sty m:val="p"/>
                  </m:rPr>
                  <w:rPr>
                    <w:rFonts w:ascii="Cambria Math" w:hAnsi="Arial" w:cs="Arial"/>
                  </w:rPr>
                  <m:t>u</m:t>
                </m:r>
                <m:f>
                  <m:fPr>
                    <m:ctrlPr>
                      <w:rPr>
                        <w:rFonts w:ascii="Cambria Math" w:hAnsi="Arial" w:cs="Arial"/>
                        <w:iCs/>
                      </w:rPr>
                    </m:ctrlPr>
                  </m:fPr>
                  <m:num>
                    <m:r>
                      <m:rPr>
                        <m:sty m:val="p"/>
                      </m:rPr>
                      <w:rPr>
                        <w:rFonts w:ascii="Cambria Math" w:hAnsi="Arial" w:cs="Arial"/>
                      </w:rPr>
                      <m:t>∂</m:t>
                    </m:r>
                    <m:r>
                      <m:rPr>
                        <m:sty m:val="p"/>
                      </m:rPr>
                      <w:rPr>
                        <w:rFonts w:ascii="Cambria Math" w:hAnsi="Arial" w:cs="Arial"/>
                      </w:rPr>
                      <m:t>u</m:t>
                    </m:r>
                  </m:num>
                  <m:den>
                    <m:r>
                      <m:rPr>
                        <m:sty m:val="p"/>
                      </m:rPr>
                      <w:rPr>
                        <w:rFonts w:ascii="Cambria Math" w:hAnsi="Arial" w:cs="Arial"/>
                      </w:rPr>
                      <m:t>∂</m:t>
                    </m:r>
                    <m:r>
                      <m:rPr>
                        <m:sty m:val="p"/>
                      </m:rPr>
                      <w:rPr>
                        <w:rFonts w:ascii="Cambria Math" w:hAnsi="Arial" w:cs="Arial"/>
                      </w:rPr>
                      <m:t>r</m:t>
                    </m:r>
                  </m:den>
                </m:f>
                <m:r>
                  <m:rPr>
                    <m:sty m:val="p"/>
                  </m:rPr>
                  <w:rPr>
                    <w:rFonts w:ascii="Cambria Math" w:hAnsi="Arial" w:cs="Arial"/>
                  </w:rPr>
                  <m:t>+</m:t>
                </m:r>
                <m:f>
                  <m:fPr>
                    <m:ctrlPr>
                      <w:rPr>
                        <w:rFonts w:ascii="Cambria Math" w:hAnsi="Arial" w:cs="Arial"/>
                        <w:iCs/>
                      </w:rPr>
                    </m:ctrlPr>
                  </m:fPr>
                  <m:num>
                    <m:r>
                      <m:rPr>
                        <m:sty m:val="p"/>
                      </m:rPr>
                      <w:rPr>
                        <w:rFonts w:ascii="Cambria Math" w:hAnsi="Arial" w:cs="Arial"/>
                      </w:rPr>
                      <m:t>v</m:t>
                    </m:r>
                  </m:num>
                  <m:den>
                    <m:r>
                      <m:rPr>
                        <m:sty m:val="p"/>
                      </m:rPr>
                      <w:rPr>
                        <w:rFonts w:ascii="Cambria Math" w:hAnsi="Arial" w:cs="Arial"/>
                      </w:rPr>
                      <m:t>r</m:t>
                    </m:r>
                  </m:den>
                </m:f>
                <m:f>
                  <m:fPr>
                    <m:ctrlPr>
                      <w:rPr>
                        <w:rFonts w:ascii="Cambria Math" w:hAnsi="Arial" w:cs="Arial"/>
                        <w:iCs/>
                      </w:rPr>
                    </m:ctrlPr>
                  </m:fPr>
                  <m:num>
                    <m:r>
                      <m:rPr>
                        <m:sty m:val="p"/>
                      </m:rPr>
                      <w:rPr>
                        <w:rFonts w:ascii="Cambria Math" w:hAnsi="Arial" w:cs="Arial"/>
                      </w:rPr>
                      <m:t>∂</m:t>
                    </m:r>
                    <m:r>
                      <m:rPr>
                        <m:sty m:val="p"/>
                      </m:rPr>
                      <w:rPr>
                        <w:rFonts w:ascii="Cambria Math" w:hAnsi="Arial" w:cs="Arial"/>
                      </w:rPr>
                      <m:t>u</m:t>
                    </m:r>
                  </m:num>
                  <m:den>
                    <m:r>
                      <m:rPr>
                        <m:sty m:val="p"/>
                      </m:rPr>
                      <w:rPr>
                        <w:rFonts w:ascii="Cambria Math" w:hAnsi="Arial" w:cs="Arial"/>
                      </w:rPr>
                      <m:t>∂θ</m:t>
                    </m:r>
                  </m:den>
                </m:f>
                <m:r>
                  <m:rPr>
                    <m:sty m:val="p"/>
                  </m:rPr>
                  <w:rPr>
                    <w:rFonts w:ascii="Cambria Math" w:hAnsi="Arial" w:cs="Arial"/>
                  </w:rPr>
                  <m:t>-</m:t>
                </m:r>
                <m:f>
                  <m:fPr>
                    <m:ctrlPr>
                      <w:rPr>
                        <w:rFonts w:ascii="Cambria Math" w:hAnsi="Arial" w:cs="Arial"/>
                        <w:iCs/>
                      </w:rPr>
                    </m:ctrlPr>
                  </m:fPr>
                  <m:num>
                    <m:sSup>
                      <m:sSupPr>
                        <m:ctrlPr>
                          <w:rPr>
                            <w:rFonts w:ascii="Cambria Math" w:hAnsi="Arial" w:cs="Arial"/>
                            <w:iCs/>
                          </w:rPr>
                        </m:ctrlPr>
                      </m:sSupPr>
                      <m:e>
                        <m:r>
                          <m:rPr>
                            <m:sty m:val="p"/>
                          </m:rPr>
                          <w:rPr>
                            <w:rFonts w:ascii="Cambria Math" w:hAnsi="Arial" w:cs="Arial"/>
                          </w:rPr>
                          <m:t>v</m:t>
                        </m:r>
                      </m:e>
                      <m:sup>
                        <m:r>
                          <m:rPr>
                            <m:sty m:val="p"/>
                          </m:rPr>
                          <w:rPr>
                            <w:rFonts w:ascii="Cambria Math" w:hAnsi="Arial" w:cs="Arial"/>
                          </w:rPr>
                          <m:t>2</m:t>
                        </m:r>
                      </m:sup>
                    </m:sSup>
                  </m:num>
                  <m:den>
                    <m:r>
                      <m:rPr>
                        <m:sty m:val="p"/>
                      </m:rPr>
                      <w:rPr>
                        <w:rFonts w:ascii="Cambria Math" w:hAnsi="Arial" w:cs="Arial"/>
                      </w:rPr>
                      <m:t>r</m:t>
                    </m:r>
                  </m:den>
                </m:f>
                <m:r>
                  <m:rPr>
                    <m:sty m:val="p"/>
                  </m:rPr>
                  <w:rPr>
                    <w:rFonts w:ascii="Cambria Math" w:hAnsi="Arial" w:cs="Arial"/>
                  </w:rPr>
                  <m:t>+w</m:t>
                </m:r>
                <m:f>
                  <m:fPr>
                    <m:ctrlPr>
                      <w:rPr>
                        <w:rFonts w:ascii="Cambria Math" w:hAnsi="Arial" w:cs="Arial"/>
                        <w:iCs/>
                      </w:rPr>
                    </m:ctrlPr>
                  </m:fPr>
                  <m:num>
                    <m:r>
                      <m:rPr>
                        <m:sty m:val="p"/>
                      </m:rPr>
                      <w:rPr>
                        <w:rFonts w:ascii="Cambria Math" w:hAnsi="Arial" w:cs="Arial"/>
                      </w:rPr>
                      <m:t>∂</m:t>
                    </m:r>
                    <m:r>
                      <m:rPr>
                        <m:sty m:val="p"/>
                      </m:rPr>
                      <w:rPr>
                        <w:rFonts w:ascii="Cambria Math" w:hAnsi="Arial" w:cs="Arial"/>
                      </w:rPr>
                      <m:t>u</m:t>
                    </m:r>
                  </m:num>
                  <m:den>
                    <m:r>
                      <m:rPr>
                        <m:sty m:val="p"/>
                      </m:rPr>
                      <w:rPr>
                        <w:rFonts w:ascii="Cambria Math" w:hAnsi="Arial" w:cs="Arial"/>
                      </w:rPr>
                      <m:t>∂</m:t>
                    </m:r>
                    <m:r>
                      <m:rPr>
                        <m:sty m:val="p"/>
                      </m:rPr>
                      <w:rPr>
                        <w:rFonts w:ascii="Cambria Math" w:hAnsi="Arial" w:cs="Arial"/>
                      </w:rPr>
                      <m:t>z</m:t>
                    </m:r>
                  </m:den>
                </m:f>
                <m:r>
                  <m:rPr>
                    <m:sty m:val="p"/>
                  </m:rPr>
                  <w:rPr>
                    <w:rFonts w:ascii="Cambria Math" w:hAnsi="Arial" w:cs="Arial"/>
                  </w:rPr>
                  <m:t>=</m:t>
                </m:r>
                <m:r>
                  <m:rPr>
                    <m:sty m:val="p"/>
                  </m:rPr>
                  <w:rPr>
                    <w:rFonts w:ascii="Cambria Math" w:hAnsi="Arial" w:cs="Arial"/>
                  </w:rPr>
                  <m:t>-</m:t>
                </m:r>
                <m:f>
                  <m:fPr>
                    <m:ctrlPr>
                      <w:rPr>
                        <w:rFonts w:ascii="Cambria Math" w:hAnsi="Arial" w:cs="Arial"/>
                        <w:iCs/>
                      </w:rPr>
                    </m:ctrlPr>
                  </m:fPr>
                  <m:num>
                    <m:r>
                      <m:rPr>
                        <m:sty m:val="p"/>
                      </m:rPr>
                      <w:rPr>
                        <w:rFonts w:ascii="Cambria Math" w:hAnsi="Arial" w:cs="Arial"/>
                      </w:rPr>
                      <m:t>1</m:t>
                    </m:r>
                  </m:num>
                  <m:den>
                    <m:r>
                      <m:rPr>
                        <m:sty m:val="p"/>
                      </m:rPr>
                      <w:rPr>
                        <w:rFonts w:ascii="Cambria Math" w:hAnsi="Arial" w:cs="Arial"/>
                      </w:rPr>
                      <m:t>ρ</m:t>
                    </m:r>
                  </m:den>
                </m:f>
                <m:f>
                  <m:fPr>
                    <m:ctrlPr>
                      <w:rPr>
                        <w:rFonts w:ascii="Cambria Math" w:hAnsi="Arial" w:cs="Arial"/>
                        <w:iCs/>
                      </w:rPr>
                    </m:ctrlPr>
                  </m:fPr>
                  <m:num>
                    <m:r>
                      <m:rPr>
                        <m:sty m:val="p"/>
                      </m:rPr>
                      <w:rPr>
                        <w:rFonts w:ascii="Cambria Math" w:hAnsi="Arial" w:cs="Arial"/>
                      </w:rPr>
                      <m:t>∂</m:t>
                    </m:r>
                    <m:r>
                      <m:rPr>
                        <m:sty m:val="p"/>
                      </m:rPr>
                      <w:rPr>
                        <w:rFonts w:ascii="Cambria Math" w:hAnsi="Arial" w:cs="Arial"/>
                      </w:rPr>
                      <m:t>P</m:t>
                    </m:r>
                  </m:num>
                  <m:den>
                    <m:r>
                      <m:rPr>
                        <m:sty m:val="p"/>
                      </m:rPr>
                      <w:rPr>
                        <w:rFonts w:ascii="Cambria Math" w:hAnsi="Arial" w:cs="Arial"/>
                      </w:rPr>
                      <m:t>∂</m:t>
                    </m:r>
                    <m:r>
                      <m:rPr>
                        <m:sty m:val="p"/>
                      </m:rPr>
                      <w:rPr>
                        <w:rFonts w:ascii="Cambria Math" w:hAnsi="Arial" w:cs="Arial"/>
                      </w:rPr>
                      <m:t>r</m:t>
                    </m:r>
                  </m:den>
                </m:f>
                <m:r>
                  <m:rPr>
                    <m:sty m:val="p"/>
                  </m:rPr>
                  <w:rPr>
                    <w:rFonts w:ascii="Cambria Math" w:hAnsi="Cambria Math"/>
                  </w:rPr>
                  <m:t>+ν</m:t>
                </m:r>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m:t>
                        </m:r>
                      </m:e>
                      <m:sup>
                        <m:r>
                          <m:rPr>
                            <m:sty m:val="p"/>
                          </m:rPr>
                          <w:rPr>
                            <w:rFonts w:ascii="Cambria Math" w:hAnsi="Cambria Math"/>
                          </w:rPr>
                          <m:t>2</m:t>
                        </m:r>
                      </m:sup>
                    </m:sSup>
                    <m:r>
                      <m:rPr>
                        <m:sty m:val="p"/>
                      </m:rPr>
                      <w:rPr>
                        <w:rFonts w:ascii="Cambria Math" w:hAnsi="Cambria Math"/>
                      </w:rPr>
                      <m:t>u-</m:t>
                    </m:r>
                    <m:f>
                      <m:fPr>
                        <m:ctrlPr>
                          <w:rPr>
                            <w:rFonts w:ascii="Cambria Math" w:hAnsi="Cambria Math"/>
                          </w:rPr>
                        </m:ctrlPr>
                      </m:fPr>
                      <m:num>
                        <m:r>
                          <m:rPr>
                            <m:sty m:val="p"/>
                          </m:rPr>
                          <w:rPr>
                            <w:rFonts w:ascii="Cambria Math" w:hAnsi="Cambria Math"/>
                          </w:rPr>
                          <m:t>u</m:t>
                        </m:r>
                      </m:num>
                      <m:den>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den>
                    </m:f>
                    <m:r>
                      <m:rPr>
                        <m:sty m:val="p"/>
                      </m:rPr>
                      <w:rPr>
                        <w:rFonts w:ascii="Cambria Math" w:hAnsi="Cambria Math"/>
                      </w:rPr>
                      <m:t>-</m:t>
                    </m:r>
                    <m:f>
                      <m:fPr>
                        <m:ctrlPr>
                          <w:rPr>
                            <w:rFonts w:ascii="Cambria Math" w:hAnsi="Cambria Math"/>
                          </w:rPr>
                        </m:ctrlPr>
                      </m:fPr>
                      <m:num>
                        <m:r>
                          <m:rPr>
                            <m:sty m:val="p"/>
                          </m:rPr>
                          <w:rPr>
                            <w:rFonts w:ascii="Cambria Math" w:hAnsi="Cambria Math"/>
                          </w:rPr>
                          <m:t>2</m:t>
                        </m:r>
                      </m:num>
                      <m:den>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den>
                    </m:f>
                    <m:f>
                      <m:fPr>
                        <m:ctrlPr>
                          <w:rPr>
                            <w:rFonts w:ascii="Cambria Math" w:hAnsi="Cambria Math"/>
                          </w:rPr>
                        </m:ctrlPr>
                      </m:fPr>
                      <m:num>
                        <m:r>
                          <m:rPr>
                            <m:sty m:val="p"/>
                          </m:rPr>
                          <w:rPr>
                            <w:rFonts w:ascii="Cambria Math" w:hAnsi="Cambria Math"/>
                          </w:rPr>
                          <m:t>∂v</m:t>
                        </m:r>
                      </m:num>
                      <m:den>
                        <m:r>
                          <m:rPr>
                            <m:sty m:val="p"/>
                          </m:rPr>
                          <w:rPr>
                            <w:rFonts w:ascii="Cambria Math" w:hAnsi="Cambria Math"/>
                          </w:rPr>
                          <m:t>∂θ</m:t>
                        </m:r>
                      </m:den>
                    </m:f>
                  </m:e>
                </m:d>
              </m:oMath>
            </m:oMathPara>
          </w:p>
        </w:tc>
        <w:tc>
          <w:tcPr>
            <w:tcW w:w="567" w:type="dxa"/>
            <w:hideMark/>
          </w:tcPr>
          <w:p w:rsidR="00AB2ED5" w:rsidRPr="00931434" w:rsidRDefault="00AB2ED5" w:rsidP="007F2707">
            <w:pPr>
              <w:spacing w:after="160" w:line="259" w:lineRule="auto"/>
              <w:rPr>
                <w:rFonts w:ascii="Arial" w:hAnsi="Arial" w:cs="Arial"/>
              </w:rPr>
            </w:pPr>
            <w:r w:rsidRPr="00931434">
              <w:rPr>
                <w:rFonts w:ascii="Arial" w:hAnsi="Arial" w:cs="Arial"/>
              </w:rPr>
              <w:t>(2)</w:t>
            </w:r>
          </w:p>
        </w:tc>
      </w:tr>
    </w:tbl>
    <w:p w:rsidR="00AB2ED5" w:rsidRPr="00931434" w:rsidRDefault="00AB2ED5" w:rsidP="00AB2ED5">
      <w:pPr>
        <w:pStyle w:val="TextoPrincipalV2"/>
      </w:pPr>
    </w:p>
    <w:tbl>
      <w:tblPr>
        <w:tblStyle w:val="Tablaconcuadrcula"/>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567"/>
      </w:tblGrid>
      <w:tr w:rsidR="00AB2ED5" w:rsidRPr="00931434" w:rsidTr="007F2707">
        <w:tc>
          <w:tcPr>
            <w:tcW w:w="9039" w:type="dxa"/>
            <w:hideMark/>
          </w:tcPr>
          <w:p w:rsidR="00AB2ED5" w:rsidRPr="0055227E" w:rsidRDefault="00AB2ED5" w:rsidP="007F2707">
            <w:pPr>
              <w:spacing w:after="160" w:line="259" w:lineRule="auto"/>
              <w:rPr>
                <w:rFonts w:ascii="Cambria Math" w:hAnsi="Cambria Math" w:cs="Arial"/>
                <w:iCs/>
              </w:rPr>
            </w:pPr>
            <m:oMathPara>
              <m:oMath>
                <m:r>
                  <m:rPr>
                    <m:sty m:val="p"/>
                  </m:rPr>
                  <w:rPr>
                    <w:rFonts w:ascii="Cambria Math" w:hAnsi="Cambria Math" w:cs="Arial"/>
                  </w:rPr>
                  <m:t>u</m:t>
                </m:r>
                <m:f>
                  <m:fPr>
                    <m:ctrlPr>
                      <w:rPr>
                        <w:rFonts w:ascii="Cambria Math" w:hAnsi="Cambria Math" w:cs="Arial"/>
                        <w:iCs/>
                      </w:rPr>
                    </m:ctrlPr>
                  </m:fPr>
                  <m:num>
                    <m:r>
                      <m:rPr>
                        <m:sty m:val="p"/>
                      </m:rPr>
                      <w:rPr>
                        <w:rFonts w:ascii="Cambria Math" w:hAnsi="Cambria Math" w:cs="Arial"/>
                      </w:rPr>
                      <m:t>∂v</m:t>
                    </m:r>
                  </m:num>
                  <m:den>
                    <m:r>
                      <m:rPr>
                        <m:sty m:val="p"/>
                      </m:rPr>
                      <w:rPr>
                        <w:rFonts w:ascii="Cambria Math" w:hAnsi="Cambria Math" w:cs="Arial"/>
                      </w:rPr>
                      <m:t>∂r</m:t>
                    </m:r>
                  </m:den>
                </m:f>
                <m:r>
                  <m:rPr>
                    <m:sty m:val="p"/>
                  </m:rPr>
                  <w:rPr>
                    <w:rFonts w:ascii="Cambria Math" w:hAnsi="Cambria Math" w:cs="Arial"/>
                  </w:rPr>
                  <m:t>+</m:t>
                </m:r>
                <m:f>
                  <m:fPr>
                    <m:ctrlPr>
                      <w:rPr>
                        <w:rFonts w:ascii="Cambria Math" w:hAnsi="Cambria Math" w:cs="Arial"/>
                        <w:iCs/>
                      </w:rPr>
                    </m:ctrlPr>
                  </m:fPr>
                  <m:num>
                    <m:r>
                      <m:rPr>
                        <m:sty m:val="p"/>
                      </m:rPr>
                      <w:rPr>
                        <w:rFonts w:ascii="Cambria Math" w:hAnsi="Cambria Math" w:cs="Arial"/>
                      </w:rPr>
                      <m:t>v</m:t>
                    </m:r>
                  </m:num>
                  <m:den>
                    <m:r>
                      <m:rPr>
                        <m:sty m:val="p"/>
                      </m:rPr>
                      <w:rPr>
                        <w:rFonts w:ascii="Cambria Math" w:hAnsi="Cambria Math" w:cs="Arial"/>
                      </w:rPr>
                      <m:t>r</m:t>
                    </m:r>
                  </m:den>
                </m:f>
                <m:f>
                  <m:fPr>
                    <m:ctrlPr>
                      <w:rPr>
                        <w:rFonts w:ascii="Cambria Math" w:hAnsi="Cambria Math" w:cs="Arial"/>
                        <w:iCs/>
                      </w:rPr>
                    </m:ctrlPr>
                  </m:fPr>
                  <m:num>
                    <m:r>
                      <m:rPr>
                        <m:sty m:val="p"/>
                      </m:rPr>
                      <w:rPr>
                        <w:rFonts w:ascii="Cambria Math" w:hAnsi="Cambria Math" w:cs="Arial"/>
                      </w:rPr>
                      <m:t>∂v</m:t>
                    </m:r>
                  </m:num>
                  <m:den>
                    <m:r>
                      <m:rPr>
                        <m:sty m:val="p"/>
                      </m:rPr>
                      <w:rPr>
                        <w:rFonts w:ascii="Cambria Math" w:hAnsi="Cambria Math" w:cs="Arial"/>
                      </w:rPr>
                      <m:t>∂θ</m:t>
                    </m:r>
                  </m:den>
                </m:f>
                <m:r>
                  <m:rPr>
                    <m:sty m:val="p"/>
                  </m:rPr>
                  <w:rPr>
                    <w:rFonts w:ascii="Cambria Math" w:hAnsi="Cambria Math" w:cs="Arial"/>
                  </w:rPr>
                  <m:t>-</m:t>
                </m:r>
                <m:f>
                  <m:fPr>
                    <m:ctrlPr>
                      <w:rPr>
                        <w:rFonts w:ascii="Cambria Math" w:hAnsi="Cambria Math" w:cs="Arial"/>
                        <w:iCs/>
                      </w:rPr>
                    </m:ctrlPr>
                  </m:fPr>
                  <m:num>
                    <m:r>
                      <m:rPr>
                        <m:sty m:val="p"/>
                      </m:rPr>
                      <w:rPr>
                        <w:rFonts w:ascii="Cambria Math" w:hAnsi="Cambria Math" w:cs="Arial"/>
                      </w:rPr>
                      <m:t>uv</m:t>
                    </m:r>
                  </m:num>
                  <m:den>
                    <m:r>
                      <m:rPr>
                        <m:sty m:val="p"/>
                      </m:rPr>
                      <w:rPr>
                        <w:rFonts w:ascii="Cambria Math" w:hAnsi="Cambria Math" w:cs="Arial"/>
                      </w:rPr>
                      <m:t>r</m:t>
                    </m:r>
                  </m:den>
                </m:f>
                <m:r>
                  <m:rPr>
                    <m:sty m:val="p"/>
                  </m:rPr>
                  <w:rPr>
                    <w:rFonts w:ascii="Cambria Math" w:hAnsi="Cambria Math" w:cs="Arial"/>
                  </w:rPr>
                  <m:t>+w</m:t>
                </m:r>
                <m:f>
                  <m:fPr>
                    <m:ctrlPr>
                      <w:rPr>
                        <w:rFonts w:ascii="Cambria Math" w:hAnsi="Cambria Math" w:cs="Arial"/>
                        <w:iCs/>
                      </w:rPr>
                    </m:ctrlPr>
                  </m:fPr>
                  <m:num>
                    <m:r>
                      <m:rPr>
                        <m:sty m:val="p"/>
                      </m:rPr>
                      <w:rPr>
                        <w:rFonts w:ascii="Cambria Math" w:hAnsi="Cambria Math" w:cs="Arial"/>
                      </w:rPr>
                      <m:t>∂v</m:t>
                    </m:r>
                  </m:num>
                  <m:den>
                    <m:r>
                      <m:rPr>
                        <m:sty m:val="p"/>
                      </m:rPr>
                      <w:rPr>
                        <w:rFonts w:ascii="Cambria Math" w:hAnsi="Cambria Math" w:cs="Arial"/>
                      </w:rPr>
                      <m:t>∂z</m:t>
                    </m:r>
                  </m:den>
                </m:f>
                <m:r>
                  <m:rPr>
                    <m:sty m:val="p"/>
                  </m:rPr>
                  <w:rPr>
                    <w:rFonts w:ascii="Cambria Math" w:hAnsi="Cambria Math" w:cs="Arial"/>
                  </w:rPr>
                  <m:t>=-</m:t>
                </m:r>
                <m:f>
                  <m:fPr>
                    <m:ctrlPr>
                      <w:rPr>
                        <w:rFonts w:ascii="Cambria Math" w:hAnsi="Cambria Math" w:cs="Arial"/>
                        <w:iCs/>
                      </w:rPr>
                    </m:ctrlPr>
                  </m:fPr>
                  <m:num>
                    <m:r>
                      <m:rPr>
                        <m:sty m:val="p"/>
                      </m:rPr>
                      <w:rPr>
                        <w:rFonts w:ascii="Cambria Math" w:hAnsi="Cambria Math" w:cs="Arial"/>
                      </w:rPr>
                      <m:t>1</m:t>
                    </m:r>
                  </m:num>
                  <m:den>
                    <m:r>
                      <m:rPr>
                        <m:sty m:val="p"/>
                      </m:rPr>
                      <w:rPr>
                        <w:rFonts w:ascii="Cambria Math" w:hAnsi="Cambria Math" w:cs="Arial"/>
                      </w:rPr>
                      <m:t>ρr</m:t>
                    </m:r>
                  </m:den>
                </m:f>
                <m:f>
                  <m:fPr>
                    <m:ctrlPr>
                      <w:rPr>
                        <w:rFonts w:ascii="Cambria Math" w:hAnsi="Cambria Math" w:cs="Arial"/>
                        <w:iCs/>
                      </w:rPr>
                    </m:ctrlPr>
                  </m:fPr>
                  <m:num>
                    <m:r>
                      <m:rPr>
                        <m:sty m:val="p"/>
                      </m:rPr>
                      <w:rPr>
                        <w:rFonts w:ascii="Cambria Math" w:hAnsi="Cambria Math" w:cs="Arial"/>
                      </w:rPr>
                      <m:t>∂P</m:t>
                    </m:r>
                  </m:num>
                  <m:den>
                    <m:r>
                      <m:rPr>
                        <m:sty m:val="p"/>
                      </m:rPr>
                      <w:rPr>
                        <w:rFonts w:ascii="Cambria Math" w:hAnsi="Cambria Math" w:cs="Arial"/>
                      </w:rPr>
                      <m:t>∂θ</m:t>
                    </m:r>
                  </m:den>
                </m:f>
                <m:r>
                  <w:rPr>
                    <w:rFonts w:ascii="Cambria Math" w:hAnsi="Cambria Math" w:cs="Arial"/>
                  </w:rPr>
                  <m:t>+ν</m:t>
                </m:r>
                <m:d>
                  <m:dPr>
                    <m:begChr m:val="["/>
                    <m:endChr m:val="]"/>
                    <m:ctrlPr>
                      <w:rPr>
                        <w:rFonts w:ascii="Cambria Math" w:hAnsi="Cambria Math" w:cs="Arial"/>
                        <w:i/>
                        <w:iCs/>
                      </w:rPr>
                    </m:ctrlPr>
                  </m:dPr>
                  <m:e>
                    <m:sSup>
                      <m:sSupPr>
                        <m:ctrlPr>
                          <w:rPr>
                            <w:rFonts w:ascii="Cambria Math" w:hAnsi="Cambria Math" w:cs="Arial"/>
                            <w:i/>
                            <w:iCs/>
                          </w:rPr>
                        </m:ctrlPr>
                      </m:sSupPr>
                      <m:e>
                        <m:r>
                          <w:rPr>
                            <w:rFonts w:ascii="Cambria Math" w:hAnsi="Cambria Math" w:cs="Arial"/>
                          </w:rPr>
                          <m:t>∇</m:t>
                        </m:r>
                      </m:e>
                      <m:sup>
                        <m:r>
                          <w:rPr>
                            <w:rFonts w:ascii="Cambria Math" w:hAnsi="Cambria Math" w:cs="Arial"/>
                          </w:rPr>
                          <m:t>2</m:t>
                        </m:r>
                      </m:sup>
                    </m:sSup>
                    <m:r>
                      <w:rPr>
                        <w:rFonts w:ascii="Cambria Math" w:hAnsi="Cambria Math" w:cs="Arial"/>
                      </w:rPr>
                      <m:t>v-</m:t>
                    </m:r>
                    <m:f>
                      <m:fPr>
                        <m:ctrlPr>
                          <w:rPr>
                            <w:rFonts w:ascii="Cambria Math" w:hAnsi="Cambria Math" w:cs="Arial"/>
                            <w:i/>
                            <w:iCs/>
                          </w:rPr>
                        </m:ctrlPr>
                      </m:fPr>
                      <m:num>
                        <m:r>
                          <w:rPr>
                            <w:rFonts w:ascii="Cambria Math" w:hAnsi="Cambria Math" w:cs="Arial"/>
                          </w:rPr>
                          <m:t>v</m:t>
                        </m:r>
                      </m:num>
                      <m:den>
                        <m:sSup>
                          <m:sSupPr>
                            <m:ctrlPr>
                              <w:rPr>
                                <w:rFonts w:ascii="Cambria Math" w:hAnsi="Cambria Math" w:cs="Arial"/>
                                <w:i/>
                                <w:iCs/>
                              </w:rPr>
                            </m:ctrlPr>
                          </m:sSupPr>
                          <m:e>
                            <m:r>
                              <w:rPr>
                                <w:rFonts w:ascii="Cambria Math" w:hAnsi="Cambria Math" w:cs="Arial"/>
                              </w:rPr>
                              <m:t>r</m:t>
                            </m:r>
                          </m:e>
                          <m:sup>
                            <m:r>
                              <w:rPr>
                                <w:rFonts w:ascii="Cambria Math" w:hAnsi="Cambria Math" w:cs="Arial"/>
                              </w:rPr>
                              <m:t>2</m:t>
                            </m:r>
                          </m:sup>
                        </m:sSup>
                      </m:den>
                    </m:f>
                    <m:r>
                      <w:rPr>
                        <w:rFonts w:ascii="Cambria Math" w:hAnsi="Cambria Math" w:cs="Arial"/>
                      </w:rPr>
                      <m:t>-</m:t>
                    </m:r>
                    <m:f>
                      <m:fPr>
                        <m:ctrlPr>
                          <w:rPr>
                            <w:rFonts w:ascii="Cambria Math" w:hAnsi="Cambria Math" w:cs="Arial"/>
                            <w:i/>
                            <w:iCs/>
                          </w:rPr>
                        </m:ctrlPr>
                      </m:fPr>
                      <m:num>
                        <m:r>
                          <w:rPr>
                            <w:rFonts w:ascii="Cambria Math" w:hAnsi="Cambria Math" w:cs="Arial"/>
                          </w:rPr>
                          <m:t>2</m:t>
                        </m:r>
                      </m:num>
                      <m:den>
                        <m:sSup>
                          <m:sSupPr>
                            <m:ctrlPr>
                              <w:rPr>
                                <w:rFonts w:ascii="Cambria Math" w:hAnsi="Cambria Math" w:cs="Arial"/>
                                <w:i/>
                                <w:iCs/>
                              </w:rPr>
                            </m:ctrlPr>
                          </m:sSupPr>
                          <m:e>
                            <m:r>
                              <w:rPr>
                                <w:rFonts w:ascii="Cambria Math" w:hAnsi="Cambria Math" w:cs="Arial"/>
                              </w:rPr>
                              <m:t>r</m:t>
                            </m:r>
                          </m:e>
                          <m:sup>
                            <m:r>
                              <w:rPr>
                                <w:rFonts w:ascii="Cambria Math" w:hAnsi="Cambria Math" w:cs="Arial"/>
                              </w:rPr>
                              <m:t>2</m:t>
                            </m:r>
                          </m:sup>
                        </m:sSup>
                      </m:den>
                    </m:f>
                    <m:f>
                      <m:fPr>
                        <m:ctrlPr>
                          <w:rPr>
                            <w:rFonts w:ascii="Cambria Math" w:hAnsi="Cambria Math" w:cs="Arial"/>
                            <w:i/>
                            <w:iCs/>
                          </w:rPr>
                        </m:ctrlPr>
                      </m:fPr>
                      <m:num>
                        <m:r>
                          <w:rPr>
                            <w:rFonts w:ascii="Cambria Math" w:hAnsi="Cambria Math" w:cs="Arial"/>
                          </w:rPr>
                          <m:t>∂u</m:t>
                        </m:r>
                      </m:num>
                      <m:den>
                        <m:r>
                          <w:rPr>
                            <w:rFonts w:ascii="Cambria Math" w:hAnsi="Cambria Math" w:cs="Arial"/>
                          </w:rPr>
                          <m:t>∂θ</m:t>
                        </m:r>
                      </m:den>
                    </m:f>
                  </m:e>
                </m:d>
              </m:oMath>
            </m:oMathPara>
          </w:p>
        </w:tc>
        <w:tc>
          <w:tcPr>
            <w:tcW w:w="567" w:type="dxa"/>
            <w:hideMark/>
          </w:tcPr>
          <w:p w:rsidR="00AB2ED5" w:rsidRPr="00931434" w:rsidRDefault="00AB2ED5" w:rsidP="007F2707">
            <w:pPr>
              <w:spacing w:after="160" w:line="259" w:lineRule="auto"/>
              <w:rPr>
                <w:rFonts w:ascii="Arial" w:hAnsi="Arial" w:cs="Arial"/>
              </w:rPr>
            </w:pPr>
            <w:r w:rsidRPr="00931434">
              <w:rPr>
                <w:rFonts w:ascii="Arial" w:hAnsi="Arial" w:cs="Arial"/>
              </w:rPr>
              <w:t>(3)</w:t>
            </w:r>
          </w:p>
        </w:tc>
      </w:tr>
    </w:tbl>
    <w:p w:rsidR="00AB2ED5" w:rsidRPr="00931434" w:rsidRDefault="00AB2ED5" w:rsidP="00AB2ED5">
      <w:pPr>
        <w:pStyle w:val="TextoPrincipalV2"/>
      </w:pPr>
    </w:p>
    <w:tbl>
      <w:tblPr>
        <w:tblStyle w:val="Tablaconcuadrcula"/>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567"/>
      </w:tblGrid>
      <w:tr w:rsidR="00AB2ED5" w:rsidRPr="00931434" w:rsidTr="007F2707">
        <w:tc>
          <w:tcPr>
            <w:tcW w:w="9039" w:type="dxa"/>
            <w:hideMark/>
          </w:tcPr>
          <w:p w:rsidR="00AB2ED5" w:rsidRPr="00931434" w:rsidRDefault="00AB2ED5" w:rsidP="007F2707">
            <w:pPr>
              <w:spacing w:after="160" w:line="259" w:lineRule="auto"/>
              <w:rPr>
                <w:rFonts w:ascii="Arial" w:hAnsi="Arial" w:cs="Arial"/>
                <w:iCs/>
              </w:rPr>
            </w:pPr>
            <m:oMathPara>
              <m:oMath>
                <m:r>
                  <m:rPr>
                    <m:sty m:val="p"/>
                  </m:rPr>
                  <w:rPr>
                    <w:rFonts w:ascii="Cambria Math" w:hAnsi="Cambria Math" w:cs="Arial"/>
                  </w:rPr>
                  <m:t>u</m:t>
                </m:r>
                <m:f>
                  <m:fPr>
                    <m:ctrlPr>
                      <w:rPr>
                        <w:rFonts w:ascii="Cambria Math" w:hAnsi="Cambria Math" w:cs="Arial"/>
                        <w:iCs/>
                      </w:rPr>
                    </m:ctrlPr>
                  </m:fPr>
                  <m:num>
                    <m:r>
                      <m:rPr>
                        <m:sty m:val="p"/>
                      </m:rPr>
                      <w:rPr>
                        <w:rFonts w:ascii="Cambria Math" w:hAnsi="Cambria Math" w:cs="Arial"/>
                      </w:rPr>
                      <m:t>∂w</m:t>
                    </m:r>
                  </m:num>
                  <m:den>
                    <m:r>
                      <m:rPr>
                        <m:sty m:val="p"/>
                      </m:rPr>
                      <w:rPr>
                        <w:rFonts w:ascii="Cambria Math" w:hAnsi="Cambria Math" w:cs="Arial"/>
                      </w:rPr>
                      <m:t>∂r</m:t>
                    </m:r>
                  </m:den>
                </m:f>
                <m:r>
                  <m:rPr>
                    <m:sty m:val="p"/>
                  </m:rPr>
                  <w:rPr>
                    <w:rFonts w:ascii="Cambria Math" w:hAnsi="Cambria Math" w:cs="Arial"/>
                  </w:rPr>
                  <m:t>+</m:t>
                </m:r>
                <m:f>
                  <m:fPr>
                    <m:ctrlPr>
                      <w:rPr>
                        <w:rFonts w:ascii="Cambria Math" w:hAnsi="Cambria Math" w:cs="Arial"/>
                        <w:iCs/>
                      </w:rPr>
                    </m:ctrlPr>
                  </m:fPr>
                  <m:num>
                    <m:r>
                      <m:rPr>
                        <m:sty m:val="p"/>
                      </m:rPr>
                      <w:rPr>
                        <w:rFonts w:ascii="Cambria Math" w:hAnsi="Cambria Math" w:cs="Arial"/>
                      </w:rPr>
                      <m:t>v</m:t>
                    </m:r>
                  </m:num>
                  <m:den>
                    <m:r>
                      <m:rPr>
                        <m:sty m:val="p"/>
                      </m:rPr>
                      <w:rPr>
                        <w:rFonts w:ascii="Cambria Math" w:hAnsi="Cambria Math" w:cs="Arial"/>
                      </w:rPr>
                      <m:t>r</m:t>
                    </m:r>
                  </m:den>
                </m:f>
                <m:f>
                  <m:fPr>
                    <m:ctrlPr>
                      <w:rPr>
                        <w:rFonts w:ascii="Cambria Math" w:hAnsi="Cambria Math" w:cs="Arial"/>
                        <w:iCs/>
                      </w:rPr>
                    </m:ctrlPr>
                  </m:fPr>
                  <m:num>
                    <m:r>
                      <m:rPr>
                        <m:sty m:val="p"/>
                      </m:rPr>
                      <w:rPr>
                        <w:rFonts w:ascii="Cambria Math" w:hAnsi="Cambria Math" w:cs="Arial"/>
                      </w:rPr>
                      <m:t>∂w</m:t>
                    </m:r>
                  </m:num>
                  <m:den>
                    <m:r>
                      <m:rPr>
                        <m:sty m:val="p"/>
                      </m:rPr>
                      <w:rPr>
                        <w:rFonts w:ascii="Cambria Math" w:hAnsi="Cambria Math" w:cs="Arial"/>
                      </w:rPr>
                      <m:t>∂θ</m:t>
                    </m:r>
                  </m:den>
                </m:f>
                <m:r>
                  <m:rPr>
                    <m:sty m:val="p"/>
                  </m:rPr>
                  <w:rPr>
                    <w:rFonts w:ascii="Cambria Math" w:hAnsi="Cambria Math" w:cs="Arial"/>
                  </w:rPr>
                  <m:t>+w</m:t>
                </m:r>
                <m:f>
                  <m:fPr>
                    <m:ctrlPr>
                      <w:rPr>
                        <w:rFonts w:ascii="Cambria Math" w:hAnsi="Cambria Math" w:cs="Arial"/>
                        <w:iCs/>
                      </w:rPr>
                    </m:ctrlPr>
                  </m:fPr>
                  <m:num>
                    <m:r>
                      <m:rPr>
                        <m:sty m:val="p"/>
                      </m:rPr>
                      <w:rPr>
                        <w:rFonts w:ascii="Cambria Math" w:hAnsi="Cambria Math" w:cs="Arial"/>
                      </w:rPr>
                      <m:t>∂w</m:t>
                    </m:r>
                  </m:num>
                  <m:den>
                    <m:r>
                      <m:rPr>
                        <m:sty m:val="p"/>
                      </m:rPr>
                      <w:rPr>
                        <w:rFonts w:ascii="Cambria Math" w:hAnsi="Cambria Math" w:cs="Arial"/>
                      </w:rPr>
                      <m:t>∂z</m:t>
                    </m:r>
                  </m:den>
                </m:f>
                <m:r>
                  <m:rPr>
                    <m:sty m:val="p"/>
                  </m:rPr>
                  <w:rPr>
                    <w:rFonts w:ascii="Cambria Math" w:hAnsi="Cambria Math" w:cs="Arial"/>
                  </w:rPr>
                  <m:t>=-</m:t>
                </m:r>
                <m:f>
                  <m:fPr>
                    <m:ctrlPr>
                      <w:rPr>
                        <w:rFonts w:ascii="Cambria Math" w:hAnsi="Cambria Math" w:cs="Arial"/>
                        <w:iCs/>
                      </w:rPr>
                    </m:ctrlPr>
                  </m:fPr>
                  <m:num>
                    <m:r>
                      <m:rPr>
                        <m:sty m:val="p"/>
                      </m:rPr>
                      <w:rPr>
                        <w:rFonts w:ascii="Cambria Math" w:hAnsi="Cambria Math" w:cs="Arial"/>
                      </w:rPr>
                      <m:t>1</m:t>
                    </m:r>
                  </m:num>
                  <m:den>
                    <m:r>
                      <m:rPr>
                        <m:sty m:val="p"/>
                      </m:rPr>
                      <w:rPr>
                        <w:rFonts w:ascii="Cambria Math" w:hAnsi="Cambria Math" w:cs="Arial"/>
                      </w:rPr>
                      <m:t>ρ</m:t>
                    </m:r>
                  </m:den>
                </m:f>
                <m:f>
                  <m:fPr>
                    <m:ctrlPr>
                      <w:rPr>
                        <w:rFonts w:ascii="Cambria Math" w:hAnsi="Cambria Math" w:cs="Arial"/>
                        <w:iCs/>
                      </w:rPr>
                    </m:ctrlPr>
                  </m:fPr>
                  <m:num>
                    <m:r>
                      <m:rPr>
                        <m:sty m:val="p"/>
                      </m:rPr>
                      <w:rPr>
                        <w:rFonts w:ascii="Cambria Math" w:hAnsi="Cambria Math" w:cs="Arial"/>
                      </w:rPr>
                      <m:t>∂P</m:t>
                    </m:r>
                  </m:num>
                  <m:den>
                    <m:r>
                      <m:rPr>
                        <m:sty m:val="p"/>
                      </m:rPr>
                      <w:rPr>
                        <w:rFonts w:ascii="Cambria Math" w:hAnsi="Cambria Math" w:cs="Arial"/>
                      </w:rPr>
                      <m:t>∂z</m:t>
                    </m:r>
                  </m:den>
                </m:f>
                <m:r>
                  <w:rPr>
                    <w:rFonts w:ascii="Cambria Math" w:hAnsi="Cambria Math" w:cs="Arial"/>
                  </w:rPr>
                  <m:t>+ν</m:t>
                </m:r>
                <m:sSup>
                  <m:sSupPr>
                    <m:ctrlPr>
                      <w:rPr>
                        <w:rFonts w:ascii="Cambria Math" w:hAnsi="Cambria Math" w:cs="Arial"/>
                        <w:i/>
                        <w:iCs/>
                      </w:rPr>
                    </m:ctrlPr>
                  </m:sSupPr>
                  <m:e>
                    <m:r>
                      <w:rPr>
                        <w:rFonts w:ascii="Cambria Math" w:hAnsi="Cambria Math" w:cs="Arial"/>
                      </w:rPr>
                      <m:t>∇</m:t>
                    </m:r>
                  </m:e>
                  <m:sup>
                    <m:r>
                      <w:rPr>
                        <w:rFonts w:ascii="Cambria Math" w:hAnsi="Cambria Math" w:cs="Arial"/>
                      </w:rPr>
                      <m:t>2</m:t>
                    </m:r>
                  </m:sup>
                </m:sSup>
                <m:r>
                  <w:rPr>
                    <w:rFonts w:ascii="Cambria Math" w:hAnsi="Cambria Math" w:cs="Arial"/>
                  </w:rPr>
                  <m:t>w+g</m:t>
                </m:r>
              </m:oMath>
            </m:oMathPara>
          </w:p>
        </w:tc>
        <w:tc>
          <w:tcPr>
            <w:tcW w:w="567" w:type="dxa"/>
            <w:hideMark/>
          </w:tcPr>
          <w:p w:rsidR="00AB2ED5" w:rsidRPr="00931434" w:rsidRDefault="00AB2ED5" w:rsidP="007F2707">
            <w:pPr>
              <w:spacing w:after="160" w:line="259" w:lineRule="auto"/>
              <w:rPr>
                <w:rFonts w:ascii="Arial" w:hAnsi="Arial" w:cs="Arial"/>
              </w:rPr>
            </w:pPr>
            <w:r w:rsidRPr="00931434">
              <w:rPr>
                <w:rFonts w:ascii="Arial" w:hAnsi="Arial" w:cs="Arial"/>
              </w:rPr>
              <w:t>(4)</w:t>
            </w:r>
          </w:p>
        </w:tc>
      </w:tr>
    </w:tbl>
    <w:p w:rsidR="00AB2ED5" w:rsidRDefault="00AB2ED5" w:rsidP="00AB2ED5">
      <w:pPr>
        <w:pStyle w:val="TextoPrincipalV2"/>
      </w:pPr>
    </w:p>
    <w:p w:rsidR="00AB2ED5" w:rsidRDefault="00AB2ED5" w:rsidP="00AB2ED5">
      <w:pPr>
        <w:pStyle w:val="TextoPrincipalV2"/>
      </w:pPr>
      <w:r w:rsidRPr="0055227E">
        <w:t>Las incógnitas de estas expresiones son las tres componentes de velocidad: radial (u), azimutal o tangencial (v), y axial (w); y la presión (P).</w:t>
      </w:r>
      <w:r>
        <w:t xml:space="preserve"> </w:t>
      </w:r>
      <w:r w:rsidRPr="0055227E">
        <w:t>Pero se tiene la dificultad de que la presión en el seno del fluido depende de las componentes de velocidad. Las condiciones de frontera adecuadas para el modelo con impulsores de disco se muestran en la Tabla 1.</w:t>
      </w:r>
    </w:p>
    <w:p w:rsidR="00AB2ED5" w:rsidRDefault="00AB2ED5" w:rsidP="00AB2ED5">
      <w:pPr>
        <w:pStyle w:val="TextoPrincipalV2"/>
      </w:pPr>
    </w:p>
    <w:p w:rsidR="00AB2ED5" w:rsidRPr="009A1ED4" w:rsidRDefault="00AB2ED5" w:rsidP="00AB2ED5">
      <w:pPr>
        <w:pStyle w:val="TextoPrincipalV2"/>
        <w:jc w:val="center"/>
        <w:rPr>
          <w:i/>
          <w:sz w:val="20"/>
          <w:szCs w:val="20"/>
        </w:rPr>
      </w:pPr>
      <w:r w:rsidRPr="009A1ED4">
        <w:rPr>
          <w:i/>
          <w:sz w:val="20"/>
          <w:szCs w:val="20"/>
        </w:rPr>
        <w:t>Tabla 1 Condiciones de frontera para el modelo con impulsores de disco</w:t>
      </w:r>
    </w:p>
    <w:tbl>
      <w:tblPr>
        <w:tblW w:w="43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07"/>
        <w:gridCol w:w="1386"/>
        <w:gridCol w:w="1314"/>
        <w:gridCol w:w="1060"/>
        <w:gridCol w:w="1174"/>
      </w:tblGrid>
      <w:tr w:rsidR="00AB2ED5" w:rsidRPr="006E79F1" w:rsidTr="007F2707">
        <w:trPr>
          <w:jc w:val="center"/>
        </w:trPr>
        <w:tc>
          <w:tcPr>
            <w:tcW w:w="1970" w:type="pct"/>
          </w:tcPr>
          <w:p w:rsidR="00AB2ED5" w:rsidRPr="006E79F1" w:rsidRDefault="00AB2ED5" w:rsidP="007F2707">
            <w:pPr>
              <w:pStyle w:val="TextoPrincipalV2"/>
              <w:rPr>
                <w:rFonts w:ascii="Cambria Math" w:hAnsi="Cambria Math"/>
                <w:oMath/>
              </w:rPr>
            </w:pPr>
            <m:oMathPara>
              <m:oMath>
                <m:r>
                  <m:rPr>
                    <m:sty m:val="p"/>
                  </m:rPr>
                  <w:rPr>
                    <w:rFonts w:ascii="Cambria Math" w:hAnsi="Cambria Math"/>
                  </w:rPr>
                  <m:t>r=0</m:t>
                </m:r>
              </m:oMath>
            </m:oMathPara>
          </w:p>
          <w:p w:rsidR="00AB2ED5" w:rsidRPr="006E79F1" w:rsidRDefault="00AB2ED5" w:rsidP="007F2707">
            <w:pPr>
              <w:pStyle w:val="TextoPrincipalV2"/>
              <w:rPr>
                <w:vertAlign w:val="subscript"/>
              </w:rPr>
            </w:pPr>
            <m:oMathPara>
              <m:oMath>
                <m:r>
                  <m:rPr>
                    <m:sty m:val="p"/>
                  </m:rPr>
                  <w:rPr>
                    <w:rFonts w:ascii="Cambria Math" w:hAnsi="Cambria Math"/>
                  </w:rPr>
                  <m:t xml:space="preserve">0≤z≤ </m:t>
                </m:r>
                <m:sSub>
                  <m:sSubPr>
                    <m:ctrlPr>
                      <w:rPr>
                        <w:rFonts w:ascii="Cambria Math" w:hAnsi="Cambria Math"/>
                      </w:rPr>
                    </m:ctrlPr>
                  </m:sSubPr>
                  <m:e>
                    <m:r>
                      <m:rPr>
                        <m:sty m:val="p"/>
                      </m:rPr>
                      <w:rPr>
                        <w:rFonts w:ascii="Cambria Math" w:hAnsi="Cambria Math"/>
                      </w:rPr>
                      <m:t>z</m:t>
                    </m:r>
                  </m:e>
                  <m:sub>
                    <m:r>
                      <m:rPr>
                        <m:sty m:val="p"/>
                      </m:rPr>
                      <w:rPr>
                        <w:rFonts w:ascii="Cambria Math" w:hAnsi="Cambria Math"/>
                      </w:rPr>
                      <m:t>3</m:t>
                    </m:r>
                  </m:sub>
                </m:sSub>
              </m:oMath>
            </m:oMathPara>
          </w:p>
        </w:tc>
        <w:tc>
          <w:tcPr>
            <w:tcW w:w="851" w:type="pct"/>
          </w:tcPr>
          <w:p w:rsidR="00AB2ED5" w:rsidRPr="006E79F1" w:rsidRDefault="00AB2ED5" w:rsidP="007F2707">
            <w:pPr>
              <w:pStyle w:val="TextoPrincipalV2"/>
            </w:pPr>
            <m:oMathPara>
              <m:oMath>
                <m:r>
                  <m:rPr>
                    <m:sty m:val="p"/>
                  </m:rPr>
                  <w:rPr>
                    <w:rFonts w:ascii="Cambria Math" w:hAnsi="Cambria Math"/>
                  </w:rPr>
                  <m:t>u=0,</m:t>
                </m:r>
              </m:oMath>
            </m:oMathPara>
          </w:p>
        </w:tc>
        <w:tc>
          <w:tcPr>
            <w:tcW w:w="807" w:type="pct"/>
          </w:tcPr>
          <w:p w:rsidR="00AB2ED5" w:rsidRPr="006E79F1" w:rsidRDefault="00AB2ED5" w:rsidP="007F2707">
            <w:pPr>
              <w:pStyle w:val="TextoPrincipalV2"/>
            </w:pPr>
            <m:oMathPara>
              <m:oMath>
                <m:r>
                  <m:rPr>
                    <m:sty m:val="p"/>
                  </m:rPr>
                  <w:rPr>
                    <w:rFonts w:ascii="Cambria Math" w:hAnsi="Cambria Math"/>
                  </w:rPr>
                  <m:t>v=0,</m:t>
                </m:r>
              </m:oMath>
            </m:oMathPara>
          </w:p>
        </w:tc>
        <w:tc>
          <w:tcPr>
            <w:tcW w:w="651" w:type="pct"/>
          </w:tcPr>
          <w:p w:rsidR="00AB2ED5" w:rsidRPr="006E79F1" w:rsidRDefault="001345E4" w:rsidP="007F2707">
            <w:pPr>
              <w:pStyle w:val="TextoPrincipalV2"/>
            </w:pPr>
            <m:oMathPara>
              <m:oMath>
                <m:f>
                  <m:fPr>
                    <m:ctrlPr>
                      <w:rPr>
                        <w:rFonts w:ascii="Cambria Math" w:hAnsi="Cambria Math"/>
                      </w:rPr>
                    </m:ctrlPr>
                  </m:fPr>
                  <m:num>
                    <m:r>
                      <m:rPr>
                        <m:sty m:val="p"/>
                      </m:rPr>
                      <w:rPr>
                        <w:rFonts w:ascii="Cambria Math" w:hAnsi="Cambria Math"/>
                      </w:rPr>
                      <m:t>∂w</m:t>
                    </m:r>
                  </m:num>
                  <m:den>
                    <m:r>
                      <m:rPr>
                        <m:sty m:val="p"/>
                      </m:rPr>
                      <w:rPr>
                        <w:rFonts w:ascii="Cambria Math" w:hAnsi="Cambria Math"/>
                      </w:rPr>
                      <m:t>∂r</m:t>
                    </m:r>
                  </m:den>
                </m:f>
                <m:r>
                  <m:rPr>
                    <m:sty m:val="p"/>
                  </m:rPr>
                  <w:rPr>
                    <w:rFonts w:ascii="Cambria Math" w:hAnsi="Cambria Math"/>
                  </w:rPr>
                  <m:t>=0</m:t>
                </m:r>
              </m:oMath>
            </m:oMathPara>
          </w:p>
        </w:tc>
        <w:tc>
          <w:tcPr>
            <w:tcW w:w="721" w:type="pct"/>
          </w:tcPr>
          <w:p w:rsidR="00AB2ED5" w:rsidRPr="006E79F1" w:rsidRDefault="00AB2ED5" w:rsidP="007F2707">
            <w:pPr>
              <w:pStyle w:val="TextoPrincipalV2"/>
            </w:pPr>
            <w:r w:rsidRPr="006E79F1">
              <w:t>(5)</w:t>
            </w:r>
          </w:p>
        </w:tc>
      </w:tr>
      <w:tr w:rsidR="00AB2ED5" w:rsidRPr="006E79F1" w:rsidTr="007F2707">
        <w:trPr>
          <w:jc w:val="center"/>
        </w:trPr>
        <w:tc>
          <w:tcPr>
            <w:tcW w:w="1970" w:type="pct"/>
          </w:tcPr>
          <w:p w:rsidR="00AB2ED5" w:rsidRPr="006E79F1" w:rsidRDefault="00AB2ED5" w:rsidP="007F2707">
            <w:pPr>
              <w:pStyle w:val="TextoPrincipalV2"/>
              <w:rPr>
                <w:rFonts w:ascii="Cambria Math" w:hAnsi="Cambria Math"/>
                <w:vertAlign w:val="subscript"/>
                <w:oMath/>
              </w:rPr>
            </w:pPr>
            <m:oMathPara>
              <m:oMath>
                <m:r>
                  <m:rPr>
                    <m:sty m:val="p"/>
                  </m:rPr>
                  <w:rPr>
                    <w:rFonts w:ascii="Cambria Math" w:hAnsi="Cambria Math"/>
                  </w:rPr>
                  <m:t>r=</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oMath>
            </m:oMathPara>
          </w:p>
          <w:p w:rsidR="00AB2ED5" w:rsidRPr="006E79F1" w:rsidRDefault="001345E4" w:rsidP="007F2707">
            <w:pPr>
              <w:pStyle w:val="TextoPrincipalV2"/>
              <w:rPr>
                <w:vertAlign w:val="subscript"/>
              </w:rPr>
            </w:pPr>
            <m:oMathPara>
              <m:oMath>
                <m:sSub>
                  <m:sSubPr>
                    <m:ctrlPr>
                      <w:rPr>
                        <w:rFonts w:ascii="Cambria Math" w:hAnsi="Cambria Math"/>
                      </w:rPr>
                    </m:ctrlPr>
                  </m:sSubPr>
                  <m:e>
                    <m:r>
                      <m:rPr>
                        <m:sty m:val="p"/>
                      </m:rPr>
                      <w:rPr>
                        <w:rFonts w:ascii="Cambria Math" w:hAnsi="Cambria Math"/>
                      </w:rPr>
                      <m:t>z</m:t>
                    </m:r>
                  </m:e>
                  <m:sub>
                    <m:r>
                      <m:rPr>
                        <m:sty m:val="p"/>
                      </m:rPr>
                      <w:rPr>
                        <w:rFonts w:ascii="Cambria Math" w:hAnsi="Cambria Math"/>
                      </w:rPr>
                      <m:t>1</m:t>
                    </m:r>
                  </m:sub>
                </m:sSub>
                <m:r>
                  <m:rPr>
                    <m:sty m:val="p"/>
                  </m:rPr>
                  <w:rPr>
                    <w:rFonts w:ascii="Cambria Math" w:hAnsi="Cambria Math"/>
                  </w:rPr>
                  <m:t>≤z ≤</m:t>
                </m:r>
                <m:sSub>
                  <m:sSubPr>
                    <m:ctrlPr>
                      <w:rPr>
                        <w:rFonts w:ascii="Cambria Math" w:hAnsi="Cambria Math"/>
                      </w:rPr>
                    </m:ctrlPr>
                  </m:sSubPr>
                  <m:e>
                    <m:r>
                      <m:rPr>
                        <m:sty m:val="p"/>
                      </m:rPr>
                      <w:rPr>
                        <w:rFonts w:ascii="Cambria Math" w:hAnsi="Cambria Math"/>
                      </w:rPr>
                      <m:t>z</m:t>
                    </m:r>
                  </m:e>
                  <m:sub>
                    <m:r>
                      <m:rPr>
                        <m:sty m:val="p"/>
                      </m:rPr>
                      <w:rPr>
                        <w:rFonts w:ascii="Cambria Math" w:hAnsi="Cambria Math"/>
                      </w:rPr>
                      <m:t>3</m:t>
                    </m:r>
                  </m:sub>
                </m:sSub>
              </m:oMath>
            </m:oMathPara>
          </w:p>
        </w:tc>
        <w:tc>
          <w:tcPr>
            <w:tcW w:w="851" w:type="pct"/>
          </w:tcPr>
          <w:p w:rsidR="00AB2ED5" w:rsidRPr="006E79F1" w:rsidRDefault="00AB2ED5" w:rsidP="007F2707">
            <w:pPr>
              <w:pStyle w:val="TextoPrincipalV2"/>
            </w:pPr>
            <m:oMath>
              <m:r>
                <m:rPr>
                  <m:sty m:val="p"/>
                </m:rPr>
                <w:rPr>
                  <w:rFonts w:ascii="Cambria Math" w:hAnsi="Cambria Math"/>
                </w:rPr>
                <m:t>u=0</m:t>
              </m:r>
            </m:oMath>
            <w:r w:rsidRPr="006E79F1">
              <w:t>,</w:t>
            </w:r>
          </w:p>
        </w:tc>
        <w:tc>
          <w:tcPr>
            <w:tcW w:w="807" w:type="pct"/>
          </w:tcPr>
          <w:p w:rsidR="00AB2ED5" w:rsidRPr="006E79F1" w:rsidRDefault="00AB2ED5" w:rsidP="007F2707">
            <w:pPr>
              <w:pStyle w:val="TextoPrincipalV2"/>
            </w:pPr>
            <m:oMathPara>
              <m:oMath>
                <m:r>
                  <m:rPr>
                    <m:sty m:val="p"/>
                  </m:rPr>
                  <w:rPr>
                    <w:rFonts w:ascii="Cambria Math" w:hAnsi="Cambria Math"/>
                  </w:rPr>
                  <m:t>v=0,</m:t>
                </m:r>
              </m:oMath>
            </m:oMathPara>
          </w:p>
        </w:tc>
        <w:tc>
          <w:tcPr>
            <w:tcW w:w="651" w:type="pct"/>
          </w:tcPr>
          <w:p w:rsidR="00AB2ED5" w:rsidRPr="006E79F1" w:rsidRDefault="00AB2ED5" w:rsidP="007F2707">
            <w:pPr>
              <w:pStyle w:val="TextoPrincipalV2"/>
            </w:pPr>
            <m:oMathPara>
              <m:oMath>
                <m:r>
                  <m:rPr>
                    <m:sty m:val="p"/>
                  </m:rPr>
                  <w:rPr>
                    <w:rFonts w:ascii="Cambria Math" w:hAnsi="Cambria Math"/>
                  </w:rPr>
                  <m:t>w=0</m:t>
                </m:r>
              </m:oMath>
            </m:oMathPara>
          </w:p>
        </w:tc>
        <w:tc>
          <w:tcPr>
            <w:tcW w:w="721" w:type="pct"/>
          </w:tcPr>
          <w:p w:rsidR="00AB2ED5" w:rsidRPr="006E79F1" w:rsidRDefault="00AB2ED5" w:rsidP="007F2707">
            <w:pPr>
              <w:pStyle w:val="TextoPrincipalV2"/>
            </w:pPr>
            <w:r w:rsidRPr="006E79F1">
              <w:t>(6)</w:t>
            </w:r>
          </w:p>
        </w:tc>
      </w:tr>
      <w:tr w:rsidR="00AB2ED5" w:rsidRPr="006E79F1" w:rsidTr="007F2707">
        <w:trPr>
          <w:jc w:val="center"/>
        </w:trPr>
        <w:tc>
          <w:tcPr>
            <w:tcW w:w="1970" w:type="pct"/>
          </w:tcPr>
          <w:p w:rsidR="00AB2ED5" w:rsidRPr="006E79F1" w:rsidRDefault="00AB2ED5" w:rsidP="007F2707">
            <w:pPr>
              <w:pStyle w:val="TextoPrincipalV2"/>
              <w:rPr>
                <w:rFonts w:ascii="Cambria Math" w:hAnsi="Cambria Math"/>
                <w:vertAlign w:val="subscript"/>
                <w:oMath/>
              </w:rPr>
            </w:pPr>
            <m:oMathPara>
              <m:oMath>
                <m:r>
                  <m:rPr>
                    <m:sty m:val="p"/>
                  </m:rPr>
                  <w:rPr>
                    <w:rFonts w:ascii="Cambria Math" w:hAnsi="Cambria Math"/>
                  </w:rPr>
                  <m:t>0≤ r≤</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oMath>
            </m:oMathPara>
          </w:p>
          <w:p w:rsidR="00AB2ED5" w:rsidRPr="006E79F1" w:rsidRDefault="00AB2ED5" w:rsidP="007F2707">
            <w:pPr>
              <w:pStyle w:val="TextoPrincipalV2"/>
              <w:rPr>
                <w:vertAlign w:val="subscript"/>
              </w:rPr>
            </w:pPr>
            <m:oMathPara>
              <m:oMath>
                <m:r>
                  <m:rPr>
                    <m:sty m:val="p"/>
                  </m:rPr>
                  <w:rPr>
                    <w:rFonts w:ascii="Cambria Math" w:hAnsi="Cambria Math"/>
                  </w:rPr>
                  <m:t>z=</m:t>
                </m:r>
                <m:sSub>
                  <m:sSubPr>
                    <m:ctrlPr>
                      <w:rPr>
                        <w:rFonts w:ascii="Cambria Math" w:hAnsi="Cambria Math"/>
                      </w:rPr>
                    </m:ctrlPr>
                  </m:sSubPr>
                  <m:e>
                    <m:r>
                      <m:rPr>
                        <m:sty m:val="p"/>
                      </m:rPr>
                      <w:rPr>
                        <w:rFonts w:ascii="Cambria Math" w:hAnsi="Cambria Math"/>
                      </w:rPr>
                      <m:t>z</m:t>
                    </m:r>
                  </m:e>
                  <m:sub>
                    <m:r>
                      <m:rPr>
                        <m:sty m:val="p"/>
                      </m:rPr>
                      <w:rPr>
                        <w:rFonts w:ascii="Cambria Math" w:hAnsi="Cambria Math"/>
                      </w:rPr>
                      <m:t>2</m:t>
                    </m:r>
                  </m:sub>
                </m:sSub>
              </m:oMath>
            </m:oMathPara>
          </w:p>
          <w:p w:rsidR="00AB2ED5" w:rsidRPr="006E79F1" w:rsidRDefault="001345E4" w:rsidP="007F2707">
            <w:pPr>
              <w:pStyle w:val="TextoPrincipalV2"/>
              <w:rPr>
                <w:rFonts w:ascii="Cambria Math" w:hAnsi="Cambria Math"/>
                <w:vertAlign w:val="subscript"/>
                <w:oMath/>
              </w:rPr>
            </w:pPr>
            <m:oMathPara>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1</m:t>
                    </m:r>
                  </m:sub>
                </m:sSub>
                <m:r>
                  <m:rPr>
                    <m:sty m:val="p"/>
                  </m:rPr>
                  <w:rPr>
                    <w:rFonts w:ascii="Cambria Math" w:hAnsi="Cambria Math"/>
                  </w:rPr>
                  <m:t>≤r≤</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oMath>
            </m:oMathPara>
          </w:p>
          <w:p w:rsidR="00AB2ED5" w:rsidRPr="006E79F1" w:rsidRDefault="00AB2ED5" w:rsidP="007F2707">
            <w:pPr>
              <w:pStyle w:val="TextoPrincipalV2"/>
            </w:pPr>
            <m:oMath>
              <m:r>
                <m:rPr>
                  <m:sty m:val="p"/>
                </m:rPr>
                <w:rPr>
                  <w:rFonts w:ascii="Cambria Math" w:hAnsi="Cambria Math"/>
                </w:rPr>
                <m:t>z=</m:t>
              </m:r>
              <m:sSub>
                <m:sSubPr>
                  <m:ctrlPr>
                    <w:rPr>
                      <w:rFonts w:ascii="Cambria Math" w:hAnsi="Cambria Math"/>
                    </w:rPr>
                  </m:ctrlPr>
                </m:sSubPr>
                <m:e>
                  <m:r>
                    <m:rPr>
                      <m:sty m:val="p"/>
                    </m:rPr>
                    <w:rPr>
                      <w:rFonts w:ascii="Cambria Math" w:hAnsi="Cambria Math"/>
                    </w:rPr>
                    <m:t>z</m:t>
                  </m:r>
                </m:e>
                <m:sub>
                  <m:r>
                    <m:rPr>
                      <m:sty m:val="p"/>
                    </m:rPr>
                    <w:rPr>
                      <w:rFonts w:ascii="Cambria Math" w:hAnsi="Cambria Math"/>
                    </w:rPr>
                    <m:t>1</m:t>
                  </m:r>
                </m:sub>
              </m:sSub>
            </m:oMath>
            <w:r>
              <w:t xml:space="preserve">, </w:t>
            </w:r>
            <m:oMath>
              <m:r>
                <m:rPr>
                  <m:sty m:val="p"/>
                </m:rPr>
                <w:rPr>
                  <w:rFonts w:ascii="Cambria Math" w:hAnsi="Cambria Math"/>
                </w:rPr>
                <m:t>z=</m:t>
              </m:r>
              <m:sSub>
                <m:sSubPr>
                  <m:ctrlPr>
                    <w:rPr>
                      <w:rFonts w:ascii="Cambria Math" w:hAnsi="Cambria Math"/>
                    </w:rPr>
                  </m:ctrlPr>
                </m:sSubPr>
                <m:e>
                  <m:r>
                    <m:rPr>
                      <m:sty m:val="p"/>
                    </m:rPr>
                    <w:rPr>
                      <w:rFonts w:ascii="Cambria Math" w:hAnsi="Cambria Math"/>
                    </w:rPr>
                    <m:t>z</m:t>
                  </m:r>
                </m:e>
                <m:sub>
                  <m:r>
                    <w:rPr>
                      <w:rFonts w:ascii="Cambria Math" w:hAnsi="Cambria Math"/>
                    </w:rPr>
                    <m:t>5</m:t>
                  </m:r>
                </m:sub>
              </m:sSub>
            </m:oMath>
            <w:r>
              <w:t xml:space="preserve">, </w:t>
            </w:r>
            <m:oMath>
              <m:r>
                <m:rPr>
                  <m:sty m:val="p"/>
                </m:rPr>
                <w:rPr>
                  <w:rFonts w:ascii="Cambria Math" w:hAnsi="Cambria Math"/>
                </w:rPr>
                <m:t>z=</m:t>
              </m:r>
              <m:sSub>
                <m:sSubPr>
                  <m:ctrlPr>
                    <w:rPr>
                      <w:rFonts w:ascii="Cambria Math" w:hAnsi="Cambria Math"/>
                    </w:rPr>
                  </m:ctrlPr>
                </m:sSubPr>
                <m:e>
                  <m:r>
                    <m:rPr>
                      <m:sty m:val="p"/>
                    </m:rPr>
                    <w:rPr>
                      <w:rFonts w:ascii="Cambria Math" w:hAnsi="Cambria Math"/>
                    </w:rPr>
                    <m:t>z</m:t>
                  </m:r>
                </m:e>
                <m:sub>
                  <m:r>
                    <m:rPr>
                      <m:sty m:val="p"/>
                    </m:rPr>
                    <w:rPr>
                      <w:rFonts w:ascii="Cambria Math" w:hAnsi="Cambria Math"/>
                    </w:rPr>
                    <m:t>6</m:t>
                  </m:r>
                </m:sub>
              </m:sSub>
            </m:oMath>
          </w:p>
        </w:tc>
        <w:tc>
          <w:tcPr>
            <w:tcW w:w="851" w:type="pct"/>
          </w:tcPr>
          <w:p w:rsidR="00AB2ED5" w:rsidRPr="006E79F1" w:rsidRDefault="00AB2ED5" w:rsidP="007F2707">
            <w:pPr>
              <w:pStyle w:val="TextoPrincipalV2"/>
            </w:pPr>
            <m:oMathPara>
              <m:oMath>
                <m:r>
                  <m:rPr>
                    <m:sty m:val="p"/>
                  </m:rPr>
                  <w:rPr>
                    <w:rFonts w:ascii="Cambria Math" w:hAnsi="Cambria Math"/>
                  </w:rPr>
                  <m:t>u=0,</m:t>
                </m:r>
              </m:oMath>
            </m:oMathPara>
          </w:p>
        </w:tc>
        <w:tc>
          <w:tcPr>
            <w:tcW w:w="807" w:type="pct"/>
          </w:tcPr>
          <w:p w:rsidR="00AB2ED5" w:rsidRPr="006E79F1" w:rsidRDefault="00AB2ED5" w:rsidP="007F2707">
            <w:pPr>
              <w:pStyle w:val="TextoPrincipalV2"/>
            </w:pPr>
            <m:oMathPara>
              <m:oMath>
                <m:r>
                  <m:rPr>
                    <m:sty m:val="p"/>
                  </m:rPr>
                  <w:rPr>
                    <w:rFonts w:ascii="Cambria Math" w:hAnsi="Cambria Math"/>
                  </w:rPr>
                  <m:t>v=ω r,</m:t>
                </m:r>
              </m:oMath>
            </m:oMathPara>
          </w:p>
        </w:tc>
        <w:tc>
          <w:tcPr>
            <w:tcW w:w="651" w:type="pct"/>
          </w:tcPr>
          <w:p w:rsidR="00AB2ED5" w:rsidRPr="006E79F1" w:rsidRDefault="00AB2ED5" w:rsidP="007F2707">
            <w:pPr>
              <w:pStyle w:val="TextoPrincipalV2"/>
            </w:pPr>
            <m:oMathPara>
              <m:oMath>
                <m:r>
                  <m:rPr>
                    <m:sty m:val="p"/>
                  </m:rPr>
                  <w:rPr>
                    <w:rFonts w:ascii="Cambria Math" w:hAnsi="Cambria Math"/>
                  </w:rPr>
                  <m:t>w=0</m:t>
                </m:r>
              </m:oMath>
            </m:oMathPara>
          </w:p>
        </w:tc>
        <w:tc>
          <w:tcPr>
            <w:tcW w:w="721" w:type="pct"/>
          </w:tcPr>
          <w:p w:rsidR="00AB2ED5" w:rsidRPr="006E79F1" w:rsidRDefault="00AB2ED5" w:rsidP="007F2707">
            <w:pPr>
              <w:pStyle w:val="TextoPrincipalV2"/>
            </w:pPr>
            <w:r w:rsidRPr="006E79F1">
              <w:t>(7)</w:t>
            </w:r>
          </w:p>
        </w:tc>
      </w:tr>
      <w:tr w:rsidR="00AB2ED5" w:rsidRPr="006E79F1" w:rsidTr="007F2707">
        <w:trPr>
          <w:jc w:val="center"/>
        </w:trPr>
        <w:tc>
          <w:tcPr>
            <w:tcW w:w="1970" w:type="pct"/>
          </w:tcPr>
          <w:p w:rsidR="00AB2ED5" w:rsidRPr="006E79F1" w:rsidRDefault="001345E4" w:rsidP="007F2707">
            <w:pPr>
              <w:pStyle w:val="TextoPrincipalV2"/>
              <w:rPr>
                <w:rFonts w:ascii="Cambria Math" w:hAnsi="Cambria Math"/>
                <w:oMath/>
              </w:rPr>
            </w:pPr>
            <m:oMathPara>
              <m:oMath>
                <m:sSub>
                  <m:sSubPr>
                    <m:ctrlPr>
                      <w:rPr>
                        <w:rFonts w:ascii="Cambria Math" w:hAnsi="Cambria Math"/>
                      </w:rPr>
                    </m:ctrlPr>
                  </m:sSubPr>
                  <m:e>
                    <m:r>
                      <m:rPr>
                        <m:sty m:val="p"/>
                      </m:rPr>
                      <w:rPr>
                        <w:rFonts w:ascii="Cambria Math" w:hAnsi="Cambria Math"/>
                      </w:rPr>
                      <m:t>z</m:t>
                    </m:r>
                  </m:e>
                  <m:sub>
                    <m:r>
                      <w:rPr>
                        <w:rFonts w:ascii="Cambria Math" w:hAnsi="Cambria Math"/>
                      </w:rPr>
                      <m:t>2</m:t>
                    </m:r>
                  </m:sub>
                </m:sSub>
                <m:r>
                  <m:rPr>
                    <m:sty m:val="p"/>
                  </m:rPr>
                  <w:rPr>
                    <w:rFonts w:ascii="Cambria Math" w:hAnsi="Cambria Math"/>
                  </w:rPr>
                  <m:t>≤z≤</m:t>
                </m:r>
                <m:sSub>
                  <m:sSubPr>
                    <m:ctrlPr>
                      <w:rPr>
                        <w:rFonts w:ascii="Cambria Math" w:hAnsi="Cambria Math"/>
                      </w:rPr>
                    </m:ctrlPr>
                  </m:sSubPr>
                  <m:e>
                    <m:r>
                      <m:rPr>
                        <m:sty m:val="p"/>
                      </m:rPr>
                      <w:rPr>
                        <w:rFonts w:ascii="Cambria Math" w:hAnsi="Cambria Math"/>
                      </w:rPr>
                      <m:t>z</m:t>
                    </m:r>
                  </m:e>
                  <m:sub>
                    <m:r>
                      <w:rPr>
                        <w:rFonts w:ascii="Cambria Math" w:hAnsi="Cambria Math"/>
                      </w:rPr>
                      <m:t>1</m:t>
                    </m:r>
                  </m:sub>
                </m:sSub>
              </m:oMath>
            </m:oMathPara>
          </w:p>
          <w:p w:rsidR="00AB2ED5" w:rsidRPr="006E79F1" w:rsidRDefault="001345E4" w:rsidP="007F2707">
            <w:pPr>
              <w:pStyle w:val="TextoPrincipalV2"/>
              <w:rPr>
                <w:rFonts w:ascii="Cambria Math" w:hAnsi="Cambria Math"/>
                <w:oMath/>
              </w:rPr>
            </w:pPr>
            <m:oMathPara>
              <m:oMath>
                <m:sSub>
                  <m:sSubPr>
                    <m:ctrlPr>
                      <w:rPr>
                        <w:rFonts w:ascii="Cambria Math" w:hAnsi="Cambria Math"/>
                      </w:rPr>
                    </m:ctrlPr>
                  </m:sSubPr>
                  <m:e>
                    <m:r>
                      <m:rPr>
                        <m:sty m:val="p"/>
                      </m:rPr>
                      <w:rPr>
                        <w:rFonts w:ascii="Cambria Math" w:hAnsi="Cambria Math"/>
                      </w:rPr>
                      <m:t>z</m:t>
                    </m:r>
                  </m:e>
                  <m:sub>
                    <m:r>
                      <w:rPr>
                        <w:rFonts w:ascii="Cambria Math" w:hAnsi="Cambria Math"/>
                      </w:rPr>
                      <m:t>5</m:t>
                    </m:r>
                  </m:sub>
                </m:sSub>
                <m:r>
                  <m:rPr>
                    <m:sty m:val="p"/>
                  </m:rPr>
                  <w:rPr>
                    <w:rFonts w:ascii="Cambria Math" w:hAnsi="Cambria Math"/>
                  </w:rPr>
                  <m:t>≤z≤</m:t>
                </m:r>
                <m:sSub>
                  <m:sSubPr>
                    <m:ctrlPr>
                      <w:rPr>
                        <w:rFonts w:ascii="Cambria Math" w:hAnsi="Cambria Math"/>
                      </w:rPr>
                    </m:ctrlPr>
                  </m:sSubPr>
                  <m:e>
                    <m:r>
                      <m:rPr>
                        <m:sty m:val="p"/>
                      </m:rPr>
                      <w:rPr>
                        <w:rFonts w:ascii="Cambria Math" w:hAnsi="Cambria Math"/>
                      </w:rPr>
                      <m:t>z</m:t>
                    </m:r>
                  </m:e>
                  <m:sub>
                    <m:r>
                      <w:rPr>
                        <w:rFonts w:ascii="Cambria Math" w:hAnsi="Cambria Math"/>
                      </w:rPr>
                      <m:t>6</m:t>
                    </m:r>
                  </m:sub>
                </m:sSub>
              </m:oMath>
            </m:oMathPara>
          </w:p>
          <w:p w:rsidR="00AB2ED5" w:rsidRPr="006E79F1" w:rsidRDefault="00AB2ED5" w:rsidP="007F2707">
            <w:pPr>
              <w:pStyle w:val="TextoPrincipalV2"/>
              <w:rPr>
                <w:rFonts w:ascii="Cambria Math" w:hAnsi="Cambria Math"/>
                <w:vertAlign w:val="subscript"/>
                <w:oMath/>
              </w:rPr>
            </w:pPr>
            <m:oMathPara>
              <m:oMath>
                <m:r>
                  <m:rPr>
                    <m:sty m:val="p"/>
                  </m:rPr>
                  <w:rPr>
                    <w:rFonts w:ascii="Cambria Math" w:hAnsi="Cambria Math"/>
                  </w:rPr>
                  <m:t>r=</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oMath>
            </m:oMathPara>
          </w:p>
          <w:p w:rsidR="00AB2ED5" w:rsidRPr="006E79F1" w:rsidRDefault="001345E4" w:rsidP="007F2707">
            <w:pPr>
              <w:pStyle w:val="TextoPrincipalV2"/>
              <w:rPr>
                <w:rFonts w:ascii="Cambria Math" w:hAnsi="Cambria Math"/>
                <w:oMath/>
              </w:rPr>
            </w:pPr>
            <m:oMathPara>
              <m:oMath>
                <m:sSub>
                  <m:sSubPr>
                    <m:ctrlPr>
                      <w:rPr>
                        <w:rFonts w:ascii="Cambria Math" w:hAnsi="Cambria Math"/>
                      </w:rPr>
                    </m:ctrlPr>
                  </m:sSubPr>
                  <m:e>
                    <m:r>
                      <m:rPr>
                        <m:sty m:val="p"/>
                      </m:rPr>
                      <w:rPr>
                        <w:rFonts w:ascii="Cambria Math" w:hAnsi="Cambria Math"/>
                      </w:rPr>
                      <m:t>z</m:t>
                    </m:r>
                  </m:e>
                  <m:sub>
                    <m:r>
                      <m:rPr>
                        <m:sty m:val="p"/>
                      </m:rPr>
                      <w:rPr>
                        <w:rFonts w:ascii="Cambria Math" w:hAnsi="Cambria Math"/>
                      </w:rPr>
                      <m:t>1</m:t>
                    </m:r>
                  </m:sub>
                </m:sSub>
                <m:r>
                  <m:rPr>
                    <m:sty m:val="p"/>
                  </m:rPr>
                  <w:rPr>
                    <w:rFonts w:ascii="Cambria Math" w:hAnsi="Cambria Math"/>
                  </w:rPr>
                  <m:t>≤z≤</m:t>
                </m:r>
                <m:sSub>
                  <m:sSubPr>
                    <m:ctrlPr>
                      <w:rPr>
                        <w:rFonts w:ascii="Cambria Math" w:hAnsi="Cambria Math"/>
                      </w:rPr>
                    </m:ctrlPr>
                  </m:sSubPr>
                  <m:e>
                    <m:r>
                      <m:rPr>
                        <m:sty m:val="p"/>
                      </m:rPr>
                      <w:rPr>
                        <w:rFonts w:ascii="Cambria Math" w:hAnsi="Cambria Math"/>
                      </w:rPr>
                      <m:t>z</m:t>
                    </m:r>
                  </m:e>
                  <m:sub>
                    <m:r>
                      <m:rPr>
                        <m:sty m:val="p"/>
                      </m:rPr>
                      <w:rPr>
                        <w:rFonts w:ascii="Cambria Math" w:hAnsi="Cambria Math"/>
                      </w:rPr>
                      <m:t>3</m:t>
                    </m:r>
                  </m:sub>
                </m:sSub>
              </m:oMath>
            </m:oMathPara>
          </w:p>
          <w:p w:rsidR="00AB2ED5" w:rsidRPr="006E79F1" w:rsidRDefault="00AB2ED5" w:rsidP="007F2707">
            <w:pPr>
              <w:pStyle w:val="TextoPrincipalV2"/>
            </w:pPr>
            <m:oMathPara>
              <m:oMath>
                <m:r>
                  <m:rPr>
                    <m:sty m:val="p"/>
                  </m:rPr>
                  <w:rPr>
                    <w:rFonts w:ascii="Cambria Math" w:hAnsi="Cambria Math"/>
                  </w:rPr>
                  <m:t>r=</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1</m:t>
                    </m:r>
                  </m:sub>
                </m:sSub>
              </m:oMath>
            </m:oMathPara>
          </w:p>
        </w:tc>
        <w:tc>
          <w:tcPr>
            <w:tcW w:w="851" w:type="pct"/>
          </w:tcPr>
          <w:p w:rsidR="00AB2ED5" w:rsidRPr="006E79F1" w:rsidRDefault="00AB2ED5" w:rsidP="007F2707">
            <w:pPr>
              <w:pStyle w:val="TextoPrincipalV2"/>
            </w:pPr>
            <m:oMathPara>
              <m:oMath>
                <m:r>
                  <m:rPr>
                    <m:sty m:val="p"/>
                  </m:rPr>
                  <w:rPr>
                    <w:rFonts w:ascii="Cambria Math" w:hAnsi="Cambria Math"/>
                  </w:rPr>
                  <m:t>u=0,</m:t>
                </m:r>
              </m:oMath>
            </m:oMathPara>
          </w:p>
        </w:tc>
        <w:tc>
          <w:tcPr>
            <w:tcW w:w="807" w:type="pct"/>
          </w:tcPr>
          <w:p w:rsidR="00AB2ED5" w:rsidRPr="006E79F1" w:rsidRDefault="00AB2ED5" w:rsidP="007F2707">
            <w:pPr>
              <w:pStyle w:val="TextoPrincipalV2"/>
            </w:pPr>
            <m:oMathPara>
              <m:oMath>
                <m:r>
                  <m:rPr>
                    <m:sty m:val="p"/>
                  </m:rPr>
                  <w:rPr>
                    <w:rFonts w:ascii="Cambria Math" w:hAnsi="Cambria Math"/>
                  </w:rPr>
                  <m:t>v=ω r,</m:t>
                </m:r>
              </m:oMath>
            </m:oMathPara>
          </w:p>
        </w:tc>
        <w:tc>
          <w:tcPr>
            <w:tcW w:w="651" w:type="pct"/>
          </w:tcPr>
          <w:p w:rsidR="00AB2ED5" w:rsidRPr="006E79F1" w:rsidRDefault="00AB2ED5" w:rsidP="007F2707">
            <w:pPr>
              <w:pStyle w:val="TextoPrincipalV2"/>
            </w:pPr>
            <m:oMathPara>
              <m:oMath>
                <m:r>
                  <m:rPr>
                    <m:sty m:val="p"/>
                  </m:rPr>
                  <w:rPr>
                    <w:rFonts w:ascii="Cambria Math" w:hAnsi="Cambria Math"/>
                  </w:rPr>
                  <m:t>w=0</m:t>
                </m:r>
              </m:oMath>
            </m:oMathPara>
          </w:p>
        </w:tc>
        <w:tc>
          <w:tcPr>
            <w:tcW w:w="721" w:type="pct"/>
          </w:tcPr>
          <w:p w:rsidR="00AB2ED5" w:rsidRPr="006E79F1" w:rsidRDefault="00AB2ED5" w:rsidP="007F2707">
            <w:pPr>
              <w:pStyle w:val="TextoPrincipalV2"/>
            </w:pPr>
            <w:r w:rsidRPr="006E79F1">
              <w:t>(8)</w:t>
            </w:r>
          </w:p>
        </w:tc>
      </w:tr>
      <w:tr w:rsidR="00AB2ED5" w:rsidRPr="006E79F1" w:rsidTr="007F2707">
        <w:trPr>
          <w:jc w:val="center"/>
        </w:trPr>
        <w:tc>
          <w:tcPr>
            <w:tcW w:w="1970" w:type="pct"/>
          </w:tcPr>
          <w:p w:rsidR="00AB2ED5" w:rsidRPr="006E79F1" w:rsidRDefault="00AB2ED5" w:rsidP="007F2707">
            <w:pPr>
              <w:pStyle w:val="TextoPrincipalV2"/>
            </w:pPr>
            <m:oMathPara>
              <m:oMath>
                <m:r>
                  <m:rPr>
                    <m:sty m:val="p"/>
                  </m:rPr>
                  <w:rPr>
                    <w:rFonts w:ascii="Cambria Math" w:hAnsi="Cambria Math"/>
                  </w:rPr>
                  <m:t>0≤r ≤</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oMath>
            </m:oMathPara>
          </w:p>
          <w:p w:rsidR="00AB2ED5" w:rsidRPr="006E79F1" w:rsidRDefault="00AB2ED5" w:rsidP="007F2707">
            <w:pPr>
              <w:pStyle w:val="TextoPrincipalV2"/>
              <w:jc w:val="center"/>
            </w:pPr>
            <m:oMath>
              <m:r>
                <m:rPr>
                  <m:sty m:val="p"/>
                </m:rPr>
                <w:rPr>
                  <w:rFonts w:ascii="Cambria Math" w:hAnsi="Cambria Math"/>
                </w:rPr>
                <m:t xml:space="preserve">z= </m:t>
              </m:r>
              <m:sSub>
                <m:sSubPr>
                  <m:ctrlPr>
                    <w:rPr>
                      <w:rFonts w:ascii="Cambria Math" w:hAnsi="Cambria Math"/>
                    </w:rPr>
                  </m:ctrlPr>
                </m:sSubPr>
                <m:e>
                  <m:r>
                    <m:rPr>
                      <m:sty m:val="p"/>
                    </m:rPr>
                    <w:rPr>
                      <w:rFonts w:ascii="Cambria Math" w:hAnsi="Cambria Math"/>
                    </w:rPr>
                    <m:t>z</m:t>
                  </m:r>
                </m:e>
                <m:sub>
                  <m:r>
                    <m:rPr>
                      <m:sty m:val="p"/>
                    </m:rPr>
                    <w:rPr>
                      <w:rFonts w:ascii="Cambria Math" w:hAnsi="Cambria Math"/>
                    </w:rPr>
                    <m:t>3</m:t>
                  </m:r>
                </m:sub>
              </m:sSub>
            </m:oMath>
            <w:r w:rsidRPr="006E79F1">
              <w:t>,</w:t>
            </w:r>
            <w:r>
              <w:t xml:space="preserve"> </w:t>
            </w:r>
            <m:oMath>
              <m:r>
                <m:rPr>
                  <m:sty m:val="p"/>
                </m:rPr>
                <w:rPr>
                  <w:rFonts w:ascii="Cambria Math" w:hAnsi="Cambria Math"/>
                </w:rPr>
                <m:t>r=</m:t>
              </m:r>
              <m:sSub>
                <m:sSubPr>
                  <m:ctrlPr>
                    <w:rPr>
                      <w:rFonts w:ascii="Cambria Math" w:hAnsi="Cambria Math"/>
                    </w:rPr>
                  </m:ctrlPr>
                </m:sSubPr>
                <m:e>
                  <m:r>
                    <m:rPr>
                      <m:sty m:val="p"/>
                    </m:rPr>
                    <w:rPr>
                      <w:rFonts w:ascii="Cambria Math" w:hAnsi="Cambria Math"/>
                    </w:rPr>
                    <m:t>r</m:t>
                  </m:r>
                </m:e>
                <m:sub>
                  <m:r>
                    <w:rPr>
                      <w:rFonts w:ascii="Cambria Math" w:hAnsi="Cambria Math"/>
                    </w:rPr>
                    <m:t>4</m:t>
                  </m:r>
                </m:sub>
              </m:sSub>
            </m:oMath>
          </w:p>
        </w:tc>
        <w:tc>
          <w:tcPr>
            <w:tcW w:w="851" w:type="pct"/>
          </w:tcPr>
          <w:p w:rsidR="00AB2ED5" w:rsidRPr="006E79F1" w:rsidRDefault="00AB2ED5" w:rsidP="007F2707">
            <w:pPr>
              <w:pStyle w:val="TextoPrincipalV2"/>
            </w:pPr>
            <m:oMathPara>
              <m:oMath>
                <m:r>
                  <m:rPr>
                    <m:sty m:val="p"/>
                  </m:rPr>
                  <w:rPr>
                    <w:rFonts w:ascii="Cambria Math" w:hAnsi="Cambria Math"/>
                  </w:rPr>
                  <m:t>u=0,</m:t>
                </m:r>
              </m:oMath>
            </m:oMathPara>
          </w:p>
        </w:tc>
        <w:tc>
          <w:tcPr>
            <w:tcW w:w="807" w:type="pct"/>
          </w:tcPr>
          <w:p w:rsidR="00AB2ED5" w:rsidRPr="006E79F1" w:rsidRDefault="00AB2ED5" w:rsidP="007F2707">
            <w:pPr>
              <w:pStyle w:val="TextoPrincipalV2"/>
            </w:pPr>
            <m:oMathPara>
              <m:oMath>
                <m:r>
                  <m:rPr>
                    <m:sty m:val="p"/>
                  </m:rPr>
                  <w:rPr>
                    <w:rFonts w:ascii="Cambria Math" w:hAnsi="Cambria Math"/>
                  </w:rPr>
                  <m:t>v=0,</m:t>
                </m:r>
              </m:oMath>
            </m:oMathPara>
          </w:p>
        </w:tc>
        <w:tc>
          <w:tcPr>
            <w:tcW w:w="651" w:type="pct"/>
          </w:tcPr>
          <w:p w:rsidR="00AB2ED5" w:rsidRPr="006E79F1" w:rsidRDefault="00AB2ED5" w:rsidP="007F2707">
            <w:pPr>
              <w:pStyle w:val="TextoPrincipalV2"/>
            </w:pPr>
            <m:oMathPara>
              <m:oMath>
                <m:r>
                  <m:rPr>
                    <m:sty m:val="p"/>
                  </m:rPr>
                  <w:rPr>
                    <w:rFonts w:ascii="Cambria Math" w:hAnsi="Cambria Math"/>
                  </w:rPr>
                  <m:t>w=0</m:t>
                </m:r>
              </m:oMath>
            </m:oMathPara>
          </w:p>
        </w:tc>
        <w:tc>
          <w:tcPr>
            <w:tcW w:w="721" w:type="pct"/>
          </w:tcPr>
          <w:p w:rsidR="00AB2ED5" w:rsidRPr="006E79F1" w:rsidRDefault="00AB2ED5" w:rsidP="007F2707">
            <w:pPr>
              <w:pStyle w:val="TextoPrincipalV2"/>
            </w:pPr>
            <w:r w:rsidRPr="006E79F1">
              <w:t>(9)</w:t>
            </w:r>
          </w:p>
        </w:tc>
      </w:tr>
    </w:tbl>
    <w:p w:rsidR="00AB2ED5" w:rsidRPr="00FD51BF" w:rsidRDefault="00AB2ED5" w:rsidP="00AB2ED5">
      <w:pPr>
        <w:pStyle w:val="TextoPrincipalV2"/>
      </w:pPr>
    </w:p>
    <w:p w:rsidR="00AB2ED5" w:rsidRPr="00471353" w:rsidRDefault="00AB2ED5" w:rsidP="00AB2ED5">
      <w:pPr>
        <w:pStyle w:val="TextoPrincipalV2"/>
        <w:rPr>
          <w:rFonts w:eastAsia="Calibri"/>
        </w:rPr>
      </w:pPr>
      <w:r w:rsidRPr="006E79F1">
        <w:t>En las condiciones de frontera r</w:t>
      </w:r>
      <w:r w:rsidRPr="006E79F1">
        <w:rPr>
          <w:vertAlign w:val="subscript"/>
        </w:rPr>
        <w:t>1</w:t>
      </w:r>
      <w:r w:rsidRPr="006E79F1">
        <w:t>, r</w:t>
      </w:r>
      <w:r w:rsidRPr="006E79F1">
        <w:rPr>
          <w:vertAlign w:val="subscript"/>
        </w:rPr>
        <w:t>2</w:t>
      </w:r>
      <w:r w:rsidRPr="006E79F1">
        <w:t xml:space="preserve"> y r</w:t>
      </w:r>
      <w:r w:rsidRPr="006E79F1">
        <w:rPr>
          <w:vertAlign w:val="subscript"/>
        </w:rPr>
        <w:t>3</w:t>
      </w:r>
      <w:r w:rsidRPr="006E79F1">
        <w:t xml:space="preserve"> corresponden al radio de la flecha, del impulsor y del tanque, respectivamente; z</w:t>
      </w:r>
      <w:r w:rsidRPr="006E79F1">
        <w:rPr>
          <w:vertAlign w:val="subscript"/>
        </w:rPr>
        <w:t>1</w:t>
      </w:r>
      <w:r w:rsidRPr="006E79F1">
        <w:t xml:space="preserve"> y z</w:t>
      </w:r>
      <w:r w:rsidRPr="006E79F1">
        <w:rPr>
          <w:vertAlign w:val="subscript"/>
        </w:rPr>
        <w:t>3</w:t>
      </w:r>
      <w:r w:rsidRPr="006E79F1">
        <w:t>, es la distancia desde el fondo del recipiente hasta la parte recta y tapa del depósito, respectivamente, z</w:t>
      </w:r>
      <w:r w:rsidRPr="006E79F1">
        <w:rPr>
          <w:vertAlign w:val="subscript"/>
        </w:rPr>
        <w:t>2</w:t>
      </w:r>
      <w:r w:rsidRPr="006E79F1">
        <w:t xml:space="preserve"> y z</w:t>
      </w:r>
      <w:r w:rsidRPr="006E79F1">
        <w:rPr>
          <w:vertAlign w:val="subscript"/>
        </w:rPr>
        <w:t>1</w:t>
      </w:r>
      <w:r w:rsidRPr="006E79F1">
        <w:t>, z</w:t>
      </w:r>
      <w:r w:rsidRPr="006E79F1">
        <w:rPr>
          <w:vertAlign w:val="subscript"/>
        </w:rPr>
        <w:t>5</w:t>
      </w:r>
      <w:r w:rsidRPr="006E79F1">
        <w:t xml:space="preserve"> y z</w:t>
      </w:r>
      <w:r w:rsidRPr="006E79F1">
        <w:rPr>
          <w:vertAlign w:val="subscript"/>
        </w:rPr>
        <w:t>6</w:t>
      </w:r>
      <w:r w:rsidRPr="006E79F1">
        <w:t>, son las distancias desde el fondo del depósito hasta la parte inferior y superior de los impulsores, respectivamente; y ω es la velocidad angular con que giran los impulsores y la flecha (Figs. 1, 2). Para sistemas rotatorios el número de Reynolds (Re) se define como</w:t>
      </w:r>
      <w:r>
        <w:t xml:space="preserve">: </w:t>
      </w:r>
      <m:oMath>
        <m:r>
          <m:rPr>
            <m:sty m:val="p"/>
          </m:rPr>
          <w:rPr>
            <w:rFonts w:ascii="Cambria Math" w:eastAsia="Calibri"/>
          </w:rPr>
          <m:t>Re=</m:t>
        </m:r>
        <m:f>
          <m:fPr>
            <m:ctrlPr>
              <w:rPr>
                <w:rFonts w:ascii="Cambria Math" w:eastAsia="Calibri" w:hAnsi="Cambria Math"/>
                <w:iCs/>
              </w:rPr>
            </m:ctrlPr>
          </m:fPr>
          <m:num>
            <m:r>
              <w:rPr>
                <w:rFonts w:ascii="Cambria Math" w:eastAsia="Calibri"/>
              </w:rPr>
              <m:t>ω</m:t>
            </m:r>
            <m:sSubSup>
              <m:sSubSupPr>
                <m:ctrlPr>
                  <w:rPr>
                    <w:rFonts w:ascii="Cambria Math" w:eastAsia="Calibri" w:hAnsi="Cambria Math"/>
                    <w:iCs/>
                  </w:rPr>
                </m:ctrlPr>
              </m:sSubSupPr>
              <m:e>
                <m:r>
                  <m:rPr>
                    <m:sty m:val="p"/>
                  </m:rPr>
                  <w:rPr>
                    <w:rFonts w:ascii="Cambria Math" w:eastAsia="Calibri"/>
                  </w:rPr>
                  <m:t>r</m:t>
                </m:r>
              </m:e>
              <m:sub>
                <m:r>
                  <m:rPr>
                    <m:sty m:val="p"/>
                  </m:rPr>
                  <w:rPr>
                    <w:rFonts w:ascii="Cambria Math" w:eastAsia="Calibri"/>
                  </w:rPr>
                  <m:t>2</m:t>
                </m:r>
              </m:sub>
              <m:sup>
                <m:r>
                  <m:rPr>
                    <m:sty m:val="p"/>
                  </m:rPr>
                  <w:rPr>
                    <w:rFonts w:ascii="Cambria Math" w:eastAsia="Calibri"/>
                  </w:rPr>
                  <m:t>2</m:t>
                </m:r>
              </m:sup>
            </m:sSubSup>
          </m:num>
          <m:den>
            <m:r>
              <w:rPr>
                <w:rFonts w:ascii="Cambria Math" w:eastAsia="Calibri"/>
              </w:rPr>
              <m:t>ν</m:t>
            </m:r>
          </m:den>
        </m:f>
      </m:oMath>
      <w:r>
        <w:rPr>
          <w:iCs/>
        </w:rPr>
        <w:t xml:space="preserve">. </w:t>
      </w:r>
      <w:r w:rsidRPr="003B6D8D">
        <w:t>Para el sistema con impulsores de flujo axial (±30°) las condiciones de frontera se esbozan de manera equivalente a las de los impulsores de disco, a diferencia de que se le asigna la condición de no deslizamiento y la expresión v=ωr a la superficie de los álabes de los impulsores</w:t>
      </w:r>
    </w:p>
    <w:p w:rsidR="00AB2ED5" w:rsidRDefault="00AB2ED5" w:rsidP="00AB2ED5">
      <w:pPr>
        <w:pStyle w:val="TextoPrincipalV2"/>
      </w:pPr>
    </w:p>
    <w:p w:rsidR="00AB2ED5" w:rsidRDefault="00AB2ED5" w:rsidP="00390F7C">
      <w:pPr>
        <w:pStyle w:val="11Ttulo"/>
        <w:numPr>
          <w:ilvl w:val="1"/>
          <w:numId w:val="46"/>
        </w:numPr>
      </w:pPr>
      <w:r>
        <w:lastRenderedPageBreak/>
        <w:t>Solución numérica</w:t>
      </w:r>
    </w:p>
    <w:p w:rsidR="00AB2ED5" w:rsidRDefault="00AB2ED5" w:rsidP="00AB2ED5">
      <w:pPr>
        <w:pStyle w:val="TextoPrincipalV2"/>
      </w:pPr>
      <w:r w:rsidRPr="003B6D8D">
        <w:t>La solución de las ecuaciones de continuidad y momentum (1) (2), (3) y (4), junto con las condiciones de frontera (5) a (9), se consiguió al emplear el método numérico del elemento finito, a través del software COMSOL MULTIPHYSICS. El procedimiento fue el siguiente [1</w:t>
      </w:r>
      <w:r>
        <w:t>1</w:t>
      </w:r>
      <w:r w:rsidRPr="003B6D8D">
        <w:t>]:</w:t>
      </w:r>
    </w:p>
    <w:p w:rsidR="00AB2ED5" w:rsidRPr="003B6D8D" w:rsidRDefault="00AB2ED5" w:rsidP="00AB2ED5">
      <w:pPr>
        <w:pStyle w:val="TextoPrincipalV2"/>
      </w:pPr>
      <w:r w:rsidRPr="003B6D8D">
        <w:t>a) Se selecciona en el software el entorno gráfico de los casos a estudiar. En este caso fue el de tres dimensiones, 3D.</w:t>
      </w:r>
    </w:p>
    <w:p w:rsidR="00AB2ED5" w:rsidRDefault="00AB2ED5" w:rsidP="00AB2ED5">
      <w:pPr>
        <w:pStyle w:val="TextoPrincipalV2"/>
      </w:pPr>
      <w:r w:rsidRPr="003B6D8D">
        <w:t xml:space="preserve">b) Se dibujan las geometrías a analizar y se generan los elementos de los modelos. Para este caso se dibujó un cilindro de 4.5 cm de radio, 9 cm de parte recta y 3 cm de fondo, una flecha para sujetar los impulsores de 0.5 cm de radio por 9.5 cm de </w:t>
      </w:r>
      <w:r>
        <w:t>longitud</w:t>
      </w:r>
      <w:r w:rsidRPr="003B6D8D">
        <w:t>. Un impulsor de disco de 2 cm de radio por 0.5 cm de espesor. Un impulsor de flujo axial de 2 cm de radio proyectado con tres álabes rectos de 0.5 cm de altura por 0.1 cm de espesor. Los álabes de los impulsores de flujo axial se dibujaron con una inclinación de ±30° respecto al eje vertical de la flecha. En los sistemas con impulsor de disco y de flujo axial se generaron 211,000 y 243,000 elementos, respectivamente</w:t>
      </w:r>
      <w:r>
        <w:t xml:space="preserve">. </w:t>
      </w:r>
      <w:r w:rsidRPr="003B6D8D">
        <w:t>Se hizo un análisis de independencia de malla al analizar los resultados de la velocidad del flujo con diferentes simulaciones. Se determinó que para una malla más fina que la construida, los valores de la velocidad del flujo son prácticamente los mismos, por lo que la malla elegida fue la correcta.</w:t>
      </w:r>
    </w:p>
    <w:p w:rsidR="00AB2ED5" w:rsidRPr="00706EE9" w:rsidRDefault="00AB2ED5" w:rsidP="00AB2ED5">
      <w:pPr>
        <w:pStyle w:val="TextoPrincipalV2"/>
      </w:pPr>
      <w:r w:rsidRPr="00706EE9">
        <w:t>c) Se introduce al software el valor de las propiedades termofísicas del agua cuyas propiedades permanecen constantes: viscosidad dinámica (µ), densidad (ρ), calor específico (C), coeficiente de expansión volumétrico (</w:t>
      </w:r>
      <w:r w:rsidRPr="00706EE9">
        <w:rPr>
          <w:lang w:val="en-US"/>
        </w:rPr>
        <w:t>β</w:t>
      </w:r>
      <w:r w:rsidRPr="00706EE9">
        <w:t>) y conductividad térmica (k). La presión se maneja con el algoritmo de relajación (TDMA) y se utiliza el modelo k-ε estándar, debido a que contempla números de Reynolds altos y supone tanto la viscosidad turbulenta como isotrópica.</w:t>
      </w:r>
    </w:p>
    <w:p w:rsidR="00AB2ED5" w:rsidRPr="00706EE9" w:rsidRDefault="00AB2ED5" w:rsidP="00AB2ED5">
      <w:pPr>
        <w:pStyle w:val="TextoPrincipalV2"/>
      </w:pPr>
      <w:r w:rsidRPr="00706EE9">
        <w:t>d) Se introducen las condiciones de frontera y se da el valor de la velocidad angular a la que va a girar la flecha y los impulsores, en este caso 13.61 rad/s en sentido horario.</w:t>
      </w:r>
    </w:p>
    <w:p w:rsidR="00AB2ED5" w:rsidRPr="00706EE9" w:rsidRDefault="00AB2ED5" w:rsidP="00AB2ED5">
      <w:pPr>
        <w:pStyle w:val="TextoPrincipalV2"/>
      </w:pPr>
      <w:r w:rsidRPr="00706EE9">
        <w:t>e) Se efectúan las simulaciones de los modelos hasta obtener su convergencia. De los resultados obtenidos se exportan las magnitudes de los campos de velocidad</w:t>
      </w:r>
      <w:r>
        <w:t xml:space="preserve"> </w:t>
      </w:r>
      <w:r w:rsidRPr="00977823">
        <w:t>(</w:t>
      </w:r>
      <m:oMath>
        <m:acc>
          <m:accPr>
            <m:chr m:val="⃑"/>
            <m:ctrlPr>
              <w:rPr>
                <w:rFonts w:ascii="Cambria Math" w:eastAsia="Calibri" w:hAnsi="Cambria Math"/>
              </w:rPr>
            </m:ctrlPr>
          </m:accPr>
          <m:e>
            <m:r>
              <m:rPr>
                <m:sty m:val="p"/>
              </m:rPr>
              <w:rPr>
                <w:rFonts w:ascii="Cambria Math" w:eastAsia="Calibri"/>
              </w:rPr>
              <m:t>V</m:t>
            </m:r>
          </m:e>
        </m:acc>
      </m:oMath>
      <w:r w:rsidRPr="00977823">
        <w:t xml:space="preserve">) </w:t>
      </w:r>
      <w:r w:rsidRPr="00706EE9">
        <w:t>y de las componentes de velocidad radial (u) y axial (w).</w:t>
      </w:r>
    </w:p>
    <w:p w:rsidR="00AB2ED5" w:rsidRDefault="00AB2ED5" w:rsidP="00AB2ED5">
      <w:pPr>
        <w:pStyle w:val="TextoPrincipalV2"/>
      </w:pPr>
    </w:p>
    <w:p w:rsidR="00AB2ED5" w:rsidRPr="00A7164B" w:rsidRDefault="00AB2ED5" w:rsidP="00390F7C">
      <w:pPr>
        <w:pStyle w:val="1Titulo"/>
        <w:numPr>
          <w:ilvl w:val="0"/>
          <w:numId w:val="47"/>
        </w:numPr>
        <w:ind w:left="357" w:hanging="357"/>
      </w:pPr>
      <w:bookmarkStart w:id="284" w:name="_Toc50031356"/>
      <w:r w:rsidRPr="00A7164B">
        <w:t>Resultados y discusión</w:t>
      </w:r>
      <w:bookmarkEnd w:id="284"/>
    </w:p>
    <w:p w:rsidR="00AB2ED5" w:rsidRDefault="00AB2ED5" w:rsidP="00AB2ED5">
      <w:pPr>
        <w:pStyle w:val="TextoPrincipalV2"/>
      </w:pPr>
      <w:r w:rsidRPr="00706EE9">
        <w:t>Una vez elaborada la programación de los modelos se procedió a correr el programa. Para los dos casos en estudio se empleó agua como fluido de trabajo; al conjuntar la geometría de los sistemas se obtuvo un número de Reynolds de 2.17x10</w:t>
      </w:r>
      <w:r w:rsidRPr="00706EE9">
        <w:rPr>
          <w:vertAlign w:val="superscript"/>
        </w:rPr>
        <w:t>4</w:t>
      </w:r>
      <w:r w:rsidRPr="00706EE9">
        <w:t>. Los arreglos se dimensionaron de la siguiente manera: r</w:t>
      </w:r>
      <w:r w:rsidRPr="00706EE9">
        <w:rPr>
          <w:vertAlign w:val="subscript"/>
        </w:rPr>
        <w:t>1</w:t>
      </w:r>
      <w:r w:rsidRPr="00706EE9">
        <w:t>=0.5 cm, r</w:t>
      </w:r>
      <w:r w:rsidRPr="00706EE9">
        <w:rPr>
          <w:vertAlign w:val="subscript"/>
        </w:rPr>
        <w:t>2</w:t>
      </w:r>
      <w:r w:rsidRPr="00706EE9">
        <w:t>=2 cm, r</w:t>
      </w:r>
      <w:r w:rsidRPr="00706EE9">
        <w:rPr>
          <w:vertAlign w:val="subscript"/>
        </w:rPr>
        <w:t>3</w:t>
      </w:r>
      <w:r w:rsidRPr="00706EE9">
        <w:t>=4.5 cm, r</w:t>
      </w:r>
      <w:r w:rsidRPr="00706EE9">
        <w:rPr>
          <w:vertAlign w:val="subscript"/>
        </w:rPr>
        <w:t>4</w:t>
      </w:r>
      <w:r w:rsidRPr="00706EE9">
        <w:t>=4.88 cm, z</w:t>
      </w:r>
      <w:r w:rsidRPr="00706EE9">
        <w:rPr>
          <w:vertAlign w:val="subscript"/>
        </w:rPr>
        <w:t>1</w:t>
      </w:r>
      <w:r w:rsidRPr="00706EE9">
        <w:t>=3 cm, z</w:t>
      </w:r>
      <w:r w:rsidRPr="00706EE9">
        <w:rPr>
          <w:vertAlign w:val="subscript"/>
        </w:rPr>
        <w:t>2</w:t>
      </w:r>
      <w:r w:rsidRPr="00706EE9">
        <w:t>=2.5 cm, z</w:t>
      </w:r>
      <w:r w:rsidRPr="00706EE9">
        <w:rPr>
          <w:vertAlign w:val="subscript"/>
        </w:rPr>
        <w:t>3</w:t>
      </w:r>
      <w:r w:rsidRPr="00706EE9">
        <w:t>=12 cm, z</w:t>
      </w:r>
      <w:r w:rsidRPr="00706EE9">
        <w:rPr>
          <w:vertAlign w:val="subscript"/>
        </w:rPr>
        <w:t>4</w:t>
      </w:r>
      <w:r w:rsidRPr="00706EE9">
        <w:t>=4.5 cm, z</w:t>
      </w:r>
      <w:r w:rsidRPr="00706EE9">
        <w:rPr>
          <w:vertAlign w:val="subscript"/>
        </w:rPr>
        <w:t>5</w:t>
      </w:r>
      <w:r w:rsidRPr="00706EE9">
        <w:t>=7 cm, z</w:t>
      </w:r>
      <w:r w:rsidRPr="00706EE9">
        <w:rPr>
          <w:vertAlign w:val="subscript"/>
        </w:rPr>
        <w:t>6</w:t>
      </w:r>
      <w:r w:rsidRPr="00706EE9">
        <w:t>=7.5 cm, n=3 álabes, ángulo de inclinación de los álabes ±30° y ω=13.61 rad/s, giro en sentido horario</w:t>
      </w:r>
      <w:r w:rsidRPr="00FD51BF">
        <w:t>.</w:t>
      </w:r>
    </w:p>
    <w:p w:rsidR="00AB2ED5" w:rsidRPr="00706EE9" w:rsidRDefault="00AB2ED5" w:rsidP="00AB2ED5">
      <w:pPr>
        <w:pStyle w:val="TextoPrincipalV2"/>
      </w:pPr>
      <w:r w:rsidRPr="00706EE9">
        <w:t>Los campos de velocidad</w:t>
      </w:r>
      <w:r>
        <w:t xml:space="preserve"> </w:t>
      </w:r>
      <w:r w:rsidRPr="00977823">
        <w:t>(</w:t>
      </w:r>
      <m:oMath>
        <m:acc>
          <m:accPr>
            <m:chr m:val="⃑"/>
            <m:ctrlPr>
              <w:rPr>
                <w:rFonts w:ascii="Cambria Math" w:eastAsia="Calibri" w:hAnsi="Cambria Math"/>
              </w:rPr>
            </m:ctrlPr>
          </m:accPr>
          <m:e>
            <m:r>
              <m:rPr>
                <m:sty m:val="p"/>
              </m:rPr>
              <w:rPr>
                <w:rFonts w:ascii="Cambria Math" w:eastAsia="Calibri"/>
              </w:rPr>
              <m:t>V</m:t>
            </m:r>
          </m:e>
        </m:acc>
      </m:oMath>
      <w:r w:rsidRPr="00977823">
        <w:t>)</w:t>
      </w:r>
      <w:r w:rsidRPr="00706EE9">
        <w:t xml:space="preserve"> para los depósitos con impulsores de disco y de flujo axial (±30°) se muestran en las Figs. </w:t>
      </w:r>
      <w:r>
        <w:t>4</w:t>
      </w:r>
      <w:r w:rsidRPr="00706EE9">
        <w:t xml:space="preserve"> y </w:t>
      </w:r>
      <w:r>
        <w:t>5</w:t>
      </w:r>
      <w:r w:rsidRPr="00706EE9">
        <w:t>, respectivamente. En ellas se han resaltado algunos valores de la velocidad para ciertos puntos de interés, con el fin de hacer una comparación del desempeño del flujo. Cabe señalar que se está considerando la dirección del flujo positiva en sentido horario (+) y negativa en sentido anti horario (-).</w:t>
      </w:r>
    </w:p>
    <w:p w:rsidR="00AB2ED5" w:rsidRDefault="00AB2ED5" w:rsidP="00AB2ED5">
      <w:pPr>
        <w:pStyle w:val="TextoPrincipalV2"/>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703"/>
      </w:tblGrid>
      <w:tr w:rsidR="00AB2ED5" w:rsidTr="007F2707">
        <w:tc>
          <w:tcPr>
            <w:tcW w:w="4772" w:type="dxa"/>
          </w:tcPr>
          <w:p w:rsidR="00AB2ED5" w:rsidRDefault="00AB2ED5" w:rsidP="007F2707">
            <w:pPr>
              <w:pStyle w:val="Textoindependiente"/>
              <w:jc w:val="center"/>
              <w:rPr>
                <w:rFonts w:ascii="Arial" w:hAnsi="Arial" w:cs="Arial"/>
                <w:b w:val="0"/>
                <w:sz w:val="24"/>
              </w:rPr>
            </w:pPr>
            <w:r>
              <w:rPr>
                <w:rFonts w:ascii="Arial" w:hAnsi="Arial" w:cs="Arial"/>
                <w:b w:val="0"/>
                <w:bCs w:val="0"/>
                <w:noProof/>
                <w:sz w:val="20"/>
                <w:lang w:val="en-US"/>
              </w:rPr>
              <w:lastRenderedPageBreak/>
              <w:drawing>
                <wp:inline distT="0" distB="0" distL="0" distR="0" wp14:anchorId="7AFEE8B8" wp14:editId="2032D6B4">
                  <wp:extent cx="2221515" cy="2160000"/>
                  <wp:effectExtent l="0" t="0" r="7620" b="0"/>
                  <wp:docPr id="2026623707" name="Imagen 202662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2221515" cy="2160000"/>
                          </a:xfrm>
                          <a:prstGeom prst="rect">
                            <a:avLst/>
                          </a:prstGeom>
                          <a:noFill/>
                        </pic:spPr>
                      </pic:pic>
                    </a:graphicData>
                  </a:graphic>
                </wp:inline>
              </w:drawing>
            </w:r>
          </w:p>
        </w:tc>
        <w:tc>
          <w:tcPr>
            <w:tcW w:w="4772" w:type="dxa"/>
          </w:tcPr>
          <w:p w:rsidR="00AB2ED5" w:rsidRDefault="00AB2ED5" w:rsidP="007F2707">
            <w:pPr>
              <w:pStyle w:val="Textoindependiente"/>
              <w:jc w:val="center"/>
              <w:rPr>
                <w:rFonts w:ascii="Arial" w:hAnsi="Arial" w:cs="Arial"/>
                <w:b w:val="0"/>
                <w:sz w:val="24"/>
              </w:rPr>
            </w:pPr>
            <w:r>
              <w:rPr>
                <w:rFonts w:ascii="Arial" w:hAnsi="Arial" w:cs="Arial"/>
                <w:b w:val="0"/>
                <w:bCs w:val="0"/>
                <w:noProof/>
                <w:sz w:val="20"/>
                <w:lang w:val="en-US"/>
              </w:rPr>
              <w:drawing>
                <wp:inline distT="0" distB="0" distL="0" distR="0" wp14:anchorId="5963749B" wp14:editId="577D4782">
                  <wp:extent cx="2251881" cy="2189527"/>
                  <wp:effectExtent l="0" t="0" r="0" b="1270"/>
                  <wp:docPr id="2026623708" name="Imagen 202662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0" y="0"/>
                            <a:ext cx="2257425" cy="2194918"/>
                          </a:xfrm>
                          <a:prstGeom prst="rect">
                            <a:avLst/>
                          </a:prstGeom>
                          <a:noFill/>
                        </pic:spPr>
                      </pic:pic>
                    </a:graphicData>
                  </a:graphic>
                </wp:inline>
              </w:drawing>
            </w:r>
          </w:p>
        </w:tc>
      </w:tr>
      <w:tr w:rsidR="00AB2ED5" w:rsidRPr="00E9000B" w:rsidTr="007F2707">
        <w:tc>
          <w:tcPr>
            <w:tcW w:w="4772" w:type="dxa"/>
          </w:tcPr>
          <w:p w:rsidR="00AB2ED5" w:rsidRPr="00E9000B" w:rsidRDefault="00AB2ED5" w:rsidP="007F2707">
            <w:pPr>
              <w:pStyle w:val="TextoPrincipalV2"/>
              <w:jc w:val="center"/>
              <w:rPr>
                <w:i/>
                <w:sz w:val="20"/>
                <w:szCs w:val="20"/>
              </w:rPr>
            </w:pPr>
            <w:r w:rsidRPr="00E9000B">
              <w:rPr>
                <w:i/>
                <w:sz w:val="20"/>
                <w:szCs w:val="20"/>
              </w:rPr>
              <w:t xml:space="preserve">Figura </w:t>
            </w:r>
            <w:r>
              <w:rPr>
                <w:i/>
                <w:sz w:val="20"/>
                <w:szCs w:val="20"/>
              </w:rPr>
              <w:t>4</w:t>
            </w:r>
            <w:r w:rsidRPr="00E9000B">
              <w:rPr>
                <w:i/>
                <w:sz w:val="20"/>
                <w:szCs w:val="20"/>
              </w:rPr>
              <w:t xml:space="preserve"> Campo de velocidades</w:t>
            </w:r>
            <w:r>
              <w:rPr>
                <w:i/>
                <w:sz w:val="20"/>
                <w:szCs w:val="20"/>
              </w:rPr>
              <w:t xml:space="preserve"> </w:t>
            </w:r>
            <w:r w:rsidRPr="003B4E7C">
              <w:rPr>
                <w:sz w:val="20"/>
                <w:szCs w:val="20"/>
              </w:rPr>
              <w:t>(</w:t>
            </w:r>
            <m:oMath>
              <m:acc>
                <m:accPr>
                  <m:chr m:val="⃑"/>
                  <m:ctrlPr>
                    <w:rPr>
                      <w:rFonts w:ascii="Cambria Math" w:eastAsia="Calibri" w:hAnsi="Cambria Math"/>
                      <w:sz w:val="20"/>
                      <w:szCs w:val="20"/>
                    </w:rPr>
                  </m:ctrlPr>
                </m:accPr>
                <m:e>
                  <m:r>
                    <m:rPr>
                      <m:sty m:val="p"/>
                    </m:rPr>
                    <w:rPr>
                      <w:rFonts w:ascii="Cambria Math" w:eastAsia="Calibri"/>
                      <w:sz w:val="20"/>
                      <w:szCs w:val="20"/>
                    </w:rPr>
                    <m:t>V</m:t>
                  </m:r>
                </m:e>
              </m:acc>
            </m:oMath>
            <w:r w:rsidRPr="003B4E7C">
              <w:rPr>
                <w:sz w:val="20"/>
                <w:szCs w:val="20"/>
              </w:rPr>
              <w:t>)</w:t>
            </w:r>
            <w:r w:rsidRPr="00E9000B">
              <w:rPr>
                <w:i/>
                <w:sz w:val="20"/>
                <w:szCs w:val="20"/>
              </w:rPr>
              <w:t xml:space="preserve"> para modelo con impulsores de disco</w:t>
            </w:r>
          </w:p>
        </w:tc>
        <w:tc>
          <w:tcPr>
            <w:tcW w:w="4772" w:type="dxa"/>
          </w:tcPr>
          <w:p w:rsidR="00AB2ED5" w:rsidRPr="003B4E7C" w:rsidRDefault="00AB2ED5" w:rsidP="007F2707">
            <w:pPr>
              <w:pStyle w:val="TextoPrincipalV2"/>
              <w:rPr>
                <w:i/>
                <w:sz w:val="20"/>
                <w:szCs w:val="20"/>
              </w:rPr>
            </w:pPr>
            <w:r w:rsidRPr="003B4E7C">
              <w:rPr>
                <w:i/>
                <w:sz w:val="20"/>
                <w:szCs w:val="20"/>
              </w:rPr>
              <w:t xml:space="preserve">Figura </w:t>
            </w:r>
            <w:r w:rsidRPr="003B4E7C">
              <w:rPr>
                <w:b/>
                <w:i/>
                <w:sz w:val="20"/>
                <w:szCs w:val="20"/>
              </w:rPr>
              <w:t>5</w:t>
            </w:r>
            <w:r w:rsidRPr="003B4E7C">
              <w:rPr>
                <w:i/>
                <w:sz w:val="20"/>
                <w:szCs w:val="20"/>
              </w:rPr>
              <w:t xml:space="preserve"> Campo de velocidades</w:t>
            </w:r>
            <w:r w:rsidRPr="003B4E7C">
              <w:rPr>
                <w:b/>
                <w:i/>
                <w:sz w:val="20"/>
                <w:szCs w:val="20"/>
              </w:rPr>
              <w:t xml:space="preserve"> </w:t>
            </w:r>
            <w:r w:rsidRPr="003B4E7C">
              <w:rPr>
                <w:i/>
                <w:sz w:val="20"/>
                <w:szCs w:val="20"/>
              </w:rPr>
              <w:t>(</w:t>
            </w:r>
            <m:oMath>
              <m:acc>
                <m:accPr>
                  <m:chr m:val="⃑"/>
                  <m:ctrlPr>
                    <w:rPr>
                      <w:rFonts w:ascii="Cambria Math" w:eastAsia="Calibri" w:hAnsi="Cambria Math"/>
                      <w:i/>
                      <w:sz w:val="20"/>
                      <w:szCs w:val="20"/>
                    </w:rPr>
                  </m:ctrlPr>
                </m:accPr>
                <m:e>
                  <m:r>
                    <w:rPr>
                      <w:rFonts w:ascii="Cambria Math" w:eastAsia="Calibri" w:hAnsi="Cambria Math"/>
                      <w:sz w:val="20"/>
                      <w:szCs w:val="20"/>
                    </w:rPr>
                    <m:t>V</m:t>
                  </m:r>
                </m:e>
              </m:acc>
            </m:oMath>
            <w:r w:rsidRPr="003B4E7C">
              <w:rPr>
                <w:i/>
                <w:sz w:val="20"/>
                <w:szCs w:val="20"/>
              </w:rPr>
              <w:t>)</w:t>
            </w:r>
          </w:p>
          <w:p w:rsidR="00AB2ED5" w:rsidRPr="00E9000B" w:rsidRDefault="00AB2ED5" w:rsidP="007F2707">
            <w:pPr>
              <w:pStyle w:val="Textoindependiente"/>
              <w:jc w:val="center"/>
              <w:rPr>
                <w:rFonts w:ascii="Arial" w:hAnsi="Arial" w:cs="Arial"/>
                <w:b w:val="0"/>
                <w:i/>
                <w:sz w:val="20"/>
              </w:rPr>
            </w:pPr>
            <w:r w:rsidRPr="003B4E7C">
              <w:rPr>
                <w:rFonts w:ascii="Arial" w:hAnsi="Arial" w:cs="Arial"/>
                <w:b w:val="0"/>
                <w:i/>
                <w:sz w:val="20"/>
              </w:rPr>
              <w:t xml:space="preserve"> para modelo con impulsores de flujo axia</w:t>
            </w:r>
            <w:r>
              <w:rPr>
                <w:rFonts w:ascii="Arial" w:hAnsi="Arial" w:cs="Arial"/>
                <w:b w:val="0"/>
                <w:i/>
                <w:sz w:val="20"/>
              </w:rPr>
              <w:t>l</w:t>
            </w:r>
          </w:p>
        </w:tc>
      </w:tr>
    </w:tbl>
    <w:p w:rsidR="00AB2ED5" w:rsidRDefault="00AB2ED5" w:rsidP="00AB2ED5">
      <w:pPr>
        <w:pStyle w:val="TextoPrincipalV2"/>
      </w:pPr>
    </w:p>
    <w:p w:rsidR="00AB2ED5" w:rsidRDefault="00AB2ED5" w:rsidP="00AB2ED5">
      <w:pPr>
        <w:pStyle w:val="TextoPrincipalV2"/>
        <w:rPr>
          <w:bCs w:val="0"/>
        </w:rPr>
      </w:pPr>
      <w:r w:rsidRPr="00706EE9">
        <w:t xml:space="preserve">En el modelo con impulsores de disco, Fig. </w:t>
      </w:r>
      <w:r>
        <w:t>4</w:t>
      </w:r>
      <w:r w:rsidRPr="00706EE9">
        <w:t>, se observa que el fluido es lanzado por los impulsores hacia las paredes del contenedor</w:t>
      </w:r>
      <w:r>
        <w:t>.</w:t>
      </w:r>
      <w:r w:rsidRPr="00706EE9">
        <w:t xml:space="preserve"> En la parte superior izquierda del tanque se aprecia un vórtice de tamaño considerable que gira en sentido horario y que es generado por el disco de arriba. En la zona comprendida entre los dos discos y de lado izquierdo del sistema, se presentan dos vórtices pequeños. Finalmente, en la región que está debajo del impulsor inferior se observa un vórtice de mediana magnitud que abarca hasta el fondo del recipiente, éste gira en sentido anti horario. El campo de velocidades muestra que en las proximidades de la flecha y de los discos se presentan los valores más altos de la velocidad y que lejos de los mismos su intensidad va disminuyendo. Las magnitudes que toma el vector velocidad</w:t>
      </w:r>
      <w:r>
        <w:t xml:space="preserve"> </w:t>
      </w:r>
      <w:r w:rsidRPr="00977823">
        <w:t>(</w:t>
      </w:r>
      <m:oMath>
        <m:acc>
          <m:accPr>
            <m:chr m:val="⃑"/>
            <m:ctrlPr>
              <w:rPr>
                <w:rFonts w:ascii="Cambria Math" w:eastAsia="Calibri" w:hAnsi="Cambria Math"/>
              </w:rPr>
            </m:ctrlPr>
          </m:accPr>
          <m:e>
            <m:r>
              <m:rPr>
                <m:sty m:val="p"/>
              </m:rPr>
              <w:rPr>
                <w:rFonts w:ascii="Cambria Math" w:eastAsia="Calibri"/>
              </w:rPr>
              <m:t>V</m:t>
            </m:r>
          </m:e>
        </m:acc>
      </m:oMath>
      <w:r w:rsidRPr="00977823">
        <w:t xml:space="preserve">) </w:t>
      </w:r>
      <w:r w:rsidRPr="00706EE9">
        <w:t>en los puntos seleccionados son: +0.0186, -0.0385, +0.039 y -0.0321 m/s.</w:t>
      </w:r>
      <w:r>
        <w:t xml:space="preserve"> </w:t>
      </w:r>
      <w:r w:rsidRPr="004963CE">
        <w:rPr>
          <w:bCs w:val="0"/>
        </w:rPr>
        <w:t>En el modelo con impulsores de flujo axial descendente (+30°) y ascendente (-30°), Fig. 5, se aprecia que el comportamiento es similar al anterior, pero con valores de velocidad mayores. L</w:t>
      </w:r>
      <w:r>
        <w:rPr>
          <w:bCs w:val="0"/>
        </w:rPr>
        <w:t>a</w:t>
      </w:r>
      <w:r w:rsidRPr="004963CE">
        <w:rPr>
          <w:bCs w:val="0"/>
        </w:rPr>
        <w:t xml:space="preserve">s </w:t>
      </w:r>
      <w:r>
        <w:rPr>
          <w:bCs w:val="0"/>
        </w:rPr>
        <w:t>magnitudes</w:t>
      </w:r>
      <w:r w:rsidRPr="004963CE">
        <w:rPr>
          <w:bCs w:val="0"/>
        </w:rPr>
        <w:t xml:space="preserve"> que toma el vector velocidad (</w:t>
      </w:r>
      <m:oMath>
        <m:acc>
          <m:accPr>
            <m:chr m:val="⃑"/>
            <m:ctrlPr>
              <w:rPr>
                <w:rFonts w:ascii="Cambria Math" w:hAnsi="Cambria Math"/>
              </w:rPr>
            </m:ctrlPr>
          </m:accPr>
          <m:e>
            <m:r>
              <m:rPr>
                <m:sty m:val="p"/>
              </m:rPr>
              <w:rPr>
                <w:rFonts w:ascii="Cambria Math"/>
              </w:rPr>
              <m:t>V</m:t>
            </m:r>
          </m:e>
        </m:acc>
      </m:oMath>
      <w:r w:rsidRPr="004963CE">
        <w:rPr>
          <w:bCs w:val="0"/>
        </w:rPr>
        <w:t>) en los puntos seleccionados son: +0.0775, -0.0898, +0.0965 y -0.0841 m/s. A manera de resumen, en la Tabla 2 se muestran l</w:t>
      </w:r>
      <w:r>
        <w:rPr>
          <w:bCs w:val="0"/>
        </w:rPr>
        <w:t xml:space="preserve">os valores </w:t>
      </w:r>
      <w:r w:rsidRPr="004963CE">
        <w:rPr>
          <w:bCs w:val="0"/>
        </w:rPr>
        <w:t>de la velocidad (</w:t>
      </w:r>
      <m:oMath>
        <m:acc>
          <m:accPr>
            <m:chr m:val="⃑"/>
            <m:ctrlPr>
              <w:rPr>
                <w:rFonts w:ascii="Cambria Math" w:hAnsi="Cambria Math"/>
              </w:rPr>
            </m:ctrlPr>
          </m:accPr>
          <m:e>
            <m:r>
              <m:rPr>
                <m:sty m:val="p"/>
              </m:rPr>
              <w:rPr>
                <w:rFonts w:ascii="Cambria Math"/>
              </w:rPr>
              <m:t>V</m:t>
            </m:r>
          </m:e>
        </m:acc>
      </m:oMath>
      <w:r w:rsidRPr="004963CE">
        <w:rPr>
          <w:bCs w:val="0"/>
        </w:rPr>
        <w:t>) en los puntos seleccionados para los dos modelos.</w:t>
      </w:r>
    </w:p>
    <w:p w:rsidR="00AB2ED5" w:rsidRPr="004963CE" w:rsidRDefault="00AB2ED5" w:rsidP="00AB2ED5">
      <w:pPr>
        <w:pStyle w:val="TextoPrincipalV2"/>
      </w:pPr>
    </w:p>
    <w:p w:rsidR="00AB2ED5" w:rsidRPr="00BD6A2C" w:rsidRDefault="00AB2ED5" w:rsidP="00AB2ED5">
      <w:pPr>
        <w:tabs>
          <w:tab w:val="left" w:pos="288"/>
        </w:tabs>
        <w:spacing w:line="228" w:lineRule="auto"/>
        <w:jc w:val="center"/>
        <w:rPr>
          <w:rFonts w:ascii="Arial" w:hAnsi="Arial" w:cs="Arial"/>
          <w:bCs/>
          <w:i/>
          <w:sz w:val="20"/>
          <w:szCs w:val="20"/>
          <w:lang w:val="es-MX"/>
        </w:rPr>
      </w:pPr>
      <w:r w:rsidRPr="00BD6A2C">
        <w:rPr>
          <w:rFonts w:ascii="Arial" w:hAnsi="Arial" w:cs="Arial"/>
          <w:bCs/>
          <w:i/>
          <w:sz w:val="20"/>
          <w:szCs w:val="20"/>
          <w:lang w:val="es-MX"/>
        </w:rPr>
        <w:t>Tabla 2 Valores del vector velocidad</w:t>
      </w:r>
      <w:r>
        <w:rPr>
          <w:i/>
          <w:sz w:val="20"/>
          <w:szCs w:val="20"/>
        </w:rPr>
        <w:t xml:space="preserve"> </w:t>
      </w:r>
      <w:r w:rsidRPr="003B4E7C">
        <w:rPr>
          <w:sz w:val="20"/>
          <w:szCs w:val="20"/>
        </w:rPr>
        <w:t>(</w:t>
      </w:r>
      <m:oMath>
        <m:acc>
          <m:accPr>
            <m:chr m:val="⃑"/>
            <m:ctrlPr>
              <w:rPr>
                <w:rFonts w:ascii="Cambria Math" w:eastAsia="Calibri" w:hAnsi="Arial" w:cs="Arial"/>
                <w:bCs/>
                <w:sz w:val="20"/>
                <w:szCs w:val="20"/>
                <w:lang w:val="es-MX"/>
              </w:rPr>
            </m:ctrlPr>
          </m:accPr>
          <m:e>
            <m:r>
              <m:rPr>
                <m:sty m:val="p"/>
              </m:rPr>
              <w:rPr>
                <w:rFonts w:ascii="Cambria Math" w:eastAsia="Calibri"/>
                <w:sz w:val="20"/>
                <w:szCs w:val="20"/>
              </w:rPr>
              <m:t>V</m:t>
            </m:r>
          </m:e>
        </m:acc>
      </m:oMath>
      <w:r w:rsidRPr="003B4E7C">
        <w:rPr>
          <w:sz w:val="20"/>
          <w:szCs w:val="20"/>
        </w:rPr>
        <w:t>)</w:t>
      </w:r>
      <w:r w:rsidRPr="00E9000B">
        <w:rPr>
          <w:i/>
          <w:sz w:val="20"/>
          <w:szCs w:val="20"/>
        </w:rPr>
        <w:t xml:space="preserve"> </w:t>
      </w:r>
      <w:r w:rsidRPr="00BD6A2C">
        <w:rPr>
          <w:rFonts w:ascii="Arial" w:hAnsi="Arial" w:cs="Arial"/>
          <w:bCs/>
          <w:i/>
          <w:sz w:val="20"/>
          <w:szCs w:val="20"/>
          <w:lang w:val="es-MX"/>
        </w:rPr>
        <w:t>(m/s)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4"/>
        <w:gridCol w:w="4118"/>
      </w:tblGrid>
      <w:tr w:rsidR="00AB2ED5" w:rsidRPr="00BD6A2C" w:rsidTr="007F2707">
        <w:trPr>
          <w:jc w:val="center"/>
        </w:trPr>
        <w:tc>
          <w:tcPr>
            <w:tcW w:w="3534" w:type="dxa"/>
            <w:shd w:val="pct15" w:color="auto" w:fill="auto"/>
          </w:tcPr>
          <w:p w:rsidR="00AB2ED5" w:rsidRPr="00BD6A2C" w:rsidRDefault="00AB2ED5" w:rsidP="007F2707">
            <w:pPr>
              <w:pStyle w:val="TextoPrincipalV2"/>
              <w:ind w:firstLine="0"/>
              <w:jc w:val="center"/>
              <w:rPr>
                <w:b/>
              </w:rPr>
            </w:pPr>
            <w:r w:rsidRPr="00BD6A2C">
              <w:rPr>
                <w:b/>
              </w:rPr>
              <w:t>Modelo impulsores de disco</w:t>
            </w:r>
          </w:p>
        </w:tc>
        <w:tc>
          <w:tcPr>
            <w:tcW w:w="4118" w:type="dxa"/>
            <w:shd w:val="pct15" w:color="auto" w:fill="auto"/>
          </w:tcPr>
          <w:p w:rsidR="00AB2ED5" w:rsidRPr="00BD6A2C" w:rsidRDefault="00AB2ED5" w:rsidP="007F2707">
            <w:pPr>
              <w:pStyle w:val="TextoPrincipalV2"/>
              <w:ind w:firstLine="0"/>
              <w:jc w:val="center"/>
              <w:rPr>
                <w:b/>
              </w:rPr>
            </w:pPr>
            <w:r w:rsidRPr="00BD6A2C">
              <w:rPr>
                <w:b/>
              </w:rPr>
              <w:t>Modelo impulsores de flujo axial</w:t>
            </w:r>
          </w:p>
        </w:tc>
      </w:tr>
      <w:tr w:rsidR="00AB2ED5" w:rsidRPr="00C9212E" w:rsidTr="007F2707">
        <w:trPr>
          <w:jc w:val="center"/>
        </w:trPr>
        <w:tc>
          <w:tcPr>
            <w:tcW w:w="3534" w:type="dxa"/>
            <w:shd w:val="clear" w:color="auto" w:fill="auto"/>
            <w:vAlign w:val="center"/>
          </w:tcPr>
          <w:p w:rsidR="00AB2ED5" w:rsidRPr="00C9212E" w:rsidRDefault="00AB2ED5" w:rsidP="007F2707">
            <w:pPr>
              <w:pStyle w:val="TextoPrincipalV2"/>
              <w:jc w:val="center"/>
            </w:pPr>
            <w:r w:rsidRPr="00C9212E">
              <w:t>0.0186</w:t>
            </w:r>
          </w:p>
        </w:tc>
        <w:tc>
          <w:tcPr>
            <w:tcW w:w="4118" w:type="dxa"/>
            <w:shd w:val="clear" w:color="auto" w:fill="auto"/>
            <w:vAlign w:val="center"/>
          </w:tcPr>
          <w:p w:rsidR="00AB2ED5" w:rsidRPr="00C9212E" w:rsidRDefault="00AB2ED5" w:rsidP="007F2707">
            <w:pPr>
              <w:pStyle w:val="TextoPrincipalV2"/>
              <w:jc w:val="center"/>
            </w:pPr>
            <w:r w:rsidRPr="00C9212E">
              <w:t>0.0775</w:t>
            </w:r>
          </w:p>
        </w:tc>
      </w:tr>
      <w:tr w:rsidR="00AB2ED5" w:rsidRPr="00C9212E" w:rsidTr="007F2707">
        <w:trPr>
          <w:jc w:val="center"/>
        </w:trPr>
        <w:tc>
          <w:tcPr>
            <w:tcW w:w="3534" w:type="dxa"/>
            <w:shd w:val="clear" w:color="auto" w:fill="auto"/>
            <w:vAlign w:val="center"/>
          </w:tcPr>
          <w:p w:rsidR="00AB2ED5" w:rsidRPr="00C9212E" w:rsidRDefault="00AB2ED5" w:rsidP="007F2707">
            <w:pPr>
              <w:pStyle w:val="TextoPrincipalV2"/>
              <w:jc w:val="center"/>
            </w:pPr>
            <w:r w:rsidRPr="00C9212E">
              <w:t>-0.0385</w:t>
            </w:r>
          </w:p>
        </w:tc>
        <w:tc>
          <w:tcPr>
            <w:tcW w:w="4118" w:type="dxa"/>
            <w:shd w:val="clear" w:color="auto" w:fill="auto"/>
            <w:vAlign w:val="center"/>
          </w:tcPr>
          <w:p w:rsidR="00AB2ED5" w:rsidRPr="00C9212E" w:rsidRDefault="00AB2ED5" w:rsidP="007F2707">
            <w:pPr>
              <w:pStyle w:val="TextoPrincipalV2"/>
              <w:jc w:val="center"/>
            </w:pPr>
            <w:r w:rsidRPr="00C9212E">
              <w:t>-0.0898</w:t>
            </w:r>
          </w:p>
        </w:tc>
      </w:tr>
      <w:tr w:rsidR="00AB2ED5" w:rsidRPr="00C9212E" w:rsidTr="007F2707">
        <w:trPr>
          <w:jc w:val="center"/>
        </w:trPr>
        <w:tc>
          <w:tcPr>
            <w:tcW w:w="3534" w:type="dxa"/>
            <w:shd w:val="clear" w:color="auto" w:fill="auto"/>
            <w:vAlign w:val="center"/>
          </w:tcPr>
          <w:p w:rsidR="00AB2ED5" w:rsidRPr="00C9212E" w:rsidRDefault="00AB2ED5" w:rsidP="007F2707">
            <w:pPr>
              <w:pStyle w:val="TextoPrincipalV2"/>
              <w:jc w:val="center"/>
            </w:pPr>
            <w:r w:rsidRPr="00C9212E">
              <w:t>0.0390</w:t>
            </w:r>
          </w:p>
        </w:tc>
        <w:tc>
          <w:tcPr>
            <w:tcW w:w="4118" w:type="dxa"/>
            <w:shd w:val="clear" w:color="auto" w:fill="auto"/>
            <w:vAlign w:val="center"/>
          </w:tcPr>
          <w:p w:rsidR="00AB2ED5" w:rsidRPr="00C9212E" w:rsidRDefault="00AB2ED5" w:rsidP="007F2707">
            <w:pPr>
              <w:pStyle w:val="TextoPrincipalV2"/>
              <w:jc w:val="center"/>
            </w:pPr>
            <w:r w:rsidRPr="00C9212E">
              <w:t>0.0965</w:t>
            </w:r>
          </w:p>
        </w:tc>
      </w:tr>
      <w:tr w:rsidR="00AB2ED5" w:rsidRPr="00C9212E" w:rsidTr="007F2707">
        <w:trPr>
          <w:jc w:val="center"/>
        </w:trPr>
        <w:tc>
          <w:tcPr>
            <w:tcW w:w="3534" w:type="dxa"/>
            <w:shd w:val="clear" w:color="auto" w:fill="auto"/>
            <w:vAlign w:val="center"/>
          </w:tcPr>
          <w:p w:rsidR="00AB2ED5" w:rsidRPr="00C9212E" w:rsidRDefault="00AB2ED5" w:rsidP="007F2707">
            <w:pPr>
              <w:pStyle w:val="TextoPrincipalV2"/>
              <w:jc w:val="center"/>
            </w:pPr>
            <w:r w:rsidRPr="00C9212E">
              <w:t>-0.0321</w:t>
            </w:r>
          </w:p>
        </w:tc>
        <w:tc>
          <w:tcPr>
            <w:tcW w:w="4118" w:type="dxa"/>
            <w:shd w:val="clear" w:color="auto" w:fill="auto"/>
            <w:vAlign w:val="center"/>
          </w:tcPr>
          <w:p w:rsidR="00AB2ED5" w:rsidRPr="00C9212E" w:rsidRDefault="00AB2ED5" w:rsidP="007F2707">
            <w:pPr>
              <w:pStyle w:val="TextoPrincipalV2"/>
              <w:jc w:val="center"/>
            </w:pPr>
            <w:r w:rsidRPr="00C9212E">
              <w:t>-0.0841</w:t>
            </w:r>
          </w:p>
        </w:tc>
      </w:tr>
    </w:tbl>
    <w:p w:rsidR="00AB2ED5" w:rsidRDefault="00AB2ED5" w:rsidP="00AB2ED5">
      <w:pPr>
        <w:pStyle w:val="TextoPrincipalV2"/>
      </w:pPr>
    </w:p>
    <w:p w:rsidR="00AB2ED5" w:rsidRDefault="00AB2ED5" w:rsidP="00AB2ED5">
      <w:pPr>
        <w:pStyle w:val="TextoPrincipalV2"/>
      </w:pPr>
      <w:r w:rsidRPr="00C9212E">
        <w:t xml:space="preserve">Comparando los resultados de los campos de velocidad de los modelos con impulsor de flujo axial (±30°) respecto al de disco, se encontró que el valor de la velocidad en los puntos seleccionados se incrementó: 3.16, 1.33, 1.47 y 1.61 veces. Con base a los resultados anteriores se puede afirmar </w:t>
      </w:r>
      <w:r>
        <w:t xml:space="preserve">el </w:t>
      </w:r>
      <w:r w:rsidRPr="00C9212E">
        <w:t>impulsor de arriba favoreció el flujo hacia la parte superior del depósito y el de abajo hacia la parte inferior del mismo</w:t>
      </w:r>
      <w:r>
        <w:t>.</w:t>
      </w:r>
    </w:p>
    <w:p w:rsidR="00AB2ED5" w:rsidRDefault="00AB2ED5" w:rsidP="00AB2ED5">
      <w:pPr>
        <w:pStyle w:val="TextoPrincipalV2"/>
      </w:pPr>
      <w:r w:rsidRPr="00C9212E">
        <w:lastRenderedPageBreak/>
        <w:t>Para hacer un análisis más preciso del movimiento del fluido en el interior de los sistemas, se hicieron gráficas de las componentes de velocidad radial (u) y axial (w) en cuatro posiciones de interés: m1, m2, m3 y m4, Fig. 1.</w:t>
      </w:r>
      <w:r>
        <w:t xml:space="preserve"> </w:t>
      </w:r>
      <w:r w:rsidRPr="00C9212E">
        <w:t>El comportamiento de la componente de velocidad radial (u), variando</w:t>
      </w:r>
      <w:r>
        <w:t xml:space="preserve"> la coordenada</w:t>
      </w:r>
      <w:r w:rsidRPr="00C9212E">
        <w:t xml:space="preserve"> “z”, para la referencia m</w:t>
      </w:r>
      <w:r w:rsidRPr="00C9212E">
        <w:rPr>
          <w:vertAlign w:val="subscript"/>
        </w:rPr>
        <w:t>1</w:t>
      </w:r>
      <w:r w:rsidRPr="00C9212E">
        <w:t xml:space="preserve">=2 cm y para el modelo con impulsores de disco y de flujo axial, se muestra en la Fig. </w:t>
      </w:r>
      <w:r>
        <w:t>6</w:t>
      </w:r>
      <w:r w:rsidRPr="00C9212E">
        <w:t>.</w:t>
      </w:r>
    </w:p>
    <w:p w:rsidR="00AB2ED5" w:rsidRDefault="00AB2ED5" w:rsidP="00AB2ED5">
      <w:pPr>
        <w:pStyle w:val="TextoPrincipalV2"/>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209"/>
      </w:tblGrid>
      <w:tr w:rsidR="00AB2ED5" w:rsidTr="007F2707">
        <w:trPr>
          <w:trHeight w:val="1885"/>
          <w:jc w:val="center"/>
        </w:trPr>
        <w:tc>
          <w:tcPr>
            <w:tcW w:w="9209" w:type="dxa"/>
            <w:hideMark/>
          </w:tcPr>
          <w:p w:rsidR="00AB2ED5" w:rsidRDefault="00AB2ED5" w:rsidP="007F2707">
            <w:pPr>
              <w:pStyle w:val="Textoindependiente"/>
              <w:jc w:val="center"/>
              <w:rPr>
                <w:rFonts w:eastAsia="SimSun"/>
                <w:sz w:val="20"/>
                <w:lang w:eastAsia="x-none"/>
              </w:rPr>
            </w:pPr>
            <w:r>
              <w:rPr>
                <w:rFonts w:eastAsia="SimSun"/>
                <w:noProof/>
                <w:sz w:val="20"/>
                <w:lang w:val="en-US"/>
              </w:rPr>
              <w:drawing>
                <wp:inline distT="0" distB="0" distL="0" distR="0" wp14:anchorId="7C2D20F6" wp14:editId="6A567C4B">
                  <wp:extent cx="1945610" cy="2520000"/>
                  <wp:effectExtent l="0" t="0" r="0" b="0"/>
                  <wp:docPr id="2026623709" name="Imagen 202662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6">
                            <a:extLst>
                              <a:ext uri="{28A0092B-C50C-407E-A947-70E740481C1C}">
                                <a14:useLocalDpi xmlns:a14="http://schemas.microsoft.com/office/drawing/2010/main" val="0"/>
                              </a:ext>
                            </a:extLst>
                          </a:blip>
                          <a:srcRect/>
                          <a:stretch>
                            <a:fillRect/>
                          </a:stretch>
                        </pic:blipFill>
                        <pic:spPr bwMode="auto">
                          <a:xfrm>
                            <a:off x="0" y="0"/>
                            <a:ext cx="1945610" cy="2520000"/>
                          </a:xfrm>
                          <a:prstGeom prst="rect">
                            <a:avLst/>
                          </a:prstGeom>
                          <a:noFill/>
                        </pic:spPr>
                      </pic:pic>
                    </a:graphicData>
                  </a:graphic>
                </wp:inline>
              </w:drawing>
            </w:r>
          </w:p>
        </w:tc>
      </w:tr>
      <w:tr w:rsidR="00AB2ED5" w:rsidRPr="00B00294" w:rsidTr="007F2707">
        <w:trPr>
          <w:trHeight w:val="299"/>
          <w:jc w:val="center"/>
        </w:trPr>
        <w:tc>
          <w:tcPr>
            <w:tcW w:w="9209" w:type="dxa"/>
            <w:tcMar>
              <w:top w:w="0" w:type="dxa"/>
              <w:left w:w="108" w:type="dxa"/>
              <w:bottom w:w="0" w:type="dxa"/>
              <w:right w:w="108" w:type="dxa"/>
            </w:tcMar>
            <w:hideMark/>
          </w:tcPr>
          <w:p w:rsidR="00AB2ED5" w:rsidRPr="004E5C25" w:rsidRDefault="00AB2ED5" w:rsidP="007F2707">
            <w:pPr>
              <w:pStyle w:val="Tablasyfiguras"/>
              <w:rPr>
                <w:bCs/>
              </w:rPr>
            </w:pPr>
            <w:r>
              <w:t>Figura 6</w:t>
            </w:r>
            <w:r w:rsidRPr="004E5C25">
              <w:t xml:space="preserve">. </w:t>
            </w:r>
            <w:r w:rsidRPr="00014308">
              <w:t>Velocidad radial (u) en m1</w:t>
            </w:r>
          </w:p>
        </w:tc>
      </w:tr>
    </w:tbl>
    <w:p w:rsidR="00AB2ED5" w:rsidRDefault="00AB2ED5" w:rsidP="00AB2ED5">
      <w:pPr>
        <w:pStyle w:val="TextoPrincipalV2"/>
      </w:pPr>
    </w:p>
    <w:p w:rsidR="00AB2ED5" w:rsidRDefault="00AB2ED5" w:rsidP="00AB2ED5">
      <w:pPr>
        <w:pStyle w:val="TextoPrincipalV2"/>
      </w:pPr>
      <w:r w:rsidRPr="00C9212E">
        <w:t>En la curva de los impulsores de disco se observa que la velocidad comienza en cero en el fondo del tanque. A continuación, se aprecia que el flujo se dirige hacia el eje del cilindro, esto se advierte por el signo negativo de la velocidad. Se observa que su magnitud va aumentando hasta un máximo negativo de -8.27x10</w:t>
      </w:r>
      <w:r w:rsidRPr="00C9212E">
        <w:rPr>
          <w:vertAlign w:val="superscript"/>
        </w:rPr>
        <w:t>-3</w:t>
      </w:r>
      <w:r w:rsidRPr="00C9212E">
        <w:t xml:space="preserve"> m/s y de allí comienza a disminuir su valor hasta cambiar el sentido del flujo. Ahora el fluido se dirige hacia la pared del recipiente, esto se aprecia por el signo positivo de la velocidad. Su magnitud comienza a aumentar hasta un máximo positivo de +7.55x10</w:t>
      </w:r>
      <w:r w:rsidRPr="00C9212E">
        <w:rPr>
          <w:vertAlign w:val="superscript"/>
        </w:rPr>
        <w:t>-3</w:t>
      </w:r>
      <w:r w:rsidRPr="00C9212E">
        <w:t xml:space="preserve"> m/s. Este comportamiento, en el que se presenta una velocidad máxima negativa y otra positiva, se debe al vórtice que se genera en la parte inferior del disco cercano al fondo. En la zona comprendida entre los discos inferior y superior se advierte que el fluido retoma el sentido del movimiento hacia la pared del depósito, posteriormente hacia el eje del sistema y nuevamente hacia la pared del tanque, este último motivado por el disco superior. Los valores máximos que se observan son: -3.82x10</w:t>
      </w:r>
      <w:r w:rsidRPr="00C9212E">
        <w:rPr>
          <w:vertAlign w:val="superscript"/>
        </w:rPr>
        <w:t>-3</w:t>
      </w:r>
      <w:r w:rsidRPr="00C9212E">
        <w:t xml:space="preserve"> y +5.75x10</w:t>
      </w:r>
      <w:r w:rsidRPr="00C9212E">
        <w:rPr>
          <w:vertAlign w:val="superscript"/>
        </w:rPr>
        <w:t>-3</w:t>
      </w:r>
      <w:r w:rsidRPr="00C9212E">
        <w:t xml:space="preserve"> m/s. Para el área comprendida entre el disco superior y la tapa del recipiente se ve que el flujo retoma el movimiento hacia la pared del cilindro, posteri</w:t>
      </w:r>
      <w:r>
        <w:t>o</w:t>
      </w:r>
      <w:r w:rsidRPr="00C9212E">
        <w:t>rmente hacia el eje del sistema y finalmente la velocidad axial se hace cero en la frontera superior. La magnitud máxima negativa que se presenta en esta zona es de -3.92x10</w:t>
      </w:r>
      <w:r w:rsidRPr="00C9212E">
        <w:rPr>
          <w:vertAlign w:val="superscript"/>
        </w:rPr>
        <w:t>-3</w:t>
      </w:r>
      <w:r w:rsidRPr="00C9212E">
        <w:t xml:space="preserve"> m/s</w:t>
      </w:r>
      <w:r>
        <w:t xml:space="preserve">. </w:t>
      </w:r>
      <w:r w:rsidRPr="00014308">
        <w:t>Para el caso de los impulsores de flujo axial descendente (+30°) y ascendente (-30°), se aprecia el mismo comportamiento, pero con valores más altos. Se nota claramente que la velocidad radial se incrementa a lo largo de la coordenada vertical, en mayor medida en las cercanías de ambos impulsores. En la Tabla 3 se muestran las magnitudes máximas y mínimas de la componente de velocidad radial para los dos modelos</w:t>
      </w:r>
      <w:r w:rsidRPr="004E5C25">
        <w:t>.</w:t>
      </w:r>
    </w:p>
    <w:p w:rsidR="00AB2ED5" w:rsidRPr="007F2477" w:rsidRDefault="00AB2ED5" w:rsidP="00AB2ED5">
      <w:pPr>
        <w:pStyle w:val="TextoPrincipalV2"/>
        <w:rPr>
          <w:i/>
          <w:sz w:val="20"/>
          <w:szCs w:val="20"/>
        </w:rPr>
      </w:pPr>
      <w:r w:rsidRPr="007F2477">
        <w:rPr>
          <w:i/>
          <w:sz w:val="20"/>
          <w:szCs w:val="20"/>
        </w:rPr>
        <w:t>Tabla 3 Valores máximos y mínimos de la componente de velocidad radial (u) en m1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0"/>
        <w:gridCol w:w="6662"/>
      </w:tblGrid>
      <w:tr w:rsidR="00AB2ED5" w:rsidRPr="00F46AA7" w:rsidTr="007F2707">
        <w:trPr>
          <w:jc w:val="center"/>
        </w:trPr>
        <w:tc>
          <w:tcPr>
            <w:tcW w:w="2200" w:type="dxa"/>
            <w:shd w:val="pct15" w:color="auto" w:fill="auto"/>
          </w:tcPr>
          <w:p w:rsidR="00AB2ED5" w:rsidRPr="00B11ED0" w:rsidRDefault="00AB2ED5" w:rsidP="007F2707">
            <w:pPr>
              <w:tabs>
                <w:tab w:val="left" w:pos="288"/>
              </w:tabs>
              <w:spacing w:line="228" w:lineRule="auto"/>
              <w:jc w:val="center"/>
              <w:rPr>
                <w:rFonts w:ascii="Arial" w:eastAsia="SimSun" w:hAnsi="Arial" w:cs="Arial"/>
                <w:b/>
                <w:spacing w:val="-1"/>
                <w:szCs w:val="16"/>
                <w:lang w:eastAsia="x-none"/>
              </w:rPr>
            </w:pPr>
            <w:r w:rsidRPr="00B11ED0">
              <w:rPr>
                <w:rFonts w:ascii="Arial" w:eastAsia="SimSun" w:hAnsi="Arial" w:cs="Arial"/>
                <w:b/>
                <w:spacing w:val="-1"/>
                <w:szCs w:val="16"/>
                <w:lang w:eastAsia="x-none"/>
              </w:rPr>
              <w:lastRenderedPageBreak/>
              <w:t>Impulsor</w:t>
            </w:r>
          </w:p>
        </w:tc>
        <w:tc>
          <w:tcPr>
            <w:tcW w:w="6662" w:type="dxa"/>
            <w:shd w:val="pct15" w:color="auto" w:fill="auto"/>
          </w:tcPr>
          <w:p w:rsidR="00AB2ED5" w:rsidRPr="00B11ED0" w:rsidRDefault="00AB2ED5" w:rsidP="007F2707">
            <w:pPr>
              <w:tabs>
                <w:tab w:val="left" w:pos="288"/>
              </w:tabs>
              <w:spacing w:line="228" w:lineRule="auto"/>
              <w:jc w:val="center"/>
              <w:rPr>
                <w:rFonts w:ascii="Arial" w:eastAsia="SimSun" w:hAnsi="Arial" w:cs="Arial"/>
                <w:b/>
                <w:spacing w:val="-1"/>
                <w:szCs w:val="16"/>
                <w:lang w:eastAsia="x-none"/>
              </w:rPr>
            </w:pPr>
            <w:r w:rsidRPr="00B11ED0">
              <w:rPr>
                <w:rFonts w:ascii="Arial" w:eastAsia="SimSun" w:hAnsi="Arial" w:cs="Arial"/>
                <w:b/>
                <w:spacing w:val="-1"/>
                <w:szCs w:val="16"/>
                <w:lang w:eastAsia="x-none"/>
              </w:rPr>
              <w:t>u</w:t>
            </w:r>
            <w:r w:rsidRPr="00B11ED0">
              <w:rPr>
                <w:rFonts w:ascii="Arial" w:eastAsia="SimSun" w:hAnsi="Arial" w:cs="Arial"/>
                <w:b/>
                <w:spacing w:val="-1"/>
                <w:szCs w:val="16"/>
                <w:vertAlign w:val="subscript"/>
                <w:lang w:eastAsia="x-none"/>
              </w:rPr>
              <w:t>máx</w:t>
            </w:r>
            <w:r w:rsidRPr="00B11ED0">
              <w:rPr>
                <w:rFonts w:ascii="Arial" w:eastAsia="SimSun" w:hAnsi="Arial" w:cs="Arial"/>
                <w:b/>
                <w:spacing w:val="-1"/>
                <w:szCs w:val="16"/>
                <w:lang w:eastAsia="x-none"/>
              </w:rPr>
              <w:t xml:space="preserve"> (m/s)</w:t>
            </w:r>
          </w:p>
        </w:tc>
      </w:tr>
      <w:tr w:rsidR="00AB2ED5" w:rsidRPr="00F46AA7" w:rsidTr="007F2707">
        <w:trPr>
          <w:jc w:val="center"/>
        </w:trPr>
        <w:tc>
          <w:tcPr>
            <w:tcW w:w="2200" w:type="dxa"/>
            <w:shd w:val="clear" w:color="auto" w:fill="auto"/>
            <w:vAlign w:val="center"/>
          </w:tcPr>
          <w:p w:rsidR="00AB2ED5" w:rsidRPr="00B11ED0" w:rsidRDefault="00AB2ED5" w:rsidP="007F2707">
            <w:pPr>
              <w:tabs>
                <w:tab w:val="left" w:pos="288"/>
              </w:tabs>
              <w:spacing w:line="228" w:lineRule="auto"/>
              <w:jc w:val="center"/>
              <w:rPr>
                <w:rFonts w:ascii="Arial" w:eastAsia="SimSun" w:hAnsi="Arial" w:cs="Arial"/>
                <w:spacing w:val="-1"/>
                <w:szCs w:val="16"/>
                <w:lang w:eastAsia="x-none"/>
              </w:rPr>
            </w:pPr>
            <w:r w:rsidRPr="00B11ED0">
              <w:rPr>
                <w:rFonts w:ascii="Arial" w:eastAsia="SimSun" w:hAnsi="Arial" w:cs="Arial"/>
                <w:spacing w:val="-1"/>
                <w:szCs w:val="16"/>
                <w:lang w:eastAsia="x-none"/>
              </w:rPr>
              <w:t>Disco</w:t>
            </w:r>
          </w:p>
        </w:tc>
        <w:tc>
          <w:tcPr>
            <w:tcW w:w="6662" w:type="dxa"/>
            <w:shd w:val="clear" w:color="auto" w:fill="auto"/>
            <w:vAlign w:val="center"/>
          </w:tcPr>
          <w:p w:rsidR="00AB2ED5" w:rsidRPr="00B11ED0" w:rsidRDefault="00AB2ED5" w:rsidP="007F2707">
            <w:pPr>
              <w:tabs>
                <w:tab w:val="left" w:pos="288"/>
              </w:tabs>
              <w:spacing w:line="228" w:lineRule="auto"/>
              <w:rPr>
                <w:rFonts w:ascii="Arial" w:eastAsia="SimSun" w:hAnsi="Arial" w:cs="Arial"/>
                <w:spacing w:val="-1"/>
                <w:szCs w:val="16"/>
                <w:lang w:eastAsia="x-none"/>
              </w:rPr>
            </w:pPr>
            <w:r w:rsidRPr="00B11ED0">
              <w:rPr>
                <w:rFonts w:ascii="Arial" w:eastAsia="SimSun" w:hAnsi="Arial" w:cs="Arial"/>
                <w:spacing w:val="-1"/>
                <w:szCs w:val="16"/>
                <w:lang w:eastAsia="x-none"/>
              </w:rPr>
              <w:t>-8.27x10</w:t>
            </w:r>
            <w:r w:rsidRPr="00B11ED0">
              <w:rPr>
                <w:rFonts w:ascii="Arial" w:eastAsia="SimSun" w:hAnsi="Arial" w:cs="Arial"/>
                <w:spacing w:val="-1"/>
                <w:szCs w:val="16"/>
                <w:vertAlign w:val="superscript"/>
                <w:lang w:eastAsia="x-none"/>
              </w:rPr>
              <w:t>-3</w:t>
            </w:r>
            <w:r w:rsidRPr="00B11ED0">
              <w:rPr>
                <w:rFonts w:ascii="Arial" w:eastAsia="SimSun" w:hAnsi="Arial" w:cs="Arial"/>
                <w:spacing w:val="-1"/>
                <w:szCs w:val="16"/>
                <w:lang w:eastAsia="x-none"/>
              </w:rPr>
              <w:t>, +7.55x10</w:t>
            </w:r>
            <w:r w:rsidRPr="00B11ED0">
              <w:rPr>
                <w:rFonts w:ascii="Arial" w:eastAsia="SimSun" w:hAnsi="Arial" w:cs="Arial"/>
                <w:spacing w:val="-1"/>
                <w:szCs w:val="16"/>
                <w:vertAlign w:val="superscript"/>
                <w:lang w:eastAsia="x-none"/>
              </w:rPr>
              <w:t>-3</w:t>
            </w:r>
            <w:r w:rsidRPr="00B11ED0">
              <w:rPr>
                <w:rFonts w:ascii="Arial" w:eastAsia="SimSun" w:hAnsi="Arial" w:cs="Arial"/>
                <w:spacing w:val="-1"/>
                <w:szCs w:val="16"/>
                <w:lang w:eastAsia="x-none"/>
              </w:rPr>
              <w:t>,</w:t>
            </w:r>
            <w:r>
              <w:rPr>
                <w:rFonts w:ascii="Arial" w:eastAsia="SimSun" w:hAnsi="Arial" w:cs="Arial"/>
                <w:spacing w:val="-1"/>
                <w:szCs w:val="16"/>
                <w:lang w:eastAsia="x-none"/>
              </w:rPr>
              <w:t xml:space="preserve"> </w:t>
            </w:r>
            <w:r w:rsidRPr="00B11ED0">
              <w:rPr>
                <w:rFonts w:ascii="Arial" w:eastAsia="SimSun" w:hAnsi="Arial" w:cs="Arial"/>
                <w:spacing w:val="-1"/>
                <w:szCs w:val="16"/>
                <w:lang w:eastAsia="x-none"/>
              </w:rPr>
              <w:t>-3.82x10</w:t>
            </w:r>
            <w:r w:rsidRPr="00B11ED0">
              <w:rPr>
                <w:rFonts w:ascii="Arial" w:eastAsia="SimSun" w:hAnsi="Arial" w:cs="Arial"/>
                <w:spacing w:val="-1"/>
                <w:szCs w:val="16"/>
                <w:vertAlign w:val="superscript"/>
                <w:lang w:eastAsia="x-none"/>
              </w:rPr>
              <w:t>-3</w:t>
            </w:r>
            <w:r w:rsidRPr="00B11ED0">
              <w:rPr>
                <w:rFonts w:ascii="Arial" w:eastAsia="SimSun" w:hAnsi="Arial" w:cs="Arial"/>
                <w:spacing w:val="-1"/>
                <w:szCs w:val="16"/>
                <w:lang w:eastAsia="x-none"/>
              </w:rPr>
              <w:t>, +5.75x10</w:t>
            </w:r>
            <w:r w:rsidRPr="00B11ED0">
              <w:rPr>
                <w:rFonts w:ascii="Arial" w:eastAsia="SimSun" w:hAnsi="Arial" w:cs="Arial"/>
                <w:spacing w:val="-1"/>
                <w:szCs w:val="16"/>
                <w:vertAlign w:val="superscript"/>
                <w:lang w:eastAsia="x-none"/>
              </w:rPr>
              <w:t>-3</w:t>
            </w:r>
            <w:r w:rsidRPr="00B11ED0">
              <w:rPr>
                <w:rFonts w:ascii="Arial" w:eastAsia="SimSun" w:hAnsi="Arial" w:cs="Arial"/>
                <w:spacing w:val="-1"/>
                <w:szCs w:val="16"/>
                <w:lang w:eastAsia="x-none"/>
              </w:rPr>
              <w:t>,-3.92x10</w:t>
            </w:r>
            <w:r w:rsidRPr="00B11ED0">
              <w:rPr>
                <w:rFonts w:ascii="Arial" w:eastAsia="SimSun" w:hAnsi="Arial" w:cs="Arial"/>
                <w:spacing w:val="-1"/>
                <w:szCs w:val="16"/>
                <w:vertAlign w:val="superscript"/>
                <w:lang w:eastAsia="x-none"/>
              </w:rPr>
              <w:t>-3</w:t>
            </w:r>
          </w:p>
        </w:tc>
      </w:tr>
      <w:tr w:rsidR="00AB2ED5" w:rsidRPr="00F46AA7" w:rsidTr="007F2707">
        <w:trPr>
          <w:jc w:val="center"/>
        </w:trPr>
        <w:tc>
          <w:tcPr>
            <w:tcW w:w="2200" w:type="dxa"/>
            <w:shd w:val="clear" w:color="auto" w:fill="auto"/>
            <w:vAlign w:val="center"/>
          </w:tcPr>
          <w:p w:rsidR="00AB2ED5" w:rsidRPr="00B11ED0" w:rsidRDefault="00AB2ED5" w:rsidP="007F2707">
            <w:pPr>
              <w:tabs>
                <w:tab w:val="left" w:pos="288"/>
              </w:tabs>
              <w:spacing w:line="228" w:lineRule="auto"/>
              <w:jc w:val="center"/>
              <w:rPr>
                <w:rFonts w:ascii="Arial" w:eastAsia="SimSun" w:hAnsi="Arial" w:cs="Arial"/>
                <w:spacing w:val="-1"/>
                <w:szCs w:val="16"/>
                <w:lang w:eastAsia="x-none"/>
              </w:rPr>
            </w:pPr>
            <w:r w:rsidRPr="00B11ED0">
              <w:rPr>
                <w:rFonts w:ascii="Arial" w:eastAsia="SimSun" w:hAnsi="Arial" w:cs="Arial"/>
                <w:spacing w:val="-1"/>
                <w:szCs w:val="16"/>
                <w:lang w:eastAsia="x-none"/>
              </w:rPr>
              <w:t>Flujo axial (</w:t>
            </w:r>
            <w:r w:rsidRPr="00B11ED0">
              <w:rPr>
                <w:rFonts w:ascii="Arial" w:hAnsi="Arial" w:cs="Arial"/>
                <w:bCs/>
              </w:rPr>
              <w:t>±</w:t>
            </w:r>
            <w:r w:rsidRPr="00B11ED0">
              <w:rPr>
                <w:rFonts w:ascii="Arial" w:eastAsia="SimSun" w:hAnsi="Arial" w:cs="Arial"/>
                <w:color w:val="000000"/>
                <w:spacing w:val="-1"/>
                <w:lang w:eastAsia="x-none"/>
              </w:rPr>
              <w:t>30°)</w:t>
            </w:r>
          </w:p>
        </w:tc>
        <w:tc>
          <w:tcPr>
            <w:tcW w:w="6662" w:type="dxa"/>
            <w:shd w:val="clear" w:color="auto" w:fill="auto"/>
            <w:vAlign w:val="center"/>
          </w:tcPr>
          <w:p w:rsidR="00AB2ED5" w:rsidRPr="00B11ED0" w:rsidRDefault="00AB2ED5" w:rsidP="007F2707">
            <w:pPr>
              <w:tabs>
                <w:tab w:val="left" w:pos="288"/>
              </w:tabs>
              <w:spacing w:line="228" w:lineRule="auto"/>
              <w:rPr>
                <w:rFonts w:ascii="Arial" w:eastAsia="SimSun" w:hAnsi="Arial" w:cs="Arial"/>
                <w:spacing w:val="-1"/>
                <w:szCs w:val="16"/>
                <w:lang w:eastAsia="x-none"/>
              </w:rPr>
            </w:pPr>
            <w:r w:rsidRPr="00B11ED0">
              <w:rPr>
                <w:rFonts w:ascii="Arial" w:eastAsia="SimSun" w:hAnsi="Arial" w:cs="Arial"/>
                <w:spacing w:val="-1"/>
                <w:szCs w:val="16"/>
                <w:lang w:eastAsia="x-none"/>
              </w:rPr>
              <w:t>-18.20x10</w:t>
            </w:r>
            <w:r w:rsidRPr="00B11ED0">
              <w:rPr>
                <w:rFonts w:ascii="Arial" w:eastAsia="SimSun" w:hAnsi="Arial" w:cs="Arial"/>
                <w:spacing w:val="-1"/>
                <w:szCs w:val="16"/>
                <w:vertAlign w:val="superscript"/>
                <w:lang w:eastAsia="x-none"/>
              </w:rPr>
              <w:t>-3</w:t>
            </w:r>
            <w:r w:rsidRPr="00B11ED0">
              <w:rPr>
                <w:rFonts w:ascii="Arial" w:eastAsia="SimSun" w:hAnsi="Arial" w:cs="Arial"/>
                <w:spacing w:val="-1"/>
                <w:szCs w:val="16"/>
                <w:lang w:eastAsia="x-none"/>
              </w:rPr>
              <w:t>, +33.61x10</w:t>
            </w:r>
            <w:r w:rsidRPr="00B11ED0">
              <w:rPr>
                <w:rFonts w:ascii="Arial" w:eastAsia="SimSun" w:hAnsi="Arial" w:cs="Arial"/>
                <w:spacing w:val="-1"/>
                <w:szCs w:val="16"/>
                <w:vertAlign w:val="superscript"/>
                <w:lang w:eastAsia="x-none"/>
              </w:rPr>
              <w:t>-3</w:t>
            </w:r>
            <w:r w:rsidRPr="00B11ED0">
              <w:rPr>
                <w:rFonts w:ascii="Arial" w:eastAsia="SimSun" w:hAnsi="Arial" w:cs="Arial"/>
                <w:spacing w:val="-1"/>
                <w:szCs w:val="16"/>
                <w:lang w:eastAsia="x-none"/>
              </w:rPr>
              <w:t>,-9.55x10</w:t>
            </w:r>
            <w:r w:rsidRPr="00B11ED0">
              <w:rPr>
                <w:rFonts w:ascii="Arial" w:eastAsia="SimSun" w:hAnsi="Arial" w:cs="Arial"/>
                <w:spacing w:val="-1"/>
                <w:szCs w:val="16"/>
                <w:vertAlign w:val="superscript"/>
                <w:lang w:eastAsia="x-none"/>
              </w:rPr>
              <w:t>-3</w:t>
            </w:r>
            <w:r w:rsidRPr="00B11ED0">
              <w:rPr>
                <w:rFonts w:ascii="Arial" w:eastAsia="SimSun" w:hAnsi="Arial" w:cs="Arial"/>
                <w:spacing w:val="-1"/>
                <w:szCs w:val="16"/>
                <w:lang w:eastAsia="x-none"/>
              </w:rPr>
              <w:t>, +24.45x10</w:t>
            </w:r>
            <w:r w:rsidRPr="00B11ED0">
              <w:rPr>
                <w:rFonts w:ascii="Arial" w:eastAsia="SimSun" w:hAnsi="Arial" w:cs="Arial"/>
                <w:spacing w:val="-1"/>
                <w:szCs w:val="16"/>
                <w:vertAlign w:val="superscript"/>
                <w:lang w:eastAsia="x-none"/>
              </w:rPr>
              <w:t>-3</w:t>
            </w:r>
            <w:r w:rsidRPr="00B11ED0">
              <w:rPr>
                <w:rFonts w:ascii="Arial" w:eastAsia="SimSun" w:hAnsi="Arial" w:cs="Arial"/>
                <w:spacing w:val="-1"/>
                <w:szCs w:val="16"/>
                <w:lang w:eastAsia="x-none"/>
              </w:rPr>
              <w:t>,</w:t>
            </w:r>
            <w:r>
              <w:rPr>
                <w:rFonts w:ascii="Arial" w:eastAsia="SimSun" w:hAnsi="Arial" w:cs="Arial"/>
                <w:spacing w:val="-1"/>
                <w:szCs w:val="16"/>
                <w:lang w:eastAsia="x-none"/>
              </w:rPr>
              <w:t xml:space="preserve"> </w:t>
            </w:r>
            <w:r w:rsidRPr="00B11ED0">
              <w:rPr>
                <w:rFonts w:ascii="Arial" w:eastAsia="SimSun" w:hAnsi="Arial" w:cs="Arial"/>
                <w:spacing w:val="-1"/>
                <w:szCs w:val="16"/>
                <w:lang w:eastAsia="x-none"/>
              </w:rPr>
              <w:t>-8.16x10</w:t>
            </w:r>
            <w:r w:rsidRPr="00B11ED0">
              <w:rPr>
                <w:rFonts w:ascii="Arial" w:eastAsia="SimSun" w:hAnsi="Arial" w:cs="Arial"/>
                <w:spacing w:val="-1"/>
                <w:szCs w:val="16"/>
                <w:vertAlign w:val="superscript"/>
                <w:lang w:eastAsia="x-none"/>
              </w:rPr>
              <w:t>-3</w:t>
            </w:r>
          </w:p>
        </w:tc>
      </w:tr>
    </w:tbl>
    <w:p w:rsidR="00AB2ED5" w:rsidRDefault="00AB2ED5" w:rsidP="00AB2ED5">
      <w:pPr>
        <w:pStyle w:val="TextoPrincipalV2"/>
      </w:pPr>
    </w:p>
    <w:p w:rsidR="00AB2ED5" w:rsidRDefault="00AB2ED5" w:rsidP="00AB2ED5">
      <w:pPr>
        <w:pStyle w:val="TextoPrincipalV2"/>
      </w:pPr>
      <w:r w:rsidRPr="00014308">
        <w:t>Comparando los resultados del sistema con impulsores de flujo axial (±30°), respecto a los de disco, se encontró que la componente de velocidad radial positiva y negativa promedio aumentó: 3.36 y 1.24 veces, respectivamente.</w:t>
      </w:r>
    </w:p>
    <w:p w:rsidR="00AB2ED5" w:rsidRDefault="00AB2ED5" w:rsidP="00AB2ED5">
      <w:pPr>
        <w:pStyle w:val="TextoPrincipalV2"/>
      </w:pPr>
      <w:r w:rsidRPr="00014308">
        <w:t>El comportamiento de la componente de velocidad axial (w), variando la coordenada “r”, en la posición de referencia m</w:t>
      </w:r>
      <w:r w:rsidRPr="00014308">
        <w:rPr>
          <w:vertAlign w:val="subscript"/>
        </w:rPr>
        <w:t>2</w:t>
      </w:r>
      <w:r w:rsidRPr="00014308">
        <w:t xml:space="preserve">=1.25 cm y para el arreglo con impulsores de disco y de flujo axial, se observa en la Fig. </w:t>
      </w:r>
      <w:r>
        <w:t>7</w:t>
      </w:r>
      <w:r w:rsidRPr="00014308">
        <w:t>. Para el modelo con impulsores de disco, la curva comienza en cero sobre la pared izquierda del fondo del depósito. Posteriormente, se aprecia que el fluido se dirige hacia el fondo del tanque. Se observa que su valor se va incrementando hasta un máximo negativo de -6.59x10</w:t>
      </w:r>
      <w:r w:rsidRPr="00014308">
        <w:rPr>
          <w:vertAlign w:val="superscript"/>
        </w:rPr>
        <w:t>-3</w:t>
      </w:r>
      <w:r w:rsidRPr="00014308">
        <w:t xml:space="preserve"> m/s y de allí comienza a disminuir su magnitud hasta cambiar el sentido del flujo. Ahora el fluido se dirige hacia la tapa del contenedor. Su valor comienza a aumentar hasta un máximo positivo de +5.48x10</w:t>
      </w:r>
      <w:r w:rsidRPr="00014308">
        <w:rPr>
          <w:vertAlign w:val="superscript"/>
        </w:rPr>
        <w:t>-3</w:t>
      </w:r>
      <w:r w:rsidRPr="00014308">
        <w:t xml:space="preserve"> m/s. Finalmente su intensidad va disminuyendo nuevamente hasta llegar al eje del cilindro con un valor de +1.77x10</w:t>
      </w:r>
      <w:r w:rsidRPr="00014308">
        <w:rPr>
          <w:vertAlign w:val="superscript"/>
        </w:rPr>
        <w:t>-3</w:t>
      </w:r>
      <w:r w:rsidRPr="00014308">
        <w:t xml:space="preserve"> m/s.</w:t>
      </w:r>
    </w:p>
    <w:p w:rsidR="00AB2ED5" w:rsidRDefault="00AB2ED5" w:rsidP="00AB2ED5">
      <w:pPr>
        <w:pStyle w:val="TextoPrincipalV2"/>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209"/>
      </w:tblGrid>
      <w:tr w:rsidR="00AB2ED5" w:rsidTr="007F2707">
        <w:trPr>
          <w:trHeight w:val="1885"/>
          <w:jc w:val="center"/>
        </w:trPr>
        <w:tc>
          <w:tcPr>
            <w:tcW w:w="9209" w:type="dxa"/>
            <w:hideMark/>
          </w:tcPr>
          <w:p w:rsidR="00AB2ED5" w:rsidRDefault="00AB2ED5" w:rsidP="007F2707">
            <w:pPr>
              <w:pStyle w:val="Textoindependiente"/>
              <w:jc w:val="center"/>
              <w:rPr>
                <w:rFonts w:eastAsia="SimSun"/>
                <w:sz w:val="20"/>
                <w:lang w:eastAsia="x-none"/>
              </w:rPr>
            </w:pPr>
            <w:r>
              <w:rPr>
                <w:rFonts w:eastAsia="SimSun"/>
                <w:noProof/>
                <w:sz w:val="20"/>
                <w:lang w:val="en-US"/>
              </w:rPr>
              <w:drawing>
                <wp:inline distT="0" distB="0" distL="0" distR="0" wp14:anchorId="12EB3E10" wp14:editId="65B8A61B">
                  <wp:extent cx="3008392" cy="1800000"/>
                  <wp:effectExtent l="0" t="0" r="1905" b="0"/>
                  <wp:docPr id="2026623710" name="Imagen 202662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0" y="0"/>
                            <a:ext cx="3008392" cy="1800000"/>
                          </a:xfrm>
                          <a:prstGeom prst="rect">
                            <a:avLst/>
                          </a:prstGeom>
                          <a:noFill/>
                        </pic:spPr>
                      </pic:pic>
                    </a:graphicData>
                  </a:graphic>
                </wp:inline>
              </w:drawing>
            </w:r>
          </w:p>
        </w:tc>
      </w:tr>
      <w:tr w:rsidR="00AB2ED5" w:rsidRPr="00B00294" w:rsidTr="007F2707">
        <w:trPr>
          <w:trHeight w:val="299"/>
          <w:jc w:val="center"/>
        </w:trPr>
        <w:tc>
          <w:tcPr>
            <w:tcW w:w="9209" w:type="dxa"/>
            <w:tcMar>
              <w:top w:w="0" w:type="dxa"/>
              <w:left w:w="108" w:type="dxa"/>
              <w:bottom w:w="0" w:type="dxa"/>
              <w:right w:w="108" w:type="dxa"/>
            </w:tcMar>
            <w:hideMark/>
          </w:tcPr>
          <w:p w:rsidR="00AB2ED5" w:rsidRPr="004E5C25" w:rsidRDefault="00AB2ED5" w:rsidP="007F2707">
            <w:pPr>
              <w:pStyle w:val="Tablasyfiguras"/>
              <w:rPr>
                <w:bCs/>
              </w:rPr>
            </w:pPr>
            <w:r>
              <w:t>Figura 7</w:t>
            </w:r>
            <w:r w:rsidRPr="004E5C25">
              <w:t>.</w:t>
            </w:r>
            <w:r>
              <w:t xml:space="preserve"> </w:t>
            </w:r>
            <w:r w:rsidRPr="008605F1">
              <w:t>Velocidad axial (w) en m2</w:t>
            </w:r>
          </w:p>
        </w:tc>
      </w:tr>
    </w:tbl>
    <w:p w:rsidR="00AB2ED5" w:rsidRDefault="00AB2ED5" w:rsidP="00AB2ED5">
      <w:pPr>
        <w:pStyle w:val="TextoPrincipalV2"/>
      </w:pPr>
    </w:p>
    <w:p w:rsidR="00AB2ED5" w:rsidRDefault="00AB2ED5" w:rsidP="00AB2ED5">
      <w:pPr>
        <w:pStyle w:val="TextoPrincipalV2"/>
      </w:pPr>
      <w:r w:rsidRPr="008605F1">
        <w:t>Para el modelo con impulsores de flujo axial descendente (+30°) y ascendente (-30°), se tiene el mismo comportamiento, pero con mayores magnitudes. Esto indica que el impulsor de flujo axial descendente (+30°) favorece en esta zona el desarrollo de la velocidad vertical. En la Tabla 4 se muestran las magnitudes máximas y mínimas de la componente de velocidad axial de lado izquierdo del eje del cilindro y para los dos modelos.</w:t>
      </w:r>
      <w:r>
        <w:t xml:space="preserve"> </w:t>
      </w:r>
      <w:r w:rsidRPr="008605F1">
        <w:t>Al comparar los resultados del recipiente con impulsores de flujo axial (±30°), respecto a los de disco, se encontró que la componente de velocidad axial negativa y positiva aumentó en promedio: 1.38 y 1.05 veces, respectivamente.</w:t>
      </w:r>
    </w:p>
    <w:p w:rsidR="00AB2ED5" w:rsidRDefault="00AB2ED5" w:rsidP="00AB2ED5">
      <w:pPr>
        <w:pStyle w:val="TextoPrincipalV2"/>
      </w:pPr>
    </w:p>
    <w:p w:rsidR="00AB2ED5" w:rsidRPr="0081331D" w:rsidRDefault="00AB2ED5" w:rsidP="00AB2ED5">
      <w:pPr>
        <w:pStyle w:val="TextoPrincipalV2"/>
        <w:rPr>
          <w:i/>
          <w:sz w:val="20"/>
          <w:szCs w:val="20"/>
        </w:rPr>
      </w:pPr>
      <w:r w:rsidRPr="0081331D">
        <w:rPr>
          <w:i/>
          <w:sz w:val="20"/>
          <w:szCs w:val="20"/>
        </w:rPr>
        <w:t>Tabla 4 Valores máximos y mínimos de la componente de velocidad axial (w) en m2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0"/>
        <w:gridCol w:w="4302"/>
      </w:tblGrid>
      <w:tr w:rsidR="00AB2ED5" w:rsidRPr="00F46AA7" w:rsidTr="007F2707">
        <w:trPr>
          <w:jc w:val="center"/>
        </w:trPr>
        <w:tc>
          <w:tcPr>
            <w:tcW w:w="2270" w:type="dxa"/>
            <w:shd w:val="pct15" w:color="auto" w:fill="auto"/>
          </w:tcPr>
          <w:p w:rsidR="00AB2ED5" w:rsidRPr="00B11ED0" w:rsidRDefault="00AB2ED5" w:rsidP="007F2707">
            <w:pPr>
              <w:tabs>
                <w:tab w:val="left" w:pos="288"/>
              </w:tabs>
              <w:spacing w:line="228" w:lineRule="auto"/>
              <w:jc w:val="center"/>
              <w:rPr>
                <w:rFonts w:ascii="Arial" w:eastAsia="SimSun" w:hAnsi="Arial" w:cs="Arial"/>
                <w:b/>
                <w:spacing w:val="-1"/>
                <w:szCs w:val="16"/>
                <w:lang w:eastAsia="x-none"/>
              </w:rPr>
            </w:pPr>
            <w:r w:rsidRPr="00B11ED0">
              <w:rPr>
                <w:rFonts w:ascii="Arial" w:eastAsia="SimSun" w:hAnsi="Arial" w:cs="Arial"/>
                <w:b/>
                <w:spacing w:val="-1"/>
                <w:szCs w:val="16"/>
                <w:lang w:eastAsia="x-none"/>
              </w:rPr>
              <w:t>Impulsor</w:t>
            </w:r>
          </w:p>
        </w:tc>
        <w:tc>
          <w:tcPr>
            <w:tcW w:w="4302" w:type="dxa"/>
            <w:shd w:val="pct15" w:color="auto" w:fill="auto"/>
          </w:tcPr>
          <w:p w:rsidR="00AB2ED5" w:rsidRPr="00B11ED0" w:rsidRDefault="00AB2ED5" w:rsidP="007F2707">
            <w:pPr>
              <w:tabs>
                <w:tab w:val="left" w:pos="288"/>
              </w:tabs>
              <w:spacing w:line="228" w:lineRule="auto"/>
              <w:jc w:val="center"/>
              <w:rPr>
                <w:rFonts w:ascii="Arial" w:eastAsia="SimSun" w:hAnsi="Arial" w:cs="Arial"/>
                <w:b/>
                <w:spacing w:val="-1"/>
                <w:szCs w:val="16"/>
                <w:lang w:eastAsia="x-none"/>
              </w:rPr>
            </w:pPr>
            <w:r w:rsidRPr="00B11ED0">
              <w:rPr>
                <w:rFonts w:ascii="Arial" w:eastAsia="SimSun" w:hAnsi="Arial" w:cs="Arial"/>
                <w:b/>
                <w:spacing w:val="-1"/>
                <w:szCs w:val="16"/>
                <w:lang w:eastAsia="x-none"/>
              </w:rPr>
              <w:t>w</w:t>
            </w:r>
            <w:r w:rsidRPr="00B11ED0">
              <w:rPr>
                <w:rFonts w:ascii="Arial" w:eastAsia="SimSun" w:hAnsi="Arial" w:cs="Arial"/>
                <w:b/>
                <w:spacing w:val="-1"/>
                <w:szCs w:val="16"/>
                <w:vertAlign w:val="subscript"/>
                <w:lang w:eastAsia="x-none"/>
              </w:rPr>
              <w:t>máx</w:t>
            </w:r>
            <w:r w:rsidRPr="00B11ED0">
              <w:rPr>
                <w:rFonts w:ascii="Arial" w:eastAsia="SimSun" w:hAnsi="Arial" w:cs="Arial"/>
                <w:b/>
                <w:spacing w:val="-1"/>
                <w:szCs w:val="16"/>
                <w:lang w:eastAsia="x-none"/>
              </w:rPr>
              <w:t xml:space="preserve"> (m/s)</w:t>
            </w:r>
          </w:p>
        </w:tc>
      </w:tr>
      <w:tr w:rsidR="00AB2ED5" w:rsidRPr="00F46AA7" w:rsidTr="007F2707">
        <w:trPr>
          <w:jc w:val="center"/>
        </w:trPr>
        <w:tc>
          <w:tcPr>
            <w:tcW w:w="2270" w:type="dxa"/>
            <w:shd w:val="clear" w:color="auto" w:fill="auto"/>
            <w:vAlign w:val="center"/>
          </w:tcPr>
          <w:p w:rsidR="00AB2ED5" w:rsidRPr="00B11ED0" w:rsidRDefault="00AB2ED5" w:rsidP="007F2707">
            <w:pPr>
              <w:tabs>
                <w:tab w:val="left" w:pos="288"/>
              </w:tabs>
              <w:spacing w:line="228" w:lineRule="auto"/>
              <w:jc w:val="center"/>
              <w:rPr>
                <w:rFonts w:ascii="Arial" w:eastAsia="SimSun" w:hAnsi="Arial" w:cs="Arial"/>
                <w:spacing w:val="-1"/>
                <w:szCs w:val="16"/>
                <w:lang w:eastAsia="x-none"/>
              </w:rPr>
            </w:pPr>
            <w:r w:rsidRPr="00B11ED0">
              <w:rPr>
                <w:rFonts w:ascii="Arial" w:eastAsia="SimSun" w:hAnsi="Arial" w:cs="Arial"/>
                <w:spacing w:val="-1"/>
                <w:szCs w:val="16"/>
                <w:lang w:eastAsia="x-none"/>
              </w:rPr>
              <w:t>Disco</w:t>
            </w:r>
          </w:p>
        </w:tc>
        <w:tc>
          <w:tcPr>
            <w:tcW w:w="4302" w:type="dxa"/>
            <w:shd w:val="clear" w:color="auto" w:fill="auto"/>
            <w:vAlign w:val="center"/>
          </w:tcPr>
          <w:p w:rsidR="00AB2ED5" w:rsidRPr="00B11ED0" w:rsidRDefault="00AB2ED5" w:rsidP="007F2707">
            <w:pPr>
              <w:tabs>
                <w:tab w:val="left" w:pos="288"/>
              </w:tabs>
              <w:spacing w:line="228" w:lineRule="auto"/>
              <w:rPr>
                <w:rFonts w:ascii="Arial" w:eastAsia="SimSun" w:hAnsi="Arial" w:cs="Arial"/>
                <w:spacing w:val="-1"/>
                <w:szCs w:val="16"/>
                <w:lang w:eastAsia="x-none"/>
              </w:rPr>
            </w:pPr>
            <w:r w:rsidRPr="00B11ED0">
              <w:rPr>
                <w:rFonts w:ascii="Arial" w:eastAsia="SimSun" w:hAnsi="Arial" w:cs="Arial"/>
                <w:spacing w:val="-1"/>
                <w:szCs w:val="16"/>
                <w:lang w:eastAsia="x-none"/>
              </w:rPr>
              <w:t>-6.59x10</w:t>
            </w:r>
            <w:r w:rsidRPr="00B11ED0">
              <w:rPr>
                <w:rFonts w:ascii="Arial" w:eastAsia="SimSun" w:hAnsi="Arial" w:cs="Arial"/>
                <w:spacing w:val="-1"/>
                <w:szCs w:val="16"/>
                <w:vertAlign w:val="superscript"/>
                <w:lang w:eastAsia="x-none"/>
              </w:rPr>
              <w:t>-3</w:t>
            </w:r>
            <w:r w:rsidRPr="00B11ED0">
              <w:rPr>
                <w:rFonts w:ascii="Arial" w:eastAsia="SimSun" w:hAnsi="Arial" w:cs="Arial"/>
                <w:spacing w:val="-1"/>
                <w:szCs w:val="16"/>
                <w:lang w:eastAsia="x-none"/>
              </w:rPr>
              <w:t>, +5.48x10</w:t>
            </w:r>
            <w:r w:rsidRPr="00B11ED0">
              <w:rPr>
                <w:rFonts w:ascii="Arial" w:eastAsia="SimSun" w:hAnsi="Arial" w:cs="Arial"/>
                <w:spacing w:val="-1"/>
                <w:szCs w:val="16"/>
                <w:vertAlign w:val="superscript"/>
                <w:lang w:eastAsia="x-none"/>
              </w:rPr>
              <w:t>-3</w:t>
            </w:r>
            <w:r w:rsidRPr="00B11ED0">
              <w:rPr>
                <w:rFonts w:ascii="Arial" w:eastAsia="SimSun" w:hAnsi="Arial" w:cs="Arial"/>
                <w:spacing w:val="-1"/>
                <w:szCs w:val="16"/>
                <w:lang w:eastAsia="x-none"/>
              </w:rPr>
              <w:t>,</w:t>
            </w:r>
            <w:r>
              <w:rPr>
                <w:rFonts w:ascii="Arial" w:eastAsia="SimSun" w:hAnsi="Arial" w:cs="Arial"/>
                <w:spacing w:val="-1"/>
                <w:szCs w:val="16"/>
                <w:lang w:eastAsia="x-none"/>
              </w:rPr>
              <w:t xml:space="preserve"> </w:t>
            </w:r>
            <w:r w:rsidRPr="00B11ED0">
              <w:rPr>
                <w:rFonts w:ascii="Arial" w:eastAsia="SimSun" w:hAnsi="Arial" w:cs="Arial"/>
                <w:spacing w:val="-1"/>
                <w:szCs w:val="16"/>
                <w:lang w:eastAsia="x-none"/>
              </w:rPr>
              <w:t>+1.77x10</w:t>
            </w:r>
            <w:r w:rsidRPr="00B11ED0">
              <w:rPr>
                <w:rFonts w:ascii="Arial" w:eastAsia="SimSun" w:hAnsi="Arial" w:cs="Arial"/>
                <w:spacing w:val="-1"/>
                <w:szCs w:val="16"/>
                <w:vertAlign w:val="superscript"/>
                <w:lang w:eastAsia="x-none"/>
              </w:rPr>
              <w:t>-3</w:t>
            </w:r>
          </w:p>
        </w:tc>
      </w:tr>
      <w:tr w:rsidR="00AB2ED5" w:rsidRPr="00F46AA7" w:rsidTr="007F2707">
        <w:trPr>
          <w:jc w:val="center"/>
        </w:trPr>
        <w:tc>
          <w:tcPr>
            <w:tcW w:w="2270" w:type="dxa"/>
            <w:shd w:val="clear" w:color="auto" w:fill="auto"/>
            <w:vAlign w:val="center"/>
          </w:tcPr>
          <w:p w:rsidR="00AB2ED5" w:rsidRPr="00B11ED0" w:rsidRDefault="00AB2ED5" w:rsidP="007F2707">
            <w:pPr>
              <w:tabs>
                <w:tab w:val="left" w:pos="288"/>
              </w:tabs>
              <w:spacing w:line="228" w:lineRule="auto"/>
              <w:jc w:val="center"/>
              <w:rPr>
                <w:rFonts w:ascii="Arial" w:eastAsia="SimSun" w:hAnsi="Arial" w:cs="Arial"/>
                <w:spacing w:val="-1"/>
                <w:szCs w:val="16"/>
                <w:lang w:eastAsia="x-none"/>
              </w:rPr>
            </w:pPr>
            <w:r w:rsidRPr="00B11ED0">
              <w:rPr>
                <w:rFonts w:ascii="Arial" w:eastAsia="SimSun" w:hAnsi="Arial" w:cs="Arial"/>
                <w:spacing w:val="-1"/>
                <w:szCs w:val="16"/>
                <w:lang w:eastAsia="x-none"/>
              </w:rPr>
              <w:lastRenderedPageBreak/>
              <w:t>Flujo axial (</w:t>
            </w:r>
            <w:r w:rsidRPr="00B11ED0">
              <w:rPr>
                <w:rFonts w:ascii="Arial" w:hAnsi="Arial" w:cs="Arial"/>
                <w:bCs/>
              </w:rPr>
              <w:t>±</w:t>
            </w:r>
            <w:r w:rsidRPr="00B11ED0">
              <w:rPr>
                <w:rFonts w:ascii="Arial" w:eastAsia="SimSun" w:hAnsi="Arial" w:cs="Arial"/>
                <w:color w:val="000000"/>
                <w:spacing w:val="-1"/>
                <w:lang w:eastAsia="x-none"/>
              </w:rPr>
              <w:t>30°)</w:t>
            </w:r>
          </w:p>
        </w:tc>
        <w:tc>
          <w:tcPr>
            <w:tcW w:w="4302" w:type="dxa"/>
            <w:shd w:val="clear" w:color="auto" w:fill="auto"/>
            <w:vAlign w:val="center"/>
          </w:tcPr>
          <w:p w:rsidR="00AB2ED5" w:rsidRPr="00B11ED0" w:rsidRDefault="00AB2ED5" w:rsidP="007F2707">
            <w:pPr>
              <w:tabs>
                <w:tab w:val="left" w:pos="288"/>
              </w:tabs>
              <w:spacing w:line="228" w:lineRule="auto"/>
              <w:rPr>
                <w:rFonts w:ascii="Arial" w:eastAsia="SimSun" w:hAnsi="Arial" w:cs="Arial"/>
                <w:spacing w:val="-1"/>
                <w:szCs w:val="16"/>
                <w:lang w:eastAsia="x-none"/>
              </w:rPr>
            </w:pPr>
            <w:r w:rsidRPr="00B11ED0">
              <w:rPr>
                <w:rFonts w:ascii="Arial" w:eastAsia="SimSun" w:hAnsi="Arial" w:cs="Arial"/>
                <w:spacing w:val="-1"/>
                <w:szCs w:val="16"/>
                <w:lang w:eastAsia="x-none"/>
              </w:rPr>
              <w:t>-15.62x10</w:t>
            </w:r>
            <w:r w:rsidRPr="00B11ED0">
              <w:rPr>
                <w:rFonts w:ascii="Arial" w:eastAsia="SimSun" w:hAnsi="Arial" w:cs="Arial"/>
                <w:spacing w:val="-1"/>
                <w:szCs w:val="16"/>
                <w:vertAlign w:val="superscript"/>
                <w:lang w:eastAsia="x-none"/>
              </w:rPr>
              <w:t>-3</w:t>
            </w:r>
            <w:r w:rsidRPr="00B11ED0">
              <w:rPr>
                <w:rFonts w:ascii="Arial" w:eastAsia="SimSun" w:hAnsi="Arial" w:cs="Arial"/>
                <w:spacing w:val="-1"/>
                <w:szCs w:val="16"/>
                <w:lang w:eastAsia="x-none"/>
              </w:rPr>
              <w:t>, +11.64x10</w:t>
            </w:r>
            <w:r w:rsidRPr="00B11ED0">
              <w:rPr>
                <w:rFonts w:ascii="Arial" w:eastAsia="SimSun" w:hAnsi="Arial" w:cs="Arial"/>
                <w:spacing w:val="-1"/>
                <w:szCs w:val="16"/>
                <w:vertAlign w:val="superscript"/>
                <w:lang w:eastAsia="x-none"/>
              </w:rPr>
              <w:t>-3</w:t>
            </w:r>
            <w:r w:rsidRPr="00B11ED0">
              <w:rPr>
                <w:rFonts w:ascii="Arial" w:eastAsia="SimSun" w:hAnsi="Arial" w:cs="Arial"/>
                <w:spacing w:val="-1"/>
                <w:szCs w:val="16"/>
                <w:lang w:eastAsia="x-none"/>
              </w:rPr>
              <w:t>,</w:t>
            </w:r>
            <w:r>
              <w:rPr>
                <w:rFonts w:ascii="Arial" w:eastAsia="SimSun" w:hAnsi="Arial" w:cs="Arial"/>
                <w:spacing w:val="-1"/>
                <w:szCs w:val="16"/>
                <w:lang w:eastAsia="x-none"/>
              </w:rPr>
              <w:t xml:space="preserve"> </w:t>
            </w:r>
            <w:r w:rsidRPr="00B11ED0">
              <w:rPr>
                <w:rFonts w:ascii="Arial" w:eastAsia="SimSun" w:hAnsi="Arial" w:cs="Arial"/>
                <w:spacing w:val="-1"/>
                <w:szCs w:val="16"/>
                <w:lang w:eastAsia="x-none"/>
              </w:rPr>
              <w:t>+5.76x10</w:t>
            </w:r>
            <w:r w:rsidRPr="00B11ED0">
              <w:rPr>
                <w:rFonts w:ascii="Arial" w:eastAsia="SimSun" w:hAnsi="Arial" w:cs="Arial"/>
                <w:spacing w:val="-1"/>
                <w:szCs w:val="16"/>
                <w:vertAlign w:val="superscript"/>
                <w:lang w:eastAsia="x-none"/>
              </w:rPr>
              <w:t>-3</w:t>
            </w:r>
          </w:p>
        </w:tc>
      </w:tr>
    </w:tbl>
    <w:p w:rsidR="00AB2ED5" w:rsidRDefault="00AB2ED5" w:rsidP="00AB2ED5">
      <w:pPr>
        <w:pStyle w:val="TextoPrincipalV2"/>
      </w:pPr>
    </w:p>
    <w:p w:rsidR="00AB2ED5" w:rsidRDefault="00AB2ED5" w:rsidP="00AB2ED5">
      <w:pPr>
        <w:pStyle w:val="TextoPrincipalV2"/>
      </w:pPr>
      <w:r w:rsidRPr="00443FB2">
        <w:t xml:space="preserve">Otro análisis que se hizo fue el de la componente de velocidad axial (w) pero en el punto medio entre el impulsor inferior y superior, Fig. </w:t>
      </w:r>
      <w:r>
        <w:t>8</w:t>
      </w:r>
      <w:r w:rsidRPr="00443FB2">
        <w:t xml:space="preserve">, y entre el impulsor superior y la tapa del depósito, Fig. </w:t>
      </w:r>
      <w:r>
        <w:t>9</w:t>
      </w:r>
      <w:r w:rsidRPr="00443FB2">
        <w:t>, es decir en la posición m</w:t>
      </w:r>
      <w:r w:rsidRPr="00443FB2">
        <w:rPr>
          <w:vertAlign w:val="subscript"/>
        </w:rPr>
        <w:t>3</w:t>
      </w:r>
      <w:r w:rsidRPr="00443FB2">
        <w:t>=3.75 y m</w:t>
      </w:r>
      <w:r w:rsidRPr="00443FB2">
        <w:rPr>
          <w:vertAlign w:val="subscript"/>
        </w:rPr>
        <w:t>4</w:t>
      </w:r>
      <w:r w:rsidRPr="00443FB2">
        <w:t>=4.75 cm, respectivamente, Fig. 1. En las curvas del impulsor de disco se observa que la velocidad vertical toma el valor de cero sobre la pared izquierda del tanque, posteriormente se aprecia que el fluido se mueve hacia la parte superior del cilindro, esto se advierte por el signo positivo de la velocidad, su magnitud se va incrementando hasta un máximo positivo de 2.83x10</w:t>
      </w:r>
      <w:r w:rsidRPr="00443FB2">
        <w:rPr>
          <w:vertAlign w:val="superscript"/>
        </w:rPr>
        <w:t>-3</w:t>
      </w:r>
      <w:r w:rsidRPr="00443FB2">
        <w:t xml:space="preserve"> y 6.08x10</w:t>
      </w:r>
      <w:r w:rsidRPr="00443FB2">
        <w:rPr>
          <w:vertAlign w:val="superscript"/>
        </w:rPr>
        <w:t>-3</w:t>
      </w:r>
      <w:r w:rsidRPr="00443FB2">
        <w:t xml:space="preserve"> m/s, respectivamente. De allí comienza a disminuir su valor hasta presentarse un cambio en la dirección del flujo, ahora el fluido se mueve hacia el fondo del recipiente, esto se nota por el signo negativo de la velocidad. Su magnitud va disminuyendo hasta un máximo negativo de -1.99x10</w:t>
      </w:r>
      <w:r w:rsidRPr="00443FB2">
        <w:rPr>
          <w:vertAlign w:val="superscript"/>
        </w:rPr>
        <w:t>-3</w:t>
      </w:r>
      <w:r w:rsidRPr="00443FB2">
        <w:t xml:space="preserve"> y -7.19x10</w:t>
      </w:r>
      <w:r w:rsidRPr="00443FB2">
        <w:rPr>
          <w:vertAlign w:val="superscript"/>
        </w:rPr>
        <w:t>-3</w:t>
      </w:r>
      <w:r w:rsidRPr="00443FB2">
        <w:t xml:space="preserve"> m/s, respectivamente. Finalmente, la intensidad de la velocidad vertical va aumentando hasta cero, al llegar a la pared izquierda de la flecha. Comparando ambas gráficas se observa que la componente de velocidad axial presenta valores mayores en la parte superior del depósito (m4), co</w:t>
      </w:r>
      <w:r>
        <w:t>ntrastada</w:t>
      </w:r>
      <w:r w:rsidRPr="00443FB2">
        <w:t xml:space="preserve"> con la zona que hay entre los impulsores inferior y superior (m3). Esto es debido a que en la parte superior no se tiene otro flujo que se contraponga a su movimiento, solo influencia de la tapa rígida.</w:t>
      </w:r>
    </w:p>
    <w:p w:rsidR="00AB2ED5" w:rsidRDefault="00AB2ED5" w:rsidP="00AB2ED5">
      <w:pPr>
        <w:pStyle w:val="TextoPrincipalV2"/>
      </w:pPr>
    </w:p>
    <w:tbl>
      <w:tblPr>
        <w:tblStyle w:val="Tablaconcuadrcula"/>
        <w:tblW w:w="0" w:type="auto"/>
        <w:tblLook w:val="04A0" w:firstRow="1" w:lastRow="0" w:firstColumn="1" w:lastColumn="0" w:noHBand="0" w:noVBand="1"/>
      </w:tblPr>
      <w:tblGrid>
        <w:gridCol w:w="4652"/>
        <w:gridCol w:w="4742"/>
      </w:tblGrid>
      <w:tr w:rsidR="00AB2ED5" w:rsidTr="007F2707">
        <w:tc>
          <w:tcPr>
            <w:tcW w:w="4772" w:type="dxa"/>
          </w:tcPr>
          <w:p w:rsidR="00AB2ED5" w:rsidRDefault="00AB2ED5" w:rsidP="007F2707">
            <w:pPr>
              <w:pStyle w:val="TextoPrincipalV2"/>
              <w:ind w:firstLine="0"/>
            </w:pPr>
            <w:r>
              <w:rPr>
                <w:rFonts w:eastAsia="SimSun"/>
                <w:noProof/>
                <w:sz w:val="20"/>
                <w:szCs w:val="20"/>
                <w:lang w:val="en-US" w:eastAsia="en-US"/>
              </w:rPr>
              <w:drawing>
                <wp:inline distT="0" distB="0" distL="0" distR="0" wp14:anchorId="77C93FC8" wp14:editId="7EA0E406">
                  <wp:extent cx="2816860" cy="1725295"/>
                  <wp:effectExtent l="0" t="0" r="2540" b="8255"/>
                  <wp:docPr id="2026623711" name="Imagen 202662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0" y="0"/>
                            <a:ext cx="2816860" cy="1725295"/>
                          </a:xfrm>
                          <a:prstGeom prst="rect">
                            <a:avLst/>
                          </a:prstGeom>
                          <a:noFill/>
                        </pic:spPr>
                      </pic:pic>
                    </a:graphicData>
                  </a:graphic>
                </wp:inline>
              </w:drawing>
            </w:r>
          </w:p>
        </w:tc>
        <w:tc>
          <w:tcPr>
            <w:tcW w:w="4772" w:type="dxa"/>
          </w:tcPr>
          <w:p w:rsidR="00AB2ED5" w:rsidRDefault="00AB2ED5" w:rsidP="007F2707">
            <w:pPr>
              <w:pStyle w:val="TextoPrincipalV2"/>
              <w:ind w:firstLine="0"/>
            </w:pPr>
            <w:r>
              <w:rPr>
                <w:rFonts w:eastAsia="SimSun"/>
                <w:noProof/>
                <w:sz w:val="20"/>
                <w:szCs w:val="20"/>
                <w:lang w:val="en-US" w:eastAsia="en-US"/>
              </w:rPr>
              <w:drawing>
                <wp:inline distT="0" distB="0" distL="0" distR="0" wp14:anchorId="7D58AA7E" wp14:editId="4D91AEC4">
                  <wp:extent cx="2871470" cy="1725295"/>
                  <wp:effectExtent l="0" t="0" r="5080" b="8255"/>
                  <wp:docPr id="2026623712" name="Imagen 202662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0" y="0"/>
                            <a:ext cx="2871470" cy="1725295"/>
                          </a:xfrm>
                          <a:prstGeom prst="rect">
                            <a:avLst/>
                          </a:prstGeom>
                          <a:noFill/>
                        </pic:spPr>
                      </pic:pic>
                    </a:graphicData>
                  </a:graphic>
                </wp:inline>
              </w:drawing>
            </w:r>
          </w:p>
        </w:tc>
      </w:tr>
      <w:tr w:rsidR="00AB2ED5" w:rsidTr="007F2707">
        <w:tc>
          <w:tcPr>
            <w:tcW w:w="4772" w:type="dxa"/>
          </w:tcPr>
          <w:p w:rsidR="00AB2ED5" w:rsidRDefault="00AB2ED5" w:rsidP="007F2707">
            <w:pPr>
              <w:pStyle w:val="Tablasyfiguras"/>
            </w:pPr>
            <w:r>
              <w:t>Figura 8</w:t>
            </w:r>
            <w:r w:rsidRPr="004E5C25">
              <w:t>.</w:t>
            </w:r>
            <w:r>
              <w:t xml:space="preserve"> </w:t>
            </w:r>
            <w:r w:rsidRPr="00443FB2">
              <w:t>Velocidad axial (w) en m3</w:t>
            </w:r>
          </w:p>
        </w:tc>
        <w:tc>
          <w:tcPr>
            <w:tcW w:w="4772" w:type="dxa"/>
          </w:tcPr>
          <w:p w:rsidR="00AB2ED5" w:rsidRDefault="00AB2ED5" w:rsidP="007F2707">
            <w:pPr>
              <w:pStyle w:val="Tablasyfiguras"/>
            </w:pPr>
            <w:r>
              <w:t>Figura 9</w:t>
            </w:r>
            <w:r w:rsidRPr="004E5C25">
              <w:t>.</w:t>
            </w:r>
            <w:r>
              <w:t xml:space="preserve"> </w:t>
            </w:r>
            <w:r w:rsidRPr="0081331D">
              <w:t>Velocidad axial (w) en m4</w:t>
            </w:r>
          </w:p>
        </w:tc>
      </w:tr>
    </w:tbl>
    <w:p w:rsidR="00AB2ED5" w:rsidRDefault="00AB2ED5" w:rsidP="00AB2ED5">
      <w:pPr>
        <w:pStyle w:val="TextoPrincipalV2"/>
      </w:pPr>
    </w:p>
    <w:p w:rsidR="00AB2ED5" w:rsidRDefault="00AB2ED5" w:rsidP="00AB2ED5">
      <w:pPr>
        <w:pStyle w:val="TextoPrincipalV2"/>
      </w:pPr>
      <w:r w:rsidRPr="00443FB2">
        <w:t>Para el modelo con impulsores de flujo axial descendente (+30°) y ascendente (-30°), se presenta el mismo comportamiento, pero con magnitudes mayores. Esto nuevamente corrobora que los impulsores de flujo axial contribuyen a beneficiar el movimiento del fluido en la dirección vertical. En la Tablas 5 se muestran los valores máximos y mínimos de la componente de velocidad axial, de lado izquierdo del eje del cilindro, para las dos posiciones de interés (m3 y m4) y para los dos tipos de impulsor.</w:t>
      </w:r>
    </w:p>
    <w:p w:rsidR="00AB2ED5" w:rsidRDefault="00AB2ED5" w:rsidP="00AB2ED5">
      <w:pPr>
        <w:pStyle w:val="TextoPrincipalV2"/>
      </w:pPr>
    </w:p>
    <w:p w:rsidR="00AB2ED5" w:rsidRPr="001A3166" w:rsidRDefault="00AB2ED5" w:rsidP="00AB2ED5">
      <w:pPr>
        <w:pStyle w:val="TextoPrincipalV2"/>
        <w:rPr>
          <w:sz w:val="20"/>
          <w:szCs w:val="20"/>
        </w:rPr>
      </w:pPr>
      <w:r w:rsidRPr="001A3166">
        <w:rPr>
          <w:sz w:val="20"/>
          <w:szCs w:val="20"/>
        </w:rPr>
        <w:t>Tabla 5 Valores máximos y mínimos de la componente de velocidad axial (w) en m3 y m4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1"/>
        <w:gridCol w:w="2691"/>
        <w:gridCol w:w="2691"/>
      </w:tblGrid>
      <w:tr w:rsidR="00AB2ED5" w:rsidRPr="00B11ED0" w:rsidTr="007F2707">
        <w:trPr>
          <w:jc w:val="center"/>
        </w:trPr>
        <w:tc>
          <w:tcPr>
            <w:tcW w:w="2241" w:type="dxa"/>
            <w:shd w:val="pct15" w:color="auto" w:fill="auto"/>
          </w:tcPr>
          <w:p w:rsidR="00AB2ED5" w:rsidRPr="00B11ED0" w:rsidRDefault="00AB2ED5" w:rsidP="007F2707">
            <w:pPr>
              <w:tabs>
                <w:tab w:val="left" w:pos="288"/>
              </w:tabs>
              <w:spacing w:line="228" w:lineRule="auto"/>
              <w:jc w:val="both"/>
              <w:rPr>
                <w:rFonts w:ascii="Arial" w:eastAsia="SimSun" w:hAnsi="Arial" w:cs="Arial"/>
                <w:b/>
                <w:spacing w:val="-1"/>
                <w:szCs w:val="16"/>
                <w:lang w:eastAsia="x-none"/>
              </w:rPr>
            </w:pPr>
            <w:r w:rsidRPr="00B11ED0">
              <w:rPr>
                <w:rFonts w:ascii="Arial" w:eastAsia="SimSun" w:hAnsi="Arial" w:cs="Arial"/>
                <w:b/>
                <w:spacing w:val="-1"/>
                <w:szCs w:val="16"/>
                <w:lang w:eastAsia="x-none"/>
              </w:rPr>
              <w:t>Impulsor</w:t>
            </w:r>
          </w:p>
        </w:tc>
        <w:tc>
          <w:tcPr>
            <w:tcW w:w="2691" w:type="dxa"/>
            <w:shd w:val="pct15" w:color="auto" w:fill="auto"/>
          </w:tcPr>
          <w:p w:rsidR="00AB2ED5" w:rsidRPr="00B11ED0" w:rsidRDefault="00AB2ED5" w:rsidP="007F2707">
            <w:pPr>
              <w:tabs>
                <w:tab w:val="left" w:pos="288"/>
              </w:tabs>
              <w:spacing w:line="228" w:lineRule="auto"/>
              <w:jc w:val="both"/>
              <w:rPr>
                <w:rFonts w:ascii="Arial" w:eastAsia="SimSun" w:hAnsi="Arial" w:cs="Arial"/>
                <w:b/>
                <w:spacing w:val="-1"/>
                <w:szCs w:val="16"/>
                <w:lang w:eastAsia="x-none"/>
              </w:rPr>
            </w:pPr>
            <w:r w:rsidRPr="00B11ED0">
              <w:rPr>
                <w:rFonts w:ascii="Arial" w:eastAsia="SimSun" w:hAnsi="Arial" w:cs="Arial"/>
                <w:b/>
                <w:spacing w:val="-1"/>
                <w:szCs w:val="16"/>
                <w:lang w:eastAsia="x-none"/>
              </w:rPr>
              <w:t>w</w:t>
            </w:r>
            <w:r w:rsidRPr="00B11ED0">
              <w:rPr>
                <w:rFonts w:ascii="Arial" w:eastAsia="SimSun" w:hAnsi="Arial" w:cs="Arial"/>
                <w:b/>
                <w:spacing w:val="-1"/>
                <w:szCs w:val="16"/>
                <w:vertAlign w:val="subscript"/>
                <w:lang w:eastAsia="x-none"/>
              </w:rPr>
              <w:t>máx</w:t>
            </w:r>
            <w:r w:rsidRPr="00B11ED0">
              <w:rPr>
                <w:rFonts w:ascii="Arial" w:eastAsia="SimSun" w:hAnsi="Arial" w:cs="Arial"/>
                <w:b/>
                <w:spacing w:val="-1"/>
                <w:szCs w:val="16"/>
                <w:lang w:eastAsia="x-none"/>
              </w:rPr>
              <w:t xml:space="preserve"> (m/s)</w:t>
            </w:r>
            <w:r>
              <w:rPr>
                <w:rFonts w:ascii="Arial" w:eastAsia="SimSun" w:hAnsi="Arial" w:cs="Arial"/>
                <w:b/>
                <w:spacing w:val="-1"/>
                <w:szCs w:val="16"/>
                <w:lang w:eastAsia="x-none"/>
              </w:rPr>
              <w:t xml:space="preserve"> en m3</w:t>
            </w:r>
          </w:p>
        </w:tc>
        <w:tc>
          <w:tcPr>
            <w:tcW w:w="2691" w:type="dxa"/>
            <w:shd w:val="pct15" w:color="auto" w:fill="auto"/>
          </w:tcPr>
          <w:p w:rsidR="00AB2ED5" w:rsidRPr="00B11ED0" w:rsidRDefault="00AB2ED5" w:rsidP="007F2707">
            <w:pPr>
              <w:tabs>
                <w:tab w:val="left" w:pos="288"/>
              </w:tabs>
              <w:spacing w:line="228" w:lineRule="auto"/>
              <w:jc w:val="both"/>
              <w:rPr>
                <w:rFonts w:ascii="Arial" w:eastAsia="SimSun" w:hAnsi="Arial" w:cs="Arial"/>
                <w:b/>
                <w:spacing w:val="-1"/>
                <w:szCs w:val="16"/>
                <w:lang w:eastAsia="x-none"/>
              </w:rPr>
            </w:pPr>
            <w:r w:rsidRPr="00B11ED0">
              <w:rPr>
                <w:rFonts w:ascii="Arial" w:eastAsia="SimSun" w:hAnsi="Arial" w:cs="Arial"/>
                <w:b/>
                <w:spacing w:val="-1"/>
                <w:szCs w:val="16"/>
                <w:lang w:eastAsia="x-none"/>
              </w:rPr>
              <w:t>w</w:t>
            </w:r>
            <w:r w:rsidRPr="00B11ED0">
              <w:rPr>
                <w:rFonts w:ascii="Arial" w:eastAsia="SimSun" w:hAnsi="Arial" w:cs="Arial"/>
                <w:b/>
                <w:spacing w:val="-1"/>
                <w:szCs w:val="16"/>
                <w:vertAlign w:val="subscript"/>
                <w:lang w:eastAsia="x-none"/>
              </w:rPr>
              <w:t>máx</w:t>
            </w:r>
            <w:r w:rsidRPr="00B11ED0">
              <w:rPr>
                <w:rFonts w:ascii="Arial" w:eastAsia="SimSun" w:hAnsi="Arial" w:cs="Arial"/>
                <w:b/>
                <w:spacing w:val="-1"/>
                <w:szCs w:val="16"/>
                <w:lang w:eastAsia="x-none"/>
              </w:rPr>
              <w:t xml:space="preserve"> (m/s)</w:t>
            </w:r>
            <w:r>
              <w:rPr>
                <w:rFonts w:ascii="Arial" w:eastAsia="SimSun" w:hAnsi="Arial" w:cs="Arial"/>
                <w:b/>
                <w:spacing w:val="-1"/>
                <w:szCs w:val="16"/>
                <w:lang w:eastAsia="x-none"/>
              </w:rPr>
              <w:t xml:space="preserve"> en m4</w:t>
            </w:r>
          </w:p>
        </w:tc>
      </w:tr>
      <w:tr w:rsidR="00AB2ED5" w:rsidRPr="00B11ED0" w:rsidTr="007F2707">
        <w:trPr>
          <w:jc w:val="center"/>
        </w:trPr>
        <w:tc>
          <w:tcPr>
            <w:tcW w:w="2241" w:type="dxa"/>
            <w:shd w:val="clear" w:color="auto" w:fill="auto"/>
            <w:vAlign w:val="center"/>
          </w:tcPr>
          <w:p w:rsidR="00AB2ED5" w:rsidRPr="00B11ED0" w:rsidRDefault="00AB2ED5" w:rsidP="007F2707">
            <w:pPr>
              <w:tabs>
                <w:tab w:val="left" w:pos="288"/>
              </w:tabs>
              <w:spacing w:line="228" w:lineRule="auto"/>
              <w:jc w:val="center"/>
              <w:rPr>
                <w:rFonts w:ascii="Arial" w:eastAsia="SimSun" w:hAnsi="Arial" w:cs="Arial"/>
                <w:spacing w:val="-1"/>
                <w:szCs w:val="16"/>
                <w:lang w:eastAsia="x-none"/>
              </w:rPr>
            </w:pPr>
            <w:r w:rsidRPr="00B11ED0">
              <w:rPr>
                <w:rFonts w:ascii="Arial" w:eastAsia="SimSun" w:hAnsi="Arial" w:cs="Arial"/>
                <w:spacing w:val="-1"/>
                <w:szCs w:val="16"/>
                <w:lang w:eastAsia="x-none"/>
              </w:rPr>
              <w:t>Disco</w:t>
            </w:r>
          </w:p>
        </w:tc>
        <w:tc>
          <w:tcPr>
            <w:tcW w:w="2691" w:type="dxa"/>
            <w:shd w:val="clear" w:color="auto" w:fill="auto"/>
            <w:vAlign w:val="center"/>
          </w:tcPr>
          <w:p w:rsidR="00AB2ED5" w:rsidRPr="00B11ED0" w:rsidRDefault="00AB2ED5" w:rsidP="007F2707">
            <w:pPr>
              <w:tabs>
                <w:tab w:val="left" w:pos="288"/>
              </w:tabs>
              <w:spacing w:line="228" w:lineRule="auto"/>
              <w:rPr>
                <w:rFonts w:ascii="Arial" w:eastAsia="SimSun" w:hAnsi="Arial" w:cs="Arial"/>
                <w:spacing w:val="-1"/>
                <w:szCs w:val="16"/>
                <w:lang w:eastAsia="x-none"/>
              </w:rPr>
            </w:pPr>
            <w:r w:rsidRPr="00B11ED0">
              <w:rPr>
                <w:rFonts w:ascii="Arial" w:eastAsia="SimSun" w:hAnsi="Arial" w:cs="Arial"/>
                <w:spacing w:val="-1"/>
                <w:szCs w:val="16"/>
                <w:lang w:eastAsia="x-none"/>
              </w:rPr>
              <w:t>2.83x10</w:t>
            </w:r>
            <w:r w:rsidRPr="00B11ED0">
              <w:rPr>
                <w:rFonts w:ascii="Arial" w:eastAsia="SimSun" w:hAnsi="Arial" w:cs="Arial"/>
                <w:spacing w:val="-1"/>
                <w:szCs w:val="16"/>
                <w:vertAlign w:val="superscript"/>
                <w:lang w:eastAsia="x-none"/>
              </w:rPr>
              <w:t>-3</w:t>
            </w:r>
            <w:r w:rsidRPr="00B11ED0">
              <w:rPr>
                <w:rFonts w:ascii="Arial" w:eastAsia="SimSun" w:hAnsi="Arial" w:cs="Arial"/>
                <w:spacing w:val="-1"/>
                <w:szCs w:val="16"/>
                <w:lang w:eastAsia="x-none"/>
              </w:rPr>
              <w:t>, -1.99x10</w:t>
            </w:r>
            <w:r w:rsidRPr="00B11ED0">
              <w:rPr>
                <w:rFonts w:ascii="Arial" w:eastAsia="SimSun" w:hAnsi="Arial" w:cs="Arial"/>
                <w:spacing w:val="-1"/>
                <w:szCs w:val="16"/>
                <w:vertAlign w:val="superscript"/>
                <w:lang w:eastAsia="x-none"/>
              </w:rPr>
              <w:t>-3</w:t>
            </w:r>
          </w:p>
        </w:tc>
        <w:tc>
          <w:tcPr>
            <w:tcW w:w="2691" w:type="dxa"/>
            <w:vAlign w:val="center"/>
          </w:tcPr>
          <w:p w:rsidR="00AB2ED5" w:rsidRPr="00B11ED0" w:rsidRDefault="00AB2ED5" w:rsidP="007F2707">
            <w:pPr>
              <w:tabs>
                <w:tab w:val="left" w:pos="288"/>
              </w:tabs>
              <w:spacing w:line="228" w:lineRule="auto"/>
              <w:rPr>
                <w:rFonts w:ascii="Arial" w:eastAsia="SimSun" w:hAnsi="Arial" w:cs="Arial"/>
                <w:spacing w:val="-1"/>
                <w:szCs w:val="16"/>
                <w:lang w:eastAsia="x-none"/>
              </w:rPr>
            </w:pPr>
            <w:r w:rsidRPr="00B11ED0">
              <w:rPr>
                <w:rFonts w:ascii="Arial" w:eastAsia="SimSun" w:hAnsi="Arial" w:cs="Arial"/>
                <w:spacing w:val="-1"/>
                <w:szCs w:val="16"/>
                <w:lang w:eastAsia="x-none"/>
              </w:rPr>
              <w:t>6.08x10</w:t>
            </w:r>
            <w:r w:rsidRPr="00B11ED0">
              <w:rPr>
                <w:rFonts w:ascii="Arial" w:eastAsia="SimSun" w:hAnsi="Arial" w:cs="Arial"/>
                <w:spacing w:val="-1"/>
                <w:szCs w:val="16"/>
                <w:vertAlign w:val="superscript"/>
                <w:lang w:eastAsia="x-none"/>
              </w:rPr>
              <w:t>-3</w:t>
            </w:r>
            <w:r w:rsidRPr="00B11ED0">
              <w:rPr>
                <w:rFonts w:ascii="Arial" w:eastAsia="SimSun" w:hAnsi="Arial" w:cs="Arial"/>
                <w:spacing w:val="-1"/>
                <w:szCs w:val="16"/>
                <w:lang w:eastAsia="x-none"/>
              </w:rPr>
              <w:t>, -7.19x10</w:t>
            </w:r>
            <w:r w:rsidRPr="00B11ED0">
              <w:rPr>
                <w:rFonts w:ascii="Arial" w:eastAsia="SimSun" w:hAnsi="Arial" w:cs="Arial"/>
                <w:spacing w:val="-1"/>
                <w:szCs w:val="16"/>
                <w:vertAlign w:val="superscript"/>
                <w:lang w:eastAsia="x-none"/>
              </w:rPr>
              <w:t>-3</w:t>
            </w:r>
          </w:p>
        </w:tc>
      </w:tr>
      <w:tr w:rsidR="00AB2ED5" w:rsidRPr="00B11ED0" w:rsidTr="007F2707">
        <w:trPr>
          <w:jc w:val="center"/>
        </w:trPr>
        <w:tc>
          <w:tcPr>
            <w:tcW w:w="2241" w:type="dxa"/>
            <w:shd w:val="clear" w:color="auto" w:fill="auto"/>
            <w:vAlign w:val="center"/>
          </w:tcPr>
          <w:p w:rsidR="00AB2ED5" w:rsidRPr="00B11ED0" w:rsidRDefault="00AB2ED5" w:rsidP="007F2707">
            <w:pPr>
              <w:tabs>
                <w:tab w:val="left" w:pos="288"/>
              </w:tabs>
              <w:spacing w:line="228" w:lineRule="auto"/>
              <w:jc w:val="center"/>
              <w:rPr>
                <w:rFonts w:ascii="Arial" w:eastAsia="SimSun" w:hAnsi="Arial" w:cs="Arial"/>
                <w:spacing w:val="-1"/>
                <w:szCs w:val="16"/>
                <w:lang w:eastAsia="x-none"/>
              </w:rPr>
            </w:pPr>
            <w:r w:rsidRPr="00B11ED0">
              <w:rPr>
                <w:rFonts w:ascii="Arial" w:eastAsia="SimSun" w:hAnsi="Arial" w:cs="Arial"/>
                <w:spacing w:val="-1"/>
                <w:szCs w:val="16"/>
                <w:lang w:eastAsia="x-none"/>
              </w:rPr>
              <w:t>Flujo axial (</w:t>
            </w:r>
            <w:r w:rsidRPr="00B11ED0">
              <w:rPr>
                <w:rFonts w:ascii="Arial" w:hAnsi="Arial" w:cs="Arial"/>
                <w:bCs/>
              </w:rPr>
              <w:t>±</w:t>
            </w:r>
            <w:r w:rsidRPr="00B11ED0">
              <w:rPr>
                <w:rFonts w:ascii="Arial" w:eastAsia="SimSun" w:hAnsi="Arial" w:cs="Arial"/>
                <w:color w:val="000000"/>
                <w:spacing w:val="-1"/>
                <w:lang w:eastAsia="x-none"/>
              </w:rPr>
              <w:t>30°)</w:t>
            </w:r>
          </w:p>
        </w:tc>
        <w:tc>
          <w:tcPr>
            <w:tcW w:w="2691" w:type="dxa"/>
            <w:shd w:val="clear" w:color="auto" w:fill="auto"/>
            <w:vAlign w:val="center"/>
          </w:tcPr>
          <w:p w:rsidR="00AB2ED5" w:rsidRPr="00B11ED0" w:rsidRDefault="00AB2ED5" w:rsidP="007F2707">
            <w:pPr>
              <w:tabs>
                <w:tab w:val="left" w:pos="288"/>
              </w:tabs>
              <w:spacing w:line="228" w:lineRule="auto"/>
              <w:rPr>
                <w:rFonts w:ascii="Arial" w:eastAsia="SimSun" w:hAnsi="Arial" w:cs="Arial"/>
                <w:spacing w:val="-1"/>
                <w:szCs w:val="16"/>
                <w:lang w:eastAsia="x-none"/>
              </w:rPr>
            </w:pPr>
            <w:r w:rsidRPr="00B11ED0">
              <w:rPr>
                <w:rFonts w:ascii="Arial" w:eastAsia="SimSun" w:hAnsi="Arial" w:cs="Arial"/>
                <w:spacing w:val="-1"/>
                <w:szCs w:val="16"/>
                <w:lang w:eastAsia="x-none"/>
              </w:rPr>
              <w:t>3.44x10</w:t>
            </w:r>
            <w:r w:rsidRPr="00B11ED0">
              <w:rPr>
                <w:rFonts w:ascii="Arial" w:eastAsia="SimSun" w:hAnsi="Arial" w:cs="Arial"/>
                <w:spacing w:val="-1"/>
                <w:szCs w:val="16"/>
                <w:vertAlign w:val="superscript"/>
                <w:lang w:eastAsia="x-none"/>
              </w:rPr>
              <w:t>-3</w:t>
            </w:r>
            <w:r w:rsidRPr="00B11ED0">
              <w:rPr>
                <w:rFonts w:ascii="Arial" w:eastAsia="SimSun" w:hAnsi="Arial" w:cs="Arial"/>
                <w:spacing w:val="-1"/>
                <w:szCs w:val="16"/>
                <w:lang w:eastAsia="x-none"/>
              </w:rPr>
              <w:t>, -14.36x10</w:t>
            </w:r>
            <w:r w:rsidRPr="00B11ED0">
              <w:rPr>
                <w:rFonts w:ascii="Arial" w:eastAsia="SimSun" w:hAnsi="Arial" w:cs="Arial"/>
                <w:spacing w:val="-1"/>
                <w:szCs w:val="16"/>
                <w:vertAlign w:val="superscript"/>
                <w:lang w:eastAsia="x-none"/>
              </w:rPr>
              <w:t>-3</w:t>
            </w:r>
          </w:p>
        </w:tc>
        <w:tc>
          <w:tcPr>
            <w:tcW w:w="2691" w:type="dxa"/>
            <w:vAlign w:val="center"/>
          </w:tcPr>
          <w:p w:rsidR="00AB2ED5" w:rsidRPr="00B11ED0" w:rsidRDefault="00AB2ED5" w:rsidP="007F2707">
            <w:pPr>
              <w:tabs>
                <w:tab w:val="left" w:pos="288"/>
              </w:tabs>
              <w:spacing w:line="228" w:lineRule="auto"/>
              <w:rPr>
                <w:rFonts w:ascii="Arial" w:eastAsia="SimSun" w:hAnsi="Arial" w:cs="Arial"/>
                <w:spacing w:val="-1"/>
                <w:szCs w:val="16"/>
                <w:lang w:eastAsia="x-none"/>
              </w:rPr>
            </w:pPr>
            <w:r w:rsidRPr="00B11ED0">
              <w:rPr>
                <w:rFonts w:ascii="Arial" w:eastAsia="SimSun" w:hAnsi="Arial" w:cs="Arial"/>
                <w:spacing w:val="-1"/>
                <w:szCs w:val="16"/>
                <w:lang w:eastAsia="x-none"/>
              </w:rPr>
              <w:t>6.19x10</w:t>
            </w:r>
            <w:r w:rsidRPr="00B11ED0">
              <w:rPr>
                <w:rFonts w:ascii="Arial" w:eastAsia="SimSun" w:hAnsi="Arial" w:cs="Arial"/>
                <w:spacing w:val="-1"/>
                <w:szCs w:val="16"/>
                <w:vertAlign w:val="superscript"/>
                <w:lang w:eastAsia="x-none"/>
              </w:rPr>
              <w:t>-3</w:t>
            </w:r>
            <w:r w:rsidRPr="00B11ED0">
              <w:rPr>
                <w:rFonts w:ascii="Arial" w:eastAsia="SimSun" w:hAnsi="Arial" w:cs="Arial"/>
                <w:spacing w:val="-1"/>
                <w:szCs w:val="16"/>
                <w:lang w:eastAsia="x-none"/>
              </w:rPr>
              <w:t>, -25.76x10</w:t>
            </w:r>
            <w:r w:rsidRPr="00B11ED0">
              <w:rPr>
                <w:rFonts w:ascii="Arial" w:eastAsia="SimSun" w:hAnsi="Arial" w:cs="Arial"/>
                <w:spacing w:val="-1"/>
                <w:szCs w:val="16"/>
                <w:vertAlign w:val="superscript"/>
                <w:lang w:eastAsia="x-none"/>
              </w:rPr>
              <w:t>-3</w:t>
            </w:r>
          </w:p>
        </w:tc>
      </w:tr>
    </w:tbl>
    <w:p w:rsidR="00AB2ED5" w:rsidRPr="00B11ED0" w:rsidRDefault="00AB2ED5" w:rsidP="00AB2ED5">
      <w:pPr>
        <w:pStyle w:val="TextoPrincipalV2"/>
      </w:pPr>
    </w:p>
    <w:p w:rsidR="00AB2ED5" w:rsidRDefault="00AB2ED5" w:rsidP="00AB2ED5">
      <w:pPr>
        <w:pStyle w:val="TextoPrincipalV2"/>
      </w:pPr>
      <w:r w:rsidRPr="00443FB2">
        <w:t>Haciendo una comparación de los resultados del sistema con impulsores de flujo axial (±30°), respecto al de disco, se encontró que la componente de velocidad axial positiva y negativa aumentó: 0.21 y 6.21 veces, para la posición m3, y 0.02 y 2.58 veces, para la posición m4, respectivamente. Los valores de la velocidad vertical señalan que en la zona comprendida entre el impulsor superior y la tapa del depósito se encuentran las magnitudes más altas, lo cual es generado por el impulsor de flujo axial ascendente (-30°).</w:t>
      </w:r>
    </w:p>
    <w:p w:rsidR="00AB2ED5" w:rsidRPr="00B00294" w:rsidRDefault="00AB2ED5" w:rsidP="00AB2ED5">
      <w:pPr>
        <w:pStyle w:val="TextoPrincipalV2"/>
      </w:pPr>
    </w:p>
    <w:p w:rsidR="00AB2ED5" w:rsidRPr="00A7164B" w:rsidRDefault="00AB2ED5" w:rsidP="00390F7C">
      <w:pPr>
        <w:pStyle w:val="1Titulo"/>
        <w:numPr>
          <w:ilvl w:val="0"/>
          <w:numId w:val="47"/>
        </w:numPr>
        <w:ind w:left="357" w:hanging="357"/>
      </w:pPr>
      <w:bookmarkStart w:id="285" w:name="_Toc50031357"/>
      <w:r w:rsidRPr="00A7164B">
        <w:t>Conclusiones</w:t>
      </w:r>
      <w:bookmarkEnd w:id="285"/>
    </w:p>
    <w:p w:rsidR="00AB2ED5" w:rsidRDefault="00AB2ED5" w:rsidP="00AB2ED5">
      <w:pPr>
        <w:pStyle w:val="TextoPrincipalV2"/>
      </w:pPr>
      <w:r w:rsidRPr="00977823">
        <w:t>E</w:t>
      </w:r>
      <w:r>
        <w:t>n es</w:t>
      </w:r>
      <w:r w:rsidRPr="00977823">
        <w:t xml:space="preserve">te trabajo </w:t>
      </w:r>
      <w:r>
        <w:t>se ha analizado el</w:t>
      </w:r>
      <w:r w:rsidRPr="00977823">
        <w:t xml:space="preserve"> movimiento de un fluido </w:t>
      </w:r>
      <w:r>
        <w:t>dentro</w:t>
      </w:r>
      <w:r w:rsidRPr="00977823">
        <w:t xml:space="preserve"> de un tanque cilíndrico que es promovido por la rotación de un eje que tiene: en un caso dos impulsores de disco y en otro </w:t>
      </w:r>
      <w:r>
        <w:t xml:space="preserve">caso </w:t>
      </w:r>
      <w:r w:rsidRPr="00977823">
        <w:t xml:space="preserve">dos impulsores de flujo axial, uno descendente </w:t>
      </w:r>
      <w:r>
        <w:t xml:space="preserve">(+30°) </w:t>
      </w:r>
      <w:r w:rsidRPr="00977823">
        <w:t>y otro ascendente</w:t>
      </w:r>
      <w:r>
        <w:t xml:space="preserve"> (-30°). El método numérico y la metodología propuesta para la solución fueron adecuados, pues </w:t>
      </w:r>
      <w:r w:rsidRPr="009C675C">
        <w:t>permitieron obtener los campos de</w:t>
      </w:r>
      <w:r>
        <w:t>l vector</w:t>
      </w:r>
      <w:r w:rsidRPr="009C675C">
        <w:t xml:space="preserve"> velocidad </w:t>
      </w:r>
      <w:r w:rsidRPr="004963CE">
        <w:rPr>
          <w:bCs w:val="0"/>
        </w:rPr>
        <w:t>(</w:t>
      </w:r>
      <m:oMath>
        <m:acc>
          <m:accPr>
            <m:chr m:val="⃑"/>
            <m:ctrlPr>
              <w:rPr>
                <w:rFonts w:ascii="Cambria Math" w:hAnsi="Cambria Math"/>
              </w:rPr>
            </m:ctrlPr>
          </m:accPr>
          <m:e>
            <m:r>
              <m:rPr>
                <m:sty m:val="p"/>
              </m:rPr>
              <w:rPr>
                <w:rFonts w:ascii="Cambria Math"/>
              </w:rPr>
              <m:t>V</m:t>
            </m:r>
          </m:e>
        </m:acc>
      </m:oMath>
      <w:r w:rsidRPr="004963CE">
        <w:rPr>
          <w:bCs w:val="0"/>
        </w:rPr>
        <w:t>)</w:t>
      </w:r>
      <w:r>
        <w:rPr>
          <w:bCs w:val="0"/>
        </w:rPr>
        <w:t xml:space="preserve"> </w:t>
      </w:r>
      <w:r w:rsidRPr="009C675C">
        <w:t xml:space="preserve">de los </w:t>
      </w:r>
      <w:r>
        <w:t xml:space="preserve">dos </w:t>
      </w:r>
      <w:r w:rsidRPr="009C675C">
        <w:t xml:space="preserve">arreglos, así como el comportamiento de la velocidad </w:t>
      </w:r>
      <w:r>
        <w:t xml:space="preserve">radial (u) y axial (w) a lo </w:t>
      </w:r>
      <w:r w:rsidRPr="009C675C">
        <w:t>largo del recipiente, encontrándose concordancia con resultados de la literatura.</w:t>
      </w:r>
      <w:r>
        <w:t xml:space="preserve"> E</w:t>
      </w:r>
      <w:r w:rsidRPr="001F1253">
        <w:t>n el análisis del campo de velocidades</w:t>
      </w:r>
      <w:r>
        <w:t xml:space="preserve">, </w:t>
      </w:r>
      <w:r w:rsidRPr="001F1253">
        <w:t>de la componente de velocidad radial</w:t>
      </w:r>
      <w:r>
        <w:t xml:space="preserve"> para </w:t>
      </w:r>
      <w:r w:rsidRPr="001F1253">
        <w:t>la posición m1</w:t>
      </w:r>
      <w:r>
        <w:t xml:space="preserve">, y de </w:t>
      </w:r>
      <w:r w:rsidRPr="001F1253">
        <w:t xml:space="preserve">la componente de velocidad axial </w:t>
      </w:r>
      <w:r>
        <w:t xml:space="preserve">para </w:t>
      </w:r>
      <w:r w:rsidRPr="001F1253">
        <w:t>las posiciones m2, m3 y m4,</w:t>
      </w:r>
      <w:r>
        <w:t xml:space="preserve"> </w:t>
      </w:r>
      <w:r w:rsidRPr="001F1253">
        <w:t>se determinó que el modelo con impulsores de flujo axial generó valores más altos de velocidad, comparado con los impulsores de disco</w:t>
      </w:r>
      <w:r>
        <w:t xml:space="preserve">. También se concluye, con base a los resultados, que al colocar los impulsores de flujo axial descendente y ascendente se </w:t>
      </w:r>
      <w:r w:rsidRPr="00443FB2">
        <w:t>beneficia el movimiento del fluido en la dirección vertical</w:t>
      </w:r>
      <w:r>
        <w:t>.</w:t>
      </w:r>
    </w:p>
    <w:p w:rsidR="00AB2ED5" w:rsidRPr="004E5C25" w:rsidRDefault="00AB2ED5" w:rsidP="00AB2ED5">
      <w:pPr>
        <w:pStyle w:val="TextoPrincipalV2"/>
      </w:pPr>
    </w:p>
    <w:p w:rsidR="00AB2ED5" w:rsidRDefault="00AB2ED5" w:rsidP="00390F7C">
      <w:pPr>
        <w:pStyle w:val="1Titulo"/>
        <w:numPr>
          <w:ilvl w:val="0"/>
          <w:numId w:val="47"/>
        </w:numPr>
        <w:ind w:left="357" w:hanging="357"/>
        <w:rPr>
          <w:lang w:eastAsia="en-US"/>
        </w:rPr>
      </w:pPr>
      <w:bookmarkStart w:id="286" w:name="_Toc50031358"/>
      <w:r w:rsidRPr="00A7164B">
        <w:t>Bibliografía</w:t>
      </w:r>
      <w:bookmarkEnd w:id="286"/>
    </w:p>
    <w:p w:rsidR="00AB2ED5" w:rsidRPr="00523B7A" w:rsidRDefault="00AB2ED5" w:rsidP="00390F7C">
      <w:pPr>
        <w:pStyle w:val="Prrafodelista"/>
        <w:numPr>
          <w:ilvl w:val="0"/>
          <w:numId w:val="45"/>
        </w:numPr>
        <w:suppressAutoHyphens/>
        <w:spacing w:after="0" w:line="240" w:lineRule="auto"/>
        <w:jc w:val="both"/>
        <w:rPr>
          <w:rFonts w:ascii="Arial" w:eastAsia="MS Mincho" w:hAnsi="Arial" w:cs="Arial"/>
          <w:lang w:val="es-MX"/>
        </w:rPr>
      </w:pPr>
      <w:r>
        <w:rPr>
          <w:rFonts w:ascii="Arial" w:eastAsia="MS Mincho" w:hAnsi="Arial" w:cs="Arial"/>
          <w:lang w:val="es-MX"/>
        </w:rPr>
        <w:t xml:space="preserve">Uribe </w:t>
      </w:r>
      <w:r w:rsidRPr="00523B7A">
        <w:rPr>
          <w:rFonts w:ascii="Arial" w:eastAsia="MS Mincho" w:hAnsi="Arial" w:cs="Arial"/>
          <w:lang w:val="es-MX"/>
        </w:rPr>
        <w:t xml:space="preserve">A. R., </w:t>
      </w:r>
      <w:r>
        <w:rPr>
          <w:rFonts w:ascii="Arial" w:eastAsia="MS Mincho" w:hAnsi="Arial" w:cs="Arial"/>
          <w:lang w:val="es-MX"/>
        </w:rPr>
        <w:t xml:space="preserve">Rivera </w:t>
      </w:r>
      <w:r w:rsidRPr="00523B7A">
        <w:rPr>
          <w:rFonts w:ascii="Arial" w:eastAsia="MS Mincho" w:hAnsi="Arial" w:cs="Arial"/>
          <w:lang w:val="es-MX"/>
        </w:rPr>
        <w:t xml:space="preserve">R., </w:t>
      </w:r>
      <w:r>
        <w:rPr>
          <w:rFonts w:ascii="Arial" w:eastAsia="MS Mincho" w:hAnsi="Arial" w:cs="Arial"/>
          <w:lang w:val="es-MX"/>
        </w:rPr>
        <w:t xml:space="preserve">Aguilera </w:t>
      </w:r>
      <w:r w:rsidRPr="00523B7A">
        <w:rPr>
          <w:rFonts w:ascii="Arial" w:eastAsia="MS Mincho" w:hAnsi="Arial" w:cs="Arial"/>
          <w:lang w:val="es-MX"/>
        </w:rPr>
        <w:t xml:space="preserve">A. F. y </w:t>
      </w:r>
      <w:r>
        <w:rPr>
          <w:rFonts w:ascii="Arial" w:eastAsia="MS Mincho" w:hAnsi="Arial" w:cs="Arial"/>
          <w:lang w:val="es-MX"/>
        </w:rPr>
        <w:t>Murrieta</w:t>
      </w:r>
      <w:r w:rsidRPr="00523B7A">
        <w:rPr>
          <w:rFonts w:ascii="Arial" w:eastAsia="MS Mincho" w:hAnsi="Arial" w:cs="Arial"/>
          <w:lang w:val="es-MX"/>
        </w:rPr>
        <w:t xml:space="preserve"> </w:t>
      </w:r>
      <w:r>
        <w:rPr>
          <w:rFonts w:ascii="Arial" w:eastAsia="MS Mincho" w:hAnsi="Arial" w:cs="Arial"/>
          <w:lang w:val="es-MX"/>
        </w:rPr>
        <w:t>E</w:t>
      </w:r>
      <w:r w:rsidRPr="00523B7A">
        <w:rPr>
          <w:rFonts w:ascii="Arial" w:eastAsia="MS Mincho" w:hAnsi="Arial" w:cs="Arial"/>
          <w:lang w:val="es-MX"/>
        </w:rPr>
        <w:t>., Agitación y mezclado, Revista Enlace Químico, Univerisdad de Guanajuato, Vol. 4, No. 1</w:t>
      </w:r>
      <w:r>
        <w:rPr>
          <w:rFonts w:ascii="Arial" w:eastAsia="MS Mincho" w:hAnsi="Arial" w:cs="Arial"/>
          <w:lang w:val="es-MX"/>
        </w:rPr>
        <w:t>, 2012</w:t>
      </w:r>
      <w:r w:rsidRPr="00523B7A">
        <w:rPr>
          <w:rFonts w:ascii="Arial" w:eastAsia="MS Mincho" w:hAnsi="Arial" w:cs="Arial"/>
          <w:lang w:val="es-MX"/>
        </w:rPr>
        <w:t>.</w:t>
      </w:r>
    </w:p>
    <w:p w:rsidR="00AB2ED5" w:rsidRPr="00523B7A" w:rsidRDefault="00AB2ED5" w:rsidP="00390F7C">
      <w:pPr>
        <w:pStyle w:val="Prrafodelista"/>
        <w:numPr>
          <w:ilvl w:val="0"/>
          <w:numId w:val="45"/>
        </w:numPr>
        <w:suppressAutoHyphens/>
        <w:spacing w:after="0" w:line="240" w:lineRule="auto"/>
        <w:jc w:val="both"/>
        <w:rPr>
          <w:rFonts w:ascii="Arial" w:eastAsia="MS Mincho" w:hAnsi="Arial" w:cs="Arial"/>
          <w:lang w:val="es-MX"/>
        </w:rPr>
      </w:pPr>
      <w:r>
        <w:rPr>
          <w:rFonts w:ascii="Arial" w:eastAsia="MS Mincho" w:hAnsi="Arial" w:cs="Arial"/>
          <w:lang w:val="es-MX"/>
        </w:rPr>
        <w:t xml:space="preserve">Geankoplis </w:t>
      </w:r>
      <w:r w:rsidRPr="00523B7A">
        <w:rPr>
          <w:rFonts w:ascii="Arial" w:eastAsia="MS Mincho" w:hAnsi="Arial" w:cs="Arial"/>
          <w:lang w:val="es-MX"/>
        </w:rPr>
        <w:t>C. J., Procesos de transporte y principios de procesos de separación, 4ª ed., México, CECSA</w:t>
      </w:r>
      <w:r>
        <w:rPr>
          <w:rFonts w:ascii="Arial" w:eastAsia="MS Mincho" w:hAnsi="Arial" w:cs="Arial"/>
          <w:lang w:val="es-MX"/>
        </w:rPr>
        <w:t>, 2006</w:t>
      </w:r>
      <w:r w:rsidRPr="00523B7A">
        <w:rPr>
          <w:rFonts w:ascii="Arial" w:eastAsia="MS Mincho" w:hAnsi="Arial" w:cs="Arial"/>
          <w:lang w:val="es-MX"/>
        </w:rPr>
        <w:t>.</w:t>
      </w:r>
    </w:p>
    <w:p w:rsidR="00AB2ED5" w:rsidRPr="001F1253" w:rsidRDefault="00AB2ED5" w:rsidP="00390F7C">
      <w:pPr>
        <w:pStyle w:val="Prrafodelista"/>
        <w:numPr>
          <w:ilvl w:val="0"/>
          <w:numId w:val="45"/>
        </w:numPr>
        <w:suppressAutoHyphens/>
        <w:spacing w:after="0" w:line="240" w:lineRule="auto"/>
        <w:jc w:val="both"/>
        <w:rPr>
          <w:rFonts w:ascii="Arial" w:eastAsia="MS Mincho" w:hAnsi="Arial" w:cs="Arial"/>
          <w:lang w:val="en-US"/>
        </w:rPr>
      </w:pPr>
      <w:r w:rsidRPr="0011357D">
        <w:rPr>
          <w:rFonts w:ascii="Arial" w:eastAsia="MS Mincho" w:hAnsi="Arial" w:cs="Arial"/>
          <w:lang w:val="en-US"/>
        </w:rPr>
        <w:t xml:space="preserve">Pao H-P, Numerical </w:t>
      </w:r>
      <w:r w:rsidRPr="001F1253">
        <w:rPr>
          <w:rFonts w:ascii="Arial" w:eastAsia="MS Mincho" w:hAnsi="Arial" w:cs="Arial"/>
          <w:lang w:val="en-US"/>
        </w:rPr>
        <w:t>solution of the Navier Stokes equations for flows in the disk-cylinder system, Phys. Fluids, 15 (1):4-11</w:t>
      </w:r>
      <w:r>
        <w:rPr>
          <w:rFonts w:ascii="Arial" w:eastAsia="MS Mincho" w:hAnsi="Arial" w:cs="Arial"/>
          <w:lang w:val="en-US"/>
        </w:rPr>
        <w:t>, 1972</w:t>
      </w:r>
      <w:r w:rsidRPr="001F1253">
        <w:rPr>
          <w:rFonts w:ascii="Arial" w:eastAsia="MS Mincho" w:hAnsi="Arial" w:cs="Arial"/>
          <w:lang w:val="en-US"/>
        </w:rPr>
        <w:t>.</w:t>
      </w:r>
    </w:p>
    <w:p w:rsidR="00AB2ED5" w:rsidRPr="001F1253" w:rsidRDefault="00AB2ED5" w:rsidP="00390F7C">
      <w:pPr>
        <w:pStyle w:val="Prrafodelista"/>
        <w:numPr>
          <w:ilvl w:val="0"/>
          <w:numId w:val="45"/>
        </w:numPr>
        <w:suppressAutoHyphens/>
        <w:spacing w:after="0" w:line="240" w:lineRule="auto"/>
        <w:jc w:val="both"/>
        <w:rPr>
          <w:rFonts w:ascii="Arial" w:eastAsia="MS Mincho" w:hAnsi="Arial" w:cs="Arial"/>
          <w:lang w:val="en-US"/>
        </w:rPr>
      </w:pPr>
      <w:r w:rsidRPr="001F1253">
        <w:rPr>
          <w:rFonts w:ascii="Arial" w:eastAsia="MS Mincho" w:hAnsi="Arial" w:cs="Arial"/>
          <w:lang w:val="en-US"/>
        </w:rPr>
        <w:t xml:space="preserve">Bertelá, </w:t>
      </w:r>
      <w:r>
        <w:rPr>
          <w:rFonts w:ascii="Arial" w:eastAsia="MS Mincho" w:hAnsi="Arial" w:cs="Arial"/>
          <w:lang w:val="en-US"/>
        </w:rPr>
        <w:t xml:space="preserve">Gory </w:t>
      </w:r>
      <w:r w:rsidRPr="001F1253">
        <w:rPr>
          <w:rFonts w:ascii="Arial" w:eastAsia="MS Mincho" w:hAnsi="Arial" w:cs="Arial"/>
          <w:lang w:val="en-US"/>
        </w:rPr>
        <w:t>F., Laminar flow in a cylindrical container with a rotating cover, J. Fluids Eng., 104 (1):31-39. doi:10.1115/1.3240849</w:t>
      </w:r>
      <w:r>
        <w:rPr>
          <w:rFonts w:ascii="Arial" w:eastAsia="MS Mincho" w:hAnsi="Arial" w:cs="Arial"/>
          <w:lang w:val="en-US"/>
        </w:rPr>
        <w:t>, 1982</w:t>
      </w:r>
      <w:r w:rsidRPr="001F1253">
        <w:rPr>
          <w:rFonts w:ascii="Arial" w:eastAsia="MS Mincho" w:hAnsi="Arial" w:cs="Arial"/>
          <w:lang w:val="en-US"/>
        </w:rPr>
        <w:t>.</w:t>
      </w:r>
    </w:p>
    <w:p w:rsidR="00AB2ED5" w:rsidRPr="009319A5" w:rsidRDefault="00AB2ED5" w:rsidP="00390F7C">
      <w:pPr>
        <w:pStyle w:val="Prrafodelista"/>
        <w:numPr>
          <w:ilvl w:val="0"/>
          <w:numId w:val="45"/>
        </w:numPr>
        <w:suppressAutoHyphens/>
        <w:spacing w:after="0" w:line="240" w:lineRule="auto"/>
        <w:jc w:val="both"/>
        <w:rPr>
          <w:rFonts w:ascii="Arial" w:eastAsia="MS Mincho" w:hAnsi="Arial" w:cs="Arial"/>
          <w:lang w:val="en-US"/>
        </w:rPr>
      </w:pPr>
      <w:r w:rsidRPr="009319A5">
        <w:rPr>
          <w:rFonts w:ascii="Arial" w:eastAsia="MS Mincho" w:hAnsi="Arial" w:cs="Arial"/>
          <w:lang w:val="en-US"/>
        </w:rPr>
        <w:t>Khalili</w:t>
      </w:r>
      <w:r>
        <w:rPr>
          <w:rFonts w:ascii="Arial" w:eastAsia="MS Mincho" w:hAnsi="Arial" w:cs="Arial"/>
          <w:lang w:val="en-US"/>
        </w:rPr>
        <w:t xml:space="preserve"> A.</w:t>
      </w:r>
      <w:r w:rsidRPr="009319A5">
        <w:rPr>
          <w:rFonts w:ascii="Arial" w:eastAsia="MS Mincho" w:hAnsi="Arial" w:cs="Arial"/>
          <w:lang w:val="en-US"/>
        </w:rPr>
        <w:t xml:space="preserve">, </w:t>
      </w:r>
      <w:r>
        <w:rPr>
          <w:rFonts w:ascii="Arial" w:eastAsia="MS Mincho" w:hAnsi="Arial" w:cs="Arial"/>
          <w:lang w:val="en-US"/>
        </w:rPr>
        <w:t xml:space="preserve">Adabala </w:t>
      </w:r>
      <w:r w:rsidRPr="009319A5">
        <w:rPr>
          <w:rFonts w:ascii="Arial" w:eastAsia="MS Mincho" w:hAnsi="Arial" w:cs="Arial"/>
          <w:lang w:val="en-US"/>
        </w:rPr>
        <w:t xml:space="preserve">R. R., </w:t>
      </w:r>
      <w:r>
        <w:rPr>
          <w:rFonts w:ascii="Arial" w:eastAsia="MS Mincho" w:hAnsi="Arial" w:cs="Arial"/>
          <w:lang w:val="en-US"/>
        </w:rPr>
        <w:t xml:space="preserve">Rath </w:t>
      </w:r>
      <w:r w:rsidRPr="009319A5">
        <w:rPr>
          <w:rFonts w:ascii="Arial" w:eastAsia="MS Mincho" w:hAnsi="Arial" w:cs="Arial"/>
          <w:lang w:val="en-US"/>
        </w:rPr>
        <w:t>H. J., Flow induced by an asymmetrically placed disk rotating coaxially inside a cylindrical casing, Acta Mechanica, Springer-Verlag, pp 9-19. Vol 113, 1995.</w:t>
      </w:r>
    </w:p>
    <w:p w:rsidR="00AB2ED5" w:rsidRPr="001F1253" w:rsidRDefault="00AB2ED5" w:rsidP="00390F7C">
      <w:pPr>
        <w:pStyle w:val="Prrafodelista"/>
        <w:numPr>
          <w:ilvl w:val="0"/>
          <w:numId w:val="45"/>
        </w:numPr>
        <w:suppressAutoHyphens/>
        <w:spacing w:after="0" w:line="240" w:lineRule="auto"/>
        <w:jc w:val="both"/>
        <w:rPr>
          <w:rFonts w:ascii="Arial" w:eastAsia="MS Mincho" w:hAnsi="Arial" w:cs="Arial"/>
          <w:lang w:val="en-US"/>
        </w:rPr>
      </w:pPr>
      <w:r>
        <w:rPr>
          <w:rFonts w:ascii="Arial" w:eastAsia="MS Mincho" w:hAnsi="Arial" w:cs="Arial"/>
          <w:lang w:val="en-US"/>
        </w:rPr>
        <w:t xml:space="preserve">Yu </w:t>
      </w:r>
      <w:r w:rsidRPr="001F1253">
        <w:rPr>
          <w:rFonts w:ascii="Arial" w:eastAsia="MS Mincho" w:hAnsi="Arial" w:cs="Arial"/>
          <w:lang w:val="en-US"/>
        </w:rPr>
        <w:t xml:space="preserve">P., </w:t>
      </w:r>
      <w:r>
        <w:rPr>
          <w:rFonts w:ascii="Arial" w:eastAsia="MS Mincho" w:hAnsi="Arial" w:cs="Arial"/>
          <w:lang w:val="en-US"/>
        </w:rPr>
        <w:t xml:space="preserve">Lee </w:t>
      </w:r>
      <w:r w:rsidRPr="001F1253">
        <w:rPr>
          <w:rFonts w:ascii="Arial" w:eastAsia="MS Mincho" w:hAnsi="Arial" w:cs="Arial"/>
          <w:lang w:val="en-US"/>
        </w:rPr>
        <w:t xml:space="preserve">T. S., </w:t>
      </w:r>
      <w:r>
        <w:rPr>
          <w:rFonts w:ascii="Arial" w:eastAsia="MS Mincho" w:hAnsi="Arial" w:cs="Arial"/>
          <w:lang w:val="en-US"/>
        </w:rPr>
        <w:t xml:space="preserve">Zeng </w:t>
      </w:r>
      <w:r w:rsidRPr="001F1253">
        <w:rPr>
          <w:rFonts w:ascii="Arial" w:eastAsia="MS Mincho" w:hAnsi="Arial" w:cs="Arial"/>
          <w:lang w:val="en-US"/>
        </w:rPr>
        <w:t xml:space="preserve">Y., </w:t>
      </w:r>
      <w:r>
        <w:rPr>
          <w:rFonts w:ascii="Arial" w:eastAsia="MS Mincho" w:hAnsi="Arial" w:cs="Arial"/>
          <w:lang w:val="en-US"/>
        </w:rPr>
        <w:t xml:space="preserve">Low </w:t>
      </w:r>
      <w:r w:rsidRPr="001F1253">
        <w:rPr>
          <w:rFonts w:ascii="Arial" w:eastAsia="MS Mincho" w:hAnsi="Arial" w:cs="Arial"/>
          <w:lang w:val="en-US"/>
        </w:rPr>
        <w:t>H. T., Characterization of ﬂow behavior in an enclosed cylinder with a partially rotating end wall, Physics of fluids 19, 057104, doi: 10.1063/1.2731420</w:t>
      </w:r>
      <w:r>
        <w:rPr>
          <w:rFonts w:ascii="Arial" w:eastAsia="MS Mincho" w:hAnsi="Arial" w:cs="Arial"/>
          <w:lang w:val="en-US"/>
        </w:rPr>
        <w:t>, 2007</w:t>
      </w:r>
      <w:r w:rsidRPr="001F1253">
        <w:rPr>
          <w:rFonts w:ascii="Arial" w:eastAsia="MS Mincho" w:hAnsi="Arial" w:cs="Arial"/>
          <w:lang w:val="en-US"/>
        </w:rPr>
        <w:t>.</w:t>
      </w:r>
    </w:p>
    <w:p w:rsidR="00AB2ED5" w:rsidRPr="001F1253" w:rsidRDefault="00AB2ED5" w:rsidP="00390F7C">
      <w:pPr>
        <w:pStyle w:val="Prrafodelista"/>
        <w:numPr>
          <w:ilvl w:val="0"/>
          <w:numId w:val="45"/>
        </w:numPr>
        <w:suppressAutoHyphens/>
        <w:spacing w:after="0" w:line="240" w:lineRule="auto"/>
        <w:jc w:val="both"/>
        <w:rPr>
          <w:rFonts w:ascii="Arial" w:eastAsia="MS Mincho" w:hAnsi="Arial" w:cs="Arial"/>
          <w:lang w:val="en-US"/>
        </w:rPr>
      </w:pPr>
      <w:r w:rsidRPr="001F1253">
        <w:rPr>
          <w:rFonts w:ascii="Arial" w:eastAsia="MS Mincho" w:hAnsi="Arial" w:cs="Arial"/>
          <w:lang w:val="en-US"/>
        </w:rPr>
        <w:t>Achouri</w:t>
      </w:r>
      <w:r>
        <w:rPr>
          <w:rFonts w:ascii="Arial" w:eastAsia="MS Mincho" w:hAnsi="Arial" w:cs="Arial"/>
          <w:lang w:val="en-US"/>
        </w:rPr>
        <w:t xml:space="preserve"> R.</w:t>
      </w:r>
      <w:r w:rsidRPr="001F1253">
        <w:rPr>
          <w:rFonts w:ascii="Arial" w:eastAsia="MS Mincho" w:hAnsi="Arial" w:cs="Arial"/>
          <w:lang w:val="en-US"/>
        </w:rPr>
        <w:t xml:space="preserve">, </w:t>
      </w:r>
      <w:r>
        <w:rPr>
          <w:rFonts w:ascii="Arial" w:eastAsia="MS Mincho" w:hAnsi="Arial" w:cs="Arial"/>
          <w:lang w:val="en-US"/>
        </w:rPr>
        <w:t xml:space="preserve">Mokni </w:t>
      </w:r>
      <w:r w:rsidRPr="001F1253">
        <w:rPr>
          <w:rFonts w:ascii="Arial" w:eastAsia="MS Mincho" w:hAnsi="Arial" w:cs="Arial"/>
          <w:lang w:val="en-US"/>
        </w:rPr>
        <w:t xml:space="preserve">I., </w:t>
      </w:r>
      <w:r>
        <w:rPr>
          <w:rFonts w:ascii="Arial" w:eastAsia="MS Mincho" w:hAnsi="Arial" w:cs="Arial"/>
          <w:lang w:val="en-US"/>
        </w:rPr>
        <w:t xml:space="preserve">Mhiri </w:t>
      </w:r>
      <w:r w:rsidRPr="001F1253">
        <w:rPr>
          <w:rFonts w:ascii="Arial" w:eastAsia="MS Mincho" w:hAnsi="Arial" w:cs="Arial"/>
          <w:lang w:val="en-US"/>
        </w:rPr>
        <w:t xml:space="preserve">H. and </w:t>
      </w:r>
      <w:r>
        <w:rPr>
          <w:rFonts w:ascii="Arial" w:eastAsia="MS Mincho" w:hAnsi="Arial" w:cs="Arial"/>
          <w:lang w:val="en-US"/>
        </w:rPr>
        <w:t xml:space="preserve">Bournot </w:t>
      </w:r>
      <w:r w:rsidRPr="001F1253">
        <w:rPr>
          <w:rFonts w:ascii="Arial" w:eastAsia="MS Mincho" w:hAnsi="Arial" w:cs="Arial"/>
          <w:lang w:val="en-US"/>
        </w:rPr>
        <w:t>P., A 3D CFD simulation of a self inducing Pitched Blade Turbine Downflow, Energy Conversion and Management, Vol. 64, pp. 633-641</w:t>
      </w:r>
      <w:r>
        <w:rPr>
          <w:rFonts w:ascii="Arial" w:eastAsia="MS Mincho" w:hAnsi="Arial" w:cs="Arial"/>
          <w:lang w:val="en-US"/>
        </w:rPr>
        <w:t>, 2012</w:t>
      </w:r>
      <w:r w:rsidRPr="001F1253">
        <w:rPr>
          <w:rFonts w:ascii="Arial" w:eastAsia="MS Mincho" w:hAnsi="Arial" w:cs="Arial"/>
          <w:lang w:val="en-US"/>
        </w:rPr>
        <w:t>.</w:t>
      </w:r>
    </w:p>
    <w:p w:rsidR="00AB2ED5" w:rsidRPr="001F1253" w:rsidRDefault="00AB2ED5" w:rsidP="00390F7C">
      <w:pPr>
        <w:pStyle w:val="Prrafodelista"/>
        <w:numPr>
          <w:ilvl w:val="0"/>
          <w:numId w:val="45"/>
        </w:numPr>
        <w:suppressAutoHyphens/>
        <w:spacing w:after="0" w:line="240" w:lineRule="auto"/>
        <w:jc w:val="both"/>
        <w:rPr>
          <w:rFonts w:ascii="Arial" w:eastAsia="MS Mincho" w:hAnsi="Arial" w:cs="Arial"/>
          <w:lang w:val="en-US"/>
        </w:rPr>
      </w:pPr>
      <w:r w:rsidRPr="001F1253">
        <w:rPr>
          <w:rFonts w:ascii="Arial" w:eastAsia="MS Mincho" w:hAnsi="Arial" w:cs="Arial"/>
          <w:lang w:val="en-US"/>
        </w:rPr>
        <w:t>H. Ameur, Mixing of complex fluids with flat and pitched bladed impellers: Effect of blade attack angle and shear-thinning behaviour, Food and bioproducts processing, pp. 71–77, doi 10.1016/j.fbp.2016.04.004</w:t>
      </w:r>
      <w:r>
        <w:rPr>
          <w:rFonts w:ascii="Arial" w:eastAsia="MS Mincho" w:hAnsi="Arial" w:cs="Arial"/>
          <w:lang w:val="en-US"/>
        </w:rPr>
        <w:t>, 2016.</w:t>
      </w:r>
    </w:p>
    <w:p w:rsidR="00AB2ED5" w:rsidRPr="001F1253" w:rsidRDefault="00AB2ED5" w:rsidP="00390F7C">
      <w:pPr>
        <w:pStyle w:val="Prrafodelista"/>
        <w:numPr>
          <w:ilvl w:val="0"/>
          <w:numId w:val="45"/>
        </w:numPr>
        <w:suppressAutoHyphens/>
        <w:spacing w:after="0" w:line="240" w:lineRule="auto"/>
        <w:jc w:val="both"/>
        <w:rPr>
          <w:rFonts w:ascii="Arial" w:eastAsia="MS Mincho" w:hAnsi="Arial" w:cs="Arial"/>
          <w:lang w:val="en-US"/>
        </w:rPr>
      </w:pPr>
      <w:r w:rsidRPr="001F1253">
        <w:rPr>
          <w:rFonts w:ascii="Arial" w:eastAsia="MS Mincho" w:hAnsi="Arial" w:cs="Arial"/>
          <w:lang w:val="en-US"/>
        </w:rPr>
        <w:t>Landau y Lisfshitz, Fluids Mechanics, Vol. 6, Pergamon Press.</w:t>
      </w:r>
      <w:r>
        <w:rPr>
          <w:rFonts w:ascii="Arial" w:eastAsia="MS Mincho" w:hAnsi="Arial" w:cs="Arial"/>
          <w:lang w:val="en-US"/>
        </w:rPr>
        <w:t>, 1982.</w:t>
      </w:r>
    </w:p>
    <w:p w:rsidR="00AB2ED5" w:rsidRPr="001829B1" w:rsidRDefault="00AB2ED5" w:rsidP="00390F7C">
      <w:pPr>
        <w:pStyle w:val="Prrafodelista"/>
        <w:numPr>
          <w:ilvl w:val="0"/>
          <w:numId w:val="45"/>
        </w:numPr>
        <w:suppressAutoHyphens/>
        <w:spacing w:after="0" w:line="240" w:lineRule="auto"/>
        <w:jc w:val="both"/>
        <w:rPr>
          <w:rFonts w:ascii="Arial" w:eastAsia="MS Mincho" w:hAnsi="Arial" w:cs="Arial"/>
          <w:lang w:val="es-MX"/>
        </w:rPr>
      </w:pPr>
      <w:r>
        <w:rPr>
          <w:rFonts w:ascii="Arial" w:eastAsia="MS Mincho" w:hAnsi="Arial" w:cs="Arial"/>
          <w:lang w:val="es-MX"/>
        </w:rPr>
        <w:t xml:space="preserve">Tijonov </w:t>
      </w:r>
      <w:r w:rsidRPr="00523B7A">
        <w:rPr>
          <w:rFonts w:ascii="Arial" w:eastAsia="MS Mincho" w:hAnsi="Arial" w:cs="Arial"/>
          <w:lang w:val="es-MX"/>
        </w:rPr>
        <w:t xml:space="preserve">A. N., </w:t>
      </w:r>
      <w:r>
        <w:rPr>
          <w:rFonts w:ascii="Arial" w:eastAsia="MS Mincho" w:hAnsi="Arial" w:cs="Arial"/>
          <w:lang w:val="es-MX"/>
        </w:rPr>
        <w:t xml:space="preserve">Samarsky </w:t>
      </w:r>
      <w:r w:rsidRPr="00523B7A">
        <w:rPr>
          <w:rFonts w:ascii="Arial" w:eastAsia="MS Mincho" w:hAnsi="Arial" w:cs="Arial"/>
          <w:lang w:val="es-MX"/>
        </w:rPr>
        <w:t xml:space="preserve">A. A., Ecuaciones de la física matemática, Edit. </w:t>
      </w:r>
      <w:r w:rsidRPr="001829B1">
        <w:rPr>
          <w:rFonts w:ascii="Arial" w:eastAsia="MS Mincho" w:hAnsi="Arial" w:cs="Arial"/>
          <w:lang w:val="es-MX"/>
        </w:rPr>
        <w:t>MIR, Moscú, pp 1-29</w:t>
      </w:r>
      <w:r>
        <w:rPr>
          <w:rFonts w:ascii="Arial" w:eastAsia="MS Mincho" w:hAnsi="Arial" w:cs="Arial"/>
          <w:lang w:val="es-MX"/>
        </w:rPr>
        <w:t>, 1980</w:t>
      </w:r>
      <w:r w:rsidRPr="001829B1">
        <w:rPr>
          <w:rFonts w:ascii="Arial" w:eastAsia="MS Mincho" w:hAnsi="Arial" w:cs="Arial"/>
          <w:lang w:val="es-MX"/>
        </w:rPr>
        <w:t>.</w:t>
      </w:r>
    </w:p>
    <w:p w:rsidR="00AB2ED5" w:rsidRPr="005944FB" w:rsidRDefault="00AB2ED5" w:rsidP="00390F7C">
      <w:pPr>
        <w:pStyle w:val="Prrafodelista"/>
        <w:numPr>
          <w:ilvl w:val="0"/>
          <w:numId w:val="45"/>
        </w:numPr>
        <w:suppressAutoHyphens/>
        <w:spacing w:after="0" w:line="240" w:lineRule="auto"/>
        <w:jc w:val="both"/>
        <w:rPr>
          <w:lang w:val="en-US"/>
        </w:rPr>
      </w:pPr>
      <w:r w:rsidRPr="005944FB">
        <w:rPr>
          <w:rFonts w:ascii="Arial" w:eastAsia="MS Mincho" w:hAnsi="Arial" w:cs="Arial"/>
          <w:lang w:val="en-US"/>
        </w:rPr>
        <w:t>Royer, Pryor</w:t>
      </w:r>
      <w:r>
        <w:rPr>
          <w:rFonts w:ascii="Arial" w:eastAsia="MS Mincho" w:hAnsi="Arial" w:cs="Arial"/>
          <w:lang w:val="en-US"/>
        </w:rPr>
        <w:t xml:space="preserve"> W.</w:t>
      </w:r>
      <w:r w:rsidRPr="005944FB">
        <w:rPr>
          <w:rFonts w:ascii="Arial" w:eastAsia="MS Mincho" w:hAnsi="Arial" w:cs="Arial"/>
          <w:lang w:val="en-US"/>
        </w:rPr>
        <w:t>, PHD, Multiphysics Modeling Using Comsol, Phys. Fluids, Edit. Jones and Bartlett Publishers</w:t>
      </w:r>
      <w:r>
        <w:rPr>
          <w:rFonts w:ascii="Arial" w:eastAsia="MS Mincho" w:hAnsi="Arial" w:cs="Arial"/>
          <w:lang w:val="en-US"/>
        </w:rPr>
        <w:t>, 2011</w:t>
      </w:r>
      <w:r w:rsidRPr="005944FB">
        <w:rPr>
          <w:rFonts w:ascii="Arial" w:eastAsia="MS Mincho" w:hAnsi="Arial" w:cs="Arial"/>
          <w:lang w:val="en-US"/>
        </w:rPr>
        <w:t>.</w:t>
      </w:r>
    </w:p>
    <w:p w:rsidR="00233599" w:rsidRPr="00233599" w:rsidRDefault="00233599" w:rsidP="00233599">
      <w:pPr>
        <w:pStyle w:val="1Titulo"/>
        <w:numPr>
          <w:ilvl w:val="0"/>
          <w:numId w:val="0"/>
        </w:numPr>
        <w:ind w:left="357"/>
        <w:rPr>
          <w:sz w:val="28"/>
          <w:szCs w:val="28"/>
        </w:rPr>
      </w:pPr>
      <w:bookmarkStart w:id="287" w:name="_Toc50031359"/>
      <w:r w:rsidRPr="00233599">
        <w:rPr>
          <w:sz w:val="28"/>
          <w:szCs w:val="28"/>
        </w:rPr>
        <w:lastRenderedPageBreak/>
        <w:t>Comparación del desempeño termohidráulico de intercambiadores de calor de tubo doble con aletas longitudinales y helicoidales</w:t>
      </w:r>
      <w:bookmarkEnd w:id="287"/>
    </w:p>
    <w:p w:rsidR="00233599" w:rsidRPr="000C32AD" w:rsidRDefault="00233599" w:rsidP="00233599">
      <w:pPr>
        <w:jc w:val="center"/>
        <w:rPr>
          <w:color w:val="000000"/>
          <w:sz w:val="28"/>
          <w:szCs w:val="28"/>
          <w:lang w:val="es-MX"/>
        </w:rPr>
      </w:pPr>
    </w:p>
    <w:p w:rsidR="00233599" w:rsidRPr="00B461DE" w:rsidRDefault="00233599" w:rsidP="00233599">
      <w:pPr>
        <w:pStyle w:val="affiliation"/>
        <w:rPr>
          <w:rFonts w:ascii="Arial" w:hAnsi="Arial" w:cs="Arial"/>
          <w:sz w:val="24"/>
          <w:szCs w:val="24"/>
          <w:lang w:val="es-ES"/>
        </w:rPr>
      </w:pPr>
      <w:r w:rsidRPr="00B461DE">
        <w:rPr>
          <w:rFonts w:ascii="Arial" w:hAnsi="Arial" w:cs="Arial"/>
          <w:sz w:val="24"/>
          <w:szCs w:val="24"/>
          <w:lang w:val="es-ES"/>
        </w:rPr>
        <w:t>Grande, V. F.</w:t>
      </w:r>
      <w:r w:rsidRPr="00B461DE">
        <w:rPr>
          <w:rFonts w:ascii="Arial" w:hAnsi="Arial" w:cs="Arial"/>
          <w:sz w:val="24"/>
          <w:szCs w:val="24"/>
          <w:vertAlign w:val="superscript"/>
          <w:lang w:val="es-ES"/>
        </w:rPr>
        <w:t>1</w:t>
      </w:r>
      <w:r w:rsidRPr="00B461DE">
        <w:rPr>
          <w:rFonts w:ascii="Arial" w:hAnsi="Arial" w:cs="Arial"/>
          <w:sz w:val="24"/>
          <w:szCs w:val="24"/>
          <w:lang w:val="es-ES"/>
        </w:rPr>
        <w:t>, Lizardi, R. A.</w:t>
      </w:r>
      <w:r w:rsidRPr="00B461DE">
        <w:rPr>
          <w:rFonts w:ascii="Arial" w:hAnsi="Arial" w:cs="Arial"/>
          <w:sz w:val="24"/>
          <w:szCs w:val="24"/>
          <w:vertAlign w:val="superscript"/>
          <w:lang w:val="es-ES"/>
        </w:rPr>
        <w:t>1</w:t>
      </w:r>
      <w:r w:rsidRPr="00B461DE">
        <w:rPr>
          <w:rFonts w:ascii="Arial" w:hAnsi="Arial" w:cs="Arial"/>
          <w:sz w:val="24"/>
          <w:szCs w:val="24"/>
          <w:lang w:val="es-ES"/>
        </w:rPr>
        <w:t>, López, C. R.</w:t>
      </w:r>
      <w:r w:rsidRPr="00B461DE">
        <w:rPr>
          <w:rFonts w:ascii="Arial" w:hAnsi="Arial" w:cs="Arial"/>
          <w:sz w:val="24"/>
          <w:szCs w:val="24"/>
          <w:vertAlign w:val="superscript"/>
          <w:lang w:val="es-ES"/>
        </w:rPr>
        <w:t>1</w:t>
      </w:r>
      <w:r w:rsidRPr="00B461DE">
        <w:rPr>
          <w:rFonts w:ascii="Arial" w:hAnsi="Arial" w:cs="Arial"/>
          <w:sz w:val="24"/>
          <w:szCs w:val="24"/>
          <w:lang w:val="es-ES"/>
        </w:rPr>
        <w:t>, Terres, P. H.</w:t>
      </w:r>
      <w:r w:rsidRPr="00B461DE">
        <w:rPr>
          <w:rFonts w:ascii="Arial" w:hAnsi="Arial" w:cs="Arial"/>
          <w:sz w:val="24"/>
          <w:szCs w:val="24"/>
          <w:vertAlign w:val="superscript"/>
          <w:lang w:val="es-ES"/>
        </w:rPr>
        <w:t>1</w:t>
      </w:r>
      <w:r w:rsidRPr="00B461DE">
        <w:rPr>
          <w:rFonts w:ascii="Arial" w:hAnsi="Arial" w:cs="Arial"/>
          <w:sz w:val="24"/>
          <w:szCs w:val="24"/>
          <w:lang w:val="es-ES"/>
        </w:rPr>
        <w:t>, Chávez, S. S.</w:t>
      </w:r>
      <w:r w:rsidRPr="00B461DE">
        <w:rPr>
          <w:rFonts w:ascii="Arial" w:hAnsi="Arial" w:cs="Arial"/>
          <w:sz w:val="24"/>
          <w:szCs w:val="24"/>
          <w:vertAlign w:val="superscript"/>
          <w:lang w:val="es-ES"/>
        </w:rPr>
        <w:t>1</w:t>
      </w:r>
      <w:r w:rsidRPr="00B461DE">
        <w:rPr>
          <w:rFonts w:ascii="Arial" w:hAnsi="Arial" w:cs="Arial"/>
          <w:sz w:val="24"/>
          <w:szCs w:val="24"/>
          <w:lang w:val="es-ES"/>
        </w:rPr>
        <w:t>,</w:t>
      </w:r>
    </w:p>
    <w:p w:rsidR="00233599" w:rsidRDefault="00233599" w:rsidP="00233599">
      <w:pPr>
        <w:pStyle w:val="affiliation"/>
        <w:rPr>
          <w:rFonts w:ascii="Arial" w:hAnsi="Arial" w:cs="Arial"/>
          <w:sz w:val="24"/>
          <w:szCs w:val="24"/>
          <w:vertAlign w:val="superscript"/>
          <w:lang w:val="es-ES"/>
        </w:rPr>
      </w:pPr>
      <w:r w:rsidRPr="00B461DE">
        <w:rPr>
          <w:rFonts w:ascii="Arial" w:hAnsi="Arial" w:cs="Arial"/>
          <w:sz w:val="24"/>
          <w:szCs w:val="24"/>
          <w:lang w:val="es-ES"/>
        </w:rPr>
        <w:t>Mérida, S. G. A.</w:t>
      </w:r>
      <w:r w:rsidRPr="00B461DE">
        <w:rPr>
          <w:rFonts w:ascii="Arial" w:hAnsi="Arial" w:cs="Arial"/>
          <w:sz w:val="24"/>
          <w:szCs w:val="24"/>
          <w:vertAlign w:val="superscript"/>
          <w:lang w:val="es-ES"/>
        </w:rPr>
        <w:t>1</w:t>
      </w:r>
      <w:r w:rsidRPr="00B461DE">
        <w:rPr>
          <w:rFonts w:ascii="Arial" w:hAnsi="Arial" w:cs="Arial"/>
          <w:sz w:val="24"/>
          <w:szCs w:val="24"/>
          <w:lang w:val="es-ES"/>
        </w:rPr>
        <w:t>, Lara, V. A.</w:t>
      </w:r>
      <w:r w:rsidRPr="00B461DE">
        <w:rPr>
          <w:rFonts w:ascii="Arial" w:hAnsi="Arial" w:cs="Arial"/>
          <w:sz w:val="24"/>
          <w:szCs w:val="24"/>
          <w:vertAlign w:val="superscript"/>
          <w:lang w:val="es-ES"/>
        </w:rPr>
        <w:t>1</w:t>
      </w:r>
    </w:p>
    <w:p w:rsidR="00233599" w:rsidRPr="00B461DE" w:rsidRDefault="00233599" w:rsidP="00233599">
      <w:pPr>
        <w:pStyle w:val="affiliation"/>
        <w:rPr>
          <w:rFonts w:ascii="Arial" w:hAnsi="Arial" w:cs="Arial"/>
          <w:sz w:val="24"/>
          <w:szCs w:val="24"/>
          <w:lang w:val="es-ES"/>
        </w:rPr>
      </w:pPr>
    </w:p>
    <w:p w:rsidR="00233599" w:rsidRDefault="00233599" w:rsidP="00233599">
      <w:pPr>
        <w:jc w:val="center"/>
        <w:rPr>
          <w:rFonts w:ascii="Arial" w:hAnsi="Arial" w:cs="Arial"/>
        </w:rPr>
      </w:pPr>
      <w:r w:rsidRPr="000C32AD">
        <w:rPr>
          <w:rFonts w:ascii="Arial" w:hAnsi="Arial" w:cs="Arial"/>
          <w:vertAlign w:val="superscript"/>
        </w:rPr>
        <w:t>1</w:t>
      </w:r>
      <w:r w:rsidRPr="000C32AD">
        <w:rPr>
          <w:rFonts w:ascii="Arial" w:hAnsi="Arial" w:cs="Arial"/>
        </w:rPr>
        <w:t>Universidad Autónoma Metropolitana-Azcapotzalco</w:t>
      </w:r>
      <w:r>
        <w:rPr>
          <w:rFonts w:ascii="Arial" w:hAnsi="Arial" w:cs="Arial"/>
        </w:rPr>
        <w:t>,</w:t>
      </w:r>
      <w:r w:rsidRPr="00523B7A">
        <w:rPr>
          <w:rFonts w:ascii="Arial" w:hAnsi="Arial" w:cs="Arial"/>
        </w:rPr>
        <w:t xml:space="preserve"> Av. San Pablo 180, </w:t>
      </w:r>
      <w:r>
        <w:rPr>
          <w:rFonts w:ascii="Arial" w:hAnsi="Arial" w:cs="Arial"/>
        </w:rPr>
        <w:t xml:space="preserve">Col. </w:t>
      </w:r>
      <w:r w:rsidRPr="00523B7A">
        <w:rPr>
          <w:rFonts w:ascii="Arial" w:hAnsi="Arial" w:cs="Arial"/>
        </w:rPr>
        <w:t>Reynosa Tamaulipas,</w:t>
      </w:r>
      <w:r>
        <w:rPr>
          <w:rFonts w:ascii="Arial" w:hAnsi="Arial" w:cs="Arial"/>
        </w:rPr>
        <w:t xml:space="preserve"> Alcaldía</w:t>
      </w:r>
      <w:r w:rsidRPr="00523B7A">
        <w:rPr>
          <w:rFonts w:ascii="Arial" w:hAnsi="Arial" w:cs="Arial"/>
        </w:rPr>
        <w:t xml:space="preserve"> Azcapotzalco, C.</w:t>
      </w:r>
      <w:r>
        <w:rPr>
          <w:rFonts w:ascii="Arial" w:hAnsi="Arial" w:cs="Arial"/>
        </w:rPr>
        <w:t xml:space="preserve"> </w:t>
      </w:r>
      <w:r w:rsidRPr="00523B7A">
        <w:rPr>
          <w:rFonts w:ascii="Arial" w:hAnsi="Arial" w:cs="Arial"/>
        </w:rPr>
        <w:t>P. 02200, Ciudad de México, México</w:t>
      </w:r>
    </w:p>
    <w:p w:rsidR="00233599" w:rsidRDefault="00233599" w:rsidP="00233599">
      <w:pPr>
        <w:jc w:val="center"/>
        <w:rPr>
          <w:rFonts w:ascii="Arial" w:hAnsi="Arial" w:cs="Arial"/>
        </w:rPr>
      </w:pPr>
    </w:p>
    <w:p w:rsidR="00233599" w:rsidRPr="00561B70" w:rsidRDefault="001345E4" w:rsidP="00233599">
      <w:pPr>
        <w:pStyle w:val="affiliation"/>
        <w:rPr>
          <w:rFonts w:ascii="Arial" w:hAnsi="Arial" w:cs="Arial"/>
          <w:sz w:val="24"/>
          <w:szCs w:val="24"/>
          <w:lang w:val="es-ES"/>
        </w:rPr>
      </w:pPr>
      <w:hyperlink r:id="rId1170" w:history="1">
        <w:r w:rsidR="00233599" w:rsidRPr="00561B70">
          <w:rPr>
            <w:rStyle w:val="Hipervnculo"/>
            <w:rFonts w:ascii="Arial" w:hAnsi="Arial" w:cs="Arial"/>
            <w:sz w:val="24"/>
            <w:szCs w:val="24"/>
            <w:lang w:val="es-ES"/>
          </w:rPr>
          <w:t>francisco.grande.v@gmail.com</w:t>
        </w:r>
      </w:hyperlink>
      <w:r w:rsidR="00233599" w:rsidRPr="00561B70">
        <w:rPr>
          <w:rFonts w:ascii="Arial" w:hAnsi="Arial" w:cs="Arial"/>
          <w:sz w:val="24"/>
          <w:szCs w:val="24"/>
          <w:lang w:val="es-ES"/>
        </w:rPr>
        <w:t xml:space="preserve">, </w:t>
      </w:r>
      <w:hyperlink r:id="rId1171" w:history="1">
        <w:r w:rsidR="00233599" w:rsidRPr="00561B70">
          <w:rPr>
            <w:rStyle w:val="Hipervnculo"/>
            <w:rFonts w:ascii="Arial" w:hAnsi="Arial" w:cs="Arial"/>
            <w:sz w:val="24"/>
            <w:szCs w:val="24"/>
            <w:lang w:val="es-ES"/>
          </w:rPr>
          <w:t>arlr@azc.uam.mx</w:t>
        </w:r>
      </w:hyperlink>
      <w:r w:rsidR="00233599" w:rsidRPr="00561B70">
        <w:rPr>
          <w:rFonts w:ascii="Arial" w:hAnsi="Arial" w:cs="Arial"/>
          <w:sz w:val="24"/>
          <w:szCs w:val="24"/>
          <w:lang w:val="es-ES"/>
        </w:rPr>
        <w:t xml:space="preserve">, </w:t>
      </w:r>
      <w:hyperlink r:id="rId1172" w:history="1">
        <w:r w:rsidR="00233599" w:rsidRPr="00561B70">
          <w:rPr>
            <w:rStyle w:val="Hipervnculo"/>
            <w:rFonts w:ascii="Arial" w:hAnsi="Arial" w:cs="Arial"/>
            <w:sz w:val="24"/>
            <w:szCs w:val="24"/>
            <w:lang w:val="es-ES"/>
          </w:rPr>
          <w:t>rlc@azc.uam.mx</w:t>
        </w:r>
      </w:hyperlink>
      <w:r w:rsidR="00233599" w:rsidRPr="00561B70">
        <w:rPr>
          <w:rFonts w:ascii="Arial" w:hAnsi="Arial" w:cs="Arial"/>
          <w:sz w:val="24"/>
          <w:szCs w:val="24"/>
          <w:lang w:val="es-ES"/>
        </w:rPr>
        <w:t xml:space="preserve">, </w:t>
      </w:r>
      <w:hyperlink r:id="rId1173" w:history="1">
        <w:r w:rsidR="00233599" w:rsidRPr="005F70ED">
          <w:rPr>
            <w:rStyle w:val="Hipervnculo"/>
            <w:rFonts w:ascii="Arial" w:hAnsi="Arial" w:cs="Arial"/>
            <w:sz w:val="24"/>
            <w:szCs w:val="24"/>
            <w:lang w:val="es-ES"/>
          </w:rPr>
          <w:t>tph@azc.uam.mx</w:t>
        </w:r>
      </w:hyperlink>
      <w:r w:rsidR="00233599" w:rsidRPr="00561B70">
        <w:rPr>
          <w:rFonts w:ascii="Arial" w:hAnsi="Arial" w:cs="Arial"/>
          <w:sz w:val="24"/>
          <w:szCs w:val="24"/>
          <w:lang w:val="es-ES"/>
        </w:rPr>
        <w:t xml:space="preserve">, </w:t>
      </w:r>
      <w:hyperlink r:id="rId1174" w:history="1">
        <w:r w:rsidR="00233599" w:rsidRPr="005F70ED">
          <w:rPr>
            <w:rStyle w:val="Hipervnculo"/>
            <w:rFonts w:ascii="Arial" w:hAnsi="Arial" w:cs="Arial"/>
            <w:sz w:val="24"/>
            <w:szCs w:val="24"/>
            <w:lang w:val="es-ES"/>
          </w:rPr>
          <w:t>scs@azc.uam.mx</w:t>
        </w:r>
      </w:hyperlink>
      <w:r w:rsidR="00233599">
        <w:rPr>
          <w:rFonts w:ascii="Arial" w:hAnsi="Arial" w:cs="Arial"/>
          <w:sz w:val="24"/>
          <w:szCs w:val="24"/>
          <w:lang w:val="es-ES"/>
        </w:rPr>
        <w:t xml:space="preserve">, </w:t>
      </w:r>
      <w:hyperlink r:id="rId1175" w:history="1">
        <w:r w:rsidR="00233599" w:rsidRPr="005F70ED">
          <w:rPr>
            <w:rStyle w:val="Hipervnculo"/>
            <w:rFonts w:ascii="Arial" w:hAnsi="Arial" w:cs="Arial"/>
            <w:sz w:val="24"/>
            <w:szCs w:val="24"/>
            <w:lang w:val="es-ES"/>
          </w:rPr>
          <w:t>guillermomerida@live.com.mx</w:t>
        </w:r>
      </w:hyperlink>
      <w:r w:rsidR="00233599" w:rsidRPr="00561B70">
        <w:rPr>
          <w:rFonts w:ascii="Arial" w:hAnsi="Arial" w:cs="Arial"/>
          <w:sz w:val="24"/>
          <w:szCs w:val="24"/>
          <w:lang w:val="es-ES"/>
        </w:rPr>
        <w:t xml:space="preserve">, </w:t>
      </w:r>
      <w:hyperlink r:id="rId1176" w:history="1">
        <w:r w:rsidR="00233599" w:rsidRPr="005F70ED">
          <w:rPr>
            <w:rStyle w:val="Hipervnculo"/>
            <w:rFonts w:ascii="Arial" w:hAnsi="Arial" w:cs="Arial"/>
            <w:sz w:val="24"/>
            <w:szCs w:val="24"/>
            <w:lang w:val="es-ES"/>
          </w:rPr>
          <w:t>arlv@azc.uam.mx</w:t>
        </w:r>
      </w:hyperlink>
    </w:p>
    <w:p w:rsidR="00233599" w:rsidRPr="00561B70" w:rsidRDefault="00233599" w:rsidP="00233599">
      <w:pPr>
        <w:pStyle w:val="affiliation"/>
        <w:jc w:val="left"/>
        <w:rPr>
          <w:rFonts w:ascii="Arial" w:hAnsi="Arial" w:cs="Arial"/>
          <w:sz w:val="24"/>
          <w:szCs w:val="24"/>
          <w:lang w:val="es-ES"/>
        </w:rPr>
      </w:pPr>
    </w:p>
    <w:p w:rsidR="00233599" w:rsidRPr="000C32AD" w:rsidRDefault="00233599" w:rsidP="00390F7C">
      <w:pPr>
        <w:pStyle w:val="1Titulo"/>
        <w:numPr>
          <w:ilvl w:val="3"/>
          <w:numId w:val="43"/>
        </w:numPr>
      </w:pPr>
      <w:bookmarkStart w:id="288" w:name="_Toc50031360"/>
      <w:r w:rsidRPr="000C32AD">
        <w:t>Resumen</w:t>
      </w:r>
      <w:bookmarkEnd w:id="288"/>
    </w:p>
    <w:p w:rsidR="00233599" w:rsidRPr="0009731D" w:rsidRDefault="00233599" w:rsidP="00233599">
      <w:pPr>
        <w:pStyle w:val="TextoPrincipalV2"/>
      </w:pPr>
      <w:r w:rsidRPr="00383F39">
        <w:t>Se presenta el estudio teórico y numérico de tres intercambiadores de calor de tubo doble. El primer dispositivo posee un tubo liso en el espacio anular; el segundo y tercero poseen un tubo con aletas longitudinales y helicoidales. Se comparó el desempeño térmico del segundo y tercer dispositivo respecto al primero para determinar la mejora en la tasa de transferencia de calor al colocar los diferentes tipos de aletas. El estudio se realizó mediante simulación numérica empleando el método del volumen finito. Los intercambiadores de calor fueron simulados con las mismas condiciones de caudal másico y en configuración a contraflujo. Se determinó que la temperatura de salida del fluido caliente en el segundo y tercer dispositivo se redujo en 9.46% y 7.00%, respectivamente. La tasa de transferencia de calor se incrementó en un 162% y 136%, respectivamente.</w:t>
      </w:r>
    </w:p>
    <w:p w:rsidR="00233599" w:rsidRPr="0009731D" w:rsidRDefault="00233599" w:rsidP="00233599">
      <w:pPr>
        <w:pStyle w:val="TextoPrincipalV2"/>
      </w:pPr>
    </w:p>
    <w:p w:rsidR="00233599" w:rsidRPr="000C32AD" w:rsidRDefault="00233599" w:rsidP="00390F7C">
      <w:pPr>
        <w:pStyle w:val="1Titulo"/>
        <w:numPr>
          <w:ilvl w:val="3"/>
          <w:numId w:val="43"/>
        </w:numPr>
        <w:rPr>
          <w:caps/>
        </w:rPr>
      </w:pPr>
      <w:bookmarkStart w:id="289" w:name="_Toc50031361"/>
      <w:r w:rsidRPr="000C32AD">
        <w:rPr>
          <w:caps/>
        </w:rPr>
        <w:t>I</w:t>
      </w:r>
      <w:r w:rsidRPr="000C32AD">
        <w:t>ntroducción</w:t>
      </w:r>
      <w:bookmarkEnd w:id="289"/>
    </w:p>
    <w:p w:rsidR="00233599" w:rsidRPr="000C32AD" w:rsidRDefault="00233599" w:rsidP="00233599">
      <w:pPr>
        <w:pStyle w:val="TextoPrincipalV2"/>
      </w:pPr>
      <w:r w:rsidRPr="000C32AD">
        <w:t>Un intercambiador de calor es un dispositivo utilizado para transferir energía térmica entre dos o más fluidos, entre una superficie sólida y un fluido, o entre partículas sólidas y un fluido, a diferentes temperaturas y en contacto térmico. Los fluidos están separados por una superficie de transferencia de calor, e idealmente no se mezclan ni gotean</w:t>
      </w:r>
      <w:r>
        <w:t xml:space="preserve"> </w:t>
      </w:r>
      <w:r w:rsidRPr="000C32AD">
        <w:rPr>
          <w:vertAlign w:val="superscript"/>
        </w:rPr>
        <w:t>[1]</w:t>
      </w:r>
      <w:r w:rsidRPr="000C32AD">
        <w:t>. En aplicaciones industriales se emplea el contacto térmico entre dos fluidos como mecanismo de enfriamiento de un fluido de mayor temperatura, -denominado fluido caliente-, en tanto que el otro fluido a menor temperatura -denominado frío- absorbe la energía térmica del fluido caliente</w:t>
      </w:r>
      <w:r>
        <w:t xml:space="preserve"> </w:t>
      </w:r>
      <w:r w:rsidRPr="000C32AD">
        <w:rPr>
          <w:vertAlign w:val="superscript"/>
        </w:rPr>
        <w:t>[2]</w:t>
      </w:r>
      <w:r w:rsidRPr="000C32AD">
        <w:t xml:space="preserve">. Un tipo de intercambiador de calor empleado en la industria química, de alimentos, petróleo y gas es el intercambiador de calor de tubo doble (ICTD). Es un intercambiador ampliamente utilizado debido a su bajo costo de </w:t>
      </w:r>
      <w:r w:rsidRPr="000C32AD">
        <w:lastRenderedPageBreak/>
        <w:t xml:space="preserve">mantenimiento y diseño. En un ICTD uno de los fluidos fluye por el tubo interior, en tanto que el otro lo hace por el espacio anular entre los dos tubos. Los flujos pueden tener diferentes configuraciones como son: flujo en paralelo y a contracorriente. En el primer caso, ambos fluidos fluyen en la misma dirección, mientras que el último caso los fluidos fluyen en una dirección opuesta. En el diseño de un ICTD siempre se busca aumentar la tasa de transferencia de calor reduciendo el costo y tamaño del dispositivo, de modo que para incrementar el área de transferencia de calor el tubo interior puede tener aletas. Las superficies aletadas se emplean cuando una corriente de fluido está a una presión más alta o tiene un coeficiente de transferencia de calor significativamente más alto en comparación con la otra corriente de fluido. Los ICTD’s más comunes son el ICTD de tubo liso (ICTDTL), el ICTD de aletas longitudinales (ICTDAL) y el ICTD con aleta helicoidal (ICTDAH) </w:t>
      </w:r>
      <w:r w:rsidRPr="000C32AD">
        <w:rPr>
          <w:vertAlign w:val="superscript"/>
        </w:rPr>
        <w:t>[1] [2]</w:t>
      </w:r>
      <w:r w:rsidRPr="000C32AD">
        <w:t>.</w:t>
      </w:r>
    </w:p>
    <w:p w:rsidR="00233599" w:rsidRPr="000C32AD" w:rsidRDefault="00233599" w:rsidP="00233599">
      <w:pPr>
        <w:pStyle w:val="TextoPrincipalV2"/>
      </w:pPr>
      <w:r w:rsidRPr="000C32AD">
        <w:t xml:space="preserve">Trabajar en el diseño de un ICTD eficiente y confiable requiere emplear procedimientos como el método de diferencia media logarítmica (LMTD) o el método del número de unidades de transferencia de calor (NTU) </w:t>
      </w:r>
      <w:r w:rsidRPr="000C32AD">
        <w:rPr>
          <w:vertAlign w:val="superscript"/>
        </w:rPr>
        <w:t>[3]</w:t>
      </w:r>
      <w:r w:rsidRPr="000C32AD">
        <w:t xml:space="preserve">. Estos métodos tienen algunos inconvenientes, ya que se requieren realizar iteraciones y es necesario un prototipo para implementar el diseño. Sin embargo, la disponibilidad de microprocesadores de alto rendimiento ha permitido el uso de la mecánica de fluidos computacional (CFD) como herramienta de diseño. CFD es un método utilizado para encontrar soluciones numéricas con respecto a la distribución de presión, gradientes de temperatura, parámetros de flujo y similares, en un tiempo más corto y a un menor costo debido a que se reduce el trabajo experimental. Resulta útil para diseñar un sistema de intercambiador de calor desde cero, así como para la resolución de problemas de optimización, sugiriendo modificaciones de diseño </w:t>
      </w:r>
      <w:r w:rsidRPr="000C32AD">
        <w:rPr>
          <w:vertAlign w:val="superscript"/>
        </w:rPr>
        <w:t>[4]</w:t>
      </w:r>
      <w:r w:rsidRPr="000C32AD">
        <w:t>.</w:t>
      </w:r>
    </w:p>
    <w:p w:rsidR="00233599" w:rsidRPr="000C32AD" w:rsidRDefault="00233599" w:rsidP="00233599">
      <w:pPr>
        <w:pStyle w:val="TextoPrincipalV2"/>
      </w:pPr>
      <w:r w:rsidRPr="000C32AD">
        <w:t xml:space="preserve">Algunos trabajos reportados en la literatura que abordan el problema de mejora del diseño y tasa de transferencia de calor en los ICTD’s son: Omidi, </w:t>
      </w:r>
      <w:r w:rsidRPr="00561B70">
        <w:rPr>
          <w:i/>
        </w:rPr>
        <w:t>et al.</w:t>
      </w:r>
      <w:r w:rsidRPr="000C32AD">
        <w:t xml:space="preserve"> </w:t>
      </w:r>
      <w:r w:rsidRPr="000C32AD">
        <w:rPr>
          <w:vertAlign w:val="superscript"/>
        </w:rPr>
        <w:t>[5]</w:t>
      </w:r>
      <w:r w:rsidRPr="000C32AD">
        <w:t xml:space="preserve"> ellos realizaron la revisión y recopilación de la literatura sobre los métodos de mejora de la tasa de transferencia de calor y procedimientos de desarrollo por los que ha pasado el ICTD. Muestran la recopilación de los métodos pasivos, activos y compuestos, de los cuales, los métodos pasivos han tenido mayor atención, pues en los métodos pasivos no se utiliza una fuerza externa para mejorar la transferencia de calor e incluye modificaciones geométricas de los tubos, así como la incorporación de aletas y deflectores. Se concluye que, para el caso de los métodos pasivos, en algunos ICTD la tasa de transferencia de calor aumentó aproximadamente un 400%</w:t>
      </w:r>
      <w:r>
        <w:t xml:space="preserve">, </w:t>
      </w:r>
      <w:r w:rsidRPr="008B34E6">
        <w:t>mientras que la mayor caída de presión fue del 1000% en comparación con el ICTDTL</w:t>
      </w:r>
      <w:r w:rsidRPr="000C32AD">
        <w:t xml:space="preserve">. Kumar, </w:t>
      </w:r>
      <w:r w:rsidRPr="00561B70">
        <w:rPr>
          <w:i/>
        </w:rPr>
        <w:t>et al.</w:t>
      </w:r>
      <w:r w:rsidRPr="000C32AD">
        <w:t xml:space="preserve"> </w:t>
      </w:r>
      <w:r w:rsidRPr="000C32AD">
        <w:rPr>
          <w:vertAlign w:val="superscript"/>
        </w:rPr>
        <w:t xml:space="preserve">[6] </w:t>
      </w:r>
      <w:r w:rsidRPr="000C32AD">
        <w:t>realizaron el estudio numérico de un ICTD incorporando aletas longitudinales en el tubo interior. El desempeño del proceso de transferencia de calor es determinado para tres diferentes perfiles de aletas rectangulares, parabólicas y triangulares. Los resultados indicaron que existe una mejora en la tasa de transferencia de calor para un tubo con aletas en comparación con un tubo liso. Entre las diferentes configuraciones, el tubo con aletas de perfil rectangular mostró una mejora sobre los tubos con las aletas de perfil parabólico y triangular, de modo que para un flujo constante del líquido caliente de 0.02 kg/s y un flujo variable del líquido frio, el tubo con aletas de perfil rectangular mostró una mejora de 2% y 5% con respecto al tubo con aletas de perfil triangular y parabólico, respectivamente.</w:t>
      </w:r>
      <w:r w:rsidRPr="00635330">
        <w:t xml:space="preserve"> </w:t>
      </w:r>
      <w:r w:rsidRPr="00A9119A">
        <w:t>Las aletas con perfil parabólico mostraron una caída de presión mínima y se redujeron en un 38% y 65% en comparación con el tubo aletado triangular y rectangular</w:t>
      </w:r>
      <w:r>
        <w:t>.</w:t>
      </w:r>
      <w:r w:rsidRPr="000C32AD">
        <w:t xml:space="preserve"> Aslam Bhutta </w:t>
      </w:r>
      <w:r w:rsidRPr="00561B70">
        <w:rPr>
          <w:i/>
        </w:rPr>
        <w:t>et al.</w:t>
      </w:r>
      <w:r w:rsidRPr="000C32AD">
        <w:t xml:space="preserve"> </w:t>
      </w:r>
      <w:r w:rsidRPr="000C32AD">
        <w:rPr>
          <w:vertAlign w:val="superscript"/>
        </w:rPr>
        <w:t>[4]</w:t>
      </w:r>
      <w:r w:rsidRPr="000C32AD">
        <w:t xml:space="preserve"> realizaron </w:t>
      </w:r>
      <w:r w:rsidRPr="000C32AD">
        <w:lastRenderedPageBreak/>
        <w:t xml:space="preserve">una revisión de la literatura sobre las aplicaciones de CFD en el campo de los intercambiadores de calor. Determinaron que se ha empleado CFD en varios tipos de intercambiadores de calor para analizar algunos problemas como: mala distribución del flujo de fluido, ensuciamiento, caída de presión y análisis térmico en la fase de diseño y optimización. Se determinó que las simulaciones generalmente dan resultados que concuerdan con los estudios experimentales que van del 2% al 10%, mientras que, en algunos casos excepcionales, varían hasta el 36%. El Maakoul, </w:t>
      </w:r>
      <w:r w:rsidRPr="00561B70">
        <w:rPr>
          <w:i/>
        </w:rPr>
        <w:t>et al.</w:t>
      </w:r>
      <w:r w:rsidRPr="000C32AD">
        <w:t xml:space="preserve"> </w:t>
      </w:r>
      <w:r w:rsidRPr="000C32AD">
        <w:rPr>
          <w:vertAlign w:val="superscript"/>
        </w:rPr>
        <w:t>[7]</w:t>
      </w:r>
      <w:r w:rsidRPr="000C32AD">
        <w:t xml:space="preserve"> realizaron el estudio numérico de un ICTDAH agua-agua. Se compararon las configuraciones de la aleta helicoidal para diferentes espacios entre aleta que varían de 0.1m a 0.025m. Fueron analizadas las características del flujo del fluido en el lado del espacio anular y la tasa de trasferencia de calor. Se determinó que para un espacio de 0.025 m la trayectoria del fluido anular es más del doble que la trayectoria para un espacio de 0.1 m. El coeficiente global de transferencia de calor y la caída de presión en el espacio anular aumentan con los incrementos del flujo másico y con las disminuciones en el espacio de aleta. Para un espacio de aleta 0.025 m, el coeficiente global de transferencia de calor y la caída de presión tuvieron un incremento promedio del 45% y 2100% respecto a un ICTDTL con las mismas dimensiones.</w:t>
      </w:r>
    </w:p>
    <w:p w:rsidR="00233599" w:rsidRDefault="00233599" w:rsidP="00233599">
      <w:pPr>
        <w:pStyle w:val="TextoPrincipalV2"/>
      </w:pPr>
      <w:r w:rsidRPr="000C32AD">
        <w:t>En este trabajo se realiza una comparación teórica de un ICTDTL y numérica de los intercambiadores de calor ICTDAL e ICTDAH, agua-agua, en configuración a contraflujo y para condiciones de flujo de masa variable para el fluido frío. Para ello se comparó el desempeño termohidráulico del ICTDAL e ICTDAH respecto al ICTDTL. Se determinó la tasa de transferencia de calor y las temperaturas de salida de los fluidos a partir de las temperaturas y flujos de masa de entrada conocidas y dimensiones geométricas especificadas.</w:t>
      </w:r>
      <w:r w:rsidRPr="008A14FA">
        <w:t xml:space="preserve"> </w:t>
      </w:r>
    </w:p>
    <w:p w:rsidR="00233599" w:rsidRDefault="00233599" w:rsidP="00233599">
      <w:pPr>
        <w:pStyle w:val="TextoPrincipalV2"/>
        <w:ind w:firstLine="0"/>
      </w:pPr>
    </w:p>
    <w:p w:rsidR="00233599" w:rsidRPr="00B9332A" w:rsidRDefault="00233599" w:rsidP="00233599">
      <w:pPr>
        <w:pStyle w:val="TextoPrincipalV2"/>
        <w:ind w:firstLine="0"/>
        <w:rPr>
          <w:i/>
          <w:iCs/>
        </w:rPr>
      </w:pPr>
      <w:r w:rsidRPr="00B9332A">
        <w:rPr>
          <w:i/>
          <w:iCs/>
        </w:rPr>
        <w:t>2.1 Nomenclatura</w:t>
      </w:r>
    </w:p>
    <w:p w:rsidR="00233599" w:rsidRDefault="00233599" w:rsidP="00233599">
      <w:pPr>
        <w:pStyle w:val="TextoPrincipalV2"/>
        <w:ind w:firstLine="0"/>
      </w:pPr>
    </w:p>
    <w:p w:rsidR="00233599" w:rsidRPr="007B0563" w:rsidRDefault="00233599" w:rsidP="00233599">
      <w:pPr>
        <w:pStyle w:val="Tablasyfiguras"/>
        <w:rPr>
          <w:noProof/>
        </w:rPr>
      </w:pPr>
      <w:r w:rsidRPr="007B0563">
        <w:rPr>
          <w:noProof/>
        </w:rPr>
        <w:t>Tabla 1. Nomenclatura</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31"/>
        <w:gridCol w:w="4111"/>
        <w:gridCol w:w="992"/>
      </w:tblGrid>
      <w:tr w:rsidR="00233599" w:rsidRPr="009C2BD9" w:rsidTr="007F2707">
        <w:trPr>
          <w:cantSplit/>
          <w:trHeight w:val="240"/>
          <w:tblHeader/>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3B4318" w:rsidRDefault="00233599" w:rsidP="007F2707">
            <w:pPr>
              <w:pStyle w:val="TextoTabla"/>
              <w:rPr>
                <w:b/>
                <w:bCs/>
              </w:rPr>
            </w:pPr>
            <w:r w:rsidRPr="003B4318">
              <w:rPr>
                <w:b/>
                <w:bCs/>
              </w:rPr>
              <w:t>Símbolo</w:t>
            </w:r>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3B4318" w:rsidRDefault="00233599" w:rsidP="007F2707">
            <w:pPr>
              <w:pStyle w:val="TextoTabla"/>
              <w:rPr>
                <w:b/>
                <w:bCs/>
              </w:rPr>
            </w:pPr>
            <w:r w:rsidRPr="003B4318">
              <w:rPr>
                <w:b/>
                <w:bCs/>
              </w:rPr>
              <w:t>Descripción</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3B4318" w:rsidRDefault="00233599" w:rsidP="007F2707">
            <w:pPr>
              <w:pStyle w:val="TextoTabla"/>
              <w:rPr>
                <w:b/>
                <w:bCs/>
                <w:iCs/>
                <w:lang w:val="en-US"/>
              </w:rPr>
            </w:pPr>
            <w:r w:rsidRPr="003B4318">
              <w:rPr>
                <w:b/>
                <w:bCs/>
                <w:iCs/>
              </w:rPr>
              <w:t>Unidad</w:t>
            </w:r>
          </w:p>
        </w:tc>
      </w:tr>
      <w:tr w:rsidR="00233599" w:rsidRPr="009C2BD9" w:rsidTr="007F2707">
        <w:trPr>
          <w:trHeight w:val="101"/>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w:r w:rsidRPr="00FD51BF">
              <w:rPr>
                <w:iCs/>
                <w:sz w:val="20"/>
                <w:szCs w:val="20"/>
                <w:lang w:val="es-MX"/>
              </w:rPr>
              <w:t>K</w:t>
            </w:r>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Energía cinética turbulenta</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1345E4" w:rsidP="007F2707">
            <w:pPr>
              <w:jc w:val="center"/>
              <w:rPr>
                <w:iCs/>
                <w:sz w:val="20"/>
                <w:szCs w:val="20"/>
                <w:lang w:val="en-US"/>
              </w:rPr>
            </w:pPr>
            <m:oMathPara>
              <m:oMath>
                <m:sSup>
                  <m:sSupPr>
                    <m:ctrlPr>
                      <w:rPr>
                        <w:rFonts w:ascii="Cambria Math" w:hAnsi="Cambria Math"/>
                        <w:iCs/>
                        <w:sz w:val="20"/>
                        <w:szCs w:val="20"/>
                        <w:lang w:val="es-MX"/>
                      </w:rPr>
                    </m:ctrlPr>
                  </m:sSupPr>
                  <m:e>
                    <m:r>
                      <m:rPr>
                        <m:nor/>
                      </m:rPr>
                      <w:rPr>
                        <w:iCs/>
                        <w:sz w:val="20"/>
                        <w:szCs w:val="20"/>
                        <w:lang w:val="es-MX"/>
                      </w:rPr>
                      <m:t>m</m:t>
                    </m:r>
                  </m:e>
                  <m:sup>
                    <m:r>
                      <m:rPr>
                        <m:nor/>
                      </m:rPr>
                      <w:rPr>
                        <w:iCs/>
                        <w:sz w:val="20"/>
                        <w:szCs w:val="20"/>
                        <w:lang w:val="es-MX"/>
                      </w:rPr>
                      <m:t>2</m:t>
                    </m:r>
                  </m:sup>
                </m:sSup>
                <m:r>
                  <m:rPr>
                    <m:nor/>
                  </m:rPr>
                  <w:rPr>
                    <w:iCs/>
                    <w:sz w:val="20"/>
                    <w:szCs w:val="20"/>
                    <w:lang w:val="es-MX"/>
                  </w:rPr>
                  <m:t>/</m:t>
                </m:r>
                <m:sSup>
                  <m:sSupPr>
                    <m:ctrlPr>
                      <w:rPr>
                        <w:rFonts w:ascii="Cambria Math" w:hAnsi="Cambria Math"/>
                        <w:iCs/>
                        <w:sz w:val="20"/>
                        <w:szCs w:val="20"/>
                        <w:lang w:val="es-MX"/>
                      </w:rPr>
                    </m:ctrlPr>
                  </m:sSupPr>
                  <m:e>
                    <m:r>
                      <m:rPr>
                        <m:nor/>
                      </m:rPr>
                      <w:rPr>
                        <w:iCs/>
                        <w:sz w:val="20"/>
                        <w:szCs w:val="20"/>
                        <w:lang w:val="es-MX"/>
                      </w:rPr>
                      <m:t>s</m:t>
                    </m:r>
                  </m:e>
                  <m:sup>
                    <m:r>
                      <m:rPr>
                        <m:nor/>
                      </m:rPr>
                      <w:rPr>
                        <w:iCs/>
                        <w:sz w:val="20"/>
                        <w:szCs w:val="20"/>
                        <w:lang w:val="es-MX"/>
                      </w:rPr>
                      <m:t>2</m:t>
                    </m:r>
                  </m:sup>
                </m:sSup>
              </m:oMath>
            </m:oMathPara>
          </w:p>
        </w:tc>
      </w:tr>
      <w:tr w:rsidR="00233599" w:rsidRPr="009C2BD9" w:rsidTr="007F2707">
        <w:trPr>
          <w:trHeight w:val="101"/>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nor/>
                  </m:rPr>
                  <w:rPr>
                    <w:iCs/>
                    <w:sz w:val="20"/>
                    <w:szCs w:val="20"/>
                    <w:lang w:val="es-MX"/>
                  </w:rPr>
                  <m:t>Κ</m:t>
                </m:r>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Conductividad térmica</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w:r w:rsidRPr="00FD51BF">
              <w:rPr>
                <w:iCs/>
                <w:sz w:val="20"/>
                <w:szCs w:val="20"/>
                <w:lang w:val="es-MX"/>
              </w:rPr>
              <w:t>W/m K</w:t>
            </w:r>
          </w:p>
        </w:tc>
      </w:tr>
      <w:tr w:rsidR="00233599" w:rsidRPr="009C2BD9" w:rsidTr="007F2707">
        <w:trPr>
          <w:trHeight w:val="68"/>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nor/>
                  </m:rPr>
                  <w:rPr>
                    <w:iCs/>
                    <w:sz w:val="20"/>
                    <w:szCs w:val="20"/>
                    <w:lang w:val="en-US"/>
                  </w:rPr>
                  <m:t>ε</m:t>
                </m:r>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Razón de disipación turbulenta</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1345E4" w:rsidP="007F2707">
            <w:pPr>
              <w:jc w:val="center"/>
              <w:rPr>
                <w:iCs/>
                <w:sz w:val="20"/>
                <w:szCs w:val="20"/>
                <w:lang w:val="es-MX"/>
              </w:rPr>
            </w:pPr>
            <m:oMathPara>
              <m:oMath>
                <m:sSup>
                  <m:sSupPr>
                    <m:ctrlPr>
                      <w:rPr>
                        <w:rFonts w:ascii="Cambria Math" w:hAnsi="Cambria Math"/>
                        <w:iCs/>
                        <w:sz w:val="20"/>
                        <w:szCs w:val="20"/>
                        <w:lang w:val="es-MX"/>
                      </w:rPr>
                    </m:ctrlPr>
                  </m:sSupPr>
                  <m:e>
                    <m:r>
                      <m:rPr>
                        <m:sty m:val="p"/>
                      </m:rPr>
                      <w:rPr>
                        <w:rFonts w:ascii="Cambria Math" w:hAnsi="Cambria Math"/>
                        <w:sz w:val="20"/>
                        <w:szCs w:val="20"/>
                        <w:lang w:val="es-MX"/>
                      </w:rPr>
                      <m:t>m</m:t>
                    </m:r>
                  </m:e>
                  <m:sup>
                    <m:r>
                      <m:rPr>
                        <m:sty m:val="p"/>
                      </m:rPr>
                      <w:rPr>
                        <w:rFonts w:ascii="Cambria Math" w:hAnsi="Cambria Math"/>
                        <w:sz w:val="20"/>
                        <w:szCs w:val="20"/>
                        <w:lang w:val="es-MX"/>
                      </w:rPr>
                      <m:t>2</m:t>
                    </m:r>
                  </m:sup>
                </m:sSup>
                <m:r>
                  <m:rPr>
                    <m:sty m:val="p"/>
                  </m:rPr>
                  <w:rPr>
                    <w:rFonts w:ascii="Cambria Math" w:hAnsi="Cambria Math"/>
                    <w:sz w:val="20"/>
                    <w:szCs w:val="20"/>
                    <w:lang w:val="es-MX"/>
                  </w:rPr>
                  <m:t>/</m:t>
                </m:r>
                <m:sSup>
                  <m:sSupPr>
                    <m:ctrlPr>
                      <w:rPr>
                        <w:rFonts w:ascii="Cambria Math" w:hAnsi="Cambria Math"/>
                        <w:iCs/>
                        <w:sz w:val="20"/>
                        <w:szCs w:val="20"/>
                        <w:lang w:val="es-MX"/>
                      </w:rPr>
                    </m:ctrlPr>
                  </m:sSupPr>
                  <m:e>
                    <m:r>
                      <m:rPr>
                        <m:sty m:val="p"/>
                      </m:rPr>
                      <w:rPr>
                        <w:rFonts w:ascii="Cambria Math" w:hAnsi="Cambria Math"/>
                        <w:sz w:val="20"/>
                        <w:szCs w:val="20"/>
                        <w:lang w:val="es-MX"/>
                      </w:rPr>
                      <m:t>s</m:t>
                    </m:r>
                  </m:e>
                  <m:sup>
                    <m:r>
                      <m:rPr>
                        <m:sty m:val="p"/>
                      </m:rPr>
                      <w:rPr>
                        <w:rFonts w:ascii="Cambria Math" w:hAnsi="Cambria Math"/>
                        <w:sz w:val="20"/>
                        <w:szCs w:val="20"/>
                        <w:lang w:val="es-MX"/>
                      </w:rPr>
                      <m:t>3</m:t>
                    </m:r>
                  </m:sup>
                </m:sSup>
              </m:oMath>
            </m:oMathPara>
          </w:p>
        </w:tc>
      </w:tr>
      <w:tr w:rsidR="00233599" w:rsidRPr="009C2BD9" w:rsidTr="007F2707">
        <w:trPr>
          <w:trHeight w:val="121"/>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1345E4" w:rsidP="007F2707">
            <w:pPr>
              <w:jc w:val="center"/>
              <w:rPr>
                <w:iCs/>
                <w:sz w:val="20"/>
                <w:szCs w:val="20"/>
                <w:lang w:val="es-MX"/>
              </w:rPr>
            </w:pPr>
            <m:oMathPara>
              <m:oMath>
                <m:sSub>
                  <m:sSubPr>
                    <m:ctrlPr>
                      <w:rPr>
                        <w:rFonts w:ascii="Cambria Math" w:hAnsi="Cambria Math"/>
                        <w:iCs/>
                        <w:sz w:val="20"/>
                        <w:szCs w:val="20"/>
                        <w:lang w:val="en-US"/>
                      </w:rPr>
                    </m:ctrlPr>
                  </m:sSubPr>
                  <m:e>
                    <m:r>
                      <m:rPr>
                        <m:nor/>
                      </m:rPr>
                      <w:rPr>
                        <w:iCs/>
                        <w:sz w:val="20"/>
                        <w:szCs w:val="20"/>
                        <w:lang w:val="en-US"/>
                      </w:rPr>
                      <m:t>μ</m:t>
                    </m:r>
                  </m:e>
                  <m:sub>
                    <m:r>
                      <m:rPr>
                        <m:nor/>
                      </m:rPr>
                      <w:rPr>
                        <w:iCs/>
                        <w:sz w:val="20"/>
                        <w:szCs w:val="20"/>
                        <w:lang w:val="en-US"/>
                      </w:rPr>
                      <m:t>T</m:t>
                    </m:r>
                  </m:sub>
                </m:sSub>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Viscosidad turbulenta</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sty m:val="p"/>
                  </m:rPr>
                  <w:rPr>
                    <w:rFonts w:ascii="Cambria Math" w:hAnsi="Cambria Math"/>
                    <w:sz w:val="20"/>
                    <w:szCs w:val="20"/>
                    <w:lang w:val="es-MX"/>
                  </w:rPr>
                  <m:t>Pa∙s</m:t>
                </m:r>
              </m:oMath>
            </m:oMathPara>
          </w:p>
        </w:tc>
      </w:tr>
      <w:tr w:rsidR="00233599" w:rsidRPr="009C2BD9" w:rsidTr="007F2707">
        <w:trPr>
          <w:trHeight w:val="68"/>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nor/>
                  </m:rPr>
                  <w:rPr>
                    <w:iCs/>
                    <w:sz w:val="20"/>
                    <w:szCs w:val="20"/>
                    <w:lang w:val="en-US"/>
                  </w:rPr>
                  <m:t>Ρ</m:t>
                </m:r>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Densidad</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w:r w:rsidRPr="00FD51BF">
              <w:rPr>
                <w:iCs/>
                <w:sz w:val="20"/>
                <w:szCs w:val="20"/>
                <w:lang w:val="es-MX"/>
              </w:rPr>
              <w:t>kg/m</w:t>
            </w:r>
            <w:r w:rsidRPr="00FD51BF">
              <w:rPr>
                <w:iCs/>
                <w:sz w:val="20"/>
                <w:szCs w:val="20"/>
                <w:vertAlign w:val="superscript"/>
                <w:lang w:val="es-MX"/>
              </w:rPr>
              <w:t>3</w:t>
            </w:r>
          </w:p>
        </w:tc>
      </w:tr>
      <w:tr w:rsidR="00233599" w:rsidRPr="009C2BD9" w:rsidTr="007F2707">
        <w:trPr>
          <w:trHeight w:val="68"/>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nor/>
                  </m:rPr>
                  <w:rPr>
                    <w:b/>
                    <w:iCs/>
                    <w:sz w:val="20"/>
                    <w:szCs w:val="20"/>
                    <w:lang w:val="es-MX"/>
                  </w:rPr>
                  <m:t>U</m:t>
                </m:r>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Vector velocidad</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w:r w:rsidRPr="00FD51BF">
              <w:rPr>
                <w:iCs/>
                <w:sz w:val="20"/>
                <w:szCs w:val="20"/>
                <w:lang w:val="es-MX"/>
              </w:rPr>
              <w:t>m/s</w:t>
            </w:r>
          </w:p>
        </w:tc>
      </w:tr>
      <w:tr w:rsidR="00233599" w:rsidRPr="009C2BD9" w:rsidTr="007F2707">
        <w:trPr>
          <w:trHeight w:val="181"/>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nor/>
                  </m:rPr>
                  <w:rPr>
                    <w:iCs/>
                    <w:sz w:val="20"/>
                    <w:szCs w:val="20"/>
                    <w:lang w:val="en-US"/>
                  </w:rPr>
                  <m:t>Μ</m:t>
                </m:r>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Viscosidad dinámica</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w:r w:rsidRPr="00FD51BF">
              <w:rPr>
                <w:iCs/>
                <w:sz w:val="20"/>
                <w:szCs w:val="20"/>
                <w:lang w:val="es-MX"/>
              </w:rPr>
              <w:t>kg/m s</w:t>
            </w:r>
          </w:p>
        </w:tc>
      </w:tr>
      <w:tr w:rsidR="00233599" w:rsidRPr="009C2BD9" w:rsidTr="007F2707">
        <w:trPr>
          <w:trHeight w:val="113"/>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nor/>
                  </m:rPr>
                  <w:rPr>
                    <w:b/>
                    <w:iCs/>
                    <w:sz w:val="20"/>
                    <w:szCs w:val="20"/>
                    <w:lang w:val="es-MX"/>
                  </w:rPr>
                  <m:t>Q</m:t>
                </m:r>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Flujo de calor por conducción</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sty m:val="p"/>
                  </m:rPr>
                  <w:rPr>
                    <w:rFonts w:ascii="Cambria Math" w:hAnsi="Cambria Math"/>
                    <w:sz w:val="20"/>
                    <w:szCs w:val="20"/>
                    <w:lang w:val="es-MX"/>
                  </w:rPr>
                  <m:t>W/</m:t>
                </m:r>
                <m:sSup>
                  <m:sSupPr>
                    <m:ctrlPr>
                      <w:rPr>
                        <w:rFonts w:ascii="Cambria Math" w:hAnsi="Cambria Math"/>
                        <w:iCs/>
                        <w:sz w:val="20"/>
                        <w:szCs w:val="20"/>
                        <w:lang w:val="es-MX"/>
                      </w:rPr>
                    </m:ctrlPr>
                  </m:sSupPr>
                  <m:e>
                    <m:r>
                      <m:rPr>
                        <m:sty m:val="p"/>
                      </m:rPr>
                      <w:rPr>
                        <w:rFonts w:ascii="Cambria Math" w:hAnsi="Cambria Math"/>
                        <w:sz w:val="20"/>
                        <w:szCs w:val="20"/>
                        <w:lang w:val="es-MX"/>
                      </w:rPr>
                      <m:t>m</m:t>
                    </m:r>
                  </m:e>
                  <m:sup>
                    <m:r>
                      <m:rPr>
                        <m:sty m:val="p"/>
                      </m:rPr>
                      <w:rPr>
                        <w:rFonts w:ascii="Cambria Math" w:hAnsi="Cambria Math"/>
                        <w:sz w:val="20"/>
                        <w:szCs w:val="20"/>
                        <w:lang w:val="es-MX"/>
                      </w:rPr>
                      <m:t>2</m:t>
                    </m:r>
                  </m:sup>
                </m:sSup>
              </m:oMath>
            </m:oMathPara>
          </w:p>
        </w:tc>
      </w:tr>
      <w:tr w:rsidR="00233599" w:rsidRPr="009C2BD9" w:rsidTr="007F2707">
        <w:trPr>
          <w:trHeight w:val="75"/>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1345E4" w:rsidP="007F2707">
            <w:pPr>
              <w:jc w:val="center"/>
              <w:rPr>
                <w:iCs/>
                <w:sz w:val="20"/>
                <w:szCs w:val="20"/>
                <w:lang w:val="es-MX"/>
              </w:rPr>
            </w:pPr>
            <m:oMathPara>
              <m:oMath>
                <m:sSub>
                  <m:sSubPr>
                    <m:ctrlPr>
                      <w:rPr>
                        <w:rFonts w:ascii="Cambria Math" w:hAnsi="Cambria Math"/>
                        <w:b/>
                        <w:iCs/>
                        <w:sz w:val="20"/>
                        <w:szCs w:val="20"/>
                        <w:lang w:val="en-US"/>
                      </w:rPr>
                    </m:ctrlPr>
                  </m:sSubPr>
                  <m:e>
                    <m:r>
                      <m:rPr>
                        <m:nor/>
                      </m:rPr>
                      <w:rPr>
                        <w:b/>
                        <w:iCs/>
                        <w:sz w:val="20"/>
                        <w:szCs w:val="20"/>
                        <w:lang w:val="es-MX"/>
                      </w:rPr>
                      <m:t>q</m:t>
                    </m:r>
                  </m:e>
                  <m:sub>
                    <m:r>
                      <m:rPr>
                        <m:nor/>
                      </m:rPr>
                      <w:rPr>
                        <w:b/>
                        <w:iCs/>
                        <w:sz w:val="20"/>
                        <w:szCs w:val="20"/>
                        <w:lang w:val="es-MX"/>
                      </w:rPr>
                      <m:t>r</m:t>
                    </m:r>
                  </m:sub>
                </m:sSub>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Flujo de calor por radiación</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sty m:val="p"/>
                  </m:rPr>
                  <w:rPr>
                    <w:rFonts w:ascii="Cambria Math" w:hAnsi="Cambria Math"/>
                    <w:sz w:val="20"/>
                    <w:szCs w:val="20"/>
                    <w:lang w:val="es-MX"/>
                  </w:rPr>
                  <m:t>W/</m:t>
                </m:r>
                <m:sSup>
                  <m:sSupPr>
                    <m:ctrlPr>
                      <w:rPr>
                        <w:rFonts w:ascii="Cambria Math" w:hAnsi="Cambria Math"/>
                        <w:iCs/>
                        <w:sz w:val="20"/>
                        <w:szCs w:val="20"/>
                        <w:lang w:val="es-MX"/>
                      </w:rPr>
                    </m:ctrlPr>
                  </m:sSupPr>
                  <m:e>
                    <m:r>
                      <m:rPr>
                        <m:sty m:val="p"/>
                      </m:rPr>
                      <w:rPr>
                        <w:rFonts w:ascii="Cambria Math" w:hAnsi="Cambria Math"/>
                        <w:sz w:val="20"/>
                        <w:szCs w:val="20"/>
                        <w:lang w:val="es-MX"/>
                      </w:rPr>
                      <m:t>m</m:t>
                    </m:r>
                  </m:e>
                  <m:sup>
                    <m:r>
                      <m:rPr>
                        <m:sty m:val="p"/>
                      </m:rPr>
                      <w:rPr>
                        <w:rFonts w:ascii="Cambria Math" w:hAnsi="Cambria Math"/>
                        <w:sz w:val="20"/>
                        <w:szCs w:val="20"/>
                        <w:lang w:val="es-MX"/>
                      </w:rPr>
                      <m:t>2</m:t>
                    </m:r>
                  </m:sup>
                </m:sSup>
              </m:oMath>
            </m:oMathPara>
          </w:p>
        </w:tc>
      </w:tr>
      <w:tr w:rsidR="00233599" w:rsidRPr="009C2BD9" w:rsidTr="007F2707">
        <w:trPr>
          <w:trHeight w:val="194"/>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nor/>
                  </m:rPr>
                  <w:rPr>
                    <w:iCs/>
                    <w:sz w:val="20"/>
                    <w:szCs w:val="20"/>
                    <w:lang w:val="en-US"/>
                  </w:rPr>
                  <w:lastRenderedPageBreak/>
                  <m:t>Qv</m:t>
                </m:r>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Fuente de calor contenida</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sty m:val="p"/>
                  </m:rPr>
                  <w:rPr>
                    <w:rFonts w:ascii="Cambria Math" w:hAnsi="Cambria Math"/>
                    <w:sz w:val="20"/>
                    <w:szCs w:val="20"/>
                    <w:lang w:val="es-MX"/>
                  </w:rPr>
                  <m:t>W/</m:t>
                </m:r>
                <m:sSup>
                  <m:sSupPr>
                    <m:ctrlPr>
                      <w:rPr>
                        <w:rFonts w:ascii="Cambria Math" w:hAnsi="Cambria Math"/>
                        <w:iCs/>
                        <w:sz w:val="20"/>
                        <w:szCs w:val="20"/>
                        <w:lang w:val="es-MX"/>
                      </w:rPr>
                    </m:ctrlPr>
                  </m:sSupPr>
                  <m:e>
                    <m:r>
                      <m:rPr>
                        <m:sty m:val="p"/>
                      </m:rPr>
                      <w:rPr>
                        <w:rFonts w:ascii="Cambria Math" w:hAnsi="Cambria Math"/>
                        <w:sz w:val="20"/>
                        <w:szCs w:val="20"/>
                        <w:lang w:val="es-MX"/>
                      </w:rPr>
                      <m:t>m</m:t>
                    </m:r>
                  </m:e>
                  <m:sup>
                    <m:r>
                      <m:rPr>
                        <m:sty m:val="p"/>
                      </m:rPr>
                      <w:rPr>
                        <w:rFonts w:ascii="Cambria Math" w:hAnsi="Cambria Math"/>
                        <w:sz w:val="20"/>
                        <w:szCs w:val="20"/>
                        <w:lang w:val="es-MX"/>
                      </w:rPr>
                      <m:t>3</m:t>
                    </m:r>
                  </m:sup>
                </m:sSup>
              </m:oMath>
            </m:oMathPara>
          </w:p>
        </w:tc>
      </w:tr>
      <w:tr w:rsidR="00233599" w:rsidRPr="009C2BD9" w:rsidTr="007F2707">
        <w:trPr>
          <w:trHeight w:val="194"/>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n-US"/>
              </w:rPr>
            </w:pPr>
            <w:r w:rsidRPr="00FD51BF">
              <w:rPr>
                <w:iCs/>
                <w:sz w:val="20"/>
                <w:szCs w:val="20"/>
                <w:lang w:val="en-US"/>
              </w:rPr>
              <w:t>Q</w:t>
            </w:r>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Tasa de transferencia de calor</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sty m:val="p"/>
                  </m:rPr>
                  <w:rPr>
                    <w:rFonts w:ascii="Cambria Math" w:hAnsi="Cambria Math"/>
                    <w:sz w:val="20"/>
                    <w:szCs w:val="20"/>
                    <w:lang w:val="es-MX"/>
                  </w:rPr>
                  <m:t>W</m:t>
                </m:r>
              </m:oMath>
            </m:oMathPara>
          </w:p>
        </w:tc>
      </w:tr>
      <w:tr w:rsidR="00233599" w:rsidRPr="009C2BD9" w:rsidTr="007F2707">
        <w:trPr>
          <w:trHeight w:val="194"/>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n-US"/>
              </w:rPr>
            </w:pPr>
            <w:r w:rsidRPr="00FD51BF">
              <w:rPr>
                <w:iCs/>
                <w:sz w:val="20"/>
                <w:szCs w:val="20"/>
                <w:lang w:val="en-US"/>
              </w:rPr>
              <w:t>U</w:t>
            </w:r>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Coeficiente global de transferencia de calor</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sty m:val="p"/>
                  </m:rPr>
                  <w:rPr>
                    <w:rFonts w:ascii="Cambria Math" w:hAnsi="Cambria Math"/>
                    <w:sz w:val="20"/>
                    <w:szCs w:val="20"/>
                    <w:lang w:val="es-MX"/>
                  </w:rPr>
                  <m:t>W/</m:t>
                </m:r>
                <m:sSup>
                  <m:sSupPr>
                    <m:ctrlPr>
                      <w:rPr>
                        <w:rFonts w:ascii="Cambria Math" w:hAnsi="Cambria Math"/>
                        <w:iCs/>
                        <w:sz w:val="20"/>
                        <w:szCs w:val="20"/>
                        <w:lang w:val="es-MX"/>
                      </w:rPr>
                    </m:ctrlPr>
                  </m:sSupPr>
                  <m:e>
                    <m:r>
                      <m:rPr>
                        <m:sty m:val="p"/>
                      </m:rPr>
                      <w:rPr>
                        <w:rFonts w:ascii="Cambria Math" w:hAnsi="Cambria Math"/>
                        <w:sz w:val="20"/>
                        <w:szCs w:val="20"/>
                        <w:lang w:val="es-MX"/>
                      </w:rPr>
                      <m:t>m</m:t>
                    </m:r>
                  </m:e>
                  <m:sup>
                    <m:r>
                      <m:rPr>
                        <m:sty m:val="p"/>
                      </m:rPr>
                      <w:rPr>
                        <w:rFonts w:ascii="Cambria Math" w:hAnsi="Cambria Math"/>
                        <w:sz w:val="20"/>
                        <w:szCs w:val="20"/>
                        <w:lang w:val="es-MX"/>
                      </w:rPr>
                      <m:t>2</m:t>
                    </m:r>
                  </m:sup>
                </m:sSup>
                <m:r>
                  <m:rPr>
                    <m:sty m:val="p"/>
                  </m:rPr>
                  <w:rPr>
                    <w:rFonts w:ascii="Cambria Math" w:hAnsi="Cambria Math"/>
                    <w:sz w:val="20"/>
                    <w:szCs w:val="20"/>
                    <w:lang w:val="es-MX"/>
                  </w:rPr>
                  <m:t>K</m:t>
                </m:r>
              </m:oMath>
            </m:oMathPara>
          </w:p>
        </w:tc>
      </w:tr>
      <w:tr w:rsidR="00233599" w:rsidRPr="009C2BD9" w:rsidTr="007F2707">
        <w:trPr>
          <w:trHeight w:val="68"/>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1345E4" w:rsidP="007F2707">
            <w:pPr>
              <w:jc w:val="center"/>
              <w:rPr>
                <w:iCs/>
                <w:sz w:val="20"/>
                <w:szCs w:val="20"/>
                <w:lang w:val="es-MX"/>
              </w:rPr>
            </w:pPr>
            <m:oMathPara>
              <m:oMath>
                <m:sSub>
                  <m:sSubPr>
                    <m:ctrlPr>
                      <w:rPr>
                        <w:rFonts w:ascii="Cambria Math" w:hAnsi="Cambria Math"/>
                        <w:iCs/>
                        <w:sz w:val="20"/>
                        <w:szCs w:val="20"/>
                        <w:lang w:val="en-US"/>
                      </w:rPr>
                    </m:ctrlPr>
                  </m:sSubPr>
                  <m:e>
                    <m:r>
                      <m:rPr>
                        <m:nor/>
                      </m:rPr>
                      <w:rPr>
                        <w:iCs/>
                        <w:sz w:val="20"/>
                        <w:szCs w:val="20"/>
                        <w:lang w:val="en-US"/>
                      </w:rPr>
                      <m:t>C</m:t>
                    </m:r>
                  </m:e>
                  <m:sub>
                    <m:r>
                      <m:rPr>
                        <m:nor/>
                      </m:rPr>
                      <w:rPr>
                        <w:iCs/>
                        <w:sz w:val="20"/>
                        <w:szCs w:val="20"/>
                        <w:lang w:val="en-US"/>
                      </w:rPr>
                      <m:t>p</m:t>
                    </m:r>
                  </m:sub>
                </m:sSub>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Calor específico</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w:r w:rsidRPr="00FD51BF">
              <w:rPr>
                <w:iCs/>
                <w:sz w:val="20"/>
                <w:szCs w:val="20"/>
                <w:lang w:val="es-MX"/>
              </w:rPr>
              <w:t>J/kg·K</w:t>
            </w:r>
          </w:p>
        </w:tc>
      </w:tr>
      <w:tr w:rsidR="00233599" w:rsidRPr="009C2BD9" w:rsidTr="007F2707">
        <w:trPr>
          <w:trHeight w:val="68"/>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nor/>
                  </m:rPr>
                  <w:rPr>
                    <w:iCs/>
                    <w:sz w:val="20"/>
                    <w:szCs w:val="20"/>
                    <w:lang w:val="en-US"/>
                  </w:rPr>
                  <m:t>Τ</m:t>
                </m:r>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Tensor de esfuerzos viscosos</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sty m:val="p"/>
                  </m:rPr>
                  <w:rPr>
                    <w:rFonts w:ascii="Cambria Math" w:hAnsi="Cambria Math"/>
                    <w:sz w:val="20"/>
                    <w:szCs w:val="20"/>
                    <w:lang w:val="es-MX"/>
                  </w:rPr>
                  <m:t>Pa</m:t>
                </m:r>
              </m:oMath>
            </m:oMathPara>
          </w:p>
        </w:tc>
      </w:tr>
      <w:tr w:rsidR="00233599" w:rsidRPr="009C2BD9" w:rsidTr="007F2707">
        <w:trPr>
          <w:trHeight w:val="95"/>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nor/>
                  </m:rPr>
                  <w:rPr>
                    <w:b/>
                    <w:iCs/>
                    <w:sz w:val="20"/>
                    <w:szCs w:val="20"/>
                    <w:lang w:val="es-MX"/>
                  </w:rPr>
                  <m:t>F</m:t>
                </m:r>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Vector de fuerza del elemento</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sty m:val="p"/>
                  </m:rPr>
                  <w:rPr>
                    <w:rFonts w:ascii="Cambria Math" w:hAnsi="Cambria Math"/>
                    <w:sz w:val="20"/>
                    <w:szCs w:val="20"/>
                    <w:lang w:val="es-MX"/>
                  </w:rPr>
                  <m:t>N/</m:t>
                </m:r>
                <m:sSup>
                  <m:sSupPr>
                    <m:ctrlPr>
                      <w:rPr>
                        <w:rFonts w:ascii="Cambria Math" w:hAnsi="Cambria Math"/>
                        <w:iCs/>
                        <w:sz w:val="20"/>
                        <w:szCs w:val="20"/>
                        <w:lang w:val="es-MX"/>
                      </w:rPr>
                    </m:ctrlPr>
                  </m:sSupPr>
                  <m:e>
                    <m:r>
                      <m:rPr>
                        <m:sty m:val="p"/>
                      </m:rPr>
                      <w:rPr>
                        <w:rFonts w:ascii="Cambria Math" w:hAnsi="Cambria Math"/>
                        <w:sz w:val="20"/>
                        <w:szCs w:val="20"/>
                        <w:lang w:val="es-MX"/>
                      </w:rPr>
                      <m:t>m</m:t>
                    </m:r>
                  </m:e>
                  <m:sup>
                    <m:r>
                      <m:rPr>
                        <m:sty m:val="p"/>
                      </m:rPr>
                      <w:rPr>
                        <w:rFonts w:ascii="Cambria Math" w:hAnsi="Cambria Math"/>
                        <w:sz w:val="20"/>
                        <w:szCs w:val="20"/>
                        <w:lang w:val="es-MX"/>
                      </w:rPr>
                      <m:t>3</m:t>
                    </m:r>
                  </m:sup>
                </m:sSup>
              </m:oMath>
            </m:oMathPara>
          </w:p>
        </w:tc>
      </w:tr>
      <w:tr w:rsidR="00233599" w:rsidRPr="009C2BD9" w:rsidTr="007F2707">
        <w:trPr>
          <w:trHeight w:val="59"/>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1345E4" w:rsidP="007F2707">
            <w:pPr>
              <w:jc w:val="center"/>
              <w:rPr>
                <w:iCs/>
                <w:sz w:val="20"/>
                <w:szCs w:val="20"/>
                <w:lang w:val="es-MX"/>
              </w:rPr>
            </w:pPr>
            <m:oMathPara>
              <m:oMath>
                <m:acc>
                  <m:accPr>
                    <m:chr m:val="̇"/>
                    <m:ctrlPr>
                      <w:rPr>
                        <w:rFonts w:ascii="Cambria Math" w:hAnsi="Cambria Math"/>
                        <w:bCs/>
                        <w:iCs/>
                        <w:sz w:val="20"/>
                        <w:szCs w:val="20"/>
                        <w:lang w:val="es-MX"/>
                      </w:rPr>
                    </m:ctrlPr>
                  </m:accPr>
                  <m:e>
                    <m:r>
                      <m:rPr>
                        <m:nor/>
                      </m:rPr>
                      <w:rPr>
                        <w:bCs/>
                        <w:iCs/>
                        <w:sz w:val="20"/>
                        <w:szCs w:val="20"/>
                        <w:lang w:val="es-MX"/>
                      </w:rPr>
                      <m:t>m</m:t>
                    </m:r>
                  </m:e>
                </m:acc>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Flujo másico</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sty m:val="p"/>
                  </m:rPr>
                  <w:rPr>
                    <w:rFonts w:ascii="Cambria Math" w:hAnsi="Cambria Math"/>
                    <w:sz w:val="20"/>
                    <w:szCs w:val="20"/>
                    <w:lang w:val="es-MX"/>
                  </w:rPr>
                  <m:t>kg/s</m:t>
                </m:r>
              </m:oMath>
            </m:oMathPara>
          </w:p>
        </w:tc>
      </w:tr>
      <w:tr w:rsidR="00233599" w:rsidRPr="009C2BD9" w:rsidTr="007F2707">
        <w:trPr>
          <w:trHeight w:val="161"/>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w:r w:rsidRPr="00FD51BF">
              <w:rPr>
                <w:rFonts w:ascii="Cambria Math" w:hAnsi="Cambria Math" w:cs="Cambria Math"/>
                <w:bCs/>
                <w:iCs/>
                <w:sz w:val="20"/>
                <w:szCs w:val="20"/>
                <w:lang w:val="es-MX"/>
              </w:rPr>
              <w:t>𝐴</w:t>
            </w:r>
            <w:r w:rsidRPr="00FD51BF">
              <w:rPr>
                <w:rFonts w:ascii="Cambria Math" w:hAnsi="Cambria Math" w:cs="Cambria Math"/>
                <w:bCs/>
                <w:iCs/>
                <w:sz w:val="20"/>
                <w:szCs w:val="20"/>
                <w:vertAlign w:val="subscript"/>
                <w:lang w:val="es-MX"/>
              </w:rPr>
              <w:t>𝑠</w:t>
            </w:r>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Área de la sección anular</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1345E4" w:rsidP="007F2707">
            <w:pPr>
              <w:jc w:val="center"/>
              <w:rPr>
                <w:iCs/>
                <w:sz w:val="20"/>
                <w:szCs w:val="20"/>
                <w:lang w:val="es-MX"/>
              </w:rPr>
            </w:pPr>
            <m:oMathPara>
              <m:oMath>
                <m:sSup>
                  <m:sSupPr>
                    <m:ctrlPr>
                      <w:rPr>
                        <w:rFonts w:ascii="Cambria Math" w:hAnsi="Cambria Math"/>
                        <w:iCs/>
                        <w:sz w:val="20"/>
                        <w:szCs w:val="20"/>
                        <w:lang w:val="es-MX"/>
                      </w:rPr>
                    </m:ctrlPr>
                  </m:sSupPr>
                  <m:e>
                    <m:r>
                      <m:rPr>
                        <m:sty m:val="p"/>
                      </m:rPr>
                      <w:rPr>
                        <w:rFonts w:ascii="Cambria Math" w:hAnsi="Cambria Math"/>
                        <w:sz w:val="20"/>
                        <w:szCs w:val="20"/>
                        <w:lang w:val="es-MX"/>
                      </w:rPr>
                      <m:t>m</m:t>
                    </m:r>
                  </m:e>
                  <m:sup>
                    <m:r>
                      <m:rPr>
                        <m:sty m:val="p"/>
                      </m:rPr>
                      <w:rPr>
                        <w:rFonts w:ascii="Cambria Math" w:hAnsi="Cambria Math"/>
                        <w:sz w:val="20"/>
                        <w:szCs w:val="20"/>
                        <w:lang w:val="es-MX"/>
                      </w:rPr>
                      <m:t>2</m:t>
                    </m:r>
                  </m:sup>
                </m:sSup>
              </m:oMath>
            </m:oMathPara>
          </w:p>
        </w:tc>
      </w:tr>
      <w:tr w:rsidR="00233599" w:rsidRPr="009C2BD9" w:rsidTr="007F2707">
        <w:trPr>
          <w:trHeight w:val="107"/>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bCs/>
                <w:iCs/>
                <w:sz w:val="20"/>
                <w:szCs w:val="20"/>
                <w:lang w:val="es-MX"/>
              </w:rPr>
            </w:pPr>
            <w:r w:rsidRPr="00FD51BF">
              <w:rPr>
                <w:rFonts w:ascii="Cambria Math" w:hAnsi="Cambria Math" w:cs="Cambria Math"/>
                <w:bCs/>
                <w:iCs/>
                <w:sz w:val="20"/>
                <w:szCs w:val="20"/>
                <w:lang w:val="es-MX"/>
              </w:rPr>
              <w:t>𝐴</w:t>
            </w:r>
            <w:r w:rsidRPr="00FD51BF">
              <w:rPr>
                <w:bCs/>
                <w:iCs/>
                <w:sz w:val="20"/>
                <w:szCs w:val="20"/>
                <w:vertAlign w:val="subscript"/>
                <w:lang w:val="es-MX"/>
              </w:rPr>
              <w:t>l</w:t>
            </w:r>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Área superficial del tubo interior</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1345E4" w:rsidP="007F2707">
            <w:pPr>
              <w:jc w:val="center"/>
              <w:rPr>
                <w:iCs/>
                <w:sz w:val="20"/>
                <w:szCs w:val="20"/>
                <w:lang w:val="es-MX"/>
              </w:rPr>
            </w:pPr>
            <m:oMathPara>
              <m:oMath>
                <m:sSup>
                  <m:sSupPr>
                    <m:ctrlPr>
                      <w:rPr>
                        <w:rFonts w:ascii="Cambria Math" w:hAnsi="Cambria Math"/>
                        <w:iCs/>
                        <w:sz w:val="20"/>
                        <w:szCs w:val="20"/>
                        <w:lang w:val="es-MX"/>
                      </w:rPr>
                    </m:ctrlPr>
                  </m:sSupPr>
                  <m:e>
                    <m:r>
                      <m:rPr>
                        <m:sty m:val="p"/>
                      </m:rPr>
                      <w:rPr>
                        <w:rFonts w:ascii="Cambria Math" w:hAnsi="Cambria Math"/>
                        <w:sz w:val="20"/>
                        <w:szCs w:val="20"/>
                        <w:lang w:val="es-MX"/>
                      </w:rPr>
                      <m:t>m</m:t>
                    </m:r>
                  </m:e>
                  <m:sup>
                    <m:r>
                      <m:rPr>
                        <m:sty m:val="p"/>
                      </m:rPr>
                      <w:rPr>
                        <w:rFonts w:ascii="Cambria Math" w:hAnsi="Cambria Math"/>
                        <w:sz w:val="20"/>
                        <w:szCs w:val="20"/>
                        <w:lang w:val="es-MX"/>
                      </w:rPr>
                      <m:t>2</m:t>
                    </m:r>
                  </m:sup>
                </m:sSup>
              </m:oMath>
            </m:oMathPara>
          </w:p>
        </w:tc>
      </w:tr>
      <w:tr w:rsidR="00233599" w:rsidRPr="009C2BD9" w:rsidTr="007F2707">
        <w:trPr>
          <w:trHeight w:val="109"/>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1345E4" w:rsidP="007F2707">
            <w:pPr>
              <w:jc w:val="center"/>
              <w:rPr>
                <w:iCs/>
                <w:sz w:val="20"/>
                <w:szCs w:val="20"/>
                <w:lang w:val="es-MX"/>
              </w:rPr>
            </w:pPr>
            <m:oMathPara>
              <m:oMath>
                <m:sSub>
                  <m:sSubPr>
                    <m:ctrlPr>
                      <w:rPr>
                        <w:rFonts w:ascii="Cambria Math" w:hAnsi="Cambria Math"/>
                        <w:iCs/>
                        <w:sz w:val="20"/>
                        <w:szCs w:val="20"/>
                        <w:lang w:val="en-US"/>
                      </w:rPr>
                    </m:ctrlPr>
                  </m:sSubPr>
                  <m:e>
                    <m:r>
                      <m:rPr>
                        <m:nor/>
                      </m:rPr>
                      <w:rPr>
                        <w:iCs/>
                        <w:sz w:val="20"/>
                        <w:szCs w:val="20"/>
                        <w:lang w:val="en-US"/>
                      </w:rPr>
                      <m:t>D</m:t>
                    </m:r>
                  </m:e>
                  <m:sub>
                    <m:r>
                      <m:rPr>
                        <m:nor/>
                      </m:rPr>
                      <w:rPr>
                        <w:iCs/>
                        <w:sz w:val="20"/>
                        <w:szCs w:val="20"/>
                        <w:lang w:val="en-US"/>
                      </w:rPr>
                      <m:t>h</m:t>
                    </m:r>
                  </m:sub>
                </m:sSub>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Diámetro hidráulico</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sty m:val="p"/>
                  </m:rPr>
                  <w:rPr>
                    <w:rFonts w:ascii="Cambria Math" w:hAnsi="Cambria Math"/>
                    <w:sz w:val="20"/>
                    <w:szCs w:val="20"/>
                    <w:lang w:val="es-MX"/>
                  </w:rPr>
                  <m:t>m</m:t>
                </m:r>
              </m:oMath>
            </m:oMathPara>
          </w:p>
        </w:tc>
      </w:tr>
      <w:tr w:rsidR="00233599" w:rsidRPr="009C2BD9" w:rsidTr="007F2707">
        <w:trPr>
          <w:trHeight w:val="55"/>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w:r w:rsidRPr="00FD51BF">
              <w:rPr>
                <w:bCs/>
                <w:iCs/>
                <w:sz w:val="20"/>
                <w:szCs w:val="20"/>
                <w:lang w:val="es-MX"/>
              </w:rPr>
              <w:t>T</w:t>
            </w:r>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Temperatura</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w:r w:rsidRPr="00FD51BF">
              <w:rPr>
                <w:iCs/>
                <w:sz w:val="20"/>
                <w:szCs w:val="20"/>
                <w:lang w:val="es-MX"/>
              </w:rPr>
              <w:t>K</w:t>
            </w:r>
          </w:p>
        </w:tc>
      </w:tr>
      <w:tr w:rsidR="00233599" w:rsidRPr="009C2BD9" w:rsidTr="007F2707">
        <w:trPr>
          <w:trHeight w:val="55"/>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1345E4" w:rsidP="007F2707">
            <w:pPr>
              <w:jc w:val="center"/>
              <w:rPr>
                <w:iCs/>
                <w:sz w:val="20"/>
                <w:szCs w:val="20"/>
                <w:lang w:val="es-MX"/>
              </w:rPr>
            </w:pPr>
            <m:oMathPara>
              <m:oMath>
                <m:sSub>
                  <m:sSubPr>
                    <m:ctrlPr>
                      <w:rPr>
                        <w:rFonts w:ascii="Cambria Math" w:hAnsi="Cambria Math"/>
                        <w:iCs/>
                        <w:sz w:val="20"/>
                        <w:szCs w:val="20"/>
                        <w:lang w:val="en-US"/>
                      </w:rPr>
                    </m:ctrlPr>
                  </m:sSubPr>
                  <m:e>
                    <m:r>
                      <m:rPr>
                        <m:nor/>
                      </m:rPr>
                      <w:rPr>
                        <w:iCs/>
                        <w:sz w:val="20"/>
                        <w:szCs w:val="20"/>
                        <w:lang w:val="en-US"/>
                      </w:rPr>
                      <m:t>v</m:t>
                    </m:r>
                  </m:e>
                  <m:sub>
                    <m:r>
                      <m:rPr>
                        <m:nor/>
                      </m:rPr>
                      <w:rPr>
                        <w:iCs/>
                        <w:sz w:val="20"/>
                        <w:szCs w:val="20"/>
                        <w:lang w:val="en-US"/>
                      </w:rPr>
                      <m:t>m</m:t>
                    </m:r>
                  </m:sub>
                </m:sSub>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Velocidad medía en el espacio anular</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w:r w:rsidRPr="00FD51BF">
              <w:rPr>
                <w:iCs/>
                <w:sz w:val="20"/>
                <w:szCs w:val="20"/>
                <w:lang w:val="es-MX"/>
              </w:rPr>
              <w:t>m/s</w:t>
            </w:r>
          </w:p>
        </w:tc>
      </w:tr>
      <w:tr w:rsidR="00233599" w:rsidRPr="009C2BD9" w:rsidTr="007F2707">
        <w:trPr>
          <w:trHeight w:val="139"/>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m:oMathPara>
              <m:oMath>
                <m:r>
                  <m:rPr>
                    <m:nor/>
                  </m:rPr>
                  <w:rPr>
                    <w:iCs/>
                    <w:sz w:val="20"/>
                    <w:szCs w:val="20"/>
                    <w:lang w:val="en-US"/>
                  </w:rPr>
                  <m:t>f</m:t>
                </m:r>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Factor de fricción</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w:r w:rsidRPr="00FD51BF">
              <w:rPr>
                <w:iCs/>
                <w:sz w:val="20"/>
                <w:szCs w:val="20"/>
                <w:lang w:val="es-MX"/>
              </w:rPr>
              <w:t>-</w:t>
            </w:r>
          </w:p>
        </w:tc>
      </w:tr>
      <w:tr w:rsidR="00233599" w:rsidRPr="009C2BD9" w:rsidTr="007F2707">
        <w:trPr>
          <w:trHeight w:val="85"/>
          <w:jc w:val="center"/>
        </w:trPr>
        <w:tc>
          <w:tcPr>
            <w:tcW w:w="1131"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n-US"/>
              </w:rPr>
            </w:pPr>
            <m:oMathPara>
              <m:oMath>
                <m:r>
                  <m:rPr>
                    <m:nor/>
                  </m:rPr>
                  <w:rPr>
                    <w:iCs/>
                    <w:sz w:val="20"/>
                    <w:szCs w:val="20"/>
                    <w:lang w:val="en-US"/>
                  </w:rPr>
                  <m:t>Re</m:t>
                </m:r>
              </m:oMath>
            </m:oMathPara>
          </w:p>
        </w:tc>
        <w:tc>
          <w:tcPr>
            <w:tcW w:w="4111"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Número de Reynolds</w:t>
            </w:r>
          </w:p>
        </w:tc>
        <w:tc>
          <w:tcPr>
            <w:tcW w:w="992" w:type="dxa"/>
            <w:tcBorders>
              <w:top w:val="single" w:sz="2" w:space="0" w:color="auto"/>
              <w:left w:val="single" w:sz="2" w:space="0" w:color="auto"/>
              <w:bottom w:val="single" w:sz="2" w:space="0" w:color="auto"/>
              <w:right w:val="single" w:sz="2" w:space="0" w:color="auto"/>
            </w:tcBorders>
            <w:vAlign w:val="center"/>
            <w:hideMark/>
          </w:tcPr>
          <w:p w:rsidR="00233599" w:rsidRPr="00FD51BF" w:rsidRDefault="00233599" w:rsidP="007F2707">
            <w:pPr>
              <w:jc w:val="center"/>
              <w:rPr>
                <w:iCs/>
                <w:sz w:val="20"/>
                <w:szCs w:val="20"/>
                <w:lang w:val="es-MX"/>
              </w:rPr>
            </w:pPr>
            <w:r w:rsidRPr="00FD51BF">
              <w:rPr>
                <w:iCs/>
                <w:sz w:val="20"/>
                <w:szCs w:val="20"/>
                <w:lang w:val="es-MX"/>
              </w:rPr>
              <w:t>-</w:t>
            </w:r>
          </w:p>
        </w:tc>
      </w:tr>
    </w:tbl>
    <w:p w:rsidR="00233599" w:rsidRPr="003357C9" w:rsidRDefault="00233599" w:rsidP="00233599">
      <w:pPr>
        <w:pStyle w:val="Tablasyfiguras"/>
        <w:jc w:val="left"/>
        <w:rPr>
          <w:noProof/>
          <w:sz w:val="24"/>
          <w:szCs w:val="24"/>
        </w:rPr>
      </w:pPr>
    </w:p>
    <w:p w:rsidR="00233599" w:rsidRPr="007B0563" w:rsidRDefault="00233599" w:rsidP="00233599">
      <w:pPr>
        <w:pStyle w:val="Tablasyfiguras"/>
        <w:rPr>
          <w:noProof/>
        </w:rPr>
      </w:pPr>
      <w:r w:rsidRPr="007B0563">
        <w:rPr>
          <w:noProof/>
        </w:rPr>
        <w:t>Tabla 2. Subíndices</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418"/>
        <w:gridCol w:w="1848"/>
        <w:gridCol w:w="1848"/>
        <w:gridCol w:w="1848"/>
      </w:tblGrid>
      <w:tr w:rsidR="00233599" w:rsidRPr="009C2BD9" w:rsidTr="007F2707">
        <w:trPr>
          <w:cantSplit/>
          <w:trHeight w:val="240"/>
          <w:tblHeader/>
          <w:jc w:val="center"/>
        </w:trPr>
        <w:tc>
          <w:tcPr>
            <w:tcW w:w="1418" w:type="dxa"/>
            <w:tcBorders>
              <w:top w:val="single" w:sz="2" w:space="0" w:color="auto"/>
              <w:left w:val="single" w:sz="2" w:space="0" w:color="auto"/>
              <w:bottom w:val="single" w:sz="2" w:space="0" w:color="auto"/>
              <w:right w:val="single" w:sz="2" w:space="0" w:color="auto"/>
            </w:tcBorders>
            <w:vAlign w:val="center"/>
            <w:hideMark/>
          </w:tcPr>
          <w:p w:rsidR="00233599" w:rsidRPr="00451C6C" w:rsidRDefault="00233599" w:rsidP="007F2707">
            <w:pPr>
              <w:pStyle w:val="TextoTabla"/>
              <w:rPr>
                <w:b/>
                <w:bCs/>
              </w:rPr>
            </w:pPr>
            <w:r w:rsidRPr="00451C6C">
              <w:rPr>
                <w:b/>
                <w:bCs/>
              </w:rPr>
              <w:t>Prefijo</w:t>
            </w:r>
          </w:p>
        </w:tc>
        <w:tc>
          <w:tcPr>
            <w:tcW w:w="1848" w:type="dxa"/>
            <w:tcBorders>
              <w:top w:val="single" w:sz="2" w:space="0" w:color="auto"/>
              <w:left w:val="single" w:sz="2" w:space="0" w:color="auto"/>
              <w:bottom w:val="single" w:sz="2" w:space="0" w:color="auto"/>
              <w:right w:val="single" w:sz="2" w:space="0" w:color="auto"/>
            </w:tcBorders>
            <w:vAlign w:val="center"/>
            <w:hideMark/>
          </w:tcPr>
          <w:p w:rsidR="00233599" w:rsidRPr="00451C6C" w:rsidRDefault="00233599" w:rsidP="007F2707">
            <w:pPr>
              <w:pStyle w:val="TextoTabla"/>
              <w:rPr>
                <w:b/>
                <w:bCs/>
                <w:iCs/>
              </w:rPr>
            </w:pPr>
            <w:r w:rsidRPr="00451C6C">
              <w:rPr>
                <w:b/>
                <w:bCs/>
                <w:iCs/>
              </w:rPr>
              <w:t>Descripción</w:t>
            </w:r>
          </w:p>
        </w:tc>
        <w:tc>
          <w:tcPr>
            <w:tcW w:w="1848" w:type="dxa"/>
            <w:tcBorders>
              <w:top w:val="single" w:sz="2" w:space="0" w:color="auto"/>
              <w:left w:val="single" w:sz="2" w:space="0" w:color="auto"/>
              <w:bottom w:val="single" w:sz="2" w:space="0" w:color="auto"/>
              <w:right w:val="single" w:sz="2" w:space="0" w:color="auto"/>
            </w:tcBorders>
          </w:tcPr>
          <w:p w:rsidR="00233599" w:rsidRPr="00451C6C" w:rsidRDefault="00233599" w:rsidP="007F2707">
            <w:pPr>
              <w:pStyle w:val="TextoTabla"/>
              <w:rPr>
                <w:b/>
                <w:bCs/>
                <w:iCs/>
              </w:rPr>
            </w:pPr>
            <w:r>
              <w:rPr>
                <w:b/>
                <w:bCs/>
                <w:iCs/>
              </w:rPr>
              <w:t>Prefijo</w:t>
            </w:r>
          </w:p>
        </w:tc>
        <w:tc>
          <w:tcPr>
            <w:tcW w:w="1848" w:type="dxa"/>
            <w:tcBorders>
              <w:top w:val="single" w:sz="2" w:space="0" w:color="auto"/>
              <w:left w:val="single" w:sz="2" w:space="0" w:color="auto"/>
              <w:bottom w:val="single" w:sz="2" w:space="0" w:color="auto"/>
              <w:right w:val="single" w:sz="2" w:space="0" w:color="auto"/>
            </w:tcBorders>
          </w:tcPr>
          <w:p w:rsidR="00233599" w:rsidRPr="00451C6C" w:rsidRDefault="00233599" w:rsidP="007F2707">
            <w:pPr>
              <w:pStyle w:val="TextoTabla"/>
              <w:rPr>
                <w:b/>
                <w:bCs/>
                <w:iCs/>
              </w:rPr>
            </w:pPr>
            <w:r>
              <w:rPr>
                <w:b/>
                <w:bCs/>
                <w:iCs/>
              </w:rPr>
              <w:t>Descripción</w:t>
            </w:r>
          </w:p>
        </w:tc>
      </w:tr>
      <w:tr w:rsidR="00233599" w:rsidRPr="009C2BD9" w:rsidTr="007F2707">
        <w:trPr>
          <w:trHeight w:val="101"/>
          <w:jc w:val="center"/>
        </w:trPr>
        <w:tc>
          <w:tcPr>
            <w:tcW w:w="1418"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jc w:val="center"/>
              <w:rPr>
                <w:i/>
                <w:sz w:val="20"/>
                <w:szCs w:val="20"/>
                <w:lang w:val="es-MX"/>
              </w:rPr>
            </w:pPr>
            <m:oMathPara>
              <m:oMath>
                <m:r>
                  <w:rPr>
                    <w:rFonts w:ascii="Cambria Math" w:hAnsi="Cambria Math"/>
                    <w:sz w:val="20"/>
                    <w:szCs w:val="20"/>
                    <w:lang w:val="es-MX"/>
                  </w:rPr>
                  <m:t>c</m:t>
                </m:r>
              </m:oMath>
            </m:oMathPara>
          </w:p>
        </w:tc>
        <w:tc>
          <w:tcPr>
            <w:tcW w:w="1848"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Agua fría</w:t>
            </w:r>
          </w:p>
        </w:tc>
        <w:tc>
          <w:tcPr>
            <w:tcW w:w="1848" w:type="dxa"/>
            <w:tcBorders>
              <w:top w:val="single" w:sz="2" w:space="0" w:color="auto"/>
              <w:left w:val="single" w:sz="2" w:space="0" w:color="auto"/>
              <w:bottom w:val="single" w:sz="2" w:space="0" w:color="auto"/>
              <w:right w:val="single" w:sz="2" w:space="0" w:color="auto"/>
            </w:tcBorders>
            <w:vAlign w:val="center"/>
          </w:tcPr>
          <w:p w:rsidR="00233599" w:rsidRPr="009C2BD9" w:rsidRDefault="00233599" w:rsidP="007F2707">
            <w:pPr>
              <w:jc w:val="center"/>
              <w:rPr>
                <w:i/>
                <w:sz w:val="20"/>
                <w:szCs w:val="20"/>
                <w:lang w:val="es-MX"/>
              </w:rPr>
            </w:pPr>
            <m:oMathPara>
              <m:oMath>
                <m:r>
                  <w:rPr>
                    <w:rFonts w:ascii="Cambria Math" w:hAnsi="Cambria Math"/>
                    <w:sz w:val="20"/>
                    <w:szCs w:val="20"/>
                    <w:lang w:val="es-MX"/>
                  </w:rPr>
                  <m:t>o</m:t>
                </m:r>
              </m:oMath>
            </m:oMathPara>
          </w:p>
        </w:tc>
        <w:tc>
          <w:tcPr>
            <w:tcW w:w="1848" w:type="dxa"/>
            <w:tcBorders>
              <w:top w:val="single" w:sz="2" w:space="0" w:color="auto"/>
              <w:left w:val="single" w:sz="2" w:space="0" w:color="auto"/>
              <w:bottom w:val="single" w:sz="2" w:space="0" w:color="auto"/>
              <w:right w:val="single" w:sz="2" w:space="0" w:color="auto"/>
            </w:tcBorders>
            <w:vAlign w:val="center"/>
          </w:tcPr>
          <w:p w:rsidR="00233599" w:rsidRPr="009C2BD9" w:rsidRDefault="00233599" w:rsidP="007F2707">
            <w:pPr>
              <w:pStyle w:val="TextoTabla"/>
            </w:pPr>
            <w:r w:rsidRPr="009C2BD9">
              <w:t>Externo</w:t>
            </w:r>
          </w:p>
        </w:tc>
      </w:tr>
      <w:tr w:rsidR="00233599" w:rsidRPr="009C2BD9" w:rsidTr="007F2707">
        <w:trPr>
          <w:trHeight w:val="68"/>
          <w:jc w:val="center"/>
        </w:trPr>
        <w:tc>
          <w:tcPr>
            <w:tcW w:w="1418"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jc w:val="center"/>
              <w:rPr>
                <w:i/>
                <w:sz w:val="20"/>
                <w:szCs w:val="20"/>
                <w:lang w:val="es-MX"/>
              </w:rPr>
            </w:pPr>
            <m:oMathPara>
              <m:oMath>
                <m:r>
                  <w:rPr>
                    <w:rFonts w:ascii="Cambria Math" w:hAnsi="Cambria Math"/>
                    <w:sz w:val="20"/>
                    <w:szCs w:val="20"/>
                    <w:lang w:val="es-MX"/>
                  </w:rPr>
                  <m:t>h</m:t>
                </m:r>
              </m:oMath>
            </m:oMathPara>
          </w:p>
        </w:tc>
        <w:tc>
          <w:tcPr>
            <w:tcW w:w="1848"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Agua caliente</w:t>
            </w:r>
          </w:p>
        </w:tc>
        <w:tc>
          <w:tcPr>
            <w:tcW w:w="1848" w:type="dxa"/>
            <w:tcBorders>
              <w:top w:val="single" w:sz="2" w:space="0" w:color="auto"/>
              <w:left w:val="single" w:sz="2" w:space="0" w:color="auto"/>
              <w:bottom w:val="single" w:sz="2" w:space="0" w:color="auto"/>
              <w:right w:val="single" w:sz="2" w:space="0" w:color="auto"/>
            </w:tcBorders>
            <w:vAlign w:val="center"/>
          </w:tcPr>
          <w:p w:rsidR="00233599" w:rsidRPr="009C2BD9" w:rsidRDefault="00233599" w:rsidP="007F2707">
            <w:pPr>
              <w:jc w:val="center"/>
              <w:rPr>
                <w:sz w:val="20"/>
                <w:szCs w:val="20"/>
                <w:lang w:val="es-MX"/>
              </w:rPr>
            </w:pPr>
            <w:r w:rsidRPr="009C2BD9">
              <w:rPr>
                <w:sz w:val="20"/>
                <w:szCs w:val="20"/>
                <w:lang w:val="es-MX"/>
              </w:rPr>
              <w:t>Cu</w:t>
            </w:r>
          </w:p>
        </w:tc>
        <w:tc>
          <w:tcPr>
            <w:tcW w:w="1848" w:type="dxa"/>
            <w:tcBorders>
              <w:top w:val="single" w:sz="2" w:space="0" w:color="auto"/>
              <w:left w:val="single" w:sz="2" w:space="0" w:color="auto"/>
              <w:bottom w:val="single" w:sz="2" w:space="0" w:color="auto"/>
              <w:right w:val="single" w:sz="2" w:space="0" w:color="auto"/>
            </w:tcBorders>
            <w:vAlign w:val="center"/>
          </w:tcPr>
          <w:p w:rsidR="00233599" w:rsidRPr="009C2BD9" w:rsidRDefault="00233599" w:rsidP="007F2707">
            <w:pPr>
              <w:pStyle w:val="TextoTabla"/>
            </w:pPr>
            <w:r w:rsidRPr="009C2BD9">
              <w:t>Cobre</w:t>
            </w:r>
          </w:p>
        </w:tc>
      </w:tr>
      <w:tr w:rsidR="00233599" w:rsidRPr="009C2BD9" w:rsidTr="007F2707">
        <w:trPr>
          <w:trHeight w:val="121"/>
          <w:jc w:val="center"/>
        </w:trPr>
        <w:tc>
          <w:tcPr>
            <w:tcW w:w="1418" w:type="dxa"/>
            <w:tcBorders>
              <w:top w:val="single" w:sz="2" w:space="0" w:color="auto"/>
              <w:left w:val="single" w:sz="2" w:space="0" w:color="auto"/>
              <w:bottom w:val="single" w:sz="2" w:space="0" w:color="auto"/>
              <w:right w:val="single" w:sz="2" w:space="0" w:color="auto"/>
            </w:tcBorders>
            <w:vAlign w:val="center"/>
            <w:hideMark/>
          </w:tcPr>
          <w:p w:rsidR="00233599" w:rsidRPr="00170D8C" w:rsidRDefault="00233599" w:rsidP="007F2707">
            <w:pPr>
              <w:jc w:val="center"/>
              <w:rPr>
                <w:i/>
                <w:sz w:val="20"/>
                <w:szCs w:val="20"/>
                <w:lang w:val="es-MX"/>
              </w:rPr>
            </w:pPr>
            <m:oMathPara>
              <m:oMathParaPr>
                <m:jc m:val="center"/>
              </m:oMathParaPr>
              <m:oMath>
                <m:r>
                  <w:rPr>
                    <w:rFonts w:ascii="Cambria Math" w:hAnsi="Cambria Math"/>
                    <w:sz w:val="20"/>
                    <w:szCs w:val="20"/>
                    <w:lang w:val="es-MX"/>
                  </w:rPr>
                  <m:t>i</m:t>
                </m:r>
              </m:oMath>
            </m:oMathPara>
          </w:p>
        </w:tc>
        <w:tc>
          <w:tcPr>
            <w:tcW w:w="1848" w:type="dxa"/>
            <w:tcBorders>
              <w:top w:val="single" w:sz="2" w:space="0" w:color="auto"/>
              <w:left w:val="single" w:sz="2" w:space="0" w:color="auto"/>
              <w:bottom w:val="single" w:sz="2" w:space="0" w:color="auto"/>
              <w:right w:val="single" w:sz="2" w:space="0" w:color="auto"/>
            </w:tcBorders>
            <w:vAlign w:val="center"/>
            <w:hideMark/>
          </w:tcPr>
          <w:p w:rsidR="00233599" w:rsidRPr="009C2BD9" w:rsidRDefault="00233599" w:rsidP="007F2707">
            <w:pPr>
              <w:pStyle w:val="TextoTabla"/>
            </w:pPr>
            <w:r w:rsidRPr="009C2BD9">
              <w:t>Interno</w:t>
            </w:r>
          </w:p>
        </w:tc>
        <w:tc>
          <w:tcPr>
            <w:tcW w:w="1848" w:type="dxa"/>
            <w:tcBorders>
              <w:top w:val="single" w:sz="2" w:space="0" w:color="auto"/>
              <w:left w:val="single" w:sz="2" w:space="0" w:color="auto"/>
              <w:bottom w:val="single" w:sz="2" w:space="0" w:color="auto"/>
              <w:right w:val="single" w:sz="2" w:space="0" w:color="auto"/>
            </w:tcBorders>
          </w:tcPr>
          <w:p w:rsidR="00233599" w:rsidRPr="009C2BD9" w:rsidRDefault="00233599" w:rsidP="007F2707">
            <w:pPr>
              <w:pStyle w:val="TextoTabla"/>
            </w:pPr>
          </w:p>
        </w:tc>
        <w:tc>
          <w:tcPr>
            <w:tcW w:w="1848" w:type="dxa"/>
            <w:tcBorders>
              <w:top w:val="single" w:sz="2" w:space="0" w:color="auto"/>
              <w:left w:val="single" w:sz="2" w:space="0" w:color="auto"/>
              <w:bottom w:val="single" w:sz="2" w:space="0" w:color="auto"/>
              <w:right w:val="single" w:sz="2" w:space="0" w:color="auto"/>
            </w:tcBorders>
          </w:tcPr>
          <w:p w:rsidR="00233599" w:rsidRPr="009C2BD9" w:rsidRDefault="00233599" w:rsidP="007F2707">
            <w:pPr>
              <w:pStyle w:val="TextoTabla"/>
            </w:pPr>
          </w:p>
        </w:tc>
      </w:tr>
    </w:tbl>
    <w:p w:rsidR="00233599" w:rsidRDefault="00233599" w:rsidP="00390F7C">
      <w:pPr>
        <w:pStyle w:val="1Titulo"/>
        <w:numPr>
          <w:ilvl w:val="3"/>
          <w:numId w:val="43"/>
        </w:numPr>
      </w:pPr>
      <w:bookmarkStart w:id="290" w:name="_Toc50031362"/>
      <w:r>
        <w:rPr>
          <w:caps/>
        </w:rPr>
        <w:t>P</w:t>
      </w:r>
      <w:r>
        <w:t>lanteamiento y solución del problema</w:t>
      </w:r>
      <w:bookmarkEnd w:id="290"/>
    </w:p>
    <w:p w:rsidR="00233599" w:rsidRPr="009C2BD9" w:rsidRDefault="00233599" w:rsidP="00233599">
      <w:pPr>
        <w:pStyle w:val="11Ttulo"/>
        <w:numPr>
          <w:ilvl w:val="0"/>
          <w:numId w:val="0"/>
        </w:numPr>
        <w:ind w:left="720" w:hanging="720"/>
      </w:pPr>
      <w:r>
        <w:t>3.1 Modelos físicos</w:t>
      </w:r>
    </w:p>
    <w:p w:rsidR="00233599" w:rsidRPr="00F41610" w:rsidRDefault="00233599" w:rsidP="00233599">
      <w:pPr>
        <w:pStyle w:val="TextoPrincipalV2"/>
      </w:pPr>
      <w:r w:rsidRPr="00FD51BF">
        <w:t>Los modelos de ICTDTL, ICTDAL e ICTDAH por simular poseen las mismas longitudes y diámetros, cambiando únicamente la geometría del tubo aletado. Esto asegura la obtención de resultados consistentes, Figura 1</w:t>
      </w:r>
      <w:r>
        <w:t>a y 1b</w:t>
      </w:r>
      <w:r w:rsidRPr="00FD51BF">
        <w:t xml:space="preserve">. Los intercambiadores de calor se conforman de un tubo exterior con conexiones tipo T acopladas en sus extremos y un tubo interior que sobresale. La longitud del tubo exterior con las conexiones es de </w:t>
      </w:r>
      <w:bookmarkStart w:id="291" w:name="OLE_LINK16"/>
      <w:bookmarkStart w:id="292" w:name="OLE_LINK15"/>
      <w:bookmarkStart w:id="293" w:name="OLE_LINK14"/>
      <w:bookmarkStart w:id="294" w:name="OLE_LINK13"/>
      <w:bookmarkStart w:id="295" w:name="OLE_LINK12"/>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1</m:t>
            </m:r>
          </m:sub>
        </m:sSub>
        <m:r>
          <m:rPr>
            <m:sty m:val="p"/>
          </m:rPr>
          <w:rPr>
            <w:rFonts w:ascii="Cambria Math" w:hAnsi="Cambria Math"/>
          </w:rPr>
          <m:t>=1470 mm</m:t>
        </m:r>
      </m:oMath>
      <w:r w:rsidRPr="00FD51BF">
        <w:t xml:space="preserve"> </w:t>
      </w:r>
      <w:bookmarkEnd w:id="291"/>
      <w:bookmarkEnd w:id="292"/>
      <w:bookmarkEnd w:id="293"/>
      <w:bookmarkEnd w:id="294"/>
      <w:bookmarkEnd w:id="295"/>
      <w:r w:rsidRPr="00FD51BF">
        <w:t xml:space="preserve">y del tubo interior es </w:t>
      </w:r>
      <w:bookmarkStart w:id="296" w:name="OLE_LINK32"/>
      <w:bookmarkStart w:id="297" w:name="OLE_LINK31"/>
      <w:bookmarkStart w:id="298" w:name="OLE_LINK30"/>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2</m:t>
            </m:r>
          </m:sub>
        </m:sSub>
        <m:r>
          <m:rPr>
            <m:sty m:val="p"/>
          </m:rPr>
          <w:rPr>
            <w:rFonts w:ascii="Cambria Math" w:hAnsi="Cambria Math"/>
          </w:rPr>
          <m:t>=1550 mm</m:t>
        </m:r>
      </m:oMath>
      <w:bookmarkEnd w:id="296"/>
      <w:bookmarkEnd w:id="297"/>
      <w:bookmarkEnd w:id="298"/>
      <w:r w:rsidRPr="00FD51BF">
        <w:t xml:space="preserve">. La longitud entre los centros de la entrada y salida de la coraza es </w:t>
      </w:r>
      <w:bookmarkStart w:id="299" w:name="OLE_LINK36"/>
      <w:bookmarkStart w:id="300" w:name="OLE_LINK35"/>
      <w:bookmarkStart w:id="301" w:name="OLE_LINK33"/>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3</m:t>
            </m:r>
          </m:sub>
        </m:sSub>
        <m:r>
          <m:rPr>
            <m:sty m:val="p"/>
          </m:rPr>
          <w:rPr>
            <w:rFonts w:ascii="Cambria Math" w:hAnsi="Cambria Math"/>
          </w:rPr>
          <m:t>=1298 mm</m:t>
        </m:r>
      </m:oMath>
      <w:bookmarkEnd w:id="299"/>
      <w:bookmarkEnd w:id="300"/>
      <w:bookmarkEnd w:id="301"/>
      <w:r w:rsidRPr="00FD51BF">
        <w:t xml:space="preserve">. El diámetro externo del tubo interior es de </w:t>
      </w:r>
      <w:bookmarkStart w:id="302" w:name="OLE_LINK23"/>
      <w:bookmarkStart w:id="303" w:name="OLE_LINK22"/>
      <w:bookmarkStart w:id="304" w:name="OLE_LINK21"/>
      <m:oMath>
        <m:sSub>
          <m:sSubPr>
            <m:ctrlPr>
              <w:rPr>
                <w:rFonts w:ascii="Cambria Math" w:hAnsi="Cambria Math"/>
              </w:rPr>
            </m:ctrlPr>
          </m:sSubPr>
          <m:e>
            <m:r>
              <m:rPr>
                <m:sty m:val="p"/>
              </m:rPr>
              <w:rPr>
                <w:rFonts w:ascii="Cambria Math" w:hAnsi="Cambria Math"/>
              </w:rPr>
              <m:t>D</m:t>
            </m:r>
          </m:e>
          <m:sub>
            <m:r>
              <m:rPr>
                <m:sty m:val="p"/>
              </m:rPr>
              <w:rPr>
                <w:rFonts w:ascii="Cambria Math" w:hAnsi="Cambria Math"/>
              </w:rPr>
              <m:t>1</m:t>
            </m:r>
          </m:sub>
        </m:sSub>
        <w:bookmarkEnd w:id="302"/>
        <w:bookmarkEnd w:id="303"/>
        <w:bookmarkEnd w:id="304"/>
        <m:r>
          <m:rPr>
            <m:sty m:val="p"/>
          </m:rPr>
          <w:rPr>
            <w:rFonts w:ascii="Cambria Math" w:hAnsi="Cambria Math"/>
          </w:rPr>
          <m:t>=28.57 mm</m:t>
        </m:r>
      </m:oMath>
      <w:r w:rsidRPr="00FD51BF">
        <w:t xml:space="preserve">. El diámetro interno del tubo exterior es </w:t>
      </w:r>
      <w:bookmarkStart w:id="305" w:name="OLE_LINK20"/>
      <w:bookmarkStart w:id="306" w:name="OLE_LINK19"/>
      <w:bookmarkStart w:id="307" w:name="OLE_LINK18"/>
      <w:bookmarkStart w:id="308" w:name="OLE_LINK17"/>
      <m:oMath>
        <m:sSub>
          <m:sSubPr>
            <m:ctrlPr>
              <w:rPr>
                <w:rFonts w:ascii="Cambria Math" w:hAnsi="Cambria Math"/>
              </w:rPr>
            </m:ctrlPr>
          </m:sSubPr>
          <m:e>
            <m:r>
              <m:rPr>
                <m:sty m:val="p"/>
              </m:rPr>
              <w:rPr>
                <w:rFonts w:ascii="Cambria Math" w:hAnsi="Cambria Math"/>
              </w:rPr>
              <m:t>D</m:t>
            </m:r>
          </m:e>
          <m:sub>
            <m:r>
              <m:rPr>
                <m:sty m:val="p"/>
              </m:rPr>
              <w:rPr>
                <w:rFonts w:ascii="Cambria Math" w:hAnsi="Cambria Math"/>
              </w:rPr>
              <m:t>2</m:t>
            </m:r>
          </m:sub>
        </m:sSub>
        <w:bookmarkEnd w:id="305"/>
        <w:bookmarkEnd w:id="306"/>
        <w:bookmarkEnd w:id="307"/>
        <w:bookmarkEnd w:id="308"/>
        <m:r>
          <m:rPr>
            <m:sty m:val="p"/>
          </m:rPr>
          <w:rPr>
            <w:rFonts w:ascii="Cambria Math" w:hAnsi="Cambria Math"/>
          </w:rPr>
          <m:t>=72.92 mm</m:t>
        </m:r>
      </m:oMath>
      <w:r w:rsidRPr="00FD51BF">
        <w:t xml:space="preserve"> y el diámetro </w:t>
      </w:r>
      <w:r w:rsidRPr="00FD51BF">
        <w:lastRenderedPageBreak/>
        <w:t xml:space="preserve">de las conexiones tipo T son igual al diámetro del tubo exterior. Las entradas y salidas tienen el mismo diámetro </w:t>
      </w:r>
      <w:bookmarkStart w:id="309" w:name="OLE_LINK29"/>
      <w:bookmarkStart w:id="310" w:name="OLE_LINK28"/>
      <w:bookmarkStart w:id="311" w:name="OLE_LINK27"/>
      <m:oMath>
        <m:sSub>
          <m:sSubPr>
            <m:ctrlPr>
              <w:rPr>
                <w:rFonts w:ascii="Cambria Math" w:hAnsi="Cambria Math"/>
              </w:rPr>
            </m:ctrlPr>
          </m:sSubPr>
          <m:e>
            <m:r>
              <m:rPr>
                <m:sty m:val="p"/>
              </m:rPr>
              <w:rPr>
                <w:rFonts w:ascii="Cambria Math" w:hAnsi="Cambria Math"/>
              </w:rPr>
              <m:t>D</m:t>
            </m:r>
          </m:e>
          <m:sub>
            <m:r>
              <m:rPr>
                <m:sty m:val="p"/>
              </m:rPr>
              <w:rPr>
                <w:rFonts w:ascii="Cambria Math" w:hAnsi="Cambria Math"/>
              </w:rPr>
              <m:t>3</m:t>
            </m:r>
          </m:sub>
        </m:sSub>
        <w:bookmarkEnd w:id="309"/>
        <w:bookmarkEnd w:id="310"/>
        <w:bookmarkEnd w:id="311"/>
        <m:r>
          <m:rPr>
            <m:sty m:val="p"/>
          </m:rPr>
          <w:rPr>
            <w:rFonts w:ascii="Cambria Math" w:hAnsi="Cambria Math"/>
          </w:rPr>
          <m:t>=28.57 mm.</m:t>
        </m:r>
      </m:oMath>
      <w:r w:rsidRPr="00FD51BF">
        <w:t xml:space="preserve"> Además, estas sobresalen una longitud de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5</m:t>
            </m:r>
          </m:sub>
        </m:sSub>
        <m:r>
          <m:rPr>
            <m:sty m:val="p"/>
          </m:rPr>
          <w:rPr>
            <w:rFonts w:ascii="Cambria Math" w:hAnsi="Cambria Math"/>
          </w:rPr>
          <m:t>=40 mm</m:t>
        </m:r>
      </m:oMath>
      <w:r w:rsidRPr="00FD51BF">
        <w:t>. En el ICTDTL, el tubo interior es totalmente liso.</w:t>
      </w:r>
      <w:r>
        <w:t xml:space="preserve"> </w:t>
      </w:r>
      <w:r w:rsidRPr="00FD51BF">
        <w:t>El ICTDAL</w:t>
      </w:r>
      <w:r>
        <w:t xml:space="preserve"> posee </w:t>
      </w:r>
      <w:r w:rsidRPr="00FD51BF">
        <w:t xml:space="preserve">16 aletas de perfil rectangular con longitud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4</m:t>
            </m:r>
          </m:sub>
        </m:sSub>
        <m:r>
          <m:rPr>
            <m:sty m:val="p"/>
          </m:rPr>
          <w:rPr>
            <w:rFonts w:ascii="Cambria Math" w:hAnsi="Cambria Math"/>
          </w:rPr>
          <m:t>=1000 mm</m:t>
        </m:r>
      </m:oMath>
      <w:r w:rsidRPr="00FD51BF">
        <w:t xml:space="preserve">, una altura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6</m:t>
            </m:r>
          </m:sub>
        </m:sSub>
        <m:r>
          <m:rPr>
            <m:sty m:val="p"/>
          </m:rPr>
          <w:rPr>
            <w:rFonts w:ascii="Cambria Math" w:hAnsi="Cambria Math"/>
          </w:rPr>
          <m:t>=15 mm</m:t>
        </m:r>
      </m:oMath>
      <w:r w:rsidRPr="00FD51BF">
        <w:t xml:space="preserve"> y distribuidas radialmente con un ángulo </w:t>
      </w:r>
      <m:oMath>
        <m:r>
          <m:rPr>
            <m:sty m:val="p"/>
          </m:rPr>
          <w:rPr>
            <w:rFonts w:ascii="Cambria Math" w:hAnsi="Cambria Math"/>
          </w:rPr>
          <m:t>θ=22.5°</m:t>
        </m:r>
      </m:oMath>
      <w:r>
        <w:t>, Figura 1c</w:t>
      </w:r>
      <w:r w:rsidRPr="00FD51BF">
        <w:t>. El ICTDAH posee una aleta helicoidal cuya longitu</w:t>
      </w:r>
      <w:r>
        <w:t>d</w:t>
      </w:r>
      <w:r w:rsidRPr="00FD51BF">
        <w:t xml:space="preserve"> es igual a las aletas longitudinales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4</m:t>
            </m:r>
          </m:sub>
        </m:sSub>
        <m:r>
          <m:rPr>
            <m:sty m:val="p"/>
          </m:rPr>
          <w:rPr>
            <w:rFonts w:ascii="Cambria Math" w:hAnsi="Cambria Math"/>
          </w:rPr>
          <m:t>=1000 mm</m:t>
        </m:r>
      </m:oMath>
      <w:r w:rsidRPr="00FD51BF">
        <w:t xml:space="preserve">, posee un paso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7</m:t>
            </m:r>
          </m:sub>
        </m:sSub>
        <m:r>
          <m:rPr>
            <m:sty m:val="p"/>
          </m:rPr>
          <w:rPr>
            <w:rFonts w:ascii="Cambria Math" w:hAnsi="Cambria Math"/>
          </w:rPr>
          <m:t>=25 mm</m:t>
        </m:r>
      </m:oMath>
      <w:r w:rsidRPr="00FD51BF">
        <w:t xml:space="preserve"> y una altura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8</m:t>
            </m:r>
          </m:sub>
        </m:sSub>
        <m:r>
          <m:rPr>
            <m:sty m:val="p"/>
          </m:rPr>
          <w:rPr>
            <w:rFonts w:ascii="Cambria Math" w:hAnsi="Cambria Math"/>
          </w:rPr>
          <m:t>=15 mm</m:t>
        </m:r>
      </m:oMath>
      <w:r w:rsidRPr="00FD51BF">
        <w:t xml:space="preserve">, Figura </w:t>
      </w:r>
      <w:r>
        <w:t>1d.</w:t>
      </w:r>
      <w:r w:rsidRPr="00FD51BF">
        <w:t xml:space="preserve"> Para las tres configuraciones, el espesor del tubo interior es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1</m:t>
            </m:r>
          </m:sub>
        </m:sSub>
        <m:r>
          <m:rPr>
            <m:sty m:val="p"/>
          </m:rPr>
          <w:rPr>
            <w:rFonts w:ascii="Cambria Math" w:hAnsi="Cambria Math"/>
          </w:rPr>
          <m:t>=1.65 mm</m:t>
        </m:r>
      </m:oMath>
      <w:r w:rsidRPr="00FD51BF">
        <w:t xml:space="preserve"> y las aletas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2</m:t>
            </m:r>
          </m:sub>
        </m:sSub>
        <m:r>
          <m:rPr>
            <m:sty m:val="p"/>
          </m:rPr>
          <w:rPr>
            <w:rFonts w:ascii="Cambria Math" w:hAnsi="Cambria Math"/>
          </w:rPr>
          <m:t>=0.651 mm</m:t>
        </m:r>
      </m:oMath>
      <w:r w:rsidRPr="00FD51BF">
        <w:t xml:space="preserve">. El material de la coraza, el tubo interior y las aletas es de acero, cobre y aluminio, respectivamente. La conductividad térmica del tubo de cobre es de </w:t>
      </w:r>
      <m:oMath>
        <m:sSub>
          <m:sSubPr>
            <m:ctrlPr>
              <w:rPr>
                <w:rFonts w:ascii="Cambria Math" w:hAnsi="Cambria Math"/>
              </w:rPr>
            </m:ctrlPr>
          </m:sSubPr>
          <m:e>
            <m:r>
              <m:rPr>
                <m:sty m:val="p"/>
              </m:rPr>
              <w:rPr>
                <w:rFonts w:ascii="Cambria Math" w:hAnsi="Cambria Math"/>
              </w:rPr>
              <m:t>κ</m:t>
            </m:r>
          </m:e>
          <m:sub>
            <m:r>
              <m:rPr>
                <m:sty m:val="p"/>
              </m:rPr>
              <w:rPr>
                <w:rFonts w:ascii="Cambria Math" w:hAnsi="Cambria Math"/>
              </w:rPr>
              <m:t>Cu</m:t>
            </m:r>
          </m:sub>
        </m:sSub>
        <m:r>
          <m:rPr>
            <m:sty m:val="p"/>
          </m:rPr>
          <w:rPr>
            <w:rFonts w:ascii="Cambria Math" w:hAnsi="Cambria Math"/>
          </w:rPr>
          <m:t>=339 W/m K</m:t>
        </m:r>
      </m:oMath>
      <w:r w:rsidRPr="00FD51BF">
        <w:t xml:space="preserve"> y del aluminio de</w:t>
      </w:r>
      <w:r>
        <w:t xml:space="preserve"> </w:t>
      </w:r>
      <m:oMath>
        <m:sSub>
          <m:sSubPr>
            <m:ctrlPr>
              <w:rPr>
                <w:rFonts w:ascii="Cambria Math" w:hAnsi="Cambria Math"/>
              </w:rPr>
            </m:ctrlPr>
          </m:sSubPr>
          <m:e>
            <m:r>
              <m:rPr>
                <m:sty m:val="p"/>
              </m:rPr>
              <w:rPr>
                <w:rFonts w:ascii="Cambria Math" w:hAnsi="Cambria Math"/>
              </w:rPr>
              <m:t>κ</m:t>
            </m:r>
          </m:e>
          <m:sub>
            <m:r>
              <m:rPr>
                <m:sty m:val="p"/>
              </m:rPr>
              <w:rPr>
                <w:rFonts w:ascii="Cambria Math" w:hAnsi="Cambria Math"/>
              </w:rPr>
              <m:t>Al</m:t>
            </m:r>
          </m:sub>
        </m:sSub>
        <m:r>
          <m:rPr>
            <m:sty m:val="p"/>
          </m:rPr>
          <w:rPr>
            <w:rFonts w:ascii="Cambria Math" w:hAnsi="Cambria Math"/>
          </w:rPr>
          <m:t>=137 W/m K</m:t>
        </m:r>
      </m:oMath>
      <w:r w:rsidRPr="00F41610">
        <w:t>.</w:t>
      </w:r>
    </w:p>
    <w:p w:rsidR="00233599" w:rsidRDefault="00233599" w:rsidP="00233599">
      <w:pPr>
        <w:pStyle w:val="Textoindependiente"/>
        <w:rPr>
          <w:rFonts w:ascii="Arial" w:hAnsi="Arial" w:cs="Arial"/>
          <w:b w:val="0"/>
          <w:sz w:val="24"/>
          <w:lang w:val="es-MX"/>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1"/>
      </w:tblGrid>
      <w:tr w:rsidR="00233599" w:rsidRPr="00010769" w:rsidTr="007F2707">
        <w:trPr>
          <w:trHeight w:val="1885"/>
          <w:jc w:val="center"/>
        </w:trPr>
        <w:tc>
          <w:tcPr>
            <w:tcW w:w="9351" w:type="dxa"/>
            <w:hideMark/>
          </w:tcPr>
          <w:p w:rsidR="00233599" w:rsidRPr="00DF21A9" w:rsidRDefault="00233599" w:rsidP="007F2707">
            <w:pPr>
              <w:pStyle w:val="Textoindependiente"/>
              <w:jc w:val="center"/>
              <w:rPr>
                <w:rFonts w:ascii="Arial" w:hAnsi="Arial" w:cs="Arial"/>
                <w:b w:val="0"/>
                <w:bCs w:val="0"/>
                <w:sz w:val="20"/>
                <w:szCs w:val="18"/>
              </w:rPr>
            </w:pPr>
            <w:r w:rsidRPr="00DF21A9">
              <w:rPr>
                <w:rFonts w:ascii="Arial" w:hAnsi="Arial" w:cs="Arial"/>
                <w:b w:val="0"/>
                <w:bCs w:val="0"/>
                <w:noProof/>
                <w:sz w:val="20"/>
                <w:szCs w:val="18"/>
                <w:lang w:val="en-US"/>
              </w:rPr>
              <w:drawing>
                <wp:inline distT="0" distB="0" distL="0" distR="0" wp14:anchorId="68EA6CF1" wp14:editId="04624E4B">
                  <wp:extent cx="3087650" cy="1344152"/>
                  <wp:effectExtent l="0" t="0" r="0" b="8890"/>
                  <wp:docPr id="2026623720" name="Imagen 202662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177">
                            <a:extLst>
                              <a:ext uri="{28A0092B-C50C-407E-A947-70E740481C1C}">
                                <a14:useLocalDpi xmlns:a14="http://schemas.microsoft.com/office/drawing/2010/main" val="0"/>
                              </a:ext>
                            </a:extLst>
                          </a:blip>
                          <a:srcRect l="46309" t="37221" r="11571" b="30157"/>
                          <a:stretch>
                            <a:fillRect/>
                          </a:stretch>
                        </pic:blipFill>
                        <pic:spPr bwMode="auto">
                          <a:xfrm>
                            <a:off x="0" y="0"/>
                            <a:ext cx="3128843" cy="1362085"/>
                          </a:xfrm>
                          <a:prstGeom prst="rect">
                            <a:avLst/>
                          </a:prstGeom>
                          <a:noFill/>
                          <a:ln>
                            <a:noFill/>
                          </a:ln>
                        </pic:spPr>
                      </pic:pic>
                    </a:graphicData>
                  </a:graphic>
                </wp:inline>
              </w:drawing>
            </w:r>
            <w:r w:rsidRPr="00DF21A9">
              <w:rPr>
                <w:rFonts w:ascii="Arial" w:hAnsi="Arial" w:cs="Arial"/>
                <w:b w:val="0"/>
                <w:bCs w:val="0"/>
                <w:noProof/>
                <w:sz w:val="20"/>
                <w:szCs w:val="18"/>
                <w:lang w:val="en-US"/>
              </w:rPr>
              <w:drawing>
                <wp:inline distT="0" distB="0" distL="0" distR="0" wp14:anchorId="4A624692" wp14:editId="373A3923">
                  <wp:extent cx="1276350" cy="1276350"/>
                  <wp:effectExtent l="0" t="0" r="0" b="0"/>
                  <wp:docPr id="2026623721" name="Imagen 202662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177">
                            <a:extLst>
                              <a:ext uri="{28A0092B-C50C-407E-A947-70E740481C1C}">
                                <a14:useLocalDpi xmlns:a14="http://schemas.microsoft.com/office/drawing/2010/main" val="0"/>
                              </a:ext>
                            </a:extLst>
                          </a:blip>
                          <a:srcRect l="22385" t="42268" r="64337" b="33888"/>
                          <a:stretch>
                            <a:fillRect/>
                          </a:stretch>
                        </pic:blipFill>
                        <pic:spPr bwMode="auto">
                          <a:xfrm>
                            <a:off x="0" y="0"/>
                            <a:ext cx="1276350" cy="1276350"/>
                          </a:xfrm>
                          <a:prstGeom prst="rect">
                            <a:avLst/>
                          </a:prstGeom>
                          <a:noFill/>
                          <a:ln>
                            <a:noFill/>
                          </a:ln>
                        </pic:spPr>
                      </pic:pic>
                    </a:graphicData>
                  </a:graphic>
                </wp:inline>
              </w:drawing>
            </w:r>
            <w:r w:rsidRPr="00DF21A9">
              <w:rPr>
                <w:rFonts w:ascii="Arial" w:hAnsi="Arial" w:cs="Arial"/>
                <w:b w:val="0"/>
                <w:bCs w:val="0"/>
                <w:noProof/>
                <w:sz w:val="20"/>
                <w:szCs w:val="18"/>
                <w:lang w:val="en-US"/>
              </w:rPr>
              <w:drawing>
                <wp:inline distT="0" distB="0" distL="0" distR="0" wp14:anchorId="4FAED559" wp14:editId="013B84D0">
                  <wp:extent cx="1382233" cy="989646"/>
                  <wp:effectExtent l="0" t="0" r="8890" b="1270"/>
                  <wp:docPr id="2026623722" name="Imagen 202662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pic:cNvPicPr>
                            <a:picLocks noChangeAspect="1" noChangeArrowheads="1"/>
                          </pic:cNvPicPr>
                        </pic:nvPicPr>
                        <pic:blipFill>
                          <a:blip r:embed="rId1178">
                            <a:extLst>
                              <a:ext uri="{28A0092B-C50C-407E-A947-70E740481C1C}">
                                <a14:useLocalDpi xmlns:a14="http://schemas.microsoft.com/office/drawing/2010/main" val="0"/>
                              </a:ext>
                            </a:extLst>
                          </a:blip>
                          <a:srcRect l="35277" t="42027" r="40929" b="27785"/>
                          <a:stretch>
                            <a:fillRect/>
                          </a:stretch>
                        </pic:blipFill>
                        <pic:spPr bwMode="auto">
                          <a:xfrm>
                            <a:off x="0" y="0"/>
                            <a:ext cx="1384554" cy="991308"/>
                          </a:xfrm>
                          <a:prstGeom prst="rect">
                            <a:avLst/>
                          </a:prstGeom>
                          <a:noFill/>
                          <a:ln>
                            <a:noFill/>
                          </a:ln>
                        </pic:spPr>
                      </pic:pic>
                    </a:graphicData>
                  </a:graphic>
                </wp:inline>
              </w:drawing>
            </w:r>
          </w:p>
          <w:p w:rsidR="00233599" w:rsidRPr="00DF21A9" w:rsidRDefault="00233599" w:rsidP="00390F7C">
            <w:pPr>
              <w:pStyle w:val="Textoindependiente"/>
              <w:numPr>
                <w:ilvl w:val="0"/>
                <w:numId w:val="48"/>
              </w:numPr>
              <w:rPr>
                <w:rFonts w:ascii="Arial" w:hAnsi="Arial" w:cs="Arial"/>
                <w:b w:val="0"/>
                <w:bCs w:val="0"/>
                <w:sz w:val="20"/>
                <w:szCs w:val="18"/>
              </w:rPr>
            </w:pPr>
            <w:r>
              <w:rPr>
                <w:rFonts w:ascii="Arial" w:hAnsi="Arial" w:cs="Arial"/>
                <w:b w:val="0"/>
                <w:bCs w:val="0"/>
                <w:sz w:val="20"/>
                <w:szCs w:val="18"/>
              </w:rPr>
              <w:t xml:space="preserve">                                   </w:t>
            </w:r>
            <w:r w:rsidRPr="00DF21A9">
              <w:rPr>
                <w:rFonts w:ascii="Arial" w:hAnsi="Arial" w:cs="Arial"/>
                <w:b w:val="0"/>
                <w:bCs w:val="0"/>
                <w:sz w:val="20"/>
                <w:szCs w:val="18"/>
              </w:rPr>
              <w:t xml:space="preserve">(b) </w:t>
            </w:r>
            <w:r>
              <w:rPr>
                <w:rFonts w:ascii="Arial" w:hAnsi="Arial" w:cs="Arial"/>
                <w:b w:val="0"/>
                <w:bCs w:val="0"/>
                <w:sz w:val="20"/>
                <w:szCs w:val="18"/>
              </w:rPr>
              <w:t xml:space="preserve">         </w:t>
            </w:r>
            <w:r w:rsidRPr="00DF21A9">
              <w:rPr>
                <w:rFonts w:ascii="Arial" w:hAnsi="Arial" w:cs="Arial"/>
                <w:b w:val="0"/>
                <w:bCs w:val="0"/>
                <w:sz w:val="20"/>
                <w:szCs w:val="18"/>
              </w:rPr>
              <w:t xml:space="preserve">             (c)</w:t>
            </w:r>
            <w:r>
              <w:rPr>
                <w:rFonts w:ascii="Arial" w:hAnsi="Arial" w:cs="Arial"/>
                <w:b w:val="0"/>
                <w:bCs w:val="0"/>
                <w:sz w:val="20"/>
                <w:szCs w:val="18"/>
              </w:rPr>
              <w:t xml:space="preserve">                                  </w:t>
            </w:r>
            <w:r w:rsidRPr="00DF21A9">
              <w:rPr>
                <w:rFonts w:ascii="Arial" w:hAnsi="Arial" w:cs="Arial"/>
                <w:b w:val="0"/>
                <w:bCs w:val="0"/>
                <w:sz w:val="20"/>
                <w:szCs w:val="18"/>
              </w:rPr>
              <w:t xml:space="preserve"> (d)</w:t>
            </w:r>
          </w:p>
        </w:tc>
      </w:tr>
      <w:tr w:rsidR="00233599" w:rsidRPr="00010769" w:rsidTr="007F2707">
        <w:trPr>
          <w:trHeight w:val="299"/>
          <w:jc w:val="center"/>
        </w:trPr>
        <w:tc>
          <w:tcPr>
            <w:tcW w:w="9351" w:type="dxa"/>
            <w:hideMark/>
          </w:tcPr>
          <w:p w:rsidR="00233599" w:rsidRPr="00010769" w:rsidRDefault="00233599" w:rsidP="007F2707">
            <w:pPr>
              <w:pStyle w:val="Tablasyfiguras"/>
            </w:pPr>
            <w:r w:rsidRPr="00010769">
              <w:t>Figura 1.</w:t>
            </w:r>
            <w:r>
              <w:t xml:space="preserve"> C</w:t>
            </w:r>
            <w:r w:rsidRPr="00010769">
              <w:t>otas del intercambiador de calor de tubo doble</w:t>
            </w:r>
            <w:r>
              <w:t>: (a) vista frontal, (b)vista lateral, (c) tubo interior con aletas longitudinales y (d) tubo interior con aleta helicoidal</w:t>
            </w:r>
          </w:p>
        </w:tc>
      </w:tr>
    </w:tbl>
    <w:p w:rsidR="00233599" w:rsidRDefault="00233599" w:rsidP="00233599">
      <w:pPr>
        <w:pStyle w:val="TextoPrincipal"/>
      </w:pPr>
    </w:p>
    <w:p w:rsidR="00233599" w:rsidRDefault="00233599" w:rsidP="00233599">
      <w:pPr>
        <w:pStyle w:val="TextoPrincipalV2"/>
      </w:pPr>
      <w:r w:rsidRPr="00FD51BF">
        <w:t xml:space="preserve">Los ICTDs son sistemas agua-agua en configuración a contraflujo. El agua caliente ingresa al tubo interior con un flujo másico </w:t>
      </w:r>
      <m:oMath>
        <m:sSub>
          <m:sSubPr>
            <m:ctrlPr>
              <w:rPr>
                <w:rFonts w:ascii="Cambria Math" w:hAnsi="Cambria Math"/>
              </w:rPr>
            </m:ctrlPr>
          </m:sSubPr>
          <m:e>
            <m:acc>
              <m:accPr>
                <m:chr m:val="̇"/>
                <m:ctrlPr>
                  <w:rPr>
                    <w:rFonts w:ascii="Cambria Math" w:hAnsi="Cambria Math"/>
                  </w:rPr>
                </m:ctrlPr>
              </m:accPr>
              <m:e>
                <m:r>
                  <m:rPr>
                    <m:nor/>
                  </m:rPr>
                  <m:t>m</m:t>
                </m:r>
              </m:e>
            </m:acc>
          </m:e>
          <m:sub>
            <m:r>
              <m:rPr>
                <m:nor/>
              </m:rPr>
              <m:t>h</m:t>
            </m:r>
          </m:sub>
        </m:sSub>
      </m:oMath>
      <w:r w:rsidRPr="00FD51BF">
        <w:t xml:space="preserve"> y una temperatura </w:t>
      </w:r>
      <m:oMath>
        <m:sSub>
          <m:sSubPr>
            <m:ctrlPr>
              <w:rPr>
                <w:rFonts w:ascii="Cambria Math" w:hAnsi="Cambria Math"/>
              </w:rPr>
            </m:ctrlPr>
          </m:sSubPr>
          <m:e>
            <m:r>
              <m:rPr>
                <m:sty m:val="p"/>
              </m:rPr>
              <w:rPr>
                <w:rFonts w:ascii="Cambria Math" w:hAnsi="Cambria Math"/>
              </w:rPr>
              <m:t>T</m:t>
            </m:r>
          </m:e>
          <m:sub>
            <m:r>
              <m:rPr>
                <m:sty m:val="p"/>
              </m:rPr>
              <w:rPr>
                <w:rFonts w:ascii="Cambria Math" w:hAnsi="Cambria Math"/>
              </w:rPr>
              <m:t>h,i</m:t>
            </m:r>
          </m:sub>
        </m:sSub>
      </m:oMath>
      <w:r w:rsidRPr="00FD51BF">
        <w:t xml:space="preserve">. El agua fría ingresa al espacio anular con un flujo másico </w:t>
      </w:r>
      <m:oMath>
        <m:sSub>
          <m:sSubPr>
            <m:ctrlPr>
              <w:rPr>
                <w:rFonts w:ascii="Cambria Math" w:hAnsi="Cambria Math"/>
              </w:rPr>
            </m:ctrlPr>
          </m:sSubPr>
          <m:e>
            <m:acc>
              <m:accPr>
                <m:chr m:val="̇"/>
                <m:ctrlPr>
                  <w:rPr>
                    <w:rFonts w:ascii="Cambria Math" w:hAnsi="Cambria Math"/>
                  </w:rPr>
                </m:ctrlPr>
              </m:accPr>
              <m:e>
                <m:r>
                  <m:rPr>
                    <m:nor/>
                  </m:rPr>
                  <m:t>m</m:t>
                </m:r>
              </m:e>
            </m:acc>
          </m:e>
          <m:sub>
            <m:r>
              <m:rPr>
                <m:nor/>
              </m:rPr>
              <m:t>c</m:t>
            </m:r>
          </m:sub>
        </m:sSub>
      </m:oMath>
      <w:r w:rsidRPr="00FD51BF">
        <w:t xml:space="preserve"> y una temperatura </w:t>
      </w:r>
      <m:oMath>
        <m:sSub>
          <m:sSubPr>
            <m:ctrlPr>
              <w:rPr>
                <w:rFonts w:ascii="Cambria Math" w:hAnsi="Cambria Math"/>
              </w:rPr>
            </m:ctrlPr>
          </m:sSubPr>
          <m:e>
            <m:r>
              <m:rPr>
                <m:sty m:val="p"/>
              </m:rPr>
              <w:rPr>
                <w:rFonts w:ascii="Cambria Math" w:hAnsi="Cambria Math"/>
              </w:rPr>
              <m:t>T</m:t>
            </m:r>
          </m:e>
          <m:sub>
            <m:r>
              <m:rPr>
                <m:sty m:val="p"/>
              </m:rPr>
              <w:rPr>
                <w:rFonts w:ascii="Cambria Math" w:hAnsi="Cambria Math"/>
              </w:rPr>
              <m:t>c,i</m:t>
            </m:r>
          </m:sub>
        </m:sSub>
      </m:oMath>
      <w:r w:rsidRPr="00FD51BF">
        <w:t xml:space="preserve">, Figura </w:t>
      </w:r>
      <w:r>
        <w:t>2</w:t>
      </w:r>
      <w:r w:rsidRPr="00FD51BF">
        <w:t>.</w:t>
      </w:r>
    </w:p>
    <w:p w:rsidR="00233599" w:rsidRPr="00F41610" w:rsidRDefault="00233599" w:rsidP="00233599">
      <w:pPr>
        <w:pStyle w:val="TextoPrincipalV2"/>
        <w:ind w:firstLine="0"/>
      </w:pPr>
    </w:p>
    <w:tbl>
      <w:tblPr>
        <w:tblStyle w:val="Tablaconcuadrcula"/>
        <w:tblW w:w="948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4"/>
      </w:tblGrid>
      <w:tr w:rsidR="00233599" w:rsidRPr="00BD5C88" w:rsidTr="007F2707">
        <w:trPr>
          <w:trHeight w:val="1686"/>
          <w:jc w:val="center"/>
        </w:trPr>
        <w:tc>
          <w:tcPr>
            <w:tcW w:w="9484" w:type="dxa"/>
            <w:hideMark/>
          </w:tcPr>
          <w:p w:rsidR="00233599" w:rsidRPr="00484824" w:rsidRDefault="00233599" w:rsidP="007F2707">
            <w:pPr>
              <w:pStyle w:val="BodyIndent"/>
            </w:pPr>
            <w:r>
              <w:rPr>
                <w:noProof/>
                <w:lang w:val="en-US"/>
              </w:rPr>
              <w:drawing>
                <wp:inline distT="0" distB="0" distL="0" distR="0" wp14:anchorId="6362CBFE" wp14:editId="6038C476">
                  <wp:extent cx="2677795" cy="988828"/>
                  <wp:effectExtent l="0" t="0" r="8255" b="1905"/>
                  <wp:docPr id="2026623723" name="Imagen 202662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9"/>
                          <a:srcRect l="17809" t="29143" r="20588" b="17023"/>
                          <a:stretch/>
                        </pic:blipFill>
                        <pic:spPr bwMode="auto">
                          <a:xfrm>
                            <a:off x="0" y="0"/>
                            <a:ext cx="2719223" cy="1004126"/>
                          </a:xfrm>
                          <a:prstGeom prst="rect">
                            <a:avLst/>
                          </a:prstGeom>
                          <a:ln>
                            <a:noFill/>
                          </a:ln>
                          <a:extLst>
                            <a:ext uri="{53640926-AAD7-44D8-BBD7-CCE9431645EC}">
                              <a14:shadowObscured xmlns:a14="http://schemas.microsoft.com/office/drawing/2010/main"/>
                            </a:ext>
                          </a:extLst>
                        </pic:spPr>
                      </pic:pic>
                    </a:graphicData>
                  </a:graphic>
                </wp:inline>
              </w:drawing>
            </w:r>
          </w:p>
        </w:tc>
      </w:tr>
      <w:tr w:rsidR="00233599" w:rsidRPr="00BD5C88" w:rsidTr="007F2707">
        <w:trPr>
          <w:trHeight w:val="356"/>
          <w:jc w:val="center"/>
        </w:trPr>
        <w:tc>
          <w:tcPr>
            <w:tcW w:w="9484" w:type="dxa"/>
            <w:hideMark/>
          </w:tcPr>
          <w:p w:rsidR="00233599" w:rsidRPr="00624E94" w:rsidRDefault="00233599" w:rsidP="007F2707">
            <w:pPr>
              <w:pStyle w:val="Tablasyfiguras"/>
              <w:rPr>
                <w:bCs/>
              </w:rPr>
            </w:pPr>
            <w:r w:rsidRPr="00624E94">
              <w:t xml:space="preserve">Figura </w:t>
            </w:r>
            <w:r>
              <w:t>2</w:t>
            </w:r>
            <w:r w:rsidRPr="00624E94">
              <w:t>. Nomenclatura en el intercambiador de calor de tubo doble</w:t>
            </w:r>
          </w:p>
        </w:tc>
      </w:tr>
    </w:tbl>
    <w:p w:rsidR="00233599" w:rsidRPr="00E14E1A" w:rsidRDefault="00233599" w:rsidP="00233599">
      <w:pPr>
        <w:pStyle w:val="11Ttulo"/>
        <w:numPr>
          <w:ilvl w:val="0"/>
          <w:numId w:val="0"/>
        </w:numPr>
        <w:ind w:left="720" w:hanging="720"/>
      </w:pPr>
      <w:r>
        <w:t xml:space="preserve">3.2 </w:t>
      </w:r>
      <w:r w:rsidRPr="00E14E1A">
        <w:t>Planteamiento matemático</w:t>
      </w:r>
    </w:p>
    <w:p w:rsidR="00233599" w:rsidRPr="00F41610" w:rsidRDefault="00233599" w:rsidP="00233599">
      <w:pPr>
        <w:pStyle w:val="TextoPrincipalV2"/>
      </w:pPr>
      <w:r w:rsidRPr="00F41610">
        <w:t xml:space="preserve">En ambos arreglos se consideran las propiedades físicas del agua como constantes y como fluido viscoso e </w:t>
      </w:r>
      <w:r w:rsidRPr="00451C6C">
        <w:t>incompresible</w:t>
      </w:r>
      <w:r w:rsidRPr="00F41610">
        <w:t>. El proceso de transferencia de calor se considera en estado permanente. Los rangos de los números de Reynolds van desde 800 hasta 4100 para las diferentes velocidades de flujo estudiadas. El tubo exterior del intercambiador de calor se considera como adiabático, de modo que solo existe transferencia de calor entre el agua caliente y el agua fría. No se consideran el efecto de incrustación y ensuciamiento. El estudio del modelo hidrodinámico se logró al emplear el método numérico de volumen finito, a través del software COMSOL Multiphysics. Este modelo se basa en la solución de las ecuaciones que se describen a continuación:</w:t>
      </w:r>
    </w:p>
    <w:p w:rsidR="00233599" w:rsidRPr="00233599" w:rsidRDefault="00233599" w:rsidP="00233599">
      <w:pPr>
        <w:pStyle w:val="BodyIndent"/>
        <w:jc w:val="left"/>
        <w:rPr>
          <w:sz w:val="24"/>
          <w:szCs w:val="24"/>
          <w:lang w:val="es-MX"/>
        </w:rPr>
      </w:pPr>
    </w:p>
    <w:p w:rsidR="00233599" w:rsidRPr="00445B7C" w:rsidRDefault="00233599" w:rsidP="00233599">
      <w:pPr>
        <w:pStyle w:val="111Titulo"/>
        <w:numPr>
          <w:ilvl w:val="0"/>
          <w:numId w:val="0"/>
        </w:numPr>
      </w:pPr>
      <w:r>
        <w:t xml:space="preserve">3.2.1 </w:t>
      </w:r>
      <w:r w:rsidRPr="00445B7C">
        <w:t xml:space="preserve">Modelo de turbulencia realizable </w:t>
      </w:r>
      <m:oMath>
        <m:r>
          <w:rPr>
            <w:rFonts w:ascii="Cambria Math" w:hAnsi="Cambria Math"/>
          </w:rPr>
          <m:t>k-ε</m:t>
        </m:r>
      </m:oMath>
    </w:p>
    <w:p w:rsidR="00233599" w:rsidRPr="00D523C8" w:rsidRDefault="00233599" w:rsidP="00233599">
      <w:pPr>
        <w:pStyle w:val="TextoPrincipalV2"/>
      </w:pPr>
      <w:r w:rsidRPr="00D523C8">
        <w:t xml:space="preserve">El modelo introduce dos ecuaciones de transporte y dos variables dependientes: la energía cinética turbulenta, </w:t>
      </w:r>
      <m:oMath>
        <m:r>
          <w:rPr>
            <w:rFonts w:ascii="Cambria Math" w:hAnsi="Cambria Math"/>
          </w:rPr>
          <m:t>k</m:t>
        </m:r>
      </m:oMath>
      <w:r w:rsidRPr="00D523C8">
        <w:t xml:space="preserve">, y la razón de disipación turbulenta, </w:t>
      </w:r>
      <m:oMath>
        <m:r>
          <m:rPr>
            <m:nor/>
          </m:rPr>
          <w:rPr>
            <w:lang w:val="x-none"/>
          </w:rPr>
          <m:t>ε</m:t>
        </m:r>
        <m:r>
          <m:rPr>
            <m:nor/>
          </m:rPr>
          <w:rPr>
            <w:rFonts w:ascii="Cambria Math"/>
          </w:rPr>
          <m:t xml:space="preserve">, </m:t>
        </m:r>
      </m:oMath>
      <w:r w:rsidRPr="00D523C8">
        <w:rPr>
          <w:vertAlign w:val="superscript"/>
        </w:rPr>
        <w:t>[8]</w:t>
      </w:r>
      <w:r w:rsidRPr="00D523C8">
        <w:t>. La viscosidad turbulenta se modela como:</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8"/>
        <w:gridCol w:w="696"/>
      </w:tblGrid>
      <w:tr w:rsidR="00233599" w:rsidRPr="00D523C8" w:rsidTr="007F2707">
        <w:trPr>
          <w:jc w:val="center"/>
        </w:trPr>
        <w:tc>
          <w:tcPr>
            <w:tcW w:w="8876" w:type="dxa"/>
            <w:hideMark/>
          </w:tcPr>
          <w:p w:rsidR="00233599" w:rsidRPr="00D523C8" w:rsidRDefault="001345E4" w:rsidP="007F2707">
            <w:pPr>
              <w:spacing w:after="160" w:line="259" w:lineRule="auto"/>
              <w:rPr>
                <w:rFonts w:ascii="Cambria Math" w:hAnsi="Cambria Math" w:cs="Arial"/>
                <w:iCs/>
              </w:rPr>
            </w:pPr>
            <m:oMathPara>
              <m:oMath>
                <m:sSub>
                  <m:sSubPr>
                    <m:ctrlPr>
                      <w:rPr>
                        <w:rFonts w:ascii="Cambria Math" w:hAnsi="Cambria Math" w:cs="Arial"/>
                        <w:iCs/>
                        <w:lang w:val="x-none"/>
                      </w:rPr>
                    </m:ctrlPr>
                  </m:sSubPr>
                  <m:e>
                    <m:r>
                      <m:rPr>
                        <m:nor/>
                      </m:rPr>
                      <w:rPr>
                        <w:rFonts w:ascii="Cambria Math" w:hAnsi="Cambria Math" w:cs="Arial"/>
                        <w:iCs/>
                        <w:lang w:val="x-none"/>
                      </w:rPr>
                      <m:t>μ</m:t>
                    </m:r>
                  </m:e>
                  <m:sub>
                    <m:r>
                      <m:rPr>
                        <m:nor/>
                      </m:rPr>
                      <w:rPr>
                        <w:rFonts w:ascii="Cambria Math" w:hAnsi="Cambria Math" w:cs="Arial"/>
                        <w:iCs/>
                        <w:lang w:val="x-none"/>
                      </w:rPr>
                      <m:t>T</m:t>
                    </m:r>
                  </m:sub>
                </m:sSub>
                <m:r>
                  <m:rPr>
                    <m:nor/>
                  </m:rPr>
                  <w:rPr>
                    <w:rFonts w:ascii="Cambria Math" w:hAnsi="Cambria Math" w:cs="Arial"/>
                    <w:iCs/>
                    <w:lang w:val="x-none"/>
                  </w:rPr>
                  <m:t>=ρ</m:t>
                </m:r>
                <m:sSub>
                  <m:sSubPr>
                    <m:ctrlPr>
                      <w:rPr>
                        <w:rFonts w:ascii="Cambria Math" w:hAnsi="Cambria Math" w:cs="Arial"/>
                        <w:iCs/>
                        <w:lang w:val="x-none"/>
                      </w:rPr>
                    </m:ctrlPr>
                  </m:sSubPr>
                  <m:e>
                    <m:r>
                      <m:rPr>
                        <m:nor/>
                      </m:rPr>
                      <w:rPr>
                        <w:rFonts w:ascii="Cambria Math" w:hAnsi="Cambria Math" w:cs="Arial"/>
                        <w:iCs/>
                        <w:lang w:val="x-none"/>
                      </w:rPr>
                      <m:t>C</m:t>
                    </m:r>
                  </m:e>
                  <m:sub>
                    <m:r>
                      <m:rPr>
                        <m:nor/>
                      </m:rPr>
                      <w:rPr>
                        <w:rFonts w:ascii="Cambria Math" w:hAnsi="Cambria Math" w:cs="Arial"/>
                        <w:iCs/>
                        <w:lang w:val="x-none"/>
                      </w:rPr>
                      <m:t>μ</m:t>
                    </m:r>
                  </m:sub>
                </m:sSub>
                <m:f>
                  <m:fPr>
                    <m:ctrlPr>
                      <w:rPr>
                        <w:rFonts w:ascii="Cambria Math" w:hAnsi="Cambria Math" w:cs="Arial"/>
                        <w:iCs/>
                        <w:lang w:val="x-none"/>
                      </w:rPr>
                    </m:ctrlPr>
                  </m:fPr>
                  <m:num>
                    <m:sSup>
                      <m:sSupPr>
                        <m:ctrlPr>
                          <w:rPr>
                            <w:rFonts w:ascii="Cambria Math" w:hAnsi="Cambria Math" w:cs="Arial"/>
                            <w:iCs/>
                            <w:lang w:val="x-none"/>
                          </w:rPr>
                        </m:ctrlPr>
                      </m:sSupPr>
                      <m:e>
                        <m:r>
                          <m:rPr>
                            <m:nor/>
                          </m:rPr>
                          <w:rPr>
                            <w:rFonts w:ascii="Cambria Math" w:hAnsi="Cambria Math" w:cs="Arial"/>
                            <w:iCs/>
                            <w:lang w:val="x-none"/>
                          </w:rPr>
                          <m:t>k</m:t>
                        </m:r>
                      </m:e>
                      <m:sup>
                        <m:r>
                          <m:rPr>
                            <m:nor/>
                          </m:rPr>
                          <w:rPr>
                            <w:rFonts w:ascii="Cambria Math" w:hAnsi="Cambria Math" w:cs="Arial"/>
                            <w:iCs/>
                            <w:lang w:val="x-none"/>
                          </w:rPr>
                          <m:t>2</m:t>
                        </m:r>
                      </m:sup>
                    </m:sSup>
                  </m:num>
                  <m:den>
                    <m:r>
                      <m:rPr>
                        <m:nor/>
                      </m:rPr>
                      <w:rPr>
                        <w:rFonts w:ascii="Cambria Math" w:hAnsi="Cambria Math" w:cs="Arial"/>
                        <w:iCs/>
                        <w:lang w:val="x-none"/>
                      </w:rPr>
                      <m:t>ε</m:t>
                    </m:r>
                  </m:den>
                </m:f>
              </m:oMath>
            </m:oMathPara>
          </w:p>
        </w:tc>
        <w:tc>
          <w:tcPr>
            <w:tcW w:w="701" w:type="dxa"/>
            <w:hideMark/>
          </w:tcPr>
          <w:p w:rsidR="00233599" w:rsidRPr="00D523C8" w:rsidRDefault="00233599" w:rsidP="007F2707">
            <w:pPr>
              <w:spacing w:after="160" w:line="259" w:lineRule="auto"/>
              <w:rPr>
                <w:rFonts w:ascii="Arial" w:hAnsi="Arial" w:cs="Arial"/>
              </w:rPr>
            </w:pPr>
            <w:r w:rsidRPr="00D523C8">
              <w:rPr>
                <w:rFonts w:ascii="Arial" w:hAnsi="Arial" w:cs="Arial"/>
              </w:rPr>
              <w:t>(1)</w:t>
            </w:r>
          </w:p>
        </w:tc>
      </w:tr>
    </w:tbl>
    <w:p w:rsidR="00233599" w:rsidRPr="00D523C8" w:rsidRDefault="00233599" w:rsidP="00233599">
      <w:pPr>
        <w:pStyle w:val="TextoPrincipalV2"/>
      </w:pPr>
      <w:r w:rsidRPr="00D523C8">
        <w:t xml:space="preserve">La ecuación de transporte para </w:t>
      </w:r>
      <m:oMath>
        <m:r>
          <w:rPr>
            <w:rFonts w:ascii="Cambria Math" w:hAnsi="Cambria Math"/>
          </w:rPr>
          <m:t>k</m:t>
        </m:r>
      </m:oMath>
      <w:r w:rsidRPr="00D523C8">
        <w:t>, es:</w:t>
      </w:r>
    </w:p>
    <w:tbl>
      <w:tblPr>
        <w:tblStyle w:val="Tablaconcuadrcula"/>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2"/>
        <w:gridCol w:w="694"/>
      </w:tblGrid>
      <w:tr w:rsidR="00233599" w:rsidRPr="00D523C8" w:rsidTr="007F2707">
        <w:tc>
          <w:tcPr>
            <w:tcW w:w="8912" w:type="dxa"/>
            <w:hideMark/>
          </w:tcPr>
          <w:p w:rsidR="00233599" w:rsidRPr="00D523C8" w:rsidRDefault="00233599" w:rsidP="007F2707">
            <w:pPr>
              <w:spacing w:after="160" w:line="259" w:lineRule="auto"/>
              <w:rPr>
                <w:rFonts w:ascii="Cambria Math" w:hAnsi="Cambria Math" w:cs="Arial"/>
                <w:iCs/>
              </w:rPr>
            </w:pPr>
            <m:oMathPara>
              <m:oMath>
                <m:r>
                  <m:rPr>
                    <m:nor/>
                  </m:rPr>
                  <w:rPr>
                    <w:rFonts w:ascii="Cambria Math" w:hAnsi="Cambria Math" w:cs="Arial"/>
                    <w:iCs/>
                  </w:rPr>
                  <m:t xml:space="preserve"> </m:t>
                </m:r>
                <m:r>
                  <m:rPr>
                    <m:nor/>
                  </m:rPr>
                  <w:rPr>
                    <w:rFonts w:ascii="Cambria Math" w:hAnsi="Cambria Math" w:cs="Arial"/>
                    <w:iCs/>
                    <w:lang w:val="en-US"/>
                  </w:rPr>
                  <m:t>ρ</m:t>
                </m:r>
                <m:f>
                  <m:fPr>
                    <m:ctrlPr>
                      <w:rPr>
                        <w:rFonts w:ascii="Cambria Math" w:hAnsi="Cambria Math" w:cs="Arial"/>
                        <w:iCs/>
                        <w:lang w:val="en-US"/>
                      </w:rPr>
                    </m:ctrlPr>
                  </m:fPr>
                  <m:num>
                    <m:r>
                      <m:rPr>
                        <m:nor/>
                      </m:rPr>
                      <w:rPr>
                        <w:rFonts w:ascii="Cambria Math" w:hAnsi="Cambria Math" w:cs="Arial"/>
                        <w:iCs/>
                      </w:rPr>
                      <m:t>∂k</m:t>
                    </m:r>
                  </m:num>
                  <m:den>
                    <m:r>
                      <m:rPr>
                        <m:nor/>
                      </m:rPr>
                      <w:rPr>
                        <w:rFonts w:ascii="Cambria Math" w:hAnsi="Cambria Math" w:cs="Arial"/>
                        <w:iCs/>
                      </w:rPr>
                      <m:t>∂t</m:t>
                    </m:r>
                  </m:den>
                </m:f>
                <m:r>
                  <m:rPr>
                    <m:nor/>
                  </m:rPr>
                  <w:rPr>
                    <w:rFonts w:ascii="Cambria Math" w:hAnsi="Cambria Math" w:cs="Arial"/>
                    <w:iCs/>
                  </w:rPr>
                  <m:t>+</m:t>
                </m:r>
                <m:r>
                  <m:rPr>
                    <m:nor/>
                  </m:rPr>
                  <w:rPr>
                    <w:rFonts w:ascii="Cambria Math" w:hAnsi="Cambria Math" w:cs="Arial"/>
                    <w:iCs/>
                    <w:lang w:val="en-US"/>
                  </w:rPr>
                  <m:t>ρ</m:t>
                </m:r>
                <m:r>
                  <m:rPr>
                    <m:nor/>
                  </m:rPr>
                  <w:rPr>
                    <w:rFonts w:ascii="Cambria Math" w:hAnsi="Cambria Math" w:cs="Arial"/>
                    <w:b/>
                    <w:iCs/>
                  </w:rPr>
                  <m:t>u</m:t>
                </m:r>
                <m:r>
                  <m:rPr>
                    <m:nor/>
                  </m:rPr>
                  <w:rPr>
                    <w:rFonts w:ascii="Cambria Math" w:hAnsi="Cambria Math" w:cs="Arial"/>
                    <w:iCs/>
                  </w:rPr>
                  <m:t>∙</m:t>
                </m:r>
                <m:r>
                  <m:rPr>
                    <m:nor/>
                  </m:rPr>
                  <w:rPr>
                    <w:rFonts w:ascii="Cambria Math" w:hAnsi="Cambria Math" w:cs="Cambria Math"/>
                    <w:iCs/>
                  </w:rPr>
                  <m:t>∇</m:t>
                </m:r>
                <m:r>
                  <m:rPr>
                    <m:nor/>
                  </m:rPr>
                  <w:rPr>
                    <w:rFonts w:ascii="Cambria Math" w:hAnsi="Cambria Math" w:cs="Arial"/>
                    <w:iCs/>
                  </w:rPr>
                  <m:t>k =</m:t>
                </m:r>
                <m:r>
                  <m:rPr>
                    <m:nor/>
                  </m:rPr>
                  <w:rPr>
                    <w:rFonts w:ascii="Cambria Math" w:hAnsi="Cambria Math" w:cs="Cambria Math"/>
                    <w:iCs/>
                  </w:rPr>
                  <m:t>∇</m:t>
                </m:r>
                <m:r>
                  <m:rPr>
                    <m:nor/>
                  </m:rPr>
                  <w:rPr>
                    <w:rFonts w:ascii="Cambria Math" w:hAnsi="Cambria Math" w:cs="Arial"/>
                    <w:iCs/>
                  </w:rPr>
                  <m:t>∙</m:t>
                </m:r>
                <m:d>
                  <m:dPr>
                    <m:ctrlPr>
                      <w:rPr>
                        <w:rFonts w:ascii="Cambria Math" w:hAnsi="Cambria Math" w:cs="Arial"/>
                        <w:iCs/>
                        <w:lang w:val="en-US"/>
                      </w:rPr>
                    </m:ctrlPr>
                  </m:dPr>
                  <m:e>
                    <m:d>
                      <m:dPr>
                        <m:ctrlPr>
                          <w:rPr>
                            <w:rFonts w:ascii="Cambria Math" w:hAnsi="Cambria Math" w:cs="Arial"/>
                            <w:iCs/>
                            <w:lang w:val="en-US"/>
                          </w:rPr>
                        </m:ctrlPr>
                      </m:dPr>
                      <m:e>
                        <m:r>
                          <m:rPr>
                            <m:nor/>
                          </m:rPr>
                          <w:rPr>
                            <w:rFonts w:ascii="Cambria Math" w:hAnsi="Cambria Math" w:cs="Arial"/>
                            <w:iCs/>
                            <w:lang w:val="en-US"/>
                          </w:rPr>
                          <m:t>μ</m:t>
                        </m:r>
                        <m:r>
                          <m:rPr>
                            <m:nor/>
                          </m:rPr>
                          <w:rPr>
                            <w:rFonts w:ascii="Cambria Math" w:hAnsi="Cambria Math" w:cs="Arial"/>
                            <w:iCs/>
                          </w:rPr>
                          <m:t>+</m:t>
                        </m:r>
                        <m:f>
                          <m:fPr>
                            <m:ctrlPr>
                              <w:rPr>
                                <w:rFonts w:ascii="Cambria Math" w:hAnsi="Cambria Math" w:cs="Arial"/>
                                <w:iCs/>
                                <w:lang w:val="en-US"/>
                              </w:rPr>
                            </m:ctrlPr>
                          </m:fPr>
                          <m:num>
                            <m:sSub>
                              <m:sSubPr>
                                <m:ctrlPr>
                                  <w:rPr>
                                    <w:rFonts w:ascii="Cambria Math" w:hAnsi="Cambria Math" w:cs="Arial"/>
                                    <w:iCs/>
                                    <w:lang w:val="en-US"/>
                                  </w:rPr>
                                </m:ctrlPr>
                              </m:sSubPr>
                              <m:e>
                                <m:r>
                                  <m:rPr>
                                    <m:nor/>
                                  </m:rPr>
                                  <w:rPr>
                                    <w:rFonts w:ascii="Cambria Math" w:hAnsi="Cambria Math" w:cs="Arial"/>
                                    <w:iCs/>
                                    <w:lang w:val="en-US"/>
                                  </w:rPr>
                                  <m:t>μ</m:t>
                                </m:r>
                              </m:e>
                              <m:sub>
                                <m:r>
                                  <m:rPr>
                                    <m:nor/>
                                  </m:rPr>
                                  <w:rPr>
                                    <w:rFonts w:ascii="Cambria Math" w:hAnsi="Cambria Math" w:cs="Arial"/>
                                    <w:iCs/>
                                  </w:rPr>
                                  <m:t>T</m:t>
                                </m:r>
                              </m:sub>
                            </m:sSub>
                          </m:num>
                          <m:den>
                            <m:sSub>
                              <m:sSubPr>
                                <m:ctrlPr>
                                  <w:rPr>
                                    <w:rFonts w:ascii="Cambria Math" w:hAnsi="Cambria Math" w:cs="Arial"/>
                                    <w:iCs/>
                                    <w:lang w:val="en-US"/>
                                  </w:rPr>
                                </m:ctrlPr>
                              </m:sSubPr>
                              <m:e>
                                <m:r>
                                  <m:rPr>
                                    <m:nor/>
                                  </m:rPr>
                                  <w:rPr>
                                    <w:rFonts w:ascii="Cambria Math" w:hAnsi="Cambria Math" w:cs="Arial"/>
                                    <w:iCs/>
                                    <w:lang w:val="en-US"/>
                                  </w:rPr>
                                  <m:t>σ</m:t>
                                </m:r>
                              </m:e>
                              <m:sub>
                                <m:r>
                                  <m:rPr>
                                    <m:nor/>
                                  </m:rPr>
                                  <w:rPr>
                                    <w:rFonts w:ascii="Cambria Math" w:hAnsi="Cambria Math" w:cs="Arial"/>
                                    <w:iCs/>
                                  </w:rPr>
                                  <m:t>k</m:t>
                                </m:r>
                              </m:sub>
                            </m:sSub>
                          </m:den>
                        </m:f>
                      </m:e>
                    </m:d>
                    <m:r>
                      <m:rPr>
                        <m:nor/>
                      </m:rPr>
                      <w:rPr>
                        <w:rFonts w:ascii="Cambria Math" w:hAnsi="Cambria Math" w:cs="Cambria Math"/>
                        <w:iCs/>
                      </w:rPr>
                      <m:t>∇</m:t>
                    </m:r>
                    <m:r>
                      <m:rPr>
                        <m:nor/>
                      </m:rPr>
                      <w:rPr>
                        <w:rFonts w:ascii="Cambria Math" w:hAnsi="Cambria Math" w:cs="Arial"/>
                        <w:iCs/>
                      </w:rPr>
                      <m:t>k</m:t>
                    </m:r>
                  </m:e>
                </m:d>
                <m:r>
                  <m:rPr>
                    <m:nor/>
                  </m:rPr>
                  <w:rPr>
                    <w:rFonts w:ascii="Cambria Math" w:hAnsi="Cambria Math" w:cs="Arial"/>
                    <w:iCs/>
                  </w:rPr>
                  <m:t>+</m:t>
                </m:r>
                <m:sSub>
                  <m:sSubPr>
                    <m:ctrlPr>
                      <w:rPr>
                        <w:rFonts w:ascii="Cambria Math" w:hAnsi="Cambria Math" w:cs="Arial"/>
                        <w:iCs/>
                        <w:lang w:val="en-US"/>
                      </w:rPr>
                    </m:ctrlPr>
                  </m:sSubPr>
                  <m:e>
                    <m:r>
                      <m:rPr>
                        <m:nor/>
                      </m:rPr>
                      <w:rPr>
                        <w:rFonts w:ascii="Cambria Math" w:hAnsi="Cambria Math" w:cs="Arial"/>
                        <w:iCs/>
                      </w:rPr>
                      <m:t>P</m:t>
                    </m:r>
                  </m:e>
                  <m:sub>
                    <m:r>
                      <m:rPr>
                        <m:nor/>
                      </m:rPr>
                      <w:rPr>
                        <w:rFonts w:ascii="Cambria Math" w:hAnsi="Cambria Math" w:cs="Arial"/>
                        <w:iCs/>
                      </w:rPr>
                      <m:t>k</m:t>
                    </m:r>
                  </m:sub>
                </m:sSub>
                <m:r>
                  <m:rPr>
                    <m:nor/>
                  </m:rPr>
                  <w:rPr>
                    <w:rFonts w:ascii="Cambria Math" w:hAnsi="Cambria Math" w:cs="Arial"/>
                    <w:iCs/>
                  </w:rPr>
                  <m:t>-</m:t>
                </m:r>
                <m:r>
                  <m:rPr>
                    <m:nor/>
                  </m:rPr>
                  <w:rPr>
                    <w:rFonts w:ascii="Cambria Math" w:hAnsi="Cambria Math" w:cs="Arial"/>
                    <w:iCs/>
                    <w:lang w:val="en-US"/>
                  </w:rPr>
                  <m:t>ρε</m:t>
                </m:r>
              </m:oMath>
            </m:oMathPara>
          </w:p>
        </w:tc>
        <w:tc>
          <w:tcPr>
            <w:tcW w:w="694" w:type="dxa"/>
            <w:hideMark/>
          </w:tcPr>
          <w:p w:rsidR="00233599" w:rsidRPr="00D523C8" w:rsidRDefault="00233599" w:rsidP="007F2707">
            <w:pPr>
              <w:spacing w:after="160" w:line="259" w:lineRule="auto"/>
              <w:rPr>
                <w:rFonts w:ascii="Arial" w:hAnsi="Arial" w:cs="Arial"/>
              </w:rPr>
            </w:pPr>
            <w:r w:rsidRPr="00D523C8">
              <w:rPr>
                <w:rFonts w:ascii="Arial" w:hAnsi="Arial" w:cs="Arial"/>
              </w:rPr>
              <w:t>(2)</w:t>
            </w:r>
          </w:p>
        </w:tc>
      </w:tr>
    </w:tbl>
    <w:p w:rsidR="00233599" w:rsidRPr="00D523C8" w:rsidRDefault="00233599" w:rsidP="00233599">
      <w:pPr>
        <w:pStyle w:val="TextoPrincipalV2"/>
      </w:pPr>
      <w:r w:rsidRPr="00D523C8">
        <w:t>Donde el término de producción es:</w:t>
      </w:r>
    </w:p>
    <w:tbl>
      <w:tblPr>
        <w:tblStyle w:val="Tablaconcuadrcula"/>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680"/>
      </w:tblGrid>
      <w:tr w:rsidR="00233599" w:rsidRPr="00D523C8" w:rsidTr="007F2707">
        <w:tc>
          <w:tcPr>
            <w:tcW w:w="8926" w:type="dxa"/>
            <w:hideMark/>
          </w:tcPr>
          <w:p w:rsidR="00233599" w:rsidRPr="00D523C8" w:rsidRDefault="001345E4" w:rsidP="007F2707">
            <w:pPr>
              <w:spacing w:after="160" w:line="259" w:lineRule="auto"/>
              <w:rPr>
                <w:rFonts w:ascii="Cambria Math" w:hAnsi="Cambria Math" w:cs="Arial"/>
                <w:iCs/>
              </w:rPr>
            </w:pPr>
            <m:oMathPara>
              <m:oMath>
                <m:sSub>
                  <m:sSubPr>
                    <m:ctrlPr>
                      <w:rPr>
                        <w:rFonts w:ascii="Cambria Math" w:hAnsi="Cambria Math" w:cs="Arial"/>
                        <w:iCs/>
                        <w:lang w:val="x-none"/>
                      </w:rPr>
                    </m:ctrlPr>
                  </m:sSubPr>
                  <m:e>
                    <m:r>
                      <m:rPr>
                        <m:nor/>
                      </m:rPr>
                      <w:rPr>
                        <w:rFonts w:ascii="Cambria Math" w:hAnsi="Cambria Math" w:cs="Arial"/>
                        <w:iCs/>
                        <w:lang w:val="x-none"/>
                      </w:rPr>
                      <m:t xml:space="preserve"> P</m:t>
                    </m:r>
                  </m:e>
                  <m:sub>
                    <m:r>
                      <m:rPr>
                        <m:nor/>
                      </m:rPr>
                      <w:rPr>
                        <w:rFonts w:ascii="Cambria Math" w:hAnsi="Cambria Math" w:cs="Arial"/>
                        <w:iCs/>
                        <w:lang w:val="x-none"/>
                      </w:rPr>
                      <m:t>k</m:t>
                    </m:r>
                  </m:sub>
                </m:sSub>
                <m:r>
                  <m:rPr>
                    <m:nor/>
                  </m:rPr>
                  <w:rPr>
                    <w:rFonts w:ascii="Cambria Math" w:hAnsi="Cambria Math" w:cs="Arial"/>
                    <w:iCs/>
                    <w:lang w:val="x-none"/>
                  </w:rPr>
                  <m:t>=</m:t>
                </m:r>
                <m:sSub>
                  <m:sSubPr>
                    <m:ctrlPr>
                      <w:rPr>
                        <w:rFonts w:ascii="Cambria Math" w:hAnsi="Cambria Math" w:cs="Arial"/>
                        <w:iCs/>
                        <w:lang w:val="x-none"/>
                      </w:rPr>
                    </m:ctrlPr>
                  </m:sSubPr>
                  <m:e>
                    <m:r>
                      <m:rPr>
                        <m:nor/>
                      </m:rPr>
                      <w:rPr>
                        <w:rFonts w:ascii="Cambria Math" w:hAnsi="Cambria Math" w:cs="Arial"/>
                        <w:iCs/>
                        <w:lang w:val="x-none"/>
                      </w:rPr>
                      <m:t>μ</m:t>
                    </m:r>
                  </m:e>
                  <m:sub>
                    <m:r>
                      <m:rPr>
                        <m:nor/>
                      </m:rPr>
                      <w:rPr>
                        <w:rFonts w:ascii="Cambria Math" w:hAnsi="Cambria Math" w:cs="Arial"/>
                        <w:iCs/>
                        <w:lang w:val="x-none"/>
                      </w:rPr>
                      <m:t>T</m:t>
                    </m:r>
                  </m:sub>
                </m:sSub>
                <m:d>
                  <m:dPr>
                    <m:ctrlPr>
                      <w:rPr>
                        <w:rFonts w:ascii="Cambria Math" w:hAnsi="Cambria Math" w:cs="Arial"/>
                        <w:iCs/>
                        <w:lang w:val="x-none"/>
                      </w:rPr>
                    </m:ctrlPr>
                  </m:dPr>
                  <m:e>
                    <m:r>
                      <m:rPr>
                        <m:nor/>
                      </m:rPr>
                      <w:rPr>
                        <w:rFonts w:ascii="Cambria Math" w:hAnsi="Cambria Math" w:cs="Cambria Math"/>
                        <w:iCs/>
                        <w:lang w:val="x-none"/>
                      </w:rPr>
                      <m:t>∇</m:t>
                    </m:r>
                    <m:r>
                      <m:rPr>
                        <m:nor/>
                      </m:rPr>
                      <w:rPr>
                        <w:rFonts w:ascii="Cambria Math" w:hAnsi="Cambria Math" w:cs="Arial"/>
                        <w:b/>
                        <w:iCs/>
                        <w:lang w:val="x-none"/>
                      </w:rPr>
                      <m:t>u</m:t>
                    </m:r>
                    <m:r>
                      <m:rPr>
                        <m:nor/>
                      </m:rPr>
                      <w:rPr>
                        <w:rFonts w:ascii="Cambria Math" w:hAnsi="Cambria Math" w:cs="Arial"/>
                        <w:iCs/>
                        <w:lang w:val="x-none"/>
                      </w:rPr>
                      <m:t>:</m:t>
                    </m:r>
                    <m:d>
                      <m:dPr>
                        <m:ctrlPr>
                          <w:rPr>
                            <w:rFonts w:ascii="Cambria Math" w:hAnsi="Cambria Math" w:cs="Arial"/>
                            <w:iCs/>
                            <w:lang w:val="x-none"/>
                          </w:rPr>
                        </m:ctrlPr>
                      </m:dPr>
                      <m:e>
                        <m:r>
                          <m:rPr>
                            <m:nor/>
                          </m:rPr>
                          <w:rPr>
                            <w:rFonts w:ascii="Cambria Math" w:hAnsi="Cambria Math" w:cs="Cambria Math"/>
                            <w:iCs/>
                            <w:lang w:val="x-none"/>
                          </w:rPr>
                          <m:t>∇</m:t>
                        </m:r>
                        <m:r>
                          <m:rPr>
                            <m:nor/>
                          </m:rPr>
                          <w:rPr>
                            <w:rFonts w:ascii="Cambria Math" w:hAnsi="Cambria Math" w:cs="Arial"/>
                            <w:b/>
                            <w:iCs/>
                            <w:lang w:val="x-none"/>
                          </w:rPr>
                          <m:t>u</m:t>
                        </m:r>
                        <m:r>
                          <m:rPr>
                            <m:nor/>
                          </m:rPr>
                          <w:rPr>
                            <w:rFonts w:ascii="Cambria Math" w:hAnsi="Cambria Math" w:cs="Arial"/>
                            <w:iCs/>
                            <w:lang w:val="x-none"/>
                          </w:rPr>
                          <m:t>+</m:t>
                        </m:r>
                        <m:sSup>
                          <m:sSupPr>
                            <m:ctrlPr>
                              <w:rPr>
                                <w:rFonts w:ascii="Cambria Math" w:hAnsi="Cambria Math" w:cs="Arial"/>
                                <w:iCs/>
                                <w:lang w:val="x-none"/>
                              </w:rPr>
                            </m:ctrlPr>
                          </m:sSupPr>
                          <m:e>
                            <m:d>
                              <m:dPr>
                                <m:ctrlPr>
                                  <w:rPr>
                                    <w:rFonts w:ascii="Cambria Math" w:hAnsi="Cambria Math" w:cs="Arial"/>
                                    <w:iCs/>
                                    <w:lang w:val="x-none"/>
                                  </w:rPr>
                                </m:ctrlPr>
                              </m:dPr>
                              <m:e>
                                <m:r>
                                  <m:rPr>
                                    <m:nor/>
                                  </m:rPr>
                                  <w:rPr>
                                    <w:rFonts w:ascii="Cambria Math" w:hAnsi="Cambria Math" w:cs="Cambria Math"/>
                                    <w:iCs/>
                                    <w:lang w:val="x-none"/>
                                  </w:rPr>
                                  <m:t>∇</m:t>
                                </m:r>
                                <m:r>
                                  <m:rPr>
                                    <m:nor/>
                                  </m:rPr>
                                  <w:rPr>
                                    <w:rFonts w:ascii="Cambria Math" w:hAnsi="Cambria Math" w:cs="Arial"/>
                                    <w:b/>
                                    <w:iCs/>
                                    <w:lang w:val="x-none"/>
                                  </w:rPr>
                                  <m:t>u</m:t>
                                </m:r>
                              </m:e>
                            </m:d>
                          </m:e>
                          <m:sup>
                            <m:r>
                              <m:rPr>
                                <m:nor/>
                              </m:rPr>
                              <w:rPr>
                                <w:rFonts w:ascii="Cambria Math" w:hAnsi="Cambria Math" w:cs="Arial"/>
                                <w:iCs/>
                                <w:lang w:val="x-none"/>
                              </w:rPr>
                              <m:t>T</m:t>
                            </m:r>
                          </m:sup>
                        </m:sSup>
                      </m:e>
                    </m:d>
                    <m:r>
                      <m:rPr>
                        <m:nor/>
                      </m:rPr>
                      <w:rPr>
                        <w:rFonts w:ascii="Cambria Math" w:hAnsi="Cambria Math" w:cs="Arial"/>
                        <w:iCs/>
                        <w:lang w:val="x-none"/>
                      </w:rPr>
                      <m:t>-</m:t>
                    </m:r>
                    <m:f>
                      <m:fPr>
                        <m:ctrlPr>
                          <w:rPr>
                            <w:rFonts w:ascii="Cambria Math" w:hAnsi="Cambria Math" w:cs="Arial"/>
                            <w:iCs/>
                            <w:lang w:val="x-none"/>
                          </w:rPr>
                        </m:ctrlPr>
                      </m:fPr>
                      <m:num>
                        <m:r>
                          <m:rPr>
                            <m:nor/>
                          </m:rPr>
                          <w:rPr>
                            <w:rFonts w:ascii="Cambria Math" w:hAnsi="Cambria Math" w:cs="Arial"/>
                            <w:iCs/>
                            <w:lang w:val="x-none"/>
                          </w:rPr>
                          <m:t>2</m:t>
                        </m:r>
                      </m:num>
                      <m:den>
                        <m:r>
                          <m:rPr>
                            <m:nor/>
                          </m:rPr>
                          <w:rPr>
                            <w:rFonts w:ascii="Cambria Math" w:hAnsi="Cambria Math" w:cs="Arial"/>
                            <w:iCs/>
                            <w:lang w:val="x-none"/>
                          </w:rPr>
                          <m:t>3</m:t>
                        </m:r>
                      </m:den>
                    </m:f>
                    <m:sSup>
                      <m:sSupPr>
                        <m:ctrlPr>
                          <w:rPr>
                            <w:rFonts w:ascii="Cambria Math" w:hAnsi="Cambria Math" w:cs="Arial"/>
                            <w:iCs/>
                            <w:lang w:val="x-none"/>
                          </w:rPr>
                        </m:ctrlPr>
                      </m:sSupPr>
                      <m:e>
                        <m:d>
                          <m:dPr>
                            <m:ctrlPr>
                              <w:rPr>
                                <w:rFonts w:ascii="Cambria Math" w:hAnsi="Cambria Math" w:cs="Arial"/>
                                <w:iCs/>
                                <w:lang w:val="x-none"/>
                              </w:rPr>
                            </m:ctrlPr>
                          </m:dPr>
                          <m:e>
                            <m:r>
                              <m:rPr>
                                <m:nor/>
                              </m:rPr>
                              <w:rPr>
                                <w:rFonts w:ascii="Cambria Math" w:hAnsi="Cambria Math" w:cs="Cambria Math"/>
                                <w:iCs/>
                                <w:lang w:val="x-none"/>
                              </w:rPr>
                              <m:t>∇</m:t>
                            </m:r>
                            <m:r>
                              <m:rPr>
                                <m:nor/>
                              </m:rPr>
                              <w:rPr>
                                <w:rFonts w:ascii="Cambria Math" w:hAnsi="Cambria Math" w:cs="Arial"/>
                                <w:iCs/>
                                <w:lang w:val="x-none"/>
                              </w:rPr>
                              <m:t>∙</m:t>
                            </m:r>
                            <m:r>
                              <m:rPr>
                                <m:nor/>
                              </m:rPr>
                              <w:rPr>
                                <w:rFonts w:ascii="Cambria Math" w:hAnsi="Cambria Math" w:cs="Arial"/>
                                <w:b/>
                                <w:iCs/>
                                <w:lang w:val="x-none"/>
                              </w:rPr>
                              <m:t>u</m:t>
                            </m:r>
                          </m:e>
                        </m:d>
                      </m:e>
                      <m:sup>
                        <m:r>
                          <m:rPr>
                            <m:nor/>
                          </m:rPr>
                          <w:rPr>
                            <w:rFonts w:ascii="Cambria Math" w:hAnsi="Cambria Math" w:cs="Arial"/>
                            <w:iCs/>
                            <w:lang w:val="x-none"/>
                          </w:rPr>
                          <m:t>2</m:t>
                        </m:r>
                      </m:sup>
                    </m:sSup>
                  </m:e>
                </m:d>
                <m:r>
                  <m:rPr>
                    <m:nor/>
                  </m:rPr>
                  <w:rPr>
                    <w:rFonts w:ascii="Cambria Math" w:hAnsi="Cambria Math" w:cs="Arial"/>
                    <w:iCs/>
                    <w:lang w:val="x-none"/>
                  </w:rPr>
                  <m:t>-</m:t>
                </m:r>
                <m:f>
                  <m:fPr>
                    <m:ctrlPr>
                      <w:rPr>
                        <w:rFonts w:ascii="Cambria Math" w:hAnsi="Cambria Math" w:cs="Arial"/>
                        <w:iCs/>
                        <w:lang w:val="x-none"/>
                      </w:rPr>
                    </m:ctrlPr>
                  </m:fPr>
                  <m:num>
                    <m:r>
                      <m:rPr>
                        <m:nor/>
                      </m:rPr>
                      <w:rPr>
                        <w:rFonts w:ascii="Cambria Math" w:hAnsi="Cambria Math" w:cs="Arial"/>
                        <w:iCs/>
                        <w:lang w:val="x-none"/>
                      </w:rPr>
                      <m:t>2</m:t>
                    </m:r>
                  </m:num>
                  <m:den>
                    <m:r>
                      <m:rPr>
                        <m:nor/>
                      </m:rPr>
                      <w:rPr>
                        <w:rFonts w:ascii="Cambria Math" w:hAnsi="Cambria Math" w:cs="Arial"/>
                        <w:iCs/>
                        <w:lang w:val="x-none"/>
                      </w:rPr>
                      <m:t>3</m:t>
                    </m:r>
                  </m:den>
                </m:f>
                <m:r>
                  <m:rPr>
                    <m:nor/>
                  </m:rPr>
                  <w:rPr>
                    <w:rFonts w:ascii="Cambria Math" w:hAnsi="Cambria Math" w:cs="Arial"/>
                    <w:iCs/>
                    <w:lang w:val="x-none"/>
                  </w:rPr>
                  <m:t>ρk</m:t>
                </m:r>
                <m:r>
                  <m:rPr>
                    <m:nor/>
                  </m:rPr>
                  <w:rPr>
                    <w:rFonts w:ascii="Cambria Math" w:hAnsi="Cambria Math" w:cs="Cambria Math"/>
                    <w:iCs/>
                    <w:lang w:val="x-none"/>
                  </w:rPr>
                  <m:t>∇</m:t>
                </m:r>
                <m:r>
                  <m:rPr>
                    <m:nor/>
                  </m:rPr>
                  <w:rPr>
                    <w:rFonts w:ascii="Cambria Math" w:hAnsi="Cambria Math" w:cs="Arial"/>
                    <w:iCs/>
                    <w:lang w:val="x-none"/>
                  </w:rPr>
                  <m:t>∙</m:t>
                </m:r>
                <m:r>
                  <m:rPr>
                    <m:nor/>
                  </m:rPr>
                  <w:rPr>
                    <w:rFonts w:ascii="Cambria Math" w:hAnsi="Cambria Math" w:cs="Arial"/>
                    <w:b/>
                    <w:iCs/>
                    <w:lang w:val="x-none"/>
                  </w:rPr>
                  <m:t>u</m:t>
                </m:r>
              </m:oMath>
            </m:oMathPara>
          </w:p>
        </w:tc>
        <w:tc>
          <w:tcPr>
            <w:tcW w:w="680" w:type="dxa"/>
            <w:hideMark/>
          </w:tcPr>
          <w:p w:rsidR="00233599" w:rsidRPr="00D523C8" w:rsidRDefault="00233599" w:rsidP="007F2707">
            <w:pPr>
              <w:spacing w:after="160" w:line="259" w:lineRule="auto"/>
              <w:rPr>
                <w:rFonts w:ascii="Arial" w:hAnsi="Arial" w:cs="Arial"/>
              </w:rPr>
            </w:pPr>
            <w:r w:rsidRPr="00D523C8">
              <w:rPr>
                <w:rFonts w:ascii="Arial" w:hAnsi="Arial" w:cs="Arial"/>
              </w:rPr>
              <w:t>(3)</w:t>
            </w:r>
          </w:p>
        </w:tc>
      </w:tr>
    </w:tbl>
    <w:p w:rsidR="00233599" w:rsidRPr="00D523C8" w:rsidRDefault="00233599" w:rsidP="00233599">
      <w:pPr>
        <w:pStyle w:val="TextoPrincipalV2"/>
      </w:pPr>
      <w:r w:rsidRPr="00D523C8">
        <w:t xml:space="preserve">La ecuación de transporte para </w:t>
      </w:r>
      <m:oMath>
        <m:r>
          <m:rPr>
            <m:nor/>
          </m:rPr>
          <w:rPr>
            <w:lang w:val="x-none"/>
          </w:rPr>
          <m:t>ε</m:t>
        </m:r>
      </m:oMath>
      <w:r w:rsidRPr="00D523C8">
        <w:t>, es:</w:t>
      </w:r>
    </w:p>
    <w:tbl>
      <w:tblPr>
        <w:tblStyle w:val="Tablaconcuadrcula"/>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680"/>
      </w:tblGrid>
      <w:tr w:rsidR="00233599" w:rsidRPr="00D523C8" w:rsidTr="007F2707">
        <w:tc>
          <w:tcPr>
            <w:tcW w:w="8926" w:type="dxa"/>
            <w:hideMark/>
          </w:tcPr>
          <w:p w:rsidR="00233599" w:rsidRPr="00D523C8" w:rsidRDefault="00233599" w:rsidP="007F2707">
            <w:pPr>
              <w:spacing w:after="160" w:line="259" w:lineRule="auto"/>
              <w:rPr>
                <w:rFonts w:ascii="Cambria Math" w:hAnsi="Cambria Math" w:cs="Arial"/>
                <w:iCs/>
              </w:rPr>
            </w:pPr>
            <m:oMathPara>
              <m:oMath>
                <m:r>
                  <m:rPr>
                    <m:nor/>
                  </m:rPr>
                  <w:rPr>
                    <w:rFonts w:ascii="Cambria Math" w:hAnsi="Cambria Math" w:cs="Arial"/>
                    <w:iCs/>
                    <w:lang w:val="x-none"/>
                  </w:rPr>
                  <m:t>ρ</m:t>
                </m:r>
                <m:f>
                  <m:fPr>
                    <m:ctrlPr>
                      <w:rPr>
                        <w:rFonts w:ascii="Cambria Math" w:hAnsi="Cambria Math" w:cs="Arial"/>
                        <w:iCs/>
                        <w:lang w:val="x-none"/>
                      </w:rPr>
                    </m:ctrlPr>
                  </m:fPr>
                  <m:num>
                    <m:r>
                      <m:rPr>
                        <m:nor/>
                      </m:rPr>
                      <w:rPr>
                        <w:rFonts w:ascii="Cambria Math" w:hAnsi="Cambria Math" w:cs="Arial"/>
                        <w:iCs/>
                        <w:lang w:val="x-none"/>
                      </w:rPr>
                      <m:t>∂ε</m:t>
                    </m:r>
                  </m:num>
                  <m:den>
                    <m:r>
                      <m:rPr>
                        <m:nor/>
                      </m:rPr>
                      <w:rPr>
                        <w:rFonts w:ascii="Cambria Math" w:hAnsi="Cambria Math" w:cs="Arial"/>
                        <w:iCs/>
                        <w:lang w:val="x-none"/>
                      </w:rPr>
                      <m:t>∂t</m:t>
                    </m:r>
                  </m:den>
                </m:f>
                <m:r>
                  <m:rPr>
                    <m:nor/>
                  </m:rPr>
                  <w:rPr>
                    <w:rFonts w:ascii="Cambria Math" w:hAnsi="Cambria Math" w:cs="Arial"/>
                    <w:iCs/>
                    <w:lang w:val="x-none"/>
                  </w:rPr>
                  <m:t>+ρ</m:t>
                </m:r>
                <m:r>
                  <m:rPr>
                    <m:nor/>
                  </m:rPr>
                  <w:rPr>
                    <w:rFonts w:ascii="Cambria Math" w:hAnsi="Cambria Math" w:cs="Arial"/>
                    <w:b/>
                    <w:iCs/>
                    <w:lang w:val="x-none"/>
                  </w:rPr>
                  <m:t>u</m:t>
                </m:r>
                <m:r>
                  <m:rPr>
                    <m:nor/>
                  </m:rPr>
                  <w:rPr>
                    <w:rFonts w:ascii="Cambria Math" w:hAnsi="Cambria Math" w:cs="Arial"/>
                    <w:iCs/>
                    <w:lang w:val="x-none"/>
                  </w:rPr>
                  <m:t>∙</m:t>
                </m:r>
                <m:r>
                  <m:rPr>
                    <m:nor/>
                  </m:rPr>
                  <w:rPr>
                    <w:rFonts w:ascii="Cambria Math" w:hAnsi="Cambria Math" w:cs="Cambria Math"/>
                    <w:iCs/>
                    <w:lang w:val="x-none"/>
                  </w:rPr>
                  <m:t>∇</m:t>
                </m:r>
                <m:r>
                  <m:rPr>
                    <m:nor/>
                  </m:rPr>
                  <w:rPr>
                    <w:rFonts w:ascii="Cambria Math" w:hAnsi="Cambria Math" w:cs="Arial"/>
                    <w:iCs/>
                    <w:lang w:val="x-none"/>
                  </w:rPr>
                  <m:t>ε=</m:t>
                </m:r>
                <m:r>
                  <m:rPr>
                    <m:nor/>
                  </m:rPr>
                  <w:rPr>
                    <w:rFonts w:ascii="Cambria Math" w:hAnsi="Cambria Math" w:cs="Cambria Math"/>
                    <w:iCs/>
                    <w:lang w:val="x-none"/>
                  </w:rPr>
                  <m:t>∇</m:t>
                </m:r>
                <m:r>
                  <m:rPr>
                    <m:nor/>
                  </m:rPr>
                  <w:rPr>
                    <w:rFonts w:ascii="Cambria Math" w:hAnsi="Cambria Math" w:cs="Arial"/>
                    <w:iCs/>
                    <w:lang w:val="x-none"/>
                  </w:rPr>
                  <m:t>∙</m:t>
                </m:r>
                <m:d>
                  <m:dPr>
                    <m:ctrlPr>
                      <w:rPr>
                        <w:rFonts w:ascii="Cambria Math" w:hAnsi="Cambria Math" w:cs="Arial"/>
                        <w:iCs/>
                        <w:lang w:val="x-none"/>
                      </w:rPr>
                    </m:ctrlPr>
                  </m:dPr>
                  <m:e>
                    <m:d>
                      <m:dPr>
                        <m:ctrlPr>
                          <w:rPr>
                            <w:rFonts w:ascii="Cambria Math" w:hAnsi="Cambria Math" w:cs="Arial"/>
                            <w:iCs/>
                            <w:lang w:val="x-none"/>
                          </w:rPr>
                        </m:ctrlPr>
                      </m:dPr>
                      <m:e>
                        <m:r>
                          <m:rPr>
                            <m:nor/>
                          </m:rPr>
                          <w:rPr>
                            <w:rFonts w:ascii="Cambria Math" w:hAnsi="Cambria Math" w:cs="Arial"/>
                            <w:iCs/>
                            <w:lang w:val="x-none"/>
                          </w:rPr>
                          <m:t>μ+</m:t>
                        </m:r>
                        <m:f>
                          <m:fPr>
                            <m:ctrlPr>
                              <w:rPr>
                                <w:rFonts w:ascii="Cambria Math" w:hAnsi="Cambria Math" w:cs="Arial"/>
                                <w:iCs/>
                                <w:lang w:val="x-none"/>
                              </w:rPr>
                            </m:ctrlPr>
                          </m:fPr>
                          <m:num>
                            <m:sSub>
                              <m:sSubPr>
                                <m:ctrlPr>
                                  <w:rPr>
                                    <w:rFonts w:ascii="Cambria Math" w:hAnsi="Cambria Math" w:cs="Arial"/>
                                    <w:iCs/>
                                    <w:lang w:val="x-none"/>
                                  </w:rPr>
                                </m:ctrlPr>
                              </m:sSubPr>
                              <m:e>
                                <m:r>
                                  <m:rPr>
                                    <m:nor/>
                                  </m:rPr>
                                  <w:rPr>
                                    <w:rFonts w:ascii="Cambria Math" w:hAnsi="Cambria Math" w:cs="Arial"/>
                                    <w:iCs/>
                                    <w:lang w:val="x-none"/>
                                  </w:rPr>
                                  <m:t>μ</m:t>
                                </m:r>
                              </m:e>
                              <m:sub>
                                <m:r>
                                  <m:rPr>
                                    <m:nor/>
                                  </m:rPr>
                                  <w:rPr>
                                    <w:rFonts w:ascii="Cambria Math" w:hAnsi="Cambria Math" w:cs="Arial"/>
                                    <w:iCs/>
                                    <w:lang w:val="x-none"/>
                                  </w:rPr>
                                  <m:t>T</m:t>
                                </m:r>
                              </m:sub>
                            </m:sSub>
                          </m:num>
                          <m:den>
                            <m:sSub>
                              <m:sSubPr>
                                <m:ctrlPr>
                                  <w:rPr>
                                    <w:rFonts w:ascii="Cambria Math" w:hAnsi="Cambria Math" w:cs="Arial"/>
                                    <w:iCs/>
                                    <w:lang w:val="x-none"/>
                                  </w:rPr>
                                </m:ctrlPr>
                              </m:sSubPr>
                              <m:e>
                                <m:r>
                                  <m:rPr>
                                    <m:nor/>
                                  </m:rPr>
                                  <w:rPr>
                                    <w:rFonts w:ascii="Cambria Math" w:hAnsi="Cambria Math" w:cs="Arial"/>
                                    <w:iCs/>
                                    <w:lang w:val="x-none"/>
                                  </w:rPr>
                                  <m:t>σ</m:t>
                                </m:r>
                              </m:e>
                              <m:sub>
                                <m:r>
                                  <m:rPr>
                                    <m:nor/>
                                  </m:rPr>
                                  <w:rPr>
                                    <w:rFonts w:ascii="Cambria Math" w:hAnsi="Cambria Math" w:cs="Arial"/>
                                    <w:iCs/>
                                    <w:lang w:val="x-none"/>
                                  </w:rPr>
                                  <m:t>ε</m:t>
                                </m:r>
                              </m:sub>
                            </m:sSub>
                          </m:den>
                        </m:f>
                      </m:e>
                    </m:d>
                    <m:r>
                      <m:rPr>
                        <m:nor/>
                      </m:rPr>
                      <w:rPr>
                        <w:rFonts w:ascii="Cambria Math" w:hAnsi="Cambria Math" w:cs="Cambria Math"/>
                        <w:iCs/>
                        <w:lang w:val="x-none"/>
                      </w:rPr>
                      <m:t>∇</m:t>
                    </m:r>
                    <m:r>
                      <m:rPr>
                        <m:nor/>
                      </m:rPr>
                      <w:rPr>
                        <w:rFonts w:ascii="Cambria Math" w:hAnsi="Cambria Math" w:cs="Arial"/>
                        <w:iCs/>
                        <w:lang w:val="x-none"/>
                      </w:rPr>
                      <m:t>ε</m:t>
                    </m:r>
                  </m:e>
                </m:d>
                <m:r>
                  <m:rPr>
                    <m:nor/>
                  </m:rPr>
                  <w:rPr>
                    <w:rFonts w:ascii="Cambria Math" w:hAnsi="Cambria Math" w:cs="Arial"/>
                    <w:iCs/>
                    <w:lang w:val="x-none"/>
                  </w:rPr>
                  <m:t>+</m:t>
                </m:r>
                <m:sSub>
                  <m:sSubPr>
                    <m:ctrlPr>
                      <w:rPr>
                        <w:rFonts w:ascii="Cambria Math" w:hAnsi="Cambria Math" w:cs="Arial"/>
                        <w:iCs/>
                        <w:lang w:val="x-none"/>
                      </w:rPr>
                    </m:ctrlPr>
                  </m:sSubPr>
                  <m:e>
                    <m:r>
                      <m:rPr>
                        <m:nor/>
                      </m:rPr>
                      <w:rPr>
                        <w:rFonts w:ascii="Cambria Math" w:hAnsi="Cambria Math" w:cs="Arial"/>
                        <w:iCs/>
                        <w:lang w:val="x-none"/>
                      </w:rPr>
                      <m:t>C</m:t>
                    </m:r>
                  </m:e>
                  <m:sub>
                    <m:r>
                      <m:rPr>
                        <m:nor/>
                      </m:rPr>
                      <w:rPr>
                        <w:rFonts w:ascii="Cambria Math" w:hAnsi="Cambria Math" w:cs="Arial"/>
                        <w:iCs/>
                        <w:lang w:val="x-none"/>
                      </w:rPr>
                      <m:t>ε1</m:t>
                    </m:r>
                  </m:sub>
                </m:sSub>
                <m:f>
                  <m:fPr>
                    <m:ctrlPr>
                      <w:rPr>
                        <w:rFonts w:ascii="Cambria Math" w:hAnsi="Cambria Math" w:cs="Arial"/>
                        <w:iCs/>
                        <w:lang w:val="x-none"/>
                      </w:rPr>
                    </m:ctrlPr>
                  </m:fPr>
                  <m:num>
                    <m:r>
                      <m:rPr>
                        <m:nor/>
                      </m:rPr>
                      <w:rPr>
                        <w:rFonts w:ascii="Cambria Math" w:hAnsi="Cambria Math" w:cs="Arial"/>
                        <w:iCs/>
                        <w:lang w:val="x-none"/>
                      </w:rPr>
                      <m:t>ε</m:t>
                    </m:r>
                  </m:num>
                  <m:den>
                    <m:r>
                      <m:rPr>
                        <m:nor/>
                      </m:rPr>
                      <w:rPr>
                        <w:rFonts w:ascii="Cambria Math" w:hAnsi="Cambria Math" w:cs="Arial"/>
                        <w:iCs/>
                        <w:lang w:val="x-none"/>
                      </w:rPr>
                      <m:t>k</m:t>
                    </m:r>
                  </m:den>
                </m:f>
                <m:sSub>
                  <m:sSubPr>
                    <m:ctrlPr>
                      <w:rPr>
                        <w:rFonts w:ascii="Cambria Math" w:hAnsi="Cambria Math" w:cs="Arial"/>
                        <w:iCs/>
                        <w:lang w:val="x-none"/>
                      </w:rPr>
                    </m:ctrlPr>
                  </m:sSubPr>
                  <m:e>
                    <m:r>
                      <m:rPr>
                        <m:nor/>
                      </m:rPr>
                      <w:rPr>
                        <w:rFonts w:ascii="Cambria Math" w:hAnsi="Cambria Math" w:cs="Arial"/>
                        <w:iCs/>
                        <w:lang w:val="x-none"/>
                      </w:rPr>
                      <m:t>P</m:t>
                    </m:r>
                  </m:e>
                  <m:sub>
                    <m:r>
                      <m:rPr>
                        <m:nor/>
                      </m:rPr>
                      <w:rPr>
                        <w:rFonts w:ascii="Cambria Math" w:hAnsi="Cambria Math" w:cs="Arial"/>
                        <w:iCs/>
                        <w:lang w:val="x-none"/>
                      </w:rPr>
                      <m:t>k</m:t>
                    </m:r>
                  </m:sub>
                </m:sSub>
                <m:r>
                  <m:rPr>
                    <m:nor/>
                  </m:rPr>
                  <w:rPr>
                    <w:rFonts w:ascii="Cambria Math" w:hAnsi="Cambria Math" w:cs="Arial"/>
                    <w:iCs/>
                    <w:lang w:val="x-none"/>
                  </w:rPr>
                  <m:t>-</m:t>
                </m:r>
                <m:sSub>
                  <m:sSubPr>
                    <m:ctrlPr>
                      <w:rPr>
                        <w:rFonts w:ascii="Cambria Math" w:hAnsi="Cambria Math" w:cs="Arial"/>
                        <w:iCs/>
                        <w:lang w:val="x-none"/>
                      </w:rPr>
                    </m:ctrlPr>
                  </m:sSubPr>
                  <m:e>
                    <m:r>
                      <m:rPr>
                        <m:nor/>
                      </m:rPr>
                      <w:rPr>
                        <w:rFonts w:ascii="Cambria Math" w:hAnsi="Cambria Math" w:cs="Arial"/>
                        <w:iCs/>
                        <w:lang w:val="x-none"/>
                      </w:rPr>
                      <m:t>C</m:t>
                    </m:r>
                  </m:e>
                  <m:sub>
                    <m:r>
                      <m:rPr>
                        <m:nor/>
                      </m:rPr>
                      <w:rPr>
                        <w:rFonts w:ascii="Cambria Math" w:hAnsi="Cambria Math" w:cs="Arial"/>
                        <w:iCs/>
                        <w:lang w:val="x-none"/>
                      </w:rPr>
                      <m:t>ε2</m:t>
                    </m:r>
                  </m:sub>
                </m:sSub>
                <m:r>
                  <m:rPr>
                    <m:nor/>
                  </m:rPr>
                  <w:rPr>
                    <w:rFonts w:ascii="Cambria Math" w:hAnsi="Cambria Math" w:cs="Arial"/>
                    <w:iCs/>
                    <w:lang w:val="x-none"/>
                  </w:rPr>
                  <m:t>ρ</m:t>
                </m:r>
                <m:f>
                  <m:fPr>
                    <m:ctrlPr>
                      <w:rPr>
                        <w:rFonts w:ascii="Cambria Math" w:hAnsi="Cambria Math" w:cs="Arial"/>
                        <w:iCs/>
                        <w:lang w:val="x-none"/>
                      </w:rPr>
                    </m:ctrlPr>
                  </m:fPr>
                  <m:num>
                    <m:sSup>
                      <m:sSupPr>
                        <m:ctrlPr>
                          <w:rPr>
                            <w:rFonts w:ascii="Cambria Math" w:hAnsi="Cambria Math" w:cs="Arial"/>
                            <w:iCs/>
                            <w:lang w:val="x-none"/>
                          </w:rPr>
                        </m:ctrlPr>
                      </m:sSupPr>
                      <m:e>
                        <m:r>
                          <m:rPr>
                            <m:nor/>
                          </m:rPr>
                          <w:rPr>
                            <w:rFonts w:ascii="Cambria Math" w:hAnsi="Cambria Math" w:cs="Arial"/>
                            <w:iCs/>
                            <w:lang w:val="x-none"/>
                          </w:rPr>
                          <m:t>ε</m:t>
                        </m:r>
                      </m:e>
                      <m:sup>
                        <m:r>
                          <m:rPr>
                            <m:nor/>
                          </m:rPr>
                          <w:rPr>
                            <w:rFonts w:ascii="Cambria Math" w:hAnsi="Cambria Math" w:cs="Arial"/>
                            <w:iCs/>
                            <w:lang w:val="x-none"/>
                          </w:rPr>
                          <m:t>2</m:t>
                        </m:r>
                      </m:sup>
                    </m:sSup>
                  </m:num>
                  <m:den>
                    <m:r>
                      <m:rPr>
                        <m:nor/>
                      </m:rPr>
                      <w:rPr>
                        <w:rFonts w:ascii="Cambria Math" w:hAnsi="Cambria Math" w:cs="Arial"/>
                        <w:iCs/>
                        <w:lang w:val="x-none"/>
                      </w:rPr>
                      <m:t>k</m:t>
                    </m:r>
                  </m:den>
                </m:f>
              </m:oMath>
            </m:oMathPara>
          </w:p>
        </w:tc>
        <w:tc>
          <w:tcPr>
            <w:tcW w:w="680" w:type="dxa"/>
            <w:hideMark/>
          </w:tcPr>
          <w:p w:rsidR="00233599" w:rsidRPr="00D523C8" w:rsidRDefault="00233599" w:rsidP="007F2707">
            <w:pPr>
              <w:spacing w:after="160" w:line="259" w:lineRule="auto"/>
              <w:rPr>
                <w:rFonts w:ascii="Arial" w:hAnsi="Arial" w:cs="Arial"/>
              </w:rPr>
            </w:pPr>
            <w:r w:rsidRPr="00D523C8">
              <w:rPr>
                <w:rFonts w:ascii="Arial" w:hAnsi="Arial" w:cs="Arial"/>
              </w:rPr>
              <w:t>(4)</w:t>
            </w:r>
          </w:p>
        </w:tc>
      </w:tr>
    </w:tbl>
    <w:p w:rsidR="00233599" w:rsidRPr="00D523C8" w:rsidRDefault="00233599" w:rsidP="00233599">
      <w:pPr>
        <w:pStyle w:val="TextoPrincipalV2"/>
      </w:pPr>
      <w:r w:rsidRPr="00D523C8">
        <w:t xml:space="preserve">Las constantes empíricas del modelo de turbulencia realizable </w:t>
      </w:r>
      <m:oMath>
        <m:r>
          <m:rPr>
            <m:sty m:val="p"/>
          </m:rPr>
          <w:rPr>
            <w:rFonts w:ascii="Cambria Math" w:hAnsi="Cambria Math"/>
          </w:rPr>
          <m:t>k-</m:t>
        </m:r>
        <m:r>
          <m:rPr>
            <m:sty m:val="p"/>
          </m:rPr>
          <w:rPr>
            <w:rFonts w:ascii="Cambria Math" w:hAnsi="Cambria Math"/>
            <w:lang w:val="x-none"/>
          </w:rPr>
          <m:t>ε</m:t>
        </m:r>
      </m:oMath>
      <w:r w:rsidRPr="00D523C8">
        <w:t>, son:</w:t>
      </w:r>
    </w:p>
    <w:p w:rsidR="00233599" w:rsidRPr="00D523C8" w:rsidRDefault="00233599" w:rsidP="00233599">
      <w:pPr>
        <w:pStyle w:val="TextoPrincipalV2"/>
        <w:rPr>
          <w:rFonts w:ascii="Cambria Math" w:hAnsi="Cambria Math"/>
        </w:rPr>
      </w:pPr>
    </w:p>
    <w:p w:rsidR="00233599" w:rsidRPr="00D523C8" w:rsidRDefault="001345E4" w:rsidP="00233599">
      <w:pPr>
        <w:spacing w:after="160" w:line="259" w:lineRule="auto"/>
        <w:jc w:val="center"/>
        <w:rPr>
          <w:rFonts w:ascii="Cambria Math" w:hAnsi="Cambria Math" w:cs="Arial"/>
          <w:iCs/>
          <w:lang w:val="es-MX"/>
        </w:rPr>
      </w:pPr>
      <m:oMath>
        <m:sSub>
          <m:sSubPr>
            <m:ctrlPr>
              <w:rPr>
                <w:rFonts w:ascii="Cambria Math" w:hAnsi="Cambria Math" w:cs="Arial"/>
                <w:iCs/>
                <w:lang w:val="en-US"/>
              </w:rPr>
            </m:ctrlPr>
          </m:sSubPr>
          <m:e>
            <m:r>
              <m:rPr>
                <m:nor/>
              </m:rPr>
              <w:rPr>
                <w:rFonts w:ascii="Cambria Math" w:hAnsi="Cambria Math" w:cs="Arial"/>
                <w:iCs/>
                <w:lang w:val="es-MX"/>
              </w:rPr>
              <m:t>C</m:t>
            </m:r>
          </m:e>
          <m:sub>
            <m:r>
              <m:rPr>
                <m:nor/>
              </m:rPr>
              <w:rPr>
                <w:rFonts w:ascii="Cambria Math" w:hAnsi="Cambria Math" w:cs="Arial"/>
                <w:iCs/>
                <w:lang w:val="en-US"/>
              </w:rPr>
              <m:t>ε</m:t>
            </m:r>
            <m:r>
              <m:rPr>
                <m:nor/>
              </m:rPr>
              <w:rPr>
                <w:rFonts w:ascii="Cambria Math" w:hAnsi="Cambria Math" w:cs="Arial"/>
                <w:iCs/>
                <w:lang w:val="es-MX"/>
              </w:rPr>
              <m:t>1</m:t>
            </m:r>
          </m:sub>
        </m:sSub>
        <m:r>
          <m:rPr>
            <m:nor/>
          </m:rPr>
          <w:rPr>
            <w:rFonts w:ascii="Cambria Math" w:hAnsi="Cambria Math" w:cs="Arial"/>
            <w:iCs/>
            <w:lang w:val="es-MX"/>
          </w:rPr>
          <m:t>=1.44</m:t>
        </m:r>
      </m:oMath>
      <w:r w:rsidR="00233599" w:rsidRPr="00D523C8">
        <w:rPr>
          <w:rFonts w:ascii="Cambria Math" w:hAnsi="Cambria Math" w:cs="Arial"/>
          <w:iCs/>
          <w:lang w:val="es-MX"/>
        </w:rPr>
        <w:t xml:space="preserve">; </w:t>
      </w:r>
      <m:oMath>
        <m:sSub>
          <m:sSubPr>
            <m:ctrlPr>
              <w:rPr>
                <w:rFonts w:ascii="Cambria Math" w:hAnsi="Cambria Math" w:cs="Arial"/>
                <w:iCs/>
                <w:lang w:val="en-US"/>
              </w:rPr>
            </m:ctrlPr>
          </m:sSubPr>
          <m:e>
            <m:r>
              <m:rPr>
                <m:nor/>
              </m:rPr>
              <w:rPr>
                <w:rFonts w:ascii="Cambria Math" w:hAnsi="Cambria Math" w:cs="Arial"/>
                <w:iCs/>
                <w:lang w:val="es-MX"/>
              </w:rPr>
              <m:t>C</m:t>
            </m:r>
          </m:e>
          <m:sub>
            <m:r>
              <m:rPr>
                <m:nor/>
              </m:rPr>
              <w:rPr>
                <w:rFonts w:ascii="Cambria Math" w:hAnsi="Cambria Math" w:cs="Arial"/>
                <w:iCs/>
                <w:lang w:val="en-US"/>
              </w:rPr>
              <m:t>ε</m:t>
            </m:r>
            <m:r>
              <m:rPr>
                <m:nor/>
              </m:rPr>
              <w:rPr>
                <w:rFonts w:ascii="Cambria Math" w:hAnsi="Cambria Math" w:cs="Arial"/>
                <w:iCs/>
                <w:lang w:val="es-MX"/>
              </w:rPr>
              <m:t>2</m:t>
            </m:r>
          </m:sub>
        </m:sSub>
        <m:r>
          <m:rPr>
            <m:nor/>
          </m:rPr>
          <w:rPr>
            <w:rFonts w:ascii="Cambria Math" w:hAnsi="Cambria Math" w:cs="Arial"/>
            <w:iCs/>
            <w:lang w:val="es-MX"/>
          </w:rPr>
          <m:t>=1.9</m:t>
        </m:r>
      </m:oMath>
      <w:r w:rsidR="00233599" w:rsidRPr="00D523C8">
        <w:rPr>
          <w:rFonts w:ascii="Cambria Math" w:hAnsi="Cambria Math" w:cs="Arial"/>
          <w:iCs/>
          <w:lang w:val="es-MX"/>
        </w:rPr>
        <w:t xml:space="preserve">; </w:t>
      </w:r>
      <m:oMath>
        <m:sSub>
          <m:sSubPr>
            <m:ctrlPr>
              <w:rPr>
                <w:rFonts w:ascii="Cambria Math" w:hAnsi="Cambria Math" w:cs="Arial"/>
                <w:iCs/>
                <w:lang w:val="en-US"/>
              </w:rPr>
            </m:ctrlPr>
          </m:sSubPr>
          <m:e>
            <m:r>
              <m:rPr>
                <m:nor/>
              </m:rPr>
              <w:rPr>
                <w:rFonts w:ascii="Cambria Math" w:hAnsi="Cambria Math" w:cs="Arial"/>
                <w:iCs/>
                <w:lang w:val="en-US"/>
              </w:rPr>
              <m:t>σ</m:t>
            </m:r>
          </m:e>
          <m:sub>
            <m:r>
              <m:rPr>
                <m:nor/>
              </m:rPr>
              <w:rPr>
                <w:rFonts w:ascii="Cambria Math" w:hAnsi="Cambria Math" w:cs="Arial"/>
                <w:iCs/>
                <w:lang w:val="es-MX"/>
              </w:rPr>
              <m:t>k</m:t>
            </m:r>
          </m:sub>
        </m:sSub>
        <m:r>
          <m:rPr>
            <m:nor/>
          </m:rPr>
          <w:rPr>
            <w:rFonts w:ascii="Cambria Math" w:hAnsi="Cambria Math" w:cs="Arial"/>
            <w:iCs/>
            <w:lang w:val="es-MX"/>
          </w:rPr>
          <m:t>=1</m:t>
        </m:r>
      </m:oMath>
      <w:r w:rsidR="00233599" w:rsidRPr="00D523C8">
        <w:rPr>
          <w:rFonts w:ascii="Cambria Math" w:hAnsi="Cambria Math" w:cs="Arial"/>
          <w:iCs/>
          <w:lang w:val="es-MX"/>
        </w:rPr>
        <w:t xml:space="preserve">; </w:t>
      </w:r>
      <m:oMath>
        <m:sSub>
          <m:sSubPr>
            <m:ctrlPr>
              <w:rPr>
                <w:rFonts w:ascii="Cambria Math" w:hAnsi="Cambria Math" w:cs="Arial"/>
                <w:iCs/>
                <w:lang w:val="en-US"/>
              </w:rPr>
            </m:ctrlPr>
          </m:sSubPr>
          <m:e>
            <m:r>
              <m:rPr>
                <m:nor/>
              </m:rPr>
              <w:rPr>
                <w:rFonts w:ascii="Cambria Math" w:hAnsi="Cambria Math" w:cs="Arial"/>
                <w:iCs/>
                <w:lang w:val="en-US"/>
              </w:rPr>
              <m:t>σ</m:t>
            </m:r>
          </m:e>
          <m:sub>
            <m:r>
              <m:rPr>
                <m:nor/>
              </m:rPr>
              <w:rPr>
                <w:rFonts w:ascii="Cambria Math" w:hAnsi="Cambria Math" w:cs="Arial"/>
                <w:iCs/>
                <w:lang w:val="en-US"/>
              </w:rPr>
              <m:t>ε</m:t>
            </m:r>
          </m:sub>
        </m:sSub>
        <m:r>
          <m:rPr>
            <m:nor/>
          </m:rPr>
          <w:rPr>
            <w:rFonts w:ascii="Cambria Math" w:hAnsi="Cambria Math" w:cs="Arial"/>
            <w:iCs/>
            <w:lang w:val="es-MX"/>
          </w:rPr>
          <m:t>=1.2</m:t>
        </m:r>
      </m:oMath>
    </w:p>
    <w:p w:rsidR="00233599" w:rsidRPr="00D523C8" w:rsidRDefault="00233599" w:rsidP="00233599">
      <w:pPr>
        <w:pStyle w:val="TextoPrincipalV2"/>
      </w:pPr>
      <w:r w:rsidRPr="00D523C8">
        <w:t xml:space="preserve">El modelo realizable </w:t>
      </w:r>
      <m:oMath>
        <m:r>
          <m:rPr>
            <m:sty m:val="p"/>
          </m:rPr>
          <w:rPr>
            <w:rFonts w:ascii="Cambria Math" w:hAnsi="Cambria Math"/>
          </w:rPr>
          <m:t>k-ε</m:t>
        </m:r>
      </m:oMath>
      <w:r w:rsidRPr="00D523C8">
        <w:t xml:space="preserve"> proporciona un rendimiento satisfactorio para flujos turbulentos, flujos en rotación, efecto de capas límite bajo fuerte gradiente adverso de presión y recirculación </w:t>
      </w:r>
      <w:r w:rsidRPr="00D523C8">
        <w:rPr>
          <w:vertAlign w:val="superscript"/>
        </w:rPr>
        <w:t>[9]</w:t>
      </w:r>
      <w:r w:rsidRPr="00D523C8">
        <w:t>.</w:t>
      </w:r>
    </w:p>
    <w:p w:rsidR="00233599" w:rsidRPr="00D523C8" w:rsidRDefault="00233599" w:rsidP="00233599">
      <w:pPr>
        <w:pStyle w:val="TextoPrincipalV2"/>
      </w:pPr>
    </w:p>
    <w:p w:rsidR="00233599" w:rsidRPr="00D523C8" w:rsidRDefault="00233599" w:rsidP="00233599">
      <w:pPr>
        <w:pStyle w:val="111Titulo"/>
        <w:numPr>
          <w:ilvl w:val="0"/>
          <w:numId w:val="0"/>
        </w:numPr>
        <w:ind w:left="720" w:hanging="720"/>
      </w:pPr>
      <w:r w:rsidRPr="00D523C8">
        <w:t>3.2.2 Transferencia de calor en fluidos</w:t>
      </w:r>
    </w:p>
    <w:p w:rsidR="00233599" w:rsidRPr="00D523C8" w:rsidRDefault="00233599" w:rsidP="00233599">
      <w:pPr>
        <w:pStyle w:val="TextoPrincipalV2"/>
      </w:pPr>
      <w:r w:rsidRPr="00D523C8">
        <w:t>La interfaz de transferencia de calor en fluidos se resuelve con la siguiente ecuación:</w:t>
      </w:r>
    </w:p>
    <w:tbl>
      <w:tblPr>
        <w:tblStyle w:val="Tablaconcuadrcula1"/>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gridCol w:w="709"/>
      </w:tblGrid>
      <w:tr w:rsidR="00233599" w:rsidRPr="00D523C8" w:rsidTr="007F2707">
        <w:tc>
          <w:tcPr>
            <w:tcW w:w="8897" w:type="dxa"/>
            <w:hideMark/>
          </w:tcPr>
          <w:p w:rsidR="00233599" w:rsidRPr="00D523C8" w:rsidRDefault="00233599" w:rsidP="007F2707">
            <w:pPr>
              <w:spacing w:after="160" w:line="259" w:lineRule="auto"/>
              <w:jc w:val="both"/>
              <w:rPr>
                <w:rFonts w:ascii="Cambria Math" w:hAnsi="Cambria Math"/>
                <w:iCs/>
                <w:lang w:val="es-MX"/>
              </w:rPr>
            </w:pPr>
            <m:oMathPara>
              <m:oMath>
                <m:r>
                  <m:rPr>
                    <m:nor/>
                  </m:rPr>
                  <w:rPr>
                    <w:rFonts w:ascii="Cambria Math" w:hAnsi="Cambria Math"/>
                    <w:iCs/>
                    <w:lang w:val="en-US"/>
                  </w:rPr>
                  <m:t>ρ</m:t>
                </m:r>
                <m:sSub>
                  <m:sSubPr>
                    <m:ctrlPr>
                      <w:rPr>
                        <w:rFonts w:ascii="Cambria Math" w:hAnsi="Cambria Math"/>
                        <w:iCs/>
                        <w:lang w:val="en-US"/>
                      </w:rPr>
                    </m:ctrlPr>
                  </m:sSubPr>
                  <m:e>
                    <m:r>
                      <m:rPr>
                        <m:nor/>
                      </m:rPr>
                      <w:rPr>
                        <w:rFonts w:ascii="Cambria Math" w:hAnsi="Cambria Math"/>
                        <w:iCs/>
                        <w:lang w:val="es-MX"/>
                      </w:rPr>
                      <m:t>C</m:t>
                    </m:r>
                  </m:e>
                  <m:sub>
                    <m:r>
                      <m:rPr>
                        <m:nor/>
                      </m:rPr>
                      <w:rPr>
                        <w:rFonts w:ascii="Cambria Math" w:hAnsi="Cambria Math"/>
                        <w:iCs/>
                        <w:lang w:val="es-MX"/>
                      </w:rPr>
                      <m:t>p</m:t>
                    </m:r>
                  </m:sub>
                </m:sSub>
                <m:d>
                  <m:dPr>
                    <m:ctrlPr>
                      <w:rPr>
                        <w:rFonts w:ascii="Cambria Math" w:hAnsi="Cambria Math"/>
                        <w:iCs/>
                        <w:lang w:val="en-US"/>
                      </w:rPr>
                    </m:ctrlPr>
                  </m:dPr>
                  <m:e>
                    <m:f>
                      <m:fPr>
                        <m:ctrlPr>
                          <w:rPr>
                            <w:rFonts w:ascii="Cambria Math" w:hAnsi="Cambria Math"/>
                            <w:iCs/>
                            <w:lang w:val="en-US"/>
                          </w:rPr>
                        </m:ctrlPr>
                      </m:fPr>
                      <m:num>
                        <m:r>
                          <m:rPr>
                            <m:nor/>
                          </m:rPr>
                          <w:rPr>
                            <w:rFonts w:ascii="Cambria Math" w:hAnsi="Cambria Math"/>
                            <w:iCs/>
                            <w:lang w:val="es-MX"/>
                          </w:rPr>
                          <m:t>∂T</m:t>
                        </m:r>
                      </m:num>
                      <m:den>
                        <m:r>
                          <m:rPr>
                            <m:nor/>
                          </m:rPr>
                          <w:rPr>
                            <w:rFonts w:ascii="Cambria Math" w:hAnsi="Cambria Math"/>
                            <w:iCs/>
                            <w:lang w:val="es-MX"/>
                          </w:rPr>
                          <m:t>∂t</m:t>
                        </m:r>
                      </m:den>
                    </m:f>
                    <m:r>
                      <m:rPr>
                        <m:nor/>
                      </m:rPr>
                      <w:rPr>
                        <w:rFonts w:ascii="Cambria Math" w:hAnsi="Cambria Math"/>
                        <w:iCs/>
                        <w:lang w:val="es-MX"/>
                      </w:rPr>
                      <m:t>+</m:t>
                    </m:r>
                    <m:r>
                      <m:rPr>
                        <m:nor/>
                      </m:rPr>
                      <w:rPr>
                        <w:rFonts w:ascii="Cambria Math" w:hAnsi="Cambria Math"/>
                        <w:b/>
                        <w:iCs/>
                        <w:lang w:val="es-MX"/>
                      </w:rPr>
                      <m:t>u</m:t>
                    </m:r>
                    <m:r>
                      <m:rPr>
                        <m:nor/>
                      </m:rPr>
                      <w:rPr>
                        <w:rFonts w:ascii="Cambria Math" w:hAnsi="Cambria Math"/>
                        <w:iCs/>
                        <w:lang w:val="es-MX"/>
                      </w:rPr>
                      <m:t>∙</m:t>
                    </m:r>
                    <m:r>
                      <m:rPr>
                        <m:nor/>
                      </m:rPr>
                      <w:rPr>
                        <w:rFonts w:ascii="Cambria Math" w:hAnsi="Cambria Math" w:cs="Cambria Math"/>
                        <w:iCs/>
                        <w:lang w:val="es-MX"/>
                      </w:rPr>
                      <m:t>∇</m:t>
                    </m:r>
                    <m:r>
                      <m:rPr>
                        <m:nor/>
                      </m:rPr>
                      <w:rPr>
                        <w:rFonts w:ascii="Cambria Math" w:hAnsi="Cambria Math"/>
                        <w:iCs/>
                        <w:lang w:val="es-MX"/>
                      </w:rPr>
                      <m:t>T</m:t>
                    </m:r>
                  </m:e>
                </m:d>
                <m:r>
                  <m:rPr>
                    <m:nor/>
                  </m:rPr>
                  <w:rPr>
                    <w:rFonts w:ascii="Cambria Math" w:hAnsi="Cambria Math"/>
                    <w:iCs/>
                    <w:lang w:val="es-MX"/>
                  </w:rPr>
                  <m:t>+</m:t>
                </m:r>
                <m:r>
                  <m:rPr>
                    <m:nor/>
                  </m:rPr>
                  <w:rPr>
                    <w:rFonts w:ascii="Cambria Math" w:hAnsi="Cambria Math" w:cs="Cambria Math"/>
                    <w:iCs/>
                    <w:lang w:val="es-MX"/>
                  </w:rPr>
                  <m:t>∇</m:t>
                </m:r>
                <m:r>
                  <m:rPr>
                    <m:nor/>
                  </m:rPr>
                  <w:rPr>
                    <w:rFonts w:ascii="Cambria Math" w:hAnsi="Cambria Math"/>
                    <w:iCs/>
                    <w:lang w:val="es-MX"/>
                  </w:rPr>
                  <m:t>∙</m:t>
                </m:r>
                <m:d>
                  <m:dPr>
                    <m:ctrlPr>
                      <w:rPr>
                        <w:rFonts w:ascii="Cambria Math" w:hAnsi="Cambria Math"/>
                        <w:iCs/>
                        <w:lang w:val="en-US"/>
                      </w:rPr>
                    </m:ctrlPr>
                  </m:dPr>
                  <m:e>
                    <m:r>
                      <m:rPr>
                        <m:nor/>
                      </m:rPr>
                      <w:rPr>
                        <w:rFonts w:ascii="Cambria Math" w:hAnsi="Cambria Math"/>
                        <w:b/>
                        <w:iCs/>
                        <w:lang w:val="es-MX"/>
                      </w:rPr>
                      <m:t>q</m:t>
                    </m:r>
                    <m:r>
                      <m:rPr>
                        <m:nor/>
                      </m:rPr>
                      <w:rPr>
                        <w:rFonts w:ascii="Cambria Math" w:hAnsi="Cambria Math"/>
                        <w:iCs/>
                        <w:lang w:val="es-MX"/>
                      </w:rPr>
                      <m:t>+</m:t>
                    </m:r>
                    <m:sSub>
                      <m:sSubPr>
                        <m:ctrlPr>
                          <w:rPr>
                            <w:rFonts w:ascii="Cambria Math" w:hAnsi="Cambria Math"/>
                            <w:b/>
                            <w:iCs/>
                            <w:lang w:val="en-US"/>
                          </w:rPr>
                        </m:ctrlPr>
                      </m:sSubPr>
                      <m:e>
                        <m:r>
                          <m:rPr>
                            <m:nor/>
                          </m:rPr>
                          <w:rPr>
                            <w:rFonts w:ascii="Cambria Math" w:hAnsi="Cambria Math"/>
                            <w:b/>
                            <w:iCs/>
                            <w:lang w:val="es-MX"/>
                          </w:rPr>
                          <m:t>q</m:t>
                        </m:r>
                      </m:e>
                      <m:sub>
                        <m:r>
                          <m:rPr>
                            <m:nor/>
                          </m:rPr>
                          <w:rPr>
                            <w:rFonts w:ascii="Cambria Math" w:hAnsi="Cambria Math"/>
                            <w:b/>
                            <w:iCs/>
                            <w:lang w:val="es-MX"/>
                          </w:rPr>
                          <m:t>r</m:t>
                        </m:r>
                      </m:sub>
                    </m:sSub>
                  </m:e>
                </m:d>
                <m:r>
                  <m:rPr>
                    <m:nor/>
                  </m:rPr>
                  <w:rPr>
                    <w:rFonts w:ascii="Cambria Math" w:hAnsi="Cambria Math"/>
                    <w:iCs/>
                    <w:lang w:val="es-MX"/>
                  </w:rPr>
                  <m:t>=-</m:t>
                </m:r>
                <m:sSub>
                  <m:sSubPr>
                    <m:ctrlPr>
                      <w:rPr>
                        <w:rFonts w:ascii="Cambria Math" w:hAnsi="Cambria Math"/>
                        <w:iCs/>
                      </w:rPr>
                    </m:ctrlPr>
                  </m:sSubPr>
                  <m:e>
                    <m:d>
                      <m:dPr>
                        <m:begChr m:val=""/>
                        <m:endChr m:val="|"/>
                        <m:ctrlPr>
                          <w:rPr>
                            <w:rFonts w:ascii="Cambria Math" w:hAnsi="Cambria Math"/>
                            <w:iCs/>
                          </w:rPr>
                        </m:ctrlPr>
                      </m:dPr>
                      <m:e>
                        <m:f>
                          <m:fPr>
                            <m:ctrlPr>
                              <w:rPr>
                                <w:rFonts w:ascii="Cambria Math" w:hAnsi="Cambria Math"/>
                                <w:iCs/>
                                <w:lang w:val="en-US"/>
                              </w:rPr>
                            </m:ctrlPr>
                          </m:fPr>
                          <m:num>
                            <m:r>
                              <m:rPr>
                                <m:sty m:val="p"/>
                              </m:rPr>
                              <w:rPr>
                                <w:rFonts w:ascii="Cambria Math" w:hAnsi="Cambria Math"/>
                                <w:lang w:val="es-MX"/>
                              </w:rPr>
                              <m:t>T∂p</m:t>
                            </m:r>
                          </m:num>
                          <m:den>
                            <m:r>
                              <m:rPr>
                                <m:sty m:val="p"/>
                              </m:rPr>
                              <w:rPr>
                                <w:rFonts w:ascii="Cambria Math" w:hAnsi="Cambria Math"/>
                                <w:lang w:val="en-US"/>
                              </w:rPr>
                              <m:t>ρ</m:t>
                            </m:r>
                            <m:r>
                              <m:rPr>
                                <m:sty m:val="p"/>
                              </m:rPr>
                              <w:rPr>
                                <w:rFonts w:ascii="Cambria Math" w:hAnsi="Cambria Math"/>
                                <w:lang w:val="es-MX"/>
                              </w:rPr>
                              <m:t>∂T</m:t>
                            </m:r>
                          </m:den>
                        </m:f>
                      </m:e>
                    </m:d>
                  </m:e>
                  <m:sub>
                    <m:r>
                      <m:rPr>
                        <m:sty m:val="p"/>
                      </m:rPr>
                      <w:rPr>
                        <w:rFonts w:ascii="Cambria Math" w:hAnsi="Cambria Math"/>
                        <w:lang w:val="es-MX"/>
                      </w:rPr>
                      <m:t>p</m:t>
                    </m:r>
                  </m:sub>
                </m:sSub>
                <m:d>
                  <m:dPr>
                    <m:ctrlPr>
                      <w:rPr>
                        <w:rFonts w:ascii="Cambria Math" w:hAnsi="Cambria Math"/>
                        <w:iCs/>
                        <w:lang w:val="en-US"/>
                      </w:rPr>
                    </m:ctrlPr>
                  </m:dPr>
                  <m:e>
                    <m:f>
                      <m:fPr>
                        <m:ctrlPr>
                          <w:rPr>
                            <w:rFonts w:ascii="Cambria Math" w:hAnsi="Cambria Math"/>
                            <w:iCs/>
                            <w:lang w:val="en-US"/>
                          </w:rPr>
                        </m:ctrlPr>
                      </m:fPr>
                      <m:num>
                        <m:r>
                          <m:rPr>
                            <m:nor/>
                          </m:rPr>
                          <w:rPr>
                            <w:rFonts w:ascii="Cambria Math" w:hAnsi="Cambria Math"/>
                            <w:iCs/>
                            <w:lang w:val="es-MX"/>
                          </w:rPr>
                          <m:t>∂p</m:t>
                        </m:r>
                      </m:num>
                      <m:den>
                        <m:r>
                          <m:rPr>
                            <m:nor/>
                          </m:rPr>
                          <w:rPr>
                            <w:rFonts w:ascii="Cambria Math" w:hAnsi="Cambria Math"/>
                            <w:iCs/>
                            <w:lang w:val="es-MX"/>
                          </w:rPr>
                          <m:t>∂t</m:t>
                        </m:r>
                      </m:den>
                    </m:f>
                    <m:r>
                      <m:rPr>
                        <m:nor/>
                      </m:rPr>
                      <w:rPr>
                        <w:rFonts w:ascii="Cambria Math" w:hAnsi="Cambria Math"/>
                        <w:iCs/>
                        <w:lang w:val="es-MX"/>
                      </w:rPr>
                      <m:t>+</m:t>
                    </m:r>
                    <m:r>
                      <m:rPr>
                        <m:nor/>
                      </m:rPr>
                      <w:rPr>
                        <w:rFonts w:ascii="Cambria Math" w:hAnsi="Cambria Math"/>
                        <w:b/>
                        <w:iCs/>
                        <w:lang w:val="es-MX"/>
                      </w:rPr>
                      <m:t>u</m:t>
                    </m:r>
                    <m:r>
                      <m:rPr>
                        <m:nor/>
                      </m:rPr>
                      <w:rPr>
                        <w:rFonts w:ascii="Cambria Math" w:hAnsi="Cambria Math"/>
                        <w:iCs/>
                        <w:lang w:val="es-MX"/>
                      </w:rPr>
                      <m:t>∙</m:t>
                    </m:r>
                    <m:r>
                      <m:rPr>
                        <m:nor/>
                      </m:rPr>
                      <w:rPr>
                        <w:rFonts w:ascii="Cambria Math" w:hAnsi="Cambria Math" w:cs="Cambria Math"/>
                        <w:iCs/>
                        <w:lang w:val="es-MX"/>
                      </w:rPr>
                      <m:t>∇</m:t>
                    </m:r>
                    <m:r>
                      <m:rPr>
                        <m:nor/>
                      </m:rPr>
                      <w:rPr>
                        <w:rFonts w:ascii="Cambria Math" w:hAnsi="Cambria Math"/>
                        <w:iCs/>
                        <w:lang w:val="es-MX"/>
                      </w:rPr>
                      <m:t>p</m:t>
                    </m:r>
                  </m:e>
                </m:d>
                <m:r>
                  <m:rPr>
                    <m:nor/>
                  </m:rPr>
                  <w:rPr>
                    <w:rFonts w:ascii="Cambria Math" w:hAnsi="Cambria Math"/>
                    <w:iCs/>
                    <w:lang w:val="x-none"/>
                  </w:rPr>
                  <m:t>+τ:</m:t>
                </m:r>
                <m:r>
                  <m:rPr>
                    <m:nor/>
                  </m:rPr>
                  <w:rPr>
                    <w:rFonts w:ascii="Cambria Math" w:hAnsi="Cambria Math" w:cs="Cambria Math"/>
                    <w:iCs/>
                    <w:lang w:val="x-none"/>
                  </w:rPr>
                  <m:t>∇</m:t>
                </m:r>
                <m:r>
                  <m:rPr>
                    <m:nor/>
                  </m:rPr>
                  <w:rPr>
                    <w:rFonts w:ascii="Cambria Math" w:hAnsi="Cambria Math"/>
                    <w:b/>
                    <w:iCs/>
                    <w:lang w:val="x-none"/>
                  </w:rPr>
                  <m:t>u</m:t>
                </m:r>
                <m:r>
                  <m:rPr>
                    <m:nor/>
                  </m:rPr>
                  <w:rPr>
                    <w:rFonts w:ascii="Cambria Math" w:hAnsi="Cambria Math"/>
                    <w:iCs/>
                    <w:lang w:val="x-none"/>
                  </w:rPr>
                  <m:t>+</m:t>
                </m:r>
                <m:sSub>
                  <m:sSubPr>
                    <m:ctrlPr>
                      <w:rPr>
                        <w:rFonts w:ascii="Cambria Math" w:hAnsi="Cambria Math"/>
                        <w:iCs/>
                        <w:lang w:val="x-none"/>
                      </w:rPr>
                    </m:ctrlPr>
                  </m:sSubPr>
                  <m:e>
                    <m:r>
                      <m:rPr>
                        <m:sty m:val="p"/>
                      </m:rPr>
                      <w:rPr>
                        <w:rFonts w:ascii="Cambria Math" w:hAnsi="Cambria Math"/>
                        <w:lang w:val="x-none"/>
                      </w:rPr>
                      <m:t>Q</m:t>
                    </m:r>
                  </m:e>
                  <m:sub>
                    <m:r>
                      <m:rPr>
                        <m:sty m:val="p"/>
                      </m:rPr>
                      <w:rPr>
                        <w:rFonts w:ascii="Cambria Math" w:hAnsi="Cambria Math"/>
                        <w:lang w:val="x-none"/>
                      </w:rPr>
                      <m:t>v</m:t>
                    </m:r>
                  </m:sub>
                </m:sSub>
              </m:oMath>
            </m:oMathPara>
          </w:p>
        </w:tc>
        <w:tc>
          <w:tcPr>
            <w:tcW w:w="709" w:type="dxa"/>
          </w:tcPr>
          <w:p w:rsidR="00233599" w:rsidRPr="00D523C8" w:rsidRDefault="00233599" w:rsidP="007F2707">
            <w:pPr>
              <w:spacing w:after="160" w:line="259" w:lineRule="auto"/>
              <w:jc w:val="both"/>
              <w:rPr>
                <w:rFonts w:ascii="Arial" w:hAnsi="Arial"/>
                <w:lang w:val="es-MX"/>
              </w:rPr>
            </w:pPr>
            <w:r w:rsidRPr="00D523C8">
              <w:rPr>
                <w:rFonts w:ascii="Arial" w:hAnsi="Arial"/>
                <w:lang w:val="es-MX"/>
              </w:rPr>
              <w:t>(5)</w:t>
            </w:r>
          </w:p>
        </w:tc>
      </w:tr>
    </w:tbl>
    <w:p w:rsidR="00233599" w:rsidRPr="00D523C8" w:rsidRDefault="00233599" w:rsidP="00233599">
      <w:pPr>
        <w:pStyle w:val="TextoPrincipalV2"/>
        <w:rPr>
          <w:rFonts w:eastAsia="Calibri"/>
        </w:rPr>
      </w:pPr>
      <w:r w:rsidRPr="00D523C8">
        <w:t xml:space="preserve">Donde </w:t>
      </w:r>
      <m:oMath>
        <m:sSub>
          <m:sSubPr>
            <m:ctrlPr>
              <w:rPr>
                <w:rFonts w:ascii="Cambria Math" w:hAnsi="Cambria Math"/>
                <w:lang w:val="x-none"/>
              </w:rPr>
            </m:ctrlPr>
          </m:sSubPr>
          <m:e>
            <m:r>
              <m:rPr>
                <m:nor/>
              </m:rPr>
              <w:rPr>
                <w:lang w:val="x-none"/>
              </w:rPr>
              <m:t>C</m:t>
            </m:r>
          </m:e>
          <m:sub>
            <m:r>
              <m:rPr>
                <m:nor/>
              </m:rPr>
              <w:rPr>
                <w:lang w:val="x-none"/>
              </w:rPr>
              <m:t>p</m:t>
            </m:r>
          </m:sub>
        </m:sSub>
      </m:oMath>
      <w:r w:rsidRPr="00D523C8">
        <w:t xml:space="preserve"> define la cantidad de energía térmica requerida para producir un cambio de temperatura por unidad de masa, </w:t>
      </w:r>
      <m:oMath>
        <m:r>
          <m:rPr>
            <m:sty m:val="p"/>
          </m:rPr>
          <w:rPr>
            <w:rFonts w:ascii="Cambria Math" w:hAnsi="Cambria Math"/>
            <w:lang w:val="x-none"/>
          </w:rPr>
          <m:t>T</m:t>
        </m:r>
      </m:oMath>
      <w:r w:rsidRPr="00D523C8">
        <w:t xml:space="preserve"> es la temperatura absoluta, </w:t>
      </w:r>
      <m:oMath>
        <m:r>
          <m:rPr>
            <m:nor/>
          </m:rPr>
          <w:rPr>
            <w:lang w:val="x-none"/>
          </w:rPr>
          <m:t>q</m:t>
        </m:r>
      </m:oMath>
      <w:r w:rsidRPr="00D523C8">
        <w:t xml:space="preserve"> es el flujo de calor por conducción y </w:t>
      </w:r>
      <m:oMath>
        <m:r>
          <m:rPr>
            <m:nor/>
          </m:rPr>
          <w:rPr>
            <w:lang w:val="x-none"/>
          </w:rPr>
          <m:t>τ</m:t>
        </m:r>
      </m:oMath>
      <w:r w:rsidRPr="00D523C8">
        <w:t xml:space="preserve"> es el tensor de esfuerzos viscosos </w:t>
      </w:r>
      <w:r w:rsidRPr="00D523C8">
        <w:rPr>
          <w:vertAlign w:val="superscript"/>
        </w:rPr>
        <w:t>[10]</w:t>
      </w:r>
      <w:r w:rsidRPr="00D523C8">
        <w:t>.</w:t>
      </w:r>
    </w:p>
    <w:p w:rsidR="00233599" w:rsidRPr="00D523C8" w:rsidRDefault="00233599" w:rsidP="00233599">
      <w:pPr>
        <w:pStyle w:val="TextoPrincipalV2"/>
      </w:pPr>
    </w:p>
    <w:p w:rsidR="00233599" w:rsidRPr="00D523C8" w:rsidRDefault="00233599" w:rsidP="00233599">
      <w:pPr>
        <w:pStyle w:val="111Titulo"/>
        <w:numPr>
          <w:ilvl w:val="0"/>
          <w:numId w:val="0"/>
        </w:numPr>
      </w:pPr>
      <w:r w:rsidRPr="00D523C8">
        <w:t>3.2.3 Transferencia de calor conjugado y flujo no isotérmico</w:t>
      </w:r>
    </w:p>
    <w:p w:rsidR="00233599" w:rsidRPr="00D523C8" w:rsidRDefault="00233599" w:rsidP="00233599">
      <w:pPr>
        <w:pStyle w:val="TextoPrincipalV2"/>
      </w:pPr>
      <w:r w:rsidRPr="00D523C8">
        <w:t xml:space="preserve">Este módulo de COMSOL incluye la multifísica predefinida de flujo no isotérmico para simular sistemas en los que la densidad varía con la temperatura. Esta interfaz contiene la formulación completa de las ecuaciones de momento y continuidad </w:t>
      </w:r>
      <w:r w:rsidRPr="00D523C8">
        <w:rPr>
          <w:vertAlign w:val="superscript"/>
        </w:rPr>
        <w:t>[8]</w:t>
      </w:r>
      <w:r w:rsidRPr="00D523C8">
        <w:t>:</w:t>
      </w: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4"/>
        <w:gridCol w:w="670"/>
      </w:tblGrid>
      <w:tr w:rsidR="00233599" w:rsidRPr="00D523C8" w:rsidTr="007F2707">
        <w:tc>
          <w:tcPr>
            <w:tcW w:w="8926" w:type="dxa"/>
            <w:hideMark/>
          </w:tcPr>
          <w:p w:rsidR="00233599" w:rsidRPr="00D523C8" w:rsidRDefault="001345E4" w:rsidP="007F2707">
            <w:pPr>
              <w:spacing w:after="160" w:line="259" w:lineRule="auto"/>
              <w:jc w:val="both"/>
              <w:rPr>
                <w:rFonts w:ascii="Cambria Math" w:hAnsi="Cambria Math"/>
                <w:iCs/>
                <w:lang w:val="es-MX"/>
              </w:rPr>
            </w:pPr>
            <m:oMathPara>
              <m:oMath>
                <m:f>
                  <m:fPr>
                    <m:ctrlPr>
                      <w:rPr>
                        <w:rFonts w:ascii="Cambria Math" w:hAnsi="Cambria Math"/>
                        <w:iCs/>
                        <w:lang w:val="en-US"/>
                      </w:rPr>
                    </m:ctrlPr>
                  </m:fPr>
                  <m:num>
                    <m:r>
                      <m:rPr>
                        <m:nor/>
                      </m:rPr>
                      <w:rPr>
                        <w:rFonts w:ascii="Cambria Math" w:hAnsi="Cambria Math"/>
                        <w:iCs/>
                        <w:lang w:val="es-MX"/>
                      </w:rPr>
                      <m:t>∂p</m:t>
                    </m:r>
                  </m:num>
                  <m:den>
                    <m:r>
                      <m:rPr>
                        <m:nor/>
                      </m:rPr>
                      <w:rPr>
                        <w:rFonts w:ascii="Cambria Math" w:hAnsi="Cambria Math"/>
                        <w:iCs/>
                        <w:lang w:val="es-MX"/>
                      </w:rPr>
                      <m:t>∂t</m:t>
                    </m:r>
                  </m:den>
                </m:f>
                <m:r>
                  <m:rPr>
                    <m:nor/>
                  </m:rPr>
                  <w:rPr>
                    <w:rFonts w:ascii="Cambria Math" w:hAnsi="Cambria Math"/>
                    <w:iCs/>
                    <w:lang w:val="es-MX"/>
                  </w:rPr>
                  <m:t>+</m:t>
                </m:r>
                <m:r>
                  <m:rPr>
                    <m:nor/>
                  </m:rPr>
                  <w:rPr>
                    <w:rFonts w:ascii="Cambria Math" w:hAnsi="Cambria Math" w:cs="Cambria Math"/>
                    <w:iCs/>
                    <w:lang w:val="es-MX"/>
                  </w:rPr>
                  <m:t>∇</m:t>
                </m:r>
                <m:r>
                  <m:rPr>
                    <m:nor/>
                  </m:rPr>
                  <w:rPr>
                    <w:rFonts w:ascii="Cambria Math" w:hAnsi="Cambria Math"/>
                    <w:iCs/>
                    <w:lang w:val="es-MX"/>
                  </w:rPr>
                  <m:t>∙</m:t>
                </m:r>
                <m:d>
                  <m:dPr>
                    <m:ctrlPr>
                      <w:rPr>
                        <w:rFonts w:ascii="Cambria Math" w:hAnsi="Cambria Math"/>
                        <w:iCs/>
                        <w:lang w:val="en-US"/>
                      </w:rPr>
                    </m:ctrlPr>
                  </m:dPr>
                  <m:e>
                    <m:r>
                      <m:rPr>
                        <m:nor/>
                      </m:rPr>
                      <w:rPr>
                        <w:rFonts w:ascii="Cambria Math" w:hAnsi="Cambria Math"/>
                        <w:iCs/>
                        <w:lang w:val="en-US"/>
                      </w:rPr>
                      <m:t>ρ</m:t>
                    </m:r>
                    <m:r>
                      <m:rPr>
                        <m:nor/>
                      </m:rPr>
                      <w:rPr>
                        <w:rFonts w:ascii="Cambria Math" w:hAnsi="Cambria Math"/>
                        <w:iCs/>
                        <w:lang w:val="es-MX"/>
                      </w:rPr>
                      <m:t>u</m:t>
                    </m:r>
                  </m:e>
                </m:d>
                <m:r>
                  <m:rPr>
                    <m:nor/>
                  </m:rPr>
                  <w:rPr>
                    <w:rFonts w:ascii="Cambria Math" w:hAnsi="Cambria Math"/>
                    <w:iCs/>
                    <w:lang w:val="es-MX"/>
                  </w:rPr>
                  <m:t>=0</m:t>
                </m:r>
              </m:oMath>
            </m:oMathPara>
          </w:p>
          <w:p w:rsidR="00233599" w:rsidRPr="00D523C8" w:rsidRDefault="00233599" w:rsidP="007F2707">
            <w:pPr>
              <w:spacing w:after="160" w:line="259" w:lineRule="auto"/>
              <w:jc w:val="both"/>
              <w:rPr>
                <w:rFonts w:ascii="Cambria Math" w:hAnsi="Cambria Math"/>
                <w:iCs/>
                <w:lang w:val="es-MX"/>
              </w:rPr>
            </w:pPr>
            <m:oMathPara>
              <m:oMath>
                <m:r>
                  <m:rPr>
                    <m:nor/>
                  </m:rPr>
                  <w:rPr>
                    <w:rFonts w:ascii="Cambria Math" w:hAnsi="Cambria Math"/>
                    <w:iCs/>
                    <w:lang w:val="x-none"/>
                  </w:rPr>
                  <m:t>ρ</m:t>
                </m:r>
                <m:f>
                  <m:fPr>
                    <m:ctrlPr>
                      <w:rPr>
                        <w:rFonts w:ascii="Cambria Math" w:hAnsi="Cambria Math"/>
                        <w:iCs/>
                        <w:lang w:val="x-none"/>
                      </w:rPr>
                    </m:ctrlPr>
                  </m:fPr>
                  <m:num>
                    <m:r>
                      <m:rPr>
                        <m:nor/>
                      </m:rPr>
                      <w:rPr>
                        <w:rFonts w:ascii="Cambria Math" w:hAnsi="Cambria Math"/>
                        <w:b/>
                        <w:iCs/>
                        <w:lang w:val="x-none"/>
                      </w:rPr>
                      <m:t>∂u</m:t>
                    </m:r>
                  </m:num>
                  <m:den>
                    <m:r>
                      <m:rPr>
                        <m:nor/>
                      </m:rPr>
                      <w:rPr>
                        <w:rFonts w:ascii="Cambria Math" w:hAnsi="Cambria Math"/>
                        <w:iCs/>
                        <w:lang w:val="x-none"/>
                      </w:rPr>
                      <m:t>∂t</m:t>
                    </m:r>
                  </m:den>
                </m:f>
                <m:r>
                  <m:rPr>
                    <m:nor/>
                  </m:rPr>
                  <w:rPr>
                    <w:rFonts w:ascii="Cambria Math" w:hAnsi="Cambria Math"/>
                    <w:iCs/>
                    <w:lang w:val="x-none"/>
                  </w:rPr>
                  <m:t>+ρ</m:t>
                </m:r>
                <m:r>
                  <m:rPr>
                    <m:nor/>
                  </m:rPr>
                  <w:rPr>
                    <w:rFonts w:ascii="Cambria Math" w:hAnsi="Cambria Math"/>
                    <w:b/>
                    <w:iCs/>
                    <w:lang w:val="x-none"/>
                  </w:rPr>
                  <m:t>u</m:t>
                </m:r>
                <m:r>
                  <m:rPr>
                    <m:nor/>
                  </m:rPr>
                  <w:rPr>
                    <w:rFonts w:ascii="Cambria Math" w:hAnsi="Cambria Math"/>
                    <w:iCs/>
                    <w:lang w:val="x-none"/>
                  </w:rPr>
                  <m:t>∙</m:t>
                </m:r>
                <m:r>
                  <m:rPr>
                    <m:nor/>
                  </m:rPr>
                  <w:rPr>
                    <w:rFonts w:ascii="Cambria Math" w:hAnsi="Cambria Math" w:cs="Cambria Math"/>
                    <w:iCs/>
                    <w:lang w:val="x-none"/>
                  </w:rPr>
                  <m:t>∇</m:t>
                </m:r>
                <m:r>
                  <m:rPr>
                    <m:nor/>
                  </m:rPr>
                  <w:rPr>
                    <w:rFonts w:ascii="Cambria Math" w:hAnsi="Cambria Math"/>
                    <w:b/>
                    <w:iCs/>
                    <w:lang w:val="x-none"/>
                  </w:rPr>
                  <m:t>u</m:t>
                </m:r>
                <m:r>
                  <m:rPr>
                    <m:nor/>
                  </m:rPr>
                  <w:rPr>
                    <w:rFonts w:ascii="Cambria Math" w:hAnsi="Cambria Math"/>
                    <w:iCs/>
                    <w:lang w:val="x-none"/>
                  </w:rPr>
                  <m:t>=-</m:t>
                </m:r>
                <m:r>
                  <m:rPr>
                    <m:nor/>
                  </m:rPr>
                  <w:rPr>
                    <w:rFonts w:ascii="Cambria Math" w:hAnsi="Cambria Math" w:cs="Cambria Math"/>
                    <w:iCs/>
                    <w:lang w:val="x-none"/>
                  </w:rPr>
                  <m:t>∇</m:t>
                </m:r>
                <m:r>
                  <m:rPr>
                    <m:nor/>
                  </m:rPr>
                  <w:rPr>
                    <w:rFonts w:ascii="Cambria Math" w:hAnsi="Cambria Math"/>
                    <w:iCs/>
                    <w:lang w:val="x-none"/>
                  </w:rPr>
                  <m:t>p+</m:t>
                </m:r>
                <m:r>
                  <m:rPr>
                    <m:nor/>
                  </m:rPr>
                  <w:rPr>
                    <w:rFonts w:ascii="Cambria Math" w:hAnsi="Cambria Math" w:cs="Cambria Math"/>
                    <w:iCs/>
                    <w:lang w:val="x-none"/>
                  </w:rPr>
                  <m:t>∇</m:t>
                </m:r>
                <m:r>
                  <m:rPr>
                    <m:nor/>
                  </m:rPr>
                  <w:rPr>
                    <w:rFonts w:ascii="Cambria Math" w:hAnsi="Cambria Math"/>
                    <w:iCs/>
                    <w:lang w:val="x-none"/>
                  </w:rPr>
                  <m:t>∙</m:t>
                </m:r>
                <m:d>
                  <m:dPr>
                    <m:ctrlPr>
                      <w:rPr>
                        <w:rFonts w:ascii="Cambria Math" w:hAnsi="Cambria Math"/>
                        <w:iCs/>
                        <w:lang w:val="x-none"/>
                      </w:rPr>
                    </m:ctrlPr>
                  </m:dPr>
                  <m:e>
                    <m:r>
                      <m:rPr>
                        <m:nor/>
                      </m:rPr>
                      <w:rPr>
                        <w:rFonts w:ascii="Cambria Math" w:hAnsi="Cambria Math"/>
                        <w:iCs/>
                        <w:lang w:val="x-none"/>
                      </w:rPr>
                      <m:t>μ</m:t>
                    </m:r>
                    <m:d>
                      <m:dPr>
                        <m:ctrlPr>
                          <w:rPr>
                            <w:rFonts w:ascii="Cambria Math" w:hAnsi="Cambria Math"/>
                            <w:iCs/>
                            <w:lang w:val="x-none"/>
                          </w:rPr>
                        </m:ctrlPr>
                      </m:dPr>
                      <m:e>
                        <m:r>
                          <m:rPr>
                            <m:nor/>
                          </m:rPr>
                          <w:rPr>
                            <w:rFonts w:ascii="Cambria Math" w:hAnsi="Cambria Math" w:cs="Cambria Math"/>
                            <w:iCs/>
                            <w:lang w:val="x-none"/>
                          </w:rPr>
                          <m:t>∇</m:t>
                        </m:r>
                        <m:r>
                          <m:rPr>
                            <m:nor/>
                          </m:rPr>
                          <w:rPr>
                            <w:rFonts w:ascii="Cambria Math" w:hAnsi="Cambria Math"/>
                            <w:b/>
                            <w:iCs/>
                            <w:lang w:val="x-none"/>
                          </w:rPr>
                          <m:t>u</m:t>
                        </m:r>
                        <m:r>
                          <m:rPr>
                            <m:nor/>
                          </m:rPr>
                          <w:rPr>
                            <w:rFonts w:ascii="Cambria Math" w:hAnsi="Cambria Math"/>
                            <w:iCs/>
                            <w:lang w:val="x-none"/>
                          </w:rPr>
                          <m:t>+</m:t>
                        </m:r>
                        <m:sSup>
                          <m:sSupPr>
                            <m:ctrlPr>
                              <w:rPr>
                                <w:rFonts w:ascii="Cambria Math" w:hAnsi="Cambria Math"/>
                                <w:iCs/>
                                <w:lang w:val="x-none"/>
                              </w:rPr>
                            </m:ctrlPr>
                          </m:sSupPr>
                          <m:e>
                            <m:d>
                              <m:dPr>
                                <m:ctrlPr>
                                  <w:rPr>
                                    <w:rFonts w:ascii="Cambria Math" w:hAnsi="Cambria Math"/>
                                    <w:iCs/>
                                    <w:lang w:val="x-none"/>
                                  </w:rPr>
                                </m:ctrlPr>
                              </m:dPr>
                              <m:e>
                                <m:r>
                                  <m:rPr>
                                    <m:nor/>
                                  </m:rPr>
                                  <w:rPr>
                                    <w:rFonts w:ascii="Cambria Math" w:hAnsi="Cambria Math" w:cs="Cambria Math"/>
                                    <w:iCs/>
                                    <w:lang w:val="x-none"/>
                                  </w:rPr>
                                  <m:t>∇</m:t>
                                </m:r>
                                <m:r>
                                  <m:rPr>
                                    <m:nor/>
                                  </m:rPr>
                                  <w:rPr>
                                    <w:rFonts w:ascii="Cambria Math" w:hAnsi="Cambria Math"/>
                                    <w:b/>
                                    <w:iCs/>
                                    <w:lang w:val="x-none"/>
                                  </w:rPr>
                                  <m:t>u</m:t>
                                </m:r>
                              </m:e>
                            </m:d>
                          </m:e>
                          <m:sup>
                            <m:r>
                              <m:rPr>
                                <m:nor/>
                              </m:rPr>
                              <w:rPr>
                                <w:rFonts w:ascii="Cambria Math" w:hAnsi="Cambria Math"/>
                                <w:iCs/>
                                <w:lang w:val="x-none"/>
                              </w:rPr>
                              <m:t>T</m:t>
                            </m:r>
                          </m:sup>
                        </m:sSup>
                      </m:e>
                    </m:d>
                    <m:r>
                      <m:rPr>
                        <m:nor/>
                      </m:rPr>
                      <w:rPr>
                        <w:rFonts w:ascii="Cambria Math" w:hAnsi="Cambria Math"/>
                        <w:iCs/>
                        <w:lang w:val="x-none"/>
                      </w:rPr>
                      <m:t>-</m:t>
                    </m:r>
                    <m:f>
                      <m:fPr>
                        <m:ctrlPr>
                          <w:rPr>
                            <w:rFonts w:ascii="Cambria Math" w:hAnsi="Cambria Math"/>
                            <w:iCs/>
                            <w:lang w:val="x-none"/>
                          </w:rPr>
                        </m:ctrlPr>
                      </m:fPr>
                      <m:num>
                        <m:r>
                          <m:rPr>
                            <m:nor/>
                          </m:rPr>
                          <w:rPr>
                            <w:rFonts w:ascii="Cambria Math" w:hAnsi="Cambria Math"/>
                            <w:iCs/>
                            <w:lang w:val="x-none"/>
                          </w:rPr>
                          <m:t>2</m:t>
                        </m:r>
                      </m:num>
                      <m:den>
                        <m:r>
                          <m:rPr>
                            <m:nor/>
                          </m:rPr>
                          <w:rPr>
                            <w:rFonts w:ascii="Cambria Math" w:hAnsi="Cambria Math"/>
                            <w:iCs/>
                            <w:lang w:val="x-none"/>
                          </w:rPr>
                          <m:t>3</m:t>
                        </m:r>
                      </m:den>
                    </m:f>
                    <m:r>
                      <m:rPr>
                        <m:nor/>
                      </m:rPr>
                      <w:rPr>
                        <w:rFonts w:ascii="Cambria Math" w:hAnsi="Cambria Math"/>
                        <w:iCs/>
                        <w:lang w:val="x-none"/>
                      </w:rPr>
                      <m:t>μ</m:t>
                    </m:r>
                    <m:d>
                      <m:dPr>
                        <m:ctrlPr>
                          <w:rPr>
                            <w:rFonts w:ascii="Cambria Math" w:hAnsi="Cambria Math"/>
                            <w:iCs/>
                            <w:lang w:val="x-none"/>
                          </w:rPr>
                        </m:ctrlPr>
                      </m:dPr>
                      <m:e>
                        <m:r>
                          <m:rPr>
                            <m:nor/>
                          </m:rPr>
                          <w:rPr>
                            <w:rFonts w:ascii="Cambria Math" w:hAnsi="Cambria Math" w:cs="Cambria Math"/>
                            <w:iCs/>
                            <w:lang w:val="x-none"/>
                          </w:rPr>
                          <m:t>∇</m:t>
                        </m:r>
                        <m:r>
                          <m:rPr>
                            <m:nor/>
                          </m:rPr>
                          <w:rPr>
                            <w:rFonts w:ascii="Cambria Math" w:hAnsi="Cambria Math"/>
                            <w:iCs/>
                            <w:lang w:val="x-none"/>
                          </w:rPr>
                          <m:t>∙</m:t>
                        </m:r>
                        <m:r>
                          <m:rPr>
                            <m:nor/>
                          </m:rPr>
                          <w:rPr>
                            <w:rFonts w:ascii="Cambria Math" w:hAnsi="Cambria Math"/>
                            <w:b/>
                            <w:iCs/>
                            <w:lang w:val="x-none"/>
                          </w:rPr>
                          <m:t>u</m:t>
                        </m:r>
                      </m:e>
                    </m:d>
                    <m:r>
                      <m:rPr>
                        <m:nor/>
                      </m:rPr>
                      <w:rPr>
                        <w:rFonts w:ascii="Cambria Math" w:hAnsi="Cambria Math"/>
                        <w:b/>
                        <w:iCs/>
                        <w:lang w:val="x-none"/>
                      </w:rPr>
                      <m:t>I</m:t>
                    </m:r>
                  </m:e>
                </m:d>
                <m:r>
                  <m:rPr>
                    <m:nor/>
                  </m:rPr>
                  <w:rPr>
                    <w:rFonts w:ascii="Cambria Math" w:hAnsi="Cambria Math"/>
                    <w:iCs/>
                    <w:lang w:val="x-none"/>
                  </w:rPr>
                  <m:t>+</m:t>
                </m:r>
                <m:r>
                  <m:rPr>
                    <m:nor/>
                  </m:rPr>
                  <w:rPr>
                    <w:rFonts w:ascii="Cambria Math" w:hAnsi="Cambria Math"/>
                    <w:b/>
                    <w:iCs/>
                    <w:lang w:val="x-none"/>
                  </w:rPr>
                  <m:t>F</m:t>
                </m:r>
              </m:oMath>
            </m:oMathPara>
          </w:p>
        </w:tc>
        <w:tc>
          <w:tcPr>
            <w:tcW w:w="680" w:type="dxa"/>
          </w:tcPr>
          <w:p w:rsidR="00233599" w:rsidRPr="00D523C8" w:rsidRDefault="00233599" w:rsidP="007F2707">
            <w:pPr>
              <w:spacing w:after="160" w:line="259" w:lineRule="auto"/>
              <w:jc w:val="both"/>
              <w:rPr>
                <w:rFonts w:ascii="Arial" w:hAnsi="Arial"/>
                <w:lang w:val="es-MX"/>
              </w:rPr>
            </w:pPr>
            <w:r w:rsidRPr="00D523C8">
              <w:rPr>
                <w:rFonts w:ascii="Arial" w:hAnsi="Arial"/>
                <w:lang w:val="es-MX"/>
              </w:rPr>
              <w:t>(6)</w:t>
            </w:r>
          </w:p>
        </w:tc>
      </w:tr>
    </w:tbl>
    <w:p w:rsidR="00233599" w:rsidRPr="00D523C8" w:rsidRDefault="00233599" w:rsidP="00233599">
      <w:pPr>
        <w:spacing w:after="160" w:line="259" w:lineRule="auto"/>
        <w:jc w:val="both"/>
        <w:rPr>
          <w:rFonts w:ascii="Arial" w:eastAsia="Calibri" w:hAnsi="Arial" w:cs="Arial"/>
          <w:lang w:val="es-MX"/>
        </w:rPr>
      </w:pPr>
    </w:p>
    <w:p w:rsidR="00233599" w:rsidRPr="00D523C8" w:rsidRDefault="00233599" w:rsidP="00233599">
      <w:pPr>
        <w:pStyle w:val="111Titulo"/>
        <w:numPr>
          <w:ilvl w:val="0"/>
          <w:numId w:val="0"/>
        </w:numPr>
        <w:ind w:left="720" w:hanging="720"/>
      </w:pPr>
      <w:r w:rsidRPr="00D523C8">
        <w:t>3.2.4 Ecuaciones para el análisis teórico del ICTDTL</w:t>
      </w:r>
    </w:p>
    <w:p w:rsidR="00233599" w:rsidRPr="00D523C8" w:rsidRDefault="00233599" w:rsidP="00233599">
      <w:pPr>
        <w:pStyle w:val="TextoPrincipalV2"/>
      </w:pPr>
      <w:r w:rsidRPr="00D523C8">
        <w:t>La velocidad media en el espacio anular se define como:</w:t>
      </w:r>
    </w:p>
    <w:tbl>
      <w:tblPr>
        <w:tblStyle w:val="Tablaconcuadrcula1"/>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4"/>
        <w:gridCol w:w="722"/>
      </w:tblGrid>
      <w:tr w:rsidR="00233599" w:rsidRPr="00D523C8" w:rsidTr="007F2707">
        <w:trPr>
          <w:trHeight w:val="507"/>
        </w:trPr>
        <w:tc>
          <w:tcPr>
            <w:tcW w:w="8884" w:type="dxa"/>
            <w:hideMark/>
          </w:tcPr>
          <w:p w:rsidR="00233599" w:rsidRPr="00D523C8" w:rsidRDefault="001345E4" w:rsidP="007F2707">
            <w:pPr>
              <w:spacing w:after="160" w:line="259" w:lineRule="auto"/>
              <w:jc w:val="both"/>
              <w:rPr>
                <w:rFonts w:ascii="Cambria Math" w:hAnsi="Cambria Math"/>
                <w:iCs/>
                <w:lang w:val="es-MX"/>
              </w:rPr>
            </w:pPr>
            <m:oMathPara>
              <m:oMath>
                <m:sSub>
                  <m:sSubPr>
                    <m:ctrlPr>
                      <w:rPr>
                        <w:rFonts w:ascii="Cambria Math" w:hAnsi="Cambria Math"/>
                        <w:iCs/>
                        <w:lang w:val="x-none"/>
                      </w:rPr>
                    </m:ctrlPr>
                  </m:sSubPr>
                  <m:e>
                    <m:r>
                      <m:rPr>
                        <m:nor/>
                      </m:rPr>
                      <w:rPr>
                        <w:rFonts w:ascii="Cambria Math" w:hAnsi="Cambria Math"/>
                        <w:iCs/>
                        <w:lang w:val="x-none"/>
                      </w:rPr>
                      <m:t>v</m:t>
                    </m:r>
                  </m:e>
                  <m:sub>
                    <m:r>
                      <m:rPr>
                        <m:nor/>
                      </m:rPr>
                      <w:rPr>
                        <w:rFonts w:ascii="Cambria Math" w:hAnsi="Cambria Math"/>
                        <w:iCs/>
                        <w:lang w:val="x-none"/>
                      </w:rPr>
                      <m:t>m</m:t>
                    </m:r>
                  </m:sub>
                </m:sSub>
                <m:r>
                  <m:rPr>
                    <m:nor/>
                  </m:rPr>
                  <w:rPr>
                    <w:rFonts w:ascii="Cambria Math" w:hAnsi="Cambria Math"/>
                    <w:iCs/>
                    <w:lang w:val="x-none"/>
                  </w:rPr>
                  <m:t>=</m:t>
                </m:r>
                <m:f>
                  <m:fPr>
                    <m:ctrlPr>
                      <w:rPr>
                        <w:rFonts w:ascii="Cambria Math" w:hAnsi="Cambria Math"/>
                        <w:iCs/>
                        <w:lang w:val="x-none"/>
                      </w:rPr>
                    </m:ctrlPr>
                  </m:fPr>
                  <m:num>
                    <m:sSub>
                      <m:sSubPr>
                        <m:ctrlPr>
                          <w:rPr>
                            <w:rFonts w:ascii="Cambria Math" w:hAnsi="Cambria Math"/>
                            <w:bCs/>
                            <w:iCs/>
                            <w:lang w:val="x-none"/>
                          </w:rPr>
                        </m:ctrlPr>
                      </m:sSubPr>
                      <m:e>
                        <m:acc>
                          <m:accPr>
                            <m:chr m:val="̇"/>
                            <m:ctrlPr>
                              <w:rPr>
                                <w:rFonts w:ascii="Cambria Math" w:hAnsi="Cambria Math"/>
                                <w:bCs/>
                                <w:iCs/>
                                <w:lang w:val="x-none"/>
                              </w:rPr>
                            </m:ctrlPr>
                          </m:accPr>
                          <m:e>
                            <m:r>
                              <m:rPr>
                                <m:nor/>
                              </m:rPr>
                              <w:rPr>
                                <w:rFonts w:ascii="Cambria Math" w:hAnsi="Cambria Math"/>
                                <w:bCs/>
                                <w:iCs/>
                                <w:lang w:val="x-none"/>
                              </w:rPr>
                              <m:t>m</m:t>
                            </m:r>
                          </m:e>
                        </m:acc>
                      </m:e>
                      <m:sub>
                        <m:r>
                          <m:rPr>
                            <m:nor/>
                          </m:rPr>
                          <w:rPr>
                            <w:rFonts w:ascii="Cambria Math" w:hAnsi="Cambria Math"/>
                            <w:bCs/>
                            <w:iCs/>
                            <w:lang w:val="x-none"/>
                          </w:rPr>
                          <m:t>c</m:t>
                        </m:r>
                      </m:sub>
                    </m:sSub>
                  </m:num>
                  <m:den>
                    <m:sSub>
                      <m:sSubPr>
                        <m:ctrlPr>
                          <w:rPr>
                            <w:rFonts w:ascii="Cambria Math" w:hAnsi="Cambria Math"/>
                            <w:iCs/>
                            <w:lang w:val="x-none"/>
                          </w:rPr>
                        </m:ctrlPr>
                      </m:sSubPr>
                      <m:e>
                        <m:r>
                          <m:rPr>
                            <m:nor/>
                          </m:rPr>
                          <w:rPr>
                            <w:rFonts w:ascii="Cambria Math" w:hAnsi="Cambria Math"/>
                            <w:iCs/>
                            <w:lang w:val="x-none"/>
                          </w:rPr>
                          <m:t>ρ</m:t>
                        </m:r>
                      </m:e>
                      <m:sub>
                        <m:r>
                          <m:rPr>
                            <m:nor/>
                          </m:rPr>
                          <w:rPr>
                            <w:rFonts w:ascii="Cambria Math" w:hAnsi="Cambria Math"/>
                            <w:iCs/>
                            <w:lang w:val="x-none"/>
                          </w:rPr>
                          <m:t>c</m:t>
                        </m:r>
                      </m:sub>
                    </m:sSub>
                    <m:sSub>
                      <m:sSubPr>
                        <m:ctrlPr>
                          <w:rPr>
                            <w:rFonts w:ascii="Cambria Math" w:hAnsi="Cambria Math"/>
                            <w:iCs/>
                            <w:lang w:val="x-none"/>
                          </w:rPr>
                        </m:ctrlPr>
                      </m:sSubPr>
                      <m:e>
                        <m:r>
                          <m:rPr>
                            <m:nor/>
                          </m:rPr>
                          <w:rPr>
                            <w:rFonts w:ascii="Cambria Math" w:hAnsi="Cambria Math"/>
                            <w:iCs/>
                            <w:lang w:val="x-none"/>
                          </w:rPr>
                          <m:t>A</m:t>
                        </m:r>
                      </m:e>
                      <m:sub>
                        <m:r>
                          <m:rPr>
                            <m:nor/>
                          </m:rPr>
                          <w:rPr>
                            <w:rFonts w:ascii="Cambria Math" w:hAnsi="Cambria Math"/>
                            <w:iCs/>
                            <w:lang w:val="x-none"/>
                          </w:rPr>
                          <m:t>s</m:t>
                        </m:r>
                      </m:sub>
                    </m:sSub>
                  </m:den>
                </m:f>
              </m:oMath>
            </m:oMathPara>
          </w:p>
        </w:tc>
        <w:tc>
          <w:tcPr>
            <w:tcW w:w="722" w:type="dxa"/>
            <w:hideMark/>
          </w:tcPr>
          <w:p w:rsidR="00233599" w:rsidRPr="00D523C8" w:rsidRDefault="00233599" w:rsidP="007F2707">
            <w:pPr>
              <w:spacing w:after="160" w:line="259" w:lineRule="auto"/>
              <w:jc w:val="both"/>
              <w:rPr>
                <w:rFonts w:ascii="Arial" w:hAnsi="Arial"/>
                <w:lang w:val="es-MX"/>
              </w:rPr>
            </w:pPr>
            <w:r w:rsidRPr="00D523C8">
              <w:rPr>
                <w:rFonts w:ascii="Arial" w:hAnsi="Arial"/>
                <w:lang w:val="es-MX"/>
              </w:rPr>
              <w:t>(7)</w:t>
            </w:r>
          </w:p>
        </w:tc>
      </w:tr>
    </w:tbl>
    <w:p w:rsidR="00233599" w:rsidRPr="00D523C8" w:rsidRDefault="00233599" w:rsidP="00233599">
      <w:pPr>
        <w:pStyle w:val="TextoPrincipalV2"/>
      </w:pPr>
      <w:r w:rsidRPr="00D523C8">
        <w:t>A partir de la velocidad media, el número de Reynolds es determinado por:</w:t>
      </w:r>
    </w:p>
    <w:tbl>
      <w:tblPr>
        <w:tblStyle w:val="Tablaconcuadrcula1"/>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709"/>
      </w:tblGrid>
      <w:tr w:rsidR="00233599" w:rsidRPr="00D523C8" w:rsidTr="007F2707">
        <w:tc>
          <w:tcPr>
            <w:tcW w:w="8897" w:type="dxa"/>
            <w:hideMark/>
          </w:tcPr>
          <w:p w:rsidR="00233599" w:rsidRPr="00D523C8" w:rsidRDefault="00233599" w:rsidP="007F2707">
            <w:pPr>
              <w:spacing w:after="160" w:line="259" w:lineRule="auto"/>
              <w:jc w:val="both"/>
              <w:rPr>
                <w:rFonts w:ascii="Cambria Math" w:hAnsi="Cambria Math"/>
                <w:iCs/>
                <w:lang w:val="en-US"/>
              </w:rPr>
            </w:pPr>
            <m:oMathPara>
              <m:oMath>
                <m:r>
                  <m:rPr>
                    <m:nor/>
                  </m:rPr>
                  <w:rPr>
                    <w:rFonts w:ascii="Cambria Math" w:hAnsi="Cambria Math"/>
                    <w:iCs/>
                    <w:lang w:val="x-none"/>
                  </w:rPr>
                  <m:t>Re=</m:t>
                </m:r>
                <m:f>
                  <m:fPr>
                    <m:ctrlPr>
                      <w:rPr>
                        <w:rFonts w:ascii="Cambria Math" w:hAnsi="Cambria Math"/>
                        <w:iCs/>
                        <w:lang w:val="x-none"/>
                      </w:rPr>
                    </m:ctrlPr>
                  </m:fPr>
                  <m:num>
                    <m:sSub>
                      <m:sSubPr>
                        <m:ctrlPr>
                          <w:rPr>
                            <w:rFonts w:ascii="Cambria Math" w:hAnsi="Cambria Math"/>
                            <w:iCs/>
                            <w:lang w:val="x-none"/>
                          </w:rPr>
                        </m:ctrlPr>
                      </m:sSubPr>
                      <m:e>
                        <m:r>
                          <m:rPr>
                            <m:nor/>
                          </m:rPr>
                          <w:rPr>
                            <w:rFonts w:ascii="Cambria Math" w:hAnsi="Cambria Math"/>
                            <w:iCs/>
                            <w:lang w:val="x-none"/>
                          </w:rPr>
                          <m:t>v</m:t>
                        </m:r>
                      </m:e>
                      <m:sub>
                        <m:r>
                          <m:rPr>
                            <m:nor/>
                          </m:rPr>
                          <w:rPr>
                            <w:rFonts w:ascii="Cambria Math" w:hAnsi="Cambria Math"/>
                            <w:iCs/>
                            <w:lang w:val="x-none"/>
                          </w:rPr>
                          <m:t>m</m:t>
                        </m:r>
                      </m:sub>
                    </m:sSub>
                    <m:sSub>
                      <m:sSubPr>
                        <m:ctrlPr>
                          <w:rPr>
                            <w:rFonts w:ascii="Cambria Math" w:hAnsi="Cambria Math"/>
                            <w:iCs/>
                            <w:lang w:val="x-none"/>
                          </w:rPr>
                        </m:ctrlPr>
                      </m:sSubPr>
                      <m:e>
                        <m:sSub>
                          <m:sSubPr>
                            <m:ctrlPr>
                              <w:rPr>
                                <w:rFonts w:ascii="Cambria Math" w:hAnsi="Cambria Math"/>
                                <w:iCs/>
                                <w:lang w:val="x-none"/>
                              </w:rPr>
                            </m:ctrlPr>
                          </m:sSubPr>
                          <m:e>
                            <m:r>
                              <m:rPr>
                                <m:nor/>
                              </m:rPr>
                              <w:rPr>
                                <w:rFonts w:ascii="Cambria Math" w:hAnsi="Cambria Math"/>
                                <w:iCs/>
                                <w:lang w:val="x-none"/>
                              </w:rPr>
                              <m:t>p</m:t>
                            </m:r>
                          </m:e>
                          <m:sub>
                            <m:r>
                              <m:rPr>
                                <m:nor/>
                              </m:rPr>
                              <w:rPr>
                                <w:rFonts w:ascii="Cambria Math" w:hAnsi="Cambria Math"/>
                                <w:iCs/>
                                <w:lang w:val="x-none"/>
                              </w:rPr>
                              <m:t>c</m:t>
                            </m:r>
                          </m:sub>
                        </m:sSub>
                        <m:r>
                          <m:rPr>
                            <m:nor/>
                          </m:rPr>
                          <w:rPr>
                            <w:rFonts w:ascii="Cambria Math" w:hAnsi="Cambria Math"/>
                            <w:iCs/>
                            <w:lang w:val="x-none"/>
                          </w:rPr>
                          <m:t>D</m:t>
                        </m:r>
                      </m:e>
                      <m:sub>
                        <m:r>
                          <m:rPr>
                            <m:nor/>
                          </m:rPr>
                          <w:rPr>
                            <w:rFonts w:ascii="Cambria Math" w:hAnsi="Cambria Math"/>
                            <w:iCs/>
                            <w:lang w:val="x-none"/>
                          </w:rPr>
                          <m:t>h</m:t>
                        </m:r>
                      </m:sub>
                    </m:sSub>
                  </m:num>
                  <m:den>
                    <m:sSub>
                      <m:sSubPr>
                        <m:ctrlPr>
                          <w:rPr>
                            <w:rFonts w:ascii="Cambria Math" w:hAnsi="Cambria Math"/>
                            <w:iCs/>
                            <w:lang w:val="x-none"/>
                          </w:rPr>
                        </m:ctrlPr>
                      </m:sSubPr>
                      <m:e>
                        <m:r>
                          <m:rPr>
                            <m:nor/>
                          </m:rPr>
                          <w:rPr>
                            <w:rFonts w:ascii="Cambria Math" w:hAnsi="Cambria Math"/>
                            <w:iCs/>
                            <w:lang w:val="x-none"/>
                          </w:rPr>
                          <m:t>μ</m:t>
                        </m:r>
                      </m:e>
                      <m:sub>
                        <m:r>
                          <m:rPr>
                            <m:nor/>
                          </m:rPr>
                          <w:rPr>
                            <w:rFonts w:ascii="Cambria Math" w:hAnsi="Cambria Math"/>
                            <w:iCs/>
                            <w:lang w:val="x-none"/>
                          </w:rPr>
                          <m:t>c</m:t>
                        </m:r>
                      </m:sub>
                    </m:sSub>
                  </m:den>
                </m:f>
              </m:oMath>
            </m:oMathPara>
          </w:p>
        </w:tc>
        <w:tc>
          <w:tcPr>
            <w:tcW w:w="709" w:type="dxa"/>
            <w:hideMark/>
          </w:tcPr>
          <w:p w:rsidR="00233599" w:rsidRPr="00D523C8" w:rsidRDefault="00233599" w:rsidP="007F2707">
            <w:pPr>
              <w:spacing w:after="160" w:line="259" w:lineRule="auto"/>
              <w:jc w:val="both"/>
              <w:rPr>
                <w:rFonts w:ascii="Arial" w:hAnsi="Arial"/>
                <w:lang w:val="es-MX"/>
              </w:rPr>
            </w:pPr>
            <w:r w:rsidRPr="00D523C8">
              <w:rPr>
                <w:rFonts w:ascii="Arial" w:hAnsi="Arial"/>
                <w:lang w:val="es-MX"/>
              </w:rPr>
              <w:t>(8)</w:t>
            </w:r>
          </w:p>
        </w:tc>
      </w:tr>
    </w:tbl>
    <w:p w:rsidR="00233599" w:rsidRPr="00D523C8" w:rsidRDefault="00233599" w:rsidP="00233599">
      <w:pPr>
        <w:pStyle w:val="TextoPrincipalV2"/>
      </w:pPr>
      <w:r w:rsidRPr="00D523C8">
        <w:t>La tasa de transferencia de calor para el fluido que pasa por el tubo interior (agua caliente) y por el espacio anular (agua fría) es:</w:t>
      </w:r>
    </w:p>
    <w:tbl>
      <w:tblPr>
        <w:tblStyle w:val="Tablaconcuadrcula1"/>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709"/>
      </w:tblGrid>
      <w:tr w:rsidR="00233599" w:rsidRPr="00D523C8" w:rsidTr="007F2707">
        <w:tc>
          <w:tcPr>
            <w:tcW w:w="8897" w:type="dxa"/>
            <w:hideMark/>
          </w:tcPr>
          <w:p w:rsidR="00233599" w:rsidRPr="00D523C8" w:rsidRDefault="00233599" w:rsidP="007F2707">
            <w:pPr>
              <w:spacing w:after="160" w:line="259" w:lineRule="auto"/>
              <w:jc w:val="both"/>
              <w:rPr>
                <w:rFonts w:ascii="Cambria Math" w:hAnsi="Cambria Math"/>
                <w:bCs/>
                <w:iCs/>
                <w:lang w:val="en-US"/>
              </w:rPr>
            </w:pPr>
            <m:oMathPara>
              <m:oMath>
                <m:r>
                  <m:rPr>
                    <m:nor/>
                  </m:rPr>
                  <w:rPr>
                    <w:rFonts w:ascii="Cambria Math" w:hAnsi="Cambria Math"/>
                    <w:iCs/>
                    <w:lang w:val="x-none"/>
                  </w:rPr>
                  <m:t>Q=</m:t>
                </m:r>
                <m:sSub>
                  <m:sSubPr>
                    <m:ctrlPr>
                      <w:rPr>
                        <w:rFonts w:ascii="Cambria Math" w:hAnsi="Cambria Math"/>
                        <w:bCs/>
                        <w:iCs/>
                        <w:lang w:val="x-none"/>
                      </w:rPr>
                    </m:ctrlPr>
                  </m:sSubPr>
                  <m:e>
                    <m:acc>
                      <m:accPr>
                        <m:chr m:val="̇"/>
                        <m:ctrlPr>
                          <w:rPr>
                            <w:rFonts w:ascii="Cambria Math" w:hAnsi="Cambria Math"/>
                            <w:bCs/>
                            <w:iCs/>
                            <w:lang w:val="x-none"/>
                          </w:rPr>
                        </m:ctrlPr>
                      </m:accPr>
                      <m:e>
                        <m:r>
                          <m:rPr>
                            <m:nor/>
                          </m:rPr>
                          <w:rPr>
                            <w:rFonts w:ascii="Cambria Math" w:hAnsi="Cambria Math"/>
                            <w:bCs/>
                            <w:iCs/>
                            <w:lang w:val="x-none"/>
                          </w:rPr>
                          <m:t>m</m:t>
                        </m:r>
                      </m:e>
                    </m:acc>
                  </m:e>
                  <m:sub>
                    <m:r>
                      <m:rPr>
                        <m:nor/>
                      </m:rPr>
                      <w:rPr>
                        <w:rFonts w:ascii="Cambria Math" w:hAnsi="Cambria Math"/>
                        <w:bCs/>
                        <w:iCs/>
                        <w:lang w:val="x-none"/>
                      </w:rPr>
                      <m:t>h</m:t>
                    </m:r>
                  </m:sub>
                </m:sSub>
                <m:sSub>
                  <m:sSubPr>
                    <m:ctrlPr>
                      <w:rPr>
                        <w:rFonts w:ascii="Cambria Math" w:hAnsi="Cambria Math"/>
                        <w:bCs/>
                        <w:iCs/>
                        <w:lang w:val="x-none"/>
                      </w:rPr>
                    </m:ctrlPr>
                  </m:sSubPr>
                  <m:e>
                    <m:r>
                      <m:rPr>
                        <m:nor/>
                      </m:rPr>
                      <w:rPr>
                        <w:rFonts w:ascii="Cambria Math" w:hAnsi="Cambria Math"/>
                        <w:bCs/>
                        <w:iCs/>
                        <w:lang w:val="x-none"/>
                      </w:rPr>
                      <m:t>C</m:t>
                    </m:r>
                  </m:e>
                  <m:sub>
                    <m:r>
                      <m:rPr>
                        <m:nor/>
                      </m:rPr>
                      <w:rPr>
                        <w:rFonts w:ascii="Cambria Math" w:hAnsi="Cambria Math"/>
                        <w:bCs/>
                        <w:iCs/>
                        <w:lang w:val="x-none"/>
                      </w:rPr>
                      <m:t>p,h</m:t>
                    </m:r>
                  </m:sub>
                </m:sSub>
                <m:r>
                  <m:rPr>
                    <m:nor/>
                  </m:rPr>
                  <w:rPr>
                    <w:rFonts w:ascii="Cambria Math" w:hAnsi="Cambria Math"/>
                    <w:bCs/>
                    <w:iCs/>
                    <w:lang w:val="x-none"/>
                  </w:rPr>
                  <m:t>(</m:t>
                </m:r>
                <m:sSub>
                  <m:sSubPr>
                    <m:ctrlPr>
                      <w:rPr>
                        <w:rFonts w:ascii="Cambria Math" w:hAnsi="Cambria Math"/>
                        <w:bCs/>
                        <w:iCs/>
                        <w:lang w:val="x-none"/>
                      </w:rPr>
                    </m:ctrlPr>
                  </m:sSubPr>
                  <m:e>
                    <m:r>
                      <m:rPr>
                        <m:nor/>
                      </m:rPr>
                      <w:rPr>
                        <w:rFonts w:ascii="Cambria Math" w:hAnsi="Cambria Math"/>
                        <w:bCs/>
                        <w:iCs/>
                        <w:lang w:val="x-none"/>
                      </w:rPr>
                      <m:t>T</m:t>
                    </m:r>
                  </m:e>
                  <m:sub>
                    <m:r>
                      <m:rPr>
                        <m:nor/>
                      </m:rPr>
                      <w:rPr>
                        <w:rFonts w:ascii="Cambria Math" w:hAnsi="Cambria Math"/>
                        <w:bCs/>
                        <w:iCs/>
                        <w:lang w:val="x-none"/>
                      </w:rPr>
                      <m:t>h,i</m:t>
                    </m:r>
                  </m:sub>
                </m:sSub>
                <m:r>
                  <m:rPr>
                    <m:nor/>
                  </m:rPr>
                  <w:rPr>
                    <w:rFonts w:ascii="Cambria Math" w:hAnsi="Cambria Math"/>
                    <w:bCs/>
                    <w:iCs/>
                    <w:lang w:val="x-none"/>
                  </w:rPr>
                  <m:t>-</m:t>
                </m:r>
                <m:sSub>
                  <m:sSubPr>
                    <m:ctrlPr>
                      <w:rPr>
                        <w:rFonts w:ascii="Cambria Math" w:hAnsi="Cambria Math"/>
                        <w:bCs/>
                        <w:iCs/>
                        <w:lang w:val="x-none"/>
                      </w:rPr>
                    </m:ctrlPr>
                  </m:sSubPr>
                  <m:e>
                    <m:r>
                      <m:rPr>
                        <m:nor/>
                      </m:rPr>
                      <w:rPr>
                        <w:rFonts w:ascii="Cambria Math" w:hAnsi="Cambria Math"/>
                        <w:bCs/>
                        <w:iCs/>
                        <w:lang w:val="x-none"/>
                      </w:rPr>
                      <m:t>T</m:t>
                    </m:r>
                  </m:e>
                  <m:sub>
                    <m:r>
                      <m:rPr>
                        <m:nor/>
                      </m:rPr>
                      <w:rPr>
                        <w:rFonts w:ascii="Cambria Math" w:hAnsi="Cambria Math"/>
                        <w:bCs/>
                        <w:iCs/>
                        <w:lang w:val="x-none"/>
                      </w:rPr>
                      <m:t>h,o</m:t>
                    </m:r>
                  </m:sub>
                </m:sSub>
                <m:r>
                  <m:rPr>
                    <m:nor/>
                  </m:rPr>
                  <w:rPr>
                    <w:rFonts w:ascii="Cambria Math" w:hAnsi="Cambria Math"/>
                    <w:bCs/>
                    <w:iCs/>
                    <w:lang w:val="x-none"/>
                  </w:rPr>
                  <m:t>)</m:t>
                </m:r>
              </m:oMath>
            </m:oMathPara>
          </w:p>
          <w:p w:rsidR="00233599" w:rsidRPr="00D523C8" w:rsidRDefault="00233599" w:rsidP="007F2707">
            <w:pPr>
              <w:spacing w:after="160" w:line="259" w:lineRule="auto"/>
              <w:jc w:val="both"/>
              <w:rPr>
                <w:rFonts w:ascii="Cambria Math" w:hAnsi="Cambria Math"/>
                <w:iCs/>
                <w:lang w:val="en-US"/>
              </w:rPr>
            </w:pPr>
            <m:oMathPara>
              <m:oMath>
                <m:r>
                  <m:rPr>
                    <m:nor/>
                  </m:rPr>
                  <w:rPr>
                    <w:rFonts w:ascii="Cambria Math" w:hAnsi="Cambria Math"/>
                    <w:iCs/>
                    <w:lang w:val="x-none"/>
                  </w:rPr>
                  <m:t>Q=</m:t>
                </m:r>
                <m:sSub>
                  <m:sSubPr>
                    <m:ctrlPr>
                      <w:rPr>
                        <w:rFonts w:ascii="Cambria Math" w:hAnsi="Cambria Math"/>
                        <w:bCs/>
                        <w:iCs/>
                        <w:lang w:val="x-none"/>
                      </w:rPr>
                    </m:ctrlPr>
                  </m:sSubPr>
                  <m:e>
                    <m:acc>
                      <m:accPr>
                        <m:chr m:val="̇"/>
                        <m:ctrlPr>
                          <w:rPr>
                            <w:rFonts w:ascii="Cambria Math" w:hAnsi="Cambria Math"/>
                            <w:bCs/>
                            <w:iCs/>
                            <w:lang w:val="x-none"/>
                          </w:rPr>
                        </m:ctrlPr>
                      </m:accPr>
                      <m:e>
                        <m:r>
                          <m:rPr>
                            <m:nor/>
                          </m:rPr>
                          <w:rPr>
                            <w:rFonts w:ascii="Cambria Math" w:hAnsi="Cambria Math"/>
                            <w:bCs/>
                            <w:iCs/>
                            <w:lang w:val="x-none"/>
                          </w:rPr>
                          <m:t>m</m:t>
                        </m:r>
                      </m:e>
                    </m:acc>
                  </m:e>
                  <m:sub>
                    <m:r>
                      <m:rPr>
                        <m:nor/>
                      </m:rPr>
                      <w:rPr>
                        <w:rFonts w:ascii="Cambria Math" w:hAnsi="Cambria Math"/>
                        <w:bCs/>
                        <w:iCs/>
                        <w:lang w:val="x-none"/>
                      </w:rPr>
                      <m:t>c</m:t>
                    </m:r>
                  </m:sub>
                </m:sSub>
                <m:sSub>
                  <m:sSubPr>
                    <m:ctrlPr>
                      <w:rPr>
                        <w:rFonts w:ascii="Cambria Math" w:hAnsi="Cambria Math"/>
                        <w:bCs/>
                        <w:iCs/>
                        <w:lang w:val="x-none"/>
                      </w:rPr>
                    </m:ctrlPr>
                  </m:sSubPr>
                  <m:e>
                    <m:r>
                      <m:rPr>
                        <m:nor/>
                      </m:rPr>
                      <w:rPr>
                        <w:rFonts w:ascii="Cambria Math" w:hAnsi="Cambria Math"/>
                        <w:bCs/>
                        <w:iCs/>
                        <w:lang w:val="x-none"/>
                      </w:rPr>
                      <m:t>C</m:t>
                    </m:r>
                  </m:e>
                  <m:sub>
                    <m:r>
                      <m:rPr>
                        <m:nor/>
                      </m:rPr>
                      <w:rPr>
                        <w:rFonts w:ascii="Cambria Math" w:hAnsi="Cambria Math"/>
                        <w:bCs/>
                        <w:iCs/>
                        <w:lang w:val="x-none"/>
                      </w:rPr>
                      <m:t>p,c</m:t>
                    </m:r>
                  </m:sub>
                </m:sSub>
                <m:r>
                  <m:rPr>
                    <m:nor/>
                  </m:rPr>
                  <w:rPr>
                    <w:rFonts w:ascii="Cambria Math" w:hAnsi="Cambria Math"/>
                    <w:bCs/>
                    <w:iCs/>
                    <w:lang w:val="x-none"/>
                  </w:rPr>
                  <m:t>(</m:t>
                </m:r>
                <m:sSub>
                  <m:sSubPr>
                    <m:ctrlPr>
                      <w:rPr>
                        <w:rFonts w:ascii="Cambria Math" w:hAnsi="Cambria Math"/>
                        <w:bCs/>
                        <w:iCs/>
                        <w:lang w:val="x-none"/>
                      </w:rPr>
                    </m:ctrlPr>
                  </m:sSubPr>
                  <m:e>
                    <m:r>
                      <m:rPr>
                        <m:nor/>
                      </m:rPr>
                      <w:rPr>
                        <w:rFonts w:ascii="Cambria Math" w:hAnsi="Cambria Math"/>
                        <w:bCs/>
                        <w:iCs/>
                        <w:lang w:val="x-none"/>
                      </w:rPr>
                      <m:t>T</m:t>
                    </m:r>
                  </m:e>
                  <m:sub>
                    <m:r>
                      <m:rPr>
                        <m:nor/>
                      </m:rPr>
                      <w:rPr>
                        <w:rFonts w:ascii="Cambria Math" w:hAnsi="Cambria Math"/>
                        <w:bCs/>
                        <w:iCs/>
                        <w:lang w:val="x-none"/>
                      </w:rPr>
                      <m:t>c,o</m:t>
                    </m:r>
                  </m:sub>
                </m:sSub>
                <m:r>
                  <m:rPr>
                    <m:nor/>
                  </m:rPr>
                  <w:rPr>
                    <w:rFonts w:ascii="Cambria Math" w:hAnsi="Cambria Math"/>
                    <w:bCs/>
                    <w:iCs/>
                    <w:lang w:val="x-none"/>
                  </w:rPr>
                  <m:t>-</m:t>
                </m:r>
                <m:sSub>
                  <m:sSubPr>
                    <m:ctrlPr>
                      <w:rPr>
                        <w:rFonts w:ascii="Cambria Math" w:hAnsi="Cambria Math"/>
                        <w:bCs/>
                        <w:iCs/>
                        <w:lang w:val="x-none"/>
                      </w:rPr>
                    </m:ctrlPr>
                  </m:sSubPr>
                  <m:e>
                    <m:r>
                      <m:rPr>
                        <m:nor/>
                      </m:rPr>
                      <w:rPr>
                        <w:rFonts w:ascii="Cambria Math" w:hAnsi="Cambria Math"/>
                        <w:bCs/>
                        <w:iCs/>
                        <w:lang w:val="x-none"/>
                      </w:rPr>
                      <m:t>T</m:t>
                    </m:r>
                  </m:e>
                  <m:sub>
                    <m:r>
                      <m:rPr>
                        <m:nor/>
                      </m:rPr>
                      <w:rPr>
                        <w:rFonts w:ascii="Cambria Math" w:hAnsi="Cambria Math"/>
                        <w:bCs/>
                        <w:iCs/>
                        <w:lang w:val="x-none"/>
                      </w:rPr>
                      <m:t>c,i</m:t>
                    </m:r>
                  </m:sub>
                </m:sSub>
                <m:r>
                  <m:rPr>
                    <m:nor/>
                  </m:rPr>
                  <w:rPr>
                    <w:rFonts w:ascii="Cambria Math" w:hAnsi="Cambria Math"/>
                    <w:bCs/>
                    <w:iCs/>
                    <w:lang w:val="x-none"/>
                  </w:rPr>
                  <m:t>)</m:t>
                </m:r>
              </m:oMath>
            </m:oMathPara>
          </w:p>
        </w:tc>
        <w:tc>
          <w:tcPr>
            <w:tcW w:w="709" w:type="dxa"/>
            <w:hideMark/>
          </w:tcPr>
          <w:p w:rsidR="00233599" w:rsidRPr="00D523C8" w:rsidRDefault="00233599" w:rsidP="007F2707">
            <w:pPr>
              <w:spacing w:after="160" w:line="259" w:lineRule="auto"/>
              <w:jc w:val="both"/>
              <w:rPr>
                <w:rFonts w:ascii="Arial" w:hAnsi="Arial"/>
                <w:lang w:val="es-MX"/>
              </w:rPr>
            </w:pPr>
            <w:r w:rsidRPr="00D523C8">
              <w:rPr>
                <w:rFonts w:ascii="Arial" w:hAnsi="Arial"/>
                <w:lang w:val="es-MX"/>
              </w:rPr>
              <w:t>(9)</w:t>
            </w:r>
          </w:p>
        </w:tc>
      </w:tr>
    </w:tbl>
    <w:p w:rsidR="00233599" w:rsidRPr="00D523C8" w:rsidRDefault="00233599" w:rsidP="00233599">
      <w:pPr>
        <w:spacing w:after="160" w:line="259" w:lineRule="auto"/>
        <w:jc w:val="both"/>
        <w:rPr>
          <w:rFonts w:ascii="Arial" w:eastAsia="Calibri" w:hAnsi="Arial" w:cs="Arial"/>
          <w:bCs/>
          <w:lang w:val="es-MX"/>
        </w:rPr>
      </w:pPr>
      <w:r w:rsidRPr="00D523C8">
        <w:rPr>
          <w:rFonts w:ascii="Arial" w:eastAsia="Calibri" w:hAnsi="Arial" w:cs="Arial"/>
          <w:bCs/>
          <w:lang w:val="es-MX"/>
        </w:rPr>
        <w:t>La diferencia de temperatura media logarítmica es:</w:t>
      </w:r>
    </w:p>
    <w:tbl>
      <w:tblPr>
        <w:tblStyle w:val="Tablaconcuadrcula1"/>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737"/>
      </w:tblGrid>
      <w:tr w:rsidR="00233599" w:rsidRPr="00D523C8" w:rsidTr="007F2707">
        <w:tc>
          <w:tcPr>
            <w:tcW w:w="8897" w:type="dxa"/>
            <w:hideMark/>
          </w:tcPr>
          <w:p w:rsidR="00233599" w:rsidRPr="00D523C8" w:rsidRDefault="001345E4" w:rsidP="007F2707">
            <w:pPr>
              <w:spacing w:after="160" w:line="259" w:lineRule="auto"/>
              <w:jc w:val="both"/>
              <w:rPr>
                <w:rFonts w:ascii="Cambria Math" w:hAnsi="Cambria Math"/>
                <w:iCs/>
                <w:lang w:val="en-US"/>
              </w:rPr>
            </w:pPr>
            <m:oMathPara>
              <m:oMath>
                <m:sSub>
                  <m:sSubPr>
                    <m:ctrlPr>
                      <w:rPr>
                        <w:rFonts w:ascii="Cambria Math" w:hAnsi="Cambria Math"/>
                        <w:iCs/>
                        <w:lang w:val="x-none"/>
                      </w:rPr>
                    </m:ctrlPr>
                  </m:sSubPr>
                  <m:e>
                    <m:r>
                      <m:rPr>
                        <m:nor/>
                      </m:rPr>
                      <w:rPr>
                        <w:rFonts w:ascii="Cambria Math" w:hAnsi="Cambria Math"/>
                        <w:iCs/>
                        <w:lang w:val="x-none"/>
                      </w:rPr>
                      <m:t>∆T</m:t>
                    </m:r>
                  </m:e>
                  <m:sub>
                    <m:r>
                      <m:rPr>
                        <m:nor/>
                      </m:rPr>
                      <w:rPr>
                        <w:rFonts w:ascii="Cambria Math" w:hAnsi="Cambria Math"/>
                        <w:iCs/>
                        <w:lang w:val="x-none"/>
                      </w:rPr>
                      <m:t>ml</m:t>
                    </m:r>
                  </m:sub>
                </m:sSub>
                <m:r>
                  <m:rPr>
                    <m:nor/>
                  </m:rPr>
                  <w:rPr>
                    <w:rFonts w:ascii="Cambria Math" w:hAnsi="Cambria Math"/>
                    <w:iCs/>
                    <w:lang w:val="x-none"/>
                  </w:rPr>
                  <m:t>=</m:t>
                </m:r>
                <m:f>
                  <m:fPr>
                    <m:ctrlPr>
                      <w:rPr>
                        <w:rFonts w:ascii="Cambria Math" w:hAnsi="Cambria Math"/>
                        <w:bCs/>
                        <w:iCs/>
                        <w:lang w:val="x-none"/>
                      </w:rPr>
                    </m:ctrlPr>
                  </m:fPr>
                  <m:num>
                    <m:r>
                      <m:rPr>
                        <m:nor/>
                      </m:rPr>
                      <w:rPr>
                        <w:rFonts w:ascii="Cambria Math" w:hAnsi="Cambria Math"/>
                        <w:bCs/>
                        <w:iCs/>
                        <w:lang w:val="x-none"/>
                      </w:rPr>
                      <m:t>(</m:t>
                    </m:r>
                    <m:sSub>
                      <m:sSubPr>
                        <m:ctrlPr>
                          <w:rPr>
                            <w:rFonts w:ascii="Cambria Math" w:hAnsi="Cambria Math"/>
                            <w:bCs/>
                            <w:iCs/>
                            <w:lang w:val="x-none"/>
                          </w:rPr>
                        </m:ctrlPr>
                      </m:sSubPr>
                      <m:e>
                        <m:r>
                          <m:rPr>
                            <m:nor/>
                          </m:rPr>
                          <w:rPr>
                            <w:rFonts w:ascii="Cambria Math" w:hAnsi="Cambria Math"/>
                            <w:bCs/>
                            <w:iCs/>
                            <w:lang w:val="x-none"/>
                          </w:rPr>
                          <m:t>T</m:t>
                        </m:r>
                      </m:e>
                      <m:sub>
                        <m:r>
                          <m:rPr>
                            <m:nor/>
                          </m:rPr>
                          <w:rPr>
                            <w:rFonts w:ascii="Cambria Math" w:hAnsi="Cambria Math"/>
                            <w:bCs/>
                            <w:iCs/>
                            <w:lang w:val="en-US"/>
                          </w:rPr>
                          <m:t>h,i</m:t>
                        </m:r>
                      </m:sub>
                    </m:sSub>
                    <m:r>
                      <m:rPr>
                        <m:nor/>
                      </m:rPr>
                      <w:rPr>
                        <w:rFonts w:ascii="Cambria Math" w:hAnsi="Cambria Math"/>
                        <w:bCs/>
                        <w:iCs/>
                        <w:lang w:val="x-none"/>
                      </w:rPr>
                      <m:t>-</m:t>
                    </m:r>
                    <m:sSub>
                      <m:sSubPr>
                        <m:ctrlPr>
                          <w:rPr>
                            <w:rFonts w:ascii="Cambria Math" w:hAnsi="Cambria Math"/>
                            <w:bCs/>
                            <w:iCs/>
                            <w:lang w:val="x-none"/>
                          </w:rPr>
                        </m:ctrlPr>
                      </m:sSubPr>
                      <m:e>
                        <m:r>
                          <m:rPr>
                            <m:nor/>
                          </m:rPr>
                          <w:rPr>
                            <w:rFonts w:ascii="Cambria Math" w:hAnsi="Cambria Math"/>
                            <w:bCs/>
                            <w:iCs/>
                            <w:lang w:val="x-none"/>
                          </w:rPr>
                          <m:t>T</m:t>
                        </m:r>
                      </m:e>
                      <m:sub>
                        <m:r>
                          <m:rPr>
                            <m:nor/>
                          </m:rPr>
                          <w:rPr>
                            <w:rFonts w:ascii="Cambria Math" w:hAnsi="Cambria Math"/>
                            <w:bCs/>
                            <w:iCs/>
                            <w:lang w:val="en-US"/>
                          </w:rPr>
                          <m:t>c,o</m:t>
                        </m:r>
                      </m:sub>
                    </m:sSub>
                    <m:r>
                      <m:rPr>
                        <m:nor/>
                      </m:rPr>
                      <w:rPr>
                        <w:rFonts w:ascii="Cambria Math" w:hAnsi="Cambria Math"/>
                        <w:bCs/>
                        <w:iCs/>
                        <w:lang w:val="x-none"/>
                      </w:rPr>
                      <m:t>)</m:t>
                    </m:r>
                    <m:r>
                      <m:rPr>
                        <m:nor/>
                      </m:rPr>
                      <w:rPr>
                        <w:rFonts w:ascii="Cambria Math" w:hAnsi="Cambria Math"/>
                        <w:bCs/>
                        <w:iCs/>
                        <w:lang w:val="en-US"/>
                      </w:rPr>
                      <m:t>-</m:t>
                    </m:r>
                    <m:r>
                      <m:rPr>
                        <m:nor/>
                      </m:rPr>
                      <w:rPr>
                        <w:rFonts w:ascii="Cambria Math" w:hAnsi="Cambria Math"/>
                        <w:bCs/>
                        <w:iCs/>
                        <w:lang w:val="x-none"/>
                      </w:rPr>
                      <m:t>(</m:t>
                    </m:r>
                    <m:sSub>
                      <m:sSubPr>
                        <m:ctrlPr>
                          <w:rPr>
                            <w:rFonts w:ascii="Cambria Math" w:hAnsi="Cambria Math"/>
                            <w:bCs/>
                            <w:iCs/>
                            <w:lang w:val="x-none"/>
                          </w:rPr>
                        </m:ctrlPr>
                      </m:sSubPr>
                      <m:e>
                        <m:r>
                          <m:rPr>
                            <m:nor/>
                          </m:rPr>
                          <w:rPr>
                            <w:rFonts w:ascii="Cambria Math" w:hAnsi="Cambria Math"/>
                            <w:bCs/>
                            <w:iCs/>
                            <w:lang w:val="x-none"/>
                          </w:rPr>
                          <m:t>T</m:t>
                        </m:r>
                      </m:e>
                      <m:sub>
                        <m:r>
                          <m:rPr>
                            <m:nor/>
                          </m:rPr>
                          <w:rPr>
                            <w:rFonts w:ascii="Cambria Math" w:hAnsi="Cambria Math"/>
                            <w:bCs/>
                            <w:iCs/>
                            <w:lang w:val="en-US"/>
                          </w:rPr>
                          <m:t>h,o</m:t>
                        </m:r>
                      </m:sub>
                    </m:sSub>
                    <m:r>
                      <m:rPr>
                        <m:nor/>
                      </m:rPr>
                      <w:rPr>
                        <w:rFonts w:ascii="Cambria Math" w:hAnsi="Cambria Math"/>
                        <w:bCs/>
                        <w:iCs/>
                        <w:lang w:val="x-none"/>
                      </w:rPr>
                      <m:t>-</m:t>
                    </m:r>
                    <m:sSub>
                      <m:sSubPr>
                        <m:ctrlPr>
                          <w:rPr>
                            <w:rFonts w:ascii="Cambria Math" w:hAnsi="Cambria Math"/>
                            <w:bCs/>
                            <w:iCs/>
                            <w:lang w:val="x-none"/>
                          </w:rPr>
                        </m:ctrlPr>
                      </m:sSubPr>
                      <m:e>
                        <m:r>
                          <m:rPr>
                            <m:nor/>
                          </m:rPr>
                          <w:rPr>
                            <w:rFonts w:ascii="Cambria Math" w:hAnsi="Cambria Math"/>
                            <w:bCs/>
                            <w:iCs/>
                            <w:lang w:val="x-none"/>
                          </w:rPr>
                          <m:t>T</m:t>
                        </m:r>
                      </m:e>
                      <m:sub>
                        <m:r>
                          <m:rPr>
                            <m:nor/>
                          </m:rPr>
                          <w:rPr>
                            <w:rFonts w:ascii="Cambria Math" w:hAnsi="Cambria Math"/>
                            <w:bCs/>
                            <w:iCs/>
                            <w:lang w:val="en-US"/>
                          </w:rPr>
                          <m:t>c,i</m:t>
                        </m:r>
                      </m:sub>
                    </m:sSub>
                    <m:r>
                      <m:rPr>
                        <m:nor/>
                      </m:rPr>
                      <w:rPr>
                        <w:rFonts w:ascii="Cambria Math" w:hAnsi="Cambria Math"/>
                        <w:bCs/>
                        <w:iCs/>
                        <w:lang w:val="x-none"/>
                      </w:rPr>
                      <m:t>)</m:t>
                    </m:r>
                  </m:num>
                  <m:den>
                    <m:r>
                      <m:rPr>
                        <m:nor/>
                      </m:rPr>
                      <w:rPr>
                        <w:rFonts w:ascii="Cambria Math" w:hAnsi="Cambria Math"/>
                        <w:bCs/>
                        <w:iCs/>
                        <w:lang w:val="en-US"/>
                      </w:rPr>
                      <m:t>ln[</m:t>
                    </m:r>
                    <m:r>
                      <m:rPr>
                        <m:nor/>
                      </m:rPr>
                      <w:rPr>
                        <w:rFonts w:ascii="Cambria Math" w:hAnsi="Cambria Math"/>
                        <w:bCs/>
                        <w:iCs/>
                        <w:lang w:val="x-none"/>
                      </w:rPr>
                      <m:t>(</m:t>
                    </m:r>
                    <m:sSub>
                      <m:sSubPr>
                        <m:ctrlPr>
                          <w:rPr>
                            <w:rFonts w:ascii="Cambria Math" w:hAnsi="Cambria Math"/>
                            <w:bCs/>
                            <w:iCs/>
                            <w:lang w:val="x-none"/>
                          </w:rPr>
                        </m:ctrlPr>
                      </m:sSubPr>
                      <m:e>
                        <m:r>
                          <m:rPr>
                            <m:nor/>
                          </m:rPr>
                          <w:rPr>
                            <w:rFonts w:ascii="Cambria Math" w:hAnsi="Cambria Math"/>
                            <w:bCs/>
                            <w:iCs/>
                            <w:lang w:val="x-none"/>
                          </w:rPr>
                          <m:t>T</m:t>
                        </m:r>
                      </m:e>
                      <m:sub>
                        <m:r>
                          <m:rPr>
                            <m:nor/>
                          </m:rPr>
                          <w:rPr>
                            <w:rFonts w:ascii="Cambria Math" w:hAnsi="Cambria Math"/>
                            <w:bCs/>
                            <w:iCs/>
                            <w:lang w:val="en-US"/>
                          </w:rPr>
                          <m:t>h,i</m:t>
                        </m:r>
                      </m:sub>
                    </m:sSub>
                    <m:r>
                      <m:rPr>
                        <m:nor/>
                      </m:rPr>
                      <w:rPr>
                        <w:rFonts w:ascii="Cambria Math" w:hAnsi="Cambria Math"/>
                        <w:bCs/>
                        <w:iCs/>
                        <w:lang w:val="x-none"/>
                      </w:rPr>
                      <m:t>-</m:t>
                    </m:r>
                    <m:sSub>
                      <m:sSubPr>
                        <m:ctrlPr>
                          <w:rPr>
                            <w:rFonts w:ascii="Cambria Math" w:hAnsi="Cambria Math"/>
                            <w:bCs/>
                            <w:iCs/>
                            <w:lang w:val="x-none"/>
                          </w:rPr>
                        </m:ctrlPr>
                      </m:sSubPr>
                      <m:e>
                        <m:r>
                          <m:rPr>
                            <m:nor/>
                          </m:rPr>
                          <w:rPr>
                            <w:rFonts w:ascii="Cambria Math" w:hAnsi="Cambria Math"/>
                            <w:bCs/>
                            <w:iCs/>
                            <w:lang w:val="x-none"/>
                          </w:rPr>
                          <m:t>T</m:t>
                        </m:r>
                      </m:e>
                      <m:sub>
                        <m:r>
                          <m:rPr>
                            <m:nor/>
                          </m:rPr>
                          <w:rPr>
                            <w:rFonts w:ascii="Cambria Math" w:hAnsi="Cambria Math"/>
                            <w:bCs/>
                            <w:iCs/>
                            <w:lang w:val="en-US"/>
                          </w:rPr>
                          <m:t>c,o</m:t>
                        </m:r>
                      </m:sub>
                    </m:sSub>
                    <m:r>
                      <m:rPr>
                        <m:nor/>
                      </m:rPr>
                      <w:rPr>
                        <w:rFonts w:ascii="Cambria Math" w:hAnsi="Cambria Math"/>
                        <w:bCs/>
                        <w:iCs/>
                        <w:lang w:val="x-none"/>
                      </w:rPr>
                      <m:t>)</m:t>
                    </m:r>
                    <m:r>
                      <m:rPr>
                        <m:nor/>
                      </m:rPr>
                      <w:rPr>
                        <w:rFonts w:ascii="Cambria Math" w:hAnsi="Cambria Math"/>
                        <w:bCs/>
                        <w:iCs/>
                        <w:lang w:val="en-US"/>
                      </w:rPr>
                      <m:t>/</m:t>
                    </m:r>
                    <m:r>
                      <m:rPr>
                        <m:nor/>
                      </m:rPr>
                      <w:rPr>
                        <w:rFonts w:ascii="Cambria Math" w:hAnsi="Cambria Math"/>
                        <w:bCs/>
                        <w:iCs/>
                        <w:lang w:val="x-none"/>
                      </w:rPr>
                      <m:t>(</m:t>
                    </m:r>
                    <m:sSub>
                      <m:sSubPr>
                        <m:ctrlPr>
                          <w:rPr>
                            <w:rFonts w:ascii="Cambria Math" w:hAnsi="Cambria Math"/>
                            <w:bCs/>
                            <w:iCs/>
                            <w:lang w:val="x-none"/>
                          </w:rPr>
                        </m:ctrlPr>
                      </m:sSubPr>
                      <m:e>
                        <m:r>
                          <m:rPr>
                            <m:nor/>
                          </m:rPr>
                          <w:rPr>
                            <w:rFonts w:ascii="Cambria Math" w:hAnsi="Cambria Math"/>
                            <w:bCs/>
                            <w:iCs/>
                            <w:lang w:val="x-none"/>
                          </w:rPr>
                          <m:t>T</m:t>
                        </m:r>
                      </m:e>
                      <m:sub>
                        <m:r>
                          <m:rPr>
                            <m:nor/>
                          </m:rPr>
                          <w:rPr>
                            <w:rFonts w:ascii="Cambria Math" w:hAnsi="Cambria Math"/>
                            <w:bCs/>
                            <w:iCs/>
                            <w:lang w:val="en-US"/>
                          </w:rPr>
                          <m:t>h,o</m:t>
                        </m:r>
                      </m:sub>
                    </m:sSub>
                    <m:r>
                      <m:rPr>
                        <m:nor/>
                      </m:rPr>
                      <w:rPr>
                        <w:rFonts w:ascii="Cambria Math" w:hAnsi="Cambria Math"/>
                        <w:bCs/>
                        <w:iCs/>
                        <w:lang w:val="x-none"/>
                      </w:rPr>
                      <m:t>-</m:t>
                    </m:r>
                    <m:sSub>
                      <m:sSubPr>
                        <m:ctrlPr>
                          <w:rPr>
                            <w:rFonts w:ascii="Cambria Math" w:hAnsi="Cambria Math"/>
                            <w:bCs/>
                            <w:iCs/>
                            <w:lang w:val="x-none"/>
                          </w:rPr>
                        </m:ctrlPr>
                      </m:sSubPr>
                      <m:e>
                        <m:r>
                          <m:rPr>
                            <m:nor/>
                          </m:rPr>
                          <w:rPr>
                            <w:rFonts w:ascii="Cambria Math" w:hAnsi="Cambria Math"/>
                            <w:bCs/>
                            <w:iCs/>
                            <w:lang w:val="x-none"/>
                          </w:rPr>
                          <m:t>T</m:t>
                        </m:r>
                      </m:e>
                      <m:sub>
                        <m:r>
                          <m:rPr>
                            <m:nor/>
                          </m:rPr>
                          <w:rPr>
                            <w:rFonts w:ascii="Cambria Math" w:hAnsi="Cambria Math"/>
                            <w:bCs/>
                            <w:iCs/>
                            <w:lang w:val="en-US"/>
                          </w:rPr>
                          <m:t>c,i</m:t>
                        </m:r>
                      </m:sub>
                    </m:sSub>
                    <m:r>
                      <m:rPr>
                        <m:sty m:val="p"/>
                      </m:rPr>
                      <w:rPr>
                        <w:rFonts w:ascii="Cambria Math" w:hAnsi="Cambria Math"/>
                        <w:lang w:val="x-none"/>
                      </w:rPr>
                      <m:t>)]</m:t>
                    </m:r>
                  </m:den>
                </m:f>
              </m:oMath>
            </m:oMathPara>
          </w:p>
        </w:tc>
        <w:tc>
          <w:tcPr>
            <w:tcW w:w="737" w:type="dxa"/>
            <w:hideMark/>
          </w:tcPr>
          <w:p w:rsidR="00233599" w:rsidRPr="00D523C8" w:rsidRDefault="00233599" w:rsidP="007F2707">
            <w:pPr>
              <w:spacing w:after="160" w:line="259" w:lineRule="auto"/>
              <w:jc w:val="both"/>
              <w:rPr>
                <w:rFonts w:ascii="Arial" w:hAnsi="Arial"/>
                <w:lang w:val="es-MX"/>
              </w:rPr>
            </w:pPr>
            <w:r w:rsidRPr="00D523C8">
              <w:rPr>
                <w:rFonts w:ascii="Arial" w:hAnsi="Arial"/>
                <w:lang w:val="es-MX"/>
              </w:rPr>
              <w:t>(10)</w:t>
            </w:r>
          </w:p>
        </w:tc>
      </w:tr>
    </w:tbl>
    <w:p w:rsidR="00233599" w:rsidRPr="00D523C8" w:rsidRDefault="00233599" w:rsidP="00233599">
      <w:pPr>
        <w:pStyle w:val="TextoPrincipalV2"/>
      </w:pPr>
      <w:r w:rsidRPr="00D523C8">
        <w:t>A partir de la diferencia de temperatura media logarítmica y la tasa de transferencia de calor, el coeficiente global de transferencia de calor es:</w:t>
      </w:r>
    </w:p>
    <w:tbl>
      <w:tblPr>
        <w:tblStyle w:val="Tablaconcuadrcula1"/>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737"/>
      </w:tblGrid>
      <w:tr w:rsidR="00233599" w:rsidRPr="00D523C8" w:rsidTr="007F2707">
        <w:tc>
          <w:tcPr>
            <w:tcW w:w="8897" w:type="dxa"/>
            <w:hideMark/>
          </w:tcPr>
          <w:p w:rsidR="00233599" w:rsidRPr="00D523C8" w:rsidRDefault="00233599" w:rsidP="007F2707">
            <w:pPr>
              <w:spacing w:after="160" w:line="259" w:lineRule="auto"/>
              <w:jc w:val="both"/>
              <w:rPr>
                <w:rFonts w:ascii="Cambria Math" w:hAnsi="Cambria Math"/>
                <w:iCs/>
                <w:lang w:val="es-MX"/>
              </w:rPr>
            </w:pPr>
            <m:oMathPara>
              <m:oMath>
                <m:r>
                  <m:rPr>
                    <m:nor/>
                  </m:rPr>
                  <w:rPr>
                    <w:rFonts w:ascii="Cambria Math" w:hAnsi="Cambria Math"/>
                    <w:iCs/>
                    <w:lang w:val="x-none"/>
                  </w:rPr>
                  <m:t>U=</m:t>
                </m:r>
                <m:f>
                  <m:fPr>
                    <m:ctrlPr>
                      <w:rPr>
                        <w:rFonts w:ascii="Cambria Math" w:hAnsi="Cambria Math"/>
                        <w:iCs/>
                        <w:lang w:val="x-none"/>
                      </w:rPr>
                    </m:ctrlPr>
                  </m:fPr>
                  <m:num>
                    <m:r>
                      <m:rPr>
                        <m:nor/>
                      </m:rPr>
                      <w:rPr>
                        <w:rFonts w:ascii="Cambria Math" w:hAnsi="Cambria Math"/>
                        <w:iCs/>
                        <w:lang w:val="x-none"/>
                      </w:rPr>
                      <m:t>Q</m:t>
                    </m:r>
                  </m:num>
                  <m:den>
                    <m:sSub>
                      <m:sSubPr>
                        <m:ctrlPr>
                          <w:rPr>
                            <w:rFonts w:ascii="Cambria Math" w:hAnsi="Cambria Math"/>
                            <w:iCs/>
                            <w:lang w:val="x-none"/>
                          </w:rPr>
                        </m:ctrlPr>
                      </m:sSubPr>
                      <m:e>
                        <m:r>
                          <m:rPr>
                            <m:nor/>
                          </m:rPr>
                          <w:rPr>
                            <w:rFonts w:ascii="Cambria Math" w:hAnsi="Cambria Math"/>
                            <w:iCs/>
                            <w:lang w:val="x-none"/>
                          </w:rPr>
                          <m:t>A</m:t>
                        </m:r>
                      </m:e>
                      <m:sub>
                        <m:r>
                          <m:rPr>
                            <m:nor/>
                          </m:rPr>
                          <w:rPr>
                            <w:rFonts w:ascii="Cambria Math" w:hAnsi="Cambria Math"/>
                            <w:iCs/>
                            <w:lang w:val="x-none"/>
                          </w:rPr>
                          <m:t>l</m:t>
                        </m:r>
                      </m:sub>
                    </m:sSub>
                    <m:sSub>
                      <m:sSubPr>
                        <m:ctrlPr>
                          <w:rPr>
                            <w:rFonts w:ascii="Cambria Math" w:hAnsi="Cambria Math"/>
                            <w:iCs/>
                            <w:lang w:val="x-none"/>
                          </w:rPr>
                        </m:ctrlPr>
                      </m:sSubPr>
                      <m:e>
                        <m:r>
                          <m:rPr>
                            <m:nor/>
                          </m:rPr>
                          <w:rPr>
                            <w:rFonts w:ascii="Cambria Math" w:hAnsi="Cambria Math"/>
                            <w:iCs/>
                            <w:lang w:val="x-none"/>
                          </w:rPr>
                          <m:t>∆T</m:t>
                        </m:r>
                      </m:e>
                      <m:sub>
                        <m:r>
                          <m:rPr>
                            <m:nor/>
                          </m:rPr>
                          <w:rPr>
                            <w:rFonts w:ascii="Cambria Math" w:hAnsi="Cambria Math"/>
                            <w:iCs/>
                            <w:lang w:val="x-none"/>
                          </w:rPr>
                          <m:t>ml</m:t>
                        </m:r>
                      </m:sub>
                    </m:sSub>
                  </m:den>
                </m:f>
              </m:oMath>
            </m:oMathPara>
          </w:p>
        </w:tc>
        <w:tc>
          <w:tcPr>
            <w:tcW w:w="737" w:type="dxa"/>
            <w:hideMark/>
          </w:tcPr>
          <w:p w:rsidR="00233599" w:rsidRPr="00D523C8" w:rsidRDefault="00233599" w:rsidP="007F2707">
            <w:pPr>
              <w:spacing w:after="160" w:line="259" w:lineRule="auto"/>
              <w:jc w:val="both"/>
              <w:rPr>
                <w:rFonts w:ascii="Arial" w:hAnsi="Arial"/>
                <w:lang w:val="es-MX"/>
              </w:rPr>
            </w:pPr>
            <w:r w:rsidRPr="00D523C8">
              <w:rPr>
                <w:rFonts w:ascii="Arial" w:hAnsi="Arial"/>
                <w:lang w:val="es-MX"/>
              </w:rPr>
              <w:t>(11)</w:t>
            </w:r>
          </w:p>
        </w:tc>
      </w:tr>
    </w:tbl>
    <w:p w:rsidR="00233599" w:rsidRPr="00D523C8" w:rsidRDefault="00233599" w:rsidP="00233599">
      <w:pPr>
        <w:pStyle w:val="TextoPrincipalV2"/>
      </w:pPr>
      <w:r w:rsidRPr="00D523C8">
        <w:t>La caída de presión del fluido que pasa por el espacio anular se determina por:</w:t>
      </w:r>
    </w:p>
    <w:tbl>
      <w:tblPr>
        <w:tblStyle w:val="Tablaconcuadrcula2"/>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737"/>
      </w:tblGrid>
      <w:tr w:rsidR="00233599" w:rsidRPr="00D523C8" w:rsidTr="007F2707">
        <w:tc>
          <w:tcPr>
            <w:tcW w:w="8897" w:type="dxa"/>
            <w:hideMark/>
          </w:tcPr>
          <w:p w:rsidR="00233599" w:rsidRPr="00D523C8" w:rsidRDefault="00233599" w:rsidP="007F2707">
            <w:pPr>
              <w:tabs>
                <w:tab w:val="left" w:pos="288"/>
              </w:tabs>
              <w:spacing w:after="120" w:line="228" w:lineRule="auto"/>
              <w:jc w:val="both"/>
              <w:rPr>
                <w:rFonts w:ascii="Cambria Math" w:eastAsia="SimSun" w:hAnsi="Cambria Math"/>
                <w:iCs/>
                <w:spacing w:val="-1"/>
                <w:lang w:val="es-MX" w:eastAsia="x-none"/>
              </w:rPr>
            </w:pPr>
            <m:oMathPara>
              <m:oMath>
                <m:r>
                  <m:rPr>
                    <m:nor/>
                  </m:rPr>
                  <w:rPr>
                    <w:rFonts w:ascii="Cambria Math" w:eastAsia="Times New Roman" w:hAnsi="Cambria Math"/>
                    <w:bCs/>
                    <w:iCs/>
                    <w:spacing w:val="-1"/>
                    <w:lang w:val="x-none" w:eastAsia="x-none"/>
                  </w:rPr>
                  <m:t>∆p=f</m:t>
                </m:r>
                <m:f>
                  <m:fPr>
                    <m:ctrlPr>
                      <w:rPr>
                        <w:rFonts w:ascii="Cambria Math" w:eastAsia="Times New Roman" w:hAnsi="Cambria Math"/>
                        <w:bCs/>
                        <w:iCs/>
                        <w:spacing w:val="-1"/>
                        <w:lang w:val="x-none" w:eastAsia="x-none"/>
                      </w:rPr>
                    </m:ctrlPr>
                  </m:fPr>
                  <m:num>
                    <m:sSub>
                      <m:sSubPr>
                        <m:ctrlPr>
                          <w:rPr>
                            <w:rFonts w:ascii="Cambria Math" w:eastAsia="Times New Roman" w:hAnsi="Cambria Math"/>
                            <w:bCs/>
                            <w:iCs/>
                            <w:spacing w:val="-1"/>
                            <w:lang w:val="x-none" w:eastAsia="x-none"/>
                          </w:rPr>
                        </m:ctrlPr>
                      </m:sSubPr>
                      <m:e>
                        <m:r>
                          <m:rPr>
                            <m:nor/>
                          </m:rPr>
                          <w:rPr>
                            <w:rFonts w:ascii="Cambria Math" w:eastAsia="Times New Roman" w:hAnsi="Cambria Math"/>
                            <w:bCs/>
                            <w:iCs/>
                            <w:spacing w:val="-1"/>
                            <w:lang w:val="x-none" w:eastAsia="x-none"/>
                          </w:rPr>
                          <m:t>L</m:t>
                        </m:r>
                      </m:e>
                      <m:sub>
                        <m:r>
                          <m:rPr>
                            <m:nor/>
                          </m:rPr>
                          <w:rPr>
                            <w:rFonts w:ascii="Cambria Math" w:eastAsia="Times New Roman" w:hAnsi="Cambria Math"/>
                            <w:bCs/>
                            <w:iCs/>
                            <w:spacing w:val="-1"/>
                            <w:lang w:val="x-none" w:eastAsia="x-none"/>
                          </w:rPr>
                          <m:t>3</m:t>
                        </m:r>
                      </m:sub>
                    </m:sSub>
                  </m:num>
                  <m:den>
                    <m:sSub>
                      <m:sSubPr>
                        <m:ctrlPr>
                          <w:rPr>
                            <w:rFonts w:ascii="Cambria Math" w:eastAsia="Times New Roman" w:hAnsi="Cambria Math"/>
                            <w:bCs/>
                            <w:iCs/>
                            <w:spacing w:val="-1"/>
                            <w:lang w:val="x-none" w:eastAsia="x-none"/>
                          </w:rPr>
                        </m:ctrlPr>
                      </m:sSubPr>
                      <m:e>
                        <m:r>
                          <m:rPr>
                            <m:nor/>
                          </m:rPr>
                          <w:rPr>
                            <w:rFonts w:ascii="Cambria Math" w:eastAsia="Times New Roman" w:hAnsi="Cambria Math"/>
                            <w:bCs/>
                            <w:iCs/>
                            <w:spacing w:val="-1"/>
                            <w:lang w:val="x-none" w:eastAsia="x-none"/>
                          </w:rPr>
                          <m:t>D</m:t>
                        </m:r>
                      </m:e>
                      <m:sub>
                        <m:r>
                          <m:rPr>
                            <m:nor/>
                          </m:rPr>
                          <w:rPr>
                            <w:rFonts w:ascii="Cambria Math" w:eastAsia="Times New Roman" w:hAnsi="Cambria Math"/>
                            <w:bCs/>
                            <w:iCs/>
                            <w:spacing w:val="-1"/>
                            <w:lang w:val="x-none" w:eastAsia="x-none"/>
                          </w:rPr>
                          <m:t>3</m:t>
                        </m:r>
                      </m:sub>
                    </m:sSub>
                  </m:den>
                </m:f>
                <m:f>
                  <m:fPr>
                    <m:ctrlPr>
                      <w:rPr>
                        <w:rFonts w:ascii="Cambria Math" w:eastAsia="Times New Roman" w:hAnsi="Cambria Math"/>
                        <w:bCs/>
                        <w:iCs/>
                        <w:spacing w:val="-1"/>
                        <w:lang w:val="x-none" w:eastAsia="x-none"/>
                      </w:rPr>
                    </m:ctrlPr>
                  </m:fPr>
                  <m:num>
                    <m:r>
                      <m:rPr>
                        <m:nor/>
                      </m:rPr>
                      <w:rPr>
                        <w:rFonts w:ascii="Cambria Math" w:eastAsia="Times New Roman" w:hAnsi="Cambria Math"/>
                        <w:bCs/>
                        <w:iCs/>
                        <w:spacing w:val="-1"/>
                        <w:lang w:val="x-none" w:eastAsia="x-none"/>
                      </w:rPr>
                      <m:t>ρ</m:t>
                    </m:r>
                    <m:sSubSup>
                      <m:sSubSupPr>
                        <m:ctrlPr>
                          <w:rPr>
                            <w:rFonts w:ascii="Cambria Math" w:eastAsia="Times New Roman" w:hAnsi="Cambria Math"/>
                            <w:bCs/>
                            <w:iCs/>
                            <w:spacing w:val="-1"/>
                            <w:lang w:val="x-none" w:eastAsia="x-none"/>
                          </w:rPr>
                        </m:ctrlPr>
                      </m:sSubSupPr>
                      <m:e>
                        <m:r>
                          <m:rPr>
                            <m:nor/>
                          </m:rPr>
                          <w:rPr>
                            <w:rFonts w:ascii="Cambria Math" w:eastAsia="Times New Roman" w:hAnsi="Cambria Math"/>
                            <w:bCs/>
                            <w:iCs/>
                            <w:spacing w:val="-1"/>
                            <w:lang w:val="x-none" w:eastAsia="x-none"/>
                          </w:rPr>
                          <m:t>v</m:t>
                        </m:r>
                      </m:e>
                      <m:sub>
                        <m:r>
                          <m:rPr>
                            <m:nor/>
                          </m:rPr>
                          <w:rPr>
                            <w:rFonts w:ascii="Cambria Math" w:eastAsia="Times New Roman" w:hAnsi="Cambria Math"/>
                            <w:bCs/>
                            <w:iCs/>
                            <w:spacing w:val="-1"/>
                            <w:lang w:val="x-none" w:eastAsia="x-none"/>
                          </w:rPr>
                          <m:t>i</m:t>
                        </m:r>
                      </m:sub>
                      <m:sup>
                        <m:r>
                          <m:rPr>
                            <m:nor/>
                          </m:rPr>
                          <w:rPr>
                            <w:rFonts w:ascii="Cambria Math" w:eastAsia="Times New Roman" w:hAnsi="Cambria Math"/>
                            <w:bCs/>
                            <w:iCs/>
                            <w:spacing w:val="-1"/>
                            <w:lang w:val="x-none" w:eastAsia="x-none"/>
                          </w:rPr>
                          <m:t>2</m:t>
                        </m:r>
                      </m:sup>
                    </m:sSubSup>
                  </m:num>
                  <m:den>
                    <m:r>
                      <m:rPr>
                        <m:nor/>
                      </m:rPr>
                      <w:rPr>
                        <w:rFonts w:ascii="Cambria Math" w:eastAsia="Times New Roman" w:hAnsi="Cambria Math"/>
                        <w:bCs/>
                        <w:iCs/>
                        <w:spacing w:val="-1"/>
                        <w:lang w:val="x-none" w:eastAsia="x-none"/>
                      </w:rPr>
                      <m:t>2</m:t>
                    </m:r>
                  </m:den>
                </m:f>
              </m:oMath>
            </m:oMathPara>
          </w:p>
        </w:tc>
        <w:tc>
          <w:tcPr>
            <w:tcW w:w="737" w:type="dxa"/>
            <w:hideMark/>
          </w:tcPr>
          <w:p w:rsidR="00233599" w:rsidRPr="00D523C8" w:rsidRDefault="00233599" w:rsidP="007F2707">
            <w:pPr>
              <w:tabs>
                <w:tab w:val="left" w:pos="288"/>
              </w:tabs>
              <w:spacing w:after="120" w:line="228" w:lineRule="auto"/>
              <w:jc w:val="both"/>
              <w:rPr>
                <w:rFonts w:ascii="Arial" w:eastAsia="SimSun" w:hAnsi="Arial"/>
                <w:spacing w:val="-1"/>
                <w:lang w:val="es-MX" w:eastAsia="x-none"/>
              </w:rPr>
            </w:pPr>
            <w:r w:rsidRPr="00D523C8">
              <w:rPr>
                <w:rFonts w:ascii="Arial" w:eastAsia="SimSun" w:hAnsi="Arial"/>
                <w:spacing w:val="-1"/>
                <w:lang w:val="es-MX" w:eastAsia="x-none"/>
              </w:rPr>
              <w:t>(12)</w:t>
            </w:r>
          </w:p>
        </w:tc>
      </w:tr>
    </w:tbl>
    <w:p w:rsidR="00233599" w:rsidRPr="00D523C8" w:rsidRDefault="00233599" w:rsidP="00233599">
      <w:pPr>
        <w:pStyle w:val="TextoPrincipalV2"/>
      </w:pPr>
      <w:r w:rsidRPr="00D523C8">
        <w:t xml:space="preserve">Donde </w:t>
      </w:r>
      <w:r w:rsidRPr="00D523C8">
        <w:rPr>
          <w:i/>
        </w:rPr>
        <w:t>f</w:t>
      </w:r>
      <w:r w:rsidRPr="00D523C8">
        <w:t xml:space="preserve"> es el factor de fricción dado por:</w:t>
      </w:r>
    </w:p>
    <w:tbl>
      <w:tblPr>
        <w:tblStyle w:val="Tablaconcuadrcula2"/>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737"/>
      </w:tblGrid>
      <w:tr w:rsidR="00233599" w:rsidRPr="00D523C8" w:rsidTr="007F2707">
        <w:tc>
          <w:tcPr>
            <w:tcW w:w="8897" w:type="dxa"/>
            <w:hideMark/>
          </w:tcPr>
          <w:p w:rsidR="00233599" w:rsidRPr="00D523C8" w:rsidRDefault="00233599" w:rsidP="007F2707">
            <w:pPr>
              <w:tabs>
                <w:tab w:val="left" w:pos="288"/>
              </w:tabs>
              <w:spacing w:after="120" w:line="228" w:lineRule="auto"/>
              <w:jc w:val="both"/>
              <w:rPr>
                <w:rFonts w:ascii="Cambria Math" w:eastAsia="SimSun" w:hAnsi="Cambria Math"/>
                <w:iCs/>
                <w:spacing w:val="-1"/>
                <w:lang w:val="es-MX" w:eastAsia="x-none"/>
              </w:rPr>
            </w:pPr>
            <m:oMathPara>
              <m:oMath>
                <m:r>
                  <m:rPr>
                    <m:nor/>
                  </m:rPr>
                  <w:rPr>
                    <w:rFonts w:ascii="Cambria Math" w:eastAsia="SimSun" w:hAnsi="Cambria Math"/>
                    <w:iCs/>
                    <w:spacing w:val="-1"/>
                    <w:lang w:val="x-none" w:eastAsia="x-none"/>
                  </w:rPr>
                  <m:t>f=</m:t>
                </m:r>
                <m:sSup>
                  <m:sSupPr>
                    <m:ctrlPr>
                      <w:rPr>
                        <w:rFonts w:ascii="Cambria Math" w:eastAsia="SimSun" w:hAnsi="Cambria Math"/>
                        <w:iCs/>
                        <w:spacing w:val="-1"/>
                        <w:lang w:val="x-none" w:eastAsia="x-none"/>
                      </w:rPr>
                    </m:ctrlPr>
                  </m:sSupPr>
                  <m:e>
                    <m:r>
                      <m:rPr>
                        <m:nor/>
                      </m:rPr>
                      <w:rPr>
                        <w:rFonts w:ascii="Cambria Math" w:eastAsia="SimSun" w:hAnsi="Cambria Math"/>
                        <w:iCs/>
                        <w:spacing w:val="-1"/>
                        <w:lang w:val="x-none" w:eastAsia="x-none"/>
                      </w:rPr>
                      <m:t>(0.790lnRe-1.64)</m:t>
                    </m:r>
                  </m:e>
                  <m:sup>
                    <m:r>
                      <m:rPr>
                        <m:nor/>
                      </m:rPr>
                      <w:rPr>
                        <w:rFonts w:ascii="Cambria Math" w:eastAsia="SimSun" w:hAnsi="Cambria Math"/>
                        <w:iCs/>
                        <w:spacing w:val="-1"/>
                        <w:lang w:val="x-none" w:eastAsia="x-none"/>
                      </w:rPr>
                      <m:t>-2</m:t>
                    </m:r>
                  </m:sup>
                </m:sSup>
              </m:oMath>
            </m:oMathPara>
          </w:p>
        </w:tc>
        <w:tc>
          <w:tcPr>
            <w:tcW w:w="737" w:type="dxa"/>
            <w:hideMark/>
          </w:tcPr>
          <w:p w:rsidR="00233599" w:rsidRPr="00D523C8" w:rsidRDefault="00233599" w:rsidP="007F2707">
            <w:pPr>
              <w:tabs>
                <w:tab w:val="left" w:pos="288"/>
              </w:tabs>
              <w:spacing w:after="120" w:line="228" w:lineRule="auto"/>
              <w:jc w:val="both"/>
              <w:rPr>
                <w:rFonts w:ascii="Arial" w:eastAsia="SimSun" w:hAnsi="Arial"/>
                <w:spacing w:val="-1"/>
                <w:lang w:val="es-MX" w:eastAsia="x-none"/>
              </w:rPr>
            </w:pPr>
            <w:r w:rsidRPr="00D523C8">
              <w:rPr>
                <w:rFonts w:ascii="Arial" w:eastAsia="SimSun" w:hAnsi="Arial"/>
                <w:spacing w:val="-1"/>
                <w:lang w:val="es-MX" w:eastAsia="x-none"/>
              </w:rPr>
              <w:t>(13)</w:t>
            </w:r>
          </w:p>
        </w:tc>
      </w:tr>
    </w:tbl>
    <w:p w:rsidR="00233599" w:rsidRDefault="00233599" w:rsidP="00233599">
      <w:pPr>
        <w:pStyle w:val="11Ttulo"/>
        <w:numPr>
          <w:ilvl w:val="0"/>
          <w:numId w:val="0"/>
        </w:numPr>
        <w:ind w:left="720" w:hanging="720"/>
      </w:pPr>
    </w:p>
    <w:p w:rsidR="00233599" w:rsidRDefault="00233599" w:rsidP="00233599">
      <w:pPr>
        <w:pStyle w:val="11Ttulo"/>
        <w:numPr>
          <w:ilvl w:val="0"/>
          <w:numId w:val="0"/>
        </w:numPr>
        <w:ind w:left="720" w:hanging="720"/>
      </w:pPr>
      <w:r>
        <w:t>3.3 Análisis numérico</w:t>
      </w:r>
    </w:p>
    <w:p w:rsidR="00233599" w:rsidRDefault="00233599" w:rsidP="00233599">
      <w:pPr>
        <w:pStyle w:val="TextoPrincipalV2"/>
        <w:rPr>
          <w:rFonts w:eastAsia="SimSun"/>
          <w:sz w:val="20"/>
          <w:szCs w:val="20"/>
          <w:lang w:eastAsia="x-none"/>
        </w:rPr>
      </w:pPr>
      <w:r w:rsidRPr="005C38D0">
        <w:t>Para realizar la simulación numérica de los ICTDs, se propusieron dos casos. El primer caso, ICTDTL, se empleó como modelo de referencia para validar la solución numérica por medio de la solución analítica. El segundo caso, el ICTDAL e ICTDAH solo se resolvieron numéricamente. En los dos casos se definieron dos dominios de fluidos y dos fronteras como paredes. Los dominios son el agua en el tubo interior y en el espacio anular, las fronteras son las paredes del tubo exterior, del tubo interior y las aletas. El tubo interior y las aletas fueron definidos con una aproximación térmicamente delgada, especificando el espesor del tubo y aletas. Esto reduce el número de elementos del mallado y proporciona una calidad de elementos homogénea.</w:t>
      </w:r>
    </w:p>
    <w:p w:rsidR="00233599" w:rsidRDefault="00233599" w:rsidP="00233599">
      <w:pPr>
        <w:pStyle w:val="TextoPrincipalV2"/>
      </w:pPr>
      <w:r w:rsidRPr="005C38D0">
        <w:t xml:space="preserve">Los dominios y fronteras fueron mallados empleando elementos tetraédricos y triangulares. Se analizó la independencia del tamaño de la malla y su relación con los resultados de temperaturas de salida para el ICTDTL. Esta se hizo para un mallado de 93000, 213000 y 308000 elementos. Se encontró que, para los mallados de 213000 y </w:t>
      </w:r>
      <w:r w:rsidRPr="005C38D0">
        <w:lastRenderedPageBreak/>
        <w:t>308000 elementos las temperaturas de salida tienen una diferencia menor del 1%. Considerando los recursos de cómputo disponibles y el tiempo de convergencia de la solución, se eligió el mallado con 213000 elementos.</w:t>
      </w:r>
    </w:p>
    <w:p w:rsidR="00233599" w:rsidRDefault="00233599" w:rsidP="00233599">
      <w:pPr>
        <w:pStyle w:val="TextoPrincipalV2"/>
      </w:pPr>
      <w:r w:rsidRPr="000B19F2">
        <w:t>La condición de no deslizamiento fue aplicada a todas las paredes. La condición de aislamiento térmico fue aplicada a las paredes externas, mientras que la condición de conducción de calor fue definida para el tubo interior y aletas. Esta región es la que ofrece un acoplamiento entre las interfaces de los dominios líquidos. Para las entradas, la condición de entrada de flujo fue definida con la velocidad media y temperatura de entrada y para las salidas se consideró la condición de presión cero, de modo que la caída de presión es igual a la presión de entrada.</w:t>
      </w:r>
    </w:p>
    <w:p w:rsidR="00233599" w:rsidRPr="000B19F2" w:rsidRDefault="00233599" w:rsidP="00233599">
      <w:pPr>
        <w:pStyle w:val="TextoPrincipalV2"/>
      </w:pPr>
    </w:p>
    <w:p w:rsidR="00233599" w:rsidRPr="00A7164B" w:rsidRDefault="00233599" w:rsidP="00390F7C">
      <w:pPr>
        <w:pStyle w:val="1Titulo"/>
        <w:numPr>
          <w:ilvl w:val="3"/>
          <w:numId w:val="43"/>
        </w:numPr>
      </w:pPr>
      <w:bookmarkStart w:id="312" w:name="_Toc50031363"/>
      <w:r w:rsidRPr="00A7164B">
        <w:t>Resultados y discusión</w:t>
      </w:r>
      <w:bookmarkEnd w:id="312"/>
    </w:p>
    <w:p w:rsidR="00233599" w:rsidRPr="00FD51BF" w:rsidRDefault="00233599" w:rsidP="00233599">
      <w:pPr>
        <w:pStyle w:val="TextoPrincipalV2"/>
        <w:rPr>
          <w:rFonts w:eastAsia="SimSun"/>
          <w:sz w:val="20"/>
          <w:szCs w:val="20"/>
          <w:lang w:eastAsia="x-none"/>
        </w:rPr>
      </w:pPr>
      <w:r w:rsidRPr="00FD51BF">
        <w:t xml:space="preserve">Para el análisis de los intercambiadores de calor, el flujo másico del agua que pasa por el tubo interior se mantuvo constante a </w:t>
      </w:r>
      <m:oMath>
        <m:sSub>
          <m:sSubPr>
            <m:ctrlPr>
              <w:rPr>
                <w:rFonts w:ascii="Cambria Math" w:hAnsi="Cambria Math"/>
                <w:spacing w:val="-1"/>
                <w:lang w:eastAsia="x-none"/>
              </w:rPr>
            </m:ctrlPr>
          </m:sSubPr>
          <m:e>
            <m:acc>
              <m:accPr>
                <m:chr m:val="̇"/>
                <m:ctrlPr>
                  <w:rPr>
                    <w:rFonts w:ascii="Cambria Math" w:hAnsi="Cambria Math"/>
                    <w:spacing w:val="-1"/>
                    <w:lang w:eastAsia="x-none"/>
                  </w:rPr>
                </m:ctrlPr>
              </m:accPr>
              <m:e>
                <m:r>
                  <m:rPr>
                    <m:nor/>
                  </m:rPr>
                  <m:t>m</m:t>
                </m:r>
              </m:e>
            </m:acc>
          </m:e>
          <m:sub>
            <m:r>
              <m:rPr>
                <m:nor/>
              </m:rPr>
              <m:t>h</m:t>
            </m:r>
          </m:sub>
        </m:sSub>
        <m:r>
          <m:rPr>
            <m:nor/>
          </m:rPr>
          <m:t>=0.025</m:t>
        </m:r>
        <m:r>
          <m:rPr>
            <m:nor/>
          </m:rPr>
          <w:rPr>
            <w:rFonts w:ascii="Cambria Math"/>
          </w:rPr>
          <m:t xml:space="preserve"> </m:t>
        </m:r>
        <m:r>
          <m:rPr>
            <m:nor/>
          </m:rPr>
          <m:t>kg/s</m:t>
        </m:r>
      </m:oMath>
      <w:r w:rsidRPr="00FD51BF">
        <w:t xml:space="preserve">. El flujo másico del agua que pasa por el espacio anular se varió de </w:t>
      </w:r>
      <w:bookmarkStart w:id="313" w:name="OLE_LINK3"/>
      <w:bookmarkStart w:id="314" w:name="OLE_LINK2"/>
      <w:bookmarkStart w:id="315" w:name="OLE_LINK1"/>
      <m:oMath>
        <m:sSub>
          <m:sSubPr>
            <m:ctrlPr>
              <w:rPr>
                <w:rFonts w:ascii="Cambria Math" w:hAnsi="Cambria Math"/>
                <w:spacing w:val="-1"/>
                <w:lang w:eastAsia="x-none"/>
              </w:rPr>
            </m:ctrlPr>
          </m:sSubPr>
          <m:e>
            <m:r>
              <m:rPr>
                <m:nor/>
              </m:rPr>
              <m:t>0.049 kg/s</m:t>
            </m:r>
            <m:r>
              <m:rPr>
                <m:sty m:val="p"/>
              </m:rPr>
              <w:rPr>
                <w:rFonts w:ascii="Cambria Math" w:hAnsi="Cambria Math"/>
              </w:rPr>
              <m:t xml:space="preserve"> ≤</m:t>
            </m:r>
            <m:acc>
              <m:accPr>
                <m:chr m:val="̇"/>
                <m:ctrlPr>
                  <w:rPr>
                    <w:rFonts w:ascii="Cambria Math" w:hAnsi="Cambria Math"/>
                    <w:spacing w:val="-1"/>
                    <w:lang w:eastAsia="x-none"/>
                  </w:rPr>
                </m:ctrlPr>
              </m:accPr>
              <m:e>
                <m:r>
                  <m:rPr>
                    <m:nor/>
                  </m:rPr>
                  <m:t>m</m:t>
                </m:r>
              </m:e>
            </m:acc>
          </m:e>
          <m:sub>
            <m:r>
              <m:rPr>
                <m:nor/>
              </m:rPr>
              <m:t>c</m:t>
            </m:r>
          </m:sub>
        </m:sSub>
        <w:bookmarkEnd w:id="313"/>
        <w:bookmarkEnd w:id="314"/>
        <w:bookmarkEnd w:id="315"/>
        <m:r>
          <m:rPr>
            <m:sty m:val="p"/>
          </m:rPr>
          <w:rPr>
            <w:rFonts w:ascii="Cambria Math" w:hAnsi="Cambria Math"/>
          </w:rPr>
          <m:t>≤</m:t>
        </m:r>
        <m:r>
          <m:rPr>
            <m:nor/>
          </m:rPr>
          <m:t>0.174 kg/s</m:t>
        </m:r>
      </m:oMath>
      <w:r w:rsidRPr="00FD51BF">
        <w:t xml:space="preserve"> con pasos de </w:t>
      </w:r>
      <m:oMath>
        <m:r>
          <m:rPr>
            <m:nor/>
          </m:rPr>
          <m:t>0.025 kg/s</m:t>
        </m:r>
        <m:r>
          <m:rPr>
            <m:sty m:val="p"/>
          </m:rPr>
          <w:rPr>
            <w:rFonts w:ascii="Cambria Math" w:hAnsi="Cambria Math"/>
          </w:rPr>
          <m:t xml:space="preserve"> </m:t>
        </m:r>
      </m:oMath>
      <w:r w:rsidRPr="00FD51BF">
        <w:t xml:space="preserve">. El número de Reynolds en el lado del tubo exterior estuvo entre el rango de 800-4100, pues se incrementaba al aumentar la velocidad media. El número de Reynolds en el lado del tubo interior se mantuvo entre el rango de 3200-3350 y variaba debido a los cambios de densidad del fluido. Las temperaturas de entrada de ambos fluidos se mantuvieron constantes, siendo </w:t>
      </w:r>
      <m:oMath>
        <m:sSub>
          <m:sSubPr>
            <m:ctrlPr>
              <w:rPr>
                <w:rFonts w:ascii="Cambria Math" w:hAnsi="Cambria Math"/>
                <w:spacing w:val="-1"/>
                <w:lang w:eastAsia="x-none"/>
              </w:rPr>
            </m:ctrlPr>
          </m:sSubPr>
          <m:e>
            <m:r>
              <m:rPr>
                <m:sty m:val="p"/>
              </m:rPr>
              <w:rPr>
                <w:rFonts w:ascii="Cambria Math" w:hAnsi="Cambria Math"/>
              </w:rPr>
              <m:t>T</m:t>
            </m:r>
          </m:e>
          <m:sub>
            <m:r>
              <m:rPr>
                <m:sty m:val="p"/>
              </m:rPr>
              <w:rPr>
                <w:rFonts w:ascii="Cambria Math" w:hAnsi="Cambria Math"/>
              </w:rPr>
              <m:t>h,i</m:t>
            </m:r>
          </m:sub>
        </m:sSub>
        <m:r>
          <m:rPr>
            <m:sty m:val="p"/>
          </m:rPr>
          <w:rPr>
            <w:rFonts w:ascii="Cambria Math" w:hAnsi="Cambria Math"/>
          </w:rPr>
          <m:t>=</m:t>
        </m:r>
        <m:r>
          <m:rPr>
            <m:nor/>
          </m:rPr>
          <m:t>80°C</m:t>
        </m:r>
      </m:oMath>
      <w:r w:rsidRPr="00FD51BF">
        <w:t xml:space="preserve"> la temperatura del agua que ingresa al tubo interior y </w:t>
      </w:r>
      <m:oMath>
        <m:sSub>
          <m:sSubPr>
            <m:ctrlPr>
              <w:rPr>
                <w:rFonts w:ascii="Cambria Math" w:hAnsi="Cambria Math"/>
                <w:spacing w:val="-1"/>
                <w:lang w:eastAsia="x-none"/>
              </w:rPr>
            </m:ctrlPr>
          </m:sSubPr>
          <m:e>
            <m:r>
              <m:rPr>
                <m:sty m:val="p"/>
              </m:rPr>
              <w:rPr>
                <w:rFonts w:ascii="Cambria Math" w:hAnsi="Cambria Math"/>
              </w:rPr>
              <m:t>T</m:t>
            </m:r>
          </m:e>
          <m:sub>
            <m:r>
              <m:rPr>
                <m:sty m:val="p"/>
              </m:rPr>
              <w:rPr>
                <w:rFonts w:ascii="Cambria Math" w:hAnsi="Cambria Math"/>
              </w:rPr>
              <m:t>c,i</m:t>
            </m:r>
          </m:sub>
        </m:sSub>
        <m:r>
          <m:rPr>
            <m:sty m:val="p"/>
          </m:rPr>
          <w:rPr>
            <w:rFonts w:ascii="Cambria Math" w:hAnsi="Cambria Math"/>
          </w:rPr>
          <m:t>=</m:t>
        </m:r>
        <m:r>
          <m:rPr>
            <m:nor/>
          </m:rPr>
          <m:t>20°C</m:t>
        </m:r>
      </m:oMath>
      <w:r w:rsidRPr="00FD51BF">
        <w:t xml:space="preserve"> la temperatura del agua que ingresa al espacio anular (Figura 3).</w:t>
      </w:r>
    </w:p>
    <w:p w:rsidR="00233599" w:rsidRDefault="00233599" w:rsidP="00233599">
      <w:pPr>
        <w:pStyle w:val="TextoPrincipalV2"/>
      </w:pPr>
      <w:r w:rsidRPr="00FD51BF">
        <w:t>La simulación numérica del ICTDTL fue validada comparando la solución numérica con la solución analítica obtenida a partir de las ecuaciones 7 a 13. Se determinó que para el coeficiente global de transferencia de calor el error promedio fue de 1.19%, mientras que para las temperaturas de salida del fluido frio y caliente el error fue de 1.95% y 2.87%, respectivamente. Así, el modelo numérico del ICTDTL es válido como modelo de referencia.</w:t>
      </w:r>
    </w:p>
    <w:p w:rsidR="00233599" w:rsidRDefault="00233599" w:rsidP="00233599">
      <w:pPr>
        <w:pStyle w:val="TextoPrincipalV2"/>
      </w:pPr>
      <w:r w:rsidRPr="00530F41">
        <w:t xml:space="preserve">La Figura </w:t>
      </w:r>
      <w:r>
        <w:t>3</w:t>
      </w:r>
      <w:r w:rsidRPr="00E24BA4">
        <w:t xml:space="preserve"> muestra la curva de las temperaturas de salida de los fluidos frío y caliente al variar </w:t>
      </w:r>
      <m:oMath>
        <m:sSub>
          <m:sSubPr>
            <m:ctrlPr>
              <w:rPr>
                <w:rFonts w:ascii="Cambria Math" w:hAnsi="Cambria Math"/>
                <w:spacing w:val="-1"/>
                <w:lang w:val="x-none" w:eastAsia="x-none"/>
              </w:rPr>
            </m:ctrlPr>
          </m:sSubPr>
          <m:e>
            <m:acc>
              <m:accPr>
                <m:chr m:val="̇"/>
                <m:ctrlPr>
                  <w:rPr>
                    <w:rFonts w:ascii="Cambria Math" w:hAnsi="Cambria Math"/>
                    <w:spacing w:val="-1"/>
                    <w:lang w:val="x-none" w:eastAsia="x-none"/>
                  </w:rPr>
                </m:ctrlPr>
              </m:accPr>
              <m:e>
                <m:r>
                  <m:rPr>
                    <m:nor/>
                  </m:rPr>
                  <m:t>m</m:t>
                </m:r>
              </m:e>
            </m:acc>
          </m:e>
          <m:sub>
            <m:r>
              <m:rPr>
                <m:nor/>
              </m:rPr>
              <m:t>c</m:t>
            </m:r>
          </m:sub>
        </m:sSub>
      </m:oMath>
      <w:r w:rsidRPr="00E24BA4">
        <w:t xml:space="preserve"> en la simulación numérica. Para los tres tipos de ICTDs al incrementarse el flujo másico </w:t>
      </w:r>
      <m:oMath>
        <m:sSub>
          <m:sSubPr>
            <m:ctrlPr>
              <w:rPr>
                <w:rFonts w:ascii="Cambria Math" w:hAnsi="Cambria Math"/>
                <w:spacing w:val="-1"/>
                <w:lang w:val="x-none" w:eastAsia="x-none"/>
              </w:rPr>
            </m:ctrlPr>
          </m:sSubPr>
          <m:e>
            <m:acc>
              <m:accPr>
                <m:chr m:val="̇"/>
                <m:ctrlPr>
                  <w:rPr>
                    <w:rFonts w:ascii="Cambria Math" w:hAnsi="Cambria Math"/>
                    <w:spacing w:val="-1"/>
                    <w:lang w:val="x-none" w:eastAsia="x-none"/>
                  </w:rPr>
                </m:ctrlPr>
              </m:accPr>
              <m:e>
                <m:r>
                  <m:rPr>
                    <m:nor/>
                  </m:rPr>
                  <m:t>m</m:t>
                </m:r>
              </m:e>
            </m:acc>
          </m:e>
          <m:sub>
            <m:r>
              <m:rPr>
                <m:nor/>
              </m:rPr>
              <m:t>c</m:t>
            </m:r>
          </m:sub>
        </m:sSub>
      </m:oMath>
      <w:r w:rsidRPr="00E24BA4">
        <w:t xml:space="preserve">, las temperaturas de salida </w:t>
      </w:r>
      <m:oMath>
        <m:sSub>
          <m:sSubPr>
            <m:ctrlPr>
              <w:rPr>
                <w:rFonts w:ascii="Cambria Math" w:hAnsi="Cambria Math"/>
                <w:spacing w:val="-1"/>
                <w:lang w:val="x-none" w:eastAsia="x-none"/>
              </w:rPr>
            </m:ctrlPr>
          </m:sSubPr>
          <m:e>
            <m:r>
              <m:rPr>
                <m:nor/>
              </m:rPr>
              <m:t>T</m:t>
            </m:r>
          </m:e>
          <m:sub>
            <m:r>
              <m:rPr>
                <m:nor/>
              </m:rPr>
              <m:t>h,o</m:t>
            </m:r>
          </m:sub>
        </m:sSub>
      </m:oMath>
      <w:r w:rsidRPr="00E24BA4">
        <w:t xml:space="preserve">y </w:t>
      </w:r>
      <m:oMath>
        <m:sSub>
          <m:sSubPr>
            <m:ctrlPr>
              <w:rPr>
                <w:rFonts w:ascii="Cambria Math" w:hAnsi="Cambria Math"/>
                <w:spacing w:val="-1"/>
                <w:lang w:val="x-none" w:eastAsia="x-none"/>
              </w:rPr>
            </m:ctrlPr>
          </m:sSubPr>
          <m:e>
            <m:r>
              <m:rPr>
                <m:nor/>
              </m:rPr>
              <w:rPr>
                <w:rFonts w:ascii="Cambria Math" w:hAnsi="Cambria Math"/>
              </w:rPr>
              <m:t>T</m:t>
            </m:r>
          </m:e>
          <m:sub>
            <m:r>
              <m:rPr>
                <m:nor/>
              </m:rPr>
              <w:rPr>
                <w:rFonts w:ascii="Cambria Math" w:hAnsi="Cambria Math"/>
              </w:rPr>
              <m:t>c,o</m:t>
            </m:r>
          </m:sub>
        </m:sSub>
      </m:oMath>
      <w:r w:rsidRPr="00E24BA4">
        <w:t xml:space="preserve"> decrecen. Los intercambiadores ICTDAL e ICTDAH generan temperaturas de salida del fluido caliente inferiores respecto a las temperaturas de salida del ICTDTL. De igual forma, las temperaturas de salida del fluido frío son mayores para los ICTDAL e ICTDAH respecto al ICTDTL.</w:t>
      </w:r>
    </w:p>
    <w:p w:rsidR="00233599" w:rsidRDefault="00233599" w:rsidP="00233599">
      <w:pPr>
        <w:pStyle w:val="TextoPrincipalV2"/>
        <w:ind w:firstLine="0"/>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233599" w:rsidTr="007F2707">
        <w:trPr>
          <w:trHeight w:val="1885"/>
          <w:jc w:val="center"/>
        </w:trPr>
        <w:tc>
          <w:tcPr>
            <w:tcW w:w="9209" w:type="dxa"/>
            <w:hideMark/>
          </w:tcPr>
          <w:p w:rsidR="00233599" w:rsidRDefault="00233599" w:rsidP="007F2707">
            <w:pPr>
              <w:pStyle w:val="Textoindependiente"/>
              <w:jc w:val="center"/>
              <w:rPr>
                <w:rFonts w:eastAsia="SimSun"/>
                <w:sz w:val="20"/>
                <w:lang w:eastAsia="x-none"/>
              </w:rPr>
            </w:pPr>
            <w:r>
              <w:rPr>
                <w:rFonts w:eastAsia="SimSun"/>
                <w:noProof/>
                <w:sz w:val="20"/>
                <w:lang w:val="en-US"/>
              </w:rPr>
              <w:lastRenderedPageBreak/>
              <w:drawing>
                <wp:inline distT="0" distB="0" distL="0" distR="0" wp14:anchorId="7CD5CB77" wp14:editId="30EB83F3">
                  <wp:extent cx="4429125" cy="2123649"/>
                  <wp:effectExtent l="0" t="0" r="0" b="0"/>
                  <wp:docPr id="2026623724" name="Imagen 202662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0">
                            <a:extLst>
                              <a:ext uri="{28A0092B-C50C-407E-A947-70E740481C1C}">
                                <a14:useLocalDpi xmlns:a14="http://schemas.microsoft.com/office/drawing/2010/main" val="0"/>
                              </a:ext>
                            </a:extLst>
                          </a:blip>
                          <a:srcRect/>
                          <a:stretch>
                            <a:fillRect/>
                          </a:stretch>
                        </pic:blipFill>
                        <pic:spPr bwMode="auto">
                          <a:xfrm>
                            <a:off x="0" y="0"/>
                            <a:ext cx="4461580" cy="2139211"/>
                          </a:xfrm>
                          <a:prstGeom prst="rect">
                            <a:avLst/>
                          </a:prstGeom>
                          <a:noFill/>
                        </pic:spPr>
                      </pic:pic>
                    </a:graphicData>
                  </a:graphic>
                </wp:inline>
              </w:drawing>
            </w:r>
          </w:p>
          <w:p w:rsidR="00233599" w:rsidRDefault="00233599" w:rsidP="007F2707">
            <w:pPr>
              <w:pStyle w:val="Textoindependiente"/>
              <w:rPr>
                <w:rFonts w:eastAsia="SimSun"/>
                <w:sz w:val="20"/>
                <w:lang w:eastAsia="x-none"/>
              </w:rPr>
            </w:pPr>
          </w:p>
        </w:tc>
      </w:tr>
      <w:tr w:rsidR="00233599" w:rsidRPr="00B00294" w:rsidTr="007F2707">
        <w:tblPrEx>
          <w:tblCellMar>
            <w:left w:w="70" w:type="dxa"/>
            <w:right w:w="70" w:type="dxa"/>
          </w:tblCellMar>
        </w:tblPrEx>
        <w:trPr>
          <w:trHeight w:val="299"/>
          <w:jc w:val="center"/>
        </w:trPr>
        <w:tc>
          <w:tcPr>
            <w:tcW w:w="9209" w:type="dxa"/>
            <w:tcMar>
              <w:top w:w="0" w:type="dxa"/>
              <w:left w:w="108" w:type="dxa"/>
              <w:bottom w:w="0" w:type="dxa"/>
              <w:right w:w="108" w:type="dxa"/>
            </w:tcMar>
            <w:hideMark/>
          </w:tcPr>
          <w:p w:rsidR="00233599" w:rsidRPr="004E5C25" w:rsidRDefault="00233599" w:rsidP="007F2707">
            <w:pPr>
              <w:pStyle w:val="Tablasyfiguras"/>
              <w:rPr>
                <w:bCs/>
              </w:rPr>
            </w:pPr>
            <w:r w:rsidRPr="004E5C25">
              <w:t xml:space="preserve">Figura </w:t>
            </w:r>
            <w:r>
              <w:t>3</w:t>
            </w:r>
            <w:r w:rsidRPr="004E5C25">
              <w:t xml:space="preserve">. Curvas de temperatura de salida para las configuraciones de flujo </w:t>
            </w:r>
            <m:oMath>
              <m:sSub>
                <m:sSubPr>
                  <m:ctrlPr>
                    <w:rPr>
                      <w:rFonts w:ascii="Cambria Math" w:hAnsi="Cambria Math"/>
                      <w:bCs/>
                      <w:spacing w:val="-1"/>
                      <w:szCs w:val="16"/>
                      <w:lang w:eastAsia="x-none"/>
                    </w:rPr>
                  </m:ctrlPr>
                </m:sSubPr>
                <m:e>
                  <m:r>
                    <m:rPr>
                      <m:nor/>
                    </m:rPr>
                    <w:rPr>
                      <w:bCs/>
                    </w:rPr>
                    <m:t>0.049 kg/s</m:t>
                  </m:r>
                  <m:r>
                    <w:rPr>
                      <w:rFonts w:ascii="Cambria Math" w:hAnsi="Cambria Math"/>
                    </w:rPr>
                    <m:t xml:space="preserve"> ≤</m:t>
                  </m:r>
                  <m:acc>
                    <m:accPr>
                      <m:chr m:val="̇"/>
                      <m:ctrlPr>
                        <w:rPr>
                          <w:rFonts w:ascii="Cambria Math" w:hAnsi="Cambria Math"/>
                          <w:bCs/>
                          <w:spacing w:val="-1"/>
                          <w:szCs w:val="16"/>
                          <w:lang w:eastAsia="x-none"/>
                        </w:rPr>
                      </m:ctrlPr>
                    </m:accPr>
                    <m:e>
                      <m:r>
                        <m:rPr>
                          <m:nor/>
                        </m:rPr>
                        <w:rPr>
                          <w:bCs/>
                        </w:rPr>
                        <m:t>m</m:t>
                      </m:r>
                    </m:e>
                  </m:acc>
                </m:e>
                <m:sub>
                  <m:r>
                    <m:rPr>
                      <m:nor/>
                    </m:rPr>
                    <w:rPr>
                      <w:bCs/>
                    </w:rPr>
                    <m:t>c</m:t>
                  </m:r>
                </m:sub>
              </m:sSub>
              <m:r>
                <w:rPr>
                  <w:rFonts w:ascii="Cambria Math" w:hAnsi="Cambria Math"/>
                </w:rPr>
                <m:t>≤</m:t>
              </m:r>
              <m:r>
                <m:rPr>
                  <m:nor/>
                </m:rPr>
                <w:rPr>
                  <w:bCs/>
                </w:rPr>
                <m:t>0.174 kg/s</m:t>
              </m:r>
            </m:oMath>
            <w:r w:rsidRPr="004E5C25">
              <w:rPr>
                <w:bCs/>
              </w:rPr>
              <w:t xml:space="preserve"> y </w:t>
            </w:r>
            <m:oMath>
              <m:sSub>
                <m:sSubPr>
                  <m:ctrlPr>
                    <w:rPr>
                      <w:rFonts w:ascii="Cambria Math" w:hAnsi="Cambria Math"/>
                      <w:bCs/>
                      <w:spacing w:val="-1"/>
                      <w:szCs w:val="16"/>
                      <w:lang w:eastAsia="x-none"/>
                    </w:rPr>
                  </m:ctrlPr>
                </m:sSubPr>
                <m:e>
                  <m:acc>
                    <m:accPr>
                      <m:chr m:val="̇"/>
                      <m:ctrlPr>
                        <w:rPr>
                          <w:rFonts w:ascii="Cambria Math" w:hAnsi="Cambria Math"/>
                          <w:bCs/>
                          <w:spacing w:val="-1"/>
                          <w:szCs w:val="16"/>
                          <w:lang w:eastAsia="x-none"/>
                        </w:rPr>
                      </m:ctrlPr>
                    </m:accPr>
                    <m:e>
                      <m:r>
                        <m:rPr>
                          <m:nor/>
                        </m:rPr>
                        <w:rPr>
                          <w:bCs/>
                        </w:rPr>
                        <m:t>m</m:t>
                      </m:r>
                    </m:e>
                  </m:acc>
                </m:e>
                <m:sub>
                  <m:r>
                    <m:rPr>
                      <m:nor/>
                    </m:rPr>
                    <w:rPr>
                      <w:bCs/>
                    </w:rPr>
                    <m:t>h</m:t>
                  </m:r>
                </m:sub>
              </m:sSub>
            </m:oMath>
            <w:r w:rsidRPr="004E5C25">
              <w:rPr>
                <w:bCs/>
                <w:spacing w:val="-1"/>
                <w:lang w:eastAsia="x-none"/>
              </w:rPr>
              <w:t xml:space="preserve"> constante</w:t>
            </w:r>
          </w:p>
        </w:tc>
      </w:tr>
    </w:tbl>
    <w:p w:rsidR="00233599" w:rsidRPr="00A13D92" w:rsidRDefault="00233599" w:rsidP="00233599">
      <w:pPr>
        <w:pStyle w:val="TextoPrincipalV2"/>
        <w:ind w:firstLine="0"/>
        <w:rPr>
          <w:rFonts w:eastAsia="SimSun"/>
          <w:sz w:val="20"/>
          <w:szCs w:val="20"/>
          <w:lang w:val="es-ES" w:eastAsia="x-none"/>
        </w:rPr>
      </w:pPr>
    </w:p>
    <w:p w:rsidR="00233599" w:rsidRPr="00E24BA4" w:rsidRDefault="00233599" w:rsidP="00233599">
      <w:pPr>
        <w:pStyle w:val="TextoPrincipalV2"/>
      </w:pPr>
      <w:r w:rsidRPr="00E24BA4">
        <w:t>Lo anterior indica que la superficie aletada del tubo interior favorece en el proceso de transferencia de calor entre los fluidos. Comparando el desempeño entre los intercambiadores ICTDAL e ICTDAH –ambos con superficie aletada- el ICDAL tiene una mayor efectividad al obtenerse temperaturas de salida del fluido caliente más bajas. Es decir, el ICTDAL e ICTDAH tienen una reducción promedio del 9.46% y 7.00% en las temperaturas de salida respecto al ICTDTL.</w:t>
      </w:r>
    </w:p>
    <w:p w:rsidR="00233599" w:rsidRDefault="00233599" w:rsidP="00233599">
      <w:pPr>
        <w:pStyle w:val="TextoPrincipalV2"/>
      </w:pPr>
      <w:r w:rsidRPr="00E24BA4">
        <w:t>En el caso del flujo másico máximo de 0.174 kg/s, las temperaturas de salida del ICTDTL, ICTDAL e ICTDAH son: 67.2 °C, 60.8 °C y 62.2 °C, para las temperaturas de salida del fluido caliente, y 21.8°, 22.7°C y 22.4°C, para las temperaturas de salida del fluido frío, respectivamente.</w:t>
      </w:r>
    </w:p>
    <w:p w:rsidR="00233599" w:rsidRDefault="00233599" w:rsidP="00233599">
      <w:pPr>
        <w:pStyle w:val="TextoPrincipalV2"/>
      </w:pPr>
      <w:r w:rsidRPr="002E2CE2">
        <w:t>La Figura 4</w:t>
      </w:r>
      <w:r>
        <w:t>a</w:t>
      </w:r>
      <w:r w:rsidRPr="002E2CE2">
        <w:t xml:space="preserve"> representa la comparación de los resultados numéricos del coeficiente global de transferencia de calor U respecto al área interna del tubo interior. Se observa que en los tres dispositivos dicho coeficiente aumenta a medida que el flujo másico se incrementa, El valor de U del ICTDAL e ICTDAH tuvieron un incremento promedio del 37.9% y 29.6% con respecto al ICTDTL. Dicho incremento indica que las aletas en la superficie externa del tubo interior favorecen la transferencia de calor entre los fluidos. La mejora en el coeficiente global de transferencia de calor también genera un aumento en la tasa de transferencia de calor. En la Figura </w:t>
      </w:r>
      <w:r>
        <w:t>4b</w:t>
      </w:r>
      <w:r w:rsidRPr="002E2CE2">
        <w:t xml:space="preserve"> se observa que el ICTDTL posee tasa de transferencia de calor por debajo de los valores a los que operan los ICTDAL e ICTDAH. La disposición de aletas mejora significativamente la tasa de transferencia de calor. Así, la tasa de transferencia de calor en los intercambiadores ICTDAL e ICTDAH tiene un incremento promedio del 162% y 136% respecto al ICTDTL.</w:t>
      </w:r>
    </w:p>
    <w:p w:rsidR="00233599" w:rsidRDefault="00233599" w:rsidP="00233599">
      <w:pPr>
        <w:pStyle w:val="TextoPrincipalV2"/>
        <w:rPr>
          <w:rFonts w:eastAsia="SimSun"/>
          <w:lang w:eastAsia="x-none"/>
        </w:rPr>
      </w:pPr>
    </w:p>
    <w:p w:rsidR="00233599" w:rsidRDefault="00233599" w:rsidP="00233599">
      <w:pPr>
        <w:pStyle w:val="TextoPrincipalV2"/>
        <w:rPr>
          <w:rFonts w:eastAsia="SimSun"/>
          <w:lang w:eastAsia="x-none"/>
        </w:rPr>
      </w:pPr>
    </w:p>
    <w:tbl>
      <w:tblPr>
        <w:tblStyle w:val="Tablaconcuadrcula"/>
        <w:tblW w:w="94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7"/>
      </w:tblGrid>
      <w:tr w:rsidR="00233599" w:rsidTr="007F2707">
        <w:trPr>
          <w:trHeight w:val="1885"/>
          <w:jc w:val="center"/>
        </w:trPr>
        <w:tc>
          <w:tcPr>
            <w:tcW w:w="9497" w:type="dxa"/>
            <w:hideMark/>
          </w:tcPr>
          <w:p w:rsidR="00233599" w:rsidRPr="00283BA7" w:rsidRDefault="00233599" w:rsidP="007F2707">
            <w:pPr>
              <w:pStyle w:val="Textoindependiente"/>
              <w:jc w:val="center"/>
              <w:rPr>
                <w:rFonts w:ascii="Arial" w:hAnsi="Arial" w:cs="Arial"/>
                <w:sz w:val="20"/>
                <w:szCs w:val="18"/>
              </w:rPr>
            </w:pPr>
            <w:r>
              <w:rPr>
                <w:rFonts w:ascii="Arial" w:hAnsi="Arial" w:cs="Arial"/>
                <w:noProof/>
                <w:sz w:val="20"/>
                <w:szCs w:val="18"/>
                <w:lang w:val="en-US"/>
              </w:rPr>
              <w:lastRenderedPageBreak/>
              <w:drawing>
                <wp:inline distT="0" distB="0" distL="0" distR="0" wp14:anchorId="5631D486" wp14:editId="50B2EAF3">
                  <wp:extent cx="2914015" cy="2627630"/>
                  <wp:effectExtent l="0" t="0" r="635" b="1270"/>
                  <wp:docPr id="2026623725" name="Imagen 202662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1">
                            <a:extLst>
                              <a:ext uri="{28A0092B-C50C-407E-A947-70E740481C1C}">
                                <a14:useLocalDpi xmlns:a14="http://schemas.microsoft.com/office/drawing/2010/main" val="0"/>
                              </a:ext>
                            </a:extLst>
                          </a:blip>
                          <a:srcRect/>
                          <a:stretch>
                            <a:fillRect/>
                          </a:stretch>
                        </pic:blipFill>
                        <pic:spPr bwMode="auto">
                          <a:xfrm>
                            <a:off x="0" y="0"/>
                            <a:ext cx="2914015" cy="2627630"/>
                          </a:xfrm>
                          <a:prstGeom prst="rect">
                            <a:avLst/>
                          </a:prstGeom>
                          <a:noFill/>
                        </pic:spPr>
                      </pic:pic>
                    </a:graphicData>
                  </a:graphic>
                </wp:inline>
              </w:drawing>
            </w:r>
            <w:r>
              <w:rPr>
                <w:rFonts w:ascii="Arial" w:hAnsi="Arial" w:cs="Arial"/>
                <w:noProof/>
                <w:sz w:val="20"/>
                <w:szCs w:val="18"/>
                <w:lang w:val="en-US"/>
              </w:rPr>
              <w:drawing>
                <wp:inline distT="0" distB="0" distL="0" distR="0" wp14:anchorId="7AEC570C" wp14:editId="57D46157">
                  <wp:extent cx="2956560" cy="2639695"/>
                  <wp:effectExtent l="0" t="0" r="0" b="8255"/>
                  <wp:docPr id="2026623726" name="Imagen 202662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2">
                            <a:extLst>
                              <a:ext uri="{28A0092B-C50C-407E-A947-70E740481C1C}">
                                <a14:useLocalDpi xmlns:a14="http://schemas.microsoft.com/office/drawing/2010/main" val="0"/>
                              </a:ext>
                            </a:extLst>
                          </a:blip>
                          <a:srcRect/>
                          <a:stretch>
                            <a:fillRect/>
                          </a:stretch>
                        </pic:blipFill>
                        <pic:spPr bwMode="auto">
                          <a:xfrm>
                            <a:off x="0" y="0"/>
                            <a:ext cx="2956560" cy="2639695"/>
                          </a:xfrm>
                          <a:prstGeom prst="rect">
                            <a:avLst/>
                          </a:prstGeom>
                          <a:noFill/>
                        </pic:spPr>
                      </pic:pic>
                    </a:graphicData>
                  </a:graphic>
                </wp:inline>
              </w:drawing>
            </w:r>
          </w:p>
          <w:p w:rsidR="00233599" w:rsidRPr="00283BA7" w:rsidRDefault="00233599" w:rsidP="007F2707">
            <w:pPr>
              <w:pStyle w:val="Textoindependiente"/>
              <w:ind w:left="720"/>
              <w:rPr>
                <w:rFonts w:ascii="Arial" w:hAnsi="Arial" w:cs="Arial"/>
                <w:b w:val="0"/>
                <w:bCs w:val="0"/>
                <w:sz w:val="20"/>
                <w:szCs w:val="18"/>
              </w:rPr>
            </w:pPr>
            <w:r>
              <w:rPr>
                <w:rFonts w:ascii="Arial" w:hAnsi="Arial" w:cs="Arial"/>
                <w:b w:val="0"/>
                <w:bCs w:val="0"/>
                <w:sz w:val="20"/>
                <w:szCs w:val="18"/>
              </w:rPr>
              <w:t xml:space="preserve">                               </w:t>
            </w:r>
            <w:r w:rsidRPr="00283BA7">
              <w:rPr>
                <w:rFonts w:ascii="Arial" w:hAnsi="Arial" w:cs="Arial"/>
                <w:b w:val="0"/>
                <w:bCs w:val="0"/>
                <w:sz w:val="20"/>
                <w:szCs w:val="18"/>
              </w:rPr>
              <w:t xml:space="preserve">(a) </w:t>
            </w:r>
            <w:r>
              <w:rPr>
                <w:rFonts w:ascii="Arial" w:hAnsi="Arial" w:cs="Arial"/>
                <w:b w:val="0"/>
                <w:bCs w:val="0"/>
                <w:sz w:val="20"/>
                <w:szCs w:val="18"/>
              </w:rPr>
              <w:t xml:space="preserve">               </w:t>
            </w:r>
            <w:r w:rsidRPr="00283BA7">
              <w:rPr>
                <w:rFonts w:ascii="Arial" w:hAnsi="Arial" w:cs="Arial"/>
                <w:b w:val="0"/>
                <w:bCs w:val="0"/>
                <w:sz w:val="20"/>
                <w:szCs w:val="18"/>
              </w:rPr>
              <w:t xml:space="preserve">              </w:t>
            </w:r>
            <w:r>
              <w:rPr>
                <w:rFonts w:ascii="Arial" w:hAnsi="Arial" w:cs="Arial"/>
                <w:b w:val="0"/>
                <w:bCs w:val="0"/>
                <w:sz w:val="20"/>
                <w:szCs w:val="18"/>
              </w:rPr>
              <w:t xml:space="preserve">            </w:t>
            </w:r>
            <w:r w:rsidRPr="00283BA7">
              <w:rPr>
                <w:rFonts w:ascii="Arial" w:hAnsi="Arial" w:cs="Arial"/>
                <w:b w:val="0"/>
                <w:bCs w:val="0"/>
                <w:sz w:val="20"/>
                <w:szCs w:val="18"/>
              </w:rPr>
              <w:t xml:space="preserve">                                     (b)</w:t>
            </w:r>
          </w:p>
        </w:tc>
      </w:tr>
      <w:tr w:rsidR="00233599" w:rsidRPr="004E5C25" w:rsidTr="007F2707">
        <w:tblPrEx>
          <w:tblCellMar>
            <w:left w:w="70" w:type="dxa"/>
            <w:right w:w="70" w:type="dxa"/>
          </w:tblCellMar>
        </w:tblPrEx>
        <w:trPr>
          <w:trHeight w:val="299"/>
          <w:jc w:val="center"/>
        </w:trPr>
        <w:tc>
          <w:tcPr>
            <w:tcW w:w="9497" w:type="dxa"/>
            <w:tcMar>
              <w:top w:w="0" w:type="dxa"/>
              <w:left w:w="108" w:type="dxa"/>
              <w:bottom w:w="0" w:type="dxa"/>
              <w:right w:w="108" w:type="dxa"/>
            </w:tcMar>
            <w:hideMark/>
          </w:tcPr>
          <w:p w:rsidR="00233599" w:rsidRPr="004E5C25" w:rsidRDefault="00233599" w:rsidP="007F2707">
            <w:pPr>
              <w:pStyle w:val="Tablasyfiguras"/>
              <w:rPr>
                <w:bCs/>
              </w:rPr>
            </w:pPr>
            <w:r w:rsidRPr="004E5C25">
              <w:t xml:space="preserve">Figura </w:t>
            </w:r>
            <w:r>
              <w:t>4</w:t>
            </w:r>
            <w:r w:rsidRPr="004E5C25">
              <w:t xml:space="preserve">. </w:t>
            </w:r>
            <w:r>
              <w:t xml:space="preserve">(a) </w:t>
            </w:r>
            <w:r w:rsidRPr="004E5C25">
              <w:t>Coeficiente global de transferencia de calor respecto al área interna del tubo</w:t>
            </w:r>
            <w:r>
              <w:t xml:space="preserve"> y (b) t</w:t>
            </w:r>
            <w:r w:rsidRPr="004E5C25">
              <w:t>asa de calor transferido para</w:t>
            </w:r>
            <w:r>
              <w:t xml:space="preserve"> las configuraciones de flujo</w:t>
            </w:r>
            <w:r w:rsidRPr="004E5C25">
              <w:t xml:space="preserve"> </w:t>
            </w:r>
            <m:oMath>
              <m:sSub>
                <m:sSubPr>
                  <m:ctrlPr>
                    <w:rPr>
                      <w:rFonts w:ascii="Cambria Math" w:hAnsi="Cambria Math"/>
                      <w:bCs/>
                      <w:spacing w:val="-1"/>
                      <w:szCs w:val="16"/>
                      <w:lang w:eastAsia="x-none"/>
                    </w:rPr>
                  </m:ctrlPr>
                </m:sSubPr>
                <m:e>
                  <m:r>
                    <m:rPr>
                      <m:nor/>
                    </m:rPr>
                    <w:rPr>
                      <w:bCs/>
                    </w:rPr>
                    <m:t>0.049 kg/s</m:t>
                  </m:r>
                  <m:r>
                    <w:rPr>
                      <w:rFonts w:ascii="Cambria Math" w:hAnsi="Cambria Math"/>
                    </w:rPr>
                    <m:t xml:space="preserve"> ≤</m:t>
                  </m:r>
                  <m:acc>
                    <m:accPr>
                      <m:chr m:val="̇"/>
                      <m:ctrlPr>
                        <w:rPr>
                          <w:rFonts w:ascii="Cambria Math" w:hAnsi="Cambria Math"/>
                          <w:bCs/>
                          <w:spacing w:val="-1"/>
                          <w:szCs w:val="16"/>
                          <w:lang w:eastAsia="x-none"/>
                        </w:rPr>
                      </m:ctrlPr>
                    </m:accPr>
                    <m:e>
                      <m:r>
                        <m:rPr>
                          <m:nor/>
                        </m:rPr>
                        <w:rPr>
                          <w:bCs/>
                        </w:rPr>
                        <m:t>m</m:t>
                      </m:r>
                    </m:e>
                  </m:acc>
                </m:e>
                <m:sub>
                  <m:r>
                    <m:rPr>
                      <m:nor/>
                    </m:rPr>
                    <w:rPr>
                      <w:bCs/>
                    </w:rPr>
                    <m:t>c</m:t>
                  </m:r>
                </m:sub>
              </m:sSub>
              <m:r>
                <w:rPr>
                  <w:rFonts w:ascii="Cambria Math" w:hAnsi="Cambria Math"/>
                </w:rPr>
                <m:t>≤</m:t>
              </m:r>
              <m:r>
                <m:rPr>
                  <m:nor/>
                </m:rPr>
                <w:rPr>
                  <w:bCs/>
                </w:rPr>
                <m:t>0.174 kg/s</m:t>
              </m:r>
            </m:oMath>
            <w:r w:rsidRPr="004E5C25">
              <w:rPr>
                <w:bCs/>
              </w:rPr>
              <w:t xml:space="preserve"> y </w:t>
            </w:r>
            <m:oMath>
              <m:sSub>
                <m:sSubPr>
                  <m:ctrlPr>
                    <w:rPr>
                      <w:rFonts w:ascii="Cambria Math" w:hAnsi="Cambria Math"/>
                      <w:bCs/>
                      <w:spacing w:val="-1"/>
                      <w:szCs w:val="16"/>
                      <w:lang w:eastAsia="x-none"/>
                    </w:rPr>
                  </m:ctrlPr>
                </m:sSubPr>
                <m:e>
                  <m:acc>
                    <m:accPr>
                      <m:chr m:val="̇"/>
                      <m:ctrlPr>
                        <w:rPr>
                          <w:rFonts w:ascii="Cambria Math" w:hAnsi="Cambria Math"/>
                          <w:bCs/>
                          <w:spacing w:val="-1"/>
                          <w:szCs w:val="16"/>
                          <w:lang w:eastAsia="x-none"/>
                        </w:rPr>
                      </m:ctrlPr>
                    </m:accPr>
                    <m:e>
                      <m:r>
                        <m:rPr>
                          <m:nor/>
                        </m:rPr>
                        <w:rPr>
                          <w:bCs/>
                        </w:rPr>
                        <m:t>m</m:t>
                      </m:r>
                    </m:e>
                  </m:acc>
                </m:e>
                <m:sub>
                  <m:r>
                    <m:rPr>
                      <m:nor/>
                    </m:rPr>
                    <w:rPr>
                      <w:bCs/>
                    </w:rPr>
                    <m:t>h</m:t>
                  </m:r>
                </m:sub>
              </m:sSub>
            </m:oMath>
            <w:r w:rsidRPr="004E5C25">
              <w:rPr>
                <w:bCs/>
                <w:spacing w:val="-1"/>
                <w:lang w:eastAsia="x-none"/>
              </w:rPr>
              <w:t xml:space="preserve"> constante</w:t>
            </w:r>
          </w:p>
        </w:tc>
      </w:tr>
    </w:tbl>
    <w:p w:rsidR="00233599" w:rsidRPr="00892F75" w:rsidRDefault="00233599" w:rsidP="00233599">
      <w:pPr>
        <w:pStyle w:val="bulletlist"/>
        <w:numPr>
          <w:ilvl w:val="0"/>
          <w:numId w:val="0"/>
        </w:numPr>
        <w:rPr>
          <w:sz w:val="24"/>
          <w:szCs w:val="24"/>
          <w:lang w:val="es-MX"/>
        </w:rPr>
      </w:pPr>
    </w:p>
    <w:p w:rsidR="00233599" w:rsidRDefault="00233599" w:rsidP="00233599">
      <w:pPr>
        <w:pStyle w:val="TextoPrincipalV2"/>
      </w:pPr>
      <w:r>
        <w:t>Cabe mencionar que l</w:t>
      </w:r>
      <w:r w:rsidRPr="004E5C25">
        <w:t xml:space="preserve">a caída de presión </w:t>
      </w:r>
      <m:oMath>
        <m:r>
          <w:rPr>
            <w:rFonts w:ascii="Cambria Math" w:hAnsi="Cambria Math"/>
          </w:rPr>
          <m:t>∆p</m:t>
        </m:r>
      </m:oMath>
      <w:r w:rsidRPr="004E5C25">
        <w:t xml:space="preserve"> en el espacio anular fue evaluada con la diferencia de presiones entre la entrada y salida de los fluidos. A medida que la velocidad de flujo aumenta, la diferencia de presión también lo hace. Se determinó que, para todas las configuraciones de flujo, la caída de presión en el ICTDAL tuvo un incremento del 2.6% respecto al ICTDTL, lo cual se debe a que las aletas longitudinales se encuentran en el mismo sentido del flujo en el espacio anular y no producen alteraciones en las características de dicho flujo. Para el caso del ICTDAH, el aumento de la caída de presión al aumentar el flujo másico no es lineal, pues a diferencia del ICTDAL, la aleta en espiral produce una corriente helicoidal que sigue el perfil de dicha aleta. Esto genera mayor fricción y por lo tanto un incremento en la presión de entrada para que opere en las mismas condiciones de flujo.</w:t>
      </w:r>
    </w:p>
    <w:p w:rsidR="00233599" w:rsidRPr="00B00294" w:rsidRDefault="00233599" w:rsidP="00233599">
      <w:pPr>
        <w:pStyle w:val="TextoPrincipalV2"/>
        <w:ind w:firstLine="0"/>
      </w:pPr>
    </w:p>
    <w:p w:rsidR="00233599" w:rsidRPr="00A7164B" w:rsidRDefault="00233599" w:rsidP="00390F7C">
      <w:pPr>
        <w:pStyle w:val="1Titulo"/>
        <w:numPr>
          <w:ilvl w:val="3"/>
          <w:numId w:val="43"/>
        </w:numPr>
      </w:pPr>
      <w:r w:rsidRPr="00A7164B">
        <w:rPr>
          <w:caps/>
        </w:rPr>
        <w:t xml:space="preserve"> </w:t>
      </w:r>
      <w:bookmarkStart w:id="316" w:name="_Toc50031364"/>
      <w:r w:rsidRPr="00A7164B">
        <w:t>Conclusiones</w:t>
      </w:r>
      <w:bookmarkEnd w:id="316"/>
    </w:p>
    <w:p w:rsidR="00233599" w:rsidRPr="004E5C25" w:rsidRDefault="00233599" w:rsidP="00233599">
      <w:pPr>
        <w:pStyle w:val="TextoPrincipalV2"/>
        <w:rPr>
          <w:rFonts w:eastAsia="SimSun"/>
          <w:sz w:val="20"/>
          <w:szCs w:val="20"/>
          <w:lang w:eastAsia="x-none"/>
        </w:rPr>
      </w:pPr>
      <w:r w:rsidRPr="004E5C25">
        <w:t xml:space="preserve">El ICTDAL e ICTDAH tuvieron un mejor desempeño termohidráulico que el ICTDTL. La configuración aletada de dichos intercambiadores produjo un aumento en la tasa de transferencia de calor y el coeficiente global de transferencia de calor. El aumento promedio de la tasa de transferencia de calor del ICTDAL e ICTDAH respecto al ICTDTL fue de 162% y 136% respectivamente. Lo mismo sucedió con el coeficiente global de transferencia de calor respecto al área interna del tubo interior, los cuales tuvieron un aumento promedio de 37.9% y 29.6%, respectivamente. A su vez, las temperaturas de salida del fluido caliente del ICTDAL e ICTDAH fueron en promedio 9.46% y 7.00% menores que las registradas en el ICTDTL. Esto indica que las superficies aletadas favorecieron al proceso de transferencia de calor, de modo que su incorporación mejora el desempeño de un ICTD sin modificar sus características de diseño. Para las condiciones de operación de flujo estudiadas, la temperatura de salida del fluido caliente </w:t>
      </w:r>
      <w:r w:rsidRPr="004E5C25">
        <w:lastRenderedPageBreak/>
        <w:t>decreció a medida que el flujo másico del fluido externo (agua fría) aumentó. Al mismo tiempo, la temperatura de salida del agua fría tiende a aumentar. Las temperaturas de salida del fluido caliente más bajas se obtuvieron con el flujo másico de 0.174 kg/s siendo de 67.2 °C, 60.8 °C y 62.2 °C, para los ICTDTL, ICTDAL e ICTDAH, respectivamente. Para el mismo flujo, las temperaturas de salida del fluido frío fueron de 21.8°C, 22.7°C y 22.4°C, respectivamente.</w:t>
      </w:r>
    </w:p>
    <w:p w:rsidR="00233599" w:rsidRDefault="00233599" w:rsidP="00233599">
      <w:pPr>
        <w:pStyle w:val="TextoPrincipalV2"/>
      </w:pPr>
      <w:r w:rsidRPr="004E5C25">
        <w:t>En los tres casos estudiados, se determinó que el dispositivo con menor aumento en la caída de presión respecto al ICTDTL fue el ICTDAL. La caída de presión presentó un incremento del 2.6%, lo que implica que las aletas no alteraron las características del flujo debido a que la disposición de las aletas es en el mismo sentido de flujo que el fluido exterior. Así, no es requerido un aumento en la energía de presión para que el I</w:t>
      </w:r>
      <w:r>
        <w:t>8</w:t>
      </w:r>
      <w:r w:rsidRPr="004E5C25">
        <w:t>CTDAL opere en las mismas condiciones que el ICTDTL. En cuanto al ICTDAH, la caída de presión aumentó exponencialmente a medida que el flujo másico de agua fría se incrementaba, lo cual genera un mayor gasto de energía para el suministro del fluido. Por lo tanto, evaluando todas las características anteriores, el ICTDAL es el dispositivo más adecuado para operar en las condiciones de funcionamiento propuestas sin que esto implique un aumento en la energía y modificaciones en el diseño propuesto.</w:t>
      </w:r>
    </w:p>
    <w:p w:rsidR="00233599" w:rsidRPr="006A5875" w:rsidRDefault="00233599" w:rsidP="00233599">
      <w:pPr>
        <w:pStyle w:val="TextoPrincipalV2"/>
        <w:rPr>
          <w:rFonts w:eastAsia="SimSun"/>
          <w:lang w:eastAsia="x-none"/>
        </w:rPr>
      </w:pPr>
    </w:p>
    <w:p w:rsidR="00233599" w:rsidRDefault="00233599" w:rsidP="00390F7C">
      <w:pPr>
        <w:pStyle w:val="1Titulo"/>
        <w:numPr>
          <w:ilvl w:val="3"/>
          <w:numId w:val="43"/>
        </w:numPr>
        <w:rPr>
          <w:lang w:eastAsia="en-US"/>
        </w:rPr>
      </w:pPr>
      <w:bookmarkStart w:id="317" w:name="_Toc50031365"/>
      <w:r w:rsidRPr="00A7164B">
        <w:t>Bibliografía</w:t>
      </w:r>
      <w:bookmarkEnd w:id="317"/>
    </w:p>
    <w:p w:rsidR="00233599" w:rsidRPr="006A5875" w:rsidRDefault="00233599" w:rsidP="00390F7C">
      <w:pPr>
        <w:pStyle w:val="Prrafodelista"/>
        <w:numPr>
          <w:ilvl w:val="0"/>
          <w:numId w:val="45"/>
        </w:numPr>
        <w:suppressAutoHyphens/>
        <w:spacing w:after="0" w:line="240" w:lineRule="auto"/>
        <w:jc w:val="both"/>
        <w:rPr>
          <w:rFonts w:ascii="Arial" w:eastAsia="MS Mincho" w:hAnsi="Arial" w:cs="Arial"/>
          <w:lang w:val="en-US"/>
        </w:rPr>
      </w:pPr>
      <w:r w:rsidRPr="006A5875">
        <w:rPr>
          <w:rFonts w:ascii="Arial" w:hAnsi="Arial" w:cs="Arial"/>
          <w:lang w:val="en-GB"/>
        </w:rPr>
        <w:t>Shah R., Sekuliâc D., “Fundamentals of heat exchanger design”, Hoboken, NJ: John Wiley &amp; Sons, 1-21, 2003</w:t>
      </w:r>
      <w:r w:rsidRPr="006A5875">
        <w:rPr>
          <w:rFonts w:ascii="Arial" w:hAnsi="Arial" w:cs="Arial"/>
          <w:color w:val="000000"/>
          <w:shd w:val="clear" w:color="auto" w:fill="FFFFFF"/>
          <w:lang w:val="en-GB"/>
        </w:rPr>
        <w:t>.</w:t>
      </w:r>
    </w:p>
    <w:p w:rsidR="00233599" w:rsidRPr="006A5875" w:rsidRDefault="00233599" w:rsidP="00390F7C">
      <w:pPr>
        <w:pStyle w:val="Prrafodelista"/>
        <w:numPr>
          <w:ilvl w:val="0"/>
          <w:numId w:val="45"/>
        </w:numPr>
        <w:suppressAutoHyphens/>
        <w:spacing w:after="0" w:line="240" w:lineRule="auto"/>
        <w:jc w:val="both"/>
        <w:rPr>
          <w:rFonts w:ascii="Arial" w:eastAsia="MS Mincho" w:hAnsi="Arial" w:cs="Arial"/>
          <w:lang w:val="en-US"/>
        </w:rPr>
      </w:pPr>
      <w:r w:rsidRPr="006A5875">
        <w:rPr>
          <w:rFonts w:ascii="Arial" w:hAnsi="Arial" w:cs="Arial"/>
          <w:color w:val="000000"/>
          <w:shd w:val="clear" w:color="auto" w:fill="FFFFFF"/>
          <w:lang w:val="en-GB"/>
        </w:rPr>
        <w:t>Kuppan T., “</w:t>
      </w:r>
      <w:r w:rsidRPr="006A5875">
        <w:rPr>
          <w:rFonts w:ascii="Arial" w:hAnsi="Arial" w:cs="Arial"/>
          <w:iCs/>
          <w:color w:val="000000"/>
          <w:shd w:val="clear" w:color="auto" w:fill="FFFFFF"/>
          <w:lang w:val="en-GB"/>
        </w:rPr>
        <w:t>Heat exchanger design handbook”</w:t>
      </w:r>
      <w:r w:rsidRPr="006A5875">
        <w:rPr>
          <w:rFonts w:ascii="Arial" w:hAnsi="Arial" w:cs="Arial"/>
          <w:color w:val="000000"/>
          <w:shd w:val="clear" w:color="auto" w:fill="FFFFFF"/>
          <w:lang w:val="en-GB"/>
        </w:rPr>
        <w:t>, 2nd ed. Boca Raton, FL: CRC Press Taylor &amp; Francis Group, 1-34, 2013.</w:t>
      </w:r>
    </w:p>
    <w:p w:rsidR="00233599" w:rsidRPr="006A5875" w:rsidRDefault="00233599" w:rsidP="00390F7C">
      <w:pPr>
        <w:pStyle w:val="Prrafodelista"/>
        <w:numPr>
          <w:ilvl w:val="0"/>
          <w:numId w:val="45"/>
        </w:numPr>
        <w:suppressAutoHyphens/>
        <w:spacing w:after="0" w:line="240" w:lineRule="auto"/>
        <w:jc w:val="both"/>
        <w:rPr>
          <w:rFonts w:ascii="Arial" w:eastAsia="MS Mincho" w:hAnsi="Arial" w:cs="Arial"/>
          <w:lang w:val="en-US"/>
        </w:rPr>
      </w:pPr>
      <w:r w:rsidRPr="006A5875">
        <w:rPr>
          <w:rFonts w:ascii="Arial" w:hAnsi="Arial" w:cs="Arial"/>
          <w:color w:val="000000"/>
          <w:shd w:val="clear" w:color="auto" w:fill="FFFFFF"/>
          <w:lang w:val="en-GB"/>
        </w:rPr>
        <w:t xml:space="preserve">Ozden E., Tari I., Shell side CFD analysis of a small shell-and-tube heat exchanger, </w:t>
      </w:r>
      <w:r w:rsidRPr="006A5875">
        <w:rPr>
          <w:rFonts w:ascii="Arial" w:hAnsi="Arial" w:cs="Arial"/>
          <w:iCs/>
          <w:color w:val="000000"/>
          <w:shd w:val="clear" w:color="auto" w:fill="FFFFFF"/>
          <w:lang w:val="en-GB"/>
        </w:rPr>
        <w:t>Energy Conversion and Management</w:t>
      </w:r>
      <w:r w:rsidRPr="006A5875">
        <w:rPr>
          <w:rFonts w:ascii="Arial" w:hAnsi="Arial" w:cs="Arial"/>
          <w:color w:val="000000"/>
          <w:shd w:val="clear" w:color="auto" w:fill="FFFFFF"/>
          <w:lang w:val="en-GB"/>
        </w:rPr>
        <w:t>, V. 51, N. 5, 1004-1014, 2010.</w:t>
      </w:r>
    </w:p>
    <w:p w:rsidR="00233599" w:rsidRPr="006A5875" w:rsidRDefault="00233599" w:rsidP="00390F7C">
      <w:pPr>
        <w:pStyle w:val="Prrafodelista"/>
        <w:numPr>
          <w:ilvl w:val="0"/>
          <w:numId w:val="45"/>
        </w:numPr>
        <w:suppressAutoHyphens/>
        <w:spacing w:after="0" w:line="240" w:lineRule="auto"/>
        <w:jc w:val="both"/>
        <w:rPr>
          <w:rFonts w:ascii="Arial" w:eastAsia="MS Mincho" w:hAnsi="Arial" w:cs="Arial"/>
          <w:lang w:val="en-US"/>
        </w:rPr>
      </w:pPr>
      <w:r w:rsidRPr="006A5875">
        <w:rPr>
          <w:rFonts w:ascii="Arial" w:hAnsi="Arial" w:cs="Arial"/>
          <w:color w:val="000000"/>
          <w:shd w:val="clear" w:color="auto" w:fill="FFFFFF"/>
          <w:lang w:val="en-GB"/>
        </w:rPr>
        <w:t xml:space="preserve">Aslam Bhutta M., Hayat N., Bashir M., Khan A., Ahmad K., Khan S., CFD applications in various heat exchangers design: A review, </w:t>
      </w:r>
      <w:r w:rsidRPr="006A5875">
        <w:rPr>
          <w:rFonts w:ascii="Arial" w:hAnsi="Arial" w:cs="Arial"/>
          <w:iCs/>
          <w:color w:val="000000"/>
          <w:shd w:val="clear" w:color="auto" w:fill="FFFFFF"/>
          <w:lang w:val="en-GB"/>
        </w:rPr>
        <w:t>Applied Thermal Engineering</w:t>
      </w:r>
      <w:r w:rsidRPr="006A5875">
        <w:rPr>
          <w:rFonts w:ascii="Arial" w:hAnsi="Arial" w:cs="Arial"/>
          <w:color w:val="000000"/>
          <w:shd w:val="clear" w:color="auto" w:fill="FFFFFF"/>
          <w:lang w:val="en-GB"/>
        </w:rPr>
        <w:t>, V. 32, 1-12, 2012.</w:t>
      </w:r>
    </w:p>
    <w:p w:rsidR="00233599" w:rsidRPr="006A5875" w:rsidRDefault="00233599" w:rsidP="00390F7C">
      <w:pPr>
        <w:pStyle w:val="Prrafodelista"/>
        <w:numPr>
          <w:ilvl w:val="0"/>
          <w:numId w:val="45"/>
        </w:numPr>
        <w:suppressAutoHyphens/>
        <w:spacing w:after="0" w:line="240" w:lineRule="auto"/>
        <w:jc w:val="both"/>
        <w:rPr>
          <w:rFonts w:ascii="Arial" w:eastAsia="MS Mincho" w:hAnsi="Arial" w:cs="Arial"/>
          <w:lang w:val="en-US"/>
        </w:rPr>
      </w:pPr>
      <w:r w:rsidRPr="006A5875">
        <w:rPr>
          <w:rFonts w:ascii="Arial" w:hAnsi="Arial" w:cs="Arial"/>
          <w:color w:val="000000"/>
          <w:shd w:val="clear" w:color="auto" w:fill="FFFFFF"/>
          <w:lang w:val="en-GB"/>
        </w:rPr>
        <w:t xml:space="preserve">Omidi M., Farhadi M., Jafari M., A comprehensive review on double pipe heat exchangers, </w:t>
      </w:r>
      <w:r w:rsidRPr="006A5875">
        <w:rPr>
          <w:rFonts w:ascii="Arial" w:hAnsi="Arial" w:cs="Arial"/>
          <w:iCs/>
          <w:color w:val="000000"/>
          <w:shd w:val="clear" w:color="auto" w:fill="FFFFFF"/>
          <w:lang w:val="en-GB"/>
        </w:rPr>
        <w:t>Applied Thermal Engineering</w:t>
      </w:r>
      <w:r w:rsidRPr="006A5875">
        <w:rPr>
          <w:rFonts w:ascii="Arial" w:hAnsi="Arial" w:cs="Arial"/>
          <w:color w:val="000000"/>
          <w:shd w:val="clear" w:color="auto" w:fill="FFFFFF"/>
          <w:lang w:val="en-GB"/>
        </w:rPr>
        <w:t>, V. 110, 1075-1090, 2017.</w:t>
      </w:r>
    </w:p>
    <w:p w:rsidR="00233599" w:rsidRPr="006A5875" w:rsidRDefault="00233599" w:rsidP="00390F7C">
      <w:pPr>
        <w:pStyle w:val="Prrafodelista"/>
        <w:numPr>
          <w:ilvl w:val="0"/>
          <w:numId w:val="45"/>
        </w:numPr>
        <w:suppressAutoHyphens/>
        <w:spacing w:after="0" w:line="240" w:lineRule="auto"/>
        <w:jc w:val="both"/>
        <w:rPr>
          <w:rFonts w:ascii="Arial" w:eastAsia="MS Mincho" w:hAnsi="Arial" w:cs="Arial"/>
          <w:lang w:val="en-US"/>
        </w:rPr>
      </w:pPr>
      <w:r w:rsidRPr="006A5875">
        <w:rPr>
          <w:rFonts w:ascii="Arial" w:eastAsia="Times New Roman" w:hAnsi="Arial" w:cs="Arial"/>
          <w:lang w:val="en-GB" w:eastAsia="es-ES"/>
        </w:rPr>
        <w:t>Kumar S., Karanth K., Murthy K., Numerical study of heat transfer in a finned double pipe heat exchanger, Worl Academis Union, V. 11, N. 1, 43-54, 2015.</w:t>
      </w:r>
    </w:p>
    <w:p w:rsidR="00233599" w:rsidRPr="006A5875" w:rsidRDefault="00233599" w:rsidP="00390F7C">
      <w:pPr>
        <w:pStyle w:val="Prrafodelista"/>
        <w:numPr>
          <w:ilvl w:val="0"/>
          <w:numId w:val="45"/>
        </w:numPr>
        <w:suppressAutoHyphens/>
        <w:spacing w:after="0" w:line="240" w:lineRule="auto"/>
        <w:jc w:val="both"/>
        <w:rPr>
          <w:rFonts w:ascii="Arial" w:eastAsia="MS Mincho" w:hAnsi="Arial" w:cs="Arial"/>
          <w:lang w:val="en-US"/>
        </w:rPr>
      </w:pPr>
      <w:r w:rsidRPr="006A5875">
        <w:rPr>
          <w:rFonts w:ascii="Arial" w:hAnsi="Arial" w:cs="Arial"/>
          <w:shd w:val="clear" w:color="auto" w:fill="FFFFFF"/>
          <w:lang w:val="en-GB"/>
        </w:rPr>
        <w:t>El Maakoul A., Laknizi A., Saadeddine S., Ben Abdellah A., Meziane M., El Metoui M., Numerical design and investigation of heat transfer enhancement and performance for an annulus with continuous helical baffles in a double-pipe heat exchanger, Energy Conversion and Management, V. 133, 76-86, 2017.</w:t>
      </w:r>
    </w:p>
    <w:p w:rsidR="00233599" w:rsidRPr="006A5875" w:rsidRDefault="00233599" w:rsidP="00390F7C">
      <w:pPr>
        <w:pStyle w:val="Prrafodelista"/>
        <w:numPr>
          <w:ilvl w:val="0"/>
          <w:numId w:val="45"/>
        </w:numPr>
        <w:suppressAutoHyphens/>
        <w:spacing w:after="0" w:line="240" w:lineRule="auto"/>
        <w:jc w:val="both"/>
        <w:rPr>
          <w:rFonts w:ascii="Arial" w:eastAsia="MS Mincho" w:hAnsi="Arial" w:cs="Arial"/>
          <w:lang w:val="en-US"/>
        </w:rPr>
      </w:pPr>
      <w:r w:rsidRPr="006A5875">
        <w:rPr>
          <w:rFonts w:ascii="Arial" w:hAnsi="Arial" w:cs="Arial"/>
          <w:lang w:val="en-GB"/>
        </w:rPr>
        <w:t>CFD Module User's Guide, COMSOL multiphysics, version 5.3a, 2018.</w:t>
      </w:r>
    </w:p>
    <w:p w:rsidR="00233599" w:rsidRPr="006A5875" w:rsidRDefault="00233599" w:rsidP="00390F7C">
      <w:pPr>
        <w:pStyle w:val="Prrafodelista"/>
        <w:numPr>
          <w:ilvl w:val="0"/>
          <w:numId w:val="45"/>
        </w:numPr>
        <w:suppressAutoHyphens/>
        <w:spacing w:after="0" w:line="240" w:lineRule="auto"/>
        <w:jc w:val="both"/>
        <w:rPr>
          <w:rFonts w:ascii="Arial" w:eastAsia="MS Mincho" w:hAnsi="Arial" w:cs="Arial"/>
          <w:lang w:val="en-US"/>
        </w:rPr>
      </w:pPr>
      <w:r w:rsidRPr="006A5875">
        <w:rPr>
          <w:rFonts w:ascii="Arial" w:hAnsi="Arial" w:cs="Arial"/>
          <w:lang w:val="en-GB"/>
        </w:rPr>
        <w:t>Syed K., Ishaq M., Iqbal Z., Hassan A., Numerical study of an innovative design of a finned double-pipe heat exchanger with variable fin-tip thickness, Energy Conv. and Manag., V. 98, 69-80, 2015.</w:t>
      </w:r>
    </w:p>
    <w:p w:rsidR="00233599" w:rsidRPr="006A5875" w:rsidRDefault="00233599" w:rsidP="00390F7C">
      <w:pPr>
        <w:pStyle w:val="Prrafodelista"/>
        <w:numPr>
          <w:ilvl w:val="0"/>
          <w:numId w:val="45"/>
        </w:numPr>
        <w:suppressAutoHyphens/>
        <w:spacing w:after="0" w:line="240" w:lineRule="auto"/>
        <w:jc w:val="both"/>
        <w:rPr>
          <w:rFonts w:ascii="Arial" w:eastAsia="MS Mincho" w:hAnsi="Arial" w:cs="Arial"/>
          <w:lang w:val="en-US"/>
        </w:rPr>
      </w:pPr>
      <w:r w:rsidRPr="006A5875">
        <w:rPr>
          <w:rFonts w:ascii="Arial" w:hAnsi="Arial" w:cs="Arial"/>
          <w:lang w:val="en-GB"/>
        </w:rPr>
        <w:t>Heat Transfer Module User's Guide, COMSOL multiphysics, version 5.3a, 2018.</w:t>
      </w:r>
    </w:p>
    <w:p w:rsidR="00AB2ED5" w:rsidRPr="00AB2ED5" w:rsidRDefault="00AB2ED5" w:rsidP="0049551D">
      <w:pPr>
        <w:rPr>
          <w:lang w:val="en-US"/>
        </w:rPr>
      </w:pPr>
    </w:p>
    <w:p w:rsidR="002429F5" w:rsidRDefault="002429F5" w:rsidP="0049551D">
      <w:pPr>
        <w:rPr>
          <w:lang w:val="en-US"/>
        </w:rPr>
      </w:pPr>
    </w:p>
    <w:p w:rsidR="00CD0BA4" w:rsidRDefault="00CD0BA4" w:rsidP="0049551D">
      <w:pPr>
        <w:rPr>
          <w:lang w:val="en-US"/>
        </w:rPr>
      </w:pPr>
    </w:p>
    <w:p w:rsidR="00CD0BA4" w:rsidRDefault="00CD0BA4" w:rsidP="0049551D">
      <w:pPr>
        <w:rPr>
          <w:lang w:val="en-US"/>
        </w:rPr>
      </w:pPr>
    </w:p>
    <w:p w:rsidR="00CD0BA4" w:rsidRPr="00CD0BA4" w:rsidRDefault="00CD0BA4" w:rsidP="00CD0BA4">
      <w:pPr>
        <w:pStyle w:val="1Titulo"/>
        <w:numPr>
          <w:ilvl w:val="0"/>
          <w:numId w:val="0"/>
        </w:numPr>
        <w:ind w:left="357"/>
        <w:jc w:val="center"/>
        <w:rPr>
          <w:sz w:val="28"/>
          <w:szCs w:val="28"/>
        </w:rPr>
      </w:pPr>
      <w:bookmarkStart w:id="318" w:name="_Toc50031366"/>
      <w:r w:rsidRPr="00CD0BA4">
        <w:rPr>
          <w:sz w:val="28"/>
          <w:szCs w:val="28"/>
        </w:rPr>
        <w:lastRenderedPageBreak/>
        <w:t>Modelo para el cálculo del costo beneficio de una regulación del consumo de combustible y emisiones de bióxido de carbono de tractocamiones</w:t>
      </w:r>
      <w:bookmarkEnd w:id="318"/>
    </w:p>
    <w:p w:rsidR="00CD0BA4" w:rsidRDefault="00CD0BA4" w:rsidP="00CD0BA4">
      <w:pPr>
        <w:jc w:val="center"/>
        <w:rPr>
          <w:color w:val="000000"/>
          <w:sz w:val="28"/>
          <w:szCs w:val="28"/>
        </w:rPr>
      </w:pPr>
    </w:p>
    <w:p w:rsidR="00CD0BA4" w:rsidRPr="00BF37E6" w:rsidRDefault="00CD0BA4" w:rsidP="00CD0BA4">
      <w:pPr>
        <w:pStyle w:val="Author"/>
        <w:rPr>
          <w:rFonts w:ascii="Arial" w:hAnsi="Arial" w:cs="Arial"/>
          <w:szCs w:val="24"/>
          <w:vertAlign w:val="superscript"/>
          <w:lang w:val="es-ES"/>
        </w:rPr>
      </w:pPr>
      <w:r w:rsidRPr="00EF7EAE">
        <w:rPr>
          <w:rFonts w:ascii="Arial" w:hAnsi="Arial" w:cs="Arial"/>
          <w:szCs w:val="24"/>
          <w:lang w:val="es-ES"/>
        </w:rPr>
        <w:t>Domínguez-Pérez, R.M.,</w:t>
      </w:r>
      <w:r w:rsidRPr="00EF7EAE">
        <w:rPr>
          <w:rFonts w:ascii="Arial" w:hAnsi="Arial" w:cs="Arial"/>
          <w:szCs w:val="24"/>
          <w:vertAlign w:val="superscript"/>
          <w:lang w:val="es-ES"/>
        </w:rPr>
        <w:t xml:space="preserve">1 </w:t>
      </w:r>
      <w:r w:rsidRPr="00EF7EAE">
        <w:rPr>
          <w:rFonts w:ascii="Arial" w:hAnsi="Arial" w:cs="Arial"/>
          <w:szCs w:val="24"/>
          <w:lang w:val="es-ES"/>
        </w:rPr>
        <w:t>Pantoja-Gallegos, J.L.,</w:t>
      </w:r>
      <w:r w:rsidRPr="00EF7EAE">
        <w:rPr>
          <w:rFonts w:ascii="Arial" w:hAnsi="Arial" w:cs="Arial"/>
          <w:szCs w:val="24"/>
          <w:vertAlign w:val="superscript"/>
          <w:lang w:val="es-ES"/>
        </w:rPr>
        <w:t>2</w:t>
      </w:r>
      <w:r w:rsidRPr="00EF7EAE">
        <w:rPr>
          <w:rFonts w:ascii="Arial" w:hAnsi="Arial" w:cs="Arial"/>
          <w:szCs w:val="24"/>
          <w:lang w:val="es-ES"/>
        </w:rPr>
        <w:t xml:space="preserve"> Domínguez-Pérez, D.N.,</w:t>
      </w:r>
      <w:r w:rsidRPr="00EF7EAE">
        <w:rPr>
          <w:rFonts w:ascii="Arial" w:hAnsi="Arial" w:cs="Arial"/>
          <w:szCs w:val="24"/>
          <w:vertAlign w:val="superscript"/>
          <w:lang w:val="es-ES"/>
        </w:rPr>
        <w:t xml:space="preserve">3 </w:t>
      </w:r>
      <w:r>
        <w:rPr>
          <w:rFonts w:ascii="Arial" w:hAnsi="Arial" w:cs="Arial"/>
          <w:szCs w:val="24"/>
          <w:u w:val="single"/>
          <w:lang w:val="es-ES"/>
        </w:rPr>
        <w:t>Domínguez-Vergara, N.</w:t>
      </w:r>
      <w:r w:rsidRPr="00EF7EAE">
        <w:rPr>
          <w:rFonts w:ascii="Arial" w:hAnsi="Arial" w:cs="Arial"/>
          <w:szCs w:val="24"/>
          <w:u w:val="single"/>
          <w:vertAlign w:val="superscript"/>
          <w:lang w:val="es-ES"/>
        </w:rPr>
        <w:t>2</w:t>
      </w:r>
      <w:r w:rsidRPr="00EF7EAE">
        <w:rPr>
          <w:rFonts w:ascii="Arial" w:hAnsi="Arial" w:cs="Arial"/>
          <w:szCs w:val="24"/>
          <w:lang w:val="es-ES"/>
        </w:rPr>
        <w:t xml:space="preserve"> </w:t>
      </w:r>
    </w:p>
    <w:p w:rsidR="00CD0BA4" w:rsidRPr="00EF7EAE" w:rsidRDefault="00CD0BA4" w:rsidP="00CD0BA4">
      <w:pPr>
        <w:pStyle w:val="affiliation"/>
        <w:rPr>
          <w:rFonts w:ascii="Arial" w:hAnsi="Arial" w:cs="Arial"/>
          <w:sz w:val="24"/>
          <w:szCs w:val="24"/>
          <w:lang w:val="es-ES"/>
        </w:rPr>
      </w:pPr>
      <w:r w:rsidRPr="00EF7EAE">
        <w:rPr>
          <w:rFonts w:ascii="Arial" w:hAnsi="Arial" w:cs="Arial"/>
          <w:sz w:val="24"/>
          <w:szCs w:val="24"/>
          <w:vertAlign w:val="superscript"/>
          <w:lang w:val="es-ES"/>
        </w:rPr>
        <w:t>1</w:t>
      </w:r>
      <w:r w:rsidRPr="00EF7EAE">
        <w:rPr>
          <w:rFonts w:ascii="Arial" w:hAnsi="Arial" w:cs="Arial"/>
          <w:sz w:val="24"/>
          <w:szCs w:val="24"/>
          <w:lang w:val="es-ES"/>
        </w:rPr>
        <w:t>Investigador independiente.</w:t>
      </w:r>
    </w:p>
    <w:p w:rsidR="00CD0BA4" w:rsidRPr="00EF7EAE" w:rsidRDefault="00CD0BA4" w:rsidP="00CD0BA4">
      <w:pPr>
        <w:pStyle w:val="affiliation"/>
        <w:rPr>
          <w:rFonts w:ascii="Arial" w:hAnsi="Arial" w:cs="Arial"/>
          <w:sz w:val="24"/>
          <w:szCs w:val="24"/>
          <w:lang w:val="es-ES"/>
        </w:rPr>
      </w:pPr>
      <w:r w:rsidRPr="00EF7EAE">
        <w:rPr>
          <w:rFonts w:ascii="Arial" w:hAnsi="Arial" w:cs="Arial"/>
          <w:sz w:val="24"/>
          <w:szCs w:val="24"/>
          <w:vertAlign w:val="superscript"/>
          <w:lang w:val="es-ES"/>
        </w:rPr>
        <w:t>2</w:t>
      </w:r>
      <w:r w:rsidRPr="00EF7EAE">
        <w:rPr>
          <w:rFonts w:ascii="Arial" w:hAnsi="Arial" w:cs="Arial"/>
          <w:sz w:val="24"/>
          <w:szCs w:val="24"/>
          <w:lang w:val="es-ES"/>
        </w:rPr>
        <w:t xml:space="preserve">Universidad Autónoma Metropolitana Azcapotzalco. </w:t>
      </w:r>
    </w:p>
    <w:p w:rsidR="00CD0BA4" w:rsidRPr="00F4734E" w:rsidRDefault="00CD0BA4" w:rsidP="00CD0BA4">
      <w:pPr>
        <w:pStyle w:val="affiliation"/>
        <w:rPr>
          <w:rFonts w:ascii="Arial" w:hAnsi="Arial" w:cs="Arial"/>
          <w:sz w:val="24"/>
          <w:szCs w:val="24"/>
          <w:vertAlign w:val="superscript"/>
          <w:lang w:val="es-ES"/>
        </w:rPr>
      </w:pPr>
      <w:r w:rsidRPr="00EF7EAE">
        <w:rPr>
          <w:rFonts w:ascii="Arial" w:hAnsi="Arial" w:cs="Arial"/>
          <w:sz w:val="24"/>
          <w:szCs w:val="24"/>
          <w:vertAlign w:val="superscript"/>
          <w:lang w:val="es-ES"/>
        </w:rPr>
        <w:t>3</w:t>
      </w:r>
      <w:r w:rsidRPr="00EF7EAE">
        <w:rPr>
          <w:rFonts w:ascii="Arial" w:hAnsi="Arial" w:cs="Arial"/>
          <w:sz w:val="24"/>
          <w:szCs w:val="24"/>
          <w:lang w:val="es-ES"/>
        </w:rPr>
        <w:t>Facultad de Ingeniería, Univer</w:t>
      </w:r>
      <w:r w:rsidRPr="00F4734E">
        <w:rPr>
          <w:rFonts w:ascii="Arial" w:hAnsi="Arial" w:cs="Arial"/>
          <w:sz w:val="24"/>
          <w:szCs w:val="24"/>
          <w:lang w:val="es-ES"/>
        </w:rPr>
        <w:t xml:space="preserve">sidad Nacional Autónoma de México. </w:t>
      </w:r>
    </w:p>
    <w:p w:rsidR="00CD0BA4" w:rsidRPr="0055397E" w:rsidRDefault="00CD0BA4" w:rsidP="00CD0BA4">
      <w:pPr>
        <w:pStyle w:val="affiliation"/>
        <w:rPr>
          <w:rFonts w:ascii="Arial" w:hAnsi="Arial" w:cs="Arial"/>
          <w:sz w:val="24"/>
          <w:szCs w:val="24"/>
          <w:u w:val="single"/>
          <w:lang w:val="es-ES"/>
        </w:rPr>
      </w:pPr>
      <w:r w:rsidRPr="00F4734E">
        <w:rPr>
          <w:rFonts w:ascii="Arial" w:hAnsi="Arial" w:cs="Arial"/>
          <w:sz w:val="24"/>
          <w:szCs w:val="24"/>
          <w:lang w:val="es-ES"/>
        </w:rPr>
        <w:t xml:space="preserve">ricardodominguezperez@gmail.com, </w:t>
      </w:r>
      <w:hyperlink r:id="rId1183" w:history="1">
        <w:r w:rsidRPr="00F4734E">
          <w:rPr>
            <w:rStyle w:val="Hipervnculo"/>
            <w:rFonts w:ascii="Arial" w:hAnsi="Arial" w:cs="Arial"/>
            <w:sz w:val="24"/>
            <w:szCs w:val="24"/>
            <w:lang w:val="es-ES"/>
          </w:rPr>
          <w:t>jpg@correo.azc.uam.mx</w:t>
        </w:r>
      </w:hyperlink>
      <w:r w:rsidRPr="00F4734E">
        <w:rPr>
          <w:rFonts w:ascii="Arial" w:hAnsi="Arial" w:cs="Arial"/>
          <w:sz w:val="24"/>
          <w:szCs w:val="24"/>
          <w:lang w:val="es-ES"/>
        </w:rPr>
        <w:t xml:space="preserve">, </w:t>
      </w:r>
      <w:hyperlink r:id="rId1184" w:history="1">
        <w:r w:rsidRPr="00F4734E">
          <w:rPr>
            <w:rStyle w:val="Hipervnculo"/>
            <w:rFonts w:ascii="Arial" w:hAnsi="Arial" w:cs="Arial"/>
            <w:sz w:val="24"/>
            <w:szCs w:val="24"/>
            <w:lang w:val="es-ES"/>
          </w:rPr>
          <w:t>dannickfox@gmail.com</w:t>
        </w:r>
      </w:hyperlink>
      <w:r w:rsidRPr="00F4734E">
        <w:rPr>
          <w:rFonts w:ascii="Arial" w:hAnsi="Arial" w:cs="Arial"/>
          <w:sz w:val="24"/>
          <w:szCs w:val="24"/>
          <w:lang w:val="es-ES"/>
        </w:rPr>
        <w:t xml:space="preserve">, </w:t>
      </w:r>
      <w:hyperlink r:id="rId1185" w:history="1">
        <w:r w:rsidRPr="0055397E">
          <w:rPr>
            <w:rStyle w:val="Hipervnculo"/>
            <w:rFonts w:ascii="Arial" w:hAnsi="Arial" w:cs="Arial"/>
            <w:sz w:val="24"/>
            <w:szCs w:val="24"/>
            <w:lang w:val="es-ES"/>
          </w:rPr>
          <w:t>ndv@correo.azc.uam.mx</w:t>
        </w:r>
      </w:hyperlink>
    </w:p>
    <w:p w:rsidR="00CD0BA4" w:rsidRDefault="00CD0BA4" w:rsidP="00CD0BA4">
      <w:pPr>
        <w:pStyle w:val="affiliation"/>
        <w:rPr>
          <w:rFonts w:ascii="Arial" w:eastAsia="Batang" w:hAnsi="Arial" w:cs="Arial"/>
          <w:b/>
          <w:bCs/>
          <w:i/>
          <w:iCs/>
          <w:caps/>
          <w:sz w:val="24"/>
          <w:szCs w:val="24"/>
          <w:lang w:val="es-ES"/>
        </w:rPr>
      </w:pPr>
    </w:p>
    <w:p w:rsidR="00CD0BA4" w:rsidRPr="00A7164B" w:rsidRDefault="00CD0BA4" w:rsidP="00CD0BA4">
      <w:pPr>
        <w:pStyle w:val="1Titulo"/>
        <w:numPr>
          <w:ilvl w:val="0"/>
          <w:numId w:val="0"/>
        </w:numPr>
        <w:ind w:left="357"/>
        <w:rPr>
          <w:color w:val="000000"/>
        </w:rPr>
      </w:pPr>
      <w:bookmarkStart w:id="319" w:name="_Toc50031367"/>
      <w:r w:rsidRPr="00A7164B">
        <w:rPr>
          <w:caps/>
        </w:rPr>
        <w:t>1. R</w:t>
      </w:r>
      <w:r w:rsidRPr="00A7164B">
        <w:t>esumen</w:t>
      </w:r>
      <w:bookmarkEnd w:id="319"/>
      <w:r w:rsidRPr="00A7164B">
        <w:rPr>
          <w:caps/>
        </w:rPr>
        <w:t xml:space="preserve"> </w:t>
      </w:r>
    </w:p>
    <w:p w:rsidR="00CD0BA4" w:rsidRPr="004D27E2" w:rsidRDefault="00CD0BA4" w:rsidP="00CD0BA4">
      <w:pPr>
        <w:ind w:firstLine="567"/>
        <w:jc w:val="both"/>
        <w:rPr>
          <w:rFonts w:ascii="Arial" w:hAnsi="Arial" w:cs="Arial"/>
          <w:color w:val="000000"/>
        </w:rPr>
      </w:pPr>
      <w:r w:rsidRPr="00556767">
        <w:rPr>
          <w:rFonts w:ascii="Arial" w:hAnsi="Arial" w:cs="Arial"/>
        </w:rPr>
        <w:t xml:space="preserve">Es necesario construir modelos para evaluar el costo beneficio de una futura norma de consumo de combustible y emisiones de gases de efecto invernadero para los vehículos nuevos más pesados de México que son los tractocamiones, porque son los que consumen más combustible y emiten más emisiones de gases de efecto invernadero </w:t>
      </w:r>
      <w:r>
        <w:rPr>
          <w:rFonts w:ascii="Arial" w:hAnsi="Arial" w:cs="Arial"/>
        </w:rPr>
        <w:t xml:space="preserve">por unidad </w:t>
      </w:r>
      <w:r w:rsidRPr="00556767">
        <w:rPr>
          <w:rFonts w:ascii="Arial" w:hAnsi="Arial" w:cs="Arial"/>
        </w:rPr>
        <w:t>que el resto de los vehículos pesados. Es necesaria una norma de eficiencia energética para los tractocamiones nuevos debido a que México importa más del 70% del diésel que se consume en el país y se necesita disminuir su importación, además de que es indispensable disminuir las emisiones de gases de efecto invernadero. En este trabajo se reportan los resultados de un modelo de costo beneficio de introducir tractocamiones nuevos más eficientes al parque vehicular pesado basado en el cálculo del valor presente neto.</w:t>
      </w:r>
    </w:p>
    <w:p w:rsidR="00CD0BA4" w:rsidRDefault="00CD0BA4" w:rsidP="00CD0BA4">
      <w:pPr>
        <w:jc w:val="both"/>
        <w:rPr>
          <w:rFonts w:ascii="Arial" w:hAnsi="Arial" w:cs="Arial"/>
        </w:rPr>
      </w:pPr>
    </w:p>
    <w:p w:rsidR="00CD0BA4" w:rsidRPr="00A7164B" w:rsidRDefault="001472BA" w:rsidP="00CD0BA4">
      <w:pPr>
        <w:pStyle w:val="1Titulo"/>
        <w:numPr>
          <w:ilvl w:val="0"/>
          <w:numId w:val="0"/>
        </w:numPr>
        <w:ind w:left="357"/>
        <w:rPr>
          <w:caps/>
        </w:rPr>
      </w:pPr>
      <w:bookmarkStart w:id="320" w:name="_Toc50031368"/>
      <w:r>
        <w:rPr>
          <w:caps/>
        </w:rPr>
        <w:t>2</w:t>
      </w:r>
      <w:r w:rsidR="00CD0BA4" w:rsidRPr="00A7164B">
        <w:rPr>
          <w:caps/>
        </w:rPr>
        <w:t>. I</w:t>
      </w:r>
      <w:r w:rsidR="00CD0BA4" w:rsidRPr="00A7164B">
        <w:t>ntroducción</w:t>
      </w:r>
      <w:bookmarkEnd w:id="320"/>
      <w:r w:rsidR="00CD0BA4" w:rsidRPr="00A7164B">
        <w:rPr>
          <w:caps/>
        </w:rPr>
        <w:t xml:space="preserve"> </w:t>
      </w:r>
    </w:p>
    <w:p w:rsidR="00CD0BA4" w:rsidRPr="004B3E74" w:rsidRDefault="00CD0BA4" w:rsidP="00CD0BA4">
      <w:pPr>
        <w:jc w:val="both"/>
        <w:rPr>
          <w:rFonts w:ascii="Arial" w:hAnsi="Arial" w:cs="Arial"/>
        </w:rPr>
      </w:pPr>
      <w:r>
        <w:t xml:space="preserve">         </w:t>
      </w:r>
      <w:r w:rsidRPr="00556767">
        <w:rPr>
          <w:rFonts w:ascii="Arial" w:hAnsi="Arial" w:cs="Arial"/>
        </w:rPr>
        <w:t xml:space="preserve">Los tractocamiones son los vehículos que consumen más combustible y emiten más bióxido de carbono </w:t>
      </w:r>
      <w:r>
        <w:rPr>
          <w:rFonts w:ascii="Arial" w:hAnsi="Arial" w:cs="Arial"/>
        </w:rPr>
        <w:t xml:space="preserve">por unidad </w:t>
      </w:r>
      <w:r w:rsidRPr="00556767">
        <w:rPr>
          <w:rFonts w:ascii="Arial" w:hAnsi="Arial" w:cs="Arial"/>
        </w:rPr>
        <w:t>que todos los demás vehículos en el parque vehicular del país. Los tractocamiones transportan ininterrumpidamente productos alimenticios y otros bienes que son indispensables para la población aun en situaciones de emergencias sanitarias. U</w:t>
      </w:r>
      <w:r w:rsidRPr="00556767">
        <w:rPr>
          <w:rFonts w:ascii="Arial" w:hAnsi="Arial" w:cs="Arial"/>
          <w:bCs/>
          <w:lang w:eastAsia="es-ES"/>
        </w:rPr>
        <w:t>n incremento del 1% de producto interno bruto per cápita en un país ocasiona un aumento del 1.07% en  las toneladas (tons)</w:t>
      </w:r>
      <w:r>
        <w:rPr>
          <w:rFonts w:ascii="Arial" w:hAnsi="Arial" w:cs="Arial"/>
          <w:bCs/>
          <w:lang w:eastAsia="es-ES"/>
        </w:rPr>
        <w:t xml:space="preserve"> por</w:t>
      </w:r>
      <w:r w:rsidRPr="00556767">
        <w:rPr>
          <w:rFonts w:ascii="Arial" w:hAnsi="Arial" w:cs="Arial"/>
          <w:bCs/>
          <w:lang w:eastAsia="es-ES"/>
        </w:rPr>
        <w:t xml:space="preserve"> kilómetro (km) de carga transportada en sus carreteras</w:t>
      </w:r>
      <w:r>
        <w:rPr>
          <w:rFonts w:ascii="Arial" w:hAnsi="Arial" w:cs="Arial"/>
          <w:bCs/>
          <w:lang w:eastAsia="es-ES"/>
        </w:rPr>
        <w:t xml:space="preserve"> </w:t>
      </w:r>
      <w:r w:rsidRPr="00AA16A0">
        <w:rPr>
          <w:rFonts w:ascii="Arial" w:hAnsi="Arial" w:cs="Arial"/>
          <w:vertAlign w:val="superscript"/>
        </w:rPr>
        <w:t>[1]</w:t>
      </w:r>
      <w:r w:rsidRPr="00556767">
        <w:rPr>
          <w:rFonts w:ascii="Arial" w:hAnsi="Arial" w:cs="Arial"/>
        </w:rPr>
        <w:t>. Los tractocamiones son muy rentables para transportar carga porque consumen (1</w:t>
      </w:r>
      <w:r>
        <w:rPr>
          <w:rFonts w:ascii="Arial" w:hAnsi="Arial" w:cs="Arial"/>
        </w:rPr>
        <w:t xml:space="preserve"> </w:t>
      </w:r>
      <w:r w:rsidRPr="00556767">
        <w:rPr>
          <w:rFonts w:ascii="Arial" w:hAnsi="Arial" w:cs="Arial"/>
        </w:rPr>
        <w:t>litro)/(100 tons km) mientras que cuando se transporta carga con un vehículo de los menos pesados el consumo es de (14.4</w:t>
      </w:r>
      <w:r>
        <w:rPr>
          <w:rFonts w:ascii="Arial" w:hAnsi="Arial" w:cs="Arial"/>
        </w:rPr>
        <w:t xml:space="preserve"> </w:t>
      </w:r>
      <w:r w:rsidRPr="00556767">
        <w:rPr>
          <w:rFonts w:ascii="Arial" w:hAnsi="Arial" w:cs="Arial"/>
        </w:rPr>
        <w:t xml:space="preserve">litros)/(100 tons km) </w:t>
      </w:r>
      <w:r w:rsidRPr="00AA16A0">
        <w:rPr>
          <w:rFonts w:ascii="Arial" w:hAnsi="Arial" w:cs="Arial"/>
          <w:vertAlign w:val="superscript"/>
        </w:rPr>
        <w:t>[1]</w:t>
      </w:r>
      <w:r w:rsidRPr="00556767">
        <w:rPr>
          <w:rFonts w:ascii="Arial" w:hAnsi="Arial" w:cs="Arial"/>
        </w:rPr>
        <w:t>. Un t</w:t>
      </w:r>
      <w:r w:rsidRPr="00556767">
        <w:rPr>
          <w:rFonts w:ascii="Arial" w:hAnsi="Arial" w:cs="Arial"/>
          <w:bCs/>
        </w:rPr>
        <w:t>ractocamión con tráiler que transporta 23 toneladas podría consumir (25 litros/100 km)</w:t>
      </w:r>
      <w:r>
        <w:rPr>
          <w:rFonts w:ascii="Arial" w:hAnsi="Arial" w:cs="Arial"/>
          <w:bCs/>
        </w:rPr>
        <w:t>, o sea que tendría un consumo de combustible de 0.25 litros/km</w:t>
      </w:r>
      <w:r w:rsidRPr="00556767">
        <w:rPr>
          <w:rFonts w:ascii="Arial" w:hAnsi="Arial" w:cs="Arial"/>
          <w:bCs/>
        </w:rPr>
        <w:t xml:space="preserve">, pero si viaja muy cargado su consumo podría aumentar a 40 </w:t>
      </w:r>
      <w:r w:rsidRPr="00556767">
        <w:rPr>
          <w:rFonts w:ascii="Arial" w:hAnsi="Arial" w:cs="Arial"/>
          <w:bCs/>
        </w:rPr>
        <w:lastRenderedPageBreak/>
        <w:t xml:space="preserve">litros/100km </w:t>
      </w:r>
      <w:r w:rsidRPr="00A5432A">
        <w:rPr>
          <w:rFonts w:ascii="Arial" w:hAnsi="Arial" w:cs="Arial"/>
          <w:vertAlign w:val="superscript"/>
        </w:rPr>
        <w:t>[1]</w:t>
      </w:r>
      <w:r w:rsidRPr="00C21212">
        <w:rPr>
          <w:rFonts w:ascii="Arial" w:hAnsi="Arial" w:cs="Arial"/>
          <w:bCs/>
        </w:rPr>
        <w:t>, o sea su consumo sería de 0.4 litros/km.</w:t>
      </w:r>
      <w:r>
        <w:rPr>
          <w:rFonts w:ascii="Arial" w:hAnsi="Arial" w:cs="Arial"/>
          <w:bCs/>
        </w:rPr>
        <w:t xml:space="preserve"> P</w:t>
      </w:r>
      <w:r w:rsidRPr="00556767">
        <w:rPr>
          <w:rFonts w:ascii="Arial" w:hAnsi="Arial" w:cs="Arial"/>
          <w:bCs/>
        </w:rPr>
        <w:t xml:space="preserve">ara los tractocamiones más pesados por cada tonelada adicional de carga el consumo aumenta como en (1 litro/100km) </w:t>
      </w:r>
      <w:r w:rsidRPr="00AA16A0">
        <w:rPr>
          <w:rFonts w:ascii="Arial" w:hAnsi="Arial" w:cs="Arial"/>
          <w:vertAlign w:val="superscript"/>
        </w:rPr>
        <w:t>[1]</w:t>
      </w:r>
      <w:r w:rsidRPr="00556767">
        <w:rPr>
          <w:rFonts w:ascii="Arial" w:hAnsi="Arial" w:cs="Arial"/>
          <w:bCs/>
        </w:rPr>
        <w:t xml:space="preserve">. </w:t>
      </w:r>
      <w:r w:rsidRPr="00556767">
        <w:rPr>
          <w:rFonts w:ascii="Arial" w:hAnsi="Arial" w:cs="Arial"/>
        </w:rPr>
        <w:t>Debido a que México importa más del 70% del diésel que consume es necesaria un</w:t>
      </w:r>
      <w:r>
        <w:rPr>
          <w:rFonts w:ascii="Arial" w:hAnsi="Arial" w:cs="Arial"/>
        </w:rPr>
        <w:t>a disminución del consumo de</w:t>
      </w:r>
      <w:r w:rsidRPr="00556767">
        <w:rPr>
          <w:rFonts w:ascii="Arial" w:hAnsi="Arial" w:cs="Arial"/>
        </w:rPr>
        <w:t xml:space="preserve"> combustible </w:t>
      </w:r>
      <w:r>
        <w:rPr>
          <w:rFonts w:ascii="Arial" w:hAnsi="Arial" w:cs="Arial"/>
        </w:rPr>
        <w:t xml:space="preserve">(diésel) </w:t>
      </w:r>
      <w:r w:rsidRPr="00556767">
        <w:rPr>
          <w:rFonts w:ascii="Arial" w:hAnsi="Arial" w:cs="Arial"/>
        </w:rPr>
        <w:t xml:space="preserve">que se puede lograr aumentando la eficiencia energética de los tractocamiones, así como para disminuir las emisiones de bióxido de carbono que contribuyen al calentamiento de la tierra. Por lo </w:t>
      </w:r>
      <w:r w:rsidRPr="004B3E74">
        <w:rPr>
          <w:rFonts w:ascii="Arial" w:hAnsi="Arial" w:cs="Arial"/>
        </w:rPr>
        <w:t xml:space="preserve">anterior es necesario construir modelos para evaluar el costo beneficio de una norma de consumo de combustible y emisiones de bióxido de carbono para los tractocamiones. En este trabajo se presenta un modelo basado </w:t>
      </w:r>
      <w:r>
        <w:rPr>
          <w:rFonts w:ascii="Arial" w:hAnsi="Arial" w:cs="Arial"/>
        </w:rPr>
        <w:t>en el Valor Presente Neto (VPN)</w:t>
      </w:r>
      <w:r w:rsidRPr="004B3E74">
        <w:rPr>
          <w:rFonts w:ascii="Arial" w:hAnsi="Arial" w:cs="Arial"/>
        </w:rPr>
        <w:t>, en el que se compara el incremento en el costo de los tractocamiones con el ahorro en el consumo de combustible de vehículos más eficientes.</w:t>
      </w:r>
    </w:p>
    <w:p w:rsidR="00CD0BA4" w:rsidRDefault="00CD0BA4" w:rsidP="00CD0BA4">
      <w:pPr>
        <w:jc w:val="both"/>
        <w:rPr>
          <w:rFonts w:ascii="Arial" w:hAnsi="Arial" w:cs="Arial"/>
        </w:rPr>
      </w:pPr>
    </w:p>
    <w:p w:rsidR="00CD0BA4" w:rsidRPr="00CD0BA4" w:rsidRDefault="00CD0BA4" w:rsidP="00CD0BA4">
      <w:pPr>
        <w:pStyle w:val="1Titulo"/>
        <w:numPr>
          <w:ilvl w:val="0"/>
          <w:numId w:val="0"/>
        </w:numPr>
        <w:ind w:left="357"/>
        <w:rPr>
          <w:caps/>
        </w:rPr>
      </w:pPr>
      <w:bookmarkStart w:id="321" w:name="_Toc50031369"/>
      <w:r w:rsidRPr="00CD0BA4">
        <w:rPr>
          <w:caps/>
        </w:rPr>
        <w:t>3. V</w:t>
      </w:r>
      <w:r w:rsidRPr="00CD0BA4">
        <w:t>alor presente neto y tasa de descuento</w:t>
      </w:r>
      <w:bookmarkEnd w:id="321"/>
    </w:p>
    <w:p w:rsidR="00CD0BA4" w:rsidRDefault="00CD0BA4" w:rsidP="00CD0BA4">
      <w:pPr>
        <w:jc w:val="both"/>
        <w:rPr>
          <w:rFonts w:ascii="Arial" w:hAnsi="Arial" w:cs="Arial"/>
          <w:lang w:val="es-MX"/>
        </w:rPr>
      </w:pPr>
      <w:r>
        <w:t xml:space="preserve">         </w:t>
      </w:r>
      <w:r w:rsidRPr="00CC5FDD">
        <w:rPr>
          <w:rFonts w:ascii="Arial" w:hAnsi="Arial" w:cs="Arial"/>
          <w:lang w:val="es-MX"/>
        </w:rPr>
        <w:t xml:space="preserve">Supóngase que hoy se realiza una inversión que resultará en entradas o salidas de efectivo en varios puntos del futuro. Un buen inversionista </w:t>
      </w:r>
      <w:r>
        <w:rPr>
          <w:rFonts w:ascii="Arial" w:hAnsi="Arial" w:cs="Arial"/>
          <w:lang w:val="es-MX"/>
        </w:rPr>
        <w:t>es aqué</w:t>
      </w:r>
      <w:r w:rsidRPr="00CC5FDD">
        <w:rPr>
          <w:rFonts w:ascii="Arial" w:hAnsi="Arial" w:cs="Arial"/>
          <w:lang w:val="es-MX"/>
        </w:rPr>
        <w:t xml:space="preserve">l que determina si el total de estos movimientos de dinero resultarán en un valor </w:t>
      </w:r>
      <w:r w:rsidRPr="00CC5FDD">
        <w:rPr>
          <w:rFonts w:ascii="Arial" w:hAnsi="Arial" w:cs="Arial"/>
          <w:bCs/>
          <w:lang w:val="es-MX"/>
        </w:rPr>
        <w:t>mayor</w:t>
      </w:r>
      <w:r w:rsidRPr="00CC5FDD">
        <w:rPr>
          <w:rFonts w:ascii="Arial" w:hAnsi="Arial" w:cs="Arial"/>
          <w:lang w:val="es-MX"/>
        </w:rPr>
        <w:t xml:space="preserve"> a su inversión inicial, de lo contrario, resultaría en una pérdida. El Valor Presente Neto (VPN) es un concepto para englobar la inversión inicial junto con los futuros flujos de efectivo y establecer una medida para el rendimiento </w:t>
      </w:r>
      <w:r w:rsidRPr="00CC5FDD">
        <w:rPr>
          <w:rFonts w:ascii="Arial" w:hAnsi="Arial" w:cs="Arial"/>
          <w:bCs/>
          <w:lang w:val="es-MX"/>
        </w:rPr>
        <w:t>al día de hoy</w:t>
      </w:r>
      <w:r w:rsidRPr="00CC5FDD">
        <w:rPr>
          <w:rFonts w:ascii="Arial" w:hAnsi="Arial" w:cs="Arial"/>
          <w:lang w:val="es-MX"/>
        </w:rPr>
        <w:t xml:space="preserve"> para una inversión. La manera en que se comparan los flujos futuros de efectivo contra el gasto al tiempo presente es mediante una </w:t>
      </w:r>
      <w:r w:rsidRPr="00CC5FDD">
        <w:rPr>
          <w:rFonts w:ascii="Arial" w:hAnsi="Arial" w:cs="Arial"/>
          <w:bCs/>
          <w:lang w:val="es-MX"/>
        </w:rPr>
        <w:t xml:space="preserve">tasa de descuento </w:t>
      </w:r>
      <w:r w:rsidRPr="00CC5FDD">
        <w:rPr>
          <w:rFonts w:ascii="Arial" w:hAnsi="Arial" w:cs="Arial"/>
          <w:bCs/>
          <w:i/>
          <w:iCs/>
          <w:lang w:val="es-MX"/>
        </w:rPr>
        <w:t>r</w:t>
      </w:r>
      <w:r w:rsidRPr="00CC5FDD">
        <w:rPr>
          <w:rFonts w:ascii="Arial" w:hAnsi="Arial" w:cs="Arial"/>
          <w:lang w:val="es-MX"/>
        </w:rPr>
        <w:t xml:space="preserve">, donde el factor </w:t>
      </w:r>
      <m:oMath>
        <m:sSup>
          <m:sSupPr>
            <m:ctrlPr>
              <w:rPr>
                <w:rFonts w:ascii="Cambria Math" w:hAnsi="Cambria Math" w:cs="Arial"/>
                <w:i/>
              </w:rPr>
            </m:ctrlPr>
          </m:sSupPr>
          <m:e>
            <m:r>
              <w:rPr>
                <w:rFonts w:ascii="Cambria Math" w:hAnsi="Cambria Math" w:cs="Arial"/>
              </w:rPr>
              <m:t>(1+r)</m:t>
            </m:r>
          </m:e>
          <m:sup>
            <m:r>
              <w:rPr>
                <w:rFonts w:ascii="Cambria Math" w:hAnsi="Cambria Math" w:cs="Arial"/>
              </w:rPr>
              <m:t>n</m:t>
            </m:r>
          </m:sup>
        </m:sSup>
      </m:oMath>
      <w:r w:rsidRPr="00CC5FDD">
        <w:rPr>
          <w:rFonts w:ascii="Arial" w:hAnsi="Arial" w:cs="Arial"/>
          <w:lang w:val="es-MX"/>
        </w:rPr>
        <w:t xml:space="preserve"> se le aplicará a todos los flujos de efectivo dependiendo del año en que se realicen. De esta forma, definimos el VPN</w:t>
      </w:r>
      <w:r>
        <w:rPr>
          <w:rFonts w:ascii="Arial" w:hAnsi="Arial" w:cs="Arial"/>
          <w:lang w:val="es-MX"/>
        </w:rPr>
        <w:t xml:space="preserve"> en la Ecuación 1.</w:t>
      </w:r>
    </w:p>
    <w:p w:rsidR="00CD0BA4" w:rsidRDefault="00CD0BA4" w:rsidP="00CD0BA4">
      <w:pPr>
        <w:jc w:val="both"/>
        <w:rPr>
          <w:rFonts w:ascii="Arial" w:hAnsi="Arial" w:cs="Arial"/>
          <w:lang w:val="es-MX"/>
        </w:rPr>
      </w:pPr>
    </w:p>
    <w:p w:rsidR="00CD0BA4" w:rsidRPr="00CC5FDD" w:rsidRDefault="00CD0BA4" w:rsidP="00CD0BA4">
      <w:pPr>
        <w:jc w:val="both"/>
        <w:rPr>
          <w:rFonts w:ascii="Arial" w:hAnsi="Arial" w:cs="Arial"/>
          <w:lang w:val="es-MX"/>
        </w:rPr>
      </w:pPr>
      <w:r>
        <w:rPr>
          <w:rFonts w:ascii="Arial" w:hAnsi="Arial" w:cs="Arial"/>
          <w:lang w:val="es-MX" w:eastAsia="es-ES"/>
        </w:rPr>
        <w:t xml:space="preserve">                                                            </w:t>
      </w:r>
      <m:oMath>
        <m:r>
          <w:rPr>
            <w:rFonts w:ascii="Cambria Math" w:eastAsia="Times New Roman" w:hAnsi="Cambria Math" w:cs="Arial"/>
            <w:sz w:val="22"/>
            <w:szCs w:val="22"/>
          </w:rPr>
          <m:t xml:space="preserve">VPN= </m:t>
        </m:r>
        <m:nary>
          <m:naryPr>
            <m:chr m:val="∑"/>
            <m:limLoc m:val="subSup"/>
            <m:supHide m:val="1"/>
            <m:ctrlPr>
              <w:rPr>
                <w:rFonts w:ascii="Cambria Math" w:eastAsia="Times New Roman" w:hAnsi="Cambria Math" w:cs="Arial"/>
                <w:i/>
                <w:sz w:val="22"/>
                <w:szCs w:val="22"/>
              </w:rPr>
            </m:ctrlPr>
          </m:naryPr>
          <m:sub>
            <m:r>
              <w:rPr>
                <w:rFonts w:ascii="Cambria Math" w:eastAsia="Times New Roman" w:hAnsi="Cambria Math" w:cs="Arial"/>
                <w:sz w:val="22"/>
                <w:szCs w:val="22"/>
              </w:rPr>
              <m:t>n</m:t>
            </m:r>
          </m:sub>
          <m:sup/>
          <m:e>
            <m:f>
              <m:fPr>
                <m:ctrlPr>
                  <w:rPr>
                    <w:rFonts w:ascii="Cambria Math" w:eastAsia="Times New Roman" w:hAnsi="Cambria Math" w:cs="Arial"/>
                    <w:i/>
                    <w:sz w:val="22"/>
                    <w:szCs w:val="22"/>
                  </w:rPr>
                </m:ctrlPr>
              </m:fPr>
              <m:num>
                <m:sSub>
                  <m:sSubPr>
                    <m:ctrlPr>
                      <w:rPr>
                        <w:rFonts w:ascii="Cambria Math" w:eastAsia="Times New Roman" w:hAnsi="Cambria Math" w:cs="Arial"/>
                        <w:i/>
                        <w:sz w:val="22"/>
                        <w:szCs w:val="22"/>
                      </w:rPr>
                    </m:ctrlPr>
                  </m:sSubPr>
                  <m:e>
                    <m:r>
                      <w:rPr>
                        <w:rFonts w:ascii="Cambria Math" w:eastAsia="Times New Roman" w:hAnsi="Cambria Math" w:cs="Arial"/>
                        <w:sz w:val="22"/>
                        <w:szCs w:val="22"/>
                      </w:rPr>
                      <m:t>Flujo</m:t>
                    </m:r>
                  </m:e>
                  <m:sub>
                    <m:r>
                      <w:rPr>
                        <w:rFonts w:ascii="Cambria Math" w:eastAsia="Times New Roman" w:hAnsi="Cambria Math" w:cs="Arial"/>
                        <w:sz w:val="22"/>
                        <w:szCs w:val="22"/>
                      </w:rPr>
                      <m:t>n</m:t>
                    </m:r>
                  </m:sub>
                </m:sSub>
              </m:num>
              <m:den>
                <m:sSup>
                  <m:sSupPr>
                    <m:ctrlPr>
                      <w:rPr>
                        <w:rFonts w:ascii="Cambria Math" w:eastAsia="Times New Roman" w:hAnsi="Cambria Math" w:cs="Arial"/>
                        <w:i/>
                        <w:sz w:val="22"/>
                        <w:szCs w:val="22"/>
                      </w:rPr>
                    </m:ctrlPr>
                  </m:sSupPr>
                  <m:e>
                    <m:r>
                      <w:rPr>
                        <w:rFonts w:ascii="Cambria Math" w:eastAsia="Times New Roman" w:hAnsi="Cambria Math" w:cs="Arial"/>
                        <w:sz w:val="22"/>
                        <w:szCs w:val="22"/>
                      </w:rPr>
                      <m:t>(1+r)</m:t>
                    </m:r>
                  </m:e>
                  <m:sup>
                    <m:r>
                      <w:rPr>
                        <w:rFonts w:ascii="Cambria Math" w:eastAsia="Times New Roman" w:hAnsi="Cambria Math" w:cs="Arial"/>
                        <w:sz w:val="22"/>
                        <w:szCs w:val="22"/>
                      </w:rPr>
                      <m:t>n</m:t>
                    </m:r>
                  </m:sup>
                </m:sSup>
              </m:den>
            </m:f>
          </m:e>
        </m:nary>
      </m:oMath>
      <w:r>
        <w:rPr>
          <w:rFonts w:ascii="Arial" w:hAnsi="Arial" w:cs="Arial"/>
          <w:lang w:val="es-MX" w:eastAsia="es-ES"/>
        </w:rPr>
        <w:t xml:space="preserve">                                                     </w:t>
      </w:r>
      <w:r w:rsidRPr="0013368C">
        <w:rPr>
          <w:sz w:val="22"/>
          <w:szCs w:val="22"/>
          <w:lang w:val="es-MX" w:eastAsia="es-ES"/>
        </w:rPr>
        <w:t>(1)</w:t>
      </w:r>
    </w:p>
    <w:p w:rsidR="00CD0BA4" w:rsidRDefault="00CD0BA4" w:rsidP="00CD0BA4">
      <w:pPr>
        <w:jc w:val="both"/>
        <w:rPr>
          <w:rFonts w:ascii="Arial" w:eastAsia="Times New Roman" w:hAnsi="Arial" w:cs="Arial"/>
          <w:lang w:val="es-MX"/>
        </w:rPr>
      </w:pPr>
    </w:p>
    <w:p w:rsidR="00CD0BA4" w:rsidRPr="0021549A" w:rsidRDefault="00CD0BA4" w:rsidP="00CD0BA4">
      <w:pPr>
        <w:jc w:val="both"/>
        <w:rPr>
          <w:rFonts w:ascii="Arial" w:eastAsia="Times New Roman" w:hAnsi="Arial" w:cs="Arial"/>
          <w:lang w:val="es-MX"/>
        </w:rPr>
      </w:pPr>
      <w:r>
        <w:t xml:space="preserve">         </w:t>
      </w:r>
      <w:r>
        <w:rPr>
          <w:rFonts w:ascii="Arial" w:eastAsia="Times New Roman" w:hAnsi="Arial" w:cs="Arial"/>
          <w:lang w:val="es-MX"/>
        </w:rPr>
        <w:t xml:space="preserve">En la Ecuación 1, </w:t>
      </w:r>
      <m:oMath>
        <m:r>
          <w:rPr>
            <w:rFonts w:ascii="Cambria Math" w:hAnsi="Cambria Math"/>
            <w:lang w:val="es-MX"/>
          </w:rPr>
          <m:t>Fluj</m:t>
        </m:r>
        <m:sSub>
          <m:sSubPr>
            <m:ctrlPr>
              <w:rPr>
                <w:rFonts w:ascii="Cambria Math" w:hAnsi="Cambria Math"/>
                <w:i/>
                <w:lang w:val="es-MX"/>
              </w:rPr>
            </m:ctrlPr>
          </m:sSubPr>
          <m:e>
            <m:r>
              <w:rPr>
                <w:rFonts w:ascii="Cambria Math" w:hAnsi="Cambria Math"/>
                <w:lang w:val="es-MX"/>
              </w:rPr>
              <m:t>o</m:t>
            </m:r>
          </m:e>
          <m:sub>
            <m:r>
              <w:rPr>
                <w:rFonts w:ascii="Cambria Math" w:hAnsi="Cambria Math"/>
                <w:lang w:val="es-MX"/>
              </w:rPr>
              <m:t>n</m:t>
            </m:r>
          </m:sub>
        </m:sSub>
      </m:oMath>
      <w:r w:rsidRPr="004B3E74">
        <w:rPr>
          <w:rFonts w:ascii="Arial" w:eastAsia="Times New Roman" w:hAnsi="Arial" w:cs="Arial"/>
          <w:lang w:val="es-MX"/>
        </w:rPr>
        <w:t xml:space="preserve"> es el flujo de efectivo en el año n</w:t>
      </w:r>
      <w:r>
        <w:rPr>
          <w:rFonts w:ascii="Arial" w:eastAsia="Times New Roman" w:hAnsi="Arial" w:cs="Arial"/>
          <w:lang w:val="es-MX"/>
        </w:rPr>
        <w:t xml:space="preserve"> y r</w:t>
      </w:r>
      <w:r w:rsidRPr="004B3E74">
        <w:rPr>
          <w:rFonts w:ascii="Arial" w:eastAsia="Times New Roman" w:hAnsi="Arial" w:cs="Arial"/>
          <w:lang w:val="es-MX"/>
        </w:rPr>
        <w:t xml:space="preserve"> es la tasa de descuento</w:t>
      </w:r>
      <w:r>
        <w:rPr>
          <w:rFonts w:ascii="Arial" w:eastAsia="Times New Roman" w:hAnsi="Arial" w:cs="Arial"/>
          <w:lang w:val="es-MX"/>
        </w:rPr>
        <w:t>.</w:t>
      </w:r>
    </w:p>
    <w:p w:rsidR="00CD0BA4" w:rsidRPr="004B3E74" w:rsidRDefault="00CD0BA4" w:rsidP="00CD0BA4">
      <w:pPr>
        <w:jc w:val="both"/>
        <w:rPr>
          <w:rFonts w:ascii="Arial" w:hAnsi="Arial" w:cs="Arial"/>
          <w:lang w:val="es-MX"/>
        </w:rPr>
      </w:pPr>
      <w:r>
        <w:t xml:space="preserve">         </w:t>
      </w:r>
      <w:r w:rsidRPr="00CC5FDD">
        <w:rPr>
          <w:rFonts w:ascii="Arial" w:hAnsi="Arial" w:cs="Arial"/>
          <w:lang w:val="es-MX"/>
        </w:rPr>
        <w:t>Para el caso de tractocamiones, se ut</w:t>
      </w:r>
      <w:r>
        <w:rPr>
          <w:rFonts w:ascii="Arial" w:hAnsi="Arial" w:cs="Arial"/>
          <w:lang w:val="es-MX"/>
        </w:rPr>
        <w:t>iliza el VPN</w:t>
      </w:r>
      <w:r w:rsidRPr="00CC5FDD">
        <w:rPr>
          <w:rFonts w:ascii="Arial" w:hAnsi="Arial" w:cs="Arial"/>
          <w:lang w:val="es-MX"/>
        </w:rPr>
        <w:t xml:space="preserve"> como medida para </w:t>
      </w:r>
      <w:r>
        <w:rPr>
          <w:rFonts w:ascii="Arial" w:hAnsi="Arial" w:cs="Arial"/>
          <w:lang w:val="es-MX"/>
        </w:rPr>
        <w:t>saber en qué casos se presenta</w:t>
      </w:r>
      <w:r w:rsidRPr="00CC5FDD">
        <w:rPr>
          <w:rFonts w:ascii="Arial" w:hAnsi="Arial" w:cs="Arial"/>
          <w:lang w:val="es-MX"/>
        </w:rPr>
        <w:t xml:space="preserve">n ganancias al invertir en vehículos eficientes. El objetivo de este modelo es comparar si los ahorros en diésel del vehículo eficiente (la diferencia entre el costo del diésel para el vehículo convencional y el costo del diésel para operar el vehículo eficiente) será </w:t>
      </w:r>
      <w:r w:rsidRPr="00CC5FDD">
        <w:rPr>
          <w:rFonts w:ascii="Arial" w:hAnsi="Arial" w:cs="Arial"/>
          <w:bCs/>
          <w:lang w:val="es-MX"/>
        </w:rPr>
        <w:t xml:space="preserve">mayor al día de hoy </w:t>
      </w:r>
      <w:r w:rsidRPr="00CC5FDD">
        <w:rPr>
          <w:rFonts w:ascii="Arial" w:hAnsi="Arial" w:cs="Arial"/>
          <w:lang w:val="es-MX"/>
        </w:rPr>
        <w:t>a la prima por adqui</w:t>
      </w:r>
      <w:r>
        <w:rPr>
          <w:rFonts w:ascii="Arial" w:hAnsi="Arial" w:cs="Arial"/>
          <w:lang w:val="es-MX"/>
        </w:rPr>
        <w:t>rir un vehículo eficiente, o sea</w:t>
      </w:r>
      <w:r w:rsidRPr="00CC5FDD">
        <w:rPr>
          <w:rFonts w:ascii="Arial" w:hAnsi="Arial" w:cs="Arial"/>
          <w:lang w:val="es-MX"/>
        </w:rPr>
        <w:t xml:space="preserve">, el exceso del costo del vehículo eficiente sobre el </w:t>
      </w:r>
      <w:r>
        <w:rPr>
          <w:rFonts w:ascii="Arial" w:hAnsi="Arial" w:cs="Arial"/>
          <w:lang w:val="es-MX"/>
        </w:rPr>
        <w:t xml:space="preserve">del </w:t>
      </w:r>
      <w:r w:rsidRPr="00CC5FDD">
        <w:rPr>
          <w:rFonts w:ascii="Arial" w:hAnsi="Arial" w:cs="Arial"/>
          <w:lang w:val="es-MX"/>
        </w:rPr>
        <w:t>vehículo convencional.</w:t>
      </w:r>
    </w:p>
    <w:p w:rsidR="00CD0BA4" w:rsidRDefault="00CD0BA4" w:rsidP="00CD0BA4">
      <w:pPr>
        <w:jc w:val="both"/>
        <w:rPr>
          <w:rFonts w:ascii="Arial" w:hAnsi="Arial" w:cs="Arial"/>
          <w:lang w:val="es-MX"/>
        </w:rPr>
      </w:pPr>
      <w:r>
        <w:t xml:space="preserve">         </w:t>
      </w:r>
      <w:r w:rsidRPr="00A23CFB">
        <w:rPr>
          <w:rFonts w:ascii="Arial" w:hAnsi="Arial" w:cs="Arial"/>
          <w:lang w:val="es-MX"/>
        </w:rPr>
        <w:t xml:space="preserve">Definimos la </w:t>
      </w:r>
      <w:r w:rsidRPr="00A23CFB">
        <w:rPr>
          <w:rFonts w:ascii="Arial" w:hAnsi="Arial" w:cs="Arial"/>
          <w:bCs/>
          <w:lang w:val="es-MX"/>
        </w:rPr>
        <w:t>tasa interna de retorno</w:t>
      </w:r>
      <w:r>
        <w:rPr>
          <w:rFonts w:ascii="Arial" w:hAnsi="Arial" w:cs="Arial"/>
          <w:lang w:val="es-MX"/>
        </w:rPr>
        <w:t xml:space="preserve"> (</w:t>
      </w:r>
      <w:r w:rsidRPr="00A23CFB">
        <w:rPr>
          <w:rFonts w:ascii="Arial" w:hAnsi="Arial" w:cs="Arial"/>
          <w:lang w:val="es-MX"/>
        </w:rPr>
        <w:t>r</w:t>
      </w:r>
      <w:r>
        <w:rPr>
          <w:rFonts w:ascii="Arial" w:hAnsi="Arial" w:cs="Arial"/>
          <w:lang w:val="es-MX"/>
        </w:rPr>
        <w:t>et</w:t>
      </w:r>
      <w:r w:rsidRPr="00A23CFB">
        <w:rPr>
          <w:rFonts w:ascii="Arial" w:hAnsi="Arial" w:cs="Arial"/>
          <w:lang w:val="es-MX"/>
        </w:rPr>
        <w:t>) como la tasa de descuento tal que el VPN tome el valor de cero, es decir, la inversión no res</w:t>
      </w:r>
      <w:r>
        <w:rPr>
          <w:rFonts w:ascii="Arial" w:hAnsi="Arial" w:cs="Arial"/>
          <w:lang w:val="es-MX"/>
        </w:rPr>
        <w:t>ultará en pérdidas ni ganancias como se muestra en la Ecuación 2.</w:t>
      </w:r>
    </w:p>
    <w:p w:rsidR="00CD0BA4" w:rsidRDefault="00CD0BA4" w:rsidP="00CD0BA4">
      <w:pPr>
        <w:jc w:val="both"/>
        <w:rPr>
          <w:rFonts w:ascii="Arial" w:hAnsi="Arial" w:cs="Arial"/>
          <w:lang w:val="es-MX"/>
        </w:rPr>
      </w:pPr>
    </w:p>
    <w:p w:rsidR="00CD0BA4" w:rsidRPr="004243EC" w:rsidRDefault="00CD0BA4" w:rsidP="00CD0BA4">
      <w:pPr>
        <w:jc w:val="both"/>
        <w:rPr>
          <w:rFonts w:ascii="Arial" w:hAnsi="Arial" w:cs="Arial"/>
          <w:lang w:val="es-MX"/>
        </w:rPr>
      </w:pPr>
      <w:r>
        <w:rPr>
          <w:rFonts w:ascii="Arial" w:hAnsi="Arial" w:cs="Arial"/>
          <w:lang w:val="es-MX" w:eastAsia="es-ES"/>
        </w:rPr>
        <w:t xml:space="preserve">                                                               </w:t>
      </w:r>
      <m:oMath>
        <m:nary>
          <m:naryPr>
            <m:chr m:val="∑"/>
            <m:limLoc m:val="undOvr"/>
            <m:supHide m:val="1"/>
            <m:ctrlPr>
              <w:rPr>
                <w:rFonts w:ascii="Cambria Math" w:hAnsi="Cambria Math" w:cs="Arial"/>
                <w:i/>
                <w:sz w:val="22"/>
                <w:szCs w:val="22"/>
              </w:rPr>
            </m:ctrlPr>
          </m:naryPr>
          <m:sub>
            <m:r>
              <w:rPr>
                <w:rFonts w:ascii="Cambria Math" w:hAnsi="Cambria Math" w:cs="Arial"/>
                <w:sz w:val="22"/>
                <w:szCs w:val="22"/>
              </w:rPr>
              <m:t>n</m:t>
            </m:r>
          </m:sub>
          <m:sup/>
          <m:e>
            <m:f>
              <m:fPr>
                <m:ctrlPr>
                  <w:rPr>
                    <w:rFonts w:ascii="Cambria Math" w:hAnsi="Cambria Math" w:cs="Arial"/>
                    <w:i/>
                    <w:sz w:val="22"/>
                    <w:szCs w:val="22"/>
                  </w:rPr>
                </m:ctrlPr>
              </m:fPr>
              <m:num>
                <m:sSub>
                  <m:sSubPr>
                    <m:ctrlPr>
                      <w:rPr>
                        <w:rFonts w:ascii="Cambria Math" w:hAnsi="Cambria Math" w:cs="Arial"/>
                        <w:i/>
                        <w:sz w:val="22"/>
                        <w:szCs w:val="22"/>
                      </w:rPr>
                    </m:ctrlPr>
                  </m:sSubPr>
                  <m:e>
                    <m:r>
                      <w:rPr>
                        <w:rFonts w:ascii="Cambria Math" w:hAnsi="Cambria Math" w:cs="Arial"/>
                        <w:sz w:val="22"/>
                        <w:szCs w:val="22"/>
                      </w:rPr>
                      <m:t>Flujo</m:t>
                    </m:r>
                  </m:e>
                  <m:sub>
                    <m:r>
                      <w:rPr>
                        <w:rFonts w:ascii="Cambria Math" w:hAnsi="Cambria Math" w:cs="Arial"/>
                        <w:sz w:val="22"/>
                        <w:szCs w:val="22"/>
                      </w:rPr>
                      <m:t>n</m:t>
                    </m:r>
                  </m:sub>
                </m:sSub>
              </m:num>
              <m:den>
                <m:sSup>
                  <m:sSupPr>
                    <m:ctrlPr>
                      <w:rPr>
                        <w:rFonts w:ascii="Cambria Math" w:hAnsi="Cambria Math" w:cs="Arial"/>
                        <w:i/>
                        <w:sz w:val="22"/>
                        <w:szCs w:val="22"/>
                      </w:rPr>
                    </m:ctrlPr>
                  </m:sSupPr>
                  <m:e>
                    <m:r>
                      <w:rPr>
                        <w:rFonts w:ascii="Cambria Math" w:hAnsi="Cambria Math" w:cs="Arial"/>
                        <w:sz w:val="22"/>
                        <w:szCs w:val="22"/>
                      </w:rPr>
                      <m:t>(1+ret)</m:t>
                    </m:r>
                  </m:e>
                  <m:sup>
                    <m:r>
                      <w:rPr>
                        <w:rFonts w:ascii="Cambria Math" w:hAnsi="Cambria Math" w:cs="Arial"/>
                        <w:sz w:val="22"/>
                        <w:szCs w:val="22"/>
                      </w:rPr>
                      <m:t>n</m:t>
                    </m:r>
                  </m:sup>
                </m:sSup>
              </m:den>
            </m:f>
          </m:e>
        </m:nary>
        <m:r>
          <w:rPr>
            <w:rFonts w:ascii="Cambria Math" w:hAnsi="Cambria Math" w:cs="Arial"/>
            <w:sz w:val="22"/>
            <w:szCs w:val="22"/>
          </w:rPr>
          <m:t>=0</m:t>
        </m:r>
      </m:oMath>
      <w:r w:rsidRPr="00053ED7">
        <w:rPr>
          <w:rFonts w:ascii="Arial" w:hAnsi="Arial" w:cs="Arial"/>
        </w:rPr>
        <w:t xml:space="preserve"> </w:t>
      </w:r>
      <w:r>
        <w:rPr>
          <w:rFonts w:ascii="Arial" w:hAnsi="Arial" w:cs="Arial"/>
          <w:lang w:val="es-MX" w:eastAsia="es-ES"/>
        </w:rPr>
        <w:t xml:space="preserve">         </w:t>
      </w:r>
      <w:r w:rsidRPr="00053ED7">
        <w:rPr>
          <w:rFonts w:ascii="Arial" w:hAnsi="Arial" w:cs="Arial"/>
        </w:rPr>
        <w:t xml:space="preserve">                                </w:t>
      </w:r>
      <w:r>
        <w:rPr>
          <w:rFonts w:ascii="Arial" w:hAnsi="Arial" w:cs="Arial"/>
        </w:rPr>
        <w:t xml:space="preserve">  </w:t>
      </w:r>
      <w:r w:rsidRPr="00053ED7">
        <w:rPr>
          <w:rFonts w:ascii="Arial" w:hAnsi="Arial" w:cs="Arial"/>
        </w:rPr>
        <w:t xml:space="preserve">        </w:t>
      </w:r>
      <w:r w:rsidRPr="00C67D7D">
        <w:rPr>
          <w:sz w:val="22"/>
          <w:szCs w:val="22"/>
        </w:rPr>
        <w:t>(2)</w:t>
      </w:r>
    </w:p>
    <w:p w:rsidR="00CD0BA4" w:rsidRPr="00285D38" w:rsidRDefault="00CD0BA4" w:rsidP="00CD0BA4">
      <w:pPr>
        <w:jc w:val="both"/>
        <w:rPr>
          <w:rFonts w:ascii="Arial" w:eastAsia="Times New Roman" w:hAnsi="Arial" w:cs="Arial"/>
        </w:rPr>
      </w:pPr>
    </w:p>
    <w:p w:rsidR="00CD0BA4" w:rsidRDefault="00CD0BA4" w:rsidP="00CD0BA4">
      <w:pPr>
        <w:jc w:val="both"/>
        <w:rPr>
          <w:rFonts w:ascii="Arial" w:hAnsi="Arial" w:cs="Arial"/>
          <w:lang w:val="es-MX"/>
        </w:rPr>
      </w:pPr>
      <w:r w:rsidRPr="00795AA7">
        <w:rPr>
          <w:rFonts w:ascii="Arial" w:hAnsi="Arial" w:cs="Arial"/>
          <w:lang w:val="es-MX"/>
        </w:rPr>
        <w:t>Supongamos que el tr</w:t>
      </w:r>
      <w:r>
        <w:rPr>
          <w:rFonts w:ascii="Arial" w:hAnsi="Arial" w:cs="Arial"/>
          <w:lang w:val="es-MX"/>
        </w:rPr>
        <w:t>actocamión B con consumo de 0.255</w:t>
      </w:r>
      <w:r w:rsidRPr="00795AA7">
        <w:rPr>
          <w:rFonts w:ascii="Arial" w:hAnsi="Arial" w:cs="Arial"/>
          <w:lang w:val="es-MX"/>
        </w:rPr>
        <w:t xml:space="preserve"> litros de diésel por kilómetro </w:t>
      </w:r>
      <w:r>
        <w:rPr>
          <w:rFonts w:ascii="Arial" w:hAnsi="Arial" w:cs="Arial"/>
          <w:lang w:val="es-MX"/>
        </w:rPr>
        <w:t>recorrido tiene un costo de $</w:t>
      </w:r>
      <w:r w:rsidRPr="00855799">
        <w:rPr>
          <w:rFonts w:ascii="Arial" w:hAnsi="Arial" w:cs="Arial"/>
          <w:lang w:val="es-MX"/>
        </w:rPr>
        <w:t>3025946.875</w:t>
      </w:r>
      <w:r w:rsidRPr="00795AA7">
        <w:rPr>
          <w:rFonts w:ascii="Arial" w:hAnsi="Arial" w:cs="Arial"/>
          <w:lang w:val="es-MX"/>
        </w:rPr>
        <w:t>, contra el tractocamión A con consumo de 0.3 litros de diésel po</w:t>
      </w:r>
      <w:r>
        <w:rPr>
          <w:rFonts w:ascii="Arial" w:hAnsi="Arial" w:cs="Arial"/>
          <w:lang w:val="es-MX"/>
        </w:rPr>
        <w:t>r kilómetro con un costo de $2,8</w:t>
      </w:r>
      <w:r w:rsidRPr="00795AA7">
        <w:rPr>
          <w:rFonts w:ascii="Arial" w:hAnsi="Arial" w:cs="Arial"/>
          <w:lang w:val="es-MX"/>
        </w:rPr>
        <w:t>00,000. Como se pued</w:t>
      </w:r>
      <w:r>
        <w:rPr>
          <w:rFonts w:ascii="Arial" w:hAnsi="Arial" w:cs="Arial"/>
          <w:lang w:val="es-MX"/>
        </w:rPr>
        <w:t>e observar, el vehículo A es menos</w:t>
      </w:r>
      <w:r w:rsidRPr="00795AA7">
        <w:rPr>
          <w:rFonts w:ascii="Arial" w:hAnsi="Arial" w:cs="Arial"/>
          <w:lang w:val="es-MX"/>
        </w:rPr>
        <w:t xml:space="preserve"> eficiente por lo que su costo inicial es menor. Para este modelo, tomaremos en cuenta el desgaste del vehículo, es decir, después de cada año el vehículo consumirá más combustible que el añ</w:t>
      </w:r>
      <w:r>
        <w:rPr>
          <w:rFonts w:ascii="Arial" w:hAnsi="Arial" w:cs="Arial"/>
          <w:lang w:val="es-MX"/>
        </w:rPr>
        <w:t>o anterior, aumentando su consumo en 0.1992% cada año. Se supone que en el año 2021 comienzan a operar los vehículos e inicialmente recorren 70000 kilómetros</w:t>
      </w:r>
      <w:r w:rsidRPr="00795AA7">
        <w:rPr>
          <w:rFonts w:ascii="Arial" w:hAnsi="Arial" w:cs="Arial"/>
          <w:lang w:val="es-MX"/>
        </w:rPr>
        <w:t xml:space="preserve"> </w:t>
      </w:r>
      <w:r>
        <w:rPr>
          <w:rFonts w:ascii="Arial" w:hAnsi="Arial" w:cs="Arial"/>
          <w:lang w:val="es-MX"/>
        </w:rPr>
        <w:t xml:space="preserve">y cada año posterior </w:t>
      </w:r>
      <w:r w:rsidRPr="00795AA7">
        <w:rPr>
          <w:rFonts w:ascii="Arial" w:hAnsi="Arial" w:cs="Arial"/>
          <w:lang w:val="es-MX"/>
        </w:rPr>
        <w:t>se reducirá su reco</w:t>
      </w:r>
      <w:r>
        <w:rPr>
          <w:rFonts w:ascii="Arial" w:hAnsi="Arial" w:cs="Arial"/>
          <w:lang w:val="es-MX"/>
        </w:rPr>
        <w:t>rrido en 1,000 km. Se considera el costo de un litro de diésel en $20.50 pesos que se incrementa anualmente en un 3.4%. La T</w:t>
      </w:r>
      <w:r w:rsidRPr="00795AA7">
        <w:rPr>
          <w:rFonts w:ascii="Arial" w:hAnsi="Arial" w:cs="Arial"/>
          <w:lang w:val="es-MX"/>
        </w:rPr>
        <w:t xml:space="preserve">abla </w:t>
      </w:r>
      <w:r>
        <w:rPr>
          <w:rFonts w:ascii="Arial" w:hAnsi="Arial" w:cs="Arial"/>
          <w:lang w:val="es-MX"/>
        </w:rPr>
        <w:t xml:space="preserve">1 </w:t>
      </w:r>
      <w:r w:rsidRPr="00795AA7">
        <w:rPr>
          <w:rFonts w:ascii="Arial" w:hAnsi="Arial" w:cs="Arial"/>
          <w:lang w:val="es-MX"/>
        </w:rPr>
        <w:t>muestra los costos del diésel en los siguientes cinco años detalland</w:t>
      </w:r>
      <w:r>
        <w:rPr>
          <w:rFonts w:ascii="Arial" w:hAnsi="Arial" w:cs="Arial"/>
          <w:lang w:val="es-MX"/>
        </w:rPr>
        <w:t>o el consumo de cada vehículo.</w:t>
      </w:r>
    </w:p>
    <w:p w:rsidR="00CD0BA4" w:rsidRDefault="00CD0BA4" w:rsidP="00CD0BA4">
      <w:pPr>
        <w:jc w:val="both"/>
        <w:rPr>
          <w:rFonts w:ascii="Arial" w:hAnsi="Arial" w:cs="Arial"/>
          <w:lang w:val="es-MX"/>
        </w:rPr>
      </w:pPr>
    </w:p>
    <w:p w:rsidR="00CD0BA4" w:rsidRDefault="00CD0BA4" w:rsidP="00CD0BA4">
      <w:pPr>
        <w:jc w:val="center"/>
        <w:rPr>
          <w:i/>
          <w:sz w:val="20"/>
          <w:szCs w:val="20"/>
          <w:lang w:val="es-MX"/>
        </w:rPr>
      </w:pPr>
      <w:r w:rsidRPr="001D7CB7">
        <w:rPr>
          <w:i/>
          <w:sz w:val="20"/>
          <w:szCs w:val="20"/>
          <w:lang w:val="es-MX"/>
        </w:rPr>
        <w:t xml:space="preserve">Tabla 1. Costos de operación </w:t>
      </w:r>
      <w:r>
        <w:rPr>
          <w:i/>
          <w:sz w:val="20"/>
          <w:szCs w:val="20"/>
          <w:lang w:val="es-MX"/>
        </w:rPr>
        <w:t>en 5 años</w:t>
      </w:r>
      <w:r w:rsidRPr="001D7CB7">
        <w:rPr>
          <w:i/>
          <w:sz w:val="20"/>
          <w:szCs w:val="20"/>
          <w:lang w:val="es-MX"/>
        </w:rPr>
        <w:t xml:space="preserve"> de dos vehículos con eficiencias energéticas diferentes.</w:t>
      </w:r>
    </w:p>
    <w:p w:rsidR="00CD0BA4" w:rsidRDefault="00CD0BA4" w:rsidP="00CD0BA4">
      <w:pPr>
        <w:jc w:val="center"/>
        <w:rPr>
          <w:i/>
          <w:sz w:val="20"/>
          <w:szCs w:val="20"/>
          <w:lang w:val="es-MX"/>
        </w:rPr>
      </w:pPr>
      <w:r w:rsidRPr="00EF0645">
        <w:rPr>
          <w:noProof/>
          <w:lang w:val="en-US"/>
        </w:rPr>
        <w:drawing>
          <wp:inline distT="0" distB="0" distL="0" distR="0" wp14:anchorId="09A73BB9" wp14:editId="6FAAD802">
            <wp:extent cx="5972175" cy="1114425"/>
            <wp:effectExtent l="0" t="0" r="9525" b="9525"/>
            <wp:docPr id="2026623699" name="Imagen 2026623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5972175" cy="1114425"/>
                    </a:xfrm>
                    <a:prstGeom prst="rect">
                      <a:avLst/>
                    </a:prstGeom>
                    <a:noFill/>
                    <a:ln>
                      <a:noFill/>
                    </a:ln>
                  </pic:spPr>
                </pic:pic>
              </a:graphicData>
            </a:graphic>
          </wp:inline>
        </w:drawing>
      </w:r>
    </w:p>
    <w:p w:rsidR="00CD0BA4" w:rsidRPr="00EF0645" w:rsidRDefault="00CD0BA4" w:rsidP="00CD0BA4">
      <w:pPr>
        <w:jc w:val="center"/>
        <w:rPr>
          <w:i/>
          <w:sz w:val="20"/>
          <w:szCs w:val="20"/>
          <w:lang w:val="es-MX"/>
        </w:rPr>
      </w:pPr>
    </w:p>
    <w:p w:rsidR="00CD0BA4" w:rsidRDefault="00CD0BA4" w:rsidP="00CD0BA4">
      <w:pPr>
        <w:jc w:val="both"/>
        <w:rPr>
          <w:rFonts w:ascii="Arial" w:hAnsi="Arial" w:cs="Arial"/>
          <w:lang w:val="es-MX"/>
        </w:rPr>
      </w:pPr>
      <w:r w:rsidRPr="00795AA7">
        <w:rPr>
          <w:rFonts w:ascii="Arial" w:hAnsi="Arial" w:cs="Arial"/>
        </w:rPr>
        <w:t xml:space="preserve">         </w:t>
      </w:r>
      <w:r w:rsidRPr="00ED04FF">
        <w:rPr>
          <w:rFonts w:ascii="Arial" w:hAnsi="Arial" w:cs="Arial"/>
          <w:lang w:val="es-MX"/>
        </w:rPr>
        <w:t>Para este ejemplo, la inversión inicial será la diferencia entre el precio de los dos ve</w:t>
      </w:r>
      <w:r>
        <w:rPr>
          <w:rFonts w:ascii="Arial" w:hAnsi="Arial" w:cs="Arial"/>
          <w:lang w:val="es-MX"/>
        </w:rPr>
        <w:t>hículos, siendo de $225,946.875</w:t>
      </w:r>
      <w:r w:rsidRPr="00ED04FF">
        <w:rPr>
          <w:rFonts w:ascii="Arial" w:hAnsi="Arial" w:cs="Arial"/>
          <w:lang w:val="es-MX"/>
        </w:rPr>
        <w:t>. Los ahorros serán las diferencias entre el costo del diésel para operar el vehículo A contra el</w:t>
      </w:r>
      <w:r>
        <w:rPr>
          <w:rFonts w:ascii="Arial" w:hAnsi="Arial" w:cs="Arial"/>
          <w:lang w:val="es-MX"/>
        </w:rPr>
        <w:t xml:space="preserve"> del</w:t>
      </w:r>
      <w:r w:rsidRPr="00ED04FF">
        <w:rPr>
          <w:rFonts w:ascii="Arial" w:hAnsi="Arial" w:cs="Arial"/>
          <w:lang w:val="es-MX"/>
        </w:rPr>
        <w:t xml:space="preserve"> vehí</w:t>
      </w:r>
      <w:r>
        <w:rPr>
          <w:rFonts w:ascii="Arial" w:hAnsi="Arial" w:cs="Arial"/>
          <w:lang w:val="es-MX"/>
        </w:rPr>
        <w:t>culo B. En el cálculo</w:t>
      </w:r>
      <w:r w:rsidRPr="00ED04FF">
        <w:rPr>
          <w:rFonts w:ascii="Arial" w:hAnsi="Arial" w:cs="Arial"/>
          <w:lang w:val="es-MX"/>
        </w:rPr>
        <w:t xml:space="preserve"> del VPN, la in</w:t>
      </w:r>
      <w:r>
        <w:rPr>
          <w:rFonts w:ascii="Arial" w:hAnsi="Arial" w:cs="Arial"/>
          <w:lang w:val="es-MX"/>
        </w:rPr>
        <w:t>versión inicial será de -225,946.875</w:t>
      </w:r>
      <w:r w:rsidRPr="00ED04FF">
        <w:rPr>
          <w:rFonts w:ascii="Arial" w:hAnsi="Arial" w:cs="Arial"/>
          <w:lang w:val="es-MX"/>
        </w:rPr>
        <w:t xml:space="preserve"> (prima para el vehículo eficiente) y los flujos de efectivo serán los ahorros de cada </w:t>
      </w:r>
      <w:r>
        <w:rPr>
          <w:rFonts w:ascii="Arial" w:hAnsi="Arial" w:cs="Arial"/>
          <w:lang w:val="es-MX"/>
        </w:rPr>
        <w:t>año. De esta forma, el VPN será como se muestra en la Ecuación 3.</w:t>
      </w:r>
    </w:p>
    <w:p w:rsidR="00CD0BA4" w:rsidRDefault="00CD0BA4" w:rsidP="00CD0BA4">
      <w:pPr>
        <w:jc w:val="both"/>
        <w:rPr>
          <w:rFonts w:ascii="Arial" w:hAnsi="Arial" w:cs="Arial"/>
          <w:lang w:val="es-MX"/>
        </w:rPr>
      </w:pPr>
    </w:p>
    <w:p w:rsidR="00CD0BA4" w:rsidRPr="009B2765" w:rsidRDefault="00CD0BA4" w:rsidP="00CD0BA4">
      <w:pPr>
        <w:jc w:val="center"/>
        <w:rPr>
          <w:sz w:val="20"/>
          <w:szCs w:val="20"/>
        </w:rPr>
      </w:pPr>
      <w:r>
        <w:rPr>
          <w:sz w:val="20"/>
          <w:szCs w:val="20"/>
        </w:rPr>
        <w:t xml:space="preserve">                    </w:t>
      </w:r>
      <m:oMath>
        <m:r>
          <w:rPr>
            <w:rFonts w:ascii="Cambria Math" w:hAnsi="Cambria Math" w:cs="Arial"/>
            <w:sz w:val="22"/>
            <w:szCs w:val="22"/>
          </w:rPr>
          <m:t>VPN= -</m:t>
        </m:r>
        <m:r>
          <m:rPr>
            <m:sty m:val="p"/>
          </m:rPr>
          <w:rPr>
            <w:rFonts w:ascii="Cambria Math" w:hAnsi="Cambria Math" w:cs="Arial"/>
            <w:sz w:val="22"/>
            <w:szCs w:val="22"/>
          </w:rPr>
          <m:t xml:space="preserve">225,946.875 </m:t>
        </m:r>
        <m:r>
          <w:rPr>
            <w:rFonts w:ascii="Cambria Math" w:hAnsi="Cambria Math" w:cs="Arial"/>
            <w:sz w:val="22"/>
            <w:szCs w:val="22"/>
          </w:rPr>
          <m:t>+</m:t>
        </m:r>
        <m:f>
          <m:fPr>
            <m:ctrlPr>
              <w:rPr>
                <w:rFonts w:ascii="Cambria Math" w:hAnsi="Cambria Math" w:cs="Arial"/>
                <w:i/>
                <w:sz w:val="22"/>
                <w:szCs w:val="22"/>
              </w:rPr>
            </m:ctrlPr>
          </m:fPr>
          <m:num>
            <m:r>
              <w:rPr>
                <w:rFonts w:ascii="Cambria Math" w:hAnsi="Cambria Math" w:cs="Arial"/>
                <w:sz w:val="22"/>
                <w:szCs w:val="22"/>
              </w:rPr>
              <m:t>63,000</m:t>
            </m:r>
          </m:num>
          <m:den>
            <m:sSup>
              <m:sSupPr>
                <m:ctrlPr>
                  <w:rPr>
                    <w:rFonts w:ascii="Cambria Math" w:hAnsi="Cambria Math" w:cs="Arial"/>
                    <w:i/>
                    <w:sz w:val="22"/>
                    <w:szCs w:val="22"/>
                  </w:rPr>
                </m:ctrlPr>
              </m:sSupPr>
              <m:e>
                <m:r>
                  <w:rPr>
                    <w:rFonts w:ascii="Cambria Math" w:hAnsi="Cambria Math" w:cs="Arial"/>
                    <w:sz w:val="22"/>
                    <w:szCs w:val="22"/>
                  </w:rPr>
                  <m:t>(1+ret)</m:t>
                </m:r>
              </m:e>
              <m:sup>
                <m:r>
                  <w:rPr>
                    <w:rFonts w:ascii="Cambria Math" w:hAnsi="Cambria Math" w:cs="Arial"/>
                    <w:sz w:val="22"/>
                    <w:szCs w:val="22"/>
                  </w:rPr>
                  <m:t>1</m:t>
                </m:r>
              </m:sup>
            </m:sSup>
          </m:den>
        </m:f>
        <m:r>
          <w:rPr>
            <w:rFonts w:ascii="Cambria Math" w:hAnsi="Cambria Math" w:cs="Arial"/>
            <w:sz w:val="22"/>
            <w:szCs w:val="22"/>
          </w:rPr>
          <m:t>+</m:t>
        </m:r>
        <m:f>
          <m:fPr>
            <m:ctrlPr>
              <w:rPr>
                <w:rFonts w:ascii="Cambria Math" w:hAnsi="Cambria Math" w:cs="Arial"/>
                <w:i/>
                <w:sz w:val="22"/>
                <w:szCs w:val="22"/>
              </w:rPr>
            </m:ctrlPr>
          </m:fPr>
          <m:num>
            <m:r>
              <w:rPr>
                <w:rFonts w:ascii="Cambria Math" w:hAnsi="Cambria Math" w:cs="Arial"/>
                <w:sz w:val="22"/>
                <w:szCs w:val="22"/>
              </w:rPr>
              <m:t>64,339.31</m:t>
            </m:r>
          </m:num>
          <m:den>
            <m:sSup>
              <m:sSupPr>
                <m:ctrlPr>
                  <w:rPr>
                    <w:rFonts w:ascii="Cambria Math" w:hAnsi="Cambria Math" w:cs="Arial"/>
                    <w:i/>
                    <w:sz w:val="22"/>
                    <w:szCs w:val="22"/>
                  </w:rPr>
                </m:ctrlPr>
              </m:sSupPr>
              <m:e>
                <m:r>
                  <w:rPr>
                    <w:rFonts w:ascii="Cambria Math" w:hAnsi="Cambria Math" w:cs="Arial"/>
                    <w:sz w:val="22"/>
                    <w:szCs w:val="22"/>
                  </w:rPr>
                  <m:t>(1+ret)</m:t>
                </m:r>
              </m:e>
              <m:sup>
                <m:r>
                  <w:rPr>
                    <w:rFonts w:ascii="Cambria Math" w:hAnsi="Cambria Math" w:cs="Arial"/>
                    <w:sz w:val="22"/>
                    <w:szCs w:val="22"/>
                  </w:rPr>
                  <m:t>2</m:t>
                </m:r>
              </m:sup>
            </m:sSup>
          </m:den>
        </m:f>
        <m:r>
          <w:rPr>
            <w:rFonts w:ascii="Cambria Math" w:hAnsi="Cambria Math" w:cs="Arial"/>
            <w:sz w:val="22"/>
            <w:szCs w:val="22"/>
          </w:rPr>
          <m:t>+</m:t>
        </m:r>
        <m:f>
          <m:fPr>
            <m:ctrlPr>
              <w:rPr>
                <w:rFonts w:ascii="Cambria Math" w:hAnsi="Cambria Math" w:cs="Arial"/>
                <w:i/>
                <w:sz w:val="22"/>
                <w:szCs w:val="22"/>
              </w:rPr>
            </m:ctrlPr>
          </m:fPr>
          <m:num>
            <m:r>
              <w:rPr>
                <w:rFonts w:ascii="Cambria Math" w:hAnsi="Cambria Math" w:cs="Arial"/>
                <w:sz w:val="22"/>
                <w:szCs w:val="22"/>
              </w:rPr>
              <m:t>65,693.30</m:t>
            </m:r>
          </m:num>
          <m:den>
            <m:sSup>
              <m:sSupPr>
                <m:ctrlPr>
                  <w:rPr>
                    <w:rFonts w:ascii="Cambria Math" w:hAnsi="Cambria Math" w:cs="Arial"/>
                    <w:i/>
                    <w:sz w:val="22"/>
                    <w:szCs w:val="22"/>
                  </w:rPr>
                </m:ctrlPr>
              </m:sSupPr>
              <m:e>
                <m:r>
                  <w:rPr>
                    <w:rFonts w:ascii="Cambria Math" w:hAnsi="Cambria Math" w:cs="Arial"/>
                    <w:sz w:val="22"/>
                    <w:szCs w:val="22"/>
                  </w:rPr>
                  <m:t>(1+ret)</m:t>
                </m:r>
              </m:e>
              <m:sup>
                <m:r>
                  <w:rPr>
                    <w:rFonts w:ascii="Cambria Math" w:hAnsi="Cambria Math" w:cs="Arial"/>
                    <w:sz w:val="22"/>
                    <w:szCs w:val="22"/>
                  </w:rPr>
                  <m:t>3</m:t>
                </m:r>
              </m:sup>
            </m:sSup>
          </m:den>
        </m:f>
        <m:r>
          <w:rPr>
            <w:rFonts w:ascii="Cambria Math" w:hAnsi="Cambria Math" w:cs="Arial"/>
            <w:sz w:val="22"/>
            <w:szCs w:val="22"/>
          </w:rPr>
          <m:t>+</m:t>
        </m:r>
        <m:f>
          <m:fPr>
            <m:ctrlPr>
              <w:rPr>
                <w:rFonts w:ascii="Cambria Math" w:hAnsi="Cambria Math" w:cs="Arial"/>
                <w:i/>
                <w:sz w:val="22"/>
                <w:szCs w:val="22"/>
              </w:rPr>
            </m:ctrlPr>
          </m:fPr>
          <m:num>
            <m:r>
              <w:rPr>
                <w:rFonts w:ascii="Cambria Math" w:hAnsi="Cambria Math" w:cs="Arial"/>
                <w:sz w:val="22"/>
                <w:szCs w:val="22"/>
              </w:rPr>
              <m:t>67,061.27</m:t>
            </m:r>
          </m:num>
          <m:den>
            <m:sSup>
              <m:sSupPr>
                <m:ctrlPr>
                  <w:rPr>
                    <w:rFonts w:ascii="Cambria Math" w:hAnsi="Cambria Math" w:cs="Arial"/>
                    <w:i/>
                    <w:sz w:val="22"/>
                    <w:szCs w:val="22"/>
                  </w:rPr>
                </m:ctrlPr>
              </m:sSupPr>
              <m:e>
                <m:r>
                  <w:rPr>
                    <w:rFonts w:ascii="Cambria Math" w:hAnsi="Cambria Math" w:cs="Arial"/>
                    <w:sz w:val="22"/>
                    <w:szCs w:val="22"/>
                  </w:rPr>
                  <m:t>(1+ret)</m:t>
                </m:r>
              </m:e>
              <m:sup>
                <m:r>
                  <w:rPr>
                    <w:rFonts w:ascii="Cambria Math" w:hAnsi="Cambria Math" w:cs="Arial"/>
                    <w:sz w:val="22"/>
                    <w:szCs w:val="22"/>
                  </w:rPr>
                  <m:t>4</m:t>
                </m:r>
              </m:sup>
            </m:sSup>
          </m:den>
        </m:f>
        <m:r>
          <w:rPr>
            <w:rFonts w:ascii="Cambria Math" w:hAnsi="Cambria Math" w:cs="Arial"/>
            <w:sz w:val="22"/>
            <w:szCs w:val="22"/>
          </w:rPr>
          <m:t>+</m:t>
        </m:r>
        <m:f>
          <m:fPr>
            <m:ctrlPr>
              <w:rPr>
                <w:rFonts w:ascii="Cambria Math" w:hAnsi="Cambria Math" w:cs="Arial"/>
                <w:i/>
                <w:sz w:val="22"/>
                <w:szCs w:val="22"/>
              </w:rPr>
            </m:ctrlPr>
          </m:fPr>
          <m:num>
            <m:r>
              <w:rPr>
                <w:rFonts w:ascii="Cambria Math" w:hAnsi="Cambria Math" w:cs="Arial"/>
                <w:sz w:val="22"/>
                <w:szCs w:val="22"/>
              </w:rPr>
              <m:t>68,442.47</m:t>
            </m:r>
          </m:num>
          <m:den>
            <m:sSup>
              <m:sSupPr>
                <m:ctrlPr>
                  <w:rPr>
                    <w:rFonts w:ascii="Cambria Math" w:hAnsi="Cambria Math" w:cs="Arial"/>
                    <w:i/>
                    <w:sz w:val="22"/>
                    <w:szCs w:val="22"/>
                  </w:rPr>
                </m:ctrlPr>
              </m:sSupPr>
              <m:e>
                <m:r>
                  <w:rPr>
                    <w:rFonts w:ascii="Cambria Math" w:hAnsi="Cambria Math" w:cs="Arial"/>
                    <w:sz w:val="22"/>
                    <w:szCs w:val="22"/>
                  </w:rPr>
                  <m:t>(1+ret)</m:t>
                </m:r>
              </m:e>
              <m:sup>
                <m:r>
                  <w:rPr>
                    <w:rFonts w:ascii="Cambria Math" w:hAnsi="Cambria Math" w:cs="Arial"/>
                    <w:sz w:val="22"/>
                    <w:szCs w:val="22"/>
                  </w:rPr>
                  <m:t>5</m:t>
                </m:r>
              </m:sup>
            </m:sSup>
          </m:den>
        </m:f>
      </m:oMath>
      <w:r>
        <w:rPr>
          <w:sz w:val="20"/>
          <w:szCs w:val="20"/>
        </w:rPr>
        <w:t xml:space="preserve">                   </w:t>
      </w:r>
      <w:r w:rsidRPr="002333D2">
        <w:rPr>
          <w:sz w:val="22"/>
          <w:szCs w:val="22"/>
        </w:rPr>
        <w:t>(3)</w:t>
      </w:r>
    </w:p>
    <w:p w:rsidR="00CD0BA4" w:rsidRPr="00ED04FF" w:rsidRDefault="00CD0BA4" w:rsidP="00CD0BA4">
      <w:pPr>
        <w:rPr>
          <w:rFonts w:ascii="Arial" w:eastAsia="Times New Roman" w:hAnsi="Arial" w:cs="Arial"/>
          <w:lang w:val="es-MX"/>
        </w:rPr>
      </w:pPr>
    </w:p>
    <w:p w:rsidR="00CD0BA4" w:rsidRPr="00891017" w:rsidRDefault="00CD0BA4" w:rsidP="00CD0BA4">
      <w:pPr>
        <w:jc w:val="both"/>
        <w:rPr>
          <w:rFonts w:ascii="Arial" w:eastAsia="Times New Roman" w:hAnsi="Arial" w:cs="Arial"/>
        </w:rPr>
      </w:pPr>
      <w:r w:rsidRPr="00ED04FF">
        <w:rPr>
          <w:rFonts w:ascii="Arial" w:hAnsi="Arial" w:cs="Arial"/>
          <w:lang w:val="es-MX"/>
        </w:rPr>
        <w:t>Igualando</w:t>
      </w:r>
      <w:r>
        <w:rPr>
          <w:rFonts w:ascii="Arial" w:eastAsia="Times New Roman" w:hAnsi="Arial" w:cs="Arial"/>
          <w:lang w:val="es-MX"/>
        </w:rPr>
        <w:t xml:space="preserve"> VPN a cero, resolvemos la ecuación para ret </w:t>
      </w:r>
      <w:r w:rsidRPr="00ED04FF">
        <w:rPr>
          <w:rFonts w:ascii="Arial" w:eastAsia="Times New Roman" w:hAnsi="Arial" w:cs="Arial"/>
          <w:lang w:val="es-MX"/>
        </w:rPr>
        <w:t>y obtenemos</w:t>
      </w:r>
      <w:r>
        <w:rPr>
          <w:rFonts w:ascii="Arial" w:eastAsia="Times New Roman" w:hAnsi="Arial" w:cs="Arial"/>
          <w:lang w:val="es-MX"/>
        </w:rPr>
        <w:t xml:space="preserve"> </w:t>
      </w:r>
      <w:r w:rsidRPr="00981482">
        <w:rPr>
          <w:rFonts w:ascii="Arial" w:eastAsia="Times New Roman" w:hAnsi="Arial" w:cs="Arial"/>
          <w:lang w:val="es-MX"/>
        </w:rPr>
        <w:t>ret=13.712%</w:t>
      </w:r>
      <w:r w:rsidRPr="00981482">
        <w:rPr>
          <w:rFonts w:ascii="Arial" w:eastAsia="Times New Roman" w:hAnsi="Arial" w:cs="Arial"/>
        </w:rPr>
        <w:t>.</w:t>
      </w:r>
      <w:r w:rsidRPr="00ED04FF">
        <w:rPr>
          <w:rFonts w:ascii="Arial" w:eastAsia="Times New Roman" w:hAnsi="Arial" w:cs="Arial"/>
        </w:rPr>
        <w:t xml:space="preserve"> Concluimos que cualquier tasa de </w:t>
      </w:r>
      <w:r w:rsidRPr="00A1190E">
        <w:rPr>
          <w:rFonts w:ascii="Arial" w:eastAsia="Times New Roman" w:hAnsi="Arial" w:cs="Arial"/>
        </w:rPr>
        <w:t xml:space="preserve">descuento </w:t>
      </w:r>
      <w:r w:rsidRPr="00A1190E">
        <w:rPr>
          <w:rFonts w:ascii="Arial" w:eastAsia="Times New Roman" w:hAnsi="Arial" w:cs="Arial"/>
          <w:bCs/>
        </w:rPr>
        <w:t>menor</w:t>
      </w:r>
      <w:r w:rsidRPr="00A1190E">
        <w:rPr>
          <w:rFonts w:ascii="Arial" w:eastAsia="Times New Roman" w:hAnsi="Arial" w:cs="Arial"/>
        </w:rPr>
        <w:t xml:space="preserve"> a ret resultaría en un VPN positivo, siendo una inversión con ganancias.</w:t>
      </w:r>
    </w:p>
    <w:p w:rsidR="00CD0BA4" w:rsidRDefault="00CD0BA4" w:rsidP="00CD0BA4">
      <w:pPr>
        <w:jc w:val="both"/>
        <w:rPr>
          <w:rFonts w:ascii="Arial" w:eastAsia="Times New Roman" w:hAnsi="Arial" w:cs="Arial"/>
        </w:rPr>
      </w:pPr>
      <w:r w:rsidRPr="00795AA7">
        <w:rPr>
          <w:rFonts w:ascii="Arial" w:hAnsi="Arial" w:cs="Arial"/>
        </w:rPr>
        <w:t xml:space="preserve">         </w:t>
      </w:r>
      <w:r w:rsidRPr="00795AA7">
        <w:rPr>
          <w:rFonts w:ascii="Arial" w:eastAsia="Times New Roman" w:hAnsi="Arial" w:cs="Arial"/>
        </w:rPr>
        <w:t>La tasa de descuento aplicable para inversiones relativas al ahorro energético se puede</w:t>
      </w:r>
      <w:r>
        <w:rPr>
          <w:rFonts w:ascii="Arial" w:eastAsia="Times New Roman" w:hAnsi="Arial" w:cs="Arial"/>
        </w:rPr>
        <w:t xml:space="preserve"> determinar mediante el Capital Asset Pricing Model (</w:t>
      </w:r>
      <w:r w:rsidRPr="00F33188">
        <w:rPr>
          <w:rFonts w:ascii="Arial" w:eastAsia="Times New Roman" w:hAnsi="Arial" w:cs="Arial"/>
        </w:rPr>
        <w:t>CAPM</w:t>
      </w:r>
      <w:r>
        <w:rPr>
          <w:rFonts w:ascii="Arial" w:eastAsia="Times New Roman" w:hAnsi="Arial" w:cs="Arial"/>
        </w:rPr>
        <w:t>), o Modelo de Valuación de Activos de Capital</w:t>
      </w:r>
      <w:r w:rsidRPr="00F33188">
        <w:rPr>
          <w:rFonts w:ascii="Arial" w:eastAsia="Times New Roman" w:hAnsi="Arial" w:cs="Arial"/>
        </w:rPr>
        <w:t xml:space="preserve">, el cual describe la relación entre el riesgo sistemático y los rendimientos esperados para </w:t>
      </w:r>
      <w:r w:rsidRPr="00F33188">
        <w:rPr>
          <w:rFonts w:ascii="Arial" w:eastAsia="Times New Roman" w:hAnsi="Arial" w:cs="Arial"/>
        </w:rPr>
        <w:lastRenderedPageBreak/>
        <w:t>activos en el mercado. Este modelo es usado extensivamente en las finanzas pa</w:t>
      </w:r>
      <w:r>
        <w:rPr>
          <w:rFonts w:ascii="Arial" w:eastAsia="Times New Roman" w:hAnsi="Arial" w:cs="Arial"/>
        </w:rPr>
        <w:t>ra valuar activos en el mercado y</w:t>
      </w:r>
      <w:r w:rsidRPr="00F33188">
        <w:rPr>
          <w:rFonts w:ascii="Arial" w:eastAsia="Times New Roman" w:hAnsi="Arial" w:cs="Arial"/>
        </w:rPr>
        <w:t xml:space="preserve"> determinar sus rendimientos esperados tomando en cuenta su nivel de riesgo y costo de capital. Se basa en la premisa que, al tomar un riesgo en el mercado, se compens</w:t>
      </w:r>
      <w:r>
        <w:rPr>
          <w:rFonts w:ascii="Arial" w:eastAsia="Times New Roman" w:hAnsi="Arial" w:cs="Arial"/>
        </w:rPr>
        <w:t>a con una prima de riesgo, o sea</w:t>
      </w:r>
      <w:r w:rsidRPr="00F33188">
        <w:rPr>
          <w:rFonts w:ascii="Arial" w:eastAsia="Times New Roman" w:hAnsi="Arial" w:cs="Arial"/>
        </w:rPr>
        <w:t>, una posible ganancia obtenida por tomar el riesgo. El modelo CAPM está ex</w:t>
      </w:r>
      <w:r>
        <w:rPr>
          <w:rFonts w:ascii="Arial" w:eastAsia="Times New Roman" w:hAnsi="Arial" w:cs="Arial"/>
        </w:rPr>
        <w:t>presado en la Ecuación 4.</w:t>
      </w:r>
    </w:p>
    <w:p w:rsidR="00CD0BA4" w:rsidRDefault="00CD0BA4" w:rsidP="00CD0BA4">
      <w:pPr>
        <w:jc w:val="both"/>
        <w:rPr>
          <w:rFonts w:ascii="Arial" w:eastAsia="Times New Roman" w:hAnsi="Arial" w:cs="Arial"/>
        </w:rPr>
      </w:pPr>
    </w:p>
    <w:p w:rsidR="00CD0BA4" w:rsidRPr="00DD532E" w:rsidRDefault="00CD0BA4" w:rsidP="00CD0BA4">
      <w:pPr>
        <w:jc w:val="center"/>
        <w:rPr>
          <w:rFonts w:ascii="Arial" w:hAnsi="Arial" w:cs="Arial"/>
          <w:lang w:val="es-MX" w:eastAsia="es-ES"/>
        </w:rPr>
      </w:pPr>
      <w:r>
        <w:rPr>
          <w:rFonts w:ascii="Arial" w:hAnsi="Arial" w:cs="Arial"/>
        </w:rPr>
        <w:t xml:space="preserve">                                                        </w:t>
      </w:r>
      <m:oMath>
        <m:r>
          <w:rPr>
            <w:rFonts w:ascii="Cambria Math" w:eastAsia="Times New Roman" w:hAnsi="Cambria Math"/>
            <w:sz w:val="22"/>
            <w:szCs w:val="22"/>
          </w:rPr>
          <m:t>E</m:t>
        </m:r>
        <m:sSub>
          <m:sSubPr>
            <m:ctrlPr>
              <w:rPr>
                <w:rFonts w:ascii="Cambria Math" w:eastAsia="Times New Roman" w:hAnsi="Cambria Math"/>
                <w:i/>
                <w:sz w:val="22"/>
                <w:szCs w:val="22"/>
              </w:rPr>
            </m:ctrlPr>
          </m:sSubPr>
          <m:e>
            <m:r>
              <w:rPr>
                <w:rFonts w:ascii="Cambria Math" w:eastAsia="Times New Roman" w:hAnsi="Cambria Math"/>
                <w:sz w:val="22"/>
                <w:szCs w:val="22"/>
              </w:rPr>
              <m:t>R</m:t>
            </m:r>
          </m:e>
          <m:sub>
            <m:r>
              <w:rPr>
                <w:rFonts w:ascii="Cambria Math" w:eastAsia="Times New Roman" w:hAnsi="Cambria Math"/>
                <w:sz w:val="22"/>
                <w:szCs w:val="22"/>
              </w:rPr>
              <m:t>i</m:t>
            </m:r>
          </m:sub>
        </m:sSub>
        <m:r>
          <w:rPr>
            <w:rFonts w:ascii="Cambria Math" w:eastAsia="Times New Roman" w:hAnsi="Cambria Math"/>
            <w:sz w:val="22"/>
            <w:szCs w:val="22"/>
          </w:rPr>
          <m:t>=</m:t>
        </m:r>
        <m:sSub>
          <m:sSubPr>
            <m:ctrlPr>
              <w:rPr>
                <w:rFonts w:ascii="Cambria Math" w:eastAsia="Times New Roman" w:hAnsi="Cambria Math"/>
                <w:i/>
                <w:sz w:val="22"/>
                <w:szCs w:val="22"/>
              </w:rPr>
            </m:ctrlPr>
          </m:sSubPr>
          <m:e>
            <m:r>
              <w:rPr>
                <w:rFonts w:ascii="Cambria Math" w:eastAsia="Times New Roman" w:hAnsi="Cambria Math"/>
                <w:sz w:val="22"/>
                <w:szCs w:val="22"/>
              </w:rPr>
              <m:t>R</m:t>
            </m:r>
          </m:e>
          <m:sub>
            <m:r>
              <w:rPr>
                <w:rFonts w:ascii="Cambria Math" w:eastAsia="Times New Roman" w:hAnsi="Cambria Math"/>
                <w:sz w:val="22"/>
                <w:szCs w:val="22"/>
              </w:rPr>
              <m:t>f</m:t>
            </m:r>
          </m:sub>
        </m:sSub>
        <m:r>
          <w:rPr>
            <w:rFonts w:ascii="Cambria Math" w:eastAsia="Times New Roman" w:hAnsi="Cambria Math"/>
            <w:sz w:val="22"/>
            <w:szCs w:val="22"/>
          </w:rPr>
          <m:t>+</m:t>
        </m:r>
        <m:sSub>
          <m:sSubPr>
            <m:ctrlPr>
              <w:rPr>
                <w:rFonts w:ascii="Cambria Math" w:eastAsia="Times New Roman" w:hAnsi="Cambria Math"/>
                <w:i/>
                <w:sz w:val="22"/>
                <w:szCs w:val="22"/>
              </w:rPr>
            </m:ctrlPr>
          </m:sSubPr>
          <m:e>
            <m:r>
              <w:rPr>
                <w:rFonts w:ascii="Cambria Math" w:eastAsia="Times New Roman" w:hAnsi="Cambria Math"/>
                <w:sz w:val="22"/>
                <w:szCs w:val="22"/>
              </w:rPr>
              <m:t>β</m:t>
            </m:r>
          </m:e>
          <m:sub>
            <m:r>
              <w:rPr>
                <w:rFonts w:ascii="Cambria Math" w:eastAsia="Times New Roman" w:hAnsi="Cambria Math"/>
                <w:sz w:val="22"/>
                <w:szCs w:val="22"/>
              </w:rPr>
              <m:t>i</m:t>
            </m:r>
          </m:sub>
        </m:sSub>
        <m:d>
          <m:dPr>
            <m:ctrlPr>
              <w:rPr>
                <w:rFonts w:ascii="Cambria Math" w:eastAsia="Times New Roman" w:hAnsi="Cambria Math"/>
                <w:i/>
                <w:sz w:val="22"/>
                <w:szCs w:val="22"/>
              </w:rPr>
            </m:ctrlPr>
          </m:dPr>
          <m:e>
            <m:r>
              <w:rPr>
                <w:rFonts w:ascii="Cambria Math" w:eastAsia="Times New Roman" w:hAnsi="Cambria Math"/>
                <w:sz w:val="22"/>
                <w:szCs w:val="22"/>
              </w:rPr>
              <m:t>E</m:t>
            </m:r>
            <m:sSub>
              <m:sSubPr>
                <m:ctrlPr>
                  <w:rPr>
                    <w:rFonts w:ascii="Cambria Math" w:eastAsia="Times New Roman" w:hAnsi="Cambria Math"/>
                    <w:i/>
                    <w:sz w:val="22"/>
                    <w:szCs w:val="22"/>
                  </w:rPr>
                </m:ctrlPr>
              </m:sSubPr>
              <m:e>
                <m:r>
                  <w:rPr>
                    <w:rFonts w:ascii="Cambria Math" w:eastAsia="Times New Roman" w:hAnsi="Cambria Math"/>
                    <w:sz w:val="22"/>
                    <w:szCs w:val="22"/>
                  </w:rPr>
                  <m:t>R</m:t>
                </m:r>
              </m:e>
              <m:sub>
                <m:r>
                  <w:rPr>
                    <w:rFonts w:ascii="Cambria Math" w:eastAsia="Times New Roman" w:hAnsi="Cambria Math"/>
                    <w:sz w:val="22"/>
                    <w:szCs w:val="22"/>
                  </w:rPr>
                  <m:t>m</m:t>
                </m:r>
              </m:sub>
            </m:sSub>
            <m:r>
              <w:rPr>
                <w:rFonts w:ascii="Cambria Math" w:eastAsia="Times New Roman" w:hAnsi="Cambria Math"/>
                <w:sz w:val="22"/>
                <w:szCs w:val="22"/>
              </w:rPr>
              <m:t>-</m:t>
            </m:r>
            <m:sSub>
              <m:sSubPr>
                <m:ctrlPr>
                  <w:rPr>
                    <w:rFonts w:ascii="Cambria Math" w:eastAsia="Times New Roman" w:hAnsi="Cambria Math"/>
                    <w:i/>
                    <w:sz w:val="22"/>
                    <w:szCs w:val="22"/>
                  </w:rPr>
                </m:ctrlPr>
              </m:sSubPr>
              <m:e>
                <m:r>
                  <w:rPr>
                    <w:rFonts w:ascii="Cambria Math" w:eastAsia="Times New Roman" w:hAnsi="Cambria Math"/>
                    <w:sz w:val="22"/>
                    <w:szCs w:val="22"/>
                  </w:rPr>
                  <m:t>R</m:t>
                </m:r>
              </m:e>
              <m:sub>
                <m:r>
                  <w:rPr>
                    <w:rFonts w:ascii="Cambria Math" w:eastAsia="Times New Roman" w:hAnsi="Cambria Math"/>
                    <w:sz w:val="22"/>
                    <w:szCs w:val="22"/>
                  </w:rPr>
                  <m:t>f</m:t>
                </m:r>
              </m:sub>
            </m:sSub>
          </m:e>
        </m:d>
      </m:oMath>
      <w:r>
        <w:rPr>
          <w:rFonts w:ascii="Arial" w:hAnsi="Arial" w:cs="Arial"/>
          <w:lang w:val="es-MX" w:eastAsia="es-ES"/>
        </w:rPr>
        <w:t xml:space="preserve">                                           </w:t>
      </w:r>
      <w:r w:rsidRPr="00E21CE4">
        <w:rPr>
          <w:sz w:val="22"/>
          <w:szCs w:val="22"/>
        </w:rPr>
        <w:t>(4)</w:t>
      </w:r>
      <w:r>
        <w:rPr>
          <w:rFonts w:ascii="Arial" w:hAnsi="Arial" w:cs="Arial"/>
        </w:rPr>
        <w:t xml:space="preserve">                                                                                         </w:t>
      </w:r>
    </w:p>
    <w:p w:rsidR="00CD0BA4" w:rsidRPr="00F33188" w:rsidRDefault="00CD0BA4" w:rsidP="00CD0BA4">
      <w:pPr>
        <w:rPr>
          <w:rFonts w:ascii="Arial" w:eastAsia="Times New Roman" w:hAnsi="Arial" w:cs="Arial"/>
        </w:rPr>
      </w:pPr>
    </w:p>
    <w:p w:rsidR="00CD0BA4" w:rsidRPr="00F33188" w:rsidRDefault="00CD0BA4" w:rsidP="00CD0BA4">
      <w:pPr>
        <w:jc w:val="both"/>
        <w:rPr>
          <w:rFonts w:ascii="Arial" w:eastAsia="Times New Roman" w:hAnsi="Arial" w:cs="Arial"/>
        </w:rPr>
      </w:pPr>
      <w:r w:rsidRPr="00795AA7">
        <w:rPr>
          <w:rFonts w:ascii="Arial" w:hAnsi="Arial" w:cs="Arial"/>
        </w:rPr>
        <w:t xml:space="preserve">         </w:t>
      </w:r>
      <w:r>
        <w:rPr>
          <w:rFonts w:ascii="Arial" w:eastAsia="Times New Roman" w:hAnsi="Arial" w:cs="Arial"/>
        </w:rPr>
        <w:t xml:space="preserve">En la Ecuación 4, </w:t>
      </w:r>
      <m:oMath>
        <m:r>
          <w:rPr>
            <w:rFonts w:ascii="Cambria Math" w:eastAsia="Times New Roman" w:hAnsi="Cambria Math"/>
          </w:rPr>
          <m:t>E</m:t>
        </m:r>
        <m:sSub>
          <m:sSubPr>
            <m:ctrlPr>
              <w:rPr>
                <w:rFonts w:ascii="Cambria Math" w:eastAsia="Times New Roman" w:hAnsi="Cambria Math"/>
                <w:i/>
              </w:rPr>
            </m:ctrlPr>
          </m:sSubPr>
          <m:e>
            <m:r>
              <w:rPr>
                <w:rFonts w:ascii="Cambria Math" w:eastAsia="Times New Roman" w:hAnsi="Cambria Math"/>
              </w:rPr>
              <m:t>R</m:t>
            </m:r>
          </m:e>
          <m:sub>
            <m:r>
              <w:rPr>
                <w:rFonts w:ascii="Cambria Math" w:eastAsia="Times New Roman" w:hAnsi="Cambria Math"/>
              </w:rPr>
              <m:t>i</m:t>
            </m:r>
          </m:sub>
        </m:sSub>
      </m:oMath>
      <w:r w:rsidRPr="00F33188">
        <w:rPr>
          <w:rFonts w:ascii="Arial" w:eastAsia="Times New Roman" w:hAnsi="Arial" w:cs="Arial"/>
        </w:rPr>
        <w:t xml:space="preserve"> son los rendimientos esperados de la inversión</w:t>
      </w:r>
      <w:r>
        <w:rPr>
          <w:rFonts w:ascii="Arial" w:eastAsia="Times New Roman" w:hAnsi="Arial" w:cs="Arial"/>
        </w:rPr>
        <w:t xml:space="preserve">, </w:t>
      </w:r>
      <m:oMath>
        <m:sSub>
          <m:sSubPr>
            <m:ctrlPr>
              <w:rPr>
                <w:rFonts w:ascii="Cambria Math" w:eastAsia="Times New Roman" w:hAnsi="Cambria Math"/>
                <w:i/>
              </w:rPr>
            </m:ctrlPr>
          </m:sSubPr>
          <m:e>
            <m:r>
              <w:rPr>
                <w:rFonts w:ascii="Cambria Math" w:eastAsia="Times New Roman" w:hAnsi="Cambria Math"/>
              </w:rPr>
              <m:t>R</m:t>
            </m:r>
          </m:e>
          <m:sub>
            <m:r>
              <w:rPr>
                <w:rFonts w:ascii="Cambria Math" w:eastAsia="Times New Roman" w:hAnsi="Cambria Math"/>
              </w:rPr>
              <m:t>f</m:t>
            </m:r>
          </m:sub>
        </m:sSub>
      </m:oMath>
      <w:r w:rsidRPr="00F33188">
        <w:rPr>
          <w:rFonts w:ascii="Arial" w:eastAsia="Times New Roman" w:hAnsi="Arial" w:cs="Arial"/>
        </w:rPr>
        <w:t xml:space="preserve"> es la tasa libre de riesgo (tasa Cetes en el caso de México)</w:t>
      </w:r>
      <w:r>
        <w:rPr>
          <w:rFonts w:ascii="Arial" w:eastAsia="Times New Roman" w:hAnsi="Arial" w:cs="Arial"/>
        </w:rPr>
        <w:t xml:space="preserve">, </w:t>
      </w:r>
      <m:oMath>
        <m:sSub>
          <m:sSubPr>
            <m:ctrlPr>
              <w:rPr>
                <w:rFonts w:ascii="Cambria Math" w:eastAsia="Times New Roman" w:hAnsi="Cambria Math"/>
                <w:i/>
              </w:rPr>
            </m:ctrlPr>
          </m:sSubPr>
          <m:e>
            <m:r>
              <w:rPr>
                <w:rFonts w:ascii="Cambria Math" w:eastAsia="Times New Roman" w:hAnsi="Cambria Math"/>
              </w:rPr>
              <m:t>β</m:t>
            </m:r>
          </m:e>
          <m:sub>
            <m:r>
              <w:rPr>
                <w:rFonts w:ascii="Cambria Math" w:eastAsia="Times New Roman" w:hAnsi="Cambria Math"/>
              </w:rPr>
              <m:t>i</m:t>
            </m:r>
          </m:sub>
        </m:sSub>
      </m:oMath>
      <w:r w:rsidRPr="00F33188">
        <w:rPr>
          <w:rFonts w:ascii="Arial" w:eastAsia="Times New Roman" w:hAnsi="Arial" w:cs="Arial"/>
        </w:rPr>
        <w:t xml:space="preserve"> e</w:t>
      </w:r>
      <w:r>
        <w:rPr>
          <w:rFonts w:ascii="Arial" w:eastAsia="Times New Roman" w:hAnsi="Arial" w:cs="Arial"/>
        </w:rPr>
        <w:t>s la beta de la inversión, o sea</w:t>
      </w:r>
      <w:r w:rsidRPr="00F33188">
        <w:rPr>
          <w:rFonts w:ascii="Arial" w:eastAsia="Times New Roman" w:hAnsi="Arial" w:cs="Arial"/>
        </w:rPr>
        <w:t>, la sensibilidad del activo fre</w:t>
      </w:r>
      <w:r>
        <w:rPr>
          <w:rFonts w:ascii="Arial" w:eastAsia="Times New Roman" w:hAnsi="Arial" w:cs="Arial"/>
        </w:rPr>
        <w:t xml:space="preserve">nte a movimientos en el mercado, </w:t>
      </w:r>
      <m:oMath>
        <m:r>
          <w:rPr>
            <w:rFonts w:ascii="Cambria Math" w:eastAsia="Times New Roman" w:hAnsi="Cambria Math"/>
          </w:rPr>
          <m:t>E</m:t>
        </m:r>
        <m:sSub>
          <m:sSubPr>
            <m:ctrlPr>
              <w:rPr>
                <w:rFonts w:ascii="Cambria Math" w:eastAsia="Times New Roman" w:hAnsi="Cambria Math"/>
                <w:i/>
              </w:rPr>
            </m:ctrlPr>
          </m:sSubPr>
          <m:e>
            <m:r>
              <w:rPr>
                <w:rFonts w:ascii="Cambria Math" w:eastAsia="Times New Roman" w:hAnsi="Cambria Math"/>
              </w:rPr>
              <m:t>R</m:t>
            </m:r>
          </m:e>
          <m:sub>
            <m:r>
              <w:rPr>
                <w:rFonts w:ascii="Cambria Math" w:eastAsia="Times New Roman" w:hAnsi="Cambria Math"/>
              </w:rPr>
              <m:t>m</m:t>
            </m:r>
          </m:sub>
        </m:sSub>
      </m:oMath>
      <w:r w:rsidRPr="00F33188">
        <w:rPr>
          <w:rFonts w:ascii="Arial" w:eastAsia="Times New Roman" w:hAnsi="Arial" w:cs="Arial"/>
        </w:rPr>
        <w:t xml:space="preserve"> es el r</w:t>
      </w:r>
      <w:r>
        <w:rPr>
          <w:rFonts w:ascii="Arial" w:eastAsia="Times New Roman" w:hAnsi="Arial" w:cs="Arial"/>
        </w:rPr>
        <w:t xml:space="preserve">endimiento esperado del mercado y </w:t>
      </w:r>
      <m:oMath>
        <m:d>
          <m:dPr>
            <m:ctrlPr>
              <w:rPr>
                <w:rFonts w:ascii="Cambria Math" w:eastAsia="Times New Roman" w:hAnsi="Cambria Math"/>
                <w:i/>
              </w:rPr>
            </m:ctrlPr>
          </m:dPr>
          <m:e>
            <m:r>
              <w:rPr>
                <w:rFonts w:ascii="Cambria Math" w:eastAsia="Times New Roman" w:hAnsi="Cambria Math"/>
              </w:rPr>
              <m:t>E</m:t>
            </m:r>
            <m:sSub>
              <m:sSubPr>
                <m:ctrlPr>
                  <w:rPr>
                    <w:rFonts w:ascii="Cambria Math" w:eastAsia="Times New Roman" w:hAnsi="Cambria Math"/>
                    <w:i/>
                  </w:rPr>
                </m:ctrlPr>
              </m:sSubPr>
              <m:e>
                <m:r>
                  <w:rPr>
                    <w:rFonts w:ascii="Cambria Math" w:eastAsia="Times New Roman" w:hAnsi="Cambria Math"/>
                  </w:rPr>
                  <m:t>R</m:t>
                </m:r>
              </m:e>
              <m:sub>
                <m:r>
                  <w:rPr>
                    <w:rFonts w:ascii="Cambria Math" w:eastAsia="Times New Roman" w:hAnsi="Cambria Math"/>
                  </w:rPr>
                  <m:t>m</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R</m:t>
                </m:r>
              </m:e>
              <m:sub>
                <m:r>
                  <w:rPr>
                    <w:rFonts w:ascii="Cambria Math" w:eastAsia="Times New Roman" w:hAnsi="Cambria Math"/>
                  </w:rPr>
                  <m:t>f</m:t>
                </m:r>
              </m:sub>
            </m:sSub>
          </m:e>
        </m:d>
      </m:oMath>
      <w:r w:rsidRPr="00F33188">
        <w:rPr>
          <w:rFonts w:ascii="Arial" w:eastAsia="Times New Roman" w:hAnsi="Arial" w:cs="Arial"/>
        </w:rPr>
        <w:t xml:space="preserve"> la prima de riesgo en el mercado.</w:t>
      </w:r>
    </w:p>
    <w:p w:rsidR="00CD0BA4" w:rsidRDefault="00CD0BA4" w:rsidP="00CD0BA4">
      <w:pPr>
        <w:jc w:val="both"/>
        <w:rPr>
          <w:rFonts w:ascii="Arial" w:eastAsia="Times New Roman" w:hAnsi="Arial" w:cs="Arial"/>
        </w:rPr>
      </w:pPr>
      <w:r w:rsidRPr="00795AA7">
        <w:rPr>
          <w:rFonts w:ascii="Arial" w:hAnsi="Arial" w:cs="Arial"/>
        </w:rPr>
        <w:t xml:space="preserve">         </w:t>
      </w:r>
      <w:r w:rsidRPr="00F33188">
        <w:rPr>
          <w:rFonts w:ascii="Arial" w:eastAsia="Times New Roman" w:hAnsi="Arial" w:cs="Arial"/>
        </w:rPr>
        <w:t>Los rendimientos esperados para una inversión dirigida al ahorro de combustible resultarían en la tasa de descu</w:t>
      </w:r>
      <w:r>
        <w:rPr>
          <w:rFonts w:ascii="Arial" w:eastAsia="Times New Roman" w:hAnsi="Arial" w:cs="Arial"/>
        </w:rPr>
        <w:t xml:space="preserve">ento </w:t>
      </w:r>
      <w:r w:rsidRPr="00A5432A">
        <w:rPr>
          <w:rFonts w:ascii="Arial" w:hAnsi="Arial" w:cs="Arial"/>
          <w:vertAlign w:val="superscript"/>
        </w:rPr>
        <w:t>[2]</w:t>
      </w:r>
      <w:r>
        <w:rPr>
          <w:rFonts w:ascii="Arial" w:eastAsia="Times New Roman" w:hAnsi="Arial" w:cs="Arial"/>
        </w:rPr>
        <w:t xml:space="preserve">, por lo que el modelo CAPM </w:t>
      </w:r>
      <w:r w:rsidRPr="00F33188">
        <w:rPr>
          <w:rFonts w:ascii="Arial" w:eastAsia="Times New Roman" w:hAnsi="Arial" w:cs="Arial"/>
        </w:rPr>
        <w:t>aplicado a una inversión energéti</w:t>
      </w:r>
      <w:r>
        <w:rPr>
          <w:rFonts w:ascii="Arial" w:eastAsia="Times New Roman" w:hAnsi="Arial" w:cs="Arial"/>
        </w:rPr>
        <w:t>ca en México sería como se muestra en la Ecuación 5.</w:t>
      </w:r>
    </w:p>
    <w:p w:rsidR="00CD0BA4" w:rsidRDefault="00CD0BA4" w:rsidP="00CD0BA4">
      <w:pPr>
        <w:jc w:val="both"/>
        <w:rPr>
          <w:rFonts w:ascii="Arial" w:eastAsia="Times New Roman" w:hAnsi="Arial" w:cs="Arial"/>
        </w:rPr>
      </w:pPr>
    </w:p>
    <w:p w:rsidR="00CD0BA4" w:rsidRPr="00F7334B" w:rsidRDefault="00CD0BA4" w:rsidP="00CD0BA4">
      <w:pPr>
        <w:jc w:val="both"/>
        <w:rPr>
          <w:sz w:val="22"/>
          <w:szCs w:val="22"/>
        </w:rPr>
      </w:pPr>
      <w:r>
        <w:rPr>
          <w:rFonts w:ascii="Arial" w:hAnsi="Arial" w:cs="Arial"/>
          <w:lang w:val="es-MX" w:eastAsia="es-ES"/>
        </w:rPr>
        <w:t xml:space="preserve">                                 </w:t>
      </w:r>
      <w:r w:rsidRPr="007C4D33">
        <w:rPr>
          <w:rFonts w:ascii="Arial" w:hAnsi="Arial" w:cs="Arial"/>
          <w:lang w:val="es-MX" w:eastAsia="es-ES"/>
        </w:rPr>
        <w:fldChar w:fldCharType="begin"/>
      </w:r>
      <w:r w:rsidRPr="007C4D33">
        <w:rPr>
          <w:rFonts w:ascii="Arial" w:hAnsi="Arial" w:cs="Arial"/>
          <w:lang w:val="es-MX" w:eastAsia="es-ES"/>
        </w:rPr>
        <w:instrText xml:space="preserve"> QUOTE </w:instrText>
      </w:r>
      <m:oMath>
        <m:sSub>
          <m:sSubPr>
            <m:ctrlPr>
              <w:rPr>
                <w:rFonts w:ascii="Cambria Math" w:eastAsia="Times New Roman" w:hAnsi="Cambria Math" w:cs="Arial"/>
                <w:i/>
                <w:lang w:eastAsia="es-ES"/>
              </w:rPr>
            </m:ctrlPr>
          </m:sSubPr>
          <m:e>
            <m:sSub>
              <m:sSubPr>
                <m:ctrlPr>
                  <w:rPr>
                    <w:rFonts w:ascii="Cambria Math" w:eastAsia="Times New Roman" w:hAnsi="Cambria Math" w:cs="Arial"/>
                    <w:i/>
                    <w:lang w:eastAsia="es-ES"/>
                  </w:rPr>
                </m:ctrlPr>
              </m:sSubPr>
              <m:e>
                <m:r>
                  <m:rPr>
                    <m:sty m:val="p"/>
                  </m:rPr>
                  <w:rPr>
                    <w:rFonts w:ascii="Cambria Math" w:hAnsi="Cambria Math" w:cs="Arial"/>
                    <w:lang w:val="es-MX"/>
                  </w:rPr>
                  <m:t>(</m:t>
                </m:r>
                <m:r>
                  <m:rPr>
                    <m:sty m:val="p"/>
                  </m:rPr>
                  <w:rPr>
                    <w:rFonts w:ascii="Cambria Math" w:hAnsi="Cambria Math" w:cs="Arial"/>
                  </w:rPr>
                  <m:t>M</m:t>
                </m:r>
              </m:e>
              <m:sub>
                <m:r>
                  <m:rPr>
                    <m:sty m:val="p"/>
                  </m:rPr>
                  <w:rPr>
                    <w:rFonts w:ascii="Cambria Math" w:hAnsi="Cambria Math" w:cs="Arial"/>
                    <w:lang w:val="es-MX"/>
                  </w:rPr>
                  <m:t xml:space="preserve"> </m:t>
                </m:r>
              </m:sub>
            </m:sSub>
            <m:r>
              <m:rPr>
                <m:sty m:val="p"/>
              </m:rPr>
              <w:rPr>
                <w:rFonts w:ascii="Cambria Math" w:hAnsi="Cambria Math" w:cs="Arial"/>
                <w:lang w:val="es-MX"/>
              </w:rPr>
              <m:t>+</m:t>
            </m:r>
            <m:sSub>
              <m:sSubPr>
                <m:ctrlPr>
                  <w:rPr>
                    <w:rFonts w:ascii="Cambria Math" w:eastAsia="Times New Roman" w:hAnsi="Cambria Math" w:cs="Arial"/>
                    <w:i/>
                    <w:lang w:val="es-ES_tradnl" w:eastAsia="es-ES"/>
                  </w:rPr>
                </m:ctrlPr>
              </m:sSubPr>
              <m:e>
                <m:r>
                  <m:rPr>
                    <m:sty m:val="p"/>
                  </m:rPr>
                  <w:rPr>
                    <w:rFonts w:ascii="Cambria Math" w:hAnsi="Cambria Math" w:cs="Arial"/>
                  </w:rPr>
                  <m:t>m</m:t>
                </m:r>
              </m:e>
              <m:sub>
                <m:r>
                  <m:rPr>
                    <m:sty m:val="p"/>
                  </m:rPr>
                  <w:rPr>
                    <w:rFonts w:ascii="Cambria Math" w:hAnsi="Cambria Math" w:cs="Arial"/>
                  </w:rPr>
                  <m:t>inercial</m:t>
                </m:r>
              </m:sub>
            </m:sSub>
            <m:r>
              <m:rPr>
                <m:sty m:val="p"/>
              </m:rPr>
              <w:rPr>
                <w:rFonts w:ascii="Cambria Math" w:hAnsi="Cambria Math" w:cs="Arial"/>
                <w:lang w:val="es-MX"/>
              </w:rPr>
              <m:t>)</m:t>
            </m:r>
            <m:r>
              <m:rPr>
                <m:sty m:val="p"/>
              </m:rPr>
              <w:rPr>
                <w:rFonts w:ascii="Cambria Math" w:hAnsi="Cambria Math" w:cs="Arial"/>
              </w:rPr>
              <m:t>a</m:t>
            </m:r>
            <m:r>
              <m:rPr>
                <m:sty m:val="p"/>
              </m:rPr>
              <w:rPr>
                <w:rFonts w:ascii="Cambria Math" w:hAnsi="Cambria Math" w:cs="Arial"/>
                <w:lang w:val="es-MX"/>
              </w:rPr>
              <m:t>=</m:t>
            </m:r>
            <m:f>
              <m:fPr>
                <m:ctrlPr>
                  <w:rPr>
                    <w:rFonts w:ascii="Cambria Math" w:hAnsi="Cambria Math" w:cs="Arial"/>
                    <w:i/>
                    <w:lang w:val="es-MX"/>
                  </w:rPr>
                </m:ctrlPr>
              </m:fPr>
              <m:num>
                <m:sSub>
                  <m:sSubPr>
                    <m:ctrlPr>
                      <w:rPr>
                        <w:rFonts w:ascii="Cambria Math" w:hAnsi="Cambria Math" w:cs="Arial"/>
                        <w:i/>
                        <w:lang w:val="es-MX"/>
                      </w:rPr>
                    </m:ctrlPr>
                  </m:sSubPr>
                  <m:e>
                    <m:r>
                      <m:rPr>
                        <m:sty m:val="p"/>
                      </m:rPr>
                      <w:rPr>
                        <w:rFonts w:ascii="Cambria Math" w:hAnsi="Cambria Math" w:cs="Arial"/>
                        <w:lang w:val="es-MX"/>
                      </w:rPr>
                      <m:t>T</m:t>
                    </m:r>
                  </m:e>
                  <m:sub>
                    <m:r>
                      <m:rPr>
                        <m:sty m:val="p"/>
                      </m:rPr>
                      <w:rPr>
                        <w:rFonts w:ascii="Cambria Math" w:hAnsi="Cambria Math" w:cs="Arial"/>
                        <w:lang w:val="es-MX"/>
                      </w:rPr>
                      <m:t>e</m:t>
                    </m:r>
                  </m:sub>
                </m:sSub>
                <m:sSub>
                  <m:sSubPr>
                    <m:ctrlPr>
                      <w:rPr>
                        <w:rFonts w:ascii="Cambria Math" w:hAnsi="Cambria Math" w:cs="Arial"/>
                        <w:i/>
                        <w:lang w:val="es-MX"/>
                      </w:rPr>
                    </m:ctrlPr>
                  </m:sSubPr>
                  <m:e>
                    <m:r>
                      <m:rPr>
                        <m:sty m:val="p"/>
                      </m:rPr>
                      <w:rPr>
                        <w:rFonts w:ascii="Cambria Math" w:hAnsi="Cambria Math" w:cs="Arial"/>
                        <w:lang w:val="es-MX"/>
                      </w:rPr>
                      <m:t>N</m:t>
                    </m:r>
                  </m:e>
                  <m:sub>
                    <m:r>
                      <m:rPr>
                        <m:sty m:val="p"/>
                      </m:rPr>
                      <w:rPr>
                        <w:rFonts w:ascii="Cambria Math" w:hAnsi="Cambria Math" w:cs="Arial"/>
                        <w:lang w:val="es-MX"/>
                      </w:rPr>
                      <m:t>td</m:t>
                    </m:r>
                  </m:sub>
                </m:sSub>
              </m:num>
              <m:den>
                <m:sSub>
                  <m:sSubPr>
                    <m:ctrlPr>
                      <w:rPr>
                        <w:rFonts w:ascii="Cambria Math" w:hAnsi="Cambria Math" w:cs="Arial"/>
                        <w:i/>
                        <w:lang w:val="es-MX"/>
                      </w:rPr>
                    </m:ctrlPr>
                  </m:sSubPr>
                  <m:e>
                    <m:r>
                      <m:rPr>
                        <m:sty m:val="p"/>
                      </m:rPr>
                      <w:rPr>
                        <w:rFonts w:ascii="Cambria Math" w:hAnsi="Cambria Math" w:cs="Arial"/>
                        <w:lang w:val="es-MX"/>
                      </w:rPr>
                      <m:t>r</m:t>
                    </m:r>
                  </m:e>
                  <m:sub>
                    <m:r>
                      <m:rPr>
                        <m:sty m:val="p"/>
                      </m:rPr>
                      <w:rPr>
                        <w:rFonts w:ascii="Cambria Math" w:hAnsi="Cambria Math" w:cs="Arial"/>
                        <w:lang w:val="es-MX"/>
                      </w:rPr>
                      <m:t>w</m:t>
                    </m:r>
                  </m:sub>
                </m:sSub>
              </m:den>
            </m:f>
            <m:r>
              <m:rPr>
                <m:sty m:val="p"/>
              </m:rPr>
              <w:rPr>
                <w:rFonts w:ascii="Cambria Math" w:hAnsi="Cambria Math" w:cs="Arial"/>
                <w:lang w:val="es-MX"/>
              </w:rPr>
              <m:t>-</m:t>
            </m:r>
          </m:e>
          <m:sub>
            <m:r>
              <m:rPr>
                <m:sty m:val="p"/>
              </m:rPr>
              <w:rPr>
                <w:rFonts w:ascii="Cambria Math" w:hAnsi="Cambria Math" w:cs="Arial"/>
                <w:lang w:val="es-MX"/>
              </w:rPr>
              <m:t xml:space="preserve"> </m:t>
            </m:r>
          </m:sub>
        </m:sSub>
        <m:sSub>
          <m:sSubPr>
            <m:ctrlPr>
              <w:rPr>
                <w:rFonts w:ascii="Cambria Math" w:eastAsia="Times New Roman" w:hAnsi="Cambria Math" w:cs="Arial"/>
                <w:i/>
                <w:color w:val="000000"/>
                <w:lang w:eastAsia="es-ES"/>
              </w:rPr>
            </m:ctrlPr>
          </m:sSubPr>
          <m:e>
            <m:r>
              <m:rPr>
                <m:sty m:val="p"/>
              </m:rPr>
              <w:rPr>
                <w:rFonts w:ascii="Cambria Math" w:hAnsi="Cambria Math" w:cs="Arial"/>
                <w:color w:val="000000"/>
              </w:rPr>
              <m:t>F</m:t>
            </m:r>
          </m:e>
          <m:sub>
            <m:r>
              <m:rPr>
                <m:sty m:val="p"/>
              </m:rPr>
              <w:rPr>
                <w:rFonts w:ascii="Cambria Math" w:hAnsi="Cambria Math" w:cs="Arial"/>
                <w:color w:val="000000"/>
              </w:rPr>
              <m:t>a</m:t>
            </m:r>
          </m:sub>
        </m:sSub>
        <m:r>
          <m:rPr>
            <m:sty m:val="p"/>
          </m:rPr>
          <w:rPr>
            <w:rFonts w:ascii="Cambria Math" w:eastAsia="Times New Roman" w:hAnsi="Cambria Math" w:cs="Arial"/>
            <w:color w:val="000000"/>
            <w:lang w:val="es-MX" w:eastAsia="es-ES"/>
          </w:rPr>
          <m:t>-</m:t>
        </m:r>
        <m:sSub>
          <m:sSubPr>
            <m:ctrlPr>
              <w:rPr>
                <w:rFonts w:ascii="Cambria Math" w:eastAsia="Times New Roman" w:hAnsi="Cambria Math" w:cs="Arial"/>
                <w:i/>
                <w:lang w:val="es-ES_tradnl" w:eastAsia="es-ES"/>
              </w:rPr>
            </m:ctrlPr>
          </m:sSubPr>
          <m:e>
            <m:r>
              <m:rPr>
                <m:sty m:val="p"/>
              </m:rPr>
              <w:rPr>
                <w:rFonts w:ascii="Cambria Math" w:hAnsi="Cambria Math" w:cs="Arial"/>
              </w:rPr>
              <m:t>F</m:t>
            </m:r>
          </m:e>
          <m:sub>
            <m:r>
              <m:rPr>
                <m:sty m:val="p"/>
              </m:rPr>
              <w:rPr>
                <w:rFonts w:ascii="Cambria Math" w:hAnsi="Cambria Math" w:cs="Arial"/>
              </w:rPr>
              <m:t>p</m:t>
            </m:r>
          </m:sub>
        </m:sSub>
        <m:r>
          <m:rPr>
            <m:sty m:val="p"/>
          </m:rPr>
          <w:rPr>
            <w:rFonts w:ascii="Cambria Math" w:eastAsia="Times New Roman" w:hAnsi="Cambria Math" w:cs="Arial"/>
            <w:lang w:val="es-ES_tradnl" w:eastAsia="es-ES"/>
          </w:rPr>
          <m:t>-</m:t>
        </m:r>
        <m:sSub>
          <m:sSubPr>
            <m:ctrlPr>
              <w:rPr>
                <w:rFonts w:ascii="Cambria Math" w:eastAsia="Times New Roman" w:hAnsi="Cambria Math" w:cs="Arial"/>
                <w:i/>
                <w:lang w:eastAsia="es-ES"/>
              </w:rPr>
            </m:ctrlPr>
          </m:sSubPr>
          <m:e>
            <m:r>
              <m:rPr>
                <m:sty m:val="p"/>
              </m:rPr>
              <w:rPr>
                <w:rFonts w:ascii="Cambria Math" w:hAnsi="Cambria Math" w:cs="Arial"/>
              </w:rPr>
              <m:t>F</m:t>
            </m:r>
          </m:e>
          <m:sub>
            <m:r>
              <m:rPr>
                <m:sty m:val="p"/>
              </m:rPr>
              <w:rPr>
                <w:rFonts w:ascii="Cambria Math" w:hAnsi="Cambria Math" w:cs="Arial"/>
              </w:rPr>
              <m:t>r</m:t>
            </m:r>
          </m:sub>
        </m:sSub>
      </m:oMath>
      <w:r w:rsidRPr="007C4D33">
        <w:rPr>
          <w:rFonts w:ascii="Arial" w:hAnsi="Arial" w:cs="Arial"/>
          <w:lang w:val="es-MX" w:eastAsia="es-ES"/>
        </w:rPr>
        <w:instrText xml:space="preserve"> </w:instrText>
      </w:r>
      <w:r w:rsidRPr="007C4D33">
        <w:rPr>
          <w:rFonts w:ascii="Arial" w:hAnsi="Arial" w:cs="Arial"/>
          <w:lang w:val="es-MX" w:eastAsia="es-ES"/>
        </w:rPr>
        <w:fldChar w:fldCharType="end"/>
      </w:r>
      <w:r w:rsidRPr="007C4D33">
        <w:rPr>
          <w:rFonts w:ascii="Arial" w:hAnsi="Arial" w:cs="Arial"/>
          <w:lang w:val="es-MX" w:eastAsia="es-ES"/>
        </w:rPr>
        <w:t xml:space="preserve"> </w:t>
      </w:r>
      <m:oMath>
        <m:r>
          <m:rPr>
            <m:nor/>
          </m:rPr>
          <w:rPr>
            <w:rFonts w:ascii="Cambria Math" w:eastAsia="Times New Roman" w:hAnsi="Cambria Math"/>
          </w:rPr>
          <m:t>Tasa de descuento</m:t>
        </m:r>
        <m:r>
          <w:rPr>
            <w:rFonts w:ascii="Cambria Math" w:eastAsia="Times New Roman" w:hAnsi="Cambria Math"/>
          </w:rPr>
          <m:t>=r=</m:t>
        </m:r>
        <m:r>
          <m:rPr>
            <m:nor/>
          </m:rPr>
          <w:rPr>
            <w:rFonts w:ascii="Cambria Math" w:eastAsia="Times New Roman" w:hAnsi="Cambria Math"/>
          </w:rPr>
          <m:t>Tasa Cetes</m:t>
        </m:r>
        <m:r>
          <w:rPr>
            <w:rFonts w:ascii="Cambria Math" w:eastAsia="Times New Roman" w:hAnsi="Cambria Math"/>
          </w:rPr>
          <m:t>+β×</m:t>
        </m:r>
        <m:r>
          <m:rPr>
            <m:nor/>
          </m:rPr>
          <w:rPr>
            <w:rFonts w:ascii="Cambria Math" w:eastAsia="Times New Roman" w:hAnsi="Cambria Math"/>
          </w:rPr>
          <m:t>Prima de Riesgo</m:t>
        </m:r>
      </m:oMath>
      <w:r>
        <w:rPr>
          <w:rFonts w:ascii="Arial" w:hAnsi="Arial" w:cs="Arial"/>
        </w:rPr>
        <w:t xml:space="preserve"> </w:t>
      </w:r>
      <w:r>
        <w:rPr>
          <w:rFonts w:ascii="Arial" w:hAnsi="Arial" w:cs="Arial"/>
          <w:lang w:val="es-MX" w:eastAsia="es-ES"/>
        </w:rPr>
        <w:t xml:space="preserve">          </w:t>
      </w:r>
      <w:r w:rsidRPr="00F7334B">
        <w:rPr>
          <w:sz w:val="22"/>
          <w:szCs w:val="22"/>
          <w:lang w:val="es-MX" w:eastAsia="es-ES"/>
        </w:rPr>
        <w:t>(5)</w:t>
      </w:r>
      <w:r w:rsidRPr="007C4D33">
        <w:rPr>
          <w:rFonts w:ascii="Arial" w:hAnsi="Arial" w:cs="Arial"/>
          <w:lang w:val="es-MX" w:eastAsia="es-ES"/>
        </w:rPr>
        <w:t xml:space="preserve">  </w:t>
      </w:r>
      <w:r>
        <w:rPr>
          <w:rFonts w:ascii="Arial" w:hAnsi="Arial" w:cs="Arial"/>
          <w:lang w:val="es-MX" w:eastAsia="es-ES"/>
        </w:rPr>
        <w:t xml:space="preserve"> </w:t>
      </w:r>
      <w:r w:rsidRPr="007C4D33">
        <w:rPr>
          <w:rFonts w:ascii="Arial" w:hAnsi="Arial" w:cs="Arial"/>
          <w:lang w:val="es-MX" w:eastAsia="es-ES"/>
        </w:rPr>
        <w:t xml:space="preserve">         </w:t>
      </w:r>
      <w:r>
        <w:rPr>
          <w:rFonts w:ascii="Arial" w:hAnsi="Arial" w:cs="Arial"/>
          <w:lang w:val="es-MX" w:eastAsia="es-ES"/>
        </w:rPr>
        <w:t xml:space="preserve">               </w:t>
      </w:r>
      <w:r>
        <w:rPr>
          <w:rFonts w:ascii="Arial" w:hAnsi="Arial" w:cs="Arial"/>
        </w:rPr>
        <w:t xml:space="preserve">                                 </w:t>
      </w:r>
    </w:p>
    <w:p w:rsidR="00CD0BA4" w:rsidRPr="00F33188" w:rsidRDefault="00CD0BA4" w:rsidP="00CD0BA4">
      <w:pPr>
        <w:rPr>
          <w:rFonts w:ascii="Arial" w:eastAsia="Times New Roman" w:hAnsi="Arial" w:cs="Arial"/>
        </w:rPr>
      </w:pPr>
    </w:p>
    <w:p w:rsidR="00CD0BA4" w:rsidRDefault="00CD0BA4" w:rsidP="00CD0BA4">
      <w:pPr>
        <w:jc w:val="both"/>
        <w:rPr>
          <w:rFonts w:ascii="Arial" w:eastAsia="Times New Roman" w:hAnsi="Arial" w:cs="Arial"/>
        </w:rPr>
      </w:pPr>
      <w:r w:rsidRPr="00795AA7">
        <w:rPr>
          <w:rFonts w:ascii="Arial" w:hAnsi="Arial" w:cs="Arial"/>
        </w:rPr>
        <w:t xml:space="preserve">         </w:t>
      </w:r>
      <w:r w:rsidRPr="00F33188">
        <w:rPr>
          <w:rFonts w:ascii="Arial" w:eastAsia="Times New Roman" w:hAnsi="Arial" w:cs="Arial"/>
        </w:rPr>
        <w:t>El grupo de trabajo que elabore la norma de vehículos pesados deberá realizar un estudio exhaustivo para obte</w:t>
      </w:r>
      <w:r>
        <w:rPr>
          <w:rFonts w:ascii="Arial" w:eastAsia="Times New Roman" w:hAnsi="Arial" w:cs="Arial"/>
        </w:rPr>
        <w:t>ner los insumos de esta fórmula;</w:t>
      </w:r>
      <w:r w:rsidRPr="00F33188">
        <w:rPr>
          <w:rFonts w:ascii="Arial" w:eastAsia="Times New Roman" w:hAnsi="Arial" w:cs="Arial"/>
        </w:rPr>
        <w:t xml:space="preserve"> sin embargo, varios autores han sustentado un rango de valores para la tasa de d</w:t>
      </w:r>
      <w:r>
        <w:rPr>
          <w:rFonts w:ascii="Arial" w:eastAsia="Times New Roman" w:hAnsi="Arial" w:cs="Arial"/>
        </w:rPr>
        <w:t>escuento en automóviles. Busse</w:t>
      </w:r>
      <w:r w:rsidRPr="00F33188">
        <w:rPr>
          <w:rFonts w:ascii="Arial" w:eastAsia="Times New Roman" w:hAnsi="Arial" w:cs="Arial"/>
        </w:rPr>
        <w:t xml:space="preserve"> </w:t>
      </w:r>
      <w:r w:rsidRPr="00A5432A">
        <w:rPr>
          <w:rFonts w:ascii="Arial" w:hAnsi="Arial" w:cs="Arial"/>
          <w:vertAlign w:val="superscript"/>
        </w:rPr>
        <w:t>[3]</w:t>
      </w:r>
      <w:r w:rsidRPr="00F33188">
        <w:rPr>
          <w:rFonts w:ascii="Arial" w:eastAsia="Times New Roman" w:hAnsi="Arial" w:cs="Arial"/>
        </w:rPr>
        <w:t xml:space="preserve"> propone para el caso de Estados Unidos que este rendimiento se encuentra dentro del rango 0% - 20%, mientras Verboven </w:t>
      </w:r>
      <w:r w:rsidRPr="00A5432A">
        <w:rPr>
          <w:rFonts w:ascii="Arial" w:hAnsi="Arial" w:cs="Arial"/>
          <w:vertAlign w:val="superscript"/>
        </w:rPr>
        <w:t>[4]</w:t>
      </w:r>
      <w:r w:rsidRPr="00F33188">
        <w:rPr>
          <w:rFonts w:ascii="Arial" w:eastAsia="Times New Roman" w:hAnsi="Arial" w:cs="Arial"/>
        </w:rPr>
        <w:t xml:space="preserve"> los encuentra dentro del rango 5% - 13% para Europa. Aludiendo a estos resultados, el Ministerio de Comercio e Industria de Singapur </w:t>
      </w:r>
      <w:r w:rsidRPr="00A5432A">
        <w:rPr>
          <w:rFonts w:ascii="Arial" w:hAnsi="Arial" w:cs="Arial"/>
          <w:vertAlign w:val="superscript"/>
        </w:rPr>
        <w:t>[5]</w:t>
      </w:r>
      <w:r w:rsidRPr="00F33188">
        <w:rPr>
          <w:rFonts w:ascii="Arial" w:eastAsia="Times New Roman" w:hAnsi="Arial" w:cs="Arial"/>
        </w:rPr>
        <w:t xml:space="preserve"> propone un valor de 10% en sus </w:t>
      </w:r>
      <w:r>
        <w:rPr>
          <w:rFonts w:ascii="Arial" w:eastAsia="Times New Roman" w:hAnsi="Arial" w:cs="Arial"/>
        </w:rPr>
        <w:t>cálculos del VPN</w:t>
      </w:r>
      <w:r w:rsidRPr="00F33188">
        <w:rPr>
          <w:rFonts w:ascii="Arial" w:eastAsia="Times New Roman" w:hAnsi="Arial" w:cs="Arial"/>
        </w:rPr>
        <w:t xml:space="preserve"> aplicable a ahorros derivados de avances en la eficiencia energética de a</w:t>
      </w:r>
      <w:r>
        <w:rPr>
          <w:rFonts w:ascii="Arial" w:eastAsia="Times New Roman" w:hAnsi="Arial" w:cs="Arial"/>
        </w:rPr>
        <w:t xml:space="preserve">utomóviles. </w:t>
      </w:r>
    </w:p>
    <w:p w:rsidR="00CD0BA4" w:rsidRPr="00F33188" w:rsidRDefault="00CD0BA4" w:rsidP="00CD0BA4">
      <w:pPr>
        <w:jc w:val="both"/>
        <w:rPr>
          <w:rFonts w:ascii="Arial" w:eastAsia="Times New Roman" w:hAnsi="Arial" w:cs="Arial"/>
        </w:rPr>
      </w:pPr>
      <w:r w:rsidRPr="00795AA7">
        <w:rPr>
          <w:rFonts w:ascii="Arial" w:hAnsi="Arial" w:cs="Arial"/>
        </w:rPr>
        <w:t xml:space="preserve">         </w:t>
      </w:r>
      <w:r w:rsidRPr="00F33188">
        <w:rPr>
          <w:rFonts w:ascii="Arial" w:eastAsia="Times New Roman" w:hAnsi="Arial" w:cs="Arial"/>
        </w:rPr>
        <w:t xml:space="preserve">Dado que </w:t>
      </w:r>
      <m:oMath>
        <m:r>
          <w:rPr>
            <w:rFonts w:ascii="Cambria Math" w:eastAsia="Times New Roman" w:hAnsi="Cambria Math"/>
          </w:rPr>
          <m:t>r=10%</m:t>
        </m:r>
      </m:oMath>
      <w:r w:rsidRPr="00F33188">
        <w:rPr>
          <w:rFonts w:ascii="Arial" w:eastAsia="Times New Roman" w:hAnsi="Arial" w:cs="Arial"/>
        </w:rPr>
        <w:t xml:space="preserve"> cae dentro de los rangos prop</w:t>
      </w:r>
      <w:r>
        <w:rPr>
          <w:rFonts w:ascii="Arial" w:eastAsia="Times New Roman" w:hAnsi="Arial" w:cs="Arial"/>
        </w:rPr>
        <w:t xml:space="preserve">uestos por Verboven y Busse </w:t>
      </w:r>
      <w:r w:rsidRPr="00A5432A">
        <w:rPr>
          <w:rFonts w:ascii="Arial" w:hAnsi="Arial" w:cs="Arial"/>
          <w:vertAlign w:val="superscript"/>
        </w:rPr>
        <w:t>[3]</w:t>
      </w:r>
      <w:r w:rsidRPr="00AC2068">
        <w:rPr>
          <w:rFonts w:ascii="Arial" w:hAnsi="Arial" w:cs="Arial"/>
          <w:b/>
          <w:vertAlign w:val="superscript"/>
        </w:rPr>
        <w:t xml:space="preserve"> </w:t>
      </w:r>
      <w:r w:rsidRPr="00A5432A">
        <w:rPr>
          <w:rFonts w:ascii="Arial" w:hAnsi="Arial" w:cs="Arial"/>
          <w:vertAlign w:val="superscript"/>
        </w:rPr>
        <w:t>[4]</w:t>
      </w:r>
      <w:r w:rsidRPr="00F33188">
        <w:rPr>
          <w:rFonts w:ascii="Arial" w:eastAsia="Times New Roman" w:hAnsi="Arial" w:cs="Arial"/>
        </w:rPr>
        <w:t>, se puede tomar este valor para realizar aproximaciones a los ahorros resultantes en valor presente por la utilización de vehículos eficientes.</w:t>
      </w:r>
      <w:r w:rsidRPr="00FF3768">
        <w:rPr>
          <w:rFonts w:ascii="Arial" w:eastAsia="Times New Roman" w:hAnsi="Arial" w:cs="Arial"/>
        </w:rPr>
        <w:t xml:space="preserve"> </w:t>
      </w:r>
      <w:r>
        <w:rPr>
          <w:rFonts w:ascii="Arial" w:eastAsia="Times New Roman" w:hAnsi="Arial" w:cs="Arial"/>
        </w:rPr>
        <w:t>En este trabajo por lo tanto usamos r=10% que se puede modificar en el futuro al valor que se acuerde en el grupo de trabajo que diseñe la norma.</w:t>
      </w:r>
    </w:p>
    <w:p w:rsidR="00CD0BA4" w:rsidRDefault="00CD0BA4" w:rsidP="00CD0BA4">
      <w:pPr>
        <w:jc w:val="both"/>
        <w:rPr>
          <w:rFonts w:ascii="Arial" w:eastAsia="Times New Roman" w:hAnsi="Arial" w:cs="Arial"/>
        </w:rPr>
      </w:pPr>
      <w:r w:rsidRPr="00795AA7">
        <w:rPr>
          <w:rFonts w:ascii="Arial" w:hAnsi="Arial" w:cs="Arial"/>
        </w:rPr>
        <w:t xml:space="preserve">      </w:t>
      </w:r>
      <w:r>
        <w:rPr>
          <w:rFonts w:ascii="Arial" w:eastAsia="Times New Roman" w:hAnsi="Arial" w:cs="Arial"/>
        </w:rPr>
        <w:t>Así es que el VPN compara un vehículo</w:t>
      </w:r>
      <w:r w:rsidRPr="00F33188">
        <w:rPr>
          <w:rFonts w:ascii="Arial" w:eastAsia="Times New Roman" w:hAnsi="Arial" w:cs="Arial"/>
        </w:rPr>
        <w:t xml:space="preserve"> con otro de mayor eficiencia, trayen</w:t>
      </w:r>
      <w:r>
        <w:rPr>
          <w:rFonts w:ascii="Arial" w:eastAsia="Times New Roman" w:hAnsi="Arial" w:cs="Arial"/>
        </w:rPr>
        <w:t>do los ahorros a valor presente.</w:t>
      </w:r>
    </w:p>
    <w:p w:rsidR="00CD0BA4" w:rsidRPr="00F33188" w:rsidRDefault="00CD0BA4" w:rsidP="00CD0BA4">
      <w:pPr>
        <w:jc w:val="both"/>
        <w:rPr>
          <w:rFonts w:ascii="Arial" w:hAnsi="Arial" w:cs="Arial"/>
          <w:color w:val="000000"/>
        </w:rPr>
      </w:pPr>
    </w:p>
    <w:p w:rsidR="00CD0BA4" w:rsidRDefault="00CD0BA4" w:rsidP="00CD0BA4">
      <w:pPr>
        <w:pStyle w:val="1Titulo"/>
        <w:numPr>
          <w:ilvl w:val="0"/>
          <w:numId w:val="0"/>
        </w:numPr>
        <w:ind w:left="357"/>
      </w:pPr>
      <w:bookmarkStart w:id="322" w:name="_Toc50031370"/>
      <w:r>
        <w:rPr>
          <w:caps/>
        </w:rPr>
        <w:lastRenderedPageBreak/>
        <w:t>4</w:t>
      </w:r>
      <w:r w:rsidRPr="00F33188">
        <w:rPr>
          <w:caps/>
        </w:rPr>
        <w:t xml:space="preserve">. </w:t>
      </w:r>
      <w:r w:rsidRPr="00F33188">
        <w:t xml:space="preserve">Modelo del costo </w:t>
      </w:r>
      <w:r w:rsidRPr="00FB6FC1">
        <w:t>beneficio de un aumento en la eficiencia energética de un tractocamión</w:t>
      </w:r>
      <w:bookmarkEnd w:id="322"/>
    </w:p>
    <w:p w:rsidR="00CD0BA4" w:rsidRPr="000F2BF5" w:rsidRDefault="00CD0BA4" w:rsidP="00CD0BA4"/>
    <w:p w:rsidR="00CD0BA4" w:rsidRDefault="00CD0BA4" w:rsidP="00CD0BA4">
      <w:pPr>
        <w:jc w:val="both"/>
        <w:rPr>
          <w:rFonts w:ascii="Arial" w:eastAsia="Times New Roman" w:hAnsi="Arial" w:cs="Arial"/>
        </w:rPr>
      </w:pPr>
      <w:r>
        <w:rPr>
          <w:rFonts w:ascii="Arial" w:hAnsi="Arial" w:cs="Arial"/>
          <w:b/>
        </w:rPr>
        <w:t xml:space="preserve">          </w:t>
      </w:r>
      <w:r w:rsidRPr="00321059">
        <w:rPr>
          <w:rFonts w:ascii="Arial" w:hAnsi="Arial" w:cs="Arial"/>
        </w:rPr>
        <w:t xml:space="preserve">Como un vehículo eficiente cuesta más, consideramos que el incremento en el costo de los vehículos pesados aumenta de acuerdo al aumento en su eficiencia energética (disminución del consumo de combustible </w:t>
      </w:r>
      <w:r>
        <w:rPr>
          <w:rFonts w:ascii="Arial" w:hAnsi="Arial" w:cs="Arial"/>
        </w:rPr>
        <w:t xml:space="preserve">por kilómetro) </w:t>
      </w:r>
      <w:r w:rsidRPr="00321059">
        <w:rPr>
          <w:rFonts w:ascii="Arial" w:hAnsi="Arial" w:cs="Arial"/>
        </w:rPr>
        <w:t>como se muestra en</w:t>
      </w:r>
      <w:r>
        <w:rPr>
          <w:rFonts w:ascii="Arial" w:eastAsia="Times New Roman" w:hAnsi="Arial" w:cs="Arial"/>
        </w:rPr>
        <w:t xml:space="preserve"> la ecuación 6</w:t>
      </w:r>
      <w:r w:rsidRPr="00413804">
        <w:rPr>
          <w:rFonts w:ascii="Arial" w:eastAsia="Times New Roman" w:hAnsi="Arial" w:cs="Arial"/>
        </w:rPr>
        <w:t xml:space="preserve">. En esa ecuación </w:t>
      </w:r>
      <m:oMath>
        <m:sSub>
          <m:sSubPr>
            <m:ctrlPr>
              <w:rPr>
                <w:rFonts w:ascii="Cambria Math" w:hAnsi="Cambria Math" w:cs="Arial"/>
                <w:i/>
              </w:rPr>
            </m:ctrlPr>
          </m:sSubPr>
          <m:e>
            <m:r>
              <w:rPr>
                <w:rFonts w:ascii="Cambria Math" w:hAnsi="Cambria Math" w:cs="Arial"/>
              </w:rPr>
              <m:t>P</m:t>
            </m:r>
          </m:e>
          <m:sub>
            <m:r>
              <w:rPr>
                <w:rFonts w:ascii="Cambria Math" w:hAnsi="Cambria Math" w:cs="Arial"/>
              </w:rPr>
              <m:t>c</m:t>
            </m:r>
          </m:sub>
        </m:sSub>
      </m:oMath>
      <w:r w:rsidRPr="00413804">
        <w:rPr>
          <w:rFonts w:ascii="Arial" w:eastAsia="Times New Roman" w:hAnsi="Arial" w:cs="Arial"/>
        </w:rPr>
        <w:t xml:space="preserve">, es el precio del vehículo con consumo de combustible </w:t>
      </w:r>
      <m:oMath>
        <m:r>
          <w:rPr>
            <w:rFonts w:ascii="Cambria Math" w:eastAsia="Times New Roman" w:hAnsi="Cambria Math" w:cs="Arial"/>
          </w:rPr>
          <m:t>c</m:t>
        </m:r>
      </m:oMath>
      <w:r w:rsidRPr="00413804">
        <w:rPr>
          <w:rFonts w:ascii="Arial" w:eastAsia="Times New Roman" w:hAnsi="Arial" w:cs="Arial"/>
        </w:rPr>
        <w:t xml:space="preserve">. El consumo de combustible </w:t>
      </w:r>
      <m:oMath>
        <m:r>
          <w:rPr>
            <w:rFonts w:ascii="Cambria Math" w:eastAsia="Times New Roman" w:hAnsi="Cambria Math" w:cs="Arial"/>
          </w:rPr>
          <m:t>c</m:t>
        </m:r>
      </m:oMath>
      <w:r w:rsidRPr="00413804">
        <w:rPr>
          <w:rFonts w:ascii="Arial" w:eastAsia="Times New Roman" w:hAnsi="Arial" w:cs="Arial"/>
        </w:rPr>
        <w:t xml:space="preserve">, se proporciona en litros/km cuando se transporta una carga de 20 tons. </w:t>
      </w:r>
      <m:oMath>
        <m:sSub>
          <m:sSubPr>
            <m:ctrlPr>
              <w:rPr>
                <w:rFonts w:ascii="Cambria Math" w:hAnsi="Cambria Math" w:cs="Arial"/>
                <w:i/>
              </w:rPr>
            </m:ctrlPr>
          </m:sSubPr>
          <m:e>
            <m:r>
              <w:rPr>
                <w:rFonts w:ascii="Cambria Math" w:hAnsi="Cambria Math" w:cs="Arial"/>
              </w:rPr>
              <m:t>P</m:t>
            </m:r>
          </m:e>
          <m:sub>
            <m:r>
              <w:rPr>
                <w:rFonts w:ascii="Cambria Math" w:hAnsi="Cambria Math" w:cs="Arial"/>
              </w:rPr>
              <m:t>c0</m:t>
            </m:r>
          </m:sub>
        </m:sSub>
      </m:oMath>
      <w:r w:rsidRPr="00413804">
        <w:rPr>
          <w:rFonts w:ascii="Arial" w:eastAsia="Times New Roman" w:hAnsi="Arial" w:cs="Arial"/>
        </w:rPr>
        <w:t xml:space="preserve"> es el precio del vehículo que tiene el mayor consumo de combustible </w:t>
      </w:r>
      <m:oMath>
        <m:r>
          <w:rPr>
            <w:rFonts w:ascii="Cambria Math" w:eastAsia="Times New Roman" w:hAnsi="Cambria Math" w:cs="Arial"/>
          </w:rPr>
          <m:t>c0,</m:t>
        </m:r>
      </m:oMath>
      <w:r w:rsidRPr="00413804">
        <w:rPr>
          <w:rFonts w:ascii="Arial" w:eastAsia="Times New Roman" w:hAnsi="Arial" w:cs="Arial"/>
        </w:rPr>
        <w:t xml:space="preserve"> que es el consumo de referencia (el consumo del vehículo más ineficiente, energéticamente hablando) cuando el vehículo transporta una carga de 20 tons. </w:t>
      </w:r>
      <m:oMath>
        <m:r>
          <w:rPr>
            <w:rFonts w:ascii="Cambria Math" w:eastAsia="Times New Roman" w:hAnsi="Cambria Math" w:cs="Arial"/>
          </w:rPr>
          <m:t>c0</m:t>
        </m:r>
      </m:oMath>
      <w:r w:rsidRPr="00413804">
        <w:rPr>
          <w:rFonts w:ascii="Arial" w:eastAsia="Times New Roman" w:hAnsi="Arial" w:cs="Arial"/>
        </w:rPr>
        <w:t xml:space="preserve"> sería el consumo de un vehículo pesado sin que existiera una norma de combustible y </w:t>
      </w:r>
      <m:oMath>
        <m:r>
          <w:rPr>
            <w:rFonts w:ascii="Cambria Math" w:eastAsia="Times New Roman" w:hAnsi="Cambria Math" w:cs="Arial"/>
          </w:rPr>
          <m:t>c</m:t>
        </m:r>
      </m:oMath>
      <w:r w:rsidRPr="00413804">
        <w:rPr>
          <w:rFonts w:ascii="Arial" w:eastAsia="Times New Roman" w:hAnsi="Arial" w:cs="Arial"/>
        </w:rPr>
        <w:t xml:space="preserve"> sería el consumo que exigiría una norma de consumo de combustible. Suponemos en este trabajo que la norma establecerá que las pruebas de consumo de combustible de los tractocamiones se realicen con una carga de 20 tons, si no es así los cálculos en el futuro se tendrían que hacer con los datos que se requieran por la norma. En este trabajo, el consumo más ineficiente (más grande) de un vehículo nuevo se toma como 0.3 litros/km, o sea un rendimiento de combustible de 3.333 kilómetros por litro cuando transporta una carga de 20 tons. Usamos supuestos para una norma que todavía no está diseñada pero que antes de implementarla se deben tener las herramientas para calcular el consumo de combustible y el costo beneficio de su implantación. </w:t>
      </w:r>
      <w:r w:rsidRPr="00340096">
        <w:rPr>
          <w:rFonts w:ascii="Arial" w:eastAsia="Times New Roman" w:hAnsi="Arial" w:cs="Arial"/>
        </w:rPr>
        <w:t>En otro trabajo que se publicará se reporta el modelo para calcular el consumo de combustible de los tractocamiones y en este trabajo se muestra un modelo de costo beneficio de la adquisición de vehículos más eficientes.</w:t>
      </w:r>
    </w:p>
    <w:p w:rsidR="00CD0BA4" w:rsidRDefault="00CD0BA4" w:rsidP="00CD0BA4">
      <w:pPr>
        <w:jc w:val="both"/>
        <w:rPr>
          <w:rFonts w:ascii="Arial" w:eastAsia="Times New Roman" w:hAnsi="Arial" w:cs="Arial"/>
        </w:rPr>
      </w:pPr>
      <w:r w:rsidRPr="00472465">
        <w:rPr>
          <w:rFonts w:ascii="Arial" w:hAnsi="Arial" w:cs="Arial"/>
          <w:b/>
        </w:rPr>
        <w:t xml:space="preserve">          </w:t>
      </w:r>
      <w:r w:rsidRPr="00472465">
        <w:rPr>
          <w:rFonts w:ascii="Arial" w:eastAsia="Times New Roman" w:hAnsi="Arial" w:cs="Arial"/>
        </w:rPr>
        <w:t>El precio de los vehículos depende del paquete tecnológico (o sea las partes del vehículo, que son motor, transmisión, llantas, diferencial, etcétera) que se use para lograr disminuir el consumo de combustible. Los paquetes tecnológicos pueden ser diferentes para lograr el mismo consumo, aunque con precios distintos. Se considera que el p</w:t>
      </w:r>
      <w:r>
        <w:rPr>
          <w:rFonts w:ascii="Arial" w:eastAsia="Times New Roman" w:hAnsi="Arial" w:cs="Arial"/>
        </w:rPr>
        <w:t>recio de toda la unidad de carga</w:t>
      </w:r>
      <w:r w:rsidRPr="00472465">
        <w:rPr>
          <w:rFonts w:ascii="Arial" w:eastAsia="Times New Roman" w:hAnsi="Arial" w:cs="Arial"/>
        </w:rPr>
        <w:t xml:space="preserve"> (tracto </w:t>
      </w:r>
      <w:r>
        <w:rPr>
          <w:rFonts w:ascii="Arial" w:eastAsia="Times New Roman" w:hAnsi="Arial" w:cs="Arial"/>
        </w:rPr>
        <w:t xml:space="preserve">(parte motriz) </w:t>
      </w:r>
      <w:r w:rsidRPr="00472465">
        <w:rPr>
          <w:rFonts w:ascii="Arial" w:eastAsia="Times New Roman" w:hAnsi="Arial" w:cs="Arial"/>
        </w:rPr>
        <w:t xml:space="preserve">más el remolque </w:t>
      </w:r>
      <w:r>
        <w:rPr>
          <w:rFonts w:ascii="Arial" w:eastAsia="Times New Roman" w:hAnsi="Arial" w:cs="Arial"/>
        </w:rPr>
        <w:t xml:space="preserve">(en el que se deposita la carga) </w:t>
      </w:r>
      <w:r w:rsidRPr="00472465">
        <w:rPr>
          <w:rFonts w:ascii="Arial" w:eastAsia="Times New Roman" w:hAnsi="Arial" w:cs="Arial"/>
        </w:rPr>
        <w:t xml:space="preserve">al que denominamos tractocamión) es de $2800000.00 pesos para el vehículo con la eficiencia más baja, o sea el del consumo de combustible más alto que es </w:t>
      </w:r>
      <m:oMath>
        <m:r>
          <w:rPr>
            <w:rFonts w:ascii="Cambria Math" w:hAnsi="Cambria Math" w:cs="Arial"/>
          </w:rPr>
          <m:t>c0</m:t>
        </m:r>
      </m:oMath>
      <w:r w:rsidRPr="00472465">
        <w:rPr>
          <w:rFonts w:ascii="Arial" w:eastAsia="Times New Roman" w:hAnsi="Arial" w:cs="Arial"/>
        </w:rPr>
        <w:t xml:space="preserve">. Todos los precios de los vehículos con diferentes consumos se estiman para el año en el que suponemos entrará en operación la norma, que en este trabajo suponemos que es en el año de 2021, únicamente para mostrar cómo funciona el modelo y porque es más fácil suponer los </w:t>
      </w:r>
      <w:r w:rsidRPr="0063500A">
        <w:rPr>
          <w:rFonts w:ascii="Arial" w:eastAsia="Times New Roman" w:hAnsi="Arial" w:cs="Arial"/>
        </w:rPr>
        <w:t>costos de los tractocamiones y el precio del diésel, debido a que en los pocos años siguientes podría existir una gran turbulencia en la economía del país debido a los estragos del coronavirus.</w:t>
      </w:r>
    </w:p>
    <w:p w:rsidR="00CD0BA4" w:rsidRDefault="00CD0BA4" w:rsidP="00CD0BA4">
      <w:pPr>
        <w:jc w:val="both"/>
        <w:rPr>
          <w:rFonts w:ascii="Arial" w:eastAsia="Times New Roman" w:hAnsi="Arial" w:cs="Arial"/>
        </w:rPr>
      </w:pPr>
    </w:p>
    <w:p w:rsidR="00CD0BA4" w:rsidRDefault="00CD0BA4" w:rsidP="00CD0BA4">
      <w:pPr>
        <w:jc w:val="both"/>
        <w:rPr>
          <w:lang w:val="es-MX"/>
        </w:rPr>
      </w:pPr>
      <w:r>
        <w:rPr>
          <w:rFonts w:ascii="Arial" w:hAnsi="Arial" w:cs="Arial"/>
          <w:lang w:val="es-MX" w:eastAsia="es-ES"/>
        </w:rPr>
        <w:t xml:space="preserve">                                 </w:t>
      </w:r>
      <w:r w:rsidRPr="00543DD4">
        <w:rPr>
          <w:lang w:val="es-MX"/>
        </w:rPr>
        <w:t xml:space="preserve">  </w:t>
      </w:r>
      <m:oMath>
        <m:sSub>
          <m:sSubPr>
            <m:ctrlPr>
              <w:rPr>
                <w:rFonts w:ascii="Cambria Math" w:hAnsi="Cambria Math" w:cs="Arial"/>
                <w:i/>
              </w:rPr>
            </m:ctrlPr>
          </m:sSubPr>
          <m:e>
            <m:r>
              <w:rPr>
                <w:rFonts w:ascii="Cambria Math" w:hAnsi="Cambria Math" w:cs="Arial"/>
              </w:rPr>
              <m:t>P</m:t>
            </m:r>
          </m:e>
          <m:sub>
            <m:r>
              <w:rPr>
                <w:rFonts w:ascii="Cambria Math" w:hAnsi="Cambria Math" w:cs="Arial"/>
              </w:rPr>
              <m:t>c</m:t>
            </m:r>
          </m:sub>
        </m:sSub>
        <m:r>
          <w:rPr>
            <w:rFonts w:ascii="Cambria Math" w:hAnsi="Cambria Math" w:cs="Arial"/>
          </w:rPr>
          <m:t>=</m:t>
        </m:r>
        <m:sSub>
          <m:sSubPr>
            <m:ctrlPr>
              <w:rPr>
                <w:rFonts w:ascii="Cambria Math" w:hAnsi="Cambria Math" w:cs="Arial"/>
                <w:i/>
              </w:rPr>
            </m:ctrlPr>
          </m:sSubPr>
          <m:e>
            <m:r>
              <w:rPr>
                <w:rFonts w:ascii="Cambria Math" w:hAnsi="Cambria Math" w:cs="Arial"/>
              </w:rPr>
              <m:t>P</m:t>
            </m:r>
          </m:e>
          <m:sub>
            <m:r>
              <w:rPr>
                <w:rFonts w:ascii="Cambria Math" w:hAnsi="Cambria Math" w:cs="Arial"/>
              </w:rPr>
              <m:t>c0</m:t>
            </m:r>
          </m:sub>
        </m:sSub>
        <m:r>
          <w:rPr>
            <w:rFonts w:ascii="Cambria Math" w:hAnsi="Cambria Math" w:cs="Arial"/>
          </w:rPr>
          <m:t>+μ*</m:t>
        </m:r>
        <m:sSub>
          <m:sSubPr>
            <m:ctrlPr>
              <w:rPr>
                <w:rFonts w:ascii="Cambria Math" w:hAnsi="Cambria Math" w:cs="Arial"/>
                <w:i/>
              </w:rPr>
            </m:ctrlPr>
          </m:sSubPr>
          <m:e>
            <m:r>
              <w:rPr>
                <w:rFonts w:ascii="Cambria Math" w:hAnsi="Cambria Math" w:cs="Arial"/>
              </w:rPr>
              <m:t>P</m:t>
            </m:r>
          </m:e>
          <m:sub>
            <m:r>
              <w:rPr>
                <w:rFonts w:ascii="Cambria Math" w:hAnsi="Cambria Math" w:cs="Arial"/>
              </w:rPr>
              <m:t>c0</m:t>
            </m:r>
          </m:sub>
        </m:sSub>
        <m:r>
          <w:rPr>
            <w:rFonts w:ascii="Cambria Math" w:hAnsi="Cambria Math" w:cs="Arial"/>
          </w:rPr>
          <m:t>*</m:t>
        </m:r>
        <m:d>
          <m:dPr>
            <m:ctrlPr>
              <w:rPr>
                <w:rFonts w:ascii="Cambria Math" w:hAnsi="Cambria Math" w:cs="Arial"/>
                <w:i/>
              </w:rPr>
            </m:ctrlPr>
          </m:dPr>
          <m:e>
            <m:f>
              <m:fPr>
                <m:ctrlPr>
                  <w:rPr>
                    <w:rFonts w:ascii="Cambria Math" w:hAnsi="Cambria Math" w:cs="Arial"/>
                    <w:i/>
                  </w:rPr>
                </m:ctrlPr>
              </m:fPr>
              <m:num>
                <m:r>
                  <w:rPr>
                    <w:rFonts w:ascii="Cambria Math" w:hAnsi="Cambria Math" w:cs="Arial"/>
                  </w:rPr>
                  <m:t>c0-c</m:t>
                </m:r>
              </m:num>
              <m:den>
                <m:r>
                  <w:rPr>
                    <w:rFonts w:ascii="Cambria Math" w:hAnsi="Cambria Math" w:cs="Arial"/>
                  </w:rPr>
                  <m:t>c0</m:t>
                </m:r>
              </m:den>
            </m:f>
          </m:e>
        </m:d>
        <m:r>
          <w:rPr>
            <w:rFonts w:ascii="Cambria Math" w:hAnsi="Cambria Math" w:cs="Arial"/>
          </w:rPr>
          <m:t>+α*</m:t>
        </m:r>
        <m:sSub>
          <m:sSubPr>
            <m:ctrlPr>
              <w:rPr>
                <w:rFonts w:ascii="Cambria Math" w:hAnsi="Cambria Math" w:cs="Arial"/>
                <w:i/>
              </w:rPr>
            </m:ctrlPr>
          </m:sSubPr>
          <m:e>
            <m:r>
              <w:rPr>
                <w:rFonts w:ascii="Cambria Math" w:hAnsi="Cambria Math" w:cs="Arial"/>
              </w:rPr>
              <m:t>P</m:t>
            </m:r>
          </m:e>
          <m:sub>
            <m:r>
              <w:rPr>
                <w:rFonts w:ascii="Cambria Math" w:hAnsi="Cambria Math" w:cs="Arial"/>
              </w:rPr>
              <m:t>c0</m:t>
            </m:r>
          </m:sub>
        </m:sSub>
        <m:r>
          <w:rPr>
            <w:rFonts w:ascii="Cambria Math" w:hAnsi="Cambria Math" w:cs="Arial"/>
          </w:rPr>
          <m:t>*</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w:rPr>
                        <w:rFonts w:ascii="Cambria Math" w:hAnsi="Cambria Math" w:cs="Arial"/>
                      </w:rPr>
                      <m:t>c0-c</m:t>
                    </m:r>
                  </m:num>
                  <m:den>
                    <m:r>
                      <w:rPr>
                        <w:rFonts w:ascii="Cambria Math" w:hAnsi="Cambria Math" w:cs="Arial"/>
                      </w:rPr>
                      <m:t>c0</m:t>
                    </m:r>
                  </m:den>
                </m:f>
              </m:e>
            </m:d>
          </m:e>
          <m:sup>
            <m:r>
              <w:rPr>
                <w:rFonts w:ascii="Cambria Math" w:hAnsi="Cambria Math" w:cs="Arial"/>
              </w:rPr>
              <m:t>β</m:t>
            </m:r>
          </m:sup>
        </m:sSup>
      </m:oMath>
      <w:r w:rsidRPr="007C4D33">
        <w:rPr>
          <w:rFonts w:ascii="Arial" w:hAnsi="Arial" w:cs="Arial"/>
          <w:lang w:val="es-MX" w:eastAsia="es-ES"/>
        </w:rPr>
        <w:t xml:space="preserve">              </w:t>
      </w:r>
      <w:r>
        <w:rPr>
          <w:rFonts w:ascii="Arial" w:hAnsi="Arial" w:cs="Arial"/>
          <w:lang w:val="es-MX" w:eastAsia="es-ES"/>
        </w:rPr>
        <w:t xml:space="preserve"> </w:t>
      </w:r>
      <w:r w:rsidRPr="007C4D33">
        <w:rPr>
          <w:rFonts w:ascii="Arial" w:hAnsi="Arial" w:cs="Arial"/>
          <w:lang w:val="es-MX" w:eastAsia="es-ES"/>
        </w:rPr>
        <w:t xml:space="preserve">         </w:t>
      </w:r>
      <w:r>
        <w:rPr>
          <w:rFonts w:ascii="Arial" w:hAnsi="Arial" w:cs="Arial"/>
          <w:lang w:val="es-MX" w:eastAsia="es-ES"/>
        </w:rPr>
        <w:t xml:space="preserve">       </w:t>
      </w:r>
      <w:r w:rsidRPr="00543DD4">
        <w:rPr>
          <w:lang w:val="es-MX"/>
        </w:rPr>
        <w:t xml:space="preserve"> </w:t>
      </w:r>
      <w:r w:rsidRPr="001E25B5">
        <w:rPr>
          <w:sz w:val="22"/>
          <w:szCs w:val="22"/>
          <w:lang w:val="es-MX"/>
        </w:rPr>
        <w:t>(6)</w:t>
      </w:r>
      <w:r w:rsidRPr="00543DD4">
        <w:rPr>
          <w:lang w:val="es-MX"/>
        </w:rPr>
        <w:t xml:space="preserve">         </w:t>
      </w:r>
    </w:p>
    <w:p w:rsidR="00CD0BA4" w:rsidRDefault="00CD0BA4" w:rsidP="00CD0BA4">
      <w:pPr>
        <w:jc w:val="both"/>
        <w:rPr>
          <w:rFonts w:ascii="Arial" w:hAnsi="Arial" w:cs="Arial"/>
          <w:b/>
        </w:rPr>
      </w:pPr>
    </w:p>
    <w:p w:rsidR="00CD0BA4" w:rsidRPr="00472465" w:rsidRDefault="00CD0BA4" w:rsidP="00CD0BA4">
      <w:pPr>
        <w:jc w:val="both"/>
        <w:rPr>
          <w:rFonts w:ascii="Arial" w:eastAsia="Times New Roman" w:hAnsi="Arial" w:cs="Arial"/>
        </w:rPr>
      </w:pPr>
      <w:r>
        <w:rPr>
          <w:rFonts w:ascii="Arial" w:hAnsi="Arial" w:cs="Arial"/>
          <w:b/>
        </w:rPr>
        <w:t xml:space="preserve">          </w:t>
      </w:r>
      <w:r>
        <w:rPr>
          <w:rFonts w:ascii="Arial" w:eastAsia="Times New Roman" w:hAnsi="Arial" w:cs="Arial"/>
        </w:rPr>
        <w:t>En la Ecuación 6</w:t>
      </w:r>
      <w:r w:rsidRPr="00472465">
        <w:rPr>
          <w:rFonts w:ascii="Arial" w:eastAsia="Times New Roman" w:hAnsi="Arial" w:cs="Arial"/>
        </w:rPr>
        <w:t xml:space="preserve"> los dos últimos términos representan el incremento en el costo por la adquisición de un vehículo más eficiente que el que tiene un consumo de </w:t>
      </w:r>
      <m:oMath>
        <m:r>
          <w:rPr>
            <w:rFonts w:ascii="Cambria Math" w:hAnsi="Cambria Math" w:cs="Arial"/>
          </w:rPr>
          <m:t>c0</m:t>
        </m:r>
      </m:oMath>
      <w:r w:rsidRPr="00472465">
        <w:rPr>
          <w:rFonts w:ascii="Arial" w:eastAsia="Times New Roman" w:hAnsi="Arial" w:cs="Arial"/>
        </w:rPr>
        <w:t>. En la ecuación</w:t>
      </w:r>
      <w:r>
        <w:rPr>
          <w:rFonts w:ascii="Arial" w:eastAsia="Times New Roman" w:hAnsi="Arial" w:cs="Arial"/>
        </w:rPr>
        <w:t xml:space="preserve"> 6</w:t>
      </w:r>
      <w:r w:rsidRPr="00472465">
        <w:rPr>
          <w:rFonts w:ascii="Arial" w:eastAsia="Times New Roman" w:hAnsi="Arial" w:cs="Arial"/>
        </w:rPr>
        <w:t xml:space="preserve">, las </w:t>
      </w:r>
      <w:r w:rsidRPr="00472465">
        <w:rPr>
          <w:rFonts w:ascii="Arial" w:eastAsia="Times New Roman" w:hAnsi="Arial" w:cs="Arial"/>
        </w:rPr>
        <w:lastRenderedPageBreak/>
        <w:t xml:space="preserve">variables </w:t>
      </w:r>
      <m:oMath>
        <m:r>
          <w:rPr>
            <w:rFonts w:ascii="Cambria Math" w:eastAsia="Times New Roman" w:hAnsi="Cambria Math" w:cs="Arial"/>
          </w:rPr>
          <m:t>μ</m:t>
        </m:r>
      </m:oMath>
      <w:r w:rsidRPr="00472465">
        <w:rPr>
          <w:rFonts w:ascii="Arial" w:eastAsia="Times New Roman" w:hAnsi="Arial" w:cs="Arial"/>
        </w:rPr>
        <w:t xml:space="preserve">, </w:t>
      </w:r>
      <m:oMath>
        <m:r>
          <w:rPr>
            <w:rFonts w:ascii="Cambria Math" w:eastAsia="Times New Roman" w:hAnsi="Cambria Math" w:cs="Arial"/>
          </w:rPr>
          <m:t xml:space="preserve">α  </m:t>
        </m:r>
      </m:oMath>
      <w:r w:rsidRPr="00472465">
        <w:rPr>
          <w:rFonts w:ascii="Arial" w:eastAsia="Times New Roman" w:hAnsi="Arial" w:cs="Arial"/>
        </w:rPr>
        <w:t xml:space="preserve"> y</w:t>
      </w:r>
      <m:oMath>
        <m:r>
          <w:rPr>
            <w:rFonts w:ascii="Cambria Math" w:eastAsia="Times New Roman" w:hAnsi="Cambria Math" w:cs="Arial"/>
          </w:rPr>
          <m:t xml:space="preserve"> β </m:t>
        </m:r>
      </m:oMath>
      <w:r w:rsidRPr="00472465">
        <w:rPr>
          <w:rFonts w:ascii="Arial" w:eastAsia="Times New Roman" w:hAnsi="Arial" w:cs="Arial"/>
        </w:rPr>
        <w:t xml:space="preserve">son parámetros. En este trabajo se considera </w:t>
      </w:r>
      <m:oMath>
        <m:r>
          <w:rPr>
            <w:rFonts w:ascii="Cambria Math" w:eastAsia="Times New Roman" w:hAnsi="Cambria Math" w:cs="Arial"/>
          </w:rPr>
          <m:t>μ=</m:t>
        </m:r>
        <m:f>
          <m:fPr>
            <m:ctrlPr>
              <w:rPr>
                <w:rFonts w:ascii="Cambria Math" w:eastAsia="Times New Roman" w:hAnsi="Cambria Math" w:cs="Arial"/>
                <w:i/>
              </w:rPr>
            </m:ctrlPr>
          </m:fPr>
          <m:num>
            <m:r>
              <w:rPr>
                <w:rFonts w:ascii="Cambria Math" w:eastAsia="Times New Roman" w:hAnsi="Cambria Math" w:cs="Arial"/>
              </w:rPr>
              <m:t>1</m:t>
            </m:r>
          </m:num>
          <m:den>
            <m:r>
              <w:rPr>
                <w:rFonts w:ascii="Cambria Math" w:eastAsia="Times New Roman" w:hAnsi="Cambria Math" w:cs="Arial"/>
              </w:rPr>
              <m:t>2</m:t>
            </m:r>
          </m:den>
        </m:f>
      </m:oMath>
      <w:r w:rsidRPr="00472465">
        <w:rPr>
          <w:rFonts w:ascii="Arial" w:eastAsia="Times New Roman" w:hAnsi="Arial" w:cs="Arial"/>
        </w:rPr>
        <w:t>, es decir que para valores de consumo c cercanos a c0 el aumento en el precio del vehículo más eficiente será la mitad de la disminución relativa del consumo. Si el consumo relativo disminuye en 0.06 (6 por ciento) el incremento en el precio del vehículo será aproximadamente de  (0.06/2)*</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P</m:t>
            </m:r>
          </m:e>
          <m:sub>
            <m:r>
              <w:rPr>
                <w:rFonts w:ascii="Cambria Math" w:hAnsi="Cambria Math" w:cs="Arial"/>
              </w:rPr>
              <m:t>c0</m:t>
            </m:r>
          </m:sub>
        </m:sSub>
      </m:oMath>
      <w:r w:rsidRPr="00472465">
        <w:rPr>
          <w:rFonts w:ascii="Arial" w:eastAsia="Times New Roman" w:hAnsi="Arial" w:cs="Arial"/>
        </w:rPr>
        <w:t xml:space="preserve">, o sea como del 3% del valor de </w:t>
      </w:r>
      <m:oMath>
        <m:sSub>
          <m:sSubPr>
            <m:ctrlPr>
              <w:rPr>
                <w:rFonts w:ascii="Cambria Math" w:hAnsi="Cambria Math" w:cs="Arial"/>
                <w:i/>
              </w:rPr>
            </m:ctrlPr>
          </m:sSubPr>
          <m:e>
            <m:r>
              <w:rPr>
                <w:rFonts w:ascii="Cambria Math" w:hAnsi="Cambria Math" w:cs="Arial"/>
              </w:rPr>
              <m:t>P</m:t>
            </m:r>
          </m:e>
          <m:sub>
            <m:r>
              <w:rPr>
                <w:rFonts w:ascii="Cambria Math" w:hAnsi="Cambria Math" w:cs="Arial"/>
              </w:rPr>
              <m:t>c0</m:t>
            </m:r>
          </m:sub>
        </m:sSub>
      </m:oMath>
      <w:r w:rsidRPr="00472465">
        <w:rPr>
          <w:rFonts w:ascii="Arial" w:eastAsia="Times New Roman" w:hAnsi="Arial" w:cs="Arial"/>
        </w:rPr>
        <w:t xml:space="preserve">. Lo anterior es consistente con la relación de los precios de los vehículos pesados con sus consumos de combustible en la norma de Estados Unidos, en la que se tiene que si el consumo de combustible disminuye en un 13% el precio del vehículo se incrementa en alrededor del 6% </w:t>
      </w:r>
      <w:r w:rsidRPr="003654E5">
        <w:rPr>
          <w:rFonts w:ascii="Arial" w:hAnsi="Arial" w:cs="Arial"/>
          <w:vertAlign w:val="superscript"/>
        </w:rPr>
        <w:t>[6]</w:t>
      </w:r>
      <w:r w:rsidRPr="00472465">
        <w:rPr>
          <w:rFonts w:ascii="Arial" w:eastAsia="Times New Roman" w:hAnsi="Arial" w:cs="Arial"/>
        </w:rPr>
        <w:t xml:space="preserve">. Aparte del término lineal agregamos en la ecuación 1 otro término con los parámetros </w:t>
      </w:r>
      <m:oMath>
        <m:r>
          <w:rPr>
            <w:rFonts w:ascii="Cambria Math" w:eastAsia="Times New Roman" w:hAnsi="Cambria Math" w:cs="Arial"/>
          </w:rPr>
          <m:t xml:space="preserve">α=500 </m:t>
        </m:r>
      </m:oMath>
      <w:r w:rsidRPr="00472465">
        <w:rPr>
          <w:rFonts w:ascii="Arial" w:eastAsia="Times New Roman" w:hAnsi="Arial" w:cs="Arial"/>
        </w:rPr>
        <w:t>y</w:t>
      </w:r>
      <m:oMath>
        <m:r>
          <w:rPr>
            <w:rFonts w:ascii="Cambria Math" w:eastAsia="Times New Roman" w:hAnsi="Cambria Math" w:cs="Arial"/>
          </w:rPr>
          <m:t xml:space="preserve"> </m:t>
        </m:r>
      </m:oMath>
      <w:r w:rsidRPr="00472465">
        <w:rPr>
          <w:rFonts w:ascii="Arial" w:eastAsia="Times New Roman" w:hAnsi="Arial" w:cs="Arial"/>
        </w:rPr>
        <w:t xml:space="preserve"> </w:t>
      </w:r>
      <m:oMath>
        <m:r>
          <w:rPr>
            <w:rFonts w:ascii="Cambria Math" w:eastAsia="Times New Roman" w:hAnsi="Cambria Math" w:cs="Arial"/>
          </w:rPr>
          <m:t>β=6</m:t>
        </m:r>
      </m:oMath>
      <w:r w:rsidRPr="00472465">
        <w:rPr>
          <w:rFonts w:ascii="Arial" w:eastAsia="Times New Roman" w:hAnsi="Arial" w:cs="Arial"/>
        </w:rPr>
        <w:t xml:space="preserve"> para modelar que cuando la reducción del consumo de combustible es muy grande el precio aumenta más rápidamente. En todos los cálculos de esta sección, el consumo de combustible de los tractocamiones se considera para una carga de 20 tons.</w:t>
      </w:r>
    </w:p>
    <w:p w:rsidR="00CD0BA4" w:rsidRPr="00636C69" w:rsidRDefault="00CD0BA4" w:rsidP="00CD0BA4">
      <w:pPr>
        <w:jc w:val="both"/>
        <w:rPr>
          <w:rFonts w:ascii="Arial" w:eastAsia="Times New Roman" w:hAnsi="Arial" w:cs="Arial"/>
        </w:rPr>
      </w:pPr>
      <w:r w:rsidRPr="00543DD4">
        <w:rPr>
          <w:lang w:val="es-MX"/>
        </w:rPr>
        <w:t xml:space="preserve">      </w:t>
      </w:r>
      <w:r>
        <w:rPr>
          <w:rFonts w:ascii="Arial" w:eastAsia="Times New Roman" w:hAnsi="Arial" w:cs="Arial"/>
          <w:lang w:val="es-MX"/>
        </w:rPr>
        <w:t>Se considera</w:t>
      </w:r>
      <w:r w:rsidRPr="00636C69">
        <w:rPr>
          <w:rFonts w:ascii="Arial" w:eastAsia="Times New Roman" w:hAnsi="Arial" w:cs="Arial"/>
        </w:rPr>
        <w:t xml:space="preserve"> que el precio del litro del combustible </w:t>
      </w:r>
      <w:r>
        <w:rPr>
          <w:rFonts w:ascii="Arial" w:eastAsia="Times New Roman" w:hAnsi="Arial" w:cs="Arial"/>
        </w:rPr>
        <w:t>(diésel) en el año 2021 (t=0) será</w:t>
      </w:r>
      <w:r w:rsidRPr="00636C69">
        <w:rPr>
          <w:rFonts w:ascii="Arial" w:eastAsia="Times New Roman" w:hAnsi="Arial" w:cs="Arial"/>
        </w:rPr>
        <w:t xml:space="preserve"> de $20.50 pesos</w:t>
      </w:r>
      <w:r>
        <w:rPr>
          <w:rFonts w:ascii="Arial" w:eastAsia="Times New Roman" w:hAnsi="Arial" w:cs="Arial"/>
        </w:rPr>
        <w:t xml:space="preserve"> debido a que se espera que la actividad económica crecerá en el mundo y el precio del barril del petróleo se elevará y por lo tanto subirán los precios de los petrolíferos</w:t>
      </w:r>
      <w:r w:rsidRPr="00636C69">
        <w:rPr>
          <w:rFonts w:ascii="Arial" w:eastAsia="Times New Roman" w:hAnsi="Arial" w:cs="Arial"/>
        </w:rPr>
        <w:t>. Consideramos un aumento del precio del litro del diésel después del año 2021 solamente de acuerdo a la inflación anual, que se considera de 3.4% cada año.</w:t>
      </w:r>
    </w:p>
    <w:p w:rsidR="00CD0BA4" w:rsidRDefault="00CD0BA4" w:rsidP="00CD0BA4">
      <w:pPr>
        <w:jc w:val="both"/>
        <w:rPr>
          <w:rFonts w:ascii="Arial" w:eastAsia="Times New Roman" w:hAnsi="Arial" w:cs="Arial"/>
        </w:rPr>
      </w:pPr>
      <w:r w:rsidRPr="00543DD4">
        <w:rPr>
          <w:lang w:val="es-MX"/>
        </w:rPr>
        <w:t xml:space="preserve">      </w:t>
      </w:r>
      <w:r w:rsidRPr="00636C69">
        <w:rPr>
          <w:rFonts w:ascii="Arial" w:eastAsia="Times New Roman" w:hAnsi="Arial" w:cs="Arial"/>
        </w:rPr>
        <w:t>Nuestros cálculos del VPN son para once tractocamiones que se adquieren en el año 2021, con consumos desde c0 (0.3 litros/km) hasta 0.225 litros/km con diferencias en sus consumos de (0.0075 litros/km). Se realiza el cálculo del VPN para varios años de uso de los once vehículos en intervalos de 5 años, comenzando desde el año 2021. Se supone que conforme los vehículos se hacen más viejos aumentan su consumo de combustible en un 0.1992% cada año (o sea que pierden eficiencia energética). Se hace la consideración de que un vehículo nuevo recorre 50000 kilómetros por año en su primer año de uso (en el año 2021), pero que cada año posterior disminuye el kilometraje recorrido en 1000 kilómetros cada año; o sea que conforme el vehículo se va haciendo viejo, se le usa menos.</w:t>
      </w:r>
    </w:p>
    <w:p w:rsidR="00CD0BA4" w:rsidRDefault="00CD0BA4" w:rsidP="00CD0BA4">
      <w:pPr>
        <w:jc w:val="both"/>
        <w:rPr>
          <w:rFonts w:ascii="Arial" w:hAnsi="Arial" w:cs="Arial"/>
        </w:rPr>
      </w:pPr>
      <w:r w:rsidRPr="00543DD4">
        <w:rPr>
          <w:lang w:val="es-MX"/>
        </w:rPr>
        <w:t xml:space="preserve">      </w:t>
      </w:r>
      <w:r w:rsidRPr="004A4A5A">
        <w:rPr>
          <w:rFonts w:ascii="Arial" w:hAnsi="Arial" w:cs="Arial"/>
        </w:rPr>
        <w:t xml:space="preserve">Para evaluar el costo-beneficio de la adquisición de un tractocamión, con consumo de combustible </w:t>
      </w:r>
      <m:oMath>
        <m:r>
          <w:rPr>
            <w:rFonts w:ascii="Cambria Math" w:eastAsia="Times New Roman" w:hAnsi="Cambria Math" w:cs="Arial"/>
          </w:rPr>
          <m:t>c</m:t>
        </m:r>
      </m:oMath>
      <w:r w:rsidRPr="004A4A5A">
        <w:rPr>
          <w:rFonts w:ascii="Arial" w:hAnsi="Arial" w:cs="Arial"/>
        </w:rPr>
        <w:t>, calculamos el Valor Presente Neto (</w:t>
      </w:r>
      <m:oMath>
        <m:sSub>
          <m:sSubPr>
            <m:ctrlPr>
              <w:rPr>
                <w:rFonts w:ascii="Cambria Math" w:hAnsi="Cambria Math" w:cs="Arial"/>
                <w:i/>
              </w:rPr>
            </m:ctrlPr>
          </m:sSubPr>
          <m:e>
            <m:r>
              <w:rPr>
                <w:rFonts w:ascii="Cambria Math" w:hAnsi="Cambria Math" w:cs="Arial"/>
              </w:rPr>
              <m:t>VPN</m:t>
            </m:r>
          </m:e>
          <m:sub>
            <m:r>
              <w:rPr>
                <w:rFonts w:ascii="Cambria Math" w:hAnsi="Cambria Math" w:cs="Arial"/>
              </w:rPr>
              <m:t>c</m:t>
            </m:r>
          </m:sub>
        </m:sSub>
      </m:oMath>
      <w:r w:rsidRPr="004A4A5A">
        <w:rPr>
          <w:rFonts w:ascii="Arial" w:hAnsi="Arial" w:cs="Arial"/>
        </w:rPr>
        <w:t xml:space="preserve">), </w:t>
      </w:r>
      <w:r>
        <w:rPr>
          <w:rFonts w:ascii="Arial" w:hAnsi="Arial" w:cs="Arial"/>
        </w:rPr>
        <w:t>como se muestra en la Ecuación 7</w:t>
      </w:r>
      <w:r w:rsidRPr="004A4A5A">
        <w:rPr>
          <w:rFonts w:ascii="Arial" w:hAnsi="Arial" w:cs="Arial"/>
        </w:rPr>
        <w:t xml:space="preserve"> </w:t>
      </w:r>
      <w:r w:rsidRPr="003654E5">
        <w:rPr>
          <w:rFonts w:ascii="Arial" w:hAnsi="Arial" w:cs="Arial"/>
          <w:vertAlign w:val="superscript"/>
        </w:rPr>
        <w:t>[5]</w:t>
      </w:r>
      <w:r w:rsidRPr="004A4A5A">
        <w:rPr>
          <w:rFonts w:ascii="Arial" w:hAnsi="Arial" w:cs="Arial"/>
        </w:rPr>
        <w:t xml:space="preserve">, suponiendo que la adquisición del vehículo eficiente se realiza en el año 2021. El </w:t>
      </w:r>
      <m:oMath>
        <m:sSub>
          <m:sSubPr>
            <m:ctrlPr>
              <w:rPr>
                <w:rFonts w:ascii="Cambria Math" w:hAnsi="Cambria Math" w:cs="Arial"/>
                <w:i/>
              </w:rPr>
            </m:ctrlPr>
          </m:sSubPr>
          <m:e>
            <m:r>
              <w:rPr>
                <w:rFonts w:ascii="Cambria Math" w:hAnsi="Cambria Math" w:cs="Arial"/>
              </w:rPr>
              <m:t>VPN</m:t>
            </m:r>
          </m:e>
          <m:sub>
            <m:r>
              <w:rPr>
                <w:rFonts w:ascii="Cambria Math" w:hAnsi="Cambria Math" w:cs="Arial"/>
              </w:rPr>
              <m:t>c</m:t>
            </m:r>
          </m:sub>
        </m:sSub>
      </m:oMath>
      <w:r w:rsidRPr="004A4A5A">
        <w:rPr>
          <w:rFonts w:ascii="Arial" w:hAnsi="Arial" w:cs="Arial"/>
        </w:rPr>
        <w:t xml:space="preserve"> se calcula para varios años, a 5, 10, 15, 20 y 25 años.</w:t>
      </w:r>
    </w:p>
    <w:p w:rsidR="00CD0BA4" w:rsidRDefault="00CD0BA4" w:rsidP="00CD0BA4">
      <w:pPr>
        <w:jc w:val="both"/>
        <w:rPr>
          <w:rFonts w:ascii="Arial" w:hAnsi="Arial" w:cs="Arial"/>
        </w:rPr>
      </w:pPr>
    </w:p>
    <w:p w:rsidR="00CD0BA4" w:rsidRPr="009C0647" w:rsidRDefault="00CD0BA4" w:rsidP="00CD0BA4">
      <w:pPr>
        <w:jc w:val="both"/>
        <w:rPr>
          <w:rFonts w:eastAsia="Times New Roman"/>
          <w:sz w:val="22"/>
          <w:szCs w:val="22"/>
        </w:rPr>
      </w:pPr>
      <w:r>
        <w:rPr>
          <w:rFonts w:ascii="Arial" w:hAnsi="Arial" w:cs="Arial"/>
          <w:lang w:val="es-MX" w:eastAsia="es-ES"/>
        </w:rPr>
        <w:t xml:space="preserve">                       </w:t>
      </w:r>
      <m:oMath>
        <m:sSub>
          <m:sSubPr>
            <m:ctrlPr>
              <w:rPr>
                <w:rFonts w:ascii="Cambria Math" w:hAnsi="Cambria Math" w:cs="Arial"/>
                <w:i/>
                <w:sz w:val="22"/>
                <w:szCs w:val="22"/>
              </w:rPr>
            </m:ctrlPr>
          </m:sSubPr>
          <m:e>
            <m:r>
              <w:rPr>
                <w:rFonts w:ascii="Cambria Math" w:hAnsi="Cambria Math" w:cs="Arial"/>
                <w:sz w:val="22"/>
                <w:szCs w:val="22"/>
              </w:rPr>
              <m:t>VPN</m:t>
            </m:r>
          </m:e>
          <m:sub>
            <m:r>
              <w:rPr>
                <w:rFonts w:ascii="Cambria Math" w:hAnsi="Cambria Math" w:cs="Arial"/>
                <w:sz w:val="22"/>
                <w:szCs w:val="22"/>
              </w:rPr>
              <m:t>c</m:t>
            </m:r>
          </m:sub>
        </m:sSub>
        <m:r>
          <w:rPr>
            <w:rFonts w:ascii="Cambria Math" w:eastAsia="Times New Roman" w:hAnsi="Cambria Math" w:cs="Arial"/>
            <w:sz w:val="22"/>
            <w:szCs w:val="22"/>
          </w:rPr>
          <m:t xml:space="preserve">= </m:t>
        </m:r>
        <m:nary>
          <m:naryPr>
            <m:chr m:val="∑"/>
            <m:limLoc m:val="undOvr"/>
            <m:ctrlPr>
              <w:rPr>
                <w:rFonts w:ascii="Cambria Math" w:eastAsia="Times New Roman" w:hAnsi="Cambria Math" w:cs="Arial"/>
                <w:i/>
                <w:sz w:val="22"/>
                <w:szCs w:val="22"/>
              </w:rPr>
            </m:ctrlPr>
          </m:naryPr>
          <m:sub>
            <m:r>
              <w:rPr>
                <w:rFonts w:ascii="Cambria Math" w:eastAsia="Times New Roman" w:hAnsi="Cambria Math" w:cs="Arial"/>
                <w:sz w:val="22"/>
                <w:szCs w:val="22"/>
              </w:rPr>
              <m:t>t=2021</m:t>
            </m:r>
          </m:sub>
          <m:sup>
            <m:r>
              <w:rPr>
                <w:rFonts w:ascii="Cambria Math" w:eastAsia="Times New Roman" w:hAnsi="Cambria Math" w:cs="Arial"/>
                <w:sz w:val="22"/>
                <w:szCs w:val="22"/>
              </w:rPr>
              <m:t>t</m:t>
            </m:r>
          </m:sup>
          <m:e>
            <m:d>
              <m:dPr>
                <m:begChr m:val="["/>
                <m:endChr m:val="]"/>
                <m:ctrlPr>
                  <w:rPr>
                    <w:rFonts w:ascii="Cambria Math" w:eastAsia="Times New Roman" w:hAnsi="Cambria Math" w:cs="Arial"/>
                    <w:i/>
                    <w:sz w:val="22"/>
                    <w:szCs w:val="22"/>
                  </w:rPr>
                </m:ctrlPr>
              </m:dPr>
              <m:e>
                <m:f>
                  <m:fPr>
                    <m:ctrlPr>
                      <w:rPr>
                        <w:rFonts w:ascii="Cambria Math" w:eastAsia="Times New Roman" w:hAnsi="Cambria Math" w:cs="Arial"/>
                        <w:i/>
                        <w:sz w:val="22"/>
                        <w:szCs w:val="22"/>
                      </w:rPr>
                    </m:ctrlPr>
                  </m:fPr>
                  <m:num>
                    <m:d>
                      <m:dPr>
                        <m:ctrlPr>
                          <w:rPr>
                            <w:rFonts w:ascii="Cambria Math" w:eastAsia="Times New Roman" w:hAnsi="Cambria Math" w:cs="Arial"/>
                            <w:i/>
                            <w:sz w:val="22"/>
                            <w:szCs w:val="22"/>
                          </w:rPr>
                        </m:ctrlPr>
                      </m:dPr>
                      <m:e>
                        <m:sSub>
                          <m:sSubPr>
                            <m:ctrlPr>
                              <w:rPr>
                                <w:rFonts w:ascii="Cambria Math" w:eastAsia="Times New Roman" w:hAnsi="Cambria Math" w:cs="Arial"/>
                                <w:i/>
                                <w:sz w:val="22"/>
                                <w:szCs w:val="22"/>
                              </w:rPr>
                            </m:ctrlPr>
                          </m:sSubPr>
                          <m:e>
                            <m:r>
                              <w:rPr>
                                <w:rFonts w:ascii="Cambria Math" w:eastAsia="Times New Roman" w:hAnsi="Cambria Math" w:cs="Arial"/>
                                <w:sz w:val="22"/>
                                <w:szCs w:val="22"/>
                              </w:rPr>
                              <m:t>Consumo diésel</m:t>
                            </m:r>
                          </m:e>
                          <m:sub>
                            <m:r>
                              <w:rPr>
                                <w:rFonts w:ascii="Cambria Math" w:eastAsia="Times New Roman" w:hAnsi="Cambria Math" w:cs="Arial"/>
                                <w:sz w:val="22"/>
                                <w:szCs w:val="22"/>
                              </w:rPr>
                              <m:t>c0</m:t>
                            </m:r>
                          </m:sub>
                        </m:sSub>
                        <m:d>
                          <m:dPr>
                            <m:ctrlPr>
                              <w:rPr>
                                <w:rFonts w:ascii="Cambria Math" w:eastAsia="Times New Roman" w:hAnsi="Cambria Math" w:cs="Arial"/>
                                <w:i/>
                                <w:sz w:val="22"/>
                                <w:szCs w:val="22"/>
                              </w:rPr>
                            </m:ctrlPr>
                          </m:dPr>
                          <m:e>
                            <m:r>
                              <w:rPr>
                                <w:rFonts w:ascii="Cambria Math" w:eastAsia="Times New Roman" w:hAnsi="Cambria Math" w:cs="Arial"/>
                                <w:sz w:val="22"/>
                                <w:szCs w:val="22"/>
                              </w:rPr>
                              <m:t>t</m:t>
                            </m:r>
                          </m:e>
                        </m:d>
                        <m:r>
                          <w:rPr>
                            <w:rFonts w:ascii="Cambria Math" w:eastAsia="Times New Roman" w:hAnsi="Cambria Math" w:cs="Arial"/>
                            <w:sz w:val="22"/>
                            <w:szCs w:val="22"/>
                          </w:rPr>
                          <m:t>-</m:t>
                        </m:r>
                        <m:sSub>
                          <m:sSubPr>
                            <m:ctrlPr>
                              <w:rPr>
                                <w:rFonts w:ascii="Cambria Math" w:eastAsia="Times New Roman" w:hAnsi="Cambria Math" w:cs="Arial"/>
                                <w:i/>
                                <w:sz w:val="22"/>
                                <w:szCs w:val="22"/>
                              </w:rPr>
                            </m:ctrlPr>
                          </m:sSubPr>
                          <m:e>
                            <m:r>
                              <w:rPr>
                                <w:rFonts w:ascii="Cambria Math" w:eastAsia="Times New Roman" w:hAnsi="Cambria Math" w:cs="Arial"/>
                                <w:sz w:val="22"/>
                                <w:szCs w:val="22"/>
                              </w:rPr>
                              <m:t>Consumo diésel</m:t>
                            </m:r>
                          </m:e>
                          <m:sub>
                            <m:r>
                              <w:rPr>
                                <w:rFonts w:ascii="Cambria Math" w:eastAsia="Times New Roman" w:hAnsi="Cambria Math" w:cs="Arial"/>
                                <w:sz w:val="22"/>
                                <w:szCs w:val="22"/>
                              </w:rPr>
                              <m:t>c</m:t>
                            </m:r>
                          </m:sub>
                        </m:sSub>
                        <m:d>
                          <m:dPr>
                            <m:ctrlPr>
                              <w:rPr>
                                <w:rFonts w:ascii="Cambria Math" w:eastAsia="Times New Roman" w:hAnsi="Cambria Math" w:cs="Arial"/>
                                <w:i/>
                                <w:sz w:val="22"/>
                                <w:szCs w:val="22"/>
                              </w:rPr>
                            </m:ctrlPr>
                          </m:dPr>
                          <m:e>
                            <m:r>
                              <w:rPr>
                                <w:rFonts w:ascii="Cambria Math" w:eastAsia="Times New Roman" w:hAnsi="Cambria Math" w:cs="Arial"/>
                                <w:sz w:val="22"/>
                                <w:szCs w:val="22"/>
                              </w:rPr>
                              <m:t>t</m:t>
                            </m:r>
                          </m:e>
                        </m:d>
                      </m:e>
                    </m:d>
                    <m:r>
                      <w:rPr>
                        <w:rFonts w:ascii="Cambria Math" w:eastAsia="Times New Roman" w:hAnsi="Cambria Math" w:cs="Arial"/>
                        <w:sz w:val="22"/>
                        <w:szCs w:val="22"/>
                      </w:rPr>
                      <m:t>*</m:t>
                    </m:r>
                    <m:sSub>
                      <m:sSubPr>
                        <m:ctrlPr>
                          <w:rPr>
                            <w:rFonts w:ascii="Cambria Math" w:eastAsia="Times New Roman" w:hAnsi="Cambria Math" w:cs="Arial"/>
                            <w:i/>
                            <w:sz w:val="22"/>
                            <w:szCs w:val="22"/>
                          </w:rPr>
                        </m:ctrlPr>
                      </m:sSubPr>
                      <m:e>
                        <m:r>
                          <w:rPr>
                            <w:rFonts w:ascii="Cambria Math" w:eastAsia="Times New Roman" w:hAnsi="Cambria Math" w:cs="Arial"/>
                            <w:sz w:val="22"/>
                            <w:szCs w:val="22"/>
                          </w:rPr>
                          <m:t>P</m:t>
                        </m:r>
                      </m:e>
                      <m:sub>
                        <m:r>
                          <w:rPr>
                            <w:rFonts w:ascii="Cambria Math" w:eastAsia="Times New Roman" w:hAnsi="Cambria Math" w:cs="Arial"/>
                            <w:sz w:val="22"/>
                            <w:szCs w:val="22"/>
                          </w:rPr>
                          <m:t>diésel</m:t>
                        </m:r>
                      </m:sub>
                    </m:sSub>
                    <m:d>
                      <m:dPr>
                        <m:ctrlPr>
                          <w:rPr>
                            <w:rFonts w:ascii="Cambria Math" w:eastAsia="Times New Roman" w:hAnsi="Cambria Math" w:cs="Arial"/>
                            <w:i/>
                            <w:sz w:val="22"/>
                            <w:szCs w:val="22"/>
                          </w:rPr>
                        </m:ctrlPr>
                      </m:dPr>
                      <m:e>
                        <m:r>
                          <w:rPr>
                            <w:rFonts w:ascii="Cambria Math" w:eastAsia="Times New Roman" w:hAnsi="Cambria Math" w:cs="Arial"/>
                            <w:sz w:val="22"/>
                            <w:szCs w:val="22"/>
                          </w:rPr>
                          <m:t>t</m:t>
                        </m:r>
                      </m:e>
                    </m:d>
                  </m:num>
                  <m:den>
                    <m:sSup>
                      <m:sSupPr>
                        <m:ctrlPr>
                          <w:rPr>
                            <w:rFonts w:ascii="Cambria Math" w:eastAsia="Times New Roman" w:hAnsi="Cambria Math" w:cs="Arial"/>
                            <w:i/>
                            <w:sz w:val="22"/>
                            <w:szCs w:val="22"/>
                          </w:rPr>
                        </m:ctrlPr>
                      </m:sSupPr>
                      <m:e>
                        <m:d>
                          <m:dPr>
                            <m:ctrlPr>
                              <w:rPr>
                                <w:rFonts w:ascii="Cambria Math" w:eastAsia="Times New Roman" w:hAnsi="Cambria Math" w:cs="Arial"/>
                                <w:i/>
                                <w:sz w:val="22"/>
                                <w:szCs w:val="22"/>
                              </w:rPr>
                            </m:ctrlPr>
                          </m:dPr>
                          <m:e>
                            <m:r>
                              <w:rPr>
                                <w:rFonts w:ascii="Cambria Math" w:eastAsia="Times New Roman" w:hAnsi="Cambria Math" w:cs="Arial"/>
                                <w:sz w:val="22"/>
                                <w:szCs w:val="22"/>
                              </w:rPr>
                              <m:t>1+r</m:t>
                            </m:r>
                          </m:e>
                        </m:d>
                      </m:e>
                      <m:sup>
                        <m:d>
                          <m:dPr>
                            <m:ctrlPr>
                              <w:rPr>
                                <w:rFonts w:ascii="Cambria Math" w:eastAsia="Times New Roman" w:hAnsi="Cambria Math" w:cs="Arial"/>
                                <w:i/>
                                <w:sz w:val="22"/>
                                <w:szCs w:val="22"/>
                              </w:rPr>
                            </m:ctrlPr>
                          </m:dPr>
                          <m:e>
                            <m:r>
                              <w:rPr>
                                <w:rFonts w:ascii="Cambria Math" w:eastAsia="Times New Roman" w:hAnsi="Cambria Math" w:cs="Arial"/>
                                <w:sz w:val="22"/>
                                <w:szCs w:val="22"/>
                              </w:rPr>
                              <m:t>t-2021</m:t>
                            </m:r>
                          </m:e>
                        </m:d>
                      </m:sup>
                    </m:sSup>
                  </m:den>
                </m:f>
              </m:e>
            </m:d>
          </m:e>
        </m:nary>
        <m:r>
          <w:rPr>
            <w:rFonts w:ascii="Cambria Math" w:eastAsia="Times New Roman" w:hAnsi="Cambria Math" w:cs="Arial"/>
            <w:sz w:val="22"/>
            <w:szCs w:val="22"/>
          </w:rPr>
          <m:t>-</m:t>
        </m:r>
        <m:d>
          <m:dPr>
            <m:ctrlPr>
              <w:rPr>
                <w:rFonts w:ascii="Cambria Math" w:eastAsia="Times New Roman" w:hAnsi="Cambria Math" w:cs="Arial"/>
                <w:i/>
                <w:sz w:val="22"/>
                <w:szCs w:val="22"/>
              </w:rPr>
            </m:ctrlPr>
          </m:dPr>
          <m:e>
            <m:sSub>
              <m:sSubPr>
                <m:ctrlPr>
                  <w:rPr>
                    <w:rFonts w:ascii="Cambria Math" w:eastAsia="Times New Roman" w:hAnsi="Cambria Math" w:cs="Arial"/>
                    <w:i/>
                    <w:sz w:val="22"/>
                    <w:szCs w:val="22"/>
                  </w:rPr>
                </m:ctrlPr>
              </m:sSubPr>
              <m:e>
                <m:r>
                  <w:rPr>
                    <w:rFonts w:ascii="Cambria Math" w:eastAsia="Times New Roman" w:hAnsi="Cambria Math" w:cs="Arial"/>
                    <w:sz w:val="22"/>
                    <w:szCs w:val="22"/>
                  </w:rPr>
                  <m:t>P</m:t>
                </m:r>
              </m:e>
              <m:sub>
                <m:r>
                  <w:rPr>
                    <w:rFonts w:ascii="Cambria Math" w:eastAsia="Times New Roman" w:hAnsi="Cambria Math" w:cs="Arial"/>
                    <w:sz w:val="22"/>
                    <w:szCs w:val="22"/>
                  </w:rPr>
                  <m:t>c</m:t>
                </m:r>
              </m:sub>
            </m:sSub>
            <m:r>
              <w:rPr>
                <w:rFonts w:ascii="Cambria Math" w:eastAsia="Times New Roman" w:hAnsi="Cambria Math" w:cs="Arial"/>
                <w:sz w:val="22"/>
                <w:szCs w:val="22"/>
              </w:rPr>
              <m:t>-</m:t>
            </m:r>
            <m:sSub>
              <m:sSubPr>
                <m:ctrlPr>
                  <w:rPr>
                    <w:rFonts w:ascii="Cambria Math" w:eastAsia="Times New Roman" w:hAnsi="Cambria Math" w:cs="Arial"/>
                    <w:i/>
                    <w:sz w:val="22"/>
                    <w:szCs w:val="22"/>
                  </w:rPr>
                </m:ctrlPr>
              </m:sSubPr>
              <m:e>
                <m:r>
                  <w:rPr>
                    <w:rFonts w:ascii="Cambria Math" w:eastAsia="Times New Roman" w:hAnsi="Cambria Math" w:cs="Arial"/>
                    <w:sz w:val="22"/>
                    <w:szCs w:val="22"/>
                  </w:rPr>
                  <m:t>P</m:t>
                </m:r>
              </m:e>
              <m:sub>
                <m:r>
                  <w:rPr>
                    <w:rFonts w:ascii="Cambria Math" w:eastAsia="Times New Roman" w:hAnsi="Cambria Math" w:cs="Arial"/>
                    <w:sz w:val="22"/>
                    <w:szCs w:val="22"/>
                  </w:rPr>
                  <m:t xml:space="preserve"> c0</m:t>
                </m:r>
              </m:sub>
            </m:sSub>
          </m:e>
        </m:d>
      </m:oMath>
      <w:r w:rsidRPr="007C4D33">
        <w:rPr>
          <w:rFonts w:ascii="Arial" w:hAnsi="Arial" w:cs="Arial"/>
          <w:lang w:val="es-MX" w:eastAsia="es-ES"/>
        </w:rPr>
        <w:t xml:space="preserve">       </w:t>
      </w:r>
      <w:r w:rsidRPr="009C0647">
        <w:rPr>
          <w:sz w:val="22"/>
          <w:szCs w:val="22"/>
          <w:lang w:val="es-MX" w:eastAsia="es-ES"/>
        </w:rPr>
        <w:t>(7)</w:t>
      </w:r>
      <w:r w:rsidRPr="007C4D33">
        <w:rPr>
          <w:rFonts w:ascii="Arial" w:hAnsi="Arial" w:cs="Arial"/>
          <w:lang w:val="es-MX" w:eastAsia="es-ES"/>
        </w:rPr>
        <w:t xml:space="preserve">       </w:t>
      </w:r>
      <w:r>
        <w:rPr>
          <w:rFonts w:ascii="Arial" w:hAnsi="Arial" w:cs="Arial"/>
          <w:lang w:val="es-MX" w:eastAsia="es-ES"/>
        </w:rPr>
        <w:t xml:space="preserve"> </w:t>
      </w:r>
      <w:r w:rsidRPr="007C4D33">
        <w:rPr>
          <w:rFonts w:ascii="Arial" w:hAnsi="Arial" w:cs="Arial"/>
          <w:lang w:val="es-MX" w:eastAsia="es-ES"/>
        </w:rPr>
        <w:t xml:space="preserve">         </w:t>
      </w:r>
      <w:r>
        <w:rPr>
          <w:rFonts w:ascii="Arial" w:hAnsi="Arial" w:cs="Arial"/>
          <w:lang w:val="es-MX" w:eastAsia="es-ES"/>
        </w:rPr>
        <w:t xml:space="preserve">              </w:t>
      </w:r>
    </w:p>
    <w:p w:rsidR="00CD0BA4" w:rsidRDefault="00CD0BA4" w:rsidP="00CD0BA4">
      <w:pPr>
        <w:jc w:val="both"/>
        <w:rPr>
          <w:rFonts w:ascii="Arial" w:eastAsia="Times New Roman" w:hAnsi="Arial" w:cs="Arial"/>
        </w:rPr>
      </w:pPr>
    </w:p>
    <w:p w:rsidR="00CD0BA4" w:rsidRDefault="00CD0BA4" w:rsidP="00CD0BA4">
      <w:pPr>
        <w:jc w:val="both"/>
        <w:rPr>
          <w:rFonts w:ascii="Arial" w:eastAsia="Times New Roman" w:hAnsi="Arial" w:cs="Arial"/>
        </w:rPr>
      </w:pPr>
      <w:r w:rsidRPr="00543DD4">
        <w:rPr>
          <w:lang w:val="es-MX"/>
        </w:rPr>
        <w:t xml:space="preserve">      </w:t>
      </w:r>
      <w:r w:rsidRPr="00B915EE">
        <w:rPr>
          <w:rFonts w:ascii="Arial" w:eastAsia="Times New Roman" w:hAnsi="Arial" w:cs="Arial"/>
        </w:rPr>
        <w:t xml:space="preserve">Donde </w:t>
      </w:r>
      <m:oMath>
        <m:sSub>
          <m:sSubPr>
            <m:ctrlPr>
              <w:rPr>
                <w:rFonts w:ascii="Cambria Math" w:eastAsia="Times New Roman" w:hAnsi="Cambria Math" w:cs="Arial"/>
                <w:i/>
              </w:rPr>
            </m:ctrlPr>
          </m:sSubPr>
          <m:e>
            <m:r>
              <w:rPr>
                <w:rFonts w:ascii="Cambria Math" w:eastAsia="Times New Roman" w:hAnsi="Cambria Math" w:cs="Arial"/>
              </w:rPr>
              <m:t>Consumo diésel</m:t>
            </m:r>
          </m:e>
          <m:sub>
            <m:r>
              <w:rPr>
                <w:rFonts w:ascii="Cambria Math" w:eastAsia="Times New Roman" w:hAnsi="Cambria Math" w:cs="Arial"/>
              </w:rPr>
              <m:t>c0</m:t>
            </m:r>
          </m:sub>
        </m:sSub>
        <m:d>
          <m:dPr>
            <m:ctrlPr>
              <w:rPr>
                <w:rFonts w:ascii="Cambria Math" w:eastAsia="Times New Roman" w:hAnsi="Cambria Math" w:cs="Arial"/>
                <w:i/>
              </w:rPr>
            </m:ctrlPr>
          </m:dPr>
          <m:e>
            <m:r>
              <w:rPr>
                <w:rFonts w:ascii="Cambria Math" w:eastAsia="Times New Roman" w:hAnsi="Cambria Math" w:cs="Arial"/>
              </w:rPr>
              <m:t>t</m:t>
            </m:r>
          </m:e>
        </m:d>
      </m:oMath>
      <w:r w:rsidRPr="00B915EE">
        <w:rPr>
          <w:rFonts w:ascii="Arial" w:eastAsia="Times New Roman" w:hAnsi="Arial" w:cs="Arial"/>
        </w:rPr>
        <w:t xml:space="preserve"> es el consumo de diésel anual durante el año t del vehículo con consumo </w:t>
      </w:r>
      <m:oMath>
        <m:r>
          <w:rPr>
            <w:rFonts w:ascii="Cambria Math" w:eastAsia="Times New Roman" w:hAnsi="Cambria Math" w:cs="Arial"/>
          </w:rPr>
          <m:t>c0</m:t>
        </m:r>
      </m:oMath>
      <w:r w:rsidRPr="00B915EE">
        <w:rPr>
          <w:rFonts w:ascii="Arial" w:eastAsia="Times New Roman" w:hAnsi="Arial" w:cs="Arial"/>
        </w:rPr>
        <w:t xml:space="preserve">. </w:t>
      </w:r>
      <m:oMath>
        <m:sSub>
          <m:sSubPr>
            <m:ctrlPr>
              <w:rPr>
                <w:rFonts w:ascii="Cambria Math" w:eastAsia="Times New Roman" w:hAnsi="Cambria Math" w:cs="Arial"/>
                <w:i/>
              </w:rPr>
            </m:ctrlPr>
          </m:sSubPr>
          <m:e>
            <m:r>
              <w:rPr>
                <w:rFonts w:ascii="Cambria Math" w:eastAsia="Times New Roman" w:hAnsi="Cambria Math" w:cs="Arial"/>
              </w:rPr>
              <m:t>Consumo diésel</m:t>
            </m:r>
          </m:e>
          <m:sub>
            <m:r>
              <w:rPr>
                <w:rFonts w:ascii="Cambria Math" w:eastAsia="Times New Roman" w:hAnsi="Cambria Math" w:cs="Arial"/>
              </w:rPr>
              <m:t>c</m:t>
            </m:r>
          </m:sub>
        </m:sSub>
        <m:d>
          <m:dPr>
            <m:ctrlPr>
              <w:rPr>
                <w:rFonts w:ascii="Cambria Math" w:eastAsia="Times New Roman" w:hAnsi="Cambria Math" w:cs="Arial"/>
                <w:i/>
              </w:rPr>
            </m:ctrlPr>
          </m:dPr>
          <m:e>
            <m:r>
              <w:rPr>
                <w:rFonts w:ascii="Cambria Math" w:eastAsia="Times New Roman" w:hAnsi="Cambria Math" w:cs="Arial"/>
              </w:rPr>
              <m:t>t</m:t>
            </m:r>
          </m:e>
        </m:d>
      </m:oMath>
      <w:r w:rsidRPr="00B915EE">
        <w:rPr>
          <w:rFonts w:ascii="Arial" w:eastAsia="Times New Roman" w:hAnsi="Arial" w:cs="Arial"/>
        </w:rPr>
        <w:t xml:space="preserve"> es el consumo de diésel anual en el año t del vehículo más eficiente que tiene un consumo de </w:t>
      </w:r>
      <m:oMath>
        <m:r>
          <w:rPr>
            <w:rFonts w:ascii="Cambria Math" w:eastAsia="Times New Roman" w:hAnsi="Cambria Math" w:cs="Arial"/>
          </w:rPr>
          <m:t>c</m:t>
        </m:r>
      </m:oMath>
      <w:r w:rsidRPr="00B915EE">
        <w:rPr>
          <w:rFonts w:ascii="Arial" w:eastAsia="Times New Roman" w:hAnsi="Arial" w:cs="Arial"/>
        </w:rPr>
        <w:t xml:space="preserve">. </w:t>
      </w:r>
      <m:oMath>
        <m:sSub>
          <m:sSubPr>
            <m:ctrlPr>
              <w:rPr>
                <w:rFonts w:ascii="Cambria Math" w:eastAsia="Times New Roman" w:hAnsi="Cambria Math" w:cs="Arial"/>
                <w:i/>
              </w:rPr>
            </m:ctrlPr>
          </m:sSubPr>
          <m:e>
            <m:r>
              <w:rPr>
                <w:rFonts w:ascii="Cambria Math" w:eastAsia="Times New Roman" w:hAnsi="Cambria Math" w:cs="Arial"/>
              </w:rPr>
              <m:t>P</m:t>
            </m:r>
          </m:e>
          <m:sub>
            <m:r>
              <w:rPr>
                <w:rFonts w:ascii="Cambria Math" w:eastAsia="Times New Roman" w:hAnsi="Cambria Math" w:cs="Arial"/>
              </w:rPr>
              <m:t>diésel</m:t>
            </m:r>
          </m:sub>
        </m:sSub>
        <m:r>
          <w:rPr>
            <w:rFonts w:ascii="Cambria Math" w:eastAsia="Times New Roman" w:hAnsi="Cambria Math" w:cs="Arial"/>
          </w:rPr>
          <m:t>(t)</m:t>
        </m:r>
      </m:oMath>
      <w:r w:rsidRPr="00B915EE">
        <w:rPr>
          <w:rFonts w:ascii="Arial" w:eastAsia="Times New Roman" w:hAnsi="Arial" w:cs="Arial"/>
        </w:rPr>
        <w:t>, es el precio promedio de un litro de diésel du</w:t>
      </w:r>
      <w:r>
        <w:rPr>
          <w:rFonts w:ascii="Arial" w:eastAsia="Times New Roman" w:hAnsi="Arial" w:cs="Arial"/>
        </w:rPr>
        <w:t>rante el año t. En la ecuación 7</w:t>
      </w:r>
      <w:r w:rsidRPr="00B915EE">
        <w:rPr>
          <w:rFonts w:ascii="Arial" w:eastAsia="Times New Roman" w:hAnsi="Arial" w:cs="Arial"/>
        </w:rPr>
        <w:t xml:space="preserve">, </w:t>
      </w:r>
      <m:oMath>
        <m:r>
          <w:rPr>
            <w:rFonts w:ascii="Cambria Math" w:eastAsia="Times New Roman" w:hAnsi="Cambria Math" w:cs="Arial"/>
          </w:rPr>
          <m:t>r</m:t>
        </m:r>
      </m:oMath>
      <w:r w:rsidRPr="00B915EE">
        <w:rPr>
          <w:rFonts w:ascii="Arial" w:eastAsia="Times New Roman" w:hAnsi="Arial" w:cs="Arial"/>
        </w:rPr>
        <w:t xml:space="preserve"> es la tasa de descuento, que suponemos del 10%, o sea de 0.10. </w:t>
      </w:r>
    </w:p>
    <w:p w:rsidR="00CD0BA4" w:rsidRDefault="00CD0BA4" w:rsidP="00CD0BA4">
      <w:pPr>
        <w:jc w:val="both"/>
        <w:rPr>
          <w:rFonts w:ascii="Arial" w:eastAsia="Times New Roman" w:hAnsi="Arial" w:cs="Arial"/>
        </w:rPr>
      </w:pPr>
      <w:r w:rsidRPr="00543DD4">
        <w:rPr>
          <w:lang w:val="es-MX"/>
        </w:rPr>
        <w:t xml:space="preserve">      </w:t>
      </w:r>
      <w:r w:rsidRPr="0040139F">
        <w:rPr>
          <w:rFonts w:ascii="Arial" w:eastAsia="Times New Roman" w:hAnsi="Arial" w:cs="Arial"/>
        </w:rPr>
        <w:t xml:space="preserve">El </w:t>
      </w:r>
      <w:r>
        <w:rPr>
          <w:rFonts w:ascii="Arial" w:eastAsia="Times New Roman" w:hAnsi="Arial" w:cs="Arial"/>
        </w:rPr>
        <w:t>consumo de diésel en litros</w:t>
      </w:r>
      <w:r w:rsidRPr="0040139F">
        <w:rPr>
          <w:rFonts w:ascii="Arial" w:eastAsia="Times New Roman" w:hAnsi="Arial" w:cs="Arial"/>
        </w:rPr>
        <w:t xml:space="preserve"> para el vehí</w:t>
      </w:r>
      <w:r>
        <w:rPr>
          <w:rFonts w:ascii="Arial" w:eastAsia="Times New Roman" w:hAnsi="Arial" w:cs="Arial"/>
        </w:rPr>
        <w:t>culo con consumo de combustible</w:t>
      </w:r>
      <w:r w:rsidRPr="0040139F">
        <w:rPr>
          <w:rFonts w:ascii="Arial" w:eastAsia="Times New Roman" w:hAnsi="Arial" w:cs="Arial"/>
        </w:rPr>
        <w:t xml:space="preserve"> inicial </w:t>
      </w:r>
      <m:oMath>
        <m:r>
          <w:rPr>
            <w:rFonts w:ascii="Cambria Math" w:eastAsia="Times New Roman" w:hAnsi="Cambria Math" w:cs="Arial"/>
          </w:rPr>
          <m:t>c</m:t>
        </m:r>
      </m:oMath>
      <w:r w:rsidRPr="0040139F">
        <w:rPr>
          <w:rFonts w:ascii="Arial" w:eastAsia="Times New Roman" w:hAnsi="Arial" w:cs="Arial"/>
        </w:rPr>
        <w:t xml:space="preserve">, durante el año t se evalúa </w:t>
      </w:r>
      <w:r>
        <w:rPr>
          <w:rFonts w:ascii="Arial" w:eastAsia="Times New Roman" w:hAnsi="Arial" w:cs="Arial"/>
        </w:rPr>
        <w:t>como se indica en la ecuación (8</w:t>
      </w:r>
      <w:r w:rsidRPr="0040139F">
        <w:rPr>
          <w:rFonts w:ascii="Arial" w:eastAsia="Times New Roman" w:hAnsi="Arial" w:cs="Arial"/>
        </w:rPr>
        <w:t>).</w:t>
      </w:r>
    </w:p>
    <w:p w:rsidR="00CD0BA4" w:rsidRPr="0040139F" w:rsidRDefault="00CD0BA4" w:rsidP="00CD0BA4">
      <w:pPr>
        <w:jc w:val="both"/>
        <w:rPr>
          <w:rFonts w:ascii="Arial" w:eastAsia="Times New Roman" w:hAnsi="Arial" w:cs="Arial"/>
        </w:rPr>
      </w:pPr>
    </w:p>
    <w:p w:rsidR="00CD0BA4" w:rsidRDefault="001345E4" w:rsidP="00CD0BA4">
      <w:pPr>
        <w:jc w:val="both"/>
        <w:rPr>
          <w:rFonts w:eastAsia="Times New Roman"/>
        </w:rPr>
      </w:pPr>
      <m:oMath>
        <m:sSub>
          <m:sSubPr>
            <m:ctrlPr>
              <w:rPr>
                <w:rFonts w:ascii="Cambria Math" w:eastAsia="Times New Roman" w:hAnsi="Cambria Math" w:cs="Arial"/>
                <w:i/>
                <w:sz w:val="20"/>
                <w:szCs w:val="20"/>
              </w:rPr>
            </m:ctrlPr>
          </m:sSubPr>
          <m:e>
            <m:r>
              <w:rPr>
                <w:rFonts w:ascii="Cambria Math" w:eastAsia="Times New Roman" w:hAnsi="Cambria Math" w:cs="Arial"/>
                <w:sz w:val="20"/>
                <w:szCs w:val="20"/>
              </w:rPr>
              <m:t>Consumo diésel</m:t>
            </m:r>
          </m:e>
          <m:sub>
            <m:r>
              <w:rPr>
                <w:rFonts w:ascii="Cambria Math" w:eastAsia="Times New Roman" w:hAnsi="Cambria Math" w:cs="Arial"/>
                <w:sz w:val="20"/>
                <w:szCs w:val="20"/>
              </w:rPr>
              <m:t>c</m:t>
            </m:r>
          </m:sub>
        </m:sSub>
        <m:d>
          <m:dPr>
            <m:ctrlPr>
              <w:rPr>
                <w:rFonts w:ascii="Cambria Math" w:eastAsia="Times New Roman" w:hAnsi="Cambria Math" w:cs="Arial"/>
                <w:i/>
                <w:sz w:val="20"/>
                <w:szCs w:val="20"/>
              </w:rPr>
            </m:ctrlPr>
          </m:dPr>
          <m:e>
            <m:r>
              <w:rPr>
                <w:rFonts w:ascii="Cambria Math" w:eastAsia="Times New Roman" w:hAnsi="Cambria Math" w:cs="Arial"/>
                <w:sz w:val="20"/>
                <w:szCs w:val="20"/>
              </w:rPr>
              <m:t>t</m:t>
            </m:r>
          </m:e>
        </m:d>
        <m:r>
          <w:rPr>
            <w:rFonts w:ascii="Cambria Math" w:eastAsia="Times New Roman" w:hAnsi="Cambria Math" w:cs="Arial"/>
            <w:sz w:val="20"/>
            <w:szCs w:val="20"/>
          </w:rPr>
          <m:t>=</m:t>
        </m:r>
        <m:d>
          <m:dPr>
            <m:begChr m:val="["/>
            <m:endChr m:val="]"/>
            <m:ctrlPr>
              <w:rPr>
                <w:rFonts w:ascii="Cambria Math" w:eastAsia="Times New Roman" w:hAnsi="Cambria Math" w:cs="Arial"/>
                <w:i/>
                <w:sz w:val="20"/>
                <w:szCs w:val="20"/>
              </w:rPr>
            </m:ctrlPr>
          </m:dPr>
          <m:e>
            <m:r>
              <w:rPr>
                <w:rFonts w:ascii="Cambria Math" w:eastAsia="Times New Roman" w:hAnsi="Cambria Math" w:cs="Arial"/>
                <w:sz w:val="20"/>
                <w:szCs w:val="20"/>
              </w:rPr>
              <m:t>kilometraje en 2021-1000(t-2021)</m:t>
            </m:r>
          </m:e>
        </m:d>
        <m:r>
          <w:rPr>
            <w:rFonts w:ascii="Cambria Math" w:eastAsia="Times New Roman" w:hAnsi="Cambria Math" w:cs="Arial"/>
            <w:sz w:val="20"/>
            <w:szCs w:val="20"/>
          </w:rPr>
          <m:t>km*</m:t>
        </m:r>
        <m:d>
          <m:dPr>
            <m:begChr m:val="["/>
            <m:endChr m:val="]"/>
            <m:ctrlPr>
              <w:rPr>
                <w:rFonts w:ascii="Cambria Math" w:eastAsia="Times New Roman" w:hAnsi="Cambria Math" w:cs="Arial"/>
                <w:i/>
                <w:sz w:val="20"/>
                <w:szCs w:val="20"/>
              </w:rPr>
            </m:ctrlPr>
          </m:dPr>
          <m:e>
            <m:r>
              <w:rPr>
                <w:rFonts w:ascii="Cambria Math" w:eastAsia="Times New Roman" w:hAnsi="Cambria Math" w:cs="Arial"/>
                <w:sz w:val="20"/>
                <w:szCs w:val="20"/>
              </w:rPr>
              <m:t>c*</m:t>
            </m:r>
            <m:d>
              <m:dPr>
                <m:ctrlPr>
                  <w:rPr>
                    <w:rFonts w:ascii="Cambria Math" w:eastAsia="Times New Roman" w:hAnsi="Cambria Math" w:cs="Arial"/>
                    <w:i/>
                    <w:sz w:val="20"/>
                    <w:szCs w:val="20"/>
                  </w:rPr>
                </m:ctrlPr>
              </m:dPr>
              <m:e>
                <m:r>
                  <w:rPr>
                    <w:rFonts w:ascii="Cambria Math" w:eastAsia="Times New Roman" w:hAnsi="Cambria Math" w:cs="Arial"/>
                    <w:sz w:val="20"/>
                    <w:szCs w:val="20"/>
                  </w:rPr>
                  <m:t>1+0.001992*(t-2021)</m:t>
                </m:r>
              </m:e>
            </m:d>
          </m:e>
        </m:d>
      </m:oMath>
      <w:r w:rsidR="00CD0BA4" w:rsidRPr="00934775">
        <w:rPr>
          <w:rFonts w:ascii="Arial" w:eastAsia="Times New Roman" w:hAnsi="Arial" w:cs="Arial"/>
          <w:sz w:val="20"/>
          <w:szCs w:val="20"/>
        </w:rPr>
        <w:t xml:space="preserve"> </w:t>
      </w:r>
      <w:r w:rsidR="00CD0BA4">
        <w:rPr>
          <w:rFonts w:ascii="Arial" w:eastAsia="Times New Roman" w:hAnsi="Arial" w:cs="Arial"/>
          <w:sz w:val="20"/>
          <w:szCs w:val="20"/>
        </w:rPr>
        <w:t xml:space="preserve">   </w:t>
      </w:r>
      <w:r w:rsidR="00CD0BA4" w:rsidRPr="005606F7">
        <w:rPr>
          <w:rFonts w:eastAsia="Times New Roman"/>
          <w:sz w:val="22"/>
          <w:szCs w:val="22"/>
        </w:rPr>
        <w:t>(8)</w:t>
      </w:r>
    </w:p>
    <w:p w:rsidR="00CD0BA4" w:rsidRDefault="00CD0BA4" w:rsidP="00CD0BA4">
      <w:pPr>
        <w:jc w:val="both"/>
        <w:rPr>
          <w:rFonts w:ascii="Arial" w:eastAsia="Times New Roman" w:hAnsi="Arial" w:cs="Arial"/>
        </w:rPr>
      </w:pPr>
    </w:p>
    <w:p w:rsidR="00CD0BA4" w:rsidRDefault="00CD0BA4" w:rsidP="00CD0BA4">
      <w:pPr>
        <w:jc w:val="both"/>
        <w:rPr>
          <w:rFonts w:ascii="Arial" w:eastAsia="Times New Roman" w:hAnsi="Arial" w:cs="Arial"/>
        </w:rPr>
      </w:pPr>
      <w:r w:rsidRPr="00543DD4">
        <w:rPr>
          <w:lang w:val="es-MX"/>
        </w:rPr>
        <w:t xml:space="preserve">      </w:t>
      </w:r>
      <w:r w:rsidRPr="00567AA6">
        <w:rPr>
          <w:rFonts w:ascii="Arial" w:eastAsia="Times New Roman" w:hAnsi="Arial" w:cs="Arial"/>
        </w:rPr>
        <w:t xml:space="preserve">De la misma </w:t>
      </w:r>
      <w:r>
        <w:rPr>
          <w:rFonts w:ascii="Arial" w:eastAsia="Times New Roman" w:hAnsi="Arial" w:cs="Arial"/>
        </w:rPr>
        <w:t>manera el consumo de diésel en litros</w:t>
      </w:r>
      <w:r w:rsidRPr="00567AA6">
        <w:rPr>
          <w:rFonts w:ascii="Arial" w:eastAsia="Times New Roman" w:hAnsi="Arial" w:cs="Arial"/>
        </w:rPr>
        <w:t xml:space="preserve"> para el vehículo con consumo de combustible inicial </w:t>
      </w:r>
      <m:oMath>
        <m:r>
          <w:rPr>
            <w:rFonts w:ascii="Cambria Math" w:eastAsia="Times New Roman" w:hAnsi="Cambria Math" w:cs="Arial"/>
          </w:rPr>
          <m:t>c0</m:t>
        </m:r>
      </m:oMath>
      <w:r w:rsidRPr="00567AA6">
        <w:rPr>
          <w:rFonts w:ascii="Arial" w:eastAsia="Times New Roman" w:hAnsi="Arial" w:cs="Arial"/>
        </w:rPr>
        <w:t xml:space="preserve">, durante el año t se evalúa </w:t>
      </w:r>
      <w:r>
        <w:rPr>
          <w:rFonts w:ascii="Arial" w:eastAsia="Times New Roman" w:hAnsi="Arial" w:cs="Arial"/>
        </w:rPr>
        <w:t>como se indica en la ecuación (9</w:t>
      </w:r>
      <w:r w:rsidRPr="00567AA6">
        <w:rPr>
          <w:rFonts w:ascii="Arial" w:eastAsia="Times New Roman" w:hAnsi="Arial" w:cs="Arial"/>
        </w:rPr>
        <w:t xml:space="preserve">). </w:t>
      </w:r>
    </w:p>
    <w:p w:rsidR="00CD0BA4" w:rsidRPr="00567AA6" w:rsidRDefault="00CD0BA4" w:rsidP="00CD0BA4">
      <w:pPr>
        <w:jc w:val="both"/>
        <w:rPr>
          <w:rFonts w:ascii="Arial" w:eastAsia="Times New Roman" w:hAnsi="Arial" w:cs="Arial"/>
        </w:rPr>
      </w:pPr>
      <w:r w:rsidRPr="00567AA6">
        <w:rPr>
          <w:rFonts w:ascii="Arial" w:eastAsia="Times New Roman" w:hAnsi="Arial" w:cs="Arial"/>
        </w:rPr>
        <w:t xml:space="preserve"> </w:t>
      </w:r>
    </w:p>
    <w:p w:rsidR="00CD0BA4" w:rsidRPr="005606F7" w:rsidRDefault="001345E4" w:rsidP="00CD0BA4">
      <w:pPr>
        <w:jc w:val="both"/>
        <w:rPr>
          <w:rFonts w:ascii="Arial" w:eastAsia="Times New Roman" w:hAnsi="Arial" w:cs="Arial"/>
          <w:sz w:val="22"/>
          <w:szCs w:val="22"/>
        </w:rPr>
      </w:pPr>
      <m:oMath>
        <m:sSub>
          <m:sSubPr>
            <m:ctrlPr>
              <w:rPr>
                <w:rFonts w:ascii="Cambria Math" w:eastAsia="Times New Roman" w:hAnsi="Cambria Math" w:cs="Arial"/>
                <w:i/>
                <w:sz w:val="20"/>
                <w:szCs w:val="20"/>
              </w:rPr>
            </m:ctrlPr>
          </m:sSubPr>
          <m:e>
            <m:r>
              <w:rPr>
                <w:rFonts w:ascii="Cambria Math" w:eastAsia="Times New Roman" w:hAnsi="Cambria Math" w:cs="Arial"/>
                <w:sz w:val="20"/>
                <w:szCs w:val="20"/>
              </w:rPr>
              <m:t>Consumo diésel</m:t>
            </m:r>
          </m:e>
          <m:sub>
            <m:r>
              <w:rPr>
                <w:rFonts w:ascii="Cambria Math" w:eastAsia="Times New Roman" w:hAnsi="Cambria Math" w:cs="Arial"/>
                <w:sz w:val="20"/>
                <w:szCs w:val="20"/>
              </w:rPr>
              <m:t>c0</m:t>
            </m:r>
          </m:sub>
        </m:sSub>
        <m:d>
          <m:dPr>
            <m:ctrlPr>
              <w:rPr>
                <w:rFonts w:ascii="Cambria Math" w:eastAsia="Times New Roman" w:hAnsi="Cambria Math" w:cs="Arial"/>
                <w:i/>
                <w:sz w:val="20"/>
                <w:szCs w:val="20"/>
              </w:rPr>
            </m:ctrlPr>
          </m:dPr>
          <m:e>
            <m:r>
              <w:rPr>
                <w:rFonts w:ascii="Cambria Math" w:eastAsia="Times New Roman" w:hAnsi="Cambria Math" w:cs="Arial"/>
                <w:sz w:val="20"/>
                <w:szCs w:val="20"/>
              </w:rPr>
              <m:t>t</m:t>
            </m:r>
          </m:e>
        </m:d>
        <m:r>
          <w:rPr>
            <w:rFonts w:ascii="Cambria Math" w:eastAsia="Times New Roman" w:hAnsi="Cambria Math" w:cs="Arial"/>
            <w:sz w:val="20"/>
            <w:szCs w:val="20"/>
          </w:rPr>
          <m:t>=</m:t>
        </m:r>
        <m:d>
          <m:dPr>
            <m:begChr m:val="["/>
            <m:endChr m:val="]"/>
            <m:ctrlPr>
              <w:rPr>
                <w:rFonts w:ascii="Cambria Math" w:eastAsia="Times New Roman" w:hAnsi="Cambria Math" w:cs="Arial"/>
                <w:i/>
                <w:sz w:val="20"/>
                <w:szCs w:val="20"/>
              </w:rPr>
            </m:ctrlPr>
          </m:dPr>
          <m:e>
            <m:r>
              <w:rPr>
                <w:rFonts w:ascii="Cambria Math" w:eastAsia="Times New Roman" w:hAnsi="Cambria Math" w:cs="Arial"/>
                <w:sz w:val="20"/>
                <w:szCs w:val="20"/>
              </w:rPr>
              <m:t>kilometraje en 2021-1000(t-2021)</m:t>
            </m:r>
          </m:e>
        </m:d>
        <m:r>
          <w:rPr>
            <w:rFonts w:ascii="Cambria Math" w:eastAsia="Times New Roman" w:hAnsi="Cambria Math" w:cs="Arial"/>
            <w:sz w:val="20"/>
            <w:szCs w:val="20"/>
          </w:rPr>
          <m:t>km*</m:t>
        </m:r>
        <m:d>
          <m:dPr>
            <m:begChr m:val="["/>
            <m:endChr m:val="]"/>
            <m:ctrlPr>
              <w:rPr>
                <w:rFonts w:ascii="Cambria Math" w:eastAsia="Times New Roman" w:hAnsi="Cambria Math" w:cs="Arial"/>
                <w:i/>
                <w:sz w:val="20"/>
                <w:szCs w:val="20"/>
              </w:rPr>
            </m:ctrlPr>
          </m:dPr>
          <m:e>
            <m:r>
              <w:rPr>
                <w:rFonts w:ascii="Cambria Math" w:eastAsia="Times New Roman" w:hAnsi="Cambria Math" w:cs="Arial"/>
                <w:sz w:val="20"/>
                <w:szCs w:val="20"/>
              </w:rPr>
              <m:t>c0*</m:t>
            </m:r>
            <m:d>
              <m:dPr>
                <m:ctrlPr>
                  <w:rPr>
                    <w:rFonts w:ascii="Cambria Math" w:eastAsia="Times New Roman" w:hAnsi="Cambria Math" w:cs="Arial"/>
                    <w:i/>
                    <w:sz w:val="20"/>
                    <w:szCs w:val="20"/>
                  </w:rPr>
                </m:ctrlPr>
              </m:dPr>
              <m:e>
                <m:r>
                  <w:rPr>
                    <w:rFonts w:ascii="Cambria Math" w:eastAsia="Times New Roman" w:hAnsi="Cambria Math" w:cs="Arial"/>
                    <w:sz w:val="20"/>
                    <w:szCs w:val="20"/>
                  </w:rPr>
                  <m:t>1+0.001992*(t-2021)</m:t>
                </m:r>
              </m:e>
            </m:d>
          </m:e>
        </m:d>
      </m:oMath>
      <w:r w:rsidR="00CD0BA4" w:rsidRPr="00754178">
        <w:rPr>
          <w:rFonts w:eastAsia="Times New Roman"/>
          <w:sz w:val="22"/>
          <w:szCs w:val="22"/>
        </w:rPr>
        <w:t>(9)</w:t>
      </w:r>
      <w:r w:rsidR="00CD0BA4">
        <w:rPr>
          <w:rFonts w:ascii="Arial" w:eastAsia="Times New Roman" w:hAnsi="Arial" w:cs="Arial"/>
        </w:rPr>
        <w:t xml:space="preserve">  </w:t>
      </w:r>
    </w:p>
    <w:p w:rsidR="00CD0BA4" w:rsidRDefault="00CD0BA4" w:rsidP="00CD0BA4">
      <w:pPr>
        <w:jc w:val="both"/>
        <w:rPr>
          <w:rFonts w:ascii="Arial" w:eastAsia="Times New Roman" w:hAnsi="Arial" w:cs="Arial"/>
        </w:rPr>
      </w:pPr>
    </w:p>
    <w:p w:rsidR="00CD0BA4" w:rsidRPr="003639E9" w:rsidRDefault="00CD0BA4" w:rsidP="00CD0BA4">
      <w:pPr>
        <w:jc w:val="both"/>
        <w:rPr>
          <w:rFonts w:ascii="Arial" w:eastAsia="Times New Roman" w:hAnsi="Arial" w:cs="Arial"/>
        </w:rPr>
      </w:pPr>
      <w:r w:rsidRPr="00543DD4">
        <w:rPr>
          <w:lang w:val="es-MX"/>
        </w:rPr>
        <w:t xml:space="preserve">      </w:t>
      </w:r>
      <w:r>
        <w:rPr>
          <w:rFonts w:ascii="Arial" w:hAnsi="Arial" w:cs="Arial"/>
          <w:color w:val="000000"/>
        </w:rPr>
        <w:t>En la Tabla 2</w:t>
      </w:r>
      <w:r w:rsidRPr="006A592A">
        <w:rPr>
          <w:rFonts w:ascii="Arial" w:hAnsi="Arial" w:cs="Arial"/>
          <w:color w:val="000000"/>
        </w:rPr>
        <w:t xml:space="preserve">, se listan todos los parámetros que se usan para el cálculo del </w:t>
      </w:r>
      <m:oMath>
        <m:sSub>
          <m:sSubPr>
            <m:ctrlPr>
              <w:rPr>
                <w:rFonts w:ascii="Cambria Math" w:hAnsi="Cambria Math" w:cs="Arial"/>
                <w:i/>
              </w:rPr>
            </m:ctrlPr>
          </m:sSubPr>
          <m:e>
            <m:r>
              <w:rPr>
                <w:rFonts w:ascii="Cambria Math" w:hAnsi="Cambria Math" w:cs="Arial"/>
              </w:rPr>
              <m:t>VPN</m:t>
            </m:r>
          </m:e>
          <m:sub>
            <m:r>
              <w:rPr>
                <w:rFonts w:ascii="Cambria Math" w:hAnsi="Cambria Math" w:cs="Arial"/>
              </w:rPr>
              <m:t>c</m:t>
            </m:r>
          </m:sub>
        </m:sSub>
      </m:oMath>
      <w:r w:rsidRPr="006A592A">
        <w:rPr>
          <w:rFonts w:ascii="Arial" w:hAnsi="Arial" w:cs="Arial"/>
          <w:color w:val="000000"/>
        </w:rPr>
        <w:t xml:space="preserve">, para un solo vehículo con consumo de combustible c. </w:t>
      </w:r>
    </w:p>
    <w:p w:rsidR="00CD0BA4" w:rsidRPr="00B915EE" w:rsidRDefault="00CD0BA4" w:rsidP="00CD0BA4">
      <w:pPr>
        <w:jc w:val="both"/>
        <w:rPr>
          <w:rFonts w:ascii="Arial" w:eastAsia="Times New Roman" w:hAnsi="Arial" w:cs="Arial"/>
        </w:rPr>
      </w:pPr>
    </w:p>
    <w:p w:rsidR="00CD0BA4" w:rsidRPr="003D42C8" w:rsidRDefault="00CD0BA4" w:rsidP="00CD0BA4">
      <w:pPr>
        <w:jc w:val="center"/>
        <w:rPr>
          <w:i/>
          <w:color w:val="000000"/>
          <w:sz w:val="20"/>
          <w:szCs w:val="20"/>
        </w:rPr>
      </w:pPr>
      <w:r>
        <w:rPr>
          <w:i/>
          <w:color w:val="000000"/>
          <w:sz w:val="20"/>
          <w:szCs w:val="20"/>
        </w:rPr>
        <w:t>Tabla 2</w:t>
      </w:r>
      <w:r w:rsidRPr="003D42C8">
        <w:rPr>
          <w:i/>
          <w:color w:val="000000"/>
          <w:sz w:val="20"/>
          <w:szCs w:val="20"/>
        </w:rPr>
        <w:t xml:space="preserve">. Variables y valores usados para el cálculo del Valor Presente Neto de un solo vehículo con un consumo de combustible </w:t>
      </w:r>
      <w:r>
        <w:rPr>
          <w:i/>
          <w:color w:val="000000"/>
          <w:sz w:val="20"/>
          <w:szCs w:val="20"/>
        </w:rPr>
        <w:t xml:space="preserve">inicial </w:t>
      </w:r>
      <w:r w:rsidRPr="003D42C8">
        <w:rPr>
          <w:i/>
          <w:color w:val="000000"/>
          <w:sz w:val="20"/>
          <w:szCs w:val="20"/>
        </w:rPr>
        <w:t>c</w:t>
      </w:r>
      <w:r>
        <w:rPr>
          <w:i/>
          <w:color w:val="000000"/>
          <w:sz w:val="20"/>
          <w:szCs w:val="20"/>
        </w:rPr>
        <w:t xml:space="preserve"> (año 2021)</w:t>
      </w:r>
      <w:r w:rsidRPr="003D42C8">
        <w:rPr>
          <w:i/>
          <w:color w:val="000000"/>
          <w:sz w:val="20"/>
          <w:szCs w:val="2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559"/>
        <w:gridCol w:w="2127"/>
        <w:gridCol w:w="1559"/>
      </w:tblGrid>
      <w:tr w:rsidR="00CD0BA4" w:rsidRPr="00F434A1" w:rsidTr="007F2707">
        <w:trPr>
          <w:jc w:val="center"/>
        </w:trPr>
        <w:tc>
          <w:tcPr>
            <w:tcW w:w="2268" w:type="dxa"/>
            <w:shd w:val="clear" w:color="auto" w:fill="auto"/>
          </w:tcPr>
          <w:p w:rsidR="00CD0BA4" w:rsidRPr="00F06D8E" w:rsidRDefault="00CD0BA4" w:rsidP="007F2707">
            <w:pPr>
              <w:jc w:val="center"/>
              <w:rPr>
                <w:rFonts w:ascii="Arial" w:hAnsi="Arial" w:cs="Arial"/>
                <w:b/>
                <w:color w:val="000000"/>
                <w:sz w:val="20"/>
                <w:szCs w:val="20"/>
              </w:rPr>
            </w:pPr>
            <w:r w:rsidRPr="00F06D8E">
              <w:rPr>
                <w:rFonts w:ascii="Arial" w:hAnsi="Arial" w:cs="Arial"/>
                <w:b/>
                <w:color w:val="000000"/>
                <w:sz w:val="20"/>
                <w:szCs w:val="20"/>
              </w:rPr>
              <w:t>Variable</w:t>
            </w:r>
          </w:p>
        </w:tc>
        <w:tc>
          <w:tcPr>
            <w:tcW w:w="1559" w:type="dxa"/>
            <w:shd w:val="clear" w:color="auto" w:fill="auto"/>
          </w:tcPr>
          <w:p w:rsidR="00CD0BA4" w:rsidRPr="00F06D8E" w:rsidRDefault="00CD0BA4" w:rsidP="007F2707">
            <w:pPr>
              <w:jc w:val="center"/>
              <w:rPr>
                <w:rFonts w:ascii="Arial" w:hAnsi="Arial" w:cs="Arial"/>
                <w:b/>
                <w:color w:val="000000"/>
                <w:sz w:val="20"/>
                <w:szCs w:val="20"/>
              </w:rPr>
            </w:pPr>
            <w:r w:rsidRPr="00F06D8E">
              <w:rPr>
                <w:rFonts w:ascii="Arial" w:hAnsi="Arial" w:cs="Arial"/>
                <w:b/>
                <w:color w:val="000000"/>
                <w:sz w:val="20"/>
                <w:szCs w:val="20"/>
              </w:rPr>
              <w:t>Valor</w:t>
            </w:r>
          </w:p>
        </w:tc>
        <w:tc>
          <w:tcPr>
            <w:tcW w:w="2127" w:type="dxa"/>
            <w:shd w:val="clear" w:color="auto" w:fill="auto"/>
          </w:tcPr>
          <w:p w:rsidR="00CD0BA4" w:rsidRPr="00F06D8E" w:rsidRDefault="00CD0BA4" w:rsidP="007F2707">
            <w:pPr>
              <w:jc w:val="center"/>
              <w:rPr>
                <w:rFonts w:ascii="Arial" w:hAnsi="Arial" w:cs="Arial"/>
                <w:b/>
                <w:color w:val="000000"/>
                <w:sz w:val="20"/>
                <w:szCs w:val="20"/>
              </w:rPr>
            </w:pPr>
            <w:r w:rsidRPr="00F06D8E">
              <w:rPr>
                <w:rFonts w:ascii="Arial" w:hAnsi="Arial" w:cs="Arial"/>
                <w:b/>
                <w:color w:val="000000"/>
                <w:sz w:val="20"/>
                <w:szCs w:val="20"/>
              </w:rPr>
              <w:t>Variable</w:t>
            </w:r>
          </w:p>
        </w:tc>
        <w:tc>
          <w:tcPr>
            <w:tcW w:w="1559" w:type="dxa"/>
            <w:shd w:val="clear" w:color="auto" w:fill="auto"/>
          </w:tcPr>
          <w:p w:rsidR="00CD0BA4" w:rsidRPr="00F06D8E" w:rsidRDefault="00CD0BA4" w:rsidP="007F2707">
            <w:pPr>
              <w:jc w:val="center"/>
              <w:rPr>
                <w:rFonts w:ascii="Arial" w:hAnsi="Arial" w:cs="Arial"/>
                <w:b/>
                <w:color w:val="000000"/>
                <w:sz w:val="20"/>
                <w:szCs w:val="20"/>
              </w:rPr>
            </w:pPr>
            <w:r w:rsidRPr="00F06D8E">
              <w:rPr>
                <w:rFonts w:ascii="Arial" w:hAnsi="Arial" w:cs="Arial"/>
                <w:b/>
                <w:color w:val="000000"/>
                <w:sz w:val="20"/>
                <w:szCs w:val="20"/>
              </w:rPr>
              <w:t>Valor</w:t>
            </w:r>
          </w:p>
        </w:tc>
      </w:tr>
      <w:tr w:rsidR="00CD0BA4" w:rsidRPr="00F434A1" w:rsidTr="007F2707">
        <w:trPr>
          <w:jc w:val="center"/>
        </w:trPr>
        <w:tc>
          <w:tcPr>
            <w:tcW w:w="2268"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Precio inicial del diésel</w:t>
            </w:r>
          </w:p>
        </w:tc>
        <w:tc>
          <w:tcPr>
            <w:tcW w:w="1559"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$20.5</w:t>
            </w:r>
          </w:p>
        </w:tc>
        <w:tc>
          <w:tcPr>
            <w:tcW w:w="2127" w:type="dxa"/>
            <w:shd w:val="clear" w:color="auto" w:fill="auto"/>
          </w:tcPr>
          <w:p w:rsidR="00CD0BA4" w:rsidRPr="00F06D8E" w:rsidRDefault="00CD0BA4" w:rsidP="007F2707">
            <w:pPr>
              <w:jc w:val="center"/>
              <w:rPr>
                <w:rFonts w:ascii="Arial" w:hAnsi="Arial" w:cs="Arial"/>
                <w:color w:val="000000"/>
                <w:sz w:val="20"/>
                <w:szCs w:val="20"/>
              </w:rPr>
            </w:pPr>
            <m:oMath>
              <m:r>
                <w:rPr>
                  <w:rFonts w:ascii="Cambria Math" w:eastAsia="Times New Roman" w:hAnsi="Cambria Math" w:cs="Arial"/>
                  <w:sz w:val="20"/>
                  <w:szCs w:val="20"/>
                </w:rPr>
                <m:t>c</m:t>
              </m:r>
            </m:oMath>
            <w:r w:rsidRPr="00F06D8E">
              <w:rPr>
                <w:rFonts w:ascii="Arial" w:eastAsia="Times New Roman" w:hAnsi="Arial" w:cs="Arial"/>
                <w:sz w:val="20"/>
                <w:szCs w:val="20"/>
              </w:rPr>
              <w:t xml:space="preserve"> mínimo (litros/km)</w:t>
            </w:r>
          </w:p>
        </w:tc>
        <w:tc>
          <w:tcPr>
            <w:tcW w:w="1559"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0.225</w:t>
            </w:r>
          </w:p>
        </w:tc>
      </w:tr>
      <w:tr w:rsidR="00CD0BA4" w:rsidRPr="00F434A1" w:rsidTr="007F2707">
        <w:trPr>
          <w:jc w:val="center"/>
        </w:trPr>
        <w:tc>
          <w:tcPr>
            <w:tcW w:w="2268"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Inflación</w:t>
            </w:r>
          </w:p>
        </w:tc>
        <w:tc>
          <w:tcPr>
            <w:tcW w:w="1559"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3.4%</w:t>
            </w:r>
          </w:p>
        </w:tc>
        <w:tc>
          <w:tcPr>
            <w:tcW w:w="2127"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Aumento de consumo anual del vehículo (litros/km)</w:t>
            </w:r>
          </w:p>
        </w:tc>
        <w:tc>
          <w:tcPr>
            <w:tcW w:w="1559"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0.1992%</w:t>
            </w:r>
          </w:p>
        </w:tc>
      </w:tr>
      <w:tr w:rsidR="00CD0BA4" w:rsidRPr="00F434A1" w:rsidTr="007F2707">
        <w:trPr>
          <w:jc w:val="center"/>
        </w:trPr>
        <w:tc>
          <w:tcPr>
            <w:tcW w:w="2268"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 xml:space="preserve">Precio del tractocamión con, </w:t>
            </w:r>
            <m:oMath>
              <m:sSub>
                <m:sSubPr>
                  <m:ctrlPr>
                    <w:rPr>
                      <w:rFonts w:ascii="Cambria Math" w:eastAsia="Times New Roman" w:hAnsi="Cambria Math" w:cs="Arial"/>
                      <w:i/>
                      <w:sz w:val="20"/>
                      <w:szCs w:val="20"/>
                    </w:rPr>
                  </m:ctrlPr>
                </m:sSubPr>
                <m:e>
                  <m:r>
                    <w:rPr>
                      <w:rFonts w:ascii="Cambria Math" w:eastAsia="Times New Roman" w:hAnsi="Cambria Math" w:cs="Arial"/>
                      <w:sz w:val="20"/>
                      <w:szCs w:val="20"/>
                    </w:rPr>
                    <m:t>P</m:t>
                  </m:r>
                </m:e>
                <m:sub>
                  <m:r>
                    <w:rPr>
                      <w:rFonts w:ascii="Cambria Math" w:eastAsia="Times New Roman" w:hAnsi="Cambria Math" w:cs="Arial"/>
                      <w:sz w:val="20"/>
                      <w:szCs w:val="20"/>
                    </w:rPr>
                    <m:t xml:space="preserve"> c0</m:t>
                  </m:r>
                </m:sub>
              </m:sSub>
            </m:oMath>
          </w:p>
        </w:tc>
        <w:tc>
          <w:tcPr>
            <w:tcW w:w="1559"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$ 2800000.00</w:t>
            </w:r>
          </w:p>
        </w:tc>
        <w:tc>
          <w:tcPr>
            <w:tcW w:w="2127"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Kilometraje en 2021 (km)</w:t>
            </w:r>
          </w:p>
        </w:tc>
        <w:tc>
          <w:tcPr>
            <w:tcW w:w="1559"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50000</w:t>
            </w:r>
          </w:p>
        </w:tc>
      </w:tr>
      <w:tr w:rsidR="00CD0BA4" w:rsidRPr="00F434A1" w:rsidTr="007F2707">
        <w:trPr>
          <w:jc w:val="center"/>
        </w:trPr>
        <w:tc>
          <w:tcPr>
            <w:tcW w:w="2268" w:type="dxa"/>
            <w:shd w:val="clear" w:color="auto" w:fill="auto"/>
          </w:tcPr>
          <w:p w:rsidR="00CD0BA4" w:rsidRPr="00CD0BA4" w:rsidRDefault="00CD0BA4" w:rsidP="007F2707">
            <w:pPr>
              <w:jc w:val="center"/>
              <w:rPr>
                <w:rFonts w:ascii="Arial" w:hAnsi="Arial" w:cs="Arial"/>
                <w:color w:val="000000"/>
                <w:sz w:val="20"/>
                <w:szCs w:val="20"/>
              </w:rPr>
            </w:pPr>
            <m:oMathPara>
              <m:oMath>
                <m:r>
                  <w:rPr>
                    <w:rFonts w:ascii="Cambria Math" w:hAnsi="Cambria Math"/>
                  </w:rPr>
                  <m:t>μ</m:t>
                </m:r>
              </m:oMath>
            </m:oMathPara>
          </w:p>
        </w:tc>
        <w:tc>
          <w:tcPr>
            <w:tcW w:w="1559"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0.5</w:t>
            </w:r>
          </w:p>
        </w:tc>
        <w:tc>
          <w:tcPr>
            <w:tcW w:w="2127"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Disminución anual del kilometraje (km)</w:t>
            </w:r>
          </w:p>
        </w:tc>
        <w:tc>
          <w:tcPr>
            <w:tcW w:w="1559"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1000</w:t>
            </w:r>
          </w:p>
        </w:tc>
      </w:tr>
      <w:tr w:rsidR="00CD0BA4" w:rsidRPr="00F434A1" w:rsidTr="007F2707">
        <w:trPr>
          <w:jc w:val="center"/>
        </w:trPr>
        <w:tc>
          <w:tcPr>
            <w:tcW w:w="2268" w:type="dxa"/>
            <w:shd w:val="clear" w:color="auto" w:fill="auto"/>
          </w:tcPr>
          <w:p w:rsidR="00CD0BA4" w:rsidRPr="00CD0BA4" w:rsidRDefault="00CD0BA4" w:rsidP="007F2707">
            <w:pPr>
              <w:jc w:val="center"/>
              <w:rPr>
                <w:rFonts w:ascii="Arial" w:hAnsi="Arial" w:cs="Arial"/>
                <w:color w:val="000000"/>
                <w:sz w:val="20"/>
                <w:szCs w:val="20"/>
              </w:rPr>
            </w:pPr>
            <m:oMathPara>
              <m:oMath>
                <m:r>
                  <w:rPr>
                    <w:rFonts w:ascii="Cambria Math" w:hAnsi="Cambria Math"/>
                  </w:rPr>
                  <m:t>α</m:t>
                </m:r>
              </m:oMath>
            </m:oMathPara>
          </w:p>
        </w:tc>
        <w:tc>
          <w:tcPr>
            <w:tcW w:w="1559"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500</w:t>
            </w:r>
          </w:p>
        </w:tc>
        <w:tc>
          <w:tcPr>
            <w:tcW w:w="2127"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Año de inicio del VPN</w:t>
            </w:r>
          </w:p>
        </w:tc>
        <w:tc>
          <w:tcPr>
            <w:tcW w:w="1559"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2021</w:t>
            </w:r>
          </w:p>
        </w:tc>
      </w:tr>
      <w:tr w:rsidR="00CD0BA4" w:rsidRPr="00F434A1" w:rsidTr="007F2707">
        <w:trPr>
          <w:jc w:val="center"/>
        </w:trPr>
        <w:tc>
          <w:tcPr>
            <w:tcW w:w="2268" w:type="dxa"/>
            <w:shd w:val="clear" w:color="auto" w:fill="auto"/>
          </w:tcPr>
          <w:p w:rsidR="00CD0BA4" w:rsidRPr="00CD0BA4" w:rsidRDefault="00CD0BA4" w:rsidP="007F2707">
            <w:pPr>
              <w:jc w:val="center"/>
              <w:rPr>
                <w:rFonts w:ascii="Arial" w:hAnsi="Arial" w:cs="Arial"/>
                <w:color w:val="000000"/>
                <w:sz w:val="20"/>
                <w:szCs w:val="20"/>
              </w:rPr>
            </w:pPr>
            <m:oMathPara>
              <m:oMath>
                <m:r>
                  <w:rPr>
                    <w:rFonts w:ascii="Cambria Math" w:hAnsi="Cambria Math"/>
                  </w:rPr>
                  <m:t>β</m:t>
                </m:r>
              </m:oMath>
            </m:oMathPara>
          </w:p>
        </w:tc>
        <w:tc>
          <w:tcPr>
            <w:tcW w:w="1559"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6</w:t>
            </w:r>
          </w:p>
        </w:tc>
        <w:tc>
          <w:tcPr>
            <w:tcW w:w="2127"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Tasa de descuento</w:t>
            </w:r>
          </w:p>
        </w:tc>
        <w:tc>
          <w:tcPr>
            <w:tcW w:w="1559"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10%</w:t>
            </w:r>
          </w:p>
        </w:tc>
      </w:tr>
      <w:tr w:rsidR="00CD0BA4" w:rsidRPr="00F434A1" w:rsidTr="007F2707">
        <w:trPr>
          <w:jc w:val="center"/>
        </w:trPr>
        <w:tc>
          <w:tcPr>
            <w:tcW w:w="2268" w:type="dxa"/>
            <w:shd w:val="clear" w:color="auto" w:fill="auto"/>
          </w:tcPr>
          <w:p w:rsidR="00CD0BA4" w:rsidRPr="00F06D8E" w:rsidRDefault="00CD0BA4" w:rsidP="007F2707">
            <w:pPr>
              <w:jc w:val="center"/>
              <w:rPr>
                <w:rFonts w:ascii="Arial" w:hAnsi="Arial" w:cs="Arial"/>
                <w:color w:val="000000"/>
                <w:sz w:val="20"/>
                <w:szCs w:val="20"/>
              </w:rPr>
            </w:pPr>
            <m:oMath>
              <m:r>
                <w:rPr>
                  <w:rFonts w:ascii="Cambria Math" w:eastAsia="Times New Roman" w:hAnsi="Cambria Math" w:cs="Arial"/>
                  <w:sz w:val="20"/>
                  <w:szCs w:val="20"/>
                </w:rPr>
                <m:t>c0</m:t>
              </m:r>
            </m:oMath>
            <w:r w:rsidRPr="00F06D8E">
              <w:rPr>
                <w:rFonts w:ascii="Arial" w:hAnsi="Arial" w:cs="Arial"/>
                <w:color w:val="000000"/>
                <w:sz w:val="20"/>
                <w:szCs w:val="20"/>
              </w:rPr>
              <w:t xml:space="preserve"> (litros/km)</w:t>
            </w:r>
          </w:p>
        </w:tc>
        <w:tc>
          <w:tcPr>
            <w:tcW w:w="1559" w:type="dxa"/>
            <w:shd w:val="clear" w:color="auto" w:fill="auto"/>
          </w:tcPr>
          <w:p w:rsidR="00CD0BA4" w:rsidRPr="00F06D8E" w:rsidRDefault="00CD0BA4" w:rsidP="007F2707">
            <w:pPr>
              <w:jc w:val="center"/>
              <w:rPr>
                <w:rFonts w:ascii="Arial" w:hAnsi="Arial" w:cs="Arial"/>
                <w:color w:val="000000"/>
                <w:sz w:val="20"/>
                <w:szCs w:val="20"/>
              </w:rPr>
            </w:pPr>
            <w:r w:rsidRPr="00F06D8E">
              <w:rPr>
                <w:rFonts w:ascii="Arial" w:hAnsi="Arial" w:cs="Arial"/>
                <w:color w:val="000000"/>
                <w:sz w:val="20"/>
                <w:szCs w:val="20"/>
              </w:rPr>
              <w:t>0.3</w:t>
            </w:r>
          </w:p>
        </w:tc>
        <w:tc>
          <w:tcPr>
            <w:tcW w:w="2127" w:type="dxa"/>
            <w:shd w:val="clear" w:color="auto" w:fill="auto"/>
          </w:tcPr>
          <w:p w:rsidR="00CD0BA4" w:rsidRPr="00F06D8E" w:rsidRDefault="00CD0BA4" w:rsidP="007F2707">
            <w:pPr>
              <w:jc w:val="center"/>
              <w:rPr>
                <w:rFonts w:ascii="Arial" w:hAnsi="Arial" w:cs="Arial"/>
                <w:color w:val="000000"/>
                <w:sz w:val="20"/>
                <w:szCs w:val="20"/>
              </w:rPr>
            </w:pPr>
          </w:p>
        </w:tc>
        <w:tc>
          <w:tcPr>
            <w:tcW w:w="1559" w:type="dxa"/>
            <w:shd w:val="clear" w:color="auto" w:fill="auto"/>
          </w:tcPr>
          <w:p w:rsidR="00CD0BA4" w:rsidRPr="00F06D8E" w:rsidRDefault="00CD0BA4" w:rsidP="007F2707">
            <w:pPr>
              <w:jc w:val="center"/>
              <w:rPr>
                <w:rFonts w:ascii="Arial" w:hAnsi="Arial" w:cs="Arial"/>
                <w:color w:val="000000"/>
                <w:sz w:val="20"/>
                <w:szCs w:val="20"/>
              </w:rPr>
            </w:pPr>
          </w:p>
        </w:tc>
      </w:tr>
    </w:tbl>
    <w:p w:rsidR="00CD0BA4" w:rsidRDefault="00CD0BA4" w:rsidP="00CD0BA4">
      <w:pPr>
        <w:pStyle w:val="EQN"/>
        <w:jc w:val="left"/>
        <w:rPr>
          <w:lang w:val="es-ES"/>
        </w:rPr>
      </w:pPr>
    </w:p>
    <w:p w:rsidR="00CD0BA4" w:rsidRDefault="00CD0BA4" w:rsidP="00CD0BA4">
      <w:pPr>
        <w:pStyle w:val="1Titulo"/>
        <w:numPr>
          <w:ilvl w:val="0"/>
          <w:numId w:val="0"/>
        </w:numPr>
        <w:ind w:left="357"/>
      </w:pPr>
      <w:bookmarkStart w:id="323" w:name="_Toc50031371"/>
      <w:r>
        <w:rPr>
          <w:caps/>
        </w:rPr>
        <w:t xml:space="preserve">5. </w:t>
      </w:r>
      <w:r w:rsidRPr="00D46C2D">
        <w:t>Resultados del VPN para un tractocamión en varios años</w:t>
      </w:r>
      <w:bookmarkEnd w:id="323"/>
    </w:p>
    <w:p w:rsidR="00CD0BA4" w:rsidRPr="000F2BF5" w:rsidRDefault="00CD0BA4" w:rsidP="00CD0BA4"/>
    <w:p w:rsidR="00CD0BA4" w:rsidRDefault="00CD0BA4" w:rsidP="00CD0BA4">
      <w:pPr>
        <w:jc w:val="both"/>
        <w:rPr>
          <w:rFonts w:ascii="Arial" w:hAnsi="Arial" w:cs="Arial"/>
          <w:color w:val="000000"/>
        </w:rPr>
      </w:pPr>
      <w:r w:rsidRPr="00DA373B">
        <w:rPr>
          <w:rFonts w:ascii="Arial" w:hAnsi="Arial" w:cs="Arial"/>
          <w:b/>
          <w:lang w:val="es-MX"/>
        </w:rPr>
        <w:lastRenderedPageBreak/>
        <w:t xml:space="preserve">          </w:t>
      </w:r>
      <w:r w:rsidRPr="006654CF">
        <w:rPr>
          <w:rFonts w:ascii="Arial" w:hAnsi="Arial" w:cs="Arial"/>
          <w:color w:val="000000"/>
        </w:rPr>
        <w:t>Usa</w:t>
      </w:r>
      <w:r>
        <w:rPr>
          <w:rFonts w:ascii="Arial" w:hAnsi="Arial" w:cs="Arial"/>
          <w:color w:val="000000"/>
        </w:rPr>
        <w:t>ndo los parámetros de la Tabla 2</w:t>
      </w:r>
      <w:r w:rsidRPr="006654CF">
        <w:rPr>
          <w:rFonts w:ascii="Arial" w:hAnsi="Arial" w:cs="Arial"/>
          <w:color w:val="000000"/>
        </w:rPr>
        <w:t xml:space="preserve"> se obtienen los resultad</w:t>
      </w:r>
      <w:r>
        <w:rPr>
          <w:rFonts w:ascii="Arial" w:hAnsi="Arial" w:cs="Arial"/>
          <w:color w:val="000000"/>
        </w:rPr>
        <w:t>os que se muestran en la Tabla 3 y en la F</w:t>
      </w:r>
      <w:r w:rsidRPr="006654CF">
        <w:rPr>
          <w:rFonts w:ascii="Arial" w:hAnsi="Arial" w:cs="Arial"/>
          <w:color w:val="000000"/>
        </w:rPr>
        <w:t>igura 1</w:t>
      </w:r>
      <w:r>
        <w:rPr>
          <w:rFonts w:ascii="Arial" w:hAnsi="Arial" w:cs="Arial"/>
          <w:color w:val="000000"/>
        </w:rPr>
        <w:t xml:space="preserve"> para los once tractocamiones que tienen diferentes consumos de combustible (primera columna) en el año 2021 comenzando por el que tiene un consumo de 0.3 litros/km (3.33 km/litro) hasta llegar al que consume 0.225 litros/km por combustible (4.44 km/litro)</w:t>
      </w:r>
      <w:r w:rsidRPr="006654CF">
        <w:rPr>
          <w:rFonts w:ascii="Arial" w:hAnsi="Arial" w:cs="Arial"/>
          <w:color w:val="000000"/>
        </w:rPr>
        <w:t>.</w:t>
      </w:r>
      <w:r>
        <w:rPr>
          <w:rFonts w:ascii="Arial" w:hAnsi="Arial" w:cs="Arial"/>
          <w:color w:val="000000"/>
        </w:rPr>
        <w:t xml:space="preserve"> La diferencia en consumo de 0.3 litros/km a 0.225 litros/km es de 25%. E</w:t>
      </w:r>
      <w:r w:rsidRPr="006654CF">
        <w:rPr>
          <w:rFonts w:ascii="Arial" w:hAnsi="Arial" w:cs="Arial"/>
          <w:color w:val="000000"/>
        </w:rPr>
        <w:t>l precio del tractocamión</w:t>
      </w:r>
      <w:r>
        <w:rPr>
          <w:rFonts w:ascii="Arial" w:hAnsi="Arial" w:cs="Arial"/>
          <w:color w:val="000000"/>
        </w:rPr>
        <w:t xml:space="preserve"> en pesos (columna 2) depende de </w:t>
      </w:r>
      <w:r w:rsidRPr="006654CF">
        <w:rPr>
          <w:rFonts w:ascii="Arial" w:hAnsi="Arial" w:cs="Arial"/>
          <w:color w:val="000000"/>
        </w:rPr>
        <w:t xml:space="preserve">su disminución en el consumo de diésel. </w:t>
      </w:r>
      <w:r>
        <w:rPr>
          <w:rFonts w:ascii="Arial" w:hAnsi="Arial" w:cs="Arial"/>
          <w:color w:val="000000"/>
        </w:rPr>
        <w:t xml:space="preserve">En la tercera columna se muestra el incremento en el precio del tractocamión conforme disminuye el consumo de diésel (aumenta su eficiencia energética). La cuarta columna muestra  </w:t>
      </w:r>
      <w:r w:rsidRPr="006654CF">
        <w:rPr>
          <w:rFonts w:ascii="Arial" w:hAnsi="Arial" w:cs="Arial"/>
          <w:color w:val="000000"/>
        </w:rPr>
        <w:t>el gasto en pesos del consumo de combustible en 5 años pa</w:t>
      </w:r>
      <w:r>
        <w:rPr>
          <w:rFonts w:ascii="Arial" w:hAnsi="Arial" w:cs="Arial"/>
          <w:color w:val="000000"/>
        </w:rPr>
        <w:t>ra los tractocamiones. En la quinta columna se muestra</w:t>
      </w:r>
      <w:r w:rsidRPr="006654CF">
        <w:rPr>
          <w:rFonts w:ascii="Arial" w:hAnsi="Arial" w:cs="Arial"/>
          <w:color w:val="000000"/>
        </w:rPr>
        <w:t xml:space="preserve"> el ahorro de combustible en los 5 años para cada tractocamión. Finalmente en la última columna se muestra el Valor Presente Neto para cada vehículo</w:t>
      </w:r>
      <w:r>
        <w:rPr>
          <w:rFonts w:ascii="Arial" w:hAnsi="Arial" w:cs="Arial"/>
          <w:color w:val="000000"/>
        </w:rPr>
        <w:t xml:space="preserve"> en 5 años del uso del vehículo</w:t>
      </w:r>
      <w:r w:rsidRPr="006654CF">
        <w:rPr>
          <w:rFonts w:ascii="Arial" w:hAnsi="Arial" w:cs="Arial"/>
          <w:color w:val="000000"/>
        </w:rPr>
        <w:t>.</w:t>
      </w:r>
      <w:r>
        <w:rPr>
          <w:rFonts w:ascii="Arial" w:hAnsi="Arial" w:cs="Arial"/>
          <w:color w:val="000000"/>
        </w:rPr>
        <w:t xml:space="preserve"> Como se muestra en la T</w:t>
      </w:r>
      <w:r w:rsidRPr="00CE06B0">
        <w:rPr>
          <w:rFonts w:ascii="Arial" w:hAnsi="Arial" w:cs="Arial"/>
          <w:color w:val="000000"/>
        </w:rPr>
        <w:t>abla</w:t>
      </w:r>
      <w:r>
        <w:rPr>
          <w:rFonts w:ascii="Arial" w:hAnsi="Arial" w:cs="Arial"/>
          <w:color w:val="000000"/>
        </w:rPr>
        <w:t xml:space="preserve"> 3</w:t>
      </w:r>
      <w:r w:rsidRPr="00CE06B0">
        <w:rPr>
          <w:rFonts w:ascii="Arial" w:hAnsi="Arial" w:cs="Arial"/>
          <w:color w:val="000000"/>
        </w:rPr>
        <w:t>, el VPN es negativo para los tractocamiones más eficientes, porque son más caros.</w:t>
      </w:r>
    </w:p>
    <w:p w:rsidR="00CD0BA4" w:rsidRDefault="00CD0BA4" w:rsidP="00CD0BA4">
      <w:pPr>
        <w:jc w:val="center"/>
        <w:rPr>
          <w:rFonts w:ascii="Arial" w:hAnsi="Arial" w:cs="Arial"/>
          <w:color w:val="000000"/>
        </w:rPr>
      </w:pPr>
    </w:p>
    <w:p w:rsidR="00CD0BA4" w:rsidRDefault="00CD0BA4" w:rsidP="00CD0BA4">
      <w:pPr>
        <w:jc w:val="center"/>
        <w:rPr>
          <w:i/>
          <w:color w:val="000000"/>
          <w:sz w:val="20"/>
          <w:szCs w:val="20"/>
        </w:rPr>
      </w:pPr>
      <w:r>
        <w:rPr>
          <w:i/>
          <w:color w:val="000000"/>
          <w:sz w:val="20"/>
          <w:szCs w:val="20"/>
        </w:rPr>
        <w:t>Tabla 3</w:t>
      </w:r>
      <w:r w:rsidRPr="00384E34">
        <w:rPr>
          <w:i/>
          <w:color w:val="000000"/>
          <w:sz w:val="20"/>
          <w:szCs w:val="20"/>
        </w:rPr>
        <w:t>. Consumo de combustible y precios de los tractocamiones. El gasto por el consumo de combustible, el ahorro de combustible y el Valor Presente Neto se calculan para 5 años, del año 2021 al año 2025.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1"/>
        <w:gridCol w:w="1598"/>
        <w:gridCol w:w="1556"/>
        <w:gridCol w:w="1597"/>
        <w:gridCol w:w="1556"/>
        <w:gridCol w:w="1556"/>
      </w:tblGrid>
      <w:tr w:rsidR="00CD0BA4" w:rsidRPr="003462B7" w:rsidTr="007F2707">
        <w:tc>
          <w:tcPr>
            <w:tcW w:w="1590" w:type="dxa"/>
            <w:vMerge w:val="restart"/>
            <w:shd w:val="clear" w:color="auto" w:fill="auto"/>
          </w:tcPr>
          <w:p w:rsidR="00CD0BA4" w:rsidRPr="00C4792D" w:rsidRDefault="00CD0BA4" w:rsidP="007F2707">
            <w:pPr>
              <w:jc w:val="center"/>
              <w:rPr>
                <w:rFonts w:ascii="Arial" w:hAnsi="Arial" w:cs="Arial"/>
                <w:i/>
                <w:color w:val="000000"/>
                <w:sz w:val="20"/>
                <w:szCs w:val="20"/>
              </w:rPr>
            </w:pPr>
            <w:r w:rsidRPr="00C4792D">
              <w:rPr>
                <w:rFonts w:ascii="Arial" w:eastAsia="Times New Roman" w:hAnsi="Arial" w:cs="Arial"/>
                <w:b/>
                <w:bCs/>
                <w:sz w:val="20"/>
                <w:szCs w:val="20"/>
                <w:lang w:eastAsia="es-MX"/>
              </w:rPr>
              <w:t>Consumo</w:t>
            </w:r>
          </w:p>
        </w:tc>
        <w:tc>
          <w:tcPr>
            <w:tcW w:w="1613" w:type="dxa"/>
            <w:vMerge w:val="restart"/>
            <w:shd w:val="clear" w:color="auto" w:fill="auto"/>
          </w:tcPr>
          <w:p w:rsidR="00CD0BA4" w:rsidRPr="00C4792D" w:rsidRDefault="00CD0BA4" w:rsidP="007F2707">
            <w:pPr>
              <w:jc w:val="center"/>
              <w:rPr>
                <w:rFonts w:ascii="Arial" w:hAnsi="Arial" w:cs="Arial"/>
                <w:i/>
                <w:color w:val="000000"/>
                <w:sz w:val="20"/>
                <w:szCs w:val="20"/>
              </w:rPr>
            </w:pPr>
            <w:r w:rsidRPr="00C4792D">
              <w:rPr>
                <w:rFonts w:ascii="Arial" w:eastAsia="Times New Roman" w:hAnsi="Arial" w:cs="Arial"/>
                <w:b/>
                <w:bCs/>
                <w:sz w:val="20"/>
                <w:szCs w:val="20"/>
                <w:lang w:eastAsia="es-MX"/>
              </w:rPr>
              <w:t>Precio camión</w:t>
            </w:r>
          </w:p>
        </w:tc>
        <w:tc>
          <w:tcPr>
            <w:tcW w:w="1591" w:type="dxa"/>
            <w:vMerge w:val="restart"/>
            <w:shd w:val="clear" w:color="auto" w:fill="auto"/>
          </w:tcPr>
          <w:p w:rsidR="00CD0BA4" w:rsidRPr="00C4792D" w:rsidRDefault="00CD0BA4" w:rsidP="007F2707">
            <w:pPr>
              <w:jc w:val="center"/>
              <w:rPr>
                <w:rFonts w:ascii="Arial" w:hAnsi="Arial" w:cs="Arial"/>
                <w:i/>
                <w:color w:val="000000"/>
                <w:sz w:val="20"/>
                <w:szCs w:val="20"/>
              </w:rPr>
            </w:pPr>
            <w:r w:rsidRPr="00C4792D">
              <w:rPr>
                <w:rFonts w:ascii="Arial" w:eastAsia="Times New Roman" w:hAnsi="Arial" w:cs="Arial"/>
                <w:b/>
                <w:bCs/>
                <w:sz w:val="20"/>
                <w:szCs w:val="20"/>
                <w:lang w:eastAsia="es-MX"/>
              </w:rPr>
              <w:t>Incremento en precio</w:t>
            </w:r>
          </w:p>
        </w:tc>
        <w:tc>
          <w:tcPr>
            <w:tcW w:w="4795" w:type="dxa"/>
            <w:gridSpan w:val="3"/>
            <w:shd w:val="clear" w:color="auto" w:fill="auto"/>
          </w:tcPr>
          <w:p w:rsidR="00CD0BA4" w:rsidRPr="00C4792D" w:rsidRDefault="00CD0BA4" w:rsidP="007F2707">
            <w:pPr>
              <w:jc w:val="center"/>
              <w:rPr>
                <w:rFonts w:ascii="Arial" w:hAnsi="Arial" w:cs="Arial"/>
                <w:i/>
                <w:color w:val="000000"/>
                <w:sz w:val="20"/>
                <w:szCs w:val="20"/>
              </w:rPr>
            </w:pPr>
            <w:r w:rsidRPr="00C4792D">
              <w:rPr>
                <w:rFonts w:ascii="Arial" w:eastAsia="Times New Roman" w:hAnsi="Arial" w:cs="Arial"/>
                <w:b/>
                <w:bCs/>
                <w:sz w:val="20"/>
                <w:szCs w:val="20"/>
                <w:lang w:eastAsia="es-MX"/>
              </w:rPr>
              <w:t>5 años</w:t>
            </w:r>
          </w:p>
        </w:tc>
      </w:tr>
      <w:tr w:rsidR="00CD0BA4" w:rsidRPr="003462B7" w:rsidTr="007F2707">
        <w:tc>
          <w:tcPr>
            <w:tcW w:w="1590" w:type="dxa"/>
            <w:vMerge/>
            <w:shd w:val="clear" w:color="auto" w:fill="auto"/>
          </w:tcPr>
          <w:p w:rsidR="00CD0BA4" w:rsidRPr="00C4792D" w:rsidRDefault="00CD0BA4" w:rsidP="007F2707">
            <w:pPr>
              <w:jc w:val="center"/>
              <w:rPr>
                <w:rFonts w:ascii="Arial" w:hAnsi="Arial" w:cs="Arial"/>
                <w:i/>
                <w:color w:val="000000"/>
                <w:sz w:val="20"/>
                <w:szCs w:val="20"/>
              </w:rPr>
            </w:pPr>
          </w:p>
        </w:tc>
        <w:tc>
          <w:tcPr>
            <w:tcW w:w="1613" w:type="dxa"/>
            <w:vMerge/>
            <w:shd w:val="clear" w:color="auto" w:fill="auto"/>
          </w:tcPr>
          <w:p w:rsidR="00CD0BA4" w:rsidRPr="00C4792D" w:rsidRDefault="00CD0BA4" w:rsidP="007F2707">
            <w:pPr>
              <w:jc w:val="center"/>
              <w:rPr>
                <w:rFonts w:ascii="Arial" w:hAnsi="Arial" w:cs="Arial"/>
                <w:i/>
                <w:color w:val="000000"/>
                <w:sz w:val="20"/>
                <w:szCs w:val="20"/>
              </w:rPr>
            </w:pPr>
          </w:p>
        </w:tc>
        <w:tc>
          <w:tcPr>
            <w:tcW w:w="1591" w:type="dxa"/>
            <w:vMerge/>
            <w:shd w:val="clear" w:color="auto" w:fill="auto"/>
          </w:tcPr>
          <w:p w:rsidR="00CD0BA4" w:rsidRPr="00C4792D" w:rsidRDefault="00CD0BA4" w:rsidP="007F2707">
            <w:pPr>
              <w:jc w:val="center"/>
              <w:rPr>
                <w:rFonts w:ascii="Arial" w:hAnsi="Arial" w:cs="Arial"/>
                <w:i/>
                <w:color w:val="000000"/>
                <w:sz w:val="20"/>
                <w:szCs w:val="20"/>
              </w:rPr>
            </w:pPr>
          </w:p>
        </w:tc>
        <w:tc>
          <w:tcPr>
            <w:tcW w:w="1613" w:type="dxa"/>
            <w:shd w:val="clear" w:color="auto" w:fill="auto"/>
          </w:tcPr>
          <w:p w:rsidR="00CD0BA4" w:rsidRPr="00C4792D" w:rsidRDefault="00CD0BA4" w:rsidP="007F2707">
            <w:pPr>
              <w:jc w:val="center"/>
              <w:rPr>
                <w:rFonts w:ascii="Arial" w:hAnsi="Arial" w:cs="Arial"/>
                <w:i/>
                <w:color w:val="000000"/>
                <w:sz w:val="20"/>
                <w:szCs w:val="20"/>
              </w:rPr>
            </w:pPr>
            <w:r w:rsidRPr="00C4792D">
              <w:rPr>
                <w:rFonts w:ascii="Arial" w:eastAsia="Times New Roman" w:hAnsi="Arial" w:cs="Arial"/>
                <w:b/>
                <w:bCs/>
                <w:sz w:val="20"/>
                <w:szCs w:val="20"/>
                <w:lang w:eastAsia="es-MX"/>
              </w:rPr>
              <w:t>Gasto Diésel</w:t>
            </w:r>
          </w:p>
        </w:tc>
        <w:tc>
          <w:tcPr>
            <w:tcW w:w="1591" w:type="dxa"/>
            <w:shd w:val="clear" w:color="auto" w:fill="auto"/>
          </w:tcPr>
          <w:p w:rsidR="00CD0BA4" w:rsidRPr="00C4792D" w:rsidRDefault="00CD0BA4" w:rsidP="007F2707">
            <w:pPr>
              <w:jc w:val="center"/>
              <w:rPr>
                <w:rFonts w:ascii="Arial" w:hAnsi="Arial" w:cs="Arial"/>
                <w:i/>
                <w:color w:val="000000"/>
                <w:sz w:val="20"/>
                <w:szCs w:val="20"/>
              </w:rPr>
            </w:pPr>
            <w:r w:rsidRPr="00C4792D">
              <w:rPr>
                <w:rFonts w:ascii="Arial" w:eastAsia="Times New Roman" w:hAnsi="Arial" w:cs="Arial"/>
                <w:b/>
                <w:bCs/>
                <w:sz w:val="20"/>
                <w:szCs w:val="20"/>
                <w:lang w:eastAsia="es-MX"/>
              </w:rPr>
              <w:t>Ahorro Total</w:t>
            </w:r>
          </w:p>
        </w:tc>
        <w:tc>
          <w:tcPr>
            <w:tcW w:w="1591" w:type="dxa"/>
            <w:shd w:val="clear" w:color="auto" w:fill="auto"/>
          </w:tcPr>
          <w:p w:rsidR="00CD0BA4" w:rsidRPr="00C4792D" w:rsidRDefault="00CD0BA4" w:rsidP="007F2707">
            <w:pPr>
              <w:jc w:val="center"/>
              <w:rPr>
                <w:rFonts w:ascii="Arial" w:hAnsi="Arial" w:cs="Arial"/>
                <w:i/>
                <w:color w:val="000000"/>
                <w:sz w:val="20"/>
                <w:szCs w:val="20"/>
              </w:rPr>
            </w:pPr>
            <w:r w:rsidRPr="00C4792D">
              <w:rPr>
                <w:rFonts w:ascii="Arial" w:eastAsia="Times New Roman" w:hAnsi="Arial" w:cs="Arial"/>
                <w:b/>
                <w:bCs/>
                <w:sz w:val="20"/>
                <w:szCs w:val="20"/>
                <w:lang w:eastAsia="es-MX"/>
              </w:rPr>
              <w:t>VPN</w:t>
            </w:r>
          </w:p>
        </w:tc>
      </w:tr>
      <w:tr w:rsidR="00CD0BA4" w:rsidRPr="003462B7" w:rsidTr="007F2707">
        <w:tc>
          <w:tcPr>
            <w:tcW w:w="1590"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0.3</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$2,800,000.00</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$0.00</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$1,545,381.88</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$0.00</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$0.00</w:t>
            </w:r>
          </w:p>
        </w:tc>
      </w:tr>
      <w:tr w:rsidR="00CD0BA4" w:rsidRPr="003462B7" w:rsidTr="007F2707">
        <w:tc>
          <w:tcPr>
            <w:tcW w:w="1590"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0.2925</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$2,835,000.34</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$35,000.34</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$1,506,747.34</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$38,634.55</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-$2,869.38</w:t>
            </w:r>
          </w:p>
        </w:tc>
      </w:tr>
      <w:tr w:rsidR="00CD0BA4" w:rsidRPr="003462B7" w:rsidTr="007F2707">
        <w:tc>
          <w:tcPr>
            <w:tcW w:w="1590"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0.285</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$2,870,021.88</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$70,021.88</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$1,468,112.79</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$77,269.09</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-$5,759.96</w:t>
            </w:r>
          </w:p>
        </w:tc>
      </w:tr>
      <w:tr w:rsidR="00CD0BA4" w:rsidRPr="003462B7" w:rsidTr="007F2707">
        <w:tc>
          <w:tcPr>
            <w:tcW w:w="1590"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0.2775</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$2,905,249.17</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$105,249.17</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$1,429,478.24</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$115,903.64</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-$8,856.30</w:t>
            </w:r>
          </w:p>
        </w:tc>
      </w:tr>
      <w:tr w:rsidR="00CD0BA4" w:rsidRPr="003462B7" w:rsidTr="007F2707">
        <w:tc>
          <w:tcPr>
            <w:tcW w:w="1590"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0.27</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$2,941,400.00</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$141,400.00</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$1,390,843.70</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$154,538.19</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-$12,876.17</w:t>
            </w:r>
          </w:p>
        </w:tc>
      </w:tr>
      <w:tr w:rsidR="00CD0BA4" w:rsidRPr="003462B7" w:rsidTr="007F2707">
        <w:tc>
          <w:tcPr>
            <w:tcW w:w="1590"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0.2625</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$2,980,340.58</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$180,340.58</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$1,352,209.15</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$193,172.74</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-$19,685.79</w:t>
            </w:r>
          </w:p>
        </w:tc>
      </w:tr>
      <w:tr w:rsidR="00CD0BA4" w:rsidRPr="003462B7" w:rsidTr="007F2707">
        <w:tc>
          <w:tcPr>
            <w:tcW w:w="1590"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0.255</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$3,025,946.88</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$225,946.88</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$1,313,574.60</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$231,807.28</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-$33,161.13</w:t>
            </w:r>
          </w:p>
        </w:tc>
      </w:tr>
      <w:tr w:rsidR="00CD0BA4" w:rsidRPr="003462B7" w:rsidTr="007F2707">
        <w:tc>
          <w:tcPr>
            <w:tcW w:w="1590"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0.2475</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$3,085,212.06</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$285,212.06</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$1,274,940.05</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$270,441.83</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-$60,295.35</w:t>
            </w:r>
          </w:p>
        </w:tc>
      </w:tr>
      <w:tr w:rsidR="00CD0BA4" w:rsidRPr="003462B7" w:rsidTr="007F2707">
        <w:tc>
          <w:tcPr>
            <w:tcW w:w="1590"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0.24</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$3,169,600.00</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$369,600.00</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$1,236,305.51</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$309,076.38</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-$112,552.34</w:t>
            </w:r>
          </w:p>
        </w:tc>
      </w:tr>
      <w:tr w:rsidR="00CD0BA4" w:rsidRPr="003462B7" w:rsidTr="007F2707">
        <w:tc>
          <w:tcPr>
            <w:tcW w:w="1590"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0.2325</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$3,296,644.87</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$496,644.87</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$1,197,670.96</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$347,710.92</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-$207,466.25</w:t>
            </w:r>
          </w:p>
        </w:tc>
      </w:tr>
      <w:tr w:rsidR="00CD0BA4" w:rsidRPr="003462B7" w:rsidTr="007F2707">
        <w:tc>
          <w:tcPr>
            <w:tcW w:w="1590"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0.225</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$3,491,796.88</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$691,796.88</w:t>
            </w:r>
          </w:p>
        </w:tc>
        <w:tc>
          <w:tcPr>
            <w:tcW w:w="1613"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$1,159,036.41</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$386,345.47</w:t>
            </w:r>
          </w:p>
        </w:tc>
        <w:tc>
          <w:tcPr>
            <w:tcW w:w="1591" w:type="dxa"/>
            <w:shd w:val="clear" w:color="auto" w:fill="auto"/>
            <w:vAlign w:val="center"/>
          </w:tcPr>
          <w:p w:rsidR="00CD0BA4" w:rsidRPr="00C4792D" w:rsidRDefault="00CD0BA4" w:rsidP="007F2707">
            <w:pPr>
              <w:jc w:val="center"/>
              <w:rPr>
                <w:rFonts w:ascii="Arial" w:eastAsia="Times New Roman" w:hAnsi="Arial" w:cs="Arial"/>
                <w:sz w:val="20"/>
                <w:szCs w:val="20"/>
                <w:lang w:eastAsia="es-MX"/>
              </w:rPr>
            </w:pPr>
            <w:r w:rsidRPr="00C4792D">
              <w:rPr>
                <w:rFonts w:ascii="Arial" w:eastAsia="Times New Roman" w:hAnsi="Arial" w:cs="Arial"/>
                <w:sz w:val="20"/>
                <w:szCs w:val="20"/>
                <w:lang w:eastAsia="es-MX"/>
              </w:rPr>
              <w:t>-$370,487.29</w:t>
            </w:r>
          </w:p>
        </w:tc>
      </w:tr>
    </w:tbl>
    <w:p w:rsidR="00CD0BA4" w:rsidRDefault="00CD0BA4" w:rsidP="00CD0BA4">
      <w:pPr>
        <w:rPr>
          <w:rFonts w:ascii="Arial" w:hAnsi="Arial" w:cs="Arial"/>
          <w:color w:val="000000"/>
        </w:rPr>
      </w:pPr>
    </w:p>
    <w:p w:rsidR="00CD0BA4" w:rsidRDefault="00CD0BA4" w:rsidP="00CD0BA4">
      <w:pPr>
        <w:jc w:val="both"/>
        <w:rPr>
          <w:rFonts w:ascii="Arial" w:hAnsi="Arial" w:cs="Arial"/>
          <w:color w:val="000000"/>
        </w:rPr>
      </w:pPr>
      <w:r w:rsidRPr="00DA373B">
        <w:rPr>
          <w:rFonts w:ascii="Arial" w:hAnsi="Arial" w:cs="Arial"/>
          <w:b/>
          <w:lang w:val="es-MX"/>
        </w:rPr>
        <w:lastRenderedPageBreak/>
        <w:t xml:space="preserve">          </w:t>
      </w:r>
      <w:r>
        <w:rPr>
          <w:rFonts w:ascii="Arial" w:hAnsi="Arial" w:cs="Arial"/>
          <w:color w:val="000000"/>
        </w:rPr>
        <w:t>En la Figura 1 se puede observar que a los 5 años el ahorro total por el diésel es mayor que el incremento en el costo del tractocamión para todos los vehículos más eficientes, excepto los que tienen consumos de 0.24, 0.2325 y 0.225 litros/km.</w:t>
      </w:r>
    </w:p>
    <w:p w:rsidR="00CD0BA4" w:rsidRDefault="00CD0BA4" w:rsidP="00CD0BA4">
      <w:pPr>
        <w:jc w:val="both"/>
        <w:rPr>
          <w:rFonts w:ascii="Arial" w:hAnsi="Arial" w:cs="Arial"/>
          <w:color w:val="000000"/>
        </w:rPr>
      </w:pPr>
      <w:r w:rsidRPr="00DA373B">
        <w:rPr>
          <w:rFonts w:ascii="Arial" w:hAnsi="Arial" w:cs="Arial"/>
          <w:b/>
          <w:lang w:val="es-MX"/>
        </w:rPr>
        <w:t xml:space="preserve">          </w:t>
      </w:r>
      <w:r>
        <w:rPr>
          <w:rFonts w:ascii="Arial" w:hAnsi="Arial" w:cs="Arial"/>
          <w:color w:val="000000"/>
        </w:rPr>
        <w:t>Si se realiza el cálculo del VPN a 10</w:t>
      </w:r>
      <w:r w:rsidRPr="002B3C4B">
        <w:rPr>
          <w:rFonts w:ascii="Arial" w:hAnsi="Arial" w:cs="Arial"/>
          <w:color w:val="000000"/>
        </w:rPr>
        <w:t xml:space="preserve"> años resulta </w:t>
      </w:r>
      <w:r>
        <w:rPr>
          <w:rFonts w:ascii="Arial" w:hAnsi="Arial" w:cs="Arial"/>
          <w:color w:val="000000"/>
        </w:rPr>
        <w:t>ser positivo para todos los primeros nueve</w:t>
      </w:r>
      <w:r w:rsidRPr="002B3C4B">
        <w:rPr>
          <w:rFonts w:ascii="Arial" w:hAnsi="Arial" w:cs="Arial"/>
          <w:color w:val="000000"/>
        </w:rPr>
        <w:t xml:space="preserve"> tractocamiones</w:t>
      </w:r>
      <w:r>
        <w:rPr>
          <w:rFonts w:ascii="Arial" w:hAnsi="Arial" w:cs="Arial"/>
          <w:color w:val="000000"/>
        </w:rPr>
        <w:t>, como se muestra en la Figura 2,</w:t>
      </w:r>
      <w:r w:rsidRPr="002B3C4B">
        <w:rPr>
          <w:rFonts w:ascii="Arial" w:hAnsi="Arial" w:cs="Arial"/>
          <w:color w:val="000000"/>
        </w:rPr>
        <w:t xml:space="preserve"> debido a que el ahorro de comb</w:t>
      </w:r>
      <w:r>
        <w:rPr>
          <w:rFonts w:ascii="Arial" w:hAnsi="Arial" w:cs="Arial"/>
          <w:color w:val="000000"/>
        </w:rPr>
        <w:t>ustible es más grande. A 15 años el VPN es positivo para los diez primeros tractocamiones. Para 20 años, el VPN es positivo para todos los once tractocamiones considerados</w:t>
      </w:r>
      <w:r w:rsidRPr="002B3C4B">
        <w:rPr>
          <w:rFonts w:ascii="Arial" w:hAnsi="Arial" w:cs="Arial"/>
          <w:color w:val="000000"/>
        </w:rPr>
        <w:t>.</w:t>
      </w:r>
    </w:p>
    <w:p w:rsidR="00CD0BA4" w:rsidRDefault="00CD0BA4" w:rsidP="00CD0BA4">
      <w:pPr>
        <w:jc w:val="both"/>
        <w:rPr>
          <w:rFonts w:ascii="Arial" w:hAnsi="Arial" w:cs="Arial"/>
          <w:color w:val="000000"/>
        </w:rPr>
      </w:pPr>
      <w:r w:rsidRPr="00DA373B">
        <w:rPr>
          <w:rFonts w:ascii="Arial" w:hAnsi="Arial" w:cs="Arial"/>
          <w:b/>
          <w:lang w:val="es-MX"/>
        </w:rPr>
        <w:t xml:space="preserve">          </w:t>
      </w:r>
      <w:r>
        <w:rPr>
          <w:rFonts w:ascii="Arial" w:hAnsi="Arial" w:cs="Arial"/>
          <w:color w:val="000000"/>
        </w:rPr>
        <w:t>Si se considera que los</w:t>
      </w:r>
      <w:r w:rsidRPr="008C7EC7">
        <w:rPr>
          <w:rFonts w:ascii="Arial" w:hAnsi="Arial" w:cs="Arial"/>
          <w:color w:val="000000"/>
        </w:rPr>
        <w:t xml:space="preserve"> vehículo</w:t>
      </w:r>
      <w:r>
        <w:rPr>
          <w:rFonts w:ascii="Arial" w:hAnsi="Arial" w:cs="Arial"/>
          <w:color w:val="000000"/>
        </w:rPr>
        <w:t>s</w:t>
      </w:r>
      <w:r w:rsidRPr="008C7EC7">
        <w:rPr>
          <w:rFonts w:ascii="Arial" w:hAnsi="Arial" w:cs="Arial"/>
          <w:color w:val="000000"/>
        </w:rPr>
        <w:t xml:space="preserve"> en lugar de recorrer 50000 kilómetros anuales en el año 2021 recorre</w:t>
      </w:r>
      <w:r>
        <w:rPr>
          <w:rFonts w:ascii="Arial" w:hAnsi="Arial" w:cs="Arial"/>
          <w:color w:val="000000"/>
        </w:rPr>
        <w:t>n</w:t>
      </w:r>
      <w:r w:rsidRPr="008C7EC7">
        <w:rPr>
          <w:rFonts w:ascii="Arial" w:hAnsi="Arial" w:cs="Arial"/>
          <w:color w:val="000000"/>
        </w:rPr>
        <w:t xml:space="preserve"> un kilometraje de 7</w:t>
      </w:r>
      <w:r>
        <w:rPr>
          <w:rFonts w:ascii="Arial" w:hAnsi="Arial" w:cs="Arial"/>
          <w:color w:val="000000"/>
        </w:rPr>
        <w:t>0000 kilómetros, los</w:t>
      </w:r>
      <w:r w:rsidRPr="008C7EC7">
        <w:rPr>
          <w:rFonts w:ascii="Arial" w:hAnsi="Arial" w:cs="Arial"/>
          <w:color w:val="000000"/>
        </w:rPr>
        <w:t xml:space="preserve"> ahorro</w:t>
      </w:r>
      <w:r>
        <w:rPr>
          <w:rFonts w:ascii="Arial" w:hAnsi="Arial" w:cs="Arial"/>
          <w:color w:val="000000"/>
        </w:rPr>
        <w:t>s</w:t>
      </w:r>
      <w:r w:rsidRPr="008C7EC7">
        <w:rPr>
          <w:rFonts w:ascii="Arial" w:hAnsi="Arial" w:cs="Arial"/>
          <w:color w:val="000000"/>
        </w:rPr>
        <w:t xml:space="preserve"> en el consumo de combustible será</w:t>
      </w:r>
      <w:r>
        <w:rPr>
          <w:rFonts w:ascii="Arial" w:hAnsi="Arial" w:cs="Arial"/>
          <w:color w:val="000000"/>
        </w:rPr>
        <w:t>n</w:t>
      </w:r>
      <w:r w:rsidRPr="008C7EC7">
        <w:rPr>
          <w:rFonts w:ascii="Arial" w:hAnsi="Arial" w:cs="Arial"/>
          <w:color w:val="000000"/>
        </w:rPr>
        <w:t xml:space="preserve"> mayor</w:t>
      </w:r>
      <w:r>
        <w:rPr>
          <w:rFonts w:ascii="Arial" w:hAnsi="Arial" w:cs="Arial"/>
          <w:color w:val="000000"/>
        </w:rPr>
        <w:t>es</w:t>
      </w:r>
      <w:r w:rsidRPr="008C7EC7">
        <w:rPr>
          <w:rFonts w:ascii="Arial" w:hAnsi="Arial" w:cs="Arial"/>
          <w:color w:val="000000"/>
        </w:rPr>
        <w:t xml:space="preserve"> </w:t>
      </w:r>
      <w:r>
        <w:rPr>
          <w:rFonts w:ascii="Arial" w:hAnsi="Arial" w:cs="Arial"/>
          <w:color w:val="000000"/>
        </w:rPr>
        <w:t xml:space="preserve">por el mayor kilometraje que recorren en los años siguientes </w:t>
      </w:r>
      <w:r w:rsidRPr="008C7EC7">
        <w:rPr>
          <w:rFonts w:ascii="Arial" w:hAnsi="Arial" w:cs="Arial"/>
          <w:color w:val="000000"/>
        </w:rPr>
        <w:t>y por</w:t>
      </w:r>
      <w:r>
        <w:rPr>
          <w:rFonts w:ascii="Arial" w:hAnsi="Arial" w:cs="Arial"/>
          <w:color w:val="000000"/>
        </w:rPr>
        <w:t xml:space="preserve"> lo tanto el VPN</w:t>
      </w:r>
      <w:r w:rsidRPr="008C7EC7">
        <w:rPr>
          <w:rFonts w:ascii="Arial" w:hAnsi="Arial" w:cs="Arial"/>
          <w:color w:val="000000"/>
        </w:rPr>
        <w:t xml:space="preserve"> ser</w:t>
      </w:r>
      <w:r>
        <w:rPr>
          <w:rFonts w:ascii="Arial" w:hAnsi="Arial" w:cs="Arial"/>
          <w:color w:val="000000"/>
        </w:rPr>
        <w:t>á mayor, como se muestra en la Figura 3</w:t>
      </w:r>
      <w:r w:rsidRPr="008C7EC7">
        <w:rPr>
          <w:rFonts w:ascii="Arial" w:hAnsi="Arial" w:cs="Arial"/>
          <w:color w:val="000000"/>
        </w:rPr>
        <w:t>. En un uso del vehículo a 5 años el VPN es cero o positivo para todos los tractocamiones excepto los que tie</w:t>
      </w:r>
      <w:r>
        <w:rPr>
          <w:rFonts w:ascii="Arial" w:hAnsi="Arial" w:cs="Arial"/>
          <w:color w:val="000000"/>
        </w:rPr>
        <w:t>nen consumos de 0.24, 0.2325 y 0</w:t>
      </w:r>
      <w:r w:rsidRPr="008C7EC7">
        <w:rPr>
          <w:rFonts w:ascii="Arial" w:hAnsi="Arial" w:cs="Arial"/>
          <w:color w:val="000000"/>
        </w:rPr>
        <w:t xml:space="preserve">.225 litros/km, pero el VPN es positivo </w:t>
      </w:r>
      <w:r>
        <w:rPr>
          <w:rFonts w:ascii="Arial" w:hAnsi="Arial" w:cs="Arial"/>
          <w:color w:val="000000"/>
        </w:rPr>
        <w:t>aún para esos tractocamiones</w:t>
      </w:r>
      <w:r w:rsidRPr="008C7EC7">
        <w:rPr>
          <w:rFonts w:ascii="Arial" w:hAnsi="Arial" w:cs="Arial"/>
          <w:color w:val="000000"/>
        </w:rPr>
        <w:t xml:space="preserve"> cuando se consideran usos de los tractocamiones de 10 o más años. Esto se debe a que se consume más combustible al tener mayores kilometrajes y por lo tanto los vehículos más eficientes serán más rentables para </w:t>
      </w:r>
      <w:r w:rsidRPr="00C50032">
        <w:rPr>
          <w:rFonts w:ascii="Arial" w:hAnsi="Arial" w:cs="Arial"/>
          <w:color w:val="000000"/>
        </w:rPr>
        <w:t>el precio de combustible considerado en la Tabla 2.</w:t>
      </w:r>
    </w:p>
    <w:p w:rsidR="00CD0BA4" w:rsidRDefault="00CD0BA4" w:rsidP="00CD0BA4">
      <w:pPr>
        <w:pStyle w:val="Textoindependiente"/>
        <w:jc w:val="both"/>
        <w:rPr>
          <w:rFonts w:ascii="Arial" w:hAnsi="Arial" w:cs="Arial"/>
          <w:b w:val="0"/>
          <w:sz w:val="24"/>
        </w:rPr>
      </w:pPr>
      <w:r w:rsidRPr="00ED490E">
        <w:rPr>
          <w:rFonts w:ascii="Arial" w:hAnsi="Arial" w:cs="Arial"/>
          <w:b w:val="0"/>
          <w:lang w:val="es-MX"/>
        </w:rPr>
        <w:t xml:space="preserve">          </w:t>
      </w:r>
      <w:r>
        <w:rPr>
          <w:rFonts w:ascii="Arial" w:hAnsi="Arial" w:cs="Arial"/>
          <w:b w:val="0"/>
          <w:sz w:val="24"/>
        </w:rPr>
        <w:t>Si se consideran</w:t>
      </w:r>
      <w:r w:rsidRPr="00ED490E">
        <w:rPr>
          <w:rFonts w:ascii="Arial" w:hAnsi="Arial" w:cs="Arial"/>
          <w:b w:val="0"/>
          <w:sz w:val="24"/>
        </w:rPr>
        <w:t xml:space="preserve"> to</w:t>
      </w:r>
      <w:r>
        <w:rPr>
          <w:rFonts w:ascii="Arial" w:hAnsi="Arial" w:cs="Arial"/>
          <w:b w:val="0"/>
          <w:sz w:val="24"/>
        </w:rPr>
        <w:t xml:space="preserve">dos los </w:t>
      </w:r>
      <w:r w:rsidRPr="00C50032">
        <w:rPr>
          <w:rFonts w:ascii="Arial" w:hAnsi="Arial" w:cs="Arial"/>
          <w:b w:val="0"/>
          <w:sz w:val="24"/>
        </w:rPr>
        <w:t>parámetros en la Tabla 2 y solament</w:t>
      </w:r>
      <w:r>
        <w:rPr>
          <w:rFonts w:ascii="Arial" w:hAnsi="Arial" w:cs="Arial"/>
          <w:b w:val="0"/>
          <w:sz w:val="24"/>
        </w:rPr>
        <w:t>e se aumenta</w:t>
      </w:r>
      <w:r w:rsidRPr="00ED490E">
        <w:rPr>
          <w:rFonts w:ascii="Arial" w:hAnsi="Arial" w:cs="Arial"/>
          <w:b w:val="0"/>
          <w:sz w:val="24"/>
        </w:rPr>
        <w:t xml:space="preserve"> el precio </w:t>
      </w:r>
      <w:r>
        <w:rPr>
          <w:rFonts w:ascii="Arial" w:hAnsi="Arial" w:cs="Arial"/>
          <w:b w:val="0"/>
          <w:sz w:val="24"/>
        </w:rPr>
        <w:t>del diésel del año 2021 de $20.5</w:t>
      </w:r>
      <w:r w:rsidRPr="00ED490E">
        <w:rPr>
          <w:rFonts w:ascii="Arial" w:hAnsi="Arial" w:cs="Arial"/>
          <w:b w:val="0"/>
          <w:sz w:val="24"/>
        </w:rPr>
        <w:t xml:space="preserve"> pesos a $24 pesos el VPN aumenta, como se muestra</w:t>
      </w:r>
      <w:r w:rsidRPr="00511C42">
        <w:rPr>
          <w:rFonts w:ascii="Arial" w:hAnsi="Arial" w:cs="Arial"/>
          <w:b w:val="0"/>
          <w:sz w:val="24"/>
        </w:rPr>
        <w:t xml:space="preserve"> en la Figura 4.</w:t>
      </w:r>
      <w:r>
        <w:rPr>
          <w:rFonts w:ascii="Arial" w:hAnsi="Arial" w:cs="Arial"/>
          <w:b w:val="0"/>
          <w:sz w:val="24"/>
        </w:rPr>
        <w:t xml:space="preserve"> En este caso a partir de un consumo de 0.2475 litros/km el VPN es negativo pero a 10 años el VPN es positivo para los once valores del consumo de combustible considerados. O sea que un vehículo eficiente es una mejor inversión cuando aumentan los precios de los combustibles. Si el precio del diésel es muy bajo los vehículos eficientes no son una muy buena inversión; por ejemplo, con </w:t>
      </w:r>
      <w:r w:rsidRPr="00204A61">
        <w:rPr>
          <w:rFonts w:ascii="Arial" w:hAnsi="Arial" w:cs="Arial"/>
          <w:b w:val="0"/>
          <w:sz w:val="24"/>
        </w:rPr>
        <w:t>los parámetros de la Tabla 2 y solamente considerando un precio del diésel de 10 pesos, el VPN es negativo para todos los tractocamiones para 5, 10 y 15 años. Para 20 años el VPN solamente es positivo para aquellos que tienen un consumo de 0.3, 0.2925, 0.285, 0.2775, 0.27, 0.262</w:t>
      </w:r>
      <w:r>
        <w:rPr>
          <w:rFonts w:ascii="Arial" w:hAnsi="Arial" w:cs="Arial"/>
          <w:b w:val="0"/>
          <w:sz w:val="24"/>
        </w:rPr>
        <w:t>5  y 0.255 litros/km.</w:t>
      </w:r>
    </w:p>
    <w:p w:rsidR="00CD0BA4" w:rsidRDefault="00CD0BA4" w:rsidP="00CD0BA4">
      <w:pPr>
        <w:jc w:val="both"/>
        <w:rPr>
          <w:rFonts w:ascii="Arial" w:hAnsi="Arial" w:cs="Arial"/>
          <w:color w:val="000000"/>
        </w:rPr>
      </w:pPr>
    </w:p>
    <w:p w:rsidR="00CD0BA4" w:rsidRPr="00045C69" w:rsidRDefault="00CD0BA4" w:rsidP="00CD0BA4">
      <w:pPr>
        <w:jc w:val="center"/>
        <w:rPr>
          <w:rFonts w:ascii="Arial" w:hAnsi="Arial" w:cs="Arial"/>
          <w:color w:val="000000"/>
        </w:rPr>
      </w:pPr>
      <w:r>
        <w:rPr>
          <w:noProof/>
          <w:lang w:val="en-US"/>
        </w:rPr>
        <w:lastRenderedPageBreak/>
        <w:drawing>
          <wp:inline distT="0" distB="0" distL="0" distR="0" wp14:anchorId="082DC096" wp14:editId="5E41F7B5">
            <wp:extent cx="5353050" cy="3343275"/>
            <wp:effectExtent l="0" t="0" r="0" b="9525"/>
            <wp:docPr id="2026623698" name="Imagen 202662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1187" cstate="print">
                      <a:extLst>
                        <a:ext uri="{28A0092B-C50C-407E-A947-70E740481C1C}">
                          <a14:useLocalDpi xmlns:a14="http://schemas.microsoft.com/office/drawing/2010/main" val="0"/>
                        </a:ext>
                      </a:extLst>
                    </a:blip>
                    <a:srcRect/>
                    <a:stretch>
                      <a:fillRect/>
                    </a:stretch>
                  </pic:blipFill>
                  <pic:spPr bwMode="auto">
                    <a:xfrm>
                      <a:off x="0" y="0"/>
                      <a:ext cx="5353050" cy="3343275"/>
                    </a:xfrm>
                    <a:prstGeom prst="rect">
                      <a:avLst/>
                    </a:prstGeom>
                    <a:noFill/>
                    <a:ln>
                      <a:noFill/>
                    </a:ln>
                  </pic:spPr>
                </pic:pic>
              </a:graphicData>
            </a:graphic>
          </wp:inline>
        </w:drawing>
      </w:r>
    </w:p>
    <w:p w:rsidR="00CD0BA4" w:rsidRDefault="00CD0BA4" w:rsidP="00CD0BA4">
      <w:pPr>
        <w:jc w:val="center"/>
        <w:rPr>
          <w:rFonts w:ascii="Arial" w:hAnsi="Arial" w:cs="Arial"/>
          <w:i/>
          <w:color w:val="000000"/>
          <w:sz w:val="20"/>
          <w:szCs w:val="20"/>
        </w:rPr>
      </w:pPr>
      <w:r>
        <w:rPr>
          <w:rFonts w:ascii="Arial" w:hAnsi="Arial" w:cs="Arial"/>
          <w:i/>
          <w:color w:val="000000"/>
          <w:sz w:val="20"/>
          <w:szCs w:val="20"/>
        </w:rPr>
        <w:t>Figura 1</w:t>
      </w:r>
      <w:r w:rsidRPr="00F51FF9">
        <w:rPr>
          <w:rFonts w:ascii="Arial" w:hAnsi="Arial" w:cs="Arial"/>
          <w:i/>
          <w:color w:val="000000"/>
          <w:sz w:val="20"/>
          <w:szCs w:val="20"/>
        </w:rPr>
        <w:t xml:space="preserve">. Gráfica </w:t>
      </w:r>
      <w:r>
        <w:rPr>
          <w:rFonts w:ascii="Arial" w:hAnsi="Arial" w:cs="Arial"/>
          <w:i/>
          <w:color w:val="000000"/>
          <w:sz w:val="20"/>
          <w:szCs w:val="20"/>
        </w:rPr>
        <w:t>con los resultados de la Tabla 3</w:t>
      </w:r>
      <w:r w:rsidRPr="00F51FF9">
        <w:rPr>
          <w:rFonts w:ascii="Arial" w:hAnsi="Arial" w:cs="Arial"/>
          <w:i/>
          <w:color w:val="000000"/>
          <w:sz w:val="20"/>
          <w:szCs w:val="20"/>
        </w:rPr>
        <w:t>.</w:t>
      </w:r>
    </w:p>
    <w:p w:rsidR="00CD0BA4" w:rsidRDefault="00CD0BA4" w:rsidP="00CD0BA4">
      <w:pPr>
        <w:jc w:val="center"/>
        <w:rPr>
          <w:rFonts w:ascii="Arial" w:hAnsi="Arial" w:cs="Arial"/>
          <w:i/>
          <w:color w:val="000000"/>
          <w:sz w:val="20"/>
          <w:szCs w:val="20"/>
        </w:rPr>
      </w:pPr>
    </w:p>
    <w:p w:rsidR="00CD0BA4" w:rsidRPr="00F51FF9" w:rsidRDefault="00CD0BA4" w:rsidP="00CD0BA4">
      <w:pPr>
        <w:jc w:val="center"/>
        <w:rPr>
          <w:rFonts w:ascii="Arial" w:hAnsi="Arial" w:cs="Arial"/>
          <w:i/>
          <w:color w:val="000000"/>
          <w:sz w:val="20"/>
          <w:szCs w:val="20"/>
        </w:rPr>
      </w:pPr>
    </w:p>
    <w:p w:rsidR="00CD0BA4" w:rsidRDefault="00CD0BA4" w:rsidP="00CD0BA4">
      <w:pPr>
        <w:jc w:val="both"/>
        <w:rPr>
          <w:rFonts w:ascii="Arial" w:hAnsi="Arial" w:cs="Arial"/>
          <w:color w:val="000000"/>
        </w:rPr>
      </w:pPr>
    </w:p>
    <w:p w:rsidR="00CD0BA4" w:rsidRPr="00045C69" w:rsidRDefault="00CD0BA4" w:rsidP="00CD0BA4">
      <w:pPr>
        <w:jc w:val="center"/>
        <w:rPr>
          <w:rFonts w:ascii="Arial" w:hAnsi="Arial" w:cs="Arial"/>
          <w:color w:val="000000"/>
        </w:rPr>
      </w:pPr>
      <w:r>
        <w:rPr>
          <w:rFonts w:ascii="Arial" w:hAnsi="Arial" w:cs="Arial"/>
          <w:noProof/>
          <w:color w:val="000000"/>
          <w:lang w:val="en-US"/>
        </w:rPr>
        <w:lastRenderedPageBreak/>
        <w:drawing>
          <wp:inline distT="0" distB="0" distL="0" distR="0" wp14:anchorId="23C8C3F5" wp14:editId="68124260">
            <wp:extent cx="5334000" cy="3657600"/>
            <wp:effectExtent l="0" t="0" r="0" b="0"/>
            <wp:docPr id="2026623697" name="Imagen 202662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pic:cNvPicPr>
                      <a:picLocks noChangeAspect="1" noChangeArrowheads="1"/>
                    </pic:cNvPicPr>
                  </pic:nvPicPr>
                  <pic:blipFill>
                    <a:blip r:embed="rId1188" cstate="print">
                      <a:extLst>
                        <a:ext uri="{28A0092B-C50C-407E-A947-70E740481C1C}">
                          <a14:useLocalDpi xmlns:a14="http://schemas.microsoft.com/office/drawing/2010/main" val="0"/>
                        </a:ext>
                      </a:extLst>
                    </a:blip>
                    <a:srcRect/>
                    <a:stretch>
                      <a:fillRect/>
                    </a:stretch>
                  </pic:blipFill>
                  <pic:spPr bwMode="auto">
                    <a:xfrm>
                      <a:off x="0" y="0"/>
                      <a:ext cx="5334000" cy="3657600"/>
                    </a:xfrm>
                    <a:prstGeom prst="rect">
                      <a:avLst/>
                    </a:prstGeom>
                    <a:noFill/>
                    <a:ln>
                      <a:noFill/>
                    </a:ln>
                  </pic:spPr>
                </pic:pic>
              </a:graphicData>
            </a:graphic>
          </wp:inline>
        </w:drawing>
      </w:r>
    </w:p>
    <w:p w:rsidR="00CD0BA4" w:rsidRPr="00432CBC" w:rsidRDefault="00CD0BA4" w:rsidP="00CD0BA4">
      <w:pPr>
        <w:jc w:val="center"/>
        <w:rPr>
          <w:rFonts w:ascii="Arial" w:hAnsi="Arial" w:cs="Arial"/>
          <w:i/>
          <w:color w:val="000000"/>
          <w:sz w:val="20"/>
          <w:szCs w:val="20"/>
        </w:rPr>
      </w:pPr>
      <w:r>
        <w:rPr>
          <w:rFonts w:ascii="Arial" w:hAnsi="Arial" w:cs="Arial"/>
          <w:i/>
          <w:color w:val="000000"/>
          <w:sz w:val="20"/>
          <w:szCs w:val="20"/>
        </w:rPr>
        <w:t>Figura 2</w:t>
      </w:r>
      <w:r w:rsidRPr="00432CBC">
        <w:rPr>
          <w:rFonts w:ascii="Arial" w:hAnsi="Arial" w:cs="Arial"/>
          <w:i/>
          <w:color w:val="000000"/>
          <w:sz w:val="20"/>
          <w:szCs w:val="20"/>
        </w:rPr>
        <w:t>. Resultados cuando se considera un uso del tractocamión de 10 años.</w:t>
      </w:r>
    </w:p>
    <w:p w:rsidR="00CD0BA4" w:rsidRDefault="00CD0BA4" w:rsidP="00CD0BA4">
      <w:pPr>
        <w:jc w:val="center"/>
        <w:rPr>
          <w:rFonts w:ascii="Arial" w:hAnsi="Arial" w:cs="Arial"/>
          <w:color w:val="000000"/>
        </w:rPr>
      </w:pPr>
      <w:r>
        <w:rPr>
          <w:rFonts w:ascii="Arial" w:hAnsi="Arial" w:cs="Arial"/>
          <w:noProof/>
          <w:color w:val="000000"/>
          <w:lang w:val="en-US"/>
        </w:rPr>
        <w:drawing>
          <wp:inline distT="0" distB="0" distL="0" distR="0" wp14:anchorId="1F895BCE" wp14:editId="7393BC22">
            <wp:extent cx="5000625" cy="3162300"/>
            <wp:effectExtent l="0" t="0" r="9525" b="0"/>
            <wp:docPr id="2026623696" name="Imagen 202662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pic:cNvPicPr>
                      <a:picLocks noChangeAspect="1" noChangeArrowheads="1"/>
                    </pic:cNvPicPr>
                  </pic:nvPicPr>
                  <pic:blipFill>
                    <a:blip r:embed="rId1189" cstate="print">
                      <a:extLst>
                        <a:ext uri="{28A0092B-C50C-407E-A947-70E740481C1C}">
                          <a14:useLocalDpi xmlns:a14="http://schemas.microsoft.com/office/drawing/2010/main" val="0"/>
                        </a:ext>
                      </a:extLst>
                    </a:blip>
                    <a:srcRect/>
                    <a:stretch>
                      <a:fillRect/>
                    </a:stretch>
                  </pic:blipFill>
                  <pic:spPr bwMode="auto">
                    <a:xfrm>
                      <a:off x="0" y="0"/>
                      <a:ext cx="5000625" cy="3162300"/>
                    </a:xfrm>
                    <a:prstGeom prst="rect">
                      <a:avLst/>
                    </a:prstGeom>
                    <a:noFill/>
                    <a:ln>
                      <a:noFill/>
                    </a:ln>
                  </pic:spPr>
                </pic:pic>
              </a:graphicData>
            </a:graphic>
          </wp:inline>
        </w:drawing>
      </w:r>
    </w:p>
    <w:p w:rsidR="00CD0BA4" w:rsidRDefault="00CD0BA4" w:rsidP="00CD0BA4">
      <w:pPr>
        <w:jc w:val="center"/>
        <w:rPr>
          <w:rFonts w:ascii="Arial" w:hAnsi="Arial" w:cs="Arial"/>
          <w:i/>
          <w:color w:val="000000"/>
          <w:sz w:val="20"/>
          <w:szCs w:val="20"/>
        </w:rPr>
      </w:pPr>
      <w:r>
        <w:rPr>
          <w:rFonts w:ascii="Arial" w:hAnsi="Arial" w:cs="Arial"/>
          <w:i/>
          <w:color w:val="000000"/>
          <w:sz w:val="20"/>
          <w:szCs w:val="20"/>
        </w:rPr>
        <w:t>Figura 3</w:t>
      </w:r>
      <w:r w:rsidRPr="00275EE4">
        <w:rPr>
          <w:rFonts w:ascii="Arial" w:hAnsi="Arial" w:cs="Arial"/>
          <w:i/>
          <w:color w:val="000000"/>
          <w:sz w:val="20"/>
          <w:szCs w:val="20"/>
        </w:rPr>
        <w:t>. Gráfica con los resultados de aumentar el kilometraje en el año 2021 de 50000 a 70000 kilómetros por año.</w:t>
      </w:r>
    </w:p>
    <w:p w:rsidR="00CD0BA4" w:rsidRPr="00275EE4" w:rsidRDefault="00CD0BA4" w:rsidP="00CD0BA4">
      <w:pPr>
        <w:jc w:val="center"/>
        <w:rPr>
          <w:rFonts w:ascii="Arial" w:hAnsi="Arial" w:cs="Arial"/>
          <w:i/>
          <w:color w:val="000000"/>
          <w:sz w:val="20"/>
          <w:szCs w:val="20"/>
        </w:rPr>
      </w:pPr>
    </w:p>
    <w:p w:rsidR="00CD0BA4" w:rsidRDefault="00CD0BA4" w:rsidP="00CD0BA4">
      <w:pPr>
        <w:pStyle w:val="Textoindependiente"/>
        <w:jc w:val="both"/>
        <w:rPr>
          <w:rFonts w:ascii="Arial" w:hAnsi="Arial" w:cs="Arial"/>
          <w:b w:val="0"/>
          <w:sz w:val="24"/>
        </w:rPr>
      </w:pPr>
    </w:p>
    <w:p w:rsidR="00CD0BA4" w:rsidRPr="00511C42" w:rsidRDefault="00CD0BA4" w:rsidP="00CD0BA4">
      <w:pPr>
        <w:pStyle w:val="Textoindependiente"/>
        <w:jc w:val="center"/>
        <w:rPr>
          <w:rFonts w:ascii="Arial" w:hAnsi="Arial" w:cs="Arial"/>
          <w:b w:val="0"/>
          <w:sz w:val="24"/>
        </w:rPr>
      </w:pPr>
      <w:r>
        <w:rPr>
          <w:rFonts w:ascii="Arial" w:hAnsi="Arial" w:cs="Arial"/>
          <w:b w:val="0"/>
          <w:noProof/>
          <w:sz w:val="24"/>
          <w:lang w:val="en-US"/>
        </w:rPr>
        <w:drawing>
          <wp:inline distT="0" distB="0" distL="0" distR="0" wp14:anchorId="05A55D71" wp14:editId="33FE598B">
            <wp:extent cx="4991100" cy="3143250"/>
            <wp:effectExtent l="0" t="0" r="0" b="0"/>
            <wp:docPr id="2026623695" name="Imagen 202662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pic:cNvPicPr>
                      <a:picLocks noChangeAspect="1" noChangeArrowheads="1"/>
                    </pic:cNvPicPr>
                  </pic:nvPicPr>
                  <pic:blipFill>
                    <a:blip r:embed="rId1190" cstate="print">
                      <a:extLst>
                        <a:ext uri="{28A0092B-C50C-407E-A947-70E740481C1C}">
                          <a14:useLocalDpi xmlns:a14="http://schemas.microsoft.com/office/drawing/2010/main" val="0"/>
                        </a:ext>
                      </a:extLst>
                    </a:blip>
                    <a:srcRect/>
                    <a:stretch>
                      <a:fillRect/>
                    </a:stretch>
                  </pic:blipFill>
                  <pic:spPr bwMode="auto">
                    <a:xfrm>
                      <a:off x="0" y="0"/>
                      <a:ext cx="4991100" cy="3143250"/>
                    </a:xfrm>
                    <a:prstGeom prst="rect">
                      <a:avLst/>
                    </a:prstGeom>
                    <a:noFill/>
                    <a:ln>
                      <a:noFill/>
                    </a:ln>
                  </pic:spPr>
                </pic:pic>
              </a:graphicData>
            </a:graphic>
          </wp:inline>
        </w:drawing>
      </w:r>
    </w:p>
    <w:p w:rsidR="00CD0BA4" w:rsidRDefault="00CD0BA4" w:rsidP="00CD0BA4">
      <w:pPr>
        <w:pStyle w:val="Textoindependiente"/>
        <w:jc w:val="center"/>
        <w:rPr>
          <w:rFonts w:ascii="Arial" w:hAnsi="Arial" w:cs="Arial"/>
          <w:b w:val="0"/>
          <w:i/>
          <w:sz w:val="20"/>
          <w:szCs w:val="20"/>
        </w:rPr>
      </w:pPr>
      <w:r>
        <w:rPr>
          <w:rFonts w:ascii="Arial" w:hAnsi="Arial" w:cs="Arial"/>
          <w:b w:val="0"/>
          <w:i/>
          <w:sz w:val="20"/>
          <w:szCs w:val="20"/>
        </w:rPr>
        <w:t>Figura 4</w:t>
      </w:r>
      <w:r w:rsidRPr="001E3F40">
        <w:rPr>
          <w:rFonts w:ascii="Arial" w:hAnsi="Arial" w:cs="Arial"/>
          <w:b w:val="0"/>
          <w:i/>
          <w:sz w:val="20"/>
          <w:szCs w:val="20"/>
        </w:rPr>
        <w:t>. VPN para un precio del diésel de 24 pesos por litro en el año 2021.</w:t>
      </w:r>
    </w:p>
    <w:p w:rsidR="00CD0BA4" w:rsidRPr="001E3F40" w:rsidRDefault="00CD0BA4" w:rsidP="00CD0BA4">
      <w:pPr>
        <w:pStyle w:val="Textoindependiente"/>
        <w:jc w:val="center"/>
        <w:rPr>
          <w:rFonts w:ascii="Arial" w:hAnsi="Arial" w:cs="Arial"/>
          <w:b w:val="0"/>
          <w:i/>
          <w:sz w:val="20"/>
          <w:szCs w:val="20"/>
        </w:rPr>
      </w:pPr>
    </w:p>
    <w:p w:rsidR="00CD0BA4" w:rsidRDefault="00CD0BA4" w:rsidP="00CD0BA4">
      <w:pPr>
        <w:pStyle w:val="Textoindependiente"/>
        <w:jc w:val="both"/>
        <w:rPr>
          <w:rFonts w:ascii="Arial" w:hAnsi="Arial" w:cs="Arial"/>
          <w:b w:val="0"/>
          <w:sz w:val="24"/>
        </w:rPr>
      </w:pPr>
      <w:r>
        <w:rPr>
          <w:rFonts w:ascii="Arial" w:hAnsi="Arial" w:cs="Arial"/>
          <w:b w:val="0"/>
          <w:sz w:val="24"/>
        </w:rPr>
        <w:t xml:space="preserve">         Para poder implementar una norma es necesario evaluar la eficiencia energética de un vehículo pesado a certificar y constatar que cumple con los límites que se impongan. </w:t>
      </w:r>
      <w:r w:rsidRPr="0063500A">
        <w:rPr>
          <w:rFonts w:ascii="Arial" w:hAnsi="Arial" w:cs="Arial"/>
          <w:b w:val="0"/>
          <w:sz w:val="24"/>
        </w:rPr>
        <w:t xml:space="preserve">La certificación de la eficiencia energética se obtiene a través de un software, como uno que se ha desarrollado en México </w:t>
      </w:r>
      <w:r w:rsidRPr="0063500A">
        <w:rPr>
          <w:rFonts w:ascii="Arial" w:hAnsi="Arial" w:cs="Arial"/>
          <w:b w:val="0"/>
          <w:vertAlign w:val="superscript"/>
        </w:rPr>
        <w:t>[7]</w:t>
      </w:r>
      <w:r w:rsidRPr="0063500A">
        <w:rPr>
          <w:rFonts w:ascii="Arial" w:hAnsi="Arial" w:cs="Arial"/>
          <w:b w:val="0"/>
          <w:sz w:val="24"/>
        </w:rPr>
        <w:t>.</w:t>
      </w:r>
      <w:r>
        <w:rPr>
          <w:rFonts w:ascii="Arial" w:hAnsi="Arial" w:cs="Arial"/>
          <w:b w:val="0"/>
          <w:sz w:val="24"/>
        </w:rPr>
        <w:t xml:space="preserve"> </w:t>
      </w:r>
    </w:p>
    <w:p w:rsidR="00CD0BA4" w:rsidRPr="005C2F78" w:rsidRDefault="00CD0BA4" w:rsidP="00CD0BA4">
      <w:pPr>
        <w:pStyle w:val="Textoindependiente"/>
        <w:jc w:val="both"/>
        <w:rPr>
          <w:rFonts w:ascii="Arial" w:hAnsi="Arial" w:cs="Arial"/>
          <w:b w:val="0"/>
          <w:sz w:val="24"/>
        </w:rPr>
      </w:pPr>
      <w:r>
        <w:rPr>
          <w:rFonts w:ascii="Arial" w:hAnsi="Arial" w:cs="Arial"/>
          <w:b w:val="0"/>
          <w:sz w:val="24"/>
        </w:rPr>
        <w:t xml:space="preserve">         Junto con la herramienta para el cálculo del consumo de combustible de los vehículos pesados debe tenerse otra para evaluar el costo beneficio de obtener vehículos más eficientes que es lo que se presenta en este trabajo. Los coautores también han desarrollado una más para evaluar el costo-beneficio </w:t>
      </w:r>
      <w:r w:rsidRPr="005C2F78">
        <w:rPr>
          <w:rFonts w:ascii="Arial" w:hAnsi="Arial" w:cs="Arial"/>
          <w:b w:val="0"/>
          <w:sz w:val="24"/>
        </w:rPr>
        <w:t xml:space="preserve">de la introducción de toda una flota de miles de vehículos </w:t>
      </w:r>
      <w:r>
        <w:rPr>
          <w:rFonts w:ascii="Arial" w:hAnsi="Arial" w:cs="Arial"/>
          <w:b w:val="0"/>
          <w:sz w:val="24"/>
        </w:rPr>
        <w:t xml:space="preserve">pesados </w:t>
      </w:r>
      <w:r w:rsidRPr="005C2F78">
        <w:rPr>
          <w:rFonts w:ascii="Arial" w:hAnsi="Arial" w:cs="Arial"/>
          <w:b w:val="0"/>
          <w:sz w:val="24"/>
        </w:rPr>
        <w:t>al parque vehicular</w:t>
      </w:r>
      <w:r>
        <w:rPr>
          <w:rFonts w:ascii="Arial" w:hAnsi="Arial" w:cs="Arial"/>
          <w:b w:val="0"/>
          <w:sz w:val="24"/>
        </w:rPr>
        <w:t>, lo</w:t>
      </w:r>
      <w:r w:rsidRPr="005C2F78">
        <w:rPr>
          <w:rFonts w:ascii="Arial" w:hAnsi="Arial" w:cs="Arial"/>
          <w:b w:val="0"/>
          <w:sz w:val="24"/>
        </w:rPr>
        <w:t xml:space="preserve"> que se reportará en alguna otra publicación.</w:t>
      </w:r>
    </w:p>
    <w:p w:rsidR="00CD0BA4" w:rsidRPr="00676B24" w:rsidRDefault="00CD0BA4" w:rsidP="00CD0BA4">
      <w:pPr>
        <w:pStyle w:val="Textoindependiente"/>
        <w:rPr>
          <w:rFonts w:ascii="Arial" w:hAnsi="Arial" w:cs="Arial"/>
          <w:b w:val="0"/>
          <w:sz w:val="24"/>
        </w:rPr>
      </w:pPr>
    </w:p>
    <w:p w:rsidR="00CD0BA4" w:rsidRPr="00CD0BA4" w:rsidRDefault="00CD0BA4" w:rsidP="007C35AE">
      <w:pPr>
        <w:pStyle w:val="1Titulo"/>
        <w:numPr>
          <w:ilvl w:val="0"/>
          <w:numId w:val="0"/>
        </w:numPr>
        <w:ind w:left="357"/>
      </w:pPr>
      <w:bookmarkStart w:id="324" w:name="_Toc50031372"/>
      <w:r w:rsidRPr="00CD0BA4">
        <w:rPr>
          <w:caps/>
        </w:rPr>
        <w:t>6. C</w:t>
      </w:r>
      <w:r w:rsidRPr="00CD0BA4">
        <w:t>onclusiones</w:t>
      </w:r>
      <w:bookmarkEnd w:id="324"/>
    </w:p>
    <w:p w:rsidR="00CD0BA4" w:rsidRPr="00F908BA" w:rsidRDefault="00CD0BA4" w:rsidP="00CD0BA4"/>
    <w:p w:rsidR="00CD0BA4" w:rsidRPr="00676B24" w:rsidRDefault="00CD0BA4" w:rsidP="00CD0BA4">
      <w:pPr>
        <w:jc w:val="both"/>
        <w:rPr>
          <w:rFonts w:ascii="Arial" w:hAnsi="Arial" w:cs="Arial"/>
        </w:rPr>
      </w:pPr>
      <w:r w:rsidRPr="00676B24">
        <w:rPr>
          <w:rFonts w:ascii="Arial" w:hAnsi="Arial" w:cs="Arial"/>
        </w:rPr>
        <w:t xml:space="preserve">         Se ha mostrado el desarrollo y uso de una herramienta para el cálculo del costo ben</w:t>
      </w:r>
      <w:r>
        <w:rPr>
          <w:rFonts w:ascii="Arial" w:hAnsi="Arial" w:cs="Arial"/>
        </w:rPr>
        <w:t>eficio de usar tractocamiones</w:t>
      </w:r>
      <w:r w:rsidRPr="00676B24">
        <w:rPr>
          <w:rFonts w:ascii="Arial" w:hAnsi="Arial" w:cs="Arial"/>
        </w:rPr>
        <w:t xml:space="preserve"> más eficientes</w:t>
      </w:r>
      <w:r>
        <w:rPr>
          <w:rFonts w:ascii="Arial" w:hAnsi="Arial" w:cs="Arial"/>
        </w:rPr>
        <w:t xml:space="preserve"> en el transporte de bienes por carretera que se puede aplicar también al resto de los vehículos pesados</w:t>
      </w:r>
      <w:r w:rsidRPr="00676B24">
        <w:rPr>
          <w:rFonts w:ascii="Arial" w:hAnsi="Arial" w:cs="Arial"/>
        </w:rPr>
        <w:t xml:space="preserve">. </w:t>
      </w:r>
      <w:r w:rsidRPr="00CD3F64">
        <w:rPr>
          <w:rFonts w:ascii="Arial" w:hAnsi="Arial" w:cs="Arial"/>
        </w:rPr>
        <w:t xml:space="preserve">La herramienta se puede usar con los datos que requiera </w:t>
      </w:r>
      <w:r w:rsidRPr="00CD3F64">
        <w:rPr>
          <w:rFonts w:ascii="Arial" w:hAnsi="Arial" w:cs="Arial"/>
        </w:rPr>
        <w:lastRenderedPageBreak/>
        <w:t>la norma, cuando se le diseñe, para calcular las bondades de una normatividad de consumo de combustible y emisiones de gases de efecto invernadero.</w:t>
      </w:r>
      <w:r>
        <w:rPr>
          <w:rFonts w:ascii="Arial" w:hAnsi="Arial" w:cs="Arial"/>
        </w:rPr>
        <w:t xml:space="preserve"> El cálculo de los precios de los vehículos nuevos más eficientes se podrá sustituir por los precios reales que existan en el mercado en el año que se implemente la norma y el cálculo del consumo de combustible se podrá evaluar con otra herramienta desarrollada por tres de los coautores en la manera descrita en otro trabajo que se publicará junto con éste.</w:t>
      </w:r>
    </w:p>
    <w:p w:rsidR="00CD0BA4" w:rsidRPr="006968FE" w:rsidRDefault="00CD0BA4" w:rsidP="00CD0BA4">
      <w:pPr>
        <w:pStyle w:val="Textoindependiente"/>
        <w:rPr>
          <w:rFonts w:ascii="Arial" w:hAnsi="Arial" w:cs="Arial"/>
          <w:sz w:val="24"/>
        </w:rPr>
      </w:pPr>
    </w:p>
    <w:p w:rsidR="00CD0BA4" w:rsidRPr="00CD0BA4" w:rsidRDefault="00CD0BA4" w:rsidP="007C35AE">
      <w:pPr>
        <w:pStyle w:val="1Titulo"/>
        <w:numPr>
          <w:ilvl w:val="0"/>
          <w:numId w:val="0"/>
        </w:numPr>
        <w:ind w:left="357"/>
      </w:pPr>
      <w:bookmarkStart w:id="325" w:name="_Toc50031373"/>
      <w:r w:rsidRPr="00CD0BA4">
        <w:rPr>
          <w:caps/>
        </w:rPr>
        <w:t>7. B</w:t>
      </w:r>
      <w:r w:rsidRPr="00CD0BA4">
        <w:t>ibliografía</w:t>
      </w:r>
      <w:bookmarkEnd w:id="325"/>
    </w:p>
    <w:p w:rsidR="00CD0BA4" w:rsidRPr="00F908BA" w:rsidRDefault="00CD0BA4" w:rsidP="00CD0BA4"/>
    <w:p w:rsidR="00CD0BA4" w:rsidRDefault="00CD0BA4" w:rsidP="00CD0BA4">
      <w:pPr>
        <w:numPr>
          <w:ilvl w:val="0"/>
          <w:numId w:val="49"/>
        </w:numPr>
        <w:suppressAutoHyphens/>
        <w:spacing w:after="0" w:line="240" w:lineRule="auto"/>
        <w:jc w:val="both"/>
        <w:rPr>
          <w:rFonts w:ascii="Arial" w:hAnsi="Arial" w:cs="Arial"/>
          <w:lang w:val="en-US" w:eastAsia="es-ES"/>
        </w:rPr>
      </w:pPr>
      <w:r w:rsidRPr="00A63B87">
        <w:rPr>
          <w:rFonts w:ascii="Arial" w:hAnsi="Arial" w:cs="Arial"/>
          <w:lang w:val="en-US"/>
        </w:rPr>
        <w:t>IEA</w:t>
      </w:r>
      <w:r w:rsidRPr="00B17BDB">
        <w:rPr>
          <w:rFonts w:ascii="Arial" w:hAnsi="Arial" w:cs="Arial"/>
          <w:lang w:val="en-US"/>
        </w:rPr>
        <w:t>, “</w:t>
      </w:r>
      <w:r w:rsidRPr="00B17BDB">
        <w:rPr>
          <w:rFonts w:ascii="Arial" w:hAnsi="Arial" w:cs="Arial"/>
          <w:iCs/>
          <w:lang w:val="en-US"/>
        </w:rPr>
        <w:t>The Future of Trucks: Implications for energy and the environment”</w:t>
      </w:r>
      <w:r w:rsidRPr="00B17BDB">
        <w:rPr>
          <w:rFonts w:ascii="Arial" w:hAnsi="Arial" w:cs="Arial"/>
          <w:lang w:val="en-US"/>
        </w:rPr>
        <w:t>,</w:t>
      </w:r>
      <w:r w:rsidRPr="00A63B87">
        <w:rPr>
          <w:rFonts w:ascii="Arial" w:hAnsi="Arial" w:cs="Arial"/>
          <w:lang w:val="en-US"/>
        </w:rPr>
        <w:t xml:space="preserve"> IEA, Paris, </w:t>
      </w:r>
      <w:r>
        <w:rPr>
          <w:rFonts w:ascii="Arial" w:hAnsi="Arial" w:cs="Arial"/>
          <w:lang w:val="en-US"/>
        </w:rPr>
        <w:t>2017.</w:t>
      </w:r>
    </w:p>
    <w:p w:rsidR="00CD0BA4" w:rsidRPr="000454E7" w:rsidRDefault="00CD0BA4" w:rsidP="00CD0BA4">
      <w:pPr>
        <w:numPr>
          <w:ilvl w:val="0"/>
          <w:numId w:val="49"/>
        </w:numPr>
        <w:shd w:val="clear" w:color="auto" w:fill="FFFFFF"/>
        <w:spacing w:after="0" w:line="240" w:lineRule="auto"/>
        <w:jc w:val="both"/>
        <w:rPr>
          <w:rFonts w:ascii="Arial" w:eastAsia="Times New Roman" w:hAnsi="Arial" w:cs="Arial"/>
          <w:color w:val="222222"/>
          <w:lang w:val="en-US" w:eastAsia="es-MX"/>
        </w:rPr>
      </w:pPr>
      <w:r>
        <w:rPr>
          <w:rFonts w:ascii="Arial" w:eastAsia="Times New Roman" w:hAnsi="Arial" w:cs="Arial"/>
          <w:color w:val="000000"/>
          <w:shd w:val="clear" w:color="auto" w:fill="FFFFFF"/>
          <w:lang w:val="en-US" w:eastAsia="es-MX"/>
        </w:rPr>
        <w:t>Khatib H.,</w:t>
      </w:r>
      <w:r w:rsidRPr="005B4E7A">
        <w:rPr>
          <w:rFonts w:ascii="Arial" w:eastAsia="Times New Roman" w:hAnsi="Arial" w:cs="Arial"/>
          <w:color w:val="000000"/>
          <w:shd w:val="clear" w:color="auto" w:fill="FFFFFF"/>
          <w:lang w:val="en-US" w:eastAsia="es-MX"/>
        </w:rPr>
        <w:t xml:space="preserve"> "The Discount Rate - A Tool for Managing Risk in Energy Investments", IAEE Energy Forum, 4</w:t>
      </w:r>
      <w:r w:rsidRPr="005B4E7A">
        <w:rPr>
          <w:rFonts w:ascii="Arial" w:eastAsia="Times New Roman" w:hAnsi="Arial" w:cs="Arial"/>
          <w:color w:val="000000"/>
          <w:shd w:val="clear" w:color="auto" w:fill="FFFFFF"/>
          <w:vertAlign w:val="superscript"/>
          <w:lang w:val="en-US" w:eastAsia="es-MX"/>
        </w:rPr>
        <w:t>th</w:t>
      </w:r>
      <w:r w:rsidRPr="005B4E7A">
        <w:rPr>
          <w:rFonts w:ascii="Arial" w:eastAsia="Times New Roman" w:hAnsi="Arial" w:cs="Arial"/>
          <w:color w:val="000000"/>
          <w:shd w:val="clear" w:color="auto" w:fill="FFFFFF"/>
          <w:lang w:val="en-US" w:eastAsia="es-MX"/>
        </w:rPr>
        <w:t xml:space="preserve"> Quarter </w:t>
      </w:r>
      <w:r>
        <w:rPr>
          <w:rFonts w:ascii="Arial" w:eastAsia="Times New Roman" w:hAnsi="Arial" w:cs="Arial"/>
          <w:color w:val="000000"/>
          <w:shd w:val="clear" w:color="auto" w:fill="FFFFFF"/>
          <w:lang w:val="en-US" w:eastAsia="es-MX"/>
        </w:rPr>
        <w:t>(</w:t>
      </w:r>
      <w:r w:rsidRPr="005B4E7A">
        <w:rPr>
          <w:rFonts w:ascii="Arial" w:eastAsia="Times New Roman" w:hAnsi="Arial" w:cs="Arial"/>
          <w:color w:val="000000"/>
          <w:shd w:val="clear" w:color="auto" w:fill="FFFFFF"/>
          <w:lang w:val="en-US" w:eastAsia="es-MX"/>
        </w:rPr>
        <w:t>2015</w:t>
      </w:r>
      <w:r>
        <w:rPr>
          <w:rFonts w:ascii="Arial" w:eastAsia="Times New Roman" w:hAnsi="Arial" w:cs="Arial"/>
          <w:color w:val="000000"/>
          <w:shd w:val="clear" w:color="auto" w:fill="FFFFFF"/>
          <w:lang w:val="en-US" w:eastAsia="es-MX"/>
        </w:rPr>
        <w:t>).</w:t>
      </w:r>
    </w:p>
    <w:p w:rsidR="00CD0BA4" w:rsidRPr="00475D36" w:rsidRDefault="00CD0BA4" w:rsidP="00CD0BA4">
      <w:pPr>
        <w:numPr>
          <w:ilvl w:val="0"/>
          <w:numId w:val="49"/>
        </w:numPr>
        <w:shd w:val="clear" w:color="auto" w:fill="FFFFFF"/>
        <w:spacing w:after="0" w:line="240" w:lineRule="auto"/>
        <w:jc w:val="both"/>
        <w:rPr>
          <w:rFonts w:ascii="Arial" w:eastAsia="Times New Roman" w:hAnsi="Arial" w:cs="Arial"/>
          <w:color w:val="222222"/>
          <w:lang w:val="en-US" w:eastAsia="es-MX"/>
        </w:rPr>
      </w:pPr>
      <w:r>
        <w:rPr>
          <w:rFonts w:ascii="Arial" w:eastAsia="Times New Roman" w:hAnsi="Arial" w:cs="Arial"/>
          <w:color w:val="353C3F"/>
          <w:shd w:val="clear" w:color="auto" w:fill="FFFFFF"/>
          <w:lang w:val="en-US" w:eastAsia="es-MX"/>
        </w:rPr>
        <w:t>Busse, M., Knittel</w:t>
      </w:r>
      <w:r w:rsidRPr="005B4E7A">
        <w:rPr>
          <w:rFonts w:ascii="Arial" w:eastAsia="Times New Roman" w:hAnsi="Arial" w:cs="Arial"/>
          <w:color w:val="353C3F"/>
          <w:shd w:val="clear" w:color="auto" w:fill="FFFFFF"/>
          <w:lang w:val="en-US" w:eastAsia="es-MX"/>
        </w:rPr>
        <w:t xml:space="preserve"> </w:t>
      </w:r>
      <w:r>
        <w:rPr>
          <w:rFonts w:ascii="Arial" w:eastAsia="Times New Roman" w:hAnsi="Arial" w:cs="Arial"/>
          <w:color w:val="353C3F"/>
          <w:shd w:val="clear" w:color="auto" w:fill="FFFFFF"/>
          <w:lang w:val="en-US" w:eastAsia="es-MX"/>
        </w:rPr>
        <w:t xml:space="preserve">C., </w:t>
      </w:r>
      <w:r w:rsidRPr="005B4E7A">
        <w:rPr>
          <w:rFonts w:ascii="Arial" w:eastAsia="Times New Roman" w:hAnsi="Arial" w:cs="Arial"/>
          <w:color w:val="353C3F"/>
          <w:shd w:val="clear" w:color="auto" w:fill="FFFFFF"/>
          <w:lang w:val="en-US" w:eastAsia="es-MX"/>
        </w:rPr>
        <w:t>Zettelmeyer</w:t>
      </w:r>
      <w:r>
        <w:rPr>
          <w:rFonts w:ascii="Arial" w:eastAsia="Times New Roman" w:hAnsi="Arial" w:cs="Arial"/>
          <w:color w:val="353C3F"/>
          <w:shd w:val="clear" w:color="auto" w:fill="FFFFFF"/>
          <w:lang w:val="en-US" w:eastAsia="es-MX"/>
        </w:rPr>
        <w:t>, F.</w:t>
      </w:r>
      <w:r w:rsidRPr="005B4E7A">
        <w:rPr>
          <w:rFonts w:ascii="Arial" w:eastAsia="Times New Roman" w:hAnsi="Arial" w:cs="Arial"/>
          <w:color w:val="353C3F"/>
          <w:shd w:val="clear" w:color="auto" w:fill="FFFFFF"/>
          <w:lang w:val="en-US" w:eastAsia="es-MX"/>
        </w:rPr>
        <w:t> </w:t>
      </w:r>
      <w:r w:rsidRPr="005B4E7A">
        <w:rPr>
          <w:rFonts w:ascii="Arial" w:eastAsia="Times New Roman" w:hAnsi="Arial" w:cs="Arial"/>
          <w:color w:val="353C3F"/>
          <w:bdr w:val="none" w:sz="0" w:space="0" w:color="auto" w:frame="1"/>
          <w:shd w:val="clear" w:color="auto" w:fill="FFFFFF"/>
          <w:lang w:val="en-US" w:eastAsia="es-MX"/>
        </w:rPr>
        <w:t>Are Consumers Myopic? Evidence f</w:t>
      </w:r>
      <w:r>
        <w:rPr>
          <w:rFonts w:ascii="Arial" w:eastAsia="Times New Roman" w:hAnsi="Arial" w:cs="Arial"/>
          <w:color w:val="353C3F"/>
          <w:bdr w:val="none" w:sz="0" w:space="0" w:color="auto" w:frame="1"/>
          <w:shd w:val="clear" w:color="auto" w:fill="FFFFFF"/>
          <w:lang w:val="en-US" w:eastAsia="es-MX"/>
        </w:rPr>
        <w:t>rom New and Used Car Purchases,</w:t>
      </w:r>
      <w:r w:rsidRPr="005B4E7A">
        <w:rPr>
          <w:rFonts w:ascii="Arial" w:eastAsia="Times New Roman" w:hAnsi="Arial" w:cs="Arial"/>
          <w:color w:val="353C3F"/>
          <w:shd w:val="clear" w:color="auto" w:fill="FFFFFF"/>
          <w:lang w:val="en-US" w:eastAsia="es-MX"/>
        </w:rPr>
        <w:t> </w:t>
      </w:r>
      <w:r w:rsidRPr="00604AEE">
        <w:rPr>
          <w:rFonts w:ascii="Arial" w:eastAsia="Times New Roman" w:hAnsi="Arial" w:cs="Arial"/>
          <w:iCs/>
          <w:color w:val="353C3F"/>
          <w:bdr w:val="none" w:sz="0" w:space="0" w:color="auto" w:frame="1"/>
          <w:shd w:val="clear" w:color="auto" w:fill="FFFFFF"/>
          <w:lang w:val="en-US" w:eastAsia="es-MX"/>
        </w:rPr>
        <w:t>American Economic Review</w:t>
      </w:r>
      <w:r w:rsidRPr="00604AEE">
        <w:rPr>
          <w:rFonts w:ascii="Arial" w:eastAsia="Times New Roman" w:hAnsi="Arial" w:cs="Arial"/>
          <w:color w:val="353C3F"/>
          <w:shd w:val="clear" w:color="auto" w:fill="FFFFFF"/>
          <w:lang w:val="en-US" w:eastAsia="es-MX"/>
        </w:rPr>
        <w:t>,</w:t>
      </w:r>
      <w:r w:rsidRPr="00475D36">
        <w:rPr>
          <w:rFonts w:ascii="Arial" w:eastAsia="Times New Roman" w:hAnsi="Arial" w:cs="Arial"/>
          <w:color w:val="353C3F"/>
          <w:shd w:val="clear" w:color="auto" w:fill="FFFFFF"/>
          <w:lang w:val="en-US" w:eastAsia="es-MX"/>
        </w:rPr>
        <w:t> </w:t>
      </w:r>
      <w:r w:rsidRPr="00475D36">
        <w:rPr>
          <w:rFonts w:ascii="Arial" w:eastAsia="Times New Roman" w:hAnsi="Arial" w:cs="Arial"/>
          <w:color w:val="353C3F"/>
          <w:bdr w:val="none" w:sz="0" w:space="0" w:color="auto" w:frame="1"/>
          <w:shd w:val="clear" w:color="auto" w:fill="FFFFFF"/>
          <w:lang w:val="en-US" w:eastAsia="es-MX"/>
        </w:rPr>
        <w:t>103 (1): 220-56</w:t>
      </w:r>
      <w:r>
        <w:rPr>
          <w:rFonts w:ascii="Arial" w:eastAsia="Times New Roman" w:hAnsi="Arial" w:cs="Arial"/>
          <w:color w:val="353C3F"/>
          <w:bdr w:val="none" w:sz="0" w:space="0" w:color="auto" w:frame="1"/>
          <w:shd w:val="clear" w:color="auto" w:fill="FFFFFF"/>
          <w:lang w:val="en-US" w:eastAsia="es-MX"/>
        </w:rPr>
        <w:t xml:space="preserve"> (2013)</w:t>
      </w:r>
      <w:r w:rsidRPr="00475D36">
        <w:rPr>
          <w:rFonts w:ascii="Arial" w:eastAsia="Times New Roman" w:hAnsi="Arial" w:cs="Arial"/>
          <w:color w:val="353C3F"/>
          <w:bdr w:val="none" w:sz="0" w:space="0" w:color="auto" w:frame="1"/>
          <w:shd w:val="clear" w:color="auto" w:fill="FFFFFF"/>
          <w:lang w:val="en-US" w:eastAsia="es-MX"/>
        </w:rPr>
        <w:t>.</w:t>
      </w:r>
    </w:p>
    <w:p w:rsidR="00CD0BA4" w:rsidRPr="000454E7" w:rsidRDefault="00CD0BA4" w:rsidP="00CD0BA4">
      <w:pPr>
        <w:numPr>
          <w:ilvl w:val="0"/>
          <w:numId w:val="49"/>
        </w:numPr>
        <w:shd w:val="clear" w:color="auto" w:fill="FFFFFF"/>
        <w:spacing w:after="0" w:line="240" w:lineRule="auto"/>
        <w:jc w:val="both"/>
        <w:rPr>
          <w:rFonts w:ascii="Arial" w:eastAsia="Times New Roman" w:hAnsi="Arial" w:cs="Arial"/>
          <w:color w:val="222222"/>
          <w:lang w:val="en-US" w:eastAsia="es-MX"/>
        </w:rPr>
      </w:pPr>
      <w:r>
        <w:rPr>
          <w:rFonts w:ascii="Arial" w:eastAsia="Times New Roman" w:hAnsi="Arial" w:cs="Arial"/>
          <w:color w:val="353C3F"/>
          <w:bdr w:val="none" w:sz="0" w:space="0" w:color="auto" w:frame="1"/>
          <w:shd w:val="clear" w:color="auto" w:fill="FFFFFF"/>
          <w:lang w:val="en-US" w:eastAsia="es-MX"/>
        </w:rPr>
        <w:t>Verboven F.,</w:t>
      </w:r>
      <w:r w:rsidRPr="005B4E7A">
        <w:rPr>
          <w:rFonts w:ascii="Arial" w:eastAsia="Times New Roman" w:hAnsi="Arial" w:cs="Arial"/>
          <w:color w:val="353C3F"/>
          <w:bdr w:val="none" w:sz="0" w:space="0" w:color="auto" w:frame="1"/>
          <w:shd w:val="clear" w:color="auto" w:fill="FFFFFF"/>
          <w:lang w:val="en-US" w:eastAsia="es-MX"/>
        </w:rPr>
        <w:t xml:space="preserve"> “Implicit Interest Rates in Consumer Durables Purchasing Evidence from Automobiles”, CEPR Discussion Paper No. 2069</w:t>
      </w:r>
      <w:r>
        <w:rPr>
          <w:rFonts w:ascii="Arial" w:eastAsia="Times New Roman" w:hAnsi="Arial" w:cs="Arial"/>
          <w:color w:val="353C3F"/>
          <w:bdr w:val="none" w:sz="0" w:space="0" w:color="auto" w:frame="1"/>
          <w:shd w:val="clear" w:color="auto" w:fill="FFFFFF"/>
          <w:lang w:val="en-US" w:eastAsia="es-MX"/>
        </w:rPr>
        <w:t>, 1999.</w:t>
      </w:r>
    </w:p>
    <w:p w:rsidR="00CD0BA4" w:rsidRPr="000852A7" w:rsidRDefault="00CD0BA4" w:rsidP="00CD0BA4">
      <w:pPr>
        <w:pStyle w:val="Referencias"/>
        <w:numPr>
          <w:ilvl w:val="0"/>
          <w:numId w:val="49"/>
        </w:numPr>
        <w:spacing w:before="0" w:after="0"/>
        <w:rPr>
          <w:rFonts w:ascii="Arial" w:hAnsi="Arial" w:cs="Arial"/>
          <w:sz w:val="24"/>
          <w:szCs w:val="24"/>
          <w:lang w:val="en-US"/>
        </w:rPr>
      </w:pPr>
      <w:r>
        <w:rPr>
          <w:rFonts w:ascii="Arial" w:hAnsi="Arial" w:cs="Arial"/>
          <w:sz w:val="24"/>
          <w:szCs w:val="24"/>
          <w:lang w:val="en-US"/>
        </w:rPr>
        <w:t>Goh</w:t>
      </w:r>
      <w:r w:rsidRPr="00804B06">
        <w:rPr>
          <w:rFonts w:ascii="Arial" w:hAnsi="Arial" w:cs="Arial"/>
          <w:sz w:val="24"/>
          <w:szCs w:val="24"/>
          <w:lang w:val="en-US"/>
        </w:rPr>
        <w:t xml:space="preserve"> </w:t>
      </w:r>
      <w:r>
        <w:rPr>
          <w:rFonts w:ascii="Arial" w:hAnsi="Arial" w:cs="Arial"/>
          <w:sz w:val="24"/>
          <w:szCs w:val="24"/>
          <w:lang w:val="en-US"/>
        </w:rPr>
        <w:t>K.,</w:t>
      </w:r>
      <w:r w:rsidRPr="00804B06">
        <w:rPr>
          <w:rFonts w:ascii="Arial" w:hAnsi="Arial" w:cs="Arial"/>
          <w:sz w:val="24"/>
          <w:szCs w:val="24"/>
          <w:lang w:val="en-US"/>
        </w:rPr>
        <w:t xml:space="preserve"> </w:t>
      </w:r>
      <w:r>
        <w:rPr>
          <w:rFonts w:ascii="Arial" w:hAnsi="Arial" w:cs="Arial"/>
          <w:sz w:val="24"/>
          <w:szCs w:val="24"/>
          <w:lang w:val="en-US"/>
        </w:rPr>
        <w:t>Jianyun</w:t>
      </w:r>
      <w:r w:rsidRPr="00804B06">
        <w:rPr>
          <w:rFonts w:ascii="Arial" w:hAnsi="Arial" w:cs="Arial"/>
          <w:sz w:val="24"/>
          <w:szCs w:val="24"/>
          <w:lang w:val="en-US"/>
        </w:rPr>
        <w:t xml:space="preserve"> </w:t>
      </w:r>
      <w:r>
        <w:rPr>
          <w:rFonts w:ascii="Arial" w:hAnsi="Arial" w:cs="Arial"/>
          <w:sz w:val="24"/>
          <w:szCs w:val="24"/>
          <w:lang w:val="en-US"/>
        </w:rPr>
        <w:t xml:space="preserve">H., </w:t>
      </w:r>
      <w:r w:rsidRPr="00804B06">
        <w:rPr>
          <w:rFonts w:ascii="Arial" w:hAnsi="Arial" w:cs="Arial"/>
          <w:sz w:val="24"/>
          <w:szCs w:val="24"/>
          <w:lang w:val="en-US"/>
        </w:rPr>
        <w:t>Yi</w:t>
      </w:r>
      <w:r>
        <w:rPr>
          <w:rFonts w:ascii="Arial" w:hAnsi="Arial" w:cs="Arial"/>
          <w:sz w:val="24"/>
          <w:szCs w:val="24"/>
          <w:lang w:val="en-US"/>
        </w:rPr>
        <w:t xml:space="preserve"> O.</w:t>
      </w:r>
      <w:r w:rsidRPr="00804B06">
        <w:rPr>
          <w:rFonts w:ascii="Arial" w:hAnsi="Arial" w:cs="Arial"/>
          <w:sz w:val="24"/>
          <w:szCs w:val="24"/>
          <w:lang w:val="en-US"/>
        </w:rPr>
        <w:t>, “The costs and benefits of fuel efficient cars: how high is the return?”</w:t>
      </w:r>
      <w:r>
        <w:rPr>
          <w:rFonts w:ascii="Arial" w:hAnsi="Arial" w:cs="Arial"/>
          <w:sz w:val="24"/>
          <w:szCs w:val="24"/>
          <w:lang w:val="en-US"/>
        </w:rPr>
        <w:t>,</w:t>
      </w:r>
      <w:r w:rsidRPr="00804B06">
        <w:rPr>
          <w:rFonts w:ascii="Arial" w:hAnsi="Arial" w:cs="Arial"/>
          <w:sz w:val="24"/>
          <w:szCs w:val="24"/>
          <w:lang w:val="en-US"/>
        </w:rPr>
        <w:t xml:space="preserve"> Eco</w:t>
      </w:r>
      <w:r>
        <w:rPr>
          <w:rFonts w:ascii="Arial" w:hAnsi="Arial" w:cs="Arial"/>
          <w:sz w:val="24"/>
          <w:szCs w:val="24"/>
          <w:lang w:val="en-US"/>
        </w:rPr>
        <w:t>nomic survey of Singapore,</w:t>
      </w:r>
      <w:r w:rsidRPr="00804B06">
        <w:rPr>
          <w:rFonts w:ascii="Arial" w:hAnsi="Arial" w:cs="Arial"/>
          <w:sz w:val="24"/>
          <w:szCs w:val="24"/>
          <w:lang w:val="en-US"/>
        </w:rPr>
        <w:t xml:space="preserve"> Economics Division,</w:t>
      </w:r>
      <w:r>
        <w:rPr>
          <w:rFonts w:ascii="Arial" w:hAnsi="Arial" w:cs="Arial"/>
          <w:sz w:val="24"/>
          <w:szCs w:val="24"/>
          <w:lang w:val="en-US"/>
        </w:rPr>
        <w:t xml:space="preserve"> Ministry of Trade and Industry, 2012.</w:t>
      </w:r>
    </w:p>
    <w:p w:rsidR="00CD0BA4" w:rsidRPr="005B4E7A" w:rsidRDefault="00CD0BA4" w:rsidP="00CD0BA4">
      <w:pPr>
        <w:numPr>
          <w:ilvl w:val="0"/>
          <w:numId w:val="49"/>
        </w:numPr>
        <w:suppressAutoHyphens/>
        <w:spacing w:after="0" w:line="240" w:lineRule="auto"/>
        <w:jc w:val="both"/>
        <w:rPr>
          <w:rFonts w:ascii="Arial" w:hAnsi="Arial" w:cs="Arial"/>
          <w:lang w:val="en-US" w:eastAsia="es-ES"/>
        </w:rPr>
      </w:pPr>
      <w:r>
        <w:rPr>
          <w:rFonts w:ascii="Arial" w:eastAsia="Calibri" w:hAnsi="Arial" w:cs="Arial"/>
          <w:bCs/>
          <w:lang w:val="en-US"/>
        </w:rPr>
        <w:t>EPA y NHTSA</w:t>
      </w:r>
      <w:r w:rsidRPr="00CE4231">
        <w:rPr>
          <w:rFonts w:ascii="Arial" w:eastAsia="Calibri" w:hAnsi="Arial" w:cs="Arial"/>
          <w:bCs/>
          <w:lang w:val="en-US"/>
        </w:rPr>
        <w:t xml:space="preserve">, “Greenhouse Gas Emissions and Fuel Efficiency Standards for Medium- and Heavy-Duty Engines and Vehicles — Phase 2”, Federal Register, </w:t>
      </w:r>
      <w:r w:rsidRPr="00CE4231">
        <w:rPr>
          <w:rFonts w:ascii="Arial" w:eastAsia="Calibri" w:hAnsi="Arial" w:cs="Arial"/>
          <w:lang w:val="en-US"/>
        </w:rPr>
        <w:t>V. 81, No. 206 (2016).</w:t>
      </w:r>
    </w:p>
    <w:p w:rsidR="00CD0BA4" w:rsidRDefault="00CD0BA4" w:rsidP="00CD0BA4">
      <w:pPr>
        <w:pStyle w:val="Referencias"/>
        <w:numPr>
          <w:ilvl w:val="0"/>
          <w:numId w:val="49"/>
        </w:numPr>
        <w:spacing w:before="0" w:after="0"/>
        <w:rPr>
          <w:rFonts w:ascii="Arial" w:hAnsi="Arial" w:cs="Arial"/>
          <w:sz w:val="24"/>
          <w:szCs w:val="24"/>
        </w:rPr>
      </w:pPr>
      <w:r>
        <w:rPr>
          <w:rFonts w:ascii="Arial" w:hAnsi="Arial" w:cs="Arial"/>
          <w:sz w:val="24"/>
          <w:szCs w:val="24"/>
        </w:rPr>
        <w:t>Domínguez-</w:t>
      </w:r>
      <w:r w:rsidRPr="005B4E7A">
        <w:rPr>
          <w:rFonts w:ascii="Arial" w:hAnsi="Arial" w:cs="Arial"/>
          <w:sz w:val="24"/>
          <w:szCs w:val="24"/>
        </w:rPr>
        <w:t>Vergara N</w:t>
      </w:r>
      <w:r w:rsidRPr="005B4E7A">
        <w:rPr>
          <w:rFonts w:ascii="Arial" w:hAnsi="Arial" w:cs="Arial"/>
          <w:sz w:val="24"/>
          <w:szCs w:val="24"/>
          <w:u w:val="single"/>
        </w:rPr>
        <w:t>.,</w:t>
      </w:r>
      <w:r>
        <w:rPr>
          <w:rFonts w:ascii="Arial" w:hAnsi="Arial" w:cs="Arial"/>
          <w:sz w:val="24"/>
          <w:szCs w:val="24"/>
        </w:rPr>
        <w:t xml:space="preserve"> Pantoja-Gallegos J., Domínguez-Pérez D.</w:t>
      </w:r>
      <w:r w:rsidRPr="005B4E7A">
        <w:rPr>
          <w:rFonts w:ascii="Arial" w:hAnsi="Arial" w:cs="Arial"/>
          <w:sz w:val="24"/>
          <w:szCs w:val="24"/>
        </w:rPr>
        <w:t xml:space="preserve">, “UAMmero, software para estimar el consumo de combustible y las emisiones de bióxido de carbono de vehículos pesados”, del </w:t>
      </w:r>
      <w:r w:rsidRPr="005B4E7A">
        <w:rPr>
          <w:rFonts w:ascii="Arial" w:eastAsia="Calibri" w:hAnsi="Arial" w:cs="Arial"/>
          <w:bCs/>
          <w:sz w:val="24"/>
          <w:szCs w:val="24"/>
          <w:lang w:val="es-MX"/>
        </w:rPr>
        <w:t xml:space="preserve">Congreso multidisciplinario de ciencias aplicadas en Latinoamérica, Editorial UNAM, </w:t>
      </w:r>
      <w:r w:rsidRPr="005B4E7A">
        <w:rPr>
          <w:rFonts w:ascii="Arial" w:hAnsi="Arial" w:cs="Arial"/>
          <w:sz w:val="24"/>
          <w:szCs w:val="24"/>
        </w:rPr>
        <w:t>600-606 (2018).</w:t>
      </w:r>
    </w:p>
    <w:p w:rsidR="00CD0BA4" w:rsidRPr="00CD0BA4" w:rsidRDefault="00CD0BA4" w:rsidP="00CD0BA4">
      <w:pPr>
        <w:rPr>
          <w:rFonts w:ascii="Arial" w:hAnsi="Arial" w:cs="Arial"/>
          <w:lang w:val="es-MX" w:eastAsia="es-ES"/>
        </w:rPr>
      </w:pPr>
    </w:p>
    <w:p w:rsidR="00CD0BA4" w:rsidRDefault="00CD0BA4" w:rsidP="00CD0BA4">
      <w:pPr>
        <w:jc w:val="both"/>
        <w:rPr>
          <w:rFonts w:ascii="Arial" w:hAnsi="Arial" w:cs="Arial"/>
          <w:b/>
        </w:rPr>
      </w:pPr>
      <w:r>
        <w:rPr>
          <w:rFonts w:ascii="Arial" w:hAnsi="Arial" w:cs="Arial"/>
          <w:b/>
          <w:lang w:val="es-MX"/>
        </w:rPr>
        <w:t>8</w:t>
      </w:r>
      <w:r w:rsidRPr="00FB6B23">
        <w:rPr>
          <w:rFonts w:ascii="Arial" w:hAnsi="Arial" w:cs="Arial"/>
          <w:b/>
          <w:lang w:val="es-MX"/>
        </w:rPr>
        <w:t xml:space="preserve">. </w:t>
      </w:r>
      <w:r w:rsidRPr="00FB6B23">
        <w:rPr>
          <w:rFonts w:ascii="Arial" w:hAnsi="Arial" w:cs="Arial"/>
          <w:b/>
        </w:rPr>
        <w:t>Agradecimientos</w:t>
      </w:r>
    </w:p>
    <w:p w:rsidR="00CD0BA4" w:rsidRPr="00FB6B23" w:rsidRDefault="00CD0BA4" w:rsidP="00CD0BA4">
      <w:pPr>
        <w:jc w:val="both"/>
        <w:rPr>
          <w:rFonts w:ascii="Arial" w:hAnsi="Arial" w:cs="Arial"/>
          <w:b/>
        </w:rPr>
      </w:pPr>
    </w:p>
    <w:p w:rsidR="00CD0BA4" w:rsidRPr="001E3045" w:rsidRDefault="00CD0BA4" w:rsidP="00CD0BA4">
      <w:pPr>
        <w:jc w:val="both"/>
        <w:rPr>
          <w:rFonts w:ascii="Arial" w:hAnsi="Arial" w:cs="Arial"/>
        </w:rPr>
      </w:pPr>
      <w:r w:rsidRPr="00676B24">
        <w:rPr>
          <w:rFonts w:ascii="Arial" w:hAnsi="Arial" w:cs="Arial"/>
        </w:rPr>
        <w:t xml:space="preserve">         </w:t>
      </w:r>
      <w:r>
        <w:rPr>
          <w:rFonts w:ascii="Arial" w:hAnsi="Arial" w:cs="Arial"/>
        </w:rPr>
        <w:t xml:space="preserve">A Jesús Solís G., </w:t>
      </w:r>
      <w:r w:rsidRPr="00676B24">
        <w:rPr>
          <w:rFonts w:ascii="Arial" w:hAnsi="Arial" w:cs="Arial"/>
        </w:rPr>
        <w:t>Luis Kato</w:t>
      </w:r>
      <w:r>
        <w:rPr>
          <w:rFonts w:ascii="Arial" w:hAnsi="Arial" w:cs="Arial"/>
        </w:rPr>
        <w:t xml:space="preserve"> M., J. García O. y A. Maldonado S. También a los revisores del trabajo por sus observaciones. Uno de los autores (N. D.-V.) l</w:t>
      </w:r>
      <w:r w:rsidRPr="00676B24">
        <w:rPr>
          <w:rFonts w:ascii="Arial" w:hAnsi="Arial" w:cs="Arial"/>
        </w:rPr>
        <w:t>e agradece</w:t>
      </w:r>
      <w:r>
        <w:rPr>
          <w:rFonts w:ascii="Arial" w:hAnsi="Arial" w:cs="Arial"/>
        </w:rPr>
        <w:t xml:space="preserve"> a H. Pérez-Vivián por su valioso apoyo.</w:t>
      </w:r>
    </w:p>
    <w:p w:rsidR="00CD0BA4" w:rsidRDefault="00CD0BA4" w:rsidP="0049551D"/>
    <w:p w:rsidR="006B5008" w:rsidRPr="00F52840" w:rsidRDefault="006B5008" w:rsidP="00F52840">
      <w:pPr>
        <w:pStyle w:val="1Titulo"/>
        <w:numPr>
          <w:ilvl w:val="0"/>
          <w:numId w:val="0"/>
        </w:numPr>
        <w:ind w:left="357"/>
        <w:jc w:val="center"/>
        <w:rPr>
          <w:color w:val="000000"/>
          <w:sz w:val="28"/>
          <w:szCs w:val="28"/>
        </w:rPr>
      </w:pPr>
      <w:bookmarkStart w:id="326" w:name="_Hlk39963326"/>
      <w:bookmarkStart w:id="327" w:name="_Toc50031374"/>
      <w:r w:rsidRPr="00F52840">
        <w:rPr>
          <w:sz w:val="28"/>
          <w:szCs w:val="28"/>
        </w:rPr>
        <w:t>Software educativo para la construcción de un sistema hidráulico en un entorno virtual</w:t>
      </w:r>
      <w:bookmarkEnd w:id="326"/>
      <w:bookmarkEnd w:id="327"/>
    </w:p>
    <w:p w:rsidR="006B5008" w:rsidRDefault="006B5008" w:rsidP="006B5008">
      <w:pPr>
        <w:jc w:val="center"/>
        <w:rPr>
          <w:color w:val="000000"/>
          <w:sz w:val="28"/>
          <w:szCs w:val="28"/>
        </w:rPr>
      </w:pPr>
    </w:p>
    <w:p w:rsidR="006B5008" w:rsidRPr="00F94D53" w:rsidRDefault="006B5008" w:rsidP="006B5008">
      <w:pPr>
        <w:pStyle w:val="Author"/>
        <w:rPr>
          <w:rFonts w:ascii="Arial" w:hAnsi="Arial" w:cs="Arial"/>
          <w:szCs w:val="24"/>
          <w:lang w:val="es-ES"/>
        </w:rPr>
      </w:pPr>
      <w:r w:rsidRPr="00D220E4">
        <w:rPr>
          <w:rFonts w:ascii="Arial" w:hAnsi="Arial" w:cs="Arial"/>
          <w:szCs w:val="24"/>
          <w:u w:val="single"/>
          <w:lang w:val="es-ES"/>
        </w:rPr>
        <w:t>Bautista, L.Y.</w:t>
      </w:r>
      <w:r>
        <w:rPr>
          <w:rFonts w:ascii="Arial" w:hAnsi="Arial" w:cs="Arial"/>
          <w:szCs w:val="24"/>
          <w:vertAlign w:val="superscript"/>
          <w:lang w:val="es-ES"/>
        </w:rPr>
        <w:t>1</w:t>
      </w:r>
      <w:r w:rsidRPr="009A10C2">
        <w:rPr>
          <w:rFonts w:ascii="Arial" w:hAnsi="Arial" w:cs="Arial"/>
          <w:szCs w:val="24"/>
          <w:lang w:val="es-ES"/>
        </w:rPr>
        <w:t>,</w:t>
      </w:r>
      <w:r>
        <w:rPr>
          <w:rFonts w:ascii="Arial" w:hAnsi="Arial" w:cs="Arial"/>
          <w:szCs w:val="24"/>
          <w:lang w:val="es-ES"/>
        </w:rPr>
        <w:t xml:space="preserve"> Hurtado, G.</w:t>
      </w:r>
      <w:r>
        <w:rPr>
          <w:rFonts w:ascii="Arial" w:hAnsi="Arial" w:cs="Arial"/>
          <w:szCs w:val="24"/>
          <w:vertAlign w:val="superscript"/>
          <w:lang w:val="es-ES"/>
        </w:rPr>
        <w:t>1</w:t>
      </w:r>
      <w:r>
        <w:rPr>
          <w:rFonts w:ascii="Arial" w:hAnsi="Arial" w:cs="Arial"/>
          <w:szCs w:val="24"/>
          <w:lang w:val="es-ES"/>
        </w:rPr>
        <w:t>, Gutiérrez L. Ma. R.</w:t>
      </w:r>
      <w:r w:rsidRPr="00F94D53">
        <w:rPr>
          <w:rFonts w:ascii="Arial" w:hAnsi="Arial" w:cs="Arial"/>
          <w:szCs w:val="24"/>
          <w:vertAlign w:val="superscript"/>
          <w:lang w:val="es-ES"/>
        </w:rPr>
        <w:t>2</w:t>
      </w:r>
      <w:r>
        <w:rPr>
          <w:rFonts w:ascii="Arial" w:hAnsi="Arial" w:cs="Arial"/>
          <w:szCs w:val="24"/>
          <w:lang w:val="es-ES"/>
        </w:rPr>
        <w:t>, Barragán A. J. F.</w:t>
      </w:r>
      <w:r w:rsidRPr="00F94D53">
        <w:rPr>
          <w:rFonts w:ascii="Arial" w:hAnsi="Arial" w:cs="Arial"/>
          <w:szCs w:val="24"/>
          <w:vertAlign w:val="superscript"/>
          <w:lang w:val="es-ES"/>
        </w:rPr>
        <w:t>2</w:t>
      </w:r>
    </w:p>
    <w:p w:rsidR="006B5008" w:rsidRDefault="006B5008" w:rsidP="006B5008">
      <w:pPr>
        <w:pStyle w:val="affiliation"/>
        <w:rPr>
          <w:rFonts w:ascii="Arial" w:hAnsi="Arial" w:cs="Arial"/>
          <w:sz w:val="24"/>
          <w:szCs w:val="24"/>
          <w:lang w:val="es-ES"/>
        </w:rPr>
      </w:pPr>
      <w:r w:rsidRPr="00D220E4">
        <w:rPr>
          <w:rFonts w:ascii="Arial" w:hAnsi="Arial" w:cs="Arial"/>
          <w:sz w:val="24"/>
          <w:szCs w:val="24"/>
          <w:vertAlign w:val="superscript"/>
          <w:lang w:val="es-ES"/>
        </w:rPr>
        <w:lastRenderedPageBreak/>
        <w:t>1</w:t>
      </w:r>
      <w:r>
        <w:rPr>
          <w:rFonts w:ascii="Arial" w:hAnsi="Arial" w:cs="Arial"/>
          <w:sz w:val="24"/>
          <w:szCs w:val="24"/>
          <w:lang w:val="es-ES"/>
        </w:rPr>
        <w:t>Depto. de Ingeniería Mecatrónica, Facultad de Ingeniería UNAM</w:t>
      </w:r>
    </w:p>
    <w:p w:rsidR="006B5008" w:rsidRDefault="006B5008" w:rsidP="006B5008">
      <w:pPr>
        <w:pStyle w:val="affiliation"/>
        <w:rPr>
          <w:rFonts w:ascii="Arial" w:hAnsi="Arial" w:cs="Arial"/>
          <w:sz w:val="24"/>
          <w:szCs w:val="24"/>
          <w:vertAlign w:val="superscript"/>
          <w:lang w:val="es-ES"/>
        </w:rPr>
      </w:pPr>
      <w:r w:rsidRPr="00F94D53">
        <w:rPr>
          <w:rFonts w:ascii="Arial" w:hAnsi="Arial" w:cs="Arial"/>
          <w:sz w:val="24"/>
          <w:szCs w:val="24"/>
          <w:vertAlign w:val="superscript"/>
          <w:lang w:val="es-ES"/>
        </w:rPr>
        <w:t>2</w:t>
      </w:r>
      <w:r>
        <w:rPr>
          <w:rFonts w:ascii="Arial" w:hAnsi="Arial" w:cs="Arial"/>
          <w:sz w:val="24"/>
          <w:szCs w:val="24"/>
          <w:lang w:val="es-ES"/>
        </w:rPr>
        <w:t>Depto. de Ingeniería Química, Facultad de Química UNAM</w:t>
      </w:r>
    </w:p>
    <w:p w:rsidR="006B5008" w:rsidRDefault="006B5008" w:rsidP="006B5008">
      <w:pPr>
        <w:pStyle w:val="affiliation"/>
        <w:rPr>
          <w:rFonts w:ascii="Arial" w:hAnsi="Arial" w:cs="Arial"/>
          <w:sz w:val="24"/>
          <w:szCs w:val="24"/>
          <w:lang w:val="es-ES"/>
        </w:rPr>
      </w:pPr>
      <w:r w:rsidRPr="00F94D53">
        <w:rPr>
          <w:rFonts w:ascii="Arial" w:hAnsi="Arial" w:cs="Arial"/>
          <w:sz w:val="24"/>
          <w:szCs w:val="24"/>
          <w:u w:val="single"/>
          <w:lang w:val="es-ES"/>
        </w:rPr>
        <w:t>luyababl@gmail.com</w:t>
      </w:r>
      <w:r>
        <w:rPr>
          <w:rFonts w:ascii="Arial" w:hAnsi="Arial" w:cs="Arial"/>
          <w:sz w:val="24"/>
          <w:szCs w:val="24"/>
          <w:lang w:val="es-ES"/>
        </w:rPr>
        <w:t xml:space="preserve">, </w:t>
      </w:r>
      <w:r w:rsidRPr="00F94D53">
        <w:rPr>
          <w:rFonts w:ascii="Arial" w:hAnsi="Arial" w:cs="Arial"/>
          <w:sz w:val="24"/>
          <w:szCs w:val="24"/>
          <w:lang w:val="es-ES"/>
        </w:rPr>
        <w:t>gahucho@ingenieria.unam.edu</w:t>
      </w:r>
      <w:r>
        <w:rPr>
          <w:rFonts w:ascii="Arial" w:hAnsi="Arial" w:cs="Arial"/>
          <w:sz w:val="24"/>
          <w:szCs w:val="24"/>
          <w:lang w:val="es-ES"/>
        </w:rPr>
        <w:t xml:space="preserve">, </w:t>
      </w:r>
      <w:r w:rsidRPr="00F94D53">
        <w:rPr>
          <w:rFonts w:ascii="Arial" w:hAnsi="Arial" w:cs="Arial"/>
          <w:sz w:val="24"/>
          <w:szCs w:val="24"/>
          <w:lang w:val="es-ES"/>
        </w:rPr>
        <w:t>rafaelag@unam.mx</w:t>
      </w:r>
      <w:r>
        <w:rPr>
          <w:rFonts w:ascii="Arial" w:hAnsi="Arial" w:cs="Arial"/>
          <w:sz w:val="24"/>
          <w:szCs w:val="24"/>
          <w:lang w:val="es-ES"/>
        </w:rPr>
        <w:t>,</w:t>
      </w:r>
    </w:p>
    <w:p w:rsidR="006B5008" w:rsidRPr="00F94D53" w:rsidRDefault="006B5008" w:rsidP="006B5008">
      <w:pPr>
        <w:pStyle w:val="affiliation"/>
        <w:rPr>
          <w:rFonts w:ascii="Arial" w:hAnsi="Arial" w:cs="Arial"/>
          <w:sz w:val="24"/>
          <w:szCs w:val="24"/>
          <w:lang w:val="es-ES"/>
        </w:rPr>
      </w:pPr>
      <w:r>
        <w:rPr>
          <w:rFonts w:ascii="Arial" w:hAnsi="Arial" w:cs="Arial"/>
          <w:sz w:val="24"/>
          <w:szCs w:val="24"/>
          <w:lang w:val="es-ES"/>
        </w:rPr>
        <w:t xml:space="preserve"> jfba@unam.mx</w:t>
      </w:r>
    </w:p>
    <w:p w:rsidR="006B5008" w:rsidRDefault="006B5008" w:rsidP="006B5008">
      <w:pPr>
        <w:pStyle w:val="affiliation"/>
        <w:rPr>
          <w:rFonts w:ascii="Arial" w:eastAsia="Batang" w:hAnsi="Arial" w:cs="Arial"/>
          <w:b/>
          <w:bCs/>
          <w:i/>
          <w:iCs/>
          <w:caps/>
          <w:sz w:val="24"/>
          <w:szCs w:val="24"/>
          <w:lang w:val="es-ES"/>
        </w:rPr>
      </w:pPr>
    </w:p>
    <w:p w:rsidR="006B5008" w:rsidRPr="005C5A94" w:rsidRDefault="006B5008" w:rsidP="006B5008">
      <w:pPr>
        <w:pStyle w:val="Ttulo1"/>
        <w:keepLines w:val="0"/>
        <w:tabs>
          <w:tab w:val="left" w:pos="0"/>
        </w:tabs>
        <w:suppressAutoHyphens/>
        <w:spacing w:before="0" w:after="0" w:line="360" w:lineRule="auto"/>
        <w:rPr>
          <w:rFonts w:ascii="Arial" w:hAnsi="Arial" w:cs="Arial"/>
          <w:i/>
          <w:color w:val="000000"/>
          <w:sz w:val="24"/>
          <w:szCs w:val="24"/>
        </w:rPr>
      </w:pPr>
      <w:bookmarkStart w:id="328" w:name="_Toc50031375"/>
      <w:r w:rsidRPr="005C5A94">
        <w:rPr>
          <w:rFonts w:ascii="Arial" w:hAnsi="Arial" w:cs="Arial"/>
          <w:i/>
          <w:caps/>
          <w:sz w:val="24"/>
          <w:szCs w:val="24"/>
        </w:rPr>
        <w:t>1. R</w:t>
      </w:r>
      <w:r w:rsidRPr="005C5A94">
        <w:rPr>
          <w:rFonts w:ascii="Arial" w:hAnsi="Arial" w:cs="Arial"/>
          <w:i/>
          <w:sz w:val="24"/>
          <w:szCs w:val="24"/>
        </w:rPr>
        <w:t>esumen</w:t>
      </w:r>
      <w:bookmarkEnd w:id="328"/>
      <w:r w:rsidRPr="005C5A94">
        <w:rPr>
          <w:rFonts w:ascii="Arial" w:hAnsi="Arial" w:cs="Arial"/>
          <w:i/>
          <w:caps/>
          <w:sz w:val="24"/>
          <w:szCs w:val="24"/>
        </w:rPr>
        <w:t xml:space="preserve"> </w:t>
      </w:r>
    </w:p>
    <w:p w:rsidR="006B5008" w:rsidRDefault="006B5008" w:rsidP="006B5008">
      <w:pPr>
        <w:ind w:firstLine="567"/>
        <w:jc w:val="both"/>
        <w:rPr>
          <w:rFonts w:ascii="Arial" w:hAnsi="Arial" w:cs="Arial"/>
        </w:rPr>
      </w:pPr>
      <w:r>
        <w:rPr>
          <w:rFonts w:ascii="Arial" w:hAnsi="Arial" w:cs="Arial"/>
          <w:color w:val="000000"/>
        </w:rPr>
        <w:t xml:space="preserve">Este trabajo presenta el desarrollo de Caudalis, un software con fines educativos para mejorar el proceso enseñanza-aprendizaje en el estudio del flujo en tuberías, en un ambiente de realidad virtual.  La finalidad de este software es permitirle al usuario construir y visualizar sistemas hidráulicos personalizados, con la finalidad de complementar o incluso de poder llegar a utilizar de forma virtual el uso de un modelo físico real (rígido e inmutable), como el utilizado actualmente en el Laboratorio de Ingeniería </w:t>
      </w:r>
      <w:r w:rsidRPr="00144EBD">
        <w:rPr>
          <w:rFonts w:ascii="Arial" w:hAnsi="Arial" w:cs="Arial"/>
          <w:color w:val="000000"/>
        </w:rPr>
        <w:t>Química de la Facultad de Química de la UNAM.</w:t>
      </w:r>
      <w:r>
        <w:rPr>
          <w:rFonts w:ascii="Arial" w:hAnsi="Arial" w:cs="Arial"/>
          <w:color w:val="000000"/>
        </w:rPr>
        <w:t xml:space="preserve">  Esta herramienta presenta varias ventajas con respecto al modelo real, entre las que destacan:  permitirle al usuario definir y variar la configuración de una tubería de manera sencilla, rápida y económica; </w:t>
      </w:r>
      <w:r w:rsidRPr="00144EBD">
        <w:rPr>
          <w:rFonts w:ascii="Arial" w:hAnsi="Arial" w:cs="Arial"/>
          <w:color w:val="000000"/>
        </w:rPr>
        <w:t>otorgar</w:t>
      </w:r>
      <w:r>
        <w:rPr>
          <w:rFonts w:ascii="Arial" w:hAnsi="Arial" w:cs="Arial"/>
          <w:color w:val="000000"/>
        </w:rPr>
        <w:t xml:space="preserve"> a los estudiantes la posibilidad de visualizar el comportamiento de un flujo de agua que circula a través de una placa de orificio; y lograr un aprendizaje más claro y posiblemente lúdico, mediante el uso de tecnologías actuales aplicadas a la docencia. </w:t>
      </w:r>
    </w:p>
    <w:p w:rsidR="006B5008" w:rsidRDefault="006B5008" w:rsidP="006B5008">
      <w:pPr>
        <w:ind w:firstLine="567"/>
        <w:jc w:val="both"/>
        <w:rPr>
          <w:rFonts w:ascii="Arial" w:hAnsi="Arial" w:cs="Arial"/>
        </w:rPr>
      </w:pPr>
    </w:p>
    <w:p w:rsidR="006B5008" w:rsidRPr="005C5A94" w:rsidRDefault="006B5008" w:rsidP="006B5008">
      <w:pPr>
        <w:pStyle w:val="Ttulo1"/>
        <w:keepLines w:val="0"/>
        <w:tabs>
          <w:tab w:val="left" w:pos="0"/>
        </w:tabs>
        <w:suppressAutoHyphens/>
        <w:spacing w:before="0" w:after="0" w:line="360" w:lineRule="auto"/>
        <w:rPr>
          <w:rFonts w:ascii="Arial" w:hAnsi="Arial" w:cs="Arial"/>
          <w:i/>
          <w:caps/>
          <w:sz w:val="24"/>
          <w:szCs w:val="24"/>
        </w:rPr>
      </w:pPr>
      <w:bookmarkStart w:id="329" w:name="_Toc50031376"/>
      <w:r w:rsidRPr="005C5A94">
        <w:rPr>
          <w:rFonts w:ascii="Arial" w:hAnsi="Arial" w:cs="Arial"/>
          <w:i/>
          <w:caps/>
          <w:sz w:val="24"/>
          <w:szCs w:val="24"/>
        </w:rPr>
        <w:t>2. I</w:t>
      </w:r>
      <w:r w:rsidRPr="005C5A94">
        <w:rPr>
          <w:rFonts w:ascii="Arial" w:hAnsi="Arial" w:cs="Arial"/>
          <w:i/>
          <w:sz w:val="24"/>
          <w:szCs w:val="24"/>
        </w:rPr>
        <w:t>ntroducción</w:t>
      </w:r>
      <w:bookmarkEnd w:id="329"/>
      <w:r w:rsidRPr="005C5A94">
        <w:rPr>
          <w:rFonts w:ascii="Arial" w:hAnsi="Arial" w:cs="Arial"/>
          <w:i/>
          <w:caps/>
          <w:sz w:val="24"/>
          <w:szCs w:val="24"/>
        </w:rPr>
        <w:t xml:space="preserve"> </w:t>
      </w:r>
    </w:p>
    <w:p w:rsidR="006B5008" w:rsidRPr="00746A45" w:rsidRDefault="006B5008" w:rsidP="006B5008">
      <w:pPr>
        <w:jc w:val="both"/>
        <w:rPr>
          <w:rFonts w:ascii="Arial" w:hAnsi="Arial" w:cs="Arial"/>
        </w:rPr>
      </w:pPr>
      <w:r>
        <w:t xml:space="preserve">         </w:t>
      </w:r>
      <w:r w:rsidRPr="00495924">
        <w:rPr>
          <w:rFonts w:ascii="Arial" w:hAnsi="Arial" w:cs="Arial"/>
        </w:rPr>
        <w:t>En la Facultad de Química de la Universidad Nacional Autónoma de México se detectó un área de oportunidad para la implementación de una nueva herramienta educativa, basada en el uso de realidad virtual, para el estudio del comportamiento del agua al pasar a través de una placa de orificio en una tubería.</w:t>
      </w:r>
    </w:p>
    <w:p w:rsidR="006B5008" w:rsidRDefault="006B5008" w:rsidP="006B5008">
      <w:pPr>
        <w:ind w:firstLine="539"/>
        <w:jc w:val="both"/>
        <w:rPr>
          <w:rFonts w:ascii="Arial" w:hAnsi="Arial" w:cs="Arial"/>
          <w:color w:val="000000"/>
        </w:rPr>
      </w:pPr>
      <w:r w:rsidRPr="00495924">
        <w:rPr>
          <w:rFonts w:ascii="Arial" w:hAnsi="Arial" w:cs="Arial"/>
          <w:color w:val="000000"/>
        </w:rPr>
        <w:t>La idea surge debido a que la realización física de este experimento en el Laboratorio de Ingeniería Química (Figura 1) consume mucho tiempo de la sesión para realizar el intercambio de las placas de orificio</w:t>
      </w:r>
      <w:r>
        <w:rPr>
          <w:rFonts w:ascii="Arial" w:hAnsi="Arial" w:cs="Arial"/>
          <w:color w:val="000000"/>
        </w:rPr>
        <w:t xml:space="preserve"> </w:t>
      </w:r>
      <w:r w:rsidRPr="00144EBD">
        <w:rPr>
          <w:rFonts w:ascii="Arial" w:hAnsi="Arial" w:cs="Arial"/>
          <w:color w:val="000000"/>
        </w:rPr>
        <w:t>en el sistema de tuberías.</w:t>
      </w:r>
    </w:p>
    <w:p w:rsidR="006B5008" w:rsidRDefault="006B5008" w:rsidP="006B5008">
      <w:pPr>
        <w:jc w:val="both"/>
        <w:rPr>
          <w:rFonts w:ascii="Arial" w:hAnsi="Arial" w:cs="Arial"/>
          <w:color w:val="000000"/>
        </w:rPr>
      </w:pPr>
    </w:p>
    <w:p w:rsidR="006B5008" w:rsidRDefault="006B5008" w:rsidP="006B5008">
      <w:pPr>
        <w:jc w:val="center"/>
      </w:pPr>
      <w:r w:rsidRPr="004065C2">
        <w:rPr>
          <w:noProof/>
          <w:lang w:val="en-US"/>
        </w:rPr>
        <w:lastRenderedPageBreak/>
        <w:drawing>
          <wp:inline distT="0" distB="0" distL="0" distR="0" wp14:anchorId="3FBE0AC1" wp14:editId="78AF5F1C">
            <wp:extent cx="3486150" cy="3000375"/>
            <wp:effectExtent l="0" t="0" r="0" b="9525"/>
            <wp:docPr id="2026623727" name="Imagen 202662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191" cstate="print">
                      <a:extLst>
                        <a:ext uri="{28A0092B-C50C-407E-A947-70E740481C1C}">
                          <a14:useLocalDpi xmlns:a14="http://schemas.microsoft.com/office/drawing/2010/main" val="0"/>
                        </a:ext>
                      </a:extLst>
                    </a:blip>
                    <a:srcRect/>
                    <a:stretch>
                      <a:fillRect/>
                    </a:stretch>
                  </pic:blipFill>
                  <pic:spPr bwMode="auto">
                    <a:xfrm>
                      <a:off x="0" y="0"/>
                      <a:ext cx="3486150" cy="3000375"/>
                    </a:xfrm>
                    <a:prstGeom prst="rect">
                      <a:avLst/>
                    </a:prstGeom>
                    <a:noFill/>
                    <a:ln>
                      <a:noFill/>
                    </a:ln>
                  </pic:spPr>
                </pic:pic>
              </a:graphicData>
            </a:graphic>
          </wp:inline>
        </w:drawing>
      </w:r>
    </w:p>
    <w:p w:rsidR="006B5008" w:rsidRPr="00495924" w:rsidRDefault="006B5008" w:rsidP="006B5008">
      <w:pPr>
        <w:jc w:val="center"/>
        <w:rPr>
          <w:rFonts w:ascii="Arial" w:hAnsi="Arial" w:cs="Arial"/>
          <w:i/>
          <w:iCs/>
          <w:sz w:val="20"/>
          <w:szCs w:val="20"/>
        </w:rPr>
      </w:pPr>
      <w:r w:rsidRPr="00495924">
        <w:rPr>
          <w:rFonts w:ascii="Arial" w:hAnsi="Arial" w:cs="Arial"/>
          <w:i/>
          <w:iCs/>
          <w:sz w:val="20"/>
          <w:szCs w:val="20"/>
        </w:rPr>
        <w:t xml:space="preserve">Figura 1.  Sistema hidráulico </w:t>
      </w:r>
      <w:r>
        <w:rPr>
          <w:rFonts w:ascii="Arial" w:hAnsi="Arial" w:cs="Arial"/>
          <w:i/>
          <w:iCs/>
          <w:sz w:val="20"/>
          <w:szCs w:val="20"/>
        </w:rPr>
        <w:t xml:space="preserve">utilizado en </w:t>
      </w:r>
      <w:r w:rsidRPr="00495924">
        <w:rPr>
          <w:rFonts w:ascii="Arial" w:hAnsi="Arial" w:cs="Arial"/>
          <w:i/>
          <w:iCs/>
          <w:sz w:val="20"/>
          <w:szCs w:val="20"/>
        </w:rPr>
        <w:t>el Laboratorio de Ingeniería Química, Facultad de Química, UNAM.</w:t>
      </w:r>
    </w:p>
    <w:p w:rsidR="006B5008" w:rsidRPr="00746A45" w:rsidRDefault="006B5008" w:rsidP="006B5008">
      <w:pPr>
        <w:jc w:val="both"/>
        <w:rPr>
          <w:rFonts w:ascii="Arial" w:hAnsi="Arial" w:cs="Arial"/>
          <w:b/>
          <w:color w:val="000000"/>
        </w:rPr>
      </w:pPr>
    </w:p>
    <w:p w:rsidR="006B5008" w:rsidRDefault="006B5008" w:rsidP="006B5008">
      <w:pPr>
        <w:ind w:firstLine="539"/>
        <w:jc w:val="both"/>
        <w:rPr>
          <w:rFonts w:ascii="Arial" w:hAnsi="Arial" w:cs="Arial"/>
          <w:color w:val="000000"/>
        </w:rPr>
      </w:pPr>
      <w:r>
        <w:rPr>
          <w:rFonts w:ascii="Arial" w:hAnsi="Arial" w:cs="Arial"/>
          <w:color w:val="000000"/>
        </w:rPr>
        <w:t>El uso de un sistema físico también</w:t>
      </w:r>
      <w:r w:rsidRPr="00495924">
        <w:rPr>
          <w:rFonts w:ascii="Arial" w:hAnsi="Arial" w:cs="Arial"/>
          <w:color w:val="000000"/>
        </w:rPr>
        <w:t xml:space="preserve"> </w:t>
      </w:r>
      <w:r>
        <w:rPr>
          <w:rFonts w:ascii="Arial" w:hAnsi="Arial" w:cs="Arial"/>
          <w:color w:val="000000"/>
        </w:rPr>
        <w:t>presenta</w:t>
      </w:r>
      <w:r w:rsidRPr="00495924">
        <w:rPr>
          <w:rFonts w:ascii="Arial" w:hAnsi="Arial" w:cs="Arial"/>
          <w:color w:val="000000"/>
        </w:rPr>
        <w:t xml:space="preserve"> </w:t>
      </w:r>
      <w:r>
        <w:rPr>
          <w:rFonts w:ascii="Arial" w:hAnsi="Arial" w:cs="Arial"/>
          <w:color w:val="000000"/>
        </w:rPr>
        <w:t>los</w:t>
      </w:r>
      <w:r w:rsidRPr="00495924">
        <w:rPr>
          <w:rFonts w:ascii="Arial" w:hAnsi="Arial" w:cs="Arial"/>
          <w:color w:val="000000"/>
        </w:rPr>
        <w:t xml:space="preserve"> inconveniente</w:t>
      </w:r>
      <w:r>
        <w:rPr>
          <w:rFonts w:ascii="Arial" w:hAnsi="Arial" w:cs="Arial"/>
          <w:color w:val="000000"/>
        </w:rPr>
        <w:t>s</w:t>
      </w:r>
      <w:r w:rsidRPr="00495924">
        <w:rPr>
          <w:rFonts w:ascii="Arial" w:hAnsi="Arial" w:cs="Arial"/>
          <w:color w:val="000000"/>
        </w:rPr>
        <w:t xml:space="preserve"> de que </w:t>
      </w:r>
      <w:r>
        <w:rPr>
          <w:rFonts w:ascii="Arial" w:hAnsi="Arial" w:cs="Arial"/>
          <w:color w:val="000000"/>
        </w:rPr>
        <w:t xml:space="preserve">no es posible variar ni la configuración ni la extensión de </w:t>
      </w:r>
      <w:r w:rsidRPr="00495924">
        <w:rPr>
          <w:rFonts w:ascii="Arial" w:hAnsi="Arial" w:cs="Arial"/>
          <w:color w:val="000000"/>
        </w:rPr>
        <w:t>las tuberías</w:t>
      </w:r>
      <w:r>
        <w:rPr>
          <w:rFonts w:ascii="Arial" w:hAnsi="Arial" w:cs="Arial"/>
          <w:color w:val="000000"/>
        </w:rPr>
        <w:t xml:space="preserve"> y de que, al ser éstas </w:t>
      </w:r>
      <w:r w:rsidRPr="00495924">
        <w:rPr>
          <w:rFonts w:ascii="Arial" w:hAnsi="Arial" w:cs="Arial"/>
          <w:color w:val="000000"/>
        </w:rPr>
        <w:t xml:space="preserve">opacas, resulta imposible para los alumnos observar directamente el comportamiento del </w:t>
      </w:r>
      <w:r w:rsidRPr="00144EBD">
        <w:rPr>
          <w:rFonts w:ascii="Arial" w:hAnsi="Arial" w:cs="Arial"/>
          <w:color w:val="000000"/>
        </w:rPr>
        <w:t>fluido que</w:t>
      </w:r>
      <w:r>
        <w:rPr>
          <w:rFonts w:ascii="Arial" w:hAnsi="Arial" w:cs="Arial"/>
          <w:color w:val="000000"/>
        </w:rPr>
        <w:t xml:space="preserve"> circula a través de las placas de orificio</w:t>
      </w:r>
      <w:r w:rsidRPr="00495924">
        <w:rPr>
          <w:rFonts w:ascii="Arial" w:hAnsi="Arial" w:cs="Arial"/>
          <w:color w:val="000000"/>
        </w:rPr>
        <w:t>.</w:t>
      </w:r>
    </w:p>
    <w:p w:rsidR="006B5008" w:rsidRDefault="006B5008" w:rsidP="006B5008">
      <w:pPr>
        <w:ind w:firstLine="539"/>
        <w:jc w:val="both"/>
      </w:pPr>
      <w:r w:rsidRPr="00495924">
        <w:rPr>
          <w:rFonts w:ascii="Arial" w:hAnsi="Arial" w:cs="Arial"/>
          <w:color w:val="000000"/>
        </w:rPr>
        <w:t xml:space="preserve">Con la intención de mejorar el proceso enseñanza-aprendizaje para este tema, se decidió desarrollar un software que permitiera construir sistemas hidráulicos virtuales, </w:t>
      </w:r>
      <w:r>
        <w:rPr>
          <w:rFonts w:ascii="Arial" w:hAnsi="Arial" w:cs="Arial"/>
          <w:color w:val="000000"/>
        </w:rPr>
        <w:t>a fin de analizar, e incluso observar,</w:t>
      </w:r>
      <w:r w:rsidRPr="00495924">
        <w:rPr>
          <w:rFonts w:ascii="Arial" w:hAnsi="Arial" w:cs="Arial"/>
          <w:color w:val="000000"/>
        </w:rPr>
        <w:t xml:space="preserve"> </w:t>
      </w:r>
      <w:r>
        <w:rPr>
          <w:rFonts w:ascii="Arial" w:hAnsi="Arial" w:cs="Arial"/>
          <w:color w:val="000000"/>
        </w:rPr>
        <w:t>el fenómeno en estudio</w:t>
      </w:r>
      <w:r w:rsidRPr="00495924">
        <w:rPr>
          <w:rFonts w:ascii="Arial" w:hAnsi="Arial" w:cs="Arial"/>
          <w:color w:val="000000"/>
        </w:rPr>
        <w:t xml:space="preserve"> de una manera más clara</w:t>
      </w:r>
      <w:r>
        <w:rPr>
          <w:rFonts w:ascii="Arial" w:hAnsi="Arial" w:cs="Arial"/>
          <w:color w:val="000000"/>
        </w:rPr>
        <w:t>,</w:t>
      </w:r>
      <w:r w:rsidRPr="00495924">
        <w:rPr>
          <w:rFonts w:ascii="Arial" w:hAnsi="Arial" w:cs="Arial"/>
          <w:color w:val="000000"/>
        </w:rPr>
        <w:t xml:space="preserve"> ágil</w:t>
      </w:r>
      <w:r>
        <w:rPr>
          <w:rFonts w:ascii="Arial" w:hAnsi="Arial" w:cs="Arial"/>
          <w:color w:val="000000"/>
        </w:rPr>
        <w:t xml:space="preserve"> y hasta </w:t>
      </w:r>
      <w:r w:rsidRPr="00144EBD">
        <w:rPr>
          <w:rFonts w:ascii="Arial" w:hAnsi="Arial" w:cs="Arial"/>
          <w:color w:val="000000"/>
        </w:rPr>
        <w:t>divertida</w:t>
      </w:r>
      <w:r>
        <w:rPr>
          <w:rFonts w:ascii="Arial" w:hAnsi="Arial" w:cs="Arial"/>
          <w:color w:val="000000"/>
        </w:rPr>
        <w:t xml:space="preserve"> para los estudiantes</w:t>
      </w:r>
      <w:r w:rsidRPr="00495924">
        <w:rPr>
          <w:rFonts w:ascii="Arial" w:hAnsi="Arial" w:cs="Arial"/>
          <w:color w:val="000000"/>
        </w:rPr>
        <w:t>.</w:t>
      </w:r>
    </w:p>
    <w:p w:rsidR="006B5008" w:rsidRPr="00A7164B" w:rsidRDefault="006B5008" w:rsidP="006B5008">
      <w:pPr>
        <w:spacing w:line="360" w:lineRule="auto"/>
        <w:jc w:val="both"/>
        <w:rPr>
          <w:rFonts w:ascii="Arial" w:hAnsi="Arial" w:cs="Arial"/>
          <w:color w:val="000000"/>
        </w:rPr>
      </w:pPr>
    </w:p>
    <w:p w:rsidR="006B5008" w:rsidRPr="005C5A94" w:rsidRDefault="006B5008" w:rsidP="006B5008">
      <w:pPr>
        <w:pStyle w:val="Ttulo1"/>
        <w:keepLines w:val="0"/>
        <w:tabs>
          <w:tab w:val="left" w:pos="0"/>
        </w:tabs>
        <w:suppressAutoHyphens/>
        <w:spacing w:before="0" w:after="0" w:line="360" w:lineRule="auto"/>
        <w:rPr>
          <w:rFonts w:ascii="Arial" w:hAnsi="Arial" w:cs="Arial"/>
          <w:i/>
          <w:sz w:val="24"/>
          <w:szCs w:val="24"/>
        </w:rPr>
      </w:pPr>
      <w:bookmarkStart w:id="330" w:name="_Toc50031377"/>
      <w:r w:rsidRPr="005C5A94">
        <w:rPr>
          <w:rFonts w:ascii="Arial" w:hAnsi="Arial" w:cs="Arial"/>
          <w:i/>
          <w:caps/>
          <w:sz w:val="24"/>
          <w:szCs w:val="24"/>
        </w:rPr>
        <w:t>3. C</w:t>
      </w:r>
      <w:r w:rsidRPr="005C5A94">
        <w:rPr>
          <w:rFonts w:ascii="Arial" w:hAnsi="Arial" w:cs="Arial"/>
          <w:i/>
          <w:sz w:val="24"/>
          <w:szCs w:val="24"/>
        </w:rPr>
        <w:t>ondiciones experimentales</w:t>
      </w:r>
      <w:bookmarkEnd w:id="330"/>
    </w:p>
    <w:p w:rsidR="006B5008" w:rsidRDefault="006B5008" w:rsidP="006B5008">
      <w:pPr>
        <w:pStyle w:val="Textoindependiente"/>
        <w:jc w:val="both"/>
        <w:rPr>
          <w:rFonts w:ascii="Arial" w:hAnsi="Arial" w:cs="Arial"/>
          <w:b w:val="0"/>
          <w:sz w:val="24"/>
        </w:rPr>
      </w:pPr>
      <w:r>
        <w:rPr>
          <w:rFonts w:ascii="Arial" w:hAnsi="Arial" w:cs="Arial"/>
          <w:b w:val="0"/>
          <w:sz w:val="24"/>
        </w:rPr>
        <w:t xml:space="preserve">         </w:t>
      </w:r>
      <w:r w:rsidRPr="008F24CD">
        <w:rPr>
          <w:rFonts w:ascii="Arial" w:hAnsi="Arial" w:cs="Arial"/>
          <w:b w:val="0"/>
          <w:sz w:val="24"/>
        </w:rPr>
        <w:t>Para poder llevar a cabo el modelado virtual de un sistema, es necesario partir de un entendimiento total del funcionamiento del sistema físico real</w:t>
      </w:r>
      <w:r>
        <w:rPr>
          <w:rFonts w:ascii="Arial" w:hAnsi="Arial" w:cs="Arial"/>
          <w:b w:val="0"/>
          <w:sz w:val="24"/>
        </w:rPr>
        <w:t xml:space="preserve">, que en </w:t>
      </w:r>
      <w:r w:rsidRPr="00144EBD">
        <w:rPr>
          <w:rFonts w:ascii="Arial" w:hAnsi="Arial" w:cs="Arial"/>
          <w:b w:val="0"/>
          <w:sz w:val="24"/>
        </w:rPr>
        <w:t>este</w:t>
      </w:r>
      <w:r>
        <w:rPr>
          <w:rFonts w:ascii="Arial" w:hAnsi="Arial" w:cs="Arial"/>
          <w:b w:val="0"/>
          <w:sz w:val="24"/>
        </w:rPr>
        <w:t xml:space="preserve"> caso involucra dos variables de estudio:  caudal y presión</w:t>
      </w:r>
      <w:r w:rsidRPr="008F24CD">
        <w:rPr>
          <w:rFonts w:ascii="Arial" w:hAnsi="Arial" w:cs="Arial"/>
          <w:b w:val="0"/>
          <w:sz w:val="24"/>
        </w:rPr>
        <w:t>.</w:t>
      </w:r>
    </w:p>
    <w:p w:rsidR="006B5008" w:rsidRDefault="006B5008" w:rsidP="006B5008">
      <w:pPr>
        <w:ind w:firstLine="539"/>
        <w:jc w:val="both"/>
        <w:rPr>
          <w:rFonts w:ascii="Arial" w:hAnsi="Arial" w:cs="Arial"/>
          <w:color w:val="000000"/>
        </w:rPr>
      </w:pPr>
      <w:r>
        <w:rPr>
          <w:rFonts w:ascii="Arial" w:hAnsi="Arial" w:cs="Arial"/>
          <w:color w:val="000000"/>
        </w:rPr>
        <w:t>E</w:t>
      </w:r>
      <w:r w:rsidRPr="00EE4D41">
        <w:rPr>
          <w:rFonts w:ascii="Arial" w:hAnsi="Arial" w:cs="Arial"/>
          <w:color w:val="000000"/>
        </w:rPr>
        <w:t>l sistema hidráulico por modelar se compone de</w:t>
      </w:r>
      <w:r>
        <w:rPr>
          <w:rFonts w:ascii="Arial" w:hAnsi="Arial" w:cs="Arial"/>
          <w:color w:val="000000"/>
        </w:rPr>
        <w:t xml:space="preserve"> </w:t>
      </w:r>
      <w:r w:rsidRPr="00144EBD">
        <w:rPr>
          <w:rFonts w:ascii="Arial" w:hAnsi="Arial" w:cs="Arial"/>
          <w:color w:val="000000"/>
        </w:rPr>
        <w:t>los siguientes</w:t>
      </w:r>
      <w:r w:rsidRPr="00EE4D41">
        <w:rPr>
          <w:rFonts w:ascii="Arial" w:hAnsi="Arial" w:cs="Arial"/>
          <w:color w:val="000000"/>
        </w:rPr>
        <w:t xml:space="preserve"> tres elementos fundamentales.  En primer lugar, una bomba hidráulica, activada mediante un motor eléctrico, </w:t>
      </w:r>
      <w:r w:rsidRPr="00144EBD">
        <w:rPr>
          <w:rFonts w:ascii="Arial" w:hAnsi="Arial" w:cs="Arial"/>
          <w:color w:val="000000"/>
        </w:rPr>
        <w:t>que</w:t>
      </w:r>
      <w:r>
        <w:rPr>
          <w:rFonts w:ascii="Arial" w:hAnsi="Arial" w:cs="Arial"/>
          <w:color w:val="000000"/>
        </w:rPr>
        <w:t xml:space="preserve"> </w:t>
      </w:r>
      <w:r w:rsidRPr="00EE4D41">
        <w:rPr>
          <w:rFonts w:ascii="Arial" w:hAnsi="Arial" w:cs="Arial"/>
          <w:color w:val="000000"/>
        </w:rPr>
        <w:t xml:space="preserve">proporciona un caudal de líquido adecuado.  </w:t>
      </w:r>
      <w:r w:rsidRPr="00144EBD">
        <w:rPr>
          <w:rFonts w:ascii="Arial" w:hAnsi="Arial" w:cs="Arial"/>
          <w:color w:val="000000"/>
        </w:rPr>
        <w:t>El gradiente de</w:t>
      </w:r>
      <w:r w:rsidRPr="00EE4D41">
        <w:rPr>
          <w:rFonts w:ascii="Arial" w:hAnsi="Arial" w:cs="Arial"/>
          <w:color w:val="000000"/>
        </w:rPr>
        <w:t xml:space="preserve"> presión, por su parte, se </w:t>
      </w:r>
      <w:r w:rsidRPr="00144EBD">
        <w:rPr>
          <w:rFonts w:ascii="Arial" w:hAnsi="Arial" w:cs="Arial"/>
          <w:color w:val="000000"/>
        </w:rPr>
        <w:t>genera</w:t>
      </w:r>
      <w:r w:rsidRPr="00EE4D41">
        <w:rPr>
          <w:rFonts w:ascii="Arial" w:hAnsi="Arial" w:cs="Arial"/>
          <w:color w:val="000000"/>
        </w:rPr>
        <w:t xml:space="preserve"> debido a una resistencia al flujo, la cual </w:t>
      </w:r>
      <w:r w:rsidRPr="00144EBD">
        <w:rPr>
          <w:rFonts w:ascii="Arial" w:hAnsi="Arial" w:cs="Arial"/>
          <w:color w:val="000000"/>
        </w:rPr>
        <w:t>se produce</w:t>
      </w:r>
      <w:r w:rsidRPr="00EE4D41">
        <w:rPr>
          <w:rFonts w:ascii="Arial" w:hAnsi="Arial" w:cs="Arial"/>
          <w:color w:val="000000"/>
        </w:rPr>
        <w:t xml:space="preserve"> por el segundo elemento, que es la red de distribución, conformada por tuberías y conexiones.  Finalmente, la placa de orificio es </w:t>
      </w:r>
      <w:r w:rsidRPr="00144EBD">
        <w:rPr>
          <w:rFonts w:ascii="Arial" w:hAnsi="Arial" w:cs="Arial"/>
          <w:color w:val="000000"/>
        </w:rPr>
        <w:t>el</w:t>
      </w:r>
      <w:r w:rsidRPr="00EE4D41">
        <w:rPr>
          <w:rFonts w:ascii="Arial" w:hAnsi="Arial" w:cs="Arial"/>
          <w:color w:val="000000"/>
        </w:rPr>
        <w:t xml:space="preserve"> instrumento utilizado para medir el caudal </w:t>
      </w:r>
      <w:r w:rsidRPr="00EE4D41">
        <w:rPr>
          <w:rFonts w:ascii="Arial" w:hAnsi="Arial" w:cs="Arial"/>
          <w:color w:val="000000"/>
        </w:rPr>
        <w:lastRenderedPageBreak/>
        <w:t xml:space="preserve">en el interior de la tubería.  Al circular el fluido a través de la placa de orificio, se incrementa la velocidad del flujo y disminuye </w:t>
      </w:r>
      <w:r w:rsidRPr="00144EBD">
        <w:rPr>
          <w:rFonts w:ascii="Arial" w:hAnsi="Arial" w:cs="Arial"/>
          <w:color w:val="000000"/>
        </w:rPr>
        <w:t>la</w:t>
      </w:r>
      <w:r w:rsidRPr="00EE4D41">
        <w:rPr>
          <w:rFonts w:ascii="Arial" w:hAnsi="Arial" w:cs="Arial"/>
          <w:color w:val="000000"/>
        </w:rPr>
        <w:t xml:space="preserve"> presión, convirtiéndose así en el punto donde se registran la velocidad máxima y la presión mínima, al cual se le conoce también como vena contracta (Figura 2).</w:t>
      </w:r>
    </w:p>
    <w:p w:rsidR="006B5008" w:rsidRPr="00915095" w:rsidRDefault="006B5008" w:rsidP="006B5008">
      <w:pPr>
        <w:pStyle w:val="Textoindependiente"/>
        <w:jc w:val="both"/>
        <w:rPr>
          <w:rFonts w:ascii="Arial" w:hAnsi="Arial" w:cs="Arial"/>
          <w:b w:val="0"/>
          <w:sz w:val="24"/>
        </w:rPr>
      </w:pPr>
    </w:p>
    <w:p w:rsidR="006B5008" w:rsidRPr="00C2255B" w:rsidRDefault="006B5008" w:rsidP="006B5008">
      <w:pPr>
        <w:pStyle w:val="BodyIndent"/>
        <w:rPr>
          <w:rFonts w:ascii="Times New Roman" w:hAnsi="Times New Roman"/>
          <w:lang w:val="es-MX"/>
        </w:rPr>
      </w:pPr>
    </w:p>
    <w:p w:rsidR="006B5008" w:rsidRDefault="006B5008" w:rsidP="006B5008">
      <w:pPr>
        <w:jc w:val="center"/>
      </w:pPr>
      <w:r w:rsidRPr="004065C2">
        <w:rPr>
          <w:noProof/>
          <w:lang w:val="en-US"/>
        </w:rPr>
        <w:drawing>
          <wp:inline distT="0" distB="0" distL="0" distR="0" wp14:anchorId="7AE09C92" wp14:editId="15E3805B">
            <wp:extent cx="3114675" cy="1276350"/>
            <wp:effectExtent l="0" t="0" r="9525" b="0"/>
            <wp:docPr id="2026623719" name="Imagen 202662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3114675" cy="1276350"/>
                    </a:xfrm>
                    <a:prstGeom prst="rect">
                      <a:avLst/>
                    </a:prstGeom>
                    <a:noFill/>
                    <a:ln>
                      <a:noFill/>
                    </a:ln>
                  </pic:spPr>
                </pic:pic>
              </a:graphicData>
            </a:graphic>
          </wp:inline>
        </w:drawing>
      </w:r>
    </w:p>
    <w:p w:rsidR="006B5008" w:rsidRPr="0043213D" w:rsidRDefault="006B5008" w:rsidP="006B5008">
      <w:pPr>
        <w:jc w:val="center"/>
        <w:rPr>
          <w:rFonts w:ascii="Arial" w:hAnsi="Arial" w:cs="Arial"/>
          <w:i/>
          <w:iCs/>
          <w:sz w:val="20"/>
          <w:szCs w:val="20"/>
        </w:rPr>
      </w:pPr>
      <w:r w:rsidRPr="0043213D">
        <w:rPr>
          <w:rFonts w:ascii="Arial" w:hAnsi="Arial" w:cs="Arial"/>
          <w:i/>
          <w:iCs/>
          <w:sz w:val="20"/>
          <w:szCs w:val="20"/>
        </w:rPr>
        <w:t>Figura 2.  Comportamiento del flujo al pasar a través de una placa de orificio</w:t>
      </w:r>
      <w:r>
        <w:rPr>
          <w:rFonts w:ascii="Arial" w:hAnsi="Arial" w:cs="Arial"/>
          <w:i/>
          <w:iCs/>
          <w:sz w:val="20"/>
          <w:szCs w:val="20"/>
        </w:rPr>
        <w:t>.</w:t>
      </w:r>
      <w:r w:rsidRPr="0043213D">
        <w:rPr>
          <w:rFonts w:ascii="Arial" w:hAnsi="Arial" w:cs="Arial"/>
          <w:sz w:val="20"/>
          <w:szCs w:val="20"/>
          <w:vertAlign w:val="superscript"/>
        </w:rPr>
        <w:t>[1]</w:t>
      </w:r>
    </w:p>
    <w:p w:rsidR="006B5008" w:rsidRPr="0043213D" w:rsidRDefault="006B5008" w:rsidP="006B5008">
      <w:pPr>
        <w:pStyle w:val="BodyIndent"/>
        <w:rPr>
          <w:rFonts w:ascii="Times New Roman" w:hAnsi="Times New Roman"/>
          <w:lang w:val="es-ES"/>
        </w:rPr>
      </w:pPr>
    </w:p>
    <w:p w:rsidR="006B5008" w:rsidRPr="00BC5E0A" w:rsidRDefault="006B5008" w:rsidP="006B5008">
      <w:pPr>
        <w:spacing w:line="360" w:lineRule="auto"/>
        <w:jc w:val="both"/>
        <w:rPr>
          <w:rFonts w:ascii="Arial" w:hAnsi="Arial" w:cs="Arial"/>
          <w:i/>
        </w:rPr>
      </w:pPr>
      <w:r w:rsidRPr="00BC5E0A">
        <w:rPr>
          <w:rFonts w:ascii="Arial" w:hAnsi="Arial" w:cs="Arial"/>
          <w:i/>
          <w:color w:val="000000"/>
        </w:rPr>
        <w:t xml:space="preserve">3.1 </w:t>
      </w:r>
      <w:r>
        <w:rPr>
          <w:rFonts w:ascii="Arial" w:hAnsi="Arial" w:cs="Arial"/>
          <w:i/>
          <w:color w:val="000000"/>
        </w:rPr>
        <w:t>Placas de orificio</w:t>
      </w:r>
      <w:r>
        <w:rPr>
          <w:rFonts w:ascii="Arial" w:hAnsi="Arial" w:cs="Arial"/>
          <w:i/>
        </w:rPr>
        <w:t>.</w:t>
      </w:r>
      <w:r w:rsidRPr="00BC5E0A">
        <w:rPr>
          <w:rFonts w:ascii="Arial" w:hAnsi="Arial" w:cs="Arial"/>
          <w:b/>
          <w:i/>
        </w:rPr>
        <w:t xml:space="preserve"> </w:t>
      </w:r>
    </w:p>
    <w:p w:rsidR="006B5008" w:rsidRDefault="006B5008" w:rsidP="006B5008">
      <w:pPr>
        <w:ind w:firstLine="708"/>
        <w:jc w:val="both"/>
        <w:rPr>
          <w:rFonts w:ascii="Arial" w:hAnsi="Arial" w:cs="Arial"/>
        </w:rPr>
      </w:pPr>
      <w:r w:rsidRPr="00191173">
        <w:rPr>
          <w:rFonts w:ascii="Arial" w:hAnsi="Arial" w:cs="Arial"/>
        </w:rPr>
        <w:t>La placa de orificio estándar (Figura 3) es un disco circular con un orificio en el centro y una pestaña que se proyecta hacia un lado</w:t>
      </w:r>
      <w:r w:rsidRPr="00191173">
        <w:rPr>
          <w:rFonts w:ascii="Arial" w:hAnsi="Arial" w:cs="Arial"/>
          <w:vertAlign w:val="superscript"/>
        </w:rPr>
        <w:t>[1]</w:t>
      </w:r>
      <w:r w:rsidRPr="00191173">
        <w:rPr>
          <w:rFonts w:ascii="Arial" w:hAnsi="Arial" w:cs="Arial"/>
        </w:rPr>
        <w:t xml:space="preserve">.  Generalmente se fabrica </w:t>
      </w:r>
      <w:r>
        <w:rPr>
          <w:rFonts w:ascii="Arial" w:hAnsi="Arial" w:cs="Arial"/>
        </w:rPr>
        <w:t xml:space="preserve">con </w:t>
      </w:r>
      <w:r w:rsidRPr="00191173">
        <w:rPr>
          <w:rFonts w:ascii="Arial" w:hAnsi="Arial" w:cs="Arial"/>
        </w:rPr>
        <w:t>acero inoxidable, de 0.12 a 0.5 pulgadas de espesor, dependiendo del tamaño de la tubería y de la velocidad del flujo.</w:t>
      </w:r>
    </w:p>
    <w:p w:rsidR="006B5008" w:rsidRDefault="006B5008" w:rsidP="006B5008">
      <w:pPr>
        <w:jc w:val="center"/>
      </w:pPr>
      <w:r w:rsidRPr="004065C2">
        <w:rPr>
          <w:noProof/>
          <w:lang w:val="en-US"/>
        </w:rPr>
        <w:drawing>
          <wp:inline distT="0" distB="0" distL="0" distR="0" wp14:anchorId="53BFEB83" wp14:editId="04BAF33C">
            <wp:extent cx="1466850" cy="1352550"/>
            <wp:effectExtent l="0" t="0" r="0" b="0"/>
            <wp:docPr id="2026623718" name="Imagen 202662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93" cstate="print">
                      <a:extLst>
                        <a:ext uri="{28A0092B-C50C-407E-A947-70E740481C1C}">
                          <a14:useLocalDpi xmlns:a14="http://schemas.microsoft.com/office/drawing/2010/main" val="0"/>
                        </a:ext>
                      </a:extLst>
                    </a:blip>
                    <a:srcRect l="8417" t="12827" r="11223" b="13026"/>
                    <a:stretch>
                      <a:fillRect/>
                    </a:stretch>
                  </pic:blipFill>
                  <pic:spPr bwMode="auto">
                    <a:xfrm>
                      <a:off x="0" y="0"/>
                      <a:ext cx="1466850" cy="1352550"/>
                    </a:xfrm>
                    <a:prstGeom prst="rect">
                      <a:avLst/>
                    </a:prstGeom>
                    <a:noFill/>
                    <a:ln>
                      <a:noFill/>
                    </a:ln>
                  </pic:spPr>
                </pic:pic>
              </a:graphicData>
            </a:graphic>
          </wp:inline>
        </w:drawing>
      </w:r>
    </w:p>
    <w:p w:rsidR="006B5008" w:rsidRPr="00191173" w:rsidRDefault="006B5008" w:rsidP="006B5008">
      <w:pPr>
        <w:jc w:val="center"/>
        <w:rPr>
          <w:rFonts w:ascii="Arial" w:hAnsi="Arial" w:cs="Arial"/>
          <w:i/>
          <w:iCs/>
          <w:sz w:val="20"/>
          <w:szCs w:val="20"/>
        </w:rPr>
      </w:pPr>
      <w:r w:rsidRPr="00191173">
        <w:rPr>
          <w:rFonts w:ascii="Arial" w:hAnsi="Arial" w:cs="Arial"/>
          <w:i/>
          <w:iCs/>
          <w:sz w:val="20"/>
          <w:szCs w:val="20"/>
        </w:rPr>
        <w:t>Figura 3. Placa de orificio estándar</w:t>
      </w:r>
      <w:r>
        <w:rPr>
          <w:rFonts w:ascii="Arial" w:hAnsi="Arial" w:cs="Arial"/>
          <w:i/>
          <w:iCs/>
          <w:sz w:val="20"/>
          <w:szCs w:val="20"/>
        </w:rPr>
        <w:t>.</w:t>
      </w:r>
      <w:r w:rsidRPr="00191173">
        <w:rPr>
          <w:rFonts w:ascii="Arial" w:hAnsi="Arial" w:cs="Arial"/>
          <w:sz w:val="20"/>
          <w:szCs w:val="20"/>
          <w:vertAlign w:val="superscript"/>
        </w:rPr>
        <w:t>[2]</w:t>
      </w:r>
    </w:p>
    <w:p w:rsidR="006B5008" w:rsidRDefault="006B5008" w:rsidP="006B5008">
      <w:pPr>
        <w:ind w:firstLine="708"/>
        <w:rPr>
          <w:rFonts w:ascii="Arial" w:hAnsi="Arial" w:cs="Arial"/>
        </w:rPr>
      </w:pPr>
    </w:p>
    <w:p w:rsidR="006B5008" w:rsidRDefault="006B5008" w:rsidP="006B5008">
      <w:pPr>
        <w:ind w:firstLine="708"/>
        <w:jc w:val="both"/>
        <w:rPr>
          <w:rFonts w:ascii="Arial" w:hAnsi="Arial" w:cs="Arial"/>
        </w:rPr>
      </w:pPr>
      <w:r w:rsidRPr="00191173">
        <w:rPr>
          <w:rFonts w:ascii="Arial" w:hAnsi="Arial" w:cs="Arial"/>
        </w:rPr>
        <w:t xml:space="preserve">Algunas de las características principales de las placas de orificio incluyen </w:t>
      </w:r>
      <w:r w:rsidRPr="00464038">
        <w:rPr>
          <w:rFonts w:ascii="Arial" w:hAnsi="Arial" w:cs="Arial"/>
        </w:rPr>
        <w:t>las que se describen a continuación</w:t>
      </w:r>
      <w:r>
        <w:rPr>
          <w:rFonts w:ascii="Arial" w:hAnsi="Arial" w:cs="Arial"/>
        </w:rPr>
        <w:t>.</w:t>
      </w:r>
      <w:r w:rsidRPr="00191173">
        <w:rPr>
          <w:rFonts w:ascii="Arial" w:hAnsi="Arial" w:cs="Arial"/>
          <w:vertAlign w:val="superscript"/>
        </w:rPr>
        <w:t>[1],[2]</w:t>
      </w:r>
      <w:r>
        <w:rPr>
          <w:rFonts w:ascii="Arial" w:hAnsi="Arial" w:cs="Arial"/>
        </w:rPr>
        <w:t xml:space="preserve">  </w:t>
      </w:r>
      <w:r w:rsidRPr="00464038">
        <w:rPr>
          <w:rFonts w:ascii="Arial" w:hAnsi="Arial" w:cs="Arial"/>
        </w:rPr>
        <w:t>Poseen capacidad para soportar</w:t>
      </w:r>
      <w:r>
        <w:rPr>
          <w:rFonts w:ascii="Arial" w:hAnsi="Arial" w:cs="Arial"/>
        </w:rPr>
        <w:t xml:space="preserve"> presiones de hasta 40 MPa, </w:t>
      </w:r>
      <w:r w:rsidRPr="00191173">
        <w:rPr>
          <w:rFonts w:ascii="Arial" w:hAnsi="Arial" w:cs="Arial"/>
        </w:rPr>
        <w:t>temperaturas de hasta 800°C</w:t>
      </w:r>
      <w:r>
        <w:rPr>
          <w:rFonts w:ascii="Arial" w:hAnsi="Arial" w:cs="Arial"/>
        </w:rPr>
        <w:t xml:space="preserve"> </w:t>
      </w:r>
      <w:r w:rsidRPr="00464038">
        <w:rPr>
          <w:rFonts w:ascii="Arial" w:hAnsi="Arial" w:cs="Arial"/>
        </w:rPr>
        <w:t>y</w:t>
      </w:r>
      <w:r w:rsidRPr="00191173">
        <w:rPr>
          <w:rFonts w:ascii="Arial" w:hAnsi="Arial" w:cs="Arial"/>
        </w:rPr>
        <w:t xml:space="preserve"> suelen </w:t>
      </w:r>
      <w:r w:rsidRPr="00464038">
        <w:rPr>
          <w:rFonts w:ascii="Arial" w:hAnsi="Arial" w:cs="Arial"/>
        </w:rPr>
        <w:t>utilizarse</w:t>
      </w:r>
      <w:r w:rsidRPr="00191173">
        <w:rPr>
          <w:rFonts w:ascii="Arial" w:hAnsi="Arial" w:cs="Arial"/>
        </w:rPr>
        <w:t xml:space="preserve"> en rangos de 29°C a 121°C.</w:t>
      </w:r>
      <w:r>
        <w:rPr>
          <w:rFonts w:ascii="Arial" w:hAnsi="Arial" w:cs="Arial"/>
        </w:rPr>
        <w:t xml:space="preserve"> </w:t>
      </w:r>
      <w:r w:rsidRPr="00464038">
        <w:rPr>
          <w:rFonts w:ascii="Arial" w:hAnsi="Arial" w:cs="Arial"/>
        </w:rPr>
        <w:t>Estos dispositivos funcionan</w:t>
      </w:r>
      <w:r w:rsidRPr="00191173">
        <w:rPr>
          <w:rFonts w:ascii="Arial" w:hAnsi="Arial" w:cs="Arial"/>
        </w:rPr>
        <w:t xml:space="preserve"> con líquidos, vapores y gases.</w:t>
      </w:r>
    </w:p>
    <w:p w:rsidR="006B5008" w:rsidRPr="00191173" w:rsidRDefault="006B5008" w:rsidP="006B5008">
      <w:pPr>
        <w:ind w:firstLine="708"/>
        <w:jc w:val="both"/>
        <w:rPr>
          <w:rFonts w:ascii="Arial" w:hAnsi="Arial" w:cs="Arial"/>
        </w:rPr>
      </w:pPr>
      <w:r>
        <w:rPr>
          <w:rFonts w:ascii="Arial" w:hAnsi="Arial" w:cs="Arial"/>
        </w:rPr>
        <w:t>Por otra parte</w:t>
      </w:r>
      <w:r w:rsidRPr="00191173">
        <w:rPr>
          <w:rFonts w:ascii="Arial" w:hAnsi="Arial" w:cs="Arial"/>
        </w:rPr>
        <w:t>, existen cuatro tipos de placas de orificio</w:t>
      </w:r>
      <w:r>
        <w:rPr>
          <w:rFonts w:ascii="Arial" w:hAnsi="Arial" w:cs="Arial"/>
        </w:rPr>
        <w:t xml:space="preserve"> </w:t>
      </w:r>
      <w:r w:rsidRPr="00464038">
        <w:rPr>
          <w:rFonts w:ascii="Arial" w:hAnsi="Arial" w:cs="Arial"/>
        </w:rPr>
        <w:t>atendiendo a su diseño mecánico</w:t>
      </w:r>
      <w:r w:rsidRPr="00191173">
        <w:rPr>
          <w:rFonts w:ascii="Arial" w:hAnsi="Arial" w:cs="Arial"/>
          <w:vertAlign w:val="superscript"/>
        </w:rPr>
        <w:t>[2],[3]</w:t>
      </w:r>
      <w:r w:rsidRPr="00191173">
        <w:rPr>
          <w:rFonts w:ascii="Arial" w:hAnsi="Arial" w:cs="Arial"/>
        </w:rPr>
        <w:t>:</w:t>
      </w:r>
    </w:p>
    <w:p w:rsidR="006B5008" w:rsidRPr="00191173" w:rsidRDefault="006B5008" w:rsidP="006B5008">
      <w:pPr>
        <w:ind w:left="993" w:hanging="285"/>
        <w:jc w:val="both"/>
        <w:rPr>
          <w:rFonts w:ascii="Arial" w:hAnsi="Arial" w:cs="Arial"/>
        </w:rPr>
      </w:pPr>
      <w:r w:rsidRPr="00191173">
        <w:rPr>
          <w:rFonts w:ascii="Arial" w:hAnsi="Arial" w:cs="Arial"/>
        </w:rPr>
        <w:t>1. Concéntricas</w:t>
      </w:r>
      <w:r>
        <w:rPr>
          <w:rFonts w:ascii="Arial" w:hAnsi="Arial" w:cs="Arial"/>
        </w:rPr>
        <w:t>.</w:t>
      </w:r>
      <w:r w:rsidRPr="00191173">
        <w:rPr>
          <w:rFonts w:ascii="Arial" w:hAnsi="Arial" w:cs="Arial"/>
        </w:rPr>
        <w:t xml:space="preserve"> Es la forma básica de una placa de orificio, en donde el orificio se encuentra centrado (Figura 4</w:t>
      </w:r>
      <w:r>
        <w:rPr>
          <w:rFonts w:ascii="Arial" w:hAnsi="Arial" w:cs="Arial"/>
        </w:rPr>
        <w:t>a</w:t>
      </w:r>
      <w:r w:rsidRPr="00191173">
        <w:rPr>
          <w:rFonts w:ascii="Arial" w:hAnsi="Arial" w:cs="Arial"/>
        </w:rPr>
        <w:t>). Su uso se recomienda para fluidos limpios y de baja viscosidad.</w:t>
      </w:r>
    </w:p>
    <w:p w:rsidR="006B5008" w:rsidRPr="00191173" w:rsidRDefault="006B5008" w:rsidP="006B5008">
      <w:pPr>
        <w:ind w:left="993" w:hanging="285"/>
        <w:jc w:val="both"/>
        <w:rPr>
          <w:rFonts w:ascii="Arial" w:hAnsi="Arial" w:cs="Arial"/>
        </w:rPr>
      </w:pPr>
      <w:r w:rsidRPr="00191173">
        <w:rPr>
          <w:rFonts w:ascii="Arial" w:hAnsi="Arial" w:cs="Arial"/>
        </w:rPr>
        <w:lastRenderedPageBreak/>
        <w:t>2. Concéntricas cónicas</w:t>
      </w:r>
      <w:r>
        <w:rPr>
          <w:rFonts w:ascii="Arial" w:hAnsi="Arial" w:cs="Arial"/>
        </w:rPr>
        <w:t>.</w:t>
      </w:r>
      <w:r w:rsidRPr="00191173">
        <w:rPr>
          <w:rFonts w:ascii="Arial" w:hAnsi="Arial" w:cs="Arial"/>
        </w:rPr>
        <w:t xml:space="preserve"> Al igual que las concéntricas, el orificio se encuentra en el centro, pero tiene la particularidad de que su diámetro se va reduciendo a medida que el fluido va atravesando el disco. Se recomienda su uso con fluidos que tienden a comportarse de forma turbulenta.</w:t>
      </w:r>
    </w:p>
    <w:p w:rsidR="006B5008" w:rsidRPr="00191173" w:rsidRDefault="006B5008" w:rsidP="006B5008">
      <w:pPr>
        <w:ind w:left="993" w:hanging="285"/>
        <w:jc w:val="both"/>
        <w:rPr>
          <w:rFonts w:ascii="Arial" w:hAnsi="Arial" w:cs="Arial"/>
        </w:rPr>
      </w:pPr>
      <w:r w:rsidRPr="00191173">
        <w:rPr>
          <w:rFonts w:ascii="Arial" w:hAnsi="Arial" w:cs="Arial"/>
        </w:rPr>
        <w:t>3. Excéntricas</w:t>
      </w:r>
      <w:r>
        <w:rPr>
          <w:rFonts w:ascii="Arial" w:hAnsi="Arial" w:cs="Arial"/>
        </w:rPr>
        <w:t>.</w:t>
      </w:r>
      <w:r w:rsidRPr="00191173">
        <w:rPr>
          <w:rFonts w:ascii="Arial" w:hAnsi="Arial" w:cs="Arial"/>
        </w:rPr>
        <w:t xml:space="preserve"> Son aquellas en donde el orificio no se encuentra en el centro del disco, ya sea porque esté elevado levemente o se encuentre levemente debajo del centro (Figuras 4</w:t>
      </w:r>
      <w:r>
        <w:rPr>
          <w:rFonts w:ascii="Arial" w:hAnsi="Arial" w:cs="Arial"/>
        </w:rPr>
        <w:t>b</w:t>
      </w:r>
      <w:r w:rsidRPr="00191173">
        <w:rPr>
          <w:rFonts w:ascii="Arial" w:hAnsi="Arial" w:cs="Arial"/>
        </w:rPr>
        <w:t xml:space="preserve"> y 4</w:t>
      </w:r>
      <w:r>
        <w:rPr>
          <w:rFonts w:ascii="Arial" w:hAnsi="Arial" w:cs="Arial"/>
        </w:rPr>
        <w:t>c</w:t>
      </w:r>
      <w:r w:rsidRPr="00191173">
        <w:rPr>
          <w:rFonts w:ascii="Arial" w:hAnsi="Arial" w:cs="Arial"/>
        </w:rPr>
        <w:t>). Suelen utilizarse en tuberías con diámetro pequeño.</w:t>
      </w:r>
    </w:p>
    <w:p w:rsidR="006B5008" w:rsidRDefault="006B5008" w:rsidP="006B5008">
      <w:pPr>
        <w:ind w:left="993" w:hanging="285"/>
        <w:jc w:val="both"/>
        <w:rPr>
          <w:rFonts w:ascii="Arial" w:hAnsi="Arial" w:cs="Arial"/>
        </w:rPr>
      </w:pPr>
      <w:r w:rsidRPr="00191173">
        <w:rPr>
          <w:rFonts w:ascii="Arial" w:hAnsi="Arial" w:cs="Arial"/>
        </w:rPr>
        <w:t>4. Segmentadas</w:t>
      </w:r>
      <w:r>
        <w:rPr>
          <w:rFonts w:ascii="Arial" w:hAnsi="Arial" w:cs="Arial"/>
        </w:rPr>
        <w:t>.</w:t>
      </w:r>
      <w:r w:rsidRPr="00191173">
        <w:rPr>
          <w:rFonts w:ascii="Arial" w:hAnsi="Arial" w:cs="Arial"/>
        </w:rPr>
        <w:t xml:space="preserve"> En este caso, el orificio no es un círculo, sino que tiene forma de un semicírculo o una “media luna” (Figura 4</w:t>
      </w:r>
      <w:r>
        <w:rPr>
          <w:rFonts w:ascii="Arial" w:hAnsi="Arial" w:cs="Arial"/>
        </w:rPr>
        <w:t>d</w:t>
      </w:r>
      <w:r w:rsidRPr="00191173">
        <w:rPr>
          <w:rFonts w:ascii="Arial" w:hAnsi="Arial" w:cs="Arial"/>
        </w:rPr>
        <w:t>). Por otra parte, pueden ser concéntricas o excéntricas. Se utilizan principalmente para la medición de fluidos que contienen partículas en suspensión.</w:t>
      </w:r>
    </w:p>
    <w:tbl>
      <w:tblPr>
        <w:tblW w:w="0" w:type="auto"/>
        <w:jc w:val="center"/>
        <w:tblLook w:val="04A0" w:firstRow="1" w:lastRow="0" w:firstColumn="1" w:lastColumn="0" w:noHBand="0" w:noVBand="1"/>
      </w:tblPr>
      <w:tblGrid>
        <w:gridCol w:w="1560"/>
        <w:gridCol w:w="1512"/>
        <w:gridCol w:w="1521"/>
        <w:gridCol w:w="1512"/>
      </w:tblGrid>
      <w:tr w:rsidR="006B5008" w:rsidTr="007F2707">
        <w:trPr>
          <w:jc w:val="center"/>
        </w:trPr>
        <w:tc>
          <w:tcPr>
            <w:tcW w:w="1560" w:type="dxa"/>
            <w:shd w:val="clear" w:color="auto" w:fill="auto"/>
          </w:tcPr>
          <w:p w:rsidR="006B5008" w:rsidRDefault="006B5008" w:rsidP="007F2707">
            <w:pPr>
              <w:pStyle w:val="Sinespaciado"/>
              <w:jc w:val="center"/>
            </w:pPr>
            <w:r>
              <w:object w:dxaOrig="1320" w:dyaOrig="1830">
                <v:shape id="_x0000_i1469" type="#_x0000_t75" style="width:64.8pt;height:93.6pt" o:ole="">
                  <v:imagedata r:id="rId1194" o:title=""/>
                </v:shape>
                <o:OLEObject Type="Embed" ProgID="PBrush" ShapeID="_x0000_i1469" DrawAspect="Content" ObjectID="_1660649566" r:id="rId1195"/>
              </w:object>
            </w:r>
          </w:p>
        </w:tc>
        <w:tc>
          <w:tcPr>
            <w:tcW w:w="1491" w:type="dxa"/>
            <w:shd w:val="clear" w:color="auto" w:fill="auto"/>
          </w:tcPr>
          <w:p w:rsidR="006B5008" w:rsidRDefault="006B5008" w:rsidP="007F2707">
            <w:pPr>
              <w:pStyle w:val="Sinespaciado"/>
              <w:jc w:val="center"/>
            </w:pPr>
            <w:r>
              <w:object w:dxaOrig="1275" w:dyaOrig="1860">
                <v:shape id="_x0000_i1470" type="#_x0000_t75" style="width:64.8pt;height:93.6pt" o:ole="">
                  <v:imagedata r:id="rId1196" o:title=""/>
                </v:shape>
                <o:OLEObject Type="Embed" ProgID="PBrush" ShapeID="_x0000_i1470" DrawAspect="Content" ObjectID="_1660649567" r:id="rId1197"/>
              </w:object>
            </w:r>
          </w:p>
        </w:tc>
        <w:tc>
          <w:tcPr>
            <w:tcW w:w="1521" w:type="dxa"/>
            <w:shd w:val="clear" w:color="auto" w:fill="auto"/>
          </w:tcPr>
          <w:p w:rsidR="006B5008" w:rsidRDefault="006B5008" w:rsidP="007F2707">
            <w:pPr>
              <w:pStyle w:val="Sinespaciado"/>
              <w:jc w:val="center"/>
            </w:pPr>
            <w:r>
              <w:object w:dxaOrig="1305" w:dyaOrig="1845">
                <v:shape id="_x0000_i1471" type="#_x0000_t75" style="width:64.8pt;height:93.6pt" o:ole="">
                  <v:imagedata r:id="rId1198" o:title=""/>
                </v:shape>
                <o:OLEObject Type="Embed" ProgID="PBrush" ShapeID="_x0000_i1471" DrawAspect="Content" ObjectID="_1660649568" r:id="rId1199"/>
              </w:object>
            </w:r>
          </w:p>
        </w:tc>
        <w:tc>
          <w:tcPr>
            <w:tcW w:w="1119" w:type="dxa"/>
            <w:shd w:val="clear" w:color="auto" w:fill="auto"/>
          </w:tcPr>
          <w:p w:rsidR="006B5008" w:rsidRDefault="006B5008" w:rsidP="007F2707">
            <w:pPr>
              <w:pStyle w:val="Sinespaciado"/>
              <w:jc w:val="center"/>
            </w:pPr>
            <w:r>
              <w:object w:dxaOrig="1275" w:dyaOrig="1845">
                <v:shape id="_x0000_i1472" type="#_x0000_t75" style="width:64.8pt;height:93.6pt" o:ole="">
                  <v:imagedata r:id="rId1200" o:title=""/>
                </v:shape>
                <o:OLEObject Type="Embed" ProgID="PBrush" ShapeID="_x0000_i1472" DrawAspect="Content" ObjectID="_1660649569" r:id="rId1201"/>
              </w:object>
            </w:r>
          </w:p>
        </w:tc>
      </w:tr>
      <w:tr w:rsidR="006B5008" w:rsidTr="007F2707">
        <w:trPr>
          <w:jc w:val="center"/>
        </w:trPr>
        <w:tc>
          <w:tcPr>
            <w:tcW w:w="1560" w:type="dxa"/>
            <w:shd w:val="clear" w:color="auto" w:fill="auto"/>
          </w:tcPr>
          <w:p w:rsidR="006B5008" w:rsidRDefault="006B5008" w:rsidP="007F2707">
            <w:pPr>
              <w:pStyle w:val="Sinespaciado"/>
              <w:jc w:val="center"/>
            </w:pPr>
            <w:r>
              <w:rPr>
                <w:noProof/>
              </w:rPr>
              <w:t>(a)</w:t>
            </w:r>
          </w:p>
        </w:tc>
        <w:tc>
          <w:tcPr>
            <w:tcW w:w="1491" w:type="dxa"/>
            <w:shd w:val="clear" w:color="auto" w:fill="auto"/>
          </w:tcPr>
          <w:p w:rsidR="006B5008" w:rsidRDefault="006B5008" w:rsidP="007F2707">
            <w:pPr>
              <w:pStyle w:val="Sinespaciado"/>
              <w:jc w:val="center"/>
            </w:pPr>
            <w:r>
              <w:rPr>
                <w:noProof/>
              </w:rPr>
              <w:t>(b)</w:t>
            </w:r>
          </w:p>
        </w:tc>
        <w:tc>
          <w:tcPr>
            <w:tcW w:w="1521" w:type="dxa"/>
            <w:shd w:val="clear" w:color="auto" w:fill="auto"/>
          </w:tcPr>
          <w:p w:rsidR="006B5008" w:rsidRDefault="006B5008" w:rsidP="007F2707">
            <w:pPr>
              <w:pStyle w:val="Sinespaciado"/>
              <w:jc w:val="center"/>
              <w:rPr>
                <w:noProof/>
              </w:rPr>
            </w:pPr>
            <w:r>
              <w:rPr>
                <w:noProof/>
              </w:rPr>
              <w:t>(c)</w:t>
            </w:r>
          </w:p>
        </w:tc>
        <w:tc>
          <w:tcPr>
            <w:tcW w:w="1119" w:type="dxa"/>
            <w:shd w:val="clear" w:color="auto" w:fill="auto"/>
          </w:tcPr>
          <w:p w:rsidR="006B5008" w:rsidRDefault="006B5008" w:rsidP="007F2707">
            <w:pPr>
              <w:pStyle w:val="Sinespaciado"/>
              <w:jc w:val="center"/>
            </w:pPr>
            <w:r>
              <w:rPr>
                <w:noProof/>
              </w:rPr>
              <w:t>(d)</w:t>
            </w:r>
          </w:p>
        </w:tc>
      </w:tr>
    </w:tbl>
    <w:p w:rsidR="006B5008" w:rsidRPr="00B12B44" w:rsidRDefault="006B5008" w:rsidP="006B5008">
      <w:pPr>
        <w:jc w:val="center"/>
        <w:rPr>
          <w:rFonts w:ascii="Arial" w:hAnsi="Arial" w:cs="Arial"/>
          <w:i/>
          <w:iCs/>
          <w:sz w:val="20"/>
          <w:szCs w:val="20"/>
        </w:rPr>
      </w:pPr>
      <w:r w:rsidRPr="00B12B44">
        <w:rPr>
          <w:rFonts w:ascii="Arial" w:hAnsi="Arial" w:cs="Arial"/>
          <w:i/>
          <w:iCs/>
          <w:sz w:val="20"/>
          <w:szCs w:val="20"/>
        </w:rPr>
        <w:t>Figura 4.  Tipos de placas de orificio</w:t>
      </w:r>
      <w:r>
        <w:rPr>
          <w:rFonts w:ascii="Arial" w:hAnsi="Arial" w:cs="Arial"/>
          <w:i/>
          <w:iCs/>
          <w:sz w:val="20"/>
          <w:szCs w:val="20"/>
        </w:rPr>
        <w:t>:  (a) concéntrica, (b) excéntrica hacia arriba, (c) excéntrica hacia abajo, (d) segmentada.</w:t>
      </w:r>
      <w:r w:rsidRPr="00B12B44">
        <w:rPr>
          <w:rFonts w:ascii="Arial" w:hAnsi="Arial" w:cs="Arial"/>
          <w:sz w:val="20"/>
          <w:szCs w:val="20"/>
          <w:vertAlign w:val="superscript"/>
        </w:rPr>
        <w:t>[3]</w:t>
      </w:r>
    </w:p>
    <w:p w:rsidR="006B5008" w:rsidRDefault="006B5008" w:rsidP="006B5008">
      <w:pPr>
        <w:jc w:val="both"/>
        <w:rPr>
          <w:rFonts w:ascii="Arial" w:hAnsi="Arial" w:cs="Arial"/>
          <w:lang w:val="es-MX"/>
        </w:rPr>
      </w:pPr>
    </w:p>
    <w:p w:rsidR="006B5008" w:rsidRPr="00BC5E0A" w:rsidRDefault="006B5008" w:rsidP="006B5008">
      <w:pPr>
        <w:spacing w:line="360" w:lineRule="auto"/>
        <w:jc w:val="both"/>
        <w:rPr>
          <w:rFonts w:ascii="Arial" w:hAnsi="Arial" w:cs="Arial"/>
          <w:i/>
        </w:rPr>
      </w:pPr>
      <w:r w:rsidRPr="00BC5E0A">
        <w:rPr>
          <w:rFonts w:ascii="Arial" w:hAnsi="Arial" w:cs="Arial"/>
          <w:i/>
          <w:color w:val="000000"/>
        </w:rPr>
        <w:t>3.</w:t>
      </w:r>
      <w:r>
        <w:rPr>
          <w:rFonts w:ascii="Arial" w:hAnsi="Arial" w:cs="Arial"/>
          <w:i/>
          <w:color w:val="000000"/>
        </w:rPr>
        <w:t>2</w:t>
      </w:r>
      <w:r w:rsidRPr="00BC5E0A">
        <w:rPr>
          <w:rFonts w:ascii="Arial" w:hAnsi="Arial" w:cs="Arial"/>
          <w:i/>
          <w:color w:val="000000"/>
        </w:rPr>
        <w:t xml:space="preserve"> </w:t>
      </w:r>
      <w:r>
        <w:rPr>
          <w:rFonts w:ascii="Arial" w:hAnsi="Arial" w:cs="Arial"/>
          <w:i/>
          <w:color w:val="000000"/>
        </w:rPr>
        <w:t>Dispositivos para interacción con entornos virtuales</w:t>
      </w:r>
      <w:r>
        <w:rPr>
          <w:rFonts w:ascii="Arial" w:hAnsi="Arial" w:cs="Arial"/>
          <w:i/>
        </w:rPr>
        <w:t>.</w:t>
      </w:r>
      <w:r w:rsidRPr="00BC5E0A">
        <w:rPr>
          <w:rFonts w:ascii="Arial" w:hAnsi="Arial" w:cs="Arial"/>
          <w:b/>
          <w:i/>
        </w:rPr>
        <w:t xml:space="preserve"> </w:t>
      </w:r>
    </w:p>
    <w:p w:rsidR="006B5008" w:rsidRPr="00B12B44" w:rsidRDefault="006B5008" w:rsidP="006B5008">
      <w:pPr>
        <w:ind w:firstLine="708"/>
        <w:jc w:val="both"/>
        <w:rPr>
          <w:rFonts w:ascii="Arial" w:hAnsi="Arial" w:cs="Arial"/>
        </w:rPr>
      </w:pPr>
      <w:r w:rsidRPr="00B12B44">
        <w:rPr>
          <w:rFonts w:ascii="Arial" w:hAnsi="Arial" w:cs="Arial"/>
        </w:rPr>
        <w:t xml:space="preserve">Las aplicaciones de realidad virtual o VR (por sus siglas en inglés) buscan brindar al usuario una sensación de presencia o de estar “dentro” de un entorno virtual, lo cual se alcanza gracias a factores como la inmersión, participación e interacción.  Para ello, la realidad virtual permite al usuario experimentar sensaciones a través de estímulos sensoriales coordinados y simultáneos mediante dispositivos de interacción especiales, tales como:  dispositivos de interacción espacial, dispositivos colocados sobre la cabeza o HMD (por sus siglas en inglés, </w:t>
      </w:r>
      <w:r w:rsidRPr="00464038">
        <w:rPr>
          <w:rFonts w:ascii="Arial" w:hAnsi="Arial" w:cs="Arial"/>
          <w:i/>
          <w:iCs/>
        </w:rPr>
        <w:t>Head Mounted Displays</w:t>
      </w:r>
      <w:r w:rsidRPr="00B12B44">
        <w:rPr>
          <w:rFonts w:ascii="Arial" w:hAnsi="Arial" w:cs="Arial"/>
        </w:rPr>
        <w:t>), dispositivos hápticos, etc.</w:t>
      </w:r>
      <w:r w:rsidRPr="00E82833">
        <w:rPr>
          <w:rFonts w:ascii="Arial" w:hAnsi="Arial" w:cs="Arial"/>
          <w:vertAlign w:val="superscript"/>
        </w:rPr>
        <w:t>[4]</w:t>
      </w:r>
    </w:p>
    <w:p w:rsidR="006B5008" w:rsidRPr="00B12B44" w:rsidRDefault="006B5008" w:rsidP="006B5008">
      <w:pPr>
        <w:ind w:firstLine="708"/>
        <w:jc w:val="both"/>
        <w:rPr>
          <w:rFonts w:ascii="Arial" w:hAnsi="Arial" w:cs="Arial"/>
        </w:rPr>
      </w:pPr>
      <w:r w:rsidRPr="00B12B44">
        <w:rPr>
          <w:rFonts w:ascii="Arial" w:hAnsi="Arial" w:cs="Arial"/>
        </w:rPr>
        <w:t>Un HMD modifica la información visual hacia los ojos del usuario, reemplazándola con una perspectiva global del entorno virtual. Esto se logra montando una o dos pantallas muy cerca y frente a los ojos del usuario, con un sistema de lentes para permitir un enfoque más natural. De este modo, cualquier parte de una pantalla es únicamente visible en un ojo, volviendo al sistema autoestereoscópico.</w:t>
      </w:r>
      <w:r w:rsidRPr="00E82833">
        <w:rPr>
          <w:rFonts w:ascii="Arial" w:hAnsi="Arial" w:cs="Arial"/>
          <w:vertAlign w:val="superscript"/>
        </w:rPr>
        <w:t>[5]</w:t>
      </w:r>
    </w:p>
    <w:p w:rsidR="006B5008" w:rsidRPr="00B12B44" w:rsidRDefault="006B5008" w:rsidP="006B5008">
      <w:pPr>
        <w:ind w:firstLine="708"/>
        <w:jc w:val="both"/>
        <w:rPr>
          <w:rFonts w:ascii="Arial" w:hAnsi="Arial" w:cs="Arial"/>
        </w:rPr>
      </w:pPr>
      <w:r w:rsidRPr="00B12B44">
        <w:rPr>
          <w:rFonts w:ascii="Arial" w:hAnsi="Arial" w:cs="Arial"/>
        </w:rPr>
        <w:t>Para este trabajo se seleccionó como HMD un</w:t>
      </w:r>
      <w:r>
        <w:rPr>
          <w:rFonts w:ascii="Arial" w:hAnsi="Arial" w:cs="Arial"/>
        </w:rPr>
        <w:t xml:space="preserve"> dispositivo</w:t>
      </w:r>
      <w:r w:rsidRPr="00B12B44">
        <w:rPr>
          <w:rFonts w:ascii="Arial" w:hAnsi="Arial" w:cs="Arial"/>
        </w:rPr>
        <w:t xml:space="preserve"> Oculus Go</w:t>
      </w:r>
      <w:r w:rsidRPr="00E82833">
        <w:rPr>
          <w:rFonts w:ascii="Arial" w:hAnsi="Arial" w:cs="Arial"/>
          <w:vertAlign w:val="superscript"/>
        </w:rPr>
        <w:t>[6]</w:t>
      </w:r>
      <w:r w:rsidRPr="00B12B44">
        <w:rPr>
          <w:rFonts w:ascii="Arial" w:hAnsi="Arial" w:cs="Arial"/>
        </w:rPr>
        <w:t xml:space="preserve"> (Figura 5), dadas sus características y ventajas, entre las que destacan el ser un visor de realidad virtual portátil, </w:t>
      </w:r>
      <w:r>
        <w:rPr>
          <w:rFonts w:ascii="Arial" w:hAnsi="Arial" w:cs="Arial"/>
        </w:rPr>
        <w:t xml:space="preserve">por lo </w:t>
      </w:r>
      <w:r w:rsidRPr="00B12B44">
        <w:rPr>
          <w:rFonts w:ascii="Arial" w:hAnsi="Arial" w:cs="Arial"/>
        </w:rPr>
        <w:t xml:space="preserve">que no requiere adicionalmente de una computadora ni </w:t>
      </w:r>
      <w:r>
        <w:rPr>
          <w:rFonts w:ascii="Arial" w:hAnsi="Arial" w:cs="Arial"/>
        </w:rPr>
        <w:t xml:space="preserve">de </w:t>
      </w:r>
      <w:r w:rsidRPr="00B12B44">
        <w:rPr>
          <w:rFonts w:ascii="Arial" w:hAnsi="Arial" w:cs="Arial"/>
        </w:rPr>
        <w:t xml:space="preserve">cables de conexión para su funcionamiento.  La experiencia del usuario se complementó incorporando un controlador con un panel táctil que le </w:t>
      </w:r>
      <w:r w:rsidRPr="00B12B44">
        <w:rPr>
          <w:rFonts w:ascii="Arial" w:hAnsi="Arial" w:cs="Arial"/>
        </w:rPr>
        <w:lastRenderedPageBreak/>
        <w:t>permite al usuario interactuar con el sistema y alternar el modo de funcionamiento del programa entre dos estados posibles:  desplazamiento</w:t>
      </w:r>
      <w:r>
        <w:rPr>
          <w:rFonts w:ascii="Arial" w:hAnsi="Arial" w:cs="Arial"/>
        </w:rPr>
        <w:t xml:space="preserve"> (a través del entorno)</w:t>
      </w:r>
      <w:r w:rsidRPr="00B12B44">
        <w:rPr>
          <w:rFonts w:ascii="Arial" w:hAnsi="Arial" w:cs="Arial"/>
        </w:rPr>
        <w:t xml:space="preserve"> y construcción</w:t>
      </w:r>
      <w:r>
        <w:rPr>
          <w:rFonts w:ascii="Arial" w:hAnsi="Arial" w:cs="Arial"/>
        </w:rPr>
        <w:t xml:space="preserve"> (de tuberías)</w:t>
      </w:r>
      <w:r w:rsidRPr="00B12B44">
        <w:rPr>
          <w:rFonts w:ascii="Arial" w:hAnsi="Arial" w:cs="Arial"/>
        </w:rPr>
        <w:t>.  El modo de desplazamiento o modo libre permite al usuario moverse dentro del entorno virtual, mientras que el modo de construcción le permite crear o modificar sistemas hidráulicos.</w:t>
      </w:r>
    </w:p>
    <w:p w:rsidR="006B5008" w:rsidRPr="00B12B44" w:rsidRDefault="006B5008" w:rsidP="006B5008">
      <w:pPr>
        <w:ind w:firstLine="708"/>
        <w:jc w:val="both"/>
        <w:rPr>
          <w:rFonts w:ascii="Arial" w:hAnsi="Arial" w:cs="Arial"/>
        </w:rPr>
      </w:pPr>
    </w:p>
    <w:tbl>
      <w:tblPr>
        <w:tblW w:w="0" w:type="auto"/>
        <w:jc w:val="center"/>
        <w:tblLook w:val="04A0" w:firstRow="1" w:lastRow="0" w:firstColumn="1" w:lastColumn="0" w:noHBand="0" w:noVBand="1"/>
      </w:tblPr>
      <w:tblGrid>
        <w:gridCol w:w="4446"/>
        <w:gridCol w:w="4382"/>
      </w:tblGrid>
      <w:tr w:rsidR="006B5008" w:rsidTr="007F2707">
        <w:trPr>
          <w:jc w:val="center"/>
        </w:trPr>
        <w:tc>
          <w:tcPr>
            <w:tcW w:w="4446" w:type="dxa"/>
            <w:shd w:val="clear" w:color="auto" w:fill="auto"/>
            <w:vAlign w:val="center"/>
          </w:tcPr>
          <w:p w:rsidR="006B5008" w:rsidRDefault="006B5008" w:rsidP="007F2707">
            <w:pPr>
              <w:pStyle w:val="Sinespaciado"/>
              <w:jc w:val="center"/>
            </w:pPr>
            <w:r w:rsidRPr="004065C2">
              <w:rPr>
                <w:noProof/>
                <w:lang w:val="en-US"/>
              </w:rPr>
              <w:drawing>
                <wp:inline distT="0" distB="0" distL="0" distR="0" wp14:anchorId="1311F4D4" wp14:editId="32EA2D0D">
                  <wp:extent cx="2676525" cy="1409700"/>
                  <wp:effectExtent l="0" t="0" r="9525" b="0"/>
                  <wp:docPr id="2026623717" name="Imagen 202662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202" cstate="print">
                            <a:lum contrast="20000"/>
                            <a:extLst>
                              <a:ext uri="{28A0092B-C50C-407E-A947-70E740481C1C}">
                                <a14:useLocalDpi xmlns:a14="http://schemas.microsoft.com/office/drawing/2010/main" val="0"/>
                              </a:ext>
                            </a:extLst>
                          </a:blip>
                          <a:srcRect l="2652" t="20265" r="3377" b="29066"/>
                          <a:stretch>
                            <a:fillRect/>
                          </a:stretch>
                        </pic:blipFill>
                        <pic:spPr bwMode="auto">
                          <a:xfrm>
                            <a:off x="0" y="0"/>
                            <a:ext cx="2676525" cy="1409700"/>
                          </a:xfrm>
                          <a:prstGeom prst="rect">
                            <a:avLst/>
                          </a:prstGeom>
                          <a:noFill/>
                          <a:ln>
                            <a:noFill/>
                          </a:ln>
                        </pic:spPr>
                      </pic:pic>
                    </a:graphicData>
                  </a:graphic>
                </wp:inline>
              </w:drawing>
            </w:r>
          </w:p>
        </w:tc>
        <w:tc>
          <w:tcPr>
            <w:tcW w:w="4382" w:type="dxa"/>
            <w:shd w:val="clear" w:color="auto" w:fill="auto"/>
          </w:tcPr>
          <w:p w:rsidR="006B5008" w:rsidRDefault="006B5008" w:rsidP="007F2707">
            <w:pPr>
              <w:pStyle w:val="Sinespaciado"/>
              <w:jc w:val="center"/>
            </w:pPr>
            <w:r>
              <w:rPr>
                <w:noProof/>
                <w:lang w:val="en-US"/>
              </w:rPr>
              <mc:AlternateContent>
                <mc:Choice Requires="wps">
                  <w:drawing>
                    <wp:anchor distT="0" distB="0" distL="114300" distR="114300" simplePos="0" relativeHeight="251823104" behindDoc="0" locked="0" layoutInCell="1" allowOverlap="1" wp14:anchorId="5CCF22DD" wp14:editId="11795BA5">
                      <wp:simplePos x="0" y="0"/>
                      <wp:positionH relativeFrom="column">
                        <wp:posOffset>1406525</wp:posOffset>
                      </wp:positionH>
                      <wp:positionV relativeFrom="paragraph">
                        <wp:posOffset>185420</wp:posOffset>
                      </wp:positionV>
                      <wp:extent cx="371475" cy="838200"/>
                      <wp:effectExtent l="9525" t="9525" r="9525" b="9525"/>
                      <wp:wrapNone/>
                      <wp:docPr id="2026623729" name="Rectángulo 20266237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83820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14300A" id="Rectángulo 2026623729" o:spid="_x0000_s1026" style="position:absolute;margin-left:110.75pt;margin-top:14.6pt;width:29.25pt;height:6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agaLAIAAE8EAAAOAAAAZHJzL2Uyb0RvYy54bWysVF1u1DAQfkfiDpbf2WzS/WvUbFW1FCEV&#10;qCgcwOs4iYXjMWPvZsttOAsXY+xsly28IEQeLI/H/uabb2ZycbnvDdsp9BpsxfPJlDNlJdTathX/&#10;/On21YozH4SthQGrKv6oPL9cv3xxMbhSFdCBqRUyArG+HFzFuxBcmWVedqoXfgJOWXI2gL0IZGKb&#10;1SgGQu9NVkyni2wArB2CVN7T6c3o5OuE3zRKhg9N41VgpuLELaQV07qJa7a+EGWLwnVaHmiIf2DR&#10;C20p6BHqRgTBtqj/gOq1RPDQhImEPoOm0VKlHCibfPpbNg+dcCrlQuJ4d5TJ/z9Y+X53j0zXFS+m&#10;xWJRnC2Lc86s6KlWH0m9H99tuzXATrwk2eB8SS8f3D3GpL27A/nFMwvXnbCtukKEoVOiJqJ5lDh7&#10;9iAanp6yzfAOagoktgGSevsG+whIurB9KtLjsUhqH5ikw7NlPlvOOZPkWp2tqAlSBFE+PXbowxsF&#10;PYubiiNlkcDF7s6HSEaUT1cSeTC6vtXGJAPbzbVBthOxX9J3QPen14xlQ8XP58U8IT/z+b+D6HWg&#10;xje6pyyOcUQZVXtt69SWQWgz7omysQcZo3JjBTZQP5KKCGNX0xTSpgP8xtlAHV1x/3UrUHFm3lqq&#10;xHk+m8URSMZsvizIwFPP5tQjrCSoigfOxu11GMdm61C3HUXKU+4Wrqh6jU7KxsqOrA5kqWuT4IcJ&#10;i2Nxaqdbv/4D658AAAD//wMAUEsDBBQABgAIAAAAIQADcnp13gAAAAoBAAAPAAAAZHJzL2Rvd25y&#10;ZXYueG1sTI/BTsMwDIbvSHuHyJO4IJY2EtMoTSeGtMsuiG4P4DVZW5E4VZOthafHnOBmy59+f3+5&#10;nb0TNzvGPpCGfJWBsNQE01Or4XTcP25AxIRk0AWyGr5shG21uCuxMGGiD3urUys4hGKBGrqUhkLK&#10;2HTWY1yFwRLfLmH0mHgdW2lGnDjcO6mybC099sQfOhzsW2ebz/rqNeymqb+8f9f0cGh380Hh/ojJ&#10;aX2/nF9fQCQ7pz8YfvVZHSp2OocrmSicBqXyJ0Z5eFYgGFCbjMudmVznCmRVyv8Vqh8AAAD//wMA&#10;UEsBAi0AFAAGAAgAAAAhALaDOJL+AAAA4QEAABMAAAAAAAAAAAAAAAAAAAAAAFtDb250ZW50X1R5&#10;cGVzXS54bWxQSwECLQAUAAYACAAAACEAOP0h/9YAAACUAQAACwAAAAAAAAAAAAAAAAAvAQAAX3Jl&#10;bHMvLnJlbHNQSwECLQAUAAYACAAAACEA96WoGiwCAABPBAAADgAAAAAAAAAAAAAAAAAuAgAAZHJz&#10;L2Uyb0RvYy54bWxQSwECLQAUAAYACAAAACEAA3J6dd4AAAAKAQAADwAAAAAAAAAAAAAAAACGBAAA&#10;ZHJzL2Rvd25yZXYueG1sUEsFBgAAAAAEAAQA8wAAAJEFAAAAAA==&#10;" fillcolor="black"/>
                  </w:pict>
                </mc:Fallback>
              </mc:AlternateContent>
            </w:r>
            <w:r>
              <w:rPr>
                <w:noProof/>
                <w:lang w:val="en-US"/>
              </w:rPr>
              <mc:AlternateContent>
                <mc:Choice Requires="wps">
                  <w:drawing>
                    <wp:anchor distT="0" distB="0" distL="114300" distR="114300" simplePos="0" relativeHeight="251822080" behindDoc="0" locked="0" layoutInCell="1" allowOverlap="1" wp14:anchorId="77BD76DF" wp14:editId="3A86301D">
                      <wp:simplePos x="0" y="0"/>
                      <wp:positionH relativeFrom="column">
                        <wp:posOffset>911225</wp:posOffset>
                      </wp:positionH>
                      <wp:positionV relativeFrom="paragraph">
                        <wp:posOffset>871220</wp:posOffset>
                      </wp:positionV>
                      <wp:extent cx="733425" cy="352425"/>
                      <wp:effectExtent l="9525" t="9525" r="9525" b="9525"/>
                      <wp:wrapNone/>
                      <wp:docPr id="2026623728" name="Rectángulo 2026623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35242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889CC6" id="Rectángulo 2026623728" o:spid="_x0000_s1026" style="position:absolute;margin-left:71.75pt;margin-top:68.6pt;width:57.75pt;height:27.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woOJgIAAE8EAAAOAAAAZHJzL2Uyb0RvYy54bWysVF1u2zAMfh+wOwh6X5w4f61RpyjSdRjQ&#10;bcW6HUCRZVuYLGqUEie7Tc+yi42S0yzb3orlQSBN6SP5fWSurvedYTuFXoMt+WQ05kxZCZW2Tcm/&#10;frl7c8GZD8JWwoBVJT8oz69Xr19d9a5QObRgKoWMQKwvelfyNgRXZJmXreqEH4FTloI1YCcCudhk&#10;FYqe0DuT5ePxIusBK4cglff09XYI8lXCr2slw6e69iowU3KqLaQT07mJZ7a6EkWDwrVaHssQL6ii&#10;E9pS0hPUrQiCbVH/A9VpieChDiMJXQZ1raVKPVA3k/Ff3Ty2wqnUC5Hj3Ykm//9g5cfdAzJdlTwf&#10;54tFPl3mpJgVHWn1mdj7+WSbrQF2FiXKeucLevnoHjA27d09yG+eWVi3wjbqBhH6VomKCp1EirM/&#10;HkTH01O26T9ARYnENkBib19jFwGJF7ZPIh1OIql9YJI+LqfTWT7nTFJoOs+jHTOI4vmxQx/eKehY&#10;NEqO1EUCF7t7H4arz1dS8WB0daeNSQ42m7VBthNxXtLviO7PrxnL+pJfzin3SyE6HWjwje5KfnHK&#10;I4rI2ltbUZmiCEKbwabujD3SGJkbFNhAdSAWEYappi0kowX8wVlPE11y/30rUHFm3ltS4nIym8UV&#10;SM5svszJwfPI5jwirCSokgfOBnMdhrXZOtRNS5kmqXcLN6RerROzUdmhqmOxNLVJm+OGxbU499Ot&#10;3/8Dq18AAAD//wMAUEsDBBQABgAIAAAAIQCRmlWw3wAAAAsBAAAPAAAAZHJzL2Rvd25yZXYueG1s&#10;TI/BTsMwEETvSPyDtUhcEHVwKaUhTkWReumlIuUDtrGbRNjrKHabwNeznOC2szuafVOsJ+/ExQ6x&#10;C6ThYZaBsFQH01Gj4eOwvX8GEROSQRfIaviyEdbl9VWBuQkjvdtLlRrBIRRz1NCm1OdSxrq1HuMs&#10;9Jb4dgqDx8RyaKQZcORw76TKsifpsSP+0GJv31pbf1Znr2Ezjt1p/13R3a7ZTDuF2wMmp/XtzfT6&#10;AiLZKf2Z4Ref0aFkpmM4k4nCsX6cL9jKw3ypQLBDLVbc7siblVqCLAv5v0P5AwAA//8DAFBLAQIt&#10;ABQABgAIAAAAIQC2gziS/gAAAOEBAAATAAAAAAAAAAAAAAAAAAAAAABbQ29udGVudF9UeXBlc10u&#10;eG1sUEsBAi0AFAAGAAgAAAAhADj9If/WAAAAlAEAAAsAAAAAAAAAAAAAAAAALwEAAF9yZWxzLy5y&#10;ZWxzUEsBAi0AFAAGAAgAAAAhAPaLCg4mAgAATwQAAA4AAAAAAAAAAAAAAAAALgIAAGRycy9lMm9E&#10;b2MueG1sUEsBAi0AFAAGAAgAAAAhAJGaVbDfAAAACwEAAA8AAAAAAAAAAAAAAAAAgAQAAGRycy9k&#10;b3ducmV2LnhtbFBLBQYAAAAABAAEAPMAAACMBQAAAAA=&#10;" fillcolor="black"/>
                  </w:pict>
                </mc:Fallback>
              </mc:AlternateContent>
            </w:r>
            <w:r w:rsidRPr="004065C2">
              <w:rPr>
                <w:noProof/>
                <w:lang w:val="en-US"/>
              </w:rPr>
              <w:drawing>
                <wp:inline distT="0" distB="0" distL="0" distR="0" wp14:anchorId="48F09FFA" wp14:editId="523612AF">
                  <wp:extent cx="2552700" cy="3400425"/>
                  <wp:effectExtent l="0" t="0" r="0" b="9525"/>
                  <wp:docPr id="2026623716" name="Imagen 202662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203" cstate="print">
                            <a:extLst>
                              <a:ext uri="{28A0092B-C50C-407E-A947-70E740481C1C}">
                                <a14:useLocalDpi xmlns:a14="http://schemas.microsoft.com/office/drawing/2010/main" val="0"/>
                              </a:ext>
                            </a:extLst>
                          </a:blip>
                          <a:srcRect/>
                          <a:stretch>
                            <a:fillRect/>
                          </a:stretch>
                        </pic:blipFill>
                        <pic:spPr bwMode="auto">
                          <a:xfrm>
                            <a:off x="0" y="0"/>
                            <a:ext cx="2552700" cy="3400425"/>
                          </a:xfrm>
                          <a:prstGeom prst="rect">
                            <a:avLst/>
                          </a:prstGeom>
                          <a:noFill/>
                          <a:ln>
                            <a:noFill/>
                          </a:ln>
                        </pic:spPr>
                      </pic:pic>
                    </a:graphicData>
                  </a:graphic>
                </wp:inline>
              </w:drawing>
            </w:r>
          </w:p>
        </w:tc>
      </w:tr>
      <w:tr w:rsidR="006B5008" w:rsidTr="007F2707">
        <w:trPr>
          <w:jc w:val="center"/>
        </w:trPr>
        <w:tc>
          <w:tcPr>
            <w:tcW w:w="4446" w:type="dxa"/>
            <w:shd w:val="clear" w:color="auto" w:fill="auto"/>
            <w:vAlign w:val="center"/>
          </w:tcPr>
          <w:p w:rsidR="006B5008" w:rsidRPr="004065C2" w:rsidRDefault="006B5008" w:rsidP="007F2707">
            <w:pPr>
              <w:pStyle w:val="Sinespaciado"/>
              <w:jc w:val="center"/>
              <w:rPr>
                <w:noProof/>
              </w:rPr>
            </w:pPr>
            <w:r>
              <w:rPr>
                <w:noProof/>
              </w:rPr>
              <w:t>(a)</w:t>
            </w:r>
          </w:p>
        </w:tc>
        <w:tc>
          <w:tcPr>
            <w:tcW w:w="4382" w:type="dxa"/>
            <w:shd w:val="clear" w:color="auto" w:fill="auto"/>
          </w:tcPr>
          <w:p w:rsidR="006B5008" w:rsidRPr="004065C2" w:rsidRDefault="006B5008" w:rsidP="007F2707">
            <w:pPr>
              <w:pStyle w:val="Sinespaciado"/>
              <w:jc w:val="center"/>
              <w:rPr>
                <w:noProof/>
              </w:rPr>
            </w:pPr>
            <w:r>
              <w:rPr>
                <w:noProof/>
              </w:rPr>
              <w:t>(b)</w:t>
            </w:r>
          </w:p>
        </w:tc>
      </w:tr>
    </w:tbl>
    <w:p w:rsidR="006B5008" w:rsidRPr="00B12B44" w:rsidRDefault="006B5008" w:rsidP="006B5008">
      <w:pPr>
        <w:jc w:val="center"/>
        <w:rPr>
          <w:rFonts w:ascii="Arial" w:hAnsi="Arial" w:cs="Arial"/>
          <w:i/>
          <w:iCs/>
          <w:sz w:val="20"/>
          <w:szCs w:val="20"/>
        </w:rPr>
      </w:pPr>
      <w:r w:rsidRPr="00B12B44">
        <w:rPr>
          <w:rFonts w:ascii="Arial" w:hAnsi="Arial" w:cs="Arial"/>
          <w:i/>
          <w:iCs/>
          <w:sz w:val="20"/>
          <w:szCs w:val="20"/>
        </w:rPr>
        <w:t xml:space="preserve">Figura 5.  Visor de realidad virtual y controlador de panel táctil </w:t>
      </w:r>
      <w:r>
        <w:rPr>
          <w:rFonts w:ascii="Arial" w:hAnsi="Arial" w:cs="Arial"/>
          <w:i/>
          <w:iCs/>
          <w:sz w:val="20"/>
          <w:szCs w:val="20"/>
        </w:rPr>
        <w:t>utiliz</w:t>
      </w:r>
      <w:r w:rsidRPr="00B12B44">
        <w:rPr>
          <w:rFonts w:ascii="Arial" w:hAnsi="Arial" w:cs="Arial"/>
          <w:i/>
          <w:iCs/>
          <w:sz w:val="20"/>
          <w:szCs w:val="20"/>
        </w:rPr>
        <w:t>ados</w:t>
      </w:r>
      <w:r>
        <w:rPr>
          <w:rFonts w:ascii="Arial" w:hAnsi="Arial" w:cs="Arial"/>
          <w:i/>
          <w:iCs/>
          <w:sz w:val="20"/>
          <w:szCs w:val="20"/>
        </w:rPr>
        <w:t>: (a) sueltos, (b) en uso</w:t>
      </w:r>
      <w:r w:rsidRPr="00B12B44">
        <w:rPr>
          <w:rFonts w:ascii="Arial" w:hAnsi="Arial" w:cs="Arial"/>
          <w:i/>
          <w:iCs/>
          <w:sz w:val="20"/>
          <w:szCs w:val="20"/>
        </w:rPr>
        <w:t>.</w:t>
      </w:r>
    </w:p>
    <w:p w:rsidR="006B5008" w:rsidRDefault="006B5008" w:rsidP="006B5008">
      <w:pPr>
        <w:ind w:firstLine="708"/>
        <w:jc w:val="both"/>
        <w:rPr>
          <w:rFonts w:ascii="Arial" w:hAnsi="Arial" w:cs="Arial"/>
        </w:rPr>
      </w:pPr>
    </w:p>
    <w:p w:rsidR="006B5008" w:rsidRDefault="006B5008" w:rsidP="006B5008">
      <w:pPr>
        <w:ind w:firstLine="708"/>
        <w:jc w:val="both"/>
        <w:rPr>
          <w:rFonts w:ascii="Arial" w:hAnsi="Arial" w:cs="Arial"/>
        </w:rPr>
      </w:pPr>
    </w:p>
    <w:p w:rsidR="006B5008" w:rsidRPr="00BC5E0A" w:rsidRDefault="006B5008" w:rsidP="006B5008">
      <w:pPr>
        <w:spacing w:line="360" w:lineRule="auto"/>
        <w:jc w:val="both"/>
        <w:rPr>
          <w:rFonts w:ascii="Arial" w:hAnsi="Arial" w:cs="Arial"/>
          <w:i/>
        </w:rPr>
      </w:pPr>
      <w:r w:rsidRPr="00BC5E0A">
        <w:rPr>
          <w:rFonts w:ascii="Arial" w:hAnsi="Arial" w:cs="Arial"/>
          <w:i/>
          <w:color w:val="000000"/>
        </w:rPr>
        <w:t>3.</w:t>
      </w:r>
      <w:r>
        <w:rPr>
          <w:rFonts w:ascii="Arial" w:hAnsi="Arial" w:cs="Arial"/>
          <w:i/>
          <w:color w:val="000000"/>
        </w:rPr>
        <w:t>3</w:t>
      </w:r>
      <w:r w:rsidRPr="00BC5E0A">
        <w:rPr>
          <w:rFonts w:ascii="Arial" w:hAnsi="Arial" w:cs="Arial"/>
          <w:i/>
          <w:color w:val="000000"/>
        </w:rPr>
        <w:t xml:space="preserve"> </w:t>
      </w:r>
      <w:r>
        <w:rPr>
          <w:rFonts w:ascii="Arial" w:hAnsi="Arial" w:cs="Arial"/>
          <w:i/>
          <w:color w:val="000000"/>
        </w:rPr>
        <w:t>Desarrollo de Caudalis</w:t>
      </w:r>
      <w:r>
        <w:rPr>
          <w:rFonts w:ascii="Arial" w:hAnsi="Arial" w:cs="Arial"/>
          <w:i/>
        </w:rPr>
        <w:t>.</w:t>
      </w:r>
      <w:r w:rsidRPr="00BC5E0A">
        <w:rPr>
          <w:rFonts w:ascii="Arial" w:hAnsi="Arial" w:cs="Arial"/>
          <w:b/>
          <w:i/>
        </w:rPr>
        <w:t xml:space="preserve"> </w:t>
      </w:r>
    </w:p>
    <w:p w:rsidR="006B5008" w:rsidRDefault="006B5008" w:rsidP="006B5008">
      <w:pPr>
        <w:ind w:firstLine="708"/>
        <w:jc w:val="both"/>
        <w:rPr>
          <w:rFonts w:ascii="Arial" w:hAnsi="Arial" w:cs="Arial"/>
        </w:rPr>
      </w:pPr>
    </w:p>
    <w:p w:rsidR="006B5008" w:rsidRDefault="006B5008" w:rsidP="006B5008">
      <w:pPr>
        <w:ind w:firstLine="708"/>
        <w:jc w:val="both"/>
        <w:rPr>
          <w:rFonts w:ascii="Arial" w:hAnsi="Arial" w:cs="Arial"/>
        </w:rPr>
      </w:pPr>
      <w:r>
        <w:rPr>
          <w:rFonts w:ascii="Arial" w:hAnsi="Arial" w:cs="Arial"/>
        </w:rPr>
        <w:t>El desarrollo de este s</w:t>
      </w:r>
      <w:r w:rsidRPr="00E82833">
        <w:rPr>
          <w:rFonts w:ascii="Arial" w:hAnsi="Arial" w:cs="Arial"/>
        </w:rPr>
        <w:t xml:space="preserve">oftware </w:t>
      </w:r>
      <w:r>
        <w:rPr>
          <w:rFonts w:ascii="Arial" w:hAnsi="Arial" w:cs="Arial"/>
        </w:rPr>
        <w:t>educativo, nombrado Caudalis, requirió e</w:t>
      </w:r>
      <w:r w:rsidRPr="00B12B44">
        <w:rPr>
          <w:rFonts w:ascii="Arial" w:hAnsi="Arial" w:cs="Arial"/>
        </w:rPr>
        <w:t>l modelado de objetos virtuales</w:t>
      </w:r>
      <w:r>
        <w:rPr>
          <w:rFonts w:ascii="Arial" w:hAnsi="Arial" w:cs="Arial"/>
        </w:rPr>
        <w:t>.  Este modelado, dependiendo de cada aplicación, puede involucrar</w:t>
      </w:r>
      <w:r w:rsidRPr="00B12B44">
        <w:rPr>
          <w:rFonts w:ascii="Arial" w:hAnsi="Arial" w:cs="Arial"/>
        </w:rPr>
        <w:t xml:space="preserve"> </w:t>
      </w:r>
      <w:r>
        <w:rPr>
          <w:rFonts w:ascii="Arial" w:hAnsi="Arial" w:cs="Arial"/>
        </w:rPr>
        <w:t>diversas</w:t>
      </w:r>
      <w:r w:rsidRPr="00B12B44">
        <w:rPr>
          <w:rFonts w:ascii="Arial" w:hAnsi="Arial" w:cs="Arial"/>
        </w:rPr>
        <w:t xml:space="preserve"> etapas tales como:  esculpir, animar, iluminar, pintar y agregar efectos visuales.  En este caso, las herramientas empleadas </w:t>
      </w:r>
      <w:r>
        <w:rPr>
          <w:rFonts w:ascii="Arial" w:hAnsi="Arial" w:cs="Arial"/>
        </w:rPr>
        <w:t xml:space="preserve">para el desarrollo de Caudalis </w:t>
      </w:r>
      <w:r w:rsidRPr="00B12B44">
        <w:rPr>
          <w:rFonts w:ascii="Arial" w:hAnsi="Arial" w:cs="Arial"/>
        </w:rPr>
        <w:t>fueron las correspondientes a la actividad de esculpir objetos virtuales.</w:t>
      </w:r>
    </w:p>
    <w:p w:rsidR="006B5008" w:rsidRDefault="006B5008" w:rsidP="006B5008">
      <w:pPr>
        <w:ind w:firstLine="708"/>
        <w:jc w:val="both"/>
        <w:rPr>
          <w:rFonts w:ascii="Arial" w:hAnsi="Arial" w:cs="Arial"/>
          <w:vertAlign w:val="superscript"/>
        </w:rPr>
      </w:pPr>
      <w:r w:rsidRPr="00E82833">
        <w:rPr>
          <w:rFonts w:ascii="Arial" w:hAnsi="Arial" w:cs="Arial"/>
        </w:rPr>
        <w:t xml:space="preserve">El entorno virtual es el lugar donde el usuario va a ser capaz de moverse y de construir los sistemas hidráulicos que desee.  Para desarrollar el entorno virtual se utilizó </w:t>
      </w:r>
      <w:r w:rsidRPr="00D31563">
        <w:rPr>
          <w:rFonts w:ascii="Arial" w:hAnsi="Arial" w:cs="Arial"/>
          <w:i/>
          <w:iCs/>
        </w:rPr>
        <w:t>Unreal Engine 4</w:t>
      </w:r>
      <w:r w:rsidRPr="00E82833">
        <w:rPr>
          <w:rFonts w:ascii="Arial" w:hAnsi="Arial" w:cs="Arial"/>
        </w:rPr>
        <w:t xml:space="preserve"> como motor gráfico, para modelar los componentes requeridos (Figura 6).  En términos generales, un motor gráfico es un </w:t>
      </w:r>
      <w:r w:rsidRPr="00D31563">
        <w:rPr>
          <w:rFonts w:ascii="Arial" w:hAnsi="Arial" w:cs="Arial"/>
          <w:i/>
          <w:iCs/>
        </w:rPr>
        <w:t>middleware</w:t>
      </w:r>
      <w:r w:rsidRPr="00E82833">
        <w:rPr>
          <w:rFonts w:ascii="Arial" w:hAnsi="Arial" w:cs="Arial"/>
        </w:rPr>
        <w:t xml:space="preserve">; es decir, un grupo de funciones de biblioteca que resumen la mayoría de </w:t>
      </w:r>
      <w:r w:rsidRPr="00E82833">
        <w:rPr>
          <w:rFonts w:ascii="Arial" w:hAnsi="Arial" w:cs="Arial"/>
        </w:rPr>
        <w:lastRenderedPageBreak/>
        <w:t xml:space="preserve">los detalles de implementación de bajo nivel, </w:t>
      </w:r>
      <w:r>
        <w:rPr>
          <w:rFonts w:ascii="Arial" w:hAnsi="Arial" w:cs="Arial"/>
        </w:rPr>
        <w:t xml:space="preserve">pero </w:t>
      </w:r>
      <w:r w:rsidRPr="00E82833">
        <w:rPr>
          <w:rFonts w:ascii="Arial" w:hAnsi="Arial" w:cs="Arial"/>
        </w:rPr>
        <w:t>proporcionando al desarrollador una interfaz de programación de alto nivel.</w:t>
      </w:r>
      <w:r w:rsidRPr="00E82833">
        <w:rPr>
          <w:rFonts w:ascii="Arial" w:hAnsi="Arial" w:cs="Arial"/>
          <w:vertAlign w:val="superscript"/>
        </w:rPr>
        <w:t>[4]</w:t>
      </w:r>
    </w:p>
    <w:p w:rsidR="006B5008" w:rsidRDefault="006B5008" w:rsidP="006B5008">
      <w:pPr>
        <w:ind w:firstLine="708"/>
        <w:jc w:val="both"/>
        <w:rPr>
          <w:rFonts w:ascii="Arial" w:hAnsi="Arial" w:cs="Arial"/>
        </w:rPr>
      </w:pPr>
    </w:p>
    <w:tbl>
      <w:tblPr>
        <w:tblW w:w="0" w:type="auto"/>
        <w:jc w:val="center"/>
        <w:tblLook w:val="04A0" w:firstRow="1" w:lastRow="0" w:firstColumn="1" w:lastColumn="0" w:noHBand="0" w:noVBand="1"/>
      </w:tblPr>
      <w:tblGrid>
        <w:gridCol w:w="4476"/>
        <w:gridCol w:w="4566"/>
      </w:tblGrid>
      <w:tr w:rsidR="006B5008" w:rsidTr="007F2707">
        <w:trPr>
          <w:jc w:val="center"/>
        </w:trPr>
        <w:tc>
          <w:tcPr>
            <w:tcW w:w="4385" w:type="dxa"/>
            <w:shd w:val="clear" w:color="auto" w:fill="auto"/>
          </w:tcPr>
          <w:p w:rsidR="006B5008" w:rsidRDefault="006B5008" w:rsidP="007F2707">
            <w:pPr>
              <w:pStyle w:val="Sinespaciado"/>
            </w:pPr>
            <w:r w:rsidRPr="004065C2">
              <w:rPr>
                <w:noProof/>
                <w:lang w:val="en-US"/>
              </w:rPr>
              <w:drawing>
                <wp:inline distT="0" distB="0" distL="0" distR="0" wp14:anchorId="7F77ADBE" wp14:editId="2D5160FD">
                  <wp:extent cx="2686050" cy="1743075"/>
                  <wp:effectExtent l="0" t="0" r="0" b="9525"/>
                  <wp:docPr id="2026623715" name="Imagen 202662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204" cstate="print">
                            <a:extLst>
                              <a:ext uri="{28A0092B-C50C-407E-A947-70E740481C1C}">
                                <a14:useLocalDpi xmlns:a14="http://schemas.microsoft.com/office/drawing/2010/main" val="0"/>
                              </a:ext>
                            </a:extLst>
                          </a:blip>
                          <a:srcRect/>
                          <a:stretch>
                            <a:fillRect/>
                          </a:stretch>
                        </pic:blipFill>
                        <pic:spPr bwMode="auto">
                          <a:xfrm>
                            <a:off x="0" y="0"/>
                            <a:ext cx="2686050" cy="1743075"/>
                          </a:xfrm>
                          <a:prstGeom prst="rect">
                            <a:avLst/>
                          </a:prstGeom>
                          <a:noFill/>
                          <a:ln>
                            <a:noFill/>
                          </a:ln>
                        </pic:spPr>
                      </pic:pic>
                    </a:graphicData>
                  </a:graphic>
                </wp:inline>
              </w:drawing>
            </w:r>
          </w:p>
        </w:tc>
        <w:tc>
          <w:tcPr>
            <w:tcW w:w="4443" w:type="dxa"/>
            <w:shd w:val="clear" w:color="auto" w:fill="auto"/>
          </w:tcPr>
          <w:p w:rsidR="006B5008" w:rsidRDefault="006B5008" w:rsidP="007F2707">
            <w:pPr>
              <w:pStyle w:val="Sinespaciado"/>
            </w:pPr>
            <w:r w:rsidRPr="004065C2">
              <w:rPr>
                <w:noProof/>
                <w:lang w:val="en-US"/>
              </w:rPr>
              <w:drawing>
                <wp:inline distT="0" distB="0" distL="0" distR="0" wp14:anchorId="26029344" wp14:editId="4BD86AE0">
                  <wp:extent cx="2724150" cy="1781175"/>
                  <wp:effectExtent l="0" t="0" r="0" b="9525"/>
                  <wp:docPr id="2026623714" name="Imagen 202662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205" cstate="print">
                            <a:extLst>
                              <a:ext uri="{28A0092B-C50C-407E-A947-70E740481C1C}">
                                <a14:useLocalDpi xmlns:a14="http://schemas.microsoft.com/office/drawing/2010/main" val="0"/>
                              </a:ext>
                            </a:extLst>
                          </a:blip>
                          <a:srcRect/>
                          <a:stretch>
                            <a:fillRect/>
                          </a:stretch>
                        </pic:blipFill>
                        <pic:spPr bwMode="auto">
                          <a:xfrm>
                            <a:off x="0" y="0"/>
                            <a:ext cx="2724150" cy="1781175"/>
                          </a:xfrm>
                          <a:prstGeom prst="rect">
                            <a:avLst/>
                          </a:prstGeom>
                          <a:noFill/>
                          <a:ln>
                            <a:noFill/>
                          </a:ln>
                        </pic:spPr>
                      </pic:pic>
                    </a:graphicData>
                  </a:graphic>
                </wp:inline>
              </w:drawing>
            </w:r>
          </w:p>
        </w:tc>
      </w:tr>
      <w:tr w:rsidR="006B5008" w:rsidTr="007F2707">
        <w:trPr>
          <w:jc w:val="center"/>
        </w:trPr>
        <w:tc>
          <w:tcPr>
            <w:tcW w:w="4385" w:type="dxa"/>
            <w:shd w:val="clear" w:color="auto" w:fill="auto"/>
          </w:tcPr>
          <w:p w:rsidR="006B5008" w:rsidRDefault="006B5008" w:rsidP="007F2707">
            <w:pPr>
              <w:pStyle w:val="Sinespaciado"/>
              <w:jc w:val="center"/>
            </w:pPr>
            <w:r>
              <w:rPr>
                <w:noProof/>
              </w:rPr>
              <w:t>(a)</w:t>
            </w:r>
          </w:p>
        </w:tc>
        <w:tc>
          <w:tcPr>
            <w:tcW w:w="4443" w:type="dxa"/>
            <w:shd w:val="clear" w:color="auto" w:fill="auto"/>
          </w:tcPr>
          <w:p w:rsidR="006B5008" w:rsidRDefault="006B5008" w:rsidP="007F2707">
            <w:pPr>
              <w:pStyle w:val="Sinespaciado"/>
              <w:jc w:val="center"/>
            </w:pPr>
            <w:r>
              <w:rPr>
                <w:noProof/>
              </w:rPr>
              <w:t>(b)</w:t>
            </w:r>
          </w:p>
        </w:tc>
      </w:tr>
      <w:tr w:rsidR="006B5008" w:rsidTr="007F2707">
        <w:trPr>
          <w:jc w:val="center"/>
        </w:trPr>
        <w:tc>
          <w:tcPr>
            <w:tcW w:w="4385" w:type="dxa"/>
            <w:shd w:val="clear" w:color="auto" w:fill="auto"/>
          </w:tcPr>
          <w:p w:rsidR="006B5008" w:rsidRDefault="006B5008" w:rsidP="007F2707">
            <w:pPr>
              <w:pStyle w:val="Sinespaciado"/>
            </w:pPr>
            <w:r w:rsidRPr="004065C2">
              <w:rPr>
                <w:noProof/>
                <w:lang w:val="en-US"/>
              </w:rPr>
              <w:drawing>
                <wp:inline distT="0" distB="0" distL="0" distR="0" wp14:anchorId="4888DEAE" wp14:editId="45D381BE">
                  <wp:extent cx="2705100" cy="1762125"/>
                  <wp:effectExtent l="0" t="0" r="0" b="9525"/>
                  <wp:docPr id="2026623713" name="Imagen 202662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206" cstate="print">
                            <a:extLst>
                              <a:ext uri="{28A0092B-C50C-407E-A947-70E740481C1C}">
                                <a14:useLocalDpi xmlns:a14="http://schemas.microsoft.com/office/drawing/2010/main" val="0"/>
                              </a:ext>
                            </a:extLst>
                          </a:blip>
                          <a:srcRect/>
                          <a:stretch>
                            <a:fillRect/>
                          </a:stretch>
                        </pic:blipFill>
                        <pic:spPr bwMode="auto">
                          <a:xfrm>
                            <a:off x="0" y="0"/>
                            <a:ext cx="2705100" cy="1762125"/>
                          </a:xfrm>
                          <a:prstGeom prst="rect">
                            <a:avLst/>
                          </a:prstGeom>
                          <a:noFill/>
                          <a:ln>
                            <a:noFill/>
                          </a:ln>
                        </pic:spPr>
                      </pic:pic>
                    </a:graphicData>
                  </a:graphic>
                </wp:inline>
              </w:drawing>
            </w:r>
          </w:p>
        </w:tc>
        <w:tc>
          <w:tcPr>
            <w:tcW w:w="4443" w:type="dxa"/>
            <w:shd w:val="clear" w:color="auto" w:fill="auto"/>
          </w:tcPr>
          <w:p w:rsidR="006B5008" w:rsidRDefault="006B5008" w:rsidP="007F2707">
            <w:pPr>
              <w:pStyle w:val="Sinespaciado"/>
            </w:pPr>
            <w:r w:rsidRPr="004065C2">
              <w:rPr>
                <w:noProof/>
                <w:lang w:val="en-US"/>
              </w:rPr>
              <w:drawing>
                <wp:inline distT="0" distB="0" distL="0" distR="0" wp14:anchorId="5E252944" wp14:editId="52AD0E56">
                  <wp:extent cx="2752725" cy="1790700"/>
                  <wp:effectExtent l="0" t="0" r="9525" b="0"/>
                  <wp:docPr id="2026623703" name="Imagen 202662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207" cstate="print">
                            <a:extLst>
                              <a:ext uri="{28A0092B-C50C-407E-A947-70E740481C1C}">
                                <a14:useLocalDpi xmlns:a14="http://schemas.microsoft.com/office/drawing/2010/main" val="0"/>
                              </a:ext>
                            </a:extLst>
                          </a:blip>
                          <a:srcRect/>
                          <a:stretch>
                            <a:fillRect/>
                          </a:stretch>
                        </pic:blipFill>
                        <pic:spPr bwMode="auto">
                          <a:xfrm>
                            <a:off x="0" y="0"/>
                            <a:ext cx="2752725" cy="1790700"/>
                          </a:xfrm>
                          <a:prstGeom prst="rect">
                            <a:avLst/>
                          </a:prstGeom>
                          <a:noFill/>
                          <a:ln>
                            <a:noFill/>
                          </a:ln>
                        </pic:spPr>
                      </pic:pic>
                    </a:graphicData>
                  </a:graphic>
                </wp:inline>
              </w:drawing>
            </w:r>
          </w:p>
        </w:tc>
      </w:tr>
      <w:tr w:rsidR="006B5008" w:rsidTr="007F2707">
        <w:trPr>
          <w:jc w:val="center"/>
        </w:trPr>
        <w:tc>
          <w:tcPr>
            <w:tcW w:w="4385" w:type="dxa"/>
            <w:shd w:val="clear" w:color="auto" w:fill="auto"/>
          </w:tcPr>
          <w:p w:rsidR="006B5008" w:rsidRDefault="006B5008" w:rsidP="007F2707">
            <w:pPr>
              <w:pStyle w:val="Sinespaciado"/>
              <w:jc w:val="center"/>
            </w:pPr>
            <w:r>
              <w:rPr>
                <w:noProof/>
              </w:rPr>
              <w:t>(c)</w:t>
            </w:r>
          </w:p>
        </w:tc>
        <w:tc>
          <w:tcPr>
            <w:tcW w:w="4443" w:type="dxa"/>
            <w:shd w:val="clear" w:color="auto" w:fill="auto"/>
          </w:tcPr>
          <w:p w:rsidR="006B5008" w:rsidRDefault="006B5008" w:rsidP="007F2707">
            <w:pPr>
              <w:pStyle w:val="Sinespaciado"/>
              <w:jc w:val="center"/>
            </w:pPr>
            <w:r>
              <w:rPr>
                <w:noProof/>
              </w:rPr>
              <w:t>(d)</w:t>
            </w:r>
          </w:p>
        </w:tc>
      </w:tr>
    </w:tbl>
    <w:p w:rsidR="006B5008" w:rsidRDefault="006B5008" w:rsidP="006B5008">
      <w:pPr>
        <w:pStyle w:val="Sinespaciado"/>
        <w:jc w:val="center"/>
      </w:pPr>
      <w:r>
        <w:t xml:space="preserve">Figura 6.  Componentes modelados en </w:t>
      </w:r>
      <w:r>
        <w:rPr>
          <w:i/>
          <w:iCs/>
        </w:rPr>
        <w:t>Unreal Engine 4</w:t>
      </w:r>
      <w:r>
        <w:t>:  (a) bomba de agua, (b) tramo de tubería recta, (c) placa de orificio concéntrica, (d) placa de orificio segmentada.</w:t>
      </w:r>
    </w:p>
    <w:p w:rsidR="006B5008" w:rsidRDefault="006B5008" w:rsidP="006B5008">
      <w:pPr>
        <w:ind w:firstLine="708"/>
        <w:jc w:val="both"/>
        <w:rPr>
          <w:rFonts w:ascii="Arial" w:hAnsi="Arial" w:cs="Arial"/>
        </w:rPr>
      </w:pPr>
    </w:p>
    <w:p w:rsidR="006B5008" w:rsidRPr="00D31563" w:rsidRDefault="006B5008" w:rsidP="006B5008">
      <w:pPr>
        <w:ind w:firstLine="708"/>
        <w:jc w:val="both"/>
        <w:rPr>
          <w:rFonts w:ascii="Arial" w:hAnsi="Arial" w:cs="Arial"/>
        </w:rPr>
      </w:pPr>
      <w:r w:rsidRPr="00D31563">
        <w:rPr>
          <w:rFonts w:ascii="Arial" w:hAnsi="Arial" w:cs="Arial"/>
        </w:rPr>
        <w:t xml:space="preserve">Para llevar a cabo el modelado del flujo de agua (Figura 7) se utilizó </w:t>
      </w:r>
      <w:r w:rsidRPr="00C03A6A">
        <w:rPr>
          <w:rFonts w:ascii="Arial" w:hAnsi="Arial" w:cs="Arial"/>
          <w:i/>
          <w:iCs/>
        </w:rPr>
        <w:t>Cascade</w:t>
      </w:r>
      <w:r w:rsidRPr="00D31563">
        <w:rPr>
          <w:rFonts w:ascii="Arial" w:hAnsi="Arial" w:cs="Arial"/>
        </w:rPr>
        <w:t xml:space="preserve">, un poderoso y robusto editor de sistema de partículas, incluido en </w:t>
      </w:r>
      <w:r w:rsidRPr="00C03A6A">
        <w:rPr>
          <w:rFonts w:ascii="Arial" w:hAnsi="Arial" w:cs="Arial"/>
          <w:i/>
          <w:iCs/>
        </w:rPr>
        <w:t>Unreal Engine 4</w:t>
      </w:r>
      <w:r w:rsidRPr="00D31563">
        <w:rPr>
          <w:rFonts w:ascii="Arial" w:hAnsi="Arial" w:cs="Arial"/>
        </w:rPr>
        <w:t>, que permite crear increíbles efectos visuales, desde humo, fuego, agua y más.  Este editor permite crear y editar fácil y rápidamente los sistemas de partículas, además de ofrecer</w:t>
      </w:r>
      <w:r>
        <w:rPr>
          <w:rFonts w:ascii="Arial" w:hAnsi="Arial" w:cs="Arial"/>
        </w:rPr>
        <w:t xml:space="preserve"> una</w:t>
      </w:r>
      <w:r w:rsidRPr="00D31563">
        <w:rPr>
          <w:rFonts w:ascii="Arial" w:hAnsi="Arial" w:cs="Arial"/>
        </w:rPr>
        <w:t xml:space="preserve"> retroalimentación en tiempo real y la edición de efectos.</w:t>
      </w:r>
      <w:r w:rsidRPr="00C03A6A">
        <w:rPr>
          <w:rFonts w:ascii="Arial" w:hAnsi="Arial" w:cs="Arial"/>
          <w:vertAlign w:val="superscript"/>
        </w:rPr>
        <w:t>[7]</w:t>
      </w:r>
    </w:p>
    <w:p w:rsidR="006B5008" w:rsidRPr="00D31563" w:rsidRDefault="006B5008" w:rsidP="006B5008">
      <w:pPr>
        <w:ind w:firstLine="708"/>
        <w:jc w:val="both"/>
        <w:rPr>
          <w:rFonts w:ascii="Arial" w:hAnsi="Arial" w:cs="Arial"/>
        </w:rPr>
      </w:pPr>
    </w:p>
    <w:p w:rsidR="006B5008" w:rsidRPr="00D31563" w:rsidRDefault="006B5008" w:rsidP="006B5008">
      <w:pPr>
        <w:ind w:firstLine="708"/>
        <w:jc w:val="center"/>
        <w:rPr>
          <w:rFonts w:ascii="Arial" w:hAnsi="Arial" w:cs="Arial"/>
        </w:rPr>
      </w:pPr>
      <w:r w:rsidRPr="004065C2">
        <w:rPr>
          <w:noProof/>
          <w:lang w:val="en-US"/>
        </w:rPr>
        <w:lastRenderedPageBreak/>
        <w:drawing>
          <wp:inline distT="0" distB="0" distL="0" distR="0" wp14:anchorId="540BE404" wp14:editId="67374112">
            <wp:extent cx="3067050" cy="1647825"/>
            <wp:effectExtent l="0" t="0" r="0" b="9525"/>
            <wp:docPr id="2026623702" name="Imagen 202662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208" cstate="print">
                      <a:extLst>
                        <a:ext uri="{28A0092B-C50C-407E-A947-70E740481C1C}">
                          <a14:useLocalDpi xmlns:a14="http://schemas.microsoft.com/office/drawing/2010/main" val="0"/>
                        </a:ext>
                      </a:extLst>
                    </a:blip>
                    <a:srcRect/>
                    <a:stretch>
                      <a:fillRect/>
                    </a:stretch>
                  </pic:blipFill>
                  <pic:spPr bwMode="auto">
                    <a:xfrm>
                      <a:off x="0" y="0"/>
                      <a:ext cx="3067050" cy="1647825"/>
                    </a:xfrm>
                    <a:prstGeom prst="rect">
                      <a:avLst/>
                    </a:prstGeom>
                    <a:noFill/>
                    <a:ln>
                      <a:noFill/>
                    </a:ln>
                  </pic:spPr>
                </pic:pic>
              </a:graphicData>
            </a:graphic>
          </wp:inline>
        </w:drawing>
      </w:r>
    </w:p>
    <w:p w:rsidR="006B5008" w:rsidRPr="00D31563" w:rsidRDefault="006B5008" w:rsidP="006B5008">
      <w:pPr>
        <w:jc w:val="center"/>
        <w:rPr>
          <w:rFonts w:ascii="Arial" w:hAnsi="Arial" w:cs="Arial"/>
          <w:i/>
          <w:iCs/>
          <w:sz w:val="20"/>
          <w:szCs w:val="20"/>
        </w:rPr>
      </w:pPr>
      <w:r w:rsidRPr="00D31563">
        <w:rPr>
          <w:rFonts w:ascii="Arial" w:hAnsi="Arial" w:cs="Arial"/>
          <w:i/>
          <w:iCs/>
          <w:sz w:val="20"/>
          <w:szCs w:val="20"/>
        </w:rPr>
        <w:t xml:space="preserve">Figura 7.  Modelado </w:t>
      </w:r>
      <w:r>
        <w:rPr>
          <w:rFonts w:ascii="Arial" w:hAnsi="Arial" w:cs="Arial"/>
          <w:i/>
          <w:iCs/>
          <w:sz w:val="20"/>
          <w:szCs w:val="20"/>
        </w:rPr>
        <w:t xml:space="preserve">en Caudalis </w:t>
      </w:r>
      <w:r w:rsidRPr="00D31563">
        <w:rPr>
          <w:rFonts w:ascii="Arial" w:hAnsi="Arial" w:cs="Arial"/>
          <w:i/>
          <w:iCs/>
          <w:sz w:val="20"/>
          <w:szCs w:val="20"/>
        </w:rPr>
        <w:t>de un flujo de partículas de agua.</w:t>
      </w:r>
    </w:p>
    <w:p w:rsidR="006B5008" w:rsidRDefault="006B5008" w:rsidP="006B5008">
      <w:pPr>
        <w:ind w:firstLine="708"/>
        <w:jc w:val="both"/>
        <w:rPr>
          <w:rFonts w:ascii="Arial" w:hAnsi="Arial" w:cs="Arial"/>
        </w:rPr>
      </w:pPr>
    </w:p>
    <w:p w:rsidR="006B5008" w:rsidRPr="00BC5E0A" w:rsidRDefault="006B5008" w:rsidP="006B5008">
      <w:pPr>
        <w:spacing w:line="360" w:lineRule="auto"/>
        <w:jc w:val="both"/>
        <w:rPr>
          <w:rFonts w:ascii="Arial" w:hAnsi="Arial" w:cs="Arial"/>
          <w:i/>
        </w:rPr>
      </w:pPr>
      <w:r w:rsidRPr="00BC5E0A">
        <w:rPr>
          <w:rFonts w:ascii="Arial" w:hAnsi="Arial" w:cs="Arial"/>
          <w:i/>
          <w:color w:val="000000"/>
        </w:rPr>
        <w:t>3.</w:t>
      </w:r>
      <w:r>
        <w:rPr>
          <w:rFonts w:ascii="Arial" w:hAnsi="Arial" w:cs="Arial"/>
          <w:i/>
          <w:color w:val="000000"/>
        </w:rPr>
        <w:t>4</w:t>
      </w:r>
      <w:r w:rsidRPr="00BC5E0A">
        <w:rPr>
          <w:rFonts w:ascii="Arial" w:hAnsi="Arial" w:cs="Arial"/>
          <w:i/>
          <w:color w:val="000000"/>
        </w:rPr>
        <w:t xml:space="preserve"> </w:t>
      </w:r>
      <w:r>
        <w:rPr>
          <w:rFonts w:ascii="Arial" w:hAnsi="Arial" w:cs="Arial"/>
          <w:i/>
          <w:color w:val="000000"/>
        </w:rPr>
        <w:t>Etapa de pruebas y validación</w:t>
      </w:r>
      <w:r>
        <w:rPr>
          <w:rFonts w:ascii="Arial" w:hAnsi="Arial" w:cs="Arial"/>
          <w:i/>
        </w:rPr>
        <w:t>.</w:t>
      </w:r>
      <w:r w:rsidRPr="00BC5E0A">
        <w:rPr>
          <w:rFonts w:ascii="Arial" w:hAnsi="Arial" w:cs="Arial"/>
          <w:b/>
          <w:i/>
        </w:rPr>
        <w:t xml:space="preserve"> </w:t>
      </w:r>
    </w:p>
    <w:p w:rsidR="006B5008" w:rsidRDefault="006B5008" w:rsidP="006B5008">
      <w:pPr>
        <w:ind w:firstLine="708"/>
        <w:jc w:val="both"/>
        <w:rPr>
          <w:rFonts w:ascii="Arial" w:hAnsi="Arial" w:cs="Arial"/>
        </w:rPr>
      </w:pPr>
    </w:p>
    <w:p w:rsidR="006B5008" w:rsidRDefault="006B5008" w:rsidP="006B5008">
      <w:pPr>
        <w:ind w:firstLine="708"/>
        <w:jc w:val="both"/>
        <w:rPr>
          <w:rFonts w:ascii="Arial" w:hAnsi="Arial" w:cs="Arial"/>
        </w:rPr>
      </w:pPr>
      <w:r w:rsidRPr="00C03A6A">
        <w:rPr>
          <w:rFonts w:ascii="Arial" w:hAnsi="Arial" w:cs="Arial"/>
        </w:rPr>
        <w:t>Una vez generada una primera versión del entorno virtual, se definió un protocolo de pruebas y se realizaron ensayos con alumnos de la Facultad de Ingeniería de la UNAM.  Cada prueba concluía con un cuestionario de opinión, a fin de identificar áreas de oportunidad que permitieran mejorar la experiencia del usuario, en cuanto a aspecto, espacio de trabajo, selección de colores, sensación de mareo, por mencionar algunas.</w:t>
      </w:r>
      <w:r>
        <w:rPr>
          <w:rFonts w:ascii="Arial" w:hAnsi="Arial" w:cs="Arial"/>
        </w:rPr>
        <w:t xml:space="preserve">  En la Tabla 1 se muestra la frecuencia de las respuestas obtenidas con relación a algunos de los aspectos evaluados por los usuarios.  La escala de calificaciones </w:t>
      </w:r>
      <w:r w:rsidRPr="00464038">
        <w:rPr>
          <w:rFonts w:ascii="Arial" w:hAnsi="Arial" w:cs="Arial"/>
        </w:rPr>
        <w:t>se inicia en</w:t>
      </w:r>
      <w:r>
        <w:rPr>
          <w:rFonts w:ascii="Arial" w:hAnsi="Arial" w:cs="Arial"/>
        </w:rPr>
        <w:t xml:space="preserve"> 1, como la calificación más baja, hasta 5, la calificación más alta.</w:t>
      </w:r>
    </w:p>
    <w:p w:rsidR="006B5008" w:rsidRDefault="006B5008" w:rsidP="006B5008">
      <w:pPr>
        <w:jc w:val="both"/>
        <w:rPr>
          <w:rFonts w:ascii="Arial" w:hAnsi="Arial" w:cs="Arial"/>
        </w:rPr>
      </w:pPr>
    </w:p>
    <w:p w:rsidR="006B5008" w:rsidRPr="00F0520D" w:rsidRDefault="006B5008" w:rsidP="006B5008">
      <w:pPr>
        <w:tabs>
          <w:tab w:val="num" w:pos="0"/>
        </w:tabs>
        <w:spacing w:line="360" w:lineRule="auto"/>
        <w:jc w:val="center"/>
        <w:rPr>
          <w:rFonts w:ascii="Arial" w:eastAsia="Times New Roman" w:hAnsi="Arial" w:cs="Arial"/>
          <w:bCs/>
          <w:i/>
          <w:noProof/>
          <w:sz w:val="20"/>
          <w:szCs w:val="20"/>
          <w:lang w:eastAsia="en-GB"/>
        </w:rPr>
      </w:pPr>
      <w:r>
        <w:rPr>
          <w:rFonts w:ascii="Arial" w:eastAsia="Times New Roman" w:hAnsi="Arial" w:cs="Arial"/>
          <w:bCs/>
          <w:i/>
          <w:noProof/>
          <w:sz w:val="20"/>
          <w:szCs w:val="20"/>
          <w:lang w:eastAsia="en-GB"/>
        </w:rPr>
        <w:t>Tabla 1. Resultados de la primera etapa de pruebas realizadas a Caudalis.</w:t>
      </w:r>
    </w:p>
    <w:tbl>
      <w:tblPr>
        <w:tblW w:w="8851" w:type="dxa"/>
        <w:jc w:val="center"/>
        <w:tblCellMar>
          <w:left w:w="70" w:type="dxa"/>
          <w:right w:w="70" w:type="dxa"/>
        </w:tblCellMar>
        <w:tblLook w:val="04A0" w:firstRow="1" w:lastRow="0" w:firstColumn="1" w:lastColumn="0" w:noHBand="0" w:noVBand="1"/>
      </w:tblPr>
      <w:tblGrid>
        <w:gridCol w:w="4860"/>
        <w:gridCol w:w="626"/>
        <w:gridCol w:w="626"/>
        <w:gridCol w:w="626"/>
        <w:gridCol w:w="626"/>
        <w:gridCol w:w="626"/>
        <w:gridCol w:w="1063"/>
      </w:tblGrid>
      <w:tr w:rsidR="006B5008" w:rsidRPr="00F0520D" w:rsidTr="007F2707">
        <w:trPr>
          <w:trHeight w:val="300"/>
          <w:jc w:val="center"/>
        </w:trPr>
        <w:tc>
          <w:tcPr>
            <w:tcW w:w="48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5008" w:rsidRPr="00F0520D" w:rsidRDefault="006B5008" w:rsidP="007F2707">
            <w:pPr>
              <w:jc w:val="center"/>
              <w:rPr>
                <w:rFonts w:ascii="Arial" w:eastAsia="Times New Roman" w:hAnsi="Arial" w:cs="Arial"/>
                <w:b/>
                <w:bCs/>
                <w:color w:val="000000"/>
                <w:sz w:val="20"/>
                <w:szCs w:val="20"/>
                <w:lang w:val="es-MX" w:eastAsia="es-MX"/>
              </w:rPr>
            </w:pPr>
            <w:r w:rsidRPr="00F0520D">
              <w:rPr>
                <w:rFonts w:ascii="Arial" w:eastAsia="Times New Roman" w:hAnsi="Arial" w:cs="Arial"/>
                <w:b/>
                <w:bCs/>
                <w:color w:val="000000"/>
                <w:sz w:val="20"/>
                <w:szCs w:val="20"/>
                <w:lang w:val="es-MX" w:eastAsia="es-MX"/>
              </w:rPr>
              <w:t>Aspecto</w:t>
            </w:r>
          </w:p>
        </w:tc>
        <w:tc>
          <w:tcPr>
            <w:tcW w:w="3991" w:type="dxa"/>
            <w:gridSpan w:val="6"/>
            <w:tcBorders>
              <w:top w:val="single" w:sz="4" w:space="0" w:color="auto"/>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b/>
                <w:bCs/>
                <w:color w:val="000000"/>
                <w:sz w:val="20"/>
                <w:szCs w:val="20"/>
                <w:lang w:val="es-MX" w:eastAsia="es-MX"/>
              </w:rPr>
            </w:pPr>
            <w:r w:rsidRPr="00F0520D">
              <w:rPr>
                <w:rFonts w:ascii="Arial" w:eastAsia="Times New Roman" w:hAnsi="Arial" w:cs="Arial"/>
                <w:b/>
                <w:bCs/>
                <w:color w:val="000000"/>
                <w:sz w:val="20"/>
                <w:szCs w:val="20"/>
                <w:lang w:val="es-MX" w:eastAsia="es-MX"/>
              </w:rPr>
              <w:t>Calificación</w:t>
            </w:r>
          </w:p>
        </w:tc>
      </w:tr>
      <w:tr w:rsidR="006B5008" w:rsidRPr="00F0520D" w:rsidTr="007F2707">
        <w:trPr>
          <w:trHeight w:val="300"/>
          <w:jc w:val="center"/>
        </w:trPr>
        <w:tc>
          <w:tcPr>
            <w:tcW w:w="4860" w:type="dxa"/>
            <w:vMerge/>
            <w:tcBorders>
              <w:top w:val="single" w:sz="4" w:space="0" w:color="auto"/>
              <w:left w:val="single" w:sz="4" w:space="0" w:color="auto"/>
              <w:bottom w:val="single" w:sz="4" w:space="0" w:color="auto"/>
              <w:right w:val="single" w:sz="4" w:space="0" w:color="auto"/>
            </w:tcBorders>
            <w:vAlign w:val="center"/>
            <w:hideMark/>
          </w:tcPr>
          <w:p w:rsidR="006B5008" w:rsidRPr="00F0520D" w:rsidRDefault="006B5008" w:rsidP="007F2707">
            <w:pPr>
              <w:rPr>
                <w:rFonts w:ascii="Arial" w:eastAsia="Times New Roman" w:hAnsi="Arial" w:cs="Arial"/>
                <w:b/>
                <w:bCs/>
                <w:color w:val="000000"/>
                <w:sz w:val="20"/>
                <w:szCs w:val="20"/>
                <w:lang w:val="es-MX" w:eastAsia="es-MX"/>
              </w:rPr>
            </w:pP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b/>
                <w:bCs/>
                <w:color w:val="000000"/>
                <w:sz w:val="20"/>
                <w:szCs w:val="20"/>
                <w:lang w:val="es-MX" w:eastAsia="es-MX"/>
              </w:rPr>
            </w:pPr>
            <w:r w:rsidRPr="00F0520D">
              <w:rPr>
                <w:rFonts w:ascii="Arial" w:eastAsia="Times New Roman" w:hAnsi="Arial" w:cs="Arial"/>
                <w:b/>
                <w:bCs/>
                <w:color w:val="000000"/>
                <w:sz w:val="20"/>
                <w:szCs w:val="20"/>
                <w:lang w:val="es-MX" w:eastAsia="es-MX"/>
              </w:rPr>
              <w:t>1</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b/>
                <w:bCs/>
                <w:color w:val="000000"/>
                <w:sz w:val="20"/>
                <w:szCs w:val="20"/>
                <w:lang w:val="es-MX" w:eastAsia="es-MX"/>
              </w:rPr>
            </w:pPr>
            <w:r w:rsidRPr="00F0520D">
              <w:rPr>
                <w:rFonts w:ascii="Arial" w:eastAsia="Times New Roman" w:hAnsi="Arial" w:cs="Arial"/>
                <w:b/>
                <w:bCs/>
                <w:color w:val="000000"/>
                <w:sz w:val="20"/>
                <w:szCs w:val="20"/>
                <w:lang w:val="es-MX" w:eastAsia="es-MX"/>
              </w:rPr>
              <w:t>2</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b/>
                <w:bCs/>
                <w:color w:val="000000"/>
                <w:sz w:val="20"/>
                <w:szCs w:val="20"/>
                <w:lang w:val="es-MX" w:eastAsia="es-MX"/>
              </w:rPr>
            </w:pPr>
            <w:r w:rsidRPr="00F0520D">
              <w:rPr>
                <w:rFonts w:ascii="Arial" w:eastAsia="Times New Roman" w:hAnsi="Arial" w:cs="Arial"/>
                <w:b/>
                <w:bCs/>
                <w:color w:val="000000"/>
                <w:sz w:val="20"/>
                <w:szCs w:val="20"/>
                <w:lang w:val="es-MX" w:eastAsia="es-MX"/>
              </w:rPr>
              <w:t>3</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b/>
                <w:bCs/>
                <w:color w:val="000000"/>
                <w:sz w:val="20"/>
                <w:szCs w:val="20"/>
                <w:lang w:val="es-MX" w:eastAsia="es-MX"/>
              </w:rPr>
            </w:pPr>
            <w:r w:rsidRPr="00F0520D">
              <w:rPr>
                <w:rFonts w:ascii="Arial" w:eastAsia="Times New Roman" w:hAnsi="Arial" w:cs="Arial"/>
                <w:b/>
                <w:bCs/>
                <w:color w:val="000000"/>
                <w:sz w:val="20"/>
                <w:szCs w:val="20"/>
                <w:lang w:val="es-MX" w:eastAsia="es-MX"/>
              </w:rPr>
              <w:t>4</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b/>
                <w:bCs/>
                <w:color w:val="000000"/>
                <w:sz w:val="20"/>
                <w:szCs w:val="20"/>
                <w:lang w:val="es-MX" w:eastAsia="es-MX"/>
              </w:rPr>
            </w:pPr>
            <w:r w:rsidRPr="00F0520D">
              <w:rPr>
                <w:rFonts w:ascii="Arial" w:eastAsia="Times New Roman" w:hAnsi="Arial" w:cs="Arial"/>
                <w:b/>
                <w:bCs/>
                <w:color w:val="000000"/>
                <w:sz w:val="20"/>
                <w:szCs w:val="20"/>
                <w:lang w:val="es-MX" w:eastAsia="es-MX"/>
              </w:rPr>
              <w:t>5</w:t>
            </w:r>
          </w:p>
        </w:tc>
        <w:tc>
          <w:tcPr>
            <w:tcW w:w="861"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b/>
                <w:bCs/>
                <w:color w:val="000000"/>
                <w:sz w:val="20"/>
                <w:szCs w:val="20"/>
                <w:lang w:val="es-MX" w:eastAsia="es-MX"/>
              </w:rPr>
            </w:pPr>
            <w:r w:rsidRPr="00F0520D">
              <w:rPr>
                <w:rFonts w:ascii="Arial" w:eastAsia="Times New Roman" w:hAnsi="Arial" w:cs="Arial"/>
                <w:b/>
                <w:bCs/>
                <w:color w:val="000000"/>
                <w:sz w:val="20"/>
                <w:szCs w:val="20"/>
                <w:lang w:val="es-MX" w:eastAsia="es-MX"/>
              </w:rPr>
              <w:t>Promedio</w:t>
            </w:r>
          </w:p>
        </w:tc>
      </w:tr>
      <w:tr w:rsidR="006B5008" w:rsidRPr="00F0520D" w:rsidTr="007F2707">
        <w:trPr>
          <w:trHeight w:val="300"/>
          <w:jc w:val="center"/>
        </w:trPr>
        <w:tc>
          <w:tcPr>
            <w:tcW w:w="4860" w:type="dxa"/>
            <w:tcBorders>
              <w:top w:val="nil"/>
              <w:left w:val="single" w:sz="4" w:space="0" w:color="auto"/>
              <w:bottom w:val="single" w:sz="4" w:space="0" w:color="auto"/>
              <w:right w:val="single" w:sz="4" w:space="0" w:color="auto"/>
            </w:tcBorders>
            <w:shd w:val="clear" w:color="auto" w:fill="auto"/>
            <w:noWrap/>
            <w:vAlign w:val="bottom"/>
            <w:hideMark/>
          </w:tcPr>
          <w:p w:rsidR="006B5008" w:rsidRPr="00F0520D" w:rsidRDefault="006B5008" w:rsidP="007F2707">
            <w:pP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Velocidad de desplazamiento</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1</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1</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4</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4</w:t>
            </w:r>
          </w:p>
        </w:tc>
        <w:tc>
          <w:tcPr>
            <w:tcW w:w="861"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3.5</w:t>
            </w:r>
          </w:p>
        </w:tc>
      </w:tr>
      <w:tr w:rsidR="006B5008" w:rsidRPr="00F0520D" w:rsidTr="007F2707">
        <w:trPr>
          <w:trHeight w:val="300"/>
          <w:jc w:val="center"/>
        </w:trPr>
        <w:tc>
          <w:tcPr>
            <w:tcW w:w="4860" w:type="dxa"/>
            <w:tcBorders>
              <w:top w:val="nil"/>
              <w:left w:val="single" w:sz="4" w:space="0" w:color="auto"/>
              <w:bottom w:val="single" w:sz="4" w:space="0" w:color="auto"/>
              <w:right w:val="single" w:sz="4" w:space="0" w:color="auto"/>
            </w:tcBorders>
            <w:shd w:val="clear" w:color="auto" w:fill="auto"/>
            <w:noWrap/>
            <w:vAlign w:val="bottom"/>
            <w:hideMark/>
          </w:tcPr>
          <w:p w:rsidR="006B5008" w:rsidRPr="00F0520D" w:rsidRDefault="006B5008" w:rsidP="007F2707">
            <w:pP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Claridad de la interfaz</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1</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1</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2</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6</w:t>
            </w:r>
          </w:p>
        </w:tc>
        <w:tc>
          <w:tcPr>
            <w:tcW w:w="861"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4.3</w:t>
            </w:r>
          </w:p>
        </w:tc>
      </w:tr>
      <w:tr w:rsidR="006B5008" w:rsidRPr="00F0520D" w:rsidTr="007F2707">
        <w:trPr>
          <w:trHeight w:val="300"/>
          <w:jc w:val="center"/>
        </w:trPr>
        <w:tc>
          <w:tcPr>
            <w:tcW w:w="4860" w:type="dxa"/>
            <w:tcBorders>
              <w:top w:val="nil"/>
              <w:left w:val="single" w:sz="4" w:space="0" w:color="auto"/>
              <w:bottom w:val="single" w:sz="4" w:space="0" w:color="auto"/>
              <w:right w:val="single" w:sz="4" w:space="0" w:color="auto"/>
            </w:tcBorders>
            <w:shd w:val="clear" w:color="auto" w:fill="auto"/>
            <w:noWrap/>
            <w:vAlign w:val="bottom"/>
            <w:hideMark/>
          </w:tcPr>
          <w:p w:rsidR="006B5008" w:rsidRPr="00F0520D" w:rsidRDefault="006B5008" w:rsidP="007F2707">
            <w:pP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Facilidad de uso de la interfaz</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5</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5</w:t>
            </w:r>
          </w:p>
        </w:tc>
        <w:tc>
          <w:tcPr>
            <w:tcW w:w="861"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4.5</w:t>
            </w:r>
          </w:p>
        </w:tc>
      </w:tr>
      <w:tr w:rsidR="006B5008" w:rsidRPr="00F0520D" w:rsidTr="007F2707">
        <w:trPr>
          <w:trHeight w:val="300"/>
          <w:jc w:val="center"/>
        </w:trPr>
        <w:tc>
          <w:tcPr>
            <w:tcW w:w="4860" w:type="dxa"/>
            <w:tcBorders>
              <w:top w:val="nil"/>
              <w:left w:val="single" w:sz="4" w:space="0" w:color="auto"/>
              <w:bottom w:val="single" w:sz="4" w:space="0" w:color="auto"/>
              <w:right w:val="single" w:sz="4" w:space="0" w:color="auto"/>
            </w:tcBorders>
            <w:shd w:val="clear" w:color="auto" w:fill="auto"/>
            <w:noWrap/>
            <w:vAlign w:val="bottom"/>
            <w:hideMark/>
          </w:tcPr>
          <w:p w:rsidR="006B5008" w:rsidRPr="00F0520D" w:rsidRDefault="006B5008" w:rsidP="007F2707">
            <w:pP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Previsualización de elementos hidráulicos</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1</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2</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4</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3</w:t>
            </w:r>
          </w:p>
        </w:tc>
        <w:tc>
          <w:tcPr>
            <w:tcW w:w="861"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3.9</w:t>
            </w:r>
          </w:p>
        </w:tc>
      </w:tr>
      <w:tr w:rsidR="006B5008" w:rsidRPr="00F0520D" w:rsidTr="007F2707">
        <w:trPr>
          <w:trHeight w:val="300"/>
          <w:jc w:val="center"/>
        </w:trPr>
        <w:tc>
          <w:tcPr>
            <w:tcW w:w="4860" w:type="dxa"/>
            <w:tcBorders>
              <w:top w:val="nil"/>
              <w:left w:val="single" w:sz="4" w:space="0" w:color="auto"/>
              <w:bottom w:val="single" w:sz="4" w:space="0" w:color="auto"/>
              <w:right w:val="single" w:sz="4" w:space="0" w:color="auto"/>
            </w:tcBorders>
            <w:shd w:val="clear" w:color="auto" w:fill="auto"/>
            <w:noWrap/>
            <w:vAlign w:val="bottom"/>
            <w:hideMark/>
          </w:tcPr>
          <w:p w:rsidR="006B5008" w:rsidRPr="00F0520D" w:rsidRDefault="006B5008" w:rsidP="007F2707">
            <w:pP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Claridad de las instrucciones</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3</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4</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3</w:t>
            </w:r>
          </w:p>
        </w:tc>
        <w:tc>
          <w:tcPr>
            <w:tcW w:w="861"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4.0</w:t>
            </w:r>
          </w:p>
        </w:tc>
      </w:tr>
      <w:tr w:rsidR="006B5008" w:rsidRPr="00F0520D" w:rsidTr="007F2707">
        <w:trPr>
          <w:trHeight w:val="300"/>
          <w:jc w:val="center"/>
        </w:trPr>
        <w:tc>
          <w:tcPr>
            <w:tcW w:w="4860" w:type="dxa"/>
            <w:tcBorders>
              <w:top w:val="nil"/>
              <w:left w:val="single" w:sz="4" w:space="0" w:color="auto"/>
              <w:bottom w:val="single" w:sz="4" w:space="0" w:color="auto"/>
              <w:right w:val="single" w:sz="4" w:space="0" w:color="auto"/>
            </w:tcBorders>
            <w:shd w:val="clear" w:color="auto" w:fill="auto"/>
            <w:noWrap/>
            <w:vAlign w:val="bottom"/>
            <w:hideMark/>
          </w:tcPr>
          <w:p w:rsidR="006B5008" w:rsidRPr="00F0520D" w:rsidRDefault="006B5008" w:rsidP="007F2707">
            <w:pP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Similitud del entorno con un laboratorio real</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2</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6</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2</w:t>
            </w:r>
          </w:p>
        </w:tc>
        <w:tc>
          <w:tcPr>
            <w:tcW w:w="861"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3.8</w:t>
            </w:r>
          </w:p>
        </w:tc>
      </w:tr>
      <w:tr w:rsidR="006B5008" w:rsidRPr="00F0520D" w:rsidTr="007F2707">
        <w:trPr>
          <w:trHeight w:val="300"/>
          <w:jc w:val="center"/>
        </w:trPr>
        <w:tc>
          <w:tcPr>
            <w:tcW w:w="4860" w:type="dxa"/>
            <w:tcBorders>
              <w:top w:val="nil"/>
              <w:left w:val="single" w:sz="4" w:space="0" w:color="auto"/>
              <w:bottom w:val="single" w:sz="4" w:space="0" w:color="auto"/>
              <w:right w:val="single" w:sz="4" w:space="0" w:color="auto"/>
            </w:tcBorders>
            <w:shd w:val="clear" w:color="auto" w:fill="auto"/>
            <w:noWrap/>
            <w:vAlign w:val="bottom"/>
            <w:hideMark/>
          </w:tcPr>
          <w:p w:rsidR="006B5008" w:rsidRPr="00F0520D" w:rsidRDefault="006B5008" w:rsidP="007F2707">
            <w:pP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Apariencia del agua</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1</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3</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6</w:t>
            </w:r>
          </w:p>
        </w:tc>
        <w:tc>
          <w:tcPr>
            <w:tcW w:w="861"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4.4</w:t>
            </w:r>
          </w:p>
        </w:tc>
      </w:tr>
      <w:tr w:rsidR="006B5008" w:rsidRPr="00F0520D" w:rsidTr="007F2707">
        <w:trPr>
          <w:trHeight w:val="300"/>
          <w:jc w:val="center"/>
        </w:trPr>
        <w:tc>
          <w:tcPr>
            <w:tcW w:w="4860" w:type="dxa"/>
            <w:tcBorders>
              <w:top w:val="nil"/>
              <w:left w:val="single" w:sz="4" w:space="0" w:color="auto"/>
              <w:bottom w:val="single" w:sz="4" w:space="0" w:color="auto"/>
              <w:right w:val="single" w:sz="4" w:space="0" w:color="auto"/>
            </w:tcBorders>
            <w:shd w:val="clear" w:color="auto" w:fill="auto"/>
            <w:noWrap/>
            <w:vAlign w:val="bottom"/>
            <w:hideMark/>
          </w:tcPr>
          <w:p w:rsidR="006B5008" w:rsidRPr="00F0520D" w:rsidRDefault="006B5008" w:rsidP="007F2707">
            <w:pP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lastRenderedPageBreak/>
              <w:t>Interacción del agua con los elementos hidráulicos</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1</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2</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5</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2</w:t>
            </w:r>
          </w:p>
        </w:tc>
        <w:tc>
          <w:tcPr>
            <w:tcW w:w="861" w:type="dxa"/>
            <w:tcBorders>
              <w:top w:val="nil"/>
              <w:left w:val="nil"/>
              <w:bottom w:val="single" w:sz="4" w:space="0" w:color="auto"/>
              <w:right w:val="single" w:sz="4" w:space="0" w:color="auto"/>
            </w:tcBorders>
            <w:shd w:val="clear" w:color="auto" w:fill="auto"/>
            <w:noWrap/>
            <w:vAlign w:val="bottom"/>
            <w:hideMark/>
          </w:tcPr>
          <w:p w:rsidR="006B5008" w:rsidRPr="00F0520D" w:rsidRDefault="006B5008" w:rsidP="007F2707">
            <w:pPr>
              <w:jc w:val="center"/>
              <w:rPr>
                <w:rFonts w:ascii="Arial" w:eastAsia="Times New Roman" w:hAnsi="Arial" w:cs="Arial"/>
                <w:color w:val="000000"/>
                <w:sz w:val="20"/>
                <w:szCs w:val="20"/>
                <w:lang w:val="es-MX" w:eastAsia="es-MX"/>
              </w:rPr>
            </w:pPr>
            <w:r w:rsidRPr="00F0520D">
              <w:rPr>
                <w:rFonts w:ascii="Arial" w:eastAsia="Times New Roman" w:hAnsi="Arial" w:cs="Arial"/>
                <w:color w:val="000000"/>
                <w:sz w:val="20"/>
                <w:szCs w:val="20"/>
                <w:lang w:val="es-MX" w:eastAsia="es-MX"/>
              </w:rPr>
              <w:t>3.8</w:t>
            </w:r>
          </w:p>
        </w:tc>
      </w:tr>
    </w:tbl>
    <w:p w:rsidR="006B5008" w:rsidRDefault="006B5008" w:rsidP="006B5008">
      <w:pPr>
        <w:jc w:val="both"/>
        <w:rPr>
          <w:rFonts w:ascii="Arial" w:hAnsi="Arial" w:cs="Arial"/>
        </w:rPr>
      </w:pPr>
    </w:p>
    <w:p w:rsidR="006B5008" w:rsidRPr="00C03A6A" w:rsidRDefault="006B5008" w:rsidP="006B5008">
      <w:pPr>
        <w:ind w:firstLine="708"/>
        <w:jc w:val="both"/>
        <w:rPr>
          <w:rFonts w:ascii="Arial" w:hAnsi="Arial" w:cs="Arial"/>
        </w:rPr>
      </w:pPr>
      <w:r w:rsidRPr="00C03A6A">
        <w:rPr>
          <w:rFonts w:ascii="Arial" w:hAnsi="Arial" w:cs="Arial"/>
        </w:rPr>
        <w:t>A partir de la información recabada</w:t>
      </w:r>
      <w:r>
        <w:rPr>
          <w:rFonts w:ascii="Arial" w:hAnsi="Arial" w:cs="Arial"/>
        </w:rPr>
        <w:t>,</w:t>
      </w:r>
      <w:r w:rsidRPr="00C03A6A">
        <w:rPr>
          <w:rFonts w:ascii="Arial" w:hAnsi="Arial" w:cs="Arial"/>
        </w:rPr>
        <w:t xml:space="preserve"> se implementaron modificaciones y mejoras en aspectos tales como texturas, selección de materiales, dimensiones del espacio de trabajo e inclusión de instrucciones de uso a la vista del usuario. También se realizaron mejoras en la calibración del controlador, velocidad de desplazamiento dentro del entorno virtual, visualización de componentes e interacción con la interfaz.  El aspecto final del entorno virtual se muestra en la </w:t>
      </w:r>
      <w:r>
        <w:rPr>
          <w:rFonts w:ascii="Arial" w:hAnsi="Arial" w:cs="Arial"/>
        </w:rPr>
        <w:t>F</w:t>
      </w:r>
      <w:r w:rsidRPr="00C03A6A">
        <w:rPr>
          <w:rFonts w:ascii="Arial" w:hAnsi="Arial" w:cs="Arial"/>
        </w:rPr>
        <w:t>igura 8.</w:t>
      </w:r>
    </w:p>
    <w:p w:rsidR="006B5008" w:rsidRPr="00C03A6A" w:rsidRDefault="006B5008" w:rsidP="006B5008">
      <w:pPr>
        <w:ind w:firstLine="708"/>
        <w:jc w:val="both"/>
        <w:rPr>
          <w:rFonts w:ascii="Arial" w:hAnsi="Arial" w:cs="Arial"/>
        </w:rPr>
      </w:pPr>
    </w:p>
    <w:tbl>
      <w:tblPr>
        <w:tblW w:w="0" w:type="auto"/>
        <w:jc w:val="center"/>
        <w:tblLook w:val="04A0" w:firstRow="1" w:lastRow="0" w:firstColumn="1" w:lastColumn="0" w:noHBand="0" w:noVBand="1"/>
      </w:tblPr>
      <w:tblGrid>
        <w:gridCol w:w="2432"/>
        <w:gridCol w:w="6396"/>
      </w:tblGrid>
      <w:tr w:rsidR="006B5008" w:rsidTr="007F2707">
        <w:trPr>
          <w:jc w:val="center"/>
        </w:trPr>
        <w:tc>
          <w:tcPr>
            <w:tcW w:w="2432" w:type="dxa"/>
            <w:shd w:val="clear" w:color="auto" w:fill="auto"/>
          </w:tcPr>
          <w:p w:rsidR="006B5008" w:rsidRDefault="006B5008" w:rsidP="007F2707">
            <w:pPr>
              <w:pStyle w:val="Sinespaciado"/>
              <w:jc w:val="center"/>
            </w:pPr>
            <w:r w:rsidRPr="004065C2">
              <w:rPr>
                <w:noProof/>
                <w:lang w:val="en-US"/>
              </w:rPr>
              <w:drawing>
                <wp:inline distT="0" distB="0" distL="0" distR="0" wp14:anchorId="4DC844A7" wp14:editId="16FE90D7">
                  <wp:extent cx="1181100" cy="1924050"/>
                  <wp:effectExtent l="0" t="0" r="0" b="0"/>
                  <wp:docPr id="2026623701" name="Imagen 202662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209" cstate="print">
                            <a:extLst>
                              <a:ext uri="{28A0092B-C50C-407E-A947-70E740481C1C}">
                                <a14:useLocalDpi xmlns:a14="http://schemas.microsoft.com/office/drawing/2010/main" val="0"/>
                              </a:ext>
                            </a:extLst>
                          </a:blip>
                          <a:srcRect/>
                          <a:stretch>
                            <a:fillRect/>
                          </a:stretch>
                        </pic:blipFill>
                        <pic:spPr bwMode="auto">
                          <a:xfrm>
                            <a:off x="0" y="0"/>
                            <a:ext cx="1181100" cy="1924050"/>
                          </a:xfrm>
                          <a:prstGeom prst="rect">
                            <a:avLst/>
                          </a:prstGeom>
                          <a:noFill/>
                          <a:ln>
                            <a:noFill/>
                          </a:ln>
                        </pic:spPr>
                      </pic:pic>
                    </a:graphicData>
                  </a:graphic>
                </wp:inline>
              </w:drawing>
            </w:r>
          </w:p>
        </w:tc>
        <w:tc>
          <w:tcPr>
            <w:tcW w:w="6396" w:type="dxa"/>
            <w:shd w:val="clear" w:color="auto" w:fill="auto"/>
          </w:tcPr>
          <w:p w:rsidR="006B5008" w:rsidRDefault="006B5008" w:rsidP="007F2707">
            <w:pPr>
              <w:pStyle w:val="Sinespaciado"/>
              <w:jc w:val="center"/>
            </w:pPr>
            <w:r w:rsidRPr="004065C2">
              <w:rPr>
                <w:noProof/>
                <w:lang w:val="en-US"/>
              </w:rPr>
              <w:drawing>
                <wp:inline distT="0" distB="0" distL="0" distR="0" wp14:anchorId="3F07373C" wp14:editId="12DEDC4E">
                  <wp:extent cx="3924300" cy="2000250"/>
                  <wp:effectExtent l="0" t="0" r="0" b="0"/>
                  <wp:docPr id="2026623700" name="Imagen 202662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210" cstate="print">
                            <a:extLst>
                              <a:ext uri="{28A0092B-C50C-407E-A947-70E740481C1C}">
                                <a14:useLocalDpi xmlns:a14="http://schemas.microsoft.com/office/drawing/2010/main" val="0"/>
                              </a:ext>
                            </a:extLst>
                          </a:blip>
                          <a:srcRect/>
                          <a:stretch>
                            <a:fillRect/>
                          </a:stretch>
                        </pic:blipFill>
                        <pic:spPr bwMode="auto">
                          <a:xfrm>
                            <a:off x="0" y="0"/>
                            <a:ext cx="3924300" cy="2000250"/>
                          </a:xfrm>
                          <a:prstGeom prst="rect">
                            <a:avLst/>
                          </a:prstGeom>
                          <a:noFill/>
                          <a:ln>
                            <a:noFill/>
                          </a:ln>
                        </pic:spPr>
                      </pic:pic>
                    </a:graphicData>
                  </a:graphic>
                </wp:inline>
              </w:drawing>
            </w:r>
          </w:p>
        </w:tc>
      </w:tr>
      <w:tr w:rsidR="006B5008" w:rsidTr="007F2707">
        <w:trPr>
          <w:jc w:val="center"/>
        </w:trPr>
        <w:tc>
          <w:tcPr>
            <w:tcW w:w="2432" w:type="dxa"/>
            <w:shd w:val="clear" w:color="auto" w:fill="auto"/>
          </w:tcPr>
          <w:p w:rsidR="006B5008" w:rsidRDefault="006B5008" w:rsidP="007F2707">
            <w:pPr>
              <w:pStyle w:val="Sinespaciado"/>
              <w:jc w:val="center"/>
            </w:pPr>
            <w:r>
              <w:t>(a)</w:t>
            </w:r>
          </w:p>
        </w:tc>
        <w:tc>
          <w:tcPr>
            <w:tcW w:w="6396" w:type="dxa"/>
            <w:shd w:val="clear" w:color="auto" w:fill="auto"/>
          </w:tcPr>
          <w:p w:rsidR="006B5008" w:rsidRDefault="006B5008" w:rsidP="007F2707">
            <w:pPr>
              <w:pStyle w:val="Sinespaciado"/>
              <w:jc w:val="center"/>
            </w:pPr>
            <w:r>
              <w:t>(b)</w:t>
            </w:r>
          </w:p>
        </w:tc>
      </w:tr>
    </w:tbl>
    <w:p w:rsidR="006B5008" w:rsidRPr="00C03A6A" w:rsidRDefault="006B5008" w:rsidP="006B5008">
      <w:pPr>
        <w:jc w:val="center"/>
        <w:rPr>
          <w:rFonts w:ascii="Arial" w:hAnsi="Arial" w:cs="Arial"/>
          <w:i/>
          <w:iCs/>
          <w:sz w:val="20"/>
          <w:szCs w:val="20"/>
        </w:rPr>
      </w:pPr>
      <w:r w:rsidRPr="00C03A6A">
        <w:rPr>
          <w:rFonts w:ascii="Arial" w:hAnsi="Arial" w:cs="Arial"/>
          <w:i/>
          <w:iCs/>
          <w:sz w:val="20"/>
          <w:szCs w:val="20"/>
        </w:rPr>
        <w:t>Figura 8</w:t>
      </w:r>
      <w:r>
        <w:rPr>
          <w:rFonts w:ascii="Arial" w:hAnsi="Arial" w:cs="Arial"/>
          <w:i/>
          <w:iCs/>
          <w:sz w:val="20"/>
          <w:szCs w:val="20"/>
        </w:rPr>
        <w:t xml:space="preserve">.  Aspecto final del programa: </w:t>
      </w:r>
      <w:r w:rsidRPr="00C03A6A">
        <w:rPr>
          <w:rFonts w:ascii="Arial" w:hAnsi="Arial" w:cs="Arial"/>
          <w:i/>
          <w:iCs/>
          <w:sz w:val="20"/>
          <w:szCs w:val="20"/>
        </w:rPr>
        <w:t>(a) Pantalla de carga, (b) entorno virtual.</w:t>
      </w:r>
    </w:p>
    <w:p w:rsidR="006B5008" w:rsidRPr="00C03A6A" w:rsidRDefault="006B5008" w:rsidP="006B5008">
      <w:pPr>
        <w:ind w:firstLine="708"/>
        <w:jc w:val="both"/>
        <w:rPr>
          <w:rFonts w:ascii="Arial" w:hAnsi="Arial" w:cs="Arial"/>
        </w:rPr>
      </w:pPr>
    </w:p>
    <w:p w:rsidR="006B5008" w:rsidRDefault="006B5008" w:rsidP="006B5008">
      <w:pPr>
        <w:ind w:firstLine="708"/>
        <w:jc w:val="both"/>
        <w:rPr>
          <w:rFonts w:ascii="Arial" w:hAnsi="Arial" w:cs="Arial"/>
        </w:rPr>
      </w:pPr>
      <w:r w:rsidRPr="00C03A6A">
        <w:rPr>
          <w:rFonts w:ascii="Arial" w:hAnsi="Arial" w:cs="Arial"/>
        </w:rPr>
        <w:t>Finalmente, se validaron los cambios realizados y el funcionamiento general del programa, repitiendo el protocolo de pruebas</w:t>
      </w:r>
      <w:r>
        <w:rPr>
          <w:rFonts w:ascii="Arial" w:hAnsi="Arial" w:cs="Arial"/>
        </w:rPr>
        <w:t>, pero esta vez</w:t>
      </w:r>
      <w:r w:rsidRPr="00C03A6A">
        <w:rPr>
          <w:rFonts w:ascii="Arial" w:hAnsi="Arial" w:cs="Arial"/>
        </w:rPr>
        <w:t xml:space="preserve"> con estudiantes de </w:t>
      </w:r>
      <w:r>
        <w:rPr>
          <w:rFonts w:ascii="Arial" w:hAnsi="Arial" w:cs="Arial"/>
        </w:rPr>
        <w:t xml:space="preserve">Ingeniería Química, de </w:t>
      </w:r>
      <w:r w:rsidRPr="00C03A6A">
        <w:rPr>
          <w:rFonts w:ascii="Arial" w:hAnsi="Arial" w:cs="Arial"/>
        </w:rPr>
        <w:t>la Facultad de Química de la UNAM.   Las respuestas obtenidas a través de los cuestionarios de esta segunda etapa de validación permitieron comprobar que los cambios realizados realmente lograron mejorar la experiencia del usuario y la facilidad de uso del sistema.</w:t>
      </w:r>
      <w:r>
        <w:rPr>
          <w:rFonts w:ascii="Arial" w:hAnsi="Arial" w:cs="Arial"/>
        </w:rPr>
        <w:t xml:space="preserve">  La Tabla 2 muestra algunos de los rubros en los que se logró una mejoría sustancial; la escala de evaluación fue la misma que se utilizó previamente.</w:t>
      </w:r>
    </w:p>
    <w:p w:rsidR="006B5008" w:rsidRDefault="006B5008" w:rsidP="006B5008">
      <w:pPr>
        <w:ind w:firstLine="708"/>
        <w:jc w:val="both"/>
        <w:rPr>
          <w:rFonts w:ascii="Arial" w:hAnsi="Arial" w:cs="Arial"/>
        </w:rPr>
      </w:pPr>
    </w:p>
    <w:p w:rsidR="006B5008" w:rsidRPr="00F0520D" w:rsidRDefault="006B5008" w:rsidP="006B5008">
      <w:pPr>
        <w:tabs>
          <w:tab w:val="num" w:pos="0"/>
        </w:tabs>
        <w:spacing w:line="360" w:lineRule="auto"/>
        <w:jc w:val="center"/>
        <w:rPr>
          <w:rFonts w:ascii="Arial" w:eastAsia="Times New Roman" w:hAnsi="Arial" w:cs="Arial"/>
          <w:bCs/>
          <w:i/>
          <w:noProof/>
          <w:sz w:val="20"/>
          <w:szCs w:val="20"/>
          <w:lang w:eastAsia="en-GB"/>
        </w:rPr>
      </w:pPr>
      <w:r>
        <w:rPr>
          <w:rFonts w:ascii="Arial" w:eastAsia="Times New Roman" w:hAnsi="Arial" w:cs="Arial"/>
          <w:bCs/>
          <w:i/>
          <w:noProof/>
          <w:sz w:val="20"/>
          <w:szCs w:val="20"/>
          <w:lang w:eastAsia="en-GB"/>
        </w:rPr>
        <w:t>Tabla 2. Resultados de la segunda etapa de pruebas realizadas a Caudalis.</w:t>
      </w:r>
    </w:p>
    <w:tbl>
      <w:tblPr>
        <w:tblW w:w="9067" w:type="dxa"/>
        <w:tblCellMar>
          <w:left w:w="70" w:type="dxa"/>
          <w:right w:w="70" w:type="dxa"/>
        </w:tblCellMar>
        <w:tblLook w:val="04A0" w:firstRow="1" w:lastRow="0" w:firstColumn="1" w:lastColumn="0" w:noHBand="0" w:noVBand="1"/>
      </w:tblPr>
      <w:tblGrid>
        <w:gridCol w:w="4860"/>
        <w:gridCol w:w="626"/>
        <w:gridCol w:w="626"/>
        <w:gridCol w:w="626"/>
        <w:gridCol w:w="626"/>
        <w:gridCol w:w="626"/>
        <w:gridCol w:w="1077"/>
      </w:tblGrid>
      <w:tr w:rsidR="006B5008" w:rsidRPr="009F4A7A" w:rsidTr="007F2707">
        <w:trPr>
          <w:trHeight w:val="300"/>
        </w:trPr>
        <w:tc>
          <w:tcPr>
            <w:tcW w:w="48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5008" w:rsidRPr="009F4A7A" w:rsidRDefault="006B5008" w:rsidP="007F2707">
            <w:pPr>
              <w:jc w:val="center"/>
              <w:rPr>
                <w:rFonts w:ascii="Arial" w:eastAsia="Times New Roman" w:hAnsi="Arial" w:cs="Arial"/>
                <w:b/>
                <w:bCs/>
                <w:color w:val="000000"/>
                <w:sz w:val="20"/>
                <w:szCs w:val="20"/>
                <w:lang w:val="es-MX" w:eastAsia="es-MX"/>
              </w:rPr>
            </w:pPr>
            <w:r w:rsidRPr="009F4A7A">
              <w:rPr>
                <w:rFonts w:ascii="Arial" w:eastAsia="Times New Roman" w:hAnsi="Arial" w:cs="Arial"/>
                <w:b/>
                <w:bCs/>
                <w:color w:val="000000"/>
                <w:sz w:val="20"/>
                <w:szCs w:val="20"/>
                <w:lang w:val="es-MX" w:eastAsia="es-MX"/>
              </w:rPr>
              <w:t>Aspecto</w:t>
            </w:r>
          </w:p>
        </w:tc>
        <w:tc>
          <w:tcPr>
            <w:tcW w:w="4207" w:type="dxa"/>
            <w:gridSpan w:val="6"/>
            <w:tcBorders>
              <w:top w:val="single" w:sz="4" w:space="0" w:color="auto"/>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b/>
                <w:bCs/>
                <w:color w:val="000000"/>
                <w:sz w:val="20"/>
                <w:szCs w:val="20"/>
                <w:lang w:val="es-MX" w:eastAsia="es-MX"/>
              </w:rPr>
            </w:pPr>
            <w:r w:rsidRPr="009F4A7A">
              <w:rPr>
                <w:rFonts w:ascii="Arial" w:eastAsia="Times New Roman" w:hAnsi="Arial" w:cs="Arial"/>
                <w:b/>
                <w:bCs/>
                <w:color w:val="000000"/>
                <w:sz w:val="20"/>
                <w:szCs w:val="20"/>
                <w:lang w:val="es-MX" w:eastAsia="es-MX"/>
              </w:rPr>
              <w:t>Calificación</w:t>
            </w:r>
          </w:p>
        </w:tc>
      </w:tr>
      <w:tr w:rsidR="006B5008" w:rsidRPr="009F4A7A" w:rsidTr="007F2707">
        <w:trPr>
          <w:trHeight w:val="300"/>
        </w:trPr>
        <w:tc>
          <w:tcPr>
            <w:tcW w:w="4860" w:type="dxa"/>
            <w:vMerge/>
            <w:tcBorders>
              <w:top w:val="single" w:sz="4" w:space="0" w:color="auto"/>
              <w:left w:val="single" w:sz="4" w:space="0" w:color="auto"/>
              <w:bottom w:val="single" w:sz="4" w:space="0" w:color="auto"/>
              <w:right w:val="single" w:sz="4" w:space="0" w:color="auto"/>
            </w:tcBorders>
            <w:vAlign w:val="center"/>
            <w:hideMark/>
          </w:tcPr>
          <w:p w:rsidR="006B5008" w:rsidRPr="009F4A7A" w:rsidRDefault="006B5008" w:rsidP="007F2707">
            <w:pPr>
              <w:rPr>
                <w:rFonts w:ascii="Arial" w:eastAsia="Times New Roman" w:hAnsi="Arial" w:cs="Arial"/>
                <w:b/>
                <w:bCs/>
                <w:color w:val="000000"/>
                <w:sz w:val="20"/>
                <w:szCs w:val="20"/>
                <w:lang w:val="es-MX" w:eastAsia="es-MX"/>
              </w:rPr>
            </w:pP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b/>
                <w:bCs/>
                <w:color w:val="000000"/>
                <w:sz w:val="20"/>
                <w:szCs w:val="20"/>
                <w:lang w:val="es-MX" w:eastAsia="es-MX"/>
              </w:rPr>
            </w:pPr>
            <w:r w:rsidRPr="009F4A7A">
              <w:rPr>
                <w:rFonts w:ascii="Arial" w:eastAsia="Times New Roman" w:hAnsi="Arial" w:cs="Arial"/>
                <w:b/>
                <w:bCs/>
                <w:color w:val="000000"/>
                <w:sz w:val="20"/>
                <w:szCs w:val="20"/>
                <w:lang w:val="es-MX" w:eastAsia="es-MX"/>
              </w:rPr>
              <w:t>1</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b/>
                <w:bCs/>
                <w:color w:val="000000"/>
                <w:sz w:val="20"/>
                <w:szCs w:val="20"/>
                <w:lang w:val="es-MX" w:eastAsia="es-MX"/>
              </w:rPr>
            </w:pPr>
            <w:r w:rsidRPr="009F4A7A">
              <w:rPr>
                <w:rFonts w:ascii="Arial" w:eastAsia="Times New Roman" w:hAnsi="Arial" w:cs="Arial"/>
                <w:b/>
                <w:bCs/>
                <w:color w:val="000000"/>
                <w:sz w:val="20"/>
                <w:szCs w:val="20"/>
                <w:lang w:val="es-MX" w:eastAsia="es-MX"/>
              </w:rPr>
              <w:t>2</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b/>
                <w:bCs/>
                <w:color w:val="000000"/>
                <w:sz w:val="20"/>
                <w:szCs w:val="20"/>
                <w:lang w:val="es-MX" w:eastAsia="es-MX"/>
              </w:rPr>
            </w:pPr>
            <w:r w:rsidRPr="009F4A7A">
              <w:rPr>
                <w:rFonts w:ascii="Arial" w:eastAsia="Times New Roman" w:hAnsi="Arial" w:cs="Arial"/>
                <w:b/>
                <w:bCs/>
                <w:color w:val="000000"/>
                <w:sz w:val="20"/>
                <w:szCs w:val="20"/>
                <w:lang w:val="es-MX" w:eastAsia="es-MX"/>
              </w:rPr>
              <w:t>3</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b/>
                <w:bCs/>
                <w:color w:val="000000"/>
                <w:sz w:val="20"/>
                <w:szCs w:val="20"/>
                <w:lang w:val="es-MX" w:eastAsia="es-MX"/>
              </w:rPr>
            </w:pPr>
            <w:r w:rsidRPr="009F4A7A">
              <w:rPr>
                <w:rFonts w:ascii="Arial" w:eastAsia="Times New Roman" w:hAnsi="Arial" w:cs="Arial"/>
                <w:b/>
                <w:bCs/>
                <w:color w:val="000000"/>
                <w:sz w:val="20"/>
                <w:szCs w:val="20"/>
                <w:lang w:val="es-MX" w:eastAsia="es-MX"/>
              </w:rPr>
              <w:t>4</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b/>
                <w:bCs/>
                <w:color w:val="000000"/>
                <w:sz w:val="20"/>
                <w:szCs w:val="20"/>
                <w:lang w:val="es-MX" w:eastAsia="es-MX"/>
              </w:rPr>
            </w:pPr>
            <w:r w:rsidRPr="009F4A7A">
              <w:rPr>
                <w:rFonts w:ascii="Arial" w:eastAsia="Times New Roman" w:hAnsi="Arial" w:cs="Arial"/>
                <w:b/>
                <w:bCs/>
                <w:color w:val="000000"/>
                <w:sz w:val="20"/>
                <w:szCs w:val="20"/>
                <w:lang w:val="es-MX" w:eastAsia="es-MX"/>
              </w:rPr>
              <w:t>5</w:t>
            </w:r>
          </w:p>
        </w:tc>
        <w:tc>
          <w:tcPr>
            <w:tcW w:w="1077"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b/>
                <w:bCs/>
                <w:color w:val="000000"/>
                <w:sz w:val="20"/>
                <w:szCs w:val="20"/>
                <w:lang w:val="es-MX" w:eastAsia="es-MX"/>
              </w:rPr>
            </w:pPr>
            <w:r w:rsidRPr="009F4A7A">
              <w:rPr>
                <w:rFonts w:ascii="Arial" w:eastAsia="Times New Roman" w:hAnsi="Arial" w:cs="Arial"/>
                <w:b/>
                <w:bCs/>
                <w:color w:val="000000"/>
                <w:sz w:val="20"/>
                <w:szCs w:val="20"/>
                <w:lang w:val="es-MX" w:eastAsia="es-MX"/>
              </w:rPr>
              <w:t>Promedio</w:t>
            </w:r>
          </w:p>
        </w:tc>
      </w:tr>
      <w:tr w:rsidR="006B5008" w:rsidRPr="009F4A7A" w:rsidTr="007F2707">
        <w:trPr>
          <w:trHeight w:val="300"/>
        </w:trPr>
        <w:tc>
          <w:tcPr>
            <w:tcW w:w="4860" w:type="dxa"/>
            <w:tcBorders>
              <w:top w:val="nil"/>
              <w:left w:val="single" w:sz="4" w:space="0" w:color="auto"/>
              <w:bottom w:val="single" w:sz="4" w:space="0" w:color="auto"/>
              <w:right w:val="single" w:sz="4" w:space="0" w:color="auto"/>
            </w:tcBorders>
            <w:shd w:val="clear" w:color="auto" w:fill="auto"/>
            <w:noWrap/>
            <w:vAlign w:val="bottom"/>
            <w:hideMark/>
          </w:tcPr>
          <w:p w:rsidR="006B5008" w:rsidRPr="009F4A7A" w:rsidRDefault="006B5008" w:rsidP="007F2707">
            <w:pP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Velocidad de desplazamiento</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1</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1</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4</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3</w:t>
            </w:r>
          </w:p>
        </w:tc>
        <w:tc>
          <w:tcPr>
            <w:tcW w:w="1077"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4.0</w:t>
            </w:r>
          </w:p>
        </w:tc>
      </w:tr>
      <w:tr w:rsidR="006B5008" w:rsidRPr="009F4A7A" w:rsidTr="007F2707">
        <w:trPr>
          <w:trHeight w:val="300"/>
        </w:trPr>
        <w:tc>
          <w:tcPr>
            <w:tcW w:w="4860" w:type="dxa"/>
            <w:tcBorders>
              <w:top w:val="nil"/>
              <w:left w:val="single" w:sz="4" w:space="0" w:color="auto"/>
              <w:bottom w:val="single" w:sz="4" w:space="0" w:color="auto"/>
              <w:right w:val="single" w:sz="4" w:space="0" w:color="auto"/>
            </w:tcBorders>
            <w:shd w:val="clear" w:color="auto" w:fill="auto"/>
            <w:noWrap/>
            <w:vAlign w:val="bottom"/>
            <w:hideMark/>
          </w:tcPr>
          <w:p w:rsidR="006B5008" w:rsidRPr="009F4A7A" w:rsidRDefault="006B5008" w:rsidP="007F2707">
            <w:pP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Claridad de las instrucciones</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1</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1</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7</w:t>
            </w:r>
          </w:p>
        </w:tc>
        <w:tc>
          <w:tcPr>
            <w:tcW w:w="1077"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4.4</w:t>
            </w:r>
          </w:p>
        </w:tc>
      </w:tr>
      <w:tr w:rsidR="006B5008" w:rsidRPr="009F4A7A" w:rsidTr="007F2707">
        <w:trPr>
          <w:trHeight w:val="300"/>
        </w:trPr>
        <w:tc>
          <w:tcPr>
            <w:tcW w:w="4860" w:type="dxa"/>
            <w:tcBorders>
              <w:top w:val="nil"/>
              <w:left w:val="single" w:sz="4" w:space="0" w:color="auto"/>
              <w:bottom w:val="single" w:sz="4" w:space="0" w:color="auto"/>
              <w:right w:val="single" w:sz="4" w:space="0" w:color="auto"/>
            </w:tcBorders>
            <w:shd w:val="clear" w:color="auto" w:fill="auto"/>
            <w:noWrap/>
            <w:vAlign w:val="bottom"/>
            <w:hideMark/>
          </w:tcPr>
          <w:p w:rsidR="006B5008" w:rsidRPr="009F4A7A" w:rsidRDefault="006B5008" w:rsidP="007F2707">
            <w:pP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lastRenderedPageBreak/>
              <w:t>Similitud del entorno con un laboratorio real</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0</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5</w:t>
            </w:r>
          </w:p>
        </w:tc>
        <w:tc>
          <w:tcPr>
            <w:tcW w:w="626"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4</w:t>
            </w:r>
          </w:p>
        </w:tc>
        <w:tc>
          <w:tcPr>
            <w:tcW w:w="1077" w:type="dxa"/>
            <w:tcBorders>
              <w:top w:val="nil"/>
              <w:left w:val="nil"/>
              <w:bottom w:val="single" w:sz="4" w:space="0" w:color="auto"/>
              <w:right w:val="single" w:sz="4" w:space="0" w:color="auto"/>
            </w:tcBorders>
            <w:shd w:val="clear" w:color="auto" w:fill="auto"/>
            <w:noWrap/>
            <w:vAlign w:val="bottom"/>
            <w:hideMark/>
          </w:tcPr>
          <w:p w:rsidR="006B5008" w:rsidRPr="009F4A7A" w:rsidRDefault="006B5008" w:rsidP="007F2707">
            <w:pPr>
              <w:jc w:val="center"/>
              <w:rPr>
                <w:rFonts w:ascii="Arial" w:eastAsia="Times New Roman" w:hAnsi="Arial" w:cs="Arial"/>
                <w:color w:val="000000"/>
                <w:sz w:val="20"/>
                <w:szCs w:val="20"/>
                <w:lang w:val="es-MX" w:eastAsia="es-MX"/>
              </w:rPr>
            </w:pPr>
            <w:r w:rsidRPr="009F4A7A">
              <w:rPr>
                <w:rFonts w:ascii="Arial" w:eastAsia="Times New Roman" w:hAnsi="Arial" w:cs="Arial"/>
                <w:color w:val="000000"/>
                <w:sz w:val="20"/>
                <w:szCs w:val="20"/>
                <w:lang w:val="es-MX" w:eastAsia="es-MX"/>
              </w:rPr>
              <w:t>4.4</w:t>
            </w:r>
          </w:p>
        </w:tc>
      </w:tr>
    </w:tbl>
    <w:p w:rsidR="006B5008" w:rsidRDefault="006B5008" w:rsidP="006B5008">
      <w:pPr>
        <w:jc w:val="both"/>
        <w:rPr>
          <w:rFonts w:ascii="Arial" w:hAnsi="Arial" w:cs="Arial"/>
        </w:rPr>
      </w:pPr>
    </w:p>
    <w:p w:rsidR="006B5008" w:rsidRDefault="006B5008" w:rsidP="006B5008">
      <w:pPr>
        <w:ind w:firstLine="708"/>
        <w:jc w:val="both"/>
        <w:rPr>
          <w:rFonts w:ascii="Arial" w:hAnsi="Arial" w:cs="Arial"/>
        </w:rPr>
      </w:pPr>
    </w:p>
    <w:p w:rsidR="006B5008" w:rsidRPr="005C5A94" w:rsidRDefault="006B5008" w:rsidP="006B5008">
      <w:pPr>
        <w:pStyle w:val="Ttulo1"/>
        <w:keepLines w:val="0"/>
        <w:tabs>
          <w:tab w:val="left" w:pos="0"/>
        </w:tabs>
        <w:suppressAutoHyphens/>
        <w:spacing w:before="0" w:after="0" w:line="360" w:lineRule="auto"/>
        <w:rPr>
          <w:rFonts w:ascii="Arial" w:hAnsi="Arial" w:cs="Arial"/>
          <w:i/>
          <w:sz w:val="24"/>
          <w:szCs w:val="24"/>
        </w:rPr>
      </w:pPr>
      <w:bookmarkStart w:id="331" w:name="_Toc50031378"/>
      <w:r w:rsidRPr="005C5A94">
        <w:rPr>
          <w:rFonts w:ascii="Arial" w:hAnsi="Arial" w:cs="Arial"/>
          <w:i/>
          <w:caps/>
          <w:sz w:val="24"/>
          <w:szCs w:val="24"/>
        </w:rPr>
        <w:t xml:space="preserve">4. </w:t>
      </w:r>
      <w:r w:rsidRPr="005C5A94">
        <w:rPr>
          <w:rFonts w:ascii="Arial" w:hAnsi="Arial" w:cs="Arial"/>
          <w:i/>
          <w:sz w:val="24"/>
          <w:szCs w:val="24"/>
        </w:rPr>
        <w:t>Resultados y discusión</w:t>
      </w:r>
      <w:bookmarkEnd w:id="331"/>
    </w:p>
    <w:p w:rsidR="006B5008" w:rsidRDefault="006B5008" w:rsidP="006B5008">
      <w:pPr>
        <w:pStyle w:val="Textoindependiente"/>
        <w:ind w:firstLine="539"/>
        <w:jc w:val="both"/>
        <w:rPr>
          <w:rFonts w:ascii="Arial" w:hAnsi="Arial" w:cs="Arial"/>
          <w:b w:val="0"/>
          <w:sz w:val="24"/>
        </w:rPr>
      </w:pPr>
      <w:r>
        <w:rPr>
          <w:rFonts w:ascii="Arial" w:hAnsi="Arial" w:cs="Arial"/>
          <w:b w:val="0"/>
          <w:sz w:val="24"/>
        </w:rPr>
        <w:t>Los resultados obtenidos, tras haber recibido una retroalimentación mediante dos iteraciones del protocolo de pruebas aplicado a estudiantes de Ingeniería, permitieron constatar el buen funcionamiento general del software desarrollado, su facilidad de uso y su idoneidad como herramienta didáctica.</w:t>
      </w:r>
    </w:p>
    <w:p w:rsidR="006B5008" w:rsidRDefault="006B5008" w:rsidP="006B5008">
      <w:pPr>
        <w:pStyle w:val="Textoindependiente"/>
        <w:ind w:firstLine="539"/>
        <w:jc w:val="both"/>
        <w:rPr>
          <w:rFonts w:ascii="Arial" w:hAnsi="Arial" w:cs="Arial"/>
          <w:b w:val="0"/>
          <w:sz w:val="24"/>
        </w:rPr>
      </w:pPr>
      <w:r>
        <w:rPr>
          <w:rFonts w:ascii="Arial" w:hAnsi="Arial" w:cs="Arial"/>
          <w:b w:val="0"/>
          <w:sz w:val="24"/>
        </w:rPr>
        <w:t>Se comprobó que el espacio de trabajo definido es apropiado y que también se logró establecer una velocidad de desplazamiento adecuada que, a su vez, permitió reducir la sensación de mareo que pueden llegar a experimentar algunos usuarios al encontrarse inmersos en entornos virtuales.</w:t>
      </w:r>
    </w:p>
    <w:p w:rsidR="006B5008" w:rsidRDefault="006B5008" w:rsidP="006B5008">
      <w:pPr>
        <w:pStyle w:val="Textoindependiente"/>
        <w:ind w:firstLine="539"/>
        <w:jc w:val="both"/>
        <w:rPr>
          <w:rFonts w:ascii="Arial" w:hAnsi="Arial" w:cs="Arial"/>
          <w:b w:val="0"/>
          <w:sz w:val="24"/>
        </w:rPr>
      </w:pPr>
      <w:r>
        <w:rPr>
          <w:rFonts w:ascii="Arial" w:hAnsi="Arial" w:cs="Arial"/>
          <w:b w:val="0"/>
          <w:sz w:val="24"/>
        </w:rPr>
        <w:t>Al haberse incluido instrucciones de uso dentro del entorno virtual, que fueran claras para los usuarios, resultó más fácil y rápida su adaptación y se redujo el tiempo de aprendizaje de su funcionamiento.</w:t>
      </w:r>
    </w:p>
    <w:p w:rsidR="006B5008" w:rsidRPr="00FA5EA4" w:rsidRDefault="006B5008" w:rsidP="006B5008">
      <w:pPr>
        <w:pStyle w:val="Textoindependiente"/>
        <w:ind w:firstLine="539"/>
        <w:jc w:val="both"/>
        <w:rPr>
          <w:rFonts w:ascii="Arial" w:hAnsi="Arial" w:cs="Arial"/>
          <w:b w:val="0"/>
          <w:sz w:val="24"/>
        </w:rPr>
      </w:pPr>
      <w:r>
        <w:rPr>
          <w:rFonts w:ascii="Arial" w:hAnsi="Arial" w:cs="Arial"/>
          <w:b w:val="0"/>
          <w:sz w:val="24"/>
        </w:rPr>
        <w:t xml:space="preserve">Se está trabajando actualmente en la mejora de este software, no sólo en cuanto al aspecto gráfico de los objetos virtuales.  Se tiene considerado mejorar el sistema de partículas, para lograr una apariencia más real del flujo de agua.  Se ampliará la cantidad de elementos hidráulicos disponibles, incorporando:  </w:t>
      </w:r>
      <w:r w:rsidRPr="00736EFE">
        <w:rPr>
          <w:rFonts w:ascii="Arial" w:hAnsi="Arial" w:cs="Arial"/>
          <w:b w:val="0"/>
          <w:sz w:val="24"/>
        </w:rPr>
        <w:t xml:space="preserve">uniones </w:t>
      </w:r>
      <w:r w:rsidRPr="00656DB0">
        <w:rPr>
          <w:rFonts w:ascii="Arial" w:hAnsi="Arial" w:cs="Arial"/>
          <w:b w:val="0"/>
          <w:sz w:val="24"/>
        </w:rPr>
        <w:t>en Y</w:t>
      </w:r>
      <w:r w:rsidRPr="00736EFE">
        <w:rPr>
          <w:rFonts w:ascii="Arial" w:hAnsi="Arial" w:cs="Arial"/>
          <w:b w:val="0"/>
          <w:sz w:val="24"/>
        </w:rPr>
        <w:t>, uniones en T</w:t>
      </w:r>
      <w:r w:rsidRPr="00915095">
        <w:rPr>
          <w:rFonts w:ascii="Arial" w:hAnsi="Arial" w:cs="Arial"/>
          <w:b w:val="0"/>
          <w:sz w:val="24"/>
        </w:rPr>
        <w:t>, codos</w:t>
      </w:r>
      <w:r w:rsidRPr="00656DB0">
        <w:rPr>
          <w:rFonts w:ascii="Arial" w:hAnsi="Arial" w:cs="Arial"/>
          <w:b w:val="0"/>
          <w:sz w:val="24"/>
        </w:rPr>
        <w:t xml:space="preserve"> y válvulas de bola</w:t>
      </w:r>
      <w:r>
        <w:rPr>
          <w:rFonts w:ascii="Arial" w:hAnsi="Arial" w:cs="Arial"/>
          <w:b w:val="0"/>
          <w:sz w:val="24"/>
        </w:rPr>
        <w:t>.  Adicionalmente, se desea brindar a los usuarios la posibilidad de personalizar las dimensiones de la tubería:  longitud y diámetro.</w:t>
      </w:r>
    </w:p>
    <w:p w:rsidR="006B5008" w:rsidRDefault="006B5008" w:rsidP="006B5008">
      <w:pPr>
        <w:pStyle w:val="Textoindependiente"/>
        <w:ind w:firstLine="539"/>
        <w:rPr>
          <w:rFonts w:ascii="Arial" w:hAnsi="Arial" w:cs="Arial"/>
          <w:sz w:val="24"/>
        </w:rPr>
      </w:pPr>
    </w:p>
    <w:p w:rsidR="006B5008" w:rsidRPr="005C5A94" w:rsidRDefault="006B5008" w:rsidP="006B5008">
      <w:pPr>
        <w:pStyle w:val="Ttulo1"/>
        <w:keepLines w:val="0"/>
        <w:tabs>
          <w:tab w:val="left" w:pos="0"/>
        </w:tabs>
        <w:suppressAutoHyphens/>
        <w:spacing w:before="0" w:after="0" w:line="360" w:lineRule="auto"/>
        <w:rPr>
          <w:rFonts w:ascii="Arial" w:hAnsi="Arial" w:cs="Arial"/>
          <w:i/>
          <w:sz w:val="24"/>
          <w:szCs w:val="24"/>
        </w:rPr>
      </w:pPr>
      <w:bookmarkStart w:id="332" w:name="_Toc50031379"/>
      <w:r w:rsidRPr="005C5A94">
        <w:rPr>
          <w:rFonts w:ascii="Arial" w:hAnsi="Arial" w:cs="Arial"/>
          <w:i/>
          <w:caps/>
          <w:sz w:val="24"/>
          <w:szCs w:val="24"/>
        </w:rPr>
        <w:t xml:space="preserve">5. </w:t>
      </w:r>
      <w:r w:rsidRPr="005C5A94">
        <w:rPr>
          <w:rFonts w:ascii="Arial" w:hAnsi="Arial" w:cs="Arial"/>
          <w:i/>
          <w:sz w:val="24"/>
          <w:szCs w:val="24"/>
        </w:rPr>
        <w:t>Conclusiones</w:t>
      </w:r>
      <w:bookmarkEnd w:id="332"/>
    </w:p>
    <w:p w:rsidR="006B5008" w:rsidRDefault="006B5008" w:rsidP="006B5008">
      <w:pPr>
        <w:pStyle w:val="Textoindependiente"/>
        <w:ind w:firstLine="539"/>
        <w:jc w:val="both"/>
        <w:rPr>
          <w:rFonts w:ascii="Arial" w:hAnsi="Arial" w:cs="Arial"/>
          <w:b w:val="0"/>
          <w:sz w:val="24"/>
        </w:rPr>
      </w:pPr>
      <w:r w:rsidRPr="00FA5EA4">
        <w:rPr>
          <w:rFonts w:ascii="Arial" w:hAnsi="Arial" w:cs="Arial"/>
          <w:b w:val="0"/>
          <w:sz w:val="24"/>
        </w:rPr>
        <w:t>E</w:t>
      </w:r>
      <w:r>
        <w:rPr>
          <w:rFonts w:ascii="Arial" w:hAnsi="Arial" w:cs="Arial"/>
          <w:b w:val="0"/>
          <w:sz w:val="24"/>
        </w:rPr>
        <w:t>l uso y aplicación de tecnologías actuales</w:t>
      </w:r>
      <w:r w:rsidRPr="00656DB0">
        <w:rPr>
          <w:rFonts w:ascii="Arial" w:hAnsi="Arial" w:cs="Arial"/>
          <w:b w:val="0"/>
          <w:sz w:val="24"/>
        </w:rPr>
        <w:t xml:space="preserve"> </w:t>
      </w:r>
      <w:r>
        <w:rPr>
          <w:rFonts w:ascii="Arial" w:hAnsi="Arial" w:cs="Arial"/>
          <w:b w:val="0"/>
          <w:sz w:val="24"/>
        </w:rPr>
        <w:t>en el proceso educativo como, en este caso, la realidad virtual para la formación de ingenieros ofrece un gran potencial en varios aspectos, tales como:</w:t>
      </w:r>
    </w:p>
    <w:p w:rsidR="006B5008" w:rsidRDefault="006B5008" w:rsidP="006B5008">
      <w:pPr>
        <w:pStyle w:val="Textoindependiente"/>
        <w:numPr>
          <w:ilvl w:val="0"/>
          <w:numId w:val="50"/>
        </w:numPr>
        <w:suppressAutoHyphens/>
        <w:spacing w:after="0" w:line="240" w:lineRule="auto"/>
        <w:jc w:val="both"/>
        <w:rPr>
          <w:rFonts w:ascii="Arial" w:hAnsi="Arial" w:cs="Arial"/>
          <w:b w:val="0"/>
          <w:sz w:val="24"/>
        </w:rPr>
      </w:pPr>
      <w:r>
        <w:rPr>
          <w:rFonts w:ascii="Arial" w:hAnsi="Arial" w:cs="Arial"/>
          <w:b w:val="0"/>
          <w:sz w:val="24"/>
        </w:rPr>
        <w:t>Facilitar el aprendizaje de los estudiantes, a través de una herramienta interactiva de uso sencillo, clara, ilustrativa y entretenida.</w:t>
      </w:r>
    </w:p>
    <w:p w:rsidR="006B5008" w:rsidRDefault="006B5008" w:rsidP="006B5008">
      <w:pPr>
        <w:pStyle w:val="Textoindependiente"/>
        <w:numPr>
          <w:ilvl w:val="0"/>
          <w:numId w:val="50"/>
        </w:numPr>
        <w:suppressAutoHyphens/>
        <w:spacing w:after="0" w:line="240" w:lineRule="auto"/>
        <w:jc w:val="both"/>
        <w:rPr>
          <w:rFonts w:ascii="Arial" w:hAnsi="Arial" w:cs="Arial"/>
          <w:b w:val="0"/>
          <w:sz w:val="24"/>
        </w:rPr>
      </w:pPr>
      <w:r>
        <w:rPr>
          <w:rFonts w:ascii="Arial" w:hAnsi="Arial" w:cs="Arial"/>
          <w:b w:val="0"/>
          <w:sz w:val="24"/>
        </w:rPr>
        <w:t>Reducir sustancialmente los costos de realización de las prácticas, sin menoscabo de la calidad de la enseñanza, al permitir migrar de un sistema de experimentación real a un sistema de experimentación virtual; lo que no sólo elimina la necesidad de contar con una infraestructura física, sino que también reduce los costos operativos al prescindir, en este caso, de la operación de la bomba hidráulica y del consumo de agua.</w:t>
      </w:r>
    </w:p>
    <w:p w:rsidR="006B5008" w:rsidRDefault="006B5008" w:rsidP="006B5008">
      <w:pPr>
        <w:pStyle w:val="Textoindependiente"/>
        <w:numPr>
          <w:ilvl w:val="0"/>
          <w:numId w:val="50"/>
        </w:numPr>
        <w:suppressAutoHyphens/>
        <w:spacing w:after="0" w:line="240" w:lineRule="auto"/>
        <w:jc w:val="both"/>
        <w:rPr>
          <w:rFonts w:ascii="Arial" w:hAnsi="Arial" w:cs="Arial"/>
          <w:b w:val="0"/>
          <w:sz w:val="24"/>
        </w:rPr>
      </w:pPr>
      <w:r w:rsidRPr="00464038">
        <w:rPr>
          <w:rFonts w:ascii="Arial" w:hAnsi="Arial" w:cs="Arial"/>
          <w:b w:val="0"/>
          <w:sz w:val="24"/>
        </w:rPr>
        <w:lastRenderedPageBreak/>
        <w:t>En esta aplicación se observan, además, las siguientes ventajas.  Desde los puntos de vista económico y ecológico, se racionaliza el consumo de servicios como energía y agua potable.  Se optimiza el tiempo en la sesión de clase, reduciendo sustancialmente el tiempo requerido para intercambiar las placas de orificio.  Se añade flexibilidad experimental al poder variar, a voluntad y en pocos segundos, la configuración de la tubería, sin incurrir en ningún tipo de costos adicionales por concepto de materiales ni de mano de obra.</w:t>
      </w:r>
    </w:p>
    <w:p w:rsidR="006B5008" w:rsidRPr="00464038" w:rsidRDefault="006B5008" w:rsidP="006B5008">
      <w:pPr>
        <w:pStyle w:val="Textoindependiente"/>
        <w:numPr>
          <w:ilvl w:val="0"/>
          <w:numId w:val="50"/>
        </w:numPr>
        <w:suppressAutoHyphens/>
        <w:spacing w:after="0" w:line="240" w:lineRule="auto"/>
        <w:jc w:val="both"/>
        <w:rPr>
          <w:rFonts w:ascii="Arial" w:hAnsi="Arial" w:cs="Arial"/>
          <w:b w:val="0"/>
          <w:sz w:val="24"/>
        </w:rPr>
      </w:pPr>
      <w:r w:rsidRPr="00464038">
        <w:rPr>
          <w:rFonts w:ascii="Arial" w:hAnsi="Arial" w:cs="Arial"/>
          <w:b w:val="0"/>
          <w:sz w:val="24"/>
        </w:rPr>
        <w:t>Este desarrollo permitirá incorporar nuevas soluciones didácticas para otras asignaturas de corte teórico dentro de los planes curriculares de ingeniería.</w:t>
      </w:r>
    </w:p>
    <w:p w:rsidR="006B5008" w:rsidRDefault="006B5008" w:rsidP="006B5008">
      <w:pPr>
        <w:spacing w:before="240"/>
        <w:ind w:firstLine="567"/>
        <w:jc w:val="both"/>
        <w:rPr>
          <w:rFonts w:ascii="Arial" w:hAnsi="Arial" w:cs="Arial"/>
        </w:rPr>
      </w:pPr>
      <w:r>
        <w:rPr>
          <w:rFonts w:ascii="Arial" w:hAnsi="Arial" w:cs="Arial"/>
        </w:rPr>
        <w:t>Se agradece el apoyo brindado al</w:t>
      </w:r>
      <w:r w:rsidRPr="00AA09DD">
        <w:rPr>
          <w:rFonts w:ascii="Arial" w:hAnsi="Arial" w:cs="Arial"/>
        </w:rPr>
        <w:t xml:space="preserve"> Programa de Apoyo a Proyectos para Inno</w:t>
      </w:r>
      <w:r>
        <w:rPr>
          <w:rFonts w:ascii="Arial" w:hAnsi="Arial" w:cs="Arial"/>
        </w:rPr>
        <w:t xml:space="preserve">var y Mejorar la Educación </w:t>
      </w:r>
      <w:r w:rsidRPr="00AA09DD">
        <w:rPr>
          <w:rFonts w:ascii="Arial" w:hAnsi="Arial" w:cs="Arial"/>
        </w:rPr>
        <w:t xml:space="preserve">PAPIME </w:t>
      </w:r>
      <w:r>
        <w:rPr>
          <w:rFonts w:ascii="Arial" w:hAnsi="Arial" w:cs="Arial"/>
        </w:rPr>
        <w:t xml:space="preserve">con clave </w:t>
      </w:r>
      <w:r w:rsidRPr="00AA09DD">
        <w:rPr>
          <w:rFonts w:ascii="Arial" w:hAnsi="Arial" w:cs="Arial"/>
        </w:rPr>
        <w:t>PE108419</w:t>
      </w:r>
      <w:r>
        <w:rPr>
          <w:rFonts w:ascii="Arial" w:hAnsi="Arial" w:cs="Arial"/>
        </w:rPr>
        <w:t>, sin el cual no habría sido posible la realización de este trabajo</w:t>
      </w:r>
      <w:r w:rsidRPr="00AA09DD">
        <w:rPr>
          <w:rFonts w:ascii="Arial" w:hAnsi="Arial" w:cs="Arial"/>
        </w:rPr>
        <w:t>.</w:t>
      </w:r>
    </w:p>
    <w:p w:rsidR="006B5008" w:rsidRPr="00FA5EA4" w:rsidRDefault="006B5008" w:rsidP="006B5008">
      <w:pPr>
        <w:pStyle w:val="Textoindependiente"/>
        <w:ind w:firstLine="539"/>
        <w:rPr>
          <w:rFonts w:ascii="Arial" w:hAnsi="Arial" w:cs="Arial"/>
          <w:b w:val="0"/>
          <w:sz w:val="24"/>
        </w:rPr>
      </w:pPr>
    </w:p>
    <w:p w:rsidR="006B5008" w:rsidRPr="005C5A94" w:rsidRDefault="006B5008" w:rsidP="006B5008">
      <w:pPr>
        <w:pStyle w:val="Ttulo1"/>
        <w:keepLines w:val="0"/>
        <w:tabs>
          <w:tab w:val="left" w:pos="0"/>
        </w:tabs>
        <w:suppressAutoHyphens/>
        <w:spacing w:before="0" w:after="0" w:line="360" w:lineRule="auto"/>
        <w:rPr>
          <w:rFonts w:ascii="Arial" w:hAnsi="Arial" w:cs="Arial"/>
          <w:i/>
          <w:sz w:val="24"/>
          <w:szCs w:val="24"/>
        </w:rPr>
      </w:pPr>
      <w:bookmarkStart w:id="333" w:name="_Toc50031380"/>
      <w:r w:rsidRPr="005C5A94">
        <w:rPr>
          <w:rFonts w:ascii="Arial" w:hAnsi="Arial" w:cs="Arial"/>
          <w:i/>
          <w:caps/>
          <w:sz w:val="24"/>
          <w:szCs w:val="24"/>
        </w:rPr>
        <w:t xml:space="preserve">6. </w:t>
      </w:r>
      <w:r w:rsidRPr="005C5A94">
        <w:rPr>
          <w:rFonts w:ascii="Arial" w:hAnsi="Arial" w:cs="Arial"/>
          <w:i/>
          <w:sz w:val="24"/>
          <w:szCs w:val="24"/>
        </w:rPr>
        <w:t>Bibliografía</w:t>
      </w:r>
      <w:bookmarkEnd w:id="333"/>
    </w:p>
    <w:p w:rsidR="006B5008" w:rsidRDefault="006B5008" w:rsidP="006B5008">
      <w:pPr>
        <w:tabs>
          <w:tab w:val="left" w:pos="0"/>
        </w:tabs>
        <w:jc w:val="both"/>
        <w:rPr>
          <w:rFonts w:ascii="Arial" w:hAnsi="Arial" w:cs="Arial"/>
        </w:rPr>
      </w:pPr>
    </w:p>
    <w:p w:rsidR="006B5008" w:rsidRDefault="006B5008" w:rsidP="006B5008">
      <w:pPr>
        <w:numPr>
          <w:ilvl w:val="0"/>
          <w:numId w:val="7"/>
        </w:numPr>
        <w:tabs>
          <w:tab w:val="left" w:pos="750"/>
        </w:tabs>
        <w:suppressAutoHyphens/>
        <w:spacing w:after="0" w:line="240" w:lineRule="auto"/>
        <w:jc w:val="both"/>
        <w:rPr>
          <w:rFonts w:ascii="Arial" w:hAnsi="Arial" w:cs="Arial"/>
          <w:lang w:val="en-US"/>
        </w:rPr>
      </w:pPr>
      <w:r w:rsidRPr="0043213D">
        <w:rPr>
          <w:rFonts w:ascii="Arial" w:hAnsi="Arial" w:cs="Arial"/>
          <w:lang w:val="en-US"/>
        </w:rPr>
        <w:t>Instrument Engineers Handbook: Process Measurement and Analysis, Fourth Edition, VOLUME 1</w:t>
      </w:r>
    </w:p>
    <w:p w:rsidR="006B5008" w:rsidRPr="0043213D" w:rsidRDefault="006B5008" w:rsidP="006B5008">
      <w:pPr>
        <w:numPr>
          <w:ilvl w:val="0"/>
          <w:numId w:val="7"/>
        </w:numPr>
        <w:tabs>
          <w:tab w:val="left" w:pos="750"/>
        </w:tabs>
        <w:suppressAutoHyphens/>
        <w:spacing w:after="0" w:line="240" w:lineRule="auto"/>
        <w:jc w:val="both"/>
        <w:rPr>
          <w:rFonts w:ascii="Arial" w:hAnsi="Arial" w:cs="Arial"/>
          <w:lang w:val="en-US"/>
        </w:rPr>
      </w:pPr>
      <w:r w:rsidRPr="0043213D">
        <w:rPr>
          <w:rFonts w:ascii="Arial" w:hAnsi="Arial" w:cs="Arial"/>
          <w:lang w:val="es-MX"/>
        </w:rPr>
        <w:t xml:space="preserve">“PLACA DE ORIFICIO | Que es, como funciona y aplicaciones.” </w:t>
      </w:r>
      <w:r w:rsidRPr="0043213D">
        <w:rPr>
          <w:rFonts w:ascii="Arial" w:hAnsi="Arial" w:cs="Arial"/>
          <w:lang w:val="en-US"/>
        </w:rPr>
        <w:t>[Online]. Available: https://como-funciona.co/una-placa-de-orificio/. [Accessed: 12-Oct-2019].</w:t>
      </w:r>
    </w:p>
    <w:p w:rsidR="006B5008" w:rsidRPr="00144EBD" w:rsidRDefault="006B5008" w:rsidP="006B5008">
      <w:pPr>
        <w:numPr>
          <w:ilvl w:val="0"/>
          <w:numId w:val="7"/>
        </w:numPr>
        <w:tabs>
          <w:tab w:val="left" w:pos="750"/>
        </w:tabs>
        <w:suppressAutoHyphens/>
        <w:spacing w:after="0" w:line="240" w:lineRule="auto"/>
        <w:jc w:val="both"/>
        <w:rPr>
          <w:rFonts w:ascii="Arial" w:hAnsi="Arial" w:cs="Arial"/>
          <w:lang w:val="en-US"/>
        </w:rPr>
      </w:pPr>
      <w:r w:rsidRPr="0043213D">
        <w:rPr>
          <w:rFonts w:ascii="Arial" w:hAnsi="Arial" w:cs="Arial"/>
        </w:rPr>
        <w:t xml:space="preserve">“Medidores de flujo diferenciales. Placas de orificio.” </w:t>
      </w:r>
      <w:r w:rsidRPr="0043213D">
        <w:rPr>
          <w:rFonts w:ascii="Arial" w:hAnsi="Arial" w:cs="Arial"/>
          <w:lang w:val="en-US"/>
        </w:rPr>
        <w:t xml:space="preserve">[Online]. Available: http://www.sapiensman.com/tecnoficio/docs/doc16.php. [Accessed: 12-Oct-2019]. </w:t>
      </w:r>
    </w:p>
    <w:p w:rsidR="006B5008" w:rsidRDefault="006B5008" w:rsidP="006B5008">
      <w:pPr>
        <w:numPr>
          <w:ilvl w:val="0"/>
          <w:numId w:val="7"/>
        </w:numPr>
        <w:tabs>
          <w:tab w:val="left" w:pos="750"/>
        </w:tabs>
        <w:suppressAutoHyphens/>
        <w:spacing w:after="0" w:line="240" w:lineRule="auto"/>
        <w:jc w:val="both"/>
        <w:rPr>
          <w:rFonts w:ascii="Arial" w:hAnsi="Arial" w:cs="Arial"/>
          <w:lang w:val="en-US"/>
        </w:rPr>
      </w:pPr>
      <w:r w:rsidRPr="0043213D">
        <w:rPr>
          <w:rFonts w:ascii="Arial" w:hAnsi="Arial" w:cs="Arial"/>
          <w:lang w:val="en-US"/>
        </w:rPr>
        <w:t>Malfatti S. M. et al “The Design of a Graphics Engine for the Development of Virtual Reality Applications,” Rev. Informática Teórica e Apl., vol. 15, no. 3, pp. 25–46, 2009.</w:t>
      </w:r>
    </w:p>
    <w:p w:rsidR="006B5008" w:rsidRDefault="006B5008" w:rsidP="006B5008">
      <w:pPr>
        <w:numPr>
          <w:ilvl w:val="0"/>
          <w:numId w:val="7"/>
        </w:numPr>
        <w:tabs>
          <w:tab w:val="left" w:pos="750"/>
        </w:tabs>
        <w:suppressAutoHyphens/>
        <w:spacing w:after="0" w:line="240" w:lineRule="auto"/>
        <w:jc w:val="both"/>
        <w:rPr>
          <w:rFonts w:ascii="Arial" w:hAnsi="Arial" w:cs="Arial"/>
          <w:lang w:val="en-US"/>
        </w:rPr>
      </w:pPr>
      <w:r w:rsidRPr="0043213D">
        <w:rPr>
          <w:rFonts w:ascii="Arial" w:hAnsi="Arial" w:cs="Arial"/>
          <w:lang w:val="en-US"/>
        </w:rPr>
        <w:t>Peek E. et al, “Virtual reality capabilities of graphics engines,” 21st Int. Conf. Cent. Eur. Comput. Graph. Vis. Comput. Vision, WSCG 2013 - Commun. Pap. Proc., pp. 39–48, 2013.</w:t>
      </w:r>
    </w:p>
    <w:p w:rsidR="006B5008" w:rsidRDefault="006B5008" w:rsidP="006B5008">
      <w:pPr>
        <w:numPr>
          <w:ilvl w:val="0"/>
          <w:numId w:val="7"/>
        </w:numPr>
        <w:tabs>
          <w:tab w:val="left" w:pos="750"/>
        </w:tabs>
        <w:suppressAutoHyphens/>
        <w:spacing w:after="0" w:line="240" w:lineRule="auto"/>
        <w:jc w:val="both"/>
        <w:rPr>
          <w:rFonts w:ascii="Arial" w:hAnsi="Arial" w:cs="Arial"/>
          <w:lang w:val="en-US"/>
        </w:rPr>
      </w:pPr>
      <w:r w:rsidRPr="0043213D">
        <w:rPr>
          <w:rFonts w:ascii="Arial" w:hAnsi="Arial" w:cs="Arial"/>
          <w:lang w:val="en-US"/>
        </w:rPr>
        <w:t>“Oculus Go | Funciones.” [Online]. Available: https://www.oculus.com/go/features/. [Accessed: 12-Oct-2019].</w:t>
      </w:r>
    </w:p>
    <w:p w:rsidR="006B5008" w:rsidRDefault="006B5008" w:rsidP="006B5008">
      <w:pPr>
        <w:numPr>
          <w:ilvl w:val="0"/>
          <w:numId w:val="7"/>
        </w:numPr>
        <w:tabs>
          <w:tab w:val="left" w:pos="750"/>
        </w:tabs>
        <w:suppressAutoHyphens/>
        <w:spacing w:after="0" w:line="240" w:lineRule="auto"/>
        <w:jc w:val="both"/>
        <w:rPr>
          <w:rFonts w:ascii="Arial" w:hAnsi="Arial" w:cs="Arial"/>
          <w:lang w:val="en-US"/>
        </w:rPr>
      </w:pPr>
      <w:r w:rsidRPr="0043213D">
        <w:rPr>
          <w:rFonts w:ascii="Arial" w:hAnsi="Arial" w:cs="Arial"/>
          <w:lang w:val="en-US"/>
        </w:rPr>
        <w:t>“Cascade Particle Systems | Unreal Engine Documentation.” [Online]. Available: https://docs.unrealengine.com/en-US/Engine/Rendering/ParticleSystems/index.html. [Accessed: 12-Oct-2019].</w:t>
      </w:r>
    </w:p>
    <w:p w:rsidR="006B5008" w:rsidRPr="006B5008" w:rsidRDefault="006B5008" w:rsidP="0049551D">
      <w:pPr>
        <w:rPr>
          <w:lang w:val="en-US"/>
        </w:rPr>
      </w:pPr>
    </w:p>
    <w:p w:rsidR="00705D32" w:rsidRDefault="00705D32" w:rsidP="0049551D">
      <w:pPr>
        <w:rPr>
          <w:lang w:val="en-US"/>
        </w:rPr>
      </w:pPr>
    </w:p>
    <w:p w:rsidR="00671514" w:rsidRPr="00671514" w:rsidRDefault="00544099" w:rsidP="00671514">
      <w:pPr>
        <w:pStyle w:val="1Titulo"/>
        <w:numPr>
          <w:ilvl w:val="0"/>
          <w:numId w:val="0"/>
        </w:numPr>
        <w:ind w:left="357"/>
        <w:jc w:val="center"/>
        <w:rPr>
          <w:rFonts w:ascii="Helvetica" w:hAnsi="Helvetica" w:cs="Helvetica"/>
        </w:rPr>
      </w:pPr>
      <w:bookmarkStart w:id="334" w:name="_Toc50031381"/>
      <w:r w:rsidRPr="00544099">
        <w:t>S</w:t>
      </w:r>
      <w:r w:rsidR="00671514" w:rsidRPr="00D66F94">
        <w:t>ustracción de gasolinas en México</w:t>
      </w:r>
      <w:r w:rsidR="00671514">
        <w:t>, El uso de tecnologías y resultado de las acciones</w:t>
      </w:r>
      <w:r w:rsidR="00671514">
        <w:rPr>
          <w:rFonts w:ascii="Helvetica" w:hAnsi="Helvetica" w:cs="Helvetica"/>
        </w:rPr>
        <w:t xml:space="preserve"> </w:t>
      </w:r>
      <w:r w:rsidR="00671514" w:rsidRPr="00671514">
        <w:t>gubernamentales</w:t>
      </w:r>
      <w:bookmarkEnd w:id="334"/>
    </w:p>
    <w:p w:rsidR="00671514" w:rsidRP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center"/>
        <w:rPr>
          <w:rFonts w:ascii="Helvetica" w:hAnsi="Helvetica" w:cs="Helvetica"/>
          <w:lang w:val="es-MX" w:eastAsia="ja-JP"/>
        </w:rPr>
      </w:pPr>
    </w:p>
    <w:p w:rsidR="00671514" w:rsidRPr="003F0296"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center"/>
        <w:rPr>
          <w:rFonts w:ascii="Helvetica" w:hAnsi="Helvetica" w:cs="Helvetica"/>
          <w:lang w:val="en-US" w:eastAsia="ja-JP"/>
        </w:rPr>
      </w:pPr>
      <w:r w:rsidRPr="003F0296">
        <w:rPr>
          <w:rFonts w:ascii="Arial" w:hAnsi="Arial" w:cs="Arial"/>
          <w:b/>
          <w:bCs/>
          <w:sz w:val="28"/>
          <w:szCs w:val="28"/>
          <w:lang w:val="en-US" w:eastAsia="ja-JP"/>
        </w:rPr>
        <w:t>Gasoline theft in México</w:t>
      </w:r>
    </w:p>
    <w:p w:rsidR="00671514" w:rsidRPr="00970F3A"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center"/>
        <w:rPr>
          <w:rFonts w:ascii="Helvetica" w:hAnsi="Helvetica" w:cs="Helvetica"/>
          <w:lang w:val="en-GB" w:eastAsia="ja-JP"/>
        </w:rPr>
      </w:pPr>
      <w:r w:rsidRPr="00970F3A">
        <w:rPr>
          <w:rFonts w:ascii="Arial" w:hAnsi="Arial" w:cs="Arial"/>
          <w:b/>
          <w:bCs/>
          <w:sz w:val="28"/>
          <w:szCs w:val="28"/>
          <w:lang w:val="en-GB" w:eastAsia="ja-JP"/>
        </w:rPr>
        <w:t>The use of technologies and the result of government actions</w:t>
      </w:r>
    </w:p>
    <w:p w:rsidR="00671514" w:rsidRPr="00970F3A"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val="en-GB" w:eastAsia="ja-JP"/>
        </w:rPr>
      </w:pPr>
      <w:r w:rsidRPr="00970F3A">
        <w:rPr>
          <w:rFonts w:ascii="Arial" w:hAnsi="Arial" w:cs="Arial"/>
          <w:sz w:val="22"/>
          <w:szCs w:val="22"/>
          <w:lang w:val="en-GB" w:eastAsia="ja-JP"/>
        </w:rPr>
        <w:t xml:space="preserve"> </w:t>
      </w:r>
    </w:p>
    <w:p w:rsidR="00671514" w:rsidRPr="00094183"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center"/>
        <w:rPr>
          <w:rFonts w:ascii="Arial" w:hAnsi="Arial" w:cs="Arial"/>
          <w:lang w:val="en-GB" w:eastAsia="ja-JP"/>
        </w:rPr>
      </w:pPr>
    </w:p>
    <w:p w:rsidR="00671514" w:rsidRDefault="00671514" w:rsidP="00671514">
      <w:pPr>
        <w:pStyle w:val="1Titulo"/>
        <w:numPr>
          <w:ilvl w:val="0"/>
          <w:numId w:val="0"/>
        </w:numPr>
        <w:ind w:left="357"/>
        <w:rPr>
          <w:rFonts w:ascii="Helvetica" w:hAnsi="Helvetica" w:cs="Helvetica"/>
        </w:rPr>
      </w:pPr>
      <w:bookmarkStart w:id="335" w:name="_Toc50031382"/>
      <w:r>
        <w:t>1. Resumen</w:t>
      </w:r>
      <w:bookmarkEnd w:id="335"/>
      <w:r>
        <w:t xml:space="preserve">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firstLine="568"/>
        <w:jc w:val="both"/>
        <w:rPr>
          <w:rFonts w:ascii="Arial" w:hAnsi="Arial" w:cs="Arial"/>
          <w:lang w:eastAsia="ja-JP"/>
        </w:rPr>
      </w:pPr>
      <w:r>
        <w:rPr>
          <w:rFonts w:ascii="Arial" w:hAnsi="Arial" w:cs="Arial"/>
          <w:lang w:eastAsia="ja-JP"/>
        </w:rPr>
        <w:t xml:space="preserve">El robo de las gasolinas era un problema significativo para México, recientemente el gobierno mexicano implementó una serie de decisiones para tratar de controlarlo y abatirlo. Esta presentación es parte de una investigación en la que se analiza la naturaleza del problema y se plantean las diferentes opciones tecnológicas para coadyuvar en su abatimiento. Las preguntas que animan este trabajo tratan sobre la capacidad de las tecnologías para contribuir a resolver este problema y evaluar la estrategia seguida por el gobierno mexicano. Por otro lado, se hace explícito que la sustracción de gasolinas no es un problema exclusivo de México sino también de países como los Estados Unidos de América, la Unión Europea, Rusia, Ghana, Colombia y Serbia, aunque el monto de lo sustraído en México se encuentra comparativamente por encima de otros países.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p>
    <w:p w:rsidR="00671514" w:rsidRDefault="00671514" w:rsidP="00671514">
      <w:pPr>
        <w:pStyle w:val="1Titulo"/>
        <w:numPr>
          <w:ilvl w:val="0"/>
          <w:numId w:val="0"/>
        </w:numPr>
        <w:ind w:left="357"/>
        <w:rPr>
          <w:rFonts w:ascii="Helvetica" w:hAnsi="Helvetica" w:cs="Helvetica"/>
        </w:rPr>
      </w:pPr>
      <w:bookmarkStart w:id="336" w:name="_Toc50031383"/>
      <w:r>
        <w:t>2. Introducción e importancia</w:t>
      </w:r>
      <w:bookmarkEnd w:id="336"/>
      <w:r>
        <w:t xml:space="preserve">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firstLine="568"/>
        <w:jc w:val="both"/>
        <w:rPr>
          <w:rFonts w:ascii="Arial" w:hAnsi="Arial" w:cs="Arial"/>
          <w:lang w:eastAsia="ja-JP"/>
        </w:rPr>
      </w:pPr>
      <w:r>
        <w:rPr>
          <w:rFonts w:ascii="Arial" w:hAnsi="Arial" w:cs="Arial"/>
          <w:lang w:eastAsia="ja-JP"/>
        </w:rPr>
        <w:t>El primero de diciembre de 2018 el gobierno que iniciaba enfrentó un problema complejo y multifactorial, la sustracción ilícita de gasolinas que en ese momento alcanzaba los 70 mil barriles diarios (Mbd)</w:t>
      </w:r>
      <w:r w:rsidRPr="002A0F76">
        <w:rPr>
          <w:rFonts w:ascii="Arial" w:hAnsi="Arial" w:cs="Arial"/>
          <w:sz w:val="16"/>
          <w:szCs w:val="16"/>
          <w:vertAlign w:val="superscript"/>
          <w:lang w:eastAsia="ja-JP"/>
        </w:rPr>
        <w:t xml:space="preserve"> [1]</w:t>
      </w:r>
      <w:r>
        <w:rPr>
          <w:rFonts w:ascii="Arial" w:hAnsi="Arial" w:cs="Arial"/>
          <w:lang w:eastAsia="ja-JP"/>
        </w:rPr>
        <w:t xml:space="preserve">, este ilícito se inició hace más de quince años. En campaña el presidente Andrés Manuel López Obrador había anunciado que se combatiría este delito y así lo hizo. La importancia del problema se hace explícita en las siguientes cifras que se muestran en la tabla 1 en la cual se compara la pérdida anual con varios </w:t>
      </w:r>
      <w:r>
        <w:rPr>
          <w:rFonts w:ascii="Arial" w:hAnsi="Arial" w:cs="Arial"/>
          <w:i/>
          <w:iCs/>
          <w:lang w:eastAsia="ja-JP"/>
        </w:rPr>
        <w:t>ítems</w:t>
      </w:r>
      <w:r>
        <w:rPr>
          <w:rFonts w:ascii="Arial" w:hAnsi="Arial" w:cs="Arial"/>
          <w:lang w:eastAsia="ja-JP"/>
        </w:rPr>
        <w:t xml:space="preserve"> presupuestales.</w:t>
      </w:r>
    </w:p>
    <w:p w:rsidR="00671514" w:rsidRDefault="00671514" w:rsidP="00671514">
      <w:pPr>
        <w:ind w:left="-284" w:right="-234"/>
        <w:jc w:val="center"/>
        <w:rPr>
          <w:rFonts w:ascii="Arial" w:hAnsi="Arial" w:cs="Arial"/>
          <w:i/>
          <w:sz w:val="22"/>
          <w:szCs w:val="22"/>
        </w:rPr>
      </w:pPr>
    </w:p>
    <w:p w:rsidR="00671514" w:rsidRPr="00943152" w:rsidRDefault="00671514" w:rsidP="00671514">
      <w:pPr>
        <w:ind w:left="-284" w:right="-234"/>
        <w:jc w:val="center"/>
        <w:rPr>
          <w:rFonts w:cs="Times New Roman"/>
          <w:i/>
          <w:sz w:val="20"/>
          <w:szCs w:val="20"/>
        </w:rPr>
      </w:pPr>
      <w:r w:rsidRPr="00943152">
        <w:rPr>
          <w:rFonts w:cs="Times New Roman"/>
          <w:i/>
          <w:sz w:val="20"/>
          <w:szCs w:val="20"/>
        </w:rPr>
        <w:t>Tabla 1. Monto e impacto comparativo de la sustracción</w:t>
      </w:r>
    </w:p>
    <w:tbl>
      <w:tblPr>
        <w:tblW w:w="0" w:type="auto"/>
        <w:jc w:val="center"/>
        <w:tblLayout w:type="fixed"/>
        <w:tblLook w:val="04A0" w:firstRow="1" w:lastRow="0" w:firstColumn="1" w:lastColumn="0" w:noHBand="0" w:noVBand="1"/>
      </w:tblPr>
      <w:tblGrid>
        <w:gridCol w:w="3519"/>
        <w:gridCol w:w="2657"/>
        <w:gridCol w:w="2096"/>
      </w:tblGrid>
      <w:tr w:rsidR="00671514" w:rsidRPr="00B02B71" w:rsidTr="007F2707">
        <w:trPr>
          <w:trHeight w:val="300"/>
          <w:jc w:val="center"/>
        </w:trPr>
        <w:tc>
          <w:tcPr>
            <w:tcW w:w="3519" w:type="dxa"/>
            <w:tcBorders>
              <w:top w:val="single" w:sz="4" w:space="0" w:color="auto"/>
              <w:bottom w:val="single" w:sz="4" w:space="0" w:color="auto"/>
            </w:tcBorders>
            <w:noWrap/>
            <w:vAlign w:val="center"/>
          </w:tcPr>
          <w:p w:rsidR="00671514" w:rsidRPr="00B02B71" w:rsidRDefault="00671514" w:rsidP="007F2707">
            <w:pPr>
              <w:ind w:right="-234"/>
              <w:jc w:val="both"/>
              <w:rPr>
                <w:rFonts w:ascii="Arial" w:hAnsi="Arial" w:cs="Arial"/>
                <w:b/>
                <w:sz w:val="20"/>
                <w:szCs w:val="20"/>
                <w:lang w:eastAsia="es-MX"/>
              </w:rPr>
            </w:pPr>
            <w:r w:rsidRPr="00B02B71">
              <w:rPr>
                <w:rFonts w:ascii="Arial" w:hAnsi="Arial" w:cs="Arial"/>
                <w:sz w:val="20"/>
                <w:szCs w:val="20"/>
                <w:lang w:eastAsia="es-MX"/>
              </w:rPr>
              <w:t>Rubro</w:t>
            </w:r>
          </w:p>
        </w:tc>
        <w:tc>
          <w:tcPr>
            <w:tcW w:w="2657" w:type="dxa"/>
            <w:tcBorders>
              <w:top w:val="single" w:sz="4" w:space="0" w:color="auto"/>
              <w:bottom w:val="single" w:sz="4" w:space="0" w:color="auto"/>
            </w:tcBorders>
            <w:noWrap/>
            <w:vAlign w:val="center"/>
          </w:tcPr>
          <w:p w:rsidR="00671514" w:rsidRPr="00B02B71" w:rsidRDefault="00671514" w:rsidP="007F2707">
            <w:pPr>
              <w:ind w:left="-284" w:right="-234"/>
              <w:jc w:val="center"/>
              <w:rPr>
                <w:rFonts w:ascii="Arial" w:hAnsi="Arial" w:cs="Arial"/>
                <w:sz w:val="20"/>
                <w:szCs w:val="20"/>
                <w:lang w:eastAsia="es-MX"/>
              </w:rPr>
            </w:pPr>
            <w:r w:rsidRPr="00B02B71">
              <w:rPr>
                <w:rFonts w:ascii="Arial" w:hAnsi="Arial" w:cs="Arial"/>
                <w:sz w:val="20"/>
                <w:szCs w:val="20"/>
                <w:lang w:eastAsia="es-MX"/>
              </w:rPr>
              <w:t>Monto (Pesos mexicanos)</w:t>
            </w:r>
          </w:p>
          <w:p w:rsidR="00671514" w:rsidRPr="00B02B71" w:rsidRDefault="00671514" w:rsidP="007F2707">
            <w:pPr>
              <w:ind w:left="-284" w:right="-234"/>
              <w:jc w:val="center"/>
              <w:rPr>
                <w:rFonts w:ascii="Arial" w:hAnsi="Arial" w:cs="Arial"/>
                <w:b/>
                <w:sz w:val="20"/>
                <w:szCs w:val="20"/>
                <w:lang w:eastAsia="es-MX"/>
              </w:rPr>
            </w:pPr>
          </w:p>
        </w:tc>
        <w:tc>
          <w:tcPr>
            <w:tcW w:w="2096" w:type="dxa"/>
            <w:tcBorders>
              <w:top w:val="single" w:sz="4" w:space="0" w:color="auto"/>
              <w:bottom w:val="single" w:sz="4" w:space="0" w:color="auto"/>
            </w:tcBorders>
          </w:tcPr>
          <w:p w:rsidR="00671514" w:rsidRPr="00B02B71" w:rsidRDefault="00671514" w:rsidP="007F2707">
            <w:pPr>
              <w:ind w:left="-284" w:right="-234" w:firstLine="239"/>
              <w:jc w:val="both"/>
              <w:rPr>
                <w:rFonts w:ascii="Arial" w:hAnsi="Arial" w:cs="Arial"/>
                <w:b/>
                <w:sz w:val="20"/>
                <w:szCs w:val="20"/>
                <w:lang w:eastAsia="es-MX"/>
              </w:rPr>
            </w:pPr>
            <w:r w:rsidRPr="00B02B71">
              <w:rPr>
                <w:rFonts w:ascii="Arial" w:hAnsi="Arial" w:cs="Arial"/>
                <w:sz w:val="20"/>
                <w:szCs w:val="20"/>
                <w:lang w:eastAsia="es-MX"/>
              </w:rPr>
              <w:t>Porcentaje/No. veces</w:t>
            </w:r>
          </w:p>
          <w:p w:rsidR="00671514" w:rsidRPr="00B02B71" w:rsidRDefault="00671514" w:rsidP="007F2707">
            <w:pPr>
              <w:ind w:left="-284" w:right="-234" w:firstLine="239"/>
              <w:jc w:val="both"/>
              <w:rPr>
                <w:rFonts w:ascii="Arial" w:hAnsi="Arial" w:cs="Arial"/>
                <w:b/>
                <w:sz w:val="20"/>
                <w:szCs w:val="20"/>
                <w:lang w:eastAsia="es-MX"/>
              </w:rPr>
            </w:pPr>
          </w:p>
        </w:tc>
      </w:tr>
      <w:tr w:rsidR="00671514" w:rsidRPr="00B02B71" w:rsidTr="007F2707">
        <w:trPr>
          <w:trHeight w:val="300"/>
          <w:jc w:val="center"/>
        </w:trPr>
        <w:tc>
          <w:tcPr>
            <w:tcW w:w="3519" w:type="dxa"/>
            <w:tcBorders>
              <w:top w:val="single" w:sz="4" w:space="0" w:color="auto"/>
            </w:tcBorders>
            <w:noWrap/>
            <w:vAlign w:val="center"/>
          </w:tcPr>
          <w:p w:rsidR="00671514" w:rsidRPr="00B02B71" w:rsidRDefault="00671514" w:rsidP="007F2707">
            <w:pPr>
              <w:ind w:right="-234"/>
              <w:jc w:val="both"/>
              <w:rPr>
                <w:rFonts w:ascii="Arial" w:hAnsi="Arial" w:cs="Arial"/>
                <w:b/>
                <w:sz w:val="20"/>
                <w:szCs w:val="20"/>
                <w:lang w:eastAsia="es-MX"/>
              </w:rPr>
            </w:pPr>
            <w:r w:rsidRPr="00B02B71">
              <w:rPr>
                <w:rFonts w:ascii="Arial" w:hAnsi="Arial" w:cs="Arial"/>
                <w:sz w:val="20"/>
                <w:szCs w:val="20"/>
                <w:lang w:eastAsia="es-MX"/>
              </w:rPr>
              <w:t>Pérdidas por robo de combustible</w:t>
            </w:r>
          </w:p>
        </w:tc>
        <w:tc>
          <w:tcPr>
            <w:tcW w:w="2657" w:type="dxa"/>
            <w:tcBorders>
              <w:top w:val="single" w:sz="4" w:space="0" w:color="auto"/>
            </w:tcBorders>
            <w:noWrap/>
            <w:vAlign w:val="center"/>
          </w:tcPr>
          <w:p w:rsidR="00671514" w:rsidRPr="00B02B71" w:rsidRDefault="00671514" w:rsidP="007F2707">
            <w:pPr>
              <w:ind w:left="-284"/>
              <w:jc w:val="right"/>
              <w:rPr>
                <w:rFonts w:ascii="Arial" w:hAnsi="Arial" w:cs="Arial"/>
                <w:sz w:val="20"/>
                <w:szCs w:val="20"/>
                <w:lang w:eastAsia="es-MX"/>
              </w:rPr>
            </w:pPr>
            <w:r w:rsidRPr="00B02B71">
              <w:rPr>
                <w:rFonts w:ascii="Arial" w:hAnsi="Arial" w:cs="Arial"/>
                <w:sz w:val="20"/>
                <w:szCs w:val="20"/>
                <w:lang w:eastAsia="es-MX"/>
              </w:rPr>
              <w:t>$ 66,300,000,000</w:t>
            </w:r>
          </w:p>
        </w:tc>
        <w:tc>
          <w:tcPr>
            <w:tcW w:w="2096" w:type="dxa"/>
            <w:tcBorders>
              <w:top w:val="single" w:sz="4" w:space="0" w:color="auto"/>
            </w:tcBorders>
          </w:tcPr>
          <w:p w:rsidR="00671514" w:rsidRPr="00B02B71" w:rsidRDefault="00671514" w:rsidP="007F2707">
            <w:pPr>
              <w:ind w:left="242" w:right="-234"/>
              <w:jc w:val="both"/>
              <w:rPr>
                <w:rFonts w:ascii="Arial" w:hAnsi="Arial" w:cs="Arial"/>
                <w:sz w:val="20"/>
                <w:szCs w:val="20"/>
                <w:lang w:eastAsia="es-MX"/>
              </w:rPr>
            </w:pPr>
            <w:r w:rsidRPr="00B02B71">
              <w:rPr>
                <w:rFonts w:ascii="Arial" w:hAnsi="Arial" w:cs="Arial"/>
                <w:sz w:val="20"/>
                <w:szCs w:val="20"/>
              </w:rPr>
              <w:t>100%</w:t>
            </w:r>
          </w:p>
        </w:tc>
      </w:tr>
      <w:tr w:rsidR="00671514" w:rsidRPr="00B02B71" w:rsidTr="007F2707">
        <w:trPr>
          <w:trHeight w:val="300"/>
          <w:jc w:val="center"/>
        </w:trPr>
        <w:tc>
          <w:tcPr>
            <w:tcW w:w="3519" w:type="dxa"/>
            <w:noWrap/>
            <w:vAlign w:val="center"/>
            <w:hideMark/>
          </w:tcPr>
          <w:p w:rsidR="00671514" w:rsidRPr="00B02B71" w:rsidRDefault="00671514" w:rsidP="007F2707">
            <w:pPr>
              <w:ind w:right="-234"/>
              <w:jc w:val="both"/>
              <w:rPr>
                <w:rFonts w:ascii="Arial" w:hAnsi="Arial" w:cs="Arial"/>
                <w:b/>
                <w:sz w:val="20"/>
                <w:szCs w:val="20"/>
                <w:lang w:eastAsia="es-MX"/>
              </w:rPr>
            </w:pPr>
            <w:r w:rsidRPr="00B02B71">
              <w:rPr>
                <w:rFonts w:ascii="Arial" w:hAnsi="Arial" w:cs="Arial"/>
                <w:sz w:val="20"/>
                <w:szCs w:val="20"/>
                <w:lang w:eastAsia="es-MX"/>
              </w:rPr>
              <w:t>SHCP</w:t>
            </w:r>
          </w:p>
        </w:tc>
        <w:tc>
          <w:tcPr>
            <w:tcW w:w="2657" w:type="dxa"/>
            <w:noWrap/>
            <w:vAlign w:val="center"/>
            <w:hideMark/>
          </w:tcPr>
          <w:p w:rsidR="00671514" w:rsidRPr="00B02B71" w:rsidRDefault="00671514" w:rsidP="007F2707">
            <w:pPr>
              <w:ind w:left="-284"/>
              <w:jc w:val="right"/>
              <w:rPr>
                <w:rFonts w:ascii="Arial" w:hAnsi="Arial" w:cs="Arial"/>
                <w:sz w:val="20"/>
                <w:szCs w:val="20"/>
                <w:lang w:eastAsia="es-MX"/>
              </w:rPr>
            </w:pPr>
            <w:r w:rsidRPr="00B02B71">
              <w:rPr>
                <w:rFonts w:ascii="Arial" w:hAnsi="Arial" w:cs="Arial"/>
                <w:sz w:val="20"/>
                <w:szCs w:val="20"/>
                <w:lang w:eastAsia="es-MX"/>
              </w:rPr>
              <w:t>$ 22,575,933,039</w:t>
            </w:r>
          </w:p>
        </w:tc>
        <w:tc>
          <w:tcPr>
            <w:tcW w:w="2096" w:type="dxa"/>
          </w:tcPr>
          <w:p w:rsidR="00671514" w:rsidRPr="00B02B71" w:rsidRDefault="00671514" w:rsidP="007F2707">
            <w:pPr>
              <w:tabs>
                <w:tab w:val="left" w:pos="1514"/>
              </w:tabs>
              <w:ind w:left="242" w:right="-234"/>
              <w:jc w:val="both"/>
              <w:rPr>
                <w:rFonts w:ascii="Arial" w:hAnsi="Arial" w:cs="Arial"/>
                <w:sz w:val="20"/>
                <w:szCs w:val="20"/>
                <w:lang w:eastAsia="es-MX"/>
              </w:rPr>
            </w:pPr>
            <w:r w:rsidRPr="00B02B71">
              <w:rPr>
                <w:rFonts w:ascii="Arial" w:hAnsi="Arial" w:cs="Arial"/>
                <w:sz w:val="20"/>
                <w:szCs w:val="20"/>
              </w:rPr>
              <w:t>294%          (3)</w:t>
            </w:r>
          </w:p>
        </w:tc>
      </w:tr>
      <w:tr w:rsidR="00671514" w:rsidRPr="00B02B71" w:rsidTr="007F2707">
        <w:trPr>
          <w:trHeight w:val="300"/>
          <w:jc w:val="center"/>
        </w:trPr>
        <w:tc>
          <w:tcPr>
            <w:tcW w:w="3519" w:type="dxa"/>
            <w:noWrap/>
            <w:vAlign w:val="center"/>
            <w:hideMark/>
          </w:tcPr>
          <w:p w:rsidR="00671514" w:rsidRPr="00B02B71" w:rsidRDefault="00671514" w:rsidP="007F2707">
            <w:pPr>
              <w:ind w:right="-234"/>
              <w:jc w:val="both"/>
              <w:rPr>
                <w:rFonts w:ascii="Arial" w:hAnsi="Arial" w:cs="Arial"/>
                <w:b/>
                <w:sz w:val="20"/>
                <w:szCs w:val="20"/>
                <w:lang w:eastAsia="es-MX"/>
              </w:rPr>
            </w:pPr>
            <w:r w:rsidRPr="00B02B71">
              <w:rPr>
                <w:rFonts w:ascii="Arial" w:hAnsi="Arial" w:cs="Arial"/>
                <w:sz w:val="20"/>
                <w:szCs w:val="20"/>
                <w:lang w:eastAsia="es-MX"/>
              </w:rPr>
              <w:t>Educación Pública</w:t>
            </w:r>
          </w:p>
        </w:tc>
        <w:tc>
          <w:tcPr>
            <w:tcW w:w="2657" w:type="dxa"/>
            <w:noWrap/>
            <w:vAlign w:val="bottom"/>
            <w:hideMark/>
          </w:tcPr>
          <w:p w:rsidR="00671514" w:rsidRPr="00B02B71" w:rsidRDefault="00671514" w:rsidP="007F2707">
            <w:pPr>
              <w:ind w:left="-284"/>
              <w:jc w:val="right"/>
              <w:rPr>
                <w:rFonts w:ascii="Arial" w:hAnsi="Arial" w:cs="Arial"/>
                <w:sz w:val="20"/>
                <w:szCs w:val="20"/>
                <w:lang w:eastAsia="es-MX"/>
              </w:rPr>
            </w:pPr>
            <w:r w:rsidRPr="00B02B71">
              <w:rPr>
                <w:rFonts w:ascii="Arial" w:hAnsi="Arial" w:cs="Arial"/>
                <w:sz w:val="20"/>
                <w:szCs w:val="20"/>
                <w:lang w:eastAsia="es-MX"/>
              </w:rPr>
              <w:t>$ 308,000,434,721</w:t>
            </w:r>
          </w:p>
        </w:tc>
        <w:tc>
          <w:tcPr>
            <w:tcW w:w="2096" w:type="dxa"/>
          </w:tcPr>
          <w:p w:rsidR="00671514" w:rsidRPr="00B02B71" w:rsidRDefault="00671514" w:rsidP="007F2707">
            <w:pPr>
              <w:ind w:left="242" w:right="-234"/>
              <w:jc w:val="both"/>
              <w:rPr>
                <w:rFonts w:ascii="Arial" w:hAnsi="Arial" w:cs="Arial"/>
                <w:sz w:val="20"/>
                <w:szCs w:val="20"/>
                <w:lang w:eastAsia="es-MX"/>
              </w:rPr>
            </w:pPr>
            <w:r w:rsidRPr="00B02B71">
              <w:rPr>
                <w:rFonts w:ascii="Arial" w:hAnsi="Arial" w:cs="Arial"/>
                <w:sz w:val="20"/>
                <w:szCs w:val="20"/>
              </w:rPr>
              <w:t>22%        (0.22)</w:t>
            </w:r>
          </w:p>
        </w:tc>
      </w:tr>
      <w:tr w:rsidR="00671514" w:rsidRPr="00B02B71" w:rsidTr="007F2707">
        <w:trPr>
          <w:trHeight w:val="300"/>
          <w:jc w:val="center"/>
        </w:trPr>
        <w:tc>
          <w:tcPr>
            <w:tcW w:w="3519" w:type="dxa"/>
            <w:noWrap/>
            <w:vAlign w:val="center"/>
            <w:hideMark/>
          </w:tcPr>
          <w:p w:rsidR="00671514" w:rsidRPr="00B02B71" w:rsidRDefault="00671514" w:rsidP="007F2707">
            <w:pPr>
              <w:ind w:right="-234"/>
              <w:jc w:val="both"/>
              <w:rPr>
                <w:rFonts w:ascii="Arial" w:hAnsi="Arial" w:cs="Arial"/>
                <w:b/>
                <w:sz w:val="20"/>
                <w:szCs w:val="20"/>
                <w:lang w:eastAsia="es-MX"/>
              </w:rPr>
            </w:pPr>
            <w:r w:rsidRPr="00B02B71">
              <w:rPr>
                <w:rFonts w:ascii="Arial" w:hAnsi="Arial" w:cs="Arial"/>
                <w:sz w:val="20"/>
                <w:szCs w:val="20"/>
                <w:lang w:eastAsia="es-MX"/>
              </w:rPr>
              <w:t>Salud</w:t>
            </w:r>
          </w:p>
        </w:tc>
        <w:tc>
          <w:tcPr>
            <w:tcW w:w="2657" w:type="dxa"/>
            <w:noWrap/>
            <w:vAlign w:val="bottom"/>
            <w:hideMark/>
          </w:tcPr>
          <w:p w:rsidR="00671514" w:rsidRPr="00B02B71" w:rsidRDefault="00671514" w:rsidP="007F2707">
            <w:pPr>
              <w:ind w:left="-284"/>
              <w:jc w:val="right"/>
              <w:rPr>
                <w:rFonts w:ascii="Arial" w:hAnsi="Arial" w:cs="Arial"/>
                <w:sz w:val="20"/>
                <w:szCs w:val="20"/>
                <w:lang w:eastAsia="es-MX"/>
              </w:rPr>
            </w:pPr>
            <w:r w:rsidRPr="00B02B71">
              <w:rPr>
                <w:rFonts w:ascii="Arial" w:hAnsi="Arial" w:cs="Arial"/>
                <w:sz w:val="20"/>
                <w:szCs w:val="20"/>
                <w:lang w:eastAsia="es-MX"/>
              </w:rPr>
              <w:t>$ 123,266,865,116</w:t>
            </w:r>
          </w:p>
        </w:tc>
        <w:tc>
          <w:tcPr>
            <w:tcW w:w="2096" w:type="dxa"/>
          </w:tcPr>
          <w:p w:rsidR="00671514" w:rsidRPr="00B02B71" w:rsidRDefault="00671514" w:rsidP="007F2707">
            <w:pPr>
              <w:ind w:left="242" w:right="-234"/>
              <w:jc w:val="both"/>
              <w:rPr>
                <w:rFonts w:ascii="Arial" w:hAnsi="Arial" w:cs="Arial"/>
                <w:sz w:val="20"/>
                <w:szCs w:val="20"/>
                <w:lang w:eastAsia="es-MX"/>
              </w:rPr>
            </w:pPr>
            <w:r w:rsidRPr="00B02B71">
              <w:rPr>
                <w:rFonts w:ascii="Arial" w:hAnsi="Arial" w:cs="Arial"/>
                <w:sz w:val="20"/>
                <w:szCs w:val="20"/>
              </w:rPr>
              <w:t>53%        (0.53)</w:t>
            </w:r>
          </w:p>
        </w:tc>
      </w:tr>
      <w:tr w:rsidR="00671514" w:rsidRPr="00B02B71" w:rsidTr="007F2707">
        <w:trPr>
          <w:trHeight w:val="300"/>
          <w:jc w:val="center"/>
        </w:trPr>
        <w:tc>
          <w:tcPr>
            <w:tcW w:w="3519" w:type="dxa"/>
            <w:noWrap/>
            <w:vAlign w:val="center"/>
            <w:hideMark/>
          </w:tcPr>
          <w:p w:rsidR="00671514" w:rsidRPr="00B02B71" w:rsidRDefault="00671514" w:rsidP="007F2707">
            <w:pPr>
              <w:ind w:right="-234"/>
              <w:jc w:val="both"/>
              <w:rPr>
                <w:rFonts w:ascii="Arial" w:hAnsi="Arial" w:cs="Arial"/>
                <w:b/>
                <w:sz w:val="20"/>
                <w:szCs w:val="20"/>
                <w:lang w:eastAsia="es-MX"/>
              </w:rPr>
            </w:pPr>
            <w:r w:rsidRPr="00B02B71">
              <w:rPr>
                <w:rFonts w:ascii="Arial" w:hAnsi="Arial" w:cs="Arial"/>
                <w:sz w:val="20"/>
                <w:szCs w:val="20"/>
                <w:lang w:eastAsia="es-MX"/>
              </w:rPr>
              <w:t>CONACYT</w:t>
            </w:r>
          </w:p>
        </w:tc>
        <w:tc>
          <w:tcPr>
            <w:tcW w:w="2657" w:type="dxa"/>
            <w:noWrap/>
            <w:vAlign w:val="bottom"/>
            <w:hideMark/>
          </w:tcPr>
          <w:p w:rsidR="00671514" w:rsidRPr="00B02B71" w:rsidRDefault="00671514" w:rsidP="007F2707">
            <w:pPr>
              <w:ind w:left="-284"/>
              <w:jc w:val="right"/>
              <w:rPr>
                <w:rFonts w:ascii="Arial" w:hAnsi="Arial" w:cs="Arial"/>
                <w:sz w:val="20"/>
                <w:szCs w:val="20"/>
                <w:lang w:eastAsia="es-MX"/>
              </w:rPr>
            </w:pPr>
            <w:r w:rsidRPr="00B02B71">
              <w:rPr>
                <w:rFonts w:ascii="Arial" w:hAnsi="Arial" w:cs="Arial"/>
                <w:sz w:val="20"/>
                <w:szCs w:val="20"/>
                <w:lang w:eastAsia="es-MX"/>
              </w:rPr>
              <w:t xml:space="preserve"> $ 24,764,719,642</w:t>
            </w:r>
          </w:p>
        </w:tc>
        <w:tc>
          <w:tcPr>
            <w:tcW w:w="2096" w:type="dxa"/>
          </w:tcPr>
          <w:p w:rsidR="00671514" w:rsidRPr="00B02B71" w:rsidRDefault="00671514" w:rsidP="007F2707">
            <w:pPr>
              <w:ind w:left="242" w:right="-234"/>
              <w:jc w:val="both"/>
              <w:rPr>
                <w:rFonts w:ascii="Arial" w:hAnsi="Arial" w:cs="Arial"/>
                <w:sz w:val="20"/>
                <w:szCs w:val="20"/>
                <w:lang w:eastAsia="es-MX"/>
              </w:rPr>
            </w:pPr>
            <w:r w:rsidRPr="00B02B71">
              <w:rPr>
                <w:rFonts w:ascii="Arial" w:hAnsi="Arial" w:cs="Arial"/>
                <w:sz w:val="20"/>
                <w:szCs w:val="20"/>
              </w:rPr>
              <w:t>268%      (2.68)</w:t>
            </w:r>
          </w:p>
        </w:tc>
      </w:tr>
      <w:tr w:rsidR="00671514" w:rsidRPr="00B02B71" w:rsidTr="007F2707">
        <w:trPr>
          <w:trHeight w:val="300"/>
          <w:jc w:val="center"/>
        </w:trPr>
        <w:tc>
          <w:tcPr>
            <w:tcW w:w="3519" w:type="dxa"/>
            <w:noWrap/>
            <w:vAlign w:val="center"/>
            <w:hideMark/>
          </w:tcPr>
          <w:p w:rsidR="00671514" w:rsidRPr="00B02B71" w:rsidRDefault="00671514" w:rsidP="007F2707">
            <w:pPr>
              <w:ind w:right="-234"/>
              <w:jc w:val="both"/>
              <w:rPr>
                <w:rFonts w:ascii="Arial" w:hAnsi="Arial" w:cs="Arial"/>
                <w:b/>
                <w:sz w:val="20"/>
                <w:szCs w:val="20"/>
                <w:lang w:eastAsia="es-MX"/>
              </w:rPr>
            </w:pPr>
            <w:r w:rsidRPr="00B02B71">
              <w:rPr>
                <w:rFonts w:ascii="Arial" w:hAnsi="Arial" w:cs="Arial"/>
                <w:sz w:val="20"/>
                <w:szCs w:val="20"/>
                <w:lang w:eastAsia="es-MX"/>
              </w:rPr>
              <w:t>CRE</w:t>
            </w:r>
          </w:p>
        </w:tc>
        <w:tc>
          <w:tcPr>
            <w:tcW w:w="2657" w:type="dxa"/>
            <w:noWrap/>
            <w:vAlign w:val="center"/>
            <w:hideMark/>
          </w:tcPr>
          <w:p w:rsidR="00671514" w:rsidRPr="00B02B71" w:rsidRDefault="00671514" w:rsidP="007F2707">
            <w:pPr>
              <w:ind w:left="-284"/>
              <w:jc w:val="right"/>
              <w:rPr>
                <w:rFonts w:ascii="Arial" w:hAnsi="Arial" w:cs="Arial"/>
                <w:sz w:val="20"/>
                <w:szCs w:val="20"/>
                <w:lang w:eastAsia="es-MX"/>
              </w:rPr>
            </w:pPr>
            <w:r w:rsidRPr="00B02B71">
              <w:rPr>
                <w:rFonts w:ascii="Arial" w:hAnsi="Arial" w:cs="Arial"/>
                <w:sz w:val="20"/>
                <w:szCs w:val="20"/>
                <w:lang w:eastAsia="es-MX"/>
              </w:rPr>
              <w:t>$ 248,276,703</w:t>
            </w:r>
          </w:p>
        </w:tc>
        <w:tc>
          <w:tcPr>
            <w:tcW w:w="2096" w:type="dxa"/>
          </w:tcPr>
          <w:p w:rsidR="00671514" w:rsidRPr="00B02B71" w:rsidRDefault="00671514" w:rsidP="007F2707">
            <w:pPr>
              <w:ind w:left="242" w:right="-234"/>
              <w:jc w:val="both"/>
              <w:rPr>
                <w:rFonts w:ascii="Arial" w:hAnsi="Arial" w:cs="Arial"/>
                <w:sz w:val="20"/>
                <w:szCs w:val="20"/>
                <w:lang w:eastAsia="es-MX"/>
              </w:rPr>
            </w:pPr>
            <w:r w:rsidRPr="00B02B71">
              <w:rPr>
                <w:rFonts w:ascii="Arial" w:hAnsi="Arial" w:cs="Arial"/>
                <w:sz w:val="20"/>
                <w:szCs w:val="20"/>
              </w:rPr>
              <w:t>26,704%  (26.7)</w:t>
            </w:r>
          </w:p>
        </w:tc>
      </w:tr>
      <w:tr w:rsidR="00671514" w:rsidRPr="00B02B71" w:rsidTr="007F2707">
        <w:trPr>
          <w:trHeight w:val="300"/>
          <w:jc w:val="center"/>
        </w:trPr>
        <w:tc>
          <w:tcPr>
            <w:tcW w:w="3519" w:type="dxa"/>
            <w:noWrap/>
            <w:vAlign w:val="center"/>
            <w:hideMark/>
          </w:tcPr>
          <w:p w:rsidR="00671514" w:rsidRPr="00B02B71" w:rsidRDefault="00671514" w:rsidP="007F2707">
            <w:pPr>
              <w:ind w:right="-234"/>
              <w:jc w:val="both"/>
              <w:rPr>
                <w:rFonts w:ascii="Arial" w:hAnsi="Arial" w:cs="Arial"/>
                <w:b/>
                <w:sz w:val="20"/>
                <w:szCs w:val="20"/>
                <w:lang w:eastAsia="es-MX"/>
              </w:rPr>
            </w:pPr>
            <w:r w:rsidRPr="00B02B71">
              <w:rPr>
                <w:rFonts w:ascii="Arial" w:hAnsi="Arial" w:cs="Arial"/>
                <w:sz w:val="20"/>
                <w:szCs w:val="20"/>
                <w:lang w:eastAsia="es-MX"/>
              </w:rPr>
              <w:t>CNH</w:t>
            </w:r>
          </w:p>
        </w:tc>
        <w:tc>
          <w:tcPr>
            <w:tcW w:w="2657" w:type="dxa"/>
            <w:noWrap/>
            <w:vAlign w:val="center"/>
            <w:hideMark/>
          </w:tcPr>
          <w:p w:rsidR="00671514" w:rsidRPr="00B02B71" w:rsidRDefault="00671514" w:rsidP="007F2707">
            <w:pPr>
              <w:ind w:left="-284"/>
              <w:jc w:val="right"/>
              <w:rPr>
                <w:rFonts w:ascii="Arial" w:hAnsi="Arial" w:cs="Arial"/>
                <w:sz w:val="20"/>
                <w:szCs w:val="20"/>
                <w:lang w:eastAsia="es-MX"/>
              </w:rPr>
            </w:pPr>
            <w:r w:rsidRPr="00B02B71">
              <w:rPr>
                <w:rFonts w:ascii="Arial" w:hAnsi="Arial" w:cs="Arial"/>
                <w:sz w:val="20"/>
                <w:szCs w:val="20"/>
                <w:lang w:eastAsia="es-MX"/>
              </w:rPr>
              <w:t>$ 214,933,908</w:t>
            </w:r>
          </w:p>
        </w:tc>
        <w:tc>
          <w:tcPr>
            <w:tcW w:w="2096" w:type="dxa"/>
          </w:tcPr>
          <w:p w:rsidR="00671514" w:rsidRPr="00B02B71" w:rsidRDefault="00671514" w:rsidP="007F2707">
            <w:pPr>
              <w:ind w:left="242" w:right="-234"/>
              <w:jc w:val="both"/>
              <w:rPr>
                <w:rFonts w:ascii="Arial" w:hAnsi="Arial" w:cs="Arial"/>
                <w:sz w:val="20"/>
                <w:szCs w:val="20"/>
                <w:lang w:eastAsia="es-MX"/>
              </w:rPr>
            </w:pPr>
            <w:r w:rsidRPr="00B02B71">
              <w:rPr>
                <w:rFonts w:ascii="Arial" w:hAnsi="Arial" w:cs="Arial"/>
                <w:sz w:val="20"/>
                <w:szCs w:val="20"/>
              </w:rPr>
              <w:t>30,847%  (30.8)</w:t>
            </w:r>
          </w:p>
        </w:tc>
      </w:tr>
      <w:tr w:rsidR="00671514" w:rsidRPr="00B02B71" w:rsidTr="007F2707">
        <w:trPr>
          <w:trHeight w:val="300"/>
          <w:jc w:val="center"/>
        </w:trPr>
        <w:tc>
          <w:tcPr>
            <w:tcW w:w="3519" w:type="dxa"/>
            <w:noWrap/>
            <w:vAlign w:val="center"/>
            <w:hideMark/>
          </w:tcPr>
          <w:p w:rsidR="00671514" w:rsidRPr="00B02B71" w:rsidRDefault="00671514" w:rsidP="007F2707">
            <w:pPr>
              <w:ind w:right="-234"/>
              <w:jc w:val="both"/>
              <w:rPr>
                <w:rFonts w:ascii="Arial" w:hAnsi="Arial" w:cs="Arial"/>
                <w:b/>
                <w:sz w:val="20"/>
                <w:szCs w:val="20"/>
                <w:lang w:eastAsia="es-MX"/>
              </w:rPr>
            </w:pPr>
            <w:r w:rsidRPr="00B02B71">
              <w:rPr>
                <w:rFonts w:ascii="Arial" w:hAnsi="Arial" w:cs="Arial"/>
                <w:sz w:val="20"/>
                <w:szCs w:val="20"/>
                <w:lang w:eastAsia="es-MX"/>
              </w:rPr>
              <w:t>PEMEX (programable)</w:t>
            </w:r>
          </w:p>
        </w:tc>
        <w:tc>
          <w:tcPr>
            <w:tcW w:w="2657" w:type="dxa"/>
            <w:noWrap/>
            <w:vAlign w:val="center"/>
            <w:hideMark/>
          </w:tcPr>
          <w:p w:rsidR="00671514" w:rsidRPr="00B02B71" w:rsidRDefault="00671514" w:rsidP="007F2707">
            <w:pPr>
              <w:ind w:left="-284"/>
              <w:jc w:val="right"/>
              <w:rPr>
                <w:rFonts w:ascii="Arial" w:hAnsi="Arial" w:cs="Arial"/>
                <w:sz w:val="20"/>
                <w:szCs w:val="20"/>
                <w:lang w:eastAsia="es-MX"/>
              </w:rPr>
            </w:pPr>
            <w:r w:rsidRPr="00B02B71">
              <w:rPr>
                <w:rFonts w:ascii="Arial" w:hAnsi="Arial" w:cs="Arial"/>
                <w:sz w:val="20"/>
                <w:szCs w:val="20"/>
                <w:lang w:eastAsia="es-MX"/>
              </w:rPr>
              <w:t>$ 464,601,648,743</w:t>
            </w:r>
          </w:p>
        </w:tc>
        <w:tc>
          <w:tcPr>
            <w:tcW w:w="2096" w:type="dxa"/>
          </w:tcPr>
          <w:p w:rsidR="00671514" w:rsidRPr="00B02B71" w:rsidRDefault="00671514" w:rsidP="007F2707">
            <w:pPr>
              <w:ind w:left="242" w:right="-234"/>
              <w:jc w:val="both"/>
              <w:rPr>
                <w:rFonts w:ascii="Arial" w:hAnsi="Arial" w:cs="Arial"/>
                <w:sz w:val="20"/>
                <w:szCs w:val="20"/>
                <w:lang w:eastAsia="es-MX"/>
              </w:rPr>
            </w:pPr>
            <w:r w:rsidRPr="00B02B71">
              <w:rPr>
                <w:rFonts w:ascii="Arial" w:hAnsi="Arial" w:cs="Arial"/>
                <w:sz w:val="20"/>
                <w:szCs w:val="20"/>
              </w:rPr>
              <w:t>14%         (0.14)</w:t>
            </w:r>
          </w:p>
        </w:tc>
      </w:tr>
      <w:tr w:rsidR="00671514" w:rsidRPr="00B02B71" w:rsidTr="007F2707">
        <w:trPr>
          <w:trHeight w:val="315"/>
          <w:jc w:val="center"/>
        </w:trPr>
        <w:tc>
          <w:tcPr>
            <w:tcW w:w="3519" w:type="dxa"/>
            <w:tcBorders>
              <w:bottom w:val="single" w:sz="4" w:space="0" w:color="auto"/>
            </w:tcBorders>
            <w:noWrap/>
            <w:vAlign w:val="center"/>
            <w:hideMark/>
          </w:tcPr>
          <w:p w:rsidR="00671514" w:rsidRPr="00B02B71" w:rsidRDefault="00671514" w:rsidP="007F2707">
            <w:pPr>
              <w:ind w:right="-234"/>
              <w:jc w:val="both"/>
              <w:rPr>
                <w:rFonts w:ascii="Arial" w:hAnsi="Arial" w:cs="Arial"/>
                <w:b/>
                <w:sz w:val="20"/>
                <w:szCs w:val="20"/>
                <w:lang w:eastAsia="es-MX"/>
              </w:rPr>
            </w:pPr>
            <w:r w:rsidRPr="00B02B71">
              <w:rPr>
                <w:rFonts w:ascii="Arial" w:hAnsi="Arial" w:cs="Arial"/>
                <w:sz w:val="20"/>
                <w:szCs w:val="20"/>
                <w:lang w:eastAsia="es-MX"/>
              </w:rPr>
              <w:lastRenderedPageBreak/>
              <w:t>UNAM</w:t>
            </w:r>
          </w:p>
        </w:tc>
        <w:tc>
          <w:tcPr>
            <w:tcW w:w="2657" w:type="dxa"/>
            <w:tcBorders>
              <w:bottom w:val="single" w:sz="4" w:space="0" w:color="auto"/>
            </w:tcBorders>
            <w:noWrap/>
            <w:vAlign w:val="center"/>
            <w:hideMark/>
          </w:tcPr>
          <w:p w:rsidR="00671514" w:rsidRPr="00B02B71" w:rsidRDefault="00671514" w:rsidP="007F2707">
            <w:pPr>
              <w:ind w:left="-284"/>
              <w:jc w:val="right"/>
              <w:rPr>
                <w:rFonts w:ascii="Arial" w:hAnsi="Arial" w:cs="Arial"/>
                <w:sz w:val="20"/>
                <w:szCs w:val="20"/>
                <w:lang w:eastAsia="es-MX"/>
              </w:rPr>
            </w:pPr>
            <w:r w:rsidRPr="00B02B71">
              <w:rPr>
                <w:rFonts w:ascii="Arial" w:hAnsi="Arial" w:cs="Arial"/>
                <w:sz w:val="20"/>
                <w:szCs w:val="20"/>
                <w:lang w:eastAsia="es-MX"/>
              </w:rPr>
              <w:t>$ 44,942,499,166</w:t>
            </w:r>
          </w:p>
        </w:tc>
        <w:tc>
          <w:tcPr>
            <w:tcW w:w="2096" w:type="dxa"/>
            <w:tcBorders>
              <w:bottom w:val="single" w:sz="4" w:space="0" w:color="auto"/>
            </w:tcBorders>
          </w:tcPr>
          <w:p w:rsidR="00671514" w:rsidRPr="00B02B71" w:rsidRDefault="00671514" w:rsidP="007F2707">
            <w:pPr>
              <w:tabs>
                <w:tab w:val="left" w:pos="1320"/>
              </w:tabs>
              <w:ind w:left="242" w:right="-234"/>
              <w:jc w:val="both"/>
              <w:rPr>
                <w:rFonts w:ascii="Arial" w:hAnsi="Arial" w:cs="Arial"/>
                <w:sz w:val="20"/>
                <w:szCs w:val="20"/>
                <w:lang w:eastAsia="es-MX"/>
              </w:rPr>
            </w:pPr>
            <w:r w:rsidRPr="00B02B71">
              <w:rPr>
                <w:rFonts w:ascii="Arial" w:hAnsi="Arial" w:cs="Arial"/>
                <w:sz w:val="20"/>
                <w:szCs w:val="20"/>
              </w:rPr>
              <w:t>148%       (1.48)</w:t>
            </w:r>
          </w:p>
        </w:tc>
      </w:tr>
    </w:tbl>
    <w:p w:rsidR="00671514" w:rsidRPr="00B02B71" w:rsidRDefault="00671514" w:rsidP="00671514">
      <w:pPr>
        <w:tabs>
          <w:tab w:val="left" w:pos="7088"/>
        </w:tabs>
        <w:ind w:left="284" w:right="333"/>
        <w:jc w:val="both"/>
        <w:rPr>
          <w:rFonts w:ascii="Arial" w:hAnsi="Arial" w:cs="Arial"/>
          <w:sz w:val="20"/>
          <w:szCs w:val="20"/>
        </w:rPr>
      </w:pPr>
      <w:r w:rsidRPr="00B02B71">
        <w:rPr>
          <w:rFonts w:ascii="Arial" w:hAnsi="Arial" w:cs="Arial"/>
          <w:b/>
          <w:sz w:val="20"/>
          <w:szCs w:val="20"/>
        </w:rPr>
        <w:t>Fuente:</w:t>
      </w:r>
      <w:r w:rsidRPr="00B02B71">
        <w:rPr>
          <w:rFonts w:ascii="Arial" w:hAnsi="Arial" w:cs="Arial"/>
          <w:sz w:val="20"/>
          <w:szCs w:val="20"/>
        </w:rPr>
        <w:t xml:space="preserve"> Elaboración propia a partir de: https://www.ppef.hacienda.gob.mx/ work/models/PPEF2019/paquete/egresos/Proyecto_Decreto.pdf, consultado el 3 de abril de 2020.https://www.gaceta.unam.mx/aprueba-la-unam-su-presupuesto-para-2019/, (consultado el 3 de abril de 2020).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Arial" w:hAnsi="Arial" w:cs="Arial"/>
          <w:i/>
          <w:iCs/>
          <w:lang w:eastAsia="ja-JP"/>
        </w:rPr>
      </w:pPr>
      <w:r>
        <w:rPr>
          <w:rFonts w:ascii="Arial" w:hAnsi="Arial" w:cs="Arial"/>
          <w:i/>
          <w:iCs/>
          <w:lang w:eastAsia="ja-JP"/>
        </w:rPr>
        <w:t xml:space="preserve">2.1 La naturaleza del problema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firstLine="568"/>
        <w:jc w:val="both"/>
        <w:rPr>
          <w:rFonts w:ascii="Arial" w:hAnsi="Arial" w:cs="Arial"/>
          <w:lang w:eastAsia="ja-JP"/>
        </w:rPr>
      </w:pPr>
      <w:r>
        <w:rPr>
          <w:rFonts w:ascii="Arial" w:hAnsi="Arial" w:cs="Arial"/>
          <w:lang w:eastAsia="ja-JP"/>
        </w:rPr>
        <w:t xml:space="preserve">En la figura 1. se establecen los principales elementos que configuran el problema y cómo interaccionan. En este mapa de relaciones y actores se puede notar la diversidad de mecanismos que adoptaba la sustracción ilícita, que van desde sustracciones en el mar, las tomas clandestinas en diferentes tramos de sus trayectos o desde </w:t>
      </w:r>
      <w:r w:rsidRPr="005171B0">
        <w:rPr>
          <w:rFonts w:ascii="Arial" w:hAnsi="Arial" w:cs="Arial"/>
          <w:lang w:eastAsia="ja-JP"/>
        </w:rPr>
        <w:t>las</w:t>
      </w:r>
      <w:r>
        <w:rPr>
          <w:rFonts w:ascii="Arial" w:hAnsi="Arial" w:cs="Arial"/>
          <w:b/>
          <w:bCs/>
          <w:lang w:eastAsia="ja-JP"/>
        </w:rPr>
        <w:t xml:space="preserve"> </w:t>
      </w:r>
      <w:r>
        <w:rPr>
          <w:rFonts w:ascii="Arial" w:hAnsi="Arial" w:cs="Arial"/>
          <w:lang w:eastAsia="ja-JP"/>
        </w:rPr>
        <w:t xml:space="preserve">mismas </w:t>
      </w:r>
      <w:r w:rsidRPr="005171B0">
        <w:rPr>
          <w:rFonts w:ascii="Arial" w:hAnsi="Arial" w:cs="Arial"/>
          <w:lang w:eastAsia="ja-JP"/>
        </w:rPr>
        <w:t>refinerías</w:t>
      </w:r>
      <w:r>
        <w:rPr>
          <w:rFonts w:ascii="Arial" w:hAnsi="Arial" w:cs="Arial"/>
          <w:lang w:eastAsia="ja-JP"/>
        </w:rPr>
        <w:t xml:space="preserve">.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firstLine="284"/>
        <w:jc w:val="both"/>
        <w:rPr>
          <w:rFonts w:ascii="Arial" w:hAnsi="Arial" w:cs="Arial"/>
          <w:lang w:eastAsia="ja-JP"/>
        </w:rPr>
      </w:pPr>
    </w:p>
    <w:p w:rsidR="00671514" w:rsidRDefault="00671514" w:rsidP="00671514">
      <w:pPr>
        <w:ind w:left="-284" w:right="-234"/>
        <w:jc w:val="center"/>
        <w:rPr>
          <w:rFonts w:ascii="Arial" w:hAnsi="Arial" w:cs="Arial"/>
        </w:rPr>
      </w:pPr>
      <w:r w:rsidRPr="00556188">
        <w:rPr>
          <w:rFonts w:ascii="Arial" w:hAnsi="Arial" w:cs="Arial"/>
          <w:noProof/>
          <w:lang w:val="en-US"/>
        </w:rPr>
        <w:drawing>
          <wp:inline distT="0" distB="0" distL="0" distR="0" wp14:anchorId="0AB65835" wp14:editId="1062A1C1">
            <wp:extent cx="5083539" cy="3122930"/>
            <wp:effectExtent l="19050" t="19050" r="22225" b="20320"/>
            <wp:docPr id="202662373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11" cstate="print">
                      <a:extLst>
                        <a:ext uri="{28A0092B-C50C-407E-A947-70E740481C1C}">
                          <a14:useLocalDpi xmlns:a14="http://schemas.microsoft.com/office/drawing/2010/main" val="0"/>
                        </a:ext>
                      </a:extLst>
                    </a:blip>
                    <a:srcRect b="15476"/>
                    <a:stretch/>
                  </pic:blipFill>
                  <pic:spPr bwMode="auto">
                    <a:xfrm>
                      <a:off x="0" y="0"/>
                      <a:ext cx="5086295" cy="3124623"/>
                    </a:xfrm>
                    <a:prstGeom prst="rect">
                      <a:avLst/>
                    </a:prstGeom>
                    <a:noFill/>
                    <a:ln>
                      <a:solidFill>
                        <a:schemeClr val="tx1"/>
                      </a:solidFill>
                    </a:ln>
                    <a:extLst>
                      <a:ext uri="{53640926-AAD7-44d8-BBD7-CCE9431645EC}">
                        <a14:shadowObscured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671514" w:rsidRPr="00943152" w:rsidRDefault="00671514" w:rsidP="00671514">
      <w:pPr>
        <w:ind w:left="-284" w:right="-234"/>
        <w:jc w:val="center"/>
        <w:rPr>
          <w:rFonts w:cs="Times New Roman"/>
          <w:i/>
          <w:iCs/>
          <w:sz w:val="20"/>
          <w:szCs w:val="20"/>
          <w:lang w:val="es-MX"/>
        </w:rPr>
      </w:pPr>
      <w:r w:rsidRPr="00943152">
        <w:rPr>
          <w:rFonts w:cs="Times New Roman"/>
          <w:i/>
          <w:iCs/>
          <w:sz w:val="20"/>
          <w:szCs w:val="20"/>
          <w:lang w:val="es-MX"/>
        </w:rPr>
        <w:t xml:space="preserve">Figura 1. Anatomía del problema </w:t>
      </w:r>
    </w:p>
    <w:p w:rsidR="00671514" w:rsidRPr="00FE638C" w:rsidRDefault="00671514" w:rsidP="00671514">
      <w:pPr>
        <w:ind w:left="284" w:right="474"/>
        <w:jc w:val="center"/>
        <w:rPr>
          <w:rFonts w:ascii="Arial" w:hAnsi="Arial" w:cs="Arial"/>
          <w:sz w:val="20"/>
          <w:szCs w:val="20"/>
        </w:rPr>
      </w:pPr>
      <w:r>
        <w:rPr>
          <w:rFonts w:ascii="Arial" w:hAnsi="Arial" w:cs="Arial"/>
          <w:sz w:val="20"/>
          <w:szCs w:val="20"/>
          <w:lang w:val="es-MX"/>
        </w:rPr>
        <w:t>Fuente: [2] y [3] ; Notas: Sistema de Administración Tributaria, SAT; Unidad de Inteligencia Financiera (UFI)</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Arial" w:hAnsi="Arial" w:cs="Arial"/>
          <w:i/>
          <w:iCs/>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Arial" w:hAnsi="Arial" w:cs="Arial"/>
          <w:i/>
          <w:iCs/>
          <w:lang w:eastAsia="ja-JP"/>
        </w:rPr>
      </w:pPr>
      <w:r>
        <w:rPr>
          <w:rFonts w:ascii="Arial" w:hAnsi="Arial" w:cs="Arial"/>
          <w:i/>
          <w:iCs/>
          <w:lang w:eastAsia="ja-JP"/>
        </w:rPr>
        <w:t>2.2 Características del problema</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firstLine="568"/>
        <w:jc w:val="both"/>
        <w:rPr>
          <w:rFonts w:ascii="Helvetica" w:hAnsi="Helvetica" w:cs="Helvetica"/>
          <w:lang w:eastAsia="ja-JP"/>
        </w:rPr>
      </w:pPr>
      <w:r>
        <w:rPr>
          <w:rFonts w:ascii="Arial" w:hAnsi="Arial" w:cs="Arial"/>
          <w:lang w:eastAsia="ja-JP"/>
        </w:rPr>
        <w:lastRenderedPageBreak/>
        <w:t xml:space="preserve">La naturaleza del problema es compleja y multifactorial y tiene orígenes diversos lo que sugiere un abordaje teniendo en cuenta múltiples aspectos y que la solución para abatir el robo de gasolinas no puede ser abordada únicamente con elementos tecnológicos, es decir, solo con tecnología. Por lo tanto, interesa en esta presentación responder las siguientes preguntas ¿cómo coadyuvan las tecnologías que se utilizan para la administración, control y logística, a la protección de la red de ductos de Petróleos Mexicanos (PEMEX) para evitar el robo de gasolinas? y ¿cuál fue el resultado de la estrategia gubernamental?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Arial" w:hAnsi="Arial" w:cs="Arial"/>
          <w:i/>
          <w:iCs/>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Arial" w:hAnsi="Arial" w:cs="Arial"/>
          <w:i/>
          <w:iCs/>
          <w:lang w:eastAsia="ja-JP"/>
        </w:rPr>
      </w:pPr>
      <w:r>
        <w:rPr>
          <w:rFonts w:ascii="Arial" w:hAnsi="Arial" w:cs="Arial"/>
          <w:i/>
          <w:iCs/>
          <w:lang w:eastAsia="ja-JP"/>
        </w:rPr>
        <w:t>2.3 Alcance de la investigación</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Arial" w:hAnsi="Arial" w:cs="Arial"/>
          <w:i/>
          <w:iCs/>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firstLine="568"/>
        <w:jc w:val="both"/>
        <w:rPr>
          <w:rFonts w:ascii="Helvetica" w:hAnsi="Helvetica" w:cs="Helvetica"/>
          <w:lang w:eastAsia="ja-JP"/>
        </w:rPr>
      </w:pPr>
      <w:r>
        <w:rPr>
          <w:rFonts w:ascii="Arial" w:hAnsi="Arial" w:cs="Arial"/>
          <w:lang w:eastAsia="ja-JP"/>
        </w:rPr>
        <w:t xml:space="preserve">Se hace un análisis y evaluación de tecnologías utilizadas por PEMEX para enfrentar este delito, al igual que de la problemática a nivel internacional y además un análisis comparativo a nivel internacional.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w:t>
      </w:r>
    </w:p>
    <w:p w:rsidR="00671514" w:rsidRDefault="00671514" w:rsidP="00671514">
      <w:pPr>
        <w:pStyle w:val="1Titulo"/>
        <w:numPr>
          <w:ilvl w:val="0"/>
          <w:numId w:val="0"/>
        </w:numPr>
        <w:ind w:left="357"/>
      </w:pPr>
      <w:bookmarkStart w:id="337" w:name="_Toc50031384"/>
      <w:r>
        <w:t>3. Metodología</w:t>
      </w:r>
      <w:bookmarkEnd w:id="337"/>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firstLine="284"/>
        <w:jc w:val="both"/>
        <w:rPr>
          <w:rFonts w:ascii="Helvetica" w:hAnsi="Helvetica" w:cs="Helvetica"/>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firstLine="568"/>
        <w:jc w:val="both"/>
        <w:rPr>
          <w:rFonts w:ascii="Helvetica" w:hAnsi="Helvetica" w:cs="Helvetica"/>
          <w:lang w:eastAsia="ja-JP"/>
        </w:rPr>
      </w:pPr>
      <w:r>
        <w:rPr>
          <w:rFonts w:ascii="Arial" w:hAnsi="Arial" w:cs="Arial"/>
          <w:lang w:eastAsia="ja-JP"/>
        </w:rPr>
        <w:t xml:space="preserve">Revisión y análisis de la literatura y tecnologías a nivel mundial para lo cual se construyó un </w:t>
      </w:r>
      <w:r>
        <w:rPr>
          <w:rFonts w:ascii="Arial" w:hAnsi="Arial" w:cs="Arial"/>
          <w:i/>
          <w:iCs/>
          <w:lang w:eastAsia="ja-JP"/>
        </w:rPr>
        <w:t>corpus</w:t>
      </w:r>
      <w:r>
        <w:rPr>
          <w:rFonts w:ascii="Arial" w:hAnsi="Arial" w:cs="Arial"/>
          <w:lang w:eastAsia="ja-JP"/>
        </w:rPr>
        <w:t xml:space="preserve"> de literatura sobre las tecnologías utilizadas a nivel internacional compuesto por 372 registros de patentes sobre protección de ductos de petróleo, y 75 artículos publicados en diferentes publicaciones internacionales eliminando todos los que tienen que ver con protección contra la corrosión. La búsqueda cubre patentes y artículos desde el año 2001 hasta marzo del 2019. Se agruparon en categorías para su estudio, y los resultados se muestran en la tabla 2.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Arial" w:hAnsi="Arial" w:cs="Arial"/>
          <w:lang w:eastAsia="ja-JP"/>
        </w:rPr>
      </w:pPr>
    </w:p>
    <w:p w:rsidR="00671514" w:rsidRPr="00943152" w:rsidRDefault="00671514" w:rsidP="00671514">
      <w:pPr>
        <w:pBdr>
          <w:top w:val="nil"/>
          <w:left w:val="nil"/>
          <w:bottom w:val="nil"/>
          <w:right w:val="nil"/>
          <w:between w:val="nil"/>
        </w:pBdr>
        <w:shd w:val="clear" w:color="auto" w:fill="FFFFFF"/>
        <w:ind w:left="-284" w:right="-234"/>
        <w:jc w:val="center"/>
        <w:rPr>
          <w:rFonts w:cs="Times New Roman"/>
          <w:i/>
          <w:sz w:val="20"/>
          <w:szCs w:val="20"/>
        </w:rPr>
      </w:pPr>
      <w:r w:rsidRPr="00943152">
        <w:rPr>
          <w:rFonts w:cs="Times New Roman"/>
          <w:i/>
          <w:sz w:val="20"/>
          <w:szCs w:val="20"/>
        </w:rPr>
        <w:t>Tabla 2 Categorias tecnológicas</w:t>
      </w:r>
    </w:p>
    <w:tbl>
      <w:tblPr>
        <w:tblW w:w="8260" w:type="dxa"/>
        <w:jc w:val="center"/>
        <w:tblBorders>
          <w:top w:val="nil"/>
          <w:left w:val="nil"/>
          <w:right w:val="nil"/>
        </w:tblBorders>
        <w:tblLayout w:type="fixed"/>
        <w:tblLook w:val="0000" w:firstRow="0" w:lastRow="0" w:firstColumn="0" w:lastColumn="0" w:noHBand="0" w:noVBand="0"/>
      </w:tblPr>
      <w:tblGrid>
        <w:gridCol w:w="5495"/>
        <w:gridCol w:w="1162"/>
        <w:gridCol w:w="1603"/>
      </w:tblGrid>
      <w:tr w:rsidR="00671514" w:rsidRPr="00234262" w:rsidTr="007F2707">
        <w:trPr>
          <w:jc w:val="center"/>
        </w:trPr>
        <w:tc>
          <w:tcPr>
            <w:tcW w:w="5495" w:type="dxa"/>
            <w:tcMar>
              <w:top w:w="20" w:type="nil"/>
              <w:left w:w="20" w:type="nil"/>
              <w:right w:w="20" w:type="nil"/>
            </w:tcMar>
            <w:vAlign w:val="bottom"/>
          </w:tcPr>
          <w:p w:rsidR="00671514" w:rsidRPr="00234262" w:rsidRDefault="00671514" w:rsidP="007F2707">
            <w:pPr>
              <w:widowControl w:val="0"/>
              <w:autoSpaceDE w:val="0"/>
              <w:autoSpaceDN w:val="0"/>
              <w:adjustRightInd w:val="0"/>
              <w:ind w:left="142" w:right="-234"/>
              <w:rPr>
                <w:rFonts w:ascii="Arial" w:hAnsi="Arial" w:cs="Arial"/>
                <w:sz w:val="22"/>
                <w:szCs w:val="22"/>
              </w:rPr>
            </w:pPr>
            <w:r w:rsidRPr="00234262">
              <w:rPr>
                <w:rFonts w:ascii="Arial" w:hAnsi="Arial" w:cs="Arial"/>
                <w:sz w:val="22"/>
                <w:szCs w:val="22"/>
              </w:rPr>
              <w:t>Categorías (patentes)</w:t>
            </w: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Número</w:t>
            </w: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Porcentaje</w:t>
            </w:r>
          </w:p>
        </w:tc>
      </w:tr>
      <w:tr w:rsidR="00671514" w:rsidRPr="00234262" w:rsidTr="007F2707">
        <w:tblPrEx>
          <w:tblBorders>
            <w:top w:val="none" w:sz="0" w:space="0" w:color="auto"/>
          </w:tblBorders>
        </w:tblPrEx>
        <w:trPr>
          <w:jc w:val="center"/>
        </w:trPr>
        <w:tc>
          <w:tcPr>
            <w:tcW w:w="5495" w:type="dxa"/>
            <w:tcMar>
              <w:top w:w="20" w:type="nil"/>
              <w:left w:w="20" w:type="nil"/>
              <w:right w:w="20" w:type="nil"/>
            </w:tcMar>
            <w:vAlign w:val="bottom"/>
          </w:tcPr>
          <w:p w:rsidR="00671514" w:rsidRPr="00234262" w:rsidRDefault="00671514" w:rsidP="007F2707">
            <w:pPr>
              <w:widowControl w:val="0"/>
              <w:autoSpaceDE w:val="0"/>
              <w:autoSpaceDN w:val="0"/>
              <w:adjustRightInd w:val="0"/>
              <w:ind w:left="142" w:right="-234"/>
              <w:rPr>
                <w:rFonts w:ascii="Arial" w:hAnsi="Arial" w:cs="Arial"/>
                <w:sz w:val="22"/>
                <w:szCs w:val="22"/>
              </w:rPr>
            </w:pPr>
            <w:r w:rsidRPr="00234262">
              <w:rPr>
                <w:rFonts w:ascii="Arial" w:hAnsi="Arial" w:cs="Arial"/>
                <w:sz w:val="22"/>
                <w:szCs w:val="22"/>
              </w:rPr>
              <w:t>1.Sistemas de detección de fugas y grietas</w:t>
            </w: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100</w:t>
            </w: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27%</w:t>
            </w:r>
          </w:p>
        </w:tc>
      </w:tr>
      <w:tr w:rsidR="00671514" w:rsidRPr="00234262" w:rsidTr="007F2707">
        <w:tblPrEx>
          <w:tblBorders>
            <w:top w:val="none" w:sz="0" w:space="0" w:color="auto"/>
          </w:tblBorders>
        </w:tblPrEx>
        <w:trPr>
          <w:jc w:val="center"/>
        </w:trPr>
        <w:tc>
          <w:tcPr>
            <w:tcW w:w="5495" w:type="dxa"/>
            <w:tcMar>
              <w:top w:w="20" w:type="nil"/>
              <w:left w:w="20" w:type="nil"/>
              <w:right w:w="20" w:type="nil"/>
            </w:tcMar>
            <w:vAlign w:val="bottom"/>
          </w:tcPr>
          <w:p w:rsidR="00671514" w:rsidRPr="00234262" w:rsidRDefault="00671514" w:rsidP="007F2707">
            <w:pPr>
              <w:widowControl w:val="0"/>
              <w:autoSpaceDE w:val="0"/>
              <w:autoSpaceDN w:val="0"/>
              <w:adjustRightInd w:val="0"/>
              <w:ind w:left="142" w:right="-234"/>
              <w:rPr>
                <w:rFonts w:ascii="Arial" w:hAnsi="Arial" w:cs="Arial"/>
                <w:sz w:val="22"/>
                <w:szCs w:val="22"/>
              </w:rPr>
            </w:pPr>
            <w:r w:rsidRPr="00234262">
              <w:rPr>
                <w:rFonts w:ascii="Arial" w:hAnsi="Arial" w:cs="Arial"/>
                <w:sz w:val="22"/>
                <w:szCs w:val="22"/>
              </w:rPr>
              <w:t>2. Sistemas de soporte y fijación</w:t>
            </w: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88</w:t>
            </w: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24%</w:t>
            </w:r>
          </w:p>
        </w:tc>
      </w:tr>
      <w:tr w:rsidR="00671514" w:rsidRPr="00234262" w:rsidTr="007F2707">
        <w:tblPrEx>
          <w:tblBorders>
            <w:top w:val="none" w:sz="0" w:space="0" w:color="auto"/>
          </w:tblBorders>
        </w:tblPrEx>
        <w:trPr>
          <w:jc w:val="center"/>
        </w:trPr>
        <w:tc>
          <w:tcPr>
            <w:tcW w:w="5495" w:type="dxa"/>
            <w:tcMar>
              <w:top w:w="20" w:type="nil"/>
              <w:left w:w="20" w:type="nil"/>
              <w:right w:w="20" w:type="nil"/>
            </w:tcMar>
            <w:vAlign w:val="bottom"/>
          </w:tcPr>
          <w:p w:rsidR="00671514" w:rsidRPr="00234262" w:rsidRDefault="00671514" w:rsidP="007F2707">
            <w:pPr>
              <w:widowControl w:val="0"/>
              <w:autoSpaceDE w:val="0"/>
              <w:autoSpaceDN w:val="0"/>
              <w:adjustRightInd w:val="0"/>
              <w:ind w:left="142" w:right="-234"/>
              <w:rPr>
                <w:rFonts w:ascii="Arial" w:hAnsi="Arial" w:cs="Arial"/>
                <w:sz w:val="22"/>
                <w:szCs w:val="22"/>
              </w:rPr>
            </w:pPr>
            <w:r w:rsidRPr="00234262">
              <w:rPr>
                <w:rFonts w:ascii="Arial" w:hAnsi="Arial" w:cs="Arial"/>
                <w:sz w:val="22"/>
                <w:szCs w:val="22"/>
              </w:rPr>
              <w:t>3. Sistemas de limpieza</w:t>
            </w: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44</w:t>
            </w: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12%</w:t>
            </w:r>
          </w:p>
        </w:tc>
      </w:tr>
      <w:tr w:rsidR="00671514" w:rsidRPr="00234262" w:rsidTr="007F2707">
        <w:tblPrEx>
          <w:tblBorders>
            <w:top w:val="none" w:sz="0" w:space="0" w:color="auto"/>
          </w:tblBorders>
        </w:tblPrEx>
        <w:trPr>
          <w:jc w:val="center"/>
        </w:trPr>
        <w:tc>
          <w:tcPr>
            <w:tcW w:w="5495" w:type="dxa"/>
            <w:tcMar>
              <w:top w:w="20" w:type="nil"/>
              <w:left w:w="20" w:type="nil"/>
              <w:right w:w="20" w:type="nil"/>
            </w:tcMar>
            <w:vAlign w:val="bottom"/>
          </w:tcPr>
          <w:p w:rsidR="00671514" w:rsidRPr="00234262" w:rsidRDefault="00671514" w:rsidP="007F2707">
            <w:pPr>
              <w:widowControl w:val="0"/>
              <w:autoSpaceDE w:val="0"/>
              <w:autoSpaceDN w:val="0"/>
              <w:adjustRightInd w:val="0"/>
              <w:ind w:left="142" w:right="-234"/>
              <w:rPr>
                <w:rFonts w:ascii="Arial" w:hAnsi="Arial" w:cs="Arial"/>
                <w:sz w:val="22"/>
                <w:szCs w:val="22"/>
                <w:highlight w:val="cyan"/>
              </w:rPr>
            </w:pPr>
            <w:r w:rsidRPr="00234262">
              <w:rPr>
                <w:rFonts w:ascii="Arial" w:hAnsi="Arial" w:cs="Arial"/>
                <w:sz w:val="22"/>
                <w:szCs w:val="22"/>
              </w:rPr>
              <w:t>4. Eficiencia energética</w:t>
            </w: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24</w:t>
            </w: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6%</w:t>
            </w:r>
          </w:p>
        </w:tc>
      </w:tr>
      <w:tr w:rsidR="00671514" w:rsidRPr="00234262" w:rsidTr="007F2707">
        <w:tblPrEx>
          <w:tblBorders>
            <w:top w:val="none" w:sz="0" w:space="0" w:color="auto"/>
          </w:tblBorders>
        </w:tblPrEx>
        <w:trPr>
          <w:jc w:val="center"/>
        </w:trPr>
        <w:tc>
          <w:tcPr>
            <w:tcW w:w="5495" w:type="dxa"/>
            <w:tcMar>
              <w:top w:w="20" w:type="nil"/>
              <w:left w:w="20" w:type="nil"/>
              <w:right w:w="20" w:type="nil"/>
            </w:tcMar>
            <w:vAlign w:val="bottom"/>
          </w:tcPr>
          <w:p w:rsidR="00671514" w:rsidRPr="00234262" w:rsidRDefault="00671514" w:rsidP="007F2707">
            <w:pPr>
              <w:widowControl w:val="0"/>
              <w:autoSpaceDE w:val="0"/>
              <w:autoSpaceDN w:val="0"/>
              <w:adjustRightInd w:val="0"/>
              <w:ind w:left="142" w:right="-234"/>
              <w:rPr>
                <w:rFonts w:ascii="Arial" w:hAnsi="Arial" w:cs="Arial"/>
                <w:color w:val="FFFFFF" w:themeColor="background1"/>
                <w:sz w:val="22"/>
                <w:szCs w:val="22"/>
              </w:rPr>
            </w:pPr>
            <w:r w:rsidRPr="00234262">
              <w:rPr>
                <w:rFonts w:ascii="Arial" w:hAnsi="Arial" w:cs="Arial"/>
                <w:sz w:val="22"/>
                <w:szCs w:val="22"/>
              </w:rPr>
              <w:t>5. Recubrimientos</w:t>
            </w: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93</w:t>
            </w: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25%</w:t>
            </w:r>
          </w:p>
        </w:tc>
      </w:tr>
      <w:tr w:rsidR="00671514" w:rsidRPr="00234262" w:rsidTr="007F2707">
        <w:tblPrEx>
          <w:tblBorders>
            <w:top w:val="none" w:sz="0" w:space="0" w:color="auto"/>
          </w:tblBorders>
        </w:tblPrEx>
        <w:trPr>
          <w:jc w:val="center"/>
        </w:trPr>
        <w:tc>
          <w:tcPr>
            <w:tcW w:w="5495" w:type="dxa"/>
            <w:tcMar>
              <w:top w:w="20" w:type="nil"/>
              <w:left w:w="20" w:type="nil"/>
              <w:right w:w="20" w:type="nil"/>
            </w:tcMar>
            <w:vAlign w:val="bottom"/>
          </w:tcPr>
          <w:p w:rsidR="00671514" w:rsidRPr="00234262" w:rsidRDefault="00671514" w:rsidP="007F2707">
            <w:pPr>
              <w:widowControl w:val="0"/>
              <w:autoSpaceDE w:val="0"/>
              <w:autoSpaceDN w:val="0"/>
              <w:adjustRightInd w:val="0"/>
              <w:ind w:left="142" w:right="-234"/>
              <w:rPr>
                <w:rFonts w:ascii="Arial" w:hAnsi="Arial" w:cs="Arial"/>
                <w:sz w:val="22"/>
                <w:szCs w:val="22"/>
              </w:rPr>
            </w:pPr>
            <w:r w:rsidRPr="00234262">
              <w:rPr>
                <w:rFonts w:ascii="Arial" w:hAnsi="Arial" w:cs="Arial"/>
                <w:sz w:val="22"/>
                <w:szCs w:val="22"/>
              </w:rPr>
              <w:t>6. Otros</w:t>
            </w: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23</w:t>
            </w: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6%</w:t>
            </w:r>
          </w:p>
        </w:tc>
      </w:tr>
      <w:tr w:rsidR="00671514" w:rsidRPr="00234262" w:rsidTr="007F2707">
        <w:tblPrEx>
          <w:tblBorders>
            <w:top w:val="none" w:sz="0" w:space="0" w:color="auto"/>
          </w:tblBorders>
        </w:tblPrEx>
        <w:trPr>
          <w:jc w:val="center"/>
        </w:trPr>
        <w:tc>
          <w:tcPr>
            <w:tcW w:w="5495" w:type="dxa"/>
            <w:tcMar>
              <w:top w:w="20" w:type="nil"/>
              <w:left w:w="20" w:type="nil"/>
              <w:right w:w="20" w:type="nil"/>
            </w:tcMar>
            <w:vAlign w:val="bottom"/>
          </w:tcPr>
          <w:p w:rsidR="00671514" w:rsidRPr="00234262" w:rsidRDefault="00671514" w:rsidP="007F2707">
            <w:pPr>
              <w:widowControl w:val="0"/>
              <w:autoSpaceDE w:val="0"/>
              <w:autoSpaceDN w:val="0"/>
              <w:adjustRightInd w:val="0"/>
              <w:ind w:left="142" w:right="-234"/>
              <w:rPr>
                <w:rFonts w:ascii="Arial" w:hAnsi="Arial" w:cs="Arial"/>
                <w:sz w:val="22"/>
                <w:szCs w:val="22"/>
              </w:rPr>
            </w:pPr>
            <w:r w:rsidRPr="00234262">
              <w:rPr>
                <w:rFonts w:ascii="Arial" w:hAnsi="Arial" w:cs="Arial"/>
                <w:sz w:val="22"/>
                <w:szCs w:val="22"/>
              </w:rPr>
              <w:t>Total</w:t>
            </w: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372</w:t>
            </w: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p>
        </w:tc>
      </w:tr>
      <w:tr w:rsidR="00671514" w:rsidRPr="00234262" w:rsidTr="007F2707">
        <w:tblPrEx>
          <w:tblBorders>
            <w:top w:val="none" w:sz="0" w:space="0" w:color="auto"/>
          </w:tblBorders>
        </w:tblPrEx>
        <w:trPr>
          <w:jc w:val="center"/>
        </w:trPr>
        <w:tc>
          <w:tcPr>
            <w:tcW w:w="5495" w:type="dxa"/>
            <w:tcMar>
              <w:top w:w="20" w:type="nil"/>
              <w:left w:w="20" w:type="nil"/>
              <w:right w:w="20" w:type="nil"/>
            </w:tcMar>
            <w:vAlign w:val="bottom"/>
          </w:tcPr>
          <w:p w:rsidR="00671514" w:rsidRPr="00234262" w:rsidRDefault="00671514" w:rsidP="007F2707">
            <w:pPr>
              <w:widowControl w:val="0"/>
              <w:autoSpaceDE w:val="0"/>
              <w:autoSpaceDN w:val="0"/>
              <w:adjustRightInd w:val="0"/>
              <w:ind w:left="142" w:right="-234"/>
              <w:rPr>
                <w:rFonts w:ascii="Arial" w:hAnsi="Arial" w:cs="Arial"/>
                <w:sz w:val="22"/>
                <w:szCs w:val="22"/>
              </w:rPr>
            </w:pP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p>
        </w:tc>
      </w:tr>
      <w:tr w:rsidR="00671514" w:rsidRPr="00234262" w:rsidTr="007F2707">
        <w:tblPrEx>
          <w:tblBorders>
            <w:top w:val="none" w:sz="0" w:space="0" w:color="auto"/>
          </w:tblBorders>
        </w:tblPrEx>
        <w:trPr>
          <w:jc w:val="center"/>
        </w:trPr>
        <w:tc>
          <w:tcPr>
            <w:tcW w:w="5495" w:type="dxa"/>
            <w:tcMar>
              <w:top w:w="20" w:type="nil"/>
              <w:left w:w="20" w:type="nil"/>
              <w:right w:w="20" w:type="nil"/>
            </w:tcMar>
            <w:vAlign w:val="bottom"/>
          </w:tcPr>
          <w:p w:rsidR="00671514" w:rsidRPr="00234262" w:rsidRDefault="00671514" w:rsidP="007F2707">
            <w:pPr>
              <w:widowControl w:val="0"/>
              <w:autoSpaceDE w:val="0"/>
              <w:autoSpaceDN w:val="0"/>
              <w:adjustRightInd w:val="0"/>
              <w:ind w:left="142" w:right="-234"/>
              <w:rPr>
                <w:rFonts w:ascii="Arial" w:hAnsi="Arial" w:cs="Arial"/>
                <w:sz w:val="22"/>
                <w:szCs w:val="22"/>
              </w:rPr>
            </w:pPr>
            <w:r w:rsidRPr="00234262">
              <w:rPr>
                <w:rFonts w:ascii="Arial" w:hAnsi="Arial" w:cs="Arial"/>
                <w:sz w:val="22"/>
                <w:szCs w:val="22"/>
              </w:rPr>
              <w:t>Categorías (Artículos)</w:t>
            </w: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Número</w:t>
            </w: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Porcentaje</w:t>
            </w:r>
          </w:p>
        </w:tc>
      </w:tr>
      <w:tr w:rsidR="00671514" w:rsidRPr="00234262" w:rsidTr="007F2707">
        <w:tblPrEx>
          <w:tblBorders>
            <w:top w:val="none" w:sz="0" w:space="0" w:color="auto"/>
          </w:tblBorders>
        </w:tblPrEx>
        <w:trPr>
          <w:jc w:val="center"/>
        </w:trPr>
        <w:tc>
          <w:tcPr>
            <w:tcW w:w="5495" w:type="dxa"/>
            <w:tcMar>
              <w:top w:w="20" w:type="nil"/>
              <w:left w:w="20" w:type="nil"/>
              <w:right w:w="20" w:type="nil"/>
            </w:tcMar>
            <w:vAlign w:val="center"/>
          </w:tcPr>
          <w:p w:rsidR="00671514" w:rsidRPr="00234262" w:rsidRDefault="00671514" w:rsidP="007F2707">
            <w:pPr>
              <w:widowControl w:val="0"/>
              <w:autoSpaceDE w:val="0"/>
              <w:autoSpaceDN w:val="0"/>
              <w:adjustRightInd w:val="0"/>
              <w:ind w:left="142" w:right="-234"/>
              <w:jc w:val="both"/>
              <w:rPr>
                <w:rFonts w:ascii="Arial" w:hAnsi="Arial" w:cs="Arial"/>
                <w:sz w:val="22"/>
                <w:szCs w:val="22"/>
              </w:rPr>
            </w:pPr>
            <w:r w:rsidRPr="00234262">
              <w:rPr>
                <w:rFonts w:ascii="Arial" w:hAnsi="Arial" w:cs="Arial"/>
                <w:sz w:val="22"/>
                <w:szCs w:val="22"/>
              </w:rPr>
              <w:t>7. Instalación y construcción</w:t>
            </w: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20</w:t>
            </w: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27%</w:t>
            </w:r>
          </w:p>
        </w:tc>
      </w:tr>
      <w:tr w:rsidR="00671514" w:rsidRPr="00234262" w:rsidTr="007F2707">
        <w:tblPrEx>
          <w:tblBorders>
            <w:top w:val="none" w:sz="0" w:space="0" w:color="auto"/>
          </w:tblBorders>
        </w:tblPrEx>
        <w:trPr>
          <w:jc w:val="center"/>
        </w:trPr>
        <w:tc>
          <w:tcPr>
            <w:tcW w:w="5495" w:type="dxa"/>
            <w:tcMar>
              <w:top w:w="20" w:type="nil"/>
              <w:left w:w="20" w:type="nil"/>
              <w:right w:w="20" w:type="nil"/>
            </w:tcMar>
            <w:vAlign w:val="bottom"/>
          </w:tcPr>
          <w:p w:rsidR="00671514" w:rsidRPr="00234262" w:rsidRDefault="00671514" w:rsidP="007F2707">
            <w:pPr>
              <w:widowControl w:val="0"/>
              <w:autoSpaceDE w:val="0"/>
              <w:autoSpaceDN w:val="0"/>
              <w:adjustRightInd w:val="0"/>
              <w:ind w:left="142" w:right="-234"/>
              <w:rPr>
                <w:rFonts w:ascii="Arial" w:hAnsi="Arial" w:cs="Arial"/>
                <w:sz w:val="22"/>
                <w:szCs w:val="22"/>
              </w:rPr>
            </w:pPr>
            <w:r w:rsidRPr="00234262">
              <w:rPr>
                <w:rFonts w:ascii="Arial" w:hAnsi="Arial" w:cs="Arial"/>
                <w:sz w:val="22"/>
                <w:szCs w:val="22"/>
              </w:rPr>
              <w:t>8. Identificación de riesgos </w:t>
            </w: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22</w:t>
            </w: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29%</w:t>
            </w:r>
          </w:p>
        </w:tc>
      </w:tr>
      <w:tr w:rsidR="00671514" w:rsidRPr="00234262" w:rsidTr="007F2707">
        <w:tblPrEx>
          <w:tblBorders>
            <w:top w:val="none" w:sz="0" w:space="0" w:color="auto"/>
          </w:tblBorders>
        </w:tblPrEx>
        <w:trPr>
          <w:jc w:val="center"/>
        </w:trPr>
        <w:tc>
          <w:tcPr>
            <w:tcW w:w="5495" w:type="dxa"/>
            <w:tcMar>
              <w:top w:w="20" w:type="nil"/>
              <w:left w:w="20" w:type="nil"/>
              <w:right w:w="20" w:type="nil"/>
            </w:tcMar>
            <w:vAlign w:val="bottom"/>
          </w:tcPr>
          <w:p w:rsidR="00671514" w:rsidRPr="00234262" w:rsidRDefault="00671514" w:rsidP="007F2707">
            <w:pPr>
              <w:widowControl w:val="0"/>
              <w:autoSpaceDE w:val="0"/>
              <w:autoSpaceDN w:val="0"/>
              <w:adjustRightInd w:val="0"/>
              <w:ind w:left="142" w:right="-234"/>
              <w:rPr>
                <w:rFonts w:ascii="Arial" w:hAnsi="Arial" w:cs="Arial"/>
                <w:sz w:val="22"/>
                <w:szCs w:val="22"/>
              </w:rPr>
            </w:pPr>
            <w:r w:rsidRPr="00234262">
              <w:rPr>
                <w:rFonts w:ascii="Arial" w:hAnsi="Arial" w:cs="Arial"/>
                <w:sz w:val="22"/>
                <w:szCs w:val="22"/>
              </w:rPr>
              <w:t>9. Análisis térmico</w:t>
            </w: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7</w:t>
            </w: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9%</w:t>
            </w:r>
          </w:p>
        </w:tc>
      </w:tr>
      <w:tr w:rsidR="00671514" w:rsidRPr="00234262" w:rsidTr="007F2707">
        <w:tblPrEx>
          <w:tblBorders>
            <w:top w:val="none" w:sz="0" w:space="0" w:color="auto"/>
          </w:tblBorders>
        </w:tblPrEx>
        <w:trPr>
          <w:jc w:val="center"/>
        </w:trPr>
        <w:tc>
          <w:tcPr>
            <w:tcW w:w="5495" w:type="dxa"/>
            <w:tcMar>
              <w:top w:w="20" w:type="nil"/>
              <w:left w:w="20" w:type="nil"/>
              <w:right w:w="20" w:type="nil"/>
            </w:tcMar>
            <w:vAlign w:val="bottom"/>
          </w:tcPr>
          <w:p w:rsidR="00671514" w:rsidRPr="00234262" w:rsidRDefault="00671514" w:rsidP="007F2707">
            <w:pPr>
              <w:widowControl w:val="0"/>
              <w:autoSpaceDE w:val="0"/>
              <w:autoSpaceDN w:val="0"/>
              <w:adjustRightInd w:val="0"/>
              <w:ind w:left="142" w:right="-234"/>
              <w:rPr>
                <w:rFonts w:ascii="Arial" w:hAnsi="Arial" w:cs="Arial"/>
                <w:sz w:val="22"/>
                <w:szCs w:val="22"/>
              </w:rPr>
            </w:pPr>
            <w:r w:rsidRPr="00234262">
              <w:rPr>
                <w:rFonts w:ascii="Arial" w:hAnsi="Arial" w:cs="Arial"/>
                <w:sz w:val="22"/>
                <w:szCs w:val="22"/>
              </w:rPr>
              <w:t>10. Monitoreo y control</w:t>
            </w: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12</w:t>
            </w: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16%</w:t>
            </w:r>
          </w:p>
        </w:tc>
      </w:tr>
      <w:tr w:rsidR="00671514" w:rsidRPr="00234262" w:rsidTr="007F2707">
        <w:tblPrEx>
          <w:tblBorders>
            <w:top w:val="none" w:sz="0" w:space="0" w:color="auto"/>
          </w:tblBorders>
        </w:tblPrEx>
        <w:trPr>
          <w:jc w:val="center"/>
        </w:trPr>
        <w:tc>
          <w:tcPr>
            <w:tcW w:w="5495" w:type="dxa"/>
            <w:tcMar>
              <w:top w:w="20" w:type="nil"/>
              <w:left w:w="20" w:type="nil"/>
              <w:right w:w="20" w:type="nil"/>
            </w:tcMar>
            <w:vAlign w:val="bottom"/>
          </w:tcPr>
          <w:p w:rsidR="00671514" w:rsidRPr="00234262" w:rsidRDefault="00671514" w:rsidP="007F2707">
            <w:pPr>
              <w:widowControl w:val="0"/>
              <w:autoSpaceDE w:val="0"/>
              <w:autoSpaceDN w:val="0"/>
              <w:adjustRightInd w:val="0"/>
              <w:ind w:left="142" w:right="-234"/>
              <w:rPr>
                <w:rFonts w:ascii="Arial" w:hAnsi="Arial" w:cs="Arial"/>
                <w:sz w:val="22"/>
                <w:szCs w:val="22"/>
              </w:rPr>
            </w:pPr>
            <w:r w:rsidRPr="00234262">
              <w:rPr>
                <w:rFonts w:ascii="Arial" w:hAnsi="Arial" w:cs="Arial"/>
                <w:sz w:val="22"/>
                <w:szCs w:val="22"/>
              </w:rPr>
              <w:t>11. Recubrimientos</w:t>
            </w: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8</w:t>
            </w: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11%</w:t>
            </w:r>
          </w:p>
        </w:tc>
      </w:tr>
      <w:tr w:rsidR="00671514" w:rsidRPr="00234262" w:rsidTr="007F2707">
        <w:tblPrEx>
          <w:tblBorders>
            <w:top w:val="none" w:sz="0" w:space="0" w:color="auto"/>
          </w:tblBorders>
        </w:tblPrEx>
        <w:trPr>
          <w:jc w:val="center"/>
        </w:trPr>
        <w:tc>
          <w:tcPr>
            <w:tcW w:w="5495" w:type="dxa"/>
            <w:tcMar>
              <w:top w:w="20" w:type="nil"/>
              <w:left w:w="20" w:type="nil"/>
              <w:right w:w="20" w:type="nil"/>
            </w:tcMar>
            <w:vAlign w:val="bottom"/>
          </w:tcPr>
          <w:p w:rsidR="00671514" w:rsidRPr="00234262" w:rsidRDefault="00671514" w:rsidP="007F2707">
            <w:pPr>
              <w:widowControl w:val="0"/>
              <w:autoSpaceDE w:val="0"/>
              <w:autoSpaceDN w:val="0"/>
              <w:adjustRightInd w:val="0"/>
              <w:ind w:left="142" w:right="-234"/>
              <w:rPr>
                <w:rFonts w:ascii="Arial" w:hAnsi="Arial" w:cs="Arial"/>
                <w:sz w:val="22"/>
                <w:szCs w:val="22"/>
              </w:rPr>
            </w:pPr>
            <w:r w:rsidRPr="00234262">
              <w:rPr>
                <w:rFonts w:ascii="Arial" w:hAnsi="Arial" w:cs="Arial"/>
                <w:sz w:val="22"/>
                <w:szCs w:val="22"/>
              </w:rPr>
              <w:t>12. Otros</w:t>
            </w: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6</w:t>
            </w: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8%</w:t>
            </w:r>
          </w:p>
        </w:tc>
      </w:tr>
      <w:tr w:rsidR="00671514" w:rsidRPr="00234262" w:rsidTr="007F2707">
        <w:trPr>
          <w:jc w:val="center"/>
        </w:trPr>
        <w:tc>
          <w:tcPr>
            <w:tcW w:w="5495" w:type="dxa"/>
            <w:tcMar>
              <w:top w:w="20" w:type="nil"/>
              <w:left w:w="20" w:type="nil"/>
              <w:right w:w="20" w:type="nil"/>
            </w:tcMar>
            <w:vAlign w:val="bottom"/>
          </w:tcPr>
          <w:p w:rsidR="00671514" w:rsidRPr="00234262" w:rsidRDefault="00671514" w:rsidP="007F2707">
            <w:pPr>
              <w:widowControl w:val="0"/>
              <w:autoSpaceDE w:val="0"/>
              <w:autoSpaceDN w:val="0"/>
              <w:adjustRightInd w:val="0"/>
              <w:ind w:left="177" w:right="-234"/>
              <w:rPr>
                <w:rFonts w:ascii="Arial" w:hAnsi="Arial" w:cs="Arial"/>
                <w:sz w:val="22"/>
                <w:szCs w:val="22"/>
              </w:rPr>
            </w:pPr>
            <w:r w:rsidRPr="00234262">
              <w:rPr>
                <w:rFonts w:ascii="Arial" w:hAnsi="Arial" w:cs="Arial"/>
                <w:sz w:val="22"/>
                <w:szCs w:val="22"/>
              </w:rPr>
              <w:t>Total</w:t>
            </w:r>
          </w:p>
        </w:tc>
        <w:tc>
          <w:tcPr>
            <w:tcW w:w="1162"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r w:rsidRPr="00234262">
              <w:rPr>
                <w:rFonts w:ascii="Arial" w:hAnsi="Arial" w:cs="Arial"/>
                <w:sz w:val="22"/>
                <w:szCs w:val="22"/>
              </w:rPr>
              <w:t>75</w:t>
            </w:r>
          </w:p>
        </w:tc>
        <w:tc>
          <w:tcPr>
            <w:tcW w:w="1603" w:type="dxa"/>
            <w:tcMar>
              <w:top w:w="20" w:type="nil"/>
              <w:left w:w="20" w:type="nil"/>
              <w:right w:w="20" w:type="nil"/>
            </w:tcMar>
            <w:vAlign w:val="bottom"/>
          </w:tcPr>
          <w:p w:rsidR="00671514" w:rsidRPr="00234262" w:rsidRDefault="00671514" w:rsidP="007F2707">
            <w:pPr>
              <w:widowControl w:val="0"/>
              <w:autoSpaceDE w:val="0"/>
              <w:autoSpaceDN w:val="0"/>
              <w:adjustRightInd w:val="0"/>
              <w:ind w:left="-284" w:right="-234"/>
              <w:jc w:val="center"/>
              <w:rPr>
                <w:rFonts w:ascii="Arial" w:hAnsi="Arial" w:cs="Arial"/>
                <w:sz w:val="22"/>
                <w:szCs w:val="22"/>
              </w:rPr>
            </w:pPr>
          </w:p>
        </w:tc>
      </w:tr>
    </w:tbl>
    <w:p w:rsidR="00671514" w:rsidRDefault="00671514" w:rsidP="00671514">
      <w:pPr>
        <w:widowControl w:val="0"/>
        <w:autoSpaceDE w:val="0"/>
        <w:autoSpaceDN w:val="0"/>
        <w:adjustRightInd w:val="0"/>
        <w:ind w:left="284" w:right="333"/>
        <w:jc w:val="both"/>
        <w:rPr>
          <w:rFonts w:ascii="Arial" w:eastAsia="Times New Roman" w:hAnsi="Arial" w:cs="Arial"/>
          <w:sz w:val="20"/>
          <w:szCs w:val="20"/>
        </w:rPr>
      </w:pPr>
      <w:r w:rsidRPr="00234262">
        <w:rPr>
          <w:rFonts w:ascii="Arial" w:hAnsi="Arial" w:cs="Arial"/>
          <w:b/>
          <w:sz w:val="20"/>
          <w:szCs w:val="20"/>
        </w:rPr>
        <w:t>Fuente:</w:t>
      </w:r>
      <w:r w:rsidRPr="00234262">
        <w:rPr>
          <w:rFonts w:ascii="Arial" w:hAnsi="Arial" w:cs="Arial"/>
          <w:sz w:val="20"/>
          <w:szCs w:val="20"/>
        </w:rPr>
        <w:t xml:space="preserve"> Johanna, Soto R. y Ciceri Hugo N. </w:t>
      </w:r>
      <w:r w:rsidRPr="00234262">
        <w:rPr>
          <w:rFonts w:ascii="Arial" w:eastAsia="Times New Roman" w:hAnsi="Arial" w:cs="Arial"/>
          <w:i/>
          <w:sz w:val="20"/>
          <w:szCs w:val="20"/>
        </w:rPr>
        <w:t>Invenciones y tecnologías asociadas con la protección intrusiva de ductos que transportan petróleo y derivados</w:t>
      </w:r>
      <w:r w:rsidRPr="00234262">
        <w:rPr>
          <w:rFonts w:ascii="Arial" w:eastAsia="Times New Roman" w:hAnsi="Arial" w:cs="Arial"/>
          <w:sz w:val="20"/>
          <w:szCs w:val="20"/>
        </w:rPr>
        <w:t>, 2020 (en prensa)</w:t>
      </w:r>
    </w:p>
    <w:p w:rsidR="00671514" w:rsidRDefault="00671514" w:rsidP="00671514">
      <w:pPr>
        <w:widowControl w:val="0"/>
        <w:autoSpaceDE w:val="0"/>
        <w:autoSpaceDN w:val="0"/>
        <w:adjustRightInd w:val="0"/>
        <w:ind w:left="-284" w:right="-234"/>
        <w:jc w:val="both"/>
        <w:rPr>
          <w:rFonts w:ascii="Arial" w:eastAsia="Times New Roman" w:hAnsi="Arial" w:cs="Arial"/>
          <w:sz w:val="20"/>
          <w:szCs w:val="20"/>
        </w:rPr>
      </w:pPr>
    </w:p>
    <w:p w:rsidR="00671514" w:rsidRPr="00234262" w:rsidRDefault="00671514" w:rsidP="00671514">
      <w:pPr>
        <w:widowControl w:val="0"/>
        <w:autoSpaceDE w:val="0"/>
        <w:autoSpaceDN w:val="0"/>
        <w:adjustRightInd w:val="0"/>
        <w:ind w:left="-284" w:right="-234"/>
        <w:jc w:val="both"/>
        <w:rPr>
          <w:rFonts w:ascii="Arial" w:hAnsi="Arial" w:cs="Arial"/>
          <w:color w:val="0950B0"/>
          <w:sz w:val="20"/>
          <w:szCs w:val="20"/>
        </w:rPr>
      </w:pPr>
    </w:p>
    <w:p w:rsidR="00671514" w:rsidRDefault="00671514" w:rsidP="00671514">
      <w:pPr>
        <w:pStyle w:val="1Titulo"/>
        <w:numPr>
          <w:ilvl w:val="0"/>
          <w:numId w:val="0"/>
        </w:numPr>
        <w:ind w:left="357"/>
      </w:pPr>
      <w:bookmarkStart w:id="338" w:name="_Toc50031385"/>
      <w:r>
        <w:t>4. Resultados y discusión</w:t>
      </w:r>
      <w:bookmarkEnd w:id="338"/>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Arial" w:hAnsi="Arial" w:cs="Arial"/>
          <w:b/>
          <w:bCs/>
          <w:lang w:eastAsia="ja-JP"/>
        </w:rPr>
      </w:pPr>
    </w:p>
    <w:p w:rsidR="00671514" w:rsidRDefault="00671514" w:rsidP="00671514">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Arial" w:hAnsi="Arial" w:cs="Arial"/>
          <w:lang w:eastAsia="ja-JP"/>
        </w:rPr>
      </w:pPr>
      <w:r>
        <w:rPr>
          <w:rFonts w:ascii="Arial" w:hAnsi="Arial" w:cs="Arial"/>
          <w:lang w:eastAsia="ja-JP"/>
        </w:rPr>
        <w:tab/>
        <w:t xml:space="preserve">El estudio de la información permitió clasificar las tecnologías en dos grupos: aquellas que se utilizan para operar y proteger los ductos y aquellas utilizadas para prevenir el ingreso de esas gasolinas al circuito del comercio legal. A continuación puntualizamos las correspondientes a cada grupo.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Helvetica" w:hAnsi="Helvetica" w:cs="Helvetica"/>
          <w:lang w:eastAsia="ja-JP"/>
        </w:rPr>
      </w:pPr>
    </w:p>
    <w:p w:rsidR="00671514" w:rsidRDefault="00671514" w:rsidP="00671514">
      <w:pPr>
        <w:spacing w:line="360" w:lineRule="auto"/>
        <w:ind w:left="-284" w:right="-234"/>
        <w:jc w:val="center"/>
        <w:rPr>
          <w:sz w:val="28"/>
          <w:szCs w:val="28"/>
        </w:rPr>
      </w:pPr>
      <w:r w:rsidRPr="00E8284B">
        <w:rPr>
          <w:rFonts w:ascii="Arial" w:hAnsi="Arial" w:cs="Arial"/>
          <w:noProof/>
          <w:lang w:val="en-US"/>
        </w:rPr>
        <w:drawing>
          <wp:inline distT="0" distB="0" distL="0" distR="0" wp14:anchorId="32E41AF1" wp14:editId="73EA615F">
            <wp:extent cx="4391074" cy="2391280"/>
            <wp:effectExtent l="0" t="0" r="3175" b="0"/>
            <wp:docPr id="2026623731" name="Imagen 202662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12">
                      <a:extLst>
                        <a:ext uri="{28A0092B-C50C-407E-A947-70E740481C1C}">
                          <a14:useLocalDpi xmlns:a14="http://schemas.microsoft.com/office/drawing/2010/main" val="0"/>
                        </a:ext>
                      </a:extLst>
                    </a:blip>
                    <a:srcRect t="8653"/>
                    <a:stretch/>
                  </pic:blipFill>
                  <pic:spPr bwMode="auto">
                    <a:xfrm>
                      <a:off x="0" y="0"/>
                      <a:ext cx="4391074" cy="2391280"/>
                    </a:xfrm>
                    <a:prstGeom prst="rect">
                      <a:avLst/>
                    </a:prstGeom>
                    <a:noFill/>
                    <a:ln>
                      <a:noFill/>
                    </a:ln>
                    <a:extLst>
                      <a:ext uri="{53640926-AAD7-44d8-BBD7-CCE9431645EC}">
                        <a14:shadowObscured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671514" w:rsidRPr="00943152" w:rsidRDefault="00671514" w:rsidP="00671514">
      <w:pPr>
        <w:spacing w:line="360" w:lineRule="auto"/>
        <w:ind w:left="-284" w:right="-234"/>
        <w:jc w:val="center"/>
        <w:rPr>
          <w:rFonts w:cs="Times New Roman"/>
          <w:i/>
          <w:sz w:val="20"/>
          <w:szCs w:val="20"/>
        </w:rPr>
      </w:pPr>
      <w:r w:rsidRPr="00943152">
        <w:rPr>
          <w:rFonts w:cs="Times New Roman"/>
          <w:i/>
          <w:sz w:val="20"/>
          <w:szCs w:val="20"/>
        </w:rPr>
        <w:lastRenderedPageBreak/>
        <w:t>Figura 2. Tecnologías claves</w:t>
      </w:r>
    </w:p>
    <w:p w:rsidR="00671514" w:rsidRPr="00FF0EE3" w:rsidRDefault="00671514" w:rsidP="00671514">
      <w:pPr>
        <w:widowControl w:val="0"/>
        <w:autoSpaceDE w:val="0"/>
        <w:autoSpaceDN w:val="0"/>
        <w:adjustRightInd w:val="0"/>
        <w:ind w:left="567" w:right="474"/>
        <w:jc w:val="both"/>
        <w:rPr>
          <w:rFonts w:ascii="Arial" w:hAnsi="Arial" w:cs="Arial"/>
          <w:color w:val="0950B0"/>
          <w:sz w:val="20"/>
          <w:szCs w:val="20"/>
        </w:rPr>
      </w:pPr>
      <w:r w:rsidRPr="00FF0EE3">
        <w:rPr>
          <w:rFonts w:ascii="Arial" w:hAnsi="Arial" w:cs="Arial"/>
          <w:sz w:val="20"/>
          <w:szCs w:val="20"/>
        </w:rPr>
        <w:t xml:space="preserve">Fuente: Johanna, Soto R. y Ciceri Hugo N. </w:t>
      </w:r>
      <w:r w:rsidRPr="00FF0EE3">
        <w:rPr>
          <w:rFonts w:ascii="Arial" w:eastAsia="Times New Roman" w:hAnsi="Arial" w:cs="Arial"/>
          <w:i/>
          <w:sz w:val="20"/>
          <w:szCs w:val="20"/>
        </w:rPr>
        <w:t>Invenciones y tecnologías asociadas con la protección intrusiva de ductos que transportan petróleo y derivados</w:t>
      </w:r>
      <w:r w:rsidRPr="00FF0EE3">
        <w:rPr>
          <w:rFonts w:ascii="Arial" w:eastAsia="Times New Roman" w:hAnsi="Arial" w:cs="Arial"/>
          <w:sz w:val="20"/>
          <w:szCs w:val="20"/>
        </w:rPr>
        <w:t>, 2020 (en prensa)</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Arial" w:hAnsi="Arial" w:cs="Arial"/>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Arial" w:hAnsi="Arial" w:cs="Arial"/>
          <w:lang w:eastAsia="ja-JP"/>
        </w:rPr>
      </w:pPr>
      <w:r>
        <w:rPr>
          <w:rFonts w:ascii="Arial" w:hAnsi="Arial" w:cs="Arial"/>
          <w:lang w:eastAsia="ja-JP"/>
        </w:rPr>
        <w:t>Tecnologías para protección y operación de ductos</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Arial" w:hAnsi="Arial" w:cs="Arial"/>
          <w:lang w:eastAsia="ja-JP"/>
        </w:rPr>
      </w:pPr>
      <w:r>
        <w:rPr>
          <w:rFonts w:ascii="Arial" w:hAnsi="Arial" w:cs="Arial"/>
          <w:lang w:eastAsia="ja-JP"/>
        </w:rPr>
        <w:t xml:space="preserve">Estas tecnologías pueden ser empleadas para la localización de fugas, abolladuras o rupturas, para la protección externa del ducto, esto quiere decir que se pueden emplear distintos materiales que se colocan como capas evolventes en la tubería con el objetivo de impedir intrusiones y también proteger al ducto de las condiciones exteriores como el clima o elementos del ambiente, también se pueden emplear para el análisis de la información recaudada por dispositivos detectores sobre las condiciones del ducto como temperatura, presión o flujo para determinar su estado y generar alarmas confiables y también para la vigilancia. Se pueden mencionar las siguientes tecnologías: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Arial" w:hAnsi="Arial" w:cs="Arial"/>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Sensores presión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Sensores ultrasónicos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Recubrimientos especializados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Sistemas de información geográfica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Programas de identificación de riesgos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Sistema Experto de Análisis de Fallas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Sistemas de vigilancia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Arial" w:hAnsi="Arial" w:cs="Arial"/>
          <w:lang w:eastAsia="ja-JP"/>
        </w:rPr>
      </w:pPr>
      <w:r>
        <w:rPr>
          <w:rFonts w:ascii="Arial" w:hAnsi="Arial" w:cs="Arial"/>
          <w:lang w:eastAsia="ja-JP"/>
        </w:rPr>
        <w:t xml:space="preserve">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Arial" w:hAnsi="Arial" w:cs="Arial"/>
          <w:lang w:eastAsia="ja-JP"/>
        </w:rPr>
      </w:pPr>
      <w:r w:rsidRPr="002F234B">
        <w:rPr>
          <w:rFonts w:ascii="Arial" w:hAnsi="Arial" w:cs="Arial"/>
          <w:lang w:eastAsia="ja-JP"/>
        </w:rPr>
        <w:t xml:space="preserve">Cabe mencionar que los Sistemas de Información Geográfica (SIG) tienen varias aplicaciones, sin embargo, para el caso de </w:t>
      </w:r>
      <w:r>
        <w:rPr>
          <w:rFonts w:ascii="Arial" w:hAnsi="Arial" w:cs="Arial"/>
          <w:lang w:eastAsia="ja-JP"/>
        </w:rPr>
        <w:t xml:space="preserve">la </w:t>
      </w:r>
      <w:r w:rsidRPr="002F234B">
        <w:rPr>
          <w:rFonts w:ascii="Arial" w:hAnsi="Arial" w:cs="Arial"/>
          <w:lang w:eastAsia="ja-JP"/>
        </w:rPr>
        <w:t>protección de ductos es una herramienta fundamental para caracterizar el derecho de vía, es decir, coadyuva en la gestión de rupturas estableciendo información sobre la localización geográfica de los fenómenos de interés.</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Helvetica" w:hAnsi="Helvetica" w:cs="Helvetica"/>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Arial" w:hAnsi="Arial" w:cs="Arial"/>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Arial" w:hAnsi="Arial" w:cs="Arial"/>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Arial" w:hAnsi="Arial" w:cs="Arial"/>
          <w:lang w:eastAsia="ja-JP"/>
        </w:rPr>
      </w:pPr>
      <w:r>
        <w:rPr>
          <w:rFonts w:ascii="Arial" w:hAnsi="Arial" w:cs="Arial"/>
          <w:lang w:eastAsia="ja-JP"/>
        </w:rPr>
        <w:t xml:space="preserve">Tecnologías para prevenir el ingreso al circuito comercial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Arial" w:hAnsi="Arial" w:cs="Arial"/>
          <w:lang w:eastAsia="ja-JP"/>
        </w:rPr>
      </w:pPr>
      <w:r>
        <w:rPr>
          <w:rFonts w:ascii="Arial" w:hAnsi="Arial" w:cs="Arial"/>
          <w:lang w:eastAsia="ja-JP"/>
        </w:rPr>
        <w:t xml:space="preserve">Estas tecnologías han sido utilizadas para marcar las gasolinas, lo que permite realizar pruebas en las gasolineras para conocer la concentración de los marcadores y de esta manera conocer la procedencia para determinar la legalidad del hidrocarburo. Los marcadores moleculares de gasolinas deben ser altamente solubles en el medio, incoloros, su identificación debe ser a través de métodos de laboratorios sencillos, no pueden ser separados por disolventes convencionales o de bajo costo, deben tener un punto de ebullición en el rango del producto petrolífero y deben permitir una concentración razonablemente constante, es decir, no se deben asentar o separar. Los marcadores moleculares han sido utilizados en países de la Comunidad Económica Europea, Colombia, Serbia y Ghana para aumentar el consumo de combustibles procedentes de las estaciones oficiales y la recaudación de impuestos, en México no se utiliza: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Helvetica" w:hAnsi="Helvetica" w:cs="Helvetica"/>
          <w:lang w:eastAsia="ja-JP"/>
        </w:rPr>
      </w:pPr>
    </w:p>
    <w:p w:rsidR="00671514" w:rsidRPr="003F0296"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val="en-US" w:eastAsia="ja-JP"/>
        </w:rPr>
      </w:pPr>
      <w:r w:rsidRPr="003F0296">
        <w:rPr>
          <w:rFonts w:ascii="Arial" w:hAnsi="Arial" w:cs="Arial"/>
          <w:lang w:val="en-US" w:eastAsia="ja-JP"/>
        </w:rPr>
        <w:t xml:space="preserve">• </w:t>
      </w:r>
      <w:r w:rsidRPr="003F0296">
        <w:rPr>
          <w:rFonts w:ascii="Arial" w:hAnsi="Arial" w:cs="Arial"/>
          <w:i/>
          <w:iCs/>
          <w:lang w:val="en-US" w:eastAsia="ja-JP"/>
        </w:rPr>
        <w:t xml:space="preserve">Solvent Yellow 124 </w:t>
      </w:r>
    </w:p>
    <w:p w:rsidR="00671514" w:rsidRPr="003F0296"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val="en-US" w:eastAsia="ja-JP"/>
        </w:rPr>
      </w:pPr>
      <w:r w:rsidRPr="003F0296">
        <w:rPr>
          <w:rFonts w:ascii="Arial" w:hAnsi="Arial" w:cs="Arial"/>
          <w:lang w:val="en-US" w:eastAsia="ja-JP"/>
        </w:rPr>
        <w:t xml:space="preserve">• Accutrace o ((3- (sec-butil) -4- (deciloxi) fenil) metanetriil) tribenceno. Dow </w:t>
      </w:r>
    </w:p>
    <w:p w:rsidR="00671514" w:rsidRPr="003F0296"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val="en-US" w:eastAsia="ja-JP"/>
        </w:rPr>
      </w:pPr>
      <w:r w:rsidRPr="003F0296">
        <w:rPr>
          <w:rFonts w:ascii="Arial" w:hAnsi="Arial" w:cs="Arial"/>
          <w:lang w:val="en-US" w:eastAsia="ja-JP"/>
        </w:rPr>
        <w:t xml:space="preserve">Chemical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NIRF paquete de marcadores.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GC-MS.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Fibras ópticas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Arial" w:hAnsi="Arial" w:cs="Arial"/>
          <w:lang w:eastAsia="ja-JP"/>
        </w:rPr>
      </w:pPr>
      <w:r>
        <w:rPr>
          <w:rFonts w:ascii="Arial" w:hAnsi="Arial" w:cs="Arial"/>
          <w:lang w:eastAsia="ja-JP"/>
        </w:rPr>
        <w:t xml:space="preserve">Tecnologías utilizadas por PEMEX para la administración y protección de ductos. PEMEX posee un conjunto de tecnologías que le permiten realizar inspecciones internas, externas, indirectas o muestrales de las redes de ductos, para identificar y localizar defectos o anomalías y depende del tipo de peligros aplicables identificados y de las condiciones de la infraestructura y operación. Estas tecnologías son: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w:t>
      </w:r>
      <w:r>
        <w:rPr>
          <w:rFonts w:ascii="Arial" w:hAnsi="Arial" w:cs="Arial"/>
          <w:i/>
          <w:iCs/>
          <w:lang w:eastAsia="ja-JP"/>
        </w:rPr>
        <w:t>SCADA</w:t>
      </w:r>
      <w:r>
        <w:rPr>
          <w:rFonts w:ascii="Arial" w:hAnsi="Arial" w:cs="Arial"/>
          <w:lang w:eastAsia="ja-JP"/>
        </w:rPr>
        <w:t xml:space="preserve"> (por sus siglas en inglés</w:t>
      </w:r>
      <w:r>
        <w:rPr>
          <w:rFonts w:ascii="Arial" w:hAnsi="Arial" w:cs="Arial"/>
          <w:i/>
          <w:iCs/>
          <w:lang w:eastAsia="ja-JP"/>
        </w:rPr>
        <w:t>, System Control And Data Adquisition),</w:t>
      </w:r>
      <w:r>
        <w:rPr>
          <w:rFonts w:ascii="Arial" w:hAnsi="Arial" w:cs="Arial"/>
          <w:lang w:eastAsia="ja-JP"/>
        </w:rPr>
        <w:t xml:space="preserve">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Drones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Radares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Sistemas de alarmas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Equipos instrumentados o </w:t>
      </w:r>
      <w:r>
        <w:rPr>
          <w:rFonts w:ascii="Arial" w:hAnsi="Arial" w:cs="Arial"/>
          <w:i/>
          <w:iCs/>
          <w:lang w:eastAsia="ja-JP"/>
        </w:rPr>
        <w:t>diablos</w:t>
      </w:r>
      <w:r>
        <w:rPr>
          <w:rFonts w:ascii="Arial" w:hAnsi="Arial" w:cs="Arial"/>
          <w:lang w:eastAsia="ja-JP"/>
        </w:rPr>
        <w:t xml:space="preserve">: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 Equipo para pérdida de metal: Flujo magnético y ultrasonido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 Equipo para detección de grietas: Ultrasonido y Flujo transversal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lastRenderedPageBreak/>
        <w:t xml:space="preserve"> • Equipo para la detección de la geometría: Geómetra (caliper)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Arial" w:hAnsi="Arial" w:cs="Arial"/>
          <w:i/>
          <w:iCs/>
          <w:lang w:eastAsia="ja-JP"/>
        </w:rPr>
      </w:pPr>
      <w:r>
        <w:rPr>
          <w:rFonts w:ascii="Arial" w:hAnsi="Arial" w:cs="Arial"/>
          <w:i/>
          <w:iCs/>
          <w:lang w:eastAsia="ja-JP"/>
        </w:rPr>
        <w:t>4.1 Comparativo tecnologías a nivel internacional</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Arial" w:hAnsi="Arial" w:cs="Arial"/>
          <w:i/>
          <w:iCs/>
          <w:lang w:eastAsia="ja-JP"/>
        </w:rPr>
      </w:pPr>
    </w:p>
    <w:p w:rsidR="00671514" w:rsidRDefault="00671514" w:rsidP="00671514">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Arial" w:hAnsi="Arial" w:cs="Arial"/>
          <w:lang w:eastAsia="ja-JP"/>
        </w:rPr>
      </w:pPr>
      <w:r>
        <w:rPr>
          <w:rFonts w:ascii="Arial" w:hAnsi="Arial" w:cs="Arial"/>
          <w:lang w:eastAsia="ja-JP"/>
        </w:rPr>
        <w:tab/>
        <w:t>En la tabla 3 se realiza una comparación de las tecnologías utilizadas a nivel internacional por los diferentes países tanto para operar, como así también para la protección de las instalaciones y en la tabla 4 se comparan las pérdidas a nivel internacional, demostrando la internacionalización de este delito.</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Arial" w:hAnsi="Arial" w:cs="Arial"/>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Arial" w:hAnsi="Arial" w:cs="Arial"/>
          <w:lang w:eastAsia="ja-JP"/>
        </w:rPr>
      </w:pPr>
    </w:p>
    <w:p w:rsidR="00671514" w:rsidRDefault="00671514" w:rsidP="00671514">
      <w:pPr>
        <w:ind w:left="-284" w:right="-234"/>
        <w:jc w:val="center"/>
        <w:rPr>
          <w:rFonts w:ascii="Arial" w:hAnsi="Arial" w:cs="Arial"/>
          <w:bCs/>
          <w:i/>
          <w:iCs/>
          <w:sz w:val="20"/>
          <w:szCs w:val="20"/>
        </w:rPr>
      </w:pPr>
    </w:p>
    <w:p w:rsidR="00671514" w:rsidRDefault="00671514" w:rsidP="00671514">
      <w:pPr>
        <w:ind w:left="-284" w:right="-234"/>
        <w:jc w:val="center"/>
        <w:rPr>
          <w:rFonts w:ascii="Arial" w:hAnsi="Arial" w:cs="Arial"/>
          <w:bCs/>
          <w:i/>
          <w:iCs/>
          <w:sz w:val="20"/>
          <w:szCs w:val="20"/>
        </w:rPr>
      </w:pPr>
    </w:p>
    <w:p w:rsidR="00671514" w:rsidRDefault="00671514" w:rsidP="00671514">
      <w:pPr>
        <w:ind w:left="-284" w:right="-234"/>
        <w:jc w:val="center"/>
        <w:rPr>
          <w:rFonts w:ascii="Arial" w:hAnsi="Arial" w:cs="Arial"/>
          <w:bCs/>
          <w:i/>
          <w:iCs/>
          <w:sz w:val="20"/>
          <w:szCs w:val="20"/>
        </w:rPr>
      </w:pPr>
    </w:p>
    <w:p w:rsidR="00671514" w:rsidRDefault="00671514" w:rsidP="00671514">
      <w:pPr>
        <w:ind w:left="-284" w:right="-234"/>
        <w:jc w:val="center"/>
        <w:rPr>
          <w:rFonts w:ascii="Arial" w:hAnsi="Arial" w:cs="Arial"/>
          <w:bCs/>
          <w:i/>
          <w:iCs/>
          <w:sz w:val="20"/>
          <w:szCs w:val="20"/>
        </w:rPr>
      </w:pPr>
    </w:p>
    <w:p w:rsidR="00671514" w:rsidRPr="00943152" w:rsidRDefault="00671514" w:rsidP="00671514">
      <w:pPr>
        <w:ind w:left="-284" w:right="-234"/>
        <w:jc w:val="center"/>
        <w:rPr>
          <w:rFonts w:cs="Times New Roman"/>
          <w:bCs/>
          <w:i/>
          <w:iCs/>
          <w:sz w:val="20"/>
          <w:szCs w:val="20"/>
        </w:rPr>
      </w:pPr>
      <w:r w:rsidRPr="00943152">
        <w:rPr>
          <w:rFonts w:cs="Times New Roman"/>
          <w:bCs/>
          <w:i/>
          <w:iCs/>
          <w:sz w:val="20"/>
          <w:szCs w:val="20"/>
        </w:rPr>
        <w:t>Tabla 3. Tecnologías utilizadas a nivel intercional, elementos comparativos</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center"/>
        <w:rPr>
          <w:rFonts w:ascii="Helvetica" w:hAnsi="Helvetica" w:cs="Helvetica"/>
          <w:lang w:eastAsia="ja-JP"/>
        </w:rPr>
      </w:pPr>
      <w:r>
        <w:rPr>
          <w:noProof/>
          <w:sz w:val="28"/>
          <w:szCs w:val="28"/>
          <w:lang w:val="en-US"/>
        </w:rPr>
        <w:lastRenderedPageBreak/>
        <w:drawing>
          <wp:inline distT="0" distB="0" distL="0" distR="0" wp14:anchorId="01A660D8" wp14:editId="66DDDE29">
            <wp:extent cx="4770782" cy="4145915"/>
            <wp:effectExtent l="0" t="0" r="0" b="6985"/>
            <wp:docPr id="2026623732" name="Imagen 202662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13">
                      <a:extLst>
                        <a:ext uri="{28A0092B-C50C-407E-A947-70E740481C1C}">
                          <a14:useLocalDpi xmlns:a14="http://schemas.microsoft.com/office/drawing/2010/main" val="0"/>
                        </a:ext>
                      </a:extLst>
                    </a:blip>
                    <a:srcRect t="4392" r="3233"/>
                    <a:stretch/>
                  </pic:blipFill>
                  <pic:spPr bwMode="auto">
                    <a:xfrm>
                      <a:off x="0" y="0"/>
                      <a:ext cx="4771744" cy="4146751"/>
                    </a:xfrm>
                    <a:prstGeom prst="rect">
                      <a:avLst/>
                    </a:prstGeom>
                    <a:noFill/>
                    <a:ln>
                      <a:noFill/>
                    </a:ln>
                    <a:extLst>
                      <a:ext uri="{53640926-AAD7-44d8-BBD7-CCE9431645EC}">
                        <a14:shadowObscured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p>
    <w:p w:rsidR="00671514" w:rsidRDefault="00671514" w:rsidP="00671514">
      <w:pPr>
        <w:spacing w:line="360" w:lineRule="auto"/>
        <w:ind w:left="-284" w:right="-234"/>
        <w:jc w:val="both"/>
        <w:rPr>
          <w:sz w:val="28"/>
          <w:szCs w:val="28"/>
        </w:rPr>
      </w:pPr>
    </w:p>
    <w:p w:rsidR="00671514" w:rsidRPr="00943152" w:rsidRDefault="00671514" w:rsidP="00671514">
      <w:pPr>
        <w:ind w:left="-284" w:right="-234"/>
        <w:jc w:val="center"/>
        <w:rPr>
          <w:rFonts w:cs="Times New Roman"/>
          <w:i/>
          <w:sz w:val="20"/>
          <w:szCs w:val="20"/>
        </w:rPr>
      </w:pPr>
      <w:r w:rsidRPr="00943152">
        <w:rPr>
          <w:rFonts w:cs="Times New Roman"/>
          <w:i/>
          <w:sz w:val="20"/>
          <w:szCs w:val="20"/>
        </w:rPr>
        <w:t>Tabla 4. Comparación internacional de pérdidas por robo de combustibles</w:t>
      </w:r>
    </w:p>
    <w:tbl>
      <w:tblPr>
        <w:tblW w:w="9222" w:type="dxa"/>
        <w:jc w:val="center"/>
        <w:tblLayout w:type="fixed"/>
        <w:tblLook w:val="04A0" w:firstRow="1" w:lastRow="0" w:firstColumn="1" w:lastColumn="0" w:noHBand="0" w:noVBand="1"/>
      </w:tblPr>
      <w:tblGrid>
        <w:gridCol w:w="1985"/>
        <w:gridCol w:w="1843"/>
        <w:gridCol w:w="1417"/>
        <w:gridCol w:w="2198"/>
        <w:gridCol w:w="1779"/>
      </w:tblGrid>
      <w:tr w:rsidR="00671514" w:rsidRPr="006C6FD7" w:rsidTr="007F2707">
        <w:trPr>
          <w:trHeight w:val="716"/>
          <w:jc w:val="center"/>
        </w:trPr>
        <w:tc>
          <w:tcPr>
            <w:tcW w:w="1985" w:type="dxa"/>
            <w:tcBorders>
              <w:top w:val="single" w:sz="4" w:space="0" w:color="auto"/>
              <w:bottom w:val="single" w:sz="4" w:space="0" w:color="auto"/>
            </w:tcBorders>
            <w:hideMark/>
          </w:tcPr>
          <w:p w:rsidR="00671514" w:rsidRPr="006C6FD7" w:rsidRDefault="00671514" w:rsidP="007F2707">
            <w:pPr>
              <w:tabs>
                <w:tab w:val="left" w:pos="9072"/>
              </w:tabs>
              <w:ind w:left="-284" w:right="-234" w:firstLine="231"/>
              <w:rPr>
                <w:rFonts w:ascii="Arial" w:eastAsia="Arial Unicode MS" w:hAnsi="Arial" w:cs="Arial"/>
                <w:b/>
                <w:sz w:val="20"/>
                <w:szCs w:val="20"/>
                <w:lang w:eastAsia="es-MX"/>
              </w:rPr>
            </w:pPr>
            <w:r w:rsidRPr="006C6FD7">
              <w:rPr>
                <w:rFonts w:ascii="Arial" w:eastAsia="Arial Unicode MS" w:hAnsi="Arial" w:cs="Arial"/>
                <w:sz w:val="20"/>
                <w:szCs w:val="20"/>
                <w:lang w:eastAsia="es-MX"/>
              </w:rPr>
              <w:t>País</w:t>
            </w:r>
          </w:p>
        </w:tc>
        <w:tc>
          <w:tcPr>
            <w:tcW w:w="1843" w:type="dxa"/>
            <w:tcBorders>
              <w:top w:val="single" w:sz="4" w:space="0" w:color="auto"/>
              <w:bottom w:val="single" w:sz="4" w:space="0" w:color="auto"/>
            </w:tcBorders>
            <w:hideMark/>
          </w:tcPr>
          <w:p w:rsidR="00671514" w:rsidRPr="006C6FD7" w:rsidRDefault="00671514" w:rsidP="007F2707">
            <w:pPr>
              <w:tabs>
                <w:tab w:val="left" w:pos="9072"/>
              </w:tabs>
              <w:ind w:left="-284" w:right="-234"/>
              <w:jc w:val="center"/>
              <w:rPr>
                <w:rFonts w:ascii="Arial" w:eastAsia="Arial Unicode MS" w:hAnsi="Arial" w:cs="Arial"/>
                <w:b/>
                <w:sz w:val="20"/>
                <w:szCs w:val="20"/>
                <w:lang w:eastAsia="es-MX"/>
              </w:rPr>
            </w:pPr>
            <w:r w:rsidRPr="006C6FD7">
              <w:rPr>
                <w:rFonts w:ascii="Arial" w:eastAsia="Arial Unicode MS" w:hAnsi="Arial" w:cs="Arial"/>
                <w:sz w:val="20"/>
                <w:szCs w:val="20"/>
                <w:lang w:eastAsia="es-MX"/>
              </w:rPr>
              <w:t>Pérdidas</w:t>
            </w:r>
          </w:p>
          <w:p w:rsidR="00671514" w:rsidRPr="006C6FD7" w:rsidRDefault="00671514" w:rsidP="007F2707">
            <w:pPr>
              <w:tabs>
                <w:tab w:val="left" w:pos="9072"/>
              </w:tabs>
              <w:ind w:left="-284" w:right="-234"/>
              <w:jc w:val="center"/>
              <w:rPr>
                <w:rFonts w:ascii="Arial" w:eastAsia="Arial Unicode MS" w:hAnsi="Arial" w:cs="Arial"/>
                <w:b/>
                <w:sz w:val="20"/>
                <w:szCs w:val="20"/>
                <w:lang w:eastAsia="es-MX"/>
              </w:rPr>
            </w:pPr>
            <w:r w:rsidRPr="006C6FD7">
              <w:rPr>
                <w:rFonts w:ascii="Arial" w:eastAsia="Arial Unicode MS" w:hAnsi="Arial" w:cs="Arial"/>
                <w:sz w:val="20"/>
                <w:szCs w:val="20"/>
                <w:lang w:eastAsia="es-MX"/>
              </w:rPr>
              <w:t>(Millones/US Dólares/año)</w:t>
            </w:r>
          </w:p>
        </w:tc>
        <w:tc>
          <w:tcPr>
            <w:tcW w:w="1417" w:type="dxa"/>
            <w:tcBorders>
              <w:top w:val="single" w:sz="4" w:space="0" w:color="auto"/>
              <w:bottom w:val="single" w:sz="4" w:space="0" w:color="auto"/>
            </w:tcBorders>
          </w:tcPr>
          <w:p w:rsidR="00671514" w:rsidRPr="006C6FD7" w:rsidRDefault="00671514" w:rsidP="007F2707">
            <w:pPr>
              <w:tabs>
                <w:tab w:val="left" w:pos="9072"/>
              </w:tabs>
              <w:ind w:left="-284" w:right="-234"/>
              <w:jc w:val="center"/>
              <w:rPr>
                <w:rFonts w:ascii="Arial" w:eastAsia="Arial Unicode MS" w:hAnsi="Arial" w:cs="Arial"/>
                <w:b/>
                <w:sz w:val="20"/>
                <w:szCs w:val="20"/>
                <w:lang w:eastAsia="es-MX"/>
              </w:rPr>
            </w:pPr>
            <w:r w:rsidRPr="006C6FD7">
              <w:rPr>
                <w:rFonts w:ascii="Arial" w:eastAsia="Arial Unicode MS" w:hAnsi="Arial" w:cs="Arial"/>
                <w:sz w:val="20"/>
                <w:szCs w:val="20"/>
                <w:lang w:eastAsia="es-MX"/>
              </w:rPr>
              <w:t>%</w:t>
            </w:r>
          </w:p>
        </w:tc>
        <w:tc>
          <w:tcPr>
            <w:tcW w:w="2198" w:type="dxa"/>
            <w:tcBorders>
              <w:top w:val="single" w:sz="4" w:space="0" w:color="auto"/>
              <w:bottom w:val="single" w:sz="4" w:space="0" w:color="auto"/>
            </w:tcBorders>
          </w:tcPr>
          <w:p w:rsidR="00671514" w:rsidRPr="006C6FD7" w:rsidRDefault="00671514" w:rsidP="007F2707">
            <w:pPr>
              <w:tabs>
                <w:tab w:val="left" w:pos="9072"/>
              </w:tabs>
              <w:ind w:left="-284" w:right="-234"/>
              <w:jc w:val="center"/>
              <w:rPr>
                <w:rFonts w:ascii="Arial" w:eastAsia="Arial Unicode MS" w:hAnsi="Arial" w:cs="Arial"/>
                <w:sz w:val="20"/>
                <w:szCs w:val="20"/>
                <w:lang w:eastAsia="es-MX"/>
              </w:rPr>
            </w:pPr>
            <w:r w:rsidRPr="006C6FD7">
              <w:rPr>
                <w:rFonts w:ascii="Arial" w:eastAsia="Arial Unicode MS" w:hAnsi="Arial" w:cs="Arial"/>
                <w:sz w:val="20"/>
                <w:szCs w:val="20"/>
                <w:lang w:eastAsia="es-MX"/>
              </w:rPr>
              <w:t>PIB/</w:t>
            </w:r>
            <w:r w:rsidRPr="006C6FD7">
              <w:rPr>
                <w:rFonts w:ascii="Arial" w:eastAsia="Arial Unicode MS" w:hAnsi="Arial" w:cs="Arial"/>
                <w:i/>
                <w:sz w:val="20"/>
                <w:szCs w:val="20"/>
                <w:lang w:eastAsia="es-MX"/>
              </w:rPr>
              <w:t>per cápita</w:t>
            </w:r>
            <w:r w:rsidRPr="006C6FD7">
              <w:rPr>
                <w:rFonts w:ascii="Arial" w:eastAsia="Arial Unicode MS" w:hAnsi="Arial" w:cs="Arial"/>
                <w:sz w:val="20"/>
                <w:szCs w:val="20"/>
                <w:lang w:eastAsia="es-MX"/>
              </w:rPr>
              <w:t xml:space="preserve">/ </w:t>
            </w:r>
          </w:p>
          <w:p w:rsidR="00671514" w:rsidRPr="006C6FD7" w:rsidRDefault="00671514" w:rsidP="007F2707">
            <w:pPr>
              <w:tabs>
                <w:tab w:val="left" w:pos="9072"/>
              </w:tabs>
              <w:ind w:left="-284" w:right="-234"/>
              <w:jc w:val="center"/>
              <w:rPr>
                <w:rFonts w:ascii="Arial" w:eastAsia="Arial Unicode MS" w:hAnsi="Arial" w:cs="Arial"/>
                <w:b/>
                <w:sz w:val="20"/>
                <w:szCs w:val="20"/>
                <w:lang w:eastAsia="es-MX"/>
              </w:rPr>
            </w:pPr>
            <w:r w:rsidRPr="006C6FD7">
              <w:rPr>
                <w:rFonts w:ascii="Arial" w:eastAsia="Arial Unicode MS" w:hAnsi="Arial" w:cs="Arial"/>
                <w:sz w:val="20"/>
                <w:szCs w:val="20"/>
                <w:lang w:eastAsia="es-MX"/>
              </w:rPr>
              <w:t>euros</w:t>
            </w:r>
          </w:p>
          <w:p w:rsidR="00671514" w:rsidRPr="006C6FD7" w:rsidRDefault="00671514" w:rsidP="007F2707">
            <w:pPr>
              <w:tabs>
                <w:tab w:val="left" w:pos="9072"/>
              </w:tabs>
              <w:ind w:left="-284" w:right="-234"/>
              <w:jc w:val="right"/>
              <w:rPr>
                <w:rFonts w:ascii="Arial" w:eastAsia="Arial Unicode MS" w:hAnsi="Arial" w:cs="Arial"/>
                <w:b/>
                <w:sz w:val="20"/>
                <w:szCs w:val="20"/>
                <w:lang w:eastAsia="es-MX"/>
              </w:rPr>
            </w:pPr>
          </w:p>
        </w:tc>
        <w:tc>
          <w:tcPr>
            <w:tcW w:w="1779" w:type="dxa"/>
            <w:tcBorders>
              <w:top w:val="single" w:sz="4" w:space="0" w:color="auto"/>
              <w:bottom w:val="single" w:sz="4" w:space="0" w:color="auto"/>
            </w:tcBorders>
          </w:tcPr>
          <w:p w:rsidR="00671514" w:rsidRPr="006C6FD7" w:rsidRDefault="00671514" w:rsidP="007F2707">
            <w:pPr>
              <w:tabs>
                <w:tab w:val="left" w:pos="9072"/>
              </w:tabs>
              <w:ind w:left="-284" w:right="-234"/>
              <w:jc w:val="center"/>
              <w:rPr>
                <w:rFonts w:ascii="Arial" w:eastAsia="Arial Unicode MS" w:hAnsi="Arial" w:cs="Arial"/>
                <w:b/>
                <w:sz w:val="20"/>
                <w:szCs w:val="20"/>
                <w:lang w:eastAsia="es-MX"/>
              </w:rPr>
            </w:pPr>
            <w:r w:rsidRPr="006C6FD7">
              <w:rPr>
                <w:rFonts w:ascii="Arial" w:eastAsia="Arial Unicode MS" w:hAnsi="Arial" w:cs="Arial"/>
                <w:sz w:val="20"/>
                <w:szCs w:val="20"/>
                <w:lang w:eastAsia="es-MX"/>
              </w:rPr>
              <w:t>Pérdida/</w:t>
            </w:r>
          </w:p>
          <w:p w:rsidR="00671514" w:rsidRPr="006C6FD7" w:rsidRDefault="00671514" w:rsidP="007F2707">
            <w:pPr>
              <w:tabs>
                <w:tab w:val="left" w:pos="9072"/>
              </w:tabs>
              <w:ind w:left="-284" w:right="-234"/>
              <w:jc w:val="center"/>
              <w:rPr>
                <w:rFonts w:ascii="Arial" w:eastAsia="Arial Unicode MS" w:hAnsi="Arial" w:cs="Arial"/>
                <w:b/>
                <w:sz w:val="20"/>
                <w:szCs w:val="20"/>
                <w:lang w:eastAsia="es-MX"/>
              </w:rPr>
            </w:pPr>
            <w:r w:rsidRPr="006C6FD7">
              <w:rPr>
                <w:rFonts w:ascii="Arial" w:eastAsia="Arial Unicode MS" w:hAnsi="Arial" w:cs="Arial"/>
                <w:sz w:val="20"/>
                <w:szCs w:val="20"/>
                <w:lang w:eastAsia="es-MX"/>
              </w:rPr>
              <w:t>per cápita/</w:t>
            </w:r>
          </w:p>
          <w:p w:rsidR="00671514" w:rsidRPr="006C6FD7" w:rsidRDefault="00671514" w:rsidP="007F2707">
            <w:pPr>
              <w:tabs>
                <w:tab w:val="left" w:pos="9072"/>
              </w:tabs>
              <w:ind w:left="-284" w:right="-234"/>
              <w:jc w:val="center"/>
              <w:rPr>
                <w:rFonts w:ascii="Arial" w:eastAsia="Arial Unicode MS" w:hAnsi="Arial" w:cs="Arial"/>
                <w:sz w:val="20"/>
                <w:szCs w:val="20"/>
                <w:lang w:eastAsia="es-MX"/>
              </w:rPr>
            </w:pPr>
            <w:r w:rsidRPr="006C6FD7">
              <w:rPr>
                <w:rFonts w:ascii="Arial" w:eastAsia="Arial Unicode MS" w:hAnsi="Arial" w:cs="Arial"/>
                <w:sz w:val="20"/>
                <w:szCs w:val="20"/>
                <w:lang w:eastAsia="es-MX"/>
              </w:rPr>
              <w:t>dólares</w:t>
            </w:r>
          </w:p>
        </w:tc>
      </w:tr>
      <w:tr w:rsidR="00671514" w:rsidRPr="006C6FD7" w:rsidTr="007F2707">
        <w:trPr>
          <w:trHeight w:val="259"/>
          <w:jc w:val="center"/>
        </w:trPr>
        <w:tc>
          <w:tcPr>
            <w:tcW w:w="1985" w:type="dxa"/>
            <w:tcBorders>
              <w:top w:val="single" w:sz="4" w:space="0" w:color="auto"/>
            </w:tcBorders>
            <w:hideMark/>
          </w:tcPr>
          <w:p w:rsidR="00671514" w:rsidRPr="006C6FD7" w:rsidRDefault="00671514" w:rsidP="007F2707">
            <w:pPr>
              <w:tabs>
                <w:tab w:val="left" w:pos="9072"/>
              </w:tabs>
              <w:ind w:right="-234"/>
              <w:rPr>
                <w:rFonts w:ascii="Arial" w:eastAsia="Arial Unicode MS" w:hAnsi="Arial" w:cs="Arial"/>
                <w:b/>
                <w:sz w:val="20"/>
                <w:szCs w:val="20"/>
                <w:lang w:eastAsia="es-MX"/>
              </w:rPr>
            </w:pPr>
            <w:r w:rsidRPr="006C6FD7">
              <w:rPr>
                <w:rFonts w:ascii="Arial" w:eastAsia="Arial Unicode MS" w:hAnsi="Arial" w:cs="Arial"/>
                <w:sz w:val="20"/>
                <w:szCs w:val="20"/>
                <w:lang w:eastAsia="es-MX"/>
              </w:rPr>
              <w:t>México</w:t>
            </w:r>
          </w:p>
        </w:tc>
        <w:tc>
          <w:tcPr>
            <w:tcW w:w="1843" w:type="dxa"/>
            <w:tcBorders>
              <w:top w:val="single" w:sz="4" w:space="0" w:color="auto"/>
            </w:tcBorders>
            <w:hideMark/>
          </w:tcPr>
          <w:p w:rsidR="00671514" w:rsidRPr="006C6FD7" w:rsidRDefault="00671514" w:rsidP="007F2707">
            <w:pPr>
              <w:tabs>
                <w:tab w:val="left" w:pos="9072"/>
              </w:tabs>
              <w:ind w:left="-284"/>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3,315</w:t>
            </w:r>
          </w:p>
        </w:tc>
        <w:tc>
          <w:tcPr>
            <w:tcW w:w="1417" w:type="dxa"/>
            <w:tcBorders>
              <w:top w:val="single" w:sz="4" w:space="0" w:color="auto"/>
            </w:tcBorders>
          </w:tcPr>
          <w:p w:rsidR="00671514" w:rsidRPr="006C6FD7" w:rsidRDefault="00671514" w:rsidP="007F2707">
            <w:pPr>
              <w:tabs>
                <w:tab w:val="left" w:pos="9072"/>
              </w:tabs>
              <w:ind w:left="-284" w:right="-12"/>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74</w:t>
            </w:r>
          </w:p>
        </w:tc>
        <w:tc>
          <w:tcPr>
            <w:tcW w:w="2198" w:type="dxa"/>
            <w:tcBorders>
              <w:top w:val="single" w:sz="4" w:space="0" w:color="auto"/>
            </w:tcBorders>
          </w:tcPr>
          <w:p w:rsidR="00671514" w:rsidRPr="006C6FD7" w:rsidRDefault="00671514" w:rsidP="007F2707">
            <w:pPr>
              <w:tabs>
                <w:tab w:val="left" w:pos="1354"/>
                <w:tab w:val="left" w:pos="9072"/>
              </w:tabs>
              <w:ind w:left="-284" w:right="52"/>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8,294</w:t>
            </w:r>
          </w:p>
        </w:tc>
        <w:tc>
          <w:tcPr>
            <w:tcW w:w="1779" w:type="dxa"/>
            <w:tcBorders>
              <w:top w:val="single" w:sz="4" w:space="0" w:color="auto"/>
            </w:tcBorders>
          </w:tcPr>
          <w:p w:rsidR="00671514" w:rsidRPr="006C6FD7" w:rsidRDefault="00671514" w:rsidP="007F2707">
            <w:pPr>
              <w:tabs>
                <w:tab w:val="left" w:pos="857"/>
                <w:tab w:val="left" w:pos="9072"/>
              </w:tabs>
              <w:ind w:left="-284" w:right="-6"/>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25</w:t>
            </w:r>
          </w:p>
        </w:tc>
      </w:tr>
      <w:tr w:rsidR="00671514" w:rsidRPr="006C6FD7" w:rsidTr="007F2707">
        <w:trPr>
          <w:trHeight w:val="287"/>
          <w:jc w:val="center"/>
        </w:trPr>
        <w:tc>
          <w:tcPr>
            <w:tcW w:w="1985" w:type="dxa"/>
            <w:hideMark/>
          </w:tcPr>
          <w:p w:rsidR="00671514" w:rsidRPr="006C6FD7" w:rsidRDefault="00671514" w:rsidP="007F2707">
            <w:pPr>
              <w:tabs>
                <w:tab w:val="left" w:pos="9072"/>
              </w:tabs>
              <w:ind w:right="-234"/>
              <w:rPr>
                <w:rFonts w:ascii="Arial" w:eastAsia="Arial Unicode MS" w:hAnsi="Arial" w:cs="Arial"/>
                <w:b/>
                <w:sz w:val="20"/>
                <w:szCs w:val="20"/>
                <w:lang w:eastAsia="es-MX"/>
              </w:rPr>
            </w:pPr>
            <w:r w:rsidRPr="006C6FD7">
              <w:rPr>
                <w:rFonts w:ascii="Arial" w:eastAsia="Arial Unicode MS" w:hAnsi="Arial" w:cs="Arial"/>
                <w:sz w:val="20"/>
                <w:szCs w:val="20"/>
                <w:lang w:eastAsia="es-MX"/>
              </w:rPr>
              <w:t>Unión Europea</w:t>
            </w:r>
          </w:p>
        </w:tc>
        <w:tc>
          <w:tcPr>
            <w:tcW w:w="1843" w:type="dxa"/>
            <w:hideMark/>
          </w:tcPr>
          <w:p w:rsidR="00671514" w:rsidRPr="006C6FD7" w:rsidRDefault="00671514" w:rsidP="007F2707">
            <w:pPr>
              <w:tabs>
                <w:tab w:val="left" w:pos="9072"/>
              </w:tabs>
              <w:ind w:left="-284"/>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4,480</w:t>
            </w:r>
          </w:p>
        </w:tc>
        <w:tc>
          <w:tcPr>
            <w:tcW w:w="1417" w:type="dxa"/>
          </w:tcPr>
          <w:p w:rsidR="00671514" w:rsidRPr="006C6FD7" w:rsidRDefault="00671514" w:rsidP="007F2707">
            <w:pPr>
              <w:tabs>
                <w:tab w:val="left" w:pos="9072"/>
              </w:tabs>
              <w:ind w:left="-284" w:right="-12"/>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100</w:t>
            </w:r>
          </w:p>
        </w:tc>
        <w:tc>
          <w:tcPr>
            <w:tcW w:w="2198" w:type="dxa"/>
          </w:tcPr>
          <w:p w:rsidR="00671514" w:rsidRPr="006C6FD7" w:rsidRDefault="00671514" w:rsidP="007F2707">
            <w:pPr>
              <w:tabs>
                <w:tab w:val="left" w:pos="1354"/>
                <w:tab w:val="left" w:pos="9072"/>
              </w:tabs>
              <w:ind w:left="-284" w:right="52"/>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84, 770</w:t>
            </w:r>
          </w:p>
        </w:tc>
        <w:tc>
          <w:tcPr>
            <w:tcW w:w="1779" w:type="dxa"/>
          </w:tcPr>
          <w:p w:rsidR="00671514" w:rsidRPr="006C6FD7" w:rsidRDefault="00671514" w:rsidP="007F2707">
            <w:pPr>
              <w:tabs>
                <w:tab w:val="left" w:pos="857"/>
                <w:tab w:val="left" w:pos="9072"/>
              </w:tabs>
              <w:ind w:left="-284" w:right="-6"/>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8.8</w:t>
            </w:r>
          </w:p>
        </w:tc>
      </w:tr>
      <w:tr w:rsidR="00671514" w:rsidRPr="006C6FD7" w:rsidTr="007F2707">
        <w:trPr>
          <w:trHeight w:val="149"/>
          <w:jc w:val="center"/>
        </w:trPr>
        <w:tc>
          <w:tcPr>
            <w:tcW w:w="1985" w:type="dxa"/>
            <w:hideMark/>
          </w:tcPr>
          <w:p w:rsidR="00671514" w:rsidRPr="006C6FD7" w:rsidRDefault="00671514" w:rsidP="007F2707">
            <w:pPr>
              <w:tabs>
                <w:tab w:val="left" w:pos="9072"/>
              </w:tabs>
              <w:ind w:right="-234"/>
              <w:rPr>
                <w:rFonts w:ascii="Arial" w:eastAsia="Arial Unicode MS" w:hAnsi="Arial" w:cs="Arial"/>
                <w:b/>
                <w:sz w:val="20"/>
                <w:szCs w:val="20"/>
                <w:lang w:eastAsia="es-MX"/>
              </w:rPr>
            </w:pPr>
            <w:r w:rsidRPr="006C6FD7">
              <w:rPr>
                <w:rFonts w:ascii="Arial" w:eastAsia="Arial Unicode MS" w:hAnsi="Arial" w:cs="Arial"/>
                <w:sz w:val="20"/>
                <w:szCs w:val="20"/>
                <w:lang w:eastAsia="es-MX"/>
              </w:rPr>
              <w:t>Estados Unidos</w:t>
            </w:r>
          </w:p>
        </w:tc>
        <w:tc>
          <w:tcPr>
            <w:tcW w:w="1843" w:type="dxa"/>
            <w:hideMark/>
          </w:tcPr>
          <w:p w:rsidR="00671514" w:rsidRPr="006C6FD7" w:rsidRDefault="00671514" w:rsidP="007F2707">
            <w:pPr>
              <w:tabs>
                <w:tab w:val="left" w:pos="9072"/>
              </w:tabs>
              <w:ind w:left="-284"/>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1,500</w:t>
            </w:r>
          </w:p>
        </w:tc>
        <w:tc>
          <w:tcPr>
            <w:tcW w:w="1417" w:type="dxa"/>
          </w:tcPr>
          <w:p w:rsidR="00671514" w:rsidRPr="006C6FD7" w:rsidRDefault="00671514" w:rsidP="007F2707">
            <w:pPr>
              <w:tabs>
                <w:tab w:val="left" w:pos="9072"/>
              </w:tabs>
              <w:ind w:left="-284" w:right="-12"/>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33.5</w:t>
            </w:r>
          </w:p>
        </w:tc>
        <w:tc>
          <w:tcPr>
            <w:tcW w:w="2198" w:type="dxa"/>
          </w:tcPr>
          <w:p w:rsidR="00671514" w:rsidRPr="006C6FD7" w:rsidRDefault="00671514" w:rsidP="007F2707">
            <w:pPr>
              <w:tabs>
                <w:tab w:val="left" w:pos="1354"/>
                <w:tab w:val="left" w:pos="9072"/>
              </w:tabs>
              <w:ind w:left="-284" w:right="52"/>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58,469</w:t>
            </w:r>
          </w:p>
        </w:tc>
        <w:tc>
          <w:tcPr>
            <w:tcW w:w="1779" w:type="dxa"/>
          </w:tcPr>
          <w:p w:rsidR="00671514" w:rsidRPr="006C6FD7" w:rsidRDefault="00671514" w:rsidP="007F2707">
            <w:pPr>
              <w:tabs>
                <w:tab w:val="left" w:pos="857"/>
                <w:tab w:val="left" w:pos="9072"/>
              </w:tabs>
              <w:ind w:left="-284" w:right="-6"/>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4.6</w:t>
            </w:r>
          </w:p>
        </w:tc>
      </w:tr>
      <w:tr w:rsidR="00671514" w:rsidRPr="006C6FD7" w:rsidTr="007F2707">
        <w:trPr>
          <w:trHeight w:val="125"/>
          <w:jc w:val="center"/>
        </w:trPr>
        <w:tc>
          <w:tcPr>
            <w:tcW w:w="1985" w:type="dxa"/>
            <w:hideMark/>
          </w:tcPr>
          <w:p w:rsidR="00671514" w:rsidRPr="006C6FD7" w:rsidRDefault="00671514" w:rsidP="007F2707">
            <w:pPr>
              <w:tabs>
                <w:tab w:val="left" w:pos="9072"/>
              </w:tabs>
              <w:ind w:right="-234"/>
              <w:rPr>
                <w:rFonts w:ascii="Arial" w:eastAsia="Arial Unicode MS" w:hAnsi="Arial" w:cs="Arial"/>
                <w:b/>
                <w:sz w:val="20"/>
                <w:szCs w:val="20"/>
                <w:lang w:eastAsia="es-MX"/>
              </w:rPr>
            </w:pPr>
            <w:r w:rsidRPr="006C6FD7">
              <w:rPr>
                <w:rFonts w:ascii="Arial" w:eastAsia="Arial Unicode MS" w:hAnsi="Arial" w:cs="Arial"/>
                <w:sz w:val="20"/>
                <w:szCs w:val="20"/>
                <w:lang w:eastAsia="es-MX"/>
              </w:rPr>
              <w:t>Rusia</w:t>
            </w:r>
          </w:p>
        </w:tc>
        <w:tc>
          <w:tcPr>
            <w:tcW w:w="1843" w:type="dxa"/>
            <w:hideMark/>
          </w:tcPr>
          <w:p w:rsidR="00671514" w:rsidRPr="006C6FD7" w:rsidRDefault="00671514" w:rsidP="007F2707">
            <w:pPr>
              <w:tabs>
                <w:tab w:val="left" w:pos="9072"/>
              </w:tabs>
              <w:ind w:left="-284"/>
              <w:jc w:val="right"/>
              <w:rPr>
                <w:rFonts w:ascii="Arial" w:eastAsia="Arial Unicode MS" w:hAnsi="Arial" w:cs="Arial"/>
                <w:sz w:val="20"/>
                <w:szCs w:val="20"/>
                <w:lang w:eastAsia="es-MX"/>
              </w:rPr>
            </w:pPr>
            <w:r w:rsidRPr="006C6FD7">
              <w:rPr>
                <w:rFonts w:ascii="Arial" w:eastAsia="Arial Unicode MS" w:hAnsi="Arial" w:cs="Arial"/>
                <w:sz w:val="20"/>
                <w:szCs w:val="20"/>
              </w:rPr>
              <w:t>714</w:t>
            </w:r>
          </w:p>
        </w:tc>
        <w:tc>
          <w:tcPr>
            <w:tcW w:w="1417" w:type="dxa"/>
          </w:tcPr>
          <w:p w:rsidR="00671514" w:rsidRPr="006C6FD7" w:rsidRDefault="00671514" w:rsidP="007F2707">
            <w:pPr>
              <w:tabs>
                <w:tab w:val="left" w:pos="9072"/>
              </w:tabs>
              <w:ind w:left="-284" w:right="-12"/>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15.9</w:t>
            </w:r>
          </w:p>
        </w:tc>
        <w:tc>
          <w:tcPr>
            <w:tcW w:w="2198" w:type="dxa"/>
          </w:tcPr>
          <w:p w:rsidR="00671514" w:rsidRPr="006C6FD7" w:rsidRDefault="00671514" w:rsidP="007F2707">
            <w:pPr>
              <w:tabs>
                <w:tab w:val="left" w:pos="1354"/>
                <w:tab w:val="left" w:pos="9072"/>
              </w:tabs>
              <w:ind w:left="-284" w:right="52"/>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9,557</w:t>
            </w:r>
          </w:p>
        </w:tc>
        <w:tc>
          <w:tcPr>
            <w:tcW w:w="1779" w:type="dxa"/>
          </w:tcPr>
          <w:p w:rsidR="00671514" w:rsidRPr="006C6FD7" w:rsidRDefault="00671514" w:rsidP="007F2707">
            <w:pPr>
              <w:tabs>
                <w:tab w:val="left" w:pos="857"/>
                <w:tab w:val="left" w:pos="9072"/>
              </w:tabs>
              <w:ind w:left="-284" w:right="-6"/>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4.9</w:t>
            </w:r>
          </w:p>
        </w:tc>
      </w:tr>
      <w:tr w:rsidR="00671514" w:rsidRPr="006C6FD7" w:rsidTr="007F2707">
        <w:trPr>
          <w:trHeight w:val="227"/>
          <w:jc w:val="center"/>
        </w:trPr>
        <w:tc>
          <w:tcPr>
            <w:tcW w:w="1985" w:type="dxa"/>
            <w:hideMark/>
          </w:tcPr>
          <w:p w:rsidR="00671514" w:rsidRPr="006C6FD7" w:rsidRDefault="00671514" w:rsidP="007F2707">
            <w:pPr>
              <w:tabs>
                <w:tab w:val="left" w:pos="9072"/>
              </w:tabs>
              <w:ind w:right="-234"/>
              <w:rPr>
                <w:rFonts w:ascii="Arial" w:eastAsia="Arial Unicode MS" w:hAnsi="Arial" w:cs="Arial"/>
                <w:b/>
                <w:sz w:val="20"/>
                <w:szCs w:val="20"/>
                <w:lang w:eastAsia="es-MX"/>
              </w:rPr>
            </w:pPr>
            <w:r w:rsidRPr="006C6FD7">
              <w:rPr>
                <w:rFonts w:ascii="Arial" w:eastAsia="Arial Unicode MS" w:hAnsi="Arial" w:cs="Arial"/>
                <w:sz w:val="20"/>
                <w:szCs w:val="20"/>
                <w:lang w:eastAsia="es-MX"/>
              </w:rPr>
              <w:t>Colombia</w:t>
            </w:r>
          </w:p>
        </w:tc>
        <w:tc>
          <w:tcPr>
            <w:tcW w:w="1843" w:type="dxa"/>
            <w:hideMark/>
          </w:tcPr>
          <w:p w:rsidR="00671514" w:rsidRPr="006C6FD7" w:rsidRDefault="00671514" w:rsidP="007F2707">
            <w:pPr>
              <w:tabs>
                <w:tab w:val="left" w:pos="9072"/>
              </w:tabs>
              <w:ind w:left="-284"/>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107</w:t>
            </w:r>
          </w:p>
        </w:tc>
        <w:tc>
          <w:tcPr>
            <w:tcW w:w="1417" w:type="dxa"/>
          </w:tcPr>
          <w:p w:rsidR="00671514" w:rsidRPr="006C6FD7" w:rsidRDefault="00671514" w:rsidP="007F2707">
            <w:pPr>
              <w:tabs>
                <w:tab w:val="left" w:pos="9072"/>
              </w:tabs>
              <w:ind w:left="-284" w:right="-12"/>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2.40</w:t>
            </w:r>
          </w:p>
        </w:tc>
        <w:tc>
          <w:tcPr>
            <w:tcW w:w="2198" w:type="dxa"/>
          </w:tcPr>
          <w:p w:rsidR="00671514" w:rsidRPr="006C6FD7" w:rsidRDefault="00671514" w:rsidP="007F2707">
            <w:pPr>
              <w:tabs>
                <w:tab w:val="left" w:pos="1354"/>
                <w:tab w:val="left" w:pos="9072"/>
              </w:tabs>
              <w:ind w:left="-284" w:right="52"/>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5,264</w:t>
            </w:r>
          </w:p>
        </w:tc>
        <w:tc>
          <w:tcPr>
            <w:tcW w:w="1779" w:type="dxa"/>
          </w:tcPr>
          <w:p w:rsidR="00671514" w:rsidRPr="006C6FD7" w:rsidRDefault="00671514" w:rsidP="007F2707">
            <w:pPr>
              <w:tabs>
                <w:tab w:val="left" w:pos="857"/>
                <w:tab w:val="left" w:pos="9072"/>
              </w:tabs>
              <w:ind w:left="-284" w:right="-6"/>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2.22</w:t>
            </w:r>
          </w:p>
        </w:tc>
      </w:tr>
      <w:tr w:rsidR="00671514" w:rsidRPr="006C6FD7" w:rsidTr="007F2707">
        <w:trPr>
          <w:trHeight w:val="260"/>
          <w:jc w:val="center"/>
        </w:trPr>
        <w:tc>
          <w:tcPr>
            <w:tcW w:w="1985" w:type="dxa"/>
            <w:noWrap/>
            <w:hideMark/>
          </w:tcPr>
          <w:p w:rsidR="00671514" w:rsidRPr="006C6FD7" w:rsidRDefault="00671514" w:rsidP="007F2707">
            <w:pPr>
              <w:tabs>
                <w:tab w:val="left" w:pos="9072"/>
              </w:tabs>
              <w:ind w:right="-234"/>
              <w:rPr>
                <w:rFonts w:ascii="Arial" w:eastAsia="Arial Unicode MS" w:hAnsi="Arial" w:cs="Arial"/>
                <w:b/>
                <w:sz w:val="20"/>
                <w:szCs w:val="20"/>
                <w:lang w:eastAsia="es-MX"/>
              </w:rPr>
            </w:pPr>
            <w:r w:rsidRPr="006C6FD7">
              <w:rPr>
                <w:rFonts w:ascii="Arial" w:eastAsia="Arial Unicode MS" w:hAnsi="Arial" w:cs="Arial"/>
                <w:sz w:val="20"/>
                <w:szCs w:val="20"/>
                <w:lang w:eastAsia="es-MX"/>
              </w:rPr>
              <w:lastRenderedPageBreak/>
              <w:t>Serbia</w:t>
            </w:r>
          </w:p>
        </w:tc>
        <w:tc>
          <w:tcPr>
            <w:tcW w:w="1843" w:type="dxa"/>
          </w:tcPr>
          <w:p w:rsidR="00671514" w:rsidRPr="006C6FD7" w:rsidRDefault="00671514" w:rsidP="007F2707">
            <w:pPr>
              <w:tabs>
                <w:tab w:val="left" w:pos="9072"/>
              </w:tabs>
              <w:ind w:left="-284"/>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45-110</w:t>
            </w:r>
          </w:p>
        </w:tc>
        <w:tc>
          <w:tcPr>
            <w:tcW w:w="1417" w:type="dxa"/>
          </w:tcPr>
          <w:p w:rsidR="00671514" w:rsidRPr="006C6FD7" w:rsidRDefault="00671514" w:rsidP="007F2707">
            <w:pPr>
              <w:tabs>
                <w:tab w:val="left" w:pos="9072"/>
              </w:tabs>
              <w:ind w:left="-284" w:right="-12"/>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1-2.5</w:t>
            </w:r>
          </w:p>
        </w:tc>
        <w:tc>
          <w:tcPr>
            <w:tcW w:w="2198" w:type="dxa"/>
          </w:tcPr>
          <w:p w:rsidR="00671514" w:rsidRPr="006C6FD7" w:rsidRDefault="00671514" w:rsidP="007F2707">
            <w:pPr>
              <w:tabs>
                <w:tab w:val="left" w:pos="1354"/>
                <w:tab w:val="left" w:pos="9072"/>
              </w:tabs>
              <w:ind w:left="-284" w:right="52"/>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6,590</w:t>
            </w:r>
          </w:p>
        </w:tc>
        <w:tc>
          <w:tcPr>
            <w:tcW w:w="1779" w:type="dxa"/>
          </w:tcPr>
          <w:p w:rsidR="00671514" w:rsidRPr="006C6FD7" w:rsidRDefault="00671514" w:rsidP="007F2707">
            <w:pPr>
              <w:tabs>
                <w:tab w:val="left" w:pos="857"/>
                <w:tab w:val="left" w:pos="9072"/>
              </w:tabs>
              <w:ind w:left="-284" w:right="-6"/>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15.8</w:t>
            </w:r>
          </w:p>
        </w:tc>
      </w:tr>
      <w:tr w:rsidR="00671514" w:rsidRPr="006C6FD7" w:rsidTr="007F2707">
        <w:trPr>
          <w:trHeight w:val="300"/>
          <w:jc w:val="center"/>
        </w:trPr>
        <w:tc>
          <w:tcPr>
            <w:tcW w:w="1985" w:type="dxa"/>
            <w:tcBorders>
              <w:bottom w:val="single" w:sz="4" w:space="0" w:color="auto"/>
            </w:tcBorders>
            <w:noWrap/>
            <w:hideMark/>
          </w:tcPr>
          <w:p w:rsidR="00671514" w:rsidRPr="006C6FD7" w:rsidRDefault="00671514" w:rsidP="007F2707">
            <w:pPr>
              <w:tabs>
                <w:tab w:val="left" w:pos="9072"/>
              </w:tabs>
              <w:ind w:right="-234"/>
              <w:rPr>
                <w:rFonts w:ascii="Arial" w:eastAsia="Arial Unicode MS" w:hAnsi="Arial" w:cs="Arial"/>
                <w:b/>
                <w:sz w:val="20"/>
                <w:szCs w:val="20"/>
                <w:lang w:eastAsia="es-MX"/>
              </w:rPr>
            </w:pPr>
            <w:r w:rsidRPr="006C6FD7">
              <w:rPr>
                <w:rFonts w:ascii="Arial" w:eastAsia="Arial Unicode MS" w:hAnsi="Arial" w:cs="Arial"/>
                <w:sz w:val="20"/>
                <w:szCs w:val="20"/>
                <w:lang w:eastAsia="es-MX"/>
              </w:rPr>
              <w:t>Ghana</w:t>
            </w:r>
          </w:p>
        </w:tc>
        <w:tc>
          <w:tcPr>
            <w:tcW w:w="1843" w:type="dxa"/>
            <w:tcBorders>
              <w:bottom w:val="single" w:sz="4" w:space="0" w:color="auto"/>
            </w:tcBorders>
            <w:noWrap/>
            <w:hideMark/>
          </w:tcPr>
          <w:p w:rsidR="00671514" w:rsidRPr="006C6FD7" w:rsidRDefault="00671514" w:rsidP="007F2707">
            <w:pPr>
              <w:tabs>
                <w:tab w:val="left" w:pos="9072"/>
              </w:tabs>
              <w:ind w:left="-284"/>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12.6</w:t>
            </w:r>
          </w:p>
        </w:tc>
        <w:tc>
          <w:tcPr>
            <w:tcW w:w="1417" w:type="dxa"/>
            <w:tcBorders>
              <w:bottom w:val="single" w:sz="4" w:space="0" w:color="auto"/>
            </w:tcBorders>
          </w:tcPr>
          <w:p w:rsidR="00671514" w:rsidRPr="006C6FD7" w:rsidRDefault="00671514" w:rsidP="007F2707">
            <w:pPr>
              <w:tabs>
                <w:tab w:val="left" w:pos="9072"/>
              </w:tabs>
              <w:ind w:left="-284" w:right="-12"/>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0.28</w:t>
            </w:r>
          </w:p>
        </w:tc>
        <w:tc>
          <w:tcPr>
            <w:tcW w:w="2198" w:type="dxa"/>
            <w:tcBorders>
              <w:bottom w:val="single" w:sz="4" w:space="0" w:color="auto"/>
            </w:tcBorders>
          </w:tcPr>
          <w:p w:rsidR="00671514" w:rsidRPr="006C6FD7" w:rsidRDefault="00671514" w:rsidP="007F2707">
            <w:pPr>
              <w:tabs>
                <w:tab w:val="left" w:pos="1354"/>
                <w:tab w:val="left" w:pos="9072"/>
              </w:tabs>
              <w:ind w:left="-284" w:right="52"/>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1,864</w:t>
            </w:r>
          </w:p>
        </w:tc>
        <w:tc>
          <w:tcPr>
            <w:tcW w:w="1779" w:type="dxa"/>
            <w:tcBorders>
              <w:bottom w:val="single" w:sz="4" w:space="0" w:color="auto"/>
            </w:tcBorders>
          </w:tcPr>
          <w:p w:rsidR="00671514" w:rsidRPr="006C6FD7" w:rsidRDefault="00671514" w:rsidP="007F2707">
            <w:pPr>
              <w:tabs>
                <w:tab w:val="left" w:pos="857"/>
                <w:tab w:val="left" w:pos="9072"/>
              </w:tabs>
              <w:ind w:left="-284" w:right="-6"/>
              <w:jc w:val="right"/>
              <w:rPr>
                <w:rFonts w:ascii="Arial" w:eastAsia="Arial Unicode MS" w:hAnsi="Arial" w:cs="Arial"/>
                <w:sz w:val="20"/>
                <w:szCs w:val="20"/>
                <w:lang w:eastAsia="es-MX"/>
              </w:rPr>
            </w:pPr>
            <w:r w:rsidRPr="006C6FD7">
              <w:rPr>
                <w:rFonts w:ascii="Arial" w:eastAsia="Arial Unicode MS" w:hAnsi="Arial" w:cs="Arial"/>
                <w:sz w:val="20"/>
                <w:szCs w:val="20"/>
                <w:lang w:eastAsia="es-MX"/>
              </w:rPr>
              <w:t>0.48</w:t>
            </w:r>
          </w:p>
        </w:tc>
      </w:tr>
    </w:tbl>
    <w:p w:rsidR="00671514" w:rsidRPr="00124CEF" w:rsidRDefault="00671514" w:rsidP="00671514">
      <w:pPr>
        <w:ind w:left="-142" w:right="-234"/>
        <w:rPr>
          <w:rFonts w:ascii="Arial" w:hAnsi="Arial" w:cs="Arial"/>
          <w:sz w:val="20"/>
          <w:szCs w:val="20"/>
        </w:rPr>
      </w:pPr>
      <w:r w:rsidRPr="00124CEF">
        <w:rPr>
          <w:rFonts w:ascii="Arial" w:hAnsi="Arial" w:cs="Arial"/>
          <w:b/>
          <w:sz w:val="20"/>
          <w:szCs w:val="20"/>
        </w:rPr>
        <w:t xml:space="preserve">Fuente: </w:t>
      </w:r>
      <w:r w:rsidRPr="00124CEF">
        <w:rPr>
          <w:rFonts w:ascii="Arial" w:hAnsi="Arial" w:cs="Arial"/>
          <w:sz w:val="20"/>
          <w:szCs w:val="20"/>
        </w:rPr>
        <w:t>Elaboración propia a partir de diversas publicaciones, ver referencias (Ralby, 2018; varias páginas electrónicas. Ver en referencias)</w:t>
      </w:r>
    </w:p>
    <w:p w:rsidR="00671514" w:rsidRDefault="00671514" w:rsidP="00671514">
      <w:pPr>
        <w:ind w:left="-284" w:right="-234"/>
        <w:rPr>
          <w:rFonts w:ascii="Tahoma" w:hAnsi="Tahoma" w:cs="Tahoma"/>
          <w:sz w:val="18"/>
          <w:szCs w:val="18"/>
        </w:rPr>
      </w:pPr>
    </w:p>
    <w:p w:rsidR="00671514" w:rsidRPr="00A24E8D"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Arial" w:hAnsi="Arial" w:cs="Arial"/>
          <w:i/>
          <w:iCs/>
          <w:lang w:eastAsia="ja-JP"/>
        </w:rPr>
      </w:pPr>
      <w:r w:rsidRPr="00A24E8D">
        <w:rPr>
          <w:rFonts w:ascii="Arial" w:hAnsi="Arial" w:cs="Arial"/>
          <w:i/>
          <w:iCs/>
          <w:lang w:eastAsia="ja-JP"/>
        </w:rPr>
        <w:t xml:space="preserve">4.2 Resultados de la estrategia gubernamental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p>
    <w:p w:rsidR="00671514" w:rsidRDefault="00671514" w:rsidP="00671514">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Arial" w:hAnsi="Arial" w:cs="Arial"/>
          <w:lang w:eastAsia="ja-JP"/>
        </w:rPr>
      </w:pPr>
      <w:r>
        <w:rPr>
          <w:rFonts w:ascii="Arial" w:hAnsi="Arial" w:cs="Arial"/>
          <w:lang w:eastAsia="ja-JP"/>
        </w:rPr>
        <w:tab/>
        <w:t>Desde el primero de diciembre de 2018 al 21 de diciembre de ese mismo año, la sustracción tuvo una variación negativa de -71.5% al pasar de 74 mil barriles a 23 mil barriles diarios</w:t>
      </w:r>
      <w:r>
        <w:rPr>
          <w:rFonts w:ascii="Arial" w:hAnsi="Arial" w:cs="Arial"/>
          <w:sz w:val="16"/>
          <w:szCs w:val="16"/>
          <w:lang w:eastAsia="ja-JP"/>
        </w:rPr>
        <w:t xml:space="preserve"> [1]</w:t>
      </w:r>
      <w:r>
        <w:rPr>
          <w:rFonts w:ascii="Arial" w:hAnsi="Arial" w:cs="Arial"/>
          <w:lang w:eastAsia="ja-JP"/>
        </w:rPr>
        <w:t>. (En solo unos pocos días la sustracción cayó en 51 mil barriles/día)</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center"/>
        <w:rPr>
          <w:rFonts w:ascii="Helvetica" w:hAnsi="Helvetica" w:cs="Helvetica"/>
          <w:lang w:eastAsia="ja-JP"/>
        </w:rPr>
      </w:pPr>
      <w:r>
        <w:rPr>
          <w:rFonts w:ascii="Tahoma" w:hAnsi="Tahoma" w:cs="Tahoma"/>
          <w:noProof/>
          <w:sz w:val="20"/>
          <w:szCs w:val="20"/>
          <w:lang w:val="en-US"/>
        </w:rPr>
        <w:drawing>
          <wp:inline distT="0" distB="0" distL="0" distR="0" wp14:anchorId="68A0C4BA" wp14:editId="7AA80635">
            <wp:extent cx="5612130" cy="3179468"/>
            <wp:effectExtent l="0" t="0" r="1270" b="0"/>
            <wp:docPr id="2026623733" name="Imagen 202662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4"/>
                    <a:srcRect/>
                    <a:stretch>
                      <a:fillRect/>
                    </a:stretch>
                  </pic:blipFill>
                  <pic:spPr bwMode="auto">
                    <a:xfrm>
                      <a:off x="0" y="0"/>
                      <a:ext cx="5612130" cy="3179468"/>
                    </a:xfrm>
                    <a:prstGeom prst="rect">
                      <a:avLst/>
                    </a:prstGeom>
                    <a:noFill/>
                    <a:ln w="9525">
                      <a:noFill/>
                      <a:miter lim="800000"/>
                      <a:headEnd/>
                      <a:tailEnd/>
                    </a:ln>
                  </pic:spPr>
                </pic:pic>
              </a:graphicData>
            </a:graphic>
          </wp:inline>
        </w:drawing>
      </w:r>
    </w:p>
    <w:p w:rsidR="00671514" w:rsidRPr="002621F6"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center"/>
        <w:rPr>
          <w:rFonts w:cs="Times New Roman"/>
          <w:i/>
          <w:sz w:val="20"/>
          <w:szCs w:val="20"/>
          <w:lang w:eastAsia="ja-JP"/>
        </w:rPr>
      </w:pPr>
      <w:r w:rsidRPr="002621F6">
        <w:rPr>
          <w:rFonts w:cs="Times New Roman"/>
          <w:i/>
          <w:sz w:val="20"/>
          <w:szCs w:val="20"/>
          <w:lang w:eastAsia="ja-JP"/>
        </w:rPr>
        <w:t>Figura 3. Sustracción de gasolinas/miles de barriles diarios</w:t>
      </w:r>
    </w:p>
    <w:p w:rsidR="00671514" w:rsidRPr="00740248"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2" w:right="191"/>
        <w:jc w:val="both"/>
        <w:rPr>
          <w:rFonts w:ascii="Arial" w:hAnsi="Arial" w:cs="Arial"/>
          <w:i/>
          <w:sz w:val="20"/>
          <w:szCs w:val="20"/>
          <w:lang w:val="es-MX" w:eastAsia="ja-JP"/>
        </w:rPr>
      </w:pPr>
      <w:r w:rsidRPr="00740248">
        <w:rPr>
          <w:rFonts w:ascii="Arial" w:hAnsi="Arial" w:cs="Arial"/>
          <w:b/>
          <w:i/>
          <w:sz w:val="20"/>
          <w:szCs w:val="20"/>
          <w:lang w:eastAsia="ja-JP"/>
        </w:rPr>
        <w:t>Fuente:</w:t>
      </w:r>
      <w:r w:rsidRPr="00740248">
        <w:rPr>
          <w:rFonts w:ascii="Arial" w:hAnsi="Arial" w:cs="Arial"/>
          <w:i/>
          <w:sz w:val="20"/>
          <w:szCs w:val="20"/>
          <w:lang w:eastAsia="ja-JP"/>
        </w:rPr>
        <w:t>http://www.informeseguridad.cns.gob.mx/files/HUACHICOL_07042020.pdf, (consultado 8 de abril de 2020)</w:t>
      </w:r>
      <w:r w:rsidRPr="00740248">
        <w:rPr>
          <w:rFonts w:ascii="Arial" w:hAnsi="Arial" w:cs="Arial"/>
          <w:bCs/>
          <w:i/>
          <w:sz w:val="20"/>
          <w:szCs w:val="20"/>
          <w:lang w:eastAsia="ja-JP"/>
        </w:rPr>
        <w:t xml:space="preserve"> </w:t>
      </w:r>
    </w:p>
    <w:p w:rsidR="00671514" w:rsidRPr="00740248"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Arial" w:hAnsi="Arial" w:cs="Arial"/>
          <w:i/>
          <w:sz w:val="20"/>
          <w:szCs w:val="20"/>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Arial" w:hAnsi="Arial" w:cs="Arial"/>
          <w:lang w:eastAsia="ja-JP"/>
        </w:rPr>
      </w:pPr>
      <w:r>
        <w:rPr>
          <w:rFonts w:ascii="Arial" w:hAnsi="Arial" w:cs="Arial"/>
          <w:lang w:eastAsia="ja-JP"/>
        </w:rPr>
        <w:t>• Luego pasó de 23 a 5Mbd, un -78.7%, donde se ha mantenido hasta el día de la fecha</w:t>
      </w:r>
      <w:r w:rsidRPr="00970F3A">
        <w:rPr>
          <w:rFonts w:ascii="Arial" w:hAnsi="Arial" w:cs="Arial"/>
          <w:sz w:val="16"/>
          <w:szCs w:val="16"/>
          <w:vertAlign w:val="superscript"/>
          <w:lang w:eastAsia="ja-JP"/>
        </w:rPr>
        <w:t xml:space="preserve"> [1]</w:t>
      </w:r>
      <w:r>
        <w:rPr>
          <w:rFonts w:ascii="Arial" w:hAnsi="Arial" w:cs="Arial"/>
          <w:lang w:eastAsia="ja-JP"/>
        </w:rPr>
        <w:t>. Estos números indican y soportan una estrategia con resultados efectivos y hablan también de la intensidad con que se llevó a cabo y el grado de coordinación logrado.</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Helvetica" w:hAnsi="Helvetica" w:cs="Helvetica"/>
          <w:lang w:eastAsia="ja-JP"/>
        </w:rPr>
      </w:pPr>
      <w:r>
        <w:rPr>
          <w:rFonts w:ascii="Arial" w:hAnsi="Arial" w:cs="Arial"/>
          <w:lang w:eastAsia="ja-JP"/>
        </w:rPr>
        <w:t xml:space="preserve">• La tecnología usada fue la que disponía PEMEX, a la que se agregó una intensa vigilancia a los ductos y </w:t>
      </w:r>
      <w:r>
        <w:rPr>
          <w:rFonts w:ascii="Arial" w:hAnsi="Arial" w:cs="Arial"/>
          <w:lang w:eastAsia="ja-JP"/>
        </w:rPr>
        <w:lastRenderedPageBreak/>
        <w:t xml:space="preserve">el sellamiento de tomas clandestinas y cambios administrativos.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b/>
          <w:bCs/>
          <w:lang w:eastAsia="ja-JP"/>
        </w:rPr>
        <w:t xml:space="preserve"> </w:t>
      </w:r>
    </w:p>
    <w:p w:rsidR="00671514" w:rsidRDefault="00671514" w:rsidP="00671514">
      <w:pPr>
        <w:pStyle w:val="1Titulo"/>
        <w:numPr>
          <w:ilvl w:val="0"/>
          <w:numId w:val="0"/>
        </w:numPr>
        <w:ind w:left="357"/>
      </w:pPr>
      <w:bookmarkStart w:id="339" w:name="_Toc50031386"/>
      <w:r>
        <w:t>5. Conclusiones</w:t>
      </w:r>
      <w:bookmarkEnd w:id="339"/>
      <w:r>
        <w:t xml:space="preserve">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Helvetica" w:hAnsi="Helvetica" w:cs="Helvetica"/>
          <w:lang w:eastAsia="ja-JP"/>
        </w:rPr>
      </w:pPr>
      <w:r>
        <w:rPr>
          <w:rFonts w:ascii="Arial" w:hAnsi="Arial" w:cs="Arial"/>
          <w:lang w:eastAsia="ja-JP"/>
        </w:rPr>
        <w:t xml:space="preserve">• El gobierno, atacó el problema desde varios ángulos, incluido el social y reemplazó a numerosas personas que tenían la responsabilidad de la operación de los ductos.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Helvetica" w:hAnsi="Helvetica" w:cs="Helvetica"/>
          <w:lang w:eastAsia="ja-JP"/>
        </w:rPr>
      </w:pPr>
      <w:r>
        <w:rPr>
          <w:rFonts w:ascii="Arial" w:hAnsi="Arial" w:cs="Arial"/>
          <w:lang w:eastAsia="ja-JP"/>
        </w:rPr>
        <w:t xml:space="preserve">• También es necesario reconocer que, PEMEX contaba con tecnología adecuada, entre ellos sistemas administrativos avanzados tales como: </w:t>
      </w:r>
      <w:r>
        <w:rPr>
          <w:rFonts w:ascii="Arial" w:hAnsi="Arial" w:cs="Arial"/>
          <w:i/>
          <w:iCs/>
          <w:lang w:eastAsia="ja-JP"/>
        </w:rPr>
        <w:t>SCADA (System Control And Data Adquisition)</w:t>
      </w:r>
      <w:r>
        <w:rPr>
          <w:rFonts w:ascii="Arial" w:hAnsi="Arial" w:cs="Arial"/>
          <w:lang w:eastAsia="ja-JP"/>
        </w:rPr>
        <w:t xml:space="preserve">, drones, radares, entre otros artefactos. Sin embargo, todos estos artefactos tecnológicos se convirtieron en piezas inútiles ya que grupos ajenos a la empresa lograron incorporar o cooptar a numerosas personas que operaban esos instrumentos tecnológicos en beneficio de particulares como fue en este caso.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Arial" w:hAnsi="Arial" w:cs="Arial"/>
          <w:lang w:eastAsia="ja-JP"/>
        </w:rPr>
      </w:pPr>
      <w:r>
        <w:rPr>
          <w:rFonts w:ascii="Arial" w:hAnsi="Arial" w:cs="Arial"/>
          <w:lang w:eastAsia="ja-JP"/>
        </w:rPr>
        <w:t xml:space="preserve">• Por otro lado, no hay duda de que el uso de tecnologías puede coadyuvar a acotar este problema, aunque lo esencial está en el personal que integra la empresa.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Helvetica" w:hAnsi="Helvetica" w:cs="Helvetica"/>
          <w:lang w:eastAsia="ja-JP"/>
        </w:rPr>
      </w:pPr>
      <w:r>
        <w:rPr>
          <w:rFonts w:ascii="Arial" w:hAnsi="Arial" w:cs="Arial"/>
          <w:lang w:eastAsia="ja-JP"/>
        </w:rPr>
        <w:t>• Finalmente, en relación con la pregunta formulada al inicio de esta presentación relacionada con la valoración de la estrategia establecida por el gobierno, se puede afirmar que ha sido exitosa. El más notorio es el abatimiento del volumen de barriles sustraídos. El segundo es la voluntad política para enfrentar la corrupción. El tercer punto, que es muy significativo y que ha marcado un hito, es la demostración de una habilidad superior en su ejecución</w:t>
      </w:r>
      <w:r>
        <w:rPr>
          <w:rFonts w:ascii="Arial" w:hAnsi="Arial" w:cs="Arial"/>
          <w:i/>
          <w:iCs/>
          <w:lang w:eastAsia="ja-JP"/>
        </w:rPr>
        <w:t>, ya que es una estrategia con objetivos múltiples que debió ser lograda en un contexto complejo y adverso, en forma secuencial y con situaciones que implicaban simultaneidad en la acción</w:t>
      </w:r>
      <w:r>
        <w:rPr>
          <w:rFonts w:ascii="Arial" w:hAnsi="Arial" w:cs="Arial"/>
          <w:sz w:val="16"/>
          <w:szCs w:val="16"/>
          <w:lang w:eastAsia="ja-JP"/>
        </w:rPr>
        <w:t xml:space="preserve"> </w:t>
      </w:r>
      <w:r w:rsidRPr="00970F3A">
        <w:rPr>
          <w:rFonts w:ascii="Arial" w:hAnsi="Arial" w:cs="Arial"/>
          <w:sz w:val="16"/>
          <w:szCs w:val="16"/>
          <w:vertAlign w:val="superscript"/>
          <w:lang w:eastAsia="ja-JP"/>
        </w:rPr>
        <w:t>[6]</w:t>
      </w:r>
      <w:r>
        <w:rPr>
          <w:rFonts w:ascii="Arial" w:hAnsi="Arial" w:cs="Arial"/>
          <w:lang w:eastAsia="ja-JP"/>
        </w:rPr>
        <w:t xml:space="preserve">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jc w:val="both"/>
        <w:rPr>
          <w:rFonts w:ascii="Helvetica" w:hAnsi="Helvetica" w:cs="Helvetica"/>
          <w:lang w:eastAsia="ja-JP"/>
        </w:rPr>
      </w:pPr>
      <w:r>
        <w:rPr>
          <w:rFonts w:ascii="Arial" w:hAnsi="Arial" w:cs="Arial"/>
          <w:lang w:eastAsia="ja-JP"/>
        </w:rPr>
        <w:t>• Si bien las metas estratégicas del gobierno han sido logradas, todavía queda un remanente de unos 4.7 Mbd (miles de barriles diarios) que comparado con las cifras anteriores se pueden considerar como residuales, aunque es una cantidad que implica unos 60,000 barriles al año que todavía no tienen explicación clara. Pemex reporta este desvío como producto de acciones ilegales</w:t>
      </w:r>
      <w:r w:rsidRPr="00970F3A">
        <w:rPr>
          <w:rFonts w:ascii="Arial" w:hAnsi="Arial" w:cs="Arial"/>
          <w:sz w:val="16"/>
          <w:szCs w:val="16"/>
          <w:vertAlign w:val="superscript"/>
          <w:lang w:eastAsia="ja-JP"/>
        </w:rPr>
        <w:t xml:space="preserve"> [7]</w:t>
      </w:r>
      <w:r>
        <w:rPr>
          <w:rFonts w:ascii="Arial" w:hAnsi="Arial" w:cs="Arial"/>
          <w:lang w:eastAsia="ja-JP"/>
        </w:rPr>
        <w:t xml:space="preserve">. Es posible suponer que parte de esa merma podría deberse también a pérdidas ocasionadas por derrames accidentales o por problemas operativos. En definitiva, esta cifra ya se encuentra en el rango “normal” a nivel mundial.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r>
        <w:rPr>
          <w:rFonts w:ascii="Arial" w:hAnsi="Arial" w:cs="Arial"/>
          <w:lang w:eastAsia="ja-JP"/>
        </w:rPr>
        <w:t xml:space="preserve"> </w:t>
      </w:r>
    </w:p>
    <w:p w:rsidR="00671514" w:rsidRDefault="00671514" w:rsidP="00671514">
      <w:pPr>
        <w:pStyle w:val="1Titulo"/>
        <w:numPr>
          <w:ilvl w:val="0"/>
          <w:numId w:val="0"/>
        </w:numPr>
        <w:ind w:left="357"/>
      </w:pPr>
      <w:bookmarkStart w:id="340" w:name="_Toc50031387"/>
      <w:r>
        <w:t>6. Bibliografía</w:t>
      </w:r>
      <w:bookmarkEnd w:id="340"/>
      <w:r>
        <w:t xml:space="preserve"> </w:t>
      </w:r>
    </w:p>
    <w:p w:rsidR="00671514" w:rsidRDefault="00671514" w:rsidP="00671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ight="-234"/>
        <w:rPr>
          <w:rFonts w:ascii="Helvetica" w:hAnsi="Helvetica" w:cs="Helvetica"/>
          <w:lang w:eastAsia="ja-JP"/>
        </w:rPr>
      </w:pPr>
    </w:p>
    <w:p w:rsidR="00671514" w:rsidRDefault="00671514" w:rsidP="00671514">
      <w:pPr>
        <w:pStyle w:val="Prrafodelista"/>
        <w:widowControl w:val="0"/>
        <w:numPr>
          <w:ilvl w:val="0"/>
          <w:numId w:val="51"/>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right="-234"/>
        <w:jc w:val="both"/>
        <w:rPr>
          <w:rFonts w:ascii="Helvetica" w:hAnsi="Helvetica" w:cs="Helvetica"/>
          <w:lang w:eastAsia="ja-JP"/>
        </w:rPr>
      </w:pPr>
      <w:r w:rsidRPr="0045724C">
        <w:rPr>
          <w:rFonts w:ascii="Arial" w:hAnsi="Arial" w:cs="Arial"/>
          <w:lang w:eastAsia="ja-JP"/>
        </w:rPr>
        <w:t xml:space="preserve">SSPC. 2020. Secretaría de Seguridad y Protección Ciudadana. IV. Reporte diario del desvío de hidrocarburos reportados por Petróleos Mexicanos (PEMEX). Consulta el 7 de abril de 2020. Página electrónica http://www.informeseguridad.cns.gob.mx </w:t>
      </w:r>
    </w:p>
    <w:p w:rsidR="00671514" w:rsidRPr="005171B0" w:rsidRDefault="00671514" w:rsidP="00671514">
      <w:pPr>
        <w:pStyle w:val="Prrafodelista"/>
        <w:widowControl w:val="0"/>
        <w:numPr>
          <w:ilvl w:val="0"/>
          <w:numId w:val="51"/>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right="-234"/>
        <w:jc w:val="both"/>
        <w:rPr>
          <w:rFonts w:ascii="Helvetica" w:hAnsi="Helvetica" w:cs="Helvetica"/>
          <w:lang w:eastAsia="ja-JP"/>
        </w:rPr>
      </w:pPr>
      <w:r w:rsidRPr="005171B0">
        <w:rPr>
          <w:rFonts w:ascii="Arial" w:hAnsi="Arial" w:cs="Arial"/>
          <w:lang w:eastAsia="ja-JP"/>
        </w:rPr>
        <w:t xml:space="preserve">Soto-Rodea, J. 2020. </w:t>
      </w:r>
      <w:r w:rsidRPr="005171B0">
        <w:rPr>
          <w:rFonts w:ascii="Arial" w:hAnsi="Arial" w:cs="Arial"/>
          <w:i/>
          <w:iCs/>
          <w:lang w:eastAsia="ja-JP"/>
        </w:rPr>
        <w:t>Principales tecnologías utilizadas para combatir el robo de gasolina: El caso de México</w:t>
      </w:r>
      <w:r w:rsidRPr="005171B0">
        <w:rPr>
          <w:rFonts w:ascii="Arial" w:hAnsi="Arial" w:cs="Arial"/>
          <w:lang w:eastAsia="ja-JP"/>
        </w:rPr>
        <w:t>. Tesis. Universidad Nacional Autónoma de México, UNAM. Ciudad de México, México.</w:t>
      </w:r>
    </w:p>
    <w:p w:rsidR="00671514" w:rsidRPr="0045724C" w:rsidRDefault="00671514" w:rsidP="00671514">
      <w:pPr>
        <w:pStyle w:val="Prrafodelista"/>
        <w:widowControl w:val="0"/>
        <w:numPr>
          <w:ilvl w:val="0"/>
          <w:numId w:val="51"/>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right="-234"/>
        <w:jc w:val="both"/>
        <w:rPr>
          <w:rFonts w:ascii="Helvetica" w:hAnsi="Helvetica" w:cs="Helvetica"/>
          <w:lang w:eastAsia="ja-JP"/>
        </w:rPr>
      </w:pPr>
      <w:r w:rsidRPr="0045724C">
        <w:rPr>
          <w:rFonts w:ascii="Arial" w:hAnsi="Arial" w:cs="Arial"/>
          <w:lang w:val="it-IT" w:eastAsia="ja-JP"/>
        </w:rPr>
        <w:t xml:space="preserve">Soto-Rodea, J.y Ciceri, H.N. 2020. </w:t>
      </w:r>
      <w:r w:rsidRPr="0045724C">
        <w:rPr>
          <w:rFonts w:ascii="Arial" w:hAnsi="Arial" w:cs="Arial"/>
          <w:i/>
          <w:iCs/>
          <w:lang w:eastAsia="ja-JP"/>
        </w:rPr>
        <w:t>Invenciones y tecnologías asociadas con la protección intrusiva de ductos que transportan petróleo y derivados.</w:t>
      </w:r>
      <w:r w:rsidRPr="0045724C">
        <w:rPr>
          <w:rFonts w:ascii="Arial" w:hAnsi="Arial" w:cs="Arial"/>
          <w:lang w:eastAsia="ja-JP"/>
        </w:rPr>
        <w:t xml:space="preserve"> En prensa.  </w:t>
      </w:r>
    </w:p>
    <w:p w:rsidR="00671514" w:rsidRPr="00124CEF" w:rsidRDefault="00671514" w:rsidP="00671514">
      <w:pPr>
        <w:pStyle w:val="Prrafodelista"/>
        <w:widowControl w:val="0"/>
        <w:numPr>
          <w:ilvl w:val="0"/>
          <w:numId w:val="51"/>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right="-234"/>
        <w:jc w:val="both"/>
        <w:rPr>
          <w:rFonts w:ascii="Helvetica" w:hAnsi="Helvetica" w:cs="Helvetica"/>
          <w:lang w:eastAsia="ja-JP"/>
        </w:rPr>
      </w:pPr>
      <w:r w:rsidRPr="0045724C">
        <w:rPr>
          <w:rFonts w:ascii="Arial" w:hAnsi="Arial" w:cs="Arial"/>
          <w:lang w:eastAsia="ja-JP"/>
        </w:rPr>
        <w:t xml:space="preserve">Ciceri, H.N y Soto-Rodea, J., </w:t>
      </w:r>
      <w:r w:rsidRPr="0045724C">
        <w:rPr>
          <w:rFonts w:ascii="Arial" w:hAnsi="Arial" w:cs="Arial"/>
          <w:i/>
          <w:iCs/>
          <w:lang w:eastAsia="ja-JP"/>
        </w:rPr>
        <w:t xml:space="preserve">“Economic and social impact of the illicit substraction of gasolines: the </w:t>
      </w:r>
      <w:r w:rsidRPr="0045724C">
        <w:rPr>
          <w:rFonts w:ascii="Arial" w:hAnsi="Arial" w:cs="Arial"/>
          <w:i/>
          <w:iCs/>
          <w:lang w:eastAsia="ja-JP"/>
        </w:rPr>
        <w:lastRenderedPageBreak/>
        <w:t xml:space="preserve">case of </w:t>
      </w:r>
      <w:r>
        <w:rPr>
          <w:rFonts w:ascii="Arial" w:hAnsi="Arial" w:cs="Arial"/>
          <w:i/>
          <w:iCs/>
          <w:lang w:eastAsia="ja-JP"/>
        </w:rPr>
        <w:t>M</w:t>
      </w:r>
      <w:r w:rsidRPr="0045724C">
        <w:rPr>
          <w:rFonts w:ascii="Arial" w:hAnsi="Arial" w:cs="Arial"/>
          <w:i/>
          <w:iCs/>
          <w:lang w:eastAsia="ja-JP"/>
        </w:rPr>
        <w:t>exico”</w:t>
      </w:r>
      <w:r w:rsidRPr="0045724C">
        <w:rPr>
          <w:rFonts w:ascii="Arial" w:hAnsi="Arial" w:cs="Arial"/>
          <w:lang w:eastAsia="ja-JP"/>
        </w:rPr>
        <w:t xml:space="preserve"> 2020, aceptado para publicación, mayo de 2020. </w:t>
      </w:r>
    </w:p>
    <w:p w:rsidR="00671514" w:rsidRPr="007427C7" w:rsidRDefault="00671514" w:rsidP="00671514">
      <w:pPr>
        <w:pStyle w:val="Prrafodelista"/>
        <w:widowControl w:val="0"/>
        <w:numPr>
          <w:ilvl w:val="0"/>
          <w:numId w:val="51"/>
        </w:numPr>
        <w:tabs>
          <w:tab w:val="left" w:pos="142"/>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right="-234"/>
        <w:jc w:val="both"/>
        <w:rPr>
          <w:rFonts w:ascii="Helvetica" w:hAnsi="Helvetica" w:cs="Helvetica"/>
          <w:lang w:eastAsia="ja-JP"/>
        </w:rPr>
      </w:pPr>
      <w:r w:rsidRPr="007427C7">
        <w:rPr>
          <w:rFonts w:ascii="Arial" w:hAnsi="Arial" w:cs="Arial"/>
          <w:lang w:val="en-GB" w:eastAsia="ja-JP"/>
        </w:rPr>
        <w:t xml:space="preserve">Ralby, I.M. 2018. Downstream oil theft: Global modalities, Trends and Remedies. </w:t>
      </w:r>
      <w:r w:rsidRPr="007427C7">
        <w:rPr>
          <w:rFonts w:ascii="Arial" w:hAnsi="Arial" w:cs="Arial"/>
          <w:i/>
          <w:iCs/>
          <w:lang w:eastAsia="ja-JP"/>
        </w:rPr>
        <w:t>Atlantic Council Global Energy Center</w:t>
      </w:r>
      <w:r w:rsidRPr="007427C7">
        <w:rPr>
          <w:rFonts w:ascii="Arial" w:hAnsi="Arial" w:cs="Arial"/>
          <w:lang w:eastAsia="ja-JP"/>
        </w:rPr>
        <w:t>, 2017. https://www.gob.mx/presidencia/prensa/conferencia-de-prensa-del-</w:t>
      </w:r>
      <w:r w:rsidRPr="007427C7">
        <w:rPr>
          <w:rFonts w:ascii="Helvetica" w:hAnsi="Helvetica" w:cs="Helvetica"/>
          <w:lang w:eastAsia="ja-JP"/>
        </w:rPr>
        <w:t xml:space="preserve"> </w:t>
      </w:r>
      <w:r w:rsidRPr="007427C7">
        <w:rPr>
          <w:rFonts w:ascii="Arial" w:hAnsi="Arial" w:cs="Arial"/>
          <w:lang w:eastAsia="ja-JP"/>
        </w:rPr>
        <w:t>presidente-andres-obrador-27-de-diciembre-2018, (consultado el 12 de julio del 2019); Fondo Monetario Internacional y datosmacro.com y https://dprom.online/oilngas/sejchas-kak-vrezhu-ili-problema-hishheniya-</w:t>
      </w:r>
      <w:r w:rsidRPr="007427C7">
        <w:rPr>
          <w:rFonts w:ascii="Helvetica" w:hAnsi="Helvetica" w:cs="Helvetica"/>
          <w:lang w:eastAsia="ja-JP"/>
        </w:rPr>
        <w:t xml:space="preserve"> </w:t>
      </w:r>
      <w:r w:rsidRPr="007427C7">
        <w:rPr>
          <w:rFonts w:ascii="Arial" w:hAnsi="Arial" w:cs="Arial"/>
          <w:lang w:eastAsia="ja-JP"/>
        </w:rPr>
        <w:t xml:space="preserve">nefti-v-rossii/, (consultados el 7 de abril de 2020, en ruso). </w:t>
      </w:r>
    </w:p>
    <w:p w:rsidR="00671514" w:rsidRPr="0045724C" w:rsidRDefault="00671514" w:rsidP="00671514">
      <w:pPr>
        <w:pStyle w:val="Prrafodelista"/>
        <w:widowControl w:val="0"/>
        <w:numPr>
          <w:ilvl w:val="0"/>
          <w:numId w:val="51"/>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right="-234"/>
        <w:jc w:val="both"/>
        <w:rPr>
          <w:rFonts w:ascii="Helvetica" w:hAnsi="Helvetica" w:cs="Helvetica"/>
          <w:lang w:eastAsia="ja-JP"/>
        </w:rPr>
      </w:pPr>
      <w:r w:rsidRPr="0045724C">
        <w:rPr>
          <w:rFonts w:ascii="Arial" w:hAnsi="Arial" w:cs="Arial"/>
          <w:lang w:eastAsia="ja-JP"/>
        </w:rPr>
        <w:t xml:space="preserve">Ciceri, H.N. 1994. </w:t>
      </w:r>
      <w:r w:rsidRPr="0045724C">
        <w:rPr>
          <w:rFonts w:ascii="Arial" w:hAnsi="Arial" w:cs="Arial"/>
          <w:i/>
          <w:iCs/>
          <w:lang w:eastAsia="ja-JP"/>
        </w:rPr>
        <w:t>Teorización sobre la fluidez contextual y la toma de decisiones</w:t>
      </w:r>
      <w:r w:rsidRPr="0045724C">
        <w:rPr>
          <w:rFonts w:ascii="Arial" w:hAnsi="Arial" w:cs="Arial"/>
          <w:lang w:eastAsia="ja-JP"/>
        </w:rPr>
        <w:t xml:space="preserve">. Ver: El caso de Vitro S.A, capítulo 7, p. 133. </w:t>
      </w:r>
      <w:r w:rsidRPr="0045724C">
        <w:rPr>
          <w:rFonts w:ascii="Arial" w:hAnsi="Arial" w:cs="Arial"/>
          <w:i/>
          <w:iCs/>
          <w:lang w:eastAsia="ja-JP"/>
        </w:rPr>
        <w:t>University of California San Diego, UCSD, La Joya</w:t>
      </w:r>
      <w:r w:rsidRPr="0045724C">
        <w:rPr>
          <w:rFonts w:ascii="Arial" w:hAnsi="Arial" w:cs="Arial"/>
          <w:lang w:eastAsia="ja-JP"/>
        </w:rPr>
        <w:t>. Abordar una estrategia de esta naturaleza requiere una habilidad de conducción política y de ejecución superior, ya que los diversos actores van reacc</w:t>
      </w:r>
      <w:r>
        <w:rPr>
          <w:rFonts w:ascii="Arial" w:hAnsi="Arial" w:cs="Arial"/>
          <w:lang w:eastAsia="ja-JP"/>
        </w:rPr>
        <w:t>ionando y le confieren a la planeación de las mismas u</w:t>
      </w:r>
      <w:r w:rsidRPr="0045724C">
        <w:rPr>
          <w:rFonts w:ascii="Arial" w:hAnsi="Arial" w:cs="Arial"/>
          <w:lang w:eastAsia="ja-JP"/>
        </w:rPr>
        <w:t xml:space="preserve">n estado de fluidez contextual es una situación que se produce en el macro entorno  -macro contexto- donde los cambios se caracterizan por tener discontinuidades. En otras palabras las mediaciones que existen en entornos estables </w:t>
      </w:r>
      <w:r>
        <w:rPr>
          <w:rFonts w:ascii="Arial" w:hAnsi="Arial" w:cs="Arial"/>
          <w:lang w:eastAsia="ja-JP"/>
        </w:rPr>
        <w:t xml:space="preserve">en relación </w:t>
      </w:r>
      <w:r w:rsidRPr="0045724C">
        <w:rPr>
          <w:rFonts w:ascii="Arial" w:hAnsi="Arial" w:cs="Arial"/>
          <w:lang w:eastAsia="ja-JP"/>
        </w:rPr>
        <w:t xml:space="preserve">con la toma de decisiones concretas se ven alteradas.  </w:t>
      </w:r>
    </w:p>
    <w:p w:rsidR="00671514" w:rsidRPr="005171B0" w:rsidRDefault="00671514" w:rsidP="00671514">
      <w:pPr>
        <w:pStyle w:val="Prrafodelista"/>
        <w:widowControl w:val="0"/>
        <w:numPr>
          <w:ilvl w:val="0"/>
          <w:numId w:val="51"/>
        </w:numPr>
        <w:tabs>
          <w:tab w:val="left" w:pos="284"/>
          <w:tab w:val="left" w:pos="426"/>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ight="-234"/>
        <w:jc w:val="both"/>
        <w:rPr>
          <w:rFonts w:ascii="Arial" w:hAnsi="Arial" w:cs="Arial"/>
          <w:sz w:val="22"/>
          <w:szCs w:val="22"/>
          <w:lang w:eastAsia="ja-JP"/>
        </w:rPr>
      </w:pPr>
      <w:r>
        <w:rPr>
          <w:rFonts w:ascii="Arial" w:hAnsi="Arial" w:cs="Arial"/>
          <w:lang w:eastAsia="ja-JP"/>
        </w:rPr>
        <w:tab/>
      </w:r>
      <w:r w:rsidRPr="005171B0">
        <w:rPr>
          <w:rFonts w:ascii="Arial" w:hAnsi="Arial" w:cs="Arial"/>
          <w:lang w:eastAsia="ja-JP"/>
        </w:rPr>
        <w:t xml:space="preserve">PEMEX. 2019. Sistema de Monitoreo Automatizado del Empaque (SMAE). Reporte por desviación del mercado ilícito de combustible, cálculos hechos por PEMEX. Información interna. Ciudad de México, México. </w:t>
      </w:r>
    </w:p>
    <w:p w:rsidR="00671514" w:rsidRDefault="00671514" w:rsidP="0049551D">
      <w:pPr>
        <w:rPr>
          <w:lang w:val="en-US"/>
        </w:rPr>
      </w:pPr>
    </w:p>
    <w:p w:rsidR="00671514" w:rsidRDefault="00671514" w:rsidP="0049551D">
      <w:pPr>
        <w:rPr>
          <w:lang w:val="en-US"/>
        </w:rPr>
      </w:pPr>
    </w:p>
    <w:p w:rsidR="00776774" w:rsidRPr="00776774" w:rsidRDefault="00776774" w:rsidP="00776774">
      <w:pPr>
        <w:pStyle w:val="1Titulo"/>
        <w:numPr>
          <w:ilvl w:val="0"/>
          <w:numId w:val="0"/>
        </w:numPr>
        <w:ind w:left="357"/>
        <w:rPr>
          <w:rFonts w:cs="Times New Roman"/>
          <w:color w:val="000000"/>
          <w:sz w:val="28"/>
          <w:szCs w:val="28"/>
          <w:lang w:val="es-ES"/>
        </w:rPr>
      </w:pPr>
      <w:bookmarkStart w:id="341" w:name="_Toc50031388"/>
      <w:r w:rsidRPr="00776774">
        <w:rPr>
          <w:sz w:val="28"/>
          <w:szCs w:val="28"/>
        </w:rPr>
        <w:t>Detección de movimiento usando una tarjeta Arty Z7-10 y OpenCV</w:t>
      </w:r>
      <w:bookmarkEnd w:id="341"/>
    </w:p>
    <w:p w:rsidR="00776774" w:rsidRDefault="00776774" w:rsidP="00776774">
      <w:pPr>
        <w:jc w:val="center"/>
        <w:rPr>
          <w:rFonts w:eastAsia="Batang" w:cs="Times New Roman"/>
          <w:color w:val="000000"/>
          <w:sz w:val="28"/>
          <w:szCs w:val="28"/>
        </w:rPr>
      </w:pPr>
    </w:p>
    <w:p w:rsidR="00776774" w:rsidRDefault="00776774" w:rsidP="00776774">
      <w:pPr>
        <w:pStyle w:val="Author"/>
        <w:rPr>
          <w:rFonts w:ascii="Arial" w:hAnsi="Arial" w:cs="Arial"/>
          <w:sz w:val="24"/>
          <w:szCs w:val="24"/>
          <w:vertAlign w:val="superscript"/>
          <w:lang w:val="es-ES"/>
        </w:rPr>
      </w:pPr>
      <w:r>
        <w:rPr>
          <w:rFonts w:ascii="Arial" w:hAnsi="Arial" w:cs="Arial"/>
          <w:szCs w:val="24"/>
          <w:u w:val="single"/>
          <w:lang w:val="es-ES"/>
        </w:rPr>
        <w:t>Vega-Luna, J. I.</w:t>
      </w:r>
      <w:r>
        <w:rPr>
          <w:rFonts w:ascii="Arial" w:hAnsi="Arial" w:cs="Arial"/>
          <w:szCs w:val="24"/>
          <w:vertAlign w:val="superscript"/>
          <w:lang w:val="es-ES"/>
        </w:rPr>
        <w:t>1</w:t>
      </w:r>
      <w:r>
        <w:rPr>
          <w:rFonts w:ascii="Arial" w:hAnsi="Arial" w:cs="Arial"/>
          <w:szCs w:val="24"/>
          <w:lang w:val="es-ES"/>
        </w:rPr>
        <w:t>, Salgado-Guzmán, G.</w:t>
      </w:r>
      <w:r>
        <w:rPr>
          <w:rFonts w:ascii="Arial" w:hAnsi="Arial" w:cs="Arial"/>
          <w:szCs w:val="24"/>
          <w:vertAlign w:val="superscript"/>
          <w:lang w:val="es-ES"/>
        </w:rPr>
        <w:t xml:space="preserve"> 1</w:t>
      </w:r>
      <w:r>
        <w:rPr>
          <w:rFonts w:ascii="Arial" w:hAnsi="Arial" w:cs="Arial"/>
          <w:szCs w:val="24"/>
          <w:lang w:val="es-ES"/>
        </w:rPr>
        <w:t>, Cosme-Aceves, J. F.</w:t>
      </w:r>
      <w:r>
        <w:rPr>
          <w:rFonts w:ascii="Arial" w:hAnsi="Arial" w:cs="Arial"/>
          <w:szCs w:val="24"/>
          <w:vertAlign w:val="superscript"/>
          <w:lang w:val="es-ES"/>
        </w:rPr>
        <w:t xml:space="preserve"> 1</w:t>
      </w:r>
      <w:r>
        <w:rPr>
          <w:rFonts w:ascii="Arial" w:hAnsi="Arial" w:cs="Arial"/>
          <w:szCs w:val="24"/>
          <w:lang w:val="es-ES"/>
        </w:rPr>
        <w:t>, Tapia-Vargas, V. N.</w:t>
      </w:r>
      <w:r>
        <w:rPr>
          <w:rFonts w:ascii="Arial" w:hAnsi="Arial" w:cs="Arial"/>
          <w:szCs w:val="24"/>
          <w:vertAlign w:val="superscript"/>
          <w:lang w:val="es-ES"/>
        </w:rPr>
        <w:t xml:space="preserve"> 1</w:t>
      </w:r>
      <w:r>
        <w:rPr>
          <w:rFonts w:ascii="Arial" w:hAnsi="Arial" w:cs="Arial"/>
          <w:szCs w:val="24"/>
          <w:lang w:val="es-ES"/>
        </w:rPr>
        <w:t>, Sánchez-Rangel, F. J.</w:t>
      </w:r>
      <w:r>
        <w:rPr>
          <w:rFonts w:ascii="Arial" w:hAnsi="Arial" w:cs="Arial"/>
          <w:szCs w:val="24"/>
          <w:vertAlign w:val="superscript"/>
          <w:lang w:val="es-ES"/>
        </w:rPr>
        <w:t xml:space="preserve"> 1</w:t>
      </w:r>
      <w:r>
        <w:rPr>
          <w:rFonts w:ascii="Arial" w:hAnsi="Arial" w:cs="Arial"/>
          <w:szCs w:val="24"/>
          <w:lang w:val="es-ES"/>
        </w:rPr>
        <w:t>, Lagos-Acosta, M. A.</w:t>
      </w:r>
      <w:r>
        <w:rPr>
          <w:rFonts w:ascii="Arial" w:hAnsi="Arial" w:cs="Arial"/>
          <w:szCs w:val="24"/>
          <w:vertAlign w:val="superscript"/>
          <w:lang w:val="es-ES"/>
        </w:rPr>
        <w:t xml:space="preserve"> 1</w:t>
      </w:r>
    </w:p>
    <w:p w:rsidR="00776774" w:rsidRDefault="00776774" w:rsidP="00776774">
      <w:pPr>
        <w:pStyle w:val="Author"/>
        <w:rPr>
          <w:rFonts w:ascii="Arial" w:hAnsi="Arial" w:cs="Arial"/>
          <w:szCs w:val="24"/>
          <w:lang w:val="es-ES"/>
        </w:rPr>
      </w:pPr>
      <w:r>
        <w:rPr>
          <w:rFonts w:ascii="Arial" w:hAnsi="Arial" w:cs="Arial"/>
          <w:szCs w:val="24"/>
          <w:vertAlign w:val="superscript"/>
          <w:lang w:val="es-ES"/>
        </w:rPr>
        <w:t>1</w:t>
      </w:r>
      <w:r>
        <w:rPr>
          <w:rFonts w:ascii="Arial" w:hAnsi="Arial" w:cs="Arial"/>
          <w:szCs w:val="24"/>
          <w:lang w:val="es-ES"/>
        </w:rPr>
        <w:t>Área de Sistemas Digitales, Departamento de Electrónica, Universidad Autónoma Metropolitana-Azcapotzalco, Av. San Pablo 180, Col. Reynosa, Ciudad de México, 02200.</w:t>
      </w:r>
    </w:p>
    <w:p w:rsidR="00776774" w:rsidRPr="00776774" w:rsidRDefault="001345E4" w:rsidP="00776774">
      <w:pPr>
        <w:pStyle w:val="affiliation"/>
        <w:rPr>
          <w:rFonts w:ascii="Arial" w:hAnsi="Arial" w:cs="Arial"/>
          <w:sz w:val="24"/>
          <w:szCs w:val="24"/>
          <w:lang w:val="es-ES"/>
        </w:rPr>
      </w:pPr>
      <w:hyperlink r:id="rId1215" w:history="1">
        <w:r w:rsidR="00776774" w:rsidRPr="00776774">
          <w:rPr>
            <w:rStyle w:val="Hipervnculo"/>
            <w:rFonts w:ascii="Arial" w:eastAsiaTheme="majorEastAsia" w:hAnsi="Arial" w:cs="Arial"/>
            <w:color w:val="auto"/>
            <w:sz w:val="24"/>
            <w:szCs w:val="24"/>
            <w:lang w:val="es-ES"/>
          </w:rPr>
          <w:t>vlji@azc.uam.mx</w:t>
        </w:r>
      </w:hyperlink>
      <w:r w:rsidR="00776774" w:rsidRPr="00776774">
        <w:rPr>
          <w:rFonts w:ascii="Arial" w:hAnsi="Arial" w:cs="Arial"/>
          <w:sz w:val="24"/>
          <w:szCs w:val="24"/>
          <w:lang w:val="es-ES"/>
        </w:rPr>
        <w:t xml:space="preserve">, </w:t>
      </w:r>
      <w:hyperlink r:id="rId1216" w:history="1">
        <w:r w:rsidR="00776774" w:rsidRPr="00776774">
          <w:rPr>
            <w:rStyle w:val="Hipervnculo"/>
            <w:rFonts w:ascii="Arial" w:eastAsiaTheme="majorEastAsia" w:hAnsi="Arial" w:cs="Arial"/>
            <w:color w:val="auto"/>
            <w:sz w:val="24"/>
            <w:szCs w:val="24"/>
            <w:lang w:val="es-ES"/>
          </w:rPr>
          <w:t>gsg@azc.uam.mx</w:t>
        </w:r>
      </w:hyperlink>
      <w:r w:rsidR="00776774" w:rsidRPr="00776774">
        <w:rPr>
          <w:rFonts w:ascii="Arial" w:hAnsi="Arial" w:cs="Arial"/>
          <w:sz w:val="24"/>
          <w:szCs w:val="24"/>
          <w:lang w:val="es-ES"/>
        </w:rPr>
        <w:t xml:space="preserve">, </w:t>
      </w:r>
      <w:hyperlink r:id="rId1217" w:history="1">
        <w:r w:rsidR="00776774" w:rsidRPr="00776774">
          <w:rPr>
            <w:rStyle w:val="Hipervnculo"/>
            <w:rFonts w:ascii="Arial" w:eastAsiaTheme="majorEastAsia" w:hAnsi="Arial" w:cs="Arial"/>
            <w:color w:val="auto"/>
            <w:sz w:val="24"/>
            <w:szCs w:val="24"/>
            <w:lang w:val="es-ES"/>
          </w:rPr>
          <w:t>cajf@azc.uam.mx</w:t>
        </w:r>
      </w:hyperlink>
      <w:r w:rsidR="00776774" w:rsidRPr="00776774">
        <w:rPr>
          <w:rFonts w:ascii="Arial" w:hAnsi="Arial" w:cs="Arial"/>
          <w:sz w:val="24"/>
          <w:szCs w:val="24"/>
          <w:lang w:val="es-ES"/>
        </w:rPr>
        <w:t xml:space="preserve">, </w:t>
      </w:r>
      <w:hyperlink r:id="rId1218" w:history="1">
        <w:r w:rsidR="00776774" w:rsidRPr="00776774">
          <w:rPr>
            <w:rStyle w:val="Hipervnculo"/>
            <w:rFonts w:ascii="Arial" w:eastAsiaTheme="majorEastAsia" w:hAnsi="Arial" w:cs="Arial"/>
            <w:color w:val="auto"/>
            <w:sz w:val="24"/>
            <w:szCs w:val="24"/>
            <w:lang w:val="es-ES"/>
          </w:rPr>
          <w:t>vtapia@azc.uam.mx</w:t>
        </w:r>
      </w:hyperlink>
      <w:r w:rsidR="00776774" w:rsidRPr="00776774">
        <w:rPr>
          <w:rFonts w:ascii="Arial" w:hAnsi="Arial" w:cs="Arial"/>
          <w:sz w:val="24"/>
          <w:szCs w:val="24"/>
          <w:lang w:val="es-ES"/>
        </w:rPr>
        <w:t xml:space="preserve">, </w:t>
      </w:r>
      <w:hyperlink r:id="rId1219" w:history="1">
        <w:r w:rsidR="00776774" w:rsidRPr="00776774">
          <w:rPr>
            <w:rStyle w:val="Hipervnculo"/>
            <w:rFonts w:ascii="Arial" w:eastAsiaTheme="majorEastAsia" w:hAnsi="Arial" w:cs="Arial"/>
            <w:color w:val="auto"/>
            <w:sz w:val="24"/>
            <w:szCs w:val="24"/>
            <w:lang w:val="es-ES"/>
          </w:rPr>
          <w:t>fjsr@azc.uam.mx</w:t>
        </w:r>
      </w:hyperlink>
      <w:r w:rsidR="00776774" w:rsidRPr="00776774">
        <w:rPr>
          <w:rFonts w:ascii="Arial" w:hAnsi="Arial" w:cs="Arial"/>
          <w:sz w:val="24"/>
          <w:szCs w:val="24"/>
          <w:lang w:val="es-ES"/>
        </w:rPr>
        <w:t xml:space="preserve">, </w:t>
      </w:r>
      <w:hyperlink r:id="rId1220" w:history="1">
        <w:r w:rsidR="00776774" w:rsidRPr="00776774">
          <w:rPr>
            <w:rStyle w:val="Hipervnculo"/>
            <w:rFonts w:ascii="Arial" w:eastAsiaTheme="majorEastAsia" w:hAnsi="Arial" w:cs="Arial"/>
            <w:color w:val="auto"/>
            <w:sz w:val="24"/>
            <w:szCs w:val="24"/>
            <w:lang w:val="es-ES"/>
          </w:rPr>
          <w:t>mlagos@azc.uam.mx</w:t>
        </w:r>
      </w:hyperlink>
    </w:p>
    <w:p w:rsidR="00776774" w:rsidRDefault="00776774" w:rsidP="00776774">
      <w:pPr>
        <w:pStyle w:val="affiliation"/>
        <w:rPr>
          <w:rFonts w:ascii="Arial" w:eastAsia="Batang" w:hAnsi="Arial" w:cs="Arial"/>
          <w:b/>
          <w:bCs/>
          <w:i/>
          <w:iCs/>
          <w:caps/>
          <w:sz w:val="24"/>
          <w:szCs w:val="24"/>
          <w:lang w:val="es-ES"/>
        </w:rPr>
      </w:pPr>
    </w:p>
    <w:p w:rsidR="00776774" w:rsidRPr="00776774" w:rsidRDefault="00776774" w:rsidP="00776774">
      <w:pPr>
        <w:pStyle w:val="Ttulo1"/>
        <w:keepLines w:val="0"/>
        <w:numPr>
          <w:ilvl w:val="0"/>
          <w:numId w:val="36"/>
        </w:numPr>
        <w:tabs>
          <w:tab w:val="clear" w:pos="432"/>
          <w:tab w:val="left" w:pos="0"/>
        </w:tabs>
        <w:suppressAutoHyphens/>
        <w:spacing w:before="0" w:after="0" w:line="360" w:lineRule="auto"/>
        <w:ind w:left="0" w:firstLine="0"/>
        <w:rPr>
          <w:rFonts w:ascii="Arial" w:eastAsia="Batang" w:hAnsi="Arial" w:cs="Arial"/>
          <w:b/>
          <w:bCs/>
          <w:i/>
          <w:iCs/>
          <w:color w:val="000000"/>
          <w:sz w:val="24"/>
          <w:szCs w:val="24"/>
        </w:rPr>
      </w:pPr>
      <w:bookmarkStart w:id="342" w:name="_Toc50031389"/>
      <w:r w:rsidRPr="00776774">
        <w:rPr>
          <w:rFonts w:ascii="Arial" w:hAnsi="Arial" w:cs="Arial"/>
          <w:i/>
          <w:caps/>
          <w:sz w:val="24"/>
          <w:szCs w:val="24"/>
        </w:rPr>
        <w:t>1. R</w:t>
      </w:r>
      <w:r w:rsidRPr="00776774">
        <w:rPr>
          <w:rFonts w:ascii="Arial" w:hAnsi="Arial" w:cs="Arial"/>
          <w:i/>
          <w:sz w:val="24"/>
          <w:szCs w:val="24"/>
        </w:rPr>
        <w:t>esumen</w:t>
      </w:r>
      <w:bookmarkEnd w:id="342"/>
      <w:r w:rsidRPr="00776774">
        <w:rPr>
          <w:rFonts w:ascii="Arial" w:hAnsi="Arial" w:cs="Arial"/>
          <w:i/>
          <w:caps/>
          <w:sz w:val="24"/>
          <w:szCs w:val="24"/>
        </w:rPr>
        <w:t xml:space="preserve"> </w:t>
      </w:r>
    </w:p>
    <w:p w:rsidR="00776774" w:rsidRDefault="00776774" w:rsidP="00776774">
      <w:pPr>
        <w:ind w:firstLine="567"/>
        <w:jc w:val="both"/>
        <w:rPr>
          <w:rFonts w:ascii="Arial" w:hAnsi="Arial" w:cs="Arial"/>
        </w:rPr>
      </w:pPr>
      <w:r>
        <w:rPr>
          <w:rFonts w:ascii="Arial" w:hAnsi="Arial" w:cs="Arial"/>
          <w:color w:val="000000"/>
        </w:rPr>
        <w:t xml:space="preserve">El objetivo de este trabajo fue realizar un sistema de detección de movimiento en la puerta de acceso de un centro de datos. El sistema almacena las imágenes de la escena al detectar movimiento y las transmite al servidor de video vigilancia para su registro. Se desarrolló usando una tarjeta Arty Z7-10, Python, bibliotecas de OpenCV y una cámara de video. El método usado para la detección fue el de sustracción de fondo. El uso del sistema es para visualizar en los archivos de video vigilancia los momentos donde ocurre el acceso. Las pruebas realizadas mostraron que el tiempo de respuesta del sistema fue 100.3 ms. A partir de los resultados logrados, el sistema puede usarse en otro tipo de instalaciones o aplicaciones de tiempo real. </w:t>
      </w:r>
    </w:p>
    <w:p w:rsidR="00776774" w:rsidRDefault="00776774" w:rsidP="00776774">
      <w:pPr>
        <w:ind w:firstLine="567"/>
        <w:jc w:val="both"/>
        <w:rPr>
          <w:rFonts w:ascii="Arial" w:hAnsi="Arial" w:cs="Arial"/>
        </w:rPr>
      </w:pPr>
    </w:p>
    <w:p w:rsidR="00776774" w:rsidRPr="00C20C0F" w:rsidRDefault="00776774" w:rsidP="00776774">
      <w:pPr>
        <w:pStyle w:val="Ttulo1"/>
        <w:keepLines w:val="0"/>
        <w:numPr>
          <w:ilvl w:val="0"/>
          <w:numId w:val="36"/>
        </w:numPr>
        <w:tabs>
          <w:tab w:val="clear" w:pos="432"/>
          <w:tab w:val="left" w:pos="0"/>
        </w:tabs>
        <w:suppressAutoHyphens/>
        <w:spacing w:before="0" w:after="0" w:line="360" w:lineRule="auto"/>
        <w:ind w:left="0" w:firstLine="0"/>
        <w:rPr>
          <w:rFonts w:ascii="Arial" w:hAnsi="Arial" w:cs="Arial"/>
          <w:caps/>
          <w:sz w:val="24"/>
          <w:szCs w:val="24"/>
          <w:lang w:eastAsia="ko-KR"/>
        </w:rPr>
      </w:pPr>
      <w:bookmarkStart w:id="343" w:name="_Toc50031390"/>
      <w:r w:rsidRPr="00C20C0F">
        <w:rPr>
          <w:rFonts w:ascii="Arial" w:hAnsi="Arial" w:cs="Arial"/>
          <w:i/>
          <w:caps/>
          <w:sz w:val="24"/>
          <w:szCs w:val="24"/>
        </w:rPr>
        <w:lastRenderedPageBreak/>
        <w:t>2. I</w:t>
      </w:r>
      <w:r w:rsidRPr="00C20C0F">
        <w:rPr>
          <w:rFonts w:ascii="Arial" w:hAnsi="Arial" w:cs="Arial"/>
          <w:i/>
          <w:sz w:val="24"/>
          <w:szCs w:val="24"/>
        </w:rPr>
        <w:t>ntroducción</w:t>
      </w:r>
      <w:bookmarkEnd w:id="343"/>
      <w:r w:rsidRPr="00C20C0F">
        <w:rPr>
          <w:rFonts w:ascii="Arial" w:hAnsi="Arial" w:cs="Arial"/>
          <w:i/>
          <w:caps/>
          <w:sz w:val="24"/>
          <w:szCs w:val="24"/>
        </w:rPr>
        <w:t xml:space="preserve"> </w:t>
      </w:r>
    </w:p>
    <w:p w:rsidR="00776774" w:rsidRDefault="00776774" w:rsidP="00776774">
      <w:pPr>
        <w:ind w:firstLine="539"/>
        <w:jc w:val="both"/>
        <w:rPr>
          <w:rFonts w:ascii="Arial" w:hAnsi="Arial" w:cs="Arial"/>
          <w:color w:val="000000"/>
        </w:rPr>
      </w:pPr>
      <w:r>
        <w:rPr>
          <w:rFonts w:ascii="Arial" w:hAnsi="Arial" w:cs="Arial"/>
          <w:color w:val="000000"/>
        </w:rPr>
        <w:t xml:space="preserve">En un centro de datos, o centro de procesamiento de datos (CPD), se encuentran instalados los recursos informáticos para el procesamiento, almacenamiento y transmisión de la información de empresas y organizaciones. Uno de los aspectos fundamentales en la operación de un CPD es la seguridad. Ésta tiene como objetivo garantizar la integridad de la información y acceso confiable a instalaciones y equipo, ya que de esto depende la continuidad del negocio de clientes y usuarios. La seguridad de un CPD incluye tanto el aspecto físico como el lógico. El primero se ocupa del acceso físico para reducir o evitar intrusiones a las instalaciones del CPD y salas de equipo al CPD, mientras que seguridad lógica trata de protección de la información. El acceso a las salas está controlado estrictamente y solo puede entrar personal de mantenimiento y operaciones ya que representan la capa más alta en cuanto al funcionamiento y nivel de protección del CPD </w:t>
      </w:r>
      <w:r>
        <w:rPr>
          <w:rFonts w:ascii="Arial" w:hAnsi="Arial" w:cs="Arial"/>
          <w:color w:val="000000"/>
          <w:vertAlign w:val="superscript"/>
        </w:rPr>
        <w:t>[1]</w:t>
      </w:r>
      <w:r>
        <w:rPr>
          <w:rFonts w:ascii="Arial" w:hAnsi="Arial" w:cs="Arial"/>
          <w:color w:val="000000"/>
        </w:rPr>
        <w:t>.</w:t>
      </w:r>
    </w:p>
    <w:p w:rsidR="00776774" w:rsidRDefault="00776774" w:rsidP="00776774">
      <w:pPr>
        <w:ind w:firstLine="539"/>
        <w:jc w:val="both"/>
        <w:rPr>
          <w:rFonts w:ascii="Arial" w:hAnsi="Arial" w:cs="Arial"/>
          <w:color w:val="000000"/>
        </w:rPr>
      </w:pPr>
      <w:r>
        <w:rPr>
          <w:rFonts w:ascii="Arial" w:hAnsi="Arial" w:cs="Arial"/>
          <w:color w:val="000000"/>
        </w:rPr>
        <w:t xml:space="preserve">Existen diferentes mecanismos de control y monitoreo en el acceso físico a las sala de equipo de un CPD, entre los que se encuentran: dispositivos biométricos, tarjetas magnéticas y electrónicas y sistemas de video vigilancia o de circuito cerrado de TV (CCTV). Los CCTV operan permanentemente y registran la señal de video tanto en la entrada como en el interior de las salas de equipo </w:t>
      </w:r>
      <w:r>
        <w:rPr>
          <w:rFonts w:ascii="Arial" w:hAnsi="Arial" w:cs="Arial"/>
          <w:color w:val="000000"/>
          <w:vertAlign w:val="superscript"/>
        </w:rPr>
        <w:t>[2]</w:t>
      </w:r>
      <w:r>
        <w:rPr>
          <w:rFonts w:ascii="Arial" w:hAnsi="Arial" w:cs="Arial"/>
          <w:color w:val="000000"/>
        </w:rPr>
        <w:t>.</w:t>
      </w:r>
    </w:p>
    <w:p w:rsidR="00776774" w:rsidRDefault="00776774" w:rsidP="00776774">
      <w:pPr>
        <w:ind w:firstLine="539"/>
        <w:jc w:val="both"/>
        <w:rPr>
          <w:rFonts w:ascii="Arial" w:hAnsi="Arial" w:cs="Arial"/>
          <w:color w:val="000000"/>
        </w:rPr>
      </w:pPr>
      <w:r>
        <w:rPr>
          <w:rFonts w:ascii="Arial" w:hAnsi="Arial" w:cs="Arial"/>
          <w:color w:val="000000"/>
        </w:rPr>
        <w:t xml:space="preserve">Los procedimientos y medios de control de acceso de un CPD son uno de los aspectos que son auditados por instituciones y empresas que certifican la calidad de servicios del CPD. Esto permite a los clientes tener certeza y confianza que el CPD cumple con estrictas normas y estándares en su operación </w:t>
      </w:r>
      <w:r>
        <w:rPr>
          <w:rFonts w:ascii="Arial" w:hAnsi="Arial" w:cs="Arial"/>
          <w:vertAlign w:val="superscript"/>
        </w:rPr>
        <w:t>[3]</w:t>
      </w:r>
      <w:r>
        <w:rPr>
          <w:rFonts w:ascii="Arial" w:hAnsi="Arial" w:cs="Arial"/>
          <w:color w:val="000000"/>
        </w:rPr>
        <w:t xml:space="preserve">. Las certificaciones exigen que los responsables del CPD tengan siempre disponibles en cualquier momento los archivos de registro de video del CCTV y el procedimiento usado para indicar en ellos la hora en que las personas entran y salen de las salas de equipo durante el día </w:t>
      </w:r>
      <w:r>
        <w:rPr>
          <w:rFonts w:ascii="Arial" w:hAnsi="Arial" w:cs="Arial"/>
          <w:vertAlign w:val="superscript"/>
        </w:rPr>
        <w:t>[4]</w:t>
      </w:r>
      <w:r>
        <w:rPr>
          <w:rFonts w:ascii="Arial" w:hAnsi="Arial" w:cs="Arial"/>
          <w:color w:val="000000"/>
        </w:rPr>
        <w:t>.</w:t>
      </w:r>
    </w:p>
    <w:p w:rsidR="00776774" w:rsidRDefault="00776774" w:rsidP="00776774">
      <w:pPr>
        <w:ind w:firstLine="539"/>
        <w:jc w:val="both"/>
        <w:rPr>
          <w:rFonts w:ascii="Arial" w:hAnsi="Arial" w:cs="Arial"/>
          <w:color w:val="000000"/>
        </w:rPr>
      </w:pPr>
      <w:r>
        <w:rPr>
          <w:rFonts w:ascii="Arial" w:hAnsi="Arial" w:cs="Arial"/>
          <w:color w:val="000000"/>
        </w:rPr>
        <w:t xml:space="preserve">Este trabajo se realizó por requerimiento de una empresa operadora de centros de datos. Se solicitó realizar un sistema de detección de movimiento de personas y objetos en la puerta de acceso de la sala de equipos del CPD. Uno de los requerimientos del sistema fue almacenar en un archivo las imágenes del momento en el cual se detecta el movimiento y transmitir, al final del día, los archivos registrados. Se solicitó realizar un sistema compacto, de fácil uso y mantenimiento y que no modifique la operación e instalación del CCTV ni el mecanismo de acceso usado en la puerta. </w:t>
      </w:r>
    </w:p>
    <w:p w:rsidR="00776774" w:rsidRDefault="00776774" w:rsidP="00776774">
      <w:pPr>
        <w:ind w:firstLine="539"/>
        <w:jc w:val="both"/>
        <w:rPr>
          <w:rFonts w:ascii="Arial" w:hAnsi="Arial" w:cs="Arial"/>
          <w:color w:val="000000"/>
        </w:rPr>
      </w:pPr>
      <w:r>
        <w:rPr>
          <w:rFonts w:ascii="Arial" w:hAnsi="Arial" w:cs="Arial"/>
          <w:color w:val="000000"/>
        </w:rPr>
        <w:t>A partir de los requerimientos establecidos, la solución propuesta fue desarrollar el sistema usando una tarjeta que pueda programarse de forma sencilla y eficiente, que cuente con una interfaz de red Ethernet y a la que pueda conectarse una cámara de video. Una de las formas para lograr tal fin fue utilizar la tarjeta Arty Z7-10. Esta tarjeta trabaja usando la plataforma de desarrollo Xilinx Zynq SoC y la imagen de PYNQ. Integra un SoC (System On a Chip) el cual incluye un procesador y un FPGA (Field Programmable Gate Array). La configuración y programación del SoC puede llevarse a cabo usando lenguajes de descripción de hardware como VHDL o Verilog. Sin embargo, el desarrollo de aplicaciones que demandan gran poder de cómputo, usando VHDL o Verilog puede ser tardado e inclusive ineficiente. Una alternativa que ofrecen los avances tecnológicos actuales es el uso de lenguajes de programación interpretados y orientados a objetos como Python.</w:t>
      </w:r>
    </w:p>
    <w:p w:rsidR="00776774" w:rsidRDefault="00776774" w:rsidP="00776774">
      <w:pPr>
        <w:ind w:firstLine="539"/>
        <w:jc w:val="both"/>
        <w:rPr>
          <w:rFonts w:ascii="Arial" w:hAnsi="Arial" w:cs="Arial"/>
          <w:color w:val="000000"/>
        </w:rPr>
      </w:pPr>
      <w:r>
        <w:rPr>
          <w:rFonts w:ascii="Arial" w:hAnsi="Arial" w:cs="Arial"/>
          <w:color w:val="000000"/>
        </w:rPr>
        <w:t xml:space="preserve">La tarjeta Arty Z7-10 usada en este trabajo se programó a través del lenguaje Python y bibliotecas de OpenCV. Se conectó a la tarjeta una cámara de video HDMI para capturar las imágenes </w:t>
      </w:r>
      <w:r>
        <w:rPr>
          <w:rFonts w:ascii="Arial" w:hAnsi="Arial" w:cs="Arial"/>
          <w:color w:val="000000"/>
        </w:rPr>
        <w:lastRenderedPageBreak/>
        <w:t>de la puerta de la sala de equipo y la detección de movimiento se implantó usando el método de sustracción de fondo a través de Python y funciones de OpenCV.</w:t>
      </w:r>
    </w:p>
    <w:p w:rsidR="00776774" w:rsidRDefault="00776774" w:rsidP="00776774">
      <w:pPr>
        <w:ind w:firstLine="539"/>
        <w:jc w:val="both"/>
        <w:rPr>
          <w:rFonts w:ascii="Arial" w:hAnsi="Arial" w:cs="Arial"/>
          <w:color w:val="000000"/>
        </w:rPr>
      </w:pPr>
      <w:r>
        <w:rPr>
          <w:rFonts w:ascii="Arial" w:hAnsi="Arial" w:cs="Arial"/>
          <w:color w:val="000000"/>
        </w:rPr>
        <w:t xml:space="preserve">La detección de objetos, personas y movimiento de las mismas se realiza usando dos técnicas diferentes. La primera utiliza dispositivos electrónicos que incluyen sensores, cámaras de video o cámaras térmicas que activan un actuador o registran el evento. Algunos sensores comúnmente utilizados son los: pasivos infrarrojos (PIR-Passive Infrared), de radar y ultrasónicos. La segunda técnica combina el uso de un dispositivo, como los indicados anteriormente, y un algoritmo o método de visión por computadora. Esta técnica ha sido un tema estudiado extensamente dada su importancia en diversas aplicaciones de visión por computadora como por ejemplo: sistemas de vigilancia </w:t>
      </w:r>
      <w:r>
        <w:rPr>
          <w:rFonts w:ascii="Arial" w:hAnsi="Arial" w:cs="Arial"/>
          <w:color w:val="000000"/>
          <w:vertAlign w:val="superscript"/>
        </w:rPr>
        <w:t>[5]</w:t>
      </w:r>
      <w:r>
        <w:rPr>
          <w:rFonts w:ascii="Arial" w:hAnsi="Arial" w:cs="Arial"/>
          <w:color w:val="000000"/>
        </w:rPr>
        <w:t xml:space="preserve"> y detección de intrusos, reconocimiento y sistemas de seguridad, rescate de personas, exploración en entornos peligrosos, navegación de vehículos autónomos y aéreos, conteo de objetos y personas </w:t>
      </w:r>
      <w:r>
        <w:rPr>
          <w:rFonts w:ascii="Arial" w:hAnsi="Arial" w:cs="Arial"/>
          <w:color w:val="000000"/>
          <w:vertAlign w:val="superscript"/>
        </w:rPr>
        <w:t>[6]</w:t>
      </w:r>
      <w:r>
        <w:rPr>
          <w:rFonts w:ascii="Arial" w:hAnsi="Arial" w:cs="Arial"/>
          <w:color w:val="000000"/>
        </w:rPr>
        <w:t xml:space="preserve"> y análisis de signos vitales </w:t>
      </w:r>
      <w:r>
        <w:rPr>
          <w:rFonts w:ascii="Arial" w:hAnsi="Arial" w:cs="Arial"/>
          <w:color w:val="000000"/>
          <w:vertAlign w:val="superscript"/>
        </w:rPr>
        <w:t>[7]</w:t>
      </w:r>
      <w:r>
        <w:rPr>
          <w:rFonts w:ascii="Arial" w:hAnsi="Arial" w:cs="Arial"/>
          <w:color w:val="000000"/>
        </w:rPr>
        <w:t>, entre otras. La captura y procesamiento de las imágenes puede ser en dos tipos de escenas: donde la cámara está fija y el que se mueve es el objeto a detectar o donde la cámara y el objeto están en movimiento. En el primer escenario existen diferentes algoritmos de los cuales la mayoría se fundamenta en la sustracción de fondo o la diferencia temporal.</w:t>
      </w:r>
    </w:p>
    <w:p w:rsidR="00776774" w:rsidRDefault="00776774" w:rsidP="00776774">
      <w:pPr>
        <w:ind w:firstLine="539"/>
        <w:jc w:val="both"/>
        <w:rPr>
          <w:rFonts w:ascii="Arial" w:hAnsi="Arial" w:cs="Arial"/>
          <w:color w:val="000000"/>
        </w:rPr>
      </w:pPr>
      <w:r>
        <w:rPr>
          <w:rFonts w:ascii="Arial" w:hAnsi="Arial" w:cs="Arial"/>
          <w:color w:val="000000"/>
        </w:rPr>
        <w:t xml:space="preserve">La sustracción de fondo consiste en obtener una imagen binaria, en la cual, las regiones con valor 1 indican los objetos en movimiento y las regiones con valor 0 representan el fondo. La imagen binaria se genera usando un umbral en el resultado de la sustracción de la imagen capturada con una imagen de fondo o segundo plano. El segundo escenario es más complejo, ya que detectar un objetivo en movimiento es un proceso difícil debido a que las imágenes se degradan con la existencia de objetos ajenos a la persona u objeto a detectar, como por ejemplo: arboles balanceándose, ondas de agua, gotas de lluvia y fenómenos climatológicos. Esto último hace que la escena se considere caótica y desordenada. La mayoría de métodos tradicionales usados en estos escenarios usan la extracción de fondo basados en la información de color y textura de los objetos </w:t>
      </w:r>
      <w:r>
        <w:rPr>
          <w:rFonts w:ascii="Arial" w:hAnsi="Arial" w:cs="Arial"/>
          <w:color w:val="000000"/>
          <w:vertAlign w:val="superscript"/>
        </w:rPr>
        <w:t>[8]</w:t>
      </w:r>
      <w:r>
        <w:rPr>
          <w:rFonts w:ascii="Arial" w:hAnsi="Arial" w:cs="Arial"/>
          <w:color w:val="000000"/>
        </w:rPr>
        <w:t xml:space="preserve">. Sin embargo, el color es sensible a las variaciones de iluminación y la textura no se puede usar para separar objetos lisos </w:t>
      </w:r>
      <w:r>
        <w:rPr>
          <w:rFonts w:ascii="Arial" w:hAnsi="Arial" w:cs="Arial"/>
          <w:color w:val="000000"/>
          <w:vertAlign w:val="superscript"/>
        </w:rPr>
        <w:t>[9]</w:t>
      </w:r>
      <w:r>
        <w:rPr>
          <w:rFonts w:ascii="Arial" w:hAnsi="Arial" w:cs="Arial"/>
          <w:color w:val="000000"/>
        </w:rPr>
        <w:t xml:space="preserve">. Es por esto que las investigaciones realizadas los últimos años en este campo, se han enfocado principalmente en el uso de mejores procesos de captura de imágenes y algoritmos y métodos de corrección de imágenes distorsionadas o perturbadas por el movimiento. </w:t>
      </w:r>
    </w:p>
    <w:p w:rsidR="00776774" w:rsidRDefault="00776774" w:rsidP="00776774">
      <w:pPr>
        <w:ind w:firstLine="539"/>
        <w:jc w:val="both"/>
        <w:rPr>
          <w:rFonts w:ascii="Arial" w:hAnsi="Arial" w:cs="Arial"/>
          <w:color w:val="000000"/>
        </w:rPr>
      </w:pPr>
      <w:r>
        <w:rPr>
          <w:rFonts w:ascii="Arial" w:hAnsi="Arial" w:cs="Arial"/>
          <w:color w:val="000000"/>
        </w:rPr>
        <w:t xml:space="preserve">Las trabajos llevados a cabo recientemente sobre la detección de movimiento con cámaras móviles proponen el uso de procesos y tecnologías como las siguientes: arreglos o mallas de antenas de radar del tipo entrada-múltiple/salida-múltiple (MIMO-Multiple-Input Multiple-Output) para obtener mejor resolución espacial de imágenes </w:t>
      </w:r>
      <w:r>
        <w:rPr>
          <w:rFonts w:ascii="Arial" w:hAnsi="Arial" w:cs="Arial"/>
          <w:color w:val="000000"/>
          <w:vertAlign w:val="superscript"/>
        </w:rPr>
        <w:t>[10]</w:t>
      </w:r>
      <w:r>
        <w:rPr>
          <w:rFonts w:ascii="Arial" w:hAnsi="Arial" w:cs="Arial"/>
          <w:color w:val="000000"/>
        </w:rPr>
        <w:t xml:space="preserve">; transformada de Fourier dispersa para separar el primer y segundo plano de la imagen </w:t>
      </w:r>
      <w:r>
        <w:rPr>
          <w:rFonts w:ascii="Arial" w:hAnsi="Arial" w:cs="Arial"/>
          <w:color w:val="000000"/>
          <w:vertAlign w:val="superscript"/>
        </w:rPr>
        <w:t>[11]</w:t>
      </w:r>
      <w:r>
        <w:rPr>
          <w:rFonts w:ascii="Arial" w:hAnsi="Arial" w:cs="Arial"/>
          <w:color w:val="000000"/>
        </w:rPr>
        <w:t xml:space="preserve">; radares Doppler no-estacionarios </w:t>
      </w:r>
      <w:r>
        <w:rPr>
          <w:rFonts w:ascii="Arial" w:hAnsi="Arial" w:cs="Arial"/>
          <w:color w:val="000000"/>
          <w:vertAlign w:val="superscript"/>
        </w:rPr>
        <w:t>[12]</w:t>
      </w:r>
      <w:r>
        <w:rPr>
          <w:rFonts w:ascii="Arial" w:hAnsi="Arial" w:cs="Arial"/>
          <w:color w:val="000000"/>
        </w:rPr>
        <w:t xml:space="preserve">; radar de apertura sintética (SAR-Synthetic Aperture Radar) para auto-enfoque de imágenes </w:t>
      </w:r>
      <w:r>
        <w:rPr>
          <w:rFonts w:ascii="Arial" w:hAnsi="Arial" w:cs="Arial"/>
          <w:color w:val="000000"/>
          <w:vertAlign w:val="superscript"/>
        </w:rPr>
        <w:t>[13]</w:t>
      </w:r>
      <w:r>
        <w:rPr>
          <w:rFonts w:ascii="Arial" w:hAnsi="Arial" w:cs="Arial"/>
          <w:color w:val="000000"/>
        </w:rPr>
        <w:t xml:space="preserve">; transformada de Fourier de Tiempo Corto (STFT-Short-time Fourier Transform) con redes neuronales convolucionales para determinar el contenido en frecuencia y de fase de la onda senoidal en secciones locales y los cambios de la imagen en el tiempo </w:t>
      </w:r>
      <w:r>
        <w:rPr>
          <w:rFonts w:ascii="Arial" w:hAnsi="Arial" w:cs="Arial"/>
          <w:color w:val="000000"/>
          <w:vertAlign w:val="superscript"/>
        </w:rPr>
        <w:t>[14]</w:t>
      </w:r>
      <w:r>
        <w:rPr>
          <w:rFonts w:ascii="Arial" w:hAnsi="Arial" w:cs="Arial"/>
          <w:color w:val="000000"/>
        </w:rPr>
        <w:t xml:space="preserve">; sustracción de segundo plano basado en modelos auto-regresivos de movimiento (ARMA-Autoregressive Moving Average) </w:t>
      </w:r>
      <w:r>
        <w:rPr>
          <w:rFonts w:ascii="Arial" w:hAnsi="Arial" w:cs="Arial"/>
          <w:color w:val="000000"/>
          <w:vertAlign w:val="superscript"/>
        </w:rPr>
        <w:t>[15]</w:t>
      </w:r>
      <w:r>
        <w:rPr>
          <w:rFonts w:ascii="Arial" w:hAnsi="Arial" w:cs="Arial"/>
          <w:color w:val="000000"/>
        </w:rPr>
        <w:t xml:space="preserve">; contraste de forma de onda a través de ruido Gaussiano blanco </w:t>
      </w:r>
      <w:r>
        <w:rPr>
          <w:rFonts w:ascii="Arial" w:hAnsi="Arial" w:cs="Arial"/>
          <w:color w:val="000000"/>
          <w:vertAlign w:val="superscript"/>
        </w:rPr>
        <w:t>[16]</w:t>
      </w:r>
      <w:r>
        <w:rPr>
          <w:rFonts w:ascii="Arial" w:hAnsi="Arial" w:cs="Arial"/>
          <w:color w:val="000000"/>
        </w:rPr>
        <w:t xml:space="preserve">; extracción del primer plano utilizando matrices que representan la trayectoria de partículas en la señal de video </w:t>
      </w:r>
      <w:r>
        <w:rPr>
          <w:rFonts w:ascii="Arial" w:hAnsi="Arial" w:cs="Arial"/>
          <w:color w:val="000000"/>
          <w:vertAlign w:val="superscript"/>
        </w:rPr>
        <w:t>[17]</w:t>
      </w:r>
      <w:r>
        <w:rPr>
          <w:rFonts w:ascii="Arial" w:hAnsi="Arial" w:cs="Arial"/>
          <w:color w:val="000000"/>
        </w:rPr>
        <w:t xml:space="preserve">; extracción y generación de características a través de matrices adaptivas basadas en disparidad para compensar el movimiento de la cámara </w:t>
      </w:r>
      <w:r>
        <w:rPr>
          <w:rFonts w:ascii="Arial" w:hAnsi="Arial" w:cs="Arial"/>
          <w:color w:val="000000"/>
          <w:vertAlign w:val="superscript"/>
        </w:rPr>
        <w:t>[18]</w:t>
      </w:r>
      <w:r>
        <w:rPr>
          <w:rFonts w:ascii="Arial" w:hAnsi="Arial" w:cs="Arial"/>
          <w:color w:val="000000"/>
        </w:rPr>
        <w:t xml:space="preserve">; redes neuronales convolucionales de 18 capas de profundidad (ResNet-18) </w:t>
      </w:r>
      <w:r>
        <w:rPr>
          <w:rFonts w:ascii="Arial" w:hAnsi="Arial" w:cs="Arial"/>
          <w:color w:val="000000"/>
          <w:vertAlign w:val="superscript"/>
        </w:rPr>
        <w:t>[19]</w:t>
      </w:r>
      <w:r>
        <w:rPr>
          <w:rFonts w:ascii="Arial" w:hAnsi="Arial" w:cs="Arial"/>
          <w:color w:val="000000"/>
        </w:rPr>
        <w:t xml:space="preserve">; rotación basada en el momento angular </w:t>
      </w:r>
      <w:r>
        <w:rPr>
          <w:rFonts w:ascii="Arial" w:hAnsi="Arial" w:cs="Arial"/>
          <w:color w:val="000000"/>
        </w:rPr>
        <w:lastRenderedPageBreak/>
        <w:t xml:space="preserve">orbital de objetos e iluminación de la escena </w:t>
      </w:r>
      <w:r>
        <w:rPr>
          <w:rFonts w:ascii="Arial" w:hAnsi="Arial" w:cs="Arial"/>
          <w:color w:val="000000"/>
          <w:vertAlign w:val="superscript"/>
        </w:rPr>
        <w:t>[20]</w:t>
      </w:r>
      <w:r>
        <w:rPr>
          <w:rFonts w:ascii="Arial" w:hAnsi="Arial" w:cs="Arial"/>
          <w:color w:val="000000"/>
        </w:rPr>
        <w:t xml:space="preserve"> y sustracción de segundo plano por mezclas Gaussianas mejoradas </w:t>
      </w:r>
      <w:r>
        <w:rPr>
          <w:rFonts w:ascii="Arial" w:hAnsi="Arial" w:cs="Arial"/>
          <w:color w:val="000000"/>
          <w:vertAlign w:val="superscript"/>
        </w:rPr>
        <w:t>[21]</w:t>
      </w:r>
      <w:r>
        <w:rPr>
          <w:rFonts w:ascii="Arial" w:hAnsi="Arial" w:cs="Arial"/>
          <w:color w:val="000000"/>
        </w:rPr>
        <w:t>.</w:t>
      </w:r>
    </w:p>
    <w:p w:rsidR="00776774" w:rsidRDefault="00776774" w:rsidP="00776774">
      <w:pPr>
        <w:ind w:firstLine="539"/>
        <w:jc w:val="both"/>
        <w:rPr>
          <w:rFonts w:ascii="Arial" w:hAnsi="Arial" w:cs="Arial"/>
          <w:color w:val="000000"/>
        </w:rPr>
      </w:pPr>
      <w:r>
        <w:rPr>
          <w:rFonts w:ascii="Arial" w:hAnsi="Arial" w:cs="Arial"/>
          <w:color w:val="000000"/>
        </w:rPr>
        <w:t>La técnica o algoritmo a usar depende de la aplicación, necesidades y escenario. En este trabajo no se utilizó un algoritmo sofisticado como los indicados anteriormente. Se implantó el de extracción o sustracción de fondo o segundo plano, ya que la cámara no está en movimiento y debido a que ha demostrado ser el más efectivo para la detección de movimiento por su sencillez, tiempo de respuesta y porque no consume tiempo excesivo de procesamiento.</w:t>
      </w:r>
    </w:p>
    <w:p w:rsidR="00776774" w:rsidRDefault="00776774" w:rsidP="00776774">
      <w:pPr>
        <w:ind w:firstLine="539"/>
        <w:jc w:val="both"/>
        <w:rPr>
          <w:rFonts w:ascii="Arial" w:hAnsi="Arial" w:cs="Arial"/>
          <w:color w:val="000000"/>
        </w:rPr>
      </w:pPr>
      <w:r>
        <w:rPr>
          <w:rFonts w:ascii="Arial" w:hAnsi="Arial" w:cs="Arial"/>
          <w:color w:val="000000"/>
        </w:rPr>
        <w:t>No se ha realizado hasta el momento una aplicación como la aquí desarrollada para un centro de datos. Las ventajas y aportaciones de este trabajo son las siguientes: 1) La instalación y operación del sistema no es intrusiva, ya que no interfiere con el sistema de video vigilancia ni con los mecanismos de acceso. No se modificó la infraestructura del CPD; 2) Aunque se encuentra disponible comercialmente una gran variedad de soluciones de detección de movimiento que integran una cámara de video, la cual se encuentra permanentemente capturando y almacenando la señal de video, ninguna incluye un mecanismo de captura de imágenes y registro de la hora al detectar movimiento como lo solicitó el CPD y 3) La tecnología usada es de reciente creación, las herramientas software usadas son de código abierto lo cual redujo la complejidad y costo del sistema.</w:t>
      </w:r>
    </w:p>
    <w:p w:rsidR="00776774" w:rsidRDefault="00776774" w:rsidP="00776774">
      <w:pPr>
        <w:jc w:val="both"/>
        <w:rPr>
          <w:rFonts w:ascii="Arial" w:hAnsi="Arial" w:cs="Arial"/>
        </w:rPr>
      </w:pPr>
    </w:p>
    <w:p w:rsidR="00776774" w:rsidRPr="00776774" w:rsidRDefault="00776774" w:rsidP="00776774">
      <w:pPr>
        <w:pStyle w:val="Ttulo1"/>
        <w:keepLines w:val="0"/>
        <w:numPr>
          <w:ilvl w:val="0"/>
          <w:numId w:val="36"/>
        </w:numPr>
        <w:tabs>
          <w:tab w:val="clear" w:pos="432"/>
          <w:tab w:val="left" w:pos="0"/>
        </w:tabs>
        <w:suppressAutoHyphens/>
        <w:spacing w:before="0" w:after="0" w:line="360" w:lineRule="auto"/>
        <w:ind w:left="0" w:firstLine="0"/>
        <w:rPr>
          <w:rFonts w:ascii="Arial" w:hAnsi="Arial" w:cs="Arial"/>
          <w:sz w:val="24"/>
          <w:szCs w:val="24"/>
        </w:rPr>
      </w:pPr>
      <w:bookmarkStart w:id="344" w:name="_Toc50031391"/>
      <w:r w:rsidRPr="00776774">
        <w:rPr>
          <w:rFonts w:ascii="Arial" w:hAnsi="Arial" w:cs="Arial"/>
          <w:i/>
          <w:caps/>
          <w:sz w:val="24"/>
          <w:szCs w:val="24"/>
        </w:rPr>
        <w:t>3. C</w:t>
      </w:r>
      <w:r w:rsidRPr="00776774">
        <w:rPr>
          <w:rFonts w:ascii="Arial" w:hAnsi="Arial" w:cs="Arial"/>
          <w:i/>
          <w:sz w:val="24"/>
          <w:szCs w:val="24"/>
        </w:rPr>
        <w:t>ondiciones experimentales</w:t>
      </w:r>
      <w:bookmarkEnd w:id="344"/>
    </w:p>
    <w:p w:rsidR="00776774" w:rsidRDefault="00776774" w:rsidP="00776774">
      <w:pPr>
        <w:ind w:firstLine="539"/>
        <w:jc w:val="both"/>
        <w:rPr>
          <w:rFonts w:ascii="Arial" w:hAnsi="Arial" w:cs="Arial"/>
          <w:color w:val="000000"/>
        </w:rPr>
      </w:pPr>
      <w:r>
        <w:rPr>
          <w:rFonts w:ascii="Arial" w:hAnsi="Arial" w:cs="Arial"/>
          <w:color w:val="000000"/>
        </w:rPr>
        <w:t>El sistema desarrollado se dividió en dos módulos: el de captura y procesamiento y el de detección.</w:t>
      </w:r>
    </w:p>
    <w:p w:rsidR="00776774" w:rsidRDefault="00776774" w:rsidP="00776774">
      <w:pPr>
        <w:pStyle w:val="Textoindependiente"/>
        <w:rPr>
          <w:rFonts w:ascii="Arial" w:hAnsi="Arial" w:cs="Arial"/>
          <w:b w:val="0"/>
          <w:sz w:val="24"/>
        </w:rPr>
      </w:pPr>
    </w:p>
    <w:p w:rsidR="00776774" w:rsidRDefault="00776774" w:rsidP="00776774">
      <w:pPr>
        <w:spacing w:line="360" w:lineRule="auto"/>
        <w:jc w:val="both"/>
        <w:rPr>
          <w:rFonts w:ascii="Arial" w:hAnsi="Arial" w:cs="Arial"/>
          <w:i/>
          <w:color w:val="000000"/>
          <w:sz w:val="24"/>
        </w:rPr>
      </w:pPr>
      <w:r>
        <w:rPr>
          <w:rFonts w:ascii="Arial" w:hAnsi="Arial" w:cs="Arial"/>
          <w:i/>
          <w:color w:val="000000"/>
        </w:rPr>
        <w:t>3.1 El módulo de captura y procesamiento.</w:t>
      </w:r>
    </w:p>
    <w:p w:rsidR="00776774" w:rsidRDefault="00776774" w:rsidP="00776774">
      <w:pPr>
        <w:ind w:firstLine="539"/>
        <w:jc w:val="both"/>
        <w:rPr>
          <w:rFonts w:ascii="Arial" w:hAnsi="Arial" w:cs="Arial"/>
          <w:color w:val="000000"/>
        </w:rPr>
      </w:pPr>
      <w:r>
        <w:rPr>
          <w:rFonts w:ascii="Arial" w:hAnsi="Arial" w:cs="Arial"/>
          <w:color w:val="000000"/>
        </w:rPr>
        <w:t>La función principal de este módulo fue capturar las imágenes usadas en el algoritmo de detección de movimiento. Está integrado por la tarjeta de desarrollo Arty Z7-10 y una cámara de video HDMI Logitech Pro C922 conectada al puerto del mismo nombre de la tarjeta. La cámara tiene resolución configurable de 720 pixeles/60 cuadros por segundo o 1080 pixeles/30 cuadros por segundo, en este trabajó se usó la segunda resolución. El módulo de captura se instaló en la parte superior del acceso a la sala de equipos del CPD usando la estructura de montaje de la cámara del CCTV para capturar la misma escena y ángulo de vista como se indica en la Figura 1.</w:t>
      </w:r>
    </w:p>
    <w:p w:rsidR="00776774" w:rsidRDefault="00776774" w:rsidP="00776774">
      <w:pPr>
        <w:ind w:firstLine="539"/>
        <w:jc w:val="both"/>
        <w:rPr>
          <w:rFonts w:ascii="Arial" w:hAnsi="Arial" w:cs="Arial"/>
          <w:color w:val="000000"/>
        </w:rPr>
      </w:pPr>
    </w:p>
    <w:tbl>
      <w:tblPr>
        <w:tblW w:w="0" w:type="auto"/>
        <w:jc w:val="center"/>
        <w:tblLook w:val="04A0" w:firstRow="1" w:lastRow="0" w:firstColumn="1" w:lastColumn="0" w:noHBand="0" w:noVBand="1"/>
      </w:tblPr>
      <w:tblGrid>
        <w:gridCol w:w="8166"/>
      </w:tblGrid>
      <w:tr w:rsidR="00776774" w:rsidTr="00776774">
        <w:trPr>
          <w:trHeight w:val="4749"/>
          <w:jc w:val="center"/>
        </w:trPr>
        <w:tc>
          <w:tcPr>
            <w:tcW w:w="5243" w:type="dxa"/>
            <w:hideMark/>
          </w:tcPr>
          <w:p w:rsidR="00776774" w:rsidRDefault="00776774">
            <w:pPr>
              <w:pStyle w:val="Textoindependiente"/>
              <w:rPr>
                <w:rFonts w:ascii="Times New Roman" w:hAnsi="Times New Roman" w:cs="Times New Roman"/>
                <w:sz w:val="2"/>
                <w:szCs w:val="2"/>
                <w:lang w:val="es-MX"/>
              </w:rPr>
            </w:pPr>
            <w:r>
              <w:rPr>
                <w:noProof/>
                <w:sz w:val="2"/>
                <w:szCs w:val="2"/>
                <w:lang w:val="en-US"/>
              </w:rPr>
              <w:lastRenderedPageBreak/>
              <w:drawing>
                <wp:inline distT="0" distB="0" distL="0" distR="0" wp14:anchorId="1B031C03" wp14:editId="61566333">
                  <wp:extent cx="5048250" cy="2952750"/>
                  <wp:effectExtent l="0" t="0" r="0" b="0"/>
                  <wp:docPr id="1119" name="Imagen 1119" descr="fig3-detec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fig3-detección"/>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5048250" cy="2952750"/>
                          </a:xfrm>
                          <a:prstGeom prst="rect">
                            <a:avLst/>
                          </a:prstGeom>
                          <a:noFill/>
                          <a:ln>
                            <a:noFill/>
                          </a:ln>
                        </pic:spPr>
                      </pic:pic>
                    </a:graphicData>
                  </a:graphic>
                </wp:inline>
              </w:drawing>
            </w:r>
          </w:p>
        </w:tc>
      </w:tr>
      <w:tr w:rsidR="00776774" w:rsidRPr="00776774" w:rsidTr="00776774">
        <w:trPr>
          <w:jc w:val="center"/>
        </w:trPr>
        <w:tc>
          <w:tcPr>
            <w:tcW w:w="5243" w:type="dxa"/>
            <w:hideMark/>
          </w:tcPr>
          <w:p w:rsidR="00776774" w:rsidRDefault="00776774">
            <w:pPr>
              <w:jc w:val="center"/>
              <w:rPr>
                <w:rFonts w:ascii="Arial" w:hAnsi="Arial" w:cs="Arial"/>
                <w:bCs/>
                <w:i/>
                <w:sz w:val="20"/>
                <w:szCs w:val="20"/>
              </w:rPr>
            </w:pPr>
            <w:r>
              <w:rPr>
                <w:rFonts w:ascii="Arial" w:hAnsi="Arial" w:cs="Arial"/>
                <w:bCs/>
                <w:i/>
                <w:sz w:val="20"/>
                <w:szCs w:val="20"/>
              </w:rPr>
              <w:t>Figura 1. Instalación del módulo de captura y procesamiento.</w:t>
            </w:r>
          </w:p>
        </w:tc>
      </w:tr>
    </w:tbl>
    <w:p w:rsidR="00776774" w:rsidRDefault="00776774" w:rsidP="00776774">
      <w:pPr>
        <w:ind w:firstLine="539"/>
        <w:jc w:val="both"/>
        <w:rPr>
          <w:rFonts w:ascii="Arial" w:eastAsia="Batang" w:hAnsi="Arial" w:cs="Arial"/>
          <w:color w:val="000000"/>
          <w:sz w:val="24"/>
          <w:szCs w:val="24"/>
          <w:lang w:eastAsia="ko-KR"/>
        </w:rPr>
      </w:pPr>
    </w:p>
    <w:p w:rsidR="00776774" w:rsidRDefault="00776774" w:rsidP="00776774">
      <w:pPr>
        <w:ind w:firstLine="539"/>
        <w:jc w:val="both"/>
        <w:rPr>
          <w:rFonts w:ascii="Arial" w:hAnsi="Arial" w:cs="Arial"/>
          <w:color w:val="000000"/>
        </w:rPr>
      </w:pPr>
      <w:r>
        <w:rPr>
          <w:rFonts w:ascii="Arial" w:hAnsi="Arial" w:cs="Arial"/>
          <w:color w:val="000000"/>
        </w:rPr>
        <w:t xml:space="preserve">Una de las razones para usar la tarjeta Arty Z7-10 fue que puede cargase en ella la imagen de la plataforma PYNQ. Ésta plataforma de código abierto permite el uso del lenguaje Python y bibliotecas para facilitar el desarrollo de aplicaciones embebidas de alto rendimiento explotando las características de microprocesadores y dispositivos de la lógica programable del SoC. Algunas aplicaciones de este tipo incluyen las siguientes: ejecución de código en paralelo, procesamiento de video de alta velocidad y señales en tiempo real, aceleración de algoritmos y manejo de entrada/salida de ancho de banda alto. El acceso a esta plataforma se lleva a cabo a través del ambiente de computación interactiva basado en navegador Jupyter Notebook. Por medio de Jupyter Notebook pueden crearse documentos que incluyen: código, gráficos, widgets para acceso fácil a funciones frecuentemente usadas con información visual, texto explicativo, ecuaciones, imágenes y video. Todo lo anterior puede realizarse por medio de programas en Python creando bibliotecas y arquitecturas reconfigurables virtuales, llamadas overlays, que se sobreponen en la estructura física del FPGA. Los overlays permiten acelerar la ejecución de programas y personalizar el hardware e interfaces del FPGA. La plataforma PYNQ proporciona un overlay base, el usado en este trabajo, que permite el uso de todas las entradas y salidas de la tarjeta Arty Z7-10. </w:t>
      </w:r>
    </w:p>
    <w:p w:rsidR="00776774" w:rsidRDefault="00776774" w:rsidP="00776774">
      <w:pPr>
        <w:ind w:firstLine="539"/>
        <w:jc w:val="both"/>
        <w:rPr>
          <w:rFonts w:ascii="Arial" w:hAnsi="Arial" w:cs="Arial"/>
          <w:color w:val="000000"/>
        </w:rPr>
      </w:pPr>
    </w:p>
    <w:p w:rsidR="00776774" w:rsidRDefault="00776774" w:rsidP="00776774">
      <w:pPr>
        <w:spacing w:line="360" w:lineRule="auto"/>
        <w:jc w:val="both"/>
        <w:rPr>
          <w:rFonts w:ascii="Arial" w:hAnsi="Arial" w:cs="Arial"/>
          <w:i/>
          <w:color w:val="000000"/>
        </w:rPr>
      </w:pPr>
      <w:r>
        <w:rPr>
          <w:rFonts w:ascii="Arial" w:hAnsi="Arial" w:cs="Arial"/>
          <w:i/>
          <w:color w:val="000000"/>
        </w:rPr>
        <w:t xml:space="preserve"> 3.2 El módulo de detección.</w:t>
      </w:r>
    </w:p>
    <w:p w:rsidR="00776774" w:rsidRDefault="00776774" w:rsidP="00776774">
      <w:pPr>
        <w:ind w:firstLine="539"/>
        <w:jc w:val="both"/>
        <w:rPr>
          <w:rFonts w:ascii="Arial" w:hAnsi="Arial" w:cs="Arial"/>
          <w:color w:val="000000"/>
        </w:rPr>
      </w:pPr>
      <w:r>
        <w:rPr>
          <w:rFonts w:ascii="Arial" w:hAnsi="Arial" w:cs="Arial"/>
          <w:color w:val="000000"/>
        </w:rPr>
        <w:t xml:space="preserve">El objetivo de este módulo fue implantar el algoritmo de sustracción de fondo. Se realizó usando Python y bibliotecas de OpenCV y se basa en el uso de una imagen de referencia sin movimiento de la escena y una o varias imágenes con movimiento de la escena capturadas posteriormente. La primera imagen se denomina fondo o segundo plano y las siguientes se llaman imágenes de primer </w:t>
      </w:r>
      <w:r>
        <w:rPr>
          <w:rFonts w:ascii="Arial" w:hAnsi="Arial" w:cs="Arial"/>
          <w:color w:val="000000"/>
        </w:rPr>
        <w:lastRenderedPageBreak/>
        <w:t>plano. Se detectan zonas en movimiento comparando las imágenes del primer con el segundo plano para encontrar las diferencias entre ellas. La comparación se realiza mediante la resta o sustracción, donde la imagen resultante es de fondo negro y las zonas donde se detecta movimiento son de color distinto.</w:t>
      </w:r>
    </w:p>
    <w:p w:rsidR="00776774" w:rsidRDefault="00776774" w:rsidP="00776774">
      <w:pPr>
        <w:ind w:firstLine="539"/>
        <w:jc w:val="both"/>
        <w:rPr>
          <w:rFonts w:ascii="Arial" w:hAnsi="Arial" w:cs="Arial"/>
          <w:color w:val="000000"/>
        </w:rPr>
      </w:pPr>
      <w:r>
        <w:rPr>
          <w:rFonts w:ascii="Arial" w:hAnsi="Arial" w:cs="Arial"/>
          <w:color w:val="000000"/>
        </w:rPr>
        <w:t xml:space="preserve">Dependiendo la forma de llevar a cabo la sustracción, este método puede realizase usando una de dos técnicas. La primera realiza la sustracción de la imagen de referencia o fondo con las imágenes con movimiento para determinar los objetos que se mueven en la escena. Está técnica tiene las desventajas que es sensible a la iluminación del lugar y al posible movimiento de la cámara, ya que aun siendo pequeños los movimientos, pueden generarse falsos positivos. Las ventajas de esta técnica son que puede obtener buenos resultados en escenas bien iluminadas y determinar eficientemente siluetas de objetos o personas en movimiento. En la segunda técnica la imagen de fondo se obtiene del resultado de la sustracción. Esto es, inicialmente captura una imagen de referencia e invoca un retardo de tiempo. Posteriormente, captura la segunda imagen y realiza la sustracción de ambas. La imagen resultante se usa como fondo o referencia para la siguiente iteración. El proceso de sustracción se realiza sucesivamente con las siguientes imágenes capturadas. Está técnica tiene las desventajas que es sensible al retardo usado entre capturas y por lo tanto a la velocidad de objetos y personas, incluyendo situaciones en la que las personas detienen el movimiento, y no es eficiente para determinar siluetas. Las ventajas de esta técnica son su eficiencia ante los cambios de iluminación y movimientos de la cámara. </w:t>
      </w:r>
    </w:p>
    <w:p w:rsidR="00776774" w:rsidRDefault="00776774" w:rsidP="00776774">
      <w:pPr>
        <w:ind w:firstLine="539"/>
        <w:jc w:val="both"/>
        <w:rPr>
          <w:rFonts w:ascii="Arial" w:hAnsi="Arial" w:cs="Arial"/>
          <w:color w:val="000000"/>
        </w:rPr>
      </w:pPr>
      <w:r>
        <w:rPr>
          <w:rFonts w:ascii="Arial" w:hAnsi="Arial" w:cs="Arial"/>
          <w:color w:val="000000"/>
        </w:rPr>
        <w:t>El algoritmo implantado en este sistema usó la primera técnica y se llevó a cabo en ocho etapas: 1) Creación de la imagen de referencia, 2) Captura de las imágenes de comparación, 3) Obtención de la diferencia absoluta en las imágenes de comparación, 4) Obtención de la diferencia absoluta entre la imagen de referencia y las de comparación, 5) Creación de la imagen binaria de la diferencia absoluta, 6) Dilatación de la imagen binaria, 7) Obtención de los contornos y 8) Creación del rectángulo en los contornos.</w:t>
      </w:r>
    </w:p>
    <w:p w:rsidR="00776774" w:rsidRDefault="00776774" w:rsidP="00776774">
      <w:pPr>
        <w:ind w:firstLine="539"/>
        <w:jc w:val="both"/>
        <w:rPr>
          <w:rFonts w:ascii="Arial" w:hAnsi="Arial" w:cs="Arial"/>
          <w:color w:val="000000"/>
        </w:rPr>
      </w:pPr>
    </w:p>
    <w:p w:rsidR="00776774" w:rsidRDefault="00776774" w:rsidP="00776774">
      <w:pPr>
        <w:spacing w:line="360" w:lineRule="auto"/>
        <w:jc w:val="both"/>
        <w:rPr>
          <w:rFonts w:ascii="Arial" w:hAnsi="Arial" w:cs="Arial"/>
          <w:b/>
          <w:bCs/>
          <w:i/>
          <w:color w:val="000000"/>
        </w:rPr>
      </w:pPr>
      <w:r>
        <w:rPr>
          <w:rFonts w:ascii="Arial" w:hAnsi="Arial" w:cs="Arial"/>
          <w:i/>
          <w:color w:val="000000"/>
        </w:rPr>
        <w:t>3.2.1 Creación de la imagen de referencia.</w:t>
      </w:r>
    </w:p>
    <w:p w:rsidR="00776774" w:rsidRDefault="00776774" w:rsidP="00776774">
      <w:pPr>
        <w:ind w:firstLine="539"/>
        <w:jc w:val="both"/>
        <w:rPr>
          <w:rFonts w:ascii="Arial" w:hAnsi="Arial" w:cs="Arial"/>
          <w:color w:val="000000"/>
        </w:rPr>
      </w:pPr>
      <w:r>
        <w:rPr>
          <w:rFonts w:ascii="Arial" w:hAnsi="Arial" w:cs="Arial"/>
          <w:color w:val="000000"/>
        </w:rPr>
        <w:t xml:space="preserve">Esta fase consiste de tres operaciones. La primera es la captura de la imagen de referencia, fondo o segundo plano, usando las funciones de OpenCV </w:t>
      </w:r>
      <w:r>
        <w:rPr>
          <w:rFonts w:ascii="Arial" w:hAnsi="Arial" w:cs="Arial"/>
          <w:i/>
          <w:color w:val="000000"/>
        </w:rPr>
        <w:t>cv2.VideoCapture()</w:t>
      </w:r>
      <w:r>
        <w:rPr>
          <w:rFonts w:ascii="Arial" w:hAnsi="Arial" w:cs="Arial"/>
          <w:color w:val="000000"/>
        </w:rPr>
        <w:t xml:space="preserve"> y </w:t>
      </w:r>
      <w:r>
        <w:rPr>
          <w:rFonts w:ascii="Arial" w:hAnsi="Arial" w:cs="Arial"/>
          <w:i/>
          <w:color w:val="000000"/>
        </w:rPr>
        <w:t>cap.read()</w:t>
      </w:r>
      <w:r>
        <w:rPr>
          <w:rFonts w:ascii="Arial" w:hAnsi="Arial" w:cs="Arial"/>
          <w:color w:val="000000"/>
        </w:rPr>
        <w:t xml:space="preserve">, las cuales permiten la captura, con la cámara de video, de un cuadro de la escena estática, sin movimiento. La segunda operación es convertir la imagen anterior a escala de grises a través de la función </w:t>
      </w:r>
      <w:r>
        <w:rPr>
          <w:rFonts w:ascii="Arial" w:hAnsi="Arial" w:cs="Arial"/>
          <w:i/>
          <w:color w:val="000000"/>
        </w:rPr>
        <w:t>cv2.cvtColor()</w:t>
      </w:r>
      <w:r>
        <w:rPr>
          <w:rFonts w:ascii="Arial" w:hAnsi="Arial" w:cs="Arial"/>
          <w:color w:val="000000"/>
        </w:rPr>
        <w:t xml:space="preserve">. La última operación es reducir el ruido generado por la cámara e iluminación de la escena filtrando y suavizando la imagen aplicando un filtro Gaussiano con la función </w:t>
      </w:r>
      <w:r>
        <w:rPr>
          <w:rFonts w:ascii="Arial" w:hAnsi="Arial" w:cs="Arial"/>
          <w:i/>
          <w:color w:val="000000"/>
        </w:rPr>
        <w:t>cv2.GaussianBlur()</w:t>
      </w:r>
      <w:r>
        <w:rPr>
          <w:rFonts w:ascii="Arial" w:hAnsi="Arial" w:cs="Arial"/>
          <w:color w:val="000000"/>
        </w:rPr>
        <w:t>. En la Figura 2 se muestra la imagen original del segundo plano y la imagen de referencia creada en esta fase.</w:t>
      </w:r>
    </w:p>
    <w:p w:rsidR="00776774" w:rsidRDefault="00776774" w:rsidP="00776774">
      <w:pPr>
        <w:pStyle w:val="Textoindependiente"/>
        <w:rPr>
          <w:rFonts w:ascii="Arial" w:hAnsi="Arial" w:cs="Arial"/>
          <w:b w:val="0"/>
          <w:sz w:val="24"/>
        </w:rPr>
      </w:pPr>
    </w:p>
    <w:p w:rsidR="00776774" w:rsidRDefault="00776774" w:rsidP="00776774">
      <w:pPr>
        <w:spacing w:line="360" w:lineRule="auto"/>
        <w:jc w:val="both"/>
        <w:rPr>
          <w:rFonts w:ascii="Arial" w:hAnsi="Arial" w:cs="Arial"/>
          <w:i/>
          <w:color w:val="000000"/>
          <w:sz w:val="24"/>
        </w:rPr>
      </w:pPr>
      <w:r>
        <w:rPr>
          <w:rFonts w:ascii="Arial" w:hAnsi="Arial" w:cs="Arial"/>
          <w:i/>
          <w:color w:val="000000"/>
        </w:rPr>
        <w:t>3.2.2 Captura de las imágenes de comparación.</w:t>
      </w:r>
    </w:p>
    <w:p w:rsidR="00776774" w:rsidRDefault="00776774" w:rsidP="00776774">
      <w:pPr>
        <w:ind w:firstLine="539"/>
        <w:jc w:val="both"/>
        <w:rPr>
          <w:rFonts w:ascii="Arial" w:hAnsi="Arial" w:cs="Arial"/>
          <w:color w:val="000000"/>
        </w:rPr>
      </w:pPr>
      <w:r>
        <w:rPr>
          <w:rFonts w:ascii="Arial" w:hAnsi="Arial" w:cs="Arial"/>
          <w:color w:val="000000"/>
        </w:rPr>
        <w:lastRenderedPageBreak/>
        <w:t>En esta fase se capturan tres cuadros o imágenes que servirán como primer plano para la detección de movimiento y se convierten a escala de grises. Se llevó a cabo usando las funciones empleadas en la etapa anterior. Puede usarse solo una imagen en esta fase, sin embargo, se logran mejores resultados utilizando más de una y determinando las diferencias entre ellas. En la Figura 3 se muestra la primera imagen de comparación original y la misma convertida a escala de grises.</w:t>
      </w:r>
    </w:p>
    <w:p w:rsidR="00776774" w:rsidRDefault="00776774" w:rsidP="00776774">
      <w:pPr>
        <w:ind w:firstLine="539"/>
        <w:jc w:val="both"/>
        <w:rPr>
          <w:rFonts w:ascii="Arial" w:hAnsi="Arial" w:cs="Arial"/>
          <w:color w:val="000000"/>
        </w:rPr>
      </w:pPr>
    </w:p>
    <w:tbl>
      <w:tblPr>
        <w:tblW w:w="10447" w:type="dxa"/>
        <w:tblLook w:val="04A0" w:firstRow="1" w:lastRow="0" w:firstColumn="1" w:lastColumn="0" w:noHBand="0" w:noVBand="1"/>
      </w:tblPr>
      <w:tblGrid>
        <w:gridCol w:w="5201"/>
        <w:gridCol w:w="5246"/>
      </w:tblGrid>
      <w:tr w:rsidR="00776774" w:rsidTr="00776774">
        <w:trPr>
          <w:trHeight w:val="3130"/>
        </w:trPr>
        <w:tc>
          <w:tcPr>
            <w:tcW w:w="5201" w:type="dxa"/>
            <w:hideMark/>
          </w:tcPr>
          <w:p w:rsidR="00776774" w:rsidRDefault="00776774">
            <w:pPr>
              <w:pStyle w:val="Textoindependiente"/>
              <w:rPr>
                <w:rFonts w:ascii="Arial" w:hAnsi="Arial" w:cs="Arial"/>
                <w:b w:val="0"/>
                <w:sz w:val="24"/>
              </w:rPr>
            </w:pPr>
            <w:r>
              <w:rPr>
                <w:rFonts w:ascii="Arial" w:hAnsi="Arial" w:cs="Arial"/>
                <w:b w:val="0"/>
                <w:noProof/>
                <w:sz w:val="24"/>
                <w:lang w:val="en-US"/>
              </w:rPr>
              <w:drawing>
                <wp:inline distT="0" distB="0" distL="0" distR="0" wp14:anchorId="4A2879A3" wp14:editId="0DCF4174">
                  <wp:extent cx="3000375" cy="1914525"/>
                  <wp:effectExtent l="0" t="0" r="9525" b="9525"/>
                  <wp:docPr id="1118" name="Imagen 1118" descr="fig2-dete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fig2-deteccion"/>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3000375" cy="1914525"/>
                          </a:xfrm>
                          <a:prstGeom prst="rect">
                            <a:avLst/>
                          </a:prstGeom>
                          <a:noFill/>
                          <a:ln>
                            <a:noFill/>
                          </a:ln>
                        </pic:spPr>
                      </pic:pic>
                    </a:graphicData>
                  </a:graphic>
                </wp:inline>
              </w:drawing>
            </w:r>
          </w:p>
        </w:tc>
        <w:tc>
          <w:tcPr>
            <w:tcW w:w="5246" w:type="dxa"/>
            <w:hideMark/>
          </w:tcPr>
          <w:p w:rsidR="00776774" w:rsidRDefault="00776774">
            <w:pPr>
              <w:pStyle w:val="Textoindependiente"/>
              <w:jc w:val="center"/>
              <w:rPr>
                <w:rFonts w:ascii="Times New Roman" w:hAnsi="Times New Roman" w:cs="Times New Roman"/>
                <w:sz w:val="2"/>
                <w:szCs w:val="2"/>
                <w:lang w:val="es-MX"/>
              </w:rPr>
            </w:pPr>
            <w:r>
              <w:rPr>
                <w:noProof/>
                <w:sz w:val="2"/>
                <w:szCs w:val="2"/>
                <w:lang w:val="en-US"/>
              </w:rPr>
              <w:drawing>
                <wp:inline distT="0" distB="0" distL="0" distR="0" wp14:anchorId="630EAD72" wp14:editId="4520D1FE">
                  <wp:extent cx="3009900" cy="1914525"/>
                  <wp:effectExtent l="0" t="0" r="0" b="9525"/>
                  <wp:docPr id="1117" name="Imagen 1117" descr="fig3-dete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fig3-deteccion"/>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3009900" cy="1914525"/>
                          </a:xfrm>
                          <a:prstGeom prst="rect">
                            <a:avLst/>
                          </a:prstGeom>
                          <a:noFill/>
                          <a:ln>
                            <a:noFill/>
                          </a:ln>
                        </pic:spPr>
                      </pic:pic>
                    </a:graphicData>
                  </a:graphic>
                </wp:inline>
              </w:drawing>
            </w:r>
          </w:p>
        </w:tc>
      </w:tr>
      <w:tr w:rsidR="00776774" w:rsidRPr="00776774" w:rsidTr="00776774">
        <w:tc>
          <w:tcPr>
            <w:tcW w:w="5201" w:type="dxa"/>
            <w:hideMark/>
          </w:tcPr>
          <w:p w:rsidR="00776774" w:rsidRDefault="00776774">
            <w:pPr>
              <w:ind w:left="708" w:hanging="708"/>
              <w:jc w:val="center"/>
              <w:rPr>
                <w:rFonts w:ascii="Arial" w:hAnsi="Arial" w:cs="Arial"/>
                <w:bCs/>
                <w:i/>
                <w:sz w:val="20"/>
                <w:szCs w:val="20"/>
              </w:rPr>
            </w:pPr>
            <w:r>
              <w:rPr>
                <w:rFonts w:ascii="Arial" w:hAnsi="Arial" w:cs="Arial"/>
                <w:bCs/>
                <w:i/>
                <w:sz w:val="20"/>
                <w:szCs w:val="20"/>
              </w:rPr>
              <w:t xml:space="preserve">Figura 2. Imagen original del segundo plano e imagen de referencia. </w:t>
            </w:r>
          </w:p>
        </w:tc>
        <w:tc>
          <w:tcPr>
            <w:tcW w:w="5246" w:type="dxa"/>
            <w:hideMark/>
          </w:tcPr>
          <w:p w:rsidR="00776774" w:rsidRDefault="00776774">
            <w:pPr>
              <w:jc w:val="center"/>
              <w:rPr>
                <w:rFonts w:ascii="Arial" w:hAnsi="Arial" w:cs="Arial"/>
                <w:bCs/>
                <w:i/>
                <w:sz w:val="20"/>
                <w:szCs w:val="20"/>
              </w:rPr>
            </w:pPr>
            <w:r>
              <w:rPr>
                <w:rFonts w:ascii="Arial" w:hAnsi="Arial" w:cs="Arial"/>
                <w:bCs/>
                <w:i/>
                <w:sz w:val="20"/>
                <w:szCs w:val="20"/>
              </w:rPr>
              <w:t>Figura 3. Primera imagen de comparación original y con filtro aplicada.</w:t>
            </w:r>
          </w:p>
        </w:tc>
      </w:tr>
    </w:tbl>
    <w:p w:rsidR="00776774" w:rsidRDefault="00776774" w:rsidP="00776774">
      <w:pPr>
        <w:ind w:firstLine="539"/>
        <w:jc w:val="both"/>
        <w:rPr>
          <w:rFonts w:ascii="Arial" w:eastAsia="Batang" w:hAnsi="Arial" w:cs="Arial"/>
          <w:color w:val="000000"/>
          <w:sz w:val="24"/>
          <w:szCs w:val="24"/>
          <w:lang w:eastAsia="ko-KR"/>
        </w:rPr>
      </w:pPr>
    </w:p>
    <w:p w:rsidR="00776774" w:rsidRDefault="00776774" w:rsidP="00776774">
      <w:pPr>
        <w:spacing w:line="360" w:lineRule="auto"/>
        <w:jc w:val="both"/>
        <w:rPr>
          <w:rFonts w:ascii="Arial" w:hAnsi="Arial" w:cs="Arial"/>
          <w:i/>
          <w:color w:val="000000"/>
        </w:rPr>
      </w:pPr>
      <w:r>
        <w:rPr>
          <w:rFonts w:ascii="Arial" w:hAnsi="Arial" w:cs="Arial"/>
          <w:i/>
          <w:color w:val="000000"/>
        </w:rPr>
        <w:t>3.2.3 Diferencia absoluta en las imágenes de comparación.</w:t>
      </w:r>
    </w:p>
    <w:p w:rsidR="00776774" w:rsidRDefault="00776774" w:rsidP="00776774">
      <w:pPr>
        <w:ind w:firstLine="539"/>
        <w:jc w:val="both"/>
        <w:rPr>
          <w:rFonts w:ascii="Arial" w:hAnsi="Arial" w:cs="Arial"/>
          <w:color w:val="000000"/>
        </w:rPr>
      </w:pPr>
      <w:r>
        <w:rPr>
          <w:rFonts w:ascii="Arial" w:hAnsi="Arial" w:cs="Arial"/>
          <w:color w:val="000000"/>
        </w:rPr>
        <w:t xml:space="preserve">En esta fase se genera la imagen que servirá como primer plano a partir de las imágenes capturadas en la fase anterior. Cosiste de dos acciones, en la primera se convierten a escala de grises las tres imágenes y se obtiene la diferencia entre ellas. Esto último se realizó usando la función </w:t>
      </w:r>
      <w:r>
        <w:rPr>
          <w:rFonts w:ascii="Arial" w:hAnsi="Arial" w:cs="Arial"/>
          <w:i/>
          <w:color w:val="000000"/>
        </w:rPr>
        <w:t>cv2.absdiff()</w:t>
      </w:r>
      <w:r>
        <w:rPr>
          <w:rFonts w:ascii="Arial" w:hAnsi="Arial" w:cs="Arial"/>
          <w:color w:val="000000"/>
        </w:rPr>
        <w:t xml:space="preserve"> con la primera y la segunda imagen y posteriormente cv2.absdiff() con la segunda y tercer imagen. El resultado de las funciones anteriores son dos matrices que se fusionan con la función </w:t>
      </w:r>
      <w:r>
        <w:rPr>
          <w:rFonts w:ascii="Arial" w:hAnsi="Arial" w:cs="Arial"/>
          <w:i/>
          <w:color w:val="000000"/>
        </w:rPr>
        <w:t>cv2.bitwise_and()</w:t>
      </w:r>
      <w:r>
        <w:rPr>
          <w:rFonts w:ascii="Arial" w:hAnsi="Arial" w:cs="Arial"/>
          <w:color w:val="000000"/>
        </w:rPr>
        <w:t xml:space="preserve">. La función </w:t>
      </w:r>
      <w:r>
        <w:rPr>
          <w:rFonts w:ascii="Arial" w:hAnsi="Arial" w:cs="Arial"/>
          <w:i/>
          <w:color w:val="000000"/>
        </w:rPr>
        <w:t>cv2.bitwise_and()</w:t>
      </w:r>
      <w:r>
        <w:rPr>
          <w:rFonts w:ascii="Arial" w:hAnsi="Arial" w:cs="Arial"/>
          <w:color w:val="000000"/>
        </w:rPr>
        <w:t xml:space="preserve"> realiza la operación lógica AND de las matrices, bit a bit, para obtener la imagen de primer plano que indica los pixeles diferentes en las tres imágenes. Se utilizó la función </w:t>
      </w:r>
      <w:r>
        <w:rPr>
          <w:rFonts w:ascii="Arial" w:hAnsi="Arial" w:cs="Arial"/>
          <w:i/>
          <w:color w:val="000000"/>
        </w:rPr>
        <w:t>cv2.absdiff()</w:t>
      </w:r>
      <w:r>
        <w:rPr>
          <w:rFonts w:ascii="Arial" w:hAnsi="Arial" w:cs="Arial"/>
          <w:color w:val="000000"/>
        </w:rPr>
        <w:t xml:space="preserve"> para obtener valores absolutos en la diferencia de pixeles y evitar valores negativos.</w:t>
      </w:r>
    </w:p>
    <w:p w:rsidR="00776774" w:rsidRDefault="00776774" w:rsidP="00776774">
      <w:pPr>
        <w:ind w:firstLine="539"/>
        <w:jc w:val="both"/>
        <w:rPr>
          <w:rFonts w:ascii="Arial" w:hAnsi="Arial" w:cs="Arial"/>
          <w:color w:val="000000"/>
        </w:rPr>
      </w:pPr>
    </w:p>
    <w:p w:rsidR="00776774" w:rsidRDefault="00776774" w:rsidP="00776774">
      <w:pPr>
        <w:spacing w:line="360" w:lineRule="auto"/>
        <w:jc w:val="both"/>
        <w:rPr>
          <w:rFonts w:ascii="Arial" w:hAnsi="Arial" w:cs="Arial"/>
          <w:i/>
          <w:color w:val="000000"/>
        </w:rPr>
      </w:pPr>
      <w:r>
        <w:rPr>
          <w:rFonts w:ascii="Arial" w:hAnsi="Arial" w:cs="Arial"/>
          <w:i/>
          <w:color w:val="000000"/>
        </w:rPr>
        <w:t>3.2.4 Diferencia absoluta entre la imagen de referencia y las de comparación.</w:t>
      </w:r>
    </w:p>
    <w:p w:rsidR="00776774" w:rsidRDefault="00776774" w:rsidP="00776774">
      <w:pPr>
        <w:ind w:firstLine="539"/>
        <w:jc w:val="both"/>
        <w:rPr>
          <w:rFonts w:ascii="Arial" w:hAnsi="Arial" w:cs="Arial"/>
          <w:color w:val="000000"/>
        </w:rPr>
      </w:pPr>
      <w:r>
        <w:rPr>
          <w:rFonts w:ascii="Arial" w:hAnsi="Arial" w:cs="Arial"/>
          <w:color w:val="000000"/>
        </w:rPr>
        <w:t xml:space="preserve">En esta fase se aplica un filtro Gaussiano a la imagen obtenida en la etapa anterior, imagen de primer plano, con la función </w:t>
      </w:r>
      <w:r>
        <w:rPr>
          <w:rFonts w:ascii="Arial" w:hAnsi="Arial" w:cs="Arial"/>
          <w:i/>
          <w:color w:val="000000"/>
        </w:rPr>
        <w:t>cv2.GaussianBlur()</w:t>
      </w:r>
      <w:r>
        <w:rPr>
          <w:rFonts w:ascii="Arial" w:hAnsi="Arial" w:cs="Arial"/>
          <w:color w:val="000000"/>
        </w:rPr>
        <w:t xml:space="preserve"> y se obtiene la diferencia absoluta de ésta con la imagen de segundo plano usando la función </w:t>
      </w:r>
      <w:r>
        <w:rPr>
          <w:rFonts w:ascii="Arial" w:hAnsi="Arial" w:cs="Arial"/>
          <w:i/>
          <w:color w:val="000000"/>
        </w:rPr>
        <w:t>cv2.absdiff()</w:t>
      </w:r>
      <w:r>
        <w:rPr>
          <w:rFonts w:ascii="Arial" w:hAnsi="Arial" w:cs="Arial"/>
          <w:color w:val="000000"/>
        </w:rPr>
        <w:t xml:space="preserve"> para generar la imagen binaria con la se trabajará en las fases siguientes. En la Figura 4 se muestra la imagen resultado de esta fase.</w:t>
      </w:r>
    </w:p>
    <w:p w:rsidR="00776774" w:rsidRDefault="00776774" w:rsidP="00776774">
      <w:pPr>
        <w:pStyle w:val="Textoindependiente"/>
        <w:rPr>
          <w:rFonts w:ascii="Times New Roman" w:hAnsi="Times New Roman" w:cs="Times New Roman"/>
          <w:lang w:val="es-MX"/>
        </w:rPr>
      </w:pPr>
    </w:p>
    <w:p w:rsidR="00776774" w:rsidRDefault="00776774" w:rsidP="00776774">
      <w:pPr>
        <w:spacing w:line="360" w:lineRule="auto"/>
        <w:jc w:val="both"/>
        <w:rPr>
          <w:rFonts w:ascii="Arial" w:hAnsi="Arial" w:cs="Arial"/>
          <w:i/>
          <w:color w:val="000000"/>
        </w:rPr>
      </w:pPr>
      <w:r>
        <w:rPr>
          <w:rFonts w:ascii="Arial" w:hAnsi="Arial" w:cs="Arial"/>
          <w:i/>
          <w:color w:val="000000"/>
        </w:rPr>
        <w:t>3.2.5 Creación la imagen binaria de la diferencia absoluta.</w:t>
      </w:r>
    </w:p>
    <w:p w:rsidR="00776774" w:rsidRDefault="00776774" w:rsidP="00776774">
      <w:pPr>
        <w:ind w:firstLine="539"/>
        <w:jc w:val="both"/>
        <w:rPr>
          <w:rFonts w:ascii="Arial" w:hAnsi="Arial" w:cs="Arial"/>
          <w:color w:val="000000"/>
        </w:rPr>
      </w:pPr>
      <w:r>
        <w:rPr>
          <w:rFonts w:ascii="Arial" w:hAnsi="Arial" w:cs="Arial"/>
          <w:color w:val="000000"/>
        </w:rPr>
        <w:t xml:space="preserve">Esta fase consiste en seleccionar de la imagen obtenida en la etapa anterior los pixeles cuyo valor sea mayor a un umbral establecido. El valor de los pixeles de la imagen resultante será binario. Los pixeles cuyo valor sea mayor al umbral serán blancos y en caso contrario serán negros para indicar el objeto en movimiento. Esto se llevó cabo usando la función de umbral de OpenCV </w:t>
      </w:r>
      <w:r>
        <w:rPr>
          <w:rFonts w:ascii="Arial" w:hAnsi="Arial" w:cs="Arial"/>
          <w:i/>
          <w:color w:val="000000"/>
        </w:rPr>
        <w:t>cv2.threshold()</w:t>
      </w:r>
      <w:r>
        <w:rPr>
          <w:rFonts w:ascii="Arial" w:hAnsi="Arial" w:cs="Arial"/>
          <w:color w:val="000000"/>
        </w:rPr>
        <w:t>.</w:t>
      </w:r>
    </w:p>
    <w:p w:rsidR="00776774" w:rsidRDefault="00776774" w:rsidP="00776774">
      <w:pPr>
        <w:ind w:firstLine="539"/>
        <w:jc w:val="both"/>
        <w:rPr>
          <w:rFonts w:ascii="Arial" w:hAnsi="Arial" w:cs="Arial"/>
          <w:color w:val="000000"/>
        </w:rPr>
      </w:pPr>
    </w:p>
    <w:p w:rsidR="00776774" w:rsidRDefault="00776774" w:rsidP="00776774">
      <w:pPr>
        <w:spacing w:line="360" w:lineRule="auto"/>
        <w:jc w:val="both"/>
        <w:rPr>
          <w:rFonts w:ascii="Arial" w:hAnsi="Arial" w:cs="Arial"/>
          <w:i/>
          <w:color w:val="000000"/>
        </w:rPr>
      </w:pPr>
      <w:r>
        <w:rPr>
          <w:rFonts w:ascii="Arial" w:hAnsi="Arial" w:cs="Arial"/>
          <w:i/>
          <w:color w:val="000000"/>
        </w:rPr>
        <w:t>3.2.6 Dilatación de la imagen binaria.</w:t>
      </w:r>
    </w:p>
    <w:p w:rsidR="00776774" w:rsidRDefault="00776774" w:rsidP="00776774">
      <w:pPr>
        <w:ind w:firstLine="539"/>
        <w:jc w:val="both"/>
        <w:rPr>
          <w:rFonts w:ascii="Arial" w:hAnsi="Arial" w:cs="Arial"/>
          <w:color w:val="000000"/>
        </w:rPr>
      </w:pPr>
      <w:r>
        <w:rPr>
          <w:rFonts w:ascii="Arial" w:hAnsi="Arial" w:cs="Arial"/>
          <w:color w:val="000000"/>
        </w:rPr>
        <w:t xml:space="preserve">En el procesamiento de imágenes basadas en perfiles o contornos se pueden usar dos operaciones morfológicas básicas: la erosión y la dilatación. Se utilizan para remover ruido, aislar o unir componentes de una imagen y localizar protuberancias o huecos en la imagen. Para obtener los contornos del objeto o persona en movimiento en esta fase se erosionó la imagen, ya que con esto se maximizan o se hacen crecer las regiones con brillo de la misma. OpenCV proporciona la función </w:t>
      </w:r>
      <w:r>
        <w:rPr>
          <w:rFonts w:ascii="Arial" w:hAnsi="Arial" w:cs="Arial"/>
          <w:i/>
          <w:color w:val="000000"/>
        </w:rPr>
        <w:t>cv2.dilate()</w:t>
      </w:r>
      <w:r>
        <w:rPr>
          <w:rFonts w:ascii="Arial" w:hAnsi="Arial" w:cs="Arial"/>
          <w:color w:val="000000"/>
        </w:rPr>
        <w:t xml:space="preserve"> con la cual se implantó esta fase. En la Figura 5 se muestra la imagen binaria dilatada.</w:t>
      </w:r>
    </w:p>
    <w:p w:rsidR="00776774" w:rsidRDefault="00776774" w:rsidP="00776774">
      <w:pPr>
        <w:pStyle w:val="Textoindependiente"/>
        <w:rPr>
          <w:rFonts w:ascii="Times New Roman" w:hAnsi="Times New Roman" w:cs="Times New Roman"/>
          <w:lang w:val="es-MX"/>
        </w:rPr>
      </w:pPr>
    </w:p>
    <w:tbl>
      <w:tblPr>
        <w:tblW w:w="10492" w:type="dxa"/>
        <w:tblLook w:val="04A0" w:firstRow="1" w:lastRow="0" w:firstColumn="1" w:lastColumn="0" w:noHBand="0" w:noVBand="1"/>
      </w:tblPr>
      <w:tblGrid>
        <w:gridCol w:w="5246"/>
        <w:gridCol w:w="5246"/>
      </w:tblGrid>
      <w:tr w:rsidR="00776774" w:rsidTr="00776774">
        <w:trPr>
          <w:trHeight w:val="3405"/>
        </w:trPr>
        <w:tc>
          <w:tcPr>
            <w:tcW w:w="5246" w:type="dxa"/>
            <w:hideMark/>
          </w:tcPr>
          <w:p w:rsidR="00776774" w:rsidRDefault="00776774">
            <w:pPr>
              <w:pStyle w:val="Textoindependiente"/>
              <w:jc w:val="center"/>
              <w:rPr>
                <w:sz w:val="2"/>
                <w:szCs w:val="2"/>
                <w:lang w:val="es-MX"/>
              </w:rPr>
            </w:pPr>
            <w:r>
              <w:rPr>
                <w:noProof/>
                <w:sz w:val="2"/>
                <w:szCs w:val="2"/>
                <w:lang w:val="en-US"/>
              </w:rPr>
              <w:drawing>
                <wp:inline distT="0" distB="0" distL="0" distR="0" wp14:anchorId="1724E67A" wp14:editId="7DAA8AB1">
                  <wp:extent cx="1562100" cy="2066925"/>
                  <wp:effectExtent l="0" t="0" r="0" b="9525"/>
                  <wp:docPr id="1116" name="Imagen 1116" descr="fig4-dete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fig4-deteccion"/>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1562100" cy="2066925"/>
                          </a:xfrm>
                          <a:prstGeom prst="rect">
                            <a:avLst/>
                          </a:prstGeom>
                          <a:noFill/>
                          <a:ln>
                            <a:noFill/>
                          </a:ln>
                        </pic:spPr>
                      </pic:pic>
                    </a:graphicData>
                  </a:graphic>
                </wp:inline>
              </w:drawing>
            </w:r>
          </w:p>
        </w:tc>
        <w:tc>
          <w:tcPr>
            <w:tcW w:w="5246" w:type="dxa"/>
            <w:hideMark/>
          </w:tcPr>
          <w:p w:rsidR="00776774" w:rsidRDefault="00776774">
            <w:pPr>
              <w:pStyle w:val="Textoindependiente"/>
              <w:jc w:val="center"/>
              <w:rPr>
                <w:sz w:val="2"/>
                <w:szCs w:val="2"/>
                <w:lang w:val="es-MX"/>
              </w:rPr>
            </w:pPr>
            <w:r>
              <w:rPr>
                <w:noProof/>
                <w:sz w:val="2"/>
                <w:szCs w:val="2"/>
                <w:lang w:val="en-US"/>
              </w:rPr>
              <w:drawing>
                <wp:inline distT="0" distB="0" distL="0" distR="0" wp14:anchorId="1297A73B" wp14:editId="5EF750E2">
                  <wp:extent cx="1562100" cy="2066925"/>
                  <wp:effectExtent l="0" t="0" r="0" b="9525"/>
                  <wp:docPr id="1115" name="Imagen 1115" descr="fig5-dete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fig5-deteccion"/>
                          <pic:cNvPicPr>
                            <a:picLocks noChangeAspect="1" noChangeArrowheads="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1562100" cy="2066925"/>
                          </a:xfrm>
                          <a:prstGeom prst="rect">
                            <a:avLst/>
                          </a:prstGeom>
                          <a:noFill/>
                          <a:ln>
                            <a:noFill/>
                          </a:ln>
                        </pic:spPr>
                      </pic:pic>
                    </a:graphicData>
                  </a:graphic>
                </wp:inline>
              </w:drawing>
            </w:r>
          </w:p>
        </w:tc>
      </w:tr>
      <w:tr w:rsidR="00776774" w:rsidTr="00776774">
        <w:tc>
          <w:tcPr>
            <w:tcW w:w="5246" w:type="dxa"/>
            <w:hideMark/>
          </w:tcPr>
          <w:p w:rsidR="00776774" w:rsidRDefault="00776774">
            <w:pPr>
              <w:jc w:val="center"/>
              <w:rPr>
                <w:rFonts w:ascii="Arial" w:hAnsi="Arial" w:cs="Arial"/>
                <w:bCs/>
                <w:i/>
                <w:sz w:val="20"/>
                <w:szCs w:val="20"/>
              </w:rPr>
            </w:pPr>
            <w:r>
              <w:rPr>
                <w:rFonts w:ascii="Arial" w:hAnsi="Arial" w:cs="Arial"/>
                <w:bCs/>
                <w:i/>
                <w:sz w:val="20"/>
                <w:szCs w:val="20"/>
              </w:rPr>
              <w:t>Figura 4. Resultado de la deferencia absoluta entre la imagen de referencia y las de comparación.</w:t>
            </w:r>
          </w:p>
        </w:tc>
        <w:tc>
          <w:tcPr>
            <w:tcW w:w="5246" w:type="dxa"/>
            <w:hideMark/>
          </w:tcPr>
          <w:p w:rsidR="00776774" w:rsidRDefault="00776774">
            <w:pPr>
              <w:jc w:val="center"/>
              <w:rPr>
                <w:rFonts w:ascii="Arial" w:hAnsi="Arial" w:cs="Arial"/>
                <w:bCs/>
                <w:i/>
                <w:sz w:val="20"/>
                <w:szCs w:val="20"/>
              </w:rPr>
            </w:pPr>
            <w:r>
              <w:rPr>
                <w:rFonts w:ascii="Arial" w:hAnsi="Arial" w:cs="Arial"/>
                <w:bCs/>
                <w:i/>
                <w:sz w:val="20"/>
                <w:szCs w:val="20"/>
              </w:rPr>
              <w:t>Figura 5. Imagen binaria dilatada.</w:t>
            </w:r>
          </w:p>
        </w:tc>
      </w:tr>
    </w:tbl>
    <w:p w:rsidR="00776774" w:rsidRDefault="00776774" w:rsidP="00776774">
      <w:pPr>
        <w:pStyle w:val="Textoindependiente"/>
        <w:rPr>
          <w:rFonts w:ascii="Times New Roman" w:eastAsia="Batang" w:hAnsi="Times New Roman" w:cs="Times New Roman"/>
          <w:szCs w:val="24"/>
          <w:lang w:val="es-MX" w:eastAsia="ko-KR"/>
        </w:rPr>
      </w:pPr>
    </w:p>
    <w:p w:rsidR="00776774" w:rsidRDefault="00776774" w:rsidP="00776774">
      <w:pPr>
        <w:spacing w:line="360" w:lineRule="auto"/>
        <w:jc w:val="both"/>
        <w:rPr>
          <w:rFonts w:ascii="Arial" w:hAnsi="Arial" w:cs="Arial"/>
          <w:i/>
          <w:color w:val="000000"/>
        </w:rPr>
      </w:pPr>
      <w:r>
        <w:rPr>
          <w:rFonts w:ascii="Arial" w:hAnsi="Arial" w:cs="Arial"/>
          <w:i/>
          <w:color w:val="000000"/>
        </w:rPr>
        <w:t>3.2.7 Obtención de contornos.</w:t>
      </w:r>
    </w:p>
    <w:p w:rsidR="00776774" w:rsidRDefault="00776774" w:rsidP="00776774">
      <w:pPr>
        <w:ind w:firstLine="539"/>
        <w:jc w:val="both"/>
        <w:rPr>
          <w:rFonts w:ascii="Arial" w:hAnsi="Arial" w:cs="Arial"/>
          <w:color w:val="000000"/>
        </w:rPr>
      </w:pPr>
      <w:r>
        <w:rPr>
          <w:rFonts w:ascii="Arial" w:hAnsi="Arial" w:cs="Arial"/>
          <w:color w:val="000000"/>
        </w:rPr>
        <w:t xml:space="preserve">En la imagen binaria, un contorno es un conjunto de pixeles conectados entre sí que forman una figura que rodea el objeto. Son pixeles que tienen como vecinos a otros del mismo valor. Para detectar los contornos de la imagen, en esta fase se usó la función </w:t>
      </w:r>
      <w:r>
        <w:rPr>
          <w:rFonts w:ascii="Arial" w:hAnsi="Arial" w:cs="Arial"/>
          <w:i/>
          <w:color w:val="000000"/>
        </w:rPr>
        <w:t>cv2.findContours()</w:t>
      </w:r>
      <w:r>
        <w:rPr>
          <w:rFonts w:ascii="Arial" w:hAnsi="Arial" w:cs="Arial"/>
          <w:color w:val="000000"/>
        </w:rPr>
        <w:t xml:space="preserve">. Esta función retorna en </w:t>
      </w:r>
      <w:r>
        <w:rPr>
          <w:rFonts w:ascii="Arial" w:hAnsi="Arial" w:cs="Arial"/>
          <w:color w:val="000000"/>
        </w:rPr>
        <w:lastRenderedPageBreak/>
        <w:t>un arreglo las coordenadas de los contornos encontrados. En la Figura 6 se muestran los contornos de la imagen dilatada.</w:t>
      </w:r>
    </w:p>
    <w:p w:rsidR="00776774" w:rsidRDefault="00776774" w:rsidP="00776774">
      <w:pPr>
        <w:pStyle w:val="Textoindependiente"/>
        <w:rPr>
          <w:rFonts w:ascii="Times New Roman" w:hAnsi="Times New Roman" w:cs="Times New Roman"/>
          <w:lang w:val="es-MX"/>
        </w:rPr>
      </w:pPr>
    </w:p>
    <w:p w:rsidR="00776774" w:rsidRDefault="00776774" w:rsidP="00776774">
      <w:pPr>
        <w:spacing w:line="360" w:lineRule="auto"/>
        <w:jc w:val="both"/>
        <w:rPr>
          <w:rFonts w:ascii="Arial" w:hAnsi="Arial" w:cs="Arial"/>
          <w:i/>
          <w:color w:val="000000"/>
        </w:rPr>
      </w:pPr>
      <w:r>
        <w:rPr>
          <w:rFonts w:ascii="Arial" w:hAnsi="Arial" w:cs="Arial"/>
          <w:i/>
          <w:color w:val="000000"/>
        </w:rPr>
        <w:t>3.2.8 Creación del rectángulo en los contornos.</w:t>
      </w:r>
    </w:p>
    <w:p w:rsidR="00776774" w:rsidRDefault="00776774" w:rsidP="00776774">
      <w:pPr>
        <w:ind w:firstLine="539"/>
        <w:jc w:val="both"/>
        <w:rPr>
          <w:rFonts w:ascii="Arial" w:hAnsi="Arial" w:cs="Arial"/>
          <w:color w:val="000000"/>
        </w:rPr>
      </w:pPr>
      <w:r>
        <w:rPr>
          <w:rFonts w:ascii="Arial" w:hAnsi="Arial" w:cs="Arial"/>
          <w:color w:val="000000"/>
        </w:rPr>
        <w:t xml:space="preserve">Esta etapa consiste en marcar con un rectángulo los contornos identificados en las imágenes del primer plano de la etapa anterior para indicar las zonas con movimiento. Esta acción se llevó a cabo usando las funciones </w:t>
      </w:r>
      <w:r>
        <w:rPr>
          <w:rFonts w:ascii="Arial" w:hAnsi="Arial" w:cs="Arial"/>
          <w:i/>
          <w:color w:val="000000"/>
        </w:rPr>
        <w:t>cv2.contourArea()</w:t>
      </w:r>
      <w:r>
        <w:rPr>
          <w:rFonts w:ascii="Arial" w:hAnsi="Arial" w:cs="Arial"/>
          <w:color w:val="000000"/>
        </w:rPr>
        <w:t xml:space="preserve"> y </w:t>
      </w:r>
      <w:r>
        <w:rPr>
          <w:rFonts w:ascii="Arial" w:hAnsi="Arial" w:cs="Arial"/>
          <w:i/>
          <w:color w:val="000000"/>
        </w:rPr>
        <w:t>cv2.rectangle()</w:t>
      </w:r>
      <w:r>
        <w:rPr>
          <w:rFonts w:ascii="Arial" w:hAnsi="Arial" w:cs="Arial"/>
          <w:color w:val="000000"/>
        </w:rPr>
        <w:t>. La primera determina el área de los contornos. Si el área es igual o mayor a un valor configurado, la segunda función dibuja un rectángulo en el contorno. Esto descarta contornos pequeños, no deseados o no importantes, como por ejemplo contornos internos de una imagen. El valor mínimo del área de los contornos configurado es ajustable y depende de la aplicación y tipos de objetos a detectar. En este trabajo se estableció a 650. En la Figura 7 se muestra una de las imágenes de primer plano marcando con un rectángulo el área donde se detectó movimiento.</w:t>
      </w:r>
    </w:p>
    <w:p w:rsidR="00776774" w:rsidRDefault="00776774" w:rsidP="00776774">
      <w:pPr>
        <w:ind w:firstLine="539"/>
        <w:jc w:val="both"/>
        <w:rPr>
          <w:rFonts w:ascii="Arial" w:hAnsi="Arial" w:cs="Arial"/>
          <w:color w:val="000000"/>
        </w:rPr>
      </w:pPr>
      <w:r>
        <w:rPr>
          <w:rFonts w:ascii="Arial" w:hAnsi="Arial" w:cs="Arial"/>
          <w:color w:val="000000"/>
        </w:rPr>
        <w:t>Posteriormente, los cuadros de las imágenes con los contornos marcados se almacenan en archivos cuyo nombre está compuesto por la hora cuando se detectó el movimiento. En la memoria micro SD de 64 GB, insertada en la tarjeta Arty Z7-10, se creó un directorio para cada día en el cual se almacenan los archivos indicados anteriormente. Finalmente, se invoca una rutina de retardo de 900 ms para repetir las fases anteriores del proceso, lo que permitirá marcar en cada segundo las imágenes donde exista movimiento.</w:t>
      </w:r>
    </w:p>
    <w:p w:rsidR="00776774" w:rsidRDefault="00776774" w:rsidP="00776774">
      <w:pPr>
        <w:ind w:firstLine="539"/>
        <w:jc w:val="both"/>
        <w:rPr>
          <w:rFonts w:ascii="Arial" w:hAnsi="Arial" w:cs="Arial"/>
          <w:color w:val="000000"/>
        </w:rPr>
      </w:pPr>
    </w:p>
    <w:p w:rsidR="00776774" w:rsidRPr="00776774" w:rsidRDefault="00776774" w:rsidP="00776774">
      <w:pPr>
        <w:pStyle w:val="Ttulo1"/>
        <w:keepLines w:val="0"/>
        <w:numPr>
          <w:ilvl w:val="0"/>
          <w:numId w:val="36"/>
        </w:numPr>
        <w:tabs>
          <w:tab w:val="clear" w:pos="432"/>
          <w:tab w:val="left" w:pos="0"/>
        </w:tabs>
        <w:suppressAutoHyphens/>
        <w:spacing w:before="0" w:after="0" w:line="360" w:lineRule="auto"/>
        <w:ind w:left="0" w:firstLine="0"/>
        <w:rPr>
          <w:rFonts w:ascii="Arial" w:hAnsi="Arial" w:cs="Arial"/>
          <w:color w:val="auto"/>
          <w:sz w:val="24"/>
          <w:szCs w:val="24"/>
        </w:rPr>
      </w:pPr>
      <w:bookmarkStart w:id="345" w:name="_Toc50031392"/>
      <w:r w:rsidRPr="00776774">
        <w:rPr>
          <w:rFonts w:ascii="Arial" w:hAnsi="Arial" w:cs="Arial"/>
          <w:i/>
          <w:caps/>
          <w:sz w:val="24"/>
          <w:szCs w:val="24"/>
        </w:rPr>
        <w:t xml:space="preserve">4. </w:t>
      </w:r>
      <w:r w:rsidRPr="00776774">
        <w:rPr>
          <w:rFonts w:ascii="Arial" w:hAnsi="Arial" w:cs="Arial"/>
          <w:i/>
          <w:sz w:val="24"/>
          <w:szCs w:val="24"/>
        </w:rPr>
        <w:t>Resultados y discusión</w:t>
      </w:r>
      <w:bookmarkEnd w:id="345"/>
    </w:p>
    <w:p w:rsidR="00776774" w:rsidRDefault="00776774" w:rsidP="00776774">
      <w:pPr>
        <w:pStyle w:val="Textoindependiente"/>
        <w:ind w:firstLine="539"/>
        <w:jc w:val="both"/>
        <w:rPr>
          <w:rFonts w:ascii="Arial" w:hAnsi="Arial" w:cs="Arial"/>
          <w:b w:val="0"/>
          <w:sz w:val="24"/>
        </w:rPr>
      </w:pPr>
      <w:r>
        <w:rPr>
          <w:rFonts w:ascii="Arial" w:hAnsi="Arial" w:cs="Arial"/>
          <w:b w:val="0"/>
          <w:sz w:val="24"/>
        </w:rPr>
        <w:t>Se realizaron dos conjuntos de pruebas. El primero tuvo como objetivo determinar el tiempo de respuesta del sistema y la cantidad de imágenes o cuadros de la señal de video que se deben comparar en la segunda fase del algoritmo. Existe el compromiso entre el tempo de respuesta y la cantidad de imágenes, ya que entre mayor sea la cantidad de imágenes de comparación para generar el primer plano se obtienen mejores resultados y se descartan falsos positivos pero el tiempo de procesamiento aumenta. Para determinar la cantidad de imágenes a capturar usando el menor tiempo de procesamiento, se llevaron cabo seis pruebas, en la primera se usó una imagen y en las siguientes una más que la anterior hasta usar seis imágenes en la segunda fase del algoritmo. Los resultados mostraron, como era esperado, que el tiempo de procesamiento del sistema aumentó proporcionalmente como se muestra en la gráfica de la Figura 8.</w:t>
      </w:r>
    </w:p>
    <w:p w:rsidR="00776774" w:rsidRDefault="00776774" w:rsidP="00776774">
      <w:pPr>
        <w:pStyle w:val="Textoindependiente"/>
        <w:ind w:firstLine="539"/>
        <w:jc w:val="both"/>
        <w:rPr>
          <w:rFonts w:ascii="Arial" w:hAnsi="Arial" w:cs="Arial"/>
          <w:b w:val="0"/>
          <w:sz w:val="24"/>
        </w:rPr>
      </w:pPr>
    </w:p>
    <w:tbl>
      <w:tblPr>
        <w:tblW w:w="10492" w:type="dxa"/>
        <w:jc w:val="center"/>
        <w:tblLook w:val="04A0" w:firstRow="1" w:lastRow="0" w:firstColumn="1" w:lastColumn="0" w:noHBand="0" w:noVBand="1"/>
      </w:tblPr>
      <w:tblGrid>
        <w:gridCol w:w="5246"/>
        <w:gridCol w:w="5246"/>
      </w:tblGrid>
      <w:tr w:rsidR="00776774" w:rsidTr="00776774">
        <w:trPr>
          <w:trHeight w:val="3345"/>
          <w:jc w:val="center"/>
        </w:trPr>
        <w:tc>
          <w:tcPr>
            <w:tcW w:w="5246" w:type="dxa"/>
            <w:hideMark/>
          </w:tcPr>
          <w:p w:rsidR="00776774" w:rsidRDefault="00776774">
            <w:pPr>
              <w:pStyle w:val="Textoindependiente"/>
              <w:jc w:val="center"/>
              <w:rPr>
                <w:rFonts w:ascii="Times New Roman" w:hAnsi="Times New Roman" w:cs="Times New Roman"/>
                <w:sz w:val="2"/>
                <w:szCs w:val="2"/>
                <w:lang w:val="es-MX"/>
              </w:rPr>
            </w:pPr>
            <w:r>
              <w:rPr>
                <w:noProof/>
                <w:sz w:val="2"/>
                <w:szCs w:val="2"/>
                <w:lang w:val="en-US"/>
              </w:rPr>
              <w:lastRenderedPageBreak/>
              <w:drawing>
                <wp:inline distT="0" distB="0" distL="0" distR="0" wp14:anchorId="50E6CEC2" wp14:editId="4196CE74">
                  <wp:extent cx="1562100" cy="2066925"/>
                  <wp:effectExtent l="0" t="0" r="0" b="9525"/>
                  <wp:docPr id="1114" name="Imagen 1114" descr="fig6-dete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fig6-deteccion"/>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1562100" cy="2066925"/>
                          </a:xfrm>
                          <a:prstGeom prst="rect">
                            <a:avLst/>
                          </a:prstGeom>
                          <a:noFill/>
                          <a:ln>
                            <a:noFill/>
                          </a:ln>
                        </pic:spPr>
                      </pic:pic>
                    </a:graphicData>
                  </a:graphic>
                </wp:inline>
              </w:drawing>
            </w:r>
          </w:p>
        </w:tc>
        <w:tc>
          <w:tcPr>
            <w:tcW w:w="5246" w:type="dxa"/>
            <w:hideMark/>
          </w:tcPr>
          <w:p w:rsidR="00776774" w:rsidRDefault="00776774">
            <w:pPr>
              <w:pStyle w:val="Textoindependiente"/>
              <w:jc w:val="center"/>
              <w:rPr>
                <w:sz w:val="2"/>
                <w:szCs w:val="2"/>
                <w:lang w:val="es-MX"/>
              </w:rPr>
            </w:pPr>
            <w:r>
              <w:rPr>
                <w:noProof/>
                <w:sz w:val="2"/>
                <w:szCs w:val="2"/>
                <w:lang w:val="en-US"/>
              </w:rPr>
              <w:drawing>
                <wp:inline distT="0" distB="0" distL="0" distR="0" wp14:anchorId="517B1A25" wp14:editId="7AA6EDC1">
                  <wp:extent cx="1562100" cy="2066925"/>
                  <wp:effectExtent l="0" t="0" r="0" b="9525"/>
                  <wp:docPr id="1113" name="Imagen 1113" descr="fig7-dete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fig7-deteccion"/>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1562100" cy="2066925"/>
                          </a:xfrm>
                          <a:prstGeom prst="rect">
                            <a:avLst/>
                          </a:prstGeom>
                          <a:noFill/>
                          <a:ln>
                            <a:noFill/>
                          </a:ln>
                        </pic:spPr>
                      </pic:pic>
                    </a:graphicData>
                  </a:graphic>
                </wp:inline>
              </w:drawing>
            </w:r>
          </w:p>
        </w:tc>
      </w:tr>
      <w:tr w:rsidR="00776774" w:rsidRPr="00776774" w:rsidTr="00776774">
        <w:trPr>
          <w:jc w:val="center"/>
        </w:trPr>
        <w:tc>
          <w:tcPr>
            <w:tcW w:w="5246" w:type="dxa"/>
            <w:hideMark/>
          </w:tcPr>
          <w:p w:rsidR="00776774" w:rsidRDefault="00776774">
            <w:pPr>
              <w:jc w:val="center"/>
              <w:rPr>
                <w:rFonts w:ascii="Arial" w:hAnsi="Arial" w:cs="Arial"/>
                <w:bCs/>
                <w:i/>
                <w:sz w:val="20"/>
                <w:szCs w:val="20"/>
              </w:rPr>
            </w:pPr>
            <w:r>
              <w:rPr>
                <w:rFonts w:ascii="Arial" w:hAnsi="Arial" w:cs="Arial"/>
                <w:bCs/>
                <w:i/>
                <w:sz w:val="20"/>
                <w:szCs w:val="20"/>
              </w:rPr>
              <w:t>Figura 6. Contornos de la imagen dilatada.</w:t>
            </w:r>
          </w:p>
        </w:tc>
        <w:tc>
          <w:tcPr>
            <w:tcW w:w="5246" w:type="dxa"/>
            <w:hideMark/>
          </w:tcPr>
          <w:p w:rsidR="00776774" w:rsidRDefault="00776774">
            <w:pPr>
              <w:jc w:val="center"/>
              <w:rPr>
                <w:rFonts w:ascii="Arial" w:hAnsi="Arial" w:cs="Arial"/>
                <w:bCs/>
                <w:i/>
                <w:sz w:val="20"/>
                <w:szCs w:val="20"/>
              </w:rPr>
            </w:pPr>
            <w:r>
              <w:rPr>
                <w:rFonts w:ascii="Arial" w:hAnsi="Arial" w:cs="Arial"/>
                <w:bCs/>
                <w:i/>
                <w:sz w:val="20"/>
                <w:szCs w:val="20"/>
              </w:rPr>
              <w:t>Figura 7. Imagen de primer plano marcando con un rectángulo las áreas donde se detectó movimiento.</w:t>
            </w:r>
          </w:p>
        </w:tc>
      </w:tr>
    </w:tbl>
    <w:p w:rsidR="00776774" w:rsidRDefault="00776774" w:rsidP="00776774">
      <w:pPr>
        <w:pStyle w:val="Textoindependiente"/>
        <w:ind w:firstLine="539"/>
        <w:jc w:val="both"/>
        <w:rPr>
          <w:rFonts w:ascii="Arial" w:eastAsia="Batang" w:hAnsi="Arial" w:cs="Arial"/>
          <w:b w:val="0"/>
          <w:sz w:val="24"/>
          <w:szCs w:val="24"/>
          <w:lang w:eastAsia="ko-KR"/>
        </w:rPr>
      </w:pPr>
    </w:p>
    <w:tbl>
      <w:tblPr>
        <w:tblW w:w="0" w:type="auto"/>
        <w:jc w:val="center"/>
        <w:tblLook w:val="04A0" w:firstRow="1" w:lastRow="0" w:firstColumn="1" w:lastColumn="0" w:noHBand="0" w:noVBand="1"/>
      </w:tblPr>
      <w:tblGrid>
        <w:gridCol w:w="5243"/>
      </w:tblGrid>
      <w:tr w:rsidR="00776774" w:rsidRPr="00776774" w:rsidTr="00776774">
        <w:trPr>
          <w:trHeight w:val="3402"/>
          <w:jc w:val="center"/>
        </w:trPr>
        <w:tc>
          <w:tcPr>
            <w:tcW w:w="5243" w:type="dxa"/>
            <w:hideMark/>
          </w:tcPr>
          <w:p w:rsidR="00776774" w:rsidRDefault="00776774">
            <w:pPr>
              <w:pStyle w:val="Textoindependiente"/>
              <w:jc w:val="center"/>
              <w:rPr>
                <w:rFonts w:ascii="Times New Roman" w:hAnsi="Times New Roman" w:cs="Times New Roman"/>
                <w:sz w:val="2"/>
                <w:szCs w:val="2"/>
                <w:lang w:val="es-MX"/>
              </w:rPr>
            </w:pPr>
            <w:r>
              <w:rPr>
                <w:rFonts w:ascii="Times New Roman" w:hAnsi="Times New Roman" w:cs="Times New Roman"/>
                <w:noProof/>
                <w:lang w:val="en-US"/>
              </w:rPr>
              <w:drawing>
                <wp:anchor distT="0" distB="0" distL="114300" distR="114300" simplePos="0" relativeHeight="251856896" behindDoc="0" locked="0" layoutInCell="1" allowOverlap="1" wp14:anchorId="70FC1007" wp14:editId="10FFD3C2">
                  <wp:simplePos x="0" y="0"/>
                  <wp:positionH relativeFrom="margin">
                    <wp:align>center</wp:align>
                  </wp:positionH>
                  <wp:positionV relativeFrom="margin">
                    <wp:align>top</wp:align>
                  </wp:positionV>
                  <wp:extent cx="3056890" cy="2073910"/>
                  <wp:effectExtent l="0" t="0" r="0" b="2540"/>
                  <wp:wrapSquare wrapText="bothSides"/>
                  <wp:docPr id="2026623776" name="Imagen 202662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3056890" cy="2073910"/>
                          </a:xfrm>
                          <a:prstGeom prst="rect">
                            <a:avLst/>
                          </a:prstGeom>
                          <a:noFill/>
                        </pic:spPr>
                      </pic:pic>
                    </a:graphicData>
                  </a:graphic>
                  <wp14:sizeRelH relativeFrom="page">
                    <wp14:pctWidth>0</wp14:pctWidth>
                  </wp14:sizeRelH>
                  <wp14:sizeRelV relativeFrom="page">
                    <wp14:pctHeight>0</wp14:pctHeight>
                  </wp14:sizeRelV>
                </wp:anchor>
              </w:drawing>
            </w:r>
          </w:p>
        </w:tc>
      </w:tr>
      <w:tr w:rsidR="00776774" w:rsidRPr="00776774" w:rsidTr="00776774">
        <w:trPr>
          <w:jc w:val="center"/>
        </w:trPr>
        <w:tc>
          <w:tcPr>
            <w:tcW w:w="5243" w:type="dxa"/>
            <w:hideMark/>
          </w:tcPr>
          <w:p w:rsidR="00776774" w:rsidRDefault="00776774">
            <w:pPr>
              <w:jc w:val="center"/>
              <w:rPr>
                <w:rFonts w:ascii="Arial" w:hAnsi="Arial" w:cs="Arial"/>
                <w:bCs/>
                <w:i/>
                <w:sz w:val="20"/>
                <w:szCs w:val="20"/>
              </w:rPr>
            </w:pPr>
            <w:r>
              <w:rPr>
                <w:rFonts w:ascii="Arial" w:hAnsi="Arial" w:cs="Arial"/>
                <w:bCs/>
                <w:i/>
                <w:sz w:val="20"/>
                <w:szCs w:val="20"/>
              </w:rPr>
              <w:t>Figura 8. Tiempo de procesamiento del sistema.</w:t>
            </w:r>
          </w:p>
        </w:tc>
      </w:tr>
    </w:tbl>
    <w:p w:rsidR="00776774" w:rsidRDefault="00776774" w:rsidP="00776774">
      <w:pPr>
        <w:pStyle w:val="Textoindependiente"/>
        <w:ind w:firstLine="539"/>
        <w:jc w:val="both"/>
        <w:rPr>
          <w:rFonts w:ascii="Arial" w:eastAsia="Batang" w:hAnsi="Arial" w:cs="Arial"/>
          <w:b w:val="0"/>
          <w:sz w:val="24"/>
          <w:szCs w:val="24"/>
          <w:lang w:val="es-MX" w:eastAsia="ko-KR"/>
        </w:rPr>
      </w:pPr>
    </w:p>
    <w:p w:rsidR="00776774" w:rsidRDefault="00776774" w:rsidP="00776774">
      <w:pPr>
        <w:pStyle w:val="Textoindependiente"/>
        <w:ind w:firstLine="539"/>
        <w:jc w:val="both"/>
        <w:rPr>
          <w:rFonts w:ascii="Arial" w:hAnsi="Arial" w:cs="Arial"/>
          <w:b w:val="0"/>
          <w:sz w:val="24"/>
        </w:rPr>
      </w:pPr>
      <w:r>
        <w:rPr>
          <w:rFonts w:ascii="Arial" w:hAnsi="Arial" w:cs="Arial"/>
          <w:b w:val="0"/>
          <w:sz w:val="24"/>
        </w:rPr>
        <w:t xml:space="preserve">Después de la tercera prueba, al usar más de tres imágenes, el tiempo de procesamiento crece aceleradamente hasta llegar a 387.6 ms. En base a estos resultados, se decidió usar tres imágenes en esta fase, ya que el tiempo de procesamiento, 100.3 ms, es aceptable para la aplicación y permite eliminar falsos positivos, es decir, objetos que pertenecen a la imagen de referencia o segundo plano, que se detectaron al usar una y dos imágenes para generar el primer plano. Por esta razón, al detectar movimiento y después de 900 ms el algoritmo se repite, dando oportunidad de realizar cada segundo el muestreo de la escena. </w:t>
      </w:r>
    </w:p>
    <w:p w:rsidR="00776774" w:rsidRDefault="00776774" w:rsidP="00776774">
      <w:pPr>
        <w:pStyle w:val="Textoindependiente"/>
        <w:ind w:firstLine="539"/>
        <w:jc w:val="both"/>
        <w:rPr>
          <w:rFonts w:ascii="Arial" w:hAnsi="Arial" w:cs="Arial"/>
          <w:b w:val="0"/>
          <w:sz w:val="24"/>
        </w:rPr>
      </w:pPr>
      <w:r>
        <w:rPr>
          <w:rFonts w:ascii="Arial" w:hAnsi="Arial" w:cs="Arial"/>
          <w:b w:val="0"/>
          <w:sz w:val="24"/>
        </w:rPr>
        <w:t xml:space="preserve">El objetivo del segundo grupo de pruebas fue determinar la dimensión del área del rectángulo a usar en la octava etapa de algoritmo. En estas pruebas se marcaron los </w:t>
      </w:r>
      <w:r>
        <w:rPr>
          <w:rFonts w:ascii="Arial" w:hAnsi="Arial" w:cs="Arial"/>
          <w:b w:val="0"/>
          <w:sz w:val="24"/>
        </w:rPr>
        <w:lastRenderedPageBreak/>
        <w:t xml:space="preserve">contornos con rectángulos. Se observó que los rectángulos cuya área fue menor a 650 son falsos positivos, objetos de la escena que no pertenecen a la persona en movimiento. </w:t>
      </w:r>
    </w:p>
    <w:p w:rsidR="00776774" w:rsidRDefault="00776774" w:rsidP="00776774">
      <w:pPr>
        <w:pStyle w:val="Textoindependiente"/>
        <w:ind w:firstLine="539"/>
        <w:jc w:val="both"/>
        <w:rPr>
          <w:rFonts w:ascii="Arial" w:hAnsi="Arial" w:cs="Arial"/>
          <w:b w:val="0"/>
          <w:sz w:val="24"/>
        </w:rPr>
      </w:pPr>
      <w:r>
        <w:rPr>
          <w:rFonts w:ascii="Arial" w:hAnsi="Arial" w:cs="Arial"/>
          <w:b w:val="0"/>
          <w:sz w:val="24"/>
        </w:rPr>
        <w:t>Si bien, el método de sustracción de fondo es sencillo de implantar y no es necesario que las personas u objetos cuyo movimiento sea detectado porten algo que los identifique ni está basado en la textura de la imagen, es sensible a las condiciones de iluminación. No obstante, en esta aplicación la cámara fija y la escena siempre esta iluminada o bien el CCTV cuenta con un sensor que ilumina el área al abrir la puerta de la sala de equipos.</w:t>
      </w:r>
    </w:p>
    <w:p w:rsidR="00776774" w:rsidRDefault="00776774" w:rsidP="00776774">
      <w:pPr>
        <w:pStyle w:val="Textoindependiente"/>
        <w:ind w:firstLine="539"/>
        <w:jc w:val="both"/>
        <w:rPr>
          <w:rFonts w:ascii="Arial" w:hAnsi="Arial" w:cs="Arial"/>
          <w:b w:val="0"/>
          <w:sz w:val="24"/>
        </w:rPr>
      </w:pPr>
    </w:p>
    <w:p w:rsidR="00776774" w:rsidRPr="00776774" w:rsidRDefault="00776774" w:rsidP="00776774">
      <w:pPr>
        <w:pStyle w:val="Ttulo1"/>
        <w:keepLines w:val="0"/>
        <w:numPr>
          <w:ilvl w:val="0"/>
          <w:numId w:val="36"/>
        </w:numPr>
        <w:tabs>
          <w:tab w:val="clear" w:pos="432"/>
          <w:tab w:val="left" w:pos="0"/>
        </w:tabs>
        <w:suppressAutoHyphens/>
        <w:spacing w:before="0" w:after="0" w:line="360" w:lineRule="auto"/>
        <w:ind w:left="0" w:firstLine="0"/>
        <w:rPr>
          <w:rFonts w:ascii="Arial" w:hAnsi="Arial" w:cs="Arial"/>
          <w:b/>
          <w:sz w:val="24"/>
          <w:szCs w:val="24"/>
        </w:rPr>
      </w:pPr>
      <w:bookmarkStart w:id="346" w:name="_Toc50031393"/>
      <w:r w:rsidRPr="00776774">
        <w:rPr>
          <w:rFonts w:ascii="Arial" w:hAnsi="Arial" w:cs="Arial"/>
          <w:i/>
          <w:caps/>
          <w:sz w:val="24"/>
          <w:szCs w:val="24"/>
        </w:rPr>
        <w:t xml:space="preserve">5. </w:t>
      </w:r>
      <w:r w:rsidRPr="00776774">
        <w:rPr>
          <w:rFonts w:ascii="Arial" w:hAnsi="Arial" w:cs="Arial"/>
          <w:i/>
          <w:sz w:val="24"/>
          <w:szCs w:val="24"/>
        </w:rPr>
        <w:t>Conclusiones</w:t>
      </w:r>
      <w:bookmarkEnd w:id="346"/>
    </w:p>
    <w:p w:rsidR="00776774" w:rsidRDefault="00776774" w:rsidP="00776774">
      <w:pPr>
        <w:pStyle w:val="Textoindependiente"/>
        <w:ind w:firstLine="539"/>
        <w:jc w:val="both"/>
        <w:rPr>
          <w:rFonts w:ascii="Arial" w:hAnsi="Arial" w:cs="Arial"/>
          <w:b w:val="0"/>
          <w:sz w:val="24"/>
        </w:rPr>
      </w:pPr>
      <w:r>
        <w:rPr>
          <w:rFonts w:ascii="Arial" w:hAnsi="Arial" w:cs="Arial"/>
          <w:b w:val="0"/>
          <w:sz w:val="24"/>
        </w:rPr>
        <w:t xml:space="preserve">Se obtuvo un sistema de detección de movimiento en la puerta de acceso a las salas de equipo de un CPD usando el método de extracción de segundo plano. Considerando los resultados obtenidos, específicamente en el tiempo de respuesta del sistema, el sistema puede usarse en otras aplicaciones o ambientes de tiempo real ya que la cámara de video usada proporciona 30 cuadros por segundo, de los cuales se utilizan tres en el algoritmo implantado. </w:t>
      </w:r>
    </w:p>
    <w:p w:rsidR="00776774" w:rsidRDefault="00776774" w:rsidP="00776774">
      <w:pPr>
        <w:pStyle w:val="Textoindependiente"/>
        <w:ind w:firstLine="539"/>
        <w:jc w:val="both"/>
        <w:rPr>
          <w:rFonts w:ascii="Arial" w:hAnsi="Arial" w:cs="Arial"/>
          <w:b w:val="0"/>
          <w:sz w:val="24"/>
        </w:rPr>
      </w:pPr>
      <w:r>
        <w:rPr>
          <w:rFonts w:ascii="Arial" w:hAnsi="Arial" w:cs="Arial"/>
          <w:b w:val="0"/>
          <w:sz w:val="24"/>
        </w:rPr>
        <w:t>En caso de ser necesario reducir el tiempo de procesamiento, puede usarse un algoritmo del tipo MOG, basado también en la extracción de segundo plano, u otro más sofisticado cuyo tiempo de procesamiento sea mucho menor al usado en este trabajo, para lo cual es recomendable que sea implantado creando un overlay en PYNQ para aprovechar la ejecución de tareas en paralelo con los módulos de la tarjeta Arty 27-Z10. Por último, si en la puerta de acceso existe demasiado movimiento, se puede usar una tarjeta micro SD cuya capacidad sea mayor a 64 GB, lo que le permitirá almacenar una mayor cantidad de imágenes que en este trabajo sin realizar cambio alguno en el sistema.</w:t>
      </w:r>
    </w:p>
    <w:p w:rsidR="00776774" w:rsidRDefault="00776774" w:rsidP="00776774">
      <w:pPr>
        <w:pStyle w:val="Textoindependiente"/>
        <w:ind w:firstLine="539"/>
        <w:rPr>
          <w:rFonts w:ascii="Arial" w:hAnsi="Arial" w:cs="Arial"/>
          <w:b w:val="0"/>
          <w:sz w:val="24"/>
        </w:rPr>
      </w:pPr>
    </w:p>
    <w:p w:rsidR="00776774" w:rsidRPr="00776774" w:rsidRDefault="00776774" w:rsidP="00776774">
      <w:pPr>
        <w:pStyle w:val="Ttulo1"/>
        <w:keepLines w:val="0"/>
        <w:numPr>
          <w:ilvl w:val="0"/>
          <w:numId w:val="36"/>
        </w:numPr>
        <w:tabs>
          <w:tab w:val="clear" w:pos="432"/>
          <w:tab w:val="left" w:pos="0"/>
        </w:tabs>
        <w:suppressAutoHyphens/>
        <w:spacing w:before="0" w:after="0" w:line="360" w:lineRule="auto"/>
        <w:ind w:left="0" w:firstLine="0"/>
        <w:rPr>
          <w:rFonts w:ascii="Arial" w:hAnsi="Arial" w:cs="Arial"/>
          <w:b/>
          <w:sz w:val="24"/>
          <w:szCs w:val="24"/>
        </w:rPr>
      </w:pPr>
      <w:bookmarkStart w:id="347" w:name="_Toc50031394"/>
      <w:r w:rsidRPr="00776774">
        <w:rPr>
          <w:rFonts w:ascii="Arial" w:hAnsi="Arial" w:cs="Arial"/>
          <w:i/>
          <w:caps/>
          <w:sz w:val="24"/>
          <w:szCs w:val="24"/>
        </w:rPr>
        <w:t xml:space="preserve">6. </w:t>
      </w:r>
      <w:r w:rsidRPr="00776774">
        <w:rPr>
          <w:rFonts w:ascii="Arial" w:hAnsi="Arial" w:cs="Arial"/>
          <w:i/>
          <w:sz w:val="24"/>
          <w:szCs w:val="24"/>
        </w:rPr>
        <w:t>Bibliografía</w:t>
      </w:r>
      <w:bookmarkEnd w:id="347"/>
    </w:p>
    <w:p w:rsidR="00776774" w:rsidRDefault="00776774" w:rsidP="00776774">
      <w:pPr>
        <w:numPr>
          <w:ilvl w:val="0"/>
          <w:numId w:val="84"/>
        </w:numPr>
        <w:tabs>
          <w:tab w:val="left" w:pos="750"/>
        </w:tabs>
        <w:suppressAutoHyphens/>
        <w:spacing w:after="0" w:line="240" w:lineRule="auto"/>
        <w:jc w:val="both"/>
        <w:rPr>
          <w:rFonts w:ascii="Arial" w:hAnsi="Arial" w:cs="Arial"/>
          <w:lang w:val="en-US" w:eastAsia="ko-KR"/>
        </w:rPr>
      </w:pPr>
      <w:r>
        <w:rPr>
          <w:rFonts w:ascii="Arial" w:hAnsi="Arial" w:cs="Arial"/>
          <w:lang w:val="en-US"/>
        </w:rPr>
        <w:t>Chang V., Ramachandran M., “Towards Achieving Data Security with the Cloud Computing Adoption Framework”, IEEE Transactions on Services Computing, 9(1), 138-151 (2016).</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Hu J., Lu R., “New requirements of information security protection on state grid Shanghai Municipal Electric Power Company Data Center compared with Disaster Recovery Center”, CIRED-Open Access Proceedings Journal, 2017(1), 2825-2826 (2017).</w:t>
      </w:r>
    </w:p>
    <w:p w:rsidR="00776774" w:rsidRDefault="00776774" w:rsidP="00776774">
      <w:pPr>
        <w:numPr>
          <w:ilvl w:val="0"/>
          <w:numId w:val="84"/>
        </w:numPr>
        <w:tabs>
          <w:tab w:val="left" w:pos="750"/>
        </w:tabs>
        <w:suppressAutoHyphens/>
        <w:spacing w:after="0" w:line="240" w:lineRule="auto"/>
        <w:jc w:val="both"/>
        <w:rPr>
          <w:rFonts w:ascii="Arial" w:hAnsi="Arial" w:cs="Arial"/>
          <w:lang w:val="es-MX"/>
        </w:rPr>
      </w:pPr>
      <w:r>
        <w:rPr>
          <w:rFonts w:ascii="Arial" w:hAnsi="Arial" w:cs="Arial"/>
          <w:lang w:val="es-MX"/>
        </w:rPr>
        <w:t>Norma ICREA Std-131-2019, https://icrea-international.org/wp-content/uploads/2019/08/Criterios_Generales_de_Certificacion.pdf.</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TIA Standard, Telecommunications Infrastructure Standard for Data Centers ANSI/TIA-942-B-2017, Approved July 12, 2017, www.tiaonline.org, https://global.ihs.com/doc_detail.cfm?document_name=TIA%2D942&amp;item_s_key=00414811.</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lastRenderedPageBreak/>
        <w:t>Wang H., Chen Z., Zheng S., “Preliminary Research of Low-RCS Moving Target Detection Based on Ka-Band Video SAR”, IEEE Geoscience and Remote Sensing Letters, 14(6), 811-815 (2017).</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ElTantawy A., Shehata M. S., “KRMARO: Aerial Detection of Small-Size Ground Moving Objects Using Kinematic Regularization and Matrix Rank Optimization”, IEEE Transactions on Circuits and Systems for Video Technology, 29(6), 1672-1686 (2019).</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Wang K., Zeng Z., Sun J., “Through-Wall Detection of the Moving Paths and Vital Signs of Human Beings”, IEEE Geoscience and Remote Sensing Letters, 16(5), 717-721 (2019).</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Cao X., Yang L., Guo X., “Total Variation Regularized RPCA for Irregularly Moving Object Detection Under Dynamic Background”, IEEE Transactions on Cybernetics, 46(4), 1014-1027 (2016).</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Han H., Zhu J., Liao S., Lei Z., Li S. Z., “Moving Object Detection Revisited: Speed and Robustness”, IEEE Transactions on Circuits and Systems for Video Technology, 25(6), 910-921 (2016).</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Chen P., Zheng L., Wang X., Li H., Wu L., “Moving Target Detection Using Colocated MIMO Radar on Multiple Distributed Moving Platforms”, IEEE Transactions on Signal Processing, 65(17), 4670-4683 (2017).</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Yu X., Chen X., Huang Y., Zhang L., “Radar Moving Target Detection in Clutter Background via Adaptive Dual-Threshold Sparse Fourier Transform”, IEEE Access, 7(1), 58200-58201 (2019).</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Kim Y., Sekhon S. S., “Detection of Moving Target and Localization of Clutter Using Doppler Radar on Mobile Platform”, IEEE Geoscience and Remote Sensing Letters, 12(5), 1156-1160 (2015).</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Yang J., Liu C., “Detection and Imaging of Ground Moving Targets With Real SAR Data”, IEEE Transactions on Geoscience and Remote Sensing, 53(2), 920-932 (2015).</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Mou X., Chen X., Su N.., “Motion classification for radar moving target via STFT and convolution neural network”, The Journal of Engineering, 2019(19), 6287-6290 (2019).</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Li J., Pan Z. M., Zhang Z. H., Zhang H., “Dynamic ARMA-Based Background Subtraction for Moving Objects Detection”, IEEE Access, 7(1), 128659-128668 (2019).</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Yang X. L., Wen G. J., Ma C. H., Hui B. W., “CFAR Detection of Moving Range-Spread Target in White Gaussian Noise Using Waveform Contrast”, IEEE Geoscience and Remote Sensing Letters, 13(2), 282-286 (2016).</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Wu Y., He X., Nguyen T. Q., “Moving Object Detection With a Freely Moving Camera via Background Motion Subtraction”, IEEE Transactions on Circuits and Systems for Video Technology, 27(2), 236-248 (2017).</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Kim S., Yang D. W., Park H. W., “A Disparity-Based Adaptive Multihomography Method for Moving Target Detection Based on Global Motion Compensation”, IEEE Transactions on Circuits and Systems for Video Technology, 26(8), 1407-1420 (2016).</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Ou X., Yan P., Zhang Y., Tu B., Zhang G., “Moving Object Detection Method via ResNet-18 With Encoder–Decoder Structure in Complex Scenes”, IEEE Access, 7(1), 108152-108160 (2019).</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Gong T., Cheng Y., Li X., “Micromotion Detection of Moving and Spinning Object Based on Rotational Doppler Shift”, IEEE Microwave and Wireless Components Letters, 28(9), 843-845 (2018).</w:t>
      </w:r>
    </w:p>
    <w:p w:rsidR="00776774" w:rsidRDefault="00776774" w:rsidP="00776774">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Zuo J., Jia Z., “Moving Target Detection Based on Improved Gaussian Mixture Background Subtraction in Video Images”, IEEE Access, 7(1), 152612-152623 (2019).</w:t>
      </w:r>
    </w:p>
    <w:p w:rsidR="00811E7D" w:rsidRDefault="00811E7D" w:rsidP="0049551D">
      <w:pPr>
        <w:rPr>
          <w:lang w:val="en-US"/>
        </w:rPr>
      </w:pPr>
    </w:p>
    <w:p w:rsidR="00C20C0F" w:rsidRDefault="00C20C0F" w:rsidP="0049551D">
      <w:pPr>
        <w:rPr>
          <w:lang w:val="en-US"/>
        </w:rPr>
      </w:pPr>
    </w:p>
    <w:p w:rsidR="00B63E09" w:rsidRPr="00B63E09" w:rsidRDefault="00B63E09" w:rsidP="00B63E09">
      <w:pPr>
        <w:pStyle w:val="1Titulo"/>
        <w:numPr>
          <w:ilvl w:val="0"/>
          <w:numId w:val="0"/>
        </w:numPr>
        <w:ind w:left="357"/>
        <w:jc w:val="center"/>
        <w:rPr>
          <w:color w:val="000000"/>
          <w:sz w:val="28"/>
          <w:szCs w:val="28"/>
        </w:rPr>
      </w:pPr>
      <w:bookmarkStart w:id="348" w:name="_Toc50031395"/>
      <w:r w:rsidRPr="00B63E09">
        <w:rPr>
          <w:sz w:val="28"/>
          <w:szCs w:val="28"/>
        </w:rPr>
        <w:lastRenderedPageBreak/>
        <w:t>Red de sensores láser para protección de equipo de cómputo en un centro de datos</w:t>
      </w:r>
      <w:bookmarkEnd w:id="348"/>
    </w:p>
    <w:p w:rsidR="00B63E09" w:rsidRDefault="00B63E09" w:rsidP="00B63E09">
      <w:pPr>
        <w:jc w:val="center"/>
        <w:rPr>
          <w:rFonts w:eastAsia="Batang" w:cs="Times New Roman"/>
          <w:color w:val="000000"/>
          <w:sz w:val="28"/>
          <w:szCs w:val="28"/>
        </w:rPr>
      </w:pPr>
    </w:p>
    <w:p w:rsidR="00B63E09" w:rsidRDefault="00B63E09" w:rsidP="00B63E09">
      <w:pPr>
        <w:pStyle w:val="Author"/>
        <w:rPr>
          <w:rFonts w:ascii="Arial" w:hAnsi="Arial" w:cs="Arial"/>
          <w:sz w:val="24"/>
          <w:szCs w:val="24"/>
          <w:vertAlign w:val="superscript"/>
          <w:lang w:val="es-ES"/>
        </w:rPr>
      </w:pPr>
      <w:r>
        <w:rPr>
          <w:rFonts w:ascii="Arial" w:hAnsi="Arial" w:cs="Arial"/>
          <w:szCs w:val="24"/>
          <w:u w:val="single"/>
          <w:lang w:val="es-ES"/>
        </w:rPr>
        <w:t>Vega-Luna, J. I.</w:t>
      </w:r>
      <w:r>
        <w:rPr>
          <w:rFonts w:ascii="Arial" w:hAnsi="Arial" w:cs="Arial"/>
          <w:szCs w:val="24"/>
          <w:vertAlign w:val="superscript"/>
          <w:lang w:val="es-ES"/>
        </w:rPr>
        <w:t>1</w:t>
      </w:r>
      <w:r>
        <w:rPr>
          <w:rFonts w:ascii="Arial" w:hAnsi="Arial" w:cs="Arial"/>
          <w:szCs w:val="24"/>
          <w:lang w:val="es-ES"/>
        </w:rPr>
        <w:t>, Salgado-Guzmán, G.</w:t>
      </w:r>
      <w:r>
        <w:rPr>
          <w:rFonts w:ascii="Arial" w:hAnsi="Arial" w:cs="Arial"/>
          <w:szCs w:val="24"/>
          <w:vertAlign w:val="superscript"/>
          <w:lang w:val="es-ES"/>
        </w:rPr>
        <w:t xml:space="preserve"> 1</w:t>
      </w:r>
      <w:r>
        <w:rPr>
          <w:rFonts w:ascii="Arial" w:hAnsi="Arial" w:cs="Arial"/>
          <w:szCs w:val="24"/>
          <w:lang w:val="es-ES"/>
        </w:rPr>
        <w:t>, Cosme-Aceves, J. F.</w:t>
      </w:r>
      <w:r>
        <w:rPr>
          <w:rFonts w:ascii="Arial" w:hAnsi="Arial" w:cs="Arial"/>
          <w:szCs w:val="24"/>
          <w:vertAlign w:val="superscript"/>
          <w:lang w:val="es-ES"/>
        </w:rPr>
        <w:t xml:space="preserve"> 1</w:t>
      </w:r>
      <w:r>
        <w:rPr>
          <w:rFonts w:ascii="Arial" w:hAnsi="Arial" w:cs="Arial"/>
          <w:szCs w:val="24"/>
          <w:lang w:val="es-ES"/>
        </w:rPr>
        <w:t>, Tapia-Vargas, V. N.</w:t>
      </w:r>
      <w:r>
        <w:rPr>
          <w:rFonts w:ascii="Arial" w:hAnsi="Arial" w:cs="Arial"/>
          <w:szCs w:val="24"/>
          <w:vertAlign w:val="superscript"/>
          <w:lang w:val="es-ES"/>
        </w:rPr>
        <w:t xml:space="preserve"> 1</w:t>
      </w:r>
      <w:r>
        <w:rPr>
          <w:rFonts w:ascii="Arial" w:hAnsi="Arial" w:cs="Arial"/>
          <w:szCs w:val="24"/>
          <w:lang w:val="es-ES"/>
        </w:rPr>
        <w:t>, Sánchez-Rangel, F. J.</w:t>
      </w:r>
      <w:r>
        <w:rPr>
          <w:rFonts w:ascii="Arial" w:hAnsi="Arial" w:cs="Arial"/>
          <w:szCs w:val="24"/>
          <w:vertAlign w:val="superscript"/>
          <w:lang w:val="es-ES"/>
        </w:rPr>
        <w:t xml:space="preserve"> 1</w:t>
      </w:r>
      <w:r>
        <w:rPr>
          <w:rFonts w:ascii="Arial" w:hAnsi="Arial" w:cs="Arial"/>
          <w:szCs w:val="24"/>
          <w:lang w:val="es-ES"/>
        </w:rPr>
        <w:t>, Lagos-Acosta, M. A.</w:t>
      </w:r>
      <w:r>
        <w:rPr>
          <w:rFonts w:ascii="Arial" w:hAnsi="Arial" w:cs="Arial"/>
          <w:szCs w:val="24"/>
          <w:vertAlign w:val="superscript"/>
          <w:lang w:val="es-ES"/>
        </w:rPr>
        <w:t xml:space="preserve"> 1</w:t>
      </w:r>
    </w:p>
    <w:p w:rsidR="00B63E09" w:rsidRDefault="00B63E09" w:rsidP="00B63E09">
      <w:pPr>
        <w:pStyle w:val="Author"/>
        <w:rPr>
          <w:rFonts w:ascii="Arial" w:hAnsi="Arial" w:cs="Arial"/>
          <w:szCs w:val="24"/>
          <w:lang w:val="es-ES"/>
        </w:rPr>
      </w:pPr>
      <w:r>
        <w:rPr>
          <w:rFonts w:ascii="Arial" w:hAnsi="Arial" w:cs="Arial"/>
          <w:szCs w:val="24"/>
          <w:vertAlign w:val="superscript"/>
          <w:lang w:val="es-ES"/>
        </w:rPr>
        <w:t>1</w:t>
      </w:r>
      <w:r>
        <w:rPr>
          <w:rFonts w:ascii="Arial" w:hAnsi="Arial" w:cs="Arial"/>
          <w:szCs w:val="24"/>
          <w:lang w:val="es-ES"/>
        </w:rPr>
        <w:t>Área de Sistemas Digitales, Departamento de Electrónica, Universidad Autónoma Metropolitana-Azcapotzalco, Av. San Pablo 180, Col. Reynosa, Ciudad de México, 02200.</w:t>
      </w:r>
    </w:p>
    <w:p w:rsidR="00B63E09" w:rsidRPr="00B63E09" w:rsidRDefault="001345E4" w:rsidP="00B63E09">
      <w:pPr>
        <w:pStyle w:val="affiliation"/>
        <w:rPr>
          <w:rFonts w:ascii="Arial" w:hAnsi="Arial" w:cs="Arial"/>
          <w:sz w:val="24"/>
          <w:szCs w:val="24"/>
          <w:lang w:val="es-ES"/>
        </w:rPr>
      </w:pPr>
      <w:hyperlink r:id="rId1229" w:history="1">
        <w:r w:rsidR="00B63E09" w:rsidRPr="00B63E09">
          <w:rPr>
            <w:rStyle w:val="Hipervnculo"/>
            <w:rFonts w:ascii="Arial" w:eastAsiaTheme="majorEastAsia" w:hAnsi="Arial" w:cs="Arial"/>
            <w:color w:val="auto"/>
            <w:sz w:val="24"/>
            <w:szCs w:val="24"/>
            <w:lang w:val="es-ES"/>
          </w:rPr>
          <w:t>vlji@azc.uam.mx</w:t>
        </w:r>
      </w:hyperlink>
      <w:r w:rsidR="00B63E09" w:rsidRPr="00B63E09">
        <w:rPr>
          <w:rFonts w:ascii="Arial" w:hAnsi="Arial" w:cs="Arial"/>
          <w:sz w:val="24"/>
          <w:szCs w:val="24"/>
          <w:lang w:val="es-ES"/>
        </w:rPr>
        <w:t xml:space="preserve">, </w:t>
      </w:r>
      <w:hyperlink r:id="rId1230" w:history="1">
        <w:r w:rsidR="00B63E09" w:rsidRPr="00B63E09">
          <w:rPr>
            <w:rStyle w:val="Hipervnculo"/>
            <w:rFonts w:ascii="Arial" w:eastAsiaTheme="majorEastAsia" w:hAnsi="Arial" w:cs="Arial"/>
            <w:color w:val="auto"/>
            <w:sz w:val="24"/>
            <w:szCs w:val="24"/>
            <w:lang w:val="es-ES"/>
          </w:rPr>
          <w:t>gsg@azc.uam.mx</w:t>
        </w:r>
      </w:hyperlink>
      <w:r w:rsidR="00B63E09" w:rsidRPr="00B63E09">
        <w:rPr>
          <w:rFonts w:ascii="Arial" w:hAnsi="Arial" w:cs="Arial"/>
          <w:sz w:val="24"/>
          <w:szCs w:val="24"/>
          <w:lang w:val="es-ES"/>
        </w:rPr>
        <w:t xml:space="preserve">, </w:t>
      </w:r>
      <w:hyperlink r:id="rId1231" w:history="1">
        <w:r w:rsidR="00B63E09" w:rsidRPr="00B63E09">
          <w:rPr>
            <w:rStyle w:val="Hipervnculo"/>
            <w:rFonts w:ascii="Arial" w:eastAsiaTheme="majorEastAsia" w:hAnsi="Arial" w:cs="Arial"/>
            <w:color w:val="auto"/>
            <w:sz w:val="24"/>
            <w:szCs w:val="24"/>
            <w:lang w:val="es-ES"/>
          </w:rPr>
          <w:t>cajf@azc.uam.mx</w:t>
        </w:r>
      </w:hyperlink>
      <w:r w:rsidR="00B63E09" w:rsidRPr="00B63E09">
        <w:rPr>
          <w:rFonts w:ascii="Arial" w:hAnsi="Arial" w:cs="Arial"/>
          <w:sz w:val="24"/>
          <w:szCs w:val="24"/>
          <w:lang w:val="es-ES"/>
        </w:rPr>
        <w:t xml:space="preserve">, </w:t>
      </w:r>
      <w:hyperlink r:id="rId1232" w:history="1">
        <w:r w:rsidR="00B63E09" w:rsidRPr="00B63E09">
          <w:rPr>
            <w:rStyle w:val="Hipervnculo"/>
            <w:rFonts w:ascii="Arial" w:eastAsiaTheme="majorEastAsia" w:hAnsi="Arial" w:cs="Arial"/>
            <w:color w:val="auto"/>
            <w:sz w:val="24"/>
            <w:szCs w:val="24"/>
            <w:lang w:val="es-ES"/>
          </w:rPr>
          <w:t>vtapia@azc.uam.mx</w:t>
        </w:r>
      </w:hyperlink>
      <w:r w:rsidR="00B63E09" w:rsidRPr="00B63E09">
        <w:rPr>
          <w:rFonts w:ascii="Arial" w:hAnsi="Arial" w:cs="Arial"/>
          <w:sz w:val="24"/>
          <w:szCs w:val="24"/>
          <w:lang w:val="es-ES"/>
        </w:rPr>
        <w:t xml:space="preserve">, </w:t>
      </w:r>
      <w:hyperlink r:id="rId1233" w:history="1">
        <w:r w:rsidR="00B63E09" w:rsidRPr="00B63E09">
          <w:rPr>
            <w:rStyle w:val="Hipervnculo"/>
            <w:rFonts w:ascii="Arial" w:eastAsiaTheme="majorEastAsia" w:hAnsi="Arial" w:cs="Arial"/>
            <w:color w:val="auto"/>
            <w:sz w:val="24"/>
            <w:szCs w:val="24"/>
            <w:lang w:val="es-ES"/>
          </w:rPr>
          <w:t>fjsr@azc.uam.mx</w:t>
        </w:r>
      </w:hyperlink>
      <w:r w:rsidR="00B63E09" w:rsidRPr="00B63E09">
        <w:rPr>
          <w:rFonts w:ascii="Arial" w:hAnsi="Arial" w:cs="Arial"/>
          <w:sz w:val="24"/>
          <w:szCs w:val="24"/>
          <w:lang w:val="es-ES"/>
        </w:rPr>
        <w:t>, mlagos@azc.uam.mx</w:t>
      </w:r>
    </w:p>
    <w:p w:rsidR="00B63E09" w:rsidRDefault="00B63E09" w:rsidP="00B63E09">
      <w:pPr>
        <w:pStyle w:val="affiliation"/>
        <w:rPr>
          <w:rFonts w:ascii="Arial" w:eastAsia="Batang" w:hAnsi="Arial" w:cs="Arial"/>
          <w:b/>
          <w:bCs/>
          <w:i/>
          <w:iCs/>
          <w:caps/>
          <w:sz w:val="24"/>
          <w:szCs w:val="24"/>
          <w:lang w:val="es-ES"/>
        </w:rPr>
      </w:pPr>
    </w:p>
    <w:p w:rsidR="00B63E09" w:rsidRPr="00B63E09" w:rsidRDefault="00B63E09" w:rsidP="00B63E09">
      <w:pPr>
        <w:pStyle w:val="Ttulo1"/>
        <w:keepLines w:val="0"/>
        <w:numPr>
          <w:ilvl w:val="0"/>
          <w:numId w:val="36"/>
        </w:numPr>
        <w:tabs>
          <w:tab w:val="clear" w:pos="432"/>
          <w:tab w:val="left" w:pos="0"/>
        </w:tabs>
        <w:suppressAutoHyphens/>
        <w:spacing w:before="0" w:after="0" w:line="360" w:lineRule="auto"/>
        <w:ind w:left="0" w:firstLine="0"/>
        <w:rPr>
          <w:rFonts w:ascii="Arial" w:eastAsia="Batang" w:hAnsi="Arial" w:cs="Arial"/>
          <w:b/>
          <w:bCs/>
          <w:i/>
          <w:iCs/>
          <w:color w:val="000000"/>
          <w:sz w:val="24"/>
          <w:szCs w:val="24"/>
        </w:rPr>
      </w:pPr>
      <w:bookmarkStart w:id="349" w:name="_Toc50031396"/>
      <w:r w:rsidRPr="00B63E09">
        <w:rPr>
          <w:rFonts w:ascii="Arial" w:hAnsi="Arial" w:cs="Arial"/>
          <w:i/>
          <w:caps/>
          <w:sz w:val="24"/>
          <w:szCs w:val="24"/>
        </w:rPr>
        <w:t>1. R</w:t>
      </w:r>
      <w:r w:rsidRPr="00B63E09">
        <w:rPr>
          <w:rFonts w:ascii="Arial" w:hAnsi="Arial" w:cs="Arial"/>
          <w:i/>
          <w:sz w:val="24"/>
          <w:szCs w:val="24"/>
        </w:rPr>
        <w:t>esumen</w:t>
      </w:r>
      <w:bookmarkEnd w:id="349"/>
      <w:r w:rsidRPr="00B63E09">
        <w:rPr>
          <w:rFonts w:ascii="Arial" w:hAnsi="Arial" w:cs="Arial"/>
          <w:i/>
          <w:caps/>
          <w:sz w:val="24"/>
          <w:szCs w:val="24"/>
        </w:rPr>
        <w:t xml:space="preserve"> </w:t>
      </w:r>
    </w:p>
    <w:p w:rsidR="00B63E09" w:rsidRDefault="00B63E09" w:rsidP="00B63E09">
      <w:pPr>
        <w:ind w:firstLine="567"/>
        <w:jc w:val="both"/>
        <w:rPr>
          <w:rFonts w:ascii="Arial" w:hAnsi="Arial" w:cs="Arial"/>
          <w:color w:val="000000"/>
        </w:rPr>
      </w:pPr>
      <w:r>
        <w:rPr>
          <w:rFonts w:ascii="Arial" w:hAnsi="Arial" w:cs="Arial"/>
          <w:color w:val="000000"/>
        </w:rPr>
        <w:t xml:space="preserve">El objetivo de este trabajo fue desarrollar una red de sensores de distancia láser para detección de presencia en gabinetes de equipo de cómputo en un centro de datos. Se desarrolló una red inalámbrica compuesta por tres nodos remotos y un nodo central. Los nodos remotos se encuentran instalados en las puertas de los gabinetes, de forma tal que al detectar presencia capturan la fotografía de la persona u objeto y la transmiten al nodo central. Éste último se encarga de almacenar las fotografías enviadas por los nodos remotos y transmitirlas en un mensaje de alerta de WhatsApp a un teléfono móvil. En el nodo central se encuentra un servidor web que permite consultar las fotografías almacenadas. Las pruebas de la transmisión WiFi de la red mostraron que el alcance fue 42 metros sin línea de vista y el tiempo de respuesta fue 400 ns. </w:t>
      </w:r>
    </w:p>
    <w:p w:rsidR="00B63E09" w:rsidRDefault="00B63E09" w:rsidP="00B63E09">
      <w:pPr>
        <w:ind w:firstLine="567"/>
        <w:jc w:val="both"/>
        <w:rPr>
          <w:rFonts w:ascii="Arial" w:hAnsi="Arial" w:cs="Arial"/>
        </w:rPr>
      </w:pPr>
    </w:p>
    <w:p w:rsidR="00B63E09" w:rsidRPr="00B63E09" w:rsidRDefault="00B63E09" w:rsidP="00B63E09">
      <w:pPr>
        <w:pStyle w:val="Ttulo1"/>
        <w:keepLines w:val="0"/>
        <w:numPr>
          <w:ilvl w:val="0"/>
          <w:numId w:val="36"/>
        </w:numPr>
        <w:tabs>
          <w:tab w:val="clear" w:pos="432"/>
          <w:tab w:val="left" w:pos="0"/>
        </w:tabs>
        <w:suppressAutoHyphens/>
        <w:spacing w:before="0" w:after="0" w:line="360" w:lineRule="auto"/>
        <w:ind w:left="0" w:firstLine="0"/>
        <w:rPr>
          <w:rFonts w:ascii="Arial" w:hAnsi="Arial" w:cs="Arial"/>
          <w:caps/>
          <w:sz w:val="24"/>
          <w:szCs w:val="24"/>
          <w:lang w:eastAsia="ko-KR"/>
        </w:rPr>
      </w:pPr>
      <w:bookmarkStart w:id="350" w:name="_Toc50031397"/>
      <w:r w:rsidRPr="00B63E09">
        <w:rPr>
          <w:rFonts w:ascii="Arial" w:hAnsi="Arial" w:cs="Arial"/>
          <w:i/>
          <w:caps/>
          <w:sz w:val="24"/>
          <w:szCs w:val="24"/>
        </w:rPr>
        <w:t>2. I</w:t>
      </w:r>
      <w:r w:rsidRPr="00B63E09">
        <w:rPr>
          <w:rFonts w:ascii="Arial" w:hAnsi="Arial" w:cs="Arial"/>
          <w:i/>
          <w:sz w:val="24"/>
          <w:szCs w:val="24"/>
        </w:rPr>
        <w:t>ntroducción</w:t>
      </w:r>
      <w:bookmarkEnd w:id="350"/>
      <w:r w:rsidRPr="00B63E09">
        <w:rPr>
          <w:rFonts w:ascii="Arial" w:hAnsi="Arial" w:cs="Arial"/>
          <w:i/>
          <w:caps/>
          <w:sz w:val="24"/>
          <w:szCs w:val="24"/>
        </w:rPr>
        <w:t xml:space="preserve"> </w:t>
      </w:r>
    </w:p>
    <w:p w:rsidR="00B63E09" w:rsidRDefault="00B63E09" w:rsidP="00B63E09">
      <w:pPr>
        <w:ind w:firstLine="539"/>
        <w:jc w:val="both"/>
        <w:rPr>
          <w:rFonts w:ascii="Arial" w:hAnsi="Arial" w:cs="Arial"/>
          <w:color w:val="000000"/>
        </w:rPr>
      </w:pPr>
      <w:r>
        <w:rPr>
          <w:rFonts w:ascii="Arial" w:hAnsi="Arial" w:cs="Arial"/>
          <w:color w:val="000000"/>
        </w:rPr>
        <w:t xml:space="preserve">         En un centro de datos, o centro de procesamiento de datos (CPD), se encuentra instalado equipo de cómputo y telecomunicaciones de empresas e instituciones donde se almacena y procesa información de aplicaciones. La seguridad de la información y equipo es responsabilidad del CPD y los cuales deben estar disponibles casi todo, ya que la operación y productividad de clientes y usuarios dependen de ellos </w:t>
      </w:r>
      <w:r>
        <w:rPr>
          <w:rFonts w:ascii="Arial" w:hAnsi="Arial" w:cs="Arial"/>
          <w:vertAlign w:val="superscript"/>
        </w:rPr>
        <w:t>[1]</w:t>
      </w:r>
      <w:r>
        <w:rPr>
          <w:rFonts w:ascii="Arial" w:hAnsi="Arial" w:cs="Arial"/>
          <w:color w:val="000000"/>
        </w:rPr>
        <w:t>.</w:t>
      </w:r>
    </w:p>
    <w:p w:rsidR="00B63E09" w:rsidRDefault="00B63E09" w:rsidP="00B63E09">
      <w:pPr>
        <w:ind w:firstLine="539"/>
        <w:jc w:val="both"/>
        <w:rPr>
          <w:rFonts w:ascii="Arial" w:hAnsi="Arial" w:cs="Arial"/>
          <w:color w:val="000000"/>
        </w:rPr>
      </w:pPr>
      <w:r>
        <w:rPr>
          <w:rFonts w:ascii="Arial" w:hAnsi="Arial" w:cs="Arial"/>
          <w:color w:val="000000"/>
        </w:rPr>
        <w:t>Los CDP están organizados en áreas, llamadas comúnmente bunkers, donde se ubica el equipo en operación. El acceso a estas áreas está controlado a través de diferentes mecanismos de seguridad. Solo está permitido el acceso a operadores, administradores y personal de mantenimiento. Todos los CPD cuentan con sistemas de video vigilancia permanente. Sin embargo, existen equipos cuyo acceso es sumamente restringido ya sea por el tipo de: información que almacenan o procesan, contrato del usuario, características del equipo y políticas de seguridad, entre otras razones. Solo personal autorizado puede abrir los gabinetes donde está instalado el equipo.</w:t>
      </w:r>
    </w:p>
    <w:p w:rsidR="00B63E09" w:rsidRDefault="00B63E09" w:rsidP="00B63E09">
      <w:pPr>
        <w:ind w:firstLine="539"/>
        <w:jc w:val="both"/>
        <w:rPr>
          <w:rFonts w:ascii="Arial" w:hAnsi="Arial" w:cs="Arial"/>
          <w:color w:val="000000"/>
        </w:rPr>
      </w:pPr>
      <w:r>
        <w:rPr>
          <w:rFonts w:ascii="Arial" w:hAnsi="Arial" w:cs="Arial"/>
          <w:color w:val="000000"/>
        </w:rPr>
        <w:lastRenderedPageBreak/>
        <w:t xml:space="preserve">Todos los CPD son auditados periódicamente para contar con la certificación que les permite ofrecer servicios confiables y seguros a los clientes. Un aspecto que revisan las auditorías son los procedimientos de acceso a los bunkers y equipo y que en la actualidad exigen se realice remotamente desde la Internet </w:t>
      </w:r>
      <w:r>
        <w:rPr>
          <w:rFonts w:ascii="Arial" w:hAnsi="Arial" w:cs="Arial"/>
          <w:vertAlign w:val="superscript"/>
        </w:rPr>
        <w:t>[2]</w:t>
      </w:r>
      <w:r>
        <w:rPr>
          <w:rFonts w:ascii="Arial" w:hAnsi="Arial" w:cs="Arial"/>
          <w:color w:val="000000"/>
        </w:rPr>
        <w:t>.</w:t>
      </w:r>
    </w:p>
    <w:p w:rsidR="00B63E09" w:rsidRDefault="00B63E09" w:rsidP="00B63E09">
      <w:pPr>
        <w:ind w:firstLine="539"/>
        <w:jc w:val="both"/>
        <w:rPr>
          <w:rFonts w:ascii="Arial" w:hAnsi="Arial" w:cs="Arial"/>
          <w:color w:val="000000"/>
        </w:rPr>
      </w:pPr>
      <w:r>
        <w:rPr>
          <w:rFonts w:ascii="Arial" w:hAnsi="Arial" w:cs="Arial"/>
          <w:color w:val="000000"/>
        </w:rPr>
        <w:t>El trabajo aquí presentado fue desarrollado a solicitud de una empresa operadora de centros de datos. El objetivo planteado fue contar con un sistema de detección de presencia en gabinetes de equipo de uso restringido. El sistema debe usar un detector que capture la fotografía de la persona y la transmita en un mensaje de alerta de WhatsApp al teléfono móvil del responsable de la operación y seguridad del CPD. El sistema debe contar con una interfaz de usuario a través de la cual pueda visualizarse desde la Internet las fotografías capturadas. En el CPD se encuentra instalado un punto de acceso WiFi cuya distancia al gabinete más lejano son 30 metros. Se solicitó un sistema confiable, de bajo costo, de respuesta rápida y que no necesite la instalación de cableado y no modifique el existente.</w:t>
      </w:r>
    </w:p>
    <w:p w:rsidR="00B63E09" w:rsidRDefault="00B63E09" w:rsidP="00B63E09">
      <w:pPr>
        <w:ind w:firstLine="539"/>
        <w:jc w:val="both"/>
        <w:rPr>
          <w:rFonts w:ascii="Arial" w:hAnsi="Arial" w:cs="Arial"/>
          <w:color w:val="000000"/>
        </w:rPr>
      </w:pPr>
      <w:r>
        <w:rPr>
          <w:rFonts w:ascii="Arial" w:hAnsi="Arial" w:cs="Arial"/>
          <w:color w:val="000000"/>
        </w:rPr>
        <w:t>Tomando en cuenta lo solicitado, la solución propuesta fue una red inalámbrica de sensores de presencia compuesta de tres nodos remotos y uno central. Los nodos remotos se instalaron en el mecanismo de apertura de las puertas frontal, lateral derecha y trasera de un gabinete de equipo. Los nodos remotos se encargan de detectar la presencia de personas que frente a la puerta, capturar la fotografía y transmitirla al nodo central usando tecnología WiFi. No fue una opción usar un segmento Ethernet u otra tecnología alámbrica para transmitir la información al nodo central debido al requerimiento de no instalar cableado adicional o modificar el existente. El nodo central almacena las fotografías recibidas de los nodos remotos y las transmite con el mensaje de alerta de WhatsApp al teléfono móvil. La conexión del nodo central a la Internet es a través del punto de acceso WiFi.</w:t>
      </w:r>
    </w:p>
    <w:p w:rsidR="00B63E09" w:rsidRDefault="00B63E09" w:rsidP="00B63E09">
      <w:pPr>
        <w:ind w:firstLine="539"/>
        <w:jc w:val="both"/>
        <w:rPr>
          <w:rFonts w:ascii="Arial" w:hAnsi="Arial" w:cs="Arial"/>
          <w:color w:val="000000"/>
        </w:rPr>
      </w:pPr>
      <w:r>
        <w:rPr>
          <w:rFonts w:ascii="Arial" w:hAnsi="Arial" w:cs="Arial"/>
          <w:color w:val="000000"/>
        </w:rPr>
        <w:t xml:space="preserve">Para elegir el tipo de comunicación inalámbrica de la red se consideró el uso de las tecnologías ZigBee, LoRa (Long Range), Bluetooth Low Energy (BLE) y WiFi. Las tres primeras se utilizan para implantar redes de bajo consumo de energía de sensores y actuadores. Las tecnologías ZigBee y LoRa se emplean para transmitir cantidades pequeñas de información y su ancho de banda es pequeño, 250 Kbps y de 0.3 Kbps a 50 Kbps, respectivamente </w:t>
      </w:r>
      <w:r>
        <w:rPr>
          <w:rFonts w:ascii="Arial" w:hAnsi="Arial" w:cs="Arial"/>
          <w:vertAlign w:val="superscript"/>
        </w:rPr>
        <w:t>[3]</w:t>
      </w:r>
      <w:r>
        <w:rPr>
          <w:rFonts w:ascii="Arial" w:hAnsi="Arial" w:cs="Arial"/>
          <w:color w:val="000000"/>
        </w:rPr>
        <w:t xml:space="preserve">. La tecnología BLE tiene un ancho de banda de 32 Mbps. El alcance de los transceptores ZigBee es 100 metros, el de los transceptores LoRa es de varios kilómetros y existen transceptores BLE cuyo alcance son 100 metros nominalmente </w:t>
      </w:r>
      <w:r>
        <w:rPr>
          <w:rFonts w:ascii="Arial" w:hAnsi="Arial" w:cs="Arial"/>
          <w:vertAlign w:val="superscript"/>
        </w:rPr>
        <w:t>[4]</w:t>
      </w:r>
      <w:r>
        <w:rPr>
          <w:rFonts w:ascii="Arial" w:hAnsi="Arial" w:cs="Arial"/>
          <w:color w:val="000000"/>
        </w:rPr>
        <w:t xml:space="preserve">. Considerando lo anterior, la opción adecuada fue utilizar una tarjeta de desarrollo de tamaño compacto que integre la mayor parte de recursos necesarios para implantar la red solicitada y una interfaz WiFi para comunicar los nodos de la red usando el punto de acceso instalado en el CPD </w:t>
      </w:r>
      <w:r>
        <w:rPr>
          <w:rFonts w:ascii="Arial" w:hAnsi="Arial" w:cs="Arial"/>
          <w:vertAlign w:val="superscript"/>
        </w:rPr>
        <w:t>[5]</w:t>
      </w:r>
      <w:r>
        <w:rPr>
          <w:rFonts w:ascii="Arial" w:hAnsi="Arial" w:cs="Arial"/>
          <w:color w:val="000000"/>
        </w:rPr>
        <w:t>.</w:t>
      </w:r>
    </w:p>
    <w:p w:rsidR="00B63E09" w:rsidRDefault="00B63E09" w:rsidP="00B63E09">
      <w:pPr>
        <w:ind w:firstLine="539"/>
        <w:jc w:val="both"/>
        <w:rPr>
          <w:rFonts w:ascii="Arial" w:hAnsi="Arial" w:cs="Arial"/>
          <w:color w:val="000000"/>
        </w:rPr>
      </w:pPr>
      <w:r>
        <w:rPr>
          <w:rFonts w:ascii="Arial" w:hAnsi="Arial" w:cs="Arial"/>
          <w:color w:val="000000"/>
        </w:rPr>
        <w:t xml:space="preserve">Los nodos de la red se implantaron utilizando una tarjeta Huzzah32 ESP32. La razón principal de usar esta tarjeta fue porque puede programarse por medio del ambiente de desarrollo Arduino IDE o con Circuitpython. Para ambas opciones existe una gran cantidad de aplicaciones y bibliotecas desarrolladas por la comunidad de código abierto de fácil instalación, configuración y uso. La tarjeta Huzzah32 ESP32 fue seleccionada de un conjunto de tarjetas de desarrollo entre las cuales se encuentran la Arduino, la Pyboard y la Rapberry Pi por las siguientes razones: 1) La tarjeta Huzzah32 ESP32 cuenta con una interfaz de comunicación WiFi; 2) Escalabilidad, la Huzzah32 ESP32 integra mayor cantidad de recursos hardware que las otras del mismo tipo, lo cual permite en el futuro </w:t>
      </w:r>
      <w:r>
        <w:rPr>
          <w:rFonts w:ascii="Arial" w:hAnsi="Arial" w:cs="Arial"/>
          <w:color w:val="000000"/>
        </w:rPr>
        <w:lastRenderedPageBreak/>
        <w:t>adicionar funciones al sistema o crecer la red si lo solicita el CPD y 3) Es la tarjeta de menor costo de todas con la mayor cantidad de recursos de hardware ofreciendo buena relación costo/beneficio.</w:t>
      </w:r>
    </w:p>
    <w:p w:rsidR="00B63E09" w:rsidRDefault="00B63E09" w:rsidP="00B63E09">
      <w:pPr>
        <w:ind w:firstLine="539"/>
        <w:jc w:val="both"/>
        <w:rPr>
          <w:rFonts w:ascii="Arial" w:hAnsi="Arial" w:cs="Arial"/>
          <w:color w:val="000000"/>
          <w:lang w:val="es-MX"/>
        </w:rPr>
      </w:pPr>
      <w:r>
        <w:rPr>
          <w:rFonts w:ascii="Arial" w:hAnsi="Arial" w:cs="Arial"/>
          <w:color w:val="000000"/>
          <w:lang w:val="es-MX"/>
        </w:rPr>
        <w:t xml:space="preserve">Los sistemas de detección de personas y objetos que utilizan técnicas no invasivas, tradicionalmente están basados en sensores infrarrojos pasivos, o PIR, y ultrasónicos. Los últimos años, el uso de señales de radio y dispositivos de rango y detección de luz (LIDAR-Light Detection and Ranging) ha sido una línea de investigación interesante aplicada principalmente a la localización, reconocimiento de gesticulaciones y cuidado de la salud </w:t>
      </w:r>
      <w:r>
        <w:rPr>
          <w:rFonts w:ascii="Arial" w:hAnsi="Arial" w:cs="Arial"/>
          <w:vertAlign w:val="superscript"/>
        </w:rPr>
        <w:t>[6]</w:t>
      </w:r>
      <w:r>
        <w:rPr>
          <w:rFonts w:ascii="Arial" w:hAnsi="Arial" w:cs="Arial"/>
          <w:color w:val="000000"/>
          <w:lang w:val="es-MX"/>
        </w:rPr>
        <w:t xml:space="preserve">. El empleo de micro ondas y ondas milimétricas para la detección remota, que anteriormente se empleaban en aplicaciones de distancias grandes, ha sido portado a las aplicaciones de medida de longitudes pequeñas para la detección y clasificación de personas y objetos y para determinar propiedades del cuerpo humano. Los resultados de estas investigaciones han sido sistemas y dispositivos de detección a través de paredes (TTW-Through-The-Wall) utilizando señales de WiFi en situaciones de emergencia o en edificios colapsados </w:t>
      </w:r>
      <w:r>
        <w:rPr>
          <w:rFonts w:ascii="Arial" w:hAnsi="Arial" w:cs="Arial"/>
          <w:vertAlign w:val="superscript"/>
        </w:rPr>
        <w:t>[7]</w:t>
      </w:r>
      <w:r>
        <w:rPr>
          <w:rFonts w:ascii="Arial" w:hAnsi="Arial" w:cs="Arial"/>
          <w:color w:val="000000"/>
          <w:lang w:val="es-MX"/>
        </w:rPr>
        <w:t xml:space="preserve">. De manera similar, se han realizado aplicaciones para la detección de presencia y localización de personas basados en algoritmos que usan la alteración y la información del canal de transmisión de señales WiFi </w:t>
      </w:r>
      <w:r>
        <w:rPr>
          <w:rFonts w:ascii="Arial" w:hAnsi="Arial" w:cs="Arial"/>
          <w:vertAlign w:val="superscript"/>
        </w:rPr>
        <w:t>[8]</w:t>
      </w:r>
      <w:r>
        <w:rPr>
          <w:rFonts w:ascii="Arial" w:hAnsi="Arial" w:cs="Arial"/>
          <w:color w:val="000000"/>
          <w:lang w:val="es-MX"/>
        </w:rPr>
        <w:t xml:space="preserve">. Los trabajos realizados recientemente usan también técnicas de radar para medir el tiempo que tarda la señal enviada a un objeto o al cuerpo humano tanto en reposo como en movimiento. Esto se ha hecho con el fin de detectar presencia de personas usando la respiración y ritmo cardiaco a través del efecto Doppler para aplicaciones médicas, de rescate y seguridad </w:t>
      </w:r>
      <w:r>
        <w:rPr>
          <w:rFonts w:ascii="Arial" w:hAnsi="Arial" w:cs="Arial"/>
          <w:vertAlign w:val="superscript"/>
        </w:rPr>
        <w:t>[9]</w:t>
      </w:r>
      <w:r>
        <w:rPr>
          <w:rFonts w:ascii="Arial" w:hAnsi="Arial" w:cs="Arial"/>
          <w:color w:val="000000"/>
          <w:lang w:val="es-MX"/>
        </w:rPr>
        <w:t>.</w:t>
      </w:r>
    </w:p>
    <w:p w:rsidR="00B63E09" w:rsidRDefault="00B63E09" w:rsidP="00B63E09">
      <w:pPr>
        <w:ind w:firstLine="539"/>
        <w:jc w:val="both"/>
        <w:rPr>
          <w:rFonts w:ascii="Arial" w:hAnsi="Arial" w:cs="Arial"/>
          <w:color w:val="000000"/>
          <w:lang w:val="es-MX"/>
        </w:rPr>
      </w:pPr>
      <w:r>
        <w:rPr>
          <w:rFonts w:ascii="Arial" w:hAnsi="Arial" w:cs="Arial"/>
          <w:color w:val="000000"/>
          <w:lang w:val="es-MX"/>
        </w:rPr>
        <w:t xml:space="preserve">Los dispositivos LIDAR determinan la distancia desde un emisor láser a una persona u objeto usando pulsos del láser para medir el tiempo que tardan en retornar. Las últimas aplicaciones que utilizan este tipo de dispositivos han sido usadas principalmente para: estimar la altura de la vegetación y árboles en selvas y bosques </w:t>
      </w:r>
      <w:r>
        <w:rPr>
          <w:rFonts w:ascii="Arial" w:hAnsi="Arial" w:cs="Arial"/>
          <w:vertAlign w:val="superscript"/>
        </w:rPr>
        <w:t>[10]</w:t>
      </w:r>
      <w:r>
        <w:rPr>
          <w:rFonts w:ascii="Arial" w:hAnsi="Arial" w:cs="Arial"/>
          <w:color w:val="000000"/>
          <w:lang w:val="es-MX"/>
        </w:rPr>
        <w:t xml:space="preserve">, sistemas submarinos </w:t>
      </w:r>
      <w:r>
        <w:rPr>
          <w:rFonts w:ascii="Arial" w:hAnsi="Arial" w:cs="Arial"/>
          <w:vertAlign w:val="superscript"/>
        </w:rPr>
        <w:t>[11]</w:t>
      </w:r>
      <w:r>
        <w:rPr>
          <w:rFonts w:ascii="Arial" w:hAnsi="Arial" w:cs="Arial"/>
          <w:color w:val="000000"/>
          <w:lang w:val="es-MX"/>
        </w:rPr>
        <w:t xml:space="preserve">, captura y procesamiento de imágenes aéreas </w:t>
      </w:r>
      <w:r>
        <w:rPr>
          <w:rFonts w:ascii="Arial" w:hAnsi="Arial" w:cs="Arial"/>
          <w:vertAlign w:val="superscript"/>
        </w:rPr>
        <w:t>[12]</w:t>
      </w:r>
      <w:r>
        <w:rPr>
          <w:rFonts w:ascii="Arial" w:hAnsi="Arial" w:cs="Arial"/>
          <w:color w:val="000000"/>
        </w:rPr>
        <w:t>, reconstrucción de escenas 3D</w:t>
      </w:r>
      <w:r>
        <w:rPr>
          <w:rFonts w:ascii="Arial" w:hAnsi="Arial" w:cs="Arial"/>
          <w:color w:val="000000"/>
          <w:lang w:val="es-MX"/>
        </w:rPr>
        <w:t xml:space="preserve"> </w:t>
      </w:r>
      <w:r>
        <w:rPr>
          <w:rFonts w:ascii="Arial" w:hAnsi="Arial" w:cs="Arial"/>
          <w:vertAlign w:val="superscript"/>
        </w:rPr>
        <w:t>[13]</w:t>
      </w:r>
      <w:r>
        <w:rPr>
          <w:rFonts w:ascii="Arial" w:hAnsi="Arial" w:cs="Arial"/>
          <w:color w:val="000000"/>
          <w:lang w:val="es-MX"/>
        </w:rPr>
        <w:t xml:space="preserve">, navegación de vehículos autónomos </w:t>
      </w:r>
      <w:r>
        <w:rPr>
          <w:rFonts w:ascii="Arial" w:hAnsi="Arial" w:cs="Arial"/>
          <w:vertAlign w:val="superscript"/>
        </w:rPr>
        <w:t>[14]</w:t>
      </w:r>
      <w:r>
        <w:rPr>
          <w:rFonts w:ascii="Arial" w:hAnsi="Arial" w:cs="Arial"/>
          <w:color w:val="000000"/>
          <w:lang w:val="es-MX"/>
        </w:rPr>
        <w:t xml:space="preserve">, análisis de calidad del agua </w:t>
      </w:r>
      <w:r>
        <w:rPr>
          <w:rFonts w:ascii="Arial" w:hAnsi="Arial" w:cs="Arial"/>
          <w:vertAlign w:val="superscript"/>
        </w:rPr>
        <w:t>[15]</w:t>
      </w:r>
      <w:r>
        <w:rPr>
          <w:rFonts w:ascii="Arial" w:hAnsi="Arial" w:cs="Arial"/>
          <w:color w:val="000000"/>
          <w:lang w:val="es-MX"/>
        </w:rPr>
        <w:t xml:space="preserve"> y aeronáutica y lanzamiento de cohetes y satélites </w:t>
      </w:r>
      <w:r>
        <w:rPr>
          <w:rFonts w:ascii="Arial" w:hAnsi="Arial" w:cs="Arial"/>
          <w:vertAlign w:val="superscript"/>
        </w:rPr>
        <w:t>[16]</w:t>
      </w:r>
      <w:r>
        <w:rPr>
          <w:rFonts w:ascii="Arial" w:hAnsi="Arial" w:cs="Arial"/>
          <w:color w:val="000000"/>
          <w:lang w:val="es-MX"/>
        </w:rPr>
        <w:t>. No se ha realizado un sistema similar al aquí presentado para un centro de datos.</w:t>
      </w:r>
    </w:p>
    <w:p w:rsidR="00B63E09" w:rsidRDefault="00B63E09" w:rsidP="00B63E09">
      <w:pPr>
        <w:ind w:firstLine="539"/>
        <w:jc w:val="both"/>
        <w:rPr>
          <w:rFonts w:ascii="Arial" w:hAnsi="Arial" w:cs="Arial"/>
          <w:color w:val="000000"/>
        </w:rPr>
      </w:pPr>
      <w:r>
        <w:rPr>
          <w:rFonts w:ascii="Arial" w:hAnsi="Arial" w:cs="Arial"/>
          <w:color w:val="000000"/>
        </w:rPr>
        <w:t>Las ventajas y aportaciones de este trabajo son las siguientes: 1) El sistema no es intrusivo y es de fácil instalación, ya que la comunicación empleada entre los módulos del sistema es inalámbrica y no se modificó la infraestructura del cableado del CPD ni se colocó cableado adicional en el gabinete que pueda interferir con los equipos ahí ubicados; 2) Permite al encargado de la operación y seguridad del CPD reaccionar oportunamente ante cualquier intento de vulnerabilidad recibiendo la notificación cuando sucede el evento; 3) Es adicional a los sistemas de video vigilancia existentes en todos los CPD los cuales no cuentan con la posibilidad de enviar alertas ante la presencia de personas en gabinetes de equipo de misión crítica ni permiten visualizar la fotografía de la persona desde la Internet y 4) La tecnología usada es de reciente creación, las herramientas software usadas son de código abierto lo cual redujo el costo del sistema y cumplir con los requerimientos solicitados.</w:t>
      </w:r>
    </w:p>
    <w:p w:rsidR="00B63E09" w:rsidRDefault="00B63E09" w:rsidP="00B63E09">
      <w:pPr>
        <w:ind w:firstLine="539"/>
        <w:jc w:val="both"/>
        <w:rPr>
          <w:rFonts w:ascii="Arial" w:hAnsi="Arial" w:cs="Arial"/>
          <w:color w:val="000000"/>
        </w:rPr>
      </w:pPr>
    </w:p>
    <w:p w:rsidR="00B63E09" w:rsidRPr="00B63E09" w:rsidRDefault="00B63E09" w:rsidP="00B63E09">
      <w:pPr>
        <w:pStyle w:val="Ttulo1"/>
        <w:keepLines w:val="0"/>
        <w:numPr>
          <w:ilvl w:val="0"/>
          <w:numId w:val="36"/>
        </w:numPr>
        <w:tabs>
          <w:tab w:val="clear" w:pos="432"/>
          <w:tab w:val="left" w:pos="0"/>
        </w:tabs>
        <w:suppressAutoHyphens/>
        <w:spacing w:before="0" w:after="0" w:line="360" w:lineRule="auto"/>
        <w:ind w:left="0" w:firstLine="0"/>
        <w:rPr>
          <w:rFonts w:ascii="Arial" w:hAnsi="Arial" w:cs="Arial"/>
          <w:color w:val="auto"/>
          <w:sz w:val="24"/>
          <w:szCs w:val="24"/>
        </w:rPr>
      </w:pPr>
      <w:bookmarkStart w:id="351" w:name="_Toc50031398"/>
      <w:r w:rsidRPr="00B63E09">
        <w:rPr>
          <w:rFonts w:ascii="Arial" w:hAnsi="Arial" w:cs="Arial"/>
          <w:i/>
          <w:caps/>
          <w:sz w:val="24"/>
          <w:szCs w:val="24"/>
        </w:rPr>
        <w:t>3. C</w:t>
      </w:r>
      <w:r w:rsidRPr="00B63E09">
        <w:rPr>
          <w:rFonts w:ascii="Arial" w:hAnsi="Arial" w:cs="Arial"/>
          <w:i/>
          <w:sz w:val="24"/>
          <w:szCs w:val="24"/>
        </w:rPr>
        <w:t>ondiciones experimentales</w:t>
      </w:r>
      <w:bookmarkEnd w:id="351"/>
    </w:p>
    <w:p w:rsidR="00B63E09" w:rsidRDefault="00B63E09" w:rsidP="00B63E09">
      <w:pPr>
        <w:ind w:firstLine="539"/>
        <w:jc w:val="both"/>
        <w:rPr>
          <w:rFonts w:ascii="Arial" w:hAnsi="Arial" w:cs="Arial"/>
          <w:color w:val="000000"/>
          <w:lang w:val="es-MX"/>
        </w:rPr>
      </w:pPr>
      <w:r>
        <w:rPr>
          <w:rFonts w:ascii="Arial" w:hAnsi="Arial" w:cs="Arial"/>
          <w:color w:val="000000"/>
          <w:lang w:val="es-MX"/>
        </w:rPr>
        <w:t xml:space="preserve">La metodología utilizada en el desarrollo de la red consistió en dividirla en tres partes: los nodos remotos, el nodo central y la interfaz de usuario. Posteriormente, se diseñó e implantó el sistema </w:t>
      </w:r>
      <w:r>
        <w:rPr>
          <w:rFonts w:ascii="Arial" w:hAnsi="Arial" w:cs="Arial"/>
          <w:color w:val="000000"/>
          <w:lang w:val="es-MX"/>
        </w:rPr>
        <w:lastRenderedPageBreak/>
        <w:t xml:space="preserve">seleccionando los elementos adecuados de acuerdo a los requisitos indicados por el CPD. En la Figura 1 se muestra el diagrama funcional de la solución creada. </w:t>
      </w:r>
    </w:p>
    <w:p w:rsidR="00B63E09" w:rsidRDefault="00B63E09" w:rsidP="00B63E09">
      <w:pPr>
        <w:ind w:firstLine="539"/>
        <w:jc w:val="both"/>
        <w:rPr>
          <w:rFonts w:ascii="Arial" w:hAnsi="Arial" w:cs="Arial"/>
          <w:color w:val="000000"/>
          <w:lang w:val="es-MX"/>
        </w:rPr>
      </w:pPr>
    </w:p>
    <w:p w:rsidR="00B63E09" w:rsidRDefault="00B63E09" w:rsidP="00B63E09">
      <w:pPr>
        <w:spacing w:line="360" w:lineRule="auto"/>
        <w:jc w:val="both"/>
        <w:rPr>
          <w:rFonts w:ascii="Arial" w:hAnsi="Arial" w:cs="Arial"/>
          <w:i/>
        </w:rPr>
      </w:pPr>
      <w:r>
        <w:rPr>
          <w:rFonts w:ascii="Arial" w:hAnsi="Arial" w:cs="Arial"/>
          <w:i/>
          <w:color w:val="000000"/>
        </w:rPr>
        <w:t>3.1 Los nodos remotos</w:t>
      </w:r>
      <w:r>
        <w:rPr>
          <w:rFonts w:ascii="Arial" w:hAnsi="Arial" w:cs="Arial"/>
          <w:i/>
        </w:rPr>
        <w:t>.</w:t>
      </w:r>
      <w:r>
        <w:rPr>
          <w:rFonts w:ascii="Arial" w:hAnsi="Arial" w:cs="Arial"/>
          <w:b/>
          <w:i/>
        </w:rPr>
        <w:t xml:space="preserve"> </w:t>
      </w:r>
    </w:p>
    <w:p w:rsidR="00B63E09" w:rsidRDefault="00B63E09" w:rsidP="00B63E09">
      <w:pPr>
        <w:ind w:firstLine="539"/>
        <w:jc w:val="both"/>
        <w:rPr>
          <w:rFonts w:ascii="Arial" w:hAnsi="Arial" w:cs="Arial"/>
          <w:color w:val="000000"/>
        </w:rPr>
      </w:pPr>
      <w:r>
        <w:rPr>
          <w:rFonts w:ascii="Arial" w:hAnsi="Arial" w:cs="Arial"/>
          <w:color w:val="000000"/>
        </w:rPr>
        <w:t>La mayoría de los gabinetes de equipo de un CPD cuentan con tres puertas, razón por la cual se construyeron tres nodos remotos, el primero se instaló en la puerta frontal de cómputo, el segundo en la puerta lateral derecha y el tercero en la puerta trasera. Los nodos fueron ubicados cerca de la manija de apertura, de forma tal que puedan detectar cuando se intenta abrir la puerta correspondiente como se muestra en la Figura 2. El diseño compacto de los nodos remotos permite que puedan moverse y reubicarse para ajustar su posición fácilmente en caso necesario. Los nodos remotos están formados por la tarjeta Huzzah32 ESP32, el sensor de distancia y la cámara de video como se muestra en la arquitectura de la Figura 3. La función de estos nodos es capturar la fotografía cuando una persona se encuentra a una distancia menor o igual a 30 centímetros de la manija de las puertas del gabinete y transmitirla al nodo central.</w:t>
      </w:r>
    </w:p>
    <w:tbl>
      <w:tblPr>
        <w:tblW w:w="0" w:type="auto"/>
        <w:tblLook w:val="04A0" w:firstRow="1" w:lastRow="0" w:firstColumn="1" w:lastColumn="0" w:noHBand="0" w:noVBand="1"/>
      </w:tblPr>
      <w:tblGrid>
        <w:gridCol w:w="9404"/>
      </w:tblGrid>
      <w:tr w:rsidR="00B63E09" w:rsidTr="00B63E09">
        <w:trPr>
          <w:trHeight w:val="4379"/>
        </w:trPr>
        <w:tc>
          <w:tcPr>
            <w:tcW w:w="10112" w:type="dxa"/>
            <w:hideMark/>
          </w:tcPr>
          <w:p w:rsidR="00B63E09" w:rsidRDefault="00B63E09">
            <w:pPr>
              <w:jc w:val="center"/>
              <w:rPr>
                <w:rFonts w:ascii="Arial" w:hAnsi="Arial" w:cs="Arial"/>
                <w:color w:val="000000"/>
                <w:lang w:val="es-MX"/>
              </w:rPr>
            </w:pPr>
            <w:r>
              <w:rPr>
                <w:rFonts w:ascii="Arial" w:hAnsi="Arial" w:cs="Arial"/>
                <w:noProof/>
                <w:color w:val="000000"/>
                <w:lang w:val="en-US"/>
              </w:rPr>
              <w:drawing>
                <wp:inline distT="0" distB="0" distL="0" distR="0" wp14:anchorId="416B6CA7" wp14:editId="51341ED4">
                  <wp:extent cx="3981450" cy="2724150"/>
                  <wp:effectExtent l="0" t="0" r="0" b="0"/>
                  <wp:docPr id="2026623781" name="Imagen 2026623781" descr="fig1-prote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fig1-proteccion"/>
                          <pic:cNvPicPr>
                            <a:picLocks noChangeAspect="1" noChangeArrowheads="1"/>
                          </pic:cNvPicPr>
                        </pic:nvPicPr>
                        <pic:blipFill>
                          <a:blip r:embed="rId1234" cstate="print">
                            <a:extLst>
                              <a:ext uri="{28A0092B-C50C-407E-A947-70E740481C1C}">
                                <a14:useLocalDpi xmlns:a14="http://schemas.microsoft.com/office/drawing/2010/main" val="0"/>
                              </a:ext>
                            </a:extLst>
                          </a:blip>
                          <a:srcRect/>
                          <a:stretch>
                            <a:fillRect/>
                          </a:stretch>
                        </pic:blipFill>
                        <pic:spPr bwMode="auto">
                          <a:xfrm>
                            <a:off x="0" y="0"/>
                            <a:ext cx="3981450" cy="2724150"/>
                          </a:xfrm>
                          <a:prstGeom prst="rect">
                            <a:avLst/>
                          </a:prstGeom>
                          <a:noFill/>
                          <a:ln>
                            <a:noFill/>
                          </a:ln>
                        </pic:spPr>
                      </pic:pic>
                    </a:graphicData>
                  </a:graphic>
                </wp:inline>
              </w:drawing>
            </w:r>
          </w:p>
        </w:tc>
      </w:tr>
      <w:tr w:rsidR="00B63E09" w:rsidRPr="00B63E09" w:rsidTr="00B63E09">
        <w:tc>
          <w:tcPr>
            <w:tcW w:w="10112" w:type="dxa"/>
            <w:hideMark/>
          </w:tcPr>
          <w:p w:rsidR="00B63E09" w:rsidRDefault="00B63E09">
            <w:pPr>
              <w:ind w:left="-142"/>
              <w:jc w:val="center"/>
              <w:rPr>
                <w:rFonts w:ascii="Arial" w:hAnsi="Arial" w:cs="Arial"/>
                <w:bCs/>
                <w:i/>
                <w:sz w:val="20"/>
                <w:szCs w:val="20"/>
              </w:rPr>
            </w:pPr>
            <w:r>
              <w:rPr>
                <w:rFonts w:ascii="Arial" w:hAnsi="Arial" w:cs="Arial"/>
                <w:bCs/>
                <w:i/>
                <w:sz w:val="20"/>
                <w:szCs w:val="20"/>
              </w:rPr>
              <w:t>Figura 1. Diagrama funcional de la red inalámbrica de sensores láser</w:t>
            </w:r>
          </w:p>
        </w:tc>
      </w:tr>
    </w:tbl>
    <w:p w:rsidR="00B63E09" w:rsidRDefault="00B63E09" w:rsidP="00B63E09">
      <w:pPr>
        <w:ind w:firstLine="539"/>
        <w:jc w:val="both"/>
        <w:rPr>
          <w:rFonts w:ascii="Arial" w:eastAsia="Batang" w:hAnsi="Arial" w:cs="Arial"/>
          <w:color w:val="000000"/>
          <w:sz w:val="24"/>
          <w:szCs w:val="24"/>
          <w:lang w:eastAsia="ko-KR"/>
        </w:rPr>
      </w:pPr>
    </w:p>
    <w:tbl>
      <w:tblPr>
        <w:tblW w:w="0" w:type="auto"/>
        <w:tblLook w:val="04A0" w:firstRow="1" w:lastRow="0" w:firstColumn="1" w:lastColumn="0" w:noHBand="0" w:noVBand="1"/>
      </w:tblPr>
      <w:tblGrid>
        <w:gridCol w:w="9404"/>
      </w:tblGrid>
      <w:tr w:rsidR="00B63E09" w:rsidTr="00B63E09">
        <w:trPr>
          <w:trHeight w:val="4520"/>
        </w:trPr>
        <w:tc>
          <w:tcPr>
            <w:tcW w:w="10112" w:type="dxa"/>
            <w:hideMark/>
          </w:tcPr>
          <w:p w:rsidR="00B63E09" w:rsidRDefault="00B63E09">
            <w:pPr>
              <w:pStyle w:val="Textoindependiente"/>
              <w:jc w:val="center"/>
              <w:rPr>
                <w:rFonts w:ascii="Times New Roman" w:hAnsi="Times New Roman" w:cs="Times New Roman"/>
              </w:rPr>
            </w:pPr>
            <w:r>
              <w:rPr>
                <w:noProof/>
                <w:lang w:val="en-US"/>
              </w:rPr>
              <w:lastRenderedPageBreak/>
              <w:drawing>
                <wp:inline distT="0" distB="0" distL="0" distR="0" wp14:anchorId="578F94E3" wp14:editId="3A4FBB8E">
                  <wp:extent cx="4000500" cy="2800350"/>
                  <wp:effectExtent l="0" t="0" r="0" b="0"/>
                  <wp:docPr id="2026623780" name="Imagen 2026623780" descr="fig2-prote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fig2-proteccion"/>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4000500" cy="2800350"/>
                          </a:xfrm>
                          <a:prstGeom prst="rect">
                            <a:avLst/>
                          </a:prstGeom>
                          <a:noFill/>
                          <a:ln>
                            <a:noFill/>
                          </a:ln>
                        </pic:spPr>
                      </pic:pic>
                    </a:graphicData>
                  </a:graphic>
                </wp:inline>
              </w:drawing>
            </w:r>
          </w:p>
        </w:tc>
      </w:tr>
      <w:tr w:rsidR="00B63E09" w:rsidRPr="00B63E09" w:rsidTr="00B63E09">
        <w:tc>
          <w:tcPr>
            <w:tcW w:w="10112" w:type="dxa"/>
            <w:hideMark/>
          </w:tcPr>
          <w:p w:rsidR="00B63E09" w:rsidRDefault="00B63E09">
            <w:pPr>
              <w:jc w:val="center"/>
              <w:rPr>
                <w:rFonts w:ascii="Arial" w:hAnsi="Arial" w:cs="Arial"/>
                <w:bCs/>
                <w:i/>
                <w:sz w:val="20"/>
                <w:szCs w:val="20"/>
              </w:rPr>
            </w:pPr>
            <w:r>
              <w:rPr>
                <w:rFonts w:ascii="Arial" w:hAnsi="Arial" w:cs="Arial"/>
                <w:bCs/>
                <w:i/>
                <w:sz w:val="20"/>
                <w:szCs w:val="20"/>
              </w:rPr>
              <w:t>Figura 2. Ubicación de los nodos remotos en el gabinete de equipo</w:t>
            </w:r>
          </w:p>
        </w:tc>
      </w:tr>
    </w:tbl>
    <w:p w:rsidR="00B63E09" w:rsidRDefault="00B63E09" w:rsidP="00B63E09">
      <w:pPr>
        <w:ind w:firstLine="539"/>
        <w:jc w:val="both"/>
        <w:rPr>
          <w:rFonts w:ascii="Arial" w:eastAsia="Batang" w:hAnsi="Arial" w:cs="Arial"/>
          <w:color w:val="000000"/>
          <w:sz w:val="24"/>
          <w:szCs w:val="24"/>
          <w:lang w:eastAsia="ko-KR"/>
        </w:rPr>
      </w:pPr>
    </w:p>
    <w:p w:rsidR="00B63E09" w:rsidRDefault="00B63E09" w:rsidP="00B63E09">
      <w:pPr>
        <w:ind w:firstLine="539"/>
        <w:jc w:val="both"/>
        <w:rPr>
          <w:rFonts w:ascii="Arial" w:hAnsi="Arial" w:cs="Arial"/>
          <w:color w:val="000000"/>
        </w:rPr>
      </w:pPr>
      <w:r>
        <w:rPr>
          <w:rFonts w:ascii="Arial" w:hAnsi="Arial" w:cs="Arial"/>
          <w:color w:val="000000"/>
        </w:rPr>
        <w:t>La tarjeta Huzzah32-ESP32 cuenta con los recursos requeridos en el diseño de los nodos remotos reduciendo de esta forma el tamaño y costo de los mismos. Los principales recursos de esta tarjeta son los siguientes: microcontrolador Tensilica LX6 de dos núcleos a 240 MHz, memoria flash de 4 MB, memoria RAM de 520 KB, interfaces WiFi 802.11b/g/n, Bluetooth clásico y LE con antena integrada, 3 puertos UART, 3 puertos SPI, 2 puertos I</w:t>
      </w:r>
      <w:r>
        <w:rPr>
          <w:rFonts w:ascii="Arial" w:hAnsi="Arial" w:cs="Arial"/>
          <w:color w:val="000000"/>
          <w:vertAlign w:val="superscript"/>
        </w:rPr>
        <w:t>2</w:t>
      </w:r>
      <w:r>
        <w:rPr>
          <w:rFonts w:ascii="Arial" w:hAnsi="Arial" w:cs="Arial"/>
          <w:color w:val="000000"/>
        </w:rPr>
        <w:t>C, 25 entradas/salidas de propósito general (GPIO-General Purpose Input/Output) y un cargador para batería de ion de litio.</w:t>
      </w:r>
    </w:p>
    <w:p w:rsidR="00B63E09" w:rsidRDefault="00B63E09" w:rsidP="00B63E09">
      <w:pPr>
        <w:ind w:firstLine="539"/>
        <w:jc w:val="both"/>
        <w:rPr>
          <w:rFonts w:ascii="Arial" w:hAnsi="Arial" w:cs="Arial"/>
          <w:color w:val="000000"/>
        </w:rPr>
      </w:pPr>
      <w:r>
        <w:rPr>
          <w:rFonts w:ascii="Arial" w:hAnsi="Arial" w:cs="Arial"/>
          <w:color w:val="000000"/>
        </w:rPr>
        <w:t xml:space="preserve">El sensor de distancia de los nodos remotos es el dispositivo VL53L0X, también denominado sensor de distancia micro-LIDAR de tiempo de vuelo. Este dispositivo es un módulo de rango de nueva generación </w:t>
      </w:r>
      <w:r>
        <w:rPr>
          <w:rFonts w:ascii="Arial" w:hAnsi="Arial" w:cs="Arial"/>
          <w:color w:val="222222"/>
          <w:shd w:val="clear" w:color="auto" w:fill="FFFFFF"/>
        </w:rPr>
        <w:t xml:space="preserve">que permite determinar la distancia desde un láser emisor a un objeto o superficie por medio del tiempo de vuelo, o tiempo que tarda la luz en retornar al sensor. El </w:t>
      </w:r>
      <w:r>
        <w:rPr>
          <w:rFonts w:ascii="Arial" w:hAnsi="Arial" w:cs="Arial"/>
          <w:color w:val="000000"/>
        </w:rPr>
        <w:t>VL53L0X</w:t>
      </w:r>
      <w:r>
        <w:rPr>
          <w:rFonts w:ascii="Arial" w:hAnsi="Arial" w:cs="Arial"/>
          <w:color w:val="222222"/>
          <w:shd w:val="clear" w:color="auto" w:fill="FFFFFF"/>
        </w:rPr>
        <w:t xml:space="preserve"> </w:t>
      </w:r>
      <w:r>
        <w:rPr>
          <w:rFonts w:ascii="Arial" w:hAnsi="Arial" w:cs="Arial"/>
          <w:color w:val="000000"/>
        </w:rPr>
        <w:t>está integrado en el encapsulado más pequeño existente en el mercado y emite un haz de luz estrecho.</w:t>
      </w:r>
    </w:p>
    <w:p w:rsidR="00B63E09" w:rsidRDefault="00B63E09" w:rsidP="00B63E09">
      <w:pPr>
        <w:ind w:firstLine="539"/>
        <w:jc w:val="both"/>
        <w:rPr>
          <w:rFonts w:ascii="Arial" w:hAnsi="Arial" w:cs="Arial"/>
          <w:color w:val="000000"/>
        </w:rPr>
      </w:pPr>
    </w:p>
    <w:tbl>
      <w:tblPr>
        <w:tblW w:w="0" w:type="auto"/>
        <w:tblLook w:val="04A0" w:firstRow="1" w:lastRow="0" w:firstColumn="1" w:lastColumn="0" w:noHBand="0" w:noVBand="1"/>
      </w:tblPr>
      <w:tblGrid>
        <w:gridCol w:w="9404"/>
      </w:tblGrid>
      <w:tr w:rsidR="00B63E09" w:rsidTr="00B63E09">
        <w:trPr>
          <w:trHeight w:val="3996"/>
        </w:trPr>
        <w:tc>
          <w:tcPr>
            <w:tcW w:w="10112" w:type="dxa"/>
            <w:hideMark/>
          </w:tcPr>
          <w:p w:rsidR="00B63E09" w:rsidRDefault="00B63E09">
            <w:pPr>
              <w:pStyle w:val="Textoindependiente"/>
              <w:jc w:val="center"/>
              <w:rPr>
                <w:rFonts w:ascii="Times New Roman" w:hAnsi="Times New Roman" w:cs="Times New Roman"/>
              </w:rPr>
            </w:pPr>
            <w:r>
              <w:rPr>
                <w:noProof/>
                <w:lang w:val="en-US"/>
              </w:rPr>
              <w:lastRenderedPageBreak/>
              <w:drawing>
                <wp:inline distT="0" distB="0" distL="0" distR="0" wp14:anchorId="1FDB106D" wp14:editId="3211F745">
                  <wp:extent cx="3609975" cy="2476500"/>
                  <wp:effectExtent l="0" t="0" r="9525" b="0"/>
                  <wp:docPr id="2026623779" name="Imagen 2026623779" descr="fig3-prote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fig3-proteccion"/>
                          <pic:cNvPicPr>
                            <a:picLocks noChangeAspect="1" noChangeArrowheads="1"/>
                          </pic:cNvPicPr>
                        </pic:nvPicPr>
                        <pic:blipFill>
                          <a:blip r:embed="rId1236" cstate="print">
                            <a:extLst>
                              <a:ext uri="{28A0092B-C50C-407E-A947-70E740481C1C}">
                                <a14:useLocalDpi xmlns:a14="http://schemas.microsoft.com/office/drawing/2010/main" val="0"/>
                              </a:ext>
                            </a:extLst>
                          </a:blip>
                          <a:srcRect/>
                          <a:stretch>
                            <a:fillRect/>
                          </a:stretch>
                        </pic:blipFill>
                        <pic:spPr bwMode="auto">
                          <a:xfrm>
                            <a:off x="0" y="0"/>
                            <a:ext cx="3609975" cy="2476500"/>
                          </a:xfrm>
                          <a:prstGeom prst="rect">
                            <a:avLst/>
                          </a:prstGeom>
                          <a:noFill/>
                          <a:ln>
                            <a:noFill/>
                          </a:ln>
                        </pic:spPr>
                      </pic:pic>
                    </a:graphicData>
                  </a:graphic>
                </wp:inline>
              </w:drawing>
            </w:r>
          </w:p>
        </w:tc>
      </w:tr>
      <w:tr w:rsidR="00B63E09" w:rsidRPr="00B63E09" w:rsidTr="00B63E09">
        <w:tc>
          <w:tcPr>
            <w:tcW w:w="10112" w:type="dxa"/>
            <w:hideMark/>
          </w:tcPr>
          <w:p w:rsidR="00B63E09" w:rsidRDefault="00B63E09">
            <w:pPr>
              <w:jc w:val="center"/>
              <w:rPr>
                <w:rFonts w:ascii="Arial" w:hAnsi="Arial" w:cs="Arial"/>
                <w:bCs/>
                <w:i/>
                <w:sz w:val="20"/>
                <w:szCs w:val="20"/>
              </w:rPr>
            </w:pPr>
            <w:r>
              <w:rPr>
                <w:rFonts w:ascii="Arial" w:hAnsi="Arial" w:cs="Arial"/>
                <w:bCs/>
                <w:i/>
                <w:sz w:val="20"/>
                <w:szCs w:val="20"/>
              </w:rPr>
              <w:t>Figura 3. Arquitectura de los nodos remotos</w:t>
            </w:r>
          </w:p>
        </w:tc>
      </w:tr>
    </w:tbl>
    <w:p w:rsidR="00B63E09" w:rsidRDefault="00B63E09" w:rsidP="00B63E09">
      <w:pPr>
        <w:ind w:firstLine="539"/>
        <w:jc w:val="both"/>
        <w:rPr>
          <w:rFonts w:ascii="Arial" w:eastAsia="Batang" w:hAnsi="Arial" w:cs="Arial"/>
          <w:color w:val="000000"/>
          <w:sz w:val="24"/>
          <w:szCs w:val="24"/>
          <w:lang w:eastAsia="ko-KR"/>
        </w:rPr>
      </w:pPr>
    </w:p>
    <w:p w:rsidR="00B63E09" w:rsidRDefault="00B63E09" w:rsidP="00B63E09">
      <w:pPr>
        <w:ind w:firstLine="539"/>
        <w:jc w:val="both"/>
        <w:rPr>
          <w:rFonts w:ascii="Arial" w:hAnsi="Arial" w:cs="Arial"/>
          <w:color w:val="000000"/>
        </w:rPr>
      </w:pPr>
      <w:r>
        <w:rPr>
          <w:rFonts w:ascii="Arial" w:hAnsi="Arial" w:cs="Arial"/>
          <w:color w:val="000000"/>
        </w:rPr>
        <w:t>A diferencia de otros dispositivos de medida de distancia, el VL53L0X proporciona la medida con excelente exactitud sin importar la reflectividad del objeto o persona. Usa tecnología cuyo componente principal es un arreglo de diodos de avalancha de fotones simples (SPAD-Single Photon Avalanche Diodes). La luz del láser es generada por un emisor de superficie de cavidad vertical (VCSEL-Vertical Cavity Surface Emitting Laser) de 940 nm acoplado con filtros infrarrojos e invisible al ojo humano. A diferencia de sonares basados en el reflejo de ondas ultrasónicas, el cono de luz estrecho del VL53L0X le permite detectar objetos hasta 2 metros de distancia, con alta inmunidad a la luz del ambiente y diafonía. A diferencia de sensores infrarrojos que miden la cantidad de luz que retorna, el VL53L0X es más preciso y no presenta problemas de linealidad o imagen doble que impidan determinar si el objeto se encuentra muy lejos o muy cerca. Permite medir distancia independientemente de la reflectancia del objeto y no estimar la distancia midiendo la cantidad de luz reflejada en el objeto, la cual es influenciada significativamente por el color y tipo de superficie. Mide el tiempo que tarda la luz en viajar y retornar del objeto, o tiempo de vuelo. Combina en un encapsulado un emisor IR y un sensor de rango.</w:t>
      </w:r>
    </w:p>
    <w:p w:rsidR="00B63E09" w:rsidRDefault="00B63E09" w:rsidP="00B63E09">
      <w:pPr>
        <w:ind w:firstLine="539"/>
        <w:jc w:val="both"/>
        <w:rPr>
          <w:rFonts w:ascii="Arial" w:hAnsi="Arial" w:cs="Arial"/>
          <w:color w:val="000000"/>
        </w:rPr>
      </w:pPr>
      <w:r>
        <w:rPr>
          <w:rFonts w:ascii="Arial" w:hAnsi="Arial" w:cs="Arial"/>
          <w:color w:val="000000"/>
        </w:rPr>
        <w:t xml:space="preserve">El </w:t>
      </w:r>
      <w:r>
        <w:rPr>
          <w:rFonts w:ascii="Arial" w:hAnsi="Arial" w:cs="Arial"/>
          <w:lang w:val="es-MX"/>
        </w:rPr>
        <w:t>VL53L0X es un dispositivo I</w:t>
      </w:r>
      <w:r>
        <w:rPr>
          <w:rFonts w:ascii="Arial" w:hAnsi="Arial" w:cs="Arial"/>
          <w:vertAlign w:val="superscript"/>
          <w:lang w:val="es-MX"/>
        </w:rPr>
        <w:t>2</w:t>
      </w:r>
      <w:r>
        <w:rPr>
          <w:rFonts w:ascii="Arial" w:hAnsi="Arial" w:cs="Arial"/>
          <w:lang w:val="es-MX"/>
        </w:rPr>
        <w:t>C que utiliza la línea de reloj SCL y la de datos SDA del bus I</w:t>
      </w:r>
      <w:r>
        <w:rPr>
          <w:rFonts w:ascii="Arial" w:hAnsi="Arial" w:cs="Arial"/>
          <w:vertAlign w:val="superscript"/>
          <w:lang w:val="es-MX"/>
        </w:rPr>
        <w:t>2</w:t>
      </w:r>
      <w:r>
        <w:rPr>
          <w:rFonts w:ascii="Arial" w:hAnsi="Arial" w:cs="Arial"/>
          <w:lang w:val="es-MX"/>
        </w:rPr>
        <w:t>C para comunicarse con un controlador y compartir el bus con otros dispositivos cuando no existan colisiones en las direcciones. La dirección I</w:t>
      </w:r>
      <w:r>
        <w:rPr>
          <w:rFonts w:ascii="Arial" w:hAnsi="Arial" w:cs="Arial"/>
          <w:vertAlign w:val="superscript"/>
          <w:lang w:val="es-MX"/>
        </w:rPr>
        <w:t>2</w:t>
      </w:r>
      <w:r>
        <w:rPr>
          <w:rFonts w:ascii="Arial" w:hAnsi="Arial" w:cs="Arial"/>
          <w:lang w:val="es-MX"/>
        </w:rPr>
        <w:t>C por defecto del VL53L0X es 0x29 la cual puede cambiarse por software cuando en el bus existan otros esclavos. La tarjeta en la que se encuentra montado el sensor VL53L0X cuenta con una terminal de salida GPIO, mediante la cual indica que la medida de distancia se encuentra lista en el bus I</w:t>
      </w:r>
      <w:r>
        <w:rPr>
          <w:rFonts w:ascii="Arial" w:hAnsi="Arial" w:cs="Arial"/>
          <w:vertAlign w:val="superscript"/>
          <w:lang w:val="es-MX"/>
        </w:rPr>
        <w:t>2</w:t>
      </w:r>
      <w:r>
        <w:rPr>
          <w:rFonts w:ascii="Arial" w:hAnsi="Arial" w:cs="Arial"/>
          <w:lang w:val="es-MX"/>
        </w:rPr>
        <w:t xml:space="preserve">C. En los nodos remotos esta terminal se conectó a una terminal GPIO, configurada como entrada, de la tarjeta </w:t>
      </w:r>
      <w:r>
        <w:rPr>
          <w:rFonts w:ascii="Arial" w:hAnsi="Arial" w:cs="Arial"/>
          <w:color w:val="000000"/>
        </w:rPr>
        <w:t>Huzzah32 ESP32 y las terminales SCL y SDA se conectaron a las del mismo nombre de la Huzzah32. El fabricante del sensor especifica que, dependiendo de la luz del ambiente y distancia, la exactitud de la medida será de 3 a 12%. Entre mejor sea la iluminación, se obtendrán mejores resultados, sin embargo, es necesario realizar pruebas debido a que los objetos absorben la luz láser.</w:t>
      </w:r>
    </w:p>
    <w:p w:rsidR="00B63E09" w:rsidRDefault="00B63E09" w:rsidP="00B63E09">
      <w:pPr>
        <w:ind w:firstLine="539"/>
        <w:jc w:val="both"/>
        <w:rPr>
          <w:rFonts w:ascii="Arial" w:hAnsi="Arial" w:cs="Arial"/>
          <w:color w:val="000000"/>
        </w:rPr>
      </w:pPr>
      <w:r>
        <w:rPr>
          <w:rFonts w:ascii="Arial" w:hAnsi="Arial" w:cs="Arial"/>
          <w:color w:val="000000"/>
        </w:rPr>
        <w:lastRenderedPageBreak/>
        <w:t xml:space="preserve">En la configuración del </w:t>
      </w:r>
      <w:r>
        <w:rPr>
          <w:rFonts w:ascii="Arial" w:hAnsi="Arial" w:cs="Arial"/>
          <w:lang w:val="es-MX"/>
        </w:rPr>
        <w:t xml:space="preserve">VL53L0X se </w:t>
      </w:r>
      <w:r>
        <w:rPr>
          <w:rFonts w:ascii="Arial" w:hAnsi="Arial" w:cs="Arial"/>
          <w:color w:val="000000"/>
        </w:rPr>
        <w:t>establecen dos parámetros: el tiempo de medida y el modo de rango. El primero indica la velocidad para obtener la medida e influye en la exactitud del sensor. Para usar una velocidad alta y obtener una medida rápida con menos exactitud se puede usar un tiempo de 20 ms, para una velocidad pequeña y una medida más exacta se puede usar un tiempo de 200 ms. El tiempo de medida por defecto es 33 ms, con que se obtiene un buen compromiso entre velocidad y exactitud. Se puede seleccionar uno de tres modos de rango: simple, el sensor realiza solo una medida; continuo, realiza medidas de manera continua, en cuanto termina una medida inicia la siguiente sin retardo; y con temporizador, cuando termina una medida inicia la siguiente después de un retardo definido.</w:t>
      </w:r>
    </w:p>
    <w:p w:rsidR="00B63E09" w:rsidRDefault="00B63E09" w:rsidP="00B63E09">
      <w:pPr>
        <w:ind w:firstLine="539"/>
        <w:jc w:val="both"/>
        <w:rPr>
          <w:rFonts w:ascii="Arial" w:hAnsi="Arial" w:cs="Arial"/>
          <w:color w:val="000000"/>
          <w:lang w:val="es-MX"/>
        </w:rPr>
      </w:pPr>
      <w:r>
        <w:rPr>
          <w:rFonts w:ascii="Arial" w:hAnsi="Arial" w:cs="Arial"/>
          <w:color w:val="000000"/>
        </w:rPr>
        <w:t xml:space="preserve">El fabricante del sensor </w:t>
      </w:r>
      <w:r>
        <w:rPr>
          <w:rFonts w:ascii="Arial" w:hAnsi="Arial" w:cs="Arial"/>
          <w:lang w:val="es-MX"/>
        </w:rPr>
        <w:t xml:space="preserve">VL53L0X proporciona </w:t>
      </w:r>
      <w:r>
        <w:rPr>
          <w:rFonts w:ascii="Arial" w:hAnsi="Arial" w:cs="Arial"/>
          <w:color w:val="000000"/>
        </w:rPr>
        <w:t xml:space="preserve">un conjunto de API que consiste de funciones en lenguaje C las cuales se utilizan para inicializar y calibrar el sensor, así como para establecer la exactitud, modo de rango e inicio de la medida. En los nodos remotos el </w:t>
      </w:r>
      <w:r>
        <w:rPr>
          <w:rFonts w:ascii="Arial" w:hAnsi="Arial" w:cs="Arial"/>
          <w:lang w:val="es-MX"/>
        </w:rPr>
        <w:t xml:space="preserve">VL53L0X se configuró para trabajar con el </w:t>
      </w:r>
      <w:r>
        <w:rPr>
          <w:rFonts w:ascii="Arial" w:hAnsi="Arial" w:cs="Arial"/>
          <w:color w:val="000000"/>
        </w:rPr>
        <w:t>tiempo de medida por defecto y modo de rango continuo de manera que se encuentra permanentemente detectando presencia.</w:t>
      </w:r>
    </w:p>
    <w:p w:rsidR="00B63E09" w:rsidRDefault="00B63E09" w:rsidP="00B63E09">
      <w:pPr>
        <w:ind w:firstLine="539"/>
        <w:jc w:val="both"/>
        <w:rPr>
          <w:rFonts w:ascii="Arial" w:hAnsi="Arial" w:cs="Arial"/>
          <w:lang w:val="es-MX"/>
        </w:rPr>
      </w:pPr>
      <w:r>
        <w:rPr>
          <w:rFonts w:ascii="Arial" w:hAnsi="Arial" w:cs="Arial"/>
          <w:color w:val="000000"/>
          <w:lang w:val="es-MX"/>
        </w:rPr>
        <w:t xml:space="preserve">La cámara de video utilizada en los nodos remotos es el módulo OV7670 de </w:t>
      </w:r>
      <w:r>
        <w:rPr>
          <w:rFonts w:ascii="Arial" w:hAnsi="Arial" w:cs="Arial"/>
          <w:lang w:val="es-MX"/>
        </w:rPr>
        <w:t xml:space="preserve">0.3 Megapixeles. Este módulo contiene un sensor de imágenes </w:t>
      </w:r>
      <w:r>
        <w:rPr>
          <w:rFonts w:ascii="Arial" w:hAnsi="Arial" w:cs="Arial"/>
          <w:color w:val="000000"/>
          <w:lang w:val="es-MX"/>
        </w:rPr>
        <w:t>de bajo voltaje CMOS que consiste de un circuito que integra una cámara VGA y un procesador de imágenes en un encapsulado pequeño para mejorar la calidad de las mismas y corregir defectos reduciendo o eliminando ruido y manchas de fuentes de electricidad o luz y producir imágenes claras de color estable.</w:t>
      </w:r>
    </w:p>
    <w:p w:rsidR="00B63E09" w:rsidRDefault="00B63E09" w:rsidP="00B63E09">
      <w:pPr>
        <w:ind w:firstLine="539"/>
        <w:jc w:val="both"/>
        <w:rPr>
          <w:rFonts w:ascii="Arial" w:hAnsi="Arial" w:cs="Arial"/>
          <w:color w:val="000000"/>
          <w:lang w:val="es-MX"/>
        </w:rPr>
      </w:pPr>
      <w:r>
        <w:rPr>
          <w:rFonts w:ascii="Arial" w:hAnsi="Arial" w:cs="Arial"/>
          <w:color w:val="000000"/>
          <w:lang w:val="es-MX"/>
        </w:rPr>
        <w:t>El módulo OV7670 tiene una resolución de 640x480 VGA, puede generar hasta 30 cuadros por segundo, proporcionando imágenes digitales de 8 bits en un amplio rango de formatos controlados a través de la interfaz estándar denominada bus de control de cámara serie (SCCB- Serial Camera Control Bus) compatible con el bus I</w:t>
      </w:r>
      <w:r>
        <w:rPr>
          <w:rFonts w:ascii="Arial" w:hAnsi="Arial" w:cs="Arial"/>
          <w:color w:val="000000"/>
          <w:vertAlign w:val="superscript"/>
          <w:lang w:val="es-MX"/>
        </w:rPr>
        <w:t>2</w:t>
      </w:r>
      <w:r>
        <w:rPr>
          <w:rFonts w:ascii="Arial" w:hAnsi="Arial" w:cs="Arial"/>
          <w:color w:val="000000"/>
          <w:lang w:val="es-MX"/>
        </w:rPr>
        <w:t>C. El sensor del módulo realiza automáticamente la calibración que consiste de las siguientes acciones: control de exposición, de tono, gamma, ganancia, balance de blancos, mejora de bordes y saturación de color, lo cual es ideal en aplicaciones con ambientes con poca iluminación.</w:t>
      </w:r>
    </w:p>
    <w:p w:rsidR="00B63E09" w:rsidRDefault="00B63E09" w:rsidP="00B63E09">
      <w:pPr>
        <w:ind w:firstLine="539"/>
        <w:jc w:val="both"/>
        <w:rPr>
          <w:rFonts w:ascii="Arial" w:hAnsi="Arial" w:cs="Arial"/>
          <w:lang w:val="es-MX"/>
        </w:rPr>
      </w:pPr>
      <w:r>
        <w:rPr>
          <w:rFonts w:ascii="Arial" w:hAnsi="Arial" w:cs="Arial"/>
          <w:color w:val="000000"/>
          <w:lang w:val="es-MX"/>
        </w:rPr>
        <w:t>Las características técnicas de este módulo son las siguientes: cuenta con un regulador de voltaje de alimentación de 3.3 V, consume menos de 20 μA y tiene un ángulo de visión de 25º. La configuración y operación de la cámara se realiza a través de comandos y datos transmitidos en el bus SCCB. Este bus está compuesto por las líneas siguientes: SCL y SDA, conectadas al bus I</w:t>
      </w:r>
      <w:r>
        <w:rPr>
          <w:rFonts w:ascii="Arial" w:hAnsi="Arial" w:cs="Arial"/>
          <w:color w:val="000000"/>
          <w:vertAlign w:val="superscript"/>
          <w:lang w:val="es-MX"/>
        </w:rPr>
        <w:t>2</w:t>
      </w:r>
      <w:r>
        <w:rPr>
          <w:rFonts w:ascii="Arial" w:hAnsi="Arial" w:cs="Arial"/>
          <w:color w:val="000000"/>
          <w:lang w:val="es-MX"/>
        </w:rPr>
        <w:t xml:space="preserve">C de la </w:t>
      </w:r>
      <w:r>
        <w:rPr>
          <w:rFonts w:ascii="Arial" w:hAnsi="Arial" w:cs="Arial"/>
          <w:color w:val="000000"/>
        </w:rPr>
        <w:t>tarjeta Huzzah32-ESP32</w:t>
      </w:r>
      <w:r>
        <w:rPr>
          <w:rFonts w:ascii="Arial" w:hAnsi="Arial" w:cs="Arial"/>
          <w:color w:val="000000"/>
          <w:lang w:val="es-MX"/>
        </w:rPr>
        <w:t xml:space="preserve">; D0 a D7, salidas por la cuales el sensor entrega la imagen en 8 bits; XCLK entrada que proporciona la señal de reloj externa al módulo; salidas de temporización, VSYNC de sincronía vertical, HREF de dato valido y PCLK de reloj de pixeles que se activan cuando la cámara entrega la imagen. Las líneas D0 a D7 y las de temporización se conectaron a terminales GPIO de la </w:t>
      </w:r>
      <w:r>
        <w:rPr>
          <w:rFonts w:ascii="Arial" w:hAnsi="Arial" w:cs="Arial"/>
          <w:color w:val="000000"/>
        </w:rPr>
        <w:t>tarjeta Huzzah32-ESP32.</w:t>
      </w:r>
    </w:p>
    <w:p w:rsidR="00B63E09" w:rsidRDefault="00B63E09" w:rsidP="00B63E09">
      <w:pPr>
        <w:ind w:firstLine="539"/>
        <w:jc w:val="both"/>
        <w:rPr>
          <w:rFonts w:ascii="Arial" w:hAnsi="Arial" w:cs="Arial"/>
          <w:color w:val="000000"/>
          <w:lang w:val="es-MX"/>
        </w:rPr>
      </w:pPr>
      <w:r>
        <w:rPr>
          <w:rFonts w:ascii="Arial" w:hAnsi="Arial" w:cs="Arial"/>
          <w:color w:val="000000"/>
          <w:lang w:val="es-MX"/>
        </w:rPr>
        <w:t xml:space="preserve">La programación de la tarjeta Huzzah32-ESP32 de los módulos remotos se realizó usando el ambiente de desarrollo de Arduino IDE y ejecuta las siguientes acciones: inicializa el sensor </w:t>
      </w:r>
      <w:r>
        <w:rPr>
          <w:rFonts w:ascii="Arial" w:hAnsi="Arial" w:cs="Arial"/>
          <w:color w:val="000000"/>
        </w:rPr>
        <w:t xml:space="preserve">VL53L0X, </w:t>
      </w:r>
      <w:r>
        <w:rPr>
          <w:rFonts w:ascii="Arial" w:hAnsi="Arial" w:cs="Arial"/>
          <w:color w:val="000000"/>
          <w:lang w:val="es-MX"/>
        </w:rPr>
        <w:t xml:space="preserve">la interfaz WiFi y el módulo OV7670. A continuación, entra a un ciclo continuo esperando detectar presencia. Cuando detecta presencia a una distancia igual o menor a 30 centímetros envía el comando correspondiente al módulo OV7670 para capturar la imagen en formato JPEG y transmitirla, por medio </w:t>
      </w:r>
      <w:r>
        <w:rPr>
          <w:rFonts w:ascii="Arial" w:hAnsi="Arial" w:cs="Arial"/>
          <w:color w:val="000000"/>
          <w:lang w:val="es-MX"/>
        </w:rPr>
        <w:lastRenderedPageBreak/>
        <w:t xml:space="preserve">de la interfaz WiFi, al nodo central. Para desarrollar esta programación se usaron las bibliotecas </w:t>
      </w:r>
      <w:r>
        <w:rPr>
          <w:rFonts w:ascii="Arial" w:hAnsi="Arial" w:cs="Arial"/>
          <w:i/>
          <w:color w:val="000000"/>
          <w:lang w:val="es-MX"/>
        </w:rPr>
        <w:t>Adafruit_VL53L0X.h</w:t>
      </w:r>
      <w:r>
        <w:rPr>
          <w:rFonts w:ascii="Arial" w:hAnsi="Arial" w:cs="Arial"/>
          <w:color w:val="000000"/>
          <w:lang w:val="es-MX"/>
        </w:rPr>
        <w:t xml:space="preserve"> y </w:t>
      </w:r>
      <w:r>
        <w:rPr>
          <w:rFonts w:ascii="Arial" w:hAnsi="Arial" w:cs="Arial"/>
          <w:i/>
          <w:color w:val="000000"/>
          <w:lang w:val="es-MX"/>
        </w:rPr>
        <w:t>esp_camera.h</w:t>
      </w:r>
      <w:r>
        <w:rPr>
          <w:rFonts w:ascii="Arial" w:hAnsi="Arial" w:cs="Arial"/>
          <w:color w:val="000000"/>
          <w:lang w:val="es-MX"/>
        </w:rPr>
        <w:t xml:space="preserve">. En particular se invocaron las funciones siguientes: </w:t>
      </w:r>
      <w:r>
        <w:rPr>
          <w:rFonts w:ascii="Arial" w:hAnsi="Arial" w:cs="Arial"/>
          <w:i/>
          <w:color w:val="000000"/>
          <w:lang w:val="es-MX"/>
        </w:rPr>
        <w:t>Serial.println(measure.RangeMilliMeter)</w:t>
      </w:r>
      <w:r>
        <w:rPr>
          <w:rFonts w:ascii="Arial" w:hAnsi="Arial" w:cs="Arial"/>
          <w:color w:val="000000"/>
          <w:lang w:val="es-MX"/>
        </w:rPr>
        <w:t xml:space="preserve">, para obtener del </w:t>
      </w:r>
      <w:r>
        <w:rPr>
          <w:rFonts w:ascii="Arial" w:hAnsi="Arial" w:cs="Arial"/>
          <w:color w:val="000000"/>
        </w:rPr>
        <w:t>VL53L0X</w:t>
      </w:r>
      <w:r>
        <w:rPr>
          <w:rFonts w:ascii="Arial" w:hAnsi="Arial" w:cs="Arial"/>
          <w:color w:val="000000"/>
          <w:lang w:val="es-MX"/>
        </w:rPr>
        <w:t xml:space="preserve"> la distancia al objeto en milímetros; </w:t>
      </w:r>
      <w:r>
        <w:rPr>
          <w:rFonts w:ascii="Arial" w:hAnsi="Arial" w:cs="Arial"/>
          <w:i/>
          <w:color w:val="000000"/>
          <w:lang w:val="es-MX"/>
        </w:rPr>
        <w:t>esp_camera_init()</w:t>
      </w:r>
      <w:r>
        <w:rPr>
          <w:rFonts w:ascii="Arial" w:hAnsi="Arial" w:cs="Arial"/>
          <w:color w:val="000000"/>
          <w:lang w:val="es-MX"/>
        </w:rPr>
        <w:t xml:space="preserve">, para la inicialización de la cámara y </w:t>
      </w:r>
      <w:r>
        <w:rPr>
          <w:rFonts w:ascii="Arial" w:hAnsi="Arial" w:cs="Arial"/>
          <w:i/>
          <w:color w:val="000000"/>
          <w:lang w:val="es-MX"/>
        </w:rPr>
        <w:t>esp_camera_fb_get()</w:t>
      </w:r>
      <w:r>
        <w:rPr>
          <w:rFonts w:ascii="Arial" w:hAnsi="Arial" w:cs="Arial"/>
          <w:color w:val="000000"/>
          <w:lang w:val="es-MX"/>
        </w:rPr>
        <w:t>, para capturar la imagen.</w:t>
      </w:r>
    </w:p>
    <w:p w:rsidR="00B63E09" w:rsidRDefault="00B63E09" w:rsidP="00B63E09">
      <w:pPr>
        <w:ind w:firstLine="539"/>
        <w:jc w:val="both"/>
        <w:rPr>
          <w:rFonts w:ascii="Arial" w:hAnsi="Arial" w:cs="Arial"/>
          <w:color w:val="000000"/>
          <w:lang w:val="es-MX"/>
        </w:rPr>
      </w:pPr>
    </w:p>
    <w:p w:rsidR="00B63E09" w:rsidRDefault="00B63E09" w:rsidP="00B63E09">
      <w:pPr>
        <w:spacing w:line="360" w:lineRule="auto"/>
        <w:jc w:val="both"/>
        <w:rPr>
          <w:rFonts w:ascii="Arial" w:hAnsi="Arial" w:cs="Arial"/>
          <w:i/>
        </w:rPr>
      </w:pPr>
      <w:r>
        <w:rPr>
          <w:rFonts w:ascii="Arial" w:hAnsi="Arial" w:cs="Arial"/>
          <w:i/>
          <w:color w:val="000000"/>
        </w:rPr>
        <w:t>3.1 El nodo central</w:t>
      </w:r>
      <w:r>
        <w:rPr>
          <w:rFonts w:ascii="Arial" w:hAnsi="Arial" w:cs="Arial"/>
          <w:i/>
        </w:rPr>
        <w:t>.</w:t>
      </w:r>
      <w:r>
        <w:rPr>
          <w:rFonts w:ascii="Arial" w:hAnsi="Arial" w:cs="Arial"/>
          <w:b/>
          <w:i/>
        </w:rPr>
        <w:t xml:space="preserve"> </w:t>
      </w:r>
    </w:p>
    <w:p w:rsidR="00B63E09" w:rsidRDefault="00B63E09" w:rsidP="00B63E09">
      <w:pPr>
        <w:ind w:firstLine="539"/>
        <w:jc w:val="both"/>
        <w:rPr>
          <w:rFonts w:ascii="Arial" w:hAnsi="Arial" w:cs="Arial"/>
          <w:color w:val="000000"/>
        </w:rPr>
      </w:pPr>
      <w:r>
        <w:rPr>
          <w:rFonts w:ascii="Arial" w:hAnsi="Arial" w:cs="Arial"/>
          <w:color w:val="000000"/>
        </w:rPr>
        <w:t>De manera similar a los nodos remotos, el central se implantó utilizando la tarjeta Huzzah32-ESP32 y se incorporó un módulo de tarjeta SD. La comunicación entre la Huzzah32-ESP32 y el módulo de tarjeta SD utiliza el protocolo SPI, razón por la cual las terminales MISO, MOSI y SCLK del módulo se conectaron al bus de uno de los puertos SPI de la tarjeta, mientras que la terminal CS del módulo se conectó a la terminal GPIO0 configurada como salida tal como se muestra en el diagrama de bloques de la arquitectura del nodo central de la Figura 4. El nodo central se encarga de recibir la siguiente información de los nodos remotos cuando éstos detectan la presencia de una persona u objeto: la fecha y hora, el archivo JPEG de la fotografía capturada y el identificador del nodo. En la memoria SD se creó un directorio para cada nodo remoto y en cada directorio un subdirectorio nombrado con la fecha para almacenar el video enviado por cada módulo remoto.</w:t>
      </w:r>
    </w:p>
    <w:p w:rsidR="00B63E09" w:rsidRDefault="00B63E09" w:rsidP="00B63E09">
      <w:pPr>
        <w:ind w:firstLine="539"/>
        <w:jc w:val="both"/>
        <w:rPr>
          <w:rFonts w:ascii="Arial" w:hAnsi="Arial" w:cs="Arial"/>
          <w:color w:val="000000"/>
        </w:rPr>
      </w:pPr>
    </w:p>
    <w:tbl>
      <w:tblPr>
        <w:tblW w:w="0" w:type="auto"/>
        <w:jc w:val="center"/>
        <w:tblLayout w:type="fixed"/>
        <w:tblLook w:val="04A0" w:firstRow="1" w:lastRow="0" w:firstColumn="1" w:lastColumn="0" w:noHBand="0" w:noVBand="1"/>
      </w:tblPr>
      <w:tblGrid>
        <w:gridCol w:w="6171"/>
      </w:tblGrid>
      <w:tr w:rsidR="00B63E09" w:rsidTr="00B63E09">
        <w:trPr>
          <w:trHeight w:val="3463"/>
          <w:jc w:val="center"/>
        </w:trPr>
        <w:tc>
          <w:tcPr>
            <w:tcW w:w="6171" w:type="dxa"/>
          </w:tcPr>
          <w:p w:rsidR="00B63E09" w:rsidRDefault="00B63E09">
            <w:pPr>
              <w:pStyle w:val="Textoindependiente"/>
              <w:jc w:val="center"/>
              <w:rPr>
                <w:rFonts w:ascii="Times New Roman" w:hAnsi="Times New Roman" w:cs="Times New Roman"/>
              </w:rPr>
            </w:pPr>
            <w:r>
              <w:rPr>
                <w:noProof/>
                <w:lang w:val="en-US"/>
              </w:rPr>
              <w:drawing>
                <wp:inline distT="0" distB="0" distL="0" distR="0" wp14:anchorId="7647EB74" wp14:editId="4020B5BB">
                  <wp:extent cx="3781425" cy="2133600"/>
                  <wp:effectExtent l="0" t="0" r="9525" b="0"/>
                  <wp:docPr id="2026623778" name="Imagen 2026623778" descr="fig4-prote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fig4-proteccion"/>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3781425" cy="2133600"/>
                          </a:xfrm>
                          <a:prstGeom prst="rect">
                            <a:avLst/>
                          </a:prstGeom>
                          <a:noFill/>
                          <a:ln>
                            <a:noFill/>
                          </a:ln>
                        </pic:spPr>
                      </pic:pic>
                    </a:graphicData>
                  </a:graphic>
                </wp:inline>
              </w:drawing>
            </w:r>
          </w:p>
          <w:p w:rsidR="00B63E09" w:rsidRDefault="00B63E09">
            <w:pPr>
              <w:rPr>
                <w:sz w:val="2"/>
                <w:szCs w:val="2"/>
              </w:rPr>
            </w:pPr>
          </w:p>
        </w:tc>
      </w:tr>
      <w:tr w:rsidR="00B63E09" w:rsidRPr="00B63E09" w:rsidTr="00B63E09">
        <w:trPr>
          <w:jc w:val="center"/>
        </w:trPr>
        <w:tc>
          <w:tcPr>
            <w:tcW w:w="6171" w:type="dxa"/>
            <w:hideMark/>
          </w:tcPr>
          <w:p w:rsidR="00B63E09" w:rsidRDefault="00B63E09">
            <w:pPr>
              <w:jc w:val="center"/>
              <w:rPr>
                <w:rFonts w:ascii="Arial" w:hAnsi="Arial" w:cs="Arial"/>
                <w:bCs/>
                <w:i/>
                <w:sz w:val="20"/>
                <w:szCs w:val="20"/>
              </w:rPr>
            </w:pPr>
            <w:r>
              <w:rPr>
                <w:rFonts w:ascii="Arial" w:hAnsi="Arial" w:cs="Arial"/>
                <w:bCs/>
                <w:i/>
                <w:sz w:val="20"/>
                <w:szCs w:val="20"/>
              </w:rPr>
              <w:t>Figura 4. Arquitectura del nodo central</w:t>
            </w:r>
          </w:p>
        </w:tc>
      </w:tr>
    </w:tbl>
    <w:p w:rsidR="00B63E09" w:rsidRDefault="00B63E09" w:rsidP="00B63E09">
      <w:pPr>
        <w:ind w:firstLine="539"/>
        <w:jc w:val="both"/>
        <w:rPr>
          <w:rFonts w:ascii="Arial" w:eastAsia="Batang" w:hAnsi="Arial" w:cs="Arial"/>
          <w:color w:val="000000"/>
          <w:sz w:val="24"/>
          <w:szCs w:val="24"/>
          <w:lang w:eastAsia="ko-KR"/>
        </w:rPr>
      </w:pPr>
    </w:p>
    <w:p w:rsidR="00B63E09" w:rsidRDefault="00B63E09" w:rsidP="00B63E09">
      <w:pPr>
        <w:ind w:firstLine="539"/>
        <w:jc w:val="both"/>
        <w:rPr>
          <w:rFonts w:ascii="Arial" w:hAnsi="Arial" w:cs="Arial"/>
          <w:color w:val="000000"/>
        </w:rPr>
      </w:pPr>
      <w:r>
        <w:rPr>
          <w:rFonts w:ascii="Arial" w:hAnsi="Arial" w:cs="Arial"/>
          <w:color w:val="000000"/>
        </w:rPr>
        <w:t xml:space="preserve">Las funciones del nodo central se implantaron programando la tarjeta Huzzah32 para realizar las actividades siguientes: configura la terminal GPIO0 y el puerto SPI e inicializa la interfaz WiFi. A continuación, invoca la función que arranca el servidor web la cual puede ser interrumpida al recibir, por medio del puerto SPI, la información de los nodos remotos. La rutina de servicio de la interrupción se encarga de leer la información del puerto SPI, trasmitirla en un mensaje de alerta de WhatsApp al </w:t>
      </w:r>
      <w:r>
        <w:rPr>
          <w:rFonts w:ascii="Arial" w:hAnsi="Arial" w:cs="Arial"/>
          <w:color w:val="000000"/>
        </w:rPr>
        <w:lastRenderedPageBreak/>
        <w:t xml:space="preserve">teléfono móvil a través de la plataforma de servicios Twilio y almacenar en la memoria SD la fotografía en un archivo cuyo nombre usa el formato ID-fecha-hora.JPG. La programación del nodo central se realizó usando las siguientes bibliotecas de funciones de código abierto: </w:t>
      </w:r>
      <w:r>
        <w:rPr>
          <w:rFonts w:ascii="Arial" w:hAnsi="Arial" w:cs="Arial"/>
          <w:i/>
          <w:color w:val="000000"/>
        </w:rPr>
        <w:t>WiFi.h</w:t>
      </w:r>
      <w:r>
        <w:rPr>
          <w:rFonts w:ascii="Arial" w:hAnsi="Arial" w:cs="Arial"/>
          <w:color w:val="000000"/>
        </w:rPr>
        <w:t xml:space="preserve"> para realizar la comunicación con la interfaz WiFi, </w:t>
      </w:r>
      <w:r>
        <w:rPr>
          <w:rFonts w:ascii="Arial" w:hAnsi="Arial" w:cs="Arial"/>
          <w:i/>
          <w:color w:val="000000"/>
        </w:rPr>
        <w:t>SPI</w:t>
      </w:r>
      <w:r>
        <w:rPr>
          <w:rFonts w:ascii="Arial" w:hAnsi="Arial" w:cs="Arial"/>
          <w:color w:val="000000"/>
        </w:rPr>
        <w:t xml:space="preserve"> para el manejo del protocolo SPI, </w:t>
      </w:r>
      <w:r>
        <w:rPr>
          <w:rFonts w:ascii="Arial" w:hAnsi="Arial" w:cs="Arial"/>
          <w:i/>
          <w:color w:val="000000"/>
        </w:rPr>
        <w:t>SD</w:t>
      </w:r>
      <w:r>
        <w:rPr>
          <w:rFonts w:ascii="Arial" w:hAnsi="Arial" w:cs="Arial"/>
          <w:color w:val="000000"/>
        </w:rPr>
        <w:t xml:space="preserve"> para acceder la memoria SD y </w:t>
      </w:r>
      <w:r>
        <w:rPr>
          <w:rFonts w:ascii="Arial" w:hAnsi="Arial" w:cs="Arial"/>
          <w:i/>
          <w:color w:val="000000"/>
        </w:rPr>
        <w:t>WebServer.h</w:t>
      </w:r>
      <w:r>
        <w:rPr>
          <w:rFonts w:ascii="Arial" w:hAnsi="Arial" w:cs="Arial"/>
          <w:color w:val="000000"/>
        </w:rPr>
        <w:t xml:space="preserve"> para implantar el servidor web. Particularmente se emplearon las siguientes funciones: </w:t>
      </w:r>
      <w:r>
        <w:rPr>
          <w:rFonts w:ascii="Arial" w:hAnsi="Arial" w:cs="Arial"/>
          <w:i/>
          <w:color w:val="000000"/>
        </w:rPr>
        <w:t>SD_MMC.begin()</w:t>
      </w:r>
      <w:r>
        <w:rPr>
          <w:rFonts w:ascii="Arial" w:hAnsi="Arial" w:cs="Arial"/>
          <w:color w:val="000000"/>
        </w:rPr>
        <w:t xml:space="preserve"> para inicializar la memoria SD; </w:t>
      </w:r>
      <w:r>
        <w:rPr>
          <w:rFonts w:ascii="Arial" w:hAnsi="Arial" w:cs="Arial"/>
          <w:i/>
          <w:color w:val="000000"/>
        </w:rPr>
        <w:t>fs.open(path.c_str()</w:t>
      </w:r>
      <w:r>
        <w:rPr>
          <w:rFonts w:ascii="Arial" w:hAnsi="Arial" w:cs="Arial"/>
          <w:color w:val="000000"/>
        </w:rPr>
        <w:t xml:space="preserve">, </w:t>
      </w:r>
      <w:r>
        <w:rPr>
          <w:rFonts w:ascii="Arial" w:hAnsi="Arial" w:cs="Arial"/>
          <w:i/>
          <w:color w:val="000000"/>
        </w:rPr>
        <w:t>FILE_WRITE)</w:t>
      </w:r>
      <w:r>
        <w:rPr>
          <w:rFonts w:ascii="Arial" w:hAnsi="Arial" w:cs="Arial"/>
          <w:color w:val="000000"/>
        </w:rPr>
        <w:t xml:space="preserve"> para almacenar el archivo JPG y </w:t>
      </w:r>
      <w:r>
        <w:rPr>
          <w:rFonts w:ascii="Arial" w:hAnsi="Arial" w:cs="Arial"/>
          <w:i/>
          <w:color w:val="000000"/>
        </w:rPr>
        <w:t>dataFile.read()</w:t>
      </w:r>
      <w:r>
        <w:rPr>
          <w:rFonts w:ascii="Arial" w:hAnsi="Arial" w:cs="Arial"/>
          <w:color w:val="000000"/>
        </w:rPr>
        <w:t xml:space="preserve"> para realizar la lectura del archivo JPG.</w:t>
      </w:r>
    </w:p>
    <w:p w:rsidR="00B63E09" w:rsidRDefault="00B63E09" w:rsidP="00B63E09">
      <w:pPr>
        <w:ind w:firstLine="539"/>
        <w:jc w:val="both"/>
        <w:rPr>
          <w:rFonts w:ascii="Arial" w:hAnsi="Arial" w:cs="Arial"/>
          <w:color w:val="000000"/>
        </w:rPr>
      </w:pPr>
    </w:p>
    <w:p w:rsidR="00B63E09" w:rsidRDefault="00B63E09" w:rsidP="00B63E09">
      <w:pPr>
        <w:spacing w:line="360" w:lineRule="auto"/>
        <w:jc w:val="both"/>
        <w:rPr>
          <w:rFonts w:ascii="Arial" w:hAnsi="Arial" w:cs="Arial"/>
          <w:i/>
          <w:color w:val="000000"/>
        </w:rPr>
      </w:pPr>
    </w:p>
    <w:p w:rsidR="00B63E09" w:rsidRDefault="00B63E09" w:rsidP="00B63E09">
      <w:pPr>
        <w:spacing w:line="360" w:lineRule="auto"/>
        <w:jc w:val="both"/>
        <w:rPr>
          <w:rFonts w:ascii="Arial" w:hAnsi="Arial" w:cs="Arial"/>
          <w:i/>
          <w:color w:val="000000"/>
        </w:rPr>
      </w:pPr>
    </w:p>
    <w:p w:rsidR="00B63E09" w:rsidRDefault="00B63E09" w:rsidP="00B63E09">
      <w:pPr>
        <w:spacing w:line="360" w:lineRule="auto"/>
        <w:jc w:val="both"/>
        <w:rPr>
          <w:rFonts w:ascii="Arial" w:hAnsi="Arial" w:cs="Arial"/>
          <w:i/>
        </w:rPr>
      </w:pPr>
      <w:r>
        <w:rPr>
          <w:rFonts w:ascii="Arial" w:hAnsi="Arial" w:cs="Arial"/>
          <w:i/>
          <w:color w:val="000000"/>
        </w:rPr>
        <w:t>3.3 La interfaz de usuario</w:t>
      </w:r>
      <w:r>
        <w:rPr>
          <w:rFonts w:ascii="Arial" w:hAnsi="Arial" w:cs="Arial"/>
          <w:i/>
        </w:rPr>
        <w:t>.</w:t>
      </w:r>
      <w:r>
        <w:rPr>
          <w:rFonts w:ascii="Arial" w:hAnsi="Arial" w:cs="Arial"/>
          <w:b/>
          <w:i/>
        </w:rPr>
        <w:t xml:space="preserve"> </w:t>
      </w:r>
    </w:p>
    <w:p w:rsidR="00B63E09" w:rsidRDefault="00B63E09" w:rsidP="00B63E09">
      <w:pPr>
        <w:ind w:firstLine="539"/>
        <w:jc w:val="both"/>
        <w:rPr>
          <w:rFonts w:ascii="Arial" w:hAnsi="Arial" w:cs="Arial"/>
          <w:color w:val="000000"/>
        </w:rPr>
      </w:pPr>
      <w:r>
        <w:rPr>
          <w:rFonts w:ascii="Arial" w:hAnsi="Arial" w:cs="Arial"/>
          <w:color w:val="000000"/>
        </w:rPr>
        <w:t xml:space="preserve">La interfaz de usuario desarrollada consiste de una página creada con HTML desplegada en la computadora cuando se realiza la conexión al servidor web del nodo central. La página principal de la interfaz contiene un botón para cada nodo remoto junto al cual se muestra la fotografía, hora y fecha de la última persona detectada en el gabinete del nodo, tal y como se indica en la Figura 5. Al presionar uno de los botones se accede a la información almacenada en los subdirectorios de la memoria SD. La interfaz cuenta también con un botón de </w:t>
      </w:r>
      <w:r>
        <w:rPr>
          <w:rFonts w:ascii="Arial" w:hAnsi="Arial" w:cs="Arial"/>
          <w:i/>
          <w:color w:val="000000"/>
        </w:rPr>
        <w:t>Configuración</w:t>
      </w:r>
      <w:r>
        <w:rPr>
          <w:rFonts w:ascii="Arial" w:hAnsi="Arial" w:cs="Arial"/>
          <w:color w:val="000000"/>
        </w:rPr>
        <w:t>, el cual permite establecer el número del teléfono móvil al que se transmite el mensaje de alerta de WhatsApp.</w:t>
      </w:r>
    </w:p>
    <w:p w:rsidR="00B63E09" w:rsidRDefault="00B63E09" w:rsidP="00B63E09">
      <w:pPr>
        <w:ind w:firstLine="539"/>
        <w:jc w:val="both"/>
        <w:rPr>
          <w:rFonts w:ascii="Arial" w:hAnsi="Arial" w:cs="Arial"/>
          <w:color w:val="000000"/>
        </w:rPr>
      </w:pPr>
    </w:p>
    <w:tbl>
      <w:tblPr>
        <w:tblW w:w="0" w:type="auto"/>
        <w:jc w:val="center"/>
        <w:tblLayout w:type="fixed"/>
        <w:tblLook w:val="04A0" w:firstRow="1" w:lastRow="0" w:firstColumn="1" w:lastColumn="0" w:noHBand="0" w:noVBand="1"/>
      </w:tblPr>
      <w:tblGrid>
        <w:gridCol w:w="6171"/>
      </w:tblGrid>
      <w:tr w:rsidR="00B63E09" w:rsidRPr="00B63E09" w:rsidTr="00B63E09">
        <w:trPr>
          <w:trHeight w:val="3611"/>
          <w:jc w:val="center"/>
        </w:trPr>
        <w:tc>
          <w:tcPr>
            <w:tcW w:w="6171" w:type="dxa"/>
          </w:tcPr>
          <w:p w:rsidR="00B63E09" w:rsidRDefault="00B63E09">
            <w:pPr>
              <w:pStyle w:val="Textoindependiente"/>
              <w:jc w:val="center"/>
              <w:rPr>
                <w:rFonts w:ascii="Times New Roman" w:hAnsi="Times New Roman" w:cs="Times New Roman"/>
                <w:sz w:val="2"/>
                <w:szCs w:val="2"/>
              </w:rPr>
            </w:pPr>
            <w:r>
              <w:rPr>
                <w:rFonts w:ascii="Times New Roman" w:hAnsi="Times New Roman" w:cs="Times New Roman"/>
                <w:noProof/>
                <w:lang w:val="en-US"/>
              </w:rPr>
              <w:drawing>
                <wp:anchor distT="0" distB="0" distL="114300" distR="114300" simplePos="0" relativeHeight="251858944" behindDoc="0" locked="0" layoutInCell="1" allowOverlap="1" wp14:anchorId="41E892B0" wp14:editId="125035EB">
                  <wp:simplePos x="0" y="0"/>
                  <wp:positionH relativeFrom="margin">
                    <wp:align>center</wp:align>
                  </wp:positionH>
                  <wp:positionV relativeFrom="margin">
                    <wp:align>center</wp:align>
                  </wp:positionV>
                  <wp:extent cx="2348865" cy="1550035"/>
                  <wp:effectExtent l="0" t="0" r="0" b="0"/>
                  <wp:wrapSquare wrapText="bothSides"/>
                  <wp:docPr id="2026623782" name="Imagen 2026623782" descr="fig5-prote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fig5-proteccion"/>
                          <pic:cNvPicPr>
                            <a:picLocks noChangeAspect="1" noChangeArrowheads="1"/>
                          </pic:cNvPicPr>
                        </pic:nvPicPr>
                        <pic:blipFill>
                          <a:blip r:embed="rId1238" cstate="print">
                            <a:extLst>
                              <a:ext uri="{28A0092B-C50C-407E-A947-70E740481C1C}">
                                <a14:useLocalDpi xmlns:a14="http://schemas.microsoft.com/office/drawing/2010/main" val="0"/>
                              </a:ext>
                            </a:extLst>
                          </a:blip>
                          <a:srcRect/>
                          <a:stretch>
                            <a:fillRect/>
                          </a:stretch>
                        </pic:blipFill>
                        <pic:spPr bwMode="auto">
                          <a:xfrm>
                            <a:off x="0" y="0"/>
                            <a:ext cx="2348865" cy="1550035"/>
                          </a:xfrm>
                          <a:prstGeom prst="rect">
                            <a:avLst/>
                          </a:prstGeom>
                          <a:noFill/>
                        </pic:spPr>
                      </pic:pic>
                    </a:graphicData>
                  </a:graphic>
                  <wp14:sizeRelH relativeFrom="page">
                    <wp14:pctWidth>0</wp14:pctWidth>
                  </wp14:sizeRelH>
                  <wp14:sizeRelV relativeFrom="page">
                    <wp14:pctHeight>0</wp14:pctHeight>
                  </wp14:sizeRelV>
                </wp:anchor>
              </w:drawing>
            </w:r>
          </w:p>
          <w:p w:rsidR="00B63E09" w:rsidRDefault="00B63E09">
            <w:pPr>
              <w:rPr>
                <w:sz w:val="2"/>
                <w:szCs w:val="2"/>
              </w:rPr>
            </w:pPr>
          </w:p>
        </w:tc>
      </w:tr>
      <w:tr w:rsidR="00B63E09" w:rsidTr="00B63E09">
        <w:trPr>
          <w:jc w:val="center"/>
        </w:trPr>
        <w:tc>
          <w:tcPr>
            <w:tcW w:w="6171" w:type="dxa"/>
            <w:hideMark/>
          </w:tcPr>
          <w:p w:rsidR="00B63E09" w:rsidRDefault="00B63E09">
            <w:pPr>
              <w:jc w:val="center"/>
              <w:rPr>
                <w:rFonts w:ascii="Arial" w:hAnsi="Arial" w:cs="Arial"/>
                <w:bCs/>
                <w:i/>
                <w:sz w:val="20"/>
                <w:szCs w:val="20"/>
              </w:rPr>
            </w:pPr>
            <w:r>
              <w:rPr>
                <w:rFonts w:ascii="Arial" w:hAnsi="Arial" w:cs="Arial"/>
                <w:bCs/>
                <w:i/>
                <w:sz w:val="20"/>
                <w:szCs w:val="20"/>
              </w:rPr>
              <w:t>Figura 5. Interfaz de usuario</w:t>
            </w:r>
          </w:p>
        </w:tc>
      </w:tr>
    </w:tbl>
    <w:p w:rsidR="00B63E09" w:rsidRDefault="00B63E09" w:rsidP="00B63E09">
      <w:pPr>
        <w:ind w:firstLine="539"/>
        <w:jc w:val="both"/>
        <w:rPr>
          <w:rFonts w:ascii="Arial" w:eastAsia="Batang" w:hAnsi="Arial" w:cs="Arial"/>
          <w:color w:val="000000"/>
          <w:sz w:val="24"/>
          <w:szCs w:val="24"/>
          <w:lang w:eastAsia="ko-KR"/>
        </w:rPr>
      </w:pPr>
    </w:p>
    <w:p w:rsidR="00B63E09" w:rsidRPr="00B63E09" w:rsidRDefault="00B63E09" w:rsidP="00B63E09">
      <w:pPr>
        <w:pStyle w:val="Ttulo1"/>
        <w:keepLines w:val="0"/>
        <w:numPr>
          <w:ilvl w:val="0"/>
          <w:numId w:val="36"/>
        </w:numPr>
        <w:tabs>
          <w:tab w:val="clear" w:pos="432"/>
          <w:tab w:val="left" w:pos="0"/>
        </w:tabs>
        <w:suppressAutoHyphens/>
        <w:spacing w:before="0" w:after="0" w:line="360" w:lineRule="auto"/>
        <w:ind w:left="0" w:firstLine="0"/>
        <w:rPr>
          <w:rFonts w:ascii="Arial" w:hAnsi="Arial" w:cs="Arial"/>
          <w:color w:val="auto"/>
          <w:sz w:val="24"/>
          <w:szCs w:val="24"/>
        </w:rPr>
      </w:pPr>
      <w:bookmarkStart w:id="352" w:name="_Toc50031399"/>
      <w:r w:rsidRPr="00B63E09">
        <w:rPr>
          <w:rFonts w:ascii="Arial" w:hAnsi="Arial" w:cs="Arial"/>
          <w:i/>
          <w:caps/>
          <w:sz w:val="24"/>
          <w:szCs w:val="24"/>
        </w:rPr>
        <w:t xml:space="preserve">4. </w:t>
      </w:r>
      <w:r w:rsidRPr="00B63E09">
        <w:rPr>
          <w:rFonts w:ascii="Arial" w:hAnsi="Arial" w:cs="Arial"/>
          <w:i/>
          <w:sz w:val="24"/>
          <w:szCs w:val="24"/>
        </w:rPr>
        <w:t>Resultados y discusión</w:t>
      </w:r>
      <w:bookmarkEnd w:id="352"/>
    </w:p>
    <w:p w:rsidR="00B63E09" w:rsidRDefault="00B63E09" w:rsidP="00B63E09">
      <w:pPr>
        <w:ind w:firstLine="539"/>
        <w:jc w:val="both"/>
        <w:rPr>
          <w:rFonts w:ascii="Arial" w:hAnsi="Arial" w:cs="Arial"/>
          <w:color w:val="000000"/>
        </w:rPr>
      </w:pPr>
      <w:r>
        <w:rPr>
          <w:rFonts w:ascii="Arial" w:hAnsi="Arial" w:cs="Arial"/>
          <w:color w:val="000000"/>
        </w:rPr>
        <w:t xml:space="preserve">El gabinete en el que se instalaron los nodos remotos de la red se encuentra aislado en el CPD, los gabinetes más cercanos se encuentran más allá de los 5 metros, por lo que la luz de los sensores </w:t>
      </w:r>
      <w:r>
        <w:rPr>
          <w:rFonts w:ascii="Arial" w:hAnsi="Arial" w:cs="Arial"/>
          <w:color w:val="000000"/>
        </w:rPr>
        <w:lastRenderedPageBreak/>
        <w:t xml:space="preserve">de distancia no es interferida y no rebota en los gabinetes. Sin embargo, antes de realizar las pruebas de la red se solicitó ajustar los sensores para que la distancia máxima medida sea 1.80 metros, ya que en caso de necesitar mover el gabinete, en el que se encuentran instalados los nodos remotos, a otro lugar del CPD, el gabinete más cercano no podrá estar ubicado a menos de 1.90 metros. Una vez ajustados los sensores se procedió a llevar  a cabo dos conjuntos de pruebas. El primer conjunto tuvo como objetivo determinar el tiempo de respuesta de la red realizando 50 pruebas, ubicando una persona a una distancia diferente en un nodo remoto en cada prueba. En todas las pruebas la distancia fue menor a 30 centímetros. Para realizar estas pruebas se ejecutaron dos programas, el primero en el nodo remoto para registrar la hora cuando se detectó presencia y el segundo se ejecutó en el nodo central para registrar la hora cuando el nodo almacenó la información transmitida por el nodo remoto en la memoria SD. La diferencia entre ambos registros fue la que se consideró como el tiempo de respuesta, la cual fue de 400 ns en promedio. </w:t>
      </w:r>
    </w:p>
    <w:p w:rsidR="00B63E09" w:rsidRDefault="00B63E09" w:rsidP="00B63E09">
      <w:pPr>
        <w:ind w:firstLine="539"/>
        <w:jc w:val="both"/>
        <w:rPr>
          <w:rFonts w:ascii="Arial" w:hAnsi="Arial" w:cs="Arial"/>
          <w:color w:val="000000"/>
        </w:rPr>
      </w:pPr>
      <w:r>
        <w:rPr>
          <w:rFonts w:ascii="Arial" w:hAnsi="Arial" w:cs="Arial"/>
          <w:color w:val="000000"/>
        </w:rPr>
        <w:t xml:space="preserve">El segundo conjunto consistió de 100 pruebas que tuvieron como fin determinar la exactitud de la medida de distancia de los nodos remotos. El fabricante del sensor de distancia indica que el valor de la exactitud depende del tiempo de medida configurado. Considerando que el tiempo de medida usado es 33 ms, la exactitud nominal del sensor es 4 % en interiores. En la realización de estas pruebas se colocaron 100 personas a distancias entre 10 y 180 centímetros de un nodo remoto y se ejecutó un programa en el nodo para mostrar en el IDE de Arduino la distancia medida. En cada prueba se midió la distancia a la cual se colocó la persona y se tomó como referencia o medida real. A continuación, se consideró como medida experimental la mostrada en el IDE de Arduino para determinar que la exactitud real de la medida reportada por el nodo es 1.5% en promedio.  Durante las pruebas anteriores, el gabinete donde se instalaron los nodos remotos se localizó a 30 metros del nodo central y no se presentaron problemas en la comunicación WiFi de la red. No obstante, para determinar el alcance de la misma se ubicó uno de los nodos remotos a distancias mayores a la anterior. Los resultados obtenidos mostraron que a 32 metros el nivel de intensidad (RSSI-Received Signal Strength Indicator) de la señal WiFi cae a -72 dBm y continua haciéndolo hasta -90 dBm cuando la distancia es 42 metros y el enlace se pierde como se indica en la gráfica de la Figura 6. Para obtener el valor del RSSI se ejecutó un programa que invoca la función </w:t>
      </w:r>
      <w:r>
        <w:rPr>
          <w:rFonts w:ascii="Arial" w:hAnsi="Arial" w:cs="Arial"/>
          <w:i/>
          <w:color w:val="000000"/>
        </w:rPr>
        <w:t>getStrength(numberPoints)</w:t>
      </w:r>
      <w:r>
        <w:rPr>
          <w:rFonts w:ascii="Arial" w:hAnsi="Arial" w:cs="Arial"/>
          <w:color w:val="000000"/>
        </w:rPr>
        <w:t xml:space="preserve"> de la biblioteca </w:t>
      </w:r>
      <w:r>
        <w:rPr>
          <w:rFonts w:ascii="Arial" w:hAnsi="Arial" w:cs="Arial"/>
          <w:i/>
          <w:color w:val="000000"/>
        </w:rPr>
        <w:t>WiFi.h</w:t>
      </w:r>
      <w:r>
        <w:rPr>
          <w:rFonts w:ascii="Arial" w:hAnsi="Arial" w:cs="Arial"/>
          <w:color w:val="000000"/>
        </w:rPr>
        <w:t>.</w:t>
      </w:r>
    </w:p>
    <w:p w:rsidR="00B63E09" w:rsidRDefault="00B63E09" w:rsidP="00B63E09">
      <w:pPr>
        <w:ind w:firstLine="539"/>
        <w:jc w:val="both"/>
        <w:rPr>
          <w:rFonts w:ascii="Arial" w:hAnsi="Arial" w:cs="Arial"/>
          <w:color w:val="000000"/>
        </w:rPr>
      </w:pPr>
    </w:p>
    <w:tbl>
      <w:tblPr>
        <w:tblW w:w="0" w:type="auto"/>
        <w:jc w:val="center"/>
        <w:tblLook w:val="04A0" w:firstRow="1" w:lastRow="0" w:firstColumn="1" w:lastColumn="0" w:noHBand="0" w:noVBand="1"/>
      </w:tblPr>
      <w:tblGrid>
        <w:gridCol w:w="5376"/>
      </w:tblGrid>
      <w:tr w:rsidR="00B63E09" w:rsidTr="00B63E09">
        <w:trPr>
          <w:trHeight w:val="3359"/>
          <w:jc w:val="center"/>
        </w:trPr>
        <w:tc>
          <w:tcPr>
            <w:tcW w:w="5376" w:type="dxa"/>
          </w:tcPr>
          <w:p w:rsidR="00B63E09" w:rsidRDefault="00B63E09">
            <w:pPr>
              <w:pStyle w:val="Textoindependiente"/>
              <w:jc w:val="center"/>
              <w:rPr>
                <w:rFonts w:ascii="Times New Roman" w:hAnsi="Times New Roman" w:cs="Times New Roman"/>
              </w:rPr>
            </w:pPr>
            <w:r>
              <w:rPr>
                <w:noProof/>
                <w:lang w:val="en-US"/>
              </w:rPr>
              <w:lastRenderedPageBreak/>
              <w:drawing>
                <wp:inline distT="0" distB="0" distL="0" distR="0" wp14:anchorId="2A3132E4" wp14:editId="3C7A2959">
                  <wp:extent cx="3057525" cy="2076450"/>
                  <wp:effectExtent l="0" t="0" r="9525" b="0"/>
                  <wp:docPr id="2026623777" name="Imagen 202662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39">
                            <a:extLst>
                              <a:ext uri="{28A0092B-C50C-407E-A947-70E740481C1C}">
                                <a14:useLocalDpi xmlns:a14="http://schemas.microsoft.com/office/drawing/2010/main" val="0"/>
                              </a:ext>
                            </a:extLst>
                          </a:blip>
                          <a:srcRect/>
                          <a:stretch>
                            <a:fillRect/>
                          </a:stretch>
                        </pic:blipFill>
                        <pic:spPr bwMode="auto">
                          <a:xfrm>
                            <a:off x="0" y="0"/>
                            <a:ext cx="3057525" cy="2076450"/>
                          </a:xfrm>
                          <a:prstGeom prst="rect">
                            <a:avLst/>
                          </a:prstGeom>
                          <a:noFill/>
                          <a:ln>
                            <a:noFill/>
                          </a:ln>
                        </pic:spPr>
                      </pic:pic>
                    </a:graphicData>
                  </a:graphic>
                </wp:inline>
              </w:drawing>
            </w:r>
          </w:p>
          <w:p w:rsidR="00B63E09" w:rsidRDefault="00B63E09">
            <w:pPr>
              <w:rPr>
                <w:sz w:val="2"/>
                <w:szCs w:val="2"/>
              </w:rPr>
            </w:pPr>
          </w:p>
        </w:tc>
      </w:tr>
      <w:tr w:rsidR="00B63E09" w:rsidRPr="00B63E09" w:rsidTr="00B63E09">
        <w:trPr>
          <w:jc w:val="center"/>
        </w:trPr>
        <w:tc>
          <w:tcPr>
            <w:tcW w:w="5376" w:type="dxa"/>
            <w:hideMark/>
          </w:tcPr>
          <w:p w:rsidR="00B63E09" w:rsidRDefault="00B63E09">
            <w:pPr>
              <w:jc w:val="center"/>
              <w:rPr>
                <w:rFonts w:ascii="Arial" w:hAnsi="Arial" w:cs="Arial"/>
                <w:bCs/>
                <w:i/>
                <w:sz w:val="20"/>
                <w:szCs w:val="20"/>
              </w:rPr>
            </w:pPr>
            <w:r>
              <w:rPr>
                <w:rFonts w:ascii="Arial" w:hAnsi="Arial" w:cs="Arial"/>
                <w:bCs/>
                <w:i/>
                <w:sz w:val="20"/>
                <w:szCs w:val="20"/>
              </w:rPr>
              <w:t>Figura 6. Nivel de RSSI del enlace WiFi de la red</w:t>
            </w:r>
          </w:p>
        </w:tc>
      </w:tr>
    </w:tbl>
    <w:p w:rsidR="00B63E09" w:rsidRDefault="00B63E09" w:rsidP="00B63E09">
      <w:pPr>
        <w:pStyle w:val="Textoindependiente"/>
        <w:ind w:firstLine="539"/>
        <w:rPr>
          <w:rFonts w:ascii="Arial" w:eastAsia="Batang" w:hAnsi="Arial" w:cs="Arial"/>
          <w:sz w:val="24"/>
          <w:szCs w:val="24"/>
          <w:lang w:eastAsia="ko-KR"/>
        </w:rPr>
      </w:pPr>
    </w:p>
    <w:p w:rsidR="00B63E09" w:rsidRPr="00B63E09" w:rsidRDefault="00B63E09" w:rsidP="00B63E09">
      <w:pPr>
        <w:pStyle w:val="Ttulo1"/>
        <w:keepLines w:val="0"/>
        <w:numPr>
          <w:ilvl w:val="0"/>
          <w:numId w:val="36"/>
        </w:numPr>
        <w:tabs>
          <w:tab w:val="clear" w:pos="432"/>
          <w:tab w:val="left" w:pos="0"/>
        </w:tabs>
        <w:suppressAutoHyphens/>
        <w:spacing w:before="0" w:after="0" w:line="360" w:lineRule="auto"/>
        <w:ind w:left="0" w:firstLine="0"/>
        <w:rPr>
          <w:rFonts w:ascii="Arial" w:hAnsi="Arial" w:cs="Arial"/>
          <w:sz w:val="24"/>
          <w:szCs w:val="24"/>
        </w:rPr>
      </w:pPr>
      <w:bookmarkStart w:id="353" w:name="_Toc50031400"/>
      <w:r w:rsidRPr="00B63E09">
        <w:rPr>
          <w:rFonts w:ascii="Arial" w:hAnsi="Arial" w:cs="Arial"/>
          <w:i/>
          <w:caps/>
          <w:sz w:val="24"/>
          <w:szCs w:val="24"/>
        </w:rPr>
        <w:t xml:space="preserve">5. </w:t>
      </w:r>
      <w:r w:rsidRPr="00B63E09">
        <w:rPr>
          <w:rFonts w:ascii="Arial" w:hAnsi="Arial" w:cs="Arial"/>
          <w:i/>
          <w:sz w:val="24"/>
          <w:szCs w:val="24"/>
        </w:rPr>
        <w:t>Conclusiones</w:t>
      </w:r>
      <w:bookmarkEnd w:id="353"/>
    </w:p>
    <w:p w:rsidR="00B63E09" w:rsidRDefault="00B63E09" w:rsidP="00B63E09">
      <w:pPr>
        <w:ind w:firstLine="539"/>
        <w:jc w:val="both"/>
        <w:rPr>
          <w:rFonts w:ascii="Arial" w:hAnsi="Arial" w:cs="Arial"/>
          <w:color w:val="000000"/>
        </w:rPr>
      </w:pPr>
      <w:r>
        <w:rPr>
          <w:rFonts w:ascii="Arial" w:hAnsi="Arial" w:cs="Arial"/>
          <w:color w:val="000000"/>
        </w:rPr>
        <w:t>A partir de los resultados logrados se obtuvieron las conclusiones siguientes: 1) La instalación de los nodos de la red no es un proceso intrusivo, ya que no es necesario instalar cableado adicional en el CPD ni en los gabinetes que pueda interferir con el cableado del equipo; 2) La solución creada satisface una necesidad real que cumple con las características solicitadas por el CPD y las instituciones de auditoria del mismo; 3) La red puede crecer de manera fácil para instalar nodos remotos en otros gabinetes. Solo es necesario realizar ajustes en la programación de la interfaz de usuario que consideren los nodos adicionales y 4) Se pudo usar un detector de presencia de costo mucho menor al utilizado en los nodos remotos, como por ejemplo uno de tecnología PIR, lo cual no se hizo debido a que no puede ajustarse la distancia de detección a 30 centímetros o menos como lo solicitó el CPD.  En caso de instalar nodos remotos en otros gabinetes debe considerarse ubicarlos a una distancia mayor a 1.80 metros de objetos que reflejen la luz láser del sensor. Si es necesario incrementar el alcance de la red, puede usarse un repetidor o ruteador WiFi.</w:t>
      </w:r>
    </w:p>
    <w:p w:rsidR="00B63E09" w:rsidRDefault="00B63E09" w:rsidP="00B63E09">
      <w:pPr>
        <w:ind w:firstLine="539"/>
        <w:jc w:val="both"/>
        <w:rPr>
          <w:rFonts w:ascii="Arial" w:hAnsi="Arial" w:cs="Arial"/>
          <w:color w:val="000000"/>
        </w:rPr>
      </w:pPr>
    </w:p>
    <w:p w:rsidR="00B63E09" w:rsidRPr="00B63E09" w:rsidRDefault="00B63E09" w:rsidP="00B63E09">
      <w:pPr>
        <w:pStyle w:val="Ttulo1"/>
        <w:keepLines w:val="0"/>
        <w:numPr>
          <w:ilvl w:val="0"/>
          <w:numId w:val="36"/>
        </w:numPr>
        <w:tabs>
          <w:tab w:val="clear" w:pos="432"/>
          <w:tab w:val="left" w:pos="0"/>
        </w:tabs>
        <w:suppressAutoHyphens/>
        <w:spacing w:before="0" w:after="0" w:line="360" w:lineRule="auto"/>
        <w:ind w:left="0" w:firstLine="0"/>
        <w:rPr>
          <w:rFonts w:ascii="Arial" w:hAnsi="Arial" w:cs="Arial"/>
          <w:color w:val="auto"/>
          <w:sz w:val="24"/>
          <w:szCs w:val="24"/>
        </w:rPr>
      </w:pPr>
      <w:bookmarkStart w:id="354" w:name="_Toc50031401"/>
      <w:r w:rsidRPr="00B63E09">
        <w:rPr>
          <w:rFonts w:ascii="Arial" w:hAnsi="Arial" w:cs="Arial"/>
          <w:i/>
          <w:caps/>
          <w:sz w:val="24"/>
          <w:szCs w:val="24"/>
        </w:rPr>
        <w:t xml:space="preserve">6. </w:t>
      </w:r>
      <w:r w:rsidRPr="00B63E09">
        <w:rPr>
          <w:rFonts w:ascii="Arial" w:hAnsi="Arial" w:cs="Arial"/>
          <w:i/>
          <w:sz w:val="24"/>
          <w:szCs w:val="24"/>
        </w:rPr>
        <w:t>Bibliografía</w:t>
      </w:r>
      <w:bookmarkEnd w:id="354"/>
    </w:p>
    <w:p w:rsidR="00B63E09" w:rsidRDefault="00B63E09" w:rsidP="00B63E09">
      <w:pPr>
        <w:numPr>
          <w:ilvl w:val="0"/>
          <w:numId w:val="84"/>
        </w:numPr>
        <w:tabs>
          <w:tab w:val="left" w:pos="750"/>
        </w:tabs>
        <w:suppressAutoHyphens/>
        <w:spacing w:after="0" w:line="240" w:lineRule="auto"/>
        <w:jc w:val="both"/>
        <w:rPr>
          <w:rFonts w:ascii="Arial" w:hAnsi="Arial" w:cs="Arial"/>
          <w:lang w:val="en-US" w:eastAsia="ko-KR"/>
        </w:rPr>
      </w:pPr>
      <w:r>
        <w:rPr>
          <w:rFonts w:ascii="Arial" w:hAnsi="Arial" w:cs="Arial"/>
          <w:lang w:val="en-US"/>
        </w:rPr>
        <w:t>Chen W., Liu B., Paik I., "QoS-Aware Data Placement for MapReduce Applications in Geo-Distributed Data Centers", IEEE Trans. on Eng. Management, 1-17 (2020).</w:t>
      </w:r>
    </w:p>
    <w:p w:rsidR="00B63E09" w:rsidRDefault="00B63E09" w:rsidP="00B63E09">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Baig S., Iqbal W., Berral J. L., "Real-Time Data Center's Telemetry Reduction and Reconstruction Using Markov Chain Models", IEEE Systems Journal 13(4), (2019).</w:t>
      </w:r>
    </w:p>
    <w:p w:rsidR="00B63E09" w:rsidRDefault="00B63E09" w:rsidP="00B63E09">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&gt;&gt;&gt;&gt;&gt;&gt;&gt;&gt;&gt;&gt;&gt;&gt;&gt;</w:t>
      </w:r>
    </w:p>
    <w:p w:rsidR="00B63E09" w:rsidRDefault="00B63E09" w:rsidP="00B63E09">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Rofoee B. R., Zervas G., Yan Y., Anastasopoulos M., "Hardware virtualized flexible network for wireless data-center optical interconnects", IEEE/OSA Journal of Optical Communications and Networking, 7(3), A526-A536 (2015).</w:t>
      </w:r>
    </w:p>
    <w:p w:rsidR="00B63E09" w:rsidRDefault="00B63E09" w:rsidP="00B63E09">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Han C., Chen L., Wang W., "Compressive Sensing in Wireless Powered Network: Regarding Transmission as Measurement", IEEE Wireless Communications Letters. 8(6), 1709-1712 (2019).</w:t>
      </w:r>
    </w:p>
    <w:p w:rsidR="00B63E09" w:rsidRDefault="00B63E09" w:rsidP="00B63E09">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lastRenderedPageBreak/>
        <w:t>Tzanakaki A., Anastasopoulos M. P., Simeonidou D., "Converged optical, wireless, and data center network infrastructures for 5G services", IEEE/OSA Journal of Optical Communications and Networking, 11(2), A111-A122 (2019).</w:t>
      </w:r>
    </w:p>
    <w:p w:rsidR="00B63E09" w:rsidRDefault="00B63E09" w:rsidP="00B63E09">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Wu C., Yang Z., Zhou Z., Liu X., "Non-Invasive Detection of Moving and Stationary Human With WiFi", IEEE Journal on Selected Areas in Communications, 33(11), 2329-2342 (2015).</w:t>
      </w:r>
    </w:p>
    <w:p w:rsidR="00B63E09" w:rsidRDefault="00B63E09" w:rsidP="00B63E09">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Di Domenico S., De Sanctis M., Cianca E., "WiFi-based through-the-wall presence detection of stationary and moving humans analyzing the doppler spectrum", IEEE Aerospace and Electronic Systems Magazine, 33(5-6), 14-19 (2018).</w:t>
      </w:r>
    </w:p>
    <w:p w:rsidR="00B63E09" w:rsidRDefault="00B63E09" w:rsidP="00B63E09">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Zhou R., Lu X, Zhao P., Chen J., "Device-Free Presence Detection and Localization With SVM and CSI Fingerprinting", IEEE Sensors Journal, 17(23), 7990-7999 (2017).</w:t>
      </w:r>
    </w:p>
    <w:p w:rsidR="00B63E09" w:rsidRDefault="00B63E09" w:rsidP="00B63E09">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Nanzer J. A., "A Review of Microwave Wireless Techniques for Human Presence Detection and Classification", IEEE Transactions on Microwave Theory and Techniques, 65(5), 1780-1794 (2017).</w:t>
      </w:r>
    </w:p>
    <w:p w:rsidR="00B63E09" w:rsidRDefault="00B63E09" w:rsidP="00B63E09">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Paris C., Bruzzone L., "A Three-Dimensional Model-Based Approach to the Estimation of the Tree Top Height by Fusing Low-Density LiDAR Data and Very High Resolution Optical Images", IEEE Transactions on Geoscience and Remote Sensing, 53(1), 467-480 (2014).</w:t>
      </w:r>
    </w:p>
    <w:p w:rsidR="00B63E09" w:rsidRDefault="00B63E09" w:rsidP="00B63E09">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Matteoli S., Zotta L., Diani M., "POSEIDON: An Analytical End-to-End Performance Prediction Model for Submerged Object Detection and Recognition by Lidar Fluorosensors in the Marine Environment", IEEE Journal of Selected Topics in Applied Earth Observations and Remote Sensing, 10(11), 5110-5133 (2017).</w:t>
      </w:r>
    </w:p>
    <w:p w:rsidR="00B63E09" w:rsidRDefault="00B63E09" w:rsidP="00B63E09">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Zhang Y., Xiong X., Zheng M., "LiDAR Strip Adjustment Using Multifeatures Matched With Aerial Images", IEEE Transactions on Geoscience and Remote Sensing, 53(2), 976-987 (2015).</w:t>
      </w:r>
    </w:p>
    <w:p w:rsidR="00B63E09" w:rsidRDefault="00B63E09" w:rsidP="00B63E09">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Bybee T. C., Budge S. E., "Method for 3-D Scene Reconstruction Using Fused LiDAR and Imagery From a Texel Camera", IEEE Transactions on Geoscience and Remote Sensing, 57(11), 8879-8889 (2019).</w:t>
      </w:r>
    </w:p>
    <w:p w:rsidR="00B63E09" w:rsidRDefault="00B63E09" w:rsidP="00B63E09">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 xml:space="preserve">Kim T. H., Park T. H., "Placement Optimization of Multiple Lidar Sensors for Autonomous Vehicles", IEEE Transactions on Intelligent Transportation Systems, Early Access Article, 1-7 (2019). </w:t>
      </w:r>
    </w:p>
    <w:p w:rsidR="00B63E09" w:rsidRDefault="00B63E09" w:rsidP="00B63E09">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Pan Z., Glennie C. L., Fernandez-Diaz J. C., "Fusion of LiDAR Orthowaveforms and Hyperspectral Imagery for Shallow River Bathymetry and Turbidity Estimation", IEEE Transactions on Geoscience and Remote Sensing, 54(7), 4165-4177 (2016).</w:t>
      </w:r>
    </w:p>
    <w:p w:rsidR="00B63E09" w:rsidRDefault="00B63E09" w:rsidP="00B63E09">
      <w:pPr>
        <w:numPr>
          <w:ilvl w:val="0"/>
          <w:numId w:val="84"/>
        </w:numPr>
        <w:tabs>
          <w:tab w:val="left" w:pos="750"/>
        </w:tabs>
        <w:suppressAutoHyphens/>
        <w:spacing w:after="0" w:line="240" w:lineRule="auto"/>
        <w:jc w:val="both"/>
        <w:rPr>
          <w:rFonts w:ascii="Arial" w:hAnsi="Arial" w:cs="Arial"/>
          <w:lang w:val="en-US"/>
        </w:rPr>
      </w:pPr>
      <w:r>
        <w:rPr>
          <w:rFonts w:ascii="Arial" w:hAnsi="Arial" w:cs="Arial"/>
          <w:lang w:val="en-US"/>
        </w:rPr>
        <w:t>Magruder L. A., Brunt K. M., "Performance Analysis of Airborne Photon-Counting Lidar Data in Preparation for the ICESat-2 Mission", IEEE Transactions on Geoscience and Remote Sensing, 56(5), 2911-2918 (2018).</w:t>
      </w:r>
    </w:p>
    <w:p w:rsidR="00C20C0F" w:rsidRDefault="00C20C0F" w:rsidP="0049551D">
      <w:pPr>
        <w:rPr>
          <w:lang w:val="en-US"/>
        </w:rPr>
      </w:pPr>
    </w:p>
    <w:p w:rsidR="00C20C0F" w:rsidRDefault="00C20C0F" w:rsidP="0049551D">
      <w:pPr>
        <w:rPr>
          <w:lang w:val="en-US"/>
        </w:rPr>
      </w:pPr>
    </w:p>
    <w:p w:rsidR="003F0296" w:rsidRPr="00081CF6" w:rsidRDefault="00B1571A" w:rsidP="00081CF6">
      <w:pPr>
        <w:pStyle w:val="1Titulo"/>
        <w:numPr>
          <w:ilvl w:val="0"/>
          <w:numId w:val="0"/>
        </w:numPr>
        <w:ind w:left="357"/>
        <w:jc w:val="center"/>
        <w:rPr>
          <w:sz w:val="28"/>
          <w:szCs w:val="28"/>
        </w:rPr>
      </w:pPr>
      <w:bookmarkStart w:id="355" w:name="_Toc50031402"/>
      <w:r w:rsidRPr="00081CF6">
        <w:rPr>
          <w:sz w:val="28"/>
          <w:szCs w:val="28"/>
        </w:rPr>
        <w:t>Solucion Beltsville Thawing (Bts) Permite Mantener La Viabilidad En Los Espermatozoides De Cerdo Incubados Con Nanopartículas Poliméricas De Quitosan. (Resultados Preliminares)</w:t>
      </w:r>
      <w:bookmarkEnd w:id="355"/>
    </w:p>
    <w:p w:rsidR="003F0296" w:rsidRPr="00601548" w:rsidRDefault="003F0296" w:rsidP="003F0296">
      <w:pPr>
        <w:rPr>
          <w:rFonts w:ascii="Arial" w:hAnsi="Arial" w:cs="Arial"/>
          <w:color w:val="000000" w:themeColor="text1"/>
        </w:rPr>
      </w:pPr>
    </w:p>
    <w:p w:rsidR="003F0296" w:rsidRDefault="003F0296" w:rsidP="003F0296">
      <w:pPr>
        <w:jc w:val="center"/>
        <w:rPr>
          <w:rFonts w:ascii="Arial" w:hAnsi="Arial" w:cs="Arial"/>
          <w:color w:val="000000" w:themeColor="text1"/>
        </w:rPr>
      </w:pPr>
      <w:r w:rsidRPr="00146585">
        <w:rPr>
          <w:rFonts w:ascii="Arial" w:hAnsi="Arial" w:cs="Arial"/>
          <w:color w:val="000000" w:themeColor="text1"/>
          <w:u w:val="single"/>
        </w:rPr>
        <w:t>Ramírez C</w:t>
      </w:r>
      <w:r>
        <w:rPr>
          <w:rFonts w:ascii="Arial" w:hAnsi="Arial" w:cs="Arial"/>
          <w:color w:val="000000" w:themeColor="text1"/>
          <w:u w:val="single"/>
        </w:rPr>
        <w:t>.</w:t>
      </w:r>
      <w:r w:rsidRPr="00146585">
        <w:rPr>
          <w:rFonts w:ascii="Arial" w:hAnsi="Arial" w:cs="Arial"/>
          <w:color w:val="000000" w:themeColor="text1"/>
          <w:u w:val="single"/>
        </w:rPr>
        <w:t xml:space="preserve"> S</w:t>
      </w:r>
      <w:r w:rsidRPr="00146585">
        <w:rPr>
          <w:rFonts w:ascii="Arial" w:hAnsi="Arial" w:cs="Arial"/>
          <w:color w:val="000000" w:themeColor="text1"/>
        </w:rPr>
        <w:t>.</w:t>
      </w:r>
      <w:r w:rsidRPr="00146585">
        <w:rPr>
          <w:rFonts w:ascii="Arial" w:hAnsi="Arial" w:cs="Arial"/>
          <w:color w:val="000000" w:themeColor="text1"/>
          <w:vertAlign w:val="superscript"/>
        </w:rPr>
        <w:t>1</w:t>
      </w:r>
      <w:r w:rsidRPr="00601548">
        <w:rPr>
          <w:rFonts w:ascii="Arial" w:hAnsi="Arial" w:cs="Arial"/>
          <w:color w:val="000000" w:themeColor="text1"/>
        </w:rPr>
        <w:t>, Días T</w:t>
      </w:r>
      <w:r>
        <w:rPr>
          <w:rFonts w:ascii="Arial" w:hAnsi="Arial" w:cs="Arial"/>
          <w:color w:val="000000" w:themeColor="text1"/>
        </w:rPr>
        <w:t>.</w:t>
      </w:r>
      <w:r w:rsidRPr="00601548">
        <w:rPr>
          <w:rFonts w:ascii="Arial" w:hAnsi="Arial" w:cs="Arial"/>
          <w:color w:val="000000" w:themeColor="text1"/>
        </w:rPr>
        <w:t xml:space="preserve"> R</w:t>
      </w:r>
      <w:r>
        <w:rPr>
          <w:rFonts w:ascii="Arial" w:hAnsi="Arial" w:cs="Arial"/>
          <w:color w:val="000000" w:themeColor="text1"/>
        </w:rPr>
        <w:t>.</w:t>
      </w:r>
      <w:r w:rsidRPr="00601548">
        <w:rPr>
          <w:rFonts w:ascii="Arial" w:hAnsi="Arial" w:cs="Arial"/>
          <w:color w:val="000000" w:themeColor="text1"/>
          <w:vertAlign w:val="superscript"/>
        </w:rPr>
        <w:t>2</w:t>
      </w:r>
      <w:r w:rsidRPr="00601548">
        <w:rPr>
          <w:rFonts w:ascii="Arial" w:hAnsi="Arial" w:cs="Arial"/>
          <w:color w:val="000000" w:themeColor="text1"/>
        </w:rPr>
        <w:t xml:space="preserve">, </w:t>
      </w:r>
      <w:r>
        <w:rPr>
          <w:rFonts w:ascii="Arial" w:hAnsi="Arial" w:cs="Arial"/>
          <w:color w:val="000000" w:themeColor="text1"/>
        </w:rPr>
        <w:t>Jardón X. S.</w:t>
      </w:r>
      <w:r w:rsidRPr="00601548">
        <w:rPr>
          <w:rFonts w:ascii="Arial" w:hAnsi="Arial" w:cs="Arial"/>
          <w:color w:val="000000" w:themeColor="text1"/>
          <w:vertAlign w:val="superscript"/>
        </w:rPr>
        <w:t>2</w:t>
      </w:r>
      <w:r>
        <w:rPr>
          <w:rFonts w:ascii="Arial" w:hAnsi="Arial" w:cs="Arial"/>
          <w:color w:val="000000" w:themeColor="text1"/>
        </w:rPr>
        <w:t xml:space="preserve">, Juárez </w:t>
      </w:r>
      <w:r w:rsidRPr="00146585">
        <w:rPr>
          <w:rFonts w:ascii="Arial" w:hAnsi="Arial" w:cs="Arial"/>
          <w:color w:val="000000" w:themeColor="text1"/>
        </w:rPr>
        <w:t>L</w:t>
      </w:r>
      <w:r>
        <w:rPr>
          <w:rFonts w:ascii="Arial" w:hAnsi="Arial" w:cs="Arial"/>
          <w:color w:val="000000" w:themeColor="text1"/>
        </w:rPr>
        <w:t>.</w:t>
      </w:r>
      <w:r w:rsidRPr="00146585">
        <w:rPr>
          <w:rFonts w:ascii="Arial" w:hAnsi="Arial" w:cs="Arial"/>
          <w:color w:val="000000" w:themeColor="text1"/>
        </w:rPr>
        <w:t xml:space="preserve"> N. O.</w:t>
      </w:r>
      <w:r w:rsidRPr="00146585">
        <w:rPr>
          <w:rFonts w:ascii="Arial" w:hAnsi="Arial" w:cs="Arial"/>
          <w:color w:val="000000" w:themeColor="text1"/>
          <w:vertAlign w:val="superscript"/>
        </w:rPr>
        <w:t>3</w:t>
      </w:r>
      <w:r w:rsidRPr="00146585">
        <w:rPr>
          <w:rFonts w:ascii="Arial" w:hAnsi="Arial" w:cs="Arial"/>
          <w:color w:val="000000" w:themeColor="text1"/>
        </w:rPr>
        <w:t>, Gutiérrez P</w:t>
      </w:r>
      <w:r>
        <w:rPr>
          <w:rFonts w:ascii="Arial" w:hAnsi="Arial" w:cs="Arial"/>
          <w:color w:val="000000" w:themeColor="text1"/>
        </w:rPr>
        <w:t>.</w:t>
      </w:r>
      <w:r w:rsidRPr="00146585">
        <w:rPr>
          <w:rFonts w:ascii="Arial" w:hAnsi="Arial" w:cs="Arial"/>
          <w:color w:val="000000" w:themeColor="text1"/>
        </w:rPr>
        <w:t xml:space="preserve"> O</w:t>
      </w:r>
      <w:r>
        <w:rPr>
          <w:rFonts w:ascii="Arial" w:hAnsi="Arial" w:cs="Arial"/>
          <w:color w:val="000000" w:themeColor="text1"/>
        </w:rPr>
        <w:t>.</w:t>
      </w:r>
      <w:r w:rsidRPr="00146585">
        <w:rPr>
          <w:rFonts w:ascii="Arial" w:hAnsi="Arial" w:cs="Arial"/>
          <w:color w:val="000000" w:themeColor="text1"/>
          <w:vertAlign w:val="superscript"/>
        </w:rPr>
        <w:t>4</w:t>
      </w:r>
      <w:r w:rsidRPr="00146585">
        <w:rPr>
          <w:rFonts w:ascii="Arial" w:hAnsi="Arial" w:cs="Arial"/>
          <w:color w:val="000000" w:themeColor="text1"/>
        </w:rPr>
        <w:t xml:space="preserve">, </w:t>
      </w:r>
    </w:p>
    <w:p w:rsidR="003F0296" w:rsidRPr="00146585" w:rsidRDefault="003F0296" w:rsidP="003F0296">
      <w:pPr>
        <w:jc w:val="center"/>
        <w:rPr>
          <w:rFonts w:ascii="Arial" w:hAnsi="Arial" w:cs="Arial"/>
          <w:color w:val="000000" w:themeColor="text1"/>
        </w:rPr>
      </w:pPr>
      <w:r>
        <w:rPr>
          <w:rFonts w:ascii="Arial" w:hAnsi="Arial" w:cs="Arial"/>
          <w:color w:val="000000" w:themeColor="text1"/>
        </w:rPr>
        <w:t>Córdova I. A.</w:t>
      </w:r>
      <w:r>
        <w:rPr>
          <w:rFonts w:ascii="Arial" w:hAnsi="Arial" w:cs="Arial"/>
          <w:color w:val="000000" w:themeColor="text1"/>
          <w:vertAlign w:val="superscript"/>
        </w:rPr>
        <w:t>5</w:t>
      </w:r>
      <w:r>
        <w:rPr>
          <w:rFonts w:ascii="Arial" w:hAnsi="Arial" w:cs="Arial"/>
          <w:color w:val="000000" w:themeColor="text1"/>
        </w:rPr>
        <w:t xml:space="preserve"> &amp; </w:t>
      </w:r>
      <w:r w:rsidRPr="00146585">
        <w:rPr>
          <w:rFonts w:ascii="Arial" w:hAnsi="Arial" w:cs="Arial"/>
          <w:color w:val="000000" w:themeColor="text1"/>
        </w:rPr>
        <w:t>Juárez M</w:t>
      </w:r>
      <w:r>
        <w:rPr>
          <w:rFonts w:ascii="Arial" w:hAnsi="Arial" w:cs="Arial"/>
          <w:color w:val="000000" w:themeColor="text1"/>
        </w:rPr>
        <w:t>.</w:t>
      </w:r>
      <w:r w:rsidRPr="00146585">
        <w:rPr>
          <w:rFonts w:ascii="Arial" w:hAnsi="Arial" w:cs="Arial"/>
          <w:color w:val="000000" w:themeColor="text1"/>
        </w:rPr>
        <w:t xml:space="preserve"> M-L</w:t>
      </w:r>
      <w:r>
        <w:rPr>
          <w:rFonts w:ascii="Arial" w:hAnsi="Arial" w:cs="Arial"/>
          <w:color w:val="000000" w:themeColor="text1"/>
        </w:rPr>
        <w:t>.</w:t>
      </w:r>
      <w:r>
        <w:rPr>
          <w:rFonts w:ascii="Arial" w:hAnsi="Arial" w:cs="Arial"/>
          <w:color w:val="000000" w:themeColor="text1"/>
          <w:vertAlign w:val="superscript"/>
        </w:rPr>
        <w:t>6</w:t>
      </w:r>
    </w:p>
    <w:p w:rsidR="003F0296" w:rsidRDefault="003F0296" w:rsidP="003F0296">
      <w:pPr>
        <w:jc w:val="center"/>
        <w:rPr>
          <w:rFonts w:ascii="Arial" w:hAnsi="Arial" w:cs="Arial"/>
          <w:color w:val="000000" w:themeColor="text1"/>
        </w:rPr>
      </w:pPr>
      <w:r w:rsidRPr="00146585">
        <w:rPr>
          <w:rFonts w:ascii="Arial" w:hAnsi="Arial" w:cs="Arial"/>
          <w:color w:val="000000" w:themeColor="text1"/>
          <w:vertAlign w:val="superscript"/>
        </w:rPr>
        <w:t>1</w:t>
      </w:r>
      <w:r w:rsidRPr="00146585">
        <w:rPr>
          <w:rFonts w:ascii="Arial" w:hAnsi="Arial" w:cs="Arial"/>
          <w:color w:val="000000" w:themeColor="text1"/>
        </w:rPr>
        <w:t xml:space="preserve"> Programa de posgrado MCPSA-UNAM</w:t>
      </w:r>
      <w:r>
        <w:rPr>
          <w:rFonts w:ascii="Arial" w:hAnsi="Arial" w:cs="Arial"/>
          <w:color w:val="000000" w:themeColor="text1"/>
        </w:rPr>
        <w:t xml:space="preserve">, </w:t>
      </w:r>
      <w:r w:rsidRPr="00EB2568">
        <w:rPr>
          <w:rFonts w:ascii="Arial" w:hAnsi="Arial" w:cs="Arial"/>
          <w:color w:val="000000" w:themeColor="text1"/>
          <w:vertAlign w:val="superscript"/>
        </w:rPr>
        <w:t>2</w:t>
      </w:r>
      <w:r>
        <w:rPr>
          <w:rFonts w:ascii="Arial" w:hAnsi="Arial" w:cs="Arial"/>
          <w:color w:val="000000" w:themeColor="text1"/>
        </w:rPr>
        <w:t xml:space="preserve"> Facultad de Estudios Superiores Cuautitlán,</w:t>
      </w:r>
    </w:p>
    <w:p w:rsidR="003F0296" w:rsidRDefault="003F0296" w:rsidP="003F0296">
      <w:pPr>
        <w:jc w:val="center"/>
        <w:rPr>
          <w:rFonts w:ascii="Arial" w:hAnsi="Arial" w:cs="Arial"/>
          <w:color w:val="000000" w:themeColor="text1"/>
        </w:rPr>
      </w:pPr>
      <w:r w:rsidRPr="00EB2568">
        <w:rPr>
          <w:rFonts w:ascii="Arial" w:hAnsi="Arial" w:cs="Arial"/>
          <w:color w:val="000000" w:themeColor="text1"/>
          <w:vertAlign w:val="superscript"/>
        </w:rPr>
        <w:lastRenderedPageBreak/>
        <w:t xml:space="preserve">3 </w:t>
      </w:r>
      <w:r>
        <w:rPr>
          <w:rFonts w:ascii="Arial" w:hAnsi="Arial" w:cs="Arial"/>
          <w:color w:val="000000" w:themeColor="text1"/>
        </w:rPr>
        <w:t xml:space="preserve">Departamento de Genética y Bioestadística, FMVZ-UNAM, </w:t>
      </w:r>
      <w:r w:rsidRPr="00FA328D">
        <w:rPr>
          <w:rFonts w:ascii="Arial" w:hAnsi="Arial" w:cs="Arial"/>
          <w:color w:val="000000" w:themeColor="text1"/>
          <w:vertAlign w:val="superscript"/>
        </w:rPr>
        <w:t>4</w:t>
      </w:r>
      <w:r w:rsidRPr="00FA328D">
        <w:rPr>
          <w:rFonts w:ascii="Arial" w:hAnsi="Arial" w:cs="Arial"/>
          <w:color w:val="000000" w:themeColor="text1"/>
        </w:rPr>
        <w:t xml:space="preserve"> CEIEPP, FMVZ-UNAM</w:t>
      </w:r>
      <w:r>
        <w:rPr>
          <w:rFonts w:ascii="Arial" w:hAnsi="Arial" w:cs="Arial"/>
          <w:color w:val="000000" w:themeColor="text1"/>
        </w:rPr>
        <w:t xml:space="preserve">, </w:t>
      </w:r>
    </w:p>
    <w:p w:rsidR="003F0296" w:rsidRPr="00146585" w:rsidRDefault="003F0296" w:rsidP="003F0296">
      <w:pPr>
        <w:jc w:val="center"/>
        <w:rPr>
          <w:rFonts w:ascii="Arial" w:hAnsi="Arial" w:cs="Arial"/>
          <w:color w:val="000000" w:themeColor="text1"/>
        </w:rPr>
      </w:pPr>
      <w:r>
        <w:rPr>
          <w:rFonts w:ascii="Arial" w:hAnsi="Arial" w:cs="Arial"/>
          <w:color w:val="000000" w:themeColor="text1"/>
          <w:vertAlign w:val="superscript"/>
        </w:rPr>
        <w:t>5</w:t>
      </w:r>
      <w:r w:rsidRPr="00EB2568">
        <w:rPr>
          <w:rFonts w:ascii="Arial" w:hAnsi="Arial" w:cs="Arial"/>
          <w:color w:val="000000" w:themeColor="text1"/>
          <w:vertAlign w:val="superscript"/>
        </w:rPr>
        <w:t xml:space="preserve"> </w:t>
      </w:r>
      <w:r>
        <w:rPr>
          <w:rFonts w:ascii="Arial" w:hAnsi="Arial" w:cs="Arial"/>
          <w:color w:val="000000" w:themeColor="text1"/>
        </w:rPr>
        <w:t xml:space="preserve">UAM-Xochimilco &amp; </w:t>
      </w:r>
      <w:r>
        <w:rPr>
          <w:rFonts w:ascii="Arial" w:hAnsi="Arial" w:cs="Arial"/>
          <w:color w:val="000000" w:themeColor="text1"/>
          <w:vertAlign w:val="superscript"/>
        </w:rPr>
        <w:t>6</w:t>
      </w:r>
      <w:r w:rsidRPr="00EB2568">
        <w:rPr>
          <w:rFonts w:ascii="Arial" w:hAnsi="Arial" w:cs="Arial"/>
          <w:color w:val="000000" w:themeColor="text1"/>
          <w:vertAlign w:val="superscript"/>
        </w:rPr>
        <w:t xml:space="preserve"> </w:t>
      </w:r>
      <w:r>
        <w:rPr>
          <w:rFonts w:ascii="Arial" w:hAnsi="Arial" w:cs="Arial"/>
          <w:color w:val="000000" w:themeColor="text1"/>
        </w:rPr>
        <w:t>Departamento de Morfología, FMVZ-UNAM</w:t>
      </w:r>
    </w:p>
    <w:p w:rsidR="003F0296" w:rsidRPr="002E6DEA" w:rsidRDefault="001345E4" w:rsidP="003F0296">
      <w:pPr>
        <w:jc w:val="center"/>
        <w:rPr>
          <w:rFonts w:ascii="Arial" w:hAnsi="Arial" w:cs="Arial"/>
          <w:color w:val="000000" w:themeColor="text1"/>
        </w:rPr>
      </w:pPr>
      <w:hyperlink r:id="rId1240" w:history="1">
        <w:r w:rsidR="003F0296" w:rsidRPr="002E6DEA">
          <w:rPr>
            <w:rStyle w:val="Hipervnculo"/>
            <w:rFonts w:ascii="Arial" w:hAnsi="Arial" w:cs="Arial"/>
            <w:color w:val="000000" w:themeColor="text1"/>
          </w:rPr>
          <w:t>silraca1983@gmail.com</w:t>
        </w:r>
      </w:hyperlink>
      <w:r w:rsidR="003F0296" w:rsidRPr="002E6DEA">
        <w:rPr>
          <w:rFonts w:ascii="Arial" w:hAnsi="Arial" w:cs="Arial"/>
          <w:color w:val="000000" w:themeColor="text1"/>
        </w:rPr>
        <w:t>, diaztorres_r@hotmail.com, mvz.jardon@gmail.com, noeorlando@comunidad.unam.mx, koala630816@yahoo.com.mx, acordova@correo.xoc.uam.mx, &amp; luerfco@unam.mx</w:t>
      </w:r>
    </w:p>
    <w:p w:rsidR="003F0296" w:rsidRPr="002E6DEA" w:rsidRDefault="003F0296" w:rsidP="003F0296">
      <w:pPr>
        <w:rPr>
          <w:rFonts w:ascii="Arial" w:hAnsi="Arial" w:cs="Arial"/>
          <w:color w:val="000000" w:themeColor="text1"/>
        </w:rPr>
      </w:pPr>
    </w:p>
    <w:p w:rsidR="003F0296" w:rsidRPr="002E6DEA" w:rsidRDefault="003F0296" w:rsidP="003F0296">
      <w:pPr>
        <w:jc w:val="both"/>
        <w:rPr>
          <w:rFonts w:ascii="Arial" w:hAnsi="Arial" w:cs="Arial"/>
          <w:color w:val="000000" w:themeColor="text1"/>
        </w:rPr>
      </w:pPr>
    </w:p>
    <w:p w:rsidR="003F0296" w:rsidRPr="00601548" w:rsidRDefault="003F0296" w:rsidP="00CC49EB">
      <w:pPr>
        <w:pStyle w:val="1Titulo"/>
        <w:numPr>
          <w:ilvl w:val="0"/>
          <w:numId w:val="0"/>
        </w:numPr>
        <w:ind w:left="357"/>
      </w:pPr>
      <w:bookmarkStart w:id="356" w:name="_Toc50031403"/>
      <w:r w:rsidRPr="00601548">
        <w:t>1.- Resumen</w:t>
      </w:r>
      <w:bookmarkEnd w:id="356"/>
    </w:p>
    <w:p w:rsidR="003F0296" w:rsidRDefault="003F0296" w:rsidP="003F0296">
      <w:pPr>
        <w:jc w:val="both"/>
        <w:rPr>
          <w:rFonts w:ascii="Arial" w:hAnsi="Arial" w:cs="Arial"/>
          <w:color w:val="000000" w:themeColor="text1"/>
        </w:rPr>
      </w:pPr>
    </w:p>
    <w:p w:rsidR="003F0296" w:rsidRDefault="003F0296" w:rsidP="003F0296">
      <w:pPr>
        <w:ind w:firstLine="567"/>
        <w:jc w:val="both"/>
        <w:rPr>
          <w:rFonts w:ascii="Arial" w:hAnsi="Arial" w:cs="Arial"/>
          <w:color w:val="000000" w:themeColor="text1"/>
        </w:rPr>
      </w:pPr>
      <w:r>
        <w:rPr>
          <w:rFonts w:ascii="Arial" w:hAnsi="Arial" w:cs="Arial"/>
          <w:color w:val="000000" w:themeColor="text1"/>
        </w:rPr>
        <w:t>Las nanopartículas poliméricas de quitosán (NPPs-Q) han generado un interés importante en el campo de la reproducción, sin embargo los resultados sobre la viabilidad celular es controversial, además de existir pocos trabajos sobre los efectos en los espermatozoides, por ello éste trabajo evaluó la citotoxicidad in vitro de las NPPs-Q sobre la viabilidad espermática del cerdo. Los espermatozoides se incubaron a una concentración de 35x10</w:t>
      </w:r>
      <w:r w:rsidRPr="00A41512">
        <w:rPr>
          <w:rFonts w:ascii="Arial" w:hAnsi="Arial" w:cs="Arial"/>
          <w:color w:val="000000" w:themeColor="text1"/>
          <w:vertAlign w:val="superscript"/>
        </w:rPr>
        <w:t>6</w:t>
      </w:r>
      <w:r>
        <w:rPr>
          <w:rFonts w:ascii="Arial" w:hAnsi="Arial" w:cs="Arial"/>
          <w:color w:val="000000" w:themeColor="text1"/>
        </w:rPr>
        <w:t>cel/ml a 37</w:t>
      </w:r>
      <w:r w:rsidRPr="00A41512">
        <w:rPr>
          <w:rFonts w:ascii="Arial" w:hAnsi="Arial" w:cs="Arial"/>
          <w:color w:val="000000" w:themeColor="text1"/>
          <w:vertAlign w:val="superscript"/>
        </w:rPr>
        <w:t>o</w:t>
      </w:r>
      <w:r>
        <w:rPr>
          <w:rFonts w:ascii="Arial" w:hAnsi="Arial" w:cs="Arial"/>
          <w:color w:val="000000" w:themeColor="text1"/>
        </w:rPr>
        <w:t>C con tres diferentes tipos de NPPs-Q a cuatro diferentes concentraciones, en dos medios de incubación (PBS o BTS), durante 1, 2 y 3 horas. Se encontró un detrimento (</w:t>
      </w:r>
      <w:r w:rsidRPr="00DA3B9E">
        <w:rPr>
          <w:rFonts w:ascii="Arial" w:hAnsi="Arial" w:cs="Arial"/>
          <w:i/>
          <w:color w:val="000000" w:themeColor="text1"/>
        </w:rPr>
        <w:t>p</w:t>
      </w:r>
      <w:r>
        <w:rPr>
          <w:rFonts w:ascii="Arial" w:hAnsi="Arial" w:cs="Arial"/>
          <w:i/>
          <w:color w:val="000000" w:themeColor="text1"/>
        </w:rPr>
        <w:t>&lt;0</w:t>
      </w:r>
      <w:r w:rsidRPr="00DA3B9E">
        <w:rPr>
          <w:rFonts w:ascii="Arial" w:hAnsi="Arial" w:cs="Arial"/>
          <w:i/>
          <w:color w:val="000000" w:themeColor="text1"/>
        </w:rPr>
        <w:t>.05</w:t>
      </w:r>
      <w:r>
        <w:rPr>
          <w:rFonts w:ascii="Arial" w:hAnsi="Arial" w:cs="Arial"/>
          <w:i/>
          <w:color w:val="000000" w:themeColor="text1"/>
        </w:rPr>
        <w:t>)</w:t>
      </w:r>
      <w:r>
        <w:rPr>
          <w:rFonts w:ascii="Arial" w:hAnsi="Arial" w:cs="Arial"/>
          <w:color w:val="000000" w:themeColor="text1"/>
        </w:rPr>
        <w:t xml:space="preserve"> de la motilidad, viabilidad e integridad acrosomal asociado al tipo de NPPs-Q, medio de incubación, concentración y tiempo de incubación. Los resultados muestran que para mantener la viabilidad de los espermatozoides de cerdo es conveniente utilizar NPPs-Q sin filtrar a concentraciones menores de 50</w:t>
      </w:r>
      <m:oMath>
        <m:r>
          <w:rPr>
            <w:rFonts w:ascii="Cambria Math" w:hAnsi="Cambria Math" w:cs="Arial"/>
            <w:color w:val="000000" w:themeColor="text1"/>
          </w:rPr>
          <m:t xml:space="preserve"> μl/ml </m:t>
        </m:r>
      </m:oMath>
      <w:r>
        <w:rPr>
          <w:rFonts w:ascii="Arial" w:hAnsi="Arial" w:cs="Arial"/>
          <w:color w:val="000000" w:themeColor="text1"/>
        </w:rPr>
        <w:t>en un medio con BTS por menos de una hora para poder utilizarlo en procedimientos de crioconservación.</w:t>
      </w:r>
    </w:p>
    <w:p w:rsidR="003F0296" w:rsidRPr="00601548" w:rsidRDefault="003F0296" w:rsidP="003F0296">
      <w:pPr>
        <w:jc w:val="both"/>
        <w:rPr>
          <w:rFonts w:ascii="Arial" w:hAnsi="Arial" w:cs="Arial"/>
          <w:color w:val="000000" w:themeColor="text1"/>
        </w:rPr>
      </w:pPr>
    </w:p>
    <w:p w:rsidR="003F0296" w:rsidRPr="00601548" w:rsidRDefault="003F0296" w:rsidP="003F0296">
      <w:pPr>
        <w:jc w:val="both"/>
        <w:rPr>
          <w:rFonts w:ascii="Arial" w:hAnsi="Arial" w:cs="Arial"/>
          <w:color w:val="000000" w:themeColor="text1"/>
        </w:rPr>
      </w:pPr>
    </w:p>
    <w:p w:rsidR="003F0296" w:rsidRPr="00601548" w:rsidRDefault="003F0296" w:rsidP="00CC49EB">
      <w:pPr>
        <w:pStyle w:val="1Titulo"/>
        <w:numPr>
          <w:ilvl w:val="0"/>
          <w:numId w:val="0"/>
        </w:numPr>
        <w:ind w:left="357"/>
      </w:pPr>
      <w:bookmarkStart w:id="357" w:name="_Toc50031404"/>
      <w:r w:rsidRPr="00601548">
        <w:t>2.- Introducción</w:t>
      </w:r>
      <w:bookmarkEnd w:id="357"/>
    </w:p>
    <w:p w:rsidR="003F0296" w:rsidRPr="00601548" w:rsidRDefault="003F0296" w:rsidP="003F0296">
      <w:pPr>
        <w:jc w:val="both"/>
        <w:rPr>
          <w:rFonts w:ascii="Arial" w:hAnsi="Arial" w:cs="Arial"/>
          <w:color w:val="000000" w:themeColor="text1"/>
        </w:rPr>
      </w:pPr>
    </w:p>
    <w:p w:rsidR="003F0296" w:rsidRDefault="003F0296" w:rsidP="003F0296">
      <w:pPr>
        <w:ind w:firstLine="708"/>
        <w:jc w:val="both"/>
        <w:rPr>
          <w:rFonts w:ascii="Arial" w:hAnsi="Arial" w:cs="Arial"/>
          <w:color w:val="000000" w:themeColor="text1"/>
        </w:rPr>
      </w:pPr>
      <w:r>
        <w:rPr>
          <w:rFonts w:ascii="Arial" w:hAnsi="Arial" w:cs="Arial"/>
          <w:color w:val="000000" w:themeColor="text1"/>
        </w:rPr>
        <w:t>El</w:t>
      </w:r>
      <w:r w:rsidRPr="00601548">
        <w:rPr>
          <w:rFonts w:ascii="Arial" w:hAnsi="Arial" w:cs="Arial"/>
          <w:color w:val="000000" w:themeColor="text1"/>
        </w:rPr>
        <w:t xml:space="preserve"> uso de nanopartículas (NP</w:t>
      </w:r>
      <w:r>
        <w:rPr>
          <w:rFonts w:ascii="Arial" w:hAnsi="Arial" w:cs="Arial"/>
          <w:color w:val="000000" w:themeColor="text1"/>
        </w:rPr>
        <w:t>s</w:t>
      </w:r>
      <w:r w:rsidRPr="00601548">
        <w:rPr>
          <w:rFonts w:ascii="Arial" w:hAnsi="Arial" w:cs="Arial"/>
          <w:color w:val="000000" w:themeColor="text1"/>
        </w:rPr>
        <w:t xml:space="preserve">) </w:t>
      </w:r>
      <w:r>
        <w:rPr>
          <w:rFonts w:ascii="Arial" w:hAnsi="Arial" w:cs="Arial"/>
          <w:color w:val="000000" w:themeColor="text1"/>
        </w:rPr>
        <w:t>es</w:t>
      </w:r>
      <w:r w:rsidRPr="00601548">
        <w:rPr>
          <w:rFonts w:ascii="Arial" w:hAnsi="Arial" w:cs="Arial"/>
          <w:color w:val="000000" w:themeColor="text1"/>
        </w:rPr>
        <w:t xml:space="preserve"> una herramienta importante en el campo de la medicina y particular</w:t>
      </w:r>
      <w:r>
        <w:rPr>
          <w:rFonts w:ascii="Arial" w:hAnsi="Arial" w:cs="Arial"/>
          <w:color w:val="000000" w:themeColor="text1"/>
        </w:rPr>
        <w:t>mente</w:t>
      </w:r>
      <w:r w:rsidRPr="00601548">
        <w:rPr>
          <w:rFonts w:ascii="Arial" w:hAnsi="Arial" w:cs="Arial"/>
          <w:color w:val="000000" w:themeColor="text1"/>
        </w:rPr>
        <w:t xml:space="preserve"> en el campo de la reproducción, ya que </w:t>
      </w:r>
      <w:r>
        <w:rPr>
          <w:rFonts w:ascii="Arial" w:hAnsi="Arial" w:cs="Arial"/>
          <w:color w:val="000000" w:themeColor="text1"/>
        </w:rPr>
        <w:t>se han utilizado como</w:t>
      </w:r>
      <w:r w:rsidRPr="00601548">
        <w:rPr>
          <w:rFonts w:ascii="Arial" w:hAnsi="Arial" w:cs="Arial"/>
          <w:color w:val="000000" w:themeColor="text1"/>
        </w:rPr>
        <w:t xml:space="preserve"> portadoras de sustancias exógenas como fármacos, ADN, proteínas</w:t>
      </w:r>
      <w:r>
        <w:rPr>
          <w:rFonts w:ascii="Arial" w:hAnsi="Arial" w:cs="Arial"/>
          <w:color w:val="000000" w:themeColor="text1"/>
        </w:rPr>
        <w:t>,</w:t>
      </w:r>
      <w:r w:rsidRPr="00601548">
        <w:rPr>
          <w:rFonts w:ascii="Arial" w:hAnsi="Arial" w:cs="Arial"/>
          <w:color w:val="000000" w:themeColor="text1"/>
        </w:rPr>
        <w:t xml:space="preserve"> entrega selectiva de cargas moleculares</w:t>
      </w:r>
      <w:r>
        <w:rPr>
          <w:rFonts w:ascii="Arial" w:hAnsi="Arial" w:cs="Arial"/>
          <w:color w:val="000000" w:themeColor="text1"/>
        </w:rPr>
        <w:t>, selección de espermatozoides viables y crioconservación de los mismos</w:t>
      </w:r>
      <w:r w:rsidRPr="00625652">
        <w:rPr>
          <w:rFonts w:ascii="Arial" w:hAnsi="Arial" w:cs="Arial"/>
          <w:color w:val="000000" w:themeColor="text1"/>
          <w:vertAlign w:val="superscript"/>
        </w:rPr>
        <w:t>[1,2,3,4,5]</w:t>
      </w:r>
      <w:r>
        <w:rPr>
          <w:rFonts w:ascii="Arial" w:hAnsi="Arial" w:cs="Arial"/>
          <w:color w:val="000000" w:themeColor="text1"/>
        </w:rPr>
        <w:t>.</w:t>
      </w:r>
    </w:p>
    <w:p w:rsidR="003F0296" w:rsidRPr="0038106E" w:rsidRDefault="003F0296" w:rsidP="003F0296">
      <w:pPr>
        <w:jc w:val="both"/>
        <w:rPr>
          <w:rFonts w:ascii="Arial" w:hAnsi="Arial" w:cs="Arial"/>
          <w:color w:val="000000" w:themeColor="text1"/>
        </w:rPr>
      </w:pPr>
    </w:p>
    <w:p w:rsidR="003F0296" w:rsidRPr="00726A37" w:rsidRDefault="003F0296" w:rsidP="003F0296">
      <w:pPr>
        <w:ind w:firstLine="567"/>
        <w:jc w:val="both"/>
        <w:rPr>
          <w:rFonts w:ascii="Arial" w:hAnsi="Arial" w:cs="Arial"/>
          <w:color w:val="000000" w:themeColor="text1"/>
        </w:rPr>
      </w:pPr>
      <w:r>
        <w:rPr>
          <w:rFonts w:ascii="Arial" w:hAnsi="Arial" w:cs="Arial"/>
          <w:color w:val="000000" w:themeColor="text1"/>
        </w:rPr>
        <w:t xml:space="preserve">Hasta el momento existe poca información concluyente sobre los efectos tóxicos de las NPs en la salud reproductiva, dado que existe controversia en diferentes estudios. Se sabe que los factores relacionados a la toxicidad en las células están relacionados con el tamaño, composición química y agentes de recubrimiento; todo ello asociado a la capacidad de internalización de las NPs. En diversos estudios se ha descrito que un tamaño “pequeño” favorece el aumento en su toxicidad facilitando su </w:t>
      </w:r>
      <w:r>
        <w:rPr>
          <w:rFonts w:ascii="Arial" w:hAnsi="Arial" w:cs="Arial"/>
          <w:color w:val="000000" w:themeColor="text1"/>
        </w:rPr>
        <w:lastRenderedPageBreak/>
        <w:t>internalización a la célula por alguno de los siguientes mecanismos, como la ósmosis, fagocitosis, pinocitosis o por canales iónicos. Ésta internalización puede generar estrés oxidativo, inflamación y daño en el ADN</w:t>
      </w:r>
      <w:r w:rsidRPr="0054632F">
        <w:rPr>
          <w:rFonts w:ascii="Arial" w:hAnsi="Arial" w:cs="Arial"/>
          <w:color w:val="000000" w:themeColor="text1"/>
        </w:rPr>
        <w:t xml:space="preserve">, </w:t>
      </w:r>
      <w:r>
        <w:rPr>
          <w:rFonts w:ascii="Arial" w:hAnsi="Arial" w:cs="Arial"/>
          <w:color w:val="000000" w:themeColor="text1"/>
        </w:rPr>
        <w:t>especialmente</w:t>
      </w:r>
      <w:r w:rsidRPr="0054632F">
        <w:rPr>
          <w:rFonts w:ascii="Arial" w:hAnsi="Arial" w:cs="Arial"/>
          <w:color w:val="000000" w:themeColor="text1"/>
        </w:rPr>
        <w:t xml:space="preserve"> con las NP</w:t>
      </w:r>
      <w:r>
        <w:rPr>
          <w:rFonts w:ascii="Arial" w:hAnsi="Arial" w:cs="Arial"/>
          <w:color w:val="000000" w:themeColor="text1"/>
        </w:rPr>
        <w:t>s</w:t>
      </w:r>
      <w:r w:rsidRPr="0054632F">
        <w:rPr>
          <w:rFonts w:ascii="Arial" w:hAnsi="Arial" w:cs="Arial"/>
          <w:color w:val="000000" w:themeColor="text1"/>
        </w:rPr>
        <w:t xml:space="preserve"> elaboradas </w:t>
      </w:r>
      <w:r>
        <w:rPr>
          <w:rFonts w:ascii="Arial" w:hAnsi="Arial" w:cs="Arial"/>
          <w:color w:val="000000" w:themeColor="text1"/>
        </w:rPr>
        <w:t>con</w:t>
      </w:r>
      <w:r w:rsidRPr="0054632F">
        <w:rPr>
          <w:rFonts w:ascii="Arial" w:hAnsi="Arial" w:cs="Arial"/>
          <w:color w:val="000000" w:themeColor="text1"/>
        </w:rPr>
        <w:t xml:space="preserve"> materiales inorgánicos como </w:t>
      </w:r>
      <w:r>
        <w:rPr>
          <w:rFonts w:ascii="Arial" w:hAnsi="Arial" w:cs="Arial"/>
          <w:color w:val="000000" w:themeColor="text1"/>
        </w:rPr>
        <w:t xml:space="preserve">son el </w:t>
      </w:r>
      <w:r w:rsidRPr="0054632F">
        <w:rPr>
          <w:rFonts w:ascii="Arial" w:hAnsi="Arial" w:cs="Arial"/>
          <w:color w:val="000000" w:themeColor="text1"/>
        </w:rPr>
        <w:t>oro o zinc</w:t>
      </w:r>
      <w:r w:rsidRPr="00625652">
        <w:rPr>
          <w:rFonts w:ascii="Arial" w:hAnsi="Arial" w:cs="Arial"/>
          <w:color w:val="000000" w:themeColor="text1"/>
          <w:vertAlign w:val="superscript"/>
        </w:rPr>
        <w:t>[</w:t>
      </w:r>
      <w:r w:rsidRPr="0054632F">
        <w:rPr>
          <w:rFonts w:ascii="Arial" w:hAnsi="Arial" w:cs="Arial"/>
          <w:color w:val="000000" w:themeColor="text1"/>
          <w:vertAlign w:val="superscript"/>
        </w:rPr>
        <w:t>1,6</w:t>
      </w:r>
      <w:r>
        <w:rPr>
          <w:rFonts w:ascii="Arial" w:hAnsi="Arial" w:cs="Arial"/>
          <w:color w:val="000000" w:themeColor="text1"/>
          <w:vertAlign w:val="superscript"/>
        </w:rPr>
        <w:t>]</w:t>
      </w:r>
      <w:r w:rsidRPr="0054632F">
        <w:rPr>
          <w:rFonts w:ascii="Arial" w:hAnsi="Arial" w:cs="Arial"/>
          <w:color w:val="000000" w:themeColor="text1"/>
        </w:rPr>
        <w:t>, por ello se ha</w:t>
      </w:r>
      <w:r>
        <w:rPr>
          <w:rFonts w:ascii="Arial" w:hAnsi="Arial" w:cs="Arial"/>
          <w:color w:val="000000" w:themeColor="text1"/>
        </w:rPr>
        <w:t>n</w:t>
      </w:r>
      <w:r w:rsidRPr="0054632F">
        <w:rPr>
          <w:rFonts w:ascii="Arial" w:hAnsi="Arial" w:cs="Arial"/>
          <w:color w:val="000000" w:themeColor="text1"/>
        </w:rPr>
        <w:t xml:space="preserve"> </w:t>
      </w:r>
      <w:r>
        <w:rPr>
          <w:rFonts w:ascii="Arial" w:hAnsi="Arial" w:cs="Arial"/>
          <w:color w:val="000000" w:themeColor="text1"/>
        </w:rPr>
        <w:t xml:space="preserve">utilizado </w:t>
      </w:r>
      <w:r w:rsidRPr="0054632F">
        <w:rPr>
          <w:rFonts w:ascii="Arial" w:hAnsi="Arial" w:cs="Arial"/>
          <w:color w:val="000000" w:themeColor="text1"/>
        </w:rPr>
        <w:t>otro</w:t>
      </w:r>
      <w:r>
        <w:rPr>
          <w:rFonts w:ascii="Arial" w:hAnsi="Arial" w:cs="Arial"/>
          <w:color w:val="000000" w:themeColor="text1"/>
        </w:rPr>
        <w:t>s</w:t>
      </w:r>
      <w:r w:rsidRPr="0054632F">
        <w:rPr>
          <w:rFonts w:ascii="Arial" w:hAnsi="Arial" w:cs="Arial"/>
          <w:color w:val="000000" w:themeColor="text1"/>
        </w:rPr>
        <w:t xml:space="preserve"> materiales </w:t>
      </w:r>
      <w:r>
        <w:rPr>
          <w:rFonts w:ascii="Arial" w:hAnsi="Arial" w:cs="Arial"/>
          <w:color w:val="000000" w:themeColor="text1"/>
        </w:rPr>
        <w:t xml:space="preserve">de origen orgánico </w:t>
      </w:r>
      <w:r w:rsidRPr="0054632F">
        <w:rPr>
          <w:rFonts w:ascii="Arial" w:hAnsi="Arial" w:cs="Arial"/>
          <w:color w:val="000000" w:themeColor="text1"/>
        </w:rPr>
        <w:t xml:space="preserve">como </w:t>
      </w:r>
      <w:r>
        <w:rPr>
          <w:rFonts w:ascii="Arial" w:hAnsi="Arial" w:cs="Arial"/>
          <w:color w:val="000000" w:themeColor="text1"/>
        </w:rPr>
        <w:t>por ejemplo el quitosán, generando</w:t>
      </w:r>
      <w:r w:rsidRPr="0054632F">
        <w:rPr>
          <w:rFonts w:ascii="Arial" w:hAnsi="Arial" w:cs="Arial"/>
          <w:color w:val="000000" w:themeColor="text1"/>
        </w:rPr>
        <w:t xml:space="preserve"> mucho interés</w:t>
      </w:r>
      <w:r>
        <w:rPr>
          <w:rFonts w:ascii="Arial" w:hAnsi="Arial" w:cs="Arial"/>
          <w:color w:val="000000" w:themeColor="text1"/>
        </w:rPr>
        <w:t xml:space="preserve"> por sus propiedades bactericidas y antioxidantes</w:t>
      </w:r>
      <w:r w:rsidRPr="00726A37">
        <w:rPr>
          <w:rFonts w:ascii="Arial" w:hAnsi="Arial" w:cs="Arial"/>
          <w:color w:val="000000" w:themeColor="text1"/>
          <w:vertAlign w:val="superscript"/>
        </w:rPr>
        <w:t>[7,8]</w:t>
      </w:r>
      <w:r w:rsidRPr="00726A37">
        <w:rPr>
          <w:rFonts w:ascii="Arial" w:hAnsi="Arial" w:cs="Arial"/>
          <w:color w:val="000000" w:themeColor="text1"/>
        </w:rPr>
        <w:t>.</w:t>
      </w:r>
    </w:p>
    <w:p w:rsidR="003F0296" w:rsidRPr="00726A37" w:rsidRDefault="003F0296" w:rsidP="003F0296">
      <w:pPr>
        <w:jc w:val="both"/>
        <w:rPr>
          <w:rFonts w:ascii="Arial" w:hAnsi="Arial" w:cs="Arial"/>
          <w:color w:val="000000" w:themeColor="text1"/>
        </w:rPr>
      </w:pPr>
    </w:p>
    <w:p w:rsidR="003F0296" w:rsidRPr="000B2FD2" w:rsidRDefault="003F0296" w:rsidP="003F0296">
      <w:pPr>
        <w:ind w:firstLine="567"/>
        <w:jc w:val="both"/>
        <w:rPr>
          <w:rFonts w:ascii="Arial" w:hAnsi="Arial" w:cs="Arial"/>
          <w:color w:val="000000" w:themeColor="text1"/>
          <w:spacing w:val="2"/>
          <w:shd w:val="clear" w:color="auto" w:fill="FFFFFF"/>
        </w:rPr>
      </w:pPr>
      <w:r>
        <w:rPr>
          <w:rFonts w:ascii="Arial" w:hAnsi="Arial" w:cs="Arial"/>
          <w:color w:val="000000" w:themeColor="text1"/>
        </w:rPr>
        <w:t>Además se ha descrito que l</w:t>
      </w:r>
      <w:r w:rsidRPr="00726A37">
        <w:rPr>
          <w:rFonts w:ascii="Arial" w:hAnsi="Arial" w:cs="Arial"/>
          <w:color w:val="000000" w:themeColor="text1"/>
        </w:rPr>
        <w:t>as NP</w:t>
      </w:r>
      <w:r>
        <w:rPr>
          <w:rFonts w:ascii="Arial" w:hAnsi="Arial" w:cs="Arial"/>
          <w:color w:val="000000" w:themeColor="text1"/>
        </w:rPr>
        <w:t>s</w:t>
      </w:r>
      <w:r w:rsidRPr="00726A37">
        <w:rPr>
          <w:rFonts w:ascii="Arial" w:hAnsi="Arial" w:cs="Arial"/>
          <w:color w:val="000000" w:themeColor="text1"/>
        </w:rPr>
        <w:t xml:space="preserve"> elaboradas a partir de quitosán no modifican la estructura celular (actina</w:t>
      </w:r>
      <w:r>
        <w:rPr>
          <w:rFonts w:ascii="Arial" w:hAnsi="Arial" w:cs="Arial"/>
          <w:color w:val="000000" w:themeColor="text1"/>
        </w:rPr>
        <w:t>-</w:t>
      </w:r>
      <w:r w:rsidRPr="00726A37">
        <w:rPr>
          <w:rFonts w:ascii="Arial" w:hAnsi="Arial" w:cs="Arial"/>
          <w:color w:val="000000" w:themeColor="text1"/>
        </w:rPr>
        <w:t xml:space="preserve">F) ni la viabilidad en cultivos celulares a dosis menores de </w:t>
      </w:r>
      <w:r w:rsidRPr="00726A37">
        <w:rPr>
          <w:rFonts w:ascii="Arial" w:hAnsi="Arial" w:cs="Arial"/>
          <w:noProof/>
        </w:rPr>
        <w:t>50</w:t>
      </w:r>
      <w:r w:rsidRPr="00726A37">
        <w:rPr>
          <w:rFonts w:ascii="Arial" w:hAnsi="Arial" w:cs="Arial"/>
          <w:color w:val="333333"/>
          <w:spacing w:val="2"/>
          <w:shd w:val="clear" w:color="auto" w:fill="FFFFFF"/>
        </w:rPr>
        <w:t>μl/ml</w:t>
      </w:r>
      <w:r>
        <w:rPr>
          <w:rFonts w:ascii="Arial" w:hAnsi="Arial" w:cs="Arial"/>
          <w:color w:val="333333"/>
          <w:spacing w:val="2"/>
          <w:shd w:val="clear" w:color="auto" w:fill="FFFFFF"/>
        </w:rPr>
        <w:t xml:space="preserve"> </w:t>
      </w:r>
      <w:r w:rsidRPr="00726A37">
        <w:rPr>
          <w:rFonts w:ascii="Arial" w:hAnsi="Arial" w:cs="Arial"/>
          <w:color w:val="000000" w:themeColor="text1"/>
        </w:rPr>
        <w:t>(</w:t>
      </w:r>
      <w:r>
        <w:rPr>
          <w:rFonts w:ascii="Arial" w:hAnsi="Arial" w:cs="Arial"/>
          <w:color w:val="000000" w:themeColor="text1"/>
        </w:rPr>
        <w:t xml:space="preserve">células </w:t>
      </w:r>
      <w:r w:rsidRPr="00726A37">
        <w:rPr>
          <w:rFonts w:ascii="Arial" w:hAnsi="Arial" w:cs="Arial"/>
          <w:color w:val="000000" w:themeColor="text1"/>
        </w:rPr>
        <w:t>MARC-145</w:t>
      </w:r>
      <w:r>
        <w:rPr>
          <w:rFonts w:ascii="Arial" w:hAnsi="Arial" w:cs="Arial"/>
          <w:color w:val="000000" w:themeColor="text1"/>
        </w:rPr>
        <w:t>,</w:t>
      </w:r>
      <w:r w:rsidRPr="00726A37">
        <w:rPr>
          <w:rFonts w:ascii="Arial" w:hAnsi="Arial" w:cs="Arial"/>
          <w:color w:val="000000" w:themeColor="text1"/>
        </w:rPr>
        <w:t xml:space="preserve"> </w:t>
      </w:r>
      <w:r>
        <w:rPr>
          <w:rFonts w:ascii="Arial" w:hAnsi="Arial" w:cs="Arial"/>
          <w:color w:val="000000" w:themeColor="text1"/>
        </w:rPr>
        <w:t xml:space="preserve">cultivadas por </w:t>
      </w:r>
      <w:r w:rsidRPr="00726A37">
        <w:rPr>
          <w:rFonts w:ascii="Arial" w:hAnsi="Arial" w:cs="Arial"/>
          <w:color w:val="000000" w:themeColor="text1"/>
        </w:rPr>
        <w:t>72h</w:t>
      </w:r>
      <w:r>
        <w:rPr>
          <w:rFonts w:ascii="Arial" w:hAnsi="Arial" w:cs="Arial"/>
          <w:color w:val="000000" w:themeColor="text1"/>
        </w:rPr>
        <w:t>)</w:t>
      </w:r>
      <w:r w:rsidRPr="00726A37">
        <w:rPr>
          <w:rFonts w:ascii="Arial" w:hAnsi="Arial" w:cs="Arial"/>
          <w:color w:val="333333"/>
          <w:spacing w:val="2"/>
          <w:shd w:val="clear" w:color="auto" w:fill="FFFFFF"/>
          <w:vertAlign w:val="superscript"/>
        </w:rPr>
        <w:t>[</w:t>
      </w:r>
      <w:r w:rsidRPr="00726A37">
        <w:rPr>
          <w:rFonts w:ascii="Arial" w:hAnsi="Arial" w:cs="Arial"/>
          <w:color w:val="000000" w:themeColor="text1"/>
          <w:vertAlign w:val="superscript"/>
        </w:rPr>
        <w:t>9]</w:t>
      </w:r>
      <w:r w:rsidRPr="00726A37">
        <w:rPr>
          <w:rFonts w:ascii="Arial" w:hAnsi="Arial" w:cs="Arial"/>
          <w:color w:val="333333"/>
          <w:spacing w:val="2"/>
          <w:shd w:val="clear" w:color="auto" w:fill="FFFFFF"/>
        </w:rPr>
        <w:t xml:space="preserve">, </w:t>
      </w:r>
      <w:r>
        <w:rPr>
          <w:rFonts w:ascii="Arial" w:hAnsi="Arial" w:cs="Arial"/>
          <w:color w:val="000000" w:themeColor="text1"/>
        </w:rPr>
        <w:t>incluso</w:t>
      </w:r>
      <w:r w:rsidRPr="00726A37">
        <w:rPr>
          <w:rFonts w:ascii="Arial" w:hAnsi="Arial" w:cs="Arial"/>
          <w:color w:val="000000" w:themeColor="text1"/>
        </w:rPr>
        <w:t xml:space="preserve"> se han utilizado como agentes crioprotectores en </w:t>
      </w:r>
      <w:r w:rsidRPr="000B2FD2">
        <w:rPr>
          <w:rFonts w:ascii="Arial" w:hAnsi="Arial" w:cs="Arial"/>
          <w:color w:val="000000" w:themeColor="text1"/>
        </w:rPr>
        <w:t xml:space="preserve">espermatozoides de cerdo a dosis de </w:t>
      </w:r>
      <w:r w:rsidRPr="000B2FD2">
        <w:rPr>
          <w:rFonts w:ascii="Arial" w:hAnsi="Arial" w:cs="Arial"/>
          <w:noProof/>
          <w:color w:val="000000" w:themeColor="text1"/>
        </w:rPr>
        <w:t>100</w:t>
      </w:r>
      <w:r w:rsidRPr="000B2FD2">
        <w:rPr>
          <w:rFonts w:ascii="Arial" w:hAnsi="Arial" w:cs="Arial"/>
          <w:color w:val="000000" w:themeColor="text1"/>
          <w:spacing w:val="2"/>
          <w:shd w:val="clear" w:color="auto" w:fill="FFFFFF"/>
        </w:rPr>
        <w:t>μl/ml</w:t>
      </w:r>
      <w:r w:rsidRPr="000B2FD2">
        <w:rPr>
          <w:rFonts w:ascii="Arial" w:hAnsi="Arial" w:cs="Arial"/>
          <w:color w:val="000000" w:themeColor="text1"/>
          <w:spacing w:val="2"/>
          <w:shd w:val="clear" w:color="auto" w:fill="FFFFFF"/>
          <w:vertAlign w:val="superscript"/>
        </w:rPr>
        <w:t>[4]</w:t>
      </w:r>
      <w:r w:rsidRPr="000B2FD2">
        <w:rPr>
          <w:rFonts w:ascii="Arial" w:hAnsi="Arial" w:cs="Arial"/>
          <w:color w:val="000000" w:themeColor="text1"/>
          <w:spacing w:val="2"/>
          <w:shd w:val="clear" w:color="auto" w:fill="FFFFFF"/>
        </w:rPr>
        <w:t>. También se ha propuesto que el quitosán como recubrimiento de NPs con centro lipídico puede facilitar la internalización en espermatozoides de bovino, pero con un detrimento de la motilidad de las células</w:t>
      </w:r>
      <w:r w:rsidRPr="000B2FD2">
        <w:rPr>
          <w:rFonts w:ascii="Arial" w:hAnsi="Arial" w:cs="Arial"/>
          <w:color w:val="000000" w:themeColor="text1"/>
          <w:spacing w:val="2"/>
          <w:shd w:val="clear" w:color="auto" w:fill="FFFFFF"/>
          <w:vertAlign w:val="superscript"/>
        </w:rPr>
        <w:t>[3]</w:t>
      </w:r>
      <w:r w:rsidRPr="000B2FD2">
        <w:rPr>
          <w:rFonts w:ascii="Arial" w:hAnsi="Arial" w:cs="Arial"/>
          <w:color w:val="000000" w:themeColor="text1"/>
          <w:spacing w:val="2"/>
          <w:shd w:val="clear" w:color="auto" w:fill="FFFFFF"/>
        </w:rPr>
        <w:t>. Y en el caso de los espermatozoides de humano se ha observado que los oligos de quitosán no afectan la motilidad, ni existen alteraciones morfológicas de la membrana ni del ADN, pero sí una disminución de los radicales libres</w:t>
      </w:r>
      <w:r w:rsidRPr="000B2FD2">
        <w:rPr>
          <w:rFonts w:ascii="Arial" w:hAnsi="Arial" w:cs="Arial"/>
          <w:color w:val="000000" w:themeColor="text1"/>
          <w:spacing w:val="2"/>
          <w:shd w:val="clear" w:color="auto" w:fill="FFFFFF"/>
          <w:vertAlign w:val="superscript"/>
        </w:rPr>
        <w:t>[10]</w:t>
      </w:r>
      <w:r w:rsidRPr="000B2FD2">
        <w:rPr>
          <w:rFonts w:ascii="Arial" w:hAnsi="Arial" w:cs="Arial"/>
          <w:color w:val="000000" w:themeColor="text1"/>
          <w:spacing w:val="2"/>
          <w:shd w:val="clear" w:color="auto" w:fill="FFFFFF"/>
        </w:rPr>
        <w:t>.</w:t>
      </w:r>
    </w:p>
    <w:p w:rsidR="003F0296" w:rsidRPr="000B2FD2" w:rsidRDefault="003F0296" w:rsidP="003F0296">
      <w:pPr>
        <w:jc w:val="both"/>
        <w:rPr>
          <w:rFonts w:ascii="Arial" w:hAnsi="Arial" w:cs="Arial"/>
          <w:color w:val="000000" w:themeColor="text1"/>
        </w:rPr>
      </w:pPr>
    </w:p>
    <w:p w:rsidR="003F0296" w:rsidRPr="00E235F6" w:rsidRDefault="003F0296" w:rsidP="003F0296">
      <w:pPr>
        <w:ind w:firstLine="567"/>
        <w:jc w:val="both"/>
        <w:rPr>
          <w:rFonts w:ascii="Arial" w:eastAsia="Times New Roman" w:hAnsi="Arial" w:cs="Arial"/>
          <w:lang w:val="es-EC" w:eastAsia="es-EC"/>
        </w:rPr>
      </w:pPr>
      <w:r w:rsidRPr="000B2FD2">
        <w:rPr>
          <w:rFonts w:ascii="Arial" w:eastAsia="Times New Roman" w:hAnsi="Arial" w:cs="Arial"/>
          <w:color w:val="000000" w:themeColor="text1"/>
          <w:lang w:val="es-EC" w:eastAsia="es-EC"/>
        </w:rPr>
        <w:t xml:space="preserve">La crioconservación de semen de verraco sigue significando una limitación tecnológica importante para el desarrollo de la reproducción de esta especie, lo que demanda que se realice un nuevo enfoque en el ámbito de la criobiología espermática que permita utilizar nuevas alternativas, como el empleo de las nanopartículas poliméricas de quitosán (NPPs-Q) y que permitan corroborar si su utilización puede ofrecer mayor crio resistencia a los espermatozoides durante el proceso de congelación-descongelación. </w:t>
      </w:r>
      <w:r w:rsidRPr="000B2FD2">
        <w:rPr>
          <w:rFonts w:ascii="Arial" w:hAnsi="Arial" w:cs="Arial"/>
          <w:color w:val="000000" w:themeColor="text1"/>
        </w:rPr>
        <w:t xml:space="preserve">Dado que la citotoxicidad esta asociada </w:t>
      </w:r>
      <w:r>
        <w:rPr>
          <w:rFonts w:ascii="Arial" w:hAnsi="Arial" w:cs="Arial"/>
          <w:color w:val="000000" w:themeColor="text1"/>
        </w:rPr>
        <w:t xml:space="preserve">a las características propias de los componentes de las NPPs es indispensable </w:t>
      </w:r>
      <w:r w:rsidRPr="00CA30B9">
        <w:rPr>
          <w:rFonts w:ascii="Arial" w:eastAsia="Times New Roman" w:hAnsi="Arial" w:cs="Arial"/>
          <w:lang w:val="es-EC" w:eastAsia="es-EC"/>
        </w:rPr>
        <w:t xml:space="preserve">conocer </w:t>
      </w:r>
      <w:r>
        <w:rPr>
          <w:rFonts w:ascii="Arial" w:hAnsi="Arial" w:cs="Arial"/>
          <w:color w:val="000000" w:themeColor="text1"/>
        </w:rPr>
        <w:t>los efectos y determinar las concentraciones ideales para utilizarlas como parte de los diluyentes de crioconservación, ya sea como moléculas crioprotectoras o como acarreadoras de otras molélulas crioprotectoras.</w:t>
      </w:r>
    </w:p>
    <w:p w:rsidR="003F0296" w:rsidRDefault="003F0296" w:rsidP="003F0296">
      <w:pPr>
        <w:jc w:val="both"/>
        <w:rPr>
          <w:rFonts w:ascii="Arial" w:hAnsi="Arial" w:cs="Arial"/>
          <w:color w:val="000000" w:themeColor="text1"/>
        </w:rPr>
      </w:pPr>
    </w:p>
    <w:p w:rsidR="003F0296" w:rsidRPr="00E41382" w:rsidRDefault="003F0296" w:rsidP="003F0296">
      <w:pPr>
        <w:jc w:val="both"/>
        <w:rPr>
          <w:rFonts w:ascii="Arial" w:hAnsi="Arial" w:cs="Arial"/>
          <w:color w:val="000000" w:themeColor="text1"/>
        </w:rPr>
      </w:pPr>
    </w:p>
    <w:p w:rsidR="003F0296" w:rsidRPr="00E41382" w:rsidRDefault="003F0296" w:rsidP="00CC49EB">
      <w:pPr>
        <w:pStyle w:val="1Titulo"/>
        <w:numPr>
          <w:ilvl w:val="0"/>
          <w:numId w:val="0"/>
        </w:numPr>
        <w:ind w:left="357"/>
      </w:pPr>
      <w:bookmarkStart w:id="358" w:name="_Toc50031405"/>
      <w:r w:rsidRPr="00E41382">
        <w:t>3.- Condiciones experimentales</w:t>
      </w:r>
      <w:bookmarkEnd w:id="358"/>
    </w:p>
    <w:p w:rsidR="003F0296" w:rsidRPr="00E41382" w:rsidRDefault="003F0296" w:rsidP="003F0296">
      <w:pPr>
        <w:pStyle w:val="Prrafodelista"/>
        <w:ind w:left="0"/>
        <w:jc w:val="both"/>
        <w:rPr>
          <w:rFonts w:ascii="Arial" w:hAnsi="Arial" w:cs="Arial"/>
          <w:color w:val="000000" w:themeColor="text1"/>
        </w:rPr>
      </w:pPr>
    </w:p>
    <w:p w:rsidR="003F0296" w:rsidRPr="00B06DE0" w:rsidRDefault="003F0296" w:rsidP="003F0296">
      <w:pPr>
        <w:ind w:firstLine="567"/>
        <w:jc w:val="both"/>
        <w:rPr>
          <w:rFonts w:ascii="Arial" w:hAnsi="Arial" w:cs="Arial"/>
        </w:rPr>
      </w:pPr>
      <w:r w:rsidRPr="00E41382">
        <w:rPr>
          <w:rFonts w:ascii="Arial" w:hAnsi="Arial" w:cs="Arial"/>
          <w:i/>
          <w:color w:val="000000" w:themeColor="text1"/>
        </w:rPr>
        <w:t xml:space="preserve">3.1 Elaboración de nanopartículas poliméricas de quitosán (NPPs-Q): </w:t>
      </w:r>
      <w:r>
        <w:rPr>
          <w:rFonts w:ascii="Arial" w:hAnsi="Arial" w:cs="Arial"/>
          <w:color w:val="000000" w:themeColor="text1"/>
        </w:rPr>
        <w:t xml:space="preserve">Para la formación de las NPPs </w:t>
      </w:r>
      <w:r>
        <w:rPr>
          <w:rFonts w:ascii="Arial" w:hAnsi="Arial" w:cs="Arial"/>
        </w:rPr>
        <w:t>s</w:t>
      </w:r>
      <w:r w:rsidRPr="00E41382">
        <w:rPr>
          <w:rFonts w:ascii="Arial" w:hAnsi="Arial" w:cs="Arial"/>
        </w:rPr>
        <w:t>e utilizó el método de gelificación iónica con tripolifosfato (TPP)</w:t>
      </w:r>
      <w:r>
        <w:rPr>
          <w:rFonts w:ascii="Arial" w:hAnsi="Arial" w:cs="Arial"/>
        </w:rPr>
        <w:t>, el cual se agregó gota a gota</w:t>
      </w:r>
      <w:r w:rsidRPr="00E41382">
        <w:rPr>
          <w:rFonts w:ascii="Arial" w:hAnsi="Arial" w:cs="Arial"/>
          <w:vertAlign w:val="superscript"/>
        </w:rPr>
        <w:t>[11]</w:t>
      </w:r>
      <w:r>
        <w:rPr>
          <w:rFonts w:ascii="Arial" w:hAnsi="Arial" w:cs="Arial"/>
        </w:rPr>
        <w:t xml:space="preserve"> a una temperatura ambiental promedio de 21</w:t>
      </w:r>
      <w:r w:rsidRPr="00F54C10">
        <w:rPr>
          <w:rFonts w:ascii="Arial" w:hAnsi="Arial" w:cs="Arial"/>
          <w:vertAlign w:val="superscript"/>
        </w:rPr>
        <w:t>o</w:t>
      </w:r>
      <w:r>
        <w:rPr>
          <w:rFonts w:ascii="Arial" w:hAnsi="Arial" w:cs="Arial"/>
        </w:rPr>
        <w:t>C</w:t>
      </w:r>
      <w:r w:rsidRPr="00E41382">
        <w:rPr>
          <w:rFonts w:ascii="Arial" w:hAnsi="Arial" w:cs="Arial"/>
        </w:rPr>
        <w:t>. El quitosán utilizado fue de bajo peso molecular (50-190KDa</w:t>
      </w:r>
      <w:r>
        <w:rPr>
          <w:rFonts w:ascii="Arial" w:hAnsi="Arial" w:cs="Arial"/>
        </w:rPr>
        <w:t xml:space="preserve"> </w:t>
      </w:r>
      <w:r w:rsidRPr="00E41382">
        <w:rPr>
          <w:rFonts w:ascii="Arial" w:hAnsi="Arial" w:cs="Arial"/>
        </w:rPr>
        <w:t>Sigma-Aldrich</w:t>
      </w:r>
      <w:r w:rsidRPr="00E41382">
        <w:rPr>
          <w:rFonts w:ascii="Arial" w:hAnsi="Arial" w:cs="Arial"/>
          <w:vertAlign w:val="superscript"/>
        </w:rPr>
        <w:t>®</w:t>
      </w:r>
      <w:r w:rsidRPr="00E41382">
        <w:rPr>
          <w:rFonts w:ascii="Arial" w:hAnsi="Arial" w:cs="Arial"/>
        </w:rPr>
        <w:t xml:space="preserve">) y con un porcentaje de desacetilación </w:t>
      </w:r>
      <w:r>
        <w:rPr>
          <w:rFonts w:ascii="Arial" w:hAnsi="Arial" w:cs="Arial"/>
        </w:rPr>
        <w:t xml:space="preserve">del </w:t>
      </w:r>
      <w:r w:rsidRPr="00E41382">
        <w:rPr>
          <w:rFonts w:ascii="Arial" w:hAnsi="Arial" w:cs="Arial"/>
        </w:rPr>
        <w:t>75%. Se realizaron tres modificaciones al procedimiento</w:t>
      </w:r>
      <w:r>
        <w:rPr>
          <w:rFonts w:ascii="Arial" w:hAnsi="Arial" w:cs="Arial"/>
        </w:rPr>
        <w:t xml:space="preserve"> de elaboración de las NPPs-Q para obtener tres grupos</w:t>
      </w:r>
      <w:r w:rsidRPr="00B06DE0">
        <w:rPr>
          <w:rFonts w:ascii="Arial" w:hAnsi="Arial" w:cs="Arial"/>
        </w:rPr>
        <w:t xml:space="preserve">: 1.- Sin filtrar (NPPs-Q-SIN FIL), 2.- Filtrada (NPPs-Q- FIL) y 3.- Centrifugada y filtrada (NPPs-Q-CEN- FIL) (ver </w:t>
      </w:r>
      <w:r w:rsidRPr="00B06DE0">
        <w:rPr>
          <w:rFonts w:ascii="Arial" w:hAnsi="Arial" w:cs="Arial"/>
          <w:b/>
        </w:rPr>
        <w:t>Figura 1</w:t>
      </w:r>
      <w:r w:rsidRPr="00B06DE0">
        <w:rPr>
          <w:rFonts w:ascii="Arial" w:hAnsi="Arial" w:cs="Arial"/>
        </w:rPr>
        <w:t>).</w:t>
      </w:r>
    </w:p>
    <w:p w:rsidR="003F0296" w:rsidRPr="00B06DE0" w:rsidRDefault="003F0296" w:rsidP="003F0296">
      <w:pPr>
        <w:jc w:val="center"/>
        <w:rPr>
          <w:rFonts w:ascii="Arial" w:hAnsi="Arial" w:cs="Arial"/>
          <w:color w:val="000000" w:themeColor="text1"/>
        </w:rPr>
      </w:pPr>
    </w:p>
    <w:p w:rsidR="003F0296" w:rsidRPr="00B06DE0" w:rsidRDefault="003F0296" w:rsidP="003F0296">
      <w:pPr>
        <w:jc w:val="center"/>
        <w:rPr>
          <w:rFonts w:ascii="Arial" w:hAnsi="Arial" w:cs="Arial"/>
          <w:color w:val="000000" w:themeColor="text1"/>
        </w:rPr>
      </w:pPr>
    </w:p>
    <w:p w:rsidR="003F0296" w:rsidRPr="00B06DE0" w:rsidRDefault="003F0296" w:rsidP="003F0296">
      <w:pPr>
        <w:rPr>
          <w:rFonts w:ascii="Arial" w:hAnsi="Arial" w:cs="Arial"/>
          <w:color w:val="000000" w:themeColor="text1"/>
        </w:rPr>
      </w:pPr>
    </w:p>
    <w:p w:rsidR="003F0296" w:rsidRPr="00B06DE0" w:rsidRDefault="003F0296" w:rsidP="003F0296">
      <w:pPr>
        <w:rPr>
          <w:rFonts w:ascii="Arial" w:hAnsi="Arial" w:cs="Arial"/>
          <w:color w:val="000000" w:themeColor="text1"/>
        </w:rPr>
      </w:pPr>
    </w:p>
    <w:p w:rsidR="003F0296" w:rsidRDefault="003F0296" w:rsidP="003F0296">
      <w:pPr>
        <w:jc w:val="center"/>
        <w:rPr>
          <w:rFonts w:ascii="Arial" w:hAnsi="Arial" w:cs="Arial"/>
          <w:i/>
          <w:color w:val="000000" w:themeColor="text1"/>
        </w:rPr>
      </w:pPr>
      <w:r>
        <w:rPr>
          <w:rFonts w:ascii="Arial" w:hAnsi="Arial" w:cs="Arial"/>
          <w:i/>
          <w:noProof/>
          <w:color w:val="000000" w:themeColor="text1"/>
          <w:lang w:val="en-US"/>
        </w:rPr>
        <w:drawing>
          <wp:inline distT="0" distB="0" distL="0" distR="0" wp14:anchorId="359110FA" wp14:editId="194511E7">
            <wp:extent cx="4067175" cy="4828797"/>
            <wp:effectExtent l="0" t="0" r="0" b="0"/>
            <wp:docPr id="2026623735" name="Imagen 202662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a de Pantalla 2020-06-30 a la(s) 11.41.22.png"/>
                    <pic:cNvPicPr/>
                  </pic:nvPicPr>
                  <pic:blipFill>
                    <a:blip r:embed="rId1241"/>
                    <a:stretch>
                      <a:fillRect/>
                    </a:stretch>
                  </pic:blipFill>
                  <pic:spPr>
                    <a:xfrm>
                      <a:off x="0" y="0"/>
                      <a:ext cx="4082475" cy="4846962"/>
                    </a:xfrm>
                    <a:prstGeom prst="rect">
                      <a:avLst/>
                    </a:prstGeom>
                  </pic:spPr>
                </pic:pic>
              </a:graphicData>
            </a:graphic>
          </wp:inline>
        </w:drawing>
      </w:r>
    </w:p>
    <w:p w:rsidR="003F0296" w:rsidRPr="00CB2838" w:rsidRDefault="003F0296" w:rsidP="003F0296">
      <w:pPr>
        <w:ind w:firstLine="708"/>
        <w:rPr>
          <w:rFonts w:ascii="Arial" w:hAnsi="Arial" w:cs="Arial"/>
          <w:i/>
          <w:color w:val="000000" w:themeColor="text1"/>
        </w:rPr>
      </w:pPr>
    </w:p>
    <w:p w:rsidR="003F0296" w:rsidRPr="00CB2838" w:rsidRDefault="003F0296" w:rsidP="003F0296">
      <w:pPr>
        <w:ind w:firstLine="567"/>
        <w:jc w:val="both"/>
        <w:rPr>
          <w:rFonts w:ascii="Arial" w:hAnsi="Arial" w:cs="Arial"/>
          <w:i/>
          <w:color w:val="000000" w:themeColor="text1"/>
        </w:rPr>
      </w:pPr>
      <w:r w:rsidRPr="00CB2838">
        <w:rPr>
          <w:rFonts w:ascii="Arial" w:hAnsi="Arial" w:cs="Arial"/>
          <w:i/>
          <w:color w:val="000000" w:themeColor="text1"/>
        </w:rPr>
        <w:t>3.2 Medición de nanopartículas</w:t>
      </w:r>
      <w:r>
        <w:rPr>
          <w:rFonts w:ascii="Arial" w:hAnsi="Arial" w:cs="Arial"/>
          <w:i/>
          <w:color w:val="000000" w:themeColor="text1"/>
        </w:rPr>
        <w:t xml:space="preserve">: </w:t>
      </w:r>
      <w:r>
        <w:rPr>
          <w:rFonts w:ascii="Arial" w:hAnsi="Arial" w:cs="Arial"/>
          <w:color w:val="000000" w:themeColor="text1"/>
        </w:rPr>
        <w:t xml:space="preserve">El tamaño de las NPs se evaluaron </w:t>
      </w:r>
      <w:r w:rsidRPr="00FA328D">
        <w:rPr>
          <w:rFonts w:ascii="Arial" w:hAnsi="Arial" w:cs="Arial"/>
          <w:color w:val="000000" w:themeColor="text1"/>
        </w:rPr>
        <w:t xml:space="preserve">con </w:t>
      </w:r>
      <w:r>
        <w:rPr>
          <w:rFonts w:ascii="Arial" w:hAnsi="Arial" w:cs="Arial"/>
          <w:color w:val="000000" w:themeColor="text1"/>
        </w:rPr>
        <w:t>la técnica de</w:t>
      </w:r>
      <w:r w:rsidRPr="00FA328D">
        <w:rPr>
          <w:rFonts w:ascii="Arial" w:hAnsi="Arial" w:cs="Arial"/>
          <w:color w:val="000000" w:themeColor="text1"/>
        </w:rPr>
        <w:t xml:space="preserve"> Dispersión dinámica de luz</w:t>
      </w:r>
      <w:r>
        <w:rPr>
          <w:rFonts w:ascii="Arial" w:hAnsi="Arial" w:cs="Arial"/>
          <w:color w:val="000000" w:themeColor="text1"/>
        </w:rPr>
        <w:t xml:space="preserve"> (</w:t>
      </w:r>
      <w:r w:rsidRPr="00165404">
        <w:rPr>
          <w:rFonts w:ascii="Arial" w:hAnsi="Arial" w:cs="Arial"/>
          <w:color w:val="000000" w:themeColor="text1"/>
        </w:rPr>
        <w:t>DLS</w:t>
      </w:r>
      <w:r>
        <w:rPr>
          <w:rFonts w:ascii="Arial" w:hAnsi="Arial" w:cs="Arial"/>
          <w:color w:val="000000" w:themeColor="text1"/>
        </w:rPr>
        <w:t xml:space="preserve">) con la utilización del </w:t>
      </w:r>
      <w:r w:rsidRPr="00FA328D">
        <w:rPr>
          <w:rFonts w:ascii="Arial" w:hAnsi="Arial" w:cs="Arial"/>
          <w:color w:val="000000" w:themeColor="text1"/>
        </w:rPr>
        <w:t>Coulter Scientific Instruments N4Plus</w:t>
      </w:r>
      <w:r>
        <w:rPr>
          <w:rFonts w:ascii="Arial" w:hAnsi="Arial" w:cs="Arial"/>
          <w:color w:val="000000" w:themeColor="text1"/>
        </w:rPr>
        <w:t>.</w:t>
      </w:r>
    </w:p>
    <w:p w:rsidR="003F0296" w:rsidRPr="000872A8" w:rsidRDefault="003F0296" w:rsidP="003F0296">
      <w:pPr>
        <w:ind w:firstLine="708"/>
        <w:jc w:val="both"/>
        <w:rPr>
          <w:rFonts w:ascii="Arial" w:hAnsi="Arial" w:cs="Arial"/>
          <w:i/>
          <w:color w:val="000000" w:themeColor="text1"/>
        </w:rPr>
      </w:pPr>
    </w:p>
    <w:p w:rsidR="003F0296" w:rsidRDefault="003F0296" w:rsidP="003F0296">
      <w:pPr>
        <w:ind w:firstLine="567"/>
        <w:jc w:val="both"/>
        <w:rPr>
          <w:rFonts w:ascii="Arial" w:hAnsi="Arial" w:cs="Arial"/>
          <w:b/>
          <w:color w:val="000000" w:themeColor="text1"/>
        </w:rPr>
      </w:pPr>
      <w:r w:rsidRPr="000872A8">
        <w:rPr>
          <w:rFonts w:ascii="Arial" w:hAnsi="Arial" w:cs="Arial"/>
          <w:i/>
          <w:color w:val="000000" w:themeColor="text1"/>
        </w:rPr>
        <w:t>3.3 Colección de semen:</w:t>
      </w:r>
      <w:r w:rsidRPr="000872A8">
        <w:rPr>
          <w:rFonts w:ascii="Arial" w:hAnsi="Arial" w:cs="Arial"/>
          <w:color w:val="000000" w:themeColor="text1"/>
        </w:rPr>
        <w:t xml:space="preserve"> Se obtuvieron cinco eyaculados de cuatro sementales sexualmente maduros, pertenecientes al Centro de Enseñanza, Investigación y Extensión de Producción Porcina (CEIEPP) de la Facultad de Medicina Veterinaria y Zootecnia de la UNAM. Los eyaculados se recolectaron por medio de la técnica de la mano enguantada, colectando únicamente la fracción rica en espermatozoides, la cual se filtró con una doble gasa estéril. Los eyaculados se diluyeron 1:1 (Vol </w:t>
      </w:r>
      <w:r w:rsidRPr="000872A8">
        <w:rPr>
          <w:rFonts w:ascii="Arial" w:hAnsi="Arial" w:cs="Arial"/>
          <w:color w:val="000000" w:themeColor="text1"/>
        </w:rPr>
        <w:lastRenderedPageBreak/>
        <w:t>:Vol) en medio BTS (Beltsville Thawing Solution)</w:t>
      </w:r>
      <w:r w:rsidRPr="000872A8" w:rsidDel="00AA0202">
        <w:rPr>
          <w:rFonts w:ascii="Arial" w:hAnsi="Arial" w:cs="Arial"/>
          <w:color w:val="000000" w:themeColor="text1"/>
        </w:rPr>
        <w:t xml:space="preserve"> </w:t>
      </w:r>
      <w:r w:rsidRPr="000872A8">
        <w:rPr>
          <w:rFonts w:ascii="Arial" w:hAnsi="Arial" w:cs="Arial"/>
          <w:color w:val="000000" w:themeColor="text1"/>
        </w:rPr>
        <w:t xml:space="preserve">para su transporte al laboratorio de investigación del Departamento de Morfologia de la FMVZ en una caja de poliuretano, el diluyente permitió la conservación de las células </w:t>
      </w:r>
      <w:r>
        <w:rPr>
          <w:rFonts w:ascii="Arial" w:hAnsi="Arial" w:cs="Arial"/>
          <w:color w:val="000000" w:themeColor="text1"/>
        </w:rPr>
        <w:t>a 16º C durante 3 días</w:t>
      </w:r>
      <w:r w:rsidRPr="009431AB">
        <w:rPr>
          <w:rFonts w:ascii="Arial" w:hAnsi="Arial" w:cs="Arial"/>
          <w:color w:val="000000" w:themeColor="text1"/>
          <w:vertAlign w:val="superscript"/>
        </w:rPr>
        <w:t>[12]</w:t>
      </w:r>
      <w:r w:rsidRPr="00601548">
        <w:rPr>
          <w:rFonts w:ascii="Arial" w:hAnsi="Arial" w:cs="Arial"/>
          <w:color w:val="000000" w:themeColor="text1"/>
        </w:rPr>
        <w:t xml:space="preserve">. </w:t>
      </w:r>
      <w:r>
        <w:rPr>
          <w:rFonts w:ascii="Arial" w:hAnsi="Arial" w:cs="Arial"/>
          <w:color w:val="000000" w:themeColor="text1"/>
        </w:rPr>
        <w:t xml:space="preserve">En </w:t>
      </w:r>
      <w:r w:rsidRPr="00601548">
        <w:rPr>
          <w:rFonts w:ascii="Arial" w:hAnsi="Arial" w:cs="Arial"/>
          <w:color w:val="000000" w:themeColor="text1"/>
        </w:rPr>
        <w:t>el laboratorio se evaluó la concentración espermática</w:t>
      </w:r>
      <w:r>
        <w:rPr>
          <w:rFonts w:ascii="Arial" w:hAnsi="Arial" w:cs="Arial"/>
          <w:color w:val="000000" w:themeColor="text1"/>
        </w:rPr>
        <w:t xml:space="preserve"> (por medio de un hematocitómetro)</w:t>
      </w:r>
      <w:r w:rsidRPr="00601548">
        <w:rPr>
          <w:rFonts w:ascii="Arial" w:hAnsi="Arial" w:cs="Arial"/>
          <w:color w:val="000000" w:themeColor="text1"/>
        </w:rPr>
        <w:t xml:space="preserve"> </w:t>
      </w:r>
      <w:r>
        <w:rPr>
          <w:rFonts w:ascii="Arial" w:hAnsi="Arial" w:cs="Arial"/>
          <w:color w:val="000000" w:themeColor="text1"/>
        </w:rPr>
        <w:t xml:space="preserve">y la motilidad progresiva; </w:t>
      </w:r>
      <w:r w:rsidRPr="00601548">
        <w:rPr>
          <w:rFonts w:ascii="Arial" w:hAnsi="Arial" w:cs="Arial"/>
          <w:color w:val="000000" w:themeColor="text1"/>
        </w:rPr>
        <w:t xml:space="preserve">se </w:t>
      </w:r>
      <w:r>
        <w:rPr>
          <w:rFonts w:ascii="Arial" w:hAnsi="Arial" w:cs="Arial"/>
          <w:color w:val="000000" w:themeColor="text1"/>
        </w:rPr>
        <w:t>incluyeron en el estudio solo</w:t>
      </w:r>
      <w:r w:rsidRPr="00601548">
        <w:rPr>
          <w:rFonts w:ascii="Arial" w:hAnsi="Arial" w:cs="Arial"/>
          <w:color w:val="000000" w:themeColor="text1"/>
        </w:rPr>
        <w:t xml:space="preserve"> </w:t>
      </w:r>
      <w:r>
        <w:rPr>
          <w:rFonts w:ascii="Arial" w:hAnsi="Arial" w:cs="Arial"/>
          <w:color w:val="000000" w:themeColor="text1"/>
        </w:rPr>
        <w:t>las</w:t>
      </w:r>
      <w:r w:rsidRPr="00601548">
        <w:rPr>
          <w:rFonts w:ascii="Arial" w:hAnsi="Arial" w:cs="Arial"/>
          <w:color w:val="000000" w:themeColor="text1"/>
        </w:rPr>
        <w:t xml:space="preserve"> muestras </w:t>
      </w:r>
      <w:r>
        <w:rPr>
          <w:rFonts w:ascii="Arial" w:hAnsi="Arial" w:cs="Arial"/>
          <w:color w:val="000000" w:themeColor="text1"/>
        </w:rPr>
        <w:t>con</w:t>
      </w:r>
      <w:r w:rsidRPr="00601548">
        <w:rPr>
          <w:rFonts w:ascii="Arial" w:hAnsi="Arial" w:cs="Arial"/>
          <w:color w:val="000000" w:themeColor="text1"/>
        </w:rPr>
        <w:t xml:space="preserve"> </w:t>
      </w:r>
      <w:r>
        <w:rPr>
          <w:rFonts w:ascii="Arial" w:hAnsi="Arial" w:cs="Arial"/>
          <w:color w:val="000000" w:themeColor="text1"/>
        </w:rPr>
        <w:t>una</w:t>
      </w:r>
      <w:r w:rsidRPr="00601548">
        <w:rPr>
          <w:rFonts w:ascii="Arial" w:hAnsi="Arial" w:cs="Arial"/>
          <w:color w:val="000000" w:themeColor="text1"/>
        </w:rPr>
        <w:t xml:space="preserve"> motilidad</w:t>
      </w:r>
      <w:r>
        <w:rPr>
          <w:rFonts w:ascii="Arial" w:hAnsi="Arial" w:cs="Arial"/>
          <w:color w:val="000000" w:themeColor="text1"/>
        </w:rPr>
        <w:t xml:space="preserve"> </w:t>
      </w:r>
      <w:r w:rsidRPr="00C64366">
        <w:rPr>
          <w:rFonts w:ascii="Arial" w:hAnsi="Arial" w:cs="Arial"/>
          <w:color w:val="000000" w:themeColor="text1"/>
        </w:rPr>
        <w:t xml:space="preserve">≥ </w:t>
      </w:r>
      <w:r>
        <w:rPr>
          <w:rFonts w:ascii="Arial" w:hAnsi="Arial" w:cs="Arial"/>
          <w:color w:val="000000" w:themeColor="text1"/>
        </w:rPr>
        <w:t>al 7</w:t>
      </w:r>
      <w:r w:rsidRPr="00601548">
        <w:rPr>
          <w:rFonts w:ascii="Arial" w:hAnsi="Arial" w:cs="Arial"/>
          <w:color w:val="000000" w:themeColor="text1"/>
        </w:rPr>
        <w:t>0%</w:t>
      </w:r>
      <w:r>
        <w:rPr>
          <w:rFonts w:ascii="Arial" w:hAnsi="Arial" w:cs="Arial"/>
          <w:color w:val="000000" w:themeColor="text1"/>
        </w:rPr>
        <w:t xml:space="preserve">. </w:t>
      </w:r>
    </w:p>
    <w:p w:rsidR="003F0296" w:rsidRDefault="003F0296" w:rsidP="003F0296">
      <w:pPr>
        <w:pStyle w:val="Prrafodelista"/>
        <w:ind w:left="0"/>
        <w:jc w:val="both"/>
        <w:rPr>
          <w:rFonts w:ascii="Arial" w:hAnsi="Arial" w:cs="Arial"/>
          <w:i/>
          <w:color w:val="000000" w:themeColor="text1"/>
        </w:rPr>
      </w:pPr>
    </w:p>
    <w:p w:rsidR="003F0296" w:rsidRPr="00F34525" w:rsidRDefault="003F0296" w:rsidP="003F0296">
      <w:pPr>
        <w:ind w:firstLine="567"/>
        <w:jc w:val="both"/>
        <w:rPr>
          <w:rFonts w:ascii="Arial" w:hAnsi="Arial" w:cs="Arial"/>
          <w:color w:val="000000" w:themeColor="text1"/>
        </w:rPr>
      </w:pPr>
      <w:r w:rsidRPr="00FA328D">
        <w:rPr>
          <w:rFonts w:ascii="Arial" w:hAnsi="Arial" w:cs="Arial"/>
          <w:i/>
          <w:color w:val="000000" w:themeColor="text1"/>
        </w:rPr>
        <w:t>3.4 Prueba de toxicidad</w:t>
      </w:r>
      <w:r>
        <w:rPr>
          <w:rFonts w:ascii="Arial" w:hAnsi="Arial" w:cs="Arial"/>
          <w:color w:val="000000" w:themeColor="text1"/>
        </w:rPr>
        <w:t>: Cada unidad experimental consistió en colocar una muestra de semen y centrifugar a 1500rpm/10min para eliminar líquido seminal y diluyente de conservación, después se reconstituyó la pastilla espermática con 1ml de medio de incubación, ya sea PBS (DPBS</w:t>
      </w:r>
      <w:r w:rsidRPr="007639B3">
        <w:rPr>
          <w:rFonts w:ascii="Arial" w:hAnsi="Arial" w:cs="Arial"/>
          <w:color w:val="000000" w:themeColor="text1"/>
          <w:vertAlign w:val="superscript"/>
        </w:rPr>
        <w:t>TM</w:t>
      </w:r>
      <w:r>
        <w:rPr>
          <w:rFonts w:ascii="Arial" w:hAnsi="Arial" w:cs="Arial"/>
          <w:color w:val="000000" w:themeColor="text1"/>
        </w:rPr>
        <w:t>Gibco) o BTS (BTS</w:t>
      </w:r>
      <w:r w:rsidRPr="007639B3">
        <w:rPr>
          <w:rFonts w:ascii="Arial" w:hAnsi="Arial" w:cs="Arial"/>
          <w:color w:val="000000" w:themeColor="text1"/>
          <w:vertAlign w:val="superscript"/>
        </w:rPr>
        <w:t>®</w:t>
      </w:r>
      <w:r>
        <w:rPr>
          <w:rFonts w:ascii="Arial" w:hAnsi="Arial" w:cs="Arial"/>
          <w:color w:val="000000" w:themeColor="text1"/>
        </w:rPr>
        <w:t xml:space="preserve">KUBUS,S.A.) a una concentración de </w:t>
      </w:r>
      <w:r w:rsidRPr="00601548">
        <w:rPr>
          <w:rFonts w:ascii="Arial" w:hAnsi="Arial" w:cs="Arial"/>
          <w:color w:val="000000" w:themeColor="text1"/>
        </w:rPr>
        <w:t>35x10</w:t>
      </w:r>
      <w:r w:rsidRPr="00601548">
        <w:rPr>
          <w:rFonts w:ascii="Arial" w:hAnsi="Arial" w:cs="Arial"/>
          <w:color w:val="000000" w:themeColor="text1"/>
          <w:vertAlign w:val="superscript"/>
        </w:rPr>
        <w:t>6</w:t>
      </w:r>
      <w:r w:rsidRPr="00601548">
        <w:rPr>
          <w:rFonts w:ascii="Arial" w:hAnsi="Arial" w:cs="Arial"/>
          <w:color w:val="000000" w:themeColor="text1"/>
        </w:rPr>
        <w:t xml:space="preserve"> células/ml</w:t>
      </w:r>
      <w:r>
        <w:rPr>
          <w:rFonts w:ascii="Arial" w:hAnsi="Arial" w:cs="Arial"/>
          <w:color w:val="000000" w:themeColor="text1"/>
        </w:rPr>
        <w:t xml:space="preserve">, la incubación fue durante 3 horas a 37ºC y cada evaluación se realizó durante cada hora. </w:t>
      </w:r>
      <w:r w:rsidRPr="00601548">
        <w:rPr>
          <w:rFonts w:ascii="Arial" w:hAnsi="Arial" w:cs="Arial"/>
          <w:color w:val="000000" w:themeColor="text1"/>
        </w:rPr>
        <w:t xml:space="preserve">Para la evaluación </w:t>
      </w:r>
      <w:r>
        <w:rPr>
          <w:rFonts w:ascii="Arial" w:hAnsi="Arial" w:cs="Arial"/>
          <w:color w:val="000000" w:themeColor="text1"/>
        </w:rPr>
        <w:t>de las NPPs-Q</w:t>
      </w:r>
      <w:r w:rsidRPr="00601548">
        <w:rPr>
          <w:rFonts w:ascii="Arial" w:hAnsi="Arial" w:cs="Arial"/>
          <w:color w:val="000000" w:themeColor="text1"/>
        </w:rPr>
        <w:t xml:space="preserve"> se utilizar</w:t>
      </w:r>
      <w:r>
        <w:rPr>
          <w:rFonts w:ascii="Arial" w:hAnsi="Arial" w:cs="Arial"/>
          <w:color w:val="000000" w:themeColor="text1"/>
        </w:rPr>
        <w:t>o</w:t>
      </w:r>
      <w:r w:rsidRPr="00601548">
        <w:rPr>
          <w:rFonts w:ascii="Arial" w:hAnsi="Arial" w:cs="Arial"/>
          <w:color w:val="000000" w:themeColor="text1"/>
        </w:rPr>
        <w:t>n diferentes concentraciones</w:t>
      </w:r>
      <w:r>
        <w:rPr>
          <w:rFonts w:ascii="Arial" w:hAnsi="Arial" w:cs="Arial"/>
          <w:color w:val="000000" w:themeColor="text1"/>
        </w:rPr>
        <w:t xml:space="preserve"> </w:t>
      </w:r>
      <w:r w:rsidRPr="00601548">
        <w:rPr>
          <w:rFonts w:ascii="Arial" w:hAnsi="Arial" w:cs="Arial"/>
          <w:color w:val="000000" w:themeColor="text1"/>
        </w:rPr>
        <w:t xml:space="preserve">(40, 50, 100, y 150 </w:t>
      </w:r>
      <m:oMath>
        <m:r>
          <w:rPr>
            <w:rFonts w:ascii="Cambria Math" w:hAnsi="Cambria Math" w:cs="Arial"/>
            <w:color w:val="000000" w:themeColor="text1"/>
          </w:rPr>
          <m:t>μl /ml</m:t>
        </m:r>
      </m:oMath>
      <w:r w:rsidRPr="00601548">
        <w:rPr>
          <w:rFonts w:ascii="Arial" w:hAnsi="Arial" w:cs="Arial"/>
          <w:color w:val="000000" w:themeColor="text1"/>
        </w:rPr>
        <w:t>) para cada tipo de nanopartícula</w:t>
      </w:r>
      <w:r>
        <w:rPr>
          <w:rFonts w:ascii="Arial" w:hAnsi="Arial" w:cs="Arial"/>
          <w:color w:val="000000" w:themeColor="text1"/>
        </w:rPr>
        <w:t xml:space="preserve">. Se consideraron cuatro tiempos de evaluación </w:t>
      </w:r>
      <w:r w:rsidRPr="00F34525">
        <w:rPr>
          <w:rFonts w:ascii="Arial" w:hAnsi="Arial" w:cs="Arial"/>
          <w:color w:val="000000" w:themeColor="text1"/>
        </w:rPr>
        <w:t>durante la incubación, tiempo cero (T0) antes de agregarles las NPPs-Q, una hora de</w:t>
      </w:r>
      <w:r>
        <w:rPr>
          <w:rFonts w:ascii="Arial" w:hAnsi="Arial" w:cs="Arial"/>
          <w:color w:val="000000" w:themeColor="text1"/>
        </w:rPr>
        <w:t xml:space="preserve"> exposición </w:t>
      </w:r>
      <w:r w:rsidRPr="00F34525">
        <w:rPr>
          <w:rFonts w:ascii="Arial" w:hAnsi="Arial" w:cs="Arial"/>
          <w:color w:val="000000" w:themeColor="text1"/>
        </w:rPr>
        <w:t xml:space="preserve">con las NPPs-Q (T1), dos horas de exposición (T2) y finalmente a las tres horas (T3) de </w:t>
      </w:r>
      <w:r>
        <w:rPr>
          <w:rFonts w:ascii="Arial" w:hAnsi="Arial" w:cs="Arial"/>
          <w:color w:val="000000" w:themeColor="text1"/>
        </w:rPr>
        <w:t xml:space="preserve">exposición durante la </w:t>
      </w:r>
      <w:r w:rsidRPr="00F34525">
        <w:rPr>
          <w:rFonts w:ascii="Arial" w:hAnsi="Arial" w:cs="Arial"/>
          <w:color w:val="000000" w:themeColor="text1"/>
        </w:rPr>
        <w:t xml:space="preserve">incubación. </w:t>
      </w:r>
    </w:p>
    <w:p w:rsidR="003F0296" w:rsidRPr="00F34525" w:rsidRDefault="003F0296" w:rsidP="003F0296">
      <w:pPr>
        <w:jc w:val="both"/>
        <w:rPr>
          <w:rFonts w:ascii="Arial" w:hAnsi="Arial" w:cs="Arial"/>
          <w:color w:val="000000" w:themeColor="text1"/>
        </w:rPr>
      </w:pPr>
    </w:p>
    <w:p w:rsidR="003F0296" w:rsidRPr="00F34525" w:rsidRDefault="003F0296" w:rsidP="003F0296">
      <w:pPr>
        <w:ind w:firstLine="567"/>
        <w:jc w:val="both"/>
        <w:rPr>
          <w:rFonts w:ascii="Arial" w:hAnsi="Arial" w:cs="Arial"/>
          <w:color w:val="000000" w:themeColor="text1"/>
        </w:rPr>
      </w:pPr>
      <w:r w:rsidRPr="00F34525">
        <w:rPr>
          <w:rFonts w:ascii="Arial" w:hAnsi="Arial" w:cs="Arial"/>
          <w:i/>
          <w:color w:val="000000" w:themeColor="text1"/>
        </w:rPr>
        <w:t>3.5 Evaluación de las muestras</w:t>
      </w:r>
      <w:r w:rsidRPr="00F34525">
        <w:rPr>
          <w:rFonts w:ascii="Arial" w:hAnsi="Arial" w:cs="Arial"/>
          <w:color w:val="000000" w:themeColor="text1"/>
        </w:rPr>
        <w:t>: Durante cada uno de los tiempos de incubación se tomaron tres alícuotas de 10</w:t>
      </w:r>
      <m:oMath>
        <m:r>
          <w:rPr>
            <w:rFonts w:ascii="Cambria Math" w:hAnsi="Cambria Math" w:cs="Arial"/>
            <w:color w:val="000000" w:themeColor="text1"/>
          </w:rPr>
          <m:t>μl</m:t>
        </m:r>
      </m:oMath>
      <w:r w:rsidRPr="00F34525">
        <w:rPr>
          <w:rFonts w:ascii="Arial" w:hAnsi="Arial" w:cs="Arial"/>
          <w:color w:val="000000" w:themeColor="text1"/>
        </w:rPr>
        <w:t xml:space="preserve"> para evaluar las siguientes características: integridad de la membrana con la tinción de eosina-nigrosina, integridad del acrosoma con la tinción azul brillante de Coomassie</w:t>
      </w:r>
      <w:r w:rsidRPr="00F34525">
        <w:rPr>
          <w:rFonts w:ascii="Arial" w:hAnsi="Arial" w:cs="Arial"/>
          <w:color w:val="000000" w:themeColor="text1"/>
          <w:vertAlign w:val="superscript"/>
        </w:rPr>
        <w:t>[11]</w:t>
      </w:r>
      <w:r w:rsidRPr="00F34525">
        <w:rPr>
          <w:rFonts w:ascii="Arial" w:hAnsi="Arial" w:cs="Arial"/>
          <w:color w:val="000000" w:themeColor="text1"/>
        </w:rPr>
        <w:t xml:space="preserve"> y el porcentaje de motilidad progresiva, con una valoración subjetiva realizada por el mismo indivíduo utilizando un microscopio óptico invertido de la marca Nikon, Type 120 y con Thermo plate Tokai Hit Nikon Inc regulado a 37</w:t>
      </w:r>
      <w:r w:rsidRPr="00F34525">
        <w:rPr>
          <w:rFonts w:ascii="Arial" w:hAnsi="Arial" w:cs="Arial"/>
          <w:color w:val="000000" w:themeColor="text1"/>
          <w:vertAlign w:val="superscript"/>
        </w:rPr>
        <w:t>o</w:t>
      </w:r>
      <w:r w:rsidRPr="00F34525">
        <w:rPr>
          <w:rFonts w:ascii="Arial" w:hAnsi="Arial" w:cs="Arial"/>
          <w:color w:val="000000" w:themeColor="text1"/>
        </w:rPr>
        <w:t>C. En cada medición se contó un total de 100 células.</w:t>
      </w:r>
    </w:p>
    <w:p w:rsidR="003F0296" w:rsidRPr="00F34525" w:rsidRDefault="003F0296" w:rsidP="003F0296">
      <w:pPr>
        <w:jc w:val="both"/>
        <w:rPr>
          <w:rFonts w:ascii="Arial" w:hAnsi="Arial" w:cs="Arial"/>
          <w:color w:val="000000" w:themeColor="text1"/>
        </w:rPr>
      </w:pPr>
    </w:p>
    <w:p w:rsidR="003F0296" w:rsidRPr="009431AB" w:rsidRDefault="003F0296" w:rsidP="003F0296">
      <w:pPr>
        <w:ind w:firstLine="567"/>
        <w:jc w:val="both"/>
        <w:rPr>
          <w:rFonts w:ascii="Arial" w:hAnsi="Arial" w:cs="Arial"/>
        </w:rPr>
      </w:pPr>
      <w:r w:rsidRPr="00F34525">
        <w:rPr>
          <w:rFonts w:ascii="Arial" w:hAnsi="Arial" w:cs="Arial"/>
          <w:i/>
          <w:color w:val="000000" w:themeColor="text1"/>
        </w:rPr>
        <w:t xml:space="preserve">3.6 Análisis estadístico: </w:t>
      </w:r>
      <w:r w:rsidRPr="009431AB">
        <w:rPr>
          <w:rFonts w:ascii="Arial" w:hAnsi="Arial" w:cs="Arial"/>
        </w:rPr>
        <w:t xml:space="preserve">Se realizó un análisis de varianza para medidas repetidas con un diseño factorial de 3x2x5x4 con un mínimo de tres réplicas, de forma complementaria se aplicó el test de esfericidad de Mauchly´s para verificar si las varianzas del factor tiempo eran </w:t>
      </w:r>
      <w:r>
        <w:rPr>
          <w:rFonts w:ascii="Arial" w:hAnsi="Arial" w:cs="Arial"/>
        </w:rPr>
        <w:t>homogéneas</w:t>
      </w:r>
      <w:r w:rsidRPr="009431AB">
        <w:rPr>
          <w:rFonts w:ascii="Arial" w:hAnsi="Arial" w:cs="Arial"/>
        </w:rPr>
        <w:t>. El análisis se realizó con el programa R-Studio versión 3.6.3</w:t>
      </w:r>
      <w:r>
        <w:rPr>
          <w:rFonts w:ascii="Arial" w:hAnsi="Arial" w:cs="Arial"/>
        </w:rPr>
        <w:t xml:space="preserve"> (</w:t>
      </w:r>
      <w:r w:rsidRPr="009431AB">
        <w:rPr>
          <w:rFonts w:ascii="Arial" w:hAnsi="Arial" w:cs="Arial"/>
        </w:rPr>
        <w:t xml:space="preserve">ver </w:t>
      </w:r>
      <w:r w:rsidRPr="009431AB">
        <w:rPr>
          <w:rFonts w:ascii="Arial" w:hAnsi="Arial" w:cs="Arial"/>
          <w:b/>
        </w:rPr>
        <w:t>tabla 1</w:t>
      </w:r>
      <w:r>
        <w:rPr>
          <w:rFonts w:ascii="Arial" w:hAnsi="Arial" w:cs="Arial"/>
        </w:rPr>
        <w:t>)</w:t>
      </w:r>
      <w:r w:rsidRPr="009431AB">
        <w:rPr>
          <w:rFonts w:ascii="Arial" w:hAnsi="Arial" w:cs="Arial"/>
        </w:rPr>
        <w:t>.</w:t>
      </w:r>
    </w:p>
    <w:p w:rsidR="003F0296" w:rsidRDefault="003F0296" w:rsidP="003F0296">
      <w:pPr>
        <w:jc w:val="both"/>
        <w:rPr>
          <w:rFonts w:ascii="Arial" w:hAnsi="Arial" w:cs="Arial"/>
          <w:color w:val="000000" w:themeColor="text1"/>
        </w:rPr>
      </w:pPr>
    </w:p>
    <w:p w:rsidR="003F0296" w:rsidRDefault="003F0296" w:rsidP="003F0296">
      <w:pPr>
        <w:jc w:val="center"/>
        <w:rPr>
          <w:rFonts w:ascii="Arial" w:hAnsi="Arial" w:cs="Arial"/>
          <w:bCs/>
          <w:i/>
          <w:sz w:val="20"/>
          <w:szCs w:val="20"/>
        </w:rPr>
      </w:pPr>
      <w:r w:rsidRPr="00E41382">
        <w:rPr>
          <w:rFonts w:ascii="Arial" w:hAnsi="Arial" w:cs="Arial"/>
          <w:b/>
          <w:bCs/>
          <w:i/>
          <w:sz w:val="20"/>
          <w:szCs w:val="20"/>
        </w:rPr>
        <w:t>Tabla 1</w:t>
      </w:r>
      <w:r>
        <w:rPr>
          <w:rFonts w:ascii="Arial" w:hAnsi="Arial" w:cs="Arial"/>
          <w:b/>
          <w:bCs/>
          <w:i/>
          <w:sz w:val="20"/>
          <w:szCs w:val="20"/>
        </w:rPr>
        <w:t>.</w:t>
      </w:r>
      <w:r w:rsidRPr="00E41382">
        <w:rPr>
          <w:rFonts w:ascii="Arial" w:hAnsi="Arial" w:cs="Arial"/>
          <w:bCs/>
          <w:i/>
          <w:sz w:val="20"/>
          <w:szCs w:val="20"/>
        </w:rPr>
        <w:t xml:space="preserve"> Factores y niveles utilizados en el diseño factorial de 3X2X5X4</w:t>
      </w:r>
    </w:p>
    <w:p w:rsidR="003F0296" w:rsidRPr="00E41382" w:rsidRDefault="003F0296" w:rsidP="003F0296">
      <w:pPr>
        <w:jc w:val="center"/>
        <w:rPr>
          <w:rFonts w:ascii="Arial" w:hAnsi="Arial" w:cs="Arial"/>
          <w:i/>
          <w:color w:val="000000" w:themeColor="text1"/>
        </w:rPr>
      </w:pPr>
    </w:p>
    <w:tbl>
      <w:tblPr>
        <w:tblStyle w:val="Tablaconcuadrcula"/>
        <w:tblW w:w="7916" w:type="dxa"/>
        <w:jc w:val="center"/>
        <w:tblLook w:val="04A0" w:firstRow="1" w:lastRow="0" w:firstColumn="1" w:lastColumn="0" w:noHBand="0" w:noVBand="1"/>
      </w:tblPr>
      <w:tblGrid>
        <w:gridCol w:w="2803"/>
        <w:gridCol w:w="5113"/>
      </w:tblGrid>
      <w:tr w:rsidR="003F0296" w:rsidRPr="006B021F" w:rsidTr="007F2707">
        <w:trPr>
          <w:jc w:val="center"/>
        </w:trPr>
        <w:tc>
          <w:tcPr>
            <w:tcW w:w="2803" w:type="dxa"/>
          </w:tcPr>
          <w:p w:rsidR="003F0296" w:rsidRPr="00E41382" w:rsidRDefault="003F0296" w:rsidP="007F2707">
            <w:pPr>
              <w:jc w:val="center"/>
              <w:rPr>
                <w:rFonts w:ascii="Arial" w:hAnsi="Arial" w:cs="Arial"/>
                <w:b/>
                <w:bCs/>
              </w:rPr>
            </w:pPr>
            <w:r w:rsidRPr="00E41382">
              <w:rPr>
                <w:rFonts w:ascii="Arial" w:hAnsi="Arial" w:cs="Arial"/>
                <w:b/>
                <w:bCs/>
              </w:rPr>
              <w:t>FACTORES</w:t>
            </w:r>
          </w:p>
        </w:tc>
        <w:tc>
          <w:tcPr>
            <w:tcW w:w="5113" w:type="dxa"/>
          </w:tcPr>
          <w:p w:rsidR="003F0296" w:rsidRPr="00E41382" w:rsidRDefault="003F0296" w:rsidP="007F2707">
            <w:pPr>
              <w:jc w:val="center"/>
              <w:rPr>
                <w:rFonts w:ascii="Arial" w:hAnsi="Arial" w:cs="Arial"/>
                <w:b/>
                <w:bCs/>
              </w:rPr>
            </w:pPr>
            <w:r w:rsidRPr="00E41382">
              <w:rPr>
                <w:rFonts w:ascii="Arial" w:hAnsi="Arial" w:cs="Arial"/>
                <w:b/>
                <w:bCs/>
              </w:rPr>
              <w:t>NIVELES</w:t>
            </w:r>
          </w:p>
        </w:tc>
      </w:tr>
      <w:tr w:rsidR="003F0296" w:rsidRPr="006B021F" w:rsidTr="007F2707">
        <w:trPr>
          <w:jc w:val="center"/>
        </w:trPr>
        <w:tc>
          <w:tcPr>
            <w:tcW w:w="2803" w:type="dxa"/>
            <w:hideMark/>
          </w:tcPr>
          <w:p w:rsidR="003F0296" w:rsidRPr="00E41382" w:rsidRDefault="003F0296" w:rsidP="007F2707">
            <w:pPr>
              <w:jc w:val="both"/>
              <w:rPr>
                <w:rFonts w:ascii="Arial" w:hAnsi="Arial" w:cs="Arial"/>
              </w:rPr>
            </w:pPr>
            <w:r w:rsidRPr="00E41382">
              <w:rPr>
                <w:rFonts w:ascii="Arial" w:hAnsi="Arial" w:cs="Arial"/>
                <w:b/>
                <w:bCs/>
              </w:rPr>
              <w:t>Nanopartícula:</w:t>
            </w:r>
          </w:p>
        </w:tc>
        <w:tc>
          <w:tcPr>
            <w:tcW w:w="5113" w:type="dxa"/>
            <w:hideMark/>
          </w:tcPr>
          <w:p w:rsidR="003F0296" w:rsidRPr="00E41382" w:rsidRDefault="003F0296" w:rsidP="007F2707">
            <w:pPr>
              <w:jc w:val="both"/>
              <w:rPr>
                <w:rFonts w:ascii="Arial" w:hAnsi="Arial" w:cs="Arial"/>
              </w:rPr>
            </w:pPr>
            <w:r w:rsidRPr="00E41382">
              <w:rPr>
                <w:rFonts w:ascii="Arial" w:hAnsi="Arial" w:cs="Arial"/>
              </w:rPr>
              <w:t>NPP-Q-SIN-FIL, NPP-Q-FIL y NPP-Q-Ce-FIL</w:t>
            </w:r>
          </w:p>
        </w:tc>
      </w:tr>
      <w:tr w:rsidR="003F0296" w:rsidRPr="006B021F" w:rsidTr="007F2707">
        <w:trPr>
          <w:jc w:val="center"/>
        </w:trPr>
        <w:tc>
          <w:tcPr>
            <w:tcW w:w="2803" w:type="dxa"/>
            <w:hideMark/>
          </w:tcPr>
          <w:p w:rsidR="003F0296" w:rsidRPr="00E41382" w:rsidRDefault="003F0296" w:rsidP="007F2707">
            <w:pPr>
              <w:jc w:val="both"/>
              <w:rPr>
                <w:rFonts w:ascii="Arial" w:hAnsi="Arial" w:cs="Arial"/>
                <w:b/>
              </w:rPr>
            </w:pPr>
            <w:r w:rsidRPr="00E41382">
              <w:rPr>
                <w:rFonts w:ascii="Arial" w:hAnsi="Arial" w:cs="Arial"/>
                <w:b/>
              </w:rPr>
              <w:t>Medio de incubación</w:t>
            </w:r>
            <w:r w:rsidRPr="00E41382">
              <w:rPr>
                <w:rFonts w:ascii="Arial" w:hAnsi="Arial" w:cs="Arial"/>
                <w:b/>
                <w:bCs/>
              </w:rPr>
              <w:t>:</w:t>
            </w:r>
          </w:p>
        </w:tc>
        <w:tc>
          <w:tcPr>
            <w:tcW w:w="5113" w:type="dxa"/>
            <w:hideMark/>
          </w:tcPr>
          <w:p w:rsidR="003F0296" w:rsidRPr="00E41382" w:rsidRDefault="003F0296" w:rsidP="007F2707">
            <w:pPr>
              <w:rPr>
                <w:rFonts w:ascii="Arial" w:hAnsi="Arial" w:cs="Arial"/>
              </w:rPr>
            </w:pPr>
            <w:r w:rsidRPr="00E41382">
              <w:rPr>
                <w:rFonts w:ascii="Arial" w:hAnsi="Arial" w:cs="Arial"/>
              </w:rPr>
              <w:t>PBS y BTS</w:t>
            </w:r>
          </w:p>
        </w:tc>
      </w:tr>
      <w:tr w:rsidR="003F0296" w:rsidRPr="006B021F" w:rsidTr="007F2707">
        <w:trPr>
          <w:jc w:val="center"/>
        </w:trPr>
        <w:tc>
          <w:tcPr>
            <w:tcW w:w="2803" w:type="dxa"/>
          </w:tcPr>
          <w:p w:rsidR="003F0296" w:rsidRPr="00E41382" w:rsidRDefault="003F0296" w:rsidP="007F2707">
            <w:pPr>
              <w:jc w:val="both"/>
              <w:rPr>
                <w:rFonts w:ascii="Arial" w:hAnsi="Arial" w:cs="Arial"/>
              </w:rPr>
            </w:pPr>
            <w:r w:rsidRPr="00E41382">
              <w:rPr>
                <w:rFonts w:ascii="Arial" w:hAnsi="Arial" w:cs="Arial"/>
                <w:b/>
                <w:bCs/>
              </w:rPr>
              <w:t>Concentración:</w:t>
            </w:r>
          </w:p>
        </w:tc>
        <w:tc>
          <w:tcPr>
            <w:tcW w:w="5113" w:type="dxa"/>
          </w:tcPr>
          <w:p w:rsidR="003F0296" w:rsidRPr="00E41382" w:rsidRDefault="003F0296" w:rsidP="007F2707">
            <w:pPr>
              <w:jc w:val="both"/>
              <w:rPr>
                <w:rFonts w:ascii="Arial" w:hAnsi="Arial" w:cs="Arial"/>
              </w:rPr>
            </w:pPr>
            <w:r w:rsidRPr="00E41382">
              <w:rPr>
                <w:rFonts w:ascii="Arial" w:hAnsi="Arial" w:cs="Arial"/>
              </w:rPr>
              <w:t>0, 40, 50, 100 y 150</w:t>
            </w:r>
            <m:oMath>
              <m:r>
                <w:rPr>
                  <w:rFonts w:ascii="Cambria Math" w:hAnsi="Cambria Math" w:cs="Arial"/>
                </w:rPr>
                <m:t>μl</m:t>
              </m:r>
              <m:r>
                <m:rPr>
                  <m:sty m:val="p"/>
                </m:rPr>
                <w:rPr>
                  <w:rFonts w:ascii="Cambria Math" w:hAnsi="Cambria Math" w:cs="Arial"/>
                </w:rPr>
                <m:t> /</m:t>
              </m:r>
              <m:r>
                <w:rPr>
                  <w:rFonts w:ascii="Cambria Math" w:hAnsi="Cambria Math" w:cs="Arial"/>
                </w:rPr>
                <m:t>ml</m:t>
              </m:r>
            </m:oMath>
          </w:p>
        </w:tc>
      </w:tr>
      <w:tr w:rsidR="003F0296" w:rsidRPr="006B021F" w:rsidTr="007F2707">
        <w:trPr>
          <w:jc w:val="center"/>
        </w:trPr>
        <w:tc>
          <w:tcPr>
            <w:tcW w:w="2803" w:type="dxa"/>
          </w:tcPr>
          <w:p w:rsidR="003F0296" w:rsidRPr="00E41382" w:rsidRDefault="003F0296" w:rsidP="007F2707">
            <w:pPr>
              <w:jc w:val="both"/>
              <w:rPr>
                <w:rFonts w:ascii="Arial" w:hAnsi="Arial" w:cs="Arial"/>
              </w:rPr>
            </w:pPr>
            <w:r w:rsidRPr="00E41382">
              <w:rPr>
                <w:rFonts w:ascii="Arial" w:hAnsi="Arial" w:cs="Arial"/>
                <w:b/>
                <w:bCs/>
              </w:rPr>
              <w:t>Tiempo:</w:t>
            </w:r>
          </w:p>
        </w:tc>
        <w:tc>
          <w:tcPr>
            <w:tcW w:w="5113" w:type="dxa"/>
          </w:tcPr>
          <w:p w:rsidR="003F0296" w:rsidRPr="00E41382" w:rsidRDefault="003F0296" w:rsidP="007F2707">
            <w:pPr>
              <w:jc w:val="both"/>
              <w:rPr>
                <w:rFonts w:ascii="Arial" w:hAnsi="Arial" w:cs="Arial"/>
              </w:rPr>
            </w:pPr>
            <w:r w:rsidRPr="00E41382">
              <w:rPr>
                <w:rFonts w:ascii="Arial" w:hAnsi="Arial" w:cs="Arial"/>
              </w:rPr>
              <w:t>T0, T1, T2 y T3</w:t>
            </w:r>
          </w:p>
        </w:tc>
      </w:tr>
    </w:tbl>
    <w:p w:rsidR="003F0296" w:rsidRPr="00601548" w:rsidRDefault="003F0296" w:rsidP="003F0296">
      <w:pPr>
        <w:rPr>
          <w:rFonts w:ascii="Arial" w:hAnsi="Arial" w:cs="Arial"/>
          <w:color w:val="000000" w:themeColor="text1"/>
        </w:rPr>
      </w:pPr>
    </w:p>
    <w:p w:rsidR="003F0296" w:rsidRPr="00F003B6" w:rsidRDefault="003F0296" w:rsidP="00CC49EB">
      <w:pPr>
        <w:pStyle w:val="1Titulo"/>
        <w:numPr>
          <w:ilvl w:val="0"/>
          <w:numId w:val="0"/>
        </w:numPr>
        <w:ind w:left="357"/>
      </w:pPr>
      <w:bookmarkStart w:id="359" w:name="_Toc50031406"/>
      <w:r w:rsidRPr="00F3387F">
        <w:t>4.- Resultados y discusión</w:t>
      </w:r>
      <w:bookmarkEnd w:id="359"/>
    </w:p>
    <w:p w:rsidR="003F0296" w:rsidRDefault="003F0296" w:rsidP="003F0296">
      <w:pPr>
        <w:jc w:val="both"/>
        <w:rPr>
          <w:rFonts w:ascii="Arial" w:hAnsi="Arial" w:cs="Arial"/>
          <w:color w:val="000000" w:themeColor="text1"/>
        </w:rPr>
      </w:pPr>
    </w:p>
    <w:p w:rsidR="003F0296" w:rsidRDefault="003F0296" w:rsidP="003F0296">
      <w:pPr>
        <w:ind w:firstLine="567"/>
        <w:jc w:val="both"/>
        <w:rPr>
          <w:rFonts w:ascii="Arial" w:hAnsi="Arial" w:cs="Arial"/>
          <w:color w:val="000000" w:themeColor="text1"/>
        </w:rPr>
      </w:pPr>
      <w:r>
        <w:rPr>
          <w:rFonts w:ascii="Arial" w:hAnsi="Arial" w:cs="Arial"/>
          <w:color w:val="000000" w:themeColor="text1"/>
        </w:rPr>
        <w:t xml:space="preserve">El análisis por DLS mostró diferencias en el promedio y porcentaje de los tamaños obtenidos para cada tipo de NPPs-Q (ver </w:t>
      </w:r>
      <w:r w:rsidRPr="009431AB">
        <w:rPr>
          <w:rFonts w:ascii="Arial" w:hAnsi="Arial" w:cs="Arial"/>
          <w:b/>
          <w:color w:val="000000" w:themeColor="text1"/>
        </w:rPr>
        <w:t>tabla 2</w:t>
      </w:r>
      <w:r>
        <w:rPr>
          <w:rFonts w:ascii="Arial" w:hAnsi="Arial" w:cs="Arial"/>
          <w:b/>
          <w:color w:val="000000" w:themeColor="text1"/>
        </w:rPr>
        <w:t>)</w:t>
      </w:r>
      <w:r>
        <w:rPr>
          <w:rFonts w:ascii="Arial" w:hAnsi="Arial" w:cs="Arial"/>
          <w:color w:val="000000" w:themeColor="text1"/>
        </w:rPr>
        <w:t>, en color gris se resaltan los tamaños con mayor porcentaje, siendo de menor a mayor las NPs Ce-FIL(94.3% con 8.4nm), SIN-FIL (72.1% con 14.3nm) y las NPs FIL (86.9% con un rango de 205-349nm). Ésta variación en el tamaño efectivamente puede encontrarse desde decenas a cientos de nanómetros con la técnica de gelificación iónico con TPP</w:t>
      </w:r>
      <w:r w:rsidRPr="00FA328D">
        <w:rPr>
          <w:rFonts w:ascii="Arial" w:hAnsi="Arial" w:cs="Arial"/>
          <w:color w:val="000000" w:themeColor="text1"/>
          <w:vertAlign w:val="superscript"/>
        </w:rPr>
        <w:t>[1</w:t>
      </w:r>
      <w:r>
        <w:rPr>
          <w:rFonts w:ascii="Arial" w:hAnsi="Arial" w:cs="Arial"/>
          <w:color w:val="000000" w:themeColor="text1"/>
          <w:vertAlign w:val="superscript"/>
        </w:rPr>
        <w:t>3</w:t>
      </w:r>
      <w:r w:rsidRPr="00FA328D">
        <w:rPr>
          <w:rFonts w:ascii="Arial" w:hAnsi="Arial" w:cs="Arial"/>
          <w:color w:val="000000" w:themeColor="text1"/>
          <w:vertAlign w:val="superscript"/>
        </w:rPr>
        <w:t>]</w:t>
      </w:r>
      <w:r>
        <w:rPr>
          <w:rFonts w:ascii="Arial" w:hAnsi="Arial" w:cs="Arial"/>
          <w:color w:val="000000" w:themeColor="text1"/>
        </w:rPr>
        <w:t>.</w:t>
      </w:r>
    </w:p>
    <w:p w:rsidR="003F0296" w:rsidRDefault="003F0296" w:rsidP="003F0296">
      <w:pPr>
        <w:jc w:val="both"/>
        <w:rPr>
          <w:rFonts w:ascii="Arial" w:hAnsi="Arial" w:cs="Arial"/>
          <w:color w:val="000000" w:themeColor="text1"/>
        </w:rPr>
      </w:pPr>
    </w:p>
    <w:p w:rsidR="003F0296" w:rsidRPr="00DB0B33" w:rsidRDefault="003F0296" w:rsidP="003F0296">
      <w:pPr>
        <w:jc w:val="center"/>
        <w:rPr>
          <w:rFonts w:ascii="Arial" w:hAnsi="Arial" w:cs="Arial"/>
          <w:i/>
          <w:color w:val="000000" w:themeColor="text1"/>
          <w:sz w:val="20"/>
          <w:szCs w:val="20"/>
        </w:rPr>
      </w:pPr>
      <w:r w:rsidRPr="00DB0B33">
        <w:rPr>
          <w:rFonts w:ascii="Arial" w:hAnsi="Arial" w:cs="Arial"/>
          <w:b/>
          <w:i/>
          <w:color w:val="000000" w:themeColor="text1"/>
          <w:sz w:val="20"/>
          <w:szCs w:val="20"/>
        </w:rPr>
        <w:t>Tabla 2</w:t>
      </w:r>
      <w:r>
        <w:rPr>
          <w:rFonts w:ascii="Arial" w:hAnsi="Arial" w:cs="Arial"/>
          <w:b/>
          <w:i/>
          <w:color w:val="000000" w:themeColor="text1"/>
          <w:sz w:val="20"/>
          <w:szCs w:val="20"/>
        </w:rPr>
        <w:t>.</w:t>
      </w:r>
      <w:r w:rsidRPr="00DB0B33">
        <w:rPr>
          <w:rFonts w:ascii="Arial" w:hAnsi="Arial" w:cs="Arial"/>
          <w:i/>
          <w:color w:val="000000" w:themeColor="text1"/>
          <w:sz w:val="20"/>
          <w:szCs w:val="20"/>
        </w:rPr>
        <w:t xml:space="preserve"> Tamaños de las NPs obtenidos con DLS</w:t>
      </w:r>
    </w:p>
    <w:p w:rsidR="003F0296" w:rsidRDefault="003F0296" w:rsidP="003F0296">
      <w:pPr>
        <w:jc w:val="center"/>
        <w:rPr>
          <w:rFonts w:ascii="Arial" w:hAnsi="Arial" w:cs="Arial"/>
          <w:color w:val="000000" w:themeColor="text1"/>
        </w:rPr>
      </w:pPr>
      <w:r>
        <w:rPr>
          <w:rFonts w:ascii="Arial" w:hAnsi="Arial" w:cs="Arial"/>
          <w:noProof/>
          <w:color w:val="000000" w:themeColor="text1"/>
          <w:lang w:val="en-US"/>
        </w:rPr>
        <w:drawing>
          <wp:inline distT="0" distB="0" distL="0" distR="0" wp14:anchorId="09CC7E8C" wp14:editId="051F7A1C">
            <wp:extent cx="4986396" cy="1133475"/>
            <wp:effectExtent l="0" t="0" r="5080" b="0"/>
            <wp:docPr id="2026623736" name="Imagen 202662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a de Pantalla 2020-06-16 a la(s) 11.53.06.png"/>
                    <pic:cNvPicPr/>
                  </pic:nvPicPr>
                  <pic:blipFill>
                    <a:blip r:embed="rId1242"/>
                    <a:stretch>
                      <a:fillRect/>
                    </a:stretch>
                  </pic:blipFill>
                  <pic:spPr>
                    <a:xfrm>
                      <a:off x="0" y="0"/>
                      <a:ext cx="5102291" cy="1159819"/>
                    </a:xfrm>
                    <a:prstGeom prst="rect">
                      <a:avLst/>
                    </a:prstGeom>
                  </pic:spPr>
                </pic:pic>
              </a:graphicData>
            </a:graphic>
          </wp:inline>
        </w:drawing>
      </w:r>
    </w:p>
    <w:p w:rsidR="003F0296" w:rsidRDefault="003F0296" w:rsidP="003F0296">
      <w:pPr>
        <w:ind w:firstLine="567"/>
        <w:jc w:val="both"/>
        <w:rPr>
          <w:rFonts w:ascii="Arial" w:hAnsi="Arial" w:cs="Arial"/>
          <w:color w:val="000000" w:themeColor="text1"/>
        </w:rPr>
      </w:pPr>
      <w:r>
        <w:rPr>
          <w:rFonts w:ascii="Arial" w:hAnsi="Arial" w:cs="Arial"/>
          <w:color w:val="000000" w:themeColor="text1"/>
        </w:rPr>
        <w:t xml:space="preserve">En la </w:t>
      </w:r>
      <w:r w:rsidRPr="009431AB">
        <w:rPr>
          <w:rFonts w:ascii="Arial" w:hAnsi="Arial" w:cs="Arial"/>
          <w:b/>
          <w:color w:val="000000" w:themeColor="text1"/>
        </w:rPr>
        <w:t>tabla 3</w:t>
      </w:r>
      <w:r>
        <w:rPr>
          <w:rFonts w:ascii="Arial" w:hAnsi="Arial" w:cs="Arial"/>
          <w:color w:val="000000" w:themeColor="text1"/>
        </w:rPr>
        <w:t xml:space="preserve"> se observa un resumen del análisis de varianza que muestra las diferencias significativas a una </w:t>
      </w:r>
      <w:r w:rsidRPr="00DA3B9E">
        <w:rPr>
          <w:rFonts w:ascii="Arial" w:hAnsi="Arial" w:cs="Arial"/>
          <w:i/>
          <w:color w:val="000000" w:themeColor="text1"/>
        </w:rPr>
        <w:t>p</w:t>
      </w:r>
      <w:r>
        <w:rPr>
          <w:rFonts w:ascii="Arial" w:hAnsi="Arial" w:cs="Arial"/>
          <w:i/>
          <w:color w:val="000000" w:themeColor="text1"/>
        </w:rPr>
        <w:t>&lt;0</w:t>
      </w:r>
      <w:r w:rsidRPr="00DA3B9E">
        <w:rPr>
          <w:rFonts w:ascii="Arial" w:hAnsi="Arial" w:cs="Arial"/>
          <w:i/>
          <w:color w:val="000000" w:themeColor="text1"/>
        </w:rPr>
        <w:t>.05</w:t>
      </w:r>
      <w:r>
        <w:rPr>
          <w:rFonts w:ascii="Arial" w:hAnsi="Arial" w:cs="Arial"/>
          <w:color w:val="000000" w:themeColor="text1"/>
        </w:rPr>
        <w:t xml:space="preserve"> para los diferentes factores y sus interacciones en cada una de las variables respuesta (Motilidad, Viabilidad e Integridad acrosomal). En general se puede observar que existe un efecto de la interacción de al menos la combinación de 3 factores para la motilidad y viabilidad (marcado en color gris), y para la integridad acrosomal se observa la interacción de dos factores y para un solo factor (marcados en color gris).</w:t>
      </w:r>
    </w:p>
    <w:p w:rsidR="003F0296" w:rsidRDefault="003F0296" w:rsidP="003F0296">
      <w:pPr>
        <w:jc w:val="both"/>
        <w:rPr>
          <w:rFonts w:ascii="Arial" w:hAnsi="Arial" w:cs="Arial"/>
          <w:color w:val="000000" w:themeColor="text1"/>
        </w:rPr>
      </w:pPr>
    </w:p>
    <w:p w:rsidR="003F0296" w:rsidRPr="00DB0B33" w:rsidRDefault="003F0296" w:rsidP="003F0296">
      <w:pPr>
        <w:jc w:val="center"/>
        <w:rPr>
          <w:rFonts w:ascii="Arial" w:hAnsi="Arial" w:cs="Arial"/>
          <w:i/>
          <w:color w:val="000000" w:themeColor="text1"/>
          <w:sz w:val="20"/>
          <w:szCs w:val="20"/>
        </w:rPr>
      </w:pPr>
      <w:r w:rsidRPr="00DB0B33">
        <w:rPr>
          <w:rFonts w:ascii="Arial" w:hAnsi="Arial" w:cs="Arial"/>
          <w:b/>
          <w:i/>
          <w:color w:val="000000" w:themeColor="text1"/>
          <w:sz w:val="20"/>
          <w:szCs w:val="20"/>
        </w:rPr>
        <w:t>Tabla 3</w:t>
      </w:r>
      <w:r>
        <w:rPr>
          <w:rFonts w:ascii="Arial" w:hAnsi="Arial" w:cs="Arial"/>
          <w:b/>
          <w:i/>
          <w:color w:val="000000" w:themeColor="text1"/>
          <w:sz w:val="20"/>
          <w:szCs w:val="20"/>
        </w:rPr>
        <w:t>.</w:t>
      </w:r>
      <w:r w:rsidRPr="00DB0B33">
        <w:rPr>
          <w:rFonts w:ascii="Arial" w:hAnsi="Arial" w:cs="Arial"/>
          <w:i/>
          <w:color w:val="000000" w:themeColor="text1"/>
          <w:sz w:val="20"/>
          <w:szCs w:val="20"/>
        </w:rPr>
        <w:t xml:space="preserve"> Resumen del análisis de varianza de los diferentes factores evaluados y sus combinaciones para cada una de las variables respuesta (Motilidad, Viabilidad e Integridad acrosomal). *Diferencias significativas p&lt;0.05</w:t>
      </w:r>
    </w:p>
    <w:p w:rsidR="003F0296" w:rsidRDefault="003F0296" w:rsidP="003F0296">
      <w:pPr>
        <w:jc w:val="center"/>
        <w:rPr>
          <w:rFonts w:ascii="Arial" w:hAnsi="Arial" w:cs="Arial"/>
          <w:color w:val="000000" w:themeColor="text1"/>
        </w:rPr>
      </w:pPr>
      <w:r>
        <w:rPr>
          <w:rFonts w:ascii="Arial" w:hAnsi="Arial" w:cs="Arial"/>
          <w:noProof/>
          <w:color w:val="000000" w:themeColor="text1"/>
          <w:lang w:val="en-US"/>
        </w:rPr>
        <w:lastRenderedPageBreak/>
        <w:drawing>
          <wp:inline distT="0" distB="0" distL="0" distR="0" wp14:anchorId="239C2EF5" wp14:editId="39C23BFB">
            <wp:extent cx="5257801" cy="4381500"/>
            <wp:effectExtent l="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Captura de Pantalla 2020-06-11 a la(s) 0.26.56.png"/>
                    <pic:cNvPicPr/>
                  </pic:nvPicPr>
                  <pic:blipFill>
                    <a:blip r:embed="rId1243">
                      <a:extLst>
                        <a:ext uri="{28A0092B-C50C-407E-A947-70E740481C1C}">
                          <a14:useLocalDpi xmlns:a14="http://schemas.microsoft.com/office/drawing/2010/main" val="0"/>
                        </a:ext>
                      </a:extLst>
                    </a:blip>
                    <a:stretch>
                      <a:fillRect/>
                    </a:stretch>
                  </pic:blipFill>
                  <pic:spPr>
                    <a:xfrm>
                      <a:off x="0" y="0"/>
                      <a:ext cx="5307446" cy="4422871"/>
                    </a:xfrm>
                    <a:prstGeom prst="rect">
                      <a:avLst/>
                    </a:prstGeom>
                  </pic:spPr>
                </pic:pic>
              </a:graphicData>
            </a:graphic>
          </wp:inline>
        </w:drawing>
      </w:r>
    </w:p>
    <w:p w:rsidR="003F0296" w:rsidRDefault="003F0296" w:rsidP="003F0296">
      <w:pPr>
        <w:jc w:val="both"/>
        <w:rPr>
          <w:rFonts w:ascii="Arial" w:hAnsi="Arial" w:cs="Arial"/>
          <w:color w:val="000000" w:themeColor="text1"/>
        </w:rPr>
      </w:pPr>
    </w:p>
    <w:p w:rsidR="003F0296" w:rsidRDefault="003F0296" w:rsidP="003F0296">
      <w:pPr>
        <w:ind w:firstLine="567"/>
        <w:jc w:val="both"/>
        <w:rPr>
          <w:rFonts w:ascii="Arial" w:hAnsi="Arial" w:cs="Arial"/>
          <w:color w:val="000000" w:themeColor="text1"/>
        </w:rPr>
      </w:pPr>
      <w:r>
        <w:rPr>
          <w:rFonts w:ascii="Arial" w:hAnsi="Arial" w:cs="Arial"/>
          <w:color w:val="000000" w:themeColor="text1"/>
        </w:rPr>
        <w:t xml:space="preserve">En la </w:t>
      </w:r>
      <w:r>
        <w:rPr>
          <w:rFonts w:ascii="Arial" w:hAnsi="Arial" w:cs="Arial"/>
          <w:b/>
          <w:color w:val="000000" w:themeColor="text1"/>
        </w:rPr>
        <w:t>figura 2</w:t>
      </w:r>
      <w:r>
        <w:rPr>
          <w:rFonts w:ascii="Arial" w:hAnsi="Arial" w:cs="Arial"/>
          <w:color w:val="000000" w:themeColor="text1"/>
        </w:rPr>
        <w:t>, se puede observar, como la motilidad de los espermatozoides (movimiento rectiléneo) disminuye durante la incubación de las células, ello asociado a la interacción de los tres factores de evaluación: concentración, medio de incubación y tiempo de incubación. Se observan las diferencias significativas (</w:t>
      </w:r>
      <w:r w:rsidRPr="00DA3B9E">
        <w:rPr>
          <w:rFonts w:ascii="Arial" w:hAnsi="Arial" w:cs="Arial"/>
          <w:i/>
          <w:color w:val="000000" w:themeColor="text1"/>
        </w:rPr>
        <w:t>p</w:t>
      </w:r>
      <w:r>
        <w:rPr>
          <w:rFonts w:ascii="Arial" w:hAnsi="Arial" w:cs="Arial"/>
          <w:i/>
          <w:color w:val="000000" w:themeColor="text1"/>
        </w:rPr>
        <w:t>&lt;0</w:t>
      </w:r>
      <w:r w:rsidRPr="00DA3B9E">
        <w:rPr>
          <w:rFonts w:ascii="Arial" w:hAnsi="Arial" w:cs="Arial"/>
          <w:i/>
          <w:color w:val="000000" w:themeColor="text1"/>
        </w:rPr>
        <w:t>.05</w:t>
      </w:r>
      <w:r>
        <w:rPr>
          <w:rFonts w:ascii="Arial" w:hAnsi="Arial" w:cs="Arial"/>
          <w:i/>
          <w:color w:val="000000" w:themeColor="text1"/>
        </w:rPr>
        <w:t>)</w:t>
      </w:r>
      <w:r>
        <w:rPr>
          <w:rFonts w:ascii="Arial" w:hAnsi="Arial" w:cs="Arial"/>
          <w:color w:val="000000" w:themeColor="text1"/>
        </w:rPr>
        <w:t xml:space="preserve"> entre cada una de las concentraciones, para cada medio de incubación con respecto al tiempo, donde podemos ver una disminución a partir de la hora de incubación, disminuyendo por debajo del 40% la motilidad de las células, en especial a partir de la concentración de 50</w:t>
      </w:r>
      <m:oMath>
        <m:r>
          <w:rPr>
            <w:rFonts w:ascii="Cambria Math" w:hAnsi="Cambria Math" w:cs="Arial"/>
            <w:color w:val="000000" w:themeColor="text1"/>
          </w:rPr>
          <m:t xml:space="preserve"> μl /ml</m:t>
        </m:r>
      </m:oMath>
      <w:r>
        <w:rPr>
          <w:rFonts w:ascii="Arial" w:hAnsi="Arial" w:cs="Arial"/>
          <w:color w:val="000000" w:themeColor="text1"/>
        </w:rPr>
        <w:t xml:space="preserve"> y se intensifica tal decremento en un medio con PBS. </w:t>
      </w:r>
    </w:p>
    <w:p w:rsidR="003F0296" w:rsidRDefault="003F0296" w:rsidP="003F0296">
      <w:pPr>
        <w:jc w:val="both"/>
        <w:rPr>
          <w:rFonts w:ascii="Arial" w:hAnsi="Arial" w:cs="Arial"/>
          <w:color w:val="000000" w:themeColor="text1"/>
        </w:rPr>
      </w:pPr>
    </w:p>
    <w:p w:rsidR="003F0296" w:rsidRDefault="003F0296" w:rsidP="003F0296">
      <w:pPr>
        <w:jc w:val="center"/>
        <w:rPr>
          <w:rFonts w:ascii="Arial" w:hAnsi="Arial" w:cs="Arial"/>
          <w:color w:val="000000" w:themeColor="text1"/>
        </w:rPr>
      </w:pPr>
      <w:r>
        <w:rPr>
          <w:rFonts w:ascii="Arial" w:hAnsi="Arial" w:cs="Arial"/>
          <w:noProof/>
          <w:color w:val="000000" w:themeColor="text1"/>
          <w:lang w:val="en-US"/>
        </w:rPr>
        <w:lastRenderedPageBreak/>
        <w:drawing>
          <wp:inline distT="0" distB="0" distL="0" distR="0" wp14:anchorId="6B83D0E4" wp14:editId="3AF1AA52">
            <wp:extent cx="5676900" cy="2684291"/>
            <wp:effectExtent l="0" t="0" r="0" b="0"/>
            <wp:docPr id="2026623737" name="Imagen 202662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a de Pantalla 2020-06-16 a la(s) 11.55.31.png"/>
                    <pic:cNvPicPr/>
                  </pic:nvPicPr>
                  <pic:blipFill>
                    <a:blip r:embed="rId1244"/>
                    <a:stretch>
                      <a:fillRect/>
                    </a:stretch>
                  </pic:blipFill>
                  <pic:spPr>
                    <a:xfrm>
                      <a:off x="0" y="0"/>
                      <a:ext cx="5697845" cy="2694195"/>
                    </a:xfrm>
                    <a:prstGeom prst="rect">
                      <a:avLst/>
                    </a:prstGeom>
                  </pic:spPr>
                </pic:pic>
              </a:graphicData>
            </a:graphic>
          </wp:inline>
        </w:drawing>
      </w:r>
    </w:p>
    <w:p w:rsidR="003F0296" w:rsidRPr="00FB03EE" w:rsidRDefault="003F0296" w:rsidP="003F0296">
      <w:pPr>
        <w:jc w:val="center"/>
        <w:rPr>
          <w:rFonts w:ascii="Arial" w:hAnsi="Arial" w:cs="Arial"/>
          <w:color w:val="000000" w:themeColor="text1"/>
        </w:rPr>
      </w:pPr>
      <w:r w:rsidRPr="009431AB">
        <w:rPr>
          <w:rFonts w:ascii="Arial" w:hAnsi="Arial" w:cs="Arial"/>
          <w:b/>
          <w:i/>
          <w:color w:val="000000" w:themeColor="text1"/>
          <w:sz w:val="20"/>
          <w:szCs w:val="20"/>
        </w:rPr>
        <w:t>Figura 2:</w:t>
      </w:r>
      <w:r w:rsidRPr="009431AB">
        <w:rPr>
          <w:rFonts w:ascii="Arial" w:hAnsi="Arial" w:cs="Arial"/>
          <w:i/>
          <w:color w:val="000000" w:themeColor="text1"/>
          <w:sz w:val="20"/>
          <w:szCs w:val="20"/>
        </w:rPr>
        <w:t xml:space="preserve"> Porcentaje de motilidad espermática para cada una de las concentraciones de la NPs en los dos medios de incubación durant</w:t>
      </w:r>
      <w:r>
        <w:rPr>
          <w:rFonts w:ascii="Arial" w:hAnsi="Arial" w:cs="Arial"/>
          <w:i/>
          <w:color w:val="000000" w:themeColor="text1"/>
          <w:sz w:val="20"/>
          <w:szCs w:val="20"/>
        </w:rPr>
        <w:t>e</w:t>
      </w:r>
      <w:r w:rsidRPr="009431AB">
        <w:rPr>
          <w:rFonts w:ascii="Arial" w:hAnsi="Arial" w:cs="Arial"/>
          <w:i/>
          <w:color w:val="000000" w:themeColor="text1"/>
          <w:sz w:val="20"/>
          <w:szCs w:val="20"/>
        </w:rPr>
        <w:t xml:space="preserve"> 0, 1, 2 y 3 horas de incubación</w:t>
      </w:r>
      <w:r>
        <w:rPr>
          <w:rFonts w:ascii="Arial" w:hAnsi="Arial" w:cs="Arial"/>
          <w:i/>
          <w:color w:val="000000" w:themeColor="text1"/>
          <w:sz w:val="20"/>
          <w:szCs w:val="20"/>
        </w:rPr>
        <w:t xml:space="preserve"> (T0, T1, T2 y T3)</w:t>
      </w:r>
      <w:r w:rsidRPr="009431AB">
        <w:rPr>
          <w:rFonts w:ascii="Arial" w:hAnsi="Arial" w:cs="Arial"/>
          <w:i/>
          <w:color w:val="000000" w:themeColor="text1"/>
          <w:sz w:val="20"/>
          <w:szCs w:val="20"/>
        </w:rPr>
        <w:t>. *Diferencias significativas p&lt;0.05</w:t>
      </w:r>
      <w:r>
        <w:rPr>
          <w:rFonts w:ascii="Arial" w:hAnsi="Arial" w:cs="Arial"/>
          <w:i/>
          <w:color w:val="000000" w:themeColor="text1"/>
          <w:sz w:val="20"/>
          <w:szCs w:val="20"/>
        </w:rPr>
        <w:t>.</w:t>
      </w:r>
    </w:p>
    <w:p w:rsidR="003F0296" w:rsidRDefault="003F0296" w:rsidP="003F0296">
      <w:pPr>
        <w:jc w:val="both"/>
        <w:rPr>
          <w:rFonts w:ascii="Arial" w:hAnsi="Arial" w:cs="Arial"/>
          <w:color w:val="000000" w:themeColor="text1"/>
        </w:rPr>
      </w:pPr>
    </w:p>
    <w:p w:rsidR="003F0296" w:rsidRDefault="003F0296" w:rsidP="003F0296">
      <w:pPr>
        <w:ind w:firstLine="567"/>
        <w:jc w:val="both"/>
        <w:rPr>
          <w:rFonts w:ascii="Arial" w:hAnsi="Arial" w:cs="Arial"/>
          <w:color w:val="000000" w:themeColor="text1"/>
          <w:spacing w:val="2"/>
          <w:shd w:val="clear" w:color="auto" w:fill="FFFFFF"/>
        </w:rPr>
      </w:pPr>
      <w:r>
        <w:rPr>
          <w:rFonts w:ascii="Arial" w:hAnsi="Arial" w:cs="Arial"/>
          <w:color w:val="000000" w:themeColor="text1"/>
          <w:spacing w:val="2"/>
          <w:shd w:val="clear" w:color="auto" w:fill="FFFFFF"/>
        </w:rPr>
        <w:t xml:space="preserve">El decremento de la motilidad depende de la dosis utilizada, como lo observaron </w:t>
      </w:r>
      <w:r w:rsidRPr="00D07073">
        <w:rPr>
          <w:rFonts w:ascii="Arial" w:hAnsi="Arial" w:cs="Arial"/>
          <w:color w:val="000000" w:themeColor="text1"/>
          <w:spacing w:val="2"/>
          <w:shd w:val="clear" w:color="auto" w:fill="FFFFFF"/>
        </w:rPr>
        <w:t xml:space="preserve">Schimpf </w:t>
      </w:r>
      <w:r>
        <w:rPr>
          <w:rFonts w:ascii="Arial" w:hAnsi="Arial" w:cs="Arial"/>
          <w:color w:val="000000" w:themeColor="text1"/>
          <w:spacing w:val="2"/>
          <w:shd w:val="clear" w:color="auto" w:fill="FFFFFF"/>
        </w:rPr>
        <w:t>y Cols. (2019) al determinar que a una dosis de 0.5% (p/V)</w:t>
      </w:r>
      <w:r w:rsidRPr="00C124F8">
        <w:rPr>
          <w:rFonts w:ascii="Arial" w:hAnsi="Arial" w:cs="Arial"/>
          <w:color w:val="000000" w:themeColor="text1"/>
          <w:spacing w:val="2"/>
          <w:shd w:val="clear" w:color="auto" w:fill="FFFFFF"/>
        </w:rPr>
        <w:t xml:space="preserve"> </w:t>
      </w:r>
      <w:r>
        <w:rPr>
          <w:rFonts w:ascii="Arial" w:hAnsi="Arial" w:cs="Arial"/>
          <w:color w:val="000000" w:themeColor="text1"/>
          <w:spacing w:val="2"/>
          <w:shd w:val="clear" w:color="auto" w:fill="FFFFFF"/>
        </w:rPr>
        <w:t>con oligos de quitosán incubados en PBS generan una disminución de la velocidad de los espermatozoides de humano, esto aunado al medio de incubación, ya que al utilizar un medio con características similares al líquido seminal como el TRIS (que incluye citratos, glucosa y piruvato) no existen diferencias en la motilidad</w:t>
      </w:r>
      <w:r w:rsidRPr="009C3714">
        <w:rPr>
          <w:rFonts w:ascii="Arial" w:hAnsi="Arial" w:cs="Arial"/>
          <w:color w:val="000000" w:themeColor="text1"/>
          <w:spacing w:val="2"/>
          <w:shd w:val="clear" w:color="auto" w:fill="FFFFFF"/>
          <w:vertAlign w:val="superscript"/>
        </w:rPr>
        <w:t>[10]</w:t>
      </w:r>
      <w:r>
        <w:rPr>
          <w:rFonts w:ascii="Arial" w:hAnsi="Arial" w:cs="Arial"/>
          <w:color w:val="000000" w:themeColor="text1"/>
          <w:spacing w:val="2"/>
          <w:shd w:val="clear" w:color="auto" w:fill="FFFFFF"/>
        </w:rPr>
        <w:t>, por lo que el efecto podría estar relacionado en parte a la molaridad de los medios, dado que también Schäfer-Somi y Aurich (2007) reportaron una disminución de la motilidad en espermatozoides de caninos incubados en PBS. La osmolaridad presente en un medio con PBS es de 282</w:t>
      </w:r>
      <w:r w:rsidRPr="00585737">
        <w:rPr>
          <w:rFonts w:ascii="Arial" w:hAnsi="Arial" w:cs="Arial"/>
          <w:color w:val="000000" w:themeColor="text1"/>
          <w:spacing w:val="2"/>
          <w:shd w:val="clear" w:color="auto" w:fill="FFFFFF"/>
        </w:rPr>
        <w:t>±</w:t>
      </w:r>
      <w:r>
        <w:rPr>
          <w:rFonts w:ascii="Arial" w:hAnsi="Arial" w:cs="Arial"/>
          <w:color w:val="000000" w:themeColor="text1"/>
          <w:spacing w:val="2"/>
          <w:shd w:val="clear" w:color="auto" w:fill="FFFFFF"/>
        </w:rPr>
        <w:t>11.3 mientras que el de TRIS se asemeja más al liquido seminal con una Osm de 308</w:t>
      </w:r>
      <w:r w:rsidRPr="00585737">
        <w:rPr>
          <w:rFonts w:ascii="Arial" w:hAnsi="Arial" w:cs="Arial"/>
          <w:color w:val="000000" w:themeColor="text1"/>
          <w:spacing w:val="2"/>
          <w:shd w:val="clear" w:color="auto" w:fill="FFFFFF"/>
        </w:rPr>
        <w:t>±</w:t>
      </w:r>
      <w:r>
        <w:rPr>
          <w:rFonts w:ascii="Arial" w:hAnsi="Arial" w:cs="Arial"/>
          <w:color w:val="000000" w:themeColor="text1"/>
          <w:spacing w:val="2"/>
          <w:shd w:val="clear" w:color="auto" w:fill="FFFFFF"/>
        </w:rPr>
        <w:t>2.9</w:t>
      </w:r>
      <w:r w:rsidRPr="00D07073">
        <w:rPr>
          <w:rFonts w:ascii="Arial" w:hAnsi="Arial" w:cs="Arial"/>
          <w:color w:val="000000" w:themeColor="text1"/>
          <w:spacing w:val="2"/>
          <w:shd w:val="clear" w:color="auto" w:fill="FFFFFF"/>
          <w:vertAlign w:val="superscript"/>
        </w:rPr>
        <w:t>[</w:t>
      </w:r>
      <w:r>
        <w:rPr>
          <w:rFonts w:ascii="Arial" w:hAnsi="Arial" w:cs="Arial"/>
          <w:color w:val="000000" w:themeColor="text1"/>
          <w:spacing w:val="2"/>
          <w:shd w:val="clear" w:color="auto" w:fill="FFFFFF"/>
          <w:vertAlign w:val="superscript"/>
        </w:rPr>
        <w:t>14</w:t>
      </w:r>
      <w:r w:rsidRPr="00D07073">
        <w:rPr>
          <w:rFonts w:ascii="Arial" w:hAnsi="Arial" w:cs="Arial"/>
          <w:color w:val="000000" w:themeColor="text1"/>
          <w:spacing w:val="2"/>
          <w:shd w:val="clear" w:color="auto" w:fill="FFFFFF"/>
          <w:vertAlign w:val="superscript"/>
        </w:rPr>
        <w:t>]</w:t>
      </w:r>
      <w:r>
        <w:rPr>
          <w:rFonts w:ascii="Arial" w:hAnsi="Arial" w:cs="Arial"/>
          <w:color w:val="000000" w:themeColor="text1"/>
          <w:spacing w:val="2"/>
          <w:shd w:val="clear" w:color="auto" w:fill="FFFFFF"/>
          <w:vertAlign w:val="superscript"/>
        </w:rPr>
        <w:t>.</w:t>
      </w:r>
      <w:r>
        <w:rPr>
          <w:rFonts w:ascii="Arial" w:hAnsi="Arial" w:cs="Arial"/>
          <w:color w:val="000000" w:themeColor="text1"/>
          <w:spacing w:val="2"/>
          <w:shd w:val="clear" w:color="auto" w:fill="FFFFFF"/>
        </w:rPr>
        <w:t>. Ello podría explicar el porqué en el presente trabajo tanto la motilidad como la viabilidad presentaron mejores porcentajes en un medio con BTS, ya que se sabe que el medio tienen una Osm de 330</w:t>
      </w:r>
      <w:r w:rsidRPr="00FA328D">
        <w:rPr>
          <w:rFonts w:ascii="Arial" w:hAnsi="Arial" w:cs="Arial"/>
          <w:color w:val="000000" w:themeColor="text1"/>
          <w:spacing w:val="2"/>
          <w:shd w:val="clear" w:color="auto" w:fill="FFFFFF"/>
          <w:vertAlign w:val="superscript"/>
        </w:rPr>
        <w:t>[1</w:t>
      </w:r>
      <w:r>
        <w:rPr>
          <w:rFonts w:ascii="Arial" w:hAnsi="Arial" w:cs="Arial"/>
          <w:color w:val="000000" w:themeColor="text1"/>
          <w:spacing w:val="2"/>
          <w:shd w:val="clear" w:color="auto" w:fill="FFFFFF"/>
          <w:vertAlign w:val="superscript"/>
        </w:rPr>
        <w:t>5</w:t>
      </w:r>
      <w:r w:rsidRPr="00FA328D">
        <w:rPr>
          <w:rFonts w:ascii="Arial" w:hAnsi="Arial" w:cs="Arial"/>
          <w:color w:val="000000" w:themeColor="text1"/>
          <w:spacing w:val="2"/>
          <w:shd w:val="clear" w:color="auto" w:fill="FFFFFF"/>
          <w:vertAlign w:val="superscript"/>
        </w:rPr>
        <w:t>]</w:t>
      </w:r>
      <w:r>
        <w:rPr>
          <w:rFonts w:ascii="Arial" w:hAnsi="Arial" w:cs="Arial"/>
          <w:color w:val="000000" w:themeColor="text1"/>
          <w:spacing w:val="2"/>
          <w:shd w:val="clear" w:color="auto" w:fill="FFFFFF"/>
        </w:rPr>
        <w:t xml:space="preserve">. </w:t>
      </w:r>
    </w:p>
    <w:p w:rsidR="003F0296" w:rsidRDefault="003F0296" w:rsidP="003F0296">
      <w:pPr>
        <w:jc w:val="both"/>
        <w:rPr>
          <w:rFonts w:ascii="Arial" w:hAnsi="Arial" w:cs="Arial"/>
          <w:color w:val="000000" w:themeColor="text1"/>
          <w:spacing w:val="2"/>
          <w:shd w:val="clear" w:color="auto" w:fill="FFFFFF"/>
        </w:rPr>
      </w:pPr>
    </w:p>
    <w:p w:rsidR="003F0296" w:rsidRDefault="003F0296" w:rsidP="003F0296">
      <w:pPr>
        <w:ind w:firstLine="567"/>
        <w:jc w:val="both"/>
        <w:rPr>
          <w:rFonts w:ascii="Arial" w:hAnsi="Arial" w:cs="Arial"/>
          <w:color w:val="000000" w:themeColor="text1"/>
          <w:spacing w:val="2"/>
          <w:shd w:val="clear" w:color="auto" w:fill="FFFFFF"/>
        </w:rPr>
      </w:pPr>
      <w:r>
        <w:rPr>
          <w:rFonts w:ascii="Arial" w:hAnsi="Arial" w:cs="Arial"/>
          <w:color w:val="000000" w:themeColor="text1"/>
          <w:spacing w:val="2"/>
          <w:shd w:val="clear" w:color="auto" w:fill="FFFFFF"/>
        </w:rPr>
        <w:t xml:space="preserve">En la </w:t>
      </w:r>
      <w:r w:rsidRPr="009431AB">
        <w:rPr>
          <w:rFonts w:ascii="Arial" w:hAnsi="Arial" w:cs="Arial"/>
          <w:b/>
          <w:color w:val="000000" w:themeColor="text1"/>
          <w:spacing w:val="2"/>
          <w:shd w:val="clear" w:color="auto" w:fill="FFFFFF"/>
        </w:rPr>
        <w:t>figura 3</w:t>
      </w:r>
      <w:r>
        <w:rPr>
          <w:rFonts w:ascii="Arial" w:hAnsi="Arial" w:cs="Arial"/>
          <w:color w:val="000000" w:themeColor="text1"/>
          <w:spacing w:val="2"/>
          <w:shd w:val="clear" w:color="auto" w:fill="FFFFFF"/>
        </w:rPr>
        <w:t xml:space="preserve"> se muestra como la viabilidad está por encima del 50% aún y con una concentración de 100</w:t>
      </w:r>
      <m:oMath>
        <m:r>
          <w:rPr>
            <w:rFonts w:ascii="Cambria Math" w:hAnsi="Cambria Math" w:cs="Arial"/>
            <w:color w:val="000000" w:themeColor="text1"/>
          </w:rPr>
          <m:t xml:space="preserve"> μl/ml</m:t>
        </m:r>
      </m:oMath>
      <w:r>
        <w:rPr>
          <w:rFonts w:ascii="Arial" w:hAnsi="Arial" w:cs="Arial"/>
          <w:color w:val="000000" w:themeColor="text1"/>
        </w:rPr>
        <w:t xml:space="preserve"> al utilizar un medio de incubación con BTS. Obsérvese que la viabilidad se mantiene igual al control (no hay diferencias significativas) a concentraciones iguales o por debajo de </w:t>
      </w:r>
      <w:r>
        <w:rPr>
          <w:rFonts w:ascii="Arial" w:hAnsi="Arial" w:cs="Arial"/>
          <w:color w:val="000000" w:themeColor="text1"/>
          <w:spacing w:val="2"/>
          <w:shd w:val="clear" w:color="auto" w:fill="FFFFFF"/>
        </w:rPr>
        <w:t>50</w:t>
      </w:r>
      <m:oMath>
        <m:r>
          <w:rPr>
            <w:rFonts w:ascii="Cambria Math" w:hAnsi="Cambria Math" w:cs="Arial"/>
            <w:color w:val="000000" w:themeColor="text1"/>
          </w:rPr>
          <m:t xml:space="preserve"> μl/ml</m:t>
        </m:r>
      </m:oMath>
      <w:r>
        <w:rPr>
          <w:rFonts w:ascii="Arial" w:hAnsi="Arial" w:cs="Arial"/>
          <w:color w:val="000000" w:themeColor="text1"/>
        </w:rPr>
        <w:t>, lo cual concuerda con trabajos en donde mencionan que el quitosán no genera daños en la membrana plasmática e inclusive que disminuyen la producción de radicales libres de oxígeno(ROS)</w:t>
      </w:r>
      <w:r w:rsidRPr="00D07073">
        <w:rPr>
          <w:rFonts w:ascii="Arial" w:hAnsi="Arial" w:cs="Arial"/>
          <w:color w:val="000000" w:themeColor="text1"/>
          <w:spacing w:val="2"/>
          <w:shd w:val="clear" w:color="auto" w:fill="FFFFFF"/>
          <w:vertAlign w:val="superscript"/>
        </w:rPr>
        <w:t>[10]</w:t>
      </w:r>
      <w:r>
        <w:rPr>
          <w:rFonts w:ascii="Arial" w:hAnsi="Arial" w:cs="Arial"/>
          <w:color w:val="000000" w:themeColor="text1"/>
          <w:spacing w:val="2"/>
          <w:shd w:val="clear" w:color="auto" w:fill="FFFFFF"/>
        </w:rPr>
        <w:t>.</w:t>
      </w:r>
    </w:p>
    <w:p w:rsidR="003F0296" w:rsidRDefault="003F0296" w:rsidP="003F0296">
      <w:pPr>
        <w:jc w:val="both"/>
        <w:rPr>
          <w:rFonts w:ascii="Arial" w:hAnsi="Arial" w:cs="Arial"/>
          <w:color w:val="000000" w:themeColor="text1"/>
        </w:rPr>
      </w:pPr>
    </w:p>
    <w:p w:rsidR="003F0296" w:rsidRDefault="003F0296" w:rsidP="003F0296">
      <w:pPr>
        <w:jc w:val="both"/>
        <w:rPr>
          <w:rFonts w:ascii="Arial" w:hAnsi="Arial" w:cs="Arial"/>
          <w:color w:val="000000" w:themeColor="text1"/>
        </w:rPr>
      </w:pPr>
    </w:p>
    <w:p w:rsidR="003F0296" w:rsidRDefault="003F0296" w:rsidP="003F0296">
      <w:pPr>
        <w:jc w:val="both"/>
        <w:rPr>
          <w:rFonts w:ascii="Arial" w:hAnsi="Arial" w:cs="Arial"/>
          <w:color w:val="000000" w:themeColor="text1"/>
        </w:rPr>
      </w:pPr>
    </w:p>
    <w:p w:rsidR="003F0296" w:rsidRDefault="003F0296" w:rsidP="003F0296">
      <w:pPr>
        <w:jc w:val="both"/>
        <w:rPr>
          <w:rFonts w:ascii="Arial" w:hAnsi="Arial" w:cs="Arial"/>
          <w:color w:val="000000" w:themeColor="text1"/>
        </w:rPr>
      </w:pPr>
    </w:p>
    <w:p w:rsidR="003F0296" w:rsidRDefault="003F0296" w:rsidP="003F0296">
      <w:pPr>
        <w:jc w:val="both"/>
        <w:rPr>
          <w:rFonts w:ascii="Arial" w:hAnsi="Arial" w:cs="Arial"/>
          <w:color w:val="000000" w:themeColor="text1"/>
        </w:rPr>
      </w:pPr>
    </w:p>
    <w:p w:rsidR="003F0296" w:rsidRDefault="003F0296" w:rsidP="003F0296">
      <w:pPr>
        <w:jc w:val="both"/>
        <w:rPr>
          <w:rFonts w:ascii="Arial" w:hAnsi="Arial" w:cs="Arial"/>
          <w:color w:val="000000" w:themeColor="text1"/>
        </w:rPr>
      </w:pPr>
    </w:p>
    <w:p w:rsidR="003F0296" w:rsidRDefault="003F0296" w:rsidP="003F0296">
      <w:pPr>
        <w:jc w:val="both"/>
        <w:rPr>
          <w:rFonts w:ascii="Arial" w:hAnsi="Arial" w:cs="Arial"/>
          <w:color w:val="000000" w:themeColor="text1"/>
        </w:rPr>
      </w:pPr>
    </w:p>
    <w:p w:rsidR="003F0296" w:rsidRDefault="003F0296" w:rsidP="003F0296">
      <w:pPr>
        <w:jc w:val="center"/>
        <w:rPr>
          <w:rFonts w:ascii="Arial" w:hAnsi="Arial" w:cs="Arial"/>
          <w:color w:val="000000" w:themeColor="text1"/>
        </w:rPr>
      </w:pPr>
      <w:r>
        <w:rPr>
          <w:rFonts w:ascii="Arial" w:hAnsi="Arial" w:cs="Arial"/>
          <w:noProof/>
          <w:color w:val="000000" w:themeColor="text1"/>
          <w:lang w:val="en-US"/>
        </w:rPr>
        <w:drawing>
          <wp:inline distT="0" distB="0" distL="0" distR="0" wp14:anchorId="641FF06A" wp14:editId="3857108A">
            <wp:extent cx="5582285" cy="2218261"/>
            <wp:effectExtent l="0" t="0" r="5715" b="4445"/>
            <wp:docPr id="2026623738" name="Imagen 202662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a de Pantalla 2020-06-16 a la(s) 13.03.41.png"/>
                    <pic:cNvPicPr/>
                  </pic:nvPicPr>
                  <pic:blipFill>
                    <a:blip r:embed="rId1245"/>
                    <a:stretch>
                      <a:fillRect/>
                    </a:stretch>
                  </pic:blipFill>
                  <pic:spPr>
                    <a:xfrm>
                      <a:off x="0" y="0"/>
                      <a:ext cx="5622978" cy="2234432"/>
                    </a:xfrm>
                    <a:prstGeom prst="rect">
                      <a:avLst/>
                    </a:prstGeom>
                  </pic:spPr>
                </pic:pic>
              </a:graphicData>
            </a:graphic>
          </wp:inline>
        </w:drawing>
      </w:r>
    </w:p>
    <w:p w:rsidR="003F0296" w:rsidRDefault="003F0296" w:rsidP="003F0296">
      <w:pPr>
        <w:jc w:val="center"/>
        <w:rPr>
          <w:rFonts w:ascii="Arial" w:hAnsi="Arial" w:cs="Arial"/>
          <w:i/>
          <w:color w:val="000000" w:themeColor="text1"/>
          <w:sz w:val="20"/>
          <w:szCs w:val="20"/>
        </w:rPr>
      </w:pPr>
      <w:r w:rsidRPr="009431AB">
        <w:rPr>
          <w:rFonts w:ascii="Arial" w:hAnsi="Arial" w:cs="Arial"/>
          <w:b/>
          <w:i/>
          <w:color w:val="000000" w:themeColor="text1"/>
          <w:sz w:val="20"/>
          <w:szCs w:val="20"/>
        </w:rPr>
        <w:t>Figura 3:</w:t>
      </w:r>
      <w:r w:rsidRPr="009431AB">
        <w:rPr>
          <w:rFonts w:ascii="Arial" w:hAnsi="Arial" w:cs="Arial"/>
          <w:i/>
          <w:color w:val="000000" w:themeColor="text1"/>
          <w:sz w:val="20"/>
          <w:szCs w:val="20"/>
        </w:rPr>
        <w:t xml:space="preserve"> Porcentaje de viabilidad espermática para cada una de las concentraciones en los dos medios de incubación durante</w:t>
      </w:r>
      <w:r>
        <w:rPr>
          <w:rFonts w:ascii="Arial" w:hAnsi="Arial" w:cs="Arial"/>
          <w:i/>
          <w:color w:val="000000" w:themeColor="text1"/>
          <w:sz w:val="20"/>
          <w:szCs w:val="20"/>
        </w:rPr>
        <w:t xml:space="preserve"> </w:t>
      </w:r>
      <w:r w:rsidRPr="009431AB">
        <w:rPr>
          <w:rFonts w:ascii="Arial" w:hAnsi="Arial" w:cs="Arial"/>
          <w:i/>
          <w:color w:val="000000" w:themeColor="text1"/>
          <w:sz w:val="20"/>
          <w:szCs w:val="20"/>
        </w:rPr>
        <w:t>0, 1, 2 y 3 horas de incubación</w:t>
      </w:r>
      <w:r>
        <w:rPr>
          <w:rFonts w:ascii="Arial" w:hAnsi="Arial" w:cs="Arial"/>
          <w:i/>
          <w:color w:val="000000" w:themeColor="text1"/>
          <w:sz w:val="20"/>
          <w:szCs w:val="20"/>
        </w:rPr>
        <w:t xml:space="preserve"> (T0, T1, T2 y T3)</w:t>
      </w:r>
      <w:r w:rsidRPr="009431AB">
        <w:rPr>
          <w:rFonts w:ascii="Arial" w:hAnsi="Arial" w:cs="Arial"/>
          <w:i/>
          <w:color w:val="000000" w:themeColor="text1"/>
          <w:sz w:val="20"/>
          <w:szCs w:val="20"/>
        </w:rPr>
        <w:t>. *Diferencias significativas p&lt;0.05</w:t>
      </w:r>
      <w:r>
        <w:rPr>
          <w:rFonts w:ascii="Arial" w:hAnsi="Arial" w:cs="Arial"/>
          <w:i/>
          <w:color w:val="000000" w:themeColor="text1"/>
          <w:sz w:val="20"/>
          <w:szCs w:val="20"/>
        </w:rPr>
        <w:t>.</w:t>
      </w:r>
    </w:p>
    <w:p w:rsidR="003F0296" w:rsidRDefault="003F0296" w:rsidP="003F0296">
      <w:pPr>
        <w:jc w:val="center"/>
        <w:rPr>
          <w:rFonts w:ascii="Arial" w:hAnsi="Arial" w:cs="Arial"/>
          <w:color w:val="000000" w:themeColor="text1"/>
        </w:rPr>
      </w:pPr>
    </w:p>
    <w:p w:rsidR="003F0296" w:rsidRDefault="003F0296" w:rsidP="003F0296">
      <w:pPr>
        <w:ind w:firstLine="567"/>
        <w:jc w:val="both"/>
        <w:rPr>
          <w:rFonts w:ascii="Arial" w:hAnsi="Arial" w:cs="Arial"/>
          <w:color w:val="000000" w:themeColor="text1"/>
        </w:rPr>
      </w:pPr>
      <w:r>
        <w:rPr>
          <w:rFonts w:ascii="Arial" w:hAnsi="Arial" w:cs="Arial"/>
          <w:color w:val="000000" w:themeColor="text1"/>
        </w:rPr>
        <w:t xml:space="preserve">En la </w:t>
      </w:r>
      <w:r>
        <w:rPr>
          <w:rFonts w:ascii="Arial" w:hAnsi="Arial" w:cs="Arial"/>
          <w:b/>
          <w:color w:val="000000" w:themeColor="text1"/>
        </w:rPr>
        <w:t>figura 4</w:t>
      </w:r>
      <w:r>
        <w:rPr>
          <w:rFonts w:ascii="Arial" w:hAnsi="Arial" w:cs="Arial"/>
          <w:color w:val="000000" w:themeColor="text1"/>
        </w:rPr>
        <w:t xml:space="preserve"> se puede observar un aumento de la mortalidad a las dosis de </w:t>
      </w:r>
      <w:r>
        <w:rPr>
          <w:rFonts w:ascii="Arial" w:hAnsi="Arial" w:cs="Arial"/>
          <w:color w:val="000000" w:themeColor="text1"/>
          <w:spacing w:val="2"/>
          <w:shd w:val="clear" w:color="auto" w:fill="FFFFFF"/>
        </w:rPr>
        <w:t>100 y 150</w:t>
      </w:r>
      <m:oMath>
        <m:r>
          <w:rPr>
            <w:rFonts w:ascii="Cambria Math" w:hAnsi="Cambria Math" w:cs="Arial"/>
            <w:color w:val="000000" w:themeColor="text1"/>
          </w:rPr>
          <m:t xml:space="preserve"> μl/ml</m:t>
        </m:r>
      </m:oMath>
      <w:r>
        <w:rPr>
          <w:rFonts w:ascii="Arial" w:hAnsi="Arial" w:cs="Arial"/>
          <w:color w:val="000000" w:themeColor="text1"/>
        </w:rPr>
        <w:t xml:space="preserve"> de nanopartículas y que ello se asocia también al tipo de nanopartícula empleada, existiendo una mortalidad del 50% de las células a una dosis de </w:t>
      </w:r>
      <w:r>
        <w:rPr>
          <w:rFonts w:ascii="Arial" w:hAnsi="Arial" w:cs="Arial"/>
          <w:color w:val="000000" w:themeColor="text1"/>
          <w:spacing w:val="2"/>
          <w:shd w:val="clear" w:color="auto" w:fill="FFFFFF"/>
        </w:rPr>
        <w:t>50</w:t>
      </w:r>
      <m:oMath>
        <m:r>
          <w:rPr>
            <w:rFonts w:ascii="Cambria Math" w:hAnsi="Cambria Math" w:cs="Arial"/>
            <w:color w:val="000000" w:themeColor="text1"/>
          </w:rPr>
          <m:t xml:space="preserve"> μl /ml</m:t>
        </m:r>
      </m:oMath>
      <w:r>
        <w:rPr>
          <w:rFonts w:ascii="Arial" w:hAnsi="Arial" w:cs="Arial"/>
          <w:color w:val="000000" w:themeColor="text1"/>
        </w:rPr>
        <w:t xml:space="preserve"> para las NPPs-Q-Ce-FIL, lo cual podría estar asociado al tamaño ya que éstas nanopartículas fueron las que obtievieron un tamaño menor en el análisis por DLS (10.7nm) en comparación con las NPPs sin filtrar y filtradas. El tamaño “pequeño” de las NPPs-Q-Ce-Fil podría favorecer la internalización de éstas al utilizar uno de los mecanismo de transporte a través de la membrana, como la osmosis, por canales iónicos o endocitos mediada por proteínas, por ejemplo mediada por caveolina, la cual está presente en microdomios de la membrana de los espermatozoides de cerdo</w:t>
      </w:r>
      <w:r w:rsidRPr="00FA328D">
        <w:rPr>
          <w:rFonts w:ascii="Arial" w:hAnsi="Arial" w:cs="Arial"/>
          <w:color w:val="000000" w:themeColor="text1"/>
          <w:vertAlign w:val="superscript"/>
        </w:rPr>
        <w:t>[1,1</w:t>
      </w:r>
      <w:r>
        <w:rPr>
          <w:rFonts w:ascii="Arial" w:hAnsi="Arial" w:cs="Arial"/>
          <w:color w:val="000000" w:themeColor="text1"/>
          <w:vertAlign w:val="superscript"/>
        </w:rPr>
        <w:t>5</w:t>
      </w:r>
      <w:r w:rsidRPr="00FA328D">
        <w:rPr>
          <w:rFonts w:ascii="Arial" w:hAnsi="Arial" w:cs="Arial"/>
          <w:color w:val="000000" w:themeColor="text1"/>
          <w:vertAlign w:val="superscript"/>
        </w:rPr>
        <w:t>, 1</w:t>
      </w:r>
      <w:r>
        <w:rPr>
          <w:rFonts w:ascii="Arial" w:hAnsi="Arial" w:cs="Arial"/>
          <w:color w:val="000000" w:themeColor="text1"/>
          <w:vertAlign w:val="superscript"/>
        </w:rPr>
        <w:t>6</w:t>
      </w:r>
      <w:r w:rsidRPr="00FA328D">
        <w:rPr>
          <w:rFonts w:ascii="Arial" w:hAnsi="Arial" w:cs="Arial"/>
          <w:color w:val="000000" w:themeColor="text1"/>
          <w:vertAlign w:val="superscript"/>
        </w:rPr>
        <w:t>]</w:t>
      </w:r>
      <w:r>
        <w:rPr>
          <w:rFonts w:ascii="Arial" w:hAnsi="Arial" w:cs="Arial"/>
          <w:color w:val="000000" w:themeColor="text1"/>
        </w:rPr>
        <w:t>.</w:t>
      </w:r>
    </w:p>
    <w:p w:rsidR="003F0296" w:rsidRDefault="003F0296" w:rsidP="003F0296">
      <w:pPr>
        <w:jc w:val="both"/>
        <w:rPr>
          <w:rFonts w:ascii="Arial" w:hAnsi="Arial" w:cs="Arial"/>
          <w:color w:val="000000" w:themeColor="text1"/>
        </w:rPr>
      </w:pPr>
    </w:p>
    <w:p w:rsidR="003F0296" w:rsidRDefault="003F0296" w:rsidP="003F0296">
      <w:pPr>
        <w:jc w:val="center"/>
        <w:rPr>
          <w:rFonts w:ascii="Arial" w:hAnsi="Arial" w:cs="Arial"/>
          <w:color w:val="000000" w:themeColor="text1"/>
        </w:rPr>
      </w:pPr>
      <w:r>
        <w:rPr>
          <w:rFonts w:ascii="Arial" w:hAnsi="Arial" w:cs="Arial"/>
          <w:noProof/>
          <w:color w:val="000000" w:themeColor="text1"/>
          <w:lang w:val="en-US"/>
        </w:rPr>
        <w:lastRenderedPageBreak/>
        <w:drawing>
          <wp:inline distT="0" distB="0" distL="0" distR="0" wp14:anchorId="7F224589" wp14:editId="60D29CF1">
            <wp:extent cx="5239658" cy="3014077"/>
            <wp:effectExtent l="0" t="0" r="5715"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Captura de Pantalla 2020-06-10 a la(s) 22.24.32.png"/>
                    <pic:cNvPicPr/>
                  </pic:nvPicPr>
                  <pic:blipFill>
                    <a:blip r:embed="rId1246">
                      <a:extLst>
                        <a:ext uri="{28A0092B-C50C-407E-A947-70E740481C1C}">
                          <a14:useLocalDpi xmlns:a14="http://schemas.microsoft.com/office/drawing/2010/main" val="0"/>
                        </a:ext>
                      </a:extLst>
                    </a:blip>
                    <a:stretch>
                      <a:fillRect/>
                    </a:stretch>
                  </pic:blipFill>
                  <pic:spPr>
                    <a:xfrm>
                      <a:off x="0" y="0"/>
                      <a:ext cx="5255102" cy="3022961"/>
                    </a:xfrm>
                    <a:prstGeom prst="rect">
                      <a:avLst/>
                    </a:prstGeom>
                  </pic:spPr>
                </pic:pic>
              </a:graphicData>
            </a:graphic>
          </wp:inline>
        </w:drawing>
      </w:r>
    </w:p>
    <w:p w:rsidR="003F0296" w:rsidRPr="002E6DEA" w:rsidRDefault="003F0296" w:rsidP="003F0296">
      <w:pPr>
        <w:jc w:val="center"/>
        <w:rPr>
          <w:rFonts w:ascii="Arial" w:hAnsi="Arial" w:cs="Arial"/>
          <w:i/>
          <w:color w:val="000000" w:themeColor="text1"/>
          <w:sz w:val="20"/>
          <w:szCs w:val="20"/>
        </w:rPr>
      </w:pPr>
      <w:r w:rsidRPr="009431AB">
        <w:rPr>
          <w:rFonts w:ascii="Arial" w:hAnsi="Arial" w:cs="Arial"/>
          <w:b/>
          <w:i/>
          <w:color w:val="000000" w:themeColor="text1"/>
          <w:sz w:val="20"/>
          <w:szCs w:val="20"/>
        </w:rPr>
        <w:t>Figura 4:</w:t>
      </w:r>
      <w:r w:rsidRPr="009431AB">
        <w:rPr>
          <w:rFonts w:ascii="Arial" w:hAnsi="Arial" w:cs="Arial"/>
          <w:i/>
          <w:color w:val="000000" w:themeColor="text1"/>
          <w:sz w:val="20"/>
          <w:szCs w:val="20"/>
        </w:rPr>
        <w:t xml:space="preserve"> Porcentaje de mortalidad espermática para cada tipo de NPPs-Q en cada una de las concentraciones en los dos medios de incubación durante tres horas de incubación.</w:t>
      </w:r>
      <w:r w:rsidRPr="00FB03EE">
        <w:rPr>
          <w:rFonts w:ascii="Arial" w:hAnsi="Arial" w:cs="Arial"/>
          <w:i/>
          <w:color w:val="000000" w:themeColor="text1"/>
          <w:sz w:val="20"/>
          <w:szCs w:val="20"/>
        </w:rPr>
        <w:t xml:space="preserve"> </w:t>
      </w:r>
      <w:r w:rsidRPr="009C3714">
        <w:rPr>
          <w:rFonts w:ascii="Arial" w:hAnsi="Arial" w:cs="Arial"/>
          <w:i/>
          <w:color w:val="000000" w:themeColor="text1"/>
          <w:sz w:val="20"/>
          <w:szCs w:val="20"/>
        </w:rPr>
        <w:t>*Diferencias significativas p&lt;0.05</w:t>
      </w:r>
      <w:r>
        <w:rPr>
          <w:rFonts w:ascii="Arial" w:hAnsi="Arial" w:cs="Arial"/>
          <w:i/>
          <w:color w:val="000000" w:themeColor="text1"/>
          <w:sz w:val="20"/>
          <w:szCs w:val="20"/>
        </w:rPr>
        <w:t>.</w:t>
      </w:r>
    </w:p>
    <w:p w:rsidR="003F0296" w:rsidRPr="00461074" w:rsidRDefault="003F0296" w:rsidP="003F0296">
      <w:pPr>
        <w:ind w:firstLine="567"/>
        <w:jc w:val="both"/>
        <w:rPr>
          <w:rFonts w:ascii="Arial" w:hAnsi="Arial" w:cs="Arial"/>
          <w:color w:val="000000" w:themeColor="text1"/>
          <w:spacing w:val="2"/>
          <w:shd w:val="clear" w:color="auto" w:fill="FFFFFF"/>
        </w:rPr>
      </w:pPr>
      <w:r>
        <w:rPr>
          <w:rFonts w:ascii="Arial" w:hAnsi="Arial" w:cs="Arial"/>
          <w:color w:val="000000" w:themeColor="text1"/>
        </w:rPr>
        <w:t xml:space="preserve">Finalmente la integridad acrosomal </w:t>
      </w:r>
      <w:r w:rsidRPr="00FA328D">
        <w:rPr>
          <w:rFonts w:ascii="Arial" w:hAnsi="Arial" w:cs="Arial"/>
          <w:b/>
          <w:color w:val="000000" w:themeColor="text1"/>
        </w:rPr>
        <w:t>se mantuvo</w:t>
      </w:r>
      <w:r>
        <w:rPr>
          <w:rFonts w:ascii="Arial" w:hAnsi="Arial" w:cs="Arial"/>
          <w:color w:val="000000" w:themeColor="text1"/>
        </w:rPr>
        <w:t xml:space="preserve"> durante la incubación </w:t>
      </w:r>
      <w:r w:rsidRPr="00242018">
        <w:rPr>
          <w:rFonts w:ascii="Arial" w:hAnsi="Arial" w:cs="Arial"/>
          <w:i/>
          <w:color w:val="000000" w:themeColor="text1"/>
        </w:rPr>
        <w:t>in vitro</w:t>
      </w:r>
      <w:r>
        <w:rPr>
          <w:rFonts w:ascii="Arial" w:hAnsi="Arial" w:cs="Arial"/>
          <w:i/>
          <w:color w:val="000000" w:themeColor="text1"/>
        </w:rPr>
        <w:t>,</w:t>
      </w:r>
      <w:r>
        <w:rPr>
          <w:rFonts w:ascii="Arial" w:hAnsi="Arial" w:cs="Arial"/>
          <w:color w:val="000000" w:themeColor="text1"/>
        </w:rPr>
        <w:t xml:space="preserve"> ya que durante las tres horas de incubación e independientemente del tipo de NPPs estuvo por encima del 80</w:t>
      </w:r>
      <w:r w:rsidRPr="00461074">
        <w:rPr>
          <w:rFonts w:ascii="Arial" w:hAnsi="Arial" w:cs="Arial"/>
          <w:color w:val="000000" w:themeColor="text1"/>
        </w:rPr>
        <w:t>%</w:t>
      </w:r>
      <w:r w:rsidRPr="00666F30">
        <w:rPr>
          <w:rFonts w:ascii="Arial" w:hAnsi="Arial" w:cs="Arial"/>
          <w:color w:val="000000" w:themeColor="text1"/>
        </w:rPr>
        <w:t xml:space="preserve">. Sin embargo una de las NPPs utilizadas mantuvo mejor </w:t>
      </w:r>
      <w:r>
        <w:rPr>
          <w:rFonts w:ascii="Arial" w:hAnsi="Arial" w:cs="Arial"/>
          <w:color w:val="000000" w:themeColor="text1"/>
        </w:rPr>
        <w:t>la integridad</w:t>
      </w:r>
      <w:r w:rsidRPr="00666F30">
        <w:rPr>
          <w:rFonts w:ascii="Arial" w:hAnsi="Arial" w:cs="Arial"/>
          <w:color w:val="000000" w:themeColor="text1"/>
        </w:rPr>
        <w:t xml:space="preserve"> acrosoma</w:t>
      </w:r>
      <w:r>
        <w:rPr>
          <w:rFonts w:ascii="Arial" w:hAnsi="Arial" w:cs="Arial"/>
          <w:color w:val="000000" w:themeColor="text1"/>
        </w:rPr>
        <w:t>l</w:t>
      </w:r>
      <w:r w:rsidRPr="00666F30">
        <w:rPr>
          <w:rFonts w:ascii="Arial" w:hAnsi="Arial" w:cs="Arial"/>
          <w:color w:val="000000" w:themeColor="text1"/>
        </w:rPr>
        <w:t xml:space="preserve">, el cual se relacionó con las NPPs-Q-Ce-FIL </w:t>
      </w:r>
      <w:r w:rsidRPr="00FA328D">
        <w:rPr>
          <w:rFonts w:ascii="Arial" w:hAnsi="Arial" w:cs="Arial"/>
          <w:color w:val="000000" w:themeColor="text1"/>
        </w:rPr>
        <w:t>y con el medio en PBS</w:t>
      </w:r>
      <w:r>
        <w:rPr>
          <w:rFonts w:ascii="Arial" w:hAnsi="Arial" w:cs="Arial"/>
          <w:color w:val="000000" w:themeColor="text1"/>
        </w:rPr>
        <w:t xml:space="preserve"> </w:t>
      </w:r>
      <w:r w:rsidRPr="001A7056">
        <w:rPr>
          <w:rFonts w:ascii="Arial" w:hAnsi="Arial" w:cs="Arial"/>
          <w:color w:val="000000" w:themeColor="text1"/>
        </w:rPr>
        <w:t xml:space="preserve">(ver </w:t>
      </w:r>
      <w:r w:rsidRPr="009431AB">
        <w:rPr>
          <w:rFonts w:ascii="Arial" w:hAnsi="Arial" w:cs="Arial"/>
          <w:b/>
          <w:color w:val="000000" w:themeColor="text1"/>
        </w:rPr>
        <w:t>figura 5</w:t>
      </w:r>
      <w:r>
        <w:rPr>
          <w:rFonts w:ascii="Arial" w:hAnsi="Arial" w:cs="Arial"/>
          <w:b/>
          <w:color w:val="000000" w:themeColor="text1"/>
        </w:rPr>
        <w:t xml:space="preserve"> y 6</w:t>
      </w:r>
      <w:r w:rsidRPr="001A7056">
        <w:rPr>
          <w:rFonts w:ascii="Arial" w:hAnsi="Arial" w:cs="Arial"/>
          <w:color w:val="000000" w:themeColor="text1"/>
        </w:rPr>
        <w:t>)</w:t>
      </w:r>
      <w:r w:rsidRPr="00FA328D">
        <w:rPr>
          <w:rFonts w:ascii="Arial" w:hAnsi="Arial" w:cs="Arial"/>
          <w:color w:val="000000" w:themeColor="text1"/>
        </w:rPr>
        <w:t xml:space="preserve">, éste mantenimiento del acrosoma esto podría estar relacionado al tamaño y al medio con una Osm baja, ya que en conjunto mejoraría la internalización de las nanopartículas, sin embargo causa una elevada </w:t>
      </w:r>
      <w:r w:rsidRPr="001A7056">
        <w:rPr>
          <w:rFonts w:ascii="Arial" w:hAnsi="Arial" w:cs="Arial"/>
          <w:color w:val="000000" w:themeColor="text1"/>
        </w:rPr>
        <w:t>mortalidad. En éste caso se podría recomendar ampliar la experimentación a dosis menores de 40</w:t>
      </w:r>
      <m:oMath>
        <m:r>
          <w:rPr>
            <w:rFonts w:ascii="Cambria Math" w:hAnsi="Cambria Math" w:cs="Arial"/>
            <w:color w:val="000000" w:themeColor="text1"/>
          </w:rPr>
          <m:t xml:space="preserve"> μl /ml</m:t>
        </m:r>
      </m:oMath>
      <w:r w:rsidRPr="001A7056">
        <w:rPr>
          <w:rFonts w:ascii="Arial" w:hAnsi="Arial" w:cs="Arial"/>
          <w:color w:val="000000" w:themeColor="text1"/>
        </w:rPr>
        <w:t xml:space="preserve"> y comprobar si existe la internalización de las NPPs como lo menciona Castro y Cols. (2017) al utilizar </w:t>
      </w:r>
      <w:r w:rsidRPr="001A7056">
        <w:rPr>
          <w:rFonts w:ascii="Arial" w:hAnsi="Arial" w:cs="Arial"/>
          <w:color w:val="000000" w:themeColor="text1"/>
          <w:spacing w:val="2"/>
          <w:shd w:val="clear" w:color="auto" w:fill="FFFFFF"/>
        </w:rPr>
        <w:t xml:space="preserve">nanopartículas con núcleo lipídico recubiertas con </w:t>
      </w:r>
      <w:r w:rsidRPr="00461074">
        <w:rPr>
          <w:rFonts w:ascii="Arial" w:hAnsi="Arial" w:cs="Arial"/>
          <w:color w:val="000000" w:themeColor="text1"/>
          <w:spacing w:val="2"/>
          <w:shd w:val="clear" w:color="auto" w:fill="FFFFFF"/>
        </w:rPr>
        <w:t>quitosán</w:t>
      </w:r>
      <w:r w:rsidRPr="00786649">
        <w:rPr>
          <w:rFonts w:ascii="Arial" w:hAnsi="Arial" w:cs="Arial"/>
          <w:color w:val="000000" w:themeColor="text1"/>
          <w:spacing w:val="2"/>
          <w:shd w:val="clear" w:color="auto" w:fill="FFFFFF"/>
        </w:rPr>
        <w:t xml:space="preserve">, cuya carga positiva del quitosán favorece </w:t>
      </w:r>
      <w:r>
        <w:rPr>
          <w:rFonts w:ascii="Arial" w:hAnsi="Arial" w:cs="Arial"/>
          <w:color w:val="000000" w:themeColor="text1"/>
          <w:spacing w:val="2"/>
          <w:shd w:val="clear" w:color="auto" w:fill="FFFFFF"/>
        </w:rPr>
        <w:t>la</w:t>
      </w:r>
      <w:r w:rsidRPr="00786649">
        <w:rPr>
          <w:rFonts w:ascii="Arial" w:hAnsi="Arial" w:cs="Arial"/>
          <w:color w:val="000000" w:themeColor="text1"/>
          <w:spacing w:val="2"/>
          <w:shd w:val="clear" w:color="auto" w:fill="FFFFFF"/>
        </w:rPr>
        <w:t xml:space="preserve"> internalización </w:t>
      </w:r>
      <w:r w:rsidRPr="00FA328D">
        <w:rPr>
          <w:rFonts w:ascii="Arial" w:hAnsi="Arial" w:cs="Arial"/>
          <w:color w:val="000000" w:themeColor="text1"/>
          <w:spacing w:val="2"/>
          <w:shd w:val="clear" w:color="auto" w:fill="FFFFFF"/>
        </w:rPr>
        <w:t>en espermatozoides de bovino</w:t>
      </w:r>
      <w:r w:rsidRPr="00FA328D">
        <w:rPr>
          <w:rFonts w:ascii="Arial" w:hAnsi="Arial" w:cs="Arial"/>
          <w:color w:val="000000" w:themeColor="text1"/>
          <w:spacing w:val="2"/>
          <w:shd w:val="clear" w:color="auto" w:fill="FFFFFF"/>
          <w:vertAlign w:val="superscript"/>
        </w:rPr>
        <w:t>[3]</w:t>
      </w:r>
      <w:r w:rsidRPr="00461074">
        <w:rPr>
          <w:rFonts w:ascii="Arial" w:hAnsi="Arial" w:cs="Arial"/>
          <w:color w:val="000000" w:themeColor="text1"/>
          <w:spacing w:val="2"/>
          <w:shd w:val="clear" w:color="auto" w:fill="FFFFFF"/>
        </w:rPr>
        <w:t>.</w:t>
      </w:r>
    </w:p>
    <w:p w:rsidR="003F0296" w:rsidRDefault="003F0296" w:rsidP="003F0296">
      <w:pPr>
        <w:jc w:val="both"/>
        <w:rPr>
          <w:rFonts w:ascii="Arial" w:hAnsi="Arial" w:cs="Arial"/>
          <w:color w:val="000000" w:themeColor="text1"/>
        </w:rPr>
      </w:pPr>
    </w:p>
    <w:p w:rsidR="003F0296" w:rsidRDefault="003F0296" w:rsidP="003F0296">
      <w:pPr>
        <w:jc w:val="center"/>
        <w:rPr>
          <w:rFonts w:ascii="Arial" w:hAnsi="Arial" w:cs="Arial"/>
          <w:color w:val="000000" w:themeColor="text1"/>
        </w:rPr>
      </w:pPr>
      <w:r>
        <w:rPr>
          <w:rFonts w:ascii="Arial" w:hAnsi="Arial" w:cs="Arial"/>
          <w:noProof/>
          <w:color w:val="000000" w:themeColor="text1"/>
          <w:lang w:val="en-US"/>
        </w:rPr>
        <w:lastRenderedPageBreak/>
        <w:drawing>
          <wp:inline distT="0" distB="0" distL="0" distR="0" wp14:anchorId="0ADBB347" wp14:editId="29796996">
            <wp:extent cx="4095750" cy="2615793"/>
            <wp:effectExtent l="0" t="0" r="0" b="63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Captura de Pantalla 2020-06-11 a la(s) 2.47.26.png"/>
                    <pic:cNvPicPr/>
                  </pic:nvPicPr>
                  <pic:blipFill>
                    <a:blip r:embed="rId1247">
                      <a:extLst>
                        <a:ext uri="{28A0092B-C50C-407E-A947-70E740481C1C}">
                          <a14:useLocalDpi xmlns:a14="http://schemas.microsoft.com/office/drawing/2010/main" val="0"/>
                        </a:ext>
                      </a:extLst>
                    </a:blip>
                    <a:stretch>
                      <a:fillRect/>
                    </a:stretch>
                  </pic:blipFill>
                  <pic:spPr>
                    <a:xfrm>
                      <a:off x="0" y="0"/>
                      <a:ext cx="4156304" cy="2654466"/>
                    </a:xfrm>
                    <a:prstGeom prst="rect">
                      <a:avLst/>
                    </a:prstGeom>
                  </pic:spPr>
                </pic:pic>
              </a:graphicData>
            </a:graphic>
          </wp:inline>
        </w:drawing>
      </w:r>
    </w:p>
    <w:p w:rsidR="003F0296" w:rsidRPr="006C6122" w:rsidRDefault="003F0296" w:rsidP="003F0296">
      <w:pPr>
        <w:jc w:val="center"/>
        <w:rPr>
          <w:rFonts w:ascii="Arial" w:hAnsi="Arial" w:cs="Arial"/>
          <w:color w:val="000000" w:themeColor="text1"/>
        </w:rPr>
      </w:pPr>
      <w:r w:rsidRPr="006C6122">
        <w:rPr>
          <w:rFonts w:ascii="Arial" w:hAnsi="Arial" w:cs="Arial"/>
          <w:b/>
          <w:i/>
          <w:color w:val="000000" w:themeColor="text1"/>
          <w:sz w:val="20"/>
          <w:szCs w:val="20"/>
        </w:rPr>
        <w:t>Figura 5:</w:t>
      </w:r>
      <w:r w:rsidRPr="006C6122">
        <w:rPr>
          <w:rFonts w:ascii="Arial" w:hAnsi="Arial" w:cs="Arial"/>
          <w:i/>
          <w:color w:val="000000" w:themeColor="text1"/>
          <w:sz w:val="20"/>
          <w:szCs w:val="20"/>
        </w:rPr>
        <w:t xml:space="preserve"> Porcentaje de integridad acrosomal para cada uno de los medios de incubación durante 0, 1, 2 y 3  horas de incubación (T0, T1, T2 y T3) en este caso sin considerar el tipo de nanopartícula. *Diferencias significativas p&lt;0.05.</w:t>
      </w:r>
    </w:p>
    <w:p w:rsidR="003F0296" w:rsidRDefault="003F0296" w:rsidP="003F0296">
      <w:pPr>
        <w:jc w:val="both"/>
        <w:rPr>
          <w:rFonts w:ascii="Arial" w:hAnsi="Arial" w:cs="Arial"/>
          <w:b/>
          <w:color w:val="000000" w:themeColor="text1"/>
        </w:rPr>
      </w:pPr>
    </w:p>
    <w:p w:rsidR="003F0296" w:rsidRDefault="003F0296" w:rsidP="003F0296">
      <w:pPr>
        <w:jc w:val="center"/>
        <w:rPr>
          <w:rFonts w:ascii="Arial" w:hAnsi="Arial" w:cs="Arial"/>
          <w:b/>
          <w:color w:val="000000" w:themeColor="text1"/>
        </w:rPr>
      </w:pPr>
      <w:r>
        <w:rPr>
          <w:rFonts w:ascii="Arial" w:hAnsi="Arial" w:cs="Arial"/>
          <w:b/>
          <w:noProof/>
          <w:color w:val="000000" w:themeColor="text1"/>
          <w:lang w:val="en-US"/>
        </w:rPr>
        <w:drawing>
          <wp:inline distT="0" distB="0" distL="0" distR="0" wp14:anchorId="31D45B36" wp14:editId="3ABBF78A">
            <wp:extent cx="4086225" cy="2372914"/>
            <wp:effectExtent l="0" t="0" r="3175" b="2540"/>
            <wp:docPr id="2026623739" name="Imagen 202662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a de Pantalla 2020-06-17 a la(s) 1.53.45.png"/>
                    <pic:cNvPicPr/>
                  </pic:nvPicPr>
                  <pic:blipFill>
                    <a:blip r:embed="rId1248"/>
                    <a:stretch>
                      <a:fillRect/>
                    </a:stretch>
                  </pic:blipFill>
                  <pic:spPr>
                    <a:xfrm>
                      <a:off x="0" y="0"/>
                      <a:ext cx="4134932" cy="2401199"/>
                    </a:xfrm>
                    <a:prstGeom prst="rect">
                      <a:avLst/>
                    </a:prstGeom>
                  </pic:spPr>
                </pic:pic>
              </a:graphicData>
            </a:graphic>
          </wp:inline>
        </w:drawing>
      </w:r>
    </w:p>
    <w:p w:rsidR="003F0296" w:rsidRPr="001855DA" w:rsidRDefault="003F0296" w:rsidP="003F0296">
      <w:pPr>
        <w:jc w:val="center"/>
        <w:rPr>
          <w:rFonts w:ascii="Arial" w:hAnsi="Arial" w:cs="Arial"/>
          <w:i/>
          <w:color w:val="000000" w:themeColor="text1"/>
          <w:sz w:val="20"/>
          <w:szCs w:val="20"/>
        </w:rPr>
      </w:pPr>
      <w:r w:rsidRPr="006C6122">
        <w:rPr>
          <w:rFonts w:ascii="Arial" w:hAnsi="Arial" w:cs="Arial"/>
          <w:b/>
          <w:i/>
          <w:color w:val="000000" w:themeColor="text1"/>
          <w:sz w:val="20"/>
          <w:szCs w:val="20"/>
        </w:rPr>
        <w:t>Figura 6:</w:t>
      </w:r>
      <w:r w:rsidRPr="006C6122">
        <w:rPr>
          <w:rFonts w:ascii="Arial" w:hAnsi="Arial" w:cs="Arial"/>
          <w:i/>
          <w:color w:val="000000" w:themeColor="text1"/>
          <w:sz w:val="20"/>
          <w:szCs w:val="20"/>
        </w:rPr>
        <w:t xml:space="preserve"> Promedio del porcentaje de integridad acrosomal para dependiendo el tipo de NPPs-Q. *Diferencias significativas p&lt;0.05.</w:t>
      </w:r>
    </w:p>
    <w:p w:rsidR="003F0296" w:rsidRDefault="003F0296" w:rsidP="003F0296">
      <w:pPr>
        <w:jc w:val="both"/>
        <w:rPr>
          <w:rFonts w:ascii="Arial" w:hAnsi="Arial" w:cs="Arial"/>
          <w:b/>
          <w:color w:val="000000" w:themeColor="text1"/>
        </w:rPr>
      </w:pPr>
    </w:p>
    <w:p w:rsidR="003F0296" w:rsidRDefault="003F0296" w:rsidP="003F0296">
      <w:pPr>
        <w:jc w:val="both"/>
        <w:rPr>
          <w:rFonts w:ascii="Arial" w:hAnsi="Arial" w:cs="Arial"/>
          <w:b/>
          <w:color w:val="000000" w:themeColor="text1"/>
        </w:rPr>
      </w:pPr>
    </w:p>
    <w:p w:rsidR="003F0296" w:rsidRPr="00F3387F" w:rsidRDefault="003F0296" w:rsidP="00CC49EB">
      <w:pPr>
        <w:pStyle w:val="1Titulo"/>
        <w:numPr>
          <w:ilvl w:val="0"/>
          <w:numId w:val="0"/>
        </w:numPr>
        <w:ind w:left="357"/>
      </w:pPr>
      <w:bookmarkStart w:id="360" w:name="_Toc50031407"/>
      <w:r w:rsidRPr="00F3387F">
        <w:t>5.- Conclusiones</w:t>
      </w:r>
      <w:bookmarkEnd w:id="360"/>
    </w:p>
    <w:p w:rsidR="003F0296" w:rsidRPr="00601548" w:rsidRDefault="003F0296" w:rsidP="003F0296">
      <w:pPr>
        <w:jc w:val="both"/>
        <w:rPr>
          <w:rFonts w:ascii="Arial" w:hAnsi="Arial" w:cs="Arial"/>
          <w:color w:val="000000" w:themeColor="text1"/>
        </w:rPr>
      </w:pPr>
    </w:p>
    <w:p w:rsidR="003F0296" w:rsidRDefault="003F0296" w:rsidP="003F0296">
      <w:pPr>
        <w:ind w:firstLine="567"/>
        <w:jc w:val="both"/>
        <w:rPr>
          <w:rFonts w:ascii="Arial" w:hAnsi="Arial" w:cs="Arial"/>
          <w:color w:val="000000" w:themeColor="text1"/>
        </w:rPr>
      </w:pPr>
      <w:r>
        <w:rPr>
          <w:rFonts w:ascii="Arial" w:hAnsi="Arial" w:cs="Arial"/>
          <w:color w:val="000000" w:themeColor="text1"/>
        </w:rPr>
        <w:lastRenderedPageBreak/>
        <w:t>Las nanopartículas poliméricas de quitosán sin filtrar (NPPs-Q-SIN-FIL) en un medio de incubación con BTS (</w:t>
      </w:r>
      <w:r w:rsidRPr="00601548">
        <w:rPr>
          <w:rFonts w:ascii="Arial" w:hAnsi="Arial" w:cs="Arial"/>
          <w:color w:val="000000" w:themeColor="text1"/>
        </w:rPr>
        <w:t>Be</w:t>
      </w:r>
      <w:r>
        <w:rPr>
          <w:rFonts w:ascii="Arial" w:hAnsi="Arial" w:cs="Arial"/>
          <w:color w:val="000000" w:themeColor="text1"/>
        </w:rPr>
        <w:t>l</w:t>
      </w:r>
      <w:r w:rsidRPr="00601548">
        <w:rPr>
          <w:rFonts w:ascii="Arial" w:hAnsi="Arial" w:cs="Arial"/>
          <w:color w:val="000000" w:themeColor="text1"/>
        </w:rPr>
        <w:t>tsville Thawing</w:t>
      </w:r>
      <w:r>
        <w:rPr>
          <w:rFonts w:ascii="Arial" w:hAnsi="Arial" w:cs="Arial"/>
          <w:color w:val="000000" w:themeColor="text1"/>
        </w:rPr>
        <w:t xml:space="preserve"> Solution</w:t>
      </w:r>
      <w:r w:rsidRPr="00601548">
        <w:rPr>
          <w:rFonts w:ascii="Arial" w:hAnsi="Arial" w:cs="Arial"/>
          <w:color w:val="000000" w:themeColor="text1"/>
        </w:rPr>
        <w:t>)</w:t>
      </w:r>
      <w:r>
        <w:rPr>
          <w:rFonts w:ascii="Arial" w:hAnsi="Arial" w:cs="Arial"/>
          <w:color w:val="000000" w:themeColor="text1"/>
        </w:rPr>
        <w:t xml:space="preserve"> a concentraciones no mayores de 50</w:t>
      </w:r>
      <m:oMath>
        <m:r>
          <w:rPr>
            <w:rFonts w:ascii="Cambria Math" w:hAnsi="Cambria Math" w:cs="Arial"/>
            <w:color w:val="000000" w:themeColor="text1"/>
          </w:rPr>
          <m:t xml:space="preserve"> μl/ml </m:t>
        </m:r>
      </m:oMath>
      <w:r>
        <w:rPr>
          <w:rFonts w:ascii="Arial" w:hAnsi="Arial" w:cs="Arial"/>
          <w:color w:val="000000" w:themeColor="text1"/>
        </w:rPr>
        <w:t>e incubadas por un tiempo no mayor a una hora podrían ser utilizadas para mantener estable la viabilidad y la integridad acrosomal de los espermatozoides de cerdo. Estos datos podrían ser utilizados como parte del protocolo para la crioconservación de semen por lo que es importante continuar con los trabajos de toxicidad en donde se relacione con la caracterización de las nanopartículas, ya que el tamaño y forma son parte importante de la interación que puedan tener con las células.</w:t>
      </w:r>
    </w:p>
    <w:p w:rsidR="003F0296" w:rsidRDefault="003F0296" w:rsidP="003F0296">
      <w:pPr>
        <w:jc w:val="both"/>
        <w:rPr>
          <w:rFonts w:ascii="Arial" w:hAnsi="Arial" w:cs="Arial"/>
          <w:color w:val="000000" w:themeColor="text1"/>
        </w:rPr>
      </w:pPr>
    </w:p>
    <w:p w:rsidR="003F0296" w:rsidRPr="00601548" w:rsidRDefault="003F0296" w:rsidP="003F0296">
      <w:pPr>
        <w:jc w:val="both"/>
        <w:rPr>
          <w:rFonts w:ascii="Arial" w:hAnsi="Arial" w:cs="Arial"/>
          <w:color w:val="000000" w:themeColor="text1"/>
        </w:rPr>
      </w:pPr>
    </w:p>
    <w:p w:rsidR="003F0296" w:rsidRDefault="003F0296" w:rsidP="003F0296">
      <w:pPr>
        <w:jc w:val="both"/>
        <w:rPr>
          <w:rFonts w:ascii="Arial" w:hAnsi="Arial" w:cs="Arial"/>
          <w:color w:val="000000" w:themeColor="text1"/>
        </w:rPr>
      </w:pPr>
      <w:r>
        <w:rPr>
          <w:rFonts w:ascii="Arial" w:hAnsi="Arial" w:cs="Arial"/>
          <w:color w:val="000000" w:themeColor="text1"/>
        </w:rPr>
        <w:t>AGRADECIMIENTOS:</w:t>
      </w:r>
    </w:p>
    <w:p w:rsidR="003F0296" w:rsidRDefault="003F0296" w:rsidP="003F0296">
      <w:pPr>
        <w:jc w:val="both"/>
        <w:rPr>
          <w:rFonts w:ascii="Arial" w:hAnsi="Arial" w:cs="Arial"/>
          <w:color w:val="000000" w:themeColor="text1"/>
        </w:rPr>
      </w:pPr>
      <w:r>
        <w:rPr>
          <w:rFonts w:ascii="Arial" w:hAnsi="Arial" w:cs="Arial"/>
          <w:color w:val="000000" w:themeColor="text1"/>
        </w:rPr>
        <w:t>Proyecto financiado por DGAPA-UNAM:PAPIIT IN219717 y CONACYT: 968596.</w:t>
      </w:r>
    </w:p>
    <w:p w:rsidR="003F0296" w:rsidRPr="00FA328D" w:rsidRDefault="003F0296" w:rsidP="003F0296">
      <w:pPr>
        <w:jc w:val="both"/>
        <w:rPr>
          <w:rFonts w:ascii="Arial" w:hAnsi="Arial" w:cs="Arial"/>
          <w:b/>
          <w:color w:val="000000" w:themeColor="text1"/>
        </w:rPr>
      </w:pPr>
    </w:p>
    <w:p w:rsidR="003F0296" w:rsidRPr="00FA328D" w:rsidRDefault="003F0296" w:rsidP="003F0296">
      <w:pPr>
        <w:jc w:val="both"/>
        <w:rPr>
          <w:rFonts w:ascii="Arial" w:hAnsi="Arial" w:cs="Arial"/>
          <w:color w:val="000000" w:themeColor="text1"/>
        </w:rPr>
      </w:pPr>
    </w:p>
    <w:p w:rsidR="003F0296" w:rsidRPr="00CC49EB" w:rsidRDefault="003F0296" w:rsidP="00CC49EB">
      <w:pPr>
        <w:pStyle w:val="1Titulo"/>
        <w:numPr>
          <w:ilvl w:val="0"/>
          <w:numId w:val="0"/>
        </w:numPr>
        <w:ind w:left="357"/>
        <w:rPr>
          <w:lang w:val="en-US"/>
        </w:rPr>
      </w:pPr>
      <w:bookmarkStart w:id="361" w:name="_Toc50031408"/>
      <w:r w:rsidRPr="00CC49EB">
        <w:rPr>
          <w:lang w:val="en-US"/>
        </w:rPr>
        <w:t>6.-Bibliografía</w:t>
      </w:r>
      <w:bookmarkEnd w:id="361"/>
    </w:p>
    <w:p w:rsidR="003F0296" w:rsidRPr="009C1828" w:rsidRDefault="003F0296" w:rsidP="003F0296">
      <w:pPr>
        <w:jc w:val="both"/>
        <w:rPr>
          <w:rFonts w:ascii="Arial" w:hAnsi="Arial" w:cs="Arial"/>
          <w:color w:val="000000" w:themeColor="text1"/>
          <w:lang w:val="en-US"/>
        </w:rPr>
      </w:pPr>
    </w:p>
    <w:p w:rsidR="003F0296" w:rsidRDefault="003F0296" w:rsidP="003F0296">
      <w:pPr>
        <w:jc w:val="both"/>
        <w:rPr>
          <w:rFonts w:ascii="Arial" w:hAnsi="Arial" w:cs="Arial"/>
          <w:color w:val="000000" w:themeColor="text1"/>
          <w:lang w:val="en-US"/>
        </w:rPr>
      </w:pPr>
      <w:r>
        <w:rPr>
          <w:rFonts w:ascii="Arial" w:hAnsi="Arial" w:cs="Arial"/>
          <w:color w:val="000000" w:themeColor="text1"/>
          <w:lang w:val="en-US"/>
        </w:rPr>
        <w:t xml:space="preserve">     </w:t>
      </w:r>
      <w:r w:rsidRPr="009C1828">
        <w:rPr>
          <w:rFonts w:ascii="Arial" w:hAnsi="Arial" w:cs="Arial"/>
          <w:color w:val="000000" w:themeColor="text1"/>
          <w:lang w:val="en-US"/>
        </w:rPr>
        <w:t>1.- Das J, Choi Y-J, Song H., and Kim J-H. Potencial toxicity of engineered</w:t>
      </w:r>
      <w:r>
        <w:rPr>
          <w:rFonts w:ascii="Arial" w:hAnsi="Arial" w:cs="Arial"/>
          <w:color w:val="000000" w:themeColor="text1"/>
          <w:lang w:val="en-US"/>
        </w:rPr>
        <w:t xml:space="preserve"> </w:t>
      </w:r>
      <w:r w:rsidRPr="009C1828">
        <w:rPr>
          <w:rFonts w:ascii="Arial" w:hAnsi="Arial" w:cs="Arial"/>
          <w:color w:val="000000" w:themeColor="text1"/>
          <w:lang w:val="en-US"/>
        </w:rPr>
        <w:t>nanoparticles in mammalian germ cells and developing embryos: treatment strategies and anticipated applications of nanoparticles in gene delivery. Human Reproduction Update. 22:5 (2016).</w:t>
      </w:r>
    </w:p>
    <w:p w:rsidR="003F0296" w:rsidRPr="009C1828" w:rsidRDefault="003F0296" w:rsidP="003F0296">
      <w:pPr>
        <w:ind w:left="567"/>
        <w:jc w:val="both"/>
        <w:rPr>
          <w:rFonts w:ascii="Arial" w:hAnsi="Arial" w:cs="Arial"/>
          <w:noProof/>
          <w:lang w:val="en-US"/>
        </w:rPr>
      </w:pPr>
    </w:p>
    <w:p w:rsidR="003F0296" w:rsidRDefault="003F0296" w:rsidP="003F0296">
      <w:pPr>
        <w:jc w:val="both"/>
        <w:rPr>
          <w:rFonts w:ascii="Arial" w:hAnsi="Arial" w:cs="Arial"/>
          <w:noProof/>
          <w:color w:val="000000" w:themeColor="text1"/>
          <w:lang w:val="en-US"/>
        </w:rPr>
      </w:pPr>
      <w:r>
        <w:rPr>
          <w:rFonts w:ascii="Arial" w:hAnsi="Arial" w:cs="Arial"/>
          <w:color w:val="000000" w:themeColor="text1"/>
          <w:lang w:val="en-US"/>
        </w:rPr>
        <w:t xml:space="preserve">     </w:t>
      </w:r>
      <w:r w:rsidRPr="009C1828">
        <w:rPr>
          <w:rFonts w:ascii="Arial" w:hAnsi="Arial" w:cs="Arial"/>
          <w:noProof/>
          <w:color w:val="000000" w:themeColor="text1"/>
          <w:lang w:val="en-US"/>
        </w:rPr>
        <w:t>2.- Barkalina N., Jones C., Kashir J., Coote S., Huang X., Morrison R., Townley H. &amp; Coward K. Effects of mesoporous silica nanoparticles upon the function of mammalian sperm in vitro. Nanomedicine: Nanotechnology, Biology, and Medicine.10:859-870 (2014).</w:t>
      </w:r>
    </w:p>
    <w:p w:rsidR="003F0296" w:rsidRDefault="003F0296" w:rsidP="003F0296">
      <w:pPr>
        <w:ind w:left="567"/>
        <w:jc w:val="both"/>
        <w:rPr>
          <w:rFonts w:ascii="Arial" w:hAnsi="Arial" w:cs="Arial"/>
          <w:noProof/>
          <w:lang w:val="en-US"/>
        </w:rPr>
      </w:pPr>
    </w:p>
    <w:p w:rsidR="003F0296" w:rsidRDefault="003F0296" w:rsidP="003F0296">
      <w:pPr>
        <w:jc w:val="both"/>
        <w:rPr>
          <w:rFonts w:ascii="Arial" w:hAnsi="Arial" w:cs="Arial"/>
          <w:noProof/>
          <w:color w:val="000000" w:themeColor="text1"/>
        </w:rPr>
      </w:pPr>
      <w:r>
        <w:rPr>
          <w:rFonts w:ascii="Arial" w:hAnsi="Arial" w:cs="Arial"/>
          <w:color w:val="000000" w:themeColor="text1"/>
          <w:lang w:val="en-US"/>
        </w:rPr>
        <w:t xml:space="preserve">     </w:t>
      </w:r>
      <w:r w:rsidRPr="009C1828">
        <w:rPr>
          <w:rFonts w:ascii="Arial" w:hAnsi="Arial" w:cs="Arial"/>
          <w:color w:val="000000" w:themeColor="text1"/>
          <w:lang w:val="en-US"/>
        </w:rPr>
        <w:t xml:space="preserve">3.- </w:t>
      </w:r>
      <w:r w:rsidRPr="009C1828">
        <w:rPr>
          <w:rFonts w:ascii="Arial" w:hAnsi="Arial" w:cs="Arial"/>
          <w:noProof/>
          <w:color w:val="000000" w:themeColor="text1"/>
          <w:lang w:val="en-US"/>
        </w:rPr>
        <w:t>Castro J.S.A., Härter R.M., Gomes L.C., Borges D.W. Silveira T. Dame P.J. Jornada D.S. Dahl C.C., Varela J.A.S., Prado W.A. Farias C.V. Kö</w:t>
      </w:r>
      <w:r>
        <w:rPr>
          <w:rFonts w:ascii="Arial" w:hAnsi="Arial" w:cs="Arial"/>
          <w:noProof/>
          <w:color w:val="000000" w:themeColor="text1"/>
          <w:lang w:val="en-US"/>
        </w:rPr>
        <w:t>mmling</w:t>
      </w:r>
      <w:r w:rsidRPr="009C1828">
        <w:rPr>
          <w:rFonts w:ascii="Arial" w:hAnsi="Arial" w:cs="Arial"/>
          <w:noProof/>
          <w:color w:val="000000" w:themeColor="text1"/>
          <w:lang w:val="en-US"/>
        </w:rPr>
        <w:t xml:space="preserve"> </w:t>
      </w:r>
      <w:r>
        <w:rPr>
          <w:rFonts w:ascii="Arial" w:hAnsi="Arial" w:cs="Arial"/>
          <w:noProof/>
          <w:color w:val="000000" w:themeColor="text1"/>
          <w:lang w:val="en-US"/>
        </w:rPr>
        <w:t>S</w:t>
      </w:r>
      <w:r w:rsidRPr="009C1828">
        <w:rPr>
          <w:rFonts w:ascii="Arial" w:hAnsi="Arial" w:cs="Arial"/>
          <w:noProof/>
          <w:color w:val="000000" w:themeColor="text1"/>
          <w:lang w:val="en-US"/>
        </w:rPr>
        <w:t xml:space="preserve">. </w:t>
      </w:r>
      <w:r>
        <w:rPr>
          <w:rFonts w:ascii="Arial" w:hAnsi="Arial" w:cs="Arial"/>
          <w:noProof/>
          <w:color w:val="000000" w:themeColor="text1"/>
          <w:lang w:val="en-US"/>
        </w:rPr>
        <w:t>Guterres S</w:t>
      </w:r>
      <w:r w:rsidRPr="009C1828">
        <w:rPr>
          <w:rFonts w:ascii="Arial" w:hAnsi="Arial" w:cs="Arial"/>
          <w:noProof/>
          <w:color w:val="000000" w:themeColor="text1"/>
          <w:lang w:val="en-US"/>
        </w:rPr>
        <w:t xml:space="preserve">., Pohlmann A. &amp; Collares T. Effects of chitosan-Coated lipid-core nanocapsules on bovine sperm cells. </w:t>
      </w:r>
      <w:r w:rsidRPr="009C1828">
        <w:rPr>
          <w:rFonts w:ascii="Arial" w:hAnsi="Arial" w:cs="Arial"/>
          <w:noProof/>
          <w:color w:val="000000" w:themeColor="text1"/>
        </w:rPr>
        <w:t xml:space="preserve">Toxicol in vitro. 40:214-222 </w:t>
      </w:r>
      <w:r>
        <w:rPr>
          <w:rFonts w:ascii="Arial" w:hAnsi="Arial" w:cs="Arial"/>
          <w:noProof/>
          <w:color w:val="000000" w:themeColor="text1"/>
        </w:rPr>
        <w:t>(</w:t>
      </w:r>
      <w:r w:rsidRPr="009C1828">
        <w:rPr>
          <w:rFonts w:ascii="Arial" w:hAnsi="Arial" w:cs="Arial"/>
          <w:noProof/>
          <w:color w:val="000000" w:themeColor="text1"/>
        </w:rPr>
        <w:t>2017</w:t>
      </w:r>
      <w:r>
        <w:rPr>
          <w:rFonts w:ascii="Arial" w:hAnsi="Arial" w:cs="Arial"/>
          <w:noProof/>
          <w:color w:val="000000" w:themeColor="text1"/>
        </w:rPr>
        <w:t>)</w:t>
      </w:r>
      <w:r w:rsidRPr="009C1828">
        <w:rPr>
          <w:rFonts w:ascii="Arial" w:hAnsi="Arial" w:cs="Arial"/>
          <w:noProof/>
          <w:color w:val="000000" w:themeColor="text1"/>
        </w:rPr>
        <w:t>.</w:t>
      </w:r>
    </w:p>
    <w:p w:rsidR="003F0296" w:rsidRPr="002E6DEA" w:rsidRDefault="003F0296" w:rsidP="003F0296">
      <w:pPr>
        <w:ind w:left="567"/>
        <w:jc w:val="both"/>
        <w:rPr>
          <w:rFonts w:ascii="Arial" w:hAnsi="Arial" w:cs="Arial"/>
          <w:noProof/>
        </w:rPr>
      </w:pPr>
    </w:p>
    <w:p w:rsidR="003F0296" w:rsidRDefault="003F0296" w:rsidP="003F0296">
      <w:pPr>
        <w:jc w:val="both"/>
        <w:rPr>
          <w:rFonts w:ascii="Arial" w:hAnsi="Arial" w:cs="Arial"/>
          <w:noProof/>
        </w:rPr>
      </w:pPr>
      <w:r w:rsidRPr="00C60A36">
        <w:rPr>
          <w:rFonts w:ascii="Arial" w:hAnsi="Arial" w:cs="Arial"/>
          <w:color w:val="000000" w:themeColor="text1"/>
        </w:rPr>
        <w:t xml:space="preserve">     </w:t>
      </w:r>
      <w:r w:rsidRPr="009C1828">
        <w:rPr>
          <w:rFonts w:ascii="Arial" w:hAnsi="Arial" w:cs="Arial"/>
          <w:noProof/>
          <w:color w:val="000000" w:themeColor="text1"/>
        </w:rPr>
        <w:t xml:space="preserve">4.- </w:t>
      </w:r>
      <w:r w:rsidRPr="009C1828">
        <w:rPr>
          <w:rFonts w:ascii="Arial" w:hAnsi="Arial" w:cs="Arial"/>
          <w:noProof/>
        </w:rPr>
        <w:t>Juárez M. M.L., Díaz T. R., Córdova I. A., Lara J. E. R., Gutiérrez P. O., &amp; Cornejo C. M. Á. Evaluación del uso de nanopartículas para mantener la viabilidad de los espermatozoides de verraco sometidos al proceso de criopreservación. Compendio de ciencias aplicadas.</w:t>
      </w:r>
      <w:r w:rsidRPr="00FA328D">
        <w:rPr>
          <w:rFonts w:ascii="Arial" w:hAnsi="Arial" w:cs="Arial"/>
          <w:noProof/>
        </w:rPr>
        <w:t>169-179</w:t>
      </w:r>
      <w:r>
        <w:rPr>
          <w:rFonts w:ascii="Arial" w:hAnsi="Arial" w:cs="Arial"/>
          <w:noProof/>
        </w:rPr>
        <w:t xml:space="preserve"> (</w:t>
      </w:r>
      <w:r w:rsidRPr="00FA328D">
        <w:rPr>
          <w:rFonts w:ascii="Arial" w:hAnsi="Arial" w:cs="Arial"/>
          <w:noProof/>
        </w:rPr>
        <w:t>2018</w:t>
      </w:r>
      <w:r>
        <w:rPr>
          <w:rFonts w:ascii="Arial" w:hAnsi="Arial" w:cs="Arial"/>
          <w:noProof/>
        </w:rPr>
        <w:t>).</w:t>
      </w:r>
    </w:p>
    <w:p w:rsidR="003F0296" w:rsidRPr="00FA328D" w:rsidRDefault="003F0296" w:rsidP="003F0296">
      <w:pPr>
        <w:ind w:left="567"/>
        <w:jc w:val="both"/>
        <w:rPr>
          <w:rFonts w:ascii="Arial" w:hAnsi="Arial" w:cs="Arial"/>
          <w:noProof/>
        </w:rPr>
      </w:pPr>
    </w:p>
    <w:p w:rsidR="003F0296" w:rsidRDefault="003F0296" w:rsidP="003F0296">
      <w:pPr>
        <w:jc w:val="both"/>
        <w:rPr>
          <w:rFonts w:ascii="Arial" w:hAnsi="Arial" w:cs="Arial"/>
          <w:color w:val="000000" w:themeColor="text1"/>
          <w:lang w:val="en-US"/>
        </w:rPr>
      </w:pPr>
      <w:r w:rsidRPr="00FB2DBC">
        <w:rPr>
          <w:rFonts w:ascii="Arial" w:hAnsi="Arial" w:cs="Arial"/>
          <w:color w:val="000000" w:themeColor="text1"/>
        </w:rPr>
        <w:lastRenderedPageBreak/>
        <w:t xml:space="preserve">     5.- Durfey C.L., Swistek S.E., Liao S.F., Crenshaw M., Clemente H.J., Thirumalai R.V.K.G., Steadman C.S., Ryan P.L. Willard S.T. &amp; Feugang J.M. Nanotechnology-based approach for safer enrichment of semen with best spermatozoa. </w:t>
      </w:r>
      <w:r w:rsidRPr="009C1828">
        <w:rPr>
          <w:rFonts w:ascii="Arial" w:hAnsi="Arial" w:cs="Arial"/>
          <w:color w:val="000000" w:themeColor="text1"/>
          <w:lang w:val="en-US"/>
        </w:rPr>
        <w:t>Journal of Animal Science and Biotechnology. 10:14 (2019).</w:t>
      </w:r>
    </w:p>
    <w:p w:rsidR="003F0296" w:rsidRPr="009C1828" w:rsidRDefault="003F0296" w:rsidP="003F0296">
      <w:pPr>
        <w:ind w:left="567"/>
        <w:jc w:val="both"/>
        <w:rPr>
          <w:rFonts w:ascii="Arial" w:hAnsi="Arial" w:cs="Arial"/>
          <w:noProof/>
          <w:lang w:val="en-US"/>
        </w:rPr>
      </w:pPr>
    </w:p>
    <w:p w:rsidR="003F0296" w:rsidRPr="009C1828" w:rsidRDefault="003F0296" w:rsidP="003F0296">
      <w:pPr>
        <w:jc w:val="both"/>
        <w:rPr>
          <w:rFonts w:ascii="Arial" w:hAnsi="Arial" w:cs="Arial"/>
          <w:noProof/>
          <w:lang w:val="en-US"/>
        </w:rPr>
      </w:pPr>
      <w:r>
        <w:rPr>
          <w:rFonts w:ascii="Arial" w:hAnsi="Arial" w:cs="Arial"/>
          <w:color w:val="000000" w:themeColor="text1"/>
          <w:lang w:val="en-US"/>
        </w:rPr>
        <w:t xml:space="preserve">     </w:t>
      </w:r>
      <w:r w:rsidRPr="009C1828">
        <w:rPr>
          <w:rFonts w:ascii="Arial" w:hAnsi="Arial" w:cs="Arial"/>
          <w:noProof/>
          <w:color w:val="000000" w:themeColor="text1"/>
          <w:lang w:val="en-US"/>
        </w:rPr>
        <w:t xml:space="preserve">6.- </w:t>
      </w:r>
      <w:r w:rsidRPr="009C1828">
        <w:rPr>
          <w:rFonts w:ascii="Arial" w:hAnsi="Arial" w:cs="Arial"/>
          <w:noProof/>
          <w:lang w:val="en-US"/>
        </w:rPr>
        <w:t xml:space="preserve">Liu Q., Xu C., Ji G., Liu H., Mo Y., Tolllerud D.J., Gu A. &amp; Zhang Q. Subletal effects of zinc oxide nanoparticles on male reproductive cells. </w:t>
      </w:r>
      <w:r w:rsidRPr="00FA328D">
        <w:rPr>
          <w:rFonts w:ascii="Arial" w:hAnsi="Arial" w:cs="Arial"/>
          <w:noProof/>
          <w:lang w:val="en-US"/>
        </w:rPr>
        <w:t xml:space="preserve">Toxicol in vitro. </w:t>
      </w:r>
      <w:r w:rsidRPr="009C1828">
        <w:rPr>
          <w:rFonts w:ascii="Arial" w:hAnsi="Arial" w:cs="Arial"/>
          <w:noProof/>
          <w:lang w:val="en-US"/>
        </w:rPr>
        <w:t>35: 131-138</w:t>
      </w:r>
      <w:r>
        <w:rPr>
          <w:rFonts w:ascii="Arial" w:hAnsi="Arial" w:cs="Arial"/>
          <w:noProof/>
          <w:lang w:val="en-US"/>
        </w:rPr>
        <w:t xml:space="preserve"> (</w:t>
      </w:r>
      <w:r w:rsidRPr="00FA328D">
        <w:rPr>
          <w:rFonts w:ascii="Arial" w:hAnsi="Arial" w:cs="Arial"/>
          <w:noProof/>
          <w:lang w:val="en-US"/>
        </w:rPr>
        <w:t>2016</w:t>
      </w:r>
      <w:r>
        <w:rPr>
          <w:rFonts w:ascii="Arial" w:hAnsi="Arial" w:cs="Arial"/>
          <w:noProof/>
          <w:lang w:val="en-US"/>
        </w:rPr>
        <w:t>).</w:t>
      </w:r>
    </w:p>
    <w:p w:rsidR="003F0296" w:rsidRDefault="003F0296" w:rsidP="003F0296">
      <w:pPr>
        <w:jc w:val="both"/>
        <w:rPr>
          <w:rFonts w:ascii="Arial" w:hAnsi="Arial" w:cs="Arial"/>
          <w:color w:val="000000" w:themeColor="text1"/>
        </w:rPr>
      </w:pPr>
      <w:r>
        <w:rPr>
          <w:rFonts w:ascii="Arial" w:hAnsi="Arial" w:cs="Arial"/>
          <w:color w:val="000000" w:themeColor="text1"/>
          <w:lang w:val="en-US"/>
        </w:rPr>
        <w:t xml:space="preserve">     </w:t>
      </w:r>
      <w:r w:rsidRPr="009C1828">
        <w:rPr>
          <w:rFonts w:ascii="Arial" w:hAnsi="Arial" w:cs="Arial"/>
          <w:noProof/>
          <w:color w:val="000000" w:themeColor="text1"/>
          <w:lang w:val="en-US"/>
        </w:rPr>
        <w:t>7.-</w:t>
      </w:r>
      <w:r w:rsidRPr="009C1828">
        <w:rPr>
          <w:rFonts w:ascii="Arial" w:hAnsi="Arial" w:cs="Arial"/>
          <w:color w:val="000000" w:themeColor="text1"/>
          <w:lang w:val="en-US"/>
        </w:rPr>
        <w:t xml:space="preserve"> Kean T. &amp; Thanou M. Biodegradation, biodistribution and toxicity of chitosan. </w:t>
      </w:r>
      <w:r w:rsidRPr="00FA328D">
        <w:rPr>
          <w:rFonts w:ascii="Arial" w:hAnsi="Arial" w:cs="Arial"/>
          <w:color w:val="000000" w:themeColor="text1"/>
        </w:rPr>
        <w:t xml:space="preserve">Advanced Drug Delivery Reviews. 62: 3-11 </w:t>
      </w:r>
      <w:r w:rsidRPr="009C1828">
        <w:rPr>
          <w:rFonts w:ascii="Arial" w:hAnsi="Arial" w:cs="Arial"/>
          <w:color w:val="000000" w:themeColor="text1"/>
        </w:rPr>
        <w:t>(2010).</w:t>
      </w:r>
    </w:p>
    <w:p w:rsidR="003F0296" w:rsidRPr="009C1828" w:rsidRDefault="003F0296" w:rsidP="003F0296">
      <w:pPr>
        <w:ind w:left="567"/>
        <w:jc w:val="both"/>
        <w:rPr>
          <w:rFonts w:ascii="Arial" w:hAnsi="Arial" w:cs="Arial"/>
          <w:noProof/>
        </w:rPr>
      </w:pPr>
    </w:p>
    <w:p w:rsidR="003F0296" w:rsidRDefault="003F0296" w:rsidP="003F0296">
      <w:pPr>
        <w:jc w:val="both"/>
        <w:rPr>
          <w:rFonts w:ascii="Arial" w:hAnsi="Arial" w:cs="Arial"/>
          <w:noProof/>
        </w:rPr>
      </w:pPr>
      <w:r w:rsidRPr="00C60A36">
        <w:rPr>
          <w:rFonts w:ascii="Arial" w:hAnsi="Arial" w:cs="Arial"/>
          <w:color w:val="000000" w:themeColor="text1"/>
        </w:rPr>
        <w:t xml:space="preserve">     </w:t>
      </w:r>
      <w:r w:rsidRPr="009C1828">
        <w:rPr>
          <w:rFonts w:ascii="Arial" w:hAnsi="Arial" w:cs="Arial"/>
          <w:noProof/>
        </w:rPr>
        <w:t xml:space="preserve">8.- Expósito H. R. Quitosanto, un biopolímero con aplicaciones en sistemas de liberación controlada de fármacos (Tesis doctoral). Universidad Complutense de Madrid, Facultad de Ciencias Biológicas </w:t>
      </w:r>
      <w:r>
        <w:rPr>
          <w:rFonts w:ascii="Arial" w:hAnsi="Arial" w:cs="Arial"/>
          <w:noProof/>
        </w:rPr>
        <w:t>(</w:t>
      </w:r>
      <w:r w:rsidRPr="009C1828">
        <w:rPr>
          <w:rFonts w:ascii="Arial" w:hAnsi="Arial" w:cs="Arial"/>
          <w:noProof/>
        </w:rPr>
        <w:t>2010</w:t>
      </w:r>
      <w:r>
        <w:rPr>
          <w:rFonts w:ascii="Arial" w:hAnsi="Arial" w:cs="Arial"/>
          <w:noProof/>
        </w:rPr>
        <w:t>)</w:t>
      </w:r>
      <w:r w:rsidRPr="009C1828">
        <w:rPr>
          <w:rFonts w:ascii="Arial" w:hAnsi="Arial" w:cs="Arial"/>
          <w:noProof/>
        </w:rPr>
        <w:t>.</w:t>
      </w:r>
    </w:p>
    <w:p w:rsidR="003F0296" w:rsidRPr="009C1828" w:rsidRDefault="003F0296" w:rsidP="003F0296">
      <w:pPr>
        <w:ind w:left="567"/>
        <w:jc w:val="both"/>
        <w:rPr>
          <w:rFonts w:ascii="Arial" w:hAnsi="Arial" w:cs="Arial"/>
          <w:noProof/>
        </w:rPr>
      </w:pPr>
    </w:p>
    <w:p w:rsidR="003F0296" w:rsidRDefault="003F0296" w:rsidP="003F0296">
      <w:pPr>
        <w:jc w:val="both"/>
        <w:rPr>
          <w:rFonts w:ascii="Arial" w:hAnsi="Arial" w:cs="Arial"/>
          <w:color w:val="333333"/>
          <w:spacing w:val="2"/>
          <w:shd w:val="clear" w:color="auto" w:fill="FFFFFF"/>
          <w:lang w:val="en-US"/>
        </w:rPr>
      </w:pPr>
      <w:r w:rsidRPr="00FB2DBC">
        <w:rPr>
          <w:rFonts w:ascii="Arial" w:hAnsi="Arial" w:cs="Arial"/>
          <w:color w:val="000000" w:themeColor="text1"/>
        </w:rPr>
        <w:t xml:space="preserve">     </w:t>
      </w:r>
      <w:r w:rsidRPr="00FB2DBC">
        <w:rPr>
          <w:rFonts w:ascii="Arial" w:hAnsi="Arial" w:cs="Arial"/>
          <w:noProof/>
          <w:color w:val="000000" w:themeColor="text1"/>
        </w:rPr>
        <w:t>9</w:t>
      </w:r>
      <w:r w:rsidRPr="00FB2DBC">
        <w:rPr>
          <w:rFonts w:ascii="Arial" w:hAnsi="Arial" w:cs="Arial"/>
          <w:noProof/>
        </w:rPr>
        <w:t>.-</w:t>
      </w:r>
      <w:r w:rsidRPr="00FB2DBC">
        <w:rPr>
          <w:rFonts w:ascii="Arial" w:hAnsi="Arial" w:cs="Arial"/>
          <w:spacing w:val="2"/>
          <w:shd w:val="clear" w:color="auto" w:fill="FFFFFF"/>
        </w:rPr>
        <w:t xml:space="preserve"> Jardón S. García C. G. Quintanar D., Nieto J.L. Juárez M.M.L. &amp; Mendoza S. E. Effect of two glycyrrhizinic acid nanoparticle carriers on MARC-145 cells actin filaments. </w:t>
      </w:r>
      <w:r w:rsidRPr="007D576B">
        <w:rPr>
          <w:rFonts w:ascii="Arial" w:hAnsi="Arial" w:cs="Arial"/>
          <w:spacing w:val="2"/>
          <w:shd w:val="clear" w:color="auto" w:fill="FFFFFF"/>
          <w:lang w:val="en-US"/>
        </w:rPr>
        <w:t>Applied Nanoscience. 8: 1111-1121 (2018).</w:t>
      </w:r>
    </w:p>
    <w:p w:rsidR="003F0296" w:rsidRPr="009C1828" w:rsidRDefault="003F0296" w:rsidP="003F0296">
      <w:pPr>
        <w:ind w:left="567"/>
        <w:jc w:val="both"/>
        <w:rPr>
          <w:rFonts w:ascii="Arial" w:hAnsi="Arial" w:cs="Arial"/>
          <w:noProof/>
          <w:lang w:val="en-US"/>
        </w:rPr>
      </w:pPr>
    </w:p>
    <w:p w:rsidR="003F0296" w:rsidRDefault="003F0296" w:rsidP="003F0296">
      <w:pPr>
        <w:jc w:val="both"/>
        <w:rPr>
          <w:rFonts w:ascii="Arial" w:hAnsi="Arial" w:cs="Arial"/>
          <w:color w:val="000000" w:themeColor="text1"/>
          <w:spacing w:val="2"/>
          <w:shd w:val="clear" w:color="auto" w:fill="FFFFFF"/>
        </w:rPr>
      </w:pPr>
      <w:r>
        <w:rPr>
          <w:rFonts w:ascii="Arial" w:hAnsi="Arial" w:cs="Arial"/>
          <w:color w:val="000000" w:themeColor="text1"/>
          <w:lang w:val="en-US"/>
        </w:rPr>
        <w:t xml:space="preserve">     </w:t>
      </w:r>
      <w:r w:rsidRPr="009C1828">
        <w:rPr>
          <w:rFonts w:ascii="Arial" w:hAnsi="Arial" w:cs="Arial"/>
          <w:color w:val="000000" w:themeColor="text1"/>
          <w:spacing w:val="2"/>
          <w:shd w:val="clear" w:color="auto" w:fill="FFFFFF"/>
          <w:lang w:val="en-US"/>
        </w:rPr>
        <w:t xml:space="preserve">10.- Schimpf U., Nachmann G., Trombotto S., Houska P., Yan H., Bjorndahl L. &amp; Crouzier T. Assessment of oligo chitosan biocompatibility towards human spermatozoa. </w:t>
      </w:r>
      <w:r w:rsidRPr="009C1828">
        <w:rPr>
          <w:rFonts w:ascii="Arial" w:hAnsi="Arial" w:cs="Arial"/>
          <w:color w:val="000000" w:themeColor="text1"/>
          <w:spacing w:val="2"/>
          <w:shd w:val="clear" w:color="auto" w:fill="FFFFFF"/>
        </w:rPr>
        <w:t>ACS Applied materials &amp; interfaces.11,50 46572-46584 (2019).</w:t>
      </w:r>
    </w:p>
    <w:p w:rsidR="003F0296" w:rsidRPr="009C1828" w:rsidRDefault="003F0296" w:rsidP="003F0296">
      <w:pPr>
        <w:ind w:left="567"/>
        <w:jc w:val="both"/>
        <w:rPr>
          <w:rFonts w:ascii="Arial" w:hAnsi="Arial" w:cs="Arial"/>
          <w:noProof/>
        </w:rPr>
      </w:pPr>
    </w:p>
    <w:p w:rsidR="003F0296" w:rsidRDefault="003F0296" w:rsidP="003F0296">
      <w:pPr>
        <w:jc w:val="both"/>
        <w:rPr>
          <w:rFonts w:ascii="Arial" w:hAnsi="Arial" w:cs="Arial"/>
          <w:noProof/>
        </w:rPr>
      </w:pPr>
      <w:r w:rsidRPr="00C60A36">
        <w:rPr>
          <w:rFonts w:ascii="Arial" w:hAnsi="Arial" w:cs="Arial"/>
          <w:color w:val="000000" w:themeColor="text1"/>
        </w:rPr>
        <w:t xml:space="preserve">     </w:t>
      </w:r>
      <w:r w:rsidRPr="009C1828">
        <w:rPr>
          <w:rFonts w:ascii="Arial" w:hAnsi="Arial" w:cs="Arial"/>
          <w:noProof/>
          <w:color w:val="000000" w:themeColor="text1"/>
        </w:rPr>
        <w:t xml:space="preserve">11.- </w:t>
      </w:r>
      <w:r w:rsidRPr="009C1828">
        <w:rPr>
          <w:rFonts w:ascii="Arial" w:hAnsi="Arial" w:cs="Arial"/>
          <w:noProof/>
        </w:rPr>
        <w:t xml:space="preserve">Gutiérrez P. O. </w:t>
      </w:r>
      <w:r w:rsidRPr="009C1828">
        <w:rPr>
          <w:rFonts w:ascii="Arial" w:hAnsi="Arial" w:cs="Arial"/>
          <w:iCs/>
          <w:noProof/>
        </w:rPr>
        <w:t>Valoración in vitro de la capacidad fecundante del espermatozoide de cerdo, criopreservado en diluyentes formulados con trehalosa y una baja concentración de glicerol</w:t>
      </w:r>
      <w:r w:rsidRPr="009C1828">
        <w:rPr>
          <w:rFonts w:ascii="Arial" w:hAnsi="Arial" w:cs="Arial"/>
          <w:noProof/>
        </w:rPr>
        <w:t xml:space="preserve"> (</w:t>
      </w:r>
      <w:r w:rsidRPr="009431AB">
        <w:rPr>
          <w:rFonts w:ascii="Arial" w:hAnsi="Arial" w:cs="Arial"/>
          <w:noProof/>
        </w:rPr>
        <w:t xml:space="preserve">Tesis de doctorado). Ciudad de México (México): Universidad Nacional Autónoma de México, Facultad de Medicina Veterinaria y Zootecnia </w:t>
      </w:r>
      <w:r>
        <w:rPr>
          <w:rFonts w:ascii="Arial" w:hAnsi="Arial" w:cs="Arial"/>
          <w:noProof/>
        </w:rPr>
        <w:t>(</w:t>
      </w:r>
      <w:r w:rsidRPr="009431AB">
        <w:rPr>
          <w:rFonts w:ascii="Arial" w:hAnsi="Arial" w:cs="Arial"/>
          <w:noProof/>
        </w:rPr>
        <w:t>2009</w:t>
      </w:r>
      <w:r>
        <w:rPr>
          <w:rFonts w:ascii="Arial" w:hAnsi="Arial" w:cs="Arial"/>
          <w:noProof/>
        </w:rPr>
        <w:t>)</w:t>
      </w:r>
      <w:r w:rsidRPr="009431AB">
        <w:rPr>
          <w:rFonts w:ascii="Arial" w:hAnsi="Arial" w:cs="Arial"/>
          <w:noProof/>
        </w:rPr>
        <w:t>.</w:t>
      </w:r>
    </w:p>
    <w:p w:rsidR="003F0296" w:rsidRPr="00260D0B" w:rsidRDefault="003F0296" w:rsidP="003F0296">
      <w:pPr>
        <w:ind w:left="567"/>
        <w:jc w:val="both"/>
        <w:rPr>
          <w:rFonts w:ascii="Arial" w:hAnsi="Arial" w:cs="Arial"/>
          <w:noProof/>
        </w:rPr>
      </w:pPr>
    </w:p>
    <w:p w:rsidR="003F0296" w:rsidRPr="00FA328D" w:rsidRDefault="003F0296" w:rsidP="003F0296">
      <w:pPr>
        <w:jc w:val="both"/>
        <w:rPr>
          <w:rFonts w:ascii="Arial" w:hAnsi="Arial" w:cs="Arial"/>
          <w:color w:val="000000" w:themeColor="text1"/>
          <w:lang w:val="en-US"/>
        </w:rPr>
      </w:pPr>
      <w:r w:rsidRPr="00FB2DBC">
        <w:rPr>
          <w:rFonts w:ascii="Arial" w:hAnsi="Arial" w:cs="Arial"/>
          <w:color w:val="000000" w:themeColor="text1"/>
        </w:rPr>
        <w:t xml:space="preserve">     </w:t>
      </w:r>
      <w:r w:rsidRPr="009431AB">
        <w:rPr>
          <w:rFonts w:ascii="Arial" w:hAnsi="Arial" w:cs="Arial"/>
          <w:color w:val="000000" w:themeColor="text1"/>
          <w:lang w:val="en-US"/>
        </w:rPr>
        <w:t xml:space="preserve">12.- Gadea J. Review: Semen extenders used in the artificial insemination of swine. Spanish Journal of Agricultural Research. 1(2): 17-27 </w:t>
      </w:r>
      <w:r>
        <w:rPr>
          <w:rFonts w:ascii="Arial" w:hAnsi="Arial" w:cs="Arial"/>
          <w:color w:val="000000" w:themeColor="text1"/>
          <w:lang w:val="en-US"/>
        </w:rPr>
        <w:t>(</w:t>
      </w:r>
      <w:r w:rsidRPr="009431AB">
        <w:rPr>
          <w:rFonts w:ascii="Arial" w:hAnsi="Arial" w:cs="Arial"/>
          <w:color w:val="000000" w:themeColor="text1"/>
          <w:lang w:val="en-US"/>
        </w:rPr>
        <w:t>2003</w:t>
      </w:r>
      <w:r>
        <w:rPr>
          <w:rFonts w:ascii="Arial" w:hAnsi="Arial" w:cs="Arial"/>
          <w:color w:val="000000" w:themeColor="text1"/>
          <w:lang w:val="en-US"/>
        </w:rPr>
        <w:t>)</w:t>
      </w:r>
      <w:r w:rsidRPr="009431AB">
        <w:rPr>
          <w:rFonts w:ascii="Arial" w:hAnsi="Arial" w:cs="Arial"/>
          <w:color w:val="000000" w:themeColor="text1"/>
          <w:lang w:val="en-US"/>
        </w:rPr>
        <w:t>.</w:t>
      </w:r>
    </w:p>
    <w:p w:rsidR="003F0296" w:rsidRDefault="003F0296" w:rsidP="003F0296">
      <w:pPr>
        <w:jc w:val="both"/>
        <w:rPr>
          <w:rFonts w:ascii="Arial" w:hAnsi="Arial" w:cs="Arial"/>
          <w:noProof/>
          <w:color w:val="000000" w:themeColor="text1"/>
          <w:lang w:val="en-US"/>
        </w:rPr>
      </w:pPr>
      <w:r>
        <w:rPr>
          <w:rFonts w:ascii="Arial" w:hAnsi="Arial" w:cs="Arial"/>
          <w:noProof/>
          <w:color w:val="000000" w:themeColor="text1"/>
          <w:lang w:val="en-US"/>
        </w:rPr>
        <w:tab/>
      </w:r>
    </w:p>
    <w:p w:rsidR="003F0296" w:rsidRDefault="003F0296" w:rsidP="003F0296">
      <w:pPr>
        <w:jc w:val="both"/>
        <w:rPr>
          <w:rFonts w:ascii="Arial" w:hAnsi="Arial" w:cs="Arial"/>
          <w:noProof/>
          <w:color w:val="000000" w:themeColor="text1"/>
          <w:lang w:val="en-US"/>
        </w:rPr>
      </w:pPr>
      <w:r>
        <w:rPr>
          <w:rFonts w:ascii="Arial" w:hAnsi="Arial" w:cs="Arial"/>
          <w:color w:val="000000" w:themeColor="text1"/>
          <w:lang w:val="en-US"/>
        </w:rPr>
        <w:t xml:space="preserve">     </w:t>
      </w:r>
      <w:r>
        <w:rPr>
          <w:rFonts w:ascii="Arial" w:hAnsi="Arial" w:cs="Arial"/>
          <w:noProof/>
          <w:color w:val="000000" w:themeColor="text1"/>
          <w:lang w:val="en-US"/>
        </w:rPr>
        <w:t>13.-Sawtarie N., Cai Y. &amp;Lapitsky. Preparation of chitosan/tripolyphosphate nanoparticles with highly tunable size and low polydispersity. Colloids and Surfaces B: Biointerfaces. 157: 110-1171 (2017).</w:t>
      </w:r>
    </w:p>
    <w:p w:rsidR="003F0296" w:rsidRDefault="003F0296" w:rsidP="003F0296">
      <w:pPr>
        <w:jc w:val="both"/>
        <w:rPr>
          <w:rFonts w:ascii="Arial" w:hAnsi="Arial" w:cs="Arial"/>
          <w:noProof/>
          <w:color w:val="000000" w:themeColor="text1"/>
          <w:lang w:val="en-US"/>
        </w:rPr>
      </w:pPr>
      <w:r>
        <w:rPr>
          <w:rFonts w:ascii="Arial" w:hAnsi="Arial" w:cs="Arial"/>
          <w:noProof/>
          <w:color w:val="000000" w:themeColor="text1"/>
          <w:lang w:val="en-US"/>
        </w:rPr>
        <w:lastRenderedPageBreak/>
        <w:tab/>
      </w:r>
    </w:p>
    <w:p w:rsidR="003F0296" w:rsidRPr="00FA328D" w:rsidRDefault="003F0296" w:rsidP="003F0296">
      <w:pPr>
        <w:jc w:val="both"/>
        <w:rPr>
          <w:rFonts w:ascii="Arial" w:hAnsi="Arial" w:cs="Arial"/>
          <w:noProof/>
          <w:color w:val="000000" w:themeColor="text1"/>
          <w:lang w:val="en-US"/>
        </w:rPr>
      </w:pPr>
      <w:r>
        <w:rPr>
          <w:rFonts w:ascii="Arial" w:hAnsi="Arial" w:cs="Arial"/>
          <w:color w:val="000000" w:themeColor="text1"/>
          <w:lang w:val="en-US"/>
        </w:rPr>
        <w:t xml:space="preserve">     </w:t>
      </w:r>
      <w:r w:rsidRPr="00FA328D">
        <w:rPr>
          <w:rFonts w:ascii="Arial" w:hAnsi="Arial" w:cs="Arial"/>
          <w:noProof/>
          <w:lang w:val="en-US"/>
        </w:rPr>
        <w:t>1</w:t>
      </w:r>
      <w:r>
        <w:rPr>
          <w:rFonts w:ascii="Arial" w:hAnsi="Arial" w:cs="Arial"/>
          <w:noProof/>
          <w:lang w:val="en-US"/>
        </w:rPr>
        <w:t>4</w:t>
      </w:r>
      <w:r w:rsidRPr="00FA328D">
        <w:rPr>
          <w:rFonts w:ascii="Arial" w:hAnsi="Arial" w:cs="Arial"/>
          <w:noProof/>
          <w:lang w:val="en-US"/>
        </w:rPr>
        <w:t xml:space="preserve">.- </w:t>
      </w:r>
      <w:r w:rsidRPr="00FA328D">
        <w:rPr>
          <w:rFonts w:ascii="Arial" w:hAnsi="Arial" w:cs="Arial"/>
          <w:color w:val="000000" w:themeColor="text1"/>
          <w:spacing w:val="2"/>
          <w:shd w:val="clear" w:color="auto" w:fill="FFFFFF"/>
          <w:lang w:val="en-US"/>
        </w:rPr>
        <w:t>Schäfer S.S. &amp; y Aurich</w:t>
      </w:r>
      <w:r w:rsidRPr="00F511C5">
        <w:rPr>
          <w:rFonts w:ascii="Arial" w:hAnsi="Arial" w:cs="Arial"/>
          <w:color w:val="000000" w:themeColor="text1"/>
          <w:spacing w:val="2"/>
          <w:shd w:val="clear" w:color="auto" w:fill="FFFFFF"/>
          <w:lang w:val="en-US"/>
        </w:rPr>
        <w:t xml:space="preserve"> C. U</w:t>
      </w:r>
      <w:r w:rsidRPr="00FA328D">
        <w:rPr>
          <w:rFonts w:ascii="Arial" w:hAnsi="Arial" w:cs="Arial"/>
          <w:color w:val="000000" w:themeColor="text1"/>
          <w:spacing w:val="2"/>
          <w:shd w:val="clear" w:color="auto" w:fill="FFFFFF"/>
          <w:lang w:val="en-US"/>
        </w:rPr>
        <w:t>se</w:t>
      </w:r>
      <w:r>
        <w:rPr>
          <w:rFonts w:ascii="Arial" w:hAnsi="Arial" w:cs="Arial"/>
          <w:color w:val="000000" w:themeColor="text1"/>
          <w:spacing w:val="2"/>
          <w:shd w:val="clear" w:color="auto" w:fill="FFFFFF"/>
          <w:lang w:val="en-US"/>
        </w:rPr>
        <w:t xml:space="preserve"> of new computer-assisted sperm analyzer for the assessment of motility and viability of dog spermatozoa and evaluation of four different semen extenders for prediction. Animal Reproduction Science. 102:1-13, 2007.</w:t>
      </w:r>
    </w:p>
    <w:p w:rsidR="003F0296" w:rsidRPr="00FA328D" w:rsidRDefault="003F0296" w:rsidP="003F0296">
      <w:pPr>
        <w:jc w:val="both"/>
        <w:rPr>
          <w:rFonts w:ascii="Arial" w:hAnsi="Arial" w:cs="Arial"/>
          <w:color w:val="000000" w:themeColor="text1"/>
          <w:lang w:val="en-US"/>
        </w:rPr>
      </w:pPr>
    </w:p>
    <w:p w:rsidR="003F0296" w:rsidRPr="00376753" w:rsidRDefault="003F0296" w:rsidP="003F0296">
      <w:pPr>
        <w:jc w:val="both"/>
        <w:rPr>
          <w:rFonts w:ascii="Arial" w:hAnsi="Arial" w:cs="Arial"/>
          <w:noProof/>
          <w:lang w:val="en-US"/>
        </w:rPr>
      </w:pPr>
      <w:r>
        <w:rPr>
          <w:rFonts w:ascii="Arial" w:hAnsi="Arial" w:cs="Arial"/>
          <w:color w:val="000000" w:themeColor="text1"/>
          <w:lang w:val="en-US"/>
        </w:rPr>
        <w:t xml:space="preserve">     15.- </w:t>
      </w:r>
      <w:r w:rsidRPr="00376753">
        <w:rPr>
          <w:rFonts w:ascii="Arial" w:hAnsi="Arial" w:cs="Arial"/>
          <w:noProof/>
          <w:lang w:val="en-US"/>
        </w:rPr>
        <w:t>Lee J., Twomey M., Machado C., Gomez G., Doshi M., Gesquiere A.J. &amp; Moon J.H. C</w:t>
      </w:r>
      <w:r>
        <w:rPr>
          <w:rFonts w:ascii="Arial" w:hAnsi="Arial" w:cs="Arial"/>
          <w:noProof/>
          <w:lang w:val="en-US"/>
        </w:rPr>
        <w:t>aveolae-mediated endocytosis of conjugated polymer nanoparticles. Macromolecular Bioscience. 1-8 (2013).</w:t>
      </w:r>
    </w:p>
    <w:p w:rsidR="003F0296" w:rsidRPr="00044DBD" w:rsidRDefault="003F0296" w:rsidP="003F0296">
      <w:pPr>
        <w:jc w:val="both"/>
        <w:rPr>
          <w:rFonts w:ascii="Arial" w:hAnsi="Arial" w:cs="Arial"/>
          <w:color w:val="000000" w:themeColor="text1"/>
          <w:sz w:val="28"/>
          <w:szCs w:val="28"/>
          <w:lang w:val="en-US"/>
        </w:rPr>
      </w:pPr>
    </w:p>
    <w:p w:rsidR="003F0296" w:rsidRPr="00044DBD" w:rsidRDefault="003F0296" w:rsidP="003F0296">
      <w:pPr>
        <w:jc w:val="both"/>
        <w:rPr>
          <w:rFonts w:ascii="Arial" w:hAnsi="Arial" w:cs="Arial"/>
          <w:color w:val="000000" w:themeColor="text1"/>
          <w:lang w:val="es-MX"/>
        </w:rPr>
      </w:pPr>
      <w:r>
        <w:rPr>
          <w:rFonts w:ascii="Arial" w:hAnsi="Arial" w:cs="Arial"/>
          <w:color w:val="000000" w:themeColor="text1"/>
          <w:lang w:val="en-US"/>
        </w:rPr>
        <w:t xml:space="preserve">     16.- Gestel R.A., Brewis I.A., Ashton P.R., Helms J.B., Brouwers J.F., &amp; Gadella B.M. Capacitation-dependent concentration of lipid rafts in the apical ridge head area of porcine sperm cells. </w:t>
      </w:r>
      <w:r w:rsidRPr="00044DBD">
        <w:rPr>
          <w:rFonts w:ascii="Arial" w:hAnsi="Arial" w:cs="Arial"/>
          <w:color w:val="000000" w:themeColor="text1"/>
          <w:lang w:val="es-MX"/>
        </w:rPr>
        <w:t>Molecular Human Reproduction. 11(8): 583-590 (2005).</w:t>
      </w:r>
    </w:p>
    <w:p w:rsidR="003F0296" w:rsidRPr="00044DBD" w:rsidRDefault="003F0296" w:rsidP="0049551D">
      <w:pPr>
        <w:rPr>
          <w:lang w:val="es-MX"/>
        </w:rPr>
      </w:pPr>
    </w:p>
    <w:p w:rsidR="00044DBD" w:rsidRPr="00044DBD" w:rsidRDefault="00044DBD" w:rsidP="00044DBD">
      <w:pPr>
        <w:pStyle w:val="1Titulo"/>
        <w:numPr>
          <w:ilvl w:val="0"/>
          <w:numId w:val="0"/>
        </w:numPr>
        <w:ind w:left="357"/>
        <w:jc w:val="center"/>
        <w:rPr>
          <w:rFonts w:eastAsia="Times New Roman"/>
          <w:sz w:val="28"/>
          <w:szCs w:val="28"/>
          <w:lang w:eastAsia="es-MX"/>
        </w:rPr>
      </w:pPr>
      <w:bookmarkStart w:id="362" w:name="_Toc50031409"/>
      <w:r w:rsidRPr="00044DBD">
        <w:rPr>
          <w:sz w:val="28"/>
          <w:szCs w:val="28"/>
        </w:rPr>
        <w:t>Anticuerpos contra leptospirosis en vacas lecheras y parámetros reproductivos</w:t>
      </w:r>
      <w:bookmarkEnd w:id="362"/>
    </w:p>
    <w:p w:rsidR="00044DBD" w:rsidRPr="001E3142" w:rsidRDefault="00044DBD" w:rsidP="00044DBD">
      <w:pPr>
        <w:spacing w:after="0" w:line="240" w:lineRule="auto"/>
        <w:jc w:val="center"/>
        <w:rPr>
          <w:rFonts w:ascii="Arial" w:hAnsi="Arial" w:cs="Arial"/>
          <w:bCs/>
          <w:color w:val="000000"/>
          <w:sz w:val="24"/>
          <w:szCs w:val="24"/>
        </w:rPr>
      </w:pPr>
      <w:r w:rsidRPr="001E3142">
        <w:rPr>
          <w:rFonts w:ascii="Arial" w:hAnsi="Arial" w:cs="Arial"/>
          <w:bCs/>
          <w:color w:val="000000"/>
          <w:sz w:val="24"/>
          <w:szCs w:val="24"/>
          <w:u w:val="single"/>
        </w:rPr>
        <w:t>Córdova</w:t>
      </w:r>
      <w:r>
        <w:rPr>
          <w:rFonts w:ascii="Arial" w:hAnsi="Arial" w:cs="Arial"/>
          <w:bCs/>
          <w:color w:val="000000"/>
          <w:sz w:val="24"/>
          <w:szCs w:val="24"/>
          <w:u w:val="single"/>
        </w:rPr>
        <w:t xml:space="preserve"> IA</w:t>
      </w:r>
      <w:r w:rsidRPr="001E3142">
        <w:rPr>
          <w:rFonts w:ascii="Arial" w:hAnsi="Arial" w:cs="Arial"/>
          <w:bCs/>
          <w:color w:val="000000"/>
          <w:sz w:val="24"/>
          <w:szCs w:val="24"/>
          <w:u w:val="single"/>
          <w:vertAlign w:val="superscript"/>
        </w:rPr>
        <w:t>1*</w:t>
      </w:r>
      <w:r w:rsidRPr="001E3142">
        <w:rPr>
          <w:rFonts w:ascii="Arial" w:hAnsi="Arial" w:cs="Arial"/>
          <w:bCs/>
          <w:color w:val="000000"/>
          <w:sz w:val="24"/>
          <w:szCs w:val="24"/>
        </w:rPr>
        <w:t>, Iglesias</w:t>
      </w:r>
      <w:r>
        <w:rPr>
          <w:rFonts w:ascii="Arial" w:hAnsi="Arial" w:cs="Arial"/>
          <w:bCs/>
          <w:color w:val="000000"/>
          <w:sz w:val="24"/>
          <w:szCs w:val="24"/>
        </w:rPr>
        <w:t xml:space="preserve"> RAE</w:t>
      </w:r>
      <w:r w:rsidRPr="001E3142">
        <w:rPr>
          <w:rFonts w:ascii="Arial" w:hAnsi="Arial" w:cs="Arial"/>
          <w:bCs/>
          <w:color w:val="000000"/>
          <w:sz w:val="24"/>
          <w:szCs w:val="24"/>
          <w:vertAlign w:val="superscript"/>
        </w:rPr>
        <w:t>1</w:t>
      </w:r>
      <w:r w:rsidRPr="001E3142">
        <w:rPr>
          <w:rFonts w:ascii="Arial" w:hAnsi="Arial" w:cs="Arial"/>
          <w:bCs/>
          <w:color w:val="000000"/>
          <w:sz w:val="24"/>
          <w:szCs w:val="24"/>
        </w:rPr>
        <w:t xml:space="preserve">, Guerra </w:t>
      </w:r>
      <w:r>
        <w:rPr>
          <w:rFonts w:ascii="Arial" w:hAnsi="Arial" w:cs="Arial"/>
          <w:bCs/>
          <w:color w:val="000000"/>
          <w:sz w:val="24"/>
          <w:szCs w:val="24"/>
        </w:rPr>
        <w:t>LJE</w:t>
      </w:r>
      <w:r w:rsidRPr="001E3142">
        <w:rPr>
          <w:rFonts w:ascii="Arial" w:hAnsi="Arial" w:cs="Arial"/>
          <w:bCs/>
          <w:color w:val="000000"/>
          <w:sz w:val="24"/>
          <w:szCs w:val="24"/>
          <w:vertAlign w:val="superscript"/>
        </w:rPr>
        <w:t>2</w:t>
      </w:r>
      <w:r w:rsidRPr="001E3142">
        <w:rPr>
          <w:rFonts w:ascii="Arial" w:hAnsi="Arial" w:cs="Arial"/>
          <w:bCs/>
          <w:color w:val="000000"/>
          <w:sz w:val="24"/>
          <w:szCs w:val="24"/>
        </w:rPr>
        <w:t xml:space="preserve">, Juárez </w:t>
      </w:r>
      <w:r>
        <w:rPr>
          <w:rFonts w:ascii="Arial" w:hAnsi="Arial" w:cs="Arial"/>
          <w:bCs/>
          <w:color w:val="000000"/>
          <w:sz w:val="24"/>
          <w:szCs w:val="24"/>
        </w:rPr>
        <w:t>MML</w:t>
      </w:r>
      <w:r w:rsidRPr="001E3142">
        <w:rPr>
          <w:rFonts w:ascii="Arial" w:hAnsi="Arial" w:cs="Arial"/>
          <w:bCs/>
          <w:color w:val="000000"/>
          <w:sz w:val="24"/>
          <w:szCs w:val="24"/>
          <w:vertAlign w:val="superscript"/>
        </w:rPr>
        <w:t>3</w:t>
      </w:r>
      <w:r w:rsidRPr="001E3142">
        <w:rPr>
          <w:rFonts w:ascii="Arial" w:hAnsi="Arial" w:cs="Arial"/>
          <w:bCs/>
          <w:color w:val="000000"/>
          <w:sz w:val="24"/>
          <w:szCs w:val="24"/>
        </w:rPr>
        <w:t xml:space="preserve">, Huerta </w:t>
      </w:r>
      <w:r>
        <w:rPr>
          <w:rFonts w:ascii="Arial" w:hAnsi="Arial" w:cs="Arial"/>
          <w:bCs/>
          <w:color w:val="000000"/>
          <w:sz w:val="24"/>
          <w:szCs w:val="24"/>
        </w:rPr>
        <w:t>CR</w:t>
      </w:r>
      <w:r w:rsidRPr="001E3142">
        <w:rPr>
          <w:rFonts w:ascii="Arial" w:hAnsi="Arial" w:cs="Arial"/>
          <w:bCs/>
          <w:color w:val="000000"/>
          <w:sz w:val="24"/>
          <w:szCs w:val="24"/>
          <w:vertAlign w:val="superscript"/>
        </w:rPr>
        <w:t>4</w:t>
      </w:r>
      <w:r w:rsidRPr="001E3142">
        <w:rPr>
          <w:rFonts w:ascii="Arial" w:hAnsi="Arial" w:cs="Arial"/>
          <w:bCs/>
          <w:color w:val="000000"/>
          <w:sz w:val="24"/>
          <w:szCs w:val="24"/>
        </w:rPr>
        <w:t xml:space="preserve">, Gómez </w:t>
      </w:r>
      <w:r>
        <w:rPr>
          <w:rFonts w:ascii="Arial" w:hAnsi="Arial" w:cs="Arial"/>
          <w:bCs/>
          <w:color w:val="000000"/>
          <w:sz w:val="24"/>
          <w:szCs w:val="24"/>
        </w:rPr>
        <w:t>VA</w:t>
      </w:r>
      <w:r w:rsidRPr="001E3142">
        <w:rPr>
          <w:rFonts w:ascii="Arial" w:hAnsi="Arial" w:cs="Arial"/>
          <w:bCs/>
          <w:color w:val="000000"/>
          <w:sz w:val="24"/>
          <w:szCs w:val="24"/>
          <w:vertAlign w:val="superscript"/>
        </w:rPr>
        <w:t>5</w:t>
      </w:r>
      <w:r w:rsidRPr="001E3142">
        <w:rPr>
          <w:rFonts w:ascii="Arial" w:hAnsi="Arial" w:cs="Arial"/>
          <w:bCs/>
          <w:color w:val="000000"/>
          <w:sz w:val="24"/>
          <w:szCs w:val="24"/>
        </w:rPr>
        <w:t xml:space="preserve"> y Sánchez </w:t>
      </w:r>
      <w:r>
        <w:rPr>
          <w:rFonts w:ascii="Arial" w:hAnsi="Arial" w:cs="Arial"/>
          <w:bCs/>
          <w:color w:val="000000"/>
          <w:sz w:val="24"/>
          <w:szCs w:val="24"/>
        </w:rPr>
        <w:t>SR</w:t>
      </w:r>
      <w:r w:rsidRPr="001E3142">
        <w:rPr>
          <w:rFonts w:ascii="Arial" w:hAnsi="Arial" w:cs="Arial"/>
          <w:bCs/>
          <w:color w:val="000000"/>
          <w:sz w:val="24"/>
          <w:szCs w:val="24"/>
          <w:vertAlign w:val="superscript"/>
        </w:rPr>
        <w:t>6</w:t>
      </w:r>
    </w:p>
    <w:p w:rsidR="00044DBD" w:rsidRPr="001E3142" w:rsidRDefault="00044DBD" w:rsidP="00044DBD">
      <w:pPr>
        <w:spacing w:after="0" w:line="240" w:lineRule="auto"/>
        <w:jc w:val="center"/>
        <w:rPr>
          <w:rFonts w:ascii="Arial" w:hAnsi="Arial" w:cs="Arial"/>
          <w:bCs/>
          <w:color w:val="000000"/>
          <w:sz w:val="24"/>
          <w:szCs w:val="24"/>
        </w:rPr>
      </w:pPr>
    </w:p>
    <w:p w:rsidR="00044DBD" w:rsidRPr="001E3142" w:rsidRDefault="00044DBD" w:rsidP="00044DBD">
      <w:pPr>
        <w:spacing w:after="0" w:line="240" w:lineRule="auto"/>
        <w:jc w:val="center"/>
        <w:rPr>
          <w:rFonts w:ascii="Arial" w:hAnsi="Arial" w:cs="Arial"/>
          <w:bCs/>
          <w:color w:val="000000"/>
          <w:sz w:val="24"/>
          <w:szCs w:val="24"/>
        </w:rPr>
      </w:pPr>
      <w:r w:rsidRPr="001E3142">
        <w:rPr>
          <w:rFonts w:ascii="Arial" w:hAnsi="Arial" w:cs="Arial"/>
          <w:bCs/>
          <w:color w:val="000000"/>
          <w:sz w:val="24"/>
          <w:szCs w:val="24"/>
          <w:vertAlign w:val="superscript"/>
        </w:rPr>
        <w:t>1</w:t>
      </w:r>
      <w:r w:rsidRPr="001E3142">
        <w:rPr>
          <w:rFonts w:ascii="Arial" w:hAnsi="Arial" w:cs="Arial"/>
          <w:bCs/>
          <w:color w:val="000000"/>
          <w:sz w:val="24"/>
          <w:szCs w:val="24"/>
        </w:rPr>
        <w:t xml:space="preserve">Departamento de Producción Agrícola y Animal. Universidad Autónoma Metropolitana Unidad Xochimilco, Ciudad de México. * </w:t>
      </w:r>
      <w:hyperlink r:id="rId1249" w:history="1">
        <w:r w:rsidRPr="001E3142">
          <w:rPr>
            <w:rStyle w:val="Hipervnculo"/>
            <w:rFonts w:ascii="Arial" w:hAnsi="Arial" w:cs="Arial"/>
            <w:bCs/>
            <w:sz w:val="24"/>
            <w:szCs w:val="24"/>
          </w:rPr>
          <w:t>acordova@correo.xoc.uam.mx</w:t>
        </w:r>
      </w:hyperlink>
      <w:r w:rsidRPr="001E3142">
        <w:rPr>
          <w:rFonts w:ascii="Arial" w:hAnsi="Arial" w:cs="Arial"/>
          <w:bCs/>
          <w:color w:val="000000"/>
          <w:sz w:val="24"/>
          <w:szCs w:val="24"/>
        </w:rPr>
        <w:t xml:space="preserve">.  </w:t>
      </w:r>
      <w:r w:rsidRPr="001E3142">
        <w:rPr>
          <w:rFonts w:ascii="Arial" w:hAnsi="Arial" w:cs="Arial"/>
          <w:bCs/>
          <w:color w:val="000000"/>
          <w:sz w:val="24"/>
          <w:szCs w:val="24"/>
          <w:vertAlign w:val="superscript"/>
        </w:rPr>
        <w:t>2</w:t>
      </w:r>
      <w:r w:rsidRPr="001E3142">
        <w:rPr>
          <w:rFonts w:ascii="Arial" w:hAnsi="Arial" w:cs="Arial"/>
          <w:bCs/>
          <w:color w:val="000000"/>
          <w:sz w:val="24"/>
          <w:szCs w:val="24"/>
        </w:rPr>
        <w:t>Facultad de Agronomía. Universidad Autónoma de Sinaloa,</w:t>
      </w:r>
      <w:r w:rsidRPr="001E3142">
        <w:rPr>
          <w:rFonts w:ascii="Arial" w:hAnsi="Arial" w:cs="Arial"/>
          <w:bCs/>
          <w:color w:val="000000"/>
          <w:sz w:val="24"/>
          <w:szCs w:val="24"/>
          <w:vertAlign w:val="superscript"/>
        </w:rPr>
        <w:t xml:space="preserve"> </w:t>
      </w:r>
      <w:r w:rsidRPr="001E3142">
        <w:rPr>
          <w:rFonts w:ascii="Arial" w:hAnsi="Arial" w:cs="Arial"/>
          <w:bCs/>
          <w:color w:val="000000"/>
          <w:sz w:val="24"/>
          <w:szCs w:val="24"/>
        </w:rPr>
        <w:t xml:space="preserve">México. </w:t>
      </w:r>
      <w:r w:rsidRPr="001E3142">
        <w:rPr>
          <w:rFonts w:ascii="Arial" w:hAnsi="Arial" w:cs="Arial"/>
          <w:bCs/>
          <w:color w:val="000000"/>
          <w:sz w:val="24"/>
          <w:szCs w:val="24"/>
          <w:vertAlign w:val="superscript"/>
        </w:rPr>
        <w:t>3</w:t>
      </w:r>
      <w:r w:rsidRPr="001E3142">
        <w:rPr>
          <w:rFonts w:ascii="Arial" w:hAnsi="Arial" w:cs="Arial"/>
          <w:bCs/>
          <w:color w:val="000000"/>
          <w:sz w:val="24"/>
          <w:szCs w:val="24"/>
        </w:rPr>
        <w:t xml:space="preserve">Departamentod e morfología. FVMZ-UNAM. </w:t>
      </w:r>
      <w:r w:rsidRPr="001E3142">
        <w:rPr>
          <w:rFonts w:ascii="Arial" w:hAnsi="Arial" w:cs="Arial"/>
          <w:bCs/>
          <w:color w:val="000000"/>
          <w:sz w:val="24"/>
          <w:szCs w:val="24"/>
          <w:vertAlign w:val="superscript"/>
        </w:rPr>
        <w:t>4</w:t>
      </w:r>
      <w:r w:rsidRPr="001E3142">
        <w:rPr>
          <w:rFonts w:ascii="Arial" w:hAnsi="Arial" w:cs="Arial"/>
          <w:bCs/>
          <w:color w:val="000000"/>
          <w:sz w:val="24"/>
          <w:szCs w:val="24"/>
        </w:rPr>
        <w:t xml:space="preserve">Facultad de Veterinaria. Benemérita Universidad autónoma de Puebla, México. </w:t>
      </w:r>
      <w:r w:rsidRPr="001E3142">
        <w:rPr>
          <w:rFonts w:ascii="Arial" w:hAnsi="Arial" w:cs="Arial"/>
          <w:bCs/>
          <w:color w:val="000000"/>
          <w:sz w:val="24"/>
          <w:szCs w:val="24"/>
          <w:vertAlign w:val="superscript"/>
        </w:rPr>
        <w:t>5</w:t>
      </w:r>
      <w:r w:rsidRPr="001E3142">
        <w:rPr>
          <w:rFonts w:ascii="Arial" w:hAnsi="Arial" w:cs="Arial"/>
          <w:bCs/>
          <w:color w:val="000000"/>
          <w:sz w:val="24"/>
          <w:szCs w:val="24"/>
        </w:rPr>
        <w:t xml:space="preserve">Divisón Académica de Ciencias Agropecuarias. Universidad Juárez Autónoma de Tabasco, México. </w:t>
      </w:r>
      <w:r w:rsidRPr="001E3142">
        <w:rPr>
          <w:rFonts w:ascii="Arial" w:hAnsi="Arial" w:cs="Arial"/>
          <w:bCs/>
          <w:color w:val="000000"/>
          <w:sz w:val="24"/>
          <w:szCs w:val="24"/>
          <w:vertAlign w:val="superscript"/>
        </w:rPr>
        <w:t>6</w:t>
      </w:r>
      <w:r w:rsidRPr="001E3142">
        <w:rPr>
          <w:rFonts w:ascii="Arial" w:hAnsi="Arial" w:cs="Arial"/>
          <w:bCs/>
          <w:color w:val="000000"/>
          <w:sz w:val="24"/>
          <w:szCs w:val="24"/>
        </w:rPr>
        <w:t>Departamento de Reproducción. INIA, Madrid, España.</w:t>
      </w:r>
    </w:p>
    <w:p w:rsidR="00044DBD" w:rsidRPr="001E3142" w:rsidRDefault="00044DBD" w:rsidP="00044DBD">
      <w:pPr>
        <w:spacing w:after="0" w:line="240" w:lineRule="auto"/>
        <w:jc w:val="center"/>
        <w:rPr>
          <w:rFonts w:ascii="Arial" w:hAnsi="Arial" w:cs="Arial"/>
          <w:b/>
          <w:bCs/>
          <w:color w:val="000000"/>
          <w:sz w:val="24"/>
          <w:szCs w:val="24"/>
        </w:rPr>
      </w:pPr>
    </w:p>
    <w:p w:rsidR="00044DBD" w:rsidRPr="001E3142" w:rsidRDefault="00044DBD" w:rsidP="00044DBD">
      <w:pPr>
        <w:pStyle w:val="1Titulo"/>
        <w:numPr>
          <w:ilvl w:val="0"/>
          <w:numId w:val="0"/>
        </w:numPr>
        <w:ind w:left="357" w:hanging="357"/>
      </w:pPr>
      <w:bookmarkStart w:id="363" w:name="_Toc50031410"/>
      <w:r>
        <w:t xml:space="preserve">1. </w:t>
      </w:r>
      <w:r w:rsidRPr="001E3142">
        <w:t>Resumen</w:t>
      </w:r>
      <w:bookmarkEnd w:id="363"/>
    </w:p>
    <w:p w:rsidR="00044DBD" w:rsidRPr="001E3142" w:rsidRDefault="00044DBD" w:rsidP="00044DBD">
      <w:pPr>
        <w:spacing w:after="0" w:line="240" w:lineRule="auto"/>
        <w:ind w:firstLine="426"/>
        <w:jc w:val="both"/>
        <w:rPr>
          <w:rFonts w:ascii="Arial" w:hAnsi="Arial" w:cs="Arial"/>
          <w:sz w:val="24"/>
          <w:szCs w:val="24"/>
        </w:rPr>
      </w:pPr>
      <w:r w:rsidRPr="001E3142">
        <w:rPr>
          <w:rFonts w:ascii="Arial" w:eastAsia="Times New Roman" w:hAnsi="Arial" w:cs="Arial"/>
          <w:color w:val="000000"/>
          <w:sz w:val="24"/>
          <w:szCs w:val="24"/>
          <w:lang w:eastAsia="es-MX"/>
        </w:rPr>
        <w:t xml:space="preserve">Los problemas reproductivos en ganado bovino, principalmente en el especializado en la producción leche, es muy común, tales como el aborto, el cual puede ser ocasionado por varios factores, principalmente por la existencia de bacterias como </w:t>
      </w:r>
      <w:r w:rsidRPr="001E3142">
        <w:rPr>
          <w:rFonts w:ascii="Arial" w:eastAsia="Times New Roman" w:hAnsi="Arial" w:cs="Arial"/>
          <w:i/>
          <w:iCs/>
          <w:color w:val="000000"/>
          <w:sz w:val="24"/>
          <w:szCs w:val="24"/>
          <w:lang w:eastAsia="es-MX"/>
        </w:rPr>
        <w:t>Leptospira spp.</w:t>
      </w:r>
      <w:r w:rsidRPr="001E3142">
        <w:rPr>
          <w:rFonts w:ascii="Arial" w:eastAsia="Times New Roman" w:hAnsi="Arial" w:cs="Arial"/>
          <w:iCs/>
          <w:color w:val="000000"/>
          <w:sz w:val="24"/>
          <w:szCs w:val="24"/>
          <w:lang w:eastAsia="es-MX"/>
        </w:rPr>
        <w:t xml:space="preserve"> El</w:t>
      </w:r>
      <w:r w:rsidRPr="001E3142">
        <w:rPr>
          <w:rFonts w:ascii="Arial" w:eastAsia="Times New Roman" w:hAnsi="Arial" w:cs="Arial"/>
          <w:color w:val="000000"/>
          <w:sz w:val="24"/>
          <w:szCs w:val="24"/>
          <w:lang w:eastAsia="es-MX"/>
        </w:rPr>
        <w:t xml:space="preserve"> objetivo de este trabajo fue terminar la presencia de anticuerpos contra Leptospirosis en vacas lecheras y su efecto en intervalo entre partos (IP), servicios por concepción (S/C) y días abiertos (DA). Se realizó toma de muestras sanguíneas de 30 vacas procedentes de una unidad de producción ubicada en el Estado de Hidalgo, México con presencia de aborto, fetos momificados y reabsorción de embriones. Los resultados fueron analizados por estadística no paramétrica. Se obtuvieron resultados positivos en el 73% de los casos analizados, con presencia de tres serotipos </w:t>
      </w:r>
      <w:r w:rsidRPr="001E3142">
        <w:rPr>
          <w:rFonts w:ascii="Arial" w:eastAsia="Times New Roman" w:hAnsi="Arial" w:cs="Arial"/>
          <w:i/>
          <w:iCs/>
          <w:color w:val="000000"/>
          <w:sz w:val="24"/>
          <w:szCs w:val="24"/>
          <w:lang w:eastAsia="es-MX"/>
        </w:rPr>
        <w:t>Hardjio, Tarassovi y Hardjio H89</w:t>
      </w:r>
      <w:r w:rsidRPr="001E3142">
        <w:rPr>
          <w:rFonts w:ascii="Arial" w:eastAsia="Times New Roman" w:hAnsi="Arial" w:cs="Arial"/>
          <w:iCs/>
          <w:color w:val="000000"/>
          <w:sz w:val="24"/>
          <w:szCs w:val="24"/>
          <w:lang w:eastAsia="es-MX"/>
        </w:rPr>
        <w:t>. Los parámetros encontrados fueron 318.89 días de IP, 2.20 S/C y 92.62 de DA. E</w:t>
      </w:r>
      <w:r w:rsidRPr="001E3142">
        <w:rPr>
          <w:rFonts w:ascii="Arial" w:eastAsia="Times New Roman" w:hAnsi="Arial" w:cs="Arial"/>
          <w:color w:val="000000"/>
          <w:sz w:val="24"/>
          <w:szCs w:val="24"/>
          <w:lang w:eastAsia="es-MX"/>
        </w:rPr>
        <w:t>n conclusión, la presencia de Leptospirosis afectó severamente los parámetros analizados</w:t>
      </w:r>
      <w:r w:rsidRPr="001E3142">
        <w:rPr>
          <w:rFonts w:ascii="Arial" w:hAnsi="Arial" w:cs="Arial"/>
          <w:sz w:val="24"/>
          <w:szCs w:val="24"/>
        </w:rPr>
        <w:t xml:space="preserve">. </w:t>
      </w:r>
    </w:p>
    <w:p w:rsidR="00044DBD" w:rsidRPr="001E3142" w:rsidRDefault="00044DBD" w:rsidP="00044DBD">
      <w:pPr>
        <w:spacing w:after="0" w:line="240" w:lineRule="auto"/>
        <w:jc w:val="both"/>
        <w:rPr>
          <w:rFonts w:ascii="Arial" w:hAnsi="Arial" w:cs="Arial"/>
          <w:sz w:val="24"/>
          <w:szCs w:val="24"/>
        </w:rPr>
      </w:pPr>
    </w:p>
    <w:p w:rsidR="00044DBD" w:rsidRPr="00044DBD" w:rsidRDefault="00044DBD" w:rsidP="00044DBD">
      <w:pPr>
        <w:spacing w:after="0" w:line="240" w:lineRule="auto"/>
        <w:jc w:val="both"/>
        <w:rPr>
          <w:rFonts w:ascii="Arial" w:eastAsia="Times New Roman" w:hAnsi="Arial" w:cs="Arial"/>
          <w:color w:val="000000"/>
          <w:sz w:val="24"/>
          <w:szCs w:val="24"/>
          <w:lang w:val="es-MX" w:eastAsia="es-MX"/>
        </w:rPr>
      </w:pPr>
    </w:p>
    <w:p w:rsidR="00044DBD" w:rsidRPr="00747A8B" w:rsidRDefault="00044DBD" w:rsidP="001D2A3D">
      <w:pPr>
        <w:pStyle w:val="1Titulo"/>
        <w:numPr>
          <w:ilvl w:val="0"/>
          <w:numId w:val="54"/>
        </w:numPr>
      </w:pPr>
      <w:bookmarkStart w:id="364" w:name="_Toc50031411"/>
      <w:r w:rsidRPr="00747A8B">
        <w:t>Introducción</w:t>
      </w:r>
      <w:bookmarkEnd w:id="364"/>
    </w:p>
    <w:p w:rsidR="00044DBD" w:rsidRPr="00747A8B" w:rsidRDefault="00044DBD" w:rsidP="00044DBD">
      <w:pPr>
        <w:spacing w:after="0" w:line="360" w:lineRule="auto"/>
        <w:ind w:firstLine="426"/>
        <w:jc w:val="both"/>
        <w:rPr>
          <w:rFonts w:ascii="Arial" w:eastAsia="Times New Roman" w:hAnsi="Arial" w:cs="Arial"/>
          <w:sz w:val="24"/>
          <w:szCs w:val="24"/>
          <w:lang w:eastAsia="es-MX"/>
        </w:rPr>
      </w:pPr>
      <w:r w:rsidRPr="00747A8B">
        <w:rPr>
          <w:rFonts w:ascii="Arial" w:eastAsia="Times New Roman" w:hAnsi="Arial" w:cs="Arial"/>
          <w:color w:val="000000"/>
          <w:sz w:val="24"/>
          <w:szCs w:val="24"/>
          <w:lang w:eastAsia="es-MX"/>
        </w:rPr>
        <w:t xml:space="preserve">La leptospirosis es una enfermedad zoonótica, producida por la espiroqueta del género Leptospira especie </w:t>
      </w:r>
      <w:r w:rsidRPr="00747A8B">
        <w:rPr>
          <w:rFonts w:ascii="Arial" w:eastAsia="Times New Roman" w:hAnsi="Arial" w:cs="Arial"/>
          <w:i/>
          <w:iCs/>
          <w:color w:val="000000"/>
          <w:sz w:val="24"/>
          <w:szCs w:val="24"/>
          <w:lang w:eastAsia="es-MX"/>
        </w:rPr>
        <w:t>interrogans hardjo Bovis</w:t>
      </w:r>
      <w:r w:rsidRPr="00747A8B">
        <w:rPr>
          <w:rFonts w:ascii="Arial" w:eastAsia="Times New Roman" w:hAnsi="Arial" w:cs="Arial"/>
          <w:i/>
          <w:iCs/>
          <w:color w:val="000000"/>
          <w:sz w:val="24"/>
          <w:szCs w:val="24"/>
          <w:vertAlign w:val="superscript"/>
          <w:lang w:eastAsia="es-MX"/>
        </w:rPr>
        <w:t>,</w:t>
      </w:r>
      <w:r w:rsidRPr="00747A8B">
        <w:rPr>
          <w:rFonts w:ascii="Arial" w:eastAsia="Times New Roman" w:hAnsi="Arial" w:cs="Arial"/>
          <w:iCs/>
          <w:color w:val="000000"/>
          <w:sz w:val="24"/>
          <w:szCs w:val="24"/>
          <w:lang w:eastAsia="es-MX"/>
        </w:rPr>
        <w:t>, principalmente</w:t>
      </w:r>
      <w:r w:rsidRPr="00747A8B">
        <w:rPr>
          <w:rFonts w:ascii="Arial" w:eastAsia="Times New Roman" w:hAnsi="Arial" w:cs="Arial"/>
          <w:color w:val="000000"/>
          <w:sz w:val="24"/>
          <w:szCs w:val="24"/>
          <w:lang w:eastAsia="es-MX"/>
        </w:rPr>
        <w:t xml:space="preserve">. Está distribuida mundialmente, y en México se encuentran en todo el territorio nacional. Es causante de la disminución en la productividad en la ganadería, generando infertilidad, aumento entre el intervalo de partos y parto-concepción, alto número de servicios por año, abortos y disminución en la producción láctea en vacas lecheras (Yunes </w:t>
      </w:r>
      <w:r w:rsidRPr="00747A8B">
        <w:rPr>
          <w:rFonts w:ascii="Arial" w:eastAsia="Times New Roman" w:hAnsi="Arial" w:cs="Arial"/>
          <w:i/>
          <w:iCs/>
          <w:color w:val="000000"/>
          <w:sz w:val="24"/>
          <w:szCs w:val="24"/>
          <w:lang w:eastAsia="es-MX"/>
        </w:rPr>
        <w:t>et al</w:t>
      </w:r>
      <w:r w:rsidRPr="00747A8B">
        <w:rPr>
          <w:rFonts w:ascii="Arial" w:eastAsia="Times New Roman" w:hAnsi="Arial" w:cs="Arial"/>
          <w:color w:val="000000"/>
          <w:sz w:val="24"/>
          <w:szCs w:val="24"/>
          <w:lang w:eastAsia="es-MX"/>
        </w:rPr>
        <w:t>., 2016).</w:t>
      </w:r>
    </w:p>
    <w:p w:rsidR="00044DBD" w:rsidRPr="00747A8B" w:rsidRDefault="00044DBD" w:rsidP="00044DBD">
      <w:pPr>
        <w:spacing w:after="0" w:line="360" w:lineRule="auto"/>
        <w:ind w:firstLine="426"/>
        <w:jc w:val="both"/>
        <w:rPr>
          <w:rFonts w:ascii="Arial" w:eastAsia="Times New Roman" w:hAnsi="Arial" w:cs="Arial"/>
          <w:color w:val="000000"/>
          <w:sz w:val="24"/>
          <w:szCs w:val="24"/>
          <w:lang w:eastAsia="es-MX"/>
        </w:rPr>
      </w:pPr>
    </w:p>
    <w:p w:rsidR="00044DBD" w:rsidRPr="00747A8B" w:rsidRDefault="00044DBD" w:rsidP="00044DBD">
      <w:pPr>
        <w:spacing w:after="0" w:line="360" w:lineRule="auto"/>
        <w:ind w:firstLine="426"/>
        <w:jc w:val="both"/>
        <w:rPr>
          <w:rFonts w:ascii="Arial" w:eastAsia="Times New Roman" w:hAnsi="Arial" w:cs="Arial"/>
          <w:color w:val="000000"/>
          <w:sz w:val="24"/>
          <w:szCs w:val="24"/>
          <w:lang w:eastAsia="es-MX"/>
        </w:rPr>
      </w:pPr>
      <w:r w:rsidRPr="00747A8B">
        <w:rPr>
          <w:rFonts w:ascii="Arial" w:eastAsia="Times New Roman" w:hAnsi="Arial" w:cs="Arial"/>
          <w:color w:val="000000"/>
          <w:sz w:val="24"/>
          <w:szCs w:val="24"/>
          <w:lang w:eastAsia="es-MX"/>
        </w:rPr>
        <w:t>El padecimiento puede pasar desapercibida o confundida con otras enfermedades, su diagnóstico debe de ser por medio de pruebas de laboratorio, para lo cual se han establecido varias técnicas y pruebas de diagnóstico, entre las cuales se encuentra la serológica donde se utilizan de 1 a 13 serovariedades en el caso de Leptospira. La realización de un calendario de vacunación para la prevención es importante para evitar pérdidas reproductivas y por tanto pérdidas económicas para el productor.</w:t>
      </w:r>
    </w:p>
    <w:p w:rsidR="00044DBD" w:rsidRPr="00747A8B" w:rsidRDefault="00044DBD" w:rsidP="00044DBD">
      <w:pPr>
        <w:spacing w:after="0" w:line="360" w:lineRule="auto"/>
        <w:jc w:val="both"/>
        <w:rPr>
          <w:rFonts w:ascii="Arial" w:eastAsia="Times New Roman" w:hAnsi="Arial" w:cs="Arial"/>
          <w:color w:val="000000"/>
          <w:sz w:val="24"/>
          <w:szCs w:val="24"/>
          <w:lang w:eastAsia="es-MX"/>
        </w:rPr>
      </w:pPr>
      <w:r w:rsidRPr="00747A8B">
        <w:rPr>
          <w:rFonts w:ascii="Arial" w:eastAsia="Times New Roman" w:hAnsi="Arial" w:cs="Arial"/>
          <w:color w:val="000000"/>
          <w:sz w:val="24"/>
          <w:szCs w:val="24"/>
          <w:lang w:eastAsia="es-MX"/>
        </w:rPr>
        <w:t xml:space="preserve"> </w:t>
      </w:r>
    </w:p>
    <w:p w:rsidR="00044DBD" w:rsidRPr="00747A8B" w:rsidRDefault="00044DBD" w:rsidP="00044DBD">
      <w:pPr>
        <w:spacing w:after="0" w:line="360" w:lineRule="auto"/>
        <w:ind w:firstLine="426"/>
        <w:jc w:val="both"/>
        <w:rPr>
          <w:rFonts w:ascii="Arial" w:eastAsia="Times New Roman" w:hAnsi="Arial" w:cs="Arial"/>
          <w:color w:val="000000"/>
          <w:sz w:val="24"/>
          <w:szCs w:val="24"/>
          <w:lang w:eastAsia="es-MX"/>
        </w:rPr>
      </w:pPr>
      <w:r w:rsidRPr="00747A8B">
        <w:rPr>
          <w:rFonts w:ascii="Arial" w:eastAsia="Times New Roman" w:hAnsi="Arial" w:cs="Arial"/>
          <w:color w:val="000000"/>
          <w:sz w:val="24"/>
          <w:szCs w:val="24"/>
          <w:lang w:eastAsia="es-MX"/>
        </w:rPr>
        <w:t>El objetivo de este trabajo fue determinar la presencia de anticuerpos contra Leptospirosis en vacas lecheras, así como su efecto en los parámetros reproductivos, IP, S/C y DA.</w:t>
      </w:r>
    </w:p>
    <w:p w:rsidR="00044DBD" w:rsidRPr="00747A8B" w:rsidRDefault="00044DBD" w:rsidP="00044DBD">
      <w:pPr>
        <w:spacing w:after="0" w:line="360" w:lineRule="auto"/>
        <w:jc w:val="both"/>
        <w:rPr>
          <w:rFonts w:ascii="Arial" w:eastAsia="Times New Roman" w:hAnsi="Arial" w:cs="Arial"/>
          <w:color w:val="000000"/>
          <w:sz w:val="24"/>
          <w:szCs w:val="24"/>
          <w:lang w:eastAsia="es-MX"/>
        </w:rPr>
      </w:pPr>
    </w:p>
    <w:p w:rsidR="00044DBD" w:rsidRPr="00747A8B" w:rsidRDefault="00044DBD" w:rsidP="001D2A3D">
      <w:pPr>
        <w:pStyle w:val="1Titulo"/>
        <w:numPr>
          <w:ilvl w:val="0"/>
          <w:numId w:val="54"/>
        </w:numPr>
      </w:pPr>
      <w:bookmarkStart w:id="365" w:name="_Toc50031412"/>
      <w:r w:rsidRPr="00747A8B">
        <w:t>Condiciones experimentales</w:t>
      </w:r>
      <w:bookmarkEnd w:id="365"/>
    </w:p>
    <w:p w:rsidR="00044DBD" w:rsidRPr="00747A8B" w:rsidRDefault="00044DBD" w:rsidP="00044DBD">
      <w:pPr>
        <w:spacing w:after="0" w:line="360" w:lineRule="auto"/>
        <w:ind w:firstLine="426"/>
        <w:jc w:val="both"/>
        <w:rPr>
          <w:rFonts w:ascii="Arial" w:eastAsia="Times New Roman" w:hAnsi="Arial" w:cs="Arial"/>
          <w:color w:val="000000"/>
          <w:sz w:val="24"/>
          <w:szCs w:val="24"/>
          <w:lang w:eastAsia="es-MX"/>
        </w:rPr>
      </w:pPr>
      <w:r w:rsidRPr="00747A8B">
        <w:rPr>
          <w:rFonts w:ascii="Arial" w:eastAsia="Times New Roman" w:hAnsi="Arial" w:cs="Arial"/>
          <w:color w:val="000000"/>
          <w:sz w:val="24"/>
          <w:szCs w:val="24"/>
          <w:lang w:eastAsia="es-MX"/>
        </w:rPr>
        <w:t xml:space="preserve">Se tomaron muestras sanguínea de la vena coccígea por medio de la técnica de Ojeda </w:t>
      </w:r>
      <w:r w:rsidRPr="00747A8B">
        <w:rPr>
          <w:rFonts w:ascii="Arial" w:eastAsia="Times New Roman" w:hAnsi="Arial" w:cs="Arial"/>
          <w:i/>
          <w:iCs/>
          <w:color w:val="000000"/>
          <w:sz w:val="24"/>
          <w:szCs w:val="24"/>
          <w:lang w:eastAsia="es-MX"/>
        </w:rPr>
        <w:t xml:space="preserve">et al., </w:t>
      </w:r>
      <w:r w:rsidRPr="00747A8B">
        <w:rPr>
          <w:rFonts w:ascii="Arial" w:eastAsia="Times New Roman" w:hAnsi="Arial" w:cs="Arial"/>
          <w:color w:val="000000"/>
          <w:sz w:val="24"/>
          <w:szCs w:val="24"/>
          <w:lang w:eastAsia="es-MX"/>
        </w:rPr>
        <w:t>(2016), a 30 vacas de la raza Holstein de una unidad de producción ubicada en el Estado de Hidalgo, México con antecedentes de abortos, momificaciones y reabsorción de embriones.</w:t>
      </w:r>
    </w:p>
    <w:p w:rsidR="00044DBD" w:rsidRPr="00747A8B" w:rsidRDefault="00044DBD" w:rsidP="00044DBD">
      <w:pPr>
        <w:spacing w:after="0" w:line="360" w:lineRule="auto"/>
        <w:ind w:firstLine="426"/>
        <w:jc w:val="both"/>
        <w:rPr>
          <w:rFonts w:ascii="Arial" w:eastAsia="Times New Roman" w:hAnsi="Arial" w:cs="Arial"/>
          <w:color w:val="000000"/>
          <w:sz w:val="24"/>
          <w:szCs w:val="24"/>
          <w:lang w:eastAsia="es-MX"/>
        </w:rPr>
      </w:pPr>
    </w:p>
    <w:p w:rsidR="00044DBD" w:rsidRPr="00747A8B" w:rsidRDefault="00044DBD" w:rsidP="00044DBD">
      <w:pPr>
        <w:spacing w:after="0" w:line="360" w:lineRule="auto"/>
        <w:ind w:firstLine="426"/>
        <w:jc w:val="both"/>
        <w:rPr>
          <w:rFonts w:ascii="Arial" w:eastAsia="Times New Roman" w:hAnsi="Arial" w:cs="Arial"/>
          <w:color w:val="000000"/>
          <w:sz w:val="24"/>
          <w:szCs w:val="24"/>
          <w:lang w:eastAsia="es-MX"/>
        </w:rPr>
      </w:pPr>
      <w:r w:rsidRPr="00747A8B">
        <w:rPr>
          <w:rFonts w:ascii="Arial" w:eastAsia="Times New Roman" w:hAnsi="Arial" w:cs="Arial"/>
          <w:color w:val="000000"/>
          <w:sz w:val="24"/>
          <w:szCs w:val="24"/>
          <w:lang w:eastAsia="es-MX"/>
        </w:rPr>
        <w:t xml:space="preserve">Las muestras fueron analizadas en el laboratorio de Leptospira de la Universidad Autónoma Metropolitana-Xochimilco, utilizando para ello la técnica de aglutinación microscópica, la cual consiste en mezclar el suero a estudiar con leptospiras de diferentes serotipos, para luego evaluar el grado de aglutinación en el microscopio (Méndez </w:t>
      </w:r>
      <w:r w:rsidRPr="00747A8B">
        <w:rPr>
          <w:rFonts w:ascii="Arial" w:eastAsia="Times New Roman" w:hAnsi="Arial" w:cs="Arial"/>
          <w:i/>
          <w:iCs/>
          <w:color w:val="000000"/>
          <w:sz w:val="24"/>
          <w:szCs w:val="24"/>
          <w:lang w:eastAsia="es-MX"/>
        </w:rPr>
        <w:t>et al.,</w:t>
      </w:r>
      <w:r w:rsidRPr="00747A8B">
        <w:rPr>
          <w:rFonts w:ascii="Arial" w:eastAsia="Times New Roman" w:hAnsi="Arial" w:cs="Arial"/>
          <w:color w:val="000000"/>
          <w:sz w:val="24"/>
          <w:szCs w:val="24"/>
          <w:lang w:eastAsia="es-MX"/>
        </w:rPr>
        <w:t xml:space="preserve"> 2013). Se consideraron positivos los sueros que a la dilución 1:100 o superior, mostraron </w:t>
      </w:r>
      <w:r w:rsidRPr="00747A8B">
        <w:rPr>
          <w:rFonts w:ascii="Arial" w:eastAsia="Times New Roman" w:hAnsi="Arial" w:cs="Arial"/>
          <w:color w:val="000000"/>
          <w:sz w:val="24"/>
          <w:szCs w:val="24"/>
          <w:lang w:eastAsia="es-MX"/>
        </w:rPr>
        <w:lastRenderedPageBreak/>
        <w:t xml:space="preserve">50 % de aglutinación o desaparición de células del campo a la observación con el microscopio de campo oscuro. La bacteria que se empleo fue de 9 serovariedades de </w:t>
      </w:r>
      <w:r w:rsidRPr="00747A8B">
        <w:rPr>
          <w:rFonts w:ascii="Arial" w:eastAsia="Times New Roman" w:hAnsi="Arial" w:cs="Arial"/>
          <w:i/>
          <w:iCs/>
          <w:color w:val="000000"/>
          <w:sz w:val="24"/>
          <w:szCs w:val="24"/>
          <w:lang w:eastAsia="es-MX"/>
        </w:rPr>
        <w:t xml:space="preserve">L. interrogans </w:t>
      </w:r>
      <w:r w:rsidRPr="00747A8B">
        <w:rPr>
          <w:rFonts w:ascii="Arial" w:eastAsia="Times New Roman" w:hAnsi="Arial" w:cs="Arial"/>
          <w:color w:val="000000"/>
          <w:sz w:val="24"/>
          <w:szCs w:val="24"/>
          <w:lang w:eastAsia="es-MX"/>
        </w:rPr>
        <w:t>(</w:t>
      </w:r>
      <w:r w:rsidRPr="00747A8B">
        <w:rPr>
          <w:rFonts w:ascii="Arial" w:eastAsia="Times New Roman" w:hAnsi="Arial" w:cs="Arial"/>
          <w:i/>
          <w:iCs/>
          <w:color w:val="000000"/>
          <w:sz w:val="24"/>
          <w:szCs w:val="24"/>
          <w:lang w:eastAsia="es-MX"/>
        </w:rPr>
        <w:t>Icterohaemorrhagiae, Pyrogenes, Grippotyphosa, Canicola, Pomona, Hardjio, Wolffi, Tarassovi, Bratislava</w:t>
      </w:r>
      <w:r w:rsidRPr="00747A8B">
        <w:rPr>
          <w:rFonts w:ascii="Arial" w:eastAsia="Times New Roman" w:hAnsi="Arial" w:cs="Arial"/>
          <w:color w:val="000000"/>
          <w:sz w:val="24"/>
          <w:szCs w:val="24"/>
          <w:lang w:eastAsia="es-MX"/>
        </w:rPr>
        <w:t xml:space="preserve">) (Moles </w:t>
      </w:r>
      <w:r w:rsidRPr="00747A8B">
        <w:rPr>
          <w:rFonts w:ascii="Arial" w:eastAsia="Times New Roman" w:hAnsi="Arial" w:cs="Arial"/>
          <w:i/>
          <w:iCs/>
          <w:color w:val="000000"/>
          <w:sz w:val="24"/>
          <w:szCs w:val="24"/>
          <w:lang w:eastAsia="es-MX"/>
        </w:rPr>
        <w:t xml:space="preserve">et al., </w:t>
      </w:r>
      <w:r w:rsidRPr="00747A8B">
        <w:rPr>
          <w:rFonts w:ascii="Arial" w:eastAsia="Times New Roman" w:hAnsi="Arial" w:cs="Arial"/>
          <w:color w:val="000000"/>
          <w:sz w:val="24"/>
          <w:szCs w:val="24"/>
          <w:lang w:eastAsia="es-MX"/>
        </w:rPr>
        <w:t xml:space="preserve">2002). </w:t>
      </w:r>
      <w:r w:rsidRPr="00747A8B">
        <w:rPr>
          <w:rFonts w:ascii="Arial" w:eastAsia="Times New Roman" w:hAnsi="Arial" w:cs="Arial"/>
          <w:color w:val="000000"/>
          <w:sz w:val="24"/>
          <w:szCs w:val="24"/>
          <w:shd w:val="clear" w:color="auto" w:fill="FFFFFF"/>
          <w:lang w:eastAsia="es-MX"/>
        </w:rPr>
        <w:t>Se determinó su relación con los siguientes parámetros reproductivos: IP, S/C y DA. Los resultados fueron analizados por estadística no paramétrica.</w:t>
      </w:r>
    </w:p>
    <w:p w:rsidR="00044DBD" w:rsidRPr="00747A8B" w:rsidRDefault="00044DBD" w:rsidP="00044DBD">
      <w:pPr>
        <w:spacing w:after="0" w:line="360" w:lineRule="auto"/>
        <w:jc w:val="both"/>
        <w:rPr>
          <w:rFonts w:ascii="Arial" w:eastAsia="Times New Roman" w:hAnsi="Arial" w:cs="Arial"/>
          <w:color w:val="000000"/>
          <w:sz w:val="24"/>
          <w:szCs w:val="24"/>
          <w:lang w:eastAsia="es-MX"/>
        </w:rPr>
      </w:pPr>
    </w:p>
    <w:p w:rsidR="00044DBD" w:rsidRPr="00747A8B" w:rsidRDefault="00044DBD" w:rsidP="001D2A3D">
      <w:pPr>
        <w:pStyle w:val="1Titulo"/>
        <w:numPr>
          <w:ilvl w:val="0"/>
          <w:numId w:val="54"/>
        </w:numPr>
      </w:pPr>
      <w:bookmarkStart w:id="366" w:name="_Toc50031413"/>
      <w:r w:rsidRPr="00747A8B">
        <w:t>Resultados y discusión</w:t>
      </w:r>
      <w:bookmarkEnd w:id="366"/>
    </w:p>
    <w:p w:rsidR="00044DBD" w:rsidRPr="00747A8B" w:rsidRDefault="00044DBD" w:rsidP="00044DBD">
      <w:pPr>
        <w:spacing w:after="0" w:line="360" w:lineRule="auto"/>
        <w:ind w:firstLine="426"/>
        <w:jc w:val="both"/>
        <w:rPr>
          <w:rFonts w:ascii="Arial" w:eastAsia="Times New Roman" w:hAnsi="Arial" w:cs="Arial"/>
          <w:color w:val="000000"/>
          <w:sz w:val="24"/>
          <w:szCs w:val="24"/>
          <w:lang w:eastAsia="es-MX"/>
        </w:rPr>
      </w:pPr>
      <w:r w:rsidRPr="00747A8B">
        <w:rPr>
          <w:rFonts w:ascii="Arial" w:eastAsia="Times New Roman" w:hAnsi="Arial" w:cs="Arial"/>
          <w:color w:val="000000"/>
          <w:sz w:val="24"/>
          <w:szCs w:val="24"/>
          <w:lang w:eastAsia="es-MX"/>
        </w:rPr>
        <w:t xml:space="preserve">En el análisis de las 30 muestras serológicas, se encontró 73 % (22/30) de bovinos positivos, a una o más serovariedades de </w:t>
      </w:r>
      <w:r w:rsidRPr="00747A8B">
        <w:rPr>
          <w:rFonts w:ascii="Arial" w:eastAsia="Times New Roman" w:hAnsi="Arial" w:cs="Arial"/>
          <w:i/>
          <w:iCs/>
          <w:color w:val="000000"/>
          <w:sz w:val="24"/>
          <w:szCs w:val="24"/>
          <w:lang w:eastAsia="es-MX"/>
        </w:rPr>
        <w:t>Leptospira interrogans</w:t>
      </w:r>
      <w:r w:rsidRPr="00747A8B">
        <w:rPr>
          <w:rFonts w:ascii="Arial" w:eastAsia="Times New Roman" w:hAnsi="Arial" w:cs="Arial"/>
          <w:color w:val="000000"/>
          <w:sz w:val="24"/>
          <w:szCs w:val="24"/>
          <w:lang w:eastAsia="es-MX"/>
        </w:rPr>
        <w:t>.</w:t>
      </w:r>
    </w:p>
    <w:p w:rsidR="00044DBD" w:rsidRPr="00747A8B" w:rsidRDefault="00044DBD" w:rsidP="00044DBD">
      <w:pPr>
        <w:spacing w:after="0" w:line="360" w:lineRule="auto"/>
        <w:jc w:val="both"/>
        <w:rPr>
          <w:rFonts w:ascii="Arial" w:eastAsia="Times New Roman" w:hAnsi="Arial" w:cs="Arial"/>
          <w:sz w:val="24"/>
          <w:szCs w:val="24"/>
          <w:lang w:eastAsia="es-MX"/>
        </w:rPr>
      </w:pPr>
    </w:p>
    <w:p w:rsidR="00044DBD" w:rsidRPr="00747A8B" w:rsidRDefault="00044DBD" w:rsidP="00044DBD">
      <w:pPr>
        <w:spacing w:after="0" w:line="360" w:lineRule="auto"/>
        <w:ind w:firstLine="426"/>
        <w:jc w:val="both"/>
        <w:rPr>
          <w:rFonts w:ascii="Arial" w:eastAsia="Times New Roman" w:hAnsi="Arial" w:cs="Arial"/>
          <w:color w:val="000000"/>
          <w:sz w:val="24"/>
          <w:szCs w:val="24"/>
          <w:lang w:eastAsia="es-MX"/>
        </w:rPr>
      </w:pPr>
      <w:r w:rsidRPr="00747A8B">
        <w:rPr>
          <w:rFonts w:ascii="Arial" w:eastAsia="Times New Roman" w:hAnsi="Arial" w:cs="Arial"/>
          <w:color w:val="000000"/>
          <w:sz w:val="24"/>
          <w:szCs w:val="24"/>
          <w:lang w:eastAsia="es-MX"/>
        </w:rPr>
        <w:t xml:space="preserve">En los sueros positivos, se encontraron tres serovariedades de </w:t>
      </w:r>
      <w:r w:rsidRPr="00747A8B">
        <w:rPr>
          <w:rFonts w:ascii="Arial" w:eastAsia="Times New Roman" w:hAnsi="Arial" w:cs="Arial"/>
          <w:i/>
          <w:iCs/>
          <w:color w:val="000000"/>
          <w:sz w:val="24"/>
          <w:szCs w:val="24"/>
          <w:lang w:eastAsia="es-MX"/>
        </w:rPr>
        <w:t>Leptospira interrogans</w:t>
      </w:r>
      <w:r w:rsidRPr="00747A8B">
        <w:rPr>
          <w:rFonts w:ascii="Arial" w:eastAsia="Times New Roman" w:hAnsi="Arial" w:cs="Arial"/>
          <w:color w:val="000000"/>
          <w:sz w:val="24"/>
          <w:szCs w:val="24"/>
          <w:lang w:eastAsia="es-MX"/>
        </w:rPr>
        <w:t xml:space="preserve">: </w:t>
      </w:r>
      <w:r w:rsidRPr="00747A8B">
        <w:rPr>
          <w:rFonts w:ascii="Arial" w:eastAsia="Times New Roman" w:hAnsi="Arial" w:cs="Arial"/>
          <w:i/>
          <w:iCs/>
          <w:color w:val="000000"/>
          <w:sz w:val="24"/>
          <w:szCs w:val="24"/>
          <w:lang w:eastAsia="es-MX"/>
        </w:rPr>
        <w:t xml:space="preserve">Hardjio, Tarassovi y Hardjio H89 </w:t>
      </w:r>
      <w:r w:rsidRPr="00747A8B">
        <w:rPr>
          <w:rFonts w:ascii="Arial" w:eastAsia="Times New Roman" w:hAnsi="Arial" w:cs="Arial"/>
          <w:color w:val="000000"/>
          <w:sz w:val="24"/>
          <w:szCs w:val="24"/>
          <w:lang w:eastAsia="es-MX"/>
        </w:rPr>
        <w:t xml:space="preserve">(gráfica 1), el 14% de los animales mostraron positividad a las tres serovariedades, el 32 % a dos serovariedades y el 55% a un serotipo. Sin embargo, los resultados sugieren una infección activa por la serovariedad </w:t>
      </w:r>
      <w:r w:rsidRPr="00747A8B">
        <w:rPr>
          <w:rFonts w:ascii="Arial" w:eastAsia="Times New Roman" w:hAnsi="Arial" w:cs="Arial"/>
          <w:i/>
          <w:iCs/>
          <w:color w:val="000000"/>
          <w:sz w:val="24"/>
          <w:szCs w:val="24"/>
          <w:lang w:eastAsia="es-MX"/>
        </w:rPr>
        <w:t xml:space="preserve">Tarassovi </w:t>
      </w:r>
      <w:r w:rsidRPr="00747A8B">
        <w:rPr>
          <w:rFonts w:ascii="Arial" w:eastAsia="Times New Roman" w:hAnsi="Arial" w:cs="Arial"/>
          <w:color w:val="000000"/>
          <w:sz w:val="24"/>
          <w:szCs w:val="24"/>
          <w:lang w:eastAsia="es-MX"/>
        </w:rPr>
        <w:t>ya que se encontró en todos los casos.</w:t>
      </w:r>
    </w:p>
    <w:p w:rsidR="00044DBD" w:rsidRPr="00747A8B" w:rsidRDefault="00044DBD" w:rsidP="00044DBD">
      <w:pPr>
        <w:spacing w:after="0" w:line="360" w:lineRule="auto"/>
        <w:jc w:val="both"/>
        <w:rPr>
          <w:rFonts w:ascii="Arial" w:eastAsia="Times New Roman" w:hAnsi="Arial" w:cs="Arial"/>
          <w:color w:val="000000"/>
          <w:sz w:val="24"/>
          <w:szCs w:val="24"/>
          <w:lang w:eastAsia="es-MX"/>
        </w:rPr>
      </w:pPr>
    </w:p>
    <w:p w:rsidR="00044DBD" w:rsidRPr="00747A8B" w:rsidRDefault="00044DBD" w:rsidP="00044DBD">
      <w:pPr>
        <w:spacing w:after="0" w:line="360" w:lineRule="auto"/>
        <w:jc w:val="center"/>
        <w:rPr>
          <w:rFonts w:ascii="Arial" w:eastAsia="Times New Roman" w:hAnsi="Arial" w:cs="Arial"/>
          <w:sz w:val="24"/>
          <w:szCs w:val="24"/>
          <w:lang w:eastAsia="es-MX"/>
        </w:rPr>
      </w:pPr>
      <w:r w:rsidRPr="00747A8B">
        <w:rPr>
          <w:rFonts w:ascii="Arial" w:eastAsia="Times New Roman" w:hAnsi="Arial" w:cs="Arial"/>
          <w:noProof/>
          <w:color w:val="000000"/>
          <w:sz w:val="24"/>
          <w:szCs w:val="24"/>
          <w:lang w:val="en-US"/>
        </w:rPr>
        <w:drawing>
          <wp:inline distT="0" distB="0" distL="0" distR="0" wp14:anchorId="58144990" wp14:editId="1D5710C0">
            <wp:extent cx="5114290" cy="2557411"/>
            <wp:effectExtent l="0" t="0" r="0" b="0"/>
            <wp:docPr id="2026623740" name="Imagen 2026623740" descr="https://lh3.googleusercontent.com/xqmg6WuYN0L4jyK76h4steWL1d0hFxAXXZvBP3SKjTcwD9N1zgA15MGnw_Y6JmR6vWXlXSWGH2h0D8FYAiujS1kr_D2jAIx9YDYLuDPuHtpV3qtfJYvFvVPlmRcxic0TO7z4MX1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xqmg6WuYN0L4jyK76h4steWL1d0hFxAXXZvBP3SKjTcwD9N1zgA15MGnw_Y6JmR6vWXlXSWGH2h0D8FYAiujS1kr_D2jAIx9YDYLuDPuHtpV3qtfJYvFvVPlmRcxic0TO7z4MX1K"/>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5209476" cy="2605009"/>
                    </a:xfrm>
                    <a:prstGeom prst="rect">
                      <a:avLst/>
                    </a:prstGeom>
                    <a:noFill/>
                    <a:ln>
                      <a:noFill/>
                    </a:ln>
                  </pic:spPr>
                </pic:pic>
              </a:graphicData>
            </a:graphic>
          </wp:inline>
        </w:drawing>
      </w:r>
    </w:p>
    <w:p w:rsidR="00044DBD" w:rsidRPr="00747A8B" w:rsidRDefault="00044DBD" w:rsidP="00044DBD">
      <w:pPr>
        <w:spacing w:after="0" w:line="360" w:lineRule="auto"/>
        <w:jc w:val="center"/>
        <w:rPr>
          <w:rFonts w:ascii="Arial" w:eastAsia="Times New Roman" w:hAnsi="Arial" w:cs="Arial"/>
          <w:color w:val="000000"/>
          <w:sz w:val="24"/>
          <w:szCs w:val="24"/>
          <w:lang w:eastAsia="es-MX"/>
        </w:rPr>
      </w:pPr>
      <w:r w:rsidRPr="00747A8B">
        <w:rPr>
          <w:rFonts w:ascii="Arial" w:eastAsia="Times New Roman" w:hAnsi="Arial" w:cs="Arial"/>
          <w:color w:val="000000"/>
          <w:sz w:val="24"/>
          <w:szCs w:val="24"/>
          <w:lang w:eastAsia="es-MX"/>
        </w:rPr>
        <w:t>Gráfica 1. Porcentajes de los serotipos a los que fueron positivas las vacas.</w:t>
      </w:r>
    </w:p>
    <w:p w:rsidR="00044DBD" w:rsidRPr="00747A8B" w:rsidRDefault="00044DBD" w:rsidP="00044DBD">
      <w:pPr>
        <w:spacing w:after="0" w:line="360" w:lineRule="auto"/>
        <w:jc w:val="center"/>
        <w:rPr>
          <w:rFonts w:ascii="Arial" w:eastAsia="Times New Roman" w:hAnsi="Arial" w:cs="Arial"/>
          <w:color w:val="000000"/>
          <w:sz w:val="24"/>
          <w:szCs w:val="24"/>
          <w:lang w:eastAsia="es-MX"/>
        </w:rPr>
      </w:pPr>
    </w:p>
    <w:p w:rsidR="00044DBD" w:rsidRPr="00747A8B" w:rsidRDefault="00044DBD" w:rsidP="00044DBD">
      <w:pPr>
        <w:spacing w:after="0" w:line="360" w:lineRule="auto"/>
        <w:ind w:firstLine="708"/>
        <w:jc w:val="both"/>
        <w:rPr>
          <w:rFonts w:ascii="Arial" w:eastAsia="Times New Roman" w:hAnsi="Arial" w:cs="Arial"/>
          <w:color w:val="000000"/>
          <w:sz w:val="24"/>
          <w:szCs w:val="24"/>
          <w:lang w:eastAsia="es-MX"/>
        </w:rPr>
      </w:pPr>
      <w:r w:rsidRPr="00747A8B">
        <w:rPr>
          <w:rFonts w:ascii="Arial" w:eastAsia="Times New Roman" w:hAnsi="Arial" w:cs="Arial"/>
          <w:sz w:val="24"/>
          <w:szCs w:val="24"/>
          <w:lang w:eastAsia="es-MX"/>
        </w:rPr>
        <w:t xml:space="preserve">En cuanto a los parámetros reproductivos, al analizar los datos se obtuvo un intervalo entre partos de </w:t>
      </w:r>
      <w:r w:rsidRPr="00747A8B">
        <w:rPr>
          <w:rFonts w:ascii="Arial" w:eastAsia="Times New Roman" w:hAnsi="Arial" w:cs="Arial"/>
          <w:color w:val="000000"/>
          <w:sz w:val="24"/>
          <w:szCs w:val="24"/>
          <w:lang w:eastAsia="es-MX"/>
        </w:rPr>
        <w:t xml:space="preserve">318. 89 días, indicando que está por debajo de los parámetros </w:t>
      </w:r>
      <w:r w:rsidRPr="00747A8B">
        <w:rPr>
          <w:rFonts w:ascii="Arial" w:eastAsia="Times New Roman" w:hAnsi="Arial" w:cs="Arial"/>
          <w:color w:val="000000"/>
          <w:sz w:val="24"/>
          <w:szCs w:val="24"/>
          <w:lang w:eastAsia="es-MX"/>
        </w:rPr>
        <w:lastRenderedPageBreak/>
        <w:t>óptimos; días abiertos de 92. 62 días, demostrando estar dentro de los rangos ideales; y finalmente los servicios por concepción obtenido fue de 2.20 mostrando que está por encima del óptimo que es de 1.7 (Tabla 1).</w:t>
      </w:r>
    </w:p>
    <w:p w:rsidR="00044DBD" w:rsidRPr="00747A8B" w:rsidRDefault="00044DBD" w:rsidP="00044DBD">
      <w:pPr>
        <w:spacing w:after="0" w:line="360" w:lineRule="auto"/>
        <w:jc w:val="both"/>
        <w:rPr>
          <w:rFonts w:ascii="Arial" w:eastAsia="Times New Roman" w:hAnsi="Arial" w:cs="Arial"/>
          <w:color w:val="000000"/>
          <w:sz w:val="24"/>
          <w:szCs w:val="24"/>
          <w:lang w:eastAsia="es-MX"/>
        </w:rPr>
      </w:pPr>
    </w:p>
    <w:p w:rsidR="00044DBD" w:rsidRDefault="00044DBD" w:rsidP="00044DBD">
      <w:pPr>
        <w:spacing w:after="0" w:line="360" w:lineRule="auto"/>
        <w:jc w:val="center"/>
        <w:rPr>
          <w:rFonts w:ascii="Arial" w:eastAsia="Times New Roman" w:hAnsi="Arial" w:cs="Arial"/>
          <w:color w:val="000000"/>
          <w:sz w:val="24"/>
          <w:szCs w:val="24"/>
          <w:lang w:eastAsia="es-MX"/>
        </w:rPr>
      </w:pPr>
      <w:r w:rsidRPr="00747A8B">
        <w:rPr>
          <w:rFonts w:ascii="Arial" w:eastAsia="Times New Roman" w:hAnsi="Arial" w:cs="Arial"/>
          <w:color w:val="000000"/>
          <w:sz w:val="24"/>
          <w:szCs w:val="24"/>
          <w:lang w:eastAsia="es-MX"/>
        </w:rPr>
        <w:t>Tabla 1. Resultados obtenidos de parámetros reproductivos de los tres establos de estudio de la cuenca lechera de Tizayuca</w:t>
      </w:r>
    </w:p>
    <w:p w:rsidR="00044DBD" w:rsidRDefault="00044DBD" w:rsidP="00044DBD">
      <w:pPr>
        <w:spacing w:after="0" w:line="360" w:lineRule="auto"/>
        <w:jc w:val="center"/>
        <w:rPr>
          <w:rFonts w:ascii="Arial" w:eastAsia="Times New Roman" w:hAnsi="Arial" w:cs="Arial"/>
          <w:color w:val="000000"/>
          <w:sz w:val="24"/>
          <w:szCs w:val="24"/>
          <w:lang w:eastAsia="es-MX"/>
        </w:rPr>
      </w:pPr>
    </w:p>
    <w:p w:rsidR="00044DBD" w:rsidRDefault="00044DBD" w:rsidP="00044DBD">
      <w:pPr>
        <w:spacing w:after="0" w:line="360" w:lineRule="auto"/>
        <w:jc w:val="center"/>
        <w:rPr>
          <w:rFonts w:ascii="Arial" w:eastAsia="Times New Roman" w:hAnsi="Arial" w:cs="Arial"/>
          <w:color w:val="000000"/>
          <w:sz w:val="24"/>
          <w:szCs w:val="24"/>
          <w:lang w:eastAsia="es-MX"/>
        </w:rPr>
      </w:pPr>
    </w:p>
    <w:p w:rsidR="00044DBD" w:rsidRDefault="00044DBD" w:rsidP="00044DBD">
      <w:pPr>
        <w:spacing w:after="0" w:line="360" w:lineRule="auto"/>
        <w:jc w:val="center"/>
        <w:rPr>
          <w:rFonts w:ascii="Arial" w:eastAsia="Times New Roman" w:hAnsi="Arial" w:cs="Arial"/>
          <w:color w:val="000000"/>
          <w:sz w:val="24"/>
          <w:szCs w:val="24"/>
          <w:lang w:eastAsia="es-MX"/>
        </w:rPr>
      </w:pPr>
    </w:p>
    <w:p w:rsidR="00044DBD" w:rsidRDefault="00044DBD" w:rsidP="00044DBD">
      <w:pPr>
        <w:spacing w:after="0" w:line="360" w:lineRule="auto"/>
        <w:jc w:val="center"/>
        <w:rPr>
          <w:rFonts w:ascii="Arial" w:eastAsia="Times New Roman" w:hAnsi="Arial" w:cs="Arial"/>
          <w:color w:val="000000"/>
          <w:sz w:val="24"/>
          <w:szCs w:val="24"/>
          <w:lang w:eastAsia="es-MX"/>
        </w:rPr>
      </w:pPr>
    </w:p>
    <w:p w:rsidR="00044DBD" w:rsidRDefault="00044DBD" w:rsidP="00044DBD">
      <w:pPr>
        <w:spacing w:after="0" w:line="360" w:lineRule="auto"/>
        <w:jc w:val="center"/>
        <w:rPr>
          <w:rFonts w:ascii="Arial" w:eastAsia="Times New Roman" w:hAnsi="Arial" w:cs="Arial"/>
          <w:color w:val="000000"/>
          <w:sz w:val="24"/>
          <w:szCs w:val="24"/>
          <w:lang w:eastAsia="es-MX"/>
        </w:rPr>
      </w:pPr>
    </w:p>
    <w:p w:rsidR="00044DBD" w:rsidRPr="00747A8B" w:rsidRDefault="00044DBD" w:rsidP="00044DBD">
      <w:pPr>
        <w:spacing w:after="0" w:line="360" w:lineRule="auto"/>
        <w:jc w:val="center"/>
        <w:rPr>
          <w:rFonts w:ascii="Arial" w:eastAsia="Times New Roman" w:hAnsi="Arial" w:cs="Arial"/>
          <w:sz w:val="24"/>
          <w:szCs w:val="24"/>
          <w:lang w:eastAsia="es-MX"/>
        </w:rPr>
      </w:pPr>
    </w:p>
    <w:tbl>
      <w:tblPr>
        <w:tblW w:w="9043" w:type="dxa"/>
        <w:tblCellMar>
          <w:top w:w="15" w:type="dxa"/>
          <w:left w:w="15" w:type="dxa"/>
          <w:bottom w:w="15" w:type="dxa"/>
          <w:right w:w="15" w:type="dxa"/>
        </w:tblCellMar>
        <w:tblLook w:val="04A0" w:firstRow="1" w:lastRow="0" w:firstColumn="1" w:lastColumn="0" w:noHBand="0" w:noVBand="1"/>
      </w:tblPr>
      <w:tblGrid>
        <w:gridCol w:w="5097"/>
        <w:gridCol w:w="2079"/>
        <w:gridCol w:w="1867"/>
      </w:tblGrid>
      <w:tr w:rsidR="00044DBD" w:rsidRPr="00747A8B" w:rsidTr="007F2707">
        <w:trPr>
          <w:trHeight w:val="142"/>
        </w:trPr>
        <w:tc>
          <w:tcPr>
            <w:tcW w:w="0" w:type="auto"/>
            <w:gridSpan w:val="3"/>
            <w:tcBorders>
              <w:top w:val="single" w:sz="8" w:space="0" w:color="BFBFBF"/>
              <w:left w:val="single" w:sz="8" w:space="0" w:color="BFBFBF"/>
              <w:bottom w:val="single" w:sz="8" w:space="0" w:color="BFBFBF"/>
              <w:right w:val="single" w:sz="8" w:space="0" w:color="BFBFBF"/>
            </w:tcBorders>
            <w:shd w:val="clear" w:color="auto" w:fill="auto"/>
            <w:tcMar>
              <w:top w:w="100" w:type="dxa"/>
              <w:left w:w="100" w:type="dxa"/>
              <w:bottom w:w="100" w:type="dxa"/>
              <w:right w:w="100" w:type="dxa"/>
            </w:tcMar>
            <w:hideMark/>
          </w:tcPr>
          <w:p w:rsidR="00044DBD" w:rsidRPr="00747A8B" w:rsidRDefault="00044DBD" w:rsidP="007F2707">
            <w:pPr>
              <w:spacing w:after="0" w:line="360" w:lineRule="auto"/>
              <w:jc w:val="center"/>
              <w:rPr>
                <w:rFonts w:ascii="Arial" w:eastAsia="Times New Roman" w:hAnsi="Arial" w:cs="Arial"/>
                <w:sz w:val="24"/>
                <w:szCs w:val="24"/>
                <w:lang w:eastAsia="es-MX"/>
              </w:rPr>
            </w:pPr>
            <w:r w:rsidRPr="00747A8B">
              <w:rPr>
                <w:rFonts w:ascii="Arial" w:eastAsia="Times New Roman" w:hAnsi="Arial" w:cs="Arial"/>
                <w:b/>
                <w:bCs/>
                <w:sz w:val="24"/>
                <w:szCs w:val="24"/>
                <w:lang w:eastAsia="es-MX"/>
              </w:rPr>
              <w:t>Parámetros reproductivos en vacas Holstein de la Cuenca lechera de Tizayuca, Hidalgo.</w:t>
            </w:r>
          </w:p>
        </w:tc>
      </w:tr>
      <w:tr w:rsidR="00044DBD" w:rsidRPr="00747A8B" w:rsidTr="007F2707">
        <w:trPr>
          <w:trHeight w:val="136"/>
        </w:trPr>
        <w:tc>
          <w:tcPr>
            <w:tcW w:w="0" w:type="auto"/>
            <w:tcBorders>
              <w:top w:val="single" w:sz="8" w:space="0" w:color="BFBFBF"/>
              <w:left w:val="single" w:sz="8" w:space="0" w:color="BFBFBF"/>
              <w:bottom w:val="single" w:sz="8" w:space="0" w:color="BFBFBF"/>
              <w:right w:val="single" w:sz="8" w:space="0" w:color="BFBFBF"/>
            </w:tcBorders>
            <w:shd w:val="clear" w:color="auto" w:fill="auto"/>
            <w:tcMar>
              <w:top w:w="100" w:type="dxa"/>
              <w:left w:w="100" w:type="dxa"/>
              <w:bottom w:w="100" w:type="dxa"/>
              <w:right w:w="100" w:type="dxa"/>
            </w:tcMar>
            <w:hideMark/>
          </w:tcPr>
          <w:p w:rsidR="00044DBD" w:rsidRPr="00747A8B" w:rsidRDefault="00044DBD" w:rsidP="007F2707">
            <w:pPr>
              <w:spacing w:after="0" w:line="360" w:lineRule="auto"/>
              <w:jc w:val="center"/>
              <w:rPr>
                <w:rFonts w:ascii="Arial" w:eastAsia="Times New Roman" w:hAnsi="Arial" w:cs="Arial"/>
                <w:sz w:val="24"/>
                <w:szCs w:val="24"/>
                <w:lang w:eastAsia="es-MX"/>
              </w:rPr>
            </w:pPr>
            <w:r w:rsidRPr="00747A8B">
              <w:rPr>
                <w:rFonts w:ascii="Arial" w:eastAsia="Times New Roman" w:hAnsi="Arial" w:cs="Arial"/>
                <w:b/>
                <w:bCs/>
                <w:color w:val="000000"/>
                <w:sz w:val="24"/>
                <w:szCs w:val="24"/>
                <w:lang w:eastAsia="es-MX"/>
              </w:rPr>
              <w:t>Parámetro</w:t>
            </w:r>
          </w:p>
        </w:tc>
        <w:tc>
          <w:tcPr>
            <w:tcW w:w="0" w:type="auto"/>
            <w:tcBorders>
              <w:top w:val="single" w:sz="8" w:space="0" w:color="BFBFBF"/>
              <w:left w:val="single" w:sz="8" w:space="0" w:color="BFBFBF"/>
              <w:bottom w:val="single" w:sz="8" w:space="0" w:color="BFBFBF"/>
              <w:right w:val="single" w:sz="8" w:space="0" w:color="BFBFBF"/>
            </w:tcBorders>
            <w:shd w:val="clear" w:color="auto" w:fill="auto"/>
            <w:tcMar>
              <w:top w:w="100" w:type="dxa"/>
              <w:left w:w="100" w:type="dxa"/>
              <w:bottom w:w="100" w:type="dxa"/>
              <w:right w:w="100" w:type="dxa"/>
            </w:tcMar>
            <w:hideMark/>
          </w:tcPr>
          <w:p w:rsidR="00044DBD" w:rsidRPr="00747A8B" w:rsidRDefault="00044DBD" w:rsidP="007F2707">
            <w:pPr>
              <w:spacing w:after="0" w:line="360" w:lineRule="auto"/>
              <w:jc w:val="center"/>
              <w:rPr>
                <w:rFonts w:ascii="Arial" w:eastAsia="Times New Roman" w:hAnsi="Arial" w:cs="Arial"/>
                <w:sz w:val="24"/>
                <w:szCs w:val="24"/>
                <w:lang w:eastAsia="es-MX"/>
              </w:rPr>
            </w:pPr>
            <w:r w:rsidRPr="00747A8B">
              <w:rPr>
                <w:rFonts w:ascii="Arial" w:eastAsia="Times New Roman" w:hAnsi="Arial" w:cs="Arial"/>
                <w:b/>
                <w:bCs/>
                <w:color w:val="000000"/>
                <w:sz w:val="24"/>
                <w:szCs w:val="24"/>
                <w:lang w:eastAsia="es-MX"/>
              </w:rPr>
              <w:t>Promedio</w:t>
            </w:r>
          </w:p>
        </w:tc>
        <w:tc>
          <w:tcPr>
            <w:tcW w:w="0" w:type="auto"/>
            <w:tcBorders>
              <w:top w:val="single" w:sz="8" w:space="0" w:color="BFBFBF"/>
              <w:left w:val="single" w:sz="8" w:space="0" w:color="BFBFBF"/>
              <w:bottom w:val="single" w:sz="8" w:space="0" w:color="BFBFBF"/>
              <w:right w:val="single" w:sz="8" w:space="0" w:color="BFBFBF"/>
            </w:tcBorders>
            <w:shd w:val="clear" w:color="auto" w:fill="auto"/>
            <w:tcMar>
              <w:top w:w="100" w:type="dxa"/>
              <w:left w:w="100" w:type="dxa"/>
              <w:bottom w:w="100" w:type="dxa"/>
              <w:right w:w="100" w:type="dxa"/>
            </w:tcMar>
            <w:hideMark/>
          </w:tcPr>
          <w:p w:rsidR="00044DBD" w:rsidRPr="00747A8B" w:rsidRDefault="00044DBD" w:rsidP="007F2707">
            <w:pPr>
              <w:spacing w:after="0" w:line="360" w:lineRule="auto"/>
              <w:jc w:val="center"/>
              <w:rPr>
                <w:rFonts w:ascii="Arial" w:eastAsia="Times New Roman" w:hAnsi="Arial" w:cs="Arial"/>
                <w:sz w:val="24"/>
                <w:szCs w:val="24"/>
                <w:lang w:eastAsia="es-MX"/>
              </w:rPr>
            </w:pPr>
            <w:r w:rsidRPr="00747A8B">
              <w:rPr>
                <w:rFonts w:ascii="Arial" w:eastAsia="Times New Roman" w:hAnsi="Arial" w:cs="Arial"/>
                <w:b/>
                <w:bCs/>
                <w:color w:val="000000"/>
                <w:sz w:val="24"/>
                <w:szCs w:val="24"/>
                <w:lang w:eastAsia="es-MX"/>
              </w:rPr>
              <w:t>Óptimos</w:t>
            </w:r>
          </w:p>
        </w:tc>
      </w:tr>
      <w:tr w:rsidR="00044DBD" w:rsidRPr="00747A8B" w:rsidTr="007F2707">
        <w:trPr>
          <w:trHeight w:val="286"/>
        </w:trPr>
        <w:tc>
          <w:tcPr>
            <w:tcW w:w="0" w:type="auto"/>
            <w:tcBorders>
              <w:top w:val="single" w:sz="8" w:space="0" w:color="BFBFBF"/>
              <w:left w:val="single" w:sz="8" w:space="0" w:color="BFBFBF"/>
              <w:bottom w:val="single" w:sz="8" w:space="0" w:color="BFBFBF"/>
              <w:right w:val="single" w:sz="8" w:space="0" w:color="BFBFBF"/>
            </w:tcBorders>
            <w:shd w:val="clear" w:color="auto" w:fill="auto"/>
            <w:tcMar>
              <w:top w:w="100" w:type="dxa"/>
              <w:left w:w="100" w:type="dxa"/>
              <w:bottom w:w="100" w:type="dxa"/>
              <w:right w:w="100" w:type="dxa"/>
            </w:tcMar>
            <w:hideMark/>
          </w:tcPr>
          <w:p w:rsidR="00044DBD" w:rsidRPr="00747A8B" w:rsidRDefault="00044DBD" w:rsidP="007F2707">
            <w:pPr>
              <w:spacing w:after="0" w:line="360" w:lineRule="auto"/>
              <w:jc w:val="center"/>
              <w:rPr>
                <w:rFonts w:ascii="Arial" w:eastAsia="Times New Roman" w:hAnsi="Arial" w:cs="Arial"/>
                <w:sz w:val="24"/>
                <w:szCs w:val="24"/>
                <w:lang w:eastAsia="es-MX"/>
              </w:rPr>
            </w:pPr>
            <w:r w:rsidRPr="00747A8B">
              <w:rPr>
                <w:rFonts w:ascii="Arial" w:eastAsia="Times New Roman" w:hAnsi="Arial" w:cs="Arial"/>
                <w:b/>
                <w:bCs/>
                <w:color w:val="000000"/>
                <w:sz w:val="24"/>
                <w:szCs w:val="24"/>
                <w:lang w:eastAsia="es-MX"/>
              </w:rPr>
              <w:t>Intervalo entre partos (días).</w:t>
            </w:r>
          </w:p>
        </w:tc>
        <w:tc>
          <w:tcPr>
            <w:tcW w:w="0" w:type="auto"/>
            <w:tcBorders>
              <w:top w:val="single" w:sz="8" w:space="0" w:color="BFBFBF"/>
              <w:left w:val="single" w:sz="8" w:space="0" w:color="BFBFBF"/>
              <w:bottom w:val="single" w:sz="8" w:space="0" w:color="BFBFBF"/>
              <w:right w:val="single" w:sz="8" w:space="0" w:color="BFBFBF"/>
            </w:tcBorders>
            <w:shd w:val="clear" w:color="auto" w:fill="auto"/>
            <w:tcMar>
              <w:top w:w="100" w:type="dxa"/>
              <w:left w:w="100" w:type="dxa"/>
              <w:bottom w:w="100" w:type="dxa"/>
              <w:right w:w="100" w:type="dxa"/>
            </w:tcMar>
            <w:hideMark/>
          </w:tcPr>
          <w:p w:rsidR="00044DBD" w:rsidRPr="00747A8B" w:rsidRDefault="00044DBD" w:rsidP="007F2707">
            <w:pPr>
              <w:spacing w:after="0" w:line="360" w:lineRule="auto"/>
              <w:jc w:val="center"/>
              <w:rPr>
                <w:rFonts w:ascii="Arial" w:eastAsia="Times New Roman" w:hAnsi="Arial" w:cs="Arial"/>
                <w:sz w:val="24"/>
                <w:szCs w:val="24"/>
                <w:lang w:eastAsia="es-MX"/>
              </w:rPr>
            </w:pPr>
            <w:r w:rsidRPr="00747A8B">
              <w:rPr>
                <w:rFonts w:ascii="Arial" w:eastAsia="Times New Roman" w:hAnsi="Arial" w:cs="Arial"/>
                <w:color w:val="000000"/>
                <w:sz w:val="24"/>
                <w:szCs w:val="24"/>
                <w:lang w:eastAsia="es-MX"/>
              </w:rPr>
              <w:t>318.89</w:t>
            </w:r>
          </w:p>
        </w:tc>
        <w:tc>
          <w:tcPr>
            <w:tcW w:w="0" w:type="auto"/>
            <w:tcBorders>
              <w:top w:val="single" w:sz="8" w:space="0" w:color="BFBFBF"/>
              <w:left w:val="single" w:sz="8" w:space="0" w:color="BFBFBF"/>
              <w:bottom w:val="single" w:sz="8" w:space="0" w:color="BFBFBF"/>
              <w:right w:val="single" w:sz="8" w:space="0" w:color="BFBFBF"/>
            </w:tcBorders>
            <w:shd w:val="clear" w:color="auto" w:fill="auto"/>
            <w:tcMar>
              <w:top w:w="100" w:type="dxa"/>
              <w:left w:w="100" w:type="dxa"/>
              <w:bottom w:w="100" w:type="dxa"/>
              <w:right w:w="100" w:type="dxa"/>
            </w:tcMar>
            <w:hideMark/>
          </w:tcPr>
          <w:p w:rsidR="00044DBD" w:rsidRPr="00747A8B" w:rsidRDefault="00044DBD" w:rsidP="007F2707">
            <w:pPr>
              <w:spacing w:after="0" w:line="360" w:lineRule="auto"/>
              <w:jc w:val="center"/>
              <w:rPr>
                <w:rFonts w:ascii="Arial" w:eastAsia="Times New Roman" w:hAnsi="Arial" w:cs="Arial"/>
                <w:sz w:val="24"/>
                <w:szCs w:val="24"/>
                <w:lang w:eastAsia="es-MX"/>
              </w:rPr>
            </w:pPr>
            <w:r w:rsidRPr="00747A8B">
              <w:rPr>
                <w:rFonts w:ascii="Arial" w:eastAsia="Times New Roman" w:hAnsi="Arial" w:cs="Arial"/>
                <w:color w:val="000000"/>
                <w:sz w:val="24"/>
                <w:szCs w:val="24"/>
                <w:lang w:eastAsia="es-MX"/>
              </w:rPr>
              <w:t>385</w:t>
            </w:r>
          </w:p>
        </w:tc>
      </w:tr>
      <w:tr w:rsidR="00044DBD" w:rsidRPr="00747A8B" w:rsidTr="007F2707">
        <w:trPr>
          <w:trHeight w:val="138"/>
        </w:trPr>
        <w:tc>
          <w:tcPr>
            <w:tcW w:w="0" w:type="auto"/>
            <w:tcBorders>
              <w:top w:val="single" w:sz="8" w:space="0" w:color="BFBFBF"/>
              <w:left w:val="single" w:sz="8" w:space="0" w:color="BFBFBF"/>
              <w:bottom w:val="single" w:sz="8" w:space="0" w:color="BFBFBF"/>
              <w:right w:val="single" w:sz="8" w:space="0" w:color="BFBFBF"/>
            </w:tcBorders>
            <w:shd w:val="clear" w:color="auto" w:fill="auto"/>
            <w:tcMar>
              <w:top w:w="100" w:type="dxa"/>
              <w:left w:w="100" w:type="dxa"/>
              <w:bottom w:w="100" w:type="dxa"/>
              <w:right w:w="100" w:type="dxa"/>
            </w:tcMar>
            <w:hideMark/>
          </w:tcPr>
          <w:p w:rsidR="00044DBD" w:rsidRPr="00747A8B" w:rsidRDefault="00044DBD" w:rsidP="007F2707">
            <w:pPr>
              <w:spacing w:after="0" w:line="360" w:lineRule="auto"/>
              <w:jc w:val="center"/>
              <w:rPr>
                <w:rFonts w:ascii="Arial" w:eastAsia="Times New Roman" w:hAnsi="Arial" w:cs="Arial"/>
                <w:sz w:val="24"/>
                <w:szCs w:val="24"/>
                <w:lang w:eastAsia="es-MX"/>
              </w:rPr>
            </w:pPr>
            <w:r w:rsidRPr="00747A8B">
              <w:rPr>
                <w:rFonts w:ascii="Arial" w:eastAsia="Times New Roman" w:hAnsi="Arial" w:cs="Arial"/>
                <w:b/>
                <w:bCs/>
                <w:color w:val="000000"/>
                <w:sz w:val="24"/>
                <w:szCs w:val="24"/>
                <w:lang w:eastAsia="es-MX"/>
              </w:rPr>
              <w:t>Servicios por concepción.</w:t>
            </w:r>
          </w:p>
        </w:tc>
        <w:tc>
          <w:tcPr>
            <w:tcW w:w="0" w:type="auto"/>
            <w:tcBorders>
              <w:top w:val="single" w:sz="8" w:space="0" w:color="BFBFBF"/>
              <w:left w:val="single" w:sz="8" w:space="0" w:color="BFBFBF"/>
              <w:bottom w:val="single" w:sz="8" w:space="0" w:color="BFBFBF"/>
              <w:right w:val="single" w:sz="8" w:space="0" w:color="BFBFBF"/>
            </w:tcBorders>
            <w:shd w:val="clear" w:color="auto" w:fill="auto"/>
            <w:tcMar>
              <w:top w:w="100" w:type="dxa"/>
              <w:left w:w="100" w:type="dxa"/>
              <w:bottom w:w="100" w:type="dxa"/>
              <w:right w:w="100" w:type="dxa"/>
            </w:tcMar>
            <w:hideMark/>
          </w:tcPr>
          <w:p w:rsidR="00044DBD" w:rsidRPr="00747A8B" w:rsidRDefault="00044DBD" w:rsidP="007F2707">
            <w:pPr>
              <w:spacing w:after="0" w:line="360" w:lineRule="auto"/>
              <w:jc w:val="center"/>
              <w:rPr>
                <w:rFonts w:ascii="Arial" w:eastAsia="Times New Roman" w:hAnsi="Arial" w:cs="Arial"/>
                <w:sz w:val="24"/>
                <w:szCs w:val="24"/>
                <w:lang w:eastAsia="es-MX"/>
              </w:rPr>
            </w:pPr>
            <w:r w:rsidRPr="00747A8B">
              <w:rPr>
                <w:rFonts w:ascii="Arial" w:eastAsia="Times New Roman" w:hAnsi="Arial" w:cs="Arial"/>
                <w:color w:val="000000"/>
                <w:sz w:val="24"/>
                <w:szCs w:val="24"/>
                <w:lang w:eastAsia="es-MX"/>
              </w:rPr>
              <w:t>2.20</w:t>
            </w:r>
          </w:p>
        </w:tc>
        <w:tc>
          <w:tcPr>
            <w:tcW w:w="0" w:type="auto"/>
            <w:tcBorders>
              <w:top w:val="single" w:sz="8" w:space="0" w:color="BFBFBF"/>
              <w:left w:val="single" w:sz="8" w:space="0" w:color="BFBFBF"/>
              <w:bottom w:val="single" w:sz="8" w:space="0" w:color="BFBFBF"/>
              <w:right w:val="single" w:sz="8" w:space="0" w:color="BFBFBF"/>
            </w:tcBorders>
            <w:shd w:val="clear" w:color="auto" w:fill="auto"/>
            <w:tcMar>
              <w:top w:w="100" w:type="dxa"/>
              <w:left w:w="100" w:type="dxa"/>
              <w:bottom w:w="100" w:type="dxa"/>
              <w:right w:w="100" w:type="dxa"/>
            </w:tcMar>
            <w:hideMark/>
          </w:tcPr>
          <w:p w:rsidR="00044DBD" w:rsidRPr="00747A8B" w:rsidRDefault="00044DBD" w:rsidP="007F2707">
            <w:pPr>
              <w:spacing w:after="0" w:line="360" w:lineRule="auto"/>
              <w:jc w:val="center"/>
              <w:rPr>
                <w:rFonts w:ascii="Arial" w:eastAsia="Times New Roman" w:hAnsi="Arial" w:cs="Arial"/>
                <w:sz w:val="24"/>
                <w:szCs w:val="24"/>
                <w:lang w:eastAsia="es-MX"/>
              </w:rPr>
            </w:pPr>
            <w:r w:rsidRPr="00747A8B">
              <w:rPr>
                <w:rFonts w:ascii="Arial" w:eastAsia="Times New Roman" w:hAnsi="Arial" w:cs="Arial"/>
                <w:color w:val="000000"/>
                <w:sz w:val="24"/>
                <w:szCs w:val="24"/>
                <w:lang w:eastAsia="es-MX"/>
              </w:rPr>
              <w:t>1.7</w:t>
            </w:r>
          </w:p>
        </w:tc>
      </w:tr>
      <w:tr w:rsidR="00044DBD" w:rsidRPr="00747A8B" w:rsidTr="007F2707">
        <w:trPr>
          <w:trHeight w:val="288"/>
        </w:trPr>
        <w:tc>
          <w:tcPr>
            <w:tcW w:w="0" w:type="auto"/>
            <w:tcBorders>
              <w:top w:val="single" w:sz="8" w:space="0" w:color="BFBFBF"/>
              <w:left w:val="single" w:sz="8" w:space="0" w:color="BFBFBF"/>
              <w:bottom w:val="single" w:sz="8" w:space="0" w:color="BFBFBF"/>
              <w:right w:val="single" w:sz="8" w:space="0" w:color="BFBFBF"/>
            </w:tcBorders>
            <w:shd w:val="clear" w:color="auto" w:fill="auto"/>
            <w:tcMar>
              <w:top w:w="100" w:type="dxa"/>
              <w:left w:w="100" w:type="dxa"/>
              <w:bottom w:w="100" w:type="dxa"/>
              <w:right w:w="100" w:type="dxa"/>
            </w:tcMar>
            <w:hideMark/>
          </w:tcPr>
          <w:p w:rsidR="00044DBD" w:rsidRPr="00747A8B" w:rsidRDefault="00044DBD" w:rsidP="007F2707">
            <w:pPr>
              <w:spacing w:after="0" w:line="360" w:lineRule="auto"/>
              <w:jc w:val="center"/>
              <w:rPr>
                <w:rFonts w:ascii="Arial" w:eastAsia="Times New Roman" w:hAnsi="Arial" w:cs="Arial"/>
                <w:sz w:val="24"/>
                <w:szCs w:val="24"/>
                <w:lang w:eastAsia="es-MX"/>
              </w:rPr>
            </w:pPr>
            <w:r w:rsidRPr="00747A8B">
              <w:rPr>
                <w:rFonts w:ascii="Arial" w:eastAsia="Times New Roman" w:hAnsi="Arial" w:cs="Arial"/>
                <w:b/>
                <w:bCs/>
                <w:color w:val="000000"/>
                <w:sz w:val="24"/>
                <w:szCs w:val="24"/>
                <w:lang w:eastAsia="es-MX"/>
              </w:rPr>
              <w:t>Días abiertos.</w:t>
            </w:r>
          </w:p>
        </w:tc>
        <w:tc>
          <w:tcPr>
            <w:tcW w:w="0" w:type="auto"/>
            <w:tcBorders>
              <w:top w:val="single" w:sz="8" w:space="0" w:color="BFBFBF"/>
              <w:left w:val="single" w:sz="8" w:space="0" w:color="BFBFBF"/>
              <w:bottom w:val="single" w:sz="8" w:space="0" w:color="BFBFBF"/>
              <w:right w:val="single" w:sz="8" w:space="0" w:color="BFBFBF"/>
            </w:tcBorders>
            <w:shd w:val="clear" w:color="auto" w:fill="auto"/>
            <w:tcMar>
              <w:top w:w="100" w:type="dxa"/>
              <w:left w:w="100" w:type="dxa"/>
              <w:bottom w:w="100" w:type="dxa"/>
              <w:right w:w="100" w:type="dxa"/>
            </w:tcMar>
            <w:hideMark/>
          </w:tcPr>
          <w:p w:rsidR="00044DBD" w:rsidRPr="00747A8B" w:rsidRDefault="00044DBD" w:rsidP="007F2707">
            <w:pPr>
              <w:spacing w:after="0" w:line="360" w:lineRule="auto"/>
              <w:jc w:val="center"/>
              <w:rPr>
                <w:rFonts w:ascii="Arial" w:eastAsia="Times New Roman" w:hAnsi="Arial" w:cs="Arial"/>
                <w:sz w:val="24"/>
                <w:szCs w:val="24"/>
                <w:lang w:eastAsia="es-MX"/>
              </w:rPr>
            </w:pPr>
            <w:r w:rsidRPr="00747A8B">
              <w:rPr>
                <w:rFonts w:ascii="Arial" w:eastAsia="Times New Roman" w:hAnsi="Arial" w:cs="Arial"/>
                <w:color w:val="000000"/>
                <w:sz w:val="24"/>
                <w:szCs w:val="24"/>
                <w:lang w:eastAsia="es-MX"/>
              </w:rPr>
              <w:t>92.62</w:t>
            </w:r>
          </w:p>
        </w:tc>
        <w:tc>
          <w:tcPr>
            <w:tcW w:w="0" w:type="auto"/>
            <w:tcBorders>
              <w:top w:val="single" w:sz="8" w:space="0" w:color="BFBFBF"/>
              <w:left w:val="single" w:sz="8" w:space="0" w:color="BFBFBF"/>
              <w:bottom w:val="single" w:sz="8" w:space="0" w:color="BFBFBF"/>
              <w:right w:val="single" w:sz="8" w:space="0" w:color="BFBFBF"/>
            </w:tcBorders>
            <w:shd w:val="clear" w:color="auto" w:fill="auto"/>
            <w:tcMar>
              <w:top w:w="100" w:type="dxa"/>
              <w:left w:w="100" w:type="dxa"/>
              <w:bottom w:w="100" w:type="dxa"/>
              <w:right w:w="100" w:type="dxa"/>
            </w:tcMar>
            <w:hideMark/>
          </w:tcPr>
          <w:p w:rsidR="00044DBD" w:rsidRPr="00747A8B" w:rsidRDefault="00044DBD" w:rsidP="007F2707">
            <w:pPr>
              <w:spacing w:after="0" w:line="360" w:lineRule="auto"/>
              <w:jc w:val="center"/>
              <w:rPr>
                <w:rFonts w:ascii="Arial" w:eastAsia="Times New Roman" w:hAnsi="Arial" w:cs="Arial"/>
                <w:sz w:val="24"/>
                <w:szCs w:val="24"/>
                <w:lang w:eastAsia="es-MX"/>
              </w:rPr>
            </w:pPr>
            <w:r w:rsidRPr="00747A8B">
              <w:rPr>
                <w:rFonts w:ascii="Arial" w:eastAsia="Times New Roman" w:hAnsi="Arial" w:cs="Arial"/>
                <w:color w:val="000000"/>
                <w:sz w:val="24"/>
                <w:szCs w:val="24"/>
                <w:lang w:eastAsia="es-MX"/>
              </w:rPr>
              <w:t>85-110</w:t>
            </w:r>
          </w:p>
        </w:tc>
      </w:tr>
    </w:tbl>
    <w:p w:rsidR="00044DBD" w:rsidRPr="00747A8B" w:rsidRDefault="00044DBD" w:rsidP="00044DBD">
      <w:pPr>
        <w:spacing w:after="0" w:line="360" w:lineRule="auto"/>
        <w:jc w:val="center"/>
        <w:rPr>
          <w:rFonts w:ascii="Arial" w:eastAsia="Times New Roman" w:hAnsi="Arial" w:cs="Arial"/>
          <w:b/>
          <w:color w:val="000000"/>
          <w:sz w:val="24"/>
          <w:szCs w:val="24"/>
          <w:lang w:eastAsia="es-MX"/>
        </w:rPr>
      </w:pPr>
    </w:p>
    <w:p w:rsidR="00044DBD" w:rsidRPr="00747A8B" w:rsidRDefault="00044DBD" w:rsidP="00044DBD">
      <w:pPr>
        <w:pStyle w:val="Sinespaciado"/>
        <w:spacing w:line="360" w:lineRule="auto"/>
        <w:ind w:firstLine="708"/>
        <w:jc w:val="both"/>
        <w:rPr>
          <w:rFonts w:ascii="Arial" w:hAnsi="Arial" w:cs="Arial"/>
          <w:sz w:val="24"/>
          <w:szCs w:val="24"/>
        </w:rPr>
      </w:pPr>
      <w:r w:rsidRPr="00747A8B">
        <w:rPr>
          <w:rFonts w:ascii="Arial" w:hAnsi="Arial" w:cs="Arial"/>
          <w:sz w:val="24"/>
          <w:szCs w:val="24"/>
        </w:rPr>
        <w:t xml:space="preserve">En este estudio se determinó una frecuencia de 73% de vacas positivas a </w:t>
      </w:r>
      <w:r w:rsidRPr="00747A8B">
        <w:rPr>
          <w:rFonts w:ascii="Arial" w:hAnsi="Arial" w:cs="Arial"/>
          <w:i/>
          <w:sz w:val="24"/>
          <w:szCs w:val="24"/>
        </w:rPr>
        <w:t>Leptospira</w:t>
      </w:r>
      <w:r w:rsidRPr="00747A8B">
        <w:rPr>
          <w:rFonts w:ascii="Arial" w:hAnsi="Arial" w:cs="Arial"/>
          <w:sz w:val="24"/>
          <w:szCs w:val="24"/>
        </w:rPr>
        <w:t xml:space="preserve">, cifra cercana a la obtenida por Ojeda </w:t>
      </w:r>
      <w:r w:rsidRPr="00747A8B">
        <w:rPr>
          <w:rFonts w:ascii="Arial" w:hAnsi="Arial" w:cs="Arial"/>
          <w:i/>
          <w:iCs/>
          <w:sz w:val="24"/>
          <w:szCs w:val="24"/>
        </w:rPr>
        <w:t>et al</w:t>
      </w:r>
      <w:r w:rsidRPr="00747A8B">
        <w:rPr>
          <w:rFonts w:ascii="Arial" w:hAnsi="Arial" w:cs="Arial"/>
          <w:sz w:val="24"/>
          <w:szCs w:val="24"/>
        </w:rPr>
        <w:t xml:space="preserve">., 2016, en el que se analizaron muestras sanguíneas de 57 bovinos, encontrando 60% de sueros positivos a </w:t>
      </w:r>
      <w:r w:rsidRPr="00747A8B">
        <w:rPr>
          <w:rFonts w:ascii="Arial" w:hAnsi="Arial" w:cs="Arial"/>
          <w:i/>
          <w:sz w:val="24"/>
          <w:szCs w:val="24"/>
        </w:rPr>
        <w:t>Leptospira interrogans</w:t>
      </w:r>
      <w:r w:rsidRPr="00747A8B">
        <w:rPr>
          <w:rFonts w:ascii="Arial" w:hAnsi="Arial" w:cs="Arial"/>
          <w:sz w:val="24"/>
          <w:szCs w:val="24"/>
        </w:rPr>
        <w:t>. La existencia de esta bacteria en los sueros analizados en este trabajo, se atribuye a la presencia de fauna nociva o animales ajenos a la producción de bovinos de leche, como roedores y caninos, siendo estos primeros los principales vectores que diseminan la enfermedad (Benavides y Marcillo, 2016).</w:t>
      </w:r>
    </w:p>
    <w:p w:rsidR="00044DBD" w:rsidRPr="00747A8B" w:rsidRDefault="00044DBD" w:rsidP="00044DBD">
      <w:pPr>
        <w:pStyle w:val="Sinespaciado"/>
        <w:spacing w:line="360" w:lineRule="auto"/>
        <w:ind w:firstLine="708"/>
        <w:jc w:val="both"/>
        <w:rPr>
          <w:rFonts w:ascii="Arial" w:hAnsi="Arial" w:cs="Arial"/>
          <w:sz w:val="24"/>
          <w:szCs w:val="24"/>
        </w:rPr>
      </w:pPr>
    </w:p>
    <w:p w:rsidR="00044DBD" w:rsidRPr="00747A8B" w:rsidRDefault="00044DBD" w:rsidP="00044DBD">
      <w:pPr>
        <w:pStyle w:val="Sinespaciado"/>
        <w:spacing w:line="360" w:lineRule="auto"/>
        <w:ind w:firstLine="708"/>
        <w:jc w:val="both"/>
        <w:rPr>
          <w:rFonts w:ascii="Arial" w:hAnsi="Arial" w:cs="Arial"/>
          <w:sz w:val="24"/>
          <w:szCs w:val="24"/>
        </w:rPr>
      </w:pPr>
      <w:r w:rsidRPr="00747A8B">
        <w:rPr>
          <w:rFonts w:ascii="Arial" w:hAnsi="Arial" w:cs="Arial"/>
          <w:sz w:val="24"/>
          <w:szCs w:val="24"/>
        </w:rPr>
        <w:lastRenderedPageBreak/>
        <w:t xml:space="preserve">Las titulaciones de 1:400 son más significativas para la región, obteniendo en el estudio el 26.6 % de esta titulación, lo que puede deberse a una infección más reciente, pues en la prueba de MAT se logra un máximo de aglutinación a las 2-3 semanas de la infección. El 50% obtuvo titulaciones de 1:800 o superiores, y como se observó en los registros los animales llevaban más de un año sin ser vacunados, lo que puede indicar una posible infección viral activa (Escamilla </w:t>
      </w:r>
      <w:r w:rsidRPr="00747A8B">
        <w:rPr>
          <w:rFonts w:ascii="Arial" w:hAnsi="Arial" w:cs="Arial"/>
          <w:i/>
          <w:iCs/>
          <w:sz w:val="24"/>
          <w:szCs w:val="24"/>
        </w:rPr>
        <w:t>et al</w:t>
      </w:r>
      <w:r w:rsidRPr="00747A8B">
        <w:rPr>
          <w:rFonts w:ascii="Arial" w:hAnsi="Arial" w:cs="Arial"/>
          <w:sz w:val="24"/>
          <w:szCs w:val="24"/>
        </w:rPr>
        <w:t>., 2007).</w:t>
      </w:r>
    </w:p>
    <w:p w:rsidR="00044DBD" w:rsidRPr="00747A8B" w:rsidRDefault="00044DBD" w:rsidP="00044DBD">
      <w:pPr>
        <w:pStyle w:val="Sinespaciado"/>
        <w:spacing w:line="360" w:lineRule="auto"/>
        <w:ind w:firstLine="708"/>
        <w:jc w:val="both"/>
        <w:rPr>
          <w:rFonts w:ascii="Arial" w:hAnsi="Arial" w:cs="Arial"/>
          <w:sz w:val="24"/>
          <w:szCs w:val="24"/>
        </w:rPr>
      </w:pPr>
    </w:p>
    <w:p w:rsidR="00044DBD" w:rsidRPr="00747A8B" w:rsidRDefault="00044DBD" w:rsidP="00044DBD">
      <w:pPr>
        <w:pStyle w:val="Sinespaciado"/>
        <w:spacing w:line="360" w:lineRule="auto"/>
        <w:ind w:firstLine="708"/>
        <w:jc w:val="both"/>
        <w:rPr>
          <w:rFonts w:ascii="Arial" w:hAnsi="Arial" w:cs="Arial"/>
          <w:sz w:val="24"/>
          <w:szCs w:val="24"/>
        </w:rPr>
      </w:pPr>
      <w:r w:rsidRPr="00747A8B">
        <w:rPr>
          <w:rFonts w:ascii="Arial" w:hAnsi="Arial" w:cs="Arial"/>
          <w:sz w:val="24"/>
          <w:szCs w:val="24"/>
        </w:rPr>
        <w:t xml:space="preserve">Por otro lado, en un estudio realizado por Moles </w:t>
      </w:r>
      <w:r w:rsidRPr="00747A8B">
        <w:rPr>
          <w:rFonts w:ascii="Arial" w:hAnsi="Arial" w:cs="Arial"/>
          <w:i/>
          <w:iCs/>
          <w:sz w:val="24"/>
          <w:szCs w:val="24"/>
        </w:rPr>
        <w:t>et al</w:t>
      </w:r>
      <w:r w:rsidRPr="00747A8B">
        <w:rPr>
          <w:rFonts w:ascii="Arial" w:hAnsi="Arial" w:cs="Arial"/>
          <w:sz w:val="24"/>
          <w:szCs w:val="24"/>
        </w:rPr>
        <w:t xml:space="preserve">., (2002), al analizar 4,043 muestras serológicas de vacas de distintas regiones de México, demostraron que </w:t>
      </w:r>
      <w:r w:rsidRPr="00747A8B">
        <w:rPr>
          <w:rFonts w:ascii="Arial" w:hAnsi="Arial" w:cs="Arial"/>
          <w:i/>
          <w:sz w:val="24"/>
          <w:szCs w:val="24"/>
        </w:rPr>
        <w:t>Hardjo, Tarassovi</w:t>
      </w:r>
      <w:r w:rsidRPr="00747A8B">
        <w:rPr>
          <w:rFonts w:ascii="Arial" w:hAnsi="Arial" w:cs="Arial"/>
          <w:sz w:val="24"/>
          <w:szCs w:val="24"/>
        </w:rPr>
        <w:t xml:space="preserve"> y H89 fueron las serovariedades más frecuentes en bovinos en México. Lo que concuerda con lo obtenido en este trabajo; además, los resultados demostraron una infección activa por el serovariedad </w:t>
      </w:r>
      <w:r w:rsidRPr="00747A8B">
        <w:rPr>
          <w:rFonts w:ascii="Arial" w:hAnsi="Arial" w:cs="Arial"/>
          <w:i/>
          <w:sz w:val="24"/>
          <w:szCs w:val="24"/>
        </w:rPr>
        <w:t>Tarassovi</w:t>
      </w:r>
      <w:r w:rsidRPr="00747A8B">
        <w:rPr>
          <w:rFonts w:ascii="Arial" w:hAnsi="Arial" w:cs="Arial"/>
          <w:sz w:val="24"/>
          <w:szCs w:val="24"/>
        </w:rPr>
        <w:t>, encontrándose en todas las muestras positivas; este serotipo tiene como principal reservorio a los porcinos, y los bovinos pueden actuar como intermediarios; por lo tanto, cabe mencionar que en áreas cercanas al lugar de trabajo de este estudio, se encuentran unidades de producción de cerdos.</w:t>
      </w:r>
    </w:p>
    <w:p w:rsidR="00044DBD" w:rsidRPr="00747A8B" w:rsidRDefault="00044DBD" w:rsidP="00044DBD">
      <w:pPr>
        <w:pStyle w:val="Sinespaciado"/>
        <w:spacing w:line="360" w:lineRule="auto"/>
        <w:ind w:firstLine="284"/>
        <w:jc w:val="both"/>
        <w:rPr>
          <w:rFonts w:ascii="Arial" w:hAnsi="Arial" w:cs="Arial"/>
          <w:sz w:val="24"/>
          <w:szCs w:val="24"/>
        </w:rPr>
      </w:pPr>
    </w:p>
    <w:p w:rsidR="00044DBD" w:rsidRPr="00747A8B" w:rsidRDefault="00044DBD" w:rsidP="00044DBD">
      <w:pPr>
        <w:pStyle w:val="Sinespaciado"/>
        <w:spacing w:line="360" w:lineRule="auto"/>
        <w:ind w:firstLine="284"/>
        <w:jc w:val="both"/>
        <w:rPr>
          <w:rFonts w:ascii="Arial" w:hAnsi="Arial" w:cs="Arial"/>
          <w:sz w:val="24"/>
          <w:szCs w:val="24"/>
        </w:rPr>
      </w:pPr>
      <w:r w:rsidRPr="00747A8B">
        <w:rPr>
          <w:rFonts w:ascii="Arial" w:hAnsi="Arial" w:cs="Arial"/>
          <w:sz w:val="24"/>
          <w:szCs w:val="24"/>
        </w:rPr>
        <w:t xml:space="preserve">Los sueros que fueron analizados en este estudio,  procedían de vacas con antecedentes de abortos, presentado fetos momificados o reabsorción de embriones, en similitud con un trabajo realizado por Escamilla </w:t>
      </w:r>
      <w:r w:rsidRPr="00747A8B">
        <w:rPr>
          <w:rFonts w:ascii="Arial" w:hAnsi="Arial" w:cs="Arial"/>
          <w:i/>
          <w:iCs/>
          <w:sz w:val="24"/>
          <w:szCs w:val="24"/>
        </w:rPr>
        <w:t>et al</w:t>
      </w:r>
      <w:r w:rsidRPr="00747A8B">
        <w:rPr>
          <w:rFonts w:ascii="Arial" w:hAnsi="Arial" w:cs="Arial"/>
          <w:sz w:val="24"/>
          <w:szCs w:val="24"/>
        </w:rPr>
        <w:t xml:space="preserve">., (2007), donde también se encontraron abortos, fetos momificados y reabsorción de embriones, indicando los autores que estos eventos pueden haber sido causados por más de un agente infeccioso; sin embargo, </w:t>
      </w:r>
      <w:r w:rsidRPr="00747A8B">
        <w:rPr>
          <w:rFonts w:ascii="Arial" w:hAnsi="Arial" w:cs="Arial"/>
          <w:i/>
          <w:sz w:val="24"/>
          <w:szCs w:val="24"/>
        </w:rPr>
        <w:t>L. interrogan</w:t>
      </w:r>
      <w:r w:rsidRPr="00747A8B">
        <w:rPr>
          <w:rFonts w:ascii="Arial" w:hAnsi="Arial" w:cs="Arial"/>
          <w:sz w:val="24"/>
          <w:szCs w:val="24"/>
        </w:rPr>
        <w:t xml:space="preserve">s pudo haber sido el agente involucrado con mayor frecuencia. </w:t>
      </w:r>
    </w:p>
    <w:p w:rsidR="00044DBD" w:rsidRPr="00747A8B" w:rsidRDefault="00044DBD" w:rsidP="00044DBD">
      <w:pPr>
        <w:pStyle w:val="Sinespaciado"/>
        <w:spacing w:line="360" w:lineRule="auto"/>
        <w:jc w:val="both"/>
        <w:rPr>
          <w:rFonts w:ascii="Arial" w:hAnsi="Arial" w:cs="Arial"/>
          <w:sz w:val="24"/>
          <w:szCs w:val="24"/>
        </w:rPr>
      </w:pPr>
    </w:p>
    <w:p w:rsidR="00044DBD" w:rsidRPr="00747A8B" w:rsidRDefault="00044DBD" w:rsidP="001D2A3D">
      <w:pPr>
        <w:pStyle w:val="1Titulo"/>
        <w:numPr>
          <w:ilvl w:val="0"/>
          <w:numId w:val="54"/>
        </w:numPr>
      </w:pPr>
      <w:bookmarkStart w:id="367" w:name="_Toc50031414"/>
      <w:r w:rsidRPr="00747A8B">
        <w:t>Conclusiones</w:t>
      </w:r>
      <w:bookmarkEnd w:id="367"/>
    </w:p>
    <w:p w:rsidR="00044DBD" w:rsidRPr="00747A8B" w:rsidRDefault="00044DBD" w:rsidP="00044DBD">
      <w:pPr>
        <w:pStyle w:val="Sinespaciado"/>
        <w:spacing w:line="360" w:lineRule="auto"/>
        <w:ind w:firstLine="708"/>
        <w:jc w:val="both"/>
        <w:rPr>
          <w:rFonts w:ascii="Arial" w:hAnsi="Arial" w:cs="Arial"/>
          <w:sz w:val="24"/>
          <w:szCs w:val="24"/>
        </w:rPr>
      </w:pPr>
      <w:r w:rsidRPr="00747A8B">
        <w:rPr>
          <w:rFonts w:ascii="Arial" w:hAnsi="Arial" w:cs="Arial"/>
          <w:sz w:val="24"/>
          <w:szCs w:val="24"/>
        </w:rPr>
        <w:t>En conclusión, la presencia de anticuerpos contra leptospirosis indica que el padecimiento está presente en la unidad de producción de este estudio, lo cual explica los problemas en los parámetros reproductivos estudiados IP, S/C y DA.</w:t>
      </w:r>
    </w:p>
    <w:p w:rsidR="00044DBD" w:rsidRPr="001E3142" w:rsidRDefault="00044DBD" w:rsidP="00044DBD">
      <w:pPr>
        <w:pStyle w:val="Sinespaciado"/>
        <w:jc w:val="both"/>
        <w:rPr>
          <w:rFonts w:ascii="Arial" w:hAnsi="Arial" w:cs="Arial"/>
          <w:sz w:val="24"/>
          <w:szCs w:val="24"/>
        </w:rPr>
      </w:pPr>
    </w:p>
    <w:p w:rsidR="00044DBD" w:rsidRPr="001E3142" w:rsidRDefault="00044DBD" w:rsidP="001D2A3D">
      <w:pPr>
        <w:pStyle w:val="1Titulo"/>
        <w:numPr>
          <w:ilvl w:val="0"/>
          <w:numId w:val="54"/>
        </w:numPr>
      </w:pPr>
      <w:bookmarkStart w:id="368" w:name="_Toc50031415"/>
      <w:r w:rsidRPr="001E3142">
        <w:t>Bibliografía</w:t>
      </w:r>
      <w:bookmarkEnd w:id="368"/>
    </w:p>
    <w:p w:rsidR="00044DBD" w:rsidRPr="001E3142" w:rsidRDefault="00044DBD" w:rsidP="00044DBD">
      <w:pPr>
        <w:shd w:val="clear" w:color="auto" w:fill="FFFFFF"/>
        <w:spacing w:after="0" w:line="360" w:lineRule="auto"/>
        <w:jc w:val="both"/>
        <w:textAlignment w:val="baseline"/>
        <w:rPr>
          <w:rFonts w:ascii="Arial" w:eastAsia="Times New Roman" w:hAnsi="Arial" w:cs="Arial"/>
          <w:color w:val="000000"/>
          <w:sz w:val="24"/>
          <w:szCs w:val="24"/>
          <w:shd w:val="clear" w:color="auto" w:fill="FFFFFF"/>
          <w:lang w:eastAsia="es-MX"/>
        </w:rPr>
      </w:pPr>
      <w:r>
        <w:rPr>
          <w:rFonts w:ascii="Arial" w:eastAsia="Times New Roman" w:hAnsi="Arial" w:cs="Arial"/>
          <w:color w:val="000000"/>
          <w:sz w:val="24"/>
          <w:szCs w:val="24"/>
          <w:shd w:val="clear" w:color="auto" w:fill="FFFFFF"/>
          <w:lang w:eastAsia="es-MX"/>
        </w:rPr>
        <w:lastRenderedPageBreak/>
        <w:t>B</w:t>
      </w:r>
      <w:r w:rsidRPr="001E3142">
        <w:rPr>
          <w:rFonts w:ascii="Arial" w:eastAsia="Times New Roman" w:hAnsi="Arial" w:cs="Arial"/>
          <w:color w:val="000000"/>
          <w:sz w:val="24"/>
          <w:szCs w:val="24"/>
          <w:shd w:val="clear" w:color="auto" w:fill="FFFFFF"/>
          <w:lang w:eastAsia="es-MX"/>
        </w:rPr>
        <w:t>enavides K. L., y Marcillo A. R. Seroprevalencia de Leptospiraa spp en Hembras bovinos de las Fincas lecheras en el Municipio de Pasto, Colombia. Revista Investigación Pecuaria 4(2): 27-32</w:t>
      </w:r>
      <w:r>
        <w:rPr>
          <w:rFonts w:ascii="Arial" w:eastAsia="Times New Roman" w:hAnsi="Arial" w:cs="Arial"/>
          <w:color w:val="000000"/>
          <w:sz w:val="24"/>
          <w:szCs w:val="24"/>
          <w:shd w:val="clear" w:color="auto" w:fill="FFFFFF"/>
          <w:lang w:eastAsia="es-MX"/>
        </w:rPr>
        <w:t xml:space="preserve"> (2016).</w:t>
      </w:r>
    </w:p>
    <w:p w:rsidR="00044DBD" w:rsidRPr="001E3142" w:rsidRDefault="00044DBD" w:rsidP="00044DBD">
      <w:pPr>
        <w:shd w:val="clear" w:color="auto" w:fill="FFFFFF"/>
        <w:spacing w:after="0" w:line="360" w:lineRule="auto"/>
        <w:jc w:val="both"/>
        <w:textAlignment w:val="baseline"/>
        <w:rPr>
          <w:rFonts w:ascii="Arial" w:eastAsia="Times New Roman" w:hAnsi="Arial" w:cs="Arial"/>
          <w:color w:val="000000"/>
          <w:sz w:val="24"/>
          <w:szCs w:val="24"/>
          <w:lang w:eastAsia="es-MX"/>
        </w:rPr>
      </w:pPr>
    </w:p>
    <w:p w:rsidR="00044DBD" w:rsidRDefault="00044DBD" w:rsidP="00044DBD">
      <w:pPr>
        <w:shd w:val="clear" w:color="auto" w:fill="FFFFFF"/>
        <w:spacing w:after="0" w:line="360" w:lineRule="auto"/>
        <w:jc w:val="both"/>
        <w:textAlignment w:val="baseline"/>
        <w:rPr>
          <w:rFonts w:ascii="Arial" w:eastAsia="Times New Roman" w:hAnsi="Arial" w:cs="Arial"/>
          <w:color w:val="000000"/>
          <w:sz w:val="24"/>
          <w:szCs w:val="24"/>
          <w:shd w:val="clear" w:color="auto" w:fill="FFFFFF"/>
          <w:lang w:eastAsia="es-MX"/>
        </w:rPr>
      </w:pPr>
      <w:r>
        <w:rPr>
          <w:rFonts w:ascii="Arial" w:eastAsia="Times New Roman" w:hAnsi="Arial" w:cs="Arial"/>
          <w:color w:val="000000"/>
          <w:sz w:val="24"/>
          <w:szCs w:val="24"/>
          <w:shd w:val="clear" w:color="auto" w:fill="FFFFFF"/>
          <w:lang w:eastAsia="es-MX"/>
        </w:rPr>
        <w:t>E</w:t>
      </w:r>
      <w:r w:rsidRPr="001E3142">
        <w:rPr>
          <w:rFonts w:ascii="Arial" w:eastAsia="Times New Roman" w:hAnsi="Arial" w:cs="Arial"/>
          <w:color w:val="000000"/>
          <w:sz w:val="24"/>
          <w:szCs w:val="24"/>
          <w:shd w:val="clear" w:color="auto" w:fill="FFFFFF"/>
          <w:lang w:eastAsia="es-MX"/>
        </w:rPr>
        <w:t xml:space="preserve">scamilla H. P., Martínez J. J., Medina C. M., Morales S. E. Frecuency and causes of infectious abortion in a dairy herd in Queretaro, México. The Canadian Journal of Veterinary Research 71: </w:t>
      </w:r>
      <w:r>
        <w:rPr>
          <w:rFonts w:ascii="Arial" w:eastAsia="Times New Roman" w:hAnsi="Arial" w:cs="Arial"/>
          <w:color w:val="000000"/>
          <w:sz w:val="24"/>
          <w:szCs w:val="24"/>
          <w:shd w:val="clear" w:color="auto" w:fill="FFFFFF"/>
          <w:lang w:eastAsia="es-MX"/>
        </w:rPr>
        <w:t>314–317(</w:t>
      </w:r>
      <w:r w:rsidRPr="001E3142">
        <w:rPr>
          <w:rFonts w:ascii="Arial" w:eastAsia="Times New Roman" w:hAnsi="Arial" w:cs="Arial"/>
          <w:color w:val="000000"/>
          <w:sz w:val="24"/>
          <w:szCs w:val="24"/>
          <w:shd w:val="clear" w:color="auto" w:fill="FFFFFF"/>
          <w:lang w:eastAsia="es-MX"/>
        </w:rPr>
        <w:t>2007</w:t>
      </w:r>
      <w:r>
        <w:rPr>
          <w:rFonts w:ascii="Arial" w:eastAsia="Times New Roman" w:hAnsi="Arial" w:cs="Arial"/>
          <w:color w:val="000000"/>
          <w:sz w:val="24"/>
          <w:szCs w:val="24"/>
          <w:shd w:val="clear" w:color="auto" w:fill="FFFFFF"/>
          <w:lang w:eastAsia="es-MX"/>
        </w:rPr>
        <w:t>).</w:t>
      </w:r>
    </w:p>
    <w:p w:rsidR="00044DBD" w:rsidRDefault="00044DBD" w:rsidP="00044DBD">
      <w:pPr>
        <w:shd w:val="clear" w:color="auto" w:fill="FFFFFF"/>
        <w:spacing w:after="0" w:line="360" w:lineRule="auto"/>
        <w:jc w:val="both"/>
        <w:textAlignment w:val="baseline"/>
        <w:rPr>
          <w:rFonts w:ascii="Arial" w:eastAsia="Times New Roman" w:hAnsi="Arial" w:cs="Arial"/>
          <w:color w:val="000000"/>
          <w:sz w:val="24"/>
          <w:szCs w:val="24"/>
          <w:shd w:val="clear" w:color="auto" w:fill="FFFFFF"/>
          <w:lang w:eastAsia="es-MX"/>
        </w:rPr>
      </w:pPr>
    </w:p>
    <w:p w:rsidR="00044DBD" w:rsidRDefault="00044DBD" w:rsidP="00044DBD">
      <w:pPr>
        <w:shd w:val="clear" w:color="auto" w:fill="FFFFFF"/>
        <w:spacing w:after="0" w:line="360" w:lineRule="auto"/>
        <w:jc w:val="both"/>
        <w:textAlignment w:val="baseline"/>
        <w:rPr>
          <w:rFonts w:ascii="Arial" w:eastAsia="Times New Roman" w:hAnsi="Arial" w:cs="Arial"/>
          <w:color w:val="000000"/>
          <w:sz w:val="24"/>
          <w:szCs w:val="24"/>
          <w:shd w:val="clear" w:color="auto" w:fill="FFFFFF"/>
          <w:lang w:eastAsia="es-MX"/>
        </w:rPr>
      </w:pPr>
      <w:r>
        <w:rPr>
          <w:rFonts w:ascii="Arial" w:eastAsia="Times New Roman" w:hAnsi="Arial" w:cs="Arial"/>
          <w:color w:val="000000"/>
          <w:sz w:val="24"/>
          <w:szCs w:val="24"/>
          <w:shd w:val="clear" w:color="auto" w:fill="FFFFFF"/>
          <w:lang w:eastAsia="es-MX"/>
        </w:rPr>
        <w:t>G</w:t>
      </w:r>
      <w:r w:rsidRPr="001E3142">
        <w:rPr>
          <w:rFonts w:ascii="Arial" w:eastAsia="Times New Roman" w:hAnsi="Arial" w:cs="Arial"/>
          <w:color w:val="000000"/>
          <w:sz w:val="24"/>
          <w:szCs w:val="24"/>
          <w:shd w:val="clear" w:color="auto" w:fill="FFFFFF"/>
          <w:lang w:eastAsia="es-MX"/>
        </w:rPr>
        <w:t xml:space="preserve">ädicke P., Junod T., López M., Ortega R., Monti G. Enfermedades abortigenicas en las lecherías de la provincia de Ñuble: prevalencia y análisis. Archivos Medicina Veterinaria </w:t>
      </w:r>
      <w:r>
        <w:rPr>
          <w:rFonts w:ascii="Arial" w:eastAsia="Times New Roman" w:hAnsi="Arial" w:cs="Arial"/>
          <w:color w:val="000000"/>
          <w:sz w:val="24"/>
          <w:szCs w:val="24"/>
          <w:shd w:val="clear" w:color="auto" w:fill="FFFFFF"/>
          <w:lang w:eastAsia="es-MX"/>
        </w:rPr>
        <w:t>48 (1): 43-65 (2016).</w:t>
      </w:r>
    </w:p>
    <w:p w:rsidR="00044DBD" w:rsidRPr="00E51BD9" w:rsidRDefault="00044DBD" w:rsidP="00044DBD">
      <w:pPr>
        <w:shd w:val="clear" w:color="auto" w:fill="FFFFFF"/>
        <w:spacing w:after="0" w:line="360" w:lineRule="auto"/>
        <w:jc w:val="both"/>
        <w:textAlignment w:val="baseline"/>
        <w:rPr>
          <w:rFonts w:ascii="Arial" w:eastAsia="Times New Roman" w:hAnsi="Arial" w:cs="Arial"/>
          <w:color w:val="000000"/>
          <w:sz w:val="24"/>
          <w:szCs w:val="24"/>
          <w:shd w:val="clear" w:color="auto" w:fill="FFFFFF"/>
          <w:lang w:eastAsia="es-MX"/>
        </w:rPr>
      </w:pPr>
    </w:p>
    <w:p w:rsidR="00044DBD" w:rsidRPr="001E3142" w:rsidRDefault="00044DBD" w:rsidP="00044DBD">
      <w:pPr>
        <w:shd w:val="clear" w:color="auto" w:fill="FFFFFF"/>
        <w:spacing w:after="0" w:line="360" w:lineRule="auto"/>
        <w:jc w:val="both"/>
        <w:textAlignment w:val="baseline"/>
        <w:rPr>
          <w:rFonts w:ascii="Arial" w:eastAsia="Times New Roman" w:hAnsi="Arial" w:cs="Arial"/>
          <w:color w:val="000000"/>
          <w:sz w:val="24"/>
          <w:szCs w:val="24"/>
          <w:lang w:eastAsia="es-MX"/>
        </w:rPr>
      </w:pPr>
      <w:r>
        <w:rPr>
          <w:rFonts w:ascii="Arial" w:eastAsia="Times New Roman" w:hAnsi="Arial" w:cs="Arial"/>
          <w:color w:val="000000"/>
          <w:sz w:val="24"/>
          <w:szCs w:val="24"/>
          <w:shd w:val="clear" w:color="auto" w:fill="FFFFFF"/>
          <w:lang w:eastAsia="es-MX"/>
        </w:rPr>
        <w:t>M</w:t>
      </w:r>
      <w:r w:rsidRPr="001E3142">
        <w:rPr>
          <w:rFonts w:ascii="Arial" w:eastAsia="Times New Roman" w:hAnsi="Arial" w:cs="Arial"/>
          <w:color w:val="000000"/>
          <w:sz w:val="24"/>
          <w:szCs w:val="24"/>
          <w:shd w:val="clear" w:color="auto" w:fill="FFFFFF"/>
          <w:lang w:eastAsia="es-MX"/>
        </w:rPr>
        <w:t>éndez C., Benavides L., Esquivel A., Aldama A., Torres J., Gavaldón D., Meléndez P., Moles L. Pesquisa serológica de Leptospira en roedores silvestres, bovinos, equinos y caninos en el noroeste de México. Revista de Salud Animal</w:t>
      </w:r>
      <w:r w:rsidRPr="001E3142">
        <w:rPr>
          <w:rFonts w:ascii="Arial" w:eastAsia="Times New Roman" w:hAnsi="Arial" w:cs="Arial"/>
          <w:i/>
          <w:iCs/>
          <w:color w:val="000000"/>
          <w:sz w:val="24"/>
          <w:szCs w:val="24"/>
          <w:shd w:val="clear" w:color="auto" w:fill="FFFFFF"/>
          <w:lang w:eastAsia="es-MX"/>
        </w:rPr>
        <w:t xml:space="preserve"> </w:t>
      </w:r>
      <w:r w:rsidRPr="001E3142">
        <w:rPr>
          <w:rFonts w:ascii="Arial" w:eastAsia="Times New Roman" w:hAnsi="Arial" w:cs="Arial"/>
          <w:color w:val="000000"/>
          <w:sz w:val="24"/>
          <w:szCs w:val="24"/>
          <w:shd w:val="clear" w:color="auto" w:fill="FFFFFF"/>
          <w:lang w:eastAsia="es-MX"/>
        </w:rPr>
        <w:t>35 (1): 25-32.</w:t>
      </w:r>
      <w:r>
        <w:rPr>
          <w:rFonts w:ascii="Arial" w:eastAsia="Times New Roman" w:hAnsi="Arial" w:cs="Arial"/>
          <w:color w:val="000000"/>
          <w:sz w:val="24"/>
          <w:szCs w:val="24"/>
          <w:shd w:val="clear" w:color="auto" w:fill="FFFFFF"/>
          <w:lang w:eastAsia="es-MX"/>
        </w:rPr>
        <w:t xml:space="preserve"> (2013).</w:t>
      </w:r>
      <w:r w:rsidRPr="001E3142">
        <w:rPr>
          <w:rFonts w:ascii="Arial" w:eastAsia="Times New Roman" w:hAnsi="Arial" w:cs="Arial"/>
          <w:color w:val="000000"/>
          <w:sz w:val="24"/>
          <w:szCs w:val="24"/>
          <w:lang w:eastAsia="es-MX"/>
        </w:rPr>
        <w:t xml:space="preserve"> </w:t>
      </w:r>
    </w:p>
    <w:p w:rsidR="00044DBD" w:rsidRPr="001E3142" w:rsidRDefault="00044DBD" w:rsidP="00044DBD">
      <w:pPr>
        <w:shd w:val="clear" w:color="auto" w:fill="FFFFFF"/>
        <w:spacing w:after="0" w:line="360" w:lineRule="auto"/>
        <w:jc w:val="both"/>
        <w:textAlignment w:val="baseline"/>
        <w:rPr>
          <w:rFonts w:ascii="Arial" w:eastAsia="Times New Roman" w:hAnsi="Arial" w:cs="Arial"/>
          <w:color w:val="000000"/>
          <w:sz w:val="24"/>
          <w:szCs w:val="24"/>
          <w:shd w:val="clear" w:color="auto" w:fill="FFFFFF"/>
          <w:lang w:eastAsia="es-MX"/>
        </w:rPr>
      </w:pPr>
      <w:r>
        <w:rPr>
          <w:rFonts w:ascii="Arial" w:eastAsia="Times New Roman" w:hAnsi="Arial" w:cs="Arial"/>
          <w:color w:val="000000"/>
          <w:sz w:val="24"/>
          <w:szCs w:val="24"/>
          <w:shd w:val="clear" w:color="auto" w:fill="FFFFFF"/>
          <w:lang w:eastAsia="es-MX"/>
        </w:rPr>
        <w:t>M</w:t>
      </w:r>
      <w:r w:rsidRPr="001E3142">
        <w:rPr>
          <w:rFonts w:ascii="Arial" w:eastAsia="Times New Roman" w:hAnsi="Arial" w:cs="Arial"/>
          <w:color w:val="000000"/>
          <w:sz w:val="24"/>
          <w:szCs w:val="24"/>
          <w:shd w:val="clear" w:color="auto" w:fill="FFFFFF"/>
          <w:lang w:eastAsia="es-MX"/>
        </w:rPr>
        <w:t xml:space="preserve">oles C. L., Cisneros P. M., Gavaldón R. D., Rojas S. N., Torres B. I. Estudio serológico de leptospirosis bovina en México. Rev. Cubana Med Trop 54 (1): </w:t>
      </w:r>
      <w:r>
        <w:rPr>
          <w:rFonts w:ascii="Arial" w:eastAsia="Times New Roman" w:hAnsi="Arial" w:cs="Arial"/>
          <w:color w:val="000000"/>
          <w:sz w:val="24"/>
          <w:szCs w:val="24"/>
          <w:shd w:val="clear" w:color="auto" w:fill="FFFFFF"/>
          <w:lang w:eastAsia="es-MX"/>
        </w:rPr>
        <w:t>24-7 (2002).</w:t>
      </w:r>
    </w:p>
    <w:p w:rsidR="00044DBD" w:rsidRPr="001E3142" w:rsidRDefault="00044DBD" w:rsidP="00044DBD">
      <w:pPr>
        <w:shd w:val="clear" w:color="auto" w:fill="FFFFFF"/>
        <w:spacing w:after="0" w:line="360" w:lineRule="auto"/>
        <w:jc w:val="both"/>
        <w:textAlignment w:val="baseline"/>
        <w:rPr>
          <w:rFonts w:ascii="Arial" w:eastAsia="Times New Roman" w:hAnsi="Arial" w:cs="Arial"/>
          <w:color w:val="000000"/>
          <w:sz w:val="24"/>
          <w:szCs w:val="24"/>
          <w:lang w:eastAsia="es-MX"/>
        </w:rPr>
      </w:pPr>
    </w:p>
    <w:p w:rsidR="00044DBD" w:rsidRPr="001E3142" w:rsidRDefault="00044DBD" w:rsidP="00044DBD">
      <w:pPr>
        <w:shd w:val="clear" w:color="auto" w:fill="FFFFFF"/>
        <w:spacing w:after="0" w:line="360" w:lineRule="auto"/>
        <w:jc w:val="both"/>
        <w:textAlignment w:val="baseline"/>
        <w:rPr>
          <w:rFonts w:ascii="Arial" w:eastAsia="Times New Roman" w:hAnsi="Arial" w:cs="Arial"/>
          <w:color w:val="000000"/>
          <w:sz w:val="24"/>
          <w:szCs w:val="24"/>
          <w:shd w:val="clear" w:color="auto" w:fill="FFFFFF"/>
          <w:lang w:eastAsia="es-MX"/>
        </w:rPr>
      </w:pPr>
      <w:r>
        <w:rPr>
          <w:rFonts w:ascii="Arial" w:eastAsia="Times New Roman" w:hAnsi="Arial" w:cs="Arial"/>
          <w:color w:val="000000"/>
          <w:sz w:val="24"/>
          <w:szCs w:val="24"/>
          <w:shd w:val="clear" w:color="auto" w:fill="FFFFFF"/>
          <w:lang w:eastAsia="es-MX"/>
        </w:rPr>
        <w:t>O</w:t>
      </w:r>
      <w:r w:rsidRPr="001E3142">
        <w:rPr>
          <w:rFonts w:ascii="Arial" w:eastAsia="Times New Roman" w:hAnsi="Arial" w:cs="Arial"/>
          <w:color w:val="000000"/>
          <w:sz w:val="24"/>
          <w:szCs w:val="24"/>
          <w:shd w:val="clear" w:color="auto" w:fill="FFFFFF"/>
          <w:lang w:eastAsia="es-MX"/>
        </w:rPr>
        <w:t xml:space="preserve">jeda C. J., Espinosa A. E., Hernández G. P., Rojas M. C., Álvarez M. G. Seroprevalencia de enfermedades que afectan la reproducción de bovinos para leche con énfasis en neosporosis.Revista  Ecosistemas y Recursos Agropecuarios 3(8): </w:t>
      </w:r>
      <w:r>
        <w:rPr>
          <w:rFonts w:ascii="Arial" w:eastAsia="Times New Roman" w:hAnsi="Arial" w:cs="Arial"/>
          <w:color w:val="000000"/>
          <w:sz w:val="24"/>
          <w:szCs w:val="24"/>
          <w:shd w:val="clear" w:color="auto" w:fill="FFFFFF"/>
          <w:lang w:eastAsia="es-MX"/>
        </w:rPr>
        <w:t>243-249 (2016).</w:t>
      </w:r>
    </w:p>
    <w:p w:rsidR="00044DBD" w:rsidRPr="001E3142" w:rsidRDefault="00044DBD" w:rsidP="00044DBD">
      <w:pPr>
        <w:shd w:val="clear" w:color="auto" w:fill="FFFFFF"/>
        <w:spacing w:after="0" w:line="360" w:lineRule="auto"/>
        <w:jc w:val="both"/>
        <w:textAlignment w:val="baseline"/>
        <w:rPr>
          <w:rFonts w:ascii="Arial" w:eastAsia="Times New Roman" w:hAnsi="Arial" w:cs="Arial"/>
          <w:color w:val="000000"/>
          <w:sz w:val="24"/>
          <w:szCs w:val="24"/>
          <w:lang w:eastAsia="es-MX"/>
        </w:rPr>
      </w:pPr>
    </w:p>
    <w:p w:rsidR="00044DBD" w:rsidRPr="001E3142" w:rsidRDefault="00044DBD" w:rsidP="00044DBD">
      <w:pPr>
        <w:shd w:val="clear" w:color="auto" w:fill="FFFFFF"/>
        <w:spacing w:after="0" w:line="360" w:lineRule="auto"/>
        <w:jc w:val="both"/>
        <w:textAlignment w:val="baseline"/>
        <w:rPr>
          <w:rFonts w:ascii="Arial" w:eastAsia="Times New Roman" w:hAnsi="Arial" w:cs="Arial"/>
          <w:sz w:val="24"/>
          <w:szCs w:val="24"/>
          <w:lang w:eastAsia="es-MX"/>
        </w:rPr>
      </w:pPr>
      <w:r>
        <w:rPr>
          <w:rFonts w:ascii="Arial" w:eastAsia="Times New Roman" w:hAnsi="Arial" w:cs="Arial"/>
          <w:color w:val="000000"/>
          <w:sz w:val="24"/>
          <w:szCs w:val="24"/>
          <w:shd w:val="clear" w:color="auto" w:fill="FFFFFF"/>
          <w:lang w:eastAsia="es-MX"/>
        </w:rPr>
        <w:t>Y</w:t>
      </w:r>
      <w:r w:rsidRPr="001E3142">
        <w:rPr>
          <w:rFonts w:ascii="Arial" w:eastAsia="Times New Roman" w:hAnsi="Arial" w:cs="Arial"/>
          <w:color w:val="000000"/>
          <w:sz w:val="24"/>
          <w:szCs w:val="24"/>
          <w:shd w:val="clear" w:color="auto" w:fill="FFFFFF"/>
          <w:lang w:eastAsia="es-MX"/>
        </w:rPr>
        <w:t xml:space="preserve">unes A., Feula P. H., Echevarría. Descripción de leptospirosis en rodeos de cría y discusión de un caso sospechoso de leptospira. UNCPBA. </w:t>
      </w:r>
      <w:r>
        <w:rPr>
          <w:rFonts w:ascii="Arial" w:eastAsia="Times New Roman" w:hAnsi="Arial" w:cs="Arial"/>
          <w:color w:val="000000"/>
          <w:sz w:val="24"/>
          <w:szCs w:val="24"/>
          <w:shd w:val="clear" w:color="auto" w:fill="FFFFFF"/>
          <w:lang w:eastAsia="es-MX"/>
        </w:rPr>
        <w:t>(</w:t>
      </w:r>
      <w:r w:rsidRPr="001E3142">
        <w:rPr>
          <w:rFonts w:ascii="Arial" w:eastAsia="Times New Roman" w:hAnsi="Arial" w:cs="Arial"/>
          <w:color w:val="000000"/>
          <w:sz w:val="24"/>
          <w:szCs w:val="24"/>
          <w:shd w:val="clear" w:color="auto" w:fill="FFFFFF"/>
          <w:lang w:eastAsia="es-MX"/>
        </w:rPr>
        <w:t>2016</w:t>
      </w:r>
      <w:r>
        <w:rPr>
          <w:rFonts w:ascii="Arial" w:eastAsia="Times New Roman" w:hAnsi="Arial" w:cs="Arial"/>
          <w:color w:val="000000"/>
          <w:sz w:val="24"/>
          <w:szCs w:val="24"/>
          <w:shd w:val="clear" w:color="auto" w:fill="FFFFFF"/>
          <w:lang w:eastAsia="es-MX"/>
        </w:rPr>
        <w:t>)</w:t>
      </w:r>
      <w:r w:rsidRPr="001E3142">
        <w:rPr>
          <w:rFonts w:ascii="Arial" w:eastAsia="Times New Roman" w:hAnsi="Arial" w:cs="Arial"/>
          <w:color w:val="000000"/>
          <w:sz w:val="24"/>
          <w:szCs w:val="24"/>
          <w:shd w:val="clear" w:color="auto" w:fill="FFFFFF"/>
          <w:lang w:eastAsia="es-MX"/>
        </w:rPr>
        <w:t>.</w:t>
      </w:r>
    </w:p>
    <w:p w:rsidR="003F0296" w:rsidRPr="00CB0978" w:rsidRDefault="003F0296" w:rsidP="0049551D">
      <w:pPr>
        <w:rPr>
          <w:lang w:val="es-MX"/>
        </w:rPr>
      </w:pPr>
    </w:p>
    <w:p w:rsidR="003F0296" w:rsidRPr="00CB0978" w:rsidRDefault="003F0296" w:rsidP="0049551D">
      <w:pPr>
        <w:rPr>
          <w:lang w:val="es-MX"/>
        </w:rPr>
      </w:pPr>
    </w:p>
    <w:p w:rsidR="00CB0978" w:rsidRPr="00CB0978" w:rsidRDefault="00CB0978" w:rsidP="00CB0978">
      <w:pPr>
        <w:pStyle w:val="1Titulo"/>
        <w:numPr>
          <w:ilvl w:val="0"/>
          <w:numId w:val="0"/>
        </w:numPr>
        <w:ind w:left="357"/>
        <w:jc w:val="center"/>
        <w:rPr>
          <w:sz w:val="28"/>
          <w:szCs w:val="28"/>
        </w:rPr>
      </w:pPr>
      <w:bookmarkStart w:id="369" w:name="_Toc50031416"/>
      <w:r w:rsidRPr="00CB0978">
        <w:rPr>
          <w:sz w:val="28"/>
          <w:szCs w:val="28"/>
        </w:rPr>
        <w:t>Combinación de α-tocoferol y quercetina como antioxidantes para la congelación de semen de verraco y calidad espermática</w:t>
      </w:r>
      <w:bookmarkEnd w:id="369"/>
    </w:p>
    <w:p w:rsidR="00CB0978" w:rsidRPr="00D443F5" w:rsidRDefault="00CB0978" w:rsidP="00CB0978">
      <w:pPr>
        <w:spacing w:line="276" w:lineRule="auto"/>
        <w:jc w:val="center"/>
        <w:rPr>
          <w:rFonts w:ascii="Arial" w:hAnsi="Arial" w:cs="Arial"/>
          <w:sz w:val="24"/>
          <w:szCs w:val="24"/>
        </w:rPr>
      </w:pPr>
      <w:r w:rsidRPr="00D443F5">
        <w:rPr>
          <w:rFonts w:ascii="Arial" w:hAnsi="Arial" w:cs="Arial"/>
          <w:sz w:val="24"/>
          <w:szCs w:val="24"/>
          <w:shd w:val="clear" w:color="auto" w:fill="FFFFFF"/>
        </w:rPr>
        <w:t xml:space="preserve">Iglesias </w:t>
      </w:r>
      <w:r>
        <w:rPr>
          <w:rFonts w:ascii="Arial" w:hAnsi="Arial" w:cs="Arial"/>
          <w:sz w:val="24"/>
          <w:szCs w:val="24"/>
          <w:shd w:val="clear" w:color="auto" w:fill="FFFFFF"/>
        </w:rPr>
        <w:t>RAE</w:t>
      </w:r>
      <w:r w:rsidRPr="00D443F5">
        <w:rPr>
          <w:rFonts w:ascii="Arial" w:hAnsi="Arial" w:cs="Arial"/>
          <w:sz w:val="24"/>
          <w:szCs w:val="24"/>
          <w:shd w:val="clear" w:color="auto" w:fill="FFFFFF"/>
          <w:vertAlign w:val="superscript"/>
        </w:rPr>
        <w:t>1</w:t>
      </w:r>
      <w:r w:rsidRPr="00D443F5">
        <w:rPr>
          <w:rFonts w:ascii="Arial" w:hAnsi="Arial" w:cs="Arial"/>
          <w:sz w:val="24"/>
          <w:szCs w:val="24"/>
          <w:shd w:val="clear" w:color="auto" w:fill="FFFFFF"/>
        </w:rPr>
        <w:t xml:space="preserve">, </w:t>
      </w:r>
      <w:r w:rsidRPr="00D443F5">
        <w:rPr>
          <w:rFonts w:ascii="Arial" w:hAnsi="Arial" w:cs="Arial"/>
          <w:sz w:val="24"/>
          <w:szCs w:val="24"/>
        </w:rPr>
        <w:t xml:space="preserve">Juárez </w:t>
      </w:r>
      <w:r>
        <w:rPr>
          <w:rFonts w:ascii="Arial" w:hAnsi="Arial" w:cs="Arial"/>
          <w:sz w:val="24"/>
          <w:szCs w:val="24"/>
        </w:rPr>
        <w:t>MML</w:t>
      </w:r>
      <w:r w:rsidRPr="00D443F5">
        <w:rPr>
          <w:rFonts w:ascii="Arial" w:hAnsi="Arial" w:cs="Arial"/>
          <w:sz w:val="24"/>
          <w:szCs w:val="24"/>
          <w:vertAlign w:val="superscript"/>
        </w:rPr>
        <w:t>2</w:t>
      </w:r>
      <w:r w:rsidRPr="00D443F5">
        <w:rPr>
          <w:rFonts w:ascii="Arial" w:hAnsi="Arial" w:cs="Arial"/>
          <w:sz w:val="24"/>
          <w:szCs w:val="24"/>
          <w:shd w:val="clear" w:color="auto" w:fill="FFFFFF"/>
        </w:rPr>
        <w:t xml:space="preserve">, Ortiz </w:t>
      </w:r>
      <w:r>
        <w:rPr>
          <w:rFonts w:ascii="Arial" w:hAnsi="Arial" w:cs="Arial"/>
          <w:sz w:val="24"/>
          <w:szCs w:val="24"/>
          <w:shd w:val="clear" w:color="auto" w:fill="FFFFFF"/>
        </w:rPr>
        <w:t>MAR</w:t>
      </w:r>
      <w:r w:rsidRPr="00D443F5">
        <w:rPr>
          <w:rFonts w:ascii="Arial" w:hAnsi="Arial" w:cs="Arial"/>
          <w:sz w:val="24"/>
          <w:szCs w:val="24"/>
          <w:shd w:val="clear" w:color="auto" w:fill="FFFFFF"/>
          <w:vertAlign w:val="superscript"/>
        </w:rPr>
        <w:t>3</w:t>
      </w:r>
      <w:r w:rsidRPr="00D443F5">
        <w:rPr>
          <w:rFonts w:ascii="Arial" w:hAnsi="Arial" w:cs="Arial"/>
          <w:sz w:val="24"/>
          <w:szCs w:val="24"/>
          <w:shd w:val="clear" w:color="auto" w:fill="FFFFFF"/>
        </w:rPr>
        <w:t xml:space="preserve">, </w:t>
      </w:r>
      <w:r w:rsidRPr="00D443F5">
        <w:rPr>
          <w:rFonts w:ascii="Arial" w:hAnsi="Arial" w:cs="Arial"/>
          <w:sz w:val="24"/>
          <w:szCs w:val="24"/>
        </w:rPr>
        <w:t xml:space="preserve">Guevara </w:t>
      </w:r>
      <w:r>
        <w:rPr>
          <w:rFonts w:ascii="Arial" w:hAnsi="Arial" w:cs="Arial"/>
          <w:sz w:val="24"/>
          <w:szCs w:val="24"/>
        </w:rPr>
        <w:t>GJ</w:t>
      </w:r>
      <w:r w:rsidRPr="00D443F5">
        <w:rPr>
          <w:rFonts w:ascii="Arial" w:hAnsi="Arial" w:cs="Arial"/>
          <w:sz w:val="24"/>
          <w:szCs w:val="24"/>
          <w:vertAlign w:val="superscript"/>
        </w:rPr>
        <w:t>1</w:t>
      </w:r>
      <w:r w:rsidRPr="00D443F5">
        <w:rPr>
          <w:rFonts w:ascii="Arial" w:hAnsi="Arial" w:cs="Arial"/>
          <w:sz w:val="24"/>
          <w:szCs w:val="24"/>
        </w:rPr>
        <w:t xml:space="preserve">, Rubén </w:t>
      </w:r>
      <w:r>
        <w:rPr>
          <w:rFonts w:ascii="Arial" w:hAnsi="Arial" w:cs="Arial"/>
          <w:sz w:val="24"/>
          <w:szCs w:val="24"/>
        </w:rPr>
        <w:t>HR</w:t>
      </w:r>
      <w:r w:rsidRPr="00D443F5">
        <w:rPr>
          <w:rFonts w:ascii="Arial" w:hAnsi="Arial" w:cs="Arial"/>
          <w:sz w:val="24"/>
          <w:szCs w:val="24"/>
          <w:vertAlign w:val="superscript"/>
        </w:rPr>
        <w:t>4</w:t>
      </w:r>
      <w:r w:rsidRPr="00D443F5">
        <w:rPr>
          <w:rFonts w:ascii="Arial" w:hAnsi="Arial" w:cs="Arial"/>
          <w:sz w:val="24"/>
          <w:szCs w:val="24"/>
        </w:rPr>
        <w:t xml:space="preserve">, Raúl </w:t>
      </w:r>
      <w:r>
        <w:rPr>
          <w:rFonts w:ascii="Arial" w:hAnsi="Arial" w:cs="Arial"/>
          <w:sz w:val="24"/>
          <w:szCs w:val="24"/>
        </w:rPr>
        <w:t>SR</w:t>
      </w:r>
      <w:r w:rsidRPr="00D443F5">
        <w:rPr>
          <w:rFonts w:ascii="Arial" w:hAnsi="Arial" w:cs="Arial"/>
          <w:sz w:val="24"/>
          <w:szCs w:val="24"/>
          <w:vertAlign w:val="superscript"/>
        </w:rPr>
        <w:t>5</w:t>
      </w:r>
      <w:r w:rsidRPr="00D443F5">
        <w:rPr>
          <w:rFonts w:ascii="Arial" w:hAnsi="Arial" w:cs="Arial"/>
          <w:sz w:val="24"/>
          <w:szCs w:val="24"/>
        </w:rPr>
        <w:t xml:space="preserve"> y </w:t>
      </w:r>
      <w:r w:rsidRPr="00D443F5">
        <w:rPr>
          <w:rFonts w:ascii="Arial" w:hAnsi="Arial" w:cs="Arial"/>
          <w:sz w:val="24"/>
          <w:szCs w:val="24"/>
          <w:u w:val="single"/>
          <w:shd w:val="clear" w:color="auto" w:fill="FFFFFF"/>
        </w:rPr>
        <w:t>Córdova I</w:t>
      </w:r>
      <w:r>
        <w:rPr>
          <w:rFonts w:ascii="Arial" w:hAnsi="Arial" w:cs="Arial"/>
          <w:sz w:val="24"/>
          <w:szCs w:val="24"/>
          <w:u w:val="single"/>
          <w:shd w:val="clear" w:color="auto" w:fill="FFFFFF"/>
        </w:rPr>
        <w:t>A</w:t>
      </w:r>
      <w:r w:rsidRPr="00D443F5">
        <w:rPr>
          <w:rFonts w:ascii="Arial" w:hAnsi="Arial" w:cs="Arial"/>
          <w:sz w:val="24"/>
          <w:szCs w:val="24"/>
          <w:u w:val="single"/>
          <w:shd w:val="clear" w:color="auto" w:fill="FFFFFF"/>
          <w:vertAlign w:val="superscript"/>
        </w:rPr>
        <w:t>1*</w:t>
      </w:r>
    </w:p>
    <w:p w:rsidR="00CB0978" w:rsidRPr="00D443F5" w:rsidRDefault="00CB0978" w:rsidP="00CB0978">
      <w:pPr>
        <w:spacing w:line="276" w:lineRule="auto"/>
        <w:jc w:val="center"/>
        <w:rPr>
          <w:rFonts w:ascii="Arial" w:hAnsi="Arial" w:cs="Arial"/>
          <w:sz w:val="24"/>
          <w:szCs w:val="24"/>
        </w:rPr>
      </w:pPr>
      <w:r w:rsidRPr="00D443F5">
        <w:rPr>
          <w:rFonts w:ascii="Arial" w:hAnsi="Arial" w:cs="Arial"/>
          <w:sz w:val="24"/>
          <w:szCs w:val="24"/>
          <w:vertAlign w:val="superscript"/>
        </w:rPr>
        <w:lastRenderedPageBreak/>
        <w:t>1</w:t>
      </w:r>
      <w:r w:rsidRPr="00D443F5">
        <w:rPr>
          <w:rFonts w:ascii="Arial" w:hAnsi="Arial" w:cs="Arial"/>
          <w:sz w:val="24"/>
          <w:szCs w:val="24"/>
        </w:rPr>
        <w:t xml:space="preserve">Departamento de Producción Agrícola y Animal. Universidad Autónoma Metropolitana Unidad Xochimilco, México. </w:t>
      </w:r>
      <w:r w:rsidRPr="00D443F5">
        <w:rPr>
          <w:rFonts w:ascii="Arial" w:hAnsi="Arial" w:cs="Arial"/>
          <w:sz w:val="24"/>
          <w:szCs w:val="24"/>
          <w:vertAlign w:val="superscript"/>
        </w:rPr>
        <w:t>2</w:t>
      </w:r>
      <w:r w:rsidRPr="00D443F5">
        <w:rPr>
          <w:rFonts w:ascii="Arial" w:hAnsi="Arial" w:cs="Arial"/>
          <w:sz w:val="24"/>
          <w:szCs w:val="24"/>
        </w:rPr>
        <w:t>Departamento de Morfología. FMVZ-UNAM.</w:t>
      </w:r>
      <w:r w:rsidRPr="00D443F5">
        <w:rPr>
          <w:rFonts w:ascii="Arial" w:hAnsi="Arial" w:cs="Arial"/>
          <w:sz w:val="24"/>
          <w:szCs w:val="24"/>
          <w:vertAlign w:val="superscript"/>
        </w:rPr>
        <w:t xml:space="preserve"> 3</w:t>
      </w:r>
      <w:r w:rsidRPr="00D443F5">
        <w:rPr>
          <w:rFonts w:ascii="Arial" w:hAnsi="Arial" w:cs="Arial"/>
          <w:sz w:val="24"/>
          <w:szCs w:val="24"/>
        </w:rPr>
        <w:t xml:space="preserve">Universidad Autónoma Metropolitana Unidad Iztapalapa, México. </w:t>
      </w:r>
      <w:r w:rsidRPr="00D443F5">
        <w:rPr>
          <w:rFonts w:ascii="Arial" w:hAnsi="Arial" w:cs="Arial"/>
          <w:sz w:val="24"/>
          <w:szCs w:val="24"/>
          <w:vertAlign w:val="superscript"/>
        </w:rPr>
        <w:t>4</w:t>
      </w:r>
      <w:r w:rsidRPr="00D443F5">
        <w:rPr>
          <w:rFonts w:ascii="Arial" w:hAnsi="Arial" w:cs="Arial"/>
          <w:sz w:val="24"/>
          <w:szCs w:val="24"/>
        </w:rPr>
        <w:t xml:space="preserve">Facultad de Veterinaria. Benemérita Universidad Autónoma de Puebla, México. </w:t>
      </w:r>
      <w:r w:rsidRPr="00D443F5">
        <w:rPr>
          <w:rFonts w:ascii="Arial" w:hAnsi="Arial" w:cs="Arial"/>
          <w:sz w:val="24"/>
          <w:szCs w:val="24"/>
          <w:vertAlign w:val="superscript"/>
        </w:rPr>
        <w:t>5</w:t>
      </w:r>
      <w:r w:rsidRPr="00D443F5">
        <w:rPr>
          <w:rFonts w:ascii="Arial" w:hAnsi="Arial" w:cs="Arial"/>
          <w:sz w:val="24"/>
          <w:szCs w:val="24"/>
        </w:rPr>
        <w:t xml:space="preserve">Departamento de Reproducción. INIA. Madrid, España. </w:t>
      </w:r>
      <w:r>
        <w:rPr>
          <w:rFonts w:ascii="Arial" w:hAnsi="Arial" w:cs="Arial"/>
          <w:sz w:val="24"/>
          <w:szCs w:val="24"/>
        </w:rPr>
        <w:t>*</w:t>
      </w:r>
      <w:hyperlink r:id="rId1251" w:history="1">
        <w:r w:rsidRPr="00A53795">
          <w:rPr>
            <w:rStyle w:val="Hipervnculo"/>
            <w:rFonts w:ascii="Arial" w:hAnsi="Arial" w:cs="Arial"/>
            <w:sz w:val="24"/>
            <w:szCs w:val="24"/>
          </w:rPr>
          <w:t xml:space="preserve"> acordova</w:t>
        </w:r>
        <w:r w:rsidRPr="00A53795">
          <w:rPr>
            <w:rStyle w:val="Hipervnculo"/>
            <w:rFonts w:ascii="Arial" w:hAnsi="Arial" w:cs="Arial"/>
            <w:sz w:val="24"/>
            <w:szCs w:val="24"/>
            <w:shd w:val="clear" w:color="auto" w:fill="FFFFFF"/>
          </w:rPr>
          <w:t>@correo.xoc.uam.mx</w:t>
        </w:r>
      </w:hyperlink>
      <w:r w:rsidRPr="00D443F5">
        <w:rPr>
          <w:rFonts w:ascii="Arial" w:hAnsi="Arial" w:cs="Arial"/>
          <w:color w:val="222222"/>
          <w:sz w:val="24"/>
          <w:szCs w:val="24"/>
          <w:shd w:val="clear" w:color="auto" w:fill="FFFFFF"/>
        </w:rPr>
        <w:t>.</w:t>
      </w:r>
    </w:p>
    <w:p w:rsidR="00CB0978" w:rsidRPr="00D443F5" w:rsidRDefault="00CB0978" w:rsidP="00CB0978">
      <w:pPr>
        <w:spacing w:line="276" w:lineRule="auto"/>
        <w:jc w:val="center"/>
        <w:rPr>
          <w:rFonts w:ascii="Arial" w:hAnsi="Arial" w:cs="Arial"/>
          <w:sz w:val="24"/>
          <w:szCs w:val="24"/>
        </w:rPr>
      </w:pPr>
    </w:p>
    <w:p w:rsidR="00CB0978" w:rsidRPr="00F5552E" w:rsidRDefault="00CB0978" w:rsidP="00CB0978">
      <w:pPr>
        <w:pStyle w:val="1Titulo"/>
        <w:numPr>
          <w:ilvl w:val="0"/>
          <w:numId w:val="0"/>
        </w:numPr>
        <w:ind w:left="357"/>
      </w:pPr>
      <w:bookmarkStart w:id="370" w:name="_Toc50031417"/>
      <w:r>
        <w:t>1.</w:t>
      </w:r>
      <w:r w:rsidRPr="00F5552E">
        <w:t>Resumen</w:t>
      </w:r>
      <w:bookmarkEnd w:id="370"/>
    </w:p>
    <w:p w:rsidR="00CB0978" w:rsidRPr="00D443F5" w:rsidRDefault="00CB0978" w:rsidP="00CB0978">
      <w:pPr>
        <w:spacing w:line="276" w:lineRule="auto"/>
        <w:ind w:firstLine="708"/>
        <w:jc w:val="both"/>
        <w:rPr>
          <w:rFonts w:ascii="Arial" w:hAnsi="Arial" w:cs="Arial"/>
          <w:sz w:val="24"/>
          <w:szCs w:val="24"/>
        </w:rPr>
      </w:pPr>
      <w:r w:rsidRPr="00D443F5">
        <w:rPr>
          <w:rFonts w:ascii="Arial" w:hAnsi="Arial" w:cs="Arial"/>
          <w:sz w:val="24"/>
          <w:szCs w:val="24"/>
        </w:rPr>
        <w:t>El objetivo de este trabajo fue valorar el efecto antioxidante de la combinación de α-tocoferol con quercetina, adicionados al diluyente para la congelación de semen de verraco sobre la calidad espermática. Se congeló el semen de verracos de la raza Pietrain y York/Pietrain, en pajillas de 0.5 ml con una concentración de 300 millones de espermatozoides, antes de la congelación se adicionó al diluyente α-tocoferol en concentración de 4 mg/ml (T1), quercetina en concentraciones de 25, 50 y 100 µM  (T2, T3 y T4), α-tocoferol + Quercetina en concentraciones de 4 mg/ml+25 μM, 4 mg/ml+50 μM y 4 mg/ml+100 μM (T5, T6 y T7) y el grupo control (T8) sin antioxidante. El semen se congeló con l</w:t>
      </w:r>
      <w:r w:rsidRPr="00D443F5">
        <w:rPr>
          <w:rFonts w:ascii="Arial" w:eastAsia="Times New Roman" w:hAnsi="Arial" w:cs="Arial"/>
          <w:color w:val="000000"/>
          <w:sz w:val="24"/>
          <w:szCs w:val="24"/>
          <w:lang w:eastAsia="es-MX"/>
        </w:rPr>
        <w:t xml:space="preserve">a técnica de Westendorf </w:t>
      </w:r>
      <w:r w:rsidRPr="00D443F5">
        <w:rPr>
          <w:rFonts w:ascii="Arial" w:eastAsia="Times New Roman" w:hAnsi="Arial" w:cs="Arial"/>
          <w:i/>
          <w:iCs/>
          <w:color w:val="000000"/>
          <w:sz w:val="24"/>
          <w:szCs w:val="24"/>
          <w:lang w:eastAsia="es-MX"/>
        </w:rPr>
        <w:t>et al</w:t>
      </w:r>
      <w:r w:rsidRPr="00D443F5">
        <w:rPr>
          <w:rFonts w:ascii="Arial" w:eastAsia="Times New Roman" w:hAnsi="Arial" w:cs="Arial"/>
          <w:color w:val="000000"/>
          <w:sz w:val="24"/>
          <w:szCs w:val="24"/>
          <w:lang w:eastAsia="es-MX"/>
        </w:rPr>
        <w:t xml:space="preserve">. (1975) y modificaciones de Córdova </w:t>
      </w:r>
      <w:r w:rsidRPr="00D443F5">
        <w:rPr>
          <w:rFonts w:ascii="Arial" w:eastAsia="Times New Roman" w:hAnsi="Arial" w:cs="Arial"/>
          <w:i/>
          <w:color w:val="000000"/>
          <w:sz w:val="24"/>
          <w:szCs w:val="24"/>
          <w:lang w:eastAsia="es-MX"/>
        </w:rPr>
        <w:t>et al</w:t>
      </w:r>
      <w:r w:rsidRPr="00D443F5">
        <w:rPr>
          <w:rFonts w:ascii="Arial" w:eastAsia="Times New Roman" w:hAnsi="Arial" w:cs="Arial"/>
          <w:color w:val="000000"/>
          <w:sz w:val="24"/>
          <w:szCs w:val="24"/>
          <w:lang w:eastAsia="es-MX"/>
        </w:rPr>
        <w:t xml:space="preserve">., (2006). </w:t>
      </w:r>
      <w:r w:rsidRPr="00D443F5">
        <w:rPr>
          <w:rFonts w:ascii="Arial" w:hAnsi="Arial" w:cs="Arial"/>
          <w:sz w:val="24"/>
          <w:szCs w:val="24"/>
        </w:rPr>
        <w:t>Las pajillas se mantuvieron congeladas en nitrógeno líquido durante 7 días y la descongelación se realizó a una temperatura de 42°C durante 12 segundos. Se analizaron motilidad, viabilidad y NAR. Se realizaron 5 repeticiones de cada cerdo y los resultados fueron analizados con paquete estadístico JMP mediante un diseño completamente al azar en arreglo factorial comparando las medias con una prueba de Tukey. El mejor porcentaje de motilidad fue para T5, T4, T1 y T2 con 39.44, 38.06, 37.33 y 36.53, respectivamente), con diferencia significativa con T8; el mejor porcentaje de viabilidad fueron T5 con 51.41, con diferencia significativa con T3 y T8; y los mejores porcentajes de NAR fueron para T8 con 94.90%, con diferencia significativa con T1. En conclusión, la adición de α-tocoferol y quercetina separados o en combinación, protegen la motilidad, viabilidad y NAR de los espermatozoides del semen de cerdo descongelado.</w:t>
      </w:r>
    </w:p>
    <w:p w:rsidR="00CB0978" w:rsidRPr="00EF1C88" w:rsidRDefault="00CB0978" w:rsidP="00CB0978">
      <w:pPr>
        <w:spacing w:line="276" w:lineRule="auto"/>
        <w:jc w:val="center"/>
        <w:rPr>
          <w:rFonts w:ascii="Arial" w:hAnsi="Arial" w:cs="Arial"/>
          <w:b/>
          <w:sz w:val="24"/>
          <w:szCs w:val="24"/>
        </w:rPr>
      </w:pPr>
    </w:p>
    <w:p w:rsidR="00CB0978" w:rsidRPr="00F5552E" w:rsidRDefault="00CB0978" w:rsidP="00CB0978">
      <w:pPr>
        <w:pStyle w:val="1Titulo"/>
        <w:numPr>
          <w:ilvl w:val="0"/>
          <w:numId w:val="0"/>
        </w:numPr>
        <w:ind w:left="717"/>
      </w:pPr>
      <w:bookmarkStart w:id="371" w:name="_Toc50031418"/>
      <w:r>
        <w:t>2.</w:t>
      </w:r>
      <w:r w:rsidRPr="00F5552E">
        <w:t>Introducción</w:t>
      </w:r>
      <w:bookmarkEnd w:id="371"/>
    </w:p>
    <w:p w:rsidR="00CB0978" w:rsidRDefault="00CB0978" w:rsidP="00CB0978">
      <w:pPr>
        <w:spacing w:line="276" w:lineRule="auto"/>
        <w:ind w:firstLine="708"/>
        <w:jc w:val="both"/>
        <w:rPr>
          <w:rFonts w:ascii="Arial" w:hAnsi="Arial" w:cs="Arial"/>
          <w:sz w:val="24"/>
          <w:szCs w:val="24"/>
        </w:rPr>
      </w:pPr>
      <w:r w:rsidRPr="00D443F5">
        <w:rPr>
          <w:rFonts w:ascii="Arial" w:hAnsi="Arial" w:cs="Arial"/>
          <w:sz w:val="24"/>
          <w:szCs w:val="24"/>
        </w:rPr>
        <w:t xml:space="preserve">El espermatozoide de porcino es muy sensible a las bajas temperaturas (&lt;15°C), ya que las membranas de los espermatozoides son ricas en ácidos grasos poliinsaturados (AGP) y a diferencia de otras especies, disminuyendo el potencial de membrana mitocondria y aumentando la permeabilidad de la membrana plasmática, volviendo a la célula espermática sensible a las especies reactivas de oxígeno (ROS) producidas durante el proceso de obtención de energía celular, que reaccionan con los AGP, ocasionando daño oxidativo mediado por el proceso de lipoperoxidación (LP), ocasionando que durante el proceso de congelación causen daños bioquímicos y </w:t>
      </w:r>
      <w:r w:rsidRPr="00D443F5">
        <w:rPr>
          <w:rFonts w:ascii="Arial" w:hAnsi="Arial" w:cs="Arial"/>
          <w:sz w:val="24"/>
          <w:szCs w:val="24"/>
        </w:rPr>
        <w:lastRenderedPageBreak/>
        <w:t xml:space="preserve">funcionales en el espermatozoide, reduciendo la movilidad, viabilidad y transporte en el tracto genital de la hembra, alterando su potencial fertilizante (Rodríguez y Nivia, 2017). </w:t>
      </w:r>
    </w:p>
    <w:p w:rsidR="00CB0978" w:rsidRPr="00D443F5" w:rsidRDefault="00CB0978" w:rsidP="00CB0978">
      <w:pPr>
        <w:spacing w:line="276" w:lineRule="auto"/>
        <w:ind w:firstLine="708"/>
        <w:jc w:val="both"/>
        <w:rPr>
          <w:rFonts w:ascii="Arial" w:hAnsi="Arial" w:cs="Arial"/>
          <w:sz w:val="24"/>
          <w:szCs w:val="24"/>
        </w:rPr>
      </w:pPr>
      <w:r w:rsidRPr="00D443F5">
        <w:rPr>
          <w:rFonts w:ascii="Arial" w:hAnsi="Arial" w:cs="Arial"/>
          <w:sz w:val="24"/>
          <w:szCs w:val="24"/>
        </w:rPr>
        <w:t xml:space="preserve">Con el fin de proporcionar una mayor sobrevivencia post-descongelación, en diversos estudios han sido empleados distintos antioxidantes de índole enzimática y no enzimática  (Vitamina C y E, melatonina, butil hidroxitolueno (BHT), catalasa, EDTA, lisina, cisteína, propóleo, MDPA, mezcla glutatión reducido y oxidato y L-carnitina) adicionados al diluyente como aditivos, con el fin de reducir el efecto deletéreo de las ROS durante la conservación espermática, previniendo la perdida de motilidad, viabilidad e integridad del ADN espermático durante la congelación y aumentando la fertilidad (Rodríguez y Nivia, 2017). Dentro de estos antioxidantes se encuentra la quercetina, que ha sido utilizada como aditivo en el diluyente para la conservación de semen de humanos, roedores, bovinos, ovinos, porcinos, caprinos, caninos y equinos (Avdatek </w:t>
      </w:r>
      <w:r w:rsidRPr="00D443F5">
        <w:rPr>
          <w:rFonts w:ascii="Arial" w:hAnsi="Arial" w:cs="Arial"/>
          <w:i/>
          <w:sz w:val="24"/>
          <w:szCs w:val="24"/>
        </w:rPr>
        <w:t>et al</w:t>
      </w:r>
      <w:r w:rsidRPr="00D443F5">
        <w:rPr>
          <w:rFonts w:ascii="Arial" w:hAnsi="Arial" w:cs="Arial"/>
          <w:sz w:val="24"/>
          <w:szCs w:val="24"/>
        </w:rPr>
        <w:t xml:space="preserve">., 2017), observando que reduce la LPO de los espermatozoides durante la congelación, evita su capacitación prematura antes de la inseminación artificial, mejora la motilidad y reduce la fragmentación de ADN de los espermatozoides (Avdatek </w:t>
      </w:r>
      <w:r w:rsidRPr="00D443F5">
        <w:rPr>
          <w:rFonts w:ascii="Arial" w:hAnsi="Arial" w:cs="Arial"/>
          <w:i/>
          <w:sz w:val="24"/>
          <w:szCs w:val="24"/>
        </w:rPr>
        <w:t>et al</w:t>
      </w:r>
      <w:r w:rsidRPr="00D443F5">
        <w:rPr>
          <w:rFonts w:ascii="Arial" w:hAnsi="Arial" w:cs="Arial"/>
          <w:sz w:val="24"/>
          <w:szCs w:val="24"/>
        </w:rPr>
        <w:t>., 2017).</w:t>
      </w:r>
    </w:p>
    <w:p w:rsidR="00CB0978" w:rsidRDefault="00CB0978" w:rsidP="00CB0978">
      <w:pPr>
        <w:spacing w:line="276" w:lineRule="auto"/>
        <w:ind w:firstLine="708"/>
        <w:jc w:val="both"/>
        <w:rPr>
          <w:rFonts w:ascii="Arial" w:hAnsi="Arial" w:cs="Arial"/>
          <w:sz w:val="24"/>
          <w:szCs w:val="24"/>
        </w:rPr>
      </w:pPr>
      <w:r w:rsidRPr="00D443F5">
        <w:rPr>
          <w:rFonts w:ascii="Arial" w:hAnsi="Arial" w:cs="Arial"/>
          <w:sz w:val="24"/>
          <w:szCs w:val="24"/>
        </w:rPr>
        <w:t>El objetivo de este trabajo fue valorar el efecto antioxidante de la combinación de α-tocoferol con quercetina, adicionados al diluyente para la congelación de semen de verraco sobre la calidad espermática.</w:t>
      </w:r>
    </w:p>
    <w:p w:rsidR="00CB0978" w:rsidRDefault="00CB0978" w:rsidP="00CB0978">
      <w:pPr>
        <w:pStyle w:val="1Titulo"/>
        <w:numPr>
          <w:ilvl w:val="0"/>
          <w:numId w:val="0"/>
        </w:numPr>
        <w:ind w:left="720"/>
        <w:rPr>
          <w:rFonts w:eastAsiaTheme="minorEastAsia"/>
          <w:b w:val="0"/>
          <w:bCs w:val="0"/>
          <w:color w:val="auto"/>
          <w:lang w:val="es-ES" w:eastAsia="en-US"/>
        </w:rPr>
      </w:pPr>
    </w:p>
    <w:p w:rsidR="00CB0978" w:rsidRPr="00F5552E" w:rsidRDefault="00CB0978" w:rsidP="00CB0978">
      <w:pPr>
        <w:pStyle w:val="1Titulo"/>
        <w:numPr>
          <w:ilvl w:val="0"/>
          <w:numId w:val="0"/>
        </w:numPr>
        <w:ind w:left="357" w:hanging="357"/>
      </w:pPr>
      <w:bookmarkStart w:id="372" w:name="_Toc50031419"/>
      <w:r>
        <w:t>3.Condiciones experimentales</w:t>
      </w:r>
      <w:bookmarkEnd w:id="372"/>
    </w:p>
    <w:p w:rsidR="00CB0978" w:rsidRPr="00FA66A4" w:rsidRDefault="00CB0978" w:rsidP="00FA66A4">
      <w:pPr>
        <w:pStyle w:val="Prrafodelista"/>
        <w:numPr>
          <w:ilvl w:val="1"/>
          <w:numId w:val="42"/>
        </w:numPr>
        <w:spacing w:after="160" w:line="276" w:lineRule="auto"/>
        <w:jc w:val="both"/>
        <w:rPr>
          <w:rFonts w:ascii="Arial" w:hAnsi="Arial" w:cs="Arial"/>
          <w:i/>
          <w:sz w:val="24"/>
          <w:szCs w:val="24"/>
        </w:rPr>
      </w:pPr>
      <w:r w:rsidRPr="00FA66A4">
        <w:rPr>
          <w:rFonts w:ascii="Arial" w:hAnsi="Arial" w:cs="Arial"/>
          <w:i/>
          <w:sz w:val="24"/>
          <w:szCs w:val="24"/>
        </w:rPr>
        <w:t>Colecta de semen</w:t>
      </w:r>
    </w:p>
    <w:p w:rsidR="00CB0978" w:rsidRPr="00F5552E" w:rsidRDefault="00CB0978" w:rsidP="00CB0978">
      <w:pPr>
        <w:spacing w:line="276" w:lineRule="auto"/>
        <w:ind w:left="142" w:firstLine="566"/>
        <w:jc w:val="both"/>
        <w:rPr>
          <w:rFonts w:ascii="Arial" w:hAnsi="Arial" w:cs="Arial"/>
          <w:sz w:val="24"/>
          <w:szCs w:val="24"/>
        </w:rPr>
      </w:pPr>
      <w:r w:rsidRPr="00F5552E">
        <w:rPr>
          <w:rFonts w:ascii="Arial" w:hAnsi="Arial" w:cs="Arial"/>
          <w:sz w:val="24"/>
          <w:szCs w:val="24"/>
        </w:rPr>
        <w:t xml:space="preserve">Se colectaron 10 eyaculados de dos verracos de las razas pietrain puro alemán y york/pietrain de una unidad de producción porcina del Estado de México. Los eyaculados fueron obtenidos con la técnica de mano enguantada descrita por King y Mcpherson (1973) modificada por Reyes y Chung (1994) y Córdova </w:t>
      </w:r>
      <w:r w:rsidRPr="00F5552E">
        <w:rPr>
          <w:rFonts w:ascii="Arial" w:hAnsi="Arial" w:cs="Arial"/>
          <w:i/>
          <w:sz w:val="24"/>
          <w:szCs w:val="24"/>
        </w:rPr>
        <w:t>et al</w:t>
      </w:r>
      <w:r w:rsidRPr="00F5552E">
        <w:rPr>
          <w:rFonts w:ascii="Arial" w:hAnsi="Arial" w:cs="Arial"/>
          <w:sz w:val="24"/>
          <w:szCs w:val="24"/>
        </w:rPr>
        <w:t>., (2015). Los sementales tenían entre 1.5 y 3.5 años de edad. El semen colectado se diluyó en proporción 1:1 (v:v) en el diluyente comercial BTS</w:t>
      </w:r>
      <w:r w:rsidRPr="00F5552E">
        <w:rPr>
          <w:rFonts w:ascii="Arial" w:hAnsi="Arial" w:cs="Arial"/>
          <w:sz w:val="24"/>
          <w:szCs w:val="24"/>
          <w:vertAlign w:val="superscript"/>
        </w:rPr>
        <w:t>®</w:t>
      </w:r>
      <w:r w:rsidRPr="00F5552E">
        <w:rPr>
          <w:rFonts w:ascii="Arial" w:hAnsi="Arial" w:cs="Arial"/>
          <w:sz w:val="24"/>
          <w:szCs w:val="24"/>
        </w:rPr>
        <w:t xml:space="preserve"> (KUBUS, S.A.) para su transporte al laboratorio. Se evaluó la motilidad progresiva, viabilidad e integridad acrosomal (NAR) y solo se congelo el semen que tenía una motilidad superior al 80%.</w:t>
      </w:r>
    </w:p>
    <w:p w:rsidR="00CB0978" w:rsidRPr="00FA66A4" w:rsidRDefault="00CB0978" w:rsidP="00FA66A4">
      <w:pPr>
        <w:pStyle w:val="Prrafodelista"/>
        <w:numPr>
          <w:ilvl w:val="1"/>
          <w:numId w:val="42"/>
        </w:numPr>
        <w:spacing w:after="160" w:line="276" w:lineRule="auto"/>
        <w:jc w:val="both"/>
        <w:rPr>
          <w:rFonts w:ascii="Arial" w:hAnsi="Arial" w:cs="Arial"/>
          <w:i/>
          <w:sz w:val="24"/>
          <w:szCs w:val="24"/>
        </w:rPr>
      </w:pPr>
      <w:r w:rsidRPr="00FA66A4">
        <w:rPr>
          <w:rFonts w:ascii="Arial" w:hAnsi="Arial" w:cs="Arial"/>
          <w:i/>
          <w:sz w:val="24"/>
          <w:szCs w:val="24"/>
        </w:rPr>
        <w:t>Congelación de semen</w:t>
      </w:r>
    </w:p>
    <w:p w:rsidR="00CB0978" w:rsidRPr="00D443F5" w:rsidRDefault="00CB0978" w:rsidP="00CB0978">
      <w:pPr>
        <w:spacing w:line="276" w:lineRule="auto"/>
        <w:ind w:firstLine="708"/>
        <w:jc w:val="both"/>
        <w:rPr>
          <w:rFonts w:ascii="Arial" w:hAnsi="Arial" w:cs="Arial"/>
          <w:sz w:val="24"/>
          <w:szCs w:val="24"/>
        </w:rPr>
      </w:pPr>
      <w:r w:rsidRPr="00D443F5">
        <w:rPr>
          <w:rFonts w:ascii="Arial" w:hAnsi="Arial" w:cs="Arial"/>
          <w:sz w:val="24"/>
          <w:szCs w:val="24"/>
        </w:rPr>
        <w:t xml:space="preserve">La congelación de semen se realizó siguiendo el protocolo de Westendorf </w:t>
      </w:r>
      <w:r w:rsidRPr="00D443F5">
        <w:rPr>
          <w:rFonts w:ascii="Arial" w:hAnsi="Arial" w:cs="Arial"/>
          <w:i/>
          <w:sz w:val="24"/>
          <w:szCs w:val="24"/>
        </w:rPr>
        <w:t>et al</w:t>
      </w:r>
      <w:r w:rsidRPr="00D443F5">
        <w:rPr>
          <w:rFonts w:ascii="Arial" w:hAnsi="Arial" w:cs="Arial"/>
          <w:sz w:val="24"/>
          <w:szCs w:val="24"/>
        </w:rPr>
        <w:t xml:space="preserve">. (1975), con algunas modificaciones de Córdova </w:t>
      </w:r>
      <w:r w:rsidRPr="00D443F5">
        <w:rPr>
          <w:rFonts w:ascii="Arial" w:hAnsi="Arial" w:cs="Arial"/>
          <w:i/>
          <w:sz w:val="24"/>
          <w:szCs w:val="24"/>
        </w:rPr>
        <w:t>et al</w:t>
      </w:r>
      <w:r w:rsidRPr="00D443F5">
        <w:rPr>
          <w:rFonts w:ascii="Arial" w:hAnsi="Arial" w:cs="Arial"/>
          <w:sz w:val="24"/>
          <w:szCs w:val="24"/>
        </w:rPr>
        <w:t xml:space="preserve">., (2006) y Gutiérrez </w:t>
      </w:r>
      <w:r w:rsidRPr="00D443F5">
        <w:rPr>
          <w:rFonts w:ascii="Arial" w:hAnsi="Arial" w:cs="Arial"/>
          <w:i/>
          <w:sz w:val="24"/>
          <w:szCs w:val="24"/>
        </w:rPr>
        <w:t>et al</w:t>
      </w:r>
      <w:r w:rsidRPr="00D443F5">
        <w:rPr>
          <w:rFonts w:ascii="Arial" w:hAnsi="Arial" w:cs="Arial"/>
          <w:sz w:val="24"/>
          <w:szCs w:val="24"/>
        </w:rPr>
        <w:t xml:space="preserve">., (2009). Después de 7 días de congelación se descongelaron los tratamientos a 42°C durante 12 segundos (Córdova </w:t>
      </w:r>
      <w:r w:rsidRPr="00D443F5">
        <w:rPr>
          <w:rFonts w:ascii="Arial" w:hAnsi="Arial" w:cs="Arial"/>
          <w:i/>
          <w:sz w:val="24"/>
          <w:szCs w:val="24"/>
        </w:rPr>
        <w:t>et al</w:t>
      </w:r>
      <w:r w:rsidRPr="00D443F5">
        <w:rPr>
          <w:rFonts w:ascii="Arial" w:hAnsi="Arial" w:cs="Arial"/>
          <w:sz w:val="24"/>
          <w:szCs w:val="24"/>
        </w:rPr>
        <w:t xml:space="preserve">., 2005) e inmediatamente se hicieron las pruebas de motilidad progresiva, viabilidad y NAR. </w:t>
      </w:r>
    </w:p>
    <w:p w:rsidR="00CB0978" w:rsidRPr="00F5552E" w:rsidRDefault="00CB0978" w:rsidP="00FA66A4">
      <w:pPr>
        <w:pStyle w:val="Prrafodelista"/>
        <w:numPr>
          <w:ilvl w:val="1"/>
          <w:numId w:val="42"/>
        </w:numPr>
        <w:spacing w:after="160" w:line="276" w:lineRule="auto"/>
        <w:ind w:hanging="1080"/>
        <w:jc w:val="both"/>
        <w:rPr>
          <w:rFonts w:ascii="Arial" w:hAnsi="Arial" w:cs="Arial"/>
          <w:i/>
          <w:sz w:val="24"/>
          <w:szCs w:val="24"/>
        </w:rPr>
      </w:pPr>
      <w:r w:rsidRPr="00F5552E">
        <w:rPr>
          <w:rFonts w:ascii="Arial" w:hAnsi="Arial" w:cs="Arial"/>
          <w:i/>
          <w:sz w:val="24"/>
          <w:szCs w:val="24"/>
        </w:rPr>
        <w:lastRenderedPageBreak/>
        <w:t>Adición de antioxidantes</w:t>
      </w:r>
    </w:p>
    <w:p w:rsidR="00CB0978" w:rsidRPr="00D443F5" w:rsidRDefault="00CB0978" w:rsidP="00CB0978">
      <w:pPr>
        <w:spacing w:line="276" w:lineRule="auto"/>
        <w:ind w:firstLine="708"/>
        <w:jc w:val="both"/>
        <w:rPr>
          <w:rFonts w:ascii="Arial" w:hAnsi="Arial" w:cs="Arial"/>
          <w:sz w:val="24"/>
          <w:szCs w:val="24"/>
        </w:rPr>
      </w:pPr>
      <w:r w:rsidRPr="00D443F5">
        <w:rPr>
          <w:rFonts w:ascii="Arial" w:hAnsi="Arial" w:cs="Arial"/>
          <w:sz w:val="24"/>
          <w:szCs w:val="24"/>
        </w:rPr>
        <w:t>Los antioxidantes utilizados fueron α-tocoferol (4 mg/ml), quercetina (25, 50 y 100 µM), y α-tocoferol en combinación con quercetina (4 mg/ml + 25 µM, 4 mg/ml + 50 µM y 4 mg/ml + 100 µM) (Sigma-Aldrich</w:t>
      </w:r>
      <w:r w:rsidRPr="00D443F5">
        <w:rPr>
          <w:rFonts w:ascii="Arial" w:hAnsi="Arial" w:cs="Arial"/>
          <w:sz w:val="24"/>
          <w:szCs w:val="24"/>
          <w:vertAlign w:val="superscript"/>
        </w:rPr>
        <w:t>®</w:t>
      </w:r>
      <w:r w:rsidRPr="00D443F5">
        <w:rPr>
          <w:rFonts w:ascii="Arial" w:hAnsi="Arial" w:cs="Arial"/>
          <w:sz w:val="24"/>
          <w:szCs w:val="24"/>
        </w:rPr>
        <w:t xml:space="preserve">), los cuales se adicionaron al diluyente A y se mezclaron en un bortex durante 2 segundos, para posteriormente adicionar el diluyente A al paquete espermático y se mezcló con pipeteo. </w:t>
      </w:r>
    </w:p>
    <w:p w:rsidR="00CB0978" w:rsidRPr="00F5552E" w:rsidRDefault="00CB0978" w:rsidP="00FA66A4">
      <w:pPr>
        <w:pStyle w:val="Prrafodelista"/>
        <w:numPr>
          <w:ilvl w:val="1"/>
          <w:numId w:val="42"/>
        </w:numPr>
        <w:spacing w:after="160" w:line="276" w:lineRule="auto"/>
        <w:ind w:hanging="1080"/>
        <w:jc w:val="both"/>
        <w:rPr>
          <w:rFonts w:ascii="Arial" w:hAnsi="Arial" w:cs="Arial"/>
          <w:i/>
          <w:sz w:val="24"/>
          <w:szCs w:val="24"/>
        </w:rPr>
      </w:pPr>
      <w:r w:rsidRPr="00F5552E">
        <w:rPr>
          <w:rFonts w:ascii="Arial" w:hAnsi="Arial" w:cs="Arial"/>
          <w:i/>
          <w:sz w:val="24"/>
          <w:szCs w:val="24"/>
        </w:rPr>
        <w:t>Análisis estadístico</w:t>
      </w:r>
    </w:p>
    <w:p w:rsidR="00CB0978" w:rsidRDefault="00CB0978" w:rsidP="00CB0978">
      <w:pPr>
        <w:spacing w:line="276" w:lineRule="auto"/>
        <w:ind w:firstLine="708"/>
        <w:jc w:val="both"/>
        <w:rPr>
          <w:rFonts w:ascii="Arial" w:hAnsi="Arial" w:cs="Arial"/>
          <w:sz w:val="24"/>
          <w:szCs w:val="24"/>
        </w:rPr>
      </w:pPr>
      <w:r w:rsidRPr="00D443F5">
        <w:rPr>
          <w:rFonts w:ascii="Arial" w:hAnsi="Arial" w:cs="Arial"/>
          <w:sz w:val="24"/>
          <w:szCs w:val="24"/>
        </w:rPr>
        <w:t>Los resultados obtenidos fueron analizados con el paquete estadístico JMP, mediante un diseño completamente al azar en arreglo factorial, con una comparación de medias mediante la prueba de Tukey. Fueron consideradas diferencias significativas para una probabilidad de (P&lt;0.05).</w:t>
      </w:r>
    </w:p>
    <w:p w:rsidR="00CB0978" w:rsidRPr="00D443F5" w:rsidRDefault="00CB0978" w:rsidP="00CB0978">
      <w:pPr>
        <w:spacing w:line="276" w:lineRule="auto"/>
        <w:ind w:firstLine="708"/>
        <w:jc w:val="both"/>
        <w:rPr>
          <w:rFonts w:ascii="Arial" w:hAnsi="Arial" w:cs="Arial"/>
          <w:sz w:val="24"/>
          <w:szCs w:val="24"/>
        </w:rPr>
      </w:pPr>
    </w:p>
    <w:p w:rsidR="00CB0978" w:rsidRPr="00F5552E" w:rsidRDefault="00FA66A4" w:rsidP="00FA66A4">
      <w:pPr>
        <w:pStyle w:val="1Titulo"/>
        <w:numPr>
          <w:ilvl w:val="0"/>
          <w:numId w:val="0"/>
        </w:numPr>
        <w:ind w:left="357" w:hanging="357"/>
      </w:pPr>
      <w:bookmarkStart w:id="373" w:name="_Toc50031420"/>
      <w:r>
        <w:t>4.</w:t>
      </w:r>
      <w:r w:rsidR="00CB0978" w:rsidRPr="00F5552E">
        <w:t>Resultados y discusión</w:t>
      </w:r>
      <w:bookmarkEnd w:id="373"/>
    </w:p>
    <w:p w:rsidR="00CB0978" w:rsidRPr="00D443F5" w:rsidRDefault="00CB0978" w:rsidP="00CB0978">
      <w:pPr>
        <w:spacing w:line="276" w:lineRule="auto"/>
        <w:ind w:firstLine="708"/>
        <w:jc w:val="both"/>
        <w:rPr>
          <w:rFonts w:ascii="Arial" w:hAnsi="Arial" w:cs="Arial"/>
          <w:sz w:val="24"/>
          <w:szCs w:val="24"/>
        </w:rPr>
      </w:pPr>
      <w:r w:rsidRPr="00D443F5">
        <w:rPr>
          <w:rFonts w:ascii="Arial" w:hAnsi="Arial" w:cs="Arial"/>
          <w:sz w:val="24"/>
          <w:szCs w:val="24"/>
        </w:rPr>
        <w:t>En el cuadro 1 se muestran los resultados de motilidad de las pajillas descongeladas, se obtuvieron diferencias significativas (P&lt;0.05) entre los tratamientos T1, T2, T4, T5, T6 y T8. Para el caso de viabilidad se obtuvieron diferencias significativas (P&lt;0.05) entre los tratamientos T5 y T3, T8. Y los resultados obtenidos de NAR, tuvieron diferencias significativas (P&lt;0.05) entre los tratamientos T8 y T1.</w:t>
      </w:r>
    </w:p>
    <w:tbl>
      <w:tblPr>
        <w:tblStyle w:val="Tabladecuadrcula2"/>
        <w:tblW w:w="8838" w:type="dxa"/>
        <w:tblLook w:val="04A0" w:firstRow="1" w:lastRow="0" w:firstColumn="1" w:lastColumn="0" w:noHBand="0" w:noVBand="1"/>
      </w:tblPr>
      <w:tblGrid>
        <w:gridCol w:w="1724"/>
        <w:gridCol w:w="2608"/>
        <w:gridCol w:w="1665"/>
        <w:gridCol w:w="1671"/>
        <w:gridCol w:w="1170"/>
      </w:tblGrid>
      <w:tr w:rsidR="00CB0978" w:rsidRPr="00D443F5" w:rsidTr="007F2707">
        <w:trPr>
          <w:cnfStyle w:val="100000000000" w:firstRow="1" w:lastRow="0" w:firstColumn="0" w:lastColumn="0" w:oddVBand="0" w:evenVBand="0" w:oddHBand="0"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8838" w:type="dxa"/>
            <w:gridSpan w:val="5"/>
            <w:shd w:val="clear" w:color="auto" w:fill="auto"/>
          </w:tcPr>
          <w:p w:rsidR="00CB0978" w:rsidRPr="00D443F5" w:rsidRDefault="00CB0978" w:rsidP="007F2707">
            <w:pPr>
              <w:spacing w:line="276" w:lineRule="auto"/>
              <w:jc w:val="both"/>
              <w:rPr>
                <w:rFonts w:ascii="Arial" w:hAnsi="Arial" w:cs="Arial"/>
                <w:b w:val="0"/>
                <w:sz w:val="24"/>
                <w:szCs w:val="24"/>
              </w:rPr>
            </w:pPr>
            <w:r w:rsidRPr="00D443F5">
              <w:rPr>
                <w:rFonts w:ascii="Arial" w:hAnsi="Arial" w:cs="Arial"/>
                <w:sz w:val="24"/>
                <w:szCs w:val="24"/>
              </w:rPr>
              <w:t>Cuadro 1. Resultados del análisis estadístico de la motilidad, viabilidad y NAR de los espermatozoides descongelados.</w:t>
            </w:r>
          </w:p>
        </w:tc>
      </w:tr>
      <w:tr w:rsidR="00CB0978" w:rsidRPr="00D443F5" w:rsidTr="007F2707">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603" w:type="dxa"/>
            <w:shd w:val="clear" w:color="auto" w:fill="auto"/>
          </w:tcPr>
          <w:p w:rsidR="00CB0978" w:rsidRPr="00D443F5" w:rsidRDefault="00CB0978" w:rsidP="007F2707">
            <w:pPr>
              <w:spacing w:line="276" w:lineRule="auto"/>
              <w:jc w:val="center"/>
              <w:rPr>
                <w:rFonts w:ascii="Arial" w:hAnsi="Arial" w:cs="Arial"/>
                <w:sz w:val="24"/>
                <w:szCs w:val="24"/>
              </w:rPr>
            </w:pPr>
            <w:r w:rsidRPr="00D443F5">
              <w:rPr>
                <w:rFonts w:ascii="Arial" w:hAnsi="Arial" w:cs="Arial"/>
                <w:sz w:val="24"/>
                <w:szCs w:val="24"/>
              </w:rPr>
              <w:t>Tratamientos</w:t>
            </w:r>
          </w:p>
        </w:tc>
        <w:tc>
          <w:tcPr>
            <w:tcW w:w="2650" w:type="dxa"/>
            <w:shd w:val="clear" w:color="auto" w:fill="auto"/>
          </w:tcPr>
          <w:p w:rsidR="00CB0978" w:rsidRPr="00D443F5" w:rsidRDefault="00CB0978" w:rsidP="007F270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443F5">
              <w:rPr>
                <w:rFonts w:ascii="Arial" w:hAnsi="Arial" w:cs="Arial"/>
                <w:sz w:val="24"/>
                <w:szCs w:val="24"/>
              </w:rPr>
              <w:t xml:space="preserve">Composición </w:t>
            </w:r>
          </w:p>
        </w:tc>
        <w:tc>
          <w:tcPr>
            <w:tcW w:w="1701" w:type="dxa"/>
            <w:shd w:val="clear" w:color="auto" w:fill="auto"/>
          </w:tcPr>
          <w:p w:rsidR="00CB0978" w:rsidRPr="00D443F5" w:rsidRDefault="00CB0978" w:rsidP="007F270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443F5">
              <w:rPr>
                <w:rFonts w:ascii="Arial" w:hAnsi="Arial" w:cs="Arial"/>
                <w:sz w:val="24"/>
                <w:szCs w:val="24"/>
              </w:rPr>
              <w:t>Motilidad (%)</w:t>
            </w:r>
          </w:p>
        </w:tc>
        <w:tc>
          <w:tcPr>
            <w:tcW w:w="1701" w:type="dxa"/>
            <w:shd w:val="clear" w:color="auto" w:fill="auto"/>
          </w:tcPr>
          <w:p w:rsidR="00CB0978" w:rsidRPr="00D443F5" w:rsidRDefault="00CB0978" w:rsidP="007F270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443F5">
              <w:rPr>
                <w:rFonts w:ascii="Arial" w:hAnsi="Arial" w:cs="Arial"/>
                <w:sz w:val="24"/>
                <w:szCs w:val="24"/>
              </w:rPr>
              <w:t xml:space="preserve">Viabilidad (%) </w:t>
            </w:r>
          </w:p>
        </w:tc>
        <w:tc>
          <w:tcPr>
            <w:tcW w:w="1183" w:type="dxa"/>
            <w:shd w:val="clear" w:color="auto" w:fill="auto"/>
          </w:tcPr>
          <w:p w:rsidR="00CB0978" w:rsidRPr="00D443F5" w:rsidRDefault="00CB0978" w:rsidP="007F270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443F5">
              <w:rPr>
                <w:rFonts w:ascii="Arial" w:hAnsi="Arial" w:cs="Arial"/>
                <w:sz w:val="24"/>
                <w:szCs w:val="24"/>
              </w:rPr>
              <w:t>NAR (%)</w:t>
            </w:r>
          </w:p>
        </w:tc>
      </w:tr>
      <w:tr w:rsidR="00CB0978" w:rsidRPr="00D443F5" w:rsidTr="007F2707">
        <w:trPr>
          <w:trHeight w:val="322"/>
        </w:trPr>
        <w:tc>
          <w:tcPr>
            <w:cnfStyle w:val="001000000000" w:firstRow="0" w:lastRow="0" w:firstColumn="1" w:lastColumn="0" w:oddVBand="0" w:evenVBand="0" w:oddHBand="0" w:evenHBand="0" w:firstRowFirstColumn="0" w:firstRowLastColumn="0" w:lastRowFirstColumn="0" w:lastRowLastColumn="0"/>
            <w:tcW w:w="1603" w:type="dxa"/>
            <w:shd w:val="clear" w:color="auto" w:fill="auto"/>
          </w:tcPr>
          <w:p w:rsidR="00CB0978" w:rsidRPr="00D443F5" w:rsidRDefault="00CB0978" w:rsidP="007F2707">
            <w:pPr>
              <w:spacing w:line="276" w:lineRule="auto"/>
              <w:jc w:val="center"/>
              <w:rPr>
                <w:rFonts w:ascii="Arial" w:hAnsi="Arial" w:cs="Arial"/>
                <w:sz w:val="24"/>
                <w:szCs w:val="24"/>
              </w:rPr>
            </w:pPr>
            <w:r w:rsidRPr="00D443F5">
              <w:rPr>
                <w:rFonts w:ascii="Arial" w:hAnsi="Arial" w:cs="Arial"/>
                <w:sz w:val="24"/>
                <w:szCs w:val="24"/>
              </w:rPr>
              <w:t>T1</w:t>
            </w:r>
          </w:p>
        </w:tc>
        <w:tc>
          <w:tcPr>
            <w:tcW w:w="2650" w:type="dxa"/>
            <w:shd w:val="clear" w:color="auto" w:fill="auto"/>
          </w:tcPr>
          <w:p w:rsidR="00CB0978" w:rsidRPr="00D443F5" w:rsidRDefault="00CB0978" w:rsidP="007F2707">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sz w:val="24"/>
                <w:szCs w:val="24"/>
              </w:rPr>
              <w:t>α-tocoferol (4mg/ml)</w:t>
            </w:r>
          </w:p>
        </w:tc>
        <w:tc>
          <w:tcPr>
            <w:tcW w:w="1701" w:type="dxa"/>
            <w:shd w:val="clear" w:color="auto" w:fill="auto"/>
          </w:tcPr>
          <w:p w:rsidR="00CB0978" w:rsidRPr="00D443F5" w:rsidRDefault="00CB0978" w:rsidP="007F270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37.33</w:t>
            </w:r>
            <w:r w:rsidRPr="00D443F5">
              <w:rPr>
                <w:rFonts w:ascii="Arial" w:hAnsi="Arial" w:cs="Arial"/>
                <w:color w:val="000000"/>
                <w:sz w:val="24"/>
                <w:szCs w:val="24"/>
                <w:vertAlign w:val="superscript"/>
              </w:rPr>
              <w:t>a</w:t>
            </w:r>
          </w:p>
        </w:tc>
        <w:tc>
          <w:tcPr>
            <w:tcW w:w="1701" w:type="dxa"/>
            <w:shd w:val="clear" w:color="auto" w:fill="auto"/>
          </w:tcPr>
          <w:p w:rsidR="00CB0978" w:rsidRPr="00D443F5" w:rsidRDefault="00CB0978" w:rsidP="007F270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48.86</w:t>
            </w:r>
            <w:r w:rsidRPr="00D443F5">
              <w:rPr>
                <w:rFonts w:ascii="Arial" w:hAnsi="Arial" w:cs="Arial"/>
                <w:color w:val="000000"/>
                <w:sz w:val="24"/>
                <w:szCs w:val="24"/>
                <w:vertAlign w:val="superscript"/>
              </w:rPr>
              <w:t>abc</w:t>
            </w:r>
          </w:p>
        </w:tc>
        <w:tc>
          <w:tcPr>
            <w:tcW w:w="1183" w:type="dxa"/>
            <w:shd w:val="clear" w:color="auto" w:fill="auto"/>
          </w:tcPr>
          <w:p w:rsidR="00CB0978" w:rsidRPr="00D443F5" w:rsidRDefault="00CB0978" w:rsidP="007F270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92.93</w:t>
            </w:r>
            <w:r w:rsidRPr="00D443F5">
              <w:rPr>
                <w:rFonts w:ascii="Arial" w:hAnsi="Arial" w:cs="Arial"/>
                <w:color w:val="000000"/>
                <w:sz w:val="24"/>
                <w:szCs w:val="24"/>
                <w:vertAlign w:val="superscript"/>
              </w:rPr>
              <w:t>b</w:t>
            </w:r>
          </w:p>
        </w:tc>
      </w:tr>
      <w:tr w:rsidR="00CB0978" w:rsidRPr="00D443F5" w:rsidTr="007F2707">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1603" w:type="dxa"/>
            <w:shd w:val="clear" w:color="auto" w:fill="auto"/>
          </w:tcPr>
          <w:p w:rsidR="00CB0978" w:rsidRPr="00D443F5" w:rsidRDefault="00CB0978" w:rsidP="007F2707">
            <w:pPr>
              <w:spacing w:line="276" w:lineRule="auto"/>
              <w:rPr>
                <w:rFonts w:ascii="Arial" w:hAnsi="Arial" w:cs="Arial"/>
                <w:sz w:val="24"/>
                <w:szCs w:val="24"/>
              </w:rPr>
            </w:pPr>
          </w:p>
        </w:tc>
        <w:tc>
          <w:tcPr>
            <w:tcW w:w="2650" w:type="dxa"/>
            <w:shd w:val="clear" w:color="auto" w:fill="auto"/>
          </w:tcPr>
          <w:p w:rsidR="00CB0978" w:rsidRPr="00D443F5" w:rsidRDefault="00CB0978" w:rsidP="007F270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701" w:type="dxa"/>
            <w:shd w:val="clear" w:color="auto" w:fill="auto"/>
          </w:tcPr>
          <w:p w:rsidR="00CB0978" w:rsidRPr="00D443F5" w:rsidRDefault="00CB0978" w:rsidP="007F270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p>
        </w:tc>
        <w:tc>
          <w:tcPr>
            <w:tcW w:w="1701" w:type="dxa"/>
            <w:shd w:val="clear" w:color="auto" w:fill="auto"/>
          </w:tcPr>
          <w:p w:rsidR="00CB0978" w:rsidRPr="00D443F5" w:rsidRDefault="00CB0978" w:rsidP="007F270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p>
        </w:tc>
        <w:tc>
          <w:tcPr>
            <w:tcW w:w="1183" w:type="dxa"/>
            <w:shd w:val="clear" w:color="auto" w:fill="auto"/>
          </w:tcPr>
          <w:p w:rsidR="00CB0978" w:rsidRPr="00D443F5" w:rsidRDefault="00CB0978" w:rsidP="007F270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p>
        </w:tc>
      </w:tr>
      <w:tr w:rsidR="00CB0978" w:rsidRPr="00D443F5" w:rsidTr="007F2707">
        <w:trPr>
          <w:trHeight w:val="343"/>
        </w:trPr>
        <w:tc>
          <w:tcPr>
            <w:cnfStyle w:val="001000000000" w:firstRow="0" w:lastRow="0" w:firstColumn="1" w:lastColumn="0" w:oddVBand="0" w:evenVBand="0" w:oddHBand="0" w:evenHBand="0" w:firstRowFirstColumn="0" w:firstRowLastColumn="0" w:lastRowFirstColumn="0" w:lastRowLastColumn="0"/>
            <w:tcW w:w="1603" w:type="dxa"/>
            <w:shd w:val="clear" w:color="auto" w:fill="auto"/>
          </w:tcPr>
          <w:p w:rsidR="00CB0978" w:rsidRPr="00D443F5" w:rsidRDefault="00CB0978" w:rsidP="007F2707">
            <w:pPr>
              <w:spacing w:line="276" w:lineRule="auto"/>
              <w:jc w:val="center"/>
              <w:rPr>
                <w:rFonts w:ascii="Arial" w:hAnsi="Arial" w:cs="Arial"/>
                <w:sz w:val="24"/>
                <w:szCs w:val="24"/>
              </w:rPr>
            </w:pPr>
            <w:r w:rsidRPr="00D443F5">
              <w:rPr>
                <w:rFonts w:ascii="Arial" w:hAnsi="Arial" w:cs="Arial"/>
                <w:sz w:val="24"/>
                <w:szCs w:val="24"/>
              </w:rPr>
              <w:t>T2</w:t>
            </w:r>
          </w:p>
        </w:tc>
        <w:tc>
          <w:tcPr>
            <w:tcW w:w="2650" w:type="dxa"/>
            <w:shd w:val="clear" w:color="auto" w:fill="auto"/>
          </w:tcPr>
          <w:p w:rsidR="00CB0978" w:rsidRPr="00D443F5" w:rsidRDefault="00CB0978" w:rsidP="007F2707">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sz w:val="24"/>
                <w:szCs w:val="24"/>
              </w:rPr>
              <w:t>Quercetina (25µM)</w:t>
            </w:r>
          </w:p>
        </w:tc>
        <w:tc>
          <w:tcPr>
            <w:tcW w:w="1701" w:type="dxa"/>
            <w:shd w:val="clear" w:color="auto" w:fill="auto"/>
          </w:tcPr>
          <w:p w:rsidR="00CB0978" w:rsidRPr="00D443F5" w:rsidRDefault="00CB0978" w:rsidP="007F2707">
            <w:pPr>
              <w:autoSpaceDE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D443F5">
              <w:rPr>
                <w:rFonts w:ascii="Arial" w:hAnsi="Arial" w:cs="Arial"/>
                <w:color w:val="000000"/>
                <w:sz w:val="24"/>
                <w:szCs w:val="24"/>
              </w:rPr>
              <w:t>36.53</w:t>
            </w:r>
            <w:r w:rsidRPr="00D443F5">
              <w:rPr>
                <w:rFonts w:ascii="Arial" w:hAnsi="Arial" w:cs="Arial"/>
                <w:color w:val="000000"/>
                <w:sz w:val="24"/>
                <w:szCs w:val="24"/>
                <w:vertAlign w:val="superscript"/>
              </w:rPr>
              <w:t>a</w:t>
            </w:r>
          </w:p>
        </w:tc>
        <w:tc>
          <w:tcPr>
            <w:tcW w:w="1701" w:type="dxa"/>
            <w:shd w:val="clear" w:color="auto" w:fill="auto"/>
          </w:tcPr>
          <w:p w:rsidR="00CB0978" w:rsidRPr="00D443F5" w:rsidRDefault="00CB0978" w:rsidP="007F2707">
            <w:pPr>
              <w:autoSpaceDE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D443F5">
              <w:rPr>
                <w:rFonts w:ascii="Arial" w:hAnsi="Arial" w:cs="Arial"/>
                <w:color w:val="000000"/>
                <w:sz w:val="24"/>
                <w:szCs w:val="24"/>
              </w:rPr>
              <w:t>49.40</w:t>
            </w:r>
            <w:r w:rsidRPr="00D443F5">
              <w:rPr>
                <w:rFonts w:ascii="Arial" w:hAnsi="Arial" w:cs="Arial"/>
                <w:color w:val="000000"/>
                <w:sz w:val="24"/>
                <w:szCs w:val="24"/>
                <w:vertAlign w:val="superscript"/>
              </w:rPr>
              <w:t>abc</w:t>
            </w:r>
          </w:p>
        </w:tc>
        <w:tc>
          <w:tcPr>
            <w:tcW w:w="1183" w:type="dxa"/>
            <w:shd w:val="clear" w:color="auto" w:fill="auto"/>
          </w:tcPr>
          <w:p w:rsidR="00CB0978" w:rsidRPr="00D443F5" w:rsidRDefault="00CB0978" w:rsidP="007F2707">
            <w:pPr>
              <w:autoSpaceDE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D443F5">
              <w:rPr>
                <w:rFonts w:ascii="Arial" w:hAnsi="Arial" w:cs="Arial"/>
                <w:color w:val="000000"/>
                <w:sz w:val="24"/>
                <w:szCs w:val="24"/>
              </w:rPr>
              <w:t>93.03</w:t>
            </w:r>
            <w:r w:rsidRPr="00D443F5">
              <w:rPr>
                <w:rFonts w:ascii="Arial" w:hAnsi="Arial" w:cs="Arial"/>
                <w:color w:val="000000"/>
                <w:sz w:val="24"/>
                <w:szCs w:val="24"/>
                <w:vertAlign w:val="superscript"/>
              </w:rPr>
              <w:t>ab</w:t>
            </w:r>
          </w:p>
        </w:tc>
      </w:tr>
      <w:tr w:rsidR="00CB0978" w:rsidRPr="00D443F5" w:rsidTr="007F2707">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1603" w:type="dxa"/>
            <w:shd w:val="clear" w:color="auto" w:fill="auto"/>
          </w:tcPr>
          <w:p w:rsidR="00CB0978" w:rsidRPr="00D443F5" w:rsidRDefault="00CB0978" w:rsidP="007F2707">
            <w:pPr>
              <w:spacing w:line="276" w:lineRule="auto"/>
              <w:jc w:val="center"/>
              <w:rPr>
                <w:rFonts w:ascii="Arial" w:hAnsi="Arial" w:cs="Arial"/>
                <w:sz w:val="24"/>
                <w:szCs w:val="24"/>
              </w:rPr>
            </w:pPr>
            <w:r w:rsidRPr="00D443F5">
              <w:rPr>
                <w:rFonts w:ascii="Arial" w:hAnsi="Arial" w:cs="Arial"/>
                <w:sz w:val="24"/>
                <w:szCs w:val="24"/>
              </w:rPr>
              <w:t>T3</w:t>
            </w:r>
          </w:p>
        </w:tc>
        <w:tc>
          <w:tcPr>
            <w:tcW w:w="2650" w:type="dxa"/>
            <w:shd w:val="clear" w:color="auto" w:fill="auto"/>
          </w:tcPr>
          <w:p w:rsidR="00CB0978" w:rsidRPr="00D443F5" w:rsidRDefault="00CB0978" w:rsidP="007F270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443F5">
              <w:rPr>
                <w:rFonts w:ascii="Arial" w:hAnsi="Arial" w:cs="Arial"/>
                <w:sz w:val="24"/>
                <w:szCs w:val="24"/>
              </w:rPr>
              <w:t>Quercetina (50µM)</w:t>
            </w:r>
          </w:p>
        </w:tc>
        <w:tc>
          <w:tcPr>
            <w:tcW w:w="1701" w:type="dxa"/>
            <w:shd w:val="clear" w:color="auto" w:fill="auto"/>
          </w:tcPr>
          <w:p w:rsidR="00CB0978" w:rsidRPr="00D443F5" w:rsidRDefault="00CB0978" w:rsidP="007F270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33.28</w:t>
            </w:r>
            <w:r w:rsidRPr="00D443F5">
              <w:rPr>
                <w:rFonts w:ascii="Arial" w:hAnsi="Arial" w:cs="Arial"/>
                <w:color w:val="000000"/>
                <w:sz w:val="24"/>
                <w:szCs w:val="24"/>
                <w:vertAlign w:val="superscript"/>
              </w:rPr>
              <w:t>ab</w:t>
            </w:r>
          </w:p>
        </w:tc>
        <w:tc>
          <w:tcPr>
            <w:tcW w:w="1701" w:type="dxa"/>
            <w:shd w:val="clear" w:color="auto" w:fill="auto"/>
          </w:tcPr>
          <w:p w:rsidR="00CB0978" w:rsidRPr="00D443F5" w:rsidRDefault="00CB0978" w:rsidP="007F270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46.28</w:t>
            </w:r>
            <w:r w:rsidRPr="00D443F5">
              <w:rPr>
                <w:rFonts w:ascii="Arial" w:hAnsi="Arial" w:cs="Arial"/>
                <w:color w:val="000000"/>
                <w:sz w:val="24"/>
                <w:szCs w:val="24"/>
                <w:vertAlign w:val="superscript"/>
              </w:rPr>
              <w:t>c</w:t>
            </w:r>
          </w:p>
        </w:tc>
        <w:tc>
          <w:tcPr>
            <w:tcW w:w="1183" w:type="dxa"/>
            <w:shd w:val="clear" w:color="auto" w:fill="auto"/>
          </w:tcPr>
          <w:p w:rsidR="00CB0978" w:rsidRPr="00D443F5" w:rsidRDefault="00CB0978" w:rsidP="007F270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94.21</w:t>
            </w:r>
            <w:r w:rsidRPr="00D443F5">
              <w:rPr>
                <w:rFonts w:ascii="Arial" w:hAnsi="Arial" w:cs="Arial"/>
                <w:color w:val="000000"/>
                <w:sz w:val="24"/>
                <w:szCs w:val="24"/>
                <w:vertAlign w:val="superscript"/>
              </w:rPr>
              <w:t>ab</w:t>
            </w:r>
          </w:p>
        </w:tc>
      </w:tr>
      <w:tr w:rsidR="00CB0978" w:rsidRPr="00D443F5" w:rsidTr="007F2707">
        <w:trPr>
          <w:trHeight w:val="343"/>
        </w:trPr>
        <w:tc>
          <w:tcPr>
            <w:cnfStyle w:val="001000000000" w:firstRow="0" w:lastRow="0" w:firstColumn="1" w:lastColumn="0" w:oddVBand="0" w:evenVBand="0" w:oddHBand="0" w:evenHBand="0" w:firstRowFirstColumn="0" w:firstRowLastColumn="0" w:lastRowFirstColumn="0" w:lastRowLastColumn="0"/>
            <w:tcW w:w="1603" w:type="dxa"/>
            <w:shd w:val="clear" w:color="auto" w:fill="auto"/>
          </w:tcPr>
          <w:p w:rsidR="00CB0978" w:rsidRPr="00D443F5" w:rsidRDefault="00CB0978" w:rsidP="007F2707">
            <w:pPr>
              <w:spacing w:line="276" w:lineRule="auto"/>
              <w:jc w:val="center"/>
              <w:rPr>
                <w:rFonts w:ascii="Arial" w:hAnsi="Arial" w:cs="Arial"/>
                <w:sz w:val="24"/>
                <w:szCs w:val="24"/>
              </w:rPr>
            </w:pPr>
            <w:r w:rsidRPr="00D443F5">
              <w:rPr>
                <w:rFonts w:ascii="Arial" w:hAnsi="Arial" w:cs="Arial"/>
                <w:sz w:val="24"/>
                <w:szCs w:val="24"/>
              </w:rPr>
              <w:t>T4</w:t>
            </w:r>
          </w:p>
        </w:tc>
        <w:tc>
          <w:tcPr>
            <w:tcW w:w="2650" w:type="dxa"/>
            <w:shd w:val="clear" w:color="auto" w:fill="auto"/>
          </w:tcPr>
          <w:p w:rsidR="00CB0978" w:rsidRPr="00D443F5" w:rsidRDefault="00CB0978" w:rsidP="007F2707">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sz w:val="24"/>
                <w:szCs w:val="24"/>
              </w:rPr>
              <w:t>Quercetina (100µM)</w:t>
            </w:r>
          </w:p>
        </w:tc>
        <w:tc>
          <w:tcPr>
            <w:tcW w:w="1701" w:type="dxa"/>
            <w:shd w:val="clear" w:color="auto" w:fill="auto"/>
          </w:tcPr>
          <w:p w:rsidR="00CB0978" w:rsidRPr="00D443F5" w:rsidRDefault="00CB0978" w:rsidP="007F270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38.06</w:t>
            </w:r>
            <w:r w:rsidRPr="00D443F5">
              <w:rPr>
                <w:rFonts w:ascii="Arial" w:hAnsi="Arial" w:cs="Arial"/>
                <w:color w:val="000000"/>
                <w:sz w:val="24"/>
                <w:szCs w:val="24"/>
                <w:vertAlign w:val="superscript"/>
              </w:rPr>
              <w:t>a</w:t>
            </w:r>
          </w:p>
        </w:tc>
        <w:tc>
          <w:tcPr>
            <w:tcW w:w="1701" w:type="dxa"/>
            <w:shd w:val="clear" w:color="auto" w:fill="auto"/>
          </w:tcPr>
          <w:p w:rsidR="00CB0978" w:rsidRPr="00D443F5" w:rsidRDefault="00CB0978" w:rsidP="007F270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48.13</w:t>
            </w:r>
            <w:r w:rsidRPr="00D443F5">
              <w:rPr>
                <w:rFonts w:ascii="Arial" w:hAnsi="Arial" w:cs="Arial"/>
                <w:color w:val="000000"/>
                <w:sz w:val="24"/>
                <w:szCs w:val="24"/>
                <w:vertAlign w:val="superscript"/>
              </w:rPr>
              <w:t>abc</w:t>
            </w:r>
          </w:p>
        </w:tc>
        <w:tc>
          <w:tcPr>
            <w:tcW w:w="1183" w:type="dxa"/>
            <w:shd w:val="clear" w:color="auto" w:fill="auto"/>
          </w:tcPr>
          <w:p w:rsidR="00CB0978" w:rsidRPr="00D443F5" w:rsidRDefault="00CB0978" w:rsidP="007F270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93.70</w:t>
            </w:r>
            <w:r w:rsidRPr="00D443F5">
              <w:rPr>
                <w:rFonts w:ascii="Arial" w:hAnsi="Arial" w:cs="Arial"/>
                <w:color w:val="000000"/>
                <w:sz w:val="24"/>
                <w:szCs w:val="24"/>
                <w:vertAlign w:val="superscript"/>
              </w:rPr>
              <w:t>ab</w:t>
            </w:r>
          </w:p>
        </w:tc>
      </w:tr>
      <w:tr w:rsidR="00CB0978" w:rsidRPr="00D443F5" w:rsidTr="007F2707">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1603" w:type="dxa"/>
            <w:shd w:val="clear" w:color="auto" w:fill="auto"/>
          </w:tcPr>
          <w:p w:rsidR="00CB0978" w:rsidRPr="00D443F5" w:rsidRDefault="00CB0978" w:rsidP="007F2707">
            <w:pPr>
              <w:spacing w:line="276" w:lineRule="auto"/>
              <w:jc w:val="center"/>
              <w:rPr>
                <w:rFonts w:ascii="Arial" w:hAnsi="Arial" w:cs="Arial"/>
                <w:sz w:val="24"/>
                <w:szCs w:val="24"/>
              </w:rPr>
            </w:pPr>
            <w:r w:rsidRPr="00D443F5">
              <w:rPr>
                <w:rFonts w:ascii="Arial" w:hAnsi="Arial" w:cs="Arial"/>
                <w:sz w:val="24"/>
                <w:szCs w:val="24"/>
              </w:rPr>
              <w:t>T5</w:t>
            </w:r>
          </w:p>
        </w:tc>
        <w:tc>
          <w:tcPr>
            <w:tcW w:w="2650" w:type="dxa"/>
            <w:shd w:val="clear" w:color="auto" w:fill="auto"/>
          </w:tcPr>
          <w:p w:rsidR="00CB0978" w:rsidRPr="00D443F5" w:rsidRDefault="00CB0978" w:rsidP="007F270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443F5">
              <w:rPr>
                <w:rFonts w:ascii="Arial" w:hAnsi="Arial" w:cs="Arial"/>
                <w:sz w:val="24"/>
                <w:szCs w:val="24"/>
              </w:rPr>
              <w:t>α-tocoferol + Quercetina (4mg/ml+25µM)</w:t>
            </w:r>
          </w:p>
        </w:tc>
        <w:tc>
          <w:tcPr>
            <w:tcW w:w="1701" w:type="dxa"/>
            <w:shd w:val="clear" w:color="auto" w:fill="auto"/>
          </w:tcPr>
          <w:p w:rsidR="00CB0978" w:rsidRPr="00D443F5" w:rsidRDefault="00CB0978" w:rsidP="007F270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39.44</w:t>
            </w:r>
            <w:r w:rsidRPr="00D443F5">
              <w:rPr>
                <w:rFonts w:ascii="Arial" w:hAnsi="Arial" w:cs="Arial"/>
                <w:color w:val="000000"/>
                <w:sz w:val="24"/>
                <w:szCs w:val="24"/>
                <w:vertAlign w:val="superscript"/>
              </w:rPr>
              <w:t>a</w:t>
            </w:r>
          </w:p>
        </w:tc>
        <w:tc>
          <w:tcPr>
            <w:tcW w:w="1701" w:type="dxa"/>
            <w:shd w:val="clear" w:color="auto" w:fill="auto"/>
          </w:tcPr>
          <w:p w:rsidR="00CB0978" w:rsidRPr="00D443F5" w:rsidRDefault="00CB0978" w:rsidP="007F270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51.41</w:t>
            </w:r>
            <w:r w:rsidRPr="00D443F5">
              <w:rPr>
                <w:rFonts w:ascii="Arial" w:hAnsi="Arial" w:cs="Arial"/>
                <w:color w:val="000000"/>
                <w:sz w:val="24"/>
                <w:szCs w:val="24"/>
                <w:vertAlign w:val="superscript"/>
              </w:rPr>
              <w:t>a</w:t>
            </w:r>
          </w:p>
        </w:tc>
        <w:tc>
          <w:tcPr>
            <w:tcW w:w="1183" w:type="dxa"/>
            <w:shd w:val="clear" w:color="auto" w:fill="auto"/>
          </w:tcPr>
          <w:p w:rsidR="00CB0978" w:rsidRPr="00D443F5" w:rsidRDefault="00CB0978" w:rsidP="007F270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94.13</w:t>
            </w:r>
            <w:r w:rsidRPr="00D443F5">
              <w:rPr>
                <w:rFonts w:ascii="Arial" w:hAnsi="Arial" w:cs="Arial"/>
                <w:color w:val="000000"/>
                <w:sz w:val="24"/>
                <w:szCs w:val="24"/>
                <w:vertAlign w:val="superscript"/>
              </w:rPr>
              <w:t>ab</w:t>
            </w:r>
          </w:p>
        </w:tc>
      </w:tr>
      <w:tr w:rsidR="00CB0978" w:rsidRPr="00D443F5" w:rsidTr="007F2707">
        <w:trPr>
          <w:trHeight w:val="343"/>
        </w:trPr>
        <w:tc>
          <w:tcPr>
            <w:cnfStyle w:val="001000000000" w:firstRow="0" w:lastRow="0" w:firstColumn="1" w:lastColumn="0" w:oddVBand="0" w:evenVBand="0" w:oddHBand="0" w:evenHBand="0" w:firstRowFirstColumn="0" w:firstRowLastColumn="0" w:lastRowFirstColumn="0" w:lastRowLastColumn="0"/>
            <w:tcW w:w="1603" w:type="dxa"/>
            <w:shd w:val="clear" w:color="auto" w:fill="auto"/>
          </w:tcPr>
          <w:p w:rsidR="00CB0978" w:rsidRPr="00D443F5" w:rsidRDefault="00CB0978" w:rsidP="007F2707">
            <w:pPr>
              <w:spacing w:line="276" w:lineRule="auto"/>
              <w:jc w:val="center"/>
              <w:rPr>
                <w:rFonts w:ascii="Arial" w:hAnsi="Arial" w:cs="Arial"/>
                <w:sz w:val="24"/>
                <w:szCs w:val="24"/>
              </w:rPr>
            </w:pPr>
            <w:r w:rsidRPr="00D443F5">
              <w:rPr>
                <w:rFonts w:ascii="Arial" w:hAnsi="Arial" w:cs="Arial"/>
                <w:sz w:val="24"/>
                <w:szCs w:val="24"/>
              </w:rPr>
              <w:t>T6</w:t>
            </w:r>
          </w:p>
        </w:tc>
        <w:tc>
          <w:tcPr>
            <w:tcW w:w="2650" w:type="dxa"/>
            <w:shd w:val="clear" w:color="auto" w:fill="auto"/>
          </w:tcPr>
          <w:p w:rsidR="00CB0978" w:rsidRPr="00D443F5" w:rsidRDefault="00CB0978" w:rsidP="007F2707">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sz w:val="24"/>
                <w:szCs w:val="24"/>
              </w:rPr>
              <w:t>α-tocoferol + Quercetina (4mg/ml+50µM)</w:t>
            </w:r>
          </w:p>
        </w:tc>
        <w:tc>
          <w:tcPr>
            <w:tcW w:w="1701" w:type="dxa"/>
            <w:shd w:val="clear" w:color="auto" w:fill="auto"/>
          </w:tcPr>
          <w:p w:rsidR="00CB0978" w:rsidRPr="00D443F5" w:rsidRDefault="00CB0978" w:rsidP="007F270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36.03</w:t>
            </w:r>
            <w:r w:rsidRPr="00D443F5">
              <w:rPr>
                <w:rFonts w:ascii="Arial" w:hAnsi="Arial" w:cs="Arial"/>
                <w:color w:val="000000"/>
                <w:sz w:val="24"/>
                <w:szCs w:val="24"/>
                <w:vertAlign w:val="superscript"/>
              </w:rPr>
              <w:t>a</w:t>
            </w:r>
          </w:p>
        </w:tc>
        <w:tc>
          <w:tcPr>
            <w:tcW w:w="1701" w:type="dxa"/>
            <w:shd w:val="clear" w:color="auto" w:fill="auto"/>
          </w:tcPr>
          <w:p w:rsidR="00CB0978" w:rsidRPr="00D443F5" w:rsidRDefault="00CB0978" w:rsidP="007F270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50.70</w:t>
            </w:r>
            <w:r w:rsidRPr="00D443F5">
              <w:rPr>
                <w:rFonts w:ascii="Arial" w:hAnsi="Arial" w:cs="Arial"/>
                <w:color w:val="000000"/>
                <w:sz w:val="24"/>
                <w:szCs w:val="24"/>
                <w:vertAlign w:val="superscript"/>
              </w:rPr>
              <w:t>ab</w:t>
            </w:r>
          </w:p>
        </w:tc>
        <w:tc>
          <w:tcPr>
            <w:tcW w:w="1183" w:type="dxa"/>
            <w:shd w:val="clear" w:color="auto" w:fill="auto"/>
          </w:tcPr>
          <w:p w:rsidR="00CB0978" w:rsidRPr="00D443F5" w:rsidRDefault="00CB0978" w:rsidP="007F270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93.93</w:t>
            </w:r>
            <w:r w:rsidRPr="00D443F5">
              <w:rPr>
                <w:rFonts w:ascii="Arial" w:hAnsi="Arial" w:cs="Arial"/>
                <w:color w:val="000000"/>
                <w:sz w:val="24"/>
                <w:szCs w:val="24"/>
                <w:vertAlign w:val="superscript"/>
              </w:rPr>
              <w:t>ab</w:t>
            </w:r>
          </w:p>
        </w:tc>
      </w:tr>
      <w:tr w:rsidR="00CB0978" w:rsidRPr="00D443F5" w:rsidTr="007F2707">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1603" w:type="dxa"/>
            <w:shd w:val="clear" w:color="auto" w:fill="auto"/>
          </w:tcPr>
          <w:p w:rsidR="00CB0978" w:rsidRPr="00D443F5" w:rsidRDefault="00CB0978" w:rsidP="007F2707">
            <w:pPr>
              <w:spacing w:line="276" w:lineRule="auto"/>
              <w:jc w:val="center"/>
              <w:rPr>
                <w:rFonts w:ascii="Arial" w:hAnsi="Arial" w:cs="Arial"/>
                <w:sz w:val="24"/>
                <w:szCs w:val="24"/>
              </w:rPr>
            </w:pPr>
            <w:r w:rsidRPr="00D443F5">
              <w:rPr>
                <w:rFonts w:ascii="Arial" w:hAnsi="Arial" w:cs="Arial"/>
                <w:sz w:val="24"/>
                <w:szCs w:val="24"/>
              </w:rPr>
              <w:lastRenderedPageBreak/>
              <w:t>T7</w:t>
            </w:r>
          </w:p>
        </w:tc>
        <w:tc>
          <w:tcPr>
            <w:tcW w:w="2650" w:type="dxa"/>
            <w:shd w:val="clear" w:color="auto" w:fill="auto"/>
          </w:tcPr>
          <w:p w:rsidR="00CB0978" w:rsidRPr="00D443F5" w:rsidRDefault="00CB0978" w:rsidP="007F270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443F5">
              <w:rPr>
                <w:rFonts w:ascii="Arial" w:hAnsi="Arial" w:cs="Arial"/>
                <w:sz w:val="24"/>
                <w:szCs w:val="24"/>
              </w:rPr>
              <w:t>α-tocoferol + Quercetina (4mg/ml+100µM)</w:t>
            </w:r>
          </w:p>
        </w:tc>
        <w:tc>
          <w:tcPr>
            <w:tcW w:w="1701" w:type="dxa"/>
            <w:shd w:val="clear" w:color="auto" w:fill="auto"/>
          </w:tcPr>
          <w:p w:rsidR="00CB0978" w:rsidRPr="00D443F5" w:rsidRDefault="00CB0978" w:rsidP="007F270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34.50</w:t>
            </w:r>
            <w:r w:rsidRPr="00D443F5">
              <w:rPr>
                <w:rFonts w:ascii="Arial" w:hAnsi="Arial" w:cs="Arial"/>
                <w:color w:val="000000"/>
                <w:sz w:val="24"/>
                <w:szCs w:val="24"/>
                <w:vertAlign w:val="superscript"/>
              </w:rPr>
              <w:t>ab</w:t>
            </w:r>
          </w:p>
        </w:tc>
        <w:tc>
          <w:tcPr>
            <w:tcW w:w="1701" w:type="dxa"/>
            <w:shd w:val="clear" w:color="auto" w:fill="auto"/>
          </w:tcPr>
          <w:p w:rsidR="00CB0978" w:rsidRPr="00D443F5" w:rsidRDefault="00CB0978" w:rsidP="007F270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47.10</w:t>
            </w:r>
            <w:r w:rsidRPr="00D443F5">
              <w:rPr>
                <w:rFonts w:ascii="Arial" w:hAnsi="Arial" w:cs="Arial"/>
                <w:color w:val="000000"/>
                <w:sz w:val="24"/>
                <w:szCs w:val="24"/>
                <w:vertAlign w:val="superscript"/>
              </w:rPr>
              <w:t>bc</w:t>
            </w:r>
          </w:p>
        </w:tc>
        <w:tc>
          <w:tcPr>
            <w:tcW w:w="1183" w:type="dxa"/>
            <w:shd w:val="clear" w:color="auto" w:fill="auto"/>
          </w:tcPr>
          <w:p w:rsidR="00CB0978" w:rsidRPr="00D443F5" w:rsidRDefault="00CB0978" w:rsidP="007F270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93.93</w:t>
            </w:r>
            <w:r w:rsidRPr="00D443F5">
              <w:rPr>
                <w:rFonts w:ascii="Arial" w:hAnsi="Arial" w:cs="Arial"/>
                <w:color w:val="000000"/>
                <w:sz w:val="24"/>
                <w:szCs w:val="24"/>
                <w:vertAlign w:val="superscript"/>
              </w:rPr>
              <w:t>ab</w:t>
            </w:r>
          </w:p>
        </w:tc>
      </w:tr>
      <w:tr w:rsidR="00CB0978" w:rsidRPr="00D443F5" w:rsidTr="007F2707">
        <w:trPr>
          <w:trHeight w:val="343"/>
        </w:trPr>
        <w:tc>
          <w:tcPr>
            <w:cnfStyle w:val="001000000000" w:firstRow="0" w:lastRow="0" w:firstColumn="1" w:lastColumn="0" w:oddVBand="0" w:evenVBand="0" w:oddHBand="0" w:evenHBand="0" w:firstRowFirstColumn="0" w:firstRowLastColumn="0" w:lastRowFirstColumn="0" w:lastRowLastColumn="0"/>
            <w:tcW w:w="1603" w:type="dxa"/>
            <w:shd w:val="clear" w:color="auto" w:fill="auto"/>
          </w:tcPr>
          <w:p w:rsidR="00CB0978" w:rsidRPr="00D443F5" w:rsidRDefault="00CB0978" w:rsidP="007F2707">
            <w:pPr>
              <w:spacing w:line="276" w:lineRule="auto"/>
              <w:jc w:val="center"/>
              <w:rPr>
                <w:rFonts w:ascii="Arial" w:hAnsi="Arial" w:cs="Arial"/>
                <w:sz w:val="24"/>
                <w:szCs w:val="24"/>
              </w:rPr>
            </w:pPr>
            <w:r w:rsidRPr="00D443F5">
              <w:rPr>
                <w:rFonts w:ascii="Arial" w:hAnsi="Arial" w:cs="Arial"/>
                <w:sz w:val="24"/>
                <w:szCs w:val="24"/>
              </w:rPr>
              <w:t>T8</w:t>
            </w:r>
          </w:p>
        </w:tc>
        <w:tc>
          <w:tcPr>
            <w:tcW w:w="2650" w:type="dxa"/>
            <w:shd w:val="clear" w:color="auto" w:fill="auto"/>
          </w:tcPr>
          <w:p w:rsidR="00CB0978" w:rsidRPr="00D443F5" w:rsidRDefault="00CB0978" w:rsidP="007F2707">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sz w:val="24"/>
                <w:szCs w:val="24"/>
              </w:rPr>
              <w:t xml:space="preserve">Control </w:t>
            </w:r>
          </w:p>
        </w:tc>
        <w:tc>
          <w:tcPr>
            <w:tcW w:w="1701" w:type="dxa"/>
            <w:shd w:val="clear" w:color="auto" w:fill="auto"/>
          </w:tcPr>
          <w:p w:rsidR="00CB0978" w:rsidRPr="00D443F5" w:rsidRDefault="00CB0978" w:rsidP="007F270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28.53</w:t>
            </w:r>
            <w:r w:rsidRPr="00D443F5">
              <w:rPr>
                <w:rFonts w:ascii="Arial" w:hAnsi="Arial" w:cs="Arial"/>
                <w:color w:val="000000"/>
                <w:sz w:val="24"/>
                <w:szCs w:val="24"/>
                <w:vertAlign w:val="superscript"/>
              </w:rPr>
              <w:t>b</w:t>
            </w:r>
          </w:p>
        </w:tc>
        <w:tc>
          <w:tcPr>
            <w:tcW w:w="1701" w:type="dxa"/>
            <w:shd w:val="clear" w:color="auto" w:fill="auto"/>
          </w:tcPr>
          <w:p w:rsidR="00CB0978" w:rsidRPr="00D443F5" w:rsidRDefault="00CB0978" w:rsidP="007F270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45.60</w:t>
            </w:r>
            <w:r w:rsidRPr="00D443F5">
              <w:rPr>
                <w:rFonts w:ascii="Arial" w:hAnsi="Arial" w:cs="Arial"/>
                <w:color w:val="000000"/>
                <w:sz w:val="24"/>
                <w:szCs w:val="24"/>
                <w:vertAlign w:val="superscript"/>
              </w:rPr>
              <w:t>c</w:t>
            </w:r>
          </w:p>
        </w:tc>
        <w:tc>
          <w:tcPr>
            <w:tcW w:w="1183" w:type="dxa"/>
            <w:shd w:val="clear" w:color="auto" w:fill="auto"/>
          </w:tcPr>
          <w:p w:rsidR="00CB0978" w:rsidRPr="00D443F5" w:rsidRDefault="00CB0978" w:rsidP="007F270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443F5">
              <w:rPr>
                <w:rFonts w:ascii="Arial" w:hAnsi="Arial" w:cs="Arial"/>
                <w:color w:val="000000"/>
                <w:sz w:val="24"/>
                <w:szCs w:val="24"/>
              </w:rPr>
              <w:t>94.90</w:t>
            </w:r>
            <w:r w:rsidRPr="00D443F5">
              <w:rPr>
                <w:rFonts w:ascii="Arial" w:hAnsi="Arial" w:cs="Arial"/>
                <w:color w:val="000000"/>
                <w:sz w:val="24"/>
                <w:szCs w:val="24"/>
                <w:vertAlign w:val="superscript"/>
              </w:rPr>
              <w:t>a</w:t>
            </w:r>
          </w:p>
        </w:tc>
      </w:tr>
      <w:tr w:rsidR="00CB0978" w:rsidRPr="00D443F5" w:rsidTr="007F2707">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5954" w:type="dxa"/>
            <w:gridSpan w:val="3"/>
            <w:shd w:val="clear" w:color="auto" w:fill="auto"/>
          </w:tcPr>
          <w:p w:rsidR="00CB0978" w:rsidRPr="00D443F5" w:rsidRDefault="00CB0978" w:rsidP="007F2707">
            <w:pPr>
              <w:spacing w:line="276" w:lineRule="auto"/>
              <w:rPr>
                <w:rFonts w:ascii="Arial" w:hAnsi="Arial" w:cs="Arial"/>
                <w:b w:val="0"/>
                <w:sz w:val="24"/>
                <w:szCs w:val="24"/>
              </w:rPr>
            </w:pPr>
            <w:r w:rsidRPr="00D443F5">
              <w:rPr>
                <w:rFonts w:ascii="Arial" w:hAnsi="Arial" w:cs="Arial"/>
                <w:b w:val="0"/>
                <w:sz w:val="24"/>
                <w:szCs w:val="24"/>
                <w:vertAlign w:val="superscript"/>
              </w:rPr>
              <w:t>a-c</w:t>
            </w:r>
            <w:r w:rsidRPr="00D443F5">
              <w:rPr>
                <w:rFonts w:ascii="Arial" w:hAnsi="Arial" w:cs="Arial"/>
                <w:b w:val="0"/>
                <w:sz w:val="24"/>
                <w:szCs w:val="24"/>
              </w:rPr>
              <w:t xml:space="preserve"> Indican diferencia significativa con una </w:t>
            </w:r>
            <w:r w:rsidRPr="00D443F5">
              <w:rPr>
                <w:rFonts w:ascii="Arial" w:hAnsi="Arial" w:cs="Arial"/>
                <w:b w:val="0"/>
                <w:i/>
                <w:sz w:val="24"/>
                <w:szCs w:val="24"/>
              </w:rPr>
              <w:t>P&lt;</w:t>
            </w:r>
            <w:r w:rsidRPr="00D443F5">
              <w:rPr>
                <w:rFonts w:ascii="Arial" w:hAnsi="Arial" w:cs="Arial"/>
                <w:b w:val="0"/>
                <w:sz w:val="24"/>
                <w:szCs w:val="24"/>
              </w:rPr>
              <w:t xml:space="preserve">0.05. </w:t>
            </w:r>
          </w:p>
        </w:tc>
        <w:tc>
          <w:tcPr>
            <w:tcW w:w="1701" w:type="dxa"/>
            <w:shd w:val="clear" w:color="auto" w:fill="auto"/>
          </w:tcPr>
          <w:p w:rsidR="00CB0978" w:rsidRPr="00D443F5" w:rsidRDefault="00CB0978" w:rsidP="007F270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vertAlign w:val="superscript"/>
              </w:rPr>
            </w:pPr>
          </w:p>
        </w:tc>
        <w:tc>
          <w:tcPr>
            <w:tcW w:w="1183" w:type="dxa"/>
            <w:shd w:val="clear" w:color="auto" w:fill="auto"/>
          </w:tcPr>
          <w:p w:rsidR="00CB0978" w:rsidRPr="00D443F5" w:rsidRDefault="00CB0978" w:rsidP="007F270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vertAlign w:val="superscript"/>
              </w:rPr>
            </w:pPr>
          </w:p>
        </w:tc>
      </w:tr>
    </w:tbl>
    <w:p w:rsidR="00CB0978" w:rsidRPr="00D443F5" w:rsidRDefault="00CB0978" w:rsidP="00CB0978">
      <w:pPr>
        <w:spacing w:line="276" w:lineRule="auto"/>
        <w:rPr>
          <w:rFonts w:ascii="Arial" w:hAnsi="Arial" w:cs="Arial"/>
          <w:b/>
          <w:sz w:val="24"/>
          <w:szCs w:val="24"/>
        </w:rPr>
      </w:pPr>
    </w:p>
    <w:p w:rsidR="00CB0978" w:rsidRPr="00D443F5" w:rsidRDefault="00CB0978" w:rsidP="00CB0978">
      <w:pPr>
        <w:spacing w:line="276" w:lineRule="auto"/>
        <w:ind w:firstLine="708"/>
        <w:jc w:val="both"/>
        <w:rPr>
          <w:rFonts w:ascii="Arial" w:hAnsi="Arial" w:cs="Arial"/>
          <w:sz w:val="24"/>
          <w:szCs w:val="24"/>
        </w:rPr>
      </w:pPr>
      <w:r w:rsidRPr="00D443F5">
        <w:rPr>
          <w:rFonts w:ascii="Arial" w:hAnsi="Arial" w:cs="Arial"/>
          <w:sz w:val="24"/>
          <w:szCs w:val="24"/>
        </w:rPr>
        <w:t xml:space="preserve">En el cuadro 1. Se puede observar que los mejores resultados de motilidad obtenidos fueron de los tratamientos que contenían antioxidantes (T5, T4, T1, T2 y T6) 39.44, 38.06, 37.33, 37.33 y 36.03% respectivamente, con una diferencia significativa (P&lt;0.05) con el tratamiento control (T8); de estos tratamientos, el que obtuvo mejores resultados fue la combinación de α-tocoferol + Quercetina (4mg/ml+25µM) (T5). Dichos resultados coincidieron con los obtenidos en viabilidad, ya que el mejor tratamiento fue T5 (51.41%), con una diferencia significativa (P&lt;0.05) con los T3, T7 y T8 (46.28, 47.10 y 45.60% respectivamente). </w:t>
      </w:r>
    </w:p>
    <w:p w:rsidR="00CB0978" w:rsidRPr="00D443F5" w:rsidRDefault="00CB0978" w:rsidP="00CB0978">
      <w:pPr>
        <w:spacing w:line="276" w:lineRule="auto"/>
        <w:ind w:firstLine="708"/>
        <w:jc w:val="both"/>
        <w:rPr>
          <w:rFonts w:ascii="Arial" w:hAnsi="Arial" w:cs="Arial"/>
          <w:sz w:val="24"/>
          <w:szCs w:val="24"/>
        </w:rPr>
      </w:pPr>
      <w:r w:rsidRPr="00D443F5">
        <w:rPr>
          <w:rFonts w:ascii="Arial" w:hAnsi="Arial" w:cs="Arial"/>
          <w:sz w:val="24"/>
          <w:szCs w:val="24"/>
        </w:rPr>
        <w:t xml:space="preserve">A pesar de que no se tengan registros del efecto de la quercetina o combinación de quercetina con α-tocoferol sobre la motilidad y viabilidad de espermatozoides de cerdo congelados-descongelados, se ha podido observar que la quercetina evita la lipoperoxidación, neutralizando e inhibiendo el desarrollo de los radicales libres, e interactúa con α-tocoferol para resaltar la capacidad antioxidante de esta última y mientras la quercetina es oxidada, se puede reciclar interactuando con el acerbato y el glutatión; por otra parte durante la congelación seminal donde existe un proceso de peroxidación que induce a pérdidas de motilidad, viabilidad y cambios en el metabolismo espermático, el α-tocoferol protege la membrana plasmática del espermatozoide contra la lipoperoxidación, causada por la exposición al oxígeno molecular, actuando como antioxidante por tener la capacidad de transferir un nitrógeno fenólico a un radical peróxido libre de un ácido graso polinsaturado peroxidado reduciendo el daño oxidativo de las membranas del espermatozoide inducido por la congelación, interrumpiendo las destructivas reacciones en cadena de la lipoperoxidación y evitando posibles daños celulares (Williams </w:t>
      </w:r>
      <w:r w:rsidRPr="00D443F5">
        <w:rPr>
          <w:rFonts w:ascii="Arial" w:hAnsi="Arial" w:cs="Arial"/>
          <w:i/>
          <w:sz w:val="24"/>
          <w:szCs w:val="24"/>
        </w:rPr>
        <w:t>et al</w:t>
      </w:r>
      <w:r w:rsidRPr="00D443F5">
        <w:rPr>
          <w:rFonts w:ascii="Arial" w:hAnsi="Arial" w:cs="Arial"/>
          <w:sz w:val="24"/>
          <w:szCs w:val="24"/>
        </w:rPr>
        <w:t>., 2015).</w:t>
      </w:r>
    </w:p>
    <w:p w:rsidR="00CB0978" w:rsidRPr="00D443F5" w:rsidRDefault="00CB0978" w:rsidP="00CB0978">
      <w:pPr>
        <w:spacing w:line="276" w:lineRule="auto"/>
        <w:ind w:firstLine="708"/>
        <w:jc w:val="both"/>
        <w:rPr>
          <w:rFonts w:ascii="Arial" w:hAnsi="Arial" w:cs="Arial"/>
          <w:sz w:val="24"/>
          <w:szCs w:val="24"/>
        </w:rPr>
      </w:pPr>
      <w:r w:rsidRPr="00D443F5">
        <w:rPr>
          <w:rFonts w:ascii="Arial" w:hAnsi="Arial" w:cs="Arial"/>
          <w:sz w:val="24"/>
          <w:szCs w:val="24"/>
        </w:rPr>
        <w:t xml:space="preserve">En cuanto a los resultados obtenido de NAR, difirieron ligeramente con los conseguidos en motilidad y viabilidad, ya que el grupo control (T8) fue superior al T1 con diferencias significativas (P&lt;0.05), sin embargo, no difirió significativamente con los tratamientos donde se adicionaron quercetina o quercetina combinada con α-tocoferol (T2, T3, T4, T5, T6 y T7) (Cuadro 1). No obstante, todos los resultados obtenidos de NAR se pueden considerar aceptables, ya que son superiores al porcentaje mínimo (80%) (Córdova </w:t>
      </w:r>
      <w:r w:rsidRPr="00D443F5">
        <w:rPr>
          <w:rFonts w:ascii="Arial" w:hAnsi="Arial" w:cs="Arial"/>
          <w:i/>
          <w:sz w:val="24"/>
          <w:szCs w:val="24"/>
        </w:rPr>
        <w:t xml:space="preserve">et al., </w:t>
      </w:r>
      <w:r w:rsidRPr="00D443F5">
        <w:rPr>
          <w:rFonts w:ascii="Arial" w:hAnsi="Arial" w:cs="Arial"/>
          <w:sz w:val="24"/>
          <w:szCs w:val="24"/>
        </w:rPr>
        <w:t xml:space="preserve">2019) requerido para una inseminación artificial, al igual que fueron superiores a los resultados obtenidos en otros estudios donde se congeló semen de </w:t>
      </w:r>
      <w:r w:rsidRPr="00D443F5">
        <w:rPr>
          <w:rFonts w:ascii="Arial" w:hAnsi="Arial" w:cs="Arial"/>
          <w:sz w:val="24"/>
          <w:szCs w:val="24"/>
        </w:rPr>
        <w:lastRenderedPageBreak/>
        <w:t xml:space="preserve">porcino con y sin antioxidantes, obteniendo porcentajes desde el 10% (Williams </w:t>
      </w:r>
      <w:r w:rsidRPr="00D443F5">
        <w:rPr>
          <w:rFonts w:ascii="Arial" w:hAnsi="Arial" w:cs="Arial"/>
          <w:i/>
          <w:sz w:val="24"/>
          <w:szCs w:val="24"/>
        </w:rPr>
        <w:t>et al</w:t>
      </w:r>
      <w:r w:rsidRPr="00D443F5">
        <w:rPr>
          <w:rFonts w:ascii="Arial" w:hAnsi="Arial" w:cs="Arial"/>
          <w:sz w:val="24"/>
          <w:szCs w:val="24"/>
        </w:rPr>
        <w:t xml:space="preserve">., 2015), hasta el 84.75% (Gutiérrez </w:t>
      </w:r>
      <w:r w:rsidRPr="00D443F5">
        <w:rPr>
          <w:rFonts w:ascii="Arial" w:hAnsi="Arial" w:cs="Arial"/>
          <w:i/>
          <w:sz w:val="24"/>
          <w:szCs w:val="24"/>
        </w:rPr>
        <w:t>et al</w:t>
      </w:r>
      <w:r w:rsidRPr="00D443F5">
        <w:rPr>
          <w:rFonts w:ascii="Arial" w:hAnsi="Arial" w:cs="Arial"/>
          <w:sz w:val="24"/>
          <w:szCs w:val="24"/>
        </w:rPr>
        <w:t xml:space="preserve">., 2009). </w:t>
      </w:r>
    </w:p>
    <w:p w:rsidR="00CB0978" w:rsidRPr="00D443F5" w:rsidRDefault="00CB0978" w:rsidP="00CB0978">
      <w:pPr>
        <w:spacing w:line="276" w:lineRule="auto"/>
        <w:jc w:val="both"/>
        <w:rPr>
          <w:rFonts w:ascii="Arial" w:hAnsi="Arial" w:cs="Arial"/>
          <w:sz w:val="24"/>
          <w:szCs w:val="24"/>
        </w:rPr>
      </w:pPr>
      <w:r w:rsidRPr="00D443F5">
        <w:rPr>
          <w:rFonts w:ascii="Arial" w:hAnsi="Arial" w:cs="Arial"/>
          <w:sz w:val="24"/>
          <w:szCs w:val="24"/>
        </w:rPr>
        <w:t xml:space="preserve">En conclusión, la adición de quercetina y α-tocoferol separadas o combinadas, protegen la motilidad, viabilidad y NAR de los espermatozoides de cerdo descongelados. </w:t>
      </w:r>
    </w:p>
    <w:p w:rsidR="00CB0978" w:rsidRPr="00D443F5" w:rsidRDefault="00CB0978" w:rsidP="00CB0978">
      <w:pPr>
        <w:spacing w:line="276" w:lineRule="auto"/>
        <w:jc w:val="both"/>
        <w:rPr>
          <w:rFonts w:ascii="Arial" w:hAnsi="Arial" w:cs="Arial"/>
          <w:sz w:val="24"/>
          <w:szCs w:val="24"/>
        </w:rPr>
      </w:pPr>
      <w:r w:rsidRPr="00D443F5">
        <w:rPr>
          <w:rFonts w:ascii="Arial" w:hAnsi="Arial" w:cs="Arial"/>
          <w:sz w:val="24"/>
          <w:szCs w:val="24"/>
        </w:rPr>
        <w:t xml:space="preserve"> </w:t>
      </w:r>
    </w:p>
    <w:p w:rsidR="00CB0978" w:rsidRPr="00776774" w:rsidRDefault="00F25548" w:rsidP="00F25548">
      <w:pPr>
        <w:pStyle w:val="1Titulo"/>
        <w:numPr>
          <w:ilvl w:val="0"/>
          <w:numId w:val="0"/>
        </w:numPr>
        <w:ind w:left="357"/>
        <w:rPr>
          <w:lang w:val="en-US"/>
        </w:rPr>
      </w:pPr>
      <w:bookmarkStart w:id="374" w:name="_Toc50031421"/>
      <w:r w:rsidRPr="00776774">
        <w:rPr>
          <w:lang w:val="en-US"/>
        </w:rPr>
        <w:t>5.</w:t>
      </w:r>
      <w:r w:rsidR="00CB0978" w:rsidRPr="00776774">
        <w:rPr>
          <w:lang w:val="en-US"/>
        </w:rPr>
        <w:t>Bibliografía</w:t>
      </w:r>
      <w:bookmarkEnd w:id="374"/>
    </w:p>
    <w:p w:rsidR="00CB0978" w:rsidRPr="00EF1C88" w:rsidRDefault="00CB0978" w:rsidP="00CB0978">
      <w:pPr>
        <w:spacing w:line="276" w:lineRule="auto"/>
        <w:jc w:val="both"/>
        <w:rPr>
          <w:rFonts w:ascii="Arial" w:hAnsi="Arial" w:cs="Arial"/>
          <w:sz w:val="24"/>
          <w:szCs w:val="24"/>
        </w:rPr>
      </w:pPr>
      <w:r>
        <w:rPr>
          <w:rFonts w:ascii="Arial" w:hAnsi="Arial" w:cs="Arial"/>
          <w:sz w:val="24"/>
          <w:szCs w:val="24"/>
          <w:lang w:val="en-US"/>
        </w:rPr>
        <w:t>A</w:t>
      </w:r>
      <w:r w:rsidRPr="00D443F5">
        <w:rPr>
          <w:rFonts w:ascii="Arial" w:hAnsi="Arial" w:cs="Arial"/>
          <w:sz w:val="24"/>
          <w:szCs w:val="24"/>
          <w:lang w:val="en-US"/>
        </w:rPr>
        <w:t xml:space="preserve">vdatek F., Yeni D., Inanc M.E., Cil B., Tuncer B. P., Türkmen R. y Tasdemir E. Supplementatios of quercetin for advanced DNA integrity in bull semen criopreservation. </w:t>
      </w:r>
      <w:r w:rsidRPr="00EF1C88">
        <w:rPr>
          <w:rFonts w:ascii="Arial" w:hAnsi="Arial" w:cs="Arial"/>
          <w:sz w:val="24"/>
          <w:szCs w:val="24"/>
        </w:rPr>
        <w:t>Andrologia 50: 1-7)</w:t>
      </w:r>
      <w:r w:rsidRPr="00A27C9B">
        <w:rPr>
          <w:rFonts w:ascii="Arial" w:hAnsi="Arial" w:cs="Arial"/>
          <w:sz w:val="24"/>
          <w:szCs w:val="24"/>
        </w:rPr>
        <w:t xml:space="preserve"> </w:t>
      </w:r>
      <w:r w:rsidRPr="00D443F5">
        <w:rPr>
          <w:rFonts w:ascii="Arial" w:hAnsi="Arial" w:cs="Arial"/>
          <w:sz w:val="24"/>
          <w:szCs w:val="24"/>
        </w:rPr>
        <w:t>2017</w:t>
      </w:r>
      <w:r>
        <w:rPr>
          <w:rFonts w:ascii="Arial" w:hAnsi="Arial" w:cs="Arial"/>
          <w:sz w:val="24"/>
          <w:szCs w:val="24"/>
        </w:rPr>
        <w:t>).</w:t>
      </w:r>
    </w:p>
    <w:p w:rsidR="00CB0978" w:rsidRPr="00EF1C88" w:rsidRDefault="00CB0978" w:rsidP="00CB0978">
      <w:pPr>
        <w:spacing w:line="276" w:lineRule="auto"/>
        <w:ind w:hanging="76"/>
        <w:jc w:val="both"/>
        <w:rPr>
          <w:rFonts w:ascii="Arial" w:hAnsi="Arial" w:cs="Arial"/>
          <w:sz w:val="24"/>
          <w:szCs w:val="24"/>
          <w:lang w:val="en-US"/>
        </w:rPr>
      </w:pPr>
      <w:r>
        <w:rPr>
          <w:rFonts w:ascii="Arial" w:hAnsi="Arial" w:cs="Arial"/>
          <w:sz w:val="24"/>
          <w:szCs w:val="24"/>
        </w:rPr>
        <w:t>C</w:t>
      </w:r>
      <w:r w:rsidRPr="00D443F5">
        <w:rPr>
          <w:rFonts w:ascii="Arial" w:hAnsi="Arial" w:cs="Arial"/>
          <w:sz w:val="24"/>
          <w:szCs w:val="24"/>
        </w:rPr>
        <w:t xml:space="preserve">órdova Izquierdo Alejandro, Córdova M. Silvia, Córdova Jiménez C. Alejandro, Pérez Gutiérrez José y Martín Rillo Santiago. Congelación de semen de verraco en dos tipos de pajillas y capacidad fecundante in vitro de los espermatozoides. </w:t>
      </w:r>
      <w:r w:rsidRPr="00EF1C88">
        <w:rPr>
          <w:rFonts w:ascii="Arial" w:hAnsi="Arial" w:cs="Arial"/>
          <w:sz w:val="24"/>
          <w:szCs w:val="24"/>
          <w:lang w:val="en-US"/>
        </w:rPr>
        <w:t>Ciencia Ergo Sum 12 (3): 271-274 (2005).</w:t>
      </w:r>
    </w:p>
    <w:p w:rsidR="00CB0978" w:rsidRPr="00EF1C88" w:rsidRDefault="00CB0978" w:rsidP="00CB0978">
      <w:pPr>
        <w:spacing w:line="276" w:lineRule="auto"/>
        <w:jc w:val="both"/>
        <w:rPr>
          <w:rFonts w:ascii="Arial" w:hAnsi="Arial" w:cs="Arial"/>
          <w:sz w:val="24"/>
          <w:szCs w:val="24"/>
        </w:rPr>
      </w:pPr>
      <w:r>
        <w:rPr>
          <w:rFonts w:ascii="Arial" w:hAnsi="Arial" w:cs="Arial"/>
          <w:sz w:val="24"/>
          <w:szCs w:val="24"/>
          <w:lang w:val="en-US"/>
        </w:rPr>
        <w:t>C</w:t>
      </w:r>
      <w:r w:rsidRPr="00D443F5">
        <w:rPr>
          <w:rFonts w:ascii="Arial" w:hAnsi="Arial" w:cs="Arial"/>
          <w:sz w:val="24"/>
          <w:szCs w:val="24"/>
          <w:lang w:val="en-US"/>
        </w:rPr>
        <w:t xml:space="preserve">órdova Izquierdo A., Oliva J.H., Lleó B., García Artiga C., Corcuera B.D. y Pérez Gutiérrez J.F. Effect of different thawing temperaturas on the viability, in vitro fertilizing capacity and chromatin condensation of frozen boar semen packaged in 5 ml straws. </w:t>
      </w:r>
      <w:r w:rsidRPr="00EF1C88">
        <w:rPr>
          <w:rFonts w:ascii="Arial" w:hAnsi="Arial" w:cs="Arial"/>
          <w:sz w:val="24"/>
          <w:szCs w:val="24"/>
        </w:rPr>
        <w:t>Animal Reproduction Science 92: 145-154 (2006).</w:t>
      </w:r>
    </w:p>
    <w:p w:rsidR="00CB0978" w:rsidRPr="00D443F5" w:rsidRDefault="00CB0978" w:rsidP="00CB0978">
      <w:pPr>
        <w:spacing w:line="276" w:lineRule="auto"/>
        <w:jc w:val="both"/>
        <w:rPr>
          <w:rFonts w:ascii="Arial" w:hAnsi="Arial" w:cs="Arial"/>
          <w:sz w:val="24"/>
          <w:szCs w:val="24"/>
        </w:rPr>
      </w:pPr>
      <w:r>
        <w:rPr>
          <w:rFonts w:ascii="Arial" w:hAnsi="Arial" w:cs="Arial"/>
          <w:sz w:val="24"/>
          <w:szCs w:val="24"/>
        </w:rPr>
        <w:t>C</w:t>
      </w:r>
      <w:r w:rsidRPr="00D443F5">
        <w:rPr>
          <w:rFonts w:ascii="Arial" w:hAnsi="Arial" w:cs="Arial"/>
          <w:sz w:val="24"/>
          <w:szCs w:val="24"/>
        </w:rPr>
        <w:t xml:space="preserve">órdova Izquierdo A., Pérez Gutiérrez J. F., Méndez Hernández W., Villa Mancera A. E. y Huerta Crispín R. Obtención, evaluación y manipulación del semen de verraco en una unidad de producción mexicana. Rev. Vet. </w:t>
      </w:r>
      <w:r>
        <w:rPr>
          <w:rFonts w:ascii="Arial" w:hAnsi="Arial" w:cs="Arial"/>
          <w:sz w:val="24"/>
          <w:szCs w:val="24"/>
        </w:rPr>
        <w:t>26(1): 69-74 (2015).</w:t>
      </w:r>
    </w:p>
    <w:p w:rsidR="00CB0978" w:rsidRPr="00D443F5" w:rsidRDefault="00CB0978" w:rsidP="00CB0978">
      <w:pPr>
        <w:spacing w:line="276" w:lineRule="auto"/>
        <w:jc w:val="both"/>
        <w:rPr>
          <w:rFonts w:ascii="Arial" w:hAnsi="Arial" w:cs="Arial"/>
          <w:sz w:val="24"/>
          <w:szCs w:val="24"/>
        </w:rPr>
      </w:pPr>
      <w:r>
        <w:rPr>
          <w:rFonts w:ascii="Arial" w:hAnsi="Arial" w:cs="Arial"/>
          <w:sz w:val="24"/>
          <w:szCs w:val="24"/>
        </w:rPr>
        <w:t>C</w:t>
      </w:r>
      <w:r w:rsidRPr="00D443F5">
        <w:rPr>
          <w:rFonts w:ascii="Arial" w:hAnsi="Arial" w:cs="Arial"/>
          <w:sz w:val="24"/>
          <w:szCs w:val="24"/>
        </w:rPr>
        <w:t>órdova Izquierdo Alejandro, Torres Trejo Diego Isaías, Iglesias Reyes Adrian Emmanuel, Guerra Liera Juan Eulogio, Huerta Crispín Rubén, Villa Mancera Abel E., Ruíz Lang Gustavo, Espinosa Cervantes Román, Juárez Mosqueda Ma. De Lourdes y Sánchez Aparicio Pedro. Valoración reproductiva del toro. Ganadero 45 (1): 78-88</w:t>
      </w:r>
      <w:r>
        <w:rPr>
          <w:rFonts w:ascii="Arial" w:hAnsi="Arial" w:cs="Arial"/>
          <w:sz w:val="24"/>
          <w:szCs w:val="24"/>
        </w:rPr>
        <w:t xml:space="preserve"> (2019).</w:t>
      </w:r>
    </w:p>
    <w:p w:rsidR="00CB0978" w:rsidRPr="00D443F5" w:rsidRDefault="00CB0978" w:rsidP="00CB0978">
      <w:pPr>
        <w:spacing w:line="276" w:lineRule="auto"/>
        <w:jc w:val="both"/>
        <w:rPr>
          <w:rFonts w:ascii="Arial" w:hAnsi="Arial" w:cs="Arial"/>
          <w:sz w:val="24"/>
          <w:szCs w:val="24"/>
          <w:lang w:val="en-US"/>
        </w:rPr>
      </w:pPr>
      <w:r>
        <w:rPr>
          <w:rFonts w:ascii="Arial" w:hAnsi="Arial" w:cs="Arial"/>
          <w:sz w:val="24"/>
          <w:szCs w:val="24"/>
        </w:rPr>
        <w:t>G</w:t>
      </w:r>
      <w:r w:rsidRPr="00D443F5">
        <w:rPr>
          <w:rFonts w:ascii="Arial" w:hAnsi="Arial" w:cs="Arial"/>
          <w:sz w:val="24"/>
          <w:szCs w:val="24"/>
        </w:rPr>
        <w:t xml:space="preserve">utiérrez Pérez Oscar, Juárez Mosqueda María de Lourdes, Uribe Carvajal Salvador y Trujillo Ortega María Elena. </w:t>
      </w:r>
      <w:r w:rsidRPr="00D443F5">
        <w:rPr>
          <w:rFonts w:ascii="Arial" w:hAnsi="Arial" w:cs="Arial"/>
          <w:sz w:val="24"/>
          <w:szCs w:val="24"/>
          <w:lang w:val="en-US"/>
        </w:rPr>
        <w:t xml:space="preserve">Boar spermatozoa cryopreservation in low glicerol/trehalose enriched freezing media improves celular integrity. Cryobiology </w:t>
      </w:r>
      <w:r>
        <w:rPr>
          <w:rFonts w:ascii="Arial" w:hAnsi="Arial" w:cs="Arial"/>
          <w:sz w:val="24"/>
          <w:szCs w:val="24"/>
          <w:lang w:val="en-US"/>
        </w:rPr>
        <w:t>59: 287-292 (2009).</w:t>
      </w:r>
    </w:p>
    <w:p w:rsidR="00CB0978" w:rsidRPr="00EF1C88" w:rsidRDefault="00CB0978" w:rsidP="00CB0978">
      <w:pPr>
        <w:spacing w:line="276" w:lineRule="auto"/>
        <w:jc w:val="both"/>
        <w:rPr>
          <w:rFonts w:ascii="Arial" w:hAnsi="Arial" w:cs="Arial"/>
          <w:sz w:val="24"/>
          <w:szCs w:val="24"/>
          <w:lang w:val="en-US"/>
        </w:rPr>
      </w:pPr>
      <w:r>
        <w:rPr>
          <w:rFonts w:ascii="Arial" w:hAnsi="Arial" w:cs="Arial"/>
          <w:sz w:val="24"/>
          <w:szCs w:val="24"/>
          <w:lang w:val="en-US"/>
        </w:rPr>
        <w:t>K</w:t>
      </w:r>
      <w:r w:rsidRPr="00D443F5">
        <w:rPr>
          <w:rFonts w:ascii="Arial" w:hAnsi="Arial" w:cs="Arial"/>
          <w:sz w:val="24"/>
          <w:szCs w:val="24"/>
          <w:lang w:val="en-US"/>
        </w:rPr>
        <w:t>ing G. J. y Macpherson J. W. A comparison of two methods for boar semen collection. Journal of Animal Science 36 (3</w:t>
      </w:r>
      <w:r w:rsidRPr="00EF1C88">
        <w:rPr>
          <w:rFonts w:ascii="Arial" w:hAnsi="Arial" w:cs="Arial"/>
          <w:sz w:val="24"/>
          <w:szCs w:val="24"/>
          <w:lang w:val="en-US"/>
        </w:rPr>
        <w:t>): 563-565 (1973).</w:t>
      </w:r>
    </w:p>
    <w:p w:rsidR="00CB0978" w:rsidRPr="00D443F5" w:rsidRDefault="00CB0978" w:rsidP="00CB0978">
      <w:pPr>
        <w:spacing w:line="276" w:lineRule="auto"/>
        <w:jc w:val="both"/>
        <w:rPr>
          <w:rFonts w:ascii="Arial" w:hAnsi="Arial" w:cs="Arial"/>
          <w:sz w:val="24"/>
          <w:szCs w:val="24"/>
        </w:rPr>
      </w:pPr>
      <w:r w:rsidRPr="00776774">
        <w:rPr>
          <w:rFonts w:ascii="Arial" w:hAnsi="Arial" w:cs="Arial"/>
          <w:sz w:val="24"/>
          <w:szCs w:val="24"/>
          <w:lang w:val="en-US"/>
        </w:rPr>
        <w:t xml:space="preserve">Reyes Coto Marco Vinicio y Chung Sun Li. 1994. </w:t>
      </w:r>
      <w:r w:rsidRPr="00D443F5">
        <w:rPr>
          <w:rFonts w:ascii="Arial" w:hAnsi="Arial" w:cs="Arial"/>
          <w:sz w:val="24"/>
          <w:szCs w:val="24"/>
        </w:rPr>
        <w:t xml:space="preserve">Manual de inseminación artificial porcina para pequeños productores. Boletín divulgado No. 118. Ministerio de Agricultura y Ganadería </w:t>
      </w:r>
      <w:r>
        <w:rPr>
          <w:rFonts w:ascii="Arial" w:hAnsi="Arial" w:cs="Arial"/>
          <w:sz w:val="24"/>
          <w:szCs w:val="24"/>
        </w:rPr>
        <w:t>1-11 (1973).</w:t>
      </w:r>
    </w:p>
    <w:p w:rsidR="00CB0978" w:rsidRPr="00D443F5" w:rsidRDefault="00CB0978" w:rsidP="00CB0978">
      <w:pPr>
        <w:spacing w:line="276" w:lineRule="auto"/>
        <w:jc w:val="both"/>
        <w:rPr>
          <w:rFonts w:ascii="Arial" w:hAnsi="Arial" w:cs="Arial"/>
          <w:sz w:val="24"/>
          <w:szCs w:val="24"/>
          <w:lang w:val="en-US"/>
        </w:rPr>
      </w:pPr>
      <w:r>
        <w:rPr>
          <w:rFonts w:ascii="Arial" w:hAnsi="Arial" w:cs="Arial"/>
          <w:sz w:val="24"/>
          <w:szCs w:val="24"/>
        </w:rPr>
        <w:lastRenderedPageBreak/>
        <w:t>R</w:t>
      </w:r>
      <w:r w:rsidRPr="00D443F5">
        <w:rPr>
          <w:rFonts w:ascii="Arial" w:hAnsi="Arial" w:cs="Arial"/>
          <w:sz w:val="24"/>
          <w:szCs w:val="24"/>
        </w:rPr>
        <w:t xml:space="preserve">odríguez M y Nivia A. Efecto de la adición de antioxidantes sobre la motilidad espermática post-criopreservación y fertilidad del semen de peces. </w:t>
      </w:r>
      <w:r w:rsidRPr="00D443F5">
        <w:rPr>
          <w:rFonts w:ascii="Arial" w:hAnsi="Arial" w:cs="Arial"/>
          <w:sz w:val="24"/>
          <w:szCs w:val="24"/>
          <w:lang w:val="en-US"/>
        </w:rPr>
        <w:t xml:space="preserve">Rev vet </w:t>
      </w:r>
      <w:r>
        <w:rPr>
          <w:rFonts w:ascii="Arial" w:hAnsi="Arial" w:cs="Arial"/>
          <w:sz w:val="24"/>
          <w:szCs w:val="24"/>
          <w:lang w:val="en-US"/>
        </w:rPr>
        <w:t>28 (2): 157-164 (2017 (2017).</w:t>
      </w:r>
    </w:p>
    <w:p w:rsidR="00CB0978" w:rsidRPr="00D443F5" w:rsidRDefault="00CB0978" w:rsidP="00CB0978">
      <w:pPr>
        <w:spacing w:line="276" w:lineRule="auto"/>
        <w:jc w:val="both"/>
        <w:rPr>
          <w:rFonts w:ascii="Arial" w:hAnsi="Arial" w:cs="Arial"/>
          <w:sz w:val="24"/>
          <w:szCs w:val="24"/>
        </w:rPr>
      </w:pPr>
      <w:r w:rsidRPr="00D443F5">
        <w:rPr>
          <w:rFonts w:ascii="Arial" w:hAnsi="Arial" w:cs="Arial"/>
          <w:sz w:val="24"/>
          <w:szCs w:val="24"/>
          <w:lang w:val="en-US"/>
        </w:rPr>
        <w:t xml:space="preserve">westendorf P., Richeter L. y Treu H. Zur tiefgefrierung von ebersperma Laborund Besamungsergebnisse mit dem Hulsengerger Pailletten-Verfahren. </w:t>
      </w:r>
      <w:r w:rsidRPr="00EF1C88">
        <w:rPr>
          <w:rFonts w:ascii="Arial" w:hAnsi="Arial" w:cs="Arial"/>
          <w:sz w:val="24"/>
          <w:szCs w:val="24"/>
        </w:rPr>
        <w:t xml:space="preserve">Dtsch. Terarztl. </w:t>
      </w:r>
      <w:r w:rsidRPr="00D443F5">
        <w:rPr>
          <w:rFonts w:ascii="Arial" w:hAnsi="Arial" w:cs="Arial"/>
          <w:sz w:val="24"/>
          <w:szCs w:val="24"/>
        </w:rPr>
        <w:t xml:space="preserve">Wschr </w:t>
      </w:r>
      <w:r>
        <w:rPr>
          <w:rFonts w:ascii="Arial" w:hAnsi="Arial" w:cs="Arial"/>
          <w:sz w:val="24"/>
          <w:szCs w:val="24"/>
        </w:rPr>
        <w:t>82: 261-300 (1975).</w:t>
      </w:r>
    </w:p>
    <w:p w:rsidR="00CB0978" w:rsidRPr="00D443F5" w:rsidRDefault="00CB0978" w:rsidP="00CB0978">
      <w:pPr>
        <w:spacing w:line="276" w:lineRule="auto"/>
        <w:jc w:val="both"/>
        <w:rPr>
          <w:rFonts w:ascii="Arial" w:hAnsi="Arial" w:cs="Arial"/>
          <w:sz w:val="24"/>
          <w:szCs w:val="24"/>
        </w:rPr>
      </w:pPr>
      <w:r>
        <w:rPr>
          <w:rFonts w:ascii="Arial" w:hAnsi="Arial" w:cs="Arial"/>
          <w:sz w:val="24"/>
          <w:szCs w:val="24"/>
        </w:rPr>
        <w:t>W</w:t>
      </w:r>
      <w:r w:rsidRPr="00D443F5">
        <w:rPr>
          <w:rFonts w:ascii="Arial" w:hAnsi="Arial" w:cs="Arial"/>
          <w:sz w:val="24"/>
          <w:szCs w:val="24"/>
        </w:rPr>
        <w:t xml:space="preserve">illiams S., Fernández V., Gavazza M., Marmunti M, Zeinsteger P y Prenna G. Congelación se semen porcino: resultados y avances en la técnica. ANALECTA VET </w:t>
      </w:r>
      <w:r>
        <w:rPr>
          <w:rFonts w:ascii="Arial" w:hAnsi="Arial" w:cs="Arial"/>
          <w:sz w:val="24"/>
          <w:szCs w:val="24"/>
        </w:rPr>
        <w:t>3 (1): 17-25 (</w:t>
      </w:r>
      <w:r w:rsidRPr="00C932A6">
        <w:rPr>
          <w:rFonts w:ascii="Arial" w:hAnsi="Arial" w:cs="Arial"/>
          <w:sz w:val="24"/>
          <w:szCs w:val="24"/>
          <w:lang w:val="es-MX"/>
        </w:rPr>
        <w:t>2015).</w:t>
      </w:r>
    </w:p>
    <w:p w:rsidR="003F0296" w:rsidRPr="00C932A6" w:rsidRDefault="003F0296" w:rsidP="0049551D">
      <w:pPr>
        <w:rPr>
          <w:lang w:val="es-MX"/>
        </w:rPr>
      </w:pPr>
    </w:p>
    <w:p w:rsidR="00C932A6" w:rsidRPr="001D5FD9" w:rsidRDefault="00C932A6" w:rsidP="001D5FD9">
      <w:pPr>
        <w:pStyle w:val="1Titulo"/>
        <w:numPr>
          <w:ilvl w:val="0"/>
          <w:numId w:val="0"/>
        </w:numPr>
        <w:ind w:left="357"/>
        <w:jc w:val="center"/>
        <w:rPr>
          <w:sz w:val="28"/>
          <w:szCs w:val="28"/>
        </w:rPr>
      </w:pPr>
      <w:bookmarkStart w:id="375" w:name="_Toc50031422"/>
      <w:r w:rsidRPr="001D5FD9">
        <w:rPr>
          <w:sz w:val="28"/>
          <w:szCs w:val="28"/>
        </w:rPr>
        <w:t>Diseño de un material lúdico pedagógico como estrategia metodológica para facilitar el aprendizaje de la tabla periódica (T. P) memorama en la UAM-A</w:t>
      </w:r>
      <w:bookmarkEnd w:id="375"/>
    </w:p>
    <w:p w:rsidR="00C932A6" w:rsidRDefault="00C932A6" w:rsidP="00C932A6">
      <w:pPr>
        <w:rPr>
          <w:color w:val="000000"/>
          <w:sz w:val="28"/>
          <w:szCs w:val="28"/>
        </w:rPr>
      </w:pPr>
    </w:p>
    <w:p w:rsidR="00C932A6" w:rsidRDefault="00C932A6" w:rsidP="00C932A6">
      <w:pPr>
        <w:pStyle w:val="Author"/>
        <w:rPr>
          <w:rFonts w:ascii="Arial" w:hAnsi="Arial" w:cs="Arial"/>
          <w:szCs w:val="24"/>
          <w:lang w:val="es-ES"/>
        </w:rPr>
      </w:pPr>
    </w:p>
    <w:p w:rsidR="00C932A6" w:rsidRDefault="00C932A6" w:rsidP="00C932A6">
      <w:pPr>
        <w:pStyle w:val="Author"/>
        <w:rPr>
          <w:rFonts w:ascii="Arial" w:hAnsi="Arial" w:cs="Arial"/>
          <w:szCs w:val="24"/>
          <w:vertAlign w:val="superscript"/>
          <w:lang w:val="es-ES"/>
        </w:rPr>
      </w:pPr>
      <w:r>
        <w:rPr>
          <w:rFonts w:ascii="Arial" w:hAnsi="Arial" w:cs="Arial"/>
          <w:szCs w:val="24"/>
          <w:lang w:val="es-ES"/>
        </w:rPr>
        <w:t>Soto, T.M.L.</w:t>
      </w:r>
      <w:r>
        <w:rPr>
          <w:rFonts w:ascii="Arial" w:hAnsi="Arial" w:cs="Arial"/>
          <w:szCs w:val="24"/>
          <w:vertAlign w:val="superscript"/>
          <w:lang w:val="es-ES"/>
        </w:rPr>
        <w:t>1</w:t>
      </w:r>
      <w:r>
        <w:rPr>
          <w:rFonts w:ascii="Arial" w:hAnsi="Arial" w:cs="Arial"/>
          <w:szCs w:val="24"/>
          <w:lang w:val="es-ES"/>
        </w:rPr>
        <w:t>; Chávez, M.M.</w:t>
      </w:r>
      <w:r>
        <w:rPr>
          <w:rFonts w:ascii="Arial" w:hAnsi="Arial" w:cs="Arial"/>
          <w:szCs w:val="24"/>
          <w:vertAlign w:val="superscript"/>
          <w:lang w:val="es-ES"/>
        </w:rPr>
        <w:t>1</w:t>
      </w:r>
      <w:r>
        <w:rPr>
          <w:rFonts w:ascii="Arial" w:hAnsi="Arial" w:cs="Arial"/>
          <w:szCs w:val="24"/>
          <w:lang w:val="es-ES"/>
        </w:rPr>
        <w:t>; Fernández, S.L.</w:t>
      </w:r>
      <w:r>
        <w:rPr>
          <w:rFonts w:ascii="Arial" w:hAnsi="Arial" w:cs="Arial"/>
          <w:szCs w:val="24"/>
          <w:vertAlign w:val="superscript"/>
          <w:lang w:val="es-ES"/>
        </w:rPr>
        <w:t>1</w:t>
      </w:r>
      <w:r>
        <w:rPr>
          <w:rFonts w:ascii="Arial" w:hAnsi="Arial" w:cs="Arial"/>
          <w:szCs w:val="24"/>
          <w:lang w:val="es-ES"/>
        </w:rPr>
        <w:t>; Hernández, M.L.</w:t>
      </w:r>
      <w:r>
        <w:rPr>
          <w:rFonts w:ascii="Arial" w:hAnsi="Arial" w:cs="Arial"/>
          <w:szCs w:val="24"/>
          <w:vertAlign w:val="superscript"/>
          <w:lang w:val="es-ES"/>
        </w:rPr>
        <w:t>1</w:t>
      </w:r>
      <w:r>
        <w:rPr>
          <w:rFonts w:ascii="Arial" w:hAnsi="Arial" w:cs="Arial"/>
          <w:szCs w:val="24"/>
          <w:lang w:val="es-ES"/>
        </w:rPr>
        <w:t>; Méndez R.J.</w:t>
      </w:r>
      <w:r>
        <w:rPr>
          <w:rFonts w:ascii="Arial" w:hAnsi="Arial" w:cs="Arial"/>
          <w:szCs w:val="24"/>
          <w:vertAlign w:val="superscript"/>
          <w:lang w:val="es-ES"/>
        </w:rPr>
        <w:t>1</w:t>
      </w:r>
      <w:r>
        <w:rPr>
          <w:rFonts w:ascii="Arial" w:hAnsi="Arial" w:cs="Arial"/>
          <w:szCs w:val="24"/>
          <w:lang w:val="es-ES"/>
        </w:rPr>
        <w:t>; Aguilar, G.L.F.</w:t>
      </w:r>
      <w:r>
        <w:rPr>
          <w:rFonts w:ascii="Arial" w:hAnsi="Arial" w:cs="Arial"/>
          <w:szCs w:val="24"/>
          <w:vertAlign w:val="superscript"/>
          <w:lang w:val="es-ES"/>
        </w:rPr>
        <w:t>1</w:t>
      </w:r>
      <w:r>
        <w:rPr>
          <w:rFonts w:ascii="Arial" w:hAnsi="Arial" w:cs="Arial"/>
          <w:szCs w:val="24"/>
          <w:lang w:val="es-ES"/>
        </w:rPr>
        <w:t>; Villagomez, P.M.A.</w:t>
      </w:r>
      <w:r>
        <w:rPr>
          <w:rFonts w:ascii="Arial" w:hAnsi="Arial" w:cs="Arial"/>
          <w:szCs w:val="24"/>
          <w:vertAlign w:val="superscript"/>
          <w:lang w:val="es-ES"/>
        </w:rPr>
        <w:t>1</w:t>
      </w:r>
    </w:p>
    <w:p w:rsidR="00C932A6" w:rsidRPr="00C214DA" w:rsidRDefault="00C932A6" w:rsidP="00C932A6">
      <w:pPr>
        <w:pStyle w:val="Author"/>
        <w:rPr>
          <w:rFonts w:ascii="Arial" w:hAnsi="Arial" w:cs="Arial"/>
          <w:szCs w:val="24"/>
          <w:lang w:val="es-ES"/>
        </w:rPr>
      </w:pPr>
    </w:p>
    <w:p w:rsidR="00C932A6" w:rsidRDefault="00C932A6" w:rsidP="00C932A6">
      <w:pPr>
        <w:pStyle w:val="affiliation"/>
        <w:rPr>
          <w:rFonts w:ascii="Arial" w:hAnsi="Arial" w:cs="Arial"/>
          <w:sz w:val="24"/>
          <w:szCs w:val="24"/>
          <w:lang w:val="es-MX"/>
        </w:rPr>
      </w:pPr>
      <w:r w:rsidRPr="00C214DA">
        <w:rPr>
          <w:rFonts w:ascii="Arial" w:hAnsi="Arial" w:cs="Arial"/>
          <w:sz w:val="24"/>
          <w:szCs w:val="24"/>
          <w:vertAlign w:val="superscript"/>
          <w:lang w:val="es-MX"/>
        </w:rPr>
        <w:t>1</w:t>
      </w:r>
      <w:r w:rsidRPr="00C214DA">
        <w:rPr>
          <w:rFonts w:ascii="Arial" w:hAnsi="Arial" w:cs="Arial"/>
          <w:sz w:val="24"/>
          <w:szCs w:val="24"/>
          <w:lang w:val="es-MX"/>
        </w:rPr>
        <w:t>Universidad Autónoma Metropolitana Azcapotzalco (UAM-A) – División de Ciencias Básicas e Ingeniería. Departamento de Ciencias Básicas e Ingeniería- Área de Química.</w:t>
      </w:r>
    </w:p>
    <w:p w:rsidR="00C932A6" w:rsidRDefault="00C932A6" w:rsidP="00C932A6">
      <w:pPr>
        <w:pStyle w:val="affiliation"/>
        <w:rPr>
          <w:rFonts w:ascii="Arial" w:hAnsi="Arial" w:cs="Arial"/>
          <w:sz w:val="24"/>
          <w:szCs w:val="24"/>
          <w:lang w:val="es-MX"/>
        </w:rPr>
      </w:pPr>
    </w:p>
    <w:p w:rsidR="00C932A6" w:rsidRPr="004A01BB" w:rsidRDefault="001345E4" w:rsidP="00C932A6">
      <w:pPr>
        <w:pStyle w:val="affiliation"/>
        <w:rPr>
          <w:rStyle w:val="Hipervnculo"/>
          <w:rFonts w:ascii="Arial" w:hAnsi="Arial" w:cs="Arial"/>
          <w:color w:val="0D0D0D" w:themeColor="text1" w:themeTint="F2"/>
          <w:spacing w:val="5"/>
          <w:sz w:val="24"/>
          <w:szCs w:val="24"/>
          <w:lang w:val="es-MX"/>
        </w:rPr>
      </w:pPr>
      <w:hyperlink r:id="rId1252" w:history="1">
        <w:r w:rsidR="00C932A6" w:rsidRPr="00C214DA">
          <w:rPr>
            <w:rStyle w:val="Hipervnculo"/>
            <w:rFonts w:ascii="Arial" w:hAnsi="Arial" w:cs="Arial"/>
            <w:color w:val="0D0D0D" w:themeColor="text1" w:themeTint="F2"/>
            <w:sz w:val="24"/>
            <w:szCs w:val="24"/>
            <w:lang w:val="es-MX"/>
          </w:rPr>
          <w:t>mlst@azc.uam.mx</w:t>
        </w:r>
      </w:hyperlink>
      <w:r w:rsidR="00C932A6" w:rsidRPr="00C214DA">
        <w:rPr>
          <w:rFonts w:ascii="Arial" w:hAnsi="Arial" w:cs="Arial"/>
          <w:color w:val="0D0D0D" w:themeColor="text1" w:themeTint="F2"/>
          <w:sz w:val="24"/>
          <w:szCs w:val="24"/>
          <w:lang w:val="es-MX"/>
        </w:rPr>
        <w:t xml:space="preserve">, </w:t>
      </w:r>
      <w:hyperlink r:id="rId1253" w:history="1">
        <w:r w:rsidR="00C932A6" w:rsidRPr="00C214DA">
          <w:rPr>
            <w:rStyle w:val="Hipervnculo"/>
            <w:rFonts w:ascii="Arial" w:hAnsi="Arial" w:cs="Arial"/>
            <w:color w:val="0D0D0D" w:themeColor="text1" w:themeTint="F2"/>
            <w:sz w:val="24"/>
            <w:szCs w:val="24"/>
            <w:lang w:val="es-MX"/>
          </w:rPr>
          <w:t>mcm@azc.uam.mx</w:t>
        </w:r>
      </w:hyperlink>
      <w:r w:rsidR="00C932A6" w:rsidRPr="00C214DA">
        <w:rPr>
          <w:rFonts w:ascii="Arial" w:hAnsi="Arial" w:cs="Arial"/>
          <w:color w:val="0D0D0D" w:themeColor="text1" w:themeTint="F2"/>
          <w:sz w:val="24"/>
          <w:szCs w:val="24"/>
          <w:lang w:val="es-MX"/>
        </w:rPr>
        <w:t xml:space="preserve">, </w:t>
      </w:r>
      <w:hyperlink r:id="rId1254" w:history="1">
        <w:r w:rsidR="00C932A6" w:rsidRPr="00C214DA">
          <w:rPr>
            <w:rStyle w:val="Hipervnculo"/>
            <w:rFonts w:ascii="Arial" w:hAnsi="Arial" w:cs="Arial"/>
            <w:color w:val="0D0D0D" w:themeColor="text1" w:themeTint="F2"/>
            <w:sz w:val="24"/>
            <w:szCs w:val="24"/>
            <w:lang w:val="es-MX"/>
          </w:rPr>
          <w:t>lfs@azc.uam.mx</w:t>
        </w:r>
      </w:hyperlink>
      <w:r w:rsidR="00C932A6" w:rsidRPr="00C214DA">
        <w:rPr>
          <w:rFonts w:ascii="Arial" w:hAnsi="Arial" w:cs="Arial"/>
          <w:color w:val="0D0D0D" w:themeColor="text1" w:themeTint="F2"/>
          <w:sz w:val="24"/>
          <w:szCs w:val="24"/>
          <w:lang w:val="es-MX"/>
        </w:rPr>
        <w:t xml:space="preserve">, </w:t>
      </w:r>
      <w:hyperlink r:id="rId1255" w:history="1">
        <w:r w:rsidR="00C932A6" w:rsidRPr="00C214DA">
          <w:rPr>
            <w:rStyle w:val="Hipervnculo"/>
            <w:rFonts w:ascii="Arial" w:hAnsi="Arial" w:cs="Arial"/>
            <w:color w:val="0D0D0D" w:themeColor="text1" w:themeTint="F2"/>
            <w:sz w:val="24"/>
            <w:szCs w:val="24"/>
            <w:lang w:val="es-MX"/>
          </w:rPr>
          <w:t>lhm@azc.uam.mx</w:t>
        </w:r>
      </w:hyperlink>
      <w:r w:rsidR="00C932A6" w:rsidRPr="00C214DA">
        <w:rPr>
          <w:rFonts w:ascii="Arial" w:hAnsi="Arial" w:cs="Arial"/>
          <w:color w:val="0D0D0D" w:themeColor="text1" w:themeTint="F2"/>
          <w:sz w:val="24"/>
          <w:szCs w:val="24"/>
          <w:lang w:val="es-MX"/>
        </w:rPr>
        <w:t xml:space="preserve">, </w:t>
      </w:r>
      <w:hyperlink r:id="rId1256" w:history="1">
        <w:r w:rsidR="00C932A6" w:rsidRPr="00C214DA">
          <w:rPr>
            <w:rStyle w:val="Hipervnculo"/>
            <w:rFonts w:ascii="Arial" w:hAnsi="Arial" w:cs="Arial"/>
            <w:color w:val="0D0D0D" w:themeColor="text1" w:themeTint="F2"/>
            <w:sz w:val="24"/>
            <w:szCs w:val="24"/>
            <w:lang w:val="es-MX"/>
          </w:rPr>
          <w:t>yisus_mr@hotmail.com</w:t>
        </w:r>
      </w:hyperlink>
      <w:r w:rsidR="00C932A6" w:rsidRPr="00C214DA">
        <w:rPr>
          <w:rFonts w:ascii="Arial" w:hAnsi="Arial" w:cs="Arial"/>
          <w:color w:val="0D0D0D" w:themeColor="text1" w:themeTint="F2"/>
          <w:sz w:val="24"/>
          <w:szCs w:val="24"/>
          <w:lang w:val="es-MX"/>
        </w:rPr>
        <w:t xml:space="preserve">, </w:t>
      </w:r>
      <w:hyperlink r:id="rId1257" w:history="1">
        <w:r w:rsidR="00C932A6" w:rsidRPr="00C214DA">
          <w:rPr>
            <w:rStyle w:val="Hipervnculo"/>
            <w:rFonts w:ascii="Arial" w:hAnsi="Arial" w:cs="Arial"/>
            <w:color w:val="0D0D0D" w:themeColor="text1" w:themeTint="F2"/>
            <w:spacing w:val="3"/>
            <w:sz w:val="24"/>
            <w:szCs w:val="24"/>
            <w:lang w:val="es-MX"/>
          </w:rPr>
          <w:t>lfag@azc.uam.mx</w:t>
        </w:r>
      </w:hyperlink>
      <w:r w:rsidR="00C932A6" w:rsidRPr="00C214DA">
        <w:rPr>
          <w:rFonts w:ascii="Arial" w:hAnsi="Arial" w:cs="Arial"/>
          <w:color w:val="0D0D0D" w:themeColor="text1" w:themeTint="F2"/>
          <w:spacing w:val="3"/>
          <w:sz w:val="24"/>
          <w:szCs w:val="24"/>
          <w:lang w:val="es-MX"/>
        </w:rPr>
        <w:t xml:space="preserve">, </w:t>
      </w:r>
      <w:hyperlink r:id="rId1258" w:history="1">
        <w:r w:rsidR="00C932A6" w:rsidRPr="00C214DA">
          <w:rPr>
            <w:rStyle w:val="Hipervnculo"/>
            <w:rFonts w:ascii="Arial" w:hAnsi="Arial" w:cs="Arial"/>
            <w:color w:val="0D0D0D" w:themeColor="text1" w:themeTint="F2"/>
            <w:spacing w:val="5"/>
            <w:sz w:val="24"/>
            <w:szCs w:val="24"/>
            <w:lang w:val="es-MX"/>
          </w:rPr>
          <w:t>mario@24cero5.com</w:t>
        </w:r>
      </w:hyperlink>
    </w:p>
    <w:p w:rsidR="00C932A6" w:rsidRPr="004A01BB" w:rsidRDefault="00C932A6" w:rsidP="00C932A6">
      <w:pPr>
        <w:pStyle w:val="affiliation"/>
        <w:rPr>
          <w:rStyle w:val="Hipervnculo"/>
          <w:rFonts w:ascii="Arial" w:hAnsi="Arial" w:cs="Arial"/>
          <w:color w:val="0D0D0D" w:themeColor="text1" w:themeTint="F2"/>
          <w:spacing w:val="5"/>
          <w:sz w:val="24"/>
          <w:szCs w:val="24"/>
          <w:lang w:val="es-MX"/>
        </w:rPr>
      </w:pPr>
    </w:p>
    <w:p w:rsidR="00C932A6" w:rsidRPr="00C214DA" w:rsidRDefault="00C932A6" w:rsidP="00C932A6">
      <w:pPr>
        <w:pStyle w:val="affiliation"/>
        <w:rPr>
          <w:rFonts w:ascii="Arial" w:hAnsi="Arial" w:cs="Arial"/>
          <w:color w:val="0D0D0D" w:themeColor="text1" w:themeTint="F2"/>
          <w:sz w:val="24"/>
          <w:szCs w:val="24"/>
          <w:vertAlign w:val="superscript"/>
          <w:lang w:val="es-ES"/>
        </w:rPr>
      </w:pPr>
    </w:p>
    <w:p w:rsidR="00C932A6" w:rsidRPr="001D5FD9" w:rsidRDefault="00C932A6" w:rsidP="00C932A6">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olor w:val="000000"/>
          <w:sz w:val="24"/>
          <w:szCs w:val="24"/>
        </w:rPr>
      </w:pPr>
      <w:bookmarkStart w:id="376" w:name="_Toc50031423"/>
      <w:r w:rsidRPr="001D5FD9">
        <w:rPr>
          <w:rFonts w:ascii="Arial" w:hAnsi="Arial" w:cs="Arial"/>
          <w:caps/>
          <w:sz w:val="24"/>
          <w:szCs w:val="24"/>
        </w:rPr>
        <w:t>1. R</w:t>
      </w:r>
      <w:r w:rsidRPr="001D5FD9">
        <w:rPr>
          <w:rFonts w:ascii="Arial" w:hAnsi="Arial" w:cs="Arial"/>
          <w:sz w:val="24"/>
          <w:szCs w:val="24"/>
        </w:rPr>
        <w:t>esumen</w:t>
      </w:r>
      <w:bookmarkEnd w:id="376"/>
      <w:r w:rsidRPr="001D5FD9">
        <w:rPr>
          <w:rFonts w:ascii="Arial" w:hAnsi="Arial" w:cs="Arial"/>
          <w:caps/>
          <w:sz w:val="24"/>
          <w:szCs w:val="24"/>
        </w:rPr>
        <w:t xml:space="preserve"> </w:t>
      </w:r>
    </w:p>
    <w:p w:rsidR="00C932A6" w:rsidRDefault="00C932A6" w:rsidP="00C932A6">
      <w:pPr>
        <w:jc w:val="both"/>
        <w:rPr>
          <w:rFonts w:ascii="Arial" w:hAnsi="Arial" w:cs="Arial"/>
        </w:rPr>
      </w:pPr>
      <w:r>
        <w:rPr>
          <w:rFonts w:ascii="Arial" w:hAnsi="Arial" w:cs="Arial"/>
          <w:color w:val="000000"/>
        </w:rPr>
        <w:t>E</w:t>
      </w:r>
      <w:r>
        <w:rPr>
          <w:rFonts w:ascii="Arial" w:hAnsi="Arial" w:cs="Arial"/>
        </w:rPr>
        <w:t xml:space="preserve">n este trabajo se presentarán los resultados finales de la elaboración de un material didáctico, el cual tiene como objetivo la enseñanza de la tabla periódica (herramienta fundamental en cualquier ingeniería) de una manera diferente que le permita a los alumnos retener la información necesaria </w:t>
      </w:r>
      <w:r>
        <w:rPr>
          <w:rFonts w:ascii="Arial" w:hAnsi="Arial" w:cs="Arial"/>
        </w:rPr>
        <w:lastRenderedPageBreak/>
        <w:t>que contiene dicha herramienta.</w:t>
      </w:r>
      <w:r>
        <w:rPr>
          <w:rFonts w:ascii="Arial" w:hAnsi="Arial" w:cs="Arial"/>
        </w:rPr>
        <w:br/>
      </w:r>
      <w:r>
        <w:rPr>
          <w:rFonts w:ascii="Arial" w:hAnsi="Arial" w:cs="Arial"/>
        </w:rPr>
        <w:br/>
        <w:t xml:space="preserve">Con este material didáctico se espera que los alumnos de ingeniería puedan retener la información que contiene la tabla periódica, de forma que se les faciliten los conocimientos necesarios para utilizarla durante su carrera, ya que es un tema esencial en la enseñanza de la química. </w:t>
      </w:r>
      <w:r>
        <w:rPr>
          <w:rFonts w:ascii="Arial" w:hAnsi="Arial" w:cs="Arial"/>
        </w:rPr>
        <w:br/>
      </w:r>
      <w:r>
        <w:rPr>
          <w:rFonts w:ascii="Arial" w:hAnsi="Arial" w:cs="Arial"/>
        </w:rPr>
        <w:br/>
        <w:t xml:space="preserve">Cada ficha tiene información de los elementos químicos (Símbolo, nombre, número atómico, configuración electrónica, estado de oxidación, ubicación, entre otros datos). Los resultados esperados es que los alumnos obtengan los conocimientos de una manera dinámica y objetiva. </w:t>
      </w:r>
    </w:p>
    <w:p w:rsidR="00C932A6" w:rsidRDefault="00C932A6" w:rsidP="00C932A6">
      <w:pPr>
        <w:jc w:val="both"/>
        <w:rPr>
          <w:rFonts w:ascii="Arial" w:hAnsi="Arial" w:cs="Arial"/>
        </w:rPr>
      </w:pPr>
    </w:p>
    <w:p w:rsidR="00C932A6" w:rsidRDefault="00C932A6" w:rsidP="00C932A6">
      <w:pPr>
        <w:jc w:val="both"/>
        <w:rPr>
          <w:rFonts w:ascii="Arial" w:hAnsi="Arial" w:cs="Arial"/>
        </w:rPr>
      </w:pPr>
    </w:p>
    <w:p w:rsidR="00C932A6" w:rsidRPr="001D5FD9" w:rsidRDefault="00C932A6" w:rsidP="00C932A6">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aps/>
          <w:sz w:val="24"/>
          <w:szCs w:val="24"/>
        </w:rPr>
      </w:pPr>
      <w:bookmarkStart w:id="377" w:name="_Toc50031424"/>
      <w:r w:rsidRPr="001D5FD9">
        <w:rPr>
          <w:rFonts w:ascii="Arial" w:hAnsi="Arial" w:cs="Arial"/>
          <w:caps/>
          <w:sz w:val="24"/>
          <w:szCs w:val="24"/>
        </w:rPr>
        <w:t>2. I</w:t>
      </w:r>
      <w:r w:rsidRPr="001D5FD9">
        <w:rPr>
          <w:rFonts w:ascii="Arial" w:hAnsi="Arial" w:cs="Arial"/>
          <w:sz w:val="24"/>
          <w:szCs w:val="24"/>
        </w:rPr>
        <w:t>ntroducción</w:t>
      </w:r>
      <w:bookmarkEnd w:id="377"/>
      <w:r w:rsidRPr="001D5FD9">
        <w:rPr>
          <w:rFonts w:ascii="Arial" w:hAnsi="Arial" w:cs="Arial"/>
          <w:caps/>
          <w:sz w:val="24"/>
          <w:szCs w:val="24"/>
        </w:rPr>
        <w:t xml:space="preserve"> </w:t>
      </w:r>
    </w:p>
    <w:p w:rsidR="00C932A6" w:rsidRDefault="00C932A6" w:rsidP="00C932A6">
      <w:pPr>
        <w:jc w:val="both"/>
      </w:pPr>
      <w:r>
        <w:t xml:space="preserve">        </w:t>
      </w:r>
    </w:p>
    <w:p w:rsidR="00C932A6" w:rsidRPr="006428DC" w:rsidRDefault="00C932A6" w:rsidP="00C932A6">
      <w:pPr>
        <w:jc w:val="both"/>
      </w:pPr>
      <w:r w:rsidRPr="006428DC">
        <w:rPr>
          <w:rFonts w:ascii="Arial" w:hAnsi="Arial" w:cs="Arial"/>
        </w:rPr>
        <w:t xml:space="preserve">Este trabajo está enfocado en la elaboración de un memorama con información que contiene la tabla periódica de los elementos químicos, material didáctico que se implementará en cursos de química básica experimental para que los alumnos adquieran conocimientos físicos y químicos de los elementos que la conforman. </w:t>
      </w:r>
      <w:r>
        <w:br/>
      </w:r>
      <w:r>
        <w:br/>
      </w:r>
      <w:r w:rsidRPr="006428DC">
        <w:rPr>
          <w:rFonts w:ascii="Arial" w:hAnsi="Arial" w:cs="Arial"/>
        </w:rPr>
        <w:t xml:space="preserve">El buscar nuevas estrategias de aprendizaje así como adaptar diversos materiales didácticos dentro de la enseñanza de temas fundamentales, tiene como objetivo promover ambientes educativos diferentes, así como la integración del grupo y el empleo de valores como trabajo en equipo, respeto, tolerancia, entre otros, los cuales, en la actualidad son importantes para el buen desarrollo laboral. </w:t>
      </w:r>
      <w:r>
        <w:br/>
      </w:r>
      <w:r w:rsidRPr="006428DC">
        <w:rPr>
          <w:rFonts w:ascii="Arial" w:hAnsi="Arial" w:cs="Arial"/>
        </w:rPr>
        <w:t>Un memorama es un juego de mesa conformado por pares de cartas, el cual tiene como objetivo, después de combinarlas al azar, encontrar a través de la memoria la pareja correspondiente de la carta elegida. El juego termina cuando ya no hay cartas boca abajo en la mesa; el ganador del juego es aquel jugador que logré obtener mayor cantidad de pares correctos.</w:t>
      </w:r>
      <w:r>
        <w:br/>
      </w:r>
      <w:r>
        <w:br/>
      </w:r>
      <w:r w:rsidRPr="006428DC">
        <w:rPr>
          <w:rFonts w:ascii="Arial" w:hAnsi="Arial" w:cs="Arial"/>
        </w:rPr>
        <w:t xml:space="preserve">Al aplicar este tipo de juego de azar en materias de química, aplicamos a esta rama del conocimiento una forma de aprendizaje más didáctica logrando una memorización ágil y rápida de conceptos en personas que participan en la actividad. </w:t>
      </w:r>
      <w:r>
        <w:br/>
      </w:r>
      <w:r>
        <w:br/>
      </w:r>
      <w:r w:rsidRPr="006428DC">
        <w:rPr>
          <w:rFonts w:ascii="Arial" w:hAnsi="Arial" w:cs="Arial"/>
        </w:rPr>
        <w:t>La tabla periódica es considerada una de las piezas fundamentales en la historia de la química, y es un tema esencial en la enseñanza y el aprendizaje de la ciencia en todos los niveles educativos</w:t>
      </w:r>
      <w:r>
        <w:rPr>
          <w:rFonts w:ascii="Arial" w:hAnsi="Arial" w:cs="Arial"/>
        </w:rPr>
        <w:t xml:space="preserve"> [1]</w:t>
      </w:r>
      <w:r w:rsidRPr="006428DC">
        <w:rPr>
          <w:rFonts w:ascii="Arial" w:hAnsi="Arial" w:cs="Arial"/>
        </w:rPr>
        <w:t xml:space="preserve">. </w:t>
      </w:r>
      <w:r>
        <w:br/>
      </w:r>
      <w:r>
        <w:br/>
      </w:r>
      <w:r w:rsidRPr="006428DC">
        <w:rPr>
          <w:rFonts w:ascii="Arial" w:hAnsi="Arial" w:cs="Arial"/>
        </w:rPr>
        <w:t xml:space="preserve">Se ha demostrado que al estudiar los elementos químicos que se encuentran en la tabla periódica, el aprendizaje de memoria es importante para familiarizar a los estudiantes con ésta, de tal manera que puedan aprender y recordar nombres, símbolos, estados de oxidación, número atómico, configuración electrónica, ubicación y un sin fin de información que podemos encontrar en ella. </w:t>
      </w:r>
      <w:r>
        <w:br/>
      </w:r>
      <w:r>
        <w:br/>
      </w:r>
      <w:r w:rsidRPr="006428DC">
        <w:rPr>
          <w:rFonts w:ascii="Arial" w:hAnsi="Arial" w:cs="Arial"/>
        </w:rPr>
        <w:t xml:space="preserve">El contenido de la tabla periódica llega a ser un problema en el aprendizaje ya que es demasiada </w:t>
      </w:r>
      <w:r w:rsidRPr="006428DC">
        <w:rPr>
          <w:rFonts w:ascii="Arial" w:hAnsi="Arial" w:cs="Arial"/>
        </w:rPr>
        <w:lastRenderedPageBreak/>
        <w:t xml:space="preserve">información que se debe memorizar, esto tiene como resultado el desinterés por parte de los alumnos y no toman la importancia necesaria al tema, es por eso que con la implementación de este material didáctico dentro de las aulas, se espera tener como resultado un mejor aprendizaje de la tabla periódica, además de la participación activa de los alumnos y la mejora del ambiente escolar dentro del aula, ya que se fomenta el trabajo en equipo, el respeto a los demás compañeros, la tolerancia a la frustración, entre otros valores esenciales para el desarrollo humano. </w:t>
      </w:r>
      <w:r>
        <w:br/>
      </w:r>
      <w:r>
        <w:br/>
      </w:r>
      <w:r w:rsidRPr="006428DC">
        <w:rPr>
          <w:rFonts w:ascii="Arial" w:hAnsi="Arial" w:cs="Arial"/>
        </w:rPr>
        <w:t xml:space="preserve">Con el material didáctico que se ha desarrollado, se desarrollará la capacidad de investigación de los alumnos, ya que se presentará la información del elemento y el alumno tendrá que buscar a que elemento es al que se hace referencia. </w:t>
      </w:r>
      <w:r>
        <w:br/>
      </w:r>
      <w:r>
        <w:br/>
      </w:r>
      <w:r w:rsidRPr="006428DC">
        <w:rPr>
          <w:rFonts w:ascii="Arial" w:hAnsi="Arial" w:cs="Arial"/>
        </w:rPr>
        <w:t xml:space="preserve">El uso de este material didáctico permite trabajar en el aula de forma más dinámica y divertida, de esta forma se tendrá un aprendizaje significativo y sólido que se conseguirá al jugar con el material elaborado.  Este juego constituye uno de los instrumentos más valiosos para hacer del aprendizaje de la tabla periódica un proceso más participativo y mejorar la actitud de los alumnos. Con este trabajo, se espera romper con la estructura tradicional de la enseñanza de la química y fomentar el aprendizaje de los elementos químicos, información que los alumnos van a utilizar durante su carrera. </w:t>
      </w:r>
    </w:p>
    <w:p w:rsidR="00C932A6" w:rsidRDefault="00C932A6" w:rsidP="00C932A6">
      <w:pPr>
        <w:jc w:val="both"/>
        <w:rPr>
          <w:rFonts w:ascii="Arial" w:hAnsi="Arial" w:cs="Arial"/>
          <w:color w:val="000000"/>
        </w:rPr>
      </w:pPr>
    </w:p>
    <w:p w:rsidR="00C932A6" w:rsidRDefault="00C932A6" w:rsidP="00C932A6">
      <w:pPr>
        <w:jc w:val="both"/>
        <w:rPr>
          <w:rFonts w:ascii="Arial" w:hAnsi="Arial" w:cs="Arial"/>
          <w:color w:val="000000"/>
        </w:rPr>
      </w:pPr>
    </w:p>
    <w:p w:rsidR="00C932A6" w:rsidRDefault="00C932A6" w:rsidP="00C932A6">
      <w:pPr>
        <w:jc w:val="both"/>
        <w:rPr>
          <w:rFonts w:ascii="Arial" w:hAnsi="Arial" w:cs="Arial"/>
          <w:color w:val="000000"/>
        </w:rPr>
      </w:pPr>
    </w:p>
    <w:p w:rsidR="00C932A6" w:rsidRPr="00A7164B" w:rsidRDefault="00C932A6" w:rsidP="00C932A6">
      <w:pPr>
        <w:spacing w:line="360" w:lineRule="auto"/>
        <w:jc w:val="both"/>
        <w:rPr>
          <w:rFonts w:ascii="Arial" w:hAnsi="Arial" w:cs="Arial"/>
          <w:color w:val="000000"/>
        </w:rPr>
      </w:pPr>
    </w:p>
    <w:p w:rsidR="00C932A6" w:rsidRPr="001D5FD9" w:rsidRDefault="00C932A6" w:rsidP="00C932A6">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378" w:name="_Toc50031425"/>
      <w:r w:rsidRPr="001D5FD9">
        <w:rPr>
          <w:rFonts w:ascii="Arial" w:hAnsi="Arial" w:cs="Arial"/>
          <w:caps/>
          <w:sz w:val="24"/>
          <w:szCs w:val="24"/>
        </w:rPr>
        <w:t>3. C</w:t>
      </w:r>
      <w:r w:rsidRPr="001D5FD9">
        <w:rPr>
          <w:rFonts w:ascii="Arial" w:hAnsi="Arial" w:cs="Arial"/>
          <w:sz w:val="24"/>
          <w:szCs w:val="24"/>
        </w:rPr>
        <w:t>ondiciones experimentales</w:t>
      </w:r>
      <w:bookmarkEnd w:id="378"/>
    </w:p>
    <w:p w:rsidR="00C932A6" w:rsidRDefault="00C932A6" w:rsidP="00C932A6">
      <w:pPr>
        <w:jc w:val="both"/>
        <w:rPr>
          <w:rFonts w:ascii="Arial" w:hAnsi="Arial" w:cs="Arial"/>
          <w:b/>
        </w:rPr>
      </w:pPr>
      <w:r>
        <w:rPr>
          <w:rFonts w:ascii="Arial" w:hAnsi="Arial" w:cs="Arial"/>
          <w:b/>
        </w:rPr>
        <w:t xml:space="preserve">       </w:t>
      </w:r>
    </w:p>
    <w:p w:rsidR="00C932A6" w:rsidRDefault="00C932A6" w:rsidP="00C932A6">
      <w:pPr>
        <w:jc w:val="both"/>
        <w:rPr>
          <w:rFonts w:ascii="Arial" w:hAnsi="Arial" w:cs="Arial"/>
          <w:szCs w:val="23"/>
        </w:rPr>
      </w:pPr>
      <w:r w:rsidRPr="00150A7F">
        <w:rPr>
          <w:rFonts w:ascii="Arial" w:hAnsi="Arial" w:cs="Arial"/>
          <w:szCs w:val="23"/>
        </w:rPr>
        <w:t>En primera instancia, se investigó y se identificaron las principales características específicas (propiedades físicas y químicas) de cada uno de los elementos que se encuentran en la tabla periódica, dicha información fue consultada en libros de texto, tablas periódicas comerciales y algunos artículos, para posteriormente jerarquizar aquellas que son más importantes y elementales las cuáles fueron seleccionadas para incluirlas en las fichas del memorama; posteriormente, mediante el uso de un programa computacional (Microsoft Publisher) fueron diseñadas cada una de las fichas que integran dicho material didáctico.</w:t>
      </w:r>
      <w:r>
        <w:rPr>
          <w:rFonts w:ascii="Arial" w:hAnsi="Arial" w:cs="Arial"/>
          <w:b/>
        </w:rPr>
        <w:br/>
      </w:r>
      <w:r>
        <w:rPr>
          <w:rFonts w:ascii="Arial" w:hAnsi="Arial" w:cs="Arial"/>
          <w:b/>
        </w:rPr>
        <w:br/>
      </w:r>
      <w:r w:rsidRPr="00150A7F">
        <w:rPr>
          <w:rFonts w:ascii="Arial" w:hAnsi="Arial" w:cs="Arial"/>
          <w:szCs w:val="23"/>
        </w:rPr>
        <w:t xml:space="preserve">Investigar las características y propiedades físicas más importantes de los elementos químicos de la tabla periódica. La actividad que se realizó fue diseñar las fichas que integran el memoraba, utilizando y anexando a cada una lo más relevante de cada elemento químico, a continuación se presenta en forma de lista la información que contienen: </w:t>
      </w:r>
    </w:p>
    <w:p w:rsidR="00C932A6" w:rsidRPr="00D023D0" w:rsidRDefault="00C932A6" w:rsidP="00C932A6">
      <w:pPr>
        <w:jc w:val="both"/>
        <w:rPr>
          <w:rFonts w:ascii="Arial" w:hAnsi="Arial" w:cs="Arial"/>
          <w:b/>
        </w:rPr>
      </w:pPr>
    </w:p>
    <w:p w:rsidR="00C932A6" w:rsidRDefault="00C932A6" w:rsidP="001D2A3D">
      <w:pPr>
        <w:numPr>
          <w:ilvl w:val="0"/>
          <w:numId w:val="56"/>
        </w:numPr>
        <w:suppressAutoHyphens/>
        <w:autoSpaceDE w:val="0"/>
        <w:autoSpaceDN w:val="0"/>
        <w:adjustRightInd w:val="0"/>
        <w:spacing w:after="42" w:line="240" w:lineRule="auto"/>
        <w:jc w:val="both"/>
        <w:rPr>
          <w:rFonts w:ascii="Arial" w:hAnsi="Arial" w:cs="Arial"/>
          <w:szCs w:val="23"/>
        </w:rPr>
      </w:pPr>
      <w:r w:rsidRPr="00150A7F">
        <w:rPr>
          <w:rFonts w:ascii="Arial" w:hAnsi="Arial" w:cs="Arial"/>
          <w:szCs w:val="23"/>
        </w:rPr>
        <w:t>Número atómico del elemento químico: Número total de protones que tiene cada átomo de ese elemento. Se suele representar con la letra Z</w:t>
      </w:r>
      <w:r>
        <w:rPr>
          <w:rFonts w:ascii="Arial" w:hAnsi="Arial" w:cs="Arial"/>
          <w:szCs w:val="23"/>
        </w:rPr>
        <w:t xml:space="preserve"> [1]</w:t>
      </w:r>
      <w:r w:rsidRPr="00150A7F">
        <w:rPr>
          <w:rFonts w:ascii="Arial" w:hAnsi="Arial" w:cs="Arial"/>
          <w:szCs w:val="23"/>
        </w:rPr>
        <w:t xml:space="preserve">. </w:t>
      </w:r>
    </w:p>
    <w:p w:rsidR="00C932A6" w:rsidRDefault="00C932A6" w:rsidP="001D2A3D">
      <w:pPr>
        <w:numPr>
          <w:ilvl w:val="0"/>
          <w:numId w:val="56"/>
        </w:numPr>
        <w:suppressAutoHyphens/>
        <w:autoSpaceDE w:val="0"/>
        <w:autoSpaceDN w:val="0"/>
        <w:adjustRightInd w:val="0"/>
        <w:spacing w:after="42" w:line="240" w:lineRule="auto"/>
        <w:jc w:val="both"/>
        <w:rPr>
          <w:rFonts w:ascii="Arial" w:hAnsi="Arial" w:cs="Arial"/>
          <w:szCs w:val="23"/>
        </w:rPr>
      </w:pPr>
      <w:r w:rsidRPr="00D023D0">
        <w:rPr>
          <w:rFonts w:ascii="Arial" w:hAnsi="Arial" w:cs="Arial"/>
          <w:szCs w:val="23"/>
        </w:rPr>
        <w:lastRenderedPageBreak/>
        <w:t>Símbolo del elemento: Abreviación que se utiliza para identificar a cada uno de los elementos químicos, compuesto por una o dos letras del alfabeto. La primera letra del símbolo se escribe con mayúscula y la segunda (si la hay) con minúscula</w:t>
      </w:r>
      <w:r>
        <w:rPr>
          <w:rFonts w:ascii="Arial" w:hAnsi="Arial" w:cs="Arial"/>
          <w:szCs w:val="23"/>
        </w:rPr>
        <w:t xml:space="preserve"> [2]</w:t>
      </w:r>
      <w:r w:rsidRPr="00D023D0">
        <w:rPr>
          <w:rFonts w:ascii="Arial" w:hAnsi="Arial" w:cs="Arial"/>
          <w:szCs w:val="23"/>
        </w:rPr>
        <w:t xml:space="preserve">. </w:t>
      </w:r>
    </w:p>
    <w:p w:rsidR="00C932A6" w:rsidRDefault="00C932A6" w:rsidP="001D2A3D">
      <w:pPr>
        <w:numPr>
          <w:ilvl w:val="0"/>
          <w:numId w:val="56"/>
        </w:numPr>
        <w:suppressAutoHyphens/>
        <w:autoSpaceDE w:val="0"/>
        <w:autoSpaceDN w:val="0"/>
        <w:adjustRightInd w:val="0"/>
        <w:spacing w:after="42" w:line="240" w:lineRule="auto"/>
        <w:jc w:val="both"/>
        <w:rPr>
          <w:rFonts w:ascii="Arial" w:hAnsi="Arial" w:cs="Arial"/>
          <w:szCs w:val="23"/>
        </w:rPr>
      </w:pPr>
      <w:r w:rsidRPr="00D023D0">
        <w:rPr>
          <w:rFonts w:ascii="Arial" w:hAnsi="Arial" w:cs="Arial"/>
          <w:szCs w:val="23"/>
        </w:rPr>
        <w:t xml:space="preserve">Nombre del elemento químico. </w:t>
      </w:r>
    </w:p>
    <w:p w:rsidR="00C932A6" w:rsidRPr="00D023D0" w:rsidRDefault="00C932A6" w:rsidP="001D2A3D">
      <w:pPr>
        <w:numPr>
          <w:ilvl w:val="0"/>
          <w:numId w:val="56"/>
        </w:numPr>
        <w:suppressAutoHyphens/>
        <w:autoSpaceDE w:val="0"/>
        <w:autoSpaceDN w:val="0"/>
        <w:adjustRightInd w:val="0"/>
        <w:spacing w:after="42" w:line="240" w:lineRule="auto"/>
        <w:jc w:val="both"/>
        <w:rPr>
          <w:rFonts w:ascii="Arial" w:hAnsi="Arial" w:cs="Arial"/>
          <w:szCs w:val="23"/>
        </w:rPr>
      </w:pPr>
      <w:r w:rsidRPr="00D023D0">
        <w:rPr>
          <w:rFonts w:ascii="Arial" w:hAnsi="Arial" w:cs="Arial"/>
          <w:szCs w:val="23"/>
        </w:rPr>
        <w:t>Configuración electrónica semi-desarrollada: Indica la manera en la cual los electrones se encuentran distribuidos en los orbitales moleculares, dicha información determina las propiedades de combinación química de los átomos y por lo tanto su posición en la tabla periódica de los elementos</w:t>
      </w:r>
      <w:r>
        <w:rPr>
          <w:rFonts w:ascii="Arial" w:hAnsi="Arial" w:cs="Arial"/>
          <w:szCs w:val="23"/>
        </w:rPr>
        <w:t xml:space="preserve"> [4]</w:t>
      </w:r>
      <w:r w:rsidRPr="00D023D0">
        <w:rPr>
          <w:rFonts w:ascii="Arial" w:hAnsi="Arial" w:cs="Arial"/>
          <w:szCs w:val="23"/>
        </w:rPr>
        <w:t xml:space="preserve">. </w:t>
      </w:r>
    </w:p>
    <w:p w:rsidR="00C932A6" w:rsidRDefault="00C932A6" w:rsidP="00C932A6">
      <w:pPr>
        <w:autoSpaceDE w:val="0"/>
        <w:autoSpaceDN w:val="0"/>
        <w:adjustRightInd w:val="0"/>
        <w:spacing w:after="42"/>
        <w:jc w:val="both"/>
        <w:rPr>
          <w:rFonts w:ascii="Arial" w:hAnsi="Arial" w:cs="Arial"/>
          <w:szCs w:val="23"/>
        </w:rPr>
      </w:pPr>
      <w:r>
        <w:rPr>
          <w:noProof/>
          <w:lang w:val="en-US"/>
        </w:rPr>
        <mc:AlternateContent>
          <mc:Choice Requires="wpg">
            <w:drawing>
              <wp:anchor distT="0" distB="0" distL="114300" distR="114300" simplePos="0" relativeHeight="251825152" behindDoc="1" locked="0" layoutInCell="1" allowOverlap="1" wp14:anchorId="302A5DC2" wp14:editId="645BA44E">
                <wp:simplePos x="0" y="0"/>
                <wp:positionH relativeFrom="column">
                  <wp:posOffset>1397000</wp:posOffset>
                </wp:positionH>
                <wp:positionV relativeFrom="paragraph">
                  <wp:posOffset>6667500</wp:posOffset>
                </wp:positionV>
                <wp:extent cx="5462270" cy="2154555"/>
                <wp:effectExtent l="0" t="0" r="0" b="0"/>
                <wp:wrapNone/>
                <wp:docPr id="2026623741" name="58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2270" cy="2154555"/>
                          <a:chOff x="0" y="0"/>
                          <a:chExt cx="5787786" cy="3159298"/>
                        </a:xfrm>
                      </wpg:grpSpPr>
                      <wpg:grpSp>
                        <wpg:cNvPr id="2026623742" name="42 Grupo"/>
                        <wpg:cNvGrpSpPr/>
                        <wpg:grpSpPr>
                          <a:xfrm>
                            <a:off x="0" y="0"/>
                            <a:ext cx="5787786" cy="3159298"/>
                            <a:chOff x="0" y="0"/>
                            <a:chExt cx="5787786" cy="3159298"/>
                          </a:xfrm>
                        </wpg:grpSpPr>
                        <pic:pic xmlns:pic="http://schemas.openxmlformats.org/drawingml/2006/picture">
                          <pic:nvPicPr>
                            <pic:cNvPr id="2026623743" name="Imagen 1"/>
                            <pic:cNvPicPr>
                              <a:picLocks noChangeAspect="1"/>
                            </pic:cNvPicPr>
                          </pic:nvPicPr>
                          <pic:blipFill>
                            <a:blip r:embed="rId1259"/>
                            <a:stretch>
                              <a:fillRect/>
                            </a:stretch>
                          </pic:blipFill>
                          <pic:spPr>
                            <a:xfrm>
                              <a:off x="1673525" y="0"/>
                              <a:ext cx="2147977" cy="3096883"/>
                            </a:xfrm>
                            <a:prstGeom prst="rect">
                              <a:avLst/>
                            </a:prstGeom>
                            <a:ln>
                              <a:noFill/>
                            </a:ln>
                          </pic:spPr>
                        </pic:pic>
                        <wpg:grpSp>
                          <wpg:cNvPr id="160" name="41 Grupo"/>
                          <wpg:cNvGrpSpPr/>
                          <wpg:grpSpPr>
                            <a:xfrm>
                              <a:off x="0" y="280388"/>
                              <a:ext cx="5787786" cy="2878910"/>
                              <a:chOff x="0" y="-90548"/>
                              <a:chExt cx="5787786" cy="2878910"/>
                            </a:xfrm>
                          </wpg:grpSpPr>
                          <wpg:grpSp>
                            <wpg:cNvPr id="161" name="15 Grupo"/>
                            <wpg:cNvGrpSpPr/>
                            <wpg:grpSpPr>
                              <a:xfrm>
                                <a:off x="43432" y="-90548"/>
                                <a:ext cx="1715854" cy="384711"/>
                                <a:chOff x="300" y="-90548"/>
                                <a:chExt cx="1715854" cy="384711"/>
                              </a:xfrm>
                            </wpg:grpSpPr>
                            <wps:wsp>
                              <wps:cNvPr id="162" name="5 Conector recto de flecha"/>
                              <wps:cNvCnPr/>
                              <wps:spPr>
                                <a:xfrm flipH="1">
                                  <a:off x="1216325" y="103517"/>
                                  <a:ext cx="499829" cy="0"/>
                                </a:xfrm>
                                <a:prstGeom prst="straightConnector1">
                                  <a:avLst/>
                                </a:prstGeom>
                                <a:noFill/>
                                <a:ln w="6350" cap="flat" cmpd="sng" algn="ctr">
                                  <a:noFill/>
                                  <a:prstDash val="solid"/>
                                  <a:miter lim="800000"/>
                                  <a:tailEnd type="arrow"/>
                                </a:ln>
                                <a:effectLst/>
                              </wps:spPr>
                              <wps:bodyPr/>
                            </wps:wsp>
                            <wps:wsp>
                              <wps:cNvPr id="164" name="6 Cuadro de texto"/>
                              <wps:cNvSpPr txBox="1"/>
                              <wps:spPr>
                                <a:xfrm>
                                  <a:off x="300" y="-90548"/>
                                  <a:ext cx="1216025" cy="384711"/>
                                </a:xfrm>
                                <a:prstGeom prst="rect">
                                  <a:avLst/>
                                </a:prstGeom>
                                <a:solidFill>
                                  <a:sysClr val="window" lastClr="FFFFFF"/>
                                </a:solidFill>
                                <a:ln w="6350">
                                  <a:noFill/>
                                </a:ln>
                                <a:effectLst/>
                              </wps:spPr>
                              <wps:txbx>
                                <w:txbxContent>
                                  <w:p w:rsidR="00C20C0F" w:rsidRDefault="00C20C0F" w:rsidP="00C932A6">
                                    <w:pPr>
                                      <w:jc w:val="center"/>
                                    </w:pPr>
                                    <w:r>
                                      <w:t>Número atómico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5" name="13 Grupo"/>
                            <wpg:cNvGrpSpPr/>
                            <wpg:grpSpPr>
                              <a:xfrm>
                                <a:off x="3071004" y="1871412"/>
                                <a:ext cx="2716782" cy="854179"/>
                                <a:chOff x="0" y="-520"/>
                                <a:chExt cx="2716782" cy="854179"/>
                              </a:xfrm>
                            </wpg:grpSpPr>
                            <wps:wsp>
                              <wps:cNvPr id="166" name="7 Cuadro de texto"/>
                              <wps:cNvSpPr txBox="1"/>
                              <wps:spPr>
                                <a:xfrm>
                                  <a:off x="1060510" y="-520"/>
                                  <a:ext cx="1656272" cy="854179"/>
                                </a:xfrm>
                                <a:prstGeom prst="rect">
                                  <a:avLst/>
                                </a:prstGeom>
                                <a:solidFill>
                                  <a:sysClr val="window" lastClr="FFFFFF"/>
                                </a:solidFill>
                                <a:ln w="6350">
                                  <a:noFill/>
                                </a:ln>
                                <a:effectLst/>
                              </wps:spPr>
                              <wps:txbx>
                                <w:txbxContent>
                                  <w:p w:rsidR="00C20C0F" w:rsidRDefault="00C20C0F" w:rsidP="00C932A6">
                                    <w:pPr>
                                      <w:jc w:val="center"/>
                                    </w:pPr>
                                    <w:r>
                                      <w:t>Configuración electrónica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 name="8 Conector recto de flecha"/>
                              <wps:cNvCnPr/>
                              <wps:spPr>
                                <a:xfrm>
                                  <a:off x="0" y="129396"/>
                                  <a:ext cx="879895" cy="0"/>
                                </a:xfrm>
                                <a:prstGeom prst="straightConnector1">
                                  <a:avLst/>
                                </a:prstGeom>
                                <a:noFill/>
                                <a:ln w="6350" cap="flat" cmpd="sng" algn="ctr">
                                  <a:noFill/>
                                  <a:prstDash val="solid"/>
                                  <a:miter lim="800000"/>
                                  <a:tailEnd type="arrow"/>
                                </a:ln>
                                <a:effectLst/>
                              </wps:spPr>
                              <wps:bodyPr/>
                            </wps:wsp>
                          </wpg:grpSp>
                          <wpg:grpSp>
                            <wpg:cNvPr id="168" name="16 Grupo"/>
                            <wpg:cNvGrpSpPr/>
                            <wpg:grpSpPr>
                              <a:xfrm>
                                <a:off x="0" y="2285720"/>
                                <a:ext cx="2069753" cy="502642"/>
                                <a:chOff x="0" y="-280"/>
                                <a:chExt cx="2069753" cy="502642"/>
                              </a:xfrm>
                            </wpg:grpSpPr>
                            <wps:wsp>
                              <wps:cNvPr id="169" name="9 Cuadro de texto"/>
                              <wps:cNvSpPr txBox="1"/>
                              <wps:spPr>
                                <a:xfrm>
                                  <a:off x="0" y="-280"/>
                                  <a:ext cx="1526540" cy="502642"/>
                                </a:xfrm>
                                <a:prstGeom prst="rect">
                                  <a:avLst/>
                                </a:prstGeom>
                                <a:solidFill>
                                  <a:sysClr val="window" lastClr="FFFFFF"/>
                                </a:solidFill>
                                <a:ln w="6350">
                                  <a:noFill/>
                                </a:ln>
                                <a:effectLst/>
                              </wps:spPr>
                              <wps:txbx>
                                <w:txbxContent>
                                  <w:p w:rsidR="00C20C0F" w:rsidRDefault="00C20C0F" w:rsidP="00C932A6">
                                    <w:pPr>
                                      <w:jc w:val="center"/>
                                    </w:pPr>
                                    <w:r>
                                      <w:t>Nombre del elemento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 name="10 Conector recto de flecha"/>
                              <wps:cNvCnPr/>
                              <wps:spPr>
                                <a:xfrm flipH="1">
                                  <a:off x="1570008" y="138023"/>
                                  <a:ext cx="499745" cy="0"/>
                                </a:xfrm>
                                <a:prstGeom prst="straightConnector1">
                                  <a:avLst/>
                                </a:prstGeom>
                                <a:noFill/>
                                <a:ln w="6350" cap="flat" cmpd="sng" algn="ctr">
                                  <a:noFill/>
                                  <a:prstDash val="solid"/>
                                  <a:miter lim="800000"/>
                                  <a:tailEnd type="arrow"/>
                                </a:ln>
                                <a:effectLst/>
                              </wps:spPr>
                              <wps:bodyPr/>
                            </wps:wsp>
                          </wpg:grpSp>
                          <wpg:grpSp>
                            <wpg:cNvPr id="171" name="14 Grupo"/>
                            <wpg:cNvGrpSpPr/>
                            <wpg:grpSpPr>
                              <a:xfrm>
                                <a:off x="3157268" y="689868"/>
                                <a:ext cx="1762978" cy="711076"/>
                                <a:chOff x="0" y="-245"/>
                                <a:chExt cx="1762978" cy="711076"/>
                              </a:xfrm>
                            </wpg:grpSpPr>
                            <wps:wsp>
                              <wps:cNvPr id="172" name="11 Conector recto de flecha"/>
                              <wps:cNvCnPr/>
                              <wps:spPr>
                                <a:xfrm>
                                  <a:off x="0" y="146649"/>
                                  <a:ext cx="879475" cy="0"/>
                                </a:xfrm>
                                <a:prstGeom prst="straightConnector1">
                                  <a:avLst/>
                                </a:prstGeom>
                                <a:noFill/>
                                <a:ln w="6350" cap="flat" cmpd="sng" algn="ctr">
                                  <a:noFill/>
                                  <a:prstDash val="solid"/>
                                  <a:miter lim="800000"/>
                                  <a:tailEnd type="arrow"/>
                                </a:ln>
                                <a:effectLst/>
                              </wps:spPr>
                              <wps:bodyPr/>
                            </wps:wsp>
                            <wps:wsp>
                              <wps:cNvPr id="173" name="12 Cuadro de texto"/>
                              <wps:cNvSpPr txBox="1"/>
                              <wps:spPr>
                                <a:xfrm>
                                  <a:off x="879829" y="-245"/>
                                  <a:ext cx="883149" cy="711076"/>
                                </a:xfrm>
                                <a:prstGeom prst="rect">
                                  <a:avLst/>
                                </a:prstGeom>
                                <a:solidFill>
                                  <a:sysClr val="window" lastClr="FFFFFF"/>
                                </a:solidFill>
                                <a:ln w="6350">
                                  <a:noFill/>
                                </a:ln>
                                <a:effectLst/>
                              </wps:spPr>
                              <wps:txbx>
                                <w:txbxContent>
                                  <w:p w:rsidR="00C20C0F" w:rsidRDefault="00C20C0F" w:rsidP="00C932A6">
                                    <w:pPr>
                                      <w:jc w:val="center"/>
                                    </w:pPr>
                                    <w:r>
                                      <w:t>Símbolo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174" name="57 Grupo"/>
                        <wpg:cNvGrpSpPr/>
                        <wpg:grpSpPr>
                          <a:xfrm>
                            <a:off x="1259457" y="474453"/>
                            <a:ext cx="2915891" cy="2320506"/>
                            <a:chOff x="0" y="0"/>
                            <a:chExt cx="2915891" cy="2320506"/>
                          </a:xfrm>
                        </wpg:grpSpPr>
                        <wps:wsp>
                          <wps:cNvPr id="175" name="53 Conector recto de flecha"/>
                          <wps:cNvCnPr/>
                          <wps:spPr>
                            <a:xfrm flipH="1">
                              <a:off x="0" y="0"/>
                              <a:ext cx="500103" cy="0"/>
                            </a:xfrm>
                            <a:prstGeom prst="straightConnector1">
                              <a:avLst/>
                            </a:prstGeom>
                            <a:noFill/>
                            <a:ln w="6350" cap="flat" cmpd="sng" algn="ctr">
                              <a:solidFill>
                                <a:srgbClr val="4472C4"/>
                              </a:solidFill>
                              <a:prstDash val="solid"/>
                              <a:miter lim="800000"/>
                              <a:tailEnd type="arrow"/>
                            </a:ln>
                            <a:effectLst/>
                          </wps:spPr>
                          <wps:bodyPr/>
                        </wps:wsp>
                        <wps:wsp>
                          <wps:cNvPr id="176" name="54 Conector recto de flecha"/>
                          <wps:cNvCnPr/>
                          <wps:spPr>
                            <a:xfrm flipH="1">
                              <a:off x="250166" y="2320506"/>
                              <a:ext cx="499745" cy="0"/>
                            </a:xfrm>
                            <a:prstGeom prst="straightConnector1">
                              <a:avLst/>
                            </a:prstGeom>
                            <a:noFill/>
                            <a:ln w="6350" cap="flat" cmpd="sng" algn="ctr">
                              <a:solidFill>
                                <a:srgbClr val="4472C4"/>
                              </a:solidFill>
                              <a:prstDash val="solid"/>
                              <a:miter lim="800000"/>
                              <a:tailEnd type="arrow"/>
                            </a:ln>
                            <a:effectLst/>
                          </wps:spPr>
                          <wps:bodyPr/>
                        </wps:wsp>
                        <wps:wsp>
                          <wps:cNvPr id="177" name="55 Conector recto de flecha"/>
                          <wps:cNvCnPr/>
                          <wps:spPr>
                            <a:xfrm>
                              <a:off x="2044460" y="733245"/>
                              <a:ext cx="828102" cy="0"/>
                            </a:xfrm>
                            <a:prstGeom prst="straightConnector1">
                              <a:avLst/>
                            </a:prstGeom>
                            <a:noFill/>
                            <a:ln w="6350" cap="flat" cmpd="sng" algn="ctr">
                              <a:solidFill>
                                <a:srgbClr val="4472C4"/>
                              </a:solidFill>
                              <a:prstDash val="solid"/>
                              <a:miter lim="800000"/>
                              <a:tailEnd type="arrow"/>
                            </a:ln>
                            <a:effectLst/>
                          </wps:spPr>
                          <wps:bodyPr/>
                        </wps:wsp>
                        <wps:wsp>
                          <wps:cNvPr id="178" name="56 Conector recto de flecha"/>
                          <wps:cNvCnPr/>
                          <wps:spPr>
                            <a:xfrm>
                              <a:off x="1708030" y="1897811"/>
                              <a:ext cx="1207861" cy="0"/>
                            </a:xfrm>
                            <a:prstGeom prst="straightConnector1">
                              <a:avLst/>
                            </a:prstGeom>
                            <a:noFill/>
                            <a:ln w="6350" cap="flat" cmpd="sng" algn="ctr">
                              <a:solidFill>
                                <a:srgbClr val="4472C4"/>
                              </a:solidFill>
                              <a:prstDash val="solid"/>
                              <a:miter lim="800000"/>
                              <a:tailEnd type="arrow"/>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302A5DC2" id="58 Grupo" o:spid="_x0000_s1167" style="position:absolute;left:0;text-align:left;margin-left:110pt;margin-top:525pt;width:430.1pt;height:169.65pt;z-index:-251491328;mso-width-relative:margin;mso-height-relative:margin" coordsize="57877,31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ZeTodgcAAOEoAAAOAAAAZHJzL2Uyb0RvYy54bWzsWl2P2zYWfV9g/4Og&#10;98QiRYmSEaeYTppsgKAdNF30mSPLtlBJVCl5PNNf38MPSf5stp6pkWA9wBiUKFKXl+eee0jqzXeP&#10;Vek95KotZD3zyevA9/I6k/OiXs78//7y/lXie20n6rkoZZ3P/Ke89b97++9/vdk005zKlSznufLQ&#10;Sd1ON83MX3VdM51M2myVV6J9LZu8RuVCqkp0uFTLyVyJDXqvygkNgniykWreKJnlbYu772yl/9b0&#10;v1jkWffTYtHmnVfOfNjWmV9lfu/17+TtGzFdKtGsisyZIc6wohJFjZcOXb0TnfDWqjjoqioyJVu5&#10;6F5nsprIxaLIcjMGjIYEe6P5oOS6MWNZTjfLZnATXLvnp7O7zX58uFNeMZ/5NKBxTEPOiO/VosJc&#10;RYn3Qa0bqZ20aZZTPPtBNZ+bO2VHiuInmf3WonqyX6+vl+PDjwtV6UYYsPdovP80eD9/7LwMNyMW&#10;U8oxSRnqKIlYFEV2frIVJvGgXbb6oW/JE86T2LYMSZTSNNEtJ2JqX2zMG8wZbBuGte8C2ruA0VMu&#10;cD4ZOu1f9YUxnrBUTF94jE2RTfHvIIPSAWS+HFpo1a1V7rtOqv+pj0qo39bNK6C7EV1xX5RF92Qi&#10;FTjWRtUPd0WmEaQvjqAv7F3/sRLLvPaInsj+WdtS6JEZ5Hm1vF2JepnftA1CHQRkpn338Ym+3Hnt&#10;fVk074uy1IjUZTdA0MJeWB3xkQ3ZdzJbV3ndWQ5SeYmxyrpdFU3re2qaV/c5Qkp9nBuDxLTtVN5l&#10;K/3CBV78M4y1+BwqjJWjYdrm1kXaXvCQmIcRjXzvMIQoYTzl3AVCkMZJEu4EAlyn2u5DLitPF2Ai&#10;LMHMiKl4+NQ6m/pH9O2y1r+11O6yFus7xlhrninCWhtLJhz2w4rECGpLKYw8M55oEoSJCW4xHYhj&#10;O6howpOUOGLfC6pXaRAx1/gEe2w1/7vsQeKBOUl09jBZyELQD+Z229p+qISTKImYm+CEceIANow0&#10;DODsvdbjWE+0PzlUJOW2D49N0x4EyN/KO59XoskBNnS0FfkkHtg28m4hErJOKk/jUnrz3FuUebYS&#10;GsSu2W19p9zVdoDgwaL5j2YADViXZwglcehChQRhRLjuaEQOS9OEptabBjKDIw4CBYEqiuWqg4XW&#10;RPuiE2EzBIyOIG8z8+Mw0plNQOIsQBYoVg0Yoq2XvifKJbRT1ilj+lZTHYjvRLvyHgTkSyvLYm7t&#10;r4oOqqksqpmfBPrP3u5EUf5Qz73uqUH6FkrJja7AoGwY50YQuTjX7rQO1KV7OX8yfkWqNJNu/X2B&#10;2QeYLTfE3u1azJWZ9Q6Ad7rDYOUzqNDrHr+X0AkG8aP1B4n3WAQM8QNABBoQWmOEQ/ycnvYv8aOZ&#10;lD6XtE/tbansbEGjzuF+rxRth5sz/735c/Ox02wLIcfIFnA9PW/d4/2jkW/MEP04lZ6SoHdgrm2y&#10;9wWA9AmG3AkFdYubUOzdT/hZlBLglK7keyup/jh2Xz+P4Eet722gloHG39dCa4PyYw1aSAlj6LYz&#10;FyziFBdqu+Z+u6ZeV7cSiAZfwjpT1M93ZV9cKFn9CmF/o9+KKlFnePfMR9zY4m2HK1RgYZDlNzem&#10;bCXHp/pzA6Fio1MH0C+PvwrVuHSncfWj7InoIOvZZ+0k3Kw7uShMShy9apSui49RVNqEdyL3AWwW&#10;3yQ8OymEASdBgEgBaknCCSPURnyPa8qhChIQqcY1EgThqX1gyAtwls4KEWbGUOCYE060HWJiHKeW&#10;bY4ehrXIP5QTIOat1/gLsQIJ4iCCLtj1Qu8/Ekcx5Qf+G3xwkA6+HV5ger5HBF95Afn/H+WFC0UI&#10;VL6NkOQZqmlLK9nQIDQN03iXXBKeJqnLmVeVtKeSRnb8yyyAbTCXBeKzs4CdIUoTk193hCwN4pRH&#10;WDtr/o+wk8Ncgtjnf6yfDvj/eNuB+8YRXpD/Icqtv9IX4n/H/MP4B+aPaBxp7bLruWH03zDzm92z&#10;K/NfThFehvn1FqnjkuAZ1H98wRxxrCZBVlpohklAzapiZ8HM2TUVHF8wj0T5V6mAj7tE7OxUgE1u&#10;TmM7T3GSJiju5APCY5py1GtWwyZRwF1OP8gHmM299cCJtgMjjsO8XD7Q0txhnjwD84dyh8Uxc0ul&#10;PiNA7jB+xfhxjF+I4oZTAEJfKP9rEau3+vQimPagH6Y8CQlgsBctA+K/YQ1gwv6qAS6nAUZ2NHtF&#10;7hR0t3zyAJLwYTc04mcnB0KjFHtwBuuMM4Z1wU5yoCkOEVKkIZ0caEiDKDieHQ6XCidaDpEyjv6C&#10;uWHYYYvCZ+SGo3rIrhqcH3q2iAIc1bu11teyHt7ZUG7V8n7YiGaM01uzCYRZ2nns/+F4AbrHCYeI&#10;vTQ4aBSQGP3vR1GPE5wufXVieQcAV5z0H78QfWhuBWb0nFPILYFJA8aYPvnWCjwMDzUHTUjgdpyv&#10;LPJ1H1LqlZRDB04pzz6j3kIH4QG+ZLDoIAmWav1Bfk8ehAb4pMkl6Ss+zsXHKEicBMN3dCjtfKi3&#10;fW2eGr9MfPsn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cwQ8p+EAAAAOAQAA&#10;DwAAAGRycy9kb3ducmV2LnhtbEyPwWrDMBBE74X+g9hAb41kmxTXsRxCaHsKhSaF0ptibWwTSzKW&#10;Yjt/3/Wpuc0yj9mZfDOZlg3Y+8ZZCdFSAENbOt3YSsL38f05BeaDslq1zqKEG3rYFI8Pucq0G+0X&#10;DodQMQqxPlMS6hC6jHNf1miUX7oOLXln1xsV6Owrrns1UrhpeSzECzeqsfShVh3uaiwvh6uR8DGq&#10;cZtEb8P+ct7dfo+rz599hFI+LabtGljAKfzDMNen6lBQp5O7Wu1ZKyGmeELJEKtZzYhIRQzsRCpJ&#10;XxPgRc7vZxR/AAAA//8DAFBLAwQKAAAAAAAAACEADHWx4VeDAABXgwAAFAAAAGRycy9tZWRpYS9p&#10;bWFnZTEucG5niVBORw0KGgoAAAANSUhEUgAAAOEAAAFFCAIAAACVKx1hAAAAAXNSR0IArs4c6QAA&#10;gxFJREFUeF7tvQmgbUdVJnzPueObMjE2gvj/GKIoEkFoRASVFmcUiCgIKuIAjaKCEyAyqtiADIqI&#10;2EwCikRkUAgQaLHVRoRWQND8gjIGISQv7915OGf/a65Vw57OcN97CTsn952zd+2qVau++taqVbVr&#10;D0b7+wtwDPAPHfytin/aVTsPSSpMWtEZ/ONuwQsDl6fd3u+LK6zlxkFVVcNFlIHlkapYrZwwUaZ1&#10;1akWxmPIEnOTz1jqCHdYEceOLQyHUu+gwH51nH3qqC06ZQ+yqyKoGi11ccmj7PneAeknaTqXbbiC&#10;+KmwMIZQNRDdos6rMShclD8syVQH0ER8zDOrEMnHauoOsRpNgvhdm15UA1jkO+xLJiFnKvnaD0xf&#10;4QcUQicHwwFklXZdyRv/AXTCxw5uF1/lqavfCV95IhSfqo+q0E90RnqwVgbaURM3aTxSXFasAjTV&#10;QjvkpTFQ+aG9Ufl6OC3LqVbVxrDxvxD4hE5pq9asOrVCs25cFtQnuSsXsRWSMgpDCwboAQuE85os&#10;FZPuXV7G03kVA1hnU/1OOqpLlOsuIFgVZcio5YMcuVlSzragEMauIwXpLZheG6xGehU+x2g/nWg7&#10;eKNJ1lB8gBmwqQnUAFYpHv5x/S/CpPyoUbfoXMiAdIffqTc7jgkOzGBhabndUBhezwK49mlX333r&#10;kOvOB51zPXMlc+E+K+v/DaoRMQCjU+mP7T0d4lWoO2Ku4SxhanUt4xU7hlcQfDffo62NtMMHJbPq&#10;5a/vKUCiSwtDx8RteYt6Emegy12HmqaOBJoRwsjLoawNUUvPdFfKKYXUxKNio3N95Er1Z2jMZBAX&#10;K09nDrEx0j4LdQl+mNNdQc+mjgTWTg+RBjU9nFxejeqY8I7lVzzvyXUqfpgJfr2IE2VYABXVKkC3&#10;DsR1xUmOlrHZ+gZglSxWGM7zOJdJFL/TLyZRN8r2jTGHhnGKYgXxCTM9dYOv9D4VLUa+IZW/rKyE&#10;/Jt6Yw2BJMAtMsNEaJnopunpxHTl2hWr3joqKMpbkMf7o4oqplX7+KwC/rifqFhCohKVEcAGmRNU&#10;zgGkYuO5ZIOpocR6IBedKyKXMBeScltcRE80OeZSoYkgd6g3pTZM4eA7Z5Olj4I/dTqEoGLijmon&#10;BzuODYnDXB8mNCkYrAIIxSQjlYlUUHuoOsPOG6SK2JSqw4e3GArZ2u6kt/C/wKMrq+UqTc9Hh62q&#10;WZSXItADrXvHlVYQpDGo0CCLHQbPH1GoHx1jeB4FBy/6EGqlpd2XyPorW003IJtMi4NqbMVrmFB9&#10;kUiHDNZsSOfx6isFqlpdLccNTFCffzODTFa3ed3VHU+JBLGl6hzONrooVCiiNxQsiT0JNo1Enck3&#10;2IrfGYbMjHrjVO+JTlz36RoDYRqI3KLZgeZdNEPMhYsAmOkwx5oi9sCgGOFvO85QldvEmtP1vLZ6&#10;pl0PasQIOUSiZuhseg/PgK33M37dvktAJyR2AA0UFgZSc9JPY7Y1MPUuVDDPIj+pwnwbHv7hAT6o&#10;jJPaFY/pXXc+E1WfrMxuVZss7/wuQSQVyrOgrDg6T/+FEDvHR9lk9/qolYwYNJJFW/hwK+9EAJiK&#10;W8I9NJp/0nRk7snVQV82cr6hAnDL0hINkgDc1u8716hzwlk1/RnLR6xWRxLNJ5jM72I31FoHm4fG&#10;TNROvZGqbq2GmbgnuNB9jNjCYLq3Rvu3OcDOrU7QgIhjU/xK3Vg8K5GfShoPAKC8VCU9ukjCJKGf&#10;3pU9/Bu6VMpzQK6Y2AcX4OYV8SE/R6KBSo1HEa+D8fZWAG29kMkAQLlZqUX+dffjNMxwAG6cLG4I&#10;KKCaTbQqiolt0gOWjNCtbUVDKePRwsFetbc7PHqiGhQxakI0yEPVbGygclVq7pu03r3uK1anviJ4&#10;hYOQ3Bez2zlQGo6EaJ1zBbfjUjNCJ9OKmv4hjfH50F5fMvouGbsMji9zgEZqqYlPcKUO8dDYxRh0&#10;IcN57WLBmMCl8XgwovWKWMexC1oVZe1fh0OveB8d96lOSJvc1fzT2h2TCThw2RqJadhTgLKtj91Q&#10;ab8a31RjOEa9IWs+pU6orcdoCUeciQbTcBt4q2PyBOgLhgJIGppKZbKtRiMmikb2nqgOfFMfSPSB&#10;2jRpJ5apTklxfMpnb8NSg41fI0F4gv9ijLYAVD3XAOsEl1S+g6lr3A6tfOhtZgWmJTNE4e/4oHNr&#10;T9q0MwTrpCJ0rmOSMC+Pz3h3U6gr644yMDL+DEH7YKKFHGKMNozujYe9nCE7HeajhLzAdoqKH5au&#10;62Rkz3UAISdwTHtw3XSdbIZgnVT3wTxOkkPiOVlmPGb3ipSUEnJKB/JMfMHue4yqsUuQytmLU+w8&#10;hsCXnjutcvmyqz71PqwGK9txjtUPh/TEAs9adT9m0cMmy2NiXihUrqMEDcm8lULQ8cSQQFXA40Ls&#10;nu8EpPwP+KMGQYdczYvRydlqBCuvj5VnlANrg7nxpxiGSzkdddUdQqWUaeMyjwJSeYzZ2yhMKTS7&#10;TNNV6XDuNuo0cYPYrFSlzAKNhptjYR2OiWI5PqpMWRrRh/BnXbJEo+bMhaadroMfCqfGIlIPI6el&#10;ApeUrvWswywgZhWfRWb9QdulVEpjaDTUMam5I/wwvsMkRnx6p5xRtqUcBqNTJ90oJ7Ha5lZaKyWL&#10;ArVo+BeofG9//13vBh8OAqM4yxq8UlyNsfJt38oyg1yTuavRjT0h072FWOuD0R5Y+fHeLoR4B2sn&#10;irRGle5CeX1ltYy7cH73mk2Q0upXrAJZarA2cDG11Irc5D42uTjNxGMmsfW86FhjgnwSPU8Olw5G&#10;118nsnv/0lfHQt9Sblnjo09+auuxvzz+16uKmhjc9Kbn//1fu0t9m60e3F1yQlV2SecEBPocj6qD&#10;A+DR4dHzijTqodTGOb1Kb8SoyZhn2e2+nlBFANZaEUASD5ELGOVyiI5EOw6giE+23vhFQvfBjNPQ&#10;SEP6/KyI0WcUFpU1FTLs0hyD5xts8N5b375x2UPqAFpSSlubdldkkKL7PR1S6rAJOze6pFMeLOVM&#10;jzlkWdNSjR0sCjXSGCQSzEbb9LwtMyhDTv7mapEEZqN5sRmflZBVJGgYf/FpF0dg0O7ubj/117d/&#10;8fELWzan2rElZg2u2WKAMEpDP7I7fd3Rsg5mK2JHPU+frF5sUFAUOWKA0BA+NssIczbuCTQpfQrC&#10;wLv4LV2HX6hQDlOh0oXRxz+x8ZAf3Xvd67upgQYi0tj2hUWeESfMKButjg6bRjJs6lbN5lSzhums&#10;8ytJ38CjFOKM+jDvPoKHrCNTcksBGqKZfvBk5Qe67bBoN0gdBWP3/vKtGw966Piqf+vbck6rHrWz&#10;A+usmo0jULDuCSP5SKq0kQl+dL60b9WtuWbcmUSOXk5vD9kbFQoDZGMxJ0D4Kq6qkaVnTSNRLw0b&#10;6OAcdcNo4HO5dfc1f7r9K09a2N7uUdOmpJ5WZwHWKTFA6KzAZ98/qA7G1c7++NT14+tPVifpc/31&#10;49Onx1ub1d4epJkCr1NK2cEBmVV3bXCmZcAU3CEcoOroRwjV7LwZcax6YEqBhjkDMVRaMOq0GHkY&#10;46uvnhE6fTZGqwbZqBV700T/FkLd7u9XGxvj06eqra1qD0b3PHGvo0n4AgtNIM329vj0+vjaa0fX&#10;Xjfe3OTVJxPpxFydDuLmvlKxTO89Td0RWisFu8Hh0hw6oDT/eKOZe11sTkkMiwJT1a0f7bhSKbgV&#10;fMRo0O5dA1dTDm5O1h6t9c0hOx2tdm4hCIZWOzsLG+sAPgGcj+/aIgRECdWf59IgEgw3bm2Nrz05&#10;PnlyYW9vOs10E7dZ98ZVghmlqw5doLF56u+XJaQIUyeam5gM4ycLi+qoyrzS+rIBo7oMGZes1dee&#10;2wQ+0Cq4crkX2qZJXPRZp8nQ3cvNBwegc2sT2JHBp7XLK5lMPlACRi2o5eBgdP3p8XUnF/a7r5aq&#10;q0gGiMQbarrPgG6ZdIN+u1JrYVotEpXaE2DeOQz+aDSCj4b5IbxaKII2KETM4QdhCNMqejBX2ElJ&#10;aemzKi1e+jWDW92qtaaTwpvv47/emLUWGLQRJUW/CS07ovMAUBUvgjEp5UusO5UlqgsHs0cHo5PX&#10;V+sbSfClXco0RWS6Ot3u/Tl9PIsf1RKlTUulDVIM4MlEsfihk3sqVZ+UiFND7xaYVwmlcbUgsljD&#10;hUX3gTEsQpD/0pMe8IElanISvuAHhrp+e0hCzmD10Y88/tpXDc+HKZmGPu67eD+cMTAVponD2k33&#10;MZvgL6DPvV2ZC/FdwBUWjxYKBUWOj6073d4ZX3f9wgEFBCY/lKfTHBLbkl22ULlcsSeDSyHwycWL&#10;7wQsAWY4BsJUEvqGbXhLpyNvxME00S5rFk0UYw7AB1hEOOoX/rlID53Rd1hPOVgcwgdh7byCwS1v&#10;cexVLzvy2MfgE2otR9FiGVi7QS0U4Zuq871s38EwAUBBoX6mV5WLiokYUnyCpsoZVBlX8Hc8Gp+8&#10;fmEXPNSJj7xSiQLLYOXbiFXDxGE0RT6xRPUDfIT/cBE3GcbhoztsTt7H6lk+81OjgH9qaAltSJYM&#10;VoAgY9E+dAYuGZviBEyIBizf9z4n/vLPl+9+t261bnWMWhMUy/EOQLsgCNDdHVIQtbHoxPZqTBjV&#10;Gjy0fNRNbKDgYaoewvjU6WoHqHqCw8vGtzd4Sca4jnoFqg6m/HC24HcCkfiWOjqAoisgtYrX3crh&#10;0IeCqMcaz0Kl2UpPlKaxAZOCle17MPpi92npQBhdYaarq0ee/uRjL/qd4QUXTFzdmhsnQGpi/Wsl&#10;QiXtEmiMg2zMbiDI12VZLwizedpa3iBjnpqv/gshKpgxnmS8HzBZtD9JHSOYYv8Lt5M+cTYIbW7Y&#10;CmnWzUZKRZgioQpMTQgLMFmp9b0l6gV+cxhpKpkAdIi0M6FOw9tffOKNr1t9yA/MoZq+Dn3BariL&#10;a2mdGjS4t6Oc5AwlU6D/qyGmcKtRSOJOKdxDdkYDNA7DpdKn1iFo0ECDmRpzZyP3iPwZlsmX4L5b&#10;QgjuBhbs7B11bmPNEWCKuwtG2zlYafJcsvNWff7koOD/bpuIbvNMmZSrl91/8eIv7yz8lAlFx/3a&#10;OFsDgBPJPn6pU5rStGapGaxWmJz3bKkM6v4NxGwE7TELYwkw+giRLkdzRcmkRgY3kHxd7vp0upBZ&#10;tLtgF4nSNE3cQdKAbwo7ZK0Qsbpa+6B9zKdFKVj3E2J0knrN5p6OzazkJoUS7CDMxDoyiyGpHCSD&#10;gSQKTNES/xaHzwPG2Rz+asYfyl5f72bxu9exVqcqqC2NI9wgtMjoh/jl9K1SJy2dX17m4SMVE3jW&#10;D+akyymDskBe8xNj1FiCvjQE/6dXQrkT92tIdI94FM+i4pMCClaPWsMUu5XeVbUIQCc+V/1QDjwv&#10;gLFYGKt1PHq4OZDUM792HQUidUwBqEzr4Lu1+imwXurIwXBSk0iwmwbvpLW/rT1Ek4S4fe0wjAXv&#10;glFatAozfrAofXcX56k3N8cb6+P10+6zPt7cgnCjTTR0bIjpkpmf1SEbjtKHTqosF/osw9cTIQE2&#10;gSnn4ftkgIf6Awz0cCPfQTDd3OoW27eGLLZfBAutF93CdiKHn8DUhtZs9JMQegc1RkmKKA8uDuxO&#10;gOFSXAKxh9GhtbUF+MA7g/x7rfCytqP1JZ2wwoDS6modRgmXo1G1u1NtblTrp2GZRQUrfeDn/h7O&#10;ysCSSgiD8Qd+AkPs7cK0tbJ639pOmb4FrBU/Jm/AEhuMrSknjV85jYBVvlC41EZUzoR78uIOIOCx&#10;MFbkVyBMwSeFuGzpKLGzbzy7h09a2S4NNTav6NSHNyzYo1iXiCkLOysqLdUHtn6hLYmqgz3U3+pR&#10;elPZEDEKSD1yBP+Cwwp7Ei75MPwSJlg9MoB3CJ44b+HEiYUjRwsYRb7c3qpgdQWCcg8XWEhdzH6Z&#10;6mNSkbBLsQnmqY5QYE0pUAUDnx8qGSkmVz0LwneYHk5gKuMqI0s3zBI0OyWYW8rZAkYzMUWQhq6a&#10;3uKMqtAhP4zBbOpoGGHiElMR8vwQFzeflhGAAs2NRoPVI9VQ53dEFtAqvVkAtsZeO4KQPXpMPkeO&#10;4km4hHSLivFvE6zQlANr7mwDTEl044xEecYZGiIxHqrT8rgaXXdyDEuK5qMRV6xxqpQEr56UqwWm&#10;UpAxd0Yk6uw+ji3N6Htclr5bYQnQLXNQAU7AFg6WWJiA9nfXg77lqgvLNcKSTR2O8PBI7+F/bVjd&#10;0BlmcgkYFJffghu6N4D9r5fgJQJpP5Fyak57KRCjmBfadFz4I5XKrVgqegbT5rpBcvBoN7ZoteXW&#10;3IHqFTCiZxe56RWItopLEeUtuI7GY4tPrim9RFQ8BIdvhpZdClRqerQ8sTPA4uhcWwZQdROZET1M&#10;2YNU8Cn+dGtf5UsX3yGzHytbfvrMp2mN0r3VaED7ZFX7uzg9uXIkjAR6kHbIeYj6koU/5uaY4+Y0&#10;WSQhu95uqxQk0L+2tkdfuG68DW5ZyQebST/2mYBjFFdIf8qQyJZ5uQFTHVnyIMpdFdzrAgbrDNFA&#10;W7VjN4KZGvMb2EJnYgaNzTCRZwSyyMRH6OSIkqzF1mVynjijOCWzcsyys9F8NQAHFN1QoFKYjDxK&#10;LxGYphuArcdFk8INrin9CEC0F6kd69N/EY0OSHDssLEB1r+admVQm14hyEK10viPDpwiQ8yZeKw6&#10;KrWUwfNR9zQAlFXY4Aa43swpoQnzPkpN6bEr3+W92WowyYjLGhFEnqwqcnvEOqjn3tVUgGlRuAAU&#10;o0D7g9W1hUXYpr1DeY1JaLWyt+yklXCLKknOqo8nSabgQUAEeNOw1BJMfxvQJr+OYdHQ88wc+wyd&#10;DyB8x7H7Rr8TbT6/PDygmc/EhxWujjuDEDEq66Ajr8rzqg7ANQG9K0s+/Aw722v/sSVw4ILH8+PO&#10;AegEmslUTm4o9g/Y32UZxuxrfcqqxakMnVSkDHRyYw0Yk/Fji+1WbtbMGDzjra3RyVMVeI1zOgrj&#10;uQR/1kvtPIUziVsJUjaiMh+Uvsgr7gWWZR7lCKtA09UwXsCW6Dd+45mzV+aMCndGDOrw6rBhI6d5&#10;DVfNYYANh9kN3cPVmytg5Yuw6UCrMRLcuF4yJMtoNsfzqNxJZUg/plORX98NaA6mSKgHB7DUEh7C&#10;7HZzr1QaFjVzUVCcXgto5lgT82k8nIogS1dx5//iJ8QKnAesSgRrWGgs1i1fYNdTv4chvAu/08mw&#10;EU1xi2POal4AtbaAXZnIDR3B7kNjiIbWvOuiV9tJYsaoQYZ/UQv58wlBlpXb1j8E/K4sh1RQ9Pj6&#10;U+OpVgQX669E6H0a48jiEIfNt6hAvNnY9PMICeqbuATKx4J5x8HMyKpbUWc64vby2xBebXow64Y5&#10;Bqez9YzvwidBvLW5EvwkyInvQSsPTTjGYBO6obCapOdRDx97eo71anDNYeqceUzos2xDp0nrqFrO&#10;OZhC+fg08IQrgssaAWTQ+Dk3OloH5VDy9dRhZZdR/3LQyZGloc2l97dYPoZ18xkiHEbuTdkwcvqS&#10;95nt48UrRGOMMhMjal2LReIZXntCyieHnRJtzhNi78vghibN2zHzMpDIH/WjimKD1hXhLX6C2+yW&#10;gM8ioXIHAZiub4xrZgs7VjQkQ6LSunlzTBxJ+oj3z2IwGFj5FkGnjpB48gMv2YpvdVgNpsKvpkrp&#10;/Nrv8w6T1czGpoEUGWQ8dmf6jFkzDJLMSVB0CswDTMV+9FZo6Qbce5GDTTjnqcGm5qw7kxplo/5o&#10;AaasUrfWtDlnU2u9eMrVbowiDKcIpdYfr+Mc7EwUKBVIOIoByjadgCgMajhm7ArfBCxqCJ+f3ta/&#10;gtcasg7m1EOT6lnwEZ0jFPV5oUO6o2jNUyc1nW3iG7W+3ADpo+r9kKNMyZPyOOd5QG5o6zNtvRvW&#10;PSlfZlN1qtRFjUpIGaGxli6xgDX84yiHYQrPV0w/hBK/UyiTG52nGGuozEEkYJe3HQhmXV6M5q0/&#10;UXLwWX3HU7+Wk5gLRT/rCNWf51GRmGu12qRnG0UZcLmi3qxHAy+RIDgt3JZWGn/hNwPChxcM4bL5&#10;elTB0iIONuGc59rCUn831OfNFckO4tEgZaY15poCMONzHbugGD3tgtywaQEyjoY9ldyjW707n7tB&#10;u5nG8eG3RPat8sKgBWkUoMK43MB0OCqV1/l5IQuaDIoM5BrXKyNdNumBO2WEHpY1sQMQJuIlGmhc&#10;6xtd7AaHddU+RuwO6Bzwojb4y8vZ4EkseBMiTAraCnETGRJDsAnmtmjp3QJgtNT3azpiR8RgYRof&#10;TTpTxAQlfKTpyz0gupOlyiAvfYTP21UyheCbToNNKY/y5MKZQaVZOWvpJQmk3QiJPR7hPD9yisKi&#10;Gs+Pe2G5zTRNkUdDQdgr5JdIbz6oDvZ9TcqNrme5mrTTR4imWaWJJ3Dcw1MeOhkhKVFxY3zMBtZe&#10;AmTVRdGVTRS3Xz0C7wqaurHKGVjsiToZN1qEfP7p/8YZGfJaBYx7bEAk+YXiHBpusEycMITJ/daM&#10;axP4KAy1tvJUUkfrOsZjrscoiGOfNZAoQ5XJNTRqosOABlEx0nDD5q9eWLlX7bv0NV9p64CRJgSe&#10;0nwimwgpCfkk7kErezfIU8Gye02IZgibVwsQn4fVHbDcDiflKdiEc55HaM5zFkepp/ndHBKYmpkX&#10;N0paOVFf4sV2kjOBgkLEzKhhBnxHWM43wZw+LAw72B3vrOPCPEAqCclDBhorqJRGWqHhc9NEd4l7&#10;qs6AsS+cN8fUOrcnyDQ//a0rqHKFiRVWxBOqrH9R8kCfdUsmKKLB3UGEDxvPyBaqzAJoVvAdVLq1&#10;6hA2cQh7rIZeF1SGy1ZgYTGu3gQ3lOc8YendDI8Up+yPOgm4HY04wxcSwtDllca3543bKraUlaWT&#10;GR7JE5a0tuakCcA5Oqj2tsbb8Ej7TtjzRyXkCe/44N/14yhJzXWMt8nlJlQE145FrDzfN+Eh9JrD&#10;CRjRRMEtidQe7pNOyf2H95CDLsHfRWaQmt8HwkIooXLfE69AjL6U6xsL7trbH4P1x4c/bc6zh4up&#10;Ou/UsC72JHVkpRtMFZrcGAlODdxypQtOE0CLIx/lzcXoFA/waPtWH9CnR3vV7uZ4ewO6+GBpeQjP&#10;G0A8WRpBwRR1pQ7SRr1I01NDYnzAG3dWGacPmvRtYMVRChhkNIA0dHs0dOgfuny1YyhCLbF2mOB1&#10;0B5MYesu4khWrgKUgMXNHRoXf2lKf0nbjv17eLgBVo1EDyeVq9RB0U1gjd+ilBCqJ1GBbuyeJpD1&#10;lSwUGjW4413VTuAkvZntHGgEhpZ1s3wVvKFmZ7wDjw9soclaWRuurg2ApbA03HAlIIu+uUEEl8Kh&#10;mkyNXtiAPJdMkKphVPqpCOUu4Y4ke/jZgFG5zzqz+L6yRZzEELg9MiLXGQfePa4MUL4xCvRYWVx2&#10;3iIBnRGUZxXG9rrKIlA6Zgqd3Bong6M5Rtzt7K91zabOYLDzNKPs4BpXVGC0TaMRDBHmc6Tw/qR9&#10;MOsb8IgLtB8Q53BlFRsSDtxHbYXiyVwx9vGMTT0rxT2ntmtJH02oMmpOQoy6j1yPDJt8YnFJR+wl&#10;lVlsPxCkDMZlfCbmm0+iHdcBu+6DpHsh4h5yhFT0Mq0fBpPoEGn6EZG5fX03SxoJL+OzbrwxkRwz&#10;NPeheFubx51SO4kotwBTHcQ6mErb502SVNKzVdJxvS4CGVkbI0x34AFtDvtBeHm/2tsc76DnHsw6&#10;kwrgEhc02Lt6GaJOdx0xSRDL+NWLbd/dIEzq4dy+gAwFBAiJTkjbAdkjv6sMUjsy3GD7eedNwKLs&#10;v6kbdGLndHshMpX6niOtbAopNYT2awdhldbEMfFLjxDmdUsA31b56DqvcbZOE/y2QBjB64q4hGBs&#10;hJRZt7IUnEPkXNXA0xhKawfghEcCR3vj3S34kFlfjc062PclbFfcDcvawMW3WeCuR11KrYLlExK6&#10;fp6W4qDAW7qyi9F8JJQhDcG4xJGQbHWou3PS9oZEnIZdneZN+6jY06QhVCa5WgwaeExTOtA27X+t&#10;R2ut2mqdXbf1ow5kjFrBn+opQJkrxnZNyUbw2oiAMjQNtcm9ThdC6tUYHliFYAe0TTDrIMYiQhOI&#10;E1dP6koi1DZrnFQm04Z+cJBoYjLNmsw8fhLeSS28FKWJYXuZCRpUXE8mdzbxyVaHfIaJk0OKMiMf&#10;1S1RM16jJsh6rz0G7aZiUZWkz0h7sOq+N+6ab4hdUj9mEuSlFr9o9xWU6lepV9BDWO0VoaGdoiL0&#10;ayODS7W0CsZdx62wIysTkpFlrD+BqG262Q2InVIVEkVc5XHqYYGeYhx16kKogbPNi+A+rD+NYoVc&#10;8HwWZatzxpzgXmOk2LACUJ+aYm3LwitmgalWVrSrezCCaQN/eNeNv8tfbn7mfyMn+q7/wffdV7y6&#10;+tznUuIHfR4/vvaonwj9r0C4cCoTV06EQgdAQkfWZCttEozAHGcn+Ha1QpoYwt6tYhykCr5El4PS&#10;YX13y7mEN/MOH2pCWJlBEXJmHq7LKozqaqJOJoJOOvTo75A5jdStSiVtKqalAVkg5+ZZ4/Iepfik&#10;ALj+tL4EL4XVgFg7S0yL/wcXXiRbaHGecmgDiQrqKlQyv64RB6PtTRn1RhhxvkiEVO31dpJryt3K&#10;IKUwdlkmSiuJlULb11RhARR6/HiYMu4IUJYRhlNsKIN40beg3KAga3eW39Ui6lBFjFK72paf8H1p&#10;aQC7xzQQR7NW2jDbgZHUdiVJudzACIpRXvckO4ZKD3QMSvxFWz0MLwKMOr9xphileJqajOBT2cjG&#10;QMBN64eZ/JM9GZ2xlhAP9yUGRHCk5JRAgX/xkbaNvyZUqRRIr/Cym3o0Kq2ZYLYJ5JE0u2867Y3S&#10;dAxQ3234uySrwYff6RW2OmoEaNJf2hA5i+slqblC5j5JLYlWkVg1tCJGw+ugIFGP9qmvT/Lsso2E&#10;FAYBmspAEUw1DqBwpPtjP4mbloWNUKuglyJysLoKCmipSxBGpZQE3c5AFKssKyd4NluyT/qKazZD&#10;qaBHDVxIot8cFF25BmvSClj5LrBS17pL2iRNe/5i9ELXCmMgvCTwpCf3nSdKNpPMu3s9iDo2ZPfz&#10;o53Tu1eQ46P0CV6dhIolFyFLHc4rQLSZdbQkKGSUBv7kAIDz7qUoPq8kawIYdLST+KowxGHRjfWT&#10;5GpGyHidiZMPdhNF5b4sTqDWPKCTnTC9mGqe7uIWZHdNEwbvjQvnHY2bzHzcZLNsYp9zMZwkj+2r&#10;fiLHWkiV1p2I9oRK2UfVDJMhQXcAdkgZ75snYFJ8SHSJ1MwUxSjBr9rqdj64B4JIp+d0/Bk6Bufr&#10;Qe3dDCopqUXYY0zFVKm68AhY/FaY+gIZWIndtwRuMMdotWGTJYG6raxQpwok1tYu80Ko9aDEmkv1&#10;CHC6u4TKGNWeSV4/wqC0rTjvOTyfQ2NP3uIpSgSMZhNzmDKfyfnkCy9gZ/R5TJbOhBSGyYTknHze&#10;VeKii/RZ0hc/QyQwRdgQcQb12recOT3I2Og7gAYMq4nk0iGUi5ttJ+3XDYKBy2fa8hg0cBlG4Qi4&#10;klsNh0gZ2gvUxQOA/GDH0Hkebo2zQNNqEDw25dOYTSMGZZwo/oT/ImzGYIovBf4W14CqnHdNgaN7&#10;hqSx+/JFBxFrH9zNi1/OYjDN+FrUriRDif14QliTok5kCsNLiQJAaUeu/OgGUy6xz9HOZtbDOcCE&#10;+0YJ5tgN1fCn1dQZ9FKbIOZht9t5HiUNMvMxSlLEOrIUF1aHTZaY/b/Ii41tey10fa+oQSlLZfNJ&#10;daoxbi1xmLQ7xk00eBkqm7UyZ8Wv36QHm7ml5Cei1g1z2PxBn4atteWtf3Uo64y+zgk74QQUQq83&#10;kf6r8gtALYtgJbyLQjfFxmYAuzCvzJtHZfyRWEwbQkVfREbvkobvmoNBUPXQAaF5r4iHYon6QctY&#10;ShFPrs+UmTjkhZjjh3jIbjG8NL7mMiePAFen86jKwi7BOVPCw/UeQ0Rnh1WVzs1tQ9dsYWoGneWX&#10;Tfl09M4jek6j/4p8onMHFWgH2BR8zgftkauoomZwEhih+i/CsAxXHUWFBMIyUYcr1iFAWXJMyFth&#10;m4z0KXEx3oEStdu6XBay+4BU9S8JkeK68LcwQMTv+K5BXhEnSzlpBsuWcXRCZ/9WnSFMgeYh2Mm6&#10;EiOAM0nc98LsvCBVW8da1JlWfLXN2mwfFCloBjHKhUrTCHS8jY8GQxKXsriREA9lwSgRvGrrGhbD&#10;l5jqCq5FwKfkWzDZMRw7ADQ4owUk4xpV9SldvCmR2VgWZ8NpUSa8dFDXv4UJjn4I7Iw+G8/0y7+Q&#10;GsezYf0N76xreFWv1O4zSDCPiuXEtm58zfbUUmoGGB+Ndl5XvCJh8MouRp9rHo7TS3jTLrHPYJ6D&#10;R15gIzeoing0cnydckrn4cZuzUr1wmK8ccgdBClOgUubI4/howMIIxKV2CDOKXG3I0o8+dEHfW3l&#10;dDIl3IIqM5InTcqbyyMokLIKGICqDy84v5tLM7leRPX45JQeQSQVlvGAf2UdByfVyK34MDpo4Lu4&#10;5mmbZarlfDW/kGeceaw4KhdwCwsl4U0UvqNnVh6fO/P5tzYduZtRlnGLTavprveDGOB8tYnbeL0N&#10;xioKbuJAFMokKvaUfnKv89Y/tAu674PzzoPlBzV1CqjxYtZLVaqMM4wyFyoPTDJTwMGs7gYm9Cse&#10;SMkZtvA2kLfv/qloyTEaPKWElg2bRHL6x7470RsbPQ5KtrV4nhUqtGtZXdHXLV1hSV3hxkYYdq0u&#10;ONay2pqyA7ia0U+KDKqAlTHLg/MvqAdot1r2SQWPuciAtnCXQJadAa24YJfaUO27LnemG5y/Ek2B&#10;lgvQLlG8WlA2Qza5kP3s2kquVGqm9L4zA9NuDdiVLZv7Mq10sQcALaRfcKdgse7i4OixAbzXCwaI&#10;LccEDVCbI2yIAm90jC+TjQt8rRflBWr0Uwx1FhqMVhaaEoPdVychKtBOui9cBtkXKitauiAv9uNM&#10;chjVupzNesVFwVzrkLGIEf5pa5sZXu/QzPVJ+gCYc6FoMe9DFl56y9qnJ61hMqnWuCe1NrEK704p&#10;KahUDdesgxG94CI9ClVU6+ebTcAXuacCp+QS3qWZ5q5qKC5MMFrMkl3h4BwCknAhpoY8UowWfDnn&#10;+ubq4LLxfILRgNQz45iKVE2onyVGfTluVsLHbbp2wBljtIa02cr7D7eitZuIoSnEvpshTuMA4tla&#10;smg4k1fdKikA1O1lzF2utzV1fVIKqel8KkKZfs6YxVdHrCs4QroOJNyQKW9too9M9eFkoeT+Ajfc&#10;ka+drkmMaKQIdrCGHMDX0RUHm3hshQkVr4Zmj+PAERMo0wfVI7IpL+OUClmH499cD7ZkLGq54r0b&#10;aKbNM48mn72Ac84RbH3+No8O7UK2V6mV0otBdB6nC0IFdzKKTLmpHeM5KTx1UsUvZVStrcleDwnD&#10;ZZ7o+LOfG3/6087W16rTTL6v/OIdvnJw/Jigd84Wf/SJT1af/3x9c7d05sU73RGWUfvbO7SiJc8y&#10;9ye6qC+Vm++fmT/qMWr1Ci5FEsY0LFkXD2Mpa8Xgeipj8eCHEwgV0z/hFoG5+hP5+EkHakDRsNDG&#10;Rw+MKVNVD3Z+/yU7z/rtifv5scv/eOnOlwaSnSpQ3yLF1q89be/VfzKxqCfe+dbF/+fLkts7w7TR&#10;Q5oCo94+1QtTV7qcN1tvNpxtIh+cbQ5cc1UxMU33i7lUx1Fz8J4AhqVI5lACJ6thCHMSEsXXePHd&#10;4ooTYkBVMIFnMmGJN4zbZqIvxmgJhRF6GvuAOKkEQDO+EtVn7MaXWP2Je9oAVt9ckFO0aMPZ4bRV&#10;pdtM3diu01rtps70HMigMwnPuy6AUSYgT58JKOqpLiREdnSjb5u4N5ZUspWwf8qNPmyQ1dmPaiBW&#10;VxzUl4KiM+nFWvuzpsl6QKKzAmZeuVlmSGvzmmstA3aLljOaHabVp4SE0chaWMcZ98CdNSQXRMnU&#10;qwXW7qEQ1QJvn6We6hySHoD5YtIJNWDPipTuT7iVfecInwFq8A0xUYCpEpH4AQo+7xUYkSfIDD+1&#10;VF6y2eXolqpLTpaGK+iOmfaCXqKUEs9zRDe1cFNk0CcYLjP1DqSuwYJLmzptMWXyLZJVB8ETqOHM&#10;cgEZOSBnBB/KRga2Vkj+pUNFzlCSOXTVw66J7T/qCk7o00gukk0bTwLgQRUYIPAwlSsW4U94sEGH&#10;nnEF2fgeIAtXeXlKrsGMdXkDaO0mjcyoU89Y6ZhdlwUsHRsntoIIdANZyYSbmyu02kiu3G26PobR&#10;PHM0lRYzcz9Vbodzc8f2m7UwMwN9K0brJZeqN4YOo4XDbPQLHBuVEWnUU7p7z0Gofq0iZqYhE272&#10;Oc4aFWddfrPpHRh7SqvWMLhu0EKcjQE4M9hstRvVmV6l3zJaSqTlpLPRRYcmPrSCOsiSJ5m5dNN2&#10;y2nv5ypOwaOtajSX1VIGJTroiksQKziHKYVFO1S6/TmLVsHjBHk1emZwaMnrtdMNvR20e2h1cQUl&#10;80yJCPVCF7g2Smx+W+wb1tNeuFJiXt4/uxtID0WNXRr90Ju8i1CHop3ZFlLDo63qDeqwpKkjqUa4&#10;OWxX1Kt3Q8mSI4m2yhTMPiftdkNnfZ7lCMB4SqjLzOo+s4w66zlLWIo9dckt1kgjJMSWuyeitICW&#10;VucxFr1sqehxFm8/C3TaRX9zSeMUcpZ3qF7VZ37KaiQn6mpaBEKaWBKVTHcGUrs39iZ5YUrrvoE3&#10;pAbp1XqNrtkNprcma/O0XvIvs2X+Md349AWd1Nhcc1ZrCNVjDkj0LFG2+CznTIdIBD1n5C7Zevbc&#10;+lShA2gsicG0+EioyBNl6CTxQfuGQkuXYpd2Gnaye/uoaCYFTp1Jh4bqUMaZrrfnUZYlHgMZhzbU&#10;Be8oaEOqphvZ0M+QLL6h9Kt1+chsWqBDI0W1O7xSu0iWpplWumnvn0Tmtnv8mInZ1HpNhpsUry31&#10;oX3XZMPOFjFSs0TPJSKkO6qsnKzjzW0q4ut1vavh7sPmH94bNTn8qQkFmqkeu2k7SlVcm8dg9Ecu&#10;pj9TVwlHsMXkdj3JoOPqu0J1W8Z6EyjonLplQhDOr44zgXfy7DKjk9gU9yAx4eGMsaghuFYjeCEy&#10;8cxD/pFRJae8EmWAzqSy07cFitEZCIctc0GXWY07Cz+9rmaWg/dHLVOurLmnBtzC+vvioBueVI7s&#10;jjyvHIwmPSOaqTQ8TFdLzN1VPAeAdDEdvmG6Czuz5oy9Esm2pyp6Jp+p7MXMaN+8gMgEpqm5Ny51&#10;tZcqIffypvEJ+DKvQXYKRm6la5YAGZSxm7cun4m2X3TCnSE0zL95epZQgNcNQDU0ZpKRUhKuMZte&#10;M6vovE2ClqSPICYnw06WlizSPjMo70vvlZopuE3jXcxdz3bPk3ckmo7JphankEFWtD/RpsOSQGew&#10;LrruqREXZqKNRR16lQgDYKM3EDMvYnqmzJg4OWeeRuJXfOBXFca+59IJq6o2J9H6hNCgorTFZCfE&#10;CbM6d247owgljLIEfmuGTHvMsAIFD1W2vvrSB8OiwDraT6/wYkmjzwBQX7RBj75EQIxRecZ0aC77&#10;WY23Q+zCc9HDkCDKsDMoJEZfCxYwh2fnDaCUh2fX0pDI5LftIeAW3u0yMKgn0WKFD1vhKYlH/cER&#10;6lxaZ5aZ9jH3pU5/xojA1jgHCtRdw6N4vlCtGDoRF3fR4bcWubGMGneh0mDfEfiCTuoVo4MFfFm3&#10;9o2UQA2sgU1r4DnzRc0TISMK1U2Uw7Q3xSA6c5Cath7Z/UPYOC/4goJUwo2QaWTm4+CTUS+8sshv&#10;OGq865iVEIp0CW15MFrYP9DYkydv6wmtbMpFHKqp7UDgNyBcnC0LebCZMT4KL5cApMr7M9lqGysY&#10;RJOH65ER+X0PgmV+UQ6+XwteWbRIn6WlapE/8JP+Qt6wbTR4n6kFTVlUf3cARku3nQo3afHiF1GR&#10;xXlaVl23A143Ux0cVPt7+AG1dL6xW/ZRNOZQe3NX+bqmc+vwBangIDoi9E5mwKsNoehU2H4sgxSD&#10;GDLZ31vY2V7Y2437Z7DjUmQddvl8O2JDiva0XVXkS+6Gv0a0oUb396vNzWpra2F3F00KOOVgW+g1&#10;ntMcvarcK/E0Uk1/b/asCL2YkGh1RNF4Uhz/G3Qo3JnihhHJH0gMqoeXP21vLmxvLSBPKMpEPWbl&#10;JybRaRu1i/oKZUSqqMmjBqbInRsb1fa2vDraDBEu8uoizrRp+qgsS9vn5mkFdffXPxcKWkZmNbzS&#10;669DsNPiSmz46O0+sCU0gBL4cnNzYWsDv8BLS/TNlPVCl7zPXstKgu60R3Wk3W6KFPmiUro0V5oG&#10;Lfv6aRopssrO8HEonWIGdez27DLj1SALLHtwgFzLn4P9AZhysOMAUAAlmC3/7m7PmsqkMxC8Nov5&#10;tX3/nN1gvxqNq/V1nc7QeQ3OMmwnOL1iYiH9L/3evxrTSzVVDt0w2loEP3WEo3s/VzS/jproucdI&#10;pbUqPgEUkw2b+jaxyEYAJS9BxlWaj7ja89OVVKiXZeqlpXknngVGyQHV2KcPrzYIn42W0rQlKNg5&#10;/oJ/i4hpeiyll0IDcPoiMy6m2oWRO713gH3ZCKZOe72E65847wdtPeOscElngVGx4ByN4oX908fV&#10;Y+0lHmfWPPaaMb0yM5g2doZuMIHXxcMQPni1jvXZ7IRFid0ybElVNvd+FDddj5uJkD0ymRFGKQJF&#10;oVLjUT/F3yBQjboK4+LMvjsqpTiCvA0vFDazpjBXbpIcKQ7K46QsPMLRZVRajza7sSWdFUYdH4Rw&#10;aV9oYkM5hxYBIUQT2XYCSjtaOiZra/H2gtpy2D/Q3uuq57izGIRryzS/Lo5tXRhZBmbB0Mg303B9&#10;N5m8A2nVAntZOJ0aV7RgkNHfUe1mh1E2Wjx4YouvU1Bd1U1DCnbYNBxr60/lbOSChpV+4p8WLH7X&#10;smvSWXl9JpCSvCoINumLqUUtNHXMdidElKcd1JiTLirsbk/ESS7rIMutj0qVJ8wHlzlMe1UX+z3h&#10;rPyeF0bF0A/QK+XNRdiENfbCCHTZMKh0NaLHGKZli99Hp3NJS26IQyd57WzfPb/MpWwH1OkNAmc2&#10;q3w613eGPEplCjUkS0wcTMs1dGcLbmd6DyEzzyhm0xlOf0+Z1dDMC28NNIQXSeK7JIOFa+vJnZuz&#10;KaE2gjXGIYBtci/B1WTWGGWQYqvAW3vV3JclbVBRfMkjUr8H2BiV6iVh03wINVlLTwlQUAe+Z8JG&#10;k4RO3qqSPmTxh7Acp8Xg9Ba+BwJngqTeAna+YTDe3emcuHNC9S8qmHCCuVCJXevtQSW+a2eKSvwz&#10;7zbQd/sjCAhkZFkNdl4M7wt9bme504Srj37k4m1vM/HtduN4a1vddV0vRo4QsSkSKmB078/fNPq7&#10;/zNxWSeufEv2vtBIpehx6AmPXz7Xhui4dTqD2iesL6KUnWvu+WAUK02P4eFfB1NuAfHP+MfEMNVK&#10;mOLDl5Dzzov/cBqMToyYw7+xF0Y9KPtjlNqvG0xngtGZ23ojS5s+UaNv5qy2ellPS+ysv24+qaXR&#10;kIByAo4XDx8rZ1OJM6x+zryHV9G5YZStMUVYxDdtjkbV6dOQJxyM6Rjk+KCKKEpvNs/1xotP9mvt&#10;E5DUHNqqvW0GUJS84zAbm8HDjo+WaqNDV4KpjmQ1Tq+GP0FYzqaxv6QPmNKiIqXTwKZuhfyNEalc&#10;Z/u0Q8zU3e+29owthWSsq2lksEKNqgsX4muJ/Zsnj4pbKL2lz6KTEkyj+WYPa1un4SCpde+hyRt6&#10;0qnjE7GCZuhHtGl+/hhVo4923z+aF0kWYU75NZO9DNMATZmysG5opr9NCzfC693GPGeFYg4FowZT&#10;nhO0KZai5xQ6aLGrupOpfRdIpkg9K/R81gnRnwf73zGjSh8WRnmk49EZJgNjL186ODvaOZUmFsdD&#10;NritSK38/xlT7IzaZ27ZdIsKza34PhkfIka9WDIyd1OmEac2G6IYd5ED4AZMN/rIUx8YnNVpDxmj&#10;Ai/a30RiU7IAJbiqrfrKEZyj9ov8yWr0ejhXdXKIGGUV+e1zXQBVVktFCwlLYHX4rPEGZJKUnYsb&#10;5VGOdeZTQ4l+TJ91ip1UmWd5fDRUi0bfHM1ksGarJ2l9BS8/rf844GGOos4IudEL9W6MOPWBTj8C&#10;Tb3znFeFRmbsJok8Z3F81GyODmRQAzpTFMMRZ00xQEVgDSunfCgg4gg3m2J9lbFPM1w3XiadlPHa&#10;7jsz3sLh2HrXs80jDdP3ttqX7DPiS6b4HV55uZBiV50EWc1u0wMMTf+50Rr8NrglvtCZQV8HISHJ&#10;IWCU9zswGx9MsVulr4wYKNOgZnglZhWkAtMKZA2mBWh+kUm7gWDCVIeF60PAKI8u2R8lR9SHmcr+&#10;IoErBFAbPdSENYMz8EWEToi9s+22eWPUkSiNl6T+0VinYVyT82sW8C97qDfGsVINtpLAXBMCz06t&#10;zW2Ns6jCBnO0n1k+nGdindsx5RrnpW/8hsGFF85Nuijj0Qc/NP74JyYuq7TG2TJDDUNLSPjJ6dvj&#10;l0+3GfC4sdqazl+vz7mUC56T83PFKJMoo5PAygXzqMjwOnGzdLhxSowe/9NXL9350g7lzCDJ1pOf&#10;vvfqP5k4owyj9fCJrxh0DKN2vYSqCTBaliT0mYymnLVFfczf1nPnLA7nJ26Qw7uxjVYOT5IzUFIb&#10;Sx6SSPPDqG1fqIHh6MEjrv5ZooRD0vXhFuMj+RFP1Ilh3TG9M7phgk57VsfwFZ227KP9kabDbcdO&#10;pU3QKp3yPcREc6vC3DL2ypkTjyYx0eD+yhToOUOih9IIh4hWZtSG4yw0bXPCKGsixERlqMS6OQvV&#10;0GD/kof+DhlP53hxM+ni88CoWzzA3VY8Ud225BzDKcNkJto+xxF3hsSfB0atKn4zWCXPc4hEZaTh&#10;anGGGmmuxfZvkMPurjPHaDKcdxu4hIVI/dUy11ZqyDx6mPKw22YWlbZZuM5bi9Q9nx+k6dt8LIMX&#10;gKe5C56fPm8fVX3mGDWzmJAoydS3drNopanzsKfAp87prM8g74UzajGN8OgyDNkaQaYeW4AxW4wK&#10;iYbXgN8AYqLRFj3nHJX6WGcP4WcaIuVy4Y10Fb4gaWNj4dSp6tT1Ff89eV118mS1voFvQrTlcbGk&#10;s8WolGJL7kk2ofpzkkS5o2OLcavdUI5DrcoA3wiwvQVv/6l2tqvRQaAwtv/w/tjdnfGpU+Nrr61g&#10;g8HsmCFGzRM1T0Mnk85FTzTSlI+jHWrzngN9ok0fFWweCu89hJfO0W6W+kfXXsI5erMXLk6v4EWV&#10;64BUfHOnO2aI0TpPlJn+HNB2SUR9V4nQaFuDnKO1nJPYYHy26X2cshQ4wJEfqNBxVLzb0ng8vu5k&#10;tR22xZ0VRovDeRZCbf25iFPpWs49Q5Te0JDqCaRb3TqkAoDu7Lj3wFuEIaxYj545c4gFpIxPncb3&#10;UtMxrODtyFNtV2WTSTp2M/mj8MI5SqSkORuVBoB2aKQ5kdOssm2swbStBZnDa8/1CeDoMR55Z6e9&#10;DiCujw6y4d/x6XXMRNbmyS5zzbVnLOYfphXlUTLr2j88ic5KtYebj9kAGTOdo3Eoq4bTXgzDIihL&#10;t3XTP74KnuYXw+b/8Z40+uAauac6cW5eoXqtwKbAxOCs8pXsJXEijIHSsOinOvPBhI2TtDLTdslu&#10;SplXKnNXqICIe85xKp2f+PAGBDDO9pwZE6eA1ZCqcX3fcEx2HN+XaD6Mojb0XUEAe8glOhiLzJH8&#10;0Z3thXdtcVMCEKXPc9oT5Tp5JjnrqbQedRY4q01SvGC3lRigvrTRgTDo4uJgEXZL4L/0fC/vk1w+&#10;XGkCU0QqhAUMo3hnxY9wCCgpKAifMb17gd+/EJYzyUsZ3AnFvozXzAeeF8UdSr7q6YtmefKMmufs&#10;Gzz1tlgOZv2HTXVI44eC4Nly3MtjYbgoDAo/eXePZGMvtbtmtsVYyS6geBneDBS29ZCX02ErIGsi&#10;LCH6mvug3uZJPd2oTcn6XBzHFxQvRodI1Rr1HA7pz8HG+yxhPy8CqDy1NgCAEQ9Gb6XSHmF+Jht3&#10;Rk4YarPN15cDiVUDZEJeBEqAaPYaR2tByYbykP+DZQwm3uzloVDevAoxKtUCgtEXOp1XyedAviV3&#10;gHo1AAnQWpEzqt/lnQiylwyDkQOlOoRShKqxJ9KVEACwKb2kA1maaJQe5kxiUvFPcWwN9gLWuIuc&#10;81xqG1YoUsPs6A0CoNOyquc96lIWrjdqVCy6UZS9wCNsPKNBADf/xIgCB0H6qvdkMTYVk2ipQ0e1&#10;82waiDWw9rk70cSKF/m5QuKJcjDuXETqtMBs4neyojQ4ZyfSbKk7z9wZRvqyF10URmVE0V8/ljdI&#10;sd4djXvn2jNLMOaxMK4SIC7e7fM+B0yYFzGjUhsznXsAtWGDVtC1S9JEkWfYo8mMCLU7+zJtc2Qc&#10;PPH7uXk/L2RWeTOlvp/S3EiHUeFCHbQKRBmexZ7H/oQCMGL98CP0pjD46FHjsyapql5aUvuwheEm&#10;FzSmg8nzmejOmVMqo9AO7wEKNbImDZTynZGK0QDxTe316cijmmNx0JrXoR6uJFjS/eBtrYRxOEaj&#10;6uAAP/v7+IEvEOmddiZ2oobpfRMbHa2dtcGEDcxOQjw5cpYFCiasGatIp4ViNQfHD8dSUYTfqFSi&#10;/Rqf4n1oo31KuEODMzoucKcOmLJe700Ef0d3BOWAdoA5se3tCpZmbW3iCgNY4gqrYCDGC9A8OIAP&#10;InVvr9rdQ9S247VBdVNotRNkqe+ZKaBxpcSLe1CpTovQ7dmnkxxNidrXXVjrFdTVQEc1yq3XOcI0&#10;cF7wG4XBgm+K8VKlVXtfOhGqLoyK/VHmCZrIkvzZ7hdECbQS0zqhcwFRuLVVbW7g2kHIDTPWaIIQ&#10;fuyhYrEwWTBmip2IXOfv8JpXE6iCleMbowghT5k6Y8cBvnBMDVDOoB2mWUEq/lQaDC4h0ZwdATuR&#10;L8jmNry4I4Sf3LS+nlR/lOsGdwK9QeBJRqxY6bhOHrx6xZwFyBSIE6AJACVoyoqBgv5ZYsdMLkLB&#10;jgGBe97s2B8ZUUhfxcvjdJKxEadA02GSJ+5skYrHen+p/B0TwLSmwN6oZa4Jt1nz5TlJ6wejn8NU&#10;g6aAUVQTjb0JEvRYifwIBJFiRct0TgZ4CJubFVj20Tiak8VbOUbjqdQF0kL81qmKw7QHI3U8Wpvt&#10;ENBss8hWF6MuNjjWpRM7jsFmmrSLfdAIWDPtj7NQxuR5cFtHIxPugUyxrEYPZaHHOPbE4RT8H2eV&#10;0HPkZABQQFiQrj7+F3WMAfqUQJ9s1t0hGYtYOc4oF+tAXDUPVJirgH4Zsu3dsVuh3TOBKs6GBSGk&#10;T22Af7TS6L0INIUyo6FShoHZVS50lo7VmxyPxQJi/Bk+pR+rfuxWDfuX32WwuEgznzS9hE7kHpCo&#10;6rpQutBtoswxWHZ4JEAPaj57s3ySS4JBj0cKlXEoy03bchStw3Bqdi3c3q5CEjq+10bwtpvWORA0&#10;dcaOsOudMp7+lzNU7/aSu6XAnNHsFrk5YbiYFHyDxN97Cyc3OPibrY5y5nQZMFi58Gd1DSZTgUiH&#10;6EfuAM6CdVfvOyoj7W9gvjY26YGVUKxn4RqVZvUNLgNN9VLYX8wn+jcY75Xp2W6NNM9UcUgfVCmq&#10;D/YdjXpAZyRLgI3gyBqoNwYmrWMLZ5ocnG5CscLNcQZSOLct0b2/HiandDXz8soC8Cg6rbvbGBjK&#10;jwhucd3o1xielQb2TQ5ph0ZdWIgxjqXRAn45tB+xqgCmi4UlBJM21NT3eUJU+y64NOLk835UpK1e&#10;30mnF4x6uLNlhXYoE2xr0X3wal5eflMAqCA1IUYZgA4AnQsrK5BmiJHLfYezqErCZZRXqAINsgCg&#10;m+i82kG9wj7cSeS/ECVwHdPPRigOGY3y0GCUALIbVCB07aC1hR5aG6BPgnR2FKvtw0g2NvKZBtOQ&#10;KLPGJvcRKGoE38njrhRnWSCduJ2jtq3BdQSLNH/GgIQd+aIDKHYm8B7hjPRqND58gNjg462tMVx0&#10;UTO785hjWXRXPMFlCx/mjy2BxlkkaWfQEBaFQVGnPiClmJYOsIB9qwzTPp18oubPbpL2V9EyyuwR&#10;A5qB8DhshdBKk7fZqdozEMVjW7RjIwxvJ1OEcNQej+HSwtqq8RmMmWL4MdhtcGrYD6lgFL8PM0PR&#10;bSETxrr1GcfEoY+ooNrDAkAlSsqdSdwTr1oJp/Vo/k4NM3EiqWqwH8GQ9Mmzc3+uzxQeSB9fD7vT&#10;nKp27IHMVhFmUG5zGeh1k5URmFEsiWaOeCZSoks2gVeN4UGoamFl2WebPV/fKjbui7ItEdAImm4g&#10;GWOIRHGFClnyGZ0KJzLlE3TSpsgVr1gt6j440m/V/uEk4AaAsixIl6ivxkLOQzpakoGLIjY3xyev&#10;H0OgWrXZt7Rk2NT39iw9Lk5W4qPpIW5l4iCeNidfCSz+qBpB9BOeKY3yoBh+cjTCNO6mniaVTDy3&#10;0Dly4POaoojcrQSs1qvkJkVqOpACmC5OrbhpMhBuUJ87iSK7qgZVcHH5Je2o8C94sdMc5jJxi29u&#10;4W4fGExs8kmLDTONFDmUrHWDHNUYPdExOqM0IQojjaUFCINCgy8uUpzRjXNK775Rd9AhJxQ8Go33&#10;or14xLJHfBGA670Ppys5zX4o9SpjUG5JBm+9byVuwAyV2T0rM17pgN1l4dEWQ8SRW3g8CsAO8bu4&#10;YboLJClFY6Q7/g7UdOr0GHYCw75Rr8xSSanZ63u/5pkbPGl0ecIJnshblIYeEO9g9GY8GEfBosTW&#10;U/XS/hwKGu/s6o9Spw9ebEogQQ+qwRBmCp2BCdcFoEjXHEzR5641Z7+qsHd7TnGDWHYfn48JMmWS&#10;WnMvszGgNNwxIWKOieSL9ci/wPrv7I6vuz4MpwJYM/xMx+O9ZDYnKeiOGpQWeIDHwjwoAmXr8LnL&#10;hb7pigZPFCbQC4daec43aZRIFbFeLDhKnQvvDkM7dlP4nLnUrmxcg9hLLTNJzCYimXZvbVsvKGNc&#10;DxiJQ3gEf8+iMkbZPmwHLTwejcDuw2ohKDri05jja5p2JorzmSRVDSMPGmlgIBw22XNDGrfGWRDh&#10;ccAYof/BdCRWvlb2rM0EgiobaUYSiZaEQTVLXRlNJOrLiX7yUtnDO8wNdUuWrE+mdOldzxoqBYDC&#10;MHZG+Axq4M4eZwv6Hp08JTDlwW0fzRkJtXTH7HJDevUI2fhS1+Unl8AlHY9wgK8Hj5G1P3kGjWeA&#10;MAsO9ed9r6EGSoVSHN4rHVktuuv7mjiZHyMg0sdYlsnoUM19AGj8QGLcRaI2SRpIf5ofhGvJrWqz&#10;YVKPVIWp8RTCNFpHFnSv99VgqhHPrWakI4tUtGADGpnWkDiXdDC6/jqNXVleViv+Qn9H49HGlvrj&#10;lNJPXLpb+ZL/YKmyO4XtlqZwsyBoEaCaLVyMNaGC0YoN2Ce4roX33vDm3Ve9pqOS8mRHf+Npi7e/&#10;WB0YNPEYIilOI/mboyZ11sNsAtQaAIpLEULFdl/+R/tvf2cHUT1Dc3I8c+R//MbwFjdTNWmPkuvK&#10;WfBzOBxedJE4VklhnLHKa8XwiUYkugpncC7iOy7KMh8MDnZwqLe7M1haXjhyXHCGGI0OB1BGG/2F&#10;KAYNmNyEQRzBlDxYIsGoIDJsn6KP8xMjWgfgOBmpx243kYx1IhBIOo66DeThlob2hVwauKD5KjUQ&#10;2ooxLgBlbIm3lLSjE8BbJD6ttEbf3ExHyhAJGCwjT8MhtuBW/amcLC3+YnMT/pfzK6vD888z1AVJ&#10;azDKsk+G0Tql12IU4qNg6A/2YZA3OHYem8rEH3W4c0YYq4mjpYhfI52HZpDWEHA3wEZBKc5ICNrH&#10;9TIxylk1WqGW0jtedjMlPF2sEHD32/nEoAtACDH23QOUmyCYF4oG8iepOf/Ujs1qto8WEFXJdGNN&#10;xWd2dyvc1zMCJ0qXKb6jghqS1SG7Frsc+Ya/49FAXVLvj/o6KVEZYQGuHRBTmgj61OCcKtFG50EH&#10;EQEHRpWqRuLrD+eSZozYBabNaRqvKpGHvVsEqXVNoyAO7eNaypToTQ06QmZ8DHkWzrA2KJSYia4k&#10;qo3lWk0hDv4eLFjDWuDFFEY1sDIhuqi7I7jFePrIDQ2b0DmEaKMsqav0KeaICD0MSCTILMyCmEW2&#10;vmw3O4AGxMV84Osa929zI7SGsVoiVkiSzFBviXpJjX6JnZjRFuMnl9P2VlUYInUTOdvUKHHlsXRO&#10;HI66yrot0+L4n5Tq/wGvBXbyznOqydvq0Wjxu3ShWvRqzhh8QsFg/IRhY2LVYEFcj6OcHN3xqimn&#10;YUnggchXw7xRqloHK0nKRdhSKwndhVp4wxoX6Gs6P3xaKbKinjurI6qWFvOXmTJI1jCgDCaeNpsj&#10;H1327YgGnYLUJpe6tu3DOM1cYmqZijerTz2KKJ9EtUY281C55ckRKJ4UpdGweEIMwKZDKS8e1jiw&#10;EeDot/zlf82KMehDNg7QjL96ekBkNIo3ryipjY7dujtxK51B975objj9GZPTFsm6L4xdOmjnzqA6&#10;0Vukg1QfjH5uQeZ+x/QGLg9J6HiwQsrlI5J2AGBfNm1ElneJmDbRJaUl7RBCwXCn7RPJVYwFDBTP&#10;32RYr3xgt6hCzaMXDuXc9K/8qyC286EGDTBt70VNimhZy9esc40xy0xvxo6h4AwchhjuhNJpjSM9&#10;pybEyVt0yEYdpXm2xna3ixFS1ZlSykYqFb12AKbCvofxaHWIXH8K5slZG3ZJLXIZDWTqFBB6qxKi&#10;A7YOOelSBva4anQZFWjALRfps6lTTrIqu1vjdUlFlEkDJB6J+wZPUGCXNFmCZPiJG7tyn+W4G+0b&#10;E0ZOuqF2eolw7S1S6K3GKZ5Es4pFLeEZFWK0o+gRDL21qOhGWzYDYnViwvShUunBPkyK4v5lpCly&#10;TKWv5/V0CJZqOr0EB8uslbWBd4IcdKlSKpbRrVWVy0i1G4vVqet3gWIjAfsBEyUsArWQhR9fU6w+&#10;DI/8gN3pPGVZx6yJzYkgkQw1VW+pCrW9IpQOKt5OQRlnBljro/FSE7K5D5Oi+F4RQqaDVOr5qdhm&#10;qrhOhlRhTHIDjCE4Q+ebMn+oNszc+wqpO1Hjejaobz5EyobbL8CLwzrtjeHSw9sLGAjWn1khhEve&#10;o8t/Iude/dRg8VWRwsrcGJJzAJwT0BOtSwwpYE1gI/MmMKonBtc+9rUb5D0zCQ3Ek6JEn7z/k00C&#10;eQ5T8xSQw5o1pIqCxCCFQav3TZWhpYX0bhtdSW416CyBIdFVmzJaBlV1mudsiTmFPp0pbytT76V/&#10;YQ2v2GxTHRYqz0uIwo1f2YqonhXWMjPHnZ+7u+dmj1Re5mbZCjfQP/40pLF94Dzua7pfC4uUwN5g&#10;7PiSJhCx1KyYVYd33O3zu0iEAx1M0wJxY8jonHqf4vdb79Ryuc7yNyZO1TLW2eAegOtkdy5Gjd4Y&#10;CZ3w0pRDfo2R6RblFG7vXqy9V8jYTp6RiHEjSpAdBmLidOA2M2VgtSYOtiuGo6mXgSGNTmfjmeS8&#10;TnU4a8BfP1WHoRUqHbSOOdOGIDC6h5VMZPjV1gdLFFxMhACmiR7PcOJJ//PWXzuxXaIiYjOnhVpt&#10;lB1Yh3L0ta59ddOSXnBaP/npxrrKsGmWQj4aCvX1jXAT38c8ak0TTLlzUjnWHVGMd7FUw6GBHGex&#10;krkI26qonkpdg4icJYCWzH2HFqGsfNeAqOgIoAmhsWof9gAFf1Q0RRjh1+dE73oS7AyWYKjFWqMb&#10;2P+Uf80HMuI0W+N0EZoEs3BC1bBlbT91usZcxAx30Eb3JOyMspTZqu2QTVQJavUStXpX3ix1ULuH&#10;rSqXzoUHySNz71xPsd3cDp4FnNtg9j0qUYgX27C/FZqHxknXA1zhurWxsLGBT2Lh1CZWxK3DF8gR&#10;TgOPKiDgwXbreaJBQ4dg1cDr3AwZFjgSlTMRXuqMZgpT/h2pCB7dcsRbh8Jmq5xdJWgqTqXEmiyU&#10;P2V0lVAC/6Q+6XxizcpXD75zVg6mpHC9UWCX2jqDKfWEaNhaZN9AM9xc+Nb4RGsinkpZh+GSQmIq&#10;bTSD8e2ITtjWDt8lLrzOez2TwY/kM2jylvq2qz6fJ8efqVMOIVnpoeKPR5cpfflw5+uS1ELL3TCD&#10;J4FKbRQzKAvSjHSXS0w0gjo2POxtJXzLAK1XVBg/idcUI9Utm6KW0qtmzayd9ItvuIZa1cCw1sLV&#10;UUTNeenf0Am2txCd5hkHXxrrkz1fz31Lqyp76BNYB/GT+f3k8e0kD/8rsusyCt25lsJki4F+onRO&#10;nfAJobQdpobPPClhVP8vYjJhVuEEyolhlcIxDqSojeIQgA2MBJFuFFWn+1L5xbT1MG3XUNQAaNy3&#10;6B24dprEFRIlD7SW5CCRC22gn7q0JMHVcI8X1WxjJqUzXwU2sjzcfnkxZRnNZDnz7jFzPLzB70mm&#10;VocA7MjuuDoqiaYGKvxG9uUlfEoihEBrSzdaciPg2MXi0uMPZ9Jw9IRcMac8DzkDTifMx4p+XBcS&#10;GYUr6zCqnScgld5LsrqqmJCKufr5tWFCAJKLSJTfQtdd02eV8bAo1bQDr0WilBsjaSST080hs41t&#10;ac8497TtKdsyHrgTFp0Ju4t2aYlEkDnSePBg7r4zhih7AKfkwZLgk9O7C7tbA9wdhDWcimj1cGQi&#10;6eI+V1BuzE5xAlhnDbNcURa+/ygCy7Y+LUs7K4i/vIx+qrNXDjiKp3DKGUuzgKwXPaTaiVUt9rvs&#10;pg6PiDQRRNs1lRLL9eOntvvy6xxklcagGhfISSCjIPEdPsCUbrVxPXEg0yl5oUKrNf6A81JDIWxV&#10;q/3d8dZGtX0awTrGKfKyjF2rniEgvhEvA0DxWWoFpYEzIDOY+2Ye9XmrClZhx70aPVvycpt6nBar&#10;m/RgfT40alHXmbuSaFfVarpaBPXNSNIjRnHsrPkSrlqORAYHU6EmFx4hmLqXH0DWzhmNBv7sLQgi&#10;CN0LC8vLw9Ujg5VV8O0ErDvr1d42bRaS7lofWtjJ316bpLJg4iMHlEVisZNxHv7ujlEpBx7YGyzz&#10;AJ9zVcRy3yt3IT2LKHXfoxySetR1ZWHrgd/6tK3BZ3q9rUU8X5qS/FwOJDC7UegOejU1k94oJi3K&#10;TBoGu9LSMmZSvAo4Az8hAMEq8jwtOHIKVkT8HjErgRUXcWqrpSySwqBd0xgBpd0oFJEGAtfrDFs0&#10;cmrCaFGBqMK1I7QIF3MqpaFzdoEsXRIps1t5yUZc8zhLw6okorbAmGiNdGUt9UpMWcQlcOdiaZva&#10;wQkZJQsxP7m/qcq+7yeisOJ4H7owbGeW1b/ms9qIivkpcv2Ir+APbga2XC2vVYsrTFgE1hVmVgXr&#10;OoJ1PwKroYj1lClFqCQ0PIMCGg5XsVh/oy8op87Jx54M43cAzzK3gz9LAY+W4gMxXHHuEawF0ZSc&#10;UwnUf5dtGWUSD8Uumz2iGkInfXNtgOfgYeXilj4N9YC82vgv3M0TS/CkMmx0A0vB4WFlepgL8GmV&#10;LRbFJYDIUVFKD0fhaXGpFNZbuqZPzARreFIvNrEowRDxKzQIIdyH8I8uddVeFRKQcKxVER8Sg+dG&#10;+3mHA3QLz2S6qDPpgV6cCXWDqRwwpABrWOJJIK/vsqE6qA+qGT6PGi0PaMiARWVKmgijWChsdYmv&#10;eUgwKvkGyEqgC/tKMn0Vj1KdmlSPWgM/nq4G2Rt2GrA50aVmjOa9KkZ/2hcUhUeOSuSOwKQY9b1U&#10;egA3Z6nxmYu4TtqHWVeYpyBVupOdMVwamvgSZ3XsuEQiTVMhf9i/Ltpm0YEVnjcaLiytDBaXCKxA&#10;wPVYFUcEAbOA2zHR7uPNRzzSmByjWEdwLOBhbeOolES5AXTpg59QVnsUb9gUtUzMNFKrQf6KiIlg&#10;2HiTNja0EL6tCqnU8WiiYKfuguYdTcIrMpixkqGe5Cck3Mj3DgfCl2xlilTKBSlxxsgWNgVDf+SI&#10;oMuEp6rGv2rAigjGh+OIWSF2vqQjrASvZGVBEHhbLNc9imYp3Qa1uK7I/XliHpXuDJ0DCFztoDNV&#10;wtNhIgR9D6BSItoQKKE9UhUyCHfXhEq0akTnzqAmBzIT0gYaPto8h6xo1v+V+cqQj+043AyAgL/e&#10;2oplV+MTKLTINOz5MI0i+CRAJVEUblqSXHoCdzYmTOsbDrXwUgSYl0kOy1bvC5jFnUEds2JR5AaQ&#10;64VPycEGOIvLtEROkceZgybordtSFDsJ6iCG8lnwIKpUZ1qMYobQighT3XSJUSh/nJ9KuHTm3pJJ&#10;ewgfi5wDeIxFZvMYuL190DJwOp3llkZ0EkyZtIK9sDwaMOov6XegUmhFBzRtwKJQOUxjjJLD4FzM&#10;4JWyW0oAVUpLcIwAHy6A+5EUwjRnhtsTIqXUHlIDVoooMVjRZ+X9b/keCNcriQopGU587UVg6Wf0&#10;7m4Yfkzqj0Y5ww8IenFHSTCKZ5Q49bvMeyCzll0T2vReYg4Yq5/9wpFGrDJGkSRkzCTkFFnijgBl&#10;GmE0wvtcgEq1aGmPfNjEWiy84SXiUcMoYscxJe0GgCn9SU4TztBoCQx0AaMuzJJh1LTWDlYQTwdY&#10;KKnawDBbV8SoOCfOUZkVRll0JB7oLrajSUqoNuonQg1mLkUqvodJAAojJN3lvxFUs77IPErkzWxK&#10;DR43aB1Gk/POpICUy8v4Sfp3yJe/kRMWMCp4CABVUDIQ8Z6UJhWhmRsgVIgkSp7olBjlroel1TMr&#10;JFg9QqsNYrbyAAjYd8Sv/vRseDTSOfQY2AUFGjhgVGgEz1gYjyUW2lVV8fb97K7wDnVn5iBDCUMl&#10;cUl14BwJk8SY+FodQBl19Be8wMR6pFhhNAa8qnvnig9GnEyzOEjO1xTfjs8oiaolJTq35e2arXJj&#10;wG0rj8ZSUkElsA7A64XBBb36NaIn1EkoJHjY1FEFozOy9QUgQQMDWGnol4I1gilBVeNTAFB0Pc0q&#10;nRmAsoJQ3RIitffSBnlygFo3s0Qxg1qPBTcGlua0HwlGSSr9Y56hjJxyjJp3wi3Nxo0xCkQuQ6WE&#10;RSV3IuYgH+giGd7k0I25hPqYgZVfxoAwiFw+cX29CFIL87MFCb3nQtt1yylobm0ATs+AjLUMgOK7&#10;aQjlRlFDjH2eSfpMKoe03x7Mw5saABpDFn6hR+SWU9QqlLAlh/+ODS7lEf4cPtRehcGNjvaE4Okl&#10;nDBuC9my7EK2XRu3JR3DbwhzV9XSKhrGSI3u7WFJHxEzyzvNh+DP7G19In+1u4kFLq/AKE+nXnM/&#10;aEbKmWU2uUvq6SUZ6FDBQePe4sdsKskGC/RGYYcVtu81hxIM383qs33ixCU1i0+4pTscd/JPYLJV&#10;WDuChxaW8pii30tCBbqEbTzq76WxB76Xgkq3R18ibyeWiO+WV4nil7nxaKZtV8fcxMwSXLPLy+Yk&#10;uE8zQphc40L4tBzNANWkOLi0GV27uaSZBLpMnTRUoiWlOmZiHCtAnTj6FUyZArRORSWARp2Pb8yl&#10;VL0ULtENYo6kKmHaAr+pRpI8woNch4PRcwWUMQGYckWTxZYtjpySlDXVh9UVBlPpAHXgiXDqkBTb&#10;6IQb/XQOfMc1IpMe0zWgzCbKsCPgPFsV78SjEvmlXIeD0UlVc8bvs2kExpDr9TWiFUnUGBavVle9&#10;Yeuh91//9vutP+i5uAiIZ3fZfgeqLmcvDdesFoJmxFgwoE4WjhRyUIDXexyTtIZoTLtVwLoVQ9J6&#10;DrXuKrbrMDBau052kjof5j2GGOZRWBG4twuvN6bPbkXzf7E4Gduk7DgavfnJGz/01P33/8f4E58c&#10;f5relgETH7gxmJvKSu5yP/34yIXatdxAnLw+n7wC8HrB96WjKJ9VoTtX9oexH3pyOfIXfZPQM70I&#10;miB9dnmeCDgHocqkSADdv3r/OT+1frd7nr7bN9Lnm7Yuv7bY7AoE3xLcKHBmb/T2K8abhBt/QGwL&#10;tzyg59zR1zQHTqiVKFZ8Yn1blQzUJRtNGDw/CTPxyKwVVK0JpkVGWDxkHSr0m7q+I2OAudv6udd+&#10;Wu013s/g+NQ7tx/+sK2X/SNxZ91RpKG89ieGl/3akQd/aZ4LDH4HuAM8MgsF4IxunCGkDsMvK7Yt&#10;EgiX9CoSeigcl/ZCJhABBfqs4cbaRpEL0fXWFiSJwyfufvor8+l1ZtaLyB6P49lD8kdbqzhXkE2b&#10;eTX+6+duPOgX9v7xZJZTg22su7Sy9AsvP/707xmulRLwIB1elQnWH2cNZFlgPNkWooYEVh380uoC&#10;nHGAQ9AJRQTVG89mtWB0RaxOP6J7p9OiDCuztz8mSqgFytx51KrX3d2ZTiOzvftg/DdXjk5O/FLk&#10;pNKLw9veul0P9FY0mM7Avxwm5LXx9Je+8NUR/uVZDzhg+grQiUsdInTClVBiAQZyEf+JrraL2U3R&#10;rg8EKk240/eTXMT+z9x1k8xSBYvV88azL/nRmw2Oxy0XfiUWqqvwQm+oJFaUtZD+RPcU34zFBQQ6&#10;ZPcUFr/B+zfgw7se1Rw1lMjp8WJWq7pqlgtwvkjJuZDiKU/JuADEEHv25p7SHwKPntvGnrExuMMD&#10;j77mOSu3icc6ocmojrufP3jTS7cf/9jNh/3IxoN/fPPRj9/+ncv3/7/rff1R5zEAmly/BLFSHEFC&#10;h1BJfkWbTl5qwP+ZaI++rBylPwSMdiWVszTd4oWLP/ys46996solR+slHFf/9OrNBzxg8/Ev3HvT&#10;uw/+74dGH/y/B3/1tr0X/frWZQ/YfPKbRvh4orKlw0iwMuEkfUt+yjwnl58kcPQUQZHOh+0hE9lj&#10;EvXGtk8zhFz0rqwDsOPhFsEl+csN9R3nkGL4fXtRHzXNOe3K4qNedPzXvmPxSFYHN1Ct/v3yrUc/&#10;9+AT8gRiJNLBydHrnrb55LfRjJIY1qI+ZJzbAlaDqS66q69/cS/UpINkbugc1FnuADkoa2E6fx49&#10;E6ZlhpoenH9eGFZE4LIZ/K2DP3zpwSmu59Lgzt+3+mtPP/KbT1z7kXsPj/ENo+qK39v9J347QrIk&#10;NtVOIMlg6PVbupqWZ+elrpFTGNFn0WPo0yr1ac0OtCUhIdOu6W/KnZSQev4YnSFeznBWiY7ZL4Qn&#10;da46sMjUl3zf0T940toPfOfK/R64+kvPOfb4e8tIZnT16O8/qXhyWCP778yd/WasZvDKYWoTVIxX&#10;/PBd9tu+p0EmJdFwZ0Ogs073HqY1SKX85Rrr0GkyGkXlkmPqw8HoOWzsa/uFPRJYna42NDi1cmRB&#10;hlWg7uHwvo87+vKXHHsFfH5/7btvGZDjMw2oCi6rG98bsTo2LWDB44xBmR9h5C+sRT2itePL43su&#10;XdKcXHZxuCY38cREYPyszCBJQZ55rx+txtsbuEUUxO2GtNb13D0O/nX7AT+w+xF+AHdp6cnvOPbg&#10;C3F9++6Hdi57+O7HeA7qyPBbH7LyHV+3dMnthre5Ka9Aj2dH7UysCvylZ+i7/aEc6JJPYyfr9ckr&#10;NiNo0U/Gk5F6Y4NwwsJjxiGDqIAC5FkE3fnHb7+vFAwpcmTySbo5e99Fo8gTXhTVmMKautyERRz+&#10;bVgJepPl6iVL97a5ze3xO/7nzmMftfFd9z19l29av+yRW8/+4/3/oE2HfDsId2LLsC5wAG6hSlvZ&#10;EB5aytgU87M19nHlOXNcVypPhtrlwGbCW0VoiESubym025RsbGoNrH2Lt+4mJYRuw6nC4A+neMMj&#10;BqozeIZDytVVqG1itF2XnosPp+Mu/LB3CpR7ACuGaEcT+MDSIfjs7+FVmSNpNzdtpR7+ddQvrYcE&#10;mK4tPeopq3e/SSrE/unxv7x3/2XP2rr/gzZf+eG6SgYjTbjhZDi1KZbfmXjGeWQ36ZSA1Z4DC0Ul&#10;Zot6gj4tNLXOetpEqhD3ynCnVFe9HBYwtbbZOxsmE536LMJuZ7va3qq2tnEPadxm8gDDW9IO9Jwn&#10;GEfanQZ3oIT0+/vV7h686AS/2DvXJpPhkO+iXi3PY524dO3Ff3LsqT+8fOcvHaxmLv7e1QfPfuLO&#10;eyEyFQO1DFslV15gT3iVmoUvOVLLlS+UIAxap6xGvsgu5jCtvx+olK0Bsa3c6UnVmDZVU6bQXoSK&#10;5VZIiluAyy3anJd29eCDu4SbESkohvhIRIftVgCp5xBYpWpEqKs3X3rQY4++6o3nveddJy7/g6O/&#10;/rjV77/n8Dydlzr41P7r3yOmzWshj0Q5DOnKIKPXGJqBU5WLhWLreNQou7k39zNrHWDq5EEfmc2B&#10;rSjlDJhBg1Hx/blmXN+KVEAnQApwubmJLOjeWiK9JJWdnI/cEY0UonKDnwBIxYf0J17McVikCooa&#10;71fw2qvNjWpjq9ofL6yeP7zDXZe/74fWnvKC47//MBwochf81CdV7wmbZpiwgbTilf41NjWkMi25&#10;D/8MZ+eghD4ALjkDtERGJCR6EtvO1fCusFgRSNsYe8rW/BHiCZ3QJMCd8MVl3E0lsT8d7okfDKJd&#10;9zF/fOjnrEZqddWL1+96j1N3+YbTd/2G9V/737K8gzv5rW8V3rKqi+FLWirCVOgFGo8ZRvxOD8KM&#10;OB0+dbjSrVWmSdWZStVgRtZDeLRgZLTDNWJUAKioAnQCw8F78hCd4aUzha7FvcLjD8Et/1NvYU71&#10;jxCUeii9GBKRiksq+3ThWOXNd06eL5UyuPXtFo+q63jF87b/57tHn4dXCa6P/+Wvdp/6SjAGdCwO&#10;L7nE6CMFBFvt1O4HFpVHkWXIxAMqPYRHY40zGCbHXWJzE+Iv5NsNppKPbPNhMgqboi5ln8pY/A4x&#10;fEIqSg3QBPpkVnOAi+RTxXLz2Z94uKZdR/05wavV3XLE3GjPdiRv3kp4kqNkdEI+zVfbyzv/Xivf&#10;fRtJtvvx/Wc9ZuPe9zx96b3WH/jzu+/8tJw/dqeVy74maKMu0xJMHRjdbYLpGKx8XZtm2nq113zy&#10;FLQuljZalCrrkzC5OxhiT8XiFEvoHa6vo4OYr1JUpyjNIGgo1pWFlQPH86MO/rAeIOM/CvLg+GNK&#10;Qp1cqU13nlj+hd9cy2NPdsvR2y0//ekrF8PuIOZv1WSnynEq424aok7mKmEWnuByhdevKO2mh3pp&#10;SxTdgUrjJmaYwm0hmub9vZBfC48SfW5XW5sSMlDPlhQnkqrAbjyfUWuQrs4C8Spd1wLUOCH0i7/o&#10;LaZo+s82D/W8S9de/rpjT3zQ0sUXueDecOGi2y1d9pijr3/V0e+8tW4Z1AkeZew5RlWrqae8H9Wp&#10;hC6JGp2FbjCtL4a5DZ44UJKLCTXciA/kwg7QNQc6Phsb9CodGX+J26X2hCbbKJxA12XujfUVac3/&#10;ZAdAUZzP8sWhq5gdxH9ljOL86tl3VKeuHv/nqWq0PLjoZsNbwJop2TuEWoRHP8myOmvtknEOFoWq&#10;Spom58u7W6xS+V9UMi2JcjZRg6fKLsmbQLeUJMmGiFRG51Qzq4gioRajMCqqNtYZgXaniayKkJrE&#10;KkswGmuQpTHZE0Cb/FhurGZJqXfCI2a4F3HTMxJnB4AVkaRx2aRJt69FTdUtBKX6EqatU4tV0Svx&#10;MNQReMQCU2mhEaNxpwhN50rsgNHQGeKH8gJIyhitDkYKUMV10k19zQ2hCSnKT4dRSanFJzeyI+FX&#10;Hbi+HFEv38g77MELLpLmmapV5nSzQ2KYbuGywjDdEMmtz20WiFMwkfR5Q4q7ezYkajkLcRdU00al&#10;nTEqSA0+TBg+wvuZMluPAF0/LfBA1ouVQmoNsBAprG/XmPWILw2jwhPMmAxQydnFVyKSZnJRrOP2&#10;wVAZDKaeK4enTfsuPhmrVYgz8Ivjq2TEWdc5Dw2jbVTaE6OSnY1w+HeKUTTxp09Jg6e8qOCM+lXk&#10;eopnGvmjDTzKlzzM1alVyMnGhV7pjp5xU2Bm03MJpkKf0tmlpnUDlLiVnapKnTKeB5lLty2hrp5N&#10;+2PUCNW6KoyrHI/iRgLXn8KHZVMzbZ3aOfihfO8P6AAK/3UQFB71Z/R+w6iRKAO3GLS3NPRF3ptz&#10;rsLUg6hhEN2hoWdGnK24rhGmBqYdRC+X6NURrCSGmU7DIAme5racNS5Q6Ouxq0/jgWhxoDdVHnyJ&#10;SPKGEWfljVklFJVUs1BrmX6cYiKqtWXmnwBtWs2noXAOfU+MhNZqsUhicpv8fkRPmts0YlHBXDcX&#10;PK9gdUh4eQ2VZ6WyBPYxyFp0QOsRixlLHTyHyJvFRAmDBnxHzkDUGJQ3XOZ/EaaRxK3aP6cTWPOd&#10;ZbVoMAaTSCrAFx6FxciwZaGgxWcXrVrQzpJ2Gg6r5FP01pF8j3LfGYH+TzImCD9jtrDuzdsZYy5g&#10;92mh6o3hmIag+umnv0L739EmEe01jm7o+oaOl0uLERCU9qRsTKdGpai4NnPrB2HsUBK8FKUl3YvF&#10;dxUpeQ54Tl5XPnsltSnxkK8fHkInrFjJ7k+YFd1GGN2A1yrI+jfxQP0ynNpGjy4wPFV/jkHla0Sl&#10;AZVFXwpPGlVy7WwExoUkMvFPsPhn48zTNM1TuPewITppnxekTnq7q/kQH/CA9fOMrmQfW6HFuJjc&#10;MSVL36K6hPxiP7Psjwo4HVgFuwzTqEDpWrGHPWNwnBXZHTZCp600e4HTHcMxkqhm5JbvabZcgP1N&#10;8Bp+tgvC6pVwvfxginT8G9qAlgGQAyFcW2wemQ+3azp4mk4rTXefUZQ0F97eBhOrxTNT8r02Txmh&#10;TA3TIb3PKgakjuAFnCKSnxRxyogliLQUrLy5AIE/3Wy8Wv7I7uN1MeEMU9q82OmDqFT/RKt+mzDd&#10;oZEk4sFZ55GdOQKhg3DnXBJSIz6TXMunOfy5knYHrMkwFisBLNGJ581SYzkQKfIcS1pmIZnj01AU&#10;j5OcOQ+pZI9tuWwiRG9RoedMaqYJubYOf8H3VaHYF+eAhvfLzzw82ii87frUNbB2cGqsz7TQBjWY&#10;SQQ3buLzFHuSO+kMNU1TZWs6RIt+jJCYPwMj+mqTRI4sVRZ7nZSL2BIqawpF8sM6GSMGanSd1mOx&#10;oZtP3bAzy2DuEGyVdBY2pBt+fEl+NUZswSeWJxBzm1IzEo2tOdlazY22gsMfGahZs1FZFayGFoMR&#10;b5HQ2gpfTHA4GmgxwsaWxqNx+2ostCis5p05wmmhqTl3QHKW28OLJ985H4aj43hzPlM4cg5SerD9&#10;eqYY2zqcZvhiKc0aKBGq+RB2K6RKVrVl8MaMvHNG+ImO8LPkA7qVqnGQU/JwUPasSv5A8LaNmm1D&#10;IAWxXAncbbLNfav/w8XgWdTZJrawJY3VmH6ftLzyUpAlE6HCbDVtElCmsmcmXuJNDt2CQSNFGrZr&#10;AfzwiRdevEjKmN3ZaOwedrIKWTin4HDBNJvSLKQw71UjsxF35rl4Qm1YHRy6i9rfEliN8aKxuKFJ&#10;hTfcFn3UaFge4dXdrx6mLW5hHOu9JKSTFIdNHJwqFjlzrfbNkFohH9XJmUxvfbOfb/qOVNoxmQ92&#10;pnKDmij2VHPYGDhufPuV6lHXd/D5JN+yI8ApoSBOjQOjgGbfhBbqL1j12grYY6XzbbA8d2WBWghK&#10;ZLcsV+eWPexqReUZOhq+MFTK9Sk8x+US+oC38agnV8ZTmHk02RQ/BVxHjqfc4JxNDUsqGp3zSXei&#10;eBoWJdyWuo7JWEuNLlsEPP5MYgUzaNc8yJ9iMdR2kuLOTt6vZ4IQcrbYc4i613JKOYKtkPYtPNj/&#10;7NVCe4QUCTsyaorPLPLdbOLZkjKY2UdM24+T8VadfGPhrwDUkN2lkfAe63fKwhK6NwlhqQxuhoFv&#10;iOt6uHs73FJd9a69939eBLnwq5a//Y7n3kMrHarZIUmxzcxAdsggSeLyA4x+lvHI5jYrSik54kTu&#10;OYq2gFG2zkrBAa88yonRSSgPc/Hwc3zNwRuvGF1PyBscW/y2+y/dCtYxeYn2R1f+ycEnGXDD4d3u&#10;v/xVx/Hr6DMHl1854nUHS7de+sH7LK6KKcCXF9ozT6YFeAbqPW/c/8gG9Y3VxW+5bPm2kyyYqq5+&#10;y9YP/sr+Z2gy+SZ3X3vx89a+9rz+rXHDuGPWGHVYJIxq/l34S4GcYJEY0vx9R64eygRLRY+DrCB1&#10;74M73/2Q3Y8SBIe3WnnlFUe+YTVuwO29n7zr9jt4m6/lxV+94vgjvgS/7v7t9jf9xN5/0vLClXsf&#10;+Yc/WAGoMNMDj0KB6b4me/tP+a7NP/oM1eX85Rf+1bFvSwrqgJvtf9750UfsvG8dk97iXmsvfs7a&#10;HY91uO0Gn8SDaAoeZT1RZmFc3xugjniNVUPGri28dyAJuDCJSdWV3FWipmanPGbvko6v2X/qLwpA&#10;b3WfIy977hcBqq3gR9rNHbLD2JAyE4x2ggMikbDt/wrYm9w4i3daz3BjCiJf12lctaK4QtPKmcWb&#10;DO/935buS59vvXS45CvfqWY9yQ1chdfu/cdFi3f52sV7/sDRlz9n9ZIjPXO4MSSPIpbTVBhjT5Gr&#10;6QfXBh1zMSOAOl+RURvyyiFrZKrlCcNpcKIwVDe5ePhWfyx9xeozX3Dsxb+Ln9991FLhvZ6zRepw&#10;eI+fPvbaV5/401efeMWTV263Mk0D3Aju7c6sZWXYe0V0oMNcFzzLmOICg7qBUTSsMTRkkz+eMP34&#10;KbBrjiSmbvEMCiM6qdTu+JMfG/3bR/Hzsc/hvpbJUW2OP/h3+2992/7ffmi0WbsrdLX+Wcnk3z42&#10;Orm3AO9Duerde6/4w50XvnT3vZ+LO8ne+KP/uP/Ot++95cr993x4tF6KG4QbxtVn/nn/yrftvePv&#10;Dj69iae3rhl9lKSFgj7HY73YfkCOH3rv/tuv2Lvi3fsf+FQ5LDFeH3+MM/no6NM80jyoPvPh/be/&#10;Hau50RzK6CC/StTBJJewxSPpCBtJJBXuqout8iU5Bgf/CWOmbjQT/EoHaIosEcx4OkCH9gZ0OAer&#10;kHTsb0Mo3nOMx/BSERgzfdeDw5jpj9525B4JRSVjprfRmKla2PvAznfpYOvYtx/5h+etwCtohdr3&#10;x+984fYzXnHwHwqFE//v8k8/aflTv7r1qnTMVL3hZ0497p2kmKXFn33+yieeu/3Gj5KIw8FD/uC8&#10;p98Dsxx94eBVL9h56VsOPs1vXaJj+cLFb3nQ6mN/YuXLUw6vrn73zpOfuftXn5AHxobHh/d91JHv&#10;+fT2z/wxb/43+N7nn//b/y1ktfvxvd9//u6r3zW6VnaAxksXXrL8kEetPeq+i96n2H7T5l1+ZZ93&#10;Pbz00cd+eH33eZcffFKlWrvV0kMed+QXvmMxGQ32lL+EvtpzFA+s4HUxuNeiBItoi+PhsH6Twzrs&#10;hfFW8u6bElVJfzDzbQFRdU8ZZ9Hhflp/ilwKvEF6So03WjM94Ytp7eHj8Tueuvmo3wsAhbvX/33/&#10;mT+z/Y6Tjdofj//4ydtvYIC6Y/Spvcc+eONpl0cAhev7J0dve/HW9//Y9nt5nyw5qi+8a/thP7v7&#10;LgUonB5vjK949ubT3snbbqbHxj/tPPyHtl7wtgigkOjkVfsvfOzGj/zOQZS9u/uql2/+wisDQOHK&#10;ztUHL/3ljV95SxTS6Cl/P4BCSbDTN2wGCo/HAfPbTBG950heF1PI0VNpuUC3N6L3KY2n7WSOQ8rQ&#10;gdG0nm3tLkVHMws65+nB3Yq5Yh2KHgKJtvPe3af/2RiMdnJUG9XnHAsWch1Xn/+C1O/o0YVFLmI0&#10;euWTtv6C2Ld4nP7g7q88fz+Y7t2DF/7W3scLxS98TsP+UT6b+896/M7fu84jpokTjav3v2Trt/66&#10;7Klsb+qDvT7Hg+ovXwA60FN95e8BUXy3DLwoYeSeO5Kwj2wVj3kBaltewcV4TQ/zRwmVgdIikKpf&#10;wWnIrxRWzcb45XrFQzzBvWDA/xPurk4d/OGTtn7x8fHnyXsf6faOERKv+rs37X9K3bKlmy898pnH&#10;3vzG46942urXXdRB/UuDr//Jo2/92/M/9L4LPvSu44/86oW9f957zfv1xqXBNz7y6J+88cRbXn3s&#10;CffTd4AvLHzyL/befr2k2X3P/lt1P3x4Z/g9fuLoq//sxBv+8MjD7yzvEY2FqK5+8+4bPiHnjl28&#10;/JRXnPeBD17w4b8+/tyHLp7ghjkYv+lloUZJHW57n7Xnv/LEW1937BkPWbxQ++3o0/tv+Udp9r7y&#10;M6rqPEa9hP9u7+BbkCApGfsgF0sBGKF3b4hB5WybjhSphFHPRAxOO+Snn0Di55RtXOVMvw1uUmpT&#10;YR0GM2gG/4PwtTn+qzfsX/76+PPG0Wf8UCD4C6UqH4w/+JGwQ8W3/dLRx91v+Q4XL93zsiMvfvLy&#10;Ldq2g7zV9x79vZ9buf0FKPrqzRa/5LyFq/9Bp7gWFm75PUdf8JiVu168eMnXLj/iGcd+8qtEgGrj&#10;4O8/ID3y4/88OqmNcZNvPfKCn125+1cu3vEeq7/6u0e+5+a5wNXf/+3BBp9eHD70aUcfdtfhseHC&#10;6k2X7vdLRx/+FZJ+6wP7f8vDo/hYumT1ec9Z++6vW7z9Vy0/+AnHHntPHWKMq4/9Gw8iq6L8t//a&#10;5R97eio/gsSMYfOwBgYDu9U2vMJPb8HNv225iDIaEhtbbFQnhqvbdguh6knR3FTCitH3AFYbf+jc&#10;Es8oCZvySZdJimCvzQBeZjp3LTfZJeD1ODeurrlOky8v3vMbwkz6BfdYvkvznNBgcNd7LyXzmp/9&#10;rEUMBne+p7u6NLzvNy/au8IgGZf6hS8EX/COX790ofWKC5a/5c5ZbffGV/27SDs4vnjpV7gES8M7&#10;3UFXbO+N/+WjBR3c9E5Ll9j4cji419fru8sWFjbWRexE/hO6dH1hafit3xTLH+PSHvzKvsCm7+NN&#10;ZtDs+URERUxkAlM832tWRdfmCciMncWs89SlmXbMXn56+vQoz6EmiFbNek6N1o3G467hwtHjCyey&#10;j0DBmqkB2VW1ra7Y4MTwJmuuaZcHF55oRPtwcOH5aYKNTe38w4ULL4iuXnRBCI1sgVtGF+GlqToq&#10;HNz0JpGgF16QPyVQXS8sCjZ99Prf2HrSU+2z/doPa1bj6tT1BcnXVn1sZrC2FoqzjuXlvyCR/8Jw&#10;+ya8QMZMfPw0WI5R2CNM8vcw5WoTiRaQSo3eZ+lNvFE3M2JAkfy2jb8cX8bUa1RqJFoY6btbDJzS&#10;N6hWnlWHt1x5yf85/0Pvjz4f/Jsj3wxvkOl4+AWKi7gblD+Sn3mWeTzOO1rx1WgwaCP2yEgk8ZPc&#10;04DXrmqwCfycd7xu7zWvDZ+3/6vZRngFcMf6p8lcKMFvl4hvTPBJeTNX9yHbXfigUccdbtQLDc6o&#10;2ltBqsxFA3fiRwmN1tjZJmJNdTJ/1OtZoRogy33CONTbdzfSMovPcnByUwDi0pOoeQjqiaacaMVr&#10;vymTZuzIhsr61M1O+oSN3nLbsnUneD1LHKjf2e3kj81KruIuAQI773pKeeRS4kZ1iE58T3YZoBgH&#10;5RhvLKdwJ14wL5FhqsaZ0wtNkF9RlFCzdfNMckpLlH8dNiOyVNk0WUyx/myoQsQ+CVGV8edrX0xR&#10;B1DWgt0O78iLYTrBG56ceUpeEBW9HBHfIUHHeScCXX3q4+MQlhmNr/pohtHBYE0dyuEtVl545Xnv&#10;eXf581v3bVdVEdxuwzZ8laYgD7+MYYN5uwWqyW/3gnOIUgRQetBoBt6bIB6n3csOqAsPhbE1O4zC&#10;YjFV2e01SHVjJoW9qyBPITH8+bQbP4UeFNk6TqWzT3xTJDpyvAAU0hHIPAEX9Vs+WcOO1rsgtMkH&#10;BESv8Uy2W11TFw2vL/7EccXcuLr22ijdNdeERj52HoeWBre7eGhzPP/y5ztXfEbG+1ddvvOqf86K&#10;GQ4u0DHaGF7Hev7wZjcLn4vOGwArL/FnkqWuWNzxY07+L3jkLVzzhdBnjkE1BZopg5o3xmMqXPfI&#10;AKH2xb019cMGNPpojQOG6UYsmD96ZEhNn2dSTBrKqMEjpOqZFL4KRytMoJk0h18dQpL1AGhqVRqh&#10;uzj4EgvxHIz+1/8y6qyufvvee5tj+KWMb3ObwETvu3L/8xap3R296R1Kk8PhbW4jUp539+W7aCcZ&#10;fWb/cQ9cf8CPbfzg/U8/8Kn7n80n05cW73CxmpbNgyv/tyf68RVPOP1196DPvTZe9K8tjktK0WpJ&#10;b33rYAne9869z8FUEJFltTN685Um/+DWt6Z3zpY0QOwZDeEJJvoBLHEUlJEgl7wbn2YqvTZyaSWN&#10;kyFz3pUTlUEVQ4GoY8YO7K2+p3gh1m/sPDHahIaqjt5K2YlIi8O73ElRVVXv+h+bj3/J7hVX7r3q&#10;uZsPfcZBKchYV4bo/OZ3W7q9upjXXrn9iCfsXH7l/tveuPO0n9p82ce0YS5cvMdXiUzD/7LyUw8c&#10;mlN6cHr8gfcc/MNVFQUTC8d/vdfS+XzruHrzUzef8LK993xo9OF/2v+z52898x0CvMHRxYtvXatC&#10;xlByGLBudtfF22tY5Lp3bv/Ur+782bv23/Hm3V9/9NYrLex1wdLdv0Lei1wcKvnMcTMYBig5lzgp&#10;j1Pz/J23sTcS8iNxl4fFv1IypTQSo7Xtu3zF3Xdub2/ojfY8arnfhMOcj0Rh3Ms8c06J2SZOGVx6&#10;/+Wv1pBTtT66/Lnbj37M1pNfcvCJ2tdPNsF06eKVH7230kRVfeRNO7/8mM3//vidV7y3Ml/zK79/&#10;9ZtDVGvw9T937NfuO0wWxizddOmy++S7+Q5u+u2rD/1KEaA6NXrds7Z+6AfW7/eQzV968cHVWsBt&#10;v3Plmy8oCylGs3CRvcmFxdutPOxeJv/Cv/zl7hMfu/WYJ+286n1B/ksesHJvePwms7+Wq+sDuExE&#10;yJIYFG09QZPioPpQRuLIxazKxsJ3rZLpr9sDIq+qgSl3fjkxw08A7UCq56VraCs0waHuWs/hOawr&#10;ffpPL12YdYPB0cEtz+9f/nD4vU85+pNfU7sBypfc58hzHrkUrTM6sviQ55140++uPeJ7l7/xbkv3&#10;uPfyD/3M0df++bGHX5KMGEmY1aVHP/vo935ZrWDwyNSzf365GNiNFJOsl6CfGFEaDL/7iUd+7Ktr&#10;5b/VN6898xHg8TpD36hwexEmRX0QmuaSyhuKmcaKNMSBJyeq9THxTt0ozjQCOcXdh7N24yE9UVBi&#10;MmIPePbDKe1SQeZeo6Wivjiv5JIWANnf8cePveo3Vu5524FYucHCLe608qsvOvr9t+qPUbBoFy3/&#10;0suO/95jlu9220EI1A4Xbv4VSw9/yvHXP2/19oX1zoOLv2XtCb957OUvP/5HLzr2tEetXHqThd09&#10;5aPBwnG3nG/ly1ae/cfHf/unli+9lQoMYg4XbnbJ0kOfcOzNf7D2tc1TD85fDNUzDxKGOBcuP/bF&#10;x57/35e/7jZx/rdfetgTj73mt1a/XOUPGm20VEtLBQTqQIp3ja09YDEUX/Po9MMymwI5+MLnzfji&#10;PWqHw2Oc3tAzUzJ2/SE2nDqN9CqjVTkpY/mA5ikAmuqNfxs0Dbj01DLBoTr1mfHVpxeO3Xx465vM&#10;ZCeoauva8We/UO3AjNTNh7cSRzLSyfb7d5/x5yOYs4HjS++79qh765BlNHrZI9af8V5KvLz4+L84&#10;8eO3yRuy2rhm/Nlrq/3FwUW3GN4S3t9cOiLvk+PhxDMULxLfNHCVjYRIIVvXVf95bbU7WLjg5sP/&#10;Yvm7cqzd84bmM8RqGMbHFmcSpUl5XTBKe2o7R5EEw3sYA3s4GcHMGAY/knMkxsAwKjcQRt2AKXZG&#10;A0ZzTFiMiZnfD6Hwu7jPnD/qryNGS/24AaPax7ip3JP1Vu2eDkMRHF1O7r1v+zsevvtxGsIv3XLp&#10;559x5KH/dXFlY/Q3f7T9hN8/uIafYr3j2htevXZJOsPbJftoeMRgZb+ToRBZUgUH51tjdbTQYIUU&#10;iU6cxEeBn9ALYStwHNAzQAmpi4v4SuzhEF9IFCmeUTAoxP/znE2gCKNuYTzToNCqNTx/SXpYCDfI&#10;KI+5NIKpbJJTMv0tDZJBqowx7I0ssnZOemQ5ME3ORPMG68HB839w4wUfcfVbXFgcLYS409Lwsuce&#10;/8379Jm7dplZ1RLu9Axq1JVD06s90k09RkP/Z/RqSnjtx2iExCT+KGAUhlAw/zwUKvU9A2ENq55x&#10;FJgVm7C4/IyfXW7awbmtRZOqxcjzIaey2epEHRZIY5V7keJc+UoeiIlKgVv4k6qrgyxdKrG09JPP&#10;OHKfW7rcPECXB/f+uaNPmhignKv6mjghBB3ST7X77z4AmeitQ11bkywtDcAxtTbBIZrMAgBNwJQV&#10;fWDuCuA1NICmTZF4j65twdZfw6mNHBmoYu4T4pQGjdvVB5R4qUsnHuVkdfhQXvRdkL0Z8WFMajtj&#10;uWG6AUan/YLoBlT5srgIO5qx2NZvIZvxdQeXv3T38ncefPhT1Q7b9wuHX3P35e//4dX7W/i2FQUu&#10;AXY8kCrY9GjNh6CW4Wt3FeVMSCurcmItFRNONz4H2m4DH2NSl4+9UnP52O4DfeoUf6T0vCxX3GC0&#10;fppXrzDSxGusw6ggKsZWJ1vP7wYJsgTKTmGaIEaFEj07dYeElG3oZIxRAERHtOUldgRNB4xaTqM9&#10;eOl6tXB0cL7NSXYspQmg7HcGmJozao3pCynhQq4HvCUGMQZihGRpTlK3JjM/WJ09jptiGuDUvMZ5&#10;uXERmPdof69aPw3knGCUB+jSLTwCEmY11HJyZlFzRoVi8aSsfBGOpjETH8U+FCpDOBAG9a2V3cuC&#10;kX3HJRHCN11wcCgY7SJIc5rQS8OoKF041+yARhiJAdMbo0ItIpQf8SSjH6X9Ri4q2SvNB/3RwRqG&#10;6LADOB0FVo1Oc5I4ac5wnA+ao4Rp9HbvL5PVKh16Qa+GevCZQr00aQ+ATo+dw8yBdMKKpeVz5IMm&#10;nignaJWqPUVrFpKgBDC7ly8i3pIeEripCFBhJviHxkwry7ispulwoLSqCbcVUKipDTEkZaqTeOpe&#10;RqPxkoUgpyNSA6h24YBXOoMkesM7TNuKTgQoLZ/TMBMPkgI9FHCaNUHQ0ywQy3aU0SjQ5AIiOPqL&#10;jejW2wijULejR9FvcPkFmSNQUhIDTJIooeJUAZQ6/CnhyDKMONPpr8ignFgAGnO8FdKkjWZNnQV4&#10;DwDloTzB0dApX1gFCYVmjNoAU6loDVozJbkTasZjcx6Q6XDVSZtxPm6+/ig8hubKTds6h6oVlyTV&#10;eQ5fZ49mgWnjFk6i7Vhf/hd855pE9bH53xrzMWM0zji7cvtFAA3BJhel51qric+Bmhj+CSgTKlp3&#10;F+mgVhExTtsBKiQb5cfPM9GpxSV4Vivk4pOV5auROkJSBF9+C5genM40mueWOAOaOGRh3+RejMC1&#10;HlxdrXRr8sYEHYqbroDIZOkjHKXnN1od0Bi5keD6o3ttYgpt66klBuZzMrb2LVJoGONRuml1dbBC&#10;qwpC54i5KydTOWP1dMgLiGEFEciEFZKmyyWL0wUpSDIk0bT/0li+JyKmRWpb6/QUp5ScqmQBHW/i&#10;gwefdPVmzPVHJGcfcSVWPOFr3nXBWlpRFKsIFa4MEYb/LbQRr82DEuCx13T8ROXmPS9Bm+cwf4c5&#10;qYpmqkcCVl+1qJqCSHrFDSmBARoTIZzBac96RLRiaXKwzoyTC9JLv2ZtchA0fmiTzjdRaPliK0y5&#10;Y7T0MMMap2vVceyV9ei++frRwcKRIzS11V6oo0ZXJ1+3hEoVpnpjogbVqPRQ9b10nCWegvRFUgul&#10;HBzsQZh3Biv8p3IDJod5ubmEAjxAXdDDQvdlLMWKLSA117y0SS12MkLMgcmZSkJhFJ9fR0TFIsAq&#10;gLJMR44WYMpaK3Yv6fGcmfxQ75A1S9ypN+PsraQ1vXvj4VKS/aCpXpVUbAT/ho0e1hfgYRwMxBxM&#10;CNOi6ibS56z83NAoCtHI3MvCekFxjaTS0ZOsXHO38WQHprMs6E1ujSrLAvuSfbOe6Wr9tkcwflpG&#10;NtUXHpeINeLFmEpllKmP9QqhKl4JXX6Io1uJo2bZ2RFoCrJp9xXPoNxlacnCeG8X08NS0fGoDNPm&#10;5qi72gbTbCCdwaJDM9cnUWsSnFGePJMeL2wgeE1jTjEW7a6MdUPdC2TrGCe9UVPHDqiVmpBoEaBm&#10;eLz58jrX701bc+H4CcL7YZodUaFi+Ialk8KyjlGDJ6onpecHMublMCEKxZSJLBupzD3r7GTg99qs&#10;HgWhxrBXLMKUCDV3ETt01jJWEvXF9tyFq+vS5aJ0g63EklLjzmwqfVvtEpbRQmLUnxXUzhJSu4SW&#10;bDQosR0zEDJv+PqnNcxzjdVYSB8nyN/FKCLjzDeoA56rWlkOK0HLGo6JiCkzmAH9LSDma45QOTWD&#10;VV1PP2iUdbLSV1jVEMEecd2r4eJg9RgKe0DrusExNSd4UoS04GiSbJubJS7QujmNlLyV170Y2HFy&#10;R9iipksfqHHYGm6Ncaa/UtIz6ORBgJB3lFWxb6cEOxgduD2theeQzGAyQ1ZmkDpwUwobO0sx9I//&#10;Lj+pDO5feEb+2hqV6DynrI1rDip5AiGUxGPbpHMCQKvdrcHiMi9krJZW/GrqOuXDbjG44zB+tMmF&#10;FmhdmT1TVnt/MyAgzyIzNXoewdTgZjb6CDw/CE+b23AXjQ9piWJpZRnzxeaq4bRxrZUNmdiiKIGs&#10;wrSAi8KhYX1JkLCPrE0YRVDS3De23BBVBk8FqIModceyXHn2MwYogzWFaa6+JLfwsAEVYRFBvdEK&#10;RpXt71S724PlVXqmdlAtAkzLB1VkTx5XYEPFXcX+WtfCR8UXOcNCXo1go3asFaEW3YZC2W5J0Emm&#10;g3pSqT+7pu/e9u55Cg8dw2gRrKYZaVAOrrikvgUL2OB6dxcSU///M6UplOZqeQcAAAAASUVORK5C&#10;YIJQSwECLQAUAAYACAAAACEAsYJntgoBAAATAgAAEwAAAAAAAAAAAAAAAAAAAAAAW0NvbnRlbnRf&#10;VHlwZXNdLnhtbFBLAQItABQABgAIAAAAIQA4/SH/1gAAAJQBAAALAAAAAAAAAAAAAAAAADsBAABf&#10;cmVscy8ucmVsc1BLAQItABQABgAIAAAAIQChZeTodgcAAOEoAAAOAAAAAAAAAAAAAAAAADoCAABk&#10;cnMvZTJvRG9jLnhtbFBLAQItABQABgAIAAAAIQCqJg6+vAAAACEBAAAZAAAAAAAAAAAAAAAAANwJ&#10;AABkcnMvX3JlbHMvZTJvRG9jLnhtbC5yZWxzUEsBAi0AFAAGAAgAAAAhAHMEPKfhAAAADgEAAA8A&#10;AAAAAAAAAAAAAAAAzwoAAGRycy9kb3ducmV2LnhtbFBLAQItAAoAAAAAAAAAIQAMdbHhV4MAAFeD&#10;AAAUAAAAAAAAAAAAAAAAAN0LAABkcnMvbWVkaWEvaW1hZ2UxLnBuZ1BLBQYAAAAABgAGAHwBAABm&#10;jwAAAAA=&#10;">
                <v:group id="42 Grupo" o:spid="_x0000_s1168" style="position:absolute;width:57877;height:31592" coordsize="57877,3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2b0zAAAAOMAAAAPAAAAZHJzL2Rvd25yZXYueG1sRI9Ba8JA&#10;FITvhf6H5RW81U3WNpXoKiK29CCFakG8PbLPJJh9G7LbJP77bqHQ4zAz3zDL9Wgb0VPna8ca0mkC&#10;grhwpuZSw9fx9XEOwgdkg41j0nAjD+vV/d0Sc+MG/qT+EEoRIexz1FCF0OZS+qIii37qWuLoXVxn&#10;MUTZldJ0OES4baRKkkxarDkuVNjStqLievi2Gt4GHDazdNfvr5ft7Xx8/jjtU9J68jBuFiACjeE/&#10;/Nd+NxpUorJMzV6eFPx+in9Arn4AAAD//wMAUEsBAi0AFAAGAAgAAAAhANvh9svuAAAAhQEAABMA&#10;AAAAAAAAAAAAAAAAAAAAAFtDb250ZW50X1R5cGVzXS54bWxQSwECLQAUAAYACAAAACEAWvQsW78A&#10;AAAVAQAACwAAAAAAAAAAAAAAAAAfAQAAX3JlbHMvLnJlbHNQSwECLQAUAAYACAAAACEAaxNm9MwA&#10;AADjAAAADwAAAAAAAAAAAAAAAAAHAgAAZHJzL2Rvd25yZXYueG1sUEsFBgAAAAADAAMAtwAAAAAD&#10;AAAAAA==&#10;">
                  <v:shape id="Imagen 1" o:spid="_x0000_s1169" type="#_x0000_t75" style="position:absolute;left:16735;width:21480;height:30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JmgxwAAAOMAAAAPAAAAZHJzL2Rvd25yZXYueG1sRI9RS8Mw&#10;FIXfBf9DuIJvLlkmVeqyURWZr9b9gEtzbYrNTUmyrvv3RhB8PJxzvsPZ7hc/ipliGgIbWK8UCOIu&#10;2IF7A8fPt7tHECkjWxwDk4ELJdjvrq+2WNtw5g+a29yLAuFUowGX81RLmTpHHtMqTMTF+wrRYy4y&#10;9tJGPBe4H6VWqpIeBy4LDid6cdR9tydv4FWv22OU+Bw5Nk6p02FuLgdjbm+W5glEpiX/h//a79aA&#10;Vrqq9ObhfgO/n8ofkLsfAAAA//8DAFBLAQItABQABgAIAAAAIQDb4fbL7gAAAIUBAAATAAAAAAAA&#10;AAAAAAAAAAAAAABbQ29udGVudF9UeXBlc10ueG1sUEsBAi0AFAAGAAgAAAAhAFr0LFu/AAAAFQEA&#10;AAsAAAAAAAAAAAAAAAAAHwEAAF9yZWxzLy5yZWxzUEsBAi0AFAAGAAgAAAAhAMK8maDHAAAA4wAA&#10;AA8AAAAAAAAAAAAAAAAABwIAAGRycy9kb3ducmV2LnhtbFBLBQYAAAAAAwADALcAAAD7AgAAAAA=&#10;">
                    <v:imagedata r:id="rId1260" o:title=""/>
                    <v:path arrowok="t"/>
                  </v:shape>
                  <v:group id="41 Grupo" o:spid="_x0000_s1170" style="position:absolute;top:2803;width:57877;height:28789" coordorigin=",-905" coordsize="57877,2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group id="15 Grupo" o:spid="_x0000_s1171" style="position:absolute;left:434;top:-905;width:17158;height:3846" coordorigin="3,-905" coordsize="17158,3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shape id="5 Conector recto de flecha" o:spid="_x0000_s1172" type="#_x0000_t32" style="position:absolute;left:12163;top:1035;width:49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kh+xAAAANwAAAAPAAAAZHJzL2Rvd25yZXYueG1sRE89T8Mw&#10;EN2R+A/WIbFRJx2qktapELQIqQukDIyn+BKnic/BdtvAr8dISGz39D5vvZnsIM7kQ+dYQT7LQBDX&#10;TnfcKng/7O6WIEJE1jg4JgVfFGBTXl+tsdDuwm90rmIrUgiHAhWYGMdCylAbshhmbiROXOO8xZig&#10;b6X2eEnhdpDzLFtIix2nBoMjPRqq++pkFfj+Oa++9x/b1xZ7c8qbw/3T51Gp25vpYQUi0hT/xX/u&#10;F53mL+bw+0y6QJY/AAAA//8DAFBLAQItABQABgAIAAAAIQDb4fbL7gAAAIUBAAATAAAAAAAAAAAA&#10;AAAAAAAAAABbQ29udGVudF9UeXBlc10ueG1sUEsBAi0AFAAGAAgAAAAhAFr0LFu/AAAAFQEAAAsA&#10;AAAAAAAAAAAAAAAAHwEAAF9yZWxzLy5yZWxzUEsBAi0AFAAGAAgAAAAhAHZySH7EAAAA3AAAAA8A&#10;AAAAAAAAAAAAAAAABwIAAGRycy9kb3ducmV2LnhtbFBLBQYAAAAAAwADALcAAAD4AgAAAAA=&#10;" stroked="f" strokeweight=".5pt">
                        <v:stroke endarrow="open" joinstyle="miter"/>
                      </v:shape>
                      <v:shape id="6 Cuadro de texto" o:spid="_x0000_s1173" type="#_x0000_t202" style="position:absolute;left:3;top:-905;width:12160;height:3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KMwxAAAANwAAAAPAAAAZHJzL2Rvd25yZXYueG1sRE/fa8Iw&#10;EH4f+D+EE3ybqWOIdEYZ4pjCirMOfD2as+1sLiWJtvOvXwbC3u7j+3nzZW8acSXna8sKJuMEBHFh&#10;dc2lgq/D2+MMhA/IGhvLpOCHPCwXg4c5ptp2vKdrHkoRQ9inqKAKoU2l9EVFBv3YtsSRO1lnMETo&#10;SqkddjHcNPIpSabSYM2xocKWVhUV5/xiFBy7/N3tttvvz3aT3Xa3PPugdabUaNi/voAI1Id/8d29&#10;0XH+9Bn+nokXyMUvAAAA//8DAFBLAQItABQABgAIAAAAIQDb4fbL7gAAAIUBAAATAAAAAAAAAAAA&#10;AAAAAAAAAABbQ29udGVudF9UeXBlc10ueG1sUEsBAi0AFAAGAAgAAAAhAFr0LFu/AAAAFQEAAAsA&#10;AAAAAAAAAAAAAAAAHwEAAF9yZWxzLy5yZWxzUEsBAi0AFAAGAAgAAAAhAJtYozDEAAAA3AAAAA8A&#10;AAAAAAAAAAAAAAAABwIAAGRycy9kb3ducmV2LnhtbFBLBQYAAAAAAwADALcAAAD4AgAAAAA=&#10;" fillcolor="window" stroked="f" strokeweight=".5pt">
                        <v:textbox>
                          <w:txbxContent>
                            <w:p w:rsidR="00C20C0F" w:rsidRDefault="00C20C0F" w:rsidP="00C932A6">
                              <w:pPr>
                                <w:jc w:val="center"/>
                              </w:pPr>
                              <w:r>
                                <w:t>Número atómico</w:t>
                              </w:r>
                            </w:p>
                          </w:txbxContent>
                        </v:textbox>
                      </v:shape>
                    </v:group>
                    <v:group id="13 Grupo" o:spid="_x0000_s1174" style="position:absolute;left:30710;top:18714;width:27167;height:8541" coordorigin=",-5" coordsize="27167,8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shape id="7 Cuadro de texto" o:spid="_x0000_s1175" type="#_x0000_t202" style="position:absolute;left:10605;top:-5;width:16562;height: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pjcxAAAANwAAAAPAAAAZHJzL2Rvd25yZXYueG1sRE9Na8JA&#10;EL0L/Q/LFHrTTT0Eia5SSosKDWos9Dpkp0na7GzY3ZrUX+8Kgrd5vM9ZrAbTihM531hW8DxJQBCX&#10;VjdcKfg8vo9nIHxA1thaJgX/5GG1fBgtMNO25wOdilCJGMI+QwV1CF0mpS9rMugntiOO3Ld1BkOE&#10;rpLaYR/DTSunSZJKgw3Hhho7eq2p/C3+jIKvvli73Xb7s+82+Xl3LvIPesuVenocXuYgAg3hLr65&#10;NzrOT1O4PhMvkMsLAAAA//8DAFBLAQItABQABgAIAAAAIQDb4fbL7gAAAIUBAAATAAAAAAAAAAAA&#10;AAAAAAAAAABbQ29udGVudF9UeXBlc10ueG1sUEsBAi0AFAAGAAgAAAAhAFr0LFu/AAAAFQEAAAsA&#10;AAAAAAAAAAAAAAAAHwEAAF9yZWxzLy5yZWxzUEsBAi0AFAAGAAgAAAAhAATGmNzEAAAA3AAAAA8A&#10;AAAAAAAAAAAAAAAABwIAAGRycy9kb3ducmV2LnhtbFBLBQYAAAAAAwADALcAAAD4AgAAAAA=&#10;" fillcolor="window" stroked="f" strokeweight=".5pt">
                        <v:textbox>
                          <w:txbxContent>
                            <w:p w:rsidR="00C20C0F" w:rsidRDefault="00C20C0F" w:rsidP="00C932A6">
                              <w:pPr>
                                <w:jc w:val="center"/>
                              </w:pPr>
                              <w:r>
                                <w:t>Configuración electrónica</w:t>
                              </w:r>
                            </w:p>
                          </w:txbxContent>
                        </v:textbox>
                      </v:shape>
                      <v:shape id="8 Conector recto de flecha" o:spid="_x0000_s1176" type="#_x0000_t32" style="position:absolute;top:1293;width:87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xFwxAAAANwAAAAPAAAAZHJzL2Rvd25yZXYueG1sRI9Ba4NA&#10;EIXvgf6HZQq5JWsraGOykTahkGONveQ2uBOVuLPibtT++2yh0NsM78373uzy2XRipMG1lhW8rCMQ&#10;xJXVLdcKvsvP1RsI55E1dpZJwQ85yPdPix1m2k5c0Hj2tQgh7DJU0HjfZ1K6qiGDbm174qBd7WDQ&#10;h3WopR5wCuGmk69RlEiDLQdCgz0dGqpu57sJXJvKr3FTFnG/STt3KcroIz4qtXye37cgPM3+3/x3&#10;fdKhfpLC7zNhArl/AAAA//8DAFBLAQItABQABgAIAAAAIQDb4fbL7gAAAIUBAAATAAAAAAAAAAAA&#10;AAAAAAAAAABbQ29udGVudF9UeXBlc10ueG1sUEsBAi0AFAAGAAgAAAAhAFr0LFu/AAAAFQEAAAsA&#10;AAAAAAAAAAAAAAAAHwEAAF9yZWxzLy5yZWxzUEsBAi0AFAAGAAgAAAAhAA5TEXDEAAAA3AAAAA8A&#10;AAAAAAAAAAAAAAAABwIAAGRycy9kb3ducmV2LnhtbFBLBQYAAAAAAwADALcAAAD4AgAAAAA=&#10;" stroked="f" strokeweight=".5pt">
                        <v:stroke endarrow="open" joinstyle="miter"/>
                      </v:shape>
                    </v:group>
                    <v:group id="16 Grupo" o:spid="_x0000_s1177" style="position:absolute;top:22857;width:20697;height:5026" coordorigin=",-2" coordsize="20697,5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9 Cuadro de texto" o:spid="_x0000_s1178" type="#_x0000_t202" style="position:absolute;top:-2;width:15265;height:5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QyuxAAAANwAAAAPAAAAZHJzL2Rvd25yZXYueG1sRE9Na8JA&#10;EL0X+h+WKfRWN+1BNLqKSEsVGqxR8DpkxySanQ27WxP99d2C0Ns83udM571pxIWcry0reB0kIIgL&#10;q2suFex3Hy8jED4ga2wsk4IreZjPHh+mmGrb8ZYueShFDGGfooIqhDaV0hcVGfQD2xJH7midwRCh&#10;K6V22MVw08i3JBlKgzXHhgpbWlZUnPMfo+DQ5Z9us16fvttVdtvc8uyL3jOlnp/6xQREoD78i+/u&#10;lY7zh2P4eyZeIGe/AAAA//8DAFBLAQItABQABgAIAAAAIQDb4fbL7gAAAIUBAAATAAAAAAAAAAAA&#10;AAAAAAAAAABbQ29udGVudF9UeXBlc10ueG1sUEsBAi0AFAAGAAgAAAAhAFr0LFu/AAAAFQEAAAsA&#10;AAAAAAAAAAAAAAAAHwEAAF9yZWxzLy5yZWxzUEsBAi0AFAAGAAgAAAAhAHVZDK7EAAAA3AAAAA8A&#10;AAAAAAAAAAAAAAAABwIAAGRycy9kb3ducmV2LnhtbFBLBQYAAAAAAwADALcAAAD4AgAAAAA=&#10;" fillcolor="window" stroked="f" strokeweight=".5pt">
                        <v:textbox>
                          <w:txbxContent>
                            <w:p w:rsidR="00C20C0F" w:rsidRDefault="00C20C0F" w:rsidP="00C932A6">
                              <w:pPr>
                                <w:jc w:val="center"/>
                              </w:pPr>
                              <w:r>
                                <w:t>Nombre del elemento</w:t>
                              </w:r>
                            </w:p>
                          </w:txbxContent>
                        </v:textbox>
                      </v:shape>
                      <v:shape id="10 Conector recto de flecha" o:spid="_x0000_s1179" type="#_x0000_t32" style="position:absolute;left:15700;top:1380;width:49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eVPxwAAANwAAAAPAAAAZHJzL2Rvd25yZXYueG1sRI9LT8Mw&#10;EITvSP0P1iJxo0448Ah1K1QeQuICaQ89ruJtHBKvg+22gV/PHpC47WpmZ75drCY/qCPF1AU2UM4L&#10;UMRNsB23Brab58tbUCkjWxwCk4FvSrBazs4WWNlw4g861rlVEsKpQgMu57HSOjWOPKZ5GIlF24fo&#10;McsaW20jniTcD/qqKK61x46lweFIa0dNXx+8gdi/lPXP2+7pvcXeHcr95u7x69OYi/Pp4R5Upin/&#10;m/+uX63g3wi+PCMT6OUvAAAA//8DAFBLAQItABQABgAIAAAAIQDb4fbL7gAAAIUBAAATAAAAAAAA&#10;AAAAAAAAAAAAAABbQ29udGVudF9UeXBlc10ueG1sUEsBAi0AFAAGAAgAAAAhAFr0LFu/AAAAFQEA&#10;AAsAAAAAAAAAAAAAAAAAHwEAAF9yZWxzLy5yZWxzUEsBAi0AFAAGAAgAAAAhAGw15U/HAAAA3AAA&#10;AA8AAAAAAAAAAAAAAAAABwIAAGRycy9kb3ducmV2LnhtbFBLBQYAAAAAAwADALcAAAD7AgAAAAA=&#10;" stroked="f" strokeweight=".5pt">
                        <v:stroke endarrow="open" joinstyle="miter"/>
                      </v:shape>
                    </v:group>
                    <v:group id="14 Grupo" o:spid="_x0000_s1180" style="position:absolute;left:31572;top:6898;width:17630;height:7111" coordorigin=",-2" coordsize="17629,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shape id="11 Conector recto de flecha" o:spid="_x0000_s1181" type="#_x0000_t32" style="position:absolute;top:1466;width:87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Q1xAAAANwAAAAPAAAAZHJzL2Rvd25yZXYueG1sRI9Ba4NA&#10;EIXvgfyHZQK9JWsUamOykbSl0GPVXnIb3IlK3Flxt2r/fbdQ6G2G9+Z9b075Ynox0eg6ywr2uwgE&#10;cW11x42Cz+pt+wTCeWSNvWVS8E0O8vN6dcJM25kLmkrfiBDCLkMFrfdDJqWrWzLodnYgDtrNjgZ9&#10;WMdG6hHnEG56GUfRozTYcSC0ONBLS/W9/DKBa1P5MR2qIhkOae+uRRU9J69KPWyWyxGEp8X/m/+u&#10;33Won8bw+0yYQJ5/AAAA//8DAFBLAQItABQABgAIAAAAIQDb4fbL7gAAAIUBAAATAAAAAAAAAAAA&#10;AAAAAAAAAABbQ29udGVudF9UeXBlc10ueG1sUEsBAi0AFAAGAAgAAAAhAFr0LFu/AAAAFQEAAAsA&#10;AAAAAAAAAAAAAAAAHwEAAF9yZWxzLy5yZWxzUEsBAi0AFAAGAAgAAAAhAJv9JDXEAAAA3AAAAA8A&#10;AAAAAAAAAAAAAAAABwIAAGRycy9kb3ducmV2LnhtbFBLBQYAAAAAAwADALcAAAD4AgAAAAA=&#10;" stroked="f" strokeweight=".5pt">
                        <v:stroke endarrow="open" joinstyle="miter"/>
                      </v:shape>
                      <v:shape id="12 Cuadro de texto" o:spid="_x0000_s1182" type="#_x0000_t202" style="position:absolute;left:8798;top:-2;width:8831;height:7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K2ZxAAAANwAAAAPAAAAZHJzL2Rvd25yZXYueG1sRE/fa8Iw&#10;EH4X9j+EG/g2003YpBpljIkKK84q+Ho0Z1vXXEqS2c6/fhkMfLuP7+fNFr1pxIWcry0reBwlIIgL&#10;q2suFRz2y4cJCB+QNTaWScEPeVjM7wYzTLXteEeXPJQihrBPUUEVQptK6YuKDPqRbYkjd7LOYIjQ&#10;lVI77GK4aeRTkjxLgzXHhgpbequo+Mq/jYJjl6/cdrM5f7br7Lq95tkHvWdKDe/71ymIQH24if/d&#10;ax3nv4zh75l4gZz/AgAA//8DAFBLAQItABQABgAIAAAAIQDb4fbL7gAAAIUBAAATAAAAAAAAAAAA&#10;AAAAAAAAAABbQ29udGVudF9UeXBlc10ueG1sUEsBAi0AFAAGAAgAAAAhAFr0LFu/AAAAFQEAAAsA&#10;AAAAAAAAAAAAAAAAHwEAAF9yZWxzLy5yZWxzUEsBAi0AFAAGAAgAAAAhAJForZnEAAAA3AAAAA8A&#10;AAAAAAAAAAAAAAAABwIAAGRycy9kb3ducmV2LnhtbFBLBQYAAAAAAwADALcAAAD4AgAAAAA=&#10;" fillcolor="window" stroked="f" strokeweight=".5pt">
                        <v:textbox>
                          <w:txbxContent>
                            <w:p w:rsidR="00C20C0F" w:rsidRDefault="00C20C0F" w:rsidP="00C932A6">
                              <w:pPr>
                                <w:jc w:val="center"/>
                              </w:pPr>
                              <w:r>
                                <w:t>Símbolo</w:t>
                              </w:r>
                            </w:p>
                          </w:txbxContent>
                        </v:textbox>
                      </v:shape>
                    </v:group>
                  </v:group>
                </v:group>
                <v:group id="57 Grupo" o:spid="_x0000_s1183" style="position:absolute;left:12594;top:4744;width:29159;height:23205" coordsize="29158,2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 id="53 Conector recto de flecha" o:spid="_x0000_s1184" type="#_x0000_t32" style="position:absolute;width:500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3Y6wgAAANwAAAAPAAAAZHJzL2Rvd25yZXYueG1sRE9Na8JA&#10;EL0X/A/LCN7qRqU1RFcJQiGlh2L04m3IjkkwOxuy22T777uFQm/zeJ+zPwbTiZEG11pWsFomIIgr&#10;q1uuFVwvb88pCOeRNXaWScE3OTgeZk97zLSd+Exj6WsRQ9hlqKDxvs+kdFVDBt3S9sSRu9vBoI9w&#10;qKUecIrhppPrJHmVBluODQ32dGqoepRfRsEt3MuP9N1+YmjPfb69hWKTBqUW85DvQHgK/l/85y50&#10;nL99gd9n4gXy8AMAAP//AwBQSwECLQAUAAYACAAAACEA2+H2y+4AAACFAQAAEwAAAAAAAAAAAAAA&#10;AAAAAAAAW0NvbnRlbnRfVHlwZXNdLnhtbFBLAQItABQABgAIAAAAIQBa9CxbvwAAABUBAAALAAAA&#10;AAAAAAAAAAAAAB8BAABfcmVscy8ucmVsc1BLAQItABQABgAIAAAAIQD213Y6wgAAANwAAAAPAAAA&#10;AAAAAAAAAAAAAAcCAABkcnMvZG93bnJldi54bWxQSwUGAAAAAAMAAwC3AAAA9gIAAAAA&#10;" strokecolor="#4472c4" strokeweight=".5pt">
                    <v:stroke endarrow="open" joinstyle="miter"/>
                  </v:shape>
                  <v:shape id="54 Conector recto de flecha" o:spid="_x0000_s1185" type="#_x0000_t32" style="position:absolute;left:2501;top:23205;width:49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ehNwgAAANwAAAAPAAAAZHJzL2Rvd25yZXYueG1sRE9Na4NA&#10;EL0H+h+WKeSWrE1BxWaVUCik9FBiesltcCcqdWfF3ejm33cLhd7m8T5nXwUziJkm11tW8LRNQBA3&#10;VvfcKvg6v21yEM4jaxwsk4I7OajKh9UeC20XPtFc+1bEEHYFKui8HwspXdORQbe1I3HkrnYy6COc&#10;WqknXGK4GeQuSVJpsOfY0OFIrx013/XNKLiEa/2Rv9tPDP1pPGSXcHzOg1Lrx3B4AeEp+H/xn/uo&#10;4/wshd9n4gWy/AEAAP//AwBQSwECLQAUAAYACAAAACEA2+H2y+4AAACFAQAAEwAAAAAAAAAAAAAA&#10;AAAAAAAAW0NvbnRlbnRfVHlwZXNdLnhtbFBLAQItABQABgAIAAAAIQBa9CxbvwAAABUBAAALAAAA&#10;AAAAAAAAAAAAAB8BAABfcmVscy8ucmVsc1BLAQItABQABgAIAAAAIQAGBehNwgAAANwAAAAPAAAA&#10;AAAAAAAAAAAAAAcCAABkcnMvZG93bnJldi54bWxQSwUGAAAAAAMAAwC3AAAA9gIAAAAA&#10;" strokecolor="#4472c4" strokeweight=".5pt">
                    <v:stroke endarrow="open" joinstyle="miter"/>
                  </v:shape>
                  <v:shape id="55 Conector recto de flecha" o:spid="_x0000_s1186" type="#_x0000_t32" style="position:absolute;left:20444;top:7332;width:8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uGxQAAANwAAAAPAAAAZHJzL2Rvd25yZXYueG1sRE9La8JA&#10;EL4X/A/LFHqrm7ZQJWYjail68dFUD96G7JgEs7Npdhvjv+8WBG/z8T0nmfamFh21rrKs4GUYgSDO&#10;ra64ULD//nweg3AeWWNtmRRcycE0HTwkGGt74S/qMl+IEMIuRgWl900spctLMuiGtiEO3Mm2Bn2A&#10;bSF1i5cQbmr5GkXv0mDFoaHEhhYl5efs1yjYfKzsm9x1bnc4r5fH5WL7Mz+clHp67GcTEJ56fxff&#10;3Csd5o9G8P9MuECmfwAAAP//AwBQSwECLQAUAAYACAAAACEA2+H2y+4AAACFAQAAEwAAAAAAAAAA&#10;AAAAAAAAAAAAW0NvbnRlbnRfVHlwZXNdLnhtbFBLAQItABQABgAIAAAAIQBa9CxbvwAAABUBAAAL&#10;AAAAAAAAAAAAAAAAAB8BAABfcmVscy8ucmVsc1BLAQItABQABgAIAAAAIQAEY+uGxQAAANwAAAAP&#10;AAAAAAAAAAAAAAAAAAcCAABkcnMvZG93bnJldi54bWxQSwUGAAAAAAMAAwC3AAAA+QIAAAAA&#10;" strokecolor="#4472c4" strokeweight=".5pt">
                    <v:stroke endarrow="open" joinstyle="miter"/>
                  </v:shape>
                  <v:shape id="56 Conector recto de flecha" o:spid="_x0000_s1187" type="#_x0000_t32" style="position:absolute;left:17080;top:18978;width:120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0xwAAANwAAAAPAAAAZHJzL2Rvd25yZXYueG1sRI9Bb8Iw&#10;DIXvk/gPkZF2GymbNFBHQMCE4LLB2DhwsxrTVjROabLS/fv5gMTN1nt+7/Nk1rlKtdSE0rOB4SAB&#10;RZx5W3Ju4Od79TQGFSKyxcozGfijALNp72GCqfVX/qJ2H3MlIRxSNFDEWKdah6wgh2Hga2LRTr5x&#10;GGVtcm0bvEq4q/RzkrxqhyVLQ4E1LQvKzvtfZ+DzfeNf9K4Nu8P5Y31cL7eXxeFkzGO/m7+BitTF&#10;u/l2vbGCPxJaeUYm0NN/AAAA//8DAFBLAQItABQABgAIAAAAIQDb4fbL7gAAAIUBAAATAAAAAAAA&#10;AAAAAAAAAAAAAABbQ29udGVudF9UeXBlc10ueG1sUEsBAi0AFAAGAAgAAAAhAFr0LFu/AAAAFQEA&#10;AAsAAAAAAAAAAAAAAAAAHwEAAF9yZWxzLy5yZWxzUEsBAi0AFAAGAAgAAAAhAHX8f/THAAAA3AAA&#10;AA8AAAAAAAAAAAAAAAAABwIAAGRycy9kb3ducmV2LnhtbFBLBQYAAAAAAwADALcAAAD7AgAAAAA=&#10;" strokecolor="#4472c4" strokeweight=".5pt">
                    <v:stroke endarrow="open" joinstyle="miter"/>
                  </v:shape>
                </v:group>
              </v:group>
            </w:pict>
          </mc:Fallback>
        </mc:AlternateContent>
      </w:r>
    </w:p>
    <w:p w:rsidR="00C932A6" w:rsidRDefault="00C932A6" w:rsidP="00C932A6">
      <w:pPr>
        <w:autoSpaceDE w:val="0"/>
        <w:autoSpaceDN w:val="0"/>
        <w:adjustRightInd w:val="0"/>
        <w:spacing w:after="42"/>
        <w:jc w:val="both"/>
        <w:rPr>
          <w:rFonts w:ascii="Arial" w:hAnsi="Arial" w:cs="Arial"/>
          <w:szCs w:val="23"/>
        </w:rPr>
      </w:pPr>
      <w:r>
        <w:rPr>
          <w:noProof/>
          <w:lang w:val="en-US"/>
        </w:rPr>
        <w:drawing>
          <wp:anchor distT="0" distB="0" distL="114300" distR="114300" simplePos="0" relativeHeight="251830272" behindDoc="1" locked="0" layoutInCell="1" allowOverlap="1" wp14:anchorId="2ABB3375" wp14:editId="6AB1D14A">
            <wp:simplePos x="0" y="0"/>
            <wp:positionH relativeFrom="column">
              <wp:posOffset>562610</wp:posOffset>
            </wp:positionH>
            <wp:positionV relativeFrom="paragraph">
              <wp:posOffset>37465</wp:posOffset>
            </wp:positionV>
            <wp:extent cx="4853305" cy="2152650"/>
            <wp:effectExtent l="0" t="0" r="0" b="0"/>
            <wp:wrapThrough wrapText="bothSides">
              <wp:wrapPolygon edited="0">
                <wp:start x="6020" y="0"/>
                <wp:lineTo x="339" y="1529"/>
                <wp:lineTo x="0" y="1529"/>
                <wp:lineTo x="0" y="4588"/>
                <wp:lineTo x="3137" y="6117"/>
                <wp:lineTo x="6020" y="6117"/>
                <wp:lineTo x="6020" y="15292"/>
                <wp:lineTo x="0" y="17777"/>
                <wp:lineTo x="0" y="21409"/>
                <wp:lineTo x="5850" y="21409"/>
                <wp:lineTo x="21535" y="21218"/>
                <wp:lineTo x="21535" y="14910"/>
                <wp:lineTo x="14413" y="12234"/>
                <wp:lineTo x="18228" y="12234"/>
                <wp:lineTo x="18652" y="11851"/>
                <wp:lineTo x="18652" y="7264"/>
                <wp:lineTo x="17974" y="6690"/>
                <wp:lineTo x="14413" y="6117"/>
                <wp:lineTo x="14413" y="0"/>
                <wp:lineTo x="6020" y="0"/>
              </wp:wrapPolygon>
            </wp:wrapThrough>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4853305" cy="2152650"/>
                    </a:xfrm>
                    <a:prstGeom prst="rect">
                      <a:avLst/>
                    </a:prstGeom>
                    <a:noFill/>
                  </pic:spPr>
                </pic:pic>
              </a:graphicData>
            </a:graphic>
            <wp14:sizeRelH relativeFrom="page">
              <wp14:pctWidth>0</wp14:pctWidth>
            </wp14:sizeRelH>
            <wp14:sizeRelV relativeFrom="page">
              <wp14:pctHeight>0</wp14:pctHeight>
            </wp14:sizeRelV>
          </wp:anchor>
        </w:drawing>
      </w:r>
    </w:p>
    <w:p w:rsidR="00C932A6" w:rsidRDefault="00C932A6" w:rsidP="00C932A6">
      <w:pPr>
        <w:autoSpaceDE w:val="0"/>
        <w:autoSpaceDN w:val="0"/>
        <w:adjustRightInd w:val="0"/>
        <w:spacing w:after="42"/>
        <w:jc w:val="both"/>
        <w:rPr>
          <w:rFonts w:ascii="Arial" w:hAnsi="Arial" w:cs="Arial"/>
          <w:szCs w:val="23"/>
        </w:rPr>
      </w:pPr>
    </w:p>
    <w:p w:rsidR="00C932A6" w:rsidRDefault="00C932A6" w:rsidP="00C932A6">
      <w:pPr>
        <w:autoSpaceDE w:val="0"/>
        <w:autoSpaceDN w:val="0"/>
        <w:adjustRightInd w:val="0"/>
        <w:spacing w:after="42"/>
        <w:jc w:val="both"/>
        <w:rPr>
          <w:rFonts w:ascii="Arial" w:hAnsi="Arial" w:cs="Arial"/>
          <w:szCs w:val="23"/>
        </w:rPr>
      </w:pPr>
    </w:p>
    <w:p w:rsidR="00C932A6" w:rsidRDefault="00C932A6" w:rsidP="00C932A6">
      <w:pPr>
        <w:autoSpaceDE w:val="0"/>
        <w:autoSpaceDN w:val="0"/>
        <w:adjustRightInd w:val="0"/>
        <w:spacing w:after="42"/>
        <w:jc w:val="both"/>
        <w:rPr>
          <w:rFonts w:ascii="Arial" w:hAnsi="Arial" w:cs="Arial"/>
          <w:szCs w:val="23"/>
        </w:rPr>
      </w:pPr>
    </w:p>
    <w:p w:rsidR="00C932A6" w:rsidRDefault="00C932A6" w:rsidP="00C932A6">
      <w:pPr>
        <w:autoSpaceDE w:val="0"/>
        <w:autoSpaceDN w:val="0"/>
        <w:adjustRightInd w:val="0"/>
        <w:spacing w:after="42"/>
        <w:jc w:val="both"/>
        <w:rPr>
          <w:rFonts w:ascii="Arial" w:hAnsi="Arial" w:cs="Arial"/>
          <w:szCs w:val="23"/>
        </w:rPr>
      </w:pPr>
    </w:p>
    <w:p w:rsidR="00C932A6" w:rsidRDefault="00C932A6" w:rsidP="00C932A6">
      <w:pPr>
        <w:autoSpaceDE w:val="0"/>
        <w:autoSpaceDN w:val="0"/>
        <w:adjustRightInd w:val="0"/>
        <w:spacing w:after="42"/>
        <w:jc w:val="both"/>
        <w:rPr>
          <w:rFonts w:ascii="Arial" w:hAnsi="Arial" w:cs="Arial"/>
          <w:szCs w:val="23"/>
        </w:rPr>
      </w:pPr>
    </w:p>
    <w:p w:rsidR="00C932A6" w:rsidRDefault="00C932A6" w:rsidP="00C932A6">
      <w:pPr>
        <w:autoSpaceDE w:val="0"/>
        <w:autoSpaceDN w:val="0"/>
        <w:adjustRightInd w:val="0"/>
        <w:spacing w:after="42"/>
        <w:jc w:val="both"/>
        <w:rPr>
          <w:rFonts w:ascii="Arial" w:hAnsi="Arial" w:cs="Arial"/>
          <w:szCs w:val="23"/>
        </w:rPr>
      </w:pPr>
      <w:r>
        <w:rPr>
          <w:noProof/>
          <w:lang w:val="en-US"/>
        </w:rPr>
        <mc:AlternateContent>
          <mc:Choice Requires="wpg">
            <w:drawing>
              <wp:anchor distT="0" distB="0" distL="114300" distR="114300" simplePos="0" relativeHeight="251829248" behindDoc="1" locked="0" layoutInCell="1" allowOverlap="1" wp14:anchorId="42B6F028" wp14:editId="7F27F410">
                <wp:simplePos x="0" y="0"/>
                <wp:positionH relativeFrom="column">
                  <wp:posOffset>1397000</wp:posOffset>
                </wp:positionH>
                <wp:positionV relativeFrom="paragraph">
                  <wp:posOffset>6667500</wp:posOffset>
                </wp:positionV>
                <wp:extent cx="5462270" cy="2154555"/>
                <wp:effectExtent l="0" t="0" r="0" b="0"/>
                <wp:wrapNone/>
                <wp:docPr id="190" name="58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2270" cy="2154555"/>
                          <a:chOff x="0" y="0"/>
                          <a:chExt cx="5787786" cy="3159298"/>
                        </a:xfrm>
                      </wpg:grpSpPr>
                      <wpg:grpSp>
                        <wpg:cNvPr id="191" name="42 Grupo"/>
                        <wpg:cNvGrpSpPr/>
                        <wpg:grpSpPr>
                          <a:xfrm>
                            <a:off x="0" y="0"/>
                            <a:ext cx="5787786" cy="3159298"/>
                            <a:chOff x="0" y="0"/>
                            <a:chExt cx="5787786" cy="3159298"/>
                          </a:xfrm>
                        </wpg:grpSpPr>
                        <pic:pic xmlns:pic="http://schemas.openxmlformats.org/drawingml/2006/picture">
                          <pic:nvPicPr>
                            <pic:cNvPr id="192" name="Imagen 1"/>
                            <pic:cNvPicPr>
                              <a:picLocks noChangeAspect="1"/>
                            </pic:cNvPicPr>
                          </pic:nvPicPr>
                          <pic:blipFill>
                            <a:blip r:embed="rId1259"/>
                            <a:stretch>
                              <a:fillRect/>
                            </a:stretch>
                          </pic:blipFill>
                          <pic:spPr>
                            <a:xfrm>
                              <a:off x="1673525" y="0"/>
                              <a:ext cx="2147977" cy="3096883"/>
                            </a:xfrm>
                            <a:prstGeom prst="rect">
                              <a:avLst/>
                            </a:prstGeom>
                            <a:ln>
                              <a:noFill/>
                            </a:ln>
                          </pic:spPr>
                        </pic:pic>
                        <wpg:grpSp>
                          <wpg:cNvPr id="193" name="41 Grupo"/>
                          <wpg:cNvGrpSpPr/>
                          <wpg:grpSpPr>
                            <a:xfrm>
                              <a:off x="0" y="280388"/>
                              <a:ext cx="5787786" cy="2878910"/>
                              <a:chOff x="0" y="-90548"/>
                              <a:chExt cx="5787786" cy="2878910"/>
                            </a:xfrm>
                          </wpg:grpSpPr>
                          <wpg:grpSp>
                            <wpg:cNvPr id="194" name="15 Grupo"/>
                            <wpg:cNvGrpSpPr/>
                            <wpg:grpSpPr>
                              <a:xfrm>
                                <a:off x="43432" y="-90548"/>
                                <a:ext cx="1715854" cy="384711"/>
                                <a:chOff x="300" y="-90548"/>
                                <a:chExt cx="1715854" cy="384711"/>
                              </a:xfrm>
                            </wpg:grpSpPr>
                            <wps:wsp>
                              <wps:cNvPr id="195" name="5 Conector recto de flecha"/>
                              <wps:cNvCnPr/>
                              <wps:spPr>
                                <a:xfrm flipH="1">
                                  <a:off x="1216325" y="103517"/>
                                  <a:ext cx="499829" cy="0"/>
                                </a:xfrm>
                                <a:prstGeom prst="straightConnector1">
                                  <a:avLst/>
                                </a:prstGeom>
                                <a:noFill/>
                                <a:ln w="6350" cap="flat" cmpd="sng" algn="ctr">
                                  <a:noFill/>
                                  <a:prstDash val="solid"/>
                                  <a:miter lim="800000"/>
                                  <a:tailEnd type="arrow"/>
                                </a:ln>
                                <a:effectLst/>
                              </wps:spPr>
                              <wps:bodyPr/>
                            </wps:wsp>
                            <wps:wsp>
                              <wps:cNvPr id="196" name="6 Cuadro de texto"/>
                              <wps:cNvSpPr txBox="1"/>
                              <wps:spPr>
                                <a:xfrm>
                                  <a:off x="300" y="-90548"/>
                                  <a:ext cx="1216025" cy="384711"/>
                                </a:xfrm>
                                <a:prstGeom prst="rect">
                                  <a:avLst/>
                                </a:prstGeom>
                                <a:solidFill>
                                  <a:sysClr val="window" lastClr="FFFFFF"/>
                                </a:solidFill>
                                <a:ln w="6350">
                                  <a:noFill/>
                                </a:ln>
                                <a:effectLst/>
                              </wps:spPr>
                              <wps:txbx>
                                <w:txbxContent>
                                  <w:p w:rsidR="00C20C0F" w:rsidRDefault="00C20C0F" w:rsidP="00C932A6">
                                    <w:pPr>
                                      <w:jc w:val="center"/>
                                    </w:pPr>
                                    <w:r>
                                      <w:t>Número atómico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7" name="13 Grupo"/>
                            <wpg:cNvGrpSpPr/>
                            <wpg:grpSpPr>
                              <a:xfrm>
                                <a:off x="3071004" y="1871412"/>
                                <a:ext cx="2716782" cy="854179"/>
                                <a:chOff x="0" y="-520"/>
                                <a:chExt cx="2716782" cy="854179"/>
                              </a:xfrm>
                            </wpg:grpSpPr>
                            <wps:wsp>
                              <wps:cNvPr id="198" name="7 Cuadro de texto"/>
                              <wps:cNvSpPr txBox="1"/>
                              <wps:spPr>
                                <a:xfrm>
                                  <a:off x="1060510" y="-520"/>
                                  <a:ext cx="1656272" cy="854179"/>
                                </a:xfrm>
                                <a:prstGeom prst="rect">
                                  <a:avLst/>
                                </a:prstGeom>
                                <a:solidFill>
                                  <a:sysClr val="window" lastClr="FFFFFF"/>
                                </a:solidFill>
                                <a:ln w="6350">
                                  <a:noFill/>
                                </a:ln>
                                <a:effectLst/>
                              </wps:spPr>
                              <wps:txbx>
                                <w:txbxContent>
                                  <w:p w:rsidR="00C20C0F" w:rsidRDefault="00C20C0F" w:rsidP="00C932A6">
                                    <w:pPr>
                                      <w:jc w:val="center"/>
                                    </w:pPr>
                                    <w:r>
                                      <w:t>Configuración electrónica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 name="8 Conector recto de flecha"/>
                              <wps:cNvCnPr/>
                              <wps:spPr>
                                <a:xfrm>
                                  <a:off x="0" y="129396"/>
                                  <a:ext cx="879895" cy="0"/>
                                </a:xfrm>
                                <a:prstGeom prst="straightConnector1">
                                  <a:avLst/>
                                </a:prstGeom>
                                <a:noFill/>
                                <a:ln w="6350" cap="flat" cmpd="sng" algn="ctr">
                                  <a:noFill/>
                                  <a:prstDash val="solid"/>
                                  <a:miter lim="800000"/>
                                  <a:tailEnd type="arrow"/>
                                </a:ln>
                                <a:effectLst/>
                              </wps:spPr>
                              <wps:bodyPr/>
                            </wps:wsp>
                          </wpg:grpSp>
                          <wpg:grpSp>
                            <wpg:cNvPr id="200" name="16 Grupo"/>
                            <wpg:cNvGrpSpPr/>
                            <wpg:grpSpPr>
                              <a:xfrm>
                                <a:off x="0" y="2285720"/>
                                <a:ext cx="2069753" cy="502642"/>
                                <a:chOff x="0" y="-280"/>
                                <a:chExt cx="2069753" cy="502642"/>
                              </a:xfrm>
                            </wpg:grpSpPr>
                            <wps:wsp>
                              <wps:cNvPr id="201" name="9 Cuadro de texto"/>
                              <wps:cNvSpPr txBox="1"/>
                              <wps:spPr>
                                <a:xfrm>
                                  <a:off x="0" y="-280"/>
                                  <a:ext cx="1526540" cy="502642"/>
                                </a:xfrm>
                                <a:prstGeom prst="rect">
                                  <a:avLst/>
                                </a:prstGeom>
                                <a:solidFill>
                                  <a:sysClr val="window" lastClr="FFFFFF"/>
                                </a:solidFill>
                                <a:ln w="6350">
                                  <a:noFill/>
                                </a:ln>
                                <a:effectLst/>
                              </wps:spPr>
                              <wps:txbx>
                                <w:txbxContent>
                                  <w:p w:rsidR="00C20C0F" w:rsidRDefault="00C20C0F" w:rsidP="00C932A6">
                                    <w:pPr>
                                      <w:jc w:val="center"/>
                                    </w:pPr>
                                    <w:r>
                                      <w:t>Nombre del elemento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10 Conector recto de flecha"/>
                              <wps:cNvCnPr/>
                              <wps:spPr>
                                <a:xfrm flipH="1">
                                  <a:off x="1570008" y="138023"/>
                                  <a:ext cx="499745" cy="0"/>
                                </a:xfrm>
                                <a:prstGeom prst="straightConnector1">
                                  <a:avLst/>
                                </a:prstGeom>
                                <a:noFill/>
                                <a:ln w="6350" cap="flat" cmpd="sng" algn="ctr">
                                  <a:noFill/>
                                  <a:prstDash val="solid"/>
                                  <a:miter lim="800000"/>
                                  <a:tailEnd type="arrow"/>
                                </a:ln>
                                <a:effectLst/>
                              </wps:spPr>
                              <wps:bodyPr/>
                            </wps:wsp>
                          </wpg:grpSp>
                          <wpg:grpSp>
                            <wpg:cNvPr id="203" name="14 Grupo"/>
                            <wpg:cNvGrpSpPr/>
                            <wpg:grpSpPr>
                              <a:xfrm>
                                <a:off x="3157268" y="689868"/>
                                <a:ext cx="1762978" cy="711076"/>
                                <a:chOff x="0" y="-245"/>
                                <a:chExt cx="1762978" cy="711076"/>
                              </a:xfrm>
                            </wpg:grpSpPr>
                            <wps:wsp>
                              <wps:cNvPr id="204" name="11 Conector recto de flecha"/>
                              <wps:cNvCnPr/>
                              <wps:spPr>
                                <a:xfrm>
                                  <a:off x="0" y="146649"/>
                                  <a:ext cx="879475" cy="0"/>
                                </a:xfrm>
                                <a:prstGeom prst="straightConnector1">
                                  <a:avLst/>
                                </a:prstGeom>
                                <a:noFill/>
                                <a:ln w="6350" cap="flat" cmpd="sng" algn="ctr">
                                  <a:noFill/>
                                  <a:prstDash val="solid"/>
                                  <a:miter lim="800000"/>
                                  <a:tailEnd type="arrow"/>
                                </a:ln>
                                <a:effectLst/>
                              </wps:spPr>
                              <wps:bodyPr/>
                            </wps:wsp>
                            <wps:wsp>
                              <wps:cNvPr id="205" name="12 Cuadro de texto"/>
                              <wps:cNvSpPr txBox="1"/>
                              <wps:spPr>
                                <a:xfrm>
                                  <a:off x="879829" y="-245"/>
                                  <a:ext cx="883149" cy="711076"/>
                                </a:xfrm>
                                <a:prstGeom prst="rect">
                                  <a:avLst/>
                                </a:prstGeom>
                                <a:solidFill>
                                  <a:sysClr val="window" lastClr="FFFFFF"/>
                                </a:solidFill>
                                <a:ln w="6350">
                                  <a:noFill/>
                                </a:ln>
                                <a:effectLst/>
                              </wps:spPr>
                              <wps:txbx>
                                <w:txbxContent>
                                  <w:p w:rsidR="00C20C0F" w:rsidRDefault="00C20C0F" w:rsidP="00C932A6">
                                    <w:pPr>
                                      <w:jc w:val="center"/>
                                    </w:pPr>
                                    <w:r>
                                      <w:t>Símbolo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206" name="57 Grupo"/>
                        <wpg:cNvGrpSpPr/>
                        <wpg:grpSpPr>
                          <a:xfrm>
                            <a:off x="1259457" y="474453"/>
                            <a:ext cx="2915891" cy="2320506"/>
                            <a:chOff x="0" y="0"/>
                            <a:chExt cx="2915891" cy="2320506"/>
                          </a:xfrm>
                        </wpg:grpSpPr>
                        <wps:wsp>
                          <wps:cNvPr id="207" name="53 Conector recto de flecha"/>
                          <wps:cNvCnPr/>
                          <wps:spPr>
                            <a:xfrm flipH="1">
                              <a:off x="0" y="0"/>
                              <a:ext cx="500103" cy="0"/>
                            </a:xfrm>
                            <a:prstGeom prst="straightConnector1">
                              <a:avLst/>
                            </a:prstGeom>
                            <a:noFill/>
                            <a:ln w="6350" cap="flat" cmpd="sng" algn="ctr">
                              <a:solidFill>
                                <a:srgbClr val="4472C4"/>
                              </a:solidFill>
                              <a:prstDash val="solid"/>
                              <a:miter lim="800000"/>
                              <a:tailEnd type="arrow"/>
                            </a:ln>
                            <a:effectLst/>
                          </wps:spPr>
                          <wps:bodyPr/>
                        </wps:wsp>
                        <wps:wsp>
                          <wps:cNvPr id="208" name="54 Conector recto de flecha"/>
                          <wps:cNvCnPr/>
                          <wps:spPr>
                            <a:xfrm flipH="1">
                              <a:off x="250166" y="2320506"/>
                              <a:ext cx="499745" cy="0"/>
                            </a:xfrm>
                            <a:prstGeom prst="straightConnector1">
                              <a:avLst/>
                            </a:prstGeom>
                            <a:noFill/>
                            <a:ln w="6350" cap="flat" cmpd="sng" algn="ctr">
                              <a:solidFill>
                                <a:srgbClr val="4472C4"/>
                              </a:solidFill>
                              <a:prstDash val="solid"/>
                              <a:miter lim="800000"/>
                              <a:tailEnd type="arrow"/>
                            </a:ln>
                            <a:effectLst/>
                          </wps:spPr>
                          <wps:bodyPr/>
                        </wps:wsp>
                        <wps:wsp>
                          <wps:cNvPr id="209" name="55 Conector recto de flecha"/>
                          <wps:cNvCnPr/>
                          <wps:spPr>
                            <a:xfrm>
                              <a:off x="2044460" y="733245"/>
                              <a:ext cx="828102" cy="0"/>
                            </a:xfrm>
                            <a:prstGeom prst="straightConnector1">
                              <a:avLst/>
                            </a:prstGeom>
                            <a:noFill/>
                            <a:ln w="6350" cap="flat" cmpd="sng" algn="ctr">
                              <a:solidFill>
                                <a:srgbClr val="4472C4"/>
                              </a:solidFill>
                              <a:prstDash val="solid"/>
                              <a:miter lim="800000"/>
                              <a:tailEnd type="arrow"/>
                            </a:ln>
                            <a:effectLst/>
                          </wps:spPr>
                          <wps:bodyPr/>
                        </wps:wsp>
                        <wps:wsp>
                          <wps:cNvPr id="210" name="56 Conector recto de flecha"/>
                          <wps:cNvCnPr/>
                          <wps:spPr>
                            <a:xfrm>
                              <a:off x="1708030" y="1897811"/>
                              <a:ext cx="1207861" cy="0"/>
                            </a:xfrm>
                            <a:prstGeom prst="straightConnector1">
                              <a:avLst/>
                            </a:prstGeom>
                            <a:noFill/>
                            <a:ln w="6350" cap="flat" cmpd="sng" algn="ctr">
                              <a:solidFill>
                                <a:srgbClr val="4472C4"/>
                              </a:solidFill>
                              <a:prstDash val="solid"/>
                              <a:miter lim="800000"/>
                              <a:tailEnd type="arrow"/>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42B6F028" id="_x0000_s1188" style="position:absolute;left:0;text-align:left;margin-left:110pt;margin-top:525pt;width:430.1pt;height:169.65pt;z-index:-251487232;mso-width-relative:margin;mso-height-relative:margin" coordsize="57877,31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KGtEcgcAAMwoAAAOAAAAZHJzL2Uyb0RvYy54bWzsWltv2zYUfh+w/yDo&#10;vbVIiboYdYcsXbsCxRasHfrMyLItTBI1So6T/fp9vEiyfGlXJzVazAFiUKIonst3vnNI6sVP92Xh&#10;3GWyyUU1c8lzz3WyKhXzvFrO3D8/vH4Wu07T8mrOC1FlM/cha9yfXv74w4tNPc2oWIlinkkHL6ma&#10;6aaeuau2raeTSZOuspI3z0WdVehcCFnyFpdyOZlLvsHby2JCPS+cbISc11KkWdPg7ivT6b7U718s&#10;srT9fbFostYpZi5ka/Wv1L+36nfy8gWfLiWvV3lqxeAnSFHyvMKk/ate8ZY7a5nvvarMUykasWif&#10;p6KciMUiTzOtA7Qh3o42b6RY11qX5XSzrHszwbQ7djr5telvdzfSyefwXQL7VLyEk1jsvJHrWijr&#10;bOrlFA+9kfX7+kYaFdF8J9K/GnRPdvvV9XJ4+H4hSzUImjr32uwPvdmz+9ZJcZMFIaURZk/RRwkL&#10;GGPGMekK3tsbl65+6UZGcRTFoRnpE5bQJFYjJ3xqJtbi9eL0svVq9bqTTveAHtPdGqN/WzfHZ5Q7&#10;IiKfPrFydZ5O8W9BgtYeSD4fTBjVrmXm2peU/+kdJZd/retnwHPN2/w2L/L2QccmkKuEqu5u8lRB&#10;R11s4412Nn9b8mVWOUS5rnvIDOFKJY01pxLXK14ts6umRlQDr9rR48cn6nI0322R16/zolAYVG2r&#10;GRhgJ4IOGMdE5yuRrsusag3dyKyAkqJqVnnduI6cZuVthuiRb+daID5tWpm16UpNuMDEf0BYg8i+&#10;Q0s5CKZkbmxs7YQLCSOfUeY6+0FDSRAlUWSh7yVhHPsj6MN0smnfZKJ0VAMiQhK4hE/53bvGytQ9&#10;om4XlfqthDKXkVjd0cIa8XQT0pro0XGwH0h+59SAPDKQaOz5sQ5nPu2pYjuaaBzFCbEcvhNNzxKP&#10;BXbwEb7YGv7lfBF0ahJ2spqBH/iIAfh2W9pOVRIRFjPMo1jRj4OIWID1mvoeOHNn9KDrkfFHVUX+&#10;bbrw2NTNXoB8UYp5v+J1BrDhRaOQB5RtinGuUQ+krZCOwqVw5pmzKLJ0xRWI7bDr6kbaq+0AwYN5&#10;/atiAAVYm1kIJaFvQ4V4PiORetGAnCBJYpoYa2rI9IbYCxQEKs+XqxYSGhHNREfCpg8YFUHOZuaG&#10;PlO5jKOaWYAs0CxrMERTLV2HF0uUSWkrtehbQ1UgvuLNyrnjqFQaUeRzI3+ZtyiQirycubGn/szt&#10;lufFL9XcaR9qJGwupdioDihlwjjTtY+Nc2VOY0DVuhXzB21XJEftdGPvM3gfidp4P3Su13wutddb&#10;AN5WGhor70GFTnv/s0BloBE/SL+XcQ9FQB8/AISnADGOn+Nu/xw/aqd0uaR5aK4LabyFcnQO8zsF&#10;b1rcnLmv9Z/1x2jYFkIOkS3getxv7f3tva7UAg3twZWOFKB3YK6p09c5gPQOgtxwiUIWN1Gct7/j&#10;Z1EIgFPYluushPzn0H31PIIfva6zQWEMNP695qooKN5WoIWEBAFe2+qLgEUUF3K753a7p1qX1wKI&#10;Rn0F6XRTPd8WXXMhRfkRNfyVmhVdvEox98xF3JjmdYsrdGANkGZXV7ptao131fsaFYqJThVAH+4/&#10;clnbdKdw9ZvoiGgv65lnjROu1q1Y5DolDlbVta2Nj6GMNAnvSO5DNjb4Jv7JScH3IuJ5oH0QO4kj&#10;EhBqIr7DNY1QFcTIGwrXSBAkSswDfV6AsVRWYPCMpsAhJxwZ28fEoKeq1yw99MuOr5QTsEI0Voue&#10;iBWIF3oMdcHYCp39SMhCGu3Zr7fBXjr4fnhB1zsDgi+8gPz/VXnhTBGCssVESPyIqmmrVjKhQWji&#10;J+GYXOIoiRObMy9V0k6VNLDjJ7IANqU6b5Hw5CxgPERprPPrqJClXphEDMssxf/Mo2FgE8Qu/2P9&#10;tMf/h8f23DdoeDb+x7ZXZ6/kifjfMn+vf8/8jIZM1S5jy/Xaf8fMr0uAC/OfryI8C/NTr98iI94j&#10;qP/wgplFWE2i+FKFph97VG8fjRbMUXBJBYcXzANRfjIV9JthJDg5FWBbO6Kh8VMYJzGao3xAopAm&#10;EfoVq2GTyItsTt/LB/DmznrgyNieEQc1z5gPsPaxqyjyCMzvlztBGAZ2qdRlBJQ7QXTB+GGMn4ni&#10;YH7rbvpE+V8VsWqrTy2CaQf63uWxTwCDnWjpEf/91gDYdER0X2qA89UAAzvqvSJ77jluHz1yRBnf&#10;AZ9FJycHQlmCPTiN9SAKAqwLRsmBJjhESFBhq+RAfeoxTGuTwKePVo+N7CNl0P6MuaHfYWP+I3LD&#10;wXrIrBrskqljC+bhVN6utb6V9fBoQ7mRy9t+IzoIInodKP/CS6PH/gfHC1TVsiaTsOCpwUGZR0IE&#10;7G4UdTjB6dI3VyyPAHDBSfedC/X67TTGHoGTrQKTekEQhIZAIt/frzloTNRSTpHwhUW+6UNKqs4N&#10;LIvglPLkM+otdJDIw5cMBh0kxlKtO8jvyINQDx8x2SR9wcep+BgKEluC4ZM5nQnt533qm7zta/3U&#10;8BHiy3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zBDyn4QAAAA4BAAAPAAAA&#10;ZHJzL2Rvd25yZXYueG1sTI/BasMwEETvhf6D2EBvjWSbFNexHEJoewqFJoXSm2JtbBNLMpZiO3/f&#10;9am5zTKP2Zl8M5mWDdj7xlkJ0VIAQ1s63dhKwvfx/TkF5oOyWrXOooQbetgUjw+5yrQb7RcOh1Ax&#10;CrE+UxLqELqMc1/WaJRfug4teWfXGxXo7CuuezVSuGl5LMQLN6qx9KFWHe5qLC+Hq5HwMapxm0Rv&#10;w/5y3t1+j6vPn32EUj4tpu0aWMAp/MMw16fqUFCnk7ta7VkrIaZ4QskQq1nNiEhFDOxEKklfE+BF&#10;zu9nFH8AAAD//wMAUEsDBAoAAAAAAAAAIQAMdbHhV4MAAFeDAAAUAAAAZHJzL21lZGlhL2ltYWdl&#10;MS5wbmeJUE5HDQoaCgAAAA1JSERSAAAA4QAAAUUIAgAAAJUrHWEAAAABc1JHQgCuzhzpAACDEUlE&#10;QVR4Xu29CaBtR1UmfM+545syMTaC+P8YoigSQWhEBJUWZxSIKAgq4gCNooITIDKq2IAMiojYTAKK&#10;RGRQCBBosdVGhFZA0PyCMgYhJC/v3Xk4Z/9rrlXDns5w33sJOyf3nbN37apVq7761qpVtWsPRvv7&#10;C3AM8A8d/K2Kf9pVOw9JKkxa0Rn8427BCwOXp93e74srrOXGQVVVw0WUgeWRqlitnDBRpnXVqRbG&#10;Y8gSc5PPWOoId1gRx44tDIdS76DAfnWcfeqoLTplD7KrIqgaLXVxyaPs+d4B6SdpOpdtuIL4qbAw&#10;hlA1EN2izqsxKFyUPyzJVAfQRHzMM6sQycdq6g6xGk2C+F2bXlQDWOQ77EsmIWcq+doPTF/hBxRC&#10;JwfDAWSVdl3JG/8BdMLHDm4XX+Wpq98JX3kiFJ+qj6rQT3RGerBWBtpREzdpPFJcVqwCNNVCO+Sl&#10;MVD5ob1R+Xo4LcupVtXGsPG/EPiETmmr1qw6tUKzblwW1Ce5KxexFZIyCkMLBugBC4TzmiwVk+5d&#10;XsbTeRUDWGdT/U46qkuU6y4gWBVlyKjlgxy5WVLOtqAQxq4jBektmF4brEZ6FT7HaD+daDt4o0nW&#10;UHyAGbCpCdQAVike/nH9L8Kk/KhRt+hcyIB0h9+pNzuOCQ7MYGFpud1QGF7PArj2aVfffeuQ684H&#10;nXM9cyVz4T4r6/8NqhExAKNT6Y/tPR3iVag7Yq7hLGFqdS3jFTuGVxB8N9+jrY20wwcls+rlr+8p&#10;QKJLC0PHxG15i3oSZ6DLXYeapo4EmhHCyMuhrA1RS890V8ophdTEo2Kjc33kSvVnaMxkEBcrT2cO&#10;sTHSPgt1CX6Y011Bz6aOBNZOD5EGNT2cXF6N6pjwjuVXPO/JdSp+mAl+vYgTZVgAFdUqQLcOxHXF&#10;SY6Wsdn6BmCVLFYYzvM4l0kUv9MvJlE3yvaNMYeGcYpiBfEJMz11g6/0PhUtRr4hlb+srIT8m3pj&#10;DYEkwC0yw0Romeim6enEdOXaFaveOiooyluQx/ujiiqmVfv4rAL+uJ+oWEKiEpURwAaZE1TOAaRi&#10;47lkg6mhxHogF50rIpcwF5JyW1xETzQ55lKhiSB3qDelNkzh4Dtnk6WPgj91OoSgYuKOaicHO44N&#10;icNcHyY0KRisAgjFJCOViVRQe6g6w84bpIrYlKrDh7cYCtna7qS38L/Aoyur5SpNz0eHrapZlJci&#10;0AOte8eVVhCkMajQIIsdBs8fUagfHWN4HgUHL/oQaqWl3ZfI+itbTTcgm0yLg2psxWuYUH2RSIcM&#10;1mxI5/HqKwWqWl0txw1MUJ9/M4NMVrd53dUdT4kEsaXqHM42uihUKKI3FCyJPQk2jUSdyTfYit8Z&#10;hsyMeuNU74lOXPfpGgNhGojcotmB5l00Q8yFiwCY6TDHmiL2wKAY4W87zlCV28Sa0/W8tnqmXQ9q&#10;xAg5RKJm6Gx6D8+Arfczft2+S0AnJHYADRQWBlJz0k9jtjUw9S5UMM8iP6nCfBse/uEBPqiMk9oV&#10;j+lddz4TVZ+szG5Vmyzv/C5BJBXKs6CsODpP/4UQO8dH2WT3+qiVjBg0kkVb+HAr70QAmIpbwj00&#10;mn/SdGTuydVBXzZyvqECcMvSEg2SANzW7zvXqHPCWTX9GctHrFZHEs0nmMzvYjfUWgebh8ZM1E69&#10;kapurYaZuCe40H2M2MJgurdG+7c5wM6tTtCAiGNT/ErdWDwrkZ9KGg8AoLxUJT26SMIkoZ/elT38&#10;G7pUynNArpjYBxfg5hXxIT9HooFKjUcRr4Px9lYAbb2QyQBAuVmpRf519+M0zHAAbpwsbggooJpN&#10;tCqKiW3SA5aM0K1tRUMp49HCwV61tzs8eqIaFDFqQjTIQ9VsbKByVWrum7Teve4rVqe+IniFg5Dc&#10;F7PbOVAajoRonXMFt+NSM0In04qa/iGN8fnQXl8y+i4ZuwyOL3OARmqpiU9wpQ7x0NjFGHQhw3nt&#10;YsGYwKXxeDCi9YpYx7ELWhVl7V+HQ694Hx33qU5Im9zV/NPaHZMJOHDZGolp2FOAsq2P3VBpvxrf&#10;VGM4Rr0haz6lTqitx2gJR5yJBtNwG3irY/IE6AuGAkgamkplsq1GIyaKRvaeqA58Ux9I9IHaNGkn&#10;lqlOSXF8ymdvw1KDjV8jQXiC/2KMtgBUPdcA6wSXVL6DqWvcDq186G1mBaYlM0Th7/igc2tP2rQz&#10;BOukInSuY5IwL4/PeHdTqCvrjjIwMv4MQftgooUcYow2jO6Nh72cITsd5qOEvMB2iooflq7rZGTP&#10;dQAhJ3BMe3DddJ1shmCdVPfBPE6SQ+I5WWY8ZveKlJQSckoH8kx8we57jKqxS5DK2YtT7DyGwJee&#10;O61y+bKrPvU+rAYr23GO1Q+H9MQCz1p1P2bRwybLY2JeKFSuowQNybyVQtDxxJBAVcDjQuye7wSk&#10;/A/4owZBh1zNi9HJ2WoEK6+PlWeUA2uDufGnGIZLOR111R1CpZRp4zKPAlJ5jNnbKEwpNLtM01Xp&#10;cO426jRxg9isVKXMAo2Gm2NhHY6JYjk+qkxZGtGH8GddskSj5syFpp2ugx8Kp8YiUg8jp6UCl5Su&#10;9azDLCBmFZ9FZv1B26VUSmNoNNQxqbkj/DC+wyRGfHqnnFG2pRwGo1Mn3SgnsdrmVlorJYsCtWj4&#10;F6h8b3//Xe8GHw4CozjLGrxSXI2x8m3fyjKDXJO5q9GNPSHTvYVY64PRHlj58d4uhHgHayeKtEaV&#10;7kJ5fWW1jLtwfveaTZDS6lesAllqsDZwMbXUitzkPja5OM3EYyax9bzoWGOCfBI9Tw6XDkbXXyey&#10;e//SV8dC31JuWeOjT35q67G/PP7Xq4qaGNz0puf//V+7S32brR7cXXJCVXZJ5wQE+hyPqoMD4NHh&#10;0fOKNOqh1MY5vUpvxKjJmGfZ7b6eUEUA1loRQBIPkQsY5XKIjkQ7DqCIT7be+EVC98GM09BIQ/r8&#10;rIjRZxQWlTUVMuzSHIPnG2zw3lvfvnHZQ+oAWlJKW5t2V2SQovs9HVLqsAk7N7qkUx4s5UyPOWRZ&#10;01KNHSwKNdIYJBLMRtv0vC0zKENO/uZqkQRmo3mxGZ+VkFUkaBh/8WkXR2DQ7u5uP/XXt3/x8Qtb&#10;NqfasSVmDa7ZYoAwSkM/sjt93dGyDmYrYkc9T5+sXmxQUBQ5YoDQED42ywhzNu4JNCl9CsLAu/gt&#10;XYdfqFAOU6HShdHHP7HxkB/de93ru6mBBiLS2PaFRZ4RJ8woG62ODptGMmzqVs3mVLOG6azzK0nf&#10;wKMU4oz6MO8+goesI1NySwEaopl+8GTlB7rtsGg3SB0FY/f+8q0bD3ro+Kp/69tyTqsetbMD66ya&#10;jSNQsO4JI/lIqrSRCX50vrRv1a25ZtyZRI5eTm8P2RsVCgNkYzEnQPgqrqqRpWdNI1EvDRvo4Bx1&#10;w2jgc7l19zV/uv0rT1rY3u5R06aknlZnAdYpMUDorMBn3z+oDsbVzv741PXj609WJ+lz/fXj06fH&#10;W5vV3h6kmQKvU0rZwQGZVXdtcKZlwBTcIRyg6uhHCNXsvBlxrHpgSoGGOQMxVFow6rQYeRjjq6+e&#10;ETp9NkarBtmoFXvTRP8WQt3u71cbG+PTp6qtrWoPRvc8ca+jSfgCC00gzfb2+PT6+NprR9deN97c&#10;5NUnE+nEXJ0O4ua+UrFM7z1N3RFaKwW7weHSHDqgNP94o5l7XWxOSQyLAlPVrR/tuFIpuBV8xGjQ&#10;7l0DV1MObk7WHq31zSE7Ha12biEIhlY7Owsb6wA+AZyP79oiBEQJ1Z/n0iASDDdubY2vPTk+eXJh&#10;b286zXQTt1n3xlWCGaWrDl2gsXnq75clpAhTJ5qbmAzjJwuL6qjKvNL6sgGjugwZl6zV157bBD7Q&#10;KrhyuRfapklc9FmnydDdy80HB6BzaxPYkcGntcsrmUw+UAJGLajl4GB0/enxdScX9ruvlqqrSAaI&#10;xBtqus+Abpl0g367UmthWi0SldoTYN45DP5oNIKPhvkhvFoogjYoRMzhB2EI0yp6MFfYSUlp6bMq&#10;LV76NYNb3aq1ppPCm+/jv96YtRYYtBElRb8JLTui8wBQFS+CMSnlS6w7lSWqCwezRwejk9dX6xtJ&#10;8KVdyjRFZLo63e79OX08ix/VEqVNS6UNUgzgyUSx+KGTeypVn5SIU0PvFphXCaVxtSCyWMOFRfeB&#10;MSxCkP/Skx7wgSVqchK+4AeGun57SELOYPXRjzz+2lcNz4cpmYY+7rt4P5wxMBWmicPaTfcxm+Av&#10;oM+9XZkL8V3AFRaPFgoFRY6PrTvd3hlfd/3CAQUEJj+Up9McEtuSXbZQuVyxJ4NLIfDJxYvvBCwB&#10;ZjgGwlQS+oZteEunI2/EwTTRLmsWTRRjDsAHWEQ46hf+uUgPndF3WE85WBzCB2HtvILBLW9x7FUv&#10;O/LYx+ATai1H0WIZWLtBLRThm6rzvWzfwTABQEGhfqZXlYuKiRhSfIKmyhlUGVfwdzwan7x+YRc8&#10;1ImPvFKJAstg5duIVcPEYTRFPrFE9QN8hP9wETcZxuGjO2xO3sfqWT7zU6OAf2poCW1IlgxWgCBj&#10;0T50Bi4Zm+IETIgGLN/3Pif+8s+X7363brVudYxaExTL8Q5AuyAI0N0dUhC1sejE9mpMGNUaPLR8&#10;1E1soOBhqh7C+NTpageoeoLDy8a3N3hJxriOegWqDqb8cLbgdwKR+JY6OoCiKyC1itfdyuHQh4Ko&#10;xxrPQqXZSk+UprEBk4KV7Xsw+mL3aelAGF1hpqurR57+5GMv+p3hBRdMXN2aGydAamL9ayVCJe0S&#10;aIyDbMxuIMjXZVkvCLN52lreIGOemq/+CyEqmDGeZLwfMFm0P0kdI5hi/wu3kz5xNghtbtgKadbN&#10;RkpFmCKhCkxNCAswWan1vSXqBX5zGGkqmQB0iLQzoU7D21984o2vW33ID8yhmr4OfcFquItraZ0a&#10;NLi3o5zkDCVToP+rIaZwq1FI4k4p3EN2RgM0DsOl0qfWIWjQQIOZGnNnI/eI/BmWyZfgvltCCO4G&#10;FuzsHXVuY80RYIq7C0bbOVhp8lyy81Z9/uSg4P9um4hu80yZlKuX3X/x4i/vLPyUCUXH/do4WwOA&#10;E8k+fqlTmtK0ZqkZrFaYnPdsqQzq/g3EbATtMQtjCTD6CJEuR3NFyaRGBjeQfF3u+nS6kFm0u2AX&#10;idI0TdxB0oBvCjtkrRCxulr7oH3Mp0UpWPcTYnSSes3mno7NrOQmhRLsIMzEOjKLIakcJIOBJApM&#10;0RL/FofPA8bZHP5qxh/KXl/vZvG717FWpyqoLY0j3CC0yOiH+OX0rVInLZ1fXubhIxUTeNYP5qTL&#10;KYOyQF7zE2PUWIK+NAT/p1dCuRP3a0h0j3gUz6LikwIKVo9awxS7ld5VtQhAJz5X/VAOPC+AsVgY&#10;q3U8erg5kNQzv3YdBSJ1TAGoTOvgu7X6KbBe6sjBcFKTSLCbBu+ktb+tPUSThLh97TCMBe+CUVq0&#10;CjN+sCh9dxfnqTc3xxvr4/XT7rM+3tyCcKNNNHRsiOmSmZ/VIRuO0odOqiwX+izD1xMhATaBKefh&#10;+2SAh/oDDPRwI99BMN3c6hbbt4Ystl8EC60X3cJ2IoefwNSG1mz0kxB6BzVGSYooDy4O7E6A4VJc&#10;ArGH0aG1tQX4wDuD/Hut8LK2o/UlnbDCgNLqah1GCZejUbW7U21uVOunYZlFBSt94Of+Hs7KwJJK&#10;CIPxB34CQ+ztwrS1snrf2k6ZvgWsFT8mb8ASG4ytKSeNXzmNgFW+ULjURlTOhHvy4g4g4LEwVuRX&#10;IEzBJ4W4bOkosbNvPLuHT1rZLg01Nq/o1Ic3LNijWJeIKQs7Kyot1Qe2fqEtiaqDPdTf6lF6U9kQ&#10;MQpIPXIE/4LDCnsSLvkw/BImWD0ygHcInjhv4cSJhSNHCxhFvtzeqmB1BYJyDxdYSF3MfpnqY1KR&#10;sEuxCeapjlBgTSlQBQOfHyoZKSZXPQvCd5geTmAq4yojSzfMEjQ7JZhbytkCRjMxRZCGrpre4oyq&#10;0CE/jMFs6mgYYeISUxHy/BAXN5+WEYACzY1Gg9Uj1VDnd0QW0Cq9WQC2xl47gpA9ekw+R47iSbiE&#10;dIuK8W8TrNCUA2vubANMSXTjjER5xhkaIjEeqtPyuBpdd3IMS4rmoxFXrHGqlASvnpSrBaZSkDF3&#10;RiTq7D6OLc3oe1yWvlthCdAtc1ABTsAWDpZYmID2d9eDvuWqC8s1wpJNHY7w8Ejv4X9tWN3QGWZy&#10;CRgUl9+CG7o3gP2vl+AlAmk/kXJqTnspEKOYF9p0XPgjlcqtWCp6BtPmukFy8Gg3tmi15dbcgeoV&#10;MKJnF7npFYi2iksR5S24jsZji0+uKb1EVDwEh2+Gll0KVGp6tDyxM8Di6FxbBlB1E5kRPUzZg1Tw&#10;Kf50a1/lSxffIbMfK1t++synaY3SvdVoQPtkVfu7OD25ciSMBHqQdsh5iPqShT/m5pjj5jRZJCG7&#10;3m6rFCTQv7a2R1+4brwNblnJB5tJP/aZgGMUV0h/ypDIlnm5AVMdWfIgyl0V3OsCBusM0UBbtWM3&#10;gpka8xvYQmdiBo3NMJFnBLLIxEfo5IiSrMXWZXKeOKM4JbNyzLKz0Xw1AAcU3VCgUpiMPEovEZim&#10;G4Ctx0WTwg2uKf0IQLQXqR3r038RjQ5IcOywsQHWv5p2ZVCbXiHIQrXS+I8OnCJDzJl4rDoqtZTB&#10;81H3NACUVdjgBrjezCmhCfM+Sk3psSvf5b3ZajDJiMsaEUSerCpye8Q6qOfe1VSAaVG4ABSjQPuD&#10;1bWFRdimvUN5jUlotbK37KSVcIsqSc6qjydJpuBBQAR407DUEkx/G9Amv45h0dDzzBz7DJ0PIHzH&#10;sftGvxNtPr88PKCZz8SHFa6OO4MQMSrroCOvyvOqDsA1Ab0rSz78DDvba/+xJXDggsfz484B6ASa&#10;yVRObij2D9jfZRnG7Gt9yqrFqQydVKQMdHJjDRiT8WOL7VZu1swYPOOtrdHJUxV4jXM6CuO5BH/W&#10;S+08hTOJWwlSNqIyH5S+yCvuBZZlHuUIq0DT1TBewJboN37jmbNX5owKd0YM6vDqsGEjp3kNV81h&#10;gA2H2Q3dw9WbK2Dli7DpQKsxEty4XjIky2g2x/Oo3EllSD+mU5Ff3w1oDqZIqAcHsNQSHsLsdnOv&#10;VBoWNXNRUJxeC2jmWBPzaTyciiBLV3Hn/+InxAqcB6xKBGtYaCzWLV9g11O/hyG8C7/TybARTXGL&#10;Y85qXgC1toBdmcgNHcHuQ2OIhta866JX20lixqhBhn9RC/nzCUGWldvWPwT8riyHVFD0+PpT46lW&#10;BBfrr0TofRrjyOIQh823qEC82dj08wgJ6pu4BMrHgnnHwczIqltRZzri9vLbEF5tejDrhjkGp7P1&#10;jO/CJ0G8tbkS/CTIie9BKw9NOMZgE7qhsJqk51EPH3t6jvVqcM1h6px5TOizbEOnSeuoWs45mEL5&#10;+DTwhCuCyxoBZND4OTc6WgflUPL11GFll1H/ctDJkaWhzaX3t1g+hnXzGSIcRu5N2TBy+pL3me3j&#10;xStEY4wyEyNqXYtF4hlee0LKJ4edEm3OE2Lvy+CGJs3bMfMykMgf9aOKYoPWFeEtfoLb7JaAzyKh&#10;cgcBmK5vjGtmCztWNCRDotK6eXNMHEn6iPfPYjAYWPkWQaeOkHjyAy/Zim91WA2mwq+mSun82u/z&#10;DpPVzMamgRQZZDx2Z/qMWTMMksxJUHQKzANMxX70VmjpBtx7kYNNOOepwabmrDuTGmWj/mgBpqxS&#10;t9a0OWdTa714ytVujCIMpwil1h+v4xzsTBQoFUg4igHKNp2AKAxqOGbsCt8ELGoIn5/e1r+C1xqy&#10;DubUQ5PqWfARnSMU9XmhQ7qjaM1TJzWdbeIbtb7cAOmj6v2Qo0zJk/I453lAbmjrM229G9Y9KV9m&#10;U3Wq1EWNSkgZobGWLrGANfzjKIdhCs9XTD+EEr9TKJMbnacYa6jMQSRgl7cdCGZdXozmrT9RcvBZ&#10;fcdTv5aTmAtFP+sI1Z/nUZGYa7XapGcbRRlwuaLerEcDL5EgOC3cllYaf+E3A8KHFwzhsvl6VMHS&#10;Ig424Zzn2sJSfzfU580VyQ7i0SBlpjXmmgIw43Mdu6AYPe2C3LBpATKOhj2V3KNbvTufu0G7mcbx&#10;4bdE9q3ywqAFaRSgwrjcwHQ4KpXX+XkhC5oMigzkGtcrI1026YE7ZYQeljWxAxAm4iUaaFzrG13s&#10;Bod11T5G7A7oHPCiNvjLy9ngSSx4EyJMCtoKcRMZEkOwCea2aOndAmC01PdrOmJHxGBhGh9NOlPE&#10;BCV8pOnLPSC6k6XKIC99hM/bVTKF4JtOg00pj/LkwplBpVk5a+klCaTdCIk9HuE8P3KKwqIaz497&#10;YbnNNE2RR0NB2Cvkl0hvPqgO9n1Nyo2uZ7matNNHiKZZpYkncNzDUx46GSEpUXFjfMwG1l4CZNVF&#10;0ZVNFLdfPQLvCpq6scoZWOyJOhk3WoR8/un/xhkZ8loFjHtsQCT5heIcGm6wTJwwhMn91oxrE/go&#10;DLW28lRSR+s6xmOuxyiIY581kChDlck1NGqiw4AGUTHScMPmr15YuVftu/Q1X2nrgJEmBJ7SfCKb&#10;CCkJ+STuQSt7N8hTwbJ7TYhmCJtXCxCfh9UdsNwOJ+Up2IRznkdoznMWR6mn+d0cEpiamRc3Slo5&#10;UV/ixXaSM4GCQsTMqGEGfEdYzjfBnD4sDDvYHe+s48I8QCoJyUMGGiuolEZaoeFz00R3iXuqzoCx&#10;L5w3x9Q6tyfIND/9rSuocoWJFVbEE6qsf1HyQJ91SyYoosHdQYQPG8/IFqrMAmhW8B1UurXqEDZx&#10;CHushl4XVIbLVmBhMa7eBDeU5zxh6d0MjxSn7I86CbgdjTjDFxLC0OWVxrfnjdsqtpSVpZMZHskT&#10;lrS25qQJwDk6qPa2xtvwSPtO2PNHJeQJ7/jg3/XjKEnNdYy3yeUmVATXjkWsPN834SH0msMJGNFE&#10;wS2J1B7uk07J/Yf3kIMuwd9FZpCa3wfCQiihct8Tr0CMvpTrGwvu2tsfg/XHhz9tzrOHi6k679Sw&#10;LvYkdWSlG0wVmtwYCU4N3HKlC04TQIsjH+XNxegUD/Bo+1Yf0KdHe9Xu5nh7A7r4YGl5CM8bQDxZ&#10;GkHBFHWlDtJGvUjTU0NifMAbd1YZpw+a9G1gxVEKGGQ0gDR0ezR06B+6fLVjKEItsXaY4HXQHkxh&#10;6y7iSFauApSAxc0dGhd/aUp/SduO/Xt4uAFWjUQPJ5Wr1EHRTWCN36KUEKonUYFu7J4mkPWVLBQa&#10;NbjjXdVO4CS9me0caASGlnWzfBW8oWZnvAOPD2yhyVpZG66uDYClsDTccCUgi765QQSXwqGaTI1e&#10;2IA8l0yQqmFU+qkI5S7hjiR7+NmAUbnPOrP4vrJFnMQQuD0yItcZB949rgxQvjEK9FhZXHbeIgGd&#10;EZRnFcb2usoiUDpmCp3cGieDozlG3O3sr3XNps5gsPM0o+zgGldUYLRNoxEMEeZzpPD+pH0w6xvw&#10;iAu0HxDncGUVGxIO3EdtheLJXDH28YxNPSvFPae2a0kfTagyak5CjLqPXI8Mm3xicUlH7CWVWWw/&#10;EKQMxmV8JuabT6Id1wG77oOkeyHiHnKEVPQyrR8Gk+gQafoRkbl9fTdLGgkv47NuvDGRHDM096F4&#10;W5vHnVI7iSi3AFMdxDqYStvnTZJU0rNV0nG9LgIZWRsjTHfgAW0O+0F4eb/a2xzvoOcezDqTCuAS&#10;FzTYu3oZok53HTFJEMv41Ytt390gTOrh3L6ADAUECIlOSNsB2SO/qwxSOzLcYPt5503Aouy/qRt0&#10;Yud0eyEylfqeI61sCik1hPZrB2GV1sQx8UuPEOZ1SwDfVvnoOq9xtk4T/LZAGMHririEYGyElFm3&#10;shScQ+Rc1cDTGEprB+CERwJHe+PdLfiQWV+NzTrY9yVsV9wNy9rAxbdZ4K5HXUqtguUTErp+npbi&#10;oMBburKL0XwklCENwbjEkZBsdai7c9L2hkSchl2d5k37qNjTpCFUJrlaDBp4TFM60Dbtf61Ha63a&#10;ap1dt/WjDmSMWsGf6ilAmSvGdk3JRvDaiIAyNA21yb1OF0Lq1RgeWIVgB7RNMOsgxiJCE4gTV0/q&#10;SiLUNmucVCbThn5wkGhiMs2azDx+Et5JLbwUpYlhe5kJGlRcTyZ3NvHJVod8homTQ4oyIx/VLVEz&#10;XqMmyHqvPQbtpmJRlaTPSHuw6r437ppviF1SP2YS5KUWv2j3FZTqV6lX0ENY7RWhoZ2iIvRrI4NL&#10;tbQKxl3HrbAjKxOSkWWsP4GobbrZDYidUhUSRVzlcephgZ5iHHXqQqiBs82L4D6sP41ihVzwfBZl&#10;q3PGnOBeY6TYsAJQn5pibcvCK2aBqVZWtKt7MIJpA394142/y19ufuZ/Iyf6rv/B991XvLr63OdS&#10;4gd9Hj++9qifCP2vQLhwKhNXToRCB0BCR9ZkK20SjMAcZyf4drVCmhjC3q1iHKQKvkSXg9JhfXfL&#10;uYQ38w4fakJYmUERcmYerssqjOpqok4mgk469OjvkDmN1K1KJW0qpqUBWSDn5lnj8h6l+KQAuP60&#10;vgQvhdWAWDtLTIv/BxdeJFtocZ5yaAOJCuoqVDK/rhEHo+1NGfVGGHG+SIRU7fV2kmvK3cogpTB2&#10;WSZKK4mVQtvXVGEBFHr8eJgy7ghQlhGGU2wog3jRt6DcoCBrd5bf1SLqUEWMUrvalp/wfWlpALvH&#10;NBBHs1baMNuBkdR2JUm53MAIilFe9yQ7hkoPdAxK/EVbPQwvAow6v3GmGKV4mpqM4FPZyMZAwE3r&#10;h5n8kz0ZnbGWEA/3JQZEcKTklECBf/GRto2/JlSpFEiv8LKbejQqrZlgtgnkkTS7bzrtjdJ0DFDf&#10;bfi7JKvBh9/pFbY6agRo0l/aEDmL6yWpuULmPkktiVaRWDW0IkbD66AgUY/2qa9P8uyyjYQUBgGa&#10;ykARTDUOoHCk+2M/iZuWhY1Qq6CXInKwugoKaKlLEEallATdzkAUqywrJ3g2W7JP+oprNkOpoEcN&#10;XEii3xwUXbkGa9IKWPkusFLXukvaJE17/mL0QtcKYyC8JPCkJ/edJ0o2k8y7ez2IOjZk9/OjndO7&#10;V5Djo/QJXp2EiiUXIUsdzitAtJl1tCQoZJQG/uQAgPPupSg+ryRrAhh0tJP4qjDEYdGN9ZPkakbI&#10;eJ2Jkw92E0XlvixOoNY8oJOdML2Yap7u4hZkd00TBu+NC+cdjZvMfNxks2xin3MxnCSP7at+Isda&#10;SJXWnYj2hErZR9UMkyFBdwB2SBnvmydgUnxIdInUzBTFKMGv2up2PrgHgkin53T8GToG5+tB7d0M&#10;KimpRdhjTMVUqbrwCFj8Vpj6AhlYid23BG4wx2i1YZMlgbqtrFCnCiTW1i7zQqj1oMSaS/UIcLq7&#10;hMoY1Z5JXj/CoLStOO85PJ9DY0/e4ilKBIxmE3OYMp/J+eQLL2Bn9HlMls6EFIbJhOScfN5V4qKL&#10;9FnSFz9DJDBF2BBxBvXat5w5PcjY6DuABgyrieTSIZSLm20n7dcNgoHLZ9ryGDRwGUbhCLiSWw2H&#10;SBnaC9TFA4D8YMfQeR5ujbNA02oQPDbl05hNIwZlnCj+hP8ibMZgii8F/hbXgKqcd02Bo3uGpLH7&#10;8kUHEWsf3M2LX85iMM34WtSuJEOJ/XhCWJOiTmQKw0uJAkBpR6786AZTLrHP0c5m1sM5wIT7Rgnm&#10;2A3V8KfV1Bn0Upsg5mG323keJQ0y8zFKUsQ6shQXVodNlpj9v8iLjW17LXR9r6hBKUtl80l1qjFu&#10;LXGYtDvGTTR4GSqbtTJnxa/fpAebuaXkJ6LWDXPY/EGfhq215a1/dSjrjL7OCTvhBBRCrzeR/qvy&#10;C0Ati2AlvItCN8XGZgC7MK/Mm0dl/JFYTBtCRV9ERu+Shu+ag0FQ9dABoXmviIdiifpBy1hKEU+u&#10;z5SZOOSFmOOHeMhuMbw0vuYyJ48AV6fzqMrCLsE5U8LD9R5DRGeHVZXOzW1D12xhagad5ZdN+XT0&#10;ziN6TqP/inyicwcVaAfYFHzOB+2Rq6iiZnASGKH6L8KwDFcdRYUEwjJRhyvWIUBZckzIW2GbjPQp&#10;cTHegRK127pcFrL7gFT1LwmR4rrwtzBAxO/4rkFeESdLOWkGy5ZxdEJn/1adIUyB5iHYyboSI4Az&#10;Sdz3wuy8IFVbx1rUmVZ8tc3abB8UKWgGMcqFStMIdLyNjwZDEpeyuJEQD2XBKBG8ausaFsOXmOoK&#10;rkXAp+RbMNkxHDsANDijBSTjGlX1KV28KZHZWBZnw2lRJrx0UNe/hQmOfgjsjD4bz/TLv5Aax7Nh&#10;/Q3vrGt4Va/U7jNIMI+K5cS2bnzN9tRSagYYH412Xle8ImHwyi5Gn2sejtNLeNMusc9gnoNHXmAj&#10;N6iKeDRyfJ1ySufhxm7NSvXCYrxxyB0EKU6BS5sjj+GjAwgjEpXYIM4pcbcjSjz50Qd9beV0MiXc&#10;giozkidNypvLIyiQsgoYgKoPLzi/m0szuV5E9fjklB5BJBWW8YB/ZR0HJ9XIrfgwOmjgu7jmaZtl&#10;quV8Nb+QZ5x5rDgqF3ALCyXhTRS+o2dWHp878/m3Nh25m1GWcYtNq+mu94MY4Hy1idt4vQ3GKgpu&#10;4kAUyiQq9pR+cq/z1j+0C7rvg/POg+UHNXUKqPFi1ktVqowzjDIXKg9MMlPAwazuBib0Kx5IyRm2&#10;8DaQt+/+qWjJMRo8pYSWDZtEcvrHvjvRGxs9Dkq2tXieFSq0a1ld0dctXWFJXeHGRhh2rS441rLa&#10;mrIDuJrRT4oMqoCVMcuD8y+oB2i3WvZJBY+5yIC2cJdAlp0Brbhgl9pQ7bsud6YbnL8STYGWC9Au&#10;UbxaUDZDNrmQ/ezaSq5Uaqb0vjMD024N2JUtm/syrXSxBwAtpF9wp2Cx7uLg6LEBvNcLBogtxwQN&#10;UJsjbIgCb3SML5ONC3ytF+UFavRTDHUWGoxWFpoSg91XJyEq0E66L1wG2RcqK1q6IC/240xyGNW6&#10;nM16xUXBXOuQsYgR/mlrmxle79DM9Un6AJhzoWgx70MWXnrL2qcnrWEyqda4J7U2sQrvTikpqFQN&#10;16yDEb3gIj0KVVTr55tNwBe5pwKn5BLepZnmrmooLkwwWsySXeHgHAKScCGmhjxSjBZ8Oef65urg&#10;svF8gtGA1DPjmIpUTaifJUZ9OW5WwsdtunbAGWO0hrTZyvsPt6K1m4ihKcS+myFO4wDi2VqyaDiT&#10;V90qKQDU7WXMXa63NXV9Ugqp6XwqQpl+zpjFV0esKzhCug4k3JApb22ij0z14WSh5P4CN9yRr52u&#10;SYxopAh2sIYcwNfRFQebeGyFCRWvhmaP48AREyjTB9Ujsikv45QKWYfj31wPtmQsarnivRtops0z&#10;jyafvYBzzhFsff42jw7tQrZXqZXSi0F0HqcLQgV3MopMuakd4zkpPHVSxS9lVK2tyV4PCcNlnuj4&#10;s58bf/rTztbXqtNMvq/84h2+cnD8mKB3zhZ/9IlPVp//fH1zt3TmxTvdEZZR+9s7tKIlzzL3J7qo&#10;L5Wb75+ZP+oxavUKLkUSxjQsWRcPYylrxeB6KmPx4IcTCBXTP+EWgbn6E/n4SQdqQNGw0MZHD4wp&#10;U1UPdn7/JTvP+u2J+/mxy/946c6XBpKdKlDfIsXWrz1t79V/MrGoJ9751sX/58uS2zvDtNFDmgKj&#10;3j7VC1NXupw3W282nG0iH5xtDlxzVTExTfeLuVTHUXPwngCGpUjmUAInq2EIcxISxdd48d3iihNi&#10;QFUwgWcyYYk3jNtmoi/GaAmFEXoa+4A4qQRAM74S1WfsxpdY/Yl72gBW31yQU7Row9nhtFWl20zd&#10;2K7TWu2mzvQcyKAzCc+7LoBRJiBPnwko6qkuJER2dKNvm7g3llSylbB/yo0+bJDV2Y9qIFZXHNSX&#10;gqIz6cVa+7OmyXpAorMCZl65WWZIa/Oaay0DdouWM5odptWnhITRyFpYxxn3wJ01JBdEydSrBdbu&#10;oRDVAm+fpZ7qHJIegPli0gk1YM+KlO5PuJV95wifAWrwDTFRgKkSkfgBCj7vFRiRJ8gMP7VUXrLZ&#10;5eiWqktOloYr6I6Z9oJeopQSz3NEN7VwU2TQJxguM/UOpK7BgkubOm0xZfItklUHwROo4cxyARk5&#10;IGcEH8pGBrZWSP6lQ0XOUJI5dNXDrontP+oKTujTSC6STRtPAuBBFRgg8DCVKxbhT3iwQYeecQXZ&#10;+B4gC1d5eUquwYx1eQNo7SaNzKhTz1jpmF2XBSwdGye2ggh0A1nJhJubK7TaSK7cbbo+htE8czSV&#10;FjNzP1Vuh3Nzx/abtTAzA30rRusll6o3hg6jhcNs9AscG5URadRTunvPQah+rSJmpiETbvY5zhoV&#10;Z11+s+kdGHtKq9YwuG7QQpyNATgz2Gy1G9WZXqXfMlpKpOWks9FFhyY+tII6yJInmbl003bLae/n&#10;Kk7Bo61qNJfVUgYlOuiKSxArOIcphUU7VLr9OYtWweMEeTV6ZnBoyeu10w29HbR7aHVxBSXzTIkI&#10;9UIXuDZKbH5b7BvW0164UmJe3j+7G0gPRY1dGv3Qm7yLUIeindkWUsOjreoN6rCkqSOpRrg5bFfU&#10;q3dDyZIjibbKFMw+J+12Q2d9nuUIwHhKqMvM6j6zjDrrOUtYij11yS3WSCMkxJa7J6K0gJZW5zEW&#10;vWyp6HEWbz8LdNpFf3NJ4xRylneoXtVnfspqJCfqaloEQppYEpVMdwZSuzf2JnlhSuu+gTekBunV&#10;eo2u2Q2mtyZr87Re8i+zZf4x3fj0BZ3U2FxzVmsI1WMOSPQsUbb4LOdMh0gEPWfkLtl69tz6VKED&#10;aCyJwbT4SKjIE2XoJPFB+4ZCS5dil3YadrJ7+6hoJgVOnUmHhupQxpmut+dRliUeAxmHNtQF7yho&#10;Q6qmG9nQz5AsvqH0q3X5yGxaoEMjRbU7vFK7SJammVa6ae+fROa2e/yYidnUek2GmxSvLfWhfddk&#10;w84WMVKzRM8lIqQ7qqycrOPNbSri63W9q+Huw+Yf3hs1OfypCQWaqR67aTtKVVybx2D0Ry6mP1NX&#10;CUewxeR2Pcmg4+q7QnVbxnoTKOicumVCEM6vjjOBd/LsMqOT2BT3IDHh4YyxqCG4ViN4ITLxzEP+&#10;kVElp7wSZYDOpLLTtwWK0RkIhy1zQZdZjTsLP72uZpaD90ctU66suacG3ML6++KgG55UjuyOPK8c&#10;jCY9I5qpNDxMV0vM3VU8B4B0MR2+YboLO7PmjL0SybanKnomn6nsxcxo37yAyASmqbk3LnW1lyoh&#10;9/Km8Qn4Mq9BdgpGbqVrlgAZlLGbty6fibZfdMKdITTMv3l6llCA1w1ANTRmkpFSEq4xm14zq+i8&#10;TYKWpI8gJifDTpaWLNI+MyjvS++Vmim4TeNdzF3Pds+TdySajsmmFqeQQVa0P9Gmw5JAZ7Auuu6p&#10;ERdmoo1FHXqVCANgozcQMy9ieqbMmDg5Z55G4ld84FcVxr7n0gmrqjYn0fqE0KCitMVkJ8QJszp3&#10;bjujCCWMsgR+a4ZMe8ywAgUPVba++tIHw6LAOtpPr/BiSaPPAFBftEGPvkRAjFF5xnRoLvtZjbdD&#10;7MJz0cOQIMqwMygkRl8LFjCHZ+cNoJSHZ9fSkMjkt+0h4Bbe7TIwqCfRYoUPW+EpiUf9wRHqXFpn&#10;lpn2MfelTn/GiMDWOAcK1F3Do3i+UK0YOhEXd9Hhtxa5sYwad6HSYN8R+IJO6hWjgwV8Wbf2jZRA&#10;DayBTWvgOfNFzRMhIwrVTZTDtDfFIDpzkJq2Htn9Q9g4L/iCglTCjZBpZObj4JNRL7yyyG84arzr&#10;mJUQinQJbXkwWtg/0NiTJ2/rCa1sykUcqqntQOA3IFycLQt5sJkxPgovlwCkyvsz2WobKxhEk4fr&#10;kRH5fQ+CZX5RDr5fC15ZtEifpaVqkT/wk/5C3rBtNHifqQVNWVR/dwBGS7edCjdp8eIXUZHFeVpW&#10;XbcDXjdTHRxU+3v4AbV0vrFb9lE05lB7c1f5uqZz6/AFqeAgOiL0TmbAqw2h6FTYfiyDFIMYMtnf&#10;W9jZXtjbjftnsONSZB12+Xw7YkOK9rRdVeRL7oa/RrShRvf3q83NamtrYXcXTQo45WBb6DWe0xy9&#10;qtwr8TRSTX9v9qwIvZiQaHVE0XhSHP8bdCjcmeKGEckfSAyqh5c/bW8ubG8tIE8oykQ9ZuUnJtFp&#10;G7WL+gplRKqoyaMGpsidGxvV9ra8OtoMES7y6iLOtGn6qCxL2+fmaQV199c/FwpaRmY1vNLrr0Ow&#10;0+JKbPjo7T6wJTSAEvhyc3NhawO/wEtL9M2U9UKXvM9ey0qC7rRHdaTdbooU+aJSujRXmgYt+/pp&#10;Gimyys7wcSidYgZ17PbsMuPVIAsse3CAXMufg/0BmHKw4wBQACWYLf/ubs+ayqQzELw2i/m1ff+c&#10;3WC/Go2r9XWdztB5Dc4ybCc4vWJiIf0v/d6/GtNLNVUO3TDaWgQ/dYSjez9XNL+Omui5x0iltSo+&#10;ARSTDZv6NrHIRgAlL0HGVZqPuNrz05VUqJdl6qWleSeeBUbJAdXYpw+vNgifjZbStCUo2Dn+gn+L&#10;iGl6LKWXQgNw+iIzLqbahZE7vXeAfdkIpk57vYTrnzjvB20946xwSWeBUbHgHI3ihf3Tx9Vj7SUe&#10;Z9Y89poxvTIzmDZ2hm4wgdfFwxA+eLWO9dnshEWJ3TJsSVU2934UN12Pm4mQPTKZEUYpAkWhUuNR&#10;P8XfIFCNugrj4sy+OyqlOIK8DS8UNrOmMFdukhwpDsrjpCw8wtFlVFqPNruxJZ0VRh0fhHBpX2hi&#10;QzmHFgEhRBPZdgJKO1o6Jmtr8faC2nLYP9De66rnuLMYhGvLNL8ujm1dGFkGZsHQyDfTcH03mbwD&#10;adUCe1k4nRpXtGCQ0d9R7WaHUTZaPHhii69TUF3VTUMKdtg0HGvrT+Vs5IKGlX7inxYsfteya9JZ&#10;eX0mkJK8Kgg26YupRS00dcx2J0SUpx3UmJMuKuxuT8RJLusgy62PSpUnzAeXOUx7VRf7PeGs/J4X&#10;RsXQD9Ar5c1F2IQ19sIIdNkwqHQ1oscYpmWL30enc0lLbohDJ3ntbN89v8ylbAfU6Q0CZzarfDrX&#10;d4Y8SmUKNSRLTBxMyzV0ZwtuZ3oPITPPKGbTGU5/T5nV0MwLbw00hBdJ4rskg4Vr68mdm7MpoTaC&#10;NcYhgG1yL8HVZNYYZZBiq8Bbe9XclyVtUFF8ySNSvwfYGJXqJWHTfAg1WUtPCVBQB75nwkaThE7e&#10;qpI+ZPGHsBynxeD0Fr4HAmeCpN4Cdr5hMN7d6Zy4c0L1LyqYcIK5UIld6+1BJb5rZ4pK/DPvNtB3&#10;+yMICGRkWQ12XgzvC31uZ7nThKuPfuTibW8z8e1243hrW911XS9GjhCxKRIqYHTvz980+rv/M3FZ&#10;J658S/a+0Eil6HHoCY9fPteG6Lh1OoPaJ6wvopSda+75YBQrTY/h4V8HU24B8c/4x8Qw1UqY4sOX&#10;kPPOi/9wGoxOjJjDv7EXRj0o+2OU2q8bTGeC0ZnbeiNLmz5Ro2/mrLZ6WU9L7Ky/bj6ppdGQgHIC&#10;jhcPHytnU4kzrH7OvIdX0blhlK0xRVjEN22ORtXp05AnHIzpGOT4oIooSm82z/XGi0/2a+0TkNQc&#10;2qq9bQZQlLzjMBubwcOOj5Zqo0NXgqmOZDVOr4Y/QVjOprG/pA+Y0qIipdPApm6F/I0RqVxn+7RD&#10;zNTd77b2jC2FZKyraWSwQo2qCxfia4n9myePilsovaXPopMSTKP5Zg9rW6fhIKl176HJG3rSqeMT&#10;sYJm6Ee0aX7+GFWjj3bfP5oXSRZhTvk1k70M0wBNmbKwbmimv00LN8Lr3cY8Z4ViDgWjBlOeE7Qp&#10;lqLnFDposau6k6l9F0imSD0r9HzWCdGfB/vfMaNKHxZGeaTj0RkmA2MvXzo4O9o5lSYWx0M2uK1I&#10;rfz/GVPsjNpnbtl0iwrNrfg+GR8iRr1YMjJ3U6YRpzYbohh3kQPgBkw3+shTHxic1WkPGaMCL9rf&#10;RGJTsgAluKqt+soRnKP2i/zJavR6OFd1cogYZRX57XNdAFVWS0ULCUtgdfis8QZkkpSdixvlUY51&#10;5lNDiX5Mn3WKnVSZZ3l8NFSLRt8czWSwZqsnaX0FLz+t/zjgYY6izgi50Qv1bow49YFOPwJNvfOc&#10;V4VGZuwmiTxncXzUbI4OZFADOlMUwxFnTTFARWANK6d8KCDiCDebYn2VsU8zXDdeJp2U8druOzPe&#10;wuHYetezzSMN0/e22pfsM+JLpvgdXnm5kGJXnQRZzW7TAwxN/7nRGvw2uCW+0JlBXwchIckhYJT3&#10;OzAbH0yxW6WvjBgo06BmeCVmFaQC0wpkDaYFaH6RSbuBYMJUh4XrQ8Aojy7ZHyVH1IeZyv4igSsE&#10;UBs91IQ1gzPwRYROiL2z7bZ5Y9SRKI2XpP7RWKdhXJPzaxbwL3uoN8axUg22ksBcEwLPTq3NbY2z&#10;qMIGc7SfWT6cZ2Kd2zHlGuelb/yGwYUXzk26KOPRBz80/vgnJi6rtMbZMkMNQ0tI+Mnp2+OXT7cZ&#10;8Lix2prOX6/PuZQLnpPzc8Uokyijk8DKBfOoyPA6cbN0uHFKjB7/01cv3fnSDuXMIMnWk5++9+o/&#10;mTijDKP18ImvGHQMo3a9hKoJMFqWJPSZjKactUV9zN/Wc+csDucnbpDDu7GNVg5PkjNQUhtLHpJI&#10;88OobV+ogeHowSOu/lmihEPS9eEW4yP5EU/UiWHdMb0zumGCTntWx/AVnbbso/2RpsNtx06lTdAq&#10;nfI9xERzq8LcMvbKmROPJjHR4P7KFOg5Q6KH0giHiFZm1IbjLDRtc8IoayLERGWoxLo5C9XQYP+S&#10;h/4OGU/neHEz6eLzwKhbPMDdVjxR3bbkHMMpw2Qm2j7HEXeGxJ8HRq0qfjNYJc9ziERlpOFqcYYa&#10;aa7F9m+Qw+6uM8doMpx3G7iEhUj91TLXVmrIPHqY8rDbZhaVtlm4zluL1D2fH6Tp23wsgxeAp7kL&#10;np8+bx9VfeYYNbOYkCjJ1Ld2s2ilqfOwp8CnzumszyDvhTNqMY3w6DIM2RpBph5bgDFbjAqJhteA&#10;3wBiotEWPecclfpYZw/hZxoi5XLhjXQVviBpY2Ph1Knq1PUV/z15XXXyZLW+gW9CtOVxsaSzxaiU&#10;YkvuSTah+nOSRLmjY4txq91QjkOtygDfCLC9BW//qXa2q9FBoDC2//D+2N2d8alT42uvrWCDweyY&#10;IUbNEzVPQyeTzkVPNNKUj6MdavOeA32iTR8VbB4K7z2El87Rbpb6R9dewjl6sxcuTq/gRZXrgFR8&#10;c6c7ZojROk+Umf4c0HZJRH1XidBoW4Oco7Wck9hgfLbpfZyyFDjAkR+o0HFUvNvSeDy+7mS1HbbF&#10;nRVGi8N5FkJt/bmIU+lazj1DlN7QkOoJpFvdOqQCgO7suPfAW4QhrFiPnjlziAWkjE+dxvdS0zGs&#10;4O3IU21XZZNJOnYz+aPwwjlKpKQ5G5UGgHZopDmR06yybazBtK0FmcNrz/UJ4OgxHnlnp70OIK6P&#10;DrLh3/HpdcxE1ubJLnPNtWcs5h+mFeVRMuvaPzyJzkq1h5uP2QAZM52jcSirhtNeDMMiKEu3ddM/&#10;vgqe5hfD5v/xnjT64Bq5pzpxbl6heq3ApsDE4KzylewlcSKMgdKw6Kc688GEjZO0MtN2yW5KmVcq&#10;c1eogIh7znEqnZ/48AYEMM72nBkTp4DVkKpxfd9wTHYc35doPoyiNvRdQQB7yCU6GIvMkfzRne2F&#10;d21xUwIQpc9z2hPlOnkmOeuptB51FjirTVK8YLeVGKC+tNGBMOji4mARdkvgv/R8L++TXD5caQJT&#10;RCqEBQyjeGfFj3AIKCkoCJ8xvXuB378QljPJSxncCcW+jNfMB54XxR1Kvurpi2Z58oya5+wbPPW2&#10;WA5m/YdNdUjjh4Lg2XLcy2NhuCgMCj95d49kYy+1u2a2xVjJLqB4Gd4MFLb1kJfTYSsgayIsIfqa&#10;+6De5kk93ahNyfpcHMcXFC9Gh0jVGvUcDunPwcb7LGE/LwKoPLU2AIARD0ZvpdIeYX4mG3dGThhq&#10;s83XlwOJVQNkQl4ESoBo9hpHa0HJhvKQ/4NlDCbe7OWhUN68CjEq1QKC0Rc6nVfJ50C+JXeAejUA&#10;CdBakTOq3+WdCLKXDIORA6U6hFKEqrEn0pUQALApvaQDWZpolB7mTGJS8U9xbA32Ata4i5zzXGob&#10;VihSw+zoDQKg07Kq5z3qUhauN2pULLpRlL3AI2w8o0EAN//EiAIHQfqq92QxNhWTaKlDR7XzbBqI&#10;NbD2uTvRxIoX+blC4olyMO5cROq0wGzid7KiNDhnJ9JsqTvP3BlG+rIXXRRGZUTRXz+WN0ix3h2N&#10;e+faM0sw5rEwrhIgLt7t8z4HTJgXMaNSGzOdewC1YYNW0LVL0kSRZ9ijyYwItTv7Mm1zZBw88fu5&#10;eT8vZFZ5M6W+n9LcSIdR4UIdtApEGZ7Fnsf+hAIwYv3wI/SmMPjoUeOzJqmqXlpS+7CF4SYXNKaD&#10;yfOZ6M6ZUyqj0A7vAQo1siYNlPKdkYrRAPFN7fXpyKOaY3HQmtehHq4kWNL94G2thHE4RqPq4AA/&#10;+/v4gS8Q6Z12Jnaihul9ExsdrZ21wYQNzE5CPDlylgUKJqwZq0inhWI1B8cPx1JRhN+oVKL9Gp/i&#10;fWijfUq4Q4MzOi5wpw6Ysl7vTQR/R3cE5YB2gDmx7e0KlmZtbeIKA1jiCqtgIMYL0Dw4gA8idW+v&#10;2t1D1LbjtUF1U2i1E2Sp75kpoHGlxIt7UKlOi9Dt2aeTHE2J2tddWOsV1NVARzXKrdc5wjRwXvAb&#10;hcGCb4rxUqVVe186EaoujIr9UeYJmsiS/NnuF0QJtBLTOqFzAVG4tVVtbuDaQcgNM9ZoghB+7KFi&#10;sTBZMGaKnYhc5+/wmlcTqIKV4xujCCFPmTpjxwG+cEwNUM6gHaZZQSr+VBoMLiHRnB0BO5EvyOY2&#10;vLgjhJ/ctL6eVH+U6wZ3Ar1B4ElGrFjpuE4evHrFnAXIFIgToAkAJWjKioGC/llix0wuQsGOAYF7&#10;3uzYHxlRSF/Fy+N0krERp0DTYZIn7myRisd6f6n8HRPAtKbA3qhlrgm3WfPlOUnrB6Ofw1SDpoBR&#10;VBONvQkS9FiJ/AgEkWJFy3ROBngIm5sVWPbROJqTxVs5RuOp1AXSQvzWqYrDtAcjdTxam+0Q0Gyz&#10;yFYXoy42ONalEzuOwWaatIt90AhYM+2Ps1DG5HlwW0cjE+6BTLGsRg9locc49sThFPwfZ5XQc+Rk&#10;AFBAWJCuPv4XdYwB+pRAn2zW3SEZi1g5zigX60BcNQ9UmKuAfhmy7d2xW6HdM4EqzoYFIaRPbYB/&#10;tNLovQg0hTKjoVKGgdlVLnSWjtWbHI/FAmL8GT6lH6t+7FYN+5ffZbC4SDOfNL2ETuQekKjqulC6&#10;0G2izDFYdngkQA9qPnuzfJJLgkGPRwqVcSjLTdtyFK3DcGp2LdzerkISOr7XRvC2m9Y5EDR1xo6w&#10;650ynv6XM1Tv9pK7pcCc0ewWuTlhuJgUfIPE33sLJzc4+JutjnLmdBkwWLnwZ3UNJlOBSIfoR+4A&#10;zoJ1V+87KiPtb2C+NjbpgZVQrGfhGpVm9Q0uA031UthfzCf6NxjvlenZbo00z1RxSB9UKaoP9h2N&#10;ekBnJEuAjeDIGqg3BiatYwtnmhycbkKxws1xBlI4ty3Rvb8eJqd0NfPyygLwKDqtu9sYGMqPCG5x&#10;3ejXGJ6VBvZNDmmHRl1YiDGOpdECfjm0H7GqAKaLhSUEkzbU1Pd5QlT7Lrg04uTzflSkrV7fSacX&#10;jHq4s2WFdigTbGvRffBqXl5+UwCoIDUhRhmADgCdCysrkGaIkct9h7OoSsJllFeoAg2yAKCb6Lza&#10;Qb3CPtxJ5L8QJXAd089GKA4ZjfLQYJQAshtUIHTtoLWFHloboE+CdHYUq+3DSDY28pkG05Aos8Ym&#10;9xEoagTfyeOuFGdZIJ24naO2rcF1BIs0f8aAhB35ogModibwHuGM9Go0PnyA2ODjra0xXHRRM7vz&#10;mGNZdFc8wWULH+aPLYHGWSRpZ9AQFoVBUac+IKWYlg6wgH2rDNM+nXyi5s9ukvZX0TLK7BEDmoHw&#10;OGyF0EqTt9mp2jMQxWNbtGMjDG8nU4Rw1B6P4dLC2qrxGYyZYvgx2G1watgPqWAUvw8zQ9FtIRPG&#10;uvUZx8Shj6ig2sMCQCVKyp1J3BOvWgmn9Wj+Tg0zcSKparAfwZD0ybNzf67PFB5IH18Pu9Ocqnbs&#10;gcxWEWZQbnMZ6HWTlRGYUSyJZo54JlKiSzaBV43hQahqYWXZZ5s9X98qNu6Lsi0R0AiabiAZY4hE&#10;cYUKWfIZnQonMuUTdNKmyBWvWC3qPjjSb9X+4STgBoCyLEiXqK/GQs5DOlqSgYsiNjfHJ68fQ6Ba&#10;tdm3tGTY1Pf2LD0uTlbio+khbmXiIJ42J18JLP6oGkH0E54pjfKgGH5yNMI07qaeJpVMPLfQOXLg&#10;85qiiNytBKzWq+QmRWo6kAKYLk6tuGkyEG5QnzuJIruqBlVwcfkl7ajwL3ix0xzmMnGLb27hbh8Y&#10;TGzySYsNM40UOZSsdYMc1Rg90TE6ozQhCiONpQUIg0KDLy5SnNGNc0rvvlF30CEnFDwajfeivXjE&#10;skd8EYDrvQ+nKznNfij1KmNQbkkGb71vJW7ADJXZPSszXumA3WXh0RZDxJFbeDwKwA7xu7hhugsk&#10;KUVjpDv+DtR06vQYdgLDvlGvzFJJqdnre7/mmRs8aXR5wgmeyFuUhh4Q72D0ZjwYR8GixNZT9dL+&#10;HAoa7+zqj1KnD15sSiBBD6rBEGYKnYEJ1wWgSNccTNHnrjVnv6qwd3tOcYNYdh+fjwkyZZJacy+z&#10;MaA03DEhYo6J5Iv1yL/A+u/sjq+7PgynAlgz/EzH471kNicp6I4alBZ4gMfCPCgCZevwucuFvumK&#10;Bk8UJtALh1p5zjdplEgVsV4sOEqdC+8OQzt2U/icudSubFyD2EstM0nMJiKZdm9tWy8oY1wPGIlD&#10;eAR/z6IyRtk+bActPB6NwO7DaiEoOuLTmONrmnYmivOZJFUNIw8aaWAgHDbZc0Mat8ZZEOFxwBih&#10;/8F0JFa+VvaszQSCKhtpRhKJloRBNUtdGU0k6suJfvJS2cM7zA11S5asT6Z06V3PGioFgMIwdkb4&#10;DGrgzh5nC/oenTwlMOXBbR/NGQm1dMfsckN69QjZ+FLX5SeXwCUdj3CArwePkbU/eQaNZ4AwCw71&#10;532voQZKhVIc3isdWS266/uaOJkfIyDSx1iWyehQzX0AaPxAYtxFojZJGkh/mh+Ea8mtarNhUo9U&#10;hanxFMI0WkcWdK/31WCqEc+tZqQji1S0YAMamdaQOJd0MLr+Oo1dWV5WK/5Cf0fj0caW+uOU0k9c&#10;ulv5kv9gqbI7he2WpnCzIGgRoJotXIw1oYLRig3YJ7iuhffe8ObdV72mo5LyZEd/42mLt79YHRg0&#10;8RgiKU4j+ZujJnXWw2wC1BoAiksRQsV2X/5H+29/ZwdRPUNzcjxz5H/8xvAWN1M1aY+S68pZ8HM4&#10;HF50kThWSWGcscprxfCJRiS6CmdwLuI7LsoyHwwOdnCot7szWFpeOHJccIYYjQ4HUEYb/YUoBg2Y&#10;3IRBHMGUPFgiwaggMmyfoo/zEyNaB+A4GanHbjeRjHUiEEg6jroN5OGWhvaFXBq4oPkqNRDaijEu&#10;AGVsibeUtKMTwFskPq20Rt/cTEfKEAkYLCNPwyG24Fb9qZwsLf5icxP+l/Mrq8PzzzPUBUlrMMqy&#10;T4bROqXXYhTio2DoD/ZhkDc4dh6bysQfdbhzRhiriaOliF8jnYdmkNYQcDfARkEpzkgI2sf1MjHK&#10;WTVaoZbSO152MyU8XawQcPfb+cSgC0AIMfbdA5SbIJgXigbyJ6k5/9SOzWq2jxYQVcl0Y03FZ3Z3&#10;K9zXMwInSpcpvqOCGpLVIbsWuxz5hr/j0UBdUu+P+jopURlhAa4dEFOaCPrU4Jwq0UbnQQcRAQdG&#10;lapG4usP55JmjNgFps1pGq8qkYe9WwSpdU2jIA7t41rKlOhNDTpCZnwMeRbOsDYolJiJriSqjeVa&#10;TSEO/h4sWMNa4MUURjWwMiG6qLsjuMV4+sgNDZvQOYRooyypq/Qp5ogIPQxIJMgszIKYRba+bDc7&#10;gAbExXzg6xr3b3MjtIaxWiJWSJLMUG+JekmNfomdmNEW4yeX0/ZWVRgidRM529QoceWxdE4cjrrK&#10;ui3T4viflOr/Aa8FdvLOc6rJ2+rRaPG7dKFa9GrOGHxCwWD8hGFjYtVgQVyPo5wc3fGqKadhSeCB&#10;yFfDvFGqWgcrScpF2FIrCd2FWnjDGhfoazo/fFopsqKeO6sjqpYW85eZMkjWMKAMJp42myMfXfbt&#10;iAadgtQml7q27cM4zVxiapmKN6tPPYoon0S1RjbzULnlyREonhSl0bB4QgzApkMpLx7WOLAR4Oi3&#10;/OV/zYox6EM2DtCMv3p6QGQ0ijevKKmNjt26O3ErnUH3vmhuOP0Zk9MWybovjF06aOfOoDrRW6SD&#10;VB+Mfm5B5n7H9AYuD0noeLBCyuUjknYAYF82bUSWd4mYNtElpSXtEELBcKftE8lVjAUMFM/fZFiv&#10;fGC3qELNoxcO5dz0r/yrILbzoQYNMG3vRU2KaFnL16xzjTHLTG/GjqHgDByGGO6E0mmNIz2nJsTJ&#10;W3TIRh2lebbGdreLEVLVmVLKRioVvXYApsK+h/FodYhcfwrmyVkbdkktchkNZOoUEHqrEqIDtg45&#10;6VIG9rhqdBkVaMAtF+mzqVNOsiq7W+N1SUWUSQMkHon7Bk9QYJc0WYJk+Ikbu3Kf5bgb7RsTRk66&#10;oXZ6iXDtLVLorcYpnkSzikUt4RkVYrSj6BEMvbWo6EZbNgNidWLC9KFS6cE+TIri/mWkKXJMpa/n&#10;9XQIlmo6vQQHy6yVtYF3ghx0qVIqltGtVZXLSLUbi9Wp63eBYiMB+wETJSwCtZCFH19TrD4Mj/yA&#10;3ek8ZVnHrInNiSCRDDVVb6kKtb0ilA4q3k5BGWcGWOuj8VITsrkPk6L4XhFCpoNU6vmp2GaquE6G&#10;VGFMcgOMIThD55syf6g2zNz7Cqk7UeN6NqhvPkTKhtsvwIvDOu2N4dLD2wsYCNafWSGES96jy38i&#10;51791GDxVZHCytwYknMAnBPQE61LDClgTWAj8yYwqicG1z72tRvkPTMJDcSTokSfvP+TTQJ5DlPz&#10;FJDDmjWkioLEIIVBq/dNlaGlhfRuG11JbjXoLIEh0VWbMloGVXWa52yJOYU+nSlvK1PvpX9hDa/Y&#10;bFMdFirPS4jCjV/ZiqieFdYyM8edn7u752aPVF7mZtkKN9A//jSksX3gPO5rul8Li5TA3mDs+JIm&#10;ELHUrJhVh3fc7fO7SIQDHUzTAnFjyOicep/i91vv1HK5zvI3Jk7VMtbZ4B6A62R3LkaN3hgJnfDS&#10;lEN+jZHpFuUUbu9erL1XyNhOnpGIcSNKkB0GYuJ04DYzZWC1Jg62K4ajqZeBIY1OZ+OZ5LxOdThr&#10;wF8/VYehFSodtI4504YgMLqHlUxk+NXWB0sUXEyEAKaJHs9w4kn/89ZfO7FdoiJiM6eFWm2UHViH&#10;cvS1rn1105JecFo/+enGusqwaZZCPhoK9fWNcBPfxzxqTRNMuXNSOdYdUYx3sVTDoYEcZ7GSuQjb&#10;qqieSl2DiJwlgJbMfYcWoax814Co6AigCaGxah/2AAV/VDRFGOHX50TvehLsDJZgqMVaoxvY/5R/&#10;zQcy4jRb43QRmgSzcELVsGVtP3W6xlzEDHfQRvck7IyylNmq7ZBNVAlq9RK1elfeLHVQu4etKpfO&#10;hQfJI3PvXE+x3dwOngWc22D2PSpRiBfbsL8VmofGSdcDXOG6tbGwsYFPYuHUJlbErcMXyBFOA48q&#10;IODBdut5okFDh2DVwOvcDBkWOBKVMxFe6oxmClP+HakIHt1yxFuHwmarnF0laCpOpcSaLJQ/ZXSV&#10;UAL/pD7pfGLNylcPvnNWDqakcL1RYJfaOoMp9YRo2Fpk30Az3Fz41vhEayKeSlmH4ZJCYiptNIPx&#10;7YhO2NYO3yUuvM57PZPBj+QzaPKW+rarPp8nx5+pUw4hWemh4o9Hlyl9+XDn65LUQsvdMIMngUpt&#10;FDMoC9KMdJdLTDSCOjY87G0lfMsArVdUGD+J1xQj1S2bopbSq2bNrJ30i2+4hlrVwLDWwtVRRM15&#10;6d/QCba3EJ3mGQdfGuuTPV/PfUurKnvoE1gH8ZP5/eTx7SQP/yuy6zIK3bmWwmSLgX6idE6d8Amh&#10;tB2mhs88KWFU/y9iMmFW4QTKiWGVwjEOpKiN4hCADYwEkW4UVaf7UvnFtPUwbddQ1ABo3LfoHbh2&#10;msQVEiUPtJbkIJELbaCfurQkwdVwjxfVbGMmpTNfBTayPNx+eTFlGc1kOfPuMXM8vMHvSaZWhwDs&#10;yO64OiqJpgYq/Eb25SV8SiKEQGtLN1pyI+DYxeLS4w9n0nD0hFwxpzwPOQNOJ8zHin5cFxIZhSvr&#10;MKqdJyCV3kuyuqqYkIq5+vm1YUIAkotIlN9C113TZ5XxsCjVtAOvRaKUGyNpJJPTzSGzjW1pzzj3&#10;tO0p2zIeuBMWnQm7i3ZpiUSQOdJ48GDuvjOGKHsAp+TBkuCT07sLu1sD3B2ENZyKaPVwZCLp4j5X&#10;UG7MTnECWGcNs1xRFr7/KALLtj4tSzsriL+8jH6qs1cOOIqncMoZS7OArBc9pNqJVS32u+ymDo+I&#10;NBFE2zWVEsv146e2+/LrHGSVxqAaF8hJIKMg8R0+wJRutXE9cSDTKXmhQqs1/oDzUkMhbFWr/d3x&#10;1ka1fRrBOsYp8rKMXaueISC+ES8DQPFZagWlgTMgM5j7Zh71easKVmHHvRo9W/Jym3qcFqub9GB9&#10;PjRqUdeZu5JoV9VquloE9c1I0iNGceys+RKuWo5EBgdToSYXHiGYupcfQNbOGY0G/uwtCCII3QsL&#10;y8vD1SODlVXw7QSsO+vV3jZtFpLuWh9a2MnfXpuksmDiIweURWKxk3Ee/u6OUSkHHtgbLPMAn3NV&#10;xHLfK3chPYsodd+jHJJ61HVlYeuB3/q0rcFner2tRTxfmpL8XA4kMLtR6A56NTWT3igmLcpMGga7&#10;0tIyZlK8CjgDPyEAwSryPC04cgpWRPweMSuBFRdxaqulLJLCoF3TGAGl3SgUkQYC1+sMWzRyasJo&#10;UYGowrUjtAgXcyqloXN2gSxdEimzW3nJRlzzOEvDqiSitsCYaI10ZS31SkxZxCVw52Jpm9rBCRkl&#10;CzE/ub+pyr7vJ6Kw4ngfujBsZ5bVv+az2oiK+Sly/Yiv4A9uBrZcLa9ViytMWATWFWZWBes6gnU/&#10;AquhiPWUKUWoJDQ8gwIaDlexWH+jLyinzsnHngzjdwDPMreDP0sBj5biAzFcce4RrAXRlJxTCdR/&#10;l20ZZRIPxS6bPaIaQid9c22A5+Bh5eKWPg31gLza+C/czRNL8KQybHQDS8HhYWV6mAvwaZUtFsUl&#10;gMhRUUoPR+FpcakU1lu6pk/MBGt4Ui82sSjBEPErNAgh3Ifwjy511V4VEpBwrFURHxKD50b7eYcD&#10;dAvPZLqoM+mBXpwJdYOpHDCkAGtY4kkgr++yoTqoD6oZPo8aLQ9oyIBFZUqaCKNYKGx1ia95SDAq&#10;+QbISqAL+0oyfRWPUp2aVI9aAz+ergbZG3YasDnRpWaM5r0qRn/aFxSFR45K5I7ApBj1vVR6ADdn&#10;qfGZi7hO2odZV5inIFW6k50xXBqa+BJndey4RCJNUyF/2L8u2mbRgRWeNxouLK0MFpcIrEDA9VgV&#10;RwQBs4DbMdHu481HPNKYHKNYR3As4GFt46iURLkBdOmDn1BWexRv2BS1TMw0UqtB/oqIiWDYeJM2&#10;NrQQvq0KqdTxaKJgp+6C5h1NwisymLGSoZ7kJyTcyPcOB8KXbGWKVMoFKXHGyBY2BUN/5Iigy4Sn&#10;qsa/asCKCMaH44hZIXa+pCOsBK9kZUEQeFss1z2KZindBrW4rsj9eWIele4MnQMIXO2gM1XC02Ei&#10;BH0PoFIi2hAooT1SFTIId9eESrRqROfOoCYHMhPSBho+2jyHrGjW/5X5ypCP7TjcDICAv97aimVX&#10;4xMotMg07PkwjSL4JEAlURRuWpJcegJ3NiZM6xsOtfBSBJiXSQ7LVu8LmMWdQR2zYlHkBpDrhU/J&#10;wQY4i8u0RE6Rx5mDJuit21IUOwnqIIbyWfAgqlRnWoxihtCKCFPddIlRKH+cn0q4dObekkl7CB+L&#10;nAN4jEVm8xi4vX3QMnA6neWWRnQSTJm0gr2wPBow6i/pd6BSaEUHNG3AolA5TGOMksPgXMzglbJb&#10;SgBVSktwjAAfLoD7kRTCNGeG2xMipdQeUgNWiigxWNFn5f1v+R4I1yuJCikZTnztRWDpZ/Tubhh+&#10;TOqPRjnDDwh6cUdJMIpnlDj1u8x7ILOWXRPa9F5iDhirn/3CkUasMkaRJGTMJOQUWeKOAGUaYTTC&#10;+1yASrVoaY982MRaLLzhJeJRwyhixzEl7QaAKf1JThPO0GgJDHQBoy7MkmHUtNYOVhBPB1goqdrA&#10;MFtXxKg4J85RmRVGWXQkHugutqNJSqg26idCDWYuRSq+h0kACiMk3eW/EVSzvsg8SuTNbEoNHjdo&#10;HUaT886kgJTLy/hJ+nfIl7+RExYwKngIAFVQMhDxnpQmFaGZGyBUiCRKnuiUGOWuh6XVMyskWD1C&#10;qw1itvIACNh3xK/+9Gx4NNI59BjYBQUaOGBUaATPWBiPJRbaVVXx9v3srvAOdWfmIEMJQyVxSXXg&#10;HAmTxJj4Wh1AGXX0F7zAxHqkWGE0Bryqe+eKD0acTLM4SM7XFN+OzyiJqiUlOrfl7ZqtcmPAbSuP&#10;xlJSQSWwDsDrhcEFvfo1oifUSSgkeNjUUQWjM7L1BSBBAwNYaeiXgjWCKUFV41MAUHQ9zSqdGYCy&#10;glDdEiK199IGeXKAWjezRDGDWo8FNwaW5rQfCUZJKv1jnqGMnHKMmnfCLc3GjTEKRC5DpYRFJXci&#10;5iAf6CIZ3uTQjbmE+piBlV/GgDCIXD5xfb0IUgvzswUJvedC23XLKWhubQBOz4CMtQyA4rtpCOVG&#10;UUOMfZ5J+kwqh7TfHszDmxoAGkMWfqFH5JZT1CqUsCWH/44NLuUR/hw+1F6FwY2O9oTg6SWcMG4L&#10;2bLsQrZdG7clHcNvCHNX1dIqGsZIje7tYUkfETPLO82H4M/sbX0if7W7iQUur8AoT6decz9oRsqZ&#10;ZTa5S+rpJRnoUMFB497ix2wqyQYL9EZhhxW27zWHEgzfzeqzfeLEJTWLT7ilOxx38k9gslVYO4KH&#10;FpbymKLfS0IFuoRtPOrvpbEHvpeCSrdHXyJvJ5aI75ZXieKXufFopm1Xx9zEzBJcs8vL5iS4TzNC&#10;mFzjQvi0HM0A1aQ4uLQZXbu5pJkEukydNFSiJaU6ZmIcK0CdOPoVTJkCtE5FJYBGnY9vzKVUvRQu&#10;0Q1ijqQqYdoCv6lGkjzCg1yHg9FzBZQxAZhyRZPFli2OnJKUNdWH1RUGU+kAdeCJcOqQFNvohBv9&#10;dA58xzUikx7TNaDMJsqwI+A8WxXvxKMS+aVch4PRSVVzxu+zaQTGkOv1NaIVSdQYFq9WV71h66H3&#10;X//2+60/6Lm4CIhnd9l+B6ouZy8N16wWgmbEWDCgThaOFHJQgNd7HJO0hmhMu1XAuhVD0noOte4q&#10;tuswMFq7TnaSOh/mPYYY5lFYEbi3C683ps9uRfN/sTgZ26TsOBq9+ckbP/TU/ff/x/gTnxx/mt6W&#10;ARMfuDGYm8pK7nI//fjIhdq13ECcvD6fvALwesH3paMon1WhO1f2h7EfenI58hd9k9AzvQiaIH12&#10;eZ4IOAehyqRIAN2/ev85P7V+t3uevts30uebti6/ttjsCgTfEtwocGZv9PYrxpuEG39AbAu3PKDn&#10;3NHXNAdOqJUoVnxifVuVDNQlG00YPD8JM/HIrBVUrQmmRUZYPGQdKvSbur4jY4C52/q5135a7TXe&#10;z+D41Du3H/6wrZf9I3Fn3VGkobz2J4aX/dqRB39pngsMfge4AzwyCwXgjG6cIaQOwy8rti0SCJf0&#10;KhJ6KByX9kImEAEF+qzhxtpGkQvR9dYWJInDJ+5++ivz6XVm1ovIHo/j2UPyR1urOFeQTZt5Nf7r&#10;52486Bf2/vFkllODbay7tLL0Cy8//vTvGa6VEvAgHV6VCdYfZw1kWWA82RaihgRWHfzS6gKccYBD&#10;0AlFBNUbz2a1YHRFrE4/onun06IMK7O3PyZKqAXK3HnUqtfd3ZlOI7O9+2D8N1eOTk78UuSk0ovD&#10;2966XQ/0VjSYzsC/HCbktfH0l77w1RH+5VkPOGD6CtCJSx0idMKVUGIBBnIR/4mutovZTdGuDwQq&#10;TbjT95NcxP7P3HWTzFIFi9XzxrMv+dGbDY7HLRd+JRaqq/BCb6gkVpS1kP5E9xTfjMUFBDpk9xQW&#10;v8H7N+DDux7VHDWUyOnxYlarumqWC3C+SMm5kOIpT8m4AMQQe/bmntIfAo+e28aesTG4wwOPvuY5&#10;K7eJxzqhyaiOu58/eNNLtx//2M2H/cjGg39889GP3/6dy/f/v+t9/VHnMQCaXL8EsVIcQUKHUEl+&#10;RZtOXmrA/5loj76sHKU/BIx2JZWzNN3ihYs//Kzjr33qyiVH6yUcV//06s0HPGDz8S/ce9O7D/7v&#10;h0Yf/L8Hf/W2vRf9+tZlD9h88ptG+HiisqXDSLAy4SR9S37KPCeXnyRw9BRBkc6H7SET2WMS9ca2&#10;TzOEXPSurAOw4+EWwSX5yw31HeeQYvh9e1EfNc057crio150/Ne+Y/FIVgc3UK3+/fKtRz/34BPy&#10;BGIk0sHJ0euetvnkt9GMkhjWoj5knNsCVoOpLrqrr39xL9Skg2Ru6BzUWe4AOShrYTp/Hj0TpmWG&#10;mh6cf14YVkTgshn8rYM/fOnBKa7n0uDO37f6a08/8ptPXPuRew+P8Q2j6orf2/0nfjtCsiQ21U4g&#10;yWDo9Vu6mpZn56WukVMY0WfRY+jTKvVpzQ60JSEh067pb8qdlJB6/hidIV7OcFaJjtkvhCd1rjqw&#10;yNSXfN/RP3jS2g9858r9Hrj6S8859vh7y0hmdPXo7z+peHJYI/vvzJ39Zqxm8MphahNUjFf88F32&#10;276nQSYl0XBnQ6CzTvcepjVIpfzlGuvQaTIaReWSY+rDweg5bOxr+4U9ElidrjY0OLVyZEGGVaDu&#10;4fC+jzv68pccewV8fn/tu28ZkOMzDagKLqsb3xuxOjYtYMHjjEGZH2HkL6xFPaK148vjey5d0pxc&#10;dnG4JjfxxERg/KzMIElBnnmvH63G2xu4RRTE7Ya01vXcPQ7+dfsBP7D7EX4Ad2npye849uALcX37&#10;7od2Lnv47sd4DurI8FsfsvIdX7d0ye2Gt7kpr0CPZ0ftTKwK/KVn6Lv9oRzokk9jJ+v1ySs2I2jR&#10;T8aTkXpjg3DCwmPGIYOogALkWQTd+cdvv68UDClyZPJJujl730WjyBNeFNWYwpq63IRFHP5tWAl6&#10;k+XqJUv3trnN7fE7/ufOYx+18V33PX2Xb1q/7JFbz/7j/f+gTYd8Owh3YsuwLnAAbqFKW9kQHlrK&#10;2BTzszX2ceU5c1xXKk+G2uXAZsJbRWiIRK5vKbTblGxsag2sfYu37iYlhG7DqcLgD6d4wyMGqjN4&#10;hkPK1VWobWK0XZeeiw+n4y78sHcKlHsAK4ZoRxP4wNIh+Ozv4VWZI2k3N22lHv511C+thwSYri09&#10;6imrd79JKsT+6fG/vHf/Zc/auv+DNl/54bpKBiNNuOFkOLUplt+ZeMZ5ZDfplIDVngMLRSVmi3qC&#10;Pi00tc562kSqEPfKcKdUV70cFjC1ttk7GyYTnfoswm5nu9reqra2cQ9p3GbyAMNb0g70nCcYR9qd&#10;BneghPT7+9XuHrzoBL/YO9cmk+GQ76JeLc9jnbh07cV/cuypP7x85y8drGYu/t7VB89+4s57ITIV&#10;A7UMWyVXXmBPeJWahS85UsuVL5QgDFqnrEa+yC7mMK2/H6iUrQGxrdzpSdWYNlVTptBehIrlVkiK&#10;W4DLLdqcl3b14IO7hJsRKSiG+EhEh+1WAKnnEFilakSoqzdfetBjj77qjee9510nLv+Do7/+uNXv&#10;v+fwPJ2XOvjU/uvfI6bNayGPRDkM6cogo9cYmoFTlYuFYut41Ci7uTf3M2sdYOrkQR+ZzYGtKOUM&#10;mEGDUfH9uWZc34pUQCdACnC5uYks6N5aIr0klZ2cj9wRjRSicoOfAEjFh/QnXsxxWKQKihrvV/Da&#10;q82NamOr2h8vrJ4/vMNdl7/vh9ae8oLjv/8wHChyF/zUJ1XvCZtmmLCBtOKV/jU2NaQyLbkP/wxn&#10;56CEPgAuOQO0REYkJHoS287V8K6wWBFI2xh7ytb8EeIJndAkwJ3wxWXcTSWxPx3uiR8Mol33MX98&#10;6OesRmp11YvX73qPU3f5htN3/Yb1X/vfsryDO/mtbxXesqqL4UtaKsJU6AUajxlG/E4Pwow4HT51&#10;uNKtVaZJ1ZlK1WBG1kN4tGBktMM1YlQAqKgCdALDwXvyEJ3hpTOFrsW9wuMPwS3/U29hTvWPEJR6&#10;KL0YEpGKSyr7dOFY5c13Tp4vlTK49e0Wj6rreMXztv/nu0efh1cJro//5a92n/pKMAZ0LA4vucTo&#10;IwUEW+3U7gcWlUeRZcjEAyo9hEdjjTMYJsddYnMT4i/k2w2mko9s82EyCpuiLmWfylj8DjF8QipK&#10;DdAE+mRWc4CL5FPFcvPZn3i4pl1H/TnBq9XdcsTcaM92JG/eSniSo2R0Qj7NV9vLO/9eK999G0m2&#10;+/H9Zz1m4973PH3pvdYf+PO77/y0nD92p5XLviZooy7TEkwdGN1tgukYrHxdm2baerXXfPIUtC6W&#10;NlqUKuuTMLk7GGJPxeIUS+gdrq+jg5ivUlSnKM0gaCjWlYWVA8fzow7+sB4g4z8K8uD4Y0pCnVyp&#10;TXeeWP6F31zLY092y9HbLT/96SsXw+4g5m/VZKfKcSrjbhqiTuYqYRae4HKF168o7aaHemlLFN2B&#10;SuMmZpjCbSGa5v29kF8LjxJ9bldbmxIyUM+WFCeSqsBuPJ9Ra5CuzgLxKl3XAtQ4IfSLv+gtpmj6&#10;zzYP9bxL117+umNPfNDSxRe54N5w4aLbLV32mKOvf9XR77y1bhnUCR5l7DlGVaupp7wf1amELoka&#10;nYVuMK0vhrkNnjhQkosJNdyID+TCDtA1Bzo+Gxv0Kh0Zf4nbpfaEJtsonEDXZe6N9RVpzf9kB0BR&#10;nM/yxaGrmB3Ef2WM4vzq2XdUp64e/+eparQ8uOhmw1vAminZO4RahEc/ybI6a+2ScQ4WhapKmibn&#10;y7tbrFL5X1QyLYlyNlGDp8ouyZtAt5QkyYaIVEbnVDOriCKhFqMwKqo21hmBdqeJrIqQmsQqSzAa&#10;a5ClMdkTQJv8WG6sZkmpd8IjZrgXcdMzEmcHgBWRpHHZpEm3r0VN1S0EpfoSpq1Ti1XRK/Ew1BF4&#10;xAJTaaERo3GnCE3nSuyA0dAZ4ofyAkjKGK0ORgpQxXXSTX3NDaEJKcpPh1FJqcUnN7Ij4VcduL4c&#10;US/fyDvswQsukuaZqlXmdLNDYphu4bLCMN0Qya3PbRaIUzCR9HlDirt7NiRqOQtxF1TTRqWdMSpI&#10;DT5MGD7C+5kyW48AXT8t8EDWi5VCag2wECmsb9eY9YgvDaPCE8yYDFDJ2cVXIpJmclGs4/bBUBkM&#10;pp4rh6dN+y4+GatViDPwi+OrZMRZ1zkPDaNtVNoTo5KdjXD4d4pRNPGnT0mDp7yo4Iz6VeR6imca&#10;+aMNPMqXPMzVqVXIycaFXumOnnFTYGbTcwmmQp/S2aWmdQOUuJWdqkqdMp4HmUu3LaGunk37Y9QI&#10;1boqjKscj+JGAtefwodlUzNtndo5+KF87w/oAAr/dRAUHvVn9H7DqJEoA7cYtLc09EXem3OuwtSD&#10;qGEQ3aGhZ0acrbiuEaYGph1EL5fo1RGsJIaZTsMgCZ7mtpw1LlDo67GrT+OBaHGgN1UefIlI8oYR&#10;Z+WNWSUUlVSzUGuZfpxiIqq1ZeafAG1azaehcA59T4yE1mqxSGJym/x+RE+a2zRiUcFcNxc8r2B1&#10;SHh5DZVnpbIE9jHIWnRA6xGLGUsdPIfIm8VECYMGfEfOQNQYlDdc5n8RppHErdo/pxNY851ltWgw&#10;BpNIKsAXHoXFyLBloaDFZxetWtDOknYaDqvkU/TWkXyPct8Zgf5PMiYIP2O2sO7N2xljLmD3aaHq&#10;jeGYhqD66ae/Qvvf0SYR7TWObuj6ho6XS4sREJT2pGxMp0alqLg2c+sHYexQErwUpSXdi8V3FSl5&#10;DnhOXlc+eyW1KfGQrx8eQiesWMnuT5gV3UYY3YDXKsj6N/FA/TKc2kaPLjA8VX+OQeVrRKUBlUVf&#10;Ck8aVXLtbATGhSQy8U+w+GfjzNM0zVO497AhOmmfF6ROerur+RAf8ID184yuZB9bocW4mNwxJUvf&#10;orqE/GI/s+yPCjgdWAW7DNOoQOlasYc9Y3CcFdkdNkKnrTR7gdMdwzGSqGbklu9ptlyA/U3wGn62&#10;C8LqlXC9/GCKdPwb2oCWAZADIVxbbB6ZD7drOniaTitNd59RlDQX3t4GE6vFM1PyvTZPGaFMDdMh&#10;vc8qBqSO4AWcIpKfFHHKiCWItBSsvLkAgT/dbLxa/sju43Ux4QxT2rzY6YOoVP9Eq36bMN2hkSTi&#10;wVnnkZ05AqGDcOdcElIjPpNcy6c5/LmSdgesyTAWKwEs0YnnzVJjORAp8hxLWmYhmePTUBSPk5w5&#10;D6lkj225bCJEb1Gh50xqpgm5tg5/wfdVodgX54CG98vPPDzaKLzt+tQ1sHZwaqzPtNAGNZhJBDdu&#10;4vMUe5I76Qw1TVNlazpEi36MkJg/AyP6apNEjixVFnudlIvYEiprCkXywzoZIwZqdJ3WY7Ghm0/d&#10;sDPLYO4QbJV0FjakG358SX41RmzBJ5YnEHObUjMSja052VrNjbaCwx8ZqFmzUVkVrIYWgxFvkdDa&#10;Cl9McDgaaDHCxpbGo3H7aiy0KKzmnTnCaaGpOXdAcpbbw4sn3zkfhqPjeHM+UzhyDlJ6sP16phjb&#10;Opxm+GIpzRooEar5EHYrpEpWtWXwxoy8c0b4iY7ws+QDupWqcZBT8nBQ9qxK/kDwto2abUMgBbFc&#10;Cdxtss19q//DxeBZ1NkmtrAljdWYfp+0vPJSkCUTocJsNW0SUKayZyZe4k0O3YJBI0UatmsB/PCJ&#10;F168SMqY3dlo7B52sgpZOKfgcME0m9IspDDvVSOzEXfmuXhCbVgdHLqL2t8SWI3xorG4oUmFN9wW&#10;fdRoWB7h1d2vHqYtbmEc670kpJMUh00cnCoWOXOt9s2QWiEf1cmZTG99s59v+o5U2jGZD3amcoOa&#10;KPZUc9gYOG58+5XqUdd38Pkk37IjwCmhIE6NA6OAZt+EFuovWPXaCthjpfNtsDx3ZYFaCEpktyxX&#10;55Y97GpF5Rk6Gr4wVMr1KTzH5RL6gLfxqCdXxlOYeTTZFD8FXEeOp9zgnE0NSyoanfNJd6J4GhYl&#10;3Ja6jslYS40uWwQ8/kxiBTNo1zzIn2Ix1HaS4s5O3q9nghBytthziLrXcko5gq2Q9i082P/s1UJ7&#10;hBQJOzJqis8s8t1s4tmSMpjZR0zbj5PxVp18Y+GvANSQ3aWR8B7rd8rCEro3CWGpDG6GgW+I63q4&#10;ezvcUl31rr33f14EufCrlr/9jufeQysdqtkhSbHNzEB2yCBJ4vIDjH6W8cjmNitKKTniRO45iraA&#10;UbbOSsEBrzzKidFJKA9z8fBzfM3BG68YXU/IGxxb/Lb7L90K1jF5ifZHV/7JwScZcMPh3e6//FXH&#10;8evoMweXXznidQdLt176wfssroopwJcX2jNPpgV4Buo9b9z/yAb1jdXFb7ls+baTLJiqrn7L1g/+&#10;yv5naDL5Jndfe/Hz1r72vP6tccO4Y9YYdVgkjGr+XfhLgZxgkRjS/H1Hrh7KBEtFj4OsIHXvgzvf&#10;/ZDdjxIEh7daeeUVR75hNW7A7b2fvOv2O3ibr+XFX73i+CO+BL/u/u32N/3E3n/S8sKVex/5hz9Y&#10;Aagw0wOPQoHpviZ7+0/5rs0/+gzV5fzlF/7VsW9LCuqAm+1/3vnRR+y8bx2T3uJeay9+ztodj3W4&#10;7QafxINoCh5lPVFmYVzfG6COeI1VQ8auLbx3IAm4MIlJ1ZXcVaKmZqc8Zu+Sjq/Zf+ovCkBvdZ8j&#10;L3vuFwGqreBH2s0dssPYkDITjHaCAyKRsO3/Ctib3DiLd1rPcGMKIl/XaVy1orhC08qZxZsM7/3f&#10;lu5Ln2+9dLjkK9+pZj3JDVyF1+79x0WLd/naxXv+wNGXP2f1kiM9c7gxJI8iltNUGGNPkavpB9cG&#10;HXMxI4A6X5FRG/LKIWtkquUJw2lwojBUN7l4+FZ/LH3F6jNfcOzFv4uf333UUuG9nrNF6nB4j58+&#10;9tpXn/jTV594xZNXbrcyTQPcCO7tzqxlZdh7RXSgw1wXPMuY4gKDuoFRNKwxNGSTP54w/fgpsGuO&#10;JKZu8QwKIzqp1O74kx8b/dtH8fOxz+G+lslRbY4/+Hf7b33b/t9+aLRZuyt0tf5ZyeTfPjY6ubcA&#10;70O56t17r/jDnRe+dPe9n4s7yd74o/+4/863773lyv33fHi0XoobhBvG1Wf+ef/Kt+294+8OPr2J&#10;p7euGX2UpIWCPsdjvdh+QI4feu/+26/Yu+Ld+x/4VDksMV4ff4wz+ejo0zzSPKg+8+H9t78dq7nR&#10;HMroIL9K1MEkl7DFI+kIG0kkFe6qi63yJTkGB/8JY6ZuNBP8SgdoiiwRzHg6QIf2BnQ4B6uQdOxv&#10;Qyjec4zH8FIRGDN914PDmOmP3nbkHglFJWOmt9GYqVrY+8DOd+lg69i3H/mH563AK2iF2vfH73zh&#10;9jNecfAfCoUT/+/yTz9p+VO/uvWqdMxUveFnTj3unaSYpcWfff7KJ567/caPkojDwUP+4Lyn3wOz&#10;HH3h4FUv2HnpWw4+zW9domP5wsVvedDqY39i5ctTDq+ufvfOk5+5+1efkAfGhseH933Uke/59PbP&#10;/DFv/jf43uef/9v/LWS1+/G933/+7qvfNbpWdoDGSxdesvyQR6096r6L3qfYftPmXX5ln3c9vPTR&#10;x354ffd5lx98UqVau9XSQx535Be+YzEZDfaUv4S+2nMUD6zgdTG416IEi2iL4+GwfpPDOuyF8Vby&#10;7psSVUl/MPNtAVF1Txln0eF+Wn+KXAq8QXpKjTdaMz3hi2nt4ePxO566+ajfCwCFu9f/ff+ZP7P9&#10;jpON2h+P//jJ229ggLpj9Km9xz5442mXRwCF6/snR2978db3/9j2e3mfLDmqL7xr+2E/u/suBSic&#10;Hm+Mr3j25tPeydtupsfGP+08/Ie2XvC2CKCQ6ORV+y987MaP/M5BlL27+6qXb/7CKwNA4crO1Qcv&#10;/eWNX3lLFNLoKX8/gEJJsNM3bAYKj8cB89tMEb3nSF4XU8jRU2m5QLc3ovcpjaftZI5DytCB0bSe&#10;be0uRUczCzrn6cHdirliHYoeAom2897dp//ZGIx2clQb1eccCxZyHVef/4LU7+jRhUUuYjR65ZO2&#10;/oLYt3ic/uDurzx/P5ju3YMX/tbexwvFL3xOw/5RPpv7z3r8zt+7ziOmiRONq/e/ZOu3/rrsqWxv&#10;6oO9PseD6i9fADrQU33l7wFRfLcMvChh5J47krCPbBWPeQFqW17BxXhND/NHCZWB0iKQql/Baciv&#10;FFbNxvjlesVDPMG9YMD/E+6uTh384ZO2fvHx8efJex/p9o4REq/6uzftf0rdsqWbLz3ymcfe/Mbj&#10;r3ja6tdd1EH9S4Ov/8mjb/3b8z/0vgs+9K7jj/zqhb1/3nvN+/XGpcE3PvLon7zxxFtefewJ99N3&#10;gC8sfPIv9t5+vaTZfc/+W3U/fHhn+D1+4uir/+zEG/7wyMPvLO8RjYWorn7z7hs+IeeOXbz8lFec&#10;94EPXvDhvz7+3IcunuCGORi/6WWhRkkdbnuftee/8sRbX3fsGQ9ZvFD77ejT+2/5R2n2vvIzquo8&#10;Rr2E/27v4FuQICkZ+yAXSwEYoXdviEHlbJuOFKmEUc9EDE475KefQOLnlG1c5Uy/DW5SalNhHQYz&#10;aAb/g/C1Of6rN+xf/vr488bRZ/xQIPgLpSofjD/4kbBDxbf90tHH3W/5Dhcv3fOyIy9+8vIt2raD&#10;vNX3Hv29n1u5/QUo+urNFr/kvIWr/0GnuBYWbvk9R1/wmJW7Xrx4ydcuP+IZx37yq0SAauPg7z8g&#10;PfLj/zw6qY1xk2898oKfXbn7Vy7e8R6rv/q7R77n5rnA1d//7cEGn14cPvRpRx921+Gx4cLqTZfu&#10;90tHH/4Vkn7rA/t/y8Oj+Fi6ZPV5z1n77q9bvP1XLT/4Cccee08dYoyrj/0bDyKrovy3/9rlH3t6&#10;Kj+CxIxh87AGBgO71Ta8wk9vwc2/bbmIMhoSG1tsVCeGq9t2C6HqSdHcVMKK0fcAVht/6NwSzygJ&#10;m/JJl0mKYK/NAF5mOnctN9kl4PU4N66uuU6TLy/e8xvCTPoF91i+S/Oc0GBw13svJfOan/2sRQwG&#10;d76nu7o0vO83L9q7wiAZl/qFLwRf8I5fv3Sh9YoLlr/lzllt98ZX/btIOzi+eOlXuARLwzvdQVds&#10;743/5aMFHdz0TkuX2PhyOLjX1+u7yxYWNtZF7ET+E7p0fWFp+K3fFMsf49Ie/Mq+wKbv401m0Oz5&#10;RERFTGQCUzzfa1ZF1+YJyIydxazz1KWZdsxefnr69CjPoSaIVs16To3WjcbjruHC0eMLJ7KPQMGa&#10;qQHZVbWtrtjgxPAma65plwcXnmhE+3Bw4flpgo1N7fzDhQsviK5edEEIjWyBW0YX4aWpOioc3PQm&#10;kaAXXpA/JVBdLywKNn30+t/YetJT7bP92g9rVuPq1PUFyddWfWxmsLYWirOO5eW/IJH/wnD7JrxA&#10;xkx8/DRYjlHYI0zy9zDlahOJFpBKjd5n6U28UTczYkCR/LaNvxxfxtRrVGokWhjpu1sMnNI3qFae&#10;VYe3XHnJ/zn/Q++PPh/8myPfDG+Q6Xj4BYqLuBuUP5KfeZZ5PM47WvHVaDBoI/bISCTxk9zTgNeu&#10;arAJ/Jx3vG7vNa8Nn7f/q9lGeAVwx/qnyVwowW+XiG9M8El5M1f3Idtd+KBRxx1u1AsNzqjaW0Gq&#10;zEUDd+JHCY3W2NkmYk11Mn/U61mhGiDLfcI41Nt3N9Iyi89ycHJTAOLSk6h5COqJppxoxWu/KZNm&#10;7MiGyvrUzU76hI3ectuydSd4PUscqN/Z7eSPzUqu4i4BAjvvekp55FLiRnWITnxPdhmgGAflGG8s&#10;p3AnXjAvkWGqxpnTC02QX1GUULN180xySkuUfx02I7JU2TRZTLH+bKhCxD4JUZXx52tfTFEHUNaC&#10;3Q7vyIthOsEbnpx5Sl4QFb0cEd8hQcd5JwJdferj4xCWGY2v+miG0cFgTR3K4S1WXnjlee95d/nz&#10;W/dtV1UR3G7DNnyVpiAPv4xhg3m7BarJb/eCc4hSBFB60GgG3psgHqfdyw6oCw+FsTU7jMJiMVXZ&#10;7TVIdWMmhb2rIE8hMfz5tBs/hR4U2TpOpbNPfFMkOnK8ABTSEcg8ARf1Wz5Zw47WuyC0yQcERK/x&#10;TLZbXVMXDa8v/sRxxdy4uvbaKN0114RGPnYeh5YGt7t4aHM8//LnO1d8Rsb7V12+86p/zooZDi7Q&#10;MdoYXsd6/vBmNwufi84bACsv8WeSpa5Y3PFjTv4veOQtXPOF0GeOQTUFmimDmjfGYypc98gAofbF&#10;vTX1wwY0+miNA4bpRiyYP3pkSE2fZ1JMGsqowSOk6pkUvgpHK0ygmTSHXx1CkvUAaGpVGqG7OPgS&#10;C/EcjP7X/zLqrK5++957m2P4pYxvc5vARO+7cv/zFqndHb3pHUqTw+FtbiNSnnf35btoJxl9Zv9x&#10;D1x/wI9t/OD9Tz/wqfufzSfTlxbvcLGals2DK/+3J/rxFU84/XX3oM+9Nl70ry2OS0rRaklvfetg&#10;Cd73zr3PwVQQkWW1M3rzlSb/4Na3pnfOljRA7BkN4Qkm+gEscRSUkSCXvBufZiq9NnJpJY2TIXPe&#10;lROVQRVDgahjxg7srb6neCHWb+w8MdqEhqqO3krZiUiLw7vcSVFVVe/6H5uPf8nuFVfuveq5mw99&#10;xkEpyFhXhuj85ndbur26mNdeuf2IJ+xcfuX+296487Sf2nzZx7RhLly8x1eJTMP/svJTDxyaU3pw&#10;evyB9xz8w1UVBRMLx3+919L5fOu4evNTN5/wsr33fGj04X/a/7Pnbz3zHQK8wdHFi29dq0LGUHIY&#10;sG5218Xba1jkundu/9Sv7vzZu/bf8ebdX3/01ist7HXB0t2/Qt6LXBwq+cxxMxgGKDmXOCmPU/P8&#10;nbexNxLyI3GXh8W/UjKlNBKjte27fMXdd25vb+iN9jxqud+Ew5yPRGHcyzxzTonZJk4ZXHr/5a/W&#10;kFO1Prr8uduPfszWk19y8Ina1082wXTp4pUfvbfSRFV95E07v/yYzf/++J1XvLcyX/Mrv3/1m0NU&#10;a/D1P3fs1+47TBbGLN106bL75Lv5Dm767asP/UoRoDo1et2ztn7oB9bv95DNX3rxwdVawG2/c+Wb&#10;LygLKUazcJG9yYXF26087F4m/8K//OXuEx+79Zgn7bzqfUH+Sx6wcm94/Cazv5ar6wO4TETIkhgU&#10;bT1Bk+Kg+lBG4sjFrMrGwnetkumv2wMir6qBKXd+OTHDTwDtQKrnpWtoKzTBoe5az+E5rCt9+k8v&#10;XZh1g8HRwS3P71/+cPi9Tzn6k19TuwHKl9znyHMeuRStMzqy+JDnnXjT76494nuXv/FuS/e49/IP&#10;/czR1/75sYdfkowYSZjVpUc/++j3flmtYPDI1LN/frkY2I0Uk6yXoJ8YURoMv/uJR37sq2vlv9U3&#10;rz3zEeDxOkPfqHB7ESZFfRCa5pLKG4qZxoo0xIEnJ6r1MfFO3SjONAI5xd2Hs3bjIT1RUGIyYg94&#10;9sMp7VJB5l6jpaK+OK/kkhYA2d/xx4+96jdW7nnbgVi5wcIt7rTyqy86+v236o9RsGgXLf/Sy47/&#10;3mOW73bbQQjUDhdu/hVLD3/K8dc/b/X2hfXOg4u/Ze0Jv3ns5S8//kcvOva0R61cepOF3T3lo8HC&#10;cbecb+XLVp79x8d/+6eWL72VCgxiDhdudsnSQ59w7M1/sPa1zVMPzl8M1TMPEoY4Fy4/9sXHnv/f&#10;l7/uNnH+t1962BOPvea3Vr9c5Q8abbRUS0sFBOpAineNrT1gMRRf8+j0wzKbAjn4wufN+OI9aofD&#10;Y5ze0DNTMnb9ITacOo30KqNVOSlj+YDmKQCa6o1/GzQNuPTUMsGhOvWZ8dWnF47dfHjrm8xkJ6hq&#10;69rxZ79Q7cCM1M2HtxJHMtLJ9vt3n/HnI5izgeNL77v2qHvrkGU0etkj1p/xXkq8vPj4vzjx47fJ&#10;G7LauGb82Wur/cXBRbcY3hLe31w6Iu+T4+HEMxQvEt80cJWNhEghW9dV/3lttTtYuODmw/9i+bty&#10;rN3zhuYzxGoYxscWZxKlSXldMEp7ajtHkQTDexgDezgZwcwYBj+ScyTGwDAqNxBG3YApdkYDRnNM&#10;WIyJmd8PofC7uM+cP+qvI0ZL/bgBo9rHuKnck/VW7Z4OQxEcXU7uvW/7Ox6++3Eawi/dcunnn3Hk&#10;of91cWVj9Dd/tP2E3z+4hp9ivePaG169dkk6w9sl+2h4xGBlv5OhEFlSBQfnW2N1tNBghRSJTpzE&#10;R4Gf0AthK3Ac0DNACamLi/hK7OEQX0gUKZ5RMCjE//OcTaAIo25hPNOg0Ko1PH9JelgIN8goj7k0&#10;gqlsklMy/S0NkkGqjDHsjSyydk56ZDkwTc5E8wbrwcHzf3DjBR9x9VtcWBwthLjT0vCy5x7/zfv0&#10;mbt2mVnVEu70DGrUlUPTqz3STT1GQ/9n9GpKeO3HaITEJP4oYBSGUDD/PBQq9T0DYQ2rnnEUmBWb&#10;sLj8jJ9dbtrBua1Fk6rFyPMhp7LZ6kQdFkhjlXuR4lz5Sh6IiUqBW/iTqquDLF0qsbT0k884cp9b&#10;utw8QJcH9/65o0+aGKCcq/qaOCEEHdJPtfvvPgCZ6K1DXVuTLC0NwDG1NsEhmswCAE3AlBV9YO4K&#10;4DU0gKZNkXiPrm3B1l/DqY0cGahi7hPilAaN29UHlHipSyce5WR1+FBe9F2QvRnxYUxqO2O5YboB&#10;Rqf9gugGVPmyuAg7mrHY1m8hm/F1B5e/dPfydx58+FPVDtv3C4dfc/fl7//h1ftb+LYVBS4BdjyQ&#10;Ktj0aM2HoJbha3cV5UxIK6tyYi0VE043PgfabgMfY1KXj71Sc/nY7gN96hR/pPS8LFfcYLR+mlev&#10;MNLEa6zDqCAqxlYnW8/vBgmyBMpOYZogRoUSPTt1h4SUbehkjFEAREe05SV2BE0HjFpOoz146Xq1&#10;cHRwvs1JdiylCaDsdwaYmjNqjekLKeFCrge8JQYxBmKEZGlOUrcmMz9YnT2Om2Ia4NS8xnm5cRGY&#10;92h/r1o/DeScYJQH6NItPAISZjXUcnJmUXNGhWLxpKx8EY6mMRMfxT4UKkM4EAb1rZXdy4KRfccl&#10;EcI3XXBwKBjtIkhzmtBLw6goXTjX7IBGGIkB0xujQi0ilB/xJKMfpf1GLirZK80H/dHBGobosAM4&#10;HQVWjU5zkjhpznCcD5qjhGn0du8vk9UqHXpBr4Z68JlCvTRpD4BOj53DzIF0woql5XPkgyaeKCdo&#10;lao9RWsWkqAEMLuXLyLekh4SuKkIUGEm+IfGTCvLuKym6XCgtKoJtxVQqKkNMSRlqpN46l5Go/GS&#10;hSCnI1IDqHbhgFc6gyR6wztM24pOBCgtn9MwEw+SAj0UcJo1QdDTLBDLdpTRKNDkAiI4+ouN6Nbb&#10;CKNQt6NH0W9w+QWZI1BSEgNMkiih4lQBlDr8KeHIMow40+mvyKCcWAAac7wV0qSNZk2dBXgPAOWh&#10;PMHR0ClfWAUJhWaM2gBTqWgNWjMluRNqxmNzHpDpcNVJm3E+br7+KDyG5spN2zqHqhWXJNV5Dl9n&#10;j2aBaeMWTqLtWF/+F3znmkT1sfnfGvMxYzTOOLty+0UADcEmF6XnWquJz4GaGP4JKBMqWncX6aBW&#10;ETFO2wEqJBvlx88z0anFJXhWK+Tik5Xlq5E6QlIEX34LmB6czjSa55Y4A5o4ZGHf5F6MwLUeXF2t&#10;dGvyxgQdipuugMhk6SMcpec3Wh3QGLmR4Pqje21iCm3rqSUG5nMytvYtUmgY41G6aXV1sEKrCkLn&#10;iLkrJ1M5Y/V0yAuIYQURyIQVkqbLJYvTBSlIMiTRtP/SWL4nIqZFalvr9BSnlJyqZAEdb+KDB590&#10;9WbM9UckZx9xJVY84WvedcFaWlEUqwgVrgwRhv8ttBGvzYMS4LHXdPxE5eY9L0Gb5zB/hzmpimaq&#10;RwJWX7WomoJIesUNKYEBGhMhnMFpz3pEtGJpcrDOjJML0ku/Zm1yEDR+aJPON1Fo+WIrTLljtPQw&#10;wxqna9Vx7JX16L75+tHBwpEjNLXVXqijRlcnX7eEShWmemOiBtWo9FD1vXScJZ6C9EVSC6UcHOxB&#10;mHcGK/yncgMmh3m5uYQCPEBd0MNC92UsxYotIDXXvLRJLXYyQsyByZlKQmEUn19HRMUiwCqAskxH&#10;jhZgylordi/p8ZyZ/FDvkDVL3Kk34+ytpDW9e+PhUpL9oKlelVRsBP+GjR7WF+BhHAzEHEwI06Lq&#10;JtLnrPzc0CgK0cjcy8J6QXGNpNLRk6xcc7fxZAemsyzoTW6NKssC+5J9s57pav22RzB+WkY21Rce&#10;l4g14sWYSmWUqY/1CqEqXgldfoijW4mjZtnZEWgKsmn3Fc+g3GVpycJ4bxfTw1LR8agM0+bmqLva&#10;BtNsIJ3BokMz1ydRaxKcUZ48kx4vbCB4TWNOMRbtrox1Q90LZOsYJ71RU8cOqJWakGgRoGZ4vPny&#10;OtfvTVtz4fgJwvthmh1RoWL4hqWTwrKOUYMnqiel5wcy5uUwIQrFlIksG6nMPevsZOD32qweBaHG&#10;sFcswpQINXcRO3TWMlYS9cX23IWr69LlonSDrcSSUuPObCp9W+0SltFCYtSfFdTOElK7hJZsNCix&#10;HTMQMm/4+qc1zHON1VhIHyfI38UoIuPMN6gDnqtaWQ4rQcsajomIKTOYAf0tIOZrjlA5NYNVXU8/&#10;aJR1stJXWNUQwR5x3avh4mD1GAp7QOu6wTE1J3hShLTgaJJsm5slLtC6OY2UvJXXvRjYcXJH2KKm&#10;Sx+ocdgabo1xpr9S0jPo5EGAkHeUVbFvpwQ7GB24Pa2F55DMYDJDVmaQOnBTChs7SzH0j/8uP6kM&#10;7l94Rv7aGpXoPKesjWsOKnkCIZTEY9ukcwJAq92tweIyL2Ssllb8auo65cNuMbjjMH60yYUWaF2Z&#10;PVNWe38zICDPIjM1eh7B1OBmNvoIPD8IT5vbcBeND2mJYmllGfPF5qrhtHGtlQ2Z2KIogazCtICL&#10;wqFhfUmQsI+sTRhFUNLcN7bcEFUGTwWogyh1x7JcefYzBiiDNYVprr4kt/CwARVhEUG90QpGle3v&#10;VLvbg+VVeqZ2UC0CTMsHVWRPHldgQ8Vdxf5a18JHxRc5w0JejWCjdqwVoRbdhkLZbknQSaaDelKp&#10;P7um79727nkKDx3DaBGsphlpUA6uuKS+BQvY4Hp3FxJT//8zpSmU5mp5BwAAAABJRU5ErkJgglBL&#10;AQItABQABgAIAAAAIQCxgme2CgEAABMCAAATAAAAAAAAAAAAAAAAAAAAAABbQ29udGVudF9UeXBl&#10;c10ueG1sUEsBAi0AFAAGAAgAAAAhADj9If/WAAAAlAEAAAsAAAAAAAAAAAAAAAAAOwEAAF9yZWxz&#10;Ly5yZWxzUEsBAi0AFAAGAAgAAAAhAFooa0RyBwAAzCgAAA4AAAAAAAAAAAAAAAAAOgIAAGRycy9l&#10;Mm9Eb2MueG1sUEsBAi0AFAAGAAgAAAAhAKomDr68AAAAIQEAABkAAAAAAAAAAAAAAAAA2AkAAGRy&#10;cy9fcmVscy9lMm9Eb2MueG1sLnJlbHNQSwECLQAUAAYACAAAACEAcwQ8p+EAAAAOAQAADwAAAAAA&#10;AAAAAAAAAADLCgAAZHJzL2Rvd25yZXYueG1sUEsBAi0ACgAAAAAAAAAhAAx1seFXgwAAV4MAABQA&#10;AAAAAAAAAAAAAAAA2QsAAGRycy9tZWRpYS9pbWFnZTEucG5nUEsFBgAAAAAGAAYAfAEAAGKPAAAA&#10;AA==&#10;">
                <v:group id="42 Grupo" o:spid="_x0000_s1189" style="position:absolute;width:57877;height:31592" coordsize="57877,3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Imagen 1" o:spid="_x0000_s1190" type="#_x0000_t75" style="position:absolute;left:16735;width:21480;height:30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mKtvwAAANwAAAAPAAAAZHJzL2Rvd25yZXYueG1sRE9LasMw&#10;EN0Hegcxhe4ayV6U1I1inJaSbuvkAIM1tUyskZEUx7l9VShkN4/3nW29uFHMFOLgWUOxViCIO28G&#10;7jWcjp/PGxAxIRscPZOGG0Wodw+rLVbGX/mb5jb1IodwrFCDTWmqpIydJYdx7SfizP344DBlGHpp&#10;Al5zuBtlqdSLdDhwbrA40bul7txenIaPsmhPQeI+cGisUpfD3NwOWj89Ls0biERLuov/3V8mz38t&#10;4e+ZfIHc/QIAAP//AwBQSwECLQAUAAYACAAAACEA2+H2y+4AAACFAQAAEwAAAAAAAAAAAAAAAAAA&#10;AAAAW0NvbnRlbnRfVHlwZXNdLnhtbFBLAQItABQABgAIAAAAIQBa9CxbvwAAABUBAAALAAAAAAAA&#10;AAAAAAAAAB8BAABfcmVscy8ucmVsc1BLAQItABQABgAIAAAAIQCsMmKtvwAAANwAAAAPAAAAAAAA&#10;AAAAAAAAAAcCAABkcnMvZG93bnJldi54bWxQSwUGAAAAAAMAAwC3AAAA8wIAAAAA&#10;">
                    <v:imagedata r:id="rId1260" o:title=""/>
                    <v:path arrowok="t"/>
                  </v:shape>
                  <v:group id="41 Grupo" o:spid="_x0000_s1191" style="position:absolute;top:2803;width:57877;height:28789" coordorigin=",-905" coordsize="57877,2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group id="15 Grupo" o:spid="_x0000_s1192" style="position:absolute;left:434;top:-905;width:17158;height:3846" coordorigin="3,-905" coordsize="17158,3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5 Conector recto de flecha" o:spid="_x0000_s1193" type="#_x0000_t32" style="position:absolute;left:12163;top:1035;width:49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qAtxAAAANwAAAAPAAAAZHJzL2Rvd25yZXYueG1sRE9LawIx&#10;EL4X/A9hhN5qdgstdTWK2AcFL+3qweOwGTfrbibbJOq2v94UCr3Nx/ec+XKwnTiTD41jBfkkA0Fc&#10;Od1wrWC3fb17AhEissbOMSn4pgDLxehmjoV2F/6kcxlrkUI4FKjAxNgXUobKkMUwcT1x4g7OW4wJ&#10;+lpqj5cUbjt5n2WP0mLDqcFgT2tDVVuerALfvuXlz2b/8lFja075YTt9/joqdTseVjMQkYb4L/5z&#10;v+s0f/oAv8+kC+TiCgAA//8DAFBLAQItABQABgAIAAAAIQDb4fbL7gAAAIUBAAATAAAAAAAAAAAA&#10;AAAAAAAAAABbQ29udGVudF9UeXBlc10ueG1sUEsBAi0AFAAGAAgAAAAhAFr0LFu/AAAAFQEAAAsA&#10;AAAAAAAAAAAAAAAAHwEAAF9yZWxzLy5yZWxzUEsBAi0AFAAGAAgAAAAhAMxOoC3EAAAA3AAAAA8A&#10;AAAAAAAAAAAAAAAABwIAAGRycy9kb3ducmV2LnhtbFBLBQYAAAAAAwADALcAAAD4AgAAAAA=&#10;" stroked="f" strokeweight=".5pt">
                        <v:stroke endarrow="open" joinstyle="miter"/>
                      </v:shape>
                      <v:shape id="6 Cuadro de texto" o:spid="_x0000_s1194" type="#_x0000_t202" style="position:absolute;left:3;top:-905;width:12160;height:3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j7xAAAANwAAAAPAAAAZHJzL2Rvd25yZXYueG1sRE9Na8JA&#10;EL0X+h+WKfRWN+1BNLqKSEsVGqxR8DpkxySanQ27WxP99d2C0Ns83udM571pxIWcry0reB0kIIgL&#10;q2suFex3Hy8jED4ga2wsk4IreZjPHh+mmGrb8ZYueShFDGGfooIqhDaV0hcVGfQD2xJH7midwRCh&#10;K6V22MVw08i3JBlKgzXHhgpbWlZUnPMfo+DQ5Z9us16fvttVdtvc8uyL3jOlnp/6xQREoD78i+/u&#10;lY7zx0P4eyZeIGe/AAAA//8DAFBLAQItABQABgAIAAAAIQDb4fbL7gAAAIUBAAATAAAAAAAAAAAA&#10;AAAAAAAAAABbQ29udGVudF9UeXBlc10ueG1sUEsBAi0AFAAGAAgAAAAhAFr0LFu/AAAAFQEAAAsA&#10;AAAAAAAAAAAAAAAAHwEAAF9yZWxzLy5yZWxzUEsBAi0AFAAGAAgAAAAhADET6PvEAAAA3AAAAA8A&#10;AAAAAAAAAAAAAAAABwIAAGRycy9kb3ducmV2LnhtbFBLBQYAAAAAAwADALcAAAD4AgAAAAA=&#10;" fillcolor="window" stroked="f" strokeweight=".5pt">
                        <v:textbox>
                          <w:txbxContent>
                            <w:p w:rsidR="00C20C0F" w:rsidRDefault="00C20C0F" w:rsidP="00C932A6">
                              <w:pPr>
                                <w:jc w:val="center"/>
                              </w:pPr>
                              <w:r>
                                <w:t>Número atómico</w:t>
                              </w:r>
                            </w:p>
                          </w:txbxContent>
                        </v:textbox>
                      </v:shape>
                    </v:group>
                    <v:group id="13 Grupo" o:spid="_x0000_s1195" style="position:absolute;left:30710;top:18714;width:27167;height:8541" coordorigin=",-5" coordsize="27167,8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7 Cuadro de texto" o:spid="_x0000_s1196" type="#_x0000_t202" style="position:absolute;left:10605;top:-5;width:16562;height: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NkSxwAAANwAAAAPAAAAZHJzL2Rvd25yZXYueG1sRI9BS8NA&#10;EIXvhf6HZQq92U09FI3dFimKLRiqUfA6ZMckmp0Nu2sT++udg9DbDO/Ne9+st6Pr1IlCbD0bWC4y&#10;UMSVty3XBt7fHq9uQMWEbLHzTAZ+KcJ2M52sMbd+4Fc6lalWEsIxRwNNSn2udawachgXvicW7dMH&#10;h0nWUGsbcJBw1+nrLFtphy1LQ4M97RqqvssfZ+BjKJ/C8XD4eun3xfl4LotneiiMmc/G+ztQicZ0&#10;Mf9f763g3wqtPCMT6M0fAAAA//8DAFBLAQItABQABgAIAAAAIQDb4fbL7gAAAIUBAAATAAAAAAAA&#10;AAAAAAAAAAAAAABbQ29udGVudF9UeXBlc10ueG1sUEsBAi0AFAAGAAgAAAAhAFr0LFu/AAAAFQEA&#10;AAsAAAAAAAAAAAAAAAAAHwEAAF9yZWxzLy5yZWxzUEsBAi0AFAAGAAgAAAAhAC/A2RLHAAAA3AAA&#10;AA8AAAAAAAAAAAAAAAAABwIAAGRycy9kb3ducmV2LnhtbFBLBQYAAAAAAwADALcAAAD7AgAAAAA=&#10;" fillcolor="window" stroked="f" strokeweight=".5pt">
                        <v:textbox>
                          <w:txbxContent>
                            <w:p w:rsidR="00C20C0F" w:rsidRDefault="00C20C0F" w:rsidP="00C932A6">
                              <w:pPr>
                                <w:jc w:val="center"/>
                              </w:pPr>
                              <w:r>
                                <w:t>Configuración electrónica</w:t>
                              </w:r>
                            </w:p>
                          </w:txbxContent>
                        </v:textbox>
                      </v:shape>
                      <v:shape id="8 Conector recto de flecha" o:spid="_x0000_s1197" type="#_x0000_t32" style="position:absolute;top:1293;width:87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VC+wwAAANwAAAAPAAAAZHJzL2Rvd25yZXYueG1sRI9Pi8Iw&#10;EMXvC36HMIK3NVVhtdUo/kHY49Z68TY0Y1tsJqWJtX57Iwh7m+G9eb83q01vatFR6yrLCibjCARx&#10;bnXFhYJzdvxegHAeWWNtmRQ8ycFmPfhaYaLtg1PqTr4QIYRdggpK75tESpeXZNCNbUMctKttDfqw&#10;toXULT5CuKnlNIp+pMGKA6HEhvYl5bfT3QSuncu/Ls7SWRPPa3dJs2g3Oyg1GvbbJQhPvf83f65/&#10;dagfx/B+Jkwg1y8AAAD//wMAUEsBAi0AFAAGAAgAAAAhANvh9svuAAAAhQEAABMAAAAAAAAAAAAA&#10;AAAAAAAAAFtDb250ZW50X1R5cGVzXS54bWxQSwECLQAUAAYACAAAACEAWvQsW78AAAAVAQAACwAA&#10;AAAAAAAAAAAAAAAfAQAAX3JlbHMvLnJlbHNQSwECLQAUAAYACAAAACEAJVVQvsMAAADcAAAADwAA&#10;AAAAAAAAAAAAAAAHAgAAZHJzL2Rvd25yZXYueG1sUEsFBgAAAAADAAMAtwAAAPcCAAAAAA==&#10;" stroked="f" strokeweight=".5pt">
                        <v:stroke endarrow="open" joinstyle="miter"/>
                      </v:shape>
                    </v:group>
                    <v:group id="16 Grupo" o:spid="_x0000_s1198" style="position:absolute;top:22857;width:20697;height:5026" coordorigin=",-2" coordsize="20697,5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9 Cuadro de texto" o:spid="_x0000_s1199" type="#_x0000_t202" style="position:absolute;top:-2;width:15265;height:5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YR0xQAAANwAAAAPAAAAZHJzL2Rvd25yZXYueG1sRI9Ba8JA&#10;FITvBf/D8gq91Y0eikRXEalUocEaBa+P7DOJZt+G3a1J/fVuodDjMDPfMLNFbxpxI+drywpGwwQE&#10;cWF1zaWC42H9OgHhA7LGxjIp+CEPi/ngaYapth3v6ZaHUkQI+xQVVCG0qZS+qMigH9qWOHpn6wyG&#10;KF0ptcMuwk0jx0nyJg3WHBcqbGlVUXHNv42CU5d/uN12e/lqN9l9d8+zT3rPlHp57pdTEIH68B/+&#10;a2+0gnEygt8z8QjI+QMAAP//AwBQSwECLQAUAAYACAAAACEA2+H2y+4AAACFAQAAEwAAAAAAAAAA&#10;AAAAAAAAAAAAW0NvbnRlbnRfVHlwZXNdLnhtbFBLAQItABQABgAIAAAAIQBa9CxbvwAAABUBAAAL&#10;AAAAAAAAAAAAAAAAAB8BAABfcmVscy8ucmVsc1BLAQItABQABgAIAAAAIQCN1YR0xQAAANwAAAAP&#10;AAAAAAAAAAAAAAAAAAcCAABkcnMvZG93bnJldi54bWxQSwUGAAAAAAMAAwC3AAAA+QIAAAAA&#10;" fillcolor="window" stroked="f" strokeweight=".5pt">
                        <v:textbox>
                          <w:txbxContent>
                            <w:p w:rsidR="00C20C0F" w:rsidRDefault="00C20C0F" w:rsidP="00C932A6">
                              <w:pPr>
                                <w:jc w:val="center"/>
                              </w:pPr>
                              <w:r>
                                <w:t>Nombre del elemento</w:t>
                              </w:r>
                            </w:p>
                          </w:txbxContent>
                        </v:textbox>
                      </v:shape>
                      <v:shape id="10 Conector recto de flecha" o:spid="_x0000_s1200" type="#_x0000_t32" style="position:absolute;left:15700;top:1380;width:49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MyixgAAANwAAAAPAAAAZHJzL2Rvd25yZXYueG1sRI/BTsMw&#10;EETvlfgHa5G4tU5yQDTUrRDQqhIXmnLguIq3cUi8Drbbpnw9RqrEcTQzbzSL1Wh7cSIfWscK8lkG&#10;grh2uuVGwcd+PX0AESKyxt4xKbhQgNXyZrLAUrsz7+hUxUYkCIcSFZgYh1LKUBuyGGZuIE7ewXmL&#10;MUnfSO3xnOC2l0WW3UuLLacFgwM9G6q76mgV+G6TVz9vn6/vDXbmmB/285fvL6XubsenRxCRxvgf&#10;vra3WkGRFfB3Jh0BufwFAAD//wMAUEsBAi0AFAAGAAgAAAAhANvh9svuAAAAhQEAABMAAAAAAAAA&#10;AAAAAAAAAAAAAFtDb250ZW50X1R5cGVzXS54bWxQSwECLQAUAAYACAAAACEAWvQsW78AAAAVAQAA&#10;CwAAAAAAAAAAAAAAAAAfAQAAX3JlbHMvLnJlbHNQSwECLQAUAAYACAAAACEAcIjMosYAAADcAAAA&#10;DwAAAAAAAAAAAAAAAAAHAgAAZHJzL2Rvd25yZXYueG1sUEsFBgAAAAADAAMAtwAAAPoCAAAAAA==&#10;" stroked="f" strokeweight=".5pt">
                        <v:stroke endarrow="open" joinstyle="miter"/>
                      </v:shape>
                    </v:group>
                    <v:group id="14 Grupo" o:spid="_x0000_s1201" style="position:absolute;left:31572;top:6898;width:17630;height:7111" coordorigin=",-2" coordsize="17629,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11 Conector recto de flecha" o:spid="_x0000_s1202" type="#_x0000_t32" style="position:absolute;top:1466;width:87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wvbxAAAANwAAAAPAAAAZHJzL2Rvd25yZXYueG1sRI/NasJA&#10;FIX3gu8wXKE7namWqtFJ0JZCl03ixt0lc01CM3dCZhrTt+8UCl0ezs/HOWaT7cRIg28da3hcKRDE&#10;lTMt1xou5dtyB8IHZIOdY9LwTR6ydD47YmLcnXMai1CLOMI+QQ1NCH0ipa8asuhXrieO3s0NFkOU&#10;Qy3NgPc4bju5VupZWmw5Ehrs6aWh6rP4spHrtvJj3Jf5pt9vO3/NS3XevGr9sJhOBxCBpvAf/mu/&#10;Gw1r9QS/Z+IRkOkPAAAA//8DAFBLAQItABQABgAIAAAAIQDb4fbL7gAAAIUBAAATAAAAAAAAAAAA&#10;AAAAAAAAAABbQ29udGVudF9UeXBlc10ueG1sUEsBAi0AFAAGAAgAAAAhAFr0LFu/AAAAFQEAAAsA&#10;AAAAAAAAAAAAAAAAHwEAAF9yZWxzLy5yZWxzUEsBAi0AFAAGAAgAAAAhAPh7C9vEAAAA3AAAAA8A&#10;AAAAAAAAAAAAAAAABwIAAGRycy9kb3ducmV2LnhtbFBLBQYAAAAAAwADALcAAAD4AgAAAAA=&#10;" stroked="f" strokeweight=".5pt">
                        <v:stroke endarrow="open" joinstyle="miter"/>
                      </v:shape>
                      <v:shape id="12 Cuadro de texto" o:spid="_x0000_s1203" type="#_x0000_t202" style="position:absolute;left:8798;top:-2;width:8831;height:7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oJ3xgAAANwAAAAPAAAAZHJzL2Rvd25yZXYueG1sRI9Ba8JA&#10;FITvhf6H5RV6q5sKFYmuItJShQZrFLw+ss8kmn0bdrcm+uu7BaHHYWa+Yabz3jTiQs7XlhW8DhIQ&#10;xIXVNZcK9ruPlzEIH5A1NpZJwZU8zGePD1NMte14S5c8lCJC2KeooAqhTaX0RUUG/cC2xNE7Wmcw&#10;ROlKqR12EW4aOUySkTRYc1yosKVlRcU5/zEKDl3+6Tbr9em7XWW3zS3Pvug9U+r5qV9MQATqw3/4&#10;3l5pBcPkDf7OxCMgZ78AAAD//wMAUEsBAi0AFAAGAAgAAAAhANvh9svuAAAAhQEAABMAAAAAAAAA&#10;AAAAAAAAAAAAAFtDb250ZW50X1R5cGVzXS54bWxQSwECLQAUAAYACAAAACEAWvQsW78AAAAVAQAA&#10;CwAAAAAAAAAAAAAAAAAfAQAAX3JlbHMvLnJlbHNQSwECLQAUAAYACAAAACEA8u6Cd8YAAADcAAAA&#10;DwAAAAAAAAAAAAAAAAAHAgAAZHJzL2Rvd25yZXYueG1sUEsFBgAAAAADAAMAtwAAAPoCAAAAAA==&#10;" fillcolor="window" stroked="f" strokeweight=".5pt">
                        <v:textbox>
                          <w:txbxContent>
                            <w:p w:rsidR="00C20C0F" w:rsidRDefault="00C20C0F" w:rsidP="00C932A6">
                              <w:pPr>
                                <w:jc w:val="center"/>
                              </w:pPr>
                              <w:r>
                                <w:t>Símbolo</w:t>
                              </w:r>
                            </w:p>
                          </w:txbxContent>
                        </v:textbox>
                      </v:shape>
                    </v:group>
                  </v:group>
                </v:group>
                <v:group id="57 Grupo" o:spid="_x0000_s1204" style="position:absolute;left:12594;top:4744;width:29159;height:23205" coordsize="29158,2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53 Conector recto de flecha" o:spid="_x0000_s1205" type="#_x0000_t32" style="position:absolute;width:500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l/XxAAAANwAAAAPAAAAZHJzL2Rvd25yZXYueG1sRI9Ba8JA&#10;FITvBf/D8gRvdVOFJkRXEUGI9FCMXrw9ss8kNPs2ZNdk+++7hUKPw8x8w2z3wXRipMG1lhW8LRMQ&#10;xJXVLdcKbtfTawbCeWSNnWVS8E0O9rvZyxZzbSe+0Fj6WkQIuxwVNN73uZSuasigW9qeOHoPOxj0&#10;UQ611ANOEW46uUqSd2mw5bjQYE/Hhqqv8mkU3MOj/MjO9hNDe+kP6T0U6ywotZiHwwaEp+D/w3/t&#10;QitYJSn8nolHQO5+AAAA//8DAFBLAQItABQABgAIAAAAIQDb4fbL7gAAAIUBAAATAAAAAAAAAAAA&#10;AAAAAAAAAABbQ29udGVudF9UeXBlc10ueG1sUEsBAi0AFAAGAAgAAAAhAFr0LFu/AAAAFQEAAAsA&#10;AAAAAAAAAAAAAAAAHwEAAF9yZWxzLy5yZWxzUEsBAi0AFAAGAAgAAAAhAOpqX9fEAAAA3AAAAA8A&#10;AAAAAAAAAAAAAAAABwIAAGRycy9kb3ducmV2LnhtbFBLBQYAAAAAAwADALcAAAD4AgAAAAA=&#10;" strokecolor="#4472c4" strokeweight=".5pt">
                    <v:stroke endarrow="open" joinstyle="miter"/>
                  </v:shape>
                  <v:shape id="54 Conector recto de flecha" o:spid="_x0000_s1206" type="#_x0000_t32" style="position:absolute;left:2501;top:23205;width:49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culvwAAANwAAAAPAAAAZHJzL2Rvd25yZXYueG1sRE9Ni8Iw&#10;EL0L/ocwgjebquCWahQRBGUPYvXibWjGtthMShM1/ntzWNjj432vNsG04kW9aywrmCYpCOLS6oYr&#10;BdfLfpKBcB5ZY2uZFHzIwWY9HKww1/bNZ3oVvhIxhF2OCmrvu1xKV9Zk0CW2I47c3fYGfYR9JXWP&#10;7xhuWjlL04U02HBsqLGjXU3lo3gaBbdwL36zoz1haM7d9ucWDvMsKDUehe0ShKfg/8V/7oNWMEvj&#10;2ngmHgG5/gIAAP//AwBQSwECLQAUAAYACAAAACEA2+H2y+4AAACFAQAAEwAAAAAAAAAAAAAAAAAA&#10;AAAAW0NvbnRlbnRfVHlwZXNdLnhtbFBLAQItABQABgAIAAAAIQBa9CxbvwAAABUBAAALAAAAAAAA&#10;AAAAAAAAAB8BAABfcmVscy8ucmVsc1BLAQItABQABgAIAAAAIQCb9culvwAAANwAAAAPAAAAAAAA&#10;AAAAAAAAAAcCAABkcnMvZG93bnJldi54bWxQSwUGAAAAAAMAAwC3AAAA8wIAAAAA&#10;" strokecolor="#4472c4" strokeweight=".5pt">
                    <v:stroke endarrow="open" joinstyle="miter"/>
                  </v:shape>
                  <v:shape id="55 Conector recto de flecha" o:spid="_x0000_s1207" type="#_x0000_t32" style="position:absolute;left:20444;top:7332;width:8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8huxgAAANwAAAAPAAAAZHJzL2Rvd25yZXYueG1sRI9Pa8JA&#10;FMTvQr/D8gRvutGCtDEbaS1FL9b/h94e2WcSzL5Ns2uM394tFHocZuY3TDLvTCVaalxpWcF4FIEg&#10;zqwuOVdwPHwOX0A4j6yxskwK7uRgnj71Eoy1vfGO2r3PRYCwi1FB4X0dS+myggy6ka2Jg3e2jUEf&#10;ZJNL3eAtwE0lJ1E0lQZLDgsF1rQoKLvsr0bB18fKPstt67any3r5vVxsft5PZ6UG/e5tBsJT5//D&#10;f+2VVjCJXuH3TDgCMn0AAAD//wMAUEsBAi0AFAAGAAgAAAAhANvh9svuAAAAhQEAABMAAAAAAAAA&#10;AAAAAAAAAAAAAFtDb250ZW50X1R5cGVzXS54bWxQSwECLQAUAAYACAAAACEAWvQsW78AAAAVAQAA&#10;CwAAAAAAAAAAAAAAAAAfAQAAX3JlbHMvLnJlbHNQSwECLQAUAAYACAAAACEAmZPIbsYAAADcAAAA&#10;DwAAAAAAAAAAAAAAAAAHAgAAZHJzL2Rvd25yZXYueG1sUEsFBgAAAAADAAMAtwAAAPoCAAAAAA==&#10;" strokecolor="#4472c4" strokeweight=".5pt">
                    <v:stroke endarrow="open" joinstyle="miter"/>
                  </v:shape>
                  <v:shape id="56 Conector recto de flecha" o:spid="_x0000_s1208" type="#_x0000_t32" style="position:absolute;left:17080;top:18978;width:120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PcuwwAAANwAAAAPAAAAZHJzL2Rvd25yZXYueG1sRE/LisIw&#10;FN0L/kO4wuw0VWGQapQZRXQzPuq4mN2lubbF5qY2mVr/3iwEl4fzni1aU4qGaldYVjAcRCCIU6sL&#10;zhT8ntb9CQjnkTWWlknBgxws5t3ODGNt73ykJvGZCCHsYlSQe1/FUro0J4NuYCviwF1sbdAHWGdS&#10;13gP4aaUoyj6lAYLDg05VrTMKb0m/0bBbrW1Y3lo3OF8/dn8bZb72/f5otRHr/2agvDU+rf45d5q&#10;BaNhmB/OhCMg508AAAD//wMAUEsBAi0AFAAGAAgAAAAhANvh9svuAAAAhQEAABMAAAAAAAAAAAAA&#10;AAAAAAAAAFtDb250ZW50X1R5cGVzXS54bWxQSwECLQAUAAYACAAAACEAWvQsW78AAAAVAQAACwAA&#10;AAAAAAAAAAAAAAAfAQAAX3JlbHMvLnJlbHNQSwECLQAUAAYACAAAACEAjXD3LsMAAADcAAAADwAA&#10;AAAAAAAAAAAAAAAHAgAAZHJzL2Rvd25yZXYueG1sUEsFBgAAAAADAAMAtwAAAPcCAAAAAA==&#10;" strokecolor="#4472c4" strokeweight=".5pt">
                    <v:stroke endarrow="open" joinstyle="miter"/>
                  </v:shape>
                </v:group>
              </v:group>
            </w:pict>
          </mc:Fallback>
        </mc:AlternateContent>
      </w:r>
    </w:p>
    <w:p w:rsidR="00C932A6" w:rsidRDefault="00C932A6" w:rsidP="00C932A6">
      <w:pPr>
        <w:autoSpaceDE w:val="0"/>
        <w:autoSpaceDN w:val="0"/>
        <w:adjustRightInd w:val="0"/>
        <w:spacing w:after="42"/>
        <w:jc w:val="both"/>
        <w:rPr>
          <w:rFonts w:ascii="Arial" w:hAnsi="Arial" w:cs="Arial"/>
          <w:szCs w:val="23"/>
        </w:rPr>
      </w:pPr>
      <w:r>
        <w:rPr>
          <w:noProof/>
          <w:lang w:val="en-US"/>
        </w:rPr>
        <mc:AlternateContent>
          <mc:Choice Requires="wpg">
            <w:drawing>
              <wp:anchor distT="0" distB="0" distL="114300" distR="114300" simplePos="0" relativeHeight="251828224" behindDoc="1" locked="0" layoutInCell="1" allowOverlap="1" wp14:anchorId="3ACAF93B" wp14:editId="17C82A2C">
                <wp:simplePos x="0" y="0"/>
                <wp:positionH relativeFrom="column">
                  <wp:posOffset>1397000</wp:posOffset>
                </wp:positionH>
                <wp:positionV relativeFrom="paragraph">
                  <wp:posOffset>6667500</wp:posOffset>
                </wp:positionV>
                <wp:extent cx="5462270" cy="2154555"/>
                <wp:effectExtent l="0" t="0" r="0" b="0"/>
                <wp:wrapNone/>
                <wp:docPr id="179" name="58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2270" cy="2154555"/>
                          <a:chOff x="0" y="0"/>
                          <a:chExt cx="5787786" cy="3159298"/>
                        </a:xfrm>
                      </wpg:grpSpPr>
                      <wpg:grpSp>
                        <wpg:cNvPr id="180" name="42 Grupo"/>
                        <wpg:cNvGrpSpPr/>
                        <wpg:grpSpPr>
                          <a:xfrm>
                            <a:off x="0" y="0"/>
                            <a:ext cx="5787786" cy="3159298"/>
                            <a:chOff x="0" y="0"/>
                            <a:chExt cx="5787786" cy="3159298"/>
                          </a:xfrm>
                        </wpg:grpSpPr>
                        <pic:pic xmlns:pic="http://schemas.openxmlformats.org/drawingml/2006/picture">
                          <pic:nvPicPr>
                            <pic:cNvPr id="181" name="Imagen 1"/>
                            <pic:cNvPicPr>
                              <a:picLocks noChangeAspect="1"/>
                            </pic:cNvPicPr>
                          </pic:nvPicPr>
                          <pic:blipFill>
                            <a:blip r:embed="rId1259"/>
                            <a:stretch>
                              <a:fillRect/>
                            </a:stretch>
                          </pic:blipFill>
                          <pic:spPr>
                            <a:xfrm>
                              <a:off x="1673525" y="0"/>
                              <a:ext cx="2147977" cy="3096883"/>
                            </a:xfrm>
                            <a:prstGeom prst="rect">
                              <a:avLst/>
                            </a:prstGeom>
                            <a:ln>
                              <a:noFill/>
                            </a:ln>
                          </pic:spPr>
                        </pic:pic>
                        <wpg:grpSp>
                          <wpg:cNvPr id="182" name="41 Grupo"/>
                          <wpg:cNvGrpSpPr/>
                          <wpg:grpSpPr>
                            <a:xfrm>
                              <a:off x="0" y="280388"/>
                              <a:ext cx="5787786" cy="2878910"/>
                              <a:chOff x="0" y="-90548"/>
                              <a:chExt cx="5787786" cy="2878910"/>
                            </a:xfrm>
                          </wpg:grpSpPr>
                          <wpg:grpSp>
                            <wpg:cNvPr id="183" name="15 Grupo"/>
                            <wpg:cNvGrpSpPr/>
                            <wpg:grpSpPr>
                              <a:xfrm>
                                <a:off x="43432" y="-90548"/>
                                <a:ext cx="1715854" cy="384711"/>
                                <a:chOff x="300" y="-90548"/>
                                <a:chExt cx="1715854" cy="384711"/>
                              </a:xfrm>
                            </wpg:grpSpPr>
                            <wps:wsp>
                              <wps:cNvPr id="184" name="5 Conector recto de flecha"/>
                              <wps:cNvCnPr/>
                              <wps:spPr>
                                <a:xfrm flipH="1">
                                  <a:off x="1216325" y="103517"/>
                                  <a:ext cx="499829" cy="0"/>
                                </a:xfrm>
                                <a:prstGeom prst="straightConnector1">
                                  <a:avLst/>
                                </a:prstGeom>
                                <a:noFill/>
                                <a:ln w="9525" cap="flat" cmpd="sng" algn="ctr">
                                  <a:noFill/>
                                  <a:prstDash val="solid"/>
                                  <a:tailEnd type="arrow"/>
                                </a:ln>
                                <a:effectLst/>
                              </wps:spPr>
                              <wps:bodyPr/>
                            </wps:wsp>
                            <wps:wsp>
                              <wps:cNvPr id="185" name="6 Cuadro de texto"/>
                              <wps:cNvSpPr txBox="1"/>
                              <wps:spPr>
                                <a:xfrm>
                                  <a:off x="300" y="-90548"/>
                                  <a:ext cx="1216025" cy="384711"/>
                                </a:xfrm>
                                <a:prstGeom prst="rect">
                                  <a:avLst/>
                                </a:prstGeom>
                                <a:solidFill>
                                  <a:sysClr val="window" lastClr="FFFFFF"/>
                                </a:solidFill>
                                <a:ln w="6350">
                                  <a:noFill/>
                                </a:ln>
                                <a:effectLst/>
                              </wps:spPr>
                              <wps:txbx>
                                <w:txbxContent>
                                  <w:p w:rsidR="00C20C0F" w:rsidRDefault="00C20C0F" w:rsidP="00C932A6">
                                    <w:pPr>
                                      <w:jc w:val="center"/>
                                    </w:pPr>
                                    <w:r>
                                      <w:t>Número atómico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6" name="13 Grupo"/>
                            <wpg:cNvGrpSpPr/>
                            <wpg:grpSpPr>
                              <a:xfrm>
                                <a:off x="3071004" y="1871412"/>
                                <a:ext cx="2716782" cy="854179"/>
                                <a:chOff x="0" y="-520"/>
                                <a:chExt cx="2716782" cy="854179"/>
                              </a:xfrm>
                            </wpg:grpSpPr>
                            <wps:wsp>
                              <wps:cNvPr id="187" name="7 Cuadro de texto"/>
                              <wps:cNvSpPr txBox="1"/>
                              <wps:spPr>
                                <a:xfrm>
                                  <a:off x="1060510" y="-520"/>
                                  <a:ext cx="1656272" cy="854179"/>
                                </a:xfrm>
                                <a:prstGeom prst="rect">
                                  <a:avLst/>
                                </a:prstGeom>
                                <a:solidFill>
                                  <a:sysClr val="window" lastClr="FFFFFF"/>
                                </a:solidFill>
                                <a:ln w="6350">
                                  <a:noFill/>
                                </a:ln>
                                <a:effectLst/>
                              </wps:spPr>
                              <wps:txbx>
                                <w:txbxContent>
                                  <w:p w:rsidR="00C20C0F" w:rsidRDefault="00C20C0F" w:rsidP="00C932A6">
                                    <w:pPr>
                                      <w:jc w:val="center"/>
                                    </w:pPr>
                                    <w:r>
                                      <w:t>Configuración electrónica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 name="8 Conector recto de flecha"/>
                              <wps:cNvCnPr/>
                              <wps:spPr>
                                <a:xfrm>
                                  <a:off x="0" y="129396"/>
                                  <a:ext cx="879895" cy="0"/>
                                </a:xfrm>
                                <a:prstGeom prst="straightConnector1">
                                  <a:avLst/>
                                </a:prstGeom>
                                <a:noFill/>
                                <a:ln w="9525" cap="flat" cmpd="sng" algn="ctr">
                                  <a:noFill/>
                                  <a:prstDash val="solid"/>
                                  <a:tailEnd type="arrow"/>
                                </a:ln>
                                <a:effectLst/>
                              </wps:spPr>
                              <wps:bodyPr/>
                            </wps:wsp>
                          </wpg:grpSp>
                          <wpg:grpSp>
                            <wpg:cNvPr id="189" name="16 Grupo"/>
                            <wpg:cNvGrpSpPr/>
                            <wpg:grpSpPr>
                              <a:xfrm>
                                <a:off x="0" y="2285720"/>
                                <a:ext cx="2069753" cy="502642"/>
                                <a:chOff x="0" y="-280"/>
                                <a:chExt cx="2069753" cy="502642"/>
                              </a:xfrm>
                            </wpg:grpSpPr>
                            <wps:wsp>
                              <wps:cNvPr id="211" name="9 Cuadro de texto"/>
                              <wps:cNvSpPr txBox="1"/>
                              <wps:spPr>
                                <a:xfrm>
                                  <a:off x="0" y="-280"/>
                                  <a:ext cx="1526540" cy="502642"/>
                                </a:xfrm>
                                <a:prstGeom prst="rect">
                                  <a:avLst/>
                                </a:prstGeom>
                                <a:solidFill>
                                  <a:sysClr val="window" lastClr="FFFFFF"/>
                                </a:solidFill>
                                <a:ln w="6350">
                                  <a:noFill/>
                                </a:ln>
                                <a:effectLst/>
                              </wps:spPr>
                              <wps:txbx>
                                <w:txbxContent>
                                  <w:p w:rsidR="00C20C0F" w:rsidRDefault="00C20C0F" w:rsidP="00C932A6">
                                    <w:pPr>
                                      <w:jc w:val="center"/>
                                    </w:pPr>
                                    <w:r>
                                      <w:t>Nombre del elemento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 name="10 Conector recto de flecha"/>
                              <wps:cNvCnPr/>
                              <wps:spPr>
                                <a:xfrm flipH="1">
                                  <a:off x="1570008" y="138023"/>
                                  <a:ext cx="499745" cy="0"/>
                                </a:xfrm>
                                <a:prstGeom prst="straightConnector1">
                                  <a:avLst/>
                                </a:prstGeom>
                                <a:noFill/>
                                <a:ln w="9525" cap="flat" cmpd="sng" algn="ctr">
                                  <a:noFill/>
                                  <a:prstDash val="solid"/>
                                  <a:tailEnd type="arrow"/>
                                </a:ln>
                                <a:effectLst/>
                              </wps:spPr>
                              <wps:bodyPr/>
                            </wps:wsp>
                          </wpg:grpSp>
                          <wpg:grpSp>
                            <wpg:cNvPr id="215" name="14 Grupo"/>
                            <wpg:cNvGrpSpPr/>
                            <wpg:grpSpPr>
                              <a:xfrm>
                                <a:off x="3157268" y="689868"/>
                                <a:ext cx="1762978" cy="711076"/>
                                <a:chOff x="0" y="-245"/>
                                <a:chExt cx="1762978" cy="711076"/>
                              </a:xfrm>
                            </wpg:grpSpPr>
                            <wps:wsp>
                              <wps:cNvPr id="216" name="11 Conector recto de flecha"/>
                              <wps:cNvCnPr/>
                              <wps:spPr>
                                <a:xfrm>
                                  <a:off x="0" y="146649"/>
                                  <a:ext cx="879475" cy="0"/>
                                </a:xfrm>
                                <a:prstGeom prst="straightConnector1">
                                  <a:avLst/>
                                </a:prstGeom>
                                <a:noFill/>
                                <a:ln w="9525" cap="flat" cmpd="sng" algn="ctr">
                                  <a:noFill/>
                                  <a:prstDash val="solid"/>
                                  <a:tailEnd type="arrow"/>
                                </a:ln>
                                <a:effectLst/>
                              </wps:spPr>
                              <wps:bodyPr/>
                            </wps:wsp>
                            <wps:wsp>
                              <wps:cNvPr id="217" name="12 Cuadro de texto"/>
                              <wps:cNvSpPr txBox="1"/>
                              <wps:spPr>
                                <a:xfrm>
                                  <a:off x="879829" y="-245"/>
                                  <a:ext cx="883149" cy="711076"/>
                                </a:xfrm>
                                <a:prstGeom prst="rect">
                                  <a:avLst/>
                                </a:prstGeom>
                                <a:solidFill>
                                  <a:sysClr val="window" lastClr="FFFFFF"/>
                                </a:solidFill>
                                <a:ln w="6350">
                                  <a:noFill/>
                                </a:ln>
                                <a:effectLst/>
                              </wps:spPr>
                              <wps:txbx>
                                <w:txbxContent>
                                  <w:p w:rsidR="00C20C0F" w:rsidRDefault="00C20C0F" w:rsidP="00C932A6">
                                    <w:pPr>
                                      <w:jc w:val="center"/>
                                    </w:pPr>
                                    <w:r>
                                      <w:t>Símbolo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218" name="57 Grupo"/>
                        <wpg:cNvGrpSpPr/>
                        <wpg:grpSpPr>
                          <a:xfrm>
                            <a:off x="1259457" y="474453"/>
                            <a:ext cx="2915891" cy="2320506"/>
                            <a:chOff x="0" y="0"/>
                            <a:chExt cx="2915891" cy="2320506"/>
                          </a:xfrm>
                        </wpg:grpSpPr>
                        <wps:wsp>
                          <wps:cNvPr id="219" name="53 Conector recto de flecha"/>
                          <wps:cNvCnPr/>
                          <wps:spPr>
                            <a:xfrm flipH="1">
                              <a:off x="0" y="0"/>
                              <a:ext cx="500103"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20" name="54 Conector recto de flecha"/>
                          <wps:cNvCnPr/>
                          <wps:spPr>
                            <a:xfrm flipH="1">
                              <a:off x="250166" y="2320506"/>
                              <a:ext cx="49974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21" name="55 Conector recto de flecha"/>
                          <wps:cNvCnPr/>
                          <wps:spPr>
                            <a:xfrm>
                              <a:off x="2044460" y="733245"/>
                              <a:ext cx="828102"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22" name="56 Conector recto de flecha"/>
                          <wps:cNvCnPr/>
                          <wps:spPr>
                            <a:xfrm>
                              <a:off x="1708030" y="1897811"/>
                              <a:ext cx="1207861" cy="0"/>
                            </a:xfrm>
                            <a:prstGeom prst="straightConnector1">
                              <a:avLst/>
                            </a:prstGeom>
                            <a:noFill/>
                            <a:ln w="9525" cap="flat" cmpd="sng" algn="ctr">
                              <a:solidFill>
                                <a:srgbClr val="4F81BD">
                                  <a:shade val="95000"/>
                                  <a:satMod val="105000"/>
                                </a:srgbClr>
                              </a:solidFill>
                              <a:prstDash val="solid"/>
                              <a:tailEnd type="arrow"/>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3ACAF93B" id="_x0000_s1209" style="position:absolute;left:0;text-align:left;margin-left:110pt;margin-top:525pt;width:430.1pt;height:169.65pt;z-index:-251488256;mso-width-relative:margin;mso-height-relative:margin" coordsize="57877,31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P/rgAcAAPgoAAAOAAAAZHJzL2Uyb0RvYy54bWzsWmtv3DYW/V5g/4Og&#10;78mIlKjHIE7h2nEaINsamxb9TGs0M0IlUUtpPPb++j18iBrNo2ltx21aG/CAEkXyPs4995LSm2/v&#10;6sq7LWRXiubMJ68D3yuaXCzKZnXm//zT1avU97qeNwteiaY48++Lzv/27b++ebNt5wUVa1EtCulh&#10;kqabb9szf9337Xw26/J1UfPutWiLBp1LIWve41KuZgvJt5i9rmY0COLZVshFK0VedB3uXppO/62e&#10;f7ks8v7H5bIreq868yFbr3+l/r1Rv7O3b/h8JXm7LnMrBn+AFDUvGyzqprrkPfc2sjyYqi5zKTqx&#10;7F/nop6J5bLMC60DtCHBnjbvpdi0WpfVfLtqnZlg2j07PXja/Ifba+mVC/guyXyv4TWcxFLvvdy0&#10;Qlln267meOi9bD+119KoiOZHkf/aoXu236+uV+PDd0tZq0HQ1LvTZr93Zi/uei/HTRbFlCbwTo4+&#10;SljEGDOOydfw3sG4fP1uGJmkSZLGZmRIWEazVI2c8blZWIvnxHGyObUG3VOsbnSP6CndrTHcbMMa&#10;n1HuhIh8/sTKtWU+x78FCVoHIPl8MGFUv5GFbyepf9ccNZe/btpXwHPL+/KmrMr+XscmkKuEam6v&#10;y1xBR13s4C0lg80/1HxVNB5RrhseMkO4UkljzWvExZo3q+K8axHVwKt29PTxmbqcrHdTle1VWVUK&#10;g6ptNQMD7EXQEeOY6LwU+aYumt7QjSwqKCmabl22ne/JeVHfFIge+WGhBeLzrpdFn6/Vgkss/B8I&#10;axDpOrSUo2BK5s7G1l64kDgJGWW+dxg0lERJliQW+kEWp2k4gT5MJ7v+fSFqTzUgIiSBS/ic337s&#10;rEzDI+p21ajfRihzGYnVHS2sEU83Ia2JHh0Hh4FEB6dG5JGBRNMgTHU487mjit1oommSZsRy+F40&#10;vcoCFtnBJ/hiZ/gf54twUJOwB6sZhVEIc8G3u9IOqpKEsJRF1sFplBALMKdpGIC19kaPup4Yf1JV&#10;5N9uCI9t2x0EyB9KMZ/WvC0ANkw0CXmoY1OMd4F6IO+F9BQuhbcovGVV5GuuQGyHXTTX0l7tBgge&#10;LNvvFQMowNrMQiiJQxsqJAgZSdREI3KiLEspMpzKMRoyzhAHgYJA5eVq3UNCI6JZ6ETYuIBREeRt&#10;z/xMR2zOUc0sQRZYsm7BEF2z8j1erVAm5b3Uou8MVYF4ybu1d8tRqXSiKhdG/p6X1btm4fX3LTIz&#10;l1JsVQekN/Fa6CLHBrSym7GUat2Ixb02ILKg9q4x7DO4GYxl3Bx7Fxu+kNq9PZBtSwoNik/gPK+/&#10;+06gBNDQHqU/SK3HoO4CBZ4PlOeVa0MXKKf9+zki1NYfkkZ3311U0rgFdecC5vcq3vW4eeZf6T/r&#10;j8kwA4U4ZMHU07/Hb/3dzZ0uyZgzi3GlJwV4HEHftflVCcR8hCDXXKJixU1U4f2P+FlWAigUtuV7&#10;ayH/d+y+eh5Rjl7f26ICBuz+u+Eq+1cfGsR/RqII0/b6ImIJxYXc7bnZ7Wk29YUAdJHUIZ1uquf7&#10;amgupah/QbF+rlZFF29yrH3mI0BM86LHFTpQ7OfF+blum6LiY/OpRSliwlBFyk93v3DZ2rymcPWD&#10;GBjnIL2ZZ01qO9/0Ylnq3DcGiC5ibXyM9aLJbCeSHCpOg28SPpj9wyAhQQBCBGpJmpCI0Clj0QTp&#10;P0WCULhGJlAFuqY0lwBgLHS9YvCM7XhnC+MTY11MjHqqwszSg9tffCHyR7FirJY8ESuQIA4YCoCp&#10;FRwvxCymyYH9nA0OeP/r4QWNlBHBL7yARP9FeeGZIgSHJSZC0keURztFkQkNQrMwi6fkkiZZmtmc&#10;+c8th0Ya/E26dwcjJH4w3RtXUJrqRDopTWkQZwnDjkIRPQtoHNlMsE/02BEdEP3xsY7kRg2fjegp&#10;NioWxtkTEb2leKe/o3hGY6aKlKnlnPZfMcXrzfwLxT9f6fcsFE9R5A2lY/AIjj++BWZJEATIIaqi&#10;DNOAagxNtsBJ9ML5e6fAR0t8nEI7P0UP5nycSCc0Ng6J0yxFc0L8JIlplqBf0RfOd4LEZukD4ofb&#10;9ir8E2Md9f0pxD/ui8gjwH1YwERxHNnNz0D9KGCi5B8P5mciLbdzI/SJMrqqP9VxnNq/0gHdzrdp&#10;SODvvbBw0P6Ks3qkwvglqz9fVh9pUB/z2HeT0/ZeQhhfUVHiNmQseXAWIJRlOD7TWI+SKEKlP8kC&#10;NMNBf4aaWWUBGtKABcfTwGHxf2Kki5RR+2es/t1uiYWPSAJHKxyzD7B2GNiCBXhzbndPf5Wt7OQs&#10;uJOrG3eGHF2l5LtLfSjcrTneeugD/wxKWLU63v9bLMxtAiyY+3CpnUaf/U/m/zu9O6DqlNmcgbDo&#10;qeFDWUBi1Cj7cTYgCe+I/nIF8sTTL0g69pnMcPSv8uoOeVN3DMHYI5C0U43SIIqi2JBQEoaHdQtN&#10;SWAPnF+Y6Ct/i0mp26ozvMZ88NvqHfyQJMA3DQY/JMXOb3ilPxAQoQE+Z7KlwAuCvhyCxsLIloL4&#10;vE4nVvspoPp+b/daPzV+sPj2/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HME&#10;PKfhAAAADgEAAA8AAABkcnMvZG93bnJldi54bWxMj8FqwzAQRO+F/oPYQG+NZJsU17EcQmh7CoUm&#10;hdKbYm1sE0sylmI7f9/1qbnNMo/ZmXwzmZYN2PvGWQnRUgBDWzrd2ErC9/H9OQXmg7Jatc6ihBt6&#10;2BSPD7nKtBvtFw6HUDEKsT5TEuoQuoxzX9ZolF+6Di15Z9cbFejsK657NVK4aXksxAs3qrH0oVYd&#10;7mosL4erkfAxqnGbRG/D/nLe3X6Pq8+ffYRSPi2m7RpYwCn8wzDXp+pQUKeTu1rtWSshpnhCyRCr&#10;Wc2ISEUM7EQqSV8T4EXO72cUfwAAAP//AwBQSwMECgAAAAAAAAAhAAx1seFXgwAAV4MAABQAAABk&#10;cnMvbWVkaWEvaW1hZ2UxLnBuZ4lQTkcNChoKAAAADUlIRFIAAADhAAABRQgCAAAAlSsdYQAAAAFz&#10;UkdCAK7OHOkAAIMRSURBVHhe7b0JoG1HVSZ8z7njmzIxNoL4/xiiKBJBaEQElRZnFIgoCCriAI2i&#10;ghMgMqrYgAyKiNhMAopEZFAIEGix1UaEVkDQ/IIyBiEkL+/deThn/2uuVcOeznDfewk7J/eds3ft&#10;qlWrvvrWqlW1aw9G+/sLcAzwDx38rYp/2lU7D0kqTFrRGfzjbsELA5en3d7viyus5cZBVVXDRZSB&#10;5ZGqWK2cMFGmddWpFsZjyBJzk89Y6gh3WBHHji0Mh1LvoMB+dZx96qgtOmUPsqsiqBotdXHJo+z5&#10;3gHpJ2k6l224gvipsDCGUDUQ3aLOqzEoXJQ/LMlUB9BEfMwzqxDJx2rqDrEaTYL4XZteVANY5Dvs&#10;SyYhZyr52g9MX+EHFEInB8MBZJV2Xckb/wF0wscObhdf5amr3wlfeSIUn6qPqtBPdEZ6sFYG2lET&#10;N2k8UlxWrAI01UI75KUxUPmhvVH5ejgty6lW1caw8b8Q+IROaavWrDq1QrNuXBbUJ7krF7EVkjIK&#10;QwsG6AELhPOaLBWT7l1extN5FQNYZ1P9TjqqS5TrLiBYFWXIqOWDHLlZUs62oBDGriMF6S2YXhus&#10;RnoVPsdoP51oO3ijSdZQfIAZsKkJ1ABWKR7+cf0vwqT8qFG36FzIgHSH36k3O44JDsxgYWm53VAY&#10;Xs8CuPZpV99965Drzgedcz1zJXPhPivr/w2qETEAo1Ppj+09HeJVqDtiruEsYWp1LeMVO4ZXEHw3&#10;36OtjbTDByWz6uWv7ylAoksLQ8fEbXmLehJnoMtdh5qmjgSaEcLIy6GsDVFLz3RXyimF1MSjYqNz&#10;feRK9WdozGQQFytPZw6xMdI+C3UJfpjTXUHPpo4E1k4PkQY1PZxcXo3qmPCO5Vc878l1Kn6YCX69&#10;iBNlWAAV1SpAtw7EdcVJjpax2foGYJUsVhjO8ziXSRS/0y8mUTfK9o0xh4ZximIF8QkzPXWDr/Q+&#10;FS1GviGVv6yshPybemMNgSTALTLDRGiZ6Kbp6cR05doVq946KijKW5DH+6OKKqZV+/isAv64n6hY&#10;QqISlRHABpkTVM4BpGLjuWSDqaHEeiAXnSsilzAXknJbXERPNDnmUqGJIHeoN6U2TOHgO2eTpY+C&#10;P3U6hKBi4o5qJwc7jg2Jw1wfJjQpGKwCCMUkI5WJVFB7qDrDzhukitiUqsOHtxgK2drupLfwv8Cj&#10;K6vlKk3PR4etqlmUlyLQA617x5VWEKQxqNAgix0Gzx9RqB8dY3geBQcv+hBqpaXdl8j6K1tNNyCb&#10;TIuDamzFa5hQfZFIhwzWbEjn8eorBapaXS3HDUxQn38zg0xWt3nd1R1PiQSxpeoczja6KFQoojcU&#10;LIk9CTaNRJ3JN9iK3xmGzIx641TviU5c9+kaA2EaiNyi2YHmXTRDzIWLAJjpMMeaIvbAoBjhbzvO&#10;UJXbxJrT9by2eqZdD2rECDlEombobHoPz4Ct9zN+3b5LQCckdgANFBYGUnPST2O2NTD1LlQwzyI/&#10;qcJ8Gx7+4QE+qIyT2hWP6V13PhNVn6zMblWbLO/8LkEkFcqzoKw4Ok//hRA7x0fZZPf6qJWMGDSS&#10;RVv4cCvvRACYilvCPTSaf9J0ZO7J1UFfNnK+oQJwy9ISDZIA3NbvO9eoc8JZNf0Zy0esVkcSzSeY&#10;zO9iN9RaB5uHxkzUTr2Rqm6thpm4J7jQfYzYwmC6t0b7tznAzq1O0ICIY1P8St1YPCuRn0oaDwCg&#10;vFQlPbpIwiShn96VPfwbulTKc0CumNgHF+DmFfEhP0eigUqNRxGvg/H2VgBtvZDJAEC5WalF/nX3&#10;4zTMcABunCxuCCigmk20KoqJbdIDlozQrW1FQynj0cLBXrW3Ozx6ohoUMWpCNMhD1WxsoHJVau6b&#10;tN697itWp74ieIWDkNwXs9s5UBqOhGidcwW341IzQifTipr+IY3x+dBeXzL6Lhm7DI4vc4BGaqmJ&#10;T3ClDvHQ2MUYdCHDee1iwZjApfF4MKL1iljHsQtaFWXtX4dDr3gfHfepTkib3NX809odkwk4cNka&#10;iWnYU4CyrY/dUGm/Gt9UYzhGvSFrPqVOqK3HaAlHnIkG03AbeKtj8gToC4YCSBqaSmWyrUYjJopG&#10;9p6oDnxTH0j0gdo0aSeWqU5JcXzKZ2/DUoONXyNBeIL/Yoy2AFQ91wDrBJdUvoOpa9wOrXzobWYF&#10;piUzROHv+KBza0/atDME66QidK5jkjAvj894d1OoK+uOMjAy/gxB+2CihRxijDaM7o2HvZwhOx3m&#10;o4S8wHaKih+WrutkZM91ACEncEx7cN10nWyGYJ1U98E8TpJD4jlZZjxm94qUlBJySgfyTHzB7nuM&#10;qrFLkMrZi1PsPIbAl547rXL5sqs+9T6sBivbcY7VD4f0xALPWnU/ZtHDJstjYl4oVK6jBA3JvJVC&#10;0PHEkEBVwONC7J7vBKT8D/ijBkGHXM2L0cnZagQrr4+VZ5QDa4O58acYhks5HXXVHUKllGnjMo8C&#10;UnmM2dsoTCk0u0zTVelw7jbqNHGD2KxUpcwCjYabY2EdjoliOT6qTFka0YfwZ12yRKPmzIWmna6D&#10;HwqnxiJSDyOnpQKXlK71rMMsIGYVn0Vm/UHbpVRKY2g01DGpuSP8ML7DJEZ8eqecUbalHAajUyfd&#10;KCex2uZWWisliwK1aPgXqHxvf/9d7wYfDgKjOMsavFJcjbHybd/KMoNck7mr0Y09IdO9hVjrg9Ee&#10;WPnx3i6EeAdrJ4q0RpXuQnl9ZbWMu3B+95pNkNLqV6wCWWqwNnAxtdSK3OQ+Nrk4zcRjJrH1vOhY&#10;Y4J8Ej1PDpcORtdfJ7J7/9JXx0LfUm5Z46NPfmrrsb88/teripoY3PSm5//9X7tLfZutHtxdckJV&#10;dknnBAT6HI+qgwPg0eHR84o06qHUxjm9Sm/EqMmYZ9ntvp5QRQDWWhFAEg+RCxjlcoiORDsOoIhP&#10;tt74RUL3wYzT0EhD+vysiNFnFBaVNRUy7NIcg+cbbPDeW9++cdlD6gBaUkpbm3ZXZJCi+z0dUuqw&#10;CTs3uqRTHizlTI85ZFnTUo0dLAo10hgkEsxG2/S8LTMoQ07+5mqRBGajebEZn5WQVSRoGH/xaRdH&#10;YNDu7m4/9de3f/HxC1s2p9qxJWYNrtligDBKQz+yO33d0bIOZitiRz1Pn6xebFBQFDligNAQPjbL&#10;CHM27gk0KX0KwsC7+C1dh1+oUA5TodKF0cc/sfGQH9173eu7qYEGItLY9oVFnhEnzCgbrY4Om0Yy&#10;bOpWzeZUs4bprPMrSd/AoxTijPow7z6Ch6wjU3JLARqimX7wZOUHuu2waDdIHQVj9/7yrRsPeuj4&#10;qn/r23JOqx61swPrrJqNI1Cw7gkj+UiqtJEJfnS+tG/Vrblm3JlEjl5Obw/ZGxUKA2RjMSdA+Cqu&#10;qpGlZ00jUS8NG+jgHHXDaOBzuXX3NX+6/StPWtje7lHTpqSeVmcB1ikxQOiswGffP6gOxtXO/vjU&#10;9ePrT1Yn6XP99ePTp8dbm9XeHqSZAq9TStnBAZlVd21wpmXAFNwhHKDq6EcI1ey8GXGsemBKgYY5&#10;AzFUWjDqtBh5GOOrr54ROn02RqsG2agVe9NE/xZC3e7vVxsb49Onqq2tag9G9zxxr6NJ+AILTSDN&#10;9vb49Pr42mtH11433tzk1ScT6cRcnQ7i5r5SsUzvPU3dEVorBbvB4dIcOqA0/3ijmXtdbE5JDIsC&#10;U9WtH+24Uim4FXzEaNDuXQNXUw5uTtYerfXNITsdrXZuIQiGVjs7CxvrAD4BnI/v2iIERAnVn+fS&#10;IBIMN25tja89OT55cmFvbzrNdBO3WffGVYIZpasOXaCxeervlyWkCFMnmpuYDOMnC4vqqMq80vqy&#10;AaO6DBmXrNXXntsEPtAquHK5F9qmSVz0WafJ0N3LzQcHoHNrE9iRwae1yyuZTD5QAkYtqOXgYHT9&#10;6fF1Jxf2u6+WqqtIBojEG2q6z4BumXSDfrtSa2FaLRKV2hNg3jkM/mg0go+G+SG8WiiCNihEzOEH&#10;YQjTKnowV9hJSWnpsyotXvo1g1vdqrWmk8Kb7+O/3pi1Fhi0ESVFvwktO6LzAFAVL4IxKeVLrDuV&#10;JaoLB7NHB6OT11frG0nwpV3KNEVkujrd7v05fTyLH9USpU1LpQ1SDODJRLH4oZN7KlWflIhTQ+8W&#10;mFcJpXG1ILJYw4VF94ExLEKQ/9KTHvCBJWpyEr7gB4a6fntIQs5g9dGPPP7aVw3PhymZhj7uu3g/&#10;nDEwFaaJw9pN9zGb4C+gz71dmQvxXcAVFo8WCgVFjo+tO93eGV93/cIBBQQmP5Sn0xwS25JdtlC5&#10;XLEng0sh8MnFi+8ELAFmOAbCVBL6hm14S6cjb8TBNNEuaxZNFGMOwAdYRDjqF/65SA+d0XdYTzlY&#10;HMIHYe28gsEtb3HsVS878tjH4BNqLUfRYhlYu0EtFOGbqvO9bN/BMAFAQaF+pleVi4qJGFJ8gqbK&#10;GVQZV/B3PBqfvH5hFzzUiY+8UokCy2Dl24hVw8RhNEU+sUT1A3yE/3ARNxnG4aM7bE7ex+pZPvNT&#10;o4B/amgJbUiWDFaAIGPRPnQGLhmb4gRMiAYs3/c+J/7yz5fvfrdutW51jFoTFMvxDkC7IAjQ3R1S&#10;ELWx6MT2akwY1Ro8tHzUTWyg4GGqHsL41OlqB6h6gsPLxrc3eEnGuI56BaoOpvxwtuB3ApH4ljo6&#10;gKIrILWK193K4dCHgqjHGs9CpdlKT5SmsQGTgpXtezD6Yvdp6UAYXWGmq6tHnv7kYy/6neEFF0xc&#10;3ZobJ0BqYv1rJUIl7RJojINszG4gyNdlWS8Is3naWt4gY56ar/4LISqYMZ5kvB8wWbQ/SR0jmGL/&#10;C7eTPnE2CG1u2App1s1GSkWYIqEKTE0ICzBZqfW9JeoFfnMYaSqZAHSItDOhTsPbX3zija9bfcgP&#10;zKGavg59wWq4i2tpnRo0uLejnOQMJVOg/6shpnCrUUjiTincQ3ZGAzQOw6XSp9YhaNBAg5kac2cj&#10;94j8GZbJl+C+W0II7gYW7OwddW5jzRFgirsLRts5WGnyXLLzVn3+5KDg/26biG7zTJmUq5fdf/Hi&#10;L+8s/JQJRcf92jhbA4ATyT5+qVOa0rRmqRmsVpic92ypDOr+DcRsBO0xC2MJMPoIkS5Hc0XJpEYG&#10;N5B8Xe76dLqQWbS7YBeJ0jRN3EHSgG8KO2StELG6WvugfcynRSlY9xNidJJ6zeaejs2s5CaFEuwg&#10;zMQ6MoshqRwkg4EkCkzREv8Wh88Dxtkc/mrGH8peX+9m8bvXsVanKqgtjSPcILTI6If45fStUict&#10;nV9e5uEjFRN41g/mpMspg7JAXvMTY9RYgr40BP+nV0K5E/drSHSPeBTPouKTAgpWj1rDFLuV3lW1&#10;CEAnPlf9UA48L4CxWBirdTx6uDmQ1DO/dh0FInVMAahM6+C7tfopsF7qyMFwUpNIsJsG76S1v609&#10;RJOEuH3tMIwF74JRWrQKM36wKH13F+epNzfHG+vj9dPusz7e3IJwo000dGyI6ZKZn9UhG47Sh06q&#10;LBf6LMPXEyEBNoEp5+H7ZICH+gMM9HAj30Ew3dzqFtu3hiy2XwQLrRfdwnYih5/A1IbWbPSTEHoH&#10;NUZJiigPLg7sToDhUlwCsYfRobW1BfjAO4P8e63wsraj9SWdsMKA0upqHUYJl6NRtbtTbW5U66dh&#10;mUUFK33g5/4ezsrAkkoIg/EHfgJD7O3CtLWyet/aTpm+BawVPyZvwBIbjK0pJ41fOY2AVb5QuNRG&#10;VM6Ee/LiDiDgsTBW5FcgTMEnhbhs6Sixs288u4dPWtkuDTU2r+jUhzcs2KNYl4gpCzsrKi3VB7Z+&#10;oS2JqoM91N/qUXpT2RAxCkg9cgT/gsMKexIu+TD8EiZYPTKAdwieOG/hxImFI0cLGEW+3N6qYHUF&#10;gnIPF1hIXcx+mepjUpGwS7EJ5qmOUGBNKVAFA58fKhkpJlc9C8J3mB5OYCrjKiNLN8wSNDslmFvK&#10;2QJGMzFFkIaumt7ijKrQIT+MwWzqaBhh4hJTEfL8EBc3n5YRgALNjUaD1SPVUOd3RBbQKr1ZALbG&#10;XjuCkD16TD5HjuJJuIR0i4rxbxOs0JQDa+5sA0xJdOOMRHnGGRoiMR6q0/K4Gl13cgxLiuajEVes&#10;caqUBK+elKsFplKQMXdGJOrsPo4tzeh7XJa+W2EJ0C1zUAFOwBYOlliYgPZ314O+5aoLyzXCkk0d&#10;jvDwSO/hf21Y3dAZZnIJGBSX34IbujeA/a+X4CUCaT+RcmpOeykQo5gX2nRc+COVyq1YKnoG0+a6&#10;QXLwaDe2aLXl1tyB6hUwomcXuekViLaKSxHlLbiOxmOLT64pvURUPASHb4aWXQpUanq0PLEzwOLo&#10;XFsGUHUTmRE9TNmDVPAp/nRrX+VLF98hsx8rW376zKdpjdK91WhA+2RV+7s4PblyJIwEepB2yHmI&#10;+pKFP+bmmOPmNFkkIbvebqsUJNC/trZHX7huvA1uWckHm0k/9pmAYxRXSH/KkMiWebkBUx1Z8iDK&#10;XRXc6wIG6wzRQFu1YzeCmRrzG9hCZ2IGjc0wkWcEssjER+jkiJKsxdZlcp44ozgls3LMsrPRfDUA&#10;BxTdUKBSmIw8Si8RmKYbgK3HRZPCDa4p/QhAtBepHevTfxGNDkhw7LCxAda/mnZlUJteIchCtdL4&#10;jw6cIkPMmXisOiq1lMHzUfc0AJRV2OAGuN7MKaEJ8z5KTemxK9/lvdlqMMmIyxoRRJ6sKnJ7xDqo&#10;597VVIBpUbgAFKNA+4PVtYVF2Ka9Q3mNSWi1srfspJVwiypJzqqPJ0mm4EFABHjTsNQSTH8b0Ca/&#10;jmHR0PPMHPsMnQ8gfMex+0a/E20+vzw8oJnPxIcVro47gxAxKuugI6/K86oOwDUBvStLPvwMO9tr&#10;/7ElcOCCx/PjzgHoBJrJVE5uKPYP2N9lGcbsa33KqsWpDJ1UpAx0cmMNGJPxY4vtVm7WzBg8462t&#10;0clTFXiNczoK47kEf9ZL7TyFM4lbCVI2ojIflL7IK+4FlmUe5QirQNPVMF7Alug3fuOZs1fmjAp3&#10;Rgzq8OqwYSOneQ1XzWGADYfZDd3D1ZsrYOWLsOlAqzES3LheMiTLaDbH86jcSWVIP6ZTkV/fDWgO&#10;pkioBwew1BIewux2c69UGhY1c1FQnF4LaOZYE/NpPJyKIEtXcef/4ifECpwHrEoEa1hoLNYtX2DX&#10;U7+HIbwLv9PJsBFNcYtjzmpeALW2gF2ZyA0dwe5DY4iG1rzrolfbSWLGqEGGf1EL+fMJQZaV29Y/&#10;BPyuLIdUUPT4+lPjqVYEF+uvROh9GuPI4hCHzbeoQLzZ2PTzCAnqm7gEyseCecfBzMiqW1FnOuL2&#10;8tsQXm16MOuGOQans/WM78InQby1uRL8JMiJ70ErD004xmATuqGwmqTnUQ8fe3qO9WpwzWHqnHlM&#10;6LNsQ6dJ66hazjmYQvn4NPCEK4LLGgFk0Pg5NzpaB+VQ8vXUYWWXUf9y0MmRpaHNpfe3WD6GdfMZ&#10;IhxG7k3ZMHL6kveZ7ePFK0RjjDITI2pdi0XiGV57Qsonh50Sbc4TYu/L4IYmzdsx8zKQyB/1o4pi&#10;g9YV4S1+gtvsloDPIqFyBwGYrm+Ma2YLO1Y0JEOi0rp5c0wcSfqI989iMBhY+RZBp46QePIDL9mK&#10;b3VYDabCr6ZK6fza7/MOk9XMxqaBFBlkPHZn+oxZMwySzElQdArMA0zFfvRWaOkG3HuRg00456nB&#10;puasO5MaZaP+aAGmrFK31rQ5Z1NrvXjK1W6MIgynCKXWH6/jHOxMFCgVSDiKAco2nYAoDGo4ZuwK&#10;3wQsagifn97Wv4LXGrIO5tRDk+pZ8BGdIxT1eaFDuqNozVMnNZ1t4hu1vtwA6aPq/ZCjTMmT8jjn&#10;eUBuaOszbb0b1j0pX2ZTdarURY1KSBmhsZYusYA1/OMoh2EKz1dMP4QSv1MokxudpxhrqMxBJGCX&#10;tx0IZl1ejOatP1Fy8Fl9x1O/lpOYC0U/6wjVn+dRkZhrtdqkZxtFGXC5ot6sRwMvkSA4LdyWVhp/&#10;4TcDwocXDOGy+XpUwdIiDjbhnOfawlJ/N9TnzRXJDuLRIGWmNeaaAjDjcx27oBg97YLcsGkBMo6G&#10;PZXco1u9O5+7QbuZxvHht0T2rfLCoAVpFKDCuNzAdDgqldf5eSELmgyKDOQa1ysjXTbpgTtlhB6W&#10;NbEDECbiJRpoXOsbXewGh3XVPkbsDugc8KI2+MvL2eBJLHgTIkwK2gpxExkSQ7AJ5rZo6d0CYLTU&#10;92s6YkfEYGEaH006U8QEJXyk6cs9ILqTpcogL32Ez9tVMoXgm06DTSmP8uTCmUGlWTlr6SUJpN0I&#10;iT0e4Tw/corCohrPj3thuc00TZFHQ0HYK+SXSG8+qA72fU3Kja5nuZq000eIplmliSdw3MNTHjoZ&#10;ISlRcWN8zAbWXgJk1UXRlU0Ut189Au8KmrqxyhlY7Ik6GTdahHz+6f/GGRnyWgWMe2xAJPmF4hwa&#10;brBMnDCEyf3WjGsT+CgMtbbyVFJH6zrGY67HKIhjnzWQKEOVyTU0aqLDgAZRMdJww+avXli5V+27&#10;9DVfaeuAkSYEntJ8IpsIKQn5JO5BK3s3yFPBsntNiGYIm1cLEJ+H1R2w3A4n5SnYhHOeR2jOcxZH&#10;qaf53RwSmJqZFzdKWjlRX+LFdpIzgYJCxMyoYQZ8R1jON8GcPiwMO9gd76zjwjxAKgnJQwYaK6iU&#10;Rlqh4XPTRHeJe6rOgLEvnDfH1Dq3J8g0P/2tK6hyhYkVVsQTqqx/UfJAn3VLJiiiwd1BhA8bz8gW&#10;qswCaFbwHVS6teoQNnEIe6yGXhdUhstWYGExrt4EN5TnPGHp3QyPFKfsjzoJuB2NOMMXEsLQ5ZXG&#10;t+eN2yq2lJWlkxkeyROWtLbmpAnAOTqo9rbG2/BI+07Y80cl5Anv+ODf9eMoSc11jLfJ5SZUBNeO&#10;Raw83zfhIfSawwkY0UTBLYnUHu6TTsn9h/eQgy7B30VmkJrfB8JCKKFy3xOvQIy+lOsbC+7a2x+D&#10;9ceHP23Os4eLqTrv1LAu9iR1ZKUbTBWa3BgJTg3ccqULThNAiyMf5c3F6BQP8Gj7Vh/Qp0d71e7m&#10;eHsDuvhgaXkIzxtAPFkaQcEUdaUO0ka9SNNTQ2J8wBt3VhmnD5r0bWDFUQoYZDSANHR7NHToH7p8&#10;tWMoQi2xdpjgddAeTGHrLuJIVq4ClIDFzR0aF39pSn9J2479e3i4AVaNRA8nlavUQdFNYI3fopQQ&#10;qidRgW7sniaQ9ZUsFBo1uONd1U7gJL2Z7RxoBIaWdbN8FbyhZme8A48PbKHJWlkbrq4NgKWwNNxw&#10;JSCLvrlBBJfCoZpMjV7YgDyXTJCqYVT6qQjlLuGOJHv42YBRuc86s/i+skWcxBC4PTIi1xkH3j2u&#10;DFC+MQr0WFlcdt4iAZ0RlGcVxva6yiJQOmYKndwaJ4OjOUbc7eyvdc2mzmCw8zSj7OAaV1RgtE2j&#10;EQwR5nOk8P6kfTDrG/CIC7QfEOdwZRUbEg7cR22F4slcMfbxjE09K8U9p7ZrSR9NqDJqTkKMuo9c&#10;jwybfGJxSUfsJZVZbD8QpAzGZXwm5ptPoh3XAbvug6R7IeIecoRU9DKtHwaT6BBp+hGRuX19N0sa&#10;CS/js268MZEcMzT3oXhbm8edUjuJKLcAUx3EOphK2+dNklTSs1XScb0uAhlZGyNMd+ABbQ77QXh5&#10;v9rbHO+g5x7MOpMK4BIXNNi7ehmiTncdMUkQy/jVi23f3SBM6uHcvoAMBQQIiU5I2wHZI7+rDFI7&#10;Mtxg+3nnTcCi7L+pG3Ri53R7ITKV+p4jrWwKKTWE9msHYZXWxDHxS48Q5nVLAN9W+eg6r3G2ThP8&#10;tkAYweuKuIRgbISUWbeyFJxD5FzVwNMYSmsH4IRHAkd7490t+JBZX43NOtj3JWxX3A3L2sDFt1ng&#10;rkddSq2C5RMSun6eluKgwFu6sovRfCSUIQ3BuMSRkGx1qLtz0vaGRJyGXZ3mTfuo2NOkIVQmuVoM&#10;GnhMUzrQNu1/rUdrrdpqnV239aMOZIxawZ/qKUCZK8Z2TclG8NqIgDI0DbXJvU4XQurVGB5YhWAH&#10;tE0w6yDGIkITiBNXT+pKItQ2a5xUJtOGfnCQaGIyzZrMPH4S3kktvBSliWF7mQkaVFxPJnc28clW&#10;h3yGiZNDijIjH9UtUTNeoybIeq89Bu2mYlGVpM9Ie7Dqvjfumm+IXVI/ZhLkpRa/aPcVlOpXqVfQ&#10;Q1jtFaGhnaIi9Gsjg0u1tArGXcetsCMrE5KRZaw/gahtutkNiJ1SFRJFXOVx6mGBnmIcdepCqIGz&#10;zYvgPqw/jWKFXPB8FmWrc8ac4F5jpNiwAlCfmmJty8IrZoGpVla0q3swgmkDf3jXjb/LX25+5n8j&#10;J/qu/8H33Ve8uvrc51LiB30eP772qJ8I/a9AuHAqE1dOhEIHQEJH1mQrbRKMwBxnJ/h2tUKaGMLe&#10;rWIcpAq+RJeD0mF9d8u5hDfzDh9qQliZQRFyZh6uyyqM6mqiTiaCTjr06O+QOY3UrUolbSqmpQFZ&#10;IOfmWePyHqX4pAC4/rS+BC+F1YBYO0tMi/8HF14kW2hxnnJoA4kK6ipUMr+uEQej7U0Z9UYYcb5I&#10;hFTt9XaSa8rdyiClMHZZJkoriZVC29dUYQEUevx4mDLuCFCWEYZTbCiDeNG3oNygIGt3lt/VIupQ&#10;RYxSu9qWn/B9aWkAu8c0EEezVtow24GR1HYlSbncwAiKUV73JDuGSg90DEr8RVs9DC8CjDq/caYY&#10;pXiamozgU9nIxkDATeuHmfyTPRmdsZYQD/clBkRwpOSUQIF/8ZG2jb8mVKkUSK/wspt6NCqtmWC2&#10;CeSRNLtvOu2N0nQMUN9t+Lskq8GH3+kVtjpqBGjSX9oQOYvrJam5QuY+SS2JVpFYNbQiRsProCBR&#10;j/apr0/y7LKNhBQGAZrKQBFMNQ6gcKT7Yz+Jm5aFjVCroJcicrC6CgpoqUsQRqWUBN3OQBSrLCsn&#10;eDZbsk/6ims2Q6mgRw1cSKLfHBRduQZr0gpY+S6wUte6S9okTXv+YvRC1wpjILwk8KQn950nSjaT&#10;zLt7PYg6NmT386Od07tXkOOj9AlenYSKJRchSx3OK0C0mXW0JChklAb+5ACA8+6lKD6vJGsCGHS0&#10;k/iqMMRh0Y31k+RqRsh4nYmTD3YTReW+LE6g1jygk50wvZhqnu7iFmR3TRMG740L5x2Nm8x83GSz&#10;bGKfczGcJI/tq34ix1pIldadiPaEStlH1QyTIUF3AHZIGe+bJ2BSfEh0idTMFMUowa/a6nY+uAeC&#10;SKfndPwZOgbn60Ht3QwqKalF2GNMxVSpuvAIWPxWmPoCGViJ3bcEbjDHaLVhkyWBuq2sUKcKJNbW&#10;LvNCqPWgxJpL9QhwuruEyhjVnkleP8KgtK047zk8n0NjT97iKUoEjGYTc5gyn8n55AsvYGf0eUyW&#10;zoQUhsmE5Jx83lXioov0WdIXP0MkMEXYEHEG9dq3nDk9yNjoO4AGDKuJ5NIhlIubbSft1w2Cgctn&#10;2vIYNHAZRuEIuJJbDYdIGdoL1MUDgPxgx9B5Hm6Ns0DTahA8NuXTmE0jBmWcKP6E/yJsxmCKLwX+&#10;FteAqpx3TYGje4aksfvyRQcRax/czYtfzmIwzfha1K4kQ4n9eEJYk6JOZArDS4kCQGlHrvzoBlMu&#10;sc/RzmbWwznAhPtGCebYDdXwp9XUGfRSmyDmYbfbeR4lDTLzMUpSxDqyFBdWh02WmP2/yIuNbXst&#10;dH2vqEEpS2XzSXWqMW4tcZi0O8ZNNHgZKpu1MmfFr9+kB5u5peQnotYNc9j8QZ+GrbXlrX91KOuM&#10;vs4JO+EEFEKvN5H+q/ILQC2LYCW8i0I3xcZmALswr8ybR2X8kVhMG0JFX0RG75KG75qDQVD10AGh&#10;ea+Ih2KJ+kHLWEoRT67PlJk45IWY44d4yG4xvDS+5jInjwBXp/OoysIuwTlTwsP1HkNEZ4dVlc7N&#10;bUPXbGFqBp3ll035dPTOI3pOo/+KfKJzBxVoB9gUfM4H7ZGrqKJmcBIYofovwrAMVx1FhQTCMlGH&#10;K9YhQFlyTMhbYZuM9ClxMd6BErXbulwWsvuAVPUvCZHiuvC3MEDE7/iuQV4RJ0s5aQbLlnF0Qmf/&#10;Vp0hTIHmIdjJuhIjgDNJ3PfC7LwgVVvHWtSZVny1zdpsHxQpaAYxyoVK0wh0vI2PBkMSl7K4kRAP&#10;ZcEoEbxq6xoWw5eY6gquRcCn5Fsw2TEcOwA0OKMFJOMaVfUpXbwpkdlYFmfDaVEmvHRQ17+FCY5+&#10;COyMPhvP9Mu/kBrHs2H9De+sa3hVr9TuM0gwj4rlxLZufM321FJqBhgfjXZeV7wiYfDKLkafax6O&#10;00t40y6xz2Ceg0deYCM3qIp4NHJ8nXJK5+HGbs1K9cJivHHIHQQpToFLmyOP4aMDCCMSldggzilx&#10;tyNKPPnRB31t5XQyJdyCKjOSJ03Km8sjKJCyChiAqg8vOL+bSzO5XkT1+OSUHkEkFZbxgH9lHQcn&#10;1cit+DA6aOC7uOZpm2Wq5Xw1v5BnnHmsOCoXcAsLJeFNFL6jZ1Yenzvz+bc2HbmbUZZxi02r6a73&#10;gxjgfLWJ23i9DcYqCm7iQBTKJCr2lH5yr/PWP7QLuu+D886D5Qc1dQqo8WLWS1WqjDOMMhcqD0wy&#10;U8DBrO4GJvQrHkjJGbbwNpC37/6paMkxGjylhJYNm0Ry+se+O9EbGz0OSra1eJ4VKrRrWV3R1y1d&#10;YUld4cZGGHatLjjWstqasgO4mtFPigyqgJUxy4PzL6gHaLda9kkFj7nIgLZwl0CWnQGtuGCX2lDt&#10;uy53phucvxJNgZYL0C5RvFpQNkM2uZD97NpKrlRqpvS+MwPTbg3YlS2b+zKtdLEHAC2kX3CnYLHu&#10;4uDosQG81wsGiC3HBA1QmyNsiAJvdIwvk40LfK0X5QVq9FMMdRYajFYWmhKD3VcnISrQTrovXAbZ&#10;FyorWrogL/bjTHIY1bqczXrFRcFc65CxiBH+aWubGV7v0Mz1SfoAmHOhaDHvQxZeesvapyetYTKp&#10;1rgntTaxCu9OKSmoVA3XrIMRveAiPQpVVOvnm03AF7mnAqfkEt6lmeauaiguTDBazJJd4eAcApJw&#10;IaaGPFKMFnw55/rm6uCy8XyC0YDUM+OYilRNqJ8lRn05blbCx226dsAZY7SGtNnK+w+3orWbiKEp&#10;xL6bIU7jAOLZWrJoOJNX3SopANTtZcxdrrc1dX1SCqnpfCpCmX7OmMVXR6wrOEK6DiTckClvbaKP&#10;TPXhZKHk/gI33JGvna5JjGikCHawhhzA19EVB5t4bIUJFa+GZo/jwBETKNMH1SOyKS/jlApZh+Pf&#10;XA+2ZCxqueK9G2imzTOPJp+9gHPOEWx9/jaPDu1CtlepldKLQXQepwtCBXcyiky5qR3jOSk8dVLF&#10;L2VUra3JXg8Jw2We6Piznxt/+tPO1teq00y+r/ziHb5ycPyYoHfOFn/0iU9Wn/98fXO3dObFO90R&#10;llH72zu0oiXPMvcnuqgvlZvvn5k/6jFq9QouRRLGNCxZFw9jKWvF4HoqY/HghxMIFdM/4RaBufoT&#10;+fhJB2pA0bDQxkcPjClTVQ92fv8lO8/67Yn7+bHL/3jpzpcGkp0qUN8ixdavPW3v1X8ysagn3vnW&#10;xf/ny5LbO8O00UOaAqPePtULU1e6nDdbbzacbSIfnG0OXHNVMTFN94u5VMdRc/CeAIalSOZQAier&#10;YQhzEhLF13jx3eKKE2JAVTCBZzJhiTeM22aiL8ZoCYURehr7gDipBEAzvhLVZ+zGl1j9iXvaAFbf&#10;XJBTtGjD2eG0VaXbTN3YrtNa7abO9BzIoDMJz7sugFEmIE+fCSjqqS4kRHZ0o2+buDeWVLKVsH/K&#10;jT5skNXZj2ogVlcc1JeCojPpxVr7s6bJekCiswJmXrlZZkhr85prLQN2i5Yzmh2m1aeEhNHIWljH&#10;GffAnTUkF0TJ1KsF1u6hENUCb5+lnuockh6A+WLSCTVgz4qU7k+4lX3nCJ8BavANMVGAqRKR+AEK&#10;Pu8VGJEnyAw/tVRestnl6JaqS06Whivojpn2gl6ilBLPc0Q3tXBTZNAnGC4z9Q6krsGCS5s6bTFl&#10;8i2SVQfBE6jhzHIBGTkgZwQfykYGtlZI/qVDRc5Qkjl01cOuie0/6gpO6NNILpJNG08C4EEVGCDw&#10;MJUrFuFPeLBBh55xBdn4HiALV3l5Sq7BjHV5A2jtJo3MqFPPWOmYXZcFLB0bJ7aCCHQDWcmEm5sr&#10;tNpIrtxtuj6G0TxzNJUWM3M/VW6Hc3PH9pu1MDMDfStG6yWXqjeGDqOFw2z0CxwblRFp1FO6e89B&#10;qH6tImamIRNu9jnOGhVnXX6z6R0Ye0qr1jC4btBCnI0BODPYbLUb1Zlepd8yWkqk5aSz0UWHJj60&#10;gjrIkieZuXTTdstp7+cqTsGjrWo0l9VSBiU66IpLECs4hymFRTtUuv05i1bB4wR5NXpmcGjJ67XT&#10;Db0dtHtodXEFJfNMiQj1Qhe4NkpsflvsG9bTXrhSYl7eP7sbSA9FjV0a/dCbvItQh6Kd2RZSw6Ot&#10;6g3qsKSpI6lGuDlsV9Srd0PJkiOJtsoUzD4n7XZDZ32e5QjAeEqoy8zqPrOMOus5S1iKPXXJLdZI&#10;IyTElrsnorSAllbnMRa9bKnocRZvPwt02kV/c0njFHKWd6he1Wd+ymokJ+pqWgRCmlgSlUx3BlK7&#10;N/YmeWFK676BN6QG6dV6ja7ZDaa3JmvztF7yL7Nl/jHd+PQFndTYXHNWawjVYw5I9CxRtvgs50yH&#10;SAQ9Z+Qu2Xr23PpUoQNoLInBtPhIqMgTZegk8UH7hkJLl2KXdhp2snv7qGgmBU6dSYeG6lDGma63&#10;51GWJR4DGYc21AXvKGhDqqYb2dDPkCy+ofSrdfnIbFqgQyNFtTu8UrtIlqaZVrpp759E5rZ7/JiJ&#10;2dR6TYabFK8t9aF912TDzhYxUrNEzyUipDuqrJys481tKuLrdb2r4e7D5h/eGzU5/KkJBZqpHrtp&#10;O0pVXJvHYPRHLqY/U1cJR7DF5HY9yaDj6rtCdVvGehMo6Jy6ZUIQzq+OM4F38uwyo5PYFPcgMeHh&#10;jLGoIbhWI3ghMvHMQ/6RUSWnvBJlgM6kstO3BYrRGQiHLXNBl1mNOws/va5mloP3Ry1Trqy5pwbc&#10;wvr74qAbnlSO7I48rxyMJj0jmqk0PExXS8zdVTwHgHQxHb5hugs7s+aMvRLJtqcqeiafqezFzGjf&#10;vIDIBKapuTcudbWXKiH38qbxCfgyr0F2CkZupWuWABmUsZu3Lp+Jtl90wp0hNMy/eXqWUIDXDUA1&#10;NGaSkVISrjGbXjOr6LxNgpakjyAmJ8NOlpYs0j4zKO9L75WaKbhN413MXc92z5N3JJqOyaYWp5BB&#10;VrQ/0abDkkBnsC667qkRF2aijUUdepUIA2CjNxAzL2J6psyYODlnnkbiV3zgVxXGvufSCauqNifR&#10;+oTQoKK0xWQnxAmzOnduO6MIJYyyBH5rhkx7zLACBQ9Vtr760gfDosA62k+v8GJJo88AUF+0QY++&#10;RECMUXnGdGgu+1mNt0PswnPRw5AgyrAzKCRGXwsWMIdn5w2glIdn19KQyOS37SHgFt7tMjCoJ9Fi&#10;hQ9b4SmJR/3BEepcWmeWmfYx96VOf8aIwNY4BwrUXcOjeL5QrRg6ERd30eG3FrmxjBp3odJg3xH4&#10;gk7qFaODBXxZt/aNlEANrIFNa+A580XNEyEjCtVNlMO0N8UgOnOQmrYe2f1D2Dgv+IKCVMKNkGlk&#10;5uPgk1EvvLLIbzhqvOuYlRCKdAlteTBa2D/Q2JMnb+sJrWzKRRyqqe1A4DcgXJwtC3mwmTE+Ci+X&#10;AKTK+zPZahsrGESTh+uREfl9D4JlflEOvl8LXlm0SJ+lpWqRP/CT/kLesG00eJ+pBU1ZVH93AEZL&#10;t50KN2nx4hdRkcV5WlZdtwNeN1MdHFT7e/gBtXS+sVv2UTTmUHtzV/m6pnPr8AWp4CA6IvROZsCr&#10;DaHoVNh+LIMUgxgy2d9b2Nle2NuN+2ew41JkHXb5fDtiQ4r2tF1V5Evuhr9GtKFG9/erzc1qa2th&#10;dxdNCjjlYFvoNZ7THL2q3CvxNFJNf2/2rAi9mJBodUTReFIc/xt0KNyZ4oYRyR9IDKqHlz9tby5s&#10;by0gTyjKRD1m5Scm0WkbtYv6CmVEqqjJowamyJ0bG9X2trw62gwRLvLqIs60afqoLEvb5+ZpBXX3&#10;1z8XClpGZjW80uuvQ7DT4kps+OjtPrAlNIAS+HJzc2FrA7/AS0v0zZT1Qpe8z17LSoLutEd1pN1u&#10;ihT5olK6NFeaBi37+mkaKbLKzvBxKJ1iBnXs9uwy49UgCyx7cIBcy5+D/QGYcrDjAFAAJZgt/+5u&#10;z5rKpDMQvDaL+bV9/5zdYL8ajav1dZ3O0HkNzjJsJzi9YmIh/S/93r8a00s1VQ7dMNpaBD91hKN7&#10;P1c0v46a6LnHSKW1Kj4BFJMNm/o2schGACUvQcZVmo+42vPTlVSol2XqpaV5J54FRskB1dinD682&#10;CJ+NltK0JSjYOf6Cf4uIaXospZdCA3D6IjMuptqFkTu9d4B92QimTnu9hOufOO8HbT3jrHBJZ4FR&#10;seAcjeKF/dPH1WPtJR5n1jz2mjG9MjOYNnaGbjCB18XDED54tY712eyERYndMmxJVTb3fhQ3XY+b&#10;iZA9MpkRRikCRaFS41E/xd8gUI26CuPizL47KqU4grwNLxQ2s6YwV26SHCkOyuOkLDzC0WVUWo82&#10;u7ElnRVGHR+EcGlfaGJDOYcWASFEE9l2Ako7Wjoma2vx9oLactg/0N7rque4sxiEa8s0vy6ObV0Y&#10;WQZmwdDIN9NwfTeZvANp1QJ7WTidGle0YJDR31HtZodRNlo8eGKLr1NQXdVNQwp22DQca+tP5Wzk&#10;goaVfuKfFix+17Jr0ll5fSaQkrwqCDbpi6lFLTR1zHYnRJSnHdSYky4q7G5PxEku6yDLrY9KlSfM&#10;B5c5THtVF/s94az8nhdGxdAP0CvlzUXYhDX2wgh02TCodDWixximZYvfR6dzSUtuiEMnee1s3z2/&#10;zKVsB9TpDQJnNqt8Otd3hjxKZQo1JEtMHEzLNXRnC25neg8hM88oZtMZTn9PmdXQzAtvDTSEF0ni&#10;uySDhWvryZ2bsymhNoI1xiGAbXIvwdVk1hhlkGKrwFt71dyXJW1QUXzJI1K/B9gYleolYdN8CDVZ&#10;S08JUFAHvmfCRpOETt6qkj5k8YewHKfF4PQWvgcCZ4Kk3gJ2vmEw3t3pnLhzQvUvKphwgrlQiV3r&#10;7UElvmtnikr8M+820Hf7IwgIZGRZDXZeDO8LfW5nudOEq49+5OJtbzPx7XbjeGtb3XVdL0aOELEp&#10;EipgdO/P3zT6u/8zcVknrnxL9r7QSKXocegJj18+14bouHU6g9onrC+ilJ1r7vlgFCtNj+HhXwdT&#10;bgHxz/jHxDDVSpjiw5eQ886L/3AajE6MmMO/sRdGPSj7Y5TarxtMZ4LRmdt6I0ubPlGjb+astnpZ&#10;T0vsrL9uPqml0ZCAcgKOFw8fK2dTiTOsfs68h1fRuWGUrTFFWMQ3bY5G1enTkCccjOkY5PigiihK&#10;bzbP9caLT/Zr7ROQ1Bzaqr1tBlCUvOMwG5vBw46PlmqjQ1eCqY5kNU6vhj9BWM6msb+kD5jSoiKl&#10;08CmboX8jRGpXGf7tEPM1N3vtvaMLYVkrKtpZLBCjaoLF+Jrif2bJ4+KWyi9pc+ikxJMo/lmD2tb&#10;p+EgqXXvockbetKp4xOxgmboR7Rpfv4YVaOPdt8/mhdJFmFO+TWTvQzTAE2ZsrBuaKa/TQs3wuvd&#10;xjxnhWIOBaMGU54TtCmWoucUOmixq7qTqX0XSKZIPSv0fNYJ0Z8H+98xo0ofFkZ5pOPRGSYDYy9f&#10;Ojg72jmVJhbHQza4rUit/P8ZU+yM2mdu2XSLCs2t+D4ZHyJGvVgyMndTphGnNhuiGHeRA+AGTDf6&#10;yFMfGJzVaQ8ZowIv2t9EYlOyACW4qq36yhGco/aL/Mlq9Ho4V3VyiBhlFfntc10AVVZLRQsJS2B1&#10;+KzxBmSSlJ2LG+VRjnXmU0OJfkyfdYqdVJlneXw0VItG3xzNZLBmqydpfQUvP63/OOBhjqLOCLnR&#10;C/VujDj1gU4/Ak2985xXhUZm7CaJPGdxfNRsjg5kUAM6UxTDEWdNMUBFYA0rp3woIOIIN5tifZWx&#10;TzNcN14mnZTx2u47M97C4dh617PNIw3T97bal+wz4kum+B1eebmQYledBFnNbtMDDE3/udEa/Da4&#10;Jb7QmUFfByEhySFglPc7MBsfTLFbpa+MGCjToGZ4JWYVpALTCmQNpgVofpFJu4FgwlSHhetDwCiP&#10;LtkfJUfUh5nK/iKBKwRQGz3UhDWDM/BFhE6IvbPttnlj1JEojZek/tFYp2Fck/NrFvAve6g3xrFS&#10;DbaSwFwTAs9Orc1tjbOowgZztJ9ZPpxnYp3bMeUa56Vv/IbBhRfOTboo49EHPzT++CcmLqu0xtky&#10;Qw1DS0j4yenb45dPtxnwuLHams5fr8+5lAuek/NzxSiTKKOTwMoF86jI8Dpxs3S4cUqMHv/TVy/d&#10;+dIO5cwgydaTn7736j+ZOKMMo/Xwia8YdAyjdr2EqgkwWpYk9JmMppy1RX3M39Zz5ywO5ydukMO7&#10;sY1WDk+SM1BSG0sekkjzw6htX6iB4ejBI67+WaKEQ9L14RbjI/kRT9SJYd0xvTO6YYJOe1bH8BWd&#10;tuyj/ZGmw23HTqVN0Cqd8j3ERHOrwtwy9sqZE48mMdHg/soU6DlDoofSCIeIVmbUhuMsNG1zwihr&#10;IsREZajEujkL1dBg/5KH/g4ZT+d4cTPp4vPAqFs8wN1WPFHdtuQcwynDZCbaPscRd4bEnwdGrSp+&#10;M1glz3OIRGWk4WpxhhpprsX2b5DD7q4zx2gynHcbuISFSP3VMtdWasg8epjysNtmFpW2WbjOW4vU&#10;PZ8fpOnbfCyDF4CnuQuenz5vH1V95hg1s5iQKMnUt3azaKWp87CnwKfO6azPIO+FM2oxjfDoMgzZ&#10;GkGmHluAMVuMComG14DfAGKi0RY95xyV+lhnD+FnGiLlcuGNdBW+IGljY+HUqerU9RX/PXlddfJk&#10;tb6Bb0K05XGxpLPFqJRiS+5JNqH6c5JEuaNji3Gr3VCOQ63KAN8IsL0Fb/+pdrar0UGgMLb/8P7Y&#10;3Z3xqVPja6+tYIPB7JghRs0TNU9DJ5PORU800pSPox1q854DfaJNHxVsHgrvPYSXztFulvpH117C&#10;OXqzFy5Or+BFleuAVHxzpztmiNE6T5SZ/hzQdklEfVeJ0Ghbg5yjtZyT2GB8tul9nLIUOMCRH6jQ&#10;cVS829J4PL7uZLUdtsWdFUaLw3kWQm39uYhT6VrOPUOU3tCQ6gmkW906pAKA7uy498BbhCGsWI+e&#10;OXOIBaSMT53G91LTMazg7chTbVdlk0k6djP5o/DCOUqkpDkblQaAdmikOZHTrLJtrMG0rQWZw2vP&#10;9Qng6DEeeWenvQ4gro8OsuHf8el1zETW5skuc821ZyzmH6YV5VEy69o/PInOSrWHm4/ZABkznaNx&#10;KKuG014MwyIoS7d10z++Cp7mF8Pm//GeNPrgGrmnOnFuXqF6rcCmwMTgrPKV7CVxIoyB0rDopzrz&#10;wYSNk7Qy03bJbkqZVypzV6iAiHvOcSqdn/jwBgQwzvacGROngNWQqnF933BMdhzfl2g+jKI29F1B&#10;AHvIJToYi8yR/NGd7YV3bXFTAhClz3PaE+U6eSY566m0HnUWOKtNUrxgt5UYoL600YEw6OLiYBF2&#10;S+C/9Hwv75NcPlxpAlNEKoQFDKN4Z8WPcAgoKSgInzG9e4HfvxCWM8lLGdwJxb6M18wHnhfFHUq+&#10;6umLZnnyjJrn7Bs89bZYDmb9h011SOOHguDZctzLY2G4KAwKP3l3j2RjL7W7ZrbFWMkuoHgZ3gwU&#10;tvWQl9NhKyBrIiwh+pr7oN7mST3dqE3J+lwcxxcUL0aHSNUa9RwO6c/BxvssYT8vAqg8tTYAgBEP&#10;Rm+l0h5hfiYbd0ZOGGqzzdeXA4lVA2RCXgRKgGj2GkdrQcmG8pD/g2UMJt7s5aFQ3rwKMSrVAoLR&#10;FzqdV8nnQL4ld4B6NQAJ0FqRM6rf5Z0IspcMg5EDpTqEUoSqsSfSlRAAsCm9pANZmmiUHuZMYlLx&#10;T3FsDfYC1riLnPNcahtWKFLD7OgNAqDTsqrnPepSFq43alQsulGUvcAjbDyjQQA3/8SIAgdB+qr3&#10;ZDE2FZNoqUNHtfNsGog1sPa5O9HEihf5uULiiXIw7lxE6rTAbOJ3sqI0OGcn0mypO8/cGUb6shdd&#10;FEZlRNFfP5Y3SLHeHY1759ozSzDmsTCuEiAu3u3zPgdMmBcxo1IbM517ALVhg1bQtUvSRJFn2KPJ&#10;jAi1O/sybXNkHDzx+7l5Py9kVnkzpb6f0txIh1HhQh20CkQZnsWex/6EAjBi/fAj9KYw+OhR47Mm&#10;qapeWlL7sIXhJhc0poPJ85nozplTKqPQDu8BCjWyJg2U8p2RitEA8U3t9enIo5pjcdCa16EeriRY&#10;0v3gba2EcThGo+rgAD/7+/iBLxDpnXYmdqKG6X0TGx2tnbXBhA3MTkI8OXKWBQomrBmrSKeFYjUH&#10;xw/HUlGE36hUov0an+J9aKN9SrhDgzM6LnCnDpiyXu9NBH9HdwTlgHaAObHt7QqWZm1t4goDWOIK&#10;q2AgxgvQPDiADyJ1b6/a3UPUtuO1QXVTaLUTZKnvmSmgcaXEi3tQqU6L0O3Zp5McTYna111Y6xXU&#10;1UBHNcqt1znCNHBe8BuFwYJvivFSpVV7XzoRqi6Miv1R5gmayJL82e4XRAm0EtM6oXMBUbi1VW1u&#10;4NpByA0z1miCEH7soWKxMFkwZoqdiFzn7/CaVxOogpXjG6MIIU+ZOmPHAb5wTA1QzqAdpllBKv5U&#10;GgwuIdGcHQE7kS/I5ja8uCOEn9y0vp5Uf5TrBncCvUHgSUasWOm4Th68esWcBcgUiBOgCQAlaMqK&#10;gYL+WWLHTC5CwY4BgXve7NgfGVFIX8XL43SSsRGnQNNhkifubJGKx3p/qfwdE8C0psDeqGWuCbdZ&#10;8+U5SesHo5/DVIOmgFFUE429CRL0WIn8CASRYkXLdE4GeAibmxVY9tE4mpPFWzlG46nUBdJC/Nap&#10;isO0ByN1PFqb7RDQbLPIVhejLjY41qUTO47BZpq0i33QCFgz7Y+zUMbkeXBbRyMT7oFMsaxGD2Wh&#10;xzj2xOEU/B9nldBz5GQAUEBYkK4+/hd1jAH6lECfbNbdIRmLWDnOKBfrQFw1D1SYq4B+GbLt3bFb&#10;od0zgSrOhgUhpE9tgH+00ui9CDSFMqOhUoaB2VUudJaO1Zscj8UCYvwZPqUfq37sVg37l99lsLhI&#10;M580vYRO5B6QqOq6ULrQbaLMMVh2eCRAD2o+e7N8kkuCQY9HCpVxKMtN23IUrcNwanYt3N6uQhI6&#10;vtdG8Lab1jkQNHXGjrDrnTKe/pczVO/2krulwJzR7Ba5OWG4mBR8g8TfewsnNzj4m62OcuZ0GTBY&#10;ufBndQ0mU4FIh+hH7gDOgnVX7zsqI+1vYL42NumBlVCsZ+EalWb1DS4DTfVS2F/MJ/o3GO+V6dlu&#10;jTTPVHFIH1Qpqg/2HY16QGckS4CN4MgaqDcGJq1jC2eaHJxuQrHCzXEGUji3LdG9vx4mp3Q18/LK&#10;AvAoOq272xgYyo8IbnHd6NcYnpUG9k0OaYdGXViIMY6l0QJ+ObQfsaoApouFJQSTNtTU93lCVPsu&#10;uDTi5PN+VKStXt9JpxeMerizZYV2KBNsa9F98GpeXn5TAKggNSFGGYAOAJ0LKyuQZoiRy32Hs6hK&#10;wmWUV6gCDbIAoJvovNpBvcI+3EnkvxAlcB3Tz0YoDhmN8tBglACyG1QgdO2gtYUeWhugT4J0dhSr&#10;7cNINjbymQbTkCizxib3EShqBN/J464UZ1kgnbido7atwXUEizR/xoCEHfmiAyh2JvAe4Yz0ajQ+&#10;fIDY4OOtrTFcdFEzu/OYY1l0VzzBZQsf5o8tgcZZJGln0BAWhUFRpz4gpZiWDrCAfasM0z6dfKLm&#10;z26S9lfRMsrsEQOagfA4bIXQSpO32anaMxDFY1u0YyMMbydThHDUHo/h0sLaqvEZjJli+DHYbXBq&#10;2A+pYBS/DzND0W0hE8a69RnHxKGPqKDawwJAJUrKnUncE69aCaf1aP5ODTNxIqlqsB/BkPTJs3N/&#10;rs8UHkgfXw+705yqduyBzFYRZlBucxnodZOVEZhRLIlmjngmUqJLNoFXjeFBqGphZdlnmz1f3yo2&#10;7ouyLRHQCJpuIBljiERxhQpZ8hmdCicy5RN00qbIFa9YLeo+ONJv1f7hJOAGgLIsSJeor8ZCzkM6&#10;WpKBiyI2N8cnrx9DoFq12be0ZNjU9/YsPS5OVuKj6SFuZeIgnjYnXwks/qgaQfQTnimN8qAYfnI0&#10;wjTupp4mlUw8t9A5cuDzmqKI3K0ErNar5CZFajqQApguTq24aTIQblCfO4kiu6oGVXBx+SXtqPAv&#10;eLHTHOYycYtvbuFuHxhMbPJJiw0zjRQ5lKx1gxzVGD3RMTqjNCEKI42lBQiDQoMvLlKc0Y1zSu++&#10;UXfQIScUPBqN96K9eMSyR3wRgOu9D6crOc1+KPUqY1BuSQZvvW8lbsAMldk9KzNe6YDdZeHRFkPE&#10;kVt4PArADvG7uGG6CyQpRWOkO/4O1HTq9Bh2AsO+Ua/MUkmp2et7v+aZGzxpdHnCCZ7IW5SGHhDv&#10;YPRmPBhHwaLE1lP10v4cChrv7OqPUqcPXmxKIEEPqsEQZgqdgQnXBaBI1xxM0eeuNWe/qrB3e05x&#10;g1h2H5+PCTJlklpzL7MxoDTcMSFijonki/XIv8D67+yOr7s+DKcCWDP8TMfjvWQ2JynojhqUFniA&#10;x8I8KAJl6/C5y4W+6YoGTxQm0AuHWnnON2mUSBWxXiw4Sp0L7w5DO3ZT+Jy51K5sXIPYSy0zScwm&#10;Ipl2b21bLyhjXA8YiUN4BH/PojJG2T5sBy08Ho3A7sNqISg64tOY42uadiaK85kkVQ0jDxppYCAc&#10;NtlzQxq3xlkQ4XHAGKH/wXQkVr5W9qzNBIIqG2lGEomWhEE1S10ZTSTqy4l+8lLZwzvMDXVLlqxP&#10;pnTpXc8aKgWAwjB2RvgMauDOHmcL+h6dPCUw5cFtH80ZCbV0x+xyQ3r1CNn4UtflJ5fAJR2PcICv&#10;B4+RtT95Bo1ngDALDvXnfa+hBkqFUhzeKx1ZLbrr+5o4mR8jINLHWJbJ6FDNfQBo/EBi3EWiNkka&#10;SH+aH4Rrya1qs2FSj1SFqfEUwjRaRxZ0r/fVYKoRz61mpCOLVLRgAxqZ1pA4l3Qwuv46jV1ZXlYr&#10;/kJ/R+PRxpb645TST1y6W/mS/2CpsjuF7ZamcLMgaBGgmi1cjDWhgtGKDdgnuK6F997w5t1Xvaaj&#10;kvJkR3/jaYu3v1gdGDTxGCIpTiP5m6MmddbDbALUGgCKSxFCxXZf/kf7b39nB1E9Q3NyPHPkf/zG&#10;8BY3UzVpj5LrylnwczgcXnSROFZJYZyxymvF8IlGJLoKZ3Au4jsuyjIfDA52cKi3uzNYWl44clxw&#10;hhiNDgdQRhv9hSgGDZjchEEcwZQ8WCLBqCAybJ+ij/MTI1oH4DgZqcduN5GMdSIQSDqOug3k4ZaG&#10;9oVcGrig+So1ENqKMS4AZWyJt5S0oxPAWyQ+rbRG39xMR8oQCRgsI0/DIbbgVv2pnCwt/mJzE/6X&#10;8yurw/PPM9QFSWswyrJPhtE6pddiFOKjYOgP9mGQNzh2HpvKxB91uHNGGKuJo6WIXyOdh2aQ1hBw&#10;N8BGQSnOSAjax/UyMcpZNVqhltI7XnYzJTxdrBBw99v5xKALQAgx9t0DlJsgmBeKBvInqTn/1I7N&#10;araPFhBVyXRjTcVndncr3NczAidKlym+o4IaktUhuxa7HPmGv+PRQF1S74/6OilRGWEBrh0QU5oI&#10;+tTgnCrRRudBBxEBB0aVqkbi6w/nkmaM2AWmzWkaryqRh71bBKl1TaMgDu3jWsqU6E0NOkJmfAx5&#10;Fs6wNiiUmImuJKqN5VpNIQ7+HixYw1rgxRRGNbAyIbqouyO4xXj6yA0Nm9A5hGijLKmr9CnmiAg9&#10;DEgkyCzMgphFtr5sNzuABsTFfODrGvdvcyO0hrFaIlZIksxQb4l6SY1+iZ2Y0RbjJ5fT9lZVGCJ1&#10;Eznb1Chx5bF0ThyOusq6LdPi+J+U6v8BrwV28s5zqsnb6tFo8bt0oVr0as4YfELBYPyEYWNi1WBB&#10;XI+jnBzd8aopp2FJ4IHIV8O8UapaBytJykXYUisJ3YVaeMMaF+hrOj98Wimyop47qyOqlhbzl5ky&#10;SNYwoAwmnjabIx9d9u2IBp2C1CaXurbtwzjNXGJqmYo3q089iiifRLVGNvNQueXJESieFKXRsHhC&#10;DMCmQykvHtY4sBHg6Lf85X/NijHoQzYO0Iy/enpAZDSKN68oqY2O3bo7cSudQfe+aG44/RmT0xbJ&#10;ui+MXTpo586gOtFbpINUH4x+bkHmfsf0Bi4PSeh4sELK5SOSdgBgXzZtRJZ3iZg20SWlJe0QQsFw&#10;p+0TyVWMBQwUz99kWK98YLeoQs2jFw7l3PSv/KsgtvOhBg0wbe9FTYpoWcvXrHONMctMb8aOoeAM&#10;HIYY7oTSaY0jPacmxMlbdMhGHaV5tsZ2t4sRUtWZUspGKhW9dgCmwr6H8Wh1iFx/CubJWRt2SS1y&#10;GQ1k6hQQeqsSogO2DjnpUgb2uGp0GRVowC0X6bOpU06yKrtb43VJRZRJAyQeifsGT1BglzRZgmT4&#10;iRu7cp/luBvtGxNGTrqhdnqJcO0tUuitximeRLOKRS3hGRVitKPoEQy9tajoRls2A2J1YsL0oVLp&#10;wT5MiuL+ZaQpckylr+f1dAiWajq9BAfLrJW1gXeCHHSpUiqW0a1VlctItRuL1anrd4FiIwH7ARMl&#10;LAK1kIUfX1OsPgyP/IDd6TxlWcesic2JIJEMNVVvqQq1vSKUDireTkEZZwZY66PxUhOyuQ+Tovhe&#10;EUKmg1Tq+anYZqq4ToZUYUxyA4whOEPnmzJ/qDbM3PsKqTtR43o2qG8+RMqG2y/Ai8M67Y3h0sPb&#10;CxgI1p9ZIYRL3qPLfyLnXv3UYPFVkcLK3BiScwCcE9ATrUsMKWBNYCPzJjCqJwbXPva1G+Q9MwkN&#10;xJOiRJ+8/5NNAnkOU/MUkMOaNaSKgsQghUGr902VoaWF9G4bXUluNegsgSHRVZsyWgZVdZrnbIk5&#10;hT6dKW8rU++lf2ENr9hsUx0WKs9LiMKNX9mKqJ4V1jIzx52fu7vnZo9UXuZm2Qo30D/+NKSxfeA8&#10;7mu6XwuLlMDeYOz4kiYQsdSsmFWHd9zt87tIhAMdTNMCcWPI6Jx6n+L3W+/UcrnO8jcmTtUy1tng&#10;HoDrZHcuRo3eGAmd8NKUQ36NkekW5RRu716svVfI2E6ekYhxI0qQHQZi4nTgNjNlYLUmDrYrhqOp&#10;l4EhjU5n45nkvE51OGvAXz9Vh6EVKh20jjnThiAwuoeVTGT41dYHSxRcTIQApokez3DiSf/z1l87&#10;sV2iImIzp4VabZQdWIdy9LWufXXTkl5wWj/56ca6yrBplkI+Ggr19Y1wE9/HPGpNE0y5c1I51h1R&#10;jHexVMOhgRxnsZK5CNuqqJ5KXYOInCWAlsx9hxahrHzXgKjoCKAJobFqH/YABX9UNEUY4dfnRO96&#10;EuwMlmCoxVqjG9j/lH/NBzLiNFvjdBGaBLNwQtWwZW0/dbrGXMQMd9BG9yTsjLKU2artkE1UCWr1&#10;ErV6V94sdVC7h60ql86FB8kjc+9cT7Hd3A6eBZzbYPY9KlGIF9uwvxWah8ZJ1wNc4bq1sbCxgU9i&#10;4dQmVsStwxfIEU4Djyog4MF263miQUOHYNXA69wMGRY4EpUzEV7qjGYKU/4dqQge3XLEW4fCZquc&#10;XSVoKk6lxJoslD9ldJVQAv+kPul8Ys3KVw++c1YOpqRwvVFgl9o6gyn1hGjYWmTfQDPcXPjW+ERr&#10;Ip5KWYfhkkJiKm00g/HtiE7Y1g7fJS68zns9k8GP5DNo8pb6tqs+nyfHn6lTDiFZ6aHij0eXKX35&#10;cOfrktRCy90wgyeBSm0UMygL0ox0l0tMNII6NjzsbSV8ywCtV1QYP4nXFCPVLZuiltKrZs2snfSL&#10;b7iGWtXAsNbC1VFEzXnp39AJtrcQneYZB18a65M9X899S6sqe+gTWAfxk/n95PHtJA//K7LrMgrd&#10;uZbCZIuBfqJ0Tp3wCaG0HaaGzzwpYVT/L2IyYVbhBMqJYZXCMQ6kqI3iEIANjASRbhRVp/tS+cW0&#10;9TBt11DUAGjct+gduHaaxBUSJQ+0luQgkQttoJ+6tCTB1XCPF9VsYyalM18FNrI83H55MWUZzWQ5&#10;8+4xczy8we9JplaHAOzI7rg6KommBir8RvblJXxKIoRAa0s3WnIj4NjF4tLjD2fScPSEXDGnPA85&#10;A04nzMeKflwXEhmFK+swqp0nIJXeS7K6qpiQirn6+bVhQgCSi0iU30LXXdNnlfGwKNW0A69FopQb&#10;I2kkk9PNIbONbWnPOPe07SnbMh64ExadCbuLdmmJRJA50njwYO6+M4YoewCn5MGS4JPTuwu7WwPc&#10;HYQ1nIpo9XBkIuniPldQbsxOcQJYZw2zXFEWvv8oAsu2Pi1LOyuIv7yMfqqzVw44iqdwyhlLs4Cs&#10;Fz2k2olVLfa77KYOj4g0EUTbNZUSy/Xjp7b78uscZJXGoBoXyEkgoyDxHT7AlG61cT1xINMpeaFC&#10;qzX+gPNSQyFsVav93fHWRrV9GsE6xinysoxdq54hIL4RLwNA8VlqBaWBMyAzmPtmHvV5qwpWYce9&#10;Gj1b8nKbepwWq5v0YH0+NGpR15m7kmhX1Wq6WgT1zUjSI0Zx7Kz5Eq5ajkQGB1OhJhceIZi6lx9A&#10;1s4ZjQb+7C0IIgjdCwvLy8PVI4OVVfDtBKw769XeNm0Wku5aH1rYyd9em6SyYOIjB5RFYrGTcR7+&#10;7o5RKQce2Bss8wCfc1XEct8rdyE9iyh136McknrUdWVh64Hf+rStwWd6va1FPF+akvxcDiQwu1Ho&#10;Dno1NZPeKCYtykwaBrvS0jJmUrwKOAM/IQDBKvI8LThyClZE/B4xK4EVF3Fqq6UsksKgXdMYAaXd&#10;KBSRBgLX6wxbNHJqwmhRgajCtSO0CBdzKqWhc3aBLF0SKbNbeclGXPM4S8OqJKK2wJhojXRlLfVK&#10;TFnEJXDnYmmb2sEJGSULMT+5v6nKvu8norDieB+6MGxnltW/5rPaiIr5KXL9iK/gD24Gtlwtr1WL&#10;K0xYBNYVZlYF6zqCdT8Cq6GI9ZQpRagkNDyDAhoOV7FYf6MvKKfOyceeDON3AM8yt4M/SwGPluID&#10;MVxx7hGsBdGUnFMJ1H+XbRllEg/FLps9ohpCJ31zbYDn4GHl4pY+DfWAvNr4L9zNE0vwpDJsdANL&#10;weFhZXqYC/BplS0WxSWAyFFRSg9H4WlxqRTWW7qmT8wEa3hSLzaxKMEQ8Ss0CCHch/CPLnXVXhUS&#10;kHCsVREfEoPnRvt5hwN0C89kuqgz6YFenAl1g6kcMKQAa1jiSSCv77KhOqgPqhk+jxotD2jIgEVl&#10;SpoIo1gobHWJr3lIMCr5BshKoAv7SjJ9FY9SnZpUj1oDP56uBtkbdhqwOdGlZozmvSpGf9oXFIVH&#10;jkrkjsCkGPW9VHoAN2ep8ZmLuE7ah1lXmKcgVbqTnTFcGpr4Emd17LhEIk1TIX/Yvy7aZtGBFZ43&#10;Gi4srQwWlwisQMD1WBVHBAGzgNsx0e7jzUc80pgco1hHcCzgYW3jqJREuQF06YOfUFZ7FG/YFLVM&#10;zDRSq0H+ioiJYNh4kzY2tBC+rQqp1PFoomCn7oLmHU3CKzKYsZKhnuQnJNzI9w4HwpdsZYpUygUp&#10;ccbIFjYFQ3/kiKDLhKeqxr9qwIoIxofjiFkhdr6kI6wEr2RlQRB4WyzXPYpmKd0GtbiuyP15Yh6V&#10;7gydAwhc7aAzVcLTYSIEfQ+gUiLaECihPVIVMgh314RKtGpE586gJgcyE9IGGj7aPIesaNb/lfnK&#10;kI/tONwMgIC/3tqKZVfjEyi0yDTs+TCNIvgkQCVRFG5aklx6Anc2JkzrGw618FIEmJdJDstW7wuY&#10;xZ1BHbNiUeQGkOuFT8nBBjiLy7RETpHHmYMm6K3bUhQ7CeoghvJZ8CCqVGdajGKG0IoIU910iVEo&#10;f5yfSrh05t6SSXsIH4ucA3iMRWbzGLi9fdAycDqd5ZZGdBJMmbSCvbA8GjDqL+l3oFJoRQc0bcCi&#10;UDlMY4ySw+BczOCVsltKAFVKS3CMAB8ugPuRFMI0Z4bbEyKl1B5SA1aKKDFY0Wfl/W/5HgjXK4kK&#10;KRlOfO1FYOln9O5uGH5M6o9GOcMPCHpxR0kwimeUOPW7zHsgs5ZdE9r0XmIOGKuf/cKRRqwyRpEk&#10;ZMwk5BRZ4o4AZRphNML7XIBKtWhpj3zYxFosvOEl4lHDKGLHMSXtBoAp/UlOE87QaAkMdAGjLsyS&#10;YdS01g5WEE8HWCip2sAwW1fEqDgnzlGZFUZZdCQe6C62o0lKqDbqJ0INZi5FKr6HSQAKIyTd5b8R&#10;VLO+yDxK5M1sSg0eN2gdRpPzzqSAlMvL+En6d8iXv5ETFjAqeAgAVVAyEPGelCYVoZkbIFSIJEqe&#10;6JQY5a6HpdUzKyRYPUKrDWK28gAI2HfEr/70bHg00jn0GNgFBRo4YFRoBM9YGI8lFtpVVfH2/eyu&#10;8A51Z+YgQwlDJXFJdeAcCZPEmPhaHUAZdfQXvMDEeqRYYTQGvKp754oPRpxMszhIztcU347PKImq&#10;JSU6t+Xtmq1yY8BtK4/GUlJBJbAOwOuFwQW9+jWiJ9RJKCR42NRRBaMzsvUFIEEDA1hp6JeCNYIp&#10;QVXjUwBQdD3NKp0ZgLKCUN0SIrX30gZ5coBaN7NEMYNajwU3BpbmtB8JRkkq/WOeoYyccoyad8It&#10;zcaNMQpELkOlhEUldyLmIB/oIhne5NCNuYT6mIGVX8aAMIhcPnF9vQhSC/OzBQm950LbdcspaG5t&#10;AE7PgIy1DIDiu2kI5UZRQ4x9nkn6TCqHtN8ezMObGgAaQxZ+oUfkllPUKpSwJYf/jg0u5RH+HD7U&#10;XoXBjY72hODpJZwwbgvZsuxCtl0btyUdw28Ic1fV0ioaxkiN7u1hSR8RM8s7zYfgz+xtfSJ/tbuJ&#10;BS6vwChPp15zP2hGypllNrlL6uklGehQwUHj3uLHbCrJBgv0RmGHFbbvNYcSDN/N6rN94sQlNYtP&#10;uKU7HHfyT2CyVVg7gocWlvKYot9LQgW6hG086u+lsQe+l4JKt0dfIm8nlojvlleJ4pe58WimbVfH&#10;3MTMElyzy8vmJLhPM0KYXONC+LQczQDVpDi4tBldu7mkmQS6TJ00VKIlpTpmYhwrQJ04+hVMmQK0&#10;TkUlgEadj2/MpVS9FC7RDWKOpCph2gK/qUaSPMKDXIeD0XMFlDEBmHJFk8WWLY6ckpQ11YfVFQZT&#10;6QB14Ilw6pAU2+iEG/10DnzHNSKTHtM1oMwmyrAj4DxbFe/EoxL5pVyHg9FJVXPG77NpBMaQ6/U1&#10;ohVJ1BgWr1ZXvWHrofdf//b7rT/oubgIiGd32X4Hqi5nLw3XrBaCZsRYMKBOFo4UclCA13sck7SG&#10;aEy7VcC6FUPSeg617iq26zAwWrtOdpI6H+Y9hhjmUVgRuLcLrzemz25F83+xOBnbpOw4Gr35yRs/&#10;9NT99//H+BOfHH+a3pYBEx+4MZibykrucj/9+MiF2rXcQJy8Pp+8AvB6wfeloyifVaE7V/aHsR96&#10;cjnyF32T0DO9CJogfXZ5ngg4B6HKpEgA3b96/zk/tX63e56+2zfS55u2Lr+22OwKBN8S3ChwZm/0&#10;9ivGm4Qbf0BsC7c8oOfc0dc0B06olShWfGJ9W5UM1CUbTRg8Pwkz8cisFVStCaZFRlg8ZB0q9Ju6&#10;viNjgLnb+rnXflrtNd7P4PjUO7cf/rCtl/0jcWfdUaShvPYnhpf92pEHf2meCwx+B7gDPDILBeCM&#10;bpwhpA7DLyu2LRIIl/QqEnooHJf2QiYQAQX6rOHG2kaRC9H11hYkicMn7n76K/PpdWbWi8gej+PZ&#10;Q/JHW6s4V5BNm3k1/uvnbjzoF/b+8WSWU4NtrLu0svQLLz/+9O8ZrpUS8CAdXpUJ1h9nDWRZYDzZ&#10;FqKGBFYd/NLqApxxgEPQCUUE1RvPZrVgdEWsTj+ie6fTogwrs7c/JkqoBcrcedSq193dmU4js737&#10;YPw3V45OTvxS5KTSi8Pb3rpdD/RWNJjOwL8cJuS18fSXvvDVEf7lWQ84YPoK0IlLHSJ0wpVQYgEG&#10;chH/ia62i9lN0a4PBCpNuNP3k1zE/s/cdZPMUgWL1fPGsy/50ZsNjsctF34lFqqr8EJvqCRWlLWQ&#10;/kT3FN+MxQUEOmT3FBa/wfs34MO7HtUcNZTI6fFiVqu6apYLcL5IybmQ4ilPybgAxBB79uae0h8C&#10;j57bxp6xMbjDA4++5jkrt4nHOqHJqI67nz9400u3H//YzYf9yMaDf3zz0Y/f/p3L9/+/6339Uecx&#10;AJpcvwSxUhxBQodQSX5Fm05easD/mWiPvqwcpT8EjHYllbM03eKFiz/8rOOvferKJUfrJRxX//Tq&#10;zQc8YPPxL9x707sP/u+HRh/8vwd/9ba9F/361mUP2Hzym0b4eKKypcNIsDLhJH1Lfso8J5efJHD0&#10;FEGRzoftIRPZYxL1xrZPM4Rc9K6sA7Dj4RbBJfnLDfUd55Bi+H17UR81zTntyuKjXnT8175j8UhW&#10;BzdQrf798q1HP/fgE/IEYiTSwcnR6562+eS30YySGNaiPmSc2wJWg6kuuquvf3Ev1KSDZG7oHNRZ&#10;7gA5KGthOn8ePROmZYaaHpx/XhhWROCyGfytgz986cEprufS4M7ft/prTz/ym09c+5F7D4/xDaPq&#10;it/b/Sd+O0KyJDbVTiDJYOj1W7qalmfnpa6RUxjRZ9Fj6NMq9WnNDrQlISHTrulvyp2UkHr+GJ0h&#10;Xs5wVomO2S+EJ3WuOrDI1Jd839E/eNLaD3znyv0euPpLzzn2+HvLSGZ09ejvP6l4clgj++/Mnf1m&#10;rGbwymFqE1SMV/zwXfbbvqdBJiXRcGdDoLNO9x6mNUil/OUa69BpMhpF5ZJj6sPB6Dls7Gv7hT0S&#10;WJ2uNjQ4tXJkQYZVoO7h8L6PO/rylxx7BXx+f+27bxmQ4zMNqAouqxvfG7E6Ni1gweOMQZkfYeQv&#10;rEU9orXjy+N7Ll3SnFx2cbgmN/HERGD8rMwgSUGeea8frcbbG7hFFMTthrTW9dw9Dv51+wE/sPsR&#10;fgB3aenJ7zj24Atxffvuh3Yue/jux3gO6sjwWx+y8h1ft3TJ7Ya3uSmvQI9nR+1MrAr8pWfou/2h&#10;HOiST2Mn6/XJKzYjaNFPxpORemODcMLCY8Yhg6iAAuRZBN35x2+/rxQMKXJk8km6OXvfRaPIE14U&#10;1ZjCmrrchEUc/m1YCXqT5eolS/e2uc3t8Tv+585jH7XxXfc9fZdvWr/skVvP/uP9/6BNh3w7CHdi&#10;y7AucABuoUpb2RAeWsrYFPOzNfZx5TlzXFcqT4ba5cBmwltFaIhErm8ptNuUbGxqDax9i7fuJiWE&#10;bsOpwuAPp3jDIwaqM3iGQ8rVVahtYrRdl56LD6fjLvywdwqUewArhmhHE/jA0iH47O/hVZkjaTc3&#10;baUe/nXUL62HBJiuLT3qKat3v0kqxP7p8b+8d/9lz9q6/4M2X/nhukoGI0244WQ4tSmW35l4xnlk&#10;N+mUgNWeAwtFJWaLeoI+LTS1znraRKoQ98pwp1RXvRwWMLW22TsbJhOd+izCbme72t6qtrZxD2nc&#10;ZvIAw1vSDvScJxhH2p0Gd6CE9Pv71e4evOgEv9g71yaT4ZDvol4tz2OduHTtxX9y7Kk/vHznLx2s&#10;Zi7+3tUHz37iznshMhUDtQxbJVdeYE94lZqFLzlSy5UvlCAMWqesRr7ILuYwrb8fqJStAbGt3OlJ&#10;1Zg2VVOm0F6EiuVWSIpbgMst2pyXdvXgg7uEmxEpKIb4SESH7VYAqecQWKVqRKirN1960GOPvuqN&#10;573nXScu/4Ojv/641e+/5/A8nZc6+NT+698jps1rIY9EOQzpyiCj1xiagVOVi4Vi63jUKLu5N/cz&#10;ax1g6uRBH5nNga0o5QyYQYNR8f25ZlzfilRAJ0AKcLm5iSzo3loivSSVnZyP3BGNFKJyg58ASMWH&#10;9CdezHFYpAqKGu9X8NqrzY1qY6vaHy+snj+8w12Xv++H1p7yguO//zAcKHIX/NQnVe8Jm2aYsIG0&#10;4pX+NTY1pDItuQ//DGfnoIQ+AC45A7RERiQkehLbztXwrrBYEUjbGHvK1vwR4gmd0CTAnfDFZdxN&#10;JbE/He6JHwyiXfcxf3zo56xGanXVi9fveo9Td/mG03f9hvVf+9+yvIM7+a1vFd6yqovhS1oqwlTo&#10;BRqPGUb8Tg/CjDgdPnW40q1VpknVmUrVYEbWQ3i0YGS0wzViVACoqAJ0AsPBe/IQneGlM4Wuxb3C&#10;4w/BLf9Tb2FO9Y8QlHoovRgSkYpLKvt04VjlzXdOni+VMrj17RaPqut4xfO2/+e7R5+HVwmuj//l&#10;r3af+kowBnQsDi+5xOgjBQRb7dTuBxaVR5FlyMQDKj2ER2ONMxgmx11icxPiL+TbDaaSj2zzYTIK&#10;m6IuZZ/KWPwOMXxCKkoN0AT6ZFZzgIvkU8Vy89mfeLimXUf9OcGr1d1yxNxoz3Ykb95KeJKjZHRC&#10;Ps1X28s7/14r330bSbb78f1nPWbj3vc8fem91h/487vv/LScP3anlcu+JmijLtMSTB0Y3W2C6Ris&#10;fF2bZtp6tdd88hS0LpY2WpQq65MwuTsYYk/F4hRL6B2ur6ODmK9SVKcozSBoKNaVhZUDx/OjDv6w&#10;HiDjPwry4PhjSkKdXKlNd55Y/oXfXMtjT3bL0dstP/3pKxfD7iDmb9Vkp8pxKuNuGqJO5iphFp7g&#10;coXXryjtpod6aUsU3YFK4yZmmMJtIZrm/b2QXwuPEn1uV1ubEjJQz5YUJ5KqwG48n1FrkK7OAvEq&#10;XdcC1Dgh9Iu/6C2maPrPNg/1vEvXXv66Y0980NLFF7ng3nDhotstXfaYo69/1dHvvLVuGdQJHmXs&#10;OUZVq6mnvB/VqYQuiRqdhW4wrS+GuQ2eOFCSiwk13IgP5MIO0DUHOj4bG/QqHRl/idul9oQm2yic&#10;QNdl7o31FWnN/2QHQFGcz/LFoauYHcR/ZYzi/OrZd1Snrh7/56lqtDy46GbDW8CaKdk7hFqERz/J&#10;sjpr7ZJxDhaFqkqaJufLu1usUvlfVDItiXI2UYOnyi7Jm0C3lCTJhohURudUM6uIIqEWozAqqjbW&#10;GYF2p4msipCaxCpLMBprkKUx2RNAm/xYbqxmSal3wiNmuBdx0zMSZweAFZGkcdmkSbevRU3VLQSl&#10;+hKmrVOLVdEr8TDUEXjEAlNpoRGjcacITedK7IDR0Bnih/ICSMoYrQ5GClDFddJNfc0NoQkpyk+H&#10;UUmpxSc3siPhVx24vhxRL9/IO+zBCy6S5pmqVeZ0s0NimG7hssIw3RDJrc9tFohTMJH0eUOKu3s2&#10;JGo5C3EXVNNGpZ0xKkgNPkwYPsL7mTJbjwBdPy3wQNaLlUJqDbAQKaxv15j1iC8No8ITzJgMUMnZ&#10;xVcikmZyUazj9sFQGQymniuHp037Lj4Zq1WIM/CL46tkxFnXOQ8No21U2hOjkp2NcPh3ilE08adP&#10;SYOnvKjgjPpV5HqKZxr5ow08ypc8zNWpVcjJxoVe6Y6ecVNgZtNzCaZCn9LZpaZ1A5S4lZ2qSp0y&#10;ngeZS7ctoa6eTftj1AjVuiqMqxyP4kYC15/Ch2VTM22d2jn4oXzvD+gACv91EBQe9Wf0fsOokSgD&#10;txi0tzT0Rd6bc67C1IOoYRDdoaFnRpytuK4RpgamHUQvl+jVEawkhplOwyAJnua2nDUuUOjrsatP&#10;44FocaA3VR58iUjyhhFn5Y1ZJRSVVLNQa5l+nGIiqrVl5p8AbVrNp6FwDn1PjITWarFIYnKb/H5E&#10;T5rbNGJRwVw3FzyvYHVIeHkNlWelsgT2MchadEDrEYsZSx08h8ibxUQJgwZ8R85A1BiUN1zmfxGm&#10;kcSt2j+nE1jznWW1aDAGk0gqwBcehcXIsGWhoMVnF61a0M6SdhoOq+RT9NaRfI9y3xmB/k8yJgg/&#10;Y7aw7s3bGWMuYPdpoeqN4ZiGoPrpp79C+9/RJhHtNY5u6PqGjpdLixEQlPakbEynRqWouDZz6wdh&#10;7FASvBSlJd2LxXcVKXkOeE5eVz57JbUp8ZCvHx5CJ6xYye5PmBXdRhjdgNcqyPo38UD9MpzaRo8u&#10;MDxVf45B5WtEpQGVRV8KTxpVcu1sBMaFJDLxT7D4Z+PM0zTNU7j3sCE6aZ8XpE56u6v5EB/wgPXz&#10;jK5kH1uhxbiY3DElS9+iuoT8Yj+z7I8KOB1YBbsM06hA6Vqxhz1jcJwV2R02QqetNHuB0x3DMZKo&#10;ZuSW72m2XID9TfAafrYLwuqVcL38YIp0/BvagJYBkAMhXFtsHpkPt2s6eJpOK013n1GUNBfe3gYT&#10;q8UzU/K9Nk8ZoUwN0yG9zyoGpI7gBZwikp8UccqIJYi0FKy8uQCBP91svFr+yO7jdTHhDFPavNjp&#10;g6hU/0Srfpsw3aGRJOLBWeeRnTkCoYNw51wSUiM+k1zLpzn8uZJ2B6zJMBYrASzRiefNUmM5ECny&#10;HEtaZiGZ49NQFI+TnDkPqWSPbblsIkRvUaHnTGqmCbm2Dn/B91Wh2BfngIb3y888PNoovO361DWw&#10;dnBqrM+00AY1mEkEN27i8xR7kjvpDDVNU2VrOkSLfoyQmD8DI/pqk0SOLFUWe52Ui9gSKmsKRfLD&#10;OhkjBmp0ndZjsaGbT92wM8tg7hBslXQWNqQbfnxJfjVGbMEnlicQc5tSMxKNrTnZWs2NtoLDHxmo&#10;WbNRWRWshhaDEW+R0NoKX0xwOBpoMcLGlsajcftqLLQorOadOcJpoak5d0ByltvDiyffOR+Go+N4&#10;cz5TOHIOUnqw/XqmGNs6nGb4YinNGigRqvkQdiukSla1ZfDGjLxzRviJjvCz5AO6lapxkFPycFD2&#10;rEr+QPC2jZptQyAFsVwJ3G2yzX2r/8PF4FnU2Sa2sCWN1Zh+n7S88lKQJROhwmw1bRJQprJnJl7i&#10;TQ7dgkEjRRq2awH88IkXXrxIypjd2WjsHnayClk4p+BwwTSb0iykMO9VI7MRd+a5eEJtWB0cuova&#10;3xJYjfGisbihSYU33BZ91GhYHuHV3a8epi1uYRzrvSSkkxSHTRycKhY5c632zZBaIR/VyZlMb32z&#10;n2/6jlTaMZkPdqZyg5oo9lRz2Bg4bnz7lepR13fw+STfsiPAKaEgTo0Do4Bm34QW6i9Y9doK2GOl&#10;822wPHdlgVoISmS3LFfnlj3sakXlGToavjBUyvUpPMflEvqAt/GoJ1fGU5h5NNkUPwVcR46n3OCc&#10;TQ1LKhqd80l3ongaFiXclrqOyVhLjS5bBDz+TGIFM2jXPMifYjHUdpLizk7er2eCEHK22HOIutdy&#10;SjmCrZD2LTzY/+zVQnuEFAk7MmqKzyzy3Wzi2ZIymNlHTNuPk/FWnXxj4a8A1JDdpZHwHut3ysIS&#10;ujcJYakMboaBb4jrerh7O9xSXfWuvfd/XgS58KuWv/2O595DKx2q2SFJsc3MQHbIIEni8gOMfpbx&#10;yOY2K0opOeJE7jmKtoBRts5KwQGvPMqJ0UkoD3Px8HN8zcEbrxhdT8gbHFv8tvsv3QrWMXmJ9kdX&#10;/snBJxlww+Hd7r/8Vcfx6+gzB5dfOeJ1B0u3XvrB+yyuiinAlxfaM0+mBXgG6j1v3P/IBvWN1cVv&#10;uWz5tpMsmKqufsvWD/7K/mdoMvkmd1978fPWvva8/q1xw7hj1hh1WCSMav5d+EuBnGCRGNL8fUeu&#10;HsoES0WPg6wgde+DO9/9kN2PEgSHt1p55RVHvmE1bsDtvZ+86/Y7eJuv5cVfveL4I74Ev+7+7fY3&#10;/cTef9LywpV7H/mHP1gBqDDTA49Cgem+Jnv7T/muzT/6DNXl/OUX/tWxb0sK6oCb7X/e+dFH7Lxv&#10;HZPe4l5rL37O2h2PdbjtBp/Eg2gKHmU9UWZhXN8boI54jVVDxq4tvHcgCbgwiUnVldxVoqZmpzxm&#10;75KOr9l/6i8KQG91nyMve+4XAaqt4EfazR2yw9iQMhOMdoIDIpGw7f8K2JvcOIt3Ws9wYwoiX9dp&#10;XLWiuELTypnFmwzv/d+W7kufb710uOQr36lmPckNXIXX7v3HRYt3+drFe/7A0Zc/Z/WSIz1zuDEk&#10;jyKW01QYY0+Rq+kH1wYdczEjgDpfkVEb8soha2Sq5QnDaXCiMFQ3uXj4Vn8sfcXqM19w7MW/i5/f&#10;fdRS4b2es0XqcHiPnz722lef+NNXn3jFk1dutzJNA9wI7u3OrGVl2HtFdKDDXBc8y5jiAoO6gVE0&#10;rDE0ZJM/njD9+Cmwa44kpm7xDAojOqnU7viTHxv920fx87HP4b6WyVFtjj/4d/tvfdv+335otFm7&#10;K3S1/lnJ5N8+Njq5twDvQ7nq3Xuv+MOdF750972fizvJ3vij/7j/zrfvveXK/fd8eLReihuEG8bV&#10;Z/55/8q37b3j7w4+vYmnt64ZfZSkhYI+x2O92H5Ajh967/7br9i74t37H/hUOSwxXh9/jDP56OjT&#10;PNI8qD7z4f23vx2rudEcyuggv0rUwSSXsMUj6QgbSSQV7qqLrfIlOQYH/wljpm40E/xKB2iKLBHM&#10;eDpAh/YGdDgHq5B07G9DKN5zjMfwUhEYM33Xg8OY6Y/eduQeCUUlY6a30ZipWtj7wM536WDr2Lcf&#10;+YfnrcAraIXa98fvfOH2M15x8B8KhRP/7/JPP2n5U7+69ap0zFS94WdOPe6dpJilxZ99/sonnrv9&#10;xo+SiMPBQ/7gvKffA7McfeHgVS/YeelbDj7Nb12iY/nCxW950Opjf2Lly1MOr65+986Tn7n7V5+Q&#10;B8aGx4f3fdSR7/n09s/8MW/+N/je55//2/8tZLX78b3ff/7uq981ulZ2gMZLF16y/JBHrT3qvove&#10;p9h+0+ZdfmWfdz289NHHfnh993mXH3xSpVq71dJDHnfkF75jMRkN9pS/hL7acxQPrOB1MbjXogSL&#10;aIvj4bB+k8M67IXxVvLumxJVSX8w820BUXVPGWfR4X5af4pcCrxBekqNN1ozPeGLae3h4/E7nrr5&#10;qN8LAIW71/99/5k/s/2Ok43aH4//+Mnbb2CAumP0qb3HPnjjaZdHAIXr+ydHb3vx1vf/2PZ7eZ8s&#10;OaovvGv7YT+7+y4FKJweb4yvePbm097J226mx8Y/7Tz8h7Ze8LYIoJDo5FX7L3zsxo/8zkGUvbv7&#10;qpdv/sIrA0Dhys7VBy/95Y1feUsU0ugpfz+AQkmw0zdsBgqPxwHz20wRvedIXhdTyNFTablAtzei&#10;9ymNp+1kjkPK0IHRtJ5t7S5FRzMLOufpwd2KuWIdih4Cibbz3t2n/9kYjHZyVBvV5xwLFnIdV5//&#10;gtTv6NGFRS5iNHrlk7b+gti3eJz+4O6vPH8/mO7dgxf+1t7HC8UvfE7D/lE+m/vPevzO37vOI6aJ&#10;E42r979k67f+uuypbG/qg70+x4PqL18AOtBTfeXvAVF8twy8KGHknjuSsI9sFY95AWpbXsHFeE0P&#10;80cJlYHSIpCqX8FpyK8UVs3G+OV6xUM8wb1gwP8T7q5OHfzhk7Z+8fHx58l7H+n2jhESr/q7N+1/&#10;St2ypZsvPfKZx978xuOveNrq113UQf1Lg6//yaNv/dvzP/S+Cz70ruOP/OqFvX/ee8379calwTc+&#10;8uifvPHEW1597An303eALyx88i/23n69pNl9z/5bdT98eGf4PX7i6Kv/7MQb/vDIw+8s7xGNhaiu&#10;fvPuGz4h545dvPyUV5z3gQ9e8OG/Pv7chy6e4IY5GL/pZaFGSR1ue5+157/yxFtfd+wZD1m8UPvt&#10;6NP7b/lHafa+8jOq6jxGvYT/bu/gW5AgKRn7IBdLARihd2+IQeVsm44UqYRRz0QMTjvkp59A4ueU&#10;bVzlTL8NblJqU2EdBjNoBv+D8LU5/qs37F/++vjzxtFn/FAg+AulKh+MP/iRsEPFt/3S0cfdb/kO&#10;Fy/d87IjL37y8i3atoO81fce/b2fW7n9BSj66s0Wv+S8hav/Qae4FhZu+T1HX/CYlbtevHjJ1y4/&#10;4hnHfvKrRIBq4+DvPyA98uP/PDqpjXGTbz3ygp9duftXLt7xHqu/+rtHvufmucDV3//twQafXhw+&#10;9GlHH3bX4bHhwupNl+73S0cf/hWSfusD+3/Lw6P4WLpk9XnPWfvur1u8/VctP/gJxx57Tx1ijKuP&#10;/RsPIqui/Lf/2uUfe3oqP4LEjGHzsAYGA7vVNrzCT2/Bzb9tuYgyGhIbW2xUJ4ar23YLoepJ0dxU&#10;worR9wBWG3/o3BLPKAmb8kmXSYpgr80AXmY6dy032SXg9Tg3rq65TpMvL97zG8JM+gX3WL5L85zQ&#10;YHDXey8l85qf/axFDAZ3vqe7ujS87zcv2rvCIBmX+oUvBF/wjl+/dKH1iguWv+XOWW33xlf9u0g7&#10;OL546Ve4BEvDO91BV2zvjf/lowUd3PROS5fY+HI4uNfX67vLFhY21kXsRP4TunR9YWn4rd8Uyx/j&#10;0h78yr7Apu/jTWbQ7PlEREVMZAJTPN9rVkXX5gnIjJ3FrPPUpZl2zF5+evr0KM+hJohWzXpOjdaN&#10;xuOu4cLR4wsnso9AwZqpAdlVta2u2ODE8CZrrmmXBxeeaET7cHDh+WmCjU3t/MOFCy+Irl50QQiN&#10;bIFbRhfhpak6Khzc9CaRoBdekD8lUF0vLAo2ffT639h60lPts/3aD2tW4+rU9QXJ11Z9bGawthaK&#10;s47l5b8gkf/CcPsmvEDGTHz8NFiOUdgjTPL3MOVqE4kWkEqN3mfpTbxRNzNiQJH8to2/HF/G1GtU&#10;aiRaGOm7Wwyc0jeoVp5Vh7dcecn/Of9D748+H/ybI98Mb5DpePgFiou4G5Q/kp95lnk8zjta8dVo&#10;MGgj9shIJPGT3NOA165qsAn8nHe8bu81rw2ft/+r2UZ4BXDH+qfJXCjBb5eIb0zwSXkzV/ch2134&#10;oFHHHW7UCw3OqNpbQarMRQN34kcJjdbY2SZiTXUyf9TrWaEaIMt9wjjU23c30jKLz3JwclMA4tKT&#10;qHkI6ommnGjFa78pk2bsyIbK+tTNTvqEjd5y27J1J3g9Sxyo39nt5I/NSq7iLgECO+96SnnkUuJG&#10;dYhOfE92GaAYB+UYbyyncCdeMC+RYarGmdMLTZBfUZRQs3XzTHJKS5R/HTYjslTZNFlMsf5sqELE&#10;PglRlfHna19MUQdQ1oLdDu/Ii2E6wRuenHlKXhAVvRwR3yFBx3knAl196uPjEJYZja/6aIbRwWBN&#10;HcrhLVZeeOV573l3+fNb921XVRHcbsM2fJWmIA+/jGGDebsFqslv94JziFIEUHrQaAbemyAep93L&#10;DqgLD4WxNTuMwmIxVdntNUh1YyaFvasgTyEx/Pm0Gz+FHhTZOk6ls098UyQ6crwAFNIRyDwBF/Vb&#10;PlnDjta7ILTJBwREr/FMtltdUxcNry/+xHHF3Li69too3TXXhEY+dh6Hlga3u3hoczz/8uc7V3xG&#10;xvtXXb7zqn/OihkOLtAx2hhex3r+8GY3C5+LzhsAKy/xZ5Klrljc8WNO/i945C1c84XQZ45BNQWa&#10;KYOaN8ZjKlz3yACh9sW9NfXDBjT6aI0DhulGLJg/emRITZ9nUkwayqjBI6TqmRS+CkcrTKCZNIdf&#10;HUKS9QBoalUaobs4+BIL8RyM/tf/Muqsrn773nubY/iljG9zm8BE77ty//MWqd0dvekdSpPD4W1u&#10;I1Ked/flu2gnGX1m/3EPXH/Aj2384P1PP/Cp+5/NJ9OXFu9wsZqWzYMr/7cn+vEVTzj9dfegz702&#10;XvSvLY5LStFqSW9962AJ3vfOvc/BVBCRZbUzevOVJv/g1remd86WNEDsGQ3hCSb6ASxxFJSRIJe8&#10;G59mKr02cmkljZMhc96VE5VBFUOBqGPGDuytvqd4IdZv7Dwx2oSGqo7eStmJSIvDu9xJUVVV7/of&#10;m49/ye4VV+696rmbD33GQSnIWFeG6Pzmd1u6vbqY1165/Ygn7Fx+5f7b3rjztJ/afNnHtGEuXLzH&#10;V4lMw/+y8lMPHJpTenB6/IH3HPzDVRUFEwvHf73X0vl867h681M3n/Cyvfd8aPThf9r/s+dvPfMd&#10;ArzB0cWLb12rQsZQchiwbnbXxdtrWOS6d27/1K/u/Nm79t/x5t1ff/TWKy3sdcHS3b9C3otcHCr5&#10;zHEzGAYoOZc4KY9T8/ydt7E3EvIjcZeHxb9SMqU0EqO17bt8xd13bm9v6I32PGq534TDnI9EYdzL&#10;PHNOidkmThlcev/lr9aQU7U+uvy5249+zNaTX3LwidrXTzbBdOnilR+9t9JEVX3kTTu//JjN//74&#10;nVe8tzJf8yu/f/WbQ1Rr8PU/d+zX7jtMFsYs3XTpsvvku/kObvrtqw/9ShGgOjV63bO2fugH1u/3&#10;kM1fevHB1VrAbb9z5ZsvKAspRrNwkb3JhcXbrTzsXib/wr/85e4TH7v1mCftvOp9Qf5LHrByb3j8&#10;JrO/lqvrA7hMRMiSGBRtPUGT4qD6UEbiyMWsysbCd62S6a/bAyKvqoEpd345McNPAO1Aquela2gr&#10;NMGh7lrP4TmsK336Ty9dmHWDwdHBLc/vX/5w+L1POfqTX1O7AcqX3OfIcx65FK0zOrL4kOedeNPv&#10;rj3ie5e/8W5L97j38g/9zNHX/vmxh1+SjBhJmNWlRz/76Pd+Wa1g8MjUs39+uRjYjRSTrJegnxhR&#10;Ggy/+4lHfuyra+W/1TevPfMR4PE6Q9+ocHsRJkV9EJrmksobipnGijTEgScnqvUx8U7dKM40AjnF&#10;3YezduMhPVFQYjJiD3j2wyntUkHmXqOlor44r+SSFgDZ3/HHj73qN1bueduBWLnBwi3utPKrLzr6&#10;/bfqj1GwaBct/9LLjv/eY5bvdttBCNQOF27+FUsPf8rx1z9v9faF9c6Di79l7Qm/eezlLz/+Ry86&#10;9rRHrVx6k4XdPeWjwcJxt5xv5ctWnv3Hx3/7p5YvvZUKDGIOF252ydJDn3DszX+w9rXNUw/OXwzV&#10;Mw8ShjgXLj/2xcee/9+Xv+42cf63X3rYE4+95rdWv1zlDxpttFRLSwUE6kCKd42tPWAxFF/z6PTD&#10;MpsCOfjC58344j1qh8NjnN7QM1Mydv0hNpw6jfQqo1U5KWP5gOYpAJrqjX8bNA249NQywaE69Znx&#10;1acXjt18eOubzGQnqGrr2vFnv1DtwIzUzYe3Ekcy0sn2+3ef8ecjmLOB40vvu/aoe+uQZTR62SPW&#10;n/FeSry8+Pi/OPHjt8kbstq4ZvzZa6v9xcFFtxjeEt7fXDoi75Pj4cQzFC8S3zRwlY2ESCFb11X/&#10;eW21O1i44ObD/2L5u3Ks3fOG5jPEahjGxxZnEqVJeV0wSntqO0eRBMN7GAN7OBnBzBgGP5JzJMbA&#10;MCo3EEbdgCl2RgNGc0xYjImZ3w+h8Lu4z5w/6q8jRkv9uAGj2se4qdyT9Vbtng5DERxdTu69b/s7&#10;Hr77cRrCL91y6eefceSh/3VxZWP0N3+0/YTfP7iGn2K949obXr12STrD2yX7aHjEYGW/k6EQWVIF&#10;B+dbY3W00GCFFIlOnMRHgZ/QC2ErcBzQM0AJqYuL+Ers4RBfSBQpnlEwKMT/85xNoAijbmE806DQ&#10;qjU8f0l6WAg3yCiPuTSCqWySUzL9LQ2SQaqMMeyNLLJ2TnpkOTBNzkTzBuvBwfN/cOMFH3H1W1xY&#10;HC2EuNPS8LLnHv/N+/SZu3aZWdUS7vQMatSVQ9OrPdJNPUZD/2f0akp47cdohMQk/ihgFIZQMP88&#10;FCr1PQNhDauecRSYFZuwuPyMn11u2sG5rUWTqsXI8yGnstnqRB0WSGOVe5HiXPlKHoiJSoFb+JOq&#10;q4MsXSqxtPSTzzhyn1u63DxAlwf3/rmjT5oYoJyr+po4IQQd0k+1++8+AJnorUNdW5MsLQ3AMbU2&#10;wSGazAIATcCUFX1g7grgNTSApk2ReI+ubcHWX8OpjRwZqGLuE+KUBo3b1QeUeKlLJx7lZHX4UF70&#10;XZC9GfFhTGo7Y7lhugFGp/2C6AZU+bK4CDuasdjWbyGb8XUHl7909/J3Hnz4U9UO2/cLh19z9+Xv&#10;/+HV+1v4thUFLgF2PJAq2PRozYegluFrdxXlTEgrq3JiLRUTTjc+B9puAx9jUpePvVJz+djuA33q&#10;FH+k9LwsV9xgtH6aV68w0sRrrMOoICrGVidbz+8GCbIEyk5hmiBGhRI9O3WHhJRt6GSMUQBER7Tl&#10;JXYETQeMWk6jPXjperVwdHC+zUl2LKUJoOx3BpiaM2qN6Qsp4UKuB7wlBjEGYoRkaU5StyYzP1id&#10;PY6bYhrg1LzGeblxEZj3aH+vWj8N5JxglAfo0i08AhJmNdRycmZRc0aFYvGkrHwRjqYxEx/FPhQq&#10;QzgQBvWtld3LgpF9xyURwjddcHAoGO0iSHOa0EvDqChdONfsgEYYiQHTG6NCLSKUH/Ekox+l/UYu&#10;KtkrzQf90cEahuiwAzgdBVaNTnOSOGnOcJwPmqOEafR27y+T1SodekGvhnrwmUK9NGkPgE6PncPM&#10;gXTCiqXlc+SDJp4oJ2iVqj1FaxaSoAQwu5cvIt6SHhK4qQhQYSb4h8ZMK8u4rKbpcKC0qgm3FVCo&#10;qQ0xJGWqk3jqXkaj8ZKFIKcjUgOoduGAVzqDJHrDO0zbik4EKC2f0zATD5ICPRRwmjVB0NMsEMt2&#10;lNEo0OQCIjj6i43o1tsIo1C3o0fRb3D5BZkjUFISA0ySKKHiVAGUOvwp4cgyjDjT6a/IoJxYABpz&#10;vBXSpI1mTZ0FeA8A5aE8wdHQKV9YBQmFZozaAFOpaA1aMyW5E2rGY3MekOlw1UmbcT5uvv4oPIbm&#10;yk3bOoeqFZck1XkOX2ePZoFp4xZOou1YX/4XfOeaRPWx+d8a8zFjNM44u3L7RQANwSYXpedaq4nP&#10;gZoY/gkoEypadxfpoFYRMU7bASokG+XHzzPRqcUleFYr5OKTleWrkTpCUgRffguYHpzONJrnljgD&#10;mjhkYd/kXozAtR5cXa10a/LGBB2Km66AyGTpIxyl5zdaHdAYuZHg+qN7bWIKbeupJQbmczK29i1S&#10;aBjjUbppdXWwQqsKQueIuSsnUzlj9XTIC4hhBRHIhBWSpssli9MFKUgyJNG0/9JYvicipkVqW+v0&#10;FKeUnKpkAR1v4oMHn3T1Zsz1RyRnH3ElVjzha951wVpaURSrCBWuDBGG/y20Ea/NgxLgsdd0/ETl&#10;5j0vQZvnMH+HOamKZqpHAlZftaiagkh6xQ0pgQEaEyGcwWnPekS0YmlysM6MkwvSS79mbXIQNH5o&#10;k843UWj5YitMuWO09DDDGqdr1XHslfXovvn60cHCkSM0tdVeqKNGVydft4RKFaZ6Y6IG1aj0UPW9&#10;dJwlnoL0RVILpRwc7EGYdwYr/KdyAyaHebm5hAI8QF3Qw0L3ZSzFii0gNde8tEktdjJCzIHJmUpC&#10;YRSfX0dExSLAKoCyTEeOFmDKWit2L+nxnJn8UO+QNUvcqTfj7K2kNb174+FSkv2gqV6VVGwE/4aN&#10;HtYX4GEcDMQcTAjTouom0ues/NzQKArRyNzLwnpBcY2k0tGTrFxzt/FkB6azLOhNbo0qywL7kn2z&#10;nulq/bZHMH5aRjbVFx6XiDXixZhKZZSpj/UKoSpeCV1+iKNbiaNm2dkRaAqyafcVz6DcZWnJwnhv&#10;F9PDUtHxqAzT5uaou9oG02wgncGiQzPXJ1FrEpxRnjyTHi9sIHhNY04xFu2ujHVD3Qtk6xgnvVFT&#10;xw6olZqQaBGgZni8+fI61+9NW3Ph+AnC+2GaHVGhYviGpZPCso5RgyeqJ6XnBzLm5TAhCsWUiSwb&#10;qcw96+xk4PfarB4FocawVyzClAg1dxE7dNYyVhL1xfbchavr0uWidIOtxJJS485sKn1b7RKW0UJi&#10;1J8V1M4SUruElmw0KLEdMxAyb/j6pzXMc43VWEgfJ8jfxSgi48w3qAOeq1pZDitByxqOiYgpM5gB&#10;/S0g5muOUDk1g1VdTz9olHWy0ldY1RDBHnHdq+HiYPUYCntA67rBMTUneFKEtOBokmybmyUu0Lo5&#10;jZS8lde9GNhxckfYoqZLH6hx2BpujXGmv1LSM+jkQYCQd5RVsW+nBDsYHbg9rYXnkMxgMkNWZpA6&#10;cFMKGztLMfSP/y4/qQzuX3hG/toaleg8p6yNaw4qeQIhlMRj26RzAkCr3a3B4jIvZKyWVvxq6jrl&#10;w24xuOMwfrTJhRZoXZk9U1Z7fzMgIM8iMzV6HsHU4GY2+gg8PwhPm9twF40PaYliaWUZ88XmquG0&#10;ca2VDZnYoiiBrMK0gIvCoWF9SZCwj6xNGEVQ0tw3ttwQVQZPBaiDKHXHslx59jMGKIM1hWmuviS3&#10;8LABFWERQb3RCkaV7e9Uu9uD5VV6pnZQLQJMywdVZE8eV2BDxV3F/lrXwkfFFznDQl6NYKN2rBWh&#10;Ft2GQtluSdBJpoN6Uqk/u6bv3vbueQoPHcNoEaymGWlQDq64pL4FC9jgencXElP//zOlKZTmankH&#10;AAAAAElFTkSuQmCCUEsBAi0AFAAGAAgAAAAhALGCZ7YKAQAAEwIAABMAAAAAAAAAAAAAAAAAAAAA&#10;AFtDb250ZW50X1R5cGVzXS54bWxQSwECLQAUAAYACAAAACEAOP0h/9YAAACUAQAACwAAAAAAAAAA&#10;AAAAAAA7AQAAX3JlbHMvLnJlbHNQSwECLQAUAAYACAAAACEAUYT/64AHAAD4KAAADgAAAAAAAAAA&#10;AAAAAAA6AgAAZHJzL2Uyb0RvYy54bWxQSwECLQAUAAYACAAAACEAqiYOvrwAAAAhAQAAGQAAAAAA&#10;AAAAAAAAAADmCQAAZHJzL19yZWxzL2Uyb0RvYy54bWwucmVsc1BLAQItABQABgAIAAAAIQBzBDyn&#10;4QAAAA4BAAAPAAAAAAAAAAAAAAAAANkKAABkcnMvZG93bnJldi54bWxQSwECLQAKAAAAAAAAACEA&#10;DHWx4VeDAABXgwAAFAAAAAAAAAAAAAAAAADnCwAAZHJzL21lZGlhL2ltYWdlMS5wbmdQSwUGAAAA&#10;AAYABgB8AQAAcI8AAAAA&#10;">
                <v:group id="42 Grupo" o:spid="_x0000_s1210" style="position:absolute;width:57877;height:31592" coordsize="57877,3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Imagen 1" o:spid="_x0000_s1211" type="#_x0000_t75" style="position:absolute;left:16735;width:21480;height:30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WoHvwAAANwAAAAPAAAAZHJzL2Rvd25yZXYueG1sRE9LasMw&#10;EN0Hegcxhe4SyVmU4EYxTktJt3FzgMGaWibWyEiy49y+KgS6m8f7zr5a3CBmCrH3rKHYKBDErTc9&#10;dxou35/rHYiYkA0OnknDnSJUh6fVHkvjb3ymuUmdyCEcS9RgUxpLKWNryWHc+JE4cz8+OEwZhk6a&#10;gLcc7ga5VepVOuw5N1gc6d1Se20mp+FjWzSXIPEYONRWqek01/eT1i/PS/0GItGS/sUP95fJ83cF&#10;/D2TL5CHXwAAAP//AwBQSwECLQAUAAYACAAAACEA2+H2y+4AAACFAQAAEwAAAAAAAAAAAAAAAAAA&#10;AAAAW0NvbnRlbnRfVHlwZXNdLnhtbFBLAQItABQABgAIAAAAIQBa9CxbvwAAABUBAAALAAAAAAAA&#10;AAAAAAAAAB8BAABfcmVscy8ucmVsc1BLAQItABQABgAIAAAAIQDZOWoHvwAAANwAAAAPAAAAAAAA&#10;AAAAAAAAAAcCAABkcnMvZG93bnJldi54bWxQSwUGAAAAAAMAAwC3AAAA8wIAAAAA&#10;">
                    <v:imagedata r:id="rId1260" o:title=""/>
                    <v:path arrowok="t"/>
                  </v:shape>
                  <v:group id="41 Grupo" o:spid="_x0000_s1212" style="position:absolute;top:2803;width:57877;height:28789" coordorigin=",-905" coordsize="57877,2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group id="15 Grupo" o:spid="_x0000_s1213" style="position:absolute;left:434;top:-905;width:17158;height:3846" coordorigin="3,-905" coordsize="17158,3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shape id="5 Conector recto de flecha" o:spid="_x0000_s1214" type="#_x0000_t32" style="position:absolute;left:12163;top:1035;width:49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9V7wQAAANwAAAAPAAAAZHJzL2Rvd25yZXYueG1sRE9Li8Iw&#10;EL4L/ocwgjdNW2SValpEENaLy/q4D83YFptJbbK1/vvNwoK3+fies8kH04ieOldbVhDPIxDEhdU1&#10;lwou5/1sBcJ5ZI2NZVLwIgd5Nh5tMNX2yd/Un3wpQgi7FBVU3replK6oyKCb25Y4cDfbGfQBdqXU&#10;HT5DuGlkEkUf0mDNoaHClnYVFffTj1FwWMZDHN2Tx85f9186qRfHXlqlppNhuwbhafBv8b/7U4f5&#10;qwX8PRMukNkvAAAA//8DAFBLAQItABQABgAIAAAAIQDb4fbL7gAAAIUBAAATAAAAAAAAAAAAAAAA&#10;AAAAAABbQ29udGVudF9UeXBlc10ueG1sUEsBAi0AFAAGAAgAAAAhAFr0LFu/AAAAFQEAAAsAAAAA&#10;AAAAAAAAAAAAHwEAAF9yZWxzLy5yZWxzUEsBAi0AFAAGAAgAAAAhAHCT1XvBAAAA3AAAAA8AAAAA&#10;AAAAAAAAAAAABwIAAGRycy9kb3ducmV2LnhtbFBLBQYAAAAAAwADALcAAAD1AgAAAAA=&#10;" stroked="f">
                        <v:stroke endarrow="open"/>
                      </v:shape>
                      <v:shape id="6 Cuadro de texto" o:spid="_x0000_s1215" type="#_x0000_t202" style="position:absolute;left:3;top:-905;width:12160;height:3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OBRxAAAANwAAAAPAAAAZHJzL2Rvd25yZXYueG1sRE/fa8Iw&#10;EH4f+D+EE/Y2Uwcb0hlliGMKK8468PVozrazuZQks9W/3gjC3u7j+3nTeW8acSLna8sKxqMEBHFh&#10;dc2lgp/dx9MEhA/IGhvLpOBMHuazwcMUU2073tIpD6WIIexTVFCF0KZS+qIig35kW+LIHawzGCJ0&#10;pdQOuxhuGvmcJK/SYM2xocKWFhUVx/zPKNh3+afbrNe/3+0qu2wuefZFy0ypx2H//gYiUB/+xXf3&#10;Ssf5kxe4PRMvkLMrAAAA//8DAFBLAQItABQABgAIAAAAIQDb4fbL7gAAAIUBAAATAAAAAAAAAAAA&#10;AAAAAAAAAABbQ29udGVudF9UeXBlc10ueG1sUEsBAi0AFAAGAAgAAAAhAFr0LFu/AAAAFQEAAAsA&#10;AAAAAAAAAAAAAAAAHwEAAF9yZWxzLy5yZWxzUEsBAi0AFAAGAAgAAAAhAEQY4FHEAAAA3AAAAA8A&#10;AAAAAAAAAAAAAAAABwIAAGRycy9kb3ducmV2LnhtbFBLBQYAAAAAAwADALcAAAD4AgAAAAA=&#10;" fillcolor="window" stroked="f" strokeweight=".5pt">
                        <v:textbox>
                          <w:txbxContent>
                            <w:p w:rsidR="00C20C0F" w:rsidRDefault="00C20C0F" w:rsidP="00C932A6">
                              <w:pPr>
                                <w:jc w:val="center"/>
                              </w:pPr>
                              <w:r>
                                <w:t>Número atómico</w:t>
                              </w:r>
                            </w:p>
                          </w:txbxContent>
                        </v:textbox>
                      </v:shape>
                    </v:group>
                    <v:group id="13 Grupo" o:spid="_x0000_s1216" style="position:absolute;left:30710;top:18714;width:27167;height:8541" coordorigin=",-5" coordsize="27167,8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7 Cuadro de texto" o:spid="_x0000_s1217" type="#_x0000_t202" style="position:absolute;left:10605;top:-5;width:16562;height: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tu9xAAAANwAAAAPAAAAZHJzL2Rvd25yZXYueG1sRE9Na8JA&#10;EL0X/A/LCL3VjT20krpKEUsVGqyx4HXIjklqdjbsbk3017uC0Ns83udM571pxImcry0rGI8SEMSF&#10;1TWXCn52H08TED4ga2wsk4IzeZjPBg9TTLXteEunPJQihrBPUUEVQptK6YuKDPqRbYkjd7DOYIjQ&#10;lVI77GK4aeRzkrxIgzXHhgpbWlRUHPM/o2Df5Z9us17/frer7LK55NkXLTOlHof9+xuIQH34F9/d&#10;Kx3nT17h9ky8QM6uAAAA//8DAFBLAQItABQABgAIAAAAIQDb4fbL7gAAAIUBAAATAAAAAAAAAAAA&#10;AAAAAAAAAABbQ29udGVudF9UeXBlc10ueG1sUEsBAi0AFAAGAAgAAAAhAFr0LFu/AAAAFQEAAAsA&#10;AAAAAAAAAAAAAAAAHwEAAF9yZWxzLy5yZWxzUEsBAi0AFAAGAAgAAAAhANuG273EAAAA3AAAAA8A&#10;AAAAAAAAAAAAAAAABwIAAGRycy9kb3ducmV2LnhtbFBLBQYAAAAAAwADALcAAAD4AgAAAAA=&#10;" fillcolor="window" stroked="f" strokeweight=".5pt">
                        <v:textbox>
                          <w:txbxContent>
                            <w:p w:rsidR="00C20C0F" w:rsidRDefault="00C20C0F" w:rsidP="00C932A6">
                              <w:pPr>
                                <w:jc w:val="center"/>
                              </w:pPr>
                              <w:r>
                                <w:t>Configuración electrónica</w:t>
                              </w:r>
                            </w:p>
                          </w:txbxContent>
                        </v:textbox>
                      </v:shape>
                      <v:shape id="8 Conector recto de flecha" o:spid="_x0000_s1218" type="#_x0000_t32" style="position:absolute;top:1293;width:87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aewxgAAANwAAAAPAAAAZHJzL2Rvd25yZXYueG1sRI9BSwMx&#10;EIXvBf9DGMFLcbMVrHXdtBRBLHqylkJv42bcLG4mS5K26793DkJvM7w3731Tr0bfqxPF1AU2MCtK&#10;UMRNsB23BnafL7cLUCkjW+wDk4FfSrBaXk1qrGw48wedtrlVEsKpQgMu56HSOjWOPKYiDMSifYfo&#10;McsaW20jniXc9/quLOfaY8fS4HCgZ0fNz/boDdh1e3zduWH/9RYeNvh4H6ezw7sxN9fj+glUpjFf&#10;zP/XGyv4C6GVZ2QCvfwDAAD//wMAUEsBAi0AFAAGAAgAAAAhANvh9svuAAAAhQEAABMAAAAAAAAA&#10;AAAAAAAAAAAAAFtDb250ZW50X1R5cGVzXS54bWxQSwECLQAUAAYACAAAACEAWvQsW78AAAAVAQAA&#10;CwAAAAAAAAAAAAAAAAAfAQAAX3JlbHMvLnJlbHNQSwECLQAUAAYACAAAACEAWpWnsMYAAADcAAAA&#10;DwAAAAAAAAAAAAAAAAAHAgAAZHJzL2Rvd25yZXYueG1sUEsFBgAAAAADAAMAtwAAAPoCAAAAAA==&#10;" stroked="f">
                        <v:stroke endarrow="open"/>
                      </v:shape>
                    </v:group>
                    <v:group id="16 Grupo" o:spid="_x0000_s1219" style="position:absolute;top:22857;width:20697;height:5026" coordorigin=",-2" coordsize="20697,5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 id="9 Cuadro de texto" o:spid="_x0000_s1220" type="#_x0000_t202" style="position:absolute;top:-2;width:15265;height:5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BKpxgAAANwAAAAPAAAAZHJzL2Rvd25yZXYueG1sRI9Ba8JA&#10;FITvgv9heQVvdRMPIqmrlFJRwWCbFnp9ZF+TtNm3YXc10V/vFgoeh5n5hlmuB9OKMznfWFaQThMQ&#10;xKXVDVcKPj82jwsQPiBrbC2Tggt5WK/GoyVm2vb8TuciVCJC2GeooA6hy6T0ZU0G/dR2xNH7ts5g&#10;iNJVUjvsI9y0cpYkc2mw4bhQY0cvNZW/xcko+OqLrTvu9z9v3S6/Hq9FfqDXXKnJw/D8BCLQEO7h&#10;//ZOK5ilKfydiUdArm4AAAD//wMAUEsBAi0AFAAGAAgAAAAhANvh9svuAAAAhQEAABMAAAAAAAAA&#10;AAAAAAAAAAAAAFtDb250ZW50X1R5cGVzXS54bWxQSwECLQAUAAYACAAAACEAWvQsW78AAAAVAQAA&#10;CwAAAAAAAAAAAAAAAAAfAQAAX3JlbHMvLnJlbHNQSwECLQAUAAYACAAAACEACAwSqcYAAADcAAAA&#10;DwAAAAAAAAAAAAAAAAAHAgAAZHJzL2Rvd25yZXYueG1sUEsFBgAAAAADAAMAtwAAAPoCAAAAAA==&#10;" fillcolor="window" stroked="f" strokeweight=".5pt">
                        <v:textbox>
                          <w:txbxContent>
                            <w:p w:rsidR="00C20C0F" w:rsidRDefault="00C20C0F" w:rsidP="00C932A6">
                              <w:pPr>
                                <w:jc w:val="center"/>
                              </w:pPr>
                              <w:r>
                                <w:t>Nombre del elemento</w:t>
                              </w:r>
                            </w:p>
                          </w:txbxContent>
                        </v:textbox>
                      </v:shape>
                      <v:shape id="10 Conector recto de flecha" o:spid="_x0000_s1221" type="#_x0000_t32" style="position:absolute;left:15700;top:1380;width:49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RxvwgAAANwAAAAPAAAAZHJzL2Rvd25yZXYueG1sRI9Pi8Iw&#10;FMTvC36H8ARva9ogrlSjiCDoxWX9c380z7bYvNQm1vrtN8LCHoeZ+Q2zWPW2Fh21vnKsIR0nIIhz&#10;ZyouNJxP288ZCB+QDdaOScOLPKyWg48FZsY9+Ye6YyhEhLDPUEMZQpNJ6fOSLPqxa4ijd3WtxRBl&#10;W0jT4jPCbS1VkkylxYrjQokNbUrKb8eH1bD/Svs0uan7Jly230ZVk0MnndajYb+egwjUh//wX3tn&#10;NKhUwftMPAJy+QsAAP//AwBQSwECLQAUAAYACAAAACEA2+H2y+4AAACFAQAAEwAAAAAAAAAAAAAA&#10;AAAAAAAAW0NvbnRlbnRfVHlwZXNdLnhtbFBLAQItABQABgAIAAAAIQBa9CxbvwAAABUBAAALAAAA&#10;AAAAAAAAAAAAAB8BAABfcmVscy8ucmVsc1BLAQItABQABgAIAAAAIQCjGRxvwgAAANwAAAAPAAAA&#10;AAAAAAAAAAAAAAcCAABkcnMvZG93bnJldi54bWxQSwUGAAAAAAMAAwC3AAAA9gIAAAAA&#10;" stroked="f">
                        <v:stroke endarrow="open"/>
                      </v:shape>
                    </v:group>
                    <v:group id="14 Grupo" o:spid="_x0000_s1222" style="position:absolute;left:31572;top:6898;width:17630;height:7111" coordorigin=",-2" coordsize="17629,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shape id="11 Conector recto de flecha" o:spid="_x0000_s1223" type="#_x0000_t32" style="position:absolute;top:1466;width:87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WKixgAAANwAAAAPAAAAZHJzL2Rvd25yZXYueG1sRI9bawIx&#10;FITfC/0P4RR8Ec2u4KWrUaRQlPbJC0LfjpvTzdLNyZJEXf99UxD6OMzMN8xi1dlGXMmH2rGCfJiB&#10;IC6drrlScDy8D2YgQkTW2DgmBXcKsFo+Py2w0O7GO7ruYyUShEOBCkyMbSFlKA1ZDEPXEifv23mL&#10;MUlfSe3xluC2kaMsm0iLNacFgy29GSp/9herQK+ry+Zo2tP5w023+Dr2/fzrU6neS7eeg4jUxf/w&#10;o73VCkb5BP7OpCMgl78AAAD//wMAUEsBAi0AFAAGAAgAAAAhANvh9svuAAAAhQEAABMAAAAAAAAA&#10;AAAAAAAAAAAAAFtDb250ZW50X1R5cGVzXS54bWxQSwECLQAUAAYACAAAACEAWvQsW78AAAAVAQAA&#10;CwAAAAAAAAAAAAAAAAAfAQAAX3JlbHMvLnJlbHNQSwECLQAUAAYACAAAACEAd2liosYAAADcAAAA&#10;DwAAAAAAAAAAAAAAAAAHAgAAZHJzL2Rvd25yZXYueG1sUEsFBgAAAAADAAMAtwAAAPoCAAAAAA==&#10;" stroked="f">
                        <v:stroke endarrow="open"/>
                      </v:shape>
                      <v:shape id="12 Cuadro de texto" o:spid="_x0000_s1224" type="#_x0000_t202" style="position:absolute;left:8798;top:-2;width:8831;height:7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S9GxgAAANwAAAAPAAAAZHJzL2Rvd25yZXYueG1sRI9Ba8JA&#10;FITvBf/D8gre6kYPtqSuIsVSBYM2Fbw+ss8kbfZt2F1N6q93hUKPw8x8w8wWvWnEhZyvLSsYjxIQ&#10;xIXVNZcKDl/vTy8gfEDW2FgmBb/kYTEfPMww1bbjT7rkoRQRwj5FBVUIbSqlLyoy6Ee2JY7eyTqD&#10;IUpXSu2wi3DTyEmSTKXBmuNChS29VVT85Gej4NjlH2632Xzv23V23V3zbEurTKnhY798BRGoD//h&#10;v/ZaK5iMn+F+Jh4BOb8BAAD//wMAUEsBAi0AFAAGAAgAAAAhANvh9svuAAAAhQEAABMAAAAAAAAA&#10;AAAAAAAAAAAAAFtDb250ZW50X1R5cGVzXS54bWxQSwECLQAUAAYACAAAACEAWvQsW78AAAAVAQAA&#10;CwAAAAAAAAAAAAAAAAAfAQAAX3JlbHMvLnJlbHNQSwECLQAUAAYACAAAACEA6KkvRsYAAADcAAAA&#10;DwAAAAAAAAAAAAAAAAAHAgAAZHJzL2Rvd25yZXYueG1sUEsFBgAAAAADAAMAtwAAAPoCAAAAAA==&#10;" fillcolor="window" stroked="f" strokeweight=".5pt">
                        <v:textbox>
                          <w:txbxContent>
                            <w:p w:rsidR="00C20C0F" w:rsidRDefault="00C20C0F" w:rsidP="00C932A6">
                              <w:pPr>
                                <w:jc w:val="center"/>
                              </w:pPr>
                              <w:r>
                                <w:t>Símbolo</w:t>
                              </w:r>
                            </w:p>
                          </w:txbxContent>
                        </v:textbox>
                      </v:shape>
                    </v:group>
                  </v:group>
                </v:group>
                <v:group id="57 Grupo" o:spid="_x0000_s1225" style="position:absolute;left:12594;top:4744;width:29159;height:23205" coordsize="29158,2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shape id="53 Conector recto de flecha" o:spid="_x0000_s1226" type="#_x0000_t32" style="position:absolute;width:500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fANwwAAANwAAAAPAAAAZHJzL2Rvd25yZXYueG1sRI/RasJA&#10;FETfC/7DcoW+1U3yIG10FRFEhVpI9AMu2WsSzN4Nu2tM/75bEHwcZuYMs1yPphMDOd9aVpDOEhDE&#10;ldUt1wou593HJwgfkDV2lknBL3lYryZvS8y1fXBBQxlqESHsc1TQhNDnUvqqIYN+Znvi6F2tMxii&#10;dLXUDh8RbjqZJclcGmw5LjTY07ah6lbejYLq2/+402l/3KZFVuz5XHb3oVXqfTpuFiACjeEVfrYP&#10;WkGWfsH/mXgE5OoPAAD//wMAUEsBAi0AFAAGAAgAAAAhANvh9svuAAAAhQEAABMAAAAAAAAAAAAA&#10;AAAAAAAAAFtDb250ZW50X1R5cGVzXS54bWxQSwECLQAUAAYACAAAACEAWvQsW78AAAAVAQAACwAA&#10;AAAAAAAAAAAAAAAfAQAAX3JlbHMvLnJlbHNQSwECLQAUAAYACAAAACEA30XwDcMAAADcAAAADwAA&#10;AAAAAAAAAAAAAAAHAgAAZHJzL2Rvd25yZXYueG1sUEsFBgAAAAADAAMAtwAAAPcCAAAAAA==&#10;" strokecolor="#4a7ebb">
                    <v:stroke endarrow="open"/>
                  </v:shape>
                  <v:shape id="54 Conector recto de flecha" o:spid="_x0000_s1227" type="#_x0000_t32" style="position:absolute;left:2501;top:23205;width:49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5MtwAAAANwAAAAPAAAAZHJzL2Rvd25yZXYueG1sRE/NisIw&#10;EL4LvkOYhb1pag+LdI1FCosKq9DqAwzNbFtsJiWJtb795iB4/Pj+N/lkejGS851lBatlAoK4trrj&#10;RsH18rNYg/ABWWNvmRQ8yUO+nc82mGn74JLGKjQihrDPUEEbwpBJ6euWDPqlHYgj92edwRCha6R2&#10;+IjhppdpknxJgx3HhhYHKlqqb9XdKKh//dmdTvtjsSrTcs+Xqr+PnVKfH9PuG0SgKbzFL/dBK0jT&#10;OD+eiUdAbv8BAAD//wMAUEsBAi0AFAAGAAgAAAAhANvh9svuAAAAhQEAABMAAAAAAAAAAAAAAAAA&#10;AAAAAFtDb250ZW50X1R5cGVzXS54bWxQSwECLQAUAAYACAAAACEAWvQsW78AAAAVAQAACwAAAAAA&#10;AAAAAAAAAAAfAQAAX3JlbHMvLnJlbHNQSwECLQAUAAYACAAAACEAgBOTLcAAAADcAAAADwAAAAAA&#10;AAAAAAAAAAAHAgAAZHJzL2Rvd25yZXYueG1sUEsFBgAAAAADAAMAtwAAAPQCAAAAAA==&#10;" strokecolor="#4a7ebb">
                    <v:stroke endarrow="open"/>
                  </v:shape>
                  <v:shape id="55 Conector recto de flecha" o:spid="_x0000_s1228" type="#_x0000_t32" style="position:absolute;left:20444;top:7332;width:8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FLGxgAAANwAAAAPAAAAZHJzL2Rvd25yZXYueG1sRI9Pa8JA&#10;FMTvBb/D8gRvdWMQkegqKhVyseA/8PjMPpOQ7NuY3Wrqp+8WCj0OM/MbZr7sTC0e1LrSsoLRMAJB&#10;nFldcq7gdNy+T0E4j6yxtkwKvsnBctF7m2Oi7ZP39Dj4XAQIuwQVFN43iZQuK8igG9qGOHg32xr0&#10;Qba51C0+A9zUMo6iiTRYclgosKFNQVl1+DIKNukuTdfbafV5PV+qD/Ma38/7sVKDfreagfDU+f/w&#10;XzvVCuJ4BL9nwhGQix8AAAD//wMAUEsBAi0AFAAGAAgAAAAhANvh9svuAAAAhQEAABMAAAAAAAAA&#10;AAAAAAAAAAAAAFtDb250ZW50X1R5cGVzXS54bWxQSwECLQAUAAYACAAAACEAWvQsW78AAAAVAQAA&#10;CwAAAAAAAAAAAAAAAAAfAQAAX3JlbHMvLnJlbHNQSwECLQAUAAYACAAAACEA3GxSxsYAAADcAAAA&#10;DwAAAAAAAAAAAAAAAAAHAgAAZHJzL2Rvd25yZXYueG1sUEsFBgAAAAADAAMAtwAAAPoCAAAAAA==&#10;" strokecolor="#4a7ebb">
                    <v:stroke endarrow="open"/>
                  </v:shape>
                  <v:shape id="56 Conector recto de flecha" o:spid="_x0000_s1229" type="#_x0000_t32" style="position:absolute;left:17080;top:18978;width:120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syxxQAAANwAAAAPAAAAZHJzL2Rvd25yZXYueG1sRI9Ba8JA&#10;FITvQv/D8gredNMgRVJXUVHIRUFbocdn9pmEZN+m2VVjf70rCB6HmfmGmcw6U4sLta60rOBjGIEg&#10;zqwuOVfw870ejEE4j6yxtkwKbuRgNn3rTTDR9so7uux9LgKEXYIKCu+bREqXFWTQDW1DHLyTbQ36&#10;INtc6havAW5qGUfRpzRYclgosKFlQVm1PxsFy3STpov1uNoeD7/VyvyP/g67kVL9927+BcJT51/h&#10;ZzvVCuI4hseZcATk9A4AAP//AwBQSwECLQAUAAYACAAAACEA2+H2y+4AAACFAQAAEwAAAAAAAAAA&#10;AAAAAAAAAAAAW0NvbnRlbnRfVHlwZXNdLnhtbFBLAQItABQABgAIAAAAIQBa9CxbvwAAABUBAAAL&#10;AAAAAAAAAAAAAAAAAB8BAABfcmVscy8ucmVsc1BLAQItABQABgAIAAAAIQAsvsyxxQAAANwAAAAP&#10;AAAAAAAAAAAAAAAAAAcCAABkcnMvZG93bnJldi54bWxQSwUGAAAAAAMAAwC3AAAA+QIAAAAA&#10;" strokecolor="#4a7ebb">
                    <v:stroke endarrow="open"/>
                  </v:shape>
                </v:group>
              </v:group>
            </w:pict>
          </mc:Fallback>
        </mc:AlternateContent>
      </w:r>
      <w:r>
        <w:rPr>
          <w:noProof/>
          <w:lang w:val="en-US"/>
        </w:rPr>
        <mc:AlternateContent>
          <mc:Choice Requires="wpg">
            <w:drawing>
              <wp:anchor distT="0" distB="0" distL="114300" distR="114300" simplePos="0" relativeHeight="251827200" behindDoc="1" locked="0" layoutInCell="1" allowOverlap="1" wp14:anchorId="75069660" wp14:editId="18C3CA27">
                <wp:simplePos x="0" y="0"/>
                <wp:positionH relativeFrom="column">
                  <wp:posOffset>1397000</wp:posOffset>
                </wp:positionH>
                <wp:positionV relativeFrom="paragraph">
                  <wp:posOffset>6667500</wp:posOffset>
                </wp:positionV>
                <wp:extent cx="5462270" cy="2154555"/>
                <wp:effectExtent l="0" t="0" r="0" b="0"/>
                <wp:wrapNone/>
                <wp:docPr id="223" name="58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2270" cy="2154555"/>
                          <a:chOff x="0" y="0"/>
                          <a:chExt cx="5787786" cy="3159298"/>
                        </a:xfrm>
                      </wpg:grpSpPr>
                      <wpg:grpSp>
                        <wpg:cNvPr id="2026623744" name="42 Grupo"/>
                        <wpg:cNvGrpSpPr/>
                        <wpg:grpSpPr>
                          <a:xfrm>
                            <a:off x="0" y="0"/>
                            <a:ext cx="5787786" cy="3159298"/>
                            <a:chOff x="0" y="0"/>
                            <a:chExt cx="5787786" cy="3159298"/>
                          </a:xfrm>
                        </wpg:grpSpPr>
                        <pic:pic xmlns:pic="http://schemas.openxmlformats.org/drawingml/2006/picture">
                          <pic:nvPicPr>
                            <pic:cNvPr id="2026623745" name="Imagen 1"/>
                            <pic:cNvPicPr>
                              <a:picLocks noChangeAspect="1"/>
                            </pic:cNvPicPr>
                          </pic:nvPicPr>
                          <pic:blipFill>
                            <a:blip r:embed="rId1259"/>
                            <a:stretch>
                              <a:fillRect/>
                            </a:stretch>
                          </pic:blipFill>
                          <pic:spPr>
                            <a:xfrm>
                              <a:off x="1673525" y="0"/>
                              <a:ext cx="2147977" cy="3096883"/>
                            </a:xfrm>
                            <a:prstGeom prst="rect">
                              <a:avLst/>
                            </a:prstGeom>
                            <a:ln>
                              <a:noFill/>
                            </a:ln>
                          </pic:spPr>
                        </pic:pic>
                        <wpg:grpSp>
                          <wpg:cNvPr id="2026623746" name="41 Grupo"/>
                          <wpg:cNvGrpSpPr/>
                          <wpg:grpSpPr>
                            <a:xfrm>
                              <a:off x="0" y="280388"/>
                              <a:ext cx="5787786" cy="2878910"/>
                              <a:chOff x="0" y="-90548"/>
                              <a:chExt cx="5787786" cy="2878910"/>
                            </a:xfrm>
                          </wpg:grpSpPr>
                          <wpg:grpSp>
                            <wpg:cNvPr id="2026623747" name="15 Grupo"/>
                            <wpg:cNvGrpSpPr/>
                            <wpg:grpSpPr>
                              <a:xfrm>
                                <a:off x="43432" y="-90548"/>
                                <a:ext cx="1715854" cy="384711"/>
                                <a:chOff x="300" y="-90548"/>
                                <a:chExt cx="1715854" cy="384711"/>
                              </a:xfrm>
                            </wpg:grpSpPr>
                            <wps:wsp>
                              <wps:cNvPr id="2026623748" name="5 Conector recto de flecha"/>
                              <wps:cNvCnPr/>
                              <wps:spPr>
                                <a:xfrm flipH="1">
                                  <a:off x="1216325" y="103517"/>
                                  <a:ext cx="499829" cy="0"/>
                                </a:xfrm>
                                <a:prstGeom prst="straightConnector1">
                                  <a:avLst/>
                                </a:prstGeom>
                                <a:noFill/>
                                <a:ln w="9525" cap="flat" cmpd="sng" algn="ctr">
                                  <a:noFill/>
                                  <a:prstDash val="solid"/>
                                  <a:tailEnd type="arrow"/>
                                </a:ln>
                                <a:effectLst/>
                              </wps:spPr>
                              <wps:bodyPr/>
                            </wps:wsp>
                            <wps:wsp>
                              <wps:cNvPr id="2026623749" name="6 Cuadro de texto"/>
                              <wps:cNvSpPr txBox="1"/>
                              <wps:spPr>
                                <a:xfrm>
                                  <a:off x="300" y="-90548"/>
                                  <a:ext cx="1216025" cy="384711"/>
                                </a:xfrm>
                                <a:prstGeom prst="rect">
                                  <a:avLst/>
                                </a:prstGeom>
                                <a:solidFill>
                                  <a:sysClr val="window" lastClr="FFFFFF"/>
                                </a:solidFill>
                                <a:ln w="6350">
                                  <a:noFill/>
                                </a:ln>
                                <a:effectLst/>
                              </wps:spPr>
                              <wps:txbx>
                                <w:txbxContent>
                                  <w:p w:rsidR="00C20C0F" w:rsidRDefault="00C20C0F" w:rsidP="00C932A6">
                                    <w:pPr>
                                      <w:jc w:val="center"/>
                                    </w:pPr>
                                    <w:r>
                                      <w:t>Número atómico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26623750" name="13 Grupo"/>
                            <wpg:cNvGrpSpPr/>
                            <wpg:grpSpPr>
                              <a:xfrm>
                                <a:off x="3071004" y="1871412"/>
                                <a:ext cx="2716782" cy="854179"/>
                                <a:chOff x="0" y="-520"/>
                                <a:chExt cx="2716782" cy="854179"/>
                              </a:xfrm>
                            </wpg:grpSpPr>
                            <wps:wsp>
                              <wps:cNvPr id="2026623751" name="7 Cuadro de texto"/>
                              <wps:cNvSpPr txBox="1"/>
                              <wps:spPr>
                                <a:xfrm>
                                  <a:off x="1060510" y="-520"/>
                                  <a:ext cx="1656272" cy="854179"/>
                                </a:xfrm>
                                <a:prstGeom prst="rect">
                                  <a:avLst/>
                                </a:prstGeom>
                                <a:solidFill>
                                  <a:sysClr val="window" lastClr="FFFFFF"/>
                                </a:solidFill>
                                <a:ln w="6350">
                                  <a:noFill/>
                                </a:ln>
                                <a:effectLst/>
                              </wps:spPr>
                              <wps:txbx>
                                <w:txbxContent>
                                  <w:p w:rsidR="00C20C0F" w:rsidRDefault="00C20C0F" w:rsidP="00C932A6">
                                    <w:pPr>
                                      <w:jc w:val="center"/>
                                    </w:pPr>
                                    <w:r>
                                      <w:t>Configuración electrónica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6623752" name="8 Conector recto de flecha"/>
                              <wps:cNvCnPr/>
                              <wps:spPr>
                                <a:xfrm>
                                  <a:off x="0" y="129396"/>
                                  <a:ext cx="879895" cy="0"/>
                                </a:xfrm>
                                <a:prstGeom prst="straightConnector1">
                                  <a:avLst/>
                                </a:prstGeom>
                                <a:noFill/>
                                <a:ln w="9525" cap="flat" cmpd="sng" algn="ctr">
                                  <a:noFill/>
                                  <a:prstDash val="solid"/>
                                  <a:tailEnd type="arrow"/>
                                </a:ln>
                                <a:effectLst/>
                              </wps:spPr>
                              <wps:bodyPr/>
                            </wps:wsp>
                          </wpg:grpSp>
                          <wpg:grpSp>
                            <wpg:cNvPr id="2026623753" name="16 Grupo"/>
                            <wpg:cNvGrpSpPr/>
                            <wpg:grpSpPr>
                              <a:xfrm>
                                <a:off x="0" y="2285720"/>
                                <a:ext cx="2069753" cy="502642"/>
                                <a:chOff x="0" y="-280"/>
                                <a:chExt cx="2069753" cy="502642"/>
                              </a:xfrm>
                            </wpg:grpSpPr>
                            <wps:wsp>
                              <wps:cNvPr id="2026623754" name="9 Cuadro de texto"/>
                              <wps:cNvSpPr txBox="1"/>
                              <wps:spPr>
                                <a:xfrm>
                                  <a:off x="0" y="-280"/>
                                  <a:ext cx="1526540" cy="502642"/>
                                </a:xfrm>
                                <a:prstGeom prst="rect">
                                  <a:avLst/>
                                </a:prstGeom>
                                <a:solidFill>
                                  <a:sysClr val="window" lastClr="FFFFFF"/>
                                </a:solidFill>
                                <a:ln w="6350">
                                  <a:noFill/>
                                </a:ln>
                                <a:effectLst/>
                              </wps:spPr>
                              <wps:txbx>
                                <w:txbxContent>
                                  <w:p w:rsidR="00C20C0F" w:rsidRDefault="00C20C0F" w:rsidP="00C932A6">
                                    <w:pPr>
                                      <w:jc w:val="center"/>
                                    </w:pPr>
                                    <w:r>
                                      <w:t>Nombre del elemento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6623755" name="10 Conector recto de flecha"/>
                              <wps:cNvCnPr/>
                              <wps:spPr>
                                <a:xfrm flipH="1">
                                  <a:off x="1570008" y="138023"/>
                                  <a:ext cx="499745" cy="0"/>
                                </a:xfrm>
                                <a:prstGeom prst="straightConnector1">
                                  <a:avLst/>
                                </a:prstGeom>
                                <a:noFill/>
                                <a:ln w="9525" cap="flat" cmpd="sng" algn="ctr">
                                  <a:noFill/>
                                  <a:prstDash val="solid"/>
                                  <a:tailEnd type="arrow"/>
                                </a:ln>
                                <a:effectLst/>
                              </wps:spPr>
                              <wps:bodyPr/>
                            </wps:wsp>
                          </wpg:grpSp>
                          <wpg:grpSp>
                            <wpg:cNvPr id="2026623756" name="14 Grupo"/>
                            <wpg:cNvGrpSpPr/>
                            <wpg:grpSpPr>
                              <a:xfrm>
                                <a:off x="3157268" y="689868"/>
                                <a:ext cx="1762978" cy="711076"/>
                                <a:chOff x="0" y="-245"/>
                                <a:chExt cx="1762978" cy="711076"/>
                              </a:xfrm>
                            </wpg:grpSpPr>
                            <wps:wsp>
                              <wps:cNvPr id="2026623757" name="11 Conector recto de flecha"/>
                              <wps:cNvCnPr/>
                              <wps:spPr>
                                <a:xfrm>
                                  <a:off x="0" y="146649"/>
                                  <a:ext cx="879475" cy="0"/>
                                </a:xfrm>
                                <a:prstGeom prst="straightConnector1">
                                  <a:avLst/>
                                </a:prstGeom>
                                <a:noFill/>
                                <a:ln w="9525" cap="flat" cmpd="sng" algn="ctr">
                                  <a:noFill/>
                                  <a:prstDash val="solid"/>
                                  <a:tailEnd type="arrow"/>
                                </a:ln>
                                <a:effectLst/>
                              </wps:spPr>
                              <wps:bodyPr/>
                            </wps:wsp>
                            <wps:wsp>
                              <wps:cNvPr id="2026623758" name="12 Cuadro de texto"/>
                              <wps:cNvSpPr txBox="1"/>
                              <wps:spPr>
                                <a:xfrm>
                                  <a:off x="879829" y="-245"/>
                                  <a:ext cx="883149" cy="711076"/>
                                </a:xfrm>
                                <a:prstGeom prst="rect">
                                  <a:avLst/>
                                </a:prstGeom>
                                <a:solidFill>
                                  <a:sysClr val="window" lastClr="FFFFFF"/>
                                </a:solidFill>
                                <a:ln w="6350">
                                  <a:noFill/>
                                </a:ln>
                                <a:effectLst/>
                              </wps:spPr>
                              <wps:txbx>
                                <w:txbxContent>
                                  <w:p w:rsidR="00C20C0F" w:rsidRDefault="00C20C0F" w:rsidP="00C932A6">
                                    <w:pPr>
                                      <w:jc w:val="center"/>
                                    </w:pPr>
                                    <w:r>
                                      <w:t>Símbolo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2026623759" name="57 Grupo"/>
                        <wpg:cNvGrpSpPr/>
                        <wpg:grpSpPr>
                          <a:xfrm>
                            <a:off x="1259457" y="474453"/>
                            <a:ext cx="2915891" cy="2320506"/>
                            <a:chOff x="0" y="0"/>
                            <a:chExt cx="2915891" cy="2320506"/>
                          </a:xfrm>
                        </wpg:grpSpPr>
                        <wps:wsp>
                          <wps:cNvPr id="2026623760" name="53 Conector recto de flecha"/>
                          <wps:cNvCnPr/>
                          <wps:spPr>
                            <a:xfrm flipH="1">
                              <a:off x="0" y="0"/>
                              <a:ext cx="500103"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026623761" name="54 Conector recto de flecha"/>
                          <wps:cNvCnPr/>
                          <wps:spPr>
                            <a:xfrm flipH="1">
                              <a:off x="250166" y="2320506"/>
                              <a:ext cx="49974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026623762" name="55 Conector recto de flecha"/>
                          <wps:cNvCnPr/>
                          <wps:spPr>
                            <a:xfrm>
                              <a:off x="2044460" y="733245"/>
                              <a:ext cx="828102"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026623763" name="56 Conector recto de flecha"/>
                          <wps:cNvCnPr/>
                          <wps:spPr>
                            <a:xfrm>
                              <a:off x="1708030" y="1897811"/>
                              <a:ext cx="1207861" cy="0"/>
                            </a:xfrm>
                            <a:prstGeom prst="straightConnector1">
                              <a:avLst/>
                            </a:prstGeom>
                            <a:noFill/>
                            <a:ln w="9525" cap="flat" cmpd="sng" algn="ctr">
                              <a:solidFill>
                                <a:srgbClr val="4F81BD">
                                  <a:shade val="95000"/>
                                  <a:satMod val="105000"/>
                                </a:srgbClr>
                              </a:solidFill>
                              <a:prstDash val="solid"/>
                              <a:tailEnd type="arrow"/>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75069660" id="_x0000_s1230" style="position:absolute;left:0;text-align:left;margin-left:110pt;margin-top:525pt;width:430.1pt;height:169.65pt;z-index:-251489280;mso-width-relative:margin;mso-height-relative:margin" coordsize="57877,31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ZgYiAcAAIQpAAAOAAAAZHJzL2Uyb0RvYy54bWzsWmtv4zYW/b5A/4Og&#10;7zMWKVEPYzxFmjSzA0zbYKeLfmZk2RYqiSolx0l/fQ8fkizL7sw6mWynTYAYlChS93HuuZek3nx7&#10;XxbOXSabXFQLl7z2XCerUrHMq/XC/e/P169i12laXi15Iaps4T5kjfvt22/+9WZXzzMqNqJYZtLB&#10;JFUz39ULd9O29Xw2a9JNVvLmtaizCp0rIUve4lKuZ0vJd5i9LGbU88LZTshlLUWaNQ3uXplO962e&#10;f7XK0van1arJWqdYuJCt1b9S/96q39nbN3y+lrze5KkVg58hRcnzCi/tp7riLXe2Mp9MVeapFI1Y&#10;ta9TUc7EapWnmdYB2hDvQJt3Umxrrct6vlvXvZlg2gM7nT1t+uPdjXTy5cKl1HedipdwEoudd3Jb&#10;C2WdXb2e46F3sv5Y30ijIpofRPprg+7ZYb+6Xg8P369kqQZBU+dem/2hN3t23zopbrIgpDSCd1L0&#10;UcICxphxTLqB9ybj0s333cgojqI4NCN9whKaxGrkjM/Ni7V4vTi9bL1ane4eDUPqR0HQmSCgp0xg&#10;bdJP2r3qEzqekJTPn1jHOk/n+LdYQWuClU/HFEa1W5m5dpLys+Youfx1W78CrGve5rd5kbcPOkQB&#10;YCVUdXeTpwpB6mIPdp3pWWf69yVfZ5VDlCO7Z81IrjTTyHMqcbnh1Tq7aGrEOJhHu338+Exdjl57&#10;W+T1dV4UCpGqbRUEHxzE0xEbmVi9Eum2zKrWkI/MCugqqmaT143ryHlW3maIJfl+qQXi86aVWZtu&#10;1AtXePF/IKzBZ9+hpRwEUzI3NtIOgoeEkc8o7DQNIUqCKIkiGwheEsaxPwoEmE427btMlI5qQERI&#10;As/wOb/70FiZukfU7aJSv5VQ5jISqztaWCOebkJaE0s6HE6GFSLUMEtAHhlWNPb8WMc4n/f8sR9b&#10;NI7ihFhiP4itV4nHAjv4BInsDT+bROAGoy1hZ2sb+IFPtaf3he40JhFhMQNZKcb04yAiFm69wr4H&#10;PkXn/uhB5RPjT2qM3Nx0wbKrm0m4/E/p5+OG1xmgh4mO8QAKBpuFnEuUDGkrpKPAKpxl5qyKLN1w&#10;hWw7+rK6kfZqP2rwYF7/W9GCQrFNPoSS0LfxQzyfkUhNNOAoSJKYJsaoGkC9PSbRg+jl+XrTQkIj&#10;onnRiVjqo0iFlbNbuIkO45Sj4FmBQfDKsgZtNNXadXixRiWVtlKLvjdURecVbzbOHUcx04giXxr5&#10;W54X31dLp32okby5lGKnOiC9CeJM10E2ypXdjKVU61YsH7QBkSi1k41hn8/bMLfxduhcbvlSai+3&#10;wLktPjREPoIPnfb+O4FiQQN9UGKSfY8Bvw8bAMBTABiHzWk3f4oktRO6hNI8NJeFNN5BhbqEF5yC&#10;Ny1uLtxr/WfdMhpmEBH6zBs7/HPc197f3uvizRRMg0cdKcDxoICmTq9zAOcDBLnhErUtbqJeb3/C&#10;z6oQAKOwLdfZCPn7sfvqecQ8el1nh1oZ6Ptty1WBULyvwAYJCQJM2+qLgEUUF3K/53a/p9qWlwII&#10;Jlo63VTPt0XXXElR/oKy/kK9FV28SvHuhYs4Mc3LFlfowLIgzS4udNvUHR+qjzWqFRONKmB+vv+F&#10;y9rmPIWrH0XHP5PUZ541ae9i24pVrvPiYFVd7towGSpLk/X+NAHCt11K8M9OCb4XEc8D6YPWSRyR&#10;gNAxf9EIFUKMrKHgjfRAosQ80GcFiKFyAoODNPMNGeHE2D40BnVVCWfJol+QfNGMwAAUwxHRE3EE&#10;8UKPoUYYG6NniZCFNJqYsTfFJBl8PSwRKrcPeH5hCWT/L8oSzxsowKwJlPgRpdNewWQihNDETzRy&#10;hlIpjpI4sYn0n1sqDaT4OTmg314h4dk5wHiE0lgn2VH1Sr0wiRheotifYVUd2PRwyP5YQk3Y//jY&#10;nvIGRZ+f/ZHwDKiTJ2J/y/u9GXreZzRkqo4ZG7A3wlfM+3qh88L7z1cdPi/vg4hNiBDvEcR/fM3M&#10;Is/zsCZXRacfe9gkHrEO1sxR8JIIDnaW/3wx0O+GkeDsRIDN7oiGxi9hnMRojvxCopAmEfoVmWF7&#10;yItsBp9kA3hPjxzWAifG9kT4/8wGw94aeQTUpzVOEIaBXS11+QA1ThD946H9vEzWb/4R+kTZXlWq&#10;alNPrXtph/XexbFP4PaDIOmB/hVnfE0HLxn/+TL+QIp6l8gego7bB1liegjG+u1QFp2dGghlCTbh&#10;NOQDHGliTTBKDTTB4UGCTRWVGqhPPeYdzw3TZcKJkX3ADEZ49nVCiMLdFEHMf0RmOFoEmRWDNUfH&#10;HczDgb1dbv1VlsCjjeVGrm/7DengOibfXekd5mbDcZKiDxESKGHVanj7g1ia2wSQMPfhWTuNPk8Y&#10;zf93PI8I+71GFjw1iijzSIja7zDqOkD9FUvpkcNfAHXsI53uOEEl2ymjh/2eHGOPANRewUq9IAgU&#10;26nC3venNQ2NiWd3r1946W9yThr2m4cMB6VnH4vvwYhEHj6lMDAiMZaK3ScEHR0R6uHTKlsmvADp&#10;ywFpKJpstYhP/XS2tZ8lqm8J96/1U8PHk2//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cwQ8p+EAAAAOAQAADwAAAGRycy9kb3ducmV2LnhtbEyPwWrDMBBE74X+g9hAb41kmxTX&#10;sRxCaHsKhSaF0ptibWwTSzKWYjt/3/Wpuc0yj9mZfDOZlg3Y+8ZZCdFSAENbOt3YSsL38f05BeaD&#10;slq1zqKEG3rYFI8Pucq0G+0XDodQMQqxPlMS6hC6jHNf1miUX7oOLXln1xsV6Owrrns1UrhpeSzE&#10;CzeqsfShVh3uaiwvh6uR8DGqcZtEb8P+ct7dfo+rz599hFI+LabtGljAKfzDMNen6lBQp5O7Wu1Z&#10;KyGmeELJEKtZzYhIRQzsRCpJXxPgRc7vZxR/AAAA//8DAFBLAwQKAAAAAAAAACEADHWx4VeDAABX&#10;gwAAFAAAAGRycy9tZWRpYS9pbWFnZTEucG5niVBORw0KGgoAAAANSUhEUgAAAOEAAAFFCAIAAACV&#10;Kx1hAAAAAXNSR0IArs4c6QAAgxFJREFUeF7tvQmgbUdVJnzPueObMjE2gvj/GKIoEkFoRASVFmcU&#10;iCgIKuIAjaKCEyAyqtiADIqI2EwCikRkUAgQaLHVRoRWQND8gjIGISQv7915OGf/a65Vw57OcN97&#10;CTsn952zd+2qVau++taqVbVrD0b7+wtwDPAPHfytin/aVTsPSSpMWtEZ/ONuwQsDl6fd3u+LK6zl&#10;xkFVVcNFlIHlkapYrZwwUaZ11akWxmPIEnOTz1jqCHdYEceOLQyHUu+gwH51nH3qqC06ZQ+yqyKo&#10;Gi11ccmj7PneAeknaTqXbbiC+KmwMIZQNRDdos6rMShclD8syVQH0ER8zDOrEMnHauoOsRpNgvhd&#10;m15UA1jkO+xLJiFnKvnaD0xf4QcUQicHwwFklXZdyRv/AXTCxw5uF1/lqavfCV95IhSfqo+q0E90&#10;RnqwVgbaURM3aTxSXFasAjTVQjvkpTFQ+aG9Ufl6OC3LqVbVxrDxvxD4hE5pq9asOrVCs25cFtQn&#10;uSsXsRWSMgpDCwboAQuE85osFZPuXV7G03kVA1hnU/1OOqpLlOsuIFgVZcio5YMcuVlSzragEMau&#10;IwXpLZheG6xGehU+x2g/nWg7eKNJ1lB8gBmwqQnUAFYpHv5x/S/CpPyoUbfoXMiAdIffqTc7jgkO&#10;zGBhabndUBhezwK49mlX333rkOvOB51zPXMlc+E+K+v/DaoRMQCjU+mP7T0d4lWoO2Ku4SxhanUt&#10;4xU7hlcQfDffo62NtMMHJbPq5a/vKUCiSwtDx8RteYt6Emegy12HmqaOBJoRwsjLoawNUUvPdFfK&#10;KYXUxKNio3N95Er1Z2jMZBAXK09nDrEx0j4LdQl+mNNdQc+mjgTWTg+RBjU9nFxejeqY8I7lVzzv&#10;yXUqfpgJfr2IE2VYABXVKkC3DsR1xUmOlrHZ+gZglSxWGM7zOJdJFL/TLyZRN8r2jTGHhnGKYgXx&#10;CTM9dYOv9D4VLUa+IZW/rKyE/Jt6Yw2BJMAtMsNEaJnopunpxHTl2hWr3joqKMpbkMf7o4oqplX7&#10;+KwC/rifqFhCohKVEcAGmRNUzgGkYuO5ZIOpocR6IBedKyKXMBeScltcRE80OeZSoYkgd6g3pTZM&#10;4eA7Z5Olj4I/dTqEoGLijmonBzuODYnDXB8mNCkYrAIIxSQjlYlUUHuoOsPOG6SK2JSqw4e3GArZ&#10;2u6kt/C/wKMrq+UqTc9Hh62qWZSXItADrXvHlVYQpDGo0CCLHQbPH1GoHx1jeB4FBy/6EGqlpd2X&#10;yPorW003IJtMi4NqbMVrmFB9kUiHDNZsSOfx6isFqlpdLccNTFCffzODTFa3ed3VHU+JBLGl6hzO&#10;NrooVCiiNxQsiT0JNo1Enck32IrfGYbMjHrjVO+JTlz36RoDYRqI3KLZgeZdNEPMhYsAmOkwx5oi&#10;9sCgGOFvO85QldvEmtP1vLZ6pl0PasQIOUSiZuhseg/PgK33M37dvktAJyR2AA0UFgZSc9JPY7Y1&#10;MPUuVDDPIj+pwnwbHv7hAT6ojJPaFY/pXXc+E1WfrMxuVZss7/wuQSQVyrOgrDg6T/+FEDvHR9lk&#10;9/qolYwYNJJFW/hwK+9EAJiKW8I9NJp/0nRk7snVQV82cr6hAnDL0hINkgDc1u8716hzwlk1/RnL&#10;R6xWRxLNJ5jM72I31FoHm4fGTNROvZGqbq2GmbgnuNB9jNjCYLq3Rvu3OcDOrU7QgIhjU/xK3Vg8&#10;K5GfShoPAKC8VCU9ukjCJKGf3pU9/Bu6VMpzQK6Y2AcX4OYV8SE/R6KBSo1HEa+D8fZWAG29kMkA&#10;QLlZqUX+dffjNMxwAG6cLG4IKKCaTbQqiolt0gOWjNCtbUVDKePRwsFetbc7PHqiGhQxakI0yEPV&#10;bGygclVq7pu03r3uK1anviJ4hYOQ3Bez2zlQGo6EaJ1zBbfjUjNCJ9OKmv4hjfH50F5fMvouGbsM&#10;ji9zgEZqqYlPcKUO8dDYxRh0IcN57WLBmMCl8XgwovWKWMexC1oVZe1fh0OveB8d96lOSJvc1fzT&#10;2h2TCThw2RqJadhTgLKtj91Qab8a31RjOEa9IWs+pU6orcdoCUeciQbTcBt4q2PyBOgLhgJIGppK&#10;ZbKtRiMmikb2nqgOfFMfSPSB2jRpJ5apTklxfMpnb8NSg41fI0F4gv9ijLYAVD3XAOsEl1S+g6lr&#10;3A6tfOhtZgWmJTNE4e/4oHNrT9q0MwTrpCJ0rmOSMC+Pz3h3U6gr644yMDL+DEH7YKKFHGKMNozu&#10;jYe9nCE7HeajhLzAdoqKH5au62Rkz3UAISdwTHtw3XSdbIZgnVT3wTxOkkPiOVlmPGb3ipSUEnJK&#10;B/JMfMHue4yqsUuQytmLU+w8hsCXnjutcvmyqz71PqwGK9txjtUPh/TEAs9adT9m0cMmy2NiXihU&#10;rqMEDcm8lULQ8cSQQFXA40Lsnu8EpPwP+KMGQYdczYvRydlqBCuvj5VnlANrg7nxpxiGSzkdddUd&#10;QqWUaeMyjwJSeYzZ2yhMKTS7TNNV6XDuNuo0cYPYrFSlzAKNhptjYR2OiWI5PqpMWRrRh/BnXbJE&#10;o+bMhaadroMfCqfGIlIPI6elApeUrvWswywgZhWfRWb9QdulVEpjaDTUMam5I/wwvsMkRnx6p5xR&#10;tqUcBqNTJ90oJ7Ha5lZaKyWLArVo+BeofG9//13vBh8OAqM4yxq8UlyNsfJt38oyg1yTuavRjT0h&#10;072FWOuD0R5Y+fHeLoR4B2snirRGle5CeX1ltYy7cH73mk2Q0upXrAJZarA2cDG11Irc5D42uTjN&#10;xGMmsfW86FhjgnwSPU8Olw5G118nsnv/0lfHQt9Sblnjo09+auuxvzz+16uKmhjc9Kbn//1fu0t9&#10;m60e3F1yQlV2SecEBPocj6qDA+DR4dHzijTqodTGOb1Kb8SoyZhn2e2+nlBFANZaEUASD5ELGOVy&#10;iI5EOw6giE+23vhFQvfBjNPQSEP6/KyI0WcUFpU1FTLs0hyD5xts8N5b375x2UPqAFpSSlubdldk&#10;kKL7PR1S6rAJOze6pFMeLOVMjzlkWdNSjR0sCjXSGCQSzEbb9LwtMyhDTv7mapEEZqN5sRmflZBV&#10;JGgYf/FpF0dg0O7ubj/117d/8fELWzan2rElZg2u2WKAMEpDP7I7fd3Rsg5mK2JHPU+frF5sUFAU&#10;OWKA0BA+NssIczbuCTQpfQrCwLv4LV2HX6hQDlOh0oXRxz+x8ZAf3Xvd67upgQYi0tj2hUWeESfM&#10;KButjg6bRjJs6lbN5lSzhums8ytJ38CjFOKM+jDvPoKHrCNTcksBGqKZfvBk5Qe67bBoN0gdBWP3&#10;/vKtGw966Piqf+vbck6rHrWzA+usmo0jULDuCSP5SKq0kQl+dL60b9WtuWbcmUSOXk5vD9kbFQoD&#10;ZGMxJ0D4Kq6qkaVnTSNRLw0b6OAcdcNo4HO5dfc1f7r9K09a2N7uUdOmpJ5WZwHWKTFA6KzAZ98/&#10;qA7G1c7++NT14+tPVifpc/3149Onx1ub1d4epJkCr1NK2cEBmVV3bXCmZcAU3CEcoOroRwjV7LwZ&#10;cax6YEqBhjkDMVRaMOq0GHkY46uvnhE6fTZGqwbZqBV700T/FkLd7u9XGxvj06eqra1qD0b3PHGv&#10;o0n4AgtNIM329vj0+vjaa0fXXjfe3OTVJxPpxFydDuLmvlKxTO89Td0RWisFu8Hh0hw6oDT/eKOZ&#10;e11sTkkMiwJT1a0f7bhSKbgVfMRo0O5dA1dTDm5O1h6t9c0hOx2tdm4hCIZWOzsLG+sAPgGcj+/a&#10;IgRECdWf59IgEgw3bm2Nrz05PnlyYW9vOs10E7dZ98ZVghmlqw5doLF56u+XJaQIUyeam5gM4ycL&#10;i+qoyrzS+rIBo7oMGZes1dee2wQ+0Cq4crkX2qZJXPRZp8nQ3cvNBwegc2sT2JHBp7XLK5lMPlAC&#10;Ri2o5eBgdP3p8XUnF/a7r5aqq0gGiMQbarrPgG6ZdIN+u1JrYVotEpXaE2DeOQz+aDSCj4b5Ibxa&#10;KII2KETM4QdhCNMqejBX2ElJaemzKi1e+jWDW92qtaaTwpvv47/emLUWGLQRJUW/CS07ovMAUBUv&#10;gjEp5UusO5UlqgsHs0cHo5PXV+sbSfClXco0RWS6Ot3u/Tl9PIsf1RKlTUulDVIM4MlEsfihk3sq&#10;VZ+UiFND7xaYVwmlcbUgsljDhUX3gTEsQpD/0pMe8IElanISvuAHhrp+e0hCzmD10Y88/tpXDc+H&#10;KZmGPu67eD+cMTAVponD2k33MZvgL6DPvV2ZC/FdwBUWjxYKBUWOj6073d4ZX3f9wgEFBCY/lKfT&#10;HBLbkl22ULlcsSeDSyHwycWL7wQsAWY4BsJUEvqGbXhLpyNvxME00S5rFk0UYw7AB1hEOOoX/rlI&#10;D53Rd1hPOVgcwgdh7byCwS1vcexVLzvy2MfgE2otR9FiGVi7QS0U4Zuq871s38EwAUBBoX6mV5WL&#10;iokYUnyCpsoZVBlX8Hc8Gp+8fmEXPNSJj7xSiQLLYOXbiFXDxGE0RT6xRPUDfIT/cBE3Gcbhozts&#10;Tt7H6lk+81OjgH9qaAltSJYMVoAgY9E+dAYuGZviBEyIBizf9z4n/vLPl+9+t261bnWMWhMUy/EO&#10;QLsgCNDdHVIQtbHoxPZqTBjVGjy0fNRNbKDgYaoewvjU6WoHqHqCw8vGtzd4Sca4jnoFqg6m/HC2&#10;4HcCkfiWOjqAoisgtYrX3crh0IeCqMcaz0Kl2UpPlKaxAZOCle17MPpi92npQBhdYaarq0ee/uRj&#10;L/qd4QUXTFzdmhsnQGpi/WslQiXtEmiMg2zMbiDI12VZLwizedpa3iBjnpqv/gshKpgxnmS8HzBZ&#10;tD9JHSOYYv8Lt5M+cTYIbW7YCmnWzUZKRZgioQpMTQgLMFmp9b0l6gV+cxhpKpkAdIi0M6FOw9tf&#10;fOKNr1t9yA/MoZq+Dn3BariLa2mdGjS4t6Oc5AwlU6D/qyGmcKtRSOJOKdxDdkYDNA7DpdKn1iFo&#10;0ECDmRpzZyP3iPwZlsmX4L5bQgjuBhbs7B11bmPNEWCKuwtG2zlYafJcsvNWff7koOD/bpuIbvNM&#10;mZSrl91/8eIv7yz8lAlFx/3aOFsDgBPJPn6pU5rStGapGaxWmJz3bKkM6v4NxGwE7TELYwkw+giR&#10;LkdzRcmkRgY3kHxd7vp0upBZtLtgF4nSNE3cQdKAbwo7ZK0Qsbpa+6B9zKdFKVj3E2J0knrN5p6O&#10;zazkJoUS7CDMxDoyiyGpHCSDgSQKTNES/xaHzwPG2Rz+asYfyl5f72bxu9exVqcqqC2NI9wgtMjo&#10;h/jl9K1SJy2dX17m4SMVE3jWD+akyymDskBe8xNj1FiCvjQE/6dXQrkT92tIdI94FM+i4pMCClaP&#10;WsMUu5XeVbUIQCc+V/1QDjwvgLFYGKt1PHq4OZDUM792HQUidUwBqEzr4Lu1+imwXurIwXBSk0iw&#10;mwbvpLW/rT1Ek4S4fe0wjAXvglFatAozfrAofXcX56k3N8cb6+P10+6zPt7cgnCjTTR0bIjpkpmf&#10;1SEbjtKHTqosF/osw9cTIQE2gSnn4ftkgIf6Awz0cCPfQTDd3OoW27eGLLZfBAutF93CdiKHn8DU&#10;htZs9JMQegc1RkmKKA8uDuxOgOFSXAKxh9GhtbUF+MA7g/x7rfCytqP1JZ2wwoDS6modRgmXo1G1&#10;u1NtblTrp2GZRQUrfeDn/h7OysCSSgiD8Qd+AkPs7cK0tbJ639pOmb4FrBU/Jm/AEhuMrSknjV85&#10;jYBVvlC41EZUzoR78uIOIOCxMFbkVyBMwSeFuGzpKLGzbzy7h09a2S4NNTav6NSHNyzYo1iXiCkL&#10;OysqLdUHtn6hLYmqgz3U3+pRelPZEDEKSD1yBP+Cwwp7Ei75MPwSJlg9MoB3CJ44b+HEiYUjRwsY&#10;Rb7c3qpgdQWCcg8XWEhdzH6Z6mNSkbBLsQnmqY5QYE0pUAUDnx8qGSkmVz0LwneYHk5gKuMqI0s3&#10;zBI0OyWYW8rZAkYzMUWQhq6a3uKMqtAhP4zBbOpoGGHiElMR8vwQFzeflhGAAs2NRoPVI9VQ53dE&#10;FtAqvVkAtsZeO4KQPXpMPkeO4km4hHSLivFvE6zQlANr7mwDTEl044xEecYZGiIxHqrT8rgaXXdy&#10;DEuK5qMRV6xxqpQEr56UqwWmUpAxd0Yk6uw+ji3N6Htclr5bYQnQLXNQAU7AFg6WWJiA9nfXg77l&#10;qgvLNcKSTR2O8PBI7+F/bVjd0BlmcgkYFJffghu6N4D9r5fgJQJpP5Fyak57KRCjmBfadFz4I5XK&#10;rVgqegbT5rpBcvBoN7ZoteXW3IHqFTCiZxe56RWItopLEeUtuI7GY4tPrim9RFQ8BIdvhpZdClRq&#10;erQ8sTPA4uhcWwZQdROZET1M2YNU8Cn+dGtf5UsX3yGzHytbfvrMp2mN0r3VaED7ZFX7uzg9uXIk&#10;jAR6kHbIeYj6koU/5uaY4+Y0WSQhu95uqxQk0L+2tkdfuG68DW5ZyQebST/2mYBjFFdIf8qQyJZ5&#10;uQFTHVnyIMpdFdzrAgbrDNFAW7VjN4KZGvMb2EJnYgaNzTCRZwSyyMRH6OSIkqzF1mVynjijOCWz&#10;csyys9F8NQAHFN1QoFKYjDxKLxGYphuArcdFk8INrin9CEC0F6kd69N/EY0OSHDssLEB1r+admVQ&#10;m14hyEK10viPDpwiQ8yZeKw6KrWUwfNR9zQAlFXY4Aa43swpoQnzPkpN6bEr3+W92WowyYjLGhFE&#10;nqwqcnvEOqjn3tVUgGlRuAAUo0D7g9W1hUXYpr1DeY1JaLWyt+yklXCLKknOqo8nSabgQUAEeNOw&#10;1BJMfxvQJr+OYdHQ88wc+wydDyB8x7H7Rr8TbT6/PDygmc/EhxWujjuDEDEq66Ajr8rzqg7ANQG9&#10;K0s+/Aw722v/sSVw4ILH8+POAegEmslUTm4o9g/Y32UZxuxrfcqqxakMnVSkDHRyYw0Yk/Fji+1W&#10;btbMGDzjra3RyVMVeI1zOgrjuQR/1kvtPIUziVsJUjaiMh+Uvsgr7gWWZR7lCKtA09UwXsCW6Dd+&#10;45mzV+aMCndGDOrw6rBhI6d5DVfNYYANh9kN3cPVmytg5Yuw6UCrMRLcuF4yJMtoNsfzqNxJZUg/&#10;plORX98NaA6mSKgHB7DUEh7C7HZzr1QaFjVzUVCcXgto5lgT82k8nIogS1dx5//iJ8QKnAesSgRr&#10;WGgs1i1fYNdTv4chvAu/08mwEU1xi2POal4AtbaAXZnIDR3B7kNjiIbWvOuiV9tJYsaoQYZ/UQv5&#10;8wlBlpXb1j8E/K4sh1RQ9Pj6U+OpVgQX669E6H0a48jiEIfNt6hAvNnY9PMICeqbuATKx4J5x8HM&#10;yKpbUWc64vby2xBebXow64Y5Bqez9YzvwidBvLW5EvwkyInvQSsPTTjGYBO6obCapOdRDx97eo71&#10;anDNYeqceUzos2xDp0nrqFrOOZhC+fg08IQrgssaAWTQ+Dk3OloH5VDy9dRhZZdR/3LQyZGloc2l&#10;97dYPoZ18xkiHEbuTdkwcvqS95nt48UrRGOMMhMjal2LReIZXntCyieHnRJtzhNi78vghibN2zHz&#10;MpDIH/WjimKD1hXhLX6C2+yWgM8ioXIHAZiub4xrZgs7VjQkQ6LSunlzTBxJ+oj3z2IwGFj5FkGn&#10;jpB48gMv2YpvdVgNpsKvpkrp/Nrv8w6T1czGpoEUGWQ8dmf6jFkzDJLMSVB0CswDTMV+9FZo6Qbc&#10;e5GDTTjnqcGm5qw7kxplo/5oAaasUrfWtDlnU2u9eMrVbowiDKcIpdYfr+Mc7EwUKBVIOIoByjad&#10;gCgMajhm7ArfBCxqCJ+f3ta/gtcasg7m1EOT6lnwEZ0jFPV5oUO6o2jNUyc1nW3iG7W+3ADpo+r9&#10;kKNMyZPyOOd5QG5o6zNtvRvWPSlfZlN1qtRFjUpIGaGxli6xgDX84yiHYQrPV0w/hBK/UyiTG52n&#10;GGuozEEkYJe3HQhmXV6M5q0/UXLwWX3HU7+Wk5gLRT/rCNWf51GRmGu12qRnG0UZcLmi3qxHAy+R&#10;IDgt3JZWGn/hNwPChxcM4bL5elTB0iIONuGc59rCUn831OfNFckO4tEgZaY15poCMONzHbugGD3t&#10;gtywaQEyjoY9ldyjW707n7tBu5nG8eG3RPat8sKgBWkUoMK43MB0OCqV1/l5IQuaDIoM5BrXKyNd&#10;NumBO2WEHpY1sQMQJuIlGmhc6xtd7AaHddU+RuwO6Bzwojb4y8vZ4EkseBMiTAraCnETGRJDsAnm&#10;tmjp3QJgtNT3azpiR8RgYRofTTpTxAQlfKTpyz0gupOlyiAvfYTP21UyheCbToNNKY/y5MKZQaVZ&#10;OWvpJQmk3QiJPR7hPD9yisKiGs+Pe2G5zTRNkUdDQdgr5JdIbz6oDvZ9TcqNrme5mrTTR4imWaWJ&#10;J3Dcw1MeOhkhKVFxY3zMBtZeAmTVRdGVTRS3Xz0C7wqaurHKGVjsiToZN1qEfP7p/8YZGfJaBYx7&#10;bEAk+YXiHBpusEycMITJ/daMaxP4KAy1tvJUUkfrOsZjrscoiGOfNZAoQ5XJNTRqosOABlEx0nDD&#10;5q9eWLlX7bv0NV9p64CRJgSe0nwimwgpCfkk7kErezfIU8Gye02IZgibVwsQn4fVHbDcDiflKdiE&#10;c55HaM5zFkepp/ndHBKYmpkXN0paOVFf4sV2kjOBgkLEzKhhBnxHWM43wZw+LAw72B3vrOPCPEAq&#10;CclDBhorqJRGWqHhc9NEd4l7qs6AsS+cN8fUOrcnyDQ//a0rqHKFiRVWxBOqrH9R8kCfdUsmKKLB&#10;3UGEDxvPyBaqzAJoVvAdVLq16hA2cQh7rIZeF1SGy1ZgYTGu3gQ3lOc8YendDI8Up+yPOgm4HY04&#10;wxcSwtDllca3543bKraUlaWTGR7JE5a0tuakCcA5Oqj2tsbb8Ej7TtjzRyXkCe/44N/14yhJzXWM&#10;t8nlJlQE145FrDzfN+Eh9JrDCRjRRMEtidQe7pNOyf2H95CDLsHfRWaQmt8HwkIooXLfE69AjL6U&#10;6xsL7trbH4P1x4c/bc6zh4upOu/UsC72JHVkpRtMFZrcGAlODdxypQtOE0CLIx/lzcXoFA/waPtW&#10;H9CnR3vV7uZ4ewO6+GBpeQjPG0A8WRpBwRR1pQ7SRr1I01NDYnzAG3dWGacPmvRtYMVRChhkNIA0&#10;dHs0dOgfuny1YyhCLbF2mOB10B5MYesu4khWrgKUgMXNHRoXf2lKf0nbjv17eLgBVo1EDyeVq9RB&#10;0U1gjd+ilBCqJ1GBbuyeJpD1lSwUGjW4413VTuAkvZntHGgEhpZ1s3wVvKFmZ7wDjw9soclaWRuu&#10;rg2ApbA03HAlIIu+uUEEl8KhmkyNXtiAPJdMkKphVPqpCOUu4Y4ke/jZgFG5zzqz+L6yRZzEELg9&#10;MiLXGQfePa4MUL4xCvRYWVx23iIBnRGUZxXG9rrKIlA6Zgqd3Bong6M5Rtzt7K91zabOYLDzNKPs&#10;4BpXVGC0TaMRDBHmc6Tw/qR9MOsb8IgLtB8Q53BlFRsSDtxHbYXiyVwx9vGMTT0rxT2ntmtJH02o&#10;MmpOQoy6j1yPDJt8YnFJR+wllVlsPxCkDMZlfCbmm0+iHdcBu+6DpHsh4h5yhFT0Mq0fBpPoEGn6&#10;EZG5fX03SxoJL+OzbrwxkRwzNPeheFubx51SO4kotwBTHcQ6mErb502SVNKzVdJxvS4CGVkbI0x3&#10;4AFtDvtBeHm/2tsc76DnHsw6kwrgEhc02Lt6GaJOdx0xSRDL+NWLbd/dIEzq4dy+gAwFBAiJTkjb&#10;Adkjv6sMUjsy3GD7eedNwKLsv6kbdGLndHshMpX6niOtbAopNYT2awdhldbEMfFLjxDmdUsA31b5&#10;6DqvcbZOE/y2QBjB64q4hGBshJRZt7IUnEPkXNXA0xhKawfghEcCR3vj3S34kFlfjc062PclbFfc&#10;DcvawMW3WeCuR11KrYLlExK6fp6W4qDAW7qyi9F8JJQhDcG4xJGQbHWou3PS9oZEnIZdneZN+6jY&#10;06QhVCa5WgwaeExTOtA27X+tR2ut2mqdXbf1ow5kjFrBn+opQJkrxnZNyUbw2oiAMjQNtcm9ThdC&#10;6tUYHliFYAe0TTDrIMYiQhOIE1dP6koi1DZrnFQm04Z+cJBoYjLNmsw8fhLeSS28FKWJYXuZCRpU&#10;XE8mdzbxyVaHfIaJk0OKMiMf1S1RM16jJsh6rz0G7aZiUZWkz0h7sOq+N+6ab4hdUj9mEuSlFr9o&#10;9xWU6lepV9BDWO0VoaGdoiL0ayODS7W0CsZdx62wIysTkpFlrD+BqG262Q2InVIVEkVc5XHqYYGe&#10;Yhx16kKogbPNi+A+rD+NYoVc8HwWZatzxpzgXmOk2LACUJ+aYm3LwitmgalWVrSrezCCaQN/eNeN&#10;v8tfbn7mfyMn+q7/wffdV7y6+tznUuIHfR4/vvaonwj9r0C4cCoTV06EQgdAQkfWZCttEozAHGcn&#10;+Ha1QpoYwt6tYhykCr5El4PSYX13y7mEN/MOH2pCWJlBEXJmHq7LKozqaqJOJoJOOvTo75A5jdSt&#10;SiVtKqalAVkg5+ZZ4/IepfikALj+tL4EL4XVgFg7S0yL/wcXXiRbaHGecmgDiQrqKlQyv64RB6Pt&#10;TRn1RhhxvkiEVO31dpJryt3KIKUwdlkmSiuJlULb11RhARR6/HiYMu4IUJYRhlNsKIN40beg3KAg&#10;a3eW39Ui6lBFjFK72paf8H1paQC7xzQQR7NW2jDbgZHUdiVJudzACIpRXvckO4ZKD3QMSvxFWz0M&#10;LwKMOr9xphileJqajOBT2cjGQMBN64eZ/JM9GZ2xlhAP9yUGRHCk5JRAgX/xkbaNvyZUqRRIr/Cy&#10;m3o0Kq2ZYLYJ5JE0u2867Y3SdAxQ3234uySrwYff6RW2OmoEaNJf2hA5i+slqblC5j5JLYlWkVg1&#10;tCJGw+ugIFGP9qmvT/Lsso2EFAYBmspAEUw1DqBwpPtjP4mbloWNUKuglyJysLoKCmipSxBGpZQE&#10;3c5AFKssKyd4NluyT/qKazZDqaBHDVxIot8cFF25BmvSClj5LrBS17pL2iRNe/5i9ELXCmMgvCTw&#10;pCf3nSdKNpPMu3s9iDo2ZPfzo53Tu1eQ46P0CV6dhIolFyFLHc4rQLSZdbQkKGSUBv7kAIDz7qUo&#10;Pq8kawIYdLST+KowxGHRjfWT5GpGyHidiZMPdhNF5b4sTqDWPKCTnTC9mGqe7uIWZHdNEwbvjQvn&#10;HY2bzHzcZLNsYp9zMZwkj+2rfiLHWkiV1p2I9oRK2UfVDJMhQXcAdkgZ75snYFJ8SHSJ1MwUxSjB&#10;r9rqdj64B4JIp+d0/Bk6BufrQe3dDCopqUXYY0zFVKm68AhY/FaY+gIZWIndtwRuMMdotWGTJYG6&#10;raxQpwok1tYu80Ko9aDEmkv1CHC6u4TKGNWeSV4/wqC0rTjvOTyfQ2NP3uIpSgSMZhNzmDKfyfnk&#10;Cy9gZ/R5TJbOhBSGyYTknHzeVeKii/RZ0hc/QyQwRdgQcQb12recOT3I2Og7gAYMq4nk0iGUi5tt&#10;J+3XDYKBy2fa8hg0cBlG4Qi4klsNh0gZ2gvUxQOA/GDH0Hkebo2zQNNqEDw25dOYTSMGZZwo/oT/&#10;ImzGYIovBf4W14CqnHdNgaN7hqSx+/JFBxFrH9zNi1/OYjDN+FrUriRDif14QliTok5kCsNLiQJA&#10;aUeu/OgGUy6xz9HOZtbDOcCE+0YJ5tgN1fCn1dQZ9FKbIOZht9t5HiUNMvMxSlLEOrIUF1aHTZaY&#10;/b/Ii41tey10fa+oQSlLZfNJdaoxbi1xmLQ7xk00eBkqm7UyZ8Wv36QHm7ml5Cei1g1z2PxBn4at&#10;teWtf3Uo64y+zgk74QQUQq83kf6r8gtALYtgJbyLQjfFxmYAuzCvzJtHZfyRWEwbQkVfREbvkobv&#10;moNBUPXQAaF5r4iHYon6QctYShFPrs+UmTjkhZjjh3jIbjG8NL7mMiePAFen86jKwi7BOVPCw/Ue&#10;Q0Rnh1WVzs1tQ9dsYWoGneWXTfl09M4jek6j/4p8onMHFWgH2BR8zgftkauoomZwEhih+i/CsAxX&#10;HUWFBMIyUYcr1iFAWXJMyFthm4z0KXEx3oEStdu6XBay+4BU9S8JkeK68LcwQMTv+K5BXhEnSzlp&#10;BsuWcXRCZ/9WnSFMgeYh2Mm6EiOAM0nc98LsvCBVW8da1JlWfLXN2mwfFCloBjHKhUrTCHS8jY8G&#10;QxKXsriREA9lwSgRvGrrGhbDl5jqCq5FwKfkWzDZMRw7ADQ4owUk4xpV9SldvCmR2VgWZ8NpUSa8&#10;dFDXv4UJjn4I7Iw+G8/0y7+QGsezYf0N76xreFWv1O4zSDCPiuXEtm58zfbUUmoGGB+Ndl5XvCJh&#10;8MouRp9rHo7TS3jTLrHPYJ6DR15gIzeoing0cnydckrn4cZuzUr1wmK8ccgdBClOgUubI4/howMI&#10;IxKV2CDOKXG3I0o8+dEHfW3ldDIl3IIqM5InTcqbyyMokLIKGICqDy84v5tLM7leRPX45JQeQSQV&#10;lvGAf2UdByfVyK34MDpo4Lu45mmbZarlfDW/kGeceaw4KhdwCwsl4U0UvqNnVh6fO/P5tzYduZtR&#10;lnGLTavprveDGOB8tYnbeL0NxioKbuJAFMokKvaUfnKv89Y/tAu674PzzoPlBzV1CqjxYtZLVaqM&#10;M4wyFyoPTDJTwMGs7gYm9CseSMkZtvA2kLfv/qloyTEaPKWElg2bRHL6x7470RsbPQ5KtrV4nhUq&#10;tGtZXdHXLV1hSV3hxkYYdq0uONay2pqyA7ia0U+KDKqAlTHLg/MvqAdot1r2SQWPuciAtnCXQJad&#10;Aa24YJfaUO27LnemG5y/Ek2BlgvQLlG8WlA2Qza5kP3s2kquVGqm9L4zA9NuDdiVLZv7Mq10sQcA&#10;LaRfcKdgse7i4OixAbzXCwaILccEDVCbI2yIAm90jC+TjQt8rRflBWr0Uwx1FhqMVhaaEoPdVych&#10;KtBOui9cBtkXKitauiAv9uNMchjVupzNesVFwVzrkLGIEf5pa5sZXu/QzPVJ+gCYc6FoMe9DFl56&#10;y9qnJ61hMqnWuCe1NrEK704pKahUDdesgxG94CI9ClVU6+ebTcAXuacCp+QS3qWZ5q5qKC5MMFrM&#10;kl3h4BwCknAhpoY8UowWfDnn+ubq4LLxfILRgNQz45iKVE2onyVGfTluVsLHbbp2wBljtIa02cr7&#10;D7eitZuIoSnEvpshTuMA4tlasmg4k1fdKikA1O1lzF2utzV1fVIKqel8KkKZfs6YxVdHrCs4QroO&#10;JNyQKW9too9M9eFkoeT+Ajfcka+drkmMaKQIdrCGHMDX0RUHm3hshQkVr4Zmj+PAERMo0wfVI7Ip&#10;L+OUClmH499cD7ZkLGq54r0baKbNM48mn72Ac84RbH3+No8O7UK2V6mV0otBdB6nC0IFdzKKTLmp&#10;HeM5KTx1UsUvZVStrcleDwnDZZ7o+LOfG3/6087W16rTTL6v/OIdvnJw/Jigd84Wf/SJT1af/3x9&#10;c7d05sU73RGWUfvbO7SiJc8y9ye6qC+Vm++fmT/qMWr1Ci5FEsY0LFkXD2Mpa8Xgeipj8eCHEwgV&#10;0z/hFoG5+hP5+EkHakDRsNDGRw+MKVNVD3Z+/yU7z/rtifv5scv/eOnOlwaSnSpQ3yLF1q89be/V&#10;fzKxqCfe+dbF/+fLkts7w7TRQ5oCo94+1QtTV7qcN1tvNpxtIh+cbQ5cc1UxMU33i7lUx1Fz8J4A&#10;hqVI5lACJ6thCHMSEsXXePHd4ooTYkBVMIFnMmGJN4zbZqIvxmgJhRF6GvuAOKkEQDO+EtVn7MaX&#10;WP2Je9oAVt9ckFO0aMPZ4bRVpdtM3diu01rtps70HMigMwnPuy6AUSYgT58JKOqpLiREdnSjb5u4&#10;N5ZUspWwf8qNPmyQ1dmPaiBWVxzUl4KiM+nFWvuzpsl6QKKzAmZeuVlmSGvzmmstA3aLljOaHabV&#10;p4SE0chaWMcZ98CdNSQXRMnUqwXW7qEQ1QJvn6We6hySHoD5YtIJNWDPipTuT7iVfecInwFq8A0x&#10;UYCpEpH4AQo+7xUYkSfIDD+1VF6y2eXolqpLTpaGK+iOmfaCXqKUEs9zRDe1cFNk0CcYLjP1DqSu&#10;wYJLmzptMWXyLZJVB8ETqOHMcgEZOSBnBB/KRga2Vkj+pUNFzlCSOXTVw66J7T/qCk7o00gukk0b&#10;TwLgQRUYIPAwlSsW4U94sEGHnnEF2fgeIAtXeXlKrsGMdXkDaO0mjcyoU89Y6ZhdlwUsHRsntoII&#10;dANZyYSbmyu02kiu3G26PobRPHM0lRYzcz9Vbodzc8f2m7UwMwN9K0brJZeqN4YOo4XDbPQLHBuV&#10;EWnUU7p7z0Gofq0iZqYhE272Oc4aFWddfrPpHRh7SqvWMLhu0EKcjQE4M9hstRvVmV6l3zJaSqTl&#10;pLPRRYcmPrSCOsiSJ5m5dNN2y2nv5ypOwaOtajSX1VIGJTroiksQKziHKYVFO1S6/TmLVsHjBHk1&#10;emZwaMnrtdMNvR20e2h1cQUl80yJCPVCF7g2Smx+W+wb1tNeuFJiXt4/uxtID0WNXRr90Ju8i1CH&#10;op3ZFlLDo63qDeqwpKkjqUa4OWxX1Kt3Q8mSI4m2yhTMPiftdkNnfZ7lCMB4SqjLzOo+s4w66zlL&#10;WIo9dckt1kgjJMSWuyeitICWVucxFr1sqehxFm8/C3TaRX9zSeMUcpZ3qF7VZ37KaiQn6mpaBEKa&#10;WBKVTHcGUrs39iZ5YUrrvoE3pAbp1XqNrtkNprcma/O0XvIvs2X+Md349AWd1Nhcc1ZrCNVjDkj0&#10;LFG2+CznTIdIBD1n5C7Zevbc+lShA2gsicG0+EioyBNl6CTxQfuGQkuXYpd2Gnaye/uoaCYFTp1J&#10;h4bqUMaZrrfnUZYlHgMZhzbUBe8oaEOqphvZ0M+QLL6h9Kt1+chsWqBDI0W1O7xSu0iWpplWumnv&#10;n0Tmtnv8mInZ1HpNhpsUry31oX3XZMPOFjFSs0TPJSKkO6qsnKzjzW0q4ut1vavh7sPmH94bNTn8&#10;qQkFmqkeu2k7SlVcm8dg9Ecupj9TVwlHsMXkdj3JoOPqu0J1W8Z6EyjonLplQhDOr44zgXfy7DKj&#10;k9gU9yAx4eGMsaghuFYjeCEy8cxD/pFRJae8EmWAzqSy07cFitEZCIctc0GXWY07Cz+9rmaWg/dH&#10;LVOurLmnBtzC+vvioBueVI7sjjyvHIwmPSOaqTQ8TFdLzN1VPAeAdDEdvmG6Czuz5oy9Esm2pyp6&#10;Jp+p7MXMaN+8gMgEpqm5Ny51tZcqIffypvEJ+DKvQXYKRm6la5YAGZSxm7cun4m2X3TCnSE0zL95&#10;epZQgNcNQDU0ZpKRUhKuMZteM6vovE2ClqSPICYnw06WlizSPjMo70vvlZopuE3jXcxdz3bPk3ck&#10;mo7JphankEFWtD/RpsOSQGewLrruqREXZqKNRR16lQgDYKM3EDMvYnqmzJg4OWeeRuJXfOBXFca+&#10;59IJq6o2J9H6hNCgorTFZCfECbM6d247owgljLIEfmuGTHvMsAIFD1W2vvrSB8OiwDraT6/wYkmj&#10;zwBQX7RBj75EQIxRecZ0aC77WY23Q+zCc9HDkCDKsDMoJEZfCxYwh2fnDaCUh2fX0pDI5LftIeAW&#10;3u0yMKgn0WKFD1vhKYlH/cER6lxaZ5aZ9jH3pU5/xojA1jgHCtRdw6N4vlCtGDoRF3fR4bcWubGM&#10;Gneh0mDfEfiCTuoVo4MFfFm39o2UQA2sgU1r4DnzRc0TISMK1U2Uw7Q3xSA6c5Cath7Z/UPYOC/4&#10;goJUwo2QaWTm4+CTUS+8sshvOGq865iVEIp0CW15MFrYP9DYkydv6wmtbMpFHKqp7UDgNyBcnC0L&#10;ebCZMT4KL5cApMr7M9lqGysYRJOH65ER+X0PgmV+UQ6+XwteWbRIn6WlapE/8JP+Qt6wbTR4n6kF&#10;TVlUf3cARku3nQo3afHiF1GRxXlaVl23A143Ux0cVPt7+AG1dL6xW/ZRNOZQe3NX+bqmc+vwBang&#10;IDoi9E5mwKsNoehU2H4sgxSDGDLZ31vY2V7Y2437Z7DjUmQddvl8O2JDiva0XVXkS+6Gv0a0oUb3&#10;96vNzWpra2F3F00KOOVgW+g1ntMcvarcK/E0Uk1/b/asCL2YkGh1RNF4Uhz/G3Qo3JnihhHJH0gM&#10;qoeXP21vLmxvLSBPKMpEPWblJybRaRu1i/oKZUSqqMmjBqbInRsb1fa2vDraDBEu8uoizrRp+qgs&#10;S9vn5mkFdffXPxcKWkZmNbzS669DsNPiSmz46O0+sCU0gBL4cnNzYWsDv8BLS/TNlPVCl7zPXstK&#10;gu60R3Wk3W6KFPmiUro0V5oGLfv6aRopssrO8HEonWIGdez27DLj1SALLHtwgFzLn4P9AZhysOMA&#10;UAAlmC3/7m7PmsqkMxC8Nov5tX3/nN1gvxqNq/V1nc7QeQ3OMmwnOL1iYiH9L/3evxrTSzVVDt0w&#10;2loEP3WEo3s/VzS/jproucdIpbUqPgEUkw2b+jaxyEYAJS9BxlWaj7ja89OVVKiXZeqlpXknngVG&#10;yQHV2KcPrzYIn42W0rQlKNg5/oJ/i4hpeiyll0IDcPoiMy6m2oWRO713gH3ZCKZOe72E65847wdt&#10;PeOscElngVGx4ByN4oX908fVY+0lHmfWPPaaMb0yM5g2doZuMIHXxcMQPni1jvXZ7IRFid0ybElV&#10;Nvd+FDddj5uJkD0ymRFGKQJFoVLjUT/F3yBQjboK4+LMvjsqpTiCvA0vFDazpjBXbpIcKQ7K46Qs&#10;PMLRZVRajza7sSWdFUYdH4RwaV9oYkM5hxYBIUQT2XYCSjtaOiZra/H2gtpy2D/Q3uuq57izGIRr&#10;yzS/Lo5tXRhZBmbB0Mg303B9N5m8A2nVAntZOJ0aV7RgkNHfUe1mh1E2Wjx4YouvU1Bd1U1DCnbY&#10;NBxr60/lbOSChpV+4p8WLH7XsmvSWXl9JpCSvCoINumLqUUtNHXMdidElKcd1JiTLirsbk/ESS7r&#10;IMutj0qVJ8wHlzlMe1UX+z3hrPyeF0bF0A/QK+XNRdiENfbCCHTZMKh0NaLHGKZli99Hp3NJS26I&#10;Qyd57WzfPb/MpWwH1OkNAmc2q3w613eGPEplCjUkS0wcTMs1dGcLbmd6DyEzzyhm0xlOf0+Z1dDM&#10;C28NNIQXSeK7JIOFa+vJnZuzKaE2gjXGIYBtci/B1WTWGGWQYqvAW3vV3JclbVBRfMkjUr8H2BiV&#10;6iVh03wINVlLTwlQUAe+Z8JGk4RO3qqSPmTxh7Acp8Xg9Ba+BwJngqTeAna+YTDe3emcuHNC9S8q&#10;mHCCuVCJXevtQSW+a2eKSvwz7zbQd/sjCAhkZFkNdl4M7wt9bme504Srj37k4m1vM/HtduN4a1vd&#10;dV0vRo4QsSkSKmB078/fNPq7/zNxWSeufEv2vtBIpehx6AmPXz7Xhui4dTqD2iesL6KUnWvu+WAU&#10;K02P4eFfB1NuAfHP+MfEMNVKmOLDl5Dzzov/cBqMToyYw7+xF0Y9KPtjlNqvG0xngtGZ23ojS5s+&#10;UaNv5qy2ellPS+ysv24+qaXRkIByAo4XDx8rZ1OJM6x+zryHV9G5YZStMUVYxDdtjkbV6dOQJxyM&#10;6Rjk+KCKKEpvNs/1xotP9mvtE5DUHNqqvW0GUJS84zAbm8HDjo+WaqNDV4KpjmQ1Tq+GP0FYzqax&#10;v6QPmNKiIqXTwKZuhfyNEalcZ/u0Q8zU3e+29owthWSsq2lksEKNqgsX4muJ/Zsnj4pbKL2lz6KT&#10;Ekyj+WYPa1un4SCpde+hyRt60qnjE7GCZuhHtGl+/hhVo4923z+aF0kWYU75NZO9DNMATZmysG5o&#10;pr9NCzfC693GPGeFYg4FowZTnhO0KZai5xQ6aLGrupOpfRdIpkg9K/R81gnRnwf73zGjSh8WRnmk&#10;49EZJgNjL186ODvaOZUmFsdDNritSK38/xlT7IzaZ27ZdIsKza34PhkfIka9WDIyd1OmEac2G6IY&#10;d5ED4AZMN/rIUx8YnNVpDxmjAi/a30RiU7IAJbiqrfrKEZyj9ov8yWr0ejhXdXKIGGUV+e1zXQBV&#10;VktFCwlLYHX4rPEGZJKUnYsb5VGOdeZTQ4l+TJ91ip1UmWd5fDRUi0bfHM1ksGarJ2l9BS8/rf84&#10;4GGOos4IudEL9W6MOPWBTj8CTb3znFeFRmbsJok8Z3F81GyODmRQAzpTFMMRZ00xQEVgDSunfCgg&#10;4gg3m2J9lbFPM1w3XiadlPHa7jsz3sLh2HrXs80jDdP3ttqX7DPiS6b4HV55uZBiV50EWc1u0wMM&#10;Tf+50Rr8NrglvtCZQV8HISHJIWCU9zswGx9MsVulr4wYKNOgZnglZhWkAtMKZA2mBWh+kUm7gWDC&#10;VIeF60PAKI8u2R8lR9SHmcr+IoErBFAbPdSENYMz8EWEToi9s+22eWPUkSiNl6T+0VinYVyT82sW&#10;8C97qDfGsVINtpLAXBMCz06tzW2Ns6jCBnO0n1k+nGdindsx5RrnpW/8hsGFF85Nuijj0Qc/NP74&#10;JyYuq7TG2TJDDUNLSPjJ6dvjl0+3GfC4sdqazl+vz7mUC56T83PFKJMoo5PAygXzqMjwOnGzdLhx&#10;Sowe/9NXL9350g7lzCDJ1pOfvvfqP5k4owyj9fCJrxh0DKN2vYSqCTBaliT0mYymnLVFfczf1nPn&#10;LA7nJ26Qw7uxjVYOT5IzUFIbSx6SSPPDqG1fqIHh6MEjrv5ZooRD0vXhFuMj+RFP1Ilh3TG9M7ph&#10;gk57VsfwFZ227KP9kabDbcdOpU3QKp3yPcREc6vC3DL2ypkTjyYx0eD+yhToOUOih9IIh4hWZtSG&#10;4yw0bXPCKGsixERlqMS6OQvV0GD/kof+DhlP53hxM+ni88CoWzzA3VY8Ud225BzDKcNkJto+xxF3&#10;hsSfB0atKn4zWCXPc4hEZaThanGGGmmuxfZvkMPurjPHaDKcdxu4hIVI/dUy11ZqyDx6mPKw22YW&#10;lbZZuM5bi9Q9nx+k6dt8LIMXgKe5C56fPm8fVX3mGDWzmJAoydS3drNopanzsKfAp87prM8g74Uz&#10;ajGN8OgyDNkaQaYeW4AxW4wKiYbXgN8AYqLRFj3nHJX6WGcP4WcaIuVy4Y10Fb4gaWNj4dSp6tT1&#10;Ff89eV118mS1voFvQrTlcbGks8WolGJL7kk2ofpzkkS5o2OLcavdUI5DrcoA3wiwvQVv/6l2tqvR&#10;QaAwtv/w/tjdnfGpU+Nrr61gg8HsmCFGzRM1T0Mnk85FTzTSlI+jHWrzngN9ok0fFWweCu89hJfO&#10;0W6W+kfXXsI5erMXLk6v4EWV64BUfHOnO2aI0TpPlJn+HNB2SUR9V4nQaFuDnKO1nJPYYHy26X2c&#10;shQ4wJEfqNBxVLzb0ng8vu5ktR22xZ0VRovDeRZCbf25iFPpWs49Q5Te0JDqCaRb3TqkAoDu7Lj3&#10;wFuEIaxYj545c4gFpIxPncb3UtMxrODtyFNtV2WTSTp2M/mj8MI5SqSkORuVBoB2aKQ5kdOssm2s&#10;wbStBZnDa8/1CeDoMR55Z6e9DiCujw6y4d/x6XXMRNbmyS5zzbVnLOYfphXlUTLr2j88ic5KtYeb&#10;j9kAGTOdo3Eoq4bTXgzDIihLt3XTP74KnuYXw+b/8Z40+uAauac6cW5eoXqtwKbAxOCs8pXsJXEi&#10;jIHSsOinOvPBhI2TtDLTdsluSplXKnNXqICIe85xKp2f+PAGBDDO9pwZE6eA1ZCqcX3fcEx2HN+X&#10;aD6Mojb0XUEAe8glOhiLzJH80Z3thXdtcVMCEKXPc9oT5Tp5JjnrqbQedRY4q01SvGC3lRigvrTR&#10;gTDo4uJgEXZL4L/0fC/vk1w+XGkCU0QqhAUMo3hnxY9wCCgpKAifMb17gd+/EJYzyUsZ3AnFvozX&#10;zAeeF8UdSr7q6YtmefKMmufsGzz1tlgOZv2HTXVI44eC4Nly3MtjYbgoDAo/eXePZGMvtbtmtsVY&#10;yS6geBneDBS29ZCX02ErIGsiLCH6mvug3uZJPd2oTcn6XBzHFxQvRodI1Rr1HA7pz8HG+yxhPy8C&#10;qDy1NgCAEQ9Gb6XSHmF+Jht3Rk4YarPN15cDiVUDZEJeBEqAaPYaR2tByYbykP+DZQwm3uzloVDe&#10;vAoxKtUCgtEXOp1XyedAviV3gHo1AAnQWpEzqt/lnQiylwyDkQOlOoRShKqxJ9KVEACwKb2kA1ma&#10;aJQe5kxiUvFPcWwN9gLWuIuc81xqG1YoUsPs6A0CoNOyquc96lIWrjdqVCy6UZS9wCNsPKNBADf/&#10;xIgCB0H6qvdkMTYVk2ipQ0e182waiDWw9rk70cSKF/m5QuKJcjDuXETqtMBs4neyojQ4ZyfSbKk7&#10;z9wZRvqyF10URmVE0V8/ljdIsd4djXvn2jNLMOaxMK4SIC7e7fM+B0yYFzGjUhsznXsAtWGDVtC1&#10;S9JEkWfYo8mMCLU7+zJtc2QcPPH7uXk/L2RWeTOlvp/S3EiHUeFCHbQKRBmexZ7H/oQCMGL98CP0&#10;pjD46FHjsyapql5aUvuwheEmFzSmg8nzmejOmVMqo9AO7wEKNbImDZTynZGK0QDxTe316cijmmNx&#10;0JrXoR6uJFjS/eBtrYRxOEaj6uAAP/v7+IEvEOmddiZ2oobpfRMbHa2dtcGEDcxOQjw5cpYFCias&#10;GatIp4ViNQfHD8dSUYTfqFSi/Rqf4n1oo31KuEODMzoucKcOmLJe700Ef0d3BOWAdoA5se3tCpZm&#10;bW3iCgNY4gqrYCDGC9A8OIAPInVvr9rdQ9S247VBdVNotRNkqe+ZKaBxpcSLe1CpTovQ7dmnkxxN&#10;idrXXVjrFdTVQEc1yq3XOcI0cF7wG4XBgm+K8VKlVXtfOhGqLoyK/VHmCZrIkvzZ7hdECbQS0zqh&#10;cwFRuLVVbW7g2kHIDTPWaIIQfuyhYrEwWTBmip2IXOfv8JpXE6iCleMbowghT5k6Y8cBvnBMDVDO&#10;oB2mWUEq/lQaDC4h0ZwdATuRL8jmNry4I4Sf3LS+nlR/lOsGdwK9QeBJRqxY6bhOHrx6xZwFyBSI&#10;E6AJACVoyoqBgv5ZYsdMLkLBjgGBe97s2B8ZUUhfxcvjdJKxEadA02GSJ+5skYrHen+p/B0TwLSm&#10;wN6oZa4Jt1nz5TlJ6wejn8NUg6aAUVQTjb0JEvRYifwIBJFiRct0TgZ4CJubFVj20Tiak8VbOUbj&#10;qdQF0kL81qmKw7QHI3U8WpvtENBss8hWF6MuNjjWpRM7jsFmmrSLfdAIWDPtj7NQxuR5cFtHIxPu&#10;gUyxrEYPZaHHOPbE4RT8H2eV0HPkZABQQFiQrj7+F3WMAfqUQJ9s1t0hGYtYOc4oF+tAXDUPVJir&#10;gH4Zsu3dsVuh3TOBKs6GBSGkT22Af7TS6L0INIUyo6FShoHZVS50lo7VmxyPxQJi/Bk+pR+rfuxW&#10;DfuX32WwuEgznzS9hE7kHpCo6rpQutBtoswxWHZ4JEAPaj57s3ySS4JBj0cKlXEoy03bchStw3Bq&#10;di3c3q5CEjq+10bwtpvWORA0dcaOsOudMp7+lzNU7/aSu6XAnNHsFrk5YbiYFHyDxN97Cyc3OPib&#10;rY5y5nQZMFi58Gd1DSZTgUiH6EfuAM6CdVfvOyoj7W9gvjY26YGVUKxn4RqVZvUNLgNN9VLYX8wn&#10;+jcY75Xp2W6NNM9UcUgfVCmqD/YdjXpAZyRLgI3gyBqoNwYmrWMLZ5ocnG5CscLNcQZSOLct0b2/&#10;HiandDXz8soC8Cg6rbvbGBjKjwhucd3o1xielQb2TQ5ph0ZdWIgxjqXRAn45tB+xqgCmi4UlBJM2&#10;1NT3eUJU+y64NOLk835UpK1e30mnF4x6uLNlhXYoE2xr0X3wal5eflMAqCA1IUYZgA4AnQsrK5Bm&#10;iJHLfYezqErCZZRXqAINsgCgm+i82kG9wj7cSeS/ECVwHdPPRigOGY3y0GCUALIbVCB07aC1hR5a&#10;G6BPgnR2FKvtw0g2NvKZBtOQKLPGJvcRKGoE38njrhRnWSCduJ2jtq3BdQSLNH/GgIQd+aIDKHYm&#10;8B7hjPRqND58gNjg462tMVx0UTO785hjWXRXPMFlCx/mjy2BxlkkaWfQEBaFQVGnPiClmJYOsIB9&#10;qwzTPp18oubPbpL2V9EyyuwRA5qB8DhshdBKk7fZqdozEMVjW7RjIwxvJ1OEcNQej+HSwtqq8RmM&#10;mWL4MdhtcGrYD6lgFL8PM0PRbSETxrr1GcfEoY+ooNrDAkAlSsqdSdwTr1oJp/Vo/k4NM3EiqWqw&#10;H8GQ9Mmzc3+uzxQeSB9fD7vTnKp27IHMVhFmUG5zGeh1k5URmFEsiWaOeCZSoks2gVeN4UGoamFl&#10;2WebPV/fKjbui7ItEdAImm4gGWOIRHGFClnyGZ0KJzLlE3TSpsgVr1gt6j440m/V/uEk4AaAsixI&#10;l6ivxkLOQzpakoGLIjY3xyevH0OgWrXZt7Rk2NT39iw9Lk5W4qPpIW5l4iCeNidfCSz+qBpB9BOe&#10;KY3yoBh+cjTCNO6mniaVTDy30Dly4POaoojcrQSs1qvkJkVqOpACmC5OrbhpMhBuUJ87iSK7qgZV&#10;cHH5Je2o8C94sdMc5jJxi29u4W4fGExs8kmLDTONFDmUrHWDHNUYPdExOqM0IQojjaUFCINCgy8u&#10;UpzRjXNK775Rd9AhJxQ8Go33or14xLJHfBGA670Ppys5zX4o9SpjUG5JBm+9byVuwAyV2T0rM17p&#10;gN1l4dEWQ8SRW3g8CsAO8bu4YboLJClFY6Q7/g7UdOr0GHYCw75Rr8xSSanZ63u/5pkbPGl0ecIJ&#10;nshblIYeEO9g9GY8GEfBosTWU/XS/hwKGu/s6o9Spw9ebEogQQ+qwRBmCp2BCdcFoEjXHEzR5641&#10;Z7+qsHd7TnGDWHYfn48JMmWSWnMvszGgNNwxIWKOieSL9ci/wPrv7I6vuz4MpwJYM/xMx+O9ZDYn&#10;KeiOGpQWeIDHwjwoAmXr8LnLhb7pigZPFCbQC4daec43aZRIFbFeLDhKnQvvDkM7dlP4nLnUrmxc&#10;g9hLLTNJzCYimXZvbVsvKGNcDxiJQ3gEf8+iMkbZPmwHLTwejcDuw2ohKDri05jja5p2JorzmSRV&#10;DSMPGmlgIBw22XNDGrfGWRDhccAYof/BdCRWvlb2rM0EgiobaUYSiZaEQTVLXRlNJOrLiX7yUtnD&#10;O8wNdUuWrE+mdOldzxoqBYDCMHZG+Axq4M4eZwv6Hp08JTDlwW0fzRkJtXTH7HJDevUI2fhS1+Un&#10;l8AlHY9wgK8Hj5G1P3kGjWeAMAsO9ed9r6EGSoVSHN4rHVktuuv7mjiZHyMg0sdYlsnoUM19AGj8&#10;QGLcRaI2SRpIf5ofhGvJrWqzYVKPVIWp8RTCNFpHFnSv99VgqhHPrWakI4tUtGADGpnWkDiXdDC6&#10;/jqNXVleViv+Qn9H49HGlvrjlNJPXLpb+ZL/YKmyO4XtlqZwsyBoEaCaLVyMNaGC0YoN2Ce4roX3&#10;3vDm3Ve9pqOS8mRHf+Npi7e/WB0YNPEYIilOI/mboyZ11sNsAtQaAIpLEULFdl/+R/tvf2cHUT1D&#10;c3I8c+R//MbwFjdTNWmPkuvKWfBzOBxedJE4VklhnLHKa8XwiUYkugpncC7iOy7KMh8MDnZwqLe7&#10;M1haXjhyXHCGGI0OB1BGG/2FKAYNmNyEQRzBlDxYIsGoIDJsn6KP8xMjWgfgOBmpx243kYx1IhBI&#10;Oo66DeThlob2hVwauKD5KjUQ2ooxLgBlbIm3lLSjE8BbJD6ttEbf3ExHyhAJGCwjT8MhtuBW/amc&#10;LC3+YnMT/pfzK6vD888z1AVJazDKsk+G0Tql12IU4qNg6A/2YZA3OHYem8rEH3W4c0YYq4mjpYhf&#10;I52HZpDWEHA3wEZBKc5ICNrH9TIxylk1WqGW0jtedjMlPF2sEHD32/nEoAtACDH23QOUmyCYF4oG&#10;8iepOf/Ujs1qto8WEFXJdGNNxWd2dyvc1zMCJ0qXKb6jghqS1SG7Frsc+Ya/49FAXVLvj/o6KVEZ&#10;YQGuHRBTmgj61OCcKtFG50EHEQEHRpWqRuLrD+eSZozYBabNaRqvKpGHvVsEqXVNoyAO7eNaypTo&#10;TQ06QmZ8DHkWzrA2KJSYia4kqo3lWk0hDv4eLFjDWuDFFEY1sDIhuqi7I7jFePrIDQ2b0DmEaKMs&#10;qav0KeaICD0MSCTILMyCmEW2vmw3O4AGxMV84Osa929zI7SGsVoiVkiSzFBviXpJjX6JnZjRFuMn&#10;l9P2VlUYInUTOdvUKHHlsXROHI66yrot0+L4n5Tq/wGvBXbyznOqydvq0Wjxu3ShWvRqzhh8QsFg&#10;/IRhY2LVYEFcj6OcHN3xqimnYUnggchXw7xRqloHK0nKRdhSKwndhVp4wxoX6Gs6P3xaKbKinjur&#10;I6qWFvOXmTJI1jCgDCaeNpsjH1327YgGnYLUJpe6tu3DOM1cYmqZijerTz2KKJ9EtUY281C55ckR&#10;KJ4UpdGweEIMwKZDKS8e1jiwEeDot/zlf82KMehDNg7QjL96ekBkNIo3ryipjY7dujtxK51B975o&#10;bjj9GZPTFsm6L4xdOmjnzqA60Vukg1QfjH5uQeZ+x/QGLg9J6HiwQsrlI5J2AGBfNm1ElneJmDbR&#10;JaUl7RBCwXCn7RPJVYwFDBTP32RYr3xgt6hCzaMXDuXc9K/8qyC286EGDTBt70VNimhZy9esc40x&#10;y0xvxo6h4AwchhjuhNJpjSM9pybEyVt0yEYdpXm2xna3ixFS1ZlSykYqFb12AKbCvofxaHWIXH8K&#10;5slZG3ZJLXIZDWTqFBB6qxKiA7YOOelSBva4anQZFWjALRfps6lTTrIqu1vjdUlFlEkDJB6J+wZP&#10;UGCXNFmCZPiJG7tyn+W4G+0bE0ZOuqF2eolw7S1S6K3GKZ5Es4pFLeEZFWK0o+gRDL21qOhGWzYD&#10;YnViwvShUunBPkyK4v5lpClyTKWv5/V0CJZqOr0EB8uslbWBd4IcdKlSKpbRrVWVy0i1G4vVqet3&#10;gWIjAfsBEyUsArWQhR9fU6w+DI/8gN3pPGVZx6yJzYkgkQw1VW+pCrW9IpQOKt5OQRlnBljro/FS&#10;E7K5D5Oi+F4RQqaDVOr5qdhmqrhOhlRhTHIDjCE4Q+ebMn+oNszc+wqpO1Hjejaobz5EyobbL8CL&#10;wzrtjeHSw9sLGAjWn1khhEveo8t/Iude/dRg8VWRwsrcGJJzAJwT0BOtSwwpYE1gI/MmMKonBtc+&#10;9rUb5D0zCQ3Ek6JEn7z/k00CeQ5T8xSQw5o1pIqCxCCFQav3TZWhpYX0bhtdSW416CyBIdFVmzJa&#10;BlV1mudsiTmFPp0pbytT76V/YQ2v2GxTHRYqz0uIwo1f2YqonhXWMjPHnZ+7u+dmj1Re5mbZCjfQ&#10;P/40pLF94Dzua7pfC4uUwN5g7PiSJhCx1KyYVYd33O3zu0iEAx1M0wJxY8jonHqf4vdb79Ryuc7y&#10;NyZO1TLW2eAegOtkdy5Gjd4YCZ3w0pRDfo2R6RblFG7vXqy9V8jYTp6RiHEjSpAdBmLidOA2M2Vg&#10;tSYOtiuGo6mXgSGNTmfjmeS8TnU4a8BfP1WHoRUqHbSOOdOGIDC6h5VMZPjV1gdLFFxMhACmiR7P&#10;cOJJ//PWXzuxXaIiYjOnhVptlB1Yh3L0ta59ddOSXnBaP/npxrrKsGmWQj4aCvX1jXAT38c8ak0T&#10;TLlzUjnWHVGMd7FUw6GBHGexkrkI26qonkpdg4icJYCWzH2HFqGsfNeAqOgIoAmhsWof9gAFf1Q0&#10;RRjh1+dE73oS7AyWYKjFWqMb2P+Uf80HMuI0W+N0EZoEs3BC1bBlbT91usZcxAx30Eb3JOyMspTZ&#10;qu2QTVQJavUStXpX3ix1ULuHrSqXzoUHySNz71xPsd3cDp4FnNtg9j0qUYgX27C/FZqHxknXA1zh&#10;urWxsLGBT2Lh1CZWxK3DF8gRTgOPKiDgwXbreaJBQ4dg1cDr3AwZFjgSlTMRXuqMZgpT/h2pCB7d&#10;csRbh8Jmq5xdJWgqTqXEmiyUP2V0lVAC/6Q+6XxizcpXD75zVg6mpHC9UWCX2jqDKfWEaNhaZN9A&#10;M9xc+Nb4RGsinkpZh+GSQmIqbTSD8e2ITtjWDt8lLrzOez2TwY/kM2jylvq2qz6fJ8efqVMOIVnp&#10;oeKPR5cpfflw5+uS1ELL3TCDJ4FKbRQzKAvSjHSXS0w0gjo2POxtJXzLAK1XVBg/idcUI9Utm6KW&#10;0qtmzayd9ItvuIZa1cCw1sLVUUTNeenf0Am2txCd5hkHXxrrkz1fz31Lqyp76BNYB/GT+f3k8e0k&#10;D/8rsusyCt25lsJki4F+onROnfAJobQdpobPPClhVP8vYjJhVuEEyolhlcIxDqSojeIQgA2MBJFu&#10;FFWn+1L5xbT1MG3XUNQAaNy36B24dprEFRIlD7SW5CCRC22gn7q0JMHVcI8X1WxjJqUzXwU2sjzc&#10;fnkxZRnNZDnz7jFzPLzB70mmVocA7MjuuDoqiaYGKvxG9uUlfEoihEBrSzdaciPg2MXi0uMPZ9Jw&#10;9IRcMac8DzkDTifMx4p+XBcSGYUr6zCqnScgld5LsrqqmJCKufr5tWFCAJKLSJTfQtdd02eV8bAo&#10;1bQDr0WilBsjaSST080hs41tac8497TtKdsyHrgTFp0Ju4t2aYlEkDnSePBg7r4zhih7AKfkwZLg&#10;k9O7C7tbA9wdhDWcimj1cGQi6eI+V1BuzE5xAlhnDbNcURa+/ygCy7Y+LUs7K4i/vIx+qrNXDjiK&#10;p3DKGUuzgKwXPaTaiVUt9rvspg6PiDQRRNs1lRLL9eOntvvy6xxklcagGhfISSCjIPEdPsCUbrVx&#10;PXEg0yl5oUKrNf6A81JDIWxVq/3d8dZGtX0awTrGKfKyjF2rniEgvhEvA0DxWWoFpYEzIDOY+2Ye&#10;9XmrClZhx70aPVvycpt6nBarm/RgfT40alHXmbuSaFfVarpaBPXNSNIjRnHsrPkSrlqORAYHU6Em&#10;Fx4hmLqXH0DWzhmNBv7sLQgiCN0LC8vLw9Ujg5VV8O0ErDvr1d42bRaS7lofWtjJ316bpLJg4iMH&#10;lEVisZNxHv7ujlEpBx7YGyzzAJ9zVcRy3yt3IT2LKHXfoxySetR1ZWHrgd/6tK3BZ3q9rUU8X5qS&#10;/FwOJDC7UegOejU1k94oJi3KTBoGu9LSMmZSvAo4Az8hAMEq8jwtOHIKVkT8HjErgRUXcWqrpSyS&#10;wqBd0xgBpd0oFJEGAtfrDFs0cmrCaFGBqMK1I7QIF3MqpaFzdoEsXRIps1t5yUZc8zhLw6okorbA&#10;mGiNdGUt9UpMWcQlcOdiaZvawQkZJQsxP7m/qcq+7yeisOJ4H7owbGeW1b/ms9qIivkpcv2Ir+AP&#10;bga2XC2vVYsrTFgE1hVmVgXrOoJ1PwKroYj1lClFqCQ0PIMCGg5XsVh/oy8op87Jx54M43cAzzK3&#10;gz9LAY+W4gMxXHHuEawF0ZScUwnUf5dtGWUSD8Uumz2iGkInfXNtgOfgYeXilj4N9YC82vgv3M0T&#10;S/CkMmx0A0vB4WFlepgL8GmVLRbFJYDIUVFKD0fhaXGpFNZbuqZPzARreFIvNrEowRDxKzQIIdyH&#10;8I8uddVeFRKQcKxVER8Sg+dG+3mHA3QLz2S6qDPpgV6cCXWDqRwwpABrWOJJIK/vsqE6qA+qGT6P&#10;Gi0PaMiARWVKmgijWChsdYmveUgwKvkGyEqgC/tKMn0Vj1KdmlSPWgM/nq4G2Rt2GrA50aVmjOa9&#10;KkZ/2hcUhUeOSuSOwKQY9b1UegA3Z6nxmYu4TtqHWVeYpyBVupOdMVwamvgSZ3XsuEQiTVMhf9i/&#10;Ltpm0YEVnjcaLiytDBaXCKxAwPVYFUcEAbOA2zHR7uPNRzzSmByjWEdwLOBhbeOolES5AXTpg59Q&#10;VnsUb9gUtUzMNFKrQf6KiIlg2HiTNja0EL6tCqnU8WiiYKfuguYdTcIrMpixkqGe5Cck3Mj3DgfC&#10;l2xlilTKBSlxxsgWNgVDf+SIoMuEp6rGv2rAigjGh+OIWSF2vqQjrASvZGVBEHhbLNc9imYp3Qa1&#10;uK7I/XliHpXuDJ0DCFztoDNVwtNhIgR9D6BSItoQKKE9UhUyCHfXhEq0akTnzqAmBzIT0gYaPto8&#10;h6xo1v+V+cqQj+043AyAgL/e2oplV+MTKLTINOz5MI0i+CRAJVEUblqSXHoCdzYmTOsbDrXwUgSY&#10;l0kOy1bvC5jFnUEds2JR5AaQ64VPycEGOIvLtEROkceZgybordtSFDsJ6iCG8lnwIKpUZ1qMYobQ&#10;ighT3XSJUSh/nJ9KuHTm3pJJewgfi5wDeIxFZvMYuL190DJwOp3llkZ0EkyZtIK9sDwaMOov6Xeg&#10;UmhFBzRtwKJQOUxjjJLD4FzM4JWyW0oAVUpLcIwAHy6A+5EUwjRnhtsTIqXUHlIDVoooMVjRZ+X9&#10;b/keCNcriQopGU587UVg6Wf07m4Yfkzqj0Y5ww8IenFHSTCKZ5Q49bvMeyCzll0T2vReYg4Yq5/9&#10;wpFGrDJGkSRkzCTkFFnijgBlGmE0wvtcgEq1aGmPfNjEWiy84SXiUcMoYscxJe0GgCn9SU4TztBo&#10;CQx0AaMuzJJh1LTWDlYQTwdYKKnawDBbV8SoOCfOUZkVRll0JB7oLrajSUqoNuonQg1mLkUqvodJ&#10;AAojJN3lvxFUs77IPErkzWxKDR43aB1Gk/POpICUy8v4Sfp3yJe/kRMWMCp4CABVUDIQ8Z6UJhWh&#10;mRsgVIgkSp7olBjlroel1TMrJFg9QqsNYrbyAAjYd8Sv/vRseDTSOfQY2AUFGjhgVGgEz1gYjyUW&#10;2lVV8fb97K7wDnVn5iBDCUMlcUl14BwJk8SY+FodQBl19Be8wMR6pFhhNAa8qnvnig9GnEyzOEjO&#10;1xTfjs8oiaolJTq35e2arXJjwG0rj8ZSUkElsA7A64XBBb36NaIn1EkoJHjY1FEFozOy9QUgQQMD&#10;WGnol4I1gilBVeNTAFB0Pc0qnRmAsoJQ3RIitffSBnlygFo3s0Qxg1qPBTcGlua0HwlGSSr9Y56h&#10;jJxyjJp3wi3Nxo0xCkQuQ6WERSV3IuYgH+giGd7k0I25hPqYgZVfxoAwiFw+cX29CFIL87MFCb3n&#10;Qtt1yylobm0ATs+AjLUMgOK7aQjlRlFDjH2eSfpMKoe03x7Mw5saABpDFn6hR+SWU9QqlLAlh/+O&#10;DS7lEf4cPtRehcGNjvaE4OklnDBuC9my7EK2XRu3JR3DbwhzV9XSKhrGSI3u7WFJHxEzyzvNh+DP&#10;7G19In+1u4kFLq/AKE+nXnM/aEbKmWU2uUvq6SUZ6FDBQePe4sdsKskGC/RGYYcVtu81hxIM383q&#10;s33ixCU1i0+4pTscd/JPYLJVWDuChxaW8pii30tCBbqEbTzq76WxB76Xgkq3R18ibyeWiO+WV4ni&#10;l7nxaKZtV8fcxMwSXLPLy+YkuE8zQphc40L4tBzNANWkOLi0GV27uaSZBLpMnTRUoiWlOmZiHCtA&#10;nTj6FUyZArRORSWARp2Pb8ylVL0ULtENYo6kKmHaAr+pRpI8woNch4PRcwWUMQGYckWTxZYtjpyS&#10;lDXVh9UVBlPpAHXgiXDqkBTb6IQb/XQOfMc1IpMe0zWgzCbKsCPgPFsV78SjEvmlXIeD0UlVc8bv&#10;s2kExpDr9TWiFUnUGBavVle9Yeuh91//9vutP+i5uAiIZ3fZfgeqLmcvDdesFoJmxFgwoE4WjhRy&#10;UIDXexyTtIZoTLtVwLoVQ9J6DrXuKrbrMDBau052kjof5j2GGOZRWBG4twuvN6bPbkXzf7E4Gduk&#10;7DgavfnJGz/01P33/8f4E58cf5relgETH7gxmJvKSu5yP/34yIXatdxAnLw+n7wC8HrB96WjKJ9V&#10;oTtX9oexH3pyOfIXfZPQM70ImiB9dnmeCDgHocqkSADdv3r/OT+1frd7nr7bN9Lnm7Yuv7bY7AoE&#10;3xLcKHBmb/T2K8abhBt/QGwLtzyg59zR1zQHTqiVKFZ8Yn1blQzUJRtNGDw/CTPxyKwVVK0JpkVG&#10;WDxkHSr0m7q+I2OAudv6udd+Wu013s/g+NQ7tx/+sK2X/SNxZ91RpKG89ieGl/3akQd/aZ4LDH4H&#10;uAM8MgsF4IxunCGkDsMvK7YtEgiX9CoSeigcl/ZCJhABBfqs4cbaRpEL0fXWFiSJwyfufvor8+l1&#10;ZtaLyB6P49lD8kdbqzhXkE2beTX+6+duPOgX9v7xZJZTg22su7Sy9AsvP/707xmulRLwIB1elQnW&#10;H2cNZFlgPNkWooYEVh380uoCnHGAQ9AJRQTVG89mtWB0RaxOP6J7p9OiDCuztz8mSqgFytx51KrX&#10;3d2ZTiOzvftg/DdXjk5O/FLkpNKLw9veul0P9FY0mM7Avxwm5LXx9Je+8NUR/uVZDzhg+grQiUsd&#10;InTClVBiAQZyEf+JrraL2U3Rrg8EKk240/eTXMT+z9x1k8xSBYvV88azL/nRmw2Oxy0XfiUWqqvw&#10;Qm+oJFaUtZD+RPcU34zFBQQ6ZPcUFr/B+zfgw7se1Rw1lMjp8WJWq7pqlgtwvkjJuZDiKU/JuADE&#10;EHv25p7SHwKPntvGnrExuMMDj77mOSu3icc6ocmojrufP3jTS7cf/9jNh/3IxoN/fPPRj9/+ncv3&#10;/7/rff1R5zEAmly/BLFSHEFCh1BJfkWbTl5qwP+ZaI++rBylPwSMdiWVszTd4oWLP/ys46996sol&#10;R+slHFf/9OrNBzxg8/Ev3HvTuw/+74dGH/y/B3/1tr0X/frWZQ/YfPKbRvh4orKlw0iwMuEkfUt+&#10;yjwnl58kcPQUQZHOh+0hE9ljEvXGtk8zhFz0rqwDsOPhFsEl+csN9R3nkGL4fXtRHzXNOe3K4qNe&#10;dPzXvmPxSFYHN1Ct/v3yrUc/9+AT8gRiJNLBydHrnrb55LfRjJIY1qI+ZJzbAlaDqS66q69/cS/U&#10;pINkbugc1FnuADkoa2E6fx49E6ZlhpoenH9eGFZE4LIZ/K2DP3zpwSmu59Lgzt+3+mtPP/KbT1z7&#10;kXsPj/ENo+qK39v9J347QrIkNtVOIMlg6PVbupqWZ+elrpFTGNFn0WPo0yr1ac0OtCUhIdOu6W/K&#10;nZSQev4YnSFeznBWiY7ZL4Qnda46sMjUl3zf0T940toPfOfK/R64+kvPOfb4e8tIZnT16O8/qXhy&#10;WCP778yd/WasZvDKYWoTVIxX/PBd9tu+p0EmJdFwZ0Ogs073HqY1SKX85Rrr0GkyGkXlkmPqw8Ho&#10;OWzsa/uFPRJYna42NDi1cmRBhlWg7uHwvo87+vKXHHsFfH5/7btvGZDjMw2oCi6rG98bsTo2LWDB&#10;44xBmR9h5C+sRT2itePL43suXdKcXHZxuCY38cREYPyszCBJQZ55rx+txtsbuEUUxO2GtNb13D0O&#10;/nX7AT+w+xF+AHdp6cnvOPbgC3F9++6Hdi57+O7HeA7qyPBbH7LyHV+3dMnthre5Ka9Aj2dH7Uys&#10;CvylZ+i7/aEc6JJPYyfr9ckrNiNo0U/Gk5F6Y4NwwsJjxiGDqIAC5FkE3fnHb7+vFAwpcmTySbo5&#10;e99Fo8gTXhTVmMKautyERRz+bVgJepPl6iVL97a5ze3xO/7nzmMftfFd9z19l29av+yRW8/+4/3/&#10;oE2HfDsId2LLsC5wAG6hSlvZEB5aytgU87M19nHlOXNcVypPhtrlwGbCW0VoiESubym025RsbGoN&#10;rH2Lt+4mJYRuw6nC4A+neMMjBqozeIZDytVVqG1itF2XnosPp+Mu/LB3CpR7ACuGaEcT+MDSIfjs&#10;7+FVmSNpNzdtpR7+ddQvrYcEmK4tPeopq3e/SSrE/unxv7x3/2XP2rr/gzZf+eG6SgYjTbjhZDi1&#10;KZbfmXjGeWQ36ZSA1Z4DC0UlZot6gj4tNLXOetpEqhD3ynCnVFe9HBYwtbbZOxsmE536LMJuZ7va&#10;3qq2tnEPadxm8gDDW9IO9JwnGEfanQZ3oIT0+/vV7h686AS/2DvXJpPhkO+iXi3PY524dO3Ff3Ls&#10;qT+8fOcvHaxmLv7e1QfPfuLOeyEyFQO1DFslV15gT3iVmoUvOVLLlS+UIAxap6xGvsgu5jCtvx+o&#10;lK0Bsa3c6UnVmDZVU6bQXoSK5VZIiluAyy3anJd29eCDu4SbESkohvhIRIftVgCp5xBYpWpEqKs3&#10;X3rQY4++6o3nveddJy7/g6O//rjV77/n8Dydlzr41P7r3yOmzWshj0Q5DOnKIKPXGJqBU5WLhWLr&#10;eNQou7k39zNrHWDq5EEfmc2BrSjlDJhBg1Hx/blmXN+KVEAnQApwubmJLOjeWiK9JJWdnI/cEY0U&#10;onKDnwBIxYf0J17McVikCooa71fw2qvNjWpjq9ofL6yeP7zDXZe/74fWnvKC47//MBwochf81CdV&#10;7wmbZpiwgbTilf41NjWkMi25D/8MZ+eghD4ALjkDtERGJCR6EtvO1fCusFgRSNsYe8rW/BHiCZ3Q&#10;JMCd8MVl3E0lsT8d7okfDKJd9zF/fOjnrEZqddWL1+96j1N3+YbTd/2G9V/737K8gzv5rW8V3rKq&#10;i+FLWirCVOgFGo8ZRvxOD8KMOB0+dbjSrVWmSdWZStVgRtZDeLRgZLTDNWJUAKioAnQCw8F78hCd&#10;4aUzha7FvcLjD8Et/1NvYU71jxCUeii9GBKRiksq+3ThWOXNd06eL5UyuPXtFo+q63jF87b/57tH&#10;n4dXCa6P/+Wvdp/6SjAGdCwOL7nE6CMFBFvt1O4HFpVHkWXIxAMqPYRHY40zGCbHXWJzE+Iv5NsN&#10;ppKPbPNhMgqboi5ln8pY/A4xfEIqSg3QBPpkVnOAi+RTxXLz2Z94uKZdR/05wavV3XLE3GjPdiRv&#10;3kp4kqNkdEI+zVfbyzv/XivffRtJtvvx/Wc9ZuPe9zx96b3WH/jzu+/8tJw/dqeVy74maKMu0xJM&#10;HRjdbYLpGKx8XZtm2nq113zyFLQuljZalCrrkzC5OxhiT8XiFEvoHa6vo4OYr1JUpyjNIGgo1pWF&#10;lQPH86MO/rAeIOM/CvLg+GNKQp1cqU13nlj+hd9cy2NPdsvR2y0//ekrF8PuIOZv1WSnynEq424a&#10;ok7mKmEWnuByhdevKO2mh3ppSxTdgUrjJmaYwm0hmub9vZBfC48SfW5XW5sSMlDPlhQnkqrAbjyf&#10;UWuQrs4C8Spd1wLUOCH0i7/oLaZo+s82D/W8S9de/rpjT3zQ0sUXueDecOGi2y1d9pijr3/V0e+8&#10;tW4Z1AkeZew5RlWrqae8H9WphC6JGp2FbjCtL4a5DZ44UJKLCTXciA/kwg7QNQc6Phsb9CodGX+J&#10;26X2hCbbKJxA12XujfUVac3/ZAdAUZzP8sWhq5gdxH9ljOL86tl3VKeuHv/nqWq0PLjoZsNbwJop&#10;2TuEWoRHP8myOmvtknEOFoWqSpom58u7W6xS+V9UMi2JcjZRg6fKLsmbQLeUJMmGiFRG51Qzq4gi&#10;oRajMCqqNtYZgXaniayKkJrEKkswGmuQpTHZE0Cb/FhurGZJqXfCI2a4F3HTMxJnB4AVkaRx2aRJ&#10;t69FTdUtBKX6EqatU4tV0SvxMNQReMQCU2mhEaNxpwhN50rsgNHQGeKH8gJIyhitDkYKUMV10k19&#10;zQ2hCSnKT4dRSanFJzeyI+FXHbi+HFEv38g77MELLpLmmapV5nSzQ2KYbuGywjDdEMmtz20WiFMw&#10;kfR5Q4q7ezYkajkLcRdU00alnTEqSA0+TBg+wvuZMluPAF0/LfBA1ouVQmoNsBAprG/XmPWILw2j&#10;whPMmAxQydnFVyKSZnJRrOP2wVAZDKaeK4enTfsuPhmrVYgz8Ivjq2TEWdc5Dw2jbVTaE6OSnY1w&#10;+HeKUTTxp09Jg6e8qOCM+lXkeopnGvmjDTzKlzzM1alVyMnGhV7pjp5xU2Bm03MJpkKf0tmlpnUD&#10;lLiVnapKnTKeB5lLty2hrp5N+2PUCNW6KoyrHI/iRgLXn8KHZVMzbZ3aOfihfO8P6AAK/3UQFB71&#10;Z/R+w6iRKAO3GLS3NPRF3ptzrsLUg6hhEN2hoWdGnK24rhGmBqYdRC+X6NURrCSGmU7DIAme5rac&#10;NS5Q6Ouxq0/jgWhxoDdVHnyJSPKGEWfljVklFJVUs1BrmX6cYiKqtWXmnwBtWs2noXAOfU+MhNZq&#10;sUhicpv8fkRPmts0YlHBXDcXPK9gdUh4eQ2VZ6WyBPYxyFp0QOsRixlLHTyHyJvFRAmDBnxHzkDU&#10;GJQ3XOZ/EaaRxK3aP6cTWPOdZbVoMAaTSCrAFx6FxciwZaGgxWcXrVrQzpJ2Gg6r5FP01pF8j3Lf&#10;GYH+TzImCD9jtrDuzdsZYy5g92mh6o3hmIag+umnv0L739EmEe01jm7o+oaOl0uLERCU9qRsTKdG&#10;pai4NnPrB2HsUBK8FKUl3YvFdxUpeQ54Tl5XPnsltSnxkK8fHkInrFjJ7k+YFd1GGN2A1yrI+jfx&#10;QP0ynNpGjy4wPFV/jkHla0SlAZVFXwpPGlVy7WwExoUkMvFPsPhn48zTNM1TuPewITppnxekTnq7&#10;q/kQH/CA9fOMrmQfW6HFuJjcMSVL36K6hPxiP7Psjwo4HVgFuwzTqEDpWrGHPWNwnBXZHTZCp600&#10;e4HTHcMxkqhm5JbvabZcgP1N8Bp+tgvC6pVwvfxginT8G9qAlgGQAyFcW2wemQ+3azp4mk4rTXef&#10;UZQ0F97eBhOrxTNT8r02TxmhTA3TIb3PKgakjuAFnCKSnxRxyogliLQUrLy5AIE/3Wy8Wv7I7uN1&#10;MeEMU9q82OmDqFT/RKt+mzDdoZEk4sFZ55GdOQKhg3DnXBJSIz6TXMunOfy5knYHrMkwFisBLNGJ&#10;581SYzkQKfIcS1pmIZnj01AUj5OcOQ+pZI9tuWwiRG9RoedMaqYJubYOf8H3VaHYF+eAhvfLzzw8&#10;2ii87frUNbB2cGqsz7TQBjWYSQQ3buLzFHuSO+kMNU1TZWs6RIt+jJCYPwMj+mqTRI4sVRZ7nZSL&#10;2BIqawpF8sM6GSMGanSd1mOxoZtP3bAzy2DuEGyVdBY2pBt+fEl+NUZswSeWJxBzm1IzEo2tOdla&#10;zY22gsMfGahZs1FZFayGFoMRb5HQ2gpfTHA4GmgxwsaWxqNx+2ostCis5p05wmmhqTl3QHKW28OL&#10;J985H4aj43hzPlM4cg5SerD9eqYY2zqcZvhiKc0aKBGq+RB2K6RKVrVl8MaMvHNG+ImO8LPkA7qV&#10;qnGQU/JwUPasSv5A8LaNmm1DIAWxXAncbbLNfav/w8XgWdTZJrawJY3VmH6ftLzyUpAlE6HCbDVt&#10;ElCmsmcmXuJNDt2CQSNFGrZrAfzwiRdevEjKmN3ZaOwedrIKWTin4HDBNJvSLKQw71UjsxF35rl4&#10;Qm1YHRy6i9rfEliN8aKxuKFJhTfcFn3UaFge4dXdrx6mLW5hHOu9JKSTFIdNHJwqFjlzrfbNkFoh&#10;H9XJmUxvfbOfb/qOVNoxmQ92pnKDmij2VHPYGDhufPuV6lHXd/D5JN+yI8ApoSBOjQOjgGbfhBbq&#10;L1j12grYY6XzbbA8d2WBWghKZLcsV+eWPexqReUZOhq+MFTK9Sk8x+US+oC38agnV8ZTmHk02RQ/&#10;BVxHjqfc4JxNDUsqGp3zSXeieBoWJdyWuo7JWEuNLlsEPP5MYgUzaNc8yJ9iMdR2kuLOTt6vZ4IQ&#10;crbYc4i613JKOYKtkPYtPNj/7NVCe4QUCTsyaorPLPLdbOLZkjKY2UdM24+T8VadfGPhrwDUkN2l&#10;kfAe63fKwhK6NwlhqQxuhoFviOt6uHs73FJd9a69939eBLnwq5a//Y7n3kMrHarZIUmxzcxAdsgg&#10;SeLyA4x+lvHI5jYrSik54kTuOYq2gFG2zkrBAa88yonRSSgPc/Hwc3zNwRuvGF1PyBscW/y2+y/d&#10;CtYxeYn2R1f+ycEnGXDD4d3uv/xVx/Hr6DMHl1854nUHS7de+sH7LK6KKcCXF9ozT6YFeAbqPW/c&#10;/8gG9Y3VxW+5bPm2kyyYqq5+y9YP/sr+Z2gy+SZ3X3vx89a+9rz+rXHDuGPWGHVYJIxq/l34S4Gc&#10;YJEY0vx9R64eygRLRY+DrCB174M73/2Q3Y8SBIe3WnnlFUe+YTVuwO29n7zr9jt4m6/lxV+94vgj&#10;vgS/7v7t9jf9xN5/0vLClXsf+Yc/WAGoMNMDj0KB6b4me/tP+a7NP/oM1eX85Rf+1bFvSwrqgJvt&#10;f9750UfsvG8dk97iXmsvfs7aHY91uO0Gn8SDaAoeZT1RZmFc3xugjniNVUPGri28dyAJuDCJSdWV&#10;3FWipmanPGbvko6v2X/qLwpAb3WfIy977hcBqq3gR9rNHbLD2JAyE4x2ggMikbDt/wrYm9w4i3da&#10;z3BjCiJf12lctaK4QtPKmcWbDO/935buS59vvXS45CvfqWY9yQ1chdfu/cdFi3f52sV7/sDRlz9n&#10;9ZIjPXO4MSSPIpbTVBhjT5Gr6QfXBh1zMSOAOl+RURvyyiFrZKrlCcNpcKIwVDe5ePhWfyx9xeoz&#10;X3Dsxb+Ln9991FLhvZ6zRepweI+fPvbaV5/401efeMWTV263Mk0D3Aju7c6sZWXYe0V0oMNcFzzL&#10;mOICg7qBUTSsMTRkkz+eMP34KbBrjiSmbvEMCiM6qdTu+JMfG/3bR/Hzsc/hvpbJUW2OP/h3+299&#10;2/7ffmi0WbsrdLX+Wcnk3z42Orm3AO9Duerde6/4w50XvnT3vZ+LO8ne+KP/uP/Ot++95cr993x4&#10;tF6KG4QbxtVn/nn/yrftvePvDj69iae3rhl9lKSFgj7HY73YfkCOH3rv/tuv2Lvi3fsf+FQ5LDFe&#10;H3+MM/no6NM80jyoPvPh/be/Hau50RzK6CC/StTBJJewxSPpCBtJJBXuqout8iU5Bgf/CWOmbjQT&#10;/EoHaIosEcx4OkCH9gZ0OAerkHTsb0Mo3nOMx/BSERgzfdeDw5jpj9525B4JRSVjprfRmKla2PvA&#10;znfpYOvYtx/5h+etwCtohdr3x+984fYzXnHwHwqFE//v8k8/aflTv7r1qnTMVL3hZ0497p2kmKXF&#10;n33+yieeu/3Gj5KIw8FD/uC8p98Dsxx94eBVL9h56VsOPs1vXaJj+cLFb3nQ6mN/YuXLUw6vrn73&#10;zpOfuftXn5AHxobHh/d91JHv+fT2z/wxb/43+N7nn//b/y1ktfvxvd9//u6r3zW6VnaAxksXXrL8&#10;kEetPeq+i96n2H7T5l1+ZZ93Pbz00cd+eH33eZcffFKlWrvV0kMed+QXvmMxGQ32lL+EvtpzFA+s&#10;4HUxuNeiBItoi+PhsH6TwzrshfFW8u6bElVJfzDzbQFRdU8ZZ9Hhflp/ilwKvEF6So03WjM94Ytp&#10;7eHj8Tueuvmo3wsAhbvX/33/mT+z/Y6Tjdofj//4ydtvYIC6Y/Spvcc+eONpl0cAhev7J0dve/HW&#10;9//Y9nt5nyw5qi+8a/thP7v7LgUonB5vjK949ubT3snbbqbHxj/tPPyHtl7wtgigkOjkVfsvfOzG&#10;j/zOQZS9u/uql2/+wisDQOHKztUHL/3ljV95SxTS6Cl/P4BCSbDTN2wGCo/HAfPbTBG950heF1PI&#10;0VNpuUC3N6L3KY2n7WSOQ8rQgdG0nm3tLkVHMws65+nB3Yq5Yh2KHgKJtvPe3af/2RiMdnJUG9Xn&#10;HAsWch1Xn/+C1O/o0YVFLmI0euWTtv6C2Ld4nP7g7q88fz+Y7t2DF/7W3scLxS98TsP+UT6b+896&#10;/M7fu84jpokTjav3v2Trt/667Klsb+qDvT7Hg+ovXwA60FN95e8BUXy3DLwoYeSeO5Kwj2wVj3kB&#10;altewcV4TQ/zRwmVgdIikKpfwWnIrxRWzcb45XrFQzzBvWDA/xPurk4d/OGTtn7x8fHnyXsf6faO&#10;ERKv+rs37X9K3bKlmy898pnH3vzG46942urXXdRB/UuDr//Jo2/92/M/9L4LPvSu44/86oW9f957&#10;zfv1xqXBNz7y6J+88cRbXn3sCffTd4AvLHzyL/befr2k2X3P/lt1P3x4Z/g9fuLoq//sxBv+8MjD&#10;7yzvEY2FqK5+8+4bPiHnjl28/JRXnPeBD17w4b8+/tyHLp7ghjkYv+lloUZJHW57n7Xnv/LEW193&#10;7BkPWbxQ++3o0/tv+Udp9r7yM6rqPEa9hP9u7+BbkCApGfsgF0sBGKF3b4hB5WybjhSphFHPRAxO&#10;O+Snn0Di55RtXOVMvw1uUmpTYR0GM2gG/4PwtTn+qzfsX/76+PPG0Wf8UCD4C6UqH4w/+JGwQ8W3&#10;/dLRx91v+Q4XL93zsiMvfvLyLdq2g7zV9x79vZ9buf0FKPrqzRa/5LyFq/9Bp7gWFm75PUdf8JiV&#10;u168eMnXLj/iGcd+8qtEgGrj4O8/ID3y4/88OqmNcZNvPfKCn125+1cu3vEeq7/6u0e+5+a5wNXf&#10;/+3BBp9eHD70aUcfdtfhseHC6k2X7vdLRx/+FZJ+6wP7f8vDo/hYumT1ec9Z++6vW7z9Vy0/+AnH&#10;HntPHWKMq4/9Gw8iq6L8t//a5R97eio/gsSMYfOwBgYDu9U2vMJPb8HNv225iDIaEhtbbFQnhqvb&#10;dguh6knR3FTCitH3AFYbf+jcEs8oCZvySZdJimCvzQBeZjp3LTfZJeD1ODeurrlOky8v3vMbwkz6&#10;BfdYvkvznNBgcNd7LyXzmp/9rEUMBne+p7u6NLzvNy/au8IgGZf6hS8EX/COX790ofWKC5a/5c5Z&#10;bffGV/27SDs4vnjpV7gES8M73UFXbO+N/+WjBR3c9E5Ll9j4cji419fru8sWFjbWRexE/hO6dH1h&#10;afit3xTLH+PSHvzKvsCm7+NNZtDs+URERUxkAlM832tWRdfmCciMncWs89SlmXbMXn56+vQoz6Em&#10;iFbNek6N1o3G467hwtHjCyeyj0DBmqkB2VW1ra7Y4MTwJmuuaZcHF55oRPtwcOH5aYKNTe38w4UL&#10;L4iuXnRBCI1sgVtGF+GlqToqHNz0JpGgF16QPyVQXS8sCjZ99Prf2HrSU+2z/doPa1bj6tT1BcnX&#10;Vn1sZrC2FoqzjuXlvyCR/8Jw+ya8QMZMfPw0WI5R2CNM8vcw5WoTiRaQSo3eZ+lNvFE3M2JAkfy2&#10;jb8cX8bUa1RqJFoY6btbDJzSN6hWnlWHt1x5yf85/0Pvjz4f/Jsj3wxvkOl4+AWKi7gblD+Sn3mW&#10;eTzOO1rx1WgwaCP2yEgk8ZPc04DXrmqwCfycd7xu7zWvDZ+3/6vZRngFcMf6p8lcKMFvl4hvTPBJ&#10;eTNX9yHbXfigUccdbtQLDc6o2ltBqsxFA3fiRwmN1tjZJmJNdTJ/1OtZoRogy33CONTbdzfSMovP&#10;cnByUwDi0pOoeQjqiaacaMVrvymTZuzIhsr61M1O+oSN3nLbsnUneD1LHKjf2e3kj81KruIuAQI7&#10;73pKeeRS4kZ1iE58T3YZoBgH5RhvLKdwJ14wL5FhqsaZ0wtNkF9RlFCzdfNMckpLlH8dNiOyVNk0&#10;WUyx/myoQsQ+CVGV8edrX0xRB1DWgt0O78iLYTrBG56ceUpeEBW9HBHfIUHHeScCXX3q4+MQlhmN&#10;r/pohtHBYE0dyuEtVl545XnveXf581v3bVdVEdxuwzZ8laYgD7+MYYN5uwWqyW/3gnOIUgRQetBo&#10;Bt6bIB6n3csOqAsPhbE1O4zCYjFV2e01SHVjJoW9qyBPITH8+bQbP4UeFNk6TqWzT3xTJDpyvAAU&#10;0hHIPAEX9Vs+WcOO1rsgtMkHBESv8Uy2W11TFw2vL/7EccXcuLr22ijdNdeERj52HoeWBre7eGhz&#10;PP/y5ztXfEbG+1ddvvOqf86KGQ4u0DHaGF7Hev7wZjcLn4vOGwArL/FnkqWuWNzxY07+L3jkLVzz&#10;hdBnjkE1BZopg5o3xmMqXPfIAKH2xb019cMGNPpojQOG6UYsmD96ZEhNn2dSTBrKqMEjpOqZFL4K&#10;RytMoJk0h18dQpL1AGhqVRqhuzj4EgvxHIz+1/8y6qyufvvee5tj+KWMb3ObwETvu3L/8xap3R29&#10;6R1Kk8PhbW4jUp539+W7aCcZfWb/cQ9cf8CPbfzg/U8/8Kn7n80n05cW73CxmpbNgyv/tyf68RVP&#10;OP1196DPvTZe9K8tjktK0WpJb33rYAne9869z8FUEJFltTN685Um/+DWt6Z3zpY0QOwZDeEJJvoB&#10;LHEUlJEgl7wbn2YqvTZyaSWNkyFz3pUTlUEVQ4GoY8YO7K2+p3gh1m/sPDHahIaqjt5K2YlIi8O7&#10;3ElRVVXv+h+bj3/J7hVX7r3quZsPfcZBKchYV4bo/OZ3W7q9upjXXrn9iCfsXH7l/tveuPO0n9p8&#10;2ce0YS5cvMdXiUzD/7LyUw8cmlN6cHr8gfcc/MNVFQUTC8d/vdfS+XzruHrzUzef8LK993xo9OF/&#10;2v+z52898x0CvMHRxYtvXatCxlByGLBudtfF22tY5Lp3bv/Ur+782bv23/Hm3V9/9NYrLex1wdLd&#10;v0Lei1wcKvnMcTMYBig5lzgpj1Pz/J23sTcS8iNxl4fFv1IypTQSo7Xtu3zF3Xdub2/ojfY8arnf&#10;hMOcj0Rh3Ms8c06J2SZOGVx6/+Wv1pBTtT66/Lnbj37M1pNfcvCJ2tdPNsF06eKVH7230kRVfeRN&#10;O7/8mM3//vidV7y3Ml/zK79/9ZtDVGvw9T937NfuO0wWxizddOmy++S7+Q5u+u2rD/1KEaA6NXrd&#10;s7Z+6AfW7/eQzV968cHVWsBtv3Plmy8oCylGs3CRvcmFxdutPOxeJv/Cv/zl7hMfu/WYJ+286n1B&#10;/ksesHJvePwms7+Wq+sDuExEyJIYFG09QZPioPpQRuLIxazKxsJ3rZLpr9sDIq+qgSl3fjkxw08A&#10;7UCq56VraCs0waHuWs/hOawrffpPL12YdYPB0cEtz+9f/nD4vU85+pNfU7sBypfc58hzHrkUrTM6&#10;sviQ55140++uPeJ7l7/xbkv3uPfyD/3M0df++bGHX5KMGEmY1aVHP/vo935ZrWDwyNSzf365GNiN&#10;FJOsl6CfGFEaDL/7iUd+7Ktr5b/VN6898xHg8TpD36hwexEmRX0QmuaSyhuKmcaKNMSBJyeq9THx&#10;Tt0ozjQCOcXdh7N24yE9UVBiMmIPePbDKe1SQeZeo6Wivjiv5JIWANnf8cePveo3Vu5524FYucHC&#10;Le608qsvOvr9t+qPUbBoFy3/0suO/95jlu9220EI1A4Xbv4VSw9/yvHXP2/19oX1zoOLv2XtCb95&#10;7OUvP/5HLzr2tEetXHqThd095aPBwnG3nG/ly1ae/cfHf/unli+9lQoMYg4XbnbJ0kOfcOzNf7D2&#10;tc1TD85fDNUzDxKGOBcuP/bFx57/35e/7jZx/rdfetgTj73mt1a/XOUPGm20VEtLBQTqQIp3ja09&#10;YDEUX/Po9MMymwI5+MLnzfjiPWqHw2Oc3tAzUzJ2/SE2nDqN9CqjVTkpY/mA5ikAmuqNfxs0Dbj0&#10;1DLBoTr1mfHVpxeO3Xx465vMZCeoauva8We/UO3AjNTNh7cSRzLSyfb7d5/x5yOYs4HjS++79qh7&#10;65BlNHrZI9af8V5KvLz4+L848eO3yRuy2rhm/Nlrq/3FwUW3GN4S3t9cOiLvk+PhxDMULxLfNHCV&#10;jYRIIVvXVf95bbU7WLjg5sP/Yvm7cqzd84bmM8RqGMbHFmcSpUl5XTBKe2o7R5EEw3sYA3s4GcHM&#10;GAY/knMkxsAwKjcQRt2AKXZGA0ZzTFiMiZnfD6Hwu7jPnD/qryNGS/24AaPax7ip3JP1Vu2eDkMR&#10;HF1O7r1v+zsevvtxGsIv3XLp559x5KH/dXFlY/Q3f7T9hN8/uIafYr3j2htevXZJOsPbJftoeMRg&#10;Zb+ToRBZUgUH51tjdbTQYIUUiU6cxEeBn9ALYStwHNAzQAmpi4v4SuzhEF9IFCmeUTAoxP/znE2g&#10;CKNuYTzToNCqNTx/SXpYCDfIKI+5NIKpbJJTMv0tDZJBqowx7I0ssnZOemQ5ME3ORPMG68HB839w&#10;4wUfcfVbXFgcLYS409Lwsuce/8379Jm7dplZ1RLu9Axq1JVD06s90k09RkP/Z/RqSnjtx2iExCT+&#10;KGAUhlAw/zwUKvU9A2ENq55xFJgVm7C4/IyfXW7awbmtRZOqxcjzIaey2epEHRZIY5V7keJc+Uoe&#10;iIlKgVv4k6qrgyxdKrG09JPPOHKfW7rcPECXB/f+uaNPmhignKv6mjghBB3ST7X77z4AmeitQ11b&#10;kywtDcAxtTbBIZrMAgBNwJQVfWDuCuA1NICmTZF4j65twdZfw6mNHBmoYu4T4pQGjdvVB5R4qUsn&#10;HuVkdfhQXvRdkL0Z8WFMajtjuWG6AUan/YLoBlT5srgIO5qx2NZvIZvxdQeXv3T38ncefPhT1Q7b&#10;9wuHX3P35e//4dX7W/i2FQUuAXY8kCrY9GjNh6CW4Wt3FeVMSCurcmItFRNONz4H2m4DH2NSl4+9&#10;UnP52O4DfeoUf6T0vCxX3GC0fppXrzDSxGusw6ggKsZWJ1vP7wYJsgTKTmGaIEaFEj07dYeElG3o&#10;ZIxRAERHtOUldgRNB4xaTqM9eOl6tXB0cL7NSXYspQmg7HcGmJozao3pCynhQq4HvCUGMQZihGRp&#10;TlK3JjM/WJ09jptiGuDUvMZ5uXERmPdof69aPw3knGCUB+jSLTwCEmY11HJyZlFzRoVi8aSsfBGO&#10;pjETH8U+FCpDOBAG9a2V3cuCkX3HJRHCN11wcCgY7SJIc5rQS8OoKF041+yARhiJAdMbo0ItIpQf&#10;8SSjH6X9Ri4q2SvNB/3RwRqG6LADOB0FVo1Oc5I4ac5wnA+ao4Rp9HbvL5PVKh16Qa+GevCZQr00&#10;aQ+ATo+dw8yBdMKKpeVz5IMmnignaJWqPUVrFpKgBDC7ly8i3pIeEripCFBhJviHxkwry7ispulw&#10;oLSqCbcVUKipDTEkZaqTeOpeRqPxkoUgpyNSA6h24YBXOoMkesM7TNuKTgQoLZ/TMBMPkgI9FHCa&#10;NUHQ0ywQy3aU0SjQ5AIiOPqLjejW2wijULejR9FvcPkFmSNQUhIDTJIooeJUAZQ6/CnhyDKMONPp&#10;r8ignFgAGnO8FdKkjWZNnQV4DwDloTzB0dApX1gFCYVmjNoAU6loDVozJbkTasZjcx6Q6XDVSZtx&#10;Pm6+/ig8hubKTds6h6oVlyTVeQ5fZ49mgWnjFk6i7Vhf/hd855pE9bH53xrzMWM0zji7cvtFAA3B&#10;Jhel51qric+Bmhj+CSgTKlp3F+mgVhExTtsBKiQb5cfPM9GpxSV4Vivk4pOV5auROkJSBF9+C5ge&#10;nM40mueWOAOaOGRh3+RejMC1HlxdrXRr8sYEHYqbroDIZOkjHKXnN1od0Bi5keD6o3ttYgpt66kl&#10;BuZzMrb2LVJoGONRuml1dbBCqwpC54i5KydTOWP1dMgLiGEFEciEFZKmyyWL0wUpSDIk0bT/0li+&#10;JyKmRWpb6/QUp5ScqmQBHW/igwefdPVmzPVHJGcfcSVWPOFr3nXBWlpRFKsIFa4MEYb/LbQRr82D&#10;EuCx13T8ROXmPS9Bm+cwf4c5qYpmqkcCVl+1qJqCSHrFDSmBARoTIZzBac96RLRiaXKwzoyTC9JL&#10;v2ZtchA0fmiTzjdRaPliK0y5Y7T0MMMap2vVceyV9ei++frRwcKRIzS11V6oo0ZXJ1+3hEoVpnpj&#10;ogbVqPRQ9b10nCWegvRFUgulHBzsQZh3Biv8p3IDJod5ubmEAjxAXdDDQvdlLMWKLSA117y0SS12&#10;MkLMgcmZSkJhFJ9fR0TFIsAqgLJMR44WYMpaK3Yv6fGcmfxQ75A1S9ypN+PsraQ1vXvj4VKS/aCp&#10;XpVUbAT/ho0e1hfgYRwMxBxMCNOi6ibS56z83NAoCtHI3MvCekFxjaTS0ZOsXHO38WQHprMs6E1u&#10;jSrLAvuSfbOe6Wr9tkcwflpGNtUXHpeINeLFmEpllKmP9QqhKl4JXX6Io1uJo2bZ2RFoCrJp9xXP&#10;oNxlacnCeG8X08NS0fGoDNPm5qi72gbTbCCdwaJDM9cnUWsSnFGePJMeL2wgeE1jTjEW7a6MdUPd&#10;C2TrGCe9UVPHDqiVmpBoEaBmeLz58jrX701bc+H4CcL7YZodUaFi+Ialk8KyjlGDJ6onpecHMubl&#10;MCEKxZSJLBupzD3r7GTg99qsHgWhxrBXLMKUCDV3ETt01jJWEvXF9tyFq+vS5aJ0g63EklLjzmwq&#10;fVvtEpbRQmLUnxXUzhJSu4SWbDQosR0zEDJv+PqnNcxzjdVYSB8nyN/FKCLjzDeoA56rWlkOK0HL&#10;Go6JiCkzmAH9LSDma45QOTWDVV1PP2iUdbLSV1jVEMEecd2r4eJg9RgKe0DrusExNSd4UoS04GiS&#10;bJubJS7QujmNlLyV170Y2HFyR9iipksfqHHYGm6Ncaa/UtIz6ORBgJB3lFWxb6cEOxgduD2theeQ&#10;zGAyQ1ZmkDpwUwobO0sx9I//Lj+pDO5feEb+2hqV6DynrI1rDip5AiGUxGPbpHMCQKvdrcHiMi9k&#10;rJZW/GrqOuXDbjG44zB+tMmFFmhdmT1TVnt/MyAgzyIzNXoewdTgZjb6CDw/CE+b23AXjQ9piWJp&#10;ZRnzxeaq4bRxrZUNmdiiKIGswrSAi8KhYX1JkLCPrE0YRVDS3De23BBVBk8FqIModceyXHn2MwYo&#10;gzWFaa6+JLfwsAEVYRFBvdEKRpXt71S724PlVXqmdlAtAkzLB1VkTx5XYEPFXcX+WtfCR8UXOcNC&#10;Xo1go3asFaEW3YZC2W5J0Emmg3pSqT+7pu/e9u55Cg8dw2gRrKYZaVAOrrikvgUL2OB6dxcSU///&#10;M6UplOZqeQcAAAAASUVORK5CYIJQSwECLQAUAAYACAAAACEAsYJntgoBAAATAgAAEwAAAAAAAAAA&#10;AAAAAAAAAAAAW0NvbnRlbnRfVHlwZXNdLnhtbFBLAQItABQABgAIAAAAIQA4/SH/1gAAAJQBAAAL&#10;AAAAAAAAAAAAAAAAADsBAABfcmVscy8ucmVsc1BLAQItABQABgAIAAAAIQAlyZgYiAcAAIQpAAAO&#10;AAAAAAAAAAAAAAAAADoCAABkcnMvZTJvRG9jLnhtbFBLAQItABQABgAIAAAAIQCqJg6+vAAAACEB&#10;AAAZAAAAAAAAAAAAAAAAAO4JAABkcnMvX3JlbHMvZTJvRG9jLnhtbC5yZWxzUEsBAi0AFAAGAAgA&#10;AAAhAHMEPKfhAAAADgEAAA8AAAAAAAAAAAAAAAAA4QoAAGRycy9kb3ducmV2LnhtbFBLAQItAAoA&#10;AAAAAAAAIQAMdbHhV4MAAFeDAAAUAAAAAAAAAAAAAAAAAO8LAABkcnMvbWVkaWEvaW1hZ2UxLnBu&#10;Z1BLBQYAAAAABgAGAHwBAAB4jwAAAAA=&#10;">
                <v:group id="42 Grupo" o:spid="_x0000_s1231" style="position:absolute;width:57877;height:31592" coordsize="57877,3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lsbzAAAAOMAAAAPAAAAZHJzL2Rvd25yZXYueG1sRI9Ba8JA&#10;FITvhf6H5RV6q5tETSV1FZEqPYhQFcTbI/tMgtm3IbtN4r/vCoUeh5n5hpkvB1OLjlpXWVYQjyIQ&#10;xLnVFRcKTsfN2wyE88gaa8uk4E4Olovnpzlm2vb8Td3BFyJA2GWooPS+yaR0eUkG3cg2xMG72tag&#10;D7ItpG6xD3BTyySKUmmw4rBQYkPrkvLb4cco2PbYr8bxZ7e7Xdf3y3G6P+9iUur1ZVh9gPA0+P/w&#10;X/tLK0iiJE2T8ftkAo9P4Q/IxS8AAAD//wMAUEsBAi0AFAAGAAgAAAAhANvh9svuAAAAhQEAABMA&#10;AAAAAAAAAAAAAAAAAAAAAFtDb250ZW50X1R5cGVzXS54bWxQSwECLQAUAAYACAAAACEAWvQsW78A&#10;AAAVAQAACwAAAAAAAAAAAAAAAAAfAQAAX3JlbHMvLnJlbHNQSwECLQAUAAYACAAAACEAi7ZbG8wA&#10;AADjAAAADwAAAAAAAAAAAAAAAAAHAgAAZHJzL2Rvd25yZXYueG1sUEsFBgAAAAADAAMAtwAAAAAD&#10;AAAAAA==&#10;">
                  <v:shape id="Imagen 1" o:spid="_x0000_s1232" type="#_x0000_t75" style="position:absolute;left:16735;width:21480;height:30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aRPxwAAAOMAAAAPAAAAZHJzL2Rvd25yZXYueG1sRI/BTsMw&#10;EETvSPyDtUjcqF0DAYW6VQChciX0A1bxEkfE68h20/TvMRISx9HMvNFsdosfxUwxDYENrFcKBHEX&#10;7MC9gcPn280jiJSRLY6BycCZEuy2lxcbrG048QfNbe5FgXCq0YDLeaqlTJ0jj2kVJuLifYXoMRcZ&#10;e2kjngrcj1IrVUmPA5cFhxO9OOq+26M38KrX7SFKfI4cG6fUcT83570x11dL8wQi05L/w3/td2tA&#10;K11V+vbh7h5+P5U/ILc/AAAA//8DAFBLAQItABQABgAIAAAAIQDb4fbL7gAAAIUBAAATAAAAAAAA&#10;AAAAAAAAAAAAAABbQ29udGVudF9UeXBlc10ueG1sUEsBAi0AFAAGAAgAAAAhAFr0LFu/AAAAFQEA&#10;AAsAAAAAAAAAAAAAAAAAHwEAAF9yZWxzLy5yZWxzUEsBAi0AFAAGAAgAAAAhACIZpE/HAAAA4wAA&#10;AA8AAAAAAAAAAAAAAAAABwIAAGRycy9kb3ducmV2LnhtbFBLBQYAAAAAAwADALcAAAD7AgAAAAA=&#10;">
                    <v:imagedata r:id="rId1260" o:title=""/>
                    <v:path arrowok="t"/>
                  </v:shape>
                  <v:group id="41 Grupo" o:spid="_x0000_s1233" style="position:absolute;top:2803;width:57877;height:28789" coordorigin=",-905" coordsize="57877,2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GD3ywAAAOMAAAAPAAAAZHJzL2Rvd25yZXYueG1sRI9Ba8JA&#10;FITvBf/D8oTe6iaxRkldRaQtHqRQFaS3R/aZBLNvQ3abxH/vCoUeh5n5hlmuB1OLjlpXWVYQTyIQ&#10;xLnVFRcKTsePlwUI55E11pZJwY0crFejpyVm2vb8Td3BFyJA2GWooPS+yaR0eUkG3cQ2xMG72Nag&#10;D7ItpG6xD3BTyySKUmmw4rBQYkPbkvLr4dco+Oyx30zj925/vWxvP8fZ13kfk1LP42HzBsLT4P/D&#10;f+2dVpBESZom0/lrCo9P4Q/I1R0AAP//AwBQSwECLQAUAAYACAAAACEA2+H2y+4AAACFAQAAEwAA&#10;AAAAAAAAAAAAAAAAAAAAW0NvbnRlbnRfVHlwZXNdLnhtbFBLAQItABQABgAIAAAAIQBa9CxbvwAA&#10;ABUBAAALAAAAAAAAAAAAAAAAAB8BAABfcmVscy8ucmVsc1BLAQItABQABgAIAAAAIQAUKGD3ywAA&#10;AOMAAAAPAAAAAAAAAAAAAAAAAAcCAABkcnMvZG93bnJldi54bWxQSwUGAAAAAAMAAwC3AAAA/wIA&#10;AAAA&#10;">
                    <v:group id="15 Grupo" o:spid="_x0000_s1234" style="position:absolute;left:434;top:-905;width:17158;height:3846" coordorigin="3,-905" coordsize="17158,3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MVszAAAAOMAAAAPAAAAZHJzL2Rvd25yZXYueG1sRI9Ba8JA&#10;FITvhf6H5RW81U2ijZK6ikhbepBCVRBvj+wzCWbfhuyaxH/vFgoeh5n5hlmsBlOLjlpXWVYQjyMQ&#10;xLnVFRcKDvvP1zkI55E11pZJwY0crJbPTwvMtO35l7qdL0SAsMtQQel9k0np8pIMurFtiIN3tq1B&#10;H2RbSN1iH+CmlkkUpdJgxWGhxIY2JeWX3dUo+OqxX0/ij257OW9up/3bz3Ebk1Kjl2H9DsLT4B/h&#10;//a3VpBESZomk9l0Bn+fwh+QyzsAAAD//wMAUEsBAi0AFAAGAAgAAAAhANvh9svuAAAAhQEAABMA&#10;AAAAAAAAAAAAAAAAAAAAAFtDb250ZW50X1R5cGVzXS54bWxQSwECLQAUAAYACAAAACEAWvQsW78A&#10;AAAVAQAACwAAAAAAAAAAAAAAAAAfAQAAX3JlbHMvLnJlbHNQSwECLQAUAAYACAAAACEAe2TFbMwA&#10;AADjAAAADwAAAAAAAAAAAAAAAAAHAgAAZHJzL2Rvd25yZXYueG1sUEsFBgAAAAADAAMAtwAAAAAD&#10;AAAAAA==&#10;">
                      <v:shape id="5 Conector recto de flecha" o:spid="_x0000_s1235" type="#_x0000_t32" style="position:absolute;left:12163;top:1035;width:49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Us2xgAAAOMAAAAPAAAAZHJzL2Rvd25yZXYueG1sRE/Pa8Iw&#10;FL4L+x/CG+ymSTOp0hllCIK7OHTz/mje2mLz0jWxdv+9OQw8fny/V5vRtWKgPjSeDWQzBYK49Lbh&#10;ysD31266BBEissXWMxn4owCb9dNkhYX1Nz7ScIqVSCEcCjRQx9gVUoayJodh5jvixP343mFMsK+k&#10;7fGWwl0rtVK5dNhwaqixo21N5eV0dQY+FtmYqYv+3cbz7tPqZn4YpDfm5Xl8fwMRaYwP8b97bw1o&#10;pfNcvy7maXT6lP6AXN8BAAD//wMAUEsBAi0AFAAGAAgAAAAhANvh9svuAAAAhQEAABMAAAAAAAAA&#10;AAAAAAAAAAAAAFtDb250ZW50X1R5cGVzXS54bWxQSwECLQAUAAYACAAAACEAWvQsW78AAAAVAQAA&#10;CwAAAAAAAAAAAAAAAAAfAQAAX3JlbHMvLnJlbHNQSwECLQAUAAYACAAAACEAorFLNsYAAADjAAAA&#10;DwAAAAAAAAAAAAAAAAAHAgAAZHJzL2Rvd25yZXYueG1sUEsFBgAAAAADAAMAtwAAAPoCAAAAAA==&#10;" stroked="f">
                        <v:stroke endarrow="open"/>
                      </v:shape>
                      <v:shape id="6 Cuadro de texto" o:spid="_x0000_s1236" type="#_x0000_t202" style="position:absolute;left:3;top:-905;width:12160;height:3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n0zAAAAOMAAAAPAAAAZHJzL2Rvd25yZXYueG1sRI9BS8NA&#10;FITvQv/D8gre7MYo0cZui4hiC4baKHh9ZJ9J2uzbsLs2sb/eFQSPw8x8wyxWo+nEkZxvLSu4nCUg&#10;iCurW64VvL89XdyC8AFZY2eZFHyTh9VycrbAXNuBd3QsQy0ihH2OCpoQ+lxKXzVk0M9sTxy9T+sM&#10;hihdLbXDIcJNJ9MkyaTBluNCgz09NFQdyi+j4GMon912s9m/9uvitD2VxQs9FkqdT8f7OxCBxvAf&#10;/muvtYI0SbMsvbq5nsPvp/gH5PIHAAD//wMAUEsBAi0AFAAGAAgAAAAhANvh9svuAAAAhQEAABMA&#10;AAAAAAAAAAAAAAAAAAAAAFtDb250ZW50X1R5cGVzXS54bWxQSwECLQAUAAYACAAAACEAWvQsW78A&#10;AAAVAQAACwAAAAAAAAAAAAAAAAAfAQAAX3JlbHMvLnJlbHNQSwECLQAUAAYACAAAACEAY2AZ9MwA&#10;AADjAAAADwAAAAAAAAAAAAAAAAAHAgAAZHJzL2Rvd25yZXYueG1sUEsFBgAAAAADAAMAtwAAAAAD&#10;AAAAAA==&#10;" fillcolor="window" stroked="f" strokeweight=".5pt">
                        <v:textbox>
                          <w:txbxContent>
                            <w:p w:rsidR="00C20C0F" w:rsidRDefault="00C20C0F" w:rsidP="00C932A6">
                              <w:pPr>
                                <w:jc w:val="center"/>
                              </w:pPr>
                              <w:r>
                                <w:t>Número atómico</w:t>
                              </w:r>
                            </w:p>
                          </w:txbxContent>
                        </v:textbox>
                      </v:shape>
                    </v:group>
                    <v:group id="13 Grupo" o:spid="_x0000_s1237" style="position:absolute;left:30710;top:18714;width:27167;height:8541" coordorigin=",-5" coordsize="27167,8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MvFygAAAOMAAAAPAAAAZHJzL2Rvd25yZXYueG1sRI/NasJA&#10;FIX3Qt9huAV3OknEtERHEaniQgS1UNxdMtckmLkTMtMkvn1nUXB5OH98y/VgatFR6yrLCuJpBII4&#10;t7riQsH3dTf5BOE8ssbaMil4koP16m20xEzbns/UXXwhwgi7DBWU3jeZlC4vyaCb2oY4eHfbGvRB&#10;toXULfZh3NQyiaJUGqw4PJTY0Lak/HH5NQr2PfabWfzVHR/37fN2nZ9+jjEpNX4fNgsQngb/Cv+3&#10;D1pBEiVpmsw+5oEiMAUekKs/AAAA//8DAFBLAQItABQABgAIAAAAIQDb4fbL7gAAAIUBAAATAAAA&#10;AAAAAAAAAAAAAAAAAABbQ29udGVudF9UeXBlc10ueG1sUEsBAi0AFAAGAAgAAAAhAFr0LFu/AAAA&#10;FQEAAAsAAAAAAAAAAAAAAAAAHwEAAF9yZWxzLy5yZWxzUEsBAi0AFAAGAAgAAAAhAHFUy8XKAAAA&#10;4wAAAA8AAAAAAAAAAAAAAAAABwIAAGRycy9kb3ducmV2LnhtbFBLBQYAAAAAAwADALcAAAD+AgAA&#10;AAA=&#10;">
                      <v:shape id="7 Cuadro de texto" o:spid="_x0000_s1238" type="#_x0000_t202" style="position:absolute;left:10605;top:-5;width:16562;height: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4MvzAAAAOMAAAAPAAAAZHJzL2Rvd25yZXYueG1sRI9BS8NA&#10;FITvQv/D8gRvdtOIqcRui4hiC4bWtOD1kX0mqdm3YXdtYn+9Kwgeh5n5hlmsRtOJEznfWlYwmyYg&#10;iCurW64VHPbP13cgfEDW2FkmBd/kYbWcXCww13bgNzqVoRYRwj5HBU0IfS6lrxoy6Ke2J47eh3UG&#10;Q5SultrhEOGmk2mSZNJgy3GhwZ4eG6o+yy+j4H0oX9x2sznu+nVx3p7L4pWeCqWuLseHexCBxvAf&#10;/muvtYI0SbMsvZnfzuD3U/wDcvkDAAD//wMAUEsBAi0AFAAGAAgAAAAhANvh9svuAAAAhQEAABMA&#10;AAAAAAAAAAAAAAAAAAAAAFtDb250ZW50X1R5cGVzXS54bWxQSwECLQAUAAYACAAAACEAWvQsW78A&#10;AAAVAQAACwAAAAAAAAAAAAAAAAAfAQAAX3JlbHMvLnJlbHNQSwECLQAUAAYACAAAACEAGM+DL8wA&#10;AADjAAAADwAAAAAAAAAAAAAAAAAHAgAAZHJzL2Rvd25yZXYueG1sUEsFBgAAAAADAAMAtwAAAAAD&#10;AAAAAA==&#10;" fillcolor="window" stroked="f" strokeweight=".5pt">
                        <v:textbox>
                          <w:txbxContent>
                            <w:p w:rsidR="00C20C0F" w:rsidRDefault="00C20C0F" w:rsidP="00C932A6">
                              <w:pPr>
                                <w:jc w:val="center"/>
                              </w:pPr>
                              <w:r>
                                <w:t>Configuración electrónica</w:t>
                              </w:r>
                            </w:p>
                          </w:txbxContent>
                        </v:textbox>
                      </v:shape>
                      <v:shape id="8 Conector recto de flecha" o:spid="_x0000_s1239" type="#_x0000_t32" style="position:absolute;top:1293;width:87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ywAAAOMAAAAPAAAAZHJzL2Rvd25yZXYueG1sRI9BSwMx&#10;FITvQv9DeIIXsdlGutW1aSmCWOzJWgRvz81zs3TzsiRpu/77piB4HGbmG2a+HFwnjhRi61nDZFyA&#10;IK69abnRsPt4uXsAEROywc4zafilCMvF6GqOlfEnfqfjNjUiQzhWqMGm1FdSxtqSwzj2PXH2fnxw&#10;mLIMjTQBTxnuOqmKopQOW84LFnt6tlTvtwenwayaw+vO9p/fb362xsdpuJ18bbS+uR5WTyASDek/&#10;/NdeGw2qUGWp7mdTBZdP+Q/IxRkAAP//AwBQSwECLQAUAAYACAAAACEA2+H2y+4AAACFAQAAEwAA&#10;AAAAAAAAAAAAAAAAAAAAW0NvbnRlbnRfVHlwZXNdLnhtbFBLAQItABQABgAIAAAAIQBa9CxbvwAA&#10;ABUBAAALAAAAAAAAAAAAAAAAAB8BAABfcmVscy8ucmVsc1BLAQItABQABgAIAAAAIQBGz+l+ywAA&#10;AOMAAAAPAAAAAAAAAAAAAAAAAAcCAABkcnMvZG93bnJldi54bWxQSwUGAAAAAAMAAwC3AAAA/wIA&#10;AAAA&#10;" stroked="f">
                        <v:stroke endarrow="open"/>
                      </v:shape>
                    </v:group>
                    <v:group id="16 Grupo" o:spid="_x0000_s1240" style="position:absolute;top:22857;width:20697;height:5026" coordorigin=",-2" coordsize="20697,5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lWyywAAAOMAAAAPAAAAZHJzL2Rvd25yZXYueG1sRI9Pa8JA&#10;FMTvhX6H5Qm96eYPxhJdRaQtPYigFsTbI/tMgtm3IbtN4rfvFgo9DjPzG2a1GU0jeupcbVlBPItA&#10;EBdW11wq+Dq/T19BOI+ssbFMCh7kYLN+flphru3AR+pPvhQBwi5HBZX3bS6lKyoy6Ga2JQ7ezXYG&#10;fZBdKXWHQ4CbRiZRlEmDNYeFClvaVVTcT99GwceAwzaN3/r9/bZ7XM/zw2Ufk1Ivk3G7BOFp9P/h&#10;v/anVpBESZYl6WKewu+n8Afk+gcAAP//AwBQSwECLQAUAAYACAAAACEA2+H2y+4AAACFAQAAEwAA&#10;AAAAAAAAAAAAAAAAAAAAW0NvbnRlbnRfVHlwZXNdLnhtbFBLAQItABQABgAIAAAAIQBa9CxbvwAA&#10;ABUBAAALAAAAAAAAAAAAAAAAAB8BAABfcmVscy8ucmVsc1BLAQItABQABgAIAAAAIQCBhlWyywAA&#10;AOMAAAAPAAAAAAAAAAAAAAAAAAcCAABkcnMvZG93bnJldi54bWxQSwUGAAAAAAMAAwC3AAAA/wIA&#10;AAAA&#10;">
                      <v:shape id="9 Cuadro de texto" o:spid="_x0000_s1241" type="#_x0000_t202" style="position:absolute;top:-2;width:15265;height:5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CC3zAAAAOMAAAAPAAAAZHJzL2Rvd25yZXYueG1sRI9BS8NA&#10;FITvgv9heYI3uzFqKmm3RUSxBUNtLPT6yL4m0ezbsLs2sb/eFQSPw8x8w8yXo+nEkZxvLSu4niQg&#10;iCurW64V7N6fr+5B+ICssbNMCr7Jw3JxfjbHXNuBt3QsQy0ihH2OCpoQ+lxKXzVk0E9sTxy9g3UG&#10;Q5SultrhEOGmk2mSZNJgy3GhwZ4eG6o+yy+jYD+UL26zXn+89avitDmVxSs9FUpdXowPMxCBxvAf&#10;/muvtII0SbMsvZne3cLvp/gH5OIHAAD//wMAUEsBAi0AFAAGAAgAAAAhANvh9svuAAAAhQEAABMA&#10;AAAAAAAAAAAAAAAAAAAAAFtDb250ZW50X1R5cGVzXS54bWxQSwECLQAUAAYACAAAACEAWvQsW78A&#10;AAAVAQAACwAAAAAAAAAAAAAAAAAfAQAAX3JlbHMvLnJlbHNQSwECLQAUAAYACAAAACEACLggt8wA&#10;AADjAAAADwAAAAAAAAAAAAAAAAAHAgAAZHJzL2Rvd25yZXYueG1sUEsFBgAAAAADAAMAtwAAAAAD&#10;AAAAAA==&#10;" fillcolor="window" stroked="f" strokeweight=".5pt">
                        <v:textbox>
                          <w:txbxContent>
                            <w:p w:rsidR="00C20C0F" w:rsidRDefault="00C20C0F" w:rsidP="00C932A6">
                              <w:pPr>
                                <w:jc w:val="center"/>
                              </w:pPr>
                              <w:r>
                                <w:t>Nombre del elemento</w:t>
                              </w:r>
                            </w:p>
                          </w:txbxContent>
                        </v:textbox>
                      </v:shape>
                      <v:shape id="10 Conector recto de flecha" o:spid="_x0000_s1242" type="#_x0000_t32" style="position:absolute;left:15700;top:1380;width:49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XJ1ygAAAOMAAAAPAAAAZHJzL2Rvd25yZXYueG1sRI9Ba8JA&#10;FITvhf6H5RV6q7vZapToKkUQ2oultt4f2WcSzL5Ns9uY/ntXKPQ4zMw3zGozulYM1IfGs4FsokAQ&#10;l942XBn4+tw9LUCEiGyx9UwGfinAZn1/t8LC+gt/0HCIlUgQDgUaqGPsCilDWZPDMPEdcfJOvncY&#10;k+wraXu8JLhrpVYqlw4bTgs1drStqTwffpyBt3k2Zuqsv7fxuHu3upnuB+mNeXwYX5YgIo3xP/zX&#10;frUGtNJ5rp/nsxncPqU/INdXAAAA//8DAFBLAQItABQABgAIAAAAIQDb4fbL7gAAAIUBAAATAAAA&#10;AAAAAAAAAAAAAAAAAABbQ29udGVudF9UeXBlc10ueG1sUEsBAi0AFAAGAAgAAAAhAFr0LFu/AAAA&#10;FQEAAAsAAAAAAAAAAAAAAAAAHwEAAF9yZWxzLy5yZWxzUEsBAi0AFAAGAAgAAAAhAMlpcnXKAAAA&#10;4wAAAA8AAAAAAAAAAAAAAAAABwIAAGRycy9kb3ducmV2LnhtbFBLBQYAAAAAAwADALcAAAD+AgAA&#10;AAA=&#10;" stroked="f">
                        <v:stroke endarrow="open"/>
                      </v:shape>
                    </v:group>
                    <v:group id="14 Grupo" o:spid="_x0000_s1243" style="position:absolute;left:31572;top:6898;width:17630;height:7111" coordorigin=",-2" coordsize="17629,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fYqywAAAOMAAAAPAAAAZHJzL2Rvd25yZXYueG1sRI9Ba8JA&#10;FITvhf6H5RW81U0ixpK6ikiVHqSgFsTbI/tMgtm3Ibsm8d93BaHHYWa+YebLwdSio9ZVlhXE4wgE&#10;cW51xYWC3+Pm/QOE88gaa8uk4E4OlovXlzlm2va8p+7gCxEg7DJUUHrfZFK6vCSDbmwb4uBdbGvQ&#10;B9kWUrfYB7ipZRJFqTRYcVgosaF1Sfn1cDMKtj32q0n81e2ul/X9fJz+nHYxKTV6G1afIDwN/j/8&#10;bH9rBUmUpGkymU1TeHwKf0Au/gAAAP//AwBQSwECLQAUAAYACAAAACEA2+H2y+4AAACFAQAAEwAA&#10;AAAAAAAAAAAAAAAAAAAAW0NvbnRlbnRfVHlwZXNdLnhtbFBLAQItABQABgAIAAAAIQBa9CxbvwAA&#10;ABUBAAALAAAAAAAAAAAAAAAAAB8BAABfcmVscy8ucmVsc1BLAQItABQABgAIAAAAIQCR8fYqywAA&#10;AOMAAAAPAAAAAAAAAAAAAAAAAAcCAABkcnMvZG93bnJldi54bWxQSwUGAAAAAAMAAwC3AAAA/wIA&#10;AAAA&#10;">
                      <v:shape id="11 Conector recto de flecha" o:spid="_x0000_s1244" type="#_x0000_t32" style="position:absolute;top:1466;width:87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ErmzAAAAOMAAAAPAAAAZHJzL2Rvd25yZXYueG1sRI9BSwMx&#10;FITvgv8hPMGL2GxXulu3TUsRxGJP1lLw9rp5bhY3L0uStuu/bwqCx2FmvmHmy8F24kQ+tI4VjEcZ&#10;COLa6ZYbBbvP18cpiBCRNXaOScEvBVgubm/mWGl35g86bWMjEoRDhQpMjH0lZagNWQwj1xMn79t5&#10;izFJ30jt8ZzgtpN5lhXSYstpwWBPL4bqn+3RKtCr5vi2M/3+8O7KNT5P/MP4a6PU/d2wmoGINMT/&#10;8F97rRXkWV4U+VM5KeH6Kf0BubgAAAD//wMAUEsBAi0AFAAGAAgAAAAhANvh9svuAAAAhQEAABMA&#10;AAAAAAAAAAAAAAAAAAAAAFtDb250ZW50X1R5cGVzXS54bWxQSwECLQAUAAYACAAAACEAWvQsW78A&#10;AAAVAQAACwAAAAAAAAAAAAAAAAAfAQAAX3JlbHMvLnJlbHNQSwECLQAUAAYACAAAACEAVrhK5swA&#10;AADjAAAADwAAAAAAAAAAAAAAAAAHAgAAZHJzL2Rvd25yZXYueG1sUEsFBgAAAAADAAMAtwAAAAAD&#10;AAAAAA==&#10;" stroked="f">
                        <v:stroke endarrow="open"/>
                      </v:shape>
                      <v:shape id="12 Cuadro de texto" o:spid="_x0000_s1245" type="#_x0000_t202" style="position:absolute;left:8798;top:-2;width:8831;height:7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SqyygAAAOMAAAAPAAAAZHJzL2Rvd25yZXYueG1sRE9dS8Mw&#10;FH0X/A/hCr651Mqq1GVjDGUbrEyr4OulubbV5qYk2drt15uHgY+H8z1bjKYTR3K+tazgfpKAIK6s&#10;brlW8PnxevcEwgdkjZ1lUnAiD4v59dUMc20HfqdjGWoRQ9jnqKAJoc+l9FVDBv3E9sSR+7bOYIjQ&#10;1VI7HGK46WSaJJk02HJsaLCnVUPVb3kwCr6Gcu322+3PW78pzvtzWezopVDq9mZcPoMINIZ/8cW9&#10;0QrSJM2y9OFxGkfHT/EPyPkfAAAA//8DAFBLAQItABQABgAIAAAAIQDb4fbL7gAAAIUBAAATAAAA&#10;AAAAAAAAAAAAAAAAAABbQ29udGVudF9UeXBlc10ueG1sUEsBAi0AFAAGAAgAAAAhAFr0LFu/AAAA&#10;FQEAAAsAAAAAAAAAAAAAAAAAHwEAAF9yZWxzLy5yZWxzUEsBAi0AFAAGAAgAAAAhAIn1KrLKAAAA&#10;4wAAAA8AAAAAAAAAAAAAAAAABwIAAGRycy9kb3ducmV2LnhtbFBLBQYAAAAAAwADALcAAAD+AgAA&#10;AAA=&#10;" fillcolor="window" stroked="f" strokeweight=".5pt">
                        <v:textbox>
                          <w:txbxContent>
                            <w:p w:rsidR="00C20C0F" w:rsidRDefault="00C20C0F" w:rsidP="00C932A6">
                              <w:pPr>
                                <w:jc w:val="center"/>
                              </w:pPr>
                              <w:r>
                                <w:t>Símbolo</w:t>
                              </w:r>
                            </w:p>
                          </w:txbxContent>
                        </v:textbox>
                      </v:shape>
                    </v:group>
                  </v:group>
                </v:group>
                <v:group id="57 Grupo" o:spid="_x0000_s1246" style="position:absolute;left:12594;top:4744;width:29159;height:23205" coordsize="29158,2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mJYzAAAAOMAAAAPAAAAZHJzL2Rvd25yZXYueG1sRI9Ba8JA&#10;FITvQv/D8gq96SYR0zZ1FZFWehChsVB6e2SfSTD7NmS3Sfz3bkHwOMzMN8xyPZpG9NS52rKCeBaB&#10;IC6srrlU8H38mL6AcB5ZY2OZFFzIwXr1MFlipu3AX9TnvhQBwi5DBZX3bSalKyoy6Ga2JQ7eyXYG&#10;fZBdKXWHQ4CbRiZRlEqDNYeFClvaVlSc8z+jYDfgsJnH7/3+fNpefo+Lw88+JqWeHsfNGwhPo7+H&#10;b+1PrSCJkjRN5s+LV/j/FP6AXF0BAAD//wMAUEsBAi0AFAAGAAgAAAAhANvh9svuAAAAhQEAABMA&#10;AAAAAAAAAAAAAAAAAAAAAFtDb250ZW50X1R5cGVzXS54bWxQSwECLQAUAAYACAAAACEAWvQsW78A&#10;AAAVAQAACwAAAAAAAAAAAAAAAAAfAQAAX3JlbHMvLnJlbHNQSwECLQAUAAYACAAAACEA4G5iWMwA&#10;AADjAAAADwAAAAAAAAAAAAAAAAAHAgAAZHJzL2Rvd25yZXYueG1sUEsFBgAAAAADAAMAtwAAAAAD&#10;AAAAAA==&#10;">
                  <v:shape id="53 Conector recto de flecha" o:spid="_x0000_s1247" type="#_x0000_t32" style="position:absolute;width:500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PWyAAAAOMAAAAPAAAAZHJzL2Rvd25yZXYueG1sRI/fasIw&#10;FMbvhb1DOIPdaWoGdXRGGcJwwhRa9wCH5qwta05KEmt9++VC8PLj+8dvvZ1sL0byoXOsYbnIQBDX&#10;znTcaPg5f87fQISIbLB3TBpuFGC7eZqtsTDuyiWNVWxEGuFQoIY2xqGQMtQtWQwLNxAn79d5izFJ&#10;30jj8ZrGbS9VluXSYsfpocWBdi3Vf9XFaqi/w8kfj/vDblmqcs/nqr+MndYvz9PHO4hIU3yE7+0v&#10;o0FlKs/V6ypPFIkp8YDc/AMAAP//AwBQSwECLQAUAAYACAAAACEA2+H2y+4AAACFAQAAEwAAAAAA&#10;AAAAAAAAAAAAAAAAW0NvbnRlbnRfVHlwZXNdLnhtbFBLAQItABQABgAIAAAAIQBa9CxbvwAAABUB&#10;AAALAAAAAAAAAAAAAAAAAB8BAABfcmVscy8ucmVsc1BLAQItABQABgAIAAAAIQC+jmPWyAAAAOMA&#10;AAAPAAAAAAAAAAAAAAAAAAcCAABkcnMvZG93bnJldi54bWxQSwUGAAAAAAMAAwC3AAAA/AIAAAAA&#10;" strokecolor="#4a7ebb">
                    <v:stroke endarrow="open"/>
                  </v:shape>
                  <v:shape id="54 Conector recto de flecha" o:spid="_x0000_s1248" type="#_x0000_t32" style="position:absolute;left:2501;top:23205;width:49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sZNygAAAOMAAAAPAAAAZHJzL2Rvd25yZXYueG1sRI9RS8Mw&#10;FIXfhf2HcAe+ubQR6qjLxhiMKTihnT/g0lzbYnNTkqyr/94Igo+Hc853OJvdbAcxkQ+9Yw35KgNB&#10;3DjTc6vh43J8WIMIEdng4Jg0fFOA3XZxt8HSuBtXNNWxFQnCoUQNXYxjKWVoOrIYVm4kTt6n8xZj&#10;kr6VxuMtwe0gVZYV0mLPaaHDkQ4dNV/11Wpo3sK7P59Pr4e8UtWJL/VwnXqt75fz/hlEpDn+h//a&#10;L0aDylRRqMenIoffT+kPyO0PAAAA//8DAFBLAQItABQABgAIAAAAIQDb4fbL7gAAAIUBAAATAAAA&#10;AAAAAAAAAAAAAAAAAABbQ29udGVudF9UeXBlc10ueG1sUEsBAi0AFAAGAAgAAAAhAFr0LFu/AAAA&#10;FQEAAAsAAAAAAAAAAAAAAAAAHwEAAF9yZWxzLy5yZWxzUEsBAi0AFAAGAAgAAAAhANHCxk3KAAAA&#10;4wAAAA8AAAAAAAAAAAAAAAAABwIAAGRycy9kb3ducmV2LnhtbFBLBQYAAAAAAwADALcAAAD+AgAA&#10;AAA=&#10;" strokecolor="#4a7ebb">
                    <v:stroke endarrow="open"/>
                  </v:shape>
                  <v:shape id="55 Conector recto de flecha" o:spid="_x0000_s1249" type="#_x0000_t32" style="position:absolute;left:20444;top:7332;width:8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7AmzQAAAOMAAAAPAAAAZHJzL2Rvd25yZXYueG1sRI9BS8NA&#10;FITvgv9heQVvdtO1xBK7LVos5KLQaqHH1+wzCcm+jdm1jf313YLgcZiZb5j5crCtOFLva8caJuME&#10;BHHhTM2lhs+P9f0MhA/IBlvHpOGXPCwXtzdzzIw78YaO21CKCGGfoYYqhC6T0hcVWfRj1xFH78v1&#10;FkOUfSlNj6cIt61USZJKizXHhQo7WlVUNNsfq2GVv+X5y3rWvB92++bVnqffu81U67vR8PwEItAQ&#10;/sN/7dxoUIlKU/XwmCq4fop/QC4uAAAA//8DAFBLAQItABQABgAIAAAAIQDb4fbL7gAAAIUBAAAT&#10;AAAAAAAAAAAAAAAAAAAAAABbQ29udGVudF9UeXBlc10ueG1sUEsBAi0AFAAGAAgAAAAhAFr0LFu/&#10;AAAAFQEAAAsAAAAAAAAAAAAAAAAAHwEAAF9yZWxzLy5yZWxzUEsBAi0AFAAGAAgAAAAhAPyrsCbN&#10;AAAA4wAAAA8AAAAAAAAAAAAAAAAABwIAAGRycy9kb3ducmV2LnhtbFBLBQYAAAAAAwADALcAAAAB&#10;AwAAAAA=&#10;" strokecolor="#4a7ebb">
                    <v:stroke endarrow="open"/>
                  </v:shape>
                  <v:shape id="56 Conector recto de flecha" o:spid="_x0000_s1250" type="#_x0000_t32" style="position:absolute;left:17080;top:18978;width:120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xW9zAAAAOMAAAAPAAAAZHJzL2Rvd25yZXYueG1sRI9Ba8JA&#10;FITvhf6H5RW81U2jpBJdpRWFXFrQKnh8Zl+TkOzbmF019de7hUKPw8x8w8wWvWnEhTpXWVbwMoxA&#10;EOdWV1wo2H2tnycgnEfW2FgmBT/kYDF/fJhhqu2VN3TZ+kIECLsUFZTet6mULi/JoBvaljh437Yz&#10;6IPsCqk7vAa4aWQcRYk0WHFYKLGlZUl5vT0bBcvsI8ve15P687g/1CtzG5/2m7FSg6f+bQrCU+//&#10;w3/tTCuIozhJ4tFrMoLfT+EPyPkdAAD//wMAUEsBAi0AFAAGAAgAAAAhANvh9svuAAAAhQEAABMA&#10;AAAAAAAAAAAAAAAAAAAAAFtDb250ZW50X1R5cGVzXS54bWxQSwECLQAUAAYACAAAACEAWvQsW78A&#10;AAAVAQAACwAAAAAAAAAAAAAAAAAfAQAAX3JlbHMvLnJlbHNQSwECLQAUAAYACAAAACEAk+cVvcwA&#10;AADjAAAADwAAAAAAAAAAAAAAAAAHAgAAZHJzL2Rvd25yZXYueG1sUEsFBgAAAAADAAMAtwAAAAAD&#10;AAAAAA==&#10;" strokecolor="#4a7ebb">
                    <v:stroke endarrow="open"/>
                  </v:shape>
                </v:group>
              </v:group>
            </w:pict>
          </mc:Fallback>
        </mc:AlternateContent>
      </w:r>
      <w:r>
        <w:rPr>
          <w:noProof/>
          <w:lang w:val="en-US"/>
        </w:rPr>
        <mc:AlternateContent>
          <mc:Choice Requires="wpg">
            <w:drawing>
              <wp:anchor distT="0" distB="0" distL="114300" distR="114300" simplePos="0" relativeHeight="251826176" behindDoc="1" locked="0" layoutInCell="1" allowOverlap="1" wp14:anchorId="2A2EF596" wp14:editId="669056E7">
                <wp:simplePos x="0" y="0"/>
                <wp:positionH relativeFrom="column">
                  <wp:posOffset>1397000</wp:posOffset>
                </wp:positionH>
                <wp:positionV relativeFrom="paragraph">
                  <wp:posOffset>6667500</wp:posOffset>
                </wp:positionV>
                <wp:extent cx="5462270" cy="2154555"/>
                <wp:effectExtent l="1905" t="0" r="3175" b="1270"/>
                <wp:wrapNone/>
                <wp:docPr id="93" name="58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2270" cy="2154555"/>
                          <a:chOff x="0" y="0"/>
                          <a:chExt cx="5787786" cy="3159298"/>
                        </a:xfrm>
                      </wpg:grpSpPr>
                      <wpg:grpSp>
                        <wpg:cNvPr id="94" name="42 Grupo"/>
                        <wpg:cNvGrpSpPr>
                          <a:grpSpLocks/>
                        </wpg:cNvGrpSpPr>
                        <wpg:grpSpPr bwMode="auto">
                          <a:xfrm>
                            <a:off x="0" y="0"/>
                            <a:ext cx="5787786" cy="3159298"/>
                            <a:chOff x="0" y="0"/>
                            <a:chExt cx="5787786" cy="3159298"/>
                          </a:xfrm>
                        </wpg:grpSpPr>
                        <pic:pic xmlns:pic="http://schemas.openxmlformats.org/drawingml/2006/picture">
                          <pic:nvPicPr>
                            <pic:cNvPr id="95" name="Imagen 1"/>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1673525" y="0"/>
                              <a:ext cx="2147977" cy="3096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28" name="41 Grupo"/>
                          <wpg:cNvGrpSpPr>
                            <a:grpSpLocks/>
                          </wpg:cNvGrpSpPr>
                          <wpg:grpSpPr bwMode="auto">
                            <a:xfrm>
                              <a:off x="0" y="280388"/>
                              <a:ext cx="5787786" cy="2878910"/>
                              <a:chOff x="0" y="-90548"/>
                              <a:chExt cx="5787786" cy="2878910"/>
                            </a:xfrm>
                          </wpg:grpSpPr>
                          <wpg:grpSp>
                            <wpg:cNvPr id="129" name="15 Grupo"/>
                            <wpg:cNvGrpSpPr>
                              <a:grpSpLocks/>
                            </wpg:cNvGrpSpPr>
                            <wpg:grpSpPr bwMode="auto">
                              <a:xfrm>
                                <a:off x="43432" y="-90548"/>
                                <a:ext cx="1715854" cy="384711"/>
                                <a:chOff x="300" y="-90548"/>
                                <a:chExt cx="1715854" cy="384711"/>
                              </a:xfrm>
                            </wpg:grpSpPr>
                            <wps:wsp>
                              <wps:cNvPr id="130" name="5 Conector recto de flecha"/>
                              <wps:cNvCnPr>
                                <a:cxnSpLocks noChangeShapeType="1"/>
                              </wps:cNvCnPr>
                              <wps:spPr bwMode="auto">
                                <a:xfrm flipH="1">
                                  <a:off x="1216325" y="103517"/>
                                  <a:ext cx="499829" cy="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6350" cap="flat" cmpd="sng" algn="ctr">
                                      <a:solidFill>
                                        <a:srgbClr val="000000"/>
                                      </a:solidFill>
                                      <a:prstDash val="solid"/>
                                      <a:miter lim="800000"/>
                                      <a:headEnd/>
                                      <a:tailEnd type="arrow" w="med" len="med"/>
                                    </a14:hiddenLine>
                                  </a:ext>
                                </a:extLst>
                              </wps:spPr>
                              <wps:bodyPr/>
                            </wps:wsp>
                            <wps:wsp>
                              <wps:cNvPr id="131" name="6 Cuadro de texto"/>
                              <wps:cNvSpPr txBox="1">
                                <a:spLocks noChangeArrowheads="1"/>
                              </wps:cNvSpPr>
                              <wps:spPr bwMode="auto">
                                <a:xfrm>
                                  <a:off x="300" y="-90548"/>
                                  <a:ext cx="1216025" cy="38471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20C0F" w:rsidRDefault="00C20C0F" w:rsidP="00C932A6">
                                    <w:pPr>
                                      <w:jc w:val="center"/>
                                    </w:pPr>
                                    <w:r>
                                      <w:t>Número atómico</w:t>
                                    </w:r>
                                  </w:p>
                                </w:txbxContent>
                              </wps:txbx>
                              <wps:bodyPr rot="0" vert="horz" wrap="square" lIns="91440" tIns="45720" rIns="91440" bIns="45720" anchor="t" anchorCtr="0" upright="1">
                                <a:noAutofit/>
                              </wps:bodyPr>
                            </wps:wsp>
                          </wpg:grpSp>
                          <wpg:grpSp>
                            <wpg:cNvPr id="132" name="13 Grupo"/>
                            <wpg:cNvGrpSpPr>
                              <a:grpSpLocks/>
                            </wpg:cNvGrpSpPr>
                            <wpg:grpSpPr bwMode="auto">
                              <a:xfrm>
                                <a:off x="3071004" y="1871412"/>
                                <a:ext cx="2716782" cy="854179"/>
                                <a:chOff x="0" y="-520"/>
                                <a:chExt cx="2716782" cy="854179"/>
                              </a:xfrm>
                            </wpg:grpSpPr>
                            <wps:wsp>
                              <wps:cNvPr id="133" name="7 Cuadro de texto"/>
                              <wps:cNvSpPr txBox="1">
                                <a:spLocks noChangeArrowheads="1"/>
                              </wps:cNvSpPr>
                              <wps:spPr bwMode="auto">
                                <a:xfrm>
                                  <a:off x="1060510" y="-520"/>
                                  <a:ext cx="1656272" cy="85417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20C0F" w:rsidRDefault="00C20C0F" w:rsidP="00C932A6">
                                    <w:pPr>
                                      <w:jc w:val="center"/>
                                    </w:pPr>
                                    <w:r>
                                      <w:t>Configuración electrónica</w:t>
                                    </w:r>
                                  </w:p>
                                </w:txbxContent>
                              </wps:txbx>
                              <wps:bodyPr rot="0" vert="horz" wrap="square" lIns="91440" tIns="45720" rIns="91440" bIns="45720" anchor="t" anchorCtr="0" upright="1">
                                <a:noAutofit/>
                              </wps:bodyPr>
                            </wps:wsp>
                            <wps:wsp>
                              <wps:cNvPr id="134" name="8 Conector recto de flecha"/>
                              <wps:cNvCnPr>
                                <a:cxnSpLocks noChangeShapeType="1"/>
                              </wps:cNvCnPr>
                              <wps:spPr bwMode="auto">
                                <a:xfrm>
                                  <a:off x="0" y="129396"/>
                                  <a:ext cx="879895" cy="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6350" cap="flat" cmpd="sng" algn="ctr">
                                      <a:solidFill>
                                        <a:srgbClr val="000000"/>
                                      </a:solidFill>
                                      <a:prstDash val="solid"/>
                                      <a:miter lim="800000"/>
                                      <a:headEnd/>
                                      <a:tailEnd type="arrow" w="med" len="med"/>
                                    </a14:hiddenLine>
                                  </a:ext>
                                </a:extLst>
                              </wps:spPr>
                              <wps:bodyPr/>
                            </wps:wsp>
                          </wpg:grpSp>
                          <wpg:grpSp>
                            <wpg:cNvPr id="135" name="16 Grupo"/>
                            <wpg:cNvGrpSpPr>
                              <a:grpSpLocks/>
                            </wpg:cNvGrpSpPr>
                            <wpg:grpSpPr bwMode="auto">
                              <a:xfrm>
                                <a:off x="0" y="2285720"/>
                                <a:ext cx="2069753" cy="502642"/>
                                <a:chOff x="0" y="-280"/>
                                <a:chExt cx="2069753" cy="502642"/>
                              </a:xfrm>
                            </wpg:grpSpPr>
                            <wps:wsp>
                              <wps:cNvPr id="136" name="9 Cuadro de texto"/>
                              <wps:cNvSpPr txBox="1">
                                <a:spLocks noChangeArrowheads="1"/>
                              </wps:cNvSpPr>
                              <wps:spPr bwMode="auto">
                                <a:xfrm>
                                  <a:off x="0" y="-280"/>
                                  <a:ext cx="1526540" cy="50264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20C0F" w:rsidRDefault="00C20C0F" w:rsidP="00C932A6">
                                    <w:pPr>
                                      <w:jc w:val="center"/>
                                    </w:pPr>
                                    <w:r>
                                      <w:t>Nombre del elemento</w:t>
                                    </w:r>
                                  </w:p>
                                </w:txbxContent>
                              </wps:txbx>
                              <wps:bodyPr rot="0" vert="horz" wrap="square" lIns="91440" tIns="45720" rIns="91440" bIns="45720" anchor="t" anchorCtr="0" upright="1">
                                <a:noAutofit/>
                              </wps:bodyPr>
                            </wps:wsp>
                            <wps:wsp>
                              <wps:cNvPr id="137" name="10 Conector recto de flecha"/>
                              <wps:cNvCnPr>
                                <a:cxnSpLocks noChangeShapeType="1"/>
                              </wps:cNvCnPr>
                              <wps:spPr bwMode="auto">
                                <a:xfrm flipH="1">
                                  <a:off x="1570008" y="138023"/>
                                  <a:ext cx="499745" cy="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6350" cap="flat" cmpd="sng" algn="ctr">
                                      <a:solidFill>
                                        <a:srgbClr val="000000"/>
                                      </a:solidFill>
                                      <a:prstDash val="solid"/>
                                      <a:miter lim="800000"/>
                                      <a:headEnd/>
                                      <a:tailEnd type="arrow" w="med" len="med"/>
                                    </a14:hiddenLine>
                                  </a:ext>
                                </a:extLst>
                              </wps:spPr>
                              <wps:bodyPr/>
                            </wps:wsp>
                          </wpg:grpSp>
                          <wpg:grpSp>
                            <wpg:cNvPr id="138" name="14 Grupo"/>
                            <wpg:cNvGrpSpPr>
                              <a:grpSpLocks/>
                            </wpg:cNvGrpSpPr>
                            <wpg:grpSpPr bwMode="auto">
                              <a:xfrm>
                                <a:off x="3157268" y="689868"/>
                                <a:ext cx="1762978" cy="711076"/>
                                <a:chOff x="0" y="-245"/>
                                <a:chExt cx="1762978" cy="711076"/>
                              </a:xfrm>
                            </wpg:grpSpPr>
                            <wps:wsp>
                              <wps:cNvPr id="139" name="11 Conector recto de flecha"/>
                              <wps:cNvCnPr>
                                <a:cxnSpLocks noChangeShapeType="1"/>
                              </wps:cNvCnPr>
                              <wps:spPr bwMode="auto">
                                <a:xfrm>
                                  <a:off x="0" y="146649"/>
                                  <a:ext cx="879475" cy="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6350" cap="flat" cmpd="sng" algn="ctr">
                                      <a:solidFill>
                                        <a:srgbClr val="000000"/>
                                      </a:solidFill>
                                      <a:prstDash val="solid"/>
                                      <a:miter lim="800000"/>
                                      <a:headEnd/>
                                      <a:tailEnd type="arrow" w="med" len="med"/>
                                    </a14:hiddenLine>
                                  </a:ext>
                                </a:extLst>
                              </wps:spPr>
                              <wps:bodyPr/>
                            </wps:wsp>
                            <wps:wsp>
                              <wps:cNvPr id="140" name="12 Cuadro de texto"/>
                              <wps:cNvSpPr txBox="1">
                                <a:spLocks noChangeArrowheads="1"/>
                              </wps:cNvSpPr>
                              <wps:spPr bwMode="auto">
                                <a:xfrm>
                                  <a:off x="879829" y="-245"/>
                                  <a:ext cx="883149" cy="7110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20C0F" w:rsidRDefault="00C20C0F" w:rsidP="00C932A6">
                                    <w:pPr>
                                      <w:jc w:val="center"/>
                                    </w:pPr>
                                    <w:r>
                                      <w:t>Símbolo</w:t>
                                    </w:r>
                                  </w:p>
                                </w:txbxContent>
                              </wps:txbx>
                              <wps:bodyPr rot="0" vert="horz" wrap="square" lIns="91440" tIns="45720" rIns="91440" bIns="45720" anchor="t" anchorCtr="0" upright="1">
                                <a:noAutofit/>
                              </wps:bodyPr>
                            </wps:wsp>
                          </wpg:grpSp>
                        </wpg:grpSp>
                      </wpg:grpSp>
                      <wpg:grpSp>
                        <wpg:cNvPr id="141" name="57 Grupo"/>
                        <wpg:cNvGrpSpPr>
                          <a:grpSpLocks/>
                        </wpg:cNvGrpSpPr>
                        <wpg:grpSpPr bwMode="auto">
                          <a:xfrm>
                            <a:off x="1259457" y="474453"/>
                            <a:ext cx="2915891" cy="2320506"/>
                            <a:chOff x="0" y="0"/>
                            <a:chExt cx="2915891" cy="2320506"/>
                          </a:xfrm>
                        </wpg:grpSpPr>
                        <wps:wsp>
                          <wps:cNvPr id="142" name="53 Conector recto de flecha"/>
                          <wps:cNvCnPr>
                            <a:cxnSpLocks noChangeShapeType="1"/>
                          </wps:cNvCnPr>
                          <wps:spPr bwMode="auto">
                            <a:xfrm flipH="1">
                              <a:off x="0" y="0"/>
                              <a:ext cx="500103" cy="0"/>
                            </a:xfrm>
                            <a:prstGeom prst="straightConnector1">
                              <a:avLst/>
                            </a:prstGeom>
                            <a:noFill/>
                            <a:ln w="6350" cap="flat" cmpd="sng" algn="ctr">
                              <a:solidFill>
                                <a:srgbClr val="4472C4"/>
                              </a:solidFill>
                              <a:prstDash val="solid"/>
                              <a:miter lim="800000"/>
                              <a:headEnd/>
                              <a:tailEnd type="arrow" w="med" len="med"/>
                            </a:ln>
                            <a:extLst>
                              <a:ext uri="{909E8E84-426E-40DD-AFC4-6F175D3DCCD1}">
                                <a14:hiddenFill xmlns:a14="http://schemas.microsoft.com/office/drawing/2010/main">
                                  <a:noFill/>
                                </a14:hiddenFill>
                              </a:ext>
                            </a:extLst>
                          </wps:spPr>
                          <wps:bodyPr/>
                        </wps:wsp>
                        <wps:wsp>
                          <wps:cNvPr id="143" name="54 Conector recto de flecha"/>
                          <wps:cNvCnPr>
                            <a:cxnSpLocks noChangeShapeType="1"/>
                          </wps:cNvCnPr>
                          <wps:spPr bwMode="auto">
                            <a:xfrm flipH="1">
                              <a:off x="250166" y="2320506"/>
                              <a:ext cx="499745" cy="0"/>
                            </a:xfrm>
                            <a:prstGeom prst="straightConnector1">
                              <a:avLst/>
                            </a:prstGeom>
                            <a:noFill/>
                            <a:ln w="6350" cap="flat" cmpd="sng" algn="ctr">
                              <a:solidFill>
                                <a:srgbClr val="4472C4"/>
                              </a:solidFill>
                              <a:prstDash val="solid"/>
                              <a:miter lim="800000"/>
                              <a:headEnd/>
                              <a:tailEnd type="arrow" w="med" len="med"/>
                            </a:ln>
                            <a:extLst>
                              <a:ext uri="{909E8E84-426E-40DD-AFC4-6F175D3DCCD1}">
                                <a14:hiddenFill xmlns:a14="http://schemas.microsoft.com/office/drawing/2010/main">
                                  <a:noFill/>
                                </a14:hiddenFill>
                              </a:ext>
                            </a:extLst>
                          </wps:spPr>
                          <wps:bodyPr/>
                        </wps:wsp>
                        <wps:wsp>
                          <wps:cNvPr id="144" name="55 Conector recto de flecha"/>
                          <wps:cNvCnPr>
                            <a:cxnSpLocks noChangeShapeType="1"/>
                          </wps:cNvCnPr>
                          <wps:spPr bwMode="auto">
                            <a:xfrm>
                              <a:off x="2044460" y="733245"/>
                              <a:ext cx="828102" cy="0"/>
                            </a:xfrm>
                            <a:prstGeom prst="straightConnector1">
                              <a:avLst/>
                            </a:prstGeom>
                            <a:noFill/>
                            <a:ln w="6350" cap="flat" cmpd="sng" algn="ctr">
                              <a:solidFill>
                                <a:srgbClr val="4472C4"/>
                              </a:solidFill>
                              <a:prstDash val="solid"/>
                              <a:miter lim="800000"/>
                              <a:headEnd/>
                              <a:tailEnd type="arrow" w="med" len="med"/>
                            </a:ln>
                            <a:extLst>
                              <a:ext uri="{909E8E84-426E-40DD-AFC4-6F175D3DCCD1}">
                                <a14:hiddenFill xmlns:a14="http://schemas.microsoft.com/office/drawing/2010/main">
                                  <a:noFill/>
                                </a14:hiddenFill>
                              </a:ext>
                            </a:extLst>
                          </wps:spPr>
                          <wps:bodyPr/>
                        </wps:wsp>
                        <wps:wsp>
                          <wps:cNvPr id="145" name="56 Conector recto de flecha"/>
                          <wps:cNvCnPr>
                            <a:cxnSpLocks noChangeShapeType="1"/>
                          </wps:cNvCnPr>
                          <wps:spPr bwMode="auto">
                            <a:xfrm>
                              <a:off x="1708030" y="1897811"/>
                              <a:ext cx="1207861" cy="0"/>
                            </a:xfrm>
                            <a:prstGeom prst="straightConnector1">
                              <a:avLst/>
                            </a:prstGeom>
                            <a:noFill/>
                            <a:ln w="6350" cap="flat" cmpd="sng" algn="ctr">
                              <a:solidFill>
                                <a:srgbClr val="4472C4"/>
                              </a:solidFill>
                              <a:prstDash val="solid"/>
                              <a:miter lim="800000"/>
                              <a:headEnd/>
                              <a:tailEnd type="arrow"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A2EF596" id="_x0000_s1251" style="position:absolute;left:0;text-align:left;margin-left:110pt;margin-top:525pt;width:430.1pt;height:169.65pt;z-index:-251490304;mso-width-relative:margin;mso-height-relative:margin" coordsize="57877,31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8QR7tAgAAJY6AAAOAAAAZHJzL2Uyb0RvYy54bWzsW21v2zgS/n7A/gfB&#10;312TFClKRtNFaie9Ar274rr3AxhZtoXV21JynOxi//vNkNSL7TjtdVs7PbhAA71RIofzPPPMkH79&#10;80OeefeJrtOyuBrRV2TkJUVcLtJidTX6zy+343Dk1Y0qFiori+Rq9JjUo5/f/PS319tqmrByXWaL&#10;RHvwkqKebqur0bppqulkUsfrJFf1q7JKCri5LHWuGjjVq8lCqy28Pc8mjJBgsi31otJlnNQ1XJ3b&#10;m6M35v3LZRI3/1ou66TxsqsR9K0xf7X5e4d/J29eq+lKq2qdxq4b6it6kau0gI92r5qrRnkbnR68&#10;Kk9jXdblsnkVl/mkXC7TODFjgNFQsjead7rcVGYsq+l2VXVmAtPu2emrXxv/8/6j9tLF1SjyR16h&#10;cpgjEXrv9KYq0TjbajWFZ97p6lP1UdsRwuGHMv61htuT/ft4vrIPe3fbf5QLeJ/aNKUxzsNS5/gK&#10;GLb3YObgsZuD5KHxYrgoeMCYhKmK4R6jggsh7CzFa5jKg3bx+qZtKUMpw8C29KmIWBRiy4ma2g+b&#10;zrrO2ZGZk26QrSF4awjOzmmII8NR029siCqNp/DfeRccHXjX51EIrZqNTkbuJfkXvSNX+tdNNQYg&#10;VKpJ79IsbR4NqMFZsFPF/cc0RqfDk4GjinZ+3udqlRQexVlun7EtFI7IOKlXlLO1KlbJdV0BGwBH&#10;Qev2ktbldp2oRY2X0VV232JOd3pxl6XVbZpl6MV47MYLhLIHyCdMZsE+L+NNnhSNZS+dZDD0sqjX&#10;aVWPPD1N8rsEwKjfL6iBDMDiQ93g5xAghlH+YOE1IRF7O54JMhtzIm/G1xGXY0luJCc8pDM6+xNb&#10;Uz7d1AmYQWXzKnV9hasHvX2SPhzRWmIyBOfdK0OjFlTQIQOutouAMzQJ9rXW8b/B2PAcHDc6aeI1&#10;Hi7Bcu46PNzdMGbuLYtzUAPZfJY/aCB9wcAbDlmEUS4jKR0XkCgIQ3+HC8BBdN28S8rcwwOwOPTX&#10;WFzdg8HtCNtHsO9FifNuRpQVOxdgKPZKa4jhXEUkuglvQj7mLLiBuZrPx9e3Mz4ObqkUc38+m81p&#10;O1frdLFICvzMX58qY/kySxett9Z6dTfLtJ3CW/PPGaTuH5ugy/TdaKcXX9a7X0QZJ29ZNL4NQjnm&#10;t1yMI0nCMaHR2yggPOLz290hfUiL5K8PydtCkML5fn5sxPw7HJua5mkDWiNL86tR2D2kpkgAN8XC&#10;TG2j0sweD0yB3e9NAdPdTrRxXHRVxxzguc/EFcpAC9kIy+kpAwsLiR+aUGin0YTZYXRhoQwj6sTQ&#10;XnQZR0Rw1/hIrB00B+P8T7GWsqi1CRWnsQn3uc8MZwyHhu6NdqGSilCAAkD54YdcUhMYBkHXJyBO&#10;4OawdW+YI+2P2gVUb91GkW0FcWgvjjzJzKh5n9KLn9aqSgAe8KJBvKQ+dNgpO28GKjxuSu0h35Xe&#10;IvGWWRKvFeLFNZsVVujFD4UTel3ANB/45bECUWfj5U4TPDlO3PChtPo7NkT8OglIGQ18R+GU+IJK&#10;7EjvpjyKQnQRnA3jn50hDwgcwolKV+sGRmiHaD/0/0PnXQQaUJNld0tJrd2sSDgnSwe+QAGvIJ9b&#10;gr6Bw7wCUVMXq5GnshUkinGjv5rGMSrPVb22ocxEL+s0X87vXmN8WKH+G2FcyZPFyMsS6BkegQsO&#10;bHyc/luHt9C5KxePHzW2xesAa3v5BPhGSWsyt8CbbdRCG1w3QGkuhTNs8AklVfPwtkSWs8a3aVyH&#10;7usDOezgjU3tYI7DewDqpxiy41cAPEHA7/LrcVh/TpcN1Avqzi8QOa1cG+DpOQF3RrVjcISGPT7I&#10;U6qdXXdvHu4eTOFARAgYvGkR4OkS9DQQAJSF4GBd6t8BY1BiAQb4baMwS8zeFxDqIso5PNaYEy4k&#10;gxM9vHM3vKOKGF51NQI6sYezxtZxNpVG3m+9uiivod6wTI2G73s1hGVfCMB+u4KFPezTTIoqwcKK&#10;+qeRJj6RlBAQHxDtaCgpp8wyW4seJiHnCaFfiB6QKVQa2w/UCZgQtYkAW5pA2iuTI2075PVGacF+&#10;Aubqak7yRTAXJQERIIR3bdhanwYiYPLA+p0FDyTJhbteOncFBiY9S7x87sK+ngCYQEKW+8IzpgwD&#10;TWExCemiHwW7nBjKKIycoLikCK5INZCvlxThRacIfdh9VouAgzstEpxGi1jAMRYaXWa0RBsHGQki&#10;KSB0owoRhAXcyZT90hEUng5UyNNtuxjam+OEKgTWjKxxoxehQpz+6KzX2p0KFghUzLt272x30R9k&#10;YtcpIKP/MXKnwJTRLvqjrT26JVjqw9KN4ztyRgHydM1SSMi6oZaPWZofEmZWlnZqlpJfBIkpMQ1q&#10;LC98ZelSs3Q1yz4CPytIurUsyk8jSGBHh2SBhV0QRiEc7qgSKgMWSbiP0RGWbYh0icKBKgFw7tVG&#10;jrTtImtvkxOqkn5ljJ6RAg9zMB4E3JWdWmUCORiXF8q7UN5gw8FlmQZl3aCejMrdaRr2IvIMrJzg&#10;4ioWjFlLih2kQ58CzPfYtGPES67x4+UaJkv/kXKNPuya1ZtuoWZ4/fj6De+WRYU8jUShTESwjmUQ&#10;xSXnUCPZkSgsgs0lEXQLJQrzGRHkaY1yWDY50rLDY2+S0ykUKPs4QhP+GRXKk0maraE4O7acJgjs&#10;sXZ1q+9XKsb9BN8im+BcshlHD4JZ3lkBPlFofW5V/IzbGj+fU4K9YMrNvlnAhd2UhMlMu0KNJsUz&#10;WEexl7//ggrvVjoFf2lYYYLQAGqg+6TUwgY2YZ2goHGBzffdDfxjwqZbhxTijLAZJMGMcM5h2RjR&#10;In3/UDezkBK3R+ASY3Cn6LO77C4xxv7Q7Vvs88Wis00wBWwEPNtG3wFYKPwugOD2YwALDaE61+6m&#10;bkMLZQR+suUU8QUuF7gYSdYnMy7vgx8/GhXsfqiJv64cnpun+p+Tvvk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cwQ8p+EAAAAOAQAADwAAAGRycy9kb3ducmV2LnhtbEyPwWrD&#10;MBBE74X+g9hAb41kmxTXsRxCaHsKhSaF0ptibWwTSzKWYjt/3/Wpuc0yj9mZfDOZlg3Y+8ZZCdFS&#10;AENbOt3YSsL38f05BeaDslq1zqKEG3rYFI8Pucq0G+0XDodQMQqxPlMS6hC6jHNf1miUX7oOLXln&#10;1xsV6Owrrns1UrhpeSzECzeqsfShVh3uaiwvh6uR8DGqcZtEb8P+ct7dfo+rz599hFI+LabtGljA&#10;KfzDMNen6lBQp5O7Wu1ZKyGmeELJEKtZzYhIRQzsRCpJXxPgRc7vZxR/AAAA//8DAFBLAwQKAAAA&#10;AAAAACEADHWx4VeDAABXgwAAFAAAAGRycy9tZWRpYS9pbWFnZTEucG5niVBORw0KGgoAAAANSUhE&#10;UgAAAOEAAAFFCAIAAACVKx1hAAAAAXNSR0IArs4c6QAAgxFJREFUeF7tvQmgbUdVJnzPueObMjE2&#10;gvj/GKIoEkFoRASVFmcUiCgIKuIAjaKCEyAyqtiADIqI2EwCikRkUAgQaLHVRoRWQND8gjIGISQv&#10;7915OGf/a65Vw57OcN97CTsn952zd+2qVau++taqVbVrD0b7+wtwDPAPHfytin/aVTsPSSpMWtEZ&#10;/ONuwQsDl6fd3u+LK6zlxkFVVcNFlIHlkapYrZwwUaZ11akWxmPIEnOTz1jqCHdYEceOLQyHUu+g&#10;wH51nH3qqC06ZQ+yqyKoGi11ccmj7PneAeknaTqXbbiC+KmwMIZQNRDdos6rMShclD8syVQH0ER8&#10;zDOrEMnHauoOsRpNgvhdm15UA1jkO+xLJiFnKvnaD0xf4QcUQicHwwFklXZdyRv/AXTCxw5uF1/l&#10;qavfCV95IhSfqo+q0E90RnqwVgbaURM3aTxSXFasAjTVQjvkpTFQ+aG9Ufl6OC3LqVbVxrDxvxD4&#10;hE5pq9asOrVCs25cFtQnuSsXsRWSMgpDCwboAQuE85osFZPuXV7G03kVA1hnU/1OOqpLlOsuIFgV&#10;Zcio5YMcuVlSzragEMauIwXpLZheG6xGehU+x2g/nWg7eKNJ1lB8gBmwqQnUAFYpHv5x/S/CpPyo&#10;UbfoXMiAdIffqTc7jgkOzGBhabndUBhezwK49mlX333rkOvOB51zPXMlc+E+K+v/DaoRMQCjU+mP&#10;7T0d4lWoO2Ku4SxhanUt4xU7hlcQfDffo62NtMMHJbPq5a/vKUCiSwtDx8RteYt6Emegy12HmqaO&#10;BJoRwsjLoawNUUvPdFfKKYXUxKNio3N95Er1Z2jMZBAXK09nDrEx0j4LdQl+mNNdQc+mjgTWTg+R&#10;BjU9nFxejeqY8I7lVzzvyXUqfpgJfr2IE2VYABXVKkC3DsR1xUmOlrHZ+gZglSxWGM7zOJdJFL/T&#10;LyZRN8r2jTGHhnGKYgXxCTM9dYOv9D4VLUa+IZW/rKyE/Jt6Yw2BJMAtMsNEaJnopunpxHTl2hWr&#10;3joqKMpbkMf7o4oqplX7+KwC/rifqFhCohKVEcAGmRNUzgGkYuO5ZIOpocR6IBedKyKXMBeScltc&#10;RE80OeZSoYkgd6g3pTZM4eA7Z5Olj4I/dTqEoGLijmonBzuODYnDXB8mNCkYrAIIxSQjlYlUUHuo&#10;OsPOG6SK2JSqw4e3GArZ2u6kt/C/wKMrq+UqTc9Hh62qWZSXItADrXvHlVYQpDGo0CCLHQbPH1Go&#10;Hx1jeB4FBy/6EGqlpd2XyPorW003IJtMi4NqbMVrmFB9kUiHDNZsSOfx6isFqlpdLccNTFCffzOD&#10;TFa3ed3VHU+JBLGl6hzONrooVCiiNxQsiT0JNo1Enck32IrfGYbMjHrjVO+JTlz36RoDYRqI3KLZ&#10;geZdNEPMhYsAmOkwx5oi9sCgGOFvO85QldvEmtP1vLZ6pl0PasQIOUSiZuhseg/PgK33M37dvktA&#10;JyR2AA0UFgZSc9JPY7Y1MPUuVDDPIj+pwnwbHv7hAT6ojJPaFY/pXXc+E1WfrMxuVZss7/wuQSQV&#10;yrOgrDg6T/+FEDvHR9lk9/qolYwYNJJFW/hwK+9EAJiKW8I9NJp/0nRk7snVQV82cr6hAnDL0hIN&#10;kgDc1u8716hzwlk1/RnLR6xWRxLNJ5jM72I31FoHm4fGTNROvZGqbq2GmbgnuNB9jNjCYLq3Rvu3&#10;OcDOrU7QgIhjU/xK3Vg8K5GfShoPAKC8VCU9ukjCJKGf3pU9/Bu6VMpzQK6Y2AcX4OYV8SE/R6KB&#10;So1HEa+D8fZWAG29kMkAQLlZqUX+dffjNMxwAG6cLG4IKKCaTbQqiolt0gOWjNCtbUVDKePRwsFe&#10;tbc7PHqiGhQxakI0yEPVbGygclVq7pu03r3uK1anviJ4hYOQ3Bez2zlQGo6EaJ1zBbfjUjNCJ9OK&#10;mv4hjfH50F5fMvouGbsMji9zgEZqqYlPcKUO8dDYxRh0IcN57WLBmMCl8XgwovWKWMexC1oVZe1f&#10;h0OveB8d96lOSJvc1fzT2h2TCThw2RqJadhTgLKtj91Qab8a31RjOEa9IWs+pU6orcdoCUeciQbT&#10;cBt4q2PyBOgLhgJIGppKZbKtRiMmikb2nqgOfFMfSPSB2jRpJ5apTklxfMpnb8NSg41fI0F4gv9i&#10;jLYAVD3XAOsEl1S+g6lr3A6tfOhtZgWmJTNE4e/4oHNrT9q0MwTrpCJ0rmOSMC+Pz3h3U6gr644y&#10;MDL+DEH7YKKFHGKMNozujYe9nCE7HeajhLzAdoqKH5au62Rkz3UAISdwTHtw3XSdbIZgnVT3wTxO&#10;kkPiOVlmPGb3ipSUEnJKB/JMfMHue4yqsUuQytmLU+w8hsCXnjutcvmyqz71PqwGK9txjtUPh/TE&#10;As9adT9m0cMmy2NiXihUrqMEDcm8lULQ8cSQQFXA40Lsnu8EpPwP+KMGQYdczYvRydlqBCuvj5Vn&#10;lANrg7nxpxiGSzkdddUdQqWUaeMyjwJSeYzZ2yhMKTS7TNNV6XDuNuo0cYPYrFSlzAKNhptjYR2O&#10;iWI5PqpMWRrRh/BnXbJEo+bMhaadroMfCqfGIlIPI6elApeUrvWswywgZhWfRWb9QdulVEpjaDTU&#10;Mam5I/wwvsMkRnx6p5xRtqUcBqNTJ90oJ7Ha5lZaKyWLArVo+BeofG9//13vBh8OAqM4yxq8UlyN&#10;sfJt38oyg1yTuavRjT0h072FWOuD0R5Y+fHeLoR4B2snirRGle5CeX1ltYy7cH73mk2Q0upXrAJZ&#10;arA2cDG11Irc5D42uTjNxGMmsfW86FhjgnwSPU8Olw5G118nsnv/0lfHQt9Sblnjo09+auuxvzz+&#10;16uKmhjc9Kbn//1fu0t9m60e3F1yQlV2SecEBPocj6qDA+DR4dHzijTqodTGOb1Kb8SoyZhn2e2+&#10;nlBFANZaEUASD5ELGOVyiI5EOw6giE+23vhFQvfBjNPQSEP6/KyI0WcUFpU1FTLs0hyD5xts8N5b&#10;375x2UPqAFpSSlubdldkkKL7PR1S6rAJOze6pFMeLOVMjzlkWdNSjR0sCjXSGCQSzEbb9LwtMyhD&#10;Tv7mapEEZqN5sRmflZBVJGgYf/FpF0dg0O7ubj/117d/8fELWzan2rElZg2u2WKAMEpDP7I7fd3R&#10;sg5mK2JHPU+frF5sUFAUOWKA0BA+NssIczbuCTQpfQrCwLv4LV2HX6hQDlOh0oXRxz+x8ZAf3Xvd&#10;67upgQYi0tj2hUWeESfMKButjg6bRjJs6lbN5lSzhums8ytJ38CjFOKM+jDvPoKHrCNTcksBGqKZ&#10;fvBk5Qe67bBoN0gdBWP3/vKtGw966Piqf+vbck6rHrWzA+usmo0jULDuCSP5SKq0kQl+dL60b9Wt&#10;uWbcmUSOXk5vD9kbFQoDZGMxJ0D4Kq6qkaVnTSNRLw0b6OAcdcNo4HO5dfc1f7r9K09a2N7uUdOm&#10;pJ5WZwHWKTFA6KzAZ98/qA7G1c7++NT14+tPVifpc/3149Onx1ub1d4epJkCr1NK2cEBmVV3bXCm&#10;ZcAU3CEcoOroRwjV7LwZcax6YEqBhjkDMVRaMOq0GHkY46uvnhE6fTZGqwbZqBV700T/FkLd7u9X&#10;Gxvj06eqra1qD0b3PHGvo0n4AgtNIM329vj0+vjaa0fXXjfe3OTVJxPpxFydDuLmvlKxTO89Td0R&#10;WisFu8Hh0hw6oDT/eKOZe11sTkkMiwJT1a0f7bhSKbgVfMRo0O5dA1dTDm5O1h6t9c0hOx2tdm4h&#10;CIZWOzsLG+sAPgGcj+/aIgRECdWf59IgEgw3bm2Nrz05PnlyYW9vOs10E7dZ98ZVghmlqw5doLF5&#10;6u+XJaQIUyeam5gM4ycLi+qoyrzS+rIBo7oMGZes1dee2wQ+0Cq4crkX2qZJXPRZp8nQ3cvNBweg&#10;c2sT2JHBp7XLK5lMPlACRi2o5eBgdP3p8XUnF/a7r5aqq0gGiMQbarrPgG6ZdIN+u1JrYVotEpXa&#10;E2DeOQz+aDSCj4b5IbxaKII2KETM4QdhCNMqejBX2ElJaemzKi1e+jWDW92qtaaTwpvv47/emLUW&#10;GLQRJUW/CS07ovMAUBUvgjEp5UusO5UlqgsHs0cHo5PXV+sbSfClXco0RWS6Ot3u/Tl9PIsf1RKl&#10;TUulDVIM4MlEsfihk3sqVZ+UiFND7xaYVwmlcbUgsljDhUX3gTEsQpD/0pMe8IElanISvuAHhrp+&#10;e0hCzmD10Y88/tpXDc+HKZmGPu67eD+cMTAVponD2k33MZvgL6DPvV2ZC/FdwBUWjxYKBUWOj607&#10;3d4ZX3f9wgEFBCY/lKfTHBLbkl22ULlcsSeDSyHwycWL7wQsAWY4BsJUEvqGbXhLpyNvxME00S5r&#10;Fk0UYw7AB1hEOOoX/rlID53Rd1hPOVgcwgdh7byCwS1vcexVLzvy2MfgE2otR9FiGVi7QS0U4Zuq&#10;871s38EwAUBBoX6mV5WLiokYUnyCpsoZVBlX8Hc8Gp+8fmEXPNSJj7xSiQLLYOXbiFXDxGE0RT6x&#10;RPUDfIT/cBE3GcbhoztsTt7H6lk+81OjgH9qaAltSJYMVoAgY9E+dAYuGZviBEyIBizf9z4n/vLP&#10;l+9+t261bnWMWhMUy/EOQLsgCNDdHVIQtbHoxPZqTBjVGjy0fNRNbKDgYaoewvjU6WoHqHqCw8vG&#10;tzd4Sca4jnoFqg6m/HC24HcCkfiWOjqAoisgtYrX3crh0IeCqMcaz0Kl2UpPlKaxAZOCle17MPpi&#10;92npQBhdYaarq0ee/uRjL/qd4QUXTFzdmhsnQGpi/WslQiXtEmiMg2zMbiDI12VZLwizedpa3iBj&#10;npqv/gshKpgxnmS8HzBZtD9JHSOYYv8Lt5M+cTYIbW7YCmnWzUZKRZgioQpMTQgLMFmp9b0l6gV+&#10;cxhpKpkAdIi0M6FOw9tffOKNr1t9yA/MoZq+Dn3BariLa2mdGjS4t6Oc5AwlU6D/qyGmcKtRSOJO&#10;KdxDdkYDNA7DpdKn1iFo0ECDmRpzZyP3iPwZlsmX4L5bQgjuBhbs7B11bmPNEWCKuwtG2zlYafJc&#10;svNWff7koOD/bpuIbvNMmZSrl91/8eIv7yz8lAlFx/3aOFsDgBPJPn6pU5rStGapGaxWmJz3bKkM&#10;6v4NxGwE7TELYwkw+giRLkdzRcmkRgY3kHxd7vp0upBZtLtgF4nSNE3cQdKAbwo7ZK0Qsbpa+6B9&#10;zKdFKVj3E2J0knrN5p6OzazkJoUS7CDMxDoyiyGpHCSDgSQKTNES/xaHzwPG2Rz+asYfyl5f72bx&#10;u9exVqcqqC2NI9wgtMjoh/jl9K1SJy2dX17m4SMVE3jWD+akyymDskBe8xNj1FiCvjQE/6dXQrkT&#10;92tIdI94FM+i4pMCClaPWsMUu5XeVbUIQCc+V/1QDjwvgLFYGKt1PHq4OZDUM792HQUidUwBqEzr&#10;4Lu1+imwXurIwXBSk0iwmwbvpLW/rT1Ek4S4fe0wjAXvglFatAozfrAofXcX56k3N8cb6+P10+6z&#10;Pt7cgnCjTTR0bIjpkpmf1SEbjtKHTqosF/osw9cTIQE2gSnn4ftkgIf6Awz0cCPfQTDd3OoW27eG&#10;LLZfBAutF93CdiKHn8DUhtZs9JMQegc1RkmKKA8uDuxOgOFSXAKxh9GhtbUF+MA7g/x7rfCytqP1&#10;JZ2wwoDS6modRgmXo1G1u1NtblTrp2GZRQUrfeDn/h7OysCSSgiD8Qd+AkPs7cK0tbJ639pOmb4F&#10;rBU/Jm/AEhuMrSknjV85jYBVvlC41EZUzoR78uIOIOCxMFbkVyBMwSeFuGzpKLGzbzy7h09a2S4N&#10;NTav6NSHNyzYo1iXiCkLOysqLdUHtn6hLYmqgz3U3+pRelPZEDEKSD1yBP+Cwwp7Ei75MPwSJlg9&#10;MoB3CJ44b+HEiYUjRwsYRb7c3qpgdQWCcg8XWEhdzH6Z6mNSkbBLsQnmqY5QYE0pUAUDnx8qGSkm&#10;Vz0LwneYHk5gKuMqI0s3zBI0OyWYW8rZAkYzMUWQhq6a3uKMqtAhP4zBbOpoGGHiElMR8vwQFzef&#10;lhGAAs2NRoPVI9VQ53dEFtAqvVkAtsZeO4KQPXpMPkeO4km4hHSLivFvE6zQlANr7mwDTEl044xE&#10;ecYZGiIxHqrT8rgaXXdyDEuK5qMRV6xxqpQEr56UqwWmUpAxd0Yk6uw+ji3N6Htclr5bYQnQLXNQ&#10;AU7AFg6WWJiA9nfXg77lqgvLNcKSTR2O8PBI7+F/bVjd0BlmcgkYFJffghu6N4D9r5fgJQJpP5Fy&#10;ak57KRCjmBfadFz4I5XKrVgqegbT5rpBcvBoN7ZoteXW3IHqFTCiZxe56RWItopLEeUtuI7GY4tP&#10;rim9RFQ8BIdvhpZdClRqerQ8sTPA4uhcWwZQdROZET1M2YNU8Cn+dGtf5UsX3yGzHytbfvrMp2mN&#10;0r3VaED7ZFX7uzg9uXIkjAR6kHbIeYj6koU/5uaY4+Y0WSQhu95uqxQk0L+2tkdfuG68DW5ZyQeb&#10;ST/2mYBjFFdIf8qQyJZ5uQFTHVnyIMpdFdzrAgbrDNFAW7VjN4KZGvMb2EJnYgaNzTCRZwSyyMRH&#10;6OSIkqzF1mVynjijOCWzcsyys9F8NQAHFN1QoFKYjDxKLxGYphuArcdFk8INrin9CEC0F6kd69N/&#10;EY0OSHDssLEB1r+admVQm14hyEK10viPDpwiQ8yZeKw6KrWUwfNR9zQAlFXY4Aa43swpoQnzPkpN&#10;6bEr3+W92WowyYjLGhFEnqwqcnvEOqjn3tVUgGlRuAAUo0D7g9W1hUXYpr1DeY1JaLWyt+yklXCL&#10;KknOqo8nSabgQUAEeNOw1BJMfxvQJr+OYdHQ88wc+wydDyB8x7H7Rr8TbT6/PDygmc/EhxWujjuD&#10;EDEq66Ajr8rzqg7ANQG9K0s+/Aw722v/sSVw4ILH8+POAegEmslUTm4o9g/Y32UZxuxrfcqqxakM&#10;nVSkDHRyYw0Yk/Fji+1WbtbMGDzjra3RyVMVeI1zOgrjuQR/1kvtPIUziVsJUjaiMh+Uvsgr7gWW&#10;ZR7lCKtA09UwXsCW6Dd+45mzV+aMCndGDOrw6rBhI6d5DVfNYYANh9kN3cPVmytg5Yuw6UCrMRLc&#10;uF4yJMtoNsfzqNxJZUg/plORX98NaA6mSKgHB7DUEh7C7HZzr1QaFjVzUVCcXgto5lgT82k8nIog&#10;S1dx5//iJ8QKnAesSgRrWGgs1i1fYNdTv4chvAu/08mwEU1xi2POal4AtbaAXZnIDR3B7kNjiIbW&#10;vOuiV9tJYsaoQYZ/UQv58wlBlpXb1j8E/K4sh1RQ9Pj6U+OpVgQX669E6H0a48jiEIfNt6hAvNnY&#10;9PMICeqbuATKx4J5x8HMyKpbUWc64vby2xBebXow64Y5Bqez9YzvwidBvLW5EvwkyInvQSsPTTjG&#10;YBO6obCapOdRDx97eo71anDNYeqceUzos2xDp0nrqFrOOZhC+fg08IQrgssaAWTQ+Dk3OloH5VDy&#10;9dRhZZdR/3LQyZGloc2l97dYPoZ18xkiHEbuTdkwcvqS95nt48UrRGOMMhMjal2LReIZXntCyieH&#10;nRJtzhNi78vghibN2zHzMpDIH/WjimKD1hXhLX6C2+yWgM8ioXIHAZiub4xrZgs7VjQkQ6LSunlz&#10;TBxJ+oj3z2IwGFj5FkGnjpB48gMv2YpvdVgNpsKvpkrp/Nrv8w6T1czGpoEUGWQ8dmf6jFkzDJLM&#10;SVB0CswDTMV+9FZo6Qbce5GDTTjnqcGm5qw7kxplo/5oAaasUrfWtDlnU2u9eMrVbowiDKcIpdYf&#10;r+Mc7EwUKBVIOIoByjadgCgMajhm7ArfBCxqCJ+f3ta/gtcasg7m1EOT6lnwEZ0jFPV5oUO6o2jN&#10;Uyc1nW3iG7W+3ADpo+r9kKNMyZPyOOd5QG5o6zNtvRvWPSlfZlN1qtRFjUpIGaGxli6xgDX84yiH&#10;YQrPV0w/hBK/UyiTG52nGGuozEEkYJe3HQhmXV6M5q0/UXLwWX3HU7+Wk5gLRT/rCNWf51GRmGu1&#10;2qRnG0UZcLmi3qxHAy+RIDgt3JZWGn/hNwPChxcM4bL5elTB0iIONuGc59rCUn831OfNFckO4tEg&#10;ZaY15poCMONzHbugGD3tgtywaQEyjoY9ldyjW707n7tBu5nG8eG3RPat8sKgBWkUoMK43MB0OCqV&#10;1/l5IQuaDIoM5BrXKyNdNumBO2WEHpY1sQMQJuIlGmhc6xtd7AaHddU+RuwO6Bzwojb4y8vZ4Eks&#10;eBMiTAraCnETGRJDsAnmtmjp3QJgtNT3azpiR8RgYRofTTpTxAQlfKTpyz0gupOlyiAvfYTP21Uy&#10;heCbToNNKY/y5MKZQaVZOWvpJQmk3QiJPR7hPD9yisKiGs+Pe2G5zTRNkUdDQdgr5JdIbz6oDvZ9&#10;TcqNrme5mrTTR4imWaWJJ3Dcw1MeOhkhKVFxY3zMBtZeAmTVRdGVTRS3Xz0C7wqaurHKGVjsiToZ&#10;N1qEfP7p/8YZGfJaBYx7bEAk+YXiHBpusEycMITJ/daMaxP4KAy1tvJUUkfrOsZjrscoiGOfNZAo&#10;Q5XJNTRqosOABlEx0nDD5q9eWLlX7bv0NV9p64CRJgSe0nwimwgpCfkk7kErezfIU8Gye02IZgib&#10;VwsQn4fVHbDcDiflKdiEc55HaM5zFkepp/ndHBKYmpkXN0paOVFf4sV2kjOBgkLEzKhhBnxHWM43&#10;wZw+LAw72B3vrOPCPEAqCclDBhorqJRGWqHhc9NEd4l7qs6AsS+cN8fUOrcnyDQ//a0rqHKFiRVW&#10;xBOqrH9R8kCfdUsmKKLB3UGEDxvPyBaqzAJoVvAdVLq16hA2cQh7rIZeF1SGy1ZgYTGu3gQ3lOc8&#10;YendDI8Up+yPOgm4HY04wxcSwtDllca3543bKraUlaWTGR7JE5a0tuakCcA5Oqj2tsbb8Ej7Ttjz&#10;RyXkCe/44N/14yhJzXWMt8nlJlQE145FrDzfN+Eh9JrDCRjRRMEtidQe7pNOyf2H95CDLsHfRWaQ&#10;mt8HwkIooXLfE69AjL6U6xsL7trbH4P1x4c/bc6zh4upOu/UsC72JHVkpRtMFZrcGAlODdxypQtO&#10;E0CLIx/lzcXoFA/waPtWH9CnR3vV7uZ4ewO6+GBpeQjPG0A8WRpBwRR1pQ7SRr1I01NDYnzAG3dW&#10;GacPmvRtYMVRChhkNIA0dHs0dOgfuny1YyhCLbF2mOB10B5MYesu4khWrgKUgMXNHRoXf2lKf0nb&#10;jv17eLgBVo1EDyeVq9RB0U1gjd+ilBCqJ1GBbuyeJpD1lSwUGjW4413VTuAkvZntHGgEhpZ1s3wV&#10;vKFmZ7wDjw9soclaWRuurg2ApbA03HAlIIu+uUEEl8KhmkyNXtiAPJdMkKphVPqpCOUu4Y4ke/jZ&#10;gFG5zzqz+L6yRZzEELg9MiLXGQfePa4MUL4xCvRYWVx23iIBnRGUZxXG9rrKIlA6Zgqd3Bong6M5&#10;Rtzt7K91zabOYLDzNKPs4BpXVGC0TaMRDBHmc6Tw/qR9MOsb8IgLtB8Q53BlFRsSDtxHbYXiyVwx&#10;9vGMTT0rxT2ntmtJH02oMmpOQoy6j1yPDJt8YnFJR+wllVlsPxCkDMZlfCbmm0+iHdcBu+6DpHsh&#10;4h5yhFT0Mq0fBpPoEGn6EZG5fX03SxoJL+OzbrwxkRwzNPeheFubx51SO4kotwBTHcQ6mErb502S&#10;VNKzVdJxvS4CGVkbI0x34AFtDvtBeHm/2tsc76DnHsw6kwrgEhc02Lt6GaJOdx0xSRDL+NWLbd/d&#10;IEzq4dy+gAwFBAiJTkjbAdkjv6sMUjsy3GD7eedNwKLsv6kbdGLndHshMpX6niOtbAopNYT2awdh&#10;ldbEMfFLjxDmdUsA31b56DqvcbZOE/y2QBjB64q4hGBshJRZt7IUnEPkXNXA0xhKawfghEcCR3vj&#10;3S34kFlfjc062PclbFfcDcvawMW3WeCuR11KrYLlExK6fp6W4qDAW7qyi9F8JJQhDcG4xJGQbHWo&#10;u3PS9oZEnIZdneZN+6jY06QhVCa5WgwaeExTOtA27X+tR2ut2mqdXbf1ow5kjFrBn+opQJkrxnZN&#10;yUbw2oiAMjQNtcm9ThdC6tUYHliFYAe0TTDrIMYiQhOIE1dP6koi1DZrnFQm04Z+cJBoYjLNmsw8&#10;fhLeSS28FKWJYXuZCRpUXE8mdzbxyVaHfIaJk0OKMiMf1S1RM16jJsh6rz0G7aZiUZWkz0h7sOq+&#10;N+6ab4hdUj9mEuSlFr9o9xWU6lepV9BDWO0VoaGdoiL0ayODS7W0CsZdx62wIysTkpFlrD+BqG26&#10;2Q2InVIVEkVc5XHqYYGeYhx16kKogbPNi+A+rD+NYoVc8HwWZatzxpzgXmOk2LACUJ+aYm3Lwitm&#10;galWVrSrezCCaQN/eNeNv8tfbn7mfyMn+q7/wffdV7y6+tznUuIHfR4/vvaonwj9r0C4cCoTV06E&#10;QgdAQkfWZCttEozAHGcn+Ha1QpoYwt6tYhykCr5El4PSYX13y7mEN/MOH2pCWJlBEXJmHq7LKozq&#10;aqJOJoJOOvTo75A5jdStSiVtKqalAVkg5+ZZ4/IepfikALj+tL4EL4XVgFg7S0yL/wcXXiRbaHGe&#10;cmgDiQrqKlQyv64RB6PtTRn1RhhxvkiEVO31dpJryt3KIKUwdlkmSiuJlULb11RhARR6/HiYMu4I&#10;UJYRhlNsKIN40beg3KAga3eW39Ui6lBFjFK72paf8H1paQC7xzQQR7NW2jDbgZHUdiVJudzACIpR&#10;XvckO4ZKD3QMSvxFWz0MLwKMOr9xphileJqajOBT2cjGQMBN64eZ/JM9GZ2xlhAP9yUGRHCk5JRA&#10;gX/xkbaNvyZUqRRIr/Cym3o0Kq2ZYLYJ5JE0u2867Y3SdAxQ3234uySrwYff6RW2OmoEaNJf2hA5&#10;i+slqblC5j5JLYlWkVg1tCJGw+ugIFGP9qmvT/Lsso2EFAYBmspAEUw1DqBwpPtjP4mbloWNUKug&#10;lyJysLoKCmipSxBGpZQE3c5AFKssKyd4NluyT/qKazZDqaBHDVxIot8cFF25BmvSClj5LrBS17pL&#10;2iRNe/5i9ELXCmMgvCTwpCf3nSdKNpPMu3s9iDo2ZPfzo53Tu1eQ46P0CV6dhIolFyFLHc4rQLSZ&#10;dbQkKGSUBv7kAIDz7qUoPq8kawIYdLST+KowxGHRjfWT5GpGyHidiZMPdhNF5b4sTqDWPKCTnTC9&#10;mGqe7uIWZHdNEwbvjQvnHY2bzHzcZLNsYp9zMZwkj+2rfiLHWkiV1p2I9oRK2UfVDJMhQXcAdkgZ&#10;75snYFJ8SHSJ1MwUxSjBr9rqdj64B4JIp+d0/Bk6BufrQe3dDCopqUXYY0zFVKm68AhY/FaY+gIZ&#10;WIndtwRuMMdotWGTJYG6raxQpwok1tYu80Ko9aDEmkv1CHC6u4TKGNWeSV4/wqC0rTjvOTyfQ2NP&#10;3uIpSgSMZhNzmDKfyfnkCy9gZ/R5TJbOhBSGyYTknHzeVeKii/RZ0hc/QyQwRdgQcQb12recOT3I&#10;2Og7gAYMq4nk0iGUi5ttJ+3XDYKBy2fa8hg0cBlG4Qi4klsNh0gZ2gvUxQOA/GDH0Hkebo2zQNNq&#10;EDw25dOYTSMGZZwo/oT/ImzGYIovBf4W14CqnHdNgaN7hqSx+/JFBxFrH9zNi1/OYjDN+FrUriRD&#10;if14QliTok5kCsNLiQJAaUeu/OgGUy6xz9HOZtbDOcCE+0YJ5tgN1fCn1dQZ9FKbIOZht9t5HiUN&#10;MvMxSlLEOrIUF1aHTZaY/b/Ii41tey10fa+oQSlLZfNJdaoxbi1xmLQ7xk00eBkqm7UyZ8Wv36QH&#10;m7ml5Cei1g1z2PxBn4atteWtf3Uo64y+zgk74QQUQq83kf6r8gtALYtgJbyLQjfFxmYAuzCvzJtH&#10;ZfyRWEwbQkVfREbvkobvmoNBUPXQAaF5r4iHYon6QctYShFPrs+UmTjkhZjjh3jIbjG8NL7mMieP&#10;AFen86jKwi7BOVPCw/UeQ0Rnh1WVzs1tQ9dsYWoGneWXTfl09M4jek6j/4p8onMHFWgH2BR8zgft&#10;kauoomZwEhih+i/CsAxXHUWFBMIyUYcr1iFAWXJMyFthm4z0KXEx3oEStdu6XBay+4BU9S8JkeK6&#10;8LcwQMTv+K5BXhEnSzlpBsuWcXRCZ/9WnSFMgeYh2Mm6EiOAM0nc98LsvCBVW8da1JlWfLXN2mwf&#10;FCloBjHKhUrTCHS8jY8GQxKXsriREA9lwSgRvGrrGhbDl5jqCq5FwKfkWzDZMRw7ADQ4owUk4xpV&#10;9SldvCmR2VgWZ8NpUSa8dFDXv4UJjn4I7Iw+G8/0y7+QGsezYf0N76xreFWv1O4zSDCPiuXEtm58&#10;zfbUUmoGGB+Ndl5XvCJh8MouRp9rHo7TS3jTLrHPYJ6DR15gIzeoing0cnydckrn4cZuzUr1wmK8&#10;ccgdBClOgUubI4/howMIIxKV2CDOKXG3I0o8+dEHfW3ldDIl3IIqM5InTcqbyyMokLIKGICqDy84&#10;v5tLM7leRPX45JQeQSQVlvGAf2UdByfVyK34MDpo4Lu45mmbZarlfDW/kGeceaw4KhdwCwsl4U0U&#10;vqNnVh6fO/P5tzYduZtRlnGLTavprveDGOB8tYnbeL0NxioKbuJAFMokKvaUfnKv89Y/tAu674Pz&#10;zoPlBzV1CqjxYtZLVaqMM4wyFyoPTDJTwMGs7gYm9CseSMkZtvA2kLfv/qloyTEaPKWElg2bRHL6&#10;x7470RsbPQ5KtrV4nhUqtGtZXdHXLV1hSV3hxkYYdq0uONay2pqyA7ia0U+KDKqAlTHLg/MvqAdo&#10;t1r2SQWPuciAtnCXQJadAa24YJfaUO27LnemG5y/Ek2BlgvQLlG8WlA2Qza5kP3s2kquVGqm9L4z&#10;A9NuDdiVLZv7Mq10sQcALaRfcKdgse7i4OixAbzXCwaILccEDVCbI2yIAm90jC+TjQt8rRflBWr0&#10;Uwx1FhqMVhaaEoPdVychKtBOui9cBtkXKitauiAv9uNMchjVupzNesVFwVzrkLGIEf5pa5sZXu/Q&#10;zPVJ+gCYc6FoMe9DFl56y9qnJ61hMqnWuCe1NrEK704pKahUDdesgxG94CI9ClVU6+ebTcAXuacC&#10;p+QS3qWZ5q5qKC5MMFrMkl3h4BwCknAhpoY8UowWfDnn+ubq4LLxfILRgNQz45iKVE2onyVGfTlu&#10;VsLHbbp2wBljtIa02cr7D7eitZuIoSnEvpshTuMA4tlasmg4k1fdKikA1O1lzF2utzV1fVIKqel8&#10;KkKZfs6YxVdHrCs4QroOJNyQKW9too9M9eFkoeT+Ajfcka+drkmMaKQIdrCGHMDX0RUHm3hshQkV&#10;r4Zmj+PAERMo0wfVI7IpL+OUClmH499cD7ZkLGq54r0baKbNM48mn72Ac84RbH3+No8O7UK2V6mV&#10;0otBdB6nC0IFdzKKTLmpHeM5KTx1UsUvZVStrcleDwnDZZ7o+LOfG3/6087W16rTTL6v/OIdvnJw&#10;/Jigd84Wf/SJT1af/3x9c7d05sU73RGWUfvbO7SiJc8y9ye6qC+Vm++fmT/qMWr1Ci5FEsY0LFkX&#10;D2Mpa8Xgeipj8eCHEwgV0z/hFoG5+hP5+EkHakDRsNDGRw+MKVNVD3Z+/yU7z/rtifv5scv/eOnO&#10;lwaSnSpQ3yLF1q89be/VfzKxqCfe+dbF/+fLkts7w7TRQ5oCo94+1QtTV7qcN1tvNpxtIh+cbQ5c&#10;c1UxMU33i7lUx1Fz8J4AhqVI5lACJ6thCHMSEsXXePHd4ooTYkBVMIFnMmGJN4zbZqIvxmgJhRF6&#10;GvuAOKkEQDO+EtVn7MaXWP2Je9oAVt9ckFO0aMPZ4bRVpdtM3diu01rtps70HMigMwnPuy6AUSYg&#10;T58JKOqpLiREdnSjb5u4N5ZUspWwf8qNPmyQ1dmPaiBWVxzUl4KiM+nFWvuzpsl6QKKzAmZeuVlm&#10;SGvzmmstA3aLljOaHabVp4SE0chaWMcZ98CdNSQXRMnUqwXW7qEQ1QJvn6We6hySHoD5YtIJNWDP&#10;ipTuT7iVfecInwFq8A0xUYCpEpH4AQo+7xUYkSfIDD+1VF6y2eXolqpLTpaGK+iOmfaCXqKUEs9z&#10;RDe1cFNk0CcYLjP1DqSuwYJLmzptMWXyLZJVB8ETqOHMcgEZOSBnBB/KRga2Vkj+pUNFzlCSOXTV&#10;w66J7T/qCk7o00gukk0bTwLgQRUYIPAwlSsW4U94sEGHnnEF2fgeIAtXeXlKrsGMdXkDaO0mjcyo&#10;U89Y6ZhdlwUsHRsntoIIdANZyYSbmyu02kiu3G26PobRPHM0lRYzcz9Vbodzc8f2m7UwMwN9K0br&#10;JZeqN4YOo4XDbPQLHBuVEWnUU7p7z0Gofq0iZqYhE272Oc4aFWddfrPpHRh7SqvWMLhu0EKcjQE4&#10;M9hstRvVmV6l3zJaSqTlpLPRRYcmPrSCOsiSJ5m5dNN2y2nv5ypOwaOtajSX1VIGJTroiksQKziH&#10;KYVFO1S6/TmLVsHjBHk1emZwaMnrtdMNvR20e2h1cQUl80yJCPVCF7g2Smx+W+wb1tNeuFJiXt4/&#10;uxtID0WNXRr90Ju8i1CHop3ZFlLDo63qDeqwpKkjqUa4OWxX1Kt3Q8mSI4m2yhTMPiftdkNnfZ7l&#10;CMB4SqjLzOo+s4w66zlLWIo9dckt1kgjJMSWuyeitICWVucxFr1sqehxFm8/C3TaRX9zSeMUcpZ3&#10;qF7VZ37KaiQn6mpaBEKaWBKVTHcGUrs39iZ5YUrrvoE3pAbp1XqNrtkNprcma/O0XvIvs2X+Md34&#10;9AWd1Nhcc1ZrCNVjDkj0LFG2+CznTIdIBD1n5C7Zevbc+lShA2gsicG0+EioyBNl6CTxQfuGQkuX&#10;Ypd2Gnaye/uoaCYFTp1Jh4bqUMaZrrfnUZYlHgMZhzbUBe8oaEOqphvZ0M+QLL6h9Kt1+chsWqBD&#10;I0W1O7xSu0iWpplWumnvn0Tmtnv8mInZ1HpNhpsUry31oX3XZMPOFjFSs0TPJSKkO6qsnKzjzW0q&#10;4ut1vavh7sPmH94bNTn8qQkFmqkeu2k7SlVcm8dg9Ecupj9TVwlHsMXkdj3JoOPqu0J1W8Z6Eyjo&#10;nLplQhDOr44zgXfy7DKjk9gU9yAx4eGMsaghuFYjeCEy8cxD/pFRJae8EmWAzqSy07cFitEZCIct&#10;c0GXWY07Cz+9rmaWg/dHLVOurLmnBtzC+vvioBueVI7sjjyvHIwmPSOaqTQ8TFdLzN1VPAeAdDEd&#10;vmG6Czuz5oy9Esm2pyp6Jp+p7MXMaN+8gMgEpqm5Ny51tZcqIffypvEJ+DKvQXYKRm6la5YAGZSx&#10;m7cun4m2X3TCnSE0zL95epZQgNcNQDU0ZpKRUhKuMZteM6vovE2ClqSPICYnw06WlizSPjMo70vv&#10;lZopuE3jXcxdz3bPk3ckmo7JphankEFWtD/RpsOSQGewLrruqREXZqKNRR16lQgDYKM3EDMvYnqm&#10;zJg4OWeeRuJXfOBXFca+59IJq6o2J9H6hNCgorTFZCfECbM6d247owgljLIEfmuGTHvMsAIFD1W2&#10;vvrSB8OiwDraT6/wYkmjzwBQX7RBj75EQIxRecZ0aC77WY23Q+zCc9HDkCDKsDMoJEZfCxYwh2fn&#10;DaCUh2fX0pDI5LftIeAW3u0yMKgn0WKFD1vhKYlH/cER6lxaZ5aZ9jH3pU5/xojA1jgHCtRdw6N4&#10;vlCtGDoRF3fR4bcWubGMGneh0mDfEfiCTuoVo4MFfFm39o2UQA2sgU1r4DnzRc0TISMK1U2Uw7Q3&#10;xSA6c5Cath7Z/UPYOC/4goJUwo2QaWTm4+CTUS+8sshvOGq865iVEIp0CW15MFrYP9DYkydv6wmt&#10;bMpFHKqp7UDgNyBcnC0LebCZMT4KL5cApMr7M9lqGysYRJOH65ER+X0PgmV+UQ6+XwteWbRIn6Wl&#10;apE/8JP+Qt6wbTR4n6kFTVlUf3cARku3nQo3afHiF1GRxXlaVl23A143Ux0cVPt7+AG1dL6xW/ZR&#10;NOZQe3NX+bqmc+vwBangIDoi9E5mwKsNoehU2H4sgxSDGDLZ31vY2V7Y2437Z7DjUmQddvl8O2JD&#10;iva0XVXkS+6Gv0a0oUb396vNzWpra2F3F00KOOVgW+g1ntMcvarcK/E0Uk1/b/asCL2YkGh1RNF4&#10;Uhz/G3Qo3JnihhHJH0gMqoeXP21vLmxvLSBPKMpEPWblJybRaRu1i/oKZUSqqMmjBqbInRsb1fa2&#10;vDraDBEu8uoizrRp+qgsS9vn5mkFdffXPxcKWkZmNbzS669DsNPiSmz46O0+sCU0gBL4cnNzYWsD&#10;v8BLS/TNlPVCl7zPXstKgu60R3Wk3W6KFPmiUro0V5oGLfv6aRopssrO8HEonWIGdez27DLj1SAL&#10;LHtwgFzLn4P9AZhysOMAUAAlmC3/7m7PmsqkMxC8Nov5tX3/nN1gvxqNq/V1nc7QeQ3OMmwnOL1i&#10;YiH9L/3evxrTSzVVDt0w2loEP3WEo3s/VzS/jproucdIpbUqPgEUkw2b+jaxyEYAJS9BxlWaj7ja&#10;89OVVKiXZeqlpXknngVGyQHV2KcPrzYIn42W0rQlKNg5/oJ/i4hpeiyll0IDcPoiMy6m2oWRO713&#10;gH3ZCKZOe72E65847wdtPeOscElngVGx4ByN4oX908fVY+0lHmfWPPaaMb0yM5g2doZuMIHXxcMQ&#10;Pni1jvXZ7IRFid0ybElVNvd+FDddj5uJkD0ymRFGKQJFoVLjUT/F3yBQjboK4+LMvjsqpTiCvA0v&#10;FDazpjBXbpIcKQ7K46QsPMLRZVRajza7sSWdFUYdH4RwaV9oYkM5hxYBIUQT2XYCSjtaOiZra/H2&#10;gtpy2D/Q3uuq57izGIRryzS/Lo5tXRhZBmbB0Mg303B9N5m8A2nVAntZOJ0aV7RgkNHfUe1mh1E2&#10;Wjx4YouvU1Bd1U1DCnbYNBxr60/lbOSChpV+4p8WLH7XsmvSWXl9JpCSvCoINumLqUUtNHXMdidE&#10;lKcd1JiTLirsbk/ESS7rIMutj0qVJ8wHlzlMe1UX+z3hrPyeF0bF0A/QK+XNRdiENfbCCHTZMKh0&#10;NaLHGKZli99Hp3NJS26IQyd57WzfPb/MpWwH1OkNAmc2q3w613eGPEplCjUkS0wcTMs1dGcLbmd6&#10;DyEzzyhm0xlOf0+Z1dDMC28NNIQXSeK7JIOFa+vJnZuzKaE2gjXGIYBtci/B1WTWGGWQYqvAW3vV&#10;3JclbVBRfMkjUr8H2BiV6iVh03wINVlLTwlQUAe+Z8JGk4RO3qqSPmTxh7Acp8Xg9Ba+BwJngqTe&#10;Ana+YTDe3emcuHNC9S8qmHCCuVCJXevtQSW+a2eKSvwz7zbQd/sjCAhkZFkNdl4M7wt9bme504Sr&#10;j37k4m1vM/HtduN4a1vddV0vRo4QsSkSKmB078/fNPq7/zNxWSeufEv2vtBIpehx6AmPXz7Xhui4&#10;dTqD2iesL6KUnWvu+WAUK02P4eFfB1NuAfHP+MfEMNVKmOLDl5Dzzov/cBqMToyYw7+xF0Y9KPtj&#10;lNqvG0xngtGZ23ojS5s+UaNv5qy2ellPS+ysv24+qaXRkIByAo4XDx8rZ1OJM6x+zryHV9G5YZSt&#10;MUVYxDdtjkbV6dOQJxyM6Rjk+KCKKEpvNs/1xotP9mvtE5DUHNqqvW0GUJS84zAbm8HDjo+WaqND&#10;V4KpjmQ1Tq+GP0FYzqaxv6QPmNKiIqXTwKZuhfyNEalcZ/u0Q8zU3e+29owthWSsq2lksEKNqgsX&#10;4muJ/Zsnj4pbKL2lz6KTEkyj+WYPa1un4SCpde+hyRt60qnjE7GCZuhHtGl+/hhVo4923z+aF0kW&#10;YU75NZO9DNMATZmysG5opr9NCzfC693GPGeFYg4FowZTnhO0KZai5xQ6aLGrupOpfRdIpkg9K/R8&#10;1gnRnwf73zGjSh8WRnmk49EZJgNjL186ODvaOZUmFsdDNritSK38/xlT7IzaZ27ZdIsKza34Phkf&#10;Ika9WDIyd1OmEac2G6IYd5ED4AZMN/rIUx8YnNVpDxmjAi/a30RiU7IAJbiqrfrKEZyj9ov8yWr0&#10;ejhXdXKIGGUV+e1zXQBVVktFCwlLYHX4rPEGZJKUnYsb5VGOdeZTQ4l+TJ91ip1UmWd5fDRUi0bf&#10;HM1ksGarJ2l9BS8/rf844GGOos4IudEL9W6MOPWBTj8CTb3znFeFRmbsJok8Z3F81GyODmRQAzpT&#10;FMMRZ00xQEVgDSunfCgg4gg3m2J9lbFPM1w3XiadlPHa7jsz3sLh2HrXs80jDdP3ttqX7DPiS6b4&#10;HV55uZBiV50EWc1u0wMMTf+50Rr8NrglvtCZQV8HISHJIWCU9zswGx9MsVulr4wYKNOgZnglZhWk&#10;AtMKZA2mBWh+kUm7gWDCVIeF60PAKI8u2R8lR9SHmcr+IoErBFAbPdSENYMz8EWEToi9s+22eWPU&#10;kSiNl6T+0VinYVyT82sW8C97qDfGsVINtpLAXBMCz06tzW2Ns6jCBnO0n1k+nGdindsx5RrnpW/8&#10;hsGFF85Nuijj0Qc/NP74JyYuq7TG2TJDDUNLSPjJ6dvjl0+3GfC4sdqazl+vz7mUC56T83PFKJMo&#10;o5PAygXzqMjwOnGzdLhxSowe/9NXL9350g7lzCDJ1pOfvvfqP5k4owyj9fCJrxh0DKN2vYSqCTBa&#10;liT0mYymnLVFfczf1nPnLA7nJ26Qw7uxjVYOT5IzUFIbSx6SSPPDqG1fqIHh6MEjrv5ZooRD0vXh&#10;FuMj+RFP1Ilh3TG9M7phgk57VsfwFZ227KP9kabDbcdOpU3QKp3yPcREc6vC3DL2ypkTjyYx0eD+&#10;yhToOUOih9IIh4hWZtSG4yw0bXPCKGsixERlqMS6OQvV0GD/kof+DhlP53hxM+ni88CoWzzA3VY8&#10;Ud225BzDKcNkJto+xxF3hsSfB0atKn4zWCXPc4hEZaThanGGGmmuxfZvkMPurjPHaDKcdxu4hIVI&#10;/dUy11ZqyDx6mPKw22YWlbZZuM5bi9Q9nx+k6dt8LIMXgKe5C56fPm8fVX3mGDWzmJAoydS3drNo&#10;panzsKfAp87prM8g74UzajGN8OgyDNkaQaYeW4AxW4wKiYbXgN8AYqLRFj3nHJX6WGcP4WcaIuVy&#10;4Y10Fb4gaWNj4dSp6tT1Ff89eV118mS1voFvQrTlcbGks8WolGJL7kk2ofpzkkS5o2OLcavdUI5D&#10;rcoA3wiwvQVv/6l2tqvRQaAwtv/w/tjdnfGpU+Nrr61gg8HsmCFGzRM1T0Mnk85FTzTSlI+jHWrz&#10;ngN9ok0fFWweCu89hJfO0W6W+kfXXsI5erMXLk6v4EWV64BUfHOnO2aI0TpPlJn+HNB2SUR9V4nQ&#10;aFuDnKO1nJPYYHy26X2cshQ4wJEfqNBxVLzb0ng8vu5ktR22xZ0VRovDeRZCbf25iFPpWs49Q5Te&#10;0JDqCaRb3TqkAoDu7Lj3wFuEIaxYj545c4gFpIxPncb3UtMxrODtyFNtV2WTSTp2M/mj8MI5SqSk&#10;ORuVBoB2aKQ5kdOssm2swbStBZnDa8/1CeDoMR55Z6e9DiCujw6y4d/x6XXMRNbmyS5zzbVnLOYf&#10;phXlUTLr2j88ic5KtYebj9kAGTOdo3Eoq4bTXgzDIihLt3XTP74KnuYXw+b/8Z40+uAauac6cW5e&#10;oXqtwKbAxOCs8pXsJXEijIHSsOinOvPBhI2TtDLTdsluSplXKnNXqICIe85xKp2f+PAGBDDO9pwZ&#10;E6eA1ZCqcX3fcEx2HN+XaD6Mojb0XUEAe8glOhiLzJH80Z3thXdtcVMCEKXPc9oT5Tp5JjnrqbQe&#10;dRY4q01SvGC3lRigvrTRgTDo4uJgEXZL4L/0fC/vk1w+XGkCU0QqhAUMo3hnxY9wCCgpKAifMb17&#10;gd+/EJYzyUsZ3AnFvozXzAeeF8UdSr7q6YtmefKMmufsGzz1tlgOZv2HTXVI44eC4Nly3MtjYbgo&#10;DAo/eXePZGMvtbtmtsVYyS6geBneDBS29ZCX02ErIGsiLCH6mvug3uZJPd2oTcn6XBzHFxQvRodI&#10;1Rr1HA7pz8HG+yxhPy8CqDy1NgCAEQ9Gb6XSHmF+Jht3Rk4YarPN15cDiVUDZEJeBEqAaPYaR2tB&#10;yYbykP+DZQwm3uzloVDevAoxKtUCgtEXOp1XyedAviV3gHo1AAnQWpEzqt/lnQiylwyDkQOlOoRS&#10;hKqxJ9KVEACwKb2kA1maaJQe5kxiUvFPcWwN9gLWuIuc81xqG1YoUsPs6A0CoNOyquc96lIWrjdq&#10;VCy6UZS9wCNsPKNBADf/xIgCB0H6qvdkMTYVk2ipQ0e182waiDWw9rk70cSKF/m5QuKJcjDuXETq&#10;tMBs4neyojQ4ZyfSbKk7z9wZRvqyF10URmVE0V8/ljdIsd4djXvn2jNLMOaxMK4SIC7e7fM+B0yY&#10;FzGjUhsznXsAtWGDVtC1S9JEkWfYo8mMCLU7+zJtc2QcPPH7uXk/L2RWeTOlvp/S3EiHUeFCHbQK&#10;RBmexZ7H/oQCMGL98CP0pjD46FHjsyapql5aUvuwheEmFzSmg8nzmejOmVMqo9AO7wEKNbImDZTy&#10;nZGK0QDxTe316cijmmNx0JrXoR6uJFjS/eBtrYRxOEaj6uAAP/v7+IEvEOmddiZ2oobpfRMbHa2d&#10;tcGEDcxOQjw5cpYFCiasGatIp4ViNQfHD8dSUYTfqFSi/Rqf4n1oo31KuEODMzoucKcOmLJe700E&#10;f0d3BOWAdoA5se3tCpZmbW3iCgNY4gqrYCDGC9A8OIAPInVvr9rdQ9S247VBdVNotRNkqe+ZKaBx&#10;pcSLe1CpTovQ7dmnkxxNidrXXVjrFdTVQEc1yq3XOcI0cF7wG4XBgm+K8VKlVXtfOhGqLoyK/VHm&#10;CZrIkvzZ7hdECbQS0zqhcwFRuLVVbW7g2kHIDTPWaIIQfuyhYrEwWTBmip2IXOfv8JpXE6iCleMb&#10;owghT5k6Y8cBvnBMDVDOoB2mWUEq/lQaDC4h0ZwdATuRL8jmNry4I4Sf3LS+nlR/lOsGdwK9QeBJ&#10;RqxY6bhOHrx6xZwFyBSIE6AJACVoyoqBgv5ZYsdMLkLBjgGBe97s2B8ZUUhfxcvjdJKxEadA02GS&#10;J+5skYrHen+p/B0TwLSmwN6oZa4Jt1nz5TlJ6wejn8NUg6aAUVQTjb0JEvRYifwIBJFiRct0TgZ4&#10;CJubFVj20Tiak8VbOUbjqdQF0kL81qmKw7QHI3U8WpvtENBss8hWF6MuNjjWpRM7jsFmmrSLfdAI&#10;WDPtj7NQxuR5cFtHIxPugUyxrEYPZaHHOPbE4RT8H2eV0HPkZABQQFiQrj7+F3WMAfqUQJ9s1t0h&#10;GYtYOc4oF+tAXDUPVJirgH4Zsu3dsVuh3TOBKs6GBSGkT22Af7TS6L0INIUyo6FShoHZVS50lo7V&#10;mxyPxQJi/Bk+pR+rfuxWDfuX32WwuEgznzS9hE7kHpCo6rpQutBtoswxWHZ4JEAPaj57s3ySS4JB&#10;j0cKlXEoy03bchStw3Bqdi3c3q5CEjq+10bwtpvWORA0dcaOsOudMp7+lzNU7/aSu6XAnNHsFrk5&#10;YbiYFHyDxN97Cyc3OPibrY5y5nQZMFi58Gd1DSZTgUiH6EfuAM6CdVfvOyoj7W9gvjY26YGVUKxn&#10;4RqVZvUNLgNN9VLYX8wn+jcY75Xp2W6NNM9UcUgfVCmqD/YdjXpAZyRLgI3gyBqoNwYmrWMLZ5oc&#10;nG5CscLNcQZSOLct0b2/HiandDXz8soC8Cg6rbvbGBjKjwhucd3o1xielQb2TQ5ph0ZdWIgxjqXR&#10;An45tB+xqgCmi4UlBJM21NT3eUJU+y64NOLk835UpK1e30mnF4x6uLNlhXYoE2xr0X3wal5eflMA&#10;qCA1IUYZgA4AnQsrK5BmiJHLfYezqErCZZRXqAINsgCgm+i82kG9wj7cSeS/ECVwHdPPRigOGY3y&#10;0GCUALIbVCB07aC1hR5aG6BPgnR2FKvtw0g2NvKZBtOQKLPGJvcRKGoE38njrhRnWSCduJ2jtq3B&#10;dQSLNH/GgIQd+aIDKHYm8B7hjPRqND58gNjg462tMVx0UTO785hjWXRXPMFlCx/mjy2BxlkkaWfQ&#10;EBaFQVGnPiClmJYOsIB9qwzTPp18oubPbpL2V9EyyuwRA5qB8DhshdBKk7fZqdozEMVjW7RjIwxv&#10;J1OEcNQej+HSwtqq8RmMmWL4MdhtcGrYD6lgFL8PM0PRbSETxrr1GcfEoY+ooNrDAkAlSsqdSdwT&#10;r1oJp/Vo/k4NM3EiqWqwH8GQ9Mmzc3+uzxQeSB9fD7vTnKp27IHMVhFmUG5zGeh1k5URmFEsiWaO&#10;eCZSoks2gVeN4UGoamFl2WebPV/fKjbui7ItEdAImm4gGWOIRHGFClnyGZ0KJzLlE3TSpsgVr1gt&#10;6j440m/V/uEk4AaAsixIl6ivxkLOQzpakoGLIjY3xyevH0OgWrXZt7Rk2NT39iw9Lk5W4qPpIW5l&#10;4iCeNidfCSz+qBpB9BOeKY3yoBh+cjTCNO6mniaVTDy30Dly4POaoojcrQSs1qvkJkVqOpACmC5O&#10;rbhpMhBuUJ87iSK7qgZVcHH5Je2o8C94sdMc5jJxi29u4W4fGExs8kmLDTONFDmUrHWDHNUYPdEx&#10;OqM0IQojjaUFCINCgy8uUpzRjXNK775Rd9AhJxQ8Go33or14xLJHfBGA670Ppys5zX4o9SpjUG5J&#10;Bm+9byVuwAyV2T0rM17pgN1l4dEWQ8SRW3g8CsAO8bu4YboLJClFY6Q7/g7UdOr0GHYCw75Rr8xS&#10;SanZ63u/5pkbPGl0ecIJnshblIYeEO9g9GY8GEfBosTWU/XS/hwKGu/s6o9Spw9ebEogQQ+qwRBm&#10;Cp2BCdcFoEjXHEzR5641Z7+qsHd7TnGDWHYfn48JMmWSWnMvszGgNNwxIWKOieSL9ci/wPrv7I6v&#10;uz4MpwJYM/xMx+O9ZDYnKeiOGpQWeIDHwjwoAmXr8LnLhb7pigZPFCbQC4daec43aZRIFbFeLDhK&#10;nQvvDkM7dlP4nLnUrmxcg9hLLTNJzCYimXZvbVsvKGNcDxiJQ3gEf8+iMkbZPmwHLTwejcDuw2oh&#10;KDri05jja5p2JorzmSRVDSMPGmlgIBw22XNDGrfGWRDhccAYof/BdCRWvlb2rM0EgiobaUYSiZaE&#10;QTVLXRlNJOrLiX7yUtnDO8wNdUuWrE+mdOldzxoqBYDCMHZG+Axq4M4eZwv6Hp08JTDlwW0fzRkJ&#10;tXTH7HJDevUI2fhS1+Unl8AlHY9wgK8Hj5G1P3kGjWeAMAsO9ed9r6EGSoVSHN4rHVktuuv7mjiZ&#10;HyMg0sdYlsnoUM19AGj8QGLcRaI2SRpIf5ofhGvJrWqzYVKPVIWp8RTCNFpHFnSv99VgqhHPrWak&#10;I4tUtGADGpnWkDiXdDC6/jqNXVleViv+Qn9H49HGlvrjlNJPXLpb+ZL/YKmyO4XtlqZwsyBoEaCa&#10;LVyMNaGC0YoN2Ce4roX33vDm3Ve9pqOS8mRHf+Npi7e/WB0YNPEYIilOI/mboyZ11sNsAtQaAIpL&#10;EULFdl/+R/tvf2cHUT1Dc3I8c+R//MbwFjdTNWmPkuvKWfBzOBxedJE4VklhnLHKa8XwiUYkugpn&#10;cC7iOy7KMh8MDnZwqLe7M1haXjhyXHCGGI0OB1BGG/2FKAYNmNyEQRzBlDxYIsGoIDJsn6KP8xMj&#10;WgfgOBmpx243kYx1IhBIOo66DeThlob2hVwauKD5KjUQ2ooxLgBlbIm3lLSjE8BbJD6ttEbf3ExH&#10;yhAJGCwjT8MhtuBW/amcLC3+YnMT/pfzK6vD888z1AVJazDKsk+G0Tql12IU4qNg6A/2YZA3OHYe&#10;m8rEH3W4c0YYq4mjpYhfI52HZpDWEHA3wEZBKc5ICNrH9TIxylk1WqGW0jtedjMlPF2sEHD32/nE&#10;oAtACDH23QOUmyCYF4oG8iepOf/Ujs1qto8WEFXJdGNNxWd2dyvc1zMCJ0qXKb6jghqS1SG7Frsc&#10;+Ya/49FAXVLvj/o6KVEZYQGuHRBTmgj61OCcKtFG50EHEQEHRpWqRuLrD+eSZozYBabNaRqvKpGH&#10;vVsEqXVNoyAO7eNaypToTQ06QmZ8DHkWzrA2KJSYia4kqo3lWk0hDv4eLFjDWuDFFEY1sDIhuqi7&#10;I7jFePrIDQ2b0DmEaKMsqav0KeaICD0MSCTILMyCmEW2vmw3O4AGxMV84Osa929zI7SGsVoiVkiS&#10;zFBviXpJjX6JnZjRFuMnl9P2VlUYInUTOdvUKHHlsXROHI66yrot0+L4n5Tq/wGvBXbyznOqydvq&#10;0Wjxu3ShWvRqzhh8QsFg/IRhY2LVYEFcj6OcHN3xqimnYUnggchXw7xRqloHK0nKRdhSKwndhVp4&#10;wxoX6Gs6P3xaKbKinjurI6qWFvOXmTJI1jCgDCaeNpsjH1327YgGnYLUJpe6tu3DOM1cYmqZijer&#10;Tz2KKJ9EtUY281C55ckRKJ4UpdGweEIMwKZDKS8e1jiwEeDot/zlf82KMehDNg7QjL96ekBkNIo3&#10;ryipjY7dujtxK51B975objj9GZPTFsm6L4xdOmjnzqA60Vukg1QfjH5uQeZ+x/QGLg9J6HiwQsrl&#10;I5J2AGBfNm1ElneJmDbRJaUl7RBCwXCn7RPJVYwFDBTP32RYr3xgt6hCzaMXDuXc9K/8qyC286EG&#10;DTBt70VNimhZy9esc40xy0xvxo6h4AwchhjuhNJpjSM9pybEyVt0yEYdpXm2xna3ixFS1ZlSykYq&#10;Fb12AKbCvofxaHWIXH8K5slZG3ZJLXIZDWTqFBB6qxKiA7YOOelSBva4anQZFWjALRfps6lTTrIq&#10;u1vjdUlFlEkDJB6J+wZPUGCXNFmCZPiJG7tyn+W4G+0bE0ZOuqF2eolw7S1S6K3GKZ5Es4pFLeEZ&#10;FWK0o+gRDL21qOhGWzYDYnViwvShUunBPkyK4v5lpClyTKWv5/V0CJZqOr0EB8uslbWBd4IcdKlS&#10;KpbRrVWVy0i1G4vVqet3gWIjAfsBEyUsArWQhR9fU6w+DI/8gN3pPGVZx6yJzYkgkQw1VW+pCrW9&#10;IpQOKt5OQRlnBljro/FSE7K5D5Oi+F4RQqaDVOr5qdhmqrhOhlRhTHIDjCE4Q+ebMn+oNszc+wqp&#10;O1Hjejaobz5EyobbL8CLwzrtjeHSw9sLGAjWn1khhEveo8t/Iude/dRg8VWRwsrcGJJzAJwT0BOt&#10;SwwpYE1gI/MmMKonBtc+9rUb5D0zCQ3Ek6JEn7z/k00CeQ5T8xSQw5o1pIqCxCCFQav3TZWhpYX0&#10;bhtdSW416CyBIdFVmzJaBlV1mudsiTmFPp0pbytT76V/YQ2v2GxTHRYqz0uIwo1f2YqonhXWMjPH&#10;nZ+7u+dmj1Re5mbZCjfQP/40pLF94Dzua7pfC4uUwN5g7PiSJhCx1KyYVYd33O3zu0iEAx1M0wJx&#10;Y8jonHqf4vdb79Ryuc7yNyZO1TLW2eAegOtkdy5Gjd4YCZ3w0pRDfo2R6RblFG7vXqy9V8jYTp6R&#10;iHEjSpAdBmLidOA2M2VgtSYOtiuGo6mXgSGNTmfjmeS8TnU4a8BfP1WHoRUqHbSOOdOGIDC6h5VM&#10;ZPjV1gdLFFxMhACmiR7PcOJJ//PWXzuxXaIiYjOnhVptlB1Yh3L0ta59ddOSXnBaP/npxrrKsGmW&#10;Qj4aCvX1jXAT38c8ak0TTLlzUjnWHVGMd7FUw6GBHGexkrkI26qonkpdg4icJYCWzH2HFqGsfNeA&#10;qOgIoAmhsWof9gAFf1Q0RRjh1+dE73oS7AyWYKjFWqMb2P+Uf80HMuI0W+N0EZoEs3BC1bBlbT91&#10;usZcxAx30Eb3JOyMspTZqu2QTVQJavUStXpX3ix1ULuHrSqXzoUHySNz71xPsd3cDp4FnNtg9j0q&#10;UYgX27C/FZqHxknXA1zhurWxsLGBT2Lh1CZWxK3DF8gRTgOPKiDgwXbreaJBQ4dg1cDr3AwZFjgS&#10;lTMRXuqMZgpT/h2pCB7dcsRbh8Jmq5xdJWgqTqXEmiyUP2V0lVAC/6Q+6XxizcpXD75zVg6mpHC9&#10;UWCX2jqDKfWEaNhaZN9AM9xc+Nb4RGsinkpZh+GSQmIqbTSD8e2ITtjWDt8lLrzOez2TwY/kM2jy&#10;lvq2qz6fJ8efqVMOIVnpoeKPR5cpfflw5+uS1ELL3TCDJ4FKbRQzKAvSjHSXS0w0gjo2POxtJXzL&#10;AK1XVBg/idcUI9Utm6KW0qtmzayd9ItvuIZa1cCw1sLVUUTNeenf0Am2txCd5hkHXxrrkz1fz31L&#10;qyp76BNYB/GT+f3k8e0kD/8rsusyCt25lsJki4F+onROnfAJobQdpobPPClhVP8vYjJhVuEEyolh&#10;lcIxDqSojeIQgA2MBJFuFFWn+1L5xbT1MG3XUNQAaNy36B24dprEFRIlD7SW5CCRC22gn7q0JMHV&#10;cI8X1WxjJqUzXwU2sjzcfnkxZRnNZDnz7jFzPLzB70mmVocA7MjuuDoqiaYGKvxG9uUlfEoihEBr&#10;SzdaciPg2MXi0uMPZ9Jw9IRcMac8DzkDTifMx4p+XBcSGYUr6zCqnScgld5LsrqqmJCKufr5tWFC&#10;AJKLSJTfQtdd02eV8bAo1bQDr0WilBsjaSST080hs41tac8497TtKdsyHrgTFp0Ju4t2aYlEkDnS&#10;ePBg7r4zhih7AKfkwZLgk9O7C7tbA9wdhDWcimj1cGQi6eI+V1BuzE5xAlhnDbNcURa+/ygCy7Y+&#10;LUs7K4i/vIx+qrNXDjiKp3DKGUuzgKwXPaTaiVUt9rvspg6PiDQRRNs1lRLL9eOntvvy6xxklcag&#10;GhfISSCjIPEdPsCUbrVxPXEg0yl5oUKrNf6A81JDIWxVq/3d8dZGtX0awTrGKfKyjF2rniEgvhEv&#10;A0DxWWoFpYEzIDOY+2Ye9XmrClZhx70aPVvycpt6nBarm/RgfT40alHXmbuSaFfVarpaBPXNSNIj&#10;RnHsrPkSrlqORAYHU6EmFx4hmLqXH0DWzhmNBv7sLQgiCN0LC8vLw9Ujg5VV8O0ErDvr1d42bRaS&#10;7lofWtjJ316bpLJg4iMHlEVisZNxHv7ujlEpBx7YGyzzAJ9zVcRy3yt3IT2LKHXfoxySetR1ZWHr&#10;gd/6tK3BZ3q9rUU8X5qS/FwOJDC7UegOejU1k94oJi3KTBoGu9LSMmZSvAo4Az8hAMEq8jwtOHIK&#10;VkT8HjErgRUXcWqrpSySwqBd0xgBpd0oFJEGAtfrDFs0cmrCaFGBqMK1I7QIF3MqpaFzdoEsXRIp&#10;s1t5yUZc8zhLw6okorbAmGiNdGUt9UpMWcQlcOdiaZvawQkZJQsxP7m/qcq+7yeisOJ4H7owbGeW&#10;1b/ms9qIivkpcv2Ir+APbga2XC2vVYsrTFgE1hVmVgXrOoJ1PwKroYj1lClFqCQ0PIMCGg5XsVh/&#10;oy8op87Jx54M43cAzzK3gz9LAY+W4gMxXHHuEawF0ZScUwnUf5dtGWUSD8Uumz2iGkInfXNtgOfg&#10;YeXilj4N9YC82vgv3M0TS/CkMmx0A0vB4WFlepgL8GmVLRbFJYDIUVFKD0fhaXGpFNZbuqZPzARr&#10;eFIvNrEowRDxKzQIIdyH8I8uddVeFRKQcKxVER8Sg+dG+3mHA3QLz2S6qDPpgV6cCXWDqRwwpABr&#10;WOJJIK/vsqE6qA+qGT6PGi0PaMiARWVKmgijWChsdYmveUgwKvkGyEqgC/tKMn0Vj1KdmlSPWgM/&#10;nq4G2Rt2GrA50aVmjOa9KkZ/2hcUhUeOSuSOwKQY9b1UegA3Z6nxmYu4TtqHWVeYpyBVupOdMVwa&#10;mvgSZ3XsuEQiTVMhf9i/Ltpm0YEVnjcaLiytDBaXCKxAwPVYFUcEAbOA2zHR7uPNRzzSmByjWEdw&#10;LOBhbeOolES5AXTpg59QVnsUb9gUtUzMNFKrQf6KiIlg2HiTNja0EL6tCqnU8WiiYKfuguYdTcIr&#10;MpixkqGe5Cck3Mj3DgfCl2xlilTKBSlxxsgWNgVDf+SIoMuEp6rGv2rAigjGh+OIWSF2vqQjrASv&#10;ZGVBEHhbLNc9imYp3Qa1uK7I/XliHpXuDJ0DCFztoDNVwtNhIgR9D6BSItoQKKE9UhUyCHfXhEq0&#10;akTnzqAmBzIT0gYaPto8h6xo1v+V+cqQj+043AyAgL/e2oplV+MTKLTINOz5MI0i+CRAJVEUblqS&#10;XHoCdzYmTOsbDrXwUgSYl0kOy1bvC5jFnUEds2JR5AaQ64VPycEGOIvLtEROkceZgybordtSFDsJ&#10;6iCG8lnwIKpUZ1qMYobQighT3XSJUSh/nJ9KuHTm3pJJewgfi5wDeIxFZvMYuL190DJwOp3llkZ0&#10;EkyZtIK9sDwaMOov6XegUmhFBzRtwKJQOUxjjJLD4FzM4JWyW0oAVUpLcIwAHy6A+5EUwjRnhtsT&#10;IqXUHlIDVoooMVjRZ+X9b/keCNcriQopGU587UVg6Wf07m4Yfkzqj0Y5ww8IenFHSTCKZ5Q49bvM&#10;eyCzll0T2vReYg4Yq5/9wpFGrDJGkSRkzCTkFFnijgBlGmE0wvtcgEq1aGmPfNjEWiy84SXiUcMo&#10;YscxJe0GgCn9SU4TztBoCQx0AaMuzJJh1LTWDlYQTwdYKKnawDBbV8SoOCfOUZkVRll0JB7oLraj&#10;SUqoNuonQg1mLkUqvodJAAojJN3lvxFUs77IPErkzWxKDR43aB1Gk/POpICUy8v4Sfp3yJe/kRMW&#10;MCp4CABVUDIQ8Z6UJhWhmRsgVIgkSp7olBjlroel1TMrJFg9QqsNYrbyAAjYd8Sv/vRseDTSOfQY&#10;2AUFGjhgVGgEz1gYjyUW2lVV8fb97K7wDnVn5iBDCUMlcUl14BwJk8SY+FodQBl19Be8wMR6pFhh&#10;NAa8qnvnig9GnEyzOEjO1xTfjs8oiaolJTq35e2arXJjwG0rj8ZSUkElsA7A64XBBb36NaIn1Eko&#10;JHjY1FEFozOy9QUgQQMDWGnol4I1gilBVeNTAFB0Pc0qnRmAsoJQ3RIitffSBnlygFo3s0Qxg1qP&#10;BTcGlua0HwlGSSr9Y56hjJxyjJp3wi3Nxo0xCkQuQ6WERSV3IuYgH+giGd7k0I25hPqYgZVfxoAw&#10;iFw+cX29CFIL87MFCb3nQtt1yylobm0ATs+AjLUMgOK7aQjlRlFDjH2eSfpMKoe03x7Mw5saABpD&#10;Fn6hR+SWU9QqlLAlh/+ODS7lEf4cPtRehcGNjvaE4OklnDBuC9my7EK2XRu3JR3DbwhzV9XSKhrG&#10;SI3u7WFJHxEzyzvNh+DP7G19In+1u4kFLq/AKE+nXnM/aEbKmWU2uUvq6SUZ6FDBQePe4sdsKskG&#10;C/RGYYcVtu81hxIM383qs33ixCU1i0+4pTscd/JPYLJVWDuChxaW8pii30tCBbqEbTzq76WxB76X&#10;gkq3R18ibyeWiO+WV4nil7nxaKZtV8fcxMwSXLPLy+YkuE8zQphc40L4tBzNANWkOLi0GV27uaSZ&#10;BLpMnTRUoiWlOmZiHCtAnTj6FUyZArRORSWARp2Pb8ylVL0ULtENYo6kKmHaAr+pRpI8woNch4PR&#10;cwWUMQGYckWTxZYtjpySlDXVh9UVBlPpAHXgiXDqkBTb6IQb/XQOfMc1IpMe0zWgzCbKsCPgPFsV&#10;78SjEvmlXIeD0UlVc8bvs2kExpDr9TWiFUnUGBavVle9Yeuh91//9vutP+i5uAiIZ3fZfgeqLmcv&#10;DdesFoJmxFgwoE4WjhRyUIDXexyTtIZoTLtVwLoVQ9J6DrXuKrbrMDBau052kjof5j2GGOZRWBG4&#10;twuvN6bPbkXzf7E4Gduk7DgavfnJGz/01P33/8f4E58cf5relgETH7gxmJvKSu5yP/34yIXatdxA&#10;nLw+n7wC8HrB96WjKJ9VoTtX9oexH3pyOfIXfZPQM70ImiB9dnmeCDgHocqkSADdv3r/OT+1frd7&#10;nr7bN9Lnm7Yuv7bY7AoE3xLcKHBmb/T2K8abhBt/QGwLtzyg59zR1zQHTqiVKFZ8Yn1blQzUJRtN&#10;GDw/CTPxyKwVVK0JpkVGWDxkHSr0m7q+I2OAudv6udd+Wu013s/g+NQ7tx/+sK2X/SNxZ91RpKG8&#10;9ieGl/3akQd/aZ4LDH4HuAM8MgsF4IxunCGkDsMvK7YtEgiX9CoSeigcl/ZCJhABBfqs4cbaRpEL&#10;0fXWFiSJwyfufvor8+l1ZtaLyB6P49lD8kdbqzhXkE2beTX+6+duPOgX9v7xZJZTg22su7Sy9Asv&#10;P/707xmulRLwIB1elQnWH2cNZFlgPNkWooYEVh380uoCnHGAQ9AJRQTVG89mtWB0RaxOP6J7p9Oi&#10;DCuztz8mSqgFytx51KrX3d2ZTiOzvftg/DdXjk5O/FLkpNKLw9veul0P9FY0mM7Avxwm5LXx9Je+&#10;8NUR/uVZDzhg+grQiUsdInTClVBiAQZyEf+JrraL2U3Rrg8EKk240/eTXMT+z9x1k8xSBYvV88az&#10;L/nRmw2Oxy0XfiUWqqvwQm+oJFaUtZD+RPcU34zFBQQ6ZPcUFr/B+zfgw7se1Rw1lMjp8WJWq7pq&#10;lgtwvkjJuZDiKU/JuADEEHv25p7SHwKPntvGnrExuMMDj77mOSu3icc6ocmojrufP3jTS7cf/9jN&#10;h/3IxoN/fPPRj9/+ncv3/7/rff1R5zEAmly/BLFSHEFCh1BJfkWbTl5qwP+ZaI++rBylPwSMdiWV&#10;szTd4oWLP/ys46996solR+slHFf/9OrNBzxg8/Ev3HvTuw/+74dGH/y/B3/1tr0X/frWZQ/YfPKb&#10;Rvh4orKlw0iwMuEkfUt+yjwnl58kcPQUQZHOh+0hE9ljEvXGtk8zhFz0rqwDsOPhFsEl+csN9R3n&#10;kGL4fXtRHzXNOe3K4qNedPzXvmPxSFYHN1Ct/v3yrUc/9+AT8gRiJNLBydHrnrb55LfRjJIY1qI+&#10;ZJzbAlaDqS66q69/cS/UpINkbugc1FnuADkoa2E6fx49E6ZlhpoenH9eGFZE4LIZ/K2DP3zpwSmu&#10;59Lgzt+3+mtPP/KbT1z7kXsPj/ENo+qK39v9J347QrIkNtVOIMlg6PVbupqWZ+elrpFTGNFn0WPo&#10;0yr1ac0OtCUhIdOu6W/KnZSQev4YnSFeznBWiY7ZL4Qnda46sMjUl3zf0T940toPfOfK/R64+kvP&#10;Ofb4e8tIZnT16O8/qXhyWCP778yd/WasZvDKYWoTVIxX/PBd9tu+p0EmJdFwZ0Ogs073HqY1SKX8&#10;5Rrr0GkyGkXlkmPqw8HoOWzsa/uFPRJYna42NDi1cmRBhlWg7uHwvo87+vKXHHsFfH5/7btvGZDj&#10;Mw2oCi6rG98bsTo2LWDB44xBmR9h5C+sRT2itePL43suXdKcXHZxuCY38cREYPyszCBJQZ55rx+t&#10;xtsbuEUUxO2GtNb13D0O/nX7AT+w+xF+AHdp6cnvOPbgC3F9++6Hdi57+O7HeA7qyPBbH7LyHV+3&#10;dMnthre5Ka9Aj2dH7UysCvylZ+i7/aEc6JJPYyfr9ckrNiNo0U/Gk5F6Y4NwwsJjxiGDqIAC5FkE&#10;3fnHb7+vFAwpcmTySbo5e99Fo8gTXhTVmMKautyERRz+bVgJepPl6iVL97a5ze3xO/7nzmMftfFd&#10;9z19l29av+yRW8/+4/3/oE2HfDsId2LLsC5wAG6hSlvZEB5aytgU87M19nHlOXNcVypPhtrlwGbC&#10;W0VoiESubym025RsbGoNrH2Lt+4mJYRuw6nC4A+neMMjBqozeIZDytVVqG1itF2XnosPp+Mu/LB3&#10;CpR7ACuGaEcT+MDSIfjs7+FVmSNpNzdtpR7+ddQvrYcEmK4tPeopq3e/SSrE/unxv7x3/2XP2rr/&#10;gzZf+eG6SgYjTbjhZDi1KZbfmXjGeWQ36ZSA1Z4DC0UlZot6gj4tNLXOetpEqhD3ynCnVFe9HBYw&#10;tbbZOxsmE536LMJuZ7va3qq2tnEPadxm8gDDW9IO9JwnGEfanQZ3oIT0+/vV7h686AS/2DvXJpPh&#10;kO+iXi3PY524dO3Ff3LsqT+8fOcvHaxmLv7e1QfPfuLOeyEyFQO1DFslV15gT3iVmoUvOVLLlS+U&#10;IAxap6xGvsgu5jCtvx+olK0Bsa3c6UnVmDZVU6bQXoSK5VZIiluAyy3anJd29eCDu4SbESkohvhI&#10;RIftVgCp5xBYpWpEqKs3X3rQY4++6o3nveddJy7/g6O//rjV77/n8Dydlzr41P7r3yOmzWshj0Q5&#10;DOnKIKPXGJqBU5WLhWLreNQou7k39zNrHWDq5EEfmc2BrSjlDJhBg1Hx/blmXN+KVEAnQApwubmJ&#10;LOjeWiK9JJWdnI/cEY0UonKDnwBIxYf0J17McVikCooa71fw2qvNjWpjq9ofL6yeP7zDXZe/74fW&#10;nvKC47//MBwochf81CdV7wmbZpiwgbTilf41NjWkMi25D/8MZ+eghD4ALjkDtERGJCR6EtvO1fCu&#10;sFgRSNsYe8rW/BHiCZ3QJMCd8MVl3E0lsT8d7okfDKJd9zF/fOjnrEZqddWL1+96j1N3+YbTd/2G&#10;9V/737K8gzv5rW8V3rKqi+FLWirCVOgFGo8ZRvxOD8KMOB0+dbjSrVWmSdWZStVgRtZDeLRgZLTD&#10;NWJUAKioAnQCw8F78hCd4aUzha7FvcLjD8Et/1NvYU71jxCUeii9GBKRiksq+3ThWOXNd06eL5Uy&#10;uPXtFo+q63jF87b/57tHn4dXCa6P/+Wvdp/6SjAGdCwOL7nE6CMFBFvt1O4HFpVHkWXIxAMqPYRH&#10;Y40zGCbHXWJzE+Iv5NsNppKPbPNhMgqboi5ln8pY/A4xfEIqSg3QBPpkVnOAi+RTxXLz2Z94uKZd&#10;R/05wavV3XLE3GjPdiRv3kp4kqNkdEI+zVfbyzv/XivffRtJtvvx/Wc9ZuPe9zx96b3WH/jzu+/8&#10;tJw/dqeVy74maKMu0xJMHRjdbYLpGKx8XZtm2nq113zyFLQuljZalCrrkzC5OxhiT8XiFEvoHa6v&#10;o4OYr1JUpyjNIGgo1pWFlQPH86MO/rAeIOM/CvLg+GNKQp1cqU13nlj+hd9cy2NPdsvR2y0//ekr&#10;F8PuIOZv1WSnynEq424aok7mKmEWnuByhdevKO2mh3ppSxTdgUrjJmaYwm0hmub9vZBfC48SfW5X&#10;W5sSMlDPlhQnkqrAbjyfUWuQrs4C8Spd1wLUOCH0i7/oLaZo+s82D/W8S9de/rpjT3zQ0sUXueDe&#10;cOGi2y1d9pijr3/V0e+8tW4Z1AkeZew5RlWrqae8H9WphC6JGp2FbjCtL4a5DZ44UJKLCTXciA/k&#10;wg7QNQc6Phsb9CodGX+J26X2hCbbKJxA12XujfUVac3/ZAdAUZzP8sWhq5gdxH9ljOL86tl3VKeu&#10;Hv/nqWq0PLjoZsNbwJop2TuEWoRHP8myOmvtknEOFoWqSpom58u7W6xS+V9UMi2JcjZRg6fKLsmb&#10;QLeUJMmGiFRG51Qzq4gioRajMCqqNtYZgXaniayKkJrEKkswGmuQpTHZE0Cb/FhurGZJqXfCI2a4&#10;F3HTMxJnB4AVkaRx2aRJt69FTdUtBKX6EqatU4tV0SvxMNQReMQCU2mhEaNxpwhN50rsgNHQGeKH&#10;8gJIyhitDkYKUMV10k19zQ2hCSnKT4dRSanFJzeyI+FXHbi+HFEv38g77MELLpLmmapV5nSzQ2KY&#10;buGywjDdEMmtz20WiFMwkfR5Q4q7ezYkajkLcRdU00alnTEqSA0+TBg+wvuZMluPAF0/LfBA1ouV&#10;QmoNsBAprG/XmPWILw2jwhPMmAxQydnFVyKSZnJRrOP2wVAZDKaeK4enTfsuPhmrVYgz8Ivjq2TE&#10;Wdc5Dw2jbVTaE6OSnY1w+HeKUTTxp09Jg6e8qOCM+lXkeopnGvmjDTzKlzzM1alVyMnGhV7pjp5x&#10;U2Bm03MJpkKf0tmlpnUDlLiVnapKnTKeB5lLty2hrp5N+2PUCNW6KoyrHI/iRgLXn8KHZVMzbZ3a&#10;OfihfO8P6AAK/3UQFB71Z/R+w6iRKAO3GLS3NPRF3ptzrsLUg6hhEN2hoWdGnK24rhGmBqYdRC+X&#10;6NURrCSGmU7DIAme5racNS5Q6Ouxq0/jgWhxoDdVHnyJSPKGEWfljVklFJVUs1BrmX6cYiKqtWXm&#10;nwBtWs2noXAOfU+MhNZqsUhicpv8fkRPmts0YlHBXDcXPK9gdUh4eQ2VZ6WyBPYxyFp0QOsRixlL&#10;HTyHyJvFRAmDBnxHzkDUGJQ3XOZ/EaaRxK3aP6cTWPOdZbVoMAaTSCrAFx6FxciwZaGgxWcXrVrQ&#10;zpJ2Gg6r5FP01pF8j3LfGYH+TzImCD9jtrDuzdsZYy5g92mh6o3hmIag+umnv0L739EmEe01jm7o&#10;+oaOl0uLERCU9qRsTKdGpai4NnPrB2HsUBK8FKUl3YvFdxUpeQ54Tl5XPnsltSnxkK8fHkInrFjJ&#10;7k+YFd1GGN2A1yrI+jfxQP0ynNpGjy4wPFV/jkHla0SlAZVFXwpPGlVy7WwExoUkMvFPsPhn48zT&#10;NM1TuPewITppnxekTnq7q/kQH/CA9fOMrmQfW6HFuJjcMSVL36K6hPxiP7Psjwo4HVgFuwzTqEDp&#10;WrGHPWNwnBXZHTZCp600e4HTHcMxkqhm5JbvabZcgP1N8Bp+tgvC6pVwvfxginT8G9qAlgGQAyFc&#10;W2wemQ+3azp4mk4rTXefUZQ0F97eBhOrxTNT8r02TxmhTA3TIb3PKgakjuAFnCKSnxRxyogliLQU&#10;rLy5AIE/3Wy8Wv7I7uN1MeEMU9q82OmDqFT/RKt+mzDdoZEk4sFZ55GdOQKhg3DnXBJSIz6TXMun&#10;Ofy5knYHrMkwFisBLNGJ581SYzkQKfIcS1pmIZnj01AUj5OcOQ+pZI9tuWwiRG9RoedMaqYJubYO&#10;f8H3VaHYF+eAhvfLzzw82ii87frUNbB2cGqsz7TQBjWYSQQ3buLzFHuSO+kMNU1TZWs6RIt+jJCY&#10;PwMj+mqTRI4sVRZ7nZSL2BIqawpF8sM6GSMGanSd1mOxoZtP3bAzy2DuEGyVdBY2pBt+fEl+NUZs&#10;wSeWJxBzm1IzEo2tOdlazY22gsMfGahZs1FZFayGFoMRb5HQ2gpfTHA4GmgxwsaWxqNx+2ostCis&#10;5p05wmmhqTl3QHKW28OLJ985H4aj43hzPlM4cg5SerD9eqYY2zqcZvhiKc0aKBGq+RB2K6RKVrVl&#10;8MaMvHNG+ImO8LPkA7qVqnGQU/JwUPasSv5A8LaNmm1DIAWxXAncbbLNfav/w8XgWdTZJrawJY3V&#10;mH6ftLzyUpAlE6HCbDVtElCmsmcmXuJNDt2CQSNFGrZrAfzwiRdevEjKmN3ZaOwedrIKWTin4HDB&#10;NJvSLKQw71UjsxF35rl4Qm1YHRy6i9rfEliN8aKxuKFJhTfcFn3UaFge4dXdrx6mLW5hHOu9JKST&#10;FIdNHJwqFjlzrfbNkFohH9XJmUxvfbOfb/qOVNoxmQ92pnKDmij2VHPYGDhufPuV6lHXd/D5JN+y&#10;I8ApoSBOjQOjgGbfhBbqL1j12grYY6XzbbA8d2WBWghKZLcsV+eWPexqReUZOhq+MFTK9Sk8x+US&#10;+oC38agnV8ZTmHk02RQ/BVxHjqfc4JxNDUsqGp3zSXeieBoWJdyWuo7JWEuNLlsEPP5MYgUzaNc8&#10;yJ9iMdR2kuLOTt6vZ4IQcrbYc4i613JKOYKtkPYtPNj/7NVCe4QUCTsyaorPLPLdbOLZkjKY2UdM&#10;24+T8VadfGPhrwDUkN2lkfAe63fKwhK6NwlhqQxuhoFviOt6uHs73FJd9a69939eBLnwq5a//Y7n&#10;3kMrHarZIUmxzcxAdsggSeLyA4x+lvHI5jYrSik54kTuOYq2gFG2zkrBAa88yonRSSgPc/Hwc3zN&#10;wRuvGF1PyBscW/y2+y/dCtYxeYn2R1f+ycEnGXDD4d3uv/xVx/Hr6DMHl1854nUHS7de+sH7LK6K&#10;KcCXF9ozT6YFeAbqPW/c/8gG9Y3VxW+5bPm2kyyYqq5+y9YP/sr+Z2gy+SZ3X3vx89a+9rz+rXHD&#10;uGPWGHVYJIxq/l34S4GcYJEY0vx9R64eygRLRY+DrCB174M73/2Q3Y8SBIe3WnnlFUe+YTVuwO29&#10;n7zr9jt4m6/lxV+94vgjvgS/7v7t9jf9xN5/0vLClXsf+Yc/WAGoMNMDj0KB6b4me/tP+a7NP/oM&#10;1eX85Rf+1bFvSwrqgJvtf9750UfsvG8dk97iXmsvfs7aHY91uO0Gn8SDaAoeZT1RZmFc3xugjniN&#10;VUPGri28dyAJuDCJSdWV3FWipmanPGbvko6v2X/qLwpAb3WfIy977hcBqq3gR9rNHbLD2JAyE4x2&#10;ggMikbDt/wrYm9w4i3daz3BjCiJf12lctaK4QtPKmcWbDO/935buS59vvXS45CvfqWY9yQ1chdfu&#10;/cdFi3f52sV7/sDRlz9n9ZIjPXO4MSSPIpbTVBhjT5Gr6QfXBh1zMSOAOl+RURvyyiFrZKrlCcNp&#10;cKIwVDe5ePhWfyx9xeozX3Dsxb+Ln9991FLhvZ6zRepweI+fPvbaV5/401efeMWTV263Mk0D3Aju&#10;7c6sZWXYe0V0oMNcFzzLmOICg7qBUTSsMTRkkz+eMP34KbBrjiSmbvEMCiM6qdTu+JMfG/3bR/Hz&#10;sc/hvpbJUW2OP/h3+2992/7ffmi0WbsrdLX+Wcnk3z42Orm3AO9Duerde6/4w50XvnT3vZ+LO8ne&#10;+KP/uP/Ot++95cr993x4tF6KG4QbxtVn/nn/yrftvePvDj69iae3rhl9lKSFgj7HY73YfkCOH3rv&#10;/tuv2Lvi3fsf+FQ5LDFeH3+MM/no6NM80jyoPvPh/be/Hau50RzK6CC/StTBJJewxSPpCBtJJBXu&#10;qout8iU5Bgf/CWOmbjQT/EoHaIosEcx4OkCH9gZ0OAerkHTsb0Mo3nOMx/BSERgzfdeDw5jpj952&#10;5B4JRSVjprfRmKla2PvAznfpYOvYtx/5h+etwCtohdr3x+984fYzXnHwHwqFE//v8k8/aflTv7r1&#10;qnTMVL3hZ0497p2kmKXFn33+yieeu/3Gj5KIw8FD/uC8p98Dsxx94eBVL9h56VsOPs1vXaJj+cLF&#10;b3nQ6mN/YuXLUw6vrn73zpOfuftXn5AHxobHh/d91JHv+fT2z/wxb/43+N7nn//b/y1ktfvxvd9/&#10;/u6r3zW6VnaAxksXXrL8kEetPeq+i96n2H7T5l1+ZZ93Pbz00cd+eH33eZcffFKlWrvV0kMed+QX&#10;vmMxGQ32lL+EvtpzFA+s4HUxuNeiBItoi+PhsH6TwzrshfFW8u6bElVJfzDzbQFRdU8ZZ9Hhflp/&#10;ilwKvEF6So03WjM94Ytp7eHj8Tueuvmo3wsAhbvX/33/mT+z/Y6Tjdofj//4ydtvYIC6Y/Spvcc+&#10;eONpl0cAhev7J0dve/HW9//Y9nt5nyw5qi+8a/thP7v7LgUonB5vjK949ubT3snbbqbHxj/tPPyH&#10;tl7wtgigkOjkVfsvfOzGj/zOQZS9u/uql2/+wisDQOHKztUHL/3ljV95SxTS6Cl/P4BCSbDTN2wG&#10;Co/HAfPbTBG950heF1PI0VNpuUC3N6L3KY2n7WSOQ8rQgdG0nm3tLkVHMws65+nB3Yq5Yh2KHgKJ&#10;tvPe3af/2RiMdnJUG9XnHAsWch1Xn/+C1O/o0YVFLmI0euWTtv6C2Ld4nP7g7q88fz+Y7t2DF/7W&#10;3scLxS98TsP+UT6b+896/M7fu84jpokTjav3v2Trt/667Klsb+qDvT7Hg+ovXwA60FN95e8BUXy3&#10;DLwoYeSeO5Kwj2wVj3kBaltewcV4TQ/zRwmVgdIikKpfwWnIrxRWzcb45XrFQzzBvWDA/xPurk4d&#10;/OGTtn7x8fHnyXsf6faOERKv+rs37X9K3bKlmy898pnH3vzG46942urXXdRB/UuDr//Jo2/92/M/&#10;9L4LPvSu44/86oW9f957zfv1xqXBNz7y6J+88cRbXn3sCffTd4AvLHzyL/befr2k2X3P/lt1P3x4&#10;Z/g9fuLoq//sxBv+8MjD7yzvEY2FqK5+8+4bPiHnjl28/JRXnPeBD17w4b8+/tyHLp7ghjkYv+ll&#10;oUZJHW57n7Xnv/LEW1937BkPWbxQ++3o0/tv+Udp9r7yM6rqPEa9hP9u7+BbkCApGfsgF0sBGKF3&#10;b4hB5WybjhSphFHPRAxOO+Snn0Di55RtXOVMvw1uUmpTYR0GM2gG/4PwtTn+qzfsX/76+PPG0Wf8&#10;UCD4C6UqH4w/+JGwQ8W3/dLRx91v+Q4XL93zsiMvfvLyLdq2g7zV9x79vZ9buf0FKPrqzRa/5LyF&#10;q/9Bp7gWFm75PUdf8JiVu168eMnXLj/iGcd+8qtEgGrj4O8/ID3y4/88OqmNcZNvPfKCn125+1cu&#10;3vEeq7/6u0e+5+a5wNXf/+3BBp9eHD70aUcfdtfhseHC6k2X7vdLRx/+FZJ+6wP7f8vDo/hYumT1&#10;ec9Z++6vW7z9Vy0/+AnHHntPHWKMq4/9Gw8iq6L8t//a5R97eio/gsSMYfOwBgYDu9U2vMJPb8HN&#10;v225iDIaEhtbbFQnhqvbdguh6knR3FTCitH3AFYbf+jcEs8oCZvySZdJimCvzQBeZjp3LTfZJeD1&#10;ODeurrlOky8v3vMbwkz6BfdYvkvznNBgcNd7LyXzmp/9rEUMBne+p7u6NLzvNy/au8IgGZf6hS8E&#10;X/COX790ofWKC5a/5c5ZbffGV/27SDs4vnjpV7gES8M73UFXbO+N/+WjBR3c9E5Ll9j4cji419fr&#10;u8sWFjbWRexE/hO6dH1hafit3xTLH+PSHvzKvsCm7+NNZtDs+URERUxkAlM832tWRdfmCciMncWs&#10;89SlmXbMXn56+vQoz6EmiFbNek6N1o3G467hwtHjCyeyj0DBmqkB2VW1ra7Y4MTwJmuuaZcHF55o&#10;RPtwcOH5aYKNTe38w4ULL4iuXnRBCI1sgVtGF+GlqToqHNz0JpGgF16QPyVQXS8sCjZ99Prf2HrS&#10;U+2z/doPa1bj6tT1BcnXVn1sZrC2FoqzjuXlvyCR/8Jw+ya8QMZMfPw0WI5R2CNM8vcw5WoTiRaQ&#10;So3eZ+lNvFE3M2JAkfy2jb8cX8bUa1RqJFoY6btbDJzSN6hWnlWHt1x5yf85/0Pvjz4f/Jsj3wxv&#10;kOl4+AWKi7gblD+Sn3mWeTzOO1rx1WgwaCP2yEgk8ZPc04DXrmqwCfycd7xu7zWvDZ+3/6vZRngF&#10;cMf6p8lcKMFvl4hvTPBJeTNX9yHbXfigUccdbtQLDc6o2ltBqsxFA3fiRwmN1tjZJmJNdTJ/1OtZ&#10;oRogy33CONTbdzfSMovPcnByUwDi0pOoeQjqiaacaMVrvymTZuzIhsr61M1O+oSN3nLbsnUneD1L&#10;HKjf2e3kj81KruIuAQI773pKeeRS4kZ1iE58T3YZoBgH5RhvLKdwJ14wL5FhqsaZ0wtNkF9RlFCz&#10;dfNMckpLlH8dNiOyVNk0WUyx/myoQsQ+CVGV8edrX0xRB1DWgt0O78iLYTrBG56ceUpeEBW9HBHf&#10;IUHHeScCXX3q4+MQlhmNr/pohtHBYE0dyuEtVl545XnveXf581v3bVdVEdxuwzZ8laYgD7+MYYN5&#10;uwWqyW/3gnOIUgRQetBoBt6bIB6n3csOqAsPhbE1O4zCYjFV2e01SHVjJoW9qyBPITH8+bQbP4Ue&#10;FNk6TqWzT3xTJDpyvAAU0hHIPAEX9Vs+WcOO1rsgtMkHBESv8Uy2W11TFw2vL/7EccXcuLr22ijd&#10;NdeERj52HoeWBre7eGhzPP/y5ztXfEbG+1ddvvOqf86KGQ4u0DHaGF7Hev7wZjcLn4vOGwArL/Fn&#10;kqWuWNzxY07+L3jkLVzzhdBnjkE1BZopg5o3xmMqXPfIAKH2xb019cMGNPpojQOG6UYsmD96ZEhN&#10;n2dSTBrKqMEjpOqZFL4KRytMoJk0h18dQpL1AGhqVRqhuzj4EgvxHIz+1/8y6qyufvvee5tj+KWM&#10;b3ObwETvu3L/8xap3R296R1Kk8PhbW4jUp539+W7aCcZfWb/cQ9cf8CPbfzg/U8/8Kn7n80n05cW&#10;73CxmpbNgyv/tyf68RVPOP1196DPvTZe9K8tjktK0WpJb33rYAne9869z8FUEJFltTN685Um/+DW&#10;t6Z3zpY0QOwZDeEJJvoBLHEUlJEgl7wbn2YqvTZyaSWNkyFz3pUTlUEVQ4GoY8YO7K2+p3gh1m/s&#10;PDHahIaqjt5K2YlIi8O73ElRVVXv+h+bj3/J7hVX7r3quZsPfcZBKchYV4bo/OZ3W7q9upjXXrn9&#10;iCfsXH7l/tveuPO0n9p82ce0YS5cvMdXiUzD/7LyUw8cmlN6cHr8gfcc/MNVFQUTC8d/vdfS+Xzr&#10;uHrzUzef8LK993xo9OF/2v+z52898x0CvMHRxYtvXatCxlByGLBudtfF22tY5Lp3bv/Ur+782bv2&#10;3/Hm3V9/9NYrLex1wdLdv0Lei1wcKvnMcTMYBig5lzgpj1Pz/J23sTcS8iNxl4fFv1IypTQSo7Xt&#10;u3zF3Xdub2/ojfY8arnfhMOcj0Rh3Ms8c06J2SZOGVx6/+Wv1pBTtT66/Lnbj37M1pNfcvCJ2tdP&#10;NsF06eKVH7230kRVfeRNO7/8mM3//vidV7y3Ml/zK79/9ZtDVGvw9T937NfuO0wWxizddOmy++S7&#10;+Q5u+u2rD/1KEaA6NXrds7Z+6AfW7/eQzV968cHVWsBtv3Plmy8oCylGs3CRvcmFxdutPOxeJv/C&#10;v/zl7hMfu/WYJ+286n1B/ksesHJvePwms7+Wq+sDuExEyJIYFG09QZPioPpQRuLIxazKxsJ3rZLp&#10;r9sDIq+qgSl3fjkxw08A7UCq56VraCs0waHuWs/hOawrffpPL12YdYPB0cEtz+9f/nD4vU85+pNf&#10;U7sBypfc58hzHrkUrTM6sviQ55140++uPeJ7l7/xbkv3uPfyD/3M0df++bGHX5KMGEmY1aVHP/vo&#10;935ZrWDwyNSzf365GNiNFJOsl6CfGFEaDL/7iUd+7Ktr5b/VN6898xHg8TpD36hwexEmRX0QmuaS&#10;yhuKmcaKNMSBJyeq9THxTt0ozjQCOcXdh7N24yE9UVBiMmIPePbDKe1SQeZeo6Wivjiv5JIWANnf&#10;8cePveo3Vu5524FYucHCLe608qsvOvr9t+qPUbBoFy3/0suO/95jlu9220EI1A4Xbv4VSw9/yvHX&#10;P2/19oX1zoOLv2XtCb957OUvP/5HLzr2tEetXHqThd095aPBwnG3nG/ly1ae/cfHf/unli+9lQoM&#10;Yg4XbnbJ0kOfcOzNf7D2tc1TD85fDNUzDxKGOBcuP/bFx57/35e/7jZx/rdfetgTj73mt1a/XOUP&#10;Gm20VEtLBQTqQIp3ja09YDEUX/Po9MMymwI5+MLnzfjiPWqHw2Oc3tAzUzJ2/SE2nDqN9CqjVTkp&#10;Y/mA5ikAmuqNfxs0Dbj01DLBoTr1mfHVpxeO3Xx465vMZCeoauva8We/UO3AjNTNh7cSRzLSyfb7&#10;d5/x5yOYs4HjS++79qh765BlNHrZI9af8V5KvLz4+L848eO3yRuy2rhm/Nlrq/3FwUW3GN4S3t9c&#10;OiLvk+PhxDMULxLfNHCVjYRIIVvXVf95bbU7WLjg5sP/Yvm7cqzd84bmM8RqGMbHFmcSpUl5XTBK&#10;e2o7R5EEw3sYA3s4GcHMGAY/knMkxsAwKjcQRt2AKXZGA0ZzTFiMiZnfD6Hwu7jPnD/qryNGS/24&#10;AaPax7ip3JP1Vu2eDkMRHF1O7r1v+zsevvtxGsIv3XLp559x5KH/dXFlY/Q3f7T9hN8/uIafYr3j&#10;2htevXZJOsPbJftoeMRgZb+ToRBZUgUH51tjdbTQYIUUiU6cxEeBn9ALYStwHNAzQAmpi4v4Suzh&#10;EF9IFCmeUTAoxP/znE2gCKNuYTzToNCqNTx/SXpYCDfIKI+5NIKpbJJTMv0tDZJBqowx7I0ssnZO&#10;emQ5ME3ORPMG68HB839w4wUfcfVbXFgcLYS409Lwsuce/8379Jm7dplZ1RLu9Axq1JVD06s90k09&#10;RkP/Z/RqSnjtx2iExCT+KGAUhlAw/zwUKvU9A2ENq55xFJgVm7C4/IyfXW7awbmtRZOqxcjzIaey&#10;2epEHRZIY5V7keJc+UoeiIlKgVv4k6qrgyxdKrG09JPPOHKfW7rcPECXB/f+uaNPmhignKv6mjgh&#10;BB3ST7X77z4AmeitQ11bkywtDcAxtTbBIZrMAgBNwJQVfWDuCuA1NICmTZF4j65twdZfw6mNHBmo&#10;Yu4T4pQGjdvVB5R4qUsnHuVkdfhQXvRdkL0Z8WFMajtjuWG6AUan/YLoBlT5srgIO5qx2NZvIZvx&#10;dQeXv3T38ncefPhT1Q7b9wuHX3P35e//4dX7W/i2FQUuAXY8kCrY9GjNh6CW4Wt3FeVMSCurcmIt&#10;FRNONz4H2m4DH2NSl4+9UnP52O4DfeoUf6T0vCxX3GC0fppXrzDSxGusw6ggKsZWJ1vP7wYJsgTK&#10;TmGaIEaFEj07dYeElG3oZIxRAERHtOUldgRNB4xaTqM9eOl6tXB0cL7NSXYspQmg7HcGmJozao3p&#10;CynhQq4HvCUGMQZihGRpTlK3JjM/WJ09jptiGuDUvMZ5uXERmPdof69aPw3knGCUB+jSLTwCEmY1&#10;1HJyZlFzRoVi8aSsfBGOpjETH8U+FCpDOBAG9a2V3cuCkX3HJRHCN11wcCgY7SJIc5rQS8OoKF04&#10;1+yARhiJAdMbo0ItIpQf8SSjH6X9Ri4q2SvNB/3RwRqG6LADOB0FVo1Oc5I4ac5wnA+ao4Rp9Hbv&#10;L5PVKh16Qa+GevCZQr00aQ+ATo+dw8yBdMKKpeVz5IMmnignaJWqPUVrFpKgBDC7ly8i3pIeErip&#10;CFBhJviHxkwry7ispulwoLSqCbcVUKipDTEkZaqTeOpeRqPxkoUgpyNSA6h24YBXOoMkesM7TNuK&#10;TgQoLZ/TMBMPkgI9FHCaNUHQ0ywQy3aU0SjQ5AIiOPqLjejW2wijULejR9FvcPkFmSNQUhIDTJIo&#10;oeJUAZQ6/CnhyDKMONPpr8ignFgAGnO8FdKkjWZNnQV4DwDloTzB0dApX1gFCYVmjNoAU6loDVoz&#10;JbkTasZjcx6Q6XDVSZtxPm6+/ig8hubKTds6h6oVlyTVeQ5fZ49mgWnjFk6i7Vhf/hd855pE9bH5&#10;3xrzMWM0zji7cvtFAA3BJhel51qric+Bmhj+CSgTKlp3F+mgVhExTtsBKiQb5cfPM9GpxSV4Vivk&#10;4pOV5auROkJSBF9+C5genM40mueWOAOaOGRh3+RejMC1HlxdrXRr8sYEHYqbroDIZOkjHKXnN1od&#10;0Bi5keD6o3ttYgpt66klBuZzMrb2LVJoGONRuml1dbBCqwpC54i5KydTOWP1dMgLiGEFEciEFZKm&#10;yyWL0wUpSDIk0bT/0li+JyKmRWpb6/QUp5ScqmQBHW/igwefdPVmzPVHJGcfcSVWPOFr3nXBWlpR&#10;FKsIFa4MEYb/LbQRr82DEuCx13T8ROXmPS9Bm+cwf4c5qYpmqkcCVl+1qJqCSHrFDSmBARoTIZzB&#10;ac96RLRiaXKwzoyTC9JLv2ZtchA0fmiTzjdRaPliK0y5Y7T0MMMap2vVceyV9ei++frRwcKRIzS1&#10;1V6oo0ZXJ1+3hEoVpnpjogbVqPRQ9b10nCWegvRFUgulHBzsQZh3Biv8p3IDJod5ubmEAjxAXdDD&#10;QvdlLMWKLSA117y0SS12MkLMgcmZSkJhFJ9fR0TFIsAqgLJMR44WYMpaK3Yv6fGcmfxQ75A1S9yp&#10;N+PsraQ1vXvj4VKS/aCpXpVUbAT/ho0e1hfgYRwMxBxMCNOi6ibS56z83NAoCtHI3MvCekFxjaTS&#10;0ZOsXHO38WQHprMs6E1ujSrLAvuSfbOe6Wr9tkcwflpGNtUXHpeINeLFmEpllKmP9QqhKl4JXX6I&#10;o1uJo2bZ2RFoCrJp9xXPoNxlacnCeG8X08NS0fGoDNPm5qi72gbTbCCdwaJDM9cnUWsSnFGePJMe&#10;L2wgeE1jTjEW7a6MdUPdC2TrGCe9UVPHDqiVmpBoEaBmeLz58jrX701bc+H4CcL7YZodUaFi+Ial&#10;k8KyjlGDJ6onpecHMublMCEKxZSJLBupzD3r7GTg99qsHgWhxrBXLMKUCDV3ETt01jJWEvXF9tyF&#10;q+vS5aJ0g63EklLjzmwqfVvtEpbRQmLUnxXUzhJSu4SWbDQosR0zEDJv+PqnNcxzjdVYSB8nyN/F&#10;KCLjzDeoA56rWlkOK0HLGo6JiCkzmAH9LSDma45QOTWDVV1PP2iUdbLSV1jVEMEecd2r4eJg9RgK&#10;e0DrusExNSd4UoS04GiSbJubJS7QujmNlLyV170Y2HFyR9iipksfqHHYGm6Ncaa/UtIz6ORBgJB3&#10;lFWxb6cEOxgduD2theeQzGAyQ1ZmkDpwUwobO0sx9I//Lj+pDO5feEb+2hqV6DynrI1rDip5AiGU&#10;xGPbpHMCQKvdrcHiMi9krJZW/GrqOuXDbjG44zB+tMmFFmhdmT1TVnt/MyAgzyIzNXoewdTgZjb6&#10;CDw/CE+b23AXjQ9piWJpZRnzxeaq4bRxrZUNmdiiKIGswrSAi8KhYX1JkLCPrE0YRVDS3De23BBV&#10;Bk8FqIModceyXHn2MwYogzWFaa6+JLfwsAEVYRFBvdEKRpXt71S724PlVXqmdlAtAkzLB1VkTx5X&#10;YEPFXcX+WtfCR8UXOcNCXo1go3asFaEW3YZC2W5J0Emmg3pSqT+7pu/e9u55Cg8dw2gRrKYZaVAO&#10;rrikvgUL2OB6dxcSU///M6UplOZqeQcAAAAASUVORK5CYIJQSwECLQAUAAYACAAAACEAsYJntgoB&#10;AAATAgAAEwAAAAAAAAAAAAAAAAAAAAAAW0NvbnRlbnRfVHlwZXNdLnhtbFBLAQItABQABgAIAAAA&#10;IQA4/SH/1gAAAJQBAAALAAAAAAAAAAAAAAAAADsBAABfcmVscy8ucmVsc1BLAQItABQABgAIAAAA&#10;IQBD8QR7tAgAAJY6AAAOAAAAAAAAAAAAAAAAADoCAABkcnMvZTJvRG9jLnhtbFBLAQItABQABgAI&#10;AAAAIQCqJg6+vAAAACEBAAAZAAAAAAAAAAAAAAAAABoLAABkcnMvX3JlbHMvZTJvRG9jLnhtbC5y&#10;ZWxzUEsBAi0AFAAGAAgAAAAhAHMEPKfhAAAADgEAAA8AAAAAAAAAAAAAAAAADQwAAGRycy9kb3du&#10;cmV2LnhtbFBLAQItAAoAAAAAAAAAIQAMdbHhV4MAAFeDAAAUAAAAAAAAAAAAAAAAABsNAABkcnMv&#10;bWVkaWEvaW1hZ2UxLnBuZ1BLBQYAAAAABgAGAHwBAACkkAAAAAA=&#10;">
                <v:group id="42 Grupo" o:spid="_x0000_s1252" style="position:absolute;width:57877;height:31592" coordsize="57877,3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Imagen 1" o:spid="_x0000_s1253" type="#_x0000_t75" style="position:absolute;left:16735;width:21480;height:30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8avxAAAANsAAAAPAAAAZHJzL2Rvd25yZXYueG1sRI9Ba8JA&#10;FITvBf/D8gRvzUahRaOrSKGgFimmxfMz+0yC2bdhd6vRX+8WBI/DzHzDzBadacSZnK8tKxgmKQji&#10;wuqaSwW/P5+vYxA+IGtsLJOCK3lYzHsvM8y0vfCOznkoRYSwz1BBFUKbSemLigz6xLbE0TtaZzBE&#10;6UqpHV4i3DRylKbv0mDNcaHClj4qKk75n1Hw9X24bbc7s1+6zTovj+vaXoe5UoN+t5yCCNSFZ/jR&#10;XmkFkzf4/xJ/gJzfAQAA//8DAFBLAQItABQABgAIAAAAIQDb4fbL7gAAAIUBAAATAAAAAAAAAAAA&#10;AAAAAAAAAABbQ29udGVudF9UeXBlc10ueG1sUEsBAi0AFAAGAAgAAAAhAFr0LFu/AAAAFQEAAAsA&#10;AAAAAAAAAAAAAAAAHwEAAF9yZWxzLy5yZWxzUEsBAi0AFAAGAAgAAAAhALWvxq/EAAAA2wAAAA8A&#10;AAAAAAAAAAAAAAAABwIAAGRycy9kb3ducmV2LnhtbFBLBQYAAAAAAwADALcAAAD4AgAAAAA=&#10;">
                    <v:imagedata r:id="rId1260" o:title=""/>
                  </v:shape>
                  <v:group id="41 Grupo" o:spid="_x0000_s1254" style="position:absolute;top:2803;width:57877;height:28789" coordorigin=",-905" coordsize="57877,2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group id="15 Grupo" o:spid="_x0000_s1255" style="position:absolute;left:434;top:-905;width:17158;height:3846" coordorigin="3,-905" coordsize="17158,3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shape id="5 Conector recto de flecha" o:spid="_x0000_s1256" type="#_x0000_t32" style="position:absolute;left:12163;top:1035;width:49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1yPxgAAANwAAAAPAAAAZHJzL2Rvd25yZXYueG1sRI9PT8Mw&#10;DMXvSPsOkZG4sbQgISjLJjT+CIkLdDvsaDVeU9o4Jcm2wqfHByRutt7zez8vVpMf1JFi6gIbKOcF&#10;KOIm2I5bA9vN8+UtqJSRLQ6BycA3JVgtZ2cLrGw48Qcd69wqCeFUoQGX81hpnRpHHtM8jMSi7UP0&#10;mGWNrbYRTxLuB31VFDfaY8fS4HCktaOmrw/eQOxfyvrnbff03mLvDuV+c/f49WnMxfn0cA8q05T/&#10;zX/Xr1bwrwVfnpEJ9PIXAAD//wMAUEsBAi0AFAAGAAgAAAAhANvh9svuAAAAhQEAABMAAAAAAAAA&#10;AAAAAAAAAAAAAFtDb250ZW50X1R5cGVzXS54bWxQSwECLQAUAAYACAAAACEAWvQsW78AAAAVAQAA&#10;CwAAAAAAAAAAAAAAAAAfAQAAX3JlbHMvLnJlbHNQSwECLQAUAAYACAAAACEA+l9cj8YAAADcAAAA&#10;DwAAAAAAAAAAAAAAAAAHAgAAZHJzL2Rvd25yZXYueG1sUEsFBgAAAAADAAMAtwAAAPoCAAAAAA==&#10;" stroked="f" strokeweight=".5pt">
                        <v:stroke endarrow="open" joinstyle="miter"/>
                      </v:shape>
                      <v:shape id="6 Cuadro de texto" o:spid="_x0000_s1257" type="#_x0000_t202" style="position:absolute;left:3;top:-905;width:12160;height:3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DLuwQAAANwAAAAPAAAAZHJzL2Rvd25yZXYueG1sRE/fa8Iw&#10;EH4f7H8IN9jbTDuHSG2UMRjsSbDVPh/N2RSbS0kyrf71izDw7T6+n1duJjuIM/nQO1aQzzIQxK3T&#10;PXcK9vX32xJEiMgaB8ek4EoBNuvnpxIL7S68o3MVO5FCOBSowMQ4FlKG1pDFMHMjceKOzluMCfpO&#10;ao+XFG4H+Z5lC2mx59RgcKQvQ+2p+rUKms7emkM+eqPt8MHb27Xeu16p15fpcwUi0hQf4n/3j07z&#10;5zncn0kXyPUfAAAA//8DAFBLAQItABQABgAIAAAAIQDb4fbL7gAAAIUBAAATAAAAAAAAAAAAAAAA&#10;AAAAAABbQ29udGVudF9UeXBlc10ueG1sUEsBAi0AFAAGAAgAAAAhAFr0LFu/AAAAFQEAAAsAAAAA&#10;AAAAAAAAAAAAHwEAAF9yZWxzLy5yZWxzUEsBAi0AFAAGAAgAAAAhANDkMu7BAAAA3AAAAA8AAAAA&#10;AAAAAAAAAAAABwIAAGRycy9kb3ducmV2LnhtbFBLBQYAAAAAAwADALcAAAD1AgAAAAA=&#10;" stroked="f" strokeweight=".5pt">
                        <v:textbox>
                          <w:txbxContent>
                            <w:p w:rsidR="00C20C0F" w:rsidRDefault="00C20C0F" w:rsidP="00C932A6">
                              <w:pPr>
                                <w:jc w:val="center"/>
                              </w:pPr>
                              <w:r>
                                <w:t>Número atómico</w:t>
                              </w:r>
                            </w:p>
                          </w:txbxContent>
                        </v:textbox>
                      </v:shape>
                    </v:group>
                    <v:group id="13 Grupo" o:spid="_x0000_s1258" style="position:absolute;left:30710;top:18714;width:27167;height:8541" coordorigin=",-5" coordsize="27167,8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7 Cuadro de texto" o:spid="_x0000_s1259" type="#_x0000_t202" style="position:absolute;left:10605;top:-5;width:16562;height: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gkCwQAAANwAAAAPAAAAZHJzL2Rvd25yZXYueG1sRE9Na8Mw&#10;DL0P+h+MCr2tTpdRRlYnjMFgp0HTrmcRa3FYLAfba5P8+row6E2P96ldNdpenMmHzrGCzToDQdw4&#10;3XGr4Hj4eHwBESKyxt4xKZgoQFUuHnZYaHfhPZ3r2IoUwqFABSbGoZAyNIYshrUbiBP347zFmKBv&#10;pfZ4SeG2l09ZtpUWO04NBgd6N9T81n9Wwam18+l7M3ijbf/MX/N0OLpOqdVyfHsFEWmMd/G/+1On&#10;+XkOt2fSBbK8AgAA//8DAFBLAQItABQABgAIAAAAIQDb4fbL7gAAAIUBAAATAAAAAAAAAAAAAAAA&#10;AAAAAABbQ29udGVudF9UeXBlc10ueG1sUEsBAi0AFAAGAAgAAAAhAFr0LFu/AAAAFQEAAAsAAAAA&#10;AAAAAAAAAAAAHwEAAF9yZWxzLy5yZWxzUEsBAi0AFAAGAAgAAAAhAE96CQLBAAAA3AAAAA8AAAAA&#10;AAAAAAAAAAAABwIAAGRycy9kb3ducmV2LnhtbFBLBQYAAAAAAwADALcAAAD1AgAAAAA=&#10;" stroked="f" strokeweight=".5pt">
                        <v:textbox>
                          <w:txbxContent>
                            <w:p w:rsidR="00C20C0F" w:rsidRDefault="00C20C0F" w:rsidP="00C932A6">
                              <w:pPr>
                                <w:jc w:val="center"/>
                              </w:pPr>
                              <w:r>
                                <w:t>Configuración electrónica</w:t>
                              </w:r>
                            </w:p>
                          </w:txbxContent>
                        </v:textbox>
                      </v:shape>
                      <v:shape id="8 Conector recto de flecha" o:spid="_x0000_s1260" type="#_x0000_t32" style="position:absolute;top:1293;width:87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qAaxAAAANwAAAAPAAAAZHJzL2Rvd25yZXYueG1sRI9Ba4NA&#10;EIXvhf6HZQq5NWtriY3NRtqEQo5Re+ltcKcqdWfF3aj599lAILcZ3pv3vdlks+nESINrLSt4WUYg&#10;iCurW64V/JTfz+8gnEfW2FkmBWdykG0fHzaYajtxTmPhaxFC2KWooPG+T6V0VUMG3dL2xEH7s4NB&#10;H9ahlnrAKYSbTr5G0UoabDkQGuxp11D1X5xM4NpEHsd1mcf9Ouncb15GX/FeqcXT/PkBwtPs7+bb&#10;9UGH+vEbXJ8JE8jtBQAA//8DAFBLAQItABQABgAIAAAAIQDb4fbL7gAAAIUBAAATAAAAAAAAAAAA&#10;AAAAAAAAAABbQ29udGVudF9UeXBlc10ueG1sUEsBAi0AFAAGAAgAAAAhAFr0LFu/AAAAFQEAAAsA&#10;AAAAAAAAAAAAAAAAHwEAAF9yZWxzLy5yZWxzUEsBAi0AFAAGAAgAAAAhAO0yoBrEAAAA3AAAAA8A&#10;AAAAAAAAAAAAAAAABwIAAGRycy9kb3ducmV2LnhtbFBLBQYAAAAAAwADALcAAAD4AgAAAAA=&#10;" stroked="f" strokeweight=".5pt">
                        <v:stroke endarrow="open" joinstyle="miter"/>
                      </v:shape>
                    </v:group>
                    <v:group id="16 Grupo" o:spid="_x0000_s1261" style="position:absolute;top:22857;width:20697;height:5026" coordorigin=",-2" coordsize="20697,5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9 Cuadro de texto" o:spid="_x0000_s1262" type="#_x0000_t202" style="position:absolute;top:-2;width:15265;height:5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aqawQAAANwAAAAPAAAAZHJzL2Rvd25yZXYueG1sRE9La8JA&#10;EL4X/A/LCN6ajbVIia5ShIInwUdzHrJjNjQ7G3ZXk/jr3UKht/n4nrPeDrYVd/KhcaxgnuUgiCun&#10;G64VXM5frx8gQkTW2DomBSMF2G4mL2sstOv5SPdTrEUK4VCgAhNjV0gZKkMWQ+Y64sRdnbcYE/S1&#10;1B77FG5b+ZbnS2mx4dRgsKOdoerndLMKyto+yu9554227TsfHuP54hqlZtPhcwUi0hD/xX/uvU7z&#10;F0v4fSZdIDdPAAAA//8DAFBLAQItABQABgAIAAAAIQDb4fbL7gAAAIUBAAATAAAAAAAAAAAAAAAA&#10;AAAAAABbQ29udGVudF9UeXBlc10ueG1sUEsBAi0AFAAGAAgAAAAhAFr0LFu/AAAAFQEAAAsAAAAA&#10;AAAAAAAAAAAAHwEAAF9yZWxzLy5yZWxzUEsBAi0AFAAGAAgAAAAhAF8NqprBAAAA3AAAAA8AAAAA&#10;AAAAAAAAAAAABwIAAGRycy9kb3ducmV2LnhtbFBLBQYAAAAAAwADALcAAAD1AgAAAAA=&#10;" stroked="f" strokeweight=".5pt">
                        <v:textbox>
                          <w:txbxContent>
                            <w:p w:rsidR="00C20C0F" w:rsidRDefault="00C20C0F" w:rsidP="00C932A6">
                              <w:pPr>
                                <w:jc w:val="center"/>
                              </w:pPr>
                              <w:r>
                                <w:t>Nombre del elemento</w:t>
                              </w:r>
                            </w:p>
                          </w:txbxContent>
                        </v:textbox>
                      </v:shape>
                      <v:shape id="10 Conector recto de flecha" o:spid="_x0000_s1263" type="#_x0000_t32" style="position:absolute;left:15700;top:1380;width:49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sT7xAAAANwAAAAPAAAAZHJzL2Rvd25yZXYueG1sRE9LTwIx&#10;EL6b+B+aMfEm3cVEYaEQ4yskXnThwHGyHbbLbqdLW2Dl11sTE2/z5XvOfDnYTpzIh8axgnyUgSCu&#10;nG64VrBZv91NQISIrLFzTAq+KcBycX01x0K7M3/RqYy1SCEcClRgYuwLKUNlyGIYuZ44cTvnLcYE&#10;fS21x3MKt50cZ9mDtNhwajDY07Ohqi2PVoFv3/Py8rF9/ayxNcd8t56+HPZK3d4MTzMQkYb4L/5z&#10;r3Saf/8Iv8+kC+TiBwAA//8DAFBLAQItABQABgAIAAAAIQDb4fbL7gAAAIUBAAATAAAAAAAAAAAA&#10;AAAAAAAAAABbQ29udGVudF9UeXBlc10ueG1sUEsBAi0AFAAGAAgAAAAhAFr0LFu/AAAAFQEAAAsA&#10;AAAAAAAAAAAAAAAAHwEAAF9yZWxzLy5yZWxzUEsBAi0AFAAGAAgAAAAhAHW2xPvEAAAA3AAAAA8A&#10;AAAAAAAAAAAAAAAABwIAAGRycy9kb3ducmV2LnhtbFBLBQYAAAAAAwADALcAAAD4AgAAAAA=&#10;" stroked="f" strokeweight=".5pt">
                        <v:stroke endarrow="open" joinstyle="miter"/>
                      </v:shape>
                    </v:group>
                    <v:group id="14 Grupo" o:spid="_x0000_s1264" style="position:absolute;left:31572;top:6898;width:17630;height:7111" coordorigin=",-2" coordsize="17629,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11 Conector recto de flecha" o:spid="_x0000_s1265" type="#_x0000_t32" style="position:absolute;top:1466;width:87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w+ExAAAANwAAAAPAAAAZHJzL2Rvd25yZXYueG1sRI/NasMw&#10;EITvgb6D2EJvsZwaktiNEvpDIcfY7qW3xdraJtbKSKrjvn0VCOS2y8zON7s7zGYQEznfW1awSlIQ&#10;xI3VPbcKvurP5RaED8gaB8uk4I88HPYPix0W2l64pKkKrYgh7AtU0IUwFlL6piODPrEjcdR+rDMY&#10;4upaqR1eYrgZ5HOarqXBniOhw5HeO2rO1a+JXLuRpymvy2zMN4P/Luv0LftQ6ulxfn0BEWgOd/Pt&#10;+qhj/SyH6zNxArn/BwAA//8DAFBLAQItABQABgAIAAAAIQDb4fbL7gAAAIUBAAATAAAAAAAAAAAA&#10;AAAAAAAAAABbQ29udGVudF9UeXBlc10ueG1sUEsBAi0AFAAGAAgAAAAhAFr0LFu/AAAAFQEAAAsA&#10;AAAAAAAAAAAAAAAAHwEAAF9yZWxzLy5yZWxzUEsBAi0AFAAGAAgAAAAhAAMzD4TEAAAA3AAAAA8A&#10;AAAAAAAAAAAAAAAABwIAAGRycy9kb3ducmV2LnhtbFBLBQYAAAAAAwADALcAAAD4AgAAAAA=&#10;" stroked="f" strokeweight=".5pt">
                        <v:stroke endarrow="open" joinstyle="miter"/>
                      </v:shape>
                      <v:shape id="12 Cuadro de texto" o:spid="_x0000_s1266" type="#_x0000_t202" style="position:absolute;left:8798;top:-2;width:8831;height:7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uQIwQAAANwAAAAPAAAAZHJzL2Rvd25yZXYueG1sRI9PiwIx&#10;DMXvC36HEsHb2lFkkVmriCDsSfDvOUyz08FpOrRdHf305iDsLeG9vPfLYtX7Vt0opiawgcm4AEVc&#10;BdtwbeB03H7OQaWMbLENTAYelGC1HHwssLThznu6HXKtJIRTiQZczl2pdaoceUzj0BGL9huixyxr&#10;rLWNeJdw3+ppUXxpjw1Lg8OONo6q6+HPG7jU/nk5T7rorG9nvHs+jqfQGDMa9utvUJn6/G9+X/9Y&#10;wZ8JvjwjE+jlCwAA//8DAFBLAQItABQABgAIAAAAIQDb4fbL7gAAAIUBAAATAAAAAAAAAAAAAAAA&#10;AAAAAABbQ29udGVudF9UeXBlc10ueG1sUEsBAi0AFAAGAAgAAAAhAFr0LFu/AAAAFQEAAAsAAAAA&#10;AAAAAAAAAAAAHwEAAF9yZWxzLy5yZWxzUEsBAi0AFAAGAAgAAAAhAOeu5AjBAAAA3AAAAA8AAAAA&#10;AAAAAAAAAAAABwIAAGRycy9kb3ducmV2LnhtbFBLBQYAAAAAAwADALcAAAD1AgAAAAA=&#10;" stroked="f" strokeweight=".5pt">
                        <v:textbox>
                          <w:txbxContent>
                            <w:p w:rsidR="00C20C0F" w:rsidRDefault="00C20C0F" w:rsidP="00C932A6">
                              <w:pPr>
                                <w:jc w:val="center"/>
                              </w:pPr>
                              <w:r>
                                <w:t>Símbolo</w:t>
                              </w:r>
                            </w:p>
                          </w:txbxContent>
                        </v:textbox>
                      </v:shape>
                    </v:group>
                  </v:group>
                </v:group>
                <v:group id="57 Grupo" o:spid="_x0000_s1267" style="position:absolute;left:12594;top:4744;width:29159;height:23205" coordsize="29158,2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shape id="53 Conector recto de flecha" o:spid="_x0000_s1268" type="#_x0000_t32" style="position:absolute;width:500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iTzwQAAANwAAAAPAAAAZHJzL2Rvd25yZXYueG1sRE9Ni8Iw&#10;EL0L+x/CCHvTVFfc0jWKLAiKB7HupbehGduyzaQ0UeO/N4LgbR7vcxarYFpxpd41lhVMxgkI4tLq&#10;hisFf6fNKAXhPLLG1jIpuJOD1fJjsMBM2xsf6Zr7SsQQdhkqqL3vMildWZNBN7YdceTOtjfoI+wr&#10;qXu8xXDTymmSzKXBhmNDjR391lT+5xejoAjnfJ/u7AFDc+zW30XYfqVBqc9hWP+A8BT8W/xyb3Wc&#10;P5vC85l4gVw+AAAA//8DAFBLAQItABQABgAIAAAAIQDb4fbL7gAAAIUBAAATAAAAAAAAAAAAAAAA&#10;AAAAAABbQ29udGVudF9UeXBlc10ueG1sUEsBAi0AFAAGAAgAAAAhAFr0LFu/AAAAFQEAAAsAAAAA&#10;AAAAAAAAAAAAHwEAAF9yZWxzLy5yZWxzUEsBAi0AFAAGAAgAAAAhALdSJPPBAAAA3AAAAA8AAAAA&#10;AAAAAAAAAAAABwIAAGRycy9kb3ducmV2LnhtbFBLBQYAAAAAAwADALcAAAD1AgAAAAA=&#10;" strokecolor="#4472c4" strokeweight=".5pt">
                    <v:stroke endarrow="open" joinstyle="miter"/>
                  </v:shape>
                  <v:shape id="54 Conector recto de flecha" o:spid="_x0000_s1269" type="#_x0000_t32" style="position:absolute;left:2501;top:23205;width:49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oFowAAAANwAAAAPAAAAZHJzL2Rvd25yZXYueG1sRE9Ni8Iw&#10;EL0L/ocwgjdNXWUt1SgiCMoexOrF29CMbbGZlCar8d9vBGFv83ifs1wH04gHda62rGAyTkAQF1bX&#10;XCq4nHejFITzyBoby6TgRQ7Wq35viZm2Tz7RI/eliCHsMlRQed9mUrqiIoNubFviyN1sZ9BH2JVS&#10;d/iM4aaRX0nyLQ3WHBsqbGlbUXHPf42Ca7jlP+nBHjHUp3Yzv4b9NA1KDQdhswDhKfh/8ce913H+&#10;bArvZ+IFcvUHAAD//wMAUEsBAi0AFAAGAAgAAAAhANvh9svuAAAAhQEAABMAAAAAAAAAAAAAAAAA&#10;AAAAAFtDb250ZW50X1R5cGVzXS54bWxQSwECLQAUAAYACAAAACEAWvQsW78AAAAVAQAACwAAAAAA&#10;AAAAAAAAAAAfAQAAX3JlbHMvLnJlbHNQSwECLQAUAAYACAAAACEA2B6BaMAAAADcAAAADwAAAAAA&#10;AAAAAAAAAAAHAgAAZHJzL2Rvd25yZXYueG1sUEsFBgAAAAADAAMAtwAAAPQCAAAAAA==&#10;" strokecolor="#4472c4" strokeweight=".5pt">
                    <v:stroke endarrow="open" joinstyle="miter"/>
                  </v:shape>
                  <v:shape id="55 Conector recto de flecha" o:spid="_x0000_s1270" type="#_x0000_t32" style="position:absolute;left:20444;top:7332;width:8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b9MxAAAANwAAAAPAAAAZHJzL2Rvd25yZXYueG1sRE9La8JA&#10;EL4L/Q/LCN50Y5VSYjbSWkQv1vehtyE7JsHsbMyuMf333UKht/n4npPMO1OJlhpXWlYwHkUgiDOr&#10;S84VnI7L4SsI55E1VpZJwTc5mKdPvQRjbR+8p/bgcxFC2MWooPC+jqV0WUEG3cjWxIG72MagD7DJ&#10;pW7wEcJNJZ+j6EUaLDk0FFjToqDsergbBZ8fazuRu9btztfN6mu12N7ezxelBv3ubQbCU+f/xX/u&#10;tQ7zp1P4fSZcINMfAAAA//8DAFBLAQItABQABgAIAAAAIQDb4fbL7gAAAIUBAAATAAAAAAAAAAAA&#10;AAAAAAAAAABbQ29udGVudF9UeXBlc10ueG1sUEsBAi0AFAAGAAgAAAAhAFr0LFu/AAAAFQEAAAsA&#10;AAAAAAAAAAAAAAAAHwEAAF9yZWxzLy5yZWxzUEsBAi0AFAAGAAgAAAAhADrdv0zEAAAA3AAAAA8A&#10;AAAAAAAAAAAAAAAABwIAAGRycy9kb3ducmV2LnhtbFBLBQYAAAAAAwADALcAAAD4AgAAAAA=&#10;" strokecolor="#4472c4" strokeweight=".5pt">
                    <v:stroke endarrow="open" joinstyle="miter"/>
                  </v:shape>
                  <v:shape id="56 Conector recto de flecha" o:spid="_x0000_s1271" type="#_x0000_t32" style="position:absolute;left:17080;top:18978;width:120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RrXxAAAANwAAAAPAAAAZHJzL2Rvd25yZXYueG1sRE9La8JA&#10;EL4X/A/LCN7qRtuKpK6iFtGLj2o9eBuyYxLMzsbsGtN/7wqF3ubje85o0phC1FS53LKCXjcCQZxY&#10;nXOq4OeweB2CcB5ZY2GZFPySg8m49TLCWNs7f1O996kIIexiVJB5X8ZSuiQjg65rS+LAnW1l0AdY&#10;pVJXeA/hppD9KBpIgzmHhgxLmmeUXPY3o2DztbJvcle73fGyXp6W8+11djwr1Wk3008Qnhr/L/5z&#10;r3SY//4Bz2fCBXL8AAAA//8DAFBLAQItABQABgAIAAAAIQDb4fbL7gAAAIUBAAATAAAAAAAAAAAA&#10;AAAAAAAAAABbQ29udGVudF9UeXBlc10ueG1sUEsBAi0AFAAGAAgAAAAhAFr0LFu/AAAAFQEAAAsA&#10;AAAAAAAAAAAAAAAAHwEAAF9yZWxzLy5yZWxzUEsBAi0AFAAGAAgAAAAhAFWRGtfEAAAA3AAAAA8A&#10;AAAAAAAAAAAAAAAABwIAAGRycy9kb3ducmV2LnhtbFBLBQYAAAAAAwADALcAAAD4AgAAAAA=&#10;" strokecolor="#4472c4" strokeweight=".5pt">
                    <v:stroke endarrow="open" joinstyle="miter"/>
                  </v:shape>
                </v:group>
              </v:group>
            </w:pict>
          </mc:Fallback>
        </mc:AlternateContent>
      </w:r>
    </w:p>
    <w:p w:rsidR="00C932A6" w:rsidRDefault="00C932A6" w:rsidP="00C932A6">
      <w:pPr>
        <w:autoSpaceDE w:val="0"/>
        <w:autoSpaceDN w:val="0"/>
        <w:adjustRightInd w:val="0"/>
        <w:spacing w:after="42"/>
        <w:jc w:val="both"/>
        <w:rPr>
          <w:rFonts w:ascii="Arial" w:hAnsi="Arial" w:cs="Arial"/>
          <w:szCs w:val="23"/>
        </w:rPr>
      </w:pPr>
    </w:p>
    <w:p w:rsidR="00C932A6" w:rsidRDefault="00C932A6" w:rsidP="00C932A6">
      <w:pPr>
        <w:autoSpaceDE w:val="0"/>
        <w:autoSpaceDN w:val="0"/>
        <w:adjustRightInd w:val="0"/>
        <w:spacing w:after="42"/>
        <w:jc w:val="both"/>
        <w:rPr>
          <w:rFonts w:ascii="Arial" w:hAnsi="Arial" w:cs="Arial"/>
          <w:szCs w:val="23"/>
        </w:rPr>
      </w:pPr>
    </w:p>
    <w:p w:rsidR="00C932A6" w:rsidRDefault="00C932A6" w:rsidP="00C932A6">
      <w:pPr>
        <w:autoSpaceDE w:val="0"/>
        <w:autoSpaceDN w:val="0"/>
        <w:adjustRightInd w:val="0"/>
        <w:spacing w:after="42"/>
        <w:jc w:val="both"/>
        <w:rPr>
          <w:rFonts w:ascii="Arial" w:hAnsi="Arial" w:cs="Arial"/>
          <w:szCs w:val="23"/>
        </w:rPr>
      </w:pPr>
    </w:p>
    <w:p w:rsidR="00C932A6" w:rsidRDefault="00C932A6" w:rsidP="00C932A6">
      <w:pPr>
        <w:jc w:val="center"/>
        <w:rPr>
          <w:rFonts w:ascii="Arial" w:hAnsi="Arial" w:cs="Arial"/>
          <w:i/>
          <w:sz w:val="20"/>
        </w:rPr>
      </w:pPr>
      <w:r>
        <w:rPr>
          <w:rFonts w:ascii="Arial" w:hAnsi="Arial" w:cs="Arial"/>
          <w:i/>
          <w:sz w:val="20"/>
        </w:rPr>
        <w:t>Figura 1. Vista interna ficha A</w:t>
      </w:r>
    </w:p>
    <w:p w:rsidR="00C932A6" w:rsidRPr="00D023D0" w:rsidRDefault="00C932A6" w:rsidP="00C932A6">
      <w:pPr>
        <w:autoSpaceDE w:val="0"/>
        <w:autoSpaceDN w:val="0"/>
        <w:adjustRightInd w:val="0"/>
        <w:spacing w:after="42"/>
        <w:jc w:val="both"/>
        <w:rPr>
          <w:rFonts w:ascii="Arial" w:hAnsi="Arial" w:cs="Arial"/>
          <w:szCs w:val="23"/>
        </w:rPr>
      </w:pPr>
    </w:p>
    <w:p w:rsidR="00C932A6" w:rsidRDefault="00C932A6" w:rsidP="00C932A6">
      <w:pPr>
        <w:autoSpaceDE w:val="0"/>
        <w:autoSpaceDN w:val="0"/>
        <w:adjustRightInd w:val="0"/>
        <w:jc w:val="both"/>
        <w:rPr>
          <w:rFonts w:ascii="Arial" w:hAnsi="Arial" w:cs="Arial"/>
          <w:color w:val="000000"/>
          <w:szCs w:val="23"/>
        </w:rPr>
      </w:pPr>
    </w:p>
    <w:p w:rsidR="00C932A6" w:rsidRDefault="00C932A6" w:rsidP="00C932A6">
      <w:pPr>
        <w:autoSpaceDE w:val="0"/>
        <w:autoSpaceDN w:val="0"/>
        <w:adjustRightInd w:val="0"/>
        <w:jc w:val="both"/>
        <w:rPr>
          <w:rFonts w:ascii="Arial" w:hAnsi="Arial" w:cs="Arial"/>
          <w:color w:val="000000"/>
          <w:szCs w:val="23"/>
        </w:rPr>
      </w:pPr>
    </w:p>
    <w:p w:rsidR="00C932A6" w:rsidRDefault="00C932A6" w:rsidP="00C932A6">
      <w:pPr>
        <w:autoSpaceDE w:val="0"/>
        <w:autoSpaceDN w:val="0"/>
        <w:adjustRightInd w:val="0"/>
        <w:jc w:val="both"/>
        <w:rPr>
          <w:rFonts w:ascii="Arial" w:hAnsi="Arial" w:cs="Arial"/>
          <w:color w:val="000000"/>
          <w:szCs w:val="23"/>
        </w:rPr>
      </w:pPr>
      <w:r w:rsidRPr="00D023D0">
        <w:rPr>
          <w:rFonts w:ascii="Arial" w:hAnsi="Arial" w:cs="Arial"/>
          <w:color w:val="000000"/>
          <w:szCs w:val="23"/>
        </w:rPr>
        <w:t xml:space="preserve">El contenido de la segunda ficha se enlista a continuación: </w:t>
      </w: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1D2A3D">
      <w:pPr>
        <w:numPr>
          <w:ilvl w:val="0"/>
          <w:numId w:val="55"/>
        </w:numPr>
        <w:suppressAutoHyphens/>
        <w:autoSpaceDE w:val="0"/>
        <w:autoSpaceDN w:val="0"/>
        <w:adjustRightInd w:val="0"/>
        <w:spacing w:after="42" w:line="240" w:lineRule="auto"/>
        <w:jc w:val="both"/>
        <w:rPr>
          <w:rFonts w:ascii="Arial" w:hAnsi="Arial" w:cs="Arial"/>
          <w:color w:val="000000"/>
          <w:szCs w:val="23"/>
        </w:rPr>
      </w:pPr>
      <w:r w:rsidRPr="00D023D0">
        <w:rPr>
          <w:rFonts w:ascii="Arial" w:hAnsi="Arial" w:cs="Arial"/>
          <w:color w:val="000000"/>
          <w:szCs w:val="23"/>
        </w:rPr>
        <w:t>Masa atómica: masa de un átomo, más frecuentemente expresada en unidades de masa atómica unificada, es la suma del número de neutrones y de protones que posee un átomo, con frecuencia se encuentra denotada en libros con la letra A</w:t>
      </w:r>
      <w:r>
        <w:rPr>
          <w:rFonts w:ascii="Arial" w:hAnsi="Arial" w:cs="Arial"/>
          <w:color w:val="000000"/>
          <w:szCs w:val="23"/>
        </w:rPr>
        <w:t xml:space="preserve"> [1]</w:t>
      </w:r>
      <w:r w:rsidRPr="00D023D0">
        <w:rPr>
          <w:rFonts w:ascii="Arial" w:hAnsi="Arial" w:cs="Arial"/>
          <w:color w:val="000000"/>
          <w:szCs w:val="23"/>
        </w:rPr>
        <w:t xml:space="preserve">. </w:t>
      </w:r>
    </w:p>
    <w:p w:rsidR="00C932A6" w:rsidRDefault="00C932A6" w:rsidP="001D2A3D">
      <w:pPr>
        <w:numPr>
          <w:ilvl w:val="0"/>
          <w:numId w:val="55"/>
        </w:numPr>
        <w:suppressAutoHyphens/>
        <w:autoSpaceDE w:val="0"/>
        <w:autoSpaceDN w:val="0"/>
        <w:adjustRightInd w:val="0"/>
        <w:spacing w:after="42" w:line="240" w:lineRule="auto"/>
        <w:jc w:val="both"/>
        <w:rPr>
          <w:rFonts w:ascii="Arial" w:hAnsi="Arial" w:cs="Arial"/>
          <w:color w:val="000000"/>
          <w:szCs w:val="23"/>
        </w:rPr>
      </w:pPr>
      <w:r w:rsidRPr="00D023D0">
        <w:rPr>
          <w:rFonts w:ascii="Arial" w:hAnsi="Arial" w:cs="Arial"/>
          <w:color w:val="000000"/>
          <w:szCs w:val="23"/>
        </w:rPr>
        <w:t xml:space="preserve">Grupo o familia a la que pertenece el elemento químico: grupo de elementos que tienen propiedades físicas y químicas similares, variando éstas de forma más o menos importante dentro del grupo. </w:t>
      </w:r>
    </w:p>
    <w:p w:rsidR="00C932A6" w:rsidRDefault="00C932A6" w:rsidP="001D2A3D">
      <w:pPr>
        <w:numPr>
          <w:ilvl w:val="0"/>
          <w:numId w:val="55"/>
        </w:numPr>
        <w:suppressAutoHyphens/>
        <w:autoSpaceDE w:val="0"/>
        <w:autoSpaceDN w:val="0"/>
        <w:adjustRightInd w:val="0"/>
        <w:spacing w:after="42" w:line="240" w:lineRule="auto"/>
        <w:jc w:val="both"/>
        <w:rPr>
          <w:rFonts w:ascii="Arial" w:hAnsi="Arial" w:cs="Arial"/>
          <w:color w:val="000000"/>
          <w:szCs w:val="23"/>
        </w:rPr>
      </w:pPr>
      <w:r w:rsidRPr="00D023D0">
        <w:rPr>
          <w:rFonts w:ascii="Arial" w:hAnsi="Arial" w:cs="Arial"/>
          <w:color w:val="000000"/>
          <w:szCs w:val="23"/>
        </w:rPr>
        <w:t xml:space="preserve">Bloque: La tabla periódica se divide en bloques de elementos según el orbital que estén ocupando los electrones más externos, tomando el bloque el nombre de dicho orbital, es decir s, p, d o f. </w:t>
      </w:r>
    </w:p>
    <w:p w:rsidR="00C932A6" w:rsidRDefault="00C932A6" w:rsidP="001D2A3D">
      <w:pPr>
        <w:numPr>
          <w:ilvl w:val="0"/>
          <w:numId w:val="55"/>
        </w:numPr>
        <w:suppressAutoHyphens/>
        <w:autoSpaceDE w:val="0"/>
        <w:autoSpaceDN w:val="0"/>
        <w:adjustRightInd w:val="0"/>
        <w:spacing w:after="42" w:line="240" w:lineRule="auto"/>
        <w:jc w:val="both"/>
        <w:rPr>
          <w:rFonts w:ascii="Arial" w:hAnsi="Arial" w:cs="Arial"/>
          <w:color w:val="000000"/>
          <w:szCs w:val="23"/>
        </w:rPr>
      </w:pPr>
      <w:r w:rsidRPr="00D023D0">
        <w:rPr>
          <w:rFonts w:ascii="Arial" w:hAnsi="Arial" w:cs="Arial"/>
          <w:color w:val="000000"/>
          <w:szCs w:val="23"/>
        </w:rPr>
        <w:t xml:space="preserve">Nombre del descubridor del elemento. </w:t>
      </w:r>
    </w:p>
    <w:p w:rsidR="00C932A6" w:rsidRDefault="00C932A6" w:rsidP="001D2A3D">
      <w:pPr>
        <w:numPr>
          <w:ilvl w:val="0"/>
          <w:numId w:val="55"/>
        </w:numPr>
        <w:suppressAutoHyphens/>
        <w:autoSpaceDE w:val="0"/>
        <w:autoSpaceDN w:val="0"/>
        <w:adjustRightInd w:val="0"/>
        <w:spacing w:after="42" w:line="240" w:lineRule="auto"/>
        <w:jc w:val="both"/>
        <w:rPr>
          <w:rFonts w:ascii="Arial" w:hAnsi="Arial" w:cs="Arial"/>
          <w:color w:val="000000"/>
          <w:szCs w:val="23"/>
        </w:rPr>
      </w:pPr>
      <w:r w:rsidRPr="00D023D0">
        <w:rPr>
          <w:rFonts w:ascii="Arial" w:hAnsi="Arial" w:cs="Arial"/>
          <w:color w:val="000000"/>
          <w:szCs w:val="23"/>
        </w:rPr>
        <w:t>Estado(s) de oxidación: Indicador del grado de oxidación de un átomo que forma parte de un compuesto u otra especie química, éste fenómeno se presenta cuando un elemento o compuesto pierde uno o más electrones y queda con una carga parcial perdiendo la neutralidad</w:t>
      </w:r>
      <w:r>
        <w:rPr>
          <w:rFonts w:ascii="Arial" w:hAnsi="Arial" w:cs="Arial"/>
          <w:color w:val="000000"/>
          <w:szCs w:val="23"/>
        </w:rPr>
        <w:t xml:space="preserve"> [4]</w:t>
      </w:r>
      <w:r w:rsidRPr="00D023D0">
        <w:rPr>
          <w:rFonts w:ascii="Arial" w:hAnsi="Arial" w:cs="Arial"/>
          <w:color w:val="000000"/>
          <w:szCs w:val="23"/>
        </w:rPr>
        <w:t xml:space="preserve">. </w:t>
      </w:r>
    </w:p>
    <w:p w:rsidR="00C932A6" w:rsidRDefault="00C932A6" w:rsidP="00C932A6">
      <w:pPr>
        <w:autoSpaceDE w:val="0"/>
        <w:autoSpaceDN w:val="0"/>
        <w:adjustRightInd w:val="0"/>
        <w:spacing w:after="42"/>
        <w:jc w:val="both"/>
        <w:rPr>
          <w:rFonts w:ascii="Arial" w:hAnsi="Arial" w:cs="Arial"/>
          <w:color w:val="000000"/>
          <w:szCs w:val="23"/>
        </w:rPr>
      </w:pPr>
      <w:r>
        <w:rPr>
          <w:noProof/>
          <w:lang w:val="en-US"/>
        </w:rPr>
        <w:lastRenderedPageBreak/>
        <w:drawing>
          <wp:anchor distT="0" distB="0" distL="114300" distR="114300" simplePos="0" relativeHeight="251832320" behindDoc="1" locked="0" layoutInCell="1" allowOverlap="1" wp14:anchorId="4A62CCD6" wp14:editId="4B58FD51">
            <wp:simplePos x="0" y="0"/>
            <wp:positionH relativeFrom="column">
              <wp:posOffset>490220</wp:posOffset>
            </wp:positionH>
            <wp:positionV relativeFrom="paragraph">
              <wp:posOffset>51435</wp:posOffset>
            </wp:positionV>
            <wp:extent cx="4989195" cy="2162175"/>
            <wp:effectExtent l="0" t="0" r="0" b="0"/>
            <wp:wrapThrough wrapText="bothSides">
              <wp:wrapPolygon edited="0">
                <wp:start x="6351" y="0"/>
                <wp:lineTo x="0" y="1142"/>
                <wp:lineTo x="0" y="6090"/>
                <wp:lineTo x="6351" y="6090"/>
                <wp:lineTo x="6351" y="9135"/>
                <wp:lineTo x="3381" y="10657"/>
                <wp:lineTo x="2144" y="11419"/>
                <wp:lineTo x="2144" y="12180"/>
                <wp:lineTo x="1814" y="13322"/>
                <wp:lineTo x="1897" y="19221"/>
                <wp:lineTo x="5031" y="21315"/>
                <wp:lineTo x="6433" y="21505"/>
                <wp:lineTo x="16082" y="21505"/>
                <wp:lineTo x="16082" y="21315"/>
                <wp:lineTo x="21526" y="19031"/>
                <wp:lineTo x="21526" y="13512"/>
                <wp:lineTo x="19052" y="12180"/>
                <wp:lineTo x="16082" y="9135"/>
                <wp:lineTo x="16082" y="0"/>
                <wp:lineTo x="6351" y="0"/>
              </wp:wrapPolygon>
            </wp:wrapThrough>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262">
                      <a:extLst>
                        <a:ext uri="{28A0092B-C50C-407E-A947-70E740481C1C}">
                          <a14:useLocalDpi xmlns:a14="http://schemas.microsoft.com/office/drawing/2010/main" val="0"/>
                        </a:ext>
                      </a:extLst>
                    </a:blip>
                    <a:srcRect l="4814" r="4259"/>
                    <a:stretch>
                      <a:fillRect/>
                    </a:stretch>
                  </pic:blipFill>
                  <pic:spPr bwMode="auto">
                    <a:xfrm>
                      <a:off x="0" y="0"/>
                      <a:ext cx="4989195" cy="2162175"/>
                    </a:xfrm>
                    <a:prstGeom prst="rect">
                      <a:avLst/>
                    </a:prstGeom>
                    <a:noFill/>
                  </pic:spPr>
                </pic:pic>
              </a:graphicData>
            </a:graphic>
            <wp14:sizeRelH relativeFrom="page">
              <wp14:pctWidth>0</wp14:pctWidth>
            </wp14:sizeRelH>
            <wp14:sizeRelV relativeFrom="page">
              <wp14:pctHeight>0</wp14:pctHeight>
            </wp14:sizeRelV>
          </wp:anchor>
        </w:drawing>
      </w: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jc w:val="center"/>
        <w:rPr>
          <w:rFonts w:ascii="Arial" w:hAnsi="Arial" w:cs="Arial"/>
          <w:i/>
          <w:sz w:val="20"/>
        </w:rPr>
      </w:pPr>
      <w:r>
        <w:rPr>
          <w:rFonts w:ascii="Arial" w:hAnsi="Arial" w:cs="Arial"/>
          <w:i/>
          <w:sz w:val="20"/>
        </w:rPr>
        <w:t>Figura 2.Vista interna ficha B</w:t>
      </w:r>
    </w:p>
    <w:p w:rsidR="00C932A6" w:rsidRDefault="00C932A6" w:rsidP="00C932A6">
      <w:pPr>
        <w:autoSpaceDE w:val="0"/>
        <w:autoSpaceDN w:val="0"/>
        <w:adjustRightInd w:val="0"/>
        <w:spacing w:after="42"/>
        <w:jc w:val="both"/>
        <w:rPr>
          <w:rFonts w:ascii="Arial" w:hAnsi="Arial" w:cs="Arial"/>
          <w:color w:val="000000"/>
          <w:szCs w:val="23"/>
        </w:rPr>
      </w:pPr>
      <w:r>
        <w:rPr>
          <w:noProof/>
          <w:lang w:val="en-US"/>
        </w:rPr>
        <w:drawing>
          <wp:anchor distT="0" distB="0" distL="114300" distR="114300" simplePos="0" relativeHeight="251833344" behindDoc="1" locked="0" layoutInCell="1" allowOverlap="1" wp14:anchorId="2FFAE285" wp14:editId="46D0D6D7">
            <wp:simplePos x="0" y="0"/>
            <wp:positionH relativeFrom="column">
              <wp:posOffset>2140585</wp:posOffset>
            </wp:positionH>
            <wp:positionV relativeFrom="paragraph">
              <wp:posOffset>178435</wp:posOffset>
            </wp:positionV>
            <wp:extent cx="1700530" cy="2158365"/>
            <wp:effectExtent l="0" t="0" r="0" b="0"/>
            <wp:wrapThrough wrapText="bothSides">
              <wp:wrapPolygon edited="0">
                <wp:start x="0" y="0"/>
                <wp:lineTo x="0" y="21352"/>
                <wp:lineTo x="21294" y="21352"/>
                <wp:lineTo x="21294" y="0"/>
                <wp:lineTo x="0" y="0"/>
              </wp:wrapPolygon>
            </wp:wrapThrough>
            <wp:docPr id="15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1700530" cy="2158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autoSpaceDE w:val="0"/>
        <w:autoSpaceDN w:val="0"/>
        <w:adjustRightInd w:val="0"/>
        <w:spacing w:after="42"/>
        <w:jc w:val="both"/>
        <w:rPr>
          <w:rFonts w:ascii="Arial" w:hAnsi="Arial" w:cs="Arial"/>
          <w:color w:val="000000"/>
          <w:szCs w:val="23"/>
        </w:rPr>
      </w:pPr>
    </w:p>
    <w:p w:rsidR="00C932A6" w:rsidRDefault="00C932A6" w:rsidP="00C932A6">
      <w:pPr>
        <w:jc w:val="center"/>
        <w:rPr>
          <w:rFonts w:ascii="Arial" w:hAnsi="Arial" w:cs="Arial"/>
          <w:i/>
          <w:sz w:val="20"/>
        </w:rPr>
      </w:pPr>
    </w:p>
    <w:p w:rsidR="00C932A6" w:rsidRPr="008D01A0" w:rsidRDefault="00C932A6" w:rsidP="00C932A6">
      <w:pPr>
        <w:jc w:val="center"/>
        <w:rPr>
          <w:rFonts w:ascii="Arial" w:hAnsi="Arial" w:cs="Arial"/>
          <w:i/>
          <w:sz w:val="20"/>
        </w:rPr>
      </w:pPr>
      <w:r>
        <w:rPr>
          <w:rFonts w:ascii="Arial" w:hAnsi="Arial" w:cs="Arial"/>
          <w:i/>
          <w:sz w:val="20"/>
        </w:rPr>
        <w:t>Figura 3. Vista externa de las fichas</w:t>
      </w:r>
      <w:r>
        <w:rPr>
          <w:noProof/>
          <w:lang w:val="en-US"/>
        </w:rPr>
        <mc:AlternateContent>
          <mc:Choice Requires="wpg">
            <w:drawing>
              <wp:anchor distT="0" distB="0" distL="114300" distR="114300" simplePos="0" relativeHeight="251831296" behindDoc="0" locked="0" layoutInCell="1" allowOverlap="1" wp14:anchorId="54CEDDBB" wp14:editId="1F1D30CB">
                <wp:simplePos x="0" y="0"/>
                <wp:positionH relativeFrom="column">
                  <wp:posOffset>981075</wp:posOffset>
                </wp:positionH>
                <wp:positionV relativeFrom="paragraph">
                  <wp:posOffset>4699000</wp:posOffset>
                </wp:positionV>
                <wp:extent cx="5481955" cy="2160270"/>
                <wp:effectExtent l="0" t="0" r="0" b="0"/>
                <wp:wrapNone/>
                <wp:docPr id="2026623764" name="5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1955" cy="2160270"/>
                          <a:chOff x="138837" y="0"/>
                          <a:chExt cx="5482357" cy="3096260"/>
                        </a:xfrm>
                      </wpg:grpSpPr>
                      <wpg:grpSp>
                        <wpg:cNvPr id="2026623765" name="43 Grupo"/>
                        <wpg:cNvGrpSpPr/>
                        <wpg:grpSpPr>
                          <a:xfrm>
                            <a:off x="138837" y="0"/>
                            <a:ext cx="5482357" cy="3096260"/>
                            <a:chOff x="138837" y="0"/>
                            <a:chExt cx="5482357" cy="3096260"/>
                          </a:xfrm>
                        </wpg:grpSpPr>
                        <wpg:grpSp>
                          <wpg:cNvPr id="2026623766" name="17 Grupo"/>
                          <wpg:cNvGrpSpPr/>
                          <wpg:grpSpPr>
                            <a:xfrm>
                              <a:off x="138837" y="212814"/>
                              <a:ext cx="2266543" cy="630624"/>
                              <a:chOff x="-197589" y="-11477"/>
                              <a:chExt cx="2267342" cy="630851"/>
                            </a:xfrm>
                          </wpg:grpSpPr>
                          <wps:wsp>
                            <wps:cNvPr id="2026623767" name="18 Cuadro de texto"/>
                            <wps:cNvSpPr txBox="1"/>
                            <wps:spPr>
                              <a:xfrm>
                                <a:off x="-197589" y="-11477"/>
                                <a:ext cx="1942388" cy="630851"/>
                              </a:xfrm>
                              <a:prstGeom prst="rect">
                                <a:avLst/>
                              </a:prstGeom>
                              <a:solidFill>
                                <a:sysClr val="window" lastClr="FFFFFF"/>
                              </a:solidFill>
                              <a:ln w="6350">
                                <a:noFill/>
                              </a:ln>
                              <a:effectLst/>
                            </wps:spPr>
                            <wps:txbx>
                              <w:txbxContent>
                                <w:p w:rsidR="00C20C0F" w:rsidRPr="00FF5808" w:rsidRDefault="00C20C0F" w:rsidP="00C932A6">
                                  <w:pPr>
                                    <w:jc w:val="center"/>
                                    <w:rPr>
                                      <w:sz w:val="18"/>
                                    </w:rPr>
                                  </w:pPr>
                                  <w:r w:rsidRPr="00FF5808">
                                    <w:rPr>
                                      <w:sz w:val="18"/>
                                    </w:rPr>
                                    <w:t>Breve descripción general del elemento.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6623768" name="19 Conector recto de flecha"/>
                            <wps:cNvCnPr/>
                            <wps:spPr>
                              <a:xfrm flipH="1">
                                <a:off x="1570008" y="138023"/>
                                <a:ext cx="499745" cy="0"/>
                              </a:xfrm>
                              <a:prstGeom prst="straightConnector1">
                                <a:avLst/>
                              </a:prstGeom>
                              <a:noFill/>
                              <a:ln w="6350" cap="flat" cmpd="sng" algn="ctr">
                                <a:noFill/>
                                <a:prstDash val="solid"/>
                                <a:miter lim="800000"/>
                                <a:tailEnd type="arrow"/>
                              </a:ln>
                              <a:effectLst/>
                            </wps:spPr>
                            <wps:bodyPr/>
                          </wps:wsp>
                        </wpg:grpSp>
                        <wpg:grpSp>
                          <wpg:cNvPr id="2026623769" name="40 Grupo"/>
                          <wpg:cNvGrpSpPr/>
                          <wpg:grpSpPr>
                            <a:xfrm>
                              <a:off x="847291" y="0"/>
                              <a:ext cx="4773903" cy="3096260"/>
                              <a:chOff x="191683" y="0"/>
                              <a:chExt cx="4773903" cy="3096883"/>
                            </a:xfrm>
                          </wpg:grpSpPr>
                          <pic:pic xmlns:pic="http://schemas.openxmlformats.org/drawingml/2006/picture">
                            <pic:nvPicPr>
                              <pic:cNvPr id="2026623770" name="Imagen 4"/>
                              <pic:cNvPicPr>
                                <a:picLocks noChangeAspect="1"/>
                              </pic:cNvPicPr>
                            </pic:nvPicPr>
                            <pic:blipFill>
                              <a:blip r:embed="rId1264"/>
                              <a:stretch>
                                <a:fillRect/>
                              </a:stretch>
                            </pic:blipFill>
                            <pic:spPr>
                              <a:xfrm>
                                <a:off x="1268083" y="0"/>
                                <a:ext cx="2173856" cy="3096883"/>
                              </a:xfrm>
                              <a:prstGeom prst="rect">
                                <a:avLst/>
                              </a:prstGeom>
                              <a:ln>
                                <a:noFill/>
                              </a:ln>
                            </pic:spPr>
                          </pic:pic>
                          <wpg:grpSp>
                            <wpg:cNvPr id="2026623771" name="39 Grupo"/>
                            <wpg:cNvGrpSpPr/>
                            <wpg:grpSpPr>
                              <a:xfrm>
                                <a:off x="191683" y="1646310"/>
                                <a:ext cx="1394391" cy="1111506"/>
                                <a:chOff x="191683" y="-1336"/>
                                <a:chExt cx="1394391" cy="1111506"/>
                              </a:xfrm>
                            </wpg:grpSpPr>
                            <wpg:grpSp>
                              <wpg:cNvPr id="2026623772" name="20 Grupo"/>
                              <wpg:cNvGrpSpPr/>
                              <wpg:grpSpPr>
                                <a:xfrm>
                                  <a:off x="284169" y="-1336"/>
                                  <a:ext cx="1276337" cy="413662"/>
                                  <a:chOff x="376903" y="-1668"/>
                                  <a:chExt cx="1692850" cy="516565"/>
                                </a:xfrm>
                              </wpg:grpSpPr>
                              <wps:wsp>
                                <wps:cNvPr id="2026623773" name="21 Cuadro de texto"/>
                                <wps:cNvSpPr txBox="1"/>
                                <wps:spPr>
                                  <a:xfrm>
                                    <a:off x="376903" y="-1668"/>
                                    <a:ext cx="1144848" cy="516565"/>
                                  </a:xfrm>
                                  <a:prstGeom prst="rect">
                                    <a:avLst/>
                                  </a:prstGeom>
                                  <a:solidFill>
                                    <a:sysClr val="window" lastClr="FFFFFF"/>
                                  </a:solidFill>
                                  <a:ln w="6350">
                                    <a:noFill/>
                                  </a:ln>
                                  <a:effectLst/>
                                </wps:spPr>
                                <wps:txbx>
                                  <w:txbxContent>
                                    <w:p w:rsidR="00C20C0F" w:rsidRPr="00FF5808" w:rsidRDefault="00C20C0F" w:rsidP="00C932A6">
                                      <w:pPr>
                                        <w:jc w:val="center"/>
                                        <w:rPr>
                                          <w:sz w:val="18"/>
                                        </w:rPr>
                                      </w:pPr>
                                      <w:r w:rsidRPr="00FF5808">
                                        <w:rPr>
                                          <w:sz w:val="18"/>
                                        </w:rPr>
                                        <w:t>No. Atómico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6623774" name="22 Conector recto de flecha"/>
                                <wps:cNvCnPr/>
                                <wps:spPr>
                                  <a:xfrm flipH="1">
                                    <a:off x="1570008" y="138023"/>
                                    <a:ext cx="499745" cy="0"/>
                                  </a:xfrm>
                                  <a:prstGeom prst="straightConnector1">
                                    <a:avLst/>
                                  </a:prstGeom>
                                  <a:noFill/>
                                  <a:ln w="6350" cap="flat" cmpd="sng" algn="ctr">
                                    <a:noFill/>
                                    <a:prstDash val="solid"/>
                                    <a:miter lim="800000"/>
                                    <a:tailEnd type="arrow"/>
                                  </a:ln>
                                  <a:effectLst/>
                                </wps:spPr>
                                <wps:bodyPr/>
                              </wps:wsp>
                            </wpg:grpSp>
                            <wpg:grpSp>
                              <wpg:cNvPr id="2026623775" name="26 Grupo"/>
                              <wpg:cNvGrpSpPr/>
                              <wpg:grpSpPr>
                                <a:xfrm>
                                  <a:off x="191683" y="279421"/>
                                  <a:ext cx="1394391" cy="396748"/>
                                  <a:chOff x="219955" y="-28128"/>
                                  <a:chExt cx="1849798" cy="495935"/>
                                </a:xfrm>
                              </wpg:grpSpPr>
                              <wps:wsp>
                                <wps:cNvPr id="64" name="27 Cuadro de texto"/>
                                <wps:cNvSpPr txBox="1"/>
                                <wps:spPr>
                                  <a:xfrm>
                                    <a:off x="219955" y="-28128"/>
                                    <a:ext cx="1316036" cy="495935"/>
                                  </a:xfrm>
                                  <a:prstGeom prst="rect">
                                    <a:avLst/>
                                  </a:prstGeom>
                                  <a:solidFill>
                                    <a:sysClr val="window" lastClr="FFFFFF"/>
                                  </a:solidFill>
                                  <a:ln w="6350">
                                    <a:noFill/>
                                  </a:ln>
                                  <a:effectLst/>
                                </wps:spPr>
                                <wps:txbx>
                                  <w:txbxContent>
                                    <w:p w:rsidR="00C20C0F" w:rsidRPr="00FF5808" w:rsidRDefault="00C20C0F" w:rsidP="00C932A6">
                                      <w:pPr>
                                        <w:jc w:val="center"/>
                                        <w:rPr>
                                          <w:sz w:val="18"/>
                                        </w:rPr>
                                      </w:pPr>
                                      <w:r w:rsidRPr="00FF5808">
                                        <w:rPr>
                                          <w:sz w:val="18"/>
                                        </w:rPr>
                                        <w:t>Serie Química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28 Conector recto de flecha"/>
                                <wps:cNvCnPr/>
                                <wps:spPr>
                                  <a:xfrm flipH="1">
                                    <a:off x="1570008" y="138023"/>
                                    <a:ext cx="499745" cy="0"/>
                                  </a:xfrm>
                                  <a:prstGeom prst="straightConnector1">
                                    <a:avLst/>
                                  </a:prstGeom>
                                  <a:noFill/>
                                  <a:ln w="6350" cap="flat" cmpd="sng" algn="ctr">
                                    <a:noFill/>
                                    <a:prstDash val="solid"/>
                                    <a:miter lim="800000"/>
                                    <a:tailEnd type="arrow"/>
                                  </a:ln>
                                  <a:effectLst/>
                                </wps:spPr>
                                <wps:bodyPr/>
                              </wps:wsp>
                            </wpg:grpSp>
                            <wpg:grpSp>
                              <wpg:cNvPr id="66" name="29 Grupo"/>
                              <wpg:cNvGrpSpPr/>
                              <wpg:grpSpPr>
                                <a:xfrm>
                                  <a:off x="241770" y="696472"/>
                                  <a:ext cx="1318425" cy="413698"/>
                                  <a:chOff x="320732" y="-2833"/>
                                  <a:chExt cx="1749021" cy="517123"/>
                                </a:xfrm>
                              </wpg:grpSpPr>
                              <wps:wsp>
                                <wps:cNvPr id="67" name="30 Cuadro de texto"/>
                                <wps:cNvSpPr txBox="1"/>
                                <wps:spPr>
                                  <a:xfrm>
                                    <a:off x="320732" y="-2833"/>
                                    <a:ext cx="1206113" cy="517123"/>
                                  </a:xfrm>
                                  <a:prstGeom prst="rect">
                                    <a:avLst/>
                                  </a:prstGeom>
                                  <a:solidFill>
                                    <a:sysClr val="window" lastClr="FFFFFF"/>
                                  </a:solidFill>
                                  <a:ln w="6350">
                                    <a:noFill/>
                                  </a:ln>
                                  <a:effectLst/>
                                </wps:spPr>
                                <wps:txbx>
                                  <w:txbxContent>
                                    <w:p w:rsidR="00C20C0F" w:rsidRPr="00FF5808" w:rsidRDefault="00C20C0F" w:rsidP="00C932A6">
                                      <w:pPr>
                                        <w:jc w:val="center"/>
                                        <w:rPr>
                                          <w:sz w:val="18"/>
                                        </w:rPr>
                                      </w:pPr>
                                      <w:r w:rsidRPr="00FF5808">
                                        <w:rPr>
                                          <w:sz w:val="18"/>
                                        </w:rPr>
                                        <w:t>Descubridor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31 Conector recto de flecha"/>
                                <wps:cNvCnPr/>
                                <wps:spPr>
                                  <a:xfrm flipH="1">
                                    <a:off x="1570008" y="138023"/>
                                    <a:ext cx="499745" cy="0"/>
                                  </a:xfrm>
                                  <a:prstGeom prst="straightConnector1">
                                    <a:avLst/>
                                  </a:prstGeom>
                                  <a:noFill/>
                                  <a:ln w="6350" cap="flat" cmpd="sng" algn="ctr">
                                    <a:noFill/>
                                    <a:prstDash val="solid"/>
                                    <a:miter lim="800000"/>
                                    <a:tailEnd type="arrow"/>
                                  </a:ln>
                                  <a:effectLst/>
                                </wps:spPr>
                                <wps:bodyPr/>
                              </wps:wsp>
                            </wpg:grpSp>
                          </wpg:grpSp>
                          <wpg:grpSp>
                            <wpg:cNvPr id="69" name="38 Grupo"/>
                            <wpg:cNvGrpSpPr/>
                            <wpg:grpSpPr>
                              <a:xfrm>
                                <a:off x="2562045" y="1776801"/>
                                <a:ext cx="2403541" cy="949789"/>
                                <a:chOff x="0" y="-26120"/>
                                <a:chExt cx="2403541" cy="949789"/>
                              </a:xfrm>
                            </wpg:grpSpPr>
                            <wpg:grpSp>
                              <wpg:cNvPr id="70" name="23 Grupo"/>
                              <wpg:cNvGrpSpPr/>
                              <wpg:grpSpPr>
                                <a:xfrm>
                                  <a:off x="0" y="-26120"/>
                                  <a:ext cx="1553370" cy="310438"/>
                                  <a:chOff x="0" y="-30647"/>
                                  <a:chExt cx="1553550" cy="364247"/>
                                </a:xfrm>
                              </wpg:grpSpPr>
                              <wps:wsp>
                                <wps:cNvPr id="71" name="24 Conector recto de flecha"/>
                                <wps:cNvCnPr/>
                                <wps:spPr>
                                  <a:xfrm>
                                    <a:off x="0" y="146649"/>
                                    <a:ext cx="879475" cy="0"/>
                                  </a:xfrm>
                                  <a:prstGeom prst="straightConnector1">
                                    <a:avLst/>
                                  </a:prstGeom>
                                  <a:noFill/>
                                  <a:ln w="6350" cap="flat" cmpd="sng" algn="ctr">
                                    <a:noFill/>
                                    <a:prstDash val="solid"/>
                                    <a:miter lim="800000"/>
                                    <a:tailEnd type="arrow"/>
                                  </a:ln>
                                  <a:effectLst/>
                                </wps:spPr>
                                <wps:bodyPr/>
                              </wps:wsp>
                              <wps:wsp>
                                <wps:cNvPr id="72" name="25 Cuadro de texto"/>
                                <wps:cNvSpPr txBox="1"/>
                                <wps:spPr>
                                  <a:xfrm>
                                    <a:off x="776510" y="-30647"/>
                                    <a:ext cx="777040" cy="364247"/>
                                  </a:xfrm>
                                  <a:prstGeom prst="rect">
                                    <a:avLst/>
                                  </a:prstGeom>
                                  <a:solidFill>
                                    <a:sysClr val="window" lastClr="FFFFFF"/>
                                  </a:solidFill>
                                  <a:ln w="6350">
                                    <a:noFill/>
                                  </a:ln>
                                  <a:effectLst/>
                                </wps:spPr>
                                <wps:txbx>
                                  <w:txbxContent>
                                    <w:p w:rsidR="00C20C0F" w:rsidRPr="00FF5808" w:rsidRDefault="00C20C0F" w:rsidP="00C932A6">
                                      <w:pPr>
                                        <w:jc w:val="center"/>
                                        <w:rPr>
                                          <w:sz w:val="18"/>
                                        </w:rPr>
                                      </w:pPr>
                                      <w:r w:rsidRPr="00FF5808">
                                        <w:rPr>
                                          <w:sz w:val="18"/>
                                        </w:rPr>
                                        <w:t>Masa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3" name="32 Grupo"/>
                              <wpg:cNvGrpSpPr/>
                              <wpg:grpSpPr>
                                <a:xfrm>
                                  <a:off x="146649" y="622044"/>
                                  <a:ext cx="2256892" cy="301625"/>
                                  <a:chOff x="0" y="-33564"/>
                                  <a:chExt cx="2257154" cy="301625"/>
                                </a:xfrm>
                              </wpg:grpSpPr>
                              <wps:wsp>
                                <wps:cNvPr id="74" name="33 Conector recto de flecha"/>
                                <wps:cNvCnPr/>
                                <wps:spPr>
                                  <a:xfrm>
                                    <a:off x="0" y="146649"/>
                                    <a:ext cx="879475" cy="0"/>
                                  </a:xfrm>
                                  <a:prstGeom prst="straightConnector1">
                                    <a:avLst/>
                                  </a:prstGeom>
                                  <a:noFill/>
                                  <a:ln w="6350" cap="flat" cmpd="sng" algn="ctr">
                                    <a:noFill/>
                                    <a:prstDash val="solid"/>
                                    <a:miter lim="800000"/>
                                    <a:tailEnd type="arrow"/>
                                  </a:ln>
                                  <a:effectLst/>
                                </wps:spPr>
                                <wps:bodyPr/>
                              </wps:wsp>
                              <wps:wsp>
                                <wps:cNvPr id="75" name="34 Cuadro de texto"/>
                                <wps:cNvSpPr txBox="1"/>
                                <wps:spPr>
                                  <a:xfrm>
                                    <a:off x="816110" y="-33564"/>
                                    <a:ext cx="1441044" cy="301625"/>
                                  </a:xfrm>
                                  <a:prstGeom prst="rect">
                                    <a:avLst/>
                                  </a:prstGeom>
                                  <a:solidFill>
                                    <a:sysClr val="window" lastClr="FFFFFF"/>
                                  </a:solidFill>
                                  <a:ln w="6350">
                                    <a:noFill/>
                                  </a:ln>
                                  <a:effectLst/>
                                </wps:spPr>
                                <wps:txbx>
                                  <w:txbxContent>
                                    <w:p w:rsidR="00C20C0F" w:rsidRPr="00FF5808" w:rsidRDefault="00C20C0F" w:rsidP="00C932A6">
                                      <w:pPr>
                                        <w:jc w:val="center"/>
                                        <w:rPr>
                                          <w:sz w:val="18"/>
                                        </w:rPr>
                                      </w:pPr>
                                      <w:r w:rsidRPr="00FF5808">
                                        <w:rPr>
                                          <w:sz w:val="18"/>
                                        </w:rPr>
                                        <w:t>Estado de oxidación.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6" name="35 Grupo"/>
                              <wpg:cNvGrpSpPr/>
                              <wpg:grpSpPr>
                                <a:xfrm>
                                  <a:off x="336430" y="189346"/>
                                  <a:ext cx="1930932" cy="370874"/>
                                  <a:chOff x="-465880" y="-112079"/>
                                  <a:chExt cx="1931156" cy="436052"/>
                                </a:xfrm>
                              </wpg:grpSpPr>
                              <wps:wsp>
                                <wps:cNvPr id="77" name="36 Conector recto de flecha"/>
                                <wps:cNvCnPr/>
                                <wps:spPr>
                                  <a:xfrm>
                                    <a:off x="-465880" y="146649"/>
                                    <a:ext cx="1345355" cy="0"/>
                                  </a:xfrm>
                                  <a:prstGeom prst="straightConnector1">
                                    <a:avLst/>
                                  </a:prstGeom>
                                  <a:noFill/>
                                  <a:ln w="6350" cap="flat" cmpd="sng" algn="ctr">
                                    <a:noFill/>
                                    <a:prstDash val="solid"/>
                                    <a:miter lim="800000"/>
                                    <a:tailEnd type="arrow"/>
                                  </a:ln>
                                  <a:effectLst/>
                                </wps:spPr>
                                <wps:bodyPr/>
                              </wps:wsp>
                              <wps:wsp>
                                <wps:cNvPr id="78" name="37 Cuadro de texto"/>
                                <wps:cNvSpPr txBox="1"/>
                                <wps:spPr>
                                  <a:xfrm>
                                    <a:off x="792416" y="-112079"/>
                                    <a:ext cx="672860" cy="436052"/>
                                  </a:xfrm>
                                  <a:prstGeom prst="rect">
                                    <a:avLst/>
                                  </a:prstGeom>
                                  <a:solidFill>
                                    <a:sysClr val="window" lastClr="FFFFFF"/>
                                  </a:solidFill>
                                  <a:ln w="6350">
                                    <a:noFill/>
                                  </a:ln>
                                  <a:effectLst/>
                                </wps:spPr>
                                <wps:txbx>
                                  <w:txbxContent>
                                    <w:p w:rsidR="00C20C0F" w:rsidRPr="00874471" w:rsidRDefault="00C20C0F" w:rsidP="00C932A6">
                                      <w:pPr>
                                        <w:jc w:val="center"/>
                                        <w:rPr>
                                          <w:sz w:val="20"/>
                                        </w:rPr>
                                      </w:pPr>
                                      <w:r>
                                        <w:rPr>
                                          <w:sz w:val="20"/>
                                        </w:rPr>
                                        <w:t>Bloque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grpSp>
                        <wpg:cNvPr id="79" name="51 Grupo"/>
                        <wpg:cNvGrpSpPr/>
                        <wpg:grpSpPr>
                          <a:xfrm>
                            <a:off x="1673525" y="362310"/>
                            <a:ext cx="3286420" cy="2225615"/>
                            <a:chOff x="0" y="0"/>
                            <a:chExt cx="3286420" cy="2225615"/>
                          </a:xfrm>
                        </wpg:grpSpPr>
                        <wps:wsp>
                          <wps:cNvPr id="80" name="44 Conector recto de flecha"/>
                          <wps:cNvCnPr/>
                          <wps:spPr>
                            <a:xfrm flipH="1">
                              <a:off x="163902" y="0"/>
                              <a:ext cx="480813" cy="0"/>
                            </a:xfrm>
                            <a:prstGeom prst="straightConnector1">
                              <a:avLst/>
                            </a:prstGeom>
                            <a:noFill/>
                            <a:ln w="6350" cap="flat" cmpd="sng" algn="ctr">
                              <a:solidFill>
                                <a:srgbClr val="4472C4"/>
                              </a:solidFill>
                              <a:prstDash val="solid"/>
                              <a:miter lim="800000"/>
                              <a:tailEnd type="arrow"/>
                            </a:ln>
                            <a:effectLst/>
                          </wps:spPr>
                          <wps:bodyPr/>
                        </wps:wsp>
                        <wps:wsp>
                          <wps:cNvPr id="81" name="45 Conector recto de flecha"/>
                          <wps:cNvCnPr/>
                          <wps:spPr>
                            <a:xfrm flipH="1">
                              <a:off x="8626" y="1414732"/>
                              <a:ext cx="480695" cy="0"/>
                            </a:xfrm>
                            <a:prstGeom prst="straightConnector1">
                              <a:avLst/>
                            </a:prstGeom>
                            <a:noFill/>
                            <a:ln w="6350" cap="flat" cmpd="sng" algn="ctr">
                              <a:solidFill>
                                <a:srgbClr val="4472C4"/>
                              </a:solidFill>
                              <a:prstDash val="solid"/>
                              <a:miter lim="800000"/>
                              <a:tailEnd type="arrow"/>
                            </a:ln>
                            <a:effectLst/>
                          </wps:spPr>
                          <wps:bodyPr/>
                        </wps:wsp>
                        <wps:wsp>
                          <wps:cNvPr id="82" name="46 Conector recto de flecha"/>
                          <wps:cNvCnPr/>
                          <wps:spPr>
                            <a:xfrm flipH="1">
                              <a:off x="8626" y="1699404"/>
                              <a:ext cx="480695" cy="0"/>
                            </a:xfrm>
                            <a:prstGeom prst="straightConnector1">
                              <a:avLst/>
                            </a:prstGeom>
                            <a:noFill/>
                            <a:ln w="6350" cap="flat" cmpd="sng" algn="ctr">
                              <a:solidFill>
                                <a:srgbClr val="4472C4"/>
                              </a:solidFill>
                              <a:prstDash val="solid"/>
                              <a:miter lim="800000"/>
                              <a:tailEnd type="arrow"/>
                            </a:ln>
                            <a:effectLst/>
                          </wps:spPr>
                          <wps:bodyPr/>
                        </wps:wsp>
                        <wps:wsp>
                          <wps:cNvPr id="83" name="47 Conector recto de flecha"/>
                          <wps:cNvCnPr/>
                          <wps:spPr>
                            <a:xfrm flipH="1">
                              <a:off x="0" y="2104845"/>
                              <a:ext cx="480695" cy="0"/>
                            </a:xfrm>
                            <a:prstGeom prst="straightConnector1">
                              <a:avLst/>
                            </a:prstGeom>
                            <a:noFill/>
                            <a:ln w="6350" cap="flat" cmpd="sng" algn="ctr">
                              <a:solidFill>
                                <a:srgbClr val="4472C4"/>
                              </a:solidFill>
                              <a:prstDash val="solid"/>
                              <a:miter lim="800000"/>
                              <a:tailEnd type="arrow"/>
                            </a:ln>
                            <a:effectLst/>
                          </wps:spPr>
                          <wps:bodyPr/>
                        </wps:wsp>
                        <wps:wsp>
                          <wps:cNvPr id="84" name="48 Conector recto de flecha"/>
                          <wps:cNvCnPr/>
                          <wps:spPr>
                            <a:xfrm>
                              <a:off x="1544128" y="1570007"/>
                              <a:ext cx="1026160" cy="0"/>
                            </a:xfrm>
                            <a:prstGeom prst="straightConnector1">
                              <a:avLst/>
                            </a:prstGeom>
                            <a:noFill/>
                            <a:ln w="6350" cap="flat" cmpd="sng" algn="ctr">
                              <a:solidFill>
                                <a:srgbClr val="4472C4"/>
                              </a:solidFill>
                              <a:prstDash val="solid"/>
                              <a:miter lim="800000"/>
                              <a:tailEnd type="arrow"/>
                            </a:ln>
                            <a:effectLst/>
                          </wps:spPr>
                          <wps:bodyPr/>
                        </wps:wsp>
                        <wps:wsp>
                          <wps:cNvPr id="85" name="49 Conector recto de flecha"/>
                          <wps:cNvCnPr/>
                          <wps:spPr>
                            <a:xfrm flipV="1">
                              <a:off x="1147313" y="1828800"/>
                              <a:ext cx="2139107" cy="681"/>
                            </a:xfrm>
                            <a:prstGeom prst="straightConnector1">
                              <a:avLst/>
                            </a:prstGeom>
                            <a:noFill/>
                            <a:ln w="6350" cap="flat" cmpd="sng" algn="ctr">
                              <a:solidFill>
                                <a:srgbClr val="4472C4"/>
                              </a:solidFill>
                              <a:prstDash val="solid"/>
                              <a:miter lim="800000"/>
                              <a:tailEnd type="arrow"/>
                            </a:ln>
                            <a:effectLst/>
                          </wps:spPr>
                          <wps:bodyPr/>
                        </wps:wsp>
                        <wps:wsp>
                          <wps:cNvPr id="86" name="50 Conector recto de flecha"/>
                          <wps:cNvCnPr/>
                          <wps:spPr>
                            <a:xfrm>
                              <a:off x="1682151" y="2225615"/>
                              <a:ext cx="1026160" cy="0"/>
                            </a:xfrm>
                            <a:prstGeom prst="straightConnector1">
                              <a:avLst/>
                            </a:prstGeom>
                            <a:noFill/>
                            <a:ln w="6350" cap="flat" cmpd="sng" algn="ctr">
                              <a:solidFill>
                                <a:srgbClr val="4472C4"/>
                              </a:solidFill>
                              <a:prstDash val="solid"/>
                              <a:miter lim="800000"/>
                              <a:tailEnd type="arrow"/>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54CEDDBB" id="52 Grupo" o:spid="_x0000_s1272" style="position:absolute;left:0;text-align:left;margin-left:77.25pt;margin-top:370pt;width:431.65pt;height:170.1pt;z-index:251831296;mso-width-relative:margin;mso-height-relative:margin" coordorigin="1388" coordsize="54823,30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wEe4zAkAAPRDAAAOAAAAZHJzL2Uyb0RvYy54bWzsXFtvo0gWfl9p/wPi&#10;PR3qQgFWu0fZ9GVbas1E27M7zwRjGw0GFnA72V+/X10oMLZ3ehyvk7Qcqd3gooqqU+ec79zKb396&#10;WOXOt7RusrKYuuSN5zppkZSzrFhM3X/++vEqdJ2mjYtZnJdFOnUf08b96d1f//J2U01SWi7LfJbW&#10;DgYpmsmmmrrLtq0m19dNskxXcfOmrNICjfOyXsUtbuvF9ayONxh9lV9TzxPXm7KeVXWZpE2Db9/r&#10;RvedGn8+T5P2l/m8SVsnn7qYW6s+a/V5Lz+v372NJ4s6rpZZYqYRHzGLVZwVeKkd6n3cxs66znaG&#10;WmVJXTblvH2TlKvrcj7PklStAash3mg1n+pyXam1LCabRWXJBNKO6HT0sMnP3+5qJ5tNXepRISgL&#10;BHedIl5hr3zqfKrXVSmJtKkWEzz7qa6+Vne1Xikuv5TJ7w2ar8ft8n7RP/wwr1eyExbsPCjqP1rq&#10;pw+tk+BLn4ck8n3XSdBGifBoYPYnWWITZT/CwpAFrtN3TpYf+u6U+WiU3ZkXCSpU9+t4ot+u5mjn&#10;ZCdo1zamA2ai6cDZIToYwthBu1fZhe5OeLDavdONJ8+zWtGtlgSnWC0lNCRci1e3ZAoG8znTOySY&#10;J6h5wK74ikSBH0Zqg68I4UGgR+h3GWMEjFM7RugT+cjBTYZWaXrBaZ4mOF+XcZUqeWykMIwZBryn&#10;GYaEzu06ntWlM0udFss3IqR6Sflx2oe/lZKftWg1k8YI1UhODtGjoyiJOIVIHKRGPKnqpv2UlitH&#10;XkzdGgpR6an425em1YTrHpHy2ZR5NvuY5bm6eWxu89r5FkN3QuXOyo3r5HHT4sup+1H9GdpvdcsL&#10;ZzN1BfM99aailOPpV+WFHDdVetm8f1N1q5dX7cP9g9JGgnWkuS9nj6BYXWrd3VTJxwxr+YKJ3MU1&#10;lDXUOgCo/QUf87zEq0tz5TrLsv7Pvu/l82AFtLrOBsp/6jb/Xsd1ivV9LsAkEeFcooW64X5AcVMP&#10;W+6HLcV6dVuCRgRQVyXqUj7f5t3lvC5XvwGnbuRb0RQXCd49ddvu8rbVkAScS9KbG/UQ8KGK2y/F&#10;1yqRQ0vCyZ369eG3uK7Mdkre+rns2DKejHZVPyt7FuXNui3nmdpySWhNVaW4lYhILXhOWQHPGlmJ&#10;nFtYBklbYo/lf1Jm5nmaLOOOAyBqt8VdrZRtxyxa0+LBrPp7Rx4DLsQPPM/DC4AD0L8eVawEtjNA&#10;waMo4AZmthFiR1yato6zxbLFDPUU9T6MyCzlSxPZcHo8GciAk0j+mucxdjtZVTPwWrHAxucLGExJ&#10;W28LiZ7C+7hZarlTkiUJEU9WWQtTKc9WUzfEAj0Djm2c5R+KmdM+VsDsuK4hpt8pbZoJ5MNm8w2Q&#10;KzzTuDi43KPxoKkNRHpHg0bIAxpBdHpMtxsVBCzyDF4MEH0IkRERIZ7oO/dQAfTY7g7bwVBmn0FQ&#10;ZckE/4yRhasdrPhjYxS92rVUI9qgXX3XGKu4/n1dXWl5z+6zPGsflW0LzpCTKr7dZYm0ueTN7ibA&#10;SDKb8HkVL9LCUaDaPat7gquyRNlqTlHeLuNikd40FaRNio7c/+3H1e3Wa+8hZx0syGuzQGitkSG6&#10;h0bayH1fJutVWrTaaq9TyANchmaZVQ105SRd3acQjfrzTE0ISNTWaZssJePPgR//wGQ1V9sGNct+&#10;YnIJB2CUUBF622zS8RglAQt9GD+d1Thmkh2d8EcQqjFujHpqsnp66hKz/Q4BCyAXWsBYdLSAkV5G&#10;iOCCEaM4OhIQFnEmJVCSgODP94TWONYuGwxxRRizzR+MSj00xEGzzDgHh2zvAAaeXjc9XrHQkBPR&#10;2ZJ20nbVNBBM+hJy1Zww+D6jRcMVUtoH7VdEiLBrtosWEQ1h5KgRfCJ84StZ6pyAsb9xRngNoBIN&#10;/ciJTNH91LDUhMEUcmOI7qHFn5YihXudxmme0xBV6rQ3mS6G6A9liAY22kHpxRCVjoK1YaW38UoM&#10;0cDGaqg4BU7SAI61MUSsihvCJItEAHUHi2RgjFISqfiVBAxEP6htt4gR8iiIjJbkkR+xZ0eMPtpH&#10;gxMhxQEy9HREaA8mhAbeXSK8YqhQu3mBih8sZgGzrjOmENe7xCpeF0QIG9imx7tQlJNA+tnQ7CIS&#10;CFhozT9QaSGnJqQkfQno+G1oYNQLGJwaDQ3MRKT6WAUJeOQBcYwvERAdtDroP53BlxA2nM28EyHD&#10;fipYKlJPEGLCPT7ZocErBgblMF+A4UcDBhvEZvCyL8DwIoGhj8L8j3ibDBOZOFt4tP9AfUE9mViA&#10;kgdcIOQ48iAo95jPjZKP4Aog07kNExpirqggyDiZps55OND7IEQcCLH14WJ6fFp7d55Wifs+omom&#10;KIZQI2djKDR9kf7lO9ldgt5+F1JjglP9yME1ngEG+xAs5U8QcukobhU/EC4EN/vfES+E2yldWRmS&#10;vGSmVMavz0yZFJUtgkGadpR7+FNFMF3SVA7bJ1UGgWf/REYPNIGPkLsy/QZM3+15AMNS5ppV/mGX&#10;41+x0aOk+2L0nM/o+S6o61MD7GB5F5DHlkfpYq9RXYpRXsofogC9nUIfX4SRKdJhHhHwjfYCHWM+&#10;AlBjoKN+QHzEZZVI2N7PCgI2SszYBQSeMSp8HhCwAR8GyD9JIVdI4Np2INAzfQcCyJ7BVDrM8q8Y&#10;BZT5d0GBl4YCNirG/KMdHuTUOdNMTcKIcVMWYJk6Qs2ODHopPR54IXJt2yhwxYUfhkYsCHyewDpE&#10;H7rKgoihIKHLFjDh+Sr29qxg0AfGxGnAYEiHfX4BYVz6RRfHoKtbBBud2zHoYz2nypMFEcLK4GwZ&#10;Ex4yfyc/IqAhStiV+PBdzn/FmKCk/IIJz4MJQy/h0LW1/scFWlDQJlDmk6Nxg6CE35fpEnA+w5GT&#10;cUEaA99zWXItgYNSxNXIfv9hJ0Z2qOdzwoXENx1b5E8JIO0vdRaocNVppVFRH0fBY5dLeSmhpO2a&#10;rnpxb08XcKTUbpV1gJ3aeux5i1DO4m6EtsiTI+Z02jRCiFNQOiDNcZoGxpgywDqEAZOI6IWZFVu7&#10;31yYxBwyCiHlRos8xejcq0V6JhFRxL1RMOfCJKc4V3EeTWLLfjmM1NNqEu2lUYQpQuS4LmoE+ZzT&#10;nrw5D4fYQCZ/Si3TIJuFSC2XpY7SmNMnr0xWrwMZgnPFqPh7Wc7rBWX2HmUNbeSTP/lY3r/k2aIh&#10;o0gDRJqkklFCirjPyGSlOEVCPHMiQ8Aqkl5+d5hix9vFMaDzHM27sMp+VrERRB/lYUdjzZBBREgJ&#10;jnNLBtny+i6a5P92xFMFAPDTEkrSzM9gyN+uGN6rWFv/Yx3v/gs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GXBuC3hAAAADQEAAA8AAABkcnMvZG93bnJldi54bWxMj01Lw0AQhu+C&#10;/2EZwZvdTW1sidmUUtRTEdoK4m2bTJPQ7GzIbpP03zs56W1e5uH9SNejbUSPna8daYhmCgRS7oqa&#10;Sg1fx/enFQgfDBWmcYQabuhhnd3fpSYp3EB77A+hFGxCPjEaqhDaREqfV2iNn7kWiX9n11kTWHal&#10;LDozsLlt5FypF2lNTZxQmRa3FeaXw9Vq+BjMsHmO3vrd5by9/Rzjz+9dhFo/PoybVxABx/AHw1Sf&#10;q0PGnU7uSoUXDet4ETOqYblQPGoiVLTkNafpWqk5yCyV/1dkvwAAAP//AwBQSwMECgAAAAAAAAAh&#10;AB9uykkVyQAAFckAABQAAABkcnMvbWVkaWEvaW1hZ2UxLnBuZ4lQTkcNChoKAAAADUlIRFIAAADk&#10;AAABRQgCAAAAcwLWJQAAAAFzUkdCAK7OHOkAAMjPSURBVHhe7X0HoBRF8veEDW93H4iKggQBRVEx&#10;hzOdOXvmjAFBQMSEEXPOYgIJEsw565lzOO8U4+mZyUjO773NuzPzVXd193RP2N0XQO6+/7g+dmd6&#10;uqurf11dXV1drduloqPhpcN/6iV+QxL5u5TKYW/r5F+ek/vcn6eniOo//ZlWeEd3HMcwCCFAmCBZ&#10;91SMUsXyxarRH7QukAP/7pA7kKHNvtAE8J3WlDzCL5qWSGjRaPWarJ4UgQ3hVlZuG1pR1vYUAPDT&#10;iwF234eNypXBdqeM5QgJgZa4zdvZcUgT8A+wX3NsbFBDhqEKNqSaNo9ywX2pQhQH9De2MW1y9uFt&#10;2bpGCuBelQwpp4Jfg0ee/qPWRdcdkgA/BvmQPix9vG1NH5lmMKtaV/EWvk3qTqlSmon+kitCayoq&#10;S7/Lb9AfLH04M4NJRJbqDAZ+8HibAEpWYIi08lpwfGkaNIYERm8DC5j6W16+Q6WqFx2yEGoh28Vr&#10;odjzZwyMIF0ZW4tS5YpVtRaYKbsnfpD0tOUoTMnrhq4wVwY3LQEEOXzEhb1b7uDNGhpayyrpfRmd&#10;rKpyrxMV4YyCQYWxq0Jvx4au0CA0N8LzQDFXuXrsXbnbEObzS+KyN5+qPPa1vdtgfIhkjVY1q5qa&#10;qDKTpCy4AhAGMjcpwtHDf2QZHRDZhyfzkknfRQXAX0UXtW1T/Zp4FJbIzzsXyihxJQT6RRPL1o9R&#10;X1LMNoAhjKuudHDFNu0kFS5OWwWwNo85QuNQZQxXWZiG17w8a+e8LNcYp7x6Kk3i8iSE7ywB7+Jc&#10;hND+zcdW8lDoEroWiQYg1UO6AO4agNvmtIHcj8PwJN13eS404cC35JtCEFRgDSNDBmurGImqAL1Q&#10;eUWYojKAz1DctuXllYkuCagDCabAF6GWVCOAiwAGbiEqsCUUuINYjWiGKpaqZc+Gx7ZmRdVim5PA&#10;L4ellg3NCFnjRydviErSU9bWsICA1IYEMkRYIC1+/UO+gzNIWbZK6FxdreIVlcQaIDOdVz6AHhnT&#10;8neJFYqc5mngZjSu6GYeSSRoCrwvi9vVxaVwyIZ2/FpRHoAuWisXw2FoDiuB5SgyBmuAx1hB8VoJ&#10;supjZuih5TFRymwC9BeXr8J+Iee8ClpI4hhyCm+IUamGiS0ODIyBahcQkMUvsZibfyjTgoUEa8XK&#10;CFkF/AlHXqUK1IZXwSuJbsIn2fxSSbqqpQTQA2MYaRk1Dz52o6AVHzkzF4j4rkesioGfPnKJ97B/&#10;lbQG5RkiTuBV1E90RS77vf3ST6GfSJobmKtAW/Vcq6RCtUHlz0zlHdU4U2VYVYapBJIwHoKdlQke&#10;nwLA+zzawMhf2VQr0Em0CNmKjuAk5TGZyr6vdlZKtn1FvjIcYwdzey/Hbmi/wgoIgatrsXhwnVov&#10;oVY7r9qgQC8UZcTV3oNZKzCkobiBVQE2PlM7K14IR/6RpkaScCU2BvdD4cuaXPqiKAaiiWunuA1Y&#10;x2oEKx8CYcxOzkSuIk/ZAOLT12XgypWC0Sgel8y3QQTL1a196Guzqrc4oxY3kzp2VTZF+akLLFaR&#10;cyQFrEyKlUM5D4ZQIVYlbUCAl+mm7kQb+wF2CC5ZudxtMfta9aKOK3VCZ3XXdSRjBSuBDSCS3UAM&#10;JkL5pksAIFPJkkG1q8XtXi3jNfK5v7b8TnU+8GGNIoeKVayitMpN7+h2Id+6yktL5ApSea5goiTG&#10;Hbp06VG32YS9deXX8DZZjsKiGRME/4IYyYUo6ajyMATfAamRCM0HXpQFpuenj6aWCddqudZQ9ZYl&#10;CSM3nCCXvRLUcGrFXgrJU5ndAFIVjIJbhoaOGYhjO59jFZIEefOqyPOSZKqUAR1/dWhmsWDtFoTW&#10;pdVy4To47Z+811K+iItSj9NNPimUwArvkmVV6gOg6BA8t6oDXwsq+t8IVmERclmNLA+sP6KQs1SI&#10;VTIeclWVjfxk3IPhDId1Mc7zUV4kqvqFZyw5JUnjpn+6zQtsBUirDy3ezEm/JCzg1jThFsSZSGaU&#10;tGOzG2KeCLdsHQQqQWr4YFepMjJ7W1Hp1fdqM9mL4lO5VGgKOHqrICUjSMXHXCuQgUenRrqdy/qY&#10;gMN58OXpIDx/UQAWJ71PdQBJssqdjIqOloicVolkV8RWLhpqYVtauegUC0aynaMHglVwqUJeIRKy&#10;asX/NMlaQRAGEc3GevqISVZfMq9w5QgRABWegYBKm4tVlC9MH9MMKm49FxezQTJVSSpUYOwQDLFh&#10;SPdWwO1IzezJrRQx3OLB9SEh6fmgQhgEqpJt61aJNYBjSzavwPKbX4c2GGFayYkKrzenOm5az1uV&#10;fwp5LI1nxGmOyztmsRIGAKEG+HEpexz7nwrNgdXXh1RXuDInkCoS9M9oOW6ts8FoQJUE+oUqTISR&#10;1HSAkt+xLLTWVpSGLaqD6CGrDngtzLk5eK2gA7iPpFmRh1VUkipjMvPEUF4RpivZTEDlSgVVlUle&#10;r2VBGv1pyRJeVZ+ScOa5sq2FDG7Zax7ZKrEXnVR0zS7XnHNL27gNUdtSEmquoyehvzy8I6uk+Iq/&#10;PzMxJySqd2rF8iFZ4Q4QPh+SZl6hYEUUerRa+Q75jqSiq28rOLC6mB5GI2q3OqysgvIaMLsKq1qL&#10;RKzIrA1R21Le8/da1gBMSHqhicBQeMNSsqmVQI4s6SRwcsmqGGD5OKjc5OUI24QyWRO181fP7/3V&#10;HBaurpYLHuLR+G8YDlUSmkM3SpFWXy3Lo8UCIoDeGimokEwetwhbcKWJ26A4sjmcxOKqp8MA0uUV&#10;LPo+g78w8UgDM8sf+0cQcVzvcNsJ9FVEQevtqTUyrXXw8LYySlaALJlyAVibi4JWEk1fb2UerWNI&#10;rW8LYSrIdclGpnEhKleI3XNfVouTAE1hye2sAqMeaerRXHHK71oTVNXWw1q2WUKWWc1t7CDiV3Hj&#10;qSRS4qk+44DaSp81sw5tQa4kMWpFT1umq6UKNI2ApYAf+aK87v7ARwKvAleIIlVnwFRcZ0WxLIwF&#10;JL1v/qQgFYng2BffGS1MW63NENBsvjIOiMKbnUGVF6TuxXUYEK5WWbCdjRY4ZtDMVomhIJBMmett&#10;XfFW5ecOtnLf4nqqJ2sm79B9yn1G8xALtnjfzU24CEoju3/+hDhmb2JXkZTlAMUZixFiSVCjVKOZ&#10;IiqEk81qvEDtJSRjSj1bfdAN0yFzrCpqa7Ua1SKiagZMhYq3aTluu4eSJg/0/kQoB2Xg0R/Ei1qR&#10;wOxNvyDmNaVqgJDVTBQjFt0PM4KxyZooW+1AsrQnK+nov1Kt+dpQI2sWamuGBHOwAscAukxQ+3sV&#10;+1bt2RSsyUObdjs8++RvoQhcZSOMSiUUU7E1FUslFVQKYSjvyAcfcQd50Rf89WOY5g/IBAslrRC5&#10;qAD4uCkkK3skS1aRAT5DHYB7rtSE1zbld9vKFWoQoPoMVLkFc6xAXNZIom1/eFv2nh/1U29MnNKn&#10;ar+vvQe0NGU42cAgxfCEMpBO/NXRjNRCFo4CajS9K8XFcI1CmD7SrZUrGNbcLLw0uX1KOC4pnBPz&#10;Dh5DwaDOAOgZyK5AVouMPSVWaRfKhRrazp8EWBDeeZzCSqcxqq+X8r6XX2EvSTuplFGf0ONJvyVE&#10;ljk1wpC0QHqZk4no63UId451nMwyZ0lB69LViNUAMEF3NSFYQ16BSSryHNQkFFJ0TEbByaUXRRya&#10;VvxI5forM1p55vQQvImYYghea3AiDiDbY93lDUTkO3Gl4wpAVcyJrMWMRQj4lsta59cxTZtvuXLT&#10;LVdustXKzXZs2P/07CPf0AG8bI06buUmcF/6HDCS8HH2e7kzDmnYatfGnXdq2PnE7DM/sSoV5xRv&#10;GdC40x6Nex3YtPP+jf1uKPychQ5edvPZauXWezQde0n+0/nkFXtx4bTtGjY7Iv/vovPLmPRmWzZs&#10;Qj+b7dS436nZSV8SvZcU93bulAMat/tr0667NG69T/qKFyziTWTbjw5s2GSrpju+J4kKs4s3nt60&#10;855N++7XtOVOTafcVppVJO+SbPs27HBm4Q+al1YsXbl3w6bbZ17hrp4EES1FY5X3KvZEaHUx/EoE&#10;uF/l6TsXlkJQBo7m7tSIEqZ6JVetoyvqOZhE38FexVRV4b2KOdbOPM+sGkupXVrR0khHtLT2G0f2&#10;3iOyY09twZfFm87JPjWHdmlHs2x9k10ie++Jn+jOG2nWtMIllxU+WWbse0p88JGm8XPx2ktyUwoE&#10;3A9dnn1wip3YNHL0kZGt2zvfvZobdntxwQonWyL5bLRD5K+7Rjard354I3/W+YVfCHp08CKwLJzV&#10;kjkZIWPPyC599GXflW4blp38u1P+vXDxlcXPF+qbHxA94RCzwzLr2euzI7+glbQhWypFytaDI3KP&#10;fOkkt4gcf2xkizr780ezFz4IBglIQ7Jd8VnhnveYCg3KSdmqwqRmsjAcCOEZER8URVMiwxgXkwIm&#10;TLCybCSbvZyxK5QVQhBVVUEqQ0bVQlCaMqSiK2CLkSrIEIJWYFeBbA30atrGRyUeGFf/+HPt7jpS&#10;1xvKL76FUg22pRrH3JCaNK6eflI3H+ss/7L8n5zW55TkmKsTV96WuuZIYwPH/ma6nfut+Np/NLNb&#10;9NZxyWuvSE68L97X1OZ+VvoRcEz6ufG3EYm7b0+Mf7DupA21/K/F1763M1mve2XvoxITxqUeeaJ+&#10;4imGmbXe/tD6/d3SDzmtx4nJZ0cnb78n9fBZZqRsf/ieVRB1dLTy9NJbP2nmhrFRj6fuuCX17D2x&#10;Xqb207ulqcJFwXbeuK8wJeO2XZieJeXa3F5fHRZqCscwiT8QSgy0pbCL7e0jnZlNs2gSVyWgKYUC&#10;gI98YkrCFtUoaOZMCfanV+9wJw8XqdK8ilFZE66qMcUD2WZJCcPYY7cIbESdN8em7n7+S4/WaeCq&#10;Ov+b0hQylOsH39junVdSp3XX0rPtRZYW3cjsmyAsifSIXnFn4q6LYz35Dmy2vmUaEbqDABonm3NI&#10;KZZW8hXWcV2SPJ935s13oNtsspWZoC9tfGzdhDHJ64825H3d1jxadG9zK5oIekmfuGYtsuexDqeZ&#10;Ea08q3j7w5YIWAqNO31yersdGw+8rYy9SUgv9gMB0eyBysexisKVFEHwKjW8LD5d+DKk0nkVG/Sq&#10;dSYaAY9tkBLzd6YLh7QtXUKlxikWQA9c6E2cUbVeplbAbaBeWw3n8DyS0hK6ViSCi15la/xpTXvu&#10;3wiffU7LfVfU2u8dP7Kn1vhV4bT9G7bZp+nUEfk3fyeo1csaCLJonR5BzhtG392j++xurseM0/bb&#10;o3JXXZe94KzsUzO1VN/oXl3FMOWkG+0GurltwZeFsePz996Ru+ARq2zoO+xkogNXoo6RY6wf2We/&#10;6D595UiEQKQGaI8m9ChSbeoJ6HCUHry2Ojy6eUz78dH803+4LLCLWjrtZChUleFWgkg1QNTAUJZ7&#10;YErHpMJVjC+y3ujqrMq8XzEOuDb+gC5BQWZSnDG0EewSPMI8iV/EcoMXvekmptuSyE0W9lE2rGID&#10;V5KCLZW6rvjngqJWWUvTwUbqlN6uHf2kaGTLtaM3PZG685zYwbua65fsKW8ULh2WfW2xN1NGrrht&#10;O9OmlD/+qPzZr05qu9idN0Y3hr2E7uWA9glp535cvHd04f5HSj8VjQOGJy/ctfm1loSheDm6SXzE&#10;MYbRVB43qrySFar3OjX50fvtnh9uEtMBp5Mqju4Oe2yUWhlWG3SVVCRaLVMGXA1T1U2xI1F9gJvw&#10;qQ4gMc8LHjrs45TI1AGv8geEJe6PoyhkWARPOXYTvpAPedGFuGcJQLBY6A7+L8hTv7pRhUe8WrKs&#10;Dc+knNPyDuyf5g1tmmc8UP/6y+3eeLnd3x+o2ybmWEW7MWIe0D8xcnT9K6+3u3FvXVtefm8KyGT4&#10;TysVHJRngL4fPi6980l5MaplpnnuU+3euzPa2dDSK7Vke2qP5ZSLicCmx9dNeiD13Av1Uz6rn3Bm&#10;ZF3cH0v0AZbUWlR+583iu9+rCw4RDbSCUp4VDS2ZB1NAlNDDkan/9ez4Ietpi98vfrCc3Yu0N7p1&#10;M7qs7VLhrhJhErHReVXilYDK0NkUgdIiFBJ0bOfiluNT9Cu3g3nwT433xJGFjt0EkQg+GNPpR3zB&#10;n6Ak8Tvg3wngZvgWM6rmdULPrJ+xsgXApW96UKuQYv/rn2UARpfuhiL4uM3Etp1Pb27aademEe9R&#10;DEb1Hl2IuC2VHXMDY31DK02zfqTb1MpzSndelbtqbHmu5Iid2il27OagPpYefd+7vIWQSa5vbtnX&#10;6NHZbGcyDHXtQnZz/fa9laHtOOPl/HkX5+54S3HvNrsYnUxSNMz84Mr9YP2a18z1jS64vZZeRqfo&#10;JWdF2gFhSA94iBedlSvshqw86jOoSMZLaqint1VzffMaMFw4k9xhdZp4U3ANmzcvpUJoBhI0BSUK&#10;Sd5BiJquxIITVQlQXlJEyh96h8hgLl9Jk9ZqTPAxQhragplUNUHga5LuMePvuXPOyww8semiVx2n&#10;feTYQ9g+ajBnvnxDdth5mWHnpYeem7n2OX3rfaNdDefDuzLn3ZC74erMFS/ZVsrccyc92it6wBaa&#10;Na906RmZEddmB55f+MnSuu0e2UxMhYBI0zjqhMjamvPZ08WfixJ3PYx27IZGJ0+0Sb33gVGYNs15&#10;NnvM4OwF52X6j7PKEWOf/ejYza/IxtGDoOjZxfNOzpx/cea4C4ozLW2rg6ObKh1O73FC3Rl9xUvO&#10;9Acz0OsOvdMiBllKgKyLyXjF3XkMyM1EqZs8TJmAUh2QbnC4A/EDZpcEQ4Qsvh3QYaRsmUxj45S0&#10;KCAsUIpWKg/9YgrlTsVaXNHaXmwBZLnMXv5r+d33S//6XVt/x9iVY5Mn9+DwsZ1f/lGCR+++X37v&#10;g/I/p2upnevuHhHdImp/8lrxhbetTLfIsNuSJ3WHMMHmgOsTp+ygl+dY775b/rlJ3+aIupFnRugE&#10;nTcBaLx7xo7oicJVwEPywkKbCRV8jU1OoaBF+sTvviW2Sxdnxj9Lf3/falzHPPGG5EU7qeiOmENu&#10;T/TfSc/9Xn79zfLUsrHn4OSoQSaZ6skJY+aQS2MbeYYMShpV8hCN0pod5SeZrZPh2I3+VFtjNCsV&#10;kd90NOZ4FWSjGuDTUAORr9zUdbuIdo7/ikvMcWpbbmWiQ25d0na0CR0NQtGoDHIyy518RO/QTieB&#10;QFkqwtZyxlrapCXWNtoBLPx2bB+bPaqX+xxWKzRj7Q56NEJQA0upDbbecT29wlJqMWOvyGjtOxpJ&#10;SQFw20qWnOIuv8mrIELLKBChi+FsV3p1/40weHhHatGJqXSlHQaEa7lEuO4RpWTNADValPHir+Aw&#10;mrWI4wv9BnED/pvAKrMsjE1+tiKTRLvSY0lAwon+zViGYogPjnyUwmRoCZRUPW61libd3rUVCcPs&#10;K/tHN9ZZmxj+ql/SUB6QWLS/DFNRWbe/yWBloy+ZDDOjeKvxKngrk8iC/jK8ApfA8AyoxVUuAU3l&#10;DbFGEABWxHLLfAOqs3nVpwhTmPwly0MnHZSBccgypvlwTBDUcgy5woY2rBda6m8mM2RLHffpoVmi&#10;DYdn7zhNTepoHsat2usYym9OKDMV0XQcDWxu3lZtFUYtvR+NkuozE4E09EiaNBMWKBf4JXO+9WDF&#10;Buaflg8oLWAZCsLmtShRoZh/EG1HlHCIWhm+AlwIMQZrKkVYHWtaplY4Q03VZKELekvt8fCaUUVI&#10;KvdM3ocUUxFDKrVyEoFVLXhH7e0id2DZl5WSBOFCaLRUp5TDctHOyqSsaw0ILg4B3Cw1AEqjDsjw&#10;AasEGH1E9Ci5I8CaAlllIMtaxD4sJH/ttW55yupjq1MqKqobQx63O3psKMhQZC6zukjKgBjRxNjL&#10;KJeHb0GSa9okehhwae0ONTinY45C3susEYqNmkZoMmzHCJ/QiFBnWCPa/TDAI4uy2CpBU5HzdpnE&#10;tgHsFPPEppRoR7QR6vFDsORqXFymIjbpX6LZEplC7NNVwUoBCpmCjly2iL+PLKXdTCm/pJZmqYAd&#10;YOqKRvRoDGYVlOnNE4QtxW0w7wj9xHOJa05iiYXJIDE88R7PKiXGTSqjmKDisoFB2e2vErpU6SuX&#10;Apkkkzqco+m7KvLIL849kEUGk/+V8JFANHHmEiINuwCN7kgXydlRgy1ldyWtBoLcUGcFEBNAhAFI&#10;RYs3I5yLP9zsLjOTWKWoyCMrUHSkqzDBcsDaXCo5ZKOcKxXU6mD9RT+Q8IqdQn4KrInF9Lq4vpqO&#10;OQ3AKxGrMhZcWSJVMFi4coEKrsCBeA0AnZ8AWraALDCkw9qeaZkkhwOBI8tsXwIBUyE4pJGB78eX&#10;asqEK8ErnWbVqNiEExb0hCAVOgq4TZaKeiKpRbhThCexy61QIR0EVqhWsQii1F1rYPkK8Mnl+PAq&#10;OMUwrCaAX7DukKjT6xKtGnaaJwNI/UlkWuh+siTyU+BFKtZBUQaYRZt1Uf4olB4fAoTwAGUglSIR&#10;36VLoQ7vI/88belpUEE2EaieYYFJUxxU3ck41p2vpa8qsFol3S4TBaSQ1yFiOOyzYFcIIsnt2sBK&#10;0AmWrBJZvlOA6Q7dgSK2knxlAtaTA2QDQxBANpWsrmY2D5ehqR3wUPYpIWxzlTIksE5GMSIPnYpJ&#10;hUGWQRlRhZWk6ISvSsUECIVwpbmBHtYOFkzdS8h92r14O9DZRUiG0rvyUCaLcGZ584GYjLMY59l0&#10;xESz5dz2taRj6WWymEZUVVjvTLSj25wEFIJaPgCsLitdyUqkKYySvKV4TpQBMtSUn6JmwkimagW8&#10;Cb2ZCL5BJVJJg6hubhktZ1fFN2EODg0jO0f7LVIMdIKWULDyObUAK6uhDMrK9WA56GvBHizl5Dwm&#10;WzihsqwNnpApO0Ul2cnbkslUue8habIawDwU21ATcPQScdZxYIi2LD1Rr5mwTC23covASnRTQKo0&#10;lLiqlfjmwasHweypT8QGgJVnJP6F0dCMGO3b6ejCvIounH7Kc3/sxLLa6umHQulmA7c7zWK6Ab1P&#10;VVip07KvYQOGmhhwBtMsOPzN04y8c8sCWshtqcHJV0kGiy4kjRQexUZAlqKVSVbow20NVqaqgskI&#10;xGpdEnxzffIoTBPwqjhikNKtpga/d4zQAgT6sJd6tAOleOVpwHxFGdPUxkF+GskESNlVhVXo3P6s&#10;QzUkxcxE606Ayeaq7DsfTBhk3SoFSSdXusmCgOAFrOVJt9YMkQKsro9fiMxz2e5SKPUfpQF5RTiU&#10;iRrA/D/bGKxUVSWzBFBVYT4drw9SRGtUW90OC35cuBceP+Ly6x/4KKQAbL/A9uKiiwGjtND657/K&#10;//hn+TP6+ddvaKGHy85mrRUNxGc5/HJm/7s8j+oqzbhs+9v3StNgV6rH45ZWh1n7c9Z3/wFHe2LU&#10;alpgLQOjAVt3YqqCmCyzTPiLmAN1SceVLvot6EOfOst+L09rVLio+tHp2Tnlf88TslM9Yk4WAWK2&#10;hB6izE+U2lKJJkAYNRem4ZI8kWdXzeBe7UnFWAmRmem0B7RKMDzFkiHmZGmEqK0QuoLlQSD7KcQO&#10;/c1uygVwdLoDjSjTl4w/cZo+L9z6WOnLb8pf0c930zCSJKpPoJDYK1Y6dIYXdFn2m/fkP2poVi2d&#10;nx7OTZ6jbwD7qHhFWN+Uqm0tKo0cW2okndh5/y6yTUVapkIEuotYLl75TawARqAJ+LjJ9B+ezb/w&#10;u8xxWFiR9S9n4Vv5UZ+4NlEmAATo0MqLP/E7R62w+cNNu2y/NarwSQMzVwmYytPB2vDR/FSOTj0U&#10;weIJVSNhFoIPDml+xswh1cUibz/8F8WFAmcV1wGo8YhYlF4qZetuHxs+vO4i+Jxfd+7fiB+nbjsr&#10;FtgLiMgB/torG+wCF592wZ43z86FiVvLAT9RMI4sXmDj1qPMEnshAR2/bCeydfyio03YhsUocZxl&#10;8615NA2DL0pc9jH+dkNq8CZYfSe/1Jq5xLGz9vwVNC1xcLbnL7Bh6wFhjuHkwOsPaFhkN6CXRoE8&#10;zcFgIQ1XNHOnabHdQHYRclGgO8UV9oLlpK8qswWFV05uqfXHUrJfAEGpWc6yudbcldyqyIBL0Gjl&#10;7bnz7Cys2khCBGHqwFvz7KWw85ZwSLOyTiPsQWgipROCbGfJfLuRDit4Ac8hK85zJ9sA1XIal9gr&#10;pd2JYWAjK1XQhDaxqsZhJ2YtwTnUvMJFkW41rKRpPcqN/JOrQIyn4hF+kfJWvssUuOOXvezl3AWL&#10;4w8PhYUtVq69ojz+luKc9Y12K+ylvWM3DIq0J7ka7er1JR/kLnnEXreLtmiZMfD25GGdrfEDc+3u&#10;Tp26HuOrNTPf7+xShx6wNdSelo8c09f+1xzNXGBZhyQnDorEM+UxF+e+7WB2XGnN3Tg+9uJY+xWl&#10;uy8vzOpstF9uLe5Td8950bXoYr01s3DK7fr94+PrGfbLwzOzz2p3webO709nLv67vkVPDTrAtB7t&#10;3rjS+ePt3IhHrHW76IuWGv1vSRy6vvXAoOwn7Y11kuaxI+I9/pG7/Fl7gy76/AX6iTclju3JRyPL&#10;eunK7JNNRreoXlhudTun/ort7LfvzD02V9/AdJZtELv3hviGrFGdGRPSN7VLTe5nGGXrxauzjy00&#10;ukXseR1id90a79lYuucKl/i7zomuhU3jAGH5EY9Z626gA6P635Q4ZH1r4tB8/e3Jfh11a17xpmuL&#10;f6yjR5Y4G5ycvOZAfc5DmXM/1TfsqBmL7PxOsS3nlv8wtfkztMNuSw7dSvvjzfxFD1kdu+oLlxpn&#10;3Jk4vLM17tTsex2M9WPa/KnOfjelLtghRBckYTqIWOXLqlodqKpscyW8EgTCkJzEoM6QyZLJ4X1k&#10;lU6Vp2HdSNxn/Z7/duniglamaskXxVtuzd0EnzuK3+S04velb3vHbx5Rd/XN8UPjzlKiA4AwsptW&#10;lp96zD5mbGrcffWTT3AefSaEiljkzNGpsQ/UX9S5+PdofNL9qYcerFv7jeIXRc1abDv7Jx64PXnH&#10;qMQ2X5U+zmiFr4pfblZ3743J20Ylj65zYLsz0wrVIGKEs8XyCy9p/cck77gtef4OGsgdw7JeeNI+&#10;Zkz9mHtSE05wnnieieot+yfvv61u73rr5Rec4+9N3TcyNfFU7fnnLbJvgH5gr+BzxfgD98OjeF+6&#10;Tbn8e/Gp5dH77k/eNSpxXLr45H8Cqlb8qfhkU2zC5NT9E1NnOMUnv3XyXxWn9Km7+/rkLfcmj4zb&#10;C2HVBq0RZev5p+yj7k2NujM1/ljniee4BKGt8ssrxWWHJSfdmZpwXyz9dOE/dMiKbRMffXfqgQl1&#10;nd8uxoakxt+XenyY/uoL5ULZevZx+9hxqfGjUg+d6DzyFCNsxyHJCaNST19ivPM8WZD6+aXc9Tfl&#10;rrspd9Nz1JCKYocrAHAL6g0KQPVDQ5ul0GFEFvzg5ZpyBF5RGZDOea9cBHsq1CyRM80e/m/fJ3LU&#10;kbFj4HNEZKO4FusT2eCbwvX3F57/2NnyOLJHlM1WLGvOMufrx/L3jM49+KW9SNpzLLet0dnYkK41&#10;9+hmdO1GY0KlQIY5DZZm9oqe0Nt+9sH82AdLvzU5jTktvmWk65TcpXfkH3/X2fYUKJkpA1ztoUvk&#10;lEwYHJdpRo/2NOfeRj0RDfb85c53T+XvG5N/5Et78VxKp2n07EmX1x1niWNsvA7hX7tehr7EDVMA&#10;D+yuRgeQC1GjTy+SubXIWb7CemZifuyE4ldL7DnzfGAFfi+ynR7m2nQbYq8e2sIFWmyLSLcpucvu&#10;BOLtbfrFNjWZ/uqUHULYM4VRY/OPfGUvnsfnVVQHWLDAWf5Dccz4/OgnyouWsMgDnboYUSA+aXbv&#10;ZHTbkFQk1d2INYDvhDNvmfPtk4W7R+UnT7EXzaWEmUb3buTfxIZGPWzO0bT1t4weuD/57L+N2NmG&#10;xzCRZVWrTFXVoP0Lvno26wbZicygWgmvCDPRkAG8VW9xOOO/AtyYR3xts2/fyJZ9zS03N9eBTV1d&#10;oreMrztzL7NufunqEYWfcZcZLcuoN7bbK3rYobFjByUfuyq0Ygxq8nN6qzAld844u/MOkf33ifSG&#10;5RPNMbvF73sidf7+RvKPwgVn534oh49DpgbroLBdDxqymHFAIYakZr3518NjRx8RO2ZQ8pEr2El0&#10;IloC0VlZfySlU98LVhcyVtMaISvgS32vyN8OhapFB16dunbvoKrJIyd9zegau/ux5Dn7AfHFi87N&#10;/0B9Ngh7QWeqN3Y/JHr436JH9k9MusRV6shzQ99o5+jh5Gn8xrGJvXBpXuy9E8Mpn1qY7Yw9Do8e&#10;fUQU6vjYldTJjlobiKMJI1PvuGlkt10ju+8a2bUPs88SBxIaLgBU1VidFmm+qiqzAHVr36VG+QvA&#10;K3+D1kVt2gCMBBThwSvmJ6Q2fG/8tHD7e3r3baJHnBzbqWTPEeNKxOgSt1fWaeuuY6wzo3DHC+TF&#10;qKmJuVdQCytVbphuR3eK7rttZLONAHCk1IYPcte96fTaMXbcoNhuJXtWAUQppSWqR4oaQSTvk3rU&#10;3LFL+Zlnyj9/XxrzPJk26BGjW8JenjA26mWuN7tw50vEfkHqgtuDo/oGhj1tOWToNEy1tK5cssA+&#10;+s6GOcdaBgpAwfppGinN7G7ULXbqupo9NzRmP59/YYZLNrinQTwO0jE2MMyZ1lJgn+38NkPr1s1p&#10;+DB3/Ztaj+2iRw+I7UqI5wYBw+ha5yyrM3puaK4zu3jPq2REjppwMCJJ0H0DbdFyvVsPs8e69jOj&#10;izNpqBhSS+FSLreqaXSDrBJmzx6RtWcUbn+OeFMAWAGLsLcilyeQFa7rgmhQVYlVVbMBqTAXAbB6&#10;kOK2ub/NmqEJUEa7AkDWByRYBZXNe5mLZv5NKj5IcDlz38j1H5A+hX7OGFOK9jWT7+XOuSx70UWF&#10;mbtG/wq6DnIzYhxzmvnZNdlzL06fPknb7yAyHu15gP738zP3flENqLRF1t07tvE/smdenBl+RfEX&#10;ak9ov42Zej3b/5z0kCH5aXvG9k6x5Sezc+TgdqWzBuX/JbqKYRx9fWKvZaVHX7G22C/SHga1qHHy&#10;EPPDC9L9z0wPfEjb/yBUV1izAzpOGGC8c1Fm8NmZYa8Zg/pRKwclM7JZbEDn0nlnZoYML/xskpuR&#10;jWOD+pQvOTNz9tnZhzPRQ7YQ1dE3+Gu03RvZ/qNL9hbxwT1KZ/dPnzEw89J68f5b6+22jiTfzJ5x&#10;fuass/LT/hrbI8FNBKZx/ADzkxGZIeelz3rM2Ws/EsFl9330N0dkxnyl9z4mvtln2dPPyQw6r5De&#10;M7p5lHfIoJ3JOtRxqPnB+en+Q9KDHgKeK5ZjQiUo80Utm2X7ghCFTAGADm1rcTARrqqVSFjBamSc&#10;cufyYvIuLdIgofw/vgwjGQRca6tsH/CBygtfPtiVso4FrlhU0ntMEXC6bJwsbsESVy0Y9aRxChlY&#10;HANXDYhsQ0ZMYH8hTcpKAE/pfizWKz0DhWW/cXeh2K/u6O7aNyMzE3vVTziW0uY42YwOMV1gUyEj&#10;lTMBLUOZjFZHY2N5jPDlrFOI0kIFV8sOWJpS4M1DNOIAgUAyLDoZR0tEQSVmRlPQScpxxig3K0oZ&#10;KTqJpyXLF/zWyznHrtPj1DEUg1DInqxE6aIfchwzUcOgjlodDVfDjF/gaE8dT12XU2q8A9c5CNwF&#10;z9xl1UCxKm/J8rdhmC6G9wn5rImsdJNrfqqAV9EwtEWYxQ51C6FhCAuf0Ab8Ml4hLIRKUR3hdYI6&#10;21prNdt/gHhSlpxSQYd1FNgZjGM+nyuGIJVxx1k2pXjjhNIKTa/bOHrZpbGNUQ9j0CQZeSqOrMAp&#10;uoxUYfLDp4xj+J06TCZT/gakXCZqNi2TrQUQL0deBLuv4pXflDgo1kIQjlKIHdfhmmgyUu8ib3Og&#10;sPN/OVjlvSFYF/Csh/Ar4AAQgWXVlDRQK/1F4C6opmFgRTI8YEV24CXjVQEoxyUlERHrpve87v70&#10;0RYI1opVEf4kgFTAa2C7+m6SEK0OHGgNGxygycETL1oHARlJU7kVlF5ydSGXNeEFCV4RLlDUqqyQ&#10;F5NcdHIouwMHfQuUVNWl1S3X7Qxwj05faABoil2BrUrCglXGXVTDaFEsGh/f14pI5e3LhDy+SjJn&#10;h9mSXUywC4VOtlQCSERqyKOuHWEvuzz4qyxZRd9QWa5QQh7x3IXFiulh+L5v+k/u0fvkkv66r+MT&#10;Tmsl0UmfuQlwBsfnpNKLbCIAQgb21dCgJpUuaFEIA1nI2Lk0LN5CdzfiCdLpmbAXi1XyqFtNwHNm&#10;eFuCEkxaU6CBV4kxiQ9f/kbgDCRhzEKrw7iNXCIqJgmZJ090xXSQzVg5S9l92VGBBd7zIVXYKGjP&#10;YfiQGoac/SNaSrS4KIiyFazV4P+vhkEMrFQNjK7Utmi64ggTzBVoU/DqksjXYTmaPdgVP1EGIbwF&#10;yGV2e/CKqTmvXUAxRxHNAf2Vj4nqF0AjiNK8nU87+SxIIDCgGPE6cD6kpdFoh7yemC0Xj4KBVGj5&#10;NUeXbLkWcmdCyNJGZViSKuxykrNCbg5IWAGsgmDGJRGVTIR8lHlFCxXdhjkq4AYmNcCeiG2B6YX8&#10;Fq0mSxBvi7gYUOpTs4mmEhg9zxTCyDNub1MbklIoWkmWr0irege7oysGpI4ot7TMeoFggWUZ0DKs&#10;BRmEsXSa4ReuMOKXsnZmZumNT+ycAaLUgJiB2NHJjrMYNVBjC6C6KuSrruXmlL9HL6cAWlXuyRAU&#10;/IGltqXWV1PdcYbDBfsXr7RHpgijZiTEARyJBWVmqfX1VKF2iqji5K0/figvKPFApThton/xg/Ee&#10;eWRIEkiPQhbGY3v+PPSj8OmXcsMJ4qVaYGXcUQMrRf6SI+7BtuVeXBSoHAz/VSG9yzpZDeBly2Mx&#10;EwwBeGVjjEAqUxskNDP48jYu/1a8/zXcW6qM/qy+vooo8GUUE7zmYeM56m2wI7zkQICdPEyQM/bj&#10;95UWdDTXoqYZMpOIUC8K+XBaWSNnZDgL3srfB15OQWyU+4xX4op2hZAZ/y7c+Az2AWmnFGtYRgxv&#10;VBLK+Jn7iyTaOiWS6CcVL8j8pmepxOfUsNo59tv3FT5Js3m9iLAr4payCM88MiQKV9JmTaXbrixO&#10;g71o2KYCJVKNBEW8g/PKSKQKcsQ9COJZA0Q9vbZWMNN0VLIKWlxh4Op2bk9yNTNKKccixbNQpfBF&#10;vMPrT1IWnaW/l7+c7qxYQQOZQwcv2AsW2nnqoIQX3Jk/125A9x/xoV+tnJOG2VLaXriCoLSQsxfO&#10;Ki8B5ywc8eNG1NG37V937KZUqMDQH9Gsgj1nlr1SdHd0UIKs8jaEbF+hOhCVG+35KxmrwSmpIYff&#10;nexKJ0+K575di4BGl1/EcWmlC3TidLXCng1yC32y4PVG4q/UtFT4K8F364sp1uLldoYKRVN3ls6z&#10;l7DilJZDkrA0Bhrgz3ziDIUNgRym8cdZoFxQgQo02i6IoCbAMWjDeTtdcuyMvbgB+ETVlQ7RW0fH&#10;+2jOSvBWQx2gTL5TDcjJL7fnLmPTOKg1SQNeb/Ope6rtLJ9nzRP+mUAA3JlvLwXi6YCN6wXuVQNy&#10;lQpX/6FbYFGj7aJ0C3nK7M5JWQu6M0fXbiIZmbzpafblacX7xhTfXmnsuXO0/5kR/Z381c/bnbto&#10;Cxbqx12bOKqHtmJK4ZrH7U699BUznE0GJYbJrj2OM+ux7AWf6d3X0fTFdm67yObzrAWmvmC2Bu58&#10;Q7bSM9/lL7ivvHZvY8U0e9NhyYt311f+M3/pQ/YGG+nLptmbD0tesDP67TrZ7/Ln32Wts4m+Yqq9&#10;6TnJEXvoMydkzvpY32BtLbbULh2YmDjYnDsxc1N98iE4r8Ky7j8tv94DqeOX5U84q9yhhx7TnamZ&#10;yG0T63ZKOTNeyJ37uLNhN80sONO61799jfP1uOxt3+mbrOv8Pt88997EnvXW+NMzH6xlrBfV5k93&#10;9r46dfaW9iuj8pPetnvvGT3w1PgRqfINVxXmrGuYi+2u/VM3HcqDckLQ1hez5z3hbNhVM0vO9O7t&#10;3rra+ePN3MUP2x27aAuXGWfckfxbJ8UBjbSX5d6xpuVPHqVPGhNbNjE95EO95/qavsDO7J148NxI&#10;Klc8e4B97nhz0pDycc8m/hrTGt/InvJ17IWrjfduyE6ao3c1naVdYvdeH9tgdv6Ec8oduhjJbWJX&#10;n6A9eGV+ViezHXirbVp3x1mR1KziNdcUF3bSzQV2h2MSNx5ummDGiur19RLohBxShpwQFIfIXBSF&#10;9BLhmvnkAG+LuQKmZDJSiEx6VwhU2sW57sXvi0www0jv2DmHGV3+ErtiWLSnbb36knPMyOTIW1Jj&#10;TtJefAk2QWjfvG1tenbi2ksSd42I1i3mJ6sgnbTc2Faxu25P3jcq3un9crR/aszd9Y8O1V9/tVzU&#10;ncWLnAOvSd15fXLsCPOLF8rQ+758vbz58OQtVyfHXhuLLyKyHLvQwnnaQdcm774pOeHKyOfPl9OU&#10;tuJGsXHjUpMfrev2ZvFjSfFSmBozh41NjZ+YurxH6Zl/wjKO9ezTTv/JyQfGJM/eiqzTwo6LeVr0&#10;xrHJ225LXr1V+blPWZttf0by/rtSjw433n+5XIyYR50d3aJLdNBldYdvpP36SmHpUalHR6ceGR9v&#10;erzwb+JchwRZzz3jnDYxNe5+wLdGDkMoW889Th3QRtU/CM5QT7vDFzJHDHrsCw6YtC3i28fH3596&#10;8NG6nu8VP+O109eKHLyJ9e7XZF742Uf2Dgea5s/Fh5fGJj+cGv9Q8pR08fEfkBhz8OjUvedEE98U&#10;v+xTN/LaxI0jE0fE7EUl56dXi01HJSfcnhw/Ku68DNoKYW+o1zxjRsV/qkti5nXFUS1NJykPXJXL&#10;xSvXAYQmwPnCpxTSZMuFrNBx4Ck4KGlGrw4kXbuehrGEjDJb7KR/NTp310PF9xvMfofAJJ4pAhyr&#10;2vrgKAQ3E0a39Y2uXXXgS313I9pkW4bW84DYxjOKkybmJ71rNcEJELbWd2fj87uyt44vvL3S7H8E&#10;yY1iVd/owHjvGcUJD+THv2U1NTkYI7rH5ibZBBU3e7V35kvbEOSuDuv7zLerq964kii/i2yjZ3tS&#10;q437GOT1iHnIccaM5wtjHyi+OdVh64Kw1N6NVKSuu1HfRDQKlqdOzKvz5zvL/124b1TunkfKixbb&#10;c/FAN/K/vdgxeoGnLWZO9BB7HvhVPZm/e1QOzuWSHdBQlDDFgDUZk2M4yHfuRs+BqTO61TsreGx4&#10;eGmPA4z/vG8V0uUP/zAP3l63FtjLlpcfHZW/677ivxZRRzDwj+li9oyRBaroZuCtlr98ZP6p952t&#10;T4z1NrUFS7TuPWnUl6SxoW4voEeGoyE26KqOxBrwTCaQHJQIT8FPSdYqHRcFrYRI1zhAvzFZKDgo&#10;EiM5KAncr1i63vWw5MN3xPfbVPvjpdx5D4GXmSCEkyV1EmAS2FxZ4E7H+eKe7NiZxo57RPf5i0nw&#10;o+ndj0o9c1/dgZtpc57JDhkv4pg7n9+duX+GseOe0f13MeAQAEYq1dfQ2I5rlcLITxeRpIsrQlgF&#10;1gL4T6F8+/mF6Z0je+8T2XUj6RhQmWxecwgKDBYr3dQ33p34cB19VPz2hxL78sVkUQjhM29lo525&#10;B3f4ejzEAQ2S8xhBkh6nVMCtS/1u0U1/Ln32j9Kc7aLbg4MZCI6NwXUzeswR0aG3pK7fm7UQa6mu&#10;sZEPJ4ftY9b9Ubx0eP5HunGFxJLiKxSUaVQXbBNYBiPXjSKIYzn2UXeixYQrUo44E3/Vn4guzELA&#10;V8Af7pBDPNDlJ2J0MuypsKcCHJSm29oG0PWdj+7PvZUztt8jNqCfWZ5p57P20jRFisRrhi0ECjkr&#10;kJJla9NmaX85OLLd5ubGdQ68BLfeuzv7es7YcZ/4kP6R0nRmqYGWnDZT+8uh0W37QEqtie6UhKxm&#10;/GgR/4icNa1R79rBWK+TvnQ2pTRnzykYnWCxW8Io6zqm3sW0py4ljfXzj+R0AHulNT1qHr632beP&#10;WVf0mRdEExp6BDZdQYVBonfVFi7XNuxl9upoP35XcYbwoTGNDWjmUDDJHP41zW519jLq8NVxVuH2&#10;FwkVXgc0U++8tjN7FnmUnW0XOuohcXo4EFKRg3tb9060tz/QjEGU6u5GYqFTt6G5US9j5pP5Z2fw&#10;SlM4gsPXjW8Rh68jT4v9pQT7KpxO6+uzppPdnVaDNQO8F+ngFY7VkB4TDMqwu7JfoyJXEXL8ElP7&#10;MLyK+SkblShkpREKfkS3jmz2Y37YyNIiwzj2FOP9y7NnD88Of0MfcCKJfrD19vrb12WHw81R9l+P&#10;jTjv5a98lRxuxsDhEuJqYxSsZFVnv6PMT6/NXHBZZsSzCGB9ux311y7PDL0gPXCkvfdJcBIWvSDl&#10;0eYnV2eGj8he9JRFOEsx1H5p6cJBmX6nFxqOj+8V19rvHz8M5hanZ/oNKBROjO0G46DEPTpME/Sc&#10;NNB45exM/4GZsT8SWBjrRo/fqDxiWPaCi+G4dZXdKLkJXZoeixy4hXXT4OzfF2mbnlDX9+PsCYPS&#10;pwzJp/eNbiF8QCNmvwHGq+em+w/KjPtJr4N3I8Th64PhxBlqwIPE4QssqHuBA9p5mXtcBzTjwIHR&#10;2XemTx2cOW2y1u9UclRd2EVrpO9yoNFQMg/qS4iLbBIbtkX57H6Z/v0zE9LRQzen5HJ5Wb9VJPlW&#10;dvCFmfPOy8/YPfbXOr3PEbHuH2YHXZAZckmp48mxLSNiiu2re/MQWSG1boPZ0n8pC+gyGZIflrwg&#10;7poFaFuK8dFtZmXIxALhPD4S8UoKEWtn0rDHnLiYNb6avTRdN+5kaQ3PO74QG40bhc9yMkUtRbYF&#10;8sEdHKCatLp2isMa6UAsJTutjqSHmyUna+sJyVWlnHesqB4X7u4CcDKzLCdd0OoxAhKttZV3CoZR&#10;h9Hc6bDoiQoKoelYCB0uCcAbC1zA4v5AuZadLuiQuSSUXGeoCjjMZbRYipyZWPniu6PkVDqYsTKW&#10;k4rjmavkLwY2RX+rQtouAk9oDEZ0DyjlHCeux2icG9o+xrrrSkG9UY0hf2XJGq4oBMlfMZxCRsFg&#10;ZTVgFNACfcYpIZmEpoJSx4dUeJPvf688Gki1yP1emtrJ3AomGbJNTa0mNLvsr8TyrlgEb3kMZ08C&#10;PGGboXbo61qKEuI+Fm0gGtr1JhFH6zKwisVhMrZA9GeZvCpjI2TK5wDVkOd7Xl1zxImHaDulT6D/&#10;CvNZYWClkKUReRG7Ugms9uREIWPddSRa2hysSghmToFSVxd/nEKffFUkqweyYXzDplKfSnBh460Q&#10;Wkp7sHQErEyHZhK1mjhx8eHilbhiVcarTCQ2gHRJYwZ1ESD/k3ZFmJIqUidaOKtNQSrmUAmvDKzV&#10;EwZUujpYiRg06ITMlxZdE1k3Q8lKDxoXUlZscRF9nEpWva5Oby/HmWtjsHpGH9rb2KRK8NE1uHA9&#10;VjKyuqYAynrMQJ6WsVs8Z/enaATpEZvhoawTYsjfoqwY6ZilygIVgaEglRVP3I2pnkuAJegPACOf&#10;PSD+8INwZO3KRREVPPIFK0wQQid4q2dNoGIlVumIyuMqQhvry/sSG/QxAwWpfH5PsSjG+sBeRrpk&#10;XZU5XXNqEJAW/d1DLtcoIPDKGpT/I+ZVHOIM66zaLmoxq1o+yAk+pjOABfMe+n+lWEOMp/iuV6rJ&#10;gptqli4ihPVNZQsST8dH4jdHBRK5hz9d7GJOlK/Q3cAGgudf+gUYy35V4bUKMoAh1M7F2MPpZzJV&#10;vMyUUSGAkVr6kmgUrCvE1YtVc3WoQlOVx3wPFoo0r9hD3LDqyF8YsV5jFmKCiT0pM55DLWjlMBV4&#10;5aI6qCbAblIaecdZ+mt56kqWCG96agRhpL4nh7S77OZZErTRYY4iiuFMqQumpMKXbAnEr2KewTQ/&#10;LnQhJfVxJjCtwcuTC+oaWrJmYNeQF9aHKypUcmKXozzgE0RMw0YSl19e5kA7QGDkVXyxWFfIBDJn&#10;ox/aHhxzBLFc1MlfWKMjbvkagZuAAt3TBQMrI8GbwUjFqyjb7coiH1nN/+7x3FPUZkReDxDFzsK3&#10;cySMVChHiYxkzvC0ISk0eW5i6EAaSU8gxz3Cts4n7ilMRecSGjhSPmK8OY3n/OfJ3LPk6PgqV/UU&#10;ngzK1mN3F38LCh8Ggh/UUOQV0wpIMCPshEznRomrTC45ewWP4QvMHesqmMqqVaq254rOiqWzNmIY&#10;kihy1VM6SUV/AP6XSzKGN1cBYIpBoBqgCr8ArYMDFbyuIDwTinn6ndeOCrjGReBFxe4gUtFXKCRC&#10;Fm0eiK41z3VrcpkFGLScpX/YC5qomobNBAEv5tpLsrQzQ+ZAQNEpNdjzG+2mJda/PrcWrbCyFm6b&#10;IRGsIOQEODSRq2gvXWovWUI+SyGEBGVvYSX1zFI7TaHJ+fnz8m+LnGVkDYAmW25DvAmWCt2+aJgt&#10;iCIBzlBwkvc8+O5PidSCe9RKlk/jYkLhwmV2GkLUQJSrglNcabNVZdsmblOsRAJKsmvFq4tLvMHe&#10;KwkmhlvdWItGA1nFF4l8jfNihCn+EQhF4DI9RbFW8A4uDARi5utq7jxLbHVxYY5yz8BHLI1rBmKD&#10;MtxvfD8z5KvYw5fDuanOe9dlvvpb/RU7EejCdPb167KPNxrdYlpxmdX9wvbX70wiUkGELHBQgohU&#10;A+5IHtaFCY8ZE9M3kzBSupEpj704jzGw5m1SN+bCKA18Qq7yrOLll+Xndzbrl9rmIYlRp0XMmYXL&#10;Lisu3ECPzHfW6Ze4+3hj9gOZoR/pXdbVtz8musGU4gOv25vsEz30jLrDu9uv35id/IfR1bSXdonf&#10;c21svX/nL5oER8hr9jLru/Z170yK/TEhc8e/mWfWefcl9urAqv7ry/nbJhZX9I7ucXD8okO0tyAf&#10;dIDqSvLpPCff79zSWhsYqW1jVx9inX0++379UOOfN0NKWiJNuUFD6a7LCrM2MNovsxZDoKRh+nsj&#10;8+PfQApjW76bHfoxpfy4urN7l6+7rEh8vhbZXU5L3XAIjQpOW59ZtFyDAAUxylpJU0KdwXaMDmux&#10;c+m9YBUt3TZ2VrKtRRbnVHbRfUW4tYgtllPI4tjHRnZMKFRDd+qOA6L7lFQAE/NX5N4guoJ8E19h&#10;F/3SfpfYJr+UvgfXnnT5kz8iB2zDHpZ+Lj5diD04AeJhxbdCKWRZzz8BEalSY++tn3SC89jT1G7E&#10;VSykBfxEMAbWnaMT20wpQgwsfjk/vlhoPC715OjkpMl13T8ufl10fnyp2HR86rH76h+ZGLefKU7J&#10;EuuB07du3OjUeXvHjjs/tmXX6NCrE4f31Mu/FB9dFps4OTV2UurkdOGJ/2ixHerGPFD/4JjEXusa&#10;JwyNdYIARFr0hvtTt96aAs+sZz9x++9mR9cd39f46+DEpX8znZ+Ljy6NTXyQ5tNUeOIHTGYOhmhZ&#10;52K/Yt/rfys+giknp/o1FcBVCoJ5Tdms7r4bk7ePTh4N8bA087gLokDhWdfUHdGLsnLLOHiKDd9b&#10;/+WF4tKjko+NTj76QCz9ZOF7cPBl+qswAZDkbILlUirpRSR9OFK9yG39b1JzoapSbVX6iZjh0xSE&#10;D/2lzrr40EBHYAFi8R3ncFJtmSbI9Az1KaIJE7vKKkTbiezX2/rw3072q/LcrSPbxhnL7MW23c1c&#10;i4SRMvtsRMvhDkoQIeshiJA111s4aWpPDKysS93CJVqv3tTKlIxc9WBi95izYLHWc2NyuJlWb/TU&#10;nfnUvaFrT8OvoVHHJeuxMbl7Rhc+X+TwCFbO70/k3t4kMfwvxD3i4GPNGS/kxz1QIJ5ZcChm0MXy&#10;uR+CfLn5gANUL16k+G7NpyXen7t7VOGLRc4f87RY30i3L3KX3J5/7B1nu1PjfXwBpwTl1OereO+o&#10;/N3E58uCmSdTT6k3jNAHPASilkVRDNsc4ECEEJnaemQG5EA25dCSxcxQBhZ/AXHFJS67y0CMqKIp&#10;mBrL8Y0wwep5JKuXEl5oUOGIWn3nfcxfPyl/+g972/2ILwET8DQMA9POeKYGRKQ6jEakGhwcIUvE&#10;wNpv78jGPmVLMuhQ+umgiLUg2gtWKpBQ6rh0JHhRHREbenPqur1JyuJvhZs/MkcMo/4JhdIdw/PT&#10;O0X2Uj2z/NxQ8tmHPhd9WP5OSzyClngmlLiPBsG8Rj2ZGn6ACcG8zj+LxMPyXIJy8PnqvTuJaYU+&#10;X/ulwGvR3b3IDB3y1EpkBGdAmBDrgJwzA7PJKldwi1Z7K/i5XJg6snMsitJcASzGaNyn69afgZJ7&#10;b6Fw5eKZJZOUAYUk3mm8zOW/kztGNvm5MHmeud9mLgPAzTQy28YwUj9OpajlDkq9eprrzWIRsjAP&#10;mLESBV0jrl5uDCx0wOZXlw20Gb/TaU1T6fKTcp8WtS6dten0jr3SnqYb3T2yCnbRWBru5iARrBY6&#10;ie5mr57GzKfyz0EEq2J50h3lHS6u256eGmA32jOikcP3jgR6ZoGdskgzCsgnpHHNDWmJ6CpFS2x4&#10;P3fNG07PHaLHDYrvTtyjiBXNtBx/aHvYhrBgud6jl7kR9fmaTv2ywfMXTuOAJQy255arrTiTIasb&#10;MYgfowFM6aEdq/nCrdghAOLSFGUqS8nUBiZN3f6OuCR1QnWA/uYS130kQza0rrIU4Yn0RGS/Ppq5&#10;XXQLbnmGcmKbxc/oXBw2ID1gWP5HGkYKHJT6DTE/ujB9+lDioEQiZLELwkhF2r2ePX10uV6OgcWM&#10;H5hI73t8vOc7xBPq5MEF7SRwucI7mRMHp08eVlz/jPh2nkaKRvbfvEy9qJzIJvGzNi+de0p64ID0&#10;hHTkkM21wqeFR36xP74jfcIpTSffWFzaIXrcRqXLzslc6PfM0rTt9jG/uy193Ru24clns1A+kRK3&#10;ICUOOD09kZbYbptI6o3saWdnhgzOTd0rvg/I86i5P/HzygGFUkZ6nxPi4PN1/KDMyUMK4PPVV9SL&#10;HkIJUhaCIMGBgPCB8zlgWRv2q8AHPIfYGsdqBiptHQtiljTrIjVWLAaSDs40dJIfNy1LZmcshlsG&#10;hG1BHsVddroOCdxKULZfuiq7eFByaG8hWemRsFFikSlAjxf7rWkxEGEAozWFXE4hq5kp2FnIL7He&#10;ChuLc44VVzyhihCvgPpG8eqH84w4LmnguBSWwgLjEfiLVQ1f6s8nLEuMmSWVCPGwWDAv5HgFYmWf&#10;rxAN0OUQ11ebARim4MpZh9MTRgC77wcrPKhUO5dONHMwZghLFv4WFkratgKOImNh55Lhq1i4PGAt&#10;W49fnfuud/yagZEOLlbJYbDY0VGnFLiTjBM+xno4Imhy9eaw+nsr24w2a6ukIXitqBnW1pwKA11y&#10;PShrtgq6qsDqJ6SGavohy2SPZFuVoOn6xgbgVTbH+iUrN60wIy2d7ICbD65nqmANmgAxpAVPjbBx&#10;qEaAdfZ1WXKDMai6cG0raAbmU03++V6qoRXFO77M1ySwhkbSEksBQlXlXzz1gZ8YPId3TfZFnXhx&#10;tdjdMcNFu8JbCQ4BDUWfoj7LTQ+BPd1/U7mDU9yAiS7LXxLRKhGs1ZstXVYpdnk3Cy+kVfQ2B+kV&#10;6tkm2fh1OtGIBIXuuMokD96Qqo+p6ESKrUbS5+7agXhDTLZcvImcMMMQrgbCmiSX+oPEJ19YFE46&#10;JdXDNRm4tTCUp2kVAFoH3uCO1ro8V/nbbcIvD1h9ChyrhQe1QXWjkKWMpJLPFbTcyCruikcMxyjQ&#10;5OrUUDVIojg0VZDJjB4xvsu9UK6JXGoQcKX3PFVY5W1dQwG1dLUasglIsupybiY9CFZsJhRJlZuy&#10;KozIKM3FqhB+PGOeP4ez30SFd6hWCHuyJ32vMoqlZ9kFW6SDlFLvrhqbxCnyBc90p39hTKQF19h2&#10;QSd3lu0fPii+8mF5nrtm5kz/vPjC30s/kb2s8uXM/rL4/KvFfy9Q7tuN1j/fLX71B71JJAM5X3O6&#10;fEidmgsLGheq2MBGWOvbHyRW1Fi52lHWlhkqkrVKxq6FX2Aakc0RzGceZNHHoypgMpHWXQeScSyx&#10;wMlbT36q77JFgMWVZ0LC4lW/OPahYcEH7xnig+dojaVbaXAyejNPb+IVoMh6i6jaXfEF/8mdtv3q&#10;5ekb3rf++CI/aGienkflfHNf+vynrMWzi1edkX19iSjK+WZ0ethD1uJ55TvPzDwEIQrxsu3Xrss+&#10;+p/yfRfkWGyVxvKoe0tN4WYyjOtW4YJzQO8YU2qs5sNenc+rI4UAqxgkg0r1SFtIK1DK2s7FHHwj&#10;eQXgFSEuVATe6mJIFesFkKz4dem3npHNuP3fgWhqc+2MCEEI71AnQLAvIsiyEKQNQqCpRzaSYx3n&#10;0EhvkLzJ+ekL8MGziQ8eBieLiJvUMQ/c8JgXHxhu7caCVs7aPEIbudOA24CpAx5EI1NAS7lX5eTO&#10;dOnN3yMjbkicd3nyxFjp3akk8MGv882zb0qcfV7ywu2sD77lrC+WX37PGHJH4pyzE7cd5fz9LRes&#10;U+cbh54Z37sdORYGav3Lk4XikfGtvW4KxNBC4rqtUJx3q5BH2cgCy62h2EWwVhSpflHCVmIlsSql&#10;cdVer2KnClF8xXUwUDqJM/NHa+1NqA+A5sx6PXvK4OxdY3PDBmXolnx6Z0j29ruyp5ySeX4mafVH&#10;z0mfcl5mxK25AcekR31DGnLZZ7lBQ3PjHs2NGJy5d4o94/3im9Psr5/LP/SRbeVKlw8t/F52Zrxf&#10;EDeLcwpnXlokK7cQF+3R7CV/d7Kf5k+9gzj4wZ13rs/e82+tPLd41amZ4XfmLh6YvvJN2z0VXofA&#10;adl+p2VvGZk99fTs6/5D2CCPqN7OdhaCm2zJXrRS7wA+CaZ5yp3Jv3UgHWDJcr0DfMELQmnZWpLs&#10;ZwL3e1gidlkDXQQircJaKPE1WVya9HNkyP4GbOZGFwDOemfmi5kjT8/edG3mUnIoEnkCcd1OOjV7&#10;y525U/rngsnTnK/HZ0+5LP/AmNzJA3OfrFDaY834IXTWIFU14J7/FlefJKnJWS7Zswjj8TYqAxTI&#10;SjdQ+wR4P63TkaYvWS+/6BwLx0zelppwjvHJG+TOKy86J45N3X9P/UP9NTiqCltzh0Gp8ffWP3mx&#10;+c4LJbjz5WvlzS9M3npNavz10bqF2iZH152APniHiVjT+uYBN912ab97dNMfy19DXk3lD2aZh+zg&#10;/ARudUcnHx+depSGUvterLhD4DTwS6x8cmciOuRo5/bjm444MvPx9vHju7MKF38snH9yepweH7wj&#10;LxqO4OppPfZA8Ysvive/aPfZmt/X9fqos3S5vaxJb5fUvny4uO6psaaJ6ROGpo8dlP9JEMPjukE8&#10;Nl9ctxTGdQu4wFvNid44JnnbrclrtrKe5YHl1gyYIhUeNaACaUFoDk6uDpAcmhSoHinNtQKRt9Bl&#10;iaMTJrYdiFK2cQfyI/mXxKSL6CnOjol34OBJYzGVK4bRrTtJnuhutIMQaOC3uYvxr5HZW8YV3loR&#10;Of1I8NBovqrfLnLwptZ7Xzvpz0tzto9uDyftznOWMbe6EoRSm8eUEOaX+O2TFU/ubCo/9qbW77bU&#10;+LvrNv+u8BpOksC9YZPoRVfU7Ta/8IhQAyBizY3Jw53yK88W3stFT96bs9k0Dj/VnHJD/o99Yvss&#10;Kzy2PDZoO+fzz7WT7k0eUip/sUQIVmdRcFw3csilJ66b24KmCCxXePN3HliuTaDafMaHFFvVxasG&#10;chkCOU1+tYHCVCJZ1lwxf987ECuBHddNHzKPL54YvEsxO1wGYxqFQqre/ejUc/fXHbS5Nvvp7KCx&#10;EJstkC61erCLWmRLZf/uBxg/fVD+iAaFJIewUbe6o7hbnQilBknhpMw9qF9i2MmdMKH7bv1o/53N&#10;rn1jx21t/+vfhPwCOdTK6LlNdPDB2r+/lpCzbuSkCxJHrqdtcVp8B1cl1bsdlHhgcv3ooeZXj5S3&#10;GBjtbICjlh6J6ck4nEPpvk44hr8413lcNzjkMhEc1w0Cyw2HwHLm3vtEd9240jpfDYjwJamB9zVk&#10;K69g+XqAe6M5hanZCCTzLNSsQjLWe29hLJtO9xhBvDGI4raM5Nr0j+wpt+HBk9bvRJA4K2Grnjh4&#10;UgG9/e5d2ddyxk77xIYOwNhsDpi60AdPvsRNc11j3eX2LJpg1h/aep3Il+TO0T7/yY/7I3IwDQgF&#10;bnULl1G3uvWoW50bSs2EkzIhcBr4JULgtMCTO8219faLbeKzZztz5msQZgfisN55cubZxaRqCxY6&#10;a6+nQYjqJaDU0sueV3zwu8iQIwK2xxb+U3gpGu8PrpI67H4mJyjl4KAv6jZFXuZB4+BXUFy3IsZ1&#10;Yxc/B9SG+GoksBy4LxoQWM6DhdYKx9a+j8S2hWSt2ieEWitSuhiVMOxaA8iIH+06tTSbHFpjHnea&#10;8e6lmTPPSw99QjvxFDgpgBw8+faF6YFD00Nf0QefQmSe79K320n/+yWZIednTr/D3rsf8X3efl/j&#10;u9sy172uxKBwb7aPDj7EvuXU9OmnZx4oxk7fmVKWjBy8hWbsFN0SynD0PifGtwC3ujMy4ECouNWB&#10;X+JgdlIm80v0ndxpbhgbtlv5qlPT/U9OP9OhbiBsHIiZJ/bTnxycHjAwffPs2NBDtKa3shc+z7YB&#10;fvNE0TkmtqP/UEXLevExe++BEeI1bhq77qo9c2H2rXhk106clRHzpNC4bpkBDzokrhu/4BzQg+g5&#10;oF+0ix7fqzzibAgsl3vy16pN+qckEF5XYuQIk3whMhC96OVBx9srhZmfdXw3qA55i2/5ZY5aiGsi&#10;NJ0fJ+U+2Clx/jakYHBiycEB7HCileH6U8IdOP0Rjwxy3WSlDgHKQqbJqWsHBtmau7bHMc+yn7so&#10;t+js5Hl9sBjyh4VSo0XSKogiQwKnQQLBvYK9OKN3XMf1XbRy9rKsvu66JIBcwwvpc9OJRwdUd8CX&#10;wVKEmMgpXfJHpeXJQeNYaiSvkoBy3Rd9zY2t3JwhVqZRfi+8LYJyp+oYZlUNrFLKkM4kxKbQ75X2&#10;c8unDle0gTkiFbDS+64rVpAHFrzMIkbRGrgrC0FgFVhquRAoWw9dkvu6T90tQyNs+ytHLKXcD9Zw&#10;FtXWyLlfy791Nrelc8fmXcobhM/8hh9gtfXbEBKaTxnDmVSd1oMVURnUdzisg7nnylEBVoUYCaxc&#10;EIloShS4bC8lFaYhYKWPICN2Pg7rQC5Y3c7n3ahUsWEEabU1H+3b7M8qAmvzABomuTD4YOhVW23X&#10;RLDKOmvzkRo8unrrybjDb4fJepT0nMcqv9HBimwxrXhVe+5mrrQmvFbrmy2H0+p8U8VjbehcnfS1&#10;sKwwF0F5TEeJGPgRpQbrAJ7HPq6RGwpMPJiRfzZH8WwRomvGKxtMak7fwqZps9cqMLXNylgtGeGG&#10;QRlUzWmDGvqsSIJfKOTDXwvRIBRvwAqFBj1aBWJTsCjYe6tSw8EG1z+oGc578axI9Dg8nlNcHsco&#10;+ZFlPX1HHo/1qXjV0FA1wK050Kghu2YnkV0E8WWhDIgKUhqFYK1QBNXk/M9ZHeUNsvIMWnkhaACj&#10;5zhWqlnbNAWWQAryuGJJRcslwffGMh4tWfvV+GFuxDPkTFDvxbKi0eM+VRxQwDHqzrEhjlFwssCG&#10;1qNvU2Nc2479bcnT2tlTOaW8KCBPOGR55OOCF7jVujVJLyK1V6THO2KRsx5pV6mRd4HJLJtENSs7&#10;ixeg46aTWWIvlH1ALWfFXGse91EqpNE/KyRGWpnFSCNx0TpEb6HeW3ARnyY4ZZPEJXAv5rdFa4V+&#10;Wx0OSYwfiOdyQeg1i0Row+RSVvBLPp5TZZgasE3TO+9pNr5fov434vLth6DFKQlahJ8aG6FFedfy&#10;km5hN3fpwG+IGvodpRpLIOSuyFyqQRik+H0qtfB/N1gNj6dMI34puwhVXwKfoSrIdCXZsEQlrJm5&#10;k84ud9iQHmaZM4/d0v7nHA0OcbQOSUwaHIlnymMuzH+zttFxhT1vk/jYiyMLX4EYaaUVvSN7HgQx&#10;0nQpRloMY6SddC4cEqnDIZHXD9SuPMM694lEjx/glE16Hiecsnl28tI92LJT49uZU6fEnr8uGocA&#10;cpdmvjy63RVLMqfMiT93jvGv+7ITZhu929u/LzHPvyOxa6x49kDIqq7uofSwT/TOHfTYMru0f2LC&#10;4EhkZv6U2/X7x8fXcyxP4LeuYJstlm7sX/rro8l96VlWKmY9jeRR+Krho+JMuNrL/ueyLAx5O6xE&#10;dp9LVjeZgCniEo/mkDqtd6YlQBFAAKITpTQvgSMVk4s+4O+1wUN/y3p31Bx6f2rsA6mLO5dejcYn&#10;j0k9/FB87ddLX0AUyEW2c2Biwh3JkWPqaJA2ffNjXP8s5xcR+SzZr4kcEkkvckjkqHNjPPags2i+&#10;dtA1qbtuTI6/3PycnseJF/XbKn0NbjVN5Q9nmwcLv6pC+ZWvzEtHJm+4KXXzEfrCxQrvihvFx45N&#10;TXqorvtbBfl4Tn/gN0qL0TFqL8C4Mq5E8TSGHwV/tv7ZfLDT5VYP2R61TGBRjP0kvQ9/wSq+dE4L&#10;MpNmLrGUxkD14c/dCRgGzcBNgcH1J1kY/DDLDbsbXbvR5dmU0T3qrLQ0c6PoCRtbz0zOj5lc+i2t&#10;NUpB2iAVjXxWfux+OIey+MUiGyKfkdy6GCJGGi0TTtmM9Z5ZnDghP+Eddh4no6Vd9EDw2/rOSX8B&#10;B/nFdhCrTDFzt67l267I3f9UacU28aM3UUjfsA89nrPO6LmWA6dui2chgd+IRc9zigG+4mNeMzt6&#10;M5O3BH7Ne0fyZ2WgrYBdlwcCuaw0NrjTloMPBt73oNBTdxrxUxn3RQIiU/FRmESQfbjkCofLC+xi&#10;ynP6o/BF/uyx9gY7RPfbJ9JbPmkEs2Wx1kgAM4x8hjfVcugpm/Q8zv12xvM4xaXvvr/504flTz8m&#10;B/m57lOmedxd9ePOiW6RsJ+8ODP6R7XRkBGUAx6C/YHfYFl1RVFfTz6LOgin/xOWZBKFj3NK7JGS&#10;Bm3WQ3mawM4mIZVyGJHsmhVoHhzeFKB4BfR9lKkY219uJx8Iq41iAVpFYC+mQdr+Et13O3PzjfQi&#10;H0y5K5YOkc/gkEg58pmcCyuEnrK586GR7bcQ53G6qVI7Rzf5T/6B2ZGDtpJobijefmMp1yOy39Hx&#10;gbs6cJynfM34qdwIv/P2tEajKyy9RrVI0YF5WGDANthCOGutyFZxJ7PUjWEtcqsoXKvxMIhhf6q0&#10;9WxrqQgQJF4IVa90FRBl8JePL2NygryCmoCsD3Cm4AIVjmhM16CPxHc/dXhH3G8++/V194lu/Glu&#10;yIXZ8y8r/sL7j3DFMjaJnbVF+ZxTMgNOz0xMRyHymduzkRdwGfq+R5sfX5U5/9LMJc+wA2Xdhk5G&#10;DtzUKW0X3Ur2DWsX2TlVvHBQ+uyzM7dOi566p4ILOJ7z4iHpU07PNx4X3zOumZ2jB9WXhg3OfdnD&#10;G/gNXmv4Z9ncM7KB4bx+VePlb69iLK3i7IN6h3yPWwPYPWxtgaRw4mRpioCh6idDi+ep0AfoF28E&#10;IUGOOLfOo5CImRYzCJDScF8Mj5YqAOv1DRCAkuwbAYgGJ2gapM2tr0hEbwXEWiMJ3HphmiI/GlPl&#10;eqA6Q5IUnSZLa0eP8PReZScnjuf0PJOJsaxHry50vyK5rxxlljSFFN1Red1DSzX0eUijbzdfIiAF&#10;KksDgRmUtSS26JkCxOoO8fGEhgTPZckXMpa4wKZH0oihX1FV1eUqD1hlmBKBKnghEa2IWHqf3lHt&#10;Vq0FKyeE1TSQrZwpnAS5Q8pV9hsxQsEa2GCtv1kFrDJupM4cVq4MIF6TFuG19WAlGAXpCh9GrBip&#10;UW4xrKjUCZjyxqXB3QlipYkPxqGVYMCHfnjbjTYMKcDQS/yNg5rUj1QKlRBetbjT+xUapuwQUps7&#10;NVEsfa1HXgtyUIVLNeHZggL+rFe4nRXOwiGg4foigywXdS5kOU6UZhQdDo6GEsGCJOjIcykKVYI4&#10;uFmGmNFlPpi6UpPxQkFqZf64Qr4N+RgmPmoQK20FkLbKpzVcWRNo4IiwlYOG6V1yFpmYeAkMSRUO&#10;oF+oDSF1Y7cR1iBNAaZFVZgKcIv+ICsDyndUBFwh61FqBdhpEokgHMn9YHOTyENVWDpyP0wH8KBC&#10;LP5VBLh7RjqtFznjvao7REX4BaiWEgFYW7mm1bDs40oN/dWfZw0lBuUrySw9AKxYDgzreEIQa/Eg&#10;1AqK3OaugFpqk4JA2yDChQ2VkVdVrAoEY3tybsuQFQgWbcFfUjuQhyMBSA1rPBfpspJa2W8BKAzR&#10;WUnBpZJWhN15oEMJh10+NNFzX2s7TTOQXrWa4WBV+3PlrMQQWg3eQc9XJVhFeZSPeCaWS4MMMmIG&#10;YBIzwHSKp3+DKCVqBj/2hPUH6R8lQ1UvlXVUFKpesKrYrRWs3kGgsrxQBJJvKa5i6wUo0yBNnWyW&#10;9F7KXnJ0EYoGWabi6Y0tlLJVwNoi4Sp1u+YL19UCVrkdELhMhnFxKDc6Lkrhob0Eo2DeR4cgWTDL&#10;YlJ+pIhPVqxnNlUZrIphRRkKqmpeXuZ7BktZgRA6QGWZ6uGb9NMpg/kpzUInESFgeMFK+yOBBqhk&#10;Yj7aPHHWDLDWLFz/u8BamV8EpjbXwHC9VIDEr5K6opuDuW3BSruB2mRhkA1GqiL+pcFcNRvXDCFG&#10;jGPZTmMDs7TgeEUkK9VTUYjCCT6oFaAxEc4v5pPSmstSSfdUJAhy1TozcuhPBmtbxw0gvKYfpjVg&#10;JZs/ZtTaLB4mB7nFSFkhUf6PUpovS7WVeNraxSp7g9FGDhbEboyjkOjPjFXs+GZFJSDytc14GGb5&#10;q5Xlf166NgUrql8oFdinKlJFG4Q1RlCfF/fwixiXvXystIPGz/NAbwWvjKomgqqMPYUi6ACMZgJU&#10;Ga9+7gFPqFscVQjaECR+XlfrCr5qt44PLatLW7LAHc3JXAGdD1tsqBfVCRvIg7lFt3krSrRsu6rM&#10;o+AGk++G9oramK/rNkyqWIZcuIreQLjFF2KoekDWWcgHByd+xHNtRYlO7CbnXFEsGc3I7c9P2tZg&#10;RQ1M5jvK1mo9N8CMgMwJGG1DxmmKSmYo8rxVVQyw0VgIalnblhspqMFrbkRiAYB1EFYvucbo5OAu&#10;GdIjyQV2scM71Xei10zJf2nCNgcrQlPWBCrjNBBH5BVJ6UUUupjnAo6+WxWIws8hMKULS1elcNvS&#10;K1Zb18qlMu/GUvWQVyg98Q+5w6ZU/AuTrjUULwRDqIRgtmmel+CK4HB4g1UXOWEUsqoFgAPbmnHB&#10;Cxy1wFUAViQIZ1qoDHhstFVZTpVHV9hRbOJPAVNlQHatngxwAcqADFmRF2uoMDkqESrKY1pm1ToE&#10;JHDAlsc8cLgcpavTOBKJHs7Pbpa6J8cqtXZXvkRdXIa5L1Tr2EHviLdr4FI4aVyuYMsqHypwuPKu&#10;PvNIolUBViZZybIhQpZprhUZraDPN2cKeqrIVRWvwcoAQ7vcIrU1gKf0angJfQ75CDnCVgEoixgs&#10;Xfmi5lAVoM0jqNlmjLDsq0G/eWTVkHrVgBWHNCo1hIBn7SR31CDpEyoGghBD+e7nmSpfQxtHfVH0&#10;dkGBCxKespXtTOynOODQD9hT6cdrPGGA9ij6ocN6Da0cDH5Rv9WAujbpcKsMrIhW0jxg6xYTiEDG&#10;VuCVB08SNBWFgGYrhCt/xFflPfYBHw1hI7tnUGwlUoEdeJgB68AUpuhJTD9UGQAXInkg8tpSwrae&#10;VcRrM6DYJpBqduep+YVVB1acIqBOVhWviDY/jHzWAFmUynokvuoxWrFM6ejrqklSKS5MCalBhneu&#10;J7QaqQSlLF6nNOZwKSvJV64qBA87zUBeMAZCFJ9W51sz4lqRcFWC1ZUidKYly1cc01wOiXE2CLMB&#10;dig5Pc661JGaNYloGcQ1hyMXme4dqs7yGatgZ1u3IHRbEkxdyE7CICZrKa/cw5oZCdKiBmFX89Y4&#10;akFF60Rp29NTmeZVDFaOV6q8crwK40Aoq3woqWA3FXqrgleaA8uGQZbsZlDnWPyOgEYQr1ox/fdm&#10;B1nFYTu2VLvKVmQ2dLD0emBwgFogWYN5r6ZsJJ7S9K2Des1FioSrHqwSXpk+UNmYFSbOuC2LI4uk&#10;c006Hry5GoIHsiJ3oZCKL94ZIG2aNhauoLbqMRo+QAaivytySw5vJ3AFppQ0Ax7C8uWdmVU2f4W+&#10;1nxs+d7wWD3kFfma7KzhztdtQJyaBdcaWWwLV2LJgOCtwf71NQ7OlMUlGE/v85eCEriv8G+iWP4a&#10;3CAzGneS3MZIxYKJZpzLgs2VmfaoWYBYBqirNXV4lymE5ESg6HgsRssvmSdKLn7uV6u22ii19R85&#10;VXj+QXlJLb5aJCsyh5uxmuPp4tcHVGnnDv1MWhE5Kctgr4jiSwtyxlzBpaySrNItR0alN4nukUjo&#10;JJKg0J1p4A/iAWzrsBmO0gxH08H3NkKqis5qYGxevds2t4plr0awyniV9xUG9nOXBUHMkMdNv6rK&#10;1rsYBjmKZZc8+sjF8WrkN6+sXlenRelki3YvMspjlBqELAmhYDvk2G9AbStlahXs1SYZmwfgVZR6&#10;NaoBogaKPgCtEj6pdBlZsz5AugT7X/paoUUQqdJyfHMUw9a2CsATdvtgFBexUkAVAwjm4A0W1qrC&#10;XA4QbUfiR/PVAJe9jKIa8N4masCfAVYi1UBk2FSQcCEX2hLhnPDMFOSfqmoboMuy4mhLARnMuYPO&#10;ADxqcasgUvvLvMcqtagBBbWWEApWwgApE0hXw0DTbLW1TcC6etUAP2exEvKqLF8pZ/bISo2hclXR&#10;DRTVliul4RoF2Sjm2YdTKwraKJ1Yl5bya2tbRBuR+qdl82eBleGGRnJBrOJyubR0Xp0nfsHjh28Q&#10;QKkAlUHB5KuiyFYvfnWkqEHK1UaGZ0ZZ20trWKo/Qw3A2ToGt0LhIZYJKIhY5DZXrgQptR7FFAcv&#10;z+hPZi9yOopQ9wbTRpRxDxcv2FjchqNwK5q9sl20UsYVNCjvawLL4h2i2tJUId1dVR2q1U+w3p+w&#10;chg5mp7rcaFBLqoV39Lnrm2IxcXmLgQSWQRG+B9jV1UBw6vjUuVFKbKLtwVTzZAYOr/BUBOCGLf/&#10;tLSibfae152lpRmzujNwSEhu/hzr/xOdFfVHZgrlriNkXJY3F5CFWRL4gfrUuX4wYskDx3H3I76J&#10;m5gjVzDkyb7QARiaJZ1ANmZ5FsxaCpC2eK9qT22LQpqXx59D0mrWWRlUqQKA7JH2ERAsimkVYpe5&#10;E0jAZcM0AzFqu/JfVwGW0U/zZbCUYM6+SljHYe/PaYtwvKxiemQ5uYqLal6f8KRenTor6og47FIb&#10;OC5usmVhXGb0qFloWhI01+zm48nKrySwLBWSKEVcxruEeUhqFbtb/nLLNVdRZqgaoPCYtkENkG2e&#10;JlBbfwhitdSUf5JkxWmVPJYHQwIlokioCktFcwiRo1wd8HUDIddRlvuEa8th9X9vrioOrDawogxD&#10;ySr1ZHdo9otVuc4cTKFqa5gWW4tclPoDWf/kuorfr2BVtUIN+baBzdVj16tUaC1cq4HoNk6y2sAq&#10;lEGuErrCrAWzXUnv9C4iSBOmmngllqzUFxVw1DAq1lTW/yVqFQdWD1iFashbHXsuG3/5iNyqirT6&#10;ZTZRo2QxpApnl1Zn3iYZtFC4yh1baF9eggJFqaobtb4OYj6rKHCoELKJtk+bk0tdPWAV436IEaD1&#10;fGhVDrI/gCTmhfVK1ltaVdB/68triFawGsDqEavca4R0KDHy/uncoASw7i0JV9ckvGbgrCXCVTIX&#10;0kpUNakIpcf7psKDFqhG7qzFXRliMxg+P5Af+GyIqwGsslgVagCH6Z+OUtEAzESC9gdsVY9VuAXN&#10;s2ZA3KVilVVhlWW8OtUAyQiAxTJ0SmsBXtvqn9XAkoFMIpSvEayW1qil6m1ISMWs1hwxIriyGiSr&#10;sARxtMoL9LU0z2pNI2xkqnBdg8xYbYjW1cfZNiF6lYJVUkBQWRLeTGuQtio3mCxcJUvW/5mxVh+q&#10;K5W0SsEqCuaugEQN4MPLGjjMMHrlNQLhxL0mmbFaMs2qDrfmN0ibiMvqhK0GNcBvWxUwXXOMAH5O&#10;qWsEomv91wtX12Za+xqM10Lr5VZz4c3aXSIAV9KV2Qz7IU9qeIpVKlmx53nEKhqJmtGf/pykfjOW&#10;u4/gz6FIKXXVCFdpKGwtMEN4xCHBXT6o1zJHiLqGGCBIVo3zNYpVsiWQeOvLO/JYeOE1HLCMfma9&#10;WkPpr11EBg0gAeJMcbZi5rsqHVOSOtUEkBhYIUQCOVoRPpZFvuOaC/wFARGJ6vEY2aQOqRHYzKRI&#10;v64ysBJXQAJWsXFFccJfw8HKBwR0aERuyvSvIfsIWu43GAwyWQldBWCFqB2WVig4AFNEooAp/hDB&#10;E8DrPpmEUCCrAayuWCI7KFyxhHub5LXNNWA8DSXB633rbtcmtQj0vl391WmxcF0FYK0qfwoFOKiW&#10;8ogtojHAupClgzARcfSLYRprtdeiUaE1riKdNVBbFVJ99TdqC0rkurUwt+EQwdYAV/dEuKIK2ILa&#10;rd5XgHW5HBn3mWsy28aMm5b4vjcKdmnTB2wptZevcHJ5QasBMtmBU4DbTGEPNAKgQF2TjQBBjce0&#10;JTEaCKhSwKI8+N+6ZLWztrrVkAqglc/TI5WRWZKNgXtfMbxKzwXv7YZGciIzvahkhfOZQNVtLWQ9&#10;TSj5SyjWiWp6+BrU/L41AjGXdZFaQ2ut0hq1Xsqs0kVXyBxGf0ak6v/HYkSIIxVUNnF1HP61G5tI&#10;JlT3oiEX8RJGhEr8RVD6P5K+zCZVNHQF9qQ1ZEbSEtz41wgkDrQkwz/xnSDjkCo9AmVJNZtSeI3K&#10;JWYLcg9QcJ1XXUdWIhaoaGBaFpPAqDYQvDY0gkilsT/hQ05iRiEddlyEQKcApbyaioXIgyPLLsTo&#10;+yc2WLOKFjMY0eWwV8uZ/JcL11VHPszuYbgWntYoSsXh38KSLRmnuNCkLGZTcZR0tpNO61Y2w0L3&#10;YEIS0McTv04M6P4v7BXVyu9bXP1vMgIEQRl9BYkNS5iv+VjBOP5n6zaqDYuYLKt3ybYyCKC4E0iQ&#10;CoYZFVFVCa/4yTl0EQCFmhic0WgFuihwmFivKJ/FJamT/Gh7kiM3LUE+7AxmlJ08X2pTwCiiXJCK&#10;h/IN7sUsDJPCQ7Q6B9fIFMpMCxsGUcvtA2vYTKsGpKp8lrDR/DlWSJMhFkmIEhKsBOxQTKaSMZyG&#10;L3Fj9EpAF8ULfYCHhYBE7olh4mRbkh6PBWQwpSAlwPfpqXIjsQpLcz1hUm0289Y8yJJqoTTF0YdT&#10;KCC75pFcjaJVMPzLWWI0JnYkHTnoi0agp0d/uad/qSIZ2SvGYXdeTqUFDWtPA/nRX+zEMNoYEMwW&#10;BTWsQ3mnUy4bWH5c65DKxtZVhqP/XsxyjLLJogep/5tmrGpY9zyXZkbiCe3eACRyED1VWPl3xCuT&#10;mQwk4ifaYhly+HcqhulBwPRoe5QcZC2fJCUCnApWSVFz1QilUyLsVcXF81OU3UwOrEHJ/WYsrgO4&#10;Zqw1iNxmk9JaOesRTDgQITAEPPh3d8rFUMuPWUTpiZMwboQR4zPoDhSmPFOWL68psRmoYjWIB37k&#10;BkpeNoDWovo3m9Or7QXeJChqGUw9ZpDVRkzrC2otQitRQOUXndIr8GLCUV6scu0DLCCfa0AQUpZK&#10;RK6zho7XYuYkmodRyEAu4VyS3kiSUhd6nF9N09TWN8KqycEnXMUE608XrjUZyGWuYPNILRT8lYpF&#10;KV1zNDkhGnm/lssUUaTJTEuWpvSUJVRqmWrragWoBjApwWGIFErDnNsYgX0RxTtHosIE94fbv9yZ&#10;yqoB1arNVV0jEHYRBpfWyCrFxKJYdlzrS8W6tWY1qzWEBxIl5kL4lMFDggpTBgQ6qT2KKQD0vHCR&#10;gA/+ugVrDG4PE7YYeo84HYKbDO9Orv5B52aEAqGRcGrcrid3QvKdxgykUa3JuTlcu8BMMDfsYWv6&#10;5V8KoR1S6GHN0HMkbru19qPGx5NgJsuYqMrEID5L92QiZGHGZZgn/yCxDMjDCQ+aQYUsQ8nICiDM&#10;JH55aGQlvVUyteL8nqZE+wsHK6MC2YfPDa2Q1+DgG16UiyQhGhliPZDlIlaM+5BhuUw+GJpdqMyu&#10;MBa1ZYscbGgI5TnNJPiq8IiyqRlgCisBlVTXfN38kNmSpdsrDj1gVavJfvnB4Qd07d1eCCNWXz8F&#10;NYhdbyYEPxhSHPETSA5hJOKVyS9mHlXEGbf0U7CWxZjPh36OJ/B2IT2Dl0cK5bjkX5h8dWHHkMoW&#10;yyDzYpG43CK9TF8W1MuLmVgpnj+3J4eI2xZjrsUvysBF9uFCC+39Ypypch6BH6PsTmU08PHGg9Fq&#10;kK11mAqQix7J2gywYvvDCzCdJ6/hq9isEpDk9RSGVzZkecde7Mz0r8+flYtdIghZ1F8sw0OwkONS&#10;K/JaEwsDaBeZNDh3EWeu0gLry2l4Ui657JXWV7/wc/PgHfpxFVm3P5BBoLTImvIbjBIyWKTvtv3T&#10;R6WfV1blptO4wFpGPHeafTXNLH8+NeBAaplgIR1DJzrqWiDdQyFWA5XVliD1lK88SLV0ccAbx3OH&#10;N3Cz6xv0Qu1Smr1N8CrEnAwef06s9YXxVDUFSPoVDLoSDlEg88oTbZXDVHDJp8L7pT85gzSTcXI5&#10;Bw7Oo53bafxX4Zzzc28sYovC5anFmx8tF7lYFbYzpvYp3HK+fzQz6PrCtCJVITTnx6dyz051yZn1&#10;Um7091qn9hIPgnHrvD8y++SM5racM/XlzGmnp694xgLF3r38VmtkGhW0rGk4H5VlPyKM6XKgUHyD&#10;hECQHAioVQA6ZVjwdmxunX3pqwqC0BLIm1wYCSyx3ogYpQSrAOZjtQJTtH8BWJHFDKmUMp3MqwBq&#10;LpnhizRKSboDgz4IVJCm6uV0iFoTx5SWeCnT7Jw9b76dlc6DZJoAvl+w3vi3sW99+a0ZIIu03Ern&#10;py/Kvy10lmUZaZFN4xedEulAu5yVtRsLTrnJnr+cPrWdJfPtRtbljL9dnxq8Cc3TdpbNsxZlpDag&#10;d5bwPF3KbWduLnLV8GjS3xzcOM2GWu6qRhiJzERtjIMYJanYsMFUXmmWKZegDJfYHrSxPKih7adQ&#10;5hNbfjxXgW7LgRmYsdrcHGi8G0lKEb4tZv1itsqGL1ox09QtIUFpRH2ygAuTKnDtFtqG4B3FPOYI&#10;/7FZhbgJKMCtC+hXQIsG8iClvfzF3Dnzo/v/VJh9UuqmfY3yV7njXzKfvSO6+LXc5c/anbvq8xfo&#10;/W5JHNeLvQYvUxGu5/6RPf3j6H1bFy+ZE3/yAnPqy7k7JpdW9I7ueVD8woO0V6/JPrbI6Gba89aO&#10;3X1rTHsofebHeo+Our7Qyu8U2/KP8mxTWzBd+9stqSFbaS9fkJ49tN25ieIVlxfmdzJSy2zz4MR9&#10;p0bMWeTOgs5GZL699knJkUfqC2c67TYy1+IKUu7tzLFfxV6+Jhr3tIdAJD/Qy2WFBCOczgoE8zyQ&#10;qYgNyiiGen6qAXvqwg8z92JauqMmdRNiM/jeDp1o8nwEbhVSJbJVdgRSwichrNOoaeQBhA3prqWF&#10;qUbY7XFeXpck3oDkQw4Ph38Momvmc1Ivpu+7jGVfvT0QpEY6QzfZuFWQ5bKmRYyTL4rOmZj/VOiX&#10;JeulF5zj7kuNGpmadJr27LOWZCVDxcX+57tW3/3MDfaOdppS+q6ob3504vgtjN0HJi4+1LR+Lj7Z&#10;FJs4OTVmUmqQU3ziW1JcbLu6caNTkx+s6/xWMXpmavy99Y8O0//+Upkrq86PLxUaj009Pio1cWJd&#10;949L3xTJnabjUo/dl3pkYtx5rvD1itItg/IfpD3ADPqprhEITEjjPspS7luo5IFSBjHkyh8/IhFk&#10;gfeDSfRJ19CaVJGiIqNgqNfAIKk7+vqKilTSb2XC3WUvPmTB5mzTNMiQTUdtouEWclSm+i4Fd2ol&#10;ccRNp7mRS3qXNQhPH+sTv3Qf+/4Hyo14x3YWO8bGaxMi2/U0jCU20Qu5GCeCpqH05jTzoB0No0Pk&#10;oO7lN76hr0E9TNJ/7AW208OkCoC+UQ9t0QLysHNXA/ZCagmzeyejW3eSV6qbEW1wTSgLF2s9N6aG&#10;v2T0ysmJ3WIa3OmxEb1Tb/TUnfmJ+PhPUse0r7EtBJRYehz6GUCFORnviEFfoDRAukkyWThcyPfC&#10;6fJijyx1YjdgOAgAp9tlaq4vtkHtFx/rA0wTlCBlbsqzRQnJZqs6wFSLwXH3MMFClR+EYhZEI1pV&#10;6aXUDfP13qd6LiA1ww4hd19ELtAC2RBAmbbVaXV//Tk//ntyD5sAvolqcB6gIUhb9lHps4XlMcOa&#10;Tj0j88hP9vtvlsm+MZodUE91FhcijIHipuCnauEj8k9tNPmOTExNzeFdgMUKuxN9MZGSc+MIcRnD&#10;+epyzU0vD50UeUT3hT1zZacEnyLZ71kmWz4po93EciWZXA6FWID08ba/BIoQgEuZeHsFn/CgSirD&#10;i5mloFdhfAnJ2orJID0sFdXVYdWo5RasVMz4TylBBYvZBQKxK1CpO1mY9VNLrXtxM41MFvueiJx5&#10;QeTfT5WWghZi6p1N+/elpLCVUy0NhKLjLJ3v4DxHt5333nOOvrvd45PrH51U/9STiV1+LP6jiXSy&#10;Ip2Zx7oaxgyL5GM7v83Qunfj5Vfs9l06a9OnUkHbVLqiX/bToibu2Cvt6ZqxoQE02Blhza4Fs0zy&#10;cfD5hKjPhBKeKR9YWApeF1AnAJS5nA2mQPiApSVfcCBaBPnkYbOyA+aXpia7oQGGOHITt5LWJpHD&#10;iGmO+KzKJTFB591bQozkHcyrzcQVwDOi1cFcgdECYKW9yNNfWOeoADsCKKdYcgrCwsXzERh1JTx9&#10;hH+S29dd+jeDPIqax/c33r0kM3hYZtjfjcH9zFi6dMWx2bfShDZrfvGtpZHDttUjET0a1aMdoof0&#10;td74h73dPua/b8tc94ZlbhEf0qN0dv/0wAGZl9aL99+mFubqWxwX7/lu5qTB6VOH5LWT4rvF9C2O&#10;p3eGpE85p7j+GfFtC8URR2XfrEVnVVpIMIyPKO7QUrUllX4ufpBBwnHKZSeft/N5Ij7R2KvUk/4g&#10;oORCC9Jnc/bKBqehAQDtHUZCSfEKw+bQXFNa6iKNIztNj6YM6qFKvF3dO6iuggiFzVuOFiNancsS&#10;K92kwQOywMUhpfCLMgMHEmQK+UI/OKliT0SPkdiJbGWvsC9kM4PIgeYDcgImerrJjAzuZIKNXpQq&#10;wUxuKkLPRt3OO6AbJGO1IJVSQ8fKMowGcT0uLYgUs45Tp9ypqQk4bSD52Igvs1EewTE7cUcaEN1q&#10;qhMpMtyReA68l/sUMxdgbhKu59H3SF11PVEHcXhoeZUR6aeW8UuQXg3RwTnIr/uI4DcYiMm6K/RJ&#10;+GuXCmTJPdFenlzqVppscmXOJcEtFAxWMvrwGBuU4byXSz2Bj0QMoNyPRrb3su9SDpgPqzm16SCX&#10;KM7YRVGOCQMWlyoATc6kVjyGp2PSgk35Ea8KJsLxKk84XK2dpidTXlg+9Joh3d8CNa6CwW+JGR5O&#10;F1CYGYZRX6/TOUpFyHJqJapdKVEN7IrMDxIenntUNjJHf5Y37lWxy+ADQJTycllPrUXjBLBXK4QP&#10;EpBShQI2nWXZqDuKS4iAoB7vEkpxy0tnt31IZZnS/WZcNqvjHwctGzVqxl3NIrh6jmJc807zZaZI&#10;391qC8wgNa7SBjyE/k8WuulthVfSeMQHfdr5sQSeOd6h6GdPcQxsaLSbmlDYyg1QtZYyv8Sbak2q&#10;5sHo86Rjjc7cAmE7ockHYZOkhJ+OrdvSjD/AN4CjIGjccCm38wX+I2hwcKWCq8t568TZKpRpxnda&#10;CfifIdVtC2aL4fvJec5sZ05NLGvLRKg10Zm/ZEkNHyq9Qlfq5lhzSEBCQogwOwKCnoEIYYwbmDim&#10;Rau5wOB8xHYCe3q+YC9f6c69XNT6OnC18b4N2SjPllixtEGxig5b5mZPAiUr8k6W62p9wHRS9i6o&#10;0grgIMhH7fAhURkyqBCgr3Pu0zt8bMRtjPQxbzWFWVwfaEMO1pAVqoli4o+VrtrIMhvVF0CZIUM/&#10;AlQSfx5pJsYZjlS6zc43vAjRJysb0NS2ZUGoM5DcQKsiYavLyqp1q4Fp3iSeXuIq8sSzGWZfJgwy&#10;LGQq9jhFEZRz8wwAjI0kQzAC1EaZr4Kst/OsKYt4f3KnF9KKMlNM6YRRqZryk+3LrYWoNuG5q6q6&#10;DlPCouLpojKCw4QrmTPQzs97ZWW0ijV0t5MHVp3DXuYc8Nta0cDwiqLFJ1gr8FFIoyp89D2ukB77&#10;PbcU0D6M/tqmCTYB9C/FCyUrRY2MJLcCote6t8Ac7fZ+uWZhVQEXwa+n04mQ0B0arK9+tMHxyhWh&#10;kjTgbeZZgnN3igu5i+IpUBOwV5Y/+Ki8sqrF1Lbnz7XZemwtUJaQOv2b8u8ruHzVtOwf5bdfK77/&#10;gw3WPGyB2d8UX3m99P0CNV/+i/1Lt06IQTlAlAZBVzSZmNeGYc4droTkInhFLzZ2ubznd0I4URHY&#10;tXCvNoFCg6+Rna7QvSW1lQbF9QwCClIxd0k9sqhxoZZCRcUbP8+fd3nx3xQRKE2/fzg7dHRphR9J&#10;7owhuMfTneJe4UWztX98Ovfs75xhZev52/LfJYz2VQPQNpZvv6o4TVHkwysnJlV568WrMqedl336&#10;V2bLLE8vnHtR4Zv59kf3ZC5/g1gCpz6eOW+yNe+P0u3n5P6+iOWpNCj9ga66Ms8VbVICr6sGoT7E&#10;24Xqd17NSm413obiHrDQXrHSq7YgDc1q2ubAoGpaqWQRewWcVbBpCJdY3ABFVRLdzR2VRCVA5wVr&#10;rVxubZWLLi89+i5zobaXlh55z0ZDCmmtgj3/D3tFARU2+GsXVlhz5hFph4bY4kp7znybPFdW1ZzC&#10;Cpsko4gvpp2fwXtwkbMMff+K2mYnJfpvzcIgVfIe7BC9eVS8TwRJ8XgPOoWV9mwo2tOpHMdqsrPb&#10;1A3/qxgpnNkflUqH1F0+tO768yLT3is3WfYHH2qHXVZ3zrDERbtY7/xLsMzJNjo5zNB2VlA/CdcU&#10;LSnmXhErCRWGTHUwDMCCa+zidNJ/8QeE6oVQkvRHQOcPyK26Sh70kgBThYdBj2jL6aAJEFWe8R8h&#10;7OqL/D1X2XU7LR1x6NRKsphIkyIXxDLK0YzSZd+I9VrxR7Lc5fz2YjG7R7Q7xUfmu/zQQdn7Hsxf&#10;ekb6jn9YwMF/3Js94/r8Q+Nzpw/Nf97gfD0ue/KI/ANjcicPzH26wm3yr8dnT7mM3O83MPfJCmfG&#10;+4U3p9nfPJ9/+GO7MKt46RnZkY/mRwxIX/gSqezsJzLHDMwMvSp3LXgajMzffkHm2pHZ/selJ/0H&#10;nGRLV5yV/x22iMFbJ6fPvzN/zdD0sCfAUcv55oHMaZflJo7Nnjoo98lKzVpp/T4PlCg69VwnevIx&#10;ZgrJob1j5Qpn7Y6GCUbNdfQOTfbyorMira+3HuleHTvqjUA5ClXLfvyi7CvLyA9rZuHca0oNguXQ&#10;PG40JypH8OMf+OgdlKz4R0JywDxPyBP5FXiRLtjKspShVpU/tUmjKlgMUxHCMndgdgUX/LUtnaut&#10;ZEHJ7dlenUCwiaMTbggdQOqljGWCcfibvM0TGevETtu8/MSHttVYfuwL89RDmNfrovnagVenRt6Q&#10;HH955IsXrUzReuUrc8RdyRtuTt56pLZgvj1Pi940Nnnb7clrtrKe+ZSRCkTM16I3wv3b6P1P9M2P&#10;qTuhr7H74MQlfzN+8Xj90QXhmrwHj5O8B8Er3Ilef3/qlltSV21Vfu5Tremj/Okjy2niSOLqqULc&#10;EAQj500mzqnxjXIcPdw5rLFZRX9mgzvunedMExIEecjm+/hOcPv67qprCpJ4YdCGF0AnBHc57gHj&#10;xVNFtdXTgapAtdpjrglJ9h6UrLgeyx1XxKEUQg1SGeLygH4jg7SohIRgpffzfi/bTSDB9idFM68W&#10;P3ihuHS/2C70IA4gZOMDY5vMKk6emJ/4jtUEe7Yi5m5dy7dekbv/qdLybeLHbG4ecqwx/fnC2PGF&#10;N38HXw3eWCa5P0O6L7ej1+uP2i6a7T2YMA8+1pzxQn7chMJbUHSjttZRqX/eG2snmauQIVXmFYGP&#10;pbbGBuIh9Vj8HNFqsrlOdH7W9mFSSfYMUehjpcr/wPImbAv15xSSt6hMlUr70Fm7eOY5E9sVIQy6&#10;OjE/016vdlxZUxf5SyoBLlVzVvMUUkqh6zOZiklRwHSNndqzdN1rer+jwHcKsep8cU/m/pnGDntG&#10;99sZJkOOZhrH3ZV64NzoFgn7iYszo74p3z68ML2zufc+0d3QDxXfK/D7+yr32VPJD9AVeDKRLJ3S&#10;SECw4h5VKN1xQX5G58hee0d25UWzJQAOUrnpzAj3XAOHPRN8bomDGInJQMMv8ApT24XU4ZE8EReH&#10;2uCY6dSN98QlqximWjYJklqLfGUtA4sFNOC/V9lQ4OaBmuhqtUPQh97QGyJPNGBRtdUie7XRdCUt&#10;2WMlKl2snkJtlU0nosuyGQMTsfQXnbLuMjhx23V1e6F3AvyxnemztJ0PieywhblxnZYGghpKt99Q&#10;yvWI7H9MfNCu2tRfrelR8/C9I337GHWwpZu0LXnTblDvU4IjhlakM0ev1x9OnqpdHu/Bj5faM6OR&#10;w/aCos04ON2Bipmx5i11iM4qnNGo3AKHwqVpp1NnY9FsCzTAzCx7ZUdj3ZjRZV171iyC5xmznY5d&#10;uAA2jU5r23/8QajJzbGLHY0kh6eAKZWm9KKRTZlKIJQBtYm8zcU4S2tLO5MsWwXKZGxCDwT/LCkf&#10;1gdrQGJz5WvFNnAzYxoMVVvJ0gCJfEFaFk1XfBUEBa+/k7kiBL8xY4mrkgplVzapyGorvmWsF9ln&#10;e/BRxF9Evdv3aPOTazLnX5q55BmAAewZMHdOlYafkTlrWOaWaZHTDo0ev1F5xLDs8ItyT/zKWwny&#10;WVe9TzPcfj/zu9vS17/hbObx+hN2B2p4Drmor+A7rvfgXztHj92odPk5mQsvyT71G3mp6c3c4deV&#10;QBPhLkIsp6Z3c5e9pHU8KLbTd7lTh6b7j7MPPzEC+4UOPjnyzY3pgYPT9y+OnvpXoS7o+58Wm31X&#10;ZuDZ6TMe1k48ORKX9VRJiDI9lUTRIahF0zK7Wa3j+Z8rkOXjJxfiRLiyFqkBoRz/zVJ/qsJadCzJ&#10;hIEdj1qEqNpKTxikokIJki3ppQwiKEFhtp7OgoKFU3yOark38/tM9IqUsoRggbjIMzLPsu1sSatP&#10;0iyRWSWnsay1B8c2elkFpxjRE0JAcuLIfZPep5SQ9gDXB25mCvT6g5oqmrSnVWF1Pq94D2IRddDF&#10;6f5p5p6mxhFveCVzSSYx4RQS0LZxqQNbbVKC1JKzNK2tvY7ObtAKRcgPJ5fV4ikjIqYKWFd3DHQp&#10;Yx5CzKWLroJhpB0KQOFaRfZ7yTcxvaRSuzj0IhLa3lirgxaNUFnMFD38FkQQY3ZIj5EyV8sJ6wcK&#10;1mim9A5NDhv2YSyje1r1ZHt+HCbiFcO2sPZWM8E2Rh9Wt5fzTBmrOccRdy6geRchqML5hBRLFrsO&#10;0xwwQz/9Lmf8G1NY1TxgDeRlVbAGakGCOa4vpXAihtH89/LUTubWa4ULJUnph2rCkXnYGvLkSahV&#10;frJlsDKlWagiiFcU9hS2iruCLE5FvqpkEZwGn9ck3XIu4XW1gRWb3Ncx0F0QvM4JXo2k2HBMhhjO&#10;PjSgeJuNV0uoUIgR+iK+TPlBNQRXr8D74i8m4bmzQc3TylzTCMRNxcm3ZydOIFybfxPlk+wHqFqF&#10;EptGKiGVtr/ABGx+R37JSOUsJS4Q6kdiHevn6otSM9EHLD3/6mtEGalSYsiGnKfqveSG8TRSeM+U&#10;BnzxtaoSQEv2iSjiiUt5xdZd3Qk21SlReZWDtnKqGIRUIcEeCnAzpEosQ45wWDPJypsKmUOSiGTs&#10;d82QCgR6+NuVdACp4b0ZYOWFGOPfmVSrhVjeEGA04IMOqzwliW3tYF1fnUuxaQDlEv1wWDI5QV5y&#10;LV94U4xgnLdcqHAJINRWzn9xZF+AnApmBy++hupLqAnrErwhGf1cPaJrIhST4C4oLZ1zEaji1dfb&#10;IHCmcs8Vw8hJnjtvey9SpTpiYllLEtJUpMLCKtbWJSd8/lQDR0OSMM1QOF4GSYnaJAcpQJyPx5BH&#10;6sZ9ICUAIS3U14yqkHzgclnP4ch4yEWmaGt3NFNxyXLm/8hiQt1z4a9TmDQNl7LN5jovlGk2JGe6&#10;UwBsAuA+pfp5MIVSGAckjnBQkRUw95LoZD1SVgwkkVlYVP74neLrH5Xn5b0DmWgJwUen0f6DLkiK&#10;7NWBl+B7xbTyO68V35kCi6DhLMlYn7xXXlwhgexyVYGzDLB8pHKc+T+Vf8cgRZStK6eVf1rCjESo&#10;KCpNXbL/842FXjts1HLsqV+V59KlNVHHwDZnww7iNWd9+x/iqiZUCPaFmXRQTEjsFRDnckoIXRmy&#10;oggR9ClcuEoNwtgVRHWQJlADbmlWMuPIke9kxzls5S1ZWpmeMKhc2NXwmCI8D04oozicRwCsvB9T&#10;XiNL6L/4hP1i8hDEw5KPcwMuKXw5z1n8Y/GSs7IfCiCKHiA6Ov3S+EH+kqdc1zAfP5yvxmVOuqb4&#10;zSz7q2dyJw7JfwehORlupLrY9jt35d4HM5fcuzy1repyJQBJ82cotJ1/jM+cdWdpIbc8/PpC7qFv&#10;3NYjDJCYbjeW7h+enfi9e3xD4fvCecPyH6x0qRH6SfnHwh3PW2U+oNAUTL5ai0ojx5Vgc4pnSoA8&#10;Z5gLwqtoQdZANFOlWWkbNn9c8vbKGhBZQxLIVScet9m0BjvL4dR3tK/TtVffxbBHASt3YkwIizGi&#10;LzJWClEiYMrZR5LazgcvWn+5Inn5oPjg4clb97Ff/ohuFAN3quUkiBq2uJV1IKwaeDnNb3A6HJqY&#10;MAjNsU5+uT13mcJGe0lpwmvGJROSV55Xd/U9yfPXLk18F/zstRWwZ4O2MfWxIhETNjwhefUBhiYH&#10;bINqywHbPC5Xc+WAbYSYWeByRe2/rMfj8ASXoUd/Ldz3gTRyMonqZJfZc5c41Blf4mzMfvfxEoRR&#10;JOqpY7/1WHERsf7SFODqNd9emqPfi86iX8qf/W4vXeYQZ1+Nun3Ns4skHqOkLaiIZEMTxyvVcZU5&#10;rlBhva0pD4zEbdADBVYBMTaHaDtBt1Xh6hsY5YLU1wlMIbYfOfKdSXo8SojqAsFIF7XC8wnEEQV4&#10;n84SFEVS7rKKiKXtWhd3li1BJOkbD6wfc7xhWNbr16dPvCR362WZftcV51rOrMczx5yeHXJV/rnv&#10;nMxb2QGT7bJlv3ZN5oSLcreMyJx4DaRhpJb/sOZ1N7erRxr07bYx5s6wC7MLQy8pLqNhMWc8lhnx&#10;mg3hZcbcUJhellyuzmo69a6KLlcjg1yuBhNvr3KjPXU+2jcpyHTjoKHRRQ/mP0RlAK+y9er1mYFX&#10;5+65IXPqNcWZAFgueswu0f2s4jM/kcTWb4Xns9FDupEGsOYVrjwtM/yO3MUDMle+aRdmlh582174&#10;TfG+R0p/WK7HGfUsY4UImctM+rJWIC2eu1MxSeiKaZY83/IP7X5MhOAxSAcIBlTlu7yjgw9clsBU&#10;yABX36aTrEq5cMgStuCBBGgfVUMPVKVOP2hwLDMhc+yQzFX35F//gYzv1q/Fx5bFJj2YHDs5eXJT&#10;8YkfqPKwZXzC2OQFe7NJSPnn4sPLYpMfSo17MHlyuvjE91xWgfoS05OMcj1Vp1klCOBSiYyaXK4g&#10;YNt9PGCb5HJ15VbW8//Q0h/nBt9TkmJfOJEe8REH2OPGuZsRSr+WnkvH7h+Tuvv+ZH+n+Mz3bEAg&#10;pAG4Tza/glA0lv3uY+VNTo2tT+h3fga3nqOSj49OPfpArOnxwk8bxS491uy2e/zGi2Mba8TtS/E4&#10;E9Zy4JUXl64iy+Qom5bJapqrp6FwEVjzg06+oz71pA3Ha8UW8bcWGfez9GBi8QwHahewVR3paWrJ&#10;MkJ0WViDEbNapb/jDzFscnITW8Tve6b+oWviB2+ifXRL+qp37dICe9ny8mP35+8eVfx8EfhQk/e6&#10;9TQwrCRusCrTNI+Mzt99H08Dt6n6wgtxq1wZrC12uRo/ofD2VOLttdbhqY9Hxtohebxem59at9/0&#10;/Jgv2G97se10NzBWXK/u2uKFnDz6PLZt/NBs8fH3ik8vjQ7YlTXJ/PnO8n8X7xmVv/uR8sLF9ly+&#10;YYFUETzLjjNmPMc9zhoZcwlQafuRYnC8Z1+Yesa0OC5xcaVWDJViisHQymGLmVS4mom9wJz8ebA7&#10;oJjCki9jrItOTiOrS1WwYqEyZOmxL/E47wGshrL6o86Fbft7MAJY+tobRvc4vO6WsyL/+QREodZu&#10;4+iRR0SPPiI69JbU9XuzUmSoQwHtNo4cdWT06COjQ2+maVBdhGAqWaeJKVhOQ5MTB2cQOpLgPe6g&#10;KfHLL0N4e7P64fRCJOMuV3vuHdmFxhjkbKZtinCAKx4ZeGH0x7GF7zD0IvYlpAF/4m38YhhH9jPf&#10;vKa0wcmxjajeTx6Zeu/dCROOPip+x0OJfXnYYvI6eJadL3mc0RfIH1pVpqfyAhhZkkrAlDEhnDhg&#10;OTiFHssogeqDw3khCytGLmgkDrr1kNiEtRVZqsmVX6y6gSnAARwWVDlP1SzlhqusBnizFhYQjcSf&#10;4qEyMD9Vo6Y3xK1fXshN+hwDFDlzplvRdfVId6NuoVPX3dyolzHzqfyzMxlRctczuxuJhU5iQ5GG&#10;FWP2MjdbUH5zFpW/Ofv1j52+2xrxdY11llmz6DLMrLlax/UrSgkfzyq4XNVRlysIzj1vGS6/K3VN&#10;bh2/5C/lJz4gacxOhjGLxYqbOlPr2tVbTHLH+B13JEDPEcRt2FVbsFzv0cvcqKP9+Mji9CIJRUYC&#10;1ULHa7BmgMfZvpG+m1GPM8gspptF2LCDaGGH9/HZFROwVNRyu2ywqiDELEM67wNkDlcq2Nm0k2sk&#10;qLVLuA26FSLVfTUwE9olC3SXlSzgVf2EVYfcrFGyymznvIhDIEJP0/lAQGprGMdcEC9OzBw7IH3q&#10;KemrfoxedrqZ7B0/a/PSuadkBpyemZCOHrp5QJeLbBobtkX57H6Z0/uzNKzG9ZGLLjM/uSh95Mnp&#10;vx2SebNP4tydda19dNAh9m0Qp21gemIh1h/uNOPi4dl4wDbhcnXRpdmnficZNb2TO+Ym0Fn92eo7&#10;Dkoctj6paKRPbED30oVngstY9tWO8ZO39CYGD81t9450hb0vDCdGnxPifT/OHn9Gpt/gQtO+0b4x&#10;LbpttO+/c/1vLC5em3iWXTo0O/xC6nEGnWGDyMHtSkPPyH9Owy4zYSXmTyjC3WN4UQwLuyJ7xTUI&#10;IEipTMb/o1EjntBj4AZmMNTmm5xijoZF8cXX59yVUdgsnpMMYPQP3tLnnxRSGonXVQsv8NvN8m3Z&#10;tGMzDiIfkU1s5CLfIYhaMWqkYpJN2yKnCaTq0NgS0olLTsbSUsBBqY/TjJ1ck7PovfwF38ceuTaK&#10;2qQGVg+euAWV8gRss/JOAVyuDOLfAycskKGB6RlS3/cXUyJROyFWHGs6uQV1EmoUNH6MSg5PYPiB&#10;v2U40yYBBakDLH0R9kkSt6+IrGLQylNdAAUfc7/iyjQLiSucGeh9MdeTZSX/ztx7kgmx24nkS+Nu&#10;4PEQumloZlSPREkkZ14xAVNaD7cbq0KUV19Vu0j+9NgpBfOcJ1wz4Q8RTlDfWsAqkyI3DiELjrtA&#10;bY//54UsKUgAF90PlOGJaneiYWVjuqCdlsk4KypNa2AXrSfvLm05vG5ryWm1EkzDqhL4DtVkIPwM&#10;OltRsFIqmJjx8V/KJACplOPgcgXqPkcJQpa2rlIvt/UJZ3CLopjYYdbCA5DyT8UrDz2o4pUpZkI9&#10;k42fsEUjoqHXFeyxA1EqbK4kD4FaB/z2tUhUNwlq3Ug5on2COc/BLAQSMek65EhAhmsJ3lDf8LWJ&#10;msBaofVJFGawOCD0OWZ9YhWfuB96gCDcZOuEMl7VsnhTsUDXWAbvrOQohApLqSH4CxjJw+qHS1YU&#10;rFyy1gRWBicPmPnQlgQLMQIFcYYxUeTEbuty8cv+VacGvI3F6RGYLSqaTJoKB0IszoNUNwcNlDoW&#10;ZpBzgwRCZftJ8JYka13UwjeqJldQbYPACqqq4opQIQOkGWVTy9UAVisSI5ycmeEBq4tfCakoZb0L&#10;Y+rcVoKOaFHGCy6hKet03wFGFTpVix5VBqvf0iOP+H5NgcMxkWSGP4oqDlapE/J+zwWqn3YKMiGW&#10;KJf8KgHrV0LoeiUr0yVYVql6ZtEUpbn5g6yFSLHu+pZXQ4jAzC9CUSvZTQI4jroiBDCyaPjyyo7w&#10;2D8kodsmYCV5gv4Bm9BFAynaKqIYyOT+Ft6lbVIDMaYwzEsdVZU9fHxl23NbBMJaX2JiiYRbIqeC&#10;EU1AkqwesEpIVUErejErFg4eQRnmGe9YfnyUrzQCSE0o9FGim3DZqQhXDkrs+SrEmYAHHSCRYI8E&#10;8dgHOK/orxDUEiiTnX1UQwAbfIRPxxSosXEXSCjykNyChVwrpVqReEvqk9ixWy9ZsTqku4Bs5/qc&#10;q7nCs/KC8ufTiD+AYYK11diihxEH4Zq1vpuh993aqGPykp2AirkxPYyxiotePr6ucpkqmoiobFRn&#10;pcHBCVbJAOsTqkwHCukF6hAPLwMyiHKGFcUrUGd1u7+as3T6BwEr13uZYQ3bmFLOuoTq3+iZbEEi&#10;nPZ5LpGtRCY/+EVFrdBr8ZBe8MuDqRjotcRBj+sAopYwDrOIQESEkcd8eu2WL0xmAri0Om0GVtrx&#10;bIpX3NfL1Axyf9kL2RPe1A+FsP+Wtujn8ty+dRMuiXWYAzEj9FHj4mThUVFGWROxttQdXD9DrQWI&#10;braeGgKhWm5jk7MJFgmaTj9BQzyrrz9TGcf8OwhXMrOWhnIFr55M/IJaBSvVJbjUVIQrqq5CkWUg&#10;ZgjmEhfGbtBMPIVQwEtRjiWScCjHGx5ZK8/GiLrHZmMkvArrnLAlochkJw6wEk6UavMehbgloyts&#10;FKulyWpMQ4PAJ0gz+K+OO8YuuCBx6SWJu8cltv6i+N4KPgGgy05ASG6Z9cdip0w7EHlWdpYuhnB8&#10;dnqlUzIwPhTZDGgXnZXsHC0SJAuO0mRxo7xFOoXlFglTVSPtFZNx1YM1kPd4kQpi1fcIs3JFix/3&#10;WIiLHR9UPWOrF0Zyz6fdShEEAWuqnnmVm194QbQM8gEHfjPqROLwF2NSkNXNaIzYa+mJjHCYjJ1t&#10;0nJNGrXXsgkxnWorDn3S5JtNxNkKP1ssxvRtCVbkMYldD8MKWOYCtC5AIczGTD1JbI0UpHCnZL14&#10;RfqkS/K3XZE+7tLCdIhTPrt40Unpi2/ODjsvc/Lp+a9z9iNnZ59bTG0oMwtDryw2aM4fb2X79c/e&#10;OjJ72unZ1+drVgMJRMXmALb96b2ZQTcWHh6fHXhW7vOGlgOWC3TWODyjAKU0oAwPUsVLVC3D+BcM&#10;mfLE0b3ry5JKTT6yKk/9x/Mg5JnoUvHK3qSKJRF+tcVVqMxEilotELUxF7UYyZqiXLIOBTrlyOYj&#10;7HFtDlbGfOI8QE0hYmFx0T8KV1+TvfyqzBln5LMnxw9gRnwC18KPxafSsQcmpkZPSA10ik9+a//w&#10;QiF9QvLRMamJ50cMkK4Qmou1E+cYRLR8wj5mTGrsvfWTTnAee1pLf5g//c4y84oqlF/9yrzkzuT1&#10;N6VuOkKHaEKtutyxivHZn1sAeIOQKsGVHhygii5XKyAiCfV2/EYv/Fe+49LBBm2egEkJXhz5F78r&#10;uja9xYy+kvIsFdkstvHhJ1zWEtRScwFFKt/PjKKf3WH7JQVSZci2aLm11irA9BAgS1xeQMp26Bs9&#10;5eT4af3i/Y8zF7xa+inHmopI1kXUWYkayPFgy8XkiErDcPRID3NjiIrlH48se95y57sn8/eMzj30&#10;pb1orrbW0anPR8XaI20xEjDrtitzY54qrdgmfjQeht2KK0S+MvR4kcpSe0dyBhneNvCyu37DafNm&#10;FTgQ80Se/htWP7HogIiXewiozrKFFDPk2ijLTypFXkXApxUVBUBtTNEQYA1MWhKiwpX0H7GhV7bE&#10;4033Dk3axmpAAMeIEmNqifWMLfqYfftG9j2h7uj60ru/SfUkIoW5saE4Aapgvo9BDPCCJOgEKHhn&#10;1Jt/PSx29BGxYwYlH71SLdc0jx1ZP+7s6OYJ+8lLMvf/2AqciuIDR2p/xrI0E+96FCKeBipIYogj&#10;uAOEM89dRqUHody0hDqVSw4TpC6exNRQqLDU0iQVIUvtSiBsDjNR4gvUYjgSd3xxj2vz1J6CGP7n&#10;yyUMtaserG7lgHRb11dYP83V119PjyX1SEmzo3q8mxGZZS0nUt75fabWvbvWpZM2azoxKhR+tX6D&#10;5TFT77SOM3s2ySk32y6uZ9SZZrc6e1nC6NXT7DircMeLJOAUBKJiOmtD8fYbScCs/Y6On7GLM21W&#10;c/jrSYu9n/KOcRC7TuBVGan0qfwqfAdrsWuGcxEWSjBiEu04roLAFFmcBnDxyZIppgBBAFQnBifd&#10;qdHFeTZSJ1MIqdCfqnGYyyChQ4tjS7yaiVQIk7s0b5yTtZWdtQK5ztJnMgc8YHdflxACutrmxyeu&#10;PzXSrmxBWN3n05ErxsYb78uO/0lbG5x9NovfeVms06LidZcWpqX0RDutcbpxyXPJrX/OD7+lVFhb&#10;b2rST7opeVJvbfGn+RFjys7aeiZr9Lshuf+36b0+iH46Pk40Adv+6N7s+B+1jklthRm58Oa6vzD9&#10;oBpPA5/T0U94CLDgrDyl0oC+9VUXnQKpAtDSm0S5l3c1orbqE2/qAE2sOQJt5BGOPJiIL2dgRrK1&#10;EkkirlXskgYvUX0hsIMYomJWUOmHsloBRBs1/9GRlA3xvAfTvkfyUN9C1QMNRG23KFAVB04Bzs7U&#10;wRGWNoxfohc9B1s6cJ583CiNOLV89JPJXen2ulxGi6VINEnBaDjJuy4VossUnSZLa8cDZlWlr1Jv&#10;k62tdCkroIk8SOU4ZW2IYJXFhvqdsUVGaSBY3ZvMtsqaV8KogCzHKG1ungAAQW1VLQSrD5LNAisL&#10;RiaGeGE+D50+8h5IVyhWpxpQGS+wrUo5glUHWx007/pdDeY3q+kJBamE48kwpMLDmN4mSEWqxboE&#10;aS2hG1SokTzo+xUAdbCDbCB6Dy4go3zBUsIVWfp+Nc2S9g2WiI2/htdbJaAGPNtq2Tev+2NteHeV&#10;9A8F7e7pXC4TuA4G/64GNQBr5RTAddkgPpHBkrV5dV+9qbkmQAy9KFk9LemBoxjrBdJlWSaJWApK&#10;d8iHVRUQsaxzINdUULrDPZE0jLFkJiIQ5vuCagB8YEZFtiWTBLJ8pC8oN9iPQLCG6ACeLARhbjPh&#10;uE+GcrIkq8bh40oP66LS26KKtOJ/gmQNdTpfvQBsTmliEBealm849KtssgIgo0GZUqhUQDcgMR3o&#10;PJGt6yoinU/1iGjnp4Kx6T3LSIhjBIdQWMFKRaJvV5WWVRM0h21BaV2PJV+PDhhJBA8pjlcfWFc5&#10;G1rLxorv0yGMmAbZEfSBooTL0YCcwmovjdT8LTgTWidR9OEVGn4UX3UVA4pHrvZxeySbL9MGJb7t&#10;5GWYFEImsEBF7KnBtQttFFdquy9WbUFKsftRinRHe696w22/HnEfMDqtPrBW79WrFG2tzdwnXN0x&#10;KwQI3uE1jAIfBkiDOzocW0pWuVDrwH0KckrFYM4gi4IUvcXhYjB1tQzEfDhuPZTgT/dmhXrWxl02&#10;B/Udx+fJOLRTrBawFueXP/649PFnpY//Ufro0/InPzXPccrGOG1Z69sfqGNKtWhq9pLylN+EH7qz&#10;5Nfy7ysrSAUlQXZO+fv5wYll4UoEW976Hk/0tJ2F9Ii5SleLAE2c4mzwMSd/0b8HvffpX/oFn1rk&#10;Ly6jwAWKL8CURHlSYKqMBQE1lLQW5WmrIcrYgjIXRwlXWZF4JoQy3vOTuFrUAKfx0/xVE8pffFX+&#10;/Kvyv6aUp/zePLA2fpi77BmrAGHJxpYaoT2qRVMr/btw7RPs8G+taE2+OH3l8+ElKgmchW/nRn3i&#10;C/rEeIyMpuuEhmYvLt07sUTCFzSV7rqhOAPjU3gGr6oShzQJNh1XCDzyjP8kKiwJwIQFuAISdVOY&#10;s8KpJvBxA+kFFB0iJDFLRon0mk8KV8OtqEiw/GbF4xgVikiJHxIz6dfVIlmhnPV2jl1yQeKKixNX&#10;XZoYcXQkhiHHxEmTltPQ6NhlZ/ECFFFOZom9kLsCdjgkMW4gi69FHkrR1IiX4Bx2lGYgMArfFr/d&#10;KNrus9LUkNNZKyXwno4JRJOTO1cWlX04+lrR60bGN4H9/jmnMe+Um+zFDRLcady1JRh3jVatsBxO&#10;93Tobmq5xRRJEjggM0SJelJIMOu6BAAPmmX0qcKrqg4ayNHW3ayGd2/uSvrVBVaVCN9Jk3MKQ05K&#10;Dzs3e+ONmSMH5iaOzJ5zU+7KQU0DHoIoIVrundygh6RtLPwAy8y3+SFnkKM0LxmYueMfaihcjoPP&#10;37b6HJc4rEPpjV9I2yiehBQ6ngSCTt/pmBopblB21IP5EYMzd/3Tpg7uFHH50nXDC9PKzpxnMv2G&#10;Zs+7IXf9OemBE8qwBgK+jlecnrn03twVgzOXvmKVbfuz0dkzb8k/OjE7+Nz8FxgRiNCFuOHCVcKw&#10;CyghYgWJ9I6KONG20qBLc2ZRM/1IU8Wq57Wagenmwl/x9QTUSdAUFARZ9kJ4D1qlXldKTRf9s3Dj&#10;rdlrb85edUv+y0bvSZMkaSxy5ujUmPH1F3Uq/j0anzg69dDkug5vFL8QW8u9nHPgKM2D2FGa5hcv&#10;EnB4rybAqHngX/R99zf+9RYJdKJ4EkJqXwLB6x9fKjRCqLZRPFQbBKPE4m5MjrssMuUlK8cHPZnz&#10;ENBq1F2pcRPqNvyw+HnB+fmVYtMxyckjU5PHxJwXit+mrde+MS+EIzyvS15/GPgu8o3nHqmKK5Jh&#10;oJQT0+avJiEDj1qQXuIKQLV8aoZuSMLgnuAvNZSO1SVZ2/eOHHpw7PBDYkceEu2Z9J40CbWD2Dt4&#10;9PCG3Y2u3QyyIpgyukedhtDN1vpGB8Z6zypOwqM0m5yMN7yotvLT0tStozsn9LX3jG74VfHrgupJ&#10;CKcD+xIIPoMXbE88WDAZvXJyYreYW9wkPLmT8pQdQculRacuNKxsndGl3llZ0BYu0Xr0opnUmz0M&#10;e4Fu7tKlPPKa3LhnSyu2ih3Zm4lGFZtIgis2Rdv5Lf+MWrHFivxWFEdFoLoZSWhqDkLD04qRoVoS&#10;WrJXsMov+dVdN/XqAmuik7nD9pG/7BD5y/bm+lbASZOiDjVrNc7nd2fGzDB22CO6785me39FbPv9&#10;t8rzp+QHnt508vmF/8wrvcbD/bG2qpiALLeoAs8tbhdSHPpjYsAO91KpF5kwoRIxjr4tNXpodLOE&#10;/fTlmbE/qtJTWcsneBUgdinhb3iX0FDEctRica4/gJBp7IsHUlz9YK+p1tJa0SzjNeQdJBKZhYyS&#10;2KVMuTCRoIfx18Nrie2r5CulCExR7kmTGHKslgs2TJYc10JkE9+/vxwa2X5zc+O4Q47SVC8IkP3W&#10;guj9z9Q/9iD5vHh95Pu3Sw2SJ2FggmJUL5I95e6ZmqAqXNEv+2neVxzs4oAwabhMQPnu6WaQywad&#10;tBlTaVw3iLKmGd0zpbtuLeU2jOxzRPz0v2jTZysqpwsvSY/1iFVZBiM0vZcMOGxv/+V2LybH5GzD&#10;m4LtPZQS+GsMOfllo/sGc2LEG2Gaq0CqlxQqkPjSXC2QaYM0xjrSSZM05Fgtl9k5elB96ezBORKW&#10;DC5D3+9o85OrM8NHZC59FlbsPZcz753S0t1i24HXbIR81to9ttVPpbdfzP7tmiLd/eLMDUhQ/nWb&#10;aLs3sqffX94Yz9Tkodp2q/MWF9kgelC70rlD81/Q+Leu7dAlBA6Wj/f4INv/7MyA4cX1+se3Wdvc&#10;KVm69KzM+cMzd86InLRHUL2F7CQ0UhSp0lQBlur5H8JGrxT2IKW66KyUwo+4sNQuiAmixXt8buZ2&#10;S986GH8E0aJUc3ZgzWoBU5U0jp1L00CZYAuMEgLdQy6rcys8b8vJFLVUW/gBBpbhCdWm+YqjPiLU&#10;U4RGFVAkB8+xCHarOj2GcgH+L3l9F+kE2W116u8BP2mb8tueL/QVleQg0e46u7g5EduAyDVUplbU&#10;xtSHwdJbIg7FrWtcpQoUFRhyDXgqkg4feGeGPrDi662HLFPX3CNPHTiHE0O64koEspuZCaVl9zbo&#10;GKs3Cxev/CTRAMgKdCBtamv7kSffoTBV8OwC1w/ZsLrLUObIqTT6NwOsXtT5aqiCFdbiqJDF/sjw&#10;KsOWFe3HcwhYW4xXDBAHS39gFxVOGMhSRrIwT3K8yuxl6zEkuLY6cVm9+GtuaeiD5zlY1RUdfmj6&#10;8Rqchrcb+TdY0IpuX5FmehyRSCG+VR7T2gyvHslKZCETWAF4pbcCi4bFZ48a4KlzjSIW3HwAmuAr&#10;BOfCEHO56FxC/MvjAG8qRX4EtR9sNvxvQW0oXoNAxAd55ZliVWAMxJ7N9s155avKMbl95RGVleHf&#10;yFBLjwzHa9ATP/aFdFRHFkIfCbQjBhnXcOGXp6KaVcGKNaoAWYApRoWFGEayHEAgenqzQGdAL1eV&#10;brfzw2mz5DRE35EbtfB69abB0Z+6PbFtfWGsC6w+YZgPAtQ8RkDAWUf/lZJJgsFbW6WUtgarT7ag&#10;7PdcAfWheKIolU72wpuuWuLvCuRZbXbWoKkuKQwACsGEsxC4mZxsBiXgx3uVFpQ//Ufpk3+UPv2y&#10;PH2JmNvxtJ43VLZSNZfkDxs//CuqFZykApyzbPsXfixlbTB25v1QngFH+uFl2z9/ZdGjtoIvporR&#10;0UAcHlbB0gJrv199VHzlrdLPgie+5uZKHe64Ak7RfyUjAO0g7r5WlzKg9ltrue00LrSWFXytIlzY&#10;wirTZH01xVpRtqd9WfrwI/b5YQGlD9g4pbxY4oO91Pr8Z2icYIgpJbCZEwWnx5QhBC2rpfQeY0tt&#10;YGVI5FCkg74DRxUSmLo0BmhAKGsa/lm4fnLp8y/L//qwOHJ4esjE8krsW1RIsL+uLA3gHz2bk0BW&#10;DWRS0UnK75xVKj98e+HXEI+WAMFgOx+Pzb08m9NTKE+6sfBj6OsoLbA6LAwCnz6KeaRbtfR3+TPP&#10;zD37nT3v99LtQzN3fEZ6IsLOM46JtQEqtakIwoTUCiEuBbVwt1R+5PbCb2Xn/ZHZJ2d4WQona96J&#10;LmxBV2Fa4dKB6cFXF34uOrO+K//rc/iUXhidnUCP/Gz6NH/508QBjBfufDwq++Q0zKg2vLI36Z5V&#10;/M5kLX+fTM95AW4dawMrEkIhS/IAjIJARTknjewKoa5Ip4nW3j52ycWJy69ITpiU6PFu/vnZSB1x&#10;QZoHQdq4WYC4Nc0FtybGQigut9yGgG0YIsnJg1uTTQPdO9mVrgspHP83H+EPtDWAJ5azcr7d0C56&#10;86h4HwzkVLYXgj+XLAxy9tx5dpat5eJbGnmrxlDa1JdqGfOlYoU2LSEOWXSeCwee2CVHa1xkLV4J&#10;VCOIIRn9DvTY9tuPlrqck7rrorpzhicnXGV+/jgcDUboB2e0OfPtPN2oBOkx7Bygkn93CsvouTG0&#10;WnDwZ0PeAdAtgqNAGc8gpp1UWd342/WpwRiThjqRzWOMQrY4Sxb7PXGdpnna9pfX7Q1R201z/zMT&#10;V1+RuPriWM9YZN9doEjr2Uetvw6MrseRA9HHHpoaGXyw92Q0Tk7lf6mfLg07yVCLSMA5lop82PRQ&#10;U55cQsNY7MBphTgx9YgiDmVv31I0JygtZe7cx35vuqb3sN+8NfvIXL2L6SzrErvzymhiSmHEw9YG&#10;G+nLpjmbDU2et7398g25xxYYPVL2PDN20x3R+FOZ2+pTE/uRgycnn5vvNCa1k6bNfyN75j/12FK7&#10;dEDigQH6o+dkPlrLWDcZOeFi44ULrHOeSPSZW7jw4mID+BtAQeTMemfmK9mLn3Q26KbNm6+fcnvy&#10;+A1t8dZx50W7w9lUXSux3ppbvO6Kwux1jcgiu2v/1A0HOvD6B2sZ68W0BdOcfa+vP39b+7FzCRnr&#10;JMyNyuXGY1I37KY76fKNZ5ePejixC/g92PaMBUbfrRjzE9vG772UhE34dlL2ru/13us40xYaZ4+s&#10;y9yZ+eLw1PW76lpj6dqh1jEPxVfelX3oD71rxFm6QXzk1dHCU5lhH+sbdtT1hVZ2r+TEsyN1swoX&#10;XVJs7O5W9s1rM3POand+p9LdlxdmdjbaL7eW9KkbeZhmQy0ugt0I9rR89NZxdTvwI7igaTvuFe+X&#10;K04R0NC1wvfFz7tHz1xXT39WeK0+NnEr1qogGT97pFR/Yko60yFwFA9QDl2BBLIKZuUUr0z2UUWd&#10;y18BtFolKxWoOQf26ZMeQLJk/zBpS/s/K14MTh6lnj+vT+kQpLP0a/GJ5bGx41OjxidPbCo+9aP2&#10;5Rvlzc5P3nxV8v5ronWL7fwvpacbYw9MSt43OnVR19Ir37nMo3HeaeAJRyv2io+BEG4P1XV7q/AJ&#10;XeDYckBq/Mi6fdbC9M4PLxYL/VIPj0qNHWISMVKynn/GOXEcCer28Ona008TL0Tx1o7fSAHeiDSy&#10;P7g/e8GlGfK5uvA9OdnG+fnFwtIjU4/el3p4fLzpCWhH8voOg1Lj761/4iLznRdLIsMH7kqcdajx&#10;48dW0dDSU0qzto3uWMdUArDuJcRahmn06m0kLXu+E73m3uSNNyYv39J6/jN9932NHz+yILemKeVZ&#10;20S3nVl8fFls3ATCsZPShaeoa0Fs27qx96UmPZjo8UHhnwXnPy+Ryj50H68s51nhq+KUPnX33Zi8&#10;fVTyqDpnISgzkcgZ96TGPlA/onvxmX8FqHCuGHOcL96weh8U7WBZL0wuzptWPOPY9JUvEcKsOcUJ&#10;b9pTH08ffnr2+d9FJuHQ9MtG+hLZE4FfUP+Gi4lY94UaXQSJcgRuTcTIxfCHMprglRNIJLe3xiHe&#10;azhg2Qvt5SvKTz6QHzW2OAVOglygbbmzMeWe3G0TCu+sjJx2hGlAwLYexto06udul9ZfsQtnAc0W&#10;foD0gy/dNzWJUKgzerZ3FsAYZ0BMIYUlixZr3XoQux4c7LcxJLXtxZrZey2SW7tehgFBYeEbf0sJ&#10;8Ebu69seER88gH76Rzei+6TpGZaF+0bn7qFnWM6DIdswunUnjxLdjfpGh0CaZ9h+91ifn0pf57Uv&#10;PrF3ODASpwc38zC6ri5Lxj7TPOgoY9ZLhYmTyRmc6Sat3a7RTX8ufVtwPv/U3n5/04TzQYFj4/Kj&#10;xgDHnD/oGaL8pE+ja8ppKGiLlmjde8C5hbyyfCyN9Y10m5K79Pb84+84250SA+3I6GxsiG5uXfRG&#10;WTfw4ylTeuMn89Dd9fL00qvLY3c9Uf/q2Fhmcu6FRc6014rLDk0++0K7icc7E+4uijPt/XnUcIfq&#10;AwhZ3HBGm5lN7gniqktWmEI5jY2+w7VY4bwn8O6AqmgwZfw25JYC0Ohafa/I4YdFjzgsOuiG1FV7&#10;6N2OTD51T/yAPvofz2WHPlC2aHhEmh9/kwwX9A7rBuQgWagWSKngKCn8bc+UxTNQcSUnkGp93R7m&#10;ln0j5LOp0Y5GgwEsbLw7iQkHZ1jePjmxD8Q5DKozIzoVOWhT6/0vSh/OjxyyDUMqrDnXxbUmCKSA&#10;8iNTfuX58uJ8+a5LCzM6mXvsFd0FHQtTkQN6Wx9OKX8yN3LQtkROtNsI2BU78vDo4BuSV+9FS8BF&#10;QU4AMCRQSJrd4vc9kTr/ADPxR2H4sPwPdJpYowBc+Unpt22iuyU1a7bV2DeyKxwQ2SW658Y2OOLM&#10;nO1suUdkXUPvuk+093xrtjv7rDFvieeEbuokLpqYLmKjbkA/VcDqlC2nqdFvM0LYuxf7TbuDh1me&#10;n7kZxb//auzYVzO7GYlFTqKb2auHMfuZ/AuznPfvyb2RN3fcOz74tEhpumNtYJgzLdgpCMLww+ua&#10;rvun3nF9Y9kcOKURNg9YfxSMzhCZX9Nm/mw1AYiz9vQGo2uHAB7BUZdqmDdjA8P6bSkhdeXvttaV&#10;eqDySwnwFtznNDjDcuEybcOeZq917cfvLs4IdQ/H9/VdDjB/GJ2fs110S7olmqAzGtluU/sDOLOd&#10;KjTzPyxO+sqJZqyZUfNve0X69jHrSnTWoeu77Gf+MC4/e5vI1nBm2oZG3SKnbkMTwtHNfqbwwiyG&#10;NmYyo+gjlZ0hxbTj/Gh4P3ftm07PHaLHDYrvVrJm+2iGii8RRjq54sSR0gbvNgiuqq9vJOfbC2Ek&#10;KVozFxidO2mdO+nz55D9bcUZ1oK1jU66s2Qe5BTCuFpuk2bBg3gZwnBnLz3QodIEiyHV7YN+JOB4&#10;jG3iAa+aeP6buZNQY48Z+16aOHI93ewYG7xZbviA8tp1Tm6D2E2bae2W65dfnnm3o5Zdqe91Tnyt&#10;zSODemTPO728dszJd4vdtLPWvhj/29u5kwfrybTT8bgkzFRgJGy/DPyYivkVzlrHJveMa1O9HNG3&#10;OCHe5dLMyR/qsPMrEoetn+aJA43LLki/10FrKJln3WLG2AHF5M2mt7J/EwHegpmrb3pC3RZXZk/8&#10;WK/LOF1OSG4R0/5ZsRmSO0X75qx1DoCCXD1qv/MTP92QPfZdrUPESSejF14b7djROa5X5qrzs13r&#10;tTIEQO5JYJ36S7TP7eW19gf9QdN6x4dunh1+emntuJPrErt5c03/gnGeG8J5ZT/gleWEtdsmkroi&#10;2/89I5m1I3smzkiWn1Fphopf2Jh49AwSCkPB6pLS20si58F5ENB0W8bP6pU5s195Pdu2d0+M7a63&#10;Pyne64LMcZ8Z9lJtz8uTG2aLg44sHfJh/QkkEp5nAKsFqjwN2zNEBR/LhoT1CFtupaN/AwciRR75&#10;w78gSiWs8mZgCejKi2gbvCllwrKCNPQAy3o4sYUlcDJNel07HcK4sxfKDhyZmYQdhrjoqGvEEyqm&#10;x/m5jCTbMhy1acRp6PeQaTyZGkJQN6lvkrPm6pI16EEhTCZnWEKo5Op6lGbNLwy/3jl3XN1mPtEA&#10;BrOmsr5W0vUvgjM44fzLhF+IiM6PHMMwgMGDLalaXKksq0MxQ2hOePBIHza8kD43nXh0AAmvX/kq&#10;NtorHL2TO4g5jRBBv4OxVnAoDT5dqpZt8HNhFCBoCwYrWTJcCYH7IZyqB2eYpdxn1DVVF6AUreyn&#10;H6zyHSGb2RdapnQzcLFX7jn0dF1yAyNBtMzi1zJmVn2r/Gv+wjuszYYmhu1SG12BKqdge7Xy/Au2&#10;1d5gz3O/ln/rbG4bpEeFwKj224pMq5EenkxmRwBYibYAG6MhiA1DmypTAwoTeHVlJwOcAGuwlFUg&#10;y6GqIpUVR+sro1aadBG9nIKVJGJLFcEip5mM+i9K3rKl/9oriPysGXVtzH6WXYDQdzIZdqyWKFLA&#10;W2i+ygzLXSHEN3ykqtLC1QcUjZfpJ7JMdQWKBGtSgFQCzZuLevDlwRpVkE+1t9Can5Kv/LUxOFpd&#10;8TZmP0ObF6xOEdaoiJ3QW31m90IqOFQVyJL75LHHuiqP6UquUglCIgudWBGcEjrR1iMu+Mr6PIvs&#10;SX15qP31/4dr9WG0+Qxt/hvVWkwNeUlUVWb8CxFPBJ1i469sYHBNVhRLFXwKUfa6CgPqtVSsSjf9&#10;hNMlYx/avc1FfpPzvv5/EK6rD6rVYBTy3CvLWpiNeE2RrE4aAkUwIxntGJJfZqXWVzoR4pQzkv7L&#10;XAQ/LX0MH3AU/JlHnpLgGTgzcFcvkGBwTvvWwtUWJrA9/Rd/EsdeknJFiw1+vthv4AX3NXMsqsJy&#10;FkaOE/zTR6WfK68PheTXNLP8+dTAMDPshXS1BK3Fhuf9lopKBtmWvi5R4YIV9FQHTl5FmHk2Fsh+&#10;XOJlWX/Fm1QJ8Pd36iL4UAmisn3xZfmLKeWvpjrCt0noouWfCiNfpCeXCJyrOVETFfPx42ZFmlhJ&#10;xvoYRIsEB7lwb8Bq7ehzLyx9X7j52Wpv0ecYRg5Drs96KTf6e61T++bKQGfqy5nTTk9f8QwPL+ct&#10;2Zn6SubU/unLnw5LUBOpqzMRKoituwRYdZuIVZ6j5E7I8xfaKqZRC5aG/WCKOu4UuxRcBC9JXHFp&#10;4pKjiHkcltWWzyvPw+hrJWfxr+V/TbWXriARy2CxYuUC4syG/nHEKGGB25sF/nfkwqanDm9LMC4K&#10;vclcBsoO8wbkCAk74hVOfRVegoVGO4NLhWVnJYRVk2K/of+hJKN5SDm3ouDHaM1BHwMIGyeFkYts&#10;Gr/olEgHymRw52sskLBtsjtfcOPZztxc5KrhUdcRypPOdublIlcPj6ZCGr+1qAjJlsFDllJ+iRXw&#10;LpvFtBqvzHQF8yq7oZHLKXe+w4Hgo8CVFZLdiog5KuroF2r5or6Jy17Mnr04/vS5sH0fH2nOitK9&#10;VxdmdzbRY+32/e0H7i68vtLcd/fokEHGWyNy36xtdlxhzd+k7v6LomvNKVxwEfXxizjLphuXPp/4&#10;y/zS5ZcVFnQ2IvPttU9KjjwWzg2lgJgFKQvUQU5bNgPOJEp0ez93ySN2xy7aoqXGgDuSh3XBmni8&#10;BBM7f5m9fF7d5IvMmeMyo9ZKjD/GOn+gde6TdYlXs+c96XTvqkVKzvRu7d64ioSUu+M7fZOOzu/z&#10;zXPvTexVb710TfaRBUbPlD3XjN08Mt7rncypc+LPnqX//ZrsY4uMbqY9b+3Y3bfGtIfSZ36k91hP&#10;1xdY2b2Tk84xy/PspnqjG3Wp8V+5tzPHfhV7+Rp6YC+9ClPy9yyJjjiMLDIBD3Nv0QTXuglEJgCL&#10;5grzCvis9VFokQBWr2ktKK2/i2EqIaJQsuo2rHm4I6ryVjAJklgJlO7SW/Tr4n8Wrrs+e/V12atu&#10;LHyZ0QrflL7atO7u65K33JM8Mu4s2zh+8TFmt13jN1wQ67HUdsAz9bbknaMT23xZ/CRDffxOTj0y&#10;OjUOfPzoovaPLxaajk9C1LRHJ8Wd5wrfMJHrphw/1AQPNsMmR7weO9Y94pXxvWg9/6xz4vjU2Pvq&#10;Hx6gPf2M1fm4xD6/5Ce+Xxjzn8jFJ7AlR6doPfusc+oDqXGjU2f11cBvGo6/mOdEr78/dcstqau2&#10;Kj/3qVb8ufhkU2zSQ6nRY+sv6VZ6+TteAr0/cXJqzKTUIKf4xLeEYbHt6yCryY8kerxP3PnevyN9&#10;68eMkeVfCrffmr3hluwNdzCfQz9E7MXWd7Mpt6shsdrzWuEXmg4LQMSIT4XUPoKCZL9XpZNgiu8T&#10;sDrlkkPOZRRjO31EBXylWvt0ASQ2+JW1Nosed2zshONiJx4b6Z3QYptHun6Zv2xk/sn3nW1Pjm0q&#10;Vhd1zdwoevzG9rMP5cc9VPqtyWnMauDj170HmePHNjZ706GRBDzbCAOeGb10ez7xbSEXTcm8AUlK&#10;mxzx+u2T+Xvvzz30FTniFS1f4Pey2DF7gyrpaO16GsYip2Sa/c8zP7661HtYvI84JBKcCW2jJ5F8&#10;+sabGin41/SGlHMWgh+jCX6MkGa3EfVXgS89vfA+VQDYgbTwjbnz1Rnd6p0VeePY0WuNO5LpYcb6&#10;kX32jR6wX/SAvSNdfGuthS/zZ52ZHvpIedob2cFD0je+0bxozKEoavGDttAzasOPXBI9LCELzv/y&#10;JSUIybGmWso9Jb6usdVWkW3gs6W5LoRp7ha757HUufsRj7ULz8nLG5sKU3Lnjrc22CGy396RjYk/&#10;BOqj7pyK+pG5HUnZEu9zkIu0M/fAI17PIEe84qYf9DqT2QDvNcIJ8PXO9Gnu5A97HkuG/xR8IeU8&#10;GQnGSPe5u3oliWisa+68S3Q3+Oxsih0jIrP4VrEbbkreeIy54T51t9yYPGdv+eS6mtpijU0UImI9&#10;cMRUBtn6Vywyw5EiFQlOQ9yniejgIkT6jjLFwxc3Tyl3mDJf/6bTa/vosQOJx9rMEgk0Tme2TsN0&#10;O7pTbN9tzc020khUKnR7oxgq/GL9miGaMNyZ8TuJWm6vtKdBwDMuijAlTIbyv1i/wXzRNMQRr+vN&#10;Jke8ssv0eQk2lEc9rQ+bnFjn5dw7xHuQXpDMtKdRZ8Kff7IyEHDFF1LOBD/GGdZSun3qg2uarvmM&#10;vyru285vM7Tu3fxocTJL7aWQacWLee4ljE6dDLAqxJJGpw2MjkTI/+9cQQLRr1tAKsMpFJVNkhIG&#10;FXYw6NKMGYY9fHZ/BixU//Fq7sQTm445senoE9Mn3V2ObRNNvZkdcH5m6NDctD3jsDcttm207/e5&#10;ATeXSnvHNv5H9syLs8OvKP5CQKBveUJ8g9fSJw+GcNIWcavU9L4QNe0dEjXt5LML6w+Kb0d8Lcmk&#10;oy9Jme03OAMpTTiYMGKcMtT88MJ0/zPTAx7U9j+Q14h6Cb51QXrAmekhr+hDTjH+PTG//Mi6g3pG&#10;zu+nPTau3IgJI+ZJA4y/n5ceMDgz/icd/Jz8IeUim8cH9yidfVr6jIHpBzU415gVwe73Tw8ckHlp&#10;vXh/6mKnXs7rVzVe/k4VsBLPvRfYoJ84MDFxIAYKWzOutlAGRE1qGMP10pIlYAoIkqwkGw67MGFN&#10;GUdxIowA9Av1KyGxS8UjvopN0tME8KWUc+w4c4cTFOBIDge9miktQtJh2X4fP72YdRzqpAcpcNTF&#10;xNmME6vXiebJ2zXdqNXVwzG3XrjU5CVoOemCVp90MUJCynm8+Jgfow9H3gNpmw2yhhfT51HPPf/s&#10;o9l5rYoX2rrnhOdHmrcIOzxFCl9SClYXqRIqaM3FChRbsmfTF260Yj85lPlPgWbWFxDx7C8Whj8C&#10;FhgY/mro0y76ddiTQ365u9RXRbO1OE/e4QMzaLbnXovJaPGLteAVgVPzFZIWwDqPO60G5IVgDYQG&#10;yRD/R/Hp4pX8RNEqZt/SdxTWWCb7zvKh6OSdQ1Il/CuxSvcJYYEMVhpAQgqpUDPXWpuQc705LeWW&#10;2cwmbi2xq+P9AEYEWGG5uIJ/yWSYv8ScPiQ6cbzB5xxYvn5RoRFclLmEKd947rwIV5JypFLrErv8&#10;SMWasE8YCuTMWXXdU0PbqlWULip6pvxF4mULCm0ZxFtQUNu84raK3EIulkKEa8AMh4CUjehy+1O1&#10;0nPxcckDNpkWCjCeTs1CEQcu5uQyQhuBSExZKQlEaiC5HNrBww0rsFmNL48MgUCUcmtWxm2DjDUw&#10;lxqmSM2lWh3TuW8AYbfKfSHe8JEMOyF5seyApvKkwBxIugCNgr5OTh9V8vL3N29ncfHpSloPQaI0&#10;0f9UWoVoDPjSPC2rua3wf+lr5YCEGBGEGmHHIBIkKSStVOgJAuKoocqYFrT48pJNXALsDN2hItCT&#10;iwdz6rDj9h85Gf8u47JWhv1futo5gPK1hhlws7KkiV2vq3B0heTqSlyhD7C5Fn/Bi1Of4sDFJxO6&#10;AQOrm7WXCiFofeQFDspcftfOov9L2ToO1I7aGpBNM2OOLM1DqhCDAXgNRxdz9uOdzhWi+A3dtISo&#10;lRklVxsMBi3jQiCEW9cc//d2TRxghvKa0lZMJE2wZC2RwNGnNTJZJo/4QjTKwlTWB/zYdW2zwuQA&#10;LwsMKhMsFkpL4IxM3qRuWEOPDJDHrWfa/+XQMg7ULmWC86eRkohck9DGFFB6l2l4IoHQ/PApk4l8&#10;/hSkI0Iij3FfFqF8LUDVHLA/4IyLlaEY1FzjWjPx+qeI12bS6DZUi19sGZaqvdVCcsR8RqmYAK6Q&#10;u/IdZSwV77nbWuiQzgZ4H9mqgsgM/hJSxVfMRIDYRRrrEtwYxYwDRKbKHSVc3QzhpCCsGgyrPa/W&#10;Uq143uKiW/xiK4it8Grt5BCswQXRfPN5J5d18jmnAEGPSySEXuglN6WKN/6Kag0QGQWC1lUDUNAi&#10;4HAFSwhnT42knwEWA/Ya67IsrXiFfwnt0SKlP0WFCqyalvy/XDkHSEh0iI2eTmuwpQ98cMQCKNyn&#10;Z0OEQNYjawMYyiQrF6soIfF/jkIX5RwBQV1Muieg4wuPzwhQtGH5ICJR3xbZPvxk4Z3aJcL/Ia61&#10;HAB3U3LYBG6YFM1NGgF81vjZZgBfEqW0gloRbPwSiwK8ReUh3jW2SzB1oUzHe/oe/8LX+kOrrE4M&#10;XXns04nbCmH/B9QWwM+PIhEsIkCxZHEkSJJcnsSEw62bsqmVCw0STxejluOdKuElvJClcaXVPuD2&#10;B7mlxViPKilaRhFtipldxmvgKpRH1CFj5JLIlN/LYVG9YPDB3RZq/y1oyv/NV6iayR3T+BdxkyIr&#10;5MMfwWni5LwJNx96pC1yi4CE4YYdeo/4UeOXVZJxpHSPnZXJSRdArg7ABKikIVAKUKgy1ErKqwJu&#10;BLRMi6eDyFDjNIQBtGXC8v/AHAgFGaABCVSAisS+L6Cn2hmUqWpgFBRE3tVsrg+457bVJAGkCRaX&#10;1YqRiGkFDG1i1CflM5BK0ywhI+Xx3SWDQZvfcMsjJfrgGkB+JZi2DMI18eh/MJEiMv31kzDH4Crf&#10;CfhO4qOx2AoyXvmwyTxG1UGYiFV6METNl5xUam9ZoDLkkVsi+pk7/XeXULnoFVJWmAsUarjA5FiV&#10;TAF8NHd1lTaBIO8HdOSpmTP/uwlZjD0Pb1WAyjKSC0s6rAchFR6QWD5cU3UVVldjxHkNemkSpyX0&#10;W6Ik0O2fIoBaJbaz015ZEhdneINj1sUuDv1Cqsp2KzHQq9MsNgooK1Pctsr5xfoD11aFAsA2rIji&#10;JaAHwBhf9z9w7/DDFf53gVihZt4Bmk922X1JZ4UTm2w8wBAv8oMcPRKCVIjqhKdOeFhPR2V6jymB&#10;DKlck+TJGQapiKq4m8N3UrrUshKCaYGyhqrAGgni+GbIQ0Llu1LWcrX4OoHSYVxDhJ/9MsTF06Bp&#10;mffVkJNM/uehG4gAL0ZJ0HBxCVyS434AphS7cgKWks664OwJvk+EsxKVVLf1cdSVNEYGEmxKn3wJ&#10;gazHdMVe9k3j+S4U13YgxKcfqVLj076lgFSqgxgXKLkUbQLoVQGkjOeewT0QzXTA+f9NDUDd1HMp&#10;AtKPUYrOykO/YCNylJwxTFsZ4Uh2n8jQ9KiqAtASSplZQG0gH2QlnVXFN4e+gJsAJe0xrvgUFgAV&#10;4bK8ZF3KwzOfS0rtSHX7jFBXgtDtmbT9/6avMt1UGnwkmDJJyUSmBFDvcB/CWBnxKBzdKT8M12hN&#10;5XKTPpLY7xelNCXDqh+yLKfwINEce9hluLSWlVQJpiwJSn6U9kJT8QwNXK32EVxVmKoJZIkeNJS4&#10;JCEbUHj//3H5BSqbwbhDOY7pTIIKgIYopgHaqsxIQCYb5WkkZ8PQ4cwXcog9rlrREFUcQFycepof&#10;FztpqoDxjy2FQl5Cq/WPwlKOCFl2wwdZWSgqZIiUHpS4RoSwMbtWWLH3BRCDEImsqrJeUmuBa3o6&#10;j0BVpSkDKB5rg38VGcnOkffZ/32VlpgJ53hyyUplKlEDKEap/Z/OxvEjyxRVzmLQZLmPsVpIyRxY&#10;FCAlcVnoIylI/Il7qinAfVcRqxJa+X2asiK4quKhBdpnmKNC1bL+qxIoHZKLKz43CgYoOzGVB9pB&#10;1ooPq33FQUks+lNbEcGoUFvxEZuoBA6maLeSWscrYt2iDR0OEVUvHC8lOGAZkkrKbwQ0ozK1l+ZW&#10;rGPhG7yTucQ3Z2ola/c8Pz64eHgqSe3/ebHqmY6oQzy1PQk5yr8wU5Hc2P7ZmGjkSnjVI5EgmyGb&#10;dRHzagWtD1yxsBAZpkors+eGFo1S4SoUUAWBNWh5gcKXZefqryxXkhg3BUjUtwipmINXAARKQaKw&#10;/o/rAH6BKk3nic8e/gwY9/2CNGzUUhtamUBrBEVuiwqXAGmWQJpc5IxLAAgu6oHFvknNp6gEDMcg&#10;saN6HcQwcy/StvyXxwYahAVZ+fDouL5cCIZlsVxD9gpdNfQdkV7mrSJ1sCNV6OmBiF+Db8pI5RMp&#10;r8UUYepa3fF74IgfgJwqlafSAA5PplkKIPKRHc4x9fYlBC69YEFBwES6ze4pVSMbBh0tBqduqku0&#10;vClplrwHCKjwG1XqIONBwFLBW+vG5gDo+iFIhbh8JIBL9P8katl8n8pRSZTKMA0bjmoXBR42Y+Oa&#10;EaIMMIko5m2yyiGmULQkeMuix117JYeHDvcnOrIYetzVXOlQXUHyVKuTpCj60Sxvx2qVcGPDCvYl&#10;mSQ1V9avKtMso7a5RDU3fVtLaFYz1wgFq6PEp8Sd48vfkVWyRG1TeuDQCMCrW4K79AXHlILIoB8q&#10;aEE4AlIVH21KCWFnUAvSh/zwSALWIL5XauVqqA3iQ9DmVFRxwnIT9yXyWHpUWsUlCXxWZ3rQCwiY&#10;5l2BElfc9HzxMbd5ZbUiNY74iDwqz/DC1VGKVxWmLojkQpvLHHw3vIsCWEF/dQdSIt2J0iw+ZNJi&#10;aOUSIrVZmBPLrZJwpc1RpRISMLz85m+G5IBDAHuJ/kv/BOAVM/BVx81XLknCtHiDSZCWtQcWvaaq&#10;CkSBwr7KdUSUWMqHzksUUcrbqqpkqL0T8SZ02wnMVYBXQC26/9GJHZ3k0fjg8KVUJIKWNy17UfwO&#10;ADAjV6iqjgbTLNUHCwlmCRV0euoqfqrwqgAS9sjfr+R3PE/pI5f1lfnOXNCptortuqbCrnZYiJSE&#10;CV6kMrHqwauLZnXwb0vlheXlbW0QrmBlAsjCX2ptJf2Lylc27MkN4tITSBm7qcyr9DpyFgrrjZw1&#10;Qu4Fj7kyjQqupUYg/T8Q34zrLCkKwoCLP+BP3QqpvUMtErsaIvV/71JkKtdTPUM/n+9XqX2LRx5f&#10;vhU5jQ/Z+oD7qrQsGthS5DWvZKVvx6I6MZhVuFwTmgssv7SjMKH/KwIZf8lqKwJKqSMzM0kjGpIj&#10;9QSlU6CIoRmLP7ygFp/dugaDW3CbMoo6mzIvPq4DoKoquBYkA7z4lH63BXSJ0ORLlwyjUhP5BjpX&#10;Awjhe5BkJZVMJsnartvskrAT1VC+0B9uDfGnhGmlfAm7nvc8ZIoMFSnq46mnK+NP1iVCaKjU+9d4&#10;GewilUoCnEJ53VCQBR6M+iBbAa+sLUJg62OSdION8J5JPUug/lOTPOD5YWIMH6RCOwlHgkoEeBvd&#10;j1lRricptRC7CoAP1uyGT9TK9WBsVxkn/4LvWCWlYmKtOQh/VXtyTYyUE60WlCtIdW1V0to61rqC&#10;tT+cjTVW2R3HfC9IA1tAZs1FKmsjhbGePVj0GVh35TUtOX1wZwvpggqkFBzTY9ckiDN56JcHmMaj&#10;J3DJ4WYhvrEia1pcFZ20DZDWFmNnZbgwpKLEZLtNgraahOn9MrclKasQzn/UXhtVqFZjZJBMxnvC&#10;LcuVnAESxb+3kL4dj+uwrEUFFv+jSjO/eGV3RIXxC3Z0OTW/L7ivNJKfRDWdSwWljIhVb48mFoDa&#10;2Y2lt1bWVmumykCs6SmtkjzZ9/iesgmC6PBhiPTIiKrgVokjVMiVJd89MgajSUjF86FPzokwnAPT&#10;XXSvIj9CNsJCUXV1vskWIk8uEznI/mcP1PVc9w2hyHJY0wp5VgTkOir1FQWxoIQ4HrkdkXcNYs8L&#10;b/yqoGo5aj2k1ATAWhOxDs56PvVJVV1RmUQIr7mPl5xfyr8+ekT7VqJUgE50/Cr1omiute5Sugq7&#10;tnUtkaCrZzXmK89AfSzwCFeOV5YuwLDF2cQAzbUx2i+YEsF6J605bQy9XNStUtDpWc3kTKs0hJbj&#10;PZhKJgtkpHqM/3ThKlhEqvANgKwH3/xnzR2egUPFCL4tPfJAqEZEqfyAbQdVmjGRDMArciawPkwG&#10;YK7sB9cgkcVUmvKXyUoxSysaQB5XpJR0aKHLypxkxYHLcXJNml0mIscutxCvgTxsEWNbr1h424Vj&#10;VV2jYntTkNchlCIPpdbyQrYCMGvt5CIL6v9ZkWVhnnaV+UyfVgMrJIHJFnh/IVRkW6ZcEUVSSp0c&#10;WYx6K4Muh7OrFSguZFIUdgo5LFUYX0mgDbTgYeV476V+EnaxQNJDmEXbCsZr5XYJe1oNr77ptw8f&#10;tTZ6YDqWm7tlCnUA3vWZWGBLWB5gehpJvOWTw27dA8SvJHq8L/LUqpIqivWM+IFIFUORPKDJPOff&#10;8XjVKrwkky1YL1A2v4h35BamN5nclWSshEtWbUwjiWd0xnGNWBygHLuMQn7wmoJUEgQU/CnjSaiI&#10;XUK8UhErKq/wLryyFfjg4aPKNMn+HZbOT0pt+GWmKO+4j/KVDVl8pCJlVBFron8rzGcAdFuy4hCj&#10;jmwCjShA5Pp7a+jPtTL2fDyTzsHy5sVoJ6vswBdY4Y1Rb5pKDtOqaEJZ6o4Q/DdDs8CrrFGwNmCO&#10;NEJCYU7i5GKxZkdM4hYS7himHk8RYstFInJBeRWqcEuhUq0Tt2C0r0E2iFJFf8eBSfoIFyvvOrYb&#10;laeWzhCiy1V4VQUJ/+UVgwI6ftOBm7eSVWAnF7xiT3ULnLX8F5N8ZPyFZRJqDGIWKBJ+Q8y4WXn0&#10;H/k7+0nLwB5H7rC/dNsuLVK+jze9My1XJDpsz6RbEs6IPV0MkOoUsroZRcdKJxKruP2H5Q9rlkQ8&#10;kw/vW0xQkC3FutgQF9aKlbWLUH2y4mvu4EOWVKku7v5l/dDHLtYSgZIxmHiZPfIyvdqgsvwUAzHd&#10;YkfIxK1WRJqoOFC2vgTDvPqwLpH9/wDv9pI77/j/8AAAAABJRU5ErkJgglBLAQItABQABgAIAAAA&#10;IQCxgme2CgEAABMCAAATAAAAAAAAAAAAAAAAAAAAAABbQ29udGVudF9UeXBlc10ueG1sUEsBAi0A&#10;FAAGAAgAAAAhADj9If/WAAAAlAEAAAsAAAAAAAAAAAAAAAAAOwEAAF9yZWxzLy5yZWxzUEsBAi0A&#10;FAAGAAgAAAAhAHfAR7jMCQAA9EMAAA4AAAAAAAAAAAAAAAAAOgIAAGRycy9lMm9Eb2MueG1sUEsB&#10;Ai0AFAAGAAgAAAAhAKomDr68AAAAIQEAABkAAAAAAAAAAAAAAAAAMgwAAGRycy9fcmVscy9lMm9E&#10;b2MueG1sLnJlbHNQSwECLQAUAAYACAAAACEAZcG4LeEAAAANAQAADwAAAAAAAAAAAAAAAAAlDQAA&#10;ZHJzL2Rvd25yZXYueG1sUEsBAi0ACgAAAAAAAAAhAB9uykkVyQAAFckAABQAAAAAAAAAAAAAAAAA&#10;Mw4AAGRycy9tZWRpYS9pbWFnZTEucG5nUEsFBgAAAAAGAAYAfAEAAHrXAAAAAA==&#10;">
                <v:group id="43 Grupo" o:spid="_x0000_s1273" style="position:absolute;left:1388;width:54823;height:30962" coordorigin="1388" coordsize="54823,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6LgywAAAOMAAAAPAAAAZHJzL2Rvd25yZXYueG1sRI9Ba8JA&#10;FITvhf6H5RW81U0ixpK6ikiVHqSgFsTbI/tMgtm3Ibsm8d93BaHHYWa+YebLwdSio9ZVlhXE4wgE&#10;cW51xYWC3+Pm/QOE88gaa8uk4E4OlovXlzlm2va8p+7gCxEg7DJUUHrfZFK6vCSDbmwb4uBdbGvQ&#10;B9kWUrfYB7ipZRJFqTRYcVgosaF1Sfn1cDMKtj32q0n81e2ul/X9fJz+nHYxKTV6G1afIDwN/j/8&#10;bH9rBUmUpGkymaVTeHwKf0Au/gAAAP//AwBQSwECLQAUAAYACAAAACEA2+H2y+4AAACFAQAAEwAA&#10;AAAAAAAAAAAAAAAAAAAAW0NvbnRlbnRfVHlwZXNdLnhtbFBLAQItABQABgAIAAAAIQBa9CxbvwAA&#10;ABUBAAALAAAAAAAAAAAAAAAAAB8BAABfcmVscy8ucmVsc1BLAQItABQABgAIAAAAIQCvT6LgywAA&#10;AOMAAAAPAAAAAAAAAAAAAAAAAAcCAABkcnMvZG93bnJldi54bWxQSwUGAAAAAAMAAwC3AAAA/wIA&#10;AAAA&#10;">
                  <v:group id="17 Grupo" o:spid="_x0000_s1274" style="position:absolute;left:1388;top:2128;width:22665;height:6306" coordorigin="-1975,-114" coordsize="22673,6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TyXzAAAAOMAAAAPAAAAZHJzL2Rvd25yZXYueG1sRI/NasMw&#10;EITvhb6D2EJvjWyHKsWJEkJISw+hkB8ouS3WxjaxVsZSbOftq0Khx2FmvmEWq9E2oqfO1441pJME&#10;BHHhTM2lhtPx/eUNhA/IBhvHpOFOHlbLx4cF5sYNvKf+EEoRIexz1FCF0OZS+qIii37iWuLoXVxn&#10;MUTZldJ0OES4bWSWJEparDkuVNjSpqLierhZDR8DDutpuu1318vmfj6+fn3vUtL6+Wlcz0EEGsN/&#10;+K/9aTRkSaZUNp0pBb+f4h+Qyx8AAAD//wMAUEsBAi0AFAAGAAgAAAAhANvh9svuAAAAhQEAABMA&#10;AAAAAAAAAAAAAAAAAAAAAFtDb250ZW50X1R5cGVzXS54bWxQSwECLQAUAAYACAAAACEAWvQsW78A&#10;AAAVAQAACwAAAAAAAAAAAAAAAAAfAQAAX3JlbHMvLnJlbHNQSwECLQAUAAYACAAAACEAX508l8wA&#10;AADjAAAADwAAAAAAAAAAAAAAAAAHAgAAZHJzL2Rvd25yZXYueG1sUEsFBgAAAAADAAMAtwAAAAAD&#10;AAAAAA==&#10;">
                    <v:shape id="18 Cuadro de texto" o:spid="_x0000_s1275" type="#_x0000_t202" style="position:absolute;left:-1975;top:-114;width:19422;height:6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nR9zAAAAOMAAAAPAAAAZHJzL2Rvd25yZXYueG1sRI9BS8NA&#10;FITvgv9heQVvdtMIqaTdFhHFFgzVWOj1kX1Notm3YXdtYn+9WxA8DjPzDbNcj6YTJ3K+taxgNk1A&#10;EFdWt1wr2H88396D8AFZY2eZFPyQh/Xq+mqJubYDv9OpDLWIEPY5KmhC6HMpfdWQQT+1PXH0jtYZ&#10;DFG6WmqHQ4SbTqZJkkmDLceFBnt6bKj6Kr+NgsNQvrjddvv51m+K8+5cFq/0VCh1MxkfFiACjeE/&#10;/NfeaAVpkmZZejfP5nD5FP+AXP0CAAD//wMAUEsBAi0AFAAGAAgAAAAhANvh9svuAAAAhQEAABMA&#10;AAAAAAAAAAAAAAAAAAAAAFtDb250ZW50X1R5cGVzXS54bWxQSwECLQAUAAYACAAAACEAWvQsW78A&#10;AAAVAQAACwAAAAAAAAAAAAAAAAAfAQAAX3JlbHMvLnJlbHNQSwECLQAUAAYACAAAACEANgZ0fcwA&#10;AADjAAAADwAAAAAAAAAAAAAAAAAHAgAAZHJzL2Rvd25yZXYueG1sUEsFBgAAAAADAAMAtwAAAAAD&#10;AAAAAA==&#10;" fillcolor="window" stroked="f" strokeweight=".5pt">
                      <v:textbox>
                        <w:txbxContent>
                          <w:p w:rsidR="00C20C0F" w:rsidRPr="00FF5808" w:rsidRDefault="00C20C0F" w:rsidP="00C932A6">
                            <w:pPr>
                              <w:jc w:val="center"/>
                              <w:rPr>
                                <w:sz w:val="18"/>
                              </w:rPr>
                            </w:pPr>
                            <w:r w:rsidRPr="00FF5808">
                              <w:rPr>
                                <w:sz w:val="18"/>
                              </w:rPr>
                              <w:t>Breve descripción general del elemento.</w:t>
                            </w:r>
                          </w:p>
                        </w:txbxContent>
                      </v:textbox>
                    </v:shape>
                    <v:shape id="19 Conector recto de flecha" o:spid="_x0000_s1276" type="#_x0000_t32" style="position:absolute;left:15700;top:1380;width:49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rNyyQAAAOMAAAAPAAAAZHJzL2Rvd25yZXYueG1sRE+7TsMw&#10;FN2R+AfrIrFRJ0EKJdStEC8hsbQpA+NVfBuHxNfBdtvQr68HJMaj816sJjuIA/nQOVaQzzIQxI3T&#10;HbcKPrevN3MQISJrHByTgl8KsFpeXiyw0u7IGzrUsRUphEOFCkyMYyVlaAxZDDM3Eidu57zFmKBv&#10;pfZ4TOF2kEWWldJix6nB4EhPhpq+3lsFvn/L69PH18u6xd7s8932/vnnW6nrq+nxAUSkKf6L/9zv&#10;WkGRFWVZ3N6VaXT6lP6AXJ4BAAD//wMAUEsBAi0AFAAGAAgAAAAhANvh9svuAAAAhQEAABMAAAAA&#10;AAAAAAAAAAAAAAAAAFtDb250ZW50X1R5cGVzXS54bWxQSwECLQAUAAYACAAAACEAWvQsW78AAAAV&#10;AQAACwAAAAAAAAAAAAAAAAAfAQAAX3JlbHMvLnJlbHNQSwECLQAUAAYACAAAACEAE6qzcskAAADj&#10;AAAADwAAAAAAAAAAAAAAAAAHAgAAZHJzL2Rvd25yZXYueG1sUEsFBgAAAAADAAMAtwAAAP0CAAAA&#10;AA==&#10;" stroked="f" strokeweight=".5pt">
                      <v:stroke endarrow="open" joinstyle="miter"/>
                    </v:shape>
                  </v:group>
                  <v:group id="40 Grupo" o:spid="_x0000_s1277" style="position:absolute;left:8472;width:47739;height:30962" coordorigin="1916" coordsize="47739,30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qjlywAAAOMAAAAPAAAAZHJzL2Rvd25yZXYueG1sRI9Ba8JA&#10;FITvBf/D8oTe6iaRpjW6ioiKBylUC8XbI/tMgtm3IbtN4r/vCoUeh5n5hlmsBlOLjlpXWVYQTyIQ&#10;xLnVFRcKvs67l3cQziNrrC2Tgjs5WC1HTwvMtO35k7qTL0SAsMtQQel9k0np8pIMuoltiIN3ta1B&#10;H2RbSN1iH+CmlkkUpdJgxWGhxIY2JeW3049RsO+xX0/jbXe8XTf3y/n14/sYk1LP42E9B+Fp8P/h&#10;v/ZBK0iiJE2T6Vs6g8en8Afk8hcAAP//AwBQSwECLQAUAAYACAAAACEA2+H2y+4AAACFAQAAEwAA&#10;AAAAAAAAAAAAAAAAAAAAW0NvbnRlbnRfVHlwZXNdLnhtbFBLAQItABQABgAIAAAAIQBa9CxbvwAA&#10;ABUBAAALAAAAAAAAAAAAAAAAAB8BAABfcmVscy8ucmVsc1BLAQItABQABgAIAAAAIQAuAqjlywAA&#10;AOMAAAAPAAAAAAAAAAAAAAAAAAcCAABkcnMvZG93bnJldi54bWxQSwUGAAAAAAMAAwC3AAAA/wIA&#10;AAAA&#10;">
                    <v:shape id="Imagen 4" o:spid="_x0000_s1278" type="#_x0000_t75" style="position:absolute;left:12680;width:21739;height:30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wTsyQAAAOMAAAAPAAAAZHJzL2Rvd25yZXYueG1sRI9PS8Mw&#10;GMbvgt8hvIKXsaVLoZVu2ZCB4Enm5kFvL81rU2zelCS29dubg+Dx4fnHb39c3CAmCrH3rGG7KUAQ&#10;t9703Gl4uz6tH0DEhGxw8EwafijC8XB7s8fG+JlfabqkTuQRjg1qsCmNjZSxteQwbvxInL1PHxym&#10;LEMnTcA5j7tBqqKopMOe84PFkU6W2q/Lt9Nwfl8quy1PU3ldpY86nldhVi9a398tjzsQiZb0H/5r&#10;PxsNqlBVpcq6zhSZKfOAPPwCAAD//wMAUEsBAi0AFAAGAAgAAAAhANvh9svuAAAAhQEAABMAAAAA&#10;AAAAAAAAAAAAAAAAAFtDb250ZW50X1R5cGVzXS54bWxQSwECLQAUAAYACAAAACEAWvQsW78AAAAV&#10;AQAACwAAAAAAAAAAAAAAAAAfAQAAX3JlbHMvLnJlbHNQSwECLQAUAAYACAAAACEA7m8E7MkAAADj&#10;AAAADwAAAAAAAAAAAAAAAAAHAgAAZHJzL2Rvd25yZXYueG1sUEsFBgAAAAADAAMAtwAAAP0CAAAA&#10;AA==&#10;">
                      <v:imagedata r:id="rId1265" o:title=""/>
                      <v:path arrowok="t"/>
                    </v:shape>
                    <v:group id="39 Grupo" o:spid="_x0000_s1279" style="position:absolute;left:1916;top:16463;width:13944;height:11115" coordorigin="1916,-13" coordsize="13943,1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TI+ywAAAOMAAAAPAAAAZHJzL2Rvd25yZXYueG1sRI9Ba8JA&#10;FITvhf6H5RW81U0ijSV1FZFWehBBLYi3R/aZBLNvQ3abxH/vCoLHYWa+YWaLwdSio9ZVlhXE4wgE&#10;cW51xYWCv8PP+ycI55E11pZJwZUcLOavLzPMtO15R93eFyJA2GWooPS+yaR0eUkG3dg2xME729ag&#10;D7ItpG6xD3BTyySKUmmw4rBQYkOrkvLL/t8oWPfYLyfxd7e5nFfX0+Fje9zEpNTobVh+gfA0+Gf4&#10;0f7VCpIoSdNkMp3GcP8U/oCc3wAAAP//AwBQSwECLQAUAAYACAAAACEA2+H2y+4AAACFAQAAEwAA&#10;AAAAAAAAAAAAAAAAAAAAW0NvbnRlbnRfVHlwZXNdLnhtbFBLAQItABQABgAIAAAAIQBa9CxbvwAA&#10;ABUBAAALAAAAAAAAAAAAAAAAAB8BAABfcmVscy8ucmVsc1BLAQItABQABgAIAAAAIQBVrTI+ywAA&#10;AOMAAAAPAAAAAAAAAAAAAAAAAAcCAABkcnMvZG93bnJldi54bWxQSwUGAAAAAAMAAwC3AAAA/wIA&#10;AAAA&#10;">
                      <v:group id="20 Grupo" o:spid="_x0000_s1280" style="position:absolute;left:2841;top:-13;width:12764;height:4136" coordorigin="3769,-16" coordsize="16928,5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6xJywAAAOMAAAAPAAAAZHJzL2Rvd25yZXYueG1sRI9Ba8JA&#10;FITvBf/D8gq91U1WGiV1FRFbepBCVRBvj+wzCWbfhuw2if++Wyj0OMzMN8xyPdpG9NT52rGGdJqA&#10;IC6cqbnUcDq+PS9A+IBssHFMGu7kYb2aPCwxN27gL+oPoRQRwj5HDVUIbS6lLyqy6KeuJY7e1XUW&#10;Q5RdKU2HQ4TbRqokyaTFmuNChS1tKypuh2+r4X3AYTNLd/3+dt3eL8eXz/M+Ja2fHsfNK4hAY/gP&#10;/7U/jAaVqCxTs/lcwe+n+Afk6gcAAP//AwBQSwECLQAUAAYACAAAACEA2+H2y+4AAACFAQAAEwAA&#10;AAAAAAAAAAAAAAAAAAAAW0NvbnRlbnRfVHlwZXNdLnhtbFBLAQItABQABgAIAAAAIQBa9CxbvwAA&#10;ABUBAAALAAAAAAAAAAAAAAAAAB8BAABfcmVscy8ucmVsc1BLAQItABQABgAIAAAAIQClf6xJywAA&#10;AOMAAAAPAAAAAAAAAAAAAAAAAAcCAABkcnMvZG93bnJldi54bWxQSwUGAAAAAAMAAwC3AAAA/wIA&#10;AAAA&#10;">
                        <v:shape id="21 Cuadro de texto" o:spid="_x0000_s1281" type="#_x0000_t202" style="position:absolute;left:3769;top:-16;width:11448;height:5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OSjzAAAAOMAAAAPAAAAZHJzL2Rvd25yZXYueG1sRI9BS8NA&#10;FITvQv/D8gre7MYU0pJ2W0QUWzDURqHXR/aZRLNvw+7axP56VxA8DjPzDbPejqYTZ3K+tazgdpaA&#10;IK6sbrlW8Pb6eLME4QOyxs4yKfgmD9vN5GqNubYDH+lchlpECPscFTQh9LmUvmrIoJ/Znjh679YZ&#10;DFG6WmqHQ4SbTqZJkkmDLceFBnu6b6j6LL+MgtNQPrnDfv/x0u+Ky+FSFs/0UCh1PR3vViACjeE/&#10;/NfeaQVpkmZZOl8s5vD7Kf4BufkBAAD//wMAUEsBAi0AFAAGAAgAAAAhANvh9svuAAAAhQEAABMA&#10;AAAAAAAAAAAAAAAAAAAAAFtDb250ZW50X1R5cGVzXS54bWxQSwECLQAUAAYACAAAACEAWvQsW78A&#10;AAAVAQAACwAAAAAAAAAAAAAAAAAfAQAAX3JlbHMvLnJlbHNQSwECLQAUAAYACAAAACEAzOTko8wA&#10;AADjAAAADwAAAAAAAAAAAAAAAAAHAgAAZHJzL2Rvd25yZXYueG1sUEsFBgAAAAADAAMAtwAAAAAD&#10;AAAAAA==&#10;" fillcolor="window" stroked="f" strokeweight=".5pt">
                          <v:textbox>
                            <w:txbxContent>
                              <w:p w:rsidR="00C20C0F" w:rsidRPr="00FF5808" w:rsidRDefault="00C20C0F" w:rsidP="00C932A6">
                                <w:pPr>
                                  <w:jc w:val="center"/>
                                  <w:rPr>
                                    <w:sz w:val="18"/>
                                  </w:rPr>
                                </w:pPr>
                                <w:r w:rsidRPr="00FF5808">
                                  <w:rPr>
                                    <w:sz w:val="18"/>
                                  </w:rPr>
                                  <w:t>No. Atómico</w:t>
                                </w:r>
                              </w:p>
                            </w:txbxContent>
                          </v:textbox>
                        </v:shape>
                        <v:shape id="22 Conector recto de flecha" o:spid="_x0000_s1282" type="#_x0000_t32" style="position:absolute;left:15700;top:1380;width:49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i+qzAAAAOMAAAAPAAAAZHJzL2Rvd25yZXYueG1sRI/NTsMw&#10;EITvSLyDtUjcqJOAUhrqVog/IXGBtAeOq3gbh8TrYLtt4OkxEhLH0cx8o1muJzuIA/nQOVaQzzIQ&#10;xI3THbcKtpvHi2sQISJrHByTgi8KsF6dniyx0u7Ib3SoYysShEOFCkyMYyVlaAxZDDM3Eidv57zF&#10;mKRvpfZ4THA7yCLLSmmx47RgcKQ7Q01f760C3z/l9ffL+8Nri73Z57vN4v7zQ6nzs+n2BkSkKf6H&#10;/9rPWkGRFWVZXM7nV/D7Kf0BufoBAAD//wMAUEsBAi0AFAAGAAgAAAAhANvh9svuAAAAhQEAABMA&#10;AAAAAAAAAAAAAAAAAAAAAFtDb250ZW50X1R5cGVzXS54bWxQSwECLQAUAAYACAAAACEAWvQsW78A&#10;AAAVAQAACwAAAAAAAAAAAAAAAAAfAQAAX3JlbHMvLnJlbHNQSwECLQAUAAYACAAAACEAFz4vqswA&#10;AADjAAAADwAAAAAAAAAAAAAAAAAHAgAAZHJzL2Rvd25yZXYueG1sUEsFBgAAAAADAAMAtwAAAAAD&#10;AAAAAA==&#10;" stroked="f" strokeweight=".5pt">
                          <v:stroke endarrow="open" joinstyle="miter"/>
                        </v:shape>
                      </v:group>
                      <v:group id="26 Grupo" o:spid="_x0000_s1283" style="position:absolute;left:1916;top:2794;width:13944;height:3967" coordorigin="2199,-281" coordsize="18497,4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jQ9ywAAAOMAAAAPAAAAZHJzL2Rvd25yZXYueG1sRI9Ba8JA&#10;FITvhf6H5RV6q5tEjBJdRaQtPYhQLYi3R/aZBLNvQ3abxH/vCoLHYWa+YRarwdSio9ZVlhXEowgE&#10;cW51xYWCv8PXxwyE88gaa8uk4EoOVsvXlwVm2vb8S93eFyJA2GWooPS+yaR0eUkG3cg2xME729ag&#10;D7ItpG6xD3BTyySKUmmw4rBQYkObkvLL/t8o+O6xX4/jz257OW+up8Nkd9zGpNT727Ceg/A0+Gf4&#10;0f7RCpIoSdNkPJ1O4P4p/AG5vAEAAP//AwBQSwECLQAUAAYACAAAACEA2+H2y+4AAACFAQAAEwAA&#10;AAAAAAAAAAAAAAAAAAAAW0NvbnRlbnRfVHlwZXNdLnhtbFBLAQItABQABgAIAAAAIQBa9CxbvwAA&#10;ABUBAAALAAAAAAAAAAAAAAAAAB8BAABfcmVscy8ucmVsc1BLAQItABQABgAIAAAAIQAqljQ9ywAA&#10;AOMAAAAPAAAAAAAAAAAAAAAAAAcCAABkcnMvZG93bnJldi54bWxQSwUGAAAAAAMAAwC3AAAA/wIA&#10;AAAA&#10;">
                        <v:shape id="27 Cuadro de texto" o:spid="_x0000_s1284" type="#_x0000_t202" style="position:absolute;left:2199;top:-281;width:13160;height:4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1oExQAAANsAAAAPAAAAZHJzL2Rvd25yZXYueG1sRI9Ba8JA&#10;FITvBf/D8gRvdWMpIqmrFLFUocEaC14f2WeSmn0bdleT+uu7BaHHYWa+YebL3jTiSs7XlhVMxgkI&#10;4sLqmksFX4e3xxkIH5A1NpZJwQ95WC4GD3NMte14T9c8lCJC2KeooAqhTaX0RUUG/di2xNE7WWcw&#10;ROlKqR12EW4a+ZQkU2mw5rhQYUuriopzfjEKjl3+7nbb7fdnu8luu1uefdA6U2o07F9fQATqw3/4&#10;3t5oBdNn+PsSf4Bc/AIAAP//AwBQSwECLQAUAAYACAAAACEA2+H2y+4AAACFAQAAEwAAAAAAAAAA&#10;AAAAAAAAAAAAW0NvbnRlbnRfVHlwZXNdLnhtbFBLAQItABQABgAIAAAAIQBa9CxbvwAAABUBAAAL&#10;AAAAAAAAAAAAAAAAAB8BAABfcmVscy8ucmVsc1BLAQItABQABgAIAAAAIQD861oExQAAANsAAAAP&#10;AAAAAAAAAAAAAAAAAAcCAABkcnMvZG93bnJldi54bWxQSwUGAAAAAAMAAwC3AAAA+QIAAAAA&#10;" fillcolor="window" stroked="f" strokeweight=".5pt">
                          <v:textbox>
                            <w:txbxContent>
                              <w:p w:rsidR="00C20C0F" w:rsidRPr="00FF5808" w:rsidRDefault="00C20C0F" w:rsidP="00C932A6">
                                <w:pPr>
                                  <w:jc w:val="center"/>
                                  <w:rPr>
                                    <w:sz w:val="18"/>
                                  </w:rPr>
                                </w:pPr>
                                <w:r w:rsidRPr="00FF5808">
                                  <w:rPr>
                                    <w:sz w:val="18"/>
                                  </w:rPr>
                                  <w:t>Serie Química</w:t>
                                </w:r>
                              </w:p>
                            </w:txbxContent>
                          </v:textbox>
                        </v:shape>
                        <v:shape id="28 Conector recto de flecha" o:spid="_x0000_s1285" type="#_x0000_t32" style="position:absolute;left:15700;top:1380;width:49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OOYxgAAANsAAAAPAAAAZHJzL2Rvd25yZXYueG1sRI9BSwMx&#10;FITvgv8hPMGbza5gabdNS9FWBC+67aHHx+Z1s93Ny5qk7eqvN0LB4zAz3zDz5WA7cSYfGscK8lEG&#10;grhyuuFawW67eZiACBFZY+eYFHxTgOXi9maOhXYX/qRzGWuRIBwKVGBi7AspQ2XIYhi5njh5B+ct&#10;xiR9LbXHS4LbTj5m2VhabDgtGOzp2VDVlierwLevefnzvl9/1NiaU37YTl++jkrd3w2rGYhIQ/wP&#10;X9tvWsH4Cf6+pB8gF78AAAD//wMAUEsBAi0AFAAGAAgAAAAhANvh9svuAAAAhQEAABMAAAAAAAAA&#10;AAAAAAAAAAAAAFtDb250ZW50X1R5cGVzXS54bWxQSwECLQAUAAYACAAAACEAWvQsW78AAAAVAQAA&#10;CwAAAAAAAAAAAAAAAAAfAQAAX3JlbHMvLnJlbHNQSwECLQAUAAYACAAAACEAMtTjmMYAAADbAAAA&#10;DwAAAAAAAAAAAAAAAAAHAgAAZHJzL2Rvd25yZXYueG1sUEsFBgAAAAADAAMAtwAAAPoCAAAAAA==&#10;" stroked="f" strokeweight=".5pt">
                          <v:stroke endarrow="open" joinstyle="miter"/>
                        </v:shape>
                      </v:group>
                      <v:group id="29 Grupo" o:spid="_x0000_s1286" style="position:absolute;left:2417;top:6964;width:13184;height:4137" coordorigin="3207,-28" coordsize="17490,5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30 Cuadro de texto" o:spid="_x0000_s1287" type="#_x0000_t202" style="position:absolute;left:3207;top:-28;width:12061;height:5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cRzxQAAANsAAAAPAAAAZHJzL2Rvd25yZXYueG1sRI9Ba8JA&#10;FITvhf6H5RV6q5v2oBJdRaSlCg3WKHh9ZJ9JNPs27G5N9Nd3C0KPw8x8w0znvWnEhZyvLSt4HSQg&#10;iAuray4V7HcfL2MQPiBrbCyTgit5mM8eH6aYatvxli55KEWEsE9RQRVCm0rpi4oM+oFtiaN3tM5g&#10;iNKVUjvsItw08i1JhtJgzXGhwpaWFRXn/McoOHT5p9us16fvdpXdNrc8+6L3TKnnp34xARGoD//h&#10;e3ulFQxH8Pcl/gA5+wUAAP//AwBQSwECLQAUAAYACAAAACEA2+H2y+4AAACFAQAAEwAAAAAAAAAA&#10;AAAAAAAAAAAAW0NvbnRlbnRfVHlwZXNdLnhtbFBLAQItABQABgAIAAAAIQBa9CxbvwAAABUBAAAL&#10;AAAAAAAAAAAAAAAAAB8BAABfcmVscy8ucmVsc1BLAQItABQABgAIAAAAIQAMOcRzxQAAANsAAAAP&#10;AAAAAAAAAAAAAAAAAAcCAABkcnMvZG93bnJldi54bWxQSwUGAAAAAAMAAwC3AAAA+QIAAAAA&#10;" fillcolor="window" stroked="f" strokeweight=".5pt">
                          <v:textbox>
                            <w:txbxContent>
                              <w:p w:rsidR="00C20C0F" w:rsidRPr="00FF5808" w:rsidRDefault="00C20C0F" w:rsidP="00C932A6">
                                <w:pPr>
                                  <w:jc w:val="center"/>
                                  <w:rPr>
                                    <w:sz w:val="18"/>
                                  </w:rPr>
                                </w:pPr>
                                <w:r w:rsidRPr="00FF5808">
                                  <w:rPr>
                                    <w:sz w:val="18"/>
                                  </w:rPr>
                                  <w:t>Descubridor</w:t>
                                </w:r>
                              </w:p>
                            </w:txbxContent>
                          </v:textbox>
                        </v:shape>
                        <v:shape id="31 Conector recto de flecha" o:spid="_x0000_s1288" type="#_x0000_t32" style="position:absolute;left:15700;top:1380;width:49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UwGwgAAANsAAAAPAAAAZHJzL2Rvd25yZXYueG1sRE89b8Iw&#10;EN0r8R+sQ2IrTjogmmJQBS2qxEJDh46n+IjTxOfUNpDy6/GA1PHpfS9Wg+3EmXxoHCvIpxkI4srp&#10;hmsFX4f3xzmIEJE1do5JwR8FWC1HDwsstLvwJ53LWIsUwqFABSbGvpAyVIYshqnriRN3dN5iTNDX&#10;Unu8pHDbyacsm0mLDacGgz2tDVVtebIKfLvNy+vu+21fY2tO+fHwvPn9UWoyHl5fQEQa4r/47v7Q&#10;CmZpbPqSfoBc3gAAAP//AwBQSwECLQAUAAYACAAAACEA2+H2y+4AAACFAQAAEwAAAAAAAAAAAAAA&#10;AAAAAAAAW0NvbnRlbnRfVHlwZXNdLnhtbFBLAQItABQABgAIAAAAIQBa9CxbvwAAABUBAAALAAAA&#10;AAAAAAAAAAAAAB8BAABfcmVscy8ucmVsc1BLAQItABQABgAIAAAAIQDc1UwGwgAAANsAAAAPAAAA&#10;AAAAAAAAAAAAAAcCAABkcnMvZG93bnJldi54bWxQSwUGAAAAAAMAAwC3AAAA9gIAAAAA&#10;" stroked="f" strokeweight=".5pt">
                          <v:stroke endarrow="open" joinstyle="miter"/>
                        </v:shape>
                      </v:group>
                    </v:group>
                    <v:group id="38 Grupo" o:spid="_x0000_s1289" style="position:absolute;left:25620;top:17768;width:24035;height:9497" coordorigin=",-261" coordsize="24035,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group id="23 Grupo" o:spid="_x0000_s1290" style="position:absolute;top:-261;width:15533;height:3104" coordorigin=",-306" coordsize="15535,3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24 Conector recto de flecha" o:spid="_x0000_s1291" type="#_x0000_t32" style="position:absolute;top:1466;width:87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I21wgAAANsAAAAPAAAAZHJzL2Rvd25yZXYueG1sRI/NaoNA&#10;FIX3hb7DcAvZ1dEEYrWZSJsQyDLGbrq7OLcqde6IMzHm7TOFQpaH8/NxNsVsejHR6DrLCpIoBkFc&#10;W91xo+CrOry+gXAeWWNvmRTcyEGxfX7aYK7tlUuazr4RYYRdjgpa74dcSle3ZNBFdiAO3o8dDfog&#10;x0bqEa9h3PRyGcdrabDjQGhxoF1L9e/5YgLXpvI0ZVW5GrK0d99lFX+u9kotXuaPdxCeZv8I/7eP&#10;WkGawN+X8APk9g4AAP//AwBQSwECLQAUAAYACAAAACEA2+H2y+4AAACFAQAAEwAAAAAAAAAAAAAA&#10;AAAAAAAAW0NvbnRlbnRfVHlwZXNdLnhtbFBLAQItABQABgAIAAAAIQBa9CxbvwAAABUBAAALAAAA&#10;AAAAAAAAAAAAAB8BAABfcmVscy8ucmVsc1BLAQItABQABgAIAAAAIQCC0I21wgAAANsAAAAPAAAA&#10;AAAAAAAAAAAAAAcCAABkcnMvZG93bnJldi54bWxQSwUGAAAAAAMAAwC3AAAA9gIAAAAA&#10;" stroked="f" strokeweight=".5pt">
                          <v:stroke endarrow="open" joinstyle="miter"/>
                        </v:shape>
                        <v:shape id="25 Cuadro de texto" o:spid="_x0000_s1292" type="#_x0000_t202" style="position:absolute;left:7765;top:-306;width:7770;height:3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E2xQAAANsAAAAPAAAAZHJzL2Rvd25yZXYueG1sRI9Ba8JA&#10;FITvhf6H5RV6q5t6qBJdRaSlCg3WKHh9ZJ9JNPs27G5N9Nd3C0KPw8x8w0znvWnEhZyvLSt4HSQg&#10;iAuray4V7HcfL2MQPiBrbCyTgit5mM8eH6aYatvxli55KEWEsE9RQRVCm0rpi4oM+oFtiaN3tM5g&#10;iNKVUjvsItw0cpgkb9JgzXGhwpaWFRXn/McoOHT5p9us16fvdpXdNrc8+6L3TKnnp34xARGoD//h&#10;e3ulFYyG8Pcl/gA5+wUAAP//AwBQSwECLQAUAAYACAAAACEA2+H2y+4AAACFAQAAEwAAAAAAAAAA&#10;AAAAAAAAAAAAW0NvbnRlbnRfVHlwZXNdLnhtbFBLAQItABQABgAIAAAAIQBa9CxbvwAAABUBAAAL&#10;AAAAAAAAAAAAAAAAAB8BAABfcmVscy8ucmVsc1BLAQItABQABgAIAAAAIQCZl/E2xQAAANsAAAAP&#10;AAAAAAAAAAAAAAAAAAcCAABkcnMvZG93bnJldi54bWxQSwUGAAAAAAMAAwC3AAAA+QIAAAAA&#10;" fillcolor="window" stroked="f" strokeweight=".5pt">
                          <v:textbox>
                            <w:txbxContent>
                              <w:p w:rsidR="00C20C0F" w:rsidRPr="00FF5808" w:rsidRDefault="00C20C0F" w:rsidP="00C932A6">
                                <w:pPr>
                                  <w:jc w:val="center"/>
                                  <w:rPr>
                                    <w:sz w:val="18"/>
                                  </w:rPr>
                                </w:pPr>
                                <w:r w:rsidRPr="00FF5808">
                                  <w:rPr>
                                    <w:sz w:val="18"/>
                                  </w:rPr>
                                  <w:t>Masa</w:t>
                                </w:r>
                              </w:p>
                            </w:txbxContent>
                          </v:textbox>
                        </v:shape>
                      </v:group>
                      <v:group id="32 Grupo" o:spid="_x0000_s1293" style="position:absolute;left:1466;top:6220;width:22569;height:3016" coordorigin=",-335" coordsize="2257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33 Conector recto de flecha" o:spid="_x0000_s1294" type="#_x0000_t32" style="position:absolute;top:1466;width:87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y4twgAAANsAAAAPAAAAZHJzL2Rvd25yZXYueG1sRI9Li8Iw&#10;FIX3gv8hXMGdpj6YjtUoPhBmObWzcXdprm2xuSlNrJ1/PxkQXB7O4+Nsdr2pRUetqywrmE0jEMS5&#10;1RUXCn6y8+QThPPIGmvLpOCXHOy2w8EGE22fnFJ38YUII+wSVFB63yRSurwkg25qG+Lg3Wxr0AfZ&#10;FlK3+AzjppbzKPqQBisOhBIbOpaU3y8PE7g2lt/dKksXzSqu3TXNosPipNR41O/XIDz1/h1+tb+0&#10;gngJ/1/CD5DbPwAAAP//AwBQSwECLQAUAAYACAAAACEA2+H2y+4AAACFAQAAEwAAAAAAAAAAAAAA&#10;AAAAAAAAW0NvbnRlbnRfVHlwZXNdLnhtbFBLAQItABQABgAIAAAAIQBa9CxbvwAAABUBAAALAAAA&#10;AAAAAAAAAAAAAB8BAABfcmVscy8ucmVsc1BLAQItABQABgAIAAAAIQCSpy4twgAAANsAAAAPAAAA&#10;AAAAAAAAAAAAAAcCAABkcnMvZG93bnJldi54bWxQSwUGAAAAAAMAAwC3AAAA9gIAAAAA&#10;" stroked="f" strokeweight=".5pt">
                          <v:stroke endarrow="open" joinstyle="miter"/>
                        </v:shape>
                        <v:shape id="34 Cuadro de texto" o:spid="_x0000_s1295" type="#_x0000_t202" style="position:absolute;left:8161;top:-335;width:14410;height:3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mlCxgAAANsAAAAPAAAAZHJzL2Rvd25yZXYueG1sRI9Ba8JA&#10;FITvQv/D8gre6qYFW4muUkpFhQZrFLw+ss8kNvs27G5N6q/vFgoeh5n5hpktetOICzlfW1bwOEpA&#10;EBdW11wqOOyXDxMQPiBrbCyTgh/ysJjfDWaYatvxji55KEWEsE9RQRVCm0rpi4oM+pFtiaN3ss5g&#10;iNKVUjvsItw08ilJnqXBmuNChS29VVR85d9GwbHLV2672Zw/23V23V7z7IPeM6WG9/3rFESgPtzC&#10;/+21VvAyhr8v8QfI+S8AAAD//wMAUEsBAi0AFAAGAAgAAAAhANvh9svuAAAAhQEAABMAAAAAAAAA&#10;AAAAAAAAAAAAAFtDb250ZW50X1R5cGVzXS54bWxQSwECLQAUAAYACAAAACEAWvQsW78AAAAVAQAA&#10;CwAAAAAAAAAAAAAAAAAfAQAAX3JlbHMvLnJlbHNQSwECLQAUAAYACAAAACEAFn5pQsYAAADbAAAA&#10;DwAAAAAAAAAAAAAAAAAHAgAAZHJzL2Rvd25yZXYueG1sUEsFBgAAAAADAAMAtwAAAPoCAAAAAA==&#10;" fillcolor="window" stroked="f" strokeweight=".5pt">
                          <v:textbox>
                            <w:txbxContent>
                              <w:p w:rsidR="00C20C0F" w:rsidRPr="00FF5808" w:rsidRDefault="00C20C0F" w:rsidP="00C932A6">
                                <w:pPr>
                                  <w:jc w:val="center"/>
                                  <w:rPr>
                                    <w:sz w:val="18"/>
                                  </w:rPr>
                                </w:pPr>
                                <w:r w:rsidRPr="00FF5808">
                                  <w:rPr>
                                    <w:sz w:val="18"/>
                                  </w:rPr>
                                  <w:t>Estado de oxidación.</w:t>
                                </w:r>
                              </w:p>
                            </w:txbxContent>
                          </v:textbox>
                        </v:shape>
                      </v:group>
                      <v:group id="35 Grupo" o:spid="_x0000_s1296" style="position:absolute;left:3364;top:1893;width:19309;height:3709" coordorigin="-4658,-1120" coordsize="19311,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36 Conector recto de flecha" o:spid="_x0000_s1297" type="#_x0000_t32" style="position:absolute;left:-4658;top:1466;width:134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bBawQAAANsAAAAPAAAAZHJzL2Rvd25yZXYueG1sRI9Li8Iw&#10;FIX3gv8hXMGdpqMw1Y5RfCDMctq6cXdp7rRlmpvSxFr/vRGEWR7O4+NsdoNpRE+dqy0r+JhHIIgL&#10;q2suFVzy82wFwnlkjY1lUvAgB7vteLTBRNs7p9RnvhRhhF2CCirv20RKV1Rk0M1tSxy8X9sZ9EF2&#10;pdQd3sO4aeQiij6lwZoDocKWjhUVf9nNBK6N5U+/ztNlu44bd03z6LA8KTWdDPsvEJ4G/x9+t7+1&#10;gjiG15fwA+T2CQAA//8DAFBLAQItABQABgAIAAAAIQDb4fbL7gAAAIUBAAATAAAAAAAAAAAAAAAA&#10;AAAAAABbQ29udGVudF9UeXBlc10ueG1sUEsBAi0AFAAGAAgAAAAhAFr0LFu/AAAAFQEAAAsAAAAA&#10;AAAAAAAAAAAAHwEAAF9yZWxzLy5yZWxzUEsBAi0AFAAGAAgAAAAhAGJ1sFrBAAAA2wAAAA8AAAAA&#10;AAAAAAAAAAAABwIAAGRycy9kb3ducmV2LnhtbFBLBQYAAAAAAwADALcAAAD1AgAAAAA=&#10;" stroked="f" strokeweight=".5pt">
                          <v:stroke endarrow="open" joinstyle="miter"/>
                        </v:shape>
                        <v:shape id="37 Cuadro de texto" o:spid="_x0000_s1298" type="#_x0000_t202" style="position:absolute;left:7924;top:-1120;width:6728;height:4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8bcwgAAANsAAAAPAAAAZHJzL2Rvd25yZXYueG1sRE/Pa8Iw&#10;FL4P9j+EN9jNpvMwR2cUGRsqWNRO8Pponm235qUk0Vb/+uUg7Pjx/Z7OB9OKCznfWFbwkqQgiEur&#10;G64UHL6/Rm8gfEDW2FomBVfyMJ89Pkwx07bnPV2KUIkYwj5DBXUIXSalL2sy6BPbEUfuZJ3BEKGr&#10;pHbYx3DTynGavkqDDceGGjv6qKn8Lc5GwbEvlm67Xv/sulV+296KfEOfuVLPT8PiHUSgIfyL7+6V&#10;VjCJY+OX+APk7A8AAP//AwBQSwECLQAUAAYACAAAACEA2+H2y+4AAACFAQAAEwAAAAAAAAAAAAAA&#10;AAAAAAAAW0NvbnRlbnRfVHlwZXNdLnhtbFBLAQItABQABgAIAAAAIQBa9CxbvwAAABUBAAALAAAA&#10;AAAAAAAAAAAAAB8BAABfcmVscy8ucmVsc1BLAQItABQABgAIAAAAIQD4f8bcwgAAANsAAAAPAAAA&#10;AAAAAAAAAAAAAAcCAABkcnMvZG93bnJldi54bWxQSwUGAAAAAAMAAwC3AAAA9gIAAAAA&#10;" fillcolor="window" stroked="f" strokeweight=".5pt">
                          <v:textbox>
                            <w:txbxContent>
                              <w:p w:rsidR="00C20C0F" w:rsidRPr="00874471" w:rsidRDefault="00C20C0F" w:rsidP="00C932A6">
                                <w:pPr>
                                  <w:jc w:val="center"/>
                                  <w:rPr>
                                    <w:sz w:val="20"/>
                                  </w:rPr>
                                </w:pPr>
                                <w:r>
                                  <w:rPr>
                                    <w:sz w:val="20"/>
                                  </w:rPr>
                                  <w:t>Bloque</w:t>
                                </w:r>
                              </w:p>
                            </w:txbxContent>
                          </v:textbox>
                        </v:shape>
                      </v:group>
                    </v:group>
                  </v:group>
                </v:group>
                <v:group id="51 Grupo" o:spid="_x0000_s1299" style="position:absolute;left:16735;top:3623;width:32864;height:22256" coordsize="32864,22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44 Conector recto de flecha" o:spid="_x0000_s1300" type="#_x0000_t32" style="position:absolute;left:1639;width:480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bByvgAAANsAAAAPAAAAZHJzL2Rvd25yZXYueG1sRE9Ni8Iw&#10;EL0L/ocwgjebquCWahQRBGUPYvXibWjGtthMShM1/ntzWNjj432vNsG04kW9aywrmCYpCOLS6oYr&#10;BdfLfpKBcB5ZY2uZFHzIwWY9HKww1/bNZ3oVvhIxhF2OCmrvu1xKV9Zk0CW2I47c3fYGfYR9JXWP&#10;7xhuWjlL04U02HBsqLGjXU3lo3gaBbdwL36zoz1haM7d9ucWDvMsKDUehe0ShKfg/8V/7oNWkMX1&#10;8Uv8AXL9BQAA//8DAFBLAQItABQABgAIAAAAIQDb4fbL7gAAAIUBAAATAAAAAAAAAAAAAAAAAAAA&#10;AABbQ29udGVudF9UeXBlc10ueG1sUEsBAi0AFAAGAAgAAAAhAFr0LFu/AAAAFQEAAAsAAAAAAAAA&#10;AAAAAAAAHwEAAF9yZWxzLy5yZWxzUEsBAi0AFAAGAAgAAAAhABIFsHK+AAAA2wAAAA8AAAAAAAAA&#10;AAAAAAAABwIAAGRycy9kb3ducmV2LnhtbFBLBQYAAAAAAwADALcAAADyAgAAAAA=&#10;" strokecolor="#4472c4" strokeweight=".5pt">
                    <v:stroke endarrow="open" joinstyle="miter"/>
                  </v:shape>
                  <v:shape id="45 Conector recto de flecha" o:spid="_x0000_s1301" type="#_x0000_t32" style="position:absolute;left:86;top:14147;width:480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RXpwgAAANsAAAAPAAAAZHJzL2Rvd25yZXYueG1sRI9Bi8Iw&#10;FITvwv6H8Bb2pqkKWrqmRQRB8SB29+Lt0Tzbss1LaaJm/70RBI/DzHzDrIpgOnGjwbWWFUwnCQji&#10;yuqWawW/P9txCsJ5ZI2dZVLwTw6K/GO0wkzbO5/oVvpaRAi7DBU03veZlK5qyKCb2J44ehc7GPRR&#10;DrXUA94j3HRyliQLabDluNBgT5uGqr/yahScw6U8pHt7xNCe+vXyHHbzNCj19RnW3yA8Bf8Ov9o7&#10;rSCdwvNL/AEyfwAAAP//AwBQSwECLQAUAAYACAAAACEA2+H2y+4AAACFAQAAEwAAAAAAAAAAAAAA&#10;AAAAAAAAW0NvbnRlbnRfVHlwZXNdLnhtbFBLAQItABQABgAIAAAAIQBa9CxbvwAAABUBAAALAAAA&#10;AAAAAAAAAAAAAB8BAABfcmVscy8ucmVsc1BLAQItABQABgAIAAAAIQB9SRXpwgAAANsAAAAPAAAA&#10;AAAAAAAAAAAAAAcCAABkcnMvZG93bnJldi54bWxQSwUGAAAAAAMAAwC3AAAA9gIAAAAA&#10;" strokecolor="#4472c4" strokeweight=".5pt">
                    <v:stroke endarrow="open" joinstyle="miter"/>
                  </v:shape>
                  <v:shape id="46 Conector recto de flecha" o:spid="_x0000_s1302" type="#_x0000_t32" style="position:absolute;left:86;top:16994;width:480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4uewgAAANsAAAAPAAAAZHJzL2Rvd25yZXYueG1sRI9Bi8Iw&#10;FITvgv8hPGFvmqqwW6ppEUFQPCxWL94ezbMtNi+liZr992ZhYY/DzHzDrItgOvGkwbWWFcxnCQji&#10;yuqWawWX826agnAeWWNnmRT8kIMiH4/WmGn74hM9S1+LCGGXoYLG+z6T0lUNGXQz2xNH72YHgz7K&#10;oZZ6wFeEm04ukuRTGmw5LjTY07ah6l4+jIJruJXH9GC/MbSnfvN1DftlGpT6mITNCoSn4P/Df+29&#10;VpAu4PdL/AEyfwMAAP//AwBQSwECLQAUAAYACAAAACEA2+H2y+4AAACFAQAAEwAAAAAAAAAAAAAA&#10;AAAAAAAAW0NvbnRlbnRfVHlwZXNdLnhtbFBLAQItABQABgAIAAAAIQBa9CxbvwAAABUBAAALAAAA&#10;AAAAAAAAAAAAAB8BAABfcmVscy8ucmVsc1BLAQItABQABgAIAAAAIQCNm4uewgAAANsAAAAPAAAA&#10;AAAAAAAAAAAAAAcCAABkcnMvZG93bnJldi54bWxQSwUGAAAAAAMAAwC3AAAA9gIAAAAA&#10;" strokecolor="#4472c4" strokeweight=".5pt">
                    <v:stroke endarrow="open" joinstyle="miter"/>
                  </v:shape>
                  <v:shape id="47 Conector recto de flecha" o:spid="_x0000_s1303" type="#_x0000_t32" style="position:absolute;top:21048;width:480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y4FwwAAANsAAAAPAAAAZHJzL2Rvd25yZXYueG1sRI9Ba8JA&#10;FITvgv9heYXedFMDNaSuIoJg8SBJe/H2yD6T0OzbkN0m23/vCgWPw8x8w2x2wXRipMG1lhW8LRMQ&#10;xJXVLdcKvr+OiwyE88gaO8uk4I8c7Lbz2QZzbScuaCx9LSKEXY4KGu/7XEpXNWTQLW1PHL2bHQz6&#10;KIda6gGnCDedXCXJuzTYclxosKdDQ9VP+WsUXMOtPGef9oKhLfr9+hpOaRaUen0J+w8QnoJ/hv/b&#10;J60gS+HxJf4Aub0DAAD//wMAUEsBAi0AFAAGAAgAAAAhANvh9svuAAAAhQEAABMAAAAAAAAAAAAA&#10;AAAAAAAAAFtDb250ZW50X1R5cGVzXS54bWxQSwECLQAUAAYACAAAACEAWvQsW78AAAAVAQAACwAA&#10;AAAAAAAAAAAAAAAfAQAAX3JlbHMvLnJlbHNQSwECLQAUAAYACAAAACEA4tcuBcMAAADbAAAADwAA&#10;AAAAAAAAAAAAAAAHAgAAZHJzL2Rvd25yZXYueG1sUEsFBgAAAAADAAMAtwAAAPcCAAAAAA==&#10;" strokecolor="#4472c4" strokeweight=".5pt">
                    <v:stroke endarrow="open" joinstyle="miter"/>
                  </v:shape>
                  <v:shape id="48 Conector recto de flecha" o:spid="_x0000_s1304" type="#_x0000_t32" style="position:absolute;left:15441;top:15700;width:102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3SxQAAANsAAAAPAAAAZHJzL2Rvd25yZXYueG1sRI/Na8JA&#10;FMTvQv+H5QnedOMHRaKrtIropfX70Nsj+0yC2bcxu8b0v3eFQo/DzPyGmc4bU4iaKpdbVtDvRSCI&#10;E6tzThWcjqvuGITzyBoLy6TglxzMZ2+tKcbaPnhP9cGnIkDYxagg876MpXRJRgZdz5bEwbvYyqAP&#10;skqlrvAR4KaQgyh6lwZzDgsZlrTIKLke7kbB93Jjh3JXu935+rX+WS+2t8/zRalOu/mYgPDU+P/w&#10;X3ujFYxH8PoSfoCcPQEAAP//AwBQSwECLQAUAAYACAAAACEA2+H2y+4AAACFAQAAEwAAAAAAAAAA&#10;AAAAAAAAAAAAW0NvbnRlbnRfVHlwZXNdLnhtbFBLAQItABQABgAIAAAAIQBa9CxbvwAAABUBAAAL&#10;AAAAAAAAAAAAAAAAAB8BAABfcmVscy8ucmVsc1BLAQItABQABgAIAAAAIQAdb+3SxQAAANsAAAAP&#10;AAAAAAAAAAAAAAAAAAcCAABkcnMvZG93bnJldi54bWxQSwUGAAAAAAMAAwC3AAAA+QIAAAAA&#10;" strokecolor="#4472c4" strokeweight=".5pt">
                    <v:stroke endarrow="open" joinstyle="miter"/>
                  </v:shape>
                  <v:shape id="49 Conector recto de flecha" o:spid="_x0000_s1305" type="#_x0000_t32" style="position:absolute;left:11473;top:18288;width:21391;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hPqwgAAANsAAAAPAAAAZHJzL2Rvd25yZXYueG1sRI9Bi8Iw&#10;FITvC/6H8ARva6qybqlGEUFQPCx2vfT2aJ5tsXkpTdT4783CgsdhZr5hlutgWnGn3jWWFUzGCQji&#10;0uqGKwXn391nCsJ5ZI2tZVLwJAfr1eBjiZm2Dz7RPfeViBB2GSqove8yKV1Zk0E3th1x9C62N+ij&#10;7Cupe3xEuGnlNEnm0mDDcaHGjrY1ldf8ZhQU4ZIf04P9wdCcus13EfazNCg1GobNAoSn4N/h//Ze&#10;K0i/4O9L/AFy9QIAAP//AwBQSwECLQAUAAYACAAAACEA2+H2y+4AAACFAQAAEwAAAAAAAAAAAAAA&#10;AAAAAAAAW0NvbnRlbnRfVHlwZXNdLnhtbFBLAQItABQABgAIAAAAIQBa9CxbvwAAABUBAAALAAAA&#10;AAAAAAAAAAAAAB8BAABfcmVscy8ucmVsc1BLAQItABQABgAIAAAAIQACchPqwgAAANsAAAAPAAAA&#10;AAAAAAAAAAAAAAcCAABkcnMvZG93bnJldi54bWxQSwUGAAAAAAMAAwC3AAAA9gIAAAAA&#10;" strokecolor="#4472c4" strokeweight=".5pt">
                    <v:stroke endarrow="open" joinstyle="miter"/>
                  </v:shape>
                  <v:shape id="50 Conector recto de flecha" o:spid="_x0000_s1306" type="#_x0000_t32" style="position:absolute;left:16821;top:22256;width:102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dY+xAAAANsAAAAPAAAAZHJzL2Rvd25yZXYueG1sRI9Pi8Iw&#10;FMTvwn6H8Ba8abouiFSjqMuiF9f/B2+P5tkWm5faxFq/vVkQPA4z8xtmNGlMIWqqXG5ZwVc3AkGc&#10;WJ1zquCw/+0MQDiPrLGwTAoe5GAy/miNMNb2zluqdz4VAcIuRgWZ92UspUsyMui6tiQO3tlWBn2Q&#10;VSp1hfcAN4XsRVFfGsw5LGRY0jyj5LK7GQV/P0v7LTe12xwvq8VpMV9fZ8ezUu3PZjoE4anx7/Cr&#10;vdQKBn34/xJ+gBw/AQAA//8DAFBLAQItABQABgAIAAAAIQDb4fbL7gAAAIUBAAATAAAAAAAAAAAA&#10;AAAAAAAAAABbQ29udGVudF9UeXBlc10ueG1sUEsBAi0AFAAGAAgAAAAhAFr0LFu/AAAAFQEAAAsA&#10;AAAAAAAAAAAAAAAAHwEAAF9yZWxzLy5yZWxzUEsBAi0AFAAGAAgAAAAhAILx1j7EAAAA2wAAAA8A&#10;AAAAAAAAAAAAAAAABwIAAGRycy9kb3ducmV2LnhtbFBLBQYAAAAAAwADALcAAAD4AgAAAAA=&#10;" strokecolor="#4472c4" strokeweight=".5pt">
                    <v:stroke endarrow="open" joinstyle="miter"/>
                  </v:shape>
                </v:group>
              </v:group>
            </w:pict>
          </mc:Fallback>
        </mc:AlternateContent>
      </w:r>
    </w:p>
    <w:p w:rsidR="00C932A6" w:rsidRPr="001D5FD9" w:rsidRDefault="00C932A6" w:rsidP="00C932A6">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379" w:name="_Toc50031426"/>
      <w:r w:rsidRPr="001D5FD9">
        <w:rPr>
          <w:rFonts w:ascii="Arial" w:hAnsi="Arial" w:cs="Arial"/>
          <w:caps/>
          <w:sz w:val="24"/>
          <w:szCs w:val="24"/>
        </w:rPr>
        <w:t xml:space="preserve">4. </w:t>
      </w:r>
      <w:r w:rsidRPr="001D5FD9">
        <w:rPr>
          <w:rFonts w:ascii="Arial" w:hAnsi="Arial" w:cs="Arial"/>
          <w:sz w:val="24"/>
          <w:szCs w:val="24"/>
        </w:rPr>
        <w:t>Resultados y discusión</w:t>
      </w:r>
      <w:bookmarkEnd w:id="379"/>
    </w:p>
    <w:p w:rsidR="00C932A6" w:rsidRDefault="00C932A6" w:rsidP="00C932A6">
      <w:pPr>
        <w:numPr>
          <w:ilvl w:val="0"/>
          <w:numId w:val="1"/>
        </w:numPr>
        <w:tabs>
          <w:tab w:val="clear" w:pos="432"/>
          <w:tab w:val="num" w:pos="0"/>
        </w:tabs>
        <w:suppressAutoHyphens/>
        <w:autoSpaceDE w:val="0"/>
        <w:autoSpaceDN w:val="0"/>
        <w:adjustRightInd w:val="0"/>
        <w:spacing w:after="0" w:line="240" w:lineRule="auto"/>
        <w:ind w:left="0" w:firstLine="0"/>
        <w:jc w:val="both"/>
        <w:rPr>
          <w:rFonts w:ascii="Arial" w:hAnsi="Arial" w:cs="Arial"/>
        </w:rPr>
      </w:pPr>
    </w:p>
    <w:p w:rsidR="00C932A6" w:rsidRPr="008D01A0" w:rsidRDefault="00C932A6" w:rsidP="00C932A6">
      <w:pPr>
        <w:numPr>
          <w:ilvl w:val="0"/>
          <w:numId w:val="1"/>
        </w:numPr>
        <w:tabs>
          <w:tab w:val="clear" w:pos="432"/>
          <w:tab w:val="num" w:pos="0"/>
        </w:tabs>
        <w:suppressAutoHyphens/>
        <w:spacing w:after="0" w:line="240" w:lineRule="auto"/>
        <w:ind w:left="0" w:firstLine="0"/>
        <w:jc w:val="both"/>
      </w:pPr>
      <w:r w:rsidRPr="008D01A0">
        <w:rPr>
          <w:rFonts w:ascii="Arial" w:hAnsi="Arial" w:cs="Arial"/>
          <w:szCs w:val="23"/>
        </w:rPr>
        <w:t xml:space="preserve">             Los objetivos planteados durante la realización de este material lúdico se cumplieron, ya que se obtuvo un producto tangible que apoyará en la enseñanza de la química en uea´s de laboratorio reforzando el conocimiento básico como lo es el estudio de los elementos que conforman la tabla periódica. El memorama permitirá conocer información relacionada con cada uno de los elementos que se han descubierto hasta la actualidad y reforzará aquellos que ya hayan sido adquiridos en cursos anteriores.</w:t>
      </w:r>
    </w:p>
    <w:p w:rsidR="00C932A6" w:rsidRDefault="00C932A6" w:rsidP="00C932A6">
      <w:pPr>
        <w:jc w:val="both"/>
        <w:rPr>
          <w:rFonts w:ascii="Arial" w:hAnsi="Arial" w:cs="Arial"/>
          <w:szCs w:val="23"/>
        </w:rPr>
      </w:pPr>
    </w:p>
    <w:p w:rsidR="00C932A6" w:rsidRDefault="00C932A6" w:rsidP="00C932A6">
      <w:pPr>
        <w:jc w:val="both"/>
        <w:rPr>
          <w:rFonts w:ascii="Arial" w:hAnsi="Arial" w:cs="Arial"/>
          <w:szCs w:val="23"/>
        </w:rPr>
      </w:pPr>
      <w:r w:rsidRPr="005C3309">
        <w:rPr>
          <w:rFonts w:ascii="Arial" w:hAnsi="Arial" w:cs="Arial"/>
          <w:szCs w:val="23"/>
        </w:rPr>
        <w:t xml:space="preserve">Por otra parte, el uso de dicho material didáctico permite al alumno y al docente organizar las acciones de tal forma que logren sus metas previstas de la manera más sencilla posible, facilitando así el </w:t>
      </w:r>
      <w:r w:rsidRPr="005C3309">
        <w:rPr>
          <w:rFonts w:ascii="Arial" w:hAnsi="Arial" w:cs="Arial"/>
          <w:szCs w:val="23"/>
        </w:rPr>
        <w:lastRenderedPageBreak/>
        <w:t>proceso de enseñanza-aprendizaje con el objetivo de que el alumno adquiera los conocimientos y los ponga en práctica.</w:t>
      </w:r>
    </w:p>
    <w:p w:rsidR="00C932A6" w:rsidRDefault="00C932A6" w:rsidP="00C932A6">
      <w:pPr>
        <w:jc w:val="both"/>
        <w:rPr>
          <w:rFonts w:ascii="Arial" w:hAnsi="Arial" w:cs="Arial"/>
          <w:szCs w:val="23"/>
        </w:rPr>
      </w:pPr>
    </w:p>
    <w:p w:rsidR="00C932A6" w:rsidRDefault="00C932A6" w:rsidP="00C932A6">
      <w:pPr>
        <w:jc w:val="both"/>
        <w:rPr>
          <w:rFonts w:ascii="Arial" w:hAnsi="Arial" w:cs="Arial"/>
          <w:szCs w:val="23"/>
        </w:rPr>
      </w:pPr>
      <w:r w:rsidRPr="005C3309">
        <w:rPr>
          <w:rFonts w:ascii="Arial" w:hAnsi="Arial" w:cs="Arial"/>
          <w:szCs w:val="23"/>
        </w:rPr>
        <w:t>La meta planteada inicialmente pudo ser alcanzada elabora</w:t>
      </w:r>
      <w:r>
        <w:rPr>
          <w:rFonts w:ascii="Arial" w:hAnsi="Arial" w:cs="Arial"/>
          <w:szCs w:val="23"/>
        </w:rPr>
        <w:t xml:space="preserve">ndo un juego didáctico “memorama”, </w:t>
      </w:r>
      <w:r w:rsidRPr="005C3309">
        <w:rPr>
          <w:rFonts w:ascii="Arial" w:hAnsi="Arial" w:cs="Arial"/>
          <w:szCs w:val="23"/>
        </w:rPr>
        <w:t xml:space="preserve"> herramienta que a futuro podrá ser utilizada y servirá como apoyo para que los profesores hagan uso de ella en materias que tengan asignadas cada trimestre, sobre todo en aquellas en las que involucre la participación activa de los estudiantes, que con frecuencia se requiere en cursos experimentales, y desde el enfoque del alumno, que aproveche dicho material para reforzar conocimientos adquiridos previamente y complementar con nueva información desconocida, esto hace del proceso enseñanza-aprendizaje algo divertido, atractivo y motivador, fomenta el aprendizaje cooperativo, y ayuda a los alumnos con dificultades a integrarse en el grupo.</w:t>
      </w:r>
    </w:p>
    <w:p w:rsidR="00C932A6" w:rsidRDefault="00C932A6" w:rsidP="00C932A6">
      <w:pPr>
        <w:jc w:val="both"/>
        <w:rPr>
          <w:rFonts w:ascii="Arial" w:hAnsi="Arial" w:cs="Arial"/>
          <w:szCs w:val="23"/>
        </w:rPr>
      </w:pPr>
    </w:p>
    <w:p w:rsidR="00C932A6" w:rsidRPr="008D01A0" w:rsidRDefault="00C932A6" w:rsidP="00C932A6">
      <w:pPr>
        <w:jc w:val="both"/>
        <w:rPr>
          <w:rFonts w:ascii="Arial" w:hAnsi="Arial" w:cs="Arial"/>
          <w:szCs w:val="23"/>
        </w:rPr>
      </w:pPr>
      <w:r w:rsidRPr="005C3309">
        <w:rPr>
          <w:rFonts w:ascii="Arial" w:hAnsi="Arial" w:cs="Arial"/>
        </w:rPr>
        <w:t>Los resultados obtenido</w:t>
      </w:r>
      <w:r>
        <w:rPr>
          <w:rFonts w:ascii="Arial" w:hAnsi="Arial" w:cs="Arial"/>
        </w:rPr>
        <w:t>s al término este trabajo</w:t>
      </w:r>
      <w:r w:rsidRPr="005C3309">
        <w:rPr>
          <w:rFonts w:ascii="Arial" w:hAnsi="Arial" w:cs="Arial"/>
        </w:rPr>
        <w:t xml:space="preserve"> fue</w:t>
      </w:r>
      <w:r>
        <w:rPr>
          <w:rFonts w:ascii="Arial" w:hAnsi="Arial" w:cs="Arial"/>
        </w:rPr>
        <w:t>ron</w:t>
      </w:r>
      <w:r w:rsidRPr="005C3309">
        <w:rPr>
          <w:rFonts w:ascii="Arial" w:hAnsi="Arial" w:cs="Arial"/>
        </w:rPr>
        <w:t xml:space="preserve"> sumamente favorables,</w:t>
      </w:r>
      <w:r>
        <w:rPr>
          <w:rFonts w:ascii="Arial" w:hAnsi="Arial" w:cs="Arial"/>
        </w:rPr>
        <w:t xml:space="preserve"> ya que la obtención del memoram</w:t>
      </w:r>
      <w:r w:rsidRPr="005C3309">
        <w:rPr>
          <w:rFonts w:ascii="Arial" w:hAnsi="Arial" w:cs="Arial"/>
        </w:rPr>
        <w:t>a traerá como resultado, un mayor interés por parte de los alumnos.</w:t>
      </w:r>
    </w:p>
    <w:p w:rsidR="00C932A6" w:rsidRPr="00FA5EA4" w:rsidRDefault="00C932A6" w:rsidP="00C932A6">
      <w:pPr>
        <w:pStyle w:val="Textoindependiente"/>
        <w:jc w:val="both"/>
        <w:rPr>
          <w:rFonts w:ascii="Arial" w:hAnsi="Arial" w:cs="Arial"/>
          <w:b w:val="0"/>
          <w:sz w:val="24"/>
        </w:rPr>
      </w:pPr>
    </w:p>
    <w:p w:rsidR="00C932A6" w:rsidRDefault="00C932A6" w:rsidP="00C932A6">
      <w:pPr>
        <w:pStyle w:val="Textoindependiente"/>
        <w:ind w:firstLine="539"/>
        <w:rPr>
          <w:rFonts w:ascii="Arial" w:hAnsi="Arial" w:cs="Arial"/>
          <w:sz w:val="24"/>
        </w:rPr>
      </w:pPr>
    </w:p>
    <w:p w:rsidR="00C932A6" w:rsidRPr="001D5FD9" w:rsidRDefault="00C932A6" w:rsidP="00C932A6">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380" w:name="_Toc50031427"/>
      <w:r w:rsidRPr="001D5FD9">
        <w:rPr>
          <w:rFonts w:ascii="Arial" w:hAnsi="Arial" w:cs="Arial"/>
          <w:caps/>
          <w:sz w:val="24"/>
          <w:szCs w:val="24"/>
        </w:rPr>
        <w:t xml:space="preserve">5. </w:t>
      </w:r>
      <w:r w:rsidRPr="001D5FD9">
        <w:rPr>
          <w:rFonts w:ascii="Arial" w:hAnsi="Arial" w:cs="Arial"/>
          <w:sz w:val="24"/>
          <w:szCs w:val="24"/>
        </w:rPr>
        <w:t>Conclusiones</w:t>
      </w:r>
      <w:bookmarkEnd w:id="380"/>
    </w:p>
    <w:p w:rsidR="00C932A6" w:rsidRPr="008D01A0" w:rsidRDefault="00C932A6" w:rsidP="00C932A6"/>
    <w:p w:rsidR="00C932A6" w:rsidRDefault="00C932A6" w:rsidP="00C932A6">
      <w:pPr>
        <w:autoSpaceDE w:val="0"/>
        <w:autoSpaceDN w:val="0"/>
        <w:adjustRightInd w:val="0"/>
        <w:jc w:val="both"/>
        <w:rPr>
          <w:rFonts w:ascii="Arial" w:hAnsi="Arial" w:cs="Arial"/>
          <w:color w:val="000000"/>
        </w:rPr>
      </w:pPr>
      <w:r w:rsidRPr="00F30872">
        <w:rPr>
          <w:rFonts w:ascii="Arial" w:hAnsi="Arial" w:cs="Arial"/>
          <w:color w:val="000000"/>
        </w:rPr>
        <w:t>Est</w:t>
      </w:r>
      <w:r>
        <w:rPr>
          <w:rFonts w:ascii="Arial" w:hAnsi="Arial" w:cs="Arial"/>
          <w:color w:val="000000"/>
        </w:rPr>
        <w:t>e material didáctico, facilitará</w:t>
      </w:r>
      <w:r w:rsidRPr="00F30872">
        <w:rPr>
          <w:rFonts w:ascii="Arial" w:hAnsi="Arial" w:cs="Arial"/>
          <w:color w:val="000000"/>
        </w:rPr>
        <w:t xml:space="preserve"> la enseñanza de la tabla periódica, de una manera muy divertida y a la vez muy sencilla, el cual se pondrá en práctica en las clases de química y sus l</w:t>
      </w:r>
      <w:r>
        <w:rPr>
          <w:rFonts w:ascii="Arial" w:hAnsi="Arial" w:cs="Arial"/>
          <w:color w:val="000000"/>
        </w:rPr>
        <w:t>aboratorios.</w:t>
      </w:r>
    </w:p>
    <w:p w:rsidR="00C932A6" w:rsidRDefault="00C932A6" w:rsidP="00C932A6">
      <w:pPr>
        <w:autoSpaceDE w:val="0"/>
        <w:autoSpaceDN w:val="0"/>
        <w:adjustRightInd w:val="0"/>
        <w:jc w:val="both"/>
        <w:rPr>
          <w:rFonts w:ascii="Arial" w:hAnsi="Arial" w:cs="Arial"/>
          <w:color w:val="000000"/>
        </w:rPr>
      </w:pPr>
    </w:p>
    <w:p w:rsidR="00C932A6" w:rsidRDefault="00C932A6" w:rsidP="00C932A6">
      <w:pPr>
        <w:autoSpaceDE w:val="0"/>
        <w:autoSpaceDN w:val="0"/>
        <w:adjustRightInd w:val="0"/>
        <w:jc w:val="both"/>
        <w:rPr>
          <w:rFonts w:ascii="Arial" w:hAnsi="Arial" w:cs="Arial"/>
        </w:rPr>
      </w:pPr>
      <w:r>
        <w:rPr>
          <w:rFonts w:ascii="Arial" w:hAnsi="Arial" w:cs="Arial"/>
        </w:rPr>
        <w:t>Esta</w:t>
      </w:r>
      <w:r w:rsidRPr="00F30872">
        <w:rPr>
          <w:rFonts w:ascii="Arial" w:hAnsi="Arial" w:cs="Arial"/>
        </w:rPr>
        <w:t xml:space="preserve"> herramienta de trabajo</w:t>
      </w:r>
      <w:r>
        <w:rPr>
          <w:rFonts w:ascii="Arial" w:hAnsi="Arial" w:cs="Arial"/>
        </w:rPr>
        <w:t xml:space="preserve"> se implementará</w:t>
      </w:r>
      <w:r w:rsidRPr="00F30872">
        <w:rPr>
          <w:rFonts w:ascii="Arial" w:hAnsi="Arial" w:cs="Arial"/>
        </w:rPr>
        <w:t xml:space="preserve"> </w:t>
      </w:r>
      <w:r>
        <w:rPr>
          <w:rFonts w:ascii="Arial" w:hAnsi="Arial" w:cs="Arial"/>
        </w:rPr>
        <w:t xml:space="preserve">como un </w:t>
      </w:r>
      <w:r w:rsidRPr="00F30872">
        <w:rPr>
          <w:rFonts w:ascii="Arial" w:hAnsi="Arial" w:cs="Arial"/>
        </w:rPr>
        <w:t xml:space="preserve"> </w:t>
      </w:r>
      <w:r>
        <w:rPr>
          <w:rFonts w:ascii="Arial" w:hAnsi="Arial" w:cs="Arial"/>
        </w:rPr>
        <w:t>juego</w:t>
      </w:r>
      <w:r w:rsidRPr="00F30872">
        <w:rPr>
          <w:rFonts w:ascii="Arial" w:hAnsi="Arial" w:cs="Arial"/>
        </w:rPr>
        <w:t xml:space="preserve"> </w:t>
      </w:r>
      <w:r>
        <w:rPr>
          <w:rFonts w:ascii="Arial" w:hAnsi="Arial" w:cs="Arial"/>
        </w:rPr>
        <w:t>didáctico en las asignaturas de química,</w:t>
      </w:r>
      <w:r w:rsidRPr="00F30872">
        <w:rPr>
          <w:rFonts w:ascii="Arial" w:hAnsi="Arial" w:cs="Arial"/>
        </w:rPr>
        <w:t xml:space="preserve"> para que el alumno tenga un mayor interés de aprender y sobre todo</w:t>
      </w:r>
      <w:r>
        <w:rPr>
          <w:rFonts w:ascii="Arial" w:hAnsi="Arial" w:cs="Arial"/>
        </w:rPr>
        <w:t>,</w:t>
      </w:r>
      <w:r w:rsidRPr="00F30872">
        <w:rPr>
          <w:rFonts w:ascii="Arial" w:hAnsi="Arial" w:cs="Arial"/>
        </w:rPr>
        <w:t xml:space="preserve"> se le facilite el aprendizaje de la tabla periódica de una manera sencilla y divertida.</w:t>
      </w:r>
      <w:r>
        <w:rPr>
          <w:rFonts w:ascii="Arial" w:hAnsi="Arial" w:cs="Arial"/>
        </w:rPr>
        <w:t xml:space="preserve"> Además del conocimiento adquirido, el alumno desarrollara actitudes importantes como la participación, el trabajo en equipo, la investigación de las propiedades de los elementos químicos, entre otras. </w:t>
      </w:r>
    </w:p>
    <w:p w:rsidR="00C932A6" w:rsidRDefault="00C932A6" w:rsidP="00C932A6">
      <w:pPr>
        <w:autoSpaceDE w:val="0"/>
        <w:autoSpaceDN w:val="0"/>
        <w:adjustRightInd w:val="0"/>
        <w:jc w:val="both"/>
        <w:rPr>
          <w:rFonts w:ascii="Arial" w:hAnsi="Arial" w:cs="Arial"/>
        </w:rPr>
      </w:pPr>
    </w:p>
    <w:p w:rsidR="00C932A6" w:rsidRPr="008D01A0" w:rsidRDefault="00C932A6" w:rsidP="00C932A6">
      <w:pPr>
        <w:autoSpaceDE w:val="0"/>
        <w:autoSpaceDN w:val="0"/>
        <w:adjustRightInd w:val="0"/>
        <w:jc w:val="both"/>
        <w:rPr>
          <w:rFonts w:ascii="Arial" w:hAnsi="Arial" w:cs="Arial"/>
        </w:rPr>
      </w:pPr>
      <w:r w:rsidRPr="00F30872">
        <w:rPr>
          <w:rFonts w:ascii="Arial" w:hAnsi="Arial" w:cs="Arial"/>
        </w:rPr>
        <w:t xml:space="preserve">La recomendación </w:t>
      </w:r>
      <w:r>
        <w:rPr>
          <w:rFonts w:ascii="Arial" w:hAnsi="Arial" w:cs="Arial"/>
        </w:rPr>
        <w:t xml:space="preserve">desde el punto de vista pedagógico, acerca de la utilización del </w:t>
      </w:r>
      <w:r w:rsidRPr="00F30872">
        <w:rPr>
          <w:rFonts w:ascii="Arial" w:hAnsi="Arial" w:cs="Arial"/>
        </w:rPr>
        <w:t xml:space="preserve">material </w:t>
      </w:r>
      <w:r>
        <w:rPr>
          <w:rFonts w:ascii="Arial" w:hAnsi="Arial" w:cs="Arial"/>
        </w:rPr>
        <w:t xml:space="preserve">didáctico </w:t>
      </w:r>
      <w:r w:rsidRPr="00F30872">
        <w:rPr>
          <w:rFonts w:ascii="Arial" w:hAnsi="Arial" w:cs="Arial"/>
        </w:rPr>
        <w:t>que</w:t>
      </w:r>
      <w:r>
        <w:rPr>
          <w:rFonts w:ascii="Arial" w:hAnsi="Arial" w:cs="Arial"/>
        </w:rPr>
        <w:t>, ontológicamente  ha sido pensado</w:t>
      </w:r>
      <w:r w:rsidRPr="00F30872">
        <w:rPr>
          <w:rFonts w:ascii="Arial" w:hAnsi="Arial" w:cs="Arial"/>
        </w:rPr>
        <w:t xml:space="preserve"> únicamente para la asignat</w:t>
      </w:r>
      <w:r>
        <w:rPr>
          <w:rFonts w:ascii="Arial" w:hAnsi="Arial" w:cs="Arial"/>
        </w:rPr>
        <w:t>ura de química y su laboratorio a nivel superior,</w:t>
      </w:r>
      <w:r w:rsidRPr="00F30872">
        <w:rPr>
          <w:rFonts w:ascii="Arial" w:hAnsi="Arial" w:cs="Arial"/>
        </w:rPr>
        <w:t xml:space="preserve"> </w:t>
      </w:r>
      <w:r>
        <w:rPr>
          <w:rFonts w:ascii="Arial" w:hAnsi="Arial" w:cs="Arial"/>
        </w:rPr>
        <w:t xml:space="preserve">sea utilizado en los tres niveles de educación </w:t>
      </w:r>
      <w:r w:rsidRPr="00F30872">
        <w:rPr>
          <w:rFonts w:ascii="Arial" w:hAnsi="Arial" w:cs="Arial"/>
        </w:rPr>
        <w:t xml:space="preserve">(educación básica, educación media y educación superior),  </w:t>
      </w:r>
      <w:r>
        <w:rPr>
          <w:rFonts w:ascii="Arial" w:hAnsi="Arial" w:cs="Arial"/>
        </w:rPr>
        <w:t>para que desde el inicio de su formación en esta ciencia, el conocimiento básico de esta materia lo tengan consolidado.</w:t>
      </w:r>
      <w:r w:rsidRPr="00FA5EA4">
        <w:rPr>
          <w:rFonts w:ascii="Arial" w:hAnsi="Arial" w:cs="Arial"/>
          <w:b/>
        </w:rPr>
        <w:t xml:space="preserve"> </w:t>
      </w:r>
    </w:p>
    <w:p w:rsidR="00C932A6" w:rsidRPr="00FA5EA4" w:rsidRDefault="00C932A6" w:rsidP="00C932A6">
      <w:pPr>
        <w:pStyle w:val="Textoindependiente"/>
        <w:ind w:firstLine="539"/>
        <w:rPr>
          <w:rFonts w:ascii="Arial" w:hAnsi="Arial" w:cs="Arial"/>
          <w:b w:val="0"/>
          <w:sz w:val="24"/>
        </w:rPr>
      </w:pPr>
    </w:p>
    <w:p w:rsidR="00C932A6" w:rsidRPr="001D5FD9" w:rsidRDefault="00C932A6" w:rsidP="00C932A6">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381" w:name="_Toc50031428"/>
      <w:r w:rsidRPr="001D5FD9">
        <w:rPr>
          <w:rFonts w:ascii="Arial" w:hAnsi="Arial" w:cs="Arial"/>
          <w:caps/>
          <w:sz w:val="24"/>
          <w:szCs w:val="24"/>
        </w:rPr>
        <w:lastRenderedPageBreak/>
        <w:t xml:space="preserve">6. </w:t>
      </w:r>
      <w:r w:rsidRPr="001D5FD9">
        <w:rPr>
          <w:rFonts w:ascii="Arial" w:hAnsi="Arial" w:cs="Arial"/>
          <w:sz w:val="24"/>
          <w:szCs w:val="24"/>
        </w:rPr>
        <w:t>Bibliografía</w:t>
      </w:r>
      <w:bookmarkEnd w:id="381"/>
    </w:p>
    <w:p w:rsidR="00C932A6" w:rsidRDefault="00C932A6" w:rsidP="00C932A6">
      <w:pPr>
        <w:tabs>
          <w:tab w:val="left" w:pos="0"/>
        </w:tabs>
        <w:jc w:val="both"/>
        <w:rPr>
          <w:rFonts w:ascii="Arial" w:hAnsi="Arial" w:cs="Arial"/>
        </w:rPr>
      </w:pPr>
    </w:p>
    <w:p w:rsidR="00C932A6" w:rsidRDefault="00C932A6" w:rsidP="00C932A6">
      <w:pPr>
        <w:numPr>
          <w:ilvl w:val="0"/>
          <w:numId w:val="7"/>
        </w:numPr>
        <w:tabs>
          <w:tab w:val="left" w:pos="750"/>
        </w:tabs>
        <w:suppressAutoHyphens/>
        <w:spacing w:after="0" w:line="240" w:lineRule="auto"/>
        <w:jc w:val="both"/>
        <w:rPr>
          <w:rFonts w:ascii="Arial" w:hAnsi="Arial" w:cs="Arial"/>
          <w:lang w:val="en-US"/>
        </w:rPr>
      </w:pPr>
      <w:r w:rsidRPr="008D01A0">
        <w:rPr>
          <w:rFonts w:ascii="Arial" w:hAnsi="Arial" w:cs="Arial"/>
          <w:color w:val="000000"/>
          <w:szCs w:val="23"/>
          <w:lang w:val="en-US"/>
        </w:rPr>
        <w:t xml:space="preserve">Chang, R.; College, W. Química 11° Edicion, Mc. Graw Hill. 2014. </w:t>
      </w:r>
    </w:p>
    <w:p w:rsidR="00C932A6" w:rsidRDefault="00C932A6" w:rsidP="00C932A6">
      <w:pPr>
        <w:numPr>
          <w:ilvl w:val="0"/>
          <w:numId w:val="7"/>
        </w:numPr>
        <w:tabs>
          <w:tab w:val="left" w:pos="750"/>
        </w:tabs>
        <w:suppressAutoHyphens/>
        <w:spacing w:after="0" w:line="240" w:lineRule="auto"/>
        <w:jc w:val="both"/>
        <w:rPr>
          <w:rFonts w:ascii="Arial" w:hAnsi="Arial" w:cs="Arial"/>
          <w:lang w:val="en-US"/>
        </w:rPr>
      </w:pPr>
      <w:r w:rsidRPr="008D01A0">
        <w:rPr>
          <w:rFonts w:ascii="Arial" w:hAnsi="Arial" w:cs="Arial"/>
          <w:color w:val="000000"/>
          <w:szCs w:val="23"/>
        </w:rPr>
        <w:t xml:space="preserve">Gray, T. Los elementos. Una exploración visual de todos los átomos que se conocen en el universo. Larousse. 2009. </w:t>
      </w:r>
    </w:p>
    <w:p w:rsidR="00C932A6" w:rsidRPr="004A01BB" w:rsidRDefault="00C932A6" w:rsidP="00C932A6">
      <w:pPr>
        <w:numPr>
          <w:ilvl w:val="0"/>
          <w:numId w:val="7"/>
        </w:numPr>
        <w:tabs>
          <w:tab w:val="left" w:pos="750"/>
        </w:tabs>
        <w:suppressAutoHyphens/>
        <w:spacing w:after="0" w:line="240" w:lineRule="auto"/>
        <w:jc w:val="both"/>
        <w:rPr>
          <w:rFonts w:ascii="Arial" w:hAnsi="Arial" w:cs="Arial"/>
          <w:lang w:val="es-MX"/>
        </w:rPr>
      </w:pPr>
      <w:r w:rsidRPr="008D01A0">
        <w:rPr>
          <w:rFonts w:ascii="Arial" w:hAnsi="Arial" w:cs="Arial"/>
          <w:color w:val="000000"/>
          <w:szCs w:val="23"/>
        </w:rPr>
        <w:t xml:space="preserve">Casa del libro. Tabla periódica de los elementos químicos. Hunes de México. SA de CV </w:t>
      </w:r>
    </w:p>
    <w:p w:rsidR="00CB0978" w:rsidRPr="004C44CE" w:rsidRDefault="00C932A6" w:rsidP="00C932A6">
      <w:pPr>
        <w:rPr>
          <w:lang w:val="es-MX"/>
        </w:rPr>
      </w:pPr>
      <w:r w:rsidRPr="008D01A0">
        <w:rPr>
          <w:rFonts w:ascii="Arial" w:hAnsi="Arial" w:cs="Arial"/>
          <w:color w:val="000000"/>
          <w:szCs w:val="23"/>
        </w:rPr>
        <w:t>Silberberg, M.S Química General. La naturaleza molecular del cambio y la materia. 2° Edición, Mc Graw Hill, 2000.</w:t>
      </w:r>
    </w:p>
    <w:p w:rsidR="00CB0978" w:rsidRPr="004C44CE" w:rsidRDefault="00CB0978" w:rsidP="0049551D">
      <w:pPr>
        <w:rPr>
          <w:lang w:val="es-MX"/>
        </w:rPr>
      </w:pPr>
    </w:p>
    <w:p w:rsidR="003F0296" w:rsidRPr="004C44CE" w:rsidRDefault="003F0296" w:rsidP="0049551D">
      <w:pPr>
        <w:rPr>
          <w:lang w:val="es-MX"/>
        </w:rPr>
      </w:pPr>
    </w:p>
    <w:p w:rsidR="004C44CE" w:rsidRPr="004C44CE" w:rsidRDefault="007F2707" w:rsidP="004C44CE">
      <w:pPr>
        <w:pStyle w:val="1Titulo"/>
        <w:numPr>
          <w:ilvl w:val="0"/>
          <w:numId w:val="0"/>
        </w:numPr>
        <w:ind w:left="357"/>
        <w:jc w:val="center"/>
        <w:rPr>
          <w:sz w:val="28"/>
          <w:szCs w:val="28"/>
        </w:rPr>
      </w:pPr>
      <w:bookmarkStart w:id="382" w:name="_Toc50031429"/>
      <w:r>
        <w:rPr>
          <w:sz w:val="28"/>
          <w:szCs w:val="28"/>
        </w:rPr>
        <w:t>T</w:t>
      </w:r>
      <w:r w:rsidR="004C44CE" w:rsidRPr="004C44CE">
        <w:rPr>
          <w:sz w:val="28"/>
          <w:szCs w:val="28"/>
        </w:rPr>
        <w:t>rabajo metodológico en el Año académico, forma básica de gestión de la educación en valores</w:t>
      </w:r>
      <w:bookmarkEnd w:id="382"/>
    </w:p>
    <w:p w:rsidR="004C44CE" w:rsidRDefault="004C44CE" w:rsidP="004C44CE">
      <w:pPr>
        <w:spacing w:after="0" w:line="240" w:lineRule="auto"/>
        <w:ind w:left="-284"/>
        <w:jc w:val="center"/>
        <w:rPr>
          <w:rFonts w:ascii="Arial" w:hAnsi="Arial" w:cs="Arial"/>
          <w:sz w:val="24"/>
          <w:szCs w:val="24"/>
        </w:rPr>
      </w:pPr>
    </w:p>
    <w:p w:rsidR="004C44CE" w:rsidRPr="00AE0965" w:rsidRDefault="004C44CE" w:rsidP="008A22C9">
      <w:pPr>
        <w:spacing w:after="0" w:line="240" w:lineRule="auto"/>
        <w:ind w:left="-284"/>
        <w:jc w:val="center"/>
        <w:rPr>
          <w:rFonts w:ascii="Arial" w:hAnsi="Arial" w:cs="Arial"/>
          <w:sz w:val="24"/>
          <w:szCs w:val="24"/>
        </w:rPr>
      </w:pPr>
      <w:r w:rsidRPr="00AE0965">
        <w:rPr>
          <w:rFonts w:ascii="Arial" w:hAnsi="Arial" w:cs="Arial"/>
          <w:sz w:val="24"/>
          <w:szCs w:val="24"/>
        </w:rPr>
        <w:t>Jaime-Mirabal, J.M.</w:t>
      </w:r>
      <w:r w:rsidRPr="00AE0965">
        <w:rPr>
          <w:rFonts w:ascii="Arial" w:hAnsi="Arial" w:cs="Arial"/>
          <w:sz w:val="24"/>
          <w:szCs w:val="24"/>
          <w:vertAlign w:val="superscript"/>
        </w:rPr>
        <w:t>1</w:t>
      </w:r>
      <w:r w:rsidRPr="00AE0965">
        <w:rPr>
          <w:rFonts w:ascii="Arial" w:hAnsi="Arial" w:cs="Arial"/>
          <w:sz w:val="24"/>
          <w:szCs w:val="24"/>
        </w:rPr>
        <w:t xml:space="preserve"> y </w:t>
      </w:r>
      <w:r w:rsidRPr="00AE0965">
        <w:rPr>
          <w:rFonts w:ascii="Arial" w:hAnsi="Arial" w:cs="Arial"/>
          <w:sz w:val="24"/>
          <w:szCs w:val="24"/>
          <w:u w:val="single"/>
        </w:rPr>
        <w:t>Ladino-Luna, D</w:t>
      </w:r>
      <w:r w:rsidRPr="00AE0965">
        <w:rPr>
          <w:rFonts w:ascii="Arial" w:hAnsi="Arial" w:cs="Arial"/>
          <w:sz w:val="24"/>
          <w:szCs w:val="24"/>
        </w:rPr>
        <w:t>.</w:t>
      </w:r>
      <w:r w:rsidRPr="00AE0965">
        <w:rPr>
          <w:rFonts w:ascii="Arial" w:hAnsi="Arial" w:cs="Arial"/>
          <w:sz w:val="24"/>
          <w:szCs w:val="24"/>
          <w:vertAlign w:val="superscript"/>
        </w:rPr>
        <w:t>2</w:t>
      </w:r>
    </w:p>
    <w:p w:rsidR="004C44CE" w:rsidRPr="00AE0965" w:rsidRDefault="004C44CE" w:rsidP="008A22C9">
      <w:pPr>
        <w:spacing w:after="0" w:line="240" w:lineRule="auto"/>
        <w:ind w:left="-284"/>
        <w:jc w:val="center"/>
        <w:rPr>
          <w:rFonts w:ascii="Arial" w:hAnsi="Arial" w:cs="Arial"/>
          <w:sz w:val="24"/>
          <w:szCs w:val="24"/>
        </w:rPr>
      </w:pPr>
      <w:r>
        <w:rPr>
          <w:rFonts w:ascii="Arial" w:hAnsi="Arial" w:cs="Arial"/>
          <w:sz w:val="24"/>
          <w:szCs w:val="24"/>
          <w:vertAlign w:val="superscript"/>
        </w:rPr>
        <w:t>1</w:t>
      </w:r>
      <w:r w:rsidRPr="00AE0965">
        <w:rPr>
          <w:rFonts w:ascii="Arial" w:hAnsi="Arial" w:cs="Arial"/>
          <w:sz w:val="24"/>
          <w:szCs w:val="24"/>
        </w:rPr>
        <w:t>CES, Universidad de Pinar del Río, Martí No. 300, Pinar del Río, Cuba.</w:t>
      </w:r>
    </w:p>
    <w:p w:rsidR="004C44CE" w:rsidRPr="00AE0965" w:rsidRDefault="004C44CE" w:rsidP="008A22C9">
      <w:pPr>
        <w:pStyle w:val="Ttulo"/>
        <w:ind w:left="-284"/>
        <w:jc w:val="center"/>
        <w:rPr>
          <w:rFonts w:ascii="Arial" w:hAnsi="Arial" w:cs="Arial"/>
          <w:sz w:val="24"/>
          <w:szCs w:val="24"/>
          <w:lang w:val="es-MX"/>
        </w:rPr>
      </w:pPr>
      <w:r>
        <w:rPr>
          <w:rFonts w:ascii="Arial" w:hAnsi="Arial" w:cs="Arial"/>
          <w:sz w:val="24"/>
          <w:szCs w:val="24"/>
          <w:vertAlign w:val="superscript"/>
          <w:lang w:val="es-MX"/>
        </w:rPr>
        <w:t>2</w:t>
      </w:r>
      <w:r w:rsidRPr="00AE0965">
        <w:rPr>
          <w:rFonts w:ascii="Arial" w:hAnsi="Arial" w:cs="Arial"/>
          <w:sz w:val="24"/>
          <w:szCs w:val="24"/>
          <w:lang w:val="es-MX"/>
        </w:rPr>
        <w:t>FPI, Dpto.</w:t>
      </w:r>
      <w:r w:rsidRPr="00AE0965">
        <w:rPr>
          <w:rFonts w:ascii="Arial" w:hAnsi="Arial" w:cs="Arial"/>
          <w:sz w:val="24"/>
          <w:szCs w:val="24"/>
          <w:vertAlign w:val="superscript"/>
          <w:lang w:val="es-MX"/>
        </w:rPr>
        <w:t xml:space="preserve"> </w:t>
      </w:r>
      <w:r w:rsidRPr="00AE0965">
        <w:rPr>
          <w:rFonts w:ascii="Arial" w:hAnsi="Arial" w:cs="Arial"/>
          <w:sz w:val="24"/>
          <w:szCs w:val="24"/>
        </w:rPr>
        <w:t xml:space="preserve">Ciencias Básicas, Universidad </w:t>
      </w:r>
      <w:r w:rsidRPr="00AE0965">
        <w:rPr>
          <w:rFonts w:ascii="Arial" w:hAnsi="Arial" w:cs="Arial"/>
          <w:sz w:val="24"/>
          <w:szCs w:val="24"/>
          <w:lang w:val="es-MX"/>
        </w:rPr>
        <w:t>Autónoma Metropolitana-A,</w:t>
      </w:r>
    </w:p>
    <w:p w:rsidR="004C44CE" w:rsidRPr="00AE0965" w:rsidRDefault="004C44CE" w:rsidP="008A22C9">
      <w:pPr>
        <w:pStyle w:val="Ttulo"/>
        <w:ind w:left="-284"/>
        <w:jc w:val="center"/>
        <w:rPr>
          <w:rFonts w:ascii="Arial" w:hAnsi="Arial" w:cs="Arial"/>
          <w:sz w:val="24"/>
          <w:szCs w:val="24"/>
          <w:lang w:val="es-MX"/>
        </w:rPr>
      </w:pPr>
      <w:r w:rsidRPr="00AE0965">
        <w:rPr>
          <w:rFonts w:ascii="Arial" w:hAnsi="Arial" w:cs="Arial"/>
          <w:sz w:val="24"/>
          <w:szCs w:val="24"/>
          <w:lang w:val="es-MX"/>
        </w:rPr>
        <w:t>Av. San Pablo 180, Atzcapotzalco, Cd. de México, México</w:t>
      </w:r>
    </w:p>
    <w:p w:rsidR="004C44CE" w:rsidRPr="0017195D" w:rsidRDefault="001345E4" w:rsidP="008A22C9">
      <w:pPr>
        <w:pStyle w:val="Ttulo"/>
        <w:jc w:val="center"/>
        <w:rPr>
          <w:sz w:val="24"/>
          <w:szCs w:val="24"/>
        </w:rPr>
      </w:pPr>
      <w:hyperlink r:id="rId1266" w:history="1">
        <w:r w:rsidR="004C44CE" w:rsidRPr="00AE0965">
          <w:rPr>
            <w:rStyle w:val="Hipervnculo"/>
            <w:rFonts w:ascii="Arial" w:hAnsi="Arial" w:cs="Arial"/>
            <w:color w:val="auto"/>
            <w:sz w:val="24"/>
            <w:szCs w:val="24"/>
          </w:rPr>
          <w:t>gjaimem@upr.edu.cu</w:t>
        </w:r>
      </w:hyperlink>
      <w:r w:rsidR="004C44CE" w:rsidRPr="00AE0965">
        <w:rPr>
          <w:sz w:val="24"/>
          <w:szCs w:val="24"/>
        </w:rPr>
        <w:t xml:space="preserve">, </w:t>
      </w:r>
      <w:hyperlink r:id="rId1267" w:history="1">
        <w:r w:rsidR="004C44CE" w:rsidRPr="00AE0965">
          <w:rPr>
            <w:rStyle w:val="Hipervnculo"/>
            <w:rFonts w:ascii="Arial" w:hAnsi="Arial" w:cs="Arial"/>
            <w:color w:val="auto"/>
            <w:sz w:val="24"/>
            <w:szCs w:val="24"/>
            <w:lang w:val="es-MX"/>
          </w:rPr>
          <w:t>dll@azc.uam.mx</w:t>
        </w:r>
      </w:hyperlink>
    </w:p>
    <w:p w:rsidR="004C44CE" w:rsidRPr="003C25A3" w:rsidRDefault="004C44CE" w:rsidP="004C44CE">
      <w:pPr>
        <w:spacing w:after="0" w:line="240" w:lineRule="auto"/>
        <w:ind w:left="-284"/>
        <w:rPr>
          <w:rFonts w:ascii="Arial" w:hAnsi="Arial" w:cs="Arial"/>
          <w:sz w:val="24"/>
          <w:szCs w:val="24"/>
        </w:rPr>
      </w:pPr>
      <w:r w:rsidRPr="003C25A3">
        <w:rPr>
          <w:rFonts w:ascii="Arial" w:hAnsi="Arial" w:cs="Arial"/>
          <w:sz w:val="24"/>
          <w:szCs w:val="24"/>
        </w:rPr>
        <w:t xml:space="preserve"> </w:t>
      </w:r>
    </w:p>
    <w:p w:rsidR="004C44CE" w:rsidRPr="00F83A8B" w:rsidRDefault="004C44CE" w:rsidP="004C44CE">
      <w:pPr>
        <w:pStyle w:val="1Titulo"/>
        <w:numPr>
          <w:ilvl w:val="0"/>
          <w:numId w:val="0"/>
        </w:numPr>
        <w:ind w:left="357"/>
      </w:pPr>
      <w:bookmarkStart w:id="383" w:name="_Toc50031430"/>
      <w:r>
        <w:t xml:space="preserve">1. </w:t>
      </w:r>
      <w:r w:rsidRPr="00F83A8B">
        <w:t>Resumen</w:t>
      </w:r>
      <w:bookmarkEnd w:id="383"/>
    </w:p>
    <w:p w:rsidR="004C44CE" w:rsidRPr="00AB1B8C" w:rsidRDefault="004C44CE" w:rsidP="004C44CE">
      <w:pPr>
        <w:tabs>
          <w:tab w:val="left" w:pos="9356"/>
        </w:tabs>
        <w:spacing w:after="0" w:line="240" w:lineRule="auto"/>
        <w:ind w:firstLine="567"/>
        <w:jc w:val="both"/>
        <w:rPr>
          <w:rFonts w:ascii="Arial" w:hAnsi="Arial" w:cs="Arial"/>
          <w:sz w:val="24"/>
          <w:szCs w:val="24"/>
        </w:rPr>
      </w:pPr>
      <w:r w:rsidRPr="00AB1B8C">
        <w:rPr>
          <w:rFonts w:ascii="Arial" w:hAnsi="Arial" w:cs="Arial"/>
          <w:sz w:val="24"/>
          <w:szCs w:val="24"/>
        </w:rPr>
        <w:t>En el presente trabajo</w:t>
      </w:r>
      <w:r>
        <w:rPr>
          <w:rFonts w:ascii="Arial" w:hAnsi="Arial" w:cs="Arial"/>
          <w:sz w:val="24"/>
          <w:szCs w:val="24"/>
        </w:rPr>
        <w:t xml:space="preserve"> </w:t>
      </w:r>
      <w:r w:rsidRPr="00AB1B8C">
        <w:rPr>
          <w:rFonts w:ascii="Arial" w:hAnsi="Arial" w:cs="Arial"/>
          <w:sz w:val="24"/>
          <w:szCs w:val="24"/>
        </w:rPr>
        <w:t xml:space="preserve">se realiza una valoración </w:t>
      </w:r>
      <w:r>
        <w:rPr>
          <w:rFonts w:ascii="Arial" w:hAnsi="Arial" w:cs="Arial"/>
          <w:sz w:val="24"/>
          <w:szCs w:val="24"/>
        </w:rPr>
        <w:t>de los conceptos</w:t>
      </w:r>
      <w:r w:rsidRPr="00AB1B8C">
        <w:rPr>
          <w:rFonts w:ascii="Arial" w:hAnsi="Arial" w:cs="Arial"/>
          <w:sz w:val="24"/>
          <w:szCs w:val="24"/>
        </w:rPr>
        <w:t xml:space="preserve"> educación en valores, estilos de aprendizaje, proceso de enseñanza </w:t>
      </w:r>
      <w:r w:rsidRPr="00A775B1">
        <w:rPr>
          <w:rFonts w:ascii="Arial" w:hAnsi="Arial" w:cs="Arial"/>
          <w:sz w:val="24"/>
          <w:szCs w:val="24"/>
        </w:rPr>
        <w:t>y gestión,</w:t>
      </w:r>
      <w:r>
        <w:rPr>
          <w:rFonts w:ascii="Arial" w:hAnsi="Arial" w:cs="Arial"/>
          <w:sz w:val="24"/>
          <w:szCs w:val="24"/>
        </w:rPr>
        <w:t xml:space="preserve"> particularizando un</w:t>
      </w:r>
      <w:r w:rsidRPr="00A775B1">
        <w:rPr>
          <w:rFonts w:ascii="Arial" w:hAnsi="Arial" w:cs="Arial"/>
          <w:sz w:val="24"/>
          <w:szCs w:val="24"/>
        </w:rPr>
        <w:t>a diversidad terminológica en estas categorías. Para los estilos de aprendizaje</w:t>
      </w:r>
      <w:r w:rsidRPr="00AB1B8C">
        <w:rPr>
          <w:rFonts w:ascii="Arial" w:hAnsi="Arial" w:cs="Arial"/>
          <w:sz w:val="24"/>
          <w:szCs w:val="24"/>
        </w:rPr>
        <w:t xml:space="preserve"> se t</w:t>
      </w:r>
      <w:r>
        <w:rPr>
          <w:rFonts w:ascii="Arial" w:hAnsi="Arial" w:cs="Arial"/>
          <w:sz w:val="24"/>
          <w:szCs w:val="24"/>
        </w:rPr>
        <w:t>uvo</w:t>
      </w:r>
      <w:r w:rsidRPr="00AB1B8C">
        <w:rPr>
          <w:rFonts w:ascii="Arial" w:hAnsi="Arial" w:cs="Arial"/>
          <w:sz w:val="24"/>
          <w:szCs w:val="24"/>
        </w:rPr>
        <w:t xml:space="preserve"> en cuenta el concepto de “Zona de Desarrollo Próximo” (ZPD), a partir del diagnóstico. </w:t>
      </w:r>
      <w:r>
        <w:rPr>
          <w:rFonts w:ascii="Arial" w:hAnsi="Arial" w:cs="Arial"/>
          <w:sz w:val="24"/>
          <w:szCs w:val="24"/>
        </w:rPr>
        <w:t>Respecto a</w:t>
      </w:r>
      <w:r w:rsidRPr="00AB1B8C">
        <w:rPr>
          <w:rFonts w:ascii="Arial" w:hAnsi="Arial" w:cs="Arial"/>
          <w:sz w:val="24"/>
          <w:szCs w:val="24"/>
        </w:rPr>
        <w:t>l proceso de enseñanza, se muestra como una adecuada alternativa el método de trabajo en grupo, para fortalecer valores y actitudes. Se asume que el proceso de gestión de la educación en valores, para la formación integral del estudiante, necesita de alternativas de superación continua de los profesores, concluyendo que el año académico constituye la célula esencial de este proceso. Se concibe una estrategia educativa, cuyo documento rector debe tener el diagnóstico integral de estudiantes, profesores y proceso, la gestión del trabajo metodológico, el proyecto educativo con sus dimensiones de influencia y la gestión de las acciones de comunicación.</w:t>
      </w:r>
    </w:p>
    <w:p w:rsidR="004C44CE" w:rsidRDefault="004C44CE" w:rsidP="004C44CE">
      <w:pPr>
        <w:tabs>
          <w:tab w:val="left" w:pos="9356"/>
        </w:tabs>
        <w:spacing w:after="0" w:line="240" w:lineRule="auto"/>
        <w:ind w:firstLine="550"/>
        <w:jc w:val="both"/>
        <w:rPr>
          <w:rFonts w:ascii="Arial" w:hAnsi="Arial" w:cs="Arial"/>
          <w:sz w:val="24"/>
          <w:szCs w:val="24"/>
        </w:rPr>
      </w:pPr>
    </w:p>
    <w:p w:rsidR="004C44CE" w:rsidRDefault="004C44CE" w:rsidP="004C44CE">
      <w:pPr>
        <w:pStyle w:val="1Titulo"/>
        <w:numPr>
          <w:ilvl w:val="0"/>
          <w:numId w:val="0"/>
        </w:numPr>
        <w:ind w:left="357"/>
      </w:pPr>
      <w:bookmarkStart w:id="384" w:name="_Toc50031431"/>
      <w:r>
        <w:t>2. Introducción</w:t>
      </w:r>
      <w:bookmarkEnd w:id="384"/>
    </w:p>
    <w:p w:rsidR="004C44CE" w:rsidRDefault="004C44CE" w:rsidP="004C44CE">
      <w:pPr>
        <w:spacing w:after="0" w:line="240" w:lineRule="auto"/>
        <w:ind w:firstLine="550"/>
        <w:jc w:val="both"/>
        <w:rPr>
          <w:rFonts w:ascii="Arial" w:hAnsi="Arial" w:cs="Arial"/>
          <w:sz w:val="24"/>
          <w:szCs w:val="24"/>
        </w:rPr>
      </w:pPr>
      <w:r w:rsidRPr="00F83A8B">
        <w:rPr>
          <w:rFonts w:ascii="Arial" w:hAnsi="Arial" w:cs="Arial"/>
          <w:sz w:val="24"/>
          <w:szCs w:val="24"/>
        </w:rPr>
        <w:t xml:space="preserve">La formación de profesionales </w:t>
      </w:r>
      <w:r>
        <w:rPr>
          <w:rFonts w:ascii="Arial" w:hAnsi="Arial" w:cs="Arial"/>
          <w:sz w:val="24"/>
          <w:szCs w:val="24"/>
        </w:rPr>
        <w:t>integrales</w:t>
      </w:r>
      <w:r w:rsidRPr="00F83A8B">
        <w:rPr>
          <w:rFonts w:ascii="Arial" w:hAnsi="Arial" w:cs="Arial"/>
          <w:sz w:val="24"/>
          <w:szCs w:val="24"/>
        </w:rPr>
        <w:t xml:space="preserve"> puede ser lograda en un proceso de formación dirigido por  profesores con vasta experiencia académica. Para lograr este fin, una alternativa es la articulación de la educación en valores, los estilos de aprendizaje y el proceso de enseñanza, de manera que sea posible obtener la competencia profesional deseada, efectivamente. </w:t>
      </w:r>
      <w:r>
        <w:rPr>
          <w:rFonts w:ascii="Arial" w:hAnsi="Arial" w:cs="Arial"/>
          <w:sz w:val="24"/>
          <w:szCs w:val="24"/>
        </w:rPr>
        <w:t>Así</w:t>
      </w:r>
      <w:r w:rsidRPr="00F83A8B">
        <w:rPr>
          <w:rFonts w:ascii="Arial" w:hAnsi="Arial" w:cs="Arial"/>
          <w:sz w:val="24"/>
          <w:szCs w:val="24"/>
        </w:rPr>
        <w:t xml:space="preserve">, los métodos de enseñanza a emplear en cada clase, </w:t>
      </w:r>
      <w:r w:rsidRPr="00F83A8B">
        <w:rPr>
          <w:rFonts w:ascii="Arial" w:hAnsi="Arial" w:cs="Arial"/>
          <w:sz w:val="24"/>
          <w:szCs w:val="24"/>
        </w:rPr>
        <w:lastRenderedPageBreak/>
        <w:t>analizados por el profesor de la asignatura, debe</w:t>
      </w:r>
      <w:r>
        <w:rPr>
          <w:rFonts w:ascii="Arial" w:hAnsi="Arial" w:cs="Arial"/>
          <w:sz w:val="24"/>
          <w:szCs w:val="24"/>
        </w:rPr>
        <w:t>n</w:t>
      </w:r>
      <w:r w:rsidRPr="00F83A8B">
        <w:rPr>
          <w:rFonts w:ascii="Arial" w:hAnsi="Arial" w:cs="Arial"/>
          <w:sz w:val="24"/>
          <w:szCs w:val="24"/>
        </w:rPr>
        <w:t xml:space="preserve"> estar en correspondencia con los estilos de aprendizaje de sus estudiantes, identificad</w:t>
      </w:r>
      <w:r>
        <w:rPr>
          <w:rFonts w:ascii="Arial" w:hAnsi="Arial" w:cs="Arial"/>
          <w:sz w:val="24"/>
          <w:szCs w:val="24"/>
        </w:rPr>
        <w:t>os mediante un diagnóstico fino.</w:t>
      </w:r>
      <w:r w:rsidRPr="00F83A8B">
        <w:rPr>
          <w:rFonts w:ascii="Arial" w:hAnsi="Arial" w:cs="Arial"/>
          <w:sz w:val="24"/>
          <w:szCs w:val="24"/>
        </w:rPr>
        <w:t xml:space="preserve"> </w:t>
      </w:r>
    </w:p>
    <w:p w:rsidR="004C44CE" w:rsidRDefault="004C44CE" w:rsidP="004C44CE">
      <w:pPr>
        <w:spacing w:after="0" w:line="240" w:lineRule="auto"/>
        <w:ind w:firstLine="550"/>
        <w:jc w:val="both"/>
        <w:rPr>
          <w:rFonts w:ascii="Arial" w:hAnsi="Arial" w:cs="Arial"/>
          <w:color w:val="FF0000"/>
          <w:sz w:val="24"/>
          <w:szCs w:val="24"/>
        </w:rPr>
      </w:pPr>
      <w:r>
        <w:rPr>
          <w:rFonts w:ascii="Arial" w:hAnsi="Arial" w:cs="Arial"/>
          <w:sz w:val="24"/>
          <w:szCs w:val="24"/>
        </w:rPr>
        <w:t>Al respecto, Ackerman</w:t>
      </w:r>
      <w:r>
        <w:rPr>
          <w:rFonts w:ascii="Arial" w:hAnsi="Arial" w:cs="Arial"/>
          <w:sz w:val="24"/>
          <w:szCs w:val="24"/>
          <w:vertAlign w:val="superscript"/>
        </w:rPr>
        <w:t>[1]</w:t>
      </w:r>
      <w:r>
        <w:rPr>
          <w:rFonts w:ascii="Arial" w:hAnsi="Arial" w:cs="Arial"/>
          <w:sz w:val="24"/>
          <w:szCs w:val="24"/>
        </w:rPr>
        <w:t xml:space="preserve"> </w:t>
      </w:r>
      <w:r w:rsidRPr="00EC13DE">
        <w:rPr>
          <w:rFonts w:ascii="Arial" w:hAnsi="Arial" w:cs="Arial"/>
          <w:sz w:val="24"/>
          <w:szCs w:val="24"/>
        </w:rPr>
        <w:t xml:space="preserve"> analiza las diferencias significativas entre </w:t>
      </w:r>
      <w:r>
        <w:rPr>
          <w:rFonts w:ascii="Arial" w:hAnsi="Arial" w:cs="Arial"/>
          <w:sz w:val="24"/>
          <w:szCs w:val="24"/>
        </w:rPr>
        <w:t>Piaget y Papert,</w:t>
      </w:r>
      <w:r w:rsidRPr="00EC13DE">
        <w:rPr>
          <w:rFonts w:ascii="Arial" w:hAnsi="Arial" w:cs="Arial"/>
          <w:sz w:val="24"/>
          <w:szCs w:val="24"/>
        </w:rPr>
        <w:t xml:space="preserve"> en cuanto a que la teoría de los estadios desarrollada por Piaget </w:t>
      </w:r>
      <w:r>
        <w:rPr>
          <w:rFonts w:ascii="Arial" w:hAnsi="Arial" w:cs="Arial"/>
          <w:sz w:val="24"/>
          <w:szCs w:val="24"/>
        </w:rPr>
        <w:t>se basa</w:t>
      </w:r>
      <w:r w:rsidRPr="00EC13DE">
        <w:rPr>
          <w:rFonts w:ascii="Arial" w:hAnsi="Arial" w:cs="Arial"/>
          <w:sz w:val="24"/>
          <w:szCs w:val="24"/>
        </w:rPr>
        <w:t xml:space="preserve"> en </w:t>
      </w:r>
      <w:r>
        <w:rPr>
          <w:rFonts w:ascii="Arial" w:hAnsi="Arial" w:cs="Arial"/>
          <w:sz w:val="24"/>
          <w:szCs w:val="24"/>
        </w:rPr>
        <w:t>intentar</w:t>
      </w:r>
      <w:r w:rsidRPr="00EC13DE">
        <w:rPr>
          <w:rFonts w:ascii="Arial" w:hAnsi="Arial" w:cs="Arial"/>
          <w:sz w:val="24"/>
          <w:szCs w:val="24"/>
        </w:rPr>
        <w:t xml:space="preserve"> establecer elemen</w:t>
      </w:r>
      <w:r>
        <w:rPr>
          <w:rFonts w:ascii="Arial" w:hAnsi="Arial" w:cs="Arial"/>
          <w:sz w:val="24"/>
          <w:szCs w:val="24"/>
        </w:rPr>
        <w:t>tos comunes en el desarrollo de</w:t>
      </w:r>
      <w:r w:rsidRPr="00E90228">
        <w:rPr>
          <w:rFonts w:ascii="Arial" w:hAnsi="Arial" w:cs="Arial"/>
          <w:sz w:val="24"/>
          <w:szCs w:val="24"/>
        </w:rPr>
        <w:t>l</w:t>
      </w:r>
      <w:r w:rsidRPr="00EC13DE">
        <w:rPr>
          <w:rFonts w:ascii="Arial" w:hAnsi="Arial" w:cs="Arial"/>
          <w:sz w:val="24"/>
          <w:szCs w:val="24"/>
        </w:rPr>
        <w:t xml:space="preserve"> pensamiento, </w:t>
      </w:r>
      <w:r>
        <w:rPr>
          <w:rFonts w:ascii="Arial" w:hAnsi="Arial" w:cs="Arial"/>
          <w:sz w:val="24"/>
          <w:szCs w:val="24"/>
        </w:rPr>
        <w:t>(</w:t>
      </w:r>
      <w:r w:rsidRPr="00EC13DE">
        <w:rPr>
          <w:rFonts w:ascii="Arial" w:hAnsi="Arial" w:cs="Arial"/>
          <w:sz w:val="24"/>
          <w:szCs w:val="24"/>
        </w:rPr>
        <w:t>definición o caract</w:t>
      </w:r>
      <w:r>
        <w:rPr>
          <w:rFonts w:ascii="Arial" w:hAnsi="Arial" w:cs="Arial"/>
          <w:sz w:val="24"/>
          <w:szCs w:val="24"/>
        </w:rPr>
        <w:t>erización del sujeto epistémico),</w:t>
      </w:r>
      <w:r w:rsidRPr="00EC13DE">
        <w:rPr>
          <w:rFonts w:ascii="Arial" w:hAnsi="Arial" w:cs="Arial"/>
          <w:sz w:val="24"/>
          <w:szCs w:val="24"/>
        </w:rPr>
        <w:t xml:space="preserve"> </w:t>
      </w:r>
      <w:r>
        <w:rPr>
          <w:rFonts w:ascii="Arial" w:hAnsi="Arial" w:cs="Arial"/>
          <w:sz w:val="24"/>
          <w:szCs w:val="24"/>
        </w:rPr>
        <w:t>en tanto,</w:t>
      </w:r>
      <w:r w:rsidRPr="00EC13DE">
        <w:rPr>
          <w:rFonts w:ascii="Arial" w:hAnsi="Arial" w:cs="Arial"/>
          <w:sz w:val="24"/>
          <w:szCs w:val="24"/>
        </w:rPr>
        <w:t xml:space="preserve"> Papert da mayor importancia a las diferencias que a las semejanzas en los modos de pensar de los sujetos. Este punto de vista provee un marco de referencia para estudiar la formación de las ideas y su transformación cuando se expresan en distintos medios y cuando se modifican en </w:t>
      </w:r>
      <w:r w:rsidRPr="00821C49">
        <w:rPr>
          <w:rFonts w:ascii="Arial" w:hAnsi="Arial" w:cs="Arial"/>
          <w:sz w:val="24"/>
          <w:szCs w:val="24"/>
        </w:rPr>
        <w:t>contextos particulares.</w:t>
      </w:r>
      <w:r>
        <w:rPr>
          <w:rFonts w:ascii="Arial" w:hAnsi="Arial" w:cs="Arial"/>
          <w:sz w:val="24"/>
          <w:szCs w:val="24"/>
        </w:rPr>
        <w:t xml:space="preserve"> De esa manera</w:t>
      </w:r>
      <w:r w:rsidRPr="00821C49">
        <w:rPr>
          <w:rFonts w:ascii="Arial" w:hAnsi="Arial" w:cs="Arial"/>
          <w:sz w:val="24"/>
          <w:szCs w:val="24"/>
        </w:rPr>
        <w:t>, Obaya</w:t>
      </w:r>
      <w:r>
        <w:rPr>
          <w:rFonts w:ascii="Arial" w:hAnsi="Arial" w:cs="Arial"/>
          <w:sz w:val="24"/>
          <w:szCs w:val="24"/>
          <w:vertAlign w:val="superscript"/>
        </w:rPr>
        <w:t>[2]</w:t>
      </w:r>
      <w:r w:rsidRPr="00821C49">
        <w:rPr>
          <w:rFonts w:ascii="Arial" w:hAnsi="Arial" w:cs="Arial"/>
          <w:sz w:val="24"/>
          <w:szCs w:val="24"/>
        </w:rPr>
        <w:t xml:space="preserve">  considera que Papert desvía la atención del</w:t>
      </w:r>
      <w:r>
        <w:rPr>
          <w:rFonts w:ascii="Arial" w:hAnsi="Arial" w:cs="Arial"/>
          <w:sz w:val="24"/>
          <w:szCs w:val="24"/>
        </w:rPr>
        <w:t xml:space="preserve"> estudio de las etapas del</w:t>
      </w:r>
      <w:r w:rsidRPr="00EC13DE">
        <w:rPr>
          <w:rFonts w:ascii="Arial" w:hAnsi="Arial" w:cs="Arial"/>
          <w:sz w:val="24"/>
          <w:szCs w:val="24"/>
        </w:rPr>
        <w:t xml:space="preserve"> desarrollo hacia el estudio del individuo o de los estilos de aprendizaje, relacionados con las diferentes culturas.</w:t>
      </w:r>
      <w:r>
        <w:rPr>
          <w:rFonts w:ascii="Arial" w:hAnsi="Arial" w:cs="Arial"/>
          <w:sz w:val="24"/>
          <w:szCs w:val="24"/>
        </w:rPr>
        <w:t xml:space="preserve"> </w:t>
      </w:r>
    </w:p>
    <w:p w:rsidR="004C44CE" w:rsidRPr="00EC13DE" w:rsidRDefault="004C44CE" w:rsidP="004C44CE">
      <w:pPr>
        <w:spacing w:after="0" w:line="240" w:lineRule="auto"/>
        <w:ind w:firstLine="550"/>
        <w:jc w:val="both"/>
        <w:rPr>
          <w:rFonts w:ascii="Arial" w:hAnsi="Arial" w:cs="Arial"/>
          <w:sz w:val="24"/>
          <w:szCs w:val="24"/>
        </w:rPr>
      </w:pPr>
      <w:r>
        <w:rPr>
          <w:rFonts w:ascii="Arial" w:hAnsi="Arial" w:cs="Arial"/>
          <w:sz w:val="24"/>
          <w:szCs w:val="24"/>
        </w:rPr>
        <w:t>E</w:t>
      </w:r>
      <w:r w:rsidRPr="00F83A8B">
        <w:rPr>
          <w:rFonts w:ascii="Arial" w:hAnsi="Arial" w:cs="Arial"/>
          <w:sz w:val="24"/>
          <w:szCs w:val="24"/>
        </w:rPr>
        <w:t xml:space="preserve">sta problemática requiere </w:t>
      </w:r>
      <w:r>
        <w:rPr>
          <w:rFonts w:ascii="Arial" w:hAnsi="Arial" w:cs="Arial"/>
          <w:sz w:val="24"/>
          <w:szCs w:val="24"/>
        </w:rPr>
        <w:t>especial</w:t>
      </w:r>
      <w:r w:rsidRPr="00F83A8B">
        <w:rPr>
          <w:rFonts w:ascii="Arial" w:hAnsi="Arial" w:cs="Arial"/>
          <w:sz w:val="24"/>
          <w:szCs w:val="24"/>
        </w:rPr>
        <w:t xml:space="preserve"> atención dado los constantes cambios que se </w:t>
      </w:r>
      <w:r w:rsidRPr="00821C49">
        <w:rPr>
          <w:rFonts w:ascii="Arial" w:hAnsi="Arial" w:cs="Arial"/>
          <w:sz w:val="24"/>
          <w:szCs w:val="24"/>
        </w:rPr>
        <w:t>producen en la sociedad. Para Varela</w:t>
      </w:r>
      <w:r>
        <w:rPr>
          <w:rFonts w:ascii="Arial" w:hAnsi="Arial" w:cs="Arial"/>
          <w:sz w:val="24"/>
          <w:szCs w:val="24"/>
          <w:vertAlign w:val="superscript"/>
        </w:rPr>
        <w:t>[3]</w:t>
      </w:r>
      <w:r w:rsidRPr="00821C49">
        <w:rPr>
          <w:rFonts w:ascii="Arial" w:hAnsi="Arial" w:cs="Arial"/>
          <w:sz w:val="24"/>
          <w:szCs w:val="24"/>
        </w:rPr>
        <w:t>, la precisión del sistema de conocimientos que</w:t>
      </w:r>
      <w:r w:rsidRPr="00F83A8B">
        <w:rPr>
          <w:rFonts w:ascii="Arial" w:hAnsi="Arial" w:cs="Arial"/>
          <w:sz w:val="24"/>
          <w:szCs w:val="24"/>
        </w:rPr>
        <w:t xml:space="preserve"> constituyen el cuerpo teórico de una ciencia</w:t>
      </w:r>
      <w:r>
        <w:rPr>
          <w:rFonts w:ascii="Arial" w:hAnsi="Arial" w:cs="Arial"/>
          <w:sz w:val="24"/>
          <w:szCs w:val="24"/>
        </w:rPr>
        <w:t>,</w:t>
      </w:r>
      <w:r w:rsidRPr="00F83A8B">
        <w:rPr>
          <w:rFonts w:ascii="Arial" w:hAnsi="Arial" w:cs="Arial"/>
          <w:sz w:val="24"/>
          <w:szCs w:val="24"/>
        </w:rPr>
        <w:t xml:space="preserve"> en el marco del sistema general de conocimientos en </w:t>
      </w:r>
      <w:r>
        <w:rPr>
          <w:rFonts w:ascii="Arial" w:hAnsi="Arial" w:cs="Arial"/>
          <w:sz w:val="24"/>
          <w:szCs w:val="24"/>
        </w:rPr>
        <w:t xml:space="preserve">una </w:t>
      </w:r>
      <w:r w:rsidRPr="00F83A8B">
        <w:rPr>
          <w:rFonts w:ascii="Arial" w:hAnsi="Arial" w:cs="Arial"/>
          <w:sz w:val="24"/>
          <w:szCs w:val="24"/>
        </w:rPr>
        <w:t xml:space="preserve">determinada etapa histórica de la humanidad, es un aspecto fundamental para </w:t>
      </w:r>
      <w:r>
        <w:rPr>
          <w:rFonts w:ascii="Arial" w:hAnsi="Arial" w:cs="Arial"/>
          <w:sz w:val="24"/>
          <w:szCs w:val="24"/>
        </w:rPr>
        <w:t>una</w:t>
      </w:r>
      <w:r w:rsidRPr="00F83A8B">
        <w:rPr>
          <w:rFonts w:ascii="Arial" w:hAnsi="Arial" w:cs="Arial"/>
          <w:sz w:val="24"/>
          <w:szCs w:val="24"/>
        </w:rPr>
        <w:t xml:space="preserve"> adecuada labor</w:t>
      </w:r>
      <w:r>
        <w:rPr>
          <w:rFonts w:ascii="Arial" w:hAnsi="Arial" w:cs="Arial"/>
          <w:sz w:val="24"/>
          <w:szCs w:val="24"/>
        </w:rPr>
        <w:t>:</w:t>
      </w:r>
      <w:r w:rsidRPr="00F83A8B">
        <w:rPr>
          <w:rFonts w:ascii="Arial" w:hAnsi="Arial" w:cs="Arial"/>
          <w:sz w:val="24"/>
          <w:szCs w:val="24"/>
        </w:rPr>
        <w:t xml:space="preserve"> docente, investigativa o práctica de</w:t>
      </w:r>
      <w:r>
        <w:rPr>
          <w:rFonts w:ascii="Arial" w:hAnsi="Arial" w:cs="Arial"/>
          <w:sz w:val="24"/>
          <w:szCs w:val="24"/>
        </w:rPr>
        <w:t xml:space="preserve"> un</w:t>
      </w:r>
      <w:r w:rsidRPr="00F83A8B">
        <w:rPr>
          <w:rFonts w:ascii="Arial" w:hAnsi="Arial" w:cs="Arial"/>
          <w:sz w:val="24"/>
          <w:szCs w:val="24"/>
        </w:rPr>
        <w:t xml:space="preserve"> </w:t>
      </w:r>
      <w:r>
        <w:rPr>
          <w:rFonts w:ascii="Arial" w:hAnsi="Arial" w:cs="Arial"/>
          <w:sz w:val="24"/>
          <w:szCs w:val="24"/>
        </w:rPr>
        <w:t>determinado</w:t>
      </w:r>
      <w:r w:rsidRPr="00F83A8B">
        <w:rPr>
          <w:rFonts w:ascii="Arial" w:hAnsi="Arial" w:cs="Arial"/>
          <w:sz w:val="24"/>
          <w:szCs w:val="24"/>
        </w:rPr>
        <w:t xml:space="preserve"> especial</w:t>
      </w:r>
      <w:r>
        <w:rPr>
          <w:rFonts w:ascii="Arial" w:hAnsi="Arial" w:cs="Arial"/>
          <w:sz w:val="24"/>
          <w:szCs w:val="24"/>
        </w:rPr>
        <w:t>ista. Es así, debido al</w:t>
      </w:r>
      <w:r w:rsidRPr="00F83A8B">
        <w:rPr>
          <w:rFonts w:ascii="Arial" w:hAnsi="Arial" w:cs="Arial"/>
          <w:sz w:val="24"/>
          <w:szCs w:val="24"/>
        </w:rPr>
        <w:t xml:space="preserve"> vertiginoso desarrollo científico-técnico de la época contemporánea</w:t>
      </w:r>
      <w:r>
        <w:rPr>
          <w:rFonts w:ascii="Arial" w:hAnsi="Arial" w:cs="Arial"/>
          <w:sz w:val="24"/>
          <w:szCs w:val="24"/>
        </w:rPr>
        <w:t>, que</w:t>
      </w:r>
      <w:r w:rsidRPr="00F83A8B">
        <w:rPr>
          <w:rFonts w:ascii="Arial" w:hAnsi="Arial" w:cs="Arial"/>
          <w:sz w:val="24"/>
          <w:szCs w:val="24"/>
        </w:rPr>
        <w:t xml:space="preserve"> hace que la información y los datos de las ciencias se incrementen y envejez</w:t>
      </w:r>
      <w:r w:rsidRPr="00F83A8B">
        <w:rPr>
          <w:rFonts w:ascii="Arial" w:hAnsi="Arial" w:cs="Arial"/>
          <w:sz w:val="24"/>
          <w:szCs w:val="24"/>
        </w:rPr>
        <w:softHyphen/>
        <w:t xml:space="preserve">can a velocidades asombrosas. </w:t>
      </w:r>
      <w:r w:rsidRPr="00EC13DE">
        <w:rPr>
          <w:rFonts w:ascii="Arial" w:hAnsi="Arial" w:cs="Arial"/>
          <w:sz w:val="24"/>
          <w:szCs w:val="24"/>
        </w:rPr>
        <w:t>Por eso, la determinación del lugar de una ciencia entre las restantes</w:t>
      </w:r>
      <w:r>
        <w:rPr>
          <w:rFonts w:ascii="Arial" w:hAnsi="Arial" w:cs="Arial"/>
          <w:sz w:val="24"/>
          <w:szCs w:val="24"/>
        </w:rPr>
        <w:t>,</w:t>
      </w:r>
      <w:r w:rsidRPr="00EC13DE">
        <w:rPr>
          <w:rFonts w:ascii="Arial" w:hAnsi="Arial" w:cs="Arial"/>
          <w:sz w:val="24"/>
          <w:szCs w:val="24"/>
        </w:rPr>
        <w:t xml:space="preserve"> y el sistema de las interrelaciones a que se encuentra sometida, constituye</w:t>
      </w:r>
      <w:r>
        <w:rPr>
          <w:rFonts w:ascii="Arial" w:hAnsi="Arial" w:cs="Arial"/>
          <w:sz w:val="24"/>
          <w:szCs w:val="24"/>
        </w:rPr>
        <w:t>n</w:t>
      </w:r>
      <w:r w:rsidRPr="00EC13DE">
        <w:rPr>
          <w:rFonts w:ascii="Arial" w:hAnsi="Arial" w:cs="Arial"/>
          <w:sz w:val="24"/>
          <w:szCs w:val="24"/>
        </w:rPr>
        <w:t xml:space="preserve"> un importante </w:t>
      </w:r>
      <w:r>
        <w:rPr>
          <w:rFonts w:ascii="Arial" w:hAnsi="Arial" w:cs="Arial"/>
          <w:sz w:val="24"/>
          <w:szCs w:val="24"/>
        </w:rPr>
        <w:t xml:space="preserve">fundamento </w:t>
      </w:r>
      <w:r w:rsidRPr="00EC13DE">
        <w:rPr>
          <w:rFonts w:ascii="Arial" w:hAnsi="Arial" w:cs="Arial"/>
          <w:sz w:val="24"/>
          <w:szCs w:val="24"/>
        </w:rPr>
        <w:t>filosófico, teórico y metodológico, que la práctica social ha devela</w:t>
      </w:r>
      <w:r w:rsidRPr="00EC13DE">
        <w:rPr>
          <w:rFonts w:ascii="Arial" w:hAnsi="Arial" w:cs="Arial"/>
          <w:sz w:val="24"/>
          <w:szCs w:val="24"/>
        </w:rPr>
        <w:softHyphen/>
        <w:t>do ante los especialistas de las diferentes disci</w:t>
      </w:r>
      <w:r w:rsidRPr="00EC13DE">
        <w:rPr>
          <w:rFonts w:ascii="Arial" w:hAnsi="Arial" w:cs="Arial"/>
          <w:sz w:val="24"/>
          <w:szCs w:val="24"/>
        </w:rPr>
        <w:softHyphen/>
        <w:t xml:space="preserve">plinas del conocimiento. Es ahí donde el profesor entra para asumir su papel de agente catalizador de la cultura que le ha antecedido, mostrando </w:t>
      </w:r>
      <w:r>
        <w:rPr>
          <w:rFonts w:ascii="Arial" w:hAnsi="Arial" w:cs="Arial"/>
          <w:sz w:val="24"/>
          <w:szCs w:val="24"/>
        </w:rPr>
        <w:t>su</w:t>
      </w:r>
      <w:r w:rsidRPr="00EC13DE">
        <w:rPr>
          <w:rFonts w:ascii="Arial" w:hAnsi="Arial" w:cs="Arial"/>
          <w:sz w:val="24"/>
          <w:szCs w:val="24"/>
        </w:rPr>
        <w:t xml:space="preserve"> grado de actualización en su especialidad y su preparación en cultura general, para ubicarse a la altura de las circunstancias actuales. </w:t>
      </w:r>
    </w:p>
    <w:p w:rsidR="004C44CE" w:rsidRPr="00F83A8B" w:rsidRDefault="004C44CE" w:rsidP="004C44CE">
      <w:pPr>
        <w:spacing w:after="0" w:line="240" w:lineRule="auto"/>
        <w:ind w:firstLine="550"/>
        <w:jc w:val="both"/>
        <w:rPr>
          <w:rFonts w:ascii="Arial" w:hAnsi="Arial" w:cs="Arial"/>
          <w:sz w:val="24"/>
          <w:szCs w:val="24"/>
        </w:rPr>
      </w:pPr>
      <w:r>
        <w:rPr>
          <w:rFonts w:ascii="Arial" w:hAnsi="Arial" w:cs="Arial"/>
          <w:sz w:val="24"/>
          <w:szCs w:val="24"/>
        </w:rPr>
        <w:t>E</w:t>
      </w:r>
      <w:r w:rsidRPr="00EC13DE">
        <w:rPr>
          <w:rFonts w:ascii="Arial" w:hAnsi="Arial" w:cs="Arial"/>
          <w:sz w:val="24"/>
          <w:szCs w:val="24"/>
        </w:rPr>
        <w:t xml:space="preserve">n cualquier carrera de la enseñanza superior, se considera un deber </w:t>
      </w:r>
      <w:r>
        <w:rPr>
          <w:rFonts w:ascii="Arial" w:hAnsi="Arial" w:cs="Arial"/>
          <w:sz w:val="24"/>
          <w:szCs w:val="24"/>
        </w:rPr>
        <w:t>lograr</w:t>
      </w:r>
      <w:r w:rsidRPr="00F83A8B">
        <w:rPr>
          <w:rFonts w:ascii="Arial" w:hAnsi="Arial" w:cs="Arial"/>
          <w:sz w:val="24"/>
          <w:szCs w:val="24"/>
        </w:rPr>
        <w:t xml:space="preserve"> estud</w:t>
      </w:r>
      <w:r>
        <w:rPr>
          <w:rFonts w:ascii="Arial" w:hAnsi="Arial" w:cs="Arial"/>
          <w:sz w:val="24"/>
          <w:szCs w:val="24"/>
        </w:rPr>
        <w:t>iantes integrales y competentes.</w:t>
      </w:r>
      <w:r w:rsidRPr="00F83A8B">
        <w:rPr>
          <w:rFonts w:ascii="Arial" w:hAnsi="Arial" w:cs="Arial"/>
          <w:sz w:val="24"/>
          <w:szCs w:val="24"/>
        </w:rPr>
        <w:t xml:space="preserve"> </w:t>
      </w:r>
      <w:r>
        <w:rPr>
          <w:rFonts w:ascii="Arial" w:hAnsi="Arial" w:cs="Arial"/>
          <w:sz w:val="24"/>
          <w:szCs w:val="24"/>
        </w:rPr>
        <w:t>Para ello, se requiere que se apropien de</w:t>
      </w:r>
      <w:r w:rsidRPr="00F83A8B">
        <w:rPr>
          <w:rFonts w:ascii="Arial" w:hAnsi="Arial" w:cs="Arial"/>
          <w:color w:val="0000FF"/>
          <w:sz w:val="24"/>
          <w:szCs w:val="24"/>
        </w:rPr>
        <w:t xml:space="preserve"> </w:t>
      </w:r>
      <w:r w:rsidRPr="00F83A8B">
        <w:rPr>
          <w:rFonts w:ascii="Arial" w:hAnsi="Arial" w:cs="Arial"/>
          <w:sz w:val="24"/>
          <w:szCs w:val="24"/>
        </w:rPr>
        <w:t xml:space="preserve">los conocimientos, las habilidades y los valores </w:t>
      </w:r>
      <w:r>
        <w:rPr>
          <w:rFonts w:ascii="Arial" w:hAnsi="Arial" w:cs="Arial"/>
          <w:sz w:val="24"/>
          <w:szCs w:val="24"/>
        </w:rPr>
        <w:t xml:space="preserve">necesarios </w:t>
      </w:r>
      <w:r w:rsidRPr="00F83A8B">
        <w:rPr>
          <w:rFonts w:ascii="Arial" w:hAnsi="Arial" w:cs="Arial"/>
          <w:sz w:val="24"/>
          <w:szCs w:val="24"/>
        </w:rPr>
        <w:t xml:space="preserve">para ponerlos en función del bienestar de la sociedad </w:t>
      </w:r>
      <w:r>
        <w:rPr>
          <w:rFonts w:ascii="Arial" w:hAnsi="Arial" w:cs="Arial"/>
          <w:sz w:val="24"/>
          <w:szCs w:val="24"/>
        </w:rPr>
        <w:t>al egresar</w:t>
      </w:r>
      <w:r w:rsidRPr="00F83A8B">
        <w:rPr>
          <w:rFonts w:ascii="Arial" w:hAnsi="Arial" w:cs="Arial"/>
          <w:sz w:val="24"/>
          <w:szCs w:val="24"/>
        </w:rPr>
        <w:t xml:space="preserve">. </w:t>
      </w:r>
      <w:r>
        <w:rPr>
          <w:rFonts w:ascii="Arial" w:hAnsi="Arial" w:cs="Arial"/>
          <w:sz w:val="24"/>
          <w:szCs w:val="24"/>
        </w:rPr>
        <w:t>E</w:t>
      </w:r>
      <w:r w:rsidRPr="00F83A8B">
        <w:rPr>
          <w:rFonts w:ascii="Arial" w:hAnsi="Arial" w:cs="Arial"/>
          <w:sz w:val="24"/>
          <w:szCs w:val="24"/>
        </w:rPr>
        <w:t>l empleo de empresas o laboratorios</w:t>
      </w:r>
      <w:r>
        <w:rPr>
          <w:rFonts w:ascii="Arial" w:hAnsi="Arial" w:cs="Arial"/>
          <w:sz w:val="24"/>
          <w:szCs w:val="24"/>
        </w:rPr>
        <w:t>,</w:t>
      </w:r>
      <w:r w:rsidRPr="00F83A8B">
        <w:rPr>
          <w:rFonts w:ascii="Arial" w:hAnsi="Arial" w:cs="Arial"/>
          <w:sz w:val="24"/>
          <w:szCs w:val="24"/>
        </w:rPr>
        <w:t xml:space="preserve"> simulados y virtuales, constituye un reto en el proceso de enseñanza-aprendizaje, </w:t>
      </w:r>
      <w:r>
        <w:rPr>
          <w:rFonts w:ascii="Arial" w:hAnsi="Arial" w:cs="Arial"/>
          <w:sz w:val="24"/>
          <w:szCs w:val="24"/>
        </w:rPr>
        <w:t>al</w:t>
      </w:r>
      <w:r w:rsidRPr="00F83A8B">
        <w:rPr>
          <w:rFonts w:ascii="Arial" w:hAnsi="Arial" w:cs="Arial"/>
          <w:sz w:val="24"/>
          <w:szCs w:val="24"/>
        </w:rPr>
        <w:t xml:space="preserve"> ofrece</w:t>
      </w:r>
      <w:r>
        <w:rPr>
          <w:rFonts w:ascii="Arial" w:hAnsi="Arial" w:cs="Arial"/>
          <w:sz w:val="24"/>
          <w:szCs w:val="24"/>
        </w:rPr>
        <w:t>r</w:t>
      </w:r>
      <w:r w:rsidRPr="00F83A8B">
        <w:rPr>
          <w:rFonts w:ascii="Arial" w:hAnsi="Arial" w:cs="Arial"/>
          <w:sz w:val="24"/>
          <w:szCs w:val="24"/>
        </w:rPr>
        <w:t xml:space="preserve"> a los estudiantes herramientas metodológicas para </w:t>
      </w:r>
      <w:r>
        <w:rPr>
          <w:rFonts w:ascii="Arial" w:hAnsi="Arial" w:cs="Arial"/>
          <w:sz w:val="24"/>
          <w:szCs w:val="24"/>
        </w:rPr>
        <w:t>resolver</w:t>
      </w:r>
      <w:r w:rsidRPr="00F83A8B">
        <w:rPr>
          <w:rFonts w:ascii="Arial" w:hAnsi="Arial" w:cs="Arial"/>
          <w:sz w:val="24"/>
          <w:szCs w:val="24"/>
        </w:rPr>
        <w:t xml:space="preserve"> </w:t>
      </w:r>
      <w:r w:rsidRPr="00EC13DE">
        <w:rPr>
          <w:rFonts w:ascii="Arial" w:hAnsi="Arial" w:cs="Arial"/>
          <w:sz w:val="24"/>
          <w:szCs w:val="24"/>
        </w:rPr>
        <w:t xml:space="preserve">problemas </w:t>
      </w:r>
      <w:r>
        <w:rPr>
          <w:rFonts w:ascii="Arial" w:hAnsi="Arial" w:cs="Arial"/>
          <w:sz w:val="24"/>
          <w:szCs w:val="24"/>
        </w:rPr>
        <w:t>relacionados con su carrera, proveer e</w:t>
      </w:r>
      <w:r w:rsidRPr="00EC13DE">
        <w:rPr>
          <w:rFonts w:ascii="Arial" w:hAnsi="Arial" w:cs="Arial"/>
          <w:sz w:val="24"/>
          <w:szCs w:val="24"/>
        </w:rPr>
        <w:t>l desarrollo de la creativid</w:t>
      </w:r>
      <w:r w:rsidRPr="00F83A8B">
        <w:rPr>
          <w:rFonts w:ascii="Arial" w:hAnsi="Arial" w:cs="Arial"/>
          <w:sz w:val="24"/>
          <w:szCs w:val="24"/>
        </w:rPr>
        <w:t xml:space="preserve">ad y el pensamiento lógico, en </w:t>
      </w:r>
      <w:r>
        <w:rPr>
          <w:rFonts w:ascii="Arial" w:hAnsi="Arial" w:cs="Arial"/>
          <w:sz w:val="24"/>
          <w:szCs w:val="24"/>
        </w:rPr>
        <w:t>acuerdo con</w:t>
      </w:r>
      <w:r w:rsidRPr="00F83A8B">
        <w:rPr>
          <w:rFonts w:ascii="Arial" w:hAnsi="Arial" w:cs="Arial"/>
          <w:sz w:val="24"/>
          <w:szCs w:val="24"/>
        </w:rPr>
        <w:t xml:space="preserve"> </w:t>
      </w:r>
      <w:r>
        <w:rPr>
          <w:rFonts w:ascii="Arial" w:hAnsi="Arial" w:cs="Arial"/>
          <w:sz w:val="24"/>
          <w:szCs w:val="24"/>
        </w:rPr>
        <w:t>sus</w:t>
      </w:r>
      <w:r w:rsidRPr="00F83A8B">
        <w:rPr>
          <w:rFonts w:ascii="Arial" w:hAnsi="Arial" w:cs="Arial"/>
          <w:sz w:val="24"/>
          <w:szCs w:val="24"/>
        </w:rPr>
        <w:t xml:space="preserve"> vivencias</w:t>
      </w:r>
      <w:r>
        <w:rPr>
          <w:rFonts w:ascii="Arial" w:hAnsi="Arial" w:cs="Arial"/>
          <w:sz w:val="24"/>
          <w:szCs w:val="24"/>
        </w:rPr>
        <w:t xml:space="preserve"> y</w:t>
      </w:r>
      <w:r w:rsidRPr="00F83A8B">
        <w:rPr>
          <w:rFonts w:ascii="Arial" w:hAnsi="Arial" w:cs="Arial"/>
          <w:sz w:val="24"/>
          <w:szCs w:val="24"/>
        </w:rPr>
        <w:t xml:space="preserve"> en armonía con una educación en valores </w:t>
      </w:r>
      <w:r>
        <w:rPr>
          <w:rFonts w:ascii="Arial" w:hAnsi="Arial" w:cs="Arial"/>
          <w:sz w:val="24"/>
          <w:szCs w:val="24"/>
        </w:rPr>
        <w:t>promovida</w:t>
      </w:r>
      <w:r w:rsidRPr="00F83A8B">
        <w:rPr>
          <w:rFonts w:ascii="Arial" w:hAnsi="Arial" w:cs="Arial"/>
          <w:sz w:val="24"/>
          <w:szCs w:val="24"/>
        </w:rPr>
        <w:t xml:space="preserve"> </w:t>
      </w:r>
      <w:r>
        <w:rPr>
          <w:rFonts w:ascii="Arial" w:hAnsi="Arial" w:cs="Arial"/>
          <w:sz w:val="24"/>
          <w:szCs w:val="24"/>
        </w:rPr>
        <w:t xml:space="preserve">por </w:t>
      </w:r>
      <w:r w:rsidRPr="00F83A8B">
        <w:rPr>
          <w:rFonts w:ascii="Arial" w:hAnsi="Arial" w:cs="Arial"/>
          <w:sz w:val="24"/>
          <w:szCs w:val="24"/>
        </w:rPr>
        <w:t xml:space="preserve">el profesor, que </w:t>
      </w:r>
      <w:r>
        <w:rPr>
          <w:rFonts w:ascii="Arial" w:hAnsi="Arial" w:cs="Arial"/>
          <w:sz w:val="24"/>
          <w:szCs w:val="24"/>
        </w:rPr>
        <w:t>involucre</w:t>
      </w:r>
      <w:r w:rsidRPr="00F83A8B">
        <w:rPr>
          <w:rFonts w:ascii="Arial" w:hAnsi="Arial" w:cs="Arial"/>
          <w:sz w:val="24"/>
          <w:szCs w:val="24"/>
        </w:rPr>
        <w:t xml:space="preserve"> la investigación y la extensión universitaria.</w:t>
      </w:r>
    </w:p>
    <w:p w:rsidR="004C44CE" w:rsidRPr="00F83A8B" w:rsidRDefault="004C44CE" w:rsidP="004C44CE">
      <w:pPr>
        <w:spacing w:after="0" w:line="240" w:lineRule="auto"/>
        <w:ind w:firstLine="550"/>
        <w:jc w:val="both"/>
        <w:rPr>
          <w:rFonts w:ascii="Arial" w:hAnsi="Arial" w:cs="Arial"/>
          <w:sz w:val="24"/>
          <w:szCs w:val="24"/>
        </w:rPr>
      </w:pPr>
      <w:r w:rsidRPr="00EC13DE">
        <w:rPr>
          <w:rFonts w:ascii="Arial" w:hAnsi="Arial" w:cs="Arial"/>
          <w:sz w:val="24"/>
          <w:szCs w:val="24"/>
        </w:rPr>
        <w:t xml:space="preserve">En el presente trabajo se hace un análisis de los conceptos básicos necesarios para el planteamiento de la gestión de la educación, haciendo énfasis en la manera como se ha desarrollado en Cuba, en </w:t>
      </w:r>
      <w:r>
        <w:rPr>
          <w:rFonts w:ascii="Arial" w:hAnsi="Arial" w:cs="Arial"/>
          <w:sz w:val="24"/>
          <w:szCs w:val="24"/>
        </w:rPr>
        <w:t>algunos</w:t>
      </w:r>
      <w:r w:rsidRPr="00EC13DE">
        <w:rPr>
          <w:rFonts w:ascii="Arial" w:hAnsi="Arial" w:cs="Arial"/>
          <w:sz w:val="24"/>
          <w:szCs w:val="24"/>
        </w:rPr>
        <w:t xml:space="preserve"> centros de educación superior. </w:t>
      </w:r>
      <w:r>
        <w:rPr>
          <w:rFonts w:ascii="Arial" w:hAnsi="Arial" w:cs="Arial"/>
          <w:sz w:val="24"/>
          <w:szCs w:val="24"/>
        </w:rPr>
        <w:t>S</w:t>
      </w:r>
      <w:r w:rsidRPr="00EC13DE">
        <w:rPr>
          <w:rFonts w:ascii="Arial" w:hAnsi="Arial" w:cs="Arial"/>
          <w:sz w:val="24"/>
          <w:szCs w:val="24"/>
        </w:rPr>
        <w:t xml:space="preserve">e hace un breve análisis de la categoría Educación, para después vincularlo a </w:t>
      </w:r>
      <w:smartTag w:uri="urn:schemas-microsoft-com:office:smarttags" w:element="PersonName">
        <w:smartTagPr>
          <w:attr w:name="ProductID" w:val="la Teor￭a"/>
        </w:smartTagPr>
        <w:r w:rsidRPr="00EC13DE">
          <w:rPr>
            <w:rFonts w:ascii="Arial" w:hAnsi="Arial" w:cs="Arial"/>
            <w:sz w:val="24"/>
            <w:szCs w:val="24"/>
          </w:rPr>
          <w:t>la Teoría</w:t>
        </w:r>
      </w:smartTag>
      <w:r w:rsidRPr="00EC13DE">
        <w:rPr>
          <w:rFonts w:ascii="Arial" w:hAnsi="Arial" w:cs="Arial"/>
          <w:sz w:val="24"/>
          <w:szCs w:val="24"/>
        </w:rPr>
        <w:t xml:space="preserve"> de </w:t>
      </w:r>
      <w:smartTag w:uri="urn:schemas-microsoft-com:office:smarttags" w:element="PersonName">
        <w:smartTagPr>
          <w:attr w:name="ProductID" w:val="la Educaci￳n"/>
        </w:smartTagPr>
        <w:r w:rsidRPr="00EC13DE">
          <w:rPr>
            <w:rFonts w:ascii="Arial" w:hAnsi="Arial" w:cs="Arial"/>
            <w:sz w:val="24"/>
            <w:szCs w:val="24"/>
          </w:rPr>
          <w:t>la Educación</w:t>
        </w:r>
      </w:smartTag>
      <w:r w:rsidRPr="00EC13DE">
        <w:rPr>
          <w:rFonts w:ascii="Arial" w:hAnsi="Arial" w:cs="Arial"/>
          <w:sz w:val="24"/>
          <w:szCs w:val="24"/>
        </w:rPr>
        <w:t xml:space="preserve"> en Valores. Posteriormente se discuten los llamados Estilos de Aprendizaje, para finalmente exponer la manera como estas ideas se han aplicado en el modelo cubano de Educación.</w:t>
      </w:r>
      <w:r w:rsidRPr="00F83A8B">
        <w:rPr>
          <w:rFonts w:ascii="Arial" w:hAnsi="Arial" w:cs="Arial"/>
          <w:sz w:val="24"/>
          <w:szCs w:val="24"/>
        </w:rPr>
        <w:t xml:space="preserve"> </w:t>
      </w:r>
    </w:p>
    <w:p w:rsidR="004C44CE" w:rsidRDefault="004C44CE" w:rsidP="004C44CE">
      <w:pPr>
        <w:autoSpaceDE w:val="0"/>
        <w:autoSpaceDN w:val="0"/>
        <w:adjustRightInd w:val="0"/>
        <w:spacing w:after="0" w:line="240" w:lineRule="auto"/>
        <w:ind w:firstLine="550"/>
        <w:jc w:val="both"/>
        <w:rPr>
          <w:rFonts w:ascii="Arial" w:hAnsi="Arial" w:cs="Arial"/>
          <w:b/>
          <w:sz w:val="24"/>
          <w:szCs w:val="24"/>
        </w:rPr>
      </w:pPr>
    </w:p>
    <w:p w:rsidR="004C44CE" w:rsidRPr="00540F8E" w:rsidRDefault="004C44CE" w:rsidP="004C44CE">
      <w:pPr>
        <w:pStyle w:val="1Titulo"/>
        <w:numPr>
          <w:ilvl w:val="0"/>
          <w:numId w:val="0"/>
        </w:numPr>
        <w:ind w:left="357"/>
      </w:pPr>
      <w:bookmarkStart w:id="385" w:name="_Toc50031432"/>
      <w:r w:rsidRPr="00540F8E">
        <w:t>3. Condiciones experimentales</w:t>
      </w:r>
      <w:bookmarkEnd w:id="385"/>
    </w:p>
    <w:p w:rsidR="004C44CE" w:rsidRPr="003C25A3" w:rsidRDefault="004C44CE" w:rsidP="004C44CE">
      <w:pPr>
        <w:autoSpaceDE w:val="0"/>
        <w:autoSpaceDN w:val="0"/>
        <w:adjustRightInd w:val="0"/>
        <w:spacing w:after="0" w:line="240" w:lineRule="auto"/>
        <w:ind w:firstLine="550"/>
        <w:jc w:val="both"/>
        <w:rPr>
          <w:rFonts w:ascii="Arial" w:hAnsi="Arial" w:cs="Arial"/>
          <w:color w:val="000000"/>
          <w:sz w:val="24"/>
          <w:szCs w:val="24"/>
          <w:lang w:eastAsia="es-MX"/>
        </w:rPr>
      </w:pPr>
      <w:r w:rsidRPr="003C25A3">
        <w:rPr>
          <w:rFonts w:ascii="Arial" w:hAnsi="Arial" w:cs="Arial"/>
          <w:color w:val="000000"/>
          <w:sz w:val="24"/>
          <w:szCs w:val="24"/>
          <w:lang w:eastAsia="es-MX"/>
        </w:rPr>
        <w:lastRenderedPageBreak/>
        <w:t xml:space="preserve">Para </w:t>
      </w:r>
      <w:r>
        <w:rPr>
          <w:rFonts w:ascii="Arial" w:hAnsi="Arial" w:cs="Arial"/>
          <w:color w:val="000000"/>
          <w:sz w:val="24"/>
          <w:szCs w:val="24"/>
          <w:lang w:eastAsia="es-MX"/>
        </w:rPr>
        <w:t>la obtención de los resultados</w:t>
      </w:r>
      <w:r w:rsidRPr="003C25A3">
        <w:rPr>
          <w:rFonts w:ascii="Arial" w:hAnsi="Arial" w:cs="Arial"/>
          <w:color w:val="000000"/>
          <w:sz w:val="24"/>
          <w:szCs w:val="24"/>
          <w:lang w:eastAsia="es-MX"/>
        </w:rPr>
        <w:t xml:space="preserve"> </w:t>
      </w:r>
      <w:r>
        <w:rPr>
          <w:rFonts w:ascii="Arial" w:hAnsi="Arial" w:cs="Arial"/>
          <w:color w:val="000000"/>
          <w:sz w:val="24"/>
          <w:szCs w:val="24"/>
          <w:lang w:eastAsia="es-MX"/>
        </w:rPr>
        <w:t>se</w:t>
      </w:r>
      <w:r w:rsidRPr="003C25A3">
        <w:rPr>
          <w:rFonts w:ascii="Arial" w:hAnsi="Arial" w:cs="Arial"/>
          <w:color w:val="000000"/>
          <w:sz w:val="24"/>
          <w:szCs w:val="24"/>
          <w:lang w:eastAsia="es-MX"/>
        </w:rPr>
        <w:t xml:space="preserve"> </w:t>
      </w:r>
      <w:r>
        <w:rPr>
          <w:rFonts w:ascii="Arial" w:hAnsi="Arial" w:cs="Arial"/>
          <w:color w:val="000000"/>
          <w:sz w:val="24"/>
          <w:szCs w:val="24"/>
          <w:lang w:eastAsia="es-MX"/>
        </w:rPr>
        <w:t>asumió</w:t>
      </w:r>
      <w:r w:rsidRPr="003C25A3">
        <w:rPr>
          <w:rFonts w:ascii="Arial" w:hAnsi="Arial" w:cs="Arial"/>
          <w:color w:val="000000"/>
          <w:sz w:val="24"/>
          <w:szCs w:val="24"/>
          <w:lang w:eastAsia="es-MX"/>
        </w:rPr>
        <w:t xml:space="preserve"> como método general el método dialéctico-</w:t>
      </w:r>
      <w:r>
        <w:rPr>
          <w:rFonts w:ascii="Arial" w:hAnsi="Arial" w:cs="Arial"/>
          <w:color w:val="000000"/>
          <w:sz w:val="24"/>
          <w:szCs w:val="24"/>
          <w:lang w:eastAsia="es-MX"/>
        </w:rPr>
        <w:t>materialista, que permite</w:t>
      </w:r>
      <w:r w:rsidRPr="003C25A3">
        <w:rPr>
          <w:rFonts w:ascii="Arial" w:hAnsi="Arial" w:cs="Arial"/>
          <w:color w:val="000000"/>
          <w:sz w:val="24"/>
          <w:szCs w:val="24"/>
          <w:lang w:eastAsia="es-MX"/>
        </w:rPr>
        <w:t xml:space="preserve"> el estudio del objeto como un proceso, la determinación de las principales relaciones dialécticas, sus contradicciones y la integración de otros métodos. </w:t>
      </w:r>
      <w:r>
        <w:rPr>
          <w:rFonts w:ascii="Arial" w:hAnsi="Arial" w:cs="Arial"/>
          <w:color w:val="000000"/>
          <w:sz w:val="24"/>
          <w:szCs w:val="24"/>
          <w:lang w:eastAsia="es-MX"/>
        </w:rPr>
        <w:t>S</w:t>
      </w:r>
      <w:r w:rsidRPr="003C25A3">
        <w:rPr>
          <w:rFonts w:ascii="Arial" w:hAnsi="Arial" w:cs="Arial"/>
          <w:color w:val="000000"/>
          <w:sz w:val="24"/>
          <w:szCs w:val="24"/>
          <w:lang w:eastAsia="es-MX"/>
        </w:rPr>
        <w:t xml:space="preserve">e </w:t>
      </w:r>
      <w:r>
        <w:rPr>
          <w:rFonts w:ascii="Arial" w:hAnsi="Arial" w:cs="Arial"/>
          <w:color w:val="000000"/>
          <w:sz w:val="24"/>
          <w:szCs w:val="24"/>
          <w:lang w:eastAsia="es-MX"/>
        </w:rPr>
        <w:t>usaron</w:t>
      </w:r>
      <w:r w:rsidRPr="003C25A3">
        <w:rPr>
          <w:rFonts w:ascii="Arial" w:hAnsi="Arial" w:cs="Arial"/>
          <w:color w:val="000000"/>
          <w:sz w:val="24"/>
          <w:szCs w:val="24"/>
          <w:lang w:eastAsia="es-MX"/>
        </w:rPr>
        <w:t xml:space="preserve"> métodos teórico</w:t>
      </w:r>
      <w:r>
        <w:rPr>
          <w:rFonts w:ascii="Arial" w:hAnsi="Arial" w:cs="Arial"/>
          <w:color w:val="000000"/>
          <w:sz w:val="24"/>
          <w:szCs w:val="24"/>
          <w:lang w:eastAsia="es-MX"/>
        </w:rPr>
        <w:t>s</w:t>
      </w:r>
      <w:r w:rsidRPr="003C25A3">
        <w:rPr>
          <w:rFonts w:ascii="Arial" w:hAnsi="Arial" w:cs="Arial"/>
          <w:color w:val="000000"/>
          <w:sz w:val="24"/>
          <w:szCs w:val="24"/>
          <w:lang w:eastAsia="es-MX"/>
        </w:rPr>
        <w:t xml:space="preserve"> </w:t>
      </w:r>
      <w:r>
        <w:rPr>
          <w:rFonts w:ascii="Arial" w:hAnsi="Arial" w:cs="Arial"/>
          <w:color w:val="000000"/>
          <w:sz w:val="24"/>
          <w:szCs w:val="24"/>
          <w:lang w:eastAsia="es-MX"/>
        </w:rPr>
        <w:t>para la</w:t>
      </w:r>
      <w:r w:rsidRPr="003C25A3">
        <w:rPr>
          <w:rFonts w:ascii="Arial" w:hAnsi="Arial" w:cs="Arial"/>
          <w:color w:val="000000"/>
          <w:sz w:val="24"/>
          <w:szCs w:val="24"/>
          <w:lang w:eastAsia="es-MX"/>
        </w:rPr>
        <w:t xml:space="preserve"> comprensión de los hechos y fenómenos asociados al objeto de estudio. Se utilizó el método histórico-lógico, para la sistematización teórica de las cate</w:t>
      </w:r>
      <w:r>
        <w:rPr>
          <w:rFonts w:ascii="Arial" w:hAnsi="Arial" w:cs="Arial"/>
          <w:color w:val="000000"/>
          <w:sz w:val="24"/>
          <w:szCs w:val="24"/>
          <w:lang w:eastAsia="es-MX"/>
        </w:rPr>
        <w:t>gorías Educación, Educación en V</w:t>
      </w:r>
      <w:r w:rsidRPr="003C25A3">
        <w:rPr>
          <w:rFonts w:ascii="Arial" w:hAnsi="Arial" w:cs="Arial"/>
          <w:color w:val="000000"/>
          <w:sz w:val="24"/>
          <w:szCs w:val="24"/>
          <w:lang w:eastAsia="es-MX"/>
        </w:rPr>
        <w:t xml:space="preserve">alores y gestión y la revelación de su esencia, necesidades y regularidades en su devenir </w:t>
      </w:r>
      <w:r w:rsidRPr="00AB5ED2">
        <w:rPr>
          <w:rFonts w:ascii="Arial" w:hAnsi="Arial" w:cs="Arial"/>
          <w:sz w:val="24"/>
          <w:szCs w:val="24"/>
          <w:lang w:eastAsia="es-MX"/>
        </w:rPr>
        <w:t xml:space="preserve">histórico. El método de modelación, para las abstracciones necesarias y fundamentar el proceso estudiado. El método sistémico-estructural, con la modelación, permitió determinar los elementos del plan de trabajo metodológico, y las funciones cíclicas para un proceso de gestión de la educación en valores, sus niveles, sus relaciones y los componentes de la estrategia educativa. </w:t>
      </w:r>
      <w:r w:rsidRPr="003C25A3">
        <w:rPr>
          <w:rFonts w:ascii="Arial" w:hAnsi="Arial" w:cs="Arial"/>
          <w:color w:val="000000"/>
          <w:sz w:val="24"/>
          <w:szCs w:val="24"/>
          <w:lang w:eastAsia="es-MX"/>
        </w:rPr>
        <w:t xml:space="preserve"> Los métodos empírico</w:t>
      </w:r>
      <w:r>
        <w:rPr>
          <w:rFonts w:ascii="Arial" w:hAnsi="Arial" w:cs="Arial"/>
          <w:color w:val="000000"/>
          <w:sz w:val="24"/>
          <w:szCs w:val="24"/>
          <w:lang w:eastAsia="es-MX"/>
        </w:rPr>
        <w:t>s</w:t>
      </w:r>
      <w:r w:rsidRPr="003C25A3">
        <w:rPr>
          <w:rFonts w:ascii="Arial" w:hAnsi="Arial" w:cs="Arial"/>
          <w:color w:val="000000"/>
          <w:sz w:val="24"/>
          <w:szCs w:val="24"/>
          <w:lang w:eastAsia="es-MX"/>
        </w:rPr>
        <w:t xml:space="preserve"> </w:t>
      </w:r>
      <w:r>
        <w:rPr>
          <w:rFonts w:ascii="Arial" w:hAnsi="Arial" w:cs="Arial"/>
          <w:color w:val="000000"/>
          <w:sz w:val="24"/>
          <w:szCs w:val="24"/>
          <w:lang w:eastAsia="es-MX"/>
        </w:rPr>
        <w:t>permitieron</w:t>
      </w:r>
      <w:r w:rsidRPr="003C25A3">
        <w:rPr>
          <w:rFonts w:ascii="Arial" w:hAnsi="Arial" w:cs="Arial"/>
          <w:color w:val="000000"/>
          <w:sz w:val="24"/>
          <w:szCs w:val="24"/>
          <w:lang w:eastAsia="es-MX"/>
        </w:rPr>
        <w:t xml:space="preserve"> obtener información </w:t>
      </w:r>
      <w:r>
        <w:rPr>
          <w:rFonts w:ascii="Arial" w:hAnsi="Arial" w:cs="Arial"/>
          <w:color w:val="000000"/>
          <w:sz w:val="24"/>
          <w:szCs w:val="24"/>
          <w:lang w:eastAsia="es-MX"/>
        </w:rPr>
        <w:t>sobre</w:t>
      </w:r>
      <w:r w:rsidRPr="003C25A3">
        <w:rPr>
          <w:rFonts w:ascii="Arial" w:hAnsi="Arial" w:cs="Arial"/>
          <w:color w:val="000000"/>
          <w:sz w:val="24"/>
          <w:szCs w:val="24"/>
          <w:lang w:eastAsia="es-MX"/>
        </w:rPr>
        <w:t xml:space="preserve"> las características de</w:t>
      </w:r>
      <w:r>
        <w:rPr>
          <w:rFonts w:ascii="Arial" w:hAnsi="Arial" w:cs="Arial"/>
          <w:color w:val="000000"/>
          <w:sz w:val="24"/>
          <w:szCs w:val="24"/>
          <w:lang w:eastAsia="es-MX"/>
        </w:rPr>
        <w:t>l</w:t>
      </w:r>
      <w:r w:rsidRPr="003C25A3">
        <w:rPr>
          <w:rFonts w:ascii="Arial" w:hAnsi="Arial" w:cs="Arial"/>
          <w:color w:val="000000"/>
          <w:sz w:val="24"/>
          <w:szCs w:val="24"/>
          <w:lang w:eastAsia="es-MX"/>
        </w:rPr>
        <w:t xml:space="preserve"> objeto</w:t>
      </w:r>
      <w:r>
        <w:rPr>
          <w:rFonts w:ascii="Arial" w:hAnsi="Arial" w:cs="Arial"/>
          <w:color w:val="000000"/>
          <w:sz w:val="24"/>
          <w:szCs w:val="24"/>
          <w:lang w:eastAsia="es-MX"/>
        </w:rPr>
        <w:t>,</w:t>
      </w:r>
      <w:r w:rsidRPr="003C25A3">
        <w:rPr>
          <w:rFonts w:ascii="Arial" w:hAnsi="Arial" w:cs="Arial"/>
          <w:color w:val="000000"/>
          <w:sz w:val="24"/>
          <w:szCs w:val="24"/>
          <w:lang w:eastAsia="es-MX"/>
        </w:rPr>
        <w:t xml:space="preserve"> y diferentes datos facilita</w:t>
      </w:r>
      <w:r>
        <w:rPr>
          <w:rFonts w:ascii="Arial" w:hAnsi="Arial" w:cs="Arial"/>
          <w:color w:val="000000"/>
          <w:sz w:val="24"/>
          <w:szCs w:val="24"/>
          <w:lang w:eastAsia="es-MX"/>
        </w:rPr>
        <w:t>ro</w:t>
      </w:r>
      <w:r w:rsidRPr="003C25A3">
        <w:rPr>
          <w:rFonts w:ascii="Arial" w:hAnsi="Arial" w:cs="Arial"/>
          <w:color w:val="000000"/>
          <w:sz w:val="24"/>
          <w:szCs w:val="24"/>
          <w:lang w:eastAsia="es-MX"/>
        </w:rPr>
        <w:t xml:space="preserve">n </w:t>
      </w:r>
      <w:r>
        <w:rPr>
          <w:rFonts w:ascii="Arial" w:hAnsi="Arial" w:cs="Arial"/>
          <w:color w:val="000000"/>
          <w:sz w:val="24"/>
          <w:szCs w:val="24"/>
          <w:lang w:eastAsia="es-MX"/>
        </w:rPr>
        <w:t>la</w:t>
      </w:r>
      <w:r w:rsidRPr="003C25A3">
        <w:rPr>
          <w:rFonts w:ascii="Arial" w:hAnsi="Arial" w:cs="Arial"/>
          <w:color w:val="000000"/>
          <w:sz w:val="24"/>
          <w:szCs w:val="24"/>
          <w:lang w:eastAsia="es-MX"/>
        </w:rPr>
        <w:t xml:space="preserve"> comprensión </w:t>
      </w:r>
      <w:r>
        <w:rPr>
          <w:rFonts w:ascii="Arial" w:hAnsi="Arial" w:cs="Arial"/>
          <w:color w:val="000000"/>
          <w:sz w:val="24"/>
          <w:szCs w:val="24"/>
          <w:lang w:eastAsia="es-MX"/>
        </w:rPr>
        <w:t>sobre él, entre ellos</w:t>
      </w:r>
      <w:r w:rsidRPr="003C25A3">
        <w:rPr>
          <w:rFonts w:ascii="Arial" w:hAnsi="Arial" w:cs="Arial"/>
          <w:color w:val="000000"/>
          <w:sz w:val="24"/>
          <w:szCs w:val="24"/>
          <w:lang w:eastAsia="es-MX"/>
        </w:rPr>
        <w:t xml:space="preserve">: </w:t>
      </w:r>
      <w:r>
        <w:rPr>
          <w:rFonts w:ascii="Arial" w:hAnsi="Arial" w:cs="Arial"/>
          <w:color w:val="000000"/>
          <w:sz w:val="24"/>
          <w:szCs w:val="24"/>
          <w:lang w:eastAsia="es-MX"/>
        </w:rPr>
        <w:t>a</w:t>
      </w:r>
      <w:r w:rsidRPr="003C25A3">
        <w:rPr>
          <w:rFonts w:ascii="Arial" w:hAnsi="Arial" w:cs="Arial"/>
          <w:color w:val="000000"/>
          <w:sz w:val="24"/>
          <w:szCs w:val="24"/>
          <w:lang w:eastAsia="es-MX"/>
        </w:rPr>
        <w:t>nálisis documental</w:t>
      </w:r>
      <w:r>
        <w:rPr>
          <w:rFonts w:ascii="Arial" w:hAnsi="Arial" w:cs="Arial"/>
          <w:color w:val="000000"/>
          <w:sz w:val="24"/>
          <w:szCs w:val="24"/>
          <w:lang w:eastAsia="es-MX"/>
        </w:rPr>
        <w:t>, entrevistas</w:t>
      </w:r>
      <w:r w:rsidRPr="003C25A3">
        <w:rPr>
          <w:rFonts w:ascii="Arial" w:hAnsi="Arial" w:cs="Arial"/>
          <w:color w:val="000000"/>
          <w:sz w:val="24"/>
          <w:szCs w:val="24"/>
          <w:lang w:eastAsia="es-MX"/>
        </w:rPr>
        <w:t xml:space="preserve"> para profundizar en los criterios y experiencias de profesores, estudiantes, jefes de años y directivos</w:t>
      </w:r>
      <w:r>
        <w:rPr>
          <w:rFonts w:ascii="Arial" w:hAnsi="Arial" w:cs="Arial"/>
          <w:color w:val="000000"/>
          <w:sz w:val="24"/>
          <w:szCs w:val="24"/>
          <w:lang w:eastAsia="es-MX"/>
        </w:rPr>
        <w:t>. E</w:t>
      </w:r>
      <w:r w:rsidRPr="003C25A3">
        <w:rPr>
          <w:rFonts w:ascii="Arial" w:hAnsi="Arial" w:cs="Arial"/>
          <w:color w:val="000000"/>
          <w:sz w:val="24"/>
          <w:szCs w:val="24"/>
          <w:lang w:eastAsia="es-MX"/>
        </w:rPr>
        <w:t xml:space="preserve">ncuestas: para recoger información de profesores y estudiantes sobre las características del </w:t>
      </w:r>
      <w:r>
        <w:rPr>
          <w:rFonts w:ascii="Arial" w:hAnsi="Arial" w:cs="Arial"/>
          <w:color w:val="000000"/>
          <w:sz w:val="24"/>
          <w:szCs w:val="24"/>
          <w:lang w:eastAsia="es-MX"/>
        </w:rPr>
        <w:t xml:space="preserve">proceso objeto de investigación. Observación: para constatar </w:t>
      </w:r>
      <w:r w:rsidRPr="003C25A3">
        <w:rPr>
          <w:rFonts w:ascii="Arial" w:hAnsi="Arial" w:cs="Arial"/>
          <w:color w:val="000000"/>
          <w:sz w:val="24"/>
          <w:szCs w:val="24"/>
          <w:lang w:eastAsia="es-MX"/>
        </w:rPr>
        <w:t>el comportamiento de las acciones de la estrategia educativa</w:t>
      </w:r>
      <w:r>
        <w:rPr>
          <w:rFonts w:ascii="Arial" w:hAnsi="Arial" w:cs="Arial"/>
          <w:color w:val="000000"/>
          <w:sz w:val="24"/>
          <w:szCs w:val="24"/>
          <w:lang w:eastAsia="es-MX"/>
        </w:rPr>
        <w:t>,</w:t>
      </w:r>
      <w:r w:rsidRPr="003C25A3">
        <w:rPr>
          <w:rFonts w:ascii="Arial" w:hAnsi="Arial" w:cs="Arial"/>
          <w:color w:val="000000"/>
          <w:sz w:val="24"/>
          <w:szCs w:val="24"/>
          <w:lang w:eastAsia="es-MX"/>
        </w:rPr>
        <w:t xml:space="preserve"> y las incidencias </w:t>
      </w:r>
      <w:r>
        <w:rPr>
          <w:rFonts w:ascii="Arial" w:hAnsi="Arial" w:cs="Arial"/>
          <w:color w:val="000000"/>
          <w:sz w:val="24"/>
          <w:szCs w:val="24"/>
          <w:lang w:eastAsia="es-MX"/>
        </w:rPr>
        <w:t>en la</w:t>
      </w:r>
      <w:r w:rsidRPr="003C25A3">
        <w:rPr>
          <w:rFonts w:ascii="Arial" w:hAnsi="Arial" w:cs="Arial"/>
          <w:color w:val="000000"/>
          <w:sz w:val="24"/>
          <w:szCs w:val="24"/>
          <w:lang w:eastAsia="es-MX"/>
        </w:rPr>
        <w:t xml:space="preserve"> preparación de los profesores para desarrollar </w:t>
      </w:r>
      <w:r>
        <w:rPr>
          <w:rFonts w:ascii="Arial" w:hAnsi="Arial" w:cs="Arial"/>
          <w:color w:val="000000"/>
          <w:sz w:val="24"/>
          <w:szCs w:val="24"/>
          <w:lang w:eastAsia="es-MX"/>
        </w:rPr>
        <w:t>dicho proceso</w:t>
      </w:r>
      <w:r w:rsidRPr="003C25A3">
        <w:rPr>
          <w:rFonts w:ascii="Arial" w:hAnsi="Arial" w:cs="Arial"/>
          <w:color w:val="000000"/>
          <w:sz w:val="24"/>
          <w:szCs w:val="24"/>
          <w:lang w:eastAsia="es-MX"/>
        </w:rPr>
        <w:t xml:space="preserve">.  </w:t>
      </w:r>
    </w:p>
    <w:p w:rsidR="004C44CE" w:rsidRDefault="004C44CE" w:rsidP="004C44CE">
      <w:pPr>
        <w:tabs>
          <w:tab w:val="left" w:pos="567"/>
        </w:tabs>
        <w:autoSpaceDE w:val="0"/>
        <w:autoSpaceDN w:val="0"/>
        <w:adjustRightInd w:val="0"/>
        <w:spacing w:after="0" w:line="240" w:lineRule="auto"/>
        <w:jc w:val="both"/>
        <w:rPr>
          <w:rFonts w:ascii="Arial" w:hAnsi="Arial" w:cs="Arial"/>
          <w:b/>
          <w:sz w:val="24"/>
          <w:szCs w:val="24"/>
        </w:rPr>
      </w:pPr>
    </w:p>
    <w:p w:rsidR="004C44CE" w:rsidRPr="003051B9" w:rsidRDefault="004C44CE" w:rsidP="001D2A3D">
      <w:pPr>
        <w:numPr>
          <w:ilvl w:val="1"/>
          <w:numId w:val="57"/>
        </w:numPr>
        <w:tabs>
          <w:tab w:val="left" w:pos="567"/>
        </w:tabs>
        <w:autoSpaceDE w:val="0"/>
        <w:autoSpaceDN w:val="0"/>
        <w:adjustRightInd w:val="0"/>
        <w:spacing w:after="0" w:line="360" w:lineRule="auto"/>
        <w:ind w:left="357" w:hanging="357"/>
        <w:jc w:val="both"/>
        <w:rPr>
          <w:rFonts w:ascii="Arial" w:hAnsi="Arial" w:cs="Arial"/>
          <w:i/>
          <w:sz w:val="24"/>
          <w:szCs w:val="24"/>
        </w:rPr>
      </w:pPr>
      <w:r w:rsidRPr="003051B9">
        <w:rPr>
          <w:rFonts w:ascii="Arial" w:hAnsi="Arial" w:cs="Arial"/>
          <w:i/>
          <w:sz w:val="24"/>
          <w:szCs w:val="24"/>
        </w:rPr>
        <w:t xml:space="preserve">La categoría Educación, su implicación en </w:t>
      </w:r>
      <w:smartTag w:uri="urn:schemas-microsoft-com:office:smarttags" w:element="PersonName">
        <w:smartTagPr>
          <w:attr w:name="ProductID" w:val="la Educaci￳n"/>
        </w:smartTagPr>
        <w:r w:rsidRPr="003051B9">
          <w:rPr>
            <w:rFonts w:ascii="Arial" w:hAnsi="Arial" w:cs="Arial"/>
            <w:i/>
            <w:sz w:val="24"/>
            <w:szCs w:val="24"/>
          </w:rPr>
          <w:t>la Educación</w:t>
        </w:r>
      </w:smartTag>
      <w:r w:rsidRPr="003051B9">
        <w:rPr>
          <w:rFonts w:ascii="Arial" w:hAnsi="Arial" w:cs="Arial"/>
          <w:i/>
          <w:sz w:val="24"/>
          <w:szCs w:val="24"/>
        </w:rPr>
        <w:t xml:space="preserve"> de Valores</w:t>
      </w:r>
    </w:p>
    <w:p w:rsidR="004C44CE" w:rsidRDefault="004C44CE" w:rsidP="004C44CE">
      <w:pPr>
        <w:autoSpaceDE w:val="0"/>
        <w:autoSpaceDN w:val="0"/>
        <w:adjustRightInd w:val="0"/>
        <w:spacing w:after="0" w:line="240" w:lineRule="auto"/>
        <w:ind w:firstLine="550"/>
        <w:jc w:val="both"/>
        <w:rPr>
          <w:rFonts w:ascii="Arial" w:hAnsi="Arial" w:cs="Arial"/>
          <w:sz w:val="24"/>
          <w:szCs w:val="24"/>
        </w:rPr>
      </w:pPr>
      <w:r w:rsidRPr="00F83A8B">
        <w:rPr>
          <w:rFonts w:ascii="Arial" w:hAnsi="Arial" w:cs="Arial"/>
          <w:sz w:val="24"/>
          <w:szCs w:val="24"/>
        </w:rPr>
        <w:t>Habl</w:t>
      </w:r>
      <w:r>
        <w:rPr>
          <w:rFonts w:ascii="Arial" w:hAnsi="Arial" w:cs="Arial"/>
          <w:sz w:val="24"/>
          <w:szCs w:val="24"/>
        </w:rPr>
        <w:t xml:space="preserve">ar de la categoría Educación </w:t>
      </w:r>
      <w:r w:rsidRPr="00F83A8B">
        <w:rPr>
          <w:rFonts w:ascii="Arial" w:hAnsi="Arial" w:cs="Arial"/>
          <w:sz w:val="24"/>
          <w:szCs w:val="24"/>
        </w:rPr>
        <w:t>lleva a un análisis desde diferentes</w:t>
      </w:r>
      <w:r>
        <w:rPr>
          <w:rFonts w:ascii="Arial" w:hAnsi="Arial" w:cs="Arial"/>
          <w:sz w:val="24"/>
          <w:szCs w:val="24"/>
        </w:rPr>
        <w:t xml:space="preserve"> puntos de vista</w:t>
      </w:r>
      <w:r w:rsidRPr="00F83A8B">
        <w:rPr>
          <w:rFonts w:ascii="Arial" w:hAnsi="Arial" w:cs="Arial"/>
          <w:sz w:val="24"/>
          <w:szCs w:val="24"/>
        </w:rPr>
        <w:t xml:space="preserve"> </w:t>
      </w:r>
      <w:r w:rsidRPr="00EC13DE">
        <w:rPr>
          <w:rFonts w:ascii="Arial" w:hAnsi="Arial" w:cs="Arial"/>
          <w:sz w:val="24"/>
          <w:szCs w:val="24"/>
        </w:rPr>
        <w:t>y dimensiones. Así, Freudenthal</w:t>
      </w:r>
      <w:r w:rsidRPr="002140F6">
        <w:rPr>
          <w:rFonts w:ascii="Arial" w:hAnsi="Arial" w:cs="Arial"/>
          <w:sz w:val="24"/>
          <w:szCs w:val="24"/>
          <w:vertAlign w:val="superscript"/>
        </w:rPr>
        <w:t>[4]</w:t>
      </w:r>
      <w:r w:rsidRPr="00EC13DE">
        <w:rPr>
          <w:rFonts w:ascii="Arial" w:hAnsi="Arial" w:cs="Arial"/>
          <w:sz w:val="24"/>
          <w:szCs w:val="24"/>
        </w:rPr>
        <w:t xml:space="preserve">, considera una relación entre los problemas de las vivencias personales y el desarrollo de la sociedad, que el mismo individuo resuelve. Por su parte Varona </w:t>
      </w:r>
      <w:r>
        <w:rPr>
          <w:rFonts w:ascii="Arial" w:hAnsi="Arial" w:cs="Arial"/>
          <w:sz w:val="24"/>
          <w:szCs w:val="24"/>
        </w:rPr>
        <w:t xml:space="preserve">ya </w:t>
      </w:r>
      <w:r w:rsidRPr="00EC13DE">
        <w:rPr>
          <w:rFonts w:ascii="Arial" w:hAnsi="Arial" w:cs="Arial"/>
          <w:sz w:val="24"/>
          <w:szCs w:val="24"/>
        </w:rPr>
        <w:t>consideraba que una educación integral permitiría formar individuos completos</w:t>
      </w:r>
      <w:r>
        <w:rPr>
          <w:rFonts w:ascii="Arial" w:hAnsi="Arial" w:cs="Arial"/>
          <w:sz w:val="24"/>
          <w:szCs w:val="24"/>
          <w:vertAlign w:val="superscript"/>
        </w:rPr>
        <w:t>[5]</w:t>
      </w:r>
      <w:r w:rsidRPr="00EC13DE">
        <w:rPr>
          <w:rFonts w:ascii="Arial" w:hAnsi="Arial" w:cs="Arial"/>
          <w:sz w:val="24"/>
          <w:szCs w:val="24"/>
        </w:rPr>
        <w:t xml:space="preserve">, </w:t>
      </w:r>
      <w:r>
        <w:rPr>
          <w:rFonts w:ascii="Arial" w:hAnsi="Arial" w:cs="Arial"/>
          <w:sz w:val="24"/>
          <w:szCs w:val="24"/>
        </w:rPr>
        <w:t>esto es, resulta</w:t>
      </w:r>
      <w:r w:rsidRPr="00EC13DE">
        <w:rPr>
          <w:rFonts w:ascii="Arial" w:hAnsi="Arial" w:cs="Arial"/>
          <w:sz w:val="24"/>
          <w:szCs w:val="24"/>
        </w:rPr>
        <w:t xml:space="preserve"> </w:t>
      </w:r>
      <w:r>
        <w:rPr>
          <w:rFonts w:ascii="Arial" w:hAnsi="Arial" w:cs="Arial"/>
          <w:sz w:val="24"/>
          <w:szCs w:val="24"/>
        </w:rPr>
        <w:t>necesario</w:t>
      </w:r>
      <w:r w:rsidRPr="00EC13DE">
        <w:rPr>
          <w:rFonts w:ascii="Arial" w:hAnsi="Arial" w:cs="Arial"/>
          <w:sz w:val="24"/>
          <w:szCs w:val="24"/>
        </w:rPr>
        <w:t xml:space="preserve"> considerar la educación como un proceso </w:t>
      </w:r>
      <w:r>
        <w:rPr>
          <w:rFonts w:ascii="Arial" w:hAnsi="Arial" w:cs="Arial"/>
          <w:sz w:val="24"/>
          <w:szCs w:val="24"/>
        </w:rPr>
        <w:t>con</w:t>
      </w:r>
      <w:r w:rsidRPr="00EC13DE">
        <w:rPr>
          <w:rFonts w:ascii="Arial" w:hAnsi="Arial" w:cs="Arial"/>
          <w:sz w:val="24"/>
          <w:szCs w:val="24"/>
        </w:rPr>
        <w:t xml:space="preserve"> </w:t>
      </w:r>
      <w:r>
        <w:rPr>
          <w:rFonts w:ascii="Arial" w:hAnsi="Arial" w:cs="Arial"/>
          <w:sz w:val="24"/>
          <w:szCs w:val="24"/>
        </w:rPr>
        <w:t>el fin</w:t>
      </w:r>
      <w:r w:rsidRPr="00EC13DE">
        <w:rPr>
          <w:rFonts w:ascii="Arial" w:hAnsi="Arial" w:cs="Arial"/>
          <w:sz w:val="24"/>
          <w:szCs w:val="24"/>
        </w:rPr>
        <w:t xml:space="preserve"> </w:t>
      </w:r>
      <w:r>
        <w:rPr>
          <w:rFonts w:ascii="Arial" w:hAnsi="Arial" w:cs="Arial"/>
          <w:sz w:val="24"/>
          <w:szCs w:val="24"/>
        </w:rPr>
        <w:t>de</w:t>
      </w:r>
      <w:r w:rsidRPr="00EC13DE">
        <w:rPr>
          <w:rFonts w:ascii="Arial" w:hAnsi="Arial" w:cs="Arial"/>
          <w:sz w:val="24"/>
          <w:szCs w:val="24"/>
        </w:rPr>
        <w:t xml:space="preserve"> prepara</w:t>
      </w:r>
      <w:r>
        <w:rPr>
          <w:rFonts w:ascii="Arial" w:hAnsi="Arial" w:cs="Arial"/>
          <w:sz w:val="24"/>
          <w:szCs w:val="24"/>
        </w:rPr>
        <w:t>r</w:t>
      </w:r>
      <w:r w:rsidRPr="00EC13DE">
        <w:rPr>
          <w:rFonts w:ascii="Arial" w:hAnsi="Arial" w:cs="Arial"/>
          <w:sz w:val="24"/>
          <w:szCs w:val="24"/>
        </w:rPr>
        <w:t xml:space="preserve"> </w:t>
      </w:r>
      <w:r>
        <w:rPr>
          <w:rFonts w:ascii="Arial" w:hAnsi="Arial" w:cs="Arial"/>
          <w:sz w:val="24"/>
          <w:szCs w:val="24"/>
        </w:rPr>
        <w:t>al</w:t>
      </w:r>
      <w:r w:rsidRPr="00EC13DE">
        <w:rPr>
          <w:rFonts w:ascii="Arial" w:hAnsi="Arial" w:cs="Arial"/>
          <w:sz w:val="24"/>
          <w:szCs w:val="24"/>
        </w:rPr>
        <w:t xml:space="preserve"> hombre para la vida</w:t>
      </w:r>
      <w:r>
        <w:rPr>
          <w:rFonts w:ascii="Arial" w:hAnsi="Arial" w:cs="Arial"/>
          <w:sz w:val="24"/>
          <w:szCs w:val="24"/>
        </w:rPr>
        <w:t>, con</w:t>
      </w:r>
      <w:r w:rsidRPr="00EC13DE">
        <w:rPr>
          <w:rFonts w:ascii="Arial" w:hAnsi="Arial" w:cs="Arial"/>
          <w:sz w:val="24"/>
          <w:szCs w:val="24"/>
        </w:rPr>
        <w:t xml:space="preserve"> una concepción dialéctico-materialista del mundo</w:t>
      </w:r>
      <w:r>
        <w:rPr>
          <w:rFonts w:ascii="Arial" w:hAnsi="Arial" w:cs="Arial"/>
          <w:sz w:val="24"/>
          <w:szCs w:val="24"/>
        </w:rPr>
        <w:t>,</w:t>
      </w:r>
      <w:r w:rsidRPr="00EC13DE">
        <w:rPr>
          <w:rFonts w:ascii="Arial" w:hAnsi="Arial" w:cs="Arial"/>
          <w:sz w:val="24"/>
          <w:szCs w:val="24"/>
        </w:rPr>
        <w:t xml:space="preserve"> sobre la base sólida de los conocimientos científicos y una conducta moralmente aceptable para la sociedad.</w:t>
      </w:r>
      <w:r w:rsidRPr="00F83A8B">
        <w:rPr>
          <w:rFonts w:ascii="Arial" w:hAnsi="Arial" w:cs="Arial"/>
          <w:sz w:val="24"/>
          <w:szCs w:val="24"/>
        </w:rPr>
        <w:t xml:space="preserve"> </w:t>
      </w:r>
    </w:p>
    <w:p w:rsidR="004C44CE" w:rsidRPr="00E07A2B" w:rsidRDefault="004C44CE" w:rsidP="004C44CE">
      <w:pPr>
        <w:autoSpaceDE w:val="0"/>
        <w:autoSpaceDN w:val="0"/>
        <w:adjustRightInd w:val="0"/>
        <w:spacing w:after="0" w:line="240" w:lineRule="auto"/>
        <w:ind w:firstLine="550"/>
        <w:jc w:val="both"/>
        <w:rPr>
          <w:rFonts w:ascii="Arial" w:hAnsi="Arial" w:cs="Arial"/>
          <w:sz w:val="24"/>
          <w:szCs w:val="24"/>
        </w:rPr>
      </w:pPr>
      <w:r>
        <w:rPr>
          <w:rFonts w:ascii="Arial" w:hAnsi="Arial" w:cs="Arial"/>
          <w:sz w:val="24"/>
          <w:szCs w:val="24"/>
        </w:rPr>
        <w:t>Las referencias anteriores</w:t>
      </w:r>
      <w:r w:rsidRPr="00F83A8B">
        <w:rPr>
          <w:rFonts w:ascii="Arial" w:hAnsi="Arial" w:cs="Arial"/>
          <w:sz w:val="24"/>
          <w:szCs w:val="24"/>
        </w:rPr>
        <w:t xml:space="preserve"> concibe</w:t>
      </w:r>
      <w:r>
        <w:rPr>
          <w:rFonts w:ascii="Arial" w:hAnsi="Arial" w:cs="Arial"/>
          <w:sz w:val="24"/>
          <w:szCs w:val="24"/>
        </w:rPr>
        <w:t>n</w:t>
      </w:r>
      <w:r w:rsidRPr="00F83A8B">
        <w:rPr>
          <w:rFonts w:ascii="Arial" w:hAnsi="Arial" w:cs="Arial"/>
          <w:sz w:val="24"/>
          <w:szCs w:val="24"/>
        </w:rPr>
        <w:t xml:space="preserve"> </w:t>
      </w:r>
      <w:smartTag w:uri="urn:schemas-microsoft-com:office:smarttags" w:element="PersonName">
        <w:smartTagPr>
          <w:attr w:name="ProductID" w:val="la Educaci￳n"/>
        </w:smartTagPr>
        <w:r w:rsidRPr="00F83A8B">
          <w:rPr>
            <w:rFonts w:ascii="Arial" w:hAnsi="Arial" w:cs="Arial"/>
            <w:sz w:val="24"/>
            <w:szCs w:val="24"/>
          </w:rPr>
          <w:t>la Educación</w:t>
        </w:r>
      </w:smartTag>
      <w:r w:rsidRPr="00F83A8B">
        <w:rPr>
          <w:rFonts w:ascii="Arial" w:hAnsi="Arial" w:cs="Arial"/>
          <w:sz w:val="24"/>
          <w:szCs w:val="24"/>
        </w:rPr>
        <w:t xml:space="preserve"> desde las dimensiones: curricular, investigativa y extensionista, para lograr el desarrollo integral de la personalidad</w:t>
      </w:r>
      <w:r w:rsidRPr="0008605C">
        <w:rPr>
          <w:rFonts w:ascii="Arial" w:hAnsi="Arial" w:cs="Arial"/>
          <w:sz w:val="24"/>
          <w:szCs w:val="24"/>
        </w:rPr>
        <w:t xml:space="preserve">. </w:t>
      </w:r>
      <w:r>
        <w:rPr>
          <w:rFonts w:ascii="Arial" w:hAnsi="Arial" w:cs="Arial"/>
          <w:sz w:val="24"/>
          <w:szCs w:val="24"/>
        </w:rPr>
        <w:t>L</w:t>
      </w:r>
      <w:r w:rsidRPr="00F83A8B">
        <w:rPr>
          <w:rFonts w:ascii="Arial" w:hAnsi="Arial" w:cs="Arial"/>
          <w:sz w:val="24"/>
          <w:szCs w:val="24"/>
        </w:rPr>
        <w:t>a delimitación de las tareas del profesor tiene estrecha relación con la extensión que se da al concepto</w:t>
      </w:r>
      <w:r>
        <w:rPr>
          <w:rFonts w:ascii="Arial" w:hAnsi="Arial" w:cs="Arial"/>
          <w:sz w:val="24"/>
          <w:szCs w:val="24"/>
        </w:rPr>
        <w:t>:</w:t>
      </w:r>
      <w:r w:rsidRPr="00F83A8B">
        <w:rPr>
          <w:rFonts w:ascii="Arial" w:hAnsi="Arial" w:cs="Arial"/>
          <w:sz w:val="24"/>
          <w:szCs w:val="24"/>
        </w:rPr>
        <w:t xml:space="preserve"> </w:t>
      </w:r>
      <w:r>
        <w:rPr>
          <w:rFonts w:ascii="Arial" w:hAnsi="Arial" w:cs="Arial"/>
          <w:sz w:val="24"/>
          <w:szCs w:val="24"/>
        </w:rPr>
        <w:t>e</w:t>
      </w:r>
      <w:r w:rsidRPr="00F83A8B">
        <w:rPr>
          <w:rFonts w:ascii="Arial" w:hAnsi="Arial" w:cs="Arial"/>
          <w:sz w:val="24"/>
          <w:szCs w:val="24"/>
        </w:rPr>
        <w:t xml:space="preserve">ducar implica salir del proceso de enseñanza-aprendizaje, extendiendo </w:t>
      </w:r>
      <w:r>
        <w:rPr>
          <w:rFonts w:ascii="Arial" w:hAnsi="Arial" w:cs="Arial"/>
          <w:sz w:val="24"/>
          <w:szCs w:val="24"/>
        </w:rPr>
        <w:t>su influencia</w:t>
      </w:r>
      <w:r w:rsidRPr="00F83A8B">
        <w:rPr>
          <w:rFonts w:ascii="Arial" w:hAnsi="Arial" w:cs="Arial"/>
          <w:sz w:val="24"/>
          <w:szCs w:val="24"/>
        </w:rPr>
        <w:t xml:space="preserve"> a otros contextos y niveles de particip</w:t>
      </w:r>
      <w:r>
        <w:rPr>
          <w:rFonts w:ascii="Arial" w:hAnsi="Arial" w:cs="Arial"/>
          <w:sz w:val="24"/>
          <w:szCs w:val="24"/>
        </w:rPr>
        <w:t>ación. Un concepto más estrecho</w:t>
      </w:r>
      <w:r w:rsidRPr="00F83A8B">
        <w:rPr>
          <w:rFonts w:ascii="Arial" w:hAnsi="Arial" w:cs="Arial"/>
          <w:sz w:val="24"/>
          <w:szCs w:val="24"/>
        </w:rPr>
        <w:t xml:space="preserve"> reducirá el trabajo del </w:t>
      </w:r>
      <w:r>
        <w:rPr>
          <w:rFonts w:ascii="Arial" w:hAnsi="Arial" w:cs="Arial"/>
          <w:sz w:val="24"/>
          <w:szCs w:val="24"/>
        </w:rPr>
        <w:t>profesor</w:t>
      </w:r>
      <w:r w:rsidRPr="00F83A8B">
        <w:rPr>
          <w:rFonts w:ascii="Arial" w:hAnsi="Arial" w:cs="Arial"/>
          <w:sz w:val="24"/>
          <w:szCs w:val="24"/>
        </w:rPr>
        <w:t xml:space="preserve"> </w:t>
      </w:r>
      <w:r>
        <w:rPr>
          <w:rFonts w:ascii="Arial" w:hAnsi="Arial" w:cs="Arial"/>
          <w:sz w:val="24"/>
          <w:szCs w:val="24"/>
        </w:rPr>
        <w:t>a lo</w:t>
      </w:r>
      <w:r w:rsidRPr="00F83A8B">
        <w:rPr>
          <w:rFonts w:ascii="Arial" w:hAnsi="Arial" w:cs="Arial"/>
          <w:sz w:val="24"/>
          <w:szCs w:val="24"/>
        </w:rPr>
        <w:t xml:space="preserve"> escolar y a la transmisión de contenidos y normas pre-elaboradas</w:t>
      </w:r>
      <w:r>
        <w:rPr>
          <w:rFonts w:ascii="Arial" w:hAnsi="Arial" w:cs="Arial"/>
          <w:sz w:val="24"/>
          <w:szCs w:val="24"/>
          <w:vertAlign w:val="superscript"/>
        </w:rPr>
        <w:t>[6]</w:t>
      </w:r>
      <w:r w:rsidRPr="00F13467">
        <w:rPr>
          <w:rFonts w:ascii="Arial" w:hAnsi="Arial" w:cs="Arial"/>
          <w:sz w:val="24"/>
          <w:szCs w:val="24"/>
        </w:rPr>
        <w:t>.</w:t>
      </w:r>
      <w:r w:rsidRPr="00F83A8B">
        <w:rPr>
          <w:rFonts w:ascii="Arial" w:hAnsi="Arial" w:cs="Arial"/>
          <w:sz w:val="24"/>
          <w:szCs w:val="24"/>
        </w:rPr>
        <w:t xml:space="preserve"> </w:t>
      </w:r>
      <w:r>
        <w:rPr>
          <w:rFonts w:ascii="Arial" w:hAnsi="Arial" w:cs="Arial"/>
          <w:sz w:val="24"/>
          <w:szCs w:val="24"/>
        </w:rPr>
        <w:t>La influencia educativa</w:t>
      </w:r>
      <w:r w:rsidRPr="00F83A8B">
        <w:rPr>
          <w:rFonts w:ascii="Arial" w:hAnsi="Arial" w:cs="Arial"/>
          <w:sz w:val="24"/>
          <w:szCs w:val="24"/>
        </w:rPr>
        <w:t xml:space="preserve"> </w:t>
      </w:r>
      <w:r>
        <w:rPr>
          <w:rFonts w:ascii="Arial" w:hAnsi="Arial" w:cs="Arial"/>
          <w:sz w:val="24"/>
          <w:szCs w:val="24"/>
        </w:rPr>
        <w:t>no sólo debe</w:t>
      </w:r>
      <w:r w:rsidRPr="00F83A8B">
        <w:rPr>
          <w:rFonts w:ascii="Arial" w:hAnsi="Arial" w:cs="Arial"/>
          <w:sz w:val="24"/>
          <w:szCs w:val="24"/>
        </w:rPr>
        <w:t xml:space="preserve"> ejercerse en lo curricular (la clase), </w:t>
      </w:r>
      <w:r>
        <w:rPr>
          <w:rFonts w:ascii="Arial" w:hAnsi="Arial" w:cs="Arial"/>
          <w:sz w:val="24"/>
          <w:szCs w:val="24"/>
        </w:rPr>
        <w:t xml:space="preserve">debe extenderse a </w:t>
      </w:r>
      <w:r w:rsidRPr="00F83A8B">
        <w:rPr>
          <w:rFonts w:ascii="Arial" w:hAnsi="Arial" w:cs="Arial"/>
          <w:sz w:val="24"/>
          <w:szCs w:val="24"/>
        </w:rPr>
        <w:t>l</w:t>
      </w:r>
      <w:r>
        <w:rPr>
          <w:rFonts w:ascii="Arial" w:hAnsi="Arial" w:cs="Arial"/>
          <w:sz w:val="24"/>
          <w:szCs w:val="24"/>
        </w:rPr>
        <w:t xml:space="preserve">o extracurricular (investigación, </w:t>
      </w:r>
      <w:r w:rsidRPr="00F83A8B">
        <w:rPr>
          <w:rFonts w:ascii="Arial" w:hAnsi="Arial" w:cs="Arial"/>
          <w:sz w:val="24"/>
          <w:szCs w:val="24"/>
        </w:rPr>
        <w:t>práctica laboral y extensión universitaria</w:t>
      </w:r>
      <w:r>
        <w:rPr>
          <w:rFonts w:ascii="Arial" w:hAnsi="Arial" w:cs="Arial"/>
          <w:sz w:val="24"/>
          <w:szCs w:val="24"/>
        </w:rPr>
        <w:t xml:space="preserve">). </w:t>
      </w:r>
      <w:r w:rsidRPr="00F83A8B">
        <w:rPr>
          <w:rFonts w:ascii="Arial" w:hAnsi="Arial" w:cs="Arial"/>
          <w:sz w:val="24"/>
          <w:szCs w:val="24"/>
        </w:rPr>
        <w:t>Ayala</w:t>
      </w:r>
      <w:r w:rsidRPr="002140F6">
        <w:rPr>
          <w:rFonts w:ascii="Arial" w:hAnsi="Arial" w:cs="Arial"/>
          <w:sz w:val="24"/>
          <w:szCs w:val="24"/>
          <w:vertAlign w:val="superscript"/>
        </w:rPr>
        <w:t>[7]</w:t>
      </w:r>
      <w:r w:rsidRPr="00F83A8B">
        <w:rPr>
          <w:rFonts w:ascii="Arial" w:hAnsi="Arial" w:cs="Arial"/>
          <w:sz w:val="24"/>
          <w:szCs w:val="24"/>
        </w:rPr>
        <w:t xml:space="preserve"> considera</w:t>
      </w:r>
      <w:r>
        <w:rPr>
          <w:rFonts w:ascii="Arial" w:hAnsi="Arial" w:cs="Arial"/>
          <w:sz w:val="24"/>
          <w:szCs w:val="24"/>
        </w:rPr>
        <w:t xml:space="preserve"> que </w:t>
      </w:r>
      <w:r w:rsidRPr="00F83A8B">
        <w:rPr>
          <w:rFonts w:ascii="Arial" w:hAnsi="Arial" w:cs="Arial"/>
          <w:sz w:val="24"/>
          <w:szCs w:val="24"/>
        </w:rPr>
        <w:t>una formación</w:t>
      </w:r>
      <w:r>
        <w:rPr>
          <w:rFonts w:ascii="Arial" w:hAnsi="Arial" w:cs="Arial"/>
          <w:sz w:val="24"/>
          <w:szCs w:val="24"/>
        </w:rPr>
        <w:t xml:space="preserve"> total logra</w:t>
      </w:r>
      <w:r w:rsidRPr="00F83A8B">
        <w:rPr>
          <w:rFonts w:ascii="Arial" w:hAnsi="Arial" w:cs="Arial"/>
          <w:sz w:val="24"/>
          <w:szCs w:val="24"/>
        </w:rPr>
        <w:t xml:space="preserve"> hábitos de conducta, con emociones dirigidas, </w:t>
      </w:r>
      <w:r>
        <w:rPr>
          <w:rFonts w:ascii="Arial" w:hAnsi="Arial" w:cs="Arial"/>
          <w:sz w:val="24"/>
          <w:szCs w:val="24"/>
        </w:rPr>
        <w:t>promoviendo</w:t>
      </w:r>
      <w:r w:rsidRPr="00F83A8B">
        <w:rPr>
          <w:rFonts w:ascii="Arial" w:hAnsi="Arial" w:cs="Arial"/>
          <w:sz w:val="24"/>
          <w:szCs w:val="24"/>
        </w:rPr>
        <w:t xml:space="preserve"> empatía, evitando </w:t>
      </w:r>
      <w:r>
        <w:rPr>
          <w:rFonts w:ascii="Arial" w:hAnsi="Arial" w:cs="Arial"/>
          <w:sz w:val="24"/>
          <w:szCs w:val="24"/>
        </w:rPr>
        <w:t>actitudes contrarias a ésta</w:t>
      </w:r>
      <w:r w:rsidRPr="00F83A8B">
        <w:rPr>
          <w:rFonts w:ascii="Arial" w:hAnsi="Arial" w:cs="Arial"/>
          <w:sz w:val="24"/>
          <w:szCs w:val="24"/>
        </w:rPr>
        <w:t>.</w:t>
      </w:r>
    </w:p>
    <w:p w:rsidR="004C44CE" w:rsidRDefault="004C44CE" w:rsidP="004C44CE">
      <w:pPr>
        <w:autoSpaceDE w:val="0"/>
        <w:autoSpaceDN w:val="0"/>
        <w:adjustRightInd w:val="0"/>
        <w:spacing w:after="0" w:line="240" w:lineRule="auto"/>
        <w:ind w:firstLine="550"/>
        <w:jc w:val="both"/>
        <w:rPr>
          <w:rFonts w:ascii="Arial" w:hAnsi="Arial" w:cs="Arial"/>
          <w:sz w:val="24"/>
          <w:szCs w:val="24"/>
        </w:rPr>
      </w:pPr>
      <w:r w:rsidRPr="00EB06C2">
        <w:rPr>
          <w:rFonts w:ascii="Arial" w:hAnsi="Arial" w:cs="Arial"/>
          <w:sz w:val="24"/>
          <w:szCs w:val="24"/>
        </w:rPr>
        <w:t>A partir de esta diversidad de criterios, se puede considerar que existen puntos coincidentes en los conceptos de Educación, al concebirla como un proceso integrador de todas las influencias educativas dirigidas a la formación de la personalidad integral del estudiante, en vínculo estrecho de lo instructivo con lo educativo, desde una perspectiva tanto curricular como extracurricular en el proceso de formación en la enseñanza superior.</w:t>
      </w:r>
      <w:r>
        <w:rPr>
          <w:rFonts w:ascii="Arial" w:hAnsi="Arial" w:cs="Arial"/>
          <w:sz w:val="24"/>
          <w:szCs w:val="24"/>
        </w:rPr>
        <w:t xml:space="preserve"> </w:t>
      </w:r>
      <w:r w:rsidRPr="00EC13DE">
        <w:rPr>
          <w:rFonts w:ascii="Arial" w:hAnsi="Arial" w:cs="Arial"/>
          <w:sz w:val="24"/>
          <w:szCs w:val="24"/>
        </w:rPr>
        <w:t xml:space="preserve">Las categorías educación en valores, estilos de aprendizaje y proceso de </w:t>
      </w:r>
      <w:r w:rsidRPr="00EC13DE">
        <w:rPr>
          <w:rFonts w:ascii="Arial" w:hAnsi="Arial" w:cs="Arial"/>
          <w:sz w:val="24"/>
          <w:szCs w:val="24"/>
        </w:rPr>
        <w:lastRenderedPageBreak/>
        <w:t>enseñanza, han sido analizadas desde el punto de vista de la enseñanza tradicional (centrada en el profesor), hasta las ideas contemporáneas (aprendizaje centrado en el estudiante).</w:t>
      </w:r>
    </w:p>
    <w:p w:rsidR="004C44CE" w:rsidRPr="00F83A8B" w:rsidRDefault="004C44CE" w:rsidP="004C44CE">
      <w:pPr>
        <w:tabs>
          <w:tab w:val="left" w:pos="567"/>
        </w:tabs>
        <w:spacing w:after="0" w:line="240" w:lineRule="auto"/>
        <w:ind w:right="57" w:firstLine="550"/>
        <w:jc w:val="both"/>
        <w:rPr>
          <w:rFonts w:ascii="Arial" w:hAnsi="Arial" w:cs="Arial"/>
          <w:sz w:val="24"/>
          <w:szCs w:val="24"/>
        </w:rPr>
      </w:pPr>
    </w:p>
    <w:p w:rsidR="004C44CE" w:rsidRPr="00EB06C2" w:rsidRDefault="004C44CE" w:rsidP="001D2A3D">
      <w:pPr>
        <w:pStyle w:val="Sinespaciado"/>
        <w:numPr>
          <w:ilvl w:val="1"/>
          <w:numId w:val="57"/>
        </w:numPr>
        <w:tabs>
          <w:tab w:val="left" w:pos="709"/>
        </w:tabs>
        <w:spacing w:line="360" w:lineRule="auto"/>
        <w:ind w:left="357" w:hanging="357"/>
        <w:jc w:val="both"/>
        <w:rPr>
          <w:rFonts w:ascii="Arial" w:hAnsi="Arial" w:cs="Arial"/>
          <w:i/>
          <w:sz w:val="24"/>
          <w:szCs w:val="24"/>
        </w:rPr>
      </w:pPr>
      <w:r>
        <w:rPr>
          <w:rFonts w:ascii="Arial" w:hAnsi="Arial" w:cs="Arial"/>
          <w:i/>
          <w:sz w:val="24"/>
          <w:szCs w:val="24"/>
        </w:rPr>
        <w:t xml:space="preserve"> </w:t>
      </w:r>
      <w:r w:rsidRPr="00EB06C2">
        <w:rPr>
          <w:rFonts w:ascii="Arial" w:hAnsi="Arial" w:cs="Arial"/>
          <w:i/>
          <w:sz w:val="24"/>
          <w:szCs w:val="24"/>
        </w:rPr>
        <w:t>Educación en va</w:t>
      </w:r>
      <w:r>
        <w:rPr>
          <w:rFonts w:ascii="Arial" w:hAnsi="Arial" w:cs="Arial"/>
          <w:i/>
          <w:sz w:val="24"/>
          <w:szCs w:val="24"/>
        </w:rPr>
        <w:t>lores</w:t>
      </w:r>
    </w:p>
    <w:p w:rsidR="004C44CE" w:rsidRPr="002140F6" w:rsidRDefault="004C44CE" w:rsidP="004C44CE">
      <w:pPr>
        <w:pStyle w:val="Sinespaciado"/>
        <w:ind w:firstLine="550"/>
        <w:jc w:val="both"/>
        <w:rPr>
          <w:rFonts w:ascii="Arial" w:hAnsi="Arial" w:cs="Arial"/>
          <w:sz w:val="24"/>
          <w:szCs w:val="24"/>
          <w:lang w:val="es-MX"/>
        </w:rPr>
      </w:pPr>
      <w:r>
        <w:rPr>
          <w:rFonts w:ascii="Arial" w:hAnsi="Arial" w:cs="Arial"/>
          <w:sz w:val="24"/>
          <w:szCs w:val="24"/>
        </w:rPr>
        <w:t>Para</w:t>
      </w:r>
      <w:r w:rsidRPr="00EC13DE">
        <w:rPr>
          <w:rFonts w:ascii="Arial" w:hAnsi="Arial" w:cs="Arial"/>
          <w:sz w:val="24"/>
          <w:szCs w:val="24"/>
        </w:rPr>
        <w:t xml:space="preserve"> Brezinka</w:t>
      </w:r>
      <w:r w:rsidRPr="002140F6">
        <w:rPr>
          <w:rFonts w:ascii="Arial" w:hAnsi="Arial" w:cs="Arial"/>
          <w:sz w:val="24"/>
          <w:szCs w:val="24"/>
          <w:vertAlign w:val="superscript"/>
        </w:rPr>
        <w:t>[8]</w:t>
      </w:r>
      <w:r w:rsidRPr="00EC13DE">
        <w:rPr>
          <w:rFonts w:ascii="Arial" w:hAnsi="Arial" w:cs="Arial"/>
          <w:sz w:val="24"/>
          <w:szCs w:val="24"/>
        </w:rPr>
        <w:t xml:space="preserve"> la educación en valores </w:t>
      </w:r>
      <w:r>
        <w:rPr>
          <w:rFonts w:ascii="Arial" w:hAnsi="Arial" w:cs="Arial"/>
          <w:sz w:val="24"/>
          <w:szCs w:val="24"/>
        </w:rPr>
        <w:t>es</w:t>
      </w:r>
      <w:r w:rsidRPr="00EC13DE">
        <w:rPr>
          <w:rFonts w:ascii="Arial" w:hAnsi="Arial" w:cs="Arial"/>
          <w:sz w:val="24"/>
          <w:szCs w:val="24"/>
        </w:rPr>
        <w:t xml:space="preserve"> una corrección de la democracia liberal a favor de ciertas virtudes cívicas imprescindibles y de deberes fundamentales que los individuos tienen con la colectividad. Chacón</w:t>
      </w:r>
      <w:r>
        <w:rPr>
          <w:rFonts w:ascii="Arial" w:hAnsi="Arial" w:cs="Arial"/>
          <w:sz w:val="24"/>
          <w:szCs w:val="24"/>
          <w:vertAlign w:val="superscript"/>
        </w:rPr>
        <w:t>[9]</w:t>
      </w:r>
      <w:r w:rsidRPr="00EC13DE">
        <w:rPr>
          <w:rFonts w:ascii="Arial" w:hAnsi="Arial" w:cs="Arial"/>
          <w:sz w:val="24"/>
          <w:szCs w:val="24"/>
        </w:rPr>
        <w:t xml:space="preserve"> </w:t>
      </w:r>
      <w:r>
        <w:rPr>
          <w:rFonts w:ascii="Arial" w:hAnsi="Arial" w:cs="Arial"/>
          <w:bCs/>
          <w:sz w:val="24"/>
          <w:szCs w:val="24"/>
          <w:lang w:val="es-MX"/>
        </w:rPr>
        <w:t>la considera</w:t>
      </w:r>
      <w:r w:rsidRPr="00EC13DE">
        <w:rPr>
          <w:rFonts w:ascii="Arial" w:hAnsi="Arial" w:cs="Arial"/>
          <w:bCs/>
          <w:sz w:val="24"/>
          <w:szCs w:val="24"/>
          <w:lang w:val="es-MX"/>
        </w:rPr>
        <w:t xml:space="preserve"> trabajo pedagógico,</w:t>
      </w:r>
      <w:r w:rsidRPr="00EC13DE">
        <w:rPr>
          <w:rFonts w:ascii="Arial" w:hAnsi="Arial" w:cs="Arial"/>
          <w:bCs/>
          <w:sz w:val="24"/>
          <w:szCs w:val="24"/>
        </w:rPr>
        <w:t xml:space="preserve"> </w:t>
      </w:r>
      <w:r>
        <w:rPr>
          <w:rFonts w:ascii="Arial" w:hAnsi="Arial" w:cs="Arial"/>
          <w:bCs/>
          <w:sz w:val="24"/>
          <w:szCs w:val="24"/>
        </w:rPr>
        <w:t>basado en</w:t>
      </w:r>
      <w:r w:rsidRPr="00EC13DE">
        <w:rPr>
          <w:rFonts w:ascii="Arial" w:hAnsi="Arial" w:cs="Arial"/>
          <w:bCs/>
          <w:sz w:val="24"/>
          <w:szCs w:val="24"/>
        </w:rPr>
        <w:t xml:space="preserve"> un </w:t>
      </w:r>
      <w:r w:rsidRPr="00EC13DE">
        <w:rPr>
          <w:rFonts w:ascii="Arial" w:hAnsi="Arial" w:cs="Arial"/>
          <w:bCs/>
          <w:sz w:val="24"/>
          <w:szCs w:val="24"/>
          <w:lang w:val="es-MX"/>
        </w:rPr>
        <w:t>proces</w:t>
      </w:r>
      <w:r>
        <w:rPr>
          <w:rFonts w:ascii="Arial" w:hAnsi="Arial" w:cs="Arial"/>
          <w:bCs/>
          <w:sz w:val="24"/>
          <w:szCs w:val="24"/>
          <w:lang w:val="es-MX"/>
        </w:rPr>
        <w:t xml:space="preserve">o interactivo e intersubjetivo de </w:t>
      </w:r>
      <w:r w:rsidRPr="00EC13DE">
        <w:rPr>
          <w:rFonts w:ascii="Arial" w:hAnsi="Arial" w:cs="Arial"/>
          <w:bCs/>
          <w:sz w:val="24"/>
          <w:szCs w:val="24"/>
          <w:lang w:val="es-MX"/>
        </w:rPr>
        <w:t>relaciones interpersonales di</w:t>
      </w:r>
      <w:r>
        <w:rPr>
          <w:rFonts w:ascii="Arial" w:hAnsi="Arial" w:cs="Arial"/>
          <w:bCs/>
          <w:sz w:val="24"/>
          <w:szCs w:val="24"/>
          <w:lang w:val="es-MX"/>
        </w:rPr>
        <w:t>rectas, que no podrán</w:t>
      </w:r>
      <w:r w:rsidRPr="00EC13DE">
        <w:rPr>
          <w:rFonts w:ascii="Arial" w:hAnsi="Arial" w:cs="Arial"/>
          <w:bCs/>
          <w:sz w:val="24"/>
          <w:szCs w:val="24"/>
          <w:lang w:val="es-MX"/>
        </w:rPr>
        <w:t xml:space="preserve"> ser sustituidas por la tecnología. </w:t>
      </w:r>
      <w:r>
        <w:rPr>
          <w:rFonts w:ascii="Arial" w:hAnsi="Arial" w:cs="Arial"/>
          <w:bCs/>
          <w:sz w:val="24"/>
          <w:szCs w:val="24"/>
          <w:lang w:val="es-MX"/>
        </w:rPr>
        <w:t>S</w:t>
      </w:r>
      <w:r>
        <w:rPr>
          <w:rFonts w:ascii="Arial" w:hAnsi="Arial" w:cs="Arial"/>
          <w:sz w:val="24"/>
          <w:szCs w:val="24"/>
          <w:lang w:val="es-MX"/>
        </w:rPr>
        <w:t>e</w:t>
      </w:r>
      <w:r w:rsidRPr="00EC13DE">
        <w:rPr>
          <w:rFonts w:ascii="Arial" w:hAnsi="Arial" w:cs="Arial"/>
          <w:sz w:val="24"/>
          <w:szCs w:val="24"/>
          <w:lang w:val="es-MX"/>
        </w:rPr>
        <w:t xml:space="preserve"> </w:t>
      </w:r>
      <w:r>
        <w:rPr>
          <w:rFonts w:ascii="Arial" w:hAnsi="Arial" w:cs="Arial"/>
          <w:sz w:val="24"/>
          <w:szCs w:val="24"/>
          <w:lang w:val="es-MX"/>
        </w:rPr>
        <w:t xml:space="preserve">le </w:t>
      </w:r>
      <w:r>
        <w:rPr>
          <w:rFonts w:ascii="Arial" w:hAnsi="Arial" w:cs="Arial"/>
          <w:sz w:val="24"/>
          <w:szCs w:val="24"/>
        </w:rPr>
        <w:t>identifica</w:t>
      </w:r>
      <w:r w:rsidRPr="00EC13DE">
        <w:rPr>
          <w:rFonts w:ascii="Arial" w:hAnsi="Arial" w:cs="Arial"/>
          <w:sz w:val="24"/>
          <w:szCs w:val="24"/>
        </w:rPr>
        <w:t xml:space="preserve"> </w:t>
      </w:r>
      <w:r w:rsidRPr="00EC13DE">
        <w:rPr>
          <w:rFonts w:ascii="Arial" w:hAnsi="Arial" w:cs="Arial"/>
          <w:sz w:val="24"/>
          <w:szCs w:val="24"/>
          <w:lang w:val="es-MX"/>
        </w:rPr>
        <w:t xml:space="preserve">como actuación pedagógica, donde las </w:t>
      </w:r>
      <w:r w:rsidRPr="00EC13DE">
        <w:rPr>
          <w:rFonts w:ascii="Arial" w:hAnsi="Arial" w:cs="Arial"/>
          <w:sz w:val="24"/>
          <w:szCs w:val="24"/>
        </w:rPr>
        <w:t xml:space="preserve">acciones y operaciones pedagógicas </w:t>
      </w:r>
      <w:r>
        <w:rPr>
          <w:rFonts w:ascii="Arial" w:hAnsi="Arial" w:cs="Arial"/>
          <w:sz w:val="24"/>
          <w:szCs w:val="24"/>
        </w:rPr>
        <w:t>se dirigen</w:t>
      </w:r>
      <w:r w:rsidRPr="00EC13DE">
        <w:rPr>
          <w:rFonts w:ascii="Arial" w:hAnsi="Arial" w:cs="Arial"/>
          <w:sz w:val="24"/>
          <w:szCs w:val="24"/>
        </w:rPr>
        <w:t xml:space="preserve"> a la educación integral</w:t>
      </w:r>
      <w:r>
        <w:rPr>
          <w:rFonts w:ascii="Arial" w:hAnsi="Arial" w:cs="Arial"/>
          <w:sz w:val="24"/>
          <w:szCs w:val="24"/>
          <w:vertAlign w:val="superscript"/>
        </w:rPr>
        <w:t>[10]</w:t>
      </w:r>
      <w:r w:rsidRPr="00EC13DE">
        <w:rPr>
          <w:rFonts w:ascii="Arial" w:hAnsi="Arial" w:cs="Arial"/>
          <w:sz w:val="24"/>
          <w:szCs w:val="24"/>
        </w:rPr>
        <w:t>.</w:t>
      </w:r>
      <w:r w:rsidRPr="00EC13DE">
        <w:rPr>
          <w:rFonts w:ascii="Arial" w:hAnsi="Arial" w:cs="Arial"/>
          <w:bCs/>
          <w:sz w:val="24"/>
          <w:szCs w:val="24"/>
          <w:lang w:val="es-MX"/>
        </w:rPr>
        <w:t xml:space="preserve"> </w:t>
      </w:r>
      <w:r w:rsidRPr="00EC13DE">
        <w:rPr>
          <w:rFonts w:ascii="Arial" w:hAnsi="Arial" w:cs="Arial"/>
          <w:sz w:val="24"/>
          <w:szCs w:val="24"/>
        </w:rPr>
        <w:t>Parra</w:t>
      </w:r>
      <w:r>
        <w:rPr>
          <w:rFonts w:ascii="Arial" w:hAnsi="Arial" w:cs="Arial"/>
          <w:sz w:val="24"/>
          <w:szCs w:val="24"/>
          <w:vertAlign w:val="superscript"/>
        </w:rPr>
        <w:t>[11]</w:t>
      </w:r>
      <w:r w:rsidRPr="00EC13DE">
        <w:rPr>
          <w:rFonts w:ascii="Arial" w:hAnsi="Arial" w:cs="Arial"/>
          <w:sz w:val="24"/>
          <w:szCs w:val="24"/>
        </w:rPr>
        <w:t xml:space="preserve"> considera necesario un análisis histórico de los valores. </w:t>
      </w:r>
      <w:r>
        <w:rPr>
          <w:rFonts w:ascii="Arial" w:hAnsi="Arial" w:cs="Arial"/>
          <w:sz w:val="24"/>
          <w:szCs w:val="24"/>
        </w:rPr>
        <w:t>Báxter</w:t>
      </w:r>
      <w:r>
        <w:rPr>
          <w:rFonts w:ascii="Arial" w:hAnsi="Arial" w:cs="Arial"/>
          <w:sz w:val="24"/>
          <w:szCs w:val="24"/>
          <w:vertAlign w:val="superscript"/>
        </w:rPr>
        <w:t>[12]</w:t>
      </w:r>
      <w:r>
        <w:rPr>
          <w:rFonts w:ascii="Arial" w:hAnsi="Arial" w:cs="Arial"/>
          <w:sz w:val="24"/>
          <w:szCs w:val="24"/>
        </w:rPr>
        <w:t xml:space="preserve"> la </w:t>
      </w:r>
      <w:r w:rsidRPr="00EC13DE">
        <w:rPr>
          <w:rFonts w:ascii="Arial" w:hAnsi="Arial" w:cs="Arial"/>
          <w:sz w:val="24"/>
          <w:szCs w:val="24"/>
        </w:rPr>
        <w:t xml:space="preserve">concibe como labor pedagógica </w:t>
      </w:r>
      <w:r>
        <w:rPr>
          <w:rFonts w:ascii="Arial" w:hAnsi="Arial" w:cs="Arial"/>
          <w:sz w:val="24"/>
          <w:szCs w:val="24"/>
        </w:rPr>
        <w:t>para</w:t>
      </w:r>
      <w:r w:rsidRPr="00EC13DE">
        <w:rPr>
          <w:rFonts w:ascii="Arial" w:hAnsi="Arial" w:cs="Arial"/>
          <w:sz w:val="24"/>
          <w:szCs w:val="24"/>
        </w:rPr>
        <w:t xml:space="preserve"> formar, transformar y educar la personalidad del estudiante, </w:t>
      </w:r>
      <w:r>
        <w:rPr>
          <w:rFonts w:ascii="Arial" w:hAnsi="Arial" w:cs="Arial"/>
          <w:sz w:val="24"/>
          <w:szCs w:val="24"/>
        </w:rPr>
        <w:t>que</w:t>
      </w:r>
      <w:r w:rsidRPr="00EC13DE">
        <w:rPr>
          <w:rFonts w:ascii="Arial" w:hAnsi="Arial" w:cs="Arial"/>
          <w:sz w:val="24"/>
          <w:szCs w:val="24"/>
        </w:rPr>
        <w:t xml:space="preserve"> es la idea central de dicha teoría</w:t>
      </w:r>
      <w:r w:rsidRPr="00EC13DE">
        <w:rPr>
          <w:rFonts w:ascii="Arial" w:hAnsi="Arial" w:cs="Arial"/>
          <w:sz w:val="24"/>
          <w:szCs w:val="24"/>
          <w:lang w:val="es-MX"/>
        </w:rPr>
        <w:t xml:space="preserve">. Nótese cómo la </w:t>
      </w:r>
      <w:r w:rsidRPr="00EC13DE">
        <w:rPr>
          <w:rFonts w:ascii="Arial" w:hAnsi="Arial" w:cs="Arial"/>
          <w:sz w:val="24"/>
          <w:szCs w:val="24"/>
        </w:rPr>
        <w:t>educación en valores</w:t>
      </w:r>
      <w:r>
        <w:rPr>
          <w:rFonts w:ascii="Arial" w:hAnsi="Arial" w:cs="Arial"/>
          <w:sz w:val="24"/>
          <w:szCs w:val="24"/>
        </w:rPr>
        <w:t>,</w:t>
      </w:r>
      <w:r w:rsidRPr="00EC13DE">
        <w:rPr>
          <w:rFonts w:ascii="Arial" w:hAnsi="Arial" w:cs="Arial"/>
          <w:sz w:val="24"/>
          <w:szCs w:val="24"/>
        </w:rPr>
        <w:t xml:space="preserve"> </w:t>
      </w:r>
      <w:r w:rsidRPr="00EC13DE">
        <w:rPr>
          <w:rFonts w:ascii="Arial" w:hAnsi="Arial" w:cs="Arial"/>
          <w:sz w:val="24"/>
          <w:szCs w:val="24"/>
          <w:lang w:val="es-MX"/>
        </w:rPr>
        <w:t xml:space="preserve">así entendida, busca la formación integral del estudiante, </w:t>
      </w:r>
      <w:r>
        <w:rPr>
          <w:rFonts w:ascii="Arial" w:hAnsi="Arial" w:cs="Arial"/>
          <w:sz w:val="24"/>
          <w:szCs w:val="24"/>
          <w:lang w:val="es-MX"/>
        </w:rPr>
        <w:t>que</w:t>
      </w:r>
      <w:r w:rsidRPr="00EC13DE">
        <w:rPr>
          <w:rFonts w:ascii="Arial" w:hAnsi="Arial" w:cs="Arial"/>
          <w:sz w:val="24"/>
          <w:szCs w:val="24"/>
          <w:lang w:val="es-MX"/>
        </w:rPr>
        <w:t xml:space="preserve"> necesita ser conscientemente gestionada.</w:t>
      </w:r>
      <w:r>
        <w:rPr>
          <w:rFonts w:ascii="Arial" w:hAnsi="Arial" w:cs="Arial"/>
          <w:sz w:val="24"/>
          <w:szCs w:val="24"/>
          <w:lang w:val="es-MX"/>
        </w:rPr>
        <w:t xml:space="preserve"> </w:t>
      </w:r>
      <w:r w:rsidRPr="00F83A8B">
        <w:rPr>
          <w:rFonts w:ascii="Arial" w:hAnsi="Arial" w:cs="Arial"/>
          <w:sz w:val="24"/>
          <w:szCs w:val="24"/>
          <w:lang w:val="es-MX"/>
        </w:rPr>
        <w:t>Una mirada a la bibliografía en torno a este aspecto</w:t>
      </w:r>
      <w:r w:rsidRPr="00F83A8B">
        <w:rPr>
          <w:rFonts w:ascii="Arial" w:hAnsi="Arial" w:cs="Arial"/>
          <w:sz w:val="24"/>
          <w:szCs w:val="24"/>
        </w:rPr>
        <w:t xml:space="preserve"> </w:t>
      </w:r>
      <w:r w:rsidRPr="00F83A8B">
        <w:rPr>
          <w:rFonts w:ascii="Arial" w:hAnsi="Arial" w:cs="Arial"/>
          <w:sz w:val="24"/>
          <w:szCs w:val="24"/>
          <w:lang w:val="es-MX"/>
        </w:rPr>
        <w:t xml:space="preserve">nos permite reconocer la </w:t>
      </w:r>
      <w:r w:rsidRPr="0044404C">
        <w:rPr>
          <w:rFonts w:ascii="Arial" w:hAnsi="Arial" w:cs="Arial"/>
          <w:sz w:val="24"/>
          <w:szCs w:val="24"/>
          <w:lang w:val="es-MX"/>
        </w:rPr>
        <w:t xml:space="preserve">dispersión </w:t>
      </w:r>
      <w:r w:rsidRPr="00F83A8B">
        <w:rPr>
          <w:rFonts w:ascii="Arial" w:hAnsi="Arial" w:cs="Arial"/>
          <w:sz w:val="24"/>
          <w:szCs w:val="24"/>
          <w:lang w:val="es-MX"/>
        </w:rPr>
        <w:t xml:space="preserve">terminológica, en tanto se precisa como actuación pedagógica, trabajo pedagógico, labor pedagógica, trabajo educativo y labor educativa, </w:t>
      </w:r>
      <w:r>
        <w:rPr>
          <w:rFonts w:ascii="Arial" w:hAnsi="Arial" w:cs="Arial"/>
          <w:sz w:val="24"/>
          <w:szCs w:val="24"/>
          <w:lang w:val="es-MX"/>
        </w:rPr>
        <w:t xml:space="preserve">lo </w:t>
      </w:r>
      <w:r w:rsidRPr="00F83A8B">
        <w:rPr>
          <w:rFonts w:ascii="Arial" w:hAnsi="Arial" w:cs="Arial"/>
          <w:sz w:val="24"/>
          <w:szCs w:val="24"/>
          <w:lang w:val="es-MX"/>
        </w:rPr>
        <w:t>que evi</w:t>
      </w:r>
      <w:r>
        <w:rPr>
          <w:rFonts w:ascii="Arial" w:hAnsi="Arial" w:cs="Arial"/>
          <w:sz w:val="24"/>
          <w:szCs w:val="24"/>
          <w:lang w:val="es-MX"/>
        </w:rPr>
        <w:t>dencia puntos de coincidencia</w:t>
      </w:r>
      <w:r>
        <w:rPr>
          <w:rFonts w:ascii="Arial" w:hAnsi="Arial" w:cs="Arial"/>
          <w:sz w:val="24"/>
          <w:szCs w:val="24"/>
          <w:vertAlign w:val="superscript"/>
          <w:lang w:val="es-MX"/>
        </w:rPr>
        <w:t>[13]</w:t>
      </w:r>
      <w:r>
        <w:rPr>
          <w:rFonts w:ascii="Arial" w:hAnsi="Arial" w:cs="Arial"/>
          <w:sz w:val="24"/>
          <w:szCs w:val="24"/>
          <w:lang w:val="es-MX"/>
        </w:rPr>
        <w:t>.</w:t>
      </w:r>
    </w:p>
    <w:p w:rsidR="004C44CE" w:rsidRPr="00EB06C2" w:rsidRDefault="004C44CE" w:rsidP="001D2A3D">
      <w:pPr>
        <w:pStyle w:val="Sinespaciado"/>
        <w:numPr>
          <w:ilvl w:val="1"/>
          <w:numId w:val="57"/>
        </w:numPr>
        <w:tabs>
          <w:tab w:val="left" w:pos="709"/>
        </w:tabs>
        <w:spacing w:line="360" w:lineRule="auto"/>
        <w:ind w:left="357" w:hanging="357"/>
        <w:jc w:val="both"/>
        <w:rPr>
          <w:rFonts w:ascii="Arial" w:hAnsi="Arial" w:cs="Arial"/>
          <w:i/>
          <w:sz w:val="24"/>
          <w:szCs w:val="24"/>
        </w:rPr>
      </w:pPr>
      <w:r>
        <w:rPr>
          <w:rFonts w:ascii="Arial" w:hAnsi="Arial" w:cs="Arial"/>
          <w:i/>
          <w:sz w:val="24"/>
          <w:szCs w:val="24"/>
        </w:rPr>
        <w:t xml:space="preserve"> </w:t>
      </w:r>
      <w:r w:rsidRPr="00EB06C2">
        <w:rPr>
          <w:rFonts w:ascii="Arial" w:hAnsi="Arial" w:cs="Arial"/>
          <w:i/>
          <w:sz w:val="24"/>
          <w:szCs w:val="24"/>
        </w:rPr>
        <w:t xml:space="preserve">Estilo de aprendizaje </w:t>
      </w:r>
    </w:p>
    <w:p w:rsidR="004C44CE" w:rsidRPr="000477A8" w:rsidRDefault="004C44CE" w:rsidP="004C44CE">
      <w:pPr>
        <w:spacing w:after="0" w:line="240" w:lineRule="auto"/>
        <w:ind w:firstLine="550"/>
        <w:jc w:val="both"/>
        <w:rPr>
          <w:rFonts w:ascii="Arial" w:hAnsi="Arial" w:cs="Arial"/>
          <w:sz w:val="24"/>
          <w:szCs w:val="24"/>
        </w:rPr>
      </w:pPr>
      <w:r w:rsidRPr="000477A8">
        <w:rPr>
          <w:rFonts w:ascii="Arial" w:hAnsi="Arial" w:cs="Arial"/>
          <w:sz w:val="24"/>
          <w:szCs w:val="24"/>
        </w:rPr>
        <w:t xml:space="preserve">Al abordar la categoría estilo de aprendizaje </w:t>
      </w:r>
      <w:r>
        <w:rPr>
          <w:rFonts w:ascii="Arial" w:hAnsi="Arial" w:cs="Arial"/>
          <w:sz w:val="24"/>
          <w:szCs w:val="24"/>
        </w:rPr>
        <w:t>cabe</w:t>
      </w:r>
      <w:r w:rsidRPr="000477A8">
        <w:rPr>
          <w:rFonts w:ascii="Arial" w:hAnsi="Arial" w:cs="Arial"/>
          <w:sz w:val="24"/>
          <w:szCs w:val="24"/>
          <w:lang w:eastAsia="es-MX"/>
        </w:rPr>
        <w:t xml:space="preserve"> </w:t>
      </w:r>
      <w:r w:rsidRPr="000477A8">
        <w:rPr>
          <w:rFonts w:ascii="Arial" w:hAnsi="Arial" w:cs="Arial"/>
          <w:sz w:val="24"/>
          <w:szCs w:val="24"/>
        </w:rPr>
        <w:t>destacar uno de los problemas tratados por Freudenthal</w:t>
      </w:r>
      <w:r>
        <w:rPr>
          <w:rFonts w:ascii="Arial" w:hAnsi="Arial" w:cs="Arial"/>
          <w:sz w:val="24"/>
          <w:szCs w:val="24"/>
          <w:vertAlign w:val="superscript"/>
        </w:rPr>
        <w:t>[4]</w:t>
      </w:r>
      <w:r w:rsidRPr="000477A8">
        <w:rPr>
          <w:rFonts w:ascii="Arial" w:hAnsi="Arial" w:cs="Arial"/>
          <w:sz w:val="24"/>
          <w:szCs w:val="24"/>
        </w:rPr>
        <w:t xml:space="preserve">: ¿cómo aprende la gente? Propone resolver el problema </w:t>
      </w:r>
      <w:r>
        <w:rPr>
          <w:rFonts w:ascii="Arial" w:hAnsi="Arial" w:cs="Arial"/>
          <w:sz w:val="24"/>
          <w:szCs w:val="24"/>
        </w:rPr>
        <w:t>del</w:t>
      </w:r>
      <w:r w:rsidRPr="000477A8">
        <w:rPr>
          <w:rFonts w:ascii="Arial" w:hAnsi="Arial" w:cs="Arial"/>
          <w:sz w:val="24"/>
          <w:szCs w:val="24"/>
        </w:rPr>
        <w:t xml:space="preserve"> proceso de aprendizaje </w:t>
      </w:r>
      <w:r>
        <w:rPr>
          <w:rFonts w:ascii="Arial" w:hAnsi="Arial" w:cs="Arial"/>
          <w:sz w:val="24"/>
          <w:szCs w:val="24"/>
        </w:rPr>
        <w:t>con</w:t>
      </w:r>
      <w:r w:rsidRPr="000477A8">
        <w:rPr>
          <w:rFonts w:ascii="Arial" w:hAnsi="Arial" w:cs="Arial"/>
          <w:sz w:val="24"/>
          <w:szCs w:val="24"/>
        </w:rPr>
        <w:t xml:space="preserve"> la esquematización; </w:t>
      </w:r>
      <w:r>
        <w:rPr>
          <w:rFonts w:ascii="Arial" w:hAnsi="Arial" w:cs="Arial"/>
          <w:sz w:val="24"/>
          <w:szCs w:val="24"/>
        </w:rPr>
        <w:t>identificando</w:t>
      </w:r>
      <w:r w:rsidRPr="000477A8">
        <w:rPr>
          <w:rFonts w:ascii="Arial" w:hAnsi="Arial" w:cs="Arial"/>
          <w:sz w:val="24"/>
          <w:szCs w:val="24"/>
        </w:rPr>
        <w:t xml:space="preserve"> el estilo de aprendizaje mediante</w:t>
      </w:r>
      <w:r>
        <w:rPr>
          <w:rFonts w:ascii="Arial" w:hAnsi="Arial" w:cs="Arial"/>
          <w:sz w:val="24"/>
          <w:szCs w:val="24"/>
        </w:rPr>
        <w:t xml:space="preserve"> la observación y</w:t>
      </w:r>
      <w:r w:rsidRPr="000477A8">
        <w:rPr>
          <w:rFonts w:ascii="Arial" w:hAnsi="Arial" w:cs="Arial"/>
          <w:sz w:val="24"/>
          <w:szCs w:val="24"/>
        </w:rPr>
        <w:t xml:space="preserve"> reduciendo el diagnóstico de</w:t>
      </w:r>
      <w:r>
        <w:rPr>
          <w:rFonts w:ascii="Arial" w:hAnsi="Arial" w:cs="Arial"/>
          <w:sz w:val="24"/>
          <w:szCs w:val="24"/>
        </w:rPr>
        <w:t xml:space="preserve"> los estudiantes</w:t>
      </w:r>
      <w:r w:rsidRPr="000477A8">
        <w:rPr>
          <w:rFonts w:ascii="Arial" w:hAnsi="Arial" w:cs="Arial"/>
          <w:sz w:val="24"/>
          <w:szCs w:val="24"/>
        </w:rPr>
        <w:t xml:space="preserve"> al empleo de un solo instrumento</w:t>
      </w:r>
      <w:r>
        <w:rPr>
          <w:rFonts w:ascii="Arial" w:hAnsi="Arial" w:cs="Arial"/>
          <w:sz w:val="24"/>
          <w:szCs w:val="24"/>
        </w:rPr>
        <w:t>.</w:t>
      </w:r>
      <w:r w:rsidRPr="000477A8">
        <w:rPr>
          <w:rFonts w:ascii="Arial" w:hAnsi="Arial" w:cs="Arial"/>
          <w:sz w:val="24"/>
          <w:szCs w:val="24"/>
        </w:rPr>
        <w:t xml:space="preserve"> </w:t>
      </w:r>
      <w:r>
        <w:rPr>
          <w:rFonts w:ascii="Arial" w:hAnsi="Arial" w:cs="Arial"/>
          <w:sz w:val="24"/>
          <w:szCs w:val="24"/>
        </w:rPr>
        <w:t>P</w:t>
      </w:r>
      <w:r w:rsidRPr="000477A8">
        <w:rPr>
          <w:rFonts w:ascii="Arial" w:hAnsi="Arial" w:cs="Arial"/>
          <w:sz w:val="24"/>
          <w:szCs w:val="24"/>
        </w:rPr>
        <w:t>ero de esa manera no es posible obtener una caracterización certera. No obstante, enfatiza una cuestión esencial relacionada con los aprendizajes juntos</w:t>
      </w:r>
      <w:r>
        <w:rPr>
          <w:rFonts w:ascii="Arial" w:hAnsi="Arial" w:cs="Arial"/>
          <w:sz w:val="24"/>
          <w:szCs w:val="24"/>
        </w:rPr>
        <w:t>,</w:t>
      </w:r>
      <w:r w:rsidRPr="000477A8">
        <w:rPr>
          <w:rFonts w:ascii="Arial" w:hAnsi="Arial" w:cs="Arial"/>
          <w:sz w:val="24"/>
          <w:szCs w:val="24"/>
        </w:rPr>
        <w:t xml:space="preserve"> lo </w:t>
      </w:r>
      <w:r>
        <w:rPr>
          <w:rFonts w:ascii="Arial" w:hAnsi="Arial" w:cs="Arial"/>
          <w:sz w:val="24"/>
          <w:szCs w:val="24"/>
        </w:rPr>
        <w:t>que posibilita fomentar valores como la cooperación,</w:t>
      </w:r>
      <w:r w:rsidRPr="000477A8">
        <w:rPr>
          <w:rFonts w:ascii="Arial" w:hAnsi="Arial" w:cs="Arial"/>
          <w:sz w:val="24"/>
          <w:szCs w:val="24"/>
        </w:rPr>
        <w:t xml:space="preserve"> vital para aprender a convivir en la sociedad. Retomando esta idea</w:t>
      </w:r>
      <w:r>
        <w:rPr>
          <w:rFonts w:ascii="Arial" w:hAnsi="Arial" w:cs="Arial"/>
          <w:sz w:val="24"/>
          <w:szCs w:val="24"/>
        </w:rPr>
        <w:t>,</w:t>
      </w:r>
      <w:r w:rsidRPr="000477A8">
        <w:rPr>
          <w:rFonts w:ascii="Arial" w:hAnsi="Arial" w:cs="Arial"/>
          <w:sz w:val="24"/>
          <w:szCs w:val="24"/>
        </w:rPr>
        <w:t xml:space="preserve"> es posible considerar que una buena manera de adquisición de conocimientos es mediante el uso de </w:t>
      </w:r>
      <w:r>
        <w:rPr>
          <w:rFonts w:ascii="Arial" w:hAnsi="Arial" w:cs="Arial"/>
          <w:sz w:val="24"/>
          <w:szCs w:val="24"/>
        </w:rPr>
        <w:t>esquemas lógicos,</w:t>
      </w:r>
      <w:r w:rsidRPr="000477A8">
        <w:rPr>
          <w:rFonts w:ascii="Arial" w:hAnsi="Arial" w:cs="Arial"/>
          <w:sz w:val="24"/>
          <w:szCs w:val="24"/>
        </w:rPr>
        <w:t xml:space="preserve"> inclu</w:t>
      </w:r>
      <w:r>
        <w:rPr>
          <w:rFonts w:ascii="Arial" w:hAnsi="Arial" w:cs="Arial"/>
          <w:sz w:val="24"/>
          <w:szCs w:val="24"/>
        </w:rPr>
        <w:t>yendo solucio</w:t>
      </w:r>
      <w:r w:rsidRPr="000477A8">
        <w:rPr>
          <w:rFonts w:ascii="Arial" w:hAnsi="Arial" w:cs="Arial"/>
          <w:sz w:val="24"/>
          <w:szCs w:val="24"/>
        </w:rPr>
        <w:t>n</w:t>
      </w:r>
      <w:r>
        <w:rPr>
          <w:rFonts w:ascii="Arial" w:hAnsi="Arial" w:cs="Arial"/>
          <w:sz w:val="24"/>
          <w:szCs w:val="24"/>
        </w:rPr>
        <w:t>es</w:t>
      </w:r>
      <w:r w:rsidRPr="000477A8">
        <w:rPr>
          <w:rFonts w:ascii="Arial" w:hAnsi="Arial" w:cs="Arial"/>
          <w:sz w:val="24"/>
          <w:szCs w:val="24"/>
        </w:rPr>
        <w:t xml:space="preserve"> de ejercicios prácticos integradores de contenidos, aplicando el método de enseñanza “trabajo en grupo”</w:t>
      </w:r>
      <w:r>
        <w:rPr>
          <w:rFonts w:ascii="Arial" w:hAnsi="Arial" w:cs="Arial"/>
          <w:sz w:val="24"/>
          <w:szCs w:val="24"/>
        </w:rPr>
        <w:t>.</w:t>
      </w:r>
      <w:r w:rsidRPr="000477A8">
        <w:rPr>
          <w:rFonts w:ascii="Arial" w:hAnsi="Arial" w:cs="Arial"/>
          <w:sz w:val="24"/>
          <w:szCs w:val="24"/>
        </w:rPr>
        <w:t xml:space="preserve"> Esto es, consideramos que cualquier disciplina puede ser enseñada dentro de contextos concretos, en procesos de aprendizaje </w:t>
      </w:r>
      <w:r>
        <w:rPr>
          <w:rFonts w:ascii="Arial" w:hAnsi="Arial" w:cs="Arial"/>
          <w:sz w:val="24"/>
          <w:szCs w:val="24"/>
        </w:rPr>
        <w:t>dentro de</w:t>
      </w:r>
      <w:r w:rsidRPr="000477A8">
        <w:rPr>
          <w:rFonts w:ascii="Arial" w:hAnsi="Arial" w:cs="Arial"/>
          <w:sz w:val="24"/>
          <w:szCs w:val="24"/>
        </w:rPr>
        <w:t xml:space="preserve"> la vida práctica o al menos simulada en aulas o laboratorios.</w:t>
      </w:r>
    </w:p>
    <w:p w:rsidR="004C44CE" w:rsidRPr="00121449" w:rsidRDefault="004C44CE" w:rsidP="004C44CE">
      <w:pPr>
        <w:spacing w:after="0" w:line="240" w:lineRule="auto"/>
        <w:ind w:firstLine="550"/>
        <w:jc w:val="both"/>
        <w:rPr>
          <w:rFonts w:ascii="Arial" w:hAnsi="Arial" w:cs="Arial"/>
          <w:sz w:val="24"/>
          <w:szCs w:val="24"/>
        </w:rPr>
      </w:pPr>
      <w:r>
        <w:rPr>
          <w:rFonts w:ascii="Arial" w:hAnsi="Arial" w:cs="Arial"/>
          <w:sz w:val="24"/>
          <w:szCs w:val="24"/>
        </w:rPr>
        <w:t>E</w:t>
      </w:r>
      <w:r w:rsidRPr="00F83A8B">
        <w:rPr>
          <w:rFonts w:ascii="Arial" w:hAnsi="Arial" w:cs="Arial"/>
          <w:sz w:val="24"/>
          <w:szCs w:val="24"/>
        </w:rPr>
        <w:t xml:space="preserve">s preciso </w:t>
      </w:r>
      <w:r>
        <w:rPr>
          <w:rFonts w:ascii="Arial" w:hAnsi="Arial" w:cs="Arial"/>
          <w:sz w:val="24"/>
          <w:szCs w:val="24"/>
          <w:lang w:eastAsia="es-MX"/>
        </w:rPr>
        <w:t>señalar</w:t>
      </w:r>
      <w:r w:rsidRPr="00F83A8B">
        <w:rPr>
          <w:rFonts w:ascii="Arial" w:hAnsi="Arial" w:cs="Arial"/>
          <w:sz w:val="24"/>
          <w:szCs w:val="24"/>
        </w:rPr>
        <w:t xml:space="preserve"> </w:t>
      </w:r>
      <w:r w:rsidRPr="00F83A8B">
        <w:rPr>
          <w:rFonts w:ascii="Arial" w:hAnsi="Arial" w:cs="Arial"/>
          <w:sz w:val="24"/>
          <w:szCs w:val="24"/>
          <w:lang w:val="es-ES_tradnl" w:eastAsia="x-none"/>
        </w:rPr>
        <w:t>la teoría histórico-cultural de Vigotsky</w:t>
      </w:r>
      <w:r>
        <w:rPr>
          <w:rFonts w:ascii="Arial" w:hAnsi="Arial" w:cs="Arial"/>
          <w:sz w:val="24"/>
          <w:szCs w:val="24"/>
          <w:vertAlign w:val="superscript"/>
          <w:lang w:val="es-ES_tradnl" w:eastAsia="x-none"/>
        </w:rPr>
        <w:t>[14]</w:t>
      </w:r>
      <w:r w:rsidRPr="00F83A8B">
        <w:rPr>
          <w:rFonts w:ascii="Arial" w:hAnsi="Arial" w:cs="Arial"/>
          <w:sz w:val="24"/>
          <w:szCs w:val="24"/>
        </w:rPr>
        <w:t>, en su concepto de “Zona de Desarrollo</w:t>
      </w:r>
      <w:r>
        <w:rPr>
          <w:rFonts w:ascii="Arial" w:hAnsi="Arial" w:cs="Arial"/>
          <w:sz w:val="24"/>
          <w:szCs w:val="24"/>
        </w:rPr>
        <w:t xml:space="preserve"> Próximo” (ZPD), definida como </w:t>
      </w:r>
      <w:r w:rsidRPr="0034373F">
        <w:rPr>
          <w:rFonts w:ascii="Arial" w:hAnsi="Arial" w:cs="Arial"/>
          <w:sz w:val="24"/>
          <w:szCs w:val="24"/>
        </w:rPr>
        <w:t>la distancia entre el nivel real de desarrollo determinado por la capacidad de resolver independientemente un problema y el nivel de desarrollo potencial determinado a través de la solución de un problema, bajo la guía del adulto, o en colaboración de un compañero más capaz.</w:t>
      </w:r>
      <w:r w:rsidRPr="00F83A8B">
        <w:rPr>
          <w:rFonts w:ascii="Arial" w:hAnsi="Arial" w:cs="Arial"/>
          <w:sz w:val="24"/>
          <w:szCs w:val="24"/>
        </w:rPr>
        <w:t xml:space="preserve"> </w:t>
      </w:r>
      <w:r w:rsidRPr="00121449">
        <w:rPr>
          <w:rFonts w:ascii="Arial" w:hAnsi="Arial" w:cs="Arial"/>
          <w:sz w:val="24"/>
          <w:szCs w:val="24"/>
        </w:rPr>
        <w:t xml:space="preserve">El énfasis en esta definición está en reconocer las características personales de los estudiantes </w:t>
      </w:r>
      <w:r>
        <w:rPr>
          <w:rFonts w:ascii="Arial" w:hAnsi="Arial" w:cs="Arial"/>
          <w:sz w:val="24"/>
          <w:szCs w:val="24"/>
        </w:rPr>
        <w:t>(</w:t>
      </w:r>
      <w:r w:rsidRPr="00121449">
        <w:rPr>
          <w:rFonts w:ascii="Arial" w:hAnsi="Arial" w:cs="Arial"/>
          <w:sz w:val="24"/>
          <w:szCs w:val="24"/>
        </w:rPr>
        <w:t>su nivel de desarrollo</w:t>
      </w:r>
      <w:r>
        <w:rPr>
          <w:rFonts w:ascii="Arial" w:hAnsi="Arial" w:cs="Arial"/>
          <w:sz w:val="24"/>
          <w:szCs w:val="24"/>
        </w:rPr>
        <w:t>)</w:t>
      </w:r>
      <w:r w:rsidRPr="00121449">
        <w:rPr>
          <w:rFonts w:ascii="Arial" w:hAnsi="Arial" w:cs="Arial"/>
          <w:sz w:val="24"/>
          <w:szCs w:val="24"/>
        </w:rPr>
        <w:t xml:space="preserve">, para ofrecer adecuados niveles de ayuda en su formación, acorde a sus necesidades educativas. La esencia de esta teoría </w:t>
      </w:r>
      <w:r>
        <w:rPr>
          <w:rFonts w:ascii="Arial" w:hAnsi="Arial" w:cs="Arial"/>
          <w:sz w:val="24"/>
          <w:szCs w:val="24"/>
        </w:rPr>
        <w:t>parte</w:t>
      </w:r>
      <w:r w:rsidRPr="00121449">
        <w:rPr>
          <w:rFonts w:ascii="Arial" w:hAnsi="Arial" w:cs="Arial"/>
          <w:sz w:val="24"/>
          <w:szCs w:val="24"/>
        </w:rPr>
        <w:t xml:space="preserve"> </w:t>
      </w:r>
      <w:r>
        <w:rPr>
          <w:rFonts w:ascii="Arial" w:hAnsi="Arial" w:cs="Arial"/>
          <w:sz w:val="24"/>
          <w:szCs w:val="24"/>
        </w:rPr>
        <w:t>d</w:t>
      </w:r>
      <w:r w:rsidRPr="00121449">
        <w:rPr>
          <w:rFonts w:ascii="Arial" w:hAnsi="Arial" w:cs="Arial"/>
          <w:sz w:val="24"/>
          <w:szCs w:val="24"/>
        </w:rPr>
        <w:t xml:space="preserve">el diagnóstico, de manera que los participantes en el proceso (profesores y estudiantes) asuman su papel durante el proceso de educación en valores. </w:t>
      </w:r>
      <w:r>
        <w:rPr>
          <w:rFonts w:ascii="Arial" w:hAnsi="Arial" w:cs="Arial"/>
          <w:sz w:val="24"/>
          <w:szCs w:val="24"/>
        </w:rPr>
        <w:t>Son</w:t>
      </w:r>
      <w:r w:rsidRPr="00121449">
        <w:rPr>
          <w:rFonts w:ascii="Arial" w:hAnsi="Arial" w:cs="Arial"/>
          <w:sz w:val="24"/>
          <w:szCs w:val="24"/>
        </w:rPr>
        <w:t xml:space="preserve"> importante</w:t>
      </w:r>
      <w:r>
        <w:rPr>
          <w:rFonts w:ascii="Arial" w:hAnsi="Arial" w:cs="Arial"/>
          <w:sz w:val="24"/>
          <w:szCs w:val="24"/>
        </w:rPr>
        <w:t>s</w:t>
      </w:r>
      <w:r w:rsidRPr="00121449">
        <w:rPr>
          <w:rFonts w:ascii="Arial" w:hAnsi="Arial" w:cs="Arial"/>
          <w:sz w:val="24"/>
          <w:szCs w:val="24"/>
        </w:rPr>
        <w:t xml:space="preserve"> la actitud y habilidades del profesor</w:t>
      </w:r>
      <w:r>
        <w:rPr>
          <w:rFonts w:ascii="Arial" w:hAnsi="Arial" w:cs="Arial"/>
          <w:sz w:val="24"/>
          <w:szCs w:val="24"/>
        </w:rPr>
        <w:t>,</w:t>
      </w:r>
      <w:r w:rsidRPr="00121449">
        <w:rPr>
          <w:rFonts w:ascii="Arial" w:hAnsi="Arial" w:cs="Arial"/>
          <w:sz w:val="24"/>
          <w:szCs w:val="24"/>
        </w:rPr>
        <w:t xml:space="preserve"> </w:t>
      </w:r>
      <w:r>
        <w:rPr>
          <w:rFonts w:ascii="Arial" w:hAnsi="Arial" w:cs="Arial"/>
          <w:sz w:val="24"/>
          <w:szCs w:val="24"/>
        </w:rPr>
        <w:t>al organizar</w:t>
      </w:r>
      <w:r w:rsidRPr="00121449">
        <w:rPr>
          <w:rFonts w:ascii="Arial" w:hAnsi="Arial" w:cs="Arial"/>
          <w:sz w:val="24"/>
          <w:szCs w:val="24"/>
        </w:rPr>
        <w:t xml:space="preserve"> la actividad a desarrollar</w:t>
      </w:r>
      <w:r>
        <w:rPr>
          <w:rFonts w:ascii="Arial" w:hAnsi="Arial" w:cs="Arial"/>
          <w:sz w:val="24"/>
          <w:szCs w:val="24"/>
        </w:rPr>
        <w:t>,</w:t>
      </w:r>
      <w:r w:rsidRPr="00121449">
        <w:rPr>
          <w:rFonts w:ascii="Arial" w:hAnsi="Arial" w:cs="Arial"/>
          <w:sz w:val="24"/>
          <w:szCs w:val="24"/>
        </w:rPr>
        <w:t xml:space="preserve"> el ambiente de trabajo</w:t>
      </w:r>
      <w:r>
        <w:rPr>
          <w:rFonts w:ascii="Arial" w:hAnsi="Arial" w:cs="Arial"/>
          <w:sz w:val="24"/>
          <w:szCs w:val="24"/>
        </w:rPr>
        <w:t xml:space="preserve"> y</w:t>
      </w:r>
      <w:r w:rsidRPr="00121449">
        <w:rPr>
          <w:rFonts w:ascii="Arial" w:hAnsi="Arial" w:cs="Arial"/>
          <w:sz w:val="24"/>
          <w:szCs w:val="24"/>
        </w:rPr>
        <w:t xml:space="preserve"> conoci</w:t>
      </w:r>
      <w:r>
        <w:rPr>
          <w:rFonts w:ascii="Arial" w:hAnsi="Arial" w:cs="Arial"/>
          <w:sz w:val="24"/>
          <w:szCs w:val="24"/>
        </w:rPr>
        <w:t>do</w:t>
      </w:r>
      <w:r w:rsidRPr="00121449">
        <w:rPr>
          <w:rFonts w:ascii="Arial" w:hAnsi="Arial" w:cs="Arial"/>
          <w:sz w:val="24"/>
          <w:szCs w:val="24"/>
        </w:rPr>
        <w:t xml:space="preserve"> el nivel de desarrollo de los estudiantes al planificar las tareas de aprendizaje individualizadas.</w:t>
      </w:r>
    </w:p>
    <w:p w:rsidR="004C44CE" w:rsidRPr="00D84072" w:rsidRDefault="004C44CE" w:rsidP="004C44CE">
      <w:pPr>
        <w:spacing w:after="0" w:line="240" w:lineRule="auto"/>
        <w:ind w:firstLine="550"/>
        <w:jc w:val="both"/>
        <w:rPr>
          <w:rFonts w:ascii="Arial" w:hAnsi="Arial" w:cs="Arial"/>
          <w:sz w:val="24"/>
          <w:szCs w:val="24"/>
          <w:lang w:val="es-ES_tradnl" w:eastAsia="x-none"/>
        </w:rPr>
      </w:pPr>
      <w:r w:rsidRPr="00121449">
        <w:rPr>
          <w:rFonts w:ascii="Arial" w:hAnsi="Arial" w:cs="Arial"/>
          <w:sz w:val="24"/>
          <w:szCs w:val="24"/>
          <w:lang w:val="es-ES_tradnl" w:eastAsia="x-none"/>
        </w:rPr>
        <w:t xml:space="preserve">Otro </w:t>
      </w:r>
      <w:r>
        <w:rPr>
          <w:rFonts w:ascii="Arial" w:hAnsi="Arial" w:cs="Arial"/>
          <w:sz w:val="24"/>
          <w:szCs w:val="24"/>
          <w:lang w:val="es-ES_tradnl" w:eastAsia="x-none"/>
        </w:rPr>
        <w:t>aporte</w:t>
      </w:r>
      <w:r w:rsidRPr="00121449">
        <w:rPr>
          <w:rFonts w:ascii="Arial" w:hAnsi="Arial" w:cs="Arial"/>
          <w:sz w:val="24"/>
          <w:szCs w:val="24"/>
          <w:lang w:val="es-ES_tradnl" w:eastAsia="x-none"/>
        </w:rPr>
        <w:t xml:space="preserve"> de Vigotsky</w:t>
      </w:r>
      <w:r>
        <w:rPr>
          <w:rFonts w:ascii="Arial" w:hAnsi="Arial" w:cs="Arial"/>
          <w:sz w:val="24"/>
          <w:szCs w:val="24"/>
          <w:lang w:val="es-ES_tradnl" w:eastAsia="x-none"/>
        </w:rPr>
        <w:t xml:space="preserve"> a </w:t>
      </w:r>
      <w:r w:rsidRPr="00121449">
        <w:rPr>
          <w:rFonts w:ascii="Arial" w:hAnsi="Arial" w:cs="Arial"/>
          <w:sz w:val="24"/>
          <w:szCs w:val="24"/>
          <w:lang w:val="es-ES_tradnl" w:eastAsia="x-none"/>
        </w:rPr>
        <w:t>considerar</w:t>
      </w:r>
      <w:r>
        <w:rPr>
          <w:rFonts w:ascii="Arial" w:hAnsi="Arial" w:cs="Arial"/>
          <w:sz w:val="24"/>
          <w:szCs w:val="24"/>
          <w:lang w:val="es-ES_tradnl" w:eastAsia="x-none"/>
        </w:rPr>
        <w:t xml:space="preserve"> son</w:t>
      </w:r>
      <w:r w:rsidRPr="00121449">
        <w:rPr>
          <w:rFonts w:ascii="Arial" w:hAnsi="Arial" w:cs="Arial"/>
          <w:sz w:val="24"/>
          <w:szCs w:val="24"/>
          <w:lang w:val="es-ES_tradnl" w:eastAsia="x-none"/>
        </w:rPr>
        <w:t xml:space="preserve"> </w:t>
      </w:r>
      <w:r w:rsidRPr="00121449">
        <w:rPr>
          <w:rFonts w:ascii="Arial" w:hAnsi="Arial" w:cs="Arial"/>
          <w:sz w:val="24"/>
          <w:szCs w:val="24"/>
        </w:rPr>
        <w:t>los mediadores verbales</w:t>
      </w:r>
      <w:r w:rsidRPr="002140F6">
        <w:rPr>
          <w:rFonts w:ascii="Arial" w:hAnsi="Arial" w:cs="Arial"/>
          <w:sz w:val="24"/>
          <w:szCs w:val="24"/>
          <w:vertAlign w:val="superscript"/>
        </w:rPr>
        <w:t>[15]</w:t>
      </w:r>
      <w:r w:rsidRPr="00121449">
        <w:rPr>
          <w:rFonts w:ascii="Arial" w:hAnsi="Arial" w:cs="Arial"/>
          <w:sz w:val="24"/>
          <w:szCs w:val="24"/>
        </w:rPr>
        <w:t>. Mediante la comunicación los estud</w:t>
      </w:r>
      <w:r>
        <w:rPr>
          <w:rFonts w:ascii="Arial" w:hAnsi="Arial" w:cs="Arial"/>
          <w:sz w:val="24"/>
          <w:szCs w:val="24"/>
        </w:rPr>
        <w:t>iantes adquieren conocimientos,</w:t>
      </w:r>
      <w:r w:rsidRPr="00121449">
        <w:rPr>
          <w:rFonts w:ascii="Arial" w:hAnsi="Arial" w:cs="Arial"/>
          <w:sz w:val="24"/>
          <w:szCs w:val="24"/>
          <w:lang w:val="es-ES_tradnl" w:eastAsia="x-none"/>
        </w:rPr>
        <w:t xml:space="preserve"> actitudes</w:t>
      </w:r>
      <w:r w:rsidRPr="00121449">
        <w:rPr>
          <w:rFonts w:ascii="Arial" w:hAnsi="Arial" w:cs="Arial"/>
          <w:sz w:val="24"/>
          <w:szCs w:val="24"/>
        </w:rPr>
        <w:t>,</w:t>
      </w:r>
      <w:r>
        <w:rPr>
          <w:rFonts w:ascii="Arial" w:hAnsi="Arial" w:cs="Arial"/>
          <w:sz w:val="24"/>
          <w:szCs w:val="24"/>
        </w:rPr>
        <w:t xml:space="preserve"> </w:t>
      </w:r>
      <w:r w:rsidRPr="00121449">
        <w:rPr>
          <w:rFonts w:ascii="Arial" w:hAnsi="Arial" w:cs="Arial"/>
          <w:sz w:val="24"/>
          <w:szCs w:val="24"/>
        </w:rPr>
        <w:t>convicciones, normas de conducta y</w:t>
      </w:r>
      <w:r w:rsidRPr="00121449">
        <w:rPr>
          <w:rFonts w:ascii="Arial" w:hAnsi="Arial" w:cs="Arial"/>
          <w:sz w:val="24"/>
          <w:szCs w:val="24"/>
          <w:lang w:val="es-ES_tradnl" w:eastAsia="x-none"/>
        </w:rPr>
        <w:t xml:space="preserve"> se transmite la cultura</w:t>
      </w:r>
      <w:r w:rsidRPr="00121449">
        <w:rPr>
          <w:rFonts w:ascii="Arial" w:hAnsi="Arial" w:cs="Arial"/>
          <w:sz w:val="24"/>
          <w:szCs w:val="24"/>
        </w:rPr>
        <w:t xml:space="preserve"> que la sociedad ha desarrollado, </w:t>
      </w:r>
      <w:r w:rsidRPr="00121449">
        <w:rPr>
          <w:rFonts w:ascii="Arial" w:hAnsi="Arial" w:cs="Arial"/>
          <w:sz w:val="24"/>
          <w:szCs w:val="24"/>
          <w:lang w:val="es-ES_tradnl" w:eastAsia="x-none"/>
        </w:rPr>
        <w:t>transferida al estudiante desde diferentes contextos.</w:t>
      </w:r>
      <w:r>
        <w:rPr>
          <w:rFonts w:ascii="Arial" w:hAnsi="Arial" w:cs="Arial"/>
          <w:sz w:val="24"/>
          <w:szCs w:val="24"/>
          <w:lang w:val="es-ES_tradnl" w:eastAsia="x-none"/>
        </w:rPr>
        <w:t xml:space="preserve"> </w:t>
      </w:r>
      <w:r>
        <w:rPr>
          <w:rFonts w:ascii="Arial" w:hAnsi="Arial" w:cs="Arial"/>
          <w:sz w:val="24"/>
          <w:szCs w:val="24"/>
        </w:rPr>
        <w:t>Al respecto,</w:t>
      </w:r>
      <w:r w:rsidRPr="00121449">
        <w:rPr>
          <w:rFonts w:ascii="Arial" w:hAnsi="Arial" w:cs="Arial"/>
          <w:sz w:val="24"/>
          <w:szCs w:val="24"/>
        </w:rPr>
        <w:t xml:space="preserve"> Obaya</w:t>
      </w:r>
      <w:r w:rsidRPr="002140F6">
        <w:rPr>
          <w:rFonts w:ascii="Arial" w:hAnsi="Arial" w:cs="Arial"/>
          <w:sz w:val="24"/>
          <w:szCs w:val="24"/>
          <w:vertAlign w:val="superscript"/>
        </w:rPr>
        <w:t>[2]</w:t>
      </w:r>
      <w:r w:rsidRPr="00121449">
        <w:rPr>
          <w:rFonts w:ascii="Arial" w:hAnsi="Arial" w:cs="Arial"/>
          <w:sz w:val="24"/>
          <w:szCs w:val="24"/>
        </w:rPr>
        <w:t xml:space="preserve"> considera el concepto de “aprender haciendo”, respetando los intereses y motivos propios de </w:t>
      </w:r>
      <w:r>
        <w:rPr>
          <w:rFonts w:ascii="Arial" w:hAnsi="Arial" w:cs="Arial"/>
          <w:sz w:val="24"/>
          <w:szCs w:val="24"/>
        </w:rPr>
        <w:t xml:space="preserve">cada </w:t>
      </w:r>
      <w:r w:rsidRPr="00121449">
        <w:rPr>
          <w:rFonts w:ascii="Arial" w:hAnsi="Arial" w:cs="Arial"/>
          <w:sz w:val="24"/>
          <w:szCs w:val="24"/>
        </w:rPr>
        <w:t xml:space="preserve">estudiante. </w:t>
      </w:r>
    </w:p>
    <w:p w:rsidR="004C44CE" w:rsidRDefault="004C44CE" w:rsidP="004C44CE">
      <w:pPr>
        <w:tabs>
          <w:tab w:val="left" w:pos="567"/>
        </w:tabs>
        <w:spacing w:after="0" w:line="240" w:lineRule="auto"/>
        <w:ind w:right="57" w:firstLine="550"/>
        <w:jc w:val="both"/>
        <w:rPr>
          <w:rFonts w:ascii="Arial" w:hAnsi="Arial" w:cs="Arial"/>
          <w:sz w:val="24"/>
          <w:szCs w:val="24"/>
        </w:rPr>
      </w:pPr>
      <w:r>
        <w:rPr>
          <w:rFonts w:ascii="Arial" w:hAnsi="Arial" w:cs="Arial"/>
          <w:sz w:val="24"/>
          <w:szCs w:val="24"/>
          <w:lang w:val="es-ES_tradnl"/>
        </w:rPr>
        <w:t>Los</w:t>
      </w:r>
      <w:r w:rsidRPr="00121449">
        <w:rPr>
          <w:rFonts w:ascii="Arial" w:hAnsi="Arial" w:cs="Arial"/>
          <w:sz w:val="24"/>
          <w:szCs w:val="24"/>
        </w:rPr>
        <w:t xml:space="preserve"> dos últimos puntos</w:t>
      </w:r>
      <w:r>
        <w:rPr>
          <w:rFonts w:ascii="Arial" w:hAnsi="Arial" w:cs="Arial"/>
          <w:sz w:val="24"/>
          <w:szCs w:val="24"/>
        </w:rPr>
        <w:t xml:space="preserve"> de vista,</w:t>
      </w:r>
      <w:r w:rsidRPr="00121449">
        <w:rPr>
          <w:rFonts w:ascii="Arial" w:hAnsi="Arial" w:cs="Arial"/>
          <w:sz w:val="24"/>
          <w:szCs w:val="24"/>
        </w:rPr>
        <w:t xml:space="preserve"> enc</w:t>
      </w:r>
      <w:r>
        <w:rPr>
          <w:rFonts w:ascii="Arial" w:hAnsi="Arial" w:cs="Arial"/>
          <w:sz w:val="24"/>
          <w:szCs w:val="24"/>
        </w:rPr>
        <w:t>uentran</w:t>
      </w:r>
      <w:r w:rsidRPr="00121449">
        <w:rPr>
          <w:rFonts w:ascii="Arial" w:hAnsi="Arial" w:cs="Arial"/>
          <w:sz w:val="24"/>
          <w:szCs w:val="24"/>
        </w:rPr>
        <w:t xml:space="preserve"> trascendental la realización de un proceso de gestión</w:t>
      </w:r>
      <w:r>
        <w:rPr>
          <w:rFonts w:ascii="Arial" w:hAnsi="Arial" w:cs="Arial"/>
          <w:sz w:val="24"/>
          <w:szCs w:val="24"/>
        </w:rPr>
        <w:t>,</w:t>
      </w:r>
      <w:r w:rsidRPr="00121449">
        <w:rPr>
          <w:rFonts w:ascii="Arial" w:hAnsi="Arial" w:cs="Arial"/>
          <w:sz w:val="24"/>
          <w:szCs w:val="24"/>
        </w:rPr>
        <w:t xml:space="preserve"> </w:t>
      </w:r>
      <w:r>
        <w:rPr>
          <w:rFonts w:ascii="Arial" w:hAnsi="Arial" w:cs="Arial"/>
          <w:sz w:val="24"/>
          <w:szCs w:val="24"/>
        </w:rPr>
        <w:t>partiendo</w:t>
      </w:r>
      <w:r w:rsidRPr="00121449">
        <w:rPr>
          <w:rFonts w:ascii="Arial" w:hAnsi="Arial" w:cs="Arial"/>
          <w:sz w:val="24"/>
          <w:szCs w:val="24"/>
        </w:rPr>
        <w:t xml:space="preserve"> de determinar los rasgos de </w:t>
      </w:r>
      <w:r>
        <w:rPr>
          <w:rFonts w:ascii="Arial" w:hAnsi="Arial" w:cs="Arial"/>
          <w:sz w:val="24"/>
          <w:szCs w:val="24"/>
        </w:rPr>
        <w:t>la</w:t>
      </w:r>
      <w:r w:rsidRPr="00121449">
        <w:rPr>
          <w:rFonts w:ascii="Arial" w:hAnsi="Arial" w:cs="Arial"/>
          <w:sz w:val="24"/>
          <w:szCs w:val="24"/>
        </w:rPr>
        <w:t xml:space="preserve"> personalidad y las potencialidades de los estudiantes para proyectar una educación en valores, donde se tracen estrategias y acciones de orientación e intervención hacia lo profesional, potenciando su desarrollo y modo de actuación acorde con </w:t>
      </w:r>
      <w:r>
        <w:rPr>
          <w:rFonts w:ascii="Arial" w:hAnsi="Arial" w:cs="Arial"/>
          <w:sz w:val="24"/>
          <w:szCs w:val="24"/>
        </w:rPr>
        <w:t>las</w:t>
      </w:r>
      <w:r w:rsidRPr="00121449">
        <w:rPr>
          <w:rFonts w:ascii="Arial" w:hAnsi="Arial" w:cs="Arial"/>
          <w:sz w:val="24"/>
          <w:szCs w:val="24"/>
        </w:rPr>
        <w:t xml:space="preserve"> normas de conducta, los intereses y motivos para </w:t>
      </w:r>
      <w:r>
        <w:rPr>
          <w:rFonts w:ascii="Arial" w:hAnsi="Arial" w:cs="Arial"/>
          <w:sz w:val="24"/>
          <w:szCs w:val="24"/>
        </w:rPr>
        <w:t>su</w:t>
      </w:r>
      <w:r w:rsidRPr="00121449">
        <w:rPr>
          <w:rFonts w:ascii="Arial" w:hAnsi="Arial" w:cs="Arial"/>
          <w:sz w:val="24"/>
          <w:szCs w:val="24"/>
        </w:rPr>
        <w:t xml:space="preserve"> mejor inserción en la sociedad.</w:t>
      </w:r>
      <w:r w:rsidRPr="00F83A8B">
        <w:rPr>
          <w:rFonts w:ascii="Arial" w:hAnsi="Arial" w:cs="Arial"/>
          <w:sz w:val="24"/>
          <w:szCs w:val="24"/>
        </w:rPr>
        <w:t xml:space="preserve"> </w:t>
      </w:r>
      <w:r>
        <w:rPr>
          <w:rFonts w:ascii="Arial" w:hAnsi="Arial" w:cs="Arial"/>
          <w:sz w:val="24"/>
          <w:szCs w:val="24"/>
        </w:rPr>
        <w:t>E</w:t>
      </w:r>
      <w:r w:rsidRPr="00F83A8B">
        <w:rPr>
          <w:rFonts w:ascii="Arial" w:hAnsi="Arial" w:cs="Arial"/>
          <w:sz w:val="24"/>
          <w:szCs w:val="24"/>
        </w:rPr>
        <w:t>l enfoque histórico-cultural sustenta la gestión de la educación en valores en la enseñanza superior cubana, desde el cual se asume que la enseñanza es un proceso</w:t>
      </w:r>
      <w:r>
        <w:rPr>
          <w:rFonts w:ascii="Arial" w:hAnsi="Arial" w:cs="Arial"/>
          <w:sz w:val="24"/>
          <w:szCs w:val="24"/>
        </w:rPr>
        <w:t>,</w:t>
      </w:r>
      <w:r w:rsidRPr="00F83A8B">
        <w:rPr>
          <w:rFonts w:ascii="Arial" w:hAnsi="Arial" w:cs="Arial"/>
          <w:sz w:val="24"/>
          <w:szCs w:val="24"/>
        </w:rPr>
        <w:t xml:space="preserve"> promotora del desarrollo</w:t>
      </w:r>
      <w:r>
        <w:rPr>
          <w:rFonts w:ascii="Arial" w:hAnsi="Arial" w:cs="Arial"/>
          <w:sz w:val="24"/>
          <w:szCs w:val="24"/>
        </w:rPr>
        <w:t>, ambos</w:t>
      </w:r>
      <w:r w:rsidRPr="00F83A8B">
        <w:rPr>
          <w:rFonts w:ascii="Arial" w:hAnsi="Arial" w:cs="Arial"/>
          <w:sz w:val="24"/>
          <w:szCs w:val="24"/>
        </w:rPr>
        <w:t xml:space="preserve"> </w:t>
      </w:r>
      <w:r>
        <w:rPr>
          <w:rFonts w:ascii="Arial" w:hAnsi="Arial" w:cs="Arial"/>
          <w:sz w:val="24"/>
          <w:szCs w:val="24"/>
        </w:rPr>
        <w:t xml:space="preserve">son reconocidos </w:t>
      </w:r>
      <w:r w:rsidRPr="00F83A8B">
        <w:rPr>
          <w:rFonts w:ascii="Arial" w:hAnsi="Arial" w:cs="Arial"/>
          <w:sz w:val="24"/>
          <w:szCs w:val="24"/>
        </w:rPr>
        <w:t>como fundamento teórico-metodológico de la escuela cubana.</w:t>
      </w:r>
    </w:p>
    <w:p w:rsidR="004C44CE" w:rsidRPr="00784946" w:rsidRDefault="004C44CE" w:rsidP="004C44CE">
      <w:pPr>
        <w:tabs>
          <w:tab w:val="left" w:pos="567"/>
        </w:tabs>
        <w:spacing w:after="0" w:line="240" w:lineRule="auto"/>
        <w:ind w:right="57" w:firstLine="550"/>
        <w:jc w:val="both"/>
        <w:rPr>
          <w:rFonts w:ascii="Arial" w:hAnsi="Arial" w:cs="Arial"/>
          <w:sz w:val="24"/>
          <w:szCs w:val="24"/>
        </w:rPr>
      </w:pPr>
    </w:p>
    <w:p w:rsidR="004C44CE" w:rsidRPr="00EB06C2" w:rsidRDefault="004C44CE" w:rsidP="001D2A3D">
      <w:pPr>
        <w:pStyle w:val="Sinespaciado"/>
        <w:numPr>
          <w:ilvl w:val="1"/>
          <w:numId w:val="57"/>
        </w:numPr>
        <w:tabs>
          <w:tab w:val="left" w:pos="709"/>
        </w:tabs>
        <w:spacing w:line="360" w:lineRule="auto"/>
        <w:ind w:left="357" w:hanging="357"/>
        <w:jc w:val="both"/>
        <w:rPr>
          <w:rFonts w:ascii="Arial" w:hAnsi="Arial" w:cs="Arial"/>
          <w:i/>
          <w:sz w:val="24"/>
          <w:szCs w:val="24"/>
        </w:rPr>
      </w:pPr>
      <w:r>
        <w:rPr>
          <w:rFonts w:ascii="Arial" w:hAnsi="Arial" w:cs="Arial"/>
          <w:i/>
          <w:sz w:val="24"/>
          <w:szCs w:val="24"/>
        </w:rPr>
        <w:t xml:space="preserve"> Proceso de enseñanza</w:t>
      </w:r>
      <w:r w:rsidRPr="00EB06C2">
        <w:rPr>
          <w:rFonts w:ascii="Arial" w:hAnsi="Arial" w:cs="Arial"/>
          <w:i/>
          <w:sz w:val="24"/>
          <w:szCs w:val="24"/>
        </w:rPr>
        <w:t xml:space="preserve"> </w:t>
      </w:r>
    </w:p>
    <w:p w:rsidR="004C44CE" w:rsidRPr="00F7115B" w:rsidRDefault="004C44CE" w:rsidP="004C44CE">
      <w:pPr>
        <w:kinsoku w:val="0"/>
        <w:overflowPunct w:val="0"/>
        <w:spacing w:after="0" w:line="240" w:lineRule="auto"/>
        <w:ind w:firstLine="550"/>
        <w:jc w:val="both"/>
        <w:textAlignment w:val="baseline"/>
        <w:rPr>
          <w:rFonts w:ascii="Arial" w:hAnsi="Arial" w:cs="Arial"/>
          <w:bCs/>
          <w:sz w:val="24"/>
          <w:szCs w:val="24"/>
        </w:rPr>
      </w:pPr>
      <w:r w:rsidRPr="00266541">
        <w:rPr>
          <w:rFonts w:ascii="Arial" w:hAnsi="Arial" w:cs="Arial"/>
          <w:bCs/>
          <w:sz w:val="24"/>
          <w:szCs w:val="24"/>
        </w:rPr>
        <w:t>En el proceso de formación se manifiestan múltiples problemas, pues  las relaciones entre la enseñanza y el aprendizaje no constituyen un simple “ofrecer” y “tomar”</w:t>
      </w:r>
      <w:r>
        <w:rPr>
          <w:rFonts w:ascii="Arial" w:hAnsi="Arial" w:cs="Arial"/>
          <w:bCs/>
          <w:sz w:val="24"/>
          <w:szCs w:val="24"/>
          <w:vertAlign w:val="superscript"/>
        </w:rPr>
        <w:t>[16]</w:t>
      </w:r>
      <w:r w:rsidRPr="00266541">
        <w:rPr>
          <w:rFonts w:ascii="Arial" w:hAnsi="Arial" w:cs="Arial"/>
          <w:bCs/>
          <w:sz w:val="24"/>
          <w:szCs w:val="24"/>
        </w:rPr>
        <w:t>. Existen</w:t>
      </w:r>
      <w:r>
        <w:rPr>
          <w:rFonts w:ascii="Arial" w:hAnsi="Arial" w:cs="Arial"/>
          <w:bCs/>
          <w:sz w:val="24"/>
          <w:szCs w:val="24"/>
        </w:rPr>
        <w:t xml:space="preserve"> múltiples tensiones</w:t>
      </w:r>
      <w:r w:rsidRPr="00266541">
        <w:rPr>
          <w:rFonts w:ascii="Arial" w:hAnsi="Arial" w:cs="Arial"/>
          <w:bCs/>
          <w:sz w:val="24"/>
          <w:szCs w:val="24"/>
        </w:rPr>
        <w:t xml:space="preserve"> que complican la labor de dirección por parte del profesor</w:t>
      </w:r>
      <w:r>
        <w:rPr>
          <w:rFonts w:ascii="Arial" w:hAnsi="Arial" w:cs="Arial"/>
          <w:bCs/>
          <w:sz w:val="24"/>
          <w:szCs w:val="24"/>
        </w:rPr>
        <w:t>,</w:t>
      </w:r>
      <w:r w:rsidRPr="00266541">
        <w:rPr>
          <w:rFonts w:ascii="Arial" w:hAnsi="Arial" w:cs="Arial"/>
          <w:bCs/>
          <w:sz w:val="24"/>
          <w:szCs w:val="24"/>
        </w:rPr>
        <w:t xml:space="preserve"> y la actividad de aprendizaje del estudiante. P</w:t>
      </w:r>
      <w:r>
        <w:rPr>
          <w:rFonts w:ascii="Arial" w:hAnsi="Arial" w:cs="Arial"/>
          <w:bCs/>
          <w:sz w:val="24"/>
          <w:szCs w:val="24"/>
        </w:rPr>
        <w:t>ero</w:t>
      </w:r>
      <w:r w:rsidRPr="00266541">
        <w:rPr>
          <w:rFonts w:ascii="Arial" w:hAnsi="Arial" w:cs="Arial"/>
          <w:bCs/>
          <w:sz w:val="24"/>
          <w:szCs w:val="24"/>
        </w:rPr>
        <w:t xml:space="preserve"> constituyen la premisa básica para el movimiento hacia un plano superior del proceso de enseñanza-aprendizaje.</w:t>
      </w:r>
      <w:r>
        <w:rPr>
          <w:rFonts w:ascii="Arial" w:hAnsi="Arial" w:cs="Arial"/>
          <w:bCs/>
          <w:sz w:val="24"/>
          <w:szCs w:val="24"/>
        </w:rPr>
        <w:t xml:space="preserve"> </w:t>
      </w:r>
      <w:r w:rsidRPr="00266541">
        <w:rPr>
          <w:rFonts w:ascii="Arial" w:hAnsi="Arial" w:cs="Arial"/>
          <w:bCs/>
          <w:color w:val="000000"/>
          <w:kern w:val="24"/>
          <w:sz w:val="24"/>
          <w:szCs w:val="24"/>
        </w:rPr>
        <w:t>Este proceso se caracteriza por la constante interacción de tres compo</w:t>
      </w:r>
      <w:r>
        <w:rPr>
          <w:rFonts w:ascii="Arial" w:hAnsi="Arial" w:cs="Arial"/>
          <w:bCs/>
          <w:color w:val="000000"/>
          <w:kern w:val="24"/>
          <w:sz w:val="24"/>
          <w:szCs w:val="24"/>
        </w:rPr>
        <w:t>nentes:</w:t>
      </w:r>
      <w:r w:rsidRPr="00266541">
        <w:rPr>
          <w:rFonts w:ascii="Arial" w:hAnsi="Arial" w:cs="Arial"/>
          <w:bCs/>
          <w:color w:val="000000"/>
          <w:kern w:val="24"/>
          <w:sz w:val="24"/>
          <w:szCs w:val="24"/>
        </w:rPr>
        <w:t xml:space="preserve"> </w:t>
      </w:r>
      <w:r>
        <w:rPr>
          <w:rFonts w:ascii="Arial" w:hAnsi="Arial" w:cs="Arial"/>
          <w:bCs/>
          <w:color w:val="000000"/>
          <w:kern w:val="24"/>
          <w:sz w:val="24"/>
          <w:szCs w:val="24"/>
        </w:rPr>
        <w:t>l</w:t>
      </w:r>
      <w:r w:rsidRPr="00266541">
        <w:rPr>
          <w:rFonts w:ascii="Arial" w:hAnsi="Arial" w:cs="Arial"/>
          <w:bCs/>
          <w:color w:val="000000"/>
          <w:kern w:val="24"/>
          <w:sz w:val="24"/>
          <w:szCs w:val="24"/>
        </w:rPr>
        <w:t>a materia de enseñanza (</w:t>
      </w:r>
      <w:r>
        <w:rPr>
          <w:rFonts w:ascii="Arial" w:hAnsi="Arial" w:cs="Arial"/>
          <w:bCs/>
          <w:color w:val="000000"/>
          <w:kern w:val="24"/>
          <w:sz w:val="24"/>
          <w:szCs w:val="24"/>
        </w:rPr>
        <w:t>contenido de la</w:t>
      </w:r>
      <w:r w:rsidRPr="00266541">
        <w:rPr>
          <w:rFonts w:ascii="Arial" w:hAnsi="Arial" w:cs="Arial"/>
          <w:bCs/>
          <w:color w:val="000000"/>
          <w:kern w:val="24"/>
          <w:sz w:val="24"/>
          <w:szCs w:val="24"/>
        </w:rPr>
        <w:t xml:space="preserve"> </w:t>
      </w:r>
      <w:r>
        <w:rPr>
          <w:rFonts w:ascii="Arial" w:hAnsi="Arial" w:cs="Arial"/>
          <w:bCs/>
          <w:color w:val="000000"/>
          <w:kern w:val="24"/>
          <w:sz w:val="24"/>
          <w:szCs w:val="24"/>
        </w:rPr>
        <w:t>asignatura</w:t>
      </w:r>
      <w:r w:rsidRPr="00266541">
        <w:rPr>
          <w:rFonts w:ascii="Arial" w:hAnsi="Arial" w:cs="Arial"/>
          <w:bCs/>
          <w:color w:val="000000"/>
          <w:kern w:val="24"/>
          <w:sz w:val="24"/>
          <w:szCs w:val="24"/>
        </w:rPr>
        <w:t xml:space="preserve">), la acción de enseñar (proceso </w:t>
      </w:r>
      <w:r>
        <w:rPr>
          <w:rFonts w:ascii="Arial" w:hAnsi="Arial" w:cs="Arial"/>
          <w:bCs/>
          <w:color w:val="000000"/>
          <w:kern w:val="24"/>
          <w:sz w:val="24"/>
          <w:szCs w:val="24"/>
        </w:rPr>
        <w:t>d</w:t>
      </w:r>
      <w:r w:rsidRPr="00266541">
        <w:rPr>
          <w:rFonts w:ascii="Arial" w:hAnsi="Arial" w:cs="Arial"/>
          <w:bCs/>
          <w:color w:val="000000"/>
          <w:kern w:val="24"/>
          <w:sz w:val="24"/>
          <w:szCs w:val="24"/>
        </w:rPr>
        <w:t xml:space="preserve">el profesor </w:t>
      </w:r>
      <w:r>
        <w:rPr>
          <w:rFonts w:ascii="Arial" w:hAnsi="Arial" w:cs="Arial"/>
          <w:bCs/>
          <w:color w:val="000000"/>
          <w:kern w:val="24"/>
          <w:sz w:val="24"/>
          <w:szCs w:val="24"/>
        </w:rPr>
        <w:t>como</w:t>
      </w:r>
      <w:r w:rsidRPr="00266541">
        <w:rPr>
          <w:rFonts w:ascii="Arial" w:hAnsi="Arial" w:cs="Arial"/>
          <w:bCs/>
          <w:color w:val="000000"/>
          <w:kern w:val="24"/>
          <w:sz w:val="24"/>
          <w:szCs w:val="24"/>
        </w:rPr>
        <w:t xml:space="preserve"> mediador de la materia de enseñanza) y la acción de aprender (proceso de apropiación de la materia de enseñanza por el estudiante).</w:t>
      </w:r>
      <w:r w:rsidRPr="00F83A8B">
        <w:rPr>
          <w:rFonts w:ascii="Arial" w:hAnsi="Arial" w:cs="Arial"/>
          <w:bCs/>
          <w:color w:val="000000"/>
          <w:kern w:val="24"/>
          <w:sz w:val="24"/>
          <w:szCs w:val="24"/>
        </w:rPr>
        <w:t xml:space="preserve"> </w:t>
      </w:r>
    </w:p>
    <w:p w:rsidR="004C44CE" w:rsidRPr="00D61188" w:rsidRDefault="004C44CE" w:rsidP="004C44CE">
      <w:pPr>
        <w:tabs>
          <w:tab w:val="left" w:pos="567"/>
        </w:tabs>
        <w:spacing w:after="0" w:line="240" w:lineRule="auto"/>
        <w:ind w:right="57" w:firstLine="550"/>
        <w:jc w:val="both"/>
        <w:rPr>
          <w:rFonts w:ascii="Arial" w:hAnsi="Arial" w:cs="Arial"/>
          <w:sz w:val="24"/>
          <w:szCs w:val="24"/>
          <w:lang w:val="es-ES_tradnl"/>
        </w:rPr>
      </w:pPr>
      <w:r w:rsidRPr="0028724A">
        <w:rPr>
          <w:rFonts w:ascii="Arial" w:hAnsi="Arial" w:cs="Arial"/>
          <w:sz w:val="24"/>
          <w:szCs w:val="24"/>
        </w:rPr>
        <w:t>La apropiación de conocimientos por parte de los estudiantes no es tarea fácil. Subsisten múltiples relaciones entre los conocimientos correctos, que constituyen el núcleo de las tareas planteadas por la escuela, y los conocimientos ya asimilados por los estudiantes. En la relación de lo nuevo y lo viejo se refleja el cambio de lo cuantitativo a lo cualitativo.</w:t>
      </w:r>
      <w:r>
        <w:rPr>
          <w:rFonts w:ascii="Arial" w:hAnsi="Arial" w:cs="Arial"/>
          <w:sz w:val="24"/>
          <w:szCs w:val="24"/>
        </w:rPr>
        <w:t xml:space="preserve"> </w:t>
      </w:r>
      <w:r w:rsidRPr="0028724A">
        <w:rPr>
          <w:rFonts w:ascii="Arial" w:hAnsi="Arial" w:cs="Arial"/>
          <w:sz w:val="24"/>
          <w:szCs w:val="24"/>
          <w:lang w:eastAsia="es-ES"/>
        </w:rPr>
        <w:t>Makarenko</w:t>
      </w:r>
      <w:r>
        <w:rPr>
          <w:rFonts w:ascii="Arial" w:hAnsi="Arial" w:cs="Arial"/>
          <w:sz w:val="24"/>
          <w:szCs w:val="24"/>
          <w:vertAlign w:val="superscript"/>
          <w:lang w:eastAsia="es-ES"/>
        </w:rPr>
        <w:t>[17]</w:t>
      </w:r>
      <w:r w:rsidRPr="0028724A">
        <w:rPr>
          <w:rFonts w:ascii="Arial" w:hAnsi="Arial" w:cs="Arial"/>
          <w:sz w:val="24"/>
          <w:szCs w:val="24"/>
          <w:lang w:eastAsia="es-ES"/>
        </w:rPr>
        <w:t xml:space="preserve"> hizo notar que el trabajo, como medio educativo, es sol</w:t>
      </w:r>
      <w:r>
        <w:rPr>
          <w:rFonts w:ascii="Arial" w:hAnsi="Arial" w:cs="Arial"/>
          <w:sz w:val="24"/>
          <w:szCs w:val="24"/>
          <w:lang w:eastAsia="es-ES"/>
        </w:rPr>
        <w:t>o una parte del sistema general,</w:t>
      </w:r>
      <w:r w:rsidRPr="0028724A">
        <w:rPr>
          <w:rFonts w:ascii="Arial" w:hAnsi="Arial" w:cs="Arial"/>
          <w:sz w:val="24"/>
          <w:szCs w:val="24"/>
          <w:lang w:eastAsia="es-ES"/>
        </w:rPr>
        <w:t xml:space="preserve"> </w:t>
      </w:r>
      <w:r w:rsidRPr="0028724A">
        <w:rPr>
          <w:rFonts w:ascii="Arial" w:hAnsi="Arial" w:cs="Arial"/>
          <w:sz w:val="24"/>
          <w:szCs w:val="24"/>
        </w:rPr>
        <w:t>que la optimización del proceso de enseñanza-aprendizaje es la resultante de que éste no puede verse como algo adicional, sino en toda la gestión de la ins</w:t>
      </w:r>
      <w:r>
        <w:rPr>
          <w:rFonts w:ascii="Arial" w:hAnsi="Arial" w:cs="Arial"/>
          <w:sz w:val="24"/>
          <w:szCs w:val="24"/>
        </w:rPr>
        <w:t>titución educa</w:t>
      </w:r>
      <w:r w:rsidRPr="0028724A">
        <w:rPr>
          <w:rFonts w:ascii="Arial" w:hAnsi="Arial" w:cs="Arial"/>
          <w:sz w:val="24"/>
          <w:szCs w:val="24"/>
        </w:rPr>
        <w:t>tiva. Se puede considerar que e</w:t>
      </w:r>
      <w:r w:rsidRPr="0028724A">
        <w:rPr>
          <w:rFonts w:ascii="Arial" w:hAnsi="Arial" w:cs="Arial"/>
          <w:sz w:val="24"/>
          <w:szCs w:val="24"/>
          <w:lang w:val="es-ES_tradnl"/>
        </w:rPr>
        <w:t>l proceso de enseñanza constituye un conjunto dinámico y complejo de actividades del pedagogo y de los educandos</w:t>
      </w:r>
      <w:r>
        <w:rPr>
          <w:rFonts w:ascii="Arial" w:hAnsi="Arial" w:cs="Arial"/>
          <w:sz w:val="24"/>
          <w:szCs w:val="24"/>
          <w:vertAlign w:val="superscript"/>
          <w:lang w:val="es-ES_tradnl"/>
        </w:rPr>
        <w:t>[18]</w:t>
      </w:r>
      <w:r w:rsidRPr="00D61188">
        <w:rPr>
          <w:rFonts w:ascii="Arial" w:hAnsi="Arial" w:cs="Arial"/>
          <w:sz w:val="24"/>
          <w:szCs w:val="24"/>
          <w:lang w:val="es-ES_tradnl"/>
        </w:rPr>
        <w:t>.</w:t>
      </w:r>
    </w:p>
    <w:p w:rsidR="004C44CE" w:rsidRPr="00D61188" w:rsidRDefault="004C44CE" w:rsidP="004C44CE">
      <w:pPr>
        <w:spacing w:after="0" w:line="240" w:lineRule="auto"/>
        <w:ind w:right="57" w:firstLine="550"/>
        <w:jc w:val="both"/>
        <w:rPr>
          <w:rFonts w:ascii="Arial" w:hAnsi="Arial" w:cs="Arial"/>
          <w:sz w:val="24"/>
          <w:szCs w:val="24"/>
        </w:rPr>
      </w:pPr>
      <w:r>
        <w:rPr>
          <w:rFonts w:ascii="Arial" w:hAnsi="Arial" w:cs="Arial"/>
          <w:sz w:val="24"/>
          <w:szCs w:val="24"/>
          <w:lang w:val="es-ES_tradnl"/>
        </w:rPr>
        <w:t xml:space="preserve">Por otro lado, </w:t>
      </w:r>
      <w:r>
        <w:rPr>
          <w:rFonts w:ascii="Arial" w:hAnsi="Arial" w:cs="Arial"/>
          <w:sz w:val="24"/>
          <w:szCs w:val="24"/>
        </w:rPr>
        <w:t>a</w:t>
      </w:r>
      <w:r w:rsidRPr="001F6C8F">
        <w:rPr>
          <w:rFonts w:ascii="Arial" w:hAnsi="Arial" w:cs="Arial"/>
          <w:sz w:val="24"/>
          <w:szCs w:val="24"/>
        </w:rPr>
        <w:t>lgunos autores centran su atención en el análisis del proceso de enseñanza o de educación</w:t>
      </w:r>
      <w:r>
        <w:rPr>
          <w:rFonts w:ascii="Arial" w:hAnsi="Arial" w:cs="Arial"/>
          <w:sz w:val="24"/>
          <w:szCs w:val="24"/>
          <w:vertAlign w:val="superscript"/>
        </w:rPr>
        <w:t>[5,18,19]</w:t>
      </w:r>
      <w:r w:rsidRPr="001F6C8F">
        <w:rPr>
          <w:rFonts w:ascii="Arial" w:hAnsi="Arial" w:cs="Arial"/>
          <w:sz w:val="24"/>
          <w:szCs w:val="24"/>
        </w:rPr>
        <w:t xml:space="preserve">. </w:t>
      </w:r>
      <w:r>
        <w:rPr>
          <w:rFonts w:ascii="Arial" w:hAnsi="Arial" w:cs="Arial"/>
          <w:sz w:val="24"/>
          <w:szCs w:val="24"/>
        </w:rPr>
        <w:t>A</w:t>
      </w:r>
      <w:r w:rsidRPr="001F6C8F">
        <w:rPr>
          <w:rFonts w:ascii="Arial" w:hAnsi="Arial" w:cs="Arial"/>
          <w:sz w:val="24"/>
          <w:szCs w:val="24"/>
        </w:rPr>
        <w:t xml:space="preserve">demás </w:t>
      </w:r>
      <w:r>
        <w:rPr>
          <w:rFonts w:ascii="Arial" w:hAnsi="Arial" w:cs="Arial"/>
          <w:sz w:val="24"/>
          <w:szCs w:val="24"/>
        </w:rPr>
        <w:t>existen diversas</w:t>
      </w:r>
      <w:r w:rsidRPr="001F6C8F">
        <w:rPr>
          <w:rFonts w:ascii="Arial" w:hAnsi="Arial" w:cs="Arial"/>
          <w:sz w:val="24"/>
          <w:szCs w:val="24"/>
        </w:rPr>
        <w:t xml:space="preserve"> </w:t>
      </w:r>
      <w:r>
        <w:rPr>
          <w:rFonts w:ascii="Arial" w:hAnsi="Arial" w:cs="Arial"/>
          <w:sz w:val="24"/>
          <w:szCs w:val="24"/>
        </w:rPr>
        <w:t>formas</w:t>
      </w:r>
      <w:r w:rsidRPr="001F6C8F">
        <w:rPr>
          <w:rFonts w:ascii="Arial" w:hAnsi="Arial" w:cs="Arial"/>
          <w:sz w:val="24"/>
          <w:szCs w:val="24"/>
        </w:rPr>
        <w:t xml:space="preserve"> de designar la acción de enseñar y educar. </w:t>
      </w:r>
      <w:r>
        <w:rPr>
          <w:rFonts w:ascii="Arial" w:hAnsi="Arial" w:cs="Arial"/>
          <w:sz w:val="24"/>
          <w:szCs w:val="24"/>
        </w:rPr>
        <w:t>Como</w:t>
      </w:r>
      <w:r w:rsidRPr="001F6C8F">
        <w:rPr>
          <w:rFonts w:ascii="Arial" w:hAnsi="Arial" w:cs="Arial"/>
          <w:sz w:val="24"/>
          <w:szCs w:val="24"/>
        </w:rPr>
        <w:t xml:space="preserve"> proceso docente-educativo y/o proceso de enseñanza-aprendizaje</w:t>
      </w:r>
      <w:r>
        <w:rPr>
          <w:rFonts w:ascii="Arial" w:hAnsi="Arial" w:cs="Arial"/>
          <w:sz w:val="24"/>
          <w:szCs w:val="24"/>
          <w:vertAlign w:val="superscript"/>
        </w:rPr>
        <w:t>[4,16,20,21]</w:t>
      </w:r>
      <w:r w:rsidRPr="00821C49">
        <w:rPr>
          <w:rFonts w:ascii="Arial" w:hAnsi="Arial" w:cs="Arial"/>
          <w:sz w:val="24"/>
          <w:szCs w:val="24"/>
        </w:rPr>
        <w:t>. Como proceso pedagógico</w:t>
      </w:r>
      <w:r>
        <w:rPr>
          <w:rFonts w:ascii="Arial" w:hAnsi="Arial" w:cs="Arial"/>
          <w:sz w:val="24"/>
          <w:szCs w:val="24"/>
          <w:vertAlign w:val="superscript"/>
        </w:rPr>
        <w:t>[22]</w:t>
      </w:r>
      <w:r w:rsidRPr="00821C49">
        <w:rPr>
          <w:rFonts w:ascii="Arial" w:hAnsi="Arial" w:cs="Arial"/>
          <w:sz w:val="24"/>
          <w:szCs w:val="24"/>
        </w:rPr>
        <w:t>. Como proceso de enseñanza-aprendizaje desarrollador</w:t>
      </w:r>
      <w:r>
        <w:rPr>
          <w:rFonts w:ascii="Arial" w:hAnsi="Arial" w:cs="Arial"/>
          <w:sz w:val="24"/>
          <w:szCs w:val="24"/>
          <w:vertAlign w:val="superscript"/>
        </w:rPr>
        <w:t>[21,23,24]</w:t>
      </w:r>
      <w:r w:rsidRPr="00821C49">
        <w:rPr>
          <w:rFonts w:ascii="Arial" w:hAnsi="Arial" w:cs="Arial"/>
          <w:sz w:val="24"/>
          <w:szCs w:val="24"/>
        </w:rPr>
        <w:t>. Pero</w:t>
      </w:r>
      <w:r w:rsidRPr="001F6C8F">
        <w:rPr>
          <w:rFonts w:ascii="Arial" w:hAnsi="Arial" w:cs="Arial"/>
          <w:sz w:val="24"/>
          <w:szCs w:val="24"/>
        </w:rPr>
        <w:t xml:space="preserve"> existe </w:t>
      </w:r>
      <w:r>
        <w:rPr>
          <w:rFonts w:ascii="Arial" w:hAnsi="Arial" w:cs="Arial"/>
          <w:sz w:val="24"/>
          <w:szCs w:val="24"/>
        </w:rPr>
        <w:t>consenso</w:t>
      </w:r>
      <w:r w:rsidRPr="001F6C8F">
        <w:rPr>
          <w:rFonts w:ascii="Arial" w:hAnsi="Arial" w:cs="Arial"/>
          <w:sz w:val="24"/>
          <w:szCs w:val="24"/>
        </w:rPr>
        <w:t xml:space="preserve"> al considerar la gestión de la educación en valores un proceso integrado</w:t>
      </w:r>
      <w:r>
        <w:rPr>
          <w:rFonts w:ascii="Arial" w:hAnsi="Arial" w:cs="Arial"/>
          <w:sz w:val="24"/>
          <w:szCs w:val="24"/>
        </w:rPr>
        <w:t>r</w:t>
      </w:r>
      <w:r w:rsidRPr="001F6C8F">
        <w:rPr>
          <w:rFonts w:ascii="Arial" w:hAnsi="Arial" w:cs="Arial"/>
          <w:sz w:val="24"/>
          <w:szCs w:val="24"/>
        </w:rPr>
        <w:t xml:space="preserve"> </w:t>
      </w:r>
      <w:r>
        <w:rPr>
          <w:rFonts w:ascii="Arial" w:hAnsi="Arial" w:cs="Arial"/>
          <w:sz w:val="24"/>
          <w:szCs w:val="24"/>
        </w:rPr>
        <w:t>para</w:t>
      </w:r>
      <w:r w:rsidRPr="001F6C8F">
        <w:rPr>
          <w:rFonts w:ascii="Arial" w:hAnsi="Arial" w:cs="Arial"/>
          <w:sz w:val="24"/>
          <w:szCs w:val="24"/>
        </w:rPr>
        <w:t xml:space="preserve"> </w:t>
      </w:r>
      <w:r>
        <w:rPr>
          <w:rFonts w:ascii="Arial" w:hAnsi="Arial" w:cs="Arial"/>
          <w:sz w:val="24"/>
          <w:szCs w:val="24"/>
        </w:rPr>
        <w:t>formar</w:t>
      </w:r>
      <w:r w:rsidRPr="001F6C8F">
        <w:rPr>
          <w:rFonts w:ascii="Arial" w:hAnsi="Arial" w:cs="Arial"/>
          <w:sz w:val="24"/>
          <w:szCs w:val="24"/>
        </w:rPr>
        <w:t xml:space="preserve"> la personalidad del estudiante.</w:t>
      </w:r>
      <w:r>
        <w:rPr>
          <w:rFonts w:ascii="Arial" w:hAnsi="Arial" w:cs="Arial"/>
          <w:sz w:val="24"/>
          <w:szCs w:val="24"/>
        </w:rPr>
        <w:t xml:space="preserve"> </w:t>
      </w:r>
    </w:p>
    <w:p w:rsidR="004C44CE" w:rsidRPr="00266541" w:rsidRDefault="004C44CE" w:rsidP="004C44CE">
      <w:pPr>
        <w:tabs>
          <w:tab w:val="left" w:pos="567"/>
        </w:tabs>
        <w:spacing w:after="0" w:line="240" w:lineRule="auto"/>
        <w:ind w:right="57" w:firstLine="550"/>
        <w:jc w:val="both"/>
        <w:rPr>
          <w:rFonts w:ascii="Arial" w:hAnsi="Arial" w:cs="Arial"/>
          <w:sz w:val="24"/>
          <w:szCs w:val="24"/>
          <w:lang w:val="es-ES_tradnl" w:eastAsia="x-none"/>
        </w:rPr>
      </w:pPr>
      <w:r w:rsidRPr="00F83A8B">
        <w:rPr>
          <w:rFonts w:ascii="Arial" w:hAnsi="Arial" w:cs="Arial"/>
          <w:sz w:val="24"/>
          <w:szCs w:val="24"/>
          <w:lang w:val="es-ES_tradnl" w:eastAsia="x-none"/>
        </w:rPr>
        <w:t>De lo anterior se puede inferir que los problemas de desarrollo de las potencialidades de los estudiantes, la formación de sus convicciones i</w:t>
      </w:r>
      <w:r>
        <w:rPr>
          <w:rFonts w:ascii="Arial" w:hAnsi="Arial" w:cs="Arial"/>
          <w:sz w:val="24"/>
          <w:szCs w:val="24"/>
          <w:lang w:val="es-ES_tradnl" w:eastAsia="x-none"/>
        </w:rPr>
        <w:t>deológicas, la independencia de pensamiento, el temple de</w:t>
      </w:r>
      <w:r w:rsidRPr="00F83A8B">
        <w:rPr>
          <w:rFonts w:ascii="Arial" w:hAnsi="Arial" w:cs="Arial"/>
          <w:sz w:val="24"/>
          <w:szCs w:val="24"/>
          <w:lang w:val="es-ES_tradnl" w:eastAsia="x-none"/>
        </w:rPr>
        <w:t xml:space="preserve"> espíritu y la capacidad </w:t>
      </w:r>
      <w:r>
        <w:rPr>
          <w:rFonts w:ascii="Arial" w:hAnsi="Arial" w:cs="Arial"/>
          <w:sz w:val="24"/>
          <w:szCs w:val="24"/>
          <w:lang w:val="es-ES_tradnl" w:eastAsia="x-none"/>
        </w:rPr>
        <w:t>de</w:t>
      </w:r>
      <w:r w:rsidRPr="00F83A8B">
        <w:rPr>
          <w:rFonts w:ascii="Arial" w:hAnsi="Arial" w:cs="Arial"/>
          <w:sz w:val="24"/>
          <w:szCs w:val="24"/>
          <w:lang w:val="es-ES_tradnl" w:eastAsia="x-none"/>
        </w:rPr>
        <w:t xml:space="preserve"> oponerse a las influencias nocivas, aún no están suficientemente resueltas. </w:t>
      </w:r>
      <w:r w:rsidRPr="00266541">
        <w:rPr>
          <w:rFonts w:ascii="Arial" w:hAnsi="Arial" w:cs="Arial"/>
          <w:sz w:val="24"/>
          <w:szCs w:val="24"/>
          <w:lang w:val="es-ES_tradnl" w:eastAsia="x-none"/>
        </w:rPr>
        <w:t xml:space="preserve">La causa pudiera </w:t>
      </w:r>
      <w:r>
        <w:rPr>
          <w:rFonts w:ascii="Arial" w:hAnsi="Arial" w:cs="Arial"/>
          <w:sz w:val="24"/>
          <w:szCs w:val="24"/>
          <w:lang w:val="es-ES_tradnl" w:eastAsia="x-none"/>
        </w:rPr>
        <w:t>ser</w:t>
      </w:r>
      <w:r w:rsidRPr="00266541">
        <w:rPr>
          <w:rFonts w:ascii="Arial" w:hAnsi="Arial" w:cs="Arial"/>
          <w:sz w:val="24"/>
          <w:szCs w:val="24"/>
          <w:lang w:val="es-ES_tradnl" w:eastAsia="x-none"/>
        </w:rPr>
        <w:t xml:space="preserve"> que las instituciones educativas</w:t>
      </w:r>
      <w:r>
        <w:rPr>
          <w:rFonts w:ascii="Arial" w:hAnsi="Arial" w:cs="Arial"/>
          <w:sz w:val="24"/>
          <w:szCs w:val="24"/>
          <w:lang w:val="es-ES_tradnl" w:eastAsia="x-none"/>
        </w:rPr>
        <w:t>,</w:t>
      </w:r>
      <w:r w:rsidRPr="00266541">
        <w:rPr>
          <w:rFonts w:ascii="Arial" w:hAnsi="Arial" w:cs="Arial"/>
          <w:sz w:val="24"/>
          <w:szCs w:val="24"/>
          <w:lang w:val="es-ES_tradnl" w:eastAsia="x-none"/>
        </w:rPr>
        <w:t xml:space="preserve"> no aprovechan plenamente las posibilidades de que disponen, para educar en el espíritu de una moral, una conducta óptima y una actitud consciente hacia el estudio y el trabajo. La enseñanza debe apoyarse siempre en el sentido común de los estudiantes, cultivándolos y librándolos de prejuicios y equívocos. </w:t>
      </w:r>
    </w:p>
    <w:p w:rsidR="004C44CE" w:rsidRPr="00F83A8B" w:rsidRDefault="004C44CE" w:rsidP="004C44CE">
      <w:pPr>
        <w:tabs>
          <w:tab w:val="left" w:pos="567"/>
        </w:tabs>
        <w:spacing w:after="0" w:line="240" w:lineRule="auto"/>
        <w:ind w:right="57" w:firstLine="550"/>
        <w:jc w:val="both"/>
        <w:rPr>
          <w:rFonts w:ascii="Arial" w:hAnsi="Arial" w:cs="Arial"/>
          <w:sz w:val="24"/>
          <w:szCs w:val="24"/>
        </w:rPr>
      </w:pPr>
      <w:r w:rsidRPr="00266541">
        <w:rPr>
          <w:rFonts w:ascii="Arial" w:hAnsi="Arial" w:cs="Arial"/>
          <w:sz w:val="24"/>
          <w:szCs w:val="24"/>
        </w:rPr>
        <w:t>Otro criterio interesante es el de Papert y Harel</w:t>
      </w:r>
      <w:r>
        <w:rPr>
          <w:rFonts w:ascii="Arial" w:hAnsi="Arial" w:cs="Arial"/>
          <w:sz w:val="24"/>
          <w:szCs w:val="24"/>
          <w:vertAlign w:val="superscript"/>
        </w:rPr>
        <w:t>[25]</w:t>
      </w:r>
      <w:r w:rsidRPr="00266541">
        <w:rPr>
          <w:rFonts w:ascii="Arial" w:hAnsi="Arial" w:cs="Arial"/>
          <w:sz w:val="24"/>
          <w:szCs w:val="24"/>
        </w:rPr>
        <w:t xml:space="preserve">, </w:t>
      </w:r>
      <w:r>
        <w:rPr>
          <w:rFonts w:ascii="Arial" w:hAnsi="Arial" w:cs="Arial"/>
          <w:sz w:val="24"/>
          <w:szCs w:val="24"/>
        </w:rPr>
        <w:t>que</w:t>
      </w:r>
      <w:r w:rsidRPr="00266541">
        <w:rPr>
          <w:rFonts w:ascii="Arial" w:hAnsi="Arial" w:cs="Arial"/>
          <w:sz w:val="24"/>
          <w:szCs w:val="24"/>
        </w:rPr>
        <w:t xml:space="preserve"> plantean que la computadora se percibe como una innovación educativa, y no debe buscarse solamente el uso de mejores métodos y medios de enseñanza, sino concebir actividades para los estudiantes, que despierten su interés, los motiven y estimulen de manera creativa. Es preciso señalar que estas observaciones enfatizan la interrelación</w:t>
      </w:r>
      <w:r w:rsidRPr="00F83A8B">
        <w:rPr>
          <w:rFonts w:ascii="Arial" w:hAnsi="Arial" w:cs="Arial"/>
          <w:sz w:val="24"/>
          <w:szCs w:val="24"/>
        </w:rPr>
        <w:t xml:space="preserve"> que debe existir </w:t>
      </w:r>
      <w:r>
        <w:rPr>
          <w:rFonts w:ascii="Arial" w:hAnsi="Arial" w:cs="Arial"/>
          <w:sz w:val="24"/>
          <w:szCs w:val="24"/>
        </w:rPr>
        <w:t>entre</w:t>
      </w:r>
      <w:r w:rsidRPr="00F83A8B">
        <w:rPr>
          <w:rFonts w:ascii="Arial" w:hAnsi="Arial" w:cs="Arial"/>
          <w:sz w:val="24"/>
          <w:szCs w:val="24"/>
        </w:rPr>
        <w:t xml:space="preserve"> los componentes no personales (contenido-método-medio)</w:t>
      </w:r>
      <w:r>
        <w:rPr>
          <w:rFonts w:ascii="Arial" w:hAnsi="Arial" w:cs="Arial"/>
          <w:sz w:val="24"/>
          <w:szCs w:val="24"/>
        </w:rPr>
        <w:t>,</w:t>
      </w:r>
      <w:r w:rsidRPr="00F83A8B">
        <w:rPr>
          <w:rFonts w:ascii="Arial" w:hAnsi="Arial" w:cs="Arial"/>
          <w:sz w:val="24"/>
          <w:szCs w:val="24"/>
        </w:rPr>
        <w:t xml:space="preserve"> del proceso. En el caso del proceso de enseñanza asistida o a distancia, los programas de e</w:t>
      </w:r>
      <w:r>
        <w:rPr>
          <w:rFonts w:ascii="Arial" w:hAnsi="Arial" w:cs="Arial"/>
          <w:sz w:val="24"/>
          <w:szCs w:val="24"/>
        </w:rPr>
        <w:t>studio</w:t>
      </w:r>
      <w:r w:rsidRPr="00F83A8B">
        <w:rPr>
          <w:rFonts w:ascii="Arial" w:hAnsi="Arial" w:cs="Arial"/>
          <w:sz w:val="24"/>
          <w:szCs w:val="24"/>
        </w:rPr>
        <w:t xml:space="preserve"> con ayuda de ordenadores u otros medios digitales, </w:t>
      </w:r>
      <w:r>
        <w:rPr>
          <w:rFonts w:ascii="Arial" w:hAnsi="Arial" w:cs="Arial"/>
          <w:sz w:val="24"/>
          <w:szCs w:val="24"/>
        </w:rPr>
        <w:t>son</w:t>
      </w:r>
      <w:r w:rsidRPr="00F83A8B">
        <w:rPr>
          <w:rFonts w:ascii="Arial" w:hAnsi="Arial" w:cs="Arial"/>
          <w:sz w:val="24"/>
          <w:szCs w:val="24"/>
        </w:rPr>
        <w:t xml:space="preserve"> un instrumen</w:t>
      </w:r>
      <w:r>
        <w:rPr>
          <w:rFonts w:ascii="Arial" w:hAnsi="Arial" w:cs="Arial"/>
          <w:sz w:val="24"/>
          <w:szCs w:val="24"/>
        </w:rPr>
        <w:t>to de apoyo para el profesor,</w:t>
      </w:r>
      <w:r w:rsidRPr="00F83A8B">
        <w:rPr>
          <w:rFonts w:ascii="Arial" w:hAnsi="Arial" w:cs="Arial"/>
          <w:sz w:val="24"/>
          <w:szCs w:val="24"/>
        </w:rPr>
        <w:t xml:space="preserve"> que no sólo individualizan el aprendizaje, </w:t>
      </w:r>
      <w:r>
        <w:rPr>
          <w:rFonts w:ascii="Arial" w:hAnsi="Arial" w:cs="Arial"/>
          <w:sz w:val="24"/>
          <w:szCs w:val="24"/>
        </w:rPr>
        <w:t>también</w:t>
      </w:r>
      <w:r w:rsidRPr="00F83A8B">
        <w:rPr>
          <w:rFonts w:ascii="Arial" w:hAnsi="Arial" w:cs="Arial"/>
          <w:sz w:val="24"/>
          <w:szCs w:val="24"/>
        </w:rPr>
        <w:t xml:space="preserve"> pueden organizar ejercicios para </w:t>
      </w:r>
      <w:r>
        <w:rPr>
          <w:rFonts w:ascii="Arial" w:hAnsi="Arial" w:cs="Arial"/>
          <w:sz w:val="24"/>
          <w:szCs w:val="24"/>
        </w:rPr>
        <w:t>esclarecer</w:t>
      </w:r>
      <w:r w:rsidRPr="00F83A8B">
        <w:rPr>
          <w:rFonts w:ascii="Arial" w:hAnsi="Arial" w:cs="Arial"/>
          <w:sz w:val="24"/>
          <w:szCs w:val="24"/>
        </w:rPr>
        <w:t xml:space="preserve"> aquellos contenidos en los </w:t>
      </w:r>
      <w:r>
        <w:rPr>
          <w:rFonts w:ascii="Arial" w:hAnsi="Arial" w:cs="Arial"/>
          <w:sz w:val="24"/>
          <w:szCs w:val="24"/>
        </w:rPr>
        <w:t xml:space="preserve">que </w:t>
      </w:r>
      <w:r w:rsidRPr="00F83A8B">
        <w:rPr>
          <w:rFonts w:ascii="Arial" w:hAnsi="Arial" w:cs="Arial"/>
          <w:sz w:val="24"/>
          <w:szCs w:val="24"/>
        </w:rPr>
        <w:t xml:space="preserve">presentaron dificultades los estudiantes. </w:t>
      </w:r>
      <w:r w:rsidRPr="00266541">
        <w:rPr>
          <w:rFonts w:ascii="Arial" w:hAnsi="Arial" w:cs="Arial"/>
          <w:sz w:val="24"/>
          <w:szCs w:val="24"/>
        </w:rPr>
        <w:t>Sin embargo, su uso posee limitaciones,</w:t>
      </w:r>
      <w:r>
        <w:rPr>
          <w:rFonts w:ascii="Arial" w:hAnsi="Arial" w:cs="Arial"/>
          <w:sz w:val="24"/>
          <w:szCs w:val="24"/>
        </w:rPr>
        <w:t xml:space="preserve"> pues es imposible</w:t>
      </w:r>
      <w:r w:rsidRPr="00266541">
        <w:rPr>
          <w:rFonts w:ascii="Arial" w:hAnsi="Arial" w:cs="Arial"/>
          <w:sz w:val="24"/>
          <w:szCs w:val="24"/>
        </w:rPr>
        <w:t xml:space="preserve"> realizar análisis a las respuestas erróneas</w:t>
      </w:r>
      <w:r>
        <w:rPr>
          <w:rFonts w:ascii="Arial" w:hAnsi="Arial" w:cs="Arial"/>
          <w:sz w:val="24"/>
          <w:szCs w:val="24"/>
        </w:rPr>
        <w:t xml:space="preserve"> de manera conjunta,</w:t>
      </w:r>
      <w:r w:rsidRPr="00266541">
        <w:rPr>
          <w:rFonts w:ascii="Arial" w:hAnsi="Arial" w:cs="Arial"/>
          <w:sz w:val="24"/>
          <w:szCs w:val="24"/>
        </w:rPr>
        <w:t xml:space="preserve"> entre los profesores y los estudiantes</w:t>
      </w:r>
      <w:r>
        <w:rPr>
          <w:rFonts w:ascii="Arial" w:hAnsi="Arial" w:cs="Arial"/>
          <w:sz w:val="24"/>
          <w:szCs w:val="24"/>
        </w:rPr>
        <w:t>;</w:t>
      </w:r>
      <w:r w:rsidRPr="00266541">
        <w:rPr>
          <w:rFonts w:ascii="Arial" w:hAnsi="Arial" w:cs="Arial"/>
          <w:sz w:val="24"/>
          <w:szCs w:val="24"/>
        </w:rPr>
        <w:t xml:space="preserve"> no facilita la interacción entre los estudiantes, por ende, resulta difícil poder educar en valores. Un ejemplo interesante es </w:t>
      </w:r>
      <w:r>
        <w:rPr>
          <w:rFonts w:ascii="Arial" w:hAnsi="Arial" w:cs="Arial"/>
          <w:sz w:val="24"/>
          <w:szCs w:val="24"/>
        </w:rPr>
        <w:t>un s</w:t>
      </w:r>
      <w:r w:rsidRPr="00266541">
        <w:rPr>
          <w:rFonts w:ascii="Arial" w:hAnsi="Arial" w:cs="Arial"/>
          <w:sz w:val="24"/>
          <w:szCs w:val="24"/>
        </w:rPr>
        <w:t>istem</w:t>
      </w:r>
      <w:r>
        <w:rPr>
          <w:rFonts w:ascii="Arial" w:hAnsi="Arial" w:cs="Arial"/>
          <w:sz w:val="24"/>
          <w:szCs w:val="24"/>
        </w:rPr>
        <w:t xml:space="preserve">a desarrollado en </w:t>
      </w:r>
      <w:smartTag w:uri="urn:schemas-microsoft-com:office:smarttags" w:element="PersonName">
        <w:smartTagPr>
          <w:attr w:name="ProductID" w:val="la Universidad Aut￳noma"/>
        </w:smartTagPr>
        <w:r>
          <w:rPr>
            <w:rFonts w:ascii="Arial" w:hAnsi="Arial" w:cs="Arial"/>
            <w:sz w:val="24"/>
            <w:szCs w:val="24"/>
          </w:rPr>
          <w:t xml:space="preserve">la </w:t>
        </w:r>
        <w:r w:rsidRPr="00266541">
          <w:rPr>
            <w:rFonts w:ascii="Arial" w:hAnsi="Arial" w:cs="Arial"/>
            <w:sz w:val="24"/>
            <w:szCs w:val="24"/>
          </w:rPr>
          <w:t>Universidad Autónoma</w:t>
        </w:r>
      </w:smartTag>
      <w:r w:rsidRPr="00266541">
        <w:rPr>
          <w:rFonts w:ascii="Arial" w:hAnsi="Arial" w:cs="Arial"/>
          <w:sz w:val="24"/>
          <w:szCs w:val="24"/>
        </w:rPr>
        <w:t xml:space="preserve"> Metropolitana (campus Azcapotzalco</w:t>
      </w:r>
      <w:r>
        <w:rPr>
          <w:rFonts w:ascii="Arial" w:hAnsi="Arial" w:cs="Arial"/>
          <w:sz w:val="24"/>
          <w:szCs w:val="24"/>
        </w:rPr>
        <w:t>, México</w:t>
      </w:r>
      <w:r w:rsidRPr="00266541">
        <w:rPr>
          <w:rFonts w:ascii="Arial" w:hAnsi="Arial" w:cs="Arial"/>
          <w:sz w:val="24"/>
          <w:szCs w:val="24"/>
        </w:rPr>
        <w:t xml:space="preserve">), mediante la página https:galois.azc.uam.mx, </w:t>
      </w:r>
      <w:r>
        <w:rPr>
          <w:rFonts w:ascii="Arial" w:hAnsi="Arial" w:cs="Arial"/>
          <w:sz w:val="24"/>
          <w:szCs w:val="24"/>
        </w:rPr>
        <w:t>donde</w:t>
      </w:r>
      <w:r w:rsidRPr="00266541">
        <w:rPr>
          <w:rFonts w:ascii="Arial" w:hAnsi="Arial" w:cs="Arial"/>
          <w:sz w:val="24"/>
          <w:szCs w:val="24"/>
        </w:rPr>
        <w:t xml:space="preserve"> se ofrece ayuda a estudiantes con dificultades en el modelo tradicional, para aprender a su ritmo.</w:t>
      </w:r>
    </w:p>
    <w:p w:rsidR="004C44CE" w:rsidRPr="00F1771E" w:rsidRDefault="004C44CE" w:rsidP="004C44CE">
      <w:pPr>
        <w:tabs>
          <w:tab w:val="left" w:pos="567"/>
        </w:tabs>
        <w:spacing w:after="0" w:line="240" w:lineRule="auto"/>
        <w:ind w:right="57" w:firstLine="550"/>
        <w:jc w:val="both"/>
        <w:rPr>
          <w:rFonts w:ascii="Arial" w:hAnsi="Arial" w:cs="Arial"/>
          <w:sz w:val="24"/>
          <w:szCs w:val="24"/>
        </w:rPr>
      </w:pPr>
      <w:r w:rsidRPr="00F83A8B">
        <w:rPr>
          <w:rFonts w:ascii="Arial" w:hAnsi="Arial" w:cs="Arial"/>
          <w:sz w:val="24"/>
          <w:szCs w:val="24"/>
        </w:rPr>
        <w:t xml:space="preserve">Es indiscutible que los ordenadores deben </w:t>
      </w:r>
      <w:r>
        <w:rPr>
          <w:rFonts w:ascii="Arial" w:hAnsi="Arial" w:cs="Arial"/>
          <w:sz w:val="24"/>
          <w:szCs w:val="24"/>
        </w:rPr>
        <w:t>ser</w:t>
      </w:r>
      <w:r w:rsidRPr="00F83A8B">
        <w:rPr>
          <w:rFonts w:ascii="Arial" w:hAnsi="Arial" w:cs="Arial"/>
          <w:sz w:val="24"/>
          <w:szCs w:val="24"/>
        </w:rPr>
        <w:t xml:space="preserve"> un aliado del profesor, para facilitar el aprendizaje, lograr la motivación hacia los contenidos de los programas, estimular la autonomía, la creatividad de los estudiantes y permitir la actualización tanto de prof</w:t>
      </w:r>
      <w:r>
        <w:rPr>
          <w:rFonts w:ascii="Arial" w:hAnsi="Arial" w:cs="Arial"/>
          <w:sz w:val="24"/>
          <w:szCs w:val="24"/>
        </w:rPr>
        <w:t>esores como de estudiantes</w:t>
      </w:r>
      <w:r w:rsidRPr="00491AF5">
        <w:rPr>
          <w:rFonts w:ascii="Arial" w:hAnsi="Arial" w:cs="Arial"/>
          <w:sz w:val="24"/>
          <w:szCs w:val="24"/>
          <w:vertAlign w:val="superscript"/>
        </w:rPr>
        <w:t>[2]</w:t>
      </w:r>
      <w:r>
        <w:rPr>
          <w:rFonts w:ascii="Arial" w:hAnsi="Arial" w:cs="Arial"/>
          <w:sz w:val="24"/>
          <w:szCs w:val="24"/>
        </w:rPr>
        <w:t xml:space="preserve">, pero se debe pensar además, en la manera de cómo educar en valores mediante el uso de ellos. </w:t>
      </w:r>
      <w:r w:rsidRPr="00F1771E">
        <w:rPr>
          <w:rFonts w:ascii="Arial" w:hAnsi="Arial" w:cs="Arial"/>
          <w:sz w:val="24"/>
          <w:szCs w:val="24"/>
        </w:rPr>
        <w:t>Ayala</w:t>
      </w:r>
      <w:r>
        <w:rPr>
          <w:rFonts w:ascii="Arial" w:hAnsi="Arial" w:cs="Arial"/>
          <w:sz w:val="24"/>
          <w:szCs w:val="24"/>
          <w:vertAlign w:val="superscript"/>
        </w:rPr>
        <w:t>[7]</w:t>
      </w:r>
      <w:r w:rsidRPr="00F1771E">
        <w:rPr>
          <w:rFonts w:ascii="Arial" w:hAnsi="Arial" w:cs="Arial"/>
          <w:sz w:val="24"/>
          <w:szCs w:val="24"/>
        </w:rPr>
        <w:t xml:space="preserve"> hace notar que los conocimie</w:t>
      </w:r>
      <w:r>
        <w:rPr>
          <w:rFonts w:ascii="Arial" w:hAnsi="Arial" w:cs="Arial"/>
          <w:sz w:val="24"/>
          <w:szCs w:val="24"/>
        </w:rPr>
        <w:t>ntos pueden ser de</w:t>
      </w:r>
      <w:r w:rsidRPr="00F1771E">
        <w:rPr>
          <w:rFonts w:ascii="Arial" w:hAnsi="Arial" w:cs="Arial"/>
          <w:sz w:val="24"/>
          <w:szCs w:val="24"/>
        </w:rPr>
        <w:t xml:space="preserve"> tipo conceptual (aprendizaje de hechos, teorías y principios),  procedimental (referidos al conjunto de acciones ordenadas-destrezas, estrategias y técnicas-orientadas a la consecución de una meta) y </w:t>
      </w:r>
      <w:r>
        <w:rPr>
          <w:rFonts w:ascii="Arial" w:hAnsi="Arial" w:cs="Arial"/>
          <w:sz w:val="24"/>
          <w:szCs w:val="24"/>
        </w:rPr>
        <w:t>actitudinal</w:t>
      </w:r>
      <w:r w:rsidRPr="00F1771E">
        <w:rPr>
          <w:rFonts w:ascii="Arial" w:hAnsi="Arial" w:cs="Arial"/>
          <w:sz w:val="24"/>
          <w:szCs w:val="24"/>
        </w:rPr>
        <w:t xml:space="preserve"> (formación de valores o de cierta normatividad para la acción). Así, </w:t>
      </w:r>
      <w:r>
        <w:rPr>
          <w:rFonts w:ascii="Arial" w:hAnsi="Arial" w:cs="Arial"/>
          <w:sz w:val="24"/>
          <w:szCs w:val="24"/>
        </w:rPr>
        <w:t>se considera</w:t>
      </w:r>
      <w:r w:rsidRPr="00F1771E">
        <w:rPr>
          <w:rFonts w:ascii="Arial" w:hAnsi="Arial" w:cs="Arial"/>
          <w:sz w:val="24"/>
          <w:szCs w:val="24"/>
        </w:rPr>
        <w:t xml:space="preserve"> importante la posibilidad de tenerlos presentes en el proceso de gestión de la educación</w:t>
      </w:r>
      <w:r>
        <w:rPr>
          <w:rFonts w:ascii="Arial" w:hAnsi="Arial" w:cs="Arial"/>
          <w:sz w:val="24"/>
          <w:szCs w:val="24"/>
        </w:rPr>
        <w:t xml:space="preserve"> en valores.</w:t>
      </w:r>
      <w:r w:rsidRPr="00F1771E">
        <w:rPr>
          <w:rFonts w:ascii="Arial" w:hAnsi="Arial" w:cs="Arial"/>
          <w:sz w:val="24"/>
          <w:szCs w:val="24"/>
        </w:rPr>
        <w:t xml:space="preserve"> </w:t>
      </w:r>
    </w:p>
    <w:p w:rsidR="004C44CE" w:rsidRPr="00F1771E" w:rsidRDefault="004C44CE" w:rsidP="004C44CE">
      <w:pPr>
        <w:tabs>
          <w:tab w:val="left" w:pos="567"/>
        </w:tabs>
        <w:spacing w:after="0" w:line="240" w:lineRule="auto"/>
        <w:ind w:right="57" w:firstLine="550"/>
        <w:jc w:val="both"/>
        <w:rPr>
          <w:rFonts w:ascii="Arial" w:hAnsi="Arial" w:cs="Arial"/>
          <w:sz w:val="24"/>
          <w:szCs w:val="24"/>
        </w:rPr>
      </w:pPr>
      <w:r>
        <w:rPr>
          <w:rFonts w:ascii="Arial" w:hAnsi="Arial" w:cs="Arial"/>
          <w:sz w:val="24"/>
          <w:szCs w:val="24"/>
        </w:rPr>
        <w:t>Consideramos</w:t>
      </w:r>
      <w:r w:rsidRPr="00F1771E">
        <w:rPr>
          <w:rFonts w:ascii="Arial" w:hAnsi="Arial" w:cs="Arial"/>
          <w:sz w:val="24"/>
          <w:szCs w:val="24"/>
        </w:rPr>
        <w:t xml:space="preserve"> que las personas que han aprendido a aprender, a adaptarse y cambiar, que admiten que ningún conocimiento es firme, que siempre hay manera de ampliarlo, pueden tener la certeza y la confianza de hacer suyo el conocimiento. Se necesita</w:t>
      </w:r>
      <w:r>
        <w:rPr>
          <w:rFonts w:ascii="Arial" w:hAnsi="Arial" w:cs="Arial"/>
          <w:sz w:val="24"/>
          <w:szCs w:val="24"/>
        </w:rPr>
        <w:t>n</w:t>
      </w:r>
      <w:r w:rsidRPr="00F1771E">
        <w:rPr>
          <w:rFonts w:ascii="Arial" w:hAnsi="Arial" w:cs="Arial"/>
          <w:sz w:val="24"/>
          <w:szCs w:val="24"/>
        </w:rPr>
        <w:t xml:space="preserve"> profesores abiertos y flexibles, comprometidos en los procesos de cambio, capaces de transmitir conceptos y valores del pasado, aceptando las innovaciones </w:t>
      </w:r>
      <w:r>
        <w:rPr>
          <w:rFonts w:ascii="Arial" w:hAnsi="Arial" w:cs="Arial"/>
          <w:sz w:val="24"/>
          <w:szCs w:val="24"/>
        </w:rPr>
        <w:t>del</w:t>
      </w:r>
      <w:r w:rsidRPr="00F1771E">
        <w:rPr>
          <w:rFonts w:ascii="Arial" w:hAnsi="Arial" w:cs="Arial"/>
          <w:sz w:val="24"/>
          <w:szCs w:val="24"/>
        </w:rPr>
        <w:t xml:space="preserve"> presente en la preparación para el futuro. Se concibe la necesidad de diálogo, responsabilidad compartida y amplia comunicación, como requisitos indispensables para el empleo del método de trabajo en grupo, entre profesores, entre profesores y estudiantes</w:t>
      </w:r>
      <w:r>
        <w:rPr>
          <w:rFonts w:ascii="Arial" w:hAnsi="Arial" w:cs="Arial"/>
          <w:sz w:val="24"/>
          <w:szCs w:val="24"/>
        </w:rPr>
        <w:t>,</w:t>
      </w:r>
      <w:r w:rsidRPr="00F1771E">
        <w:rPr>
          <w:rFonts w:ascii="Arial" w:hAnsi="Arial" w:cs="Arial"/>
          <w:sz w:val="24"/>
          <w:szCs w:val="24"/>
        </w:rPr>
        <w:t xml:space="preserve"> y entre los propios estudiantes, para lograr una formación integral</w:t>
      </w:r>
      <w:r>
        <w:rPr>
          <w:rFonts w:ascii="Arial" w:hAnsi="Arial" w:cs="Arial"/>
          <w:sz w:val="24"/>
          <w:szCs w:val="24"/>
        </w:rPr>
        <w:t>.</w:t>
      </w:r>
      <w:r w:rsidRPr="00F1771E">
        <w:rPr>
          <w:rFonts w:ascii="Arial" w:hAnsi="Arial" w:cs="Arial"/>
          <w:sz w:val="24"/>
          <w:szCs w:val="24"/>
        </w:rPr>
        <w:t xml:space="preserve"> Estas ideas constituyen un soporte esencial para la gestión de la educación en valores, buscando superar los obstáculos que se enfrentan en la actualidad en el terreno económico y de los valores morales de la sociedad a la que se aspira contribuir.</w:t>
      </w:r>
    </w:p>
    <w:p w:rsidR="004C44CE" w:rsidRDefault="004C44CE" w:rsidP="004C44CE">
      <w:pPr>
        <w:autoSpaceDE w:val="0"/>
        <w:autoSpaceDN w:val="0"/>
        <w:adjustRightInd w:val="0"/>
        <w:spacing w:after="0" w:line="240" w:lineRule="auto"/>
        <w:ind w:firstLine="550"/>
        <w:jc w:val="both"/>
        <w:rPr>
          <w:rFonts w:ascii="Arial" w:hAnsi="Arial" w:cs="Arial"/>
          <w:sz w:val="24"/>
          <w:szCs w:val="24"/>
        </w:rPr>
      </w:pPr>
      <w:r w:rsidRPr="00F1771E">
        <w:rPr>
          <w:rFonts w:ascii="Arial" w:hAnsi="Arial" w:cs="Arial"/>
          <w:sz w:val="24"/>
          <w:szCs w:val="24"/>
        </w:rPr>
        <w:t>Esta diversidad de criterios posee puntos coincidentes en cuanto a un proceso integrador de las influencias educativas dirigidas a la formación de la personalidad del</w:t>
      </w:r>
      <w:r>
        <w:rPr>
          <w:rFonts w:ascii="Arial" w:hAnsi="Arial" w:cs="Arial"/>
          <w:sz w:val="24"/>
          <w:szCs w:val="24"/>
        </w:rPr>
        <w:t xml:space="preserve"> estudiante, en estrecha unidad</w:t>
      </w:r>
      <w:r w:rsidRPr="00F1771E">
        <w:rPr>
          <w:rFonts w:ascii="Arial" w:hAnsi="Arial" w:cs="Arial"/>
          <w:sz w:val="24"/>
          <w:szCs w:val="24"/>
        </w:rPr>
        <w:t xml:space="preserve"> de lo instructivo con lo educativo, tanto curricular como extracurricular en la educación superior. Teniendo en cuenta las valoraciones realizadas en torno a las categorías educación en valores, estilo de aprendizaje y proceso de enseñanza se reconoce que ellas tienen una implicación </w:t>
      </w:r>
      <w:r>
        <w:rPr>
          <w:rFonts w:ascii="Arial" w:hAnsi="Arial" w:cs="Arial"/>
          <w:sz w:val="24"/>
          <w:szCs w:val="24"/>
        </w:rPr>
        <w:t>teórica y</w:t>
      </w:r>
      <w:r w:rsidRPr="00F1771E">
        <w:rPr>
          <w:rFonts w:ascii="Arial" w:hAnsi="Arial" w:cs="Arial"/>
          <w:sz w:val="24"/>
          <w:szCs w:val="24"/>
        </w:rPr>
        <w:t xml:space="preserve"> metodológica, al abordarlos.</w:t>
      </w:r>
      <w:r w:rsidRPr="00F83A8B">
        <w:rPr>
          <w:rFonts w:ascii="Arial" w:hAnsi="Arial" w:cs="Arial"/>
          <w:sz w:val="24"/>
          <w:szCs w:val="24"/>
        </w:rPr>
        <w:t xml:space="preserve">  </w:t>
      </w:r>
    </w:p>
    <w:p w:rsidR="004C44CE" w:rsidRPr="00F83A8B" w:rsidRDefault="004C44CE" w:rsidP="004C44CE">
      <w:pPr>
        <w:autoSpaceDE w:val="0"/>
        <w:autoSpaceDN w:val="0"/>
        <w:adjustRightInd w:val="0"/>
        <w:spacing w:after="0" w:line="240" w:lineRule="auto"/>
        <w:ind w:firstLine="550"/>
        <w:jc w:val="both"/>
        <w:rPr>
          <w:rFonts w:ascii="Arial" w:hAnsi="Arial" w:cs="Arial"/>
          <w:sz w:val="24"/>
          <w:szCs w:val="24"/>
        </w:rPr>
      </w:pPr>
    </w:p>
    <w:p w:rsidR="004C44CE" w:rsidRDefault="004C44CE" w:rsidP="004C44CE">
      <w:pPr>
        <w:pStyle w:val="1Titulo"/>
        <w:numPr>
          <w:ilvl w:val="0"/>
          <w:numId w:val="0"/>
        </w:numPr>
        <w:ind w:left="357"/>
      </w:pPr>
      <w:bookmarkStart w:id="386" w:name="_Toc50031433"/>
      <w:r w:rsidRPr="008F527A">
        <w:t xml:space="preserve">4. </w:t>
      </w:r>
      <w:r>
        <w:t>Resultados y discusión</w:t>
      </w:r>
      <w:bookmarkEnd w:id="386"/>
    </w:p>
    <w:p w:rsidR="004C44CE" w:rsidRPr="00540F8E" w:rsidRDefault="004C44CE" w:rsidP="004C44CE">
      <w:pPr>
        <w:tabs>
          <w:tab w:val="left" w:pos="0"/>
          <w:tab w:val="left" w:pos="9356"/>
        </w:tabs>
        <w:spacing w:after="0" w:line="360" w:lineRule="auto"/>
        <w:jc w:val="both"/>
        <w:rPr>
          <w:rFonts w:ascii="Arial" w:hAnsi="Arial" w:cs="Arial"/>
          <w:i/>
          <w:sz w:val="24"/>
          <w:szCs w:val="24"/>
        </w:rPr>
      </w:pPr>
      <w:r w:rsidRPr="00540F8E">
        <w:rPr>
          <w:rFonts w:ascii="Arial" w:hAnsi="Arial" w:cs="Arial"/>
          <w:i/>
          <w:sz w:val="24"/>
          <w:szCs w:val="24"/>
          <w:lang w:eastAsia="es-MX"/>
        </w:rPr>
        <w:t>4.1 La gestión</w:t>
      </w:r>
      <w:r w:rsidRPr="00540F8E">
        <w:rPr>
          <w:rFonts w:ascii="Arial" w:hAnsi="Arial" w:cs="Arial"/>
          <w:i/>
          <w:sz w:val="24"/>
          <w:szCs w:val="24"/>
        </w:rPr>
        <w:t xml:space="preserve"> como proceso de influencia consciente en</w:t>
      </w:r>
      <w:r w:rsidRPr="00540F8E">
        <w:rPr>
          <w:rFonts w:ascii="Arial" w:hAnsi="Arial" w:cs="Arial"/>
          <w:i/>
          <w:sz w:val="24"/>
          <w:szCs w:val="24"/>
          <w:lang w:eastAsia="es-MX"/>
        </w:rPr>
        <w:t xml:space="preserve"> la educación en valores</w:t>
      </w:r>
    </w:p>
    <w:p w:rsidR="004C44CE" w:rsidRPr="00144E24" w:rsidRDefault="004C44CE" w:rsidP="004C44CE">
      <w:pPr>
        <w:pStyle w:val="NormalWeb"/>
        <w:tabs>
          <w:tab w:val="left" w:pos="9356"/>
        </w:tabs>
        <w:spacing w:before="0" w:beforeAutospacing="0" w:after="0" w:afterAutospacing="0"/>
        <w:ind w:firstLine="550"/>
        <w:jc w:val="both"/>
        <w:rPr>
          <w:rFonts w:ascii="Arial" w:hAnsi="Arial" w:cs="Arial"/>
          <w:lang w:val="es-MX"/>
        </w:rPr>
      </w:pPr>
      <w:r>
        <w:rPr>
          <w:rFonts w:ascii="Arial" w:eastAsia="Calibri" w:hAnsi="Arial" w:cs="Arial"/>
          <w:lang w:eastAsia="en-US"/>
        </w:rPr>
        <w:t>El</w:t>
      </w:r>
      <w:r w:rsidRPr="00B316CD">
        <w:rPr>
          <w:rFonts w:ascii="Arial" w:eastAsia="Calibri" w:hAnsi="Arial" w:cs="Arial"/>
          <w:lang w:eastAsia="en-US"/>
        </w:rPr>
        <w:t xml:space="preserve"> término gestión proviene del latín gestio: “acción de administrar”. Así, gestión deviene en dirección: actividad profesional tendiente a establecer los objetivos y medios de realización, a precisar por la organización de sistemas, al elaborar la estrategia del </w:t>
      </w:r>
      <w:r w:rsidRPr="00821C49">
        <w:rPr>
          <w:rFonts w:ascii="Arial" w:eastAsia="Calibri" w:hAnsi="Arial" w:cs="Arial"/>
          <w:lang w:eastAsia="en-US"/>
        </w:rPr>
        <w:t xml:space="preserve">desarrollo del personal. También </w:t>
      </w:r>
      <w:r w:rsidRPr="00821C49">
        <w:rPr>
          <w:rFonts w:ascii="Arial" w:hAnsi="Arial" w:cs="Arial"/>
          <w:lang w:val="es-MX"/>
        </w:rPr>
        <w:t>se asocia a: dirección, administración,</w:t>
      </w:r>
      <w:r w:rsidRPr="00B316CD">
        <w:rPr>
          <w:rFonts w:ascii="Arial" w:hAnsi="Arial" w:cs="Arial"/>
          <w:lang w:val="es-MX"/>
        </w:rPr>
        <w:t xml:space="preserve"> gerencia, conducción, entre otros.</w:t>
      </w:r>
      <w:r>
        <w:rPr>
          <w:rFonts w:ascii="Arial" w:hAnsi="Arial" w:cs="Arial"/>
          <w:lang w:val="es-MX"/>
        </w:rPr>
        <w:t xml:space="preserve"> </w:t>
      </w:r>
      <w:r w:rsidRPr="00B70B85">
        <w:rPr>
          <w:rFonts w:ascii="Arial" w:hAnsi="Arial" w:cs="Arial"/>
        </w:rPr>
        <w:t xml:space="preserve">El análisis de la gestión en </w:t>
      </w:r>
      <w:smartTag w:uri="urn:schemas-microsoft-com:office:smarttags" w:element="PersonName">
        <w:smartTagPr>
          <w:attr w:name="ProductID" w:val="la Educaci￳n Superior"/>
        </w:smartTagPr>
        <w:r w:rsidRPr="00B70B85">
          <w:rPr>
            <w:rFonts w:ascii="Arial" w:hAnsi="Arial" w:cs="Arial"/>
          </w:rPr>
          <w:t>la Educación Superior</w:t>
        </w:r>
      </w:smartTag>
      <w:r w:rsidRPr="00B70B85">
        <w:rPr>
          <w:rFonts w:ascii="Arial" w:hAnsi="Arial" w:cs="Arial"/>
        </w:rPr>
        <w:t xml:space="preserve"> presupone reconocer qué se entiende por gestión, lo que lleva a un breve análisis de su origen e implicaciones, en sentido general, para particularizar en el contexto educativo.</w:t>
      </w:r>
    </w:p>
    <w:p w:rsidR="004C44CE" w:rsidRPr="002D0CF9" w:rsidRDefault="004C44CE" w:rsidP="004C44CE">
      <w:pPr>
        <w:spacing w:after="0" w:line="240" w:lineRule="auto"/>
        <w:ind w:firstLine="550"/>
        <w:jc w:val="both"/>
        <w:rPr>
          <w:rFonts w:ascii="Arial" w:hAnsi="Arial" w:cs="Arial"/>
          <w:sz w:val="24"/>
          <w:szCs w:val="24"/>
        </w:rPr>
      </w:pPr>
      <w:r w:rsidRPr="00AB5ED2">
        <w:rPr>
          <w:rFonts w:ascii="Arial" w:hAnsi="Arial" w:cs="Arial"/>
          <w:sz w:val="24"/>
          <w:szCs w:val="24"/>
        </w:rPr>
        <w:t>Peter Drucker</w:t>
      </w:r>
      <w:r w:rsidRPr="00144E24">
        <w:rPr>
          <w:rFonts w:ascii="Arial" w:eastAsia="Arial Unicode MS" w:hAnsi="Arial" w:cs="Arial"/>
          <w:color w:val="000000"/>
          <w:sz w:val="24"/>
          <w:szCs w:val="24"/>
        </w:rPr>
        <w:t xml:space="preserve"> </w:t>
      </w:r>
      <w:r w:rsidRPr="00144E24">
        <w:rPr>
          <w:rFonts w:ascii="Arial" w:hAnsi="Arial" w:cs="Arial"/>
          <w:sz w:val="24"/>
          <w:szCs w:val="24"/>
        </w:rPr>
        <w:t xml:space="preserve">es considerado el "padre" de la </w:t>
      </w:r>
      <w:r>
        <w:rPr>
          <w:rFonts w:ascii="Arial" w:hAnsi="Arial" w:cs="Arial"/>
          <w:sz w:val="24"/>
          <w:szCs w:val="24"/>
        </w:rPr>
        <w:t>teoría</w:t>
      </w:r>
      <w:r w:rsidRPr="00144E24">
        <w:rPr>
          <w:rFonts w:ascii="Arial" w:hAnsi="Arial" w:cs="Arial"/>
          <w:sz w:val="24"/>
          <w:szCs w:val="24"/>
        </w:rPr>
        <w:t xml:space="preserve"> de la gestión. Desde los</w:t>
      </w:r>
      <w:r w:rsidRPr="00B70B85">
        <w:rPr>
          <w:rFonts w:ascii="Arial" w:hAnsi="Arial" w:cs="Arial"/>
          <w:sz w:val="24"/>
          <w:szCs w:val="24"/>
        </w:rPr>
        <w:t xml:space="preserve"> años 40, desarrolló su teoría, al integrar un triple concepto sobre este término. C</w:t>
      </w:r>
      <w:r>
        <w:rPr>
          <w:rFonts w:ascii="Arial" w:hAnsi="Arial" w:cs="Arial"/>
          <w:sz w:val="24"/>
          <w:szCs w:val="24"/>
        </w:rPr>
        <w:t>ri</w:t>
      </w:r>
      <w:r w:rsidRPr="00B70B85">
        <w:rPr>
          <w:rFonts w:ascii="Arial" w:hAnsi="Arial" w:cs="Arial"/>
          <w:sz w:val="24"/>
          <w:szCs w:val="24"/>
        </w:rPr>
        <w:t xml:space="preserve">tica las prácticas de gestión anteriores, planteando abandonar la idea de que hay un modelo ideal de gestión y que ésta se aplica </w:t>
      </w:r>
      <w:r>
        <w:rPr>
          <w:rFonts w:ascii="Arial" w:hAnsi="Arial" w:cs="Arial"/>
          <w:sz w:val="24"/>
          <w:szCs w:val="24"/>
        </w:rPr>
        <w:t>sólo</w:t>
      </w:r>
      <w:r w:rsidRPr="00B70B85">
        <w:rPr>
          <w:rFonts w:ascii="Arial" w:hAnsi="Arial" w:cs="Arial"/>
          <w:sz w:val="24"/>
          <w:szCs w:val="24"/>
        </w:rPr>
        <w:t xml:space="preserve"> a las empresas</w:t>
      </w:r>
      <w:r>
        <w:rPr>
          <w:rFonts w:ascii="Arial" w:hAnsi="Arial" w:cs="Arial"/>
          <w:sz w:val="24"/>
          <w:szCs w:val="24"/>
          <w:vertAlign w:val="superscript"/>
        </w:rPr>
        <w:t>[26]</w:t>
      </w:r>
      <w:r w:rsidRPr="00B70B85">
        <w:rPr>
          <w:rFonts w:ascii="Arial" w:hAnsi="Arial" w:cs="Arial"/>
          <w:sz w:val="24"/>
          <w:szCs w:val="24"/>
        </w:rPr>
        <w:t>.</w:t>
      </w:r>
      <w:r w:rsidRPr="00F83A8B">
        <w:rPr>
          <w:rFonts w:ascii="Arial" w:hAnsi="Arial" w:cs="Arial"/>
          <w:sz w:val="24"/>
          <w:szCs w:val="24"/>
        </w:rPr>
        <w:t xml:space="preserve"> Varios autores han abordado e</w:t>
      </w:r>
      <w:r>
        <w:rPr>
          <w:rFonts w:ascii="Arial" w:hAnsi="Arial" w:cs="Arial"/>
          <w:sz w:val="24"/>
          <w:szCs w:val="24"/>
        </w:rPr>
        <w:t>l término “dirección o gestión”. Algunos centrá</w:t>
      </w:r>
      <w:r w:rsidRPr="00F83A8B">
        <w:rPr>
          <w:rFonts w:ascii="Arial" w:hAnsi="Arial" w:cs="Arial"/>
          <w:sz w:val="24"/>
          <w:szCs w:val="24"/>
        </w:rPr>
        <w:t>n</w:t>
      </w:r>
      <w:r>
        <w:rPr>
          <w:rFonts w:ascii="Arial" w:hAnsi="Arial" w:cs="Arial"/>
          <w:sz w:val="24"/>
          <w:szCs w:val="24"/>
        </w:rPr>
        <w:t>dose</w:t>
      </w:r>
      <w:r w:rsidRPr="00F83A8B">
        <w:rPr>
          <w:rFonts w:ascii="Arial" w:hAnsi="Arial" w:cs="Arial"/>
          <w:sz w:val="24"/>
          <w:szCs w:val="24"/>
        </w:rPr>
        <w:t xml:space="preserve"> en </w:t>
      </w:r>
      <w:r>
        <w:rPr>
          <w:rFonts w:ascii="Arial" w:hAnsi="Arial" w:cs="Arial"/>
          <w:sz w:val="24"/>
          <w:szCs w:val="24"/>
        </w:rPr>
        <w:t>definir</w:t>
      </w:r>
      <w:r w:rsidRPr="00F83A8B">
        <w:rPr>
          <w:rFonts w:ascii="Arial" w:hAnsi="Arial" w:cs="Arial"/>
          <w:sz w:val="24"/>
          <w:szCs w:val="24"/>
        </w:rPr>
        <w:t xml:space="preserve"> direc</w:t>
      </w:r>
      <w:r>
        <w:rPr>
          <w:rFonts w:ascii="Arial" w:hAnsi="Arial" w:cs="Arial"/>
          <w:sz w:val="24"/>
          <w:szCs w:val="24"/>
        </w:rPr>
        <w:t>ción</w:t>
      </w:r>
      <w:r>
        <w:rPr>
          <w:rFonts w:ascii="Arial" w:hAnsi="Arial" w:cs="Arial"/>
          <w:sz w:val="24"/>
          <w:szCs w:val="24"/>
          <w:vertAlign w:val="superscript"/>
        </w:rPr>
        <w:t>[5,27,28,29</w:t>
      </w:r>
      <w:r w:rsidRPr="00491AF5">
        <w:rPr>
          <w:rFonts w:ascii="Arial" w:hAnsi="Arial" w:cs="Arial"/>
          <w:sz w:val="24"/>
          <w:szCs w:val="24"/>
          <w:vertAlign w:val="superscript"/>
        </w:rPr>
        <w:t>]</w:t>
      </w:r>
      <w:r>
        <w:rPr>
          <w:rFonts w:ascii="Arial" w:hAnsi="Arial" w:cs="Arial"/>
          <w:sz w:val="24"/>
          <w:szCs w:val="24"/>
        </w:rPr>
        <w:t xml:space="preserve">. Otros en </w:t>
      </w:r>
      <w:r w:rsidRPr="00F83A8B">
        <w:rPr>
          <w:rFonts w:ascii="Arial" w:hAnsi="Arial" w:cs="Arial"/>
          <w:sz w:val="24"/>
          <w:szCs w:val="24"/>
        </w:rPr>
        <w:t>gestión en la educaci</w:t>
      </w:r>
      <w:r>
        <w:rPr>
          <w:rFonts w:ascii="Arial" w:hAnsi="Arial" w:cs="Arial"/>
          <w:sz w:val="24"/>
          <w:szCs w:val="24"/>
        </w:rPr>
        <w:t>ón y formación de profesionales.</w:t>
      </w:r>
      <w:r w:rsidRPr="00F83A8B">
        <w:rPr>
          <w:rFonts w:ascii="Arial" w:hAnsi="Arial" w:cs="Arial"/>
          <w:sz w:val="24"/>
          <w:szCs w:val="24"/>
        </w:rPr>
        <w:t xml:space="preserve"> </w:t>
      </w:r>
      <w:r>
        <w:rPr>
          <w:rFonts w:ascii="Arial" w:hAnsi="Arial" w:cs="Arial"/>
          <w:sz w:val="24"/>
          <w:szCs w:val="24"/>
        </w:rPr>
        <w:t>C</w:t>
      </w:r>
      <w:r w:rsidRPr="00F83A8B">
        <w:rPr>
          <w:rFonts w:ascii="Arial" w:hAnsi="Arial" w:cs="Arial"/>
          <w:sz w:val="24"/>
          <w:szCs w:val="24"/>
        </w:rPr>
        <w:t>omo proc</w:t>
      </w:r>
      <w:r>
        <w:rPr>
          <w:rFonts w:ascii="Arial" w:hAnsi="Arial" w:cs="Arial"/>
          <w:sz w:val="24"/>
          <w:szCs w:val="24"/>
        </w:rPr>
        <w:t>eso administrativo o de gestión.</w:t>
      </w:r>
      <w:r w:rsidRPr="00F83A8B">
        <w:rPr>
          <w:rFonts w:ascii="Arial" w:hAnsi="Arial" w:cs="Arial"/>
          <w:sz w:val="24"/>
          <w:szCs w:val="24"/>
        </w:rPr>
        <w:t xml:space="preserve"> </w:t>
      </w:r>
      <w:r>
        <w:rPr>
          <w:rFonts w:ascii="Arial" w:hAnsi="Arial" w:cs="Arial"/>
          <w:sz w:val="24"/>
          <w:szCs w:val="24"/>
        </w:rPr>
        <w:t>Otros</w:t>
      </w:r>
      <w:r w:rsidRPr="00F83A8B">
        <w:rPr>
          <w:rFonts w:ascii="Arial" w:hAnsi="Arial" w:cs="Arial"/>
          <w:sz w:val="24"/>
          <w:szCs w:val="24"/>
        </w:rPr>
        <w:t xml:space="preserve"> lo denominan gestión pedagógica y d</w:t>
      </w:r>
      <w:r>
        <w:rPr>
          <w:rFonts w:ascii="Arial" w:hAnsi="Arial" w:cs="Arial"/>
          <w:sz w:val="24"/>
          <w:szCs w:val="24"/>
        </w:rPr>
        <w:t>irección del proceso pedagógico</w:t>
      </w:r>
      <w:r>
        <w:rPr>
          <w:rFonts w:ascii="Arial" w:hAnsi="Arial" w:cs="Arial"/>
          <w:sz w:val="24"/>
          <w:szCs w:val="24"/>
          <w:vertAlign w:val="superscript"/>
        </w:rPr>
        <w:t>[22,31]</w:t>
      </w:r>
      <w:r w:rsidRPr="00F83A8B">
        <w:rPr>
          <w:rFonts w:ascii="Arial" w:hAnsi="Arial" w:cs="Arial"/>
          <w:sz w:val="24"/>
          <w:szCs w:val="24"/>
        </w:rPr>
        <w:t xml:space="preserve">. </w:t>
      </w:r>
    </w:p>
    <w:p w:rsidR="004C44CE" w:rsidRPr="00F83A8B" w:rsidRDefault="004C44CE" w:rsidP="004C44CE">
      <w:pPr>
        <w:spacing w:after="0" w:line="240" w:lineRule="auto"/>
        <w:ind w:firstLine="550"/>
        <w:jc w:val="both"/>
        <w:rPr>
          <w:rFonts w:ascii="Arial" w:hAnsi="Arial" w:cs="Arial"/>
          <w:sz w:val="24"/>
          <w:szCs w:val="24"/>
        </w:rPr>
      </w:pPr>
      <w:r w:rsidRPr="00692414">
        <w:rPr>
          <w:rFonts w:ascii="Arial" w:hAnsi="Arial" w:cs="Arial"/>
          <w:sz w:val="24"/>
          <w:szCs w:val="24"/>
          <w:lang w:eastAsia="es-MX"/>
        </w:rPr>
        <w:t>La gestión en instituciones educa</w:t>
      </w:r>
      <w:r>
        <w:rPr>
          <w:rFonts w:ascii="Arial" w:hAnsi="Arial" w:cs="Arial"/>
          <w:sz w:val="24"/>
          <w:szCs w:val="24"/>
          <w:lang w:eastAsia="es-MX"/>
        </w:rPr>
        <w:t>tivas</w:t>
      </w:r>
      <w:r w:rsidRPr="00692414">
        <w:rPr>
          <w:rFonts w:ascii="Arial" w:hAnsi="Arial" w:cs="Arial"/>
          <w:sz w:val="24"/>
          <w:szCs w:val="24"/>
          <w:lang w:eastAsia="es-MX"/>
        </w:rPr>
        <w:t xml:space="preserve"> parte de presupuestos teóricos generales que se particularizan en la </w:t>
      </w:r>
      <w:r>
        <w:rPr>
          <w:rFonts w:ascii="Arial" w:hAnsi="Arial" w:cs="Arial"/>
          <w:sz w:val="24"/>
          <w:szCs w:val="24"/>
          <w:lang w:eastAsia="es-MX"/>
        </w:rPr>
        <w:t>enseñanza s</w:t>
      </w:r>
      <w:r w:rsidRPr="00692414">
        <w:rPr>
          <w:rFonts w:ascii="Arial" w:hAnsi="Arial" w:cs="Arial"/>
          <w:sz w:val="24"/>
          <w:szCs w:val="24"/>
          <w:lang w:eastAsia="es-MX"/>
        </w:rPr>
        <w:t>uperior</w:t>
      </w:r>
      <w:r>
        <w:rPr>
          <w:rFonts w:ascii="Arial" w:hAnsi="Arial" w:cs="Arial"/>
          <w:sz w:val="24"/>
          <w:szCs w:val="24"/>
          <w:lang w:eastAsia="es-MX"/>
        </w:rPr>
        <w:t>,</w:t>
      </w:r>
      <w:r w:rsidRPr="00692414">
        <w:rPr>
          <w:rFonts w:ascii="Arial" w:hAnsi="Arial" w:cs="Arial"/>
          <w:sz w:val="24"/>
          <w:szCs w:val="24"/>
          <w:lang w:eastAsia="es-MX"/>
        </w:rPr>
        <w:t xml:space="preserve"> en función de la formación de profesionales. </w:t>
      </w:r>
      <w:r>
        <w:rPr>
          <w:rFonts w:ascii="Arial" w:hAnsi="Arial" w:cs="Arial"/>
          <w:sz w:val="24"/>
          <w:szCs w:val="24"/>
          <w:lang w:eastAsia="es-MX"/>
        </w:rPr>
        <w:t>Así</w:t>
      </w:r>
      <w:r w:rsidRPr="00692414">
        <w:rPr>
          <w:rFonts w:ascii="Arial" w:hAnsi="Arial" w:cs="Arial"/>
          <w:sz w:val="24"/>
          <w:szCs w:val="24"/>
        </w:rPr>
        <w:t>,</w:t>
      </w:r>
      <w:r>
        <w:rPr>
          <w:rFonts w:ascii="Arial" w:hAnsi="Arial" w:cs="Arial"/>
          <w:sz w:val="24"/>
          <w:szCs w:val="24"/>
        </w:rPr>
        <w:t xml:space="preserve"> para </w:t>
      </w:r>
      <w:r w:rsidRPr="00692414">
        <w:rPr>
          <w:rFonts w:ascii="Arial" w:hAnsi="Arial" w:cs="Arial"/>
          <w:sz w:val="24"/>
          <w:szCs w:val="24"/>
        </w:rPr>
        <w:t>Freudenthal</w:t>
      </w:r>
      <w:r>
        <w:rPr>
          <w:rFonts w:ascii="Arial" w:hAnsi="Arial" w:cs="Arial"/>
          <w:sz w:val="24"/>
          <w:szCs w:val="24"/>
          <w:vertAlign w:val="superscript"/>
        </w:rPr>
        <w:t>[4]</w:t>
      </w:r>
      <w:r w:rsidRPr="00692414">
        <w:rPr>
          <w:rFonts w:ascii="Arial" w:hAnsi="Arial" w:cs="Arial"/>
          <w:sz w:val="24"/>
          <w:szCs w:val="24"/>
        </w:rPr>
        <w:t xml:space="preserve"> los problemas educativos se resuelven considera</w:t>
      </w:r>
      <w:r>
        <w:rPr>
          <w:rFonts w:ascii="Arial" w:hAnsi="Arial" w:cs="Arial"/>
          <w:sz w:val="24"/>
          <w:szCs w:val="24"/>
        </w:rPr>
        <w:t>n</w:t>
      </w:r>
      <w:r w:rsidRPr="00692414">
        <w:rPr>
          <w:rFonts w:ascii="Arial" w:hAnsi="Arial" w:cs="Arial"/>
          <w:sz w:val="24"/>
          <w:szCs w:val="24"/>
        </w:rPr>
        <w:t xml:space="preserve">do </w:t>
      </w:r>
      <w:r>
        <w:rPr>
          <w:rFonts w:ascii="Arial" w:hAnsi="Arial" w:cs="Arial"/>
          <w:sz w:val="24"/>
          <w:szCs w:val="24"/>
        </w:rPr>
        <w:t>un</w:t>
      </w:r>
      <w:r w:rsidRPr="00692414">
        <w:rPr>
          <w:rFonts w:ascii="Arial" w:hAnsi="Arial" w:cs="Arial"/>
          <w:sz w:val="24"/>
          <w:szCs w:val="24"/>
        </w:rPr>
        <w:t xml:space="preserve"> proceso </w:t>
      </w:r>
      <w:r>
        <w:rPr>
          <w:rFonts w:ascii="Arial" w:hAnsi="Arial" w:cs="Arial"/>
          <w:sz w:val="24"/>
          <w:szCs w:val="24"/>
        </w:rPr>
        <w:t xml:space="preserve">largo, el proceso </w:t>
      </w:r>
      <w:r w:rsidRPr="00692414">
        <w:rPr>
          <w:rFonts w:ascii="Arial" w:hAnsi="Arial" w:cs="Arial"/>
          <w:sz w:val="24"/>
          <w:szCs w:val="24"/>
        </w:rPr>
        <w:t xml:space="preserve">de aprendizaje, logrado </w:t>
      </w:r>
      <w:r>
        <w:rPr>
          <w:rFonts w:ascii="Arial" w:hAnsi="Arial" w:cs="Arial"/>
          <w:sz w:val="24"/>
          <w:szCs w:val="24"/>
        </w:rPr>
        <w:t>tal vez</w:t>
      </w:r>
      <w:r w:rsidRPr="00692414">
        <w:rPr>
          <w:rFonts w:ascii="Arial" w:hAnsi="Arial" w:cs="Arial"/>
          <w:sz w:val="24"/>
          <w:szCs w:val="24"/>
        </w:rPr>
        <w:t xml:space="preserve"> me</w:t>
      </w:r>
      <w:r>
        <w:rPr>
          <w:rFonts w:ascii="Arial" w:hAnsi="Arial" w:cs="Arial"/>
          <w:sz w:val="24"/>
          <w:szCs w:val="24"/>
        </w:rPr>
        <w:t>diante una estrategia de cambio. Al</w:t>
      </w:r>
      <w:r w:rsidRPr="00692414">
        <w:rPr>
          <w:rFonts w:ascii="Arial" w:hAnsi="Arial" w:cs="Arial"/>
          <w:sz w:val="24"/>
          <w:szCs w:val="24"/>
        </w:rPr>
        <w:t xml:space="preserve"> </w:t>
      </w:r>
      <w:r>
        <w:rPr>
          <w:rFonts w:ascii="Arial" w:hAnsi="Arial" w:cs="Arial"/>
          <w:sz w:val="24"/>
          <w:szCs w:val="24"/>
        </w:rPr>
        <w:t>responder a</w:t>
      </w:r>
      <w:r w:rsidRPr="00692414">
        <w:rPr>
          <w:rFonts w:ascii="Arial" w:hAnsi="Arial" w:cs="Arial"/>
          <w:sz w:val="24"/>
          <w:szCs w:val="24"/>
        </w:rPr>
        <w:t xml:space="preserve"> ¿cómo diseñar el desarrollo educativo para una estrategia de cambio? </w:t>
      </w:r>
      <w:r>
        <w:rPr>
          <w:rFonts w:ascii="Arial" w:hAnsi="Arial" w:cs="Arial"/>
          <w:sz w:val="24"/>
          <w:szCs w:val="24"/>
        </w:rPr>
        <w:t>S</w:t>
      </w:r>
      <w:r w:rsidRPr="00692414">
        <w:rPr>
          <w:rFonts w:ascii="Arial" w:hAnsi="Arial" w:cs="Arial"/>
          <w:sz w:val="24"/>
          <w:szCs w:val="24"/>
        </w:rPr>
        <w:t>eñala dos extremos, el más conservador (los libros de textos) y el más progresista (la preparación de profesores).</w:t>
      </w:r>
      <w:r>
        <w:rPr>
          <w:rFonts w:ascii="Arial" w:hAnsi="Arial" w:cs="Arial"/>
          <w:sz w:val="24"/>
          <w:szCs w:val="24"/>
        </w:rPr>
        <w:t xml:space="preserve"> E</w:t>
      </w:r>
      <w:r w:rsidRPr="00692414">
        <w:rPr>
          <w:rFonts w:ascii="Arial" w:hAnsi="Arial" w:cs="Arial"/>
          <w:sz w:val="24"/>
          <w:szCs w:val="24"/>
        </w:rPr>
        <w:t>n el estudio del significado y uso de</w:t>
      </w:r>
      <w:r>
        <w:rPr>
          <w:rFonts w:ascii="Arial" w:hAnsi="Arial" w:cs="Arial"/>
          <w:sz w:val="24"/>
          <w:szCs w:val="24"/>
        </w:rPr>
        <w:t xml:space="preserve"> la</w:t>
      </w:r>
      <w:r w:rsidRPr="00692414">
        <w:rPr>
          <w:rFonts w:ascii="Arial" w:hAnsi="Arial" w:cs="Arial"/>
          <w:sz w:val="24"/>
          <w:szCs w:val="24"/>
        </w:rPr>
        <w:t xml:space="preserve"> gestión</w:t>
      </w:r>
      <w:r w:rsidRPr="00F83A8B">
        <w:rPr>
          <w:rFonts w:ascii="Arial" w:hAnsi="Arial" w:cs="Arial"/>
          <w:sz w:val="24"/>
          <w:szCs w:val="24"/>
        </w:rPr>
        <w:t xml:space="preserve"> se evidencia </w:t>
      </w:r>
      <w:r>
        <w:rPr>
          <w:rFonts w:ascii="Arial" w:hAnsi="Arial" w:cs="Arial"/>
          <w:sz w:val="24"/>
          <w:szCs w:val="24"/>
        </w:rPr>
        <w:t>una</w:t>
      </w:r>
      <w:r w:rsidRPr="00F83A8B">
        <w:rPr>
          <w:rFonts w:ascii="Arial" w:hAnsi="Arial" w:cs="Arial"/>
          <w:sz w:val="24"/>
          <w:szCs w:val="24"/>
        </w:rPr>
        <w:t xml:space="preserve"> cierta confusión</w:t>
      </w:r>
      <w:r>
        <w:rPr>
          <w:rFonts w:ascii="Arial" w:hAnsi="Arial" w:cs="Arial"/>
          <w:sz w:val="24"/>
          <w:szCs w:val="24"/>
        </w:rPr>
        <w:t>,</w:t>
      </w:r>
      <w:r w:rsidRPr="00F83A8B">
        <w:rPr>
          <w:rFonts w:ascii="Arial" w:hAnsi="Arial" w:cs="Arial"/>
          <w:sz w:val="24"/>
          <w:szCs w:val="24"/>
        </w:rPr>
        <w:t xml:space="preserve"> y una polémica </w:t>
      </w:r>
      <w:r>
        <w:rPr>
          <w:rFonts w:ascii="Arial" w:hAnsi="Arial" w:cs="Arial"/>
          <w:sz w:val="24"/>
          <w:szCs w:val="24"/>
        </w:rPr>
        <w:t>sin</w:t>
      </w:r>
      <w:r w:rsidRPr="00F83A8B">
        <w:rPr>
          <w:rFonts w:ascii="Arial" w:hAnsi="Arial" w:cs="Arial"/>
          <w:sz w:val="24"/>
          <w:szCs w:val="24"/>
        </w:rPr>
        <w:t xml:space="preserve"> </w:t>
      </w:r>
      <w:r>
        <w:rPr>
          <w:rFonts w:ascii="Arial" w:hAnsi="Arial" w:cs="Arial"/>
          <w:sz w:val="24"/>
          <w:szCs w:val="24"/>
        </w:rPr>
        <w:t>alcanzar</w:t>
      </w:r>
      <w:r w:rsidRPr="00F83A8B">
        <w:rPr>
          <w:rFonts w:ascii="Arial" w:hAnsi="Arial" w:cs="Arial"/>
          <w:sz w:val="24"/>
          <w:szCs w:val="24"/>
        </w:rPr>
        <w:t xml:space="preserve"> un consenso general, donde algunos autores resaltan las diferencias entre a</w:t>
      </w:r>
      <w:r>
        <w:rPr>
          <w:rFonts w:ascii="Arial" w:hAnsi="Arial" w:cs="Arial"/>
          <w:sz w:val="24"/>
          <w:szCs w:val="24"/>
        </w:rPr>
        <w:t>dministrar, gestionar y dirigir.</w:t>
      </w:r>
      <w:r w:rsidRPr="00F83A8B">
        <w:rPr>
          <w:rFonts w:ascii="Arial" w:hAnsi="Arial" w:cs="Arial"/>
          <w:sz w:val="24"/>
          <w:szCs w:val="24"/>
        </w:rPr>
        <w:t xml:space="preserve"> </w:t>
      </w:r>
      <w:r>
        <w:rPr>
          <w:rFonts w:ascii="Arial" w:hAnsi="Arial" w:cs="Arial"/>
          <w:sz w:val="24"/>
          <w:szCs w:val="24"/>
        </w:rPr>
        <w:t>La manera de definirla</w:t>
      </w:r>
      <w:r w:rsidRPr="00F83A8B">
        <w:rPr>
          <w:rFonts w:ascii="Arial" w:hAnsi="Arial" w:cs="Arial"/>
          <w:sz w:val="24"/>
          <w:szCs w:val="24"/>
        </w:rPr>
        <w:t xml:space="preserve"> </w:t>
      </w:r>
      <w:r>
        <w:rPr>
          <w:rFonts w:ascii="Arial" w:hAnsi="Arial" w:cs="Arial"/>
          <w:sz w:val="24"/>
          <w:szCs w:val="24"/>
        </w:rPr>
        <w:t>depende</w:t>
      </w:r>
      <w:r w:rsidRPr="00F83A8B">
        <w:rPr>
          <w:rFonts w:ascii="Arial" w:hAnsi="Arial" w:cs="Arial"/>
          <w:sz w:val="24"/>
          <w:szCs w:val="24"/>
        </w:rPr>
        <w:t xml:space="preserve"> de las escuelas administrativas </w:t>
      </w:r>
      <w:r>
        <w:rPr>
          <w:rFonts w:ascii="Arial" w:hAnsi="Arial" w:cs="Arial"/>
          <w:sz w:val="24"/>
          <w:szCs w:val="24"/>
        </w:rPr>
        <w:t>y</w:t>
      </w:r>
      <w:r w:rsidRPr="00F83A8B">
        <w:rPr>
          <w:rFonts w:ascii="Arial" w:hAnsi="Arial" w:cs="Arial"/>
          <w:sz w:val="24"/>
          <w:szCs w:val="24"/>
        </w:rPr>
        <w:t xml:space="preserve"> de cada uno de sus representantes. </w:t>
      </w:r>
    </w:p>
    <w:p w:rsidR="004C44CE" w:rsidRDefault="004C44CE" w:rsidP="004C44CE">
      <w:pPr>
        <w:tabs>
          <w:tab w:val="left" w:pos="9356"/>
        </w:tabs>
        <w:spacing w:after="0" w:line="240" w:lineRule="auto"/>
        <w:ind w:firstLine="550"/>
        <w:jc w:val="both"/>
        <w:rPr>
          <w:rFonts w:ascii="Arial" w:hAnsi="Arial" w:cs="Arial"/>
          <w:sz w:val="24"/>
          <w:szCs w:val="24"/>
        </w:rPr>
      </w:pPr>
      <w:r>
        <w:rPr>
          <w:rFonts w:ascii="Arial" w:hAnsi="Arial" w:cs="Arial"/>
          <w:sz w:val="24"/>
          <w:szCs w:val="24"/>
          <w:lang w:eastAsia="es-MX"/>
        </w:rPr>
        <w:t>E</w:t>
      </w:r>
      <w:r w:rsidRPr="008746CD">
        <w:rPr>
          <w:rFonts w:ascii="Arial" w:hAnsi="Arial" w:cs="Arial"/>
          <w:sz w:val="24"/>
          <w:szCs w:val="24"/>
          <w:lang w:eastAsia="es-MX"/>
        </w:rPr>
        <w:t xml:space="preserve">n instituciones </w:t>
      </w:r>
      <w:r>
        <w:rPr>
          <w:rFonts w:ascii="Arial" w:hAnsi="Arial" w:cs="Arial"/>
          <w:sz w:val="24"/>
          <w:szCs w:val="24"/>
          <w:lang w:eastAsia="es-MX"/>
        </w:rPr>
        <w:t>educativas se ve</w:t>
      </w:r>
      <w:r w:rsidRPr="008746CD">
        <w:rPr>
          <w:rFonts w:ascii="Arial" w:hAnsi="Arial" w:cs="Arial"/>
          <w:sz w:val="24"/>
          <w:szCs w:val="24"/>
          <w:lang w:eastAsia="es-MX"/>
        </w:rPr>
        <w:t xml:space="preserve"> como </w:t>
      </w:r>
      <w:r w:rsidRPr="008746CD">
        <w:rPr>
          <w:rFonts w:ascii="Arial" w:hAnsi="Arial" w:cs="Arial"/>
          <w:sz w:val="24"/>
          <w:szCs w:val="24"/>
        </w:rPr>
        <w:t>conjunto de operaciones directivas básicas, comune</w:t>
      </w:r>
      <w:r>
        <w:rPr>
          <w:rFonts w:ascii="Arial" w:hAnsi="Arial" w:cs="Arial"/>
          <w:sz w:val="24"/>
          <w:szCs w:val="24"/>
        </w:rPr>
        <w:t>s a cualquier organización</w:t>
      </w:r>
      <w:r w:rsidRPr="008746CD">
        <w:rPr>
          <w:rFonts w:ascii="Arial" w:hAnsi="Arial" w:cs="Arial"/>
          <w:sz w:val="24"/>
          <w:szCs w:val="24"/>
        </w:rPr>
        <w:t xml:space="preserve"> incluye</w:t>
      </w:r>
      <w:r>
        <w:rPr>
          <w:rFonts w:ascii="Arial" w:hAnsi="Arial" w:cs="Arial"/>
          <w:sz w:val="24"/>
          <w:szCs w:val="24"/>
        </w:rPr>
        <w:t>ndo</w:t>
      </w:r>
      <w:r w:rsidRPr="008746CD">
        <w:rPr>
          <w:rFonts w:ascii="Arial" w:hAnsi="Arial" w:cs="Arial"/>
          <w:sz w:val="24"/>
          <w:szCs w:val="24"/>
        </w:rPr>
        <w:t xml:space="preserve"> planificación, organización, ejecución y control con una implicación esencial</w:t>
      </w:r>
      <w:r>
        <w:rPr>
          <w:rFonts w:ascii="Arial" w:hAnsi="Arial" w:cs="Arial"/>
          <w:sz w:val="24"/>
          <w:szCs w:val="24"/>
        </w:rPr>
        <w:t>,</w:t>
      </w:r>
      <w:r w:rsidRPr="008746CD">
        <w:rPr>
          <w:rFonts w:ascii="Arial" w:hAnsi="Arial" w:cs="Arial"/>
          <w:sz w:val="24"/>
          <w:szCs w:val="24"/>
        </w:rPr>
        <w:t xml:space="preserve"> </w:t>
      </w:r>
      <w:r>
        <w:rPr>
          <w:rFonts w:ascii="Arial" w:hAnsi="Arial" w:cs="Arial"/>
          <w:sz w:val="24"/>
          <w:szCs w:val="24"/>
          <w:lang w:eastAsia="es-MX"/>
        </w:rPr>
        <w:t>que se particulariza</w:t>
      </w:r>
      <w:r w:rsidRPr="008746CD">
        <w:rPr>
          <w:rFonts w:ascii="Arial" w:hAnsi="Arial" w:cs="Arial"/>
          <w:sz w:val="24"/>
          <w:szCs w:val="24"/>
          <w:lang w:eastAsia="es-MX"/>
        </w:rPr>
        <w:t xml:space="preserve"> en la enseñanza superior</w:t>
      </w:r>
      <w:r>
        <w:rPr>
          <w:rFonts w:ascii="Arial" w:hAnsi="Arial" w:cs="Arial"/>
          <w:sz w:val="24"/>
          <w:szCs w:val="24"/>
          <w:lang w:eastAsia="es-MX"/>
        </w:rPr>
        <w:t>.</w:t>
      </w:r>
      <w:r w:rsidRPr="008746CD">
        <w:rPr>
          <w:rFonts w:ascii="Arial" w:hAnsi="Arial" w:cs="Arial"/>
          <w:sz w:val="24"/>
          <w:szCs w:val="24"/>
          <w:lang w:eastAsia="es-MX"/>
        </w:rPr>
        <w:t xml:space="preserve"> </w:t>
      </w:r>
      <w:r>
        <w:rPr>
          <w:rFonts w:ascii="Arial" w:hAnsi="Arial" w:cs="Arial"/>
          <w:sz w:val="24"/>
          <w:szCs w:val="24"/>
          <w:lang w:eastAsia="es-MX"/>
        </w:rPr>
        <w:t>T</w:t>
      </w:r>
      <w:r w:rsidRPr="00F83A8B">
        <w:rPr>
          <w:rFonts w:ascii="Arial" w:hAnsi="Arial" w:cs="Arial"/>
          <w:sz w:val="24"/>
          <w:szCs w:val="24"/>
        </w:rPr>
        <w:t>iene elementos de tipo administrativo, que en esencia es didáctica. La educación en valores</w:t>
      </w:r>
      <w:r>
        <w:rPr>
          <w:rFonts w:ascii="Arial" w:hAnsi="Arial" w:cs="Arial"/>
          <w:sz w:val="24"/>
          <w:szCs w:val="24"/>
        </w:rPr>
        <w:t>,</w:t>
      </w:r>
      <w:r w:rsidRPr="00F83A8B">
        <w:rPr>
          <w:rFonts w:ascii="Arial" w:hAnsi="Arial" w:cs="Arial"/>
          <w:sz w:val="24"/>
          <w:szCs w:val="24"/>
        </w:rPr>
        <w:t xml:space="preserve"> desde este punto de vista</w:t>
      </w:r>
      <w:r>
        <w:rPr>
          <w:rFonts w:ascii="Arial" w:hAnsi="Arial" w:cs="Arial"/>
          <w:sz w:val="24"/>
          <w:szCs w:val="24"/>
        </w:rPr>
        <w:t>,</w:t>
      </w:r>
      <w:r w:rsidRPr="00F83A8B">
        <w:rPr>
          <w:rFonts w:ascii="Arial" w:hAnsi="Arial" w:cs="Arial"/>
          <w:sz w:val="24"/>
          <w:szCs w:val="24"/>
        </w:rPr>
        <w:t xml:space="preserve"> debe estar </w:t>
      </w:r>
      <w:r>
        <w:rPr>
          <w:rFonts w:ascii="Arial" w:hAnsi="Arial" w:cs="Arial"/>
          <w:sz w:val="24"/>
          <w:szCs w:val="24"/>
        </w:rPr>
        <w:t>apoyada</w:t>
      </w:r>
      <w:r w:rsidRPr="00F83A8B">
        <w:rPr>
          <w:rFonts w:ascii="Arial" w:hAnsi="Arial" w:cs="Arial"/>
          <w:sz w:val="24"/>
          <w:szCs w:val="24"/>
        </w:rPr>
        <w:t xml:space="preserve"> por el trabajo metodológico como forma</w:t>
      </w:r>
      <w:r>
        <w:rPr>
          <w:rFonts w:ascii="Arial" w:hAnsi="Arial" w:cs="Arial"/>
          <w:sz w:val="24"/>
          <w:szCs w:val="24"/>
        </w:rPr>
        <w:t xml:space="preserve"> de gestión de la didáctica, y la</w:t>
      </w:r>
      <w:r w:rsidRPr="00F83A8B">
        <w:rPr>
          <w:rFonts w:ascii="Arial" w:hAnsi="Arial" w:cs="Arial"/>
          <w:sz w:val="24"/>
          <w:szCs w:val="24"/>
        </w:rPr>
        <w:t xml:space="preserve"> preparación de los profesores.</w:t>
      </w:r>
      <w:r>
        <w:rPr>
          <w:rFonts w:ascii="Arial" w:hAnsi="Arial" w:cs="Arial"/>
          <w:sz w:val="24"/>
          <w:szCs w:val="24"/>
        </w:rPr>
        <w:t xml:space="preserve"> </w:t>
      </w:r>
      <w:r w:rsidRPr="00F83A8B">
        <w:rPr>
          <w:rFonts w:ascii="Arial" w:hAnsi="Arial" w:cs="Arial"/>
          <w:sz w:val="24"/>
          <w:szCs w:val="24"/>
        </w:rPr>
        <w:t xml:space="preserve">El proceso de gestión de la educación en valores exige de alternativas para </w:t>
      </w:r>
      <w:r>
        <w:rPr>
          <w:rFonts w:ascii="Arial" w:hAnsi="Arial" w:cs="Arial"/>
          <w:sz w:val="24"/>
          <w:szCs w:val="24"/>
        </w:rPr>
        <w:t>su</w:t>
      </w:r>
      <w:r w:rsidRPr="00F83A8B">
        <w:rPr>
          <w:rFonts w:ascii="Arial" w:hAnsi="Arial" w:cs="Arial"/>
          <w:sz w:val="24"/>
          <w:szCs w:val="24"/>
        </w:rPr>
        <w:t xml:space="preserve"> mejor concepción</w:t>
      </w:r>
      <w:r>
        <w:rPr>
          <w:rFonts w:ascii="Arial" w:hAnsi="Arial" w:cs="Arial"/>
          <w:sz w:val="24"/>
          <w:szCs w:val="24"/>
        </w:rPr>
        <w:t>.</w:t>
      </w:r>
      <w:r w:rsidRPr="00F83A8B">
        <w:rPr>
          <w:rFonts w:ascii="Arial" w:hAnsi="Arial" w:cs="Arial"/>
          <w:sz w:val="24"/>
          <w:szCs w:val="24"/>
        </w:rPr>
        <w:t xml:space="preserve"> </w:t>
      </w:r>
      <w:r>
        <w:rPr>
          <w:rFonts w:ascii="Arial" w:hAnsi="Arial" w:cs="Arial"/>
          <w:sz w:val="24"/>
          <w:szCs w:val="24"/>
        </w:rPr>
        <w:t>Presupone</w:t>
      </w:r>
      <w:r w:rsidRPr="00F83A8B">
        <w:rPr>
          <w:rFonts w:ascii="Arial" w:hAnsi="Arial" w:cs="Arial"/>
          <w:sz w:val="24"/>
          <w:szCs w:val="24"/>
        </w:rPr>
        <w:t xml:space="preserve"> un “sistema integral de superación que debe abarcar los componentes que un profes</w:t>
      </w:r>
      <w:r>
        <w:rPr>
          <w:rFonts w:ascii="Arial" w:hAnsi="Arial" w:cs="Arial"/>
          <w:sz w:val="24"/>
          <w:szCs w:val="24"/>
        </w:rPr>
        <w:t>or debe dominar (….)</w:t>
      </w:r>
      <w:r w:rsidRPr="00F83A8B">
        <w:rPr>
          <w:rFonts w:ascii="Arial" w:hAnsi="Arial" w:cs="Arial"/>
          <w:sz w:val="24"/>
          <w:szCs w:val="24"/>
        </w:rPr>
        <w:t xml:space="preserve"> su preparación político-ideológica, científico-técnica, pedagógica, económica, sociológica y en técnicas de dirección</w:t>
      </w:r>
      <w:r>
        <w:rPr>
          <w:rFonts w:ascii="Arial" w:hAnsi="Arial" w:cs="Arial"/>
          <w:sz w:val="24"/>
          <w:szCs w:val="24"/>
        </w:rPr>
        <w:t>”</w:t>
      </w:r>
      <w:r>
        <w:rPr>
          <w:rFonts w:ascii="Arial" w:hAnsi="Arial" w:cs="Arial"/>
          <w:sz w:val="24"/>
          <w:szCs w:val="24"/>
          <w:vertAlign w:val="superscript"/>
        </w:rPr>
        <w:t>[32]</w:t>
      </w:r>
      <w:r>
        <w:rPr>
          <w:rFonts w:ascii="Arial" w:hAnsi="Arial" w:cs="Arial"/>
          <w:sz w:val="24"/>
          <w:szCs w:val="24"/>
        </w:rPr>
        <w:t>.</w:t>
      </w:r>
      <w:r w:rsidRPr="00F83A8B">
        <w:rPr>
          <w:rFonts w:ascii="Arial" w:hAnsi="Arial" w:cs="Arial"/>
          <w:sz w:val="24"/>
          <w:szCs w:val="24"/>
        </w:rPr>
        <w:t xml:space="preserve"> </w:t>
      </w:r>
    </w:p>
    <w:p w:rsidR="004C44CE" w:rsidRDefault="004C44CE" w:rsidP="004C44CE">
      <w:pPr>
        <w:tabs>
          <w:tab w:val="left" w:pos="9356"/>
        </w:tabs>
        <w:spacing w:after="0" w:line="240" w:lineRule="auto"/>
        <w:ind w:firstLine="550"/>
        <w:jc w:val="both"/>
        <w:rPr>
          <w:rFonts w:ascii="Arial" w:hAnsi="Arial" w:cs="Arial"/>
          <w:sz w:val="24"/>
          <w:szCs w:val="24"/>
        </w:rPr>
      </w:pPr>
      <w:r w:rsidRPr="00C75CA6">
        <w:rPr>
          <w:rFonts w:ascii="Arial" w:hAnsi="Arial" w:cs="Arial"/>
          <w:sz w:val="24"/>
          <w:szCs w:val="24"/>
        </w:rPr>
        <w:t>En el contexto cubano</w:t>
      </w:r>
      <w:r>
        <w:rPr>
          <w:rFonts w:ascii="Arial" w:hAnsi="Arial" w:cs="Arial"/>
          <w:sz w:val="24"/>
          <w:szCs w:val="24"/>
        </w:rPr>
        <w:t xml:space="preserve"> se considera</w:t>
      </w:r>
      <w:r w:rsidRPr="00F83A8B">
        <w:rPr>
          <w:rFonts w:ascii="Arial" w:hAnsi="Arial" w:cs="Arial"/>
          <w:sz w:val="24"/>
          <w:szCs w:val="24"/>
        </w:rPr>
        <w:t xml:space="preserve"> que la </w:t>
      </w:r>
      <w:r w:rsidRPr="00AB5ED2">
        <w:rPr>
          <w:rFonts w:ascii="Arial" w:hAnsi="Arial" w:cs="Arial"/>
          <w:sz w:val="24"/>
          <w:szCs w:val="24"/>
        </w:rPr>
        <w:t>superación</w:t>
      </w:r>
      <w:r w:rsidRPr="00F83A8B">
        <w:rPr>
          <w:rFonts w:ascii="Arial" w:hAnsi="Arial" w:cs="Arial"/>
          <w:sz w:val="24"/>
          <w:szCs w:val="24"/>
        </w:rPr>
        <w:t xml:space="preserve"> es condición necesaria para </w:t>
      </w:r>
      <w:r>
        <w:rPr>
          <w:rFonts w:ascii="Arial" w:hAnsi="Arial" w:cs="Arial"/>
          <w:sz w:val="24"/>
          <w:szCs w:val="24"/>
        </w:rPr>
        <w:t>la gestión de</w:t>
      </w:r>
      <w:r w:rsidRPr="00F83A8B">
        <w:rPr>
          <w:rFonts w:ascii="Arial" w:hAnsi="Arial" w:cs="Arial"/>
          <w:sz w:val="24"/>
          <w:szCs w:val="24"/>
        </w:rPr>
        <w:t xml:space="preserve"> este proceso, </w:t>
      </w:r>
      <w:r>
        <w:rPr>
          <w:rFonts w:ascii="Arial" w:hAnsi="Arial" w:cs="Arial"/>
          <w:sz w:val="24"/>
          <w:szCs w:val="24"/>
        </w:rPr>
        <w:t>pero</w:t>
      </w:r>
      <w:r w:rsidRPr="00F83A8B">
        <w:rPr>
          <w:rFonts w:ascii="Arial" w:hAnsi="Arial" w:cs="Arial"/>
          <w:sz w:val="24"/>
          <w:szCs w:val="24"/>
        </w:rPr>
        <w:t xml:space="preserve"> no </w:t>
      </w:r>
      <w:r>
        <w:rPr>
          <w:rFonts w:ascii="Arial" w:hAnsi="Arial" w:cs="Arial"/>
          <w:sz w:val="24"/>
          <w:szCs w:val="24"/>
        </w:rPr>
        <w:t xml:space="preserve">se </w:t>
      </w:r>
      <w:r w:rsidRPr="00F83A8B">
        <w:rPr>
          <w:rFonts w:ascii="Arial" w:hAnsi="Arial" w:cs="Arial"/>
          <w:sz w:val="24"/>
          <w:szCs w:val="24"/>
        </w:rPr>
        <w:t>garantiza en su integridad la gestión de</w:t>
      </w:r>
      <w:r>
        <w:rPr>
          <w:rFonts w:ascii="Arial" w:hAnsi="Arial" w:cs="Arial"/>
          <w:sz w:val="24"/>
          <w:szCs w:val="24"/>
        </w:rPr>
        <w:t xml:space="preserve"> </w:t>
      </w:r>
      <w:r w:rsidRPr="00F83A8B">
        <w:rPr>
          <w:rFonts w:ascii="Arial" w:hAnsi="Arial" w:cs="Arial"/>
          <w:sz w:val="24"/>
          <w:szCs w:val="24"/>
        </w:rPr>
        <w:t>l</w:t>
      </w:r>
      <w:r>
        <w:rPr>
          <w:rFonts w:ascii="Arial" w:hAnsi="Arial" w:cs="Arial"/>
          <w:sz w:val="24"/>
          <w:szCs w:val="24"/>
        </w:rPr>
        <w:t>a educación en valores</w:t>
      </w:r>
      <w:r w:rsidRPr="00F83A8B">
        <w:rPr>
          <w:rFonts w:ascii="Arial" w:hAnsi="Arial" w:cs="Arial"/>
          <w:sz w:val="24"/>
          <w:szCs w:val="24"/>
        </w:rPr>
        <w:t xml:space="preserve"> en la </w:t>
      </w:r>
      <w:r>
        <w:rPr>
          <w:rFonts w:ascii="Arial" w:hAnsi="Arial" w:cs="Arial"/>
          <w:sz w:val="24"/>
          <w:szCs w:val="24"/>
        </w:rPr>
        <w:t>enseñanza s</w:t>
      </w:r>
      <w:r w:rsidRPr="00F83A8B">
        <w:rPr>
          <w:rFonts w:ascii="Arial" w:hAnsi="Arial" w:cs="Arial"/>
          <w:sz w:val="24"/>
          <w:szCs w:val="24"/>
        </w:rPr>
        <w:t xml:space="preserve">uperior, para lograr </w:t>
      </w:r>
      <w:r>
        <w:rPr>
          <w:rFonts w:ascii="Arial" w:hAnsi="Arial" w:cs="Arial"/>
          <w:sz w:val="24"/>
          <w:szCs w:val="24"/>
        </w:rPr>
        <w:t>una</w:t>
      </w:r>
      <w:r w:rsidRPr="00F83A8B">
        <w:rPr>
          <w:rFonts w:ascii="Arial" w:hAnsi="Arial" w:cs="Arial"/>
          <w:sz w:val="24"/>
          <w:szCs w:val="24"/>
        </w:rPr>
        <w:t xml:space="preserve"> mayor eficiencia en todo el proceso formativo</w:t>
      </w:r>
      <w:r>
        <w:rPr>
          <w:rFonts w:ascii="Arial" w:hAnsi="Arial" w:cs="Arial"/>
          <w:sz w:val="24"/>
          <w:szCs w:val="24"/>
        </w:rPr>
        <w:t>,</w:t>
      </w:r>
      <w:r w:rsidRPr="00F83A8B">
        <w:rPr>
          <w:rFonts w:ascii="Arial" w:hAnsi="Arial" w:cs="Arial"/>
          <w:sz w:val="24"/>
          <w:szCs w:val="24"/>
        </w:rPr>
        <w:t xml:space="preserve"> que </w:t>
      </w:r>
      <w:r>
        <w:rPr>
          <w:rFonts w:ascii="Arial" w:hAnsi="Arial" w:cs="Arial"/>
          <w:sz w:val="24"/>
          <w:szCs w:val="24"/>
        </w:rPr>
        <w:t>lleve</w:t>
      </w:r>
      <w:r w:rsidRPr="00F83A8B">
        <w:rPr>
          <w:rFonts w:ascii="Arial" w:hAnsi="Arial" w:cs="Arial"/>
          <w:sz w:val="24"/>
          <w:szCs w:val="24"/>
        </w:rPr>
        <w:t xml:space="preserve"> al modelo del profesional que se necesita formar en nuestra sociedad.</w:t>
      </w:r>
      <w:r>
        <w:rPr>
          <w:rFonts w:ascii="Arial" w:hAnsi="Arial" w:cs="Arial"/>
          <w:sz w:val="24"/>
          <w:szCs w:val="24"/>
        </w:rPr>
        <w:t xml:space="preserve"> U</w:t>
      </w:r>
      <w:r w:rsidRPr="00C75CA6">
        <w:rPr>
          <w:rFonts w:ascii="Arial" w:hAnsi="Arial" w:cs="Arial"/>
          <w:sz w:val="24"/>
          <w:szCs w:val="24"/>
        </w:rPr>
        <w:t>na forma de superación</w:t>
      </w:r>
      <w:r>
        <w:rPr>
          <w:rFonts w:ascii="Arial" w:hAnsi="Arial" w:cs="Arial"/>
          <w:sz w:val="24"/>
          <w:szCs w:val="24"/>
        </w:rPr>
        <w:t>,</w:t>
      </w:r>
      <w:r w:rsidRPr="00C75CA6">
        <w:rPr>
          <w:rFonts w:ascii="Arial" w:hAnsi="Arial" w:cs="Arial"/>
          <w:sz w:val="24"/>
          <w:szCs w:val="24"/>
        </w:rPr>
        <w:t xml:space="preserve"> que ha contribuido a la preparación de profesores</w:t>
      </w:r>
      <w:r>
        <w:rPr>
          <w:rFonts w:ascii="Arial" w:hAnsi="Arial" w:cs="Arial"/>
          <w:sz w:val="24"/>
          <w:szCs w:val="24"/>
        </w:rPr>
        <w:t>,</w:t>
      </w:r>
      <w:r w:rsidRPr="00C75CA6">
        <w:rPr>
          <w:rFonts w:ascii="Arial" w:hAnsi="Arial" w:cs="Arial"/>
          <w:sz w:val="24"/>
          <w:szCs w:val="24"/>
        </w:rPr>
        <w:t xml:space="preserve"> de la enseñanza superior</w:t>
      </w:r>
      <w:r>
        <w:rPr>
          <w:rFonts w:ascii="Arial" w:hAnsi="Arial" w:cs="Arial"/>
          <w:sz w:val="24"/>
          <w:szCs w:val="24"/>
        </w:rPr>
        <w:t>,</w:t>
      </w:r>
      <w:r w:rsidRPr="00C75CA6">
        <w:rPr>
          <w:rFonts w:ascii="Arial" w:hAnsi="Arial" w:cs="Arial"/>
          <w:sz w:val="24"/>
          <w:szCs w:val="24"/>
        </w:rPr>
        <w:t xml:space="preserve"> es el trabajo metodológico gestionado en diferentes niveles estructurales, esencialmente en el de universidad, carrera y año académico, este último nivel constituye la célula esencial para gestionar la educación en valores</w:t>
      </w:r>
      <w:r>
        <w:rPr>
          <w:rFonts w:ascii="Arial" w:hAnsi="Arial" w:cs="Arial"/>
          <w:sz w:val="24"/>
          <w:szCs w:val="24"/>
        </w:rPr>
        <w:t>.</w:t>
      </w:r>
    </w:p>
    <w:p w:rsidR="004C44CE" w:rsidRDefault="004C44CE" w:rsidP="004C44CE">
      <w:pPr>
        <w:tabs>
          <w:tab w:val="left" w:pos="9356"/>
        </w:tabs>
        <w:spacing w:after="0" w:line="240" w:lineRule="auto"/>
        <w:jc w:val="both"/>
        <w:rPr>
          <w:rFonts w:ascii="Arial" w:hAnsi="Arial" w:cs="Arial"/>
          <w:sz w:val="24"/>
          <w:szCs w:val="24"/>
        </w:rPr>
      </w:pPr>
    </w:p>
    <w:p w:rsidR="004C44CE" w:rsidRPr="008F527A" w:rsidRDefault="004C44CE" w:rsidP="004C44CE">
      <w:pPr>
        <w:tabs>
          <w:tab w:val="left" w:pos="426"/>
        </w:tabs>
        <w:spacing w:after="0" w:line="360" w:lineRule="auto"/>
        <w:jc w:val="both"/>
        <w:rPr>
          <w:rFonts w:ascii="Arial" w:hAnsi="Arial" w:cs="Arial"/>
          <w:i/>
          <w:sz w:val="24"/>
          <w:szCs w:val="24"/>
        </w:rPr>
      </w:pPr>
      <w:r w:rsidRPr="008F527A">
        <w:rPr>
          <w:rFonts w:ascii="Arial" w:hAnsi="Arial" w:cs="Arial"/>
          <w:i/>
          <w:sz w:val="24"/>
          <w:szCs w:val="24"/>
        </w:rPr>
        <w:t>4.</w:t>
      </w:r>
      <w:r>
        <w:rPr>
          <w:rFonts w:ascii="Arial" w:hAnsi="Arial" w:cs="Arial"/>
          <w:i/>
          <w:sz w:val="24"/>
          <w:szCs w:val="24"/>
        </w:rPr>
        <w:t>2</w:t>
      </w:r>
      <w:r w:rsidRPr="008F527A">
        <w:rPr>
          <w:rFonts w:ascii="Arial" w:hAnsi="Arial" w:cs="Arial"/>
          <w:i/>
          <w:sz w:val="24"/>
          <w:szCs w:val="24"/>
        </w:rPr>
        <w:t xml:space="preserve"> </w:t>
      </w:r>
      <w:r>
        <w:rPr>
          <w:rFonts w:ascii="Arial" w:hAnsi="Arial" w:cs="Arial"/>
          <w:i/>
          <w:sz w:val="24"/>
          <w:szCs w:val="24"/>
        </w:rPr>
        <w:t>A</w:t>
      </w:r>
      <w:r w:rsidRPr="008F527A">
        <w:rPr>
          <w:rFonts w:ascii="Arial" w:hAnsi="Arial" w:cs="Arial"/>
          <w:i/>
          <w:sz w:val="24"/>
          <w:szCs w:val="24"/>
        </w:rPr>
        <w:t xml:space="preserve">ño académico, célula esencial del proceso de gestión de la educación en valores </w:t>
      </w:r>
    </w:p>
    <w:p w:rsidR="004C44CE" w:rsidRPr="00C75CA6" w:rsidRDefault="004C44CE" w:rsidP="004C44CE">
      <w:pPr>
        <w:spacing w:after="0" w:line="240" w:lineRule="auto"/>
        <w:ind w:firstLine="550"/>
        <w:jc w:val="both"/>
        <w:rPr>
          <w:rFonts w:ascii="Arial" w:hAnsi="Arial" w:cs="Arial"/>
          <w:sz w:val="24"/>
          <w:szCs w:val="24"/>
        </w:rPr>
      </w:pPr>
      <w:r w:rsidRPr="00C75CA6">
        <w:rPr>
          <w:rFonts w:ascii="Arial" w:hAnsi="Arial" w:cs="Arial"/>
          <w:sz w:val="24"/>
          <w:szCs w:val="24"/>
        </w:rPr>
        <w:t xml:space="preserve">El análisis </w:t>
      </w:r>
      <w:r>
        <w:rPr>
          <w:rFonts w:ascii="Arial" w:hAnsi="Arial" w:cs="Arial"/>
          <w:sz w:val="24"/>
          <w:szCs w:val="24"/>
        </w:rPr>
        <w:t>anterior</w:t>
      </w:r>
      <w:r w:rsidRPr="00C75CA6">
        <w:rPr>
          <w:rFonts w:ascii="Arial" w:hAnsi="Arial" w:cs="Arial"/>
          <w:sz w:val="24"/>
          <w:szCs w:val="24"/>
        </w:rPr>
        <w:t xml:space="preserve"> evidencia que estos tres niveles tienen una estrecha relación dialéctica, extrapolándose a relaciones de coordinación, yuxtaposición, cooperación, subordinación, comunicación, respecto a la gestión de la educación en valores</w:t>
      </w:r>
      <w:r>
        <w:rPr>
          <w:rFonts w:ascii="Arial" w:hAnsi="Arial" w:cs="Arial"/>
          <w:sz w:val="24"/>
          <w:szCs w:val="24"/>
        </w:rPr>
        <w:t>.</w:t>
      </w:r>
      <w:r w:rsidRPr="00C75CA6">
        <w:rPr>
          <w:rFonts w:ascii="Arial" w:hAnsi="Arial" w:cs="Arial"/>
          <w:sz w:val="24"/>
          <w:szCs w:val="24"/>
        </w:rPr>
        <w:t xml:space="preserve"> </w:t>
      </w:r>
      <w:r>
        <w:rPr>
          <w:rFonts w:ascii="Arial" w:hAnsi="Arial" w:cs="Arial"/>
          <w:sz w:val="24"/>
          <w:szCs w:val="24"/>
        </w:rPr>
        <w:t>C</w:t>
      </w:r>
      <w:r w:rsidRPr="00C75CA6">
        <w:rPr>
          <w:rFonts w:ascii="Arial" w:hAnsi="Arial" w:cs="Arial"/>
          <w:sz w:val="24"/>
          <w:szCs w:val="24"/>
        </w:rPr>
        <w:t>ada uno con un encargo delimitado en correspondencia con su papel y funciones, respondiendo a los objet</w:t>
      </w:r>
      <w:r>
        <w:rPr>
          <w:rFonts w:ascii="Arial" w:hAnsi="Arial" w:cs="Arial"/>
          <w:sz w:val="24"/>
          <w:szCs w:val="24"/>
        </w:rPr>
        <w:t>ivos del modelo del profesional.</w:t>
      </w:r>
      <w:r w:rsidRPr="00C75CA6">
        <w:rPr>
          <w:rFonts w:ascii="Arial" w:hAnsi="Arial" w:cs="Arial"/>
          <w:sz w:val="24"/>
          <w:szCs w:val="24"/>
        </w:rPr>
        <w:t xml:space="preserve"> </w:t>
      </w:r>
      <w:r>
        <w:rPr>
          <w:rFonts w:ascii="Arial" w:hAnsi="Arial" w:cs="Arial"/>
          <w:sz w:val="24"/>
          <w:szCs w:val="24"/>
        </w:rPr>
        <w:t>P</w:t>
      </w:r>
      <w:r w:rsidRPr="00C75CA6">
        <w:rPr>
          <w:rFonts w:ascii="Arial" w:hAnsi="Arial" w:cs="Arial"/>
          <w:sz w:val="24"/>
          <w:szCs w:val="24"/>
        </w:rPr>
        <w:t xml:space="preserve">ero se complementan entre sí, lo que supone la reiteración de funciones en los diferentes niveles, que no impide que tribute a otras de igual importancia como son </w:t>
      </w:r>
      <w:r w:rsidRPr="00C75CA6">
        <w:rPr>
          <w:rFonts w:ascii="Arial" w:hAnsi="Arial" w:cs="Arial"/>
          <w:bCs/>
          <w:sz w:val="24"/>
          <w:szCs w:val="24"/>
          <w:lang w:val="es-ES_tradnl"/>
        </w:rPr>
        <w:t xml:space="preserve">socializar, intercambiar, divulgar, </w:t>
      </w:r>
      <w:r w:rsidRPr="00C75CA6">
        <w:rPr>
          <w:rFonts w:ascii="Arial" w:hAnsi="Arial" w:cs="Arial"/>
          <w:sz w:val="24"/>
          <w:szCs w:val="24"/>
        </w:rPr>
        <w:t xml:space="preserve">orientar y </w:t>
      </w:r>
      <w:r w:rsidRPr="00C75CA6">
        <w:rPr>
          <w:rFonts w:ascii="Arial" w:hAnsi="Arial" w:cs="Arial"/>
          <w:bCs/>
          <w:sz w:val="24"/>
          <w:szCs w:val="24"/>
          <w:lang w:val="es-ES_tradnl"/>
        </w:rPr>
        <w:t>contextualizar</w:t>
      </w:r>
      <w:r w:rsidRPr="00C75CA6">
        <w:rPr>
          <w:rFonts w:ascii="Arial" w:hAnsi="Arial" w:cs="Arial"/>
          <w:sz w:val="24"/>
          <w:szCs w:val="24"/>
        </w:rPr>
        <w:t xml:space="preserve">.  </w:t>
      </w:r>
    </w:p>
    <w:p w:rsidR="004C44CE" w:rsidRPr="00F83A8B" w:rsidRDefault="004C44CE" w:rsidP="004C44CE">
      <w:pPr>
        <w:tabs>
          <w:tab w:val="left" w:pos="9356"/>
        </w:tabs>
        <w:spacing w:after="0" w:line="240" w:lineRule="auto"/>
        <w:ind w:firstLine="550"/>
        <w:jc w:val="both"/>
        <w:rPr>
          <w:rFonts w:ascii="Arial" w:hAnsi="Arial" w:cs="Arial"/>
          <w:sz w:val="24"/>
          <w:szCs w:val="24"/>
        </w:rPr>
      </w:pPr>
      <w:r w:rsidRPr="00F83A8B">
        <w:rPr>
          <w:rFonts w:ascii="Arial" w:hAnsi="Arial" w:cs="Arial"/>
          <w:sz w:val="24"/>
          <w:szCs w:val="24"/>
        </w:rPr>
        <w:t xml:space="preserve">Educar en valores atraviesa todas las áreas de la universidad: lo académico, investigativo-laboral y extensionista. </w:t>
      </w:r>
      <w:r>
        <w:rPr>
          <w:rFonts w:ascii="Arial" w:hAnsi="Arial" w:cs="Arial"/>
          <w:sz w:val="24"/>
          <w:szCs w:val="24"/>
        </w:rPr>
        <w:t>Su</w:t>
      </w:r>
      <w:r w:rsidRPr="00F83A8B">
        <w:rPr>
          <w:rFonts w:ascii="Arial" w:hAnsi="Arial" w:cs="Arial"/>
          <w:sz w:val="24"/>
          <w:szCs w:val="24"/>
        </w:rPr>
        <w:t xml:space="preserve"> desarrollo </w:t>
      </w:r>
      <w:r>
        <w:rPr>
          <w:rFonts w:ascii="Arial" w:hAnsi="Arial" w:cs="Arial"/>
          <w:sz w:val="24"/>
          <w:szCs w:val="24"/>
        </w:rPr>
        <w:t>exige</w:t>
      </w:r>
      <w:r w:rsidRPr="00F83A8B">
        <w:rPr>
          <w:rFonts w:ascii="Arial" w:hAnsi="Arial" w:cs="Arial"/>
          <w:sz w:val="24"/>
          <w:szCs w:val="24"/>
        </w:rPr>
        <w:t xml:space="preserve"> la preparación de profesores</w:t>
      </w:r>
      <w:r>
        <w:rPr>
          <w:rFonts w:ascii="Arial" w:hAnsi="Arial" w:cs="Arial"/>
          <w:sz w:val="24"/>
          <w:szCs w:val="24"/>
        </w:rPr>
        <w:t>,</w:t>
      </w:r>
      <w:r w:rsidRPr="00F83A8B">
        <w:rPr>
          <w:rFonts w:ascii="Arial" w:hAnsi="Arial" w:cs="Arial"/>
          <w:sz w:val="24"/>
          <w:szCs w:val="24"/>
        </w:rPr>
        <w:t xml:space="preserve"> gestionada </w:t>
      </w:r>
      <w:r>
        <w:rPr>
          <w:rFonts w:ascii="Arial" w:hAnsi="Arial" w:cs="Arial"/>
          <w:sz w:val="24"/>
          <w:szCs w:val="24"/>
        </w:rPr>
        <w:t>con</w:t>
      </w:r>
      <w:r w:rsidRPr="00F83A8B">
        <w:rPr>
          <w:rFonts w:ascii="Arial" w:hAnsi="Arial" w:cs="Arial"/>
          <w:sz w:val="24"/>
          <w:szCs w:val="24"/>
        </w:rPr>
        <w:t xml:space="preserve"> el trabajo metodológico desarrollado en el año académico, atendiendo </w:t>
      </w:r>
      <w:r>
        <w:rPr>
          <w:rFonts w:ascii="Arial" w:hAnsi="Arial" w:cs="Arial"/>
          <w:sz w:val="24"/>
          <w:szCs w:val="24"/>
        </w:rPr>
        <w:t>a</w:t>
      </w:r>
      <w:r w:rsidRPr="00F83A8B">
        <w:rPr>
          <w:rFonts w:ascii="Arial" w:hAnsi="Arial" w:cs="Arial"/>
          <w:sz w:val="24"/>
          <w:szCs w:val="24"/>
        </w:rPr>
        <w:t xml:space="preserve"> su integración </w:t>
      </w:r>
      <w:r>
        <w:rPr>
          <w:rFonts w:ascii="Arial" w:hAnsi="Arial" w:cs="Arial"/>
          <w:sz w:val="24"/>
          <w:szCs w:val="24"/>
        </w:rPr>
        <w:t>en l</w:t>
      </w:r>
      <w:r w:rsidRPr="00F83A8B">
        <w:rPr>
          <w:rFonts w:ascii="Arial" w:hAnsi="Arial" w:cs="Arial"/>
          <w:sz w:val="24"/>
          <w:szCs w:val="24"/>
        </w:rPr>
        <w:t>as áreas o procesos sustantivos y a las dimensiones en que se desarrolla. Su punto de partida es la docencia, dirigida a optimizar el proceso formativo integral</w:t>
      </w:r>
      <w:r>
        <w:rPr>
          <w:rFonts w:ascii="Arial" w:hAnsi="Arial" w:cs="Arial"/>
          <w:sz w:val="24"/>
          <w:szCs w:val="24"/>
        </w:rPr>
        <w:t>,</w:t>
      </w:r>
      <w:r w:rsidRPr="00F83A8B">
        <w:rPr>
          <w:rFonts w:ascii="Arial" w:hAnsi="Arial" w:cs="Arial"/>
          <w:sz w:val="24"/>
          <w:szCs w:val="24"/>
        </w:rPr>
        <w:t xml:space="preserve"> </w:t>
      </w:r>
      <w:r>
        <w:rPr>
          <w:rFonts w:ascii="Arial" w:hAnsi="Arial" w:cs="Arial"/>
          <w:sz w:val="24"/>
          <w:szCs w:val="24"/>
        </w:rPr>
        <w:t>con</w:t>
      </w:r>
      <w:r w:rsidRPr="00F83A8B">
        <w:rPr>
          <w:rFonts w:ascii="Arial" w:hAnsi="Arial" w:cs="Arial"/>
          <w:sz w:val="24"/>
          <w:szCs w:val="24"/>
        </w:rPr>
        <w:t xml:space="preserve"> métodos que permitan establecer relaciones afectivas entre los sujetos, el liderazgo de sus miembros, la pertenencia y responsab</w:t>
      </w:r>
      <w:r>
        <w:rPr>
          <w:rFonts w:ascii="Arial" w:hAnsi="Arial" w:cs="Arial"/>
          <w:sz w:val="24"/>
          <w:szCs w:val="24"/>
        </w:rPr>
        <w:t>ilidad de los estudiantes y las</w:t>
      </w:r>
      <w:r w:rsidRPr="00F83A8B">
        <w:rPr>
          <w:rFonts w:ascii="Arial" w:hAnsi="Arial" w:cs="Arial"/>
          <w:sz w:val="24"/>
          <w:szCs w:val="24"/>
        </w:rPr>
        <w:t xml:space="preserve"> decisiones colectivas.</w:t>
      </w:r>
    </w:p>
    <w:p w:rsidR="004C44CE" w:rsidRDefault="004C44CE" w:rsidP="004C44CE">
      <w:pPr>
        <w:tabs>
          <w:tab w:val="left" w:pos="709"/>
        </w:tabs>
        <w:spacing w:after="0" w:line="240" w:lineRule="auto"/>
        <w:ind w:firstLine="550"/>
        <w:jc w:val="both"/>
        <w:rPr>
          <w:rFonts w:ascii="Arial" w:hAnsi="Arial" w:cs="Arial"/>
          <w:sz w:val="24"/>
          <w:szCs w:val="24"/>
        </w:rPr>
      </w:pPr>
      <w:r w:rsidRPr="00821C49">
        <w:rPr>
          <w:rFonts w:ascii="Arial" w:hAnsi="Arial" w:cs="Arial"/>
          <w:sz w:val="24"/>
          <w:szCs w:val="24"/>
        </w:rPr>
        <w:t>Al reconocer el año académico como la célula esencial del proceso de gestión, de la</w:t>
      </w:r>
      <w:r w:rsidRPr="00F83A8B">
        <w:rPr>
          <w:rFonts w:ascii="Arial" w:hAnsi="Arial" w:cs="Arial"/>
          <w:sz w:val="24"/>
          <w:szCs w:val="24"/>
        </w:rPr>
        <w:t xml:space="preserve"> educación en valores</w:t>
      </w:r>
      <w:r>
        <w:rPr>
          <w:rFonts w:ascii="Arial" w:hAnsi="Arial" w:cs="Arial"/>
          <w:sz w:val="24"/>
          <w:szCs w:val="24"/>
        </w:rPr>
        <w:t>,</w:t>
      </w:r>
      <w:r w:rsidRPr="00F83A8B">
        <w:rPr>
          <w:rFonts w:ascii="Arial" w:hAnsi="Arial" w:cs="Arial"/>
          <w:sz w:val="24"/>
          <w:szCs w:val="24"/>
        </w:rPr>
        <w:t xml:space="preserve"> se </w:t>
      </w:r>
      <w:r>
        <w:rPr>
          <w:rFonts w:ascii="Arial" w:hAnsi="Arial" w:cs="Arial"/>
          <w:sz w:val="24"/>
          <w:szCs w:val="24"/>
        </w:rPr>
        <w:t>hace</w:t>
      </w:r>
      <w:r w:rsidRPr="00F83A8B">
        <w:rPr>
          <w:rFonts w:ascii="Arial" w:hAnsi="Arial" w:cs="Arial"/>
          <w:sz w:val="24"/>
          <w:szCs w:val="24"/>
        </w:rPr>
        <w:t xml:space="preserve"> e</w:t>
      </w:r>
      <w:r>
        <w:rPr>
          <w:rFonts w:ascii="Arial" w:hAnsi="Arial" w:cs="Arial"/>
          <w:sz w:val="24"/>
          <w:szCs w:val="24"/>
        </w:rPr>
        <w:t>xplícito</w:t>
      </w:r>
      <w:r w:rsidRPr="00F83A8B">
        <w:rPr>
          <w:rFonts w:ascii="Arial" w:hAnsi="Arial" w:cs="Arial"/>
          <w:sz w:val="24"/>
          <w:szCs w:val="24"/>
        </w:rPr>
        <w:t xml:space="preserve"> en este nivel estructural como una acción primordial para el éxito en la </w:t>
      </w:r>
      <w:r w:rsidRPr="0068799B">
        <w:rPr>
          <w:rFonts w:ascii="Arial" w:hAnsi="Arial" w:cs="Arial"/>
          <w:sz w:val="24"/>
          <w:szCs w:val="24"/>
        </w:rPr>
        <w:t>formación integral de los</w:t>
      </w:r>
      <w:r w:rsidRPr="00F83A8B">
        <w:rPr>
          <w:rFonts w:ascii="Arial" w:hAnsi="Arial" w:cs="Arial"/>
          <w:sz w:val="24"/>
          <w:szCs w:val="24"/>
        </w:rPr>
        <w:t xml:space="preserve"> estudiantes. Entre las insuficiencias de</w:t>
      </w:r>
      <w:r>
        <w:rPr>
          <w:rFonts w:ascii="Arial" w:hAnsi="Arial" w:cs="Arial"/>
          <w:sz w:val="24"/>
          <w:szCs w:val="24"/>
        </w:rPr>
        <w:t>l</w:t>
      </w:r>
      <w:r w:rsidRPr="00F83A8B">
        <w:rPr>
          <w:rFonts w:ascii="Arial" w:hAnsi="Arial" w:cs="Arial"/>
          <w:sz w:val="24"/>
          <w:szCs w:val="24"/>
        </w:rPr>
        <w:t xml:space="preserve"> proceso se identifica la necesidad de preparación del profesor universitario</w:t>
      </w:r>
      <w:r>
        <w:rPr>
          <w:rFonts w:ascii="Arial" w:hAnsi="Arial" w:cs="Arial"/>
          <w:sz w:val="24"/>
          <w:szCs w:val="24"/>
        </w:rPr>
        <w:t>,</w:t>
      </w:r>
      <w:r w:rsidRPr="00F83A8B">
        <w:rPr>
          <w:rFonts w:ascii="Arial" w:hAnsi="Arial" w:cs="Arial"/>
          <w:sz w:val="24"/>
          <w:szCs w:val="24"/>
        </w:rPr>
        <w:t xml:space="preserve"> para lograr art</w:t>
      </w:r>
      <w:r>
        <w:rPr>
          <w:rFonts w:ascii="Arial" w:hAnsi="Arial" w:cs="Arial"/>
          <w:sz w:val="24"/>
          <w:szCs w:val="24"/>
        </w:rPr>
        <w:t>icular en el proyecto educativo</w:t>
      </w:r>
      <w:r w:rsidRPr="00F83A8B">
        <w:rPr>
          <w:rFonts w:ascii="Arial" w:hAnsi="Arial" w:cs="Arial"/>
          <w:sz w:val="24"/>
          <w:szCs w:val="24"/>
        </w:rPr>
        <w:t xml:space="preserve"> las acciones de manera consciente y personalizada, dada la carencia de una estrategia educativa </w:t>
      </w:r>
      <w:r>
        <w:rPr>
          <w:rFonts w:ascii="Arial" w:hAnsi="Arial" w:cs="Arial"/>
          <w:sz w:val="24"/>
          <w:szCs w:val="24"/>
        </w:rPr>
        <w:t>bien</w:t>
      </w:r>
      <w:r w:rsidRPr="00F83A8B">
        <w:rPr>
          <w:rFonts w:ascii="Arial" w:hAnsi="Arial" w:cs="Arial"/>
          <w:sz w:val="24"/>
          <w:szCs w:val="24"/>
        </w:rPr>
        <w:t xml:space="preserve"> fundamentada</w:t>
      </w:r>
      <w:r>
        <w:rPr>
          <w:rFonts w:ascii="Arial" w:hAnsi="Arial" w:cs="Arial"/>
          <w:sz w:val="24"/>
          <w:szCs w:val="24"/>
        </w:rPr>
        <w:t>,</w:t>
      </w:r>
      <w:r w:rsidRPr="00F83A8B">
        <w:rPr>
          <w:rFonts w:ascii="Arial" w:hAnsi="Arial" w:cs="Arial"/>
          <w:sz w:val="24"/>
          <w:szCs w:val="24"/>
        </w:rPr>
        <w:t xml:space="preserve"> lo</w:t>
      </w:r>
      <w:r>
        <w:rPr>
          <w:rFonts w:ascii="Arial" w:hAnsi="Arial" w:cs="Arial"/>
          <w:sz w:val="24"/>
          <w:szCs w:val="24"/>
        </w:rPr>
        <w:t xml:space="preserve"> que indicaba</w:t>
      </w:r>
      <w:r w:rsidRPr="00F83A8B">
        <w:rPr>
          <w:rFonts w:ascii="Arial" w:hAnsi="Arial" w:cs="Arial"/>
          <w:sz w:val="24"/>
          <w:szCs w:val="24"/>
        </w:rPr>
        <w:t xml:space="preserve"> que no se alcanzaran los resultados deseados en el proceso de formación de los estudiantes. </w:t>
      </w:r>
      <w:r w:rsidRPr="00F119BE">
        <w:rPr>
          <w:rFonts w:ascii="Arial" w:hAnsi="Arial" w:cs="Arial"/>
          <w:sz w:val="24"/>
          <w:szCs w:val="24"/>
        </w:rPr>
        <w:t>La estrategia educativa</w:t>
      </w:r>
      <w:r>
        <w:rPr>
          <w:rFonts w:ascii="Arial" w:hAnsi="Arial" w:cs="Arial"/>
          <w:sz w:val="24"/>
          <w:szCs w:val="24"/>
        </w:rPr>
        <w:t xml:space="preserve"> en el año académico</w:t>
      </w:r>
      <w:r w:rsidRPr="00F119BE">
        <w:rPr>
          <w:rFonts w:ascii="Arial" w:hAnsi="Arial" w:cs="Arial"/>
          <w:sz w:val="24"/>
          <w:szCs w:val="24"/>
        </w:rPr>
        <w:t xml:space="preserve"> es un documento rector</w:t>
      </w:r>
      <w:r>
        <w:rPr>
          <w:rFonts w:ascii="Arial" w:hAnsi="Arial" w:cs="Arial"/>
          <w:sz w:val="24"/>
          <w:szCs w:val="24"/>
        </w:rPr>
        <w:t>,</w:t>
      </w:r>
      <w:r w:rsidRPr="00F119BE">
        <w:rPr>
          <w:rFonts w:ascii="Arial" w:hAnsi="Arial" w:cs="Arial"/>
          <w:sz w:val="24"/>
          <w:szCs w:val="24"/>
        </w:rPr>
        <w:t xml:space="preserve"> que se espera </w:t>
      </w:r>
      <w:r>
        <w:rPr>
          <w:rFonts w:ascii="Arial" w:hAnsi="Arial" w:cs="Arial"/>
          <w:sz w:val="24"/>
          <w:szCs w:val="24"/>
        </w:rPr>
        <w:t>contenga</w:t>
      </w:r>
      <w:r w:rsidRPr="00F119BE">
        <w:rPr>
          <w:rFonts w:ascii="Arial" w:hAnsi="Arial" w:cs="Arial"/>
          <w:sz w:val="24"/>
          <w:szCs w:val="24"/>
        </w:rPr>
        <w:t xml:space="preserve"> como punto de partida el diagnóstico integral de estudiantes, profesores y proceso. Incluye la gestión del trabajo metodológico, el proyecto educativo con sus dimens</w:t>
      </w:r>
      <w:r>
        <w:rPr>
          <w:rFonts w:ascii="Arial" w:hAnsi="Arial" w:cs="Arial"/>
          <w:sz w:val="24"/>
          <w:szCs w:val="24"/>
        </w:rPr>
        <w:t>iones o esferas de influencia</w:t>
      </w:r>
      <w:r w:rsidRPr="00F119BE">
        <w:rPr>
          <w:rFonts w:ascii="Arial" w:hAnsi="Arial" w:cs="Arial"/>
          <w:sz w:val="24"/>
          <w:szCs w:val="24"/>
        </w:rPr>
        <w:t xml:space="preserve"> y la gestión de las acciones de comunicación (Fig. 1).</w:t>
      </w:r>
    </w:p>
    <w:p w:rsidR="004C44CE" w:rsidRDefault="004C44CE" w:rsidP="004C44CE">
      <w:pPr>
        <w:tabs>
          <w:tab w:val="left" w:pos="709"/>
        </w:tabs>
        <w:spacing w:after="0" w:line="240" w:lineRule="auto"/>
        <w:ind w:firstLine="550"/>
        <w:jc w:val="both"/>
        <w:rPr>
          <w:rFonts w:ascii="Arial" w:hAnsi="Arial" w:cs="Arial"/>
          <w:sz w:val="24"/>
          <w:szCs w:val="24"/>
        </w:rPr>
      </w:pPr>
    </w:p>
    <w:tbl>
      <w:tblPr>
        <w:tblW w:w="0" w:type="auto"/>
        <w:tblLook w:val="01E0" w:firstRow="1" w:lastRow="1" w:firstColumn="1" w:lastColumn="1" w:noHBand="0" w:noVBand="0"/>
      </w:tblPr>
      <w:tblGrid>
        <w:gridCol w:w="9404"/>
      </w:tblGrid>
      <w:tr w:rsidR="004C44CE" w:rsidRPr="006F064B" w:rsidTr="007F2707">
        <w:tc>
          <w:tcPr>
            <w:tcW w:w="9777" w:type="dxa"/>
            <w:shd w:val="clear" w:color="auto" w:fill="auto"/>
          </w:tcPr>
          <w:p w:rsidR="004C44CE" w:rsidRPr="006F064B" w:rsidRDefault="004C44CE" w:rsidP="007F2707">
            <w:pPr>
              <w:tabs>
                <w:tab w:val="left" w:pos="709"/>
              </w:tabs>
              <w:spacing w:after="0" w:line="240" w:lineRule="auto"/>
              <w:jc w:val="center"/>
              <w:rPr>
                <w:rFonts w:ascii="Arial" w:hAnsi="Arial" w:cs="Arial"/>
                <w:sz w:val="24"/>
                <w:szCs w:val="24"/>
              </w:rPr>
            </w:pPr>
            <w:r w:rsidRPr="006F064B">
              <w:rPr>
                <w:rFonts w:ascii="Arial" w:hAnsi="Arial" w:cs="Arial"/>
                <w:noProof/>
                <w:sz w:val="24"/>
                <w:szCs w:val="24"/>
                <w:lang w:val="en-US"/>
              </w:rPr>
              <w:drawing>
                <wp:inline distT="0" distB="0" distL="0" distR="0" wp14:anchorId="3DE597C4" wp14:editId="2BFC00A3">
                  <wp:extent cx="4495800" cy="2695575"/>
                  <wp:effectExtent l="0" t="0" r="0" b="9525"/>
                  <wp:docPr id="87" name="Imagen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1"/>
                          <pic:cNvPicPr>
                            <a:picLocks noChangeArrowheads="1"/>
                          </pic:cNvPicPr>
                        </pic:nvPicPr>
                        <pic:blipFill>
                          <a:blip r:embed="rId1268">
                            <a:extLst>
                              <a:ext uri="{28A0092B-C50C-407E-A947-70E740481C1C}">
                                <a14:useLocalDpi xmlns:a14="http://schemas.microsoft.com/office/drawing/2010/main" val="0"/>
                              </a:ext>
                            </a:extLst>
                          </a:blip>
                          <a:srcRect b="-1480"/>
                          <a:stretch>
                            <a:fillRect/>
                          </a:stretch>
                        </pic:blipFill>
                        <pic:spPr bwMode="auto">
                          <a:xfrm>
                            <a:off x="0" y="0"/>
                            <a:ext cx="4495800" cy="2695575"/>
                          </a:xfrm>
                          <a:prstGeom prst="rect">
                            <a:avLst/>
                          </a:prstGeom>
                          <a:noFill/>
                          <a:ln>
                            <a:noFill/>
                          </a:ln>
                        </pic:spPr>
                      </pic:pic>
                    </a:graphicData>
                  </a:graphic>
                </wp:inline>
              </w:drawing>
            </w:r>
          </w:p>
        </w:tc>
      </w:tr>
      <w:tr w:rsidR="004C44CE" w:rsidRPr="006F064B" w:rsidTr="007F2707">
        <w:tc>
          <w:tcPr>
            <w:tcW w:w="9777" w:type="dxa"/>
            <w:shd w:val="clear" w:color="auto" w:fill="auto"/>
          </w:tcPr>
          <w:p w:rsidR="004C44CE" w:rsidRPr="006F064B" w:rsidRDefault="004C44CE" w:rsidP="007F2707">
            <w:pPr>
              <w:tabs>
                <w:tab w:val="left" w:pos="9356"/>
              </w:tabs>
              <w:spacing w:before="120" w:after="0" w:line="240" w:lineRule="auto"/>
              <w:ind w:firstLine="550"/>
              <w:jc w:val="center"/>
              <w:rPr>
                <w:rFonts w:ascii="Arial" w:hAnsi="Arial" w:cs="Arial"/>
                <w:sz w:val="24"/>
                <w:szCs w:val="24"/>
              </w:rPr>
            </w:pPr>
            <w:r w:rsidRPr="006F064B">
              <w:rPr>
                <w:rFonts w:ascii="Arial" w:hAnsi="Arial" w:cs="Arial"/>
                <w:sz w:val="24"/>
                <w:szCs w:val="24"/>
              </w:rPr>
              <w:t>Fig. 1. Gestión de la educación en valores en el año académico.</w:t>
            </w:r>
          </w:p>
        </w:tc>
      </w:tr>
    </w:tbl>
    <w:p w:rsidR="004C44CE" w:rsidRPr="00F83A8B" w:rsidRDefault="004C44CE" w:rsidP="004C44CE">
      <w:pPr>
        <w:tabs>
          <w:tab w:val="left" w:pos="9356"/>
        </w:tabs>
        <w:spacing w:after="0" w:line="240" w:lineRule="auto"/>
        <w:rPr>
          <w:rFonts w:ascii="Arial" w:hAnsi="Arial" w:cs="Arial"/>
          <w:sz w:val="24"/>
          <w:szCs w:val="24"/>
        </w:rPr>
      </w:pPr>
    </w:p>
    <w:p w:rsidR="004C44CE" w:rsidRDefault="004C44CE" w:rsidP="004C44CE">
      <w:pPr>
        <w:tabs>
          <w:tab w:val="left" w:pos="9356"/>
        </w:tabs>
        <w:spacing w:after="0" w:line="240" w:lineRule="auto"/>
        <w:ind w:firstLine="550"/>
        <w:jc w:val="both"/>
        <w:rPr>
          <w:rFonts w:ascii="Arial" w:hAnsi="Arial" w:cs="Arial"/>
          <w:sz w:val="24"/>
          <w:szCs w:val="24"/>
        </w:rPr>
      </w:pPr>
      <w:r>
        <w:rPr>
          <w:rFonts w:ascii="Arial" w:hAnsi="Arial" w:cs="Arial"/>
          <w:sz w:val="24"/>
          <w:szCs w:val="24"/>
        </w:rPr>
        <w:t>De la discusión previa</w:t>
      </w:r>
      <w:r w:rsidRPr="00F119BE">
        <w:rPr>
          <w:rFonts w:ascii="Arial" w:hAnsi="Arial" w:cs="Arial"/>
          <w:sz w:val="24"/>
          <w:szCs w:val="24"/>
        </w:rPr>
        <w:t xml:space="preserve"> se </w:t>
      </w:r>
      <w:r>
        <w:rPr>
          <w:rFonts w:ascii="Arial" w:hAnsi="Arial" w:cs="Arial"/>
          <w:sz w:val="24"/>
          <w:szCs w:val="24"/>
        </w:rPr>
        <w:t>encuentra</w:t>
      </w:r>
      <w:r w:rsidRPr="00F119BE">
        <w:rPr>
          <w:rFonts w:ascii="Arial" w:hAnsi="Arial" w:cs="Arial"/>
          <w:sz w:val="24"/>
          <w:szCs w:val="24"/>
        </w:rPr>
        <w:t xml:space="preserve"> necesario </w:t>
      </w:r>
      <w:r>
        <w:rPr>
          <w:rFonts w:ascii="Arial" w:hAnsi="Arial" w:cs="Arial"/>
          <w:sz w:val="24"/>
          <w:szCs w:val="24"/>
        </w:rPr>
        <w:t>enfatizar</w:t>
      </w:r>
      <w:r w:rsidRPr="00F119BE">
        <w:rPr>
          <w:rFonts w:ascii="Arial" w:hAnsi="Arial" w:cs="Arial"/>
          <w:sz w:val="24"/>
          <w:szCs w:val="24"/>
        </w:rPr>
        <w:t xml:space="preserve"> en el plan de trabajo metodológico para el año académico, como una de las acciones de </w:t>
      </w:r>
      <w:r w:rsidRPr="00AB5ED2">
        <w:rPr>
          <w:rFonts w:ascii="Arial" w:hAnsi="Arial" w:cs="Arial"/>
          <w:sz w:val="24"/>
          <w:szCs w:val="24"/>
        </w:rPr>
        <w:t>preparación</w:t>
      </w:r>
      <w:r w:rsidRPr="00F119BE">
        <w:rPr>
          <w:rFonts w:ascii="Arial" w:hAnsi="Arial" w:cs="Arial"/>
          <w:sz w:val="24"/>
          <w:szCs w:val="24"/>
        </w:rPr>
        <w:t xml:space="preserve"> del profesor universitario para el proceso de gestión de la educación en valores.</w:t>
      </w:r>
      <w:r w:rsidRPr="00F83A8B">
        <w:rPr>
          <w:rFonts w:ascii="Arial" w:hAnsi="Arial" w:cs="Arial"/>
          <w:sz w:val="24"/>
          <w:szCs w:val="24"/>
        </w:rPr>
        <w:t xml:space="preserve"> </w:t>
      </w:r>
      <w:r>
        <w:rPr>
          <w:rFonts w:ascii="Arial" w:hAnsi="Arial" w:cs="Arial"/>
          <w:sz w:val="24"/>
          <w:szCs w:val="24"/>
        </w:rPr>
        <w:t>C</w:t>
      </w:r>
      <w:r w:rsidRPr="00F83A8B">
        <w:rPr>
          <w:rFonts w:ascii="Arial" w:hAnsi="Arial" w:cs="Arial"/>
          <w:sz w:val="24"/>
          <w:szCs w:val="24"/>
        </w:rPr>
        <w:t>oncebir este plan</w:t>
      </w:r>
      <w:r>
        <w:rPr>
          <w:rFonts w:ascii="Arial" w:hAnsi="Arial" w:cs="Arial"/>
          <w:sz w:val="24"/>
          <w:szCs w:val="24"/>
        </w:rPr>
        <w:t>,</w:t>
      </w:r>
      <w:r w:rsidRPr="00F83A8B">
        <w:rPr>
          <w:rFonts w:ascii="Arial" w:hAnsi="Arial" w:cs="Arial"/>
          <w:sz w:val="24"/>
          <w:szCs w:val="24"/>
        </w:rPr>
        <w:t xml:space="preserve"> </w:t>
      </w:r>
      <w:r>
        <w:rPr>
          <w:rFonts w:ascii="Arial" w:hAnsi="Arial" w:cs="Arial"/>
          <w:sz w:val="24"/>
          <w:szCs w:val="24"/>
        </w:rPr>
        <w:t>requiere</w:t>
      </w:r>
      <w:r w:rsidRPr="00F83A8B">
        <w:rPr>
          <w:rFonts w:ascii="Arial" w:hAnsi="Arial" w:cs="Arial"/>
          <w:sz w:val="24"/>
          <w:szCs w:val="24"/>
        </w:rPr>
        <w:t xml:space="preserve"> tener presentes los fundamentos de los problemas metodológicos principales a tratar, a partir del diagnóstico y líneas prioritarias del año académico, objetivos metodológicos principales (según la planeación, organización, ejecución y control), actividades metodológicas a desarrollar, designación de responsables y planeación de fechas de cumplimiento (con reuniones metodológicas, clases metodológicas, clases abierta</w:t>
      </w:r>
      <w:r>
        <w:rPr>
          <w:rFonts w:ascii="Arial" w:hAnsi="Arial" w:cs="Arial"/>
          <w:sz w:val="24"/>
          <w:szCs w:val="24"/>
        </w:rPr>
        <w:t>s</w:t>
      </w:r>
      <w:r w:rsidRPr="00F83A8B">
        <w:rPr>
          <w:rFonts w:ascii="Arial" w:hAnsi="Arial" w:cs="Arial"/>
          <w:sz w:val="24"/>
          <w:szCs w:val="24"/>
        </w:rPr>
        <w:t xml:space="preserve"> y talleres) y el plan de control al proceso de enseñanza-aprendizaje.</w:t>
      </w:r>
    </w:p>
    <w:p w:rsidR="004C44CE" w:rsidRPr="00F83A8B" w:rsidRDefault="004C44CE" w:rsidP="004C44CE">
      <w:pPr>
        <w:tabs>
          <w:tab w:val="left" w:pos="9356"/>
        </w:tabs>
        <w:spacing w:after="0" w:line="240" w:lineRule="auto"/>
        <w:ind w:firstLine="550"/>
        <w:jc w:val="both"/>
        <w:rPr>
          <w:rFonts w:ascii="Arial" w:hAnsi="Arial" w:cs="Arial"/>
          <w:sz w:val="24"/>
          <w:szCs w:val="24"/>
        </w:rPr>
      </w:pPr>
    </w:p>
    <w:p w:rsidR="004C44CE" w:rsidRPr="00063687" w:rsidRDefault="004C44CE" w:rsidP="004C44CE">
      <w:pPr>
        <w:pStyle w:val="1Titulo"/>
        <w:numPr>
          <w:ilvl w:val="0"/>
          <w:numId w:val="0"/>
        </w:numPr>
        <w:ind w:left="357"/>
      </w:pPr>
      <w:bookmarkStart w:id="387" w:name="_Toc50031434"/>
      <w:r w:rsidRPr="00063687">
        <w:t>5.  Conclusiones</w:t>
      </w:r>
      <w:bookmarkEnd w:id="387"/>
      <w:r w:rsidRPr="00063687">
        <w:t xml:space="preserve"> </w:t>
      </w:r>
    </w:p>
    <w:p w:rsidR="004C44CE" w:rsidRPr="00F83A8B" w:rsidRDefault="004C44CE" w:rsidP="004C44CE">
      <w:pPr>
        <w:tabs>
          <w:tab w:val="left" w:pos="9356"/>
        </w:tabs>
        <w:spacing w:after="0" w:line="240" w:lineRule="auto"/>
        <w:ind w:firstLine="550"/>
        <w:jc w:val="both"/>
        <w:rPr>
          <w:rFonts w:ascii="Arial" w:hAnsi="Arial" w:cs="Arial"/>
          <w:sz w:val="24"/>
          <w:szCs w:val="24"/>
        </w:rPr>
      </w:pPr>
      <w:r>
        <w:rPr>
          <w:rFonts w:ascii="Arial" w:hAnsi="Arial" w:cs="Arial"/>
          <w:sz w:val="24"/>
          <w:szCs w:val="24"/>
        </w:rPr>
        <w:t>A</w:t>
      </w:r>
      <w:r w:rsidRPr="001F6C8F">
        <w:rPr>
          <w:rFonts w:ascii="Arial" w:hAnsi="Arial" w:cs="Arial"/>
          <w:sz w:val="24"/>
          <w:szCs w:val="24"/>
        </w:rPr>
        <w:t xml:space="preserve"> partir de la discusión desarrollada, y del análisis de las fuentes citadas</w:t>
      </w:r>
      <w:r>
        <w:rPr>
          <w:rFonts w:ascii="Arial" w:hAnsi="Arial" w:cs="Arial"/>
          <w:sz w:val="24"/>
          <w:szCs w:val="24"/>
        </w:rPr>
        <w:t xml:space="preserve"> s</w:t>
      </w:r>
      <w:r w:rsidRPr="001F6C8F">
        <w:rPr>
          <w:rFonts w:ascii="Arial" w:hAnsi="Arial" w:cs="Arial"/>
          <w:sz w:val="24"/>
          <w:szCs w:val="24"/>
        </w:rPr>
        <w:t xml:space="preserve">e </w:t>
      </w:r>
      <w:r>
        <w:rPr>
          <w:rFonts w:ascii="Arial" w:hAnsi="Arial" w:cs="Arial"/>
          <w:sz w:val="24"/>
          <w:szCs w:val="24"/>
        </w:rPr>
        <w:t>obtienen</w:t>
      </w:r>
      <w:r w:rsidRPr="001F6C8F">
        <w:rPr>
          <w:rFonts w:ascii="Arial" w:hAnsi="Arial" w:cs="Arial"/>
          <w:sz w:val="24"/>
          <w:szCs w:val="24"/>
        </w:rPr>
        <w:t xml:space="preserve"> las </w:t>
      </w:r>
      <w:r>
        <w:rPr>
          <w:rFonts w:ascii="Arial" w:hAnsi="Arial" w:cs="Arial"/>
          <w:sz w:val="24"/>
          <w:szCs w:val="24"/>
        </w:rPr>
        <w:t>siguientes conclusiones básicas:</w:t>
      </w:r>
    </w:p>
    <w:p w:rsidR="004C44CE" w:rsidRPr="00F83A8B" w:rsidRDefault="004C44CE" w:rsidP="004C44CE">
      <w:pPr>
        <w:tabs>
          <w:tab w:val="left" w:pos="0"/>
        </w:tabs>
        <w:spacing w:after="0" w:line="240" w:lineRule="auto"/>
        <w:ind w:firstLine="440"/>
        <w:jc w:val="both"/>
        <w:rPr>
          <w:rFonts w:ascii="Arial" w:hAnsi="Arial" w:cs="Arial"/>
          <w:sz w:val="24"/>
          <w:szCs w:val="24"/>
          <w:lang w:val="es-ES_tradnl"/>
        </w:rPr>
      </w:pPr>
      <w:r>
        <w:rPr>
          <w:rFonts w:ascii="Arial" w:hAnsi="Arial" w:cs="Arial"/>
          <w:sz w:val="24"/>
          <w:szCs w:val="24"/>
          <w:lang w:val="es-ES_tradnl"/>
        </w:rPr>
        <w:t xml:space="preserve">El proceso de </w:t>
      </w:r>
      <w:r w:rsidRPr="00393B4A">
        <w:rPr>
          <w:rFonts w:ascii="Arial" w:hAnsi="Arial" w:cs="Arial"/>
          <w:sz w:val="24"/>
          <w:szCs w:val="24"/>
          <w:lang w:val="es-ES_tradnl"/>
        </w:rPr>
        <w:t xml:space="preserve">gestión de la educación en valores </w:t>
      </w:r>
      <w:r w:rsidRPr="00393B4A">
        <w:rPr>
          <w:rFonts w:ascii="Arial" w:hAnsi="Arial" w:cs="Arial"/>
          <w:sz w:val="24"/>
          <w:szCs w:val="24"/>
        </w:rPr>
        <w:t>constituye un proceso esencial</w:t>
      </w:r>
      <w:r>
        <w:rPr>
          <w:rFonts w:ascii="Arial" w:hAnsi="Arial" w:cs="Arial"/>
          <w:sz w:val="24"/>
          <w:szCs w:val="24"/>
        </w:rPr>
        <w:t xml:space="preserve"> e</w:t>
      </w:r>
      <w:r w:rsidRPr="00393B4A">
        <w:rPr>
          <w:rFonts w:ascii="Arial" w:hAnsi="Arial" w:cs="Arial"/>
          <w:bCs/>
          <w:sz w:val="24"/>
          <w:szCs w:val="24"/>
        </w:rPr>
        <w:t xml:space="preserve"> </w:t>
      </w:r>
      <w:r w:rsidRPr="00393B4A">
        <w:rPr>
          <w:rFonts w:ascii="Arial" w:hAnsi="Arial" w:cs="Arial"/>
          <w:sz w:val="24"/>
          <w:szCs w:val="24"/>
        </w:rPr>
        <w:t xml:space="preserve">integrador </w:t>
      </w:r>
      <w:r w:rsidRPr="00393B4A">
        <w:rPr>
          <w:rFonts w:ascii="Arial" w:hAnsi="Arial" w:cs="Arial"/>
          <w:bCs/>
          <w:sz w:val="24"/>
          <w:szCs w:val="24"/>
        </w:rPr>
        <w:t xml:space="preserve">en torno a la </w:t>
      </w:r>
      <w:r w:rsidRPr="00393B4A">
        <w:rPr>
          <w:rFonts w:ascii="Arial" w:hAnsi="Arial" w:cs="Arial"/>
          <w:sz w:val="24"/>
          <w:szCs w:val="24"/>
        </w:rPr>
        <w:t>necesidad de una formación integral de la personalidad del estudiante. Sus</w:t>
      </w:r>
      <w:r w:rsidRPr="00393B4A">
        <w:rPr>
          <w:rFonts w:ascii="Arial" w:hAnsi="Arial" w:cs="Arial"/>
          <w:sz w:val="24"/>
          <w:szCs w:val="24"/>
          <w:lang w:val="es-ES_tradnl"/>
        </w:rPr>
        <w:t xml:space="preserve"> insuficiencias se reflejan en la preparación de los profesores para acometer la tarea</w:t>
      </w:r>
      <w:r>
        <w:rPr>
          <w:rFonts w:ascii="Arial" w:hAnsi="Arial" w:cs="Arial"/>
          <w:sz w:val="24"/>
          <w:szCs w:val="24"/>
          <w:lang w:val="es-ES_tradnl"/>
        </w:rPr>
        <w:t xml:space="preserve">, esta </w:t>
      </w:r>
      <w:r w:rsidRPr="00393B4A">
        <w:rPr>
          <w:rFonts w:ascii="Arial" w:hAnsi="Arial" w:cs="Arial"/>
          <w:sz w:val="24"/>
          <w:szCs w:val="24"/>
        </w:rPr>
        <w:t>debe estar soportada</w:t>
      </w:r>
      <w:r>
        <w:rPr>
          <w:rFonts w:ascii="Arial" w:hAnsi="Arial" w:cs="Arial"/>
          <w:sz w:val="24"/>
          <w:szCs w:val="24"/>
        </w:rPr>
        <w:t>,</w:t>
      </w:r>
      <w:r w:rsidRPr="00393B4A">
        <w:rPr>
          <w:rFonts w:ascii="Arial" w:hAnsi="Arial" w:cs="Arial"/>
          <w:sz w:val="24"/>
          <w:szCs w:val="24"/>
        </w:rPr>
        <w:t xml:space="preserve"> por el trabajo metodológico mediante la articulación de un plan </w:t>
      </w:r>
      <w:r>
        <w:rPr>
          <w:rFonts w:ascii="Arial" w:hAnsi="Arial" w:cs="Arial"/>
          <w:sz w:val="24"/>
          <w:szCs w:val="24"/>
        </w:rPr>
        <w:t>en el</w:t>
      </w:r>
      <w:r w:rsidRPr="00393B4A">
        <w:rPr>
          <w:rFonts w:ascii="Arial" w:hAnsi="Arial" w:cs="Arial"/>
          <w:sz w:val="24"/>
          <w:szCs w:val="24"/>
        </w:rPr>
        <w:t xml:space="preserve"> año académico, como célula esencial y f</w:t>
      </w:r>
      <w:r>
        <w:rPr>
          <w:rFonts w:ascii="Arial" w:hAnsi="Arial" w:cs="Arial"/>
          <w:sz w:val="24"/>
          <w:szCs w:val="24"/>
        </w:rPr>
        <w:t xml:space="preserve">orma de gestión de la didáctica, </w:t>
      </w:r>
      <w:r w:rsidRPr="00821C49">
        <w:rPr>
          <w:rFonts w:ascii="Arial" w:hAnsi="Arial" w:cs="Arial"/>
          <w:sz w:val="24"/>
          <w:szCs w:val="24"/>
        </w:rPr>
        <w:t>y</w:t>
      </w:r>
      <w:r w:rsidRPr="00F83A8B">
        <w:rPr>
          <w:rFonts w:ascii="Arial" w:hAnsi="Arial" w:cs="Arial"/>
          <w:sz w:val="24"/>
          <w:szCs w:val="24"/>
        </w:rPr>
        <w:t xml:space="preserve"> de preparación del profesor universitario.</w:t>
      </w:r>
    </w:p>
    <w:p w:rsidR="004C44CE" w:rsidRPr="00540F8E" w:rsidRDefault="004C44CE" w:rsidP="004C44CE">
      <w:pPr>
        <w:tabs>
          <w:tab w:val="left" w:pos="0"/>
        </w:tabs>
        <w:spacing w:after="0" w:line="240" w:lineRule="auto"/>
        <w:ind w:firstLine="440"/>
        <w:jc w:val="both"/>
        <w:rPr>
          <w:rFonts w:ascii="Arial" w:hAnsi="Arial" w:cs="Arial"/>
          <w:sz w:val="24"/>
          <w:szCs w:val="24"/>
          <w:lang w:val="es-ES_tradnl"/>
        </w:rPr>
      </w:pPr>
      <w:r w:rsidRPr="00F83A8B">
        <w:rPr>
          <w:rFonts w:ascii="Arial" w:hAnsi="Arial" w:cs="Arial"/>
          <w:sz w:val="24"/>
          <w:szCs w:val="24"/>
        </w:rPr>
        <w:t>La gest</w:t>
      </w:r>
      <w:r>
        <w:rPr>
          <w:rFonts w:ascii="Arial" w:hAnsi="Arial" w:cs="Arial"/>
          <w:sz w:val="24"/>
          <w:szCs w:val="24"/>
        </w:rPr>
        <w:t>ión de la educación en valores d</w:t>
      </w:r>
      <w:r w:rsidRPr="00F83A8B">
        <w:rPr>
          <w:rFonts w:ascii="Arial" w:hAnsi="Arial" w:cs="Arial"/>
          <w:sz w:val="24"/>
          <w:szCs w:val="24"/>
        </w:rPr>
        <w:t xml:space="preserve">el año académico se concreta mediante la estrategia educativa, documento rector </w:t>
      </w:r>
      <w:r>
        <w:rPr>
          <w:rFonts w:ascii="Arial" w:hAnsi="Arial" w:cs="Arial"/>
          <w:sz w:val="24"/>
          <w:szCs w:val="24"/>
        </w:rPr>
        <w:t>cuyo</w:t>
      </w:r>
      <w:r w:rsidRPr="00F83A8B">
        <w:rPr>
          <w:rFonts w:ascii="Arial" w:hAnsi="Arial" w:cs="Arial"/>
          <w:sz w:val="24"/>
          <w:szCs w:val="24"/>
        </w:rPr>
        <w:t xml:space="preserve"> punto de partida </w:t>
      </w:r>
      <w:r>
        <w:rPr>
          <w:rFonts w:ascii="Arial" w:hAnsi="Arial" w:cs="Arial"/>
          <w:sz w:val="24"/>
          <w:szCs w:val="24"/>
        </w:rPr>
        <w:t xml:space="preserve">debe ser </w:t>
      </w:r>
      <w:r w:rsidRPr="00F83A8B">
        <w:rPr>
          <w:rFonts w:ascii="Arial" w:hAnsi="Arial" w:cs="Arial"/>
          <w:sz w:val="24"/>
          <w:szCs w:val="24"/>
        </w:rPr>
        <w:t>el diagnóstico integral de es</w:t>
      </w:r>
      <w:r>
        <w:rPr>
          <w:rFonts w:ascii="Arial" w:hAnsi="Arial" w:cs="Arial"/>
          <w:sz w:val="24"/>
          <w:szCs w:val="24"/>
        </w:rPr>
        <w:t>tudiantes, profesores y proceso; que</w:t>
      </w:r>
      <w:r w:rsidRPr="00F83A8B">
        <w:rPr>
          <w:rFonts w:ascii="Arial" w:hAnsi="Arial" w:cs="Arial"/>
          <w:sz w:val="24"/>
          <w:szCs w:val="24"/>
        </w:rPr>
        <w:t xml:space="preserve"> incluye la gestión del trabajo metodológico, el proyecto educativo con sus dimensiones o esferas de influencias y la gestión de las acciones de comunicación.</w:t>
      </w:r>
    </w:p>
    <w:p w:rsidR="004C44CE" w:rsidRDefault="004C44CE" w:rsidP="004C44CE">
      <w:pPr>
        <w:tabs>
          <w:tab w:val="left" w:pos="9356"/>
        </w:tabs>
        <w:spacing w:after="0" w:line="240" w:lineRule="auto"/>
        <w:ind w:right="335"/>
        <w:rPr>
          <w:rFonts w:ascii="Arial" w:hAnsi="Arial" w:cs="Arial"/>
          <w:sz w:val="24"/>
          <w:szCs w:val="24"/>
          <w:lang w:val="es-ES_tradnl"/>
        </w:rPr>
      </w:pPr>
    </w:p>
    <w:p w:rsidR="004C44CE" w:rsidRPr="00776774" w:rsidRDefault="004C44CE" w:rsidP="004C44CE">
      <w:pPr>
        <w:pStyle w:val="1Titulo"/>
        <w:numPr>
          <w:ilvl w:val="0"/>
          <w:numId w:val="0"/>
        </w:numPr>
        <w:ind w:left="357"/>
        <w:rPr>
          <w:lang w:val="en-US"/>
        </w:rPr>
      </w:pPr>
      <w:bookmarkStart w:id="388" w:name="_Toc50031435"/>
      <w:r w:rsidRPr="00776774">
        <w:rPr>
          <w:lang w:val="en-US"/>
        </w:rPr>
        <w:t>6. Bibliografía</w:t>
      </w:r>
      <w:bookmarkEnd w:id="388"/>
      <w:r w:rsidRPr="00776774">
        <w:rPr>
          <w:lang w:val="en-US"/>
        </w:rPr>
        <w:t xml:space="preserve"> </w:t>
      </w:r>
    </w:p>
    <w:p w:rsidR="004C44CE" w:rsidRPr="00786218" w:rsidRDefault="004C44CE" w:rsidP="004C44CE">
      <w:pPr>
        <w:tabs>
          <w:tab w:val="left" w:pos="9356"/>
        </w:tabs>
        <w:spacing w:after="0" w:line="240" w:lineRule="auto"/>
        <w:ind w:left="770" w:right="335" w:hanging="440"/>
        <w:jc w:val="both"/>
        <w:rPr>
          <w:rFonts w:ascii="Arial" w:hAnsi="Arial" w:cs="Arial"/>
          <w:sz w:val="24"/>
          <w:szCs w:val="24"/>
        </w:rPr>
      </w:pPr>
      <w:r>
        <w:rPr>
          <w:rFonts w:ascii="Arial" w:hAnsi="Arial" w:cs="Arial"/>
          <w:sz w:val="24"/>
          <w:szCs w:val="24"/>
          <w:lang w:val="en-US"/>
        </w:rPr>
        <w:t xml:space="preserve">1.  </w:t>
      </w:r>
      <w:r w:rsidRPr="00411BBC">
        <w:rPr>
          <w:rFonts w:ascii="Arial" w:hAnsi="Arial" w:cs="Arial"/>
          <w:sz w:val="24"/>
          <w:szCs w:val="24"/>
          <w:lang w:val="en-US"/>
        </w:rPr>
        <w:t>Ackerman, E. “From De-contextualized to Situated Knowledge: Revisiting Piaget´s Water-Level Experiment”. pp. 367-379</w:t>
      </w:r>
      <w:r>
        <w:rPr>
          <w:rFonts w:ascii="Arial" w:hAnsi="Arial" w:cs="Arial"/>
          <w:sz w:val="24"/>
          <w:szCs w:val="24"/>
          <w:lang w:val="en-US"/>
        </w:rPr>
        <w:t xml:space="preserve">, </w:t>
      </w:r>
      <w:r w:rsidRPr="00411BBC">
        <w:rPr>
          <w:rFonts w:ascii="Arial" w:hAnsi="Arial" w:cs="Arial"/>
          <w:sz w:val="24"/>
          <w:szCs w:val="24"/>
          <w:lang w:val="en-US"/>
        </w:rPr>
        <w:t>En Constructionism</w:t>
      </w:r>
      <w:r>
        <w:rPr>
          <w:rFonts w:ascii="Arial" w:hAnsi="Arial" w:cs="Arial"/>
          <w:sz w:val="24"/>
          <w:szCs w:val="24"/>
          <w:lang w:val="en-US"/>
        </w:rPr>
        <w:t xml:space="preserve">. </w:t>
      </w:r>
      <w:r w:rsidRPr="00786218">
        <w:rPr>
          <w:rFonts w:ascii="Arial" w:hAnsi="Arial" w:cs="Arial"/>
          <w:sz w:val="24"/>
          <w:szCs w:val="24"/>
        </w:rPr>
        <w:t>Ablex Publishing Corporation, 1991.</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sidRPr="00411BBC">
        <w:rPr>
          <w:rFonts w:ascii="Arial" w:hAnsi="Arial" w:cs="Arial"/>
          <w:sz w:val="24"/>
          <w:szCs w:val="24"/>
        </w:rPr>
        <w:t>2.   Obaya, A.</w:t>
      </w:r>
      <w:r>
        <w:rPr>
          <w:rFonts w:ascii="Arial" w:hAnsi="Arial" w:cs="Arial"/>
          <w:sz w:val="24"/>
          <w:szCs w:val="24"/>
        </w:rPr>
        <w:t>,</w:t>
      </w:r>
      <w:r w:rsidRPr="00411BBC">
        <w:rPr>
          <w:rFonts w:ascii="Arial" w:hAnsi="Arial" w:cs="Arial"/>
          <w:sz w:val="24"/>
          <w:szCs w:val="24"/>
        </w:rPr>
        <w:t xml:space="preserve"> El construccionismo y sus repercusiones en el aprendizaje asistido por computadora. Contactos. </w:t>
      </w:r>
      <w:r>
        <w:rPr>
          <w:rFonts w:ascii="Arial" w:hAnsi="Arial" w:cs="Arial"/>
          <w:sz w:val="24"/>
          <w:szCs w:val="24"/>
        </w:rPr>
        <w:t xml:space="preserve">V. </w:t>
      </w:r>
      <w:r w:rsidRPr="00411BBC">
        <w:rPr>
          <w:rFonts w:ascii="Arial" w:hAnsi="Arial" w:cs="Arial"/>
          <w:sz w:val="24"/>
          <w:szCs w:val="24"/>
        </w:rPr>
        <w:t>48,</w:t>
      </w:r>
      <w:r>
        <w:rPr>
          <w:rFonts w:ascii="Arial" w:hAnsi="Arial" w:cs="Arial"/>
          <w:sz w:val="24"/>
          <w:szCs w:val="24"/>
        </w:rPr>
        <w:t xml:space="preserve"> </w:t>
      </w:r>
      <w:r w:rsidRPr="00411BBC">
        <w:rPr>
          <w:rFonts w:ascii="Arial" w:hAnsi="Arial" w:cs="Arial"/>
          <w:sz w:val="24"/>
          <w:szCs w:val="24"/>
        </w:rPr>
        <w:t>61-64</w:t>
      </w:r>
      <w:r>
        <w:rPr>
          <w:rFonts w:ascii="Arial" w:hAnsi="Arial" w:cs="Arial"/>
          <w:sz w:val="24"/>
          <w:szCs w:val="24"/>
        </w:rPr>
        <w:t xml:space="preserve"> (2003).</w:t>
      </w:r>
      <w:r w:rsidRPr="00411BBC">
        <w:rPr>
          <w:rFonts w:ascii="Arial" w:hAnsi="Arial" w:cs="Arial"/>
          <w:sz w:val="24"/>
          <w:szCs w:val="24"/>
        </w:rPr>
        <w:t xml:space="preserve"> </w:t>
      </w:r>
    </w:p>
    <w:p w:rsidR="004C44CE" w:rsidRDefault="004C44CE" w:rsidP="004C44CE">
      <w:pPr>
        <w:tabs>
          <w:tab w:val="left" w:pos="9356"/>
        </w:tabs>
        <w:spacing w:after="0" w:line="240" w:lineRule="auto"/>
        <w:ind w:left="770" w:right="335" w:hanging="440"/>
        <w:jc w:val="both"/>
        <w:rPr>
          <w:rFonts w:ascii="Arial" w:hAnsi="Arial" w:cs="Arial"/>
          <w:sz w:val="24"/>
          <w:szCs w:val="24"/>
        </w:rPr>
      </w:pPr>
      <w:r w:rsidRPr="00411BBC">
        <w:rPr>
          <w:rFonts w:ascii="Arial" w:hAnsi="Arial" w:cs="Arial"/>
          <w:sz w:val="24"/>
          <w:szCs w:val="24"/>
        </w:rPr>
        <w:t>3.</w:t>
      </w:r>
      <w:r>
        <w:rPr>
          <w:rFonts w:ascii="Arial" w:hAnsi="Arial" w:cs="Arial"/>
          <w:sz w:val="24"/>
          <w:szCs w:val="24"/>
        </w:rPr>
        <w:t xml:space="preserve">  </w:t>
      </w:r>
      <w:r w:rsidRPr="00F93B96">
        <w:rPr>
          <w:rFonts w:ascii="Arial" w:hAnsi="Arial" w:cs="Arial"/>
          <w:sz w:val="24"/>
          <w:szCs w:val="24"/>
        </w:rPr>
        <w:t xml:space="preserve">Valera, O, Estudio crítico de las principales corrientes de </w:t>
      </w:r>
      <w:smartTag w:uri="urn:schemas-microsoft-com:office:smarttags" w:element="PersonName">
        <w:smartTagPr>
          <w:attr w:name="ProductID" w:val="la Psicolog￭a"/>
        </w:smartTagPr>
        <w:r w:rsidRPr="00F93B96">
          <w:rPr>
            <w:rFonts w:ascii="Arial" w:hAnsi="Arial" w:cs="Arial"/>
            <w:sz w:val="24"/>
            <w:szCs w:val="24"/>
          </w:rPr>
          <w:t>la Psicología</w:t>
        </w:r>
      </w:smartTag>
      <w:r w:rsidRPr="00F93B96">
        <w:rPr>
          <w:rFonts w:ascii="Arial" w:hAnsi="Arial" w:cs="Arial"/>
          <w:sz w:val="24"/>
          <w:szCs w:val="24"/>
        </w:rPr>
        <w:t xml:space="preserve"> contemporánea, Zuamer Editores, 1995.</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Pr>
          <w:rFonts w:ascii="Arial" w:hAnsi="Arial" w:cs="Arial"/>
          <w:sz w:val="24"/>
          <w:szCs w:val="24"/>
        </w:rPr>
        <w:t xml:space="preserve">4.  </w:t>
      </w:r>
      <w:r w:rsidRPr="00411BBC">
        <w:rPr>
          <w:rFonts w:ascii="Arial" w:hAnsi="Arial" w:cs="Arial"/>
          <w:sz w:val="24"/>
          <w:szCs w:val="24"/>
        </w:rPr>
        <w:t>Freudenthal, H.</w:t>
      </w:r>
      <w:r>
        <w:rPr>
          <w:rFonts w:ascii="Arial" w:hAnsi="Arial" w:cs="Arial"/>
          <w:sz w:val="24"/>
          <w:szCs w:val="24"/>
        </w:rPr>
        <w:t>,</w:t>
      </w:r>
      <w:r w:rsidRPr="00411BBC">
        <w:rPr>
          <w:rFonts w:ascii="Arial" w:hAnsi="Arial" w:cs="Arial"/>
          <w:sz w:val="24"/>
          <w:szCs w:val="24"/>
        </w:rPr>
        <w:t xml:space="preserve"> Problemas fundamentales de la educación matemática. Contactos. </w:t>
      </w:r>
      <w:r>
        <w:rPr>
          <w:rFonts w:ascii="Arial" w:hAnsi="Arial" w:cs="Arial"/>
          <w:sz w:val="24"/>
          <w:szCs w:val="24"/>
        </w:rPr>
        <w:t>V.</w:t>
      </w:r>
      <w:r w:rsidRPr="00411BBC">
        <w:rPr>
          <w:rFonts w:ascii="Arial" w:hAnsi="Arial" w:cs="Arial"/>
          <w:sz w:val="24"/>
          <w:szCs w:val="24"/>
        </w:rPr>
        <w:t xml:space="preserve"> 42, 11-22</w:t>
      </w:r>
      <w:r>
        <w:rPr>
          <w:rFonts w:ascii="Arial" w:hAnsi="Arial" w:cs="Arial"/>
          <w:sz w:val="24"/>
          <w:szCs w:val="24"/>
        </w:rPr>
        <w:t xml:space="preserve"> </w:t>
      </w:r>
      <w:r w:rsidRPr="00411BBC">
        <w:rPr>
          <w:rFonts w:ascii="Arial" w:hAnsi="Arial" w:cs="Arial"/>
          <w:sz w:val="24"/>
          <w:szCs w:val="24"/>
        </w:rPr>
        <w:t>(2001).</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sidRPr="00411BBC">
        <w:rPr>
          <w:rFonts w:ascii="Arial" w:hAnsi="Arial" w:cs="Arial"/>
          <w:sz w:val="24"/>
          <w:szCs w:val="24"/>
        </w:rPr>
        <w:t xml:space="preserve">5.  </w:t>
      </w:r>
      <w:r>
        <w:rPr>
          <w:rFonts w:ascii="Arial" w:hAnsi="Arial" w:cs="Arial"/>
          <w:sz w:val="24"/>
          <w:szCs w:val="24"/>
        </w:rPr>
        <w:t xml:space="preserve"> </w:t>
      </w:r>
      <w:r w:rsidRPr="00411BBC">
        <w:rPr>
          <w:rFonts w:ascii="Arial" w:hAnsi="Arial" w:cs="Arial"/>
          <w:sz w:val="24"/>
          <w:szCs w:val="24"/>
        </w:rPr>
        <w:t>Colectivo de autores</w:t>
      </w:r>
      <w:r>
        <w:rPr>
          <w:rFonts w:ascii="Arial" w:hAnsi="Arial" w:cs="Arial"/>
          <w:sz w:val="24"/>
          <w:szCs w:val="24"/>
        </w:rPr>
        <w:t>,</w:t>
      </w:r>
      <w:r w:rsidRPr="00411BBC">
        <w:rPr>
          <w:rFonts w:ascii="Arial" w:hAnsi="Arial" w:cs="Arial"/>
          <w:sz w:val="24"/>
          <w:szCs w:val="24"/>
        </w:rPr>
        <w:t xml:space="preserve"> Pedagogía. Pueblo y Educación</w:t>
      </w:r>
      <w:r>
        <w:rPr>
          <w:rFonts w:ascii="Arial" w:hAnsi="Arial" w:cs="Arial"/>
          <w:sz w:val="24"/>
          <w:szCs w:val="24"/>
        </w:rPr>
        <w:t>, 1984</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Pr>
          <w:rFonts w:ascii="Arial" w:hAnsi="Arial" w:cs="Arial"/>
          <w:sz w:val="24"/>
          <w:szCs w:val="24"/>
        </w:rPr>
        <w:t xml:space="preserve">6.  </w:t>
      </w:r>
      <w:r w:rsidRPr="00411BBC">
        <w:rPr>
          <w:rFonts w:ascii="Arial" w:hAnsi="Arial" w:cs="Arial"/>
          <w:sz w:val="24"/>
          <w:szCs w:val="24"/>
        </w:rPr>
        <w:t>Bla</w:t>
      </w:r>
      <w:r>
        <w:rPr>
          <w:rFonts w:ascii="Arial" w:hAnsi="Arial" w:cs="Arial"/>
          <w:sz w:val="24"/>
          <w:szCs w:val="24"/>
        </w:rPr>
        <w:t>nco Pérez, A</w:t>
      </w:r>
      <w:r w:rsidRPr="00411BBC">
        <w:rPr>
          <w:rFonts w:ascii="Arial" w:hAnsi="Arial" w:cs="Arial"/>
          <w:sz w:val="24"/>
          <w:szCs w:val="24"/>
        </w:rPr>
        <w:t>.</w:t>
      </w:r>
      <w:r>
        <w:rPr>
          <w:rFonts w:ascii="Arial" w:hAnsi="Arial" w:cs="Arial"/>
          <w:sz w:val="24"/>
          <w:szCs w:val="24"/>
        </w:rPr>
        <w:t>,</w:t>
      </w:r>
      <w:r w:rsidRPr="00411BBC">
        <w:rPr>
          <w:rFonts w:ascii="Arial" w:hAnsi="Arial" w:cs="Arial"/>
          <w:sz w:val="24"/>
          <w:szCs w:val="24"/>
        </w:rPr>
        <w:t xml:space="preserve"> Introducción a </w:t>
      </w:r>
      <w:smartTag w:uri="urn:schemas-microsoft-com:office:smarttags" w:element="PersonName">
        <w:smartTagPr>
          <w:attr w:name="ProductID" w:val="la Sociolog￭a"/>
        </w:smartTagPr>
        <w:r w:rsidRPr="00411BBC">
          <w:rPr>
            <w:rFonts w:ascii="Arial" w:hAnsi="Arial" w:cs="Arial"/>
            <w:sz w:val="24"/>
            <w:szCs w:val="24"/>
          </w:rPr>
          <w:t>la Sociología</w:t>
        </w:r>
      </w:smartTag>
      <w:r w:rsidRPr="00411BBC">
        <w:rPr>
          <w:rFonts w:ascii="Arial" w:hAnsi="Arial" w:cs="Arial"/>
          <w:sz w:val="24"/>
          <w:szCs w:val="24"/>
        </w:rPr>
        <w:t xml:space="preserve"> de la educación. Pueblo y Educación</w:t>
      </w:r>
      <w:r>
        <w:rPr>
          <w:rFonts w:ascii="Arial" w:hAnsi="Arial" w:cs="Arial"/>
          <w:sz w:val="24"/>
          <w:szCs w:val="24"/>
        </w:rPr>
        <w:t>, 2001.</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Pr>
          <w:rFonts w:ascii="Arial" w:hAnsi="Arial" w:cs="Arial"/>
          <w:sz w:val="24"/>
          <w:szCs w:val="24"/>
        </w:rPr>
        <w:t xml:space="preserve">7.   </w:t>
      </w:r>
      <w:r w:rsidRPr="00411BBC">
        <w:rPr>
          <w:rFonts w:ascii="Arial" w:hAnsi="Arial" w:cs="Arial"/>
          <w:sz w:val="24"/>
          <w:szCs w:val="24"/>
        </w:rPr>
        <w:t>Ayala, M. D.</w:t>
      </w:r>
      <w:r>
        <w:rPr>
          <w:rFonts w:ascii="Arial" w:hAnsi="Arial" w:cs="Arial"/>
          <w:sz w:val="24"/>
          <w:szCs w:val="24"/>
        </w:rPr>
        <w:t>,</w:t>
      </w:r>
      <w:r w:rsidRPr="00411BBC">
        <w:rPr>
          <w:rFonts w:ascii="Arial" w:hAnsi="Arial" w:cs="Arial"/>
          <w:sz w:val="24"/>
          <w:szCs w:val="24"/>
        </w:rPr>
        <w:t xml:space="preserve"> En busca del método para mejorar el aprendizaje y la enseñanza (experimental)</w:t>
      </w:r>
      <w:r>
        <w:rPr>
          <w:rFonts w:ascii="Arial" w:hAnsi="Arial" w:cs="Arial"/>
          <w:sz w:val="24"/>
          <w:szCs w:val="24"/>
        </w:rPr>
        <w:t xml:space="preserve"> Parte I,</w:t>
      </w:r>
      <w:r w:rsidRPr="00411BBC">
        <w:rPr>
          <w:rFonts w:ascii="Arial" w:hAnsi="Arial" w:cs="Arial"/>
          <w:sz w:val="24"/>
          <w:szCs w:val="24"/>
        </w:rPr>
        <w:t xml:space="preserve"> Contactos. </w:t>
      </w:r>
      <w:r>
        <w:rPr>
          <w:rFonts w:ascii="Arial" w:hAnsi="Arial" w:cs="Arial"/>
          <w:sz w:val="24"/>
          <w:szCs w:val="24"/>
        </w:rPr>
        <w:t xml:space="preserve">V. </w:t>
      </w:r>
      <w:r w:rsidRPr="00411BBC">
        <w:rPr>
          <w:rFonts w:ascii="Arial" w:hAnsi="Arial" w:cs="Arial"/>
          <w:sz w:val="24"/>
          <w:szCs w:val="24"/>
        </w:rPr>
        <w:t>41</w:t>
      </w:r>
      <w:r>
        <w:rPr>
          <w:rFonts w:ascii="Arial" w:hAnsi="Arial" w:cs="Arial"/>
          <w:sz w:val="24"/>
          <w:szCs w:val="24"/>
        </w:rPr>
        <w:t xml:space="preserve">, 30-44 </w:t>
      </w:r>
      <w:r w:rsidRPr="00411BBC">
        <w:rPr>
          <w:rFonts w:ascii="Arial" w:hAnsi="Arial" w:cs="Arial"/>
          <w:sz w:val="24"/>
          <w:szCs w:val="24"/>
        </w:rPr>
        <w:t>(2001).</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bdr w:val="none" w:sz="0" w:space="0" w:color="auto" w:frame="1"/>
        </w:rPr>
      </w:pPr>
      <w:r>
        <w:rPr>
          <w:rFonts w:ascii="Arial" w:hAnsi="Arial" w:cs="Arial"/>
          <w:sz w:val="24"/>
          <w:szCs w:val="24"/>
        </w:rPr>
        <w:t xml:space="preserve">8.  </w:t>
      </w:r>
      <w:r w:rsidRPr="00411BBC">
        <w:rPr>
          <w:rFonts w:ascii="Arial" w:hAnsi="Arial" w:cs="Arial"/>
          <w:sz w:val="24"/>
          <w:szCs w:val="24"/>
        </w:rPr>
        <w:t>Brezinka, W.</w:t>
      </w:r>
      <w:r>
        <w:rPr>
          <w:rFonts w:ascii="Arial" w:hAnsi="Arial" w:cs="Arial"/>
          <w:sz w:val="24"/>
          <w:szCs w:val="24"/>
        </w:rPr>
        <w:t>,</w:t>
      </w:r>
      <w:r w:rsidRPr="00411BBC">
        <w:rPr>
          <w:rFonts w:ascii="Arial" w:hAnsi="Arial" w:cs="Arial"/>
          <w:sz w:val="24"/>
          <w:szCs w:val="24"/>
        </w:rPr>
        <w:t xml:space="preserve"> La educación en una sociedad en crisis. </w:t>
      </w:r>
      <w:r w:rsidRPr="00411BBC">
        <w:rPr>
          <w:rFonts w:ascii="Arial" w:hAnsi="Arial" w:cs="Arial"/>
          <w:sz w:val="24"/>
          <w:szCs w:val="24"/>
          <w:bdr w:val="none" w:sz="0" w:space="0" w:color="auto" w:frame="1"/>
        </w:rPr>
        <w:t xml:space="preserve">Narcea, S.A. de Ediciones, </w:t>
      </w:r>
      <w:r>
        <w:rPr>
          <w:rFonts w:ascii="Arial" w:hAnsi="Arial" w:cs="Arial"/>
          <w:sz w:val="24"/>
          <w:szCs w:val="24"/>
          <w:bdr w:val="none" w:sz="0" w:space="0" w:color="auto" w:frame="1"/>
        </w:rPr>
        <w:t>1990</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Pr>
          <w:rFonts w:ascii="Arial" w:hAnsi="Arial" w:cs="Arial"/>
          <w:sz w:val="24"/>
          <w:szCs w:val="24"/>
        </w:rPr>
        <w:t>9.  Chacón, N.,</w:t>
      </w:r>
      <w:r w:rsidRPr="00411BBC">
        <w:rPr>
          <w:rFonts w:ascii="Arial" w:hAnsi="Arial" w:cs="Arial"/>
          <w:sz w:val="24"/>
          <w:szCs w:val="24"/>
        </w:rPr>
        <w:t xml:space="preserve"> Dimensión Ética de </w:t>
      </w:r>
      <w:smartTag w:uri="urn:schemas-microsoft-com:office:smarttags" w:element="PersonName">
        <w:smartTagPr>
          <w:attr w:name="ProductID" w:val="la Educaci￳n Cubana."/>
        </w:smartTagPr>
        <w:r w:rsidRPr="00411BBC">
          <w:rPr>
            <w:rFonts w:ascii="Arial" w:hAnsi="Arial" w:cs="Arial"/>
            <w:sz w:val="24"/>
            <w:szCs w:val="24"/>
          </w:rPr>
          <w:t>la Educación Cubana.</w:t>
        </w:r>
      </w:smartTag>
      <w:r w:rsidRPr="00411BBC">
        <w:rPr>
          <w:rFonts w:ascii="Arial" w:hAnsi="Arial" w:cs="Arial"/>
          <w:sz w:val="24"/>
          <w:szCs w:val="24"/>
        </w:rPr>
        <w:t xml:space="preserve"> Pueblo y Educación</w:t>
      </w:r>
      <w:r>
        <w:rPr>
          <w:rFonts w:ascii="Arial" w:hAnsi="Arial" w:cs="Arial"/>
          <w:sz w:val="24"/>
          <w:szCs w:val="24"/>
        </w:rPr>
        <w:t>, 2002</w:t>
      </w:r>
      <w:r w:rsidRPr="00411BBC">
        <w:rPr>
          <w:rFonts w:ascii="Arial" w:hAnsi="Arial" w:cs="Arial"/>
          <w:sz w:val="24"/>
          <w:szCs w:val="24"/>
        </w:rPr>
        <w:t>.</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sidRPr="00411BBC">
        <w:rPr>
          <w:rFonts w:ascii="Arial" w:hAnsi="Arial" w:cs="Arial"/>
          <w:sz w:val="24"/>
          <w:szCs w:val="24"/>
        </w:rPr>
        <w:t xml:space="preserve">10. </w:t>
      </w:r>
      <w:r>
        <w:rPr>
          <w:rFonts w:ascii="Arial" w:hAnsi="Arial" w:cs="Arial"/>
          <w:sz w:val="24"/>
          <w:szCs w:val="24"/>
        </w:rPr>
        <w:t>Colectivo de autores,</w:t>
      </w:r>
      <w:r w:rsidRPr="00411BBC">
        <w:rPr>
          <w:rFonts w:ascii="Arial" w:hAnsi="Arial" w:cs="Arial"/>
          <w:sz w:val="24"/>
          <w:szCs w:val="24"/>
        </w:rPr>
        <w:t xml:space="preserve"> ”El trabajo educativo en la institución escolar”</w:t>
      </w:r>
      <w:r>
        <w:rPr>
          <w:rFonts w:ascii="Arial" w:hAnsi="Arial" w:cs="Arial"/>
          <w:sz w:val="24"/>
          <w:szCs w:val="24"/>
        </w:rPr>
        <w:t xml:space="preserve">, Capítulo 1, </w:t>
      </w:r>
      <w:r w:rsidRPr="00411BBC">
        <w:rPr>
          <w:rFonts w:ascii="Arial" w:hAnsi="Arial" w:cs="Arial"/>
          <w:sz w:val="24"/>
          <w:szCs w:val="24"/>
        </w:rPr>
        <w:t xml:space="preserve">La labor educativa en la escuela. </w:t>
      </w:r>
      <w:r>
        <w:rPr>
          <w:rFonts w:ascii="Arial" w:hAnsi="Arial" w:cs="Arial"/>
          <w:sz w:val="24"/>
          <w:szCs w:val="24"/>
        </w:rPr>
        <w:t>Pueblo y  Educación, 2002</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sidRPr="00411BBC">
        <w:rPr>
          <w:rFonts w:ascii="Arial" w:hAnsi="Arial" w:cs="Arial"/>
          <w:sz w:val="24"/>
          <w:szCs w:val="24"/>
        </w:rPr>
        <w:t>11. Parra, J. M.</w:t>
      </w:r>
      <w:r>
        <w:rPr>
          <w:rFonts w:ascii="Arial" w:hAnsi="Arial" w:cs="Arial"/>
          <w:sz w:val="24"/>
          <w:szCs w:val="24"/>
        </w:rPr>
        <w:t>,</w:t>
      </w:r>
      <w:r w:rsidRPr="00411BBC">
        <w:rPr>
          <w:rFonts w:ascii="Arial" w:hAnsi="Arial" w:cs="Arial"/>
          <w:sz w:val="24"/>
          <w:szCs w:val="24"/>
        </w:rPr>
        <w:t xml:space="preserve"> La educación en valores y su práctica en el aula. Tendencias Pedagógicas 8</w:t>
      </w:r>
      <w:r>
        <w:rPr>
          <w:rFonts w:ascii="Arial" w:hAnsi="Arial" w:cs="Arial"/>
          <w:sz w:val="24"/>
          <w:szCs w:val="24"/>
        </w:rPr>
        <w:t>,</w:t>
      </w:r>
      <w:r w:rsidRPr="00411BBC">
        <w:rPr>
          <w:rFonts w:ascii="Arial" w:hAnsi="Arial" w:cs="Arial"/>
          <w:sz w:val="24"/>
          <w:szCs w:val="24"/>
        </w:rPr>
        <w:t xml:space="preserve">  69-88</w:t>
      </w:r>
      <w:r>
        <w:rPr>
          <w:rFonts w:ascii="Arial" w:hAnsi="Arial" w:cs="Arial"/>
          <w:sz w:val="24"/>
          <w:szCs w:val="24"/>
        </w:rPr>
        <w:t xml:space="preserve"> (2003).</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sidRPr="00411BBC">
        <w:rPr>
          <w:rFonts w:ascii="Arial" w:hAnsi="Arial" w:cs="Arial"/>
          <w:sz w:val="24"/>
          <w:szCs w:val="24"/>
        </w:rPr>
        <w:t>12  Báxter, E.</w:t>
      </w:r>
      <w:r>
        <w:rPr>
          <w:rFonts w:ascii="Arial" w:hAnsi="Arial" w:cs="Arial"/>
          <w:sz w:val="24"/>
          <w:szCs w:val="24"/>
        </w:rPr>
        <w:t>,</w:t>
      </w:r>
      <w:r w:rsidRPr="00411BBC">
        <w:rPr>
          <w:rFonts w:ascii="Arial" w:hAnsi="Arial" w:cs="Arial"/>
          <w:sz w:val="24"/>
          <w:szCs w:val="24"/>
        </w:rPr>
        <w:t xml:space="preserve"> Educar en valores. Tarea y reto de la sociedad. Ciudad de </w:t>
      </w:r>
      <w:smartTag w:uri="urn:schemas-microsoft-com:office:smarttags" w:element="PersonName">
        <w:smartTagPr>
          <w:attr w:name="ProductID" w:val="La Habana"/>
        </w:smartTagPr>
        <w:r w:rsidRPr="00411BBC">
          <w:rPr>
            <w:rFonts w:ascii="Arial" w:hAnsi="Arial" w:cs="Arial"/>
            <w:sz w:val="24"/>
            <w:szCs w:val="24"/>
          </w:rPr>
          <w:t>La Habana</w:t>
        </w:r>
      </w:smartTag>
      <w:r w:rsidRPr="00411BBC">
        <w:rPr>
          <w:rFonts w:ascii="Arial" w:hAnsi="Arial" w:cs="Arial"/>
          <w:sz w:val="24"/>
          <w:szCs w:val="24"/>
        </w:rPr>
        <w:t>: Pueblo y Educación</w:t>
      </w:r>
      <w:r>
        <w:rPr>
          <w:rFonts w:ascii="Arial" w:hAnsi="Arial" w:cs="Arial"/>
          <w:sz w:val="24"/>
          <w:szCs w:val="24"/>
        </w:rPr>
        <w:t>, 2007.</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Pr>
          <w:rFonts w:ascii="Arial" w:hAnsi="Arial" w:cs="Arial"/>
          <w:sz w:val="24"/>
          <w:szCs w:val="24"/>
        </w:rPr>
        <w:t xml:space="preserve">13. </w:t>
      </w:r>
      <w:r w:rsidRPr="00411BBC">
        <w:rPr>
          <w:rFonts w:ascii="Arial" w:hAnsi="Arial" w:cs="Arial"/>
          <w:sz w:val="24"/>
          <w:szCs w:val="24"/>
        </w:rPr>
        <w:t>Jaime, G. M.</w:t>
      </w:r>
      <w:r>
        <w:rPr>
          <w:rFonts w:ascii="Arial" w:hAnsi="Arial" w:cs="Arial"/>
          <w:sz w:val="24"/>
          <w:szCs w:val="24"/>
        </w:rPr>
        <w:t>,</w:t>
      </w:r>
      <w:r w:rsidRPr="00411BBC">
        <w:rPr>
          <w:rFonts w:ascii="Arial" w:hAnsi="Arial" w:cs="Arial"/>
          <w:sz w:val="24"/>
          <w:szCs w:val="24"/>
        </w:rPr>
        <w:t xml:space="preserve"> Una concepción pedagógica del proceso de gestión del trabajo educativo. Estrategia para su implementación en </w:t>
      </w:r>
      <w:smartTag w:uri="urn:schemas-microsoft-com:office:smarttags" w:element="PersonName">
        <w:smartTagPr>
          <w:attr w:name="ProductID" w:val="la Universidad"/>
        </w:smartTagPr>
        <w:r w:rsidRPr="00411BBC">
          <w:rPr>
            <w:rFonts w:ascii="Arial" w:hAnsi="Arial" w:cs="Arial"/>
            <w:sz w:val="24"/>
            <w:szCs w:val="24"/>
          </w:rPr>
          <w:t>la Universidad</w:t>
        </w:r>
      </w:smartTag>
      <w:r w:rsidRPr="00411BBC">
        <w:rPr>
          <w:rFonts w:ascii="Arial" w:hAnsi="Arial" w:cs="Arial"/>
          <w:sz w:val="24"/>
          <w:szCs w:val="24"/>
        </w:rPr>
        <w:t xml:space="preserve"> de Pinar del Río. Tesis, Doctorado en Ciencias Pedagógicas. Pinar del Río, Cuba: </w:t>
      </w:r>
      <w:r>
        <w:rPr>
          <w:rFonts w:ascii="Arial" w:hAnsi="Arial" w:cs="Arial"/>
          <w:sz w:val="24"/>
          <w:szCs w:val="24"/>
        </w:rPr>
        <w:t>2014.</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Pr>
          <w:rFonts w:ascii="Arial" w:hAnsi="Arial" w:cs="Arial"/>
          <w:sz w:val="24"/>
          <w:szCs w:val="24"/>
        </w:rPr>
        <w:t>14. Vigotsky, L. S.,</w:t>
      </w:r>
      <w:r w:rsidRPr="00411BBC">
        <w:rPr>
          <w:rFonts w:ascii="Arial" w:hAnsi="Arial" w:cs="Arial"/>
          <w:sz w:val="24"/>
          <w:szCs w:val="24"/>
        </w:rPr>
        <w:t xml:space="preserve"> Historia del Desarrollo de las Funciones Psíquicas Superiores. Científico –Técnica</w:t>
      </w:r>
      <w:r>
        <w:rPr>
          <w:rFonts w:ascii="Arial" w:hAnsi="Arial" w:cs="Arial"/>
          <w:sz w:val="24"/>
          <w:szCs w:val="24"/>
        </w:rPr>
        <w:t>, 1987.</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sidRPr="00411BBC">
        <w:rPr>
          <w:rFonts w:ascii="Arial" w:hAnsi="Arial" w:cs="Arial"/>
          <w:sz w:val="24"/>
          <w:szCs w:val="24"/>
        </w:rPr>
        <w:t>15.  Vigotsky, L. S.</w:t>
      </w:r>
      <w:r>
        <w:rPr>
          <w:rFonts w:ascii="Arial" w:hAnsi="Arial" w:cs="Arial"/>
          <w:sz w:val="24"/>
          <w:szCs w:val="24"/>
        </w:rPr>
        <w:t>,</w:t>
      </w:r>
      <w:r w:rsidRPr="00411BBC">
        <w:rPr>
          <w:rFonts w:ascii="Arial" w:hAnsi="Arial" w:cs="Arial"/>
          <w:sz w:val="24"/>
          <w:szCs w:val="24"/>
        </w:rPr>
        <w:t xml:space="preserve">  </w:t>
      </w:r>
      <w:r w:rsidRPr="00411BBC">
        <w:rPr>
          <w:rFonts w:ascii="Arial" w:hAnsi="Arial" w:cs="Arial"/>
          <w:iCs/>
          <w:sz w:val="24"/>
          <w:szCs w:val="24"/>
        </w:rPr>
        <w:t>Pensamiento y Lenguaje</w:t>
      </w:r>
      <w:r w:rsidRPr="00411BBC">
        <w:rPr>
          <w:rFonts w:ascii="Arial" w:hAnsi="Arial" w:cs="Arial"/>
          <w:sz w:val="24"/>
          <w:szCs w:val="24"/>
        </w:rPr>
        <w:t>.,</w:t>
      </w:r>
      <w:r w:rsidRPr="00411BBC">
        <w:rPr>
          <w:rFonts w:ascii="Arial" w:eastAsia="Times New Roman" w:hAnsi="Arial" w:cs="Arial"/>
          <w:sz w:val="24"/>
          <w:szCs w:val="24"/>
          <w:lang w:eastAsia="es-ES" w:bidi="hi-IN"/>
        </w:rPr>
        <w:t xml:space="preserve"> </w:t>
      </w:r>
      <w:r w:rsidRPr="00411BBC">
        <w:rPr>
          <w:rFonts w:ascii="Arial" w:hAnsi="Arial" w:cs="Arial"/>
          <w:sz w:val="24"/>
          <w:szCs w:val="24"/>
        </w:rPr>
        <w:t>Pueblo y Educación</w:t>
      </w:r>
      <w:r>
        <w:rPr>
          <w:rFonts w:ascii="Arial" w:hAnsi="Arial" w:cs="Arial"/>
          <w:sz w:val="24"/>
          <w:szCs w:val="24"/>
        </w:rPr>
        <w:t>, 1985.</w:t>
      </w:r>
    </w:p>
    <w:p w:rsidR="004C44CE" w:rsidRPr="00411BBC" w:rsidRDefault="004C44CE" w:rsidP="004C44CE">
      <w:pPr>
        <w:tabs>
          <w:tab w:val="left" w:pos="9356"/>
        </w:tabs>
        <w:spacing w:after="0" w:line="240" w:lineRule="auto"/>
        <w:ind w:left="770" w:right="335" w:hanging="440"/>
        <w:jc w:val="both"/>
        <w:rPr>
          <w:rFonts w:ascii="Arial" w:hAnsi="Arial" w:cs="Arial"/>
          <w:bCs/>
          <w:sz w:val="24"/>
          <w:szCs w:val="24"/>
        </w:rPr>
      </w:pPr>
      <w:r w:rsidRPr="00411BBC">
        <w:rPr>
          <w:rFonts w:ascii="Arial" w:hAnsi="Arial" w:cs="Arial"/>
          <w:sz w:val="24"/>
          <w:szCs w:val="24"/>
        </w:rPr>
        <w:t xml:space="preserve">16. </w:t>
      </w:r>
      <w:r>
        <w:rPr>
          <w:rFonts w:ascii="Arial" w:hAnsi="Arial" w:cs="Arial"/>
          <w:bCs/>
          <w:sz w:val="24"/>
          <w:szCs w:val="24"/>
        </w:rPr>
        <w:t>Klingberg, L.,</w:t>
      </w:r>
      <w:r w:rsidRPr="00411BBC">
        <w:rPr>
          <w:rFonts w:ascii="Arial" w:hAnsi="Arial" w:cs="Arial"/>
          <w:bCs/>
          <w:sz w:val="24"/>
          <w:szCs w:val="24"/>
        </w:rPr>
        <w:t xml:space="preserve"> Introducción a </w:t>
      </w:r>
      <w:smartTag w:uri="urn:schemas-microsoft-com:office:smarttags" w:element="PersonName">
        <w:smartTagPr>
          <w:attr w:name="ProductID" w:val="la Did￡ctica General."/>
        </w:smartTagPr>
        <w:r w:rsidRPr="00411BBC">
          <w:rPr>
            <w:rFonts w:ascii="Arial" w:hAnsi="Arial" w:cs="Arial"/>
            <w:bCs/>
            <w:sz w:val="24"/>
            <w:szCs w:val="24"/>
          </w:rPr>
          <w:t>la Didáctica General.</w:t>
        </w:r>
      </w:smartTag>
      <w:r w:rsidRPr="00411BBC">
        <w:rPr>
          <w:rFonts w:ascii="Arial" w:hAnsi="Arial" w:cs="Arial"/>
          <w:bCs/>
          <w:sz w:val="24"/>
          <w:szCs w:val="24"/>
        </w:rPr>
        <w:t xml:space="preserve"> Pueblo y Educación</w:t>
      </w:r>
      <w:r>
        <w:rPr>
          <w:rFonts w:ascii="Arial" w:hAnsi="Arial" w:cs="Arial"/>
          <w:bCs/>
          <w:sz w:val="24"/>
          <w:szCs w:val="24"/>
        </w:rPr>
        <w:t>, 1972.</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Pr>
          <w:rFonts w:ascii="Arial" w:hAnsi="Arial" w:cs="Arial"/>
          <w:sz w:val="24"/>
          <w:szCs w:val="24"/>
        </w:rPr>
        <w:t>17. Makarenko, A.,</w:t>
      </w:r>
      <w:r w:rsidRPr="00411BBC">
        <w:rPr>
          <w:rFonts w:ascii="Arial" w:hAnsi="Arial" w:cs="Arial"/>
          <w:sz w:val="24"/>
          <w:szCs w:val="24"/>
        </w:rPr>
        <w:t xml:space="preserve"> La colectividad y la educación de la personalidad. Pueblo y Educación</w:t>
      </w:r>
      <w:r>
        <w:rPr>
          <w:rFonts w:ascii="Arial" w:hAnsi="Arial" w:cs="Arial"/>
          <w:sz w:val="24"/>
          <w:szCs w:val="24"/>
        </w:rPr>
        <w:t>, 1979.</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sidRPr="00411BBC">
        <w:rPr>
          <w:rFonts w:ascii="Arial" w:hAnsi="Arial" w:cs="Arial"/>
          <w:sz w:val="24"/>
          <w:szCs w:val="24"/>
        </w:rPr>
        <w:t>18. Danil</w:t>
      </w:r>
      <w:r>
        <w:rPr>
          <w:rFonts w:ascii="Arial" w:hAnsi="Arial" w:cs="Arial"/>
          <w:sz w:val="24"/>
          <w:szCs w:val="24"/>
        </w:rPr>
        <w:t>ov M. A. y Skatkin M. N.,</w:t>
      </w:r>
      <w:r w:rsidRPr="00411BBC">
        <w:rPr>
          <w:rFonts w:ascii="Arial" w:hAnsi="Arial" w:cs="Arial"/>
          <w:sz w:val="24"/>
          <w:szCs w:val="24"/>
        </w:rPr>
        <w:t xml:space="preserve"> Didáctica de </w:t>
      </w:r>
      <w:smartTag w:uri="urn:schemas-microsoft-com:office:smarttags" w:element="PersonName">
        <w:smartTagPr>
          <w:attr w:name="ProductID" w:val="la Escuela Media."/>
        </w:smartTagPr>
        <w:r w:rsidRPr="00411BBC">
          <w:rPr>
            <w:rFonts w:ascii="Arial" w:hAnsi="Arial" w:cs="Arial"/>
            <w:sz w:val="24"/>
            <w:szCs w:val="24"/>
          </w:rPr>
          <w:t>la Escuela Media.</w:t>
        </w:r>
      </w:smartTag>
      <w:r w:rsidRPr="00411BBC">
        <w:rPr>
          <w:rFonts w:ascii="Arial" w:hAnsi="Arial" w:cs="Arial"/>
          <w:sz w:val="24"/>
          <w:szCs w:val="24"/>
        </w:rPr>
        <w:t xml:space="preserve"> Libros para </w:t>
      </w:r>
      <w:smartTag w:uri="urn:schemas-microsoft-com:office:smarttags" w:element="PersonName">
        <w:smartTagPr>
          <w:attr w:name="ProductID" w:val="la Educaci￳n"/>
        </w:smartTagPr>
        <w:r w:rsidRPr="00411BBC">
          <w:rPr>
            <w:rFonts w:ascii="Arial" w:hAnsi="Arial" w:cs="Arial"/>
            <w:sz w:val="24"/>
            <w:szCs w:val="24"/>
          </w:rPr>
          <w:t>la Educación</w:t>
        </w:r>
      </w:smartTag>
      <w:r>
        <w:rPr>
          <w:rFonts w:ascii="Arial" w:hAnsi="Arial" w:cs="Arial"/>
          <w:sz w:val="24"/>
          <w:szCs w:val="24"/>
        </w:rPr>
        <w:t>, 1980.</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sidRPr="00411BBC">
        <w:rPr>
          <w:rFonts w:ascii="Arial" w:hAnsi="Arial" w:cs="Arial"/>
          <w:sz w:val="24"/>
          <w:szCs w:val="24"/>
        </w:rPr>
        <w:t>19.  Talízina N.</w:t>
      </w:r>
      <w:r>
        <w:rPr>
          <w:rFonts w:ascii="Arial" w:hAnsi="Arial" w:cs="Arial"/>
          <w:sz w:val="24"/>
          <w:szCs w:val="24"/>
        </w:rPr>
        <w:t>,</w:t>
      </w:r>
      <w:r w:rsidRPr="00411BBC">
        <w:rPr>
          <w:rFonts w:ascii="Arial" w:hAnsi="Arial" w:cs="Arial"/>
          <w:sz w:val="24"/>
          <w:szCs w:val="24"/>
        </w:rPr>
        <w:t xml:space="preserve"> Psicología de la enseñanza. Progreso</w:t>
      </w:r>
      <w:r>
        <w:rPr>
          <w:rFonts w:ascii="Arial" w:hAnsi="Arial" w:cs="Arial"/>
          <w:sz w:val="24"/>
          <w:szCs w:val="24"/>
        </w:rPr>
        <w:t>, 1988.</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sidRPr="00411BBC">
        <w:rPr>
          <w:rFonts w:ascii="Arial" w:hAnsi="Arial" w:cs="Arial"/>
          <w:sz w:val="24"/>
          <w:szCs w:val="24"/>
        </w:rPr>
        <w:t>20. Álvarez de Zayas, C.</w:t>
      </w:r>
      <w:r>
        <w:rPr>
          <w:rFonts w:ascii="Arial" w:hAnsi="Arial" w:cs="Arial"/>
          <w:sz w:val="24"/>
          <w:szCs w:val="24"/>
        </w:rPr>
        <w:t>,</w:t>
      </w:r>
      <w:r w:rsidRPr="00411BBC">
        <w:rPr>
          <w:rFonts w:ascii="Arial" w:hAnsi="Arial" w:cs="Arial"/>
          <w:sz w:val="24"/>
          <w:szCs w:val="24"/>
        </w:rPr>
        <w:t xml:space="preserve"> Pedagogía como ciencia. Epistemología de la educación. Pueblo y Educación</w:t>
      </w:r>
      <w:r>
        <w:rPr>
          <w:rFonts w:ascii="Arial" w:hAnsi="Arial" w:cs="Arial"/>
          <w:sz w:val="24"/>
          <w:szCs w:val="24"/>
        </w:rPr>
        <w:t>, 1998.</w:t>
      </w:r>
    </w:p>
    <w:p w:rsidR="004C44CE" w:rsidRPr="00411BBC" w:rsidRDefault="004C44CE" w:rsidP="004C44CE">
      <w:pPr>
        <w:tabs>
          <w:tab w:val="left" w:pos="9356"/>
        </w:tabs>
        <w:spacing w:after="0" w:line="240" w:lineRule="auto"/>
        <w:ind w:left="770" w:right="335" w:hanging="440"/>
        <w:jc w:val="both"/>
        <w:rPr>
          <w:rFonts w:ascii="Arial" w:eastAsia="Times New Roman" w:hAnsi="Arial" w:cs="Arial"/>
          <w:sz w:val="24"/>
          <w:szCs w:val="24"/>
          <w:lang w:eastAsia="es-ES" w:bidi="hi-IN"/>
        </w:rPr>
      </w:pPr>
      <w:r w:rsidRPr="00411BBC">
        <w:rPr>
          <w:rFonts w:ascii="Arial" w:hAnsi="Arial" w:cs="Arial"/>
          <w:sz w:val="24"/>
          <w:szCs w:val="24"/>
        </w:rPr>
        <w:t>21 Castellanos, D., et al.</w:t>
      </w:r>
      <w:r>
        <w:rPr>
          <w:rFonts w:ascii="Arial" w:hAnsi="Arial" w:cs="Arial"/>
          <w:sz w:val="24"/>
          <w:szCs w:val="24"/>
        </w:rPr>
        <w:t>,</w:t>
      </w:r>
      <w:r w:rsidRPr="00411BBC">
        <w:rPr>
          <w:rFonts w:ascii="Arial" w:hAnsi="Arial" w:cs="Arial"/>
          <w:sz w:val="24"/>
          <w:szCs w:val="24"/>
        </w:rPr>
        <w:t xml:space="preserve"> Hacía una concepción de ap</w:t>
      </w:r>
      <w:r>
        <w:rPr>
          <w:rFonts w:ascii="Arial" w:hAnsi="Arial" w:cs="Arial"/>
          <w:sz w:val="24"/>
          <w:szCs w:val="24"/>
        </w:rPr>
        <w:t>rendizaje desarrollador,</w:t>
      </w:r>
      <w:r w:rsidRPr="00411BBC">
        <w:rPr>
          <w:rFonts w:ascii="Arial" w:hAnsi="Arial" w:cs="Arial"/>
          <w:sz w:val="24"/>
          <w:szCs w:val="24"/>
        </w:rPr>
        <w:t xml:space="preserve"> Colección Proyectos</w:t>
      </w:r>
      <w:r>
        <w:rPr>
          <w:rFonts w:ascii="Arial" w:hAnsi="Arial" w:cs="Arial"/>
          <w:sz w:val="24"/>
          <w:szCs w:val="24"/>
        </w:rPr>
        <w:t>. ISPEJV, 2000.</w:t>
      </w:r>
      <w:r w:rsidRPr="00411BBC">
        <w:rPr>
          <w:rFonts w:ascii="Arial" w:hAnsi="Arial" w:cs="Arial"/>
          <w:sz w:val="24"/>
          <w:szCs w:val="24"/>
        </w:rPr>
        <w:t xml:space="preserve"> </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sidRPr="00411BBC">
        <w:rPr>
          <w:rFonts w:ascii="Arial" w:hAnsi="Arial" w:cs="Arial"/>
          <w:sz w:val="24"/>
          <w:szCs w:val="24"/>
        </w:rPr>
        <w:t>22. Sierra, R. A.</w:t>
      </w:r>
      <w:r>
        <w:rPr>
          <w:rFonts w:ascii="Arial" w:hAnsi="Arial" w:cs="Arial"/>
          <w:sz w:val="24"/>
          <w:szCs w:val="24"/>
        </w:rPr>
        <w:t>,</w:t>
      </w:r>
      <w:r w:rsidRPr="00411BBC">
        <w:rPr>
          <w:rFonts w:ascii="Arial" w:hAnsi="Arial" w:cs="Arial"/>
          <w:sz w:val="24"/>
          <w:szCs w:val="24"/>
        </w:rPr>
        <w:t xml:space="preserve"> La estrategia pedagógica, su diseño e implementación. Pueblo y Educación</w:t>
      </w:r>
      <w:r>
        <w:rPr>
          <w:rFonts w:ascii="Arial" w:hAnsi="Arial" w:cs="Arial"/>
          <w:sz w:val="24"/>
          <w:szCs w:val="24"/>
        </w:rPr>
        <w:t>, 2008.</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sidRPr="00411BBC">
        <w:rPr>
          <w:rFonts w:ascii="Arial" w:hAnsi="Arial" w:cs="Arial"/>
          <w:sz w:val="24"/>
          <w:szCs w:val="24"/>
        </w:rPr>
        <w:t>23. Rico, P., et. al.</w:t>
      </w:r>
      <w:r>
        <w:rPr>
          <w:rFonts w:ascii="Arial" w:hAnsi="Arial" w:cs="Arial"/>
          <w:sz w:val="24"/>
          <w:szCs w:val="24"/>
        </w:rPr>
        <w:t>,</w:t>
      </w:r>
      <w:r w:rsidRPr="00411BBC">
        <w:rPr>
          <w:rFonts w:ascii="Arial" w:hAnsi="Arial" w:cs="Arial"/>
          <w:sz w:val="24"/>
          <w:szCs w:val="24"/>
        </w:rPr>
        <w:t xml:space="preserve"> Exigencias del Modelo de escuela primaria para la dirección por el maestro de los procesos de educación, enseñanza y aprendizaje. Pueblo y Educación</w:t>
      </w:r>
      <w:r>
        <w:rPr>
          <w:rFonts w:ascii="Arial" w:hAnsi="Arial" w:cs="Arial"/>
          <w:sz w:val="24"/>
          <w:szCs w:val="24"/>
        </w:rPr>
        <w:t>, 2008</w:t>
      </w:r>
    </w:p>
    <w:p w:rsidR="004C44CE" w:rsidRPr="004C44CE" w:rsidRDefault="004C44CE" w:rsidP="004C44CE">
      <w:pPr>
        <w:tabs>
          <w:tab w:val="left" w:pos="9356"/>
        </w:tabs>
        <w:spacing w:after="0" w:line="240" w:lineRule="auto"/>
        <w:ind w:left="770" w:right="335" w:hanging="440"/>
        <w:jc w:val="both"/>
        <w:rPr>
          <w:rFonts w:ascii="Arial" w:hAnsi="Arial" w:cs="Arial"/>
          <w:sz w:val="24"/>
          <w:szCs w:val="24"/>
          <w:lang w:val="en-US"/>
        </w:rPr>
      </w:pPr>
      <w:r w:rsidRPr="00411BBC">
        <w:rPr>
          <w:rFonts w:ascii="Arial" w:hAnsi="Arial" w:cs="Arial"/>
          <w:sz w:val="24"/>
          <w:szCs w:val="24"/>
        </w:rPr>
        <w:t>24. Silvestre, M. y Zilberstein, J.</w:t>
      </w:r>
      <w:r>
        <w:rPr>
          <w:rFonts w:ascii="Arial" w:hAnsi="Arial" w:cs="Arial"/>
          <w:sz w:val="24"/>
          <w:szCs w:val="24"/>
        </w:rPr>
        <w:t>,</w:t>
      </w:r>
      <w:r w:rsidRPr="00411BBC">
        <w:rPr>
          <w:rFonts w:ascii="Arial" w:hAnsi="Arial" w:cs="Arial"/>
          <w:sz w:val="24"/>
          <w:szCs w:val="24"/>
        </w:rPr>
        <w:t xml:space="preserve"> Hacia una didáctica desarrolladora. </w:t>
      </w:r>
      <w:r w:rsidRPr="004C44CE">
        <w:rPr>
          <w:rFonts w:ascii="Arial" w:hAnsi="Arial" w:cs="Arial"/>
          <w:sz w:val="24"/>
          <w:szCs w:val="24"/>
          <w:lang w:val="en-US"/>
        </w:rPr>
        <w:t>Pueblo y Educación, 2002.</w:t>
      </w:r>
    </w:p>
    <w:p w:rsidR="004C44CE" w:rsidRPr="004C44CE" w:rsidRDefault="004C44CE" w:rsidP="004C44CE">
      <w:pPr>
        <w:tabs>
          <w:tab w:val="left" w:pos="9356"/>
        </w:tabs>
        <w:spacing w:after="0" w:line="240" w:lineRule="auto"/>
        <w:ind w:left="770" w:right="335" w:hanging="440"/>
        <w:jc w:val="both"/>
        <w:rPr>
          <w:rFonts w:ascii="Arial" w:hAnsi="Arial" w:cs="Arial"/>
          <w:sz w:val="24"/>
          <w:szCs w:val="24"/>
          <w:lang w:val="en-US"/>
        </w:rPr>
      </w:pPr>
      <w:r w:rsidRPr="004C44CE">
        <w:rPr>
          <w:rFonts w:ascii="Arial" w:hAnsi="Arial" w:cs="Arial"/>
          <w:sz w:val="24"/>
          <w:szCs w:val="24"/>
          <w:lang w:val="en-US"/>
        </w:rPr>
        <w:t>25. Papert, S. y Harel, I., Constructionism. Ablex Publishing Co., 1991.</w:t>
      </w:r>
    </w:p>
    <w:p w:rsidR="004C44CE" w:rsidRPr="0055021E" w:rsidRDefault="004C44CE" w:rsidP="004C44CE">
      <w:pPr>
        <w:tabs>
          <w:tab w:val="left" w:pos="9356"/>
        </w:tabs>
        <w:spacing w:after="0" w:line="240" w:lineRule="auto"/>
        <w:ind w:left="770" w:right="335" w:hanging="440"/>
        <w:jc w:val="both"/>
        <w:rPr>
          <w:rFonts w:ascii="Arial" w:eastAsia="Arial Unicode MS" w:hAnsi="Arial" w:cs="Arial"/>
          <w:color w:val="000000"/>
          <w:sz w:val="24"/>
          <w:szCs w:val="24"/>
        </w:rPr>
      </w:pPr>
      <w:r w:rsidRPr="004C44CE">
        <w:rPr>
          <w:rFonts w:ascii="Arial" w:hAnsi="Arial" w:cs="Arial"/>
          <w:sz w:val="24"/>
          <w:szCs w:val="24"/>
          <w:lang w:val="en-US"/>
        </w:rPr>
        <w:t xml:space="preserve">26.  Drucker, P. The practice of management . </w:t>
      </w:r>
      <w:r>
        <w:rPr>
          <w:rFonts w:ascii="Arial" w:eastAsia="Arial Unicode MS" w:hAnsi="Arial" w:cs="Arial"/>
          <w:color w:val="000000"/>
          <w:sz w:val="24"/>
          <w:szCs w:val="24"/>
        </w:rPr>
        <w:t>Harper &amp; Row, 1954.</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Pr>
          <w:rFonts w:ascii="Arial" w:hAnsi="Arial" w:cs="Arial"/>
          <w:sz w:val="24"/>
          <w:szCs w:val="24"/>
        </w:rPr>
        <w:t>27</w:t>
      </w:r>
      <w:r w:rsidRPr="00411BBC">
        <w:rPr>
          <w:rFonts w:ascii="Arial" w:hAnsi="Arial" w:cs="Arial"/>
          <w:sz w:val="24"/>
          <w:szCs w:val="24"/>
        </w:rPr>
        <w:t>. Muguercia, P. y otros</w:t>
      </w:r>
      <w:r>
        <w:rPr>
          <w:rFonts w:ascii="Arial" w:hAnsi="Arial" w:cs="Arial"/>
          <w:sz w:val="24"/>
          <w:szCs w:val="24"/>
        </w:rPr>
        <w:t>,</w:t>
      </w:r>
      <w:r w:rsidRPr="00411BBC">
        <w:rPr>
          <w:rFonts w:ascii="Arial" w:hAnsi="Arial" w:cs="Arial"/>
          <w:sz w:val="24"/>
          <w:szCs w:val="24"/>
        </w:rPr>
        <w:t xml:space="preserve"> Teoría general </w:t>
      </w:r>
      <w:r>
        <w:rPr>
          <w:rFonts w:ascii="Arial" w:hAnsi="Arial" w:cs="Arial"/>
          <w:sz w:val="24"/>
          <w:szCs w:val="24"/>
        </w:rPr>
        <w:t>de la dirección socialista. MES, 1982.</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Pr>
          <w:rFonts w:ascii="Arial" w:hAnsi="Arial" w:cs="Arial"/>
          <w:sz w:val="24"/>
          <w:szCs w:val="24"/>
        </w:rPr>
        <w:t>28</w:t>
      </w:r>
      <w:r w:rsidRPr="00411BBC">
        <w:rPr>
          <w:rFonts w:ascii="Arial" w:hAnsi="Arial" w:cs="Arial"/>
          <w:sz w:val="24"/>
          <w:szCs w:val="24"/>
        </w:rPr>
        <w:t>. Bringas, J A.</w:t>
      </w:r>
      <w:r>
        <w:rPr>
          <w:rFonts w:ascii="Arial" w:hAnsi="Arial" w:cs="Arial"/>
          <w:sz w:val="24"/>
          <w:szCs w:val="24"/>
        </w:rPr>
        <w:t>,</w:t>
      </w:r>
      <w:r w:rsidRPr="00411BBC">
        <w:rPr>
          <w:rFonts w:ascii="Arial" w:hAnsi="Arial" w:cs="Arial"/>
          <w:sz w:val="24"/>
          <w:szCs w:val="24"/>
        </w:rPr>
        <w:t xml:space="preserve"> Propuesta de modelo de Planificación Estratégica Universitaria. Tesis, Doctorado en Ciencias Pedagógicas. ISP. Enrique José Varona, </w:t>
      </w:r>
      <w:r>
        <w:rPr>
          <w:rFonts w:ascii="Arial" w:hAnsi="Arial" w:cs="Arial"/>
          <w:sz w:val="24"/>
          <w:szCs w:val="24"/>
        </w:rPr>
        <w:t>1999</w:t>
      </w:r>
      <w:r w:rsidRPr="00411BBC">
        <w:rPr>
          <w:rFonts w:ascii="Arial" w:hAnsi="Arial" w:cs="Arial"/>
          <w:sz w:val="24"/>
          <w:szCs w:val="24"/>
        </w:rPr>
        <w:t>.</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Pr>
          <w:rFonts w:ascii="Arial" w:hAnsi="Arial" w:cs="Arial"/>
          <w:sz w:val="24"/>
          <w:szCs w:val="24"/>
        </w:rPr>
        <w:t>29</w:t>
      </w:r>
      <w:r w:rsidRPr="00411BBC">
        <w:rPr>
          <w:rFonts w:ascii="Arial" w:hAnsi="Arial" w:cs="Arial"/>
          <w:sz w:val="24"/>
          <w:szCs w:val="24"/>
        </w:rPr>
        <w:t>. Murcia, N.</w:t>
      </w:r>
      <w:r>
        <w:rPr>
          <w:rFonts w:ascii="Arial" w:hAnsi="Arial" w:cs="Arial"/>
          <w:sz w:val="24"/>
          <w:szCs w:val="24"/>
        </w:rPr>
        <w:t>,</w:t>
      </w:r>
      <w:r w:rsidRPr="00411BBC">
        <w:rPr>
          <w:rFonts w:ascii="Arial" w:hAnsi="Arial" w:cs="Arial"/>
          <w:sz w:val="24"/>
          <w:szCs w:val="24"/>
        </w:rPr>
        <w:t xml:space="preserve"> Gerenciando con visión. Proyectando el éxito, en </w:t>
      </w:r>
      <w:smartTag w:uri="urn:schemas-microsoft-com:office:smarttags" w:element="PersonName">
        <w:smartTagPr>
          <w:attr w:name="ProductID" w:val="la Nueva Gerencia"/>
        </w:smartTagPr>
        <w:r w:rsidRPr="00411BBC">
          <w:rPr>
            <w:rFonts w:ascii="Arial" w:hAnsi="Arial" w:cs="Arial"/>
            <w:sz w:val="24"/>
            <w:szCs w:val="24"/>
          </w:rPr>
          <w:t>la Nueva Gerencia</w:t>
        </w:r>
      </w:smartTag>
      <w:r w:rsidRPr="00411BBC">
        <w:rPr>
          <w:rFonts w:ascii="Arial" w:hAnsi="Arial" w:cs="Arial"/>
          <w:sz w:val="24"/>
          <w:szCs w:val="24"/>
        </w:rPr>
        <w:t xml:space="preserve"> y la filosofía de la alta dirección. Dpto. De </w:t>
      </w:r>
      <w:r>
        <w:rPr>
          <w:rFonts w:ascii="Arial" w:hAnsi="Arial" w:cs="Arial"/>
          <w:sz w:val="24"/>
          <w:szCs w:val="24"/>
        </w:rPr>
        <w:t>estudios de Dirección, CUBALSE, 2001.</w:t>
      </w:r>
    </w:p>
    <w:p w:rsidR="004C44CE" w:rsidRPr="00411BBC" w:rsidRDefault="004C44CE" w:rsidP="004C44CE">
      <w:pPr>
        <w:tabs>
          <w:tab w:val="left" w:pos="9356"/>
        </w:tabs>
        <w:spacing w:after="0" w:line="240" w:lineRule="auto"/>
        <w:ind w:left="770" w:right="335" w:hanging="440"/>
        <w:jc w:val="both"/>
      </w:pPr>
      <w:r>
        <w:rPr>
          <w:rFonts w:ascii="Arial" w:hAnsi="Arial" w:cs="Arial"/>
          <w:sz w:val="24"/>
          <w:szCs w:val="24"/>
        </w:rPr>
        <w:t>30</w:t>
      </w:r>
      <w:r w:rsidRPr="00411BBC">
        <w:rPr>
          <w:rFonts w:ascii="Arial" w:hAnsi="Arial" w:cs="Arial"/>
          <w:sz w:val="24"/>
          <w:szCs w:val="24"/>
        </w:rPr>
        <w:t xml:space="preserve">. </w:t>
      </w:r>
      <w:r>
        <w:rPr>
          <w:rFonts w:ascii="Arial" w:hAnsi="Arial" w:cs="Arial"/>
          <w:sz w:val="24"/>
          <w:szCs w:val="24"/>
        </w:rPr>
        <w:t>Pozner, P.,</w:t>
      </w:r>
      <w:r w:rsidRPr="00411BBC">
        <w:rPr>
          <w:rFonts w:ascii="Arial" w:hAnsi="Arial" w:cs="Arial"/>
          <w:sz w:val="24"/>
          <w:szCs w:val="24"/>
        </w:rPr>
        <w:t xml:space="preserve"> Gestión Educativa Estratégica. Módulo 2: Competencias para la profesionalización de la gestión educativa</w:t>
      </w:r>
      <w:r>
        <w:rPr>
          <w:rFonts w:ascii="Arial" w:hAnsi="Arial" w:cs="Arial"/>
          <w:sz w:val="24"/>
          <w:szCs w:val="24"/>
        </w:rPr>
        <w:t xml:space="preserve">, </w:t>
      </w:r>
      <w:hyperlink r:id="rId1269" w:history="1">
        <w:r w:rsidRPr="007C7B78">
          <w:rPr>
            <w:rStyle w:val="Hipervnculo"/>
            <w:rFonts w:ascii="Arial" w:hAnsi="Arial" w:cs="Arial"/>
            <w:sz w:val="24"/>
            <w:szCs w:val="24"/>
          </w:rPr>
          <w:t>www.iipe-buenosaires.org.ar</w:t>
        </w:r>
      </w:hyperlink>
      <w:r>
        <w:rPr>
          <w:rFonts w:ascii="Arial" w:hAnsi="Arial" w:cs="Arial"/>
          <w:sz w:val="24"/>
          <w:szCs w:val="24"/>
        </w:rPr>
        <w:t>.</w:t>
      </w:r>
    </w:p>
    <w:p w:rsidR="004C44CE" w:rsidRPr="00411BBC" w:rsidRDefault="004C44CE" w:rsidP="004C44CE">
      <w:pPr>
        <w:tabs>
          <w:tab w:val="left" w:pos="9356"/>
        </w:tabs>
        <w:spacing w:after="0" w:line="240" w:lineRule="auto"/>
        <w:ind w:left="770" w:right="335" w:hanging="440"/>
        <w:jc w:val="both"/>
        <w:rPr>
          <w:rFonts w:ascii="Arial" w:hAnsi="Arial" w:cs="Arial"/>
          <w:sz w:val="24"/>
          <w:szCs w:val="24"/>
        </w:rPr>
      </w:pPr>
      <w:r>
        <w:rPr>
          <w:rFonts w:ascii="Arial" w:hAnsi="Arial" w:cs="Arial"/>
          <w:sz w:val="24"/>
          <w:szCs w:val="24"/>
        </w:rPr>
        <w:t>31</w:t>
      </w:r>
      <w:r w:rsidRPr="00411BBC">
        <w:rPr>
          <w:rFonts w:ascii="Arial" w:hAnsi="Arial" w:cs="Arial"/>
          <w:sz w:val="24"/>
          <w:szCs w:val="24"/>
        </w:rPr>
        <w:t>. Alarcón, R. y Sánchez, R.</w:t>
      </w:r>
      <w:r>
        <w:rPr>
          <w:rFonts w:ascii="Arial" w:hAnsi="Arial" w:cs="Arial"/>
          <w:sz w:val="24"/>
          <w:szCs w:val="24"/>
        </w:rPr>
        <w:t>,</w:t>
      </w:r>
      <w:r w:rsidRPr="00411BBC">
        <w:rPr>
          <w:rFonts w:ascii="Arial" w:hAnsi="Arial" w:cs="Arial"/>
          <w:sz w:val="24"/>
          <w:szCs w:val="24"/>
        </w:rPr>
        <w:t xml:space="preserve"> Actualización del Enfoque Integral para </w:t>
      </w:r>
      <w:smartTag w:uri="urn:schemas-microsoft-com:office:smarttags" w:element="PersonName">
        <w:smartTagPr>
          <w:attr w:name="ProductID" w:val="la Labor Educativa"/>
        </w:smartTagPr>
        <w:r w:rsidRPr="00411BBC">
          <w:rPr>
            <w:rFonts w:ascii="Arial" w:hAnsi="Arial" w:cs="Arial"/>
            <w:sz w:val="24"/>
            <w:szCs w:val="24"/>
          </w:rPr>
          <w:t>la Labor Educativa</w:t>
        </w:r>
      </w:smartTag>
      <w:r w:rsidRPr="00411BBC">
        <w:rPr>
          <w:rFonts w:ascii="Arial" w:hAnsi="Arial" w:cs="Arial"/>
          <w:sz w:val="24"/>
          <w:szCs w:val="24"/>
        </w:rPr>
        <w:t xml:space="preserve"> y Político-Ideológica en </w:t>
      </w:r>
      <w:smartTag w:uri="urn:schemas-microsoft-com:office:smarttags" w:element="PersonName">
        <w:smartTagPr>
          <w:attr w:name="ProductID" w:val="la Universidad. MES-ENPSES"/>
        </w:smartTagPr>
        <w:r w:rsidRPr="00411BBC">
          <w:rPr>
            <w:rFonts w:ascii="Arial" w:hAnsi="Arial" w:cs="Arial"/>
            <w:sz w:val="24"/>
            <w:szCs w:val="24"/>
          </w:rPr>
          <w:t>la Universidad. MES</w:t>
        </w:r>
        <w:r>
          <w:rPr>
            <w:rFonts w:ascii="Arial" w:hAnsi="Arial" w:cs="Arial"/>
            <w:sz w:val="24"/>
            <w:szCs w:val="24"/>
          </w:rPr>
          <w:t>-</w:t>
        </w:r>
        <w:r w:rsidRPr="00411BBC">
          <w:rPr>
            <w:rFonts w:ascii="Arial" w:hAnsi="Arial" w:cs="Arial"/>
            <w:sz w:val="24"/>
            <w:szCs w:val="24"/>
          </w:rPr>
          <w:t>ENPSES</w:t>
        </w:r>
      </w:smartTag>
      <w:r>
        <w:rPr>
          <w:rFonts w:ascii="Arial" w:hAnsi="Arial" w:cs="Arial"/>
          <w:sz w:val="24"/>
          <w:szCs w:val="24"/>
        </w:rPr>
        <w:t>, 1999.</w:t>
      </w:r>
      <w:r w:rsidRPr="00411BBC">
        <w:rPr>
          <w:rFonts w:ascii="Arial" w:hAnsi="Arial" w:cs="Arial"/>
          <w:sz w:val="24"/>
          <w:szCs w:val="24"/>
        </w:rPr>
        <w:t xml:space="preserve"> </w:t>
      </w:r>
    </w:p>
    <w:p w:rsidR="003F0296" w:rsidRPr="007F2707" w:rsidRDefault="003F0296" w:rsidP="0049551D">
      <w:pPr>
        <w:rPr>
          <w:lang w:val="es-MX"/>
        </w:rPr>
      </w:pPr>
    </w:p>
    <w:p w:rsidR="003F0296" w:rsidRPr="007F2707" w:rsidRDefault="003F0296" w:rsidP="0049551D">
      <w:pPr>
        <w:rPr>
          <w:lang w:val="es-MX"/>
        </w:rPr>
      </w:pPr>
    </w:p>
    <w:p w:rsidR="007F2707" w:rsidRPr="0078314A" w:rsidRDefault="007F2707" w:rsidP="0078314A">
      <w:pPr>
        <w:pStyle w:val="1Titulo"/>
        <w:numPr>
          <w:ilvl w:val="0"/>
          <w:numId w:val="0"/>
        </w:numPr>
        <w:ind w:left="357"/>
        <w:jc w:val="center"/>
        <w:rPr>
          <w:sz w:val="28"/>
          <w:szCs w:val="28"/>
        </w:rPr>
      </w:pPr>
      <w:bookmarkStart w:id="389" w:name="_Toc50031436"/>
      <w:r w:rsidRPr="0078314A">
        <w:rPr>
          <w:sz w:val="28"/>
          <w:szCs w:val="28"/>
        </w:rPr>
        <w:t>El intercambio educativo como vía para incrementar el poder blando de México</w:t>
      </w:r>
      <w:bookmarkEnd w:id="389"/>
    </w:p>
    <w:p w:rsidR="007F2707" w:rsidRPr="00D1577C" w:rsidRDefault="007F2707" w:rsidP="007F2707">
      <w:pPr>
        <w:jc w:val="center"/>
        <w:rPr>
          <w:rFonts w:ascii="Arial" w:hAnsi="Arial" w:cs="Arial"/>
          <w:b/>
          <w:sz w:val="28"/>
          <w:szCs w:val="28"/>
          <w:lang w:val="es-MX"/>
        </w:rPr>
      </w:pPr>
    </w:p>
    <w:p w:rsidR="007F2707" w:rsidRPr="00D1577C" w:rsidRDefault="007F2707" w:rsidP="007F2707">
      <w:pPr>
        <w:spacing w:line="240" w:lineRule="auto"/>
        <w:jc w:val="center"/>
        <w:rPr>
          <w:rFonts w:ascii="Arial" w:hAnsi="Arial" w:cs="Arial"/>
          <w:sz w:val="20"/>
          <w:szCs w:val="20"/>
        </w:rPr>
      </w:pPr>
      <w:r w:rsidRPr="00D1577C">
        <w:rPr>
          <w:rFonts w:ascii="Arial" w:hAnsi="Arial" w:cs="Arial"/>
          <w:sz w:val="20"/>
          <w:szCs w:val="20"/>
          <w:u w:val="single"/>
        </w:rPr>
        <w:t>Quintana D. María Berenice</w:t>
      </w:r>
      <w:r w:rsidRPr="00D1577C">
        <w:rPr>
          <w:rFonts w:ascii="Arial" w:hAnsi="Arial" w:cs="Arial"/>
          <w:sz w:val="20"/>
          <w:szCs w:val="20"/>
          <w:vertAlign w:val="superscript"/>
        </w:rPr>
        <w:t>1</w:t>
      </w:r>
      <w:r w:rsidRPr="00D1577C">
        <w:rPr>
          <w:rFonts w:ascii="Arial" w:hAnsi="Arial" w:cs="Arial"/>
          <w:sz w:val="20"/>
          <w:szCs w:val="20"/>
        </w:rPr>
        <w:t>, Rodríguez Q. Berenice Georgina</w:t>
      </w:r>
      <w:r w:rsidRPr="00D1577C">
        <w:rPr>
          <w:rFonts w:ascii="Arial" w:hAnsi="Arial" w:cs="Arial"/>
          <w:sz w:val="20"/>
          <w:szCs w:val="20"/>
          <w:vertAlign w:val="superscript"/>
        </w:rPr>
        <w:t>2</w:t>
      </w:r>
      <w:r w:rsidRPr="00D1577C">
        <w:rPr>
          <w:rFonts w:ascii="Arial" w:hAnsi="Arial" w:cs="Arial"/>
          <w:sz w:val="20"/>
          <w:szCs w:val="20"/>
        </w:rPr>
        <w:t>, Ortega H. María Antonieta</w:t>
      </w:r>
      <w:r w:rsidRPr="00D1577C">
        <w:rPr>
          <w:rFonts w:ascii="Arial" w:hAnsi="Arial" w:cs="Arial"/>
          <w:sz w:val="20"/>
          <w:szCs w:val="20"/>
          <w:vertAlign w:val="superscript"/>
        </w:rPr>
        <w:t>3</w:t>
      </w:r>
      <w:r w:rsidRPr="00D1577C">
        <w:rPr>
          <w:rFonts w:ascii="Arial" w:hAnsi="Arial" w:cs="Arial"/>
          <w:sz w:val="20"/>
          <w:szCs w:val="20"/>
        </w:rPr>
        <w:t>, Ambriz G. Juan José</w:t>
      </w:r>
      <w:r w:rsidRPr="00D1577C">
        <w:rPr>
          <w:rFonts w:ascii="Arial" w:hAnsi="Arial" w:cs="Arial"/>
          <w:sz w:val="20"/>
          <w:szCs w:val="20"/>
          <w:vertAlign w:val="superscript"/>
        </w:rPr>
        <w:t>4</w:t>
      </w:r>
      <w:r w:rsidRPr="00D1577C">
        <w:rPr>
          <w:rFonts w:ascii="Arial" w:hAnsi="Arial" w:cs="Arial"/>
          <w:sz w:val="20"/>
          <w:szCs w:val="20"/>
        </w:rPr>
        <w:t>.</w:t>
      </w:r>
    </w:p>
    <w:p w:rsidR="007F2707" w:rsidRPr="00D1577C" w:rsidRDefault="007F2707" w:rsidP="007F2707">
      <w:pPr>
        <w:spacing w:line="240" w:lineRule="auto"/>
        <w:jc w:val="center"/>
        <w:rPr>
          <w:rFonts w:ascii="Arial" w:hAnsi="Arial" w:cs="Arial"/>
          <w:sz w:val="20"/>
          <w:szCs w:val="20"/>
        </w:rPr>
      </w:pPr>
      <w:r w:rsidRPr="00D1577C">
        <w:rPr>
          <w:rFonts w:ascii="Arial" w:hAnsi="Arial" w:cs="Arial"/>
          <w:sz w:val="20"/>
          <w:szCs w:val="20"/>
          <w:vertAlign w:val="superscript"/>
        </w:rPr>
        <w:t>1</w:t>
      </w:r>
      <w:r w:rsidRPr="00D1577C">
        <w:rPr>
          <w:rFonts w:ascii="Arial" w:hAnsi="Arial" w:cs="Arial"/>
          <w:sz w:val="20"/>
          <w:szCs w:val="20"/>
        </w:rPr>
        <w:t xml:space="preserve">Universidad Autónoma Metropolitana-Azcapotzalco, Av. San Pablo # 180, Reynosa Tamaulipas C.P. 02200, email </w:t>
      </w:r>
      <w:hyperlink r:id="rId1270" w:history="1">
        <w:r w:rsidRPr="00D1577C">
          <w:rPr>
            <w:rStyle w:val="Hipervnculo"/>
            <w:rFonts w:ascii="Arial" w:hAnsi="Arial" w:cs="Arial"/>
            <w:sz w:val="20"/>
            <w:szCs w:val="20"/>
          </w:rPr>
          <w:t>mbqd@azc.uam.mx</w:t>
        </w:r>
      </w:hyperlink>
      <w:r w:rsidRPr="00D1577C">
        <w:rPr>
          <w:rFonts w:ascii="Arial" w:hAnsi="Arial" w:cs="Arial"/>
          <w:sz w:val="20"/>
          <w:szCs w:val="20"/>
        </w:rPr>
        <w:t xml:space="preserve">, </w:t>
      </w:r>
    </w:p>
    <w:p w:rsidR="007F2707" w:rsidRPr="00D1577C" w:rsidRDefault="007F2707" w:rsidP="007F2707">
      <w:pPr>
        <w:spacing w:line="240" w:lineRule="auto"/>
        <w:jc w:val="center"/>
        <w:rPr>
          <w:rFonts w:ascii="Arial" w:hAnsi="Arial" w:cs="Arial"/>
          <w:sz w:val="20"/>
          <w:szCs w:val="20"/>
        </w:rPr>
      </w:pPr>
      <w:r w:rsidRPr="00D1577C">
        <w:rPr>
          <w:rFonts w:ascii="Arial" w:hAnsi="Arial" w:cs="Arial"/>
          <w:sz w:val="20"/>
          <w:szCs w:val="20"/>
          <w:vertAlign w:val="superscript"/>
        </w:rPr>
        <w:t>2</w:t>
      </w:r>
      <w:r w:rsidRPr="00D1577C">
        <w:rPr>
          <w:rFonts w:ascii="Arial" w:hAnsi="Arial" w:cs="Arial"/>
          <w:sz w:val="20"/>
          <w:szCs w:val="20"/>
        </w:rPr>
        <w:t xml:space="preserve">Prolongación Paseo de la Reforma # 880, Lomas de Santa Fe C.P.01219,email </w:t>
      </w:r>
      <w:hyperlink r:id="rId1271" w:history="1">
        <w:r w:rsidRPr="00D1577C">
          <w:rPr>
            <w:rStyle w:val="Hipervnculo"/>
            <w:rFonts w:ascii="Arial" w:hAnsi="Arial" w:cs="Arial"/>
            <w:sz w:val="20"/>
            <w:szCs w:val="20"/>
          </w:rPr>
          <w:t>berenicegrodriguez@gmail.com</w:t>
        </w:r>
      </w:hyperlink>
    </w:p>
    <w:p w:rsidR="007F2707" w:rsidRPr="00D1577C" w:rsidRDefault="007F2707" w:rsidP="007F2707">
      <w:pPr>
        <w:spacing w:line="240" w:lineRule="auto"/>
        <w:jc w:val="center"/>
        <w:rPr>
          <w:rFonts w:ascii="Arial" w:hAnsi="Arial" w:cs="Arial"/>
          <w:sz w:val="20"/>
          <w:szCs w:val="20"/>
        </w:rPr>
      </w:pPr>
      <w:r w:rsidRPr="00D1577C">
        <w:rPr>
          <w:rFonts w:ascii="Arial" w:hAnsi="Arial" w:cs="Arial"/>
          <w:sz w:val="20"/>
          <w:szCs w:val="20"/>
          <w:vertAlign w:val="superscript"/>
        </w:rPr>
        <w:t>3</w:t>
      </w:r>
      <w:r w:rsidRPr="00D1577C">
        <w:rPr>
          <w:rFonts w:ascii="Arial" w:hAnsi="Arial" w:cs="Arial"/>
          <w:sz w:val="20"/>
          <w:szCs w:val="20"/>
        </w:rPr>
        <w:t xml:space="preserve">Universidad Autónoma Metropolitana-Azcapotzalco, Av. San Pablo # 180, Reynosa Tamaulipas C.P. 02200, email </w:t>
      </w:r>
      <w:hyperlink r:id="rId1272" w:history="1">
        <w:r w:rsidRPr="00D1577C">
          <w:rPr>
            <w:rStyle w:val="Hipervnculo"/>
            <w:rFonts w:ascii="Arial" w:hAnsi="Arial" w:cs="Arial"/>
            <w:sz w:val="20"/>
            <w:szCs w:val="20"/>
          </w:rPr>
          <w:t>maor@azc.uam.mx</w:t>
        </w:r>
      </w:hyperlink>
    </w:p>
    <w:p w:rsidR="007F2707" w:rsidRPr="00D1577C" w:rsidRDefault="007F2707" w:rsidP="007F2707">
      <w:pPr>
        <w:spacing w:line="240" w:lineRule="auto"/>
        <w:jc w:val="center"/>
        <w:rPr>
          <w:rFonts w:ascii="Arial" w:hAnsi="Arial" w:cs="Arial"/>
          <w:color w:val="0000FF" w:themeColor="hyperlink"/>
          <w:sz w:val="20"/>
          <w:szCs w:val="20"/>
          <w:u w:val="single"/>
        </w:rPr>
      </w:pPr>
      <w:r w:rsidRPr="00D1577C">
        <w:rPr>
          <w:rFonts w:ascii="Arial" w:hAnsi="Arial" w:cs="Arial"/>
          <w:sz w:val="20"/>
          <w:szCs w:val="20"/>
          <w:vertAlign w:val="superscript"/>
        </w:rPr>
        <w:t>4</w:t>
      </w:r>
      <w:r w:rsidRPr="00D1577C">
        <w:rPr>
          <w:rFonts w:ascii="Arial" w:hAnsi="Arial" w:cs="Arial"/>
          <w:sz w:val="20"/>
          <w:szCs w:val="20"/>
        </w:rPr>
        <w:t xml:space="preserve">Universidad Autónoma Metropolitana-Iztapalapa, Av. San Rafael Atlixco #186, Vicentina C.P.09340, email </w:t>
      </w:r>
      <w:hyperlink r:id="rId1273" w:history="1">
        <w:r w:rsidRPr="00D1577C">
          <w:rPr>
            <w:rStyle w:val="Hipervnculo"/>
            <w:rFonts w:ascii="Arial" w:hAnsi="Arial" w:cs="Arial"/>
            <w:sz w:val="20"/>
            <w:szCs w:val="20"/>
          </w:rPr>
          <w:t>agj@xanum.uam.mx</w:t>
        </w:r>
      </w:hyperlink>
    </w:p>
    <w:p w:rsidR="007F2707" w:rsidRPr="00D1577C" w:rsidRDefault="00F54D0B" w:rsidP="00F54D0B">
      <w:pPr>
        <w:pStyle w:val="1Titulo"/>
        <w:numPr>
          <w:ilvl w:val="0"/>
          <w:numId w:val="0"/>
        </w:numPr>
        <w:ind w:left="357"/>
      </w:pPr>
      <w:bookmarkStart w:id="390" w:name="_Toc50031437"/>
      <w:r>
        <w:rPr>
          <w:sz w:val="20"/>
          <w:szCs w:val="20"/>
        </w:rPr>
        <w:t>1.</w:t>
      </w:r>
      <w:r w:rsidR="007F2707" w:rsidRPr="00D1577C">
        <w:rPr>
          <w:sz w:val="20"/>
          <w:szCs w:val="20"/>
        </w:rPr>
        <w:t>R</w:t>
      </w:r>
      <w:r w:rsidR="007F2707" w:rsidRPr="00D1577C">
        <w:t>esumen</w:t>
      </w:r>
      <w:bookmarkEnd w:id="390"/>
    </w:p>
    <w:p w:rsidR="007F2707" w:rsidRPr="00D1577C" w:rsidRDefault="007F2707" w:rsidP="007F2707">
      <w:pPr>
        <w:spacing w:line="240" w:lineRule="auto"/>
        <w:jc w:val="both"/>
        <w:rPr>
          <w:rFonts w:ascii="Arial" w:hAnsi="Arial" w:cs="Arial"/>
          <w:sz w:val="24"/>
          <w:szCs w:val="24"/>
          <w:lang w:val="es-MX"/>
        </w:rPr>
      </w:pPr>
      <w:r w:rsidRPr="00D1577C">
        <w:rPr>
          <w:rFonts w:ascii="Arial" w:hAnsi="Arial" w:cs="Arial"/>
          <w:sz w:val="24"/>
          <w:szCs w:val="24"/>
          <w:lang w:val="es-MX"/>
        </w:rPr>
        <w:t xml:space="preserve">La necesidad obtener nuevos conocimientos sobre procesos </w:t>
      </w:r>
      <w:r>
        <w:rPr>
          <w:rFonts w:ascii="Arial" w:hAnsi="Arial" w:cs="Arial"/>
          <w:sz w:val="24"/>
          <w:szCs w:val="24"/>
          <w:lang w:val="es-MX"/>
        </w:rPr>
        <w:t>técnicos,</w:t>
      </w:r>
      <w:r w:rsidRPr="00D1577C">
        <w:rPr>
          <w:rFonts w:ascii="Arial" w:hAnsi="Arial" w:cs="Arial"/>
          <w:sz w:val="24"/>
          <w:szCs w:val="24"/>
          <w:lang w:val="es-MX"/>
        </w:rPr>
        <w:t xml:space="preserve"> culturales</w:t>
      </w:r>
      <w:r>
        <w:rPr>
          <w:rFonts w:ascii="Arial" w:hAnsi="Arial" w:cs="Arial"/>
          <w:sz w:val="24"/>
          <w:szCs w:val="24"/>
          <w:lang w:val="es-MX"/>
        </w:rPr>
        <w:t>,</w:t>
      </w:r>
      <w:r w:rsidRPr="00090AB3">
        <w:rPr>
          <w:rFonts w:ascii="Arial" w:hAnsi="Arial" w:cs="Arial"/>
          <w:sz w:val="24"/>
          <w:szCs w:val="24"/>
          <w:lang w:val="es-MX"/>
        </w:rPr>
        <w:t xml:space="preserve"> </w:t>
      </w:r>
      <w:r w:rsidRPr="00D1577C">
        <w:rPr>
          <w:rFonts w:ascii="Arial" w:hAnsi="Arial" w:cs="Arial"/>
          <w:sz w:val="24"/>
          <w:szCs w:val="24"/>
          <w:lang w:val="es-MX"/>
        </w:rPr>
        <w:t>eco</w:t>
      </w:r>
      <w:r>
        <w:rPr>
          <w:rFonts w:ascii="Arial" w:hAnsi="Arial" w:cs="Arial"/>
          <w:sz w:val="24"/>
          <w:szCs w:val="24"/>
          <w:lang w:val="es-MX"/>
        </w:rPr>
        <w:t xml:space="preserve">nómicos y políticos </w:t>
      </w:r>
      <w:r w:rsidRPr="00D1577C">
        <w:rPr>
          <w:rFonts w:ascii="Arial" w:hAnsi="Arial" w:cs="Arial"/>
          <w:sz w:val="24"/>
          <w:szCs w:val="24"/>
          <w:lang w:val="es-MX"/>
        </w:rPr>
        <w:t>en el ámbito de la interrelación entre países y de cooperación con otros estados, organizaciones no gubernamentales e instituciones científicas, conlleva, a ejercer y ganar poder blando por parte del gobierno. Una forma de obtenerlo es la educación, impulsando los intercambios educativos. Este trabajo es un estudio de caso del intercambio en la División de Ciencias Básicas e Ingeniería de la Universidad Autónoma Metropolitana-Azcapotzalco. El intercambio ha aumentado conforme transcurre el tiempo, en un principio se daba con países latinoamericanos y últimamente con países como Francia y Alemania, lo que supone un mejor escenario. La influencia de este intercambio en el poder blando del país es reducida, sin modificar la imagen del país al exterior. La movilidad de estudiantes extranjeros hacia la Universidad Autónoma Metropolitana contribuye a crear una mejor imagen de la Institución en el escenario internacional.</w:t>
      </w:r>
    </w:p>
    <w:p w:rsidR="007F2707" w:rsidRPr="001143E1" w:rsidRDefault="00F54D0B" w:rsidP="00F54D0B">
      <w:pPr>
        <w:pStyle w:val="1Titulo"/>
        <w:numPr>
          <w:ilvl w:val="0"/>
          <w:numId w:val="0"/>
        </w:numPr>
        <w:ind w:left="357"/>
      </w:pPr>
      <w:bookmarkStart w:id="391" w:name="_Toc50031438"/>
      <w:r>
        <w:t>2.</w:t>
      </w:r>
      <w:r w:rsidR="007F2707" w:rsidRPr="001143E1">
        <w:t>Introducción</w:t>
      </w:r>
      <w:bookmarkEnd w:id="391"/>
    </w:p>
    <w:p w:rsidR="007F2707" w:rsidRPr="00D1577C" w:rsidRDefault="007F2707" w:rsidP="007F2707">
      <w:pPr>
        <w:spacing w:line="240" w:lineRule="auto"/>
        <w:jc w:val="both"/>
        <w:rPr>
          <w:rFonts w:ascii="Arial" w:hAnsi="Arial" w:cs="Arial"/>
          <w:sz w:val="24"/>
          <w:szCs w:val="24"/>
          <w:lang w:val="es-MX"/>
        </w:rPr>
      </w:pPr>
      <w:r w:rsidRPr="00D1577C">
        <w:rPr>
          <w:rFonts w:ascii="Arial" w:hAnsi="Arial" w:cs="Arial"/>
          <w:sz w:val="24"/>
          <w:szCs w:val="24"/>
          <w:lang w:val="es-MX"/>
        </w:rPr>
        <w:t xml:space="preserve">El poder está sumergido en la estructura social y si se quiere entender se debe examinar desde prácticas específicas que se desarrollan en una sociedad establecida y durante una época </w:t>
      </w:r>
      <w:r>
        <w:rPr>
          <w:rFonts w:ascii="Arial" w:hAnsi="Arial" w:cs="Arial"/>
          <w:sz w:val="24"/>
          <w:szCs w:val="24"/>
          <w:lang w:val="es-MX"/>
        </w:rPr>
        <w:t xml:space="preserve">determinada </w:t>
      </w:r>
      <w:r>
        <w:rPr>
          <w:rFonts w:ascii="Arial" w:hAnsi="Arial" w:cs="Arial"/>
          <w:sz w:val="24"/>
          <w:szCs w:val="24"/>
          <w:vertAlign w:val="superscript"/>
          <w:lang w:val="es-MX"/>
        </w:rPr>
        <w:t>[1]</w:t>
      </w:r>
      <w:r w:rsidRPr="00D1577C">
        <w:rPr>
          <w:rFonts w:ascii="Arial" w:hAnsi="Arial" w:cs="Arial"/>
          <w:sz w:val="24"/>
          <w:szCs w:val="24"/>
          <w:lang w:val="es-MX"/>
        </w:rPr>
        <w:t>.</w:t>
      </w:r>
    </w:p>
    <w:p w:rsidR="007F2707" w:rsidRPr="00D1577C" w:rsidRDefault="007F2707" w:rsidP="007F2707">
      <w:pPr>
        <w:spacing w:line="240" w:lineRule="auto"/>
        <w:jc w:val="both"/>
        <w:rPr>
          <w:rFonts w:ascii="Arial" w:hAnsi="Arial" w:cs="Arial"/>
          <w:sz w:val="24"/>
          <w:szCs w:val="24"/>
          <w:lang w:val="es-MX"/>
        </w:rPr>
      </w:pPr>
      <w:r w:rsidRPr="00D1577C">
        <w:rPr>
          <w:rFonts w:ascii="Arial" w:hAnsi="Arial" w:cs="Arial"/>
          <w:sz w:val="24"/>
          <w:szCs w:val="24"/>
          <w:lang w:val="es-MX"/>
        </w:rPr>
        <w:t xml:space="preserve">El concepto de poder blando (soft power) se puede resumir en la capacidad de lograr que otros ambicionen lo </w:t>
      </w:r>
      <w:r>
        <w:rPr>
          <w:rFonts w:ascii="Arial" w:hAnsi="Arial" w:cs="Arial"/>
          <w:sz w:val="24"/>
          <w:szCs w:val="24"/>
          <w:lang w:val="es-MX"/>
        </w:rPr>
        <w:t xml:space="preserve">que uno ambiciona </w:t>
      </w:r>
      <w:r w:rsidRPr="0077437F">
        <w:rPr>
          <w:rFonts w:ascii="Arial" w:hAnsi="Arial" w:cs="Arial"/>
          <w:sz w:val="24"/>
          <w:szCs w:val="24"/>
          <w:vertAlign w:val="superscript"/>
          <w:lang w:val="es-MX"/>
        </w:rPr>
        <w:t>[2:30]</w:t>
      </w:r>
      <w:r w:rsidRPr="00D1577C">
        <w:rPr>
          <w:rFonts w:ascii="Arial" w:hAnsi="Arial" w:cs="Arial"/>
          <w:sz w:val="24"/>
          <w:szCs w:val="24"/>
          <w:lang w:val="es-MX"/>
        </w:rPr>
        <w:t>. Indicando la existencia de factores inmateriales no controlados por el Estado, que tienen la capacidad de contribuir tanto o más que la presión militar y la coerción económica (poder duro, hard power) al logro de los objetivos establecidos por una nación</w:t>
      </w:r>
      <w:r>
        <w:rPr>
          <w:rFonts w:ascii="Arial" w:hAnsi="Arial" w:cs="Arial"/>
          <w:sz w:val="24"/>
          <w:szCs w:val="24"/>
          <w:lang w:val="es-MX"/>
        </w:rPr>
        <w:t xml:space="preserve"> </w:t>
      </w:r>
      <w:r>
        <w:rPr>
          <w:rFonts w:ascii="Arial" w:hAnsi="Arial" w:cs="Arial"/>
          <w:sz w:val="24"/>
          <w:szCs w:val="24"/>
          <w:vertAlign w:val="superscript"/>
          <w:lang w:val="es-MX"/>
        </w:rPr>
        <w:t>[3]</w:t>
      </w:r>
      <w:r w:rsidRPr="00D1577C">
        <w:rPr>
          <w:rFonts w:ascii="Arial" w:hAnsi="Arial" w:cs="Arial"/>
          <w:sz w:val="24"/>
          <w:szCs w:val="24"/>
          <w:lang w:val="es-MX"/>
        </w:rPr>
        <w:t xml:space="preserve">. </w:t>
      </w:r>
    </w:p>
    <w:p w:rsidR="007F2707" w:rsidRPr="00D1577C" w:rsidRDefault="007F2707" w:rsidP="007F2707">
      <w:pPr>
        <w:spacing w:line="240" w:lineRule="auto"/>
        <w:jc w:val="both"/>
        <w:rPr>
          <w:rFonts w:ascii="Arial" w:hAnsi="Arial" w:cs="Arial"/>
          <w:sz w:val="24"/>
          <w:szCs w:val="24"/>
          <w:lang w:val="es-MX"/>
        </w:rPr>
      </w:pPr>
      <w:r w:rsidRPr="00D1577C">
        <w:rPr>
          <w:rFonts w:ascii="Arial" w:hAnsi="Arial" w:cs="Arial"/>
          <w:sz w:val="24"/>
          <w:szCs w:val="24"/>
          <w:lang w:val="es-MX"/>
        </w:rPr>
        <w:t>La noción de poder blando comprende dos capacidades: la capa</w:t>
      </w:r>
      <w:r>
        <w:rPr>
          <w:rFonts w:ascii="Arial" w:hAnsi="Arial" w:cs="Arial"/>
          <w:sz w:val="24"/>
          <w:szCs w:val="24"/>
          <w:lang w:val="es-MX"/>
        </w:rPr>
        <w:t>cidad de atracción (persuasión),</w:t>
      </w:r>
      <w:r w:rsidRPr="00D1577C">
        <w:rPr>
          <w:rFonts w:ascii="Arial" w:hAnsi="Arial" w:cs="Arial"/>
          <w:sz w:val="24"/>
          <w:szCs w:val="24"/>
          <w:lang w:val="es-MX"/>
        </w:rPr>
        <w:t xml:space="preserve"> desde fuera del actor hacia adentro y la capacidad de configur</w:t>
      </w:r>
      <w:r>
        <w:rPr>
          <w:rFonts w:ascii="Arial" w:hAnsi="Arial" w:cs="Arial"/>
          <w:sz w:val="24"/>
          <w:szCs w:val="24"/>
          <w:lang w:val="es-MX"/>
        </w:rPr>
        <w:t>ar las preferencias (ideología),</w:t>
      </w:r>
      <w:r w:rsidRPr="00D1577C">
        <w:rPr>
          <w:rFonts w:ascii="Arial" w:hAnsi="Arial" w:cs="Arial"/>
          <w:sz w:val="24"/>
          <w:szCs w:val="24"/>
          <w:lang w:val="es-MX"/>
        </w:rPr>
        <w:t xml:space="preserve"> desde dentro hacia afuera. </w:t>
      </w:r>
    </w:p>
    <w:p w:rsidR="007F2707" w:rsidRPr="00D1577C" w:rsidRDefault="007F2707" w:rsidP="007F2707">
      <w:pPr>
        <w:spacing w:line="240" w:lineRule="auto"/>
        <w:jc w:val="both"/>
        <w:rPr>
          <w:rFonts w:ascii="Arial" w:hAnsi="Arial" w:cs="Arial"/>
          <w:sz w:val="24"/>
          <w:szCs w:val="24"/>
          <w:lang w:val="es-MX"/>
        </w:rPr>
      </w:pPr>
      <w:r w:rsidRPr="00D1577C">
        <w:rPr>
          <w:rFonts w:ascii="Arial" w:hAnsi="Arial" w:cs="Arial"/>
          <w:sz w:val="24"/>
          <w:szCs w:val="24"/>
          <w:lang w:val="es-MX"/>
        </w:rPr>
        <w:t xml:space="preserve">De esta manera, un país puede lograr los resultados que busca en política internacional sí otros países están dispuestos a seguirlo - admirando sus valores, emulando su ejemplo, anhelando su nivel </w:t>
      </w:r>
      <w:r>
        <w:rPr>
          <w:rFonts w:ascii="Arial" w:hAnsi="Arial" w:cs="Arial"/>
          <w:sz w:val="24"/>
          <w:szCs w:val="24"/>
          <w:lang w:val="es-MX"/>
        </w:rPr>
        <w:t xml:space="preserve">de prosperidad y apertura </w:t>
      </w:r>
      <w:r w:rsidRPr="00324161">
        <w:rPr>
          <w:rFonts w:ascii="Arial" w:hAnsi="Arial" w:cs="Arial"/>
          <w:sz w:val="24"/>
          <w:szCs w:val="24"/>
          <w:vertAlign w:val="superscript"/>
          <w:lang w:val="es-MX"/>
        </w:rPr>
        <w:t>[4]</w:t>
      </w:r>
      <w:r w:rsidRPr="00D1577C">
        <w:rPr>
          <w:rFonts w:ascii="Arial" w:hAnsi="Arial" w:cs="Arial"/>
          <w:sz w:val="24"/>
          <w:szCs w:val="24"/>
          <w:lang w:val="es-MX"/>
        </w:rPr>
        <w:t>.</w:t>
      </w:r>
    </w:p>
    <w:p w:rsidR="007F2707" w:rsidRPr="00D1577C" w:rsidRDefault="007F2707" w:rsidP="007F2707">
      <w:pPr>
        <w:spacing w:line="240" w:lineRule="auto"/>
        <w:jc w:val="both"/>
        <w:rPr>
          <w:rFonts w:ascii="Arial" w:hAnsi="Arial" w:cs="Arial"/>
          <w:sz w:val="24"/>
          <w:szCs w:val="24"/>
          <w:lang w:val="es-MX"/>
        </w:rPr>
      </w:pPr>
      <w:r w:rsidRPr="00D1577C">
        <w:rPr>
          <w:rFonts w:ascii="Arial" w:hAnsi="Arial" w:cs="Arial"/>
          <w:sz w:val="24"/>
          <w:szCs w:val="24"/>
          <w:lang w:val="es-MX"/>
        </w:rPr>
        <w:t>Nye establece como indicadores del poder blando</w:t>
      </w:r>
    </w:p>
    <w:p w:rsidR="007F2707" w:rsidRPr="00D1577C" w:rsidRDefault="007F2707" w:rsidP="001D2A3D">
      <w:pPr>
        <w:pStyle w:val="Prrafodelista"/>
        <w:numPr>
          <w:ilvl w:val="0"/>
          <w:numId w:val="58"/>
        </w:numPr>
        <w:spacing w:after="160" w:line="240" w:lineRule="auto"/>
        <w:jc w:val="both"/>
        <w:rPr>
          <w:rFonts w:ascii="Arial" w:hAnsi="Arial" w:cs="Arial"/>
          <w:sz w:val="24"/>
          <w:szCs w:val="24"/>
          <w:lang w:val="es-MX"/>
        </w:rPr>
      </w:pPr>
      <w:r w:rsidRPr="00D1577C">
        <w:rPr>
          <w:rFonts w:ascii="Arial" w:hAnsi="Arial" w:cs="Arial"/>
          <w:sz w:val="24"/>
          <w:szCs w:val="24"/>
          <w:lang w:val="es-MX"/>
        </w:rPr>
        <w:t>Alumnos extranjeros e investigadores en Universidades</w:t>
      </w:r>
    </w:p>
    <w:p w:rsidR="007F2707" w:rsidRPr="00D1577C" w:rsidRDefault="007F2707" w:rsidP="001D2A3D">
      <w:pPr>
        <w:pStyle w:val="Prrafodelista"/>
        <w:numPr>
          <w:ilvl w:val="0"/>
          <w:numId w:val="58"/>
        </w:numPr>
        <w:spacing w:after="160" w:line="240" w:lineRule="auto"/>
        <w:jc w:val="both"/>
        <w:rPr>
          <w:rFonts w:ascii="Arial" w:hAnsi="Arial" w:cs="Arial"/>
          <w:sz w:val="24"/>
          <w:szCs w:val="24"/>
          <w:lang w:val="es-MX"/>
        </w:rPr>
      </w:pPr>
      <w:r w:rsidRPr="00D1577C">
        <w:rPr>
          <w:rFonts w:ascii="Arial" w:hAnsi="Arial" w:cs="Arial"/>
          <w:sz w:val="24"/>
          <w:szCs w:val="24"/>
          <w:lang w:val="es-MX"/>
        </w:rPr>
        <w:t>Libros publicados</w:t>
      </w:r>
    </w:p>
    <w:p w:rsidR="007F2707" w:rsidRPr="00D1577C" w:rsidRDefault="007F2707" w:rsidP="001D2A3D">
      <w:pPr>
        <w:pStyle w:val="Prrafodelista"/>
        <w:numPr>
          <w:ilvl w:val="0"/>
          <w:numId w:val="58"/>
        </w:numPr>
        <w:spacing w:after="160" w:line="240" w:lineRule="auto"/>
        <w:jc w:val="both"/>
        <w:rPr>
          <w:rFonts w:ascii="Arial" w:hAnsi="Arial" w:cs="Arial"/>
          <w:sz w:val="24"/>
          <w:szCs w:val="24"/>
          <w:lang w:val="es-MX"/>
        </w:rPr>
      </w:pPr>
      <w:r w:rsidRPr="00D1577C">
        <w:rPr>
          <w:rFonts w:ascii="Arial" w:hAnsi="Arial" w:cs="Arial"/>
          <w:sz w:val="24"/>
          <w:szCs w:val="24"/>
          <w:lang w:val="es-MX"/>
        </w:rPr>
        <w:t>Premios nobel</w:t>
      </w:r>
    </w:p>
    <w:p w:rsidR="007F2707" w:rsidRPr="00D1577C" w:rsidRDefault="007F2707" w:rsidP="001D2A3D">
      <w:pPr>
        <w:pStyle w:val="Prrafodelista"/>
        <w:numPr>
          <w:ilvl w:val="0"/>
          <w:numId w:val="58"/>
        </w:numPr>
        <w:spacing w:after="160" w:line="240" w:lineRule="auto"/>
        <w:jc w:val="both"/>
        <w:rPr>
          <w:rFonts w:ascii="Arial" w:hAnsi="Arial" w:cs="Arial"/>
          <w:sz w:val="24"/>
          <w:szCs w:val="24"/>
          <w:lang w:val="es-MX"/>
        </w:rPr>
      </w:pPr>
      <w:r w:rsidRPr="00D1577C">
        <w:rPr>
          <w:rFonts w:ascii="Arial" w:hAnsi="Arial" w:cs="Arial"/>
          <w:sz w:val="24"/>
          <w:szCs w:val="24"/>
          <w:lang w:val="es-MX"/>
        </w:rPr>
        <w:t xml:space="preserve">Publicación de artículos científicos </w:t>
      </w:r>
    </w:p>
    <w:p w:rsidR="007F2707" w:rsidRPr="00D1577C" w:rsidRDefault="007F2707" w:rsidP="007F2707">
      <w:pPr>
        <w:pStyle w:val="Prrafodelista"/>
        <w:spacing w:line="240" w:lineRule="auto"/>
        <w:jc w:val="both"/>
        <w:rPr>
          <w:rFonts w:ascii="Arial" w:hAnsi="Arial" w:cs="Arial"/>
          <w:sz w:val="24"/>
          <w:szCs w:val="24"/>
          <w:lang w:val="es-MX"/>
        </w:rPr>
      </w:pPr>
    </w:p>
    <w:p w:rsidR="007F2707" w:rsidRPr="00D1577C" w:rsidRDefault="007F2707" w:rsidP="007F2707">
      <w:pPr>
        <w:spacing w:line="240" w:lineRule="auto"/>
        <w:jc w:val="both"/>
        <w:rPr>
          <w:rFonts w:ascii="Arial" w:hAnsi="Arial" w:cs="Arial"/>
          <w:sz w:val="24"/>
          <w:szCs w:val="24"/>
          <w:lang w:val="es-MX"/>
        </w:rPr>
      </w:pPr>
      <w:r w:rsidRPr="00D1577C">
        <w:rPr>
          <w:rFonts w:ascii="Arial" w:hAnsi="Arial" w:cs="Arial"/>
          <w:sz w:val="24"/>
          <w:szCs w:val="24"/>
          <w:lang w:val="es-MX"/>
        </w:rPr>
        <w:t>El poder blando es un subproducto social, es un proceso progresivo que proporciona resultados a largo plazo debido a que está vinculado a la aceptación de los individuos y a la construcción de una imagen. Esta imagen ayudará al país a promover un mejor posicionamiento en la comunidad global para conseguir de esta manera un acercamiento a los países más poderosos e influyentes y garantizar alianzas económicas, de infraestructura, de educación y de t</w:t>
      </w:r>
      <w:r>
        <w:rPr>
          <w:rFonts w:ascii="Arial" w:hAnsi="Arial" w:cs="Arial"/>
          <w:sz w:val="24"/>
          <w:szCs w:val="24"/>
          <w:lang w:val="es-MX"/>
        </w:rPr>
        <w:t xml:space="preserve">ransmisión de tecnología </w:t>
      </w:r>
      <w:r>
        <w:rPr>
          <w:rFonts w:ascii="Arial" w:hAnsi="Arial" w:cs="Arial"/>
          <w:sz w:val="24"/>
          <w:szCs w:val="24"/>
          <w:vertAlign w:val="superscript"/>
          <w:lang w:val="es-MX"/>
        </w:rPr>
        <w:t>[5]</w:t>
      </w:r>
      <w:r w:rsidRPr="00D1577C">
        <w:rPr>
          <w:rFonts w:ascii="Arial" w:hAnsi="Arial" w:cs="Arial"/>
          <w:sz w:val="24"/>
          <w:szCs w:val="24"/>
          <w:lang w:val="es-MX"/>
        </w:rPr>
        <w:t xml:space="preserve">. </w:t>
      </w:r>
    </w:p>
    <w:p w:rsidR="007F2707" w:rsidRPr="00D1577C" w:rsidRDefault="007F2707" w:rsidP="007F2707">
      <w:pPr>
        <w:spacing w:after="0" w:line="240" w:lineRule="auto"/>
        <w:jc w:val="both"/>
        <w:rPr>
          <w:rFonts w:ascii="Arial" w:hAnsi="Arial" w:cs="Arial"/>
          <w:sz w:val="24"/>
          <w:szCs w:val="24"/>
          <w:lang w:val="es-ES_tradnl"/>
        </w:rPr>
      </w:pPr>
      <w:r w:rsidRPr="00D1577C">
        <w:rPr>
          <w:rFonts w:ascii="Arial" w:hAnsi="Arial" w:cs="Arial"/>
          <w:sz w:val="24"/>
          <w:szCs w:val="24"/>
          <w:lang w:val="es-ES_tradnl"/>
        </w:rPr>
        <w:t>Una de las maneras en cómo el gobierno puede ejercer y ganar el poder blando en el contexto internacional es a través de la educación, cuyos esfuerzos pueden verse influidos de manera positiva o negativa por la postura, actitudes y acciones de los individuos o grupos de la sociedad civil, ya que la sociedad como un todo está presente en el interior de cada individuo, en su lenguaje, su saber, sus obligacion</w:t>
      </w:r>
      <w:r>
        <w:rPr>
          <w:rFonts w:ascii="Arial" w:hAnsi="Arial" w:cs="Arial"/>
          <w:sz w:val="24"/>
          <w:szCs w:val="24"/>
          <w:lang w:val="es-ES_tradnl"/>
        </w:rPr>
        <w:t xml:space="preserve">es, sus normas </w:t>
      </w:r>
      <w:r>
        <w:rPr>
          <w:rFonts w:ascii="Arial" w:hAnsi="Arial" w:cs="Arial"/>
          <w:sz w:val="24"/>
          <w:szCs w:val="24"/>
          <w:vertAlign w:val="superscript"/>
          <w:lang w:val="es-ES_tradnl"/>
        </w:rPr>
        <w:t>[6]</w:t>
      </w:r>
      <w:r w:rsidRPr="00D1577C">
        <w:rPr>
          <w:rFonts w:ascii="Arial" w:hAnsi="Arial" w:cs="Arial"/>
          <w:sz w:val="24"/>
          <w:szCs w:val="24"/>
          <w:lang w:val="es-ES_tradnl"/>
        </w:rPr>
        <w:t>.</w:t>
      </w:r>
    </w:p>
    <w:p w:rsidR="007F2707" w:rsidRPr="00D1577C" w:rsidRDefault="007F2707" w:rsidP="007F2707">
      <w:pPr>
        <w:spacing w:after="0" w:line="240" w:lineRule="auto"/>
        <w:jc w:val="both"/>
        <w:rPr>
          <w:rFonts w:ascii="Arial" w:hAnsi="Arial" w:cs="Arial"/>
          <w:sz w:val="24"/>
          <w:szCs w:val="24"/>
          <w:lang w:val="es-ES_tradnl"/>
        </w:rPr>
      </w:pPr>
    </w:p>
    <w:p w:rsidR="007F2707" w:rsidRPr="00D1577C" w:rsidRDefault="007F2707" w:rsidP="007F2707">
      <w:pPr>
        <w:spacing w:line="240" w:lineRule="auto"/>
        <w:jc w:val="both"/>
        <w:rPr>
          <w:rFonts w:ascii="Arial" w:hAnsi="Arial" w:cs="Arial"/>
          <w:sz w:val="24"/>
          <w:szCs w:val="24"/>
          <w:lang w:val="es-MX"/>
        </w:rPr>
      </w:pPr>
      <w:r w:rsidRPr="00D1577C">
        <w:rPr>
          <w:rFonts w:ascii="Arial" w:hAnsi="Arial" w:cs="Arial"/>
          <w:sz w:val="24"/>
          <w:szCs w:val="24"/>
          <w:lang w:val="es-MX"/>
        </w:rPr>
        <w:t xml:space="preserve">Las estrategias y recursos se dirigen a los estudiantes de nivel superior e investigadores en la Universidad, que a través de sus acciones son capaces de obtener prestigio científico y educativo adaptado al contexto nacional e internacional actual. No obstante, la promoción de intercambios educativos dependerá de la conversión exitosa de este recurso en atracción efectiva, de una respuesta positiva y esperada por parte de los estudiantes extranjeros y la consecución de intereses y objetivos. </w:t>
      </w:r>
    </w:p>
    <w:p w:rsidR="007F2707" w:rsidRPr="00D1577C" w:rsidRDefault="007F2707" w:rsidP="007F2707">
      <w:pPr>
        <w:spacing w:line="240" w:lineRule="auto"/>
        <w:jc w:val="both"/>
        <w:rPr>
          <w:rFonts w:ascii="Arial" w:hAnsi="Arial" w:cs="Arial"/>
          <w:sz w:val="24"/>
          <w:szCs w:val="24"/>
          <w:lang w:val="es-MX"/>
        </w:rPr>
      </w:pPr>
      <w:r w:rsidRPr="00D1577C">
        <w:rPr>
          <w:rFonts w:ascii="Arial" w:hAnsi="Arial" w:cs="Arial"/>
          <w:sz w:val="24"/>
          <w:szCs w:val="24"/>
          <w:lang w:val="es-MX"/>
        </w:rPr>
        <w:t>Al fundamentarse en el ejercicio de la atracción, requiere la utilización de bienes intangibles como la persuasión a través de ideas atractivas, de personalidades, de discursos, de un buen servicio educativo, cuyo propósito sea generar atracción de estudiantes extranjeros a partir de una población formada bajo una educación completa y de calidad que incremente el acervo cultural y de conocimiento de la nación y que se posicione como modelo a seguir en los estándares universales. Además de catalogar a las universidades del país dentro de los primeros lugares de las clasificaciones mundiales.</w:t>
      </w:r>
    </w:p>
    <w:p w:rsidR="007F2707" w:rsidRDefault="007F2707" w:rsidP="007F2707">
      <w:pPr>
        <w:spacing w:line="240" w:lineRule="auto"/>
        <w:jc w:val="both"/>
        <w:rPr>
          <w:rFonts w:ascii="Arial" w:hAnsi="Arial" w:cs="Arial"/>
          <w:sz w:val="24"/>
          <w:szCs w:val="24"/>
          <w:lang w:val="es-MX"/>
        </w:rPr>
      </w:pPr>
      <w:r w:rsidRPr="00D1577C">
        <w:rPr>
          <w:rFonts w:ascii="Arial" w:hAnsi="Arial" w:cs="Arial"/>
          <w:sz w:val="24"/>
          <w:szCs w:val="24"/>
          <w:lang w:val="es-MX"/>
        </w:rPr>
        <w:t>Esto se logrará a través de la cooperación con otros Estados, organizaciones no gubernamentales, instituciones científicas u otras organizaciones internacionales como la Organización de Naciones Unidas</w:t>
      </w:r>
      <w:r>
        <w:rPr>
          <w:rFonts w:ascii="Arial" w:hAnsi="Arial" w:cs="Arial"/>
          <w:sz w:val="24"/>
          <w:szCs w:val="24"/>
          <w:lang w:val="es-MX"/>
        </w:rPr>
        <w:t>,</w:t>
      </w:r>
      <w:r w:rsidRPr="00D1577C">
        <w:rPr>
          <w:rFonts w:ascii="Arial" w:hAnsi="Arial" w:cs="Arial"/>
          <w:sz w:val="24"/>
          <w:szCs w:val="24"/>
          <w:lang w:val="es-MX"/>
        </w:rPr>
        <w:t xml:space="preserve"> que se postulan como los encargados de proteger intereses públicos más allá de lo que puede alcanzar los esfuerzos promovidos por un Estado.</w:t>
      </w:r>
    </w:p>
    <w:p w:rsidR="007F2707" w:rsidRPr="001143E1" w:rsidRDefault="00F54D0B" w:rsidP="00F54D0B">
      <w:pPr>
        <w:pStyle w:val="1Titulo"/>
        <w:numPr>
          <w:ilvl w:val="0"/>
          <w:numId w:val="0"/>
        </w:numPr>
        <w:ind w:left="357"/>
      </w:pPr>
      <w:bookmarkStart w:id="392" w:name="_Toc50031439"/>
      <w:r>
        <w:t>3.</w:t>
      </w:r>
      <w:r w:rsidR="007F2707" w:rsidRPr="001143E1">
        <w:t>Condiciones experimentales</w:t>
      </w:r>
      <w:bookmarkEnd w:id="392"/>
    </w:p>
    <w:p w:rsidR="007F2707" w:rsidRDefault="007F2707" w:rsidP="007F2707">
      <w:pPr>
        <w:spacing w:line="240" w:lineRule="auto"/>
        <w:jc w:val="both"/>
        <w:rPr>
          <w:rFonts w:ascii="Arial" w:hAnsi="Arial" w:cs="Arial"/>
          <w:sz w:val="24"/>
          <w:szCs w:val="24"/>
          <w:lang w:val="es-MX"/>
        </w:rPr>
      </w:pPr>
      <w:r w:rsidRPr="00D1577C">
        <w:rPr>
          <w:rFonts w:ascii="Arial" w:hAnsi="Arial" w:cs="Arial"/>
          <w:sz w:val="24"/>
          <w:szCs w:val="24"/>
          <w:lang w:val="es-MX"/>
        </w:rPr>
        <w:t>Es una investigación de caso, que explora los alcance</w:t>
      </w:r>
      <w:r>
        <w:rPr>
          <w:rFonts w:ascii="Arial" w:hAnsi="Arial" w:cs="Arial"/>
          <w:sz w:val="24"/>
          <w:szCs w:val="24"/>
          <w:lang w:val="es-MX"/>
        </w:rPr>
        <w:t>s del intercambio educativo en</w:t>
      </w:r>
      <w:r w:rsidRPr="00D1577C">
        <w:rPr>
          <w:rFonts w:ascii="Arial" w:hAnsi="Arial" w:cs="Arial"/>
          <w:sz w:val="24"/>
          <w:szCs w:val="24"/>
          <w:lang w:val="es-MX"/>
        </w:rPr>
        <w:t xml:space="preserve"> la División de Ciencias Básicas e Ingeniería</w:t>
      </w:r>
      <w:r>
        <w:rPr>
          <w:rFonts w:ascii="Arial" w:hAnsi="Arial" w:cs="Arial"/>
          <w:sz w:val="24"/>
          <w:szCs w:val="24"/>
          <w:lang w:val="es-MX"/>
        </w:rPr>
        <w:t>, de</w:t>
      </w:r>
      <w:r w:rsidRPr="00D1577C">
        <w:rPr>
          <w:rFonts w:ascii="Arial" w:hAnsi="Arial" w:cs="Arial"/>
          <w:sz w:val="24"/>
          <w:szCs w:val="24"/>
          <w:lang w:val="es-MX"/>
        </w:rPr>
        <w:t xml:space="preserve"> la Uni</w:t>
      </w:r>
      <w:r>
        <w:rPr>
          <w:rFonts w:ascii="Arial" w:hAnsi="Arial" w:cs="Arial"/>
          <w:sz w:val="24"/>
          <w:szCs w:val="24"/>
          <w:lang w:val="es-MX"/>
        </w:rPr>
        <w:t>versidad Autónoma Metropolitana-</w:t>
      </w:r>
      <w:r w:rsidRPr="00D1577C">
        <w:rPr>
          <w:rFonts w:ascii="Arial" w:hAnsi="Arial" w:cs="Arial"/>
          <w:sz w:val="24"/>
          <w:szCs w:val="24"/>
          <w:lang w:val="es-MX"/>
        </w:rPr>
        <w:t xml:space="preserve"> Unidad Azcapotzalco para el periodo 2011-201</w:t>
      </w:r>
      <w:r>
        <w:rPr>
          <w:rFonts w:ascii="Arial" w:hAnsi="Arial" w:cs="Arial"/>
          <w:sz w:val="24"/>
          <w:szCs w:val="24"/>
          <w:lang w:val="es-MX"/>
        </w:rPr>
        <w:t>7</w:t>
      </w:r>
      <w:r>
        <w:rPr>
          <w:rFonts w:ascii="Arial" w:hAnsi="Arial" w:cs="Arial"/>
          <w:sz w:val="24"/>
          <w:szCs w:val="24"/>
          <w:vertAlign w:val="superscript"/>
          <w:lang w:val="es-MX"/>
        </w:rPr>
        <w:t>[7]</w:t>
      </w:r>
      <w:r w:rsidRPr="00D1577C">
        <w:rPr>
          <w:rFonts w:ascii="Arial" w:hAnsi="Arial" w:cs="Arial"/>
          <w:sz w:val="24"/>
          <w:szCs w:val="24"/>
          <w:lang w:val="es-MX"/>
        </w:rPr>
        <w:t>. Cuyo propósito es</w:t>
      </w:r>
      <w:r>
        <w:rPr>
          <w:rFonts w:ascii="Arial" w:hAnsi="Arial" w:cs="Arial"/>
          <w:sz w:val="24"/>
          <w:szCs w:val="24"/>
          <w:lang w:val="es-MX"/>
        </w:rPr>
        <w:t xml:space="preserve"> establecer la cantidad de estudiantes extranjeros que vienen a estudiar a la Universidad, además de ofrecer </w:t>
      </w:r>
      <w:r w:rsidRPr="00D1577C">
        <w:rPr>
          <w:rFonts w:ascii="Arial" w:hAnsi="Arial" w:cs="Arial"/>
          <w:sz w:val="24"/>
          <w:szCs w:val="24"/>
          <w:lang w:val="es-MX"/>
        </w:rPr>
        <w:t xml:space="preserve">un panorama </w:t>
      </w:r>
      <w:r>
        <w:rPr>
          <w:rFonts w:ascii="Arial" w:hAnsi="Arial" w:cs="Arial"/>
          <w:sz w:val="24"/>
          <w:szCs w:val="24"/>
          <w:lang w:val="es-MX"/>
        </w:rPr>
        <w:t>de la</w:t>
      </w:r>
      <w:r w:rsidRPr="00D1577C">
        <w:rPr>
          <w:rFonts w:ascii="Arial" w:hAnsi="Arial" w:cs="Arial"/>
          <w:sz w:val="24"/>
          <w:szCs w:val="24"/>
          <w:lang w:val="es-MX"/>
        </w:rPr>
        <w:t xml:space="preserve"> i</w:t>
      </w:r>
      <w:r>
        <w:rPr>
          <w:rFonts w:ascii="Arial" w:hAnsi="Arial" w:cs="Arial"/>
          <w:sz w:val="24"/>
          <w:szCs w:val="24"/>
          <w:lang w:val="es-MX"/>
        </w:rPr>
        <w:t>nfluencia que tiene este hecho tanto</w:t>
      </w:r>
      <w:r w:rsidRPr="00D1577C">
        <w:rPr>
          <w:rFonts w:ascii="Arial" w:hAnsi="Arial" w:cs="Arial"/>
          <w:sz w:val="24"/>
          <w:szCs w:val="24"/>
          <w:lang w:val="es-MX"/>
        </w:rPr>
        <w:t xml:space="preserve"> en la imagen de la I</w:t>
      </w:r>
      <w:r>
        <w:rPr>
          <w:rFonts w:ascii="Arial" w:hAnsi="Arial" w:cs="Arial"/>
          <w:sz w:val="24"/>
          <w:szCs w:val="24"/>
          <w:lang w:val="es-MX"/>
        </w:rPr>
        <w:t>nstitución, como en el logro del poder blando alcanzado</w:t>
      </w:r>
      <w:r w:rsidRPr="00D1577C">
        <w:rPr>
          <w:rFonts w:ascii="Arial" w:hAnsi="Arial" w:cs="Arial"/>
          <w:sz w:val="24"/>
          <w:szCs w:val="24"/>
          <w:lang w:val="es-MX"/>
        </w:rPr>
        <w:t xml:space="preserve"> </w:t>
      </w:r>
      <w:r>
        <w:rPr>
          <w:rFonts w:ascii="Arial" w:hAnsi="Arial" w:cs="Arial"/>
          <w:sz w:val="24"/>
          <w:szCs w:val="24"/>
          <w:lang w:val="es-MX"/>
        </w:rPr>
        <w:t>por el país</w:t>
      </w:r>
      <w:r w:rsidRPr="00D1577C">
        <w:rPr>
          <w:rFonts w:ascii="Arial" w:hAnsi="Arial" w:cs="Arial"/>
          <w:sz w:val="24"/>
          <w:szCs w:val="24"/>
          <w:lang w:val="es-MX"/>
        </w:rPr>
        <w:t>. L</w:t>
      </w:r>
      <w:r>
        <w:rPr>
          <w:rFonts w:ascii="Arial" w:hAnsi="Arial" w:cs="Arial"/>
          <w:sz w:val="24"/>
          <w:szCs w:val="24"/>
          <w:lang w:val="es-MX"/>
        </w:rPr>
        <w:t>a información proporcionada por la institución es:</w:t>
      </w:r>
      <w:r w:rsidRPr="00D1577C">
        <w:rPr>
          <w:rFonts w:ascii="Arial" w:hAnsi="Arial" w:cs="Arial"/>
          <w:sz w:val="24"/>
          <w:szCs w:val="24"/>
          <w:lang w:val="es-MX"/>
        </w:rPr>
        <w:t xml:space="preserve"> la cantidad de estudiantes extranjeros a nivel li</w:t>
      </w:r>
      <w:r>
        <w:rPr>
          <w:rFonts w:ascii="Arial" w:hAnsi="Arial" w:cs="Arial"/>
          <w:sz w:val="24"/>
          <w:szCs w:val="24"/>
          <w:lang w:val="es-MX"/>
        </w:rPr>
        <w:t>cenciatura y posgrado</w:t>
      </w:r>
      <w:r w:rsidRPr="00D1577C">
        <w:rPr>
          <w:rFonts w:ascii="Arial" w:hAnsi="Arial" w:cs="Arial"/>
          <w:sz w:val="24"/>
          <w:szCs w:val="24"/>
          <w:lang w:val="es-MX"/>
        </w:rPr>
        <w:t xml:space="preserve"> que optan por realizar</w:t>
      </w:r>
      <w:r>
        <w:rPr>
          <w:rFonts w:ascii="Arial" w:hAnsi="Arial" w:cs="Arial"/>
          <w:sz w:val="24"/>
          <w:szCs w:val="24"/>
          <w:lang w:val="es-MX"/>
        </w:rPr>
        <w:t xml:space="preserve"> sus estudios, el país de origen, área disciplinar de su elección y el programa de movilidad utilizado por ellos. </w:t>
      </w:r>
    </w:p>
    <w:p w:rsidR="007F2707" w:rsidRPr="00D1577C" w:rsidRDefault="00F54D0B" w:rsidP="00F54D0B">
      <w:pPr>
        <w:pStyle w:val="1Titulo"/>
        <w:numPr>
          <w:ilvl w:val="0"/>
          <w:numId w:val="0"/>
        </w:numPr>
        <w:ind w:left="357"/>
      </w:pPr>
      <w:bookmarkStart w:id="393" w:name="_Toc50031440"/>
      <w:r>
        <w:t>4.</w:t>
      </w:r>
      <w:r w:rsidR="007F2707" w:rsidRPr="00D1577C">
        <w:t>Resultados</w:t>
      </w:r>
      <w:r w:rsidR="007F2707">
        <w:t xml:space="preserve"> y discusión</w:t>
      </w:r>
      <w:bookmarkEnd w:id="393"/>
    </w:p>
    <w:p w:rsidR="007F2707" w:rsidRDefault="007F2707" w:rsidP="007F2707">
      <w:pPr>
        <w:spacing w:line="240" w:lineRule="auto"/>
        <w:jc w:val="both"/>
        <w:rPr>
          <w:rFonts w:ascii="Arial" w:hAnsi="Arial" w:cs="Arial"/>
          <w:sz w:val="24"/>
          <w:szCs w:val="24"/>
          <w:lang w:val="es-MX"/>
        </w:rPr>
      </w:pPr>
      <w:r w:rsidRPr="00D1577C">
        <w:rPr>
          <w:rFonts w:ascii="Arial" w:hAnsi="Arial" w:cs="Arial"/>
          <w:sz w:val="24"/>
          <w:szCs w:val="24"/>
          <w:lang w:val="es-MX"/>
        </w:rPr>
        <w:t>De los</w:t>
      </w:r>
      <w:r>
        <w:rPr>
          <w:rFonts w:ascii="Arial" w:hAnsi="Arial" w:cs="Arial"/>
          <w:sz w:val="24"/>
          <w:szCs w:val="24"/>
          <w:lang w:val="es-MX"/>
        </w:rPr>
        <w:t xml:space="preserve"> indicadores antes mencionados;</w:t>
      </w:r>
    </w:p>
    <w:p w:rsidR="007F2707" w:rsidRDefault="007F2707" w:rsidP="001D2A3D">
      <w:pPr>
        <w:pStyle w:val="Prrafodelista"/>
        <w:numPr>
          <w:ilvl w:val="0"/>
          <w:numId w:val="59"/>
        </w:numPr>
        <w:spacing w:after="160" w:line="240" w:lineRule="auto"/>
        <w:jc w:val="both"/>
        <w:rPr>
          <w:rFonts w:ascii="Arial" w:hAnsi="Arial" w:cs="Arial"/>
          <w:sz w:val="24"/>
          <w:szCs w:val="24"/>
          <w:lang w:val="es-MX"/>
        </w:rPr>
      </w:pPr>
      <w:r w:rsidRPr="006E5DFB">
        <w:rPr>
          <w:rFonts w:ascii="Arial" w:hAnsi="Arial" w:cs="Arial"/>
          <w:sz w:val="24"/>
          <w:szCs w:val="24"/>
          <w:lang w:val="es-MX"/>
        </w:rPr>
        <w:t xml:space="preserve">Premios Nobel, tres mexicanos han ganado este premio. Alfonso García Robles (Nobel de La Paz,1982), Octavio Paz (Nobel de Literatura, 1990), José Mario Molina Pasquel y Henríquez (Nobel de Química,1995). </w:t>
      </w:r>
    </w:p>
    <w:p w:rsidR="007F2707" w:rsidRDefault="007F2707" w:rsidP="001D2A3D">
      <w:pPr>
        <w:pStyle w:val="Prrafodelista"/>
        <w:numPr>
          <w:ilvl w:val="0"/>
          <w:numId w:val="59"/>
        </w:numPr>
        <w:spacing w:after="160" w:line="240" w:lineRule="auto"/>
        <w:jc w:val="both"/>
        <w:rPr>
          <w:rFonts w:ascii="Arial" w:hAnsi="Arial" w:cs="Arial"/>
          <w:sz w:val="24"/>
          <w:szCs w:val="24"/>
          <w:lang w:val="es-MX"/>
        </w:rPr>
      </w:pPr>
      <w:r>
        <w:rPr>
          <w:rFonts w:ascii="Arial" w:hAnsi="Arial" w:cs="Arial"/>
          <w:sz w:val="24"/>
          <w:szCs w:val="24"/>
          <w:lang w:val="es-MX"/>
        </w:rPr>
        <w:t>L</w:t>
      </w:r>
      <w:r w:rsidRPr="006E5DFB">
        <w:rPr>
          <w:rFonts w:ascii="Arial" w:hAnsi="Arial" w:cs="Arial"/>
          <w:sz w:val="24"/>
          <w:szCs w:val="24"/>
          <w:lang w:val="es-MX"/>
        </w:rPr>
        <w:t>ibros publicados</w:t>
      </w:r>
      <w:r>
        <w:rPr>
          <w:rFonts w:ascii="Arial" w:hAnsi="Arial" w:cs="Arial"/>
          <w:sz w:val="24"/>
          <w:szCs w:val="24"/>
          <w:lang w:val="es-MX"/>
        </w:rPr>
        <w:t>, se tiene una mayor producción de publicaciones científicas.</w:t>
      </w:r>
      <w:r w:rsidRPr="006E5DFB">
        <w:rPr>
          <w:rFonts w:ascii="Arial" w:hAnsi="Arial" w:cs="Arial"/>
          <w:sz w:val="24"/>
          <w:szCs w:val="24"/>
          <w:lang w:val="es-MX"/>
        </w:rPr>
        <w:t xml:space="preserve"> </w:t>
      </w:r>
    </w:p>
    <w:p w:rsidR="007F2707" w:rsidRDefault="007F2707" w:rsidP="001D2A3D">
      <w:pPr>
        <w:pStyle w:val="Prrafodelista"/>
        <w:numPr>
          <w:ilvl w:val="0"/>
          <w:numId w:val="59"/>
        </w:numPr>
        <w:spacing w:after="160" w:line="240" w:lineRule="auto"/>
        <w:jc w:val="both"/>
        <w:rPr>
          <w:rFonts w:ascii="Arial" w:hAnsi="Arial" w:cs="Arial"/>
          <w:sz w:val="24"/>
          <w:szCs w:val="24"/>
          <w:lang w:val="es-MX"/>
        </w:rPr>
      </w:pPr>
      <w:r>
        <w:rPr>
          <w:rFonts w:ascii="Arial" w:hAnsi="Arial" w:cs="Arial"/>
          <w:sz w:val="24"/>
          <w:szCs w:val="24"/>
          <w:lang w:val="es-MX"/>
        </w:rPr>
        <w:t>P</w:t>
      </w:r>
      <w:r w:rsidRPr="006E5DFB">
        <w:rPr>
          <w:rFonts w:ascii="Arial" w:hAnsi="Arial" w:cs="Arial"/>
          <w:sz w:val="24"/>
          <w:szCs w:val="24"/>
          <w:lang w:val="es-MX"/>
        </w:rPr>
        <w:t>ublicación de artículos cient</w:t>
      </w:r>
      <w:r>
        <w:rPr>
          <w:rFonts w:ascii="Arial" w:hAnsi="Arial" w:cs="Arial"/>
          <w:sz w:val="24"/>
          <w:szCs w:val="24"/>
          <w:lang w:val="es-MX"/>
        </w:rPr>
        <w:t>íficos,</w:t>
      </w:r>
      <w:r w:rsidRPr="006E5DFB">
        <w:rPr>
          <w:rFonts w:ascii="Arial" w:hAnsi="Arial" w:cs="Arial"/>
          <w:sz w:val="24"/>
          <w:szCs w:val="24"/>
          <w:lang w:val="es-MX"/>
        </w:rPr>
        <w:t xml:space="preserve"> ha ido en aumento tanto en cantidad como en calid</w:t>
      </w:r>
      <w:r>
        <w:rPr>
          <w:rFonts w:ascii="Arial" w:hAnsi="Arial" w:cs="Arial"/>
          <w:sz w:val="24"/>
          <w:szCs w:val="24"/>
          <w:lang w:val="es-MX"/>
        </w:rPr>
        <w:t xml:space="preserve">ad e impacto. Resultado </w:t>
      </w:r>
      <w:r w:rsidRPr="006E5DFB">
        <w:rPr>
          <w:rFonts w:ascii="Arial" w:hAnsi="Arial" w:cs="Arial"/>
          <w:sz w:val="24"/>
          <w:szCs w:val="24"/>
          <w:lang w:val="es-MX"/>
        </w:rPr>
        <w:t xml:space="preserve">de la labor de los profesores e investigadores de las diferentes Instituciones de Educación Superior. </w:t>
      </w:r>
    </w:p>
    <w:p w:rsidR="007F2707" w:rsidRDefault="007F2707" w:rsidP="001D2A3D">
      <w:pPr>
        <w:pStyle w:val="Prrafodelista"/>
        <w:numPr>
          <w:ilvl w:val="0"/>
          <w:numId w:val="59"/>
        </w:numPr>
        <w:spacing w:after="160" w:line="240" w:lineRule="auto"/>
        <w:jc w:val="both"/>
        <w:rPr>
          <w:rFonts w:ascii="Arial" w:hAnsi="Arial" w:cs="Arial"/>
          <w:sz w:val="24"/>
          <w:szCs w:val="24"/>
          <w:lang w:val="es-MX"/>
        </w:rPr>
      </w:pPr>
      <w:r>
        <w:rPr>
          <w:rFonts w:ascii="Arial" w:hAnsi="Arial" w:cs="Arial"/>
          <w:sz w:val="24"/>
          <w:szCs w:val="24"/>
          <w:lang w:val="es-MX"/>
        </w:rPr>
        <w:t>Investigadores en universidades, es práctica común el intercambio de académicos entre Instituciones de Educación Superior debido a las redes de conocimiento.</w:t>
      </w:r>
    </w:p>
    <w:p w:rsidR="007F2707" w:rsidRPr="006E5DFB" w:rsidRDefault="007F2707" w:rsidP="007F2707">
      <w:pPr>
        <w:spacing w:line="240" w:lineRule="auto"/>
        <w:jc w:val="both"/>
        <w:rPr>
          <w:rFonts w:ascii="Arial" w:hAnsi="Arial" w:cs="Arial"/>
          <w:sz w:val="24"/>
          <w:szCs w:val="24"/>
          <w:lang w:val="es-MX"/>
        </w:rPr>
      </w:pPr>
      <w:r w:rsidRPr="006E5DFB">
        <w:rPr>
          <w:rFonts w:ascii="Arial" w:hAnsi="Arial" w:cs="Arial"/>
          <w:sz w:val="24"/>
          <w:szCs w:val="24"/>
          <w:lang w:val="es-MX"/>
        </w:rPr>
        <w:t>De esta manera, se tratará específicamente el indicador correspondiente a alumnos extranjeros de la División de Ciencias Básicas e Ingeniería de la Unive</w:t>
      </w:r>
      <w:r>
        <w:rPr>
          <w:rFonts w:ascii="Arial" w:hAnsi="Arial" w:cs="Arial"/>
          <w:sz w:val="24"/>
          <w:szCs w:val="24"/>
          <w:lang w:val="es-MX"/>
        </w:rPr>
        <w:t>rsidad Autónoma Metropolitana- U</w:t>
      </w:r>
      <w:r w:rsidRPr="006E5DFB">
        <w:rPr>
          <w:rFonts w:ascii="Arial" w:hAnsi="Arial" w:cs="Arial"/>
          <w:sz w:val="24"/>
          <w:szCs w:val="24"/>
          <w:lang w:val="es-MX"/>
        </w:rPr>
        <w:t>nidad Azcapotzalco.</w:t>
      </w:r>
    </w:p>
    <w:p w:rsidR="007F2707" w:rsidRDefault="007F2707" w:rsidP="007F2707">
      <w:pPr>
        <w:tabs>
          <w:tab w:val="left" w:pos="7815"/>
        </w:tabs>
        <w:spacing w:line="240" w:lineRule="auto"/>
        <w:jc w:val="both"/>
        <w:rPr>
          <w:rFonts w:ascii="Arial" w:hAnsi="Arial" w:cs="Arial"/>
          <w:sz w:val="24"/>
          <w:szCs w:val="24"/>
          <w:lang w:val="es-MX"/>
        </w:rPr>
      </w:pPr>
      <w:r w:rsidRPr="00D1577C">
        <w:rPr>
          <w:rFonts w:ascii="Arial" w:hAnsi="Arial" w:cs="Arial"/>
          <w:sz w:val="24"/>
          <w:szCs w:val="24"/>
          <w:lang w:val="es-MX"/>
        </w:rPr>
        <w:t>En la figura 1, se muestran los estudiantes extranjeros que optaron por estudiar en la División de Ciencias Básicas e Ingeniería</w:t>
      </w:r>
      <w:r>
        <w:rPr>
          <w:rFonts w:ascii="Arial" w:hAnsi="Arial" w:cs="Arial"/>
          <w:sz w:val="24"/>
          <w:szCs w:val="24"/>
          <w:lang w:val="es-MX"/>
        </w:rPr>
        <w:t xml:space="preserve"> </w:t>
      </w:r>
      <w:r w:rsidRPr="00D1577C">
        <w:rPr>
          <w:rFonts w:ascii="Arial" w:hAnsi="Arial" w:cs="Arial"/>
          <w:sz w:val="24"/>
          <w:szCs w:val="24"/>
          <w:lang w:val="es-MX"/>
        </w:rPr>
        <w:t>durante el periodo de 2011</w:t>
      </w:r>
      <w:r>
        <w:rPr>
          <w:rFonts w:ascii="Arial" w:hAnsi="Arial" w:cs="Arial"/>
          <w:sz w:val="24"/>
          <w:szCs w:val="24"/>
          <w:lang w:val="es-MX"/>
        </w:rPr>
        <w:t xml:space="preserve"> -</w:t>
      </w:r>
      <w:r w:rsidRPr="00D1577C">
        <w:rPr>
          <w:rFonts w:ascii="Arial" w:hAnsi="Arial" w:cs="Arial"/>
          <w:sz w:val="24"/>
          <w:szCs w:val="24"/>
          <w:lang w:val="es-MX"/>
        </w:rPr>
        <w:t xml:space="preserve"> 2017. Cabe mencionar que el número de estudiantes es variable en los diferentes años con un aumento significativo el último año, pues pasó de 9 estudiantes de licenciatura en 2011 a más de 70 estudiantes en 2017. La participación de estudiantes de posgrado ha sido muy baja pues es tan sólo de uno o dos por año.</w:t>
      </w:r>
      <w:r>
        <w:rPr>
          <w:rFonts w:ascii="Arial" w:hAnsi="Arial" w:cs="Arial"/>
          <w:sz w:val="24"/>
          <w:szCs w:val="24"/>
          <w:lang w:val="es-MX"/>
        </w:rPr>
        <w:t xml:space="preserve"> </w:t>
      </w:r>
    </w:p>
    <w:p w:rsidR="007F2707" w:rsidRDefault="007F2707" w:rsidP="007F2707">
      <w:pPr>
        <w:tabs>
          <w:tab w:val="left" w:pos="7815"/>
        </w:tabs>
        <w:spacing w:line="240" w:lineRule="auto"/>
        <w:jc w:val="both"/>
        <w:rPr>
          <w:rFonts w:ascii="Arial" w:hAnsi="Arial" w:cs="Arial"/>
          <w:sz w:val="24"/>
          <w:szCs w:val="24"/>
          <w:lang w:val="es-MX"/>
        </w:rPr>
      </w:pPr>
    </w:p>
    <w:p w:rsidR="007F2707" w:rsidRPr="004B54E1" w:rsidRDefault="007F2707" w:rsidP="007F2707">
      <w:pPr>
        <w:tabs>
          <w:tab w:val="left" w:pos="7815"/>
        </w:tabs>
        <w:spacing w:line="240" w:lineRule="auto"/>
        <w:jc w:val="center"/>
        <w:rPr>
          <w:rFonts w:ascii="Arial" w:hAnsi="Arial" w:cs="Arial"/>
          <w:sz w:val="24"/>
          <w:szCs w:val="24"/>
          <w:lang w:val="es-MX"/>
        </w:rPr>
      </w:pPr>
      <w:r w:rsidRPr="00133A6A">
        <w:rPr>
          <w:noProof/>
          <w:lang w:val="en-US"/>
        </w:rPr>
        <w:drawing>
          <wp:inline distT="0" distB="0" distL="0" distR="0" wp14:anchorId="7DB13D29" wp14:editId="138446D5">
            <wp:extent cx="4680000" cy="2787228"/>
            <wp:effectExtent l="0" t="0" r="6350" b="0"/>
            <wp:docPr id="88" name="Imagen 88" descr="C:\Users\Energia 10\Pictures\fp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ergia 10\Pictures\fpb1.jpg"/>
                    <pic:cNvPicPr>
                      <a:picLocks noChangeAspect="1" noChangeArrowheads="1"/>
                    </pic:cNvPicPr>
                  </pic:nvPicPr>
                  <pic:blipFill rotWithShape="1">
                    <a:blip r:embed="rId1274">
                      <a:extLst>
                        <a:ext uri="{28A0092B-C50C-407E-A947-70E740481C1C}">
                          <a14:useLocalDpi xmlns:a14="http://schemas.microsoft.com/office/drawing/2010/main" val="0"/>
                        </a:ext>
                      </a:extLst>
                    </a:blip>
                    <a:srcRect r="59146" b="52633"/>
                    <a:stretch/>
                  </pic:blipFill>
                  <pic:spPr bwMode="auto">
                    <a:xfrm>
                      <a:off x="0" y="0"/>
                      <a:ext cx="4680000" cy="2787228"/>
                    </a:xfrm>
                    <a:prstGeom prst="rect">
                      <a:avLst/>
                    </a:prstGeom>
                    <a:noFill/>
                    <a:ln>
                      <a:noFill/>
                    </a:ln>
                    <a:extLst>
                      <a:ext uri="{53640926-AAD7-44D8-BBD7-CCE9431645EC}">
                        <a14:shadowObscured xmlns:a14="http://schemas.microsoft.com/office/drawing/2010/main"/>
                      </a:ext>
                    </a:extLst>
                  </pic:spPr>
                </pic:pic>
              </a:graphicData>
            </a:graphic>
          </wp:inline>
        </w:drawing>
      </w:r>
    </w:p>
    <w:p w:rsidR="007F2707" w:rsidRPr="00D1577C" w:rsidRDefault="007F2707" w:rsidP="007F2707">
      <w:pPr>
        <w:tabs>
          <w:tab w:val="left" w:pos="7815"/>
        </w:tabs>
        <w:jc w:val="center"/>
        <w:rPr>
          <w:rFonts w:ascii="Arial" w:hAnsi="Arial" w:cs="Arial"/>
          <w:sz w:val="20"/>
          <w:szCs w:val="20"/>
          <w:lang w:val="es-MX"/>
        </w:rPr>
      </w:pPr>
      <w:r w:rsidRPr="00D1577C">
        <w:rPr>
          <w:rFonts w:ascii="Arial" w:hAnsi="Arial" w:cs="Arial"/>
          <w:sz w:val="20"/>
          <w:szCs w:val="20"/>
          <w:lang w:val="es-MX"/>
        </w:rPr>
        <w:t>Figura 1. Estudiantes extranjeros de intercambio académico.</w:t>
      </w:r>
    </w:p>
    <w:p w:rsidR="007F2707" w:rsidRDefault="007F2707" w:rsidP="007F2707">
      <w:pPr>
        <w:tabs>
          <w:tab w:val="left" w:pos="7815"/>
        </w:tabs>
        <w:spacing w:line="240" w:lineRule="auto"/>
        <w:jc w:val="both"/>
        <w:rPr>
          <w:rFonts w:ascii="Times New Roman" w:hAnsi="Times New Roman" w:cs="Times New Roman"/>
          <w:sz w:val="24"/>
          <w:szCs w:val="24"/>
          <w:lang w:val="es-MX"/>
        </w:rPr>
      </w:pPr>
    </w:p>
    <w:p w:rsidR="007F2707" w:rsidRDefault="007F2707" w:rsidP="007F2707">
      <w:pPr>
        <w:tabs>
          <w:tab w:val="left" w:pos="7815"/>
        </w:tabs>
        <w:spacing w:line="240" w:lineRule="auto"/>
        <w:jc w:val="both"/>
        <w:rPr>
          <w:rFonts w:ascii="Arial" w:hAnsi="Arial" w:cs="Arial"/>
          <w:sz w:val="24"/>
          <w:szCs w:val="24"/>
          <w:lang w:val="es-MX"/>
        </w:rPr>
      </w:pPr>
      <w:r>
        <w:rPr>
          <w:rFonts w:ascii="Arial" w:hAnsi="Arial" w:cs="Arial"/>
          <w:sz w:val="24"/>
          <w:szCs w:val="24"/>
          <w:lang w:val="es-MX"/>
        </w:rPr>
        <w:t>Este comportamiento indica que la Universidad tiene mayor presencia en los diversos programas de movilidad y en consecuencia una colaboración más estrecha con otras Instituciones de Educación Superior.</w:t>
      </w:r>
    </w:p>
    <w:p w:rsidR="007F2707" w:rsidRDefault="007F2707" w:rsidP="007F2707">
      <w:pPr>
        <w:tabs>
          <w:tab w:val="left" w:pos="7815"/>
        </w:tabs>
        <w:spacing w:line="240" w:lineRule="auto"/>
        <w:jc w:val="both"/>
        <w:rPr>
          <w:rFonts w:ascii="Arial" w:hAnsi="Arial" w:cs="Arial"/>
          <w:sz w:val="24"/>
          <w:szCs w:val="24"/>
          <w:lang w:val="es-MX"/>
        </w:rPr>
      </w:pPr>
      <w:r w:rsidRPr="00D1577C">
        <w:rPr>
          <w:rFonts w:ascii="Arial" w:hAnsi="Arial" w:cs="Arial"/>
          <w:sz w:val="24"/>
          <w:szCs w:val="24"/>
          <w:lang w:val="es-MX"/>
        </w:rPr>
        <w:t>El lugar de procedencia de los estudiantes extranjeros que llegan a realizar estancia educativa a nivel licenciatura incluye tanto países latinoamericanos (Argentina, Brasil, Chile, etc.) como de la Unión Europea (Francia, Alemania, etc.) (Figura 2).</w:t>
      </w:r>
    </w:p>
    <w:p w:rsidR="007F2707" w:rsidRDefault="007F2707" w:rsidP="007F2707">
      <w:pPr>
        <w:tabs>
          <w:tab w:val="left" w:pos="7815"/>
        </w:tabs>
        <w:spacing w:line="240" w:lineRule="auto"/>
        <w:jc w:val="both"/>
        <w:rPr>
          <w:rFonts w:ascii="Arial" w:hAnsi="Arial" w:cs="Arial"/>
          <w:sz w:val="24"/>
          <w:szCs w:val="24"/>
          <w:lang w:val="es-MX"/>
        </w:rPr>
      </w:pPr>
    </w:p>
    <w:p w:rsidR="007F2707" w:rsidRPr="005446D4" w:rsidRDefault="007F2707" w:rsidP="007F2707">
      <w:pPr>
        <w:tabs>
          <w:tab w:val="left" w:pos="7815"/>
        </w:tabs>
        <w:spacing w:line="240" w:lineRule="auto"/>
        <w:jc w:val="center"/>
        <w:rPr>
          <w:rFonts w:ascii="Arial" w:hAnsi="Arial" w:cs="Arial"/>
          <w:sz w:val="24"/>
          <w:szCs w:val="24"/>
          <w:lang w:val="es-MX"/>
        </w:rPr>
      </w:pPr>
      <w:r w:rsidRPr="00E642A3">
        <w:rPr>
          <w:noProof/>
          <w:lang w:val="en-US"/>
        </w:rPr>
        <w:drawing>
          <wp:inline distT="0" distB="0" distL="0" distR="0" wp14:anchorId="549E1373" wp14:editId="4F5CF3D9">
            <wp:extent cx="4680000" cy="2839091"/>
            <wp:effectExtent l="0" t="0" r="6350" b="0"/>
            <wp:docPr id="89" name="Imagen 89" descr="C:\Users\Energia 10\Pictures\fp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ergia 10\Pictures\fpb2.jpg"/>
                    <pic:cNvPicPr>
                      <a:picLocks noChangeAspect="1" noChangeArrowheads="1"/>
                    </pic:cNvPicPr>
                  </pic:nvPicPr>
                  <pic:blipFill rotWithShape="1">
                    <a:blip r:embed="rId1275">
                      <a:extLst>
                        <a:ext uri="{28A0092B-C50C-407E-A947-70E740481C1C}">
                          <a14:useLocalDpi xmlns:a14="http://schemas.microsoft.com/office/drawing/2010/main" val="0"/>
                        </a:ext>
                      </a:extLst>
                    </a:blip>
                    <a:srcRect r="59146" b="51751"/>
                    <a:stretch/>
                  </pic:blipFill>
                  <pic:spPr bwMode="auto">
                    <a:xfrm>
                      <a:off x="0" y="0"/>
                      <a:ext cx="4680000" cy="2839091"/>
                    </a:xfrm>
                    <a:prstGeom prst="rect">
                      <a:avLst/>
                    </a:prstGeom>
                    <a:noFill/>
                    <a:ln>
                      <a:noFill/>
                    </a:ln>
                    <a:extLst>
                      <a:ext uri="{53640926-AAD7-44D8-BBD7-CCE9431645EC}">
                        <a14:shadowObscured xmlns:a14="http://schemas.microsoft.com/office/drawing/2010/main"/>
                      </a:ext>
                    </a:extLst>
                  </pic:spPr>
                </pic:pic>
              </a:graphicData>
            </a:graphic>
          </wp:inline>
        </w:drawing>
      </w:r>
    </w:p>
    <w:p w:rsidR="007F2707" w:rsidRPr="00D1577C" w:rsidRDefault="007F2707" w:rsidP="007F2707">
      <w:pPr>
        <w:tabs>
          <w:tab w:val="left" w:pos="7815"/>
        </w:tabs>
        <w:jc w:val="center"/>
        <w:rPr>
          <w:rFonts w:ascii="Arial" w:hAnsi="Arial" w:cs="Arial"/>
          <w:sz w:val="20"/>
          <w:szCs w:val="20"/>
          <w:lang w:val="es-MX"/>
        </w:rPr>
      </w:pPr>
      <w:r w:rsidRPr="00D1577C">
        <w:rPr>
          <w:rFonts w:ascii="Arial" w:hAnsi="Arial" w:cs="Arial"/>
          <w:sz w:val="20"/>
          <w:szCs w:val="20"/>
          <w:lang w:val="es-MX"/>
        </w:rPr>
        <w:t>Figur</w:t>
      </w:r>
      <w:r>
        <w:rPr>
          <w:rFonts w:ascii="Arial" w:hAnsi="Arial" w:cs="Arial"/>
          <w:sz w:val="20"/>
          <w:szCs w:val="20"/>
          <w:lang w:val="es-MX"/>
        </w:rPr>
        <w:t>a 2. Procedencia</w:t>
      </w:r>
      <w:r w:rsidRPr="00D1577C">
        <w:rPr>
          <w:rFonts w:ascii="Arial" w:hAnsi="Arial" w:cs="Arial"/>
          <w:sz w:val="20"/>
          <w:szCs w:val="20"/>
          <w:lang w:val="es-MX"/>
        </w:rPr>
        <w:t xml:space="preserve"> d</w:t>
      </w:r>
      <w:r>
        <w:rPr>
          <w:rFonts w:ascii="Arial" w:hAnsi="Arial" w:cs="Arial"/>
          <w:sz w:val="20"/>
          <w:szCs w:val="20"/>
          <w:lang w:val="es-MX"/>
        </w:rPr>
        <w:t>e los estudiantes extranjeros de</w:t>
      </w:r>
      <w:r w:rsidRPr="00D1577C">
        <w:rPr>
          <w:rFonts w:ascii="Arial" w:hAnsi="Arial" w:cs="Arial"/>
          <w:sz w:val="20"/>
          <w:szCs w:val="20"/>
          <w:lang w:val="es-MX"/>
        </w:rPr>
        <w:t xml:space="preserve"> licenciatura.</w:t>
      </w:r>
    </w:p>
    <w:p w:rsidR="007F2707" w:rsidRDefault="007F2707" w:rsidP="007F2707">
      <w:pPr>
        <w:tabs>
          <w:tab w:val="left" w:pos="7815"/>
        </w:tabs>
        <w:spacing w:line="240" w:lineRule="auto"/>
        <w:jc w:val="both"/>
        <w:rPr>
          <w:rFonts w:ascii="Arial" w:hAnsi="Arial" w:cs="Arial"/>
          <w:sz w:val="24"/>
          <w:szCs w:val="24"/>
          <w:lang w:val="es-MX"/>
        </w:rPr>
      </w:pPr>
    </w:p>
    <w:p w:rsidR="007F2707" w:rsidRPr="001143E1" w:rsidRDefault="007F2707" w:rsidP="007F2707">
      <w:pPr>
        <w:tabs>
          <w:tab w:val="left" w:pos="7815"/>
        </w:tabs>
        <w:spacing w:line="240" w:lineRule="auto"/>
        <w:jc w:val="both"/>
        <w:rPr>
          <w:rFonts w:ascii="Arial" w:hAnsi="Arial" w:cs="Arial"/>
          <w:sz w:val="24"/>
          <w:szCs w:val="24"/>
          <w:lang w:val="es-MX"/>
        </w:rPr>
      </w:pPr>
      <w:r w:rsidRPr="001143E1">
        <w:rPr>
          <w:rFonts w:ascii="Arial" w:hAnsi="Arial" w:cs="Arial"/>
          <w:sz w:val="24"/>
          <w:szCs w:val="24"/>
          <w:lang w:val="es-MX"/>
        </w:rPr>
        <w:t>En 2011 los estudiantes de intercambio procedieron principalmente de Argentina, Colombia, Chile y de países de la Comunidad Europea como España y Francia. Para 2012, provinieron de Argentina, Brasil, Colombia, España y Francia. En 2013, hubo estudiantes extranjeros de Brasil, Colombia, Paraguay, Perú y España. En 2014, contamos con estudiantes de Argentina, Colombia, Chile Perú, Alemania y España. En 2015, el intercambio se realizó con Colombia, Chile y España. Para 2016, los estudiantes aceptados fueron de Argentina, Colombia, Chile, Perú, Venezuela, España y Alemania. Finalmente, en 2017 hubo estudiantes de Colombia, Chile, Ecuador, Perú, Venezuela, Alemania, España, Italia y Francia. En este último año se aprecia el incremento del intercambio con países de la Unión Europea. Así como un mayor número de estudiantes procedentes principalmente de Colombia, España y Venezuela.</w:t>
      </w:r>
    </w:p>
    <w:p w:rsidR="007F2707" w:rsidRDefault="007F2707" w:rsidP="007F2707">
      <w:pPr>
        <w:tabs>
          <w:tab w:val="left" w:pos="7815"/>
        </w:tabs>
        <w:spacing w:line="240" w:lineRule="auto"/>
        <w:jc w:val="both"/>
        <w:rPr>
          <w:rFonts w:ascii="Arial" w:hAnsi="Arial" w:cs="Arial"/>
          <w:sz w:val="24"/>
          <w:szCs w:val="24"/>
          <w:lang w:val="es-MX"/>
        </w:rPr>
      </w:pPr>
      <w:r w:rsidRPr="001143E1">
        <w:rPr>
          <w:rFonts w:ascii="Arial" w:hAnsi="Arial" w:cs="Arial"/>
          <w:sz w:val="24"/>
          <w:szCs w:val="24"/>
          <w:lang w:val="es-MX"/>
        </w:rPr>
        <w:t>La cantidad de estudiantes extranjeros que vienen a realizar estudios de posgrado es menor pues ha sido únicamente de uno o dos por año (Figura 3).</w:t>
      </w:r>
    </w:p>
    <w:p w:rsidR="007F2707" w:rsidRPr="005446D4" w:rsidRDefault="007F2707" w:rsidP="007F2707">
      <w:pPr>
        <w:tabs>
          <w:tab w:val="left" w:pos="7815"/>
        </w:tabs>
        <w:spacing w:line="240" w:lineRule="auto"/>
        <w:jc w:val="center"/>
        <w:rPr>
          <w:rFonts w:ascii="Arial" w:hAnsi="Arial" w:cs="Arial"/>
          <w:sz w:val="24"/>
          <w:szCs w:val="24"/>
          <w:lang w:val="es-MX"/>
        </w:rPr>
      </w:pPr>
      <w:r w:rsidRPr="00581E87">
        <w:rPr>
          <w:noProof/>
          <w:lang w:val="en-US"/>
        </w:rPr>
        <w:drawing>
          <wp:inline distT="0" distB="0" distL="0" distR="0" wp14:anchorId="3C03BA34" wp14:editId="760B25B8">
            <wp:extent cx="4680000" cy="2784762"/>
            <wp:effectExtent l="0" t="0" r="6350" b="0"/>
            <wp:docPr id="90" name="Imagen 90" descr="C:\Users\Energia 10\Pictures\fp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ergia 10\Pictures\fpb3.jpg"/>
                    <pic:cNvPicPr>
                      <a:picLocks noChangeAspect="1" noChangeArrowheads="1"/>
                    </pic:cNvPicPr>
                  </pic:nvPicPr>
                  <pic:blipFill rotWithShape="1">
                    <a:blip r:embed="rId1276">
                      <a:extLst>
                        <a:ext uri="{28A0092B-C50C-407E-A947-70E740481C1C}">
                          <a14:useLocalDpi xmlns:a14="http://schemas.microsoft.com/office/drawing/2010/main" val="0"/>
                        </a:ext>
                      </a:extLst>
                    </a:blip>
                    <a:srcRect r="58919" b="52412"/>
                    <a:stretch/>
                  </pic:blipFill>
                  <pic:spPr bwMode="auto">
                    <a:xfrm>
                      <a:off x="0" y="0"/>
                      <a:ext cx="4680000" cy="2784762"/>
                    </a:xfrm>
                    <a:prstGeom prst="rect">
                      <a:avLst/>
                    </a:prstGeom>
                    <a:noFill/>
                    <a:ln>
                      <a:noFill/>
                    </a:ln>
                    <a:extLst>
                      <a:ext uri="{53640926-AAD7-44D8-BBD7-CCE9431645EC}">
                        <a14:shadowObscured xmlns:a14="http://schemas.microsoft.com/office/drawing/2010/main"/>
                      </a:ext>
                    </a:extLst>
                  </pic:spPr>
                </pic:pic>
              </a:graphicData>
            </a:graphic>
          </wp:inline>
        </w:drawing>
      </w:r>
    </w:p>
    <w:p w:rsidR="007F2707" w:rsidRPr="001143E1" w:rsidRDefault="007F2707" w:rsidP="007F2707">
      <w:pPr>
        <w:tabs>
          <w:tab w:val="left" w:pos="7815"/>
        </w:tabs>
        <w:jc w:val="center"/>
        <w:rPr>
          <w:rFonts w:ascii="Arial" w:hAnsi="Arial" w:cs="Arial"/>
          <w:sz w:val="20"/>
          <w:szCs w:val="20"/>
          <w:lang w:val="es-MX"/>
        </w:rPr>
      </w:pPr>
      <w:r w:rsidRPr="001143E1">
        <w:rPr>
          <w:rFonts w:ascii="Arial" w:hAnsi="Arial" w:cs="Arial"/>
          <w:sz w:val="20"/>
          <w:szCs w:val="20"/>
          <w:lang w:val="es-MX"/>
        </w:rPr>
        <w:t>Figur</w:t>
      </w:r>
      <w:r>
        <w:rPr>
          <w:rFonts w:ascii="Arial" w:hAnsi="Arial" w:cs="Arial"/>
          <w:sz w:val="20"/>
          <w:szCs w:val="20"/>
          <w:lang w:val="es-MX"/>
        </w:rPr>
        <w:t>a 3. Procedencia</w:t>
      </w:r>
      <w:r w:rsidRPr="001143E1">
        <w:rPr>
          <w:rFonts w:ascii="Arial" w:hAnsi="Arial" w:cs="Arial"/>
          <w:sz w:val="20"/>
          <w:szCs w:val="20"/>
          <w:lang w:val="es-MX"/>
        </w:rPr>
        <w:t xml:space="preserve"> de los estu</w:t>
      </w:r>
      <w:r>
        <w:rPr>
          <w:rFonts w:ascii="Arial" w:hAnsi="Arial" w:cs="Arial"/>
          <w:sz w:val="20"/>
          <w:szCs w:val="20"/>
          <w:lang w:val="es-MX"/>
        </w:rPr>
        <w:t>diantes extranjeros</w:t>
      </w:r>
      <w:r w:rsidRPr="001143E1">
        <w:rPr>
          <w:rFonts w:ascii="Arial" w:hAnsi="Arial" w:cs="Arial"/>
          <w:sz w:val="20"/>
          <w:szCs w:val="20"/>
          <w:lang w:val="es-MX"/>
        </w:rPr>
        <w:t xml:space="preserve"> de posgrado.</w:t>
      </w:r>
    </w:p>
    <w:p w:rsidR="007F2707" w:rsidRPr="001143E1" w:rsidRDefault="007F2707" w:rsidP="007F2707">
      <w:pPr>
        <w:tabs>
          <w:tab w:val="left" w:pos="7815"/>
        </w:tabs>
        <w:spacing w:line="240" w:lineRule="auto"/>
        <w:jc w:val="both"/>
        <w:rPr>
          <w:rFonts w:ascii="Arial" w:hAnsi="Arial" w:cs="Arial"/>
          <w:sz w:val="24"/>
          <w:szCs w:val="24"/>
          <w:lang w:val="es-MX"/>
        </w:rPr>
      </w:pPr>
      <w:r w:rsidRPr="001143E1">
        <w:rPr>
          <w:rFonts w:ascii="Arial" w:hAnsi="Arial" w:cs="Arial"/>
          <w:sz w:val="24"/>
          <w:szCs w:val="24"/>
          <w:lang w:val="es-MX"/>
        </w:rPr>
        <w:t>En un principio los estudiantes de posgrado que elegían a la Universidad para una estancia de estudios o investigación eran principalmente de Brasil y después de países de Alemania y Francia, lo que permite una mayor cooperación académica y la conformación conjunta de proyectos de investigación.</w:t>
      </w:r>
    </w:p>
    <w:p w:rsidR="007F2707" w:rsidRPr="001143E1" w:rsidRDefault="007F2707" w:rsidP="007F2707">
      <w:pPr>
        <w:tabs>
          <w:tab w:val="left" w:pos="7815"/>
        </w:tabs>
        <w:spacing w:line="240" w:lineRule="auto"/>
        <w:jc w:val="both"/>
        <w:rPr>
          <w:rFonts w:ascii="Arial" w:hAnsi="Arial" w:cs="Arial"/>
          <w:sz w:val="24"/>
          <w:szCs w:val="24"/>
          <w:lang w:val="es-MX"/>
        </w:rPr>
      </w:pPr>
      <w:r w:rsidRPr="001143E1">
        <w:rPr>
          <w:rFonts w:ascii="Arial" w:hAnsi="Arial" w:cs="Arial"/>
          <w:sz w:val="24"/>
          <w:szCs w:val="24"/>
          <w:lang w:val="es-MX"/>
        </w:rPr>
        <w:t>Este intercambio varía dependiendo de las diversas áreas de estudio, a continuación, se presenta la elección de los estudiantes de nivel licenciatura por las diversas ingenierías que ofrece la Universidad (Figura 4).</w:t>
      </w:r>
    </w:p>
    <w:p w:rsidR="007F2707" w:rsidRDefault="007F2707" w:rsidP="007F2707">
      <w:pPr>
        <w:tabs>
          <w:tab w:val="left" w:pos="7815"/>
        </w:tabs>
        <w:spacing w:line="240" w:lineRule="auto"/>
        <w:jc w:val="both"/>
        <w:rPr>
          <w:rFonts w:ascii="Arial" w:hAnsi="Arial" w:cs="Arial"/>
          <w:sz w:val="24"/>
          <w:szCs w:val="24"/>
          <w:lang w:val="es-MX"/>
        </w:rPr>
      </w:pPr>
    </w:p>
    <w:p w:rsidR="007F2707" w:rsidRPr="00817D93" w:rsidRDefault="007F2707" w:rsidP="007F2707">
      <w:pPr>
        <w:tabs>
          <w:tab w:val="left" w:pos="7815"/>
        </w:tabs>
        <w:spacing w:line="240" w:lineRule="auto"/>
        <w:jc w:val="center"/>
        <w:rPr>
          <w:rFonts w:ascii="Arial" w:hAnsi="Arial" w:cs="Arial"/>
          <w:sz w:val="24"/>
          <w:szCs w:val="24"/>
          <w:lang w:val="es-MX"/>
        </w:rPr>
      </w:pPr>
      <w:r w:rsidRPr="009E7B0C">
        <w:rPr>
          <w:noProof/>
          <w:lang w:val="en-US"/>
        </w:rPr>
        <w:drawing>
          <wp:inline distT="0" distB="0" distL="0" distR="0" wp14:anchorId="24B2F2F7" wp14:editId="001FAF99">
            <wp:extent cx="4680000" cy="2735431"/>
            <wp:effectExtent l="0" t="0" r="6350" b="8255"/>
            <wp:docPr id="91" name="Imagen 91" descr="C:\Users\Energia 10\Pictures\fp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ergia 10\Pictures\fpb4.jpg"/>
                    <pic:cNvPicPr>
                      <a:picLocks noChangeAspect="1" noChangeArrowheads="1"/>
                    </pic:cNvPicPr>
                  </pic:nvPicPr>
                  <pic:blipFill rotWithShape="1">
                    <a:blip r:embed="rId1277">
                      <a:extLst>
                        <a:ext uri="{28A0092B-C50C-407E-A947-70E740481C1C}">
                          <a14:useLocalDpi xmlns:a14="http://schemas.microsoft.com/office/drawing/2010/main" val="0"/>
                        </a:ext>
                      </a:extLst>
                    </a:blip>
                    <a:srcRect r="59146" b="53514"/>
                    <a:stretch/>
                  </pic:blipFill>
                  <pic:spPr bwMode="auto">
                    <a:xfrm>
                      <a:off x="0" y="0"/>
                      <a:ext cx="4680000" cy="2735431"/>
                    </a:xfrm>
                    <a:prstGeom prst="rect">
                      <a:avLst/>
                    </a:prstGeom>
                    <a:noFill/>
                    <a:ln>
                      <a:noFill/>
                    </a:ln>
                    <a:extLst>
                      <a:ext uri="{53640926-AAD7-44D8-BBD7-CCE9431645EC}">
                        <a14:shadowObscured xmlns:a14="http://schemas.microsoft.com/office/drawing/2010/main"/>
                      </a:ext>
                    </a:extLst>
                  </pic:spPr>
                </pic:pic>
              </a:graphicData>
            </a:graphic>
          </wp:inline>
        </w:drawing>
      </w:r>
    </w:p>
    <w:p w:rsidR="007F2707" w:rsidRPr="00440126" w:rsidRDefault="007F2707" w:rsidP="007F2707">
      <w:pPr>
        <w:tabs>
          <w:tab w:val="left" w:pos="7815"/>
        </w:tabs>
        <w:jc w:val="center"/>
        <w:rPr>
          <w:rFonts w:ascii="Times New Roman" w:hAnsi="Times New Roman" w:cs="Times New Roman"/>
          <w:sz w:val="20"/>
          <w:szCs w:val="20"/>
          <w:lang w:val="es-MX"/>
        </w:rPr>
      </w:pPr>
      <w:r w:rsidRPr="001143E1">
        <w:rPr>
          <w:rFonts w:ascii="Arial" w:hAnsi="Arial" w:cs="Arial"/>
          <w:sz w:val="20"/>
          <w:szCs w:val="20"/>
          <w:lang w:val="es-MX"/>
        </w:rPr>
        <w:t xml:space="preserve">Figura 4. Distribución de estudiantes extranjeros por </w:t>
      </w:r>
      <w:r>
        <w:rPr>
          <w:rFonts w:ascii="Arial" w:hAnsi="Arial" w:cs="Arial"/>
          <w:sz w:val="20"/>
          <w:szCs w:val="20"/>
          <w:lang w:val="es-MX"/>
        </w:rPr>
        <w:t>ingeniería</w:t>
      </w:r>
      <w:r w:rsidRPr="00440126">
        <w:rPr>
          <w:rFonts w:ascii="Times New Roman" w:hAnsi="Times New Roman" w:cs="Times New Roman"/>
          <w:sz w:val="20"/>
          <w:szCs w:val="20"/>
          <w:lang w:val="es-MX"/>
        </w:rPr>
        <w:t>.</w:t>
      </w:r>
    </w:p>
    <w:p w:rsidR="007F2707" w:rsidRDefault="007F2707" w:rsidP="007F2707">
      <w:pPr>
        <w:tabs>
          <w:tab w:val="left" w:pos="7815"/>
        </w:tabs>
        <w:spacing w:line="240" w:lineRule="auto"/>
        <w:jc w:val="both"/>
        <w:rPr>
          <w:rFonts w:ascii="Arial" w:hAnsi="Arial" w:cs="Arial"/>
          <w:sz w:val="24"/>
          <w:szCs w:val="24"/>
          <w:lang w:val="es-MX"/>
        </w:rPr>
      </w:pPr>
    </w:p>
    <w:p w:rsidR="007F2707" w:rsidRPr="006F0315" w:rsidRDefault="007F2707" w:rsidP="007F2707">
      <w:pPr>
        <w:tabs>
          <w:tab w:val="left" w:pos="7815"/>
        </w:tabs>
        <w:spacing w:line="240" w:lineRule="auto"/>
        <w:jc w:val="both"/>
        <w:rPr>
          <w:rFonts w:ascii="Arial" w:hAnsi="Arial" w:cs="Arial"/>
          <w:sz w:val="24"/>
          <w:szCs w:val="24"/>
          <w:lang w:val="es-MX"/>
        </w:rPr>
      </w:pPr>
      <w:r w:rsidRPr="001143E1">
        <w:rPr>
          <w:rFonts w:ascii="Arial" w:hAnsi="Arial" w:cs="Arial"/>
          <w:sz w:val="24"/>
          <w:szCs w:val="24"/>
          <w:lang w:val="es-MX"/>
        </w:rPr>
        <w:t>La disciplina con mayor demanda es Ingeniería Industrial que se relaciona con el diseño de instalaciones para la manufactura, el control de la producción, las mejoras en los métodos, la medición del trabajo, el control de calidad, principalmente. En segundo lugar, se ubica la licenciatura en Ingeniería Ambiental que se enfoca al estudio, evaluación y resolución técnica de problemas ambientales, ocasionados por diversas actividades del ser humano. Le sigue en solicitudes la licenciatura en Ingeniería Civil que aplica sus conocimientos y técnicas para planear, construir, operar, conservar y administrar las obras de infraestructura y de servicios que la sociedad demanda. A continuación, está la licenciatura en Ingeniería Mecánica que se ocupa de diseñar, construir, evaluar, optimizar dispositivos, máquinas o sistemas transformadores de la energía disponible, en formas aprovechables por la sociedad.</w:t>
      </w:r>
    </w:p>
    <w:p w:rsidR="007F2707" w:rsidRPr="001143E1" w:rsidRDefault="007F2707" w:rsidP="007F2707">
      <w:pPr>
        <w:tabs>
          <w:tab w:val="left" w:pos="7815"/>
        </w:tabs>
        <w:spacing w:line="240" w:lineRule="auto"/>
        <w:jc w:val="both"/>
        <w:rPr>
          <w:rFonts w:ascii="Arial" w:hAnsi="Arial" w:cs="Arial"/>
          <w:sz w:val="24"/>
          <w:szCs w:val="24"/>
          <w:lang w:val="es-MX"/>
        </w:rPr>
      </w:pPr>
      <w:r w:rsidRPr="001143E1">
        <w:rPr>
          <w:rFonts w:ascii="Arial" w:hAnsi="Arial" w:cs="Arial"/>
          <w:sz w:val="24"/>
          <w:szCs w:val="24"/>
          <w:lang w:val="es-MX"/>
        </w:rPr>
        <w:t xml:space="preserve">La elección de las otras ingenierías se realiza en menor medida, Ingeniería Química que atiende el diseño, control, simulación, adecuación y optimización de procesos que transforman la materia en productos útiles a la sociedad e Ingeniería Física </w:t>
      </w:r>
      <w:r>
        <w:rPr>
          <w:rFonts w:ascii="Arial" w:hAnsi="Arial" w:cs="Arial"/>
          <w:sz w:val="24"/>
          <w:szCs w:val="24"/>
          <w:lang w:val="es-MX"/>
        </w:rPr>
        <w:t>que se orienta a</w:t>
      </w:r>
      <w:r w:rsidRPr="001143E1">
        <w:rPr>
          <w:rFonts w:ascii="Arial" w:hAnsi="Arial" w:cs="Arial"/>
          <w:sz w:val="24"/>
          <w:szCs w:val="24"/>
          <w:lang w:val="es-MX"/>
        </w:rPr>
        <w:t>l diseño, planeación, control y evaluación de proyectos de investigación y desarrollo tecnológico.</w:t>
      </w:r>
    </w:p>
    <w:p w:rsidR="007F2707" w:rsidRDefault="007F2707" w:rsidP="007F2707">
      <w:pPr>
        <w:tabs>
          <w:tab w:val="left" w:pos="7815"/>
        </w:tabs>
        <w:spacing w:line="240" w:lineRule="auto"/>
        <w:jc w:val="both"/>
        <w:rPr>
          <w:rFonts w:ascii="Arial" w:hAnsi="Arial" w:cs="Arial"/>
          <w:sz w:val="24"/>
          <w:szCs w:val="24"/>
          <w:lang w:val="es-MX"/>
        </w:rPr>
      </w:pPr>
      <w:r w:rsidRPr="001143E1">
        <w:rPr>
          <w:rFonts w:ascii="Arial" w:hAnsi="Arial" w:cs="Arial"/>
          <w:sz w:val="24"/>
          <w:szCs w:val="24"/>
          <w:lang w:val="es-MX"/>
        </w:rPr>
        <w:t>La selección de los estudiantes extranjeros de nivel posgrado abarca la Maestría en Ciencias e Ingeniería Ambiental, la Maestría en Ciencia e Ingeniería de Materiales y la Maestría y Doctorado en Ingeniería de Procesos (Figura 5)</w:t>
      </w:r>
      <w:r>
        <w:rPr>
          <w:rFonts w:ascii="Arial" w:hAnsi="Arial" w:cs="Arial"/>
          <w:sz w:val="24"/>
          <w:szCs w:val="24"/>
          <w:lang w:val="es-MX"/>
        </w:rPr>
        <w:t>.</w:t>
      </w:r>
    </w:p>
    <w:p w:rsidR="007F2707" w:rsidRDefault="007F2707" w:rsidP="007F2707">
      <w:pPr>
        <w:tabs>
          <w:tab w:val="left" w:pos="7815"/>
        </w:tabs>
        <w:spacing w:line="240" w:lineRule="auto"/>
        <w:jc w:val="both"/>
        <w:rPr>
          <w:rFonts w:ascii="Arial" w:hAnsi="Arial" w:cs="Arial"/>
          <w:sz w:val="24"/>
          <w:szCs w:val="24"/>
          <w:lang w:val="es-MX"/>
        </w:rPr>
      </w:pPr>
    </w:p>
    <w:p w:rsidR="007F2707" w:rsidRPr="00817D93" w:rsidRDefault="007F2707" w:rsidP="007F2707">
      <w:pPr>
        <w:tabs>
          <w:tab w:val="left" w:pos="7815"/>
        </w:tabs>
        <w:spacing w:line="240" w:lineRule="auto"/>
        <w:jc w:val="center"/>
        <w:rPr>
          <w:rFonts w:ascii="Arial" w:hAnsi="Arial" w:cs="Arial"/>
          <w:sz w:val="24"/>
          <w:szCs w:val="24"/>
          <w:lang w:val="es-MX"/>
        </w:rPr>
      </w:pPr>
      <w:r w:rsidRPr="003117F3">
        <w:rPr>
          <w:noProof/>
          <w:lang w:val="en-US"/>
        </w:rPr>
        <w:drawing>
          <wp:inline distT="0" distB="0" distL="0" distR="0" wp14:anchorId="5AA02718" wp14:editId="4D08AB7F">
            <wp:extent cx="4680000" cy="2818372"/>
            <wp:effectExtent l="0" t="0" r="6350" b="1270"/>
            <wp:docPr id="92" name="Imagen 92" descr="C:\Users\Energia 10\Pictures\fp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ergia 10\Pictures\fpb5.jpg"/>
                    <pic:cNvPicPr>
                      <a:picLocks noChangeAspect="1" noChangeArrowheads="1"/>
                    </pic:cNvPicPr>
                  </pic:nvPicPr>
                  <pic:blipFill rotWithShape="1">
                    <a:blip r:embed="rId1278">
                      <a:extLst>
                        <a:ext uri="{28A0092B-C50C-407E-A947-70E740481C1C}">
                          <a14:useLocalDpi xmlns:a14="http://schemas.microsoft.com/office/drawing/2010/main" val="0"/>
                        </a:ext>
                      </a:extLst>
                    </a:blip>
                    <a:srcRect r="59033" b="51972"/>
                    <a:stretch/>
                  </pic:blipFill>
                  <pic:spPr bwMode="auto">
                    <a:xfrm>
                      <a:off x="0" y="0"/>
                      <a:ext cx="4680000" cy="2818372"/>
                    </a:xfrm>
                    <a:prstGeom prst="rect">
                      <a:avLst/>
                    </a:prstGeom>
                    <a:noFill/>
                    <a:ln>
                      <a:noFill/>
                    </a:ln>
                    <a:extLst>
                      <a:ext uri="{53640926-AAD7-44D8-BBD7-CCE9431645EC}">
                        <a14:shadowObscured xmlns:a14="http://schemas.microsoft.com/office/drawing/2010/main"/>
                      </a:ext>
                    </a:extLst>
                  </pic:spPr>
                </pic:pic>
              </a:graphicData>
            </a:graphic>
          </wp:inline>
        </w:drawing>
      </w:r>
    </w:p>
    <w:p w:rsidR="007F2707" w:rsidRPr="001143E1" w:rsidRDefault="007F2707" w:rsidP="007F2707">
      <w:pPr>
        <w:tabs>
          <w:tab w:val="left" w:pos="7815"/>
        </w:tabs>
        <w:jc w:val="center"/>
        <w:rPr>
          <w:rFonts w:ascii="Arial" w:hAnsi="Arial" w:cs="Arial"/>
          <w:sz w:val="20"/>
          <w:szCs w:val="20"/>
          <w:lang w:val="es-MX"/>
        </w:rPr>
      </w:pPr>
      <w:r w:rsidRPr="001143E1">
        <w:rPr>
          <w:rFonts w:ascii="Arial" w:hAnsi="Arial" w:cs="Arial"/>
          <w:sz w:val="20"/>
          <w:szCs w:val="20"/>
          <w:lang w:val="es-MX"/>
        </w:rPr>
        <w:t>Figura 5. Distribución de</w:t>
      </w:r>
      <w:r>
        <w:rPr>
          <w:rFonts w:ascii="Arial" w:hAnsi="Arial" w:cs="Arial"/>
          <w:sz w:val="20"/>
          <w:szCs w:val="20"/>
          <w:lang w:val="es-MX"/>
        </w:rPr>
        <w:t xml:space="preserve"> estudiantes extranjeros de</w:t>
      </w:r>
      <w:r w:rsidRPr="001143E1">
        <w:rPr>
          <w:rFonts w:ascii="Arial" w:hAnsi="Arial" w:cs="Arial"/>
          <w:sz w:val="20"/>
          <w:szCs w:val="20"/>
          <w:lang w:val="es-MX"/>
        </w:rPr>
        <w:t xml:space="preserve"> posgrado por área de estudio.</w:t>
      </w:r>
    </w:p>
    <w:p w:rsidR="007F2707" w:rsidRDefault="007F2707" w:rsidP="007F2707">
      <w:pPr>
        <w:tabs>
          <w:tab w:val="left" w:pos="7815"/>
        </w:tabs>
        <w:spacing w:line="240" w:lineRule="auto"/>
        <w:jc w:val="both"/>
        <w:rPr>
          <w:rFonts w:ascii="Arial" w:hAnsi="Arial" w:cs="Arial"/>
          <w:sz w:val="24"/>
          <w:szCs w:val="24"/>
          <w:lang w:val="es-MX"/>
        </w:rPr>
      </w:pPr>
    </w:p>
    <w:p w:rsidR="007F2707" w:rsidRPr="001143E1" w:rsidRDefault="007F2707" w:rsidP="007F2707">
      <w:pPr>
        <w:tabs>
          <w:tab w:val="left" w:pos="7815"/>
        </w:tabs>
        <w:spacing w:line="240" w:lineRule="auto"/>
        <w:jc w:val="both"/>
        <w:rPr>
          <w:rFonts w:ascii="Arial" w:hAnsi="Arial" w:cs="Arial"/>
          <w:sz w:val="24"/>
          <w:szCs w:val="24"/>
          <w:lang w:val="es-MX"/>
        </w:rPr>
      </w:pPr>
      <w:r w:rsidRPr="001143E1">
        <w:rPr>
          <w:rFonts w:ascii="Arial" w:hAnsi="Arial" w:cs="Arial"/>
          <w:sz w:val="24"/>
          <w:szCs w:val="24"/>
          <w:lang w:val="es-MX"/>
        </w:rPr>
        <w:t xml:space="preserve">Como puede observarse, es insignificante el número de estudiantes extranjeros que deciden realizar sus estudios de posgrado en la Universidad. Esto puede explicarse por diversas razones: a) porque los estudiantes prefieren realizar dichos estudios en universidades con un mejor ranking a nivel internacional, b) </w:t>
      </w:r>
      <w:r>
        <w:rPr>
          <w:rFonts w:ascii="Arial" w:hAnsi="Arial" w:cs="Arial"/>
          <w:sz w:val="24"/>
          <w:szCs w:val="24"/>
          <w:lang w:val="es-MX"/>
        </w:rPr>
        <w:t>la existencia de</w:t>
      </w:r>
      <w:r w:rsidRPr="0035208C">
        <w:rPr>
          <w:rFonts w:ascii="Arial" w:hAnsi="Arial" w:cs="Arial"/>
          <w:sz w:val="24"/>
          <w:szCs w:val="24"/>
          <w:lang w:val="es-MX"/>
        </w:rPr>
        <w:t xml:space="preserve"> </w:t>
      </w:r>
      <w:r w:rsidRPr="001143E1">
        <w:rPr>
          <w:rFonts w:ascii="Arial" w:hAnsi="Arial" w:cs="Arial"/>
          <w:sz w:val="24"/>
          <w:szCs w:val="24"/>
          <w:lang w:val="es-MX"/>
        </w:rPr>
        <w:t>un intercambio permanente de estudiantes extranjeros</w:t>
      </w:r>
      <w:r>
        <w:rPr>
          <w:rFonts w:ascii="Arial" w:hAnsi="Arial" w:cs="Arial"/>
          <w:sz w:val="24"/>
          <w:szCs w:val="24"/>
          <w:lang w:val="es-MX"/>
        </w:rPr>
        <w:t xml:space="preserve"> en</w:t>
      </w:r>
      <w:r w:rsidRPr="001143E1">
        <w:rPr>
          <w:rFonts w:ascii="Arial" w:hAnsi="Arial" w:cs="Arial"/>
          <w:sz w:val="24"/>
          <w:szCs w:val="24"/>
          <w:lang w:val="es-MX"/>
        </w:rPr>
        <w:t xml:space="preserve"> Instituciones de Educación</w:t>
      </w:r>
      <w:r>
        <w:rPr>
          <w:rFonts w:ascii="Arial" w:hAnsi="Arial" w:cs="Arial"/>
          <w:sz w:val="24"/>
          <w:szCs w:val="24"/>
          <w:lang w:val="es-MX"/>
        </w:rPr>
        <w:t xml:space="preserve"> Superior</w:t>
      </w:r>
      <w:r w:rsidRPr="001143E1">
        <w:rPr>
          <w:rFonts w:ascii="Arial" w:hAnsi="Arial" w:cs="Arial"/>
          <w:sz w:val="24"/>
          <w:szCs w:val="24"/>
          <w:lang w:val="es-MX"/>
        </w:rPr>
        <w:t xml:space="preserve"> Privadas, c) lo</w:t>
      </w:r>
      <w:r>
        <w:rPr>
          <w:rFonts w:ascii="Arial" w:hAnsi="Arial" w:cs="Arial"/>
          <w:sz w:val="24"/>
          <w:szCs w:val="24"/>
          <w:lang w:val="es-MX"/>
        </w:rPr>
        <w:t xml:space="preserve"> atractivo que re</w:t>
      </w:r>
      <w:r w:rsidRPr="001143E1">
        <w:rPr>
          <w:rFonts w:ascii="Arial" w:hAnsi="Arial" w:cs="Arial"/>
          <w:sz w:val="24"/>
          <w:szCs w:val="24"/>
          <w:lang w:val="es-MX"/>
        </w:rPr>
        <w:t>s</w:t>
      </w:r>
      <w:r>
        <w:rPr>
          <w:rFonts w:ascii="Arial" w:hAnsi="Arial" w:cs="Arial"/>
          <w:sz w:val="24"/>
          <w:szCs w:val="24"/>
          <w:lang w:val="es-MX"/>
        </w:rPr>
        <w:t>ultan los</w:t>
      </w:r>
      <w:r w:rsidRPr="001143E1">
        <w:rPr>
          <w:rFonts w:ascii="Arial" w:hAnsi="Arial" w:cs="Arial"/>
          <w:sz w:val="24"/>
          <w:szCs w:val="24"/>
          <w:lang w:val="es-MX"/>
        </w:rPr>
        <w:t xml:space="preserve"> programas y planes de estudios</w:t>
      </w:r>
      <w:r>
        <w:rPr>
          <w:rFonts w:ascii="Arial" w:hAnsi="Arial" w:cs="Arial"/>
          <w:sz w:val="24"/>
          <w:szCs w:val="24"/>
          <w:lang w:val="es-MX"/>
        </w:rPr>
        <w:t xml:space="preserve"> institucionales</w:t>
      </w:r>
      <w:r w:rsidRPr="001143E1">
        <w:rPr>
          <w:rFonts w:ascii="Arial" w:hAnsi="Arial" w:cs="Arial"/>
          <w:sz w:val="24"/>
          <w:szCs w:val="24"/>
          <w:lang w:val="es-MX"/>
        </w:rPr>
        <w:t>, d) la cantidad de convenios con los que cuenta cada Institución de Educación Superior, etc.</w:t>
      </w:r>
    </w:p>
    <w:p w:rsidR="007F2707" w:rsidRDefault="007F2707" w:rsidP="007F2707">
      <w:pPr>
        <w:tabs>
          <w:tab w:val="left" w:pos="7815"/>
        </w:tabs>
        <w:spacing w:line="240" w:lineRule="auto"/>
        <w:jc w:val="both"/>
        <w:rPr>
          <w:rFonts w:ascii="Arial" w:hAnsi="Arial" w:cs="Arial"/>
          <w:sz w:val="24"/>
          <w:szCs w:val="24"/>
          <w:lang w:val="es-MX"/>
        </w:rPr>
      </w:pPr>
      <w:r w:rsidRPr="001143E1">
        <w:rPr>
          <w:rFonts w:ascii="Arial" w:hAnsi="Arial" w:cs="Arial"/>
          <w:sz w:val="24"/>
          <w:szCs w:val="24"/>
          <w:lang w:val="es-MX"/>
        </w:rPr>
        <w:t>El intercambio</w:t>
      </w:r>
      <w:r>
        <w:rPr>
          <w:rFonts w:ascii="Arial" w:hAnsi="Arial" w:cs="Arial"/>
          <w:sz w:val="24"/>
          <w:szCs w:val="24"/>
          <w:lang w:val="es-MX"/>
        </w:rPr>
        <w:t xml:space="preserve"> entre</w:t>
      </w:r>
      <w:r w:rsidRPr="001143E1">
        <w:rPr>
          <w:rFonts w:ascii="Arial" w:hAnsi="Arial" w:cs="Arial"/>
          <w:sz w:val="24"/>
          <w:szCs w:val="24"/>
          <w:lang w:val="es-MX"/>
        </w:rPr>
        <w:t xml:space="preserve"> la Universidad Autónoma Metropolitana</w:t>
      </w:r>
      <w:r>
        <w:rPr>
          <w:rFonts w:ascii="Arial" w:hAnsi="Arial" w:cs="Arial"/>
          <w:sz w:val="24"/>
          <w:szCs w:val="24"/>
          <w:lang w:val="es-MX"/>
        </w:rPr>
        <w:t xml:space="preserve"> y l</w:t>
      </w:r>
      <w:r w:rsidRPr="001143E1">
        <w:rPr>
          <w:rFonts w:ascii="Arial" w:hAnsi="Arial" w:cs="Arial"/>
          <w:sz w:val="24"/>
          <w:szCs w:val="24"/>
          <w:lang w:val="es-MX"/>
        </w:rPr>
        <w:t xml:space="preserve">as Instituciones de </w:t>
      </w:r>
    </w:p>
    <w:p w:rsidR="007F2707" w:rsidRDefault="007F2707" w:rsidP="007F2707">
      <w:pPr>
        <w:tabs>
          <w:tab w:val="left" w:pos="7815"/>
        </w:tabs>
        <w:spacing w:line="240" w:lineRule="auto"/>
        <w:jc w:val="both"/>
        <w:rPr>
          <w:rFonts w:ascii="Arial" w:hAnsi="Arial" w:cs="Arial"/>
          <w:sz w:val="24"/>
          <w:szCs w:val="24"/>
          <w:lang w:val="es-MX"/>
        </w:rPr>
      </w:pPr>
      <w:r w:rsidRPr="001143E1">
        <w:rPr>
          <w:rFonts w:ascii="Arial" w:hAnsi="Arial" w:cs="Arial"/>
          <w:sz w:val="24"/>
          <w:szCs w:val="24"/>
          <w:lang w:val="es-MX"/>
        </w:rPr>
        <w:t>Educación Superior es posible gracias al apoyo de diversos programas de movilidad</w:t>
      </w:r>
      <w:r>
        <w:rPr>
          <w:rFonts w:ascii="Arial" w:hAnsi="Arial" w:cs="Arial"/>
          <w:sz w:val="24"/>
          <w:szCs w:val="24"/>
          <w:lang w:val="es-MX"/>
        </w:rPr>
        <w:t xml:space="preserve">, que tienen como principales objetivos: promover la internacionalización de las Instituciones de Educación Superior, enriquecer la formación académica de las comunidades universitarias, impulsar la colaboración solidaria entre las instituciones.  </w:t>
      </w:r>
    </w:p>
    <w:p w:rsidR="007F2707" w:rsidRDefault="007F2707" w:rsidP="007F2707">
      <w:pPr>
        <w:tabs>
          <w:tab w:val="left" w:pos="7815"/>
        </w:tabs>
        <w:spacing w:line="240" w:lineRule="auto"/>
        <w:jc w:val="both"/>
        <w:rPr>
          <w:rFonts w:ascii="Arial" w:hAnsi="Arial" w:cs="Arial"/>
          <w:sz w:val="24"/>
          <w:szCs w:val="24"/>
          <w:lang w:val="es-MX"/>
        </w:rPr>
      </w:pPr>
      <w:r>
        <w:rPr>
          <w:rFonts w:ascii="Arial" w:hAnsi="Arial" w:cs="Arial"/>
          <w:sz w:val="24"/>
          <w:szCs w:val="24"/>
          <w:lang w:val="es-MX"/>
        </w:rPr>
        <w:t xml:space="preserve"> Los Programas de Movilidad utilizados por los estudiantes son:</w:t>
      </w:r>
      <w:r w:rsidRPr="001143E1">
        <w:rPr>
          <w:rFonts w:ascii="Arial" w:hAnsi="Arial" w:cs="Arial"/>
          <w:sz w:val="24"/>
          <w:szCs w:val="24"/>
          <w:lang w:val="es-MX"/>
        </w:rPr>
        <w:t xml:space="preserve"> Programa Bilateral; Programa Académico de Movilidad Educativa-Unión de Universidades de América Latina y el C</w:t>
      </w:r>
      <w:r>
        <w:rPr>
          <w:rFonts w:ascii="Arial" w:hAnsi="Arial" w:cs="Arial"/>
          <w:sz w:val="24"/>
          <w:szCs w:val="24"/>
          <w:lang w:val="es-MX"/>
        </w:rPr>
        <w:t xml:space="preserve">aribe (PAME-UDUAL) </w:t>
      </w:r>
      <w:r>
        <w:rPr>
          <w:rFonts w:ascii="Arial" w:hAnsi="Arial" w:cs="Arial"/>
          <w:sz w:val="24"/>
          <w:szCs w:val="24"/>
          <w:vertAlign w:val="superscript"/>
          <w:lang w:val="es-MX"/>
        </w:rPr>
        <w:t>[8]</w:t>
      </w:r>
      <w:r w:rsidRPr="001143E1">
        <w:rPr>
          <w:rFonts w:ascii="Arial" w:hAnsi="Arial" w:cs="Arial"/>
          <w:sz w:val="24"/>
          <w:szCs w:val="24"/>
          <w:lang w:val="es-MX"/>
        </w:rPr>
        <w:t>; Programa de Intercambio Universitario-Centro Interuniversitario de Desarrollo</w:t>
      </w:r>
      <w:r>
        <w:rPr>
          <w:rFonts w:ascii="Arial" w:hAnsi="Arial" w:cs="Arial"/>
          <w:sz w:val="24"/>
          <w:szCs w:val="24"/>
          <w:lang w:val="es-MX"/>
        </w:rPr>
        <w:t xml:space="preserve"> (CINDA) </w:t>
      </w:r>
      <w:r>
        <w:rPr>
          <w:rFonts w:ascii="Arial" w:hAnsi="Arial" w:cs="Arial"/>
          <w:sz w:val="24"/>
          <w:szCs w:val="24"/>
          <w:vertAlign w:val="superscript"/>
          <w:lang w:val="es-MX"/>
        </w:rPr>
        <w:t>[9]</w:t>
      </w:r>
      <w:r w:rsidRPr="001143E1">
        <w:rPr>
          <w:rFonts w:ascii="Arial" w:hAnsi="Arial" w:cs="Arial"/>
          <w:sz w:val="24"/>
          <w:szCs w:val="24"/>
          <w:lang w:val="es-MX"/>
        </w:rPr>
        <w:t xml:space="preserve"> y Programa Jóvenes de Intercambio </w:t>
      </w:r>
      <w:r>
        <w:rPr>
          <w:rFonts w:ascii="Arial" w:hAnsi="Arial" w:cs="Arial"/>
          <w:sz w:val="24"/>
          <w:szCs w:val="24"/>
          <w:lang w:val="es-MX"/>
        </w:rPr>
        <w:t xml:space="preserve">México-Argentina (JIMA) </w:t>
      </w:r>
      <w:r>
        <w:rPr>
          <w:rFonts w:ascii="Arial" w:hAnsi="Arial" w:cs="Arial"/>
          <w:sz w:val="24"/>
          <w:szCs w:val="24"/>
          <w:vertAlign w:val="superscript"/>
          <w:lang w:val="es-MX"/>
        </w:rPr>
        <w:t>[10]</w:t>
      </w:r>
      <w:r w:rsidRPr="001143E1">
        <w:rPr>
          <w:rFonts w:ascii="Arial" w:hAnsi="Arial" w:cs="Arial"/>
          <w:sz w:val="24"/>
          <w:szCs w:val="24"/>
          <w:lang w:val="es-MX"/>
        </w:rPr>
        <w:t xml:space="preserve"> (Figura 6).</w:t>
      </w:r>
    </w:p>
    <w:p w:rsidR="007F2707" w:rsidRDefault="007F2707" w:rsidP="007F2707">
      <w:pPr>
        <w:tabs>
          <w:tab w:val="left" w:pos="7815"/>
        </w:tabs>
        <w:spacing w:line="240" w:lineRule="auto"/>
        <w:jc w:val="both"/>
        <w:rPr>
          <w:rFonts w:ascii="Arial" w:hAnsi="Arial" w:cs="Arial"/>
          <w:sz w:val="24"/>
          <w:szCs w:val="24"/>
          <w:lang w:val="es-MX"/>
        </w:rPr>
      </w:pPr>
    </w:p>
    <w:p w:rsidR="007F2707" w:rsidRPr="00817D93" w:rsidRDefault="007F2707" w:rsidP="007F2707">
      <w:pPr>
        <w:tabs>
          <w:tab w:val="left" w:pos="7815"/>
        </w:tabs>
        <w:spacing w:line="240" w:lineRule="auto"/>
        <w:jc w:val="center"/>
        <w:rPr>
          <w:rFonts w:ascii="Arial" w:hAnsi="Arial" w:cs="Arial"/>
          <w:sz w:val="24"/>
          <w:szCs w:val="24"/>
          <w:lang w:val="es-MX"/>
        </w:rPr>
      </w:pPr>
      <w:r>
        <w:rPr>
          <w:noProof/>
          <w:lang w:val="en-US"/>
        </w:rPr>
        <w:drawing>
          <wp:inline distT="0" distB="0" distL="0" distR="0" wp14:anchorId="60A7FEF3" wp14:editId="27ECABFC">
            <wp:extent cx="4680000" cy="2217738"/>
            <wp:effectExtent l="0" t="0" r="6350" b="0"/>
            <wp:docPr id="96" name="Gráfico 96">
              <a:extLst xmlns:a="http://schemas.openxmlformats.org/drawingml/2006/main">
                <a:ext uri="{FF2B5EF4-FFF2-40B4-BE49-F238E27FC236}">
                  <a16:creationId xmlns:a16="http://schemas.microsoft.com/office/drawing/2014/main" id="{7E7EBBA7-7BD6-4C04-9D0F-E6F8A1D59D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9"/>
              </a:graphicData>
            </a:graphic>
          </wp:inline>
        </w:drawing>
      </w:r>
    </w:p>
    <w:p w:rsidR="007F2707" w:rsidRPr="001143E1" w:rsidRDefault="007F2707" w:rsidP="007F2707">
      <w:pPr>
        <w:tabs>
          <w:tab w:val="left" w:pos="7815"/>
        </w:tabs>
        <w:jc w:val="center"/>
        <w:rPr>
          <w:rFonts w:ascii="Arial" w:hAnsi="Arial" w:cs="Arial"/>
          <w:sz w:val="20"/>
          <w:szCs w:val="20"/>
          <w:lang w:val="es-MX"/>
        </w:rPr>
      </w:pPr>
      <w:r w:rsidRPr="001143E1">
        <w:rPr>
          <w:rFonts w:ascii="Arial" w:hAnsi="Arial" w:cs="Arial"/>
          <w:sz w:val="20"/>
          <w:szCs w:val="20"/>
          <w:lang w:val="es-MX"/>
        </w:rPr>
        <w:t>Figur</w:t>
      </w:r>
      <w:r>
        <w:rPr>
          <w:rFonts w:ascii="Arial" w:hAnsi="Arial" w:cs="Arial"/>
          <w:sz w:val="20"/>
          <w:szCs w:val="20"/>
          <w:lang w:val="es-MX"/>
        </w:rPr>
        <w:t>a 6. Programas de movilidad elegidos por</w:t>
      </w:r>
      <w:r w:rsidRPr="001143E1">
        <w:rPr>
          <w:rFonts w:ascii="Arial" w:hAnsi="Arial" w:cs="Arial"/>
          <w:sz w:val="20"/>
          <w:szCs w:val="20"/>
          <w:lang w:val="es-MX"/>
        </w:rPr>
        <w:t xml:space="preserve"> los estudiantes extranjeros.</w:t>
      </w:r>
    </w:p>
    <w:p w:rsidR="007F2707" w:rsidRPr="00BA6523" w:rsidRDefault="007F2707" w:rsidP="007F2707">
      <w:pPr>
        <w:tabs>
          <w:tab w:val="left" w:pos="7815"/>
        </w:tabs>
        <w:jc w:val="center"/>
        <w:rPr>
          <w:rFonts w:ascii="Times New Roman" w:hAnsi="Times New Roman" w:cs="Times New Roman"/>
          <w:sz w:val="20"/>
          <w:szCs w:val="20"/>
          <w:lang w:val="es-MX"/>
        </w:rPr>
      </w:pPr>
    </w:p>
    <w:p w:rsidR="007F2707" w:rsidRPr="001143E1" w:rsidRDefault="007F2707" w:rsidP="007F2707">
      <w:pPr>
        <w:tabs>
          <w:tab w:val="left" w:pos="7815"/>
        </w:tabs>
        <w:spacing w:line="240" w:lineRule="auto"/>
        <w:jc w:val="both"/>
        <w:rPr>
          <w:rFonts w:ascii="Arial" w:hAnsi="Arial" w:cs="Arial"/>
          <w:sz w:val="24"/>
          <w:szCs w:val="24"/>
          <w:lang w:val="es-MX"/>
        </w:rPr>
      </w:pPr>
      <w:r w:rsidRPr="001143E1">
        <w:rPr>
          <w:rFonts w:ascii="Arial" w:hAnsi="Arial" w:cs="Arial"/>
          <w:sz w:val="24"/>
          <w:szCs w:val="24"/>
          <w:lang w:val="es-MX"/>
        </w:rPr>
        <w:t>En términos generales se cumplen los objetivos propuestos por estos programas, ya que se genera la movilidad de los estudiantes de licenciatura y posgrado, se promueven las Instituciones de Educación Superior y se impulsa la cooperación interinstitucional fomentando la internacionalización.</w:t>
      </w:r>
    </w:p>
    <w:p w:rsidR="007F2707" w:rsidRPr="001143E1" w:rsidRDefault="007F2707" w:rsidP="007F2707">
      <w:pPr>
        <w:tabs>
          <w:tab w:val="left" w:pos="7815"/>
        </w:tabs>
        <w:spacing w:line="240" w:lineRule="auto"/>
        <w:jc w:val="both"/>
        <w:rPr>
          <w:rFonts w:ascii="Arial" w:hAnsi="Arial" w:cs="Arial"/>
          <w:sz w:val="24"/>
          <w:szCs w:val="24"/>
          <w:lang w:val="es-MX"/>
        </w:rPr>
      </w:pPr>
      <w:r w:rsidRPr="001143E1">
        <w:rPr>
          <w:rFonts w:ascii="Arial" w:hAnsi="Arial" w:cs="Arial"/>
          <w:sz w:val="24"/>
          <w:szCs w:val="24"/>
          <w:lang w:val="es-MX"/>
        </w:rPr>
        <w:t>Es evidente que la UAM ha ido consolidando el Programa Bilateral, que le permite tener una mayor colaboración académica tanto con los países latinoamericanos como con los países de la Unión Europea, logrando una mayor presencia a nivel internacional.</w:t>
      </w:r>
    </w:p>
    <w:p w:rsidR="007F2707" w:rsidRPr="001143E1" w:rsidRDefault="007F2707" w:rsidP="007F2707">
      <w:pPr>
        <w:tabs>
          <w:tab w:val="left" w:pos="7815"/>
        </w:tabs>
        <w:spacing w:line="240" w:lineRule="auto"/>
        <w:jc w:val="both"/>
        <w:rPr>
          <w:rFonts w:ascii="Arial" w:hAnsi="Arial" w:cs="Arial"/>
          <w:sz w:val="24"/>
          <w:szCs w:val="24"/>
          <w:lang w:val="es-MX"/>
        </w:rPr>
      </w:pPr>
      <w:r>
        <w:rPr>
          <w:rFonts w:ascii="Arial" w:hAnsi="Arial" w:cs="Arial"/>
          <w:sz w:val="24"/>
          <w:szCs w:val="24"/>
          <w:lang w:val="es-MX"/>
        </w:rPr>
        <w:t>E</w:t>
      </w:r>
      <w:r w:rsidRPr="001143E1">
        <w:rPr>
          <w:rFonts w:ascii="Arial" w:hAnsi="Arial" w:cs="Arial"/>
          <w:sz w:val="24"/>
          <w:szCs w:val="24"/>
          <w:lang w:val="es-MX"/>
        </w:rPr>
        <w:t>l intercambio académico ha aumentado con el paso del tiempo y puede seguir este comportamiento si se estrecha en mayor medida la colaboración con más Instituciones de Educación Superior que tengan metas y objetivos comunes.</w:t>
      </w:r>
    </w:p>
    <w:p w:rsidR="007F2707" w:rsidRDefault="007F2707" w:rsidP="007F2707">
      <w:pPr>
        <w:tabs>
          <w:tab w:val="left" w:pos="7815"/>
        </w:tabs>
        <w:spacing w:line="240" w:lineRule="auto"/>
        <w:jc w:val="both"/>
        <w:rPr>
          <w:rFonts w:ascii="Arial" w:hAnsi="Arial" w:cs="Arial"/>
          <w:sz w:val="24"/>
          <w:szCs w:val="24"/>
          <w:lang w:val="es-MX"/>
        </w:rPr>
      </w:pPr>
      <w:r w:rsidRPr="001143E1">
        <w:rPr>
          <w:rFonts w:ascii="Arial" w:hAnsi="Arial" w:cs="Arial"/>
          <w:sz w:val="24"/>
          <w:szCs w:val="24"/>
          <w:lang w:val="es-MX"/>
        </w:rPr>
        <w:t>Al ser la Universidad en cierta manera espejo de nuestra sociedad, la Universidad tendrá que ser más flexible para adaptarse a las necesidades de la sociedad y preverlas. Debe producir y valorar nuevos conocimientos en el ámbito cultural, social y económico. Lo que le permitirá tener una mayor presencia y participación a nivel internacional.</w:t>
      </w:r>
    </w:p>
    <w:p w:rsidR="007F2707" w:rsidRPr="001143E1" w:rsidRDefault="007F2707" w:rsidP="007F2707">
      <w:pPr>
        <w:tabs>
          <w:tab w:val="left" w:pos="7815"/>
        </w:tabs>
        <w:spacing w:line="240" w:lineRule="auto"/>
        <w:jc w:val="both"/>
        <w:rPr>
          <w:rFonts w:ascii="Arial" w:hAnsi="Arial" w:cs="Arial"/>
          <w:sz w:val="24"/>
          <w:szCs w:val="24"/>
          <w:lang w:val="es-MX"/>
        </w:rPr>
      </w:pPr>
    </w:p>
    <w:p w:rsidR="007F2707" w:rsidRPr="001143E1" w:rsidRDefault="00F54D0B" w:rsidP="00F54D0B">
      <w:pPr>
        <w:pStyle w:val="1Titulo"/>
        <w:numPr>
          <w:ilvl w:val="0"/>
          <w:numId w:val="0"/>
        </w:numPr>
        <w:ind w:left="357"/>
      </w:pPr>
      <w:bookmarkStart w:id="394" w:name="_Toc50031441"/>
      <w:r>
        <w:t>5.</w:t>
      </w:r>
      <w:r w:rsidR="007F2707" w:rsidRPr="001143E1">
        <w:t>Conclusiones</w:t>
      </w:r>
      <w:bookmarkEnd w:id="394"/>
    </w:p>
    <w:p w:rsidR="007F2707" w:rsidRDefault="007F2707" w:rsidP="007F2707">
      <w:pPr>
        <w:tabs>
          <w:tab w:val="left" w:pos="7815"/>
        </w:tabs>
        <w:spacing w:line="240" w:lineRule="auto"/>
        <w:jc w:val="both"/>
        <w:rPr>
          <w:rFonts w:ascii="Arial" w:hAnsi="Arial" w:cs="Arial"/>
          <w:sz w:val="24"/>
          <w:szCs w:val="24"/>
          <w:lang w:val="es-MX"/>
        </w:rPr>
      </w:pPr>
      <w:r w:rsidRPr="001143E1">
        <w:rPr>
          <w:rFonts w:ascii="Arial" w:hAnsi="Arial" w:cs="Arial"/>
          <w:sz w:val="24"/>
          <w:szCs w:val="24"/>
          <w:lang w:val="es-MX"/>
        </w:rPr>
        <w:t>A partir de la información expuesta, no podemos expresar que el intercambio educativo mejora sustancialmente la imagen de México al exterior. Sin embargo, enriquece la formación profesional, el intercambio del saber y la creación de redes de intercambio de conocimiento que permiten la resolución de problemas de los países implicados. Contribuyendo en forma modesta a la obtención del poder blando, al lograrse una mejor percepción de la propia Universidad y quizá del país.</w:t>
      </w:r>
    </w:p>
    <w:p w:rsidR="007F2707" w:rsidRDefault="007F2707" w:rsidP="007F2707">
      <w:pPr>
        <w:tabs>
          <w:tab w:val="left" w:pos="7815"/>
        </w:tabs>
        <w:spacing w:line="240" w:lineRule="auto"/>
        <w:jc w:val="both"/>
        <w:rPr>
          <w:rFonts w:ascii="Arial" w:hAnsi="Arial" w:cs="Arial"/>
          <w:sz w:val="24"/>
          <w:szCs w:val="24"/>
          <w:lang w:val="es-MX"/>
        </w:rPr>
      </w:pPr>
      <w:r>
        <w:rPr>
          <w:rFonts w:ascii="Arial" w:hAnsi="Arial" w:cs="Arial"/>
          <w:sz w:val="24"/>
          <w:szCs w:val="24"/>
          <w:lang w:val="es-MX"/>
        </w:rPr>
        <w:t>Existe un incremento del poder blando en México a través de su afiliación y participación en Organizaciones Internacionales, su atractivo turístico, su gastronomía, la cantidad de centros culturales del país en el extranjero, su producción artística, su producción musical, su producción cinematográfica, entre otros. Sin embargo, la imagen del país al exterior está dominada por los acontecimientos políticos y sociales que tienen una mayor difusión a nivel internacional a través de los medios de información y comunicación.</w:t>
      </w:r>
    </w:p>
    <w:p w:rsidR="007F2707" w:rsidRDefault="007F2707" w:rsidP="007F2707">
      <w:pPr>
        <w:tabs>
          <w:tab w:val="left" w:pos="7815"/>
        </w:tabs>
        <w:spacing w:line="240" w:lineRule="auto"/>
        <w:jc w:val="both"/>
        <w:rPr>
          <w:rFonts w:ascii="Arial" w:hAnsi="Arial" w:cs="Arial"/>
          <w:sz w:val="24"/>
          <w:szCs w:val="24"/>
          <w:lang w:val="es-MX"/>
        </w:rPr>
      </w:pPr>
      <w:r w:rsidRPr="001143E1">
        <w:rPr>
          <w:rFonts w:ascii="Arial" w:hAnsi="Arial" w:cs="Arial"/>
          <w:sz w:val="24"/>
          <w:szCs w:val="24"/>
          <w:lang w:val="es-MX"/>
        </w:rPr>
        <w:t>La movilidad estudiantil depende del desempeño estudiantil</w:t>
      </w:r>
      <w:r>
        <w:rPr>
          <w:rFonts w:ascii="Arial" w:hAnsi="Arial" w:cs="Arial"/>
          <w:sz w:val="24"/>
          <w:szCs w:val="24"/>
          <w:lang w:val="es-MX"/>
        </w:rPr>
        <w:t>, qué</w:t>
      </w:r>
      <w:r w:rsidRPr="001143E1">
        <w:rPr>
          <w:rFonts w:ascii="Arial" w:hAnsi="Arial" w:cs="Arial"/>
          <w:sz w:val="24"/>
          <w:szCs w:val="24"/>
          <w:lang w:val="es-MX"/>
        </w:rPr>
        <w:t xml:space="preserve"> a su vez</w:t>
      </w:r>
      <w:r>
        <w:rPr>
          <w:rFonts w:ascii="Arial" w:hAnsi="Arial" w:cs="Arial"/>
          <w:sz w:val="24"/>
          <w:szCs w:val="24"/>
          <w:lang w:val="es-MX"/>
        </w:rPr>
        <w:t>,</w:t>
      </w:r>
      <w:r w:rsidRPr="001143E1">
        <w:rPr>
          <w:rFonts w:ascii="Arial" w:hAnsi="Arial" w:cs="Arial"/>
          <w:sz w:val="24"/>
          <w:szCs w:val="24"/>
          <w:lang w:val="es-MX"/>
        </w:rPr>
        <w:t xml:space="preserve"> es función de la efectividad de los sistemas educativos previos y </w:t>
      </w:r>
      <w:r>
        <w:rPr>
          <w:rFonts w:ascii="Arial" w:hAnsi="Arial" w:cs="Arial"/>
          <w:sz w:val="24"/>
          <w:szCs w:val="24"/>
          <w:lang w:val="es-MX"/>
        </w:rPr>
        <w:t>del estatus s</w:t>
      </w:r>
      <w:r w:rsidRPr="001143E1">
        <w:rPr>
          <w:rFonts w:ascii="Arial" w:hAnsi="Arial" w:cs="Arial"/>
          <w:sz w:val="24"/>
          <w:szCs w:val="24"/>
          <w:lang w:val="es-MX"/>
        </w:rPr>
        <w:t>ocioeconómico de los padres</w:t>
      </w:r>
      <w:r>
        <w:rPr>
          <w:rFonts w:ascii="Arial" w:hAnsi="Arial" w:cs="Arial"/>
          <w:sz w:val="24"/>
          <w:szCs w:val="24"/>
          <w:lang w:val="es-MX"/>
        </w:rPr>
        <w:t xml:space="preserve"> fundamenta</w:t>
      </w:r>
      <w:r w:rsidRPr="001143E1">
        <w:rPr>
          <w:rFonts w:ascii="Arial" w:hAnsi="Arial" w:cs="Arial"/>
          <w:sz w:val="24"/>
          <w:szCs w:val="24"/>
          <w:lang w:val="es-MX"/>
        </w:rPr>
        <w:t>do en su riqueza material y cultural.</w:t>
      </w:r>
    </w:p>
    <w:p w:rsidR="007F2707" w:rsidRPr="001143E1" w:rsidRDefault="007F2707" w:rsidP="007F2707">
      <w:pPr>
        <w:tabs>
          <w:tab w:val="left" w:pos="7815"/>
        </w:tabs>
        <w:spacing w:line="240" w:lineRule="auto"/>
        <w:jc w:val="both"/>
        <w:rPr>
          <w:rFonts w:ascii="Arial" w:hAnsi="Arial" w:cs="Arial"/>
          <w:sz w:val="24"/>
          <w:szCs w:val="24"/>
          <w:lang w:val="es-MX"/>
        </w:rPr>
      </w:pPr>
      <w:r>
        <w:rPr>
          <w:rFonts w:ascii="Arial" w:hAnsi="Arial" w:cs="Arial"/>
          <w:sz w:val="24"/>
          <w:szCs w:val="24"/>
          <w:lang w:val="es-MX"/>
        </w:rPr>
        <w:t xml:space="preserve">La experiencia de la movilidad en el estudiante, implica por un lado en un cambio de mentalidad en la persona, y por el otro, en un conocimiento más amplio de otros sistemas educativos, otras culturas. Enriqueciendo su desarrollo personal.   </w:t>
      </w:r>
    </w:p>
    <w:p w:rsidR="007F2707" w:rsidRPr="00440126" w:rsidRDefault="007F2707" w:rsidP="007F2707">
      <w:pPr>
        <w:tabs>
          <w:tab w:val="left" w:pos="7815"/>
        </w:tabs>
        <w:spacing w:line="240" w:lineRule="auto"/>
        <w:jc w:val="both"/>
        <w:rPr>
          <w:rFonts w:ascii="Times New Roman" w:hAnsi="Times New Roman" w:cs="Times New Roman"/>
          <w:sz w:val="24"/>
          <w:szCs w:val="24"/>
          <w:lang w:val="es-MX"/>
        </w:rPr>
      </w:pPr>
    </w:p>
    <w:p w:rsidR="007F2707" w:rsidRPr="00300E63" w:rsidRDefault="00F54D0B" w:rsidP="00F54D0B">
      <w:pPr>
        <w:pStyle w:val="1Titulo"/>
        <w:numPr>
          <w:ilvl w:val="0"/>
          <w:numId w:val="0"/>
        </w:numPr>
        <w:ind w:left="357"/>
      </w:pPr>
      <w:bookmarkStart w:id="395" w:name="_Toc50031442"/>
      <w:r>
        <w:t>6.</w:t>
      </w:r>
      <w:r w:rsidR="007F2707" w:rsidRPr="00300E63">
        <w:t>Bibliografía</w:t>
      </w:r>
      <w:bookmarkEnd w:id="395"/>
    </w:p>
    <w:p w:rsidR="007F2707" w:rsidRPr="000242AB" w:rsidRDefault="007F2707" w:rsidP="007F2707">
      <w:pPr>
        <w:tabs>
          <w:tab w:val="left" w:pos="7815"/>
        </w:tabs>
        <w:jc w:val="both"/>
        <w:rPr>
          <w:rFonts w:ascii="Times New Roman" w:hAnsi="Times New Roman" w:cs="Times New Roman"/>
          <w:sz w:val="24"/>
          <w:szCs w:val="24"/>
        </w:rPr>
      </w:pPr>
      <w:r>
        <w:rPr>
          <w:rFonts w:ascii="Times New Roman" w:hAnsi="Times New Roman" w:cs="Times New Roman"/>
          <w:sz w:val="24"/>
          <w:szCs w:val="24"/>
          <w:lang w:val="es-MX"/>
        </w:rPr>
        <w:t xml:space="preserve">[1] </w:t>
      </w:r>
      <w:r w:rsidRPr="00C168FB">
        <w:rPr>
          <w:rFonts w:ascii="Times New Roman" w:hAnsi="Times New Roman" w:cs="Times New Roman"/>
          <w:sz w:val="24"/>
          <w:szCs w:val="24"/>
          <w:lang w:val="es-MX"/>
        </w:rPr>
        <w:t>Foucault</w:t>
      </w:r>
      <w:r>
        <w:rPr>
          <w:rFonts w:ascii="Times New Roman" w:hAnsi="Times New Roman" w:cs="Times New Roman"/>
          <w:sz w:val="24"/>
          <w:szCs w:val="24"/>
          <w:lang w:val="es-MX"/>
        </w:rPr>
        <w:t>,</w:t>
      </w:r>
      <w:r w:rsidRPr="00C168FB">
        <w:rPr>
          <w:rFonts w:ascii="Times New Roman" w:hAnsi="Times New Roman" w:cs="Times New Roman"/>
          <w:sz w:val="24"/>
          <w:szCs w:val="24"/>
          <w:lang w:val="es-MX"/>
        </w:rPr>
        <w:t xml:space="preserve"> M</w:t>
      </w:r>
      <w:r>
        <w:rPr>
          <w:rFonts w:ascii="Times New Roman" w:hAnsi="Times New Roman" w:cs="Times New Roman"/>
          <w:sz w:val="24"/>
          <w:szCs w:val="24"/>
          <w:lang w:val="es-MX"/>
        </w:rPr>
        <w:t>ichael</w:t>
      </w:r>
      <w:r w:rsidRPr="00C168FB">
        <w:rPr>
          <w:rFonts w:ascii="Times New Roman" w:hAnsi="Times New Roman" w:cs="Times New Roman"/>
          <w:sz w:val="24"/>
          <w:szCs w:val="24"/>
          <w:lang w:val="es-MX"/>
        </w:rPr>
        <w:t xml:space="preserve"> (2005)</w:t>
      </w:r>
      <w:r>
        <w:rPr>
          <w:rFonts w:ascii="Times New Roman" w:hAnsi="Times New Roman" w:cs="Times New Roman"/>
          <w:sz w:val="24"/>
          <w:szCs w:val="24"/>
          <w:lang w:val="es-MX"/>
        </w:rPr>
        <w:t>,</w:t>
      </w:r>
      <w:r w:rsidRPr="00C168FB">
        <w:rPr>
          <w:rFonts w:ascii="Times New Roman" w:hAnsi="Times New Roman" w:cs="Times New Roman"/>
          <w:sz w:val="24"/>
          <w:szCs w:val="24"/>
          <w:lang w:val="es-MX"/>
        </w:rPr>
        <w:t xml:space="preserve"> </w:t>
      </w:r>
      <w:r w:rsidRPr="00C168FB">
        <w:rPr>
          <w:rFonts w:ascii="Times New Roman" w:hAnsi="Times New Roman" w:cs="Times New Roman"/>
          <w:i/>
          <w:sz w:val="24"/>
          <w:szCs w:val="24"/>
          <w:lang w:val="es-MX"/>
        </w:rPr>
        <w:t>La hermenéutica del sujeto</w:t>
      </w:r>
      <w:r>
        <w:rPr>
          <w:rFonts w:ascii="Times New Roman" w:hAnsi="Times New Roman" w:cs="Times New Roman"/>
          <w:i/>
          <w:sz w:val="24"/>
          <w:szCs w:val="24"/>
          <w:lang w:val="es-MX"/>
        </w:rPr>
        <w:t>,</w:t>
      </w:r>
      <w:r w:rsidRPr="00C168FB">
        <w:rPr>
          <w:rFonts w:ascii="Times New Roman" w:hAnsi="Times New Roman" w:cs="Times New Roman"/>
          <w:i/>
          <w:sz w:val="24"/>
          <w:szCs w:val="24"/>
          <w:lang w:val="es-MX"/>
        </w:rPr>
        <w:t xml:space="preserve"> </w:t>
      </w:r>
      <w:r w:rsidRPr="00C168FB">
        <w:rPr>
          <w:rFonts w:ascii="Times New Roman" w:hAnsi="Times New Roman" w:cs="Times New Roman"/>
          <w:sz w:val="24"/>
          <w:szCs w:val="24"/>
          <w:lang w:val="es-MX"/>
        </w:rPr>
        <w:t>Madrid</w:t>
      </w:r>
      <w:r>
        <w:rPr>
          <w:rFonts w:ascii="Times New Roman" w:hAnsi="Times New Roman" w:cs="Times New Roman"/>
          <w:sz w:val="24"/>
          <w:szCs w:val="24"/>
          <w:lang w:val="es-MX"/>
        </w:rPr>
        <w:t>,</w:t>
      </w:r>
      <w:r w:rsidRPr="00C168FB">
        <w:rPr>
          <w:rFonts w:ascii="Times New Roman" w:hAnsi="Times New Roman" w:cs="Times New Roman"/>
          <w:sz w:val="24"/>
          <w:szCs w:val="24"/>
          <w:lang w:val="es-MX"/>
        </w:rPr>
        <w:t xml:space="preserve"> </w:t>
      </w:r>
      <w:r w:rsidRPr="000242AB">
        <w:rPr>
          <w:rFonts w:ascii="Times New Roman" w:hAnsi="Times New Roman" w:cs="Times New Roman"/>
          <w:sz w:val="24"/>
          <w:szCs w:val="24"/>
        </w:rPr>
        <w:t>Edic</w:t>
      </w:r>
      <w:r>
        <w:rPr>
          <w:rFonts w:ascii="Times New Roman" w:hAnsi="Times New Roman" w:cs="Times New Roman"/>
          <w:sz w:val="24"/>
          <w:szCs w:val="24"/>
        </w:rPr>
        <w:t>iones</w:t>
      </w:r>
      <w:r w:rsidRPr="000242AB">
        <w:rPr>
          <w:rFonts w:ascii="Times New Roman" w:hAnsi="Times New Roman" w:cs="Times New Roman"/>
          <w:sz w:val="24"/>
          <w:szCs w:val="24"/>
        </w:rPr>
        <w:t xml:space="preserve"> Akal.</w:t>
      </w:r>
    </w:p>
    <w:p w:rsidR="007F2707" w:rsidRDefault="007F2707" w:rsidP="007F2707">
      <w:pPr>
        <w:tabs>
          <w:tab w:val="left" w:pos="7815"/>
        </w:tabs>
        <w:jc w:val="both"/>
        <w:rPr>
          <w:rFonts w:ascii="Times New Roman" w:hAnsi="Times New Roman" w:cs="Times New Roman"/>
          <w:sz w:val="24"/>
          <w:szCs w:val="24"/>
          <w:lang w:val="es-MX"/>
        </w:rPr>
      </w:pPr>
      <w:r>
        <w:rPr>
          <w:rFonts w:ascii="Times New Roman" w:hAnsi="Times New Roman" w:cs="Times New Roman"/>
          <w:sz w:val="24"/>
          <w:szCs w:val="24"/>
          <w:lang w:val="en-US"/>
        </w:rPr>
        <w:t>[2]</w:t>
      </w:r>
      <w:r w:rsidRPr="0021365F">
        <w:rPr>
          <w:rFonts w:ascii="Times New Roman" w:hAnsi="Times New Roman" w:cs="Times New Roman"/>
          <w:sz w:val="24"/>
          <w:szCs w:val="24"/>
          <w:lang w:val="en-US"/>
        </w:rPr>
        <w:t xml:space="preserve"> </w:t>
      </w:r>
      <w:r w:rsidRPr="0039766A">
        <w:rPr>
          <w:rFonts w:ascii="Times New Roman" w:hAnsi="Times New Roman" w:cs="Times New Roman"/>
          <w:sz w:val="24"/>
          <w:szCs w:val="24"/>
          <w:lang w:val="en-US"/>
        </w:rPr>
        <w:t xml:space="preserve">Nye, Joseph S. (2003), </w:t>
      </w:r>
      <w:r w:rsidRPr="0098174E">
        <w:rPr>
          <w:rFonts w:ascii="Times New Roman" w:hAnsi="Times New Roman" w:cs="Times New Roman"/>
          <w:i/>
          <w:sz w:val="24"/>
          <w:szCs w:val="24"/>
          <w:lang w:val="en-US"/>
        </w:rPr>
        <w:t>Soft Power: T</w:t>
      </w:r>
      <w:r>
        <w:rPr>
          <w:rFonts w:ascii="Times New Roman" w:hAnsi="Times New Roman" w:cs="Times New Roman"/>
          <w:i/>
          <w:sz w:val="24"/>
          <w:szCs w:val="24"/>
          <w:lang w:val="en-US"/>
        </w:rPr>
        <w:t>he Means to Success in World Poli</w:t>
      </w:r>
      <w:r w:rsidRPr="0098174E">
        <w:rPr>
          <w:rFonts w:ascii="Times New Roman" w:hAnsi="Times New Roman" w:cs="Times New Roman"/>
          <w:i/>
          <w:sz w:val="24"/>
          <w:szCs w:val="24"/>
          <w:lang w:val="en-US"/>
        </w:rPr>
        <w:t>tics</w:t>
      </w:r>
      <w:r>
        <w:rPr>
          <w:rFonts w:ascii="Times New Roman" w:hAnsi="Times New Roman" w:cs="Times New Roman"/>
          <w:i/>
          <w:sz w:val="24"/>
          <w:szCs w:val="24"/>
          <w:lang w:val="en-US"/>
        </w:rPr>
        <w:t>,</w:t>
      </w:r>
      <w:r w:rsidRPr="0098174E">
        <w:rPr>
          <w:rFonts w:ascii="Times New Roman" w:hAnsi="Times New Roman" w:cs="Times New Roman"/>
          <w:i/>
          <w:sz w:val="24"/>
          <w:szCs w:val="24"/>
          <w:lang w:val="en-US"/>
        </w:rPr>
        <w:t xml:space="preserve"> </w:t>
      </w:r>
      <w:r w:rsidRPr="0039766A">
        <w:rPr>
          <w:rFonts w:ascii="Times New Roman" w:hAnsi="Times New Roman" w:cs="Times New Roman"/>
          <w:sz w:val="24"/>
          <w:szCs w:val="24"/>
          <w:lang w:val="en-US"/>
        </w:rPr>
        <w:t xml:space="preserve">New York. </w:t>
      </w:r>
      <w:r>
        <w:rPr>
          <w:rFonts w:ascii="Times New Roman" w:hAnsi="Times New Roman" w:cs="Times New Roman"/>
          <w:sz w:val="24"/>
          <w:szCs w:val="24"/>
          <w:lang w:val="es-MX"/>
        </w:rPr>
        <w:t>Public Affairs.</w:t>
      </w:r>
    </w:p>
    <w:p w:rsidR="007F2707" w:rsidRDefault="007F2707" w:rsidP="007F2707">
      <w:pPr>
        <w:tabs>
          <w:tab w:val="left" w:pos="7815"/>
        </w:tabs>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[3] Torres Soriano, R. (2005), El poder blando: ¿una alternativa a la fuerza militar? </w:t>
      </w:r>
      <w:r>
        <w:rPr>
          <w:rFonts w:ascii="Times New Roman" w:hAnsi="Times New Roman" w:cs="Times New Roman"/>
          <w:i/>
          <w:sz w:val="24"/>
          <w:szCs w:val="24"/>
          <w:lang w:val="es-MX"/>
        </w:rPr>
        <w:t xml:space="preserve">Política y Estrategia. </w:t>
      </w:r>
      <w:r>
        <w:rPr>
          <w:rFonts w:ascii="Times New Roman" w:hAnsi="Times New Roman" w:cs="Times New Roman"/>
          <w:sz w:val="24"/>
          <w:szCs w:val="24"/>
          <w:lang w:val="es-MX"/>
        </w:rPr>
        <w:t>No. 100.</w:t>
      </w:r>
    </w:p>
    <w:p w:rsidR="007F2707" w:rsidRDefault="007F2707" w:rsidP="007F2707">
      <w:pPr>
        <w:tabs>
          <w:tab w:val="left" w:pos="7815"/>
        </w:tabs>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[4] Nye, Joseph S. (2003), </w:t>
      </w:r>
      <w:r>
        <w:rPr>
          <w:rFonts w:ascii="Times New Roman" w:hAnsi="Times New Roman" w:cs="Times New Roman"/>
          <w:i/>
          <w:sz w:val="24"/>
          <w:szCs w:val="24"/>
          <w:lang w:val="es-MX"/>
        </w:rPr>
        <w:t>La paradoja del poder norteamericano.</w:t>
      </w:r>
      <w:r>
        <w:rPr>
          <w:rFonts w:ascii="Times New Roman" w:hAnsi="Times New Roman" w:cs="Times New Roman"/>
          <w:sz w:val="24"/>
          <w:szCs w:val="24"/>
          <w:lang w:val="es-MX"/>
        </w:rPr>
        <w:t xml:space="preserve"> Madrid, Taurus.</w:t>
      </w:r>
    </w:p>
    <w:p w:rsidR="007F2707" w:rsidRPr="00556557" w:rsidRDefault="007F2707" w:rsidP="007F2707">
      <w:pPr>
        <w:tabs>
          <w:tab w:val="left" w:pos="7815"/>
        </w:tabs>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[5] Morin, Edgar (1999), </w:t>
      </w:r>
      <w:r>
        <w:rPr>
          <w:rFonts w:ascii="Times New Roman" w:hAnsi="Times New Roman" w:cs="Times New Roman"/>
          <w:i/>
          <w:sz w:val="24"/>
          <w:szCs w:val="24"/>
          <w:lang w:val="es-MX"/>
        </w:rPr>
        <w:t xml:space="preserve">Los siete saberes necesarios para la educación del futuro. </w:t>
      </w:r>
      <w:r>
        <w:rPr>
          <w:rFonts w:ascii="Times New Roman" w:hAnsi="Times New Roman" w:cs="Times New Roman"/>
          <w:sz w:val="24"/>
          <w:szCs w:val="24"/>
          <w:lang w:val="es-MX"/>
        </w:rPr>
        <w:t>UNESCO, Santillana.</w:t>
      </w:r>
    </w:p>
    <w:p w:rsidR="007F2707" w:rsidRPr="001B6662" w:rsidRDefault="007F2707" w:rsidP="007F2707">
      <w:pPr>
        <w:tabs>
          <w:tab w:val="left" w:pos="7815"/>
        </w:tabs>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[6] Rodríguez, Mariana (2017), </w:t>
      </w:r>
      <w:r>
        <w:rPr>
          <w:rFonts w:ascii="Times New Roman" w:hAnsi="Times New Roman" w:cs="Times New Roman"/>
          <w:i/>
          <w:sz w:val="24"/>
          <w:szCs w:val="24"/>
          <w:lang w:val="es-MX"/>
        </w:rPr>
        <w:t xml:space="preserve">Descifrando la importancia del poder blando en el Siglo XXI a partir </w:t>
      </w:r>
      <w:r w:rsidRPr="00F6642B">
        <w:rPr>
          <w:rFonts w:ascii="Times New Roman" w:hAnsi="Times New Roman" w:cs="Times New Roman"/>
          <w:i/>
          <w:sz w:val="24"/>
          <w:szCs w:val="24"/>
          <w:lang w:val="es-MX"/>
        </w:rPr>
        <w:t>de su medición</w:t>
      </w:r>
      <w:r>
        <w:rPr>
          <w:rFonts w:ascii="Times New Roman" w:hAnsi="Times New Roman" w:cs="Times New Roman"/>
          <w:sz w:val="24"/>
          <w:szCs w:val="24"/>
          <w:lang w:val="es-MX"/>
        </w:rPr>
        <w:t>,</w:t>
      </w:r>
      <w:r w:rsidRPr="001B6662">
        <w:rPr>
          <w:rFonts w:ascii="Times New Roman" w:hAnsi="Times New Roman" w:cs="Times New Roman"/>
          <w:sz w:val="24"/>
          <w:szCs w:val="24"/>
          <w:lang w:val="es-MX"/>
        </w:rPr>
        <w:t xml:space="preserve"> Tesis Licenciatura</w:t>
      </w:r>
      <w:r>
        <w:rPr>
          <w:rFonts w:ascii="Times New Roman" w:hAnsi="Times New Roman" w:cs="Times New Roman"/>
          <w:sz w:val="24"/>
          <w:szCs w:val="24"/>
          <w:lang w:val="es-MX"/>
        </w:rPr>
        <w:t>,</w:t>
      </w:r>
      <w:r w:rsidRPr="001B6662">
        <w:rPr>
          <w:rFonts w:ascii="Times New Roman" w:hAnsi="Times New Roman" w:cs="Times New Roman"/>
          <w:sz w:val="24"/>
          <w:szCs w:val="24"/>
          <w:lang w:val="es-MX"/>
        </w:rPr>
        <w:t xml:space="preserve"> Instituto Tecnológico Autónomo de México</w:t>
      </w:r>
      <w:r>
        <w:rPr>
          <w:rFonts w:ascii="Times New Roman" w:hAnsi="Times New Roman" w:cs="Times New Roman"/>
          <w:sz w:val="24"/>
          <w:szCs w:val="24"/>
          <w:lang w:val="es-MX"/>
        </w:rPr>
        <w:t xml:space="preserve"> (ITAM)</w:t>
      </w:r>
      <w:r w:rsidRPr="001B6662">
        <w:rPr>
          <w:rFonts w:ascii="Times New Roman" w:hAnsi="Times New Roman" w:cs="Times New Roman"/>
          <w:sz w:val="24"/>
          <w:szCs w:val="24"/>
          <w:lang w:val="es-MX"/>
        </w:rPr>
        <w:t>.</w:t>
      </w:r>
    </w:p>
    <w:p w:rsidR="007F2707" w:rsidRDefault="007F2707" w:rsidP="007F2707">
      <w:pPr>
        <w:tabs>
          <w:tab w:val="left" w:pos="7815"/>
        </w:tabs>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[7] UAM-División de Ciencias Básicas e Ingeniería (2017), </w:t>
      </w:r>
      <w:r>
        <w:rPr>
          <w:rFonts w:ascii="Times New Roman" w:hAnsi="Times New Roman" w:cs="Times New Roman"/>
          <w:i/>
          <w:sz w:val="24"/>
          <w:szCs w:val="24"/>
          <w:lang w:val="es-MX"/>
        </w:rPr>
        <w:t xml:space="preserve">Lineamientos Divisionales para la Movilidad de alumnos y participantes de la División de Ciencias Básicas e Ingeniería, </w:t>
      </w:r>
      <w:r>
        <w:rPr>
          <w:rFonts w:ascii="Times New Roman" w:hAnsi="Times New Roman" w:cs="Times New Roman"/>
          <w:sz w:val="24"/>
          <w:szCs w:val="24"/>
          <w:lang w:val="es-MX"/>
        </w:rPr>
        <w:t>México. UAM-DCBI.</w:t>
      </w:r>
    </w:p>
    <w:p w:rsidR="007F2707" w:rsidRDefault="007F2707" w:rsidP="007F2707">
      <w:pPr>
        <w:tabs>
          <w:tab w:val="left" w:pos="7815"/>
        </w:tabs>
        <w:jc w:val="both"/>
        <w:rPr>
          <w:rFonts w:ascii="Times New Roman" w:hAnsi="Times New Roman" w:cs="Times New Roman"/>
          <w:sz w:val="24"/>
          <w:szCs w:val="24"/>
          <w:lang w:val="es-MX"/>
        </w:rPr>
      </w:pPr>
      <w:bookmarkStart w:id="396" w:name="_Hlk1031432"/>
      <w:r>
        <w:rPr>
          <w:rFonts w:ascii="Times New Roman" w:hAnsi="Times New Roman" w:cs="Times New Roman"/>
          <w:sz w:val="24"/>
          <w:szCs w:val="24"/>
          <w:lang w:val="es-MX"/>
        </w:rPr>
        <w:t xml:space="preserve">[8] Unión de Universidades de América Latina y el Caribe (2006), “Programa académico de Movilidad Educativa-Unión de Universidades de América Latina y el Caribe”, en: </w:t>
      </w:r>
      <w:hyperlink r:id="rId1280" w:history="1">
        <w:r w:rsidRPr="00BD4BEC">
          <w:rPr>
            <w:rStyle w:val="Hipervnculo"/>
            <w:rFonts w:ascii="Times New Roman" w:hAnsi="Times New Roman"/>
            <w:sz w:val="24"/>
            <w:szCs w:val="24"/>
            <w:lang w:val="es-MX"/>
          </w:rPr>
          <w:t>http://pame.udual.org/datos.html</w:t>
        </w:r>
      </w:hyperlink>
      <w:bookmarkEnd w:id="396"/>
      <w:r>
        <w:rPr>
          <w:rFonts w:ascii="Times New Roman" w:hAnsi="Times New Roman" w:cs="Times New Roman"/>
          <w:sz w:val="24"/>
          <w:szCs w:val="24"/>
          <w:lang w:val="es-MX"/>
        </w:rPr>
        <w:t>.</w:t>
      </w:r>
    </w:p>
    <w:p w:rsidR="007F2707" w:rsidRDefault="007F2707" w:rsidP="007F2707">
      <w:pPr>
        <w:tabs>
          <w:tab w:val="left" w:pos="7815"/>
        </w:tabs>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[9] </w:t>
      </w:r>
      <w:bookmarkStart w:id="397" w:name="_Hlk1031322"/>
      <w:r>
        <w:rPr>
          <w:rFonts w:ascii="Times New Roman" w:hAnsi="Times New Roman" w:cs="Times New Roman"/>
          <w:sz w:val="24"/>
          <w:szCs w:val="24"/>
          <w:lang w:val="es-MX"/>
        </w:rPr>
        <w:t xml:space="preserve">Centro Interuniversitario de Desarrollo (1971), “Programa de Intercambio Universitario”, en: </w:t>
      </w:r>
      <w:hyperlink r:id="rId1281" w:history="1">
        <w:r w:rsidRPr="00870173">
          <w:rPr>
            <w:rStyle w:val="Hipervnculo"/>
            <w:rFonts w:ascii="Times New Roman" w:hAnsi="Times New Roman"/>
            <w:sz w:val="24"/>
            <w:szCs w:val="24"/>
            <w:lang w:val="es-MX"/>
          </w:rPr>
          <w:t>http://www.cinda.cl/programa de movilidad/</w:t>
        </w:r>
      </w:hyperlink>
    </w:p>
    <w:p w:rsidR="007F2707" w:rsidRPr="00507254" w:rsidRDefault="007F2707" w:rsidP="007F2707">
      <w:pPr>
        <w:tabs>
          <w:tab w:val="left" w:pos="7815"/>
        </w:tabs>
        <w:jc w:val="both"/>
        <w:rPr>
          <w:rFonts w:ascii="Times New Roman" w:hAnsi="Times New Roman" w:cs="Times New Roman"/>
          <w:sz w:val="24"/>
          <w:szCs w:val="24"/>
          <w:lang w:val="es-MX"/>
        </w:rPr>
      </w:pPr>
      <w:bookmarkStart w:id="398" w:name="_Hlk1031573"/>
      <w:bookmarkEnd w:id="397"/>
      <w:r>
        <w:rPr>
          <w:rFonts w:ascii="Times New Roman" w:hAnsi="Times New Roman" w:cs="Times New Roman"/>
          <w:sz w:val="24"/>
          <w:szCs w:val="24"/>
          <w:lang w:val="es-MX"/>
        </w:rPr>
        <w:t xml:space="preserve">[10] ANUIES-CIN (2005), “Programa Jóvenes de Intercambio México-Argentina”. </w:t>
      </w:r>
      <w:r>
        <w:rPr>
          <w:rStyle w:val="Hipervnculo"/>
          <w:rFonts w:ascii="Times New Roman" w:hAnsi="Times New Roman"/>
          <w:sz w:val="24"/>
          <w:szCs w:val="24"/>
          <w:lang w:val="es-MX"/>
        </w:rPr>
        <w:t>http:www.jima.anuies.mx</w:t>
      </w:r>
      <w:bookmarkEnd w:id="398"/>
    </w:p>
    <w:p w:rsidR="003F0296" w:rsidRPr="007F2707" w:rsidRDefault="003F0296" w:rsidP="0049551D">
      <w:pPr>
        <w:rPr>
          <w:lang w:val="es-MX"/>
        </w:rPr>
      </w:pPr>
    </w:p>
    <w:p w:rsidR="003F0296" w:rsidRPr="007F2707" w:rsidRDefault="003F0296" w:rsidP="0049551D">
      <w:pPr>
        <w:rPr>
          <w:lang w:val="es-MX"/>
        </w:rPr>
      </w:pPr>
    </w:p>
    <w:p w:rsidR="00537002" w:rsidRPr="000B6037" w:rsidRDefault="00DB4B38" w:rsidP="000B6037">
      <w:pPr>
        <w:pStyle w:val="1Titulo"/>
        <w:numPr>
          <w:ilvl w:val="0"/>
          <w:numId w:val="0"/>
        </w:numPr>
        <w:ind w:left="357"/>
        <w:jc w:val="center"/>
        <w:rPr>
          <w:sz w:val="28"/>
          <w:szCs w:val="28"/>
        </w:rPr>
      </w:pPr>
      <w:bookmarkStart w:id="399" w:name="_Toc50031443"/>
      <w:r>
        <w:rPr>
          <w:sz w:val="28"/>
          <w:szCs w:val="28"/>
        </w:rPr>
        <w:t>M</w:t>
      </w:r>
      <w:r w:rsidR="00537002" w:rsidRPr="000B6037">
        <w:rPr>
          <w:sz w:val="28"/>
          <w:szCs w:val="28"/>
        </w:rPr>
        <w:t>ovilidad educativa de estudiantes de ingeniería en la Universidad Autónoma Metropolitana</w:t>
      </w:r>
      <w:bookmarkEnd w:id="399"/>
    </w:p>
    <w:p w:rsidR="00537002" w:rsidRPr="00475B22" w:rsidRDefault="00537002" w:rsidP="00537002">
      <w:pPr>
        <w:spacing w:line="240" w:lineRule="auto"/>
        <w:jc w:val="center"/>
        <w:rPr>
          <w:rFonts w:ascii="Arial" w:hAnsi="Arial" w:cs="Arial"/>
          <w:sz w:val="20"/>
          <w:szCs w:val="20"/>
        </w:rPr>
      </w:pPr>
      <w:r w:rsidRPr="00475B22">
        <w:rPr>
          <w:rFonts w:ascii="Arial" w:hAnsi="Arial" w:cs="Arial"/>
          <w:sz w:val="20"/>
          <w:szCs w:val="20"/>
          <w:u w:val="single"/>
        </w:rPr>
        <w:t>Quintana D. María Berenice</w:t>
      </w:r>
      <w:r w:rsidRPr="00475B22">
        <w:rPr>
          <w:rFonts w:ascii="Arial" w:hAnsi="Arial" w:cs="Arial"/>
          <w:sz w:val="20"/>
          <w:szCs w:val="20"/>
          <w:vertAlign w:val="superscript"/>
        </w:rPr>
        <w:t>1</w:t>
      </w:r>
      <w:r w:rsidRPr="00475B22">
        <w:rPr>
          <w:rFonts w:ascii="Arial" w:hAnsi="Arial" w:cs="Arial"/>
          <w:sz w:val="20"/>
          <w:szCs w:val="20"/>
        </w:rPr>
        <w:t>, Rodríguez Q. Berenice Georgina</w:t>
      </w:r>
      <w:r w:rsidRPr="00475B22">
        <w:rPr>
          <w:rFonts w:ascii="Arial" w:hAnsi="Arial" w:cs="Arial"/>
          <w:sz w:val="20"/>
          <w:szCs w:val="20"/>
          <w:vertAlign w:val="superscript"/>
        </w:rPr>
        <w:t>2</w:t>
      </w:r>
      <w:r w:rsidRPr="00475B22">
        <w:rPr>
          <w:rFonts w:ascii="Arial" w:hAnsi="Arial" w:cs="Arial"/>
          <w:sz w:val="20"/>
          <w:szCs w:val="20"/>
        </w:rPr>
        <w:t>, Ortega H. María Antonieta</w:t>
      </w:r>
      <w:r w:rsidRPr="00475B22">
        <w:rPr>
          <w:rFonts w:ascii="Arial" w:hAnsi="Arial" w:cs="Arial"/>
          <w:sz w:val="20"/>
          <w:szCs w:val="20"/>
          <w:vertAlign w:val="superscript"/>
        </w:rPr>
        <w:t>3</w:t>
      </w:r>
      <w:r w:rsidRPr="00475B22">
        <w:rPr>
          <w:rFonts w:ascii="Arial" w:hAnsi="Arial" w:cs="Arial"/>
          <w:sz w:val="20"/>
          <w:szCs w:val="20"/>
        </w:rPr>
        <w:t>, Ambriz G. Juan José</w:t>
      </w:r>
      <w:r w:rsidRPr="00475B22">
        <w:rPr>
          <w:rFonts w:ascii="Arial" w:hAnsi="Arial" w:cs="Arial"/>
          <w:sz w:val="20"/>
          <w:szCs w:val="20"/>
          <w:vertAlign w:val="superscript"/>
        </w:rPr>
        <w:t>4</w:t>
      </w:r>
      <w:r w:rsidRPr="00475B22">
        <w:rPr>
          <w:rFonts w:ascii="Arial" w:hAnsi="Arial" w:cs="Arial"/>
          <w:sz w:val="20"/>
          <w:szCs w:val="20"/>
        </w:rPr>
        <w:t>.</w:t>
      </w:r>
    </w:p>
    <w:p w:rsidR="00537002" w:rsidRPr="00475B22" w:rsidRDefault="00537002" w:rsidP="00537002">
      <w:pPr>
        <w:spacing w:line="240" w:lineRule="auto"/>
        <w:jc w:val="center"/>
        <w:rPr>
          <w:rFonts w:ascii="Arial" w:hAnsi="Arial" w:cs="Arial"/>
          <w:sz w:val="20"/>
          <w:szCs w:val="20"/>
        </w:rPr>
      </w:pPr>
      <w:r w:rsidRPr="00475B22">
        <w:rPr>
          <w:rFonts w:ascii="Arial" w:hAnsi="Arial" w:cs="Arial"/>
          <w:sz w:val="20"/>
          <w:szCs w:val="20"/>
          <w:vertAlign w:val="superscript"/>
        </w:rPr>
        <w:t>1</w:t>
      </w:r>
      <w:r w:rsidRPr="00475B22">
        <w:rPr>
          <w:rFonts w:ascii="Arial" w:hAnsi="Arial" w:cs="Arial"/>
          <w:sz w:val="20"/>
          <w:szCs w:val="20"/>
        </w:rPr>
        <w:t xml:space="preserve">Universidad Autónoma Metropolitana-Azcapotzalco, Av. San Pablo # 180, Reynosa Tamaulipas C.P. 02200, email </w:t>
      </w:r>
      <w:hyperlink r:id="rId1282" w:history="1">
        <w:r w:rsidRPr="00475B22">
          <w:rPr>
            <w:rStyle w:val="Hipervnculo"/>
            <w:rFonts w:ascii="Arial" w:hAnsi="Arial" w:cs="Arial"/>
            <w:sz w:val="20"/>
            <w:szCs w:val="20"/>
          </w:rPr>
          <w:t>mbqd@azc.uam.mx</w:t>
        </w:r>
      </w:hyperlink>
      <w:r w:rsidRPr="00475B22">
        <w:rPr>
          <w:rFonts w:ascii="Arial" w:hAnsi="Arial" w:cs="Arial"/>
          <w:sz w:val="20"/>
          <w:szCs w:val="20"/>
        </w:rPr>
        <w:t xml:space="preserve">, </w:t>
      </w:r>
    </w:p>
    <w:p w:rsidR="00537002" w:rsidRPr="00475B22" w:rsidRDefault="00537002" w:rsidP="00537002">
      <w:pPr>
        <w:spacing w:line="240" w:lineRule="auto"/>
        <w:jc w:val="center"/>
        <w:rPr>
          <w:rFonts w:ascii="Arial" w:hAnsi="Arial" w:cs="Arial"/>
          <w:sz w:val="20"/>
          <w:szCs w:val="20"/>
        </w:rPr>
      </w:pPr>
      <w:r w:rsidRPr="00032224">
        <w:rPr>
          <w:rFonts w:ascii="Arial" w:hAnsi="Arial" w:cs="Arial"/>
          <w:sz w:val="20"/>
          <w:szCs w:val="20"/>
          <w:vertAlign w:val="superscript"/>
        </w:rPr>
        <w:t>2</w:t>
      </w:r>
      <w:r>
        <w:rPr>
          <w:rFonts w:ascii="Arial" w:hAnsi="Arial" w:cs="Arial"/>
          <w:sz w:val="20"/>
          <w:szCs w:val="20"/>
        </w:rPr>
        <w:t xml:space="preserve">Universidad Iberoamericana. </w:t>
      </w:r>
      <w:r w:rsidRPr="00032224">
        <w:rPr>
          <w:rFonts w:ascii="Arial" w:hAnsi="Arial" w:cs="Arial"/>
          <w:sz w:val="20"/>
          <w:szCs w:val="20"/>
        </w:rPr>
        <w:t>Prolongación</w:t>
      </w:r>
      <w:r w:rsidRPr="00475B22">
        <w:rPr>
          <w:rFonts w:ascii="Arial" w:hAnsi="Arial" w:cs="Arial"/>
          <w:sz w:val="20"/>
          <w:szCs w:val="20"/>
        </w:rPr>
        <w:t xml:space="preserve"> Paseo de la Reforma # 880, Lomas de Santa Fe C.P.01219,email </w:t>
      </w:r>
      <w:hyperlink r:id="rId1283" w:history="1">
        <w:r w:rsidRPr="00475B22">
          <w:rPr>
            <w:rStyle w:val="Hipervnculo"/>
            <w:rFonts w:ascii="Arial" w:hAnsi="Arial" w:cs="Arial"/>
            <w:sz w:val="20"/>
            <w:szCs w:val="20"/>
          </w:rPr>
          <w:t>berenicegrodriguez@gmail.com</w:t>
        </w:r>
      </w:hyperlink>
    </w:p>
    <w:p w:rsidR="00537002" w:rsidRPr="00475B22" w:rsidRDefault="00537002" w:rsidP="00537002">
      <w:pPr>
        <w:spacing w:line="240" w:lineRule="auto"/>
        <w:jc w:val="center"/>
        <w:rPr>
          <w:rFonts w:ascii="Arial" w:hAnsi="Arial" w:cs="Arial"/>
          <w:sz w:val="20"/>
          <w:szCs w:val="20"/>
        </w:rPr>
      </w:pPr>
      <w:r w:rsidRPr="00475B22">
        <w:rPr>
          <w:rFonts w:ascii="Arial" w:hAnsi="Arial" w:cs="Arial"/>
          <w:sz w:val="20"/>
          <w:szCs w:val="20"/>
          <w:vertAlign w:val="superscript"/>
        </w:rPr>
        <w:t>3</w:t>
      </w:r>
      <w:r w:rsidRPr="00475B22">
        <w:rPr>
          <w:rFonts w:ascii="Arial" w:hAnsi="Arial" w:cs="Arial"/>
          <w:sz w:val="20"/>
          <w:szCs w:val="20"/>
        </w:rPr>
        <w:t xml:space="preserve">Universidad Autónoma Metropolitana-Azcapotzalco, Av. San Pablo # 180, Reynosa Tamaulipas C.P. 02200, email </w:t>
      </w:r>
      <w:hyperlink r:id="rId1284" w:history="1">
        <w:r w:rsidRPr="00475B22">
          <w:rPr>
            <w:rStyle w:val="Hipervnculo"/>
            <w:rFonts w:ascii="Arial" w:hAnsi="Arial" w:cs="Arial"/>
            <w:sz w:val="20"/>
            <w:szCs w:val="20"/>
          </w:rPr>
          <w:t>maor@azc.uam.mx</w:t>
        </w:r>
      </w:hyperlink>
    </w:p>
    <w:p w:rsidR="00537002" w:rsidRPr="00475B22" w:rsidRDefault="00537002" w:rsidP="00537002">
      <w:pPr>
        <w:spacing w:line="240" w:lineRule="auto"/>
        <w:jc w:val="center"/>
        <w:rPr>
          <w:rFonts w:ascii="Arial" w:hAnsi="Arial" w:cs="Arial"/>
          <w:sz w:val="20"/>
          <w:szCs w:val="20"/>
        </w:rPr>
      </w:pPr>
      <w:r w:rsidRPr="00475B22">
        <w:rPr>
          <w:rFonts w:ascii="Arial" w:hAnsi="Arial" w:cs="Arial"/>
          <w:sz w:val="20"/>
          <w:szCs w:val="20"/>
          <w:vertAlign w:val="superscript"/>
        </w:rPr>
        <w:t>4</w:t>
      </w:r>
      <w:r w:rsidRPr="00475B22">
        <w:rPr>
          <w:rFonts w:ascii="Arial" w:hAnsi="Arial" w:cs="Arial"/>
          <w:sz w:val="20"/>
          <w:szCs w:val="20"/>
        </w:rPr>
        <w:t xml:space="preserve">Universidad Autónoma Metropolitana-Iztapalapa, Av. San Rafael Atlixco #186, Vicentina C.P.09340, email </w:t>
      </w:r>
      <w:hyperlink r:id="rId1285" w:history="1">
        <w:r w:rsidRPr="00475B22">
          <w:rPr>
            <w:rStyle w:val="Hipervnculo"/>
            <w:rFonts w:ascii="Arial" w:hAnsi="Arial" w:cs="Arial"/>
            <w:sz w:val="20"/>
            <w:szCs w:val="20"/>
          </w:rPr>
          <w:t>agj@xanum.uam.mx</w:t>
        </w:r>
      </w:hyperlink>
    </w:p>
    <w:p w:rsidR="00537002" w:rsidRPr="008F3403" w:rsidRDefault="000B6037" w:rsidP="000B6037">
      <w:pPr>
        <w:pStyle w:val="1Titulo"/>
        <w:numPr>
          <w:ilvl w:val="0"/>
          <w:numId w:val="0"/>
        </w:numPr>
        <w:ind w:left="357"/>
      </w:pPr>
      <w:bookmarkStart w:id="400" w:name="_Toc50031444"/>
      <w:r>
        <w:t xml:space="preserve">1. </w:t>
      </w:r>
      <w:r w:rsidR="00537002" w:rsidRPr="008F3403">
        <w:t>Resumen</w:t>
      </w:r>
      <w:bookmarkEnd w:id="400"/>
    </w:p>
    <w:p w:rsidR="00537002" w:rsidRPr="008F3403" w:rsidRDefault="00537002" w:rsidP="00537002">
      <w:pPr>
        <w:spacing w:line="240" w:lineRule="auto"/>
        <w:jc w:val="both"/>
        <w:rPr>
          <w:rFonts w:ascii="Arial" w:hAnsi="Arial" w:cs="Arial"/>
          <w:sz w:val="24"/>
          <w:szCs w:val="24"/>
        </w:rPr>
      </w:pPr>
      <w:r>
        <w:rPr>
          <w:rFonts w:ascii="Arial" w:hAnsi="Arial" w:cs="Arial"/>
          <w:sz w:val="24"/>
          <w:szCs w:val="24"/>
        </w:rPr>
        <w:t>La movilidad estudiantil es una faceta de la internacionalización de las universidades como respuesta al impacto de la globalización, representa una forma de promoción y reforzamiento de la identidad cultural que coadyuva</w:t>
      </w:r>
      <w:r w:rsidRPr="002B5F0B">
        <w:rPr>
          <w:rFonts w:ascii="Arial" w:hAnsi="Arial" w:cs="Arial"/>
          <w:sz w:val="24"/>
          <w:szCs w:val="24"/>
        </w:rPr>
        <w:t xml:space="preserve"> </w:t>
      </w:r>
      <w:r>
        <w:rPr>
          <w:rFonts w:ascii="Arial" w:hAnsi="Arial" w:cs="Arial"/>
          <w:sz w:val="24"/>
          <w:szCs w:val="24"/>
        </w:rPr>
        <w:t>en la comunidad universitaria el desarrollo de una visión global. El objetivo de este trabajo es mostrar la</w:t>
      </w:r>
      <w:r w:rsidRPr="005F2CAD">
        <w:rPr>
          <w:rFonts w:ascii="Arial" w:hAnsi="Arial" w:cs="Arial"/>
          <w:sz w:val="24"/>
          <w:szCs w:val="24"/>
        </w:rPr>
        <w:t xml:space="preserve"> </w:t>
      </w:r>
      <w:r>
        <w:rPr>
          <w:rFonts w:ascii="Arial" w:hAnsi="Arial" w:cs="Arial"/>
          <w:sz w:val="24"/>
          <w:szCs w:val="24"/>
        </w:rPr>
        <w:t>movilidad de estudiantes de las carreras de Ingeniería,</w:t>
      </w:r>
      <w:r w:rsidRPr="008F3403">
        <w:rPr>
          <w:rFonts w:ascii="Arial" w:hAnsi="Arial" w:cs="Arial"/>
          <w:sz w:val="24"/>
          <w:szCs w:val="24"/>
        </w:rPr>
        <w:t xml:space="preserve"> Unidad Azcapotzalco periodo (2011-2017) </w:t>
      </w:r>
      <w:r>
        <w:rPr>
          <w:rFonts w:ascii="Arial" w:hAnsi="Arial" w:cs="Arial"/>
          <w:sz w:val="24"/>
          <w:szCs w:val="24"/>
        </w:rPr>
        <w:t>y</w:t>
      </w:r>
      <w:r w:rsidRPr="008F3403">
        <w:rPr>
          <w:rFonts w:ascii="Arial" w:hAnsi="Arial" w:cs="Arial"/>
          <w:sz w:val="24"/>
          <w:szCs w:val="24"/>
        </w:rPr>
        <w:t xml:space="preserve"> Unidad Iztapalapa periodo (2015-2017) de la Universidad Autónoma Metropolitana</w:t>
      </w:r>
      <w:r>
        <w:rPr>
          <w:rFonts w:ascii="Arial" w:hAnsi="Arial" w:cs="Arial"/>
          <w:sz w:val="24"/>
          <w:szCs w:val="24"/>
        </w:rPr>
        <w:t xml:space="preserve"> y su impacto en la internacionalización de la institución. En un principio esta movilidad se realizó con universidades latinoamericanas y algunas universidades europeas, últimamente</w:t>
      </w:r>
      <w:r w:rsidRPr="008F3403">
        <w:rPr>
          <w:rFonts w:ascii="Arial" w:hAnsi="Arial" w:cs="Arial"/>
          <w:sz w:val="24"/>
          <w:szCs w:val="24"/>
        </w:rPr>
        <w:t xml:space="preserve"> el intercambio ha aumentado </w:t>
      </w:r>
      <w:r>
        <w:rPr>
          <w:rFonts w:ascii="Arial" w:hAnsi="Arial" w:cs="Arial"/>
          <w:sz w:val="24"/>
          <w:szCs w:val="24"/>
        </w:rPr>
        <w:t>por las alianzas de la institución con otras universidades</w:t>
      </w:r>
      <w:r w:rsidRPr="008F3403">
        <w:rPr>
          <w:rFonts w:ascii="Arial" w:hAnsi="Arial" w:cs="Arial"/>
          <w:sz w:val="24"/>
          <w:szCs w:val="24"/>
        </w:rPr>
        <w:t xml:space="preserve">. En cuanto a la experiencia del estudiante a nivel personal, se aprecia un cambio de pensamiento con respecto a otras culturas, costumbres, modos de pensar, etc. Además de la capacidad que </w:t>
      </w:r>
      <w:r>
        <w:rPr>
          <w:rFonts w:ascii="Arial" w:hAnsi="Arial" w:cs="Arial"/>
          <w:sz w:val="24"/>
          <w:szCs w:val="24"/>
        </w:rPr>
        <w:t>tienen los estudiantes</w:t>
      </w:r>
      <w:r w:rsidRPr="008F3403">
        <w:rPr>
          <w:rFonts w:ascii="Arial" w:hAnsi="Arial" w:cs="Arial"/>
          <w:sz w:val="24"/>
          <w:szCs w:val="24"/>
        </w:rPr>
        <w:t xml:space="preserve"> para adaptarse a otros lugares y sistemas educativos.</w:t>
      </w:r>
    </w:p>
    <w:p w:rsidR="00537002" w:rsidRPr="008F3403" w:rsidRDefault="00537002" w:rsidP="001D2A3D">
      <w:pPr>
        <w:pStyle w:val="1Titulo"/>
        <w:numPr>
          <w:ilvl w:val="0"/>
          <w:numId w:val="64"/>
        </w:numPr>
      </w:pPr>
      <w:bookmarkStart w:id="401" w:name="_Toc50031445"/>
      <w:r w:rsidRPr="008F3403">
        <w:t>Introducción</w:t>
      </w:r>
      <w:bookmarkEnd w:id="401"/>
    </w:p>
    <w:p w:rsidR="00537002" w:rsidRPr="008F3403" w:rsidRDefault="00537002" w:rsidP="00537002">
      <w:pPr>
        <w:spacing w:line="240" w:lineRule="auto"/>
        <w:jc w:val="both"/>
        <w:rPr>
          <w:rFonts w:ascii="Arial" w:hAnsi="Arial" w:cs="Arial"/>
          <w:sz w:val="24"/>
          <w:szCs w:val="24"/>
        </w:rPr>
      </w:pPr>
      <w:r>
        <w:rPr>
          <w:rFonts w:ascii="Arial" w:hAnsi="Arial" w:cs="Arial"/>
          <w:sz w:val="24"/>
          <w:szCs w:val="24"/>
        </w:rPr>
        <w:t>El escenario mundial al final</w:t>
      </w:r>
      <w:r w:rsidRPr="008F3403">
        <w:rPr>
          <w:rFonts w:ascii="Arial" w:hAnsi="Arial" w:cs="Arial"/>
          <w:sz w:val="24"/>
          <w:szCs w:val="24"/>
        </w:rPr>
        <w:t xml:space="preserve"> del siglo XX, marca la necesidad de adquirir nuevos conocimientos sobre procesos técnicos, económicos, culturales y políticos, lo que conlleva a una creciente diversificación de la práctica educativa de nivel superior. Para la UNESCO, una manera de impulsar estrategias de desarrollo es fomentando la cooperación y el intercambio educativo, formalizadas en la Declaración Mundial sobre Educación Superior en el Siglo XXI de la Conferencia Mundial sobre Educación Superior </w:t>
      </w:r>
      <w:r>
        <w:rPr>
          <w:rFonts w:ascii="Arial" w:hAnsi="Arial" w:cs="Arial"/>
          <w:sz w:val="24"/>
          <w:szCs w:val="24"/>
          <w:vertAlign w:val="superscript"/>
        </w:rPr>
        <w:t>[1]</w:t>
      </w:r>
      <w:r w:rsidRPr="008F3403">
        <w:rPr>
          <w:rFonts w:ascii="Arial" w:hAnsi="Arial" w:cs="Arial"/>
          <w:sz w:val="24"/>
          <w:szCs w:val="24"/>
        </w:rPr>
        <w:t>.</w:t>
      </w:r>
    </w:p>
    <w:p w:rsidR="00537002" w:rsidRPr="00331394" w:rsidRDefault="00537002" w:rsidP="00537002">
      <w:pPr>
        <w:spacing w:line="240" w:lineRule="auto"/>
        <w:jc w:val="both"/>
        <w:rPr>
          <w:rFonts w:ascii="Arial" w:hAnsi="Arial" w:cs="Arial"/>
          <w:sz w:val="24"/>
          <w:szCs w:val="24"/>
        </w:rPr>
      </w:pPr>
      <w:r w:rsidRPr="008F3403">
        <w:rPr>
          <w:rFonts w:ascii="Arial" w:hAnsi="Arial" w:cs="Arial"/>
          <w:sz w:val="24"/>
          <w:szCs w:val="24"/>
        </w:rPr>
        <w:t xml:space="preserve">En dicha Declaración se señala, “Es imprescindible para toda sociedad una educación superior renovada para afrontar los desafíos del siglo XXI, para garantizar su autonomía intelectual, para producir y hacer avanzar los conocimientos y educar y formar ciudadanos responsables y conscientes, y especialistas cualificados, sin los cuales ninguna nación puede progresar en el plano económico, social, cultural ni político. La educación superior y la investigación son en la actualidad los componentes esenciales del desarrollo cultural, socioeconómico y ecológicamente viable de los individuos, las comunidades y las naciones” </w:t>
      </w:r>
      <w:r>
        <w:rPr>
          <w:rFonts w:ascii="Arial" w:hAnsi="Arial" w:cs="Arial"/>
          <w:sz w:val="24"/>
          <w:szCs w:val="24"/>
          <w:vertAlign w:val="superscript"/>
        </w:rPr>
        <w:t>[1</w:t>
      </w:r>
      <w:r>
        <w:rPr>
          <w:rFonts w:ascii="Arial" w:hAnsi="Arial" w:cs="Arial"/>
          <w:i/>
          <w:sz w:val="24"/>
          <w:szCs w:val="24"/>
          <w:vertAlign w:val="superscript"/>
        </w:rPr>
        <w:t>,</w:t>
      </w:r>
      <w:r w:rsidRPr="00331394">
        <w:rPr>
          <w:rFonts w:ascii="Arial" w:hAnsi="Arial" w:cs="Arial"/>
          <w:i/>
          <w:sz w:val="24"/>
          <w:szCs w:val="24"/>
          <w:vertAlign w:val="superscript"/>
        </w:rPr>
        <w:t xml:space="preserve"> </w:t>
      </w:r>
      <w:r>
        <w:rPr>
          <w:rFonts w:ascii="Arial" w:hAnsi="Arial" w:cs="Arial"/>
          <w:sz w:val="24"/>
          <w:szCs w:val="24"/>
          <w:vertAlign w:val="superscript"/>
        </w:rPr>
        <w:t>1998:8]</w:t>
      </w:r>
      <w:r>
        <w:rPr>
          <w:rFonts w:ascii="Arial" w:hAnsi="Arial" w:cs="Arial"/>
          <w:sz w:val="24"/>
          <w:szCs w:val="24"/>
        </w:rPr>
        <w:t>.</w:t>
      </w:r>
    </w:p>
    <w:p w:rsidR="00537002" w:rsidRPr="00F01D34" w:rsidRDefault="00537002" w:rsidP="00537002">
      <w:pPr>
        <w:spacing w:line="240" w:lineRule="auto"/>
        <w:jc w:val="both"/>
        <w:rPr>
          <w:rFonts w:ascii="Arial" w:hAnsi="Arial" w:cs="Arial"/>
          <w:sz w:val="24"/>
          <w:szCs w:val="24"/>
        </w:rPr>
      </w:pPr>
      <w:r w:rsidRPr="008F3403">
        <w:rPr>
          <w:rFonts w:ascii="Arial" w:hAnsi="Arial" w:cs="Arial"/>
          <w:sz w:val="24"/>
          <w:szCs w:val="24"/>
        </w:rPr>
        <w:t>Atendiendo a estas recomendaciones, en México, la Asociación Nacional de Universidades e Instituciones de Educación Superior (ANUIES), define políticas que</w:t>
      </w:r>
      <w:r>
        <w:rPr>
          <w:rFonts w:ascii="Arial" w:hAnsi="Arial" w:cs="Arial"/>
          <w:sz w:val="24"/>
          <w:szCs w:val="24"/>
        </w:rPr>
        <w:t xml:space="preserve"> orientaro</w:t>
      </w:r>
      <w:r w:rsidRPr="008F3403">
        <w:rPr>
          <w:rFonts w:ascii="Arial" w:hAnsi="Arial" w:cs="Arial"/>
          <w:sz w:val="24"/>
          <w:szCs w:val="24"/>
        </w:rPr>
        <w:t xml:space="preserve">n el desarrollo de la educación superior. Con una visión del Sistema de Educación Superior bajo los siguientes postulados: calidad e innovación, congruencia con su naturaleza académica, pertinencia en relación con las necesidades del país, equidad, humanismo, compromiso con </w:t>
      </w:r>
      <w:r>
        <w:rPr>
          <w:rFonts w:ascii="Arial" w:hAnsi="Arial" w:cs="Arial"/>
          <w:sz w:val="24"/>
          <w:szCs w:val="24"/>
        </w:rPr>
        <w:t xml:space="preserve">la construcción de una </w:t>
      </w:r>
      <w:r w:rsidRPr="008F3403">
        <w:rPr>
          <w:rFonts w:ascii="Arial" w:hAnsi="Arial" w:cs="Arial"/>
          <w:sz w:val="24"/>
          <w:szCs w:val="24"/>
        </w:rPr>
        <w:t>mejor</w:t>
      </w:r>
      <w:r>
        <w:rPr>
          <w:rFonts w:ascii="Arial" w:hAnsi="Arial" w:cs="Arial"/>
          <w:sz w:val="24"/>
          <w:szCs w:val="24"/>
        </w:rPr>
        <w:t xml:space="preserve"> sociedad</w:t>
      </w:r>
      <w:r w:rsidRPr="008F3403">
        <w:rPr>
          <w:rFonts w:ascii="Arial" w:hAnsi="Arial" w:cs="Arial"/>
          <w:sz w:val="24"/>
          <w:szCs w:val="24"/>
        </w:rPr>
        <w:t>, autonomía responsable de las Instituciones de Educación Superior (IES), estructuras de gobierno y operación ejemplares de I</w:t>
      </w:r>
      <w:r>
        <w:rPr>
          <w:rFonts w:ascii="Arial" w:hAnsi="Arial" w:cs="Arial"/>
          <w:sz w:val="24"/>
          <w:szCs w:val="24"/>
        </w:rPr>
        <w:t xml:space="preserve">nstituciones de </w:t>
      </w:r>
      <w:r w:rsidRPr="008F3403">
        <w:rPr>
          <w:rFonts w:ascii="Arial" w:hAnsi="Arial" w:cs="Arial"/>
          <w:sz w:val="24"/>
          <w:szCs w:val="24"/>
        </w:rPr>
        <w:t>E</w:t>
      </w:r>
      <w:r>
        <w:rPr>
          <w:rFonts w:ascii="Arial" w:hAnsi="Arial" w:cs="Arial"/>
          <w:sz w:val="24"/>
          <w:szCs w:val="24"/>
        </w:rPr>
        <w:t xml:space="preserve">ducación </w:t>
      </w:r>
      <w:r w:rsidRPr="008F3403">
        <w:rPr>
          <w:rFonts w:ascii="Arial" w:hAnsi="Arial" w:cs="Arial"/>
          <w:sz w:val="24"/>
          <w:szCs w:val="24"/>
        </w:rPr>
        <w:t>S</w:t>
      </w:r>
      <w:r>
        <w:rPr>
          <w:rFonts w:ascii="Arial" w:hAnsi="Arial" w:cs="Arial"/>
          <w:sz w:val="24"/>
          <w:szCs w:val="24"/>
        </w:rPr>
        <w:t xml:space="preserve">uperior </w:t>
      </w:r>
      <w:r>
        <w:rPr>
          <w:rFonts w:ascii="Arial" w:hAnsi="Arial" w:cs="Arial"/>
          <w:sz w:val="24"/>
          <w:szCs w:val="24"/>
          <w:vertAlign w:val="superscript"/>
        </w:rPr>
        <w:t>[2]</w:t>
      </w:r>
      <w:r>
        <w:rPr>
          <w:rFonts w:ascii="Arial" w:hAnsi="Arial" w:cs="Arial"/>
          <w:sz w:val="24"/>
          <w:szCs w:val="24"/>
        </w:rPr>
        <w:t>.</w:t>
      </w:r>
    </w:p>
    <w:p w:rsidR="00537002" w:rsidRPr="00F01D34" w:rsidRDefault="00537002" w:rsidP="00537002">
      <w:pPr>
        <w:spacing w:line="240" w:lineRule="auto"/>
        <w:jc w:val="both"/>
        <w:rPr>
          <w:rFonts w:ascii="Arial" w:hAnsi="Arial" w:cs="Arial"/>
          <w:sz w:val="24"/>
          <w:szCs w:val="24"/>
        </w:rPr>
      </w:pPr>
      <w:r w:rsidRPr="008F3403">
        <w:rPr>
          <w:rFonts w:ascii="Arial" w:hAnsi="Arial" w:cs="Arial"/>
          <w:sz w:val="24"/>
          <w:szCs w:val="24"/>
        </w:rPr>
        <w:t>Para lograr la transformación del Sistema de Educación Superior, uno de los programas propuestos es el “Programa de Redes y Movilidad en las IES, en las que el variado conjunto de actividades de cooperación científica y técnica y el intercambio académico, tanto nacional como internacional, se reconozcan como actividades estratégicas para el mejoramiento del conjunto, y se cuente con mecanismos de cooperación entre las IES, sobre todo entre las del mismo ámbito regional o local, favoreciendo el aprovecha</w:t>
      </w:r>
      <w:r>
        <w:rPr>
          <w:rFonts w:ascii="Arial" w:hAnsi="Arial" w:cs="Arial"/>
          <w:sz w:val="24"/>
          <w:szCs w:val="24"/>
        </w:rPr>
        <w:t xml:space="preserve">miento óptimo de los recursos” </w:t>
      </w:r>
      <w:r w:rsidRPr="00F01D34">
        <w:rPr>
          <w:rFonts w:ascii="Arial" w:hAnsi="Arial" w:cs="Arial"/>
          <w:sz w:val="24"/>
          <w:szCs w:val="24"/>
          <w:vertAlign w:val="superscript"/>
        </w:rPr>
        <w:t>[3</w:t>
      </w:r>
      <w:r>
        <w:rPr>
          <w:rFonts w:ascii="Arial" w:hAnsi="Arial" w:cs="Arial"/>
          <w:sz w:val="24"/>
          <w:szCs w:val="24"/>
          <w:vertAlign w:val="superscript"/>
        </w:rPr>
        <w:t>, 2000:7]</w:t>
      </w:r>
      <w:r>
        <w:rPr>
          <w:rFonts w:ascii="Arial" w:hAnsi="Arial" w:cs="Arial"/>
          <w:sz w:val="24"/>
          <w:szCs w:val="24"/>
        </w:rPr>
        <w:t>.</w:t>
      </w:r>
    </w:p>
    <w:p w:rsidR="00537002" w:rsidRPr="003E45A1" w:rsidRDefault="00537002" w:rsidP="00537002">
      <w:pPr>
        <w:spacing w:line="240" w:lineRule="auto"/>
        <w:jc w:val="both"/>
        <w:rPr>
          <w:rFonts w:ascii="Arial" w:hAnsi="Arial" w:cs="Arial"/>
          <w:sz w:val="24"/>
          <w:szCs w:val="24"/>
        </w:rPr>
      </w:pPr>
      <w:r w:rsidRPr="003E45A1">
        <w:rPr>
          <w:rFonts w:ascii="Arial" w:hAnsi="Arial" w:cs="Arial"/>
          <w:sz w:val="24"/>
          <w:szCs w:val="24"/>
        </w:rPr>
        <w:t xml:space="preserve">La Universidad Autónoma Metropolitana (UAM), promueve la colaboración académica, científica y cultural con otras IES nacionales o extranjeras, mediante el intercambio académico y la movilidad estudiantil. Sin embargo, en sus nuevas Unidades Cuajimalpa y Lerma (fundadas en 2005 y 2009 respectivamente) la movilidad estudiantil forma parte de los requisitos a cumplir en los programas de estudio. </w:t>
      </w:r>
    </w:p>
    <w:p w:rsidR="00537002" w:rsidRPr="003E45A1" w:rsidRDefault="00537002" w:rsidP="00537002">
      <w:pPr>
        <w:spacing w:line="240" w:lineRule="auto"/>
        <w:jc w:val="both"/>
        <w:rPr>
          <w:rFonts w:ascii="Arial" w:hAnsi="Arial" w:cs="Arial"/>
          <w:sz w:val="24"/>
          <w:szCs w:val="24"/>
        </w:rPr>
      </w:pPr>
      <w:r w:rsidRPr="003E45A1">
        <w:rPr>
          <w:rFonts w:ascii="Arial" w:hAnsi="Arial" w:cs="Arial"/>
          <w:sz w:val="24"/>
          <w:szCs w:val="24"/>
        </w:rPr>
        <w:t>La movilidad estudiantil se comprende como la incorporación de los estudiantes de la UAM en los programas de estudio de otras IES para cursar y acreditar unidades de enseñanza-aprendizaje que son reconocidas como propias. Permitiendo incrementar el nivel escolar, perfeccionar la formación integral, ampliar la visión y complementar los conocimientos y habilidades profesionales del estudiante.</w:t>
      </w:r>
    </w:p>
    <w:p w:rsidR="00537002" w:rsidRPr="003E45A1" w:rsidRDefault="00537002" w:rsidP="00537002">
      <w:pPr>
        <w:spacing w:line="240" w:lineRule="auto"/>
        <w:jc w:val="both"/>
        <w:rPr>
          <w:rFonts w:ascii="Arial" w:hAnsi="Arial" w:cs="Arial"/>
          <w:sz w:val="24"/>
          <w:szCs w:val="24"/>
        </w:rPr>
      </w:pPr>
      <w:r w:rsidRPr="003E45A1">
        <w:rPr>
          <w:rFonts w:ascii="Arial" w:hAnsi="Arial" w:cs="Arial"/>
          <w:sz w:val="24"/>
          <w:szCs w:val="24"/>
        </w:rPr>
        <w:t>De tal manera, que el intercambio de experiencias con alumnos de otras instituciones o culturas se oriente a favorecer la equidad, el desarrollo del pensamiento crítico, a fortalecer la capacidad de adaptación y a promover la dimensión nacional e internacional del conocimiento, que incurra en la formación de profesionales e investigadores que coadyuven al patrimonio económico, social y cultural de las comunidades. Proporcionando cambios significativos en quienes viven la experiencia.</w:t>
      </w:r>
    </w:p>
    <w:p w:rsidR="00537002" w:rsidRPr="003E45A1" w:rsidRDefault="00537002" w:rsidP="00537002">
      <w:pPr>
        <w:spacing w:line="240" w:lineRule="auto"/>
        <w:jc w:val="both"/>
        <w:rPr>
          <w:rFonts w:ascii="Arial" w:hAnsi="Arial" w:cs="Arial"/>
          <w:sz w:val="24"/>
          <w:szCs w:val="24"/>
        </w:rPr>
      </w:pPr>
      <w:r w:rsidRPr="003E45A1">
        <w:rPr>
          <w:rFonts w:ascii="Arial" w:hAnsi="Arial" w:cs="Arial"/>
          <w:sz w:val="24"/>
          <w:szCs w:val="24"/>
        </w:rPr>
        <w:t xml:space="preserve">En concordancia con lo expresado por la UNESCO, que establece que las IES deben adaptarse a las necesidades sociales y preverlas. Sobre todo, en países en desarrollo, en los que es apremiante establecer nuevos modelos universitarios más adecuados a las necesidades y susceptibles de favorecer sinergias disciplinarias y geográficas, así como actividades de cooperación en el plano regional e internacional </w:t>
      </w:r>
      <w:r>
        <w:rPr>
          <w:rFonts w:ascii="Arial" w:hAnsi="Arial" w:cs="Arial"/>
          <w:sz w:val="24"/>
          <w:szCs w:val="24"/>
          <w:vertAlign w:val="superscript"/>
        </w:rPr>
        <w:t>[4]</w:t>
      </w:r>
      <w:r w:rsidRPr="003E45A1">
        <w:rPr>
          <w:rFonts w:ascii="Arial" w:hAnsi="Arial" w:cs="Arial"/>
          <w:sz w:val="24"/>
          <w:szCs w:val="24"/>
        </w:rPr>
        <w:t xml:space="preserve">. </w:t>
      </w:r>
    </w:p>
    <w:p w:rsidR="00537002" w:rsidRPr="00815F72" w:rsidRDefault="00537002" w:rsidP="00537002">
      <w:pPr>
        <w:spacing w:line="240" w:lineRule="auto"/>
        <w:jc w:val="both"/>
        <w:rPr>
          <w:rFonts w:ascii="Arial" w:hAnsi="Arial" w:cs="Arial"/>
          <w:sz w:val="24"/>
          <w:szCs w:val="24"/>
        </w:rPr>
      </w:pPr>
      <w:r w:rsidRPr="00815F72">
        <w:rPr>
          <w:rFonts w:ascii="Arial" w:hAnsi="Arial" w:cs="Arial"/>
          <w:sz w:val="24"/>
          <w:szCs w:val="24"/>
        </w:rPr>
        <w:t>La Universidad asume la importancia de la movilidad de alumnos a partir de Programas de Movilidad para cada una de las Divisiones Académicas, para la formación de profesionales e investigadores con una extensa percepción del mundo y una mejor capacidad de adaptación a los cambios</w:t>
      </w:r>
      <w:r>
        <w:rPr>
          <w:rFonts w:ascii="Arial" w:hAnsi="Arial" w:cs="Arial"/>
          <w:sz w:val="24"/>
          <w:szCs w:val="24"/>
        </w:rPr>
        <w:t xml:space="preserve"> </w:t>
      </w:r>
      <w:r>
        <w:rPr>
          <w:rFonts w:ascii="Arial" w:hAnsi="Arial" w:cs="Arial"/>
          <w:sz w:val="24"/>
          <w:szCs w:val="24"/>
          <w:vertAlign w:val="superscript"/>
        </w:rPr>
        <w:t>[5]</w:t>
      </w:r>
      <w:r w:rsidRPr="00815F72">
        <w:rPr>
          <w:rFonts w:ascii="Arial" w:hAnsi="Arial" w:cs="Arial"/>
          <w:sz w:val="24"/>
          <w:szCs w:val="24"/>
        </w:rPr>
        <w:t>.</w:t>
      </w:r>
    </w:p>
    <w:p w:rsidR="00537002" w:rsidRPr="00815F72" w:rsidRDefault="00537002" w:rsidP="001D2A3D">
      <w:pPr>
        <w:pStyle w:val="1Titulo"/>
        <w:numPr>
          <w:ilvl w:val="0"/>
          <w:numId w:val="64"/>
        </w:numPr>
      </w:pPr>
      <w:bookmarkStart w:id="402" w:name="_Toc50031446"/>
      <w:r>
        <w:t>Condiciones experimentales</w:t>
      </w:r>
      <w:bookmarkEnd w:id="402"/>
    </w:p>
    <w:p w:rsidR="00537002" w:rsidRDefault="00537002" w:rsidP="00537002">
      <w:pPr>
        <w:spacing w:line="240" w:lineRule="auto"/>
        <w:jc w:val="both"/>
        <w:rPr>
          <w:rFonts w:ascii="Arial" w:hAnsi="Arial" w:cs="Arial"/>
          <w:sz w:val="24"/>
          <w:szCs w:val="24"/>
        </w:rPr>
      </w:pPr>
      <w:r w:rsidRPr="00815F72">
        <w:rPr>
          <w:rFonts w:ascii="Arial" w:hAnsi="Arial" w:cs="Arial"/>
          <w:sz w:val="24"/>
          <w:szCs w:val="24"/>
        </w:rPr>
        <w:t>La metodología que se desarrolla en este trabajo responde a una investigación cualitativa con un método descriptivo, que tiene como finalidad definir, clasificar, caracterizar la movilidad estudiantil en la División de Ciencias Básicas e Ingeniería, de la Unidad Azcapotzalco para el periodo 2011-2017 y de la Unidad Iztapalapa para el periodo 2015-2017</w:t>
      </w:r>
      <w:r>
        <w:rPr>
          <w:rFonts w:ascii="Arial" w:hAnsi="Arial" w:cs="Arial"/>
          <w:sz w:val="24"/>
          <w:szCs w:val="24"/>
        </w:rPr>
        <w:t xml:space="preserve"> en la Universidad Autónoma Metropolitana (UAM)</w:t>
      </w:r>
      <w:r w:rsidRPr="00815F72">
        <w:rPr>
          <w:rFonts w:ascii="Arial" w:hAnsi="Arial" w:cs="Arial"/>
          <w:sz w:val="24"/>
          <w:szCs w:val="24"/>
        </w:rPr>
        <w:t>. Cabe aclarar que los periodos son diferentes, debido a</w:t>
      </w:r>
      <w:r>
        <w:rPr>
          <w:rFonts w:ascii="Arial" w:hAnsi="Arial" w:cs="Arial"/>
          <w:sz w:val="24"/>
          <w:szCs w:val="24"/>
        </w:rPr>
        <w:t xml:space="preserve"> la información oficial disponible</w:t>
      </w:r>
      <w:r w:rsidRPr="00815F72">
        <w:rPr>
          <w:rFonts w:ascii="Arial" w:hAnsi="Arial" w:cs="Arial"/>
          <w:sz w:val="24"/>
          <w:szCs w:val="24"/>
        </w:rPr>
        <w:t xml:space="preserve">. </w:t>
      </w:r>
    </w:p>
    <w:p w:rsidR="00537002" w:rsidRDefault="00537002" w:rsidP="00537002">
      <w:pPr>
        <w:spacing w:line="240" w:lineRule="auto"/>
        <w:jc w:val="both"/>
        <w:rPr>
          <w:rFonts w:ascii="Arial" w:hAnsi="Arial" w:cs="Arial"/>
          <w:sz w:val="24"/>
          <w:szCs w:val="24"/>
        </w:rPr>
      </w:pPr>
      <w:r>
        <w:rPr>
          <w:rFonts w:ascii="Arial" w:hAnsi="Arial" w:cs="Arial"/>
          <w:sz w:val="24"/>
          <w:szCs w:val="24"/>
        </w:rPr>
        <w:t>La información se obtiene de la Oficina de relaciones universitarias, datos del Programa de m</w:t>
      </w:r>
      <w:r w:rsidRPr="00E25EF5">
        <w:rPr>
          <w:rFonts w:ascii="Arial" w:hAnsi="Arial" w:cs="Arial"/>
          <w:sz w:val="24"/>
          <w:szCs w:val="24"/>
        </w:rPr>
        <w:t>ovilidad</w:t>
      </w:r>
      <w:r>
        <w:rPr>
          <w:rFonts w:ascii="Arial" w:hAnsi="Arial" w:cs="Arial"/>
          <w:sz w:val="24"/>
          <w:szCs w:val="24"/>
        </w:rPr>
        <w:t xml:space="preserve"> estudiantil </w:t>
      </w:r>
      <w:r w:rsidRPr="00E25EF5">
        <w:rPr>
          <w:rFonts w:ascii="Arial" w:hAnsi="Arial" w:cs="Arial"/>
          <w:sz w:val="24"/>
          <w:szCs w:val="24"/>
        </w:rPr>
        <w:t>de la División de Ciencias Básica</w:t>
      </w:r>
      <w:r>
        <w:rPr>
          <w:rFonts w:ascii="Arial" w:hAnsi="Arial" w:cs="Arial"/>
          <w:sz w:val="24"/>
          <w:szCs w:val="24"/>
        </w:rPr>
        <w:t>s e Ingeniería de las Unidades Azcapotzalco e Iztapalapa. La información proporcionada</w:t>
      </w:r>
      <w:r w:rsidRPr="00E25EF5">
        <w:rPr>
          <w:rFonts w:ascii="Arial" w:hAnsi="Arial" w:cs="Arial"/>
          <w:sz w:val="24"/>
          <w:szCs w:val="24"/>
        </w:rPr>
        <w:t xml:space="preserve"> comprende</w:t>
      </w:r>
      <w:r>
        <w:rPr>
          <w:rFonts w:ascii="Arial" w:hAnsi="Arial" w:cs="Arial"/>
          <w:sz w:val="24"/>
          <w:szCs w:val="24"/>
        </w:rPr>
        <w:t>:</w:t>
      </w:r>
      <w:r w:rsidRPr="00E25EF5">
        <w:rPr>
          <w:rFonts w:ascii="Arial" w:hAnsi="Arial" w:cs="Arial"/>
          <w:sz w:val="24"/>
          <w:szCs w:val="24"/>
        </w:rPr>
        <w:t xml:space="preserve"> el número de estudiantes de licenciatura y posgrado</w:t>
      </w:r>
      <w:r>
        <w:rPr>
          <w:rFonts w:ascii="Arial" w:hAnsi="Arial" w:cs="Arial"/>
          <w:sz w:val="24"/>
          <w:szCs w:val="24"/>
        </w:rPr>
        <w:t xml:space="preserve"> en las estancias de movilidad</w:t>
      </w:r>
      <w:r w:rsidRPr="00E25EF5">
        <w:rPr>
          <w:rFonts w:ascii="Arial" w:hAnsi="Arial" w:cs="Arial"/>
          <w:sz w:val="24"/>
          <w:szCs w:val="24"/>
        </w:rPr>
        <w:t xml:space="preserve">, las ramas del conocimiento a las que pertenecen, las Instituciones de Educación Superior de intercambio, programas de intercambio seleccionados para realizar la movilidad. </w:t>
      </w:r>
    </w:p>
    <w:p w:rsidR="00537002" w:rsidRDefault="00537002" w:rsidP="00537002">
      <w:pPr>
        <w:spacing w:line="240" w:lineRule="auto"/>
        <w:jc w:val="both"/>
        <w:rPr>
          <w:rFonts w:ascii="Arial" w:hAnsi="Arial" w:cs="Arial"/>
          <w:sz w:val="24"/>
          <w:szCs w:val="24"/>
        </w:rPr>
      </w:pPr>
      <w:r>
        <w:rPr>
          <w:rFonts w:ascii="Arial" w:hAnsi="Arial" w:cs="Arial"/>
          <w:sz w:val="24"/>
          <w:szCs w:val="24"/>
        </w:rPr>
        <w:t>Con la finalidad de establecer si se logra una mejor formación profesional, se realizaron entrevistas a los estudiantes que realizaron estancias de movilidad. Las preguntas que se formularon son:</w:t>
      </w:r>
    </w:p>
    <w:p w:rsidR="00537002" w:rsidRDefault="00537002" w:rsidP="00537002">
      <w:pPr>
        <w:spacing w:line="240" w:lineRule="auto"/>
        <w:jc w:val="both"/>
        <w:rPr>
          <w:rFonts w:ascii="Arial" w:hAnsi="Arial" w:cs="Arial"/>
          <w:sz w:val="24"/>
          <w:szCs w:val="24"/>
        </w:rPr>
      </w:pPr>
      <w:r>
        <w:rPr>
          <w:rFonts w:ascii="Arial" w:hAnsi="Arial" w:cs="Arial"/>
          <w:sz w:val="24"/>
          <w:szCs w:val="24"/>
        </w:rPr>
        <w:t>1.- Conocimientos académicos y habilidades requeridos para su estancia de movilidad.</w:t>
      </w:r>
    </w:p>
    <w:p w:rsidR="00537002" w:rsidRDefault="00537002" w:rsidP="00537002">
      <w:pPr>
        <w:spacing w:line="240" w:lineRule="auto"/>
        <w:jc w:val="both"/>
        <w:rPr>
          <w:rFonts w:ascii="Arial" w:hAnsi="Arial" w:cs="Arial"/>
          <w:sz w:val="24"/>
          <w:szCs w:val="24"/>
        </w:rPr>
      </w:pPr>
      <w:r>
        <w:rPr>
          <w:rFonts w:ascii="Arial" w:hAnsi="Arial" w:cs="Arial"/>
          <w:sz w:val="24"/>
          <w:szCs w:val="24"/>
        </w:rPr>
        <w:t>2.- Conocimientos académicos y habilidades adquiridos durante la estancia de movilidad.</w:t>
      </w:r>
    </w:p>
    <w:p w:rsidR="00537002" w:rsidRDefault="00537002" w:rsidP="00537002">
      <w:pPr>
        <w:spacing w:line="240" w:lineRule="auto"/>
        <w:jc w:val="both"/>
        <w:rPr>
          <w:rFonts w:ascii="Arial" w:hAnsi="Arial" w:cs="Arial"/>
          <w:sz w:val="24"/>
          <w:szCs w:val="24"/>
        </w:rPr>
      </w:pPr>
      <w:r>
        <w:rPr>
          <w:rFonts w:ascii="Arial" w:hAnsi="Arial" w:cs="Arial"/>
          <w:sz w:val="24"/>
          <w:szCs w:val="24"/>
        </w:rPr>
        <w:t>3.- Cuáles son los aspectos positivos del proceso de movilidad.</w:t>
      </w:r>
    </w:p>
    <w:p w:rsidR="00537002" w:rsidRDefault="00537002" w:rsidP="00537002">
      <w:pPr>
        <w:spacing w:line="240" w:lineRule="auto"/>
        <w:jc w:val="both"/>
        <w:rPr>
          <w:rFonts w:ascii="Arial" w:hAnsi="Arial" w:cs="Arial"/>
          <w:sz w:val="24"/>
          <w:szCs w:val="24"/>
        </w:rPr>
      </w:pPr>
      <w:r>
        <w:rPr>
          <w:rFonts w:ascii="Arial" w:hAnsi="Arial" w:cs="Arial"/>
          <w:sz w:val="24"/>
          <w:szCs w:val="24"/>
        </w:rPr>
        <w:t>4.- Cuáles son los aspectos negativos del proceso de movilidad.</w:t>
      </w:r>
    </w:p>
    <w:p w:rsidR="00537002" w:rsidRDefault="00537002" w:rsidP="00537002">
      <w:pPr>
        <w:spacing w:line="240" w:lineRule="auto"/>
        <w:jc w:val="both"/>
        <w:rPr>
          <w:rFonts w:ascii="Arial" w:hAnsi="Arial" w:cs="Arial"/>
          <w:sz w:val="24"/>
          <w:szCs w:val="24"/>
        </w:rPr>
      </w:pPr>
      <w:r>
        <w:rPr>
          <w:rFonts w:ascii="Arial" w:hAnsi="Arial" w:cs="Arial"/>
          <w:sz w:val="24"/>
          <w:szCs w:val="24"/>
        </w:rPr>
        <w:t>5.- Evaluación general del proceso de movilidad.</w:t>
      </w:r>
    </w:p>
    <w:p w:rsidR="00537002" w:rsidRDefault="00537002" w:rsidP="00537002">
      <w:pPr>
        <w:spacing w:line="240" w:lineRule="auto"/>
        <w:jc w:val="both"/>
        <w:rPr>
          <w:rFonts w:ascii="Arial" w:hAnsi="Arial" w:cs="Arial"/>
          <w:sz w:val="24"/>
          <w:szCs w:val="24"/>
        </w:rPr>
      </w:pPr>
      <w:r>
        <w:rPr>
          <w:rFonts w:ascii="Arial" w:hAnsi="Arial" w:cs="Arial"/>
          <w:sz w:val="24"/>
          <w:szCs w:val="24"/>
        </w:rPr>
        <w:t>6.- Cómo impacta la estancia de movilidad en su formación profesional y personal.</w:t>
      </w:r>
    </w:p>
    <w:p w:rsidR="00537002" w:rsidRPr="00E25EF5" w:rsidRDefault="00537002" w:rsidP="00537002">
      <w:pPr>
        <w:spacing w:line="240" w:lineRule="auto"/>
        <w:jc w:val="both"/>
        <w:rPr>
          <w:rFonts w:ascii="Arial" w:hAnsi="Arial" w:cs="Arial"/>
          <w:sz w:val="24"/>
          <w:szCs w:val="24"/>
        </w:rPr>
      </w:pPr>
    </w:p>
    <w:p w:rsidR="00537002" w:rsidRPr="00E25EF5" w:rsidRDefault="00537002" w:rsidP="001D2A3D">
      <w:pPr>
        <w:pStyle w:val="1Titulo"/>
        <w:numPr>
          <w:ilvl w:val="0"/>
          <w:numId w:val="64"/>
        </w:numPr>
      </w:pPr>
      <w:bookmarkStart w:id="403" w:name="_Toc50031447"/>
      <w:r w:rsidRPr="00E25EF5">
        <w:t>Resultados y Discusión</w:t>
      </w:r>
      <w:bookmarkEnd w:id="403"/>
    </w:p>
    <w:p w:rsidR="00537002" w:rsidRPr="00E25EF5" w:rsidRDefault="00537002" w:rsidP="00537002">
      <w:pPr>
        <w:spacing w:line="240" w:lineRule="auto"/>
        <w:jc w:val="both"/>
        <w:rPr>
          <w:rFonts w:ascii="Arial" w:hAnsi="Arial" w:cs="Arial"/>
          <w:sz w:val="24"/>
          <w:szCs w:val="24"/>
        </w:rPr>
      </w:pPr>
      <w:r w:rsidRPr="00E25EF5">
        <w:rPr>
          <w:rFonts w:ascii="Arial" w:hAnsi="Arial" w:cs="Arial"/>
          <w:sz w:val="24"/>
          <w:szCs w:val="24"/>
        </w:rPr>
        <w:t>El estudiante que solicite participar en el Programa de Movilidad deberá cumplir con los requisitos establecidos en la convocatoria junto con los siguientes criterios:</w:t>
      </w:r>
    </w:p>
    <w:p w:rsidR="00537002" w:rsidRPr="00E25EF5" w:rsidRDefault="00537002" w:rsidP="001D2A3D">
      <w:pPr>
        <w:pStyle w:val="Prrafodelista"/>
        <w:numPr>
          <w:ilvl w:val="0"/>
          <w:numId w:val="60"/>
        </w:numPr>
        <w:spacing w:after="160" w:line="240" w:lineRule="auto"/>
        <w:jc w:val="both"/>
        <w:rPr>
          <w:rFonts w:ascii="Arial" w:hAnsi="Arial" w:cs="Arial"/>
          <w:sz w:val="24"/>
          <w:szCs w:val="24"/>
        </w:rPr>
      </w:pPr>
      <w:r w:rsidRPr="00E25EF5">
        <w:rPr>
          <w:rFonts w:ascii="Arial" w:hAnsi="Arial" w:cs="Arial"/>
          <w:sz w:val="24"/>
          <w:szCs w:val="24"/>
        </w:rPr>
        <w:t>Haber acreditado al menos tres unidades de enseñanza-aprendizaje (UEA) en cada uno de los siguientes periodos:</w:t>
      </w:r>
    </w:p>
    <w:p w:rsidR="00537002" w:rsidRPr="00E25EF5" w:rsidRDefault="00537002" w:rsidP="001D2A3D">
      <w:pPr>
        <w:pStyle w:val="Prrafodelista"/>
        <w:numPr>
          <w:ilvl w:val="0"/>
          <w:numId w:val="61"/>
        </w:numPr>
        <w:spacing w:after="160" w:line="240" w:lineRule="auto"/>
        <w:jc w:val="both"/>
        <w:rPr>
          <w:rFonts w:ascii="Arial" w:hAnsi="Arial" w:cs="Arial"/>
          <w:sz w:val="24"/>
          <w:szCs w:val="24"/>
        </w:rPr>
      </w:pPr>
      <w:r w:rsidRPr="00E25EF5">
        <w:rPr>
          <w:rFonts w:ascii="Arial" w:hAnsi="Arial" w:cs="Arial"/>
          <w:sz w:val="24"/>
          <w:szCs w:val="24"/>
        </w:rPr>
        <w:t>Trimestre inmediato anterior a la presentación de la solicitud</w:t>
      </w:r>
    </w:p>
    <w:p w:rsidR="00537002" w:rsidRPr="00E25EF5" w:rsidRDefault="00537002" w:rsidP="001D2A3D">
      <w:pPr>
        <w:pStyle w:val="Prrafodelista"/>
        <w:numPr>
          <w:ilvl w:val="0"/>
          <w:numId w:val="61"/>
        </w:numPr>
        <w:spacing w:after="160" w:line="240" w:lineRule="auto"/>
        <w:jc w:val="both"/>
        <w:rPr>
          <w:rFonts w:ascii="Arial" w:hAnsi="Arial" w:cs="Arial"/>
          <w:sz w:val="24"/>
          <w:szCs w:val="24"/>
        </w:rPr>
      </w:pPr>
      <w:r w:rsidRPr="00E25EF5">
        <w:rPr>
          <w:rFonts w:ascii="Arial" w:hAnsi="Arial" w:cs="Arial"/>
          <w:sz w:val="24"/>
          <w:szCs w:val="24"/>
        </w:rPr>
        <w:t>Trimestre en que se presenta la solicitud</w:t>
      </w:r>
    </w:p>
    <w:p w:rsidR="00537002" w:rsidRPr="00E25EF5" w:rsidRDefault="00537002" w:rsidP="001D2A3D">
      <w:pPr>
        <w:pStyle w:val="Prrafodelista"/>
        <w:numPr>
          <w:ilvl w:val="0"/>
          <w:numId w:val="61"/>
        </w:numPr>
        <w:spacing w:after="160" w:line="240" w:lineRule="auto"/>
        <w:jc w:val="both"/>
        <w:rPr>
          <w:rFonts w:ascii="Arial" w:hAnsi="Arial" w:cs="Arial"/>
          <w:sz w:val="24"/>
          <w:szCs w:val="24"/>
        </w:rPr>
      </w:pPr>
      <w:r w:rsidRPr="00E25EF5">
        <w:rPr>
          <w:rFonts w:ascii="Arial" w:hAnsi="Arial" w:cs="Arial"/>
          <w:sz w:val="24"/>
          <w:szCs w:val="24"/>
        </w:rPr>
        <w:t>Trimestre previo a la movilidad</w:t>
      </w:r>
    </w:p>
    <w:p w:rsidR="00537002" w:rsidRPr="00E25EF5" w:rsidRDefault="00537002" w:rsidP="001D2A3D">
      <w:pPr>
        <w:pStyle w:val="Prrafodelista"/>
        <w:numPr>
          <w:ilvl w:val="0"/>
          <w:numId w:val="60"/>
        </w:numPr>
        <w:spacing w:after="160" w:line="240" w:lineRule="auto"/>
        <w:jc w:val="both"/>
        <w:rPr>
          <w:rFonts w:ascii="Arial" w:hAnsi="Arial" w:cs="Arial"/>
          <w:sz w:val="24"/>
          <w:szCs w:val="24"/>
        </w:rPr>
      </w:pPr>
      <w:r w:rsidRPr="00E25EF5">
        <w:rPr>
          <w:rFonts w:ascii="Arial" w:hAnsi="Arial" w:cs="Arial"/>
          <w:sz w:val="24"/>
          <w:szCs w:val="24"/>
        </w:rPr>
        <w:t>Postular al menos tres UEA a cursar en la universidad receptora que sean acordes a la seriación curricular del plan de estudios que cursa.</w:t>
      </w:r>
    </w:p>
    <w:p w:rsidR="00537002" w:rsidRPr="00E25EF5" w:rsidRDefault="00537002" w:rsidP="001D2A3D">
      <w:pPr>
        <w:pStyle w:val="Prrafodelista"/>
        <w:numPr>
          <w:ilvl w:val="0"/>
          <w:numId w:val="60"/>
        </w:numPr>
        <w:spacing w:after="160" w:line="240" w:lineRule="auto"/>
        <w:jc w:val="both"/>
        <w:rPr>
          <w:rFonts w:ascii="Arial" w:hAnsi="Arial" w:cs="Arial"/>
          <w:sz w:val="24"/>
          <w:szCs w:val="24"/>
        </w:rPr>
      </w:pPr>
      <w:r w:rsidRPr="00E25EF5">
        <w:rPr>
          <w:rFonts w:ascii="Arial" w:hAnsi="Arial" w:cs="Arial"/>
          <w:sz w:val="24"/>
          <w:szCs w:val="24"/>
        </w:rPr>
        <w:t>Las UEA postuladas no deberán estar inscritas, ni haber sido acreditadas, ni haberlas reprobado.</w:t>
      </w:r>
    </w:p>
    <w:p w:rsidR="00537002" w:rsidRPr="00E25EF5" w:rsidRDefault="00537002" w:rsidP="001D2A3D">
      <w:pPr>
        <w:pStyle w:val="Prrafodelista"/>
        <w:numPr>
          <w:ilvl w:val="0"/>
          <w:numId w:val="60"/>
        </w:numPr>
        <w:spacing w:after="160" w:line="240" w:lineRule="auto"/>
        <w:jc w:val="both"/>
        <w:rPr>
          <w:rFonts w:ascii="Arial" w:hAnsi="Arial" w:cs="Arial"/>
          <w:sz w:val="24"/>
          <w:szCs w:val="24"/>
        </w:rPr>
      </w:pPr>
      <w:r w:rsidRPr="00E25EF5">
        <w:rPr>
          <w:rFonts w:ascii="Arial" w:hAnsi="Arial" w:cs="Arial"/>
          <w:sz w:val="24"/>
          <w:szCs w:val="24"/>
        </w:rPr>
        <w:t>No exceder los créditos permitidos de acuerdo con el Plan de Estudios de cada licenciatura.</w:t>
      </w:r>
    </w:p>
    <w:p w:rsidR="00537002" w:rsidRPr="00E25EF5" w:rsidRDefault="00537002" w:rsidP="001D2A3D">
      <w:pPr>
        <w:pStyle w:val="Prrafodelista"/>
        <w:numPr>
          <w:ilvl w:val="0"/>
          <w:numId w:val="60"/>
        </w:numPr>
        <w:spacing w:after="160" w:line="240" w:lineRule="auto"/>
        <w:jc w:val="both"/>
        <w:rPr>
          <w:rFonts w:ascii="Arial" w:hAnsi="Arial" w:cs="Arial"/>
          <w:sz w:val="24"/>
          <w:szCs w:val="24"/>
        </w:rPr>
      </w:pPr>
      <w:r w:rsidRPr="00E25EF5">
        <w:rPr>
          <w:rFonts w:ascii="Arial" w:hAnsi="Arial" w:cs="Arial"/>
          <w:sz w:val="24"/>
          <w:szCs w:val="24"/>
        </w:rPr>
        <w:t>Tener acreditado al menos el 50% y como máximo el 70% de los créditos de su Plan de estudios. Este requisito no se aplica para el posgrado, en cuyos casos se considera lo especificado en la convocatoria.</w:t>
      </w:r>
    </w:p>
    <w:p w:rsidR="00537002" w:rsidRPr="00E25EF5" w:rsidRDefault="00537002" w:rsidP="001D2A3D">
      <w:pPr>
        <w:pStyle w:val="Prrafodelista"/>
        <w:numPr>
          <w:ilvl w:val="0"/>
          <w:numId w:val="60"/>
        </w:numPr>
        <w:spacing w:after="160" w:line="240" w:lineRule="auto"/>
        <w:jc w:val="both"/>
        <w:rPr>
          <w:rFonts w:ascii="Arial" w:hAnsi="Arial" w:cs="Arial"/>
          <w:sz w:val="24"/>
          <w:szCs w:val="24"/>
        </w:rPr>
      </w:pPr>
      <w:r w:rsidRPr="00E25EF5">
        <w:rPr>
          <w:rFonts w:ascii="Arial" w:hAnsi="Arial" w:cs="Arial"/>
          <w:sz w:val="24"/>
          <w:szCs w:val="24"/>
        </w:rPr>
        <w:t>Contar con la documentación que determine la convocatoria.</w:t>
      </w:r>
    </w:p>
    <w:p w:rsidR="00537002" w:rsidRPr="00E25EF5" w:rsidRDefault="00537002" w:rsidP="001D2A3D">
      <w:pPr>
        <w:pStyle w:val="Prrafodelista"/>
        <w:numPr>
          <w:ilvl w:val="0"/>
          <w:numId w:val="60"/>
        </w:numPr>
        <w:spacing w:after="160" w:line="240" w:lineRule="auto"/>
        <w:jc w:val="both"/>
        <w:rPr>
          <w:rFonts w:ascii="Arial" w:hAnsi="Arial" w:cs="Arial"/>
          <w:sz w:val="24"/>
          <w:szCs w:val="24"/>
        </w:rPr>
      </w:pPr>
      <w:r w:rsidRPr="00E25EF5">
        <w:rPr>
          <w:rFonts w:ascii="Arial" w:hAnsi="Arial" w:cs="Arial"/>
          <w:sz w:val="24"/>
          <w:szCs w:val="24"/>
        </w:rPr>
        <w:t>Contar con todos aquellos requisitos adicionales que se indiquen en las convocatorias respectivas y planes de estudio vigentes.</w:t>
      </w:r>
    </w:p>
    <w:p w:rsidR="00537002" w:rsidRPr="00E25EF5" w:rsidRDefault="00537002" w:rsidP="001D2A3D">
      <w:pPr>
        <w:pStyle w:val="Prrafodelista"/>
        <w:numPr>
          <w:ilvl w:val="0"/>
          <w:numId w:val="60"/>
        </w:numPr>
        <w:spacing w:after="160" w:line="240" w:lineRule="auto"/>
        <w:jc w:val="both"/>
        <w:rPr>
          <w:rFonts w:ascii="Arial" w:hAnsi="Arial" w:cs="Arial"/>
          <w:sz w:val="24"/>
          <w:szCs w:val="24"/>
        </w:rPr>
      </w:pPr>
      <w:r w:rsidRPr="00E25EF5">
        <w:rPr>
          <w:rFonts w:ascii="Arial" w:hAnsi="Arial" w:cs="Arial"/>
          <w:sz w:val="24"/>
          <w:szCs w:val="24"/>
        </w:rPr>
        <w:t>La estancia de movilidad no podrá ser mayor a 6 meses o dos trimestres consecutivos.</w:t>
      </w:r>
    </w:p>
    <w:p w:rsidR="00537002" w:rsidRPr="00E25EF5" w:rsidRDefault="00537002" w:rsidP="001D2A3D">
      <w:pPr>
        <w:pStyle w:val="Prrafodelista"/>
        <w:numPr>
          <w:ilvl w:val="0"/>
          <w:numId w:val="60"/>
        </w:numPr>
        <w:spacing w:after="160" w:line="240" w:lineRule="auto"/>
        <w:jc w:val="both"/>
        <w:rPr>
          <w:rFonts w:ascii="Arial" w:hAnsi="Arial" w:cs="Arial"/>
          <w:sz w:val="24"/>
          <w:szCs w:val="24"/>
        </w:rPr>
      </w:pPr>
      <w:r w:rsidRPr="00E25EF5">
        <w:rPr>
          <w:rFonts w:ascii="Arial" w:hAnsi="Arial" w:cs="Arial"/>
          <w:sz w:val="24"/>
          <w:szCs w:val="24"/>
        </w:rPr>
        <w:t>En cuanto al promedio de calificaciones tiene que ser mínimo de B.</w:t>
      </w:r>
    </w:p>
    <w:p w:rsidR="00537002" w:rsidRPr="00E25EF5" w:rsidRDefault="00537002" w:rsidP="001D2A3D">
      <w:pPr>
        <w:pStyle w:val="Prrafodelista"/>
        <w:numPr>
          <w:ilvl w:val="0"/>
          <w:numId w:val="60"/>
        </w:numPr>
        <w:spacing w:after="160" w:line="240" w:lineRule="auto"/>
        <w:jc w:val="both"/>
        <w:rPr>
          <w:rFonts w:ascii="Arial" w:hAnsi="Arial" w:cs="Arial"/>
          <w:sz w:val="24"/>
          <w:szCs w:val="24"/>
        </w:rPr>
      </w:pPr>
      <w:r w:rsidRPr="00E25EF5">
        <w:rPr>
          <w:rFonts w:ascii="Arial" w:hAnsi="Arial" w:cs="Arial"/>
          <w:sz w:val="24"/>
          <w:szCs w:val="24"/>
        </w:rPr>
        <w:t>Tener pasaporte con vigencia de al menos un año o la cita para su trámite.</w:t>
      </w:r>
    </w:p>
    <w:p w:rsidR="00537002" w:rsidRPr="00E25EF5" w:rsidRDefault="00537002" w:rsidP="00537002">
      <w:pPr>
        <w:spacing w:line="240" w:lineRule="auto"/>
        <w:jc w:val="both"/>
        <w:rPr>
          <w:rFonts w:ascii="Arial" w:hAnsi="Arial" w:cs="Arial"/>
          <w:sz w:val="24"/>
          <w:szCs w:val="24"/>
        </w:rPr>
      </w:pPr>
      <w:r w:rsidRPr="00E25EF5">
        <w:rPr>
          <w:rFonts w:ascii="Arial" w:hAnsi="Arial" w:cs="Arial"/>
          <w:sz w:val="24"/>
          <w:szCs w:val="24"/>
        </w:rPr>
        <w:t>Requisitos a cubrir una vez que el alumno ha sido aceptado:</w:t>
      </w:r>
    </w:p>
    <w:p w:rsidR="00537002" w:rsidRPr="00E25EF5" w:rsidRDefault="00537002" w:rsidP="001D2A3D">
      <w:pPr>
        <w:pStyle w:val="Prrafodelista"/>
        <w:numPr>
          <w:ilvl w:val="0"/>
          <w:numId w:val="62"/>
        </w:numPr>
        <w:spacing w:after="160" w:line="240" w:lineRule="auto"/>
        <w:jc w:val="both"/>
        <w:rPr>
          <w:rFonts w:ascii="Arial" w:hAnsi="Arial" w:cs="Arial"/>
          <w:sz w:val="24"/>
          <w:szCs w:val="24"/>
        </w:rPr>
      </w:pPr>
      <w:r w:rsidRPr="00E25EF5">
        <w:rPr>
          <w:rFonts w:ascii="Arial" w:hAnsi="Arial" w:cs="Arial"/>
          <w:sz w:val="24"/>
          <w:szCs w:val="24"/>
        </w:rPr>
        <w:t>Para movilidad nacional, contar con un seguro de gastos médicos con cobertura nacional. Para movilidad internacional: contratar un seguro médico con cobertura que corresponda con el país de la universidad receptora o cualquier otro que sea solicitado por ésta.</w:t>
      </w:r>
    </w:p>
    <w:p w:rsidR="00537002" w:rsidRPr="00E25EF5" w:rsidRDefault="00537002" w:rsidP="001D2A3D">
      <w:pPr>
        <w:pStyle w:val="Prrafodelista"/>
        <w:numPr>
          <w:ilvl w:val="0"/>
          <w:numId w:val="62"/>
        </w:numPr>
        <w:spacing w:after="160" w:line="240" w:lineRule="auto"/>
        <w:jc w:val="both"/>
        <w:rPr>
          <w:rFonts w:ascii="Arial" w:hAnsi="Arial" w:cs="Arial"/>
          <w:sz w:val="24"/>
          <w:szCs w:val="24"/>
        </w:rPr>
      </w:pPr>
      <w:r w:rsidRPr="00E25EF5">
        <w:rPr>
          <w:rFonts w:ascii="Arial" w:hAnsi="Arial" w:cs="Arial"/>
          <w:sz w:val="24"/>
          <w:szCs w:val="24"/>
        </w:rPr>
        <w:t>Tener pasaporte con vigencia de al menos un año.</w:t>
      </w:r>
    </w:p>
    <w:p w:rsidR="00537002" w:rsidRPr="00E25EF5" w:rsidRDefault="00537002" w:rsidP="001D2A3D">
      <w:pPr>
        <w:pStyle w:val="Prrafodelista"/>
        <w:numPr>
          <w:ilvl w:val="0"/>
          <w:numId w:val="62"/>
        </w:numPr>
        <w:spacing w:after="160" w:line="240" w:lineRule="auto"/>
        <w:jc w:val="both"/>
        <w:rPr>
          <w:rFonts w:ascii="Arial" w:hAnsi="Arial" w:cs="Arial"/>
          <w:sz w:val="24"/>
          <w:szCs w:val="24"/>
        </w:rPr>
      </w:pPr>
      <w:r w:rsidRPr="00E25EF5">
        <w:rPr>
          <w:rFonts w:ascii="Arial" w:hAnsi="Arial" w:cs="Arial"/>
          <w:sz w:val="24"/>
          <w:szCs w:val="24"/>
        </w:rPr>
        <w:t>Tramitar la documentación migratoria pertinente, en su caso.</w:t>
      </w:r>
    </w:p>
    <w:p w:rsidR="00537002" w:rsidRPr="00E25EF5" w:rsidRDefault="00537002" w:rsidP="00537002">
      <w:pPr>
        <w:spacing w:line="240" w:lineRule="auto"/>
        <w:jc w:val="both"/>
        <w:rPr>
          <w:rFonts w:ascii="Arial" w:hAnsi="Arial" w:cs="Arial"/>
          <w:sz w:val="24"/>
          <w:szCs w:val="24"/>
        </w:rPr>
      </w:pPr>
      <w:r w:rsidRPr="00E25EF5">
        <w:rPr>
          <w:rFonts w:ascii="Arial" w:hAnsi="Arial" w:cs="Arial"/>
          <w:sz w:val="24"/>
          <w:szCs w:val="24"/>
        </w:rPr>
        <w:t>La primera limitante que tiene el estudiante para ingresar al programa, es su desempeño académico seguida por los requisitos solicitados en la convocatoria de la IES elegida.</w:t>
      </w:r>
    </w:p>
    <w:p w:rsidR="00537002" w:rsidRDefault="00537002" w:rsidP="00537002">
      <w:pPr>
        <w:spacing w:line="240" w:lineRule="auto"/>
        <w:jc w:val="both"/>
        <w:rPr>
          <w:rFonts w:ascii="Arial" w:hAnsi="Arial" w:cs="Arial"/>
          <w:sz w:val="24"/>
          <w:szCs w:val="24"/>
        </w:rPr>
      </w:pPr>
      <w:r w:rsidRPr="008B7B20">
        <w:rPr>
          <w:rFonts w:ascii="Arial" w:hAnsi="Arial" w:cs="Arial"/>
          <w:sz w:val="24"/>
          <w:szCs w:val="24"/>
        </w:rPr>
        <w:t>En las figuras 1 y 2, se muestran los estudiantes en el Programa de Movilidad a nivel licenciatura para la Unidad Azcapotzalco y para la Unidad Iztapalapa.</w:t>
      </w:r>
    </w:p>
    <w:p w:rsidR="00537002" w:rsidRPr="006E54DD" w:rsidRDefault="00537002" w:rsidP="00537002">
      <w:pPr>
        <w:spacing w:line="240" w:lineRule="auto"/>
        <w:jc w:val="center"/>
        <w:rPr>
          <w:rFonts w:ascii="Arial" w:hAnsi="Arial" w:cs="Arial"/>
          <w:sz w:val="24"/>
          <w:szCs w:val="24"/>
        </w:rPr>
      </w:pPr>
      <w:r w:rsidRPr="007A6C70">
        <w:rPr>
          <w:noProof/>
          <w:lang w:val="en-US"/>
        </w:rPr>
        <w:drawing>
          <wp:inline distT="0" distB="0" distL="0" distR="0" wp14:anchorId="3D8EB81E" wp14:editId="273A1B03">
            <wp:extent cx="4680000" cy="2340000"/>
            <wp:effectExtent l="0" t="0" r="6350" b="3175"/>
            <wp:docPr id="97" name="Imagen 97" descr="C:\Users\Energia 10\Pictures\Saved Pictures\pb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ergia 10\Pictures\Saved Pictures\pbf1.jpg"/>
                    <pic:cNvPicPr>
                      <a:picLocks noChangeAspect="1" noChangeArrowheads="1"/>
                    </pic:cNvPicPr>
                  </pic:nvPicPr>
                  <pic:blipFill rotWithShape="1">
                    <a:blip r:embed="rId1286">
                      <a:extLst>
                        <a:ext uri="{28A0092B-C50C-407E-A947-70E740481C1C}">
                          <a14:useLocalDpi xmlns:a14="http://schemas.microsoft.com/office/drawing/2010/main" val="0"/>
                        </a:ext>
                      </a:extLst>
                    </a:blip>
                    <a:srcRect r="58127" b="59242"/>
                    <a:stretch/>
                  </pic:blipFill>
                  <pic:spPr bwMode="auto">
                    <a:xfrm>
                      <a:off x="0" y="0"/>
                      <a:ext cx="4680000" cy="2340000"/>
                    </a:xfrm>
                    <a:prstGeom prst="rect">
                      <a:avLst/>
                    </a:prstGeom>
                    <a:noFill/>
                    <a:ln>
                      <a:noFill/>
                    </a:ln>
                    <a:extLst>
                      <a:ext uri="{53640926-AAD7-44D8-BBD7-CCE9431645EC}">
                        <a14:shadowObscured xmlns:a14="http://schemas.microsoft.com/office/drawing/2010/main"/>
                      </a:ext>
                    </a:extLst>
                  </pic:spPr>
                </pic:pic>
              </a:graphicData>
            </a:graphic>
          </wp:inline>
        </w:drawing>
      </w:r>
    </w:p>
    <w:p w:rsidR="00537002" w:rsidRPr="008B7B20" w:rsidRDefault="00537002" w:rsidP="00537002">
      <w:pPr>
        <w:spacing w:line="240" w:lineRule="auto"/>
        <w:jc w:val="center"/>
        <w:rPr>
          <w:rFonts w:ascii="Arial" w:hAnsi="Arial" w:cs="Arial"/>
          <w:sz w:val="20"/>
          <w:szCs w:val="20"/>
        </w:rPr>
      </w:pPr>
      <w:r w:rsidRPr="008B7B20">
        <w:rPr>
          <w:rFonts w:ascii="Arial" w:hAnsi="Arial" w:cs="Arial"/>
          <w:sz w:val="20"/>
          <w:szCs w:val="20"/>
        </w:rPr>
        <w:t>Figura 1. Estudiantes de licenciatura en el Programa de Movilidad en Unidad Azcapotzalco.</w:t>
      </w:r>
    </w:p>
    <w:p w:rsidR="00537002" w:rsidRDefault="00537002" w:rsidP="00537002">
      <w:pPr>
        <w:spacing w:line="240" w:lineRule="auto"/>
        <w:jc w:val="both"/>
        <w:rPr>
          <w:rFonts w:ascii="Arial" w:hAnsi="Arial" w:cs="Arial"/>
          <w:sz w:val="24"/>
          <w:szCs w:val="24"/>
        </w:rPr>
      </w:pPr>
      <w:r w:rsidRPr="008B7B20">
        <w:rPr>
          <w:rFonts w:ascii="Arial" w:hAnsi="Arial" w:cs="Arial"/>
          <w:sz w:val="24"/>
          <w:szCs w:val="24"/>
        </w:rPr>
        <w:t>La movilidad de los estudiantes a nivel licenciatura es preferentemente</w:t>
      </w:r>
      <w:r>
        <w:rPr>
          <w:rFonts w:ascii="Arial" w:hAnsi="Arial" w:cs="Arial"/>
          <w:sz w:val="24"/>
          <w:szCs w:val="24"/>
        </w:rPr>
        <w:t xml:space="preserve"> a países latinoamericanos</w:t>
      </w:r>
      <w:r w:rsidRPr="008B7B20">
        <w:rPr>
          <w:rFonts w:ascii="Arial" w:hAnsi="Arial" w:cs="Arial"/>
          <w:sz w:val="24"/>
          <w:szCs w:val="24"/>
        </w:rPr>
        <w:t xml:space="preserve"> y en menor medi</w:t>
      </w:r>
      <w:r>
        <w:rPr>
          <w:rFonts w:ascii="Arial" w:hAnsi="Arial" w:cs="Arial"/>
          <w:sz w:val="24"/>
          <w:szCs w:val="24"/>
        </w:rPr>
        <w:t xml:space="preserve">da a </w:t>
      </w:r>
      <w:r w:rsidRPr="008B7B20">
        <w:rPr>
          <w:rFonts w:ascii="Arial" w:hAnsi="Arial" w:cs="Arial"/>
          <w:sz w:val="24"/>
          <w:szCs w:val="24"/>
        </w:rPr>
        <w:t>p</w:t>
      </w:r>
      <w:r>
        <w:rPr>
          <w:rFonts w:ascii="Arial" w:hAnsi="Arial" w:cs="Arial"/>
          <w:sz w:val="24"/>
          <w:szCs w:val="24"/>
        </w:rPr>
        <w:t>aíses Comunidad Europea</w:t>
      </w:r>
      <w:r w:rsidRPr="008B7B20">
        <w:rPr>
          <w:rFonts w:ascii="Arial" w:hAnsi="Arial" w:cs="Arial"/>
          <w:sz w:val="24"/>
          <w:szCs w:val="24"/>
        </w:rPr>
        <w:t xml:space="preserve">, debido al requisito de dominar un idioma extranjero. </w:t>
      </w:r>
    </w:p>
    <w:p w:rsidR="00537002" w:rsidRDefault="00537002" w:rsidP="00537002">
      <w:pPr>
        <w:spacing w:line="240" w:lineRule="auto"/>
        <w:jc w:val="both"/>
        <w:rPr>
          <w:rFonts w:ascii="Arial" w:hAnsi="Arial" w:cs="Arial"/>
          <w:sz w:val="24"/>
          <w:szCs w:val="24"/>
        </w:rPr>
      </w:pPr>
    </w:p>
    <w:p w:rsidR="00537002" w:rsidRPr="00DA5503" w:rsidRDefault="00537002" w:rsidP="00537002">
      <w:pPr>
        <w:spacing w:line="240" w:lineRule="auto"/>
        <w:jc w:val="center"/>
        <w:rPr>
          <w:rFonts w:ascii="Arial" w:hAnsi="Arial" w:cs="Arial"/>
          <w:sz w:val="24"/>
          <w:szCs w:val="24"/>
        </w:rPr>
      </w:pPr>
      <w:r>
        <w:rPr>
          <w:noProof/>
          <w:lang w:val="en-US"/>
        </w:rPr>
        <w:drawing>
          <wp:inline distT="0" distB="0" distL="0" distR="0" wp14:anchorId="7B2AF9D5" wp14:editId="3ABF65FA">
            <wp:extent cx="4680000" cy="2330250"/>
            <wp:effectExtent l="0" t="0" r="635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80000" cy="2330250"/>
                    </a:xfrm>
                    <a:prstGeom prst="rect">
                      <a:avLst/>
                    </a:prstGeom>
                    <a:noFill/>
                    <a:ln>
                      <a:noFill/>
                    </a:ln>
                  </pic:spPr>
                </pic:pic>
              </a:graphicData>
            </a:graphic>
          </wp:inline>
        </w:drawing>
      </w:r>
    </w:p>
    <w:p w:rsidR="00537002" w:rsidRPr="009E7615" w:rsidRDefault="00537002" w:rsidP="00537002">
      <w:pPr>
        <w:spacing w:line="240" w:lineRule="auto"/>
        <w:jc w:val="center"/>
        <w:rPr>
          <w:rFonts w:ascii="Arial" w:hAnsi="Arial" w:cs="Arial"/>
          <w:sz w:val="20"/>
          <w:szCs w:val="20"/>
        </w:rPr>
      </w:pPr>
      <w:r w:rsidRPr="008B7B20">
        <w:rPr>
          <w:rFonts w:ascii="Arial" w:hAnsi="Arial" w:cs="Arial"/>
          <w:sz w:val="20"/>
          <w:szCs w:val="20"/>
        </w:rPr>
        <w:t>Figura 2. Estudiantes de licenciatura en el Programa de Movilidad en Unidad Iztapalapa</w:t>
      </w:r>
      <w:r>
        <w:rPr>
          <w:rFonts w:ascii="Arial" w:hAnsi="Arial" w:cs="Arial"/>
          <w:sz w:val="20"/>
          <w:szCs w:val="20"/>
        </w:rPr>
        <w:t>.</w:t>
      </w:r>
    </w:p>
    <w:p w:rsidR="00537002" w:rsidRPr="008B7B20" w:rsidRDefault="00537002" w:rsidP="00537002">
      <w:pPr>
        <w:spacing w:line="240" w:lineRule="auto"/>
        <w:jc w:val="both"/>
        <w:rPr>
          <w:rFonts w:ascii="Arial" w:hAnsi="Arial" w:cs="Arial"/>
          <w:sz w:val="24"/>
          <w:szCs w:val="24"/>
        </w:rPr>
      </w:pPr>
      <w:r w:rsidRPr="008B7B20">
        <w:rPr>
          <w:rFonts w:ascii="Arial" w:hAnsi="Arial" w:cs="Arial"/>
          <w:sz w:val="24"/>
          <w:szCs w:val="24"/>
        </w:rPr>
        <w:t>En la Unidad Iztapalapa, la movilidad se da en la misma proporción tanto para países latinoamericanos como para aquellos países de la Unión Europea y Nórdicos. Se observa que a pesar de que todos los estudiantes concluyen el programa. Hay una disminución de estud</w:t>
      </w:r>
      <w:r>
        <w:rPr>
          <w:rFonts w:ascii="Arial" w:hAnsi="Arial" w:cs="Arial"/>
          <w:sz w:val="24"/>
          <w:szCs w:val="24"/>
        </w:rPr>
        <w:t>iantes que optan por esta opción</w:t>
      </w:r>
      <w:r w:rsidRPr="008B7B20">
        <w:rPr>
          <w:rFonts w:ascii="Arial" w:hAnsi="Arial" w:cs="Arial"/>
          <w:sz w:val="24"/>
          <w:szCs w:val="24"/>
        </w:rPr>
        <w:t>.</w:t>
      </w:r>
    </w:p>
    <w:p w:rsidR="00537002" w:rsidRPr="000C5069" w:rsidRDefault="00537002" w:rsidP="00537002">
      <w:pPr>
        <w:spacing w:line="240" w:lineRule="auto"/>
        <w:jc w:val="both"/>
        <w:rPr>
          <w:rFonts w:ascii="Arial" w:hAnsi="Arial" w:cs="Arial"/>
          <w:sz w:val="24"/>
          <w:szCs w:val="24"/>
        </w:rPr>
      </w:pPr>
      <w:r w:rsidRPr="000C5069">
        <w:rPr>
          <w:rFonts w:ascii="Arial" w:hAnsi="Arial" w:cs="Arial"/>
          <w:sz w:val="24"/>
          <w:szCs w:val="24"/>
        </w:rPr>
        <w:t>La movilidad de los alumnos de licenciatura adquiere mayor importancia cuando el estudiante es apoyado con becas proporcionadas por algún organismo gubernamental (S</w:t>
      </w:r>
      <w:r>
        <w:rPr>
          <w:rFonts w:ascii="Arial" w:hAnsi="Arial" w:cs="Arial"/>
          <w:sz w:val="24"/>
          <w:szCs w:val="24"/>
        </w:rPr>
        <w:t xml:space="preserve">ecretaría de </w:t>
      </w:r>
      <w:r w:rsidRPr="000C5069">
        <w:rPr>
          <w:rFonts w:ascii="Arial" w:hAnsi="Arial" w:cs="Arial"/>
          <w:sz w:val="24"/>
          <w:szCs w:val="24"/>
        </w:rPr>
        <w:t>E</w:t>
      </w:r>
      <w:r>
        <w:rPr>
          <w:rFonts w:ascii="Arial" w:hAnsi="Arial" w:cs="Arial"/>
          <w:sz w:val="24"/>
          <w:szCs w:val="24"/>
        </w:rPr>
        <w:t xml:space="preserve">ducación </w:t>
      </w:r>
      <w:r w:rsidRPr="000C5069">
        <w:rPr>
          <w:rFonts w:ascii="Arial" w:hAnsi="Arial" w:cs="Arial"/>
          <w:sz w:val="24"/>
          <w:szCs w:val="24"/>
        </w:rPr>
        <w:t>P</w:t>
      </w:r>
      <w:r>
        <w:rPr>
          <w:rFonts w:ascii="Arial" w:hAnsi="Arial" w:cs="Arial"/>
          <w:sz w:val="24"/>
          <w:szCs w:val="24"/>
        </w:rPr>
        <w:t>ública</w:t>
      </w:r>
      <w:r w:rsidRPr="000C5069">
        <w:rPr>
          <w:rFonts w:ascii="Arial" w:hAnsi="Arial" w:cs="Arial"/>
          <w:sz w:val="24"/>
          <w:szCs w:val="24"/>
        </w:rPr>
        <w:t>, Co</w:t>
      </w:r>
      <w:r>
        <w:rPr>
          <w:rFonts w:ascii="Arial" w:hAnsi="Arial" w:cs="Arial"/>
          <w:sz w:val="24"/>
          <w:szCs w:val="24"/>
        </w:rPr>
        <w:t>nsejo N</w:t>
      </w:r>
      <w:r w:rsidRPr="000C5069">
        <w:rPr>
          <w:rFonts w:ascii="Arial" w:hAnsi="Arial" w:cs="Arial"/>
          <w:sz w:val="24"/>
          <w:szCs w:val="24"/>
        </w:rPr>
        <w:t>a</w:t>
      </w:r>
      <w:r>
        <w:rPr>
          <w:rFonts w:ascii="Arial" w:hAnsi="Arial" w:cs="Arial"/>
          <w:sz w:val="24"/>
          <w:szCs w:val="24"/>
        </w:rPr>
        <w:t>cional de Cien</w:t>
      </w:r>
      <w:r w:rsidRPr="000C5069">
        <w:rPr>
          <w:rFonts w:ascii="Arial" w:hAnsi="Arial" w:cs="Arial"/>
          <w:sz w:val="24"/>
          <w:szCs w:val="24"/>
        </w:rPr>
        <w:t>c</w:t>
      </w:r>
      <w:r>
        <w:rPr>
          <w:rFonts w:ascii="Arial" w:hAnsi="Arial" w:cs="Arial"/>
          <w:sz w:val="24"/>
          <w:szCs w:val="24"/>
        </w:rPr>
        <w:t xml:space="preserve">ia </w:t>
      </w:r>
      <w:r w:rsidRPr="000C5069">
        <w:rPr>
          <w:rFonts w:ascii="Arial" w:hAnsi="Arial" w:cs="Arial"/>
          <w:sz w:val="24"/>
          <w:szCs w:val="24"/>
        </w:rPr>
        <w:t>y</w:t>
      </w:r>
      <w:r>
        <w:rPr>
          <w:rFonts w:ascii="Arial" w:hAnsi="Arial" w:cs="Arial"/>
          <w:sz w:val="24"/>
          <w:szCs w:val="24"/>
        </w:rPr>
        <w:t xml:space="preserve"> Tecnología</w:t>
      </w:r>
      <w:r w:rsidRPr="000C5069">
        <w:rPr>
          <w:rFonts w:ascii="Arial" w:hAnsi="Arial" w:cs="Arial"/>
          <w:sz w:val="24"/>
          <w:szCs w:val="24"/>
        </w:rPr>
        <w:t>) o por otras instituciones de educación superior (UAM, universidades nacionales o extranjeras).</w:t>
      </w:r>
    </w:p>
    <w:p w:rsidR="00537002" w:rsidRDefault="00537002" w:rsidP="00537002">
      <w:pPr>
        <w:spacing w:line="240" w:lineRule="auto"/>
        <w:jc w:val="both"/>
        <w:rPr>
          <w:rFonts w:ascii="Arial" w:hAnsi="Arial" w:cs="Arial"/>
          <w:sz w:val="24"/>
          <w:szCs w:val="24"/>
        </w:rPr>
      </w:pPr>
      <w:r w:rsidRPr="00E0056A">
        <w:rPr>
          <w:rFonts w:ascii="Arial" w:hAnsi="Arial" w:cs="Arial"/>
          <w:sz w:val="24"/>
          <w:szCs w:val="24"/>
        </w:rPr>
        <w:t>En la Unidad Azcapotzalco, los estudiantes de nivel licenciatura que renuncian a continuar con los trámites se debe: al rechazo por parte de la institución de educación superior seleccionada, o siendo aceptados por cuestiones personales (miedo a estar en un lugar extraño, desconfianza de sus capacidades) (0 a 7.7% de la cantidad inicial durante el periodo). Y aquellos que no siguen con proceso por limitaciones presupuestales, laborables y familiares (0 a 21.8% de la cifra inicial durante el periodo) (Figura 3).</w:t>
      </w:r>
    </w:p>
    <w:p w:rsidR="00537002" w:rsidRDefault="00537002" w:rsidP="00537002">
      <w:pPr>
        <w:spacing w:line="240" w:lineRule="auto"/>
        <w:jc w:val="both"/>
        <w:rPr>
          <w:rFonts w:ascii="Arial" w:hAnsi="Arial" w:cs="Arial"/>
          <w:sz w:val="24"/>
          <w:szCs w:val="24"/>
        </w:rPr>
      </w:pPr>
    </w:p>
    <w:p w:rsidR="00537002" w:rsidRPr="009E7615" w:rsidRDefault="00537002" w:rsidP="00537002">
      <w:pPr>
        <w:spacing w:line="240" w:lineRule="auto"/>
        <w:jc w:val="center"/>
        <w:rPr>
          <w:rFonts w:ascii="Arial" w:hAnsi="Arial" w:cs="Arial"/>
          <w:sz w:val="24"/>
          <w:szCs w:val="24"/>
        </w:rPr>
      </w:pPr>
      <w:r>
        <w:rPr>
          <w:noProof/>
          <w:lang w:val="en-US"/>
        </w:rPr>
        <w:drawing>
          <wp:inline distT="0" distB="0" distL="0" distR="0" wp14:anchorId="5BB7FC90" wp14:editId="3C610ADC">
            <wp:extent cx="4680000" cy="2305944"/>
            <wp:effectExtent l="0" t="0" r="635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4680000" cy="2305944"/>
                    </a:xfrm>
                    <a:prstGeom prst="rect">
                      <a:avLst/>
                    </a:prstGeom>
                    <a:noFill/>
                    <a:ln>
                      <a:noFill/>
                    </a:ln>
                  </pic:spPr>
                </pic:pic>
              </a:graphicData>
            </a:graphic>
          </wp:inline>
        </w:drawing>
      </w:r>
    </w:p>
    <w:p w:rsidR="00537002" w:rsidRPr="00E0056A" w:rsidRDefault="00537002" w:rsidP="00537002">
      <w:pPr>
        <w:spacing w:line="240" w:lineRule="auto"/>
        <w:jc w:val="center"/>
        <w:rPr>
          <w:rFonts w:ascii="Arial" w:hAnsi="Arial" w:cs="Arial"/>
          <w:sz w:val="20"/>
          <w:szCs w:val="20"/>
        </w:rPr>
      </w:pPr>
      <w:r w:rsidRPr="00E0056A">
        <w:rPr>
          <w:rFonts w:ascii="Arial" w:hAnsi="Arial" w:cs="Arial"/>
          <w:sz w:val="20"/>
          <w:szCs w:val="20"/>
        </w:rPr>
        <w:t>Figura 3.</w:t>
      </w:r>
      <w:r>
        <w:rPr>
          <w:rFonts w:ascii="Arial" w:hAnsi="Arial" w:cs="Arial"/>
          <w:sz w:val="20"/>
          <w:szCs w:val="20"/>
        </w:rPr>
        <w:t xml:space="preserve"> Estudiantes que no ingresan a</w:t>
      </w:r>
      <w:r w:rsidRPr="00E0056A">
        <w:rPr>
          <w:rFonts w:ascii="Arial" w:hAnsi="Arial" w:cs="Arial"/>
          <w:sz w:val="20"/>
          <w:szCs w:val="20"/>
        </w:rPr>
        <w:t>l Programa de Movilidad en Unidad Azcapotzalco.</w:t>
      </w:r>
    </w:p>
    <w:p w:rsidR="00537002" w:rsidRDefault="00537002" w:rsidP="00537002">
      <w:pPr>
        <w:spacing w:line="240" w:lineRule="auto"/>
        <w:jc w:val="both"/>
        <w:rPr>
          <w:rFonts w:ascii="Arial" w:hAnsi="Arial" w:cs="Arial"/>
          <w:sz w:val="24"/>
          <w:szCs w:val="24"/>
        </w:rPr>
      </w:pPr>
      <w:r>
        <w:rPr>
          <w:rFonts w:ascii="Arial" w:hAnsi="Arial" w:cs="Arial"/>
          <w:sz w:val="24"/>
          <w:szCs w:val="24"/>
        </w:rPr>
        <w:t>En la figura 4 se presenta l</w:t>
      </w:r>
      <w:r w:rsidRPr="00E34441">
        <w:rPr>
          <w:rFonts w:ascii="Arial" w:hAnsi="Arial" w:cs="Arial"/>
          <w:sz w:val="24"/>
          <w:szCs w:val="24"/>
        </w:rPr>
        <w:t>a m</w:t>
      </w:r>
      <w:r>
        <w:rPr>
          <w:rFonts w:ascii="Arial" w:hAnsi="Arial" w:cs="Arial"/>
          <w:sz w:val="24"/>
          <w:szCs w:val="24"/>
        </w:rPr>
        <w:t>ovilidad de estudiantes para las diversas disciplinas.</w:t>
      </w:r>
    </w:p>
    <w:p w:rsidR="00537002" w:rsidRPr="000B3574" w:rsidRDefault="00537002" w:rsidP="00537002">
      <w:pPr>
        <w:spacing w:line="240" w:lineRule="auto"/>
        <w:jc w:val="center"/>
        <w:rPr>
          <w:rFonts w:ascii="Arial" w:hAnsi="Arial" w:cs="Arial"/>
          <w:sz w:val="24"/>
          <w:szCs w:val="24"/>
        </w:rPr>
      </w:pPr>
      <w:r>
        <w:rPr>
          <w:rFonts w:ascii="Arial" w:hAnsi="Arial" w:cs="Arial"/>
          <w:noProof/>
          <w:sz w:val="24"/>
          <w:szCs w:val="24"/>
          <w:lang w:val="en-US"/>
        </w:rPr>
        <w:drawing>
          <wp:inline distT="0" distB="0" distL="0" distR="0" wp14:anchorId="71EA7EFF" wp14:editId="4C16FE1D">
            <wp:extent cx="4679950" cy="2317750"/>
            <wp:effectExtent l="0" t="0" r="6350" b="635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4679950" cy="2317750"/>
                    </a:xfrm>
                    <a:prstGeom prst="rect">
                      <a:avLst/>
                    </a:prstGeom>
                    <a:noFill/>
                    <a:ln>
                      <a:noFill/>
                    </a:ln>
                  </pic:spPr>
                </pic:pic>
              </a:graphicData>
            </a:graphic>
          </wp:inline>
        </w:drawing>
      </w:r>
    </w:p>
    <w:p w:rsidR="00537002" w:rsidRPr="00A35542" w:rsidRDefault="00537002" w:rsidP="00537002">
      <w:pPr>
        <w:spacing w:line="240" w:lineRule="auto"/>
        <w:jc w:val="center"/>
        <w:rPr>
          <w:rFonts w:ascii="Arial" w:hAnsi="Arial" w:cs="Arial"/>
          <w:sz w:val="20"/>
          <w:szCs w:val="20"/>
        </w:rPr>
      </w:pPr>
      <w:r w:rsidRPr="00E34441">
        <w:rPr>
          <w:rFonts w:ascii="Arial" w:hAnsi="Arial" w:cs="Arial"/>
          <w:sz w:val="20"/>
          <w:szCs w:val="20"/>
        </w:rPr>
        <w:t xml:space="preserve">Figura </w:t>
      </w:r>
      <w:r>
        <w:rPr>
          <w:rFonts w:ascii="Arial" w:hAnsi="Arial" w:cs="Arial"/>
          <w:sz w:val="20"/>
          <w:szCs w:val="20"/>
        </w:rPr>
        <w:t>4</w:t>
      </w:r>
      <w:r w:rsidRPr="00E34441">
        <w:rPr>
          <w:rFonts w:ascii="Arial" w:hAnsi="Arial" w:cs="Arial"/>
          <w:sz w:val="20"/>
          <w:szCs w:val="20"/>
        </w:rPr>
        <w:t>. Estudiantes de movilidad por disciplina en Unidad Azcapotzalco.</w:t>
      </w:r>
    </w:p>
    <w:p w:rsidR="00537002" w:rsidRDefault="00537002" w:rsidP="00537002">
      <w:pPr>
        <w:spacing w:line="240" w:lineRule="auto"/>
        <w:jc w:val="both"/>
        <w:rPr>
          <w:rFonts w:ascii="Arial" w:hAnsi="Arial" w:cs="Arial"/>
          <w:sz w:val="24"/>
          <w:szCs w:val="24"/>
        </w:rPr>
      </w:pPr>
    </w:p>
    <w:p w:rsidR="00537002" w:rsidRPr="00A35542" w:rsidRDefault="00537002" w:rsidP="00537002">
      <w:pPr>
        <w:spacing w:line="240" w:lineRule="auto"/>
        <w:jc w:val="both"/>
        <w:rPr>
          <w:rFonts w:ascii="Arial" w:hAnsi="Arial" w:cs="Arial"/>
          <w:sz w:val="24"/>
          <w:szCs w:val="24"/>
        </w:rPr>
      </w:pPr>
      <w:r w:rsidRPr="00A35542">
        <w:rPr>
          <w:rFonts w:ascii="Arial" w:hAnsi="Arial" w:cs="Arial"/>
          <w:sz w:val="24"/>
          <w:szCs w:val="24"/>
        </w:rPr>
        <w:t>Inicialmente, el número de estudiantes que optaban por la movilidad es casi el mismo para algunas ingenierías. Sin embargo, con el paso del tiempo, las ingenierías presentan diferentes porcentajes de movilidad: Ingeniería Ambiental (21.9%), Ingeniería Industrial (17.5%), Ingeniería Civil (10.8%), Ingeniería en Computación (9.9%) Ingeniería Mecánica e Ingeniería Química (9.6% respectivamente), Ingeniería Electrónica (8.3%), Ingeniería Física (7.9%), Ingeniería Eléctrica (2.4%), Ingeniería Metalúrgica (2.0%).</w:t>
      </w:r>
    </w:p>
    <w:p w:rsidR="00537002" w:rsidRDefault="00537002" w:rsidP="00537002">
      <w:pPr>
        <w:spacing w:line="240" w:lineRule="auto"/>
        <w:jc w:val="both"/>
        <w:rPr>
          <w:rFonts w:ascii="Arial" w:hAnsi="Arial" w:cs="Arial"/>
          <w:sz w:val="24"/>
          <w:szCs w:val="24"/>
        </w:rPr>
      </w:pPr>
      <w:r w:rsidRPr="00A35542">
        <w:rPr>
          <w:rFonts w:ascii="Arial" w:hAnsi="Arial" w:cs="Arial"/>
          <w:sz w:val="24"/>
          <w:szCs w:val="24"/>
        </w:rPr>
        <w:t xml:space="preserve">Para la Unidad Iztapalapa (Figura </w:t>
      </w:r>
      <w:r>
        <w:rPr>
          <w:rFonts w:ascii="Arial" w:hAnsi="Arial" w:cs="Arial"/>
          <w:sz w:val="24"/>
          <w:szCs w:val="24"/>
        </w:rPr>
        <w:t>5</w:t>
      </w:r>
      <w:r w:rsidRPr="00A35542">
        <w:rPr>
          <w:rFonts w:ascii="Arial" w:hAnsi="Arial" w:cs="Arial"/>
          <w:sz w:val="24"/>
          <w:szCs w:val="24"/>
        </w:rPr>
        <w:t>), los estudiantes que optan por el proceso de movilidad pertenecen principalmente a Ingeniería en Energía (41.1%), seguida por Ingeniería Biomédica (27.5%), Ingeniería Química (21.6%) y por último Computación (9.8%).</w:t>
      </w:r>
    </w:p>
    <w:p w:rsidR="00537002" w:rsidRPr="009A164A" w:rsidRDefault="00537002" w:rsidP="00537002">
      <w:pPr>
        <w:spacing w:line="240" w:lineRule="auto"/>
        <w:jc w:val="center"/>
        <w:rPr>
          <w:rFonts w:ascii="Arial" w:hAnsi="Arial" w:cs="Arial"/>
          <w:sz w:val="24"/>
          <w:szCs w:val="24"/>
        </w:rPr>
      </w:pPr>
      <w:r>
        <w:rPr>
          <w:noProof/>
          <w:lang w:val="en-US"/>
        </w:rPr>
        <w:drawing>
          <wp:inline distT="0" distB="0" distL="0" distR="0" wp14:anchorId="291F7395" wp14:editId="36A1D4D3">
            <wp:extent cx="4680000" cy="2152800"/>
            <wp:effectExtent l="0" t="0" r="635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4680000" cy="2152800"/>
                    </a:xfrm>
                    <a:prstGeom prst="rect">
                      <a:avLst/>
                    </a:prstGeom>
                    <a:noFill/>
                    <a:ln>
                      <a:noFill/>
                    </a:ln>
                  </pic:spPr>
                </pic:pic>
              </a:graphicData>
            </a:graphic>
          </wp:inline>
        </w:drawing>
      </w:r>
    </w:p>
    <w:p w:rsidR="00537002" w:rsidRDefault="00537002" w:rsidP="00537002">
      <w:pPr>
        <w:spacing w:line="240" w:lineRule="auto"/>
        <w:jc w:val="center"/>
        <w:rPr>
          <w:rFonts w:ascii="Arial" w:hAnsi="Arial" w:cs="Arial"/>
          <w:sz w:val="20"/>
          <w:szCs w:val="20"/>
        </w:rPr>
      </w:pPr>
      <w:r w:rsidRPr="00A35542">
        <w:rPr>
          <w:rFonts w:ascii="Arial" w:hAnsi="Arial" w:cs="Arial"/>
          <w:sz w:val="20"/>
          <w:szCs w:val="20"/>
        </w:rPr>
        <w:t xml:space="preserve">Figura </w:t>
      </w:r>
      <w:r>
        <w:rPr>
          <w:rFonts w:ascii="Arial" w:hAnsi="Arial" w:cs="Arial"/>
          <w:sz w:val="20"/>
          <w:szCs w:val="20"/>
        </w:rPr>
        <w:t>5</w:t>
      </w:r>
      <w:r w:rsidRPr="00A35542">
        <w:rPr>
          <w:rFonts w:ascii="Arial" w:hAnsi="Arial" w:cs="Arial"/>
          <w:sz w:val="20"/>
          <w:szCs w:val="20"/>
        </w:rPr>
        <w:t>. Movilidad de estudiantes de las diversas ingenierías</w:t>
      </w:r>
      <w:r>
        <w:rPr>
          <w:rFonts w:ascii="Arial" w:hAnsi="Arial" w:cs="Arial"/>
          <w:sz w:val="20"/>
          <w:szCs w:val="20"/>
        </w:rPr>
        <w:t xml:space="preserve"> Unidad</w:t>
      </w:r>
      <w:r w:rsidRPr="00A35542">
        <w:rPr>
          <w:rFonts w:ascii="Arial" w:hAnsi="Arial" w:cs="Arial"/>
          <w:sz w:val="20"/>
          <w:szCs w:val="20"/>
        </w:rPr>
        <w:t xml:space="preserve"> Iztapalapa.</w:t>
      </w:r>
    </w:p>
    <w:p w:rsidR="00537002" w:rsidRDefault="00537002" w:rsidP="00537002">
      <w:pPr>
        <w:spacing w:line="240" w:lineRule="auto"/>
        <w:jc w:val="both"/>
        <w:rPr>
          <w:rFonts w:ascii="Arial" w:hAnsi="Arial" w:cs="Arial"/>
          <w:sz w:val="24"/>
          <w:szCs w:val="24"/>
        </w:rPr>
      </w:pPr>
      <w:r w:rsidRPr="00E0056A">
        <w:rPr>
          <w:rFonts w:ascii="Arial" w:hAnsi="Arial" w:cs="Arial"/>
          <w:sz w:val="24"/>
          <w:szCs w:val="24"/>
        </w:rPr>
        <w:t xml:space="preserve">En </w:t>
      </w:r>
      <w:r>
        <w:rPr>
          <w:rFonts w:ascii="Arial" w:hAnsi="Arial" w:cs="Arial"/>
          <w:sz w:val="24"/>
          <w:szCs w:val="24"/>
        </w:rPr>
        <w:t xml:space="preserve">la figura 6, se muestra los estudiantes de </w:t>
      </w:r>
      <w:r w:rsidRPr="00E0056A">
        <w:rPr>
          <w:rFonts w:ascii="Arial" w:hAnsi="Arial" w:cs="Arial"/>
          <w:sz w:val="24"/>
          <w:szCs w:val="24"/>
        </w:rPr>
        <w:t>posgrado</w:t>
      </w:r>
      <w:r>
        <w:rPr>
          <w:rFonts w:ascii="Arial" w:hAnsi="Arial" w:cs="Arial"/>
          <w:sz w:val="24"/>
          <w:szCs w:val="24"/>
        </w:rPr>
        <w:t xml:space="preserve"> en el Programa de Movilidad de la Unidad Azcapotzalco. </w:t>
      </w:r>
      <w:r w:rsidRPr="00E0056A">
        <w:rPr>
          <w:rFonts w:ascii="Arial" w:hAnsi="Arial" w:cs="Arial"/>
          <w:sz w:val="24"/>
          <w:szCs w:val="24"/>
        </w:rPr>
        <w:t xml:space="preserve">En la Unidad Iztapalapa, se reporta en 2015 </w:t>
      </w:r>
      <w:r>
        <w:rPr>
          <w:rFonts w:ascii="Arial" w:hAnsi="Arial" w:cs="Arial"/>
          <w:sz w:val="24"/>
          <w:szCs w:val="24"/>
        </w:rPr>
        <w:t xml:space="preserve">sólo </w:t>
      </w:r>
      <w:r w:rsidRPr="00E0056A">
        <w:rPr>
          <w:rFonts w:ascii="Arial" w:hAnsi="Arial" w:cs="Arial"/>
          <w:sz w:val="24"/>
          <w:szCs w:val="24"/>
        </w:rPr>
        <w:t>la movilidad de un estudiante de la Maestría en Energía y Medio Ambiente a Alemania.</w:t>
      </w:r>
    </w:p>
    <w:p w:rsidR="00537002" w:rsidRPr="009A164A" w:rsidRDefault="00537002" w:rsidP="00537002">
      <w:pPr>
        <w:spacing w:line="240" w:lineRule="auto"/>
        <w:jc w:val="center"/>
        <w:rPr>
          <w:rFonts w:ascii="Arial" w:hAnsi="Arial" w:cs="Arial"/>
          <w:sz w:val="24"/>
          <w:szCs w:val="24"/>
        </w:rPr>
      </w:pPr>
      <w:r>
        <w:rPr>
          <w:noProof/>
          <w:lang w:val="en-US"/>
        </w:rPr>
        <w:drawing>
          <wp:inline distT="0" distB="0" distL="0" distR="0" wp14:anchorId="796E773E" wp14:editId="1DE18880">
            <wp:extent cx="4680000" cy="2191521"/>
            <wp:effectExtent l="0" t="0" r="635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4680000" cy="2191521"/>
                    </a:xfrm>
                    <a:prstGeom prst="rect">
                      <a:avLst/>
                    </a:prstGeom>
                    <a:noFill/>
                    <a:ln>
                      <a:noFill/>
                    </a:ln>
                  </pic:spPr>
                </pic:pic>
              </a:graphicData>
            </a:graphic>
          </wp:inline>
        </w:drawing>
      </w:r>
    </w:p>
    <w:p w:rsidR="00537002" w:rsidRPr="00E34441" w:rsidRDefault="00537002" w:rsidP="00537002">
      <w:pPr>
        <w:spacing w:line="240" w:lineRule="auto"/>
        <w:jc w:val="center"/>
        <w:rPr>
          <w:rFonts w:ascii="Times New Roman" w:hAnsi="Times New Roman" w:cs="Times New Roman"/>
          <w:sz w:val="24"/>
          <w:szCs w:val="24"/>
        </w:rPr>
      </w:pPr>
      <w:r w:rsidRPr="00E0056A">
        <w:rPr>
          <w:rFonts w:ascii="Arial" w:hAnsi="Arial" w:cs="Arial"/>
          <w:sz w:val="20"/>
          <w:szCs w:val="20"/>
        </w:rPr>
        <w:t xml:space="preserve">Figura </w:t>
      </w:r>
      <w:r>
        <w:rPr>
          <w:rFonts w:ascii="Arial" w:hAnsi="Arial" w:cs="Arial"/>
          <w:sz w:val="20"/>
          <w:szCs w:val="20"/>
        </w:rPr>
        <w:t>6</w:t>
      </w:r>
      <w:r w:rsidRPr="00E0056A">
        <w:rPr>
          <w:rFonts w:ascii="Arial" w:hAnsi="Arial" w:cs="Arial"/>
          <w:sz w:val="20"/>
          <w:szCs w:val="20"/>
        </w:rPr>
        <w:t>. Estudiantes de posgrado en el Programa de Movilidad en Unidad Azcapotzalco.</w:t>
      </w:r>
    </w:p>
    <w:p w:rsidR="00537002" w:rsidRDefault="00537002" w:rsidP="00537002">
      <w:pPr>
        <w:spacing w:line="240" w:lineRule="auto"/>
        <w:jc w:val="both"/>
        <w:rPr>
          <w:rFonts w:ascii="Arial" w:hAnsi="Arial" w:cs="Arial"/>
          <w:sz w:val="24"/>
          <w:szCs w:val="24"/>
        </w:rPr>
      </w:pPr>
      <w:r>
        <w:rPr>
          <w:rFonts w:ascii="Arial" w:hAnsi="Arial" w:cs="Arial"/>
          <w:sz w:val="24"/>
          <w:szCs w:val="24"/>
        </w:rPr>
        <w:t>L</w:t>
      </w:r>
      <w:r w:rsidRPr="00E0056A">
        <w:rPr>
          <w:rFonts w:ascii="Arial" w:hAnsi="Arial" w:cs="Arial"/>
          <w:sz w:val="24"/>
          <w:szCs w:val="24"/>
        </w:rPr>
        <w:t xml:space="preserve">a movilidad es internacional, debido </w:t>
      </w:r>
      <w:r>
        <w:rPr>
          <w:rFonts w:ascii="Arial" w:hAnsi="Arial" w:cs="Arial"/>
          <w:sz w:val="24"/>
          <w:szCs w:val="24"/>
        </w:rPr>
        <w:t>a que el estudiante domina un idioma extranjero y generalmente cuenta con una beca que le</w:t>
      </w:r>
      <w:r w:rsidRPr="00E0056A">
        <w:rPr>
          <w:rFonts w:ascii="Arial" w:hAnsi="Arial" w:cs="Arial"/>
          <w:sz w:val="24"/>
          <w:szCs w:val="24"/>
        </w:rPr>
        <w:t xml:space="preserve"> ayuda a solventar sus gastos. Todos los estudiantes que ingresan al programa lo concluyen, con excepción de un estudiante en 2012.</w:t>
      </w:r>
    </w:p>
    <w:p w:rsidR="00537002" w:rsidRPr="006D0E57" w:rsidRDefault="00537002" w:rsidP="00537002">
      <w:pPr>
        <w:spacing w:line="240" w:lineRule="auto"/>
        <w:jc w:val="center"/>
        <w:rPr>
          <w:rFonts w:ascii="Arial" w:hAnsi="Arial" w:cs="Arial"/>
          <w:sz w:val="24"/>
          <w:szCs w:val="24"/>
        </w:rPr>
      </w:pPr>
      <w:r>
        <w:rPr>
          <w:noProof/>
          <w:lang w:val="en-US"/>
        </w:rPr>
        <w:drawing>
          <wp:inline distT="0" distB="0" distL="0" distR="0" wp14:anchorId="703E5D74" wp14:editId="23942BDF">
            <wp:extent cx="4680000" cy="2210277"/>
            <wp:effectExtent l="0" t="0" r="635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4680000" cy="2210277"/>
                    </a:xfrm>
                    <a:prstGeom prst="rect">
                      <a:avLst/>
                    </a:prstGeom>
                    <a:noFill/>
                    <a:ln>
                      <a:noFill/>
                    </a:ln>
                  </pic:spPr>
                </pic:pic>
              </a:graphicData>
            </a:graphic>
          </wp:inline>
        </w:drawing>
      </w:r>
    </w:p>
    <w:p w:rsidR="00537002" w:rsidRPr="006D0E57" w:rsidRDefault="00537002" w:rsidP="00537002">
      <w:pPr>
        <w:spacing w:line="240" w:lineRule="auto"/>
        <w:jc w:val="center"/>
        <w:rPr>
          <w:rFonts w:ascii="Arial" w:hAnsi="Arial" w:cs="Arial"/>
          <w:sz w:val="20"/>
          <w:szCs w:val="20"/>
        </w:rPr>
      </w:pPr>
      <w:r w:rsidRPr="006D0E57">
        <w:rPr>
          <w:rFonts w:ascii="Arial" w:hAnsi="Arial" w:cs="Arial"/>
          <w:sz w:val="20"/>
          <w:szCs w:val="20"/>
        </w:rPr>
        <w:t>Figura 7</w:t>
      </w:r>
      <w:r>
        <w:rPr>
          <w:rFonts w:ascii="Arial" w:hAnsi="Arial" w:cs="Arial"/>
          <w:sz w:val="20"/>
          <w:szCs w:val="20"/>
        </w:rPr>
        <w:t>. Cantidad de estudiantes de los diferentes posgrados</w:t>
      </w:r>
      <w:r w:rsidRPr="006D0E57">
        <w:rPr>
          <w:rFonts w:ascii="Arial" w:hAnsi="Arial" w:cs="Arial"/>
          <w:sz w:val="20"/>
          <w:szCs w:val="20"/>
        </w:rPr>
        <w:t xml:space="preserve"> </w:t>
      </w:r>
      <w:r>
        <w:rPr>
          <w:rFonts w:ascii="Arial" w:hAnsi="Arial" w:cs="Arial"/>
          <w:sz w:val="20"/>
          <w:szCs w:val="20"/>
        </w:rPr>
        <w:t xml:space="preserve">que realizan estancias de investigación </w:t>
      </w:r>
      <w:r w:rsidRPr="006D0E57">
        <w:rPr>
          <w:rFonts w:ascii="Arial" w:hAnsi="Arial" w:cs="Arial"/>
          <w:sz w:val="20"/>
          <w:szCs w:val="20"/>
        </w:rPr>
        <w:t>en Unidad Azcapotzalco.</w:t>
      </w:r>
    </w:p>
    <w:p w:rsidR="00537002" w:rsidRPr="00CD2BEF" w:rsidRDefault="00537002" w:rsidP="00537002">
      <w:pPr>
        <w:spacing w:line="240" w:lineRule="auto"/>
        <w:jc w:val="both"/>
        <w:rPr>
          <w:rFonts w:ascii="Arial" w:hAnsi="Arial" w:cs="Arial"/>
          <w:sz w:val="24"/>
          <w:szCs w:val="24"/>
        </w:rPr>
      </w:pPr>
      <w:r>
        <w:rPr>
          <w:rFonts w:ascii="Arial" w:hAnsi="Arial" w:cs="Arial"/>
          <w:sz w:val="24"/>
          <w:szCs w:val="24"/>
        </w:rPr>
        <w:t xml:space="preserve">En la figura 7 se </w:t>
      </w:r>
      <w:r w:rsidRPr="006D0E57">
        <w:rPr>
          <w:rFonts w:ascii="Arial" w:hAnsi="Arial" w:cs="Arial"/>
          <w:sz w:val="24"/>
          <w:szCs w:val="24"/>
        </w:rPr>
        <w:t>presenta l</w:t>
      </w:r>
      <w:r>
        <w:rPr>
          <w:rFonts w:ascii="Arial" w:hAnsi="Arial" w:cs="Arial"/>
          <w:sz w:val="24"/>
          <w:szCs w:val="24"/>
        </w:rPr>
        <w:t>a cantidad de</w:t>
      </w:r>
      <w:r w:rsidRPr="006D0E57">
        <w:rPr>
          <w:rFonts w:ascii="Arial" w:hAnsi="Arial" w:cs="Arial"/>
          <w:sz w:val="24"/>
          <w:szCs w:val="24"/>
        </w:rPr>
        <w:t xml:space="preserve"> estudiantes </w:t>
      </w:r>
      <w:r>
        <w:rPr>
          <w:rFonts w:ascii="Arial" w:hAnsi="Arial" w:cs="Arial"/>
          <w:sz w:val="24"/>
          <w:szCs w:val="24"/>
        </w:rPr>
        <w:t xml:space="preserve">de los diversos posgrados </w:t>
      </w:r>
      <w:r w:rsidRPr="006D0E57">
        <w:rPr>
          <w:rFonts w:ascii="Arial" w:hAnsi="Arial" w:cs="Arial"/>
          <w:sz w:val="24"/>
          <w:szCs w:val="24"/>
        </w:rPr>
        <w:t>en la Unidad Azcapotz</w:t>
      </w:r>
      <w:r>
        <w:rPr>
          <w:rFonts w:ascii="Arial" w:hAnsi="Arial" w:cs="Arial"/>
          <w:sz w:val="24"/>
          <w:szCs w:val="24"/>
        </w:rPr>
        <w:t>alco que realizan estancias de investigación</w:t>
      </w:r>
      <w:r w:rsidRPr="006D0E57">
        <w:rPr>
          <w:rFonts w:ascii="Arial" w:hAnsi="Arial" w:cs="Arial"/>
          <w:sz w:val="24"/>
          <w:szCs w:val="24"/>
        </w:rPr>
        <w:t>.</w:t>
      </w:r>
    </w:p>
    <w:p w:rsidR="00537002" w:rsidRDefault="00537002" w:rsidP="00537002">
      <w:pPr>
        <w:spacing w:line="240" w:lineRule="auto"/>
        <w:jc w:val="both"/>
        <w:rPr>
          <w:rFonts w:ascii="Arial" w:hAnsi="Arial" w:cs="Arial"/>
          <w:sz w:val="24"/>
          <w:szCs w:val="24"/>
        </w:rPr>
      </w:pPr>
      <w:r w:rsidRPr="006D0E57">
        <w:rPr>
          <w:rFonts w:ascii="Arial" w:hAnsi="Arial" w:cs="Arial"/>
          <w:sz w:val="24"/>
          <w:szCs w:val="24"/>
        </w:rPr>
        <w:t>El intercambio de estudiantes depende en gran medida de los programas de movilidad y del país receptor. Los programas seleccionados por</w:t>
      </w:r>
      <w:r>
        <w:rPr>
          <w:rFonts w:ascii="Arial" w:hAnsi="Arial" w:cs="Arial"/>
          <w:sz w:val="24"/>
          <w:szCs w:val="24"/>
        </w:rPr>
        <w:t xml:space="preserve"> los estudiantes</w:t>
      </w:r>
      <w:r w:rsidRPr="006D0E57">
        <w:rPr>
          <w:rFonts w:ascii="Arial" w:hAnsi="Arial" w:cs="Arial"/>
          <w:sz w:val="24"/>
          <w:szCs w:val="24"/>
        </w:rPr>
        <w:t xml:space="preserve"> son: Bilateral, Programa Académico de Movilidad Educativa-Unión de Universidades de América Latina y el Caribe (PAME-UDUAL)</w:t>
      </w:r>
      <w:r>
        <w:rPr>
          <w:rFonts w:ascii="Arial" w:hAnsi="Arial" w:cs="Arial"/>
          <w:sz w:val="24"/>
          <w:szCs w:val="24"/>
        </w:rPr>
        <w:t xml:space="preserve"> </w:t>
      </w:r>
      <w:r>
        <w:rPr>
          <w:rFonts w:ascii="Arial" w:hAnsi="Arial" w:cs="Arial"/>
          <w:sz w:val="24"/>
          <w:szCs w:val="24"/>
          <w:vertAlign w:val="superscript"/>
        </w:rPr>
        <w:t>[6]</w:t>
      </w:r>
      <w:r w:rsidRPr="006D0E57">
        <w:rPr>
          <w:rFonts w:ascii="Arial" w:hAnsi="Arial" w:cs="Arial"/>
          <w:sz w:val="24"/>
          <w:szCs w:val="24"/>
        </w:rPr>
        <w:t>, Programa de Intercambio Universitario-Centro Interuniversitario de Desarrollo (CINDA)</w:t>
      </w:r>
      <w:r>
        <w:rPr>
          <w:rFonts w:ascii="Arial" w:hAnsi="Arial" w:cs="Arial"/>
          <w:sz w:val="24"/>
          <w:szCs w:val="24"/>
          <w:vertAlign w:val="superscript"/>
        </w:rPr>
        <w:t>[7]</w:t>
      </w:r>
      <w:r w:rsidRPr="006D0E57">
        <w:rPr>
          <w:rFonts w:ascii="Arial" w:hAnsi="Arial" w:cs="Arial"/>
          <w:sz w:val="24"/>
          <w:szCs w:val="24"/>
        </w:rPr>
        <w:t>, Programa Jóvenes de Intercambio México-Argentina (JIMA)</w:t>
      </w:r>
      <w:r>
        <w:rPr>
          <w:rFonts w:ascii="Arial" w:hAnsi="Arial" w:cs="Arial"/>
          <w:sz w:val="24"/>
          <w:szCs w:val="24"/>
        </w:rPr>
        <w:t xml:space="preserve"> </w:t>
      </w:r>
      <w:r>
        <w:rPr>
          <w:rFonts w:ascii="Arial" w:hAnsi="Arial" w:cs="Arial"/>
          <w:sz w:val="24"/>
          <w:szCs w:val="24"/>
          <w:vertAlign w:val="superscript"/>
        </w:rPr>
        <w:t>[8]</w:t>
      </w:r>
      <w:r w:rsidRPr="006D0E57">
        <w:rPr>
          <w:rFonts w:ascii="Arial" w:hAnsi="Arial" w:cs="Arial"/>
          <w:sz w:val="24"/>
          <w:szCs w:val="24"/>
        </w:rPr>
        <w:t>, Programa de movilidad del Espacio Común de Educación Superior (ECOES)</w:t>
      </w:r>
      <w:r>
        <w:rPr>
          <w:rFonts w:ascii="Arial" w:hAnsi="Arial" w:cs="Arial"/>
          <w:sz w:val="24"/>
          <w:szCs w:val="24"/>
        </w:rPr>
        <w:t xml:space="preserve"> </w:t>
      </w:r>
      <w:r>
        <w:rPr>
          <w:rFonts w:ascii="Arial" w:hAnsi="Arial" w:cs="Arial"/>
          <w:sz w:val="24"/>
          <w:szCs w:val="24"/>
          <w:vertAlign w:val="superscript"/>
        </w:rPr>
        <w:t>[9]</w:t>
      </w:r>
      <w:r w:rsidRPr="006D0E57">
        <w:rPr>
          <w:rFonts w:ascii="Arial" w:hAnsi="Arial" w:cs="Arial"/>
          <w:sz w:val="24"/>
          <w:szCs w:val="24"/>
        </w:rPr>
        <w:t>, Programa de movilidad de la Asociación de Universidades e Instituciones de Educación Superior (ANUIES)</w:t>
      </w:r>
      <w:r>
        <w:rPr>
          <w:rFonts w:ascii="Arial" w:hAnsi="Arial" w:cs="Arial"/>
          <w:sz w:val="24"/>
          <w:szCs w:val="24"/>
        </w:rPr>
        <w:t xml:space="preserve"> </w:t>
      </w:r>
      <w:r>
        <w:rPr>
          <w:rFonts w:ascii="Arial" w:hAnsi="Arial" w:cs="Arial"/>
          <w:sz w:val="24"/>
          <w:szCs w:val="24"/>
          <w:vertAlign w:val="superscript"/>
        </w:rPr>
        <w:t>[10]</w:t>
      </w:r>
      <w:r w:rsidRPr="006D0E57">
        <w:rPr>
          <w:rFonts w:ascii="Arial" w:hAnsi="Arial" w:cs="Arial"/>
          <w:sz w:val="24"/>
          <w:szCs w:val="24"/>
        </w:rPr>
        <w:t>, Programa de movilidad estudiantil de la Conferencia de Rectores y Principales de las Universidades de Quebec (CREPUQ)</w:t>
      </w:r>
      <w:r>
        <w:rPr>
          <w:rFonts w:ascii="Arial" w:hAnsi="Arial" w:cs="Arial"/>
          <w:sz w:val="24"/>
          <w:szCs w:val="24"/>
        </w:rPr>
        <w:t xml:space="preserve"> </w:t>
      </w:r>
      <w:r>
        <w:rPr>
          <w:rFonts w:ascii="Arial" w:hAnsi="Arial" w:cs="Arial"/>
          <w:sz w:val="24"/>
          <w:szCs w:val="24"/>
          <w:vertAlign w:val="superscript"/>
        </w:rPr>
        <w:t>[11]</w:t>
      </w:r>
      <w:r w:rsidRPr="006D0E57">
        <w:rPr>
          <w:rFonts w:ascii="Arial" w:hAnsi="Arial" w:cs="Arial"/>
          <w:sz w:val="24"/>
          <w:szCs w:val="24"/>
        </w:rPr>
        <w:t>, Programa de movilidad estudiantil y académica de La Alianza del Pacífico</w:t>
      </w:r>
      <w:r>
        <w:rPr>
          <w:rFonts w:ascii="Arial" w:hAnsi="Arial" w:cs="Arial"/>
          <w:sz w:val="24"/>
          <w:szCs w:val="24"/>
          <w:vertAlign w:val="superscript"/>
        </w:rPr>
        <w:t>[12]</w:t>
      </w:r>
      <w:r w:rsidRPr="006D0E57">
        <w:rPr>
          <w:rFonts w:ascii="Arial" w:hAnsi="Arial" w:cs="Arial"/>
          <w:sz w:val="24"/>
          <w:szCs w:val="24"/>
        </w:rPr>
        <w:t>, Programa de movilidad del Consorcio de colaboración de la educación superior en América del Norte (CONAHEC)</w:t>
      </w:r>
      <w:r>
        <w:rPr>
          <w:rFonts w:ascii="Arial" w:hAnsi="Arial" w:cs="Arial"/>
          <w:sz w:val="24"/>
          <w:szCs w:val="24"/>
          <w:vertAlign w:val="superscript"/>
        </w:rPr>
        <w:t>[13]</w:t>
      </w:r>
      <w:r>
        <w:rPr>
          <w:rFonts w:ascii="Arial" w:hAnsi="Arial" w:cs="Arial"/>
          <w:sz w:val="24"/>
          <w:szCs w:val="24"/>
        </w:rPr>
        <w:t>.</w:t>
      </w:r>
      <w:r w:rsidRPr="006D0E57">
        <w:rPr>
          <w:rFonts w:ascii="Arial" w:hAnsi="Arial" w:cs="Arial"/>
          <w:sz w:val="24"/>
          <w:szCs w:val="24"/>
        </w:rPr>
        <w:t xml:space="preserve"> Existiendo</w:t>
      </w:r>
      <w:r>
        <w:rPr>
          <w:rFonts w:ascii="Arial" w:hAnsi="Arial" w:cs="Arial"/>
          <w:sz w:val="24"/>
          <w:szCs w:val="24"/>
        </w:rPr>
        <w:t>, además,</w:t>
      </w:r>
      <w:r w:rsidRPr="006D0E57">
        <w:rPr>
          <w:rFonts w:ascii="Arial" w:hAnsi="Arial" w:cs="Arial"/>
          <w:sz w:val="24"/>
          <w:szCs w:val="24"/>
        </w:rPr>
        <w:t xml:space="preserve"> movilidad interna en la </w:t>
      </w:r>
      <w:r>
        <w:rPr>
          <w:rFonts w:ascii="Arial" w:hAnsi="Arial" w:cs="Arial"/>
          <w:sz w:val="24"/>
          <w:szCs w:val="24"/>
        </w:rPr>
        <w:t>Universidad</w:t>
      </w:r>
      <w:r w:rsidRPr="006D0E57">
        <w:rPr>
          <w:rFonts w:ascii="Arial" w:hAnsi="Arial" w:cs="Arial"/>
          <w:sz w:val="24"/>
          <w:szCs w:val="24"/>
        </w:rPr>
        <w:t xml:space="preserve"> que permite a los estudiantes el rea</w:t>
      </w:r>
      <w:r>
        <w:rPr>
          <w:rFonts w:ascii="Arial" w:hAnsi="Arial" w:cs="Arial"/>
          <w:sz w:val="24"/>
          <w:szCs w:val="24"/>
        </w:rPr>
        <w:t xml:space="preserve">lizar sus estudios en las diversas Unidades </w:t>
      </w:r>
      <w:r>
        <w:rPr>
          <w:rFonts w:ascii="Arial" w:hAnsi="Arial" w:cs="Arial"/>
          <w:sz w:val="24"/>
          <w:szCs w:val="24"/>
          <w:vertAlign w:val="superscript"/>
        </w:rPr>
        <w:t>[14]</w:t>
      </w:r>
      <w:r>
        <w:rPr>
          <w:rFonts w:ascii="Arial" w:hAnsi="Arial" w:cs="Arial"/>
          <w:sz w:val="24"/>
          <w:szCs w:val="24"/>
        </w:rPr>
        <w:t xml:space="preserve"> </w:t>
      </w:r>
      <w:r w:rsidRPr="006D0E57">
        <w:rPr>
          <w:rFonts w:ascii="Arial" w:hAnsi="Arial" w:cs="Arial"/>
          <w:sz w:val="24"/>
          <w:szCs w:val="24"/>
        </w:rPr>
        <w:t>(figura 8).</w:t>
      </w:r>
    </w:p>
    <w:p w:rsidR="00537002" w:rsidRPr="00B14B5F" w:rsidRDefault="00537002" w:rsidP="00537002">
      <w:pPr>
        <w:spacing w:line="240" w:lineRule="auto"/>
        <w:jc w:val="center"/>
        <w:rPr>
          <w:rFonts w:ascii="Arial" w:hAnsi="Arial" w:cs="Arial"/>
          <w:sz w:val="24"/>
          <w:szCs w:val="24"/>
        </w:rPr>
      </w:pPr>
      <w:r>
        <w:rPr>
          <w:noProof/>
          <w:lang w:val="en-US"/>
        </w:rPr>
        <w:drawing>
          <wp:inline distT="0" distB="0" distL="0" distR="0" wp14:anchorId="0663BFE4" wp14:editId="3BC531F2">
            <wp:extent cx="4644000" cy="2653695"/>
            <wp:effectExtent l="0" t="0" r="444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4644000" cy="2653695"/>
                    </a:xfrm>
                    <a:prstGeom prst="rect">
                      <a:avLst/>
                    </a:prstGeom>
                    <a:noFill/>
                    <a:ln>
                      <a:noFill/>
                    </a:ln>
                  </pic:spPr>
                </pic:pic>
              </a:graphicData>
            </a:graphic>
          </wp:inline>
        </w:drawing>
      </w:r>
    </w:p>
    <w:p w:rsidR="00537002" w:rsidRPr="00D50331" w:rsidRDefault="00537002" w:rsidP="00537002">
      <w:pPr>
        <w:spacing w:line="240" w:lineRule="auto"/>
        <w:jc w:val="center"/>
        <w:rPr>
          <w:rFonts w:ascii="Arial" w:hAnsi="Arial" w:cs="Arial"/>
          <w:sz w:val="20"/>
          <w:szCs w:val="20"/>
        </w:rPr>
      </w:pPr>
      <w:r w:rsidRPr="00D50331">
        <w:rPr>
          <w:rFonts w:ascii="Arial" w:hAnsi="Arial" w:cs="Arial"/>
          <w:sz w:val="20"/>
          <w:szCs w:val="20"/>
        </w:rPr>
        <w:t>Figura 8. Número de estudiantes de licenciatura que optan por los diferentes Programas de Movilidad.</w:t>
      </w:r>
    </w:p>
    <w:p w:rsidR="00537002" w:rsidRPr="00D50331" w:rsidRDefault="00537002" w:rsidP="00537002">
      <w:pPr>
        <w:spacing w:line="240" w:lineRule="auto"/>
        <w:jc w:val="both"/>
        <w:rPr>
          <w:rFonts w:ascii="Arial" w:hAnsi="Arial" w:cs="Arial"/>
          <w:sz w:val="24"/>
          <w:szCs w:val="24"/>
        </w:rPr>
      </w:pPr>
      <w:r w:rsidRPr="00D50331">
        <w:rPr>
          <w:rFonts w:ascii="Arial" w:hAnsi="Arial" w:cs="Arial"/>
          <w:sz w:val="24"/>
          <w:szCs w:val="24"/>
        </w:rPr>
        <w:t xml:space="preserve">Todos estos Programas de Movilidad bridan al estudiante la oportunidad de integrarse a la vida universitaria y cultural de otros países fortaleciendo sus capacidades. </w:t>
      </w:r>
      <w:r>
        <w:rPr>
          <w:rFonts w:ascii="Arial" w:hAnsi="Arial" w:cs="Arial"/>
          <w:sz w:val="24"/>
          <w:szCs w:val="24"/>
        </w:rPr>
        <w:t>Además de promover</w:t>
      </w:r>
      <w:r w:rsidRPr="00D50331">
        <w:rPr>
          <w:rFonts w:ascii="Arial" w:hAnsi="Arial" w:cs="Arial"/>
          <w:sz w:val="24"/>
          <w:szCs w:val="24"/>
        </w:rPr>
        <w:t xml:space="preserve"> la internacionalización y cooperación de las Instituciones de Educación Superior a través de actividades como el intercambio de publicaciones, movilidad de profesores, desarrollo de investigación y proyectos conjuntos, establecimiento de redes, etcétera. Cabe aclarar que el Programa de Movilidad de ANUIES es una red nacional de intercambio que permite desarrollar y consolidar las relaciones entre universidades dentro del territorio mexicano.</w:t>
      </w:r>
    </w:p>
    <w:p w:rsidR="00537002" w:rsidRPr="00D50331" w:rsidRDefault="00537002" w:rsidP="00537002">
      <w:pPr>
        <w:spacing w:line="240" w:lineRule="auto"/>
        <w:jc w:val="both"/>
        <w:rPr>
          <w:rFonts w:ascii="Arial" w:hAnsi="Arial" w:cs="Arial"/>
          <w:sz w:val="24"/>
          <w:szCs w:val="24"/>
        </w:rPr>
      </w:pPr>
      <w:r w:rsidRPr="00D50331">
        <w:rPr>
          <w:rFonts w:ascii="Arial" w:hAnsi="Arial" w:cs="Arial"/>
          <w:sz w:val="24"/>
          <w:szCs w:val="24"/>
        </w:rPr>
        <w:t>Aunque</w:t>
      </w:r>
      <w:r>
        <w:rPr>
          <w:rFonts w:ascii="Arial" w:hAnsi="Arial" w:cs="Arial"/>
          <w:sz w:val="24"/>
          <w:szCs w:val="24"/>
        </w:rPr>
        <w:t xml:space="preserve"> los estudiantes</w:t>
      </w:r>
      <w:r w:rsidRPr="00D50331">
        <w:rPr>
          <w:rFonts w:ascii="Arial" w:hAnsi="Arial" w:cs="Arial"/>
          <w:sz w:val="24"/>
          <w:szCs w:val="24"/>
        </w:rPr>
        <w:t xml:space="preserve"> tienen la opción de seleccionar entre diversos programas de movilidad, es interesante observar que el</w:t>
      </w:r>
      <w:r>
        <w:rPr>
          <w:rFonts w:ascii="Arial" w:hAnsi="Arial" w:cs="Arial"/>
          <w:sz w:val="24"/>
          <w:szCs w:val="24"/>
        </w:rPr>
        <w:t xml:space="preserve"> más utilizado es el Programa Bilateral,</w:t>
      </w:r>
      <w:r w:rsidRPr="00D50331">
        <w:rPr>
          <w:rFonts w:ascii="Arial" w:hAnsi="Arial" w:cs="Arial"/>
          <w:sz w:val="24"/>
          <w:szCs w:val="24"/>
        </w:rPr>
        <w:t xml:space="preserve"> por ser un p</w:t>
      </w:r>
      <w:r>
        <w:rPr>
          <w:rFonts w:ascii="Arial" w:hAnsi="Arial" w:cs="Arial"/>
          <w:sz w:val="24"/>
          <w:szCs w:val="24"/>
        </w:rPr>
        <w:t>rograma establecido entre la Universidad</w:t>
      </w:r>
      <w:r w:rsidRPr="00D50331">
        <w:rPr>
          <w:rFonts w:ascii="Arial" w:hAnsi="Arial" w:cs="Arial"/>
          <w:sz w:val="24"/>
          <w:szCs w:val="24"/>
        </w:rPr>
        <w:t xml:space="preserve"> y otras Instituciones de Educación Superior</w:t>
      </w:r>
      <w:r>
        <w:rPr>
          <w:rFonts w:ascii="Arial" w:hAnsi="Arial" w:cs="Arial"/>
          <w:sz w:val="24"/>
          <w:szCs w:val="24"/>
        </w:rPr>
        <w:t xml:space="preserve">. Implicando </w:t>
      </w:r>
      <w:r w:rsidRPr="00D50331">
        <w:rPr>
          <w:rFonts w:ascii="Arial" w:hAnsi="Arial" w:cs="Arial"/>
          <w:sz w:val="24"/>
          <w:szCs w:val="24"/>
        </w:rPr>
        <w:t>trámites mucho más fáciles y no con mucha anticipación, seguido por el Programa CINDA, el Programa ANUIES, y en menor medida los otros programas. Esto se debe a que algunos programas de movilidad tienen requisitos que no todos los estudiantes pueden cumplir en su totalidad</w:t>
      </w:r>
      <w:r>
        <w:rPr>
          <w:rFonts w:ascii="Arial" w:hAnsi="Arial" w:cs="Arial"/>
          <w:sz w:val="24"/>
          <w:szCs w:val="24"/>
        </w:rPr>
        <w:t xml:space="preserve"> por</w:t>
      </w:r>
      <w:r w:rsidRPr="00D50331">
        <w:rPr>
          <w:rFonts w:ascii="Arial" w:hAnsi="Arial" w:cs="Arial"/>
          <w:sz w:val="24"/>
          <w:szCs w:val="24"/>
        </w:rPr>
        <w:t xml:space="preserve"> la premura con la que se hay que realizar el proceso.</w:t>
      </w:r>
    </w:p>
    <w:p w:rsidR="00537002" w:rsidRPr="00F330E7" w:rsidRDefault="00537002" w:rsidP="00537002">
      <w:pPr>
        <w:spacing w:line="240" w:lineRule="auto"/>
        <w:jc w:val="both"/>
        <w:rPr>
          <w:rFonts w:ascii="Arial" w:hAnsi="Arial" w:cs="Arial"/>
          <w:sz w:val="24"/>
          <w:szCs w:val="24"/>
        </w:rPr>
      </w:pPr>
      <w:r w:rsidRPr="00F330E7">
        <w:rPr>
          <w:rFonts w:ascii="Arial" w:hAnsi="Arial" w:cs="Arial"/>
          <w:sz w:val="24"/>
          <w:szCs w:val="24"/>
        </w:rPr>
        <w:t>En 2011 la movilidad de estudiantes de licenciatura fue a países latinoamericanos, España y Canadá; en 2012 a países latinoamericanos, Francia y España; en 2013 a países latinoamericanos, España, Francia, Alemania y Canadá; en 2014 a países latinoamericanos, España, Alemania, Eslovenia, Italia; en 2015 a países latinoamericanos, España, Alemania, Austria y Francia: en 2016 a países latinoamericanos, España, Alemania, Dinamarca, Italia y Eslovenia; en 2017 a países latinoamericanos, España y Francia.</w:t>
      </w:r>
    </w:p>
    <w:p w:rsidR="00537002" w:rsidRDefault="00537002" w:rsidP="00537002">
      <w:pPr>
        <w:spacing w:line="240" w:lineRule="auto"/>
        <w:jc w:val="both"/>
        <w:rPr>
          <w:rFonts w:ascii="Arial" w:hAnsi="Arial" w:cs="Arial"/>
          <w:sz w:val="24"/>
          <w:szCs w:val="24"/>
        </w:rPr>
      </w:pPr>
      <w:r>
        <w:rPr>
          <w:rFonts w:ascii="Arial" w:hAnsi="Arial" w:cs="Arial"/>
          <w:sz w:val="24"/>
          <w:szCs w:val="24"/>
        </w:rPr>
        <w:t xml:space="preserve">Los estudiantes de posgrado optaron por los siguientes Programas de Movilidad </w:t>
      </w:r>
      <w:r w:rsidRPr="00F330E7">
        <w:rPr>
          <w:rFonts w:ascii="Arial" w:hAnsi="Arial" w:cs="Arial"/>
          <w:sz w:val="24"/>
          <w:szCs w:val="24"/>
        </w:rPr>
        <w:t>(Figura 9).</w:t>
      </w:r>
    </w:p>
    <w:p w:rsidR="00537002" w:rsidRPr="00B14B5F" w:rsidRDefault="00537002" w:rsidP="00537002">
      <w:pPr>
        <w:spacing w:line="240" w:lineRule="auto"/>
        <w:jc w:val="center"/>
        <w:rPr>
          <w:rFonts w:ascii="Arial" w:hAnsi="Arial" w:cs="Arial"/>
          <w:sz w:val="24"/>
          <w:szCs w:val="24"/>
        </w:rPr>
      </w:pPr>
      <w:r>
        <w:rPr>
          <w:noProof/>
          <w:lang w:val="en-US"/>
        </w:rPr>
        <w:drawing>
          <wp:inline distT="0" distB="0" distL="0" distR="0" wp14:anchorId="1719D986" wp14:editId="55BA9D87">
            <wp:extent cx="4680000" cy="2359500"/>
            <wp:effectExtent l="0" t="0" r="6350" b="317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4680000" cy="2359500"/>
                    </a:xfrm>
                    <a:prstGeom prst="rect">
                      <a:avLst/>
                    </a:prstGeom>
                    <a:noFill/>
                    <a:ln>
                      <a:noFill/>
                    </a:ln>
                  </pic:spPr>
                </pic:pic>
              </a:graphicData>
            </a:graphic>
          </wp:inline>
        </w:drawing>
      </w:r>
    </w:p>
    <w:p w:rsidR="00537002" w:rsidRPr="00D71C8E" w:rsidRDefault="00537002" w:rsidP="00537002">
      <w:pPr>
        <w:spacing w:line="240" w:lineRule="auto"/>
        <w:jc w:val="center"/>
        <w:rPr>
          <w:rFonts w:ascii="Times New Roman" w:hAnsi="Times New Roman" w:cs="Times New Roman"/>
        </w:rPr>
      </w:pPr>
      <w:r w:rsidRPr="00F330E7">
        <w:rPr>
          <w:rFonts w:ascii="Arial" w:hAnsi="Arial" w:cs="Arial"/>
          <w:sz w:val="20"/>
          <w:szCs w:val="20"/>
        </w:rPr>
        <w:t xml:space="preserve">Figura </w:t>
      </w:r>
      <w:r>
        <w:rPr>
          <w:rFonts w:ascii="Arial" w:hAnsi="Arial" w:cs="Arial"/>
          <w:sz w:val="20"/>
          <w:szCs w:val="20"/>
        </w:rPr>
        <w:t>9</w:t>
      </w:r>
      <w:r w:rsidRPr="00F330E7">
        <w:rPr>
          <w:rFonts w:ascii="Arial" w:hAnsi="Arial" w:cs="Arial"/>
          <w:sz w:val="20"/>
          <w:szCs w:val="20"/>
        </w:rPr>
        <w:t>. Número de estudiantes de posgrado que optan por los diferentes Programas de Movilidad</w:t>
      </w:r>
      <w:r w:rsidRPr="00D71C8E">
        <w:rPr>
          <w:rFonts w:ascii="Times New Roman" w:hAnsi="Times New Roman" w:cs="Times New Roman"/>
        </w:rPr>
        <w:t>.</w:t>
      </w:r>
    </w:p>
    <w:p w:rsidR="00537002" w:rsidRDefault="00537002" w:rsidP="00537002">
      <w:pPr>
        <w:spacing w:line="240" w:lineRule="auto"/>
        <w:jc w:val="both"/>
        <w:rPr>
          <w:rFonts w:ascii="Arial" w:hAnsi="Arial" w:cs="Arial"/>
          <w:sz w:val="24"/>
          <w:szCs w:val="24"/>
        </w:rPr>
      </w:pPr>
      <w:r w:rsidRPr="0056601B">
        <w:rPr>
          <w:rFonts w:ascii="Arial" w:hAnsi="Arial" w:cs="Arial"/>
          <w:sz w:val="24"/>
          <w:szCs w:val="24"/>
        </w:rPr>
        <w:t>En 2011 la movilidad de estudiantes de posgrado fue a Argentina, España y Estados Unidos de Norteamérica</w:t>
      </w:r>
      <w:r>
        <w:rPr>
          <w:rFonts w:ascii="Arial" w:hAnsi="Arial" w:cs="Arial"/>
          <w:sz w:val="24"/>
          <w:szCs w:val="24"/>
        </w:rPr>
        <w:t>;</w:t>
      </w:r>
      <w:r w:rsidRPr="0056601B">
        <w:rPr>
          <w:rFonts w:ascii="Arial" w:hAnsi="Arial" w:cs="Arial"/>
          <w:sz w:val="24"/>
          <w:szCs w:val="24"/>
        </w:rPr>
        <w:t xml:space="preserve"> en 2012 a España, Brasil, Chile y Francia; 2013 a Noruega, Chile y Argentina; 2014 a Dinamarca, Cuba, Alemania; 2015 a Costa Rica y Alemania; 2016 a Estados Unidos, España, Bélgica, Dinamarca y Alemania; 2017 a Bélgica, España y Francia.</w:t>
      </w:r>
      <w:r>
        <w:rPr>
          <w:rFonts w:ascii="Arial" w:hAnsi="Arial" w:cs="Arial"/>
          <w:sz w:val="24"/>
          <w:szCs w:val="24"/>
        </w:rPr>
        <w:t xml:space="preserve"> </w:t>
      </w:r>
    </w:p>
    <w:p w:rsidR="00537002" w:rsidRDefault="00537002" w:rsidP="00537002">
      <w:pPr>
        <w:spacing w:line="240" w:lineRule="auto"/>
        <w:jc w:val="both"/>
        <w:rPr>
          <w:rFonts w:ascii="Arial" w:hAnsi="Arial" w:cs="Arial"/>
          <w:sz w:val="24"/>
          <w:szCs w:val="24"/>
        </w:rPr>
      </w:pPr>
      <w:r w:rsidRPr="0056601B">
        <w:rPr>
          <w:rFonts w:ascii="Arial" w:hAnsi="Arial" w:cs="Arial"/>
          <w:sz w:val="24"/>
          <w:szCs w:val="24"/>
        </w:rPr>
        <w:t>Según la Organización para la Cooperación y el Desarrollo Económicos (OCDE) en 2016, solamente 1% de los mexicanos de entre 25-64 años tienen una maestría, mientras qu</w:t>
      </w:r>
      <w:r>
        <w:rPr>
          <w:rFonts w:ascii="Arial" w:hAnsi="Arial" w:cs="Arial"/>
          <w:sz w:val="24"/>
          <w:szCs w:val="24"/>
        </w:rPr>
        <w:t xml:space="preserve">e menos del 1% tiene doctorado </w:t>
      </w:r>
      <w:r>
        <w:rPr>
          <w:rFonts w:ascii="Arial" w:hAnsi="Arial" w:cs="Arial"/>
          <w:sz w:val="24"/>
          <w:szCs w:val="24"/>
          <w:vertAlign w:val="superscript"/>
        </w:rPr>
        <w:t>[15]</w:t>
      </w:r>
      <w:r w:rsidRPr="0056601B">
        <w:rPr>
          <w:rFonts w:ascii="Arial" w:hAnsi="Arial" w:cs="Arial"/>
          <w:sz w:val="24"/>
          <w:szCs w:val="24"/>
        </w:rPr>
        <w:t>. Lo que se ve reflejado en el pequeño número de estudiantes de posgrado que optan por la movilidad educativa en la Institución.</w:t>
      </w:r>
    </w:p>
    <w:p w:rsidR="00537002" w:rsidRDefault="00537002" w:rsidP="00537002">
      <w:pPr>
        <w:spacing w:line="240" w:lineRule="auto"/>
        <w:jc w:val="both"/>
        <w:rPr>
          <w:rFonts w:ascii="Arial" w:hAnsi="Arial" w:cs="Arial"/>
          <w:sz w:val="24"/>
          <w:szCs w:val="24"/>
        </w:rPr>
      </w:pPr>
      <w:r>
        <w:rPr>
          <w:rFonts w:ascii="Arial" w:hAnsi="Arial" w:cs="Arial"/>
          <w:sz w:val="24"/>
          <w:szCs w:val="24"/>
        </w:rPr>
        <w:t>En la figura 10, se muestra la movilidad estudiantil a países latinoamericanos, países de la Unión Europea y Nórdicos, para cuantificar las investigaciones y proyectos conjuntos que tiene la UAM con otras IES.</w:t>
      </w:r>
    </w:p>
    <w:p w:rsidR="00537002" w:rsidRDefault="00537002" w:rsidP="00537002">
      <w:pPr>
        <w:spacing w:line="240" w:lineRule="auto"/>
        <w:jc w:val="both"/>
        <w:rPr>
          <w:rFonts w:ascii="Arial" w:hAnsi="Arial" w:cs="Arial"/>
          <w:sz w:val="24"/>
          <w:szCs w:val="24"/>
        </w:rPr>
      </w:pPr>
    </w:p>
    <w:p w:rsidR="00537002" w:rsidRDefault="00537002" w:rsidP="00537002">
      <w:pPr>
        <w:spacing w:line="240" w:lineRule="auto"/>
        <w:jc w:val="both"/>
        <w:rPr>
          <w:rFonts w:ascii="Arial" w:hAnsi="Arial" w:cs="Arial"/>
          <w:sz w:val="24"/>
          <w:szCs w:val="24"/>
        </w:rPr>
      </w:pPr>
      <w:r w:rsidRPr="006B101D">
        <w:rPr>
          <w:rFonts w:ascii="Arial" w:hAnsi="Arial" w:cs="Arial"/>
          <w:noProof/>
          <w:sz w:val="24"/>
          <w:szCs w:val="24"/>
          <w:lang w:val="en-US"/>
        </w:rPr>
        <w:drawing>
          <wp:inline distT="0" distB="0" distL="0" distR="0" wp14:anchorId="733A388E" wp14:editId="1B988ABC">
            <wp:extent cx="5759450" cy="3599656"/>
            <wp:effectExtent l="0" t="0" r="0" b="1270"/>
            <wp:docPr id="106" name="Imagen 106" descr="E:\articulos COMCAPLA\Untitled-Projec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ticulos COMCAPLA\Untitled-Project (1).jpg"/>
                    <pic:cNvPicPr>
                      <a:picLocks noChangeAspect="1" noChangeArrowheads="1"/>
                    </pic:cNvPicPr>
                  </pic:nvPicPr>
                  <pic:blipFill>
                    <a:blip r:embed="rId1295">
                      <a:extLst>
                        <a:ext uri="{28A0092B-C50C-407E-A947-70E740481C1C}">
                          <a14:useLocalDpi xmlns:a14="http://schemas.microsoft.com/office/drawing/2010/main" val="0"/>
                        </a:ext>
                      </a:extLst>
                    </a:blip>
                    <a:srcRect/>
                    <a:stretch>
                      <a:fillRect/>
                    </a:stretch>
                  </pic:blipFill>
                  <pic:spPr bwMode="auto">
                    <a:xfrm>
                      <a:off x="0" y="0"/>
                      <a:ext cx="5759450" cy="3599656"/>
                    </a:xfrm>
                    <a:prstGeom prst="rect">
                      <a:avLst/>
                    </a:prstGeom>
                    <a:noFill/>
                    <a:ln>
                      <a:noFill/>
                    </a:ln>
                  </pic:spPr>
                </pic:pic>
              </a:graphicData>
            </a:graphic>
          </wp:inline>
        </w:drawing>
      </w:r>
    </w:p>
    <w:p w:rsidR="00537002" w:rsidRDefault="00537002" w:rsidP="00537002">
      <w:pPr>
        <w:spacing w:line="240" w:lineRule="auto"/>
        <w:jc w:val="center"/>
        <w:rPr>
          <w:rFonts w:ascii="Arial" w:hAnsi="Arial" w:cs="Arial"/>
          <w:sz w:val="20"/>
          <w:szCs w:val="20"/>
        </w:rPr>
      </w:pPr>
      <w:r w:rsidRPr="00F330E7">
        <w:rPr>
          <w:rFonts w:ascii="Arial" w:hAnsi="Arial" w:cs="Arial"/>
          <w:sz w:val="20"/>
          <w:szCs w:val="20"/>
        </w:rPr>
        <w:t xml:space="preserve">Figura </w:t>
      </w:r>
      <w:r>
        <w:rPr>
          <w:rFonts w:ascii="Arial" w:hAnsi="Arial" w:cs="Arial"/>
          <w:sz w:val="20"/>
          <w:szCs w:val="20"/>
        </w:rPr>
        <w:t>10</w:t>
      </w:r>
      <w:r w:rsidRPr="00F330E7">
        <w:rPr>
          <w:rFonts w:ascii="Arial" w:hAnsi="Arial" w:cs="Arial"/>
          <w:sz w:val="20"/>
          <w:szCs w:val="20"/>
        </w:rPr>
        <w:t>.</w:t>
      </w:r>
      <w:r>
        <w:rPr>
          <w:rFonts w:ascii="Arial" w:hAnsi="Arial" w:cs="Arial"/>
          <w:sz w:val="20"/>
          <w:szCs w:val="20"/>
        </w:rPr>
        <w:t xml:space="preserve"> Mapa de movilidad estudiantil en la Universidad Autónoma Metropolitana</w:t>
      </w:r>
    </w:p>
    <w:p w:rsidR="00537002" w:rsidRDefault="00537002" w:rsidP="00537002">
      <w:pPr>
        <w:spacing w:line="240" w:lineRule="auto"/>
        <w:jc w:val="center"/>
        <w:rPr>
          <w:rFonts w:ascii="Arial" w:hAnsi="Arial" w:cs="Arial"/>
          <w:sz w:val="24"/>
          <w:szCs w:val="24"/>
        </w:rPr>
      </w:pPr>
    </w:p>
    <w:p w:rsidR="00537002" w:rsidRPr="0056601B" w:rsidRDefault="00537002" w:rsidP="00537002">
      <w:pPr>
        <w:spacing w:line="240" w:lineRule="auto"/>
        <w:jc w:val="both"/>
        <w:rPr>
          <w:rFonts w:ascii="Arial" w:hAnsi="Arial" w:cs="Arial"/>
          <w:sz w:val="24"/>
          <w:szCs w:val="24"/>
        </w:rPr>
      </w:pPr>
      <w:r>
        <w:rPr>
          <w:rFonts w:ascii="Arial" w:hAnsi="Arial" w:cs="Arial"/>
          <w:sz w:val="24"/>
          <w:szCs w:val="24"/>
        </w:rPr>
        <w:t xml:space="preserve">En este mapa se muestra en color amarillo los países angloparlantes; rojo los hispanoparlantes; morado los francoparlantes; naranja los germanoparlantes; café los italoparlantes; azul lenguas nórdicas. </w:t>
      </w:r>
    </w:p>
    <w:p w:rsidR="00537002" w:rsidRPr="0056601B" w:rsidRDefault="00537002" w:rsidP="00537002">
      <w:pPr>
        <w:spacing w:line="240" w:lineRule="auto"/>
        <w:jc w:val="both"/>
        <w:rPr>
          <w:rFonts w:ascii="Arial" w:hAnsi="Arial" w:cs="Arial"/>
          <w:sz w:val="24"/>
          <w:szCs w:val="24"/>
        </w:rPr>
      </w:pPr>
      <w:r w:rsidRPr="0056601B">
        <w:rPr>
          <w:rFonts w:ascii="Arial" w:hAnsi="Arial" w:cs="Arial"/>
          <w:sz w:val="24"/>
          <w:szCs w:val="24"/>
        </w:rPr>
        <w:t xml:space="preserve">Con la finalidad de establecer cómo impacta esta experiencia en los estudiantes que optaron por el Programa de Movilidad, se </w:t>
      </w:r>
      <w:r>
        <w:rPr>
          <w:rFonts w:ascii="Arial" w:hAnsi="Arial" w:cs="Arial"/>
          <w:sz w:val="24"/>
          <w:szCs w:val="24"/>
        </w:rPr>
        <w:t>realizaron entrevistas. Desde el punto de vista de</w:t>
      </w:r>
      <w:r w:rsidRPr="0056601B">
        <w:rPr>
          <w:rFonts w:ascii="Arial" w:hAnsi="Arial" w:cs="Arial"/>
          <w:sz w:val="24"/>
          <w:szCs w:val="24"/>
        </w:rPr>
        <w:t xml:space="preserve"> los estudiantes</w:t>
      </w:r>
      <w:r>
        <w:rPr>
          <w:rFonts w:ascii="Arial" w:hAnsi="Arial" w:cs="Arial"/>
          <w:sz w:val="24"/>
          <w:szCs w:val="24"/>
        </w:rPr>
        <w:t>, aquellos</w:t>
      </w:r>
      <w:r w:rsidRPr="0056601B">
        <w:rPr>
          <w:rFonts w:ascii="Arial" w:hAnsi="Arial" w:cs="Arial"/>
          <w:sz w:val="24"/>
          <w:szCs w:val="24"/>
        </w:rPr>
        <w:t xml:space="preserve"> que optan por </w:t>
      </w:r>
      <w:r>
        <w:rPr>
          <w:rFonts w:ascii="Arial" w:hAnsi="Arial" w:cs="Arial"/>
          <w:sz w:val="24"/>
          <w:szCs w:val="24"/>
        </w:rPr>
        <w:t>la movilidad</w:t>
      </w:r>
      <w:r w:rsidRPr="0056601B">
        <w:rPr>
          <w:rFonts w:ascii="Arial" w:hAnsi="Arial" w:cs="Arial"/>
          <w:sz w:val="24"/>
          <w:szCs w:val="24"/>
        </w:rPr>
        <w:t xml:space="preserve"> poseen confianza en sí mismos y un deseo de superación</w:t>
      </w:r>
      <w:r>
        <w:rPr>
          <w:rFonts w:ascii="Arial" w:hAnsi="Arial" w:cs="Arial"/>
          <w:sz w:val="24"/>
          <w:szCs w:val="24"/>
        </w:rPr>
        <w:t>. Para</w:t>
      </w:r>
      <w:r w:rsidRPr="0056601B">
        <w:rPr>
          <w:rFonts w:ascii="Arial" w:hAnsi="Arial" w:cs="Arial"/>
          <w:sz w:val="24"/>
          <w:szCs w:val="24"/>
        </w:rPr>
        <w:t xml:space="preserve"> lograr un nivel de vida superior a partir de mejores perspectivas de trabajo.</w:t>
      </w:r>
    </w:p>
    <w:p w:rsidR="00537002" w:rsidRDefault="00537002" w:rsidP="00537002">
      <w:pPr>
        <w:spacing w:line="240" w:lineRule="auto"/>
        <w:jc w:val="both"/>
        <w:rPr>
          <w:rFonts w:ascii="Arial" w:hAnsi="Arial" w:cs="Arial"/>
          <w:sz w:val="24"/>
          <w:szCs w:val="24"/>
        </w:rPr>
      </w:pPr>
      <w:r w:rsidRPr="000E2F69">
        <w:rPr>
          <w:rFonts w:ascii="Arial" w:hAnsi="Arial" w:cs="Arial"/>
          <w:sz w:val="24"/>
          <w:szCs w:val="24"/>
        </w:rPr>
        <w:t>Esta experiencia influye en la formación integral del individuo, a) en el aspecto académico, al responsabilizarse de su propia formación, adaptándose a diversos ambientes educativos con diferentes procesos de enseñanza-aprendizaje que implica tanto el autoaprendizaje como el desarrollo de diversas habilidades (comunicación oral y escrita, trabajo en equipo, socialización, comprensión, etc.) y b) en el aspecto personal, al hacerse cargo de sí mismo, adaptándose a diferentes entornos culturales y sociales, haciendo uso de sus propias capacidades y de un autoconocimiento que le permite explotar sus fortale</w:t>
      </w:r>
      <w:r>
        <w:rPr>
          <w:rFonts w:ascii="Arial" w:hAnsi="Arial" w:cs="Arial"/>
          <w:sz w:val="24"/>
          <w:szCs w:val="24"/>
        </w:rPr>
        <w:t>zas y subsanar sus debilidades.</w:t>
      </w:r>
    </w:p>
    <w:p w:rsidR="00537002" w:rsidRPr="000E2F69" w:rsidRDefault="00537002" w:rsidP="00537002">
      <w:pPr>
        <w:spacing w:line="240" w:lineRule="auto"/>
        <w:jc w:val="both"/>
        <w:rPr>
          <w:rFonts w:ascii="Arial" w:hAnsi="Arial" w:cs="Arial"/>
          <w:sz w:val="24"/>
          <w:szCs w:val="24"/>
        </w:rPr>
      </w:pPr>
      <w:r>
        <w:rPr>
          <w:rFonts w:ascii="Arial" w:hAnsi="Arial" w:cs="Arial"/>
          <w:sz w:val="24"/>
          <w:szCs w:val="24"/>
        </w:rPr>
        <w:t>Resumiendo</w:t>
      </w:r>
      <w:r w:rsidRPr="000E2F69">
        <w:rPr>
          <w:rFonts w:ascii="Arial" w:hAnsi="Arial" w:cs="Arial"/>
          <w:sz w:val="24"/>
          <w:szCs w:val="24"/>
        </w:rPr>
        <w:t xml:space="preserve"> lo expresado por los estudiantes, esta experiencia de movilidad les permite:</w:t>
      </w:r>
    </w:p>
    <w:p w:rsidR="00537002" w:rsidRPr="000E2F69" w:rsidRDefault="00537002" w:rsidP="001D2A3D">
      <w:pPr>
        <w:pStyle w:val="Prrafodelista"/>
        <w:numPr>
          <w:ilvl w:val="0"/>
          <w:numId w:val="63"/>
        </w:numPr>
        <w:spacing w:after="160" w:line="240" w:lineRule="auto"/>
        <w:jc w:val="both"/>
        <w:rPr>
          <w:rFonts w:ascii="Arial" w:hAnsi="Arial" w:cs="Arial"/>
          <w:sz w:val="24"/>
          <w:szCs w:val="24"/>
        </w:rPr>
      </w:pPr>
      <w:r w:rsidRPr="000E2F69">
        <w:rPr>
          <w:rFonts w:ascii="Arial" w:hAnsi="Arial" w:cs="Arial"/>
          <w:sz w:val="24"/>
          <w:szCs w:val="24"/>
        </w:rPr>
        <w:t xml:space="preserve">Decidir el rumbo que toma su vida y afrontar las diversas situaciones que se le presentan. </w:t>
      </w:r>
    </w:p>
    <w:p w:rsidR="00537002" w:rsidRPr="000E2F69" w:rsidRDefault="00537002" w:rsidP="001D2A3D">
      <w:pPr>
        <w:pStyle w:val="Prrafodelista"/>
        <w:numPr>
          <w:ilvl w:val="0"/>
          <w:numId w:val="63"/>
        </w:numPr>
        <w:spacing w:after="160" w:line="240" w:lineRule="auto"/>
        <w:jc w:val="both"/>
        <w:rPr>
          <w:rFonts w:ascii="Arial" w:hAnsi="Arial" w:cs="Arial"/>
          <w:sz w:val="24"/>
          <w:szCs w:val="24"/>
        </w:rPr>
      </w:pPr>
      <w:r w:rsidRPr="000E2F69">
        <w:rPr>
          <w:rFonts w:ascii="Arial" w:hAnsi="Arial" w:cs="Arial"/>
          <w:sz w:val="24"/>
          <w:szCs w:val="24"/>
        </w:rPr>
        <w:t xml:space="preserve">Reforzar el autoconocimiento personal, repercutiendo esto en su autoestima, seguridad e independencia. </w:t>
      </w:r>
    </w:p>
    <w:p w:rsidR="00537002" w:rsidRPr="000E2F69" w:rsidRDefault="00537002" w:rsidP="001D2A3D">
      <w:pPr>
        <w:pStyle w:val="Prrafodelista"/>
        <w:numPr>
          <w:ilvl w:val="0"/>
          <w:numId w:val="63"/>
        </w:numPr>
        <w:spacing w:after="160" w:line="240" w:lineRule="auto"/>
        <w:jc w:val="both"/>
        <w:rPr>
          <w:rFonts w:ascii="Arial" w:hAnsi="Arial" w:cs="Arial"/>
          <w:sz w:val="24"/>
          <w:szCs w:val="24"/>
        </w:rPr>
      </w:pPr>
      <w:r w:rsidRPr="000E2F69">
        <w:rPr>
          <w:rFonts w:ascii="Arial" w:hAnsi="Arial" w:cs="Arial"/>
          <w:sz w:val="24"/>
          <w:szCs w:val="24"/>
        </w:rPr>
        <w:t xml:space="preserve">Adquirir una madurez e identidad propia, a partir del conocimiento de sus fortalezas y debilidades logrando con ello ser mejores personas. </w:t>
      </w:r>
    </w:p>
    <w:p w:rsidR="00537002" w:rsidRPr="000E2F69" w:rsidRDefault="00537002" w:rsidP="001D2A3D">
      <w:pPr>
        <w:pStyle w:val="Prrafodelista"/>
        <w:numPr>
          <w:ilvl w:val="0"/>
          <w:numId w:val="63"/>
        </w:numPr>
        <w:spacing w:after="160" w:line="240" w:lineRule="auto"/>
        <w:jc w:val="both"/>
        <w:rPr>
          <w:rFonts w:ascii="Arial" w:hAnsi="Arial" w:cs="Arial"/>
          <w:sz w:val="24"/>
          <w:szCs w:val="24"/>
        </w:rPr>
      </w:pPr>
      <w:r w:rsidRPr="000E2F69">
        <w:rPr>
          <w:rFonts w:ascii="Arial" w:hAnsi="Arial" w:cs="Arial"/>
          <w:sz w:val="24"/>
          <w:szCs w:val="24"/>
        </w:rPr>
        <w:t xml:space="preserve">Adaptarse a un entorno social con otra forma de pensamiento, a partir del establecimiento de relaciones de respeto y tolerancia. </w:t>
      </w:r>
    </w:p>
    <w:p w:rsidR="00537002" w:rsidRPr="000E2F69" w:rsidRDefault="00537002" w:rsidP="001D2A3D">
      <w:pPr>
        <w:pStyle w:val="Prrafodelista"/>
        <w:numPr>
          <w:ilvl w:val="0"/>
          <w:numId w:val="63"/>
        </w:numPr>
        <w:spacing w:after="160" w:line="240" w:lineRule="auto"/>
        <w:jc w:val="both"/>
        <w:rPr>
          <w:rFonts w:ascii="Arial" w:hAnsi="Arial" w:cs="Arial"/>
          <w:sz w:val="24"/>
          <w:szCs w:val="24"/>
        </w:rPr>
      </w:pPr>
      <w:r w:rsidRPr="000E2F69">
        <w:rPr>
          <w:rFonts w:ascii="Arial" w:hAnsi="Arial" w:cs="Arial"/>
          <w:sz w:val="24"/>
          <w:szCs w:val="24"/>
        </w:rPr>
        <w:t>Reforzar su formación profesional, al experimentar otro sistema de enseñanza, otros profesores, poniendo en práctica la cooperación y el trabajo en equipo.</w:t>
      </w:r>
    </w:p>
    <w:p w:rsidR="00537002" w:rsidRDefault="00537002" w:rsidP="001D2A3D">
      <w:pPr>
        <w:pStyle w:val="Prrafodelista"/>
        <w:numPr>
          <w:ilvl w:val="0"/>
          <w:numId w:val="63"/>
        </w:numPr>
        <w:spacing w:after="160" w:line="240" w:lineRule="auto"/>
        <w:jc w:val="both"/>
        <w:rPr>
          <w:rFonts w:ascii="Arial" w:hAnsi="Arial" w:cs="Arial"/>
          <w:sz w:val="24"/>
          <w:szCs w:val="24"/>
        </w:rPr>
      </w:pPr>
      <w:r w:rsidRPr="000E2F69">
        <w:rPr>
          <w:rFonts w:ascii="Arial" w:hAnsi="Arial" w:cs="Arial"/>
          <w:sz w:val="24"/>
          <w:szCs w:val="24"/>
        </w:rPr>
        <w:t>Ampliar la visión que tienen del mundo, al conocer la cultura de otro país.</w:t>
      </w:r>
    </w:p>
    <w:p w:rsidR="00537002" w:rsidRPr="00CD2BEF" w:rsidRDefault="00537002" w:rsidP="00537002">
      <w:pPr>
        <w:pStyle w:val="Prrafodelista"/>
        <w:spacing w:line="240" w:lineRule="auto"/>
        <w:jc w:val="both"/>
        <w:rPr>
          <w:rFonts w:ascii="Arial" w:hAnsi="Arial" w:cs="Arial"/>
          <w:sz w:val="24"/>
          <w:szCs w:val="24"/>
        </w:rPr>
      </w:pPr>
    </w:p>
    <w:p w:rsidR="00537002" w:rsidRPr="000E2F69" w:rsidRDefault="00537002" w:rsidP="001D2A3D">
      <w:pPr>
        <w:pStyle w:val="1Titulo"/>
        <w:numPr>
          <w:ilvl w:val="0"/>
          <w:numId w:val="64"/>
        </w:numPr>
      </w:pPr>
      <w:bookmarkStart w:id="404" w:name="_Toc50031448"/>
      <w:r w:rsidRPr="000E2F69">
        <w:t>Conclusiones</w:t>
      </w:r>
      <w:bookmarkEnd w:id="404"/>
    </w:p>
    <w:p w:rsidR="00537002" w:rsidRPr="000E2F69" w:rsidRDefault="00537002" w:rsidP="00537002">
      <w:pPr>
        <w:spacing w:line="240" w:lineRule="auto"/>
        <w:jc w:val="both"/>
        <w:rPr>
          <w:rFonts w:ascii="Arial" w:hAnsi="Arial" w:cs="Arial"/>
          <w:sz w:val="24"/>
          <w:szCs w:val="24"/>
        </w:rPr>
      </w:pPr>
      <w:r w:rsidRPr="000E2F69">
        <w:rPr>
          <w:rFonts w:ascii="Arial" w:hAnsi="Arial" w:cs="Arial"/>
          <w:sz w:val="24"/>
          <w:szCs w:val="24"/>
        </w:rPr>
        <w:t xml:space="preserve">El Programa de Movilidad Estudiantil para la División de Ciencias Básicas e Ingeniería se incrementó con el paso del tiempo, fortalecido con un mayor número de estudiantes a nivel de licenciatura. La mayoría de los estudiantes optan por irse de movilidad a países latinoamericanos al no dominar otro idioma. Los estudiantes que dominan algún otro idioma optan por irse de movilidad a países de la Unión Europea. </w:t>
      </w:r>
    </w:p>
    <w:p w:rsidR="00537002" w:rsidRPr="000E2F69" w:rsidRDefault="00537002" w:rsidP="00537002">
      <w:pPr>
        <w:spacing w:line="240" w:lineRule="auto"/>
        <w:jc w:val="both"/>
        <w:rPr>
          <w:rFonts w:ascii="Arial" w:hAnsi="Arial" w:cs="Arial"/>
          <w:sz w:val="24"/>
          <w:szCs w:val="24"/>
        </w:rPr>
      </w:pPr>
      <w:r w:rsidRPr="000E2F69">
        <w:rPr>
          <w:rFonts w:ascii="Arial" w:hAnsi="Arial" w:cs="Arial"/>
          <w:sz w:val="24"/>
          <w:szCs w:val="24"/>
        </w:rPr>
        <w:t>En el caso de los estudiantes de posgrado, eligen para su movilidad países de la Unión Europea, Países Nórdicos y Estados Unidos de Norteamérica. Su cantidad varía poco año con año, pero abren la posibilidad de cooperación e investigación conjunta con otras Instituciones de Educación Superior y Centros de Investigación.</w:t>
      </w:r>
    </w:p>
    <w:p w:rsidR="00537002" w:rsidRPr="000E2F69" w:rsidRDefault="00537002" w:rsidP="00537002">
      <w:pPr>
        <w:spacing w:line="240" w:lineRule="auto"/>
        <w:jc w:val="both"/>
        <w:rPr>
          <w:rFonts w:ascii="Arial" w:hAnsi="Arial" w:cs="Arial"/>
          <w:sz w:val="24"/>
          <w:szCs w:val="24"/>
        </w:rPr>
      </w:pPr>
      <w:r w:rsidRPr="000E2F69">
        <w:rPr>
          <w:rFonts w:ascii="Arial" w:hAnsi="Arial" w:cs="Arial"/>
          <w:sz w:val="24"/>
          <w:szCs w:val="24"/>
        </w:rPr>
        <w:t>Hay un notable aumento en la movilidad que podría explicarse por el incremento de los estudiantes de nuevo ingreso a la educación superior (32%) que eligieron áreas de estudio relacionadas con la Ciencia y la Tecnología, la Ingeniería y las Matemáticas con miras a acceder a mejores niveles de vida.</w:t>
      </w:r>
      <w:r>
        <w:rPr>
          <w:rFonts w:ascii="Arial" w:hAnsi="Arial" w:cs="Arial"/>
          <w:sz w:val="24"/>
          <w:szCs w:val="24"/>
        </w:rPr>
        <w:t xml:space="preserve"> </w:t>
      </w:r>
      <w:r w:rsidRPr="000E2F69">
        <w:rPr>
          <w:rFonts w:ascii="Arial" w:hAnsi="Arial" w:cs="Arial"/>
          <w:sz w:val="24"/>
          <w:szCs w:val="24"/>
        </w:rPr>
        <w:t>La movilidad educativa puede elevarse aún más, si se aumenta el gasto público en Educación Pública. Porque según la Organización para la Cooperación y el Desarrollo Económicos (OCDE) en 2017 el gasto del país por estudiante era de 3,703 dólares, de los más bajos en comparación con el promedio de sus países miembros con un gasto de 10,759 dólares.</w:t>
      </w:r>
    </w:p>
    <w:p w:rsidR="00537002" w:rsidRPr="000E2F69" w:rsidRDefault="00537002" w:rsidP="00537002">
      <w:pPr>
        <w:spacing w:line="240" w:lineRule="auto"/>
        <w:jc w:val="both"/>
        <w:rPr>
          <w:rFonts w:ascii="Arial" w:hAnsi="Arial" w:cs="Arial"/>
          <w:sz w:val="24"/>
          <w:szCs w:val="24"/>
        </w:rPr>
      </w:pPr>
      <w:r w:rsidRPr="000E2F69">
        <w:rPr>
          <w:rFonts w:ascii="Arial" w:hAnsi="Arial" w:cs="Arial"/>
          <w:sz w:val="24"/>
          <w:szCs w:val="24"/>
        </w:rPr>
        <w:t>La movilidad educativa y académica en la División de Ciencias Básicas e Ingeniería, representa la posibilidad de desarrollar investigación de mayor envergadura dentro del ámbito científico al establecer redes con proyectos conjuntos.</w:t>
      </w:r>
    </w:p>
    <w:p w:rsidR="00537002" w:rsidRPr="000E2F69" w:rsidRDefault="00537002" w:rsidP="00537002">
      <w:pPr>
        <w:spacing w:line="240" w:lineRule="auto"/>
        <w:jc w:val="both"/>
        <w:rPr>
          <w:rFonts w:ascii="Arial" w:hAnsi="Arial" w:cs="Arial"/>
          <w:sz w:val="24"/>
          <w:szCs w:val="24"/>
        </w:rPr>
      </w:pPr>
      <w:r w:rsidRPr="000E2F69">
        <w:rPr>
          <w:rFonts w:ascii="Arial" w:hAnsi="Arial" w:cs="Arial"/>
          <w:sz w:val="24"/>
          <w:szCs w:val="24"/>
        </w:rPr>
        <w:t>La movilidad además de proporcionar al estudiante el vivir la vida universitaria en otro país, le permite tener una experiencia única al enfrentar los retos y desarrollar sus habilidades y capacidades. Los estudiantes que realizan el intercambio conocen y aprenden otras culturas. Lo que les permite crecer como resultado de una experiencia gratificante y enriquecedora tanto en su vida personal como profesional. Además, les proporciona la oportunidad de valorar lo que tienen en su país y a vislumbrar la potencialidad tanto de su nación como el de otros países.</w:t>
      </w:r>
    </w:p>
    <w:p w:rsidR="00537002" w:rsidRPr="00B63BAD" w:rsidRDefault="00537002" w:rsidP="00537002">
      <w:pPr>
        <w:spacing w:line="240" w:lineRule="auto"/>
        <w:jc w:val="both"/>
        <w:rPr>
          <w:rFonts w:ascii="Arial" w:hAnsi="Arial" w:cs="Arial"/>
          <w:sz w:val="24"/>
          <w:szCs w:val="24"/>
        </w:rPr>
      </w:pPr>
      <w:r w:rsidRPr="000E2F69">
        <w:rPr>
          <w:rFonts w:ascii="Arial" w:hAnsi="Arial" w:cs="Arial"/>
          <w:sz w:val="24"/>
          <w:szCs w:val="24"/>
        </w:rPr>
        <w:t>Por la importancia de los Programas de Movilidad, la UAM ha incluido esta modalidad en algunos de sus Planes de Estudio para incentivar al estudiante a realizar estas estancias académicas.</w:t>
      </w:r>
    </w:p>
    <w:p w:rsidR="00537002" w:rsidRDefault="00537002" w:rsidP="00537002">
      <w:pPr>
        <w:spacing w:line="240" w:lineRule="auto"/>
        <w:jc w:val="both"/>
        <w:rPr>
          <w:rFonts w:ascii="Arial" w:hAnsi="Arial" w:cs="Arial"/>
          <w:b/>
          <w:sz w:val="24"/>
          <w:szCs w:val="24"/>
        </w:rPr>
      </w:pPr>
    </w:p>
    <w:p w:rsidR="00537002" w:rsidRPr="000E2F69" w:rsidRDefault="00537002" w:rsidP="001D2A3D">
      <w:pPr>
        <w:pStyle w:val="1Titulo"/>
        <w:numPr>
          <w:ilvl w:val="0"/>
          <w:numId w:val="64"/>
        </w:numPr>
      </w:pPr>
      <w:bookmarkStart w:id="405" w:name="_Toc50031449"/>
      <w:r w:rsidRPr="000E2F69">
        <w:t>Referencias Bibliográficas</w:t>
      </w:r>
      <w:bookmarkEnd w:id="405"/>
    </w:p>
    <w:p w:rsidR="00537002" w:rsidRDefault="00537002" w:rsidP="00537002">
      <w:pPr>
        <w:spacing w:line="240" w:lineRule="auto"/>
        <w:jc w:val="both"/>
        <w:rPr>
          <w:rFonts w:ascii="Arial" w:hAnsi="Arial" w:cs="Arial"/>
          <w:sz w:val="24"/>
          <w:szCs w:val="24"/>
        </w:rPr>
      </w:pPr>
      <w:r>
        <w:rPr>
          <w:rFonts w:ascii="Arial" w:hAnsi="Arial" w:cs="Arial"/>
          <w:sz w:val="24"/>
          <w:szCs w:val="24"/>
        </w:rPr>
        <w:t>[1]</w:t>
      </w:r>
      <w:r w:rsidRPr="000E2F69">
        <w:rPr>
          <w:rFonts w:ascii="Arial" w:hAnsi="Arial" w:cs="Arial"/>
          <w:sz w:val="24"/>
          <w:szCs w:val="24"/>
          <w:lang w:val="es-MX"/>
        </w:rPr>
        <w:t xml:space="preserve"> </w:t>
      </w:r>
      <w:bookmarkStart w:id="406" w:name="_Hlk1031980"/>
      <w:r w:rsidRPr="000E2F69">
        <w:rPr>
          <w:rFonts w:ascii="Arial" w:hAnsi="Arial" w:cs="Arial"/>
          <w:sz w:val="24"/>
          <w:szCs w:val="24"/>
        </w:rPr>
        <w:t>Conferencia Mundial sobre la Educación Superior</w:t>
      </w:r>
      <w:r w:rsidRPr="000E2F69">
        <w:rPr>
          <w:rFonts w:ascii="Arial" w:hAnsi="Arial" w:cs="Arial"/>
          <w:i/>
          <w:sz w:val="24"/>
          <w:szCs w:val="24"/>
        </w:rPr>
        <w:t xml:space="preserve"> </w:t>
      </w:r>
      <w:r w:rsidRPr="000E2F69">
        <w:rPr>
          <w:rFonts w:ascii="Arial" w:hAnsi="Arial" w:cs="Arial"/>
          <w:sz w:val="24"/>
          <w:szCs w:val="24"/>
        </w:rPr>
        <w:t xml:space="preserve">(1998), </w:t>
      </w:r>
      <w:r w:rsidRPr="000E2F69">
        <w:rPr>
          <w:rFonts w:ascii="Arial" w:hAnsi="Arial" w:cs="Arial"/>
          <w:i/>
          <w:sz w:val="24"/>
          <w:szCs w:val="24"/>
        </w:rPr>
        <w:t>Declaración Mundial sobre la Educación Superior en el siglo XXI: visión y acción y Marco de acción prioritaria para el cambio y el desarrollo de la educación superior</w:t>
      </w:r>
      <w:r w:rsidRPr="000E2F69">
        <w:rPr>
          <w:rFonts w:ascii="Arial" w:hAnsi="Arial" w:cs="Arial"/>
          <w:sz w:val="24"/>
          <w:szCs w:val="24"/>
        </w:rPr>
        <w:t>, París, UNESCO</w:t>
      </w:r>
      <w:bookmarkEnd w:id="406"/>
      <w:r w:rsidRPr="000E2F69">
        <w:rPr>
          <w:rFonts w:ascii="Arial" w:hAnsi="Arial" w:cs="Arial"/>
          <w:sz w:val="24"/>
          <w:szCs w:val="24"/>
        </w:rPr>
        <w:t xml:space="preserve">, en: </w:t>
      </w:r>
      <w:hyperlink r:id="rId1296" w:history="1">
        <w:r w:rsidRPr="000E2F69">
          <w:rPr>
            <w:rStyle w:val="Hipervnculo"/>
            <w:rFonts w:ascii="Arial" w:hAnsi="Arial" w:cs="Arial"/>
            <w:sz w:val="24"/>
            <w:szCs w:val="24"/>
          </w:rPr>
          <w:t>http://www.unesco.org/education/educprog/wche/declaration_spa.html</w:t>
        </w:r>
      </w:hyperlink>
      <w:r w:rsidRPr="000E2F69">
        <w:rPr>
          <w:rFonts w:ascii="Arial" w:hAnsi="Arial" w:cs="Arial"/>
          <w:sz w:val="24"/>
          <w:szCs w:val="24"/>
        </w:rPr>
        <w:t>.</w:t>
      </w:r>
    </w:p>
    <w:p w:rsidR="00537002" w:rsidRPr="000E2F69" w:rsidRDefault="00537002" w:rsidP="00537002">
      <w:pPr>
        <w:spacing w:line="240" w:lineRule="auto"/>
        <w:jc w:val="both"/>
        <w:rPr>
          <w:rFonts w:ascii="Arial" w:hAnsi="Arial" w:cs="Arial"/>
          <w:sz w:val="24"/>
          <w:szCs w:val="24"/>
        </w:rPr>
      </w:pPr>
      <w:r>
        <w:rPr>
          <w:rFonts w:ascii="Arial" w:hAnsi="Arial" w:cs="Arial"/>
          <w:sz w:val="24"/>
          <w:szCs w:val="24"/>
        </w:rPr>
        <w:t xml:space="preserve">[2] ANUIES (1999). </w:t>
      </w:r>
      <w:r>
        <w:rPr>
          <w:rFonts w:ascii="Arial" w:hAnsi="Arial" w:cs="Arial"/>
          <w:i/>
          <w:sz w:val="24"/>
          <w:szCs w:val="24"/>
        </w:rPr>
        <w:t xml:space="preserve">La educación superior en el siglo XXI. Líneas estratégicas de desarrollo. Una propuesta de la ANUIES, </w:t>
      </w:r>
      <w:r>
        <w:rPr>
          <w:rFonts w:ascii="Arial" w:hAnsi="Arial" w:cs="Arial"/>
          <w:sz w:val="24"/>
          <w:szCs w:val="24"/>
        </w:rPr>
        <w:t xml:space="preserve">en </w:t>
      </w:r>
      <w:r w:rsidRPr="007467A6">
        <w:rPr>
          <w:rFonts w:ascii="Arial" w:hAnsi="Arial" w:cs="Arial"/>
          <w:color w:val="0563C1"/>
          <w:sz w:val="24"/>
          <w:szCs w:val="24"/>
          <w:u w:val="single"/>
        </w:rPr>
        <w:t>publicaciones.anuies.mx/pdfs/revista/Revista113_S5A2ES/pdf</w:t>
      </w:r>
      <w:r>
        <w:rPr>
          <w:rFonts w:ascii="Arial" w:hAnsi="Arial" w:cs="Arial"/>
          <w:sz w:val="24"/>
          <w:szCs w:val="24"/>
        </w:rPr>
        <w:t xml:space="preserve"> </w:t>
      </w:r>
    </w:p>
    <w:p w:rsidR="00537002" w:rsidRDefault="00537002" w:rsidP="00537002">
      <w:pPr>
        <w:spacing w:line="240" w:lineRule="auto"/>
        <w:jc w:val="both"/>
        <w:rPr>
          <w:rFonts w:ascii="Arial" w:hAnsi="Arial" w:cs="Arial"/>
          <w:sz w:val="24"/>
          <w:szCs w:val="24"/>
        </w:rPr>
      </w:pPr>
      <w:r>
        <w:rPr>
          <w:rFonts w:ascii="Arial" w:hAnsi="Arial" w:cs="Arial"/>
          <w:sz w:val="24"/>
          <w:szCs w:val="24"/>
        </w:rPr>
        <w:t>[3]</w:t>
      </w:r>
      <w:r w:rsidRPr="000E2F69">
        <w:rPr>
          <w:rFonts w:ascii="Arial" w:hAnsi="Arial" w:cs="Arial"/>
          <w:sz w:val="24"/>
          <w:szCs w:val="24"/>
        </w:rPr>
        <w:t xml:space="preserve"> Malo, Salvador (2000), La educación superior en el siglo XXI. Líneas estratégicas de desarrollo. Una propuesta de la ANUIES</w:t>
      </w:r>
      <w:r w:rsidRPr="000E2F69">
        <w:rPr>
          <w:rFonts w:ascii="Arial" w:hAnsi="Arial" w:cs="Arial"/>
          <w:i/>
          <w:sz w:val="24"/>
          <w:szCs w:val="24"/>
        </w:rPr>
        <w:t>, Revista de la Educación Superior</w:t>
      </w:r>
      <w:r w:rsidRPr="000E2F69">
        <w:rPr>
          <w:rFonts w:ascii="Arial" w:hAnsi="Arial" w:cs="Arial"/>
          <w:sz w:val="24"/>
          <w:szCs w:val="24"/>
        </w:rPr>
        <w:t>, vol. 29, núm. 113.</w:t>
      </w:r>
    </w:p>
    <w:p w:rsidR="00537002" w:rsidRPr="000E2F69" w:rsidRDefault="00537002" w:rsidP="00537002">
      <w:pPr>
        <w:spacing w:line="240" w:lineRule="auto"/>
        <w:jc w:val="both"/>
        <w:rPr>
          <w:rFonts w:ascii="Arial" w:hAnsi="Arial" w:cs="Arial"/>
          <w:sz w:val="24"/>
          <w:szCs w:val="24"/>
        </w:rPr>
      </w:pPr>
      <w:r>
        <w:rPr>
          <w:rFonts w:ascii="Arial" w:hAnsi="Arial" w:cs="Arial"/>
          <w:sz w:val="24"/>
          <w:szCs w:val="24"/>
        </w:rPr>
        <w:t>[</w:t>
      </w:r>
      <w:r w:rsidRPr="000E2F69">
        <w:rPr>
          <w:rFonts w:ascii="Arial" w:hAnsi="Arial" w:cs="Arial"/>
          <w:sz w:val="24"/>
          <w:szCs w:val="24"/>
        </w:rPr>
        <w:t>4</w:t>
      </w:r>
      <w:r>
        <w:rPr>
          <w:rFonts w:ascii="Arial" w:hAnsi="Arial" w:cs="Arial"/>
          <w:sz w:val="24"/>
          <w:szCs w:val="24"/>
        </w:rPr>
        <w:t>]</w:t>
      </w:r>
      <w:r w:rsidRPr="000E2F69">
        <w:rPr>
          <w:rFonts w:ascii="Arial" w:hAnsi="Arial" w:cs="Arial"/>
          <w:sz w:val="24"/>
          <w:szCs w:val="24"/>
        </w:rPr>
        <w:t xml:space="preserve"> UNESCO (2005), </w:t>
      </w:r>
      <w:r w:rsidRPr="000E2F69">
        <w:rPr>
          <w:rFonts w:ascii="Arial" w:hAnsi="Arial" w:cs="Arial"/>
          <w:i/>
          <w:sz w:val="24"/>
          <w:szCs w:val="24"/>
        </w:rPr>
        <w:t>Hacia las sociedades del conocimiento.</w:t>
      </w:r>
      <w:r w:rsidRPr="000E2F69">
        <w:rPr>
          <w:rFonts w:ascii="Arial" w:hAnsi="Arial" w:cs="Arial"/>
          <w:sz w:val="24"/>
          <w:szCs w:val="24"/>
        </w:rPr>
        <w:t xml:space="preserve"> UNESCO. </w:t>
      </w:r>
    </w:p>
    <w:p w:rsidR="00537002" w:rsidRPr="000E2F69" w:rsidRDefault="00537002" w:rsidP="00537002">
      <w:pPr>
        <w:spacing w:line="240" w:lineRule="auto"/>
        <w:jc w:val="both"/>
        <w:rPr>
          <w:rFonts w:ascii="Arial" w:hAnsi="Arial" w:cs="Arial"/>
          <w:sz w:val="24"/>
          <w:szCs w:val="24"/>
        </w:rPr>
      </w:pPr>
      <w:r>
        <w:rPr>
          <w:rFonts w:ascii="Arial" w:hAnsi="Arial" w:cs="Arial"/>
          <w:sz w:val="24"/>
          <w:szCs w:val="24"/>
        </w:rPr>
        <w:t>[5]</w:t>
      </w:r>
      <w:r w:rsidRPr="000E2F69">
        <w:rPr>
          <w:rFonts w:ascii="Arial" w:hAnsi="Arial" w:cs="Arial"/>
          <w:sz w:val="24"/>
          <w:szCs w:val="24"/>
        </w:rPr>
        <w:t xml:space="preserve"> UAM- Colegio Académico (2007), </w:t>
      </w:r>
      <w:r w:rsidRPr="000E2F69">
        <w:rPr>
          <w:rFonts w:ascii="Arial" w:hAnsi="Arial" w:cs="Arial"/>
          <w:i/>
          <w:sz w:val="24"/>
          <w:szCs w:val="24"/>
        </w:rPr>
        <w:t xml:space="preserve">Reforma al Reglamento de Estudios Superiores, así como adiciones a las Políticas Generales, </w:t>
      </w:r>
      <w:r w:rsidRPr="000E2F69">
        <w:rPr>
          <w:rFonts w:ascii="Arial" w:hAnsi="Arial" w:cs="Arial"/>
          <w:sz w:val="24"/>
          <w:szCs w:val="24"/>
        </w:rPr>
        <w:t>Sesión 296, México, UAM.</w:t>
      </w:r>
    </w:p>
    <w:p w:rsidR="00537002" w:rsidRPr="009A3B88" w:rsidRDefault="00537002" w:rsidP="00537002">
      <w:pPr>
        <w:spacing w:line="240" w:lineRule="auto"/>
        <w:jc w:val="both"/>
        <w:rPr>
          <w:rStyle w:val="Hipervnculo"/>
          <w:rFonts w:ascii="Arial" w:hAnsi="Arial" w:cs="Arial"/>
          <w:color w:val="4F81BD" w:themeColor="accent1"/>
          <w:sz w:val="24"/>
          <w:szCs w:val="24"/>
          <w:lang w:val="es-MX"/>
        </w:rPr>
      </w:pPr>
      <w:r>
        <w:rPr>
          <w:rFonts w:ascii="Arial" w:hAnsi="Arial" w:cs="Arial"/>
          <w:sz w:val="24"/>
          <w:szCs w:val="24"/>
        </w:rPr>
        <w:t>[6]</w:t>
      </w:r>
      <w:r w:rsidRPr="000E2F69">
        <w:rPr>
          <w:rFonts w:ascii="Arial" w:hAnsi="Arial" w:cs="Arial"/>
          <w:sz w:val="24"/>
          <w:szCs w:val="24"/>
        </w:rPr>
        <w:t xml:space="preserve"> </w:t>
      </w:r>
      <w:r w:rsidRPr="000E2F69">
        <w:rPr>
          <w:rFonts w:ascii="Arial" w:hAnsi="Arial" w:cs="Arial"/>
          <w:sz w:val="24"/>
          <w:szCs w:val="24"/>
          <w:lang w:val="es-MX"/>
        </w:rPr>
        <w:t xml:space="preserve">Unión de Universidades de América Latina y el Caribe (2006), “Programa académico de Movilidad Educativa-Unión de Universidades de América Latina y el Caribe”, en: </w:t>
      </w:r>
      <w:hyperlink r:id="rId1297" w:history="1">
        <w:r w:rsidRPr="000E2F69">
          <w:rPr>
            <w:rStyle w:val="Hipervnculo"/>
            <w:rFonts w:ascii="Arial" w:hAnsi="Arial" w:cs="Arial"/>
            <w:sz w:val="24"/>
            <w:szCs w:val="24"/>
            <w:lang w:val="es-MX"/>
          </w:rPr>
          <w:t>http://pame.udual.org/acerca.html</w:t>
        </w:r>
      </w:hyperlink>
    </w:p>
    <w:p w:rsidR="00537002" w:rsidRDefault="00537002" w:rsidP="00537002">
      <w:pPr>
        <w:tabs>
          <w:tab w:val="left" w:pos="7815"/>
        </w:tabs>
        <w:spacing w:line="240" w:lineRule="auto"/>
        <w:jc w:val="both"/>
        <w:rPr>
          <w:rStyle w:val="Hipervnculo"/>
          <w:rFonts w:ascii="Arial" w:hAnsi="Arial" w:cs="Arial"/>
          <w:sz w:val="24"/>
          <w:szCs w:val="24"/>
          <w:lang w:val="es-MX"/>
        </w:rPr>
      </w:pPr>
      <w:r>
        <w:rPr>
          <w:rFonts w:ascii="Arial" w:hAnsi="Arial" w:cs="Arial"/>
          <w:sz w:val="24"/>
          <w:szCs w:val="24"/>
        </w:rPr>
        <w:t>[7]</w:t>
      </w:r>
      <w:r>
        <w:rPr>
          <w:rFonts w:ascii="Arial" w:hAnsi="Arial" w:cs="Arial"/>
          <w:sz w:val="24"/>
          <w:szCs w:val="24"/>
          <w:lang w:val="es-MX"/>
        </w:rPr>
        <w:t xml:space="preserve"> </w:t>
      </w:r>
      <w:r w:rsidRPr="000E2F69">
        <w:rPr>
          <w:rFonts w:ascii="Arial" w:hAnsi="Arial" w:cs="Arial"/>
          <w:sz w:val="24"/>
          <w:szCs w:val="24"/>
          <w:lang w:val="es-MX"/>
        </w:rPr>
        <w:t xml:space="preserve">Centro Interuniversitario de Desarrollo (1971), “Programa de Intercambio Universitario”, en: </w:t>
      </w:r>
      <w:hyperlink r:id="rId1298" w:history="1">
        <w:r w:rsidRPr="000E2F69">
          <w:rPr>
            <w:rStyle w:val="Hipervnculo"/>
            <w:rFonts w:ascii="Arial" w:hAnsi="Arial" w:cs="Arial"/>
            <w:sz w:val="24"/>
            <w:szCs w:val="24"/>
            <w:lang w:val="es-MX"/>
          </w:rPr>
          <w:t>http://www.cinda.cl/programa de movilidad/</w:t>
        </w:r>
      </w:hyperlink>
    </w:p>
    <w:p w:rsidR="00537002" w:rsidRDefault="00537002" w:rsidP="00537002">
      <w:pPr>
        <w:tabs>
          <w:tab w:val="left" w:pos="7815"/>
        </w:tabs>
        <w:spacing w:line="240" w:lineRule="auto"/>
        <w:jc w:val="both"/>
        <w:rPr>
          <w:rStyle w:val="Hipervnculo"/>
          <w:rFonts w:ascii="Arial" w:hAnsi="Arial" w:cs="Arial"/>
          <w:sz w:val="24"/>
          <w:szCs w:val="24"/>
          <w:lang w:val="es-MX"/>
        </w:rPr>
      </w:pPr>
      <w:r w:rsidRPr="00D62E33">
        <w:rPr>
          <w:rStyle w:val="Hipervnculo"/>
          <w:rFonts w:ascii="Arial" w:hAnsi="Arial" w:cs="Arial"/>
          <w:color w:val="auto"/>
          <w:sz w:val="24"/>
          <w:szCs w:val="24"/>
          <w:u w:val="none"/>
          <w:lang w:val="es-MX"/>
        </w:rPr>
        <w:t xml:space="preserve">[8] </w:t>
      </w:r>
      <w:r w:rsidRPr="000E2F69">
        <w:rPr>
          <w:rFonts w:ascii="Arial" w:hAnsi="Arial" w:cs="Arial"/>
          <w:sz w:val="24"/>
          <w:szCs w:val="24"/>
          <w:lang w:val="es-MX"/>
        </w:rPr>
        <w:t xml:space="preserve">ANUIES-CIN (2005), “Programa Jóvenes de Intercambio México-Argentina”. </w:t>
      </w:r>
      <w:r w:rsidRPr="000E2F69">
        <w:rPr>
          <w:rStyle w:val="Hipervnculo"/>
          <w:rFonts w:ascii="Arial" w:hAnsi="Arial" w:cs="Arial"/>
          <w:sz w:val="24"/>
          <w:szCs w:val="24"/>
          <w:lang w:val="es-MX"/>
        </w:rPr>
        <w:t>http:www.jima.anuies.mx</w:t>
      </w:r>
    </w:p>
    <w:p w:rsidR="00537002" w:rsidRPr="000E2F69" w:rsidRDefault="00537002" w:rsidP="00537002">
      <w:pPr>
        <w:spacing w:line="240" w:lineRule="auto"/>
        <w:jc w:val="both"/>
        <w:rPr>
          <w:rFonts w:ascii="Arial" w:hAnsi="Arial" w:cs="Arial"/>
          <w:sz w:val="24"/>
          <w:szCs w:val="24"/>
        </w:rPr>
      </w:pPr>
      <w:r w:rsidRPr="00417665">
        <w:rPr>
          <w:rStyle w:val="Hipervnculo"/>
          <w:rFonts w:ascii="Arial" w:hAnsi="Arial" w:cs="Arial"/>
          <w:color w:val="auto"/>
          <w:sz w:val="24"/>
          <w:szCs w:val="24"/>
          <w:u w:val="none"/>
          <w:lang w:val="es-MX"/>
        </w:rPr>
        <w:t>[9]</w:t>
      </w:r>
      <w:r w:rsidRPr="00417665">
        <w:rPr>
          <w:rFonts w:ascii="Arial" w:hAnsi="Arial" w:cs="Arial"/>
          <w:sz w:val="24"/>
          <w:szCs w:val="24"/>
        </w:rPr>
        <w:t xml:space="preserve"> </w:t>
      </w:r>
      <w:r w:rsidRPr="000E2F69">
        <w:rPr>
          <w:rFonts w:ascii="Arial" w:hAnsi="Arial" w:cs="Arial"/>
          <w:sz w:val="24"/>
          <w:szCs w:val="24"/>
        </w:rPr>
        <w:t xml:space="preserve">Espacio Común de Educación Superior (2004), “Programa de movilidad estudiantil nacional, en </w:t>
      </w:r>
      <w:r w:rsidRPr="000E2F69">
        <w:rPr>
          <w:rStyle w:val="Hipervnculo"/>
          <w:rFonts w:ascii="Arial" w:hAnsi="Arial" w:cs="Arial"/>
          <w:sz w:val="24"/>
          <w:szCs w:val="24"/>
        </w:rPr>
        <w:t>http://www.ecoes.unam.mx</w:t>
      </w:r>
    </w:p>
    <w:p w:rsidR="00537002" w:rsidRPr="000E2F69" w:rsidRDefault="00537002" w:rsidP="00537002">
      <w:pPr>
        <w:spacing w:line="240" w:lineRule="auto"/>
        <w:jc w:val="both"/>
        <w:rPr>
          <w:rFonts w:ascii="Arial" w:hAnsi="Arial" w:cs="Arial"/>
          <w:sz w:val="24"/>
          <w:szCs w:val="24"/>
        </w:rPr>
      </w:pPr>
      <w:r>
        <w:rPr>
          <w:rFonts w:ascii="Arial" w:hAnsi="Arial" w:cs="Arial"/>
          <w:sz w:val="24"/>
          <w:szCs w:val="24"/>
          <w:lang w:val="es-MX"/>
        </w:rPr>
        <w:t xml:space="preserve">[10] </w:t>
      </w:r>
      <w:r w:rsidRPr="000E2F69">
        <w:rPr>
          <w:rFonts w:ascii="Arial" w:hAnsi="Arial" w:cs="Arial"/>
          <w:sz w:val="24"/>
          <w:szCs w:val="24"/>
        </w:rPr>
        <w:t xml:space="preserve">ANUIES (1950), Programa de Movilidad Nacional, en </w:t>
      </w:r>
    </w:p>
    <w:p w:rsidR="00537002" w:rsidRPr="000E2F69" w:rsidRDefault="001345E4" w:rsidP="00537002">
      <w:pPr>
        <w:spacing w:line="240" w:lineRule="auto"/>
        <w:jc w:val="both"/>
        <w:rPr>
          <w:rFonts w:ascii="Arial" w:hAnsi="Arial" w:cs="Arial"/>
          <w:sz w:val="24"/>
          <w:szCs w:val="24"/>
        </w:rPr>
      </w:pPr>
      <w:hyperlink r:id="rId1299" w:history="1">
        <w:r w:rsidR="00537002" w:rsidRPr="000E2F69">
          <w:rPr>
            <w:rStyle w:val="Hipervnculo"/>
            <w:rFonts w:ascii="Arial" w:hAnsi="Arial" w:cs="Arial"/>
            <w:sz w:val="24"/>
            <w:szCs w:val="24"/>
          </w:rPr>
          <w:t>http://www.anuies.mx/programas</w:t>
        </w:r>
      </w:hyperlink>
      <w:r w:rsidR="00537002" w:rsidRPr="000E2F69">
        <w:rPr>
          <w:rFonts w:ascii="Arial" w:hAnsi="Arial" w:cs="Arial"/>
          <w:sz w:val="24"/>
          <w:szCs w:val="24"/>
        </w:rPr>
        <w:t xml:space="preserve"> </w:t>
      </w:r>
    </w:p>
    <w:p w:rsidR="00537002" w:rsidRDefault="00537002" w:rsidP="00537002">
      <w:pPr>
        <w:spacing w:line="240" w:lineRule="auto"/>
        <w:jc w:val="both"/>
        <w:rPr>
          <w:rStyle w:val="Hipervnculo"/>
          <w:rFonts w:ascii="Arial" w:hAnsi="Arial" w:cs="Arial"/>
          <w:sz w:val="24"/>
          <w:szCs w:val="24"/>
        </w:rPr>
      </w:pPr>
      <w:r w:rsidRPr="002A648C">
        <w:rPr>
          <w:rFonts w:ascii="Arial" w:hAnsi="Arial" w:cs="Arial"/>
          <w:sz w:val="24"/>
          <w:szCs w:val="24"/>
          <w:lang w:val="es-MX"/>
        </w:rPr>
        <w:t>[11</w:t>
      </w:r>
      <w:r>
        <w:rPr>
          <w:rFonts w:ascii="Arial" w:hAnsi="Arial" w:cs="Arial"/>
          <w:sz w:val="24"/>
          <w:szCs w:val="24"/>
          <w:lang w:val="es-MX"/>
        </w:rPr>
        <w:t xml:space="preserve">] </w:t>
      </w:r>
      <w:r w:rsidRPr="000E2F69">
        <w:rPr>
          <w:rFonts w:ascii="Arial" w:hAnsi="Arial" w:cs="Arial"/>
          <w:sz w:val="24"/>
          <w:szCs w:val="24"/>
        </w:rPr>
        <w:t xml:space="preserve">Conférence des Recteurs et des Principaux des Universités Du Québec (1963), “La movilité des étudiants”, en </w:t>
      </w:r>
      <w:hyperlink r:id="rId1300" w:history="1">
        <w:r w:rsidRPr="000E2F69">
          <w:rPr>
            <w:rStyle w:val="Hipervnculo"/>
            <w:rFonts w:ascii="Arial" w:hAnsi="Arial" w:cs="Arial"/>
            <w:sz w:val="24"/>
            <w:szCs w:val="24"/>
          </w:rPr>
          <w:t>http://es.april.international.com</w:t>
        </w:r>
      </w:hyperlink>
      <w:r w:rsidRPr="000E2F69">
        <w:rPr>
          <w:rStyle w:val="Hipervnculo"/>
          <w:rFonts w:ascii="Arial" w:hAnsi="Arial" w:cs="Arial"/>
          <w:sz w:val="24"/>
          <w:szCs w:val="24"/>
        </w:rPr>
        <w:t xml:space="preserve">, </w:t>
      </w:r>
      <w:hyperlink r:id="rId1301" w:history="1">
        <w:r w:rsidRPr="00187B73">
          <w:rPr>
            <w:rStyle w:val="Hipervnculo"/>
            <w:rFonts w:ascii="Arial" w:hAnsi="Arial" w:cs="Arial"/>
            <w:sz w:val="24"/>
            <w:szCs w:val="24"/>
          </w:rPr>
          <w:t>http://www.crepuq.qc.ca/</w:t>
        </w:r>
      </w:hyperlink>
    </w:p>
    <w:p w:rsidR="00537002" w:rsidRPr="00D153BA" w:rsidRDefault="00537002" w:rsidP="00537002">
      <w:pPr>
        <w:spacing w:line="240" w:lineRule="auto"/>
        <w:jc w:val="both"/>
        <w:rPr>
          <w:rFonts w:ascii="Arial" w:hAnsi="Arial" w:cs="Arial"/>
          <w:sz w:val="24"/>
          <w:szCs w:val="24"/>
        </w:rPr>
      </w:pPr>
      <w:r w:rsidRPr="00D153BA">
        <w:rPr>
          <w:rStyle w:val="Hipervnculo"/>
          <w:rFonts w:ascii="Arial" w:hAnsi="Arial" w:cs="Arial"/>
          <w:color w:val="auto"/>
          <w:sz w:val="24"/>
          <w:szCs w:val="24"/>
          <w:u w:val="none"/>
        </w:rPr>
        <w:t>[12</w:t>
      </w:r>
      <w:r>
        <w:rPr>
          <w:rStyle w:val="Hipervnculo"/>
          <w:rFonts w:ascii="Arial" w:hAnsi="Arial" w:cs="Arial"/>
          <w:color w:val="auto"/>
          <w:sz w:val="24"/>
          <w:szCs w:val="24"/>
          <w:u w:val="none"/>
        </w:rPr>
        <w:t xml:space="preserve">] </w:t>
      </w:r>
      <w:r w:rsidRPr="000E2F69">
        <w:rPr>
          <w:rFonts w:ascii="Arial" w:hAnsi="Arial" w:cs="Arial"/>
          <w:sz w:val="24"/>
          <w:szCs w:val="24"/>
        </w:rPr>
        <w:t xml:space="preserve">Alianza del Pacífico (2012), Programa de movilidad estudiantil y académica, en: </w:t>
      </w:r>
      <w:hyperlink r:id="rId1302" w:history="1">
        <w:r w:rsidRPr="000E2F69">
          <w:rPr>
            <w:rStyle w:val="Hipervnculo"/>
            <w:rFonts w:ascii="Arial" w:hAnsi="Arial" w:cs="Arial"/>
            <w:sz w:val="24"/>
            <w:szCs w:val="24"/>
          </w:rPr>
          <w:t>http://alianzapacifico.net/becas/</w:t>
        </w:r>
      </w:hyperlink>
    </w:p>
    <w:p w:rsidR="00537002" w:rsidRPr="000E2F69" w:rsidRDefault="00537002" w:rsidP="00537002">
      <w:pPr>
        <w:spacing w:line="240" w:lineRule="auto"/>
        <w:jc w:val="both"/>
        <w:rPr>
          <w:rFonts w:ascii="Arial" w:hAnsi="Arial" w:cs="Arial"/>
          <w:sz w:val="24"/>
          <w:szCs w:val="24"/>
        </w:rPr>
      </w:pPr>
      <w:r>
        <w:rPr>
          <w:rFonts w:ascii="Arial" w:hAnsi="Arial" w:cs="Arial"/>
          <w:sz w:val="24"/>
          <w:szCs w:val="24"/>
          <w:lang w:val="es-MX"/>
        </w:rPr>
        <w:t xml:space="preserve">[13] </w:t>
      </w:r>
      <w:r w:rsidRPr="000E2F69">
        <w:rPr>
          <w:rFonts w:ascii="Arial" w:hAnsi="Arial" w:cs="Arial"/>
          <w:sz w:val="24"/>
          <w:szCs w:val="24"/>
        </w:rPr>
        <w:t xml:space="preserve">Consorcio para la Colaboración de la Educación Superior en América del Norte (1994), programa de movilidad estudiantil, en </w:t>
      </w:r>
      <w:hyperlink r:id="rId1303" w:history="1">
        <w:r w:rsidRPr="000E2F69">
          <w:rPr>
            <w:rStyle w:val="Hipervnculo"/>
            <w:rFonts w:ascii="Arial" w:hAnsi="Arial" w:cs="Arial"/>
            <w:sz w:val="24"/>
            <w:szCs w:val="24"/>
          </w:rPr>
          <w:t>https://www.conahec.org/node/762</w:t>
        </w:r>
      </w:hyperlink>
    </w:p>
    <w:p w:rsidR="00537002" w:rsidRPr="00D153BA" w:rsidRDefault="00537002" w:rsidP="00537002">
      <w:pPr>
        <w:tabs>
          <w:tab w:val="left" w:pos="7815"/>
        </w:tabs>
        <w:spacing w:line="240" w:lineRule="auto"/>
        <w:jc w:val="both"/>
        <w:rPr>
          <w:rFonts w:ascii="Arial" w:hAnsi="Arial" w:cs="Arial"/>
          <w:sz w:val="24"/>
          <w:szCs w:val="24"/>
          <w:lang w:val="es-MX"/>
        </w:rPr>
      </w:pPr>
      <w:r>
        <w:rPr>
          <w:rFonts w:ascii="Arial" w:hAnsi="Arial" w:cs="Arial"/>
          <w:sz w:val="24"/>
          <w:szCs w:val="24"/>
        </w:rPr>
        <w:t>[14]</w:t>
      </w:r>
      <w:r w:rsidRPr="000E2F69">
        <w:rPr>
          <w:rFonts w:ascii="Arial" w:hAnsi="Arial" w:cs="Arial"/>
          <w:sz w:val="24"/>
          <w:szCs w:val="24"/>
        </w:rPr>
        <w:t xml:space="preserve">Movilidad Educativa en la UAM. Disponible en </w:t>
      </w:r>
      <w:hyperlink r:id="rId1304" w:history="1">
        <w:r w:rsidRPr="000E2F69">
          <w:rPr>
            <w:rStyle w:val="Hipervnculo"/>
            <w:rFonts w:ascii="Arial" w:hAnsi="Arial" w:cs="Arial"/>
            <w:sz w:val="24"/>
            <w:szCs w:val="24"/>
          </w:rPr>
          <w:t>http://www.becas.uam.mx/17/convocatoria.html</w:t>
        </w:r>
      </w:hyperlink>
    </w:p>
    <w:p w:rsidR="00537002" w:rsidRPr="00D153BA" w:rsidRDefault="00537002" w:rsidP="00537002">
      <w:pPr>
        <w:spacing w:line="240" w:lineRule="auto"/>
        <w:jc w:val="both"/>
        <w:rPr>
          <w:rFonts w:ascii="Arial" w:hAnsi="Arial" w:cs="Arial"/>
          <w:sz w:val="24"/>
          <w:szCs w:val="24"/>
        </w:rPr>
      </w:pPr>
      <w:r>
        <w:rPr>
          <w:rFonts w:ascii="Arial" w:hAnsi="Arial" w:cs="Arial"/>
          <w:sz w:val="24"/>
          <w:szCs w:val="24"/>
        </w:rPr>
        <w:t xml:space="preserve">[15] </w:t>
      </w:r>
      <w:r w:rsidRPr="000E2F69">
        <w:rPr>
          <w:rFonts w:ascii="Arial" w:hAnsi="Arial" w:cs="Arial"/>
          <w:sz w:val="24"/>
          <w:szCs w:val="24"/>
        </w:rPr>
        <w:t xml:space="preserve">Organización para la Cooperación y Desarrollo Económicos (OCDE) (2017), Panorama de la Educación, en </w:t>
      </w:r>
      <w:hyperlink r:id="rId1305" w:history="1">
        <w:r w:rsidRPr="000E2F69">
          <w:rPr>
            <w:rStyle w:val="Hipervnculo"/>
            <w:rFonts w:ascii="Arial" w:hAnsi="Arial" w:cs="Arial"/>
            <w:sz w:val="24"/>
            <w:szCs w:val="24"/>
          </w:rPr>
          <w:t>https://imco.org.mx/educacion/panorama-la-educacion-2017-via-ocde/</w:t>
        </w:r>
      </w:hyperlink>
    </w:p>
    <w:p w:rsidR="003F0296" w:rsidRPr="000B6037" w:rsidRDefault="003F0296" w:rsidP="0049551D"/>
    <w:p w:rsidR="003F0296" w:rsidRPr="007F2707" w:rsidRDefault="003F0296" w:rsidP="0049551D">
      <w:pPr>
        <w:rPr>
          <w:lang w:val="es-MX"/>
        </w:rPr>
      </w:pPr>
    </w:p>
    <w:p w:rsidR="00D31BFD" w:rsidRPr="00D31BFD" w:rsidRDefault="00D31BFD" w:rsidP="00D31BFD">
      <w:pPr>
        <w:pStyle w:val="1Titulo"/>
        <w:numPr>
          <w:ilvl w:val="0"/>
          <w:numId w:val="0"/>
        </w:numPr>
        <w:ind w:left="357"/>
        <w:jc w:val="center"/>
        <w:rPr>
          <w:sz w:val="28"/>
          <w:szCs w:val="28"/>
        </w:rPr>
      </w:pPr>
      <w:bookmarkStart w:id="407" w:name="_Toc50031450"/>
      <w:r w:rsidRPr="00D31BFD">
        <w:rPr>
          <w:sz w:val="28"/>
          <w:szCs w:val="28"/>
        </w:rPr>
        <w:t>Preconceptos y pensamiento abstracto en alumnos de primer ingreso a la Universidad</w:t>
      </w:r>
      <w:bookmarkEnd w:id="407"/>
    </w:p>
    <w:p w:rsidR="00D31BFD" w:rsidRDefault="00D31BFD" w:rsidP="00D31BFD">
      <w:pPr>
        <w:jc w:val="center"/>
        <w:rPr>
          <w:rFonts w:ascii="Arial" w:hAnsi="Arial" w:cs="Arial"/>
          <w:b/>
          <w:sz w:val="28"/>
          <w:szCs w:val="28"/>
        </w:rPr>
      </w:pPr>
    </w:p>
    <w:p w:rsidR="00D31BFD" w:rsidRPr="0089364E" w:rsidRDefault="00D31BFD" w:rsidP="00D31BFD">
      <w:pPr>
        <w:jc w:val="center"/>
        <w:rPr>
          <w:rFonts w:ascii="Arial" w:hAnsi="Arial" w:cs="Arial"/>
          <w:sz w:val="22"/>
          <w:szCs w:val="22"/>
          <w:vertAlign w:val="superscript"/>
        </w:rPr>
      </w:pPr>
      <w:r w:rsidRPr="0089364E">
        <w:rPr>
          <w:rFonts w:ascii="Arial" w:hAnsi="Arial" w:cs="Arial"/>
          <w:sz w:val="22"/>
          <w:szCs w:val="22"/>
        </w:rPr>
        <w:t>Bastién, M. G. M.</w:t>
      </w:r>
      <w:r w:rsidRPr="0089364E">
        <w:rPr>
          <w:rFonts w:ascii="Arial" w:hAnsi="Arial" w:cs="Arial"/>
          <w:sz w:val="22"/>
          <w:szCs w:val="22"/>
          <w:vertAlign w:val="superscript"/>
        </w:rPr>
        <w:t>1</w:t>
      </w:r>
      <w:r w:rsidRPr="0089364E">
        <w:rPr>
          <w:rFonts w:ascii="Arial" w:hAnsi="Arial" w:cs="Arial"/>
          <w:sz w:val="22"/>
          <w:szCs w:val="22"/>
        </w:rPr>
        <w:t>, Cruz, F.</w:t>
      </w:r>
      <w:r w:rsidRPr="0089364E">
        <w:rPr>
          <w:rFonts w:ascii="Arial" w:hAnsi="Arial" w:cs="Arial"/>
          <w:sz w:val="22"/>
          <w:szCs w:val="22"/>
          <w:vertAlign w:val="superscript"/>
        </w:rPr>
        <w:t>2</w:t>
      </w:r>
      <w:r w:rsidRPr="0089364E">
        <w:rPr>
          <w:rFonts w:ascii="Arial" w:hAnsi="Arial" w:cs="Arial"/>
          <w:sz w:val="22"/>
          <w:szCs w:val="22"/>
        </w:rPr>
        <w:t>, Pérez, R.A.R.</w:t>
      </w:r>
      <w:r w:rsidRPr="0089364E">
        <w:rPr>
          <w:rFonts w:ascii="Arial" w:hAnsi="Arial" w:cs="Arial"/>
          <w:sz w:val="22"/>
          <w:szCs w:val="22"/>
          <w:vertAlign w:val="superscript"/>
        </w:rPr>
        <w:t>3</w:t>
      </w:r>
    </w:p>
    <w:p w:rsidR="00D31BFD" w:rsidRPr="0089364E" w:rsidRDefault="00D31BFD" w:rsidP="00D31BFD">
      <w:pPr>
        <w:jc w:val="center"/>
        <w:rPr>
          <w:rFonts w:ascii="Arial" w:hAnsi="Arial" w:cs="Arial"/>
          <w:sz w:val="22"/>
          <w:szCs w:val="22"/>
        </w:rPr>
      </w:pPr>
      <w:r w:rsidRPr="0089364E">
        <w:rPr>
          <w:rFonts w:ascii="Arial" w:hAnsi="Arial" w:cs="Arial"/>
          <w:sz w:val="22"/>
          <w:szCs w:val="22"/>
        </w:rPr>
        <w:t>Universidad Autónoma Metropolitana Azcapotzalco</w:t>
      </w:r>
    </w:p>
    <w:p w:rsidR="00D31BFD" w:rsidRPr="0089364E" w:rsidRDefault="00D31BFD" w:rsidP="00D31BFD">
      <w:pPr>
        <w:jc w:val="center"/>
        <w:rPr>
          <w:rFonts w:ascii="Arial" w:hAnsi="Arial" w:cs="Arial"/>
          <w:sz w:val="22"/>
          <w:szCs w:val="22"/>
        </w:rPr>
      </w:pPr>
      <w:r w:rsidRPr="0089364E">
        <w:rPr>
          <w:rFonts w:ascii="Arial" w:hAnsi="Arial" w:cs="Arial"/>
          <w:sz w:val="22"/>
          <w:szCs w:val="22"/>
          <w:vertAlign w:val="superscript"/>
        </w:rPr>
        <w:t>1,2,3</w:t>
      </w:r>
      <w:r w:rsidRPr="0089364E">
        <w:rPr>
          <w:rFonts w:ascii="Arial" w:hAnsi="Arial" w:cs="Arial"/>
          <w:sz w:val="22"/>
          <w:szCs w:val="22"/>
        </w:rPr>
        <w:t xml:space="preserve"> mbastien, fcruz, pra  @azc.uam.mx</w:t>
      </w:r>
    </w:p>
    <w:p w:rsidR="00D31BFD" w:rsidRPr="0089364E" w:rsidRDefault="00D31BFD" w:rsidP="00D31BFD">
      <w:pPr>
        <w:rPr>
          <w:rFonts w:ascii="Arial" w:hAnsi="Arial" w:cs="Arial"/>
        </w:rPr>
      </w:pPr>
    </w:p>
    <w:p w:rsidR="00D31BFD" w:rsidRPr="0089364E" w:rsidRDefault="00D31BFD" w:rsidP="00D31BFD">
      <w:pPr>
        <w:rPr>
          <w:rFonts w:ascii="Arial" w:hAnsi="Arial" w:cs="Arial"/>
        </w:rPr>
      </w:pPr>
    </w:p>
    <w:p w:rsidR="00D31BFD" w:rsidRPr="0089364E" w:rsidRDefault="00791791" w:rsidP="00791791">
      <w:pPr>
        <w:pStyle w:val="1Titulo"/>
        <w:numPr>
          <w:ilvl w:val="0"/>
          <w:numId w:val="0"/>
        </w:numPr>
        <w:ind w:left="357"/>
      </w:pPr>
      <w:bookmarkStart w:id="408" w:name="_Toc50031451"/>
      <w:r>
        <w:t xml:space="preserve">1. </w:t>
      </w:r>
      <w:r w:rsidR="00D31BFD" w:rsidRPr="0089364E">
        <w:t>Resumen.</w:t>
      </w:r>
      <w:bookmarkEnd w:id="408"/>
      <w:r w:rsidR="00D31BFD" w:rsidRPr="0089364E">
        <w:t xml:space="preserve"> </w:t>
      </w:r>
    </w:p>
    <w:p w:rsidR="00D31BFD" w:rsidRPr="0089364E" w:rsidRDefault="00D31BFD" w:rsidP="00D31BFD">
      <w:pPr>
        <w:pStyle w:val="NormalWeb"/>
        <w:spacing w:before="0" w:beforeAutospacing="0" w:after="0" w:afterAutospacing="0"/>
        <w:jc w:val="both"/>
        <w:rPr>
          <w:rFonts w:ascii="Arial" w:hAnsi="Arial" w:cs="Arial"/>
          <w:lang w:eastAsia="es-MX"/>
        </w:rPr>
      </w:pPr>
      <w:r w:rsidRPr="0089364E">
        <w:rPr>
          <w:rFonts w:ascii="Arial" w:hAnsi="Arial" w:cs="Arial"/>
        </w:rPr>
        <w:t>Presentamos una revisión de los preco</w:t>
      </w:r>
      <w:r>
        <w:rPr>
          <w:rFonts w:ascii="Arial" w:hAnsi="Arial" w:cs="Arial"/>
        </w:rPr>
        <w:t>nceptos asociados a la fuerza</w:t>
      </w:r>
      <w:r w:rsidRPr="0089364E">
        <w:rPr>
          <w:rFonts w:ascii="Arial" w:hAnsi="Arial" w:cs="Arial"/>
        </w:rPr>
        <w:t xml:space="preserve"> gravitacional que estudiamos en 110 alumnos de las carreras de ingeniería, en particular los de la atracción terrestre. La metodología se basó en un test con comentarios escritos de las respuestas, llamado de doble entrada. Los resultados muestran que al igual que en secundaria y bachillerato el estudiante tiene varios preconceptos erróneos que le impiden una correcta comprensión de la ley de atracción gravitacional, a pesar de esto el énfasis de los docentes recae en la parte matemática dando por hecho una comprensión conceptual que no tienen los alumnos. </w:t>
      </w:r>
      <w:r w:rsidRPr="0089364E">
        <w:rPr>
          <w:rFonts w:ascii="Arial" w:hAnsi="Arial" w:cs="Arial"/>
          <w:lang w:eastAsia="es-MX"/>
        </w:rPr>
        <w:t>El análisis muestra que además de confirmar los preconceptos encontrados en otros estudios, alrededor del 10% de alumnos muestran un razonamiento que refleja un estadio de operaciones concretas -en la clasificación de Piaget- que no les permite realiza</w:t>
      </w:r>
      <w:r>
        <w:rPr>
          <w:rFonts w:ascii="Arial" w:hAnsi="Arial" w:cs="Arial"/>
          <w:lang w:eastAsia="es-MX"/>
        </w:rPr>
        <w:t xml:space="preserve">r razonamientos abstractos. Es importante reconocer </w:t>
      </w:r>
      <w:r w:rsidRPr="0089364E">
        <w:rPr>
          <w:rFonts w:ascii="Arial" w:hAnsi="Arial" w:cs="Arial"/>
          <w:lang w:eastAsia="es-MX"/>
        </w:rPr>
        <w:t>que en la Universidad se encuentren estudiantes en esta etapa del desarrollo cognitivo.  </w:t>
      </w:r>
    </w:p>
    <w:p w:rsidR="00D31BFD" w:rsidRPr="0089364E" w:rsidRDefault="00D31BFD" w:rsidP="00D31BFD">
      <w:pPr>
        <w:rPr>
          <w:rFonts w:ascii="Arial" w:eastAsia="Times New Roman" w:hAnsi="Arial" w:cs="Arial"/>
          <w:lang w:val="es-MX" w:eastAsia="es-MX"/>
        </w:rPr>
      </w:pPr>
    </w:p>
    <w:p w:rsidR="00D31BFD" w:rsidRPr="0089364E" w:rsidRDefault="00D31BFD" w:rsidP="00D31BFD">
      <w:pPr>
        <w:rPr>
          <w:rFonts w:ascii="Arial" w:eastAsia="Times New Roman" w:hAnsi="Arial" w:cs="Arial"/>
          <w:lang w:val="es-MX" w:eastAsia="es-MX"/>
        </w:rPr>
      </w:pPr>
      <w:r w:rsidRPr="0089364E">
        <w:rPr>
          <w:rFonts w:ascii="Arial" w:eastAsia="Times New Roman" w:hAnsi="Arial" w:cs="Arial"/>
          <w:b/>
          <w:bCs/>
          <w:lang w:val="es-MX" w:eastAsia="es-MX"/>
        </w:rPr>
        <w:t>Palabras clave</w:t>
      </w:r>
      <w:r w:rsidRPr="0089364E">
        <w:rPr>
          <w:rFonts w:ascii="Arial" w:eastAsia="Times New Roman" w:hAnsi="Arial" w:cs="Arial"/>
          <w:lang w:val="es-MX" w:eastAsia="es-MX"/>
        </w:rPr>
        <w:t>: Atracción gravitacional, error conceptual, pensamiento concreto. </w:t>
      </w:r>
    </w:p>
    <w:p w:rsidR="00D31BFD" w:rsidRPr="001B6C62" w:rsidRDefault="00D31BFD" w:rsidP="00D31BFD">
      <w:pPr>
        <w:rPr>
          <w:rFonts w:ascii="Arial" w:hAnsi="Arial" w:cs="Arial"/>
          <w:lang w:val="es-MX"/>
        </w:rPr>
      </w:pPr>
    </w:p>
    <w:p w:rsidR="00D31BFD" w:rsidRPr="001B6C62" w:rsidRDefault="00D31BFD" w:rsidP="00D31BFD">
      <w:pPr>
        <w:rPr>
          <w:rFonts w:ascii="Arial" w:hAnsi="Arial" w:cs="Arial"/>
          <w:lang w:val="es-MX"/>
        </w:rPr>
      </w:pPr>
    </w:p>
    <w:p w:rsidR="00D31BFD" w:rsidRDefault="00791791" w:rsidP="001D2A3D">
      <w:pPr>
        <w:pStyle w:val="1Titulo"/>
        <w:numPr>
          <w:ilvl w:val="0"/>
          <w:numId w:val="69"/>
        </w:numPr>
      </w:pPr>
      <w:bookmarkStart w:id="409" w:name="_Toc50031452"/>
      <w:r w:rsidRPr="0089364E">
        <w:t>Introducción</w:t>
      </w:r>
      <w:bookmarkEnd w:id="409"/>
    </w:p>
    <w:p w:rsidR="00D31BFD" w:rsidRPr="0089364E" w:rsidRDefault="00D31BFD" w:rsidP="00D31BFD">
      <w:pPr>
        <w:jc w:val="both"/>
        <w:rPr>
          <w:rFonts w:ascii="Arial" w:hAnsi="Arial" w:cs="Arial"/>
          <w:b/>
        </w:rPr>
      </w:pPr>
    </w:p>
    <w:p w:rsidR="00D31BFD" w:rsidRPr="0089364E" w:rsidRDefault="00D31BFD" w:rsidP="00D31BFD">
      <w:pPr>
        <w:ind w:firstLine="567"/>
        <w:jc w:val="both"/>
        <w:rPr>
          <w:rFonts w:ascii="Arial" w:hAnsi="Arial" w:cs="Arial"/>
        </w:rPr>
      </w:pPr>
      <w:r w:rsidRPr="0089364E">
        <w:rPr>
          <w:rFonts w:ascii="Arial" w:hAnsi="Arial" w:cs="Arial"/>
        </w:rPr>
        <w:t>En la población de alumnos de las 10 licenciaturas en ingeniería que se imparten en la Universidad Autónoma Metropolitana- Azcapotzalco se tienen un alto grado de deserción en los primeros trimestres y casi el 50% de la población se encuentra cursando alguno de los primeros 4 trimestres</w:t>
      </w:r>
      <w:r>
        <w:rPr>
          <w:rFonts w:ascii="Arial" w:hAnsi="Arial" w:cs="Arial"/>
        </w:rPr>
        <w:t xml:space="preserve"> de Ingeniería</w:t>
      </w:r>
      <w:r w:rsidRPr="0089364E">
        <w:rPr>
          <w:rFonts w:ascii="Arial" w:hAnsi="Arial" w:cs="Arial"/>
        </w:rPr>
        <w:t>. Los elevados índices de reprobación muestran</w:t>
      </w:r>
      <w:r>
        <w:rPr>
          <w:rFonts w:ascii="Arial" w:hAnsi="Arial" w:cs="Arial"/>
        </w:rPr>
        <w:t xml:space="preserve">, entre otras cosas, </w:t>
      </w:r>
      <w:r w:rsidRPr="0089364E">
        <w:rPr>
          <w:rFonts w:ascii="Arial" w:hAnsi="Arial" w:cs="Arial"/>
        </w:rPr>
        <w:t>que los alumnos no dominan los contenidos. Es necesario conocer lo que ocurre específicamente con nuestros alumnos de primer ingreso respecto al conocimiento de la atracción gravitacional para</w:t>
      </w:r>
      <w:r>
        <w:rPr>
          <w:rFonts w:ascii="Arial" w:hAnsi="Arial" w:cs="Arial"/>
        </w:rPr>
        <w:t xml:space="preserve"> tomar las medidas pertinentes, pues son conocimientos que se emplean constantemente en los cursos de física a lo largo de los primeros 4 trimestres.</w:t>
      </w:r>
    </w:p>
    <w:p w:rsidR="00D31BFD" w:rsidRPr="0089364E" w:rsidRDefault="00D31BFD" w:rsidP="00D31BFD">
      <w:pPr>
        <w:ind w:firstLine="567"/>
        <w:jc w:val="both"/>
        <w:rPr>
          <w:rFonts w:ascii="Arial" w:hAnsi="Arial" w:cs="Arial"/>
        </w:rPr>
      </w:pPr>
      <w:r w:rsidRPr="0089364E">
        <w:rPr>
          <w:rFonts w:ascii="Arial" w:hAnsi="Arial" w:cs="Arial"/>
        </w:rPr>
        <w:t>Una de las deficiencias observadas por varios docentes en el marco de las reuniones de profesores de física</w:t>
      </w:r>
      <w:r>
        <w:rPr>
          <w:rFonts w:ascii="Arial" w:hAnsi="Arial" w:cs="Arial"/>
        </w:rPr>
        <w:t>,</w:t>
      </w:r>
      <w:r w:rsidRPr="0089364E">
        <w:rPr>
          <w:rFonts w:ascii="Arial" w:hAnsi="Arial" w:cs="Arial"/>
        </w:rPr>
        <w:t xml:space="preserve"> es que los alumnos no realizan correctamente los diagramas de cuerpo libre (DCL), una falla común es la de que faltan fuerzas o se omite la fuerza gravitacional</w:t>
      </w:r>
      <w:r>
        <w:rPr>
          <w:rFonts w:ascii="Arial" w:hAnsi="Arial" w:cs="Arial"/>
        </w:rPr>
        <w:t xml:space="preserve"> lo que trae como consecuencia</w:t>
      </w:r>
      <w:r w:rsidRPr="0089364E">
        <w:rPr>
          <w:rFonts w:ascii="Arial" w:hAnsi="Arial" w:cs="Arial"/>
        </w:rPr>
        <w:t xml:space="preserve"> un</w:t>
      </w:r>
      <w:r>
        <w:rPr>
          <w:rFonts w:ascii="Arial" w:hAnsi="Arial" w:cs="Arial"/>
        </w:rPr>
        <w:t xml:space="preserve">a aplicación errónea </w:t>
      </w:r>
      <w:r w:rsidRPr="0089364E">
        <w:rPr>
          <w:rFonts w:ascii="Arial" w:hAnsi="Arial" w:cs="Arial"/>
        </w:rPr>
        <w:t>de la segunda ley de Newton. Son varios los autores que han estudiado la falta de comprensión y preconceptos asociados a la fuerza gravitacional (FG) de</w:t>
      </w:r>
      <w:r>
        <w:rPr>
          <w:rFonts w:ascii="Arial" w:hAnsi="Arial" w:cs="Arial"/>
        </w:rPr>
        <w:t>sde</w:t>
      </w:r>
      <w:r w:rsidRPr="0089364E">
        <w:rPr>
          <w:rFonts w:ascii="Arial" w:hAnsi="Arial" w:cs="Arial"/>
        </w:rPr>
        <w:t xml:space="preserve"> la primaria</w:t>
      </w:r>
      <w:r w:rsidRPr="00D2025A">
        <w:rPr>
          <w:rFonts w:ascii="Arial" w:hAnsi="Arial" w:cs="Arial"/>
          <w:vertAlign w:val="superscript"/>
        </w:rPr>
        <w:t xml:space="preserve"> [1,</w:t>
      </w:r>
      <w:r>
        <w:rPr>
          <w:rFonts w:ascii="Arial" w:hAnsi="Arial" w:cs="Arial"/>
          <w:vertAlign w:val="superscript"/>
        </w:rPr>
        <w:t xml:space="preserve"> </w:t>
      </w:r>
      <w:r w:rsidRPr="00D2025A">
        <w:rPr>
          <w:rFonts w:ascii="Arial" w:hAnsi="Arial" w:cs="Arial"/>
          <w:vertAlign w:val="superscript"/>
        </w:rPr>
        <w:t>2]</w:t>
      </w:r>
      <w:r w:rsidRPr="0089364E">
        <w:rPr>
          <w:rFonts w:ascii="Arial" w:hAnsi="Arial" w:cs="Arial"/>
        </w:rPr>
        <w:t xml:space="preserve"> al bachillerato</w:t>
      </w:r>
      <w:r w:rsidRPr="009C7BB3">
        <w:rPr>
          <w:rFonts w:ascii="Arial" w:hAnsi="Arial" w:cs="Arial"/>
          <w:vertAlign w:val="superscript"/>
        </w:rPr>
        <w:t xml:space="preserve"> [3,</w:t>
      </w:r>
      <w:r>
        <w:rPr>
          <w:rFonts w:ascii="Arial" w:hAnsi="Arial" w:cs="Arial"/>
          <w:vertAlign w:val="superscript"/>
        </w:rPr>
        <w:t xml:space="preserve"> </w:t>
      </w:r>
      <w:r w:rsidRPr="009C7BB3">
        <w:rPr>
          <w:rFonts w:ascii="Arial" w:hAnsi="Arial" w:cs="Arial"/>
          <w:vertAlign w:val="superscript"/>
        </w:rPr>
        <w:t>4]</w:t>
      </w:r>
      <w:r w:rsidRPr="0089364E">
        <w:rPr>
          <w:rFonts w:ascii="Arial" w:hAnsi="Arial" w:cs="Arial"/>
        </w:rPr>
        <w:t xml:space="preserve"> los conceptos alternativos que encontramos en este trabajo son consistentes con los de estos autores, salvo que en </w:t>
      </w:r>
      <w:r>
        <w:rPr>
          <w:rFonts w:ascii="Arial" w:hAnsi="Arial" w:cs="Arial"/>
        </w:rPr>
        <w:t xml:space="preserve">nuestro </w:t>
      </w:r>
      <w:r w:rsidRPr="0089364E">
        <w:rPr>
          <w:rFonts w:ascii="Arial" w:hAnsi="Arial" w:cs="Arial"/>
        </w:rPr>
        <w:t xml:space="preserve">caso se trata de estudiantes de primer ingreso </w:t>
      </w:r>
      <w:r>
        <w:rPr>
          <w:rFonts w:ascii="Arial" w:hAnsi="Arial" w:cs="Arial"/>
        </w:rPr>
        <w:t>a la Universidad.</w:t>
      </w:r>
      <w:r w:rsidRPr="0089364E">
        <w:rPr>
          <w:rFonts w:ascii="Arial" w:hAnsi="Arial" w:cs="Arial"/>
        </w:rPr>
        <w:t xml:space="preserve"> Otros estudios </w:t>
      </w:r>
      <w:r>
        <w:rPr>
          <w:rFonts w:ascii="Arial" w:hAnsi="Arial" w:cs="Arial"/>
        </w:rPr>
        <w:t>que se han realizado</w:t>
      </w:r>
      <w:r w:rsidRPr="0089364E">
        <w:rPr>
          <w:rFonts w:ascii="Arial" w:hAnsi="Arial" w:cs="Arial"/>
        </w:rPr>
        <w:t xml:space="preserve"> con alumnos de primer ing</w:t>
      </w:r>
      <w:r>
        <w:rPr>
          <w:rFonts w:ascii="Arial" w:hAnsi="Arial" w:cs="Arial"/>
        </w:rPr>
        <w:t xml:space="preserve">reso a la universidad </w:t>
      </w:r>
      <w:r w:rsidRPr="0089364E">
        <w:rPr>
          <w:rFonts w:ascii="Arial" w:hAnsi="Arial" w:cs="Arial"/>
        </w:rPr>
        <w:t>no han sido tan específicos</w:t>
      </w:r>
      <w:r w:rsidRPr="009C7BB3">
        <w:rPr>
          <w:rFonts w:ascii="Arial" w:hAnsi="Arial" w:cs="Arial"/>
          <w:vertAlign w:val="superscript"/>
        </w:rPr>
        <w:t xml:space="preserve"> [5]</w:t>
      </w:r>
      <w:r>
        <w:rPr>
          <w:rFonts w:ascii="Arial" w:hAnsi="Arial" w:cs="Arial"/>
        </w:rPr>
        <w:t xml:space="preserve"> y </w:t>
      </w:r>
      <w:r w:rsidRPr="0089364E">
        <w:rPr>
          <w:rFonts w:ascii="Arial" w:hAnsi="Arial" w:cs="Arial"/>
        </w:rPr>
        <w:t>reportan problema</w:t>
      </w:r>
      <w:r>
        <w:rPr>
          <w:rFonts w:ascii="Arial" w:hAnsi="Arial" w:cs="Arial"/>
        </w:rPr>
        <w:t xml:space="preserve">s con la comprensión conceptual, </w:t>
      </w:r>
      <w:r w:rsidRPr="0089364E">
        <w:rPr>
          <w:rFonts w:ascii="Arial" w:hAnsi="Arial" w:cs="Arial"/>
        </w:rPr>
        <w:t xml:space="preserve">de la física </w:t>
      </w:r>
      <w:r>
        <w:rPr>
          <w:rFonts w:ascii="Arial" w:hAnsi="Arial" w:cs="Arial"/>
        </w:rPr>
        <w:t xml:space="preserve">elemental. </w:t>
      </w:r>
      <w:r w:rsidRPr="0089364E">
        <w:rPr>
          <w:rFonts w:ascii="Arial" w:hAnsi="Arial" w:cs="Arial"/>
        </w:rPr>
        <w:t xml:space="preserve"> </w:t>
      </w:r>
    </w:p>
    <w:p w:rsidR="00D31BFD" w:rsidRPr="0089364E" w:rsidRDefault="00D31BFD" w:rsidP="00D31BFD">
      <w:pPr>
        <w:ind w:firstLine="567"/>
        <w:jc w:val="both"/>
        <w:rPr>
          <w:rFonts w:ascii="Arial" w:hAnsi="Arial" w:cs="Arial"/>
        </w:rPr>
      </w:pPr>
      <w:r w:rsidRPr="0089364E">
        <w:rPr>
          <w:rFonts w:ascii="Arial" w:hAnsi="Arial" w:cs="Arial"/>
        </w:rPr>
        <w:t xml:space="preserve">En este trabajo presentamos los preconceptos </w:t>
      </w:r>
      <w:r>
        <w:rPr>
          <w:rFonts w:ascii="Arial" w:hAnsi="Arial" w:cs="Arial"/>
        </w:rPr>
        <w:t>que determinamos en los alumnos</w:t>
      </w:r>
      <w:r w:rsidRPr="0089364E">
        <w:rPr>
          <w:rFonts w:ascii="Arial" w:hAnsi="Arial" w:cs="Arial"/>
        </w:rPr>
        <w:t xml:space="preserve"> sobre este tema. Parecería que los preconceptos en el nivel universitario son escasos, pero la inve</w:t>
      </w:r>
      <w:r>
        <w:rPr>
          <w:rFonts w:ascii="Arial" w:hAnsi="Arial" w:cs="Arial"/>
        </w:rPr>
        <w:t>stigación muestra que no es así; además</w:t>
      </w:r>
      <w:r w:rsidRPr="0089364E">
        <w:rPr>
          <w:rFonts w:ascii="Arial" w:hAnsi="Arial" w:cs="Arial"/>
        </w:rPr>
        <w:t xml:space="preserve"> </w:t>
      </w:r>
      <w:r>
        <w:rPr>
          <w:rFonts w:ascii="Arial" w:hAnsi="Arial" w:cs="Arial"/>
        </w:rPr>
        <w:t>vamos a mostrar que algunos de ellos están relacionados co</w:t>
      </w:r>
      <w:r w:rsidRPr="0089364E">
        <w:rPr>
          <w:rFonts w:ascii="Arial" w:hAnsi="Arial" w:cs="Arial"/>
        </w:rPr>
        <w:t xml:space="preserve">n la falta de madurez cognitiva que ya </w:t>
      </w:r>
      <w:r>
        <w:rPr>
          <w:rFonts w:ascii="Arial" w:hAnsi="Arial" w:cs="Arial"/>
        </w:rPr>
        <w:t xml:space="preserve">deberían tener en </w:t>
      </w:r>
      <w:r w:rsidRPr="0089364E">
        <w:rPr>
          <w:rFonts w:ascii="Arial" w:hAnsi="Arial" w:cs="Arial"/>
        </w:rPr>
        <w:t>el n</w:t>
      </w:r>
      <w:r>
        <w:rPr>
          <w:rFonts w:ascii="Arial" w:hAnsi="Arial" w:cs="Arial"/>
        </w:rPr>
        <w:t xml:space="preserve">ivel </w:t>
      </w:r>
      <w:r w:rsidRPr="007543AF">
        <w:rPr>
          <w:rFonts w:ascii="Arial" w:hAnsi="Arial" w:cs="Arial"/>
        </w:rPr>
        <w:t>superior</w:t>
      </w:r>
      <w:r w:rsidRPr="007543AF">
        <w:rPr>
          <w:rFonts w:ascii="Arial" w:hAnsi="Arial" w:cs="Arial"/>
          <w:vertAlign w:val="superscript"/>
        </w:rPr>
        <w:t xml:space="preserve"> [6]</w:t>
      </w:r>
      <w:r w:rsidRPr="007543AF">
        <w:rPr>
          <w:rFonts w:ascii="Arial" w:hAnsi="Arial" w:cs="Arial"/>
        </w:rPr>
        <w:t xml:space="preserve">. </w:t>
      </w:r>
    </w:p>
    <w:p w:rsidR="00D31BFD" w:rsidRPr="0089364E" w:rsidRDefault="00D31BFD" w:rsidP="00D31BFD">
      <w:pPr>
        <w:jc w:val="both"/>
        <w:rPr>
          <w:rFonts w:ascii="Arial" w:hAnsi="Arial" w:cs="Arial"/>
        </w:rPr>
      </w:pPr>
    </w:p>
    <w:p w:rsidR="00D31BFD" w:rsidRDefault="00D31BFD" w:rsidP="001D2A3D">
      <w:pPr>
        <w:pStyle w:val="1Titulo"/>
        <w:numPr>
          <w:ilvl w:val="0"/>
          <w:numId w:val="69"/>
        </w:numPr>
      </w:pPr>
      <w:bookmarkStart w:id="410" w:name="_Toc50031453"/>
      <w:r w:rsidRPr="0089364E">
        <w:t>Metodología</w:t>
      </w:r>
      <w:bookmarkEnd w:id="410"/>
    </w:p>
    <w:p w:rsidR="00D31BFD" w:rsidRPr="0089364E" w:rsidRDefault="00D31BFD" w:rsidP="00D31BFD">
      <w:pPr>
        <w:jc w:val="both"/>
        <w:rPr>
          <w:rFonts w:ascii="Arial" w:hAnsi="Arial" w:cs="Arial"/>
          <w:b/>
        </w:rPr>
      </w:pPr>
    </w:p>
    <w:p w:rsidR="00D31BFD" w:rsidRPr="0089364E" w:rsidRDefault="00D31BFD" w:rsidP="00D31BFD">
      <w:pPr>
        <w:ind w:firstLine="567"/>
        <w:jc w:val="both"/>
        <w:rPr>
          <w:rFonts w:ascii="Arial" w:hAnsi="Arial" w:cs="Arial"/>
        </w:rPr>
      </w:pPr>
      <w:r w:rsidRPr="0089364E">
        <w:rPr>
          <w:rFonts w:ascii="Arial" w:hAnsi="Arial" w:cs="Arial"/>
        </w:rPr>
        <w:t xml:space="preserve">Aplicamos un cuestionario exploratorio de 10 preguntas a los alumnos de los dos grupos al inicio del trimestre 18-I, más adelante afinamos el cuestionario y lo aplicamos a seis grupos, todos de primer ingreso durante el trimestre 18-O. </w:t>
      </w:r>
      <w:r>
        <w:rPr>
          <w:rFonts w:ascii="Arial" w:hAnsi="Arial" w:cs="Arial"/>
        </w:rPr>
        <w:t xml:space="preserve">El </w:t>
      </w:r>
      <w:r w:rsidRPr="0089364E">
        <w:rPr>
          <w:rFonts w:ascii="Arial" w:hAnsi="Arial" w:cs="Arial"/>
        </w:rPr>
        <w:t>test se aplicó en la primera semana de clases</w:t>
      </w:r>
      <w:r>
        <w:rPr>
          <w:rFonts w:ascii="Arial" w:hAnsi="Arial" w:cs="Arial"/>
        </w:rPr>
        <w:t>.</w:t>
      </w:r>
      <w:r w:rsidRPr="0089364E">
        <w:rPr>
          <w:rFonts w:ascii="Arial" w:hAnsi="Arial" w:cs="Arial"/>
        </w:rPr>
        <w:t xml:space="preserve"> El cuestionario es de opción múltiple y se les solicita una explicación escrita justificando su respuesta. Las preguntas fueron seleccionadas a partir del cuestionario exploratorio y de la experiencia previa de los autores con otros grupos universitarios. Este cuestionario se presenta en el anexo. </w:t>
      </w:r>
    </w:p>
    <w:p w:rsidR="00D31BFD" w:rsidRPr="0089364E" w:rsidRDefault="00D31BFD" w:rsidP="00D31BFD">
      <w:pPr>
        <w:ind w:firstLine="567"/>
        <w:jc w:val="both"/>
        <w:rPr>
          <w:rFonts w:ascii="Arial" w:hAnsi="Arial" w:cs="Arial"/>
        </w:rPr>
      </w:pPr>
      <w:r w:rsidRPr="0089364E">
        <w:rPr>
          <w:rFonts w:ascii="Arial" w:hAnsi="Arial" w:cs="Arial"/>
        </w:rPr>
        <w:t xml:space="preserve">En total se aplicaron 110 cuestionarios a estudiantes que provienen principalmente del Colegio de Bachilleres, Escuelas Preparatorias Oficiales del Estado de México y Escuelas Preparatorias privadas de la Cd. de México. </w:t>
      </w:r>
    </w:p>
    <w:p w:rsidR="00D31BFD" w:rsidRPr="0089364E" w:rsidRDefault="00D31BFD" w:rsidP="00D31BFD">
      <w:pPr>
        <w:jc w:val="both"/>
        <w:rPr>
          <w:rFonts w:ascii="Arial" w:hAnsi="Arial" w:cs="Arial"/>
          <w:b/>
        </w:rPr>
      </w:pPr>
    </w:p>
    <w:p w:rsidR="00D31BFD" w:rsidRPr="0089364E" w:rsidRDefault="00D31BFD" w:rsidP="00D31BFD">
      <w:pPr>
        <w:jc w:val="both"/>
        <w:rPr>
          <w:rFonts w:ascii="Arial" w:hAnsi="Arial" w:cs="Arial"/>
          <w:b/>
        </w:rPr>
      </w:pPr>
    </w:p>
    <w:p w:rsidR="00D31BFD" w:rsidRPr="0089364E" w:rsidRDefault="00D31BFD" w:rsidP="001D2A3D">
      <w:pPr>
        <w:pStyle w:val="1Titulo"/>
        <w:numPr>
          <w:ilvl w:val="0"/>
          <w:numId w:val="69"/>
        </w:numPr>
      </w:pPr>
      <w:bookmarkStart w:id="411" w:name="_Toc50031454"/>
      <w:r w:rsidRPr="0089364E">
        <w:t>Resultados y discusión</w:t>
      </w:r>
      <w:bookmarkEnd w:id="411"/>
    </w:p>
    <w:p w:rsidR="00D31BFD" w:rsidRPr="00DD087A" w:rsidRDefault="00D31BFD" w:rsidP="00D31BFD">
      <w:pPr>
        <w:jc w:val="both"/>
        <w:rPr>
          <w:rFonts w:ascii="Arial" w:hAnsi="Arial" w:cs="Arial"/>
          <w:b/>
        </w:rPr>
      </w:pPr>
      <w:r w:rsidRPr="0089364E">
        <w:rPr>
          <w:rFonts w:ascii="Arial" w:hAnsi="Arial" w:cs="Arial"/>
          <w:b/>
        </w:rPr>
        <w:t xml:space="preserve"> </w:t>
      </w:r>
    </w:p>
    <w:p w:rsidR="00D31BFD" w:rsidRPr="00930071" w:rsidRDefault="00D31BFD" w:rsidP="00D31BFD">
      <w:pPr>
        <w:ind w:firstLine="567"/>
        <w:jc w:val="both"/>
        <w:rPr>
          <w:rFonts w:ascii="Arial" w:hAnsi="Arial" w:cs="Arial"/>
        </w:rPr>
      </w:pPr>
      <w:r w:rsidRPr="0089364E">
        <w:rPr>
          <w:rFonts w:ascii="Arial" w:hAnsi="Arial" w:cs="Arial"/>
        </w:rPr>
        <w:t xml:space="preserve">En las </w:t>
      </w:r>
      <w:r w:rsidRPr="00930071">
        <w:rPr>
          <w:rFonts w:ascii="Arial" w:hAnsi="Arial" w:cs="Arial"/>
        </w:rPr>
        <w:t>siguientes figuras se han agrupado los resultados de las preguntas. En este estudio tuvimos presente la falta de comprensión del enunciado de las preguntas, que se refleja cuando se dan justificaciones erróneas. E</w:t>
      </w:r>
      <w:r>
        <w:rPr>
          <w:rFonts w:ascii="Arial" w:hAnsi="Arial" w:cs="Arial"/>
        </w:rPr>
        <w:t xml:space="preserve">ste fue un efecto que consideramos </w:t>
      </w:r>
      <w:r w:rsidRPr="00930071">
        <w:rPr>
          <w:rFonts w:ascii="Arial" w:hAnsi="Arial" w:cs="Arial"/>
        </w:rPr>
        <w:t>a partir de un análisis de las respuestas, concluimos que ocurrió en muy pocos casos, qu</w:t>
      </w:r>
      <w:r>
        <w:rPr>
          <w:rFonts w:ascii="Arial" w:hAnsi="Arial" w:cs="Arial"/>
        </w:rPr>
        <w:t>e fueron eliminados de la estadística</w:t>
      </w:r>
      <w:r w:rsidRPr="00930071">
        <w:rPr>
          <w:rFonts w:ascii="Arial" w:hAnsi="Arial" w:cs="Arial"/>
        </w:rPr>
        <w:t xml:space="preserve">. La mayoría de los estudiantes comprendió las preguntas. Las respuestas y sus justificaciones son congruentes entre sí. </w:t>
      </w:r>
    </w:p>
    <w:p w:rsidR="00D31BFD" w:rsidRDefault="00D31BFD" w:rsidP="00D31BFD">
      <w:pPr>
        <w:tabs>
          <w:tab w:val="left" w:pos="2425"/>
        </w:tabs>
        <w:ind w:firstLine="567"/>
        <w:jc w:val="both"/>
        <w:rPr>
          <w:rFonts w:ascii="Arial" w:hAnsi="Arial" w:cs="Arial"/>
        </w:rPr>
      </w:pPr>
    </w:p>
    <w:p w:rsidR="00D31BFD" w:rsidRDefault="00D31BFD" w:rsidP="00D31BFD">
      <w:pPr>
        <w:tabs>
          <w:tab w:val="left" w:pos="2425"/>
        </w:tabs>
        <w:ind w:firstLine="567"/>
        <w:jc w:val="both"/>
        <w:rPr>
          <w:rFonts w:ascii="Arial" w:hAnsi="Arial" w:cs="Arial"/>
        </w:rPr>
      </w:pPr>
      <w:r>
        <w:rPr>
          <w:rFonts w:ascii="Arial" w:hAnsi="Arial" w:cs="Arial"/>
          <w:noProof/>
          <w:lang w:val="en-US"/>
        </w:rPr>
        <w:drawing>
          <wp:inline distT="0" distB="0" distL="0" distR="0" wp14:anchorId="460F1E8C" wp14:editId="4D13A8F1">
            <wp:extent cx="2510411" cy="1928388"/>
            <wp:effectExtent l="0" t="0" r="4445" b="254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Q1v3.eps"/>
                    <pic:cNvPicPr/>
                  </pic:nvPicPr>
                  <pic:blipFill>
                    <a:blip r:embed="rId1306"/>
                    <a:stretch>
                      <a:fillRect/>
                    </a:stretch>
                  </pic:blipFill>
                  <pic:spPr>
                    <a:xfrm>
                      <a:off x="0" y="0"/>
                      <a:ext cx="2538179" cy="1949718"/>
                    </a:xfrm>
                    <a:prstGeom prst="rect">
                      <a:avLst/>
                    </a:prstGeom>
                  </pic:spPr>
                </pic:pic>
              </a:graphicData>
            </a:graphic>
          </wp:inline>
        </w:drawing>
      </w:r>
      <w:r>
        <w:rPr>
          <w:rFonts w:ascii="Arial" w:hAnsi="Arial" w:cs="Arial"/>
          <w:noProof/>
          <w:lang w:val="en-US"/>
        </w:rPr>
        <w:drawing>
          <wp:inline distT="0" distB="0" distL="0" distR="0" wp14:anchorId="0644F55A" wp14:editId="1E854255">
            <wp:extent cx="2517541" cy="193223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Q2v3.png"/>
                    <pic:cNvPicPr/>
                  </pic:nvPicPr>
                  <pic:blipFill>
                    <a:blip r:embed="rId1307"/>
                    <a:stretch>
                      <a:fillRect/>
                    </a:stretch>
                  </pic:blipFill>
                  <pic:spPr>
                    <a:xfrm>
                      <a:off x="0" y="0"/>
                      <a:ext cx="2589245" cy="1987263"/>
                    </a:xfrm>
                    <a:prstGeom prst="rect">
                      <a:avLst/>
                    </a:prstGeom>
                  </pic:spPr>
                </pic:pic>
              </a:graphicData>
            </a:graphic>
          </wp:inline>
        </w:drawing>
      </w:r>
    </w:p>
    <w:p w:rsidR="00D31BFD" w:rsidRPr="00930071" w:rsidRDefault="00D31BFD" w:rsidP="00D31BFD">
      <w:pPr>
        <w:tabs>
          <w:tab w:val="left" w:pos="2425"/>
        </w:tabs>
        <w:ind w:firstLine="567"/>
        <w:jc w:val="both"/>
        <w:rPr>
          <w:rFonts w:ascii="Arial" w:hAnsi="Arial" w:cs="Arial"/>
        </w:rPr>
      </w:pPr>
    </w:p>
    <w:p w:rsidR="00D31BFD" w:rsidRPr="0089364E" w:rsidRDefault="00D31BFD" w:rsidP="00D31BFD">
      <w:pPr>
        <w:tabs>
          <w:tab w:val="left" w:pos="2425"/>
        </w:tabs>
        <w:ind w:firstLine="567"/>
        <w:jc w:val="both"/>
        <w:rPr>
          <w:rFonts w:ascii="Arial" w:hAnsi="Arial" w:cs="Arial"/>
        </w:rPr>
      </w:pPr>
      <w:r w:rsidRPr="0089364E">
        <w:rPr>
          <w:rFonts w:ascii="Arial" w:hAnsi="Arial" w:cs="Arial"/>
        </w:rPr>
        <w:t xml:space="preserve">Por ejemplo, en la pregunta 1 acerca del valor de la aceleración de la gravedad, la respuesta correcta es “b” (Varía con el valor de la posición geográfica) y como observamos la respuesta más seleccionada fue la “c” que es constante y que su valor es 9.81 </w:t>
      </w:r>
      <w:r w:rsidRPr="00C553D9">
        <w:rPr>
          <w:rFonts w:ascii="Arial" w:hAnsi="Arial" w:cs="Arial"/>
        </w:rPr>
        <w:t>m/s</w:t>
      </w:r>
      <w:r w:rsidRPr="00C553D9">
        <w:rPr>
          <w:rFonts w:ascii="Arial" w:hAnsi="Arial" w:cs="Arial"/>
          <w:vertAlign w:val="superscript"/>
        </w:rPr>
        <w:t>2</w:t>
      </w:r>
      <w:r w:rsidRPr="00C553D9">
        <w:rPr>
          <w:rFonts w:ascii="Arial" w:hAnsi="Arial" w:cs="Arial"/>
        </w:rPr>
        <w:t xml:space="preserve"> </w:t>
      </w:r>
      <w:r w:rsidRPr="0089364E">
        <w:rPr>
          <w:rFonts w:ascii="Arial" w:hAnsi="Arial" w:cs="Arial"/>
        </w:rPr>
        <w:t xml:space="preserve">lo que nos indica la fuerte dependencia de, por un lado, los textos extranjeros que indican el valor más aceptado en su país y, por otro lado, la creencia en las “constantes” como pi o </w:t>
      </w:r>
      <w:r w:rsidRPr="0089364E">
        <w:rPr>
          <w:rFonts w:ascii="Arial" w:hAnsi="Arial" w:cs="Arial"/>
          <w:i/>
        </w:rPr>
        <w:t>e</w:t>
      </w:r>
      <w:r w:rsidRPr="0089364E">
        <w:rPr>
          <w:rFonts w:ascii="Arial" w:hAnsi="Arial" w:cs="Arial"/>
        </w:rPr>
        <w:t>.</w:t>
      </w:r>
    </w:p>
    <w:p w:rsidR="00D31BFD" w:rsidRPr="0089364E" w:rsidRDefault="00D31BFD" w:rsidP="00D31BFD">
      <w:pPr>
        <w:jc w:val="both"/>
        <w:rPr>
          <w:rFonts w:ascii="Arial" w:hAnsi="Arial" w:cs="Arial"/>
        </w:rPr>
      </w:pPr>
    </w:p>
    <w:p w:rsidR="00D31BFD" w:rsidRDefault="00D31BFD" w:rsidP="00D31BFD">
      <w:pPr>
        <w:ind w:firstLine="567"/>
        <w:jc w:val="both"/>
        <w:rPr>
          <w:rFonts w:ascii="Arial" w:hAnsi="Arial" w:cs="Arial"/>
        </w:rPr>
      </w:pPr>
      <w:r w:rsidRPr="0089364E">
        <w:rPr>
          <w:rFonts w:ascii="Arial" w:hAnsi="Arial" w:cs="Arial"/>
        </w:rPr>
        <w:t>La pregunta 2 sobre la causa de la aceleración terrestre, la mayoría de los alumnos tienen clara la causa en la atracción gravitacional y solamente 8 alumnos (aprox</w:t>
      </w:r>
      <w:r>
        <w:rPr>
          <w:rFonts w:ascii="Arial" w:hAnsi="Arial" w:cs="Arial"/>
        </w:rPr>
        <w:t>.</w:t>
      </w:r>
      <w:r w:rsidRPr="0089364E">
        <w:rPr>
          <w:rFonts w:ascii="Arial" w:hAnsi="Arial" w:cs="Arial"/>
        </w:rPr>
        <w:t xml:space="preserve"> 9%) asignan la causa al propio objeto, lo que es de llamar la atención y se refiere a un preconcepto poco explorado sobre la idea de que en los objetos se comportan así. Es un preconcepto que deja a un lado las causas y postula simple</w:t>
      </w:r>
      <w:r>
        <w:rPr>
          <w:rFonts w:ascii="Arial" w:hAnsi="Arial" w:cs="Arial"/>
        </w:rPr>
        <w:t>me</w:t>
      </w:r>
      <w:r w:rsidRPr="0089364E">
        <w:rPr>
          <w:rFonts w:ascii="Arial" w:hAnsi="Arial" w:cs="Arial"/>
        </w:rPr>
        <w:t xml:space="preserve">nte que “así ocurre” lo que indica un pensamiento </w:t>
      </w:r>
      <w:r w:rsidRPr="007543AF">
        <w:rPr>
          <w:rFonts w:ascii="Arial" w:hAnsi="Arial" w:cs="Arial"/>
        </w:rPr>
        <w:t>concreto</w:t>
      </w:r>
      <w:r w:rsidRPr="007543AF">
        <w:rPr>
          <w:rFonts w:ascii="Arial" w:hAnsi="Arial" w:cs="Arial"/>
          <w:vertAlign w:val="superscript"/>
        </w:rPr>
        <w:t xml:space="preserve"> [7]</w:t>
      </w:r>
      <w:r w:rsidRPr="007543AF">
        <w:rPr>
          <w:rFonts w:ascii="Arial" w:hAnsi="Arial" w:cs="Arial"/>
        </w:rPr>
        <w:t xml:space="preserve"> </w:t>
      </w:r>
      <w:r w:rsidRPr="0089364E">
        <w:rPr>
          <w:rFonts w:ascii="Arial" w:hAnsi="Arial" w:cs="Arial"/>
        </w:rPr>
        <w:t xml:space="preserve">temprano que no busca causas profundas sino trata de explicar los fenómenos con los hechos observables directamente sin análisis. Esto se refuerza con la respuesta a la pregunta 9 sobre la causa del peso en la superficie terrestre, en la que un 12% (13 alumnos) contesta que se debe a que “todos los cuerpos tienden a caer con una cierta fuerza”, es decir no hay un análisis de las causas, simplemente es “como </w:t>
      </w:r>
      <w:r>
        <w:rPr>
          <w:rFonts w:ascii="Arial" w:hAnsi="Arial" w:cs="Arial"/>
        </w:rPr>
        <w:t>como ocurre</w:t>
      </w:r>
      <w:r w:rsidRPr="0089364E">
        <w:rPr>
          <w:rFonts w:ascii="Arial" w:hAnsi="Arial" w:cs="Arial"/>
        </w:rPr>
        <w:t>”, lo que se observa es lo que se enuncia, no hay explicación más profunda del hecho.</w:t>
      </w:r>
    </w:p>
    <w:p w:rsidR="00D31BFD" w:rsidRDefault="00D31BFD" w:rsidP="00D31BFD">
      <w:pPr>
        <w:jc w:val="both"/>
        <w:rPr>
          <w:rFonts w:ascii="Arial" w:hAnsi="Arial" w:cs="Arial"/>
        </w:rPr>
      </w:pPr>
    </w:p>
    <w:p w:rsidR="00D31BFD" w:rsidRDefault="00D31BFD" w:rsidP="00D31BFD">
      <w:pPr>
        <w:jc w:val="both"/>
        <w:rPr>
          <w:rFonts w:ascii="Arial" w:hAnsi="Arial" w:cs="Arial"/>
        </w:rPr>
      </w:pPr>
    </w:p>
    <w:p w:rsidR="00D31BFD" w:rsidRDefault="00D31BFD" w:rsidP="00D31BFD">
      <w:pPr>
        <w:jc w:val="both"/>
        <w:rPr>
          <w:rFonts w:ascii="Arial" w:hAnsi="Arial" w:cs="Arial"/>
        </w:rPr>
      </w:pPr>
      <w:r>
        <w:rPr>
          <w:rFonts w:ascii="Arial" w:hAnsi="Arial" w:cs="Arial"/>
          <w:noProof/>
          <w:lang w:val="en-US"/>
        </w:rPr>
        <w:drawing>
          <wp:inline distT="0" distB="0" distL="0" distR="0" wp14:anchorId="794E790A" wp14:editId="52865D62">
            <wp:extent cx="2687232" cy="2062470"/>
            <wp:effectExtent l="0" t="0" r="5715" b="0"/>
            <wp:docPr id="1100" name="Imagen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Q3v3.png"/>
                    <pic:cNvPicPr/>
                  </pic:nvPicPr>
                  <pic:blipFill>
                    <a:blip r:embed="rId1308"/>
                    <a:stretch>
                      <a:fillRect/>
                    </a:stretch>
                  </pic:blipFill>
                  <pic:spPr>
                    <a:xfrm>
                      <a:off x="0" y="0"/>
                      <a:ext cx="2735769" cy="2099722"/>
                    </a:xfrm>
                    <a:prstGeom prst="rect">
                      <a:avLst/>
                    </a:prstGeom>
                  </pic:spPr>
                </pic:pic>
              </a:graphicData>
            </a:graphic>
          </wp:inline>
        </w:drawing>
      </w:r>
      <w:r>
        <w:rPr>
          <w:rFonts w:ascii="Arial" w:hAnsi="Arial" w:cs="Arial"/>
          <w:noProof/>
          <w:lang w:val="en-US"/>
        </w:rPr>
        <w:drawing>
          <wp:inline distT="0" distB="0" distL="0" distR="0" wp14:anchorId="07B9500C" wp14:editId="6B408EDC">
            <wp:extent cx="2683224" cy="2059393"/>
            <wp:effectExtent l="0" t="0" r="0" b="0"/>
            <wp:docPr id="1101" name="Imagen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Q4v3.png"/>
                    <pic:cNvPicPr/>
                  </pic:nvPicPr>
                  <pic:blipFill>
                    <a:blip r:embed="rId1309"/>
                    <a:stretch>
                      <a:fillRect/>
                    </a:stretch>
                  </pic:blipFill>
                  <pic:spPr>
                    <a:xfrm>
                      <a:off x="0" y="0"/>
                      <a:ext cx="2767450" cy="2124037"/>
                    </a:xfrm>
                    <a:prstGeom prst="rect">
                      <a:avLst/>
                    </a:prstGeom>
                  </pic:spPr>
                </pic:pic>
              </a:graphicData>
            </a:graphic>
          </wp:inline>
        </w:drawing>
      </w:r>
    </w:p>
    <w:p w:rsidR="00D31BFD" w:rsidRDefault="00D31BFD" w:rsidP="00D31BFD">
      <w:pPr>
        <w:jc w:val="both"/>
        <w:rPr>
          <w:rFonts w:ascii="Arial" w:hAnsi="Arial" w:cs="Arial"/>
        </w:rPr>
      </w:pPr>
    </w:p>
    <w:p w:rsidR="00D31BFD" w:rsidRPr="0089364E" w:rsidRDefault="00D31BFD" w:rsidP="00D31BFD">
      <w:pPr>
        <w:jc w:val="both"/>
        <w:rPr>
          <w:rFonts w:ascii="Arial" w:hAnsi="Arial" w:cs="Arial"/>
        </w:rPr>
      </w:pPr>
      <w:r w:rsidRPr="0089364E">
        <w:rPr>
          <w:rFonts w:ascii="Arial" w:hAnsi="Arial" w:cs="Arial"/>
        </w:rPr>
        <w:t xml:space="preserve"> Las preguntas 3 y 4 son sobre la dirección de la fuerza gravitacional y sobre todo deseábamos conocer si había alumnos que modificaran la dirección de la fuerza gravitacional de acuerdo con la dirección del movimiento del objeto </w:t>
      </w:r>
      <w:r>
        <w:rPr>
          <w:rFonts w:ascii="Arial" w:hAnsi="Arial" w:cs="Arial"/>
        </w:rPr>
        <w:t>(</w:t>
      </w:r>
      <w:r w:rsidRPr="0089364E">
        <w:rPr>
          <w:rFonts w:ascii="Arial" w:hAnsi="Arial" w:cs="Arial"/>
        </w:rPr>
        <w:t xml:space="preserve">cae o sube) la gran mayoría de los alumnos, el 85%, no modifica la dirección hacia abajo (hacia el centro de la Tierra) de la fuerza de atracción gravitacional, pero hay un 15% de alumnos que responden que la dirección de la fuerza de atracción depende del movimiento del objeto o que la dirección es hacia arriba. Esto porcentaje es pequeño, pero nuevamente indicativo de que tenemos en nuestros alumnos diferentes niveles de desarrollo </w:t>
      </w:r>
      <w:r w:rsidRPr="00FF3FAA">
        <w:rPr>
          <w:rFonts w:ascii="Arial" w:hAnsi="Arial" w:cs="Arial"/>
        </w:rPr>
        <w:t>cognitivo</w:t>
      </w:r>
      <w:r w:rsidRPr="00FF3FAA">
        <w:rPr>
          <w:rFonts w:ascii="Arial" w:hAnsi="Arial" w:cs="Arial"/>
          <w:vertAlign w:val="superscript"/>
        </w:rPr>
        <w:t>[8]</w:t>
      </w:r>
      <w:r w:rsidRPr="00FF3FAA">
        <w:rPr>
          <w:rFonts w:ascii="Arial" w:hAnsi="Arial" w:cs="Arial"/>
        </w:rPr>
        <w:t xml:space="preserve">; de acuerdo con Piaget </w:t>
      </w:r>
      <w:r w:rsidRPr="00FF3FAA">
        <w:rPr>
          <w:rFonts w:ascii="Arial" w:hAnsi="Arial" w:cs="Arial"/>
          <w:vertAlign w:val="superscript"/>
        </w:rPr>
        <w:t>[9]</w:t>
      </w:r>
      <w:r w:rsidRPr="00FF3FAA">
        <w:rPr>
          <w:rFonts w:ascii="Arial" w:hAnsi="Arial" w:cs="Arial"/>
        </w:rPr>
        <w:t xml:space="preserve"> </w:t>
      </w:r>
      <w:r w:rsidRPr="0089364E">
        <w:rPr>
          <w:rFonts w:ascii="Arial" w:hAnsi="Arial" w:cs="Arial"/>
        </w:rPr>
        <w:t xml:space="preserve">nuestros alumnos ya deberían tener un nivel formal de pensamiento, es decir hipotético-deductivo, pero encontramos que no es así y además en concordancia con otros trabajos que muestran que entre los alumnos de primer ingreso a la Universidad se encuentran alumnos con pensamiento </w:t>
      </w:r>
      <w:r w:rsidRPr="002011DF">
        <w:rPr>
          <w:rFonts w:ascii="Arial" w:hAnsi="Arial" w:cs="Arial"/>
        </w:rPr>
        <w:t>concreto</w:t>
      </w:r>
      <w:r w:rsidRPr="007543AF">
        <w:rPr>
          <w:rFonts w:ascii="Arial" w:hAnsi="Arial" w:cs="Arial"/>
          <w:color w:val="FF0000"/>
        </w:rPr>
        <w:t xml:space="preserve"> </w:t>
      </w:r>
      <w:r w:rsidRPr="0089364E">
        <w:rPr>
          <w:rFonts w:ascii="Arial" w:hAnsi="Arial" w:cs="Arial"/>
        </w:rPr>
        <w:t xml:space="preserve">que no están preparados para realizar razonamientos que requieren abstracción y comprender conceptos que no se pueden ejemplificar </w:t>
      </w:r>
      <w:r w:rsidRPr="00FF3FAA">
        <w:rPr>
          <w:rFonts w:ascii="Arial" w:hAnsi="Arial" w:cs="Arial"/>
        </w:rPr>
        <w:t xml:space="preserve">experimentalmente </w:t>
      </w:r>
      <w:r w:rsidRPr="00FF3FAA">
        <w:rPr>
          <w:rFonts w:ascii="Arial" w:hAnsi="Arial" w:cs="Arial"/>
          <w:vertAlign w:val="superscript"/>
        </w:rPr>
        <w:t>[10]</w:t>
      </w:r>
      <w:r w:rsidRPr="00FF3FAA">
        <w:rPr>
          <w:rFonts w:ascii="Arial" w:hAnsi="Arial" w:cs="Arial"/>
        </w:rPr>
        <w:t xml:space="preserve">. </w:t>
      </w:r>
      <w:r w:rsidRPr="0089364E">
        <w:rPr>
          <w:rFonts w:ascii="Arial" w:hAnsi="Arial" w:cs="Arial"/>
        </w:rPr>
        <w:t>Un alumno con nivel cognitivo en la etapa de pensamiento concreto requiere ejemplos experimentales en lo conceptual, y en la resolución de problemas, ejemplos “numéricos”</w:t>
      </w:r>
      <w:r>
        <w:rPr>
          <w:rFonts w:ascii="Arial" w:hAnsi="Arial" w:cs="Arial"/>
        </w:rPr>
        <w:t xml:space="preserve"> no con “letras”</w:t>
      </w:r>
      <w:r w:rsidRPr="0089364E">
        <w:rPr>
          <w:rFonts w:ascii="Arial" w:hAnsi="Arial" w:cs="Arial"/>
        </w:rPr>
        <w:t xml:space="preserve">.  Son </w:t>
      </w:r>
      <w:r>
        <w:rPr>
          <w:rFonts w:ascii="Arial" w:hAnsi="Arial" w:cs="Arial"/>
        </w:rPr>
        <w:t>a</w:t>
      </w:r>
      <w:r w:rsidRPr="0089364E">
        <w:rPr>
          <w:rFonts w:ascii="Arial" w:hAnsi="Arial" w:cs="Arial"/>
        </w:rPr>
        <w:t xml:space="preserve">lumnos que fácilmente detectamos en el salón de clase y que requieren un poco más de atención debido a su bajo nivel de abstracción.  </w:t>
      </w:r>
    </w:p>
    <w:p w:rsidR="00D31BFD" w:rsidRPr="0089364E" w:rsidRDefault="00D31BFD" w:rsidP="00D31BFD">
      <w:pPr>
        <w:jc w:val="both"/>
        <w:rPr>
          <w:rFonts w:ascii="Arial" w:hAnsi="Arial" w:cs="Arial"/>
        </w:rPr>
      </w:pPr>
    </w:p>
    <w:p w:rsidR="00D31BFD" w:rsidRDefault="00D31BFD" w:rsidP="00D31BFD">
      <w:pPr>
        <w:ind w:firstLine="567"/>
        <w:jc w:val="both"/>
        <w:rPr>
          <w:rFonts w:ascii="Arial" w:hAnsi="Arial" w:cs="Arial"/>
        </w:rPr>
      </w:pPr>
      <w:r w:rsidRPr="0089364E">
        <w:rPr>
          <w:rFonts w:ascii="Arial" w:hAnsi="Arial" w:cs="Arial"/>
        </w:rPr>
        <w:t xml:space="preserve">En la pregunta 5 acerca de la fuerza que actúa en el punto más alto de un lanzamiento vertical, las respuestas fueron las esperadas, dado que no hay velocidad, se supone (erróneamente) que no habría fuerza y sin embargo el 68% de los alumnos indicó que actuaba la fuerza gravitacional, un pequeño ´porcentaje se decantó por la respuesta de que la fuerza gravitacional no actúa en ese momento, lo interesante es que un 25% de los alumnos, 27 alumnos responden que en ese </w:t>
      </w:r>
      <w:r>
        <w:rPr>
          <w:rFonts w:ascii="Arial" w:hAnsi="Arial" w:cs="Arial"/>
        </w:rPr>
        <w:t xml:space="preserve">momento no actúa ninguna fuerza. Aquí se tiene una explicación de orden general que se refiere a un modelo alterno </w:t>
      </w:r>
      <w:r w:rsidRPr="002011DF">
        <w:rPr>
          <w:rFonts w:ascii="Arial" w:hAnsi="Arial" w:cs="Arial"/>
        </w:rPr>
        <w:t>de pensamiento</w:t>
      </w:r>
      <w:r w:rsidRPr="002011DF">
        <w:rPr>
          <w:rFonts w:ascii="Arial" w:hAnsi="Arial" w:cs="Arial"/>
          <w:vertAlign w:val="superscript"/>
        </w:rPr>
        <w:t xml:space="preserve"> [11]</w:t>
      </w:r>
      <w:r w:rsidRPr="002011DF">
        <w:rPr>
          <w:rFonts w:ascii="Arial" w:hAnsi="Arial" w:cs="Arial"/>
        </w:rPr>
        <w:t xml:space="preserve"> en </w:t>
      </w:r>
      <w:r>
        <w:rPr>
          <w:rFonts w:ascii="Arial" w:hAnsi="Arial" w:cs="Arial"/>
        </w:rPr>
        <w:t>que se postula que los preconceptos y dificultades del estudiante en torno a este tema, están contextualizados en una teoría que, entre otras cosas, asigna un “depósito” de fuerza en el objeto que se lanza hacia arriba y funciona como una especie de combustible que se agota y es entonces que se alcanza la altura máxima. La situación que nos interesa resaltar en este trabajo es el razonamiento de</w:t>
      </w:r>
      <w:r w:rsidRPr="0089364E">
        <w:rPr>
          <w:rFonts w:ascii="Arial" w:hAnsi="Arial" w:cs="Arial"/>
        </w:rPr>
        <w:t xml:space="preserve"> “así ocurre” y no hay más que explicar. Razonamiento como ya vimos ligado a un tipo de pensamiento concreto.</w:t>
      </w:r>
      <w:r>
        <w:rPr>
          <w:rFonts w:ascii="Arial" w:hAnsi="Arial" w:cs="Arial"/>
        </w:rPr>
        <w:t xml:space="preserve"> Es muy interesante una de las justificaciones que se dan a esta respuesta, un alumno escribió “es una consecuencia de lanzar algo hacia arriba” es decir ¡Así es y no requiere explicación! Así ocurren las cosas. Este es el tipo de razonamiento que debe hacer que un docente comprenda que está frente a alumnos con un nivel bajo de desarrollo cognitivo.</w:t>
      </w:r>
    </w:p>
    <w:p w:rsidR="00D31BFD" w:rsidRDefault="00D31BFD" w:rsidP="00D31BFD">
      <w:pPr>
        <w:jc w:val="both"/>
        <w:rPr>
          <w:rFonts w:ascii="Arial" w:hAnsi="Arial" w:cs="Arial"/>
        </w:rPr>
      </w:pPr>
    </w:p>
    <w:p w:rsidR="00D31BFD" w:rsidRDefault="00D31BFD" w:rsidP="00D31BFD">
      <w:pPr>
        <w:jc w:val="both"/>
        <w:rPr>
          <w:rFonts w:ascii="Arial" w:hAnsi="Arial" w:cs="Arial"/>
        </w:rPr>
      </w:pPr>
    </w:p>
    <w:p w:rsidR="00D31BFD" w:rsidRDefault="00D31BFD" w:rsidP="00D31BFD">
      <w:pPr>
        <w:jc w:val="both"/>
        <w:rPr>
          <w:rFonts w:ascii="Arial" w:hAnsi="Arial" w:cs="Arial"/>
        </w:rPr>
      </w:pPr>
      <w:r>
        <w:rPr>
          <w:rFonts w:ascii="Arial" w:hAnsi="Arial" w:cs="Arial"/>
          <w:noProof/>
          <w:lang w:val="en-US"/>
        </w:rPr>
        <w:drawing>
          <wp:inline distT="0" distB="0" distL="0" distR="0" wp14:anchorId="26B57819" wp14:editId="1ACD1965">
            <wp:extent cx="2725093" cy="2091529"/>
            <wp:effectExtent l="0" t="0" r="5715" b="4445"/>
            <wp:docPr id="1102" name="Imagen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Q5v3.png"/>
                    <pic:cNvPicPr/>
                  </pic:nvPicPr>
                  <pic:blipFill>
                    <a:blip r:embed="rId1310"/>
                    <a:stretch>
                      <a:fillRect/>
                    </a:stretch>
                  </pic:blipFill>
                  <pic:spPr>
                    <a:xfrm>
                      <a:off x="0" y="0"/>
                      <a:ext cx="2800836" cy="2149662"/>
                    </a:xfrm>
                    <a:prstGeom prst="rect">
                      <a:avLst/>
                    </a:prstGeom>
                  </pic:spPr>
                </pic:pic>
              </a:graphicData>
            </a:graphic>
          </wp:inline>
        </w:drawing>
      </w:r>
      <w:r>
        <w:rPr>
          <w:rFonts w:ascii="Arial" w:hAnsi="Arial" w:cs="Arial"/>
          <w:noProof/>
          <w:lang w:val="en-US"/>
        </w:rPr>
        <w:drawing>
          <wp:inline distT="0" distB="0" distL="0" distR="0" wp14:anchorId="49540804" wp14:editId="37C45081">
            <wp:extent cx="2716530" cy="2084956"/>
            <wp:effectExtent l="0" t="0" r="1270" b="0"/>
            <wp:docPr id="1103" name="Imagen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Q6v3.png"/>
                    <pic:cNvPicPr/>
                  </pic:nvPicPr>
                  <pic:blipFill>
                    <a:blip r:embed="rId1311"/>
                    <a:stretch>
                      <a:fillRect/>
                    </a:stretch>
                  </pic:blipFill>
                  <pic:spPr>
                    <a:xfrm>
                      <a:off x="0" y="0"/>
                      <a:ext cx="2766868" cy="2123591"/>
                    </a:xfrm>
                    <a:prstGeom prst="rect">
                      <a:avLst/>
                    </a:prstGeom>
                  </pic:spPr>
                </pic:pic>
              </a:graphicData>
            </a:graphic>
          </wp:inline>
        </w:drawing>
      </w:r>
    </w:p>
    <w:p w:rsidR="00D31BFD" w:rsidRPr="0089364E" w:rsidRDefault="00D31BFD" w:rsidP="00D31BFD">
      <w:pPr>
        <w:jc w:val="both"/>
        <w:rPr>
          <w:rFonts w:ascii="Arial" w:hAnsi="Arial" w:cs="Arial"/>
        </w:rPr>
      </w:pPr>
    </w:p>
    <w:p w:rsidR="00D31BFD" w:rsidRDefault="00D31BFD" w:rsidP="00D31BFD">
      <w:pPr>
        <w:pStyle w:val="NormalWeb"/>
        <w:spacing w:before="0" w:beforeAutospacing="0" w:after="0" w:afterAutospacing="0"/>
        <w:jc w:val="both"/>
        <w:rPr>
          <w:rFonts w:ascii="Arial" w:hAnsi="Arial" w:cs="Arial"/>
        </w:rPr>
      </w:pPr>
      <w:r w:rsidRPr="0089364E">
        <w:rPr>
          <w:rFonts w:ascii="Arial" w:hAnsi="Arial" w:cs="Arial"/>
        </w:rPr>
        <w:t xml:space="preserve">La pregunta 6 confirma el preconcepto de que a grandes alturas la fuerza gravitacional deja de existir, la respuesta a) </w:t>
      </w:r>
      <w:r w:rsidRPr="0089364E">
        <w:rPr>
          <w:rFonts w:ascii="Arial" w:hAnsi="Arial" w:cs="Arial"/>
          <w:i/>
        </w:rPr>
        <w:t>no tiene peso</w:t>
      </w:r>
      <w:r w:rsidRPr="0089364E">
        <w:rPr>
          <w:rFonts w:ascii="Arial" w:hAnsi="Arial" w:cs="Arial"/>
        </w:rPr>
        <w:t xml:space="preserve"> significa la asignación del “peso” al objeto mismo, lo que también se observa en la pregunta 2, cuando los alumnos responden que </w:t>
      </w:r>
      <w:r w:rsidRPr="0089364E">
        <w:rPr>
          <w:rFonts w:ascii="Arial" w:hAnsi="Arial" w:cs="Arial"/>
          <w:i/>
        </w:rPr>
        <w:t>el peso tiene su origen en el objeto.</w:t>
      </w:r>
      <w:r w:rsidRPr="0089364E">
        <w:rPr>
          <w:rFonts w:ascii="Arial" w:hAnsi="Arial" w:cs="Arial"/>
        </w:rPr>
        <w:t xml:space="preserve"> En este caso es más claro este razonamiento, porque el 14% (13 alumnos) asocian el peso al objeto.</w:t>
      </w:r>
    </w:p>
    <w:p w:rsidR="00D31BFD" w:rsidRPr="0089364E" w:rsidRDefault="00D31BFD" w:rsidP="00D31BFD">
      <w:pPr>
        <w:pStyle w:val="NormalWeb"/>
        <w:spacing w:before="0" w:beforeAutospacing="0" w:after="0" w:afterAutospacing="0"/>
        <w:ind w:firstLine="567"/>
        <w:jc w:val="both"/>
        <w:rPr>
          <w:rFonts w:ascii="Arial" w:hAnsi="Arial" w:cs="Arial"/>
          <w:lang w:eastAsia="es-MX"/>
        </w:rPr>
      </w:pPr>
      <w:r w:rsidRPr="0089364E">
        <w:rPr>
          <w:rFonts w:ascii="Arial" w:hAnsi="Arial" w:cs="Arial"/>
        </w:rPr>
        <w:t xml:space="preserve">Recordemos el modo de expresión “un ladrillo pesa más que un papel” refleja el hecho de que el peso lo “tiene” el objeto y no se debe a una fuerza externa. Exactamente este es el sentido de la respuesta a) en la pregunta 7 en la que, al preguntar sobre la causa de la ascensión de un buzo dentro del agua, la respuesta de 8 alumnos (9%) es que la fuerza gravitacional no afecta al buzo. Esto nuevamente nos indica que algunos alumnos presentan un nivel cognitivo concreto donde el peso reside en el objeto y a mayor tamaño, mayor peso, y en algunas otras situaciones, como la del buzo, </w:t>
      </w:r>
      <w:r w:rsidRPr="0089364E">
        <w:rPr>
          <w:rFonts w:ascii="Arial" w:hAnsi="Arial" w:cs="Arial"/>
          <w:lang w:eastAsia="es-MX"/>
        </w:rPr>
        <w:t>la fuerza gravitacional no tiene efecto, por razones desconocidas, sobre un objeto. Esto se confirma con las respuestas a la pregunta 10 en la que se pregunta sobre la fuerza gravitacional a 5 km de altura, la respuesta mayoritaria (83%) es “la misma que en la superficie terrestre”, pero 17% (19 alumnos) responden que es mucho menor que en la superficie terrestre. Es una confirmación de que para un subgrupo de alumnos la gravedad se “extingue” poco a poco hasta llegar a la altura de una estación espacial que orbite la Tierra.</w:t>
      </w:r>
      <w:r>
        <w:rPr>
          <w:rFonts w:ascii="Arial" w:hAnsi="Arial" w:cs="Arial"/>
          <w:lang w:eastAsia="es-MX"/>
        </w:rPr>
        <w:t xml:space="preserve"> No encontramos en las justificaciones escritas libremente alguna que hable de un “límite” a la actuación de la fuerza gravitacional, al parecer hay un salto cualitativo de la fuerza que se ejerce al nivel de la superficie terrestre a la ausencia de ella en el “espacio exterior” aunque cabe decir que no existe tampoco una definición clara de lo que significa “espacio exterior” o a cuantos kilómetros se encuentra. Nuevamente es una situación que resulta de la falta de un razonamiento formal, pues como afirma Piaget en </w:t>
      </w:r>
      <w:r w:rsidRPr="009C7BB3">
        <w:rPr>
          <w:rFonts w:ascii="Arial" w:hAnsi="Arial" w:cs="Arial"/>
          <w:i/>
        </w:rPr>
        <w:t xml:space="preserve">The growth of logical thinking from childhood to </w:t>
      </w:r>
      <w:r w:rsidRPr="002011DF">
        <w:rPr>
          <w:rFonts w:ascii="Arial" w:hAnsi="Arial" w:cs="Arial"/>
          <w:i/>
        </w:rPr>
        <w:t>adolescence</w:t>
      </w:r>
      <w:r w:rsidRPr="002011DF">
        <w:rPr>
          <w:rFonts w:ascii="Arial" w:hAnsi="Arial" w:cs="Arial"/>
          <w:vertAlign w:val="superscript"/>
        </w:rPr>
        <w:t>[12]</w:t>
      </w:r>
      <w:r w:rsidRPr="002011DF">
        <w:rPr>
          <w:rFonts w:ascii="Arial" w:hAnsi="Arial" w:cs="Arial"/>
          <w:lang w:eastAsia="es-MX"/>
        </w:rPr>
        <w:t xml:space="preserve">  </w:t>
      </w:r>
      <w:r>
        <w:rPr>
          <w:rFonts w:ascii="Arial" w:hAnsi="Arial" w:cs="Arial"/>
          <w:lang w:eastAsia="es-MX"/>
        </w:rPr>
        <w:t>“…la característica más prominente del pensamiento formal es que ya no trata más con objetos directamente, sino con elementos verbales…” y este es el modo preferido de enseñanza de la física en clase teórica, el razonamiento verbal, por lo que es clara la importancia de que algunos alumnos no hayan desarrollado este tipo de razonamiento abstracto.</w:t>
      </w:r>
    </w:p>
    <w:p w:rsidR="00D31BFD" w:rsidRDefault="00D31BFD" w:rsidP="00D31BFD">
      <w:pPr>
        <w:rPr>
          <w:rFonts w:ascii="Arial" w:eastAsia="Times New Roman" w:hAnsi="Arial" w:cs="Arial"/>
          <w:lang w:val="es-MX" w:eastAsia="es-MX"/>
        </w:rPr>
      </w:pPr>
    </w:p>
    <w:p w:rsidR="00D31BFD" w:rsidRDefault="00D31BFD" w:rsidP="00D31BFD">
      <w:pPr>
        <w:rPr>
          <w:rFonts w:ascii="Arial" w:eastAsia="Times New Roman" w:hAnsi="Arial" w:cs="Arial"/>
          <w:lang w:val="es-MX" w:eastAsia="es-MX"/>
        </w:rPr>
      </w:pPr>
    </w:p>
    <w:p w:rsidR="00D31BFD" w:rsidRPr="0089364E" w:rsidRDefault="00D31BFD" w:rsidP="00D31BFD">
      <w:pPr>
        <w:jc w:val="center"/>
        <w:rPr>
          <w:rFonts w:ascii="Arial" w:eastAsia="Times New Roman" w:hAnsi="Arial" w:cs="Arial"/>
          <w:lang w:val="es-MX" w:eastAsia="es-MX"/>
        </w:rPr>
      </w:pPr>
      <w:r>
        <w:rPr>
          <w:rFonts w:ascii="Arial" w:eastAsia="Times New Roman" w:hAnsi="Arial" w:cs="Arial"/>
          <w:noProof/>
          <w:lang w:val="en-US"/>
        </w:rPr>
        <w:drawing>
          <wp:inline distT="0" distB="0" distL="0" distR="0" wp14:anchorId="0151308C" wp14:editId="22C00982">
            <wp:extent cx="2254250" cy="1730153"/>
            <wp:effectExtent l="0" t="0" r="0" b="3810"/>
            <wp:docPr id="1104" name="Imagen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Q8v3.png"/>
                    <pic:cNvPicPr/>
                  </pic:nvPicPr>
                  <pic:blipFill>
                    <a:blip r:embed="rId1312"/>
                    <a:stretch>
                      <a:fillRect/>
                    </a:stretch>
                  </pic:blipFill>
                  <pic:spPr>
                    <a:xfrm>
                      <a:off x="0" y="0"/>
                      <a:ext cx="2288958" cy="1756791"/>
                    </a:xfrm>
                    <a:prstGeom prst="rect">
                      <a:avLst/>
                    </a:prstGeom>
                  </pic:spPr>
                </pic:pic>
              </a:graphicData>
            </a:graphic>
          </wp:inline>
        </w:drawing>
      </w:r>
    </w:p>
    <w:p w:rsidR="00D31BFD" w:rsidRPr="0089364E" w:rsidRDefault="00D31BFD" w:rsidP="00D31BFD">
      <w:pPr>
        <w:jc w:val="both"/>
        <w:rPr>
          <w:rFonts w:ascii="Arial" w:hAnsi="Arial" w:cs="Arial"/>
          <w:lang w:val="es-MX"/>
        </w:rPr>
      </w:pPr>
    </w:p>
    <w:p w:rsidR="00D31BFD" w:rsidRPr="0089364E" w:rsidRDefault="00D31BFD" w:rsidP="00D31BFD">
      <w:pPr>
        <w:jc w:val="both"/>
        <w:rPr>
          <w:rFonts w:ascii="Arial" w:hAnsi="Arial" w:cs="Arial"/>
          <w:lang w:val="es-MX"/>
        </w:rPr>
      </w:pPr>
      <w:r w:rsidRPr="0089364E">
        <w:rPr>
          <w:rFonts w:ascii="Arial" w:hAnsi="Arial" w:cs="Arial"/>
          <w:lang w:val="es-MX"/>
        </w:rPr>
        <w:t xml:space="preserve">La pregunta 8 es acerca de la razón de que un globo lleno de helio, ascienda. Las opciones de respuesta son: </w:t>
      </w:r>
    </w:p>
    <w:p w:rsidR="00D31BFD" w:rsidRPr="0061607F" w:rsidRDefault="00D31BFD" w:rsidP="00D31BFD">
      <w:pPr>
        <w:jc w:val="both"/>
        <w:rPr>
          <w:rFonts w:ascii="Arial" w:hAnsi="Arial" w:cs="Arial"/>
          <w:i/>
          <w:sz w:val="20"/>
          <w:szCs w:val="20"/>
        </w:rPr>
      </w:pPr>
      <w:r w:rsidRPr="0061607F">
        <w:rPr>
          <w:rFonts w:ascii="Arial" w:hAnsi="Arial" w:cs="Arial"/>
          <w:i/>
          <w:sz w:val="20"/>
          <w:szCs w:val="20"/>
        </w:rPr>
        <w:t>a) Sobre él no actúa la fuerza gravitacional.</w:t>
      </w:r>
    </w:p>
    <w:p w:rsidR="00D31BFD" w:rsidRPr="0061607F" w:rsidRDefault="00D31BFD" w:rsidP="00D31BFD">
      <w:pPr>
        <w:jc w:val="both"/>
        <w:rPr>
          <w:rFonts w:ascii="Arial" w:hAnsi="Arial" w:cs="Arial"/>
          <w:i/>
          <w:sz w:val="20"/>
          <w:szCs w:val="20"/>
        </w:rPr>
      </w:pPr>
      <w:r w:rsidRPr="0061607F">
        <w:rPr>
          <w:rFonts w:ascii="Arial" w:hAnsi="Arial" w:cs="Arial"/>
          <w:i/>
          <w:sz w:val="20"/>
          <w:szCs w:val="20"/>
        </w:rPr>
        <w:t>b) El gas dentro del globo lo tiende a llevar hacia arriba.</w:t>
      </w:r>
    </w:p>
    <w:p w:rsidR="00D31BFD" w:rsidRPr="0061607F" w:rsidRDefault="00D31BFD" w:rsidP="00D31BFD">
      <w:pPr>
        <w:jc w:val="both"/>
        <w:rPr>
          <w:rFonts w:ascii="Arial" w:hAnsi="Arial" w:cs="Arial"/>
          <w:i/>
          <w:sz w:val="20"/>
          <w:szCs w:val="20"/>
        </w:rPr>
      </w:pPr>
      <w:r w:rsidRPr="0061607F">
        <w:rPr>
          <w:rFonts w:ascii="Arial" w:hAnsi="Arial" w:cs="Arial"/>
          <w:i/>
          <w:sz w:val="20"/>
          <w:szCs w:val="20"/>
        </w:rPr>
        <w:t>c) La fuerza de flotación sobre el globo es mayor que la fuerza gravitacional.</w:t>
      </w:r>
    </w:p>
    <w:p w:rsidR="00D31BFD" w:rsidRDefault="00D31BFD" w:rsidP="00D31BFD">
      <w:pPr>
        <w:jc w:val="both"/>
        <w:rPr>
          <w:rFonts w:ascii="Arial" w:hAnsi="Arial" w:cs="Arial"/>
        </w:rPr>
      </w:pPr>
      <w:r w:rsidRPr="0089364E">
        <w:rPr>
          <w:rFonts w:ascii="Arial" w:hAnsi="Arial" w:cs="Arial"/>
        </w:rPr>
        <w:t>Como se observa la respuesta seleccionada en un 64% es la b) que no explica nada, simplemente “así ocurren las cosas”, es decir vemos un razonamiento de tipo concreto que no va más allá de lo que el estudiante observa. Este es un preconcepto que muestran muchos de los estudiantes de bachillerato, pues no alcanzan a comprender el proceso de flotación más que en términos de una explicación directa, lo que es indica</w:t>
      </w:r>
      <w:r>
        <w:rPr>
          <w:rFonts w:ascii="Arial" w:hAnsi="Arial" w:cs="Arial"/>
        </w:rPr>
        <w:t>tivo de un pensamiento concreto; en este caso el razonamiento está presente en la Universidad y es el responsable de la falta de comprensión de algunos alumnos.</w:t>
      </w:r>
    </w:p>
    <w:p w:rsidR="00D31BFD" w:rsidRDefault="00D31BFD" w:rsidP="00D31BFD">
      <w:pPr>
        <w:jc w:val="both"/>
        <w:rPr>
          <w:rFonts w:ascii="Arial" w:hAnsi="Arial" w:cs="Arial"/>
          <w:b/>
        </w:rPr>
      </w:pPr>
    </w:p>
    <w:p w:rsidR="00D31BFD" w:rsidRDefault="00D31BFD" w:rsidP="00D31BFD">
      <w:pPr>
        <w:jc w:val="both"/>
        <w:rPr>
          <w:rFonts w:ascii="Arial" w:hAnsi="Arial" w:cs="Arial"/>
          <w:b/>
        </w:rPr>
      </w:pPr>
    </w:p>
    <w:p w:rsidR="00D31BFD" w:rsidRDefault="00D31BFD" w:rsidP="00D31BFD">
      <w:pPr>
        <w:jc w:val="both"/>
        <w:rPr>
          <w:rFonts w:ascii="Arial" w:hAnsi="Arial" w:cs="Arial"/>
          <w:b/>
        </w:rPr>
      </w:pPr>
    </w:p>
    <w:p w:rsidR="00D31BFD" w:rsidRDefault="00D31BFD" w:rsidP="00D31BFD">
      <w:pPr>
        <w:jc w:val="both"/>
        <w:rPr>
          <w:rFonts w:ascii="Arial" w:hAnsi="Arial" w:cs="Arial"/>
          <w:b/>
        </w:rPr>
      </w:pPr>
    </w:p>
    <w:p w:rsidR="00D31BFD" w:rsidRPr="005B6454" w:rsidRDefault="00D31BFD" w:rsidP="001D2A3D">
      <w:pPr>
        <w:pStyle w:val="1Titulo"/>
        <w:numPr>
          <w:ilvl w:val="0"/>
          <w:numId w:val="69"/>
        </w:numPr>
      </w:pPr>
      <w:bookmarkStart w:id="412" w:name="_Toc50031455"/>
      <w:r w:rsidRPr="005B6454">
        <w:t>Conclusiones</w:t>
      </w:r>
      <w:bookmarkEnd w:id="412"/>
    </w:p>
    <w:p w:rsidR="00D31BFD" w:rsidRDefault="00D31BFD" w:rsidP="00D31BFD">
      <w:pPr>
        <w:jc w:val="both"/>
        <w:rPr>
          <w:rFonts w:ascii="Arial" w:hAnsi="Arial" w:cs="Arial"/>
        </w:rPr>
      </w:pPr>
    </w:p>
    <w:p w:rsidR="00D31BFD" w:rsidRPr="00E665FA" w:rsidRDefault="00D31BFD" w:rsidP="00D31BFD">
      <w:pPr>
        <w:jc w:val="both"/>
        <w:rPr>
          <w:rFonts w:ascii="Arial" w:hAnsi="Arial" w:cs="Arial"/>
        </w:rPr>
      </w:pPr>
      <w:r w:rsidRPr="00E665FA">
        <w:rPr>
          <w:rFonts w:ascii="Arial" w:hAnsi="Arial" w:cs="Arial"/>
        </w:rPr>
        <w:t>Encontramos que los alumnos de primer ingreso tienen varios preconceptos que ya han sido reportados en la literatura para otros países. Más importante es el hecho de que el nivel co</w:t>
      </w:r>
      <w:r>
        <w:rPr>
          <w:rFonts w:ascii="Arial" w:hAnsi="Arial" w:cs="Arial"/>
        </w:rPr>
        <w:t>gnitivo de un subgrupo de ellos</w:t>
      </w:r>
      <w:r w:rsidRPr="00E665FA">
        <w:rPr>
          <w:rFonts w:ascii="Arial" w:hAnsi="Arial" w:cs="Arial"/>
        </w:rPr>
        <w:t xml:space="preserve"> -de acuerdo con la clasificación de Piaget e Inhelder del desarrollo cognitivo- se encuentre en un estadio menor al que se espera, pues ya son adolescentes y deberían estar en la última etapa de desarrollo, la etapa de pensamient</w:t>
      </w:r>
      <w:r>
        <w:rPr>
          <w:rFonts w:ascii="Arial" w:hAnsi="Arial" w:cs="Arial"/>
        </w:rPr>
        <w:t xml:space="preserve">o formal, es decir </w:t>
      </w:r>
      <w:r w:rsidRPr="00E665FA">
        <w:rPr>
          <w:rFonts w:ascii="Arial" w:hAnsi="Arial" w:cs="Arial"/>
        </w:rPr>
        <w:t>no cuentan con la estructura cognitiva para la comprensión de conceptos abstractos o que se basen en “experimentos pensados” que la mayoría de profesores utiliza para discutir</w:t>
      </w:r>
      <w:r>
        <w:rPr>
          <w:rFonts w:ascii="Arial" w:hAnsi="Arial" w:cs="Arial"/>
        </w:rPr>
        <w:t xml:space="preserve"> </w:t>
      </w:r>
      <w:r w:rsidRPr="00E665FA">
        <w:rPr>
          <w:rFonts w:ascii="Arial" w:hAnsi="Arial" w:cs="Arial"/>
        </w:rPr>
        <w:t>lo que ocurre con la fuerza de atracción gravitacional, incluso un método muy utilizado es hacer referencia a la ecuación del campo y de aquí postular varios resultados que se desprenden del análisis algebraico</w:t>
      </w:r>
      <w:r>
        <w:rPr>
          <w:rFonts w:ascii="Arial" w:hAnsi="Arial" w:cs="Arial"/>
        </w:rPr>
        <w:t xml:space="preserve">, pero por mejor planteada que esté la explicación un cierto número de alumnos </w:t>
      </w:r>
      <w:r w:rsidRPr="00E665FA">
        <w:rPr>
          <w:rFonts w:ascii="Arial" w:hAnsi="Arial" w:cs="Arial"/>
        </w:rPr>
        <w:t>no logrará la comprensión</w:t>
      </w:r>
      <w:r>
        <w:rPr>
          <w:rFonts w:ascii="Arial" w:hAnsi="Arial" w:cs="Arial"/>
        </w:rPr>
        <w:t>. Señalemos que</w:t>
      </w:r>
      <w:r w:rsidRPr="00E665FA">
        <w:rPr>
          <w:rFonts w:ascii="Arial" w:hAnsi="Arial" w:cs="Arial"/>
        </w:rPr>
        <w:t xml:space="preserve"> esta es la razón de que después de </w:t>
      </w:r>
      <w:r>
        <w:rPr>
          <w:rFonts w:ascii="Arial" w:hAnsi="Arial" w:cs="Arial"/>
        </w:rPr>
        <w:t>que los alumnos sigan</w:t>
      </w:r>
      <w:r w:rsidRPr="00E665FA">
        <w:rPr>
          <w:rFonts w:ascii="Arial" w:hAnsi="Arial" w:cs="Arial"/>
        </w:rPr>
        <w:t xml:space="preserve"> un curso donde se discuten este y otros preco</w:t>
      </w:r>
      <w:r>
        <w:rPr>
          <w:rFonts w:ascii="Arial" w:hAnsi="Arial" w:cs="Arial"/>
        </w:rPr>
        <w:t>nceptos, algunos</w:t>
      </w:r>
      <w:r w:rsidRPr="00E665FA">
        <w:rPr>
          <w:rFonts w:ascii="Arial" w:hAnsi="Arial" w:cs="Arial"/>
        </w:rPr>
        <w:t xml:space="preserve"> no logran comprender </w:t>
      </w:r>
      <w:r>
        <w:rPr>
          <w:rFonts w:ascii="Arial" w:hAnsi="Arial" w:cs="Arial"/>
        </w:rPr>
        <w:t xml:space="preserve">el fenómeno </w:t>
      </w:r>
      <w:r w:rsidRPr="00E665FA">
        <w:rPr>
          <w:rFonts w:ascii="Arial" w:hAnsi="Arial" w:cs="Arial"/>
        </w:rPr>
        <w:t xml:space="preserve">y durante un tiempo </w:t>
      </w:r>
      <w:r>
        <w:rPr>
          <w:rFonts w:ascii="Arial" w:hAnsi="Arial" w:cs="Arial"/>
        </w:rPr>
        <w:t xml:space="preserve">continúan con preconceptos en el tema. </w:t>
      </w:r>
      <w:r w:rsidRPr="00E665FA">
        <w:rPr>
          <w:rFonts w:ascii="Arial" w:hAnsi="Arial" w:cs="Arial"/>
        </w:rPr>
        <w:t xml:space="preserve"> </w:t>
      </w:r>
    </w:p>
    <w:p w:rsidR="00D31BFD" w:rsidRPr="0089364E" w:rsidRDefault="00D31BFD" w:rsidP="00D31BFD">
      <w:pPr>
        <w:ind w:firstLine="567"/>
        <w:jc w:val="both"/>
        <w:rPr>
          <w:rFonts w:ascii="Arial" w:hAnsi="Arial" w:cs="Arial"/>
        </w:rPr>
      </w:pPr>
      <w:r w:rsidRPr="00E665FA">
        <w:rPr>
          <w:rFonts w:ascii="Arial" w:hAnsi="Arial" w:cs="Arial"/>
        </w:rPr>
        <w:t>Un doc</w:t>
      </w:r>
      <w:r>
        <w:rPr>
          <w:rFonts w:ascii="Arial" w:hAnsi="Arial" w:cs="Arial"/>
        </w:rPr>
        <w:t xml:space="preserve">ente debe tener cuidado con </w:t>
      </w:r>
      <w:r w:rsidRPr="00E665FA">
        <w:rPr>
          <w:rFonts w:ascii="Arial" w:hAnsi="Arial" w:cs="Arial"/>
        </w:rPr>
        <w:t>este tipo de alumnos</w:t>
      </w:r>
      <w:r>
        <w:rPr>
          <w:rFonts w:ascii="Arial" w:hAnsi="Arial" w:cs="Arial"/>
        </w:rPr>
        <w:t>,</w:t>
      </w:r>
      <w:r w:rsidRPr="00E665FA">
        <w:rPr>
          <w:rFonts w:ascii="Arial" w:hAnsi="Arial" w:cs="Arial"/>
        </w:rPr>
        <w:t xml:space="preserve"> sobretodo porque muchos no esperan que la falta de comprensión provenga de una falta de madurez y no conciben que una explicación aparentemente sencilla, sin complicaciones</w:t>
      </w:r>
      <w:r>
        <w:rPr>
          <w:rFonts w:ascii="Arial" w:hAnsi="Arial" w:cs="Arial"/>
        </w:rPr>
        <w:t>,</w:t>
      </w:r>
      <w:r w:rsidRPr="00E665FA">
        <w:rPr>
          <w:rFonts w:ascii="Arial" w:hAnsi="Arial" w:cs="Arial"/>
        </w:rPr>
        <w:t xml:space="preserve"> sobre la fuerza de atracción no aclare los conceptos en los alumnos, esta situación es delicada en el aula</w:t>
      </w:r>
      <w:r>
        <w:rPr>
          <w:rFonts w:ascii="Arial" w:hAnsi="Arial" w:cs="Arial"/>
        </w:rPr>
        <w:t xml:space="preserve">. Las repercusiones para otros aspectos académicos son importantes pues incluso en la resolución de </w:t>
      </w:r>
      <w:r w:rsidRPr="002011DF">
        <w:rPr>
          <w:rFonts w:ascii="Arial" w:hAnsi="Arial" w:cs="Arial"/>
        </w:rPr>
        <w:t>problemas</w:t>
      </w:r>
      <w:r w:rsidRPr="002011DF">
        <w:rPr>
          <w:rFonts w:ascii="Arial" w:hAnsi="Arial" w:cs="Arial"/>
          <w:vertAlign w:val="superscript"/>
        </w:rPr>
        <w:t>[13]</w:t>
      </w:r>
      <w:r w:rsidRPr="002011DF">
        <w:rPr>
          <w:rFonts w:ascii="Arial" w:hAnsi="Arial" w:cs="Arial"/>
        </w:rPr>
        <w:t xml:space="preserve"> uno </w:t>
      </w:r>
      <w:r>
        <w:rPr>
          <w:rFonts w:ascii="Arial" w:hAnsi="Arial" w:cs="Arial"/>
        </w:rPr>
        <w:t>de los puntos en que más errores se cometen es en la parametrización, es decir en la asignación de variables matemáticas a las magnitudes físicas, pues si no se comprende una magnitud física, no es posible asignarle una variable matemática; lo mismo ocurre cuando el alumno busca la “fórmula” que resuelve el problema, pues se trata de una entidad concreta, en cambio el razonamiento con varias ecuaciones es un camino mucho más abstracto. L</w:t>
      </w:r>
      <w:r w:rsidRPr="00E665FA">
        <w:rPr>
          <w:rFonts w:ascii="Arial" w:hAnsi="Arial" w:cs="Arial"/>
        </w:rPr>
        <w:t xml:space="preserve">os docentes deben estar al tanto de </w:t>
      </w:r>
      <w:r>
        <w:rPr>
          <w:rFonts w:ascii="Arial" w:hAnsi="Arial" w:cs="Arial"/>
        </w:rPr>
        <w:t>esta falta de madurez cognitiva</w:t>
      </w:r>
      <w:r w:rsidRPr="00E665FA">
        <w:rPr>
          <w:rFonts w:ascii="Arial" w:hAnsi="Arial" w:cs="Arial"/>
        </w:rPr>
        <w:t>, porque al m</w:t>
      </w:r>
      <w:r>
        <w:rPr>
          <w:rFonts w:ascii="Arial" w:hAnsi="Arial" w:cs="Arial"/>
        </w:rPr>
        <w:t>enos, un pequeño subgrupo de los</w:t>
      </w:r>
      <w:r w:rsidRPr="00E665FA">
        <w:rPr>
          <w:rFonts w:ascii="Arial" w:hAnsi="Arial" w:cs="Arial"/>
        </w:rPr>
        <w:t xml:space="preserve"> alumnos </w:t>
      </w:r>
      <w:r>
        <w:rPr>
          <w:rFonts w:ascii="Arial" w:hAnsi="Arial" w:cs="Arial"/>
        </w:rPr>
        <w:t>de primer ingres</w:t>
      </w:r>
      <w:r w:rsidRPr="00E665FA">
        <w:rPr>
          <w:rFonts w:ascii="Arial" w:hAnsi="Arial" w:cs="Arial"/>
        </w:rPr>
        <w:t>o</w:t>
      </w:r>
      <w:r>
        <w:rPr>
          <w:rFonts w:ascii="Arial" w:hAnsi="Arial" w:cs="Arial"/>
        </w:rPr>
        <w:t xml:space="preserve"> se encuentra en esta situación, aunque esto no significa que el resto no tenga problemas, por ejemplo, en este estudio, tan sólo 5 alumnos, contestaron correctamente todo el cuestionario, lo que es un porcentaje muy bajo (5%) para conocimientos que se imparten uno o tres años antes de ingresar a la Universidad. Una buena utilización de este trabajo implica compartir estos hallazgos desde espacios académicos para mejorar el desempeño de nuestros estudiantes. Finalmente, a partir de</w:t>
      </w:r>
      <w:r w:rsidRPr="0089364E">
        <w:rPr>
          <w:rFonts w:ascii="Arial" w:hAnsi="Arial" w:cs="Arial"/>
        </w:rPr>
        <w:t xml:space="preserve"> los preconceptos </w:t>
      </w:r>
      <w:r>
        <w:rPr>
          <w:rFonts w:ascii="Arial" w:hAnsi="Arial" w:cs="Arial"/>
        </w:rPr>
        <w:t>determinados observaremos su evolución</w:t>
      </w:r>
      <w:r w:rsidRPr="0089364E">
        <w:rPr>
          <w:rFonts w:ascii="Arial" w:hAnsi="Arial" w:cs="Arial"/>
        </w:rPr>
        <w:t xml:space="preserve"> despué</w:t>
      </w:r>
      <w:r>
        <w:rPr>
          <w:rFonts w:ascii="Arial" w:hAnsi="Arial" w:cs="Arial"/>
        </w:rPr>
        <w:t>s de una instrucción activa que será planteada en un siguiente trabajo.</w:t>
      </w:r>
    </w:p>
    <w:p w:rsidR="00D31BFD" w:rsidRPr="00E665FA" w:rsidRDefault="00D31BFD" w:rsidP="00D31BFD">
      <w:pPr>
        <w:jc w:val="both"/>
        <w:rPr>
          <w:rFonts w:ascii="Arial" w:hAnsi="Arial" w:cs="Arial"/>
        </w:rPr>
      </w:pPr>
    </w:p>
    <w:p w:rsidR="00D31BFD" w:rsidRPr="00E665FA" w:rsidRDefault="00D31BFD" w:rsidP="00D31BFD">
      <w:pPr>
        <w:rPr>
          <w:rFonts w:ascii="Arial" w:hAnsi="Arial" w:cs="Arial"/>
        </w:rPr>
      </w:pPr>
    </w:p>
    <w:p w:rsidR="00D31BFD" w:rsidRPr="00C553D9" w:rsidRDefault="00D31BFD" w:rsidP="001D2A3D">
      <w:pPr>
        <w:pStyle w:val="1Titulo"/>
        <w:numPr>
          <w:ilvl w:val="0"/>
          <w:numId w:val="69"/>
        </w:numPr>
      </w:pPr>
      <w:bookmarkStart w:id="413" w:name="_Toc50031456"/>
      <w:r w:rsidRPr="00C553D9">
        <w:t>Bibliografía</w:t>
      </w:r>
      <w:bookmarkEnd w:id="413"/>
    </w:p>
    <w:p w:rsidR="00D31BFD" w:rsidRDefault="00D31BFD" w:rsidP="00D31BFD">
      <w:pPr>
        <w:rPr>
          <w:rFonts w:ascii="Arial" w:hAnsi="Arial" w:cs="Arial"/>
          <w:lang w:val="en-US"/>
        </w:rPr>
      </w:pPr>
    </w:p>
    <w:p w:rsidR="00D31BFD" w:rsidRPr="00D31BFD" w:rsidRDefault="00D31BFD" w:rsidP="001D2A3D">
      <w:pPr>
        <w:pStyle w:val="Prrafodelista"/>
        <w:numPr>
          <w:ilvl w:val="0"/>
          <w:numId w:val="68"/>
        </w:numPr>
        <w:tabs>
          <w:tab w:val="left" w:pos="750"/>
        </w:tabs>
        <w:suppressAutoHyphens/>
        <w:spacing w:after="0" w:line="240" w:lineRule="auto"/>
        <w:jc w:val="both"/>
        <w:rPr>
          <w:rFonts w:ascii="Arial" w:eastAsia="Batang" w:hAnsi="Arial" w:cs="Arial"/>
          <w:lang w:val="en-US" w:eastAsia="ko-KR"/>
        </w:rPr>
      </w:pPr>
      <w:r w:rsidRPr="00D31BFD">
        <w:rPr>
          <w:rFonts w:ascii="Arial" w:eastAsia="Batang" w:hAnsi="Arial" w:cs="Arial"/>
          <w:lang w:val="en-US" w:eastAsia="ko-KR"/>
        </w:rPr>
        <w:t>Lelliot, A. (2014). Understanding Gravity: The Role of a School Visit to a Science Centre, International Journal of Science Education, Part B, 4:4, 305-322.</w:t>
      </w:r>
    </w:p>
    <w:p w:rsidR="00D31BFD" w:rsidRPr="00677138" w:rsidRDefault="00D31BFD" w:rsidP="001D2A3D">
      <w:pPr>
        <w:pStyle w:val="Prrafodelista"/>
        <w:numPr>
          <w:ilvl w:val="0"/>
          <w:numId w:val="68"/>
        </w:numPr>
        <w:tabs>
          <w:tab w:val="left" w:pos="750"/>
        </w:tabs>
        <w:suppressAutoHyphens/>
        <w:spacing w:after="0" w:line="240" w:lineRule="auto"/>
        <w:jc w:val="both"/>
        <w:rPr>
          <w:rFonts w:ascii="Arial" w:eastAsia="Batang" w:hAnsi="Arial" w:cs="Arial"/>
          <w:lang w:eastAsia="ko-KR"/>
        </w:rPr>
      </w:pPr>
      <w:r w:rsidRPr="00D31BFD">
        <w:rPr>
          <w:rFonts w:ascii="Arial" w:eastAsia="Batang" w:hAnsi="Arial" w:cs="Arial"/>
          <w:lang w:val="en-US" w:eastAsia="ko-KR"/>
        </w:rPr>
        <w:t xml:space="preserve">Pablico, R., J. (2010). Misconceptions on force and gravity among high school students. </w:t>
      </w:r>
      <w:r w:rsidRPr="00CC61D4">
        <w:rPr>
          <w:rFonts w:ascii="Arial" w:eastAsia="Batang" w:hAnsi="Arial" w:cs="Arial"/>
          <w:i/>
          <w:lang w:eastAsia="ko-KR"/>
        </w:rPr>
        <w:t>LSU master’s</w:t>
      </w:r>
      <w:r>
        <w:rPr>
          <w:rFonts w:ascii="Arial" w:eastAsia="Batang" w:hAnsi="Arial" w:cs="Arial"/>
          <w:lang w:eastAsia="ko-KR"/>
        </w:rPr>
        <w:t xml:space="preserve"> Theses.2462. </w:t>
      </w:r>
      <w:hyperlink r:id="rId1313" w:history="1">
        <w:r w:rsidRPr="003307A9">
          <w:rPr>
            <w:rStyle w:val="Hipervnculo"/>
            <w:lang w:eastAsia="ko-KR"/>
          </w:rPr>
          <w:t>https://digitalcommons.lsu.edu/ gradschool_theses/2462</w:t>
        </w:r>
      </w:hyperlink>
      <w:r w:rsidRPr="00677138">
        <w:rPr>
          <w:rFonts w:ascii="Arial" w:eastAsia="Batang" w:hAnsi="Arial" w:cs="Arial"/>
          <w:lang w:eastAsia="ko-KR"/>
        </w:rPr>
        <w:t xml:space="preserve"> </w:t>
      </w:r>
    </w:p>
    <w:p w:rsidR="00D31BFD" w:rsidRPr="00677138" w:rsidRDefault="00D31BFD" w:rsidP="001D2A3D">
      <w:pPr>
        <w:pStyle w:val="Prrafodelista"/>
        <w:numPr>
          <w:ilvl w:val="0"/>
          <w:numId w:val="68"/>
        </w:numPr>
        <w:tabs>
          <w:tab w:val="left" w:pos="750"/>
        </w:tabs>
        <w:suppressAutoHyphens/>
        <w:spacing w:after="0" w:line="240" w:lineRule="auto"/>
        <w:jc w:val="both"/>
        <w:rPr>
          <w:rFonts w:ascii="Arial" w:eastAsia="Batang" w:hAnsi="Arial" w:cs="Arial"/>
          <w:lang w:eastAsia="ko-KR"/>
        </w:rPr>
      </w:pPr>
      <w:r w:rsidRPr="00D31BFD">
        <w:rPr>
          <w:rFonts w:ascii="Arial" w:eastAsia="Batang" w:hAnsi="Arial" w:cs="Arial"/>
          <w:lang w:val="en-US" w:eastAsia="ko-KR"/>
        </w:rPr>
        <w:t xml:space="preserve">Palmer, D. (2001). Students’ alternative conceptions and scientifically acceptable conceptions about gravity. </w:t>
      </w:r>
      <w:r w:rsidRPr="00CC61D4">
        <w:rPr>
          <w:rFonts w:ascii="Arial" w:eastAsia="Batang" w:hAnsi="Arial" w:cs="Arial"/>
          <w:i/>
          <w:lang w:eastAsia="ko-KR"/>
        </w:rPr>
        <w:t xml:space="preserve">International Journal of Science Education, </w:t>
      </w:r>
      <w:r w:rsidRPr="00677138">
        <w:rPr>
          <w:rFonts w:ascii="Arial" w:eastAsia="Batang" w:hAnsi="Arial" w:cs="Arial"/>
          <w:lang w:eastAsia="ko-KR"/>
        </w:rPr>
        <w:t xml:space="preserve">23(7), 691–706. </w:t>
      </w:r>
    </w:p>
    <w:p w:rsidR="00D31BFD" w:rsidRPr="00677138" w:rsidRDefault="00D31BFD" w:rsidP="001D2A3D">
      <w:pPr>
        <w:pStyle w:val="Prrafodelista"/>
        <w:numPr>
          <w:ilvl w:val="0"/>
          <w:numId w:val="68"/>
        </w:numPr>
        <w:tabs>
          <w:tab w:val="left" w:pos="750"/>
        </w:tabs>
        <w:suppressAutoHyphens/>
        <w:spacing w:after="0" w:line="240" w:lineRule="auto"/>
        <w:jc w:val="both"/>
        <w:rPr>
          <w:rFonts w:ascii="Arial" w:eastAsia="Batang" w:hAnsi="Arial" w:cs="Arial"/>
          <w:lang w:eastAsia="ko-KR"/>
        </w:rPr>
      </w:pPr>
      <w:r w:rsidRPr="00677138">
        <w:rPr>
          <w:rFonts w:ascii="Arial" w:eastAsia="Batang" w:hAnsi="Arial" w:cs="Arial"/>
          <w:lang w:val="es-MX" w:eastAsia="ko-KR"/>
        </w:rPr>
        <w:t xml:space="preserve">Reynoso, E., Fierro, E., Torres, G., Vicentini-Missoni, M., Perez de Celis, J. (1993). </w:t>
      </w:r>
      <w:r w:rsidRPr="00D31BFD">
        <w:rPr>
          <w:rFonts w:ascii="Arial" w:eastAsia="Batang" w:hAnsi="Arial" w:cs="Arial"/>
          <w:lang w:val="en-US" w:eastAsia="ko-KR"/>
        </w:rPr>
        <w:t xml:space="preserve">The alternative frameworks presented by Mexican students and teachers concerning the free fall of bodies. </w:t>
      </w:r>
      <w:r w:rsidRPr="00CC61D4">
        <w:rPr>
          <w:rFonts w:ascii="Arial" w:eastAsia="Batang" w:hAnsi="Arial" w:cs="Arial"/>
          <w:i/>
          <w:lang w:eastAsia="ko-KR"/>
        </w:rPr>
        <w:t>International Journal of Science Education,</w:t>
      </w:r>
      <w:r w:rsidRPr="00677138">
        <w:rPr>
          <w:rFonts w:ascii="Arial" w:eastAsia="Batang" w:hAnsi="Arial" w:cs="Arial"/>
          <w:lang w:eastAsia="ko-KR"/>
        </w:rPr>
        <w:t xml:space="preserve"> 15(2), 127–138. </w:t>
      </w:r>
    </w:p>
    <w:p w:rsidR="00D31BFD" w:rsidRPr="00677138" w:rsidRDefault="00D31BFD" w:rsidP="001D2A3D">
      <w:pPr>
        <w:pStyle w:val="Prrafodelista"/>
        <w:numPr>
          <w:ilvl w:val="0"/>
          <w:numId w:val="68"/>
        </w:numPr>
        <w:tabs>
          <w:tab w:val="left" w:pos="750"/>
        </w:tabs>
        <w:suppressAutoHyphens/>
        <w:spacing w:after="0" w:line="240" w:lineRule="auto"/>
        <w:jc w:val="both"/>
        <w:rPr>
          <w:rFonts w:ascii="Arial" w:eastAsia="Batang" w:hAnsi="Arial" w:cs="Arial"/>
          <w:lang w:eastAsia="ko-KR"/>
        </w:rPr>
      </w:pPr>
      <w:r w:rsidRPr="00D31BFD">
        <w:rPr>
          <w:rFonts w:ascii="Arial" w:eastAsia="Batang" w:hAnsi="Arial" w:cs="Arial"/>
          <w:lang w:val="en-US" w:eastAsia="ko-KR"/>
        </w:rPr>
        <w:t>Halloun, I. and Hestenes, D. (1985). The initial state of college physics students</w:t>
      </w:r>
      <w:r w:rsidRPr="00D31BFD">
        <w:rPr>
          <w:rFonts w:ascii="Arial" w:eastAsia="Batang" w:hAnsi="Arial" w:cs="Arial"/>
          <w:i/>
          <w:lang w:val="en-US" w:eastAsia="ko-KR"/>
        </w:rPr>
        <w:t xml:space="preserve">. </w:t>
      </w:r>
      <w:r w:rsidRPr="00CD3C89">
        <w:rPr>
          <w:rFonts w:ascii="Arial" w:eastAsia="Batang" w:hAnsi="Arial" w:cs="Arial"/>
          <w:i/>
          <w:lang w:eastAsia="ko-KR"/>
        </w:rPr>
        <w:t>American Journal of Physics,</w:t>
      </w:r>
      <w:r w:rsidRPr="00677138">
        <w:rPr>
          <w:rFonts w:ascii="Arial" w:eastAsia="Batang" w:hAnsi="Arial" w:cs="Arial"/>
          <w:lang w:eastAsia="ko-KR"/>
        </w:rPr>
        <w:t xml:space="preserve"> 53, 1043-1055.</w:t>
      </w:r>
    </w:p>
    <w:p w:rsidR="00D31BFD" w:rsidRDefault="00D31BFD" w:rsidP="001D2A3D">
      <w:pPr>
        <w:pStyle w:val="Prrafodelista"/>
        <w:numPr>
          <w:ilvl w:val="0"/>
          <w:numId w:val="68"/>
        </w:numPr>
        <w:tabs>
          <w:tab w:val="left" w:pos="750"/>
        </w:tabs>
        <w:suppressAutoHyphens/>
        <w:spacing w:after="0" w:line="240" w:lineRule="auto"/>
        <w:jc w:val="both"/>
        <w:rPr>
          <w:rFonts w:ascii="Arial" w:eastAsia="Batang" w:hAnsi="Arial" w:cs="Arial"/>
          <w:lang w:eastAsia="ko-KR"/>
        </w:rPr>
      </w:pPr>
      <w:r w:rsidRPr="00D31BFD">
        <w:rPr>
          <w:rFonts w:ascii="Arial" w:eastAsia="Batang" w:hAnsi="Arial" w:cs="Arial"/>
          <w:lang w:val="en-US" w:eastAsia="ko-KR"/>
        </w:rPr>
        <w:t xml:space="preserve">Piaget, J., Inhelder B. (1959). The growth of logical thinking from childhood to adolescence. </w:t>
      </w:r>
      <w:r w:rsidRPr="00CD3C89">
        <w:rPr>
          <w:rFonts w:ascii="Arial" w:eastAsia="Batang" w:hAnsi="Arial" w:cs="Arial"/>
          <w:i/>
          <w:lang w:eastAsia="ko-KR"/>
        </w:rPr>
        <w:t>Basic Books inc</w:t>
      </w:r>
      <w:r w:rsidRPr="00677138">
        <w:rPr>
          <w:rFonts w:ascii="Arial" w:eastAsia="Batang" w:hAnsi="Arial" w:cs="Arial"/>
          <w:lang w:eastAsia="ko-KR"/>
        </w:rPr>
        <w:t>. 2nd ed. USA</w:t>
      </w:r>
      <w:r>
        <w:rPr>
          <w:rFonts w:ascii="Arial" w:eastAsia="Batang" w:hAnsi="Arial" w:cs="Arial"/>
          <w:lang w:eastAsia="ko-KR"/>
        </w:rPr>
        <w:t>.</w:t>
      </w:r>
    </w:p>
    <w:p w:rsidR="00D31BFD" w:rsidRPr="007543AF" w:rsidRDefault="00D31BFD" w:rsidP="001D2A3D">
      <w:pPr>
        <w:pStyle w:val="Prrafodelista"/>
        <w:numPr>
          <w:ilvl w:val="0"/>
          <w:numId w:val="68"/>
        </w:numPr>
        <w:tabs>
          <w:tab w:val="left" w:pos="750"/>
        </w:tabs>
        <w:suppressAutoHyphens/>
        <w:spacing w:after="0" w:line="240" w:lineRule="auto"/>
        <w:jc w:val="both"/>
        <w:rPr>
          <w:rFonts w:ascii="Arial" w:eastAsia="Batang" w:hAnsi="Arial" w:cs="Arial"/>
          <w:lang w:eastAsia="ko-KR"/>
        </w:rPr>
      </w:pPr>
      <w:r w:rsidRPr="00D31BFD">
        <w:rPr>
          <w:rFonts w:ascii="Arial" w:eastAsia="Batang" w:hAnsi="Arial" w:cs="Arial"/>
          <w:lang w:val="en-US" w:eastAsia="ko-KR"/>
        </w:rPr>
        <w:t xml:space="preserve">Piaget, J., Inhelder B. </w:t>
      </w:r>
      <w:r w:rsidRPr="00D31BFD">
        <w:rPr>
          <w:rFonts w:ascii="Arial" w:eastAsia="Batang" w:hAnsi="Arial" w:cs="Arial"/>
          <w:i/>
          <w:lang w:val="en-US" w:eastAsia="ko-KR"/>
        </w:rPr>
        <w:t xml:space="preserve">Op. </w:t>
      </w:r>
      <w:r w:rsidRPr="00CC61D4">
        <w:rPr>
          <w:rFonts w:ascii="Arial" w:eastAsia="Batang" w:hAnsi="Arial" w:cs="Arial"/>
          <w:i/>
          <w:lang w:eastAsia="ko-KR"/>
        </w:rPr>
        <w:t>Cit.</w:t>
      </w:r>
    </w:p>
    <w:p w:rsidR="00D31BFD" w:rsidRPr="00D31BFD" w:rsidRDefault="00D31BFD" w:rsidP="001D2A3D">
      <w:pPr>
        <w:pStyle w:val="Prrafodelista"/>
        <w:numPr>
          <w:ilvl w:val="0"/>
          <w:numId w:val="68"/>
        </w:numPr>
        <w:tabs>
          <w:tab w:val="left" w:pos="750"/>
        </w:tabs>
        <w:suppressAutoHyphens/>
        <w:spacing w:after="0" w:line="240" w:lineRule="auto"/>
        <w:jc w:val="both"/>
        <w:rPr>
          <w:rFonts w:ascii="Arial" w:eastAsia="Batang" w:hAnsi="Arial" w:cs="Arial"/>
          <w:lang w:val="en-US" w:eastAsia="ko-KR"/>
        </w:rPr>
      </w:pPr>
      <w:r w:rsidRPr="00D31BFD">
        <w:rPr>
          <w:rFonts w:ascii="Arial" w:eastAsia="Batang" w:hAnsi="Arial" w:cs="Arial"/>
          <w:lang w:val="en-US" w:eastAsia="ko-KR"/>
        </w:rPr>
        <w:t xml:space="preserve">McKinnon, J. W., Renner, J. W.(1971). </w:t>
      </w:r>
      <w:r w:rsidRPr="00D31BFD">
        <w:rPr>
          <w:rFonts w:ascii="Arial" w:hAnsi="Arial" w:cs="Arial"/>
          <w:lang w:val="en-US"/>
        </w:rPr>
        <w:t>Are colleges concerned with intellectual development</w:t>
      </w:r>
      <w:r w:rsidRPr="00D31BFD">
        <w:rPr>
          <w:rFonts w:ascii="Arial" w:hAnsi="Arial" w:cs="Arial"/>
          <w:i/>
          <w:lang w:val="en-US"/>
        </w:rPr>
        <w:t xml:space="preserve">, </w:t>
      </w:r>
      <w:r w:rsidRPr="00D31BFD">
        <w:rPr>
          <w:rFonts w:ascii="Arial" w:hAnsi="Arial" w:cs="Arial"/>
          <w:i/>
          <w:iCs/>
          <w:lang w:val="en-US"/>
        </w:rPr>
        <w:t>American Journal of Physics</w:t>
      </w:r>
      <w:r w:rsidRPr="00D31BFD">
        <w:rPr>
          <w:rFonts w:ascii="Arial" w:hAnsi="Arial" w:cs="Arial"/>
          <w:lang w:val="en-US"/>
        </w:rPr>
        <w:t>, 39, 1047-1052.</w:t>
      </w:r>
    </w:p>
    <w:p w:rsidR="00D31BFD" w:rsidRPr="002011DF" w:rsidRDefault="00D31BFD" w:rsidP="001D2A3D">
      <w:pPr>
        <w:pStyle w:val="Prrafodelista"/>
        <w:numPr>
          <w:ilvl w:val="0"/>
          <w:numId w:val="68"/>
        </w:numPr>
        <w:tabs>
          <w:tab w:val="left" w:pos="750"/>
        </w:tabs>
        <w:suppressAutoHyphens/>
        <w:spacing w:after="0" w:line="240" w:lineRule="auto"/>
        <w:jc w:val="both"/>
        <w:rPr>
          <w:rFonts w:ascii="Arial" w:eastAsia="Batang" w:hAnsi="Arial" w:cs="Arial"/>
          <w:lang w:eastAsia="ko-KR"/>
        </w:rPr>
      </w:pPr>
      <w:r w:rsidRPr="00D31BFD">
        <w:rPr>
          <w:rFonts w:ascii="Arial" w:eastAsia="Batang" w:hAnsi="Arial" w:cs="Arial"/>
          <w:lang w:val="en-US" w:eastAsia="ko-KR"/>
        </w:rPr>
        <w:t xml:space="preserve">Piaget, J., Inhelder B. </w:t>
      </w:r>
      <w:r w:rsidRPr="00D31BFD">
        <w:rPr>
          <w:rFonts w:ascii="Arial" w:eastAsia="Batang" w:hAnsi="Arial" w:cs="Arial"/>
          <w:i/>
          <w:lang w:val="en-US" w:eastAsia="ko-KR"/>
        </w:rPr>
        <w:t xml:space="preserve">Op. </w:t>
      </w:r>
      <w:r w:rsidRPr="00CC61D4">
        <w:rPr>
          <w:rFonts w:ascii="Arial" w:eastAsia="Batang" w:hAnsi="Arial" w:cs="Arial"/>
          <w:i/>
          <w:lang w:eastAsia="ko-KR"/>
        </w:rPr>
        <w:t>Cit.</w:t>
      </w:r>
    </w:p>
    <w:p w:rsidR="00D31BFD" w:rsidRPr="002011DF" w:rsidRDefault="00D31BFD" w:rsidP="001D2A3D">
      <w:pPr>
        <w:pStyle w:val="Prrafodelista"/>
        <w:numPr>
          <w:ilvl w:val="0"/>
          <w:numId w:val="68"/>
        </w:numPr>
        <w:tabs>
          <w:tab w:val="left" w:pos="750"/>
        </w:tabs>
        <w:suppressAutoHyphens/>
        <w:spacing w:after="0" w:line="240" w:lineRule="auto"/>
        <w:jc w:val="both"/>
        <w:rPr>
          <w:rFonts w:ascii="Arial" w:eastAsia="Batang" w:hAnsi="Arial" w:cs="Arial"/>
          <w:lang w:eastAsia="ko-KR"/>
        </w:rPr>
      </w:pPr>
      <w:r w:rsidRPr="00D31BFD">
        <w:rPr>
          <w:rFonts w:ascii="Arial" w:eastAsia="Batang" w:hAnsi="Arial" w:cs="Arial"/>
          <w:lang w:val="en-US" w:eastAsia="ko-KR"/>
        </w:rPr>
        <w:t xml:space="preserve">Piaget, J., Inhelder B. </w:t>
      </w:r>
      <w:r w:rsidRPr="00D31BFD">
        <w:rPr>
          <w:rFonts w:ascii="Arial" w:eastAsia="Batang" w:hAnsi="Arial" w:cs="Arial"/>
          <w:i/>
          <w:lang w:val="en-US" w:eastAsia="ko-KR"/>
        </w:rPr>
        <w:t xml:space="preserve">Op. </w:t>
      </w:r>
      <w:r w:rsidRPr="00CC61D4">
        <w:rPr>
          <w:rFonts w:ascii="Arial" w:eastAsia="Batang" w:hAnsi="Arial" w:cs="Arial"/>
          <w:i/>
          <w:lang w:eastAsia="ko-KR"/>
        </w:rPr>
        <w:t>Cit.</w:t>
      </w:r>
    </w:p>
    <w:p w:rsidR="00D31BFD" w:rsidRDefault="00D31BFD" w:rsidP="001D2A3D">
      <w:pPr>
        <w:pStyle w:val="Sinespaciado"/>
        <w:numPr>
          <w:ilvl w:val="0"/>
          <w:numId w:val="68"/>
        </w:numPr>
        <w:rPr>
          <w:rFonts w:ascii="Arial" w:eastAsia="Times New Roman" w:hAnsi="Arial" w:cs="Arial"/>
          <w:lang w:val="en-US" w:eastAsia="es-ES_tradnl"/>
        </w:rPr>
      </w:pPr>
      <w:r w:rsidRPr="00CC61D4">
        <w:rPr>
          <w:rFonts w:ascii="Arial" w:eastAsia="Times New Roman" w:hAnsi="Arial" w:cs="Arial"/>
          <w:lang w:val="en-US" w:eastAsia="es-ES_tradnl"/>
        </w:rPr>
        <w:t xml:space="preserve">Viennot, L. (1979). Le raisonnement spontané en dynamique élémentaire. </w:t>
      </w:r>
      <w:r w:rsidRPr="00CC61D4">
        <w:rPr>
          <w:rFonts w:ascii="Arial" w:eastAsia="Times New Roman" w:hAnsi="Arial" w:cs="Arial"/>
          <w:i/>
          <w:iCs/>
          <w:lang w:val="en-US" w:eastAsia="es-ES_tradnl"/>
        </w:rPr>
        <w:t>Hermann</w:t>
      </w:r>
      <w:r w:rsidRPr="00CC61D4">
        <w:rPr>
          <w:rFonts w:ascii="Arial" w:eastAsia="Times New Roman" w:hAnsi="Arial" w:cs="Arial"/>
          <w:lang w:val="en-US" w:eastAsia="es-ES_tradnl"/>
        </w:rPr>
        <w:t xml:space="preserve">, Paris. </w:t>
      </w:r>
    </w:p>
    <w:p w:rsidR="00D31BFD" w:rsidRPr="002011DF" w:rsidRDefault="00D31BFD" w:rsidP="001D2A3D">
      <w:pPr>
        <w:pStyle w:val="Prrafodelista"/>
        <w:numPr>
          <w:ilvl w:val="0"/>
          <w:numId w:val="68"/>
        </w:numPr>
        <w:tabs>
          <w:tab w:val="left" w:pos="750"/>
        </w:tabs>
        <w:suppressAutoHyphens/>
        <w:spacing w:after="0" w:line="240" w:lineRule="auto"/>
        <w:jc w:val="both"/>
        <w:rPr>
          <w:rFonts w:ascii="Arial" w:eastAsia="Batang" w:hAnsi="Arial" w:cs="Arial"/>
          <w:lang w:eastAsia="ko-KR"/>
        </w:rPr>
      </w:pPr>
      <w:r w:rsidRPr="00D31BFD">
        <w:rPr>
          <w:rFonts w:ascii="Arial" w:eastAsia="Batang" w:hAnsi="Arial" w:cs="Arial"/>
          <w:lang w:val="en-US" w:eastAsia="ko-KR"/>
        </w:rPr>
        <w:t xml:space="preserve">Piaget, J., Inhelder B. </w:t>
      </w:r>
      <w:r w:rsidRPr="00D31BFD">
        <w:rPr>
          <w:rFonts w:ascii="Arial" w:eastAsia="Batang" w:hAnsi="Arial" w:cs="Arial"/>
          <w:i/>
          <w:lang w:val="en-US" w:eastAsia="ko-KR"/>
        </w:rPr>
        <w:t xml:space="preserve">Op. </w:t>
      </w:r>
      <w:r>
        <w:rPr>
          <w:rFonts w:ascii="Arial" w:eastAsia="Batang" w:hAnsi="Arial" w:cs="Arial"/>
          <w:i/>
          <w:lang w:eastAsia="ko-KR"/>
        </w:rPr>
        <w:t>Cit</w:t>
      </w:r>
    </w:p>
    <w:p w:rsidR="00D31BFD" w:rsidRDefault="00D31BFD" w:rsidP="001D2A3D">
      <w:pPr>
        <w:pStyle w:val="Sinespaciado"/>
        <w:numPr>
          <w:ilvl w:val="0"/>
          <w:numId w:val="68"/>
        </w:numPr>
        <w:rPr>
          <w:rFonts w:ascii="Arial" w:eastAsia="Times New Roman" w:hAnsi="Arial" w:cs="Arial"/>
          <w:lang w:val="en-US" w:eastAsia="es-ES_tradnl"/>
        </w:rPr>
      </w:pPr>
      <w:r w:rsidRPr="00CC61D4">
        <w:rPr>
          <w:rFonts w:ascii="Arial" w:eastAsia="Times New Roman" w:hAnsi="Arial" w:cs="Arial"/>
          <w:lang w:val="es-MX" w:eastAsia="es-ES_tradnl"/>
        </w:rPr>
        <w:t xml:space="preserve">Bastién, M., G., Mora, C., Sánchez, G., D. (2010). Obstáculos en la resolución </w:t>
      </w:r>
      <w:r w:rsidRPr="00CD3C89">
        <w:rPr>
          <w:rFonts w:ascii="Arial" w:eastAsia="Times New Roman" w:hAnsi="Arial" w:cs="Arial"/>
          <w:lang w:val="es-MX" w:eastAsia="es-ES_tradnl"/>
        </w:rPr>
        <w:t>de problemas en alumnos de bajo rendimiento</w:t>
      </w:r>
      <w:r w:rsidRPr="00677138">
        <w:rPr>
          <w:rFonts w:ascii="Arial" w:eastAsia="Times New Roman" w:hAnsi="Arial" w:cs="Arial"/>
          <w:lang w:val="es-MX" w:eastAsia="es-ES_tradnl"/>
        </w:rPr>
        <w:t xml:space="preserve">. </w:t>
      </w:r>
      <w:r w:rsidRPr="00CD3C89">
        <w:rPr>
          <w:rFonts w:ascii="Arial" w:eastAsia="Times New Roman" w:hAnsi="Arial" w:cs="Arial"/>
          <w:i/>
          <w:iCs/>
          <w:lang w:val="en-US" w:eastAsia="es-ES_tradnl"/>
        </w:rPr>
        <w:t>Lat. Am. J. Of Phys. Educ</w:t>
      </w:r>
      <w:r w:rsidRPr="00CD3C89">
        <w:rPr>
          <w:rFonts w:ascii="Arial" w:eastAsia="Times New Roman" w:hAnsi="Arial" w:cs="Arial"/>
          <w:i/>
          <w:lang w:val="en-US" w:eastAsia="es-ES_tradnl"/>
        </w:rPr>
        <w:t>.</w:t>
      </w:r>
      <w:r w:rsidRPr="00677138">
        <w:rPr>
          <w:rFonts w:ascii="Arial" w:eastAsia="Times New Roman" w:hAnsi="Arial" w:cs="Arial"/>
          <w:lang w:val="en-US" w:eastAsia="es-ES_tradnl"/>
        </w:rPr>
        <w:t xml:space="preserve"> 4(3). 677-682.</w:t>
      </w:r>
    </w:p>
    <w:p w:rsidR="00D31BFD" w:rsidRDefault="00D31BFD" w:rsidP="00D31BFD">
      <w:pPr>
        <w:pStyle w:val="Sinespaciado"/>
        <w:rPr>
          <w:rFonts w:ascii="Arial" w:eastAsia="Times New Roman" w:hAnsi="Arial" w:cs="Arial"/>
          <w:lang w:val="en-US" w:eastAsia="es-ES_tradnl"/>
        </w:rPr>
      </w:pPr>
    </w:p>
    <w:p w:rsidR="00D31BFD" w:rsidRDefault="00D31BFD" w:rsidP="00D31BFD">
      <w:pPr>
        <w:rPr>
          <w:rFonts w:ascii="Arial" w:hAnsi="Arial" w:cs="Arial"/>
          <w:lang w:val="en-US"/>
        </w:rPr>
      </w:pPr>
    </w:p>
    <w:p w:rsidR="00D31BFD" w:rsidRDefault="00D31BFD" w:rsidP="00D31BFD">
      <w:pPr>
        <w:rPr>
          <w:rFonts w:ascii="Arial" w:hAnsi="Arial" w:cs="Arial"/>
          <w:lang w:val="en-US"/>
        </w:rPr>
      </w:pPr>
      <w:r>
        <w:rPr>
          <w:rFonts w:ascii="Arial" w:hAnsi="Arial" w:cs="Arial"/>
          <w:lang w:val="en-US"/>
        </w:rPr>
        <w:t>Anexo</w:t>
      </w:r>
    </w:p>
    <w:p w:rsidR="00D31BFD" w:rsidRDefault="00D31BFD" w:rsidP="001D2A3D">
      <w:pPr>
        <w:pStyle w:val="1Titulo"/>
        <w:numPr>
          <w:ilvl w:val="0"/>
          <w:numId w:val="69"/>
        </w:numPr>
      </w:pPr>
      <w:bookmarkStart w:id="414" w:name="_Toc50031457"/>
      <w:r>
        <w:t>Cuestionario</w:t>
      </w:r>
      <w:bookmarkEnd w:id="414"/>
    </w:p>
    <w:p w:rsidR="00D31BFD" w:rsidRDefault="00D31BFD" w:rsidP="00D31BFD">
      <w:pPr>
        <w:rPr>
          <w:rFonts w:ascii="Arial" w:hAnsi="Arial" w:cs="Arial"/>
          <w:lang w:val="en-US"/>
        </w:rPr>
      </w:pPr>
    </w:p>
    <w:p w:rsidR="00D31BFD" w:rsidRPr="00D64775" w:rsidRDefault="00D31BFD" w:rsidP="00D31BFD">
      <w:pPr>
        <w:rPr>
          <w:rFonts w:ascii="Times New Roman" w:hAnsi="Times New Roman" w:cs="Times New Roman"/>
          <w:i/>
          <w:iCs/>
          <w:sz w:val="20"/>
          <w:szCs w:val="20"/>
        </w:rPr>
      </w:pPr>
      <w:r w:rsidRPr="00D64775">
        <w:rPr>
          <w:rFonts w:ascii="Times New Roman" w:hAnsi="Times New Roman" w:cs="Times New Roman"/>
          <w:i/>
          <w:iCs/>
          <w:sz w:val="20"/>
          <w:szCs w:val="20"/>
        </w:rPr>
        <w:t>Nombre________________________________________________________________________________</w:t>
      </w:r>
    </w:p>
    <w:p w:rsidR="00D31BFD" w:rsidRPr="00D64775" w:rsidRDefault="00D31BFD" w:rsidP="00D31BFD">
      <w:pPr>
        <w:rPr>
          <w:rFonts w:ascii="Times New Roman" w:hAnsi="Times New Roman" w:cs="Times New Roman"/>
          <w:sz w:val="20"/>
          <w:szCs w:val="20"/>
        </w:rPr>
      </w:pPr>
    </w:p>
    <w:p w:rsidR="00D31BFD" w:rsidRPr="00D64775" w:rsidRDefault="00D31BFD" w:rsidP="00D31BFD">
      <w:pPr>
        <w:rPr>
          <w:rFonts w:ascii="Times New Roman" w:hAnsi="Times New Roman" w:cs="Times New Roman"/>
          <w:b/>
          <w:sz w:val="20"/>
          <w:szCs w:val="20"/>
        </w:rPr>
      </w:pPr>
      <w:r w:rsidRPr="00D64775">
        <w:rPr>
          <w:rFonts w:ascii="Times New Roman" w:hAnsi="Times New Roman" w:cs="Times New Roman"/>
          <w:b/>
          <w:sz w:val="20"/>
          <w:szCs w:val="20"/>
        </w:rPr>
        <w:t xml:space="preserve">1. </w:t>
      </w:r>
      <w:r>
        <w:rPr>
          <w:rFonts w:ascii="Times New Roman" w:hAnsi="Times New Roman" w:cs="Times New Roman"/>
          <w:b/>
          <w:sz w:val="20"/>
          <w:szCs w:val="20"/>
        </w:rPr>
        <w:t>¿</w:t>
      </w:r>
      <w:r w:rsidRPr="00D64775">
        <w:rPr>
          <w:rFonts w:ascii="Times New Roman" w:hAnsi="Times New Roman" w:cs="Times New Roman"/>
          <w:b/>
          <w:sz w:val="20"/>
          <w:szCs w:val="20"/>
        </w:rPr>
        <w:t xml:space="preserve">Cuál afirmación es correcta sobre la magnitud de la aceleración gravitacional “g” cerca de la </w:t>
      </w:r>
      <w:r>
        <w:rPr>
          <w:rFonts w:ascii="Times New Roman" w:hAnsi="Times New Roman" w:cs="Times New Roman"/>
          <w:b/>
          <w:sz w:val="20"/>
          <w:szCs w:val="20"/>
        </w:rPr>
        <w:t xml:space="preserve">superficie terrestre? </w:t>
      </w:r>
    </w:p>
    <w:p w:rsidR="00D31BFD" w:rsidRPr="00A40417" w:rsidRDefault="00D31BFD" w:rsidP="001D2A3D">
      <w:pPr>
        <w:pStyle w:val="Prrafodelista"/>
        <w:numPr>
          <w:ilvl w:val="0"/>
          <w:numId w:val="66"/>
        </w:numPr>
        <w:spacing w:after="0" w:line="240" w:lineRule="auto"/>
        <w:ind w:left="284" w:hanging="284"/>
        <w:rPr>
          <w:rFonts w:ascii="Times New Roman" w:hAnsi="Times New Roman" w:cs="Times New Roman"/>
          <w:sz w:val="20"/>
          <w:szCs w:val="20"/>
          <w:lang w:val="es-MX"/>
        </w:rPr>
      </w:pPr>
      <w:r w:rsidRPr="00A40417">
        <w:rPr>
          <w:rFonts w:ascii="Times New Roman" w:hAnsi="Times New Roman" w:cs="Times New Roman"/>
          <w:sz w:val="20"/>
          <w:szCs w:val="20"/>
          <w:lang w:val="es-MX"/>
        </w:rPr>
        <w:t>Es constante y su valor es 9.80 m/s</w:t>
      </w:r>
      <w:r>
        <w:rPr>
          <w:rFonts w:ascii="Times New Roman" w:hAnsi="Times New Roman" w:cs="Times New Roman"/>
          <w:sz w:val="20"/>
          <w:szCs w:val="20"/>
          <w:vertAlign w:val="superscript"/>
          <w:lang w:val="es-MX"/>
        </w:rPr>
        <w:t>2</w:t>
      </w:r>
    </w:p>
    <w:p w:rsidR="00D31BFD" w:rsidRPr="00135D82" w:rsidRDefault="00D31BFD" w:rsidP="001D2A3D">
      <w:pPr>
        <w:pStyle w:val="Prrafodelista"/>
        <w:numPr>
          <w:ilvl w:val="0"/>
          <w:numId w:val="66"/>
        </w:numPr>
        <w:spacing w:after="0" w:line="240" w:lineRule="auto"/>
        <w:ind w:left="284" w:hanging="284"/>
        <w:rPr>
          <w:rFonts w:ascii="Times New Roman" w:hAnsi="Times New Roman" w:cs="Times New Roman"/>
          <w:sz w:val="20"/>
          <w:szCs w:val="20"/>
          <w:lang w:val="es-MX"/>
        </w:rPr>
      </w:pPr>
      <w:r w:rsidRPr="00135D82">
        <w:rPr>
          <w:rFonts w:ascii="Times New Roman" w:hAnsi="Times New Roman" w:cs="Times New Roman"/>
          <w:sz w:val="20"/>
          <w:szCs w:val="20"/>
          <w:lang w:val="es-MX"/>
        </w:rPr>
        <w:t>Varía con la posición geográfica.</w:t>
      </w:r>
    </w:p>
    <w:p w:rsidR="00D31BFD" w:rsidRPr="00A40417" w:rsidRDefault="00D31BFD" w:rsidP="001D2A3D">
      <w:pPr>
        <w:pStyle w:val="Prrafodelista"/>
        <w:numPr>
          <w:ilvl w:val="0"/>
          <w:numId w:val="66"/>
        </w:numPr>
        <w:spacing w:after="0" w:line="240" w:lineRule="auto"/>
        <w:ind w:left="284" w:hanging="284"/>
        <w:rPr>
          <w:rFonts w:ascii="Times New Roman" w:hAnsi="Times New Roman" w:cs="Times New Roman"/>
          <w:sz w:val="20"/>
          <w:szCs w:val="20"/>
          <w:lang w:val="es-MX"/>
        </w:rPr>
      </w:pPr>
      <w:r w:rsidRPr="00A40417">
        <w:rPr>
          <w:rFonts w:ascii="Times New Roman" w:hAnsi="Times New Roman" w:cs="Times New Roman"/>
          <w:sz w:val="20"/>
          <w:szCs w:val="20"/>
          <w:lang w:val="es-MX"/>
        </w:rPr>
        <w:t>Es constante y su valor es 9.81 m/s</w:t>
      </w:r>
      <w:r w:rsidRPr="00CC61D4">
        <w:rPr>
          <w:rFonts w:ascii="Times New Roman" w:hAnsi="Times New Roman" w:cs="Times New Roman"/>
          <w:sz w:val="20"/>
          <w:szCs w:val="20"/>
          <w:lang w:val="es-MX"/>
        </w:rPr>
        <w:t>2</w:t>
      </w:r>
      <w:r w:rsidRPr="00A40417">
        <w:rPr>
          <w:rFonts w:ascii="Times New Roman" w:hAnsi="Times New Roman" w:cs="Times New Roman"/>
          <w:sz w:val="20"/>
          <w:szCs w:val="20"/>
          <w:lang w:val="es-MX"/>
        </w:rPr>
        <w:t>.</w:t>
      </w:r>
    </w:p>
    <w:p w:rsidR="00D31BFD" w:rsidRPr="00D64775" w:rsidRDefault="00D31BFD" w:rsidP="00D31BFD">
      <w:pPr>
        <w:spacing w:line="276" w:lineRule="auto"/>
        <w:rPr>
          <w:rFonts w:ascii="Times New Roman" w:hAnsi="Times New Roman" w:cs="Times New Roman"/>
          <w:sz w:val="20"/>
          <w:szCs w:val="20"/>
        </w:rPr>
      </w:pPr>
      <w:r w:rsidRPr="00D64775">
        <w:rPr>
          <w:rFonts w:ascii="Times New Roman" w:hAnsi="Times New Roman" w:cs="Times New Roman"/>
          <w:sz w:val="20"/>
          <w:szCs w:val="20"/>
        </w:rPr>
        <w:t>Explica brevemente por favor ______________________________________________________________</w:t>
      </w:r>
    </w:p>
    <w:p w:rsidR="00D31BFD" w:rsidRPr="00D64775" w:rsidRDefault="00D31BFD" w:rsidP="00D31BFD">
      <w:pPr>
        <w:rPr>
          <w:rFonts w:ascii="Times New Roman" w:hAnsi="Times New Roman" w:cs="Times New Roman"/>
          <w:sz w:val="20"/>
          <w:szCs w:val="20"/>
        </w:rPr>
      </w:pPr>
    </w:p>
    <w:p w:rsidR="00D31BFD" w:rsidRPr="00D64775" w:rsidRDefault="00D31BFD" w:rsidP="00D31BFD">
      <w:pPr>
        <w:rPr>
          <w:rFonts w:ascii="Times New Roman" w:hAnsi="Times New Roman" w:cs="Times New Roman"/>
          <w:b/>
          <w:sz w:val="20"/>
          <w:szCs w:val="20"/>
        </w:rPr>
      </w:pPr>
      <w:r w:rsidRPr="00D64775">
        <w:rPr>
          <w:rFonts w:ascii="Times New Roman" w:hAnsi="Times New Roman" w:cs="Times New Roman"/>
          <w:b/>
          <w:sz w:val="20"/>
          <w:szCs w:val="20"/>
        </w:rPr>
        <w:t xml:space="preserve">2.- </w:t>
      </w:r>
      <w:r>
        <w:rPr>
          <w:rFonts w:ascii="Times New Roman" w:hAnsi="Times New Roman" w:cs="Times New Roman"/>
          <w:b/>
          <w:sz w:val="20"/>
          <w:szCs w:val="20"/>
        </w:rPr>
        <w:t>¿</w:t>
      </w:r>
      <w:r w:rsidRPr="00D64775">
        <w:rPr>
          <w:rFonts w:ascii="Times New Roman" w:hAnsi="Times New Roman" w:cs="Times New Roman"/>
          <w:b/>
          <w:sz w:val="20"/>
          <w:szCs w:val="20"/>
        </w:rPr>
        <w:t>Cuál es la causa de la aceleració</w:t>
      </w:r>
      <w:r>
        <w:rPr>
          <w:rFonts w:ascii="Times New Roman" w:hAnsi="Times New Roman" w:cs="Times New Roman"/>
          <w:b/>
          <w:sz w:val="20"/>
          <w:szCs w:val="20"/>
        </w:rPr>
        <w:t>n gravitacional sobre un objeto?</w:t>
      </w:r>
    </w:p>
    <w:p w:rsidR="00D31BFD" w:rsidRPr="00135D82" w:rsidRDefault="00D31BFD" w:rsidP="001D2A3D">
      <w:pPr>
        <w:pStyle w:val="Prrafodelista"/>
        <w:numPr>
          <w:ilvl w:val="0"/>
          <w:numId w:val="65"/>
        </w:numPr>
        <w:spacing w:after="0" w:line="240" w:lineRule="auto"/>
        <w:ind w:left="284" w:hanging="284"/>
        <w:rPr>
          <w:rFonts w:ascii="Times New Roman" w:hAnsi="Times New Roman" w:cs="Times New Roman"/>
          <w:sz w:val="20"/>
          <w:szCs w:val="20"/>
          <w:lang w:val="es-MX"/>
        </w:rPr>
      </w:pPr>
      <w:r w:rsidRPr="00135D82">
        <w:rPr>
          <w:rFonts w:ascii="Times New Roman" w:hAnsi="Times New Roman" w:cs="Times New Roman"/>
          <w:sz w:val="20"/>
          <w:szCs w:val="20"/>
          <w:lang w:val="es-MX"/>
        </w:rPr>
        <w:t>Es una consecuencia de la fuerza de atracción gravitacional entre el objeto y la Tierra.</w:t>
      </w:r>
    </w:p>
    <w:p w:rsidR="00D31BFD" w:rsidRPr="00135D82" w:rsidRDefault="00D31BFD" w:rsidP="001D2A3D">
      <w:pPr>
        <w:pStyle w:val="Prrafodelista"/>
        <w:numPr>
          <w:ilvl w:val="0"/>
          <w:numId w:val="65"/>
        </w:numPr>
        <w:spacing w:after="0" w:line="240" w:lineRule="auto"/>
        <w:ind w:left="284" w:hanging="284"/>
        <w:rPr>
          <w:rFonts w:ascii="Times New Roman" w:hAnsi="Times New Roman" w:cs="Times New Roman"/>
          <w:sz w:val="20"/>
          <w:szCs w:val="20"/>
          <w:lang w:val="es-MX"/>
        </w:rPr>
      </w:pPr>
      <w:r w:rsidRPr="00135D82">
        <w:rPr>
          <w:rFonts w:ascii="Times New Roman" w:hAnsi="Times New Roman" w:cs="Times New Roman"/>
          <w:sz w:val="20"/>
          <w:szCs w:val="20"/>
          <w:lang w:val="es-MX"/>
        </w:rPr>
        <w:t>Todos los cuerpos tienden a caer hacia abajo.</w:t>
      </w:r>
    </w:p>
    <w:p w:rsidR="00D31BFD" w:rsidRPr="00135D82" w:rsidRDefault="00D31BFD" w:rsidP="001D2A3D">
      <w:pPr>
        <w:pStyle w:val="Prrafodelista"/>
        <w:numPr>
          <w:ilvl w:val="0"/>
          <w:numId w:val="65"/>
        </w:numPr>
        <w:spacing w:after="0" w:line="240" w:lineRule="auto"/>
        <w:ind w:left="284" w:hanging="284"/>
        <w:rPr>
          <w:rFonts w:ascii="Times New Roman" w:hAnsi="Times New Roman" w:cs="Times New Roman"/>
          <w:sz w:val="20"/>
          <w:szCs w:val="20"/>
          <w:lang w:val="es-MX"/>
        </w:rPr>
      </w:pPr>
      <w:r w:rsidRPr="00135D82">
        <w:rPr>
          <w:rFonts w:ascii="Times New Roman" w:hAnsi="Times New Roman" w:cs="Times New Roman"/>
          <w:sz w:val="20"/>
          <w:szCs w:val="20"/>
          <w:lang w:val="es-MX"/>
        </w:rPr>
        <w:t>La aceleración gravitacional la produce el propio cuerpo con su masa.</w:t>
      </w:r>
    </w:p>
    <w:p w:rsidR="00D31BFD" w:rsidRPr="00D64775" w:rsidRDefault="00D31BFD" w:rsidP="00D31BFD">
      <w:pPr>
        <w:spacing w:line="276" w:lineRule="auto"/>
        <w:rPr>
          <w:rFonts w:ascii="Times New Roman" w:hAnsi="Times New Roman" w:cs="Times New Roman"/>
          <w:sz w:val="20"/>
          <w:szCs w:val="20"/>
        </w:rPr>
      </w:pPr>
      <w:r w:rsidRPr="00D64775">
        <w:rPr>
          <w:rFonts w:ascii="Times New Roman" w:hAnsi="Times New Roman" w:cs="Times New Roman"/>
          <w:sz w:val="20"/>
          <w:szCs w:val="20"/>
        </w:rPr>
        <w:t>Explica brevemente por favor ______________________________________________________________</w:t>
      </w:r>
    </w:p>
    <w:p w:rsidR="00D31BFD" w:rsidRPr="00D64775" w:rsidRDefault="00D31BFD" w:rsidP="00D31BFD">
      <w:pPr>
        <w:rPr>
          <w:rFonts w:ascii="Times New Roman" w:hAnsi="Times New Roman" w:cs="Times New Roman"/>
          <w:sz w:val="20"/>
          <w:szCs w:val="20"/>
        </w:rPr>
      </w:pPr>
    </w:p>
    <w:p w:rsidR="00D31BFD" w:rsidRPr="00D64775" w:rsidRDefault="00D31BFD" w:rsidP="00D31BFD">
      <w:pPr>
        <w:rPr>
          <w:rFonts w:ascii="Times New Roman" w:hAnsi="Times New Roman" w:cs="Times New Roman"/>
          <w:b/>
          <w:sz w:val="20"/>
          <w:szCs w:val="20"/>
        </w:rPr>
      </w:pPr>
      <w:r w:rsidRPr="00D64775">
        <w:rPr>
          <w:rFonts w:ascii="Times New Roman" w:hAnsi="Times New Roman" w:cs="Times New Roman"/>
          <w:b/>
          <w:sz w:val="20"/>
          <w:szCs w:val="20"/>
        </w:rPr>
        <w:t>3. Cuando un objeto se lanza hacia arriba en la superficie terrestre ¿Cuál es la dirección de la fuerza gravitacional?</w:t>
      </w:r>
    </w:p>
    <w:p w:rsidR="00D31BFD" w:rsidRPr="00135D82" w:rsidRDefault="00D31BFD" w:rsidP="001D2A3D">
      <w:pPr>
        <w:pStyle w:val="Prrafodelista"/>
        <w:numPr>
          <w:ilvl w:val="0"/>
          <w:numId w:val="67"/>
        </w:numPr>
        <w:spacing w:after="0" w:line="240" w:lineRule="auto"/>
        <w:ind w:left="284" w:hanging="284"/>
        <w:rPr>
          <w:rFonts w:ascii="Times New Roman" w:hAnsi="Times New Roman" w:cs="Times New Roman"/>
          <w:sz w:val="20"/>
          <w:szCs w:val="20"/>
          <w:lang w:val="es-MX"/>
        </w:rPr>
      </w:pPr>
      <w:r w:rsidRPr="00135D82">
        <w:rPr>
          <w:rFonts w:ascii="Times New Roman" w:hAnsi="Times New Roman" w:cs="Times New Roman"/>
          <w:sz w:val="20"/>
          <w:szCs w:val="20"/>
          <w:lang w:val="es-MX"/>
        </w:rPr>
        <w:t>Depende del movimiento del objeto, si sube, la fuerza apunta hacia arriba.</w:t>
      </w:r>
    </w:p>
    <w:p w:rsidR="00D31BFD" w:rsidRPr="00135D82" w:rsidRDefault="00D31BFD" w:rsidP="001D2A3D">
      <w:pPr>
        <w:pStyle w:val="Prrafodelista"/>
        <w:numPr>
          <w:ilvl w:val="0"/>
          <w:numId w:val="67"/>
        </w:numPr>
        <w:spacing w:after="0" w:line="240" w:lineRule="auto"/>
        <w:ind w:left="284" w:hanging="284"/>
        <w:rPr>
          <w:rFonts w:ascii="Times New Roman" w:hAnsi="Times New Roman" w:cs="Times New Roman"/>
          <w:sz w:val="20"/>
          <w:szCs w:val="20"/>
          <w:lang w:val="es-MX"/>
        </w:rPr>
      </w:pPr>
      <w:r w:rsidRPr="00135D82">
        <w:rPr>
          <w:rFonts w:ascii="Times New Roman" w:hAnsi="Times New Roman" w:cs="Times New Roman"/>
          <w:sz w:val="20"/>
          <w:szCs w:val="20"/>
          <w:lang w:val="es-MX"/>
        </w:rPr>
        <w:t>Siempre apunta hacia arriba, no depende de que el cuerpo suba o baje.</w:t>
      </w:r>
    </w:p>
    <w:p w:rsidR="00D31BFD" w:rsidRPr="00135D82" w:rsidRDefault="00D31BFD" w:rsidP="001D2A3D">
      <w:pPr>
        <w:pStyle w:val="Prrafodelista"/>
        <w:numPr>
          <w:ilvl w:val="0"/>
          <w:numId w:val="67"/>
        </w:numPr>
        <w:spacing w:after="0" w:line="240" w:lineRule="auto"/>
        <w:ind w:left="284" w:hanging="284"/>
        <w:rPr>
          <w:rFonts w:ascii="Times New Roman" w:hAnsi="Times New Roman" w:cs="Times New Roman"/>
          <w:sz w:val="20"/>
          <w:szCs w:val="20"/>
          <w:lang w:val="es-MX"/>
        </w:rPr>
      </w:pPr>
      <w:r w:rsidRPr="00135D82">
        <w:rPr>
          <w:rFonts w:ascii="Times New Roman" w:hAnsi="Times New Roman" w:cs="Times New Roman"/>
          <w:sz w:val="20"/>
          <w:szCs w:val="20"/>
          <w:lang w:val="es-MX"/>
        </w:rPr>
        <w:t>La fuerza gravitacional siempre se dirige hacia abajo.</w:t>
      </w:r>
    </w:p>
    <w:p w:rsidR="00D31BFD" w:rsidRPr="00D64775" w:rsidRDefault="00D31BFD" w:rsidP="00D31BFD">
      <w:pPr>
        <w:spacing w:line="276" w:lineRule="auto"/>
        <w:rPr>
          <w:rFonts w:ascii="Times New Roman" w:hAnsi="Times New Roman" w:cs="Times New Roman"/>
          <w:sz w:val="20"/>
          <w:szCs w:val="20"/>
        </w:rPr>
      </w:pPr>
      <w:r w:rsidRPr="00D64775">
        <w:rPr>
          <w:rFonts w:ascii="Times New Roman" w:hAnsi="Times New Roman" w:cs="Times New Roman"/>
          <w:sz w:val="20"/>
          <w:szCs w:val="20"/>
        </w:rPr>
        <w:t>Explica brevemente por favor ______________________________________________________________</w:t>
      </w:r>
    </w:p>
    <w:p w:rsidR="00D31BFD" w:rsidRPr="00D64775" w:rsidRDefault="00D31BFD" w:rsidP="00D31BFD">
      <w:pPr>
        <w:rPr>
          <w:rFonts w:ascii="Times New Roman" w:hAnsi="Times New Roman" w:cs="Times New Roman"/>
          <w:sz w:val="20"/>
          <w:szCs w:val="20"/>
        </w:rPr>
      </w:pPr>
    </w:p>
    <w:p w:rsidR="00D31BFD" w:rsidRPr="00D64775" w:rsidRDefault="00D31BFD" w:rsidP="00D31BFD">
      <w:pPr>
        <w:rPr>
          <w:rFonts w:ascii="Times New Roman" w:hAnsi="Times New Roman" w:cs="Times New Roman"/>
          <w:b/>
          <w:sz w:val="20"/>
          <w:szCs w:val="20"/>
        </w:rPr>
      </w:pPr>
      <w:r w:rsidRPr="00D64775">
        <w:rPr>
          <w:rFonts w:ascii="Times New Roman" w:hAnsi="Times New Roman" w:cs="Times New Roman"/>
          <w:b/>
          <w:sz w:val="20"/>
          <w:szCs w:val="20"/>
        </w:rPr>
        <w:t>4.- Cuando un objeto cae ¿Cuál es la dirección de la fuerza gravitacional?</w:t>
      </w:r>
    </w:p>
    <w:p w:rsidR="00D31BFD" w:rsidRPr="00D64775" w:rsidRDefault="00D31BFD" w:rsidP="00D31BFD">
      <w:pPr>
        <w:spacing w:line="276" w:lineRule="auto"/>
        <w:rPr>
          <w:rFonts w:ascii="Times New Roman" w:hAnsi="Times New Roman" w:cs="Times New Roman"/>
          <w:sz w:val="20"/>
          <w:szCs w:val="20"/>
        </w:rPr>
      </w:pPr>
      <w:r w:rsidRPr="00D64775">
        <w:rPr>
          <w:rFonts w:ascii="Times New Roman" w:hAnsi="Times New Roman" w:cs="Times New Roman"/>
          <w:sz w:val="20"/>
          <w:szCs w:val="20"/>
        </w:rPr>
        <w:t>a) La fuerza gravitacional siempre se dirige hacia abajo.</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b) Depende del movimiento del objeto, si baja, la fuerza apunta hacia abajo.</w:t>
      </w:r>
    </w:p>
    <w:p w:rsidR="00D31BFD" w:rsidRPr="00D64775" w:rsidRDefault="00D31BFD" w:rsidP="00D31BFD">
      <w:pPr>
        <w:spacing w:line="276" w:lineRule="auto"/>
        <w:rPr>
          <w:rFonts w:ascii="Times New Roman" w:hAnsi="Times New Roman" w:cs="Times New Roman"/>
          <w:sz w:val="20"/>
          <w:szCs w:val="20"/>
        </w:rPr>
      </w:pPr>
      <w:r w:rsidRPr="00D64775">
        <w:rPr>
          <w:rFonts w:ascii="Times New Roman" w:hAnsi="Times New Roman" w:cs="Times New Roman"/>
          <w:sz w:val="20"/>
          <w:szCs w:val="20"/>
        </w:rPr>
        <w:t>c) Siempre apunta hacia arriba, no depende de que el cuerpo suba o baje.</w:t>
      </w:r>
    </w:p>
    <w:p w:rsidR="00D31BFD" w:rsidRPr="00D64775" w:rsidRDefault="00D31BFD" w:rsidP="00D31BFD">
      <w:pPr>
        <w:spacing w:line="276" w:lineRule="auto"/>
        <w:rPr>
          <w:rFonts w:ascii="Times New Roman" w:hAnsi="Times New Roman" w:cs="Times New Roman"/>
          <w:sz w:val="20"/>
          <w:szCs w:val="20"/>
        </w:rPr>
      </w:pPr>
      <w:r w:rsidRPr="00D64775">
        <w:rPr>
          <w:rFonts w:ascii="Times New Roman" w:hAnsi="Times New Roman" w:cs="Times New Roman"/>
          <w:sz w:val="20"/>
          <w:szCs w:val="20"/>
        </w:rPr>
        <w:t>Explica brevemente por favor ______________________________________________________________</w:t>
      </w:r>
    </w:p>
    <w:p w:rsidR="00D31BFD" w:rsidRPr="00D64775" w:rsidRDefault="00D31BFD" w:rsidP="00D31BFD">
      <w:pPr>
        <w:rPr>
          <w:rFonts w:ascii="Times New Roman" w:hAnsi="Times New Roman" w:cs="Times New Roman"/>
          <w:b/>
          <w:sz w:val="20"/>
          <w:szCs w:val="20"/>
        </w:rPr>
      </w:pPr>
    </w:p>
    <w:p w:rsidR="00D31BFD" w:rsidRPr="00D64775" w:rsidRDefault="00D31BFD" w:rsidP="00D31BFD">
      <w:pPr>
        <w:rPr>
          <w:rFonts w:ascii="Times New Roman" w:hAnsi="Times New Roman" w:cs="Times New Roman"/>
          <w:b/>
          <w:sz w:val="20"/>
          <w:szCs w:val="20"/>
        </w:rPr>
      </w:pPr>
      <w:r w:rsidRPr="00D64775">
        <w:rPr>
          <w:rFonts w:ascii="Times New Roman" w:hAnsi="Times New Roman" w:cs="Times New Roman"/>
          <w:b/>
          <w:sz w:val="20"/>
          <w:szCs w:val="20"/>
        </w:rPr>
        <w:t>5.- Cuando un objeto se lanza hacia arriba y alcanza su altura máxima, no tiene velocidad ni hacia arriba ni hacia abajo, en ese momento:</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a) La fuerza gravitacional actúa sobre el objeto hacia abajo.</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 xml:space="preserve">b) En ese instante la fuerza gravitacional no actúa. </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 xml:space="preserve">c) En ese instante no actúa ninguna fuerza sobre el objeto. </w:t>
      </w:r>
    </w:p>
    <w:p w:rsidR="00D31BFD" w:rsidRDefault="00D31BFD" w:rsidP="00D31BFD">
      <w:pPr>
        <w:spacing w:line="276" w:lineRule="auto"/>
        <w:rPr>
          <w:rFonts w:ascii="Times New Roman" w:hAnsi="Times New Roman" w:cs="Times New Roman"/>
          <w:sz w:val="20"/>
          <w:szCs w:val="20"/>
        </w:rPr>
      </w:pPr>
      <w:r w:rsidRPr="00D64775">
        <w:rPr>
          <w:rFonts w:ascii="Times New Roman" w:hAnsi="Times New Roman" w:cs="Times New Roman"/>
          <w:sz w:val="20"/>
          <w:szCs w:val="20"/>
        </w:rPr>
        <w:t>Explica brevemente por favor ______________________________________________________________</w:t>
      </w:r>
    </w:p>
    <w:p w:rsidR="00D31BFD" w:rsidRDefault="00D31BFD" w:rsidP="00D31BFD">
      <w:pPr>
        <w:spacing w:line="276" w:lineRule="auto"/>
        <w:rPr>
          <w:rFonts w:ascii="Times New Roman" w:hAnsi="Times New Roman" w:cs="Times New Roman"/>
          <w:sz w:val="20"/>
          <w:szCs w:val="20"/>
        </w:rPr>
      </w:pPr>
    </w:p>
    <w:p w:rsidR="00D31BFD" w:rsidRPr="00D64775" w:rsidRDefault="00D31BFD" w:rsidP="00D31BFD">
      <w:pPr>
        <w:spacing w:line="276" w:lineRule="auto"/>
        <w:rPr>
          <w:rFonts w:ascii="Times New Roman" w:hAnsi="Times New Roman" w:cs="Times New Roman"/>
          <w:sz w:val="20"/>
          <w:szCs w:val="20"/>
        </w:rPr>
      </w:pPr>
    </w:p>
    <w:p w:rsidR="00D31BFD" w:rsidRPr="00D64775" w:rsidRDefault="00D31BFD" w:rsidP="00D31BFD">
      <w:pPr>
        <w:rPr>
          <w:rFonts w:ascii="Times New Roman" w:hAnsi="Times New Roman" w:cs="Times New Roman"/>
          <w:b/>
          <w:sz w:val="20"/>
          <w:szCs w:val="20"/>
        </w:rPr>
      </w:pPr>
      <w:r w:rsidRPr="00D64775">
        <w:rPr>
          <w:rFonts w:ascii="Times New Roman" w:hAnsi="Times New Roman" w:cs="Times New Roman"/>
          <w:b/>
          <w:sz w:val="20"/>
          <w:szCs w:val="20"/>
        </w:rPr>
        <w:t xml:space="preserve">6.- </w:t>
      </w:r>
      <w:r>
        <w:rPr>
          <w:rFonts w:ascii="Times New Roman" w:hAnsi="Times New Roman" w:cs="Times New Roman"/>
          <w:b/>
          <w:sz w:val="20"/>
          <w:szCs w:val="20"/>
        </w:rPr>
        <w:t>E</w:t>
      </w:r>
      <w:r w:rsidRPr="00D64775">
        <w:rPr>
          <w:rFonts w:ascii="Times New Roman" w:hAnsi="Times New Roman" w:cs="Times New Roman"/>
          <w:b/>
          <w:sz w:val="20"/>
          <w:szCs w:val="20"/>
        </w:rPr>
        <w:t xml:space="preserve">n la estación espacial que orbita a la </w:t>
      </w:r>
      <w:r>
        <w:rPr>
          <w:rFonts w:ascii="Times New Roman" w:hAnsi="Times New Roman" w:cs="Times New Roman"/>
          <w:b/>
          <w:sz w:val="20"/>
          <w:szCs w:val="20"/>
        </w:rPr>
        <w:t>Tierra los astronautas “flotan”. ¿ P</w:t>
      </w:r>
      <w:r w:rsidRPr="00D64775">
        <w:rPr>
          <w:rFonts w:ascii="Times New Roman" w:hAnsi="Times New Roman" w:cs="Times New Roman"/>
          <w:b/>
          <w:sz w:val="20"/>
          <w:szCs w:val="20"/>
        </w:rPr>
        <w:t>or</w:t>
      </w:r>
      <w:r>
        <w:rPr>
          <w:rFonts w:ascii="Times New Roman" w:hAnsi="Times New Roman" w:cs="Times New Roman"/>
          <w:b/>
          <w:sz w:val="20"/>
          <w:szCs w:val="20"/>
        </w:rPr>
        <w:t xml:space="preserve"> qué ocurre esto?</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a) No tie</w:t>
      </w:r>
      <w:r>
        <w:rPr>
          <w:rFonts w:ascii="Times New Roman" w:hAnsi="Times New Roman" w:cs="Times New Roman"/>
          <w:sz w:val="20"/>
          <w:szCs w:val="20"/>
        </w:rPr>
        <w:t>nen peso y por ello no son atraí</w:t>
      </w:r>
      <w:r w:rsidRPr="00D64775">
        <w:rPr>
          <w:rFonts w:ascii="Times New Roman" w:hAnsi="Times New Roman" w:cs="Times New Roman"/>
          <w:sz w:val="20"/>
          <w:szCs w:val="20"/>
        </w:rPr>
        <w:t>dos por la Tierra.</w:t>
      </w:r>
      <w:r w:rsidRPr="00D64775">
        <w:rPr>
          <w:rFonts w:ascii="Times New Roman" w:hAnsi="Times New Roman" w:cs="Times New Roman"/>
          <w:sz w:val="20"/>
          <w:szCs w:val="20"/>
        </w:rPr>
        <w:tab/>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b) Debido a la fuerza gravitacional están en una caída continua y por ello parece que flotan.</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c) La fuerza gravitacional es cero a esa distancia de la Tierra y por ello no tienen peso.</w:t>
      </w:r>
    </w:p>
    <w:p w:rsidR="00D31BFD" w:rsidRPr="00D64775" w:rsidRDefault="00D31BFD" w:rsidP="00D31BFD">
      <w:pPr>
        <w:spacing w:line="276" w:lineRule="auto"/>
        <w:rPr>
          <w:rFonts w:ascii="Times New Roman" w:hAnsi="Times New Roman" w:cs="Times New Roman"/>
          <w:sz w:val="20"/>
          <w:szCs w:val="20"/>
        </w:rPr>
      </w:pPr>
      <w:r w:rsidRPr="00D64775">
        <w:rPr>
          <w:rFonts w:ascii="Times New Roman" w:hAnsi="Times New Roman" w:cs="Times New Roman"/>
          <w:sz w:val="20"/>
          <w:szCs w:val="20"/>
        </w:rPr>
        <w:t>Explica brevemente por favor ______________________________________________________________</w:t>
      </w:r>
    </w:p>
    <w:p w:rsidR="00D31BFD" w:rsidRPr="00D64775" w:rsidRDefault="00D31BFD" w:rsidP="00D31BFD">
      <w:pPr>
        <w:jc w:val="center"/>
        <w:rPr>
          <w:rFonts w:ascii="Times New Roman" w:hAnsi="Times New Roman" w:cs="Times New Roman"/>
          <w:b/>
          <w:sz w:val="20"/>
          <w:szCs w:val="20"/>
        </w:rPr>
      </w:pPr>
    </w:p>
    <w:p w:rsidR="00D31BFD" w:rsidRPr="00D64775" w:rsidRDefault="00D31BFD" w:rsidP="00D31BFD">
      <w:pPr>
        <w:rPr>
          <w:rFonts w:ascii="Times New Roman" w:hAnsi="Times New Roman" w:cs="Times New Roman"/>
          <w:b/>
          <w:sz w:val="20"/>
          <w:szCs w:val="20"/>
        </w:rPr>
      </w:pPr>
      <w:r w:rsidRPr="00D64775">
        <w:rPr>
          <w:rFonts w:ascii="Times New Roman" w:hAnsi="Times New Roman" w:cs="Times New Roman"/>
          <w:b/>
          <w:sz w:val="20"/>
          <w:szCs w:val="20"/>
        </w:rPr>
        <w:t xml:space="preserve">7.- </w:t>
      </w:r>
      <w:r>
        <w:rPr>
          <w:rFonts w:ascii="Times New Roman" w:hAnsi="Times New Roman" w:cs="Times New Roman"/>
          <w:b/>
          <w:sz w:val="20"/>
          <w:szCs w:val="20"/>
        </w:rPr>
        <w:t>¿</w:t>
      </w:r>
      <w:r w:rsidRPr="00D64775">
        <w:rPr>
          <w:rFonts w:ascii="Times New Roman" w:hAnsi="Times New Roman" w:cs="Times New Roman"/>
          <w:b/>
          <w:sz w:val="20"/>
          <w:szCs w:val="20"/>
        </w:rPr>
        <w:t>Cuál afirmación es correcta para un buzo que asciende dentro del mar?</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a) La fuerza gravitacional no afecta a un buzo dentro del agua.</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b) La fuerza gravitacional es menor que la fuerza de flotación en el buzo.</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c) La fuerza gravitacional no actúa bajo la superficie del mar.</w:t>
      </w:r>
    </w:p>
    <w:p w:rsidR="00D31BFD" w:rsidRPr="00D64775" w:rsidRDefault="00D31BFD" w:rsidP="00D31BFD">
      <w:pPr>
        <w:spacing w:line="276" w:lineRule="auto"/>
        <w:rPr>
          <w:rFonts w:ascii="Times New Roman" w:hAnsi="Times New Roman" w:cs="Times New Roman"/>
          <w:sz w:val="20"/>
          <w:szCs w:val="20"/>
        </w:rPr>
      </w:pPr>
      <w:r w:rsidRPr="00D64775">
        <w:rPr>
          <w:rFonts w:ascii="Times New Roman" w:hAnsi="Times New Roman" w:cs="Times New Roman"/>
          <w:sz w:val="20"/>
          <w:szCs w:val="20"/>
        </w:rPr>
        <w:t>Explica brevemente por favor ______________________________________________________________</w:t>
      </w:r>
    </w:p>
    <w:p w:rsidR="00D31BFD" w:rsidRPr="00D64775" w:rsidRDefault="00D31BFD" w:rsidP="00D31BFD">
      <w:pPr>
        <w:rPr>
          <w:rFonts w:ascii="Times New Roman" w:hAnsi="Times New Roman" w:cs="Times New Roman"/>
          <w:sz w:val="20"/>
          <w:szCs w:val="20"/>
        </w:rPr>
      </w:pP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 xml:space="preserve">8.- </w:t>
      </w:r>
      <w:r>
        <w:rPr>
          <w:rFonts w:ascii="Times New Roman" w:hAnsi="Times New Roman" w:cs="Times New Roman"/>
          <w:sz w:val="20"/>
          <w:szCs w:val="20"/>
        </w:rPr>
        <w:t>¿</w:t>
      </w:r>
      <w:r w:rsidRPr="00D64775">
        <w:rPr>
          <w:rFonts w:ascii="Times New Roman" w:hAnsi="Times New Roman" w:cs="Times New Roman"/>
          <w:b/>
          <w:sz w:val="20"/>
          <w:szCs w:val="20"/>
        </w:rPr>
        <w:t>Cuál afirmación es correcta para un globo lleno de helio que está ascendiendo?</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a) Sobre él no actúa la fuerza gravitacional.</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b) El gas dentro del globo lo tiende a llevar hacia arriba.</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c) La fuerza de flotación sobre el globo es mayor que la fuerza gravitacional.</w:t>
      </w:r>
    </w:p>
    <w:p w:rsidR="00D31BFD" w:rsidRPr="00D64775" w:rsidRDefault="00D31BFD" w:rsidP="00D31BFD">
      <w:pPr>
        <w:spacing w:line="276" w:lineRule="auto"/>
        <w:rPr>
          <w:rFonts w:ascii="Times New Roman" w:hAnsi="Times New Roman" w:cs="Times New Roman"/>
          <w:sz w:val="20"/>
          <w:szCs w:val="20"/>
        </w:rPr>
      </w:pPr>
      <w:r w:rsidRPr="00D64775">
        <w:rPr>
          <w:rFonts w:ascii="Times New Roman" w:hAnsi="Times New Roman" w:cs="Times New Roman"/>
          <w:sz w:val="20"/>
          <w:szCs w:val="20"/>
        </w:rPr>
        <w:t>Explica brevemente por favor ______________________________________________________________</w:t>
      </w:r>
    </w:p>
    <w:p w:rsidR="00D31BFD" w:rsidRPr="00D64775" w:rsidRDefault="00D31BFD" w:rsidP="00D31BFD">
      <w:pPr>
        <w:rPr>
          <w:rFonts w:ascii="Times New Roman" w:hAnsi="Times New Roman" w:cs="Times New Roman"/>
          <w:sz w:val="20"/>
          <w:szCs w:val="20"/>
        </w:rPr>
      </w:pPr>
    </w:p>
    <w:p w:rsidR="00D31BFD" w:rsidRPr="00D64775" w:rsidRDefault="00D31BFD" w:rsidP="00D31BFD">
      <w:pPr>
        <w:rPr>
          <w:rFonts w:ascii="Times New Roman" w:hAnsi="Times New Roman" w:cs="Times New Roman"/>
          <w:b/>
          <w:sz w:val="20"/>
          <w:szCs w:val="20"/>
        </w:rPr>
      </w:pPr>
      <w:r w:rsidRPr="00D64775">
        <w:rPr>
          <w:rFonts w:ascii="Times New Roman" w:hAnsi="Times New Roman" w:cs="Times New Roman"/>
          <w:b/>
          <w:sz w:val="20"/>
          <w:szCs w:val="20"/>
        </w:rPr>
        <w:t>9.- El peso de un objeto en la su</w:t>
      </w:r>
      <w:r>
        <w:rPr>
          <w:rFonts w:ascii="Times New Roman" w:hAnsi="Times New Roman" w:cs="Times New Roman"/>
          <w:b/>
          <w:sz w:val="20"/>
          <w:szCs w:val="20"/>
        </w:rPr>
        <w:t>perficie terrestre se debe a</w:t>
      </w:r>
      <w:r w:rsidRPr="00D64775">
        <w:rPr>
          <w:rFonts w:ascii="Times New Roman" w:hAnsi="Times New Roman" w:cs="Times New Roman"/>
          <w:b/>
          <w:sz w:val="20"/>
          <w:szCs w:val="20"/>
        </w:rPr>
        <w:t>:</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a) La masa del propio cuerpo produce el peso.</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b) La fuerza gravitacional entre la Tierra y el objeto.</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c) Todos los objetos tienden a caer hacia abajo con una determinada fuerza.</w:t>
      </w:r>
    </w:p>
    <w:p w:rsidR="00D31BFD" w:rsidRPr="00D64775" w:rsidRDefault="00D31BFD" w:rsidP="00D31BFD">
      <w:pPr>
        <w:spacing w:line="276" w:lineRule="auto"/>
        <w:rPr>
          <w:rFonts w:ascii="Times New Roman" w:hAnsi="Times New Roman" w:cs="Times New Roman"/>
          <w:sz w:val="20"/>
          <w:szCs w:val="20"/>
        </w:rPr>
      </w:pPr>
      <w:r w:rsidRPr="00D64775">
        <w:rPr>
          <w:rFonts w:ascii="Times New Roman" w:hAnsi="Times New Roman" w:cs="Times New Roman"/>
          <w:sz w:val="20"/>
          <w:szCs w:val="20"/>
        </w:rPr>
        <w:t>Explica brevemente por favor ______________________________________________________________</w:t>
      </w:r>
    </w:p>
    <w:p w:rsidR="00D31BFD" w:rsidRPr="00D64775" w:rsidRDefault="00D31BFD" w:rsidP="00D31BFD">
      <w:pPr>
        <w:rPr>
          <w:rFonts w:ascii="Times New Roman" w:hAnsi="Times New Roman" w:cs="Times New Roman"/>
          <w:sz w:val="20"/>
          <w:szCs w:val="20"/>
        </w:rPr>
      </w:pPr>
    </w:p>
    <w:p w:rsidR="00D31BFD" w:rsidRPr="00D64775" w:rsidRDefault="00D31BFD" w:rsidP="00D31BFD">
      <w:pPr>
        <w:jc w:val="both"/>
        <w:rPr>
          <w:rFonts w:ascii="Times New Roman" w:hAnsi="Times New Roman" w:cs="Times New Roman"/>
          <w:b/>
          <w:sz w:val="20"/>
          <w:szCs w:val="20"/>
        </w:rPr>
      </w:pPr>
      <w:r w:rsidRPr="00D64775">
        <w:rPr>
          <w:rFonts w:ascii="Times New Roman" w:hAnsi="Times New Roman" w:cs="Times New Roman"/>
          <w:b/>
          <w:sz w:val="20"/>
          <w:szCs w:val="20"/>
        </w:rPr>
        <w:t xml:space="preserve">10.- De un </w:t>
      </w:r>
      <w:r>
        <w:rPr>
          <w:rFonts w:ascii="Times New Roman" w:hAnsi="Times New Roman" w:cs="Times New Roman"/>
          <w:b/>
          <w:sz w:val="20"/>
          <w:szCs w:val="20"/>
        </w:rPr>
        <w:t xml:space="preserve">avión </w:t>
      </w:r>
      <w:r w:rsidRPr="00D64775">
        <w:rPr>
          <w:rFonts w:ascii="Times New Roman" w:hAnsi="Times New Roman" w:cs="Times New Roman"/>
          <w:b/>
          <w:sz w:val="20"/>
          <w:szCs w:val="20"/>
        </w:rPr>
        <w:t>que vuela a 5 km de altura se deja caer un paquete, podemos decir que sobre el paquete:</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 xml:space="preserve">a) la fuerza gravitacional es </w:t>
      </w:r>
      <w:r w:rsidRPr="008D324B">
        <w:rPr>
          <w:rFonts w:ascii="Times New Roman" w:hAnsi="Times New Roman" w:cs="Times New Roman"/>
          <w:sz w:val="20"/>
          <w:szCs w:val="20"/>
        </w:rPr>
        <w:t>mucho</w:t>
      </w:r>
      <w:r w:rsidRPr="00D64775">
        <w:rPr>
          <w:rFonts w:ascii="Times New Roman" w:hAnsi="Times New Roman" w:cs="Times New Roman"/>
          <w:sz w:val="20"/>
          <w:szCs w:val="20"/>
        </w:rPr>
        <w:t xml:space="preserve"> mayor que en la superficie terrestre.</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 xml:space="preserve">b) La fuerza gravitacional es </w:t>
      </w:r>
      <w:r w:rsidRPr="0005626C">
        <w:rPr>
          <w:rFonts w:ascii="Times New Roman" w:hAnsi="Times New Roman" w:cs="Times New Roman"/>
          <w:sz w:val="20"/>
          <w:szCs w:val="20"/>
        </w:rPr>
        <w:t>mucho</w:t>
      </w:r>
      <w:r w:rsidRPr="00D64775">
        <w:rPr>
          <w:rFonts w:ascii="Times New Roman" w:hAnsi="Times New Roman" w:cs="Times New Roman"/>
          <w:sz w:val="20"/>
          <w:szCs w:val="20"/>
        </w:rPr>
        <w:t xml:space="preserve"> menor que en la superficie terrestre.</w:t>
      </w:r>
    </w:p>
    <w:p w:rsidR="00D31BFD" w:rsidRPr="00D64775" w:rsidRDefault="00D31BFD" w:rsidP="00D31BFD">
      <w:pPr>
        <w:rPr>
          <w:rFonts w:ascii="Times New Roman" w:hAnsi="Times New Roman" w:cs="Times New Roman"/>
          <w:sz w:val="20"/>
          <w:szCs w:val="20"/>
        </w:rPr>
      </w:pPr>
      <w:r w:rsidRPr="00D64775">
        <w:rPr>
          <w:rFonts w:ascii="Times New Roman" w:hAnsi="Times New Roman" w:cs="Times New Roman"/>
          <w:sz w:val="20"/>
          <w:szCs w:val="20"/>
        </w:rPr>
        <w:t>c) La fuerza gravitacional es la misma que en la superficie terrestre.</w:t>
      </w:r>
    </w:p>
    <w:p w:rsidR="00D31BFD" w:rsidRPr="00D64775" w:rsidRDefault="00D31BFD" w:rsidP="00D31BFD">
      <w:pPr>
        <w:spacing w:line="276" w:lineRule="auto"/>
        <w:rPr>
          <w:rFonts w:ascii="Times New Roman" w:hAnsi="Times New Roman" w:cs="Times New Roman"/>
          <w:sz w:val="20"/>
          <w:szCs w:val="20"/>
        </w:rPr>
      </w:pPr>
      <w:r w:rsidRPr="00D64775">
        <w:rPr>
          <w:rFonts w:ascii="Times New Roman" w:hAnsi="Times New Roman" w:cs="Times New Roman"/>
          <w:sz w:val="20"/>
          <w:szCs w:val="20"/>
        </w:rPr>
        <w:t xml:space="preserve">Explica brevemente por favor </w:t>
      </w:r>
      <w:r>
        <w:rPr>
          <w:rFonts w:ascii="Times New Roman" w:hAnsi="Times New Roman" w:cs="Times New Roman"/>
          <w:sz w:val="20"/>
          <w:szCs w:val="20"/>
        </w:rPr>
        <w:t>______________________________________________________________</w:t>
      </w:r>
    </w:p>
    <w:p w:rsidR="00D31BFD" w:rsidRDefault="00D31BFD" w:rsidP="00D31BFD"/>
    <w:p w:rsidR="00C04E73" w:rsidRPr="00C04E73" w:rsidRDefault="00C04E73" w:rsidP="00C04E73">
      <w:pPr>
        <w:pStyle w:val="1Titulo"/>
        <w:numPr>
          <w:ilvl w:val="0"/>
          <w:numId w:val="0"/>
        </w:numPr>
        <w:ind w:left="357"/>
        <w:jc w:val="center"/>
        <w:rPr>
          <w:sz w:val="28"/>
          <w:szCs w:val="28"/>
        </w:rPr>
      </w:pPr>
      <w:bookmarkStart w:id="415" w:name="_Toc50031458"/>
      <w:r w:rsidRPr="00C04E73">
        <w:rPr>
          <w:sz w:val="28"/>
          <w:szCs w:val="28"/>
        </w:rPr>
        <w:t>Simulación de un sistema de medición electrónico didáctico basado en demodulación síncrona para determinar la impedancia eléctrica de un circuito reactivo pasivo</w:t>
      </w:r>
      <w:bookmarkEnd w:id="415"/>
    </w:p>
    <w:p w:rsidR="00C04E73" w:rsidRDefault="00C04E73" w:rsidP="00C04E73">
      <w:pPr>
        <w:rPr>
          <w:color w:val="000000"/>
          <w:sz w:val="28"/>
          <w:szCs w:val="28"/>
        </w:rPr>
      </w:pPr>
    </w:p>
    <w:p w:rsidR="00C04E73" w:rsidRPr="00423909" w:rsidRDefault="00C04E73" w:rsidP="00C04E73">
      <w:pPr>
        <w:pStyle w:val="Author"/>
        <w:rPr>
          <w:rFonts w:ascii="Arial" w:hAnsi="Arial" w:cs="Arial"/>
          <w:szCs w:val="24"/>
          <w:vertAlign w:val="superscript"/>
          <w:lang w:val="es-ES"/>
        </w:rPr>
      </w:pPr>
      <w:r w:rsidRPr="008F4C2C">
        <w:rPr>
          <w:rFonts w:ascii="Arial" w:hAnsi="Arial" w:cs="Arial"/>
          <w:szCs w:val="24"/>
          <w:u w:val="single"/>
          <w:lang w:val="es-ES"/>
        </w:rPr>
        <w:t>Guadarrama Santana Asur</w:t>
      </w:r>
      <w:r w:rsidRPr="008F4C2C">
        <w:rPr>
          <w:rFonts w:ascii="Arial" w:hAnsi="Arial" w:cs="Arial"/>
          <w:szCs w:val="24"/>
          <w:u w:val="single"/>
          <w:vertAlign w:val="superscript"/>
          <w:lang w:val="es-ES"/>
        </w:rPr>
        <w:t>1</w:t>
      </w:r>
      <w:r>
        <w:rPr>
          <w:rFonts w:ascii="Arial" w:hAnsi="Arial" w:cs="Arial"/>
          <w:szCs w:val="24"/>
          <w:lang w:val="es-ES"/>
        </w:rPr>
        <w:t>, Martínez Gutiérrez Daniel</w:t>
      </w:r>
      <w:r>
        <w:rPr>
          <w:rFonts w:ascii="Arial" w:hAnsi="Arial" w:cs="Arial"/>
          <w:szCs w:val="24"/>
          <w:vertAlign w:val="superscript"/>
          <w:lang w:val="es-ES"/>
        </w:rPr>
        <w:t>2</w:t>
      </w:r>
      <w:r>
        <w:rPr>
          <w:rFonts w:ascii="Arial" w:hAnsi="Arial" w:cs="Arial"/>
          <w:szCs w:val="24"/>
          <w:lang w:val="es-ES"/>
        </w:rPr>
        <w:t>, Uc Martín Jorge</w:t>
      </w:r>
      <w:r>
        <w:rPr>
          <w:rFonts w:ascii="Arial" w:hAnsi="Arial" w:cs="Arial"/>
          <w:szCs w:val="24"/>
          <w:vertAlign w:val="superscript"/>
          <w:lang w:val="es-ES"/>
        </w:rPr>
        <w:t>1</w:t>
      </w:r>
    </w:p>
    <w:p w:rsidR="00C04E73" w:rsidRDefault="00C04E73" w:rsidP="00C04E73">
      <w:pPr>
        <w:pStyle w:val="affiliation"/>
        <w:rPr>
          <w:rFonts w:ascii="Arial" w:hAnsi="Arial" w:cs="Arial"/>
          <w:sz w:val="24"/>
          <w:szCs w:val="24"/>
          <w:vertAlign w:val="superscript"/>
          <w:lang w:val="es-ES"/>
        </w:rPr>
      </w:pPr>
      <w:r>
        <w:rPr>
          <w:rFonts w:ascii="Arial" w:hAnsi="Arial" w:cs="Arial"/>
          <w:sz w:val="24"/>
          <w:szCs w:val="24"/>
          <w:vertAlign w:val="superscript"/>
          <w:lang w:val="es-ES"/>
        </w:rPr>
        <w:t xml:space="preserve">1 </w:t>
      </w:r>
      <w:r>
        <w:rPr>
          <w:rFonts w:ascii="Arial" w:hAnsi="Arial" w:cs="Arial"/>
          <w:sz w:val="24"/>
          <w:szCs w:val="24"/>
          <w:lang w:val="es-ES"/>
        </w:rPr>
        <w:t xml:space="preserve">Instituto de Ciencias Aplicadas y Tecnología UNAM. </w:t>
      </w:r>
    </w:p>
    <w:p w:rsidR="00C04E73" w:rsidRDefault="00C04E73" w:rsidP="00C04E73">
      <w:pPr>
        <w:pStyle w:val="affiliation"/>
        <w:rPr>
          <w:rFonts w:ascii="Arial" w:hAnsi="Arial" w:cs="Arial"/>
          <w:sz w:val="24"/>
          <w:szCs w:val="24"/>
          <w:lang w:val="es-ES"/>
        </w:rPr>
      </w:pPr>
      <w:r>
        <w:rPr>
          <w:rFonts w:ascii="Arial" w:hAnsi="Arial" w:cs="Arial"/>
          <w:sz w:val="24"/>
          <w:szCs w:val="24"/>
          <w:vertAlign w:val="superscript"/>
          <w:lang w:val="es-ES"/>
        </w:rPr>
        <w:t xml:space="preserve">2 </w:t>
      </w:r>
      <w:r>
        <w:rPr>
          <w:rFonts w:ascii="Arial" w:hAnsi="Arial" w:cs="Arial"/>
          <w:sz w:val="24"/>
          <w:szCs w:val="24"/>
          <w:lang w:val="es-ES"/>
        </w:rPr>
        <w:t>Facultad de Ingeniería UNAM.</w:t>
      </w:r>
    </w:p>
    <w:p w:rsidR="00C04E73" w:rsidRPr="00C74D8C" w:rsidRDefault="00C04E73" w:rsidP="00C04E73">
      <w:pPr>
        <w:pStyle w:val="affiliation"/>
        <w:rPr>
          <w:rFonts w:ascii="Arial" w:hAnsi="Arial" w:cs="Arial"/>
          <w:sz w:val="24"/>
          <w:szCs w:val="24"/>
          <w:lang w:val="es-ES"/>
        </w:rPr>
      </w:pPr>
      <w:r w:rsidRPr="00C74D8C">
        <w:rPr>
          <w:rFonts w:ascii="Arial" w:hAnsi="Arial" w:cs="Arial"/>
          <w:sz w:val="24"/>
          <w:szCs w:val="24"/>
          <w:lang w:val="es-ES"/>
        </w:rPr>
        <w:t>asur.guadarrama@icat.unam.mx</w:t>
      </w:r>
      <w:r>
        <w:rPr>
          <w:rFonts w:ascii="Arial" w:hAnsi="Arial" w:cs="Arial"/>
          <w:sz w:val="24"/>
          <w:szCs w:val="24"/>
          <w:lang w:val="es-ES"/>
        </w:rPr>
        <w:t xml:space="preserve">, </w:t>
      </w:r>
      <w:r w:rsidRPr="00C74D8C">
        <w:rPr>
          <w:rFonts w:ascii="Arial" w:hAnsi="Arial" w:cs="Arial"/>
          <w:sz w:val="24"/>
          <w:szCs w:val="24"/>
          <w:lang w:val="es-ES"/>
        </w:rPr>
        <w:t>dmartinezg73@gmail.com</w:t>
      </w:r>
      <w:r>
        <w:rPr>
          <w:rFonts w:ascii="Arial" w:hAnsi="Arial" w:cs="Arial"/>
          <w:sz w:val="24"/>
          <w:szCs w:val="24"/>
          <w:lang w:val="es-ES"/>
        </w:rPr>
        <w:t>, allstar_ghost@icloud.com</w:t>
      </w:r>
    </w:p>
    <w:p w:rsidR="00C04E73" w:rsidRDefault="00C04E73" w:rsidP="00C04E73">
      <w:pPr>
        <w:pStyle w:val="affiliation"/>
        <w:rPr>
          <w:rFonts w:ascii="Arial" w:eastAsia="Batang" w:hAnsi="Arial" w:cs="Arial"/>
          <w:b/>
          <w:bCs/>
          <w:i/>
          <w:iCs/>
          <w:caps/>
          <w:sz w:val="24"/>
          <w:szCs w:val="24"/>
          <w:lang w:val="es-ES"/>
        </w:rPr>
      </w:pPr>
    </w:p>
    <w:p w:rsidR="00C04E73" w:rsidRPr="00C04E73" w:rsidRDefault="00C04E73" w:rsidP="00C04E73">
      <w:pPr>
        <w:pStyle w:val="Ttulo1"/>
        <w:keepLines w:val="0"/>
        <w:tabs>
          <w:tab w:val="left" w:pos="0"/>
        </w:tabs>
        <w:suppressAutoHyphens/>
        <w:spacing w:before="0" w:after="0" w:line="360" w:lineRule="auto"/>
        <w:rPr>
          <w:rFonts w:ascii="Arial" w:hAnsi="Arial" w:cs="Arial"/>
          <w:i/>
          <w:color w:val="000000"/>
          <w:sz w:val="24"/>
          <w:szCs w:val="24"/>
        </w:rPr>
      </w:pPr>
      <w:bookmarkStart w:id="416" w:name="_Toc50031459"/>
      <w:r w:rsidRPr="00C04E73">
        <w:rPr>
          <w:rFonts w:ascii="Arial" w:hAnsi="Arial" w:cs="Arial"/>
          <w:i/>
          <w:caps/>
          <w:sz w:val="24"/>
          <w:szCs w:val="24"/>
        </w:rPr>
        <w:t>1. R</w:t>
      </w:r>
      <w:r w:rsidRPr="00C04E73">
        <w:rPr>
          <w:rFonts w:ascii="Arial" w:hAnsi="Arial" w:cs="Arial"/>
          <w:i/>
          <w:sz w:val="24"/>
          <w:szCs w:val="24"/>
        </w:rPr>
        <w:t>esumen</w:t>
      </w:r>
      <w:bookmarkEnd w:id="416"/>
      <w:r w:rsidRPr="00C04E73">
        <w:rPr>
          <w:rFonts w:ascii="Arial" w:hAnsi="Arial" w:cs="Arial"/>
          <w:i/>
          <w:caps/>
          <w:sz w:val="24"/>
          <w:szCs w:val="24"/>
        </w:rPr>
        <w:t xml:space="preserve"> </w:t>
      </w:r>
    </w:p>
    <w:p w:rsidR="00C04E73" w:rsidRDefault="00C04E73" w:rsidP="00C04E73">
      <w:pPr>
        <w:ind w:firstLine="567"/>
        <w:jc w:val="both"/>
        <w:rPr>
          <w:rFonts w:ascii="Arial" w:hAnsi="Arial" w:cs="Arial"/>
          <w:color w:val="000000"/>
        </w:rPr>
      </w:pPr>
      <w:r w:rsidRPr="008F4C2C">
        <w:rPr>
          <w:rFonts w:ascii="Arial" w:hAnsi="Arial" w:cs="Arial"/>
          <w:color w:val="000000"/>
          <w:lang w:val="es-MX"/>
        </w:rPr>
        <w:t xml:space="preserve">En este trabajo se describe </w:t>
      </w:r>
      <w:r>
        <w:rPr>
          <w:rFonts w:ascii="Arial" w:hAnsi="Arial" w:cs="Arial"/>
          <w:color w:val="000000"/>
          <w:lang w:val="es-MX"/>
        </w:rPr>
        <w:t>el</w:t>
      </w:r>
      <w:r w:rsidRPr="008F4C2C">
        <w:rPr>
          <w:rFonts w:ascii="Arial" w:hAnsi="Arial" w:cs="Arial"/>
          <w:color w:val="000000"/>
        </w:rPr>
        <w:t xml:space="preserve"> circuito electrónico de un sistema de medición de voltaje de dos canales con el fin de determinar la impedancia eléctrica de un circuito eléctrico RC en paralelo, entendiendo su funcionamiento a nivel de bloques con el análisis de las señales eléctricas que entran y salen en cada una de las etapas que conforman el sistema. </w:t>
      </w:r>
      <w:r>
        <w:rPr>
          <w:rFonts w:ascii="Arial" w:hAnsi="Arial" w:cs="Arial"/>
          <w:color w:val="000000"/>
        </w:rPr>
        <w:t xml:space="preserve">El sistema propuesto está basado en la técnica de demodulación síncrona de señales que </w:t>
      </w:r>
      <w:r w:rsidRPr="008F4C2C">
        <w:rPr>
          <w:rFonts w:ascii="Arial" w:hAnsi="Arial" w:cs="Arial"/>
          <w:color w:val="000000"/>
          <w:lang w:val="es-MX"/>
        </w:rPr>
        <w:t>generalmente se aplica a los sistemas de comunicaciones</w:t>
      </w:r>
      <w:r>
        <w:rPr>
          <w:rFonts w:ascii="Arial" w:hAnsi="Arial" w:cs="Arial"/>
          <w:color w:val="000000"/>
          <w:lang w:val="es-MX"/>
        </w:rPr>
        <w:t>.</w:t>
      </w:r>
      <w:r w:rsidRPr="008F4C2C">
        <w:rPr>
          <w:rFonts w:ascii="Arial" w:hAnsi="Arial" w:cs="Arial"/>
          <w:color w:val="000000"/>
          <w:lang w:val="es-MX"/>
        </w:rPr>
        <w:t xml:space="preserve"> </w:t>
      </w:r>
      <w:r>
        <w:rPr>
          <w:rFonts w:ascii="Arial" w:hAnsi="Arial" w:cs="Arial"/>
          <w:color w:val="000000"/>
          <w:lang w:val="es-MX"/>
        </w:rPr>
        <w:t>S</w:t>
      </w:r>
      <w:r w:rsidRPr="008F4C2C">
        <w:rPr>
          <w:rFonts w:ascii="Arial" w:hAnsi="Arial" w:cs="Arial"/>
          <w:color w:val="000000"/>
          <w:lang w:val="es-MX"/>
        </w:rPr>
        <w:t>in embargo</w:t>
      </w:r>
      <w:r>
        <w:rPr>
          <w:rFonts w:ascii="Arial" w:hAnsi="Arial" w:cs="Arial"/>
          <w:color w:val="000000"/>
          <w:lang w:val="es-MX"/>
        </w:rPr>
        <w:t>,</w:t>
      </w:r>
      <w:r w:rsidRPr="008F4C2C">
        <w:rPr>
          <w:rFonts w:ascii="Arial" w:hAnsi="Arial" w:cs="Arial"/>
          <w:color w:val="000000"/>
          <w:lang w:val="es-MX"/>
        </w:rPr>
        <w:t xml:space="preserve"> esta técnica también es la base de la detección sensible a la fase muy utilizada en los sistemas de instrumentación de bajo ruido.</w:t>
      </w:r>
      <w:r>
        <w:rPr>
          <w:rFonts w:ascii="Arial" w:hAnsi="Arial" w:cs="Arial"/>
          <w:color w:val="000000"/>
          <w:lang w:val="es-MX"/>
        </w:rPr>
        <w:t xml:space="preserve"> Las </w:t>
      </w:r>
      <w:r>
        <w:rPr>
          <w:rFonts w:ascii="Arial" w:hAnsi="Arial" w:cs="Arial"/>
          <w:color w:val="000000"/>
        </w:rPr>
        <w:t xml:space="preserve">respectivas componentes real </w:t>
      </w:r>
      <w:r w:rsidRPr="00C74D8C">
        <w:rPr>
          <w:i/>
          <w:color w:val="000000"/>
        </w:rPr>
        <w:t>R</w:t>
      </w:r>
      <w:r w:rsidRPr="008F4C2C">
        <w:rPr>
          <w:rFonts w:ascii="Arial" w:hAnsi="Arial" w:cs="Arial"/>
          <w:color w:val="000000"/>
        </w:rPr>
        <w:t xml:space="preserve"> y </w:t>
      </w:r>
      <w:r>
        <w:rPr>
          <w:rFonts w:ascii="Arial" w:hAnsi="Arial" w:cs="Arial"/>
          <w:color w:val="000000"/>
        </w:rPr>
        <w:t xml:space="preserve">capacitiva </w:t>
      </w:r>
      <w:r w:rsidRPr="00C74D8C">
        <w:rPr>
          <w:i/>
          <w:color w:val="000000"/>
        </w:rPr>
        <w:t>C</w:t>
      </w:r>
      <w:r>
        <w:rPr>
          <w:rFonts w:ascii="Arial" w:hAnsi="Arial" w:cs="Arial"/>
          <w:color w:val="000000"/>
        </w:rPr>
        <w:t xml:space="preserve"> del circuito RC se calcularon en función de los voltajes de salida </w:t>
      </w:r>
      <w:r w:rsidRPr="008F4C2C">
        <w:rPr>
          <w:rFonts w:ascii="Arial" w:hAnsi="Arial" w:cs="Arial"/>
          <w:color w:val="000000"/>
        </w:rPr>
        <w:t>obtenidos de las simulaciones</w:t>
      </w:r>
      <w:r>
        <w:rPr>
          <w:rFonts w:ascii="Arial" w:hAnsi="Arial" w:cs="Arial"/>
          <w:color w:val="000000"/>
        </w:rPr>
        <w:t xml:space="preserve">. Se obtuvieron los valores de impedancia y se compararon con resultados calculados teóricamente </w:t>
      </w:r>
      <w:r w:rsidRPr="008F4C2C">
        <w:rPr>
          <w:rFonts w:ascii="Arial" w:hAnsi="Arial" w:cs="Arial"/>
          <w:color w:val="000000"/>
        </w:rPr>
        <w:t>aplicando los conceptos involucrados que definen a la impedancia eléctrica de un circuito eléctrico resistivo-capacitivo en paralelo</w:t>
      </w:r>
      <w:r>
        <w:rPr>
          <w:rFonts w:ascii="Arial" w:hAnsi="Arial" w:cs="Arial"/>
          <w:color w:val="000000"/>
        </w:rPr>
        <w:t xml:space="preserve"> y con mediciones experimentales realizadas con un medidor LCR comercial. Los resultados mostraron un error menor al </w:t>
      </w:r>
      <w:r w:rsidRPr="00C74D8C">
        <w:rPr>
          <w:color w:val="000000"/>
        </w:rPr>
        <w:t>5%</w:t>
      </w:r>
      <w:r>
        <w:rPr>
          <w:rFonts w:ascii="Arial" w:hAnsi="Arial" w:cs="Arial"/>
          <w:color w:val="000000"/>
        </w:rPr>
        <w:t xml:space="preserve"> validando así la utilización didáctica del sistema simulado para la enseñanza de impedancia eléctrica.</w:t>
      </w:r>
    </w:p>
    <w:p w:rsidR="00C04E73" w:rsidRDefault="00C04E73" w:rsidP="00C04E73">
      <w:pPr>
        <w:ind w:firstLine="567"/>
        <w:jc w:val="both"/>
        <w:rPr>
          <w:rFonts w:ascii="Arial" w:hAnsi="Arial" w:cs="Arial"/>
        </w:rPr>
      </w:pPr>
    </w:p>
    <w:p w:rsidR="00C04E73" w:rsidRPr="00C04E73" w:rsidRDefault="00C04E73" w:rsidP="00C04E73">
      <w:pPr>
        <w:pStyle w:val="Ttulo1"/>
        <w:keepLines w:val="0"/>
        <w:tabs>
          <w:tab w:val="left" w:pos="0"/>
        </w:tabs>
        <w:suppressAutoHyphens/>
        <w:spacing w:before="0" w:after="0" w:line="360" w:lineRule="auto"/>
        <w:rPr>
          <w:rFonts w:ascii="Arial" w:hAnsi="Arial" w:cs="Arial"/>
          <w:i/>
          <w:caps/>
          <w:sz w:val="24"/>
          <w:szCs w:val="24"/>
        </w:rPr>
      </w:pPr>
      <w:bookmarkStart w:id="417" w:name="_Toc50031460"/>
      <w:r w:rsidRPr="00C04E73">
        <w:rPr>
          <w:rFonts w:ascii="Arial" w:hAnsi="Arial" w:cs="Arial"/>
          <w:i/>
          <w:caps/>
          <w:sz w:val="24"/>
          <w:szCs w:val="24"/>
        </w:rPr>
        <w:t>2. I</w:t>
      </w:r>
      <w:r w:rsidRPr="00C04E73">
        <w:rPr>
          <w:rFonts w:ascii="Arial" w:hAnsi="Arial" w:cs="Arial"/>
          <w:i/>
          <w:sz w:val="24"/>
          <w:szCs w:val="24"/>
        </w:rPr>
        <w:t>ntroducción</w:t>
      </w:r>
      <w:bookmarkEnd w:id="417"/>
      <w:r w:rsidRPr="00C04E73">
        <w:rPr>
          <w:rFonts w:ascii="Arial" w:hAnsi="Arial" w:cs="Arial"/>
          <w:i/>
          <w:caps/>
          <w:sz w:val="24"/>
          <w:szCs w:val="24"/>
        </w:rPr>
        <w:t xml:space="preserve"> </w:t>
      </w:r>
    </w:p>
    <w:p w:rsidR="00C04E73" w:rsidRPr="003F626F" w:rsidRDefault="00C04E73" w:rsidP="00C04E73">
      <w:pPr>
        <w:jc w:val="both"/>
        <w:rPr>
          <w:rFonts w:ascii="Arial" w:hAnsi="Arial" w:cs="Arial"/>
          <w:lang w:val="es-MX"/>
        </w:rPr>
      </w:pPr>
      <w:r w:rsidRPr="003F626F">
        <w:rPr>
          <w:rFonts w:ascii="Arial" w:hAnsi="Arial" w:cs="Arial"/>
        </w:rPr>
        <w:t xml:space="preserve">         </w:t>
      </w:r>
      <w:r w:rsidRPr="003F626F">
        <w:rPr>
          <w:rFonts w:ascii="Arial" w:hAnsi="Arial" w:cs="Arial"/>
          <w:lang w:val="es-MX"/>
        </w:rPr>
        <w:t>La técnica de modulación y demodulación síncrona de señales generalmente se aplica a los sistemas de comunicaciones sin embargo esta técnica también es la base de la detección sensible a la fase muy utilizada en los sistemas de instrumentación de bajo ruido. En general, cualquier demodulador síncrono es un multiplicador que extrae la suma y la diferencia de la frecuencia de la señal de entrada y una frecuencia de referencia. De esta forma, es posible obtener el doble de la información montada en una portadora simplemente teniendo un término en fase y otro en cuadratura. Si se utilizan un par de demoduladores síncronos se puede extraer la amplitud y la fase de una señal compleja al mismo tiempo. Ciertos tipos de demoduladores síncronos o detectores sensibles a la fase son conocidos como amplificadores lock-in. Estos pueden formar un filtro paso banda que automáticamente se centra en la frecuencia de interés, y puede permitir altísimas mejoras en la relación de señal a ruido [1]. También se puede aplicar la técnica de demodulación síncrona en un sistema de instrumentación para determinar la impedancia eléctrica de un circuito reactivo pasivo [2].</w:t>
      </w:r>
    </w:p>
    <w:p w:rsidR="00C04E73" w:rsidRPr="003F626F" w:rsidRDefault="00C04E73" w:rsidP="00C04E73">
      <w:pPr>
        <w:jc w:val="both"/>
        <w:rPr>
          <w:rFonts w:ascii="Arial" w:hAnsi="Arial" w:cs="Arial"/>
          <w:lang w:val="es-MX"/>
        </w:rPr>
      </w:pPr>
      <w:r w:rsidRPr="003F626F">
        <w:rPr>
          <w:rFonts w:ascii="Arial" w:hAnsi="Arial" w:cs="Arial"/>
          <w:lang w:val="es-MX"/>
        </w:rPr>
        <w:t>Generalmente el concepto de impedancia eléctrica se enseña de una forma teórica en clases de circuitos eléctricos y de una forma experimental en laboratorios con equipos electrónicos de medición comerciales. Sin embargo, la utilización de los conceptos teóricos involucrados con la impedancia muchas veces no es muy claro en aplicaciones prácticas, como es el caso de la instrumentación electrónica. Por ejemplo, cuando se utilizan sensores de reactancia fija o variable es necesario implementar una etapa de acondicionamiento electrónico que forme parte de un sistema de medición para detectar cambios de alguna variable física, química o biológica que provoque un cambio proporcional en la impedancia del sensor. Para mostrar estos conceptos teóricos de una forma didáctica es necesario realizar mediciones experimentales en laboratorio utilizando sensores, electrónica de acondicionamiento e instrumentos de medición</w:t>
      </w:r>
      <w:r>
        <w:rPr>
          <w:rFonts w:ascii="Arial" w:hAnsi="Arial" w:cs="Arial"/>
          <w:lang w:val="es-MX"/>
        </w:rPr>
        <w:t xml:space="preserve"> comerciales</w:t>
      </w:r>
      <w:r w:rsidRPr="003F626F">
        <w:rPr>
          <w:rFonts w:ascii="Arial" w:hAnsi="Arial" w:cs="Arial"/>
          <w:lang w:val="es-MX"/>
        </w:rPr>
        <w:t>, cuando se cuenta con los recursos necesarios [2]. Otra forma práctica para enseñar estos conceptos teóricos es por medio de simulaciones en computadora que también es un recurso didáctico muy utilizado y versátil.</w:t>
      </w:r>
    </w:p>
    <w:p w:rsidR="00C04E73" w:rsidRPr="003F626F" w:rsidRDefault="00C04E73" w:rsidP="00C04E73">
      <w:pPr>
        <w:jc w:val="both"/>
        <w:rPr>
          <w:rFonts w:ascii="Arial" w:hAnsi="Arial" w:cs="Arial"/>
        </w:rPr>
      </w:pPr>
      <w:r w:rsidRPr="003F626F">
        <w:rPr>
          <w:rFonts w:ascii="Arial" w:hAnsi="Arial" w:cs="Arial"/>
          <w:lang w:val="es-MX"/>
        </w:rPr>
        <w:t xml:space="preserve">El objetivo de este trabajo es aplicar los conceptos teóricos que involucran la impedancia eléctrica por medio de simulaciones de un circuito electrónico de un sistema de medición de voltaje de dos canales con el fin de determinar la impedancia eléctrica de un circuito reactivo, entendiendo su funcionamiento a nivel de bloques con el análisis de las señales eléctricas que entran y salen en cada una de las etapas que conforman el sistema. </w:t>
      </w:r>
      <w:r w:rsidRPr="003F626F">
        <w:rPr>
          <w:rFonts w:ascii="Arial" w:hAnsi="Arial" w:cs="Arial"/>
        </w:rPr>
        <w:t>Así como comprobar los resultados obtenidos</w:t>
      </w:r>
      <w:r>
        <w:rPr>
          <w:rFonts w:ascii="Arial" w:hAnsi="Arial" w:cs="Arial"/>
        </w:rPr>
        <w:t>,</w:t>
      </w:r>
      <w:r w:rsidRPr="003F626F">
        <w:rPr>
          <w:rFonts w:ascii="Arial" w:hAnsi="Arial" w:cs="Arial"/>
        </w:rPr>
        <w:t xml:space="preserve"> de las simulaciones de sus respectivas componentes real </w:t>
      </w:r>
      <w:r w:rsidRPr="00C74D8C">
        <w:rPr>
          <w:i/>
        </w:rPr>
        <w:t>R</w:t>
      </w:r>
      <w:r w:rsidRPr="003F626F">
        <w:rPr>
          <w:rFonts w:ascii="Arial" w:hAnsi="Arial" w:cs="Arial"/>
        </w:rPr>
        <w:t xml:space="preserve"> y capacitiva </w:t>
      </w:r>
      <w:r w:rsidRPr="00C74D8C">
        <w:rPr>
          <w:i/>
        </w:rPr>
        <w:t>C</w:t>
      </w:r>
      <w:r w:rsidRPr="003F626F">
        <w:rPr>
          <w:rFonts w:ascii="Arial" w:hAnsi="Arial" w:cs="Arial"/>
        </w:rPr>
        <w:t xml:space="preserve"> en función de los voltajes de salida, con resultados ideales calculados teóricamente </w:t>
      </w:r>
      <w:r>
        <w:rPr>
          <w:rFonts w:ascii="Arial" w:hAnsi="Arial" w:cs="Arial"/>
        </w:rPr>
        <w:t xml:space="preserve">y experimentales </w:t>
      </w:r>
      <w:r w:rsidRPr="003F626F">
        <w:rPr>
          <w:rFonts w:ascii="Arial" w:hAnsi="Arial" w:cs="Arial"/>
        </w:rPr>
        <w:t>aplicando los conceptos involucrados que definen a la impedancia eléctrica de un circuito eléctrico resistivo-capacitivo en paralelo.</w:t>
      </w:r>
    </w:p>
    <w:p w:rsidR="00C04E73" w:rsidRPr="003F626F" w:rsidRDefault="00C04E73" w:rsidP="00C04E73">
      <w:pPr>
        <w:jc w:val="both"/>
        <w:rPr>
          <w:rFonts w:ascii="Arial" w:hAnsi="Arial" w:cs="Arial"/>
        </w:rPr>
      </w:pPr>
    </w:p>
    <w:p w:rsidR="00C04E73" w:rsidRPr="00C04E73" w:rsidRDefault="00C04E73" w:rsidP="00C04E73">
      <w:pPr>
        <w:pStyle w:val="Ttulo1"/>
        <w:keepLines w:val="0"/>
        <w:tabs>
          <w:tab w:val="left" w:pos="0"/>
        </w:tabs>
        <w:suppressAutoHyphens/>
        <w:spacing w:before="0" w:after="0" w:line="360" w:lineRule="auto"/>
        <w:rPr>
          <w:rFonts w:ascii="Arial" w:hAnsi="Arial" w:cs="Arial"/>
          <w:i/>
          <w:sz w:val="24"/>
          <w:szCs w:val="24"/>
        </w:rPr>
      </w:pPr>
      <w:bookmarkStart w:id="418" w:name="_Toc50031461"/>
      <w:r w:rsidRPr="00C04E73">
        <w:rPr>
          <w:rFonts w:ascii="Arial" w:hAnsi="Arial" w:cs="Arial"/>
          <w:i/>
          <w:caps/>
          <w:sz w:val="24"/>
          <w:szCs w:val="24"/>
        </w:rPr>
        <w:t>3. C</w:t>
      </w:r>
      <w:r w:rsidRPr="00C04E73">
        <w:rPr>
          <w:rFonts w:ascii="Arial" w:hAnsi="Arial" w:cs="Arial"/>
          <w:i/>
          <w:sz w:val="24"/>
          <w:szCs w:val="24"/>
        </w:rPr>
        <w:t>ondiciones experimentales</w:t>
      </w:r>
      <w:bookmarkEnd w:id="418"/>
    </w:p>
    <w:p w:rsidR="00C04E73" w:rsidRDefault="00C04E73" w:rsidP="00C04E73">
      <w:pPr>
        <w:pStyle w:val="Textoindependiente"/>
        <w:jc w:val="both"/>
        <w:rPr>
          <w:rFonts w:ascii="Arial" w:hAnsi="Arial" w:cs="Arial"/>
          <w:b w:val="0"/>
          <w:sz w:val="24"/>
        </w:rPr>
      </w:pPr>
      <w:r>
        <w:rPr>
          <w:rFonts w:ascii="Arial" w:hAnsi="Arial" w:cs="Arial"/>
          <w:b w:val="0"/>
          <w:sz w:val="24"/>
        </w:rPr>
        <w:t xml:space="preserve">          </w:t>
      </w:r>
      <w:r w:rsidRPr="003F626F">
        <w:rPr>
          <w:rFonts w:ascii="Arial" w:hAnsi="Arial" w:cs="Arial"/>
          <w:b w:val="0"/>
          <w:sz w:val="24"/>
          <w:lang w:val="es-MX"/>
        </w:rPr>
        <w:t xml:space="preserve">Se propone un sistema de medición de voltaje (SMV) de dos canales para determinar la impedancia de un circuito RC en paralelo. El sistema se conforma por una fuente de voltaje alterno, un circuito RC en paralelo, una etapa de amplificación, dos etapas de demodulación síncrona (en fase y cuadratura), y dos etapas de filtrado, una para cada canal de salida. Cada etapa de salida se representa matemáticamente por su respectiva función de transferencia para así obtener las componentes de voltaje en fase y en cuadratura, correspondientes a cada canal de salida del sistema. Estos voltajes se sustituyen en las expresiones de función de transferencia resultantes para cada canal con el fin de calcular los valores de la resistencia </w:t>
      </w:r>
      <w:r w:rsidRPr="00C74D8C">
        <w:rPr>
          <w:b w:val="0"/>
          <w:i/>
          <w:sz w:val="24"/>
          <w:lang w:val="es-MX"/>
        </w:rPr>
        <w:t>R</w:t>
      </w:r>
      <w:r w:rsidRPr="003F626F">
        <w:rPr>
          <w:rFonts w:ascii="Arial" w:hAnsi="Arial" w:cs="Arial"/>
          <w:b w:val="0"/>
          <w:sz w:val="24"/>
          <w:lang w:val="es-MX"/>
        </w:rPr>
        <w:t xml:space="preserve"> y del capacitor </w:t>
      </w:r>
      <w:r w:rsidRPr="00C74D8C">
        <w:rPr>
          <w:b w:val="0"/>
          <w:i/>
          <w:sz w:val="24"/>
          <w:lang w:val="es-MX"/>
        </w:rPr>
        <w:t>C</w:t>
      </w:r>
      <w:r w:rsidRPr="003F626F">
        <w:rPr>
          <w:rFonts w:ascii="Arial" w:hAnsi="Arial" w:cs="Arial"/>
          <w:b w:val="0"/>
          <w:sz w:val="24"/>
          <w:lang w:val="es-MX"/>
        </w:rPr>
        <w:t xml:space="preserve"> y finalmente, con estos, obtener el valor de la impedancia </w:t>
      </w:r>
      <w:r w:rsidRPr="00C74D8C">
        <w:rPr>
          <w:b w:val="0"/>
          <w:i/>
          <w:sz w:val="24"/>
          <w:lang w:val="es-MX"/>
        </w:rPr>
        <w:t>Z</w:t>
      </w:r>
      <w:r w:rsidRPr="003F626F">
        <w:rPr>
          <w:rFonts w:ascii="Arial" w:hAnsi="Arial" w:cs="Arial"/>
          <w:b w:val="0"/>
          <w:sz w:val="24"/>
          <w:lang w:val="es-MX"/>
        </w:rPr>
        <w:t xml:space="preserve"> [2]. </w:t>
      </w:r>
      <w:r w:rsidRPr="003F626F">
        <w:rPr>
          <w:rFonts w:ascii="Arial" w:hAnsi="Arial" w:cs="Arial"/>
          <w:b w:val="0"/>
          <w:sz w:val="24"/>
        </w:rPr>
        <w:t>En forma general el sistema de medición de voltaje (SMV) de dos canales propuesto se representa en el siguiente diagrama de bloques, figura 1.</w:t>
      </w:r>
    </w:p>
    <w:p w:rsidR="00C04E73" w:rsidRDefault="00C04E73" w:rsidP="00C04E73">
      <w:pPr>
        <w:pStyle w:val="Textoindependiente"/>
        <w:jc w:val="both"/>
        <w:rPr>
          <w:rFonts w:ascii="Arial" w:hAnsi="Arial" w:cs="Arial"/>
          <w:b w:val="0"/>
          <w:sz w:val="24"/>
        </w:rPr>
      </w:pPr>
      <w:r>
        <w:rPr>
          <w:noProof/>
          <w:lang w:val="en-US"/>
        </w:rPr>
        <w:drawing>
          <wp:anchor distT="0" distB="0" distL="114300" distR="114300" simplePos="0" relativeHeight="251835392" behindDoc="0" locked="0" layoutInCell="1" allowOverlap="1" wp14:anchorId="3C397EDE" wp14:editId="04C4EA4C">
            <wp:simplePos x="0" y="0"/>
            <wp:positionH relativeFrom="margin">
              <wp:posOffset>289560</wp:posOffset>
            </wp:positionH>
            <wp:positionV relativeFrom="paragraph">
              <wp:posOffset>106680</wp:posOffset>
            </wp:positionV>
            <wp:extent cx="5400040" cy="1428115"/>
            <wp:effectExtent l="0" t="0" r="0" b="635"/>
            <wp:wrapNone/>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314">
                      <a:extLst>
                        <a:ext uri="{28A0092B-C50C-407E-A947-70E740481C1C}">
                          <a14:useLocalDpi xmlns:a14="http://schemas.microsoft.com/office/drawing/2010/main" val="0"/>
                        </a:ext>
                      </a:extLst>
                    </a:blip>
                    <a:srcRect/>
                    <a:stretch>
                      <a:fillRect/>
                    </a:stretch>
                  </pic:blipFill>
                  <pic:spPr bwMode="auto">
                    <a:xfrm>
                      <a:off x="0" y="0"/>
                      <a:ext cx="5400040" cy="1428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4E73" w:rsidRDefault="00C04E73" w:rsidP="00C04E73">
      <w:pPr>
        <w:pStyle w:val="Textoindependiente"/>
        <w:jc w:val="both"/>
        <w:rPr>
          <w:rFonts w:ascii="Arial" w:hAnsi="Arial" w:cs="Arial"/>
          <w:b w:val="0"/>
          <w:sz w:val="24"/>
        </w:rPr>
      </w:pPr>
    </w:p>
    <w:p w:rsidR="00C04E73" w:rsidRDefault="00C04E73" w:rsidP="00C04E73">
      <w:pPr>
        <w:pStyle w:val="Textoindependiente"/>
        <w:jc w:val="both"/>
        <w:rPr>
          <w:rFonts w:ascii="Arial" w:hAnsi="Arial" w:cs="Arial"/>
          <w:b w:val="0"/>
          <w:sz w:val="24"/>
        </w:rPr>
      </w:pPr>
    </w:p>
    <w:p w:rsidR="00C04E73" w:rsidRDefault="00C04E73" w:rsidP="00C04E73">
      <w:pPr>
        <w:pStyle w:val="Textoindependiente"/>
        <w:jc w:val="both"/>
        <w:rPr>
          <w:rFonts w:ascii="Arial" w:hAnsi="Arial" w:cs="Arial"/>
          <w:b w:val="0"/>
          <w:sz w:val="24"/>
        </w:rPr>
      </w:pPr>
    </w:p>
    <w:p w:rsidR="00C04E73" w:rsidRDefault="00C04E73" w:rsidP="00C04E73">
      <w:pPr>
        <w:pStyle w:val="Textoindependiente"/>
        <w:jc w:val="both"/>
        <w:rPr>
          <w:rFonts w:ascii="Arial" w:hAnsi="Arial" w:cs="Arial"/>
          <w:b w:val="0"/>
          <w:sz w:val="24"/>
        </w:rPr>
      </w:pPr>
    </w:p>
    <w:p w:rsidR="00C04E73" w:rsidRDefault="00C04E73" w:rsidP="00C04E73">
      <w:pPr>
        <w:pStyle w:val="Textoindependiente"/>
        <w:jc w:val="both"/>
        <w:rPr>
          <w:rFonts w:ascii="Arial" w:hAnsi="Arial" w:cs="Arial"/>
          <w:b w:val="0"/>
          <w:sz w:val="24"/>
        </w:rPr>
      </w:pPr>
    </w:p>
    <w:p w:rsidR="00C04E73" w:rsidRDefault="00C04E73" w:rsidP="00C04E73">
      <w:pPr>
        <w:pStyle w:val="Textoindependiente"/>
        <w:jc w:val="both"/>
        <w:rPr>
          <w:rFonts w:ascii="Arial" w:hAnsi="Arial" w:cs="Arial"/>
          <w:b w:val="0"/>
          <w:sz w:val="24"/>
        </w:rPr>
      </w:pPr>
    </w:p>
    <w:p w:rsidR="00C04E73" w:rsidRDefault="00C04E73" w:rsidP="00C04E73">
      <w:pPr>
        <w:pStyle w:val="Textoindependiente"/>
        <w:jc w:val="both"/>
        <w:rPr>
          <w:rFonts w:ascii="Arial" w:hAnsi="Arial" w:cs="Arial"/>
          <w:b w:val="0"/>
          <w:sz w:val="24"/>
        </w:rPr>
      </w:pPr>
    </w:p>
    <w:p w:rsidR="00C04E73" w:rsidRDefault="00C04E73" w:rsidP="00C04E73">
      <w:pPr>
        <w:pStyle w:val="Textoindependiente"/>
        <w:jc w:val="both"/>
        <w:rPr>
          <w:rFonts w:ascii="Arial" w:hAnsi="Arial" w:cs="Arial"/>
          <w:b w:val="0"/>
          <w:sz w:val="24"/>
        </w:rPr>
      </w:pPr>
    </w:p>
    <w:p w:rsidR="00C04E73" w:rsidRPr="00513231" w:rsidRDefault="00C04E73" w:rsidP="00C04E73">
      <w:pPr>
        <w:pStyle w:val="Textoindependiente"/>
        <w:jc w:val="center"/>
        <w:rPr>
          <w:rFonts w:ascii="Arial" w:hAnsi="Arial" w:cs="Arial"/>
          <w:b w:val="0"/>
          <w:sz w:val="20"/>
          <w:szCs w:val="20"/>
        </w:rPr>
      </w:pPr>
      <w:r w:rsidRPr="00513231">
        <w:rPr>
          <w:rFonts w:ascii="Arial" w:eastAsia="Times New Roman" w:hAnsi="Arial" w:cs="Arial"/>
          <w:b w:val="0"/>
          <w:bCs w:val="0"/>
          <w:i/>
          <w:sz w:val="20"/>
          <w:szCs w:val="20"/>
          <w:lang w:val="es-MX"/>
        </w:rPr>
        <w:t>Figura 1. Diagrama de bloques general del SMV básico de dos canales</w:t>
      </w:r>
      <w:r w:rsidRPr="00513231">
        <w:rPr>
          <w:rFonts w:eastAsia="Times New Roman"/>
          <w:b w:val="0"/>
          <w:bCs w:val="0"/>
          <w:sz w:val="20"/>
          <w:szCs w:val="20"/>
          <w:lang w:val="es-MX"/>
        </w:rPr>
        <w:t>.</w:t>
      </w:r>
    </w:p>
    <w:p w:rsidR="00C04E73" w:rsidRDefault="00C04E73" w:rsidP="00C04E73">
      <w:pPr>
        <w:pStyle w:val="Textoindependiente"/>
        <w:jc w:val="both"/>
        <w:rPr>
          <w:rFonts w:ascii="Arial" w:hAnsi="Arial" w:cs="Arial"/>
          <w:b w:val="0"/>
          <w:sz w:val="24"/>
        </w:rPr>
      </w:pPr>
    </w:p>
    <w:p w:rsidR="00C04E73" w:rsidRPr="00513231" w:rsidRDefault="00C04E73" w:rsidP="00C04E73">
      <w:pPr>
        <w:ind w:firstLine="510"/>
        <w:jc w:val="both"/>
        <w:rPr>
          <w:rFonts w:ascii="Arial" w:eastAsia="Times New Roman" w:hAnsi="Arial" w:cs="Arial"/>
        </w:rPr>
      </w:pPr>
      <w:r w:rsidRPr="00513231">
        <w:rPr>
          <w:rFonts w:ascii="Arial" w:eastAsia="Times New Roman" w:hAnsi="Arial" w:cs="Arial"/>
        </w:rPr>
        <w:t xml:space="preserve">Como se puede observar el SMV está formado por una fuente de voltaje de corriente alterna </w:t>
      </w:r>
      <w:r w:rsidRPr="00513231">
        <w:rPr>
          <w:rFonts w:eastAsia="Times New Roman"/>
          <w:i/>
        </w:rPr>
        <w:t>V</w:t>
      </w:r>
      <w:r w:rsidRPr="00513231">
        <w:rPr>
          <w:rFonts w:eastAsia="Times New Roman"/>
          <w:i/>
          <w:vertAlign w:val="subscript"/>
        </w:rPr>
        <w:t>ca</w:t>
      </w:r>
      <w:r w:rsidRPr="00513231">
        <w:rPr>
          <w:rFonts w:ascii="Arial" w:eastAsia="Times New Roman" w:hAnsi="Arial" w:cs="Arial"/>
        </w:rPr>
        <w:t>,</w:t>
      </w:r>
      <w:r w:rsidRPr="00513231">
        <w:rPr>
          <w:rFonts w:ascii="Arial" w:eastAsia="Times New Roman" w:hAnsi="Arial" w:cs="Arial"/>
          <w:i/>
        </w:rPr>
        <w:t xml:space="preserve"> </w:t>
      </w:r>
      <w:r w:rsidRPr="00513231">
        <w:rPr>
          <w:rFonts w:ascii="Arial" w:eastAsia="Times New Roman" w:hAnsi="Arial" w:cs="Arial"/>
        </w:rPr>
        <w:t xml:space="preserve">una impedancia </w:t>
      </w:r>
      <w:r w:rsidRPr="00F91885">
        <w:rPr>
          <w:rFonts w:eastAsia="Times New Roman"/>
          <w:i/>
        </w:rPr>
        <w:t>Z</w:t>
      </w:r>
      <w:r w:rsidRPr="00513231">
        <w:rPr>
          <w:rFonts w:ascii="Arial" w:eastAsia="Times New Roman" w:hAnsi="Arial" w:cs="Arial"/>
        </w:rPr>
        <w:t xml:space="preserve"> formada por un circuito </w:t>
      </w:r>
      <w:r w:rsidRPr="00513231">
        <w:rPr>
          <w:rFonts w:ascii="Arial" w:eastAsia="Times New Roman" w:hAnsi="Arial" w:cs="Arial"/>
          <w:i/>
        </w:rPr>
        <w:t>RC</w:t>
      </w:r>
      <w:r w:rsidRPr="00513231">
        <w:rPr>
          <w:rFonts w:ascii="Arial" w:eastAsia="Times New Roman" w:hAnsi="Arial" w:cs="Arial"/>
        </w:rPr>
        <w:t xml:space="preserve">, una etapa de amplificación, una etapa de detección sensible a la fase DSF y la salida de dos canales en los cuales se obtienen dos voltajes de corriente directa, uno en fase y otro en cuadratura o con desfasamiento de </w:t>
      </w:r>
      <w:r w:rsidRPr="00F91885">
        <w:rPr>
          <w:rFonts w:eastAsia="Times New Roman"/>
        </w:rPr>
        <w:t>90º</w:t>
      </w:r>
      <w:r w:rsidRPr="00513231">
        <w:rPr>
          <w:rFonts w:ascii="Arial" w:eastAsia="Times New Roman" w:hAnsi="Arial" w:cs="Arial"/>
        </w:rPr>
        <w:t xml:space="preserve">.  La etapa de DSF está conformada por una etapa de desfasamiento de </w:t>
      </w:r>
      <w:r w:rsidRPr="00F91885">
        <w:rPr>
          <w:rFonts w:eastAsia="Times New Roman"/>
        </w:rPr>
        <w:t>90º</w:t>
      </w:r>
      <w:r w:rsidRPr="00513231">
        <w:rPr>
          <w:rFonts w:ascii="Arial" w:eastAsia="Times New Roman" w:hAnsi="Arial" w:cs="Arial"/>
        </w:rPr>
        <w:t>, dos etapas de demodulación síncrona DMS y dos etapas de filtrado paso bajo FPB, una para cada canal [2].</w:t>
      </w:r>
    </w:p>
    <w:p w:rsidR="00C04E73" w:rsidRPr="00513231" w:rsidRDefault="00C04E73" w:rsidP="00C04E73">
      <w:pPr>
        <w:jc w:val="both"/>
        <w:rPr>
          <w:rFonts w:ascii="Arial" w:eastAsia="Times New Roman" w:hAnsi="Arial" w:cs="Arial"/>
          <w:lang w:val="es-MX"/>
        </w:rPr>
      </w:pPr>
    </w:p>
    <w:p w:rsidR="00C04E73" w:rsidRPr="00811A48" w:rsidRDefault="00C04E73" w:rsidP="00C04E73">
      <w:pPr>
        <w:keepNext/>
        <w:tabs>
          <w:tab w:val="left" w:pos="567"/>
        </w:tabs>
        <w:spacing w:after="120"/>
        <w:jc w:val="both"/>
        <w:outlineLvl w:val="1"/>
        <w:rPr>
          <w:rFonts w:ascii="Arial" w:eastAsia="Times New Roman" w:hAnsi="Arial" w:cs="Arial"/>
          <w:bCs/>
          <w:i/>
          <w:lang w:val="es-MX"/>
        </w:rPr>
      </w:pPr>
      <w:bookmarkStart w:id="419" w:name="_Toc50031462"/>
      <w:r w:rsidRPr="00811A48">
        <w:rPr>
          <w:rFonts w:ascii="Arial" w:eastAsia="Times New Roman" w:hAnsi="Arial" w:cs="Arial"/>
          <w:bCs/>
          <w:i/>
          <w:lang w:val="es-MX"/>
        </w:rPr>
        <w:t>3.1   Amplificación</w:t>
      </w:r>
      <w:bookmarkEnd w:id="419"/>
      <w:r w:rsidRPr="00811A48">
        <w:rPr>
          <w:rFonts w:ascii="Arial" w:eastAsia="Times New Roman" w:hAnsi="Arial" w:cs="Arial"/>
          <w:bCs/>
          <w:i/>
          <w:lang w:val="es-MX"/>
        </w:rPr>
        <w:t xml:space="preserve"> </w:t>
      </w:r>
    </w:p>
    <w:p w:rsidR="00C04E73" w:rsidRDefault="00C04E73" w:rsidP="00C04E73">
      <w:pPr>
        <w:pStyle w:val="Textoindependiente"/>
        <w:jc w:val="both"/>
        <w:rPr>
          <w:rFonts w:ascii="Arial" w:eastAsia="Times New Roman" w:hAnsi="Arial" w:cs="Arial"/>
          <w:b w:val="0"/>
          <w:bCs w:val="0"/>
          <w:sz w:val="24"/>
          <w:lang w:val="es-MX"/>
        </w:rPr>
      </w:pPr>
      <w:r w:rsidRPr="00513231">
        <w:rPr>
          <w:rFonts w:ascii="Arial" w:eastAsia="Times New Roman" w:hAnsi="Arial" w:cs="Arial"/>
          <w:b w:val="0"/>
          <w:bCs w:val="0"/>
          <w:sz w:val="24"/>
          <w:lang w:val="es-MX"/>
        </w:rPr>
        <w:t xml:space="preserve">El circuito eléctrico RC en paralelo se alimenta por un voltaje de corriente alterna senoidal </w:t>
      </w:r>
      <w:r w:rsidRPr="00513231">
        <w:rPr>
          <w:rFonts w:eastAsia="Times New Roman"/>
          <w:b w:val="0"/>
          <w:bCs w:val="0"/>
          <w:i/>
          <w:sz w:val="24"/>
          <w:lang w:val="es-MX"/>
        </w:rPr>
        <w:t>V</w:t>
      </w:r>
      <w:r w:rsidRPr="00513231">
        <w:rPr>
          <w:rFonts w:eastAsia="Times New Roman"/>
          <w:b w:val="0"/>
          <w:bCs w:val="0"/>
          <w:i/>
          <w:sz w:val="24"/>
          <w:vertAlign w:val="subscript"/>
          <w:lang w:val="es-MX"/>
        </w:rPr>
        <w:t>es</w:t>
      </w:r>
      <w:r w:rsidRPr="00513231">
        <w:rPr>
          <w:rFonts w:eastAsia="Times New Roman"/>
          <w:b w:val="0"/>
          <w:bCs w:val="0"/>
          <w:i/>
          <w:sz w:val="24"/>
          <w:lang w:val="es-MX"/>
        </w:rPr>
        <w:t xml:space="preserve"> = Asenωt</w:t>
      </w:r>
      <w:r w:rsidRPr="00513231">
        <w:rPr>
          <w:rFonts w:ascii="Arial" w:eastAsia="Times New Roman" w:hAnsi="Arial" w:cs="Arial"/>
          <w:b w:val="0"/>
          <w:bCs w:val="0"/>
          <w:sz w:val="24"/>
          <w:lang w:val="es-MX"/>
        </w:rPr>
        <w:t xml:space="preserve">, en donde la amplitud </w:t>
      </w:r>
      <w:r w:rsidRPr="00513231">
        <w:rPr>
          <w:rFonts w:eastAsia="Times New Roman"/>
          <w:b w:val="0"/>
          <w:bCs w:val="0"/>
          <w:i/>
          <w:sz w:val="24"/>
          <w:lang w:val="es-MX"/>
        </w:rPr>
        <w:t>A</w:t>
      </w:r>
      <w:r>
        <w:rPr>
          <w:rFonts w:eastAsia="Times New Roman"/>
          <w:b w:val="0"/>
          <w:bCs w:val="0"/>
          <w:i/>
          <w:sz w:val="24"/>
          <w:lang w:val="es-MX"/>
        </w:rPr>
        <w:t xml:space="preserve"> </w:t>
      </w:r>
      <w:r w:rsidRPr="00513231">
        <w:rPr>
          <w:rFonts w:eastAsia="Times New Roman"/>
          <w:b w:val="0"/>
          <w:bCs w:val="0"/>
          <w:i/>
          <w:sz w:val="24"/>
          <w:lang w:val="es-MX"/>
        </w:rPr>
        <w:t>=</w:t>
      </w:r>
      <w:r>
        <w:rPr>
          <w:rFonts w:eastAsia="Times New Roman"/>
          <w:b w:val="0"/>
          <w:bCs w:val="0"/>
          <w:i/>
          <w:sz w:val="24"/>
          <w:lang w:val="es-MX"/>
        </w:rPr>
        <w:t xml:space="preserve"> </w:t>
      </w:r>
      <w:r w:rsidRPr="00513231">
        <w:rPr>
          <w:rFonts w:eastAsia="Times New Roman"/>
          <w:b w:val="0"/>
          <w:bCs w:val="0"/>
          <w:i/>
          <w:sz w:val="24"/>
          <w:lang w:val="es-MX"/>
        </w:rPr>
        <w:t>1V</w:t>
      </w:r>
      <w:r w:rsidRPr="00513231">
        <w:rPr>
          <w:rFonts w:eastAsia="Times New Roman"/>
          <w:b w:val="0"/>
          <w:bCs w:val="0"/>
          <w:i/>
          <w:sz w:val="24"/>
          <w:vertAlign w:val="subscript"/>
          <w:lang w:val="es-MX"/>
        </w:rPr>
        <w:t>P</w:t>
      </w:r>
      <w:r w:rsidRPr="00513231">
        <w:rPr>
          <w:rFonts w:ascii="Arial" w:eastAsia="Times New Roman" w:hAnsi="Arial" w:cs="Arial"/>
          <w:b w:val="0"/>
          <w:bCs w:val="0"/>
          <w:sz w:val="24"/>
          <w:lang w:val="es-MX"/>
        </w:rPr>
        <w:t xml:space="preserve"> y la frecuencia </w:t>
      </w:r>
      <w:r w:rsidRPr="00513231">
        <w:rPr>
          <w:rFonts w:eastAsia="Times New Roman"/>
          <w:b w:val="0"/>
          <w:bCs w:val="0"/>
          <w:i/>
          <w:sz w:val="24"/>
          <w:lang w:val="es-MX"/>
        </w:rPr>
        <w:t>f</w:t>
      </w:r>
      <w:r>
        <w:rPr>
          <w:rFonts w:eastAsia="Times New Roman"/>
          <w:b w:val="0"/>
          <w:bCs w:val="0"/>
          <w:i/>
          <w:sz w:val="24"/>
          <w:lang w:val="es-MX"/>
        </w:rPr>
        <w:t xml:space="preserve"> </w:t>
      </w:r>
      <w:r w:rsidRPr="00513231">
        <w:rPr>
          <w:rFonts w:eastAsia="Times New Roman"/>
          <w:b w:val="0"/>
          <w:bCs w:val="0"/>
          <w:i/>
          <w:sz w:val="24"/>
          <w:lang w:val="es-MX"/>
        </w:rPr>
        <w:t>=</w:t>
      </w:r>
      <w:r>
        <w:rPr>
          <w:rFonts w:eastAsia="Times New Roman"/>
          <w:b w:val="0"/>
          <w:bCs w:val="0"/>
          <w:i/>
          <w:sz w:val="24"/>
          <w:lang w:val="es-MX"/>
        </w:rPr>
        <w:t xml:space="preserve"> </w:t>
      </w:r>
      <w:r w:rsidRPr="00513231">
        <w:rPr>
          <w:rFonts w:eastAsia="Times New Roman"/>
          <w:b w:val="0"/>
          <w:bCs w:val="0"/>
          <w:i/>
          <w:sz w:val="24"/>
          <w:lang w:val="es-MX"/>
        </w:rPr>
        <w:t>1KHz</w:t>
      </w:r>
      <w:r w:rsidRPr="00513231">
        <w:rPr>
          <w:rFonts w:ascii="Arial" w:eastAsia="Times New Roman" w:hAnsi="Arial" w:cs="Arial"/>
          <w:b w:val="0"/>
          <w:bCs w:val="0"/>
          <w:sz w:val="24"/>
          <w:lang w:val="es-MX"/>
        </w:rPr>
        <w:t xml:space="preserve">. La salida de voltaje </w:t>
      </w:r>
      <w:r w:rsidRPr="00513231">
        <w:rPr>
          <w:rFonts w:eastAsia="Times New Roman"/>
          <w:b w:val="0"/>
          <w:bCs w:val="0"/>
          <w:i/>
          <w:sz w:val="24"/>
          <w:lang w:val="es-MX"/>
        </w:rPr>
        <w:t>V</w:t>
      </w:r>
      <w:r w:rsidRPr="00513231">
        <w:rPr>
          <w:rFonts w:eastAsia="Times New Roman"/>
          <w:b w:val="0"/>
          <w:bCs w:val="0"/>
          <w:i/>
          <w:sz w:val="24"/>
          <w:vertAlign w:val="subscript"/>
          <w:lang w:val="es-MX"/>
        </w:rPr>
        <w:t>S</w:t>
      </w:r>
      <w:r w:rsidRPr="00513231">
        <w:rPr>
          <w:rFonts w:ascii="Arial" w:eastAsia="Times New Roman" w:hAnsi="Arial" w:cs="Arial"/>
          <w:b w:val="0"/>
          <w:bCs w:val="0"/>
          <w:sz w:val="24"/>
          <w:lang w:val="es-MX"/>
        </w:rPr>
        <w:t xml:space="preserve"> del circuito RC se encuentra acoplada a dos etapas de amplificación A y B, como se muestra en la figura 2.</w:t>
      </w:r>
    </w:p>
    <w:p w:rsidR="00C04E73" w:rsidRDefault="00C04E73" w:rsidP="00C04E73">
      <w:pPr>
        <w:pStyle w:val="Textoindependiente"/>
        <w:jc w:val="both"/>
        <w:rPr>
          <w:rFonts w:ascii="Arial" w:eastAsia="Times New Roman" w:hAnsi="Arial" w:cs="Arial"/>
          <w:b w:val="0"/>
          <w:bCs w:val="0"/>
          <w:sz w:val="24"/>
          <w:lang w:val="es-MX"/>
        </w:rPr>
      </w:pPr>
      <w:r>
        <w:rPr>
          <w:noProof/>
          <w:lang w:val="en-US"/>
        </w:rPr>
        <w:drawing>
          <wp:anchor distT="0" distB="0" distL="114300" distR="114300" simplePos="0" relativeHeight="251836416" behindDoc="0" locked="0" layoutInCell="1" allowOverlap="1" wp14:anchorId="115D271A" wp14:editId="3DB1BA7B">
            <wp:simplePos x="0" y="0"/>
            <wp:positionH relativeFrom="column">
              <wp:posOffset>292100</wp:posOffset>
            </wp:positionH>
            <wp:positionV relativeFrom="paragraph">
              <wp:posOffset>75565</wp:posOffset>
            </wp:positionV>
            <wp:extent cx="5400040" cy="2560320"/>
            <wp:effectExtent l="0" t="0" r="0" b="0"/>
            <wp:wrapThrough wrapText="bothSides">
              <wp:wrapPolygon edited="0">
                <wp:start x="0" y="0"/>
                <wp:lineTo x="0" y="21375"/>
                <wp:lineTo x="21488" y="21375"/>
                <wp:lineTo x="21488" y="0"/>
                <wp:lineTo x="0" y="0"/>
              </wp:wrapPolygon>
            </wp:wrapThrough>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315">
                      <a:extLst>
                        <a:ext uri="{28A0092B-C50C-407E-A947-70E740481C1C}">
                          <a14:useLocalDpi xmlns:a14="http://schemas.microsoft.com/office/drawing/2010/main" val="0"/>
                        </a:ext>
                      </a:extLst>
                    </a:blip>
                    <a:srcRect/>
                    <a:stretch>
                      <a:fillRect/>
                    </a:stretch>
                  </pic:blipFill>
                  <pic:spPr bwMode="auto">
                    <a:xfrm>
                      <a:off x="0" y="0"/>
                      <a:ext cx="5400040" cy="2560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4E73" w:rsidRDefault="00C04E73" w:rsidP="00C04E73">
      <w:pPr>
        <w:pStyle w:val="Textoindependiente"/>
        <w:jc w:val="both"/>
        <w:rPr>
          <w:rFonts w:ascii="Arial" w:eastAsia="Times New Roman" w:hAnsi="Arial" w:cs="Arial"/>
          <w:b w:val="0"/>
          <w:bCs w:val="0"/>
          <w:sz w:val="24"/>
          <w:lang w:val="es-MX"/>
        </w:rPr>
      </w:pPr>
    </w:p>
    <w:p w:rsidR="00C04E73" w:rsidRDefault="00C04E73" w:rsidP="00C04E73">
      <w:pPr>
        <w:pStyle w:val="Textoindependiente"/>
        <w:jc w:val="both"/>
        <w:rPr>
          <w:rFonts w:ascii="Arial" w:eastAsia="Times New Roman" w:hAnsi="Arial" w:cs="Arial"/>
          <w:b w:val="0"/>
          <w:bCs w:val="0"/>
          <w:sz w:val="24"/>
          <w:lang w:val="es-MX"/>
        </w:rPr>
      </w:pPr>
    </w:p>
    <w:p w:rsidR="00C04E73" w:rsidRDefault="00C04E73" w:rsidP="00C04E73">
      <w:pPr>
        <w:pStyle w:val="Textoindependiente"/>
        <w:jc w:val="both"/>
        <w:rPr>
          <w:rFonts w:ascii="Arial" w:eastAsia="Times New Roman" w:hAnsi="Arial" w:cs="Arial"/>
          <w:b w:val="0"/>
          <w:bCs w:val="0"/>
          <w:sz w:val="24"/>
          <w:lang w:val="es-MX"/>
        </w:rPr>
      </w:pPr>
    </w:p>
    <w:p w:rsidR="00C04E73" w:rsidRDefault="00C04E73" w:rsidP="00C04E73">
      <w:pPr>
        <w:pStyle w:val="Textoindependiente"/>
        <w:jc w:val="both"/>
        <w:rPr>
          <w:rFonts w:ascii="Arial" w:eastAsia="Times New Roman" w:hAnsi="Arial" w:cs="Arial"/>
          <w:b w:val="0"/>
          <w:bCs w:val="0"/>
          <w:sz w:val="24"/>
          <w:lang w:val="es-MX"/>
        </w:rPr>
      </w:pPr>
    </w:p>
    <w:p w:rsidR="00C04E73" w:rsidRDefault="00C04E73" w:rsidP="00C04E73">
      <w:pPr>
        <w:pStyle w:val="Textoindependiente"/>
        <w:jc w:val="both"/>
        <w:rPr>
          <w:rFonts w:ascii="Arial" w:eastAsia="Times New Roman" w:hAnsi="Arial" w:cs="Arial"/>
          <w:b w:val="0"/>
          <w:bCs w:val="0"/>
          <w:sz w:val="24"/>
          <w:lang w:val="es-MX"/>
        </w:rPr>
      </w:pPr>
    </w:p>
    <w:p w:rsidR="00C04E73" w:rsidRDefault="00C04E73" w:rsidP="00C04E73">
      <w:pPr>
        <w:pStyle w:val="Textoindependiente"/>
        <w:jc w:val="both"/>
        <w:rPr>
          <w:rFonts w:ascii="Arial" w:eastAsia="Times New Roman" w:hAnsi="Arial" w:cs="Arial"/>
          <w:b w:val="0"/>
          <w:bCs w:val="0"/>
          <w:sz w:val="24"/>
          <w:lang w:val="es-MX"/>
        </w:rPr>
      </w:pPr>
    </w:p>
    <w:p w:rsidR="00C04E73" w:rsidRDefault="00C04E73" w:rsidP="00C04E73">
      <w:pPr>
        <w:pStyle w:val="Textoindependiente"/>
        <w:jc w:val="both"/>
        <w:rPr>
          <w:rFonts w:ascii="Arial" w:eastAsia="Times New Roman" w:hAnsi="Arial" w:cs="Arial"/>
          <w:b w:val="0"/>
          <w:bCs w:val="0"/>
          <w:sz w:val="24"/>
          <w:lang w:val="es-MX"/>
        </w:rPr>
      </w:pPr>
    </w:p>
    <w:p w:rsidR="00C04E73" w:rsidRDefault="00C04E73" w:rsidP="00C04E73">
      <w:pPr>
        <w:pStyle w:val="Textoindependiente"/>
        <w:jc w:val="both"/>
        <w:rPr>
          <w:rFonts w:ascii="Arial" w:eastAsia="Times New Roman" w:hAnsi="Arial" w:cs="Arial"/>
          <w:b w:val="0"/>
          <w:bCs w:val="0"/>
          <w:sz w:val="24"/>
          <w:lang w:val="es-MX"/>
        </w:rPr>
      </w:pPr>
    </w:p>
    <w:p w:rsidR="00C04E73" w:rsidRDefault="00C04E73" w:rsidP="00C04E73">
      <w:pPr>
        <w:pStyle w:val="Textoindependiente"/>
        <w:jc w:val="both"/>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Pr="00513231" w:rsidRDefault="00C04E73" w:rsidP="00C04E73">
      <w:pPr>
        <w:pStyle w:val="Textoindependiente"/>
        <w:jc w:val="center"/>
        <w:rPr>
          <w:rFonts w:ascii="Arial" w:hAnsi="Arial" w:cs="Arial"/>
          <w:b w:val="0"/>
          <w:i/>
          <w:sz w:val="20"/>
          <w:szCs w:val="20"/>
        </w:rPr>
      </w:pPr>
      <w:r w:rsidRPr="00513231">
        <w:rPr>
          <w:rFonts w:ascii="Arial" w:hAnsi="Arial" w:cs="Arial"/>
          <w:b w:val="0"/>
          <w:i/>
          <w:sz w:val="20"/>
          <w:szCs w:val="20"/>
        </w:rPr>
        <w:t>Figura 2. Circuito RC en paralelo acoplado a dos etapas de amplificación A y B.</w:t>
      </w:r>
    </w:p>
    <w:p w:rsidR="00C04E73" w:rsidRDefault="00C04E73" w:rsidP="00C04E73">
      <w:pPr>
        <w:pStyle w:val="Textoindependiente"/>
        <w:rPr>
          <w:rFonts w:ascii="Arial" w:hAnsi="Arial" w:cs="Arial"/>
          <w:b w:val="0"/>
          <w:sz w:val="24"/>
        </w:rPr>
      </w:pPr>
    </w:p>
    <w:p w:rsidR="00C04E73" w:rsidRPr="00B01B38" w:rsidRDefault="00C04E73" w:rsidP="00C04E73">
      <w:pPr>
        <w:jc w:val="both"/>
        <w:rPr>
          <w:rFonts w:ascii="Arial" w:hAnsi="Arial" w:cs="Arial"/>
          <w:lang w:val="es-MX"/>
        </w:rPr>
      </w:pPr>
      <w:r w:rsidRPr="00B01B38">
        <w:rPr>
          <w:rFonts w:ascii="Arial" w:hAnsi="Arial" w:cs="Arial"/>
        </w:rPr>
        <w:t xml:space="preserve">Realizando un análisis de corrientes en los nodos de las entradas de las etapas de amplificación A y B se obtiene el voltaje de salida </w:t>
      </w:r>
      <w:r w:rsidRPr="00BB3BC0">
        <w:rPr>
          <w:i/>
        </w:rPr>
        <w:t>V</w:t>
      </w:r>
      <w:r w:rsidRPr="00BB3BC0">
        <w:rPr>
          <w:i/>
          <w:vertAlign w:val="subscript"/>
        </w:rPr>
        <w:t>S2</w:t>
      </w:r>
      <w:r w:rsidRPr="00BB3BC0">
        <w:rPr>
          <w:i/>
        </w:rPr>
        <w:t xml:space="preserve"> = G</w:t>
      </w:r>
      <w:r w:rsidRPr="00BB3BC0">
        <w:rPr>
          <w:i/>
          <w:vertAlign w:val="subscript"/>
        </w:rPr>
        <w:t>1</w:t>
      </w:r>
      <w:r w:rsidRPr="00BB3BC0">
        <w:rPr>
          <w:i/>
        </w:rPr>
        <w:t>G</w:t>
      </w:r>
      <w:r w:rsidRPr="00BB3BC0">
        <w:rPr>
          <w:i/>
          <w:vertAlign w:val="subscript"/>
        </w:rPr>
        <w:t>2</w:t>
      </w:r>
      <w:r w:rsidRPr="00BB3BC0">
        <w:rPr>
          <w:i/>
        </w:rPr>
        <w:t>Asenωt</w:t>
      </w:r>
      <w:r w:rsidRPr="00B01B38">
        <w:rPr>
          <w:rFonts w:ascii="Arial" w:hAnsi="Arial" w:cs="Arial"/>
        </w:rPr>
        <w:t xml:space="preserve"> en función de las ganancias </w:t>
      </w:r>
      <w:r w:rsidRPr="00BB3BC0">
        <w:rPr>
          <w:i/>
        </w:rPr>
        <w:t>G</w:t>
      </w:r>
      <w:r w:rsidRPr="00BB3BC0">
        <w:rPr>
          <w:i/>
          <w:vertAlign w:val="subscript"/>
        </w:rPr>
        <w:t>1</w:t>
      </w:r>
      <w:r w:rsidRPr="00B01B38">
        <w:rPr>
          <w:rFonts w:ascii="Arial" w:hAnsi="Arial" w:cs="Arial"/>
        </w:rPr>
        <w:t xml:space="preserve"> y </w:t>
      </w:r>
      <w:r w:rsidRPr="00BB3BC0">
        <w:rPr>
          <w:i/>
        </w:rPr>
        <w:t>G</w:t>
      </w:r>
      <w:r w:rsidRPr="00BB3BC0">
        <w:rPr>
          <w:i/>
          <w:vertAlign w:val="subscript"/>
        </w:rPr>
        <w:t>2</w:t>
      </w:r>
      <w:r w:rsidRPr="00B01B38">
        <w:rPr>
          <w:rFonts w:ascii="Arial" w:hAnsi="Arial" w:cs="Arial"/>
        </w:rPr>
        <w:t xml:space="preserve"> de los amplificadores U1A</w:t>
      </w:r>
      <w:r w:rsidRPr="00B01B38">
        <w:rPr>
          <w:rFonts w:ascii="Arial" w:hAnsi="Arial" w:cs="Arial"/>
          <w:vertAlign w:val="subscript"/>
        </w:rPr>
        <w:t xml:space="preserve"> </w:t>
      </w:r>
      <w:r w:rsidRPr="00B01B38">
        <w:rPr>
          <w:rFonts w:ascii="Arial" w:hAnsi="Arial" w:cs="Arial"/>
        </w:rPr>
        <w:t xml:space="preserve">y UB1, de los voltajes de entrada y salida </w:t>
      </w:r>
      <w:r w:rsidRPr="00BB3BC0">
        <w:rPr>
          <w:i/>
        </w:rPr>
        <w:t>V</w:t>
      </w:r>
      <w:r w:rsidRPr="00BB3BC0">
        <w:rPr>
          <w:i/>
          <w:vertAlign w:val="subscript"/>
        </w:rPr>
        <w:t>es</w:t>
      </w:r>
      <w:r w:rsidRPr="00B01B38">
        <w:rPr>
          <w:rFonts w:ascii="Arial" w:hAnsi="Arial" w:cs="Arial"/>
        </w:rPr>
        <w:t xml:space="preserve">, </w:t>
      </w:r>
      <w:r w:rsidRPr="00BB3BC0">
        <w:rPr>
          <w:i/>
        </w:rPr>
        <w:t>V</w:t>
      </w:r>
      <w:r w:rsidRPr="00BB3BC0">
        <w:rPr>
          <w:i/>
          <w:vertAlign w:val="subscript"/>
        </w:rPr>
        <w:t>S</w:t>
      </w:r>
      <w:r w:rsidRPr="00B01B38">
        <w:rPr>
          <w:rFonts w:ascii="Arial" w:hAnsi="Arial" w:cs="Arial"/>
        </w:rPr>
        <w:t xml:space="preserve"> y </w:t>
      </w:r>
      <w:r w:rsidRPr="00BB3BC0">
        <w:rPr>
          <w:i/>
        </w:rPr>
        <w:t>V</w:t>
      </w:r>
      <w:r w:rsidRPr="00BB3BC0">
        <w:rPr>
          <w:i/>
          <w:vertAlign w:val="subscript"/>
        </w:rPr>
        <w:t>S1</w:t>
      </w:r>
      <w:r w:rsidRPr="00B01B38">
        <w:rPr>
          <w:rFonts w:ascii="Arial" w:hAnsi="Arial" w:cs="Arial"/>
        </w:rPr>
        <w:t xml:space="preserve"> y de las componentes resistiva </w:t>
      </w:r>
      <w:r w:rsidRPr="00BB3BC0">
        <w:rPr>
          <w:i/>
        </w:rPr>
        <w:t>R</w:t>
      </w:r>
      <w:r w:rsidRPr="00B01B38">
        <w:rPr>
          <w:rFonts w:ascii="Arial" w:hAnsi="Arial" w:cs="Arial"/>
        </w:rPr>
        <w:t xml:space="preserve"> y reactiva </w:t>
      </w:r>
      <w:r w:rsidRPr="00BB3BC0">
        <w:rPr>
          <w:i/>
        </w:rPr>
        <w:t>X</w:t>
      </w:r>
      <w:r w:rsidRPr="00BB3BC0">
        <w:rPr>
          <w:i/>
          <w:vertAlign w:val="subscript"/>
        </w:rPr>
        <w:t>C</w:t>
      </w:r>
      <w:r w:rsidRPr="00BB3BC0">
        <w:rPr>
          <w:i/>
        </w:rPr>
        <w:t xml:space="preserve"> = 1/ωC</w:t>
      </w:r>
      <w:r w:rsidRPr="00B01B38">
        <w:rPr>
          <w:rFonts w:ascii="Arial" w:hAnsi="Arial" w:cs="Arial"/>
        </w:rPr>
        <w:t xml:space="preserve"> del circuito RC con la siguiente expresión,</w:t>
      </w:r>
    </w:p>
    <w:p w:rsidR="00C04E73" w:rsidRPr="00B01B38" w:rsidRDefault="00C04E73" w:rsidP="00C04E73">
      <w:pPr>
        <w:jc w:val="both"/>
        <w:rPr>
          <w:rFonts w:ascii="Arial" w:hAnsi="Arial" w:cs="Arial"/>
          <w:lang w:val="es-MX"/>
        </w:rPr>
      </w:pPr>
    </w:p>
    <w:p w:rsidR="00C04E73" w:rsidRPr="00B01B38" w:rsidRDefault="001345E4" w:rsidP="00C04E73">
      <w:pPr>
        <w:jc w:val="right"/>
        <w:rPr>
          <w:rFonts w:ascii="Arial" w:hAnsi="Arial" w:cs="Arial"/>
        </w:rPr>
      </w:pP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s2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es</m:t>
            </m:r>
          </m:sub>
        </m:sSub>
        <m:d>
          <m:dPr>
            <m:ctrlPr>
              <w:rPr>
                <w:rFonts w:ascii="Cambria Math" w:hAnsi="Cambria Math"/>
                <w:i/>
                <w:sz w:val="22"/>
                <w:szCs w:val="22"/>
              </w:rPr>
            </m:ctrlPr>
          </m:dPr>
          <m:e>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1</m:t>
                    </m:r>
                  </m:sub>
                </m:sSub>
              </m:num>
              <m:den>
                <m:r>
                  <w:rPr>
                    <w:rFonts w:ascii="Cambria Math" w:hAnsi="Cambria Math"/>
                    <w:sz w:val="22"/>
                    <w:szCs w:val="22"/>
                  </w:rPr>
                  <m:t>R</m:t>
                </m:r>
              </m:den>
            </m:f>
            <m:r>
              <w:rPr>
                <w:rFonts w:ascii="Cambria Math" w:hAnsi="Cambria Math"/>
                <w:sz w:val="22"/>
                <w:szCs w:val="22"/>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1</m:t>
                    </m:r>
                  </m:sub>
                </m:sSub>
              </m:num>
              <m:den>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ωC</m:t>
                    </m:r>
                  </m:den>
                </m:f>
              </m:den>
            </m:f>
          </m:e>
        </m:d>
      </m:oMath>
      <w:r w:rsidR="00C04E73" w:rsidRPr="00B01B38">
        <w:rPr>
          <w:rFonts w:ascii="Arial" w:hAnsi="Arial" w:cs="Arial"/>
        </w:rPr>
        <w:t xml:space="preserve"> </w:t>
      </w:r>
      <w:r w:rsidR="00C04E73">
        <w:rPr>
          <w:rFonts w:ascii="Arial" w:hAnsi="Arial" w:cs="Arial"/>
        </w:rPr>
        <w:t>.</w:t>
      </w:r>
      <w:r w:rsidR="00C04E73" w:rsidRPr="00B01B38">
        <w:rPr>
          <w:rFonts w:ascii="Arial" w:hAnsi="Arial" w:cs="Arial"/>
        </w:rPr>
        <w:t xml:space="preserve">                  </w:t>
      </w:r>
      <w:r w:rsidR="00C04E73">
        <w:rPr>
          <w:rFonts w:ascii="Arial" w:hAnsi="Arial" w:cs="Arial"/>
        </w:rPr>
        <w:t xml:space="preserve">   </w:t>
      </w:r>
      <w:r w:rsidR="00C04E73" w:rsidRPr="00B01B38">
        <w:rPr>
          <w:rFonts w:ascii="Arial" w:hAnsi="Arial" w:cs="Arial"/>
        </w:rPr>
        <w:t xml:space="preserve">               </w:t>
      </w:r>
      <w:r w:rsidR="00C04E73">
        <w:rPr>
          <w:rFonts w:ascii="Arial" w:hAnsi="Arial" w:cs="Arial"/>
        </w:rPr>
        <w:t xml:space="preserve">              </w:t>
      </w:r>
      <w:r w:rsidR="00C04E73" w:rsidRPr="00B01B38">
        <w:rPr>
          <w:rFonts w:ascii="Arial" w:hAnsi="Arial" w:cs="Arial"/>
        </w:rPr>
        <w:t>(1)</w:t>
      </w:r>
    </w:p>
    <w:p w:rsidR="00C04E73" w:rsidRPr="00B01B38" w:rsidRDefault="00C04E73" w:rsidP="00C04E73">
      <w:pPr>
        <w:jc w:val="both"/>
        <w:rPr>
          <w:rFonts w:ascii="Arial" w:hAnsi="Arial" w:cs="Arial"/>
        </w:rPr>
      </w:pPr>
    </w:p>
    <w:p w:rsidR="00C04E73" w:rsidRPr="00B01B38" w:rsidRDefault="00C04E73" w:rsidP="00C04E73">
      <w:pPr>
        <w:rPr>
          <w:rFonts w:ascii="Arial" w:eastAsia="Calibri" w:hAnsi="Arial" w:cs="Arial"/>
        </w:rPr>
      </w:pPr>
      <w:r w:rsidRPr="00B01B38">
        <w:rPr>
          <w:rFonts w:ascii="Arial" w:eastAsia="Calibri" w:hAnsi="Arial" w:cs="Arial"/>
        </w:rPr>
        <w:t xml:space="preserve">Así la señal </w:t>
      </w:r>
      <w:r w:rsidRPr="00BB3BC0">
        <w:rPr>
          <w:rFonts w:eastAsia="Calibri"/>
          <w:i/>
        </w:rPr>
        <w:t>V</w:t>
      </w:r>
      <w:r w:rsidRPr="00BB3BC0">
        <w:rPr>
          <w:rFonts w:eastAsia="Calibri"/>
          <w:i/>
          <w:vertAlign w:val="subscript"/>
        </w:rPr>
        <w:t>S2</w:t>
      </w:r>
      <w:r w:rsidRPr="00BB3BC0">
        <w:rPr>
          <w:rFonts w:eastAsia="Calibri"/>
          <w:i/>
        </w:rPr>
        <w:t xml:space="preserve"> = G</w:t>
      </w:r>
      <w:r w:rsidRPr="00BB3BC0">
        <w:rPr>
          <w:rFonts w:eastAsia="Calibri"/>
          <w:i/>
          <w:vertAlign w:val="subscript"/>
        </w:rPr>
        <w:t>1</w:t>
      </w:r>
      <w:r w:rsidRPr="00BB3BC0">
        <w:rPr>
          <w:rFonts w:eastAsia="Calibri"/>
          <w:i/>
        </w:rPr>
        <w:t>G</w:t>
      </w:r>
      <w:r w:rsidRPr="00BB3BC0">
        <w:rPr>
          <w:rFonts w:eastAsia="Calibri"/>
          <w:i/>
          <w:vertAlign w:val="subscript"/>
        </w:rPr>
        <w:t>2</w:t>
      </w:r>
      <w:r w:rsidRPr="00BB3BC0">
        <w:rPr>
          <w:rFonts w:eastAsia="Calibri"/>
          <w:i/>
        </w:rPr>
        <w:t>Asenωt</w:t>
      </w:r>
      <w:r w:rsidRPr="00B01B38">
        <w:rPr>
          <w:rFonts w:ascii="Arial" w:eastAsia="Calibri" w:hAnsi="Arial" w:cs="Arial"/>
        </w:rPr>
        <w:t xml:space="preserve"> estará desfasada por un ángulo </w:t>
      </w:r>
      <w:r w:rsidRPr="00BB3BC0">
        <w:rPr>
          <w:rFonts w:eastAsia="Calibri"/>
          <w:i/>
        </w:rPr>
        <w:t>θ</w:t>
      </w:r>
      <w:r w:rsidRPr="00B01B38">
        <w:rPr>
          <w:rFonts w:ascii="Arial" w:eastAsia="Calibri" w:hAnsi="Arial" w:cs="Arial"/>
        </w:rPr>
        <w:t xml:space="preserve"> con respecto de la señal </w:t>
      </w:r>
      <w:r w:rsidRPr="00BB3BC0">
        <w:rPr>
          <w:rFonts w:eastAsia="Calibri"/>
          <w:i/>
        </w:rPr>
        <w:t>V</w:t>
      </w:r>
      <w:r w:rsidRPr="00BB3BC0">
        <w:rPr>
          <w:rFonts w:eastAsia="Calibri"/>
          <w:i/>
          <w:vertAlign w:val="subscript"/>
        </w:rPr>
        <w:t>es</w:t>
      </w:r>
      <w:r w:rsidRPr="00B01B38">
        <w:rPr>
          <w:rFonts w:ascii="Arial" w:eastAsia="Calibri" w:hAnsi="Arial" w:cs="Arial"/>
        </w:rPr>
        <w:t xml:space="preserve"> de entrada al circuito RC debido solamente a la componente reactiva </w:t>
      </w:r>
      <w:r w:rsidRPr="00BB3BC0">
        <w:rPr>
          <w:rFonts w:eastAsia="Calibri"/>
          <w:i/>
        </w:rPr>
        <w:t>X</w:t>
      </w:r>
      <w:r w:rsidRPr="00BB3BC0">
        <w:rPr>
          <w:rFonts w:eastAsia="Calibri"/>
          <w:i/>
          <w:vertAlign w:val="subscript"/>
        </w:rPr>
        <w:t>C</w:t>
      </w:r>
      <w:r w:rsidRPr="00B01B38">
        <w:rPr>
          <w:rFonts w:ascii="Arial" w:eastAsia="Calibri" w:hAnsi="Arial" w:cs="Arial"/>
        </w:rPr>
        <w:t xml:space="preserve"> en donde,</w:t>
      </w:r>
    </w:p>
    <w:p w:rsidR="00C04E73" w:rsidRDefault="00C04E73" w:rsidP="00C04E73">
      <w:pPr>
        <w:jc w:val="right"/>
        <w:rPr>
          <w:rFonts w:ascii="Arial" w:eastAsia="Calibri" w:hAnsi="Arial" w:cs="Arial"/>
        </w:rPr>
      </w:pPr>
      <m:oMath>
        <m:r>
          <w:rPr>
            <w:rFonts w:ascii="Cambria Math" w:eastAsia="Calibri" w:hAnsi="Cambria Math"/>
            <w:sz w:val="22"/>
            <w:szCs w:val="22"/>
          </w:rPr>
          <m:t>θ=</m:t>
        </m:r>
        <m:func>
          <m:funcPr>
            <m:ctrlPr>
              <w:rPr>
                <w:rFonts w:ascii="Cambria Math" w:eastAsia="Calibri" w:hAnsi="Cambria Math"/>
                <w:i/>
                <w:sz w:val="22"/>
                <w:szCs w:val="22"/>
              </w:rPr>
            </m:ctrlPr>
          </m:funcPr>
          <m:fName>
            <m:sSup>
              <m:sSupPr>
                <m:ctrlPr>
                  <w:rPr>
                    <w:rFonts w:ascii="Cambria Math" w:eastAsia="Calibri" w:hAnsi="Cambria Math"/>
                    <w:i/>
                    <w:sz w:val="22"/>
                    <w:szCs w:val="22"/>
                  </w:rPr>
                </m:ctrlPr>
              </m:sSupPr>
              <m:e>
                <m:r>
                  <m:rPr>
                    <m:sty m:val="p"/>
                  </m:rPr>
                  <w:rPr>
                    <w:rFonts w:ascii="Cambria Math" w:eastAsia="Calibri" w:hAnsi="Cambria Math"/>
                    <w:sz w:val="22"/>
                    <w:szCs w:val="22"/>
                  </w:rPr>
                  <m:t>tan</m:t>
                </m:r>
              </m:e>
              <m:sup>
                <m:r>
                  <w:rPr>
                    <w:rFonts w:ascii="Cambria Math" w:eastAsia="Calibri" w:hAnsi="Cambria Math"/>
                    <w:sz w:val="22"/>
                    <w:szCs w:val="22"/>
                  </w:rPr>
                  <m:t>-1</m:t>
                </m:r>
              </m:sup>
            </m:sSup>
          </m:fName>
          <m:e>
            <m:r>
              <w:rPr>
                <w:rFonts w:ascii="Cambria Math" w:eastAsia="Calibri" w:hAnsi="Cambria Math"/>
                <w:sz w:val="22"/>
                <w:szCs w:val="22"/>
              </w:rPr>
              <m:t>ωRC</m:t>
            </m:r>
          </m:e>
        </m:func>
      </m:oMath>
      <w:r w:rsidRPr="00B01B38">
        <w:rPr>
          <w:rFonts w:ascii="Arial" w:eastAsia="Calibri" w:hAnsi="Arial" w:cs="Arial"/>
        </w:rPr>
        <w:t xml:space="preserve"> </w:t>
      </w:r>
      <w:r>
        <w:rPr>
          <w:rFonts w:ascii="Arial" w:eastAsia="Calibri" w:hAnsi="Arial" w:cs="Arial"/>
        </w:rPr>
        <w:t>.</w:t>
      </w:r>
      <w:r w:rsidRPr="00B01B38">
        <w:rPr>
          <w:rFonts w:ascii="Arial" w:eastAsia="Calibri" w:hAnsi="Arial" w:cs="Arial"/>
        </w:rPr>
        <w:t xml:space="preserve">             </w:t>
      </w:r>
      <w:r>
        <w:rPr>
          <w:rFonts w:ascii="Arial" w:eastAsia="Calibri" w:hAnsi="Arial" w:cs="Arial"/>
        </w:rPr>
        <w:t xml:space="preserve">                                        </w:t>
      </w:r>
      <w:r w:rsidRPr="00B01B38">
        <w:rPr>
          <w:rFonts w:ascii="Arial" w:eastAsia="Calibri" w:hAnsi="Arial" w:cs="Arial"/>
        </w:rPr>
        <w:t>(2)</w:t>
      </w:r>
    </w:p>
    <w:p w:rsidR="00C04E73" w:rsidRPr="00B01B38" w:rsidRDefault="00C04E73" w:rsidP="00C04E73">
      <w:pPr>
        <w:jc w:val="both"/>
        <w:rPr>
          <w:rFonts w:ascii="Arial" w:eastAsia="Calibri" w:hAnsi="Arial" w:cs="Arial"/>
        </w:rPr>
      </w:pPr>
      <w:r w:rsidRPr="00B01B38">
        <w:rPr>
          <w:rFonts w:ascii="Arial" w:eastAsia="Calibri" w:hAnsi="Arial" w:cs="Arial"/>
        </w:rPr>
        <w:t xml:space="preserve">Se puede despejar de forma independiente las variables de </w:t>
      </w:r>
      <w:r w:rsidRPr="00BB3BC0">
        <w:rPr>
          <w:rFonts w:eastAsia="Calibri"/>
          <w:i/>
        </w:rPr>
        <w:t>R</w:t>
      </w:r>
      <w:r w:rsidRPr="00B01B38">
        <w:rPr>
          <w:rFonts w:ascii="Arial" w:eastAsia="Calibri" w:hAnsi="Arial" w:cs="Arial"/>
        </w:rPr>
        <w:t xml:space="preserve"> y </w:t>
      </w:r>
      <w:r w:rsidRPr="00BB3BC0">
        <w:rPr>
          <w:rFonts w:eastAsia="Calibri"/>
          <w:i/>
        </w:rPr>
        <w:t>C</w:t>
      </w:r>
      <w:r w:rsidRPr="00B01B38">
        <w:rPr>
          <w:rFonts w:ascii="Arial" w:eastAsia="Calibri" w:hAnsi="Arial" w:cs="Arial"/>
        </w:rPr>
        <w:t xml:space="preserve"> en función de sus componentes resistiva y reactiva respectivamente de la ecuación (1), así para obtener el valor de </w:t>
      </w:r>
      <w:r w:rsidRPr="00BB3BC0">
        <w:rPr>
          <w:rFonts w:eastAsia="Calibri"/>
          <w:i/>
        </w:rPr>
        <w:t>R</w:t>
      </w:r>
      <w:r w:rsidRPr="00B01B38">
        <w:rPr>
          <w:rFonts w:ascii="Arial" w:eastAsia="Calibri" w:hAnsi="Arial" w:cs="Arial"/>
        </w:rPr>
        <w:t xml:space="preserve"> se tiene que,</w:t>
      </w:r>
    </w:p>
    <w:p w:rsidR="00C04E73" w:rsidRPr="00B01B38" w:rsidRDefault="00C04E73" w:rsidP="00C04E73">
      <w:pPr>
        <w:jc w:val="right"/>
        <w:rPr>
          <w:rFonts w:ascii="Arial" w:eastAsia="Calibri" w:hAnsi="Arial" w:cs="Arial"/>
        </w:rPr>
      </w:pPr>
      <w:r w:rsidRPr="00B01B38">
        <w:rPr>
          <w:rFonts w:ascii="Arial" w:eastAsia="Calibri" w:hAnsi="Arial" w:cs="Arial"/>
        </w:rPr>
        <w:t xml:space="preserve">        </w:t>
      </w:r>
      <m:oMath>
        <m:r>
          <w:rPr>
            <w:rFonts w:ascii="Cambria Math" w:eastAsia="Calibri" w:hAnsi="Cambria Math"/>
            <w:sz w:val="22"/>
            <w:szCs w:val="22"/>
          </w:rPr>
          <m:t>R=</m:t>
        </m:r>
        <m:sSub>
          <m:sSubPr>
            <m:ctrlPr>
              <w:rPr>
                <w:rFonts w:ascii="Cambria Math" w:eastAsia="Calibri" w:hAnsi="Cambria Math"/>
                <w:i/>
                <w:sz w:val="22"/>
                <w:szCs w:val="22"/>
              </w:rPr>
            </m:ctrlPr>
          </m:sSubPr>
          <m:e>
            <m:r>
              <w:rPr>
                <w:rFonts w:ascii="Cambria Math" w:eastAsia="Calibri" w:hAnsi="Cambria Math"/>
                <w:sz w:val="22"/>
                <w:szCs w:val="22"/>
              </w:rPr>
              <m:t>R</m:t>
            </m:r>
          </m:e>
          <m:sub>
            <m:r>
              <w:rPr>
                <w:rFonts w:ascii="Cambria Math" w:eastAsia="Calibri" w:hAnsi="Cambria Math"/>
                <w:sz w:val="22"/>
                <w:szCs w:val="22"/>
              </w:rPr>
              <m:t>1</m:t>
            </m:r>
          </m:sub>
        </m:sSub>
        <m:d>
          <m:dPr>
            <m:ctrlPr>
              <w:rPr>
                <w:rFonts w:ascii="Cambria Math" w:eastAsia="Calibri" w:hAnsi="Cambria Math"/>
                <w:i/>
                <w:sz w:val="22"/>
                <w:szCs w:val="22"/>
              </w:rPr>
            </m:ctrlPr>
          </m:dPr>
          <m:e>
            <m:f>
              <m:fPr>
                <m:ctrlPr>
                  <w:rPr>
                    <w:rFonts w:ascii="Cambria Math" w:eastAsia="Calibri" w:hAnsi="Cambria Math"/>
                    <w:i/>
                    <w:sz w:val="22"/>
                    <w:szCs w:val="22"/>
                  </w:rPr>
                </m:ctrlPr>
              </m:fPr>
              <m:num>
                <m:sSub>
                  <m:sSubPr>
                    <m:ctrlPr>
                      <w:rPr>
                        <w:rFonts w:ascii="Cambria Math" w:eastAsia="Calibri" w:hAnsi="Cambria Math"/>
                        <w:i/>
                        <w:sz w:val="22"/>
                        <w:szCs w:val="22"/>
                      </w:rPr>
                    </m:ctrlPr>
                  </m:sSubPr>
                  <m:e>
                    <m:r>
                      <w:rPr>
                        <w:rFonts w:ascii="Cambria Math" w:eastAsia="Calibri" w:hAnsi="Cambria Math"/>
                        <w:sz w:val="22"/>
                        <w:szCs w:val="22"/>
                      </w:rPr>
                      <m:t>V</m:t>
                    </m:r>
                  </m:e>
                  <m:sub>
                    <m:r>
                      <w:rPr>
                        <w:rFonts w:ascii="Cambria Math" w:eastAsia="Calibri" w:hAnsi="Cambria Math"/>
                        <w:sz w:val="22"/>
                        <w:szCs w:val="22"/>
                      </w:rPr>
                      <m:t>es</m:t>
                    </m:r>
                  </m:sub>
                </m:sSub>
              </m:num>
              <m:den>
                <m:sSub>
                  <m:sSubPr>
                    <m:ctrlPr>
                      <w:rPr>
                        <w:rFonts w:ascii="Cambria Math" w:eastAsia="Calibri" w:hAnsi="Cambria Math"/>
                        <w:i/>
                        <w:sz w:val="22"/>
                        <w:szCs w:val="22"/>
                      </w:rPr>
                    </m:ctrlPr>
                  </m:sSubPr>
                  <m:e>
                    <m:r>
                      <w:rPr>
                        <w:rFonts w:ascii="Cambria Math" w:eastAsia="Calibri" w:hAnsi="Cambria Math"/>
                        <w:sz w:val="22"/>
                        <w:szCs w:val="22"/>
                      </w:rPr>
                      <m:t>V</m:t>
                    </m:r>
                  </m:e>
                  <m:sub>
                    <m:r>
                      <w:rPr>
                        <w:rFonts w:ascii="Cambria Math" w:eastAsia="Calibri" w:hAnsi="Cambria Math"/>
                        <w:sz w:val="22"/>
                        <w:szCs w:val="22"/>
                      </w:rPr>
                      <m:t>s2</m:t>
                    </m:r>
                  </m:sub>
                </m:sSub>
              </m:den>
            </m:f>
          </m:e>
        </m:d>
      </m:oMath>
      <w:r w:rsidRPr="00B01B38">
        <w:rPr>
          <w:rFonts w:ascii="Arial" w:eastAsia="Calibri" w:hAnsi="Arial" w:cs="Arial"/>
        </w:rPr>
        <w:t xml:space="preserve"> </w:t>
      </w:r>
      <w:r>
        <w:rPr>
          <w:rFonts w:ascii="Arial" w:eastAsia="Calibri" w:hAnsi="Arial" w:cs="Arial"/>
        </w:rPr>
        <w:t>.</w:t>
      </w:r>
      <w:r w:rsidRPr="00B01B38">
        <w:rPr>
          <w:rFonts w:ascii="Arial" w:eastAsia="Calibri" w:hAnsi="Arial" w:cs="Arial"/>
        </w:rPr>
        <w:t xml:space="preserve">                 </w:t>
      </w:r>
      <w:r>
        <w:rPr>
          <w:rFonts w:ascii="Arial" w:eastAsia="Calibri" w:hAnsi="Arial" w:cs="Arial"/>
        </w:rPr>
        <w:t xml:space="preserve"> </w:t>
      </w:r>
      <w:r w:rsidRPr="00B01B38">
        <w:rPr>
          <w:rFonts w:ascii="Arial" w:eastAsia="Calibri" w:hAnsi="Arial" w:cs="Arial"/>
        </w:rPr>
        <w:t xml:space="preserve">                               </w:t>
      </w:r>
      <w:r>
        <w:rPr>
          <w:rFonts w:ascii="Arial" w:eastAsia="Calibri" w:hAnsi="Arial" w:cs="Arial"/>
        </w:rPr>
        <w:t xml:space="preserve">    </w:t>
      </w:r>
      <w:r w:rsidRPr="00B01B38">
        <w:rPr>
          <w:rFonts w:ascii="Arial" w:eastAsia="Calibri" w:hAnsi="Arial" w:cs="Arial"/>
        </w:rPr>
        <w:t>(3)</w:t>
      </w:r>
    </w:p>
    <w:p w:rsidR="00C04E73" w:rsidRPr="00B01B38" w:rsidRDefault="00C04E73" w:rsidP="00C04E73">
      <w:pPr>
        <w:jc w:val="both"/>
        <w:rPr>
          <w:rFonts w:ascii="Arial" w:eastAsia="Calibri" w:hAnsi="Arial" w:cs="Arial"/>
        </w:rPr>
      </w:pPr>
      <w:r w:rsidRPr="00B01B38">
        <w:rPr>
          <w:rFonts w:ascii="Arial" w:eastAsia="Calibri" w:hAnsi="Arial" w:cs="Arial"/>
        </w:rPr>
        <w:t xml:space="preserve">Y para obtener el valor de </w:t>
      </w:r>
      <w:r w:rsidRPr="00BB3BC0">
        <w:rPr>
          <w:rFonts w:eastAsia="Calibri"/>
          <w:i/>
        </w:rPr>
        <w:t>C</w:t>
      </w:r>
      <w:r w:rsidRPr="00B01B38">
        <w:rPr>
          <w:rFonts w:ascii="Arial" w:eastAsia="Calibri" w:hAnsi="Arial" w:cs="Arial"/>
        </w:rPr>
        <w:t xml:space="preserve"> se tiene que,</w:t>
      </w:r>
    </w:p>
    <w:p w:rsidR="00C04E73" w:rsidRPr="00BB3BC0" w:rsidRDefault="00C04E73" w:rsidP="00C04E73">
      <w:pPr>
        <w:pStyle w:val="Textoindependiente"/>
        <w:jc w:val="right"/>
        <w:rPr>
          <w:rFonts w:ascii="Arial" w:eastAsia="Calibri" w:hAnsi="Arial" w:cs="Arial"/>
          <w:b w:val="0"/>
          <w:sz w:val="24"/>
        </w:rPr>
      </w:pPr>
      <w:r w:rsidRPr="00B01B38">
        <w:rPr>
          <w:rFonts w:ascii="Arial" w:eastAsia="Calibri" w:hAnsi="Arial" w:cs="Arial"/>
          <w:sz w:val="24"/>
        </w:rPr>
        <w:t xml:space="preserve">     </w:t>
      </w:r>
      <m:oMath>
        <m:r>
          <m:rPr>
            <m:sty m:val="bi"/>
          </m:rPr>
          <w:rPr>
            <w:rFonts w:ascii="Cambria Math" w:eastAsia="Calibri" w:hAnsi="Cambria Math"/>
            <w:sz w:val="22"/>
            <w:szCs w:val="22"/>
          </w:rPr>
          <m:t>C=</m:t>
        </m:r>
        <m:f>
          <m:fPr>
            <m:ctrlPr>
              <w:rPr>
                <w:rFonts w:ascii="Cambria Math" w:eastAsia="Calibri" w:hAnsi="Cambria Math"/>
                <w:i/>
                <w:sz w:val="22"/>
                <w:szCs w:val="22"/>
              </w:rPr>
            </m:ctrlPr>
          </m:fPr>
          <m:num>
            <m:r>
              <m:rPr>
                <m:sty m:val="bi"/>
              </m:rPr>
              <w:rPr>
                <w:rFonts w:ascii="Cambria Math" w:eastAsia="Calibri" w:hAnsi="Cambria Math"/>
                <w:sz w:val="22"/>
                <w:szCs w:val="22"/>
              </w:rPr>
              <m:t>1</m:t>
            </m:r>
          </m:num>
          <m:den>
            <m:r>
              <m:rPr>
                <m:sty m:val="bi"/>
              </m:rPr>
              <w:rPr>
                <w:rFonts w:ascii="Cambria Math" w:eastAsia="Calibri" w:hAnsi="Cambria Math"/>
                <w:sz w:val="22"/>
                <w:szCs w:val="22"/>
              </w:rPr>
              <m:t>ω</m:t>
            </m:r>
            <m:sSub>
              <m:sSubPr>
                <m:ctrlPr>
                  <w:rPr>
                    <w:rFonts w:ascii="Cambria Math" w:eastAsia="Calibri" w:hAnsi="Cambria Math"/>
                    <w:i/>
                    <w:sz w:val="22"/>
                    <w:szCs w:val="22"/>
                  </w:rPr>
                </m:ctrlPr>
              </m:sSubPr>
              <m:e>
                <m:r>
                  <m:rPr>
                    <m:sty m:val="bi"/>
                  </m:rPr>
                  <w:rPr>
                    <w:rFonts w:ascii="Cambria Math" w:eastAsia="Calibri" w:hAnsi="Cambria Math"/>
                    <w:sz w:val="22"/>
                    <w:szCs w:val="22"/>
                  </w:rPr>
                  <m:t>R</m:t>
                </m:r>
              </m:e>
              <m:sub>
                <m:r>
                  <m:rPr>
                    <m:sty m:val="bi"/>
                  </m:rPr>
                  <w:rPr>
                    <w:rFonts w:ascii="Cambria Math" w:eastAsia="Calibri" w:hAnsi="Cambria Math"/>
                    <w:sz w:val="22"/>
                    <w:szCs w:val="22"/>
                  </w:rPr>
                  <m:t>1</m:t>
                </m:r>
              </m:sub>
            </m:sSub>
            <m:d>
              <m:dPr>
                <m:ctrlPr>
                  <w:rPr>
                    <w:rFonts w:ascii="Cambria Math" w:eastAsia="Calibri" w:hAnsi="Cambria Math"/>
                    <w:i/>
                    <w:sz w:val="22"/>
                    <w:szCs w:val="22"/>
                  </w:rPr>
                </m:ctrlPr>
              </m:dPr>
              <m:e>
                <m:f>
                  <m:fPr>
                    <m:ctrlPr>
                      <w:rPr>
                        <w:rFonts w:ascii="Cambria Math" w:eastAsia="Calibri" w:hAnsi="Cambria Math"/>
                        <w:i/>
                        <w:sz w:val="22"/>
                        <w:szCs w:val="22"/>
                      </w:rPr>
                    </m:ctrlPr>
                  </m:fPr>
                  <m:num>
                    <m:sSub>
                      <m:sSubPr>
                        <m:ctrlPr>
                          <w:rPr>
                            <w:rFonts w:ascii="Cambria Math" w:eastAsia="Calibri" w:hAnsi="Cambria Math"/>
                            <w:i/>
                            <w:sz w:val="22"/>
                            <w:szCs w:val="22"/>
                          </w:rPr>
                        </m:ctrlPr>
                      </m:sSubPr>
                      <m:e>
                        <m:r>
                          <m:rPr>
                            <m:sty m:val="bi"/>
                          </m:rPr>
                          <w:rPr>
                            <w:rFonts w:ascii="Cambria Math" w:eastAsia="Calibri" w:hAnsi="Cambria Math"/>
                            <w:sz w:val="22"/>
                            <w:szCs w:val="22"/>
                          </w:rPr>
                          <m:t>V</m:t>
                        </m:r>
                      </m:e>
                      <m:sub>
                        <m:r>
                          <m:rPr>
                            <m:sty m:val="bi"/>
                          </m:rPr>
                          <w:rPr>
                            <w:rFonts w:ascii="Cambria Math" w:eastAsia="Calibri" w:hAnsi="Cambria Math"/>
                            <w:sz w:val="22"/>
                            <w:szCs w:val="22"/>
                          </w:rPr>
                          <m:t>es</m:t>
                        </m:r>
                      </m:sub>
                    </m:sSub>
                  </m:num>
                  <m:den>
                    <m:sSub>
                      <m:sSubPr>
                        <m:ctrlPr>
                          <w:rPr>
                            <w:rFonts w:ascii="Cambria Math" w:eastAsia="Calibri" w:hAnsi="Cambria Math"/>
                            <w:i/>
                            <w:sz w:val="22"/>
                            <w:szCs w:val="22"/>
                          </w:rPr>
                        </m:ctrlPr>
                      </m:sSubPr>
                      <m:e>
                        <m:r>
                          <m:rPr>
                            <m:sty m:val="bi"/>
                          </m:rPr>
                          <w:rPr>
                            <w:rFonts w:ascii="Cambria Math" w:eastAsia="Calibri" w:hAnsi="Cambria Math"/>
                            <w:sz w:val="22"/>
                            <w:szCs w:val="22"/>
                          </w:rPr>
                          <m:t>V</m:t>
                        </m:r>
                      </m:e>
                      <m:sub>
                        <m:r>
                          <m:rPr>
                            <m:sty m:val="bi"/>
                          </m:rPr>
                          <w:rPr>
                            <w:rFonts w:ascii="Cambria Math" w:eastAsia="Calibri" w:hAnsi="Cambria Math"/>
                            <w:sz w:val="22"/>
                            <w:szCs w:val="22"/>
                          </w:rPr>
                          <m:t>s</m:t>
                        </m:r>
                        <m:r>
                          <m:rPr>
                            <m:sty m:val="bi"/>
                          </m:rPr>
                          <w:rPr>
                            <w:rFonts w:ascii="Cambria Math" w:eastAsia="Calibri" w:hAnsi="Cambria Math"/>
                            <w:sz w:val="22"/>
                            <w:szCs w:val="22"/>
                          </w:rPr>
                          <m:t>2</m:t>
                        </m:r>
                      </m:sub>
                    </m:sSub>
                  </m:den>
                </m:f>
              </m:e>
            </m:d>
          </m:den>
        </m:f>
      </m:oMath>
      <w:r w:rsidRPr="00BB3BC0">
        <w:rPr>
          <w:rFonts w:ascii="Arial" w:eastAsia="Calibri" w:hAnsi="Arial" w:cs="Arial"/>
          <w:b w:val="0"/>
          <w:sz w:val="24"/>
        </w:rPr>
        <w:t xml:space="preserve"> </w:t>
      </w:r>
      <w:r>
        <w:rPr>
          <w:rFonts w:ascii="Arial" w:eastAsia="Calibri" w:hAnsi="Arial" w:cs="Arial"/>
          <w:b w:val="0"/>
          <w:sz w:val="24"/>
        </w:rPr>
        <w:t>.</w:t>
      </w:r>
      <w:r w:rsidRPr="00BB3BC0">
        <w:rPr>
          <w:rFonts w:ascii="Arial" w:eastAsia="Calibri" w:hAnsi="Arial" w:cs="Arial"/>
          <w:b w:val="0"/>
          <w:sz w:val="24"/>
        </w:rPr>
        <w:t xml:space="preserve">                                            </w:t>
      </w:r>
      <w:r>
        <w:rPr>
          <w:rFonts w:ascii="Arial" w:eastAsia="Calibri" w:hAnsi="Arial" w:cs="Arial"/>
          <w:b w:val="0"/>
          <w:sz w:val="24"/>
        </w:rPr>
        <w:t xml:space="preserve">  </w:t>
      </w:r>
      <w:r w:rsidRPr="00BB3BC0">
        <w:rPr>
          <w:rFonts w:ascii="Arial" w:eastAsia="Calibri" w:hAnsi="Arial" w:cs="Arial"/>
          <w:b w:val="0"/>
          <w:sz w:val="24"/>
        </w:rPr>
        <w:t xml:space="preserve">      (4)</w:t>
      </w:r>
    </w:p>
    <w:p w:rsidR="00C04E73" w:rsidRDefault="00C04E73" w:rsidP="00C04E73">
      <w:pPr>
        <w:pStyle w:val="Textoindependiente"/>
        <w:jc w:val="both"/>
        <w:rPr>
          <w:rFonts w:ascii="Arial" w:hAnsi="Arial" w:cs="Arial"/>
          <w:b w:val="0"/>
          <w:sz w:val="24"/>
        </w:rPr>
      </w:pPr>
    </w:p>
    <w:p w:rsidR="00C04E73" w:rsidRDefault="00C04E73" w:rsidP="00C04E73">
      <w:pPr>
        <w:pStyle w:val="Textoindependiente"/>
        <w:jc w:val="both"/>
        <w:rPr>
          <w:rFonts w:ascii="Arial" w:hAnsi="Arial" w:cs="Arial"/>
          <w:b w:val="0"/>
          <w:sz w:val="24"/>
        </w:rPr>
      </w:pPr>
      <w:r w:rsidRPr="003A48DC">
        <w:rPr>
          <w:rFonts w:ascii="Arial" w:hAnsi="Arial" w:cs="Arial"/>
          <w:b w:val="0"/>
          <w:sz w:val="24"/>
        </w:rPr>
        <w:t xml:space="preserve">Realizando simulaciones del circuito de amplificación se obtienen las señales de voltajes de entrada </w:t>
      </w:r>
      <w:r w:rsidRPr="003A48DC">
        <w:rPr>
          <w:b w:val="0"/>
          <w:i/>
          <w:sz w:val="24"/>
        </w:rPr>
        <w:t>V</w:t>
      </w:r>
      <w:r w:rsidRPr="003A48DC">
        <w:rPr>
          <w:b w:val="0"/>
          <w:i/>
          <w:sz w:val="24"/>
          <w:vertAlign w:val="subscript"/>
        </w:rPr>
        <w:t>es</w:t>
      </w:r>
      <w:r w:rsidRPr="003A48DC">
        <w:rPr>
          <w:rFonts w:ascii="Arial" w:hAnsi="Arial" w:cs="Arial"/>
          <w:b w:val="0"/>
          <w:sz w:val="24"/>
        </w:rPr>
        <w:t xml:space="preserve"> y salida </w:t>
      </w:r>
      <w:r w:rsidRPr="003A48DC">
        <w:rPr>
          <w:b w:val="0"/>
          <w:i/>
          <w:sz w:val="24"/>
        </w:rPr>
        <w:t>V</w:t>
      </w:r>
      <w:r w:rsidRPr="003A48DC">
        <w:rPr>
          <w:b w:val="0"/>
          <w:i/>
          <w:sz w:val="24"/>
          <w:vertAlign w:val="subscript"/>
        </w:rPr>
        <w:t>S1</w:t>
      </w:r>
      <w:r w:rsidRPr="003A48DC">
        <w:rPr>
          <w:rFonts w:ascii="Arial" w:hAnsi="Arial" w:cs="Arial"/>
          <w:b w:val="0"/>
          <w:sz w:val="24"/>
        </w:rPr>
        <w:t xml:space="preserve"> y </w:t>
      </w:r>
      <w:r w:rsidRPr="003A48DC">
        <w:rPr>
          <w:b w:val="0"/>
          <w:i/>
          <w:sz w:val="24"/>
        </w:rPr>
        <w:t>V</w:t>
      </w:r>
      <w:r w:rsidRPr="003A48DC">
        <w:rPr>
          <w:b w:val="0"/>
          <w:i/>
          <w:sz w:val="24"/>
          <w:vertAlign w:val="subscript"/>
        </w:rPr>
        <w:t>S2</w:t>
      </w:r>
      <w:r w:rsidRPr="003A48DC">
        <w:rPr>
          <w:rFonts w:ascii="Arial" w:hAnsi="Arial" w:cs="Arial"/>
          <w:b w:val="0"/>
          <w:sz w:val="24"/>
        </w:rPr>
        <w:t xml:space="preserve"> de cada etapa de amplificación en donde se puede observar el desfasamiento presente entre estas, como se muestra en la figura 3.</w:t>
      </w:r>
    </w:p>
    <w:p w:rsidR="00C04E73" w:rsidRDefault="00C04E73" w:rsidP="00C04E73">
      <w:pPr>
        <w:pStyle w:val="Textoindependiente"/>
        <w:rPr>
          <w:rFonts w:ascii="Arial" w:hAnsi="Arial" w:cs="Arial"/>
          <w:b w:val="0"/>
          <w:sz w:val="24"/>
        </w:rPr>
      </w:pPr>
      <w:r>
        <w:rPr>
          <w:noProof/>
          <w:lang w:val="en-US"/>
        </w:rPr>
        <w:drawing>
          <wp:anchor distT="0" distB="0" distL="114300" distR="114300" simplePos="0" relativeHeight="251837440" behindDoc="0" locked="0" layoutInCell="1" allowOverlap="1" wp14:anchorId="664BD6B3" wp14:editId="06787EF3">
            <wp:simplePos x="0" y="0"/>
            <wp:positionH relativeFrom="margin">
              <wp:posOffset>201295</wp:posOffset>
            </wp:positionH>
            <wp:positionV relativeFrom="paragraph">
              <wp:posOffset>168275</wp:posOffset>
            </wp:positionV>
            <wp:extent cx="5400040" cy="3110230"/>
            <wp:effectExtent l="0" t="0" r="0" b="0"/>
            <wp:wrapThrough wrapText="bothSides">
              <wp:wrapPolygon edited="0">
                <wp:start x="0" y="0"/>
                <wp:lineTo x="0" y="21432"/>
                <wp:lineTo x="21488" y="21432"/>
                <wp:lineTo x="21488" y="0"/>
                <wp:lineTo x="0" y="0"/>
              </wp:wrapPolygon>
            </wp:wrapThrough>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5400040" cy="3110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Pr="00451105" w:rsidRDefault="00C04E73" w:rsidP="00C04E73">
      <w:pPr>
        <w:pStyle w:val="Textoindependiente"/>
        <w:jc w:val="center"/>
        <w:rPr>
          <w:rFonts w:ascii="Arial" w:hAnsi="Arial" w:cs="Arial"/>
          <w:b w:val="0"/>
          <w:i/>
          <w:sz w:val="20"/>
          <w:szCs w:val="20"/>
        </w:rPr>
      </w:pPr>
      <w:r w:rsidRPr="003A48DC">
        <w:rPr>
          <w:rFonts w:ascii="Arial" w:hAnsi="Arial" w:cs="Arial"/>
          <w:b w:val="0"/>
          <w:i/>
          <w:sz w:val="20"/>
          <w:szCs w:val="20"/>
          <w:lang w:val="es-MX"/>
        </w:rPr>
        <w:t xml:space="preserve">Figura 3. Señal de voltaje de entrada al circuito RC </w:t>
      </w:r>
      <w:r w:rsidRPr="003A48DC">
        <w:rPr>
          <w:b w:val="0"/>
          <w:i/>
          <w:sz w:val="20"/>
          <w:szCs w:val="20"/>
          <w:lang w:val="es-MX"/>
        </w:rPr>
        <w:t>V</w:t>
      </w:r>
      <w:r w:rsidRPr="003A48DC">
        <w:rPr>
          <w:b w:val="0"/>
          <w:i/>
          <w:sz w:val="20"/>
          <w:szCs w:val="20"/>
          <w:vertAlign w:val="subscript"/>
          <w:lang w:val="es-MX"/>
        </w:rPr>
        <w:t>es</w:t>
      </w:r>
      <w:r w:rsidRPr="003A48DC">
        <w:rPr>
          <w:rFonts w:ascii="Arial" w:hAnsi="Arial" w:cs="Arial"/>
          <w:b w:val="0"/>
          <w:i/>
          <w:sz w:val="20"/>
          <w:szCs w:val="20"/>
          <w:lang w:val="es-MX"/>
        </w:rPr>
        <w:t xml:space="preserve"> (arriba), señales de voltaje de salida de cada etapa de amplificación </w:t>
      </w:r>
      <w:r w:rsidRPr="003A48DC">
        <w:rPr>
          <w:b w:val="0"/>
          <w:i/>
          <w:sz w:val="20"/>
          <w:szCs w:val="20"/>
          <w:lang w:val="es-MX"/>
        </w:rPr>
        <w:t>V</w:t>
      </w:r>
      <w:r w:rsidRPr="003A48DC">
        <w:rPr>
          <w:b w:val="0"/>
          <w:i/>
          <w:sz w:val="20"/>
          <w:szCs w:val="20"/>
          <w:vertAlign w:val="subscript"/>
          <w:lang w:val="es-MX"/>
        </w:rPr>
        <w:t>S1</w:t>
      </w:r>
      <w:r w:rsidRPr="003A48DC">
        <w:rPr>
          <w:rFonts w:ascii="Arial" w:hAnsi="Arial" w:cs="Arial"/>
          <w:b w:val="0"/>
          <w:i/>
          <w:sz w:val="20"/>
          <w:szCs w:val="20"/>
          <w:lang w:val="es-MX"/>
        </w:rPr>
        <w:t xml:space="preserve"> (en medio) y </w:t>
      </w:r>
      <w:r w:rsidRPr="003A48DC">
        <w:rPr>
          <w:b w:val="0"/>
          <w:i/>
          <w:sz w:val="20"/>
          <w:szCs w:val="20"/>
          <w:lang w:val="es-MX"/>
        </w:rPr>
        <w:t>V</w:t>
      </w:r>
      <w:r w:rsidRPr="003A48DC">
        <w:rPr>
          <w:b w:val="0"/>
          <w:i/>
          <w:sz w:val="20"/>
          <w:szCs w:val="20"/>
          <w:vertAlign w:val="subscript"/>
          <w:lang w:val="es-MX"/>
        </w:rPr>
        <w:t>S2</w:t>
      </w:r>
      <w:r w:rsidRPr="003A48DC">
        <w:rPr>
          <w:rFonts w:ascii="Arial" w:hAnsi="Arial" w:cs="Arial"/>
          <w:b w:val="0"/>
          <w:i/>
          <w:sz w:val="20"/>
          <w:szCs w:val="20"/>
          <w:lang w:val="es-MX"/>
        </w:rPr>
        <w:t xml:space="preserve"> (abajo), desfasadas con respecto a </w:t>
      </w:r>
      <w:r w:rsidRPr="003A48DC">
        <w:rPr>
          <w:b w:val="0"/>
          <w:i/>
          <w:sz w:val="20"/>
          <w:szCs w:val="20"/>
          <w:lang w:val="es-MX"/>
        </w:rPr>
        <w:t>V</w:t>
      </w:r>
      <w:r w:rsidRPr="003A48DC">
        <w:rPr>
          <w:b w:val="0"/>
          <w:i/>
          <w:sz w:val="20"/>
          <w:szCs w:val="20"/>
          <w:vertAlign w:val="subscript"/>
          <w:lang w:val="es-MX"/>
        </w:rPr>
        <w:t>es</w:t>
      </w:r>
      <w:r w:rsidRPr="003A48DC">
        <w:rPr>
          <w:rFonts w:ascii="Arial" w:hAnsi="Arial" w:cs="Arial"/>
          <w:b w:val="0"/>
          <w:i/>
          <w:sz w:val="20"/>
          <w:szCs w:val="20"/>
          <w:lang w:val="es-MX"/>
        </w:rPr>
        <w:t>.</w:t>
      </w:r>
    </w:p>
    <w:p w:rsidR="00C04E73" w:rsidRDefault="00C04E73" w:rsidP="00C04E73">
      <w:pPr>
        <w:pStyle w:val="Textoindependiente"/>
        <w:rPr>
          <w:rFonts w:ascii="Arial" w:hAnsi="Arial" w:cs="Arial"/>
          <w:b w:val="0"/>
          <w:sz w:val="24"/>
        </w:rPr>
      </w:pPr>
    </w:p>
    <w:p w:rsidR="00C04E73" w:rsidRPr="002A155A" w:rsidRDefault="00C04E73" w:rsidP="00C04E73">
      <w:pPr>
        <w:ind w:firstLine="567"/>
        <w:jc w:val="both"/>
        <w:rPr>
          <w:rFonts w:ascii="Arial" w:eastAsia="Times New Roman" w:hAnsi="Arial" w:cs="Arial"/>
        </w:rPr>
      </w:pPr>
      <w:r w:rsidRPr="002A155A">
        <w:rPr>
          <w:rFonts w:ascii="Arial" w:eastAsia="Times New Roman" w:hAnsi="Arial" w:cs="Arial"/>
        </w:rPr>
        <w:t xml:space="preserve">La señal </w:t>
      </w:r>
      <w:bookmarkStart w:id="420" w:name="_Hlk34135595"/>
      <w:r w:rsidRPr="002A155A">
        <w:rPr>
          <w:rFonts w:ascii="Arial" w:eastAsia="Times New Roman" w:hAnsi="Arial" w:cs="Arial"/>
        </w:rPr>
        <w:t xml:space="preserve">de voltaje </w:t>
      </w:r>
      <w:r w:rsidRPr="002A155A">
        <w:rPr>
          <w:rFonts w:eastAsia="Times New Roman"/>
          <w:i/>
        </w:rPr>
        <w:t>V</w:t>
      </w:r>
      <w:r w:rsidRPr="002A155A">
        <w:rPr>
          <w:rFonts w:eastAsia="Times New Roman"/>
          <w:i/>
          <w:vertAlign w:val="subscript"/>
        </w:rPr>
        <w:t>S2</w:t>
      </w:r>
      <w:bookmarkEnd w:id="420"/>
      <w:r w:rsidRPr="002A155A">
        <w:rPr>
          <w:rFonts w:ascii="Arial" w:eastAsia="Times New Roman" w:hAnsi="Arial" w:cs="Arial"/>
        </w:rPr>
        <w:t xml:space="preserve"> entra simultáneamente a dos etapas de demodulación síncrona, una sin desfasamiento y otra en cuadratura para así obtener los voltajes de salida en fase y en cuadratura con respecto de </w:t>
      </w:r>
      <w:bookmarkStart w:id="421" w:name="_Hlk34216876"/>
      <w:r w:rsidRPr="002A155A">
        <w:rPr>
          <w:rFonts w:eastAsia="Times New Roman"/>
          <w:i/>
        </w:rPr>
        <w:t>V</w:t>
      </w:r>
      <w:r w:rsidRPr="002A155A">
        <w:rPr>
          <w:rFonts w:eastAsia="Times New Roman"/>
          <w:i/>
          <w:vertAlign w:val="subscript"/>
        </w:rPr>
        <w:t>es</w:t>
      </w:r>
      <w:bookmarkEnd w:id="421"/>
      <w:r w:rsidRPr="002A155A">
        <w:rPr>
          <w:rFonts w:ascii="Arial" w:eastAsia="Times New Roman" w:hAnsi="Arial" w:cs="Arial"/>
        </w:rPr>
        <w:t>.</w:t>
      </w:r>
    </w:p>
    <w:p w:rsidR="00C04E73" w:rsidRPr="002A155A" w:rsidRDefault="00C04E73" w:rsidP="00C04E73">
      <w:pPr>
        <w:jc w:val="both"/>
        <w:rPr>
          <w:rFonts w:ascii="Arial" w:eastAsia="Times New Roman" w:hAnsi="Arial" w:cs="Arial"/>
        </w:rPr>
      </w:pPr>
    </w:p>
    <w:p w:rsidR="00C04E73" w:rsidRPr="002A155A" w:rsidRDefault="00C04E73" w:rsidP="00C04E73">
      <w:pPr>
        <w:jc w:val="both"/>
        <w:rPr>
          <w:rFonts w:ascii="Arial" w:eastAsia="Times New Roman" w:hAnsi="Arial" w:cs="Arial"/>
          <w:i/>
        </w:rPr>
      </w:pPr>
      <w:r w:rsidRPr="002A155A">
        <w:rPr>
          <w:rFonts w:ascii="Arial" w:eastAsia="Times New Roman" w:hAnsi="Arial" w:cs="Arial"/>
          <w:i/>
        </w:rPr>
        <w:t>3.2     Demodulación síncrona en fase</w:t>
      </w:r>
    </w:p>
    <w:p w:rsidR="00C04E73" w:rsidRPr="002A155A" w:rsidRDefault="00C04E73" w:rsidP="00C04E73">
      <w:pPr>
        <w:ind w:firstLine="567"/>
        <w:jc w:val="both"/>
        <w:rPr>
          <w:rFonts w:ascii="Arial" w:eastAsia="Times New Roman" w:hAnsi="Arial" w:cs="Arial"/>
          <w:b/>
        </w:rPr>
      </w:pPr>
    </w:p>
    <w:p w:rsidR="00C04E73" w:rsidRDefault="00C04E73" w:rsidP="00C04E73">
      <w:pPr>
        <w:ind w:firstLine="567"/>
        <w:jc w:val="both"/>
        <w:rPr>
          <w:rFonts w:ascii="Arial" w:eastAsia="Times New Roman" w:hAnsi="Arial" w:cs="Arial"/>
        </w:rPr>
      </w:pPr>
      <w:r w:rsidRPr="002A155A">
        <w:rPr>
          <w:rFonts w:ascii="Arial" w:eastAsia="Times New Roman" w:hAnsi="Arial" w:cs="Arial"/>
        </w:rPr>
        <w:t xml:space="preserve">El voltaje senoidal </w:t>
      </w:r>
      <w:r w:rsidRPr="002A155A">
        <w:rPr>
          <w:rFonts w:eastAsia="Times New Roman"/>
          <w:i/>
        </w:rPr>
        <w:t>V</w:t>
      </w:r>
      <w:r w:rsidRPr="002A155A">
        <w:rPr>
          <w:rFonts w:eastAsia="Times New Roman"/>
          <w:i/>
          <w:vertAlign w:val="subscript"/>
        </w:rPr>
        <w:t>es</w:t>
      </w:r>
      <w:r w:rsidRPr="002A155A">
        <w:rPr>
          <w:rFonts w:ascii="Arial" w:eastAsia="Times New Roman" w:hAnsi="Arial" w:cs="Arial"/>
        </w:rPr>
        <w:t xml:space="preserve"> entra a un circuito comparador U3A del cual se obtiene una señal cuadrada de sincronía </w:t>
      </w:r>
      <w:r w:rsidRPr="002A155A">
        <w:rPr>
          <w:rFonts w:eastAsia="Times New Roman"/>
          <w:i/>
        </w:rPr>
        <w:t>V</w:t>
      </w:r>
      <w:r w:rsidRPr="002A155A">
        <w:rPr>
          <w:rFonts w:eastAsia="Times New Roman"/>
          <w:i/>
          <w:vertAlign w:val="subscript"/>
        </w:rPr>
        <w:t>sif</w:t>
      </w:r>
      <w:r w:rsidRPr="002A155A">
        <w:rPr>
          <w:rFonts w:ascii="Arial" w:eastAsia="Times New Roman" w:hAnsi="Arial" w:cs="Arial"/>
        </w:rPr>
        <w:t xml:space="preserve"> en fase y con la misma frecuencia de </w:t>
      </w:r>
      <w:r w:rsidRPr="002A155A">
        <w:rPr>
          <w:rFonts w:eastAsia="Times New Roman"/>
          <w:i/>
        </w:rPr>
        <w:t>V</w:t>
      </w:r>
      <w:r w:rsidRPr="002A155A">
        <w:rPr>
          <w:rFonts w:eastAsia="Times New Roman"/>
          <w:i/>
          <w:vertAlign w:val="subscript"/>
        </w:rPr>
        <w:t>es</w:t>
      </w:r>
      <w:r w:rsidRPr="002A155A">
        <w:rPr>
          <w:rFonts w:ascii="Arial" w:eastAsia="Times New Roman" w:hAnsi="Arial" w:cs="Arial"/>
        </w:rPr>
        <w:t xml:space="preserve">, utilizada para sincronizar una etapa de amplificación diferencial conmutada y controlada por interruptores analógicos. En este caso se utilizan dos pares de interruptores analógicos (NC y NO) integrados en el circuito MAX4603 (U4 y U6), estos permiten simplificar las </w:t>
      </w:r>
    </w:p>
    <w:p w:rsidR="00C04E73" w:rsidRDefault="00C04E73" w:rsidP="00C04E73">
      <w:pPr>
        <w:ind w:firstLine="567"/>
        <w:jc w:val="both"/>
        <w:rPr>
          <w:rFonts w:ascii="Arial" w:eastAsia="Times New Roman" w:hAnsi="Arial" w:cs="Arial"/>
        </w:rPr>
      </w:pPr>
      <w:r>
        <w:rPr>
          <w:noProof/>
          <w:lang w:val="en-US"/>
        </w:rPr>
        <w:drawing>
          <wp:anchor distT="0" distB="0" distL="114300" distR="114300" simplePos="0" relativeHeight="251838464" behindDoc="0" locked="0" layoutInCell="1" allowOverlap="1" wp14:anchorId="57AAF5A9" wp14:editId="549F35E0">
            <wp:simplePos x="0" y="0"/>
            <wp:positionH relativeFrom="margin">
              <wp:posOffset>8255</wp:posOffset>
            </wp:positionH>
            <wp:positionV relativeFrom="paragraph">
              <wp:posOffset>170180</wp:posOffset>
            </wp:positionV>
            <wp:extent cx="3749675" cy="2936240"/>
            <wp:effectExtent l="0" t="0" r="3175" b="0"/>
            <wp:wrapSquare wrapText="bothSides"/>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317">
                      <a:extLst>
                        <a:ext uri="{28A0092B-C50C-407E-A947-70E740481C1C}">
                          <a14:useLocalDpi xmlns:a14="http://schemas.microsoft.com/office/drawing/2010/main" val="0"/>
                        </a:ext>
                      </a:extLst>
                    </a:blip>
                    <a:srcRect/>
                    <a:stretch>
                      <a:fillRect/>
                    </a:stretch>
                  </pic:blipFill>
                  <pic:spPr bwMode="auto">
                    <a:xfrm>
                      <a:off x="0" y="0"/>
                      <a:ext cx="3749675" cy="2936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4E73" w:rsidRDefault="00C04E73" w:rsidP="00C04E73">
      <w:pPr>
        <w:jc w:val="both"/>
        <w:rPr>
          <w:rFonts w:ascii="Arial" w:eastAsia="Times New Roman" w:hAnsi="Arial" w:cs="Arial"/>
        </w:rPr>
      </w:pPr>
      <w:r w:rsidRPr="002A155A">
        <w:rPr>
          <w:rFonts w:ascii="Arial" w:eastAsia="Times New Roman" w:hAnsi="Arial" w:cs="Arial"/>
        </w:rPr>
        <w:t>etapas de sincronización de los demoduladores. Los dispositivos electrónicos mencionados en conjunto forman la etapa de demodulación síncrona [1], figura 4.</w:t>
      </w:r>
    </w:p>
    <w:p w:rsidR="00C04E73" w:rsidRPr="00423909" w:rsidRDefault="00C04E73" w:rsidP="00C04E73">
      <w:pPr>
        <w:jc w:val="both"/>
        <w:rPr>
          <w:rFonts w:ascii="Arial" w:eastAsia="Calibri" w:hAnsi="Arial" w:cs="Arial"/>
        </w:rPr>
      </w:pPr>
      <w:r>
        <w:rPr>
          <w:rFonts w:ascii="Arial" w:eastAsia="Calibri" w:hAnsi="Arial" w:cs="Arial"/>
        </w:rPr>
        <w:t xml:space="preserve">     </w:t>
      </w:r>
      <w:r w:rsidRPr="002A155A">
        <w:rPr>
          <w:rFonts w:ascii="Arial" w:eastAsia="Calibri" w:hAnsi="Arial" w:cs="Arial"/>
        </w:rPr>
        <w:t xml:space="preserve">Las secuencias lógicas de cerrado (1) y abierto (0) de los interruptores analógicos INT así como la ganancia diferencial </w:t>
      </w:r>
      <w:r w:rsidRPr="002A155A">
        <w:rPr>
          <w:rFonts w:eastAsia="Calibri"/>
          <w:i/>
        </w:rPr>
        <w:t>G</w:t>
      </w:r>
      <w:r w:rsidRPr="002A155A">
        <w:rPr>
          <w:rFonts w:eastAsia="Calibri"/>
          <w:i/>
          <w:vertAlign w:val="subscript"/>
        </w:rPr>
        <w:t>D</w:t>
      </w:r>
      <w:r w:rsidRPr="002A155A">
        <w:rPr>
          <w:rFonts w:ascii="Arial" w:eastAsia="Calibri" w:hAnsi="Arial" w:cs="Arial"/>
          <w:i/>
          <w:vertAlign w:val="subscript"/>
        </w:rPr>
        <w:t xml:space="preserve"> </w:t>
      </w:r>
      <w:r w:rsidRPr="002A155A">
        <w:rPr>
          <w:rFonts w:ascii="Arial" w:eastAsia="Calibri" w:hAnsi="Arial" w:cs="Arial"/>
        </w:rPr>
        <w:t>de salida para cada función conmutada del amplificador diferencial, no inversora (NINV) e inversora (IN</w:t>
      </w:r>
      <w:r>
        <w:rPr>
          <w:rFonts w:ascii="Arial" w:eastAsia="Calibri" w:hAnsi="Arial" w:cs="Arial"/>
        </w:rPr>
        <w:t xml:space="preserve">V), se muestran en la tabla 1. </w:t>
      </w:r>
    </w:p>
    <w:p w:rsidR="00C04E73" w:rsidRPr="002A155A" w:rsidRDefault="00C04E73" w:rsidP="00C04E73">
      <w:pPr>
        <w:jc w:val="both"/>
        <w:rPr>
          <w:rFonts w:ascii="Arial" w:eastAsia="Times New Roman" w:hAnsi="Arial" w:cs="Arial"/>
          <w:i/>
          <w:sz w:val="20"/>
          <w:szCs w:val="20"/>
        </w:rPr>
      </w:pPr>
      <w:r w:rsidRPr="002A155A">
        <w:rPr>
          <w:rFonts w:ascii="Arial" w:eastAsia="Times New Roman" w:hAnsi="Arial" w:cs="Arial"/>
          <w:i/>
          <w:sz w:val="20"/>
          <w:szCs w:val="20"/>
        </w:rPr>
        <w:t>Figura 4. Demodulador síncrono basado en un amplificador diferencial conmutado.</w:t>
      </w:r>
    </w:p>
    <w:p w:rsidR="00C04E73" w:rsidRDefault="00C04E73" w:rsidP="00C04E73">
      <w:pPr>
        <w:ind w:firstLine="567"/>
        <w:jc w:val="both"/>
        <w:rPr>
          <w:rFonts w:ascii="Arial" w:eastAsia="Times New Roman" w:hAnsi="Arial" w:cs="Arial"/>
        </w:rPr>
      </w:pPr>
    </w:p>
    <w:p w:rsidR="00C04E73" w:rsidRPr="00F91885" w:rsidRDefault="00C04E73" w:rsidP="00C04E73">
      <w:pPr>
        <w:jc w:val="center"/>
        <w:rPr>
          <w:rFonts w:ascii="Arial" w:eastAsia="Calibri" w:hAnsi="Arial" w:cs="Arial"/>
          <w:i/>
          <w:iCs/>
          <w:sz w:val="20"/>
          <w:szCs w:val="20"/>
        </w:rPr>
      </w:pPr>
      <w:r w:rsidRPr="00F91885">
        <w:rPr>
          <w:rFonts w:ascii="Arial" w:eastAsia="Calibri" w:hAnsi="Arial" w:cs="Arial"/>
          <w:i/>
          <w:iCs/>
          <w:sz w:val="20"/>
          <w:szCs w:val="20"/>
        </w:rPr>
        <w:t>Tabla 1. Secuencia de conmutación de los interruptores analógicos para el funcionamiento del demodulador síncrono basado en un amplificador diferencial conmutado.</w:t>
      </w:r>
    </w:p>
    <w:tbl>
      <w:tblPr>
        <w:tblW w:w="0" w:type="auto"/>
        <w:tblInd w:w="2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6"/>
        <w:gridCol w:w="693"/>
        <w:gridCol w:w="693"/>
        <w:gridCol w:w="693"/>
        <w:gridCol w:w="693"/>
        <w:gridCol w:w="489"/>
      </w:tblGrid>
      <w:tr w:rsidR="00C04E73" w:rsidRPr="00452880" w:rsidTr="000533C7">
        <w:tc>
          <w:tcPr>
            <w:tcW w:w="0" w:type="auto"/>
            <w:shd w:val="clear" w:color="auto" w:fill="auto"/>
          </w:tcPr>
          <w:p w:rsidR="00C04E73" w:rsidRPr="00452880" w:rsidRDefault="00C04E73" w:rsidP="000533C7">
            <w:pPr>
              <w:jc w:val="both"/>
              <w:rPr>
                <w:rFonts w:ascii="Calibri" w:eastAsia="Times New Roman" w:hAnsi="Calibri"/>
                <w:b/>
                <w:sz w:val="22"/>
                <w:szCs w:val="22"/>
              </w:rPr>
            </w:pPr>
            <w:r w:rsidRPr="00452880">
              <w:rPr>
                <w:rFonts w:ascii="Calibri" w:eastAsia="Times New Roman" w:hAnsi="Calibri"/>
                <w:b/>
                <w:sz w:val="22"/>
                <w:szCs w:val="22"/>
              </w:rPr>
              <w:t>Función</w:t>
            </w:r>
          </w:p>
        </w:tc>
        <w:tc>
          <w:tcPr>
            <w:tcW w:w="0" w:type="auto"/>
            <w:shd w:val="clear" w:color="auto" w:fill="auto"/>
          </w:tcPr>
          <w:p w:rsidR="00C04E73" w:rsidRPr="00452880" w:rsidRDefault="00C04E73" w:rsidP="000533C7">
            <w:pPr>
              <w:spacing w:line="276" w:lineRule="auto"/>
              <w:jc w:val="both"/>
              <w:rPr>
                <w:rFonts w:eastAsia="Times New Roman"/>
                <w:b/>
                <w:sz w:val="22"/>
                <w:szCs w:val="22"/>
              </w:rPr>
            </w:pPr>
            <w:r w:rsidRPr="00452880">
              <w:rPr>
                <w:rFonts w:eastAsia="Times New Roman"/>
                <w:b/>
                <w:sz w:val="22"/>
                <w:szCs w:val="22"/>
              </w:rPr>
              <w:t>INT1</w:t>
            </w:r>
          </w:p>
        </w:tc>
        <w:tc>
          <w:tcPr>
            <w:tcW w:w="0" w:type="auto"/>
            <w:shd w:val="clear" w:color="auto" w:fill="auto"/>
          </w:tcPr>
          <w:p w:rsidR="00C04E73" w:rsidRPr="00452880" w:rsidRDefault="00C04E73" w:rsidP="000533C7">
            <w:pPr>
              <w:spacing w:line="276" w:lineRule="auto"/>
              <w:jc w:val="both"/>
              <w:rPr>
                <w:rFonts w:eastAsia="Times New Roman"/>
                <w:b/>
                <w:sz w:val="22"/>
                <w:szCs w:val="22"/>
              </w:rPr>
            </w:pPr>
            <w:r w:rsidRPr="00452880">
              <w:rPr>
                <w:rFonts w:eastAsia="Times New Roman"/>
                <w:b/>
                <w:sz w:val="22"/>
                <w:szCs w:val="22"/>
              </w:rPr>
              <w:t>INT2</w:t>
            </w:r>
          </w:p>
        </w:tc>
        <w:tc>
          <w:tcPr>
            <w:tcW w:w="0" w:type="auto"/>
            <w:shd w:val="clear" w:color="auto" w:fill="auto"/>
          </w:tcPr>
          <w:p w:rsidR="00C04E73" w:rsidRPr="00452880" w:rsidRDefault="00C04E73" w:rsidP="000533C7">
            <w:pPr>
              <w:spacing w:line="276" w:lineRule="auto"/>
              <w:jc w:val="both"/>
              <w:rPr>
                <w:rFonts w:eastAsia="Times New Roman"/>
                <w:b/>
                <w:sz w:val="22"/>
                <w:szCs w:val="22"/>
              </w:rPr>
            </w:pPr>
            <w:r w:rsidRPr="00452880">
              <w:rPr>
                <w:rFonts w:eastAsia="Times New Roman"/>
                <w:b/>
                <w:sz w:val="22"/>
                <w:szCs w:val="22"/>
              </w:rPr>
              <w:t>INT3</w:t>
            </w:r>
          </w:p>
        </w:tc>
        <w:tc>
          <w:tcPr>
            <w:tcW w:w="0" w:type="auto"/>
            <w:shd w:val="clear" w:color="auto" w:fill="auto"/>
          </w:tcPr>
          <w:p w:rsidR="00C04E73" w:rsidRPr="00452880" w:rsidRDefault="00C04E73" w:rsidP="000533C7">
            <w:pPr>
              <w:spacing w:line="276" w:lineRule="auto"/>
              <w:jc w:val="both"/>
              <w:rPr>
                <w:rFonts w:eastAsia="Times New Roman"/>
                <w:b/>
                <w:sz w:val="22"/>
                <w:szCs w:val="22"/>
              </w:rPr>
            </w:pPr>
            <w:r w:rsidRPr="00452880">
              <w:rPr>
                <w:rFonts w:eastAsia="Times New Roman"/>
                <w:b/>
                <w:sz w:val="22"/>
                <w:szCs w:val="22"/>
              </w:rPr>
              <w:t>INT4</w:t>
            </w:r>
          </w:p>
        </w:tc>
        <w:tc>
          <w:tcPr>
            <w:tcW w:w="0" w:type="auto"/>
            <w:shd w:val="clear" w:color="auto" w:fill="auto"/>
          </w:tcPr>
          <w:p w:rsidR="00C04E73" w:rsidRPr="00452880" w:rsidRDefault="00C04E73" w:rsidP="000533C7">
            <w:pPr>
              <w:spacing w:line="276" w:lineRule="auto"/>
              <w:jc w:val="both"/>
              <w:rPr>
                <w:rFonts w:eastAsia="Times New Roman"/>
                <w:b/>
                <w:i/>
                <w:sz w:val="22"/>
                <w:szCs w:val="22"/>
                <w:vertAlign w:val="subscript"/>
              </w:rPr>
            </w:pPr>
            <w:r w:rsidRPr="00452880">
              <w:rPr>
                <w:rFonts w:eastAsia="Times New Roman"/>
                <w:b/>
                <w:i/>
                <w:sz w:val="22"/>
                <w:szCs w:val="22"/>
              </w:rPr>
              <w:t>G</w:t>
            </w:r>
            <w:r w:rsidRPr="00452880">
              <w:rPr>
                <w:rFonts w:eastAsia="Times New Roman"/>
                <w:b/>
                <w:i/>
                <w:sz w:val="22"/>
                <w:szCs w:val="22"/>
                <w:vertAlign w:val="subscript"/>
              </w:rPr>
              <w:t>D</w:t>
            </w:r>
          </w:p>
        </w:tc>
      </w:tr>
      <w:tr w:rsidR="00C04E73" w:rsidRPr="00452880" w:rsidTr="000533C7">
        <w:tc>
          <w:tcPr>
            <w:tcW w:w="0" w:type="auto"/>
            <w:shd w:val="clear" w:color="auto" w:fill="auto"/>
          </w:tcPr>
          <w:p w:rsidR="00C04E73" w:rsidRPr="00452880" w:rsidRDefault="00C04E73" w:rsidP="000533C7">
            <w:pPr>
              <w:jc w:val="both"/>
              <w:rPr>
                <w:rFonts w:ascii="Calibri" w:eastAsia="Times New Roman" w:hAnsi="Calibri"/>
                <w:sz w:val="22"/>
                <w:szCs w:val="22"/>
              </w:rPr>
            </w:pPr>
            <w:r w:rsidRPr="00452880">
              <w:rPr>
                <w:rFonts w:ascii="Calibri" w:eastAsia="Times New Roman" w:hAnsi="Calibri"/>
                <w:sz w:val="22"/>
                <w:szCs w:val="22"/>
              </w:rPr>
              <w:t>NINV</w:t>
            </w:r>
          </w:p>
        </w:tc>
        <w:tc>
          <w:tcPr>
            <w:tcW w:w="0" w:type="auto"/>
            <w:shd w:val="clear" w:color="auto" w:fill="auto"/>
          </w:tcPr>
          <w:p w:rsidR="00C04E73" w:rsidRPr="00452880" w:rsidRDefault="00C04E73" w:rsidP="000533C7">
            <w:pPr>
              <w:spacing w:line="276" w:lineRule="auto"/>
              <w:jc w:val="both"/>
              <w:rPr>
                <w:rFonts w:ascii="Calibri" w:eastAsia="Times New Roman" w:hAnsi="Calibri"/>
                <w:sz w:val="22"/>
                <w:szCs w:val="22"/>
              </w:rPr>
            </w:pPr>
            <w:r w:rsidRPr="00452880">
              <w:rPr>
                <w:rFonts w:ascii="Calibri" w:eastAsia="Times New Roman" w:hAnsi="Calibri"/>
                <w:sz w:val="22"/>
                <w:szCs w:val="22"/>
              </w:rPr>
              <w:t>0</w:t>
            </w:r>
          </w:p>
        </w:tc>
        <w:tc>
          <w:tcPr>
            <w:tcW w:w="0" w:type="auto"/>
            <w:shd w:val="clear" w:color="auto" w:fill="auto"/>
          </w:tcPr>
          <w:p w:rsidR="00C04E73" w:rsidRPr="00452880" w:rsidRDefault="00C04E73" w:rsidP="000533C7">
            <w:pPr>
              <w:spacing w:line="276" w:lineRule="auto"/>
              <w:jc w:val="both"/>
              <w:rPr>
                <w:rFonts w:ascii="Calibri" w:eastAsia="Times New Roman" w:hAnsi="Calibri"/>
                <w:sz w:val="22"/>
                <w:szCs w:val="22"/>
              </w:rPr>
            </w:pPr>
            <w:r w:rsidRPr="00452880">
              <w:rPr>
                <w:rFonts w:ascii="Calibri" w:eastAsia="Times New Roman" w:hAnsi="Calibri"/>
                <w:sz w:val="22"/>
                <w:szCs w:val="22"/>
              </w:rPr>
              <w:t>1</w:t>
            </w:r>
          </w:p>
        </w:tc>
        <w:tc>
          <w:tcPr>
            <w:tcW w:w="0" w:type="auto"/>
            <w:shd w:val="clear" w:color="auto" w:fill="auto"/>
          </w:tcPr>
          <w:p w:rsidR="00C04E73" w:rsidRPr="00452880" w:rsidRDefault="00C04E73" w:rsidP="000533C7">
            <w:pPr>
              <w:spacing w:line="276" w:lineRule="auto"/>
              <w:jc w:val="both"/>
              <w:rPr>
                <w:rFonts w:ascii="Calibri" w:eastAsia="Times New Roman" w:hAnsi="Calibri"/>
                <w:sz w:val="22"/>
                <w:szCs w:val="22"/>
              </w:rPr>
            </w:pPr>
            <w:r w:rsidRPr="00452880">
              <w:rPr>
                <w:rFonts w:ascii="Calibri" w:eastAsia="Times New Roman" w:hAnsi="Calibri"/>
                <w:sz w:val="22"/>
                <w:szCs w:val="22"/>
              </w:rPr>
              <w:t>1</w:t>
            </w:r>
          </w:p>
        </w:tc>
        <w:tc>
          <w:tcPr>
            <w:tcW w:w="0" w:type="auto"/>
            <w:shd w:val="clear" w:color="auto" w:fill="auto"/>
          </w:tcPr>
          <w:p w:rsidR="00C04E73" w:rsidRPr="00452880" w:rsidRDefault="00C04E73" w:rsidP="000533C7">
            <w:pPr>
              <w:spacing w:line="276" w:lineRule="auto"/>
              <w:jc w:val="both"/>
              <w:rPr>
                <w:rFonts w:ascii="Calibri" w:eastAsia="Times New Roman" w:hAnsi="Calibri"/>
                <w:sz w:val="22"/>
                <w:szCs w:val="22"/>
              </w:rPr>
            </w:pPr>
            <w:r w:rsidRPr="00452880">
              <w:rPr>
                <w:rFonts w:ascii="Calibri" w:eastAsia="Times New Roman" w:hAnsi="Calibri"/>
                <w:sz w:val="22"/>
                <w:szCs w:val="22"/>
              </w:rPr>
              <w:t>0</w:t>
            </w:r>
          </w:p>
        </w:tc>
        <w:tc>
          <w:tcPr>
            <w:tcW w:w="0" w:type="auto"/>
            <w:shd w:val="clear" w:color="auto" w:fill="auto"/>
          </w:tcPr>
          <w:p w:rsidR="00C04E73" w:rsidRPr="00452880" w:rsidRDefault="00C04E73" w:rsidP="000533C7">
            <w:pPr>
              <w:spacing w:line="276" w:lineRule="auto"/>
              <w:jc w:val="both"/>
              <w:rPr>
                <w:rFonts w:ascii="Calibri" w:eastAsia="Times New Roman" w:hAnsi="Calibri"/>
                <w:sz w:val="22"/>
                <w:szCs w:val="22"/>
              </w:rPr>
            </w:pPr>
            <w:r w:rsidRPr="00452880">
              <w:rPr>
                <w:rFonts w:ascii="Calibri" w:eastAsia="Times New Roman" w:hAnsi="Calibri"/>
                <w:sz w:val="22"/>
                <w:szCs w:val="22"/>
              </w:rPr>
              <w:t>1</w:t>
            </w:r>
          </w:p>
        </w:tc>
      </w:tr>
      <w:tr w:rsidR="00C04E73" w:rsidRPr="00452880" w:rsidTr="000533C7">
        <w:tc>
          <w:tcPr>
            <w:tcW w:w="0" w:type="auto"/>
            <w:shd w:val="clear" w:color="auto" w:fill="auto"/>
          </w:tcPr>
          <w:p w:rsidR="00C04E73" w:rsidRPr="00452880" w:rsidRDefault="00C04E73" w:rsidP="000533C7">
            <w:pPr>
              <w:jc w:val="both"/>
              <w:rPr>
                <w:rFonts w:ascii="Calibri" w:eastAsia="Times New Roman" w:hAnsi="Calibri"/>
                <w:sz w:val="22"/>
                <w:szCs w:val="22"/>
              </w:rPr>
            </w:pPr>
            <w:r w:rsidRPr="00452880">
              <w:rPr>
                <w:rFonts w:ascii="Calibri" w:eastAsia="Times New Roman" w:hAnsi="Calibri"/>
                <w:sz w:val="22"/>
                <w:szCs w:val="22"/>
              </w:rPr>
              <w:t>INV</w:t>
            </w:r>
          </w:p>
        </w:tc>
        <w:tc>
          <w:tcPr>
            <w:tcW w:w="0" w:type="auto"/>
            <w:shd w:val="clear" w:color="auto" w:fill="auto"/>
          </w:tcPr>
          <w:p w:rsidR="00C04E73" w:rsidRPr="00452880" w:rsidRDefault="00C04E73" w:rsidP="000533C7">
            <w:pPr>
              <w:spacing w:line="276" w:lineRule="auto"/>
              <w:jc w:val="both"/>
              <w:rPr>
                <w:rFonts w:ascii="Calibri" w:eastAsia="Times New Roman" w:hAnsi="Calibri"/>
                <w:sz w:val="22"/>
                <w:szCs w:val="22"/>
              </w:rPr>
            </w:pPr>
            <w:r w:rsidRPr="00452880">
              <w:rPr>
                <w:rFonts w:ascii="Calibri" w:eastAsia="Times New Roman" w:hAnsi="Calibri"/>
                <w:sz w:val="22"/>
                <w:szCs w:val="22"/>
              </w:rPr>
              <w:t>1</w:t>
            </w:r>
          </w:p>
        </w:tc>
        <w:tc>
          <w:tcPr>
            <w:tcW w:w="0" w:type="auto"/>
            <w:shd w:val="clear" w:color="auto" w:fill="auto"/>
          </w:tcPr>
          <w:p w:rsidR="00C04E73" w:rsidRPr="00452880" w:rsidRDefault="00C04E73" w:rsidP="000533C7">
            <w:pPr>
              <w:spacing w:line="276" w:lineRule="auto"/>
              <w:jc w:val="both"/>
              <w:rPr>
                <w:rFonts w:ascii="Calibri" w:eastAsia="Times New Roman" w:hAnsi="Calibri"/>
                <w:sz w:val="22"/>
                <w:szCs w:val="22"/>
              </w:rPr>
            </w:pPr>
            <w:r w:rsidRPr="00452880">
              <w:rPr>
                <w:rFonts w:ascii="Calibri" w:eastAsia="Times New Roman" w:hAnsi="Calibri"/>
                <w:sz w:val="22"/>
                <w:szCs w:val="22"/>
              </w:rPr>
              <w:t>0</w:t>
            </w:r>
          </w:p>
        </w:tc>
        <w:tc>
          <w:tcPr>
            <w:tcW w:w="0" w:type="auto"/>
            <w:shd w:val="clear" w:color="auto" w:fill="auto"/>
          </w:tcPr>
          <w:p w:rsidR="00C04E73" w:rsidRPr="00452880" w:rsidRDefault="00C04E73" w:rsidP="000533C7">
            <w:pPr>
              <w:spacing w:line="276" w:lineRule="auto"/>
              <w:jc w:val="both"/>
              <w:rPr>
                <w:rFonts w:ascii="Calibri" w:eastAsia="Times New Roman" w:hAnsi="Calibri"/>
                <w:sz w:val="22"/>
                <w:szCs w:val="22"/>
              </w:rPr>
            </w:pPr>
            <w:r w:rsidRPr="00452880">
              <w:rPr>
                <w:rFonts w:ascii="Calibri" w:eastAsia="Times New Roman" w:hAnsi="Calibri"/>
                <w:sz w:val="22"/>
                <w:szCs w:val="22"/>
              </w:rPr>
              <w:t>0</w:t>
            </w:r>
          </w:p>
        </w:tc>
        <w:tc>
          <w:tcPr>
            <w:tcW w:w="0" w:type="auto"/>
            <w:shd w:val="clear" w:color="auto" w:fill="auto"/>
          </w:tcPr>
          <w:p w:rsidR="00C04E73" w:rsidRPr="00452880" w:rsidRDefault="00C04E73" w:rsidP="000533C7">
            <w:pPr>
              <w:spacing w:line="276" w:lineRule="auto"/>
              <w:jc w:val="both"/>
              <w:rPr>
                <w:rFonts w:ascii="Calibri" w:eastAsia="Times New Roman" w:hAnsi="Calibri"/>
                <w:sz w:val="22"/>
                <w:szCs w:val="22"/>
              </w:rPr>
            </w:pPr>
            <w:r w:rsidRPr="00452880">
              <w:rPr>
                <w:rFonts w:ascii="Calibri" w:eastAsia="Times New Roman" w:hAnsi="Calibri"/>
                <w:sz w:val="22"/>
                <w:szCs w:val="22"/>
              </w:rPr>
              <w:t>1</w:t>
            </w:r>
          </w:p>
        </w:tc>
        <w:tc>
          <w:tcPr>
            <w:tcW w:w="0" w:type="auto"/>
            <w:shd w:val="clear" w:color="auto" w:fill="auto"/>
          </w:tcPr>
          <w:p w:rsidR="00C04E73" w:rsidRPr="00452880" w:rsidRDefault="00C04E73" w:rsidP="000533C7">
            <w:pPr>
              <w:spacing w:line="276" w:lineRule="auto"/>
              <w:jc w:val="both"/>
              <w:rPr>
                <w:rFonts w:ascii="Calibri" w:eastAsia="Times New Roman" w:hAnsi="Calibri"/>
                <w:sz w:val="22"/>
                <w:szCs w:val="22"/>
              </w:rPr>
            </w:pPr>
            <w:r w:rsidRPr="00452880">
              <w:rPr>
                <w:rFonts w:ascii="Calibri" w:eastAsia="Times New Roman" w:hAnsi="Calibri"/>
                <w:sz w:val="22"/>
                <w:szCs w:val="22"/>
              </w:rPr>
              <w:t>-1</w:t>
            </w:r>
          </w:p>
        </w:tc>
      </w:tr>
    </w:tbl>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r w:rsidRPr="00844597">
        <w:rPr>
          <w:rFonts w:ascii="Arial" w:eastAsia="Times New Roman" w:hAnsi="Arial" w:cs="Arial"/>
        </w:rPr>
        <w:t xml:space="preserve">De esta forma la señal de salida del demodulador síncrono en fase </w:t>
      </w:r>
      <w:bookmarkStart w:id="422" w:name="_Hlk34136297"/>
      <w:r w:rsidRPr="00844597">
        <w:rPr>
          <w:rFonts w:eastAsia="Times New Roman"/>
          <w:i/>
        </w:rPr>
        <w:t>V</w:t>
      </w:r>
      <w:r w:rsidRPr="00844597">
        <w:rPr>
          <w:rFonts w:eastAsia="Times New Roman"/>
          <w:i/>
          <w:vertAlign w:val="subscript"/>
        </w:rPr>
        <w:t>s3f</w:t>
      </w:r>
      <w:bookmarkEnd w:id="422"/>
      <w:r w:rsidRPr="00844597">
        <w:rPr>
          <w:rFonts w:ascii="Arial" w:eastAsia="Times New Roman" w:hAnsi="Arial" w:cs="Arial"/>
        </w:rPr>
        <w:t xml:space="preserve"> queda expresada de la siguiente manera con un ángulo en fase, </w:t>
      </w:r>
      <w:r w:rsidRPr="00F91885">
        <w:rPr>
          <w:rFonts w:eastAsia="Times New Roman"/>
          <w:i/>
        </w:rPr>
        <w:t>Φ = 0º</w:t>
      </w:r>
      <w:r w:rsidRPr="00844597">
        <w:rPr>
          <w:rFonts w:ascii="Arial" w:eastAsia="Times New Roman" w:hAnsi="Arial" w:cs="Arial"/>
        </w:rPr>
        <w:t>,</w:t>
      </w:r>
      <w:r w:rsidRPr="00844597">
        <w:rPr>
          <w:rFonts w:ascii="Arial" w:eastAsia="Times New Roman" w:hAnsi="Arial" w:cs="Arial"/>
          <w:i/>
        </w:rPr>
        <w:t xml:space="preserve"> </w:t>
      </w:r>
      <w:r w:rsidRPr="00844597">
        <w:rPr>
          <w:rFonts w:ascii="Arial" w:eastAsia="Times New Roman" w:hAnsi="Arial" w:cs="Arial"/>
        </w:rPr>
        <w:t xml:space="preserve">con respecto al voltaje de entrada </w:t>
      </w:r>
      <w:r w:rsidRPr="00844597">
        <w:rPr>
          <w:rFonts w:eastAsia="Times New Roman"/>
          <w:i/>
        </w:rPr>
        <w:t>V</w:t>
      </w:r>
      <w:r w:rsidRPr="00844597">
        <w:rPr>
          <w:rFonts w:eastAsia="Times New Roman"/>
          <w:i/>
          <w:vertAlign w:val="subscript"/>
        </w:rPr>
        <w:t>es</w:t>
      </w:r>
      <w:r w:rsidRPr="00844597">
        <w:rPr>
          <w:rFonts w:eastAsia="Times New Roman"/>
        </w:rPr>
        <w:t>.</w:t>
      </w:r>
    </w:p>
    <w:p w:rsidR="00C04E73" w:rsidRPr="00844597" w:rsidRDefault="00C04E73" w:rsidP="00C04E73">
      <w:pPr>
        <w:ind w:firstLine="567"/>
        <w:jc w:val="both"/>
        <w:rPr>
          <w:rFonts w:ascii="Arial" w:eastAsia="Times New Roman" w:hAnsi="Arial" w:cs="Arial"/>
        </w:rPr>
      </w:pPr>
    </w:p>
    <w:p w:rsidR="00C04E73" w:rsidRPr="00844597" w:rsidRDefault="001345E4" w:rsidP="00C04E73">
      <w:pPr>
        <w:ind w:firstLine="567"/>
        <w:jc w:val="right"/>
        <w:rPr>
          <w:rFonts w:ascii="Arial" w:eastAsia="Times New Roman" w:hAnsi="Arial" w:cs="Arial"/>
        </w:rPr>
      </w:pPr>
      <m:oMath>
        <m:sSub>
          <m:sSubPr>
            <m:ctrlPr>
              <w:rPr>
                <w:rFonts w:ascii="Cambria Math" w:eastAsia="Calibri" w:hAnsi="Cambria Math"/>
                <w:i/>
                <w:sz w:val="22"/>
                <w:szCs w:val="22"/>
              </w:rPr>
            </m:ctrlPr>
          </m:sSubPr>
          <m:e>
            <m:sSub>
              <m:sSubPr>
                <m:ctrlPr>
                  <w:rPr>
                    <w:rFonts w:ascii="Cambria Math" w:eastAsia="Calibri" w:hAnsi="Cambria Math"/>
                    <w:i/>
                    <w:sz w:val="22"/>
                    <w:szCs w:val="22"/>
                  </w:rPr>
                </m:ctrlPr>
              </m:sSubPr>
              <m:e>
                <m:r>
                  <w:rPr>
                    <w:rFonts w:ascii="Cambria Math" w:eastAsia="Calibri" w:hAnsi="Cambria Math"/>
                    <w:sz w:val="22"/>
                    <w:szCs w:val="22"/>
                  </w:rPr>
                  <m:t>G</m:t>
                </m:r>
              </m:e>
              <m:sub>
                <m:r>
                  <w:rPr>
                    <w:rFonts w:ascii="Cambria Math" w:eastAsia="Calibri" w:hAnsi="Cambria Math"/>
                    <w:sz w:val="22"/>
                    <w:szCs w:val="22"/>
                  </w:rPr>
                  <m:t>D</m:t>
                </m:r>
              </m:sub>
            </m:sSub>
            <m:r>
              <w:rPr>
                <w:rFonts w:ascii="Cambria Math" w:eastAsia="Calibri" w:hAnsi="Cambria Math"/>
                <w:sz w:val="22"/>
                <w:szCs w:val="22"/>
              </w:rPr>
              <m:t>V</m:t>
            </m:r>
          </m:e>
          <m:sub>
            <m:r>
              <w:rPr>
                <w:rFonts w:ascii="Cambria Math" w:eastAsia="Calibri" w:hAnsi="Cambria Math"/>
                <w:sz w:val="22"/>
                <w:szCs w:val="22"/>
              </w:rPr>
              <m:t>s3f</m:t>
            </m:r>
          </m:sub>
        </m:sSub>
        <m:r>
          <w:rPr>
            <w:rFonts w:ascii="Cambria Math" w:eastAsia="Calibri" w:hAnsi="Cambria Math"/>
            <w:sz w:val="22"/>
            <w:szCs w:val="22"/>
          </w:rPr>
          <m:t>=</m:t>
        </m:r>
        <m:d>
          <m:dPr>
            <m:begChr m:val="{"/>
            <m:endChr m:val="}"/>
            <m:ctrlPr>
              <w:rPr>
                <w:rFonts w:ascii="Cambria Math" w:eastAsia="Calibri" w:hAnsi="Cambria Math"/>
                <w:i/>
                <w:sz w:val="22"/>
                <w:szCs w:val="22"/>
              </w:rPr>
            </m:ctrlPr>
          </m:dPr>
          <m:e>
            <m:eqArr>
              <m:eqArrPr>
                <m:ctrlPr>
                  <w:rPr>
                    <w:rFonts w:ascii="Cambria Math" w:eastAsia="Calibri" w:hAnsi="Cambria Math"/>
                    <w:i/>
                    <w:sz w:val="22"/>
                    <w:szCs w:val="22"/>
                  </w:rPr>
                </m:ctrlPr>
              </m:eqArrPr>
              <m:e>
                <m:sSub>
                  <m:sSubPr>
                    <m:ctrlPr>
                      <w:rPr>
                        <w:rFonts w:ascii="Cambria Math" w:eastAsia="Calibri" w:hAnsi="Cambria Math"/>
                        <w:i/>
                        <w:sz w:val="22"/>
                        <w:szCs w:val="22"/>
                      </w:rPr>
                    </m:ctrlPr>
                  </m:sSubPr>
                  <m:e>
                    <m:r>
                      <w:rPr>
                        <w:rFonts w:ascii="Cambria Math" w:eastAsia="Calibri" w:hAnsi="Cambria Math"/>
                        <w:sz w:val="22"/>
                        <w:szCs w:val="22"/>
                      </w:rPr>
                      <m:t>V</m:t>
                    </m:r>
                  </m:e>
                  <m:sub>
                    <m:r>
                      <w:rPr>
                        <w:rFonts w:ascii="Cambria Math" w:eastAsia="Calibri" w:hAnsi="Cambria Math"/>
                        <w:sz w:val="22"/>
                        <w:szCs w:val="22"/>
                      </w:rPr>
                      <m:t>s2</m:t>
                    </m:r>
                  </m:sub>
                </m:sSub>
                <m:r>
                  <w:rPr>
                    <w:rFonts w:ascii="Cambria Math" w:eastAsia="Calibri" w:hAnsi="Cambria Math"/>
                    <w:sz w:val="22"/>
                    <w:szCs w:val="22"/>
                  </w:rPr>
                  <m:t>=</m:t>
                </m:r>
                <m:sSub>
                  <m:sSubPr>
                    <m:ctrlPr>
                      <w:rPr>
                        <w:rFonts w:ascii="Cambria Math" w:eastAsia="Calibri" w:hAnsi="Cambria Math"/>
                        <w:i/>
                        <w:sz w:val="22"/>
                        <w:szCs w:val="22"/>
                      </w:rPr>
                    </m:ctrlPr>
                  </m:sSubPr>
                  <m:e>
                    <m:r>
                      <w:rPr>
                        <w:rFonts w:ascii="Cambria Math" w:eastAsia="Calibri" w:hAnsi="Cambria Math"/>
                        <w:sz w:val="22"/>
                        <w:szCs w:val="22"/>
                      </w:rPr>
                      <m:t>G</m:t>
                    </m:r>
                  </m:e>
                  <m:sub>
                    <m:r>
                      <w:rPr>
                        <w:rFonts w:ascii="Cambria Math" w:eastAsia="Calibri" w:hAnsi="Cambria Math"/>
                        <w:sz w:val="22"/>
                        <w:szCs w:val="22"/>
                      </w:rPr>
                      <m:t>1</m:t>
                    </m:r>
                  </m:sub>
                </m:sSub>
                <m:sSub>
                  <m:sSubPr>
                    <m:ctrlPr>
                      <w:rPr>
                        <w:rFonts w:ascii="Cambria Math" w:eastAsia="Calibri" w:hAnsi="Cambria Math"/>
                        <w:i/>
                        <w:sz w:val="22"/>
                        <w:szCs w:val="22"/>
                      </w:rPr>
                    </m:ctrlPr>
                  </m:sSubPr>
                  <m:e>
                    <m:r>
                      <w:rPr>
                        <w:rFonts w:ascii="Cambria Math" w:eastAsia="Calibri" w:hAnsi="Cambria Math"/>
                        <w:sz w:val="22"/>
                        <w:szCs w:val="22"/>
                      </w:rPr>
                      <m:t>G</m:t>
                    </m:r>
                  </m:e>
                  <m:sub>
                    <m:r>
                      <w:rPr>
                        <w:rFonts w:ascii="Cambria Math" w:eastAsia="Calibri" w:hAnsi="Cambria Math"/>
                        <w:sz w:val="22"/>
                        <w:szCs w:val="22"/>
                      </w:rPr>
                      <m:t>2</m:t>
                    </m:r>
                  </m:sub>
                </m:sSub>
                <m:r>
                  <w:rPr>
                    <w:rFonts w:ascii="Cambria Math" w:eastAsia="Calibri" w:hAnsi="Cambria Math"/>
                    <w:sz w:val="22"/>
                    <w:szCs w:val="22"/>
                  </w:rPr>
                  <m:t>Asen</m:t>
                </m:r>
                <m:d>
                  <m:dPr>
                    <m:ctrlPr>
                      <w:rPr>
                        <w:rFonts w:ascii="Cambria Math" w:eastAsia="Calibri" w:hAnsi="Cambria Math"/>
                        <w:i/>
                        <w:sz w:val="22"/>
                        <w:szCs w:val="22"/>
                      </w:rPr>
                    </m:ctrlPr>
                  </m:dPr>
                  <m:e>
                    <m:r>
                      <w:rPr>
                        <w:rFonts w:ascii="Cambria Math" w:eastAsia="Calibri" w:hAnsi="Cambria Math"/>
                        <w:sz w:val="22"/>
                        <w:szCs w:val="22"/>
                      </w:rPr>
                      <m:t>ωt+∅</m:t>
                    </m:r>
                  </m:e>
                </m:d>
                <m:r>
                  <w:rPr>
                    <w:rFonts w:ascii="Cambria Math" w:eastAsia="Calibri" w:hAnsi="Cambria Math"/>
                    <w:sz w:val="22"/>
                    <w:szCs w:val="22"/>
                  </w:rPr>
                  <m:t xml:space="preserve">    0&lt;ωt&lt;π</m:t>
                </m:r>
              </m:e>
              <m:e>
                <m:r>
                  <w:rPr>
                    <w:rFonts w:ascii="Cambria Math" w:eastAsia="Calibri" w:hAnsi="Cambria Math"/>
                    <w:sz w:val="22"/>
                    <w:szCs w:val="22"/>
                  </w:rPr>
                  <m:t>-</m:t>
                </m:r>
                <m:sSub>
                  <m:sSubPr>
                    <m:ctrlPr>
                      <w:rPr>
                        <w:rFonts w:ascii="Cambria Math" w:eastAsia="Calibri" w:hAnsi="Cambria Math"/>
                        <w:i/>
                        <w:sz w:val="22"/>
                        <w:szCs w:val="22"/>
                      </w:rPr>
                    </m:ctrlPr>
                  </m:sSubPr>
                  <m:e>
                    <m:r>
                      <w:rPr>
                        <w:rFonts w:ascii="Cambria Math" w:eastAsia="Calibri" w:hAnsi="Cambria Math"/>
                        <w:sz w:val="22"/>
                        <w:szCs w:val="22"/>
                      </w:rPr>
                      <m:t>V</m:t>
                    </m:r>
                  </m:e>
                  <m:sub>
                    <m:r>
                      <w:rPr>
                        <w:rFonts w:ascii="Cambria Math" w:eastAsia="Calibri" w:hAnsi="Cambria Math"/>
                        <w:sz w:val="22"/>
                        <w:szCs w:val="22"/>
                      </w:rPr>
                      <m:t>s2</m:t>
                    </m:r>
                  </m:sub>
                </m:sSub>
                <m:r>
                  <w:rPr>
                    <w:rFonts w:ascii="Cambria Math" w:eastAsia="Calibri" w:hAnsi="Cambria Math"/>
                    <w:sz w:val="22"/>
                    <w:szCs w:val="22"/>
                  </w:rPr>
                  <m:t>=-</m:t>
                </m:r>
                <m:sSub>
                  <m:sSubPr>
                    <m:ctrlPr>
                      <w:rPr>
                        <w:rFonts w:ascii="Cambria Math" w:eastAsia="Calibri" w:hAnsi="Cambria Math"/>
                        <w:i/>
                        <w:sz w:val="22"/>
                        <w:szCs w:val="22"/>
                      </w:rPr>
                    </m:ctrlPr>
                  </m:sSubPr>
                  <m:e>
                    <m:r>
                      <w:rPr>
                        <w:rFonts w:ascii="Cambria Math" w:eastAsia="Calibri" w:hAnsi="Cambria Math"/>
                        <w:sz w:val="22"/>
                        <w:szCs w:val="22"/>
                      </w:rPr>
                      <m:t>G</m:t>
                    </m:r>
                  </m:e>
                  <m:sub>
                    <m:r>
                      <w:rPr>
                        <w:rFonts w:ascii="Cambria Math" w:eastAsia="Calibri" w:hAnsi="Cambria Math"/>
                        <w:sz w:val="22"/>
                        <w:szCs w:val="22"/>
                      </w:rPr>
                      <m:t>1</m:t>
                    </m:r>
                  </m:sub>
                </m:sSub>
                <m:sSub>
                  <m:sSubPr>
                    <m:ctrlPr>
                      <w:rPr>
                        <w:rFonts w:ascii="Cambria Math" w:eastAsia="Calibri" w:hAnsi="Cambria Math"/>
                        <w:i/>
                        <w:sz w:val="22"/>
                        <w:szCs w:val="22"/>
                      </w:rPr>
                    </m:ctrlPr>
                  </m:sSubPr>
                  <m:e>
                    <m:r>
                      <w:rPr>
                        <w:rFonts w:ascii="Cambria Math" w:eastAsia="Calibri" w:hAnsi="Cambria Math"/>
                        <w:sz w:val="22"/>
                        <w:szCs w:val="22"/>
                      </w:rPr>
                      <m:t>G</m:t>
                    </m:r>
                  </m:e>
                  <m:sub>
                    <m:r>
                      <w:rPr>
                        <w:rFonts w:ascii="Cambria Math" w:eastAsia="Calibri" w:hAnsi="Cambria Math"/>
                        <w:sz w:val="22"/>
                        <w:szCs w:val="22"/>
                      </w:rPr>
                      <m:t>2</m:t>
                    </m:r>
                  </m:sub>
                </m:sSub>
                <m:r>
                  <w:rPr>
                    <w:rFonts w:ascii="Cambria Math" w:eastAsia="Calibri" w:hAnsi="Cambria Math"/>
                    <w:sz w:val="22"/>
                    <w:szCs w:val="22"/>
                  </w:rPr>
                  <m:t>Asen</m:t>
                </m:r>
                <m:d>
                  <m:dPr>
                    <m:ctrlPr>
                      <w:rPr>
                        <w:rFonts w:ascii="Cambria Math" w:eastAsia="Calibri" w:hAnsi="Cambria Math"/>
                        <w:i/>
                        <w:sz w:val="22"/>
                        <w:szCs w:val="22"/>
                      </w:rPr>
                    </m:ctrlPr>
                  </m:dPr>
                  <m:e>
                    <m:r>
                      <w:rPr>
                        <w:rFonts w:ascii="Cambria Math" w:eastAsia="Calibri" w:hAnsi="Cambria Math"/>
                        <w:sz w:val="22"/>
                        <w:szCs w:val="22"/>
                      </w:rPr>
                      <m:t>ωt+∅</m:t>
                    </m:r>
                  </m:e>
                </m:d>
                <m:r>
                  <w:rPr>
                    <w:rFonts w:ascii="Cambria Math" w:eastAsia="Calibri" w:hAnsi="Cambria Math"/>
                    <w:sz w:val="22"/>
                    <w:szCs w:val="22"/>
                  </w:rPr>
                  <m:t xml:space="preserve">    π&lt;ωt&lt;2π</m:t>
                </m:r>
              </m:e>
            </m:eqArr>
          </m:e>
        </m:d>
      </m:oMath>
      <w:r w:rsidR="00C04E73" w:rsidRPr="00844597">
        <w:rPr>
          <w:rFonts w:ascii="Arial" w:eastAsia="Times New Roman" w:hAnsi="Arial" w:cs="Arial"/>
        </w:rPr>
        <w:t xml:space="preserve"> </w:t>
      </w:r>
      <w:r w:rsidR="00C04E73">
        <w:rPr>
          <w:rFonts w:ascii="Arial" w:eastAsia="Times New Roman" w:hAnsi="Arial" w:cs="Arial"/>
        </w:rPr>
        <w:t>.</w:t>
      </w:r>
      <w:r w:rsidR="00C04E73" w:rsidRPr="00844597">
        <w:rPr>
          <w:rFonts w:ascii="Arial" w:eastAsia="Times New Roman" w:hAnsi="Arial" w:cs="Arial"/>
        </w:rPr>
        <w:t xml:space="preserve">                   </w:t>
      </w:r>
      <w:r w:rsidR="00C04E73">
        <w:rPr>
          <w:rFonts w:ascii="Arial" w:eastAsia="Times New Roman" w:hAnsi="Arial" w:cs="Arial"/>
        </w:rPr>
        <w:t xml:space="preserve">        </w:t>
      </w:r>
      <w:r w:rsidR="00C04E73" w:rsidRPr="00844597">
        <w:rPr>
          <w:rFonts w:ascii="Arial" w:eastAsia="Times New Roman" w:hAnsi="Arial" w:cs="Arial"/>
        </w:rPr>
        <w:t>(5)</w:t>
      </w:r>
    </w:p>
    <w:p w:rsidR="00C04E73" w:rsidRPr="00844597"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r w:rsidRPr="00844597">
        <w:rPr>
          <w:rFonts w:ascii="Arial" w:eastAsia="Times New Roman" w:hAnsi="Arial" w:cs="Arial"/>
        </w:rPr>
        <w:t xml:space="preserve">La señal de voltaje </w:t>
      </w:r>
      <w:r w:rsidRPr="00844597">
        <w:rPr>
          <w:rFonts w:eastAsia="Times New Roman"/>
          <w:i/>
        </w:rPr>
        <w:t>V</w:t>
      </w:r>
      <w:r w:rsidRPr="00844597">
        <w:rPr>
          <w:rFonts w:eastAsia="Times New Roman"/>
          <w:i/>
          <w:vertAlign w:val="subscript"/>
        </w:rPr>
        <w:t>S2</w:t>
      </w:r>
      <w:r w:rsidRPr="00844597">
        <w:rPr>
          <w:rFonts w:ascii="Arial" w:eastAsia="Times New Roman" w:hAnsi="Arial" w:cs="Arial"/>
        </w:rPr>
        <w:t xml:space="preserve"> pasa por una primera etapa de demodulación síncrona en fase obtenida con una señal cuadrada de sincronía </w:t>
      </w:r>
      <w:bookmarkStart w:id="423" w:name="_Hlk34135796"/>
      <w:r w:rsidRPr="00844597">
        <w:rPr>
          <w:rFonts w:eastAsia="Times New Roman"/>
          <w:i/>
        </w:rPr>
        <w:t>V</w:t>
      </w:r>
      <w:r w:rsidRPr="00844597">
        <w:rPr>
          <w:rFonts w:eastAsia="Times New Roman"/>
          <w:i/>
          <w:vertAlign w:val="subscript"/>
        </w:rPr>
        <w:t>sif</w:t>
      </w:r>
      <w:bookmarkEnd w:id="423"/>
      <w:r w:rsidRPr="00844597">
        <w:rPr>
          <w:rFonts w:ascii="Arial" w:eastAsia="Times New Roman" w:hAnsi="Arial" w:cs="Arial"/>
        </w:rPr>
        <w:t xml:space="preserve"> con la misma fase y frecuencia que </w:t>
      </w:r>
      <w:r w:rsidRPr="00844597">
        <w:rPr>
          <w:rFonts w:eastAsia="Times New Roman"/>
          <w:i/>
        </w:rPr>
        <w:t>V</w:t>
      </w:r>
      <w:r w:rsidRPr="00844597">
        <w:rPr>
          <w:rFonts w:eastAsia="Times New Roman"/>
          <w:i/>
          <w:vertAlign w:val="subscript"/>
        </w:rPr>
        <w:t>es</w:t>
      </w:r>
      <w:r w:rsidRPr="00844597">
        <w:rPr>
          <w:rFonts w:ascii="Arial" w:eastAsia="Times New Roman" w:hAnsi="Arial" w:cs="Arial"/>
        </w:rPr>
        <w:t xml:space="preserve">, con el fin de controlar la secuencia de conmutación del amplificador diferencial para obtener las ganancias unitarias no inversora e inversora como se expresó en la tabla 1.  Con estas condiciones la ecuación (5) muestra que para una señal senoidal el voltaje de salida </w:t>
      </w:r>
      <w:r w:rsidRPr="00844597">
        <w:rPr>
          <w:rFonts w:eastAsia="Times New Roman"/>
          <w:i/>
        </w:rPr>
        <w:t>V</w:t>
      </w:r>
      <w:r w:rsidRPr="00844597">
        <w:rPr>
          <w:rFonts w:eastAsia="Times New Roman"/>
          <w:i/>
          <w:vertAlign w:val="subscript"/>
        </w:rPr>
        <w:t>s3f</w:t>
      </w:r>
      <w:r w:rsidRPr="00844597">
        <w:rPr>
          <w:rFonts w:ascii="Arial" w:eastAsia="Times New Roman" w:hAnsi="Arial" w:cs="Arial"/>
        </w:rPr>
        <w:t xml:space="preserve"> se comportará como una señal rectificada. Esta etapa de demodulación síncrona forma parte del DSF sin desfasamiento, como se muestra en la figura 5.</w:t>
      </w:r>
    </w:p>
    <w:p w:rsidR="00C04E73" w:rsidRDefault="00C04E73" w:rsidP="00C04E73">
      <w:pPr>
        <w:ind w:firstLine="567"/>
        <w:jc w:val="both"/>
        <w:rPr>
          <w:rFonts w:ascii="Arial" w:eastAsia="Times New Roman" w:hAnsi="Arial" w:cs="Arial"/>
        </w:rPr>
      </w:pPr>
      <w:r>
        <w:rPr>
          <w:noProof/>
          <w:lang w:val="en-US"/>
        </w:rPr>
        <w:drawing>
          <wp:anchor distT="0" distB="0" distL="114300" distR="114300" simplePos="0" relativeHeight="251839488" behindDoc="0" locked="0" layoutInCell="1" allowOverlap="1" wp14:anchorId="7AE2B846" wp14:editId="66C456D4">
            <wp:simplePos x="0" y="0"/>
            <wp:positionH relativeFrom="margin">
              <wp:posOffset>289560</wp:posOffset>
            </wp:positionH>
            <wp:positionV relativeFrom="paragraph">
              <wp:posOffset>36195</wp:posOffset>
            </wp:positionV>
            <wp:extent cx="5400040" cy="2036445"/>
            <wp:effectExtent l="0" t="0" r="0" b="1905"/>
            <wp:wrapThrough wrapText="bothSides">
              <wp:wrapPolygon edited="0">
                <wp:start x="0" y="0"/>
                <wp:lineTo x="0" y="21418"/>
                <wp:lineTo x="21488" y="21418"/>
                <wp:lineTo x="21488" y="0"/>
                <wp:lineTo x="0" y="0"/>
              </wp:wrapPolygon>
            </wp:wrapThrough>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318" cstate="print">
                      <a:extLst>
                        <a:ext uri="{28A0092B-C50C-407E-A947-70E740481C1C}">
                          <a14:useLocalDpi xmlns:a14="http://schemas.microsoft.com/office/drawing/2010/main" val="0"/>
                        </a:ext>
                      </a:extLst>
                    </a:blip>
                    <a:srcRect/>
                    <a:stretch>
                      <a:fillRect/>
                    </a:stretch>
                  </pic:blipFill>
                  <pic:spPr bwMode="auto">
                    <a:xfrm>
                      <a:off x="0" y="0"/>
                      <a:ext cx="5400040" cy="2036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Pr="00844597" w:rsidRDefault="00C04E73" w:rsidP="00C04E73">
      <w:pPr>
        <w:ind w:firstLine="567"/>
        <w:jc w:val="center"/>
        <w:rPr>
          <w:rFonts w:ascii="Arial" w:eastAsia="Times New Roman" w:hAnsi="Arial" w:cs="Arial"/>
          <w:i/>
          <w:sz w:val="20"/>
          <w:szCs w:val="20"/>
        </w:rPr>
      </w:pPr>
      <w:r w:rsidRPr="00844597">
        <w:rPr>
          <w:rFonts w:ascii="Arial" w:eastAsia="Calibri" w:hAnsi="Arial" w:cs="Arial"/>
          <w:i/>
          <w:sz w:val="20"/>
          <w:szCs w:val="20"/>
        </w:rPr>
        <w:t>Figura 5. Circuito de detección sensible a la fase (DSF) basado en demodulación síncrona en fase.</w:t>
      </w: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r w:rsidRPr="0026720E">
        <w:rPr>
          <w:rFonts w:ascii="Arial" w:eastAsia="Times New Roman" w:hAnsi="Arial" w:cs="Arial"/>
        </w:rPr>
        <w:t xml:space="preserve">Para comprobar que la primera etapa de demodulación síncrona funciona correctamente se realizan simulaciones sustituyendo la señal de voltaje senoidal </w:t>
      </w:r>
      <w:r w:rsidRPr="0026720E">
        <w:rPr>
          <w:rFonts w:eastAsia="Times New Roman"/>
          <w:i/>
        </w:rPr>
        <w:t>V</w:t>
      </w:r>
      <w:r w:rsidRPr="0026720E">
        <w:rPr>
          <w:rFonts w:eastAsia="Times New Roman"/>
          <w:i/>
          <w:vertAlign w:val="subscript"/>
        </w:rPr>
        <w:t>es</w:t>
      </w:r>
      <w:r w:rsidRPr="0026720E">
        <w:rPr>
          <w:rFonts w:ascii="Arial" w:eastAsia="Times New Roman" w:hAnsi="Arial" w:cs="Arial"/>
        </w:rPr>
        <w:t xml:space="preserve"> en lugar de la señal de voltaje </w:t>
      </w:r>
      <w:r w:rsidRPr="0026720E">
        <w:rPr>
          <w:rFonts w:eastAsia="Times New Roman"/>
          <w:i/>
        </w:rPr>
        <w:t>V</w:t>
      </w:r>
      <w:r w:rsidRPr="0026720E">
        <w:rPr>
          <w:rFonts w:eastAsia="Times New Roman"/>
          <w:i/>
          <w:vertAlign w:val="subscript"/>
        </w:rPr>
        <w:t>S2</w:t>
      </w:r>
      <w:r w:rsidRPr="0026720E">
        <w:rPr>
          <w:rFonts w:ascii="Arial" w:eastAsia="Times New Roman" w:hAnsi="Arial" w:cs="Arial"/>
        </w:rPr>
        <w:t xml:space="preserve">, señal de voltaje de salida de la etapa de amplificación, en las entradas COM4 y COM2 del circuito integrado U4. Las señales </w:t>
      </w:r>
      <w:r w:rsidRPr="0026720E">
        <w:rPr>
          <w:rFonts w:eastAsia="Times New Roman"/>
          <w:i/>
        </w:rPr>
        <w:t>V</w:t>
      </w:r>
      <w:r w:rsidRPr="0026720E">
        <w:rPr>
          <w:rFonts w:eastAsia="Times New Roman"/>
          <w:i/>
          <w:vertAlign w:val="subscript"/>
        </w:rPr>
        <w:t>es</w:t>
      </w:r>
      <w:r w:rsidRPr="0026720E">
        <w:rPr>
          <w:rFonts w:ascii="Arial" w:eastAsia="Times New Roman" w:hAnsi="Arial" w:cs="Arial"/>
        </w:rPr>
        <w:t xml:space="preserve">, </w:t>
      </w:r>
      <w:r w:rsidRPr="0026720E">
        <w:rPr>
          <w:rFonts w:eastAsia="Times New Roman"/>
          <w:i/>
        </w:rPr>
        <w:t>V</w:t>
      </w:r>
      <w:r w:rsidRPr="0026720E">
        <w:rPr>
          <w:rFonts w:eastAsia="Times New Roman"/>
          <w:i/>
          <w:vertAlign w:val="subscript"/>
        </w:rPr>
        <w:t>sif</w:t>
      </w:r>
      <w:r w:rsidRPr="0026720E">
        <w:rPr>
          <w:rFonts w:ascii="Arial" w:eastAsia="Times New Roman" w:hAnsi="Arial" w:cs="Arial"/>
        </w:rPr>
        <w:t xml:space="preserve"> y </w:t>
      </w:r>
      <w:r w:rsidRPr="0026720E">
        <w:rPr>
          <w:rFonts w:eastAsia="Times New Roman"/>
          <w:i/>
        </w:rPr>
        <w:t>V</w:t>
      </w:r>
      <w:r w:rsidRPr="0026720E">
        <w:rPr>
          <w:rFonts w:eastAsia="Times New Roman"/>
          <w:i/>
          <w:vertAlign w:val="subscript"/>
        </w:rPr>
        <w:t>s3f</w:t>
      </w:r>
      <w:r w:rsidRPr="0026720E">
        <w:rPr>
          <w:rFonts w:ascii="Arial" w:eastAsia="Times New Roman" w:hAnsi="Arial" w:cs="Arial"/>
        </w:rPr>
        <w:t xml:space="preserve"> resultantes se muestran en la figura 6.</w:t>
      </w:r>
    </w:p>
    <w:p w:rsidR="00C04E73" w:rsidRDefault="00C04E73" w:rsidP="00C04E73">
      <w:pPr>
        <w:ind w:firstLine="567"/>
        <w:jc w:val="both"/>
        <w:rPr>
          <w:rFonts w:ascii="Arial" w:eastAsia="Times New Roman" w:hAnsi="Arial" w:cs="Arial"/>
        </w:rPr>
      </w:pPr>
      <w:r>
        <w:rPr>
          <w:noProof/>
          <w:lang w:val="en-US"/>
        </w:rPr>
        <w:drawing>
          <wp:anchor distT="0" distB="0" distL="114300" distR="114300" simplePos="0" relativeHeight="251840512" behindDoc="0" locked="0" layoutInCell="1" allowOverlap="1" wp14:anchorId="1543F788" wp14:editId="6B7BE130">
            <wp:simplePos x="0" y="0"/>
            <wp:positionH relativeFrom="margin">
              <wp:posOffset>289560</wp:posOffset>
            </wp:positionH>
            <wp:positionV relativeFrom="paragraph">
              <wp:posOffset>66040</wp:posOffset>
            </wp:positionV>
            <wp:extent cx="5400040" cy="3109595"/>
            <wp:effectExtent l="0" t="0" r="0" b="0"/>
            <wp:wrapThrough wrapText="bothSides">
              <wp:wrapPolygon edited="0">
                <wp:start x="0" y="0"/>
                <wp:lineTo x="0" y="21437"/>
                <wp:lineTo x="21488" y="21437"/>
                <wp:lineTo x="21488" y="0"/>
                <wp:lineTo x="0" y="0"/>
              </wp:wrapPolygon>
            </wp:wrapThrough>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5400040" cy="3109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Pr="0026720E" w:rsidRDefault="00C04E73" w:rsidP="00C04E73">
      <w:pPr>
        <w:ind w:firstLine="567"/>
        <w:jc w:val="center"/>
        <w:rPr>
          <w:rFonts w:ascii="Arial" w:eastAsia="Times New Roman" w:hAnsi="Arial" w:cs="Arial"/>
          <w:i/>
          <w:sz w:val="20"/>
          <w:szCs w:val="20"/>
        </w:rPr>
      </w:pPr>
      <w:r w:rsidRPr="0026720E">
        <w:rPr>
          <w:rFonts w:ascii="Arial" w:eastAsia="Calibri" w:hAnsi="Arial" w:cs="Arial"/>
          <w:i/>
          <w:sz w:val="20"/>
          <w:szCs w:val="20"/>
        </w:rPr>
        <w:t xml:space="preserve">Figura 6. Señal de entrada senoidal </w:t>
      </w:r>
      <w:r w:rsidRPr="0026720E">
        <w:rPr>
          <w:rFonts w:eastAsia="Calibri"/>
          <w:i/>
          <w:sz w:val="20"/>
          <w:szCs w:val="20"/>
        </w:rPr>
        <w:t>V</w:t>
      </w:r>
      <w:r w:rsidRPr="0026720E">
        <w:rPr>
          <w:rFonts w:eastAsia="Calibri"/>
          <w:i/>
          <w:sz w:val="20"/>
          <w:szCs w:val="20"/>
          <w:vertAlign w:val="subscript"/>
        </w:rPr>
        <w:t>es</w:t>
      </w:r>
      <w:r w:rsidRPr="0026720E">
        <w:rPr>
          <w:rFonts w:ascii="Arial" w:eastAsia="Calibri" w:hAnsi="Arial" w:cs="Arial"/>
          <w:i/>
          <w:sz w:val="20"/>
          <w:szCs w:val="20"/>
        </w:rPr>
        <w:t xml:space="preserve"> (arriba) en fase con la señal cuadrada de sincronía </w:t>
      </w:r>
      <w:r w:rsidRPr="0026720E">
        <w:rPr>
          <w:rFonts w:eastAsia="Calibri"/>
          <w:i/>
          <w:sz w:val="20"/>
          <w:szCs w:val="20"/>
        </w:rPr>
        <w:t>V</w:t>
      </w:r>
      <w:r w:rsidRPr="0026720E">
        <w:rPr>
          <w:rFonts w:eastAsia="Calibri"/>
          <w:i/>
          <w:sz w:val="20"/>
          <w:szCs w:val="20"/>
          <w:vertAlign w:val="subscript"/>
        </w:rPr>
        <w:t>sif</w:t>
      </w:r>
      <w:r w:rsidRPr="0026720E">
        <w:rPr>
          <w:rFonts w:ascii="Arial" w:eastAsia="Calibri" w:hAnsi="Arial" w:cs="Arial"/>
          <w:i/>
          <w:sz w:val="20"/>
          <w:szCs w:val="20"/>
        </w:rPr>
        <w:t xml:space="preserve"> (abajo) y la señal de voltaje rectificada </w:t>
      </w:r>
      <w:r w:rsidRPr="0026720E">
        <w:rPr>
          <w:rFonts w:eastAsia="Calibri"/>
          <w:i/>
          <w:sz w:val="20"/>
          <w:szCs w:val="20"/>
        </w:rPr>
        <w:t>V</w:t>
      </w:r>
      <w:r w:rsidRPr="0026720E">
        <w:rPr>
          <w:rFonts w:eastAsia="Calibri"/>
          <w:i/>
          <w:sz w:val="20"/>
          <w:szCs w:val="20"/>
          <w:vertAlign w:val="subscript"/>
        </w:rPr>
        <w:t>s3f</w:t>
      </w:r>
      <w:r w:rsidRPr="0026720E">
        <w:rPr>
          <w:rFonts w:ascii="Arial" w:eastAsia="Calibri" w:hAnsi="Arial" w:cs="Arial"/>
          <w:i/>
          <w:sz w:val="20"/>
          <w:szCs w:val="20"/>
          <w:vertAlign w:val="subscript"/>
        </w:rPr>
        <w:t xml:space="preserve"> </w:t>
      </w:r>
      <w:r w:rsidRPr="0026720E">
        <w:rPr>
          <w:rFonts w:ascii="Arial" w:eastAsia="Calibri" w:hAnsi="Arial" w:cs="Arial"/>
          <w:i/>
          <w:sz w:val="20"/>
          <w:szCs w:val="20"/>
        </w:rPr>
        <w:t>(en medio) a la salida del demodulador síncrono.</w:t>
      </w:r>
    </w:p>
    <w:p w:rsidR="00C04E73" w:rsidRDefault="00C04E73" w:rsidP="00C04E73">
      <w:pPr>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Pr="0026720E" w:rsidRDefault="00C04E73" w:rsidP="00C04E73">
      <w:pPr>
        <w:jc w:val="both"/>
        <w:rPr>
          <w:rFonts w:ascii="Arial" w:eastAsia="Times New Roman" w:hAnsi="Arial" w:cs="Arial"/>
          <w:i/>
        </w:rPr>
      </w:pPr>
      <w:r>
        <w:rPr>
          <w:rFonts w:ascii="Arial" w:eastAsia="Times New Roman" w:hAnsi="Arial" w:cs="Arial"/>
          <w:i/>
        </w:rPr>
        <w:t xml:space="preserve">3.3    </w:t>
      </w:r>
      <w:r w:rsidRPr="0026720E">
        <w:rPr>
          <w:rFonts w:ascii="Arial" w:eastAsia="Times New Roman" w:hAnsi="Arial" w:cs="Arial"/>
          <w:i/>
        </w:rPr>
        <w:t>Canal de voltaje de salida del DSF en fase</w:t>
      </w:r>
    </w:p>
    <w:p w:rsidR="00C04E73" w:rsidRPr="0026720E" w:rsidRDefault="00C04E73" w:rsidP="00C04E73">
      <w:pPr>
        <w:ind w:firstLine="567"/>
        <w:jc w:val="both"/>
        <w:rPr>
          <w:rFonts w:ascii="Arial" w:eastAsia="Times New Roman" w:hAnsi="Arial" w:cs="Arial"/>
          <w:b/>
        </w:rPr>
      </w:pPr>
    </w:p>
    <w:p w:rsidR="00C04E73" w:rsidRPr="0026720E" w:rsidRDefault="00C04E73" w:rsidP="00C04E73">
      <w:pPr>
        <w:ind w:firstLine="567"/>
        <w:jc w:val="both"/>
        <w:rPr>
          <w:rFonts w:ascii="Arial" w:eastAsia="Times New Roman" w:hAnsi="Arial" w:cs="Arial"/>
        </w:rPr>
      </w:pPr>
      <w:r w:rsidRPr="0026720E">
        <w:rPr>
          <w:rFonts w:ascii="Arial" w:eastAsia="Times New Roman" w:hAnsi="Arial" w:cs="Arial"/>
        </w:rPr>
        <w:t xml:space="preserve">A la salida del canal de DSF en fase se obtiene un voltaje de corriente directa </w:t>
      </w:r>
      <w:r w:rsidRPr="0026720E">
        <w:rPr>
          <w:rFonts w:eastAsia="Times New Roman"/>
          <w:i/>
        </w:rPr>
        <w:t>V</w:t>
      </w:r>
      <w:r w:rsidRPr="0026720E">
        <w:rPr>
          <w:rFonts w:eastAsia="Times New Roman"/>
          <w:i/>
          <w:vertAlign w:val="subscript"/>
        </w:rPr>
        <w:t>fcd</w:t>
      </w:r>
      <w:r w:rsidRPr="0026720E">
        <w:rPr>
          <w:rFonts w:ascii="Arial" w:eastAsia="Times New Roman" w:hAnsi="Arial" w:cs="Arial"/>
        </w:rPr>
        <w:t xml:space="preserve"> proporcional al voltaje </w:t>
      </w:r>
      <w:r w:rsidRPr="0026720E">
        <w:rPr>
          <w:rFonts w:eastAsia="Times New Roman"/>
          <w:i/>
          <w:iCs/>
        </w:rPr>
        <w:t>V</w:t>
      </w:r>
      <w:r w:rsidRPr="0026720E">
        <w:rPr>
          <w:rFonts w:eastAsia="Times New Roman"/>
          <w:i/>
          <w:iCs/>
          <w:vertAlign w:val="subscript"/>
        </w:rPr>
        <w:t>es</w:t>
      </w:r>
      <w:r w:rsidRPr="0026720E">
        <w:rPr>
          <w:rFonts w:ascii="Arial" w:eastAsia="Times New Roman" w:hAnsi="Arial" w:cs="Arial"/>
        </w:rPr>
        <w:t xml:space="preserve"> que alimenta al circuito </w:t>
      </w:r>
      <w:r w:rsidRPr="0026720E">
        <w:rPr>
          <w:rFonts w:ascii="Arial" w:eastAsia="Times New Roman" w:hAnsi="Arial" w:cs="Arial"/>
          <w:i/>
        </w:rPr>
        <w:t>RC</w:t>
      </w:r>
      <w:r w:rsidRPr="0026720E">
        <w:rPr>
          <w:rFonts w:ascii="Arial" w:eastAsia="Times New Roman" w:hAnsi="Arial" w:cs="Arial"/>
        </w:rPr>
        <w:t xml:space="preserve"> y a las ganancias en cada etapa del SMV. La señal de voltaje </w:t>
      </w:r>
      <w:r w:rsidRPr="0026720E">
        <w:rPr>
          <w:rFonts w:eastAsia="Times New Roman"/>
          <w:i/>
        </w:rPr>
        <w:t>V</w:t>
      </w:r>
      <w:r w:rsidRPr="0026720E">
        <w:rPr>
          <w:rFonts w:eastAsia="Times New Roman"/>
          <w:i/>
          <w:vertAlign w:val="subscript"/>
        </w:rPr>
        <w:t>s3f</w:t>
      </w:r>
      <w:r w:rsidRPr="0026720E">
        <w:rPr>
          <w:rFonts w:ascii="Arial" w:eastAsia="Times New Roman" w:hAnsi="Arial" w:cs="Arial"/>
        </w:rPr>
        <w:t xml:space="preserve"> se hace pasar por una etapa de filtrado paso bajo del tipo butterworth con configuración Sallen &amp; key de segundo orden con ganancia unitaria y frecuencia de corte de </w:t>
      </w:r>
      <w:r w:rsidRPr="00F91885">
        <w:rPr>
          <w:rFonts w:eastAsia="Times New Roman"/>
        </w:rPr>
        <w:t>10 Hz</w:t>
      </w:r>
      <w:r w:rsidRPr="0026720E">
        <w:rPr>
          <w:rFonts w:ascii="Arial" w:eastAsia="Times New Roman" w:hAnsi="Arial" w:cs="Arial"/>
        </w:rPr>
        <w:t xml:space="preserve">. El voltaje de salida </w:t>
      </w:r>
      <w:r w:rsidRPr="0026720E">
        <w:rPr>
          <w:rFonts w:eastAsia="Times New Roman"/>
          <w:i/>
        </w:rPr>
        <w:t>V</w:t>
      </w:r>
      <w:r w:rsidRPr="0026720E">
        <w:rPr>
          <w:rFonts w:eastAsia="Times New Roman"/>
          <w:i/>
          <w:vertAlign w:val="subscript"/>
        </w:rPr>
        <w:t>fcd</w:t>
      </w:r>
      <w:r w:rsidRPr="0026720E">
        <w:rPr>
          <w:rFonts w:ascii="Arial" w:eastAsia="Times New Roman" w:hAnsi="Arial" w:cs="Arial"/>
        </w:rPr>
        <w:t xml:space="preserve"> de esta etapa de filtrado se expresa como,</w:t>
      </w:r>
    </w:p>
    <w:p w:rsidR="00C04E73" w:rsidRPr="0026720E" w:rsidRDefault="00C04E73" w:rsidP="00C04E73">
      <w:pPr>
        <w:ind w:firstLine="567"/>
        <w:jc w:val="both"/>
        <w:rPr>
          <w:rFonts w:ascii="Arial" w:eastAsia="Times New Roman" w:hAnsi="Arial" w:cs="Arial"/>
        </w:rPr>
      </w:pPr>
    </w:p>
    <w:p w:rsidR="00C04E73" w:rsidRPr="0026720E" w:rsidRDefault="001345E4" w:rsidP="00C04E73">
      <w:pPr>
        <w:ind w:firstLine="567"/>
        <w:jc w:val="right"/>
        <w:rPr>
          <w:rFonts w:ascii="Arial" w:eastAsia="Times New Roman" w:hAnsi="Arial" w:cs="Arial"/>
        </w:rPr>
      </w:pPr>
      <m:oMath>
        <m:sSub>
          <m:sSubPr>
            <m:ctrlPr>
              <w:rPr>
                <w:rFonts w:ascii="Cambria Math" w:eastAsia="Times New Roman" w:hAnsi="Cambria Math"/>
                <w:i/>
                <w:sz w:val="22"/>
                <w:szCs w:val="22"/>
              </w:rPr>
            </m:ctrlPr>
          </m:sSubPr>
          <m:e>
            <m:r>
              <w:rPr>
                <w:rFonts w:ascii="Cambria Math" w:eastAsia="Times New Roman" w:hAnsi="Cambria Math"/>
                <w:sz w:val="22"/>
                <w:szCs w:val="22"/>
              </w:rPr>
              <m:t>V</m:t>
            </m:r>
          </m:e>
          <m:sub>
            <m:r>
              <w:rPr>
                <w:rFonts w:ascii="Cambria Math" w:eastAsia="Times New Roman" w:hAnsi="Cambria Math"/>
                <w:sz w:val="22"/>
                <w:szCs w:val="22"/>
              </w:rPr>
              <m:t>fcd</m:t>
            </m:r>
          </m:sub>
        </m:sSub>
        <m:r>
          <w:rPr>
            <w:rFonts w:ascii="Cambria Math" w:eastAsia="Times New Roman" w:hAnsi="Cambria Math"/>
            <w:sz w:val="22"/>
            <w:szCs w:val="22"/>
          </w:rPr>
          <m:t>=</m:t>
        </m:r>
        <m:sSub>
          <m:sSubPr>
            <m:ctrlPr>
              <w:rPr>
                <w:rFonts w:ascii="Cambria Math" w:eastAsia="Times New Roman" w:hAnsi="Cambria Math"/>
                <w:i/>
                <w:sz w:val="22"/>
                <w:szCs w:val="22"/>
              </w:rPr>
            </m:ctrlPr>
          </m:sSubPr>
          <m:e>
            <m:r>
              <w:rPr>
                <w:rFonts w:ascii="Cambria Math" w:eastAsia="Times New Roman" w:hAnsi="Cambria Math"/>
                <w:sz w:val="22"/>
                <w:szCs w:val="22"/>
              </w:rPr>
              <m:t>G</m:t>
            </m:r>
          </m:e>
          <m:sub>
            <m:r>
              <w:rPr>
                <w:rFonts w:ascii="Cambria Math" w:eastAsia="Times New Roman" w:hAnsi="Cambria Math"/>
                <w:sz w:val="22"/>
                <w:szCs w:val="22"/>
              </w:rPr>
              <m:t>D</m:t>
            </m:r>
          </m:sub>
        </m:sSub>
        <m:sSub>
          <m:sSubPr>
            <m:ctrlPr>
              <w:rPr>
                <w:rFonts w:ascii="Cambria Math" w:eastAsia="Times New Roman" w:hAnsi="Cambria Math"/>
                <w:i/>
                <w:sz w:val="22"/>
                <w:szCs w:val="22"/>
              </w:rPr>
            </m:ctrlPr>
          </m:sSubPr>
          <m:e>
            <m:acc>
              <m:accPr>
                <m:chr m:val="̅"/>
                <m:ctrlPr>
                  <w:rPr>
                    <w:rFonts w:ascii="Cambria Math" w:eastAsia="Times New Roman" w:hAnsi="Cambria Math"/>
                    <w:i/>
                    <w:sz w:val="22"/>
                    <w:szCs w:val="22"/>
                  </w:rPr>
                </m:ctrlPr>
              </m:accPr>
              <m:e>
                <m:r>
                  <w:rPr>
                    <w:rFonts w:ascii="Cambria Math" w:eastAsia="Times New Roman" w:hAnsi="Cambria Math"/>
                    <w:sz w:val="22"/>
                    <w:szCs w:val="22"/>
                  </w:rPr>
                  <m:t>V</m:t>
                </m:r>
              </m:e>
            </m:acc>
          </m:e>
          <m:sub>
            <m:r>
              <w:rPr>
                <w:rFonts w:ascii="Cambria Math" w:eastAsia="Times New Roman" w:hAnsi="Cambria Math"/>
                <w:sz w:val="22"/>
                <w:szCs w:val="22"/>
              </w:rPr>
              <m:t>s3f</m:t>
            </m:r>
          </m:sub>
        </m:sSub>
        <m:r>
          <w:rPr>
            <w:rFonts w:ascii="Cambria Math" w:eastAsia="Times New Roman" w:hAnsi="Cambria Math"/>
            <w:sz w:val="22"/>
            <w:szCs w:val="22"/>
          </w:rPr>
          <m:t>=</m:t>
        </m:r>
        <m:f>
          <m:fPr>
            <m:ctrlPr>
              <w:rPr>
                <w:rFonts w:ascii="Cambria Math" w:eastAsia="Times New Roman" w:hAnsi="Cambria Math"/>
                <w:i/>
                <w:sz w:val="22"/>
                <w:szCs w:val="22"/>
              </w:rPr>
            </m:ctrlPr>
          </m:fPr>
          <m:num>
            <m:r>
              <w:rPr>
                <w:rFonts w:ascii="Cambria Math" w:eastAsia="Times New Roman" w:hAnsi="Cambria Math"/>
                <w:sz w:val="22"/>
                <w:szCs w:val="22"/>
              </w:rPr>
              <m:t>1</m:t>
            </m:r>
          </m:num>
          <m:den>
            <m:r>
              <w:rPr>
                <w:rFonts w:ascii="Cambria Math" w:eastAsia="Times New Roman" w:hAnsi="Cambria Math"/>
                <w:sz w:val="22"/>
                <w:szCs w:val="22"/>
              </w:rPr>
              <m:t>2π</m:t>
            </m:r>
          </m:den>
        </m:f>
        <m:d>
          <m:dPr>
            <m:ctrlPr>
              <w:rPr>
                <w:rFonts w:ascii="Cambria Math" w:eastAsia="Times New Roman" w:hAnsi="Cambria Math"/>
                <w:i/>
                <w:sz w:val="22"/>
                <w:szCs w:val="22"/>
              </w:rPr>
            </m:ctrlPr>
          </m:dPr>
          <m:e>
            <m:nary>
              <m:naryPr>
                <m:limLoc m:val="subSup"/>
                <m:ctrlPr>
                  <w:rPr>
                    <w:rFonts w:ascii="Cambria Math" w:eastAsia="Times New Roman" w:hAnsi="Cambria Math"/>
                    <w:i/>
                    <w:sz w:val="22"/>
                    <w:szCs w:val="22"/>
                  </w:rPr>
                </m:ctrlPr>
              </m:naryPr>
              <m:sub>
                <m:r>
                  <w:rPr>
                    <w:rFonts w:ascii="Cambria Math" w:eastAsia="Times New Roman" w:hAnsi="Cambria Math"/>
                    <w:sz w:val="22"/>
                    <w:szCs w:val="22"/>
                  </w:rPr>
                  <m:t>0</m:t>
                </m:r>
              </m:sub>
              <m:sup>
                <m:r>
                  <w:rPr>
                    <w:rFonts w:ascii="Cambria Math" w:eastAsia="Times New Roman" w:hAnsi="Cambria Math"/>
                    <w:sz w:val="22"/>
                    <w:szCs w:val="22"/>
                  </w:rPr>
                  <m:t>π</m:t>
                </m:r>
              </m:sup>
              <m:e>
                <m:sSub>
                  <m:sSubPr>
                    <m:ctrlPr>
                      <w:rPr>
                        <w:rFonts w:ascii="Cambria Math" w:eastAsia="Times New Roman" w:hAnsi="Cambria Math"/>
                        <w:i/>
                        <w:sz w:val="22"/>
                        <w:szCs w:val="22"/>
                      </w:rPr>
                    </m:ctrlPr>
                  </m:sSubPr>
                  <m:e>
                    <m:r>
                      <w:rPr>
                        <w:rFonts w:ascii="Cambria Math" w:eastAsia="Times New Roman" w:hAnsi="Cambria Math"/>
                        <w:sz w:val="22"/>
                        <w:szCs w:val="22"/>
                      </w:rPr>
                      <m:t>V</m:t>
                    </m:r>
                  </m:e>
                  <m:sub>
                    <m:r>
                      <w:rPr>
                        <w:rFonts w:ascii="Cambria Math" w:eastAsia="Times New Roman" w:hAnsi="Cambria Math"/>
                        <w:sz w:val="22"/>
                        <w:szCs w:val="22"/>
                      </w:rPr>
                      <m:t>s3f</m:t>
                    </m:r>
                  </m:sub>
                </m:sSub>
                <m:r>
                  <w:rPr>
                    <w:rFonts w:ascii="Cambria Math" w:eastAsia="Times New Roman" w:hAnsi="Cambria Math"/>
                    <w:sz w:val="22"/>
                    <w:szCs w:val="22"/>
                  </w:rPr>
                  <m:t>dωt</m:t>
                </m:r>
              </m:e>
            </m:nary>
            <m:r>
              <w:rPr>
                <w:rFonts w:ascii="Cambria Math" w:eastAsia="Times New Roman" w:hAnsi="Cambria Math"/>
                <w:sz w:val="22"/>
                <w:szCs w:val="22"/>
              </w:rPr>
              <m:t>+</m:t>
            </m:r>
            <m:nary>
              <m:naryPr>
                <m:limLoc m:val="subSup"/>
                <m:ctrlPr>
                  <w:rPr>
                    <w:rFonts w:ascii="Cambria Math" w:eastAsia="Times New Roman" w:hAnsi="Cambria Math"/>
                    <w:i/>
                    <w:sz w:val="22"/>
                    <w:szCs w:val="22"/>
                  </w:rPr>
                </m:ctrlPr>
              </m:naryPr>
              <m:sub>
                <m:r>
                  <w:rPr>
                    <w:rFonts w:ascii="Cambria Math" w:eastAsia="Times New Roman" w:hAnsi="Cambria Math"/>
                    <w:sz w:val="22"/>
                    <w:szCs w:val="22"/>
                  </w:rPr>
                  <m:t>π</m:t>
                </m:r>
              </m:sub>
              <m:sup>
                <m:r>
                  <w:rPr>
                    <w:rFonts w:ascii="Cambria Math" w:eastAsia="Times New Roman" w:hAnsi="Cambria Math"/>
                    <w:sz w:val="22"/>
                    <w:szCs w:val="22"/>
                  </w:rPr>
                  <m:t>2π</m:t>
                </m:r>
              </m:sup>
              <m:e>
                <m:sSub>
                  <m:sSubPr>
                    <m:ctrlPr>
                      <w:rPr>
                        <w:rFonts w:ascii="Cambria Math" w:eastAsia="Times New Roman" w:hAnsi="Cambria Math"/>
                        <w:i/>
                        <w:sz w:val="22"/>
                        <w:szCs w:val="22"/>
                      </w:rPr>
                    </m:ctrlPr>
                  </m:sSubPr>
                  <m:e>
                    <m:r>
                      <w:rPr>
                        <w:rFonts w:ascii="Cambria Math" w:eastAsia="Times New Roman" w:hAnsi="Cambria Math"/>
                        <w:sz w:val="22"/>
                        <w:szCs w:val="22"/>
                      </w:rPr>
                      <m:t>-V</m:t>
                    </m:r>
                  </m:e>
                  <m:sub>
                    <m:r>
                      <w:rPr>
                        <w:rFonts w:ascii="Cambria Math" w:eastAsia="Times New Roman" w:hAnsi="Cambria Math"/>
                        <w:sz w:val="22"/>
                        <w:szCs w:val="22"/>
                      </w:rPr>
                      <m:t>s3f</m:t>
                    </m:r>
                  </m:sub>
                </m:sSub>
                <m:r>
                  <w:rPr>
                    <w:rFonts w:ascii="Cambria Math" w:eastAsia="Times New Roman" w:hAnsi="Cambria Math"/>
                    <w:sz w:val="22"/>
                    <w:szCs w:val="22"/>
                  </w:rPr>
                  <m:t>dωt</m:t>
                </m:r>
              </m:e>
            </m:nary>
          </m:e>
        </m:d>
      </m:oMath>
      <w:r w:rsidR="00C04E73" w:rsidRPr="0026720E">
        <w:rPr>
          <w:rFonts w:ascii="Arial" w:eastAsia="Times New Roman" w:hAnsi="Arial" w:cs="Arial"/>
        </w:rPr>
        <w:t xml:space="preserve"> </w:t>
      </w:r>
      <w:r w:rsidR="00C04E73">
        <w:rPr>
          <w:rFonts w:ascii="Arial" w:eastAsia="Times New Roman" w:hAnsi="Arial" w:cs="Arial"/>
        </w:rPr>
        <w:t>.</w:t>
      </w:r>
      <w:r w:rsidR="00C04E73" w:rsidRPr="0026720E">
        <w:rPr>
          <w:rFonts w:ascii="Arial" w:eastAsia="Times New Roman" w:hAnsi="Arial" w:cs="Arial"/>
        </w:rPr>
        <w:t xml:space="preserve">               </w:t>
      </w:r>
      <w:r w:rsidR="00C04E73">
        <w:rPr>
          <w:rFonts w:ascii="Arial" w:eastAsia="Times New Roman" w:hAnsi="Arial" w:cs="Arial"/>
        </w:rPr>
        <w:t xml:space="preserve">   </w:t>
      </w:r>
      <w:r w:rsidR="00C04E73" w:rsidRPr="0026720E">
        <w:rPr>
          <w:rFonts w:ascii="Arial" w:eastAsia="Times New Roman" w:hAnsi="Arial" w:cs="Arial"/>
        </w:rPr>
        <w:t xml:space="preserve">          (6)</w:t>
      </w:r>
    </w:p>
    <w:p w:rsidR="00C04E73" w:rsidRPr="0026720E" w:rsidRDefault="00C04E73" w:rsidP="00C04E73">
      <w:pPr>
        <w:ind w:firstLine="567"/>
        <w:jc w:val="both"/>
        <w:rPr>
          <w:rFonts w:ascii="Arial" w:eastAsia="Times New Roman" w:hAnsi="Arial" w:cs="Arial"/>
        </w:rPr>
      </w:pPr>
    </w:p>
    <w:p w:rsidR="00C04E73" w:rsidRPr="0026720E" w:rsidRDefault="00C04E73" w:rsidP="00C04E73">
      <w:pPr>
        <w:ind w:firstLine="567"/>
        <w:jc w:val="both"/>
        <w:rPr>
          <w:rFonts w:ascii="Arial" w:eastAsia="Times New Roman" w:hAnsi="Arial" w:cs="Arial"/>
        </w:rPr>
      </w:pPr>
      <w:r w:rsidRPr="0026720E">
        <w:rPr>
          <w:rFonts w:ascii="Arial" w:eastAsia="Times New Roman" w:hAnsi="Arial" w:cs="Arial"/>
        </w:rPr>
        <w:t xml:space="preserve">Finalmente, el voltaje de salida </w:t>
      </w:r>
      <w:r w:rsidRPr="0026720E">
        <w:rPr>
          <w:rFonts w:eastAsia="Times New Roman"/>
          <w:i/>
        </w:rPr>
        <w:t>V</w:t>
      </w:r>
      <w:r w:rsidRPr="0026720E">
        <w:rPr>
          <w:rFonts w:eastAsia="Times New Roman"/>
          <w:i/>
          <w:vertAlign w:val="subscript"/>
        </w:rPr>
        <w:t>fcd</w:t>
      </w:r>
      <w:r w:rsidRPr="0026720E">
        <w:rPr>
          <w:rFonts w:ascii="Arial" w:eastAsia="Times New Roman" w:hAnsi="Arial" w:cs="Arial"/>
        </w:rPr>
        <w:t xml:space="preserve"> se calcula como el valor medio del voltaje de salida del DMS </w:t>
      </w:r>
      <w:r w:rsidRPr="0026720E">
        <w:rPr>
          <w:rFonts w:eastAsia="Times New Roman"/>
          <w:i/>
        </w:rPr>
        <w:t>V</w:t>
      </w:r>
      <w:r w:rsidRPr="0026720E">
        <w:rPr>
          <w:rFonts w:eastAsia="Times New Roman"/>
          <w:i/>
          <w:vertAlign w:val="subscript"/>
        </w:rPr>
        <w:t>s3f</w:t>
      </w:r>
      <w:r w:rsidRPr="0026720E">
        <w:rPr>
          <w:rFonts w:ascii="Arial" w:eastAsia="Times New Roman" w:hAnsi="Arial" w:cs="Arial"/>
          <w:iCs/>
        </w:rPr>
        <w:t>, y se representa</w:t>
      </w:r>
      <w:r w:rsidRPr="0026720E">
        <w:rPr>
          <w:rFonts w:ascii="Arial" w:eastAsia="Times New Roman" w:hAnsi="Arial" w:cs="Arial"/>
        </w:rPr>
        <w:t xml:space="preserve"> con la siguiente expresión,</w:t>
      </w:r>
    </w:p>
    <w:p w:rsidR="00C04E73" w:rsidRPr="0026720E" w:rsidRDefault="00C04E73" w:rsidP="00C04E73">
      <w:pPr>
        <w:ind w:firstLine="567"/>
        <w:jc w:val="both"/>
        <w:rPr>
          <w:rFonts w:ascii="Arial" w:eastAsia="Times New Roman" w:hAnsi="Arial" w:cs="Arial"/>
        </w:rPr>
      </w:pPr>
    </w:p>
    <w:p w:rsidR="00C04E73" w:rsidRPr="0026720E" w:rsidRDefault="001345E4" w:rsidP="00C04E73">
      <w:pPr>
        <w:ind w:firstLine="567"/>
        <w:jc w:val="right"/>
        <w:rPr>
          <w:rFonts w:ascii="Arial" w:eastAsia="Times New Roman" w:hAnsi="Arial" w:cs="Arial"/>
        </w:rPr>
      </w:pPr>
      <m:oMath>
        <m:sSub>
          <m:sSubPr>
            <m:ctrlPr>
              <w:rPr>
                <w:rFonts w:ascii="Cambria Math" w:eastAsia="Times New Roman" w:hAnsi="Cambria Math"/>
                <w:i/>
                <w:sz w:val="22"/>
                <w:szCs w:val="22"/>
              </w:rPr>
            </m:ctrlPr>
          </m:sSubPr>
          <m:e>
            <m:r>
              <w:rPr>
                <w:rFonts w:ascii="Cambria Math" w:eastAsia="Times New Roman" w:hAnsi="Cambria Math"/>
                <w:sz w:val="22"/>
                <w:szCs w:val="22"/>
              </w:rPr>
              <m:t>V</m:t>
            </m:r>
          </m:e>
          <m:sub>
            <m:r>
              <w:rPr>
                <w:rFonts w:ascii="Cambria Math" w:eastAsia="Times New Roman" w:hAnsi="Cambria Math"/>
                <w:sz w:val="22"/>
                <w:szCs w:val="22"/>
              </w:rPr>
              <m:t>fcd</m:t>
            </m:r>
          </m:sub>
        </m:sSub>
        <m:r>
          <w:rPr>
            <w:rFonts w:ascii="Cambria Math" w:eastAsia="Times New Roman" w:hAnsi="Cambria Math"/>
            <w:sz w:val="22"/>
            <w:szCs w:val="22"/>
          </w:rPr>
          <m:t>=</m:t>
        </m:r>
        <m:f>
          <m:fPr>
            <m:ctrlPr>
              <w:rPr>
                <w:rFonts w:ascii="Cambria Math" w:eastAsia="Times New Roman" w:hAnsi="Cambria Math"/>
                <w:i/>
                <w:sz w:val="22"/>
                <w:szCs w:val="22"/>
              </w:rPr>
            </m:ctrlPr>
          </m:fPr>
          <m:num>
            <m:sSub>
              <m:sSubPr>
                <m:ctrlPr>
                  <w:rPr>
                    <w:rFonts w:ascii="Cambria Math" w:eastAsia="Times New Roman" w:hAnsi="Cambria Math"/>
                    <w:i/>
                    <w:sz w:val="22"/>
                    <w:szCs w:val="22"/>
                  </w:rPr>
                </m:ctrlPr>
              </m:sSubPr>
              <m:e>
                <m:r>
                  <w:rPr>
                    <w:rFonts w:ascii="Cambria Math" w:eastAsia="Times New Roman" w:hAnsi="Cambria Math"/>
                    <w:sz w:val="22"/>
                    <w:szCs w:val="22"/>
                  </w:rPr>
                  <m:t>G</m:t>
                </m:r>
              </m:e>
              <m:sub>
                <m:r>
                  <w:rPr>
                    <w:rFonts w:ascii="Cambria Math" w:eastAsia="Times New Roman" w:hAnsi="Cambria Math"/>
                    <w:sz w:val="22"/>
                    <w:szCs w:val="22"/>
                  </w:rPr>
                  <m:t>D</m:t>
                </m:r>
              </m:sub>
            </m:sSub>
          </m:num>
          <m:den>
            <m:r>
              <w:rPr>
                <w:rFonts w:ascii="Cambria Math" w:eastAsia="Times New Roman" w:hAnsi="Cambria Math"/>
                <w:sz w:val="22"/>
                <w:szCs w:val="22"/>
              </w:rPr>
              <m:t>2π</m:t>
            </m:r>
          </m:den>
        </m:f>
        <m:d>
          <m:dPr>
            <m:begChr m:val="["/>
            <m:endChr m:val="]"/>
            <m:ctrlPr>
              <w:rPr>
                <w:rFonts w:ascii="Cambria Math" w:eastAsia="Times New Roman" w:hAnsi="Cambria Math"/>
                <w:i/>
                <w:sz w:val="22"/>
                <w:szCs w:val="22"/>
              </w:rPr>
            </m:ctrlPr>
          </m:dPr>
          <m:e>
            <m:nary>
              <m:naryPr>
                <m:limLoc m:val="subSup"/>
                <m:ctrlPr>
                  <w:rPr>
                    <w:rFonts w:ascii="Cambria Math" w:eastAsia="Times New Roman" w:hAnsi="Cambria Math"/>
                    <w:i/>
                    <w:sz w:val="22"/>
                    <w:szCs w:val="22"/>
                  </w:rPr>
                </m:ctrlPr>
              </m:naryPr>
              <m:sub>
                <m:r>
                  <w:rPr>
                    <w:rFonts w:ascii="Cambria Math" w:eastAsia="Times New Roman" w:hAnsi="Cambria Math"/>
                    <w:sz w:val="22"/>
                    <w:szCs w:val="22"/>
                  </w:rPr>
                  <m:t>0</m:t>
                </m:r>
              </m:sub>
              <m:sup>
                <m:r>
                  <w:rPr>
                    <w:rFonts w:ascii="Cambria Math" w:eastAsia="Times New Roman" w:hAnsi="Cambria Math"/>
                    <w:sz w:val="22"/>
                    <w:szCs w:val="22"/>
                  </w:rPr>
                  <m:t>π</m:t>
                </m:r>
              </m:sup>
              <m:e>
                <m:r>
                  <w:rPr>
                    <w:rFonts w:ascii="Cambria Math" w:eastAsia="Times New Roman" w:hAnsi="Cambria Math"/>
                    <w:sz w:val="22"/>
                    <w:szCs w:val="22"/>
                  </w:rPr>
                  <m:t>Asen</m:t>
                </m:r>
                <m:d>
                  <m:dPr>
                    <m:ctrlPr>
                      <w:rPr>
                        <w:rFonts w:ascii="Cambria Math" w:eastAsia="Times New Roman" w:hAnsi="Cambria Math"/>
                        <w:i/>
                        <w:sz w:val="22"/>
                        <w:szCs w:val="22"/>
                      </w:rPr>
                    </m:ctrlPr>
                  </m:dPr>
                  <m:e>
                    <m:r>
                      <w:rPr>
                        <w:rFonts w:ascii="Cambria Math" w:eastAsia="Times New Roman" w:hAnsi="Cambria Math"/>
                        <w:sz w:val="22"/>
                        <w:szCs w:val="22"/>
                      </w:rPr>
                      <m:t>ωt+∅</m:t>
                    </m:r>
                  </m:e>
                </m:d>
                <m:r>
                  <w:rPr>
                    <w:rFonts w:ascii="Cambria Math" w:eastAsia="Times New Roman" w:hAnsi="Cambria Math"/>
                    <w:sz w:val="22"/>
                    <w:szCs w:val="22"/>
                  </w:rPr>
                  <m:t>dωt-</m:t>
                </m:r>
                <m:nary>
                  <m:naryPr>
                    <m:limLoc m:val="subSup"/>
                    <m:ctrlPr>
                      <w:rPr>
                        <w:rFonts w:ascii="Cambria Math" w:eastAsia="Times New Roman" w:hAnsi="Cambria Math"/>
                        <w:i/>
                        <w:sz w:val="22"/>
                        <w:szCs w:val="22"/>
                      </w:rPr>
                    </m:ctrlPr>
                  </m:naryPr>
                  <m:sub>
                    <m:r>
                      <w:rPr>
                        <w:rFonts w:ascii="Cambria Math" w:eastAsia="Times New Roman" w:hAnsi="Cambria Math"/>
                        <w:sz w:val="22"/>
                        <w:szCs w:val="22"/>
                      </w:rPr>
                      <m:t>π</m:t>
                    </m:r>
                  </m:sub>
                  <m:sup>
                    <m:r>
                      <w:rPr>
                        <w:rFonts w:ascii="Cambria Math" w:eastAsia="Times New Roman" w:hAnsi="Cambria Math"/>
                        <w:sz w:val="22"/>
                        <w:szCs w:val="22"/>
                      </w:rPr>
                      <m:t>2π</m:t>
                    </m:r>
                  </m:sup>
                  <m:e>
                    <m:r>
                      <w:rPr>
                        <w:rFonts w:ascii="Cambria Math" w:eastAsia="Times New Roman" w:hAnsi="Cambria Math"/>
                        <w:sz w:val="22"/>
                        <w:szCs w:val="22"/>
                      </w:rPr>
                      <m:t>Asen</m:t>
                    </m:r>
                    <m:d>
                      <m:dPr>
                        <m:ctrlPr>
                          <w:rPr>
                            <w:rFonts w:ascii="Cambria Math" w:eastAsia="Times New Roman" w:hAnsi="Cambria Math"/>
                            <w:i/>
                            <w:sz w:val="22"/>
                            <w:szCs w:val="22"/>
                          </w:rPr>
                        </m:ctrlPr>
                      </m:dPr>
                      <m:e>
                        <m:r>
                          <w:rPr>
                            <w:rFonts w:ascii="Cambria Math" w:eastAsia="Times New Roman" w:hAnsi="Cambria Math"/>
                            <w:sz w:val="22"/>
                            <w:szCs w:val="22"/>
                          </w:rPr>
                          <m:t>ωt+∅</m:t>
                        </m:r>
                      </m:e>
                    </m:d>
                    <m:r>
                      <w:rPr>
                        <w:rFonts w:ascii="Cambria Math" w:eastAsia="Times New Roman" w:hAnsi="Cambria Math"/>
                        <w:sz w:val="22"/>
                        <w:szCs w:val="22"/>
                      </w:rPr>
                      <m:t>dωt</m:t>
                    </m:r>
                  </m:e>
                </m:nary>
              </m:e>
            </m:nary>
          </m:e>
        </m:d>
        <m:r>
          <w:rPr>
            <w:rFonts w:ascii="Cambria Math" w:eastAsia="Times New Roman" w:hAnsi="Cambria Math"/>
            <w:sz w:val="22"/>
            <w:szCs w:val="22"/>
          </w:rPr>
          <m:t>=</m:t>
        </m:r>
        <m:sSub>
          <m:sSubPr>
            <m:ctrlPr>
              <w:rPr>
                <w:rFonts w:ascii="Cambria Math" w:eastAsia="Times New Roman" w:hAnsi="Cambria Math"/>
                <w:i/>
                <w:sz w:val="22"/>
                <w:szCs w:val="22"/>
              </w:rPr>
            </m:ctrlPr>
          </m:sSubPr>
          <m:e>
            <m:r>
              <w:rPr>
                <w:rFonts w:ascii="Cambria Math" w:eastAsia="Times New Roman" w:hAnsi="Cambria Math"/>
                <w:sz w:val="22"/>
                <w:szCs w:val="22"/>
              </w:rPr>
              <m:t>G</m:t>
            </m:r>
          </m:e>
          <m:sub>
            <m:r>
              <w:rPr>
                <w:rFonts w:ascii="Cambria Math" w:eastAsia="Times New Roman" w:hAnsi="Cambria Math"/>
                <w:sz w:val="22"/>
                <w:szCs w:val="22"/>
              </w:rPr>
              <m:t>1</m:t>
            </m:r>
          </m:sub>
        </m:sSub>
        <m:sSub>
          <m:sSubPr>
            <m:ctrlPr>
              <w:rPr>
                <w:rFonts w:ascii="Cambria Math" w:eastAsia="Times New Roman" w:hAnsi="Cambria Math"/>
                <w:i/>
                <w:sz w:val="22"/>
                <w:szCs w:val="22"/>
              </w:rPr>
            </m:ctrlPr>
          </m:sSubPr>
          <m:e>
            <m:r>
              <w:rPr>
                <w:rFonts w:ascii="Cambria Math" w:eastAsia="Times New Roman" w:hAnsi="Cambria Math"/>
                <w:sz w:val="22"/>
                <w:szCs w:val="22"/>
              </w:rPr>
              <m:t>G</m:t>
            </m:r>
          </m:e>
          <m:sub>
            <m:r>
              <w:rPr>
                <w:rFonts w:ascii="Cambria Math" w:eastAsia="Times New Roman" w:hAnsi="Cambria Math"/>
                <w:sz w:val="22"/>
                <w:szCs w:val="22"/>
              </w:rPr>
              <m:t>2</m:t>
            </m:r>
          </m:sub>
        </m:sSub>
        <m:d>
          <m:dPr>
            <m:ctrlPr>
              <w:rPr>
                <w:rFonts w:ascii="Cambria Math" w:eastAsia="Times New Roman" w:hAnsi="Cambria Math"/>
                <w:i/>
                <w:sz w:val="22"/>
                <w:szCs w:val="22"/>
              </w:rPr>
            </m:ctrlPr>
          </m:dPr>
          <m:e>
            <m:f>
              <m:fPr>
                <m:ctrlPr>
                  <w:rPr>
                    <w:rFonts w:ascii="Cambria Math" w:eastAsia="Times New Roman" w:hAnsi="Cambria Math"/>
                    <w:i/>
                    <w:sz w:val="22"/>
                    <w:szCs w:val="22"/>
                  </w:rPr>
                </m:ctrlPr>
              </m:fPr>
              <m:num>
                <m:r>
                  <w:rPr>
                    <w:rFonts w:ascii="Cambria Math" w:eastAsia="Times New Roman" w:hAnsi="Cambria Math"/>
                    <w:sz w:val="22"/>
                    <w:szCs w:val="22"/>
                  </w:rPr>
                  <m:t>2A</m:t>
                </m:r>
              </m:num>
              <m:den>
                <m:r>
                  <w:rPr>
                    <w:rFonts w:ascii="Cambria Math" w:eastAsia="Times New Roman" w:hAnsi="Cambria Math"/>
                    <w:sz w:val="22"/>
                    <w:szCs w:val="22"/>
                  </w:rPr>
                  <m:t>π</m:t>
                </m:r>
              </m:den>
            </m:f>
          </m:e>
        </m:d>
        <m:func>
          <m:funcPr>
            <m:ctrlPr>
              <w:rPr>
                <w:rFonts w:ascii="Cambria Math" w:eastAsia="Times New Roman" w:hAnsi="Cambria Math"/>
                <w:i/>
                <w:sz w:val="22"/>
                <w:szCs w:val="22"/>
              </w:rPr>
            </m:ctrlPr>
          </m:funcPr>
          <m:fName>
            <m:r>
              <m:rPr>
                <m:sty m:val="p"/>
              </m:rPr>
              <w:rPr>
                <w:rFonts w:ascii="Cambria Math" w:eastAsia="Times New Roman" w:hAnsi="Cambria Math"/>
                <w:sz w:val="22"/>
                <w:szCs w:val="22"/>
              </w:rPr>
              <m:t>cos</m:t>
            </m:r>
          </m:fName>
          <m:e>
            <m:r>
              <w:rPr>
                <w:rFonts w:ascii="Cambria Math" w:eastAsia="Times New Roman" w:hAnsi="Cambria Math"/>
                <w:sz w:val="22"/>
                <w:szCs w:val="22"/>
              </w:rPr>
              <m:t>∅</m:t>
            </m:r>
          </m:e>
        </m:func>
      </m:oMath>
      <w:r w:rsidR="00C04E73" w:rsidRPr="0026720E">
        <w:rPr>
          <w:rFonts w:ascii="Arial" w:eastAsia="Times New Roman" w:hAnsi="Arial" w:cs="Arial"/>
        </w:rPr>
        <w:t xml:space="preserve"> </w:t>
      </w:r>
      <w:r w:rsidR="00C04E73">
        <w:rPr>
          <w:rFonts w:ascii="Arial" w:eastAsia="Times New Roman" w:hAnsi="Arial" w:cs="Arial"/>
        </w:rPr>
        <w:t>.</w:t>
      </w:r>
      <w:r w:rsidR="00C04E73" w:rsidRPr="0026720E">
        <w:rPr>
          <w:rFonts w:ascii="Arial" w:eastAsia="Times New Roman" w:hAnsi="Arial" w:cs="Arial"/>
        </w:rPr>
        <w:t xml:space="preserve">           (7)</w:t>
      </w:r>
    </w:p>
    <w:p w:rsidR="00C04E73" w:rsidRPr="0026720E" w:rsidRDefault="00C04E73" w:rsidP="00C04E73">
      <w:pPr>
        <w:ind w:firstLine="567"/>
        <w:jc w:val="both"/>
        <w:rPr>
          <w:rFonts w:ascii="Arial" w:eastAsia="Times New Roman" w:hAnsi="Arial" w:cs="Arial"/>
        </w:rPr>
      </w:pPr>
    </w:p>
    <w:p w:rsidR="00C04E73" w:rsidRPr="0026720E" w:rsidRDefault="00C04E73" w:rsidP="00C04E73">
      <w:pPr>
        <w:ind w:firstLine="567"/>
        <w:jc w:val="both"/>
        <w:rPr>
          <w:rFonts w:ascii="Arial" w:eastAsia="Times New Roman" w:hAnsi="Arial" w:cs="Arial"/>
        </w:rPr>
      </w:pPr>
      <w:r w:rsidRPr="0026720E">
        <w:rPr>
          <w:rFonts w:ascii="Arial" w:eastAsia="Times New Roman" w:hAnsi="Arial" w:cs="Arial"/>
        </w:rPr>
        <w:t xml:space="preserve">Como se puede observar el resultado representa un voltaje de corriente directa </w:t>
      </w:r>
      <w:bookmarkStart w:id="424" w:name="_Hlk34219701"/>
      <w:r w:rsidRPr="0026720E">
        <w:rPr>
          <w:rFonts w:eastAsia="Times New Roman"/>
          <w:i/>
        </w:rPr>
        <w:t>V</w:t>
      </w:r>
      <w:r w:rsidRPr="0026720E">
        <w:rPr>
          <w:rFonts w:eastAsia="Times New Roman"/>
          <w:i/>
          <w:vertAlign w:val="subscript"/>
        </w:rPr>
        <w:t>fcd</w:t>
      </w:r>
      <w:bookmarkEnd w:id="424"/>
      <w:r w:rsidRPr="0026720E">
        <w:rPr>
          <w:rFonts w:ascii="Arial" w:eastAsia="Times New Roman" w:hAnsi="Arial" w:cs="Arial"/>
        </w:rPr>
        <w:t xml:space="preserve"> a la salida de la etapa de filtrado que se encuentra en función del ángulo </w:t>
      </w:r>
      <w:r w:rsidRPr="0026720E">
        <w:rPr>
          <w:rFonts w:eastAsia="Times New Roman"/>
          <w:i/>
        </w:rPr>
        <w:t>Φ</w:t>
      </w:r>
      <w:r w:rsidRPr="0026720E">
        <w:rPr>
          <w:rFonts w:ascii="Arial" w:eastAsia="Times New Roman" w:hAnsi="Arial" w:cs="Arial"/>
          <w:i/>
        </w:rPr>
        <w:t>,</w:t>
      </w:r>
      <w:r w:rsidRPr="0026720E">
        <w:rPr>
          <w:rFonts w:ascii="Arial" w:eastAsia="Times New Roman" w:hAnsi="Arial" w:cs="Arial"/>
        </w:rPr>
        <w:t xml:space="preserve"> de la amplitud </w:t>
      </w:r>
      <w:r w:rsidRPr="00F91885">
        <w:rPr>
          <w:rFonts w:eastAsia="Times New Roman"/>
          <w:i/>
        </w:rPr>
        <w:t>A</w:t>
      </w:r>
      <w:r w:rsidRPr="0026720E">
        <w:rPr>
          <w:rFonts w:ascii="Arial" w:eastAsia="Times New Roman" w:hAnsi="Arial" w:cs="Arial"/>
        </w:rPr>
        <w:t xml:space="preserve"> de la señal </w:t>
      </w:r>
      <w:r w:rsidRPr="0026720E">
        <w:rPr>
          <w:rFonts w:eastAsia="Times New Roman"/>
          <w:i/>
        </w:rPr>
        <w:t>V</w:t>
      </w:r>
      <w:r w:rsidRPr="0026720E">
        <w:rPr>
          <w:rFonts w:eastAsia="Times New Roman"/>
          <w:i/>
          <w:vertAlign w:val="subscript"/>
        </w:rPr>
        <w:t>es</w:t>
      </w:r>
      <w:r w:rsidRPr="0026720E">
        <w:rPr>
          <w:rFonts w:ascii="Arial" w:eastAsia="Times New Roman" w:hAnsi="Arial" w:cs="Arial"/>
        </w:rPr>
        <w:t xml:space="preserve">, de las ganancias respectivas de cada etapa de amplificación </w:t>
      </w:r>
      <w:r w:rsidRPr="0026720E">
        <w:rPr>
          <w:rFonts w:eastAsia="Times New Roman"/>
          <w:i/>
        </w:rPr>
        <w:t>G</w:t>
      </w:r>
      <w:r w:rsidRPr="0026720E">
        <w:rPr>
          <w:rFonts w:eastAsia="Times New Roman"/>
          <w:i/>
          <w:vertAlign w:val="subscript"/>
        </w:rPr>
        <w:t>1</w:t>
      </w:r>
      <w:r w:rsidRPr="0026720E">
        <w:rPr>
          <w:rFonts w:ascii="Arial" w:eastAsia="Times New Roman" w:hAnsi="Arial" w:cs="Arial"/>
          <w:i/>
          <w:vertAlign w:val="subscript"/>
        </w:rPr>
        <w:t xml:space="preserve"> </w:t>
      </w:r>
      <w:r w:rsidRPr="0026720E">
        <w:rPr>
          <w:rFonts w:ascii="Arial" w:eastAsia="Times New Roman" w:hAnsi="Arial" w:cs="Arial"/>
        </w:rPr>
        <w:t xml:space="preserve">y </w:t>
      </w:r>
      <w:r w:rsidRPr="0026720E">
        <w:rPr>
          <w:rFonts w:eastAsia="Times New Roman"/>
          <w:i/>
        </w:rPr>
        <w:t>G</w:t>
      </w:r>
      <w:r w:rsidRPr="0026720E">
        <w:rPr>
          <w:rFonts w:eastAsia="Times New Roman"/>
          <w:i/>
          <w:vertAlign w:val="subscript"/>
        </w:rPr>
        <w:t>2</w:t>
      </w:r>
      <w:r w:rsidRPr="0026720E">
        <w:rPr>
          <w:rFonts w:ascii="Arial" w:eastAsia="Times New Roman" w:hAnsi="Arial" w:cs="Arial"/>
          <w:iCs/>
        </w:rPr>
        <w:t xml:space="preserve"> y</w:t>
      </w:r>
      <w:r w:rsidRPr="0026720E">
        <w:rPr>
          <w:rFonts w:ascii="Arial" w:eastAsia="Times New Roman" w:hAnsi="Arial" w:cs="Arial"/>
        </w:rPr>
        <w:t xml:space="preserve"> de las ganancias unitarias de las etapas de demodulación síncrona y de filtrado paso bajo. </w:t>
      </w:r>
      <w:bookmarkStart w:id="425" w:name="_Hlk34076570"/>
      <w:r w:rsidRPr="0026720E">
        <w:rPr>
          <w:rFonts w:ascii="Arial" w:eastAsia="Times New Roman" w:hAnsi="Arial" w:cs="Arial"/>
        </w:rPr>
        <w:t xml:space="preserve">Sustituyendo </w:t>
      </w:r>
      <w:r w:rsidRPr="0026720E">
        <w:rPr>
          <w:rFonts w:eastAsia="Times New Roman"/>
          <w:i/>
        </w:rPr>
        <w:t>R</w:t>
      </w:r>
      <w:r w:rsidRPr="0026720E">
        <w:rPr>
          <w:rFonts w:ascii="Arial" w:eastAsia="Times New Roman" w:hAnsi="Arial" w:cs="Arial"/>
        </w:rPr>
        <w:t xml:space="preserve"> y </w:t>
      </w:r>
      <w:r w:rsidRPr="0026720E">
        <w:rPr>
          <w:rFonts w:eastAsia="Times New Roman"/>
          <w:i/>
        </w:rPr>
        <w:t>R</w:t>
      </w:r>
      <w:r w:rsidRPr="0026720E">
        <w:rPr>
          <w:rFonts w:eastAsia="Times New Roman"/>
          <w:i/>
          <w:vertAlign w:val="subscript"/>
        </w:rPr>
        <w:t>1</w:t>
      </w:r>
      <w:r w:rsidRPr="0026720E">
        <w:rPr>
          <w:rFonts w:ascii="Arial" w:eastAsia="Times New Roman" w:hAnsi="Arial" w:cs="Arial"/>
        </w:rPr>
        <w:t xml:space="preserve"> en las ganancias de la componente resistiva de la ecuación (1) en la ecuación (7) se obtiene la siguiente expresión,</w:t>
      </w:r>
    </w:p>
    <w:p w:rsidR="00C04E73" w:rsidRPr="0026720E" w:rsidRDefault="00C04E73" w:rsidP="00C04E73">
      <w:pPr>
        <w:ind w:firstLine="567"/>
        <w:jc w:val="both"/>
        <w:rPr>
          <w:rFonts w:ascii="Arial" w:eastAsia="Times New Roman" w:hAnsi="Arial" w:cs="Arial"/>
        </w:rPr>
      </w:pPr>
      <w:r w:rsidRPr="0026720E">
        <w:rPr>
          <w:rFonts w:ascii="Arial" w:eastAsia="Times New Roman" w:hAnsi="Arial" w:cs="Arial"/>
        </w:rPr>
        <w:t xml:space="preserve"> </w:t>
      </w:r>
    </w:p>
    <w:bookmarkEnd w:id="425"/>
    <w:p w:rsidR="00C04E73" w:rsidRPr="0026720E" w:rsidRDefault="00C04E73" w:rsidP="00C04E73">
      <w:pPr>
        <w:ind w:firstLine="567"/>
        <w:jc w:val="right"/>
        <w:rPr>
          <w:rFonts w:ascii="Arial" w:eastAsia="Times New Roman" w:hAnsi="Arial" w:cs="Arial"/>
        </w:rPr>
      </w:pPr>
      <w:r>
        <w:rPr>
          <w:rFonts w:ascii="Arial" w:eastAsia="Times New Roman" w:hAnsi="Arial" w:cs="Arial"/>
        </w:rPr>
        <w:t xml:space="preserve">    </w:t>
      </w:r>
      <m:oMath>
        <m:sSub>
          <m:sSubPr>
            <m:ctrlPr>
              <w:rPr>
                <w:rFonts w:ascii="Cambria Math" w:eastAsia="Times New Roman" w:hAnsi="Cambria Math"/>
                <w:i/>
                <w:sz w:val="22"/>
                <w:szCs w:val="22"/>
              </w:rPr>
            </m:ctrlPr>
          </m:sSubPr>
          <m:e>
            <m:r>
              <w:rPr>
                <w:rFonts w:ascii="Cambria Math" w:eastAsia="Times New Roman" w:hAnsi="Cambria Math"/>
                <w:sz w:val="22"/>
                <w:szCs w:val="22"/>
              </w:rPr>
              <m:t>V</m:t>
            </m:r>
          </m:e>
          <m:sub>
            <m:r>
              <w:rPr>
                <w:rFonts w:ascii="Cambria Math" w:eastAsia="Times New Roman" w:hAnsi="Cambria Math"/>
                <w:sz w:val="22"/>
                <w:szCs w:val="22"/>
              </w:rPr>
              <m:t>fcd</m:t>
            </m:r>
          </m:sub>
        </m:sSub>
        <m:r>
          <w:rPr>
            <w:rFonts w:ascii="Cambria Math" w:eastAsia="Times New Roman" w:hAnsi="Cambria Math"/>
            <w:sz w:val="22"/>
            <w:szCs w:val="22"/>
          </w:rPr>
          <m:t>=</m:t>
        </m:r>
        <m:f>
          <m:fPr>
            <m:ctrlPr>
              <w:rPr>
                <w:rFonts w:ascii="Cambria Math" w:eastAsia="Times New Roman" w:hAnsi="Cambria Math"/>
                <w:i/>
                <w:sz w:val="22"/>
                <w:szCs w:val="22"/>
              </w:rPr>
            </m:ctrlPr>
          </m:fPr>
          <m:num>
            <m:sSub>
              <m:sSubPr>
                <m:ctrlPr>
                  <w:rPr>
                    <w:rFonts w:ascii="Cambria Math" w:eastAsia="Times New Roman" w:hAnsi="Cambria Math"/>
                    <w:i/>
                    <w:sz w:val="22"/>
                    <w:szCs w:val="22"/>
                  </w:rPr>
                </m:ctrlPr>
              </m:sSubPr>
              <m:e>
                <m:r>
                  <w:rPr>
                    <w:rFonts w:ascii="Cambria Math" w:eastAsia="Times New Roman" w:hAnsi="Cambria Math"/>
                    <w:sz w:val="22"/>
                    <w:szCs w:val="22"/>
                  </w:rPr>
                  <m:t>R</m:t>
                </m:r>
              </m:e>
              <m:sub>
                <m:r>
                  <w:rPr>
                    <w:rFonts w:ascii="Cambria Math" w:eastAsia="Times New Roman" w:hAnsi="Cambria Math"/>
                    <w:sz w:val="22"/>
                    <w:szCs w:val="22"/>
                  </w:rPr>
                  <m:t>1</m:t>
                </m:r>
              </m:sub>
            </m:sSub>
          </m:num>
          <m:den>
            <m:r>
              <w:rPr>
                <w:rFonts w:ascii="Cambria Math" w:eastAsia="Times New Roman" w:hAnsi="Cambria Math"/>
                <w:sz w:val="22"/>
                <w:szCs w:val="22"/>
              </w:rPr>
              <m:t>R</m:t>
            </m:r>
          </m:den>
        </m:f>
        <m:d>
          <m:dPr>
            <m:ctrlPr>
              <w:rPr>
                <w:rFonts w:ascii="Cambria Math" w:eastAsia="Times New Roman" w:hAnsi="Cambria Math"/>
                <w:i/>
                <w:sz w:val="22"/>
                <w:szCs w:val="22"/>
              </w:rPr>
            </m:ctrlPr>
          </m:dPr>
          <m:e>
            <m:f>
              <m:fPr>
                <m:ctrlPr>
                  <w:rPr>
                    <w:rFonts w:ascii="Cambria Math" w:eastAsia="Times New Roman" w:hAnsi="Cambria Math"/>
                    <w:i/>
                    <w:sz w:val="22"/>
                    <w:szCs w:val="22"/>
                  </w:rPr>
                </m:ctrlPr>
              </m:fPr>
              <m:num>
                <m:r>
                  <w:rPr>
                    <w:rFonts w:ascii="Cambria Math" w:eastAsia="Times New Roman" w:hAnsi="Cambria Math"/>
                    <w:sz w:val="22"/>
                    <w:szCs w:val="22"/>
                  </w:rPr>
                  <m:t>2A</m:t>
                </m:r>
              </m:num>
              <m:den>
                <m:r>
                  <w:rPr>
                    <w:rFonts w:ascii="Cambria Math" w:eastAsia="Times New Roman" w:hAnsi="Cambria Math"/>
                    <w:sz w:val="22"/>
                    <w:szCs w:val="22"/>
                  </w:rPr>
                  <m:t>π</m:t>
                </m:r>
              </m:den>
            </m:f>
          </m:e>
        </m:d>
        <m:func>
          <m:funcPr>
            <m:ctrlPr>
              <w:rPr>
                <w:rFonts w:ascii="Cambria Math" w:eastAsia="Times New Roman" w:hAnsi="Cambria Math"/>
                <w:i/>
                <w:sz w:val="22"/>
                <w:szCs w:val="22"/>
              </w:rPr>
            </m:ctrlPr>
          </m:funcPr>
          <m:fName>
            <m:r>
              <m:rPr>
                <m:sty m:val="p"/>
              </m:rPr>
              <w:rPr>
                <w:rFonts w:ascii="Cambria Math" w:eastAsia="Times New Roman" w:hAnsi="Cambria Math"/>
                <w:sz w:val="22"/>
                <w:szCs w:val="22"/>
              </w:rPr>
              <m:t>cos</m:t>
            </m:r>
          </m:fName>
          <m:e>
            <m:r>
              <w:rPr>
                <w:rFonts w:ascii="Cambria Math" w:eastAsia="Times New Roman" w:hAnsi="Cambria Math"/>
                <w:sz w:val="22"/>
                <w:szCs w:val="22"/>
              </w:rPr>
              <m:t>∅</m:t>
            </m:r>
          </m:e>
        </m:func>
      </m:oMath>
      <w:r w:rsidRPr="0026720E">
        <w:rPr>
          <w:rFonts w:ascii="Arial" w:eastAsia="Times New Roman" w:hAnsi="Arial" w:cs="Arial"/>
        </w:rPr>
        <w:t xml:space="preserve"> </w:t>
      </w:r>
      <w:r>
        <w:rPr>
          <w:rFonts w:ascii="Arial" w:eastAsia="Times New Roman" w:hAnsi="Arial" w:cs="Arial"/>
        </w:rPr>
        <w:t>.</w:t>
      </w:r>
      <w:r w:rsidRPr="0026720E">
        <w:rPr>
          <w:rFonts w:ascii="Arial" w:eastAsia="Times New Roman" w:hAnsi="Arial" w:cs="Arial"/>
        </w:rPr>
        <w:t xml:space="preserve">       </w:t>
      </w:r>
      <w:r>
        <w:rPr>
          <w:rFonts w:ascii="Arial" w:eastAsia="Times New Roman" w:hAnsi="Arial" w:cs="Arial"/>
        </w:rPr>
        <w:t xml:space="preserve">           </w:t>
      </w:r>
      <w:r w:rsidRPr="0026720E">
        <w:rPr>
          <w:rFonts w:ascii="Arial" w:eastAsia="Times New Roman" w:hAnsi="Arial" w:cs="Arial"/>
        </w:rPr>
        <w:t xml:space="preserve">                                      (8)</w:t>
      </w:r>
    </w:p>
    <w:p w:rsidR="00C04E73" w:rsidRDefault="00C04E73" w:rsidP="00C04E73">
      <w:pPr>
        <w:ind w:firstLine="567"/>
        <w:jc w:val="both"/>
        <w:rPr>
          <w:rFonts w:ascii="Arial" w:eastAsia="Times New Roman" w:hAnsi="Arial" w:cs="Arial"/>
        </w:rPr>
      </w:pPr>
    </w:p>
    <w:p w:rsidR="00C04E73" w:rsidRPr="0026720E" w:rsidRDefault="00C04E73" w:rsidP="00C04E73">
      <w:pPr>
        <w:ind w:firstLine="567"/>
        <w:jc w:val="both"/>
        <w:rPr>
          <w:rFonts w:ascii="Arial" w:eastAsia="Times New Roman" w:hAnsi="Arial" w:cs="Arial"/>
        </w:rPr>
      </w:pPr>
      <w:r w:rsidRPr="0026720E">
        <w:rPr>
          <w:rFonts w:ascii="Arial" w:eastAsia="Times New Roman" w:hAnsi="Arial" w:cs="Arial"/>
        </w:rPr>
        <w:t xml:space="preserve">La señal de voltaje en fase </w:t>
      </w:r>
      <w:bookmarkStart w:id="426" w:name="_Hlk34224537"/>
      <w:r w:rsidRPr="0026720E">
        <w:rPr>
          <w:rFonts w:ascii="Arial" w:eastAsia="Times New Roman" w:hAnsi="Arial" w:cs="Arial"/>
          <w:i/>
        </w:rPr>
        <w:t>V</w:t>
      </w:r>
      <w:r w:rsidRPr="0026720E">
        <w:rPr>
          <w:rFonts w:ascii="Arial" w:eastAsia="Times New Roman" w:hAnsi="Arial" w:cs="Arial"/>
          <w:i/>
          <w:vertAlign w:val="subscript"/>
        </w:rPr>
        <w:t>fcd</w:t>
      </w:r>
      <w:bookmarkEnd w:id="426"/>
      <w:r w:rsidRPr="0026720E">
        <w:rPr>
          <w:rFonts w:ascii="Arial" w:eastAsia="Times New Roman" w:hAnsi="Arial" w:cs="Arial"/>
        </w:rPr>
        <w:t xml:space="preserve"> de salida del filtro paso bajas representa el voltaje del canal de salida del DSF en fase con un ángulo </w:t>
      </w:r>
      <w:r w:rsidRPr="00F91885">
        <w:rPr>
          <w:rFonts w:eastAsia="Times New Roman"/>
          <w:i/>
        </w:rPr>
        <w:t>Φ = 0º</w:t>
      </w:r>
      <w:r w:rsidRPr="0026720E">
        <w:rPr>
          <w:rFonts w:ascii="Arial" w:eastAsia="Times New Roman" w:hAnsi="Arial" w:cs="Arial"/>
        </w:rPr>
        <w:t xml:space="preserve"> y se muestra en la figura 8 como un voltaje de corriente directa.</w:t>
      </w:r>
    </w:p>
    <w:p w:rsidR="00C04E73" w:rsidRDefault="00C04E73" w:rsidP="00C04E73">
      <w:pPr>
        <w:ind w:firstLine="567"/>
        <w:jc w:val="both"/>
        <w:rPr>
          <w:rFonts w:ascii="Arial" w:eastAsia="Times New Roman" w:hAnsi="Arial" w:cs="Arial"/>
        </w:rPr>
      </w:pPr>
      <w:r>
        <w:rPr>
          <w:noProof/>
          <w:lang w:val="en-US"/>
        </w:rPr>
        <w:drawing>
          <wp:anchor distT="0" distB="0" distL="114300" distR="114300" simplePos="0" relativeHeight="251841536" behindDoc="0" locked="0" layoutInCell="1" allowOverlap="1" wp14:anchorId="0A7AE4E7" wp14:editId="27AC2C24">
            <wp:simplePos x="0" y="0"/>
            <wp:positionH relativeFrom="margin">
              <wp:posOffset>289560</wp:posOffset>
            </wp:positionH>
            <wp:positionV relativeFrom="paragraph">
              <wp:posOffset>74930</wp:posOffset>
            </wp:positionV>
            <wp:extent cx="5400040" cy="1577340"/>
            <wp:effectExtent l="0" t="0" r="0" b="3810"/>
            <wp:wrapThrough wrapText="bothSides">
              <wp:wrapPolygon edited="0">
                <wp:start x="0" y="0"/>
                <wp:lineTo x="0" y="21391"/>
                <wp:lineTo x="21488" y="21391"/>
                <wp:lineTo x="21488" y="0"/>
                <wp:lineTo x="0" y="0"/>
              </wp:wrapPolygon>
            </wp:wrapThrough>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320">
                      <a:extLst>
                        <a:ext uri="{28A0092B-C50C-407E-A947-70E740481C1C}">
                          <a14:useLocalDpi xmlns:a14="http://schemas.microsoft.com/office/drawing/2010/main" val="0"/>
                        </a:ext>
                      </a:extLst>
                    </a:blip>
                    <a:srcRect/>
                    <a:stretch>
                      <a:fillRect/>
                    </a:stretch>
                  </pic:blipFill>
                  <pic:spPr bwMode="auto">
                    <a:xfrm>
                      <a:off x="0" y="0"/>
                      <a:ext cx="5400040" cy="1577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Default="00C04E73" w:rsidP="00C04E73">
      <w:pPr>
        <w:ind w:firstLine="567"/>
        <w:jc w:val="both"/>
        <w:rPr>
          <w:rFonts w:ascii="Arial" w:eastAsia="Times New Roman" w:hAnsi="Arial" w:cs="Arial"/>
        </w:rPr>
      </w:pPr>
    </w:p>
    <w:p w:rsidR="00C04E73" w:rsidRPr="00DA1AC5" w:rsidRDefault="00C04E73" w:rsidP="00C04E73">
      <w:pPr>
        <w:ind w:firstLine="567"/>
        <w:jc w:val="center"/>
        <w:rPr>
          <w:rFonts w:ascii="Arial" w:eastAsia="Times New Roman" w:hAnsi="Arial" w:cs="Arial"/>
          <w:i/>
          <w:sz w:val="20"/>
          <w:szCs w:val="20"/>
        </w:rPr>
      </w:pPr>
      <w:r w:rsidRPr="00DA1AC5">
        <w:rPr>
          <w:rFonts w:ascii="Arial" w:eastAsia="Times New Roman" w:hAnsi="Arial" w:cs="Arial"/>
          <w:i/>
          <w:sz w:val="20"/>
          <w:szCs w:val="20"/>
        </w:rPr>
        <w:t xml:space="preserve">Figura 7. Señal de voltaje </w:t>
      </w:r>
      <w:r w:rsidRPr="00DA1AC5">
        <w:rPr>
          <w:rFonts w:eastAsia="Times New Roman"/>
          <w:i/>
          <w:sz w:val="20"/>
          <w:szCs w:val="20"/>
        </w:rPr>
        <w:t>V</w:t>
      </w:r>
      <w:r w:rsidRPr="00DA1AC5">
        <w:rPr>
          <w:rFonts w:eastAsia="Times New Roman"/>
          <w:i/>
          <w:sz w:val="20"/>
          <w:szCs w:val="20"/>
          <w:vertAlign w:val="subscript"/>
        </w:rPr>
        <w:t>fcd</w:t>
      </w:r>
      <w:r w:rsidRPr="00DA1AC5">
        <w:rPr>
          <w:rFonts w:ascii="Arial" w:eastAsia="Times New Roman" w:hAnsi="Arial" w:cs="Arial"/>
          <w:i/>
          <w:sz w:val="20"/>
          <w:szCs w:val="20"/>
        </w:rPr>
        <w:t xml:space="preserve"> de salida del filtro paso bajas para el canal de demodulación síncrona en fase.</w:t>
      </w:r>
    </w:p>
    <w:p w:rsidR="00C04E73" w:rsidRDefault="00C04E73" w:rsidP="00C04E73">
      <w:pPr>
        <w:ind w:firstLine="567"/>
        <w:jc w:val="both"/>
        <w:rPr>
          <w:rFonts w:eastAsia="Times New Roman"/>
          <w:sz w:val="22"/>
          <w:szCs w:val="22"/>
        </w:rPr>
      </w:pPr>
    </w:p>
    <w:p w:rsidR="00C04E73" w:rsidRPr="00DA1AC5" w:rsidRDefault="00C04E73" w:rsidP="00C04E73">
      <w:pPr>
        <w:ind w:firstLine="567"/>
        <w:jc w:val="both"/>
        <w:rPr>
          <w:rFonts w:ascii="Arial" w:eastAsia="Times New Roman" w:hAnsi="Arial" w:cs="Arial"/>
        </w:rPr>
      </w:pPr>
      <w:r w:rsidRPr="00DA1AC5">
        <w:rPr>
          <w:rFonts w:ascii="Arial" w:eastAsia="Times New Roman" w:hAnsi="Arial" w:cs="Arial"/>
        </w:rPr>
        <w:t xml:space="preserve">El valor de </w:t>
      </w:r>
      <w:r w:rsidRPr="00DA1AC5">
        <w:rPr>
          <w:rFonts w:ascii="Arial" w:eastAsia="Times New Roman" w:hAnsi="Arial" w:cs="Arial"/>
          <w:i/>
        </w:rPr>
        <w:t>R</w:t>
      </w:r>
      <w:r w:rsidRPr="00DA1AC5">
        <w:rPr>
          <w:rFonts w:ascii="Arial" w:eastAsia="Times New Roman" w:hAnsi="Arial" w:cs="Arial"/>
        </w:rPr>
        <w:t xml:space="preserve"> del circuito </w:t>
      </w:r>
      <w:r w:rsidRPr="00DA1AC5">
        <w:rPr>
          <w:rFonts w:ascii="Arial" w:eastAsia="Times New Roman" w:hAnsi="Arial" w:cs="Arial"/>
          <w:i/>
        </w:rPr>
        <w:t>RC</w:t>
      </w:r>
      <w:r w:rsidRPr="00DA1AC5">
        <w:rPr>
          <w:rFonts w:ascii="Arial" w:eastAsia="Times New Roman" w:hAnsi="Arial" w:cs="Arial"/>
        </w:rPr>
        <w:t xml:space="preserve"> se obtiene de la ecuación (8) en función del voltaje </w:t>
      </w:r>
      <w:r w:rsidRPr="00DA1AC5">
        <w:rPr>
          <w:rFonts w:eastAsia="Times New Roman"/>
          <w:i/>
        </w:rPr>
        <w:t>V</w:t>
      </w:r>
      <w:r w:rsidRPr="00DA1AC5">
        <w:rPr>
          <w:rFonts w:eastAsia="Times New Roman"/>
          <w:i/>
          <w:vertAlign w:val="subscript"/>
        </w:rPr>
        <w:t>fcd</w:t>
      </w:r>
      <w:r w:rsidRPr="00DA1AC5">
        <w:rPr>
          <w:rFonts w:ascii="Arial" w:eastAsia="Times New Roman" w:hAnsi="Arial" w:cs="Arial"/>
        </w:rPr>
        <w:t xml:space="preserve"> como,</w:t>
      </w:r>
    </w:p>
    <w:p w:rsidR="00C04E73" w:rsidRPr="00DA1AC5" w:rsidRDefault="00C04E73" w:rsidP="00C04E73">
      <w:pPr>
        <w:ind w:firstLine="567"/>
        <w:jc w:val="both"/>
        <w:rPr>
          <w:rFonts w:ascii="Arial" w:eastAsia="Times New Roman" w:hAnsi="Arial" w:cs="Arial"/>
        </w:rPr>
      </w:pPr>
    </w:p>
    <w:p w:rsidR="00C04E73" w:rsidRPr="00DA1AC5" w:rsidRDefault="00C04E73" w:rsidP="00C04E73">
      <w:pPr>
        <w:ind w:firstLine="567"/>
        <w:jc w:val="right"/>
        <w:rPr>
          <w:rFonts w:ascii="Arial" w:eastAsia="Times New Roman" w:hAnsi="Arial" w:cs="Arial"/>
        </w:rPr>
      </w:pPr>
      <m:oMath>
        <m:r>
          <w:rPr>
            <w:rFonts w:ascii="Cambria Math" w:eastAsia="Times New Roman" w:hAnsi="Cambria Math"/>
            <w:sz w:val="22"/>
            <w:szCs w:val="22"/>
          </w:rPr>
          <m:t>R=</m:t>
        </m:r>
        <m:f>
          <m:fPr>
            <m:ctrlPr>
              <w:rPr>
                <w:rFonts w:ascii="Cambria Math" w:eastAsia="Times New Roman" w:hAnsi="Cambria Math"/>
                <w:i/>
                <w:sz w:val="22"/>
                <w:szCs w:val="22"/>
              </w:rPr>
            </m:ctrlPr>
          </m:fPr>
          <m:num>
            <m:sSub>
              <m:sSubPr>
                <m:ctrlPr>
                  <w:rPr>
                    <w:rFonts w:ascii="Cambria Math" w:eastAsia="Times New Roman" w:hAnsi="Cambria Math"/>
                    <w:i/>
                    <w:sz w:val="22"/>
                    <w:szCs w:val="22"/>
                  </w:rPr>
                </m:ctrlPr>
              </m:sSubPr>
              <m:e>
                <m:r>
                  <w:rPr>
                    <w:rFonts w:ascii="Cambria Math" w:eastAsia="Times New Roman" w:hAnsi="Cambria Math"/>
                    <w:sz w:val="22"/>
                    <w:szCs w:val="22"/>
                  </w:rPr>
                  <m:t>R</m:t>
                </m:r>
              </m:e>
              <m:sub>
                <m:r>
                  <w:rPr>
                    <w:rFonts w:ascii="Cambria Math" w:eastAsia="Times New Roman" w:hAnsi="Cambria Math"/>
                    <w:sz w:val="22"/>
                    <w:szCs w:val="22"/>
                  </w:rPr>
                  <m:t>1</m:t>
                </m:r>
              </m:sub>
            </m:sSub>
          </m:num>
          <m:den>
            <m:sSub>
              <m:sSubPr>
                <m:ctrlPr>
                  <w:rPr>
                    <w:rFonts w:ascii="Cambria Math" w:eastAsia="Times New Roman" w:hAnsi="Cambria Math"/>
                    <w:i/>
                    <w:sz w:val="22"/>
                    <w:szCs w:val="22"/>
                  </w:rPr>
                </m:ctrlPr>
              </m:sSubPr>
              <m:e>
                <m:r>
                  <w:rPr>
                    <w:rFonts w:ascii="Cambria Math" w:eastAsia="Times New Roman" w:hAnsi="Cambria Math"/>
                    <w:sz w:val="22"/>
                    <w:szCs w:val="22"/>
                  </w:rPr>
                  <m:t>V</m:t>
                </m:r>
              </m:e>
              <m:sub>
                <m:r>
                  <w:rPr>
                    <w:rFonts w:ascii="Cambria Math" w:eastAsia="Times New Roman" w:hAnsi="Cambria Math"/>
                    <w:sz w:val="22"/>
                    <w:szCs w:val="22"/>
                  </w:rPr>
                  <m:t>fcd</m:t>
                </m:r>
              </m:sub>
            </m:sSub>
          </m:den>
        </m:f>
        <m:d>
          <m:dPr>
            <m:ctrlPr>
              <w:rPr>
                <w:rFonts w:ascii="Cambria Math" w:eastAsia="Times New Roman" w:hAnsi="Cambria Math"/>
                <w:i/>
                <w:sz w:val="22"/>
                <w:szCs w:val="22"/>
              </w:rPr>
            </m:ctrlPr>
          </m:dPr>
          <m:e>
            <m:f>
              <m:fPr>
                <m:ctrlPr>
                  <w:rPr>
                    <w:rFonts w:ascii="Cambria Math" w:eastAsia="Times New Roman" w:hAnsi="Cambria Math"/>
                    <w:i/>
                    <w:sz w:val="22"/>
                    <w:szCs w:val="22"/>
                  </w:rPr>
                </m:ctrlPr>
              </m:fPr>
              <m:num>
                <m:r>
                  <w:rPr>
                    <w:rFonts w:ascii="Cambria Math" w:eastAsia="Times New Roman" w:hAnsi="Cambria Math"/>
                    <w:sz w:val="22"/>
                    <w:szCs w:val="22"/>
                  </w:rPr>
                  <m:t>2A</m:t>
                </m:r>
              </m:num>
              <m:den>
                <m:r>
                  <w:rPr>
                    <w:rFonts w:ascii="Cambria Math" w:eastAsia="Times New Roman" w:hAnsi="Cambria Math"/>
                    <w:sz w:val="22"/>
                    <w:szCs w:val="22"/>
                  </w:rPr>
                  <m:t>π</m:t>
                </m:r>
              </m:den>
            </m:f>
          </m:e>
        </m:d>
      </m:oMath>
      <w:r w:rsidRPr="00DA1AC5">
        <w:rPr>
          <w:rFonts w:ascii="Arial" w:eastAsia="Times New Roman" w:hAnsi="Arial" w:cs="Arial"/>
        </w:rPr>
        <w:t xml:space="preserve"> </w:t>
      </w:r>
      <w:r>
        <w:rPr>
          <w:rFonts w:ascii="Arial" w:eastAsia="Times New Roman" w:hAnsi="Arial" w:cs="Arial"/>
        </w:rPr>
        <w:t>.</w:t>
      </w:r>
      <w:r w:rsidRPr="00DA1AC5">
        <w:rPr>
          <w:rFonts w:ascii="Arial" w:eastAsia="Times New Roman" w:hAnsi="Arial" w:cs="Arial"/>
        </w:rPr>
        <w:t xml:space="preserve">                                                          (9)</w:t>
      </w:r>
    </w:p>
    <w:p w:rsidR="00C04E73" w:rsidRPr="00DA1AC5" w:rsidRDefault="00C04E73" w:rsidP="00C04E73">
      <w:pPr>
        <w:ind w:firstLine="567"/>
        <w:jc w:val="both"/>
        <w:rPr>
          <w:rFonts w:ascii="Arial" w:eastAsia="Times New Roman" w:hAnsi="Arial" w:cs="Arial"/>
        </w:rPr>
      </w:pPr>
    </w:p>
    <w:p w:rsidR="00C04E73" w:rsidRDefault="00C04E73" w:rsidP="00C04E73">
      <w:pPr>
        <w:jc w:val="both"/>
        <w:rPr>
          <w:rFonts w:ascii="Arial" w:eastAsia="Times New Roman" w:hAnsi="Arial" w:cs="Arial"/>
          <w:i/>
        </w:rPr>
      </w:pPr>
    </w:p>
    <w:p w:rsidR="00C04E73" w:rsidRDefault="00C04E73" w:rsidP="00C04E73">
      <w:pPr>
        <w:jc w:val="both"/>
        <w:rPr>
          <w:rFonts w:ascii="Arial" w:eastAsia="Times New Roman" w:hAnsi="Arial" w:cs="Arial"/>
          <w:i/>
        </w:rPr>
      </w:pPr>
    </w:p>
    <w:p w:rsidR="00C04E73" w:rsidRDefault="00C04E73" w:rsidP="00C04E73">
      <w:pPr>
        <w:jc w:val="both"/>
        <w:rPr>
          <w:rFonts w:ascii="Arial" w:eastAsia="Times New Roman" w:hAnsi="Arial" w:cs="Arial"/>
          <w:i/>
        </w:rPr>
      </w:pPr>
    </w:p>
    <w:p w:rsidR="00C04E73" w:rsidRPr="00DA1AC5" w:rsidRDefault="00C04E73" w:rsidP="00C04E73">
      <w:pPr>
        <w:jc w:val="both"/>
        <w:rPr>
          <w:rFonts w:ascii="Arial" w:eastAsia="Times New Roman" w:hAnsi="Arial" w:cs="Arial"/>
          <w:i/>
        </w:rPr>
      </w:pPr>
      <w:r>
        <w:rPr>
          <w:rFonts w:ascii="Arial" w:eastAsia="Times New Roman" w:hAnsi="Arial" w:cs="Arial"/>
          <w:i/>
        </w:rPr>
        <w:t xml:space="preserve">3.4   </w:t>
      </w:r>
      <w:r w:rsidRPr="00DA1AC5">
        <w:rPr>
          <w:rFonts w:ascii="Arial" w:eastAsia="Times New Roman" w:hAnsi="Arial" w:cs="Arial"/>
          <w:i/>
        </w:rPr>
        <w:t xml:space="preserve"> Demodulación síncrona en cuadratura</w:t>
      </w:r>
    </w:p>
    <w:p w:rsidR="00C04E73" w:rsidRPr="00DA1AC5" w:rsidRDefault="00C04E73" w:rsidP="00C04E73">
      <w:pPr>
        <w:ind w:firstLine="567"/>
        <w:jc w:val="both"/>
        <w:rPr>
          <w:rFonts w:ascii="Arial" w:eastAsia="Times New Roman" w:hAnsi="Arial" w:cs="Arial"/>
          <w:b/>
        </w:rPr>
      </w:pPr>
    </w:p>
    <w:p w:rsidR="00C04E73" w:rsidRDefault="00C04E73" w:rsidP="00C04E73">
      <w:pPr>
        <w:ind w:firstLine="567"/>
        <w:jc w:val="both"/>
        <w:rPr>
          <w:rFonts w:ascii="Arial" w:eastAsia="Times New Roman" w:hAnsi="Arial" w:cs="Arial"/>
        </w:rPr>
      </w:pPr>
      <w:r w:rsidRPr="00DA1AC5">
        <w:rPr>
          <w:rFonts w:ascii="Arial" w:eastAsia="Times New Roman" w:hAnsi="Arial" w:cs="Arial"/>
        </w:rPr>
        <w:t xml:space="preserve">Para analizar la etapa de demodulación síncrona en cuadratura se realiza un análisis de función de transferencia similar a la vista anteriormente. El voltaje de salida de la etapa de amplificación </w:t>
      </w:r>
      <w:bookmarkStart w:id="427" w:name="_Hlk34229099"/>
      <w:r w:rsidRPr="00DA1AC5">
        <w:rPr>
          <w:rFonts w:eastAsia="Times New Roman"/>
          <w:i/>
        </w:rPr>
        <w:t>V</w:t>
      </w:r>
      <w:r w:rsidRPr="00DA1AC5">
        <w:rPr>
          <w:rFonts w:eastAsia="Times New Roman"/>
          <w:i/>
          <w:vertAlign w:val="subscript"/>
        </w:rPr>
        <w:t>S2</w:t>
      </w:r>
      <w:bookmarkEnd w:id="427"/>
      <w:r w:rsidRPr="00DA1AC5">
        <w:rPr>
          <w:rFonts w:ascii="Arial" w:eastAsia="Times New Roman" w:hAnsi="Arial" w:cs="Arial"/>
        </w:rPr>
        <w:t xml:space="preserve"> entra a una segunda etapa de demodulación síncrona en cuadratura en donde el voltaje senoidal </w:t>
      </w:r>
      <w:bookmarkStart w:id="428" w:name="_Hlk34132310"/>
      <w:r w:rsidRPr="00DA1AC5">
        <w:rPr>
          <w:rFonts w:eastAsia="Times New Roman"/>
          <w:i/>
        </w:rPr>
        <w:t>V</w:t>
      </w:r>
      <w:r w:rsidRPr="00DA1AC5">
        <w:rPr>
          <w:rFonts w:eastAsia="Times New Roman"/>
          <w:i/>
          <w:vertAlign w:val="subscript"/>
        </w:rPr>
        <w:t>es</w:t>
      </w:r>
      <w:bookmarkEnd w:id="428"/>
      <w:r w:rsidRPr="00DA1AC5">
        <w:rPr>
          <w:rFonts w:ascii="Arial" w:eastAsia="Times New Roman" w:hAnsi="Arial" w:cs="Arial"/>
        </w:rPr>
        <w:t xml:space="preserve"> entra primero a una etapa cambiadora de fase de </w:t>
      </w:r>
      <w:r w:rsidRPr="00DA1AC5">
        <w:rPr>
          <w:rFonts w:eastAsia="Times New Roman"/>
        </w:rPr>
        <w:t>90º</w:t>
      </w:r>
      <w:r w:rsidRPr="00DA1AC5">
        <w:rPr>
          <w:rFonts w:ascii="Arial" w:eastAsia="Times New Roman" w:hAnsi="Arial" w:cs="Arial"/>
        </w:rPr>
        <w:t xml:space="preserve"> con ganancia unitaria, figura 8, y de esta forma obtener en su salida el voltaje </w:t>
      </w:r>
      <w:r w:rsidRPr="00DA1AC5">
        <w:rPr>
          <w:rFonts w:eastAsia="Times New Roman"/>
          <w:i/>
        </w:rPr>
        <w:t>V</w:t>
      </w:r>
      <w:r w:rsidRPr="00DA1AC5">
        <w:rPr>
          <w:rFonts w:eastAsia="Times New Roman"/>
          <w:i/>
          <w:vertAlign w:val="subscript"/>
        </w:rPr>
        <w:t>esc</w:t>
      </w:r>
      <w:r w:rsidRPr="00DA1AC5">
        <w:rPr>
          <w:rFonts w:ascii="Arial" w:eastAsia="Times New Roman" w:hAnsi="Arial" w:cs="Arial"/>
        </w:rPr>
        <w:t xml:space="preserve"> en cuadratura o desfasado </w:t>
      </w:r>
      <w:r w:rsidRPr="00F91885">
        <w:rPr>
          <w:rFonts w:eastAsia="Times New Roman"/>
        </w:rPr>
        <w:t>90°</w:t>
      </w:r>
      <w:r w:rsidRPr="00DA1AC5">
        <w:rPr>
          <w:rFonts w:ascii="Arial" w:eastAsia="Times New Roman" w:hAnsi="Arial" w:cs="Arial"/>
        </w:rPr>
        <w:t xml:space="preserve">con respecto del voltaje </w:t>
      </w:r>
      <w:r w:rsidRPr="00DA1AC5">
        <w:rPr>
          <w:rFonts w:eastAsia="Times New Roman"/>
          <w:i/>
        </w:rPr>
        <w:t>V</w:t>
      </w:r>
      <w:r w:rsidRPr="00DA1AC5">
        <w:rPr>
          <w:rFonts w:eastAsia="Times New Roman"/>
          <w:i/>
          <w:vertAlign w:val="subscript"/>
        </w:rPr>
        <w:t>es</w:t>
      </w:r>
      <w:r w:rsidRPr="00DA1AC5">
        <w:rPr>
          <w:rFonts w:ascii="Arial" w:eastAsia="Times New Roman" w:hAnsi="Arial" w:cs="Arial"/>
        </w:rPr>
        <w:t>.</w:t>
      </w:r>
    </w:p>
    <w:p w:rsidR="00C04E73" w:rsidRDefault="00C04E73" w:rsidP="00C04E73">
      <w:pPr>
        <w:ind w:firstLine="567"/>
        <w:jc w:val="both"/>
        <w:rPr>
          <w:rFonts w:ascii="Arial" w:eastAsia="Times New Roman" w:hAnsi="Arial" w:cs="Arial"/>
        </w:rPr>
      </w:pPr>
      <w:r>
        <w:rPr>
          <w:noProof/>
          <w:lang w:val="en-US"/>
        </w:rPr>
        <w:drawing>
          <wp:anchor distT="0" distB="0" distL="114300" distR="114300" simplePos="0" relativeHeight="251842560" behindDoc="0" locked="0" layoutInCell="1" allowOverlap="1" wp14:anchorId="132619BA" wp14:editId="37B5B456">
            <wp:simplePos x="0" y="0"/>
            <wp:positionH relativeFrom="margin">
              <wp:posOffset>-635</wp:posOffset>
            </wp:positionH>
            <wp:positionV relativeFrom="paragraph">
              <wp:posOffset>172085</wp:posOffset>
            </wp:positionV>
            <wp:extent cx="2012950" cy="2045970"/>
            <wp:effectExtent l="0" t="0" r="6350" b="0"/>
            <wp:wrapSquare wrapText="bothSides"/>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321">
                      <a:extLst>
                        <a:ext uri="{28A0092B-C50C-407E-A947-70E740481C1C}">
                          <a14:useLocalDpi xmlns:a14="http://schemas.microsoft.com/office/drawing/2010/main" val="0"/>
                        </a:ext>
                      </a:extLst>
                    </a:blip>
                    <a:srcRect/>
                    <a:stretch>
                      <a:fillRect/>
                    </a:stretch>
                  </pic:blipFill>
                  <pic:spPr bwMode="auto">
                    <a:xfrm>
                      <a:off x="0" y="0"/>
                      <a:ext cx="2012950" cy="2045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4E73" w:rsidRDefault="00C04E73" w:rsidP="00C04E73">
      <w:pPr>
        <w:ind w:firstLine="567"/>
        <w:jc w:val="both"/>
        <w:rPr>
          <w:rFonts w:ascii="Arial" w:eastAsia="Times New Roman" w:hAnsi="Arial" w:cs="Arial"/>
        </w:rPr>
      </w:pPr>
      <w:r w:rsidRPr="00DA1AC5">
        <w:rPr>
          <w:rFonts w:ascii="Arial" w:eastAsia="Times New Roman" w:hAnsi="Arial" w:cs="Arial"/>
        </w:rPr>
        <w:t xml:space="preserve">Para que este circuito realice el desfasamiento del voltaje </w:t>
      </w:r>
      <w:bookmarkStart w:id="429" w:name="_Hlk34075263"/>
      <w:r w:rsidRPr="00DA1AC5">
        <w:rPr>
          <w:rFonts w:eastAsia="Times New Roman"/>
          <w:i/>
        </w:rPr>
        <w:t>V</w:t>
      </w:r>
      <w:r w:rsidRPr="00DA1AC5">
        <w:rPr>
          <w:rFonts w:eastAsia="Times New Roman"/>
          <w:i/>
          <w:vertAlign w:val="subscript"/>
        </w:rPr>
        <w:t>es</w:t>
      </w:r>
      <w:bookmarkEnd w:id="429"/>
      <w:r w:rsidRPr="00DA1AC5">
        <w:rPr>
          <w:rFonts w:ascii="Arial" w:eastAsia="Times New Roman" w:hAnsi="Arial" w:cs="Arial"/>
        </w:rPr>
        <w:t xml:space="preserve"> se fijan los valores de las resistencias </w:t>
      </w:r>
      <w:r w:rsidRPr="00DA1AC5">
        <w:rPr>
          <w:rFonts w:eastAsia="Times New Roman"/>
          <w:i/>
          <w:iCs/>
        </w:rPr>
        <w:t>R4=R5=R6=10 KΩ</w:t>
      </w:r>
      <w:r w:rsidRPr="00DA1AC5">
        <w:rPr>
          <w:rFonts w:ascii="Arial" w:eastAsia="Times New Roman" w:hAnsi="Arial" w:cs="Arial"/>
        </w:rPr>
        <w:t xml:space="preserve">, la frecuencia </w:t>
      </w:r>
      <w:r w:rsidRPr="00DA1AC5">
        <w:rPr>
          <w:rFonts w:eastAsia="Times New Roman"/>
          <w:i/>
          <w:iCs/>
        </w:rPr>
        <w:t>f=1KHz</w:t>
      </w:r>
      <w:r w:rsidRPr="00DA1AC5">
        <w:rPr>
          <w:rFonts w:ascii="Arial" w:eastAsia="Times New Roman" w:hAnsi="Arial" w:cs="Arial"/>
        </w:rPr>
        <w:t xml:space="preserve"> y se calcula el valor del capacitor para un ángulo de desfasamiento de </w:t>
      </w:r>
      <w:r w:rsidRPr="00DA1AC5">
        <w:rPr>
          <w:rFonts w:eastAsia="Times New Roman"/>
          <w:i/>
          <w:iCs/>
        </w:rPr>
        <w:t>Φ</w:t>
      </w:r>
      <w:r w:rsidRPr="00DA1AC5">
        <w:rPr>
          <w:rFonts w:eastAsia="Times New Roman"/>
        </w:rPr>
        <w:t>= 90°</w:t>
      </w:r>
      <w:r w:rsidRPr="00DA1AC5">
        <w:rPr>
          <w:rFonts w:ascii="Arial" w:eastAsia="Times New Roman" w:hAnsi="Arial" w:cs="Arial"/>
        </w:rPr>
        <w:t xml:space="preserve"> con la siguiente expresión,</w:t>
      </w:r>
    </w:p>
    <w:p w:rsidR="00C04E73" w:rsidRDefault="00C04E73" w:rsidP="00C04E73">
      <w:pPr>
        <w:ind w:firstLine="567"/>
        <w:jc w:val="both"/>
        <w:rPr>
          <w:rFonts w:ascii="Arial" w:eastAsia="Times New Roman" w:hAnsi="Arial" w:cs="Arial"/>
        </w:rPr>
      </w:pPr>
    </w:p>
    <w:p w:rsidR="00C04E73" w:rsidRDefault="00C04E73" w:rsidP="00C04E73">
      <w:pPr>
        <w:ind w:firstLine="567"/>
        <w:jc w:val="right"/>
        <w:rPr>
          <w:rFonts w:ascii="Arial" w:eastAsia="Times New Roman" w:hAnsi="Arial" w:cs="Arial"/>
        </w:rPr>
      </w:pPr>
      <m:oMath>
        <m:r>
          <w:rPr>
            <w:rFonts w:ascii="Cambria Math" w:eastAsia="Times New Roman" w:hAnsi="Cambria Math"/>
            <w:sz w:val="22"/>
            <w:szCs w:val="22"/>
          </w:rPr>
          <m:t>C3=</m:t>
        </m:r>
        <m:f>
          <m:fPr>
            <m:ctrlPr>
              <w:rPr>
                <w:rFonts w:ascii="Cambria Math" w:eastAsia="Times New Roman" w:hAnsi="Cambria Math"/>
                <w:i/>
                <w:sz w:val="22"/>
                <w:szCs w:val="22"/>
              </w:rPr>
            </m:ctrlPr>
          </m:fPr>
          <m:num>
            <m:func>
              <m:funcPr>
                <m:ctrlPr>
                  <w:rPr>
                    <w:rFonts w:ascii="Cambria Math" w:eastAsia="Times New Roman" w:hAnsi="Cambria Math"/>
                    <w:i/>
                    <w:sz w:val="22"/>
                    <w:szCs w:val="22"/>
                  </w:rPr>
                </m:ctrlPr>
              </m:funcPr>
              <m:fName>
                <m:r>
                  <m:rPr>
                    <m:sty m:val="p"/>
                  </m:rPr>
                  <w:rPr>
                    <w:rFonts w:ascii="Cambria Math" w:eastAsia="Times New Roman" w:hAnsi="Cambria Math"/>
                    <w:sz w:val="22"/>
                    <w:szCs w:val="22"/>
                  </w:rPr>
                  <m:t>tan</m:t>
                </m:r>
              </m:fName>
              <m:e>
                <m:f>
                  <m:fPr>
                    <m:ctrlPr>
                      <w:rPr>
                        <w:rFonts w:ascii="Cambria Math" w:eastAsia="Times New Roman" w:hAnsi="Cambria Math"/>
                        <w:i/>
                        <w:sz w:val="22"/>
                        <w:szCs w:val="22"/>
                      </w:rPr>
                    </m:ctrlPr>
                  </m:fPr>
                  <m:num>
                    <m:r>
                      <w:rPr>
                        <w:rFonts w:ascii="Cambria Math" w:eastAsia="Times New Roman" w:hAnsi="Cambria Math"/>
                        <w:sz w:val="22"/>
                        <w:szCs w:val="22"/>
                      </w:rPr>
                      <m:t>Φ</m:t>
                    </m:r>
                  </m:num>
                  <m:den>
                    <m:r>
                      <w:rPr>
                        <w:rFonts w:ascii="Cambria Math" w:eastAsia="Times New Roman" w:hAnsi="Cambria Math"/>
                        <w:sz w:val="22"/>
                        <w:szCs w:val="22"/>
                      </w:rPr>
                      <m:t>2</m:t>
                    </m:r>
                  </m:den>
                </m:f>
              </m:e>
            </m:func>
          </m:num>
          <m:den>
            <m:r>
              <w:rPr>
                <w:rFonts w:ascii="Cambria Math" w:eastAsia="Times New Roman" w:hAnsi="Cambria Math"/>
                <w:sz w:val="22"/>
                <w:szCs w:val="22"/>
              </w:rPr>
              <m:t>ωR4</m:t>
            </m:r>
          </m:den>
        </m:f>
      </m:oMath>
      <w:r w:rsidRPr="00DA1AC5">
        <w:rPr>
          <w:rFonts w:ascii="Arial" w:eastAsia="Times New Roman" w:hAnsi="Arial" w:cs="Arial"/>
        </w:rPr>
        <w:t xml:space="preserve">                       </w:t>
      </w:r>
      <w:r>
        <w:rPr>
          <w:rFonts w:ascii="Arial" w:eastAsia="Times New Roman" w:hAnsi="Arial" w:cs="Arial"/>
        </w:rPr>
        <w:t xml:space="preserve">   </w:t>
      </w:r>
      <w:r w:rsidRPr="00DA1AC5">
        <w:rPr>
          <w:rFonts w:ascii="Arial" w:eastAsia="Times New Roman" w:hAnsi="Arial" w:cs="Arial"/>
        </w:rPr>
        <w:t xml:space="preserve">        (10)</w:t>
      </w:r>
    </w:p>
    <w:p w:rsidR="00C04E73" w:rsidRDefault="00C04E73" w:rsidP="00C04E73">
      <w:pPr>
        <w:ind w:firstLine="567"/>
        <w:jc w:val="both"/>
        <w:rPr>
          <w:rFonts w:ascii="Arial" w:eastAsia="Times New Roman" w:hAnsi="Arial" w:cs="Arial"/>
        </w:rPr>
      </w:pPr>
    </w:p>
    <w:p w:rsidR="00C04E73" w:rsidRPr="004C1D14" w:rsidRDefault="00C04E73" w:rsidP="00C04E73">
      <w:pPr>
        <w:ind w:firstLine="567"/>
        <w:jc w:val="both"/>
        <w:rPr>
          <w:rFonts w:ascii="Arial" w:eastAsia="Times New Roman" w:hAnsi="Arial" w:cs="Arial"/>
        </w:rPr>
      </w:pPr>
      <w:r w:rsidRPr="00DA1AC5">
        <w:rPr>
          <w:rFonts w:ascii="Arial" w:eastAsia="Times New Roman" w:hAnsi="Arial" w:cs="Arial"/>
        </w:rPr>
        <w:t xml:space="preserve">La señal de voltaje </w:t>
      </w:r>
      <w:r w:rsidRPr="00DA1AC5">
        <w:rPr>
          <w:rFonts w:eastAsia="Times New Roman"/>
          <w:i/>
        </w:rPr>
        <w:t>V</w:t>
      </w:r>
      <w:r w:rsidRPr="00DA1AC5">
        <w:rPr>
          <w:rFonts w:eastAsia="Times New Roman"/>
          <w:i/>
          <w:vertAlign w:val="subscript"/>
        </w:rPr>
        <w:t>esc</w:t>
      </w:r>
      <w:r w:rsidRPr="00DA1AC5">
        <w:rPr>
          <w:rFonts w:ascii="Arial" w:eastAsia="Times New Roman" w:hAnsi="Arial" w:cs="Arial"/>
        </w:rPr>
        <w:t xml:space="preserve"> entra a un circuito comparador U3B del cual se obtiene una señal</w:t>
      </w:r>
      <w:r w:rsidRPr="004C1D14">
        <w:rPr>
          <w:rFonts w:ascii="Arial" w:eastAsia="Times New Roman" w:hAnsi="Arial" w:cs="Arial"/>
        </w:rPr>
        <w:t xml:space="preserve"> </w:t>
      </w:r>
      <w:r w:rsidRPr="00DA1AC5">
        <w:rPr>
          <w:rFonts w:ascii="Arial" w:eastAsia="Times New Roman" w:hAnsi="Arial" w:cs="Arial"/>
        </w:rPr>
        <w:t xml:space="preserve">cuadrada de sincronía </w:t>
      </w:r>
      <w:r w:rsidRPr="00DA1AC5">
        <w:rPr>
          <w:rFonts w:eastAsia="Times New Roman"/>
          <w:i/>
        </w:rPr>
        <w:t>V</w:t>
      </w:r>
      <w:r w:rsidRPr="00DA1AC5">
        <w:rPr>
          <w:rFonts w:eastAsia="Times New Roman"/>
          <w:i/>
          <w:vertAlign w:val="subscript"/>
        </w:rPr>
        <w:t>sic</w:t>
      </w:r>
      <w:r>
        <w:rPr>
          <w:rFonts w:ascii="Arial" w:eastAsia="Times New Roman" w:hAnsi="Arial" w:cs="Arial"/>
        </w:rPr>
        <w:t xml:space="preserve"> </w:t>
      </w:r>
      <w:r w:rsidRPr="00DA1AC5">
        <w:rPr>
          <w:rFonts w:ascii="Arial" w:eastAsia="Times New Roman" w:hAnsi="Arial" w:cs="Arial"/>
        </w:rPr>
        <w:t xml:space="preserve">en cuadratura con </w:t>
      </w:r>
      <w:bookmarkStart w:id="430" w:name="_Hlk34074632"/>
      <w:r w:rsidRPr="00DA1AC5">
        <w:rPr>
          <w:rFonts w:eastAsia="Times New Roman"/>
          <w:i/>
        </w:rPr>
        <w:t>V</w:t>
      </w:r>
      <w:r w:rsidRPr="00DA1AC5">
        <w:rPr>
          <w:rFonts w:eastAsia="Times New Roman"/>
          <w:i/>
          <w:vertAlign w:val="subscript"/>
        </w:rPr>
        <w:t>es</w:t>
      </w:r>
      <w:bookmarkEnd w:id="430"/>
      <w:r w:rsidRPr="004C1D14">
        <w:rPr>
          <w:rFonts w:ascii="Arial" w:eastAsia="Times New Roman" w:hAnsi="Arial" w:cs="Arial"/>
        </w:rPr>
        <w:t xml:space="preserve"> </w:t>
      </w:r>
      <w:r w:rsidRPr="00DA1AC5">
        <w:rPr>
          <w:rFonts w:ascii="Arial" w:eastAsia="Times New Roman" w:hAnsi="Arial" w:cs="Arial"/>
        </w:rPr>
        <w:t>y con la</w:t>
      </w:r>
    </w:p>
    <w:p w:rsidR="00C04E73" w:rsidRPr="00DA1AC5" w:rsidRDefault="00C04E73" w:rsidP="00C04E73">
      <w:pPr>
        <w:pStyle w:val="Textoindependiente"/>
        <w:rPr>
          <w:rFonts w:ascii="Arial" w:hAnsi="Arial" w:cs="Arial"/>
          <w:b w:val="0"/>
          <w:i/>
          <w:sz w:val="20"/>
          <w:szCs w:val="20"/>
        </w:rPr>
      </w:pPr>
      <w:r w:rsidRPr="00DA1AC5">
        <w:rPr>
          <w:rFonts w:ascii="Arial" w:hAnsi="Arial" w:cs="Arial"/>
          <w:b w:val="0"/>
          <w:i/>
          <w:sz w:val="20"/>
          <w:szCs w:val="20"/>
        </w:rPr>
        <w:t>Figura 8. Circuito desfasador de 90°</w:t>
      </w:r>
    </w:p>
    <w:p w:rsidR="00C04E73" w:rsidRPr="00DA1AC5" w:rsidRDefault="00C04E73" w:rsidP="00C04E73">
      <w:pPr>
        <w:jc w:val="both"/>
        <w:rPr>
          <w:rFonts w:ascii="Arial" w:eastAsia="Times New Roman" w:hAnsi="Arial" w:cs="Arial"/>
        </w:rPr>
      </w:pPr>
    </w:p>
    <w:p w:rsidR="00C04E73" w:rsidRPr="00DA1AC5" w:rsidRDefault="00C04E73" w:rsidP="00C04E73">
      <w:pPr>
        <w:jc w:val="both"/>
        <w:rPr>
          <w:rFonts w:ascii="Arial" w:eastAsia="Times New Roman" w:hAnsi="Arial" w:cs="Arial"/>
        </w:rPr>
      </w:pPr>
      <w:r w:rsidRPr="00DA1AC5">
        <w:rPr>
          <w:rFonts w:ascii="Arial" w:eastAsia="Times New Roman" w:hAnsi="Arial" w:cs="Arial"/>
        </w:rPr>
        <w:t xml:space="preserve">misma frecuencia de sincronización de los interruptores analógicos INT para conmutar otra etapa diferencial. Estos en conjunto forman una segunda etapa de demodulación síncrona con la misma secuencia de conmutación que se presentó en la tabla 1. La señal de voltaje </w:t>
      </w:r>
      <w:r w:rsidRPr="00DA1AC5">
        <w:rPr>
          <w:rFonts w:eastAsia="Times New Roman"/>
          <w:i/>
        </w:rPr>
        <w:t>V</w:t>
      </w:r>
      <w:r w:rsidRPr="00DA1AC5">
        <w:rPr>
          <w:rFonts w:eastAsia="Times New Roman"/>
          <w:i/>
          <w:vertAlign w:val="subscript"/>
        </w:rPr>
        <w:t>s4c</w:t>
      </w:r>
      <w:r w:rsidRPr="00DA1AC5">
        <w:rPr>
          <w:rFonts w:ascii="Arial" w:eastAsia="Times New Roman" w:hAnsi="Arial" w:cs="Arial"/>
          <w:iCs/>
        </w:rPr>
        <w:t xml:space="preserve"> que</w:t>
      </w:r>
      <w:r w:rsidRPr="00DA1AC5">
        <w:rPr>
          <w:rFonts w:ascii="Arial" w:eastAsia="Times New Roman" w:hAnsi="Arial" w:cs="Arial"/>
        </w:rPr>
        <w:t xml:space="preserve"> se obtiene queda en función del </w:t>
      </w:r>
      <w:r w:rsidRPr="00DA1AC5">
        <w:rPr>
          <w:rFonts w:eastAsia="Times New Roman"/>
          <w:i/>
        </w:rPr>
        <w:t>senΦ</w:t>
      </w:r>
      <w:r w:rsidRPr="00DA1AC5">
        <w:rPr>
          <w:rFonts w:ascii="Arial" w:eastAsia="Times New Roman" w:hAnsi="Arial" w:cs="Arial"/>
        </w:rPr>
        <w:t>, para después pasar por una etapa de filtrado paso bajo con las mismas características al mencionado anteriormente, como se muestra en la figura 9.</w:t>
      </w: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r>
        <w:rPr>
          <w:noProof/>
          <w:lang w:val="en-US"/>
        </w:rPr>
        <w:drawing>
          <wp:anchor distT="0" distB="0" distL="114300" distR="114300" simplePos="0" relativeHeight="251843584" behindDoc="0" locked="0" layoutInCell="1" allowOverlap="1" wp14:anchorId="50D410D2" wp14:editId="7296305D">
            <wp:simplePos x="0" y="0"/>
            <wp:positionH relativeFrom="margin">
              <wp:posOffset>289560</wp:posOffset>
            </wp:positionH>
            <wp:positionV relativeFrom="paragraph">
              <wp:posOffset>86360</wp:posOffset>
            </wp:positionV>
            <wp:extent cx="5400040" cy="1975485"/>
            <wp:effectExtent l="0" t="0" r="0" b="5715"/>
            <wp:wrapThrough wrapText="bothSides">
              <wp:wrapPolygon edited="0">
                <wp:start x="0" y="0"/>
                <wp:lineTo x="0" y="21454"/>
                <wp:lineTo x="21488" y="21454"/>
                <wp:lineTo x="21488" y="0"/>
                <wp:lineTo x="0" y="0"/>
              </wp:wrapPolygon>
            </wp:wrapThrough>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5400040" cy="1975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Pr="000A6923" w:rsidRDefault="00C04E73" w:rsidP="00C04E73">
      <w:pPr>
        <w:pStyle w:val="Textoindependiente"/>
        <w:jc w:val="center"/>
        <w:rPr>
          <w:rFonts w:ascii="Arial" w:hAnsi="Arial" w:cs="Arial"/>
          <w:b w:val="0"/>
          <w:i/>
          <w:sz w:val="20"/>
          <w:szCs w:val="20"/>
        </w:rPr>
      </w:pPr>
      <w:r w:rsidRPr="000A6923">
        <w:rPr>
          <w:rFonts w:ascii="Arial" w:hAnsi="Arial" w:cs="Arial"/>
          <w:b w:val="0"/>
          <w:i/>
          <w:sz w:val="20"/>
          <w:szCs w:val="20"/>
        </w:rPr>
        <w:t>Figura 9. Circuito de detección sensible a la fase (DSF) basado en demodulación síncrona en cuadratura.</w:t>
      </w:r>
    </w:p>
    <w:p w:rsidR="00C04E73" w:rsidRDefault="00C04E73" w:rsidP="00C04E73">
      <w:pPr>
        <w:pStyle w:val="Textoindependiente"/>
        <w:rPr>
          <w:rFonts w:ascii="Arial" w:hAnsi="Arial" w:cs="Arial"/>
          <w:b w:val="0"/>
          <w:sz w:val="24"/>
        </w:rPr>
      </w:pPr>
    </w:p>
    <w:p w:rsidR="00C04E73" w:rsidRDefault="00C04E73" w:rsidP="00C04E73">
      <w:pPr>
        <w:pStyle w:val="Textoindependiente"/>
        <w:jc w:val="both"/>
        <w:rPr>
          <w:rFonts w:ascii="Arial" w:hAnsi="Arial" w:cs="Arial"/>
          <w:b w:val="0"/>
          <w:sz w:val="24"/>
        </w:rPr>
      </w:pPr>
      <w:r w:rsidRPr="000A6923">
        <w:rPr>
          <w:rFonts w:ascii="Arial" w:hAnsi="Arial" w:cs="Arial"/>
          <w:b w:val="0"/>
          <w:sz w:val="24"/>
        </w:rPr>
        <w:t xml:space="preserve">Para comprobar que la etapa de demodulación síncrona en cuadratura funciona correctamente se sustituye la señal de voltaje senoidal </w:t>
      </w:r>
      <w:bookmarkStart w:id="431" w:name="_Hlk34229175"/>
      <w:r w:rsidRPr="000A6923">
        <w:rPr>
          <w:b w:val="0"/>
          <w:i/>
          <w:sz w:val="24"/>
        </w:rPr>
        <w:t>V</w:t>
      </w:r>
      <w:r w:rsidRPr="000A6923">
        <w:rPr>
          <w:b w:val="0"/>
          <w:i/>
          <w:sz w:val="24"/>
          <w:vertAlign w:val="subscript"/>
        </w:rPr>
        <w:t>es</w:t>
      </w:r>
      <w:bookmarkEnd w:id="431"/>
      <w:r w:rsidRPr="000A6923">
        <w:rPr>
          <w:rFonts w:ascii="Arial" w:hAnsi="Arial" w:cs="Arial"/>
          <w:b w:val="0"/>
          <w:sz w:val="24"/>
        </w:rPr>
        <w:t xml:space="preserve"> en lugar de la señal de voltaje </w:t>
      </w:r>
      <w:r w:rsidRPr="000A6923">
        <w:rPr>
          <w:b w:val="0"/>
          <w:i/>
          <w:sz w:val="24"/>
        </w:rPr>
        <w:t>V</w:t>
      </w:r>
      <w:r w:rsidRPr="000A6923">
        <w:rPr>
          <w:b w:val="0"/>
          <w:i/>
          <w:sz w:val="24"/>
          <w:vertAlign w:val="subscript"/>
        </w:rPr>
        <w:t>s2</w:t>
      </w:r>
      <w:r w:rsidRPr="000A6923">
        <w:rPr>
          <w:rFonts w:ascii="Arial" w:hAnsi="Arial" w:cs="Arial"/>
          <w:b w:val="0"/>
          <w:iCs/>
          <w:sz w:val="24"/>
        </w:rPr>
        <w:t>, señal de voltaje de salida de la etapa de amplificación,</w:t>
      </w:r>
      <w:r w:rsidRPr="000A6923">
        <w:rPr>
          <w:rFonts w:ascii="Arial" w:hAnsi="Arial" w:cs="Arial"/>
          <w:b w:val="0"/>
          <w:sz w:val="24"/>
        </w:rPr>
        <w:t xml:space="preserve"> en las entradas COM4 y COM2 del circuito integrado U6. Las señales </w:t>
      </w:r>
      <w:r w:rsidRPr="000A6923">
        <w:rPr>
          <w:b w:val="0"/>
          <w:i/>
          <w:sz w:val="24"/>
        </w:rPr>
        <w:t>V</w:t>
      </w:r>
      <w:r w:rsidRPr="000A6923">
        <w:rPr>
          <w:b w:val="0"/>
          <w:i/>
          <w:sz w:val="24"/>
          <w:vertAlign w:val="subscript"/>
        </w:rPr>
        <w:t>es</w:t>
      </w:r>
      <w:r w:rsidRPr="000A6923">
        <w:rPr>
          <w:rFonts w:ascii="Arial" w:hAnsi="Arial" w:cs="Arial"/>
          <w:b w:val="0"/>
          <w:sz w:val="24"/>
        </w:rPr>
        <w:t xml:space="preserve">, </w:t>
      </w:r>
      <w:r w:rsidRPr="000A6923">
        <w:rPr>
          <w:b w:val="0"/>
          <w:i/>
          <w:sz w:val="24"/>
        </w:rPr>
        <w:t>V</w:t>
      </w:r>
      <w:r w:rsidRPr="000A6923">
        <w:rPr>
          <w:b w:val="0"/>
          <w:i/>
          <w:sz w:val="24"/>
          <w:vertAlign w:val="subscript"/>
        </w:rPr>
        <w:t>sic</w:t>
      </w:r>
      <w:r w:rsidRPr="000A6923">
        <w:rPr>
          <w:rFonts w:ascii="Arial" w:hAnsi="Arial" w:cs="Arial"/>
          <w:b w:val="0"/>
          <w:sz w:val="24"/>
        </w:rPr>
        <w:t xml:space="preserve"> y </w:t>
      </w:r>
      <w:r w:rsidRPr="000A6923">
        <w:rPr>
          <w:b w:val="0"/>
          <w:i/>
          <w:sz w:val="24"/>
        </w:rPr>
        <w:t>V</w:t>
      </w:r>
      <w:r w:rsidRPr="000A6923">
        <w:rPr>
          <w:b w:val="0"/>
          <w:i/>
          <w:sz w:val="24"/>
          <w:vertAlign w:val="subscript"/>
        </w:rPr>
        <w:t>s4c</w:t>
      </w:r>
      <w:r w:rsidRPr="000A6923">
        <w:rPr>
          <w:rFonts w:ascii="Arial" w:hAnsi="Arial" w:cs="Arial"/>
          <w:b w:val="0"/>
          <w:sz w:val="24"/>
        </w:rPr>
        <w:t xml:space="preserve"> resultantes se muestran en la figura 10.</w:t>
      </w:r>
    </w:p>
    <w:p w:rsidR="00C04E73" w:rsidRDefault="00C04E73" w:rsidP="00C04E73">
      <w:pPr>
        <w:pStyle w:val="Textoindependiente"/>
        <w:jc w:val="both"/>
        <w:rPr>
          <w:rFonts w:ascii="Arial" w:hAnsi="Arial" w:cs="Arial"/>
          <w:b w:val="0"/>
          <w:sz w:val="24"/>
        </w:rPr>
      </w:pPr>
      <w:r>
        <w:rPr>
          <w:noProof/>
          <w:lang w:val="en-US"/>
        </w:rPr>
        <w:drawing>
          <wp:anchor distT="0" distB="0" distL="114300" distR="114300" simplePos="0" relativeHeight="251844608" behindDoc="0" locked="0" layoutInCell="1" allowOverlap="1" wp14:anchorId="06CA4518" wp14:editId="18C94D03">
            <wp:simplePos x="0" y="0"/>
            <wp:positionH relativeFrom="column">
              <wp:posOffset>289560</wp:posOffset>
            </wp:positionH>
            <wp:positionV relativeFrom="paragraph">
              <wp:posOffset>104775</wp:posOffset>
            </wp:positionV>
            <wp:extent cx="5398770" cy="3112770"/>
            <wp:effectExtent l="0" t="0" r="0" b="0"/>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323">
                      <a:extLst>
                        <a:ext uri="{28A0092B-C50C-407E-A947-70E740481C1C}">
                          <a14:useLocalDpi xmlns:a14="http://schemas.microsoft.com/office/drawing/2010/main" val="0"/>
                        </a:ext>
                      </a:extLst>
                    </a:blip>
                    <a:srcRect/>
                    <a:stretch>
                      <a:fillRect/>
                    </a:stretch>
                  </pic:blipFill>
                  <pic:spPr bwMode="auto">
                    <a:xfrm>
                      <a:off x="0" y="0"/>
                      <a:ext cx="5398770" cy="3112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4E73" w:rsidRDefault="00C04E73" w:rsidP="00C04E73">
      <w:pPr>
        <w:pStyle w:val="Textoindependiente"/>
        <w:jc w:val="both"/>
        <w:rPr>
          <w:rFonts w:ascii="Arial" w:hAnsi="Arial" w:cs="Arial"/>
          <w:b w:val="0"/>
          <w:sz w:val="24"/>
        </w:rPr>
      </w:pPr>
    </w:p>
    <w:p w:rsidR="00C04E73" w:rsidRDefault="00C04E73" w:rsidP="00C04E73">
      <w:pPr>
        <w:pStyle w:val="Textoindependiente"/>
        <w:jc w:val="both"/>
        <w:rPr>
          <w:rFonts w:ascii="Arial" w:hAnsi="Arial" w:cs="Arial"/>
          <w:b w:val="0"/>
          <w:sz w:val="24"/>
        </w:rPr>
      </w:pPr>
    </w:p>
    <w:p w:rsidR="00C04E73" w:rsidRDefault="00C04E73" w:rsidP="00C04E73">
      <w:pPr>
        <w:pStyle w:val="Textoindependiente"/>
        <w:jc w:val="both"/>
        <w:rPr>
          <w:rFonts w:ascii="Arial" w:hAnsi="Arial" w:cs="Arial"/>
          <w:b w:val="0"/>
          <w:sz w:val="24"/>
        </w:rPr>
      </w:pPr>
    </w:p>
    <w:p w:rsidR="00C04E73" w:rsidRDefault="00C04E73" w:rsidP="00C04E73">
      <w:pPr>
        <w:pStyle w:val="Textoindependiente"/>
        <w:jc w:val="both"/>
        <w:rPr>
          <w:rFonts w:ascii="Arial" w:hAnsi="Arial" w:cs="Arial"/>
          <w:b w:val="0"/>
          <w:sz w:val="24"/>
        </w:rPr>
      </w:pPr>
    </w:p>
    <w:p w:rsidR="00C04E73" w:rsidRDefault="00C04E73" w:rsidP="00C04E73">
      <w:pPr>
        <w:pStyle w:val="Textoindependiente"/>
        <w:jc w:val="both"/>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Pr="000A6923" w:rsidRDefault="00C04E73" w:rsidP="00C04E73">
      <w:pPr>
        <w:pStyle w:val="Textoindependiente"/>
        <w:jc w:val="center"/>
        <w:rPr>
          <w:rFonts w:ascii="Arial" w:hAnsi="Arial" w:cs="Arial"/>
          <w:b w:val="0"/>
          <w:i/>
          <w:sz w:val="20"/>
          <w:szCs w:val="20"/>
        </w:rPr>
      </w:pPr>
      <w:r w:rsidRPr="000A6923">
        <w:rPr>
          <w:rFonts w:ascii="Arial" w:hAnsi="Arial" w:cs="Arial"/>
          <w:b w:val="0"/>
          <w:i/>
          <w:sz w:val="20"/>
          <w:szCs w:val="20"/>
        </w:rPr>
        <w:t>Figura 10. Señal de entrada senoidal V</w:t>
      </w:r>
      <w:r w:rsidRPr="000A6923">
        <w:rPr>
          <w:rFonts w:ascii="Arial" w:hAnsi="Arial" w:cs="Arial"/>
          <w:b w:val="0"/>
          <w:i/>
          <w:sz w:val="20"/>
          <w:szCs w:val="20"/>
          <w:vertAlign w:val="subscript"/>
        </w:rPr>
        <w:t xml:space="preserve">es </w:t>
      </w:r>
      <w:r w:rsidRPr="000A6923">
        <w:rPr>
          <w:rFonts w:ascii="Arial" w:hAnsi="Arial" w:cs="Arial"/>
          <w:b w:val="0"/>
          <w:i/>
          <w:sz w:val="20"/>
          <w:szCs w:val="20"/>
        </w:rPr>
        <w:t>(arriba) en cuadratura con la señal cuadrada de sincronía V</w:t>
      </w:r>
      <w:r w:rsidRPr="000A6923">
        <w:rPr>
          <w:rFonts w:ascii="Arial" w:hAnsi="Arial" w:cs="Arial"/>
          <w:b w:val="0"/>
          <w:i/>
          <w:sz w:val="20"/>
          <w:szCs w:val="20"/>
          <w:vertAlign w:val="subscript"/>
        </w:rPr>
        <w:t>sic</w:t>
      </w:r>
      <w:r w:rsidRPr="000A6923">
        <w:rPr>
          <w:rFonts w:ascii="Arial" w:hAnsi="Arial" w:cs="Arial"/>
          <w:b w:val="0"/>
          <w:i/>
          <w:sz w:val="20"/>
          <w:szCs w:val="20"/>
        </w:rPr>
        <w:t xml:space="preserve"> (abajo) y la señal de voltaje proporcional media V</w:t>
      </w:r>
      <w:r w:rsidRPr="000A6923">
        <w:rPr>
          <w:rFonts w:ascii="Arial" w:hAnsi="Arial" w:cs="Arial"/>
          <w:b w:val="0"/>
          <w:i/>
          <w:sz w:val="20"/>
          <w:szCs w:val="20"/>
          <w:vertAlign w:val="subscript"/>
        </w:rPr>
        <w:t>s4c</w:t>
      </w:r>
      <w:r w:rsidRPr="000A6923">
        <w:rPr>
          <w:rFonts w:ascii="Arial" w:hAnsi="Arial" w:cs="Arial"/>
          <w:b w:val="0"/>
          <w:i/>
          <w:sz w:val="20"/>
          <w:szCs w:val="20"/>
        </w:rPr>
        <w:t xml:space="preserve"> (en medio) a la salida del demodulador síncrono.</w:t>
      </w:r>
    </w:p>
    <w:p w:rsidR="00C04E73" w:rsidRDefault="00C04E73" w:rsidP="00C04E73">
      <w:pPr>
        <w:pStyle w:val="Textoindependiente"/>
        <w:rPr>
          <w:rFonts w:ascii="Arial" w:hAnsi="Arial" w:cs="Arial"/>
          <w:b w:val="0"/>
          <w:sz w:val="24"/>
        </w:rPr>
      </w:pPr>
    </w:p>
    <w:p w:rsidR="00C04E73" w:rsidRDefault="00C04E73" w:rsidP="00C04E73">
      <w:pPr>
        <w:pStyle w:val="Textoindependiente"/>
        <w:jc w:val="both"/>
        <w:rPr>
          <w:rFonts w:ascii="Arial" w:hAnsi="Arial" w:cs="Arial"/>
          <w:b w:val="0"/>
          <w:sz w:val="24"/>
        </w:rPr>
      </w:pPr>
      <w:r w:rsidRPr="000A6923">
        <w:rPr>
          <w:rFonts w:ascii="Arial" w:hAnsi="Arial" w:cs="Arial"/>
          <w:b w:val="0"/>
          <w:sz w:val="24"/>
        </w:rPr>
        <w:t xml:space="preserve">Con esto aseguramos que las señales de voltaje </w:t>
      </w:r>
      <w:r w:rsidRPr="000A6923">
        <w:rPr>
          <w:b w:val="0"/>
          <w:i/>
          <w:sz w:val="24"/>
        </w:rPr>
        <w:t>V</w:t>
      </w:r>
      <w:r w:rsidRPr="000A6923">
        <w:rPr>
          <w:b w:val="0"/>
          <w:i/>
          <w:sz w:val="24"/>
          <w:vertAlign w:val="subscript"/>
        </w:rPr>
        <w:t>es</w:t>
      </w:r>
      <w:r w:rsidRPr="000A6923">
        <w:rPr>
          <w:rFonts w:ascii="Arial" w:hAnsi="Arial" w:cs="Arial"/>
          <w:b w:val="0"/>
          <w:sz w:val="24"/>
        </w:rPr>
        <w:t xml:space="preserve"> y la señal cuadrada de sincronía </w:t>
      </w:r>
      <w:r w:rsidRPr="000A6923">
        <w:rPr>
          <w:b w:val="0"/>
          <w:i/>
          <w:sz w:val="24"/>
        </w:rPr>
        <w:t>V</w:t>
      </w:r>
      <w:r w:rsidRPr="000A6923">
        <w:rPr>
          <w:b w:val="0"/>
          <w:i/>
          <w:sz w:val="24"/>
          <w:vertAlign w:val="subscript"/>
        </w:rPr>
        <w:t>sic</w:t>
      </w:r>
      <w:r w:rsidRPr="000A6923">
        <w:rPr>
          <w:rFonts w:ascii="Arial" w:hAnsi="Arial" w:cs="Arial"/>
          <w:b w:val="0"/>
          <w:sz w:val="24"/>
        </w:rPr>
        <w:t xml:space="preserve"> están en cuadratura y que la señal de voltaje de salida </w:t>
      </w:r>
      <w:r w:rsidRPr="000A6923">
        <w:rPr>
          <w:b w:val="0"/>
          <w:i/>
          <w:sz w:val="24"/>
        </w:rPr>
        <w:t>V</w:t>
      </w:r>
      <w:r w:rsidRPr="000A6923">
        <w:rPr>
          <w:b w:val="0"/>
          <w:i/>
          <w:sz w:val="24"/>
          <w:vertAlign w:val="subscript"/>
        </w:rPr>
        <w:t>s4c</w:t>
      </w:r>
      <w:r w:rsidRPr="000A6923">
        <w:rPr>
          <w:rFonts w:ascii="Arial" w:hAnsi="Arial" w:cs="Arial"/>
          <w:b w:val="0"/>
          <w:sz w:val="24"/>
        </w:rPr>
        <w:t xml:space="preserve"> del demodulador síncrono muestra una señal proporcional media arriba y abajo del nivel de cero, que es característica del demodulador síncrono en cuadratura, como se muestra en la figura 10 [2].</w:t>
      </w:r>
    </w:p>
    <w:p w:rsidR="00C04E73" w:rsidRDefault="00C04E73" w:rsidP="00C04E73">
      <w:pPr>
        <w:jc w:val="both"/>
        <w:rPr>
          <w:rFonts w:ascii="Arial" w:eastAsia="Times New Roman" w:hAnsi="Arial" w:cs="Arial"/>
          <w:i/>
        </w:rPr>
      </w:pPr>
    </w:p>
    <w:p w:rsidR="00C04E73" w:rsidRPr="00D04752" w:rsidRDefault="00C04E73" w:rsidP="00C04E73">
      <w:pPr>
        <w:jc w:val="both"/>
        <w:rPr>
          <w:rFonts w:ascii="Arial" w:eastAsia="Times New Roman" w:hAnsi="Arial" w:cs="Arial"/>
          <w:i/>
        </w:rPr>
      </w:pPr>
      <w:r>
        <w:rPr>
          <w:rFonts w:ascii="Arial" w:eastAsia="Times New Roman" w:hAnsi="Arial" w:cs="Arial"/>
          <w:i/>
        </w:rPr>
        <w:t>3</w:t>
      </w:r>
      <w:r w:rsidRPr="00D04752">
        <w:rPr>
          <w:rFonts w:ascii="Arial" w:eastAsia="Times New Roman" w:hAnsi="Arial" w:cs="Arial"/>
          <w:i/>
        </w:rPr>
        <w:t xml:space="preserve">.5 </w:t>
      </w:r>
      <w:r>
        <w:rPr>
          <w:rFonts w:ascii="Arial" w:eastAsia="Times New Roman" w:hAnsi="Arial" w:cs="Arial"/>
          <w:i/>
        </w:rPr>
        <w:t xml:space="preserve">   </w:t>
      </w:r>
      <w:r w:rsidRPr="00D04752">
        <w:rPr>
          <w:rFonts w:ascii="Arial" w:eastAsia="Times New Roman" w:hAnsi="Arial" w:cs="Arial"/>
          <w:i/>
        </w:rPr>
        <w:t>Canal de salida de voltaje del DFS en cuadratura</w:t>
      </w:r>
    </w:p>
    <w:p w:rsidR="00C04E73" w:rsidRPr="00E678EB" w:rsidRDefault="00C04E73" w:rsidP="00C04E73">
      <w:pPr>
        <w:ind w:firstLine="567"/>
        <w:jc w:val="both"/>
        <w:rPr>
          <w:rFonts w:ascii="Arial" w:eastAsia="Times New Roman" w:hAnsi="Arial" w:cs="Arial"/>
          <w:b/>
        </w:rPr>
      </w:pPr>
    </w:p>
    <w:p w:rsidR="00C04E73" w:rsidRPr="00E678EB" w:rsidRDefault="00C04E73" w:rsidP="00C04E73">
      <w:pPr>
        <w:ind w:firstLine="567"/>
        <w:jc w:val="both"/>
        <w:rPr>
          <w:rFonts w:ascii="Arial" w:eastAsia="Times New Roman" w:hAnsi="Arial" w:cs="Arial"/>
        </w:rPr>
      </w:pPr>
      <w:r w:rsidRPr="00E678EB">
        <w:rPr>
          <w:rFonts w:ascii="Arial" w:eastAsia="Times New Roman" w:hAnsi="Arial" w:cs="Arial"/>
        </w:rPr>
        <w:t xml:space="preserve">A la salida del canal de DSF en cuadratura se obtiene un voltaje de corriente directa </w:t>
      </w:r>
      <w:r w:rsidRPr="00E678EB">
        <w:rPr>
          <w:rFonts w:eastAsia="Times New Roman"/>
          <w:i/>
        </w:rPr>
        <w:t>V</w:t>
      </w:r>
      <w:r w:rsidRPr="00E678EB">
        <w:rPr>
          <w:rFonts w:eastAsia="Times New Roman"/>
          <w:i/>
          <w:vertAlign w:val="subscript"/>
        </w:rPr>
        <w:t>ccd</w:t>
      </w:r>
      <w:r w:rsidRPr="00E678EB">
        <w:rPr>
          <w:rFonts w:eastAsia="Times New Roman"/>
        </w:rPr>
        <w:t xml:space="preserve"> </w:t>
      </w:r>
      <w:r w:rsidRPr="00E678EB">
        <w:rPr>
          <w:rFonts w:ascii="Arial" w:eastAsia="Times New Roman" w:hAnsi="Arial" w:cs="Arial"/>
        </w:rPr>
        <w:t xml:space="preserve"> proporcional al voltaje </w:t>
      </w:r>
      <w:r w:rsidRPr="00E678EB">
        <w:rPr>
          <w:rFonts w:eastAsia="Times New Roman"/>
          <w:i/>
          <w:iCs/>
        </w:rPr>
        <w:t>V</w:t>
      </w:r>
      <w:r w:rsidRPr="00E678EB">
        <w:rPr>
          <w:rFonts w:eastAsia="Times New Roman"/>
          <w:i/>
          <w:iCs/>
          <w:vertAlign w:val="subscript"/>
        </w:rPr>
        <w:t>es</w:t>
      </w:r>
      <w:r w:rsidRPr="00E678EB">
        <w:rPr>
          <w:rFonts w:ascii="Arial" w:eastAsia="Times New Roman" w:hAnsi="Arial" w:cs="Arial"/>
        </w:rPr>
        <w:t xml:space="preserve"> que alimenta al circuito </w:t>
      </w:r>
      <w:r w:rsidRPr="00E678EB">
        <w:rPr>
          <w:rFonts w:ascii="Arial" w:eastAsia="Times New Roman" w:hAnsi="Arial" w:cs="Arial"/>
          <w:i/>
        </w:rPr>
        <w:t>RC</w:t>
      </w:r>
      <w:r w:rsidRPr="00E678EB">
        <w:rPr>
          <w:rFonts w:ascii="Arial" w:eastAsia="Times New Roman" w:hAnsi="Arial" w:cs="Arial"/>
        </w:rPr>
        <w:t xml:space="preserve"> y a las ganancias en cada etapa del SMV. La señal de voltaje </w:t>
      </w:r>
      <w:r w:rsidRPr="00E678EB">
        <w:rPr>
          <w:rFonts w:eastAsia="Times New Roman"/>
          <w:i/>
        </w:rPr>
        <w:t>V</w:t>
      </w:r>
      <w:r w:rsidRPr="00E678EB">
        <w:rPr>
          <w:rFonts w:eastAsia="Times New Roman"/>
          <w:i/>
          <w:vertAlign w:val="subscript"/>
        </w:rPr>
        <w:t>s4c</w:t>
      </w:r>
      <w:r w:rsidRPr="00E678EB">
        <w:rPr>
          <w:rFonts w:ascii="Arial" w:eastAsia="Times New Roman" w:hAnsi="Arial" w:cs="Arial"/>
        </w:rPr>
        <w:t xml:space="preserve"> pasa por una etapa de filtrado paso bajo con las mismas características que en la primera etapa. Para obtener la expresión del voltaje de salida </w:t>
      </w:r>
      <w:r w:rsidRPr="00E678EB">
        <w:rPr>
          <w:rFonts w:eastAsia="Times New Roman"/>
          <w:i/>
        </w:rPr>
        <w:t>V</w:t>
      </w:r>
      <w:r w:rsidRPr="00E678EB">
        <w:rPr>
          <w:rFonts w:eastAsia="Times New Roman"/>
          <w:i/>
          <w:vertAlign w:val="subscript"/>
        </w:rPr>
        <w:t>ccd</w:t>
      </w:r>
      <w:r w:rsidRPr="00E678EB">
        <w:rPr>
          <w:rFonts w:ascii="Arial" w:eastAsia="Times New Roman" w:hAnsi="Arial" w:cs="Arial"/>
          <w:iCs/>
        </w:rPr>
        <w:t xml:space="preserve"> </w:t>
      </w:r>
      <w:r w:rsidRPr="00E678EB">
        <w:rPr>
          <w:rFonts w:ascii="Arial" w:eastAsia="Times New Roman" w:hAnsi="Arial" w:cs="Arial"/>
        </w:rPr>
        <w:t xml:space="preserve">se realiza un análisis de función de transferencia similar a la del canal DSF en fase pero que en este caso con un desfasamiento de </w:t>
      </w:r>
      <w:r w:rsidRPr="00E678EB">
        <w:rPr>
          <w:rFonts w:eastAsia="Times New Roman"/>
        </w:rPr>
        <w:t>90°</w:t>
      </w:r>
      <w:r w:rsidRPr="00E678EB">
        <w:rPr>
          <w:rFonts w:ascii="Arial" w:eastAsia="Times New Roman" w:hAnsi="Arial" w:cs="Arial"/>
        </w:rPr>
        <w:t xml:space="preserve"> entre </w:t>
      </w:r>
      <w:r w:rsidRPr="00E678EB">
        <w:rPr>
          <w:rFonts w:eastAsia="Times New Roman"/>
          <w:i/>
          <w:iCs/>
        </w:rPr>
        <w:t>V</w:t>
      </w:r>
      <w:r w:rsidRPr="00E678EB">
        <w:rPr>
          <w:rFonts w:eastAsia="Times New Roman"/>
          <w:i/>
          <w:iCs/>
          <w:vertAlign w:val="subscript"/>
        </w:rPr>
        <w:t>es</w:t>
      </w:r>
      <w:r w:rsidRPr="00E678EB">
        <w:rPr>
          <w:rFonts w:ascii="Arial" w:eastAsia="Times New Roman" w:hAnsi="Arial" w:cs="Arial"/>
        </w:rPr>
        <w:t xml:space="preserve"> y </w:t>
      </w:r>
      <w:r w:rsidRPr="00E678EB">
        <w:rPr>
          <w:rFonts w:eastAsia="Times New Roman"/>
          <w:i/>
        </w:rPr>
        <w:t>V</w:t>
      </w:r>
      <w:r w:rsidRPr="00E678EB">
        <w:rPr>
          <w:rFonts w:eastAsia="Times New Roman"/>
          <w:i/>
          <w:vertAlign w:val="subscript"/>
        </w:rPr>
        <w:t>sic</w:t>
      </w:r>
      <w:r w:rsidRPr="00E678EB">
        <w:rPr>
          <w:rFonts w:ascii="Arial" w:eastAsia="Times New Roman" w:hAnsi="Arial" w:cs="Arial"/>
        </w:rPr>
        <w:t xml:space="preserve">, y se calcula el valor medio del voltaje </w:t>
      </w:r>
      <w:r w:rsidRPr="00E678EB">
        <w:rPr>
          <w:rFonts w:eastAsia="Times New Roman"/>
          <w:i/>
        </w:rPr>
        <w:t>V</w:t>
      </w:r>
      <w:r w:rsidRPr="00E678EB">
        <w:rPr>
          <w:rFonts w:eastAsia="Times New Roman"/>
          <w:i/>
          <w:vertAlign w:val="subscript"/>
        </w:rPr>
        <w:t>s4c</w:t>
      </w:r>
      <w:r w:rsidRPr="00E678EB">
        <w:rPr>
          <w:rFonts w:ascii="Arial" w:eastAsia="Times New Roman" w:hAnsi="Arial" w:cs="Arial"/>
        </w:rPr>
        <w:t xml:space="preserve"> de salida del DMS en cuadratura. Después, se sustituyen las ganancias respectivas de las etapas de amplificación </w:t>
      </w:r>
      <w:r w:rsidRPr="00E678EB">
        <w:rPr>
          <w:rFonts w:eastAsia="Times New Roman"/>
          <w:i/>
        </w:rPr>
        <w:t>G</w:t>
      </w:r>
      <w:r w:rsidRPr="00E678EB">
        <w:rPr>
          <w:rFonts w:eastAsia="Times New Roman"/>
          <w:i/>
          <w:vertAlign w:val="subscript"/>
        </w:rPr>
        <w:t>1</w:t>
      </w:r>
      <w:r w:rsidRPr="00E678EB">
        <w:rPr>
          <w:rFonts w:ascii="Arial" w:eastAsia="Times New Roman" w:hAnsi="Arial" w:cs="Arial"/>
          <w:i/>
          <w:vertAlign w:val="subscript"/>
        </w:rPr>
        <w:t xml:space="preserve"> </w:t>
      </w:r>
      <w:r w:rsidRPr="00E678EB">
        <w:rPr>
          <w:rFonts w:ascii="Arial" w:eastAsia="Times New Roman" w:hAnsi="Arial" w:cs="Arial"/>
        </w:rPr>
        <w:t xml:space="preserve">y </w:t>
      </w:r>
      <w:r w:rsidRPr="00E678EB">
        <w:rPr>
          <w:rFonts w:eastAsia="Times New Roman"/>
          <w:i/>
        </w:rPr>
        <w:t>G</w:t>
      </w:r>
      <w:r w:rsidRPr="00E678EB">
        <w:rPr>
          <w:rFonts w:eastAsia="Times New Roman"/>
          <w:i/>
          <w:vertAlign w:val="subscript"/>
        </w:rPr>
        <w:t>2</w:t>
      </w:r>
      <w:r w:rsidRPr="00E678EB">
        <w:rPr>
          <w:rFonts w:ascii="Arial" w:eastAsia="Times New Roman" w:hAnsi="Arial" w:cs="Arial"/>
          <w:iCs/>
        </w:rPr>
        <w:t xml:space="preserve"> y</w:t>
      </w:r>
      <w:r w:rsidRPr="00E678EB">
        <w:rPr>
          <w:rFonts w:ascii="Arial" w:eastAsia="Times New Roman" w:hAnsi="Arial" w:cs="Arial"/>
        </w:rPr>
        <w:t xml:space="preserve"> de las ganancias unitarias de las etapas de demodulación síncrona y de filtrado paso bajo, quedando al final la siguiente expresión en función de la componente seno,</w:t>
      </w:r>
    </w:p>
    <w:p w:rsidR="00C04E73" w:rsidRPr="00E678EB" w:rsidRDefault="00C04E73" w:rsidP="00C04E73">
      <w:pPr>
        <w:ind w:firstLine="567"/>
        <w:jc w:val="both"/>
        <w:rPr>
          <w:rFonts w:ascii="Arial" w:eastAsia="Times New Roman" w:hAnsi="Arial" w:cs="Arial"/>
        </w:rPr>
      </w:pPr>
      <w:r w:rsidRPr="00E678EB">
        <w:rPr>
          <w:rFonts w:ascii="Arial" w:eastAsia="Times New Roman" w:hAnsi="Arial" w:cs="Arial"/>
        </w:rPr>
        <w:t xml:space="preserve"> </w:t>
      </w:r>
    </w:p>
    <w:p w:rsidR="00C04E73" w:rsidRPr="00E678EB" w:rsidRDefault="001345E4" w:rsidP="00C04E73">
      <w:pPr>
        <w:ind w:firstLine="567"/>
        <w:jc w:val="right"/>
        <w:rPr>
          <w:rFonts w:ascii="Arial" w:eastAsia="Times New Roman" w:hAnsi="Arial" w:cs="Arial"/>
        </w:rPr>
      </w:pPr>
      <m:oMath>
        <m:sSub>
          <m:sSubPr>
            <m:ctrlPr>
              <w:rPr>
                <w:rFonts w:ascii="Cambria Math" w:eastAsia="Times New Roman" w:hAnsi="Cambria Math"/>
                <w:i/>
                <w:sz w:val="22"/>
                <w:szCs w:val="22"/>
              </w:rPr>
            </m:ctrlPr>
          </m:sSubPr>
          <m:e>
            <m:r>
              <w:rPr>
                <w:rFonts w:ascii="Cambria Math" w:eastAsia="Times New Roman" w:hAnsi="Cambria Math"/>
                <w:sz w:val="22"/>
                <w:szCs w:val="22"/>
              </w:rPr>
              <m:t>V</m:t>
            </m:r>
          </m:e>
          <m:sub>
            <m:r>
              <w:rPr>
                <w:rFonts w:ascii="Cambria Math" w:eastAsia="Times New Roman" w:hAnsi="Cambria Math"/>
                <w:sz w:val="22"/>
                <w:szCs w:val="22"/>
              </w:rPr>
              <m:t>ccd</m:t>
            </m:r>
          </m:sub>
        </m:sSub>
        <m:r>
          <w:rPr>
            <w:rFonts w:ascii="Cambria Math" w:eastAsia="Times New Roman" w:hAnsi="Cambria Math"/>
            <w:sz w:val="22"/>
            <w:szCs w:val="22"/>
          </w:rPr>
          <m:t>=</m:t>
        </m:r>
        <m:sSub>
          <m:sSubPr>
            <m:ctrlPr>
              <w:rPr>
                <w:rFonts w:ascii="Cambria Math" w:eastAsia="Times New Roman" w:hAnsi="Cambria Math"/>
                <w:i/>
                <w:sz w:val="22"/>
                <w:szCs w:val="22"/>
              </w:rPr>
            </m:ctrlPr>
          </m:sSubPr>
          <m:e>
            <m:r>
              <w:rPr>
                <w:rFonts w:ascii="Cambria Math" w:eastAsia="Times New Roman" w:hAnsi="Cambria Math"/>
                <w:sz w:val="22"/>
                <w:szCs w:val="22"/>
              </w:rPr>
              <m:t>G</m:t>
            </m:r>
          </m:e>
          <m:sub>
            <m:r>
              <w:rPr>
                <w:rFonts w:ascii="Cambria Math" w:eastAsia="Times New Roman" w:hAnsi="Cambria Math"/>
                <w:sz w:val="22"/>
                <w:szCs w:val="22"/>
              </w:rPr>
              <m:t>1</m:t>
            </m:r>
          </m:sub>
        </m:sSub>
        <m:sSub>
          <m:sSubPr>
            <m:ctrlPr>
              <w:rPr>
                <w:rFonts w:ascii="Cambria Math" w:eastAsia="Times New Roman" w:hAnsi="Cambria Math"/>
                <w:i/>
                <w:sz w:val="22"/>
                <w:szCs w:val="22"/>
              </w:rPr>
            </m:ctrlPr>
          </m:sSubPr>
          <m:e>
            <m:r>
              <w:rPr>
                <w:rFonts w:ascii="Cambria Math" w:eastAsia="Times New Roman" w:hAnsi="Cambria Math"/>
                <w:sz w:val="22"/>
                <w:szCs w:val="22"/>
              </w:rPr>
              <m:t>G</m:t>
            </m:r>
          </m:e>
          <m:sub>
            <m:r>
              <w:rPr>
                <w:rFonts w:ascii="Cambria Math" w:eastAsia="Times New Roman" w:hAnsi="Cambria Math"/>
                <w:sz w:val="22"/>
                <w:szCs w:val="22"/>
              </w:rPr>
              <m:t>2</m:t>
            </m:r>
          </m:sub>
        </m:sSub>
        <m:d>
          <m:dPr>
            <m:ctrlPr>
              <w:rPr>
                <w:rFonts w:ascii="Cambria Math" w:eastAsia="Times New Roman" w:hAnsi="Cambria Math"/>
                <w:i/>
                <w:sz w:val="22"/>
                <w:szCs w:val="22"/>
              </w:rPr>
            </m:ctrlPr>
          </m:dPr>
          <m:e>
            <m:f>
              <m:fPr>
                <m:ctrlPr>
                  <w:rPr>
                    <w:rFonts w:ascii="Cambria Math" w:eastAsia="Times New Roman" w:hAnsi="Cambria Math"/>
                    <w:i/>
                    <w:sz w:val="22"/>
                    <w:szCs w:val="22"/>
                  </w:rPr>
                </m:ctrlPr>
              </m:fPr>
              <m:num>
                <m:r>
                  <w:rPr>
                    <w:rFonts w:ascii="Cambria Math" w:eastAsia="Times New Roman" w:hAnsi="Cambria Math"/>
                    <w:sz w:val="22"/>
                    <w:szCs w:val="22"/>
                  </w:rPr>
                  <m:t>2A</m:t>
                </m:r>
              </m:num>
              <m:den>
                <m:r>
                  <w:rPr>
                    <w:rFonts w:ascii="Cambria Math" w:eastAsia="Times New Roman" w:hAnsi="Cambria Math"/>
                    <w:sz w:val="22"/>
                    <w:szCs w:val="22"/>
                  </w:rPr>
                  <m:t>π</m:t>
                </m:r>
              </m:den>
            </m:f>
          </m:e>
        </m:d>
        <m:r>
          <w:rPr>
            <w:rFonts w:ascii="Cambria Math" w:eastAsia="Times New Roman" w:hAnsi="Cambria Math"/>
            <w:sz w:val="22"/>
            <w:szCs w:val="22"/>
          </w:rPr>
          <m:t>sen∅</m:t>
        </m:r>
      </m:oMath>
      <w:r w:rsidR="00C04E73">
        <w:rPr>
          <w:rFonts w:ascii="Arial" w:eastAsia="Times New Roman" w:hAnsi="Arial" w:cs="Arial"/>
        </w:rPr>
        <w:t xml:space="preserve"> .</w:t>
      </w:r>
      <w:r w:rsidR="00C04E73" w:rsidRPr="00E678EB">
        <w:rPr>
          <w:rFonts w:ascii="Arial" w:eastAsia="Times New Roman" w:hAnsi="Arial" w:cs="Arial"/>
        </w:rPr>
        <w:t xml:space="preserve">                           </w:t>
      </w:r>
      <w:r w:rsidR="00C04E73">
        <w:rPr>
          <w:rFonts w:ascii="Arial" w:eastAsia="Times New Roman" w:hAnsi="Arial" w:cs="Arial"/>
        </w:rPr>
        <w:t xml:space="preserve">      </w:t>
      </w:r>
      <w:r w:rsidR="00C04E73" w:rsidRPr="00E678EB">
        <w:rPr>
          <w:rFonts w:ascii="Arial" w:eastAsia="Times New Roman" w:hAnsi="Arial" w:cs="Arial"/>
        </w:rPr>
        <w:t xml:space="preserve">             (11)</w:t>
      </w:r>
    </w:p>
    <w:p w:rsidR="00C04E73" w:rsidRPr="00E678EB" w:rsidRDefault="00C04E73" w:rsidP="00C04E73">
      <w:pPr>
        <w:jc w:val="both"/>
        <w:rPr>
          <w:rFonts w:ascii="Arial" w:eastAsia="Times New Roman" w:hAnsi="Arial" w:cs="Arial"/>
        </w:rPr>
      </w:pPr>
    </w:p>
    <w:p w:rsidR="00C04E73" w:rsidRPr="00E678EB" w:rsidRDefault="00C04E73" w:rsidP="00C04E73">
      <w:pPr>
        <w:ind w:firstLine="567"/>
        <w:jc w:val="both"/>
        <w:rPr>
          <w:rFonts w:ascii="Arial" w:eastAsia="Times New Roman" w:hAnsi="Arial" w:cs="Arial"/>
        </w:rPr>
      </w:pPr>
      <w:r w:rsidRPr="00E678EB">
        <w:rPr>
          <w:rFonts w:ascii="Arial" w:eastAsia="Times New Roman" w:hAnsi="Arial" w:cs="Arial"/>
        </w:rPr>
        <w:t xml:space="preserve">Sustituyendo </w:t>
      </w:r>
      <w:r w:rsidRPr="00E678EB">
        <w:rPr>
          <w:rFonts w:eastAsia="Times New Roman"/>
          <w:i/>
        </w:rPr>
        <w:t>X</w:t>
      </w:r>
      <w:r w:rsidRPr="00E678EB">
        <w:rPr>
          <w:rFonts w:eastAsia="Times New Roman"/>
          <w:i/>
          <w:vertAlign w:val="subscript"/>
        </w:rPr>
        <w:t>C</w:t>
      </w:r>
      <w:r w:rsidRPr="00E678EB">
        <w:rPr>
          <w:rFonts w:ascii="Arial" w:eastAsia="Times New Roman" w:hAnsi="Arial" w:cs="Arial"/>
          <w:i/>
        </w:rPr>
        <w:t xml:space="preserve"> </w:t>
      </w:r>
      <w:r w:rsidRPr="00E678EB">
        <w:rPr>
          <w:rFonts w:ascii="Arial" w:eastAsia="Times New Roman" w:hAnsi="Arial" w:cs="Arial"/>
        </w:rPr>
        <w:t xml:space="preserve">y </w:t>
      </w:r>
      <w:r w:rsidRPr="00E678EB">
        <w:rPr>
          <w:rFonts w:eastAsia="Times New Roman"/>
          <w:i/>
        </w:rPr>
        <w:t>R</w:t>
      </w:r>
      <w:r w:rsidRPr="00E678EB">
        <w:rPr>
          <w:rFonts w:eastAsia="Times New Roman"/>
          <w:i/>
          <w:vertAlign w:val="subscript"/>
        </w:rPr>
        <w:t>1</w:t>
      </w:r>
      <w:r w:rsidRPr="00E678EB">
        <w:rPr>
          <w:rFonts w:ascii="Arial" w:eastAsia="Times New Roman" w:hAnsi="Arial" w:cs="Arial"/>
        </w:rPr>
        <w:t xml:space="preserve"> en las ganancias de la componente reactiva de la ecuación (1) en la ecuación (11) se obtiene la siguiente expresión,</w:t>
      </w:r>
    </w:p>
    <w:p w:rsidR="00C04E73" w:rsidRPr="00E678EB" w:rsidRDefault="00C04E73" w:rsidP="00C04E73">
      <w:pPr>
        <w:ind w:firstLine="567"/>
        <w:jc w:val="both"/>
        <w:rPr>
          <w:rFonts w:ascii="Arial" w:eastAsia="Times New Roman" w:hAnsi="Arial" w:cs="Arial"/>
        </w:rPr>
      </w:pPr>
    </w:p>
    <w:p w:rsidR="00C04E73" w:rsidRPr="00E678EB" w:rsidRDefault="001345E4" w:rsidP="00C04E73">
      <w:pPr>
        <w:ind w:firstLine="567"/>
        <w:jc w:val="right"/>
        <w:rPr>
          <w:rFonts w:ascii="Arial" w:eastAsia="Times New Roman" w:hAnsi="Arial" w:cs="Arial"/>
        </w:rPr>
      </w:pPr>
      <m:oMath>
        <m:sSub>
          <m:sSubPr>
            <m:ctrlPr>
              <w:rPr>
                <w:rFonts w:ascii="Cambria Math" w:eastAsia="Times New Roman" w:hAnsi="Cambria Math"/>
                <w:i/>
                <w:sz w:val="22"/>
                <w:szCs w:val="22"/>
              </w:rPr>
            </m:ctrlPr>
          </m:sSubPr>
          <m:e>
            <m:r>
              <w:rPr>
                <w:rFonts w:ascii="Cambria Math" w:eastAsia="Times New Roman" w:hAnsi="Cambria Math"/>
                <w:sz w:val="22"/>
                <w:szCs w:val="22"/>
              </w:rPr>
              <m:t>V</m:t>
            </m:r>
          </m:e>
          <m:sub>
            <m:r>
              <w:rPr>
                <w:rFonts w:ascii="Cambria Math" w:eastAsia="Times New Roman" w:hAnsi="Cambria Math"/>
                <w:sz w:val="22"/>
                <w:szCs w:val="22"/>
              </w:rPr>
              <m:t>ccd</m:t>
            </m:r>
          </m:sub>
        </m:sSub>
        <m:r>
          <w:rPr>
            <w:rFonts w:ascii="Cambria Math" w:eastAsia="Times New Roman" w:hAnsi="Cambria Math"/>
            <w:sz w:val="22"/>
            <w:szCs w:val="22"/>
          </w:rPr>
          <m:t>=</m:t>
        </m:r>
        <m:d>
          <m:dPr>
            <m:ctrlPr>
              <w:rPr>
                <w:rFonts w:ascii="Cambria Math" w:eastAsia="Times New Roman" w:hAnsi="Cambria Math"/>
                <w:i/>
                <w:sz w:val="22"/>
                <w:szCs w:val="22"/>
              </w:rPr>
            </m:ctrlPr>
          </m:dPr>
          <m:e>
            <m:f>
              <m:fPr>
                <m:ctrlPr>
                  <w:rPr>
                    <w:rFonts w:ascii="Cambria Math" w:eastAsia="Times New Roman" w:hAnsi="Cambria Math"/>
                    <w:i/>
                    <w:sz w:val="22"/>
                    <w:szCs w:val="22"/>
                  </w:rPr>
                </m:ctrlPr>
              </m:fPr>
              <m:num>
                <m:sSub>
                  <m:sSubPr>
                    <m:ctrlPr>
                      <w:rPr>
                        <w:rFonts w:ascii="Cambria Math" w:eastAsia="Times New Roman" w:hAnsi="Cambria Math"/>
                        <w:i/>
                        <w:sz w:val="22"/>
                        <w:szCs w:val="22"/>
                      </w:rPr>
                    </m:ctrlPr>
                  </m:sSubPr>
                  <m:e>
                    <m:r>
                      <w:rPr>
                        <w:rFonts w:ascii="Cambria Math" w:eastAsia="Times New Roman" w:hAnsi="Cambria Math"/>
                        <w:sz w:val="22"/>
                        <w:szCs w:val="22"/>
                      </w:rPr>
                      <m:t>R</m:t>
                    </m:r>
                  </m:e>
                  <m:sub>
                    <m:r>
                      <w:rPr>
                        <w:rFonts w:ascii="Cambria Math" w:eastAsia="Times New Roman" w:hAnsi="Cambria Math"/>
                        <w:sz w:val="22"/>
                        <w:szCs w:val="22"/>
                      </w:rPr>
                      <m:t>1</m:t>
                    </m:r>
                  </m:sub>
                </m:sSub>
              </m:num>
              <m:den>
                <m:f>
                  <m:fPr>
                    <m:ctrlPr>
                      <w:rPr>
                        <w:rFonts w:ascii="Cambria Math" w:eastAsia="Times New Roman" w:hAnsi="Cambria Math"/>
                        <w:i/>
                        <w:sz w:val="22"/>
                        <w:szCs w:val="22"/>
                      </w:rPr>
                    </m:ctrlPr>
                  </m:fPr>
                  <m:num>
                    <m:r>
                      <w:rPr>
                        <w:rFonts w:ascii="Cambria Math" w:eastAsia="Times New Roman" w:hAnsi="Cambria Math"/>
                        <w:sz w:val="22"/>
                        <w:szCs w:val="22"/>
                      </w:rPr>
                      <m:t>1</m:t>
                    </m:r>
                  </m:num>
                  <m:den>
                    <m:r>
                      <w:rPr>
                        <w:rFonts w:ascii="Cambria Math" w:eastAsia="Times New Roman" w:hAnsi="Cambria Math"/>
                        <w:sz w:val="22"/>
                        <w:szCs w:val="22"/>
                      </w:rPr>
                      <m:t>ωC</m:t>
                    </m:r>
                  </m:den>
                </m:f>
              </m:den>
            </m:f>
          </m:e>
        </m:d>
        <m:d>
          <m:dPr>
            <m:ctrlPr>
              <w:rPr>
                <w:rFonts w:ascii="Cambria Math" w:eastAsia="Times New Roman" w:hAnsi="Cambria Math"/>
                <w:i/>
                <w:sz w:val="22"/>
                <w:szCs w:val="22"/>
              </w:rPr>
            </m:ctrlPr>
          </m:dPr>
          <m:e>
            <m:f>
              <m:fPr>
                <m:ctrlPr>
                  <w:rPr>
                    <w:rFonts w:ascii="Cambria Math" w:eastAsia="Times New Roman" w:hAnsi="Cambria Math"/>
                    <w:i/>
                    <w:sz w:val="22"/>
                    <w:szCs w:val="22"/>
                  </w:rPr>
                </m:ctrlPr>
              </m:fPr>
              <m:num>
                <m:r>
                  <w:rPr>
                    <w:rFonts w:ascii="Cambria Math" w:eastAsia="Times New Roman" w:hAnsi="Cambria Math"/>
                    <w:sz w:val="22"/>
                    <w:szCs w:val="22"/>
                  </w:rPr>
                  <m:t>2A</m:t>
                </m:r>
              </m:num>
              <m:den>
                <m:r>
                  <w:rPr>
                    <w:rFonts w:ascii="Cambria Math" w:eastAsia="Times New Roman" w:hAnsi="Cambria Math"/>
                    <w:sz w:val="22"/>
                    <w:szCs w:val="22"/>
                  </w:rPr>
                  <m:t>π</m:t>
                </m:r>
              </m:den>
            </m:f>
          </m:e>
        </m:d>
        <m:func>
          <m:funcPr>
            <m:ctrlPr>
              <w:rPr>
                <w:rFonts w:ascii="Cambria Math" w:eastAsia="Times New Roman" w:hAnsi="Cambria Math"/>
                <w:i/>
                <w:sz w:val="22"/>
                <w:szCs w:val="22"/>
              </w:rPr>
            </m:ctrlPr>
          </m:funcPr>
          <m:fName>
            <m:r>
              <m:rPr>
                <m:sty m:val="p"/>
              </m:rPr>
              <w:rPr>
                <w:rFonts w:ascii="Cambria Math" w:eastAsia="Times New Roman" w:hAnsi="Cambria Math"/>
                <w:sz w:val="22"/>
                <w:szCs w:val="22"/>
              </w:rPr>
              <m:t>sen</m:t>
            </m:r>
          </m:fName>
          <m:e>
            <m:r>
              <w:rPr>
                <w:rFonts w:ascii="Cambria Math" w:eastAsia="Times New Roman" w:hAnsi="Cambria Math"/>
                <w:sz w:val="22"/>
                <w:szCs w:val="22"/>
              </w:rPr>
              <m:t>∅</m:t>
            </m:r>
          </m:e>
        </m:func>
      </m:oMath>
      <w:r w:rsidR="00C04E73" w:rsidRPr="00E678EB">
        <w:rPr>
          <w:rFonts w:ascii="Arial" w:eastAsia="Times New Roman" w:hAnsi="Arial" w:cs="Arial"/>
        </w:rPr>
        <w:t xml:space="preserve"> </w:t>
      </w:r>
      <w:r w:rsidR="00C04E73">
        <w:rPr>
          <w:rFonts w:ascii="Arial" w:eastAsia="Times New Roman" w:hAnsi="Arial" w:cs="Arial"/>
        </w:rPr>
        <w:t>.</w:t>
      </w:r>
      <w:r w:rsidR="00C04E73" w:rsidRPr="00E678EB">
        <w:rPr>
          <w:rFonts w:ascii="Arial" w:eastAsia="Times New Roman" w:hAnsi="Arial" w:cs="Arial"/>
        </w:rPr>
        <w:t xml:space="preserve">                                              (12)</w:t>
      </w:r>
    </w:p>
    <w:p w:rsidR="00C04E73" w:rsidRPr="00E678EB" w:rsidRDefault="00C04E73" w:rsidP="00C04E73">
      <w:pPr>
        <w:ind w:firstLine="567"/>
        <w:jc w:val="both"/>
        <w:rPr>
          <w:rFonts w:ascii="Arial" w:eastAsia="Times New Roman" w:hAnsi="Arial" w:cs="Arial"/>
        </w:rPr>
      </w:pPr>
    </w:p>
    <w:p w:rsidR="00C04E73" w:rsidRDefault="00C04E73" w:rsidP="00C04E73">
      <w:pPr>
        <w:pStyle w:val="Textoindependiente"/>
        <w:jc w:val="both"/>
        <w:rPr>
          <w:rFonts w:ascii="Arial" w:hAnsi="Arial" w:cs="Arial"/>
          <w:b w:val="0"/>
          <w:sz w:val="24"/>
        </w:rPr>
      </w:pPr>
      <w:r w:rsidRPr="00627F23">
        <w:rPr>
          <w:rFonts w:ascii="Arial" w:eastAsia="Times New Roman" w:hAnsi="Arial" w:cs="Arial"/>
          <w:b w:val="0"/>
          <w:bCs w:val="0"/>
          <w:sz w:val="24"/>
        </w:rPr>
        <w:t xml:space="preserve">La señal de voltaje en cuadratura </w:t>
      </w:r>
      <w:r w:rsidRPr="00627F23">
        <w:rPr>
          <w:rFonts w:ascii="Arial" w:eastAsia="Times New Roman" w:hAnsi="Arial" w:cs="Arial"/>
          <w:b w:val="0"/>
          <w:bCs w:val="0"/>
          <w:i/>
          <w:sz w:val="24"/>
        </w:rPr>
        <w:t>V</w:t>
      </w:r>
      <w:r w:rsidRPr="00627F23">
        <w:rPr>
          <w:rFonts w:ascii="Arial" w:eastAsia="Times New Roman" w:hAnsi="Arial" w:cs="Arial"/>
          <w:b w:val="0"/>
          <w:bCs w:val="0"/>
          <w:i/>
          <w:sz w:val="24"/>
          <w:vertAlign w:val="subscript"/>
        </w:rPr>
        <w:t>ccd</w:t>
      </w:r>
      <w:r w:rsidRPr="00627F23">
        <w:rPr>
          <w:rFonts w:ascii="Arial" w:eastAsia="Times New Roman" w:hAnsi="Arial" w:cs="Arial"/>
          <w:b w:val="0"/>
          <w:bCs w:val="0"/>
          <w:sz w:val="24"/>
        </w:rPr>
        <w:t xml:space="preserve"> de salida del filtro paso bajas representa el voltaje del canal de salida del DFS en cuadratura (con un ángulo </w:t>
      </w:r>
      <w:r w:rsidRPr="0004308A">
        <w:rPr>
          <w:rFonts w:eastAsia="Times New Roman"/>
          <w:b w:val="0"/>
          <w:bCs w:val="0"/>
          <w:i/>
          <w:sz w:val="24"/>
        </w:rPr>
        <w:t>Φ =90º</w:t>
      </w:r>
      <w:r w:rsidRPr="00627F23">
        <w:rPr>
          <w:rFonts w:ascii="Arial" w:eastAsia="Times New Roman" w:hAnsi="Arial" w:cs="Arial"/>
          <w:b w:val="0"/>
          <w:bCs w:val="0"/>
          <w:sz w:val="24"/>
        </w:rPr>
        <w:t>) y se muestra en la figura 11 como un voltaje de corriente directa.</w:t>
      </w:r>
    </w:p>
    <w:p w:rsidR="00C04E73" w:rsidRDefault="00C04E73" w:rsidP="00C04E73">
      <w:pPr>
        <w:pStyle w:val="Textoindependiente"/>
        <w:rPr>
          <w:rFonts w:ascii="Arial" w:hAnsi="Arial" w:cs="Arial"/>
          <w:b w:val="0"/>
          <w:sz w:val="24"/>
        </w:rPr>
      </w:pPr>
      <w:r>
        <w:rPr>
          <w:noProof/>
          <w:lang w:val="en-US"/>
        </w:rPr>
        <w:drawing>
          <wp:anchor distT="0" distB="0" distL="114300" distR="114300" simplePos="0" relativeHeight="251845632" behindDoc="0" locked="0" layoutInCell="1" allowOverlap="1" wp14:anchorId="7D9C34C4" wp14:editId="6CA14ABF">
            <wp:simplePos x="0" y="0"/>
            <wp:positionH relativeFrom="column">
              <wp:posOffset>286385</wp:posOffset>
            </wp:positionH>
            <wp:positionV relativeFrom="paragraph">
              <wp:posOffset>122555</wp:posOffset>
            </wp:positionV>
            <wp:extent cx="5398770" cy="1556385"/>
            <wp:effectExtent l="0" t="0" r="0" b="5715"/>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324">
                      <a:extLst>
                        <a:ext uri="{28A0092B-C50C-407E-A947-70E740481C1C}">
                          <a14:useLocalDpi xmlns:a14="http://schemas.microsoft.com/office/drawing/2010/main" val="0"/>
                        </a:ext>
                      </a:extLst>
                    </a:blip>
                    <a:srcRect/>
                    <a:stretch>
                      <a:fillRect/>
                    </a:stretch>
                  </pic:blipFill>
                  <pic:spPr bwMode="auto">
                    <a:xfrm>
                      <a:off x="0" y="0"/>
                      <a:ext cx="5398770" cy="1556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Default="00C04E73" w:rsidP="00C04E73">
      <w:pPr>
        <w:pStyle w:val="Textoindependiente"/>
        <w:rPr>
          <w:rFonts w:ascii="Arial" w:hAnsi="Arial" w:cs="Arial"/>
          <w:b w:val="0"/>
          <w:sz w:val="24"/>
        </w:rPr>
      </w:pPr>
    </w:p>
    <w:p w:rsidR="00C04E73" w:rsidRPr="00627F23" w:rsidRDefault="00C04E73" w:rsidP="00C04E73">
      <w:pPr>
        <w:pStyle w:val="Textoindependiente"/>
        <w:jc w:val="center"/>
        <w:rPr>
          <w:rFonts w:ascii="Arial" w:hAnsi="Arial" w:cs="Arial"/>
          <w:b w:val="0"/>
          <w:i/>
          <w:sz w:val="20"/>
          <w:szCs w:val="20"/>
        </w:rPr>
      </w:pPr>
      <w:r w:rsidRPr="00627F23">
        <w:rPr>
          <w:rFonts w:ascii="Arial" w:hAnsi="Arial" w:cs="Arial"/>
          <w:b w:val="0"/>
          <w:i/>
          <w:sz w:val="20"/>
          <w:szCs w:val="20"/>
        </w:rPr>
        <w:t>Figura 11. Señal de voltaje V</w:t>
      </w:r>
      <w:r w:rsidRPr="00627F23">
        <w:rPr>
          <w:rFonts w:ascii="Arial" w:hAnsi="Arial" w:cs="Arial"/>
          <w:b w:val="0"/>
          <w:i/>
          <w:sz w:val="20"/>
          <w:szCs w:val="20"/>
          <w:vertAlign w:val="subscript"/>
        </w:rPr>
        <w:t>ccd</w:t>
      </w:r>
      <w:r w:rsidRPr="00627F23">
        <w:rPr>
          <w:rFonts w:ascii="Arial" w:hAnsi="Arial" w:cs="Arial"/>
          <w:b w:val="0"/>
          <w:i/>
          <w:sz w:val="20"/>
          <w:szCs w:val="20"/>
        </w:rPr>
        <w:t xml:space="preserve"> de salida del filtro paso bajas para el canal de demodulación síncrona en cuadratura.</w:t>
      </w:r>
    </w:p>
    <w:p w:rsidR="00C04E73" w:rsidRDefault="00C04E73" w:rsidP="00C04E73">
      <w:pPr>
        <w:pStyle w:val="Textoindependiente"/>
        <w:rPr>
          <w:rFonts w:ascii="Arial" w:hAnsi="Arial" w:cs="Arial"/>
          <w:b w:val="0"/>
          <w:sz w:val="24"/>
        </w:rPr>
      </w:pPr>
    </w:p>
    <w:p w:rsidR="00C04E73" w:rsidRPr="00627F23" w:rsidRDefault="00C04E73" w:rsidP="00C04E73">
      <w:pPr>
        <w:ind w:firstLine="567"/>
        <w:jc w:val="both"/>
        <w:rPr>
          <w:rFonts w:ascii="Arial" w:eastAsia="Times New Roman" w:hAnsi="Arial" w:cs="Arial"/>
        </w:rPr>
      </w:pPr>
      <w:r w:rsidRPr="00627F23">
        <w:rPr>
          <w:rFonts w:ascii="Arial" w:eastAsia="Times New Roman" w:hAnsi="Arial" w:cs="Arial"/>
        </w:rPr>
        <w:t xml:space="preserve">El voltaje negativo de salida </w:t>
      </w:r>
      <w:r w:rsidRPr="00627F23">
        <w:rPr>
          <w:rFonts w:eastAsia="Times New Roman"/>
          <w:i/>
        </w:rPr>
        <w:t>V</w:t>
      </w:r>
      <w:r w:rsidRPr="00627F23">
        <w:rPr>
          <w:rFonts w:eastAsia="Times New Roman"/>
          <w:i/>
          <w:vertAlign w:val="subscript"/>
        </w:rPr>
        <w:t>ccd</w:t>
      </w:r>
      <w:r w:rsidRPr="00627F23">
        <w:rPr>
          <w:rFonts w:ascii="Arial" w:eastAsia="Times New Roman" w:hAnsi="Arial" w:cs="Arial"/>
        </w:rPr>
        <w:t xml:space="preserve"> del canal de DSF en cuadratura representa un ángulo </w:t>
      </w:r>
      <w:r w:rsidRPr="00627F23">
        <w:rPr>
          <w:rFonts w:eastAsia="Times New Roman"/>
          <w:i/>
          <w:iCs/>
        </w:rPr>
        <w:t>θ</w:t>
      </w:r>
      <w:r w:rsidRPr="00627F23">
        <w:rPr>
          <w:rFonts w:ascii="Arial" w:eastAsia="Times New Roman" w:hAnsi="Arial" w:cs="Arial"/>
        </w:rPr>
        <w:t xml:space="preserve"> de retraso en la señal de voltaje </w:t>
      </w:r>
      <w:r w:rsidRPr="00627F23">
        <w:rPr>
          <w:rFonts w:eastAsia="Times New Roman"/>
          <w:i/>
        </w:rPr>
        <w:t>V</w:t>
      </w:r>
      <w:r w:rsidRPr="00627F23">
        <w:rPr>
          <w:rFonts w:eastAsia="Times New Roman"/>
          <w:i/>
          <w:vertAlign w:val="subscript"/>
        </w:rPr>
        <w:t>s2</w:t>
      </w:r>
      <w:r w:rsidRPr="00627F23">
        <w:rPr>
          <w:rFonts w:ascii="Arial" w:eastAsia="Times New Roman" w:hAnsi="Arial" w:cs="Arial"/>
        </w:rPr>
        <w:t xml:space="preserve"> con respecto de la señal de voltaje </w:t>
      </w:r>
      <w:r w:rsidRPr="00627F23">
        <w:rPr>
          <w:rFonts w:eastAsia="Times New Roman"/>
          <w:i/>
        </w:rPr>
        <w:t>V</w:t>
      </w:r>
      <w:r w:rsidRPr="00627F23">
        <w:rPr>
          <w:rFonts w:eastAsia="Times New Roman"/>
          <w:i/>
          <w:vertAlign w:val="subscript"/>
        </w:rPr>
        <w:t>es</w:t>
      </w:r>
      <w:r w:rsidRPr="00627F23">
        <w:rPr>
          <w:rFonts w:ascii="Arial" w:eastAsia="Times New Roman" w:hAnsi="Arial" w:cs="Arial"/>
          <w:iCs/>
        </w:rPr>
        <w:t>,</w:t>
      </w:r>
      <w:r w:rsidRPr="00627F23">
        <w:rPr>
          <w:rFonts w:ascii="Arial" w:eastAsia="Times New Roman" w:hAnsi="Arial" w:cs="Arial"/>
        </w:rPr>
        <w:t xml:space="preserve"> como se muestra en la figura 3. Sin embargo, se utiliza el valor absoluto solamente para el cálculo de la capacitancia. De esta forma el valor de la capacitancia </w:t>
      </w:r>
      <w:r w:rsidRPr="0004308A">
        <w:rPr>
          <w:rFonts w:eastAsia="Times New Roman"/>
          <w:i/>
        </w:rPr>
        <w:t>C</w:t>
      </w:r>
      <w:r w:rsidRPr="00627F23">
        <w:rPr>
          <w:rFonts w:ascii="Arial" w:eastAsia="Times New Roman" w:hAnsi="Arial" w:cs="Arial"/>
        </w:rPr>
        <w:t xml:space="preserve"> en función del voltaje </w:t>
      </w:r>
      <w:r w:rsidRPr="00627F23">
        <w:rPr>
          <w:rFonts w:eastAsia="Times New Roman"/>
          <w:i/>
        </w:rPr>
        <w:t>V</w:t>
      </w:r>
      <w:r w:rsidRPr="00627F23">
        <w:rPr>
          <w:rFonts w:eastAsia="Times New Roman"/>
          <w:i/>
          <w:vertAlign w:val="subscript"/>
        </w:rPr>
        <w:t>ccd</w:t>
      </w:r>
      <w:r w:rsidRPr="00627F23">
        <w:rPr>
          <w:rFonts w:ascii="Arial" w:eastAsia="Times New Roman" w:hAnsi="Arial" w:cs="Arial"/>
        </w:rPr>
        <w:t xml:space="preserve"> y del ángulo </w:t>
      </w:r>
      <w:r w:rsidRPr="00627F23">
        <w:rPr>
          <w:rFonts w:eastAsia="Times New Roman"/>
          <w:i/>
        </w:rPr>
        <w:t>Φ = 90º</w:t>
      </w:r>
      <w:r w:rsidRPr="00627F23">
        <w:rPr>
          <w:rFonts w:ascii="Arial" w:eastAsia="Times New Roman" w:hAnsi="Arial" w:cs="Arial"/>
        </w:rPr>
        <w:t xml:space="preserve"> se obtiene con la siguiente ecuación,</w:t>
      </w:r>
    </w:p>
    <w:p w:rsidR="00C04E73" w:rsidRPr="00627F23" w:rsidRDefault="00C04E73" w:rsidP="00C04E73">
      <w:pPr>
        <w:ind w:firstLine="567"/>
        <w:jc w:val="both"/>
        <w:rPr>
          <w:rFonts w:ascii="Arial" w:eastAsia="Times New Roman" w:hAnsi="Arial" w:cs="Arial"/>
        </w:rPr>
      </w:pPr>
    </w:p>
    <w:p w:rsidR="00C04E73" w:rsidRPr="00627F23" w:rsidRDefault="00C04E73" w:rsidP="00C04E73">
      <w:pPr>
        <w:ind w:firstLine="567"/>
        <w:jc w:val="right"/>
        <w:rPr>
          <w:rFonts w:ascii="Arial" w:eastAsia="Times New Roman" w:hAnsi="Arial" w:cs="Arial"/>
        </w:rPr>
      </w:pPr>
      <m:oMath>
        <m:r>
          <w:rPr>
            <w:rFonts w:ascii="Cambria Math" w:eastAsia="Times New Roman" w:hAnsi="Cambria Math"/>
            <w:sz w:val="22"/>
            <w:szCs w:val="22"/>
          </w:rPr>
          <m:t>C=</m:t>
        </m:r>
        <m:f>
          <m:fPr>
            <m:ctrlPr>
              <w:rPr>
                <w:rFonts w:ascii="Cambria Math" w:eastAsia="Times New Roman" w:hAnsi="Cambria Math"/>
                <w:i/>
                <w:sz w:val="22"/>
                <w:szCs w:val="22"/>
              </w:rPr>
            </m:ctrlPr>
          </m:fPr>
          <m:num>
            <m:r>
              <w:rPr>
                <w:rFonts w:ascii="Cambria Math" w:eastAsia="Times New Roman" w:hAnsi="Cambria Math"/>
                <w:sz w:val="22"/>
                <w:szCs w:val="22"/>
              </w:rPr>
              <m:t>1</m:t>
            </m:r>
          </m:num>
          <m:den>
            <m:r>
              <w:rPr>
                <w:rFonts w:ascii="Cambria Math" w:eastAsia="Times New Roman" w:hAnsi="Cambria Math"/>
                <w:sz w:val="22"/>
                <w:szCs w:val="22"/>
              </w:rPr>
              <m:t>ωR1</m:t>
            </m:r>
            <m:d>
              <m:dPr>
                <m:ctrlPr>
                  <w:rPr>
                    <w:rFonts w:ascii="Cambria Math" w:eastAsia="Times New Roman" w:hAnsi="Cambria Math"/>
                    <w:i/>
                    <w:sz w:val="22"/>
                    <w:szCs w:val="22"/>
                  </w:rPr>
                </m:ctrlPr>
              </m:dPr>
              <m:e>
                <m:f>
                  <m:fPr>
                    <m:ctrlPr>
                      <w:rPr>
                        <w:rFonts w:ascii="Cambria Math" w:eastAsia="Times New Roman" w:hAnsi="Cambria Math"/>
                        <w:i/>
                        <w:sz w:val="22"/>
                        <w:szCs w:val="22"/>
                      </w:rPr>
                    </m:ctrlPr>
                  </m:fPr>
                  <m:num>
                    <m:r>
                      <w:rPr>
                        <w:rFonts w:ascii="Cambria Math" w:eastAsia="Times New Roman" w:hAnsi="Cambria Math"/>
                        <w:sz w:val="22"/>
                        <w:szCs w:val="22"/>
                      </w:rPr>
                      <m:t>2A</m:t>
                    </m:r>
                  </m:num>
                  <m:den>
                    <m:r>
                      <w:rPr>
                        <w:rFonts w:ascii="Cambria Math" w:eastAsia="Times New Roman" w:hAnsi="Cambria Math"/>
                        <w:sz w:val="22"/>
                        <w:szCs w:val="22"/>
                      </w:rPr>
                      <m:t>π</m:t>
                    </m:r>
                    <m:sSub>
                      <m:sSubPr>
                        <m:ctrlPr>
                          <w:rPr>
                            <w:rFonts w:ascii="Cambria Math" w:eastAsia="Times New Roman" w:hAnsi="Cambria Math"/>
                            <w:i/>
                            <w:sz w:val="22"/>
                            <w:szCs w:val="22"/>
                          </w:rPr>
                        </m:ctrlPr>
                      </m:sSubPr>
                      <m:e>
                        <m:r>
                          <w:rPr>
                            <w:rFonts w:ascii="Cambria Math" w:eastAsia="Times New Roman" w:hAnsi="Cambria Math"/>
                            <w:sz w:val="22"/>
                            <w:szCs w:val="22"/>
                          </w:rPr>
                          <m:t>V</m:t>
                        </m:r>
                      </m:e>
                      <m:sub>
                        <m:r>
                          <w:rPr>
                            <w:rFonts w:ascii="Cambria Math" w:eastAsia="Times New Roman" w:hAnsi="Cambria Math"/>
                            <w:sz w:val="22"/>
                            <w:szCs w:val="22"/>
                          </w:rPr>
                          <m:t>ccd</m:t>
                        </m:r>
                      </m:sub>
                    </m:sSub>
                  </m:den>
                </m:f>
              </m:e>
            </m:d>
          </m:den>
        </m:f>
      </m:oMath>
      <w:r w:rsidRPr="00627F23">
        <w:rPr>
          <w:rFonts w:ascii="Arial" w:eastAsia="Times New Roman" w:hAnsi="Arial" w:cs="Arial"/>
        </w:rPr>
        <w:t xml:space="preserve"> </w:t>
      </w:r>
      <w:r>
        <w:rPr>
          <w:rFonts w:ascii="Arial" w:eastAsia="Times New Roman" w:hAnsi="Arial" w:cs="Arial"/>
        </w:rPr>
        <w:t>.</w:t>
      </w:r>
      <w:r w:rsidRPr="00627F23">
        <w:rPr>
          <w:rFonts w:ascii="Arial" w:eastAsia="Times New Roman" w:hAnsi="Arial" w:cs="Arial"/>
        </w:rPr>
        <w:t xml:space="preserve">                                                      (13)</w:t>
      </w:r>
    </w:p>
    <w:p w:rsidR="00C04E73" w:rsidRPr="00627F23" w:rsidRDefault="00C04E73" w:rsidP="00C04E73">
      <w:pPr>
        <w:ind w:firstLine="567"/>
        <w:jc w:val="both"/>
        <w:rPr>
          <w:rFonts w:ascii="Arial" w:eastAsia="Times New Roman" w:hAnsi="Arial" w:cs="Arial"/>
        </w:rPr>
      </w:pPr>
    </w:p>
    <w:p w:rsidR="00C04E73" w:rsidRPr="00627F23" w:rsidRDefault="00C04E73" w:rsidP="00C04E73">
      <w:pPr>
        <w:ind w:firstLine="567"/>
        <w:jc w:val="both"/>
        <w:rPr>
          <w:rFonts w:ascii="Arial" w:eastAsia="Times New Roman" w:hAnsi="Arial" w:cs="Arial"/>
        </w:rPr>
      </w:pPr>
      <w:r w:rsidRPr="00627F23">
        <w:rPr>
          <w:rFonts w:ascii="Arial" w:eastAsia="Times New Roman" w:hAnsi="Arial" w:cs="Arial"/>
        </w:rPr>
        <w:t xml:space="preserve">Como se puede observar, las expresiones (9) y (13) para el cálculo de </w:t>
      </w:r>
      <w:bookmarkStart w:id="432" w:name="_Hlk34244840"/>
      <w:r w:rsidRPr="00627F23">
        <w:rPr>
          <w:rFonts w:eastAsia="Times New Roman"/>
          <w:i/>
        </w:rPr>
        <w:t>R</w:t>
      </w:r>
      <w:r w:rsidRPr="00627F23">
        <w:rPr>
          <w:rFonts w:ascii="Arial" w:eastAsia="Times New Roman" w:hAnsi="Arial" w:cs="Arial"/>
        </w:rPr>
        <w:t xml:space="preserve"> y </w:t>
      </w:r>
      <w:r w:rsidRPr="00627F23">
        <w:rPr>
          <w:rFonts w:eastAsia="Times New Roman"/>
          <w:i/>
        </w:rPr>
        <w:t>C</w:t>
      </w:r>
      <w:bookmarkEnd w:id="432"/>
      <w:r w:rsidRPr="00627F23">
        <w:rPr>
          <w:rFonts w:ascii="Arial" w:eastAsia="Times New Roman" w:hAnsi="Arial" w:cs="Arial"/>
        </w:rPr>
        <w:t xml:space="preserve"> respectivamente, quedan en función de los voltajes de salida </w:t>
      </w:r>
      <w:r w:rsidRPr="00627F23">
        <w:rPr>
          <w:rFonts w:eastAsia="Times New Roman"/>
          <w:i/>
        </w:rPr>
        <w:t>V</w:t>
      </w:r>
      <w:r w:rsidRPr="00627F23">
        <w:rPr>
          <w:rFonts w:eastAsia="Times New Roman"/>
          <w:i/>
          <w:vertAlign w:val="subscript"/>
        </w:rPr>
        <w:t>fcd</w:t>
      </w:r>
      <w:r w:rsidRPr="00627F23">
        <w:rPr>
          <w:rFonts w:ascii="Arial" w:eastAsia="Times New Roman" w:hAnsi="Arial" w:cs="Arial"/>
        </w:rPr>
        <w:t xml:space="preserve"> y </w:t>
      </w:r>
      <w:r w:rsidRPr="00627F23">
        <w:rPr>
          <w:rFonts w:eastAsia="Times New Roman"/>
          <w:i/>
        </w:rPr>
        <w:t>V</w:t>
      </w:r>
      <w:r w:rsidRPr="00627F23">
        <w:rPr>
          <w:rFonts w:eastAsia="Times New Roman"/>
          <w:i/>
          <w:vertAlign w:val="subscript"/>
        </w:rPr>
        <w:t>ccd</w:t>
      </w:r>
      <w:r w:rsidRPr="00627F23">
        <w:rPr>
          <w:rFonts w:ascii="Arial" w:eastAsia="Times New Roman" w:hAnsi="Arial" w:cs="Arial"/>
        </w:rPr>
        <w:t xml:space="preserve"> obtenidos directamente de las simulaciones del SMV y de las ganancias en sus correspondientes componentes resist</w:t>
      </w:r>
      <w:r>
        <w:rPr>
          <w:rFonts w:ascii="Arial" w:eastAsia="Times New Roman" w:hAnsi="Arial" w:cs="Arial"/>
        </w:rPr>
        <w:t>iva y reactiva del circuito RC.</w:t>
      </w:r>
    </w:p>
    <w:p w:rsidR="00C04E73" w:rsidRPr="00627F23" w:rsidRDefault="00C04E73" w:rsidP="00C04E73">
      <w:pPr>
        <w:ind w:firstLine="567"/>
        <w:jc w:val="both"/>
        <w:rPr>
          <w:rFonts w:ascii="Arial" w:eastAsia="Times New Roman" w:hAnsi="Arial" w:cs="Arial"/>
        </w:rPr>
      </w:pPr>
    </w:p>
    <w:p w:rsidR="00C04E73" w:rsidRPr="00627F23" w:rsidRDefault="00C04E73" w:rsidP="00C04E73">
      <w:pPr>
        <w:pStyle w:val="1Titulo"/>
        <w:numPr>
          <w:ilvl w:val="0"/>
          <w:numId w:val="0"/>
        </w:numPr>
        <w:ind w:left="357" w:hanging="357"/>
      </w:pPr>
      <w:bookmarkStart w:id="433" w:name="_Toc50031463"/>
      <w:r>
        <w:t>4.</w:t>
      </w:r>
      <w:r w:rsidRPr="00627F23">
        <w:t>Resultados</w:t>
      </w:r>
      <w:bookmarkEnd w:id="433"/>
    </w:p>
    <w:p w:rsidR="00C04E73" w:rsidRPr="00627F23" w:rsidRDefault="00C04E73" w:rsidP="00C04E73">
      <w:pPr>
        <w:ind w:firstLine="567"/>
        <w:jc w:val="both"/>
        <w:rPr>
          <w:rFonts w:ascii="Arial" w:eastAsia="Times New Roman" w:hAnsi="Arial" w:cs="Arial"/>
        </w:rPr>
      </w:pPr>
    </w:p>
    <w:p w:rsidR="00C04E73" w:rsidRPr="00627F23" w:rsidRDefault="00C04E73" w:rsidP="00C04E73">
      <w:pPr>
        <w:ind w:firstLine="567"/>
        <w:jc w:val="both"/>
        <w:rPr>
          <w:rFonts w:ascii="Arial" w:eastAsia="Times New Roman" w:hAnsi="Arial" w:cs="Arial"/>
        </w:rPr>
      </w:pPr>
      <w:r w:rsidRPr="00627F23">
        <w:rPr>
          <w:rFonts w:ascii="Arial" w:eastAsia="Times New Roman" w:hAnsi="Arial" w:cs="Arial"/>
        </w:rPr>
        <w:t xml:space="preserve">Se realizaron simulaciones con el SMV propuesto con un circuito RC en paralelo variando el valor de resistencia ideal y manteniendo el valor del capacitor ideal constante. Los valores de voltajes </w:t>
      </w:r>
      <w:r w:rsidRPr="00820813">
        <w:rPr>
          <w:rFonts w:eastAsia="Times New Roman"/>
          <w:i/>
        </w:rPr>
        <w:t>V</w:t>
      </w:r>
      <w:r w:rsidRPr="00820813">
        <w:rPr>
          <w:rFonts w:eastAsia="Times New Roman"/>
          <w:i/>
          <w:vertAlign w:val="subscript"/>
        </w:rPr>
        <w:t>fcd</w:t>
      </w:r>
      <w:r w:rsidRPr="00627F23">
        <w:rPr>
          <w:rFonts w:ascii="Arial" w:eastAsia="Times New Roman" w:hAnsi="Arial" w:cs="Arial"/>
        </w:rPr>
        <w:t xml:space="preserve"> y </w:t>
      </w:r>
      <w:r w:rsidRPr="00820813">
        <w:rPr>
          <w:rFonts w:eastAsia="Times New Roman"/>
          <w:i/>
        </w:rPr>
        <w:t>V</w:t>
      </w:r>
      <w:r w:rsidRPr="00820813">
        <w:rPr>
          <w:rFonts w:eastAsia="Times New Roman"/>
          <w:i/>
          <w:vertAlign w:val="subscript"/>
        </w:rPr>
        <w:t>ccd</w:t>
      </w:r>
      <w:r w:rsidRPr="00627F23">
        <w:rPr>
          <w:rFonts w:ascii="Arial" w:eastAsia="Times New Roman" w:hAnsi="Arial" w:cs="Arial"/>
        </w:rPr>
        <w:t xml:space="preserve"> obtenidos se sustituyen en las expresiones (9) y (13) correspondientes para calcular </w:t>
      </w:r>
      <w:r w:rsidRPr="00820813">
        <w:rPr>
          <w:rFonts w:eastAsia="Times New Roman"/>
          <w:i/>
        </w:rPr>
        <w:t>R</w:t>
      </w:r>
      <w:r w:rsidRPr="00820813">
        <w:rPr>
          <w:rFonts w:eastAsia="Times New Roman"/>
          <w:i/>
          <w:vertAlign w:val="subscript"/>
        </w:rPr>
        <w:t>S</w:t>
      </w:r>
      <w:r w:rsidRPr="00820813">
        <w:rPr>
          <w:rFonts w:eastAsia="Times New Roman"/>
          <w:i/>
        </w:rPr>
        <w:t>(V</w:t>
      </w:r>
      <w:r w:rsidRPr="00820813">
        <w:rPr>
          <w:rFonts w:eastAsia="Times New Roman"/>
          <w:i/>
          <w:vertAlign w:val="subscript"/>
        </w:rPr>
        <w:t>fcd</w:t>
      </w:r>
      <w:r w:rsidRPr="00820813">
        <w:rPr>
          <w:rFonts w:eastAsia="Times New Roman"/>
          <w:i/>
        </w:rPr>
        <w:t>)</w:t>
      </w:r>
      <w:r w:rsidRPr="00627F23">
        <w:rPr>
          <w:rFonts w:ascii="Arial" w:eastAsia="Times New Roman" w:hAnsi="Arial" w:cs="Arial"/>
        </w:rPr>
        <w:t xml:space="preserve"> y </w:t>
      </w:r>
      <w:r w:rsidRPr="00820813">
        <w:rPr>
          <w:rFonts w:eastAsia="Times New Roman"/>
          <w:i/>
        </w:rPr>
        <w:t>C</w:t>
      </w:r>
      <w:r w:rsidRPr="00820813">
        <w:rPr>
          <w:rFonts w:eastAsia="Times New Roman"/>
          <w:i/>
          <w:vertAlign w:val="subscript"/>
        </w:rPr>
        <w:t>S</w:t>
      </w:r>
      <w:r w:rsidRPr="00820813">
        <w:rPr>
          <w:rFonts w:eastAsia="Times New Roman"/>
          <w:i/>
        </w:rPr>
        <w:t>(V</w:t>
      </w:r>
      <w:r w:rsidRPr="00820813">
        <w:rPr>
          <w:rFonts w:eastAsia="Times New Roman"/>
          <w:i/>
          <w:vertAlign w:val="subscript"/>
        </w:rPr>
        <w:t>ccd</w:t>
      </w:r>
      <w:r w:rsidRPr="00820813">
        <w:rPr>
          <w:rFonts w:eastAsia="Times New Roman"/>
          <w:i/>
        </w:rPr>
        <w:t>)</w:t>
      </w:r>
      <w:r w:rsidRPr="00627F23">
        <w:rPr>
          <w:rFonts w:ascii="Arial" w:eastAsia="Times New Roman" w:hAnsi="Arial" w:cs="Arial"/>
          <w:iCs/>
        </w:rPr>
        <w:t xml:space="preserve">. </w:t>
      </w:r>
      <w:r w:rsidRPr="00627F23">
        <w:rPr>
          <w:rFonts w:ascii="Arial" w:eastAsia="Times New Roman" w:hAnsi="Arial" w:cs="Arial"/>
        </w:rPr>
        <w:t xml:space="preserve"> Con los valores de </w:t>
      </w:r>
      <w:r w:rsidRPr="00820813">
        <w:rPr>
          <w:rFonts w:eastAsia="Times New Roman"/>
          <w:i/>
        </w:rPr>
        <w:t>R</w:t>
      </w:r>
      <w:r w:rsidRPr="00627F23">
        <w:rPr>
          <w:rFonts w:ascii="Arial" w:eastAsia="Times New Roman" w:hAnsi="Arial" w:cs="Arial"/>
        </w:rPr>
        <w:t xml:space="preserve"> y </w:t>
      </w:r>
      <w:r w:rsidRPr="00820813">
        <w:rPr>
          <w:rFonts w:eastAsia="Times New Roman"/>
          <w:i/>
        </w:rPr>
        <w:t>C</w:t>
      </w:r>
      <w:r w:rsidRPr="00627F23">
        <w:rPr>
          <w:rFonts w:ascii="Arial" w:eastAsia="Times New Roman" w:hAnsi="Arial" w:cs="Arial"/>
        </w:rPr>
        <w:t xml:space="preserve"> ideales y simulados se obtiene el error relativo para cada uno tomando como valores verdaderos los ideales. Además se calcularon los valores de impedancia </w:t>
      </w:r>
      <w:r w:rsidRPr="00820813">
        <w:rPr>
          <w:rFonts w:eastAsia="Times New Roman"/>
        </w:rPr>
        <w:t>Z</w:t>
      </w:r>
      <w:r w:rsidRPr="00627F23">
        <w:rPr>
          <w:rFonts w:ascii="Arial" w:eastAsia="Times New Roman" w:hAnsi="Arial" w:cs="Arial"/>
        </w:rPr>
        <w:t xml:space="preserve"> y ángulo de desfasamiento </w:t>
      </w:r>
      <w:r w:rsidRPr="00820813">
        <w:rPr>
          <w:rFonts w:eastAsia="Times New Roman"/>
          <w:i/>
          <w:iCs/>
        </w:rPr>
        <w:t>θ</w:t>
      </w:r>
      <w:r w:rsidRPr="00627F23">
        <w:rPr>
          <w:rFonts w:ascii="Arial" w:eastAsia="Times New Roman" w:hAnsi="Arial" w:cs="Arial"/>
        </w:rPr>
        <w:t xml:space="preserve"> aplicando los conceptos teóricos de impedancia eléctrica utilizando los valores de </w:t>
      </w:r>
      <w:r w:rsidRPr="0004308A">
        <w:rPr>
          <w:rFonts w:eastAsia="Times New Roman"/>
          <w:i/>
        </w:rPr>
        <w:t>R</w:t>
      </w:r>
      <w:r w:rsidRPr="00627F23">
        <w:rPr>
          <w:rFonts w:ascii="Arial" w:eastAsia="Times New Roman" w:hAnsi="Arial" w:cs="Arial"/>
        </w:rPr>
        <w:t xml:space="preserve"> y </w:t>
      </w:r>
      <w:r w:rsidRPr="0004308A">
        <w:rPr>
          <w:rFonts w:eastAsia="Times New Roman"/>
          <w:i/>
        </w:rPr>
        <w:t>C</w:t>
      </w:r>
      <w:r w:rsidRPr="00627F23">
        <w:rPr>
          <w:rFonts w:ascii="Arial" w:eastAsia="Times New Roman" w:hAnsi="Arial" w:cs="Arial"/>
        </w:rPr>
        <w:t xml:space="preserve"> ideales propuestos y los obtenidos con las simulaciones, con el fin de realizar una comparación entre estos.</w:t>
      </w:r>
    </w:p>
    <w:p w:rsidR="00C04E73" w:rsidRPr="00627F23" w:rsidRDefault="00C04E73" w:rsidP="00C04E73">
      <w:pPr>
        <w:pStyle w:val="Textoindependiente"/>
        <w:jc w:val="both"/>
        <w:rPr>
          <w:rFonts w:ascii="Arial" w:hAnsi="Arial" w:cs="Arial"/>
          <w:b w:val="0"/>
          <w:sz w:val="24"/>
        </w:rPr>
      </w:pPr>
      <w:r w:rsidRPr="00627F23">
        <w:rPr>
          <w:rFonts w:ascii="Arial" w:eastAsia="Times New Roman" w:hAnsi="Arial" w:cs="Arial"/>
          <w:b w:val="0"/>
          <w:bCs w:val="0"/>
          <w:sz w:val="24"/>
        </w:rPr>
        <w:t xml:space="preserve"> Se completó una tabla de valores de </w:t>
      </w:r>
      <w:r w:rsidRPr="00820813">
        <w:rPr>
          <w:rFonts w:eastAsia="Times New Roman"/>
          <w:b w:val="0"/>
          <w:bCs w:val="0"/>
          <w:i/>
          <w:iCs/>
          <w:sz w:val="24"/>
        </w:rPr>
        <w:t>R</w:t>
      </w:r>
      <w:r w:rsidRPr="00627F23">
        <w:rPr>
          <w:rFonts w:ascii="Arial" w:eastAsia="Times New Roman" w:hAnsi="Arial" w:cs="Arial"/>
          <w:b w:val="0"/>
          <w:bCs w:val="0"/>
          <w:sz w:val="24"/>
        </w:rPr>
        <w:t xml:space="preserve"> y </w:t>
      </w:r>
      <w:r w:rsidRPr="00820813">
        <w:rPr>
          <w:rFonts w:eastAsia="Times New Roman"/>
          <w:b w:val="0"/>
          <w:bCs w:val="0"/>
          <w:i/>
          <w:iCs/>
          <w:sz w:val="24"/>
        </w:rPr>
        <w:t>C</w:t>
      </w:r>
      <w:r w:rsidRPr="00627F23">
        <w:rPr>
          <w:rFonts w:ascii="Arial" w:eastAsia="Times New Roman" w:hAnsi="Arial" w:cs="Arial"/>
          <w:b w:val="0"/>
          <w:bCs w:val="0"/>
          <w:sz w:val="24"/>
        </w:rPr>
        <w:t xml:space="preserve"> propuestos y otros datos como la frecuencia </w:t>
      </w:r>
      <w:r w:rsidRPr="00820813">
        <w:rPr>
          <w:rFonts w:eastAsia="Times New Roman"/>
          <w:b w:val="0"/>
          <w:bCs w:val="0"/>
          <w:i/>
          <w:iCs/>
          <w:sz w:val="24"/>
        </w:rPr>
        <w:t>f</w:t>
      </w:r>
      <w:r w:rsidRPr="00627F23">
        <w:rPr>
          <w:rFonts w:ascii="Arial" w:eastAsia="Times New Roman" w:hAnsi="Arial" w:cs="Arial"/>
          <w:b w:val="0"/>
          <w:bCs w:val="0"/>
          <w:sz w:val="24"/>
        </w:rPr>
        <w:t xml:space="preserve">, la capacitancia </w:t>
      </w:r>
      <w:r w:rsidRPr="00820813">
        <w:rPr>
          <w:rFonts w:eastAsia="Times New Roman"/>
          <w:b w:val="0"/>
          <w:bCs w:val="0"/>
          <w:i/>
          <w:iCs/>
          <w:sz w:val="24"/>
        </w:rPr>
        <w:t>C</w:t>
      </w:r>
      <w:r w:rsidRPr="0004308A">
        <w:rPr>
          <w:rFonts w:eastAsia="Times New Roman"/>
          <w:b w:val="0"/>
          <w:bCs w:val="0"/>
          <w:i/>
          <w:iCs/>
          <w:sz w:val="24"/>
          <w:vertAlign w:val="subscript"/>
        </w:rPr>
        <w:t>3</w:t>
      </w:r>
      <w:r w:rsidRPr="00627F23">
        <w:rPr>
          <w:rFonts w:ascii="Arial" w:eastAsia="Times New Roman" w:hAnsi="Arial" w:cs="Arial"/>
          <w:b w:val="0"/>
          <w:bCs w:val="0"/>
          <w:sz w:val="24"/>
        </w:rPr>
        <w:t xml:space="preserve"> del desfasador, la resistencia </w:t>
      </w:r>
      <w:r w:rsidRPr="00820813">
        <w:rPr>
          <w:rFonts w:eastAsia="Times New Roman"/>
          <w:b w:val="0"/>
          <w:bCs w:val="0"/>
          <w:i/>
          <w:iCs/>
          <w:sz w:val="24"/>
        </w:rPr>
        <w:t>R</w:t>
      </w:r>
      <w:r w:rsidRPr="0004308A">
        <w:rPr>
          <w:rFonts w:eastAsia="Times New Roman"/>
          <w:b w:val="0"/>
          <w:bCs w:val="0"/>
          <w:i/>
          <w:iCs/>
          <w:sz w:val="24"/>
          <w:vertAlign w:val="subscript"/>
        </w:rPr>
        <w:t>1</w:t>
      </w:r>
      <w:r w:rsidRPr="00627F23">
        <w:rPr>
          <w:rFonts w:ascii="Arial" w:eastAsia="Times New Roman" w:hAnsi="Arial" w:cs="Arial"/>
          <w:b w:val="0"/>
          <w:bCs w:val="0"/>
          <w:sz w:val="24"/>
        </w:rPr>
        <w:t xml:space="preserve"> y la ganancia </w:t>
      </w:r>
      <w:r w:rsidRPr="00820813">
        <w:rPr>
          <w:rFonts w:eastAsia="Times New Roman"/>
          <w:b w:val="0"/>
          <w:bCs w:val="0"/>
          <w:i/>
          <w:iCs/>
          <w:sz w:val="24"/>
        </w:rPr>
        <w:t>G</w:t>
      </w:r>
      <w:r w:rsidRPr="0004308A">
        <w:rPr>
          <w:rFonts w:eastAsia="Times New Roman"/>
          <w:b w:val="0"/>
          <w:bCs w:val="0"/>
          <w:i/>
          <w:iCs/>
          <w:sz w:val="24"/>
          <w:vertAlign w:val="subscript"/>
        </w:rPr>
        <w:t>1</w:t>
      </w:r>
      <w:r w:rsidRPr="00627F23">
        <w:rPr>
          <w:rFonts w:ascii="Arial" w:eastAsia="Times New Roman" w:hAnsi="Arial" w:cs="Arial"/>
          <w:b w:val="0"/>
          <w:bCs w:val="0"/>
          <w:sz w:val="24"/>
        </w:rPr>
        <w:t xml:space="preserve"> de la etapa de amplificación A, la impedancia teórica</w:t>
      </w:r>
      <w:r w:rsidRPr="00627F23">
        <w:rPr>
          <w:rFonts w:ascii="Arial" w:eastAsia="Times New Roman" w:hAnsi="Arial" w:cs="Arial"/>
          <w:b w:val="0"/>
          <w:bCs w:val="0"/>
          <w:i/>
          <w:iCs/>
          <w:sz w:val="24"/>
        </w:rPr>
        <w:t xml:space="preserve"> </w:t>
      </w:r>
      <w:r w:rsidRPr="00820813">
        <w:rPr>
          <w:rFonts w:eastAsia="Times New Roman"/>
          <w:b w:val="0"/>
          <w:bCs w:val="0"/>
          <w:i/>
          <w:iCs/>
          <w:sz w:val="24"/>
        </w:rPr>
        <w:t>Z</w:t>
      </w:r>
      <w:r w:rsidRPr="00820813">
        <w:rPr>
          <w:rFonts w:eastAsia="Times New Roman"/>
          <w:b w:val="0"/>
          <w:bCs w:val="0"/>
          <w:i/>
          <w:iCs/>
          <w:sz w:val="24"/>
          <w:vertAlign w:val="subscript"/>
        </w:rPr>
        <w:t>T</w:t>
      </w:r>
      <w:r w:rsidRPr="00627F23">
        <w:rPr>
          <w:rFonts w:ascii="Arial" w:eastAsia="Times New Roman" w:hAnsi="Arial" w:cs="Arial"/>
          <w:b w:val="0"/>
          <w:bCs w:val="0"/>
          <w:sz w:val="24"/>
        </w:rPr>
        <w:t xml:space="preserve"> calculada, el ángulo </w:t>
      </w:r>
      <w:bookmarkStart w:id="434" w:name="_Hlk34245871"/>
      <w:r w:rsidRPr="00627F23">
        <w:rPr>
          <w:rFonts w:ascii="Arial" w:eastAsia="Times New Roman" w:hAnsi="Arial" w:cs="Arial"/>
          <w:b w:val="0"/>
          <w:bCs w:val="0"/>
          <w:sz w:val="24"/>
        </w:rPr>
        <w:t>teórico</w:t>
      </w:r>
      <w:r w:rsidRPr="00627F23">
        <w:rPr>
          <w:rFonts w:ascii="Arial" w:eastAsia="Times New Roman" w:hAnsi="Arial" w:cs="Arial"/>
          <w:b w:val="0"/>
          <w:bCs w:val="0"/>
          <w:i/>
          <w:iCs/>
          <w:sz w:val="24"/>
        </w:rPr>
        <w:t xml:space="preserve"> </w:t>
      </w:r>
      <w:r w:rsidRPr="00820813">
        <w:rPr>
          <w:rFonts w:eastAsia="Times New Roman"/>
          <w:b w:val="0"/>
          <w:bCs w:val="0"/>
          <w:i/>
          <w:iCs/>
          <w:sz w:val="24"/>
        </w:rPr>
        <w:t>θ</w:t>
      </w:r>
      <w:bookmarkEnd w:id="434"/>
      <w:r w:rsidRPr="00820813">
        <w:rPr>
          <w:rFonts w:eastAsia="Times New Roman"/>
          <w:b w:val="0"/>
          <w:bCs w:val="0"/>
          <w:i/>
          <w:iCs/>
          <w:sz w:val="24"/>
          <w:vertAlign w:val="subscript"/>
        </w:rPr>
        <w:t>T</w:t>
      </w:r>
      <w:r w:rsidRPr="00627F23">
        <w:rPr>
          <w:rFonts w:ascii="Arial" w:eastAsia="Times New Roman" w:hAnsi="Arial" w:cs="Arial"/>
          <w:b w:val="0"/>
          <w:bCs w:val="0"/>
          <w:sz w:val="24"/>
        </w:rPr>
        <w:t xml:space="preserve"> calculado, los voltajes de salida obtenidos </w:t>
      </w:r>
      <w:r w:rsidRPr="00820813">
        <w:rPr>
          <w:rFonts w:eastAsia="Times New Roman"/>
          <w:b w:val="0"/>
          <w:bCs w:val="0"/>
          <w:i/>
          <w:sz w:val="24"/>
        </w:rPr>
        <w:t>V</w:t>
      </w:r>
      <w:r w:rsidRPr="00820813">
        <w:rPr>
          <w:rFonts w:eastAsia="Times New Roman"/>
          <w:b w:val="0"/>
          <w:bCs w:val="0"/>
          <w:i/>
          <w:sz w:val="24"/>
          <w:vertAlign w:val="subscript"/>
        </w:rPr>
        <w:t>fcd</w:t>
      </w:r>
      <w:r w:rsidRPr="00627F23">
        <w:rPr>
          <w:rFonts w:ascii="Arial" w:eastAsia="Times New Roman" w:hAnsi="Arial" w:cs="Arial"/>
          <w:b w:val="0"/>
          <w:bCs w:val="0"/>
          <w:sz w:val="24"/>
        </w:rPr>
        <w:t xml:space="preserve"> y </w:t>
      </w:r>
      <w:r w:rsidRPr="00820813">
        <w:rPr>
          <w:rFonts w:eastAsia="Times New Roman"/>
          <w:b w:val="0"/>
          <w:bCs w:val="0"/>
          <w:i/>
          <w:sz w:val="24"/>
        </w:rPr>
        <w:t>V</w:t>
      </w:r>
      <w:r w:rsidRPr="00820813">
        <w:rPr>
          <w:rFonts w:eastAsia="Times New Roman"/>
          <w:b w:val="0"/>
          <w:bCs w:val="0"/>
          <w:i/>
          <w:sz w:val="24"/>
          <w:vertAlign w:val="subscript"/>
        </w:rPr>
        <w:t>ccd</w:t>
      </w:r>
      <w:r w:rsidRPr="00627F23">
        <w:rPr>
          <w:rFonts w:ascii="Arial" w:eastAsia="Times New Roman" w:hAnsi="Arial" w:cs="Arial"/>
          <w:b w:val="0"/>
          <w:bCs w:val="0"/>
          <w:sz w:val="24"/>
        </w:rPr>
        <w:t xml:space="preserve">, los valores de </w:t>
      </w:r>
      <w:r w:rsidRPr="00820813">
        <w:rPr>
          <w:rFonts w:eastAsia="Times New Roman"/>
          <w:b w:val="0"/>
          <w:bCs w:val="0"/>
          <w:i/>
          <w:sz w:val="24"/>
        </w:rPr>
        <w:t>R</w:t>
      </w:r>
      <w:r w:rsidRPr="00820813">
        <w:rPr>
          <w:rFonts w:eastAsia="Times New Roman"/>
          <w:b w:val="0"/>
          <w:bCs w:val="0"/>
          <w:i/>
          <w:sz w:val="24"/>
          <w:vertAlign w:val="subscript"/>
        </w:rPr>
        <w:t>S</w:t>
      </w:r>
      <w:r w:rsidRPr="00820813">
        <w:rPr>
          <w:rFonts w:eastAsia="Times New Roman"/>
          <w:b w:val="0"/>
          <w:bCs w:val="0"/>
          <w:i/>
          <w:sz w:val="24"/>
        </w:rPr>
        <w:t>(V</w:t>
      </w:r>
      <w:r w:rsidRPr="00820813">
        <w:rPr>
          <w:rFonts w:eastAsia="Times New Roman"/>
          <w:b w:val="0"/>
          <w:bCs w:val="0"/>
          <w:i/>
          <w:sz w:val="24"/>
          <w:vertAlign w:val="subscript"/>
        </w:rPr>
        <w:t>fcd</w:t>
      </w:r>
      <w:r w:rsidRPr="00820813">
        <w:rPr>
          <w:rFonts w:eastAsia="Times New Roman"/>
          <w:b w:val="0"/>
          <w:bCs w:val="0"/>
          <w:i/>
          <w:sz w:val="24"/>
        </w:rPr>
        <w:t>)</w:t>
      </w:r>
      <w:r w:rsidRPr="00627F23">
        <w:rPr>
          <w:rFonts w:ascii="Arial" w:eastAsia="Times New Roman" w:hAnsi="Arial" w:cs="Arial"/>
          <w:b w:val="0"/>
          <w:bCs w:val="0"/>
          <w:sz w:val="24"/>
        </w:rPr>
        <w:t xml:space="preserve"> y </w:t>
      </w:r>
      <w:r w:rsidRPr="00820813">
        <w:rPr>
          <w:rFonts w:eastAsia="Times New Roman"/>
          <w:b w:val="0"/>
          <w:bCs w:val="0"/>
          <w:i/>
          <w:sz w:val="24"/>
        </w:rPr>
        <w:t>C</w:t>
      </w:r>
      <w:r w:rsidRPr="00820813">
        <w:rPr>
          <w:rFonts w:eastAsia="Times New Roman"/>
          <w:b w:val="0"/>
          <w:bCs w:val="0"/>
          <w:i/>
          <w:sz w:val="24"/>
          <w:vertAlign w:val="subscript"/>
        </w:rPr>
        <w:t>S</w:t>
      </w:r>
      <w:r w:rsidRPr="00820813">
        <w:rPr>
          <w:rFonts w:eastAsia="Times New Roman"/>
          <w:b w:val="0"/>
          <w:bCs w:val="0"/>
          <w:i/>
          <w:sz w:val="24"/>
        </w:rPr>
        <w:t>(V</w:t>
      </w:r>
      <w:r w:rsidRPr="00820813">
        <w:rPr>
          <w:rFonts w:eastAsia="Times New Roman"/>
          <w:b w:val="0"/>
          <w:bCs w:val="0"/>
          <w:i/>
          <w:sz w:val="24"/>
          <w:vertAlign w:val="subscript"/>
        </w:rPr>
        <w:t>ccd</w:t>
      </w:r>
      <w:r w:rsidRPr="00820813">
        <w:rPr>
          <w:rFonts w:eastAsia="Times New Roman"/>
          <w:b w:val="0"/>
          <w:bCs w:val="0"/>
          <w:i/>
          <w:sz w:val="24"/>
        </w:rPr>
        <w:t>)</w:t>
      </w:r>
      <w:r w:rsidRPr="00627F23">
        <w:rPr>
          <w:rFonts w:ascii="Arial" w:eastAsia="Times New Roman" w:hAnsi="Arial" w:cs="Arial"/>
          <w:b w:val="0"/>
          <w:bCs w:val="0"/>
          <w:iCs/>
          <w:sz w:val="24"/>
        </w:rPr>
        <w:t>,</w:t>
      </w:r>
      <w:r w:rsidRPr="00627F23">
        <w:rPr>
          <w:rFonts w:ascii="Arial" w:eastAsia="Times New Roman" w:hAnsi="Arial" w:cs="Arial"/>
          <w:b w:val="0"/>
          <w:bCs w:val="0"/>
          <w:sz w:val="24"/>
        </w:rPr>
        <w:t xml:space="preserve"> la impedancia </w:t>
      </w:r>
      <w:r w:rsidRPr="00820813">
        <w:rPr>
          <w:rFonts w:eastAsia="Times New Roman"/>
          <w:b w:val="0"/>
          <w:bCs w:val="0"/>
          <w:i/>
          <w:iCs/>
          <w:sz w:val="24"/>
        </w:rPr>
        <w:t>Z</w:t>
      </w:r>
      <w:r w:rsidRPr="00820813">
        <w:rPr>
          <w:rFonts w:eastAsia="Times New Roman"/>
          <w:b w:val="0"/>
          <w:bCs w:val="0"/>
          <w:i/>
          <w:iCs/>
          <w:sz w:val="24"/>
          <w:vertAlign w:val="subscript"/>
        </w:rPr>
        <w:t>S</w:t>
      </w:r>
      <w:r w:rsidRPr="00627F23">
        <w:rPr>
          <w:rFonts w:ascii="Arial" w:eastAsia="Times New Roman" w:hAnsi="Arial" w:cs="Arial"/>
          <w:b w:val="0"/>
          <w:bCs w:val="0"/>
          <w:sz w:val="24"/>
        </w:rPr>
        <w:t xml:space="preserve"> y el ángulo </w:t>
      </w:r>
      <w:r w:rsidRPr="00820813">
        <w:rPr>
          <w:rFonts w:eastAsia="Times New Roman"/>
          <w:b w:val="0"/>
          <w:bCs w:val="0"/>
          <w:i/>
          <w:iCs/>
          <w:sz w:val="24"/>
        </w:rPr>
        <w:t>θ</w:t>
      </w:r>
      <w:r w:rsidRPr="00820813">
        <w:rPr>
          <w:rFonts w:eastAsia="Times New Roman"/>
          <w:b w:val="0"/>
          <w:bCs w:val="0"/>
          <w:i/>
          <w:iCs/>
          <w:sz w:val="24"/>
          <w:vertAlign w:val="subscript"/>
        </w:rPr>
        <w:t>S</w:t>
      </w:r>
      <w:r w:rsidRPr="00627F23">
        <w:rPr>
          <w:rFonts w:ascii="Arial" w:eastAsia="Times New Roman" w:hAnsi="Arial" w:cs="Arial"/>
          <w:b w:val="0"/>
          <w:bCs w:val="0"/>
          <w:sz w:val="24"/>
        </w:rPr>
        <w:t xml:space="preserve"> calculados con los datos obtenidos de la simulación y los porcentajes de error relativo </w:t>
      </w:r>
      <w:r w:rsidRPr="00820813">
        <w:rPr>
          <w:rFonts w:eastAsia="Times New Roman"/>
          <w:b w:val="0"/>
          <w:bCs w:val="0"/>
          <w:i/>
          <w:iCs/>
          <w:sz w:val="24"/>
        </w:rPr>
        <w:t>E</w:t>
      </w:r>
      <w:r w:rsidRPr="00820813">
        <w:rPr>
          <w:rFonts w:eastAsia="Times New Roman"/>
          <w:b w:val="0"/>
          <w:bCs w:val="0"/>
          <w:i/>
          <w:iCs/>
          <w:sz w:val="24"/>
          <w:vertAlign w:val="subscript"/>
        </w:rPr>
        <w:t>R</w:t>
      </w:r>
      <w:r w:rsidRPr="00820813">
        <w:rPr>
          <w:rFonts w:eastAsia="Times New Roman"/>
          <w:b w:val="0"/>
          <w:bCs w:val="0"/>
          <w:sz w:val="24"/>
        </w:rPr>
        <w:t xml:space="preserve"> </w:t>
      </w:r>
      <w:r w:rsidRPr="00627F23">
        <w:rPr>
          <w:rFonts w:ascii="Arial" w:eastAsia="Times New Roman" w:hAnsi="Arial" w:cs="Arial"/>
          <w:b w:val="0"/>
          <w:bCs w:val="0"/>
          <w:sz w:val="24"/>
        </w:rPr>
        <w:t xml:space="preserve">y </w:t>
      </w:r>
      <w:r w:rsidRPr="00820813">
        <w:rPr>
          <w:rFonts w:eastAsia="Times New Roman"/>
          <w:b w:val="0"/>
          <w:bCs w:val="0"/>
          <w:i/>
          <w:iCs/>
          <w:sz w:val="24"/>
        </w:rPr>
        <w:t>E</w:t>
      </w:r>
      <w:r w:rsidRPr="00820813">
        <w:rPr>
          <w:rFonts w:eastAsia="Times New Roman"/>
          <w:b w:val="0"/>
          <w:bCs w:val="0"/>
          <w:i/>
          <w:iCs/>
          <w:sz w:val="24"/>
          <w:vertAlign w:val="subscript"/>
        </w:rPr>
        <w:t>C</w:t>
      </w:r>
      <w:r w:rsidRPr="00627F23">
        <w:rPr>
          <w:rFonts w:ascii="Arial" w:eastAsia="Times New Roman" w:hAnsi="Arial" w:cs="Arial"/>
          <w:b w:val="0"/>
          <w:bCs w:val="0"/>
          <w:sz w:val="24"/>
        </w:rPr>
        <w:t xml:space="preserve"> correspondientes a </w:t>
      </w:r>
      <w:r w:rsidRPr="00820813">
        <w:rPr>
          <w:rFonts w:eastAsia="Times New Roman"/>
          <w:b w:val="0"/>
          <w:bCs w:val="0"/>
          <w:i/>
          <w:iCs/>
          <w:sz w:val="24"/>
        </w:rPr>
        <w:t>R</w:t>
      </w:r>
      <w:r w:rsidRPr="00627F23">
        <w:rPr>
          <w:rFonts w:ascii="Arial" w:eastAsia="Times New Roman" w:hAnsi="Arial" w:cs="Arial"/>
          <w:b w:val="0"/>
          <w:bCs w:val="0"/>
          <w:sz w:val="24"/>
        </w:rPr>
        <w:t xml:space="preserve">, </w:t>
      </w:r>
      <w:r w:rsidRPr="00820813">
        <w:rPr>
          <w:rFonts w:eastAsia="Times New Roman"/>
          <w:b w:val="0"/>
          <w:bCs w:val="0"/>
          <w:i/>
          <w:iCs/>
          <w:sz w:val="24"/>
        </w:rPr>
        <w:t>C</w:t>
      </w:r>
      <w:r w:rsidRPr="00627F23">
        <w:rPr>
          <w:rFonts w:ascii="Arial" w:eastAsia="Times New Roman" w:hAnsi="Arial" w:cs="Arial"/>
          <w:b w:val="0"/>
          <w:bCs w:val="0"/>
          <w:sz w:val="24"/>
        </w:rPr>
        <w:t xml:space="preserve">, </w:t>
      </w:r>
      <w:r w:rsidRPr="00820813">
        <w:rPr>
          <w:rFonts w:eastAsia="Times New Roman"/>
          <w:b w:val="0"/>
          <w:bCs w:val="0"/>
          <w:i/>
          <w:iCs/>
          <w:sz w:val="24"/>
        </w:rPr>
        <w:t>R</w:t>
      </w:r>
      <w:r w:rsidRPr="00820813">
        <w:rPr>
          <w:rFonts w:eastAsia="Times New Roman"/>
          <w:b w:val="0"/>
          <w:bCs w:val="0"/>
          <w:i/>
          <w:iCs/>
          <w:sz w:val="24"/>
          <w:vertAlign w:val="subscript"/>
        </w:rPr>
        <w:t>S</w:t>
      </w:r>
      <w:r w:rsidRPr="00627F23">
        <w:rPr>
          <w:rFonts w:ascii="Arial" w:eastAsia="Times New Roman" w:hAnsi="Arial" w:cs="Arial"/>
          <w:b w:val="0"/>
          <w:bCs w:val="0"/>
          <w:sz w:val="24"/>
        </w:rPr>
        <w:t xml:space="preserve"> y </w:t>
      </w:r>
      <w:r w:rsidRPr="00820813">
        <w:rPr>
          <w:rFonts w:eastAsia="Times New Roman"/>
          <w:b w:val="0"/>
          <w:bCs w:val="0"/>
          <w:i/>
          <w:iCs/>
          <w:sz w:val="24"/>
        </w:rPr>
        <w:t>C</w:t>
      </w:r>
      <w:r w:rsidRPr="00820813">
        <w:rPr>
          <w:rFonts w:eastAsia="Times New Roman"/>
          <w:b w:val="0"/>
          <w:bCs w:val="0"/>
          <w:i/>
          <w:iCs/>
          <w:sz w:val="24"/>
          <w:vertAlign w:val="subscript"/>
        </w:rPr>
        <w:t>S</w:t>
      </w:r>
      <w:r w:rsidRPr="00627F23">
        <w:rPr>
          <w:rFonts w:ascii="Arial" w:eastAsia="Times New Roman" w:hAnsi="Arial" w:cs="Arial"/>
          <w:b w:val="0"/>
          <w:bCs w:val="0"/>
          <w:sz w:val="24"/>
        </w:rPr>
        <w:t>, como se muestra en la tabla 2.</w:t>
      </w:r>
    </w:p>
    <w:p w:rsidR="00C04E73" w:rsidRDefault="00C04E73" w:rsidP="00C04E73">
      <w:pPr>
        <w:pStyle w:val="Textoindependiente"/>
        <w:rPr>
          <w:rFonts w:ascii="Arial" w:hAnsi="Arial" w:cs="Arial"/>
          <w:b w:val="0"/>
          <w:sz w:val="24"/>
        </w:rPr>
      </w:pPr>
    </w:p>
    <w:p w:rsidR="00C04E73" w:rsidRDefault="00C04E73" w:rsidP="00C04E73">
      <w:pPr>
        <w:ind w:firstLine="567"/>
        <w:jc w:val="center"/>
        <w:rPr>
          <w:rFonts w:eastAsia="Times New Roman"/>
          <w:i/>
          <w:sz w:val="20"/>
          <w:szCs w:val="20"/>
        </w:rPr>
      </w:pPr>
      <w:r w:rsidRPr="00820813">
        <w:rPr>
          <w:rFonts w:eastAsia="Times New Roman"/>
          <w:i/>
          <w:sz w:val="20"/>
          <w:szCs w:val="20"/>
        </w:rPr>
        <w:t>Tabla 2. Datos iniciales propuestos, datos teóricos calculados y datos calculados en función de los obtenidos con las simulaciones del circuito del SMV.</w:t>
      </w:r>
    </w:p>
    <w:p w:rsidR="00C04E73" w:rsidRPr="00820813" w:rsidRDefault="00C04E73" w:rsidP="00C04E73">
      <w:pPr>
        <w:ind w:firstLine="567"/>
        <w:jc w:val="center"/>
        <w:rPr>
          <w:rFonts w:eastAsia="Times New Roman"/>
          <w:i/>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1"/>
        <w:gridCol w:w="543"/>
        <w:gridCol w:w="596"/>
        <w:gridCol w:w="596"/>
        <w:gridCol w:w="543"/>
        <w:gridCol w:w="457"/>
        <w:gridCol w:w="650"/>
        <w:gridCol w:w="650"/>
        <w:gridCol w:w="650"/>
        <w:gridCol w:w="650"/>
        <w:gridCol w:w="596"/>
        <w:gridCol w:w="553"/>
        <w:gridCol w:w="650"/>
        <w:gridCol w:w="553"/>
        <w:gridCol w:w="553"/>
        <w:gridCol w:w="553"/>
      </w:tblGrid>
      <w:tr w:rsidR="00C04E73" w:rsidRPr="00C04E73" w:rsidTr="000533C7">
        <w:trPr>
          <w:jc w:val="center"/>
        </w:trPr>
        <w:tc>
          <w:tcPr>
            <w:tcW w:w="0" w:type="auto"/>
            <w:gridSpan w:val="5"/>
            <w:shd w:val="clear" w:color="auto" w:fill="auto"/>
          </w:tcPr>
          <w:p w:rsidR="00C04E73" w:rsidRPr="00820813" w:rsidRDefault="00C04E73" w:rsidP="000533C7">
            <w:pPr>
              <w:jc w:val="center"/>
              <w:rPr>
                <w:rFonts w:eastAsia="Calibri"/>
                <w:b/>
                <w:bCs/>
                <w:iCs/>
                <w:sz w:val="18"/>
                <w:szCs w:val="18"/>
                <w:lang w:eastAsia="es-ES"/>
              </w:rPr>
            </w:pPr>
            <w:r w:rsidRPr="00820813">
              <w:rPr>
                <w:rFonts w:eastAsia="Calibri"/>
                <w:b/>
                <w:sz w:val="18"/>
                <w:szCs w:val="18"/>
                <w:lang w:eastAsia="es-ES"/>
              </w:rPr>
              <w:t>Datos iniciales propuestos</w:t>
            </w:r>
          </w:p>
        </w:tc>
        <w:tc>
          <w:tcPr>
            <w:tcW w:w="0" w:type="auto"/>
            <w:gridSpan w:val="3"/>
            <w:shd w:val="clear" w:color="auto" w:fill="auto"/>
          </w:tcPr>
          <w:p w:rsidR="00C04E73" w:rsidRPr="00820813" w:rsidRDefault="00C04E73" w:rsidP="000533C7">
            <w:pPr>
              <w:jc w:val="center"/>
              <w:rPr>
                <w:rFonts w:eastAsia="Calibri"/>
                <w:b/>
                <w:bCs/>
                <w:iCs/>
                <w:sz w:val="18"/>
                <w:szCs w:val="18"/>
                <w:lang w:eastAsia="es-ES"/>
              </w:rPr>
            </w:pPr>
            <w:r w:rsidRPr="00820813">
              <w:rPr>
                <w:rFonts w:eastAsia="Calibri"/>
                <w:b/>
                <w:sz w:val="18"/>
                <w:szCs w:val="18"/>
                <w:lang w:eastAsia="es-ES"/>
              </w:rPr>
              <w:t>Datos teóricos calculados</w:t>
            </w:r>
          </w:p>
        </w:tc>
        <w:tc>
          <w:tcPr>
            <w:tcW w:w="0" w:type="auto"/>
            <w:gridSpan w:val="8"/>
            <w:shd w:val="clear" w:color="auto" w:fill="auto"/>
          </w:tcPr>
          <w:p w:rsidR="00C04E73" w:rsidRPr="00820813" w:rsidRDefault="00C04E73" w:rsidP="000533C7">
            <w:pPr>
              <w:jc w:val="center"/>
              <w:rPr>
                <w:rFonts w:eastAsia="Calibri"/>
                <w:b/>
                <w:bCs/>
                <w:iCs/>
                <w:sz w:val="18"/>
                <w:szCs w:val="18"/>
                <w:lang w:eastAsia="es-ES"/>
              </w:rPr>
            </w:pPr>
            <w:r w:rsidRPr="00820813">
              <w:rPr>
                <w:rFonts w:eastAsia="Calibri"/>
                <w:b/>
                <w:sz w:val="18"/>
                <w:szCs w:val="18"/>
                <w:lang w:eastAsia="es-ES"/>
              </w:rPr>
              <w:t xml:space="preserve">Datos calculados en función de </w:t>
            </w:r>
            <w:r w:rsidRPr="00820813">
              <w:rPr>
                <w:rFonts w:eastAsia="Calibri"/>
                <w:b/>
                <w:bCs/>
                <w:i/>
                <w:sz w:val="18"/>
                <w:szCs w:val="18"/>
                <w:lang w:eastAsia="es-ES"/>
              </w:rPr>
              <w:t>V</w:t>
            </w:r>
            <w:r w:rsidRPr="00820813">
              <w:rPr>
                <w:rFonts w:eastAsia="Calibri"/>
                <w:b/>
                <w:bCs/>
                <w:i/>
                <w:sz w:val="18"/>
                <w:szCs w:val="18"/>
                <w:vertAlign w:val="subscript"/>
                <w:lang w:eastAsia="es-ES"/>
              </w:rPr>
              <w:t>fcd</w:t>
            </w:r>
            <w:r w:rsidRPr="00820813">
              <w:rPr>
                <w:rFonts w:eastAsia="Calibri"/>
                <w:b/>
                <w:sz w:val="18"/>
                <w:szCs w:val="18"/>
                <w:lang w:eastAsia="es-ES"/>
              </w:rPr>
              <w:t xml:space="preserve"> y </w:t>
            </w:r>
            <w:r w:rsidRPr="00820813">
              <w:rPr>
                <w:rFonts w:eastAsia="Calibri"/>
                <w:b/>
                <w:bCs/>
                <w:i/>
                <w:sz w:val="18"/>
                <w:szCs w:val="18"/>
                <w:lang w:eastAsia="es-ES"/>
              </w:rPr>
              <w:t>-V</w:t>
            </w:r>
            <w:r w:rsidRPr="00820813">
              <w:rPr>
                <w:rFonts w:eastAsia="Calibri"/>
                <w:b/>
                <w:bCs/>
                <w:i/>
                <w:sz w:val="18"/>
                <w:szCs w:val="18"/>
                <w:vertAlign w:val="subscript"/>
                <w:lang w:eastAsia="es-ES"/>
              </w:rPr>
              <w:t>ccd</w:t>
            </w:r>
            <w:r w:rsidRPr="00820813">
              <w:rPr>
                <w:rFonts w:eastAsia="Calibri"/>
                <w:b/>
                <w:sz w:val="18"/>
                <w:szCs w:val="18"/>
                <w:lang w:eastAsia="es-ES"/>
              </w:rPr>
              <w:t xml:space="preserve"> obtenidos de las simulaciones del SMZ</w:t>
            </w:r>
          </w:p>
        </w:tc>
      </w:tr>
      <w:tr w:rsidR="00C04E73" w:rsidRPr="00452880" w:rsidTr="000533C7">
        <w:trPr>
          <w:jc w:val="center"/>
        </w:trPr>
        <w:tc>
          <w:tcPr>
            <w:tcW w:w="0" w:type="auto"/>
            <w:shd w:val="clear" w:color="auto" w:fill="auto"/>
          </w:tcPr>
          <w:p w:rsidR="00C04E73" w:rsidRPr="00820813" w:rsidRDefault="00C04E73" w:rsidP="000533C7">
            <w:pPr>
              <w:jc w:val="center"/>
              <w:rPr>
                <w:rFonts w:ascii="Calibri" w:eastAsia="Calibri" w:hAnsi="Calibri"/>
                <w:b/>
                <w:bCs/>
                <w:i/>
                <w:iCs/>
                <w:sz w:val="18"/>
                <w:szCs w:val="18"/>
                <w:lang w:eastAsia="es-ES"/>
              </w:rPr>
            </w:pPr>
            <w:r w:rsidRPr="00820813">
              <w:rPr>
                <w:rFonts w:ascii="Calibri" w:eastAsia="Calibri" w:hAnsi="Calibri"/>
                <w:b/>
                <w:bCs/>
                <w:i/>
                <w:iCs/>
                <w:sz w:val="18"/>
                <w:szCs w:val="18"/>
                <w:lang w:eastAsia="es-ES"/>
              </w:rPr>
              <w:t>f</w:t>
            </w:r>
          </w:p>
          <w:p w:rsidR="00C04E73" w:rsidRPr="00820813" w:rsidRDefault="00C04E73" w:rsidP="000533C7">
            <w:pPr>
              <w:jc w:val="center"/>
              <w:rPr>
                <w:rFonts w:ascii="Calibri" w:eastAsia="Calibri" w:hAnsi="Calibri"/>
                <w:b/>
                <w:sz w:val="18"/>
                <w:szCs w:val="18"/>
                <w:lang w:eastAsia="es-ES"/>
              </w:rPr>
            </w:pPr>
            <w:r w:rsidRPr="00820813">
              <w:rPr>
                <w:rFonts w:ascii="Calibri" w:eastAsia="Calibri" w:hAnsi="Calibri"/>
                <w:b/>
                <w:sz w:val="18"/>
                <w:szCs w:val="18"/>
                <w:lang w:eastAsia="es-ES"/>
              </w:rPr>
              <w:t>[KHz]</w:t>
            </w:r>
          </w:p>
        </w:tc>
        <w:tc>
          <w:tcPr>
            <w:tcW w:w="0" w:type="auto"/>
            <w:shd w:val="clear" w:color="auto" w:fill="auto"/>
          </w:tcPr>
          <w:p w:rsidR="00C04E73" w:rsidRPr="00820813" w:rsidRDefault="00C04E73" w:rsidP="000533C7">
            <w:pPr>
              <w:jc w:val="center"/>
              <w:rPr>
                <w:rFonts w:eastAsia="Calibri"/>
                <w:b/>
                <w:bCs/>
                <w:i/>
                <w:iCs/>
                <w:sz w:val="18"/>
                <w:szCs w:val="18"/>
                <w:lang w:eastAsia="es-ES"/>
              </w:rPr>
            </w:pPr>
            <w:r w:rsidRPr="00820813">
              <w:rPr>
                <w:rFonts w:eastAsia="Calibri"/>
                <w:b/>
                <w:bCs/>
                <w:i/>
                <w:iCs/>
                <w:sz w:val="18"/>
                <w:szCs w:val="18"/>
                <w:lang w:eastAsia="es-ES"/>
              </w:rPr>
              <w:t>C</w:t>
            </w:r>
            <w:r w:rsidRPr="00820813">
              <w:rPr>
                <w:rFonts w:eastAsia="Calibri"/>
                <w:b/>
                <w:bCs/>
                <w:i/>
                <w:iCs/>
                <w:sz w:val="18"/>
                <w:szCs w:val="18"/>
                <w:vertAlign w:val="subscript"/>
                <w:lang w:eastAsia="es-ES"/>
              </w:rPr>
              <w:t>3</w:t>
            </w:r>
          </w:p>
          <w:p w:rsidR="00C04E73" w:rsidRPr="00820813" w:rsidRDefault="00C04E73" w:rsidP="000533C7">
            <w:pPr>
              <w:jc w:val="center"/>
              <w:rPr>
                <w:rFonts w:eastAsia="Calibri"/>
                <w:b/>
                <w:sz w:val="18"/>
                <w:szCs w:val="18"/>
                <w:lang w:eastAsia="es-ES"/>
              </w:rPr>
            </w:pPr>
            <w:r w:rsidRPr="00820813">
              <w:rPr>
                <w:rFonts w:eastAsia="Calibri"/>
                <w:b/>
                <w:sz w:val="18"/>
                <w:szCs w:val="18"/>
                <w:lang w:eastAsia="es-ES"/>
              </w:rPr>
              <w:t>[nF]</w:t>
            </w:r>
          </w:p>
        </w:tc>
        <w:tc>
          <w:tcPr>
            <w:tcW w:w="0" w:type="auto"/>
            <w:shd w:val="clear" w:color="auto" w:fill="auto"/>
          </w:tcPr>
          <w:p w:rsidR="00C04E73" w:rsidRPr="00820813" w:rsidRDefault="00C04E73" w:rsidP="000533C7">
            <w:pPr>
              <w:jc w:val="center"/>
              <w:rPr>
                <w:rFonts w:eastAsia="Calibri"/>
                <w:b/>
                <w:bCs/>
                <w:i/>
                <w:iCs/>
                <w:sz w:val="18"/>
                <w:szCs w:val="18"/>
                <w:lang w:eastAsia="es-ES"/>
              </w:rPr>
            </w:pPr>
            <w:r w:rsidRPr="00820813">
              <w:rPr>
                <w:rFonts w:eastAsia="Calibri"/>
                <w:b/>
                <w:bCs/>
                <w:i/>
                <w:iCs/>
                <w:sz w:val="18"/>
                <w:szCs w:val="18"/>
                <w:lang w:eastAsia="es-ES"/>
              </w:rPr>
              <w:t>R</w:t>
            </w:r>
            <w:r w:rsidRPr="00820813">
              <w:rPr>
                <w:rFonts w:eastAsia="Calibri"/>
                <w:b/>
                <w:bCs/>
                <w:i/>
                <w:iCs/>
                <w:sz w:val="18"/>
                <w:szCs w:val="18"/>
                <w:vertAlign w:val="subscript"/>
                <w:lang w:eastAsia="es-ES"/>
              </w:rPr>
              <w:t>1</w:t>
            </w:r>
          </w:p>
          <w:p w:rsidR="00C04E73" w:rsidRPr="00820813" w:rsidRDefault="00C04E73" w:rsidP="000533C7">
            <w:pPr>
              <w:jc w:val="center"/>
              <w:rPr>
                <w:rFonts w:eastAsia="Calibri"/>
                <w:b/>
                <w:sz w:val="18"/>
                <w:szCs w:val="18"/>
                <w:lang w:eastAsia="es-ES"/>
              </w:rPr>
            </w:pPr>
            <w:r w:rsidRPr="00820813">
              <w:rPr>
                <w:rFonts w:eastAsia="Calibri"/>
                <w:b/>
                <w:sz w:val="18"/>
                <w:szCs w:val="18"/>
                <w:lang w:eastAsia="es-ES"/>
              </w:rPr>
              <w:t>[KΩ]</w:t>
            </w:r>
          </w:p>
        </w:tc>
        <w:tc>
          <w:tcPr>
            <w:tcW w:w="0" w:type="auto"/>
            <w:shd w:val="clear" w:color="auto" w:fill="auto"/>
          </w:tcPr>
          <w:p w:rsidR="00C04E73" w:rsidRPr="00820813" w:rsidRDefault="00C04E73" w:rsidP="000533C7">
            <w:pPr>
              <w:jc w:val="center"/>
              <w:rPr>
                <w:rFonts w:eastAsia="Calibri"/>
                <w:b/>
                <w:bCs/>
                <w:i/>
                <w:iCs/>
                <w:sz w:val="18"/>
                <w:szCs w:val="18"/>
                <w:lang w:eastAsia="es-ES"/>
              </w:rPr>
            </w:pPr>
            <w:r w:rsidRPr="00820813">
              <w:rPr>
                <w:rFonts w:eastAsia="Calibri"/>
                <w:b/>
                <w:bCs/>
                <w:i/>
                <w:iCs/>
                <w:sz w:val="18"/>
                <w:szCs w:val="18"/>
                <w:lang w:eastAsia="es-ES"/>
              </w:rPr>
              <w:t>R</w:t>
            </w:r>
          </w:p>
          <w:p w:rsidR="00C04E73" w:rsidRPr="00820813" w:rsidRDefault="00C04E73" w:rsidP="000533C7">
            <w:pPr>
              <w:jc w:val="center"/>
              <w:rPr>
                <w:rFonts w:eastAsia="Calibri"/>
                <w:b/>
                <w:sz w:val="18"/>
                <w:szCs w:val="18"/>
                <w:lang w:eastAsia="es-ES"/>
              </w:rPr>
            </w:pPr>
            <w:r w:rsidRPr="00820813">
              <w:rPr>
                <w:rFonts w:eastAsia="Calibri"/>
                <w:b/>
                <w:sz w:val="18"/>
                <w:szCs w:val="18"/>
                <w:lang w:eastAsia="es-ES"/>
              </w:rPr>
              <w:t>[KΩ]</w:t>
            </w:r>
          </w:p>
        </w:tc>
        <w:tc>
          <w:tcPr>
            <w:tcW w:w="0" w:type="auto"/>
            <w:shd w:val="clear" w:color="auto" w:fill="auto"/>
          </w:tcPr>
          <w:p w:rsidR="00C04E73" w:rsidRPr="00820813" w:rsidRDefault="00C04E73" w:rsidP="000533C7">
            <w:pPr>
              <w:jc w:val="center"/>
              <w:rPr>
                <w:rFonts w:eastAsia="Calibri"/>
                <w:b/>
                <w:bCs/>
                <w:i/>
                <w:iCs/>
                <w:sz w:val="18"/>
                <w:szCs w:val="18"/>
                <w:lang w:eastAsia="es-ES"/>
              </w:rPr>
            </w:pPr>
            <w:r w:rsidRPr="00820813">
              <w:rPr>
                <w:rFonts w:eastAsia="Calibri"/>
                <w:b/>
                <w:bCs/>
                <w:i/>
                <w:iCs/>
                <w:sz w:val="18"/>
                <w:szCs w:val="18"/>
                <w:lang w:eastAsia="es-ES"/>
              </w:rPr>
              <w:t>C</w:t>
            </w:r>
          </w:p>
          <w:p w:rsidR="00C04E73" w:rsidRPr="00820813" w:rsidRDefault="00C04E73" w:rsidP="000533C7">
            <w:pPr>
              <w:jc w:val="center"/>
              <w:rPr>
                <w:rFonts w:eastAsia="Calibri"/>
                <w:b/>
                <w:sz w:val="18"/>
                <w:szCs w:val="18"/>
                <w:lang w:eastAsia="es-ES"/>
              </w:rPr>
            </w:pPr>
            <w:r w:rsidRPr="00820813">
              <w:rPr>
                <w:rFonts w:eastAsia="Calibri"/>
                <w:b/>
                <w:sz w:val="18"/>
                <w:szCs w:val="18"/>
                <w:lang w:eastAsia="es-ES"/>
              </w:rPr>
              <w:t>[nF]</w:t>
            </w:r>
          </w:p>
        </w:tc>
        <w:tc>
          <w:tcPr>
            <w:tcW w:w="0" w:type="auto"/>
            <w:shd w:val="clear" w:color="auto" w:fill="auto"/>
          </w:tcPr>
          <w:p w:rsidR="00C04E73" w:rsidRPr="00820813" w:rsidRDefault="00C04E73" w:rsidP="000533C7">
            <w:pPr>
              <w:jc w:val="center"/>
              <w:rPr>
                <w:rFonts w:eastAsia="Calibri"/>
                <w:b/>
                <w:bCs/>
                <w:i/>
                <w:iCs/>
                <w:sz w:val="18"/>
                <w:szCs w:val="18"/>
                <w:lang w:eastAsia="es-ES"/>
              </w:rPr>
            </w:pPr>
            <w:r w:rsidRPr="00820813">
              <w:rPr>
                <w:rFonts w:eastAsia="Calibri"/>
                <w:b/>
                <w:bCs/>
                <w:i/>
                <w:iCs/>
                <w:sz w:val="18"/>
                <w:szCs w:val="18"/>
                <w:lang w:eastAsia="es-ES"/>
              </w:rPr>
              <w:t>G</w:t>
            </w:r>
            <w:r w:rsidRPr="00820813">
              <w:rPr>
                <w:rFonts w:eastAsia="Calibri"/>
                <w:b/>
                <w:bCs/>
                <w:i/>
                <w:iCs/>
                <w:sz w:val="18"/>
                <w:szCs w:val="18"/>
                <w:vertAlign w:val="subscript"/>
                <w:lang w:eastAsia="es-ES"/>
              </w:rPr>
              <w:t>1</w:t>
            </w:r>
          </w:p>
          <w:p w:rsidR="00C04E73" w:rsidRPr="00820813" w:rsidRDefault="00C04E73" w:rsidP="000533C7">
            <w:pPr>
              <w:jc w:val="center"/>
              <w:rPr>
                <w:rFonts w:eastAsia="Calibri"/>
                <w:b/>
                <w:sz w:val="18"/>
                <w:szCs w:val="18"/>
                <w:lang w:eastAsia="es-ES"/>
              </w:rPr>
            </w:pPr>
            <w:r w:rsidRPr="00820813">
              <w:rPr>
                <w:rFonts w:eastAsia="Calibri"/>
                <w:b/>
                <w:sz w:val="18"/>
                <w:szCs w:val="18"/>
                <w:lang w:eastAsia="es-ES"/>
              </w:rPr>
              <w:t>[V]</w:t>
            </w:r>
          </w:p>
        </w:tc>
        <w:tc>
          <w:tcPr>
            <w:tcW w:w="0" w:type="auto"/>
            <w:shd w:val="clear" w:color="auto" w:fill="auto"/>
          </w:tcPr>
          <w:p w:rsidR="00C04E73" w:rsidRPr="00820813" w:rsidRDefault="00C04E73" w:rsidP="000533C7">
            <w:pPr>
              <w:jc w:val="center"/>
              <w:rPr>
                <w:rFonts w:eastAsia="Calibri"/>
                <w:b/>
                <w:bCs/>
                <w:i/>
                <w:iCs/>
                <w:sz w:val="18"/>
                <w:szCs w:val="18"/>
                <w:lang w:eastAsia="es-ES"/>
              </w:rPr>
            </w:pPr>
            <w:r w:rsidRPr="00820813">
              <w:rPr>
                <w:rFonts w:eastAsia="Calibri"/>
                <w:b/>
                <w:bCs/>
                <w:i/>
                <w:iCs/>
                <w:sz w:val="18"/>
                <w:szCs w:val="18"/>
                <w:lang w:eastAsia="es-ES"/>
              </w:rPr>
              <w:t>Z</w:t>
            </w:r>
            <w:r w:rsidRPr="00820813">
              <w:rPr>
                <w:rFonts w:eastAsia="Calibri"/>
                <w:b/>
                <w:bCs/>
                <w:i/>
                <w:iCs/>
                <w:sz w:val="18"/>
                <w:szCs w:val="18"/>
                <w:vertAlign w:val="subscript"/>
                <w:lang w:eastAsia="es-ES"/>
              </w:rPr>
              <w:t>T</w:t>
            </w:r>
          </w:p>
          <w:p w:rsidR="00C04E73" w:rsidRPr="00820813" w:rsidRDefault="00C04E73" w:rsidP="000533C7">
            <w:pPr>
              <w:jc w:val="center"/>
              <w:rPr>
                <w:rFonts w:eastAsia="Calibri"/>
                <w:b/>
                <w:sz w:val="18"/>
                <w:szCs w:val="18"/>
                <w:lang w:eastAsia="es-ES"/>
              </w:rPr>
            </w:pPr>
            <w:r w:rsidRPr="00820813">
              <w:rPr>
                <w:rFonts w:eastAsia="Calibri"/>
                <w:b/>
                <w:sz w:val="18"/>
                <w:szCs w:val="18"/>
                <w:lang w:eastAsia="es-ES"/>
              </w:rPr>
              <w:t>[KΩ]</w:t>
            </w:r>
          </w:p>
        </w:tc>
        <w:tc>
          <w:tcPr>
            <w:tcW w:w="0" w:type="auto"/>
            <w:shd w:val="clear" w:color="auto" w:fill="auto"/>
          </w:tcPr>
          <w:p w:rsidR="00C04E73" w:rsidRPr="00820813" w:rsidRDefault="00C04E73" w:rsidP="000533C7">
            <w:pPr>
              <w:jc w:val="center"/>
              <w:rPr>
                <w:rFonts w:eastAsia="Calibri"/>
                <w:b/>
                <w:bCs/>
                <w:i/>
                <w:iCs/>
                <w:sz w:val="18"/>
                <w:szCs w:val="18"/>
                <w:lang w:eastAsia="es-ES"/>
              </w:rPr>
            </w:pPr>
            <w:r w:rsidRPr="00820813">
              <w:rPr>
                <w:rFonts w:eastAsia="Calibri"/>
                <w:b/>
                <w:bCs/>
                <w:i/>
                <w:iCs/>
                <w:sz w:val="18"/>
                <w:szCs w:val="18"/>
                <w:lang w:eastAsia="es-ES"/>
              </w:rPr>
              <w:t>θ</w:t>
            </w:r>
            <w:r w:rsidRPr="00820813">
              <w:rPr>
                <w:rFonts w:eastAsia="Calibri"/>
                <w:b/>
                <w:bCs/>
                <w:i/>
                <w:iCs/>
                <w:sz w:val="18"/>
                <w:szCs w:val="18"/>
                <w:vertAlign w:val="subscript"/>
                <w:lang w:eastAsia="es-ES"/>
              </w:rPr>
              <w:t>T</w:t>
            </w:r>
          </w:p>
          <w:p w:rsidR="00C04E73" w:rsidRPr="00820813" w:rsidRDefault="00C04E73" w:rsidP="000533C7">
            <w:pPr>
              <w:jc w:val="center"/>
              <w:rPr>
                <w:rFonts w:eastAsia="Calibri"/>
                <w:b/>
                <w:sz w:val="18"/>
                <w:szCs w:val="18"/>
                <w:lang w:eastAsia="es-ES"/>
              </w:rPr>
            </w:pPr>
            <w:r w:rsidRPr="00820813">
              <w:rPr>
                <w:rFonts w:eastAsia="Calibri"/>
                <w:b/>
                <w:sz w:val="18"/>
                <w:szCs w:val="18"/>
                <w:lang w:eastAsia="es-ES"/>
              </w:rPr>
              <w:t>[°]</w:t>
            </w:r>
          </w:p>
        </w:tc>
        <w:tc>
          <w:tcPr>
            <w:tcW w:w="0" w:type="auto"/>
            <w:shd w:val="clear" w:color="auto" w:fill="auto"/>
          </w:tcPr>
          <w:p w:rsidR="00C04E73" w:rsidRPr="00820813" w:rsidRDefault="00C04E73" w:rsidP="000533C7">
            <w:pPr>
              <w:jc w:val="center"/>
              <w:rPr>
                <w:rFonts w:eastAsia="Calibri"/>
                <w:b/>
                <w:bCs/>
                <w:iCs/>
                <w:sz w:val="18"/>
                <w:szCs w:val="18"/>
                <w:lang w:eastAsia="es-ES"/>
              </w:rPr>
            </w:pPr>
            <w:r w:rsidRPr="00820813">
              <w:rPr>
                <w:rFonts w:eastAsia="Calibri"/>
                <w:b/>
                <w:bCs/>
                <w:i/>
                <w:sz w:val="18"/>
                <w:szCs w:val="18"/>
                <w:lang w:eastAsia="es-ES"/>
              </w:rPr>
              <w:t>V</w:t>
            </w:r>
            <w:r w:rsidRPr="00820813">
              <w:rPr>
                <w:rFonts w:eastAsia="Calibri"/>
                <w:b/>
                <w:bCs/>
                <w:i/>
                <w:sz w:val="18"/>
                <w:szCs w:val="18"/>
                <w:vertAlign w:val="subscript"/>
                <w:lang w:eastAsia="es-ES"/>
              </w:rPr>
              <w:t>fcd</w:t>
            </w:r>
          </w:p>
          <w:p w:rsidR="00C04E73" w:rsidRPr="00820813" w:rsidRDefault="00C04E73" w:rsidP="000533C7">
            <w:pPr>
              <w:jc w:val="center"/>
              <w:rPr>
                <w:rFonts w:eastAsia="Calibri"/>
                <w:b/>
                <w:iCs/>
                <w:sz w:val="18"/>
                <w:szCs w:val="18"/>
                <w:lang w:eastAsia="es-ES"/>
              </w:rPr>
            </w:pPr>
            <w:r w:rsidRPr="00820813">
              <w:rPr>
                <w:rFonts w:eastAsia="Calibri"/>
                <w:b/>
                <w:iCs/>
                <w:sz w:val="18"/>
                <w:szCs w:val="18"/>
                <w:lang w:eastAsia="es-ES"/>
              </w:rPr>
              <w:t>[V]</w:t>
            </w:r>
          </w:p>
        </w:tc>
        <w:tc>
          <w:tcPr>
            <w:tcW w:w="0" w:type="auto"/>
            <w:shd w:val="clear" w:color="auto" w:fill="auto"/>
          </w:tcPr>
          <w:p w:rsidR="00C04E73" w:rsidRPr="00820813" w:rsidRDefault="00C04E73" w:rsidP="000533C7">
            <w:pPr>
              <w:jc w:val="center"/>
              <w:rPr>
                <w:rFonts w:eastAsia="Calibri"/>
                <w:b/>
                <w:bCs/>
                <w:iCs/>
                <w:sz w:val="18"/>
                <w:szCs w:val="18"/>
                <w:lang w:eastAsia="es-ES"/>
              </w:rPr>
            </w:pPr>
            <w:r w:rsidRPr="00820813">
              <w:rPr>
                <w:rFonts w:eastAsia="Calibri"/>
                <w:b/>
                <w:bCs/>
                <w:i/>
                <w:sz w:val="18"/>
                <w:szCs w:val="18"/>
                <w:lang w:eastAsia="es-ES"/>
              </w:rPr>
              <w:t>-V</w:t>
            </w:r>
            <w:r w:rsidRPr="00820813">
              <w:rPr>
                <w:rFonts w:eastAsia="Calibri"/>
                <w:b/>
                <w:bCs/>
                <w:i/>
                <w:sz w:val="18"/>
                <w:szCs w:val="18"/>
                <w:vertAlign w:val="subscript"/>
                <w:lang w:eastAsia="es-ES"/>
              </w:rPr>
              <w:t>ccd</w:t>
            </w:r>
          </w:p>
          <w:p w:rsidR="00C04E73" w:rsidRPr="00820813" w:rsidRDefault="00C04E73" w:rsidP="000533C7">
            <w:pPr>
              <w:jc w:val="center"/>
              <w:rPr>
                <w:rFonts w:eastAsia="Calibri"/>
                <w:b/>
                <w:iCs/>
                <w:sz w:val="18"/>
                <w:szCs w:val="18"/>
                <w:lang w:eastAsia="es-ES"/>
              </w:rPr>
            </w:pPr>
            <w:r w:rsidRPr="00820813">
              <w:rPr>
                <w:rFonts w:eastAsia="Calibri"/>
                <w:b/>
                <w:iCs/>
                <w:sz w:val="18"/>
                <w:szCs w:val="18"/>
                <w:lang w:eastAsia="es-ES"/>
              </w:rPr>
              <w:t>[V]</w:t>
            </w:r>
          </w:p>
        </w:tc>
        <w:tc>
          <w:tcPr>
            <w:tcW w:w="0" w:type="auto"/>
            <w:shd w:val="clear" w:color="auto" w:fill="auto"/>
          </w:tcPr>
          <w:p w:rsidR="00C04E73" w:rsidRPr="00820813" w:rsidRDefault="00C04E73" w:rsidP="000533C7">
            <w:pPr>
              <w:jc w:val="center"/>
              <w:rPr>
                <w:rFonts w:eastAsia="Calibri"/>
                <w:b/>
                <w:bCs/>
                <w:i/>
                <w:iCs/>
                <w:sz w:val="18"/>
                <w:szCs w:val="18"/>
                <w:lang w:eastAsia="es-ES"/>
              </w:rPr>
            </w:pPr>
            <w:r w:rsidRPr="00820813">
              <w:rPr>
                <w:rFonts w:eastAsia="Calibri"/>
                <w:b/>
                <w:bCs/>
                <w:i/>
                <w:iCs/>
                <w:sz w:val="18"/>
                <w:szCs w:val="18"/>
                <w:lang w:eastAsia="es-ES"/>
              </w:rPr>
              <w:t>R</w:t>
            </w:r>
            <w:r w:rsidRPr="00820813">
              <w:rPr>
                <w:rFonts w:eastAsia="Calibri"/>
                <w:b/>
                <w:bCs/>
                <w:i/>
                <w:iCs/>
                <w:sz w:val="18"/>
                <w:szCs w:val="18"/>
                <w:vertAlign w:val="subscript"/>
                <w:lang w:eastAsia="es-ES"/>
              </w:rPr>
              <w:t>S</w:t>
            </w:r>
          </w:p>
          <w:p w:rsidR="00C04E73" w:rsidRPr="00820813" w:rsidRDefault="00C04E73" w:rsidP="000533C7">
            <w:pPr>
              <w:jc w:val="center"/>
              <w:rPr>
                <w:rFonts w:eastAsia="Calibri"/>
                <w:b/>
                <w:sz w:val="18"/>
                <w:szCs w:val="18"/>
                <w:lang w:eastAsia="es-ES"/>
              </w:rPr>
            </w:pPr>
            <w:r w:rsidRPr="00820813">
              <w:rPr>
                <w:rFonts w:eastAsia="Calibri"/>
                <w:b/>
                <w:sz w:val="18"/>
                <w:szCs w:val="18"/>
                <w:lang w:eastAsia="es-ES"/>
              </w:rPr>
              <w:t>[KΩ]</w:t>
            </w:r>
          </w:p>
        </w:tc>
        <w:tc>
          <w:tcPr>
            <w:tcW w:w="0" w:type="auto"/>
            <w:shd w:val="clear" w:color="auto" w:fill="auto"/>
          </w:tcPr>
          <w:p w:rsidR="00C04E73" w:rsidRPr="00820813" w:rsidRDefault="00C04E73" w:rsidP="000533C7">
            <w:pPr>
              <w:jc w:val="center"/>
              <w:rPr>
                <w:rFonts w:eastAsia="Calibri"/>
                <w:b/>
                <w:bCs/>
                <w:i/>
                <w:iCs/>
                <w:sz w:val="18"/>
                <w:szCs w:val="18"/>
                <w:lang w:eastAsia="es-ES"/>
              </w:rPr>
            </w:pPr>
            <w:r w:rsidRPr="00820813">
              <w:rPr>
                <w:rFonts w:eastAsia="Calibri"/>
                <w:b/>
                <w:bCs/>
                <w:i/>
                <w:iCs/>
                <w:sz w:val="18"/>
                <w:szCs w:val="18"/>
                <w:lang w:eastAsia="es-ES"/>
              </w:rPr>
              <w:t>C</w:t>
            </w:r>
            <w:r w:rsidRPr="00820813">
              <w:rPr>
                <w:rFonts w:eastAsia="Calibri"/>
                <w:b/>
                <w:bCs/>
                <w:i/>
                <w:iCs/>
                <w:sz w:val="18"/>
                <w:szCs w:val="18"/>
                <w:vertAlign w:val="subscript"/>
                <w:lang w:eastAsia="es-ES"/>
              </w:rPr>
              <w:t>S</w:t>
            </w:r>
          </w:p>
          <w:p w:rsidR="00C04E73" w:rsidRPr="00820813" w:rsidRDefault="00C04E73" w:rsidP="000533C7">
            <w:pPr>
              <w:jc w:val="center"/>
              <w:rPr>
                <w:rFonts w:eastAsia="Calibri"/>
                <w:b/>
                <w:sz w:val="18"/>
                <w:szCs w:val="18"/>
                <w:lang w:eastAsia="es-ES"/>
              </w:rPr>
            </w:pPr>
            <w:r w:rsidRPr="00820813">
              <w:rPr>
                <w:rFonts w:eastAsia="Calibri"/>
                <w:b/>
                <w:sz w:val="18"/>
                <w:szCs w:val="18"/>
                <w:lang w:eastAsia="es-ES"/>
              </w:rPr>
              <w:t>[nF]</w:t>
            </w:r>
          </w:p>
        </w:tc>
        <w:tc>
          <w:tcPr>
            <w:tcW w:w="0" w:type="auto"/>
            <w:shd w:val="clear" w:color="auto" w:fill="auto"/>
          </w:tcPr>
          <w:p w:rsidR="00C04E73" w:rsidRPr="00820813" w:rsidRDefault="00C04E73" w:rsidP="000533C7">
            <w:pPr>
              <w:jc w:val="center"/>
              <w:rPr>
                <w:rFonts w:eastAsia="Calibri"/>
                <w:b/>
                <w:bCs/>
                <w:i/>
                <w:iCs/>
                <w:sz w:val="18"/>
                <w:szCs w:val="18"/>
                <w:lang w:eastAsia="es-ES"/>
              </w:rPr>
            </w:pPr>
            <w:r w:rsidRPr="00820813">
              <w:rPr>
                <w:rFonts w:eastAsia="Calibri"/>
                <w:b/>
                <w:bCs/>
                <w:i/>
                <w:iCs/>
                <w:sz w:val="18"/>
                <w:szCs w:val="18"/>
                <w:lang w:eastAsia="es-ES"/>
              </w:rPr>
              <w:t>Z</w:t>
            </w:r>
            <w:r w:rsidRPr="00820813">
              <w:rPr>
                <w:rFonts w:eastAsia="Calibri"/>
                <w:b/>
                <w:bCs/>
                <w:i/>
                <w:iCs/>
                <w:sz w:val="18"/>
                <w:szCs w:val="18"/>
                <w:vertAlign w:val="subscript"/>
                <w:lang w:eastAsia="es-ES"/>
              </w:rPr>
              <w:t>S</w:t>
            </w:r>
          </w:p>
          <w:p w:rsidR="00C04E73" w:rsidRPr="00820813" w:rsidRDefault="00C04E73" w:rsidP="000533C7">
            <w:pPr>
              <w:jc w:val="center"/>
              <w:rPr>
                <w:rFonts w:eastAsia="Calibri"/>
                <w:b/>
                <w:sz w:val="18"/>
                <w:szCs w:val="18"/>
                <w:lang w:eastAsia="es-ES"/>
              </w:rPr>
            </w:pPr>
            <w:r w:rsidRPr="00820813">
              <w:rPr>
                <w:rFonts w:eastAsia="Calibri"/>
                <w:b/>
                <w:sz w:val="18"/>
                <w:szCs w:val="18"/>
                <w:lang w:eastAsia="es-ES"/>
              </w:rPr>
              <w:t>[KΩ]</w:t>
            </w:r>
          </w:p>
        </w:tc>
        <w:tc>
          <w:tcPr>
            <w:tcW w:w="0" w:type="auto"/>
            <w:shd w:val="clear" w:color="auto" w:fill="auto"/>
          </w:tcPr>
          <w:p w:rsidR="00C04E73" w:rsidRPr="00820813" w:rsidRDefault="00C04E73" w:rsidP="000533C7">
            <w:pPr>
              <w:jc w:val="center"/>
              <w:rPr>
                <w:rFonts w:eastAsia="Calibri"/>
                <w:b/>
                <w:bCs/>
                <w:i/>
                <w:iCs/>
                <w:sz w:val="18"/>
                <w:szCs w:val="18"/>
                <w:lang w:eastAsia="es-ES"/>
              </w:rPr>
            </w:pPr>
            <w:r w:rsidRPr="00820813">
              <w:rPr>
                <w:rFonts w:eastAsia="Calibri"/>
                <w:b/>
                <w:bCs/>
                <w:i/>
                <w:iCs/>
                <w:sz w:val="18"/>
                <w:szCs w:val="18"/>
                <w:lang w:eastAsia="es-ES"/>
              </w:rPr>
              <w:t>θ</w:t>
            </w:r>
            <w:r w:rsidRPr="00820813">
              <w:rPr>
                <w:rFonts w:eastAsia="Calibri"/>
                <w:b/>
                <w:bCs/>
                <w:i/>
                <w:iCs/>
                <w:sz w:val="18"/>
                <w:szCs w:val="18"/>
                <w:vertAlign w:val="subscript"/>
                <w:lang w:eastAsia="es-ES"/>
              </w:rPr>
              <w:t>S</w:t>
            </w:r>
          </w:p>
          <w:p w:rsidR="00C04E73" w:rsidRPr="00820813" w:rsidRDefault="00C04E73" w:rsidP="000533C7">
            <w:pPr>
              <w:jc w:val="center"/>
              <w:rPr>
                <w:rFonts w:eastAsia="Calibri"/>
                <w:b/>
                <w:sz w:val="18"/>
                <w:szCs w:val="18"/>
                <w:lang w:eastAsia="es-ES"/>
              </w:rPr>
            </w:pPr>
            <w:r w:rsidRPr="00820813">
              <w:rPr>
                <w:rFonts w:eastAsia="Calibri"/>
                <w:b/>
                <w:sz w:val="18"/>
                <w:szCs w:val="18"/>
                <w:lang w:eastAsia="es-ES"/>
              </w:rPr>
              <w:t>[°]</w:t>
            </w:r>
          </w:p>
        </w:tc>
        <w:tc>
          <w:tcPr>
            <w:tcW w:w="0" w:type="auto"/>
            <w:shd w:val="clear" w:color="auto" w:fill="auto"/>
          </w:tcPr>
          <w:p w:rsidR="00C04E73" w:rsidRPr="00820813" w:rsidRDefault="00C04E73" w:rsidP="000533C7">
            <w:pPr>
              <w:jc w:val="center"/>
              <w:rPr>
                <w:rFonts w:eastAsia="Calibri"/>
                <w:b/>
                <w:bCs/>
                <w:i/>
                <w:iCs/>
                <w:sz w:val="18"/>
                <w:szCs w:val="18"/>
                <w:vertAlign w:val="subscript"/>
                <w:lang w:eastAsia="es-ES"/>
              </w:rPr>
            </w:pPr>
            <w:r w:rsidRPr="00820813">
              <w:rPr>
                <w:rFonts w:eastAsia="Calibri"/>
                <w:b/>
                <w:bCs/>
                <w:i/>
                <w:iCs/>
                <w:sz w:val="18"/>
                <w:szCs w:val="18"/>
                <w:lang w:eastAsia="es-ES"/>
              </w:rPr>
              <w:t>%Er</w:t>
            </w:r>
          </w:p>
          <w:p w:rsidR="00C04E73" w:rsidRPr="00820813" w:rsidRDefault="00C04E73" w:rsidP="000533C7">
            <w:pPr>
              <w:jc w:val="center"/>
              <w:rPr>
                <w:rFonts w:eastAsia="Calibri"/>
                <w:b/>
                <w:i/>
                <w:iCs/>
                <w:sz w:val="18"/>
                <w:szCs w:val="18"/>
                <w:lang w:eastAsia="es-ES"/>
              </w:rPr>
            </w:pPr>
            <w:r w:rsidRPr="00820813">
              <w:rPr>
                <w:rFonts w:eastAsia="Calibri"/>
                <w:b/>
                <w:i/>
                <w:iCs/>
                <w:sz w:val="18"/>
                <w:szCs w:val="18"/>
                <w:lang w:eastAsia="es-ES"/>
              </w:rPr>
              <w:t>R</w:t>
            </w:r>
          </w:p>
        </w:tc>
        <w:tc>
          <w:tcPr>
            <w:tcW w:w="0" w:type="auto"/>
            <w:shd w:val="clear" w:color="auto" w:fill="auto"/>
          </w:tcPr>
          <w:p w:rsidR="00C04E73" w:rsidRPr="00820813" w:rsidRDefault="00C04E73" w:rsidP="000533C7">
            <w:pPr>
              <w:jc w:val="center"/>
              <w:rPr>
                <w:rFonts w:eastAsia="Calibri"/>
                <w:b/>
                <w:bCs/>
                <w:i/>
                <w:iCs/>
                <w:sz w:val="18"/>
                <w:szCs w:val="18"/>
                <w:vertAlign w:val="subscript"/>
                <w:lang w:eastAsia="es-ES"/>
              </w:rPr>
            </w:pPr>
            <w:r w:rsidRPr="00820813">
              <w:rPr>
                <w:rFonts w:eastAsia="Calibri"/>
                <w:b/>
                <w:bCs/>
                <w:i/>
                <w:iCs/>
                <w:sz w:val="18"/>
                <w:szCs w:val="18"/>
                <w:lang w:eastAsia="es-ES"/>
              </w:rPr>
              <w:t>%Er</w:t>
            </w:r>
          </w:p>
          <w:p w:rsidR="00C04E73" w:rsidRPr="00820813" w:rsidRDefault="00C04E73" w:rsidP="000533C7">
            <w:pPr>
              <w:jc w:val="center"/>
              <w:rPr>
                <w:rFonts w:eastAsia="Calibri"/>
                <w:b/>
                <w:i/>
                <w:iCs/>
                <w:sz w:val="18"/>
                <w:szCs w:val="18"/>
                <w:lang w:eastAsia="es-ES"/>
              </w:rPr>
            </w:pPr>
            <w:r w:rsidRPr="00820813">
              <w:rPr>
                <w:rFonts w:eastAsia="Calibri"/>
                <w:b/>
                <w:i/>
                <w:iCs/>
                <w:sz w:val="18"/>
                <w:szCs w:val="18"/>
                <w:lang w:eastAsia="es-ES"/>
              </w:rPr>
              <w:t>C</w:t>
            </w:r>
          </w:p>
        </w:tc>
      </w:tr>
      <w:tr w:rsidR="00C04E73" w:rsidRPr="00452880" w:rsidTr="000533C7">
        <w:trPr>
          <w:jc w:val="center"/>
        </w:trPr>
        <w:tc>
          <w:tcPr>
            <w:tcW w:w="0" w:type="auto"/>
            <w:shd w:val="clear" w:color="auto" w:fill="auto"/>
          </w:tcPr>
          <w:p w:rsidR="00C04E73" w:rsidRPr="00820813" w:rsidRDefault="00C04E73" w:rsidP="000533C7">
            <w:pPr>
              <w:jc w:val="center"/>
              <w:rPr>
                <w:rFonts w:ascii="Calibri" w:eastAsia="Calibri" w:hAnsi="Calibri"/>
                <w:sz w:val="18"/>
                <w:szCs w:val="18"/>
                <w:lang w:eastAsia="es-ES"/>
              </w:rPr>
            </w:pPr>
            <w:r w:rsidRPr="00820813">
              <w:rPr>
                <w:rFonts w:ascii="Calibri" w:eastAsia="Calibri" w:hAnsi="Calibri"/>
                <w:sz w:val="18"/>
                <w:szCs w:val="18"/>
                <w:lang w:eastAsia="es-ES"/>
              </w:rPr>
              <w:t>1</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16</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10</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5.6</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10</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1.9</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5.3</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19.4</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1.13</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0.42</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5.63</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10.5</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5.3</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20.4</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0.5</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5</w:t>
            </w:r>
          </w:p>
        </w:tc>
      </w:tr>
      <w:tr w:rsidR="00C04E73" w:rsidRPr="00452880" w:rsidTr="000533C7">
        <w:trPr>
          <w:jc w:val="center"/>
        </w:trPr>
        <w:tc>
          <w:tcPr>
            <w:tcW w:w="0" w:type="auto"/>
            <w:shd w:val="clear" w:color="auto" w:fill="auto"/>
          </w:tcPr>
          <w:p w:rsidR="00C04E73" w:rsidRPr="00820813" w:rsidRDefault="00C04E73" w:rsidP="000533C7">
            <w:pPr>
              <w:jc w:val="center"/>
              <w:rPr>
                <w:rFonts w:ascii="Calibri" w:eastAsia="Calibri" w:hAnsi="Calibri"/>
                <w:sz w:val="18"/>
                <w:szCs w:val="18"/>
                <w:lang w:eastAsia="es-ES"/>
              </w:rPr>
            </w:pPr>
          </w:p>
        </w:tc>
        <w:tc>
          <w:tcPr>
            <w:tcW w:w="0" w:type="auto"/>
            <w:shd w:val="clear" w:color="auto" w:fill="auto"/>
          </w:tcPr>
          <w:p w:rsidR="00C04E73" w:rsidRPr="00820813" w:rsidRDefault="00C04E73" w:rsidP="000533C7">
            <w:pPr>
              <w:jc w:val="center"/>
              <w:rPr>
                <w:rFonts w:eastAsia="Calibri"/>
                <w:sz w:val="18"/>
                <w:szCs w:val="18"/>
                <w:lang w:eastAsia="es-ES"/>
              </w:rPr>
            </w:pPr>
          </w:p>
        </w:tc>
        <w:tc>
          <w:tcPr>
            <w:tcW w:w="0" w:type="auto"/>
            <w:shd w:val="clear" w:color="auto" w:fill="auto"/>
          </w:tcPr>
          <w:p w:rsidR="00C04E73" w:rsidRPr="00820813" w:rsidRDefault="00C04E73" w:rsidP="000533C7">
            <w:pPr>
              <w:jc w:val="center"/>
              <w:rPr>
                <w:rFonts w:eastAsia="Calibri"/>
                <w:sz w:val="18"/>
                <w:szCs w:val="18"/>
                <w:lang w:eastAsia="es-ES"/>
              </w:rPr>
            </w:pP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10</w:t>
            </w:r>
          </w:p>
        </w:tc>
        <w:tc>
          <w:tcPr>
            <w:tcW w:w="0" w:type="auto"/>
            <w:shd w:val="clear" w:color="auto" w:fill="auto"/>
          </w:tcPr>
          <w:p w:rsidR="00C04E73" w:rsidRPr="00820813" w:rsidRDefault="00C04E73" w:rsidP="000533C7">
            <w:pPr>
              <w:jc w:val="center"/>
              <w:rPr>
                <w:rFonts w:eastAsia="Calibri"/>
                <w:sz w:val="18"/>
                <w:szCs w:val="18"/>
                <w:lang w:eastAsia="es-ES"/>
              </w:rPr>
            </w:pP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1.2</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8.5</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32.14</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0.63</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0.415</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10.1</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10.4</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8.4</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33.4</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4</w:t>
            </w:r>
          </w:p>
        </w:tc>
      </w:tr>
      <w:tr w:rsidR="00C04E73" w:rsidRPr="00452880" w:rsidTr="000533C7">
        <w:trPr>
          <w:jc w:val="center"/>
        </w:trPr>
        <w:tc>
          <w:tcPr>
            <w:tcW w:w="0" w:type="auto"/>
            <w:shd w:val="clear" w:color="auto" w:fill="auto"/>
          </w:tcPr>
          <w:p w:rsidR="00C04E73" w:rsidRPr="00820813" w:rsidRDefault="00C04E73" w:rsidP="000533C7">
            <w:pPr>
              <w:jc w:val="center"/>
              <w:rPr>
                <w:rFonts w:ascii="Calibri" w:eastAsia="Calibri" w:hAnsi="Calibri"/>
                <w:sz w:val="18"/>
                <w:szCs w:val="18"/>
                <w:lang w:eastAsia="es-ES"/>
              </w:rPr>
            </w:pPr>
          </w:p>
        </w:tc>
        <w:tc>
          <w:tcPr>
            <w:tcW w:w="0" w:type="auto"/>
            <w:shd w:val="clear" w:color="auto" w:fill="auto"/>
          </w:tcPr>
          <w:p w:rsidR="00C04E73" w:rsidRPr="00820813" w:rsidRDefault="00C04E73" w:rsidP="000533C7">
            <w:pPr>
              <w:jc w:val="center"/>
              <w:rPr>
                <w:rFonts w:eastAsia="Calibri"/>
                <w:sz w:val="18"/>
                <w:szCs w:val="18"/>
                <w:lang w:eastAsia="es-ES"/>
              </w:rPr>
            </w:pPr>
          </w:p>
        </w:tc>
        <w:tc>
          <w:tcPr>
            <w:tcW w:w="0" w:type="auto"/>
            <w:shd w:val="clear" w:color="auto" w:fill="auto"/>
          </w:tcPr>
          <w:p w:rsidR="00C04E73" w:rsidRPr="00820813" w:rsidRDefault="00C04E73" w:rsidP="000533C7">
            <w:pPr>
              <w:jc w:val="center"/>
              <w:rPr>
                <w:rFonts w:eastAsia="Calibri"/>
                <w:sz w:val="18"/>
                <w:szCs w:val="18"/>
                <w:lang w:eastAsia="es-ES"/>
              </w:rPr>
            </w:pP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20</w:t>
            </w:r>
          </w:p>
        </w:tc>
        <w:tc>
          <w:tcPr>
            <w:tcW w:w="0" w:type="auto"/>
            <w:shd w:val="clear" w:color="auto" w:fill="auto"/>
          </w:tcPr>
          <w:p w:rsidR="00C04E73" w:rsidRPr="00820813" w:rsidRDefault="00C04E73" w:rsidP="000533C7">
            <w:pPr>
              <w:jc w:val="center"/>
              <w:rPr>
                <w:rFonts w:eastAsia="Calibri"/>
                <w:sz w:val="18"/>
                <w:szCs w:val="18"/>
                <w:lang w:eastAsia="es-ES"/>
              </w:rPr>
            </w:pP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0.8</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12.45</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51.5</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0.315</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0.405</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20.2</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10.1</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12.42</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52.1</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w:t>
            </w:r>
          </w:p>
        </w:tc>
        <w:tc>
          <w:tcPr>
            <w:tcW w:w="0" w:type="auto"/>
            <w:shd w:val="clear" w:color="auto" w:fill="auto"/>
          </w:tcPr>
          <w:p w:rsidR="00C04E73" w:rsidRPr="00820813" w:rsidRDefault="00C04E73" w:rsidP="000533C7">
            <w:pPr>
              <w:jc w:val="center"/>
              <w:rPr>
                <w:rFonts w:eastAsia="Calibri"/>
                <w:sz w:val="18"/>
                <w:szCs w:val="18"/>
                <w:lang w:eastAsia="es-ES"/>
              </w:rPr>
            </w:pPr>
            <w:r w:rsidRPr="00820813">
              <w:rPr>
                <w:rFonts w:eastAsia="Calibri"/>
                <w:sz w:val="18"/>
                <w:szCs w:val="18"/>
                <w:lang w:eastAsia="es-ES"/>
              </w:rPr>
              <w:t>1</w:t>
            </w:r>
          </w:p>
        </w:tc>
      </w:tr>
    </w:tbl>
    <w:p w:rsidR="00C04E73" w:rsidRDefault="00C04E73" w:rsidP="00C04E73">
      <w:pPr>
        <w:pStyle w:val="Textoindependiente"/>
        <w:rPr>
          <w:rFonts w:ascii="Arial" w:hAnsi="Arial" w:cs="Arial"/>
          <w:b w:val="0"/>
          <w:sz w:val="24"/>
        </w:rPr>
      </w:pPr>
    </w:p>
    <w:p w:rsidR="00C04E73" w:rsidRPr="00855A47" w:rsidRDefault="00C04E73" w:rsidP="00C04E73">
      <w:pPr>
        <w:ind w:firstLine="567"/>
        <w:jc w:val="both"/>
        <w:rPr>
          <w:rFonts w:ascii="Arial" w:eastAsia="Times New Roman" w:hAnsi="Arial" w:cs="Arial"/>
        </w:rPr>
      </w:pPr>
      <w:r w:rsidRPr="00855A47">
        <w:rPr>
          <w:rFonts w:ascii="Arial" w:eastAsia="Times New Roman" w:hAnsi="Arial" w:cs="Arial"/>
        </w:rPr>
        <w:t xml:space="preserve">Con los datos iniciales de </w:t>
      </w:r>
      <w:r w:rsidRPr="00855A47">
        <w:rPr>
          <w:rFonts w:eastAsia="Times New Roman"/>
          <w:i/>
          <w:iCs/>
        </w:rPr>
        <w:t>f</w:t>
      </w:r>
      <w:r w:rsidRPr="00855A47">
        <w:rPr>
          <w:rFonts w:ascii="Arial" w:eastAsia="Times New Roman" w:hAnsi="Arial" w:cs="Arial"/>
          <w:i/>
          <w:iCs/>
        </w:rPr>
        <w:t xml:space="preserve">, </w:t>
      </w:r>
      <w:r w:rsidRPr="00855A47">
        <w:rPr>
          <w:rFonts w:eastAsia="Times New Roman"/>
          <w:i/>
          <w:iCs/>
        </w:rPr>
        <w:t>C</w:t>
      </w:r>
      <w:r w:rsidRPr="00855A47">
        <w:rPr>
          <w:rFonts w:eastAsia="Times New Roman"/>
          <w:i/>
          <w:iCs/>
          <w:vertAlign w:val="subscript"/>
        </w:rPr>
        <w:t>3</w:t>
      </w:r>
      <w:r w:rsidRPr="00855A47">
        <w:rPr>
          <w:rFonts w:ascii="Arial" w:eastAsia="Times New Roman" w:hAnsi="Arial" w:cs="Arial"/>
          <w:i/>
          <w:iCs/>
        </w:rPr>
        <w:t xml:space="preserve">, </w:t>
      </w:r>
      <w:r w:rsidRPr="00855A47">
        <w:rPr>
          <w:rFonts w:eastAsia="Times New Roman"/>
          <w:i/>
          <w:iCs/>
        </w:rPr>
        <w:t>R</w:t>
      </w:r>
      <w:r w:rsidRPr="00855A47">
        <w:rPr>
          <w:rFonts w:eastAsia="Times New Roman"/>
          <w:i/>
          <w:iCs/>
          <w:vertAlign w:val="subscript"/>
        </w:rPr>
        <w:t>1</w:t>
      </w:r>
      <w:r w:rsidRPr="00855A47">
        <w:rPr>
          <w:rFonts w:ascii="Arial" w:eastAsia="Times New Roman" w:hAnsi="Arial" w:cs="Arial"/>
          <w:i/>
          <w:iCs/>
        </w:rPr>
        <w:t xml:space="preserve">, </w:t>
      </w:r>
      <w:r w:rsidRPr="00855A47">
        <w:rPr>
          <w:rFonts w:eastAsia="Times New Roman"/>
          <w:i/>
          <w:iCs/>
        </w:rPr>
        <w:t>R</w:t>
      </w:r>
      <w:r w:rsidRPr="00855A47">
        <w:rPr>
          <w:rFonts w:ascii="Arial" w:eastAsia="Times New Roman" w:hAnsi="Arial" w:cs="Arial"/>
          <w:i/>
          <w:iCs/>
        </w:rPr>
        <w:t xml:space="preserve"> y </w:t>
      </w:r>
      <w:r w:rsidRPr="00855A47">
        <w:rPr>
          <w:rFonts w:eastAsia="Times New Roman"/>
          <w:i/>
          <w:iCs/>
        </w:rPr>
        <w:t>C</w:t>
      </w:r>
      <w:r w:rsidRPr="00855A47">
        <w:rPr>
          <w:rFonts w:ascii="Arial" w:eastAsia="Times New Roman" w:hAnsi="Arial" w:cs="Arial"/>
        </w:rPr>
        <w:t xml:space="preserve">, en donde el valor de </w:t>
      </w:r>
      <w:r w:rsidRPr="00855A47">
        <w:rPr>
          <w:rFonts w:eastAsia="Times New Roman"/>
          <w:i/>
          <w:iCs/>
        </w:rPr>
        <w:t>R</w:t>
      </w:r>
      <w:r w:rsidRPr="00855A47">
        <w:rPr>
          <w:rFonts w:ascii="Arial" w:eastAsia="Times New Roman" w:hAnsi="Arial" w:cs="Arial"/>
        </w:rPr>
        <w:t xml:space="preserve"> tiene tres valores distintos y los otros mantienen su valor, se calcularon los datos teóricos de </w:t>
      </w:r>
      <w:r w:rsidRPr="00855A47">
        <w:rPr>
          <w:rFonts w:eastAsia="Times New Roman"/>
          <w:i/>
          <w:iCs/>
        </w:rPr>
        <w:t>G</w:t>
      </w:r>
      <w:r w:rsidRPr="00855A47">
        <w:rPr>
          <w:rFonts w:eastAsia="Times New Roman"/>
          <w:i/>
          <w:iCs/>
          <w:vertAlign w:val="subscript"/>
        </w:rPr>
        <w:t>1</w:t>
      </w:r>
      <w:r w:rsidRPr="00855A47">
        <w:rPr>
          <w:rFonts w:ascii="Arial" w:eastAsia="Times New Roman" w:hAnsi="Arial" w:cs="Arial"/>
        </w:rPr>
        <w:t xml:space="preserve">, </w:t>
      </w:r>
      <w:r w:rsidRPr="00855A47">
        <w:rPr>
          <w:rFonts w:eastAsia="Times New Roman"/>
          <w:i/>
          <w:iCs/>
        </w:rPr>
        <w:t>Z</w:t>
      </w:r>
      <w:r w:rsidRPr="00855A47">
        <w:rPr>
          <w:rFonts w:eastAsia="Times New Roman"/>
          <w:i/>
          <w:iCs/>
          <w:vertAlign w:val="subscript"/>
        </w:rPr>
        <w:t>T</w:t>
      </w:r>
      <w:r w:rsidRPr="00855A47">
        <w:rPr>
          <w:rFonts w:ascii="Arial" w:eastAsia="Times New Roman" w:hAnsi="Arial" w:cs="Arial"/>
        </w:rPr>
        <w:t xml:space="preserve">, </w:t>
      </w:r>
      <w:r w:rsidRPr="00855A47">
        <w:rPr>
          <w:rFonts w:eastAsia="Times New Roman"/>
          <w:i/>
          <w:iCs/>
        </w:rPr>
        <w:t>θ</w:t>
      </w:r>
      <w:r w:rsidRPr="00855A47">
        <w:rPr>
          <w:rFonts w:eastAsia="Times New Roman"/>
          <w:i/>
          <w:iCs/>
          <w:vertAlign w:val="subscript"/>
        </w:rPr>
        <w:t>T</w:t>
      </w:r>
      <w:r w:rsidRPr="00855A47">
        <w:rPr>
          <w:rFonts w:ascii="Arial" w:eastAsia="Times New Roman" w:hAnsi="Arial" w:cs="Arial"/>
        </w:rPr>
        <w:t xml:space="preserve">. Se realizaron 3 simulaciones para obtener tres valores de </w:t>
      </w:r>
      <w:r w:rsidRPr="00855A47">
        <w:rPr>
          <w:rFonts w:eastAsia="Times New Roman"/>
          <w:i/>
          <w:iCs/>
        </w:rPr>
        <w:t>V</w:t>
      </w:r>
      <w:r w:rsidRPr="00855A47">
        <w:rPr>
          <w:rFonts w:eastAsia="Times New Roman"/>
          <w:i/>
          <w:iCs/>
          <w:vertAlign w:val="subscript"/>
        </w:rPr>
        <w:t>fcd</w:t>
      </w:r>
      <w:r w:rsidRPr="00855A47">
        <w:rPr>
          <w:rFonts w:ascii="Arial" w:eastAsia="Times New Roman" w:hAnsi="Arial" w:cs="Arial"/>
        </w:rPr>
        <w:t xml:space="preserve"> y </w:t>
      </w:r>
      <w:r w:rsidRPr="00855A47">
        <w:rPr>
          <w:rFonts w:eastAsia="Times New Roman"/>
          <w:i/>
          <w:iCs/>
        </w:rPr>
        <w:t>V</w:t>
      </w:r>
      <w:r w:rsidRPr="00855A47">
        <w:rPr>
          <w:rFonts w:eastAsia="Times New Roman"/>
          <w:i/>
          <w:iCs/>
          <w:vertAlign w:val="subscript"/>
        </w:rPr>
        <w:t>ccd</w:t>
      </w:r>
      <w:r w:rsidRPr="00855A47">
        <w:rPr>
          <w:rFonts w:ascii="Arial" w:eastAsia="Times New Roman" w:hAnsi="Arial" w:cs="Arial"/>
        </w:rPr>
        <w:t xml:space="preserve"> correspondientes a la componente resistiva y reactiva. Después se calcularon tres valores para </w:t>
      </w:r>
      <w:r w:rsidRPr="00855A47">
        <w:rPr>
          <w:rFonts w:eastAsia="Times New Roman"/>
          <w:i/>
          <w:iCs/>
        </w:rPr>
        <w:t>R</w:t>
      </w:r>
      <w:r w:rsidRPr="00855A47">
        <w:rPr>
          <w:rFonts w:eastAsia="Times New Roman"/>
          <w:i/>
          <w:iCs/>
          <w:vertAlign w:val="subscript"/>
        </w:rPr>
        <w:t>S</w:t>
      </w:r>
      <w:r w:rsidRPr="00855A47">
        <w:rPr>
          <w:rFonts w:ascii="Arial" w:eastAsia="Times New Roman" w:hAnsi="Arial" w:cs="Arial"/>
        </w:rPr>
        <w:t xml:space="preserve"> y </w:t>
      </w:r>
      <w:r w:rsidRPr="00855A47">
        <w:rPr>
          <w:rFonts w:eastAsia="Times New Roman"/>
          <w:i/>
          <w:iCs/>
        </w:rPr>
        <w:t>C</w:t>
      </w:r>
      <w:r w:rsidRPr="00855A47">
        <w:rPr>
          <w:rFonts w:eastAsia="Times New Roman"/>
          <w:i/>
          <w:iCs/>
          <w:vertAlign w:val="subscript"/>
        </w:rPr>
        <w:t>S</w:t>
      </w:r>
      <w:r w:rsidRPr="00855A47">
        <w:rPr>
          <w:rFonts w:ascii="Arial" w:eastAsia="Times New Roman" w:hAnsi="Arial" w:cs="Arial"/>
        </w:rPr>
        <w:t xml:space="preserve"> y en función de estos sus respectivos valores de </w:t>
      </w:r>
      <w:r w:rsidRPr="00855A47">
        <w:rPr>
          <w:rFonts w:eastAsia="Times New Roman"/>
          <w:i/>
          <w:iCs/>
        </w:rPr>
        <w:t>Z</w:t>
      </w:r>
      <w:r w:rsidRPr="00855A47">
        <w:rPr>
          <w:rFonts w:eastAsia="Times New Roman"/>
          <w:i/>
          <w:iCs/>
          <w:vertAlign w:val="subscript"/>
        </w:rPr>
        <w:t>S</w:t>
      </w:r>
      <w:r w:rsidRPr="00855A47">
        <w:rPr>
          <w:rFonts w:ascii="Arial" w:eastAsia="Times New Roman" w:hAnsi="Arial" w:cs="Arial"/>
        </w:rPr>
        <w:t xml:space="preserve">, </w:t>
      </w:r>
      <w:bookmarkStart w:id="435" w:name="_Hlk34657142"/>
      <w:r w:rsidRPr="00855A47">
        <w:rPr>
          <w:rFonts w:eastAsia="Times New Roman"/>
          <w:i/>
          <w:iCs/>
        </w:rPr>
        <w:t>θ</w:t>
      </w:r>
      <w:r w:rsidRPr="00855A47">
        <w:rPr>
          <w:rFonts w:eastAsia="Times New Roman"/>
          <w:i/>
          <w:iCs/>
          <w:vertAlign w:val="subscript"/>
        </w:rPr>
        <w:t>S</w:t>
      </w:r>
      <w:r w:rsidRPr="00855A47">
        <w:rPr>
          <w:rFonts w:ascii="Arial" w:eastAsia="Times New Roman" w:hAnsi="Arial" w:cs="Arial"/>
        </w:rPr>
        <w:t>,</w:t>
      </w:r>
      <w:bookmarkEnd w:id="435"/>
      <w:r w:rsidRPr="00855A47">
        <w:rPr>
          <w:rFonts w:ascii="Arial" w:eastAsia="Times New Roman" w:hAnsi="Arial" w:cs="Arial"/>
        </w:rPr>
        <w:t xml:space="preserve"> y finalmente, se calcularon sus respectivos valores de porcentajes de error relativo absoluto</w:t>
      </w:r>
      <w:r w:rsidRPr="00855A47">
        <w:rPr>
          <w:rFonts w:ascii="Arial" w:eastAsia="Times New Roman" w:hAnsi="Arial" w:cs="Arial"/>
          <w:i/>
          <w:iCs/>
        </w:rPr>
        <w:t xml:space="preserve"> </w:t>
      </w:r>
      <w:r w:rsidRPr="00855A47">
        <w:rPr>
          <w:rFonts w:eastAsia="Times New Roman"/>
          <w:i/>
          <w:iCs/>
        </w:rPr>
        <w:t>E</w:t>
      </w:r>
      <w:r w:rsidRPr="00855A47">
        <w:rPr>
          <w:rFonts w:eastAsia="Times New Roman"/>
          <w:i/>
          <w:iCs/>
          <w:vertAlign w:val="subscript"/>
        </w:rPr>
        <w:t>r</w:t>
      </w:r>
      <w:r w:rsidRPr="00855A47">
        <w:rPr>
          <w:rFonts w:ascii="Arial" w:eastAsia="Times New Roman" w:hAnsi="Arial" w:cs="Arial"/>
        </w:rPr>
        <w:t xml:space="preserve"> para </w:t>
      </w:r>
      <w:r w:rsidRPr="00855A47">
        <w:rPr>
          <w:rFonts w:eastAsia="Times New Roman"/>
          <w:i/>
          <w:iCs/>
        </w:rPr>
        <w:t>R</w:t>
      </w:r>
      <w:r w:rsidRPr="00855A47">
        <w:rPr>
          <w:rFonts w:ascii="Arial" w:eastAsia="Times New Roman" w:hAnsi="Arial" w:cs="Arial"/>
        </w:rPr>
        <w:t xml:space="preserve"> y </w:t>
      </w:r>
      <w:r w:rsidRPr="00855A47">
        <w:rPr>
          <w:rFonts w:eastAsia="Times New Roman"/>
          <w:i/>
          <w:iCs/>
        </w:rPr>
        <w:t>C</w:t>
      </w:r>
      <w:r w:rsidRPr="00855A47">
        <w:rPr>
          <w:rFonts w:ascii="Arial" w:eastAsia="Times New Roman" w:hAnsi="Arial" w:cs="Arial"/>
        </w:rPr>
        <w:t>, como se muestra en la tabla 2.</w:t>
      </w:r>
    </w:p>
    <w:p w:rsidR="00C04E73" w:rsidRPr="00855A47" w:rsidRDefault="00C04E73" w:rsidP="00C04E73">
      <w:pPr>
        <w:jc w:val="both"/>
        <w:rPr>
          <w:rFonts w:ascii="Arial" w:eastAsia="Times New Roman" w:hAnsi="Arial" w:cs="Arial"/>
        </w:rPr>
      </w:pPr>
    </w:p>
    <w:p w:rsidR="00C04E73" w:rsidRPr="00855A47" w:rsidRDefault="00C04E73" w:rsidP="00C04E73">
      <w:pPr>
        <w:ind w:firstLine="567"/>
        <w:jc w:val="both"/>
        <w:rPr>
          <w:rFonts w:ascii="Arial" w:eastAsia="Times New Roman" w:hAnsi="Arial" w:cs="Arial"/>
        </w:rPr>
      </w:pPr>
      <w:r w:rsidRPr="00855A47">
        <w:rPr>
          <w:rFonts w:ascii="Arial" w:eastAsia="Times New Roman" w:hAnsi="Arial" w:cs="Arial"/>
        </w:rPr>
        <w:t xml:space="preserve">Se realizaron mediciones experimentales con un medidor LCR Keysight E4980AL para medir componentes resistivos y capacitivos comerciales con los valores propuestos anteriormente, </w:t>
      </w:r>
      <w:r w:rsidRPr="00855A47">
        <w:rPr>
          <w:rFonts w:eastAsia="Times New Roman"/>
          <w:i/>
          <w:iCs/>
        </w:rPr>
        <w:t>R=5.6KΩ</w:t>
      </w:r>
      <w:r w:rsidRPr="00855A47">
        <w:rPr>
          <w:rFonts w:ascii="Arial" w:eastAsia="Times New Roman" w:hAnsi="Arial" w:cs="Arial"/>
          <w:iCs/>
        </w:rPr>
        <w:t xml:space="preserve">, </w:t>
      </w:r>
      <w:r w:rsidRPr="00855A47">
        <w:rPr>
          <w:rFonts w:eastAsia="Times New Roman"/>
          <w:i/>
          <w:iCs/>
        </w:rPr>
        <w:t>R=10KΩ</w:t>
      </w:r>
      <w:r w:rsidRPr="00855A47">
        <w:rPr>
          <w:rFonts w:ascii="Arial" w:eastAsia="Times New Roman" w:hAnsi="Arial" w:cs="Arial"/>
          <w:iCs/>
        </w:rPr>
        <w:t xml:space="preserve">, </w:t>
      </w:r>
      <w:r w:rsidRPr="00855A47">
        <w:rPr>
          <w:rFonts w:eastAsia="Times New Roman"/>
          <w:i/>
          <w:iCs/>
        </w:rPr>
        <w:t>R=20KΩ</w:t>
      </w:r>
      <w:r w:rsidRPr="00855A47">
        <w:rPr>
          <w:rFonts w:ascii="Arial" w:eastAsia="Times New Roman" w:hAnsi="Arial" w:cs="Arial"/>
          <w:iCs/>
        </w:rPr>
        <w:t xml:space="preserve"> </w:t>
      </w:r>
      <w:r w:rsidRPr="00855A47">
        <w:rPr>
          <w:rFonts w:ascii="Arial" w:eastAsia="Times New Roman" w:hAnsi="Arial" w:cs="Arial"/>
        </w:rPr>
        <w:t xml:space="preserve">y </w:t>
      </w:r>
      <w:r w:rsidRPr="00855A47">
        <w:rPr>
          <w:rFonts w:eastAsia="Times New Roman"/>
          <w:i/>
          <w:iCs/>
        </w:rPr>
        <w:t>C=10nF</w:t>
      </w:r>
      <w:r w:rsidRPr="00855A47">
        <w:rPr>
          <w:rFonts w:ascii="Arial" w:eastAsia="Times New Roman" w:hAnsi="Arial" w:cs="Arial"/>
        </w:rPr>
        <w:t xml:space="preserve"> con tolerancias de </w:t>
      </w:r>
      <w:r w:rsidRPr="00855A47">
        <w:rPr>
          <w:rFonts w:eastAsia="Times New Roman"/>
          <w:i/>
        </w:rPr>
        <w:t>±5%</w:t>
      </w:r>
      <w:r w:rsidRPr="00855A47">
        <w:rPr>
          <w:rFonts w:ascii="Arial" w:eastAsia="Times New Roman" w:hAnsi="Arial" w:cs="Arial"/>
        </w:rPr>
        <w:t xml:space="preserve"> cada una. Además se realizaron mediciones directas de impedancia de circuitos RC en paralelo con el medidor LCR y se compararon con los valores de impedancia calculados en función de los voltajes obtenidos de las simulaciones del SMV. Los resultados se muestran en la tabla 3.</w:t>
      </w:r>
    </w:p>
    <w:p w:rsidR="00C04E73" w:rsidRDefault="00C04E73" w:rsidP="00C04E73">
      <w:pPr>
        <w:pStyle w:val="Textoindependiente"/>
        <w:jc w:val="both"/>
        <w:rPr>
          <w:rFonts w:ascii="Arial" w:hAnsi="Arial" w:cs="Arial"/>
          <w:b w:val="0"/>
          <w:sz w:val="24"/>
        </w:rPr>
      </w:pPr>
    </w:p>
    <w:p w:rsidR="00C04E73" w:rsidRPr="00BF456F" w:rsidRDefault="00C04E73" w:rsidP="00C04E73">
      <w:pPr>
        <w:ind w:firstLine="567"/>
        <w:jc w:val="center"/>
        <w:rPr>
          <w:rFonts w:eastAsia="Times New Roman"/>
          <w:i/>
          <w:sz w:val="20"/>
          <w:szCs w:val="20"/>
        </w:rPr>
      </w:pPr>
      <w:r w:rsidRPr="00BF456F">
        <w:rPr>
          <w:rFonts w:eastAsia="Times New Roman"/>
          <w:i/>
          <w:sz w:val="20"/>
          <w:szCs w:val="20"/>
        </w:rPr>
        <w:t>Tabla 3. Comparación de los datos calculados con los voltajes obtenidos de las simulaciones del SMV y con los datos obtenidos con el medidor LCR, utilizando valores de resistencia y capacitancia comerciales con tolerancias del ±5%.</w:t>
      </w:r>
    </w:p>
    <w:p w:rsidR="00C04E73" w:rsidRPr="00BF456F" w:rsidRDefault="00C04E73" w:rsidP="00C04E73">
      <w:pPr>
        <w:ind w:firstLine="567"/>
        <w:jc w:val="both"/>
        <w:rPr>
          <w:rFonts w:eastAsia="Times New Roman"/>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4"/>
        <w:gridCol w:w="817"/>
        <w:gridCol w:w="810"/>
        <w:gridCol w:w="964"/>
        <w:gridCol w:w="810"/>
        <w:gridCol w:w="776"/>
        <w:gridCol w:w="652"/>
        <w:gridCol w:w="775"/>
        <w:gridCol w:w="775"/>
        <w:gridCol w:w="652"/>
        <w:gridCol w:w="990"/>
      </w:tblGrid>
      <w:tr w:rsidR="00C04E73" w:rsidRPr="00C04E73" w:rsidTr="000533C7">
        <w:trPr>
          <w:jc w:val="center"/>
        </w:trPr>
        <w:tc>
          <w:tcPr>
            <w:tcW w:w="4395" w:type="dxa"/>
            <w:gridSpan w:val="5"/>
            <w:tcBorders>
              <w:top w:val="single" w:sz="4" w:space="0" w:color="auto"/>
              <w:left w:val="single" w:sz="4" w:space="0" w:color="auto"/>
              <w:bottom w:val="single" w:sz="4" w:space="0" w:color="auto"/>
              <w:right w:val="single" w:sz="4" w:space="0" w:color="auto"/>
            </w:tcBorders>
            <w:shd w:val="clear" w:color="auto" w:fill="auto"/>
          </w:tcPr>
          <w:p w:rsidR="00C04E73" w:rsidRPr="00BF456F" w:rsidRDefault="00C04E73" w:rsidP="000533C7">
            <w:pPr>
              <w:jc w:val="center"/>
              <w:rPr>
                <w:rFonts w:eastAsia="Calibri"/>
                <w:b/>
                <w:bCs/>
                <w:iCs/>
                <w:sz w:val="22"/>
                <w:szCs w:val="22"/>
                <w:lang w:eastAsia="es-ES"/>
              </w:rPr>
            </w:pPr>
            <w:r w:rsidRPr="00BF456F">
              <w:rPr>
                <w:rFonts w:eastAsia="Calibri"/>
                <w:b/>
                <w:bCs/>
                <w:iCs/>
                <w:sz w:val="22"/>
                <w:szCs w:val="22"/>
                <w:lang w:eastAsia="es-ES"/>
              </w:rPr>
              <w:t xml:space="preserve">Datos calculados en función de simulaciones </w:t>
            </w:r>
          </w:p>
        </w:tc>
        <w:tc>
          <w:tcPr>
            <w:tcW w:w="4620" w:type="dxa"/>
            <w:gridSpan w:val="6"/>
            <w:tcBorders>
              <w:top w:val="single" w:sz="4" w:space="0" w:color="auto"/>
              <w:left w:val="single" w:sz="4" w:space="0" w:color="auto"/>
              <w:bottom w:val="single" w:sz="4" w:space="0" w:color="auto"/>
              <w:right w:val="single" w:sz="4" w:space="0" w:color="auto"/>
            </w:tcBorders>
            <w:shd w:val="clear" w:color="auto" w:fill="auto"/>
          </w:tcPr>
          <w:p w:rsidR="00C04E73" w:rsidRPr="00BF456F" w:rsidRDefault="00C04E73" w:rsidP="000533C7">
            <w:pPr>
              <w:jc w:val="center"/>
              <w:rPr>
                <w:rFonts w:eastAsia="Calibri"/>
                <w:b/>
                <w:bCs/>
                <w:iCs/>
                <w:sz w:val="22"/>
                <w:szCs w:val="22"/>
                <w:lang w:eastAsia="es-ES"/>
              </w:rPr>
            </w:pPr>
            <w:r w:rsidRPr="00BF456F">
              <w:rPr>
                <w:rFonts w:eastAsia="Calibri"/>
                <w:b/>
                <w:bCs/>
                <w:iCs/>
                <w:sz w:val="22"/>
                <w:szCs w:val="22"/>
                <w:lang w:eastAsia="es-ES"/>
              </w:rPr>
              <w:t xml:space="preserve">Datos calculados en función del medidor LCR </w:t>
            </w:r>
          </w:p>
        </w:tc>
      </w:tr>
      <w:tr w:rsidR="00C04E73" w:rsidRPr="00BF456F" w:rsidTr="000533C7">
        <w:trPr>
          <w:jc w:val="center"/>
        </w:trPr>
        <w:tc>
          <w:tcPr>
            <w:tcW w:w="0" w:type="auto"/>
            <w:tcBorders>
              <w:top w:val="single" w:sz="4" w:space="0" w:color="auto"/>
            </w:tcBorders>
            <w:shd w:val="clear" w:color="auto" w:fill="auto"/>
          </w:tcPr>
          <w:p w:rsidR="00C04E73" w:rsidRPr="00BF456F" w:rsidRDefault="00C04E73" w:rsidP="000533C7">
            <w:pPr>
              <w:jc w:val="center"/>
              <w:rPr>
                <w:rFonts w:eastAsia="Calibri"/>
                <w:b/>
                <w:bCs/>
                <w:i/>
                <w:iCs/>
                <w:sz w:val="22"/>
                <w:szCs w:val="22"/>
                <w:lang w:eastAsia="es-ES"/>
              </w:rPr>
            </w:pPr>
            <w:r w:rsidRPr="00BF456F">
              <w:rPr>
                <w:rFonts w:eastAsia="Calibri"/>
                <w:b/>
                <w:bCs/>
                <w:i/>
                <w:iCs/>
                <w:sz w:val="22"/>
                <w:szCs w:val="22"/>
                <w:lang w:eastAsia="es-ES"/>
              </w:rPr>
              <w:t>f</w:t>
            </w:r>
          </w:p>
          <w:p w:rsidR="00C04E73" w:rsidRPr="00BF456F" w:rsidRDefault="00C04E73" w:rsidP="000533C7">
            <w:pPr>
              <w:jc w:val="center"/>
              <w:rPr>
                <w:rFonts w:eastAsia="Calibri"/>
                <w:b/>
                <w:bCs/>
                <w:i/>
                <w:iCs/>
                <w:sz w:val="22"/>
                <w:szCs w:val="22"/>
                <w:lang w:eastAsia="es-ES"/>
              </w:rPr>
            </w:pPr>
            <w:r w:rsidRPr="00BF456F">
              <w:rPr>
                <w:rFonts w:eastAsia="Calibri"/>
                <w:b/>
                <w:bCs/>
                <w:i/>
                <w:iCs/>
                <w:sz w:val="22"/>
                <w:szCs w:val="22"/>
                <w:lang w:eastAsia="es-ES"/>
              </w:rPr>
              <w:t>[KHz]</w:t>
            </w:r>
          </w:p>
        </w:tc>
        <w:tc>
          <w:tcPr>
            <w:tcW w:w="0" w:type="auto"/>
            <w:tcBorders>
              <w:top w:val="single" w:sz="4" w:space="0" w:color="auto"/>
            </w:tcBorders>
            <w:shd w:val="clear" w:color="auto" w:fill="auto"/>
          </w:tcPr>
          <w:p w:rsidR="00C04E73" w:rsidRPr="00BF456F" w:rsidRDefault="00C04E73" w:rsidP="000533C7">
            <w:pPr>
              <w:jc w:val="center"/>
              <w:rPr>
                <w:rFonts w:eastAsia="Calibri"/>
                <w:b/>
                <w:bCs/>
                <w:i/>
                <w:iCs/>
                <w:sz w:val="22"/>
                <w:szCs w:val="22"/>
                <w:lang w:eastAsia="es-ES"/>
              </w:rPr>
            </w:pPr>
            <w:r w:rsidRPr="00BF456F">
              <w:rPr>
                <w:rFonts w:eastAsia="Calibri"/>
                <w:b/>
                <w:bCs/>
                <w:i/>
                <w:iCs/>
                <w:sz w:val="22"/>
                <w:szCs w:val="22"/>
                <w:lang w:eastAsia="es-ES"/>
              </w:rPr>
              <w:t>R</w:t>
            </w:r>
            <w:r w:rsidRPr="00BF456F">
              <w:rPr>
                <w:rFonts w:eastAsia="Calibri"/>
                <w:b/>
                <w:bCs/>
                <w:i/>
                <w:iCs/>
                <w:sz w:val="22"/>
                <w:szCs w:val="22"/>
                <w:vertAlign w:val="subscript"/>
                <w:lang w:eastAsia="es-ES"/>
              </w:rPr>
              <w:t>S</w:t>
            </w:r>
          </w:p>
          <w:p w:rsidR="00C04E73" w:rsidRPr="00BF456F" w:rsidRDefault="00C04E73" w:rsidP="000533C7">
            <w:pPr>
              <w:jc w:val="center"/>
              <w:rPr>
                <w:rFonts w:eastAsia="Calibri"/>
                <w:sz w:val="22"/>
                <w:szCs w:val="22"/>
                <w:lang w:eastAsia="es-ES"/>
              </w:rPr>
            </w:pPr>
            <w:r w:rsidRPr="00BF456F">
              <w:rPr>
                <w:rFonts w:eastAsia="Calibri"/>
                <w:sz w:val="22"/>
                <w:szCs w:val="22"/>
                <w:lang w:eastAsia="es-ES"/>
              </w:rPr>
              <w:t>[KΩ]</w:t>
            </w:r>
          </w:p>
        </w:tc>
        <w:tc>
          <w:tcPr>
            <w:tcW w:w="0" w:type="auto"/>
            <w:tcBorders>
              <w:top w:val="single" w:sz="4" w:space="0" w:color="auto"/>
            </w:tcBorders>
            <w:shd w:val="clear" w:color="auto" w:fill="auto"/>
          </w:tcPr>
          <w:p w:rsidR="00C04E73" w:rsidRPr="00BF456F" w:rsidRDefault="00C04E73" w:rsidP="000533C7">
            <w:pPr>
              <w:jc w:val="center"/>
              <w:rPr>
                <w:rFonts w:eastAsia="Calibri"/>
                <w:b/>
                <w:bCs/>
                <w:i/>
                <w:iCs/>
                <w:sz w:val="22"/>
                <w:szCs w:val="22"/>
                <w:lang w:eastAsia="es-ES"/>
              </w:rPr>
            </w:pPr>
            <w:r w:rsidRPr="00BF456F">
              <w:rPr>
                <w:rFonts w:eastAsia="Calibri"/>
                <w:b/>
                <w:bCs/>
                <w:i/>
                <w:iCs/>
                <w:sz w:val="22"/>
                <w:szCs w:val="22"/>
                <w:lang w:eastAsia="es-ES"/>
              </w:rPr>
              <w:t>C</w:t>
            </w:r>
            <w:r w:rsidRPr="00BF456F">
              <w:rPr>
                <w:rFonts w:eastAsia="Calibri"/>
                <w:b/>
                <w:bCs/>
                <w:i/>
                <w:iCs/>
                <w:sz w:val="22"/>
                <w:szCs w:val="22"/>
                <w:vertAlign w:val="subscript"/>
                <w:lang w:eastAsia="es-ES"/>
              </w:rPr>
              <w:t>S</w:t>
            </w:r>
          </w:p>
          <w:p w:rsidR="00C04E73" w:rsidRPr="00BF456F" w:rsidRDefault="00C04E73" w:rsidP="000533C7">
            <w:pPr>
              <w:jc w:val="center"/>
              <w:rPr>
                <w:rFonts w:eastAsia="Calibri"/>
                <w:sz w:val="22"/>
                <w:szCs w:val="22"/>
                <w:lang w:eastAsia="es-ES"/>
              </w:rPr>
            </w:pPr>
            <w:r w:rsidRPr="00BF456F">
              <w:rPr>
                <w:rFonts w:eastAsia="Calibri"/>
                <w:sz w:val="22"/>
                <w:szCs w:val="22"/>
                <w:lang w:eastAsia="es-ES"/>
              </w:rPr>
              <w:t>[nF]</w:t>
            </w:r>
          </w:p>
        </w:tc>
        <w:tc>
          <w:tcPr>
            <w:tcW w:w="0" w:type="auto"/>
            <w:tcBorders>
              <w:top w:val="single" w:sz="4" w:space="0" w:color="auto"/>
            </w:tcBorders>
            <w:shd w:val="clear" w:color="auto" w:fill="auto"/>
          </w:tcPr>
          <w:p w:rsidR="00C04E73" w:rsidRPr="00BF456F" w:rsidRDefault="00C04E73" w:rsidP="000533C7">
            <w:pPr>
              <w:jc w:val="center"/>
              <w:rPr>
                <w:rFonts w:eastAsia="Calibri"/>
                <w:b/>
                <w:bCs/>
                <w:i/>
                <w:iCs/>
                <w:sz w:val="22"/>
                <w:szCs w:val="22"/>
                <w:lang w:eastAsia="es-ES"/>
              </w:rPr>
            </w:pPr>
            <w:r w:rsidRPr="00BF456F">
              <w:rPr>
                <w:rFonts w:eastAsia="Calibri"/>
                <w:b/>
                <w:bCs/>
                <w:i/>
                <w:iCs/>
                <w:sz w:val="22"/>
                <w:szCs w:val="22"/>
                <w:lang w:eastAsia="es-ES"/>
              </w:rPr>
              <w:t>Z</w:t>
            </w:r>
            <w:r w:rsidRPr="00BF456F">
              <w:rPr>
                <w:rFonts w:eastAsia="Calibri"/>
                <w:b/>
                <w:bCs/>
                <w:i/>
                <w:iCs/>
                <w:sz w:val="22"/>
                <w:szCs w:val="22"/>
                <w:vertAlign w:val="subscript"/>
                <w:lang w:eastAsia="es-ES"/>
              </w:rPr>
              <w:t>S</w:t>
            </w:r>
          </w:p>
          <w:p w:rsidR="00C04E73" w:rsidRPr="00BF456F" w:rsidRDefault="00C04E73" w:rsidP="000533C7">
            <w:pPr>
              <w:jc w:val="center"/>
              <w:rPr>
                <w:rFonts w:eastAsia="Calibri"/>
                <w:sz w:val="22"/>
                <w:szCs w:val="22"/>
                <w:lang w:eastAsia="es-ES"/>
              </w:rPr>
            </w:pPr>
            <w:r w:rsidRPr="00BF456F">
              <w:rPr>
                <w:rFonts w:eastAsia="Calibri"/>
                <w:sz w:val="22"/>
                <w:szCs w:val="22"/>
                <w:lang w:eastAsia="es-ES"/>
              </w:rPr>
              <w:t>[KΩ]</w:t>
            </w:r>
          </w:p>
        </w:tc>
        <w:tc>
          <w:tcPr>
            <w:tcW w:w="0" w:type="auto"/>
            <w:tcBorders>
              <w:top w:val="single" w:sz="4" w:space="0" w:color="auto"/>
            </w:tcBorders>
            <w:shd w:val="clear" w:color="auto" w:fill="auto"/>
          </w:tcPr>
          <w:p w:rsidR="00C04E73" w:rsidRPr="00BF456F" w:rsidRDefault="00C04E73" w:rsidP="000533C7">
            <w:pPr>
              <w:jc w:val="center"/>
              <w:rPr>
                <w:rFonts w:eastAsia="Calibri"/>
                <w:b/>
                <w:bCs/>
                <w:i/>
                <w:iCs/>
                <w:sz w:val="22"/>
                <w:szCs w:val="22"/>
                <w:lang w:eastAsia="es-ES"/>
              </w:rPr>
            </w:pPr>
            <w:r w:rsidRPr="00BF456F">
              <w:rPr>
                <w:rFonts w:eastAsia="Calibri"/>
                <w:b/>
                <w:bCs/>
                <w:i/>
                <w:iCs/>
                <w:sz w:val="22"/>
                <w:szCs w:val="22"/>
                <w:lang w:eastAsia="es-ES"/>
              </w:rPr>
              <w:t>θ</w:t>
            </w:r>
            <w:r w:rsidRPr="00BF456F">
              <w:rPr>
                <w:rFonts w:eastAsia="Calibri"/>
                <w:b/>
                <w:bCs/>
                <w:i/>
                <w:iCs/>
                <w:sz w:val="22"/>
                <w:szCs w:val="22"/>
                <w:vertAlign w:val="subscript"/>
                <w:lang w:eastAsia="es-ES"/>
              </w:rPr>
              <w:t>S</w:t>
            </w:r>
          </w:p>
          <w:p w:rsidR="00C04E73" w:rsidRPr="00BF456F" w:rsidRDefault="00C04E73" w:rsidP="000533C7">
            <w:pPr>
              <w:jc w:val="center"/>
              <w:rPr>
                <w:rFonts w:eastAsia="Calibri"/>
                <w:sz w:val="22"/>
                <w:szCs w:val="22"/>
                <w:lang w:eastAsia="es-ES"/>
              </w:rPr>
            </w:pPr>
            <w:r w:rsidRPr="00BF456F">
              <w:rPr>
                <w:rFonts w:eastAsia="Calibri"/>
                <w:sz w:val="22"/>
                <w:szCs w:val="22"/>
                <w:lang w:eastAsia="es-ES"/>
              </w:rPr>
              <w:t>[°]</w:t>
            </w:r>
          </w:p>
        </w:tc>
        <w:tc>
          <w:tcPr>
            <w:tcW w:w="0" w:type="auto"/>
            <w:tcBorders>
              <w:top w:val="single" w:sz="4" w:space="0" w:color="auto"/>
            </w:tcBorders>
            <w:shd w:val="clear" w:color="auto" w:fill="auto"/>
          </w:tcPr>
          <w:p w:rsidR="00C04E73" w:rsidRPr="00BF456F" w:rsidRDefault="00C04E73" w:rsidP="000533C7">
            <w:pPr>
              <w:jc w:val="center"/>
              <w:rPr>
                <w:rFonts w:eastAsia="Calibri"/>
                <w:b/>
                <w:bCs/>
                <w:i/>
                <w:iCs/>
                <w:sz w:val="22"/>
                <w:szCs w:val="22"/>
                <w:lang w:eastAsia="es-ES"/>
              </w:rPr>
            </w:pPr>
            <w:r w:rsidRPr="00BF456F">
              <w:rPr>
                <w:rFonts w:eastAsia="Calibri"/>
                <w:b/>
                <w:bCs/>
                <w:i/>
                <w:iCs/>
                <w:sz w:val="22"/>
                <w:szCs w:val="22"/>
                <w:lang w:eastAsia="es-ES"/>
              </w:rPr>
              <w:t>R</w:t>
            </w:r>
            <w:r w:rsidRPr="00BF456F">
              <w:rPr>
                <w:rFonts w:eastAsia="Calibri"/>
                <w:b/>
                <w:bCs/>
                <w:i/>
                <w:iCs/>
                <w:sz w:val="22"/>
                <w:szCs w:val="22"/>
                <w:vertAlign w:val="subscript"/>
                <w:lang w:eastAsia="es-ES"/>
              </w:rPr>
              <w:t>M</w:t>
            </w:r>
          </w:p>
          <w:p w:rsidR="00C04E73" w:rsidRPr="00BF456F" w:rsidRDefault="00C04E73" w:rsidP="000533C7">
            <w:pPr>
              <w:jc w:val="center"/>
              <w:rPr>
                <w:rFonts w:eastAsia="Calibri"/>
                <w:sz w:val="22"/>
                <w:szCs w:val="22"/>
                <w:lang w:eastAsia="es-ES"/>
              </w:rPr>
            </w:pPr>
            <w:r w:rsidRPr="00BF456F">
              <w:rPr>
                <w:rFonts w:eastAsia="Calibri"/>
                <w:sz w:val="22"/>
                <w:szCs w:val="22"/>
                <w:lang w:eastAsia="es-ES"/>
              </w:rPr>
              <w:t>[KΩ]</w:t>
            </w:r>
          </w:p>
        </w:tc>
        <w:tc>
          <w:tcPr>
            <w:tcW w:w="0" w:type="auto"/>
            <w:tcBorders>
              <w:top w:val="single" w:sz="4" w:space="0" w:color="auto"/>
            </w:tcBorders>
            <w:shd w:val="clear" w:color="auto" w:fill="auto"/>
          </w:tcPr>
          <w:p w:rsidR="00C04E73" w:rsidRPr="00BF456F" w:rsidRDefault="00C04E73" w:rsidP="000533C7">
            <w:pPr>
              <w:jc w:val="center"/>
              <w:rPr>
                <w:rFonts w:eastAsia="Calibri"/>
                <w:b/>
                <w:bCs/>
                <w:i/>
                <w:iCs/>
                <w:sz w:val="22"/>
                <w:szCs w:val="22"/>
                <w:lang w:eastAsia="es-ES"/>
              </w:rPr>
            </w:pPr>
            <w:r w:rsidRPr="00BF456F">
              <w:rPr>
                <w:rFonts w:eastAsia="Calibri"/>
                <w:b/>
                <w:bCs/>
                <w:i/>
                <w:iCs/>
                <w:sz w:val="22"/>
                <w:szCs w:val="22"/>
                <w:lang w:eastAsia="es-ES"/>
              </w:rPr>
              <w:t>C</w:t>
            </w:r>
            <w:r w:rsidRPr="00BF456F">
              <w:rPr>
                <w:rFonts w:eastAsia="Calibri"/>
                <w:b/>
                <w:bCs/>
                <w:i/>
                <w:iCs/>
                <w:sz w:val="22"/>
                <w:szCs w:val="22"/>
                <w:vertAlign w:val="subscript"/>
                <w:lang w:eastAsia="es-ES"/>
              </w:rPr>
              <w:t>M</w:t>
            </w:r>
          </w:p>
          <w:p w:rsidR="00C04E73" w:rsidRPr="00BF456F" w:rsidRDefault="00C04E73" w:rsidP="000533C7">
            <w:pPr>
              <w:jc w:val="center"/>
              <w:rPr>
                <w:rFonts w:eastAsia="Calibri"/>
                <w:sz w:val="22"/>
                <w:szCs w:val="22"/>
                <w:lang w:eastAsia="es-ES"/>
              </w:rPr>
            </w:pPr>
            <w:r w:rsidRPr="00BF456F">
              <w:rPr>
                <w:rFonts w:eastAsia="Calibri"/>
                <w:sz w:val="22"/>
                <w:szCs w:val="22"/>
                <w:lang w:eastAsia="es-ES"/>
              </w:rPr>
              <w:t>[nF]</w:t>
            </w:r>
          </w:p>
        </w:tc>
        <w:tc>
          <w:tcPr>
            <w:tcW w:w="0" w:type="auto"/>
            <w:tcBorders>
              <w:top w:val="single" w:sz="4" w:space="0" w:color="auto"/>
            </w:tcBorders>
            <w:shd w:val="clear" w:color="auto" w:fill="auto"/>
          </w:tcPr>
          <w:p w:rsidR="00C04E73" w:rsidRPr="00BF456F" w:rsidRDefault="00C04E73" w:rsidP="000533C7">
            <w:pPr>
              <w:jc w:val="center"/>
              <w:rPr>
                <w:rFonts w:eastAsia="Calibri"/>
                <w:b/>
                <w:bCs/>
                <w:i/>
                <w:iCs/>
                <w:sz w:val="22"/>
                <w:szCs w:val="22"/>
                <w:lang w:eastAsia="es-ES"/>
              </w:rPr>
            </w:pPr>
            <w:r w:rsidRPr="00BF456F">
              <w:rPr>
                <w:rFonts w:eastAsia="Calibri"/>
                <w:b/>
                <w:bCs/>
                <w:i/>
                <w:iCs/>
                <w:sz w:val="22"/>
                <w:szCs w:val="22"/>
                <w:lang w:eastAsia="es-ES"/>
              </w:rPr>
              <w:t>Z</w:t>
            </w:r>
            <w:r w:rsidRPr="00BF456F">
              <w:rPr>
                <w:rFonts w:eastAsia="Calibri"/>
                <w:b/>
                <w:bCs/>
                <w:i/>
                <w:iCs/>
                <w:sz w:val="22"/>
                <w:szCs w:val="22"/>
                <w:vertAlign w:val="subscript"/>
                <w:lang w:eastAsia="es-ES"/>
              </w:rPr>
              <w:t>M</w:t>
            </w:r>
          </w:p>
          <w:p w:rsidR="00C04E73" w:rsidRPr="00BF456F" w:rsidRDefault="00C04E73" w:rsidP="000533C7">
            <w:pPr>
              <w:jc w:val="center"/>
              <w:rPr>
                <w:rFonts w:eastAsia="Calibri"/>
                <w:sz w:val="22"/>
                <w:szCs w:val="22"/>
                <w:lang w:eastAsia="es-ES"/>
              </w:rPr>
            </w:pPr>
            <w:r w:rsidRPr="00BF456F">
              <w:rPr>
                <w:rFonts w:eastAsia="Calibri"/>
                <w:sz w:val="22"/>
                <w:szCs w:val="22"/>
                <w:lang w:eastAsia="es-ES"/>
              </w:rPr>
              <w:t>[KΩ]</w:t>
            </w:r>
          </w:p>
        </w:tc>
        <w:tc>
          <w:tcPr>
            <w:tcW w:w="0" w:type="auto"/>
            <w:tcBorders>
              <w:top w:val="single" w:sz="4" w:space="0" w:color="auto"/>
            </w:tcBorders>
            <w:shd w:val="clear" w:color="auto" w:fill="auto"/>
          </w:tcPr>
          <w:p w:rsidR="00C04E73" w:rsidRPr="00BF456F" w:rsidRDefault="00C04E73" w:rsidP="000533C7">
            <w:pPr>
              <w:jc w:val="center"/>
              <w:rPr>
                <w:rFonts w:eastAsia="Calibri"/>
                <w:b/>
                <w:bCs/>
                <w:i/>
                <w:iCs/>
                <w:sz w:val="22"/>
                <w:szCs w:val="22"/>
                <w:lang w:eastAsia="es-ES"/>
              </w:rPr>
            </w:pPr>
            <w:r w:rsidRPr="00BF456F">
              <w:rPr>
                <w:rFonts w:eastAsia="Calibri"/>
                <w:b/>
                <w:bCs/>
                <w:i/>
                <w:iCs/>
                <w:sz w:val="22"/>
                <w:szCs w:val="22"/>
                <w:lang w:eastAsia="es-ES"/>
              </w:rPr>
              <w:t>θ</w:t>
            </w:r>
            <w:r w:rsidRPr="00BF456F">
              <w:rPr>
                <w:rFonts w:eastAsia="Calibri"/>
                <w:b/>
                <w:bCs/>
                <w:i/>
                <w:iCs/>
                <w:sz w:val="22"/>
                <w:szCs w:val="22"/>
                <w:vertAlign w:val="subscript"/>
                <w:lang w:eastAsia="es-ES"/>
              </w:rPr>
              <w:t>M</w:t>
            </w:r>
          </w:p>
          <w:p w:rsidR="00C04E73" w:rsidRPr="00BF456F" w:rsidRDefault="00C04E73" w:rsidP="000533C7">
            <w:pPr>
              <w:jc w:val="center"/>
              <w:rPr>
                <w:rFonts w:eastAsia="Calibri"/>
                <w:sz w:val="22"/>
                <w:szCs w:val="22"/>
                <w:lang w:eastAsia="es-ES"/>
              </w:rPr>
            </w:pPr>
            <w:r w:rsidRPr="00BF456F">
              <w:rPr>
                <w:rFonts w:eastAsia="Calibri"/>
                <w:sz w:val="22"/>
                <w:szCs w:val="22"/>
                <w:lang w:eastAsia="es-ES"/>
              </w:rPr>
              <w:t>[°]</w:t>
            </w:r>
          </w:p>
        </w:tc>
        <w:tc>
          <w:tcPr>
            <w:tcW w:w="0" w:type="auto"/>
            <w:shd w:val="clear" w:color="auto" w:fill="auto"/>
          </w:tcPr>
          <w:p w:rsidR="00C04E73" w:rsidRPr="00BF456F" w:rsidRDefault="00C04E73" w:rsidP="000533C7">
            <w:pPr>
              <w:jc w:val="center"/>
              <w:rPr>
                <w:rFonts w:eastAsia="Calibri"/>
                <w:b/>
                <w:bCs/>
                <w:i/>
                <w:iCs/>
                <w:sz w:val="22"/>
                <w:szCs w:val="22"/>
                <w:vertAlign w:val="subscript"/>
                <w:lang w:eastAsia="es-ES"/>
              </w:rPr>
            </w:pPr>
            <w:r w:rsidRPr="00BF456F">
              <w:rPr>
                <w:rFonts w:eastAsia="Calibri"/>
                <w:b/>
                <w:bCs/>
                <w:i/>
                <w:iCs/>
                <w:sz w:val="22"/>
                <w:szCs w:val="22"/>
                <w:lang w:eastAsia="es-ES"/>
              </w:rPr>
              <w:t>%Er</w:t>
            </w:r>
          </w:p>
          <w:p w:rsidR="00C04E73" w:rsidRPr="00BF456F" w:rsidRDefault="00C04E73" w:rsidP="000533C7">
            <w:pPr>
              <w:jc w:val="center"/>
              <w:rPr>
                <w:rFonts w:eastAsia="Calibri"/>
                <w:i/>
                <w:iCs/>
                <w:sz w:val="22"/>
                <w:szCs w:val="22"/>
                <w:lang w:eastAsia="es-ES"/>
              </w:rPr>
            </w:pPr>
            <w:r w:rsidRPr="00BF456F">
              <w:rPr>
                <w:rFonts w:eastAsia="Calibri"/>
                <w:i/>
                <w:iCs/>
                <w:sz w:val="22"/>
                <w:szCs w:val="22"/>
                <w:lang w:eastAsia="es-ES"/>
              </w:rPr>
              <w:t>R</w:t>
            </w:r>
          </w:p>
        </w:tc>
        <w:tc>
          <w:tcPr>
            <w:tcW w:w="979" w:type="dxa"/>
            <w:shd w:val="clear" w:color="auto" w:fill="auto"/>
          </w:tcPr>
          <w:p w:rsidR="00C04E73" w:rsidRPr="00BF456F" w:rsidRDefault="00C04E73" w:rsidP="000533C7">
            <w:pPr>
              <w:jc w:val="center"/>
              <w:rPr>
                <w:rFonts w:eastAsia="Calibri"/>
                <w:b/>
                <w:bCs/>
                <w:i/>
                <w:iCs/>
                <w:sz w:val="22"/>
                <w:szCs w:val="22"/>
                <w:vertAlign w:val="subscript"/>
                <w:lang w:eastAsia="es-ES"/>
              </w:rPr>
            </w:pPr>
            <w:r w:rsidRPr="00BF456F">
              <w:rPr>
                <w:rFonts w:eastAsia="Calibri"/>
                <w:b/>
                <w:bCs/>
                <w:i/>
                <w:iCs/>
                <w:sz w:val="22"/>
                <w:szCs w:val="22"/>
                <w:lang w:eastAsia="es-ES"/>
              </w:rPr>
              <w:t>%Er</w:t>
            </w:r>
          </w:p>
          <w:p w:rsidR="00C04E73" w:rsidRPr="00BF456F" w:rsidRDefault="00C04E73" w:rsidP="000533C7">
            <w:pPr>
              <w:jc w:val="center"/>
              <w:rPr>
                <w:rFonts w:eastAsia="Calibri"/>
                <w:i/>
                <w:iCs/>
                <w:sz w:val="22"/>
                <w:szCs w:val="22"/>
                <w:lang w:eastAsia="es-ES"/>
              </w:rPr>
            </w:pPr>
            <w:r w:rsidRPr="00BF456F">
              <w:rPr>
                <w:rFonts w:eastAsia="Calibri"/>
                <w:i/>
                <w:iCs/>
                <w:sz w:val="22"/>
                <w:szCs w:val="22"/>
                <w:lang w:eastAsia="es-ES"/>
              </w:rPr>
              <w:t>C</w:t>
            </w:r>
          </w:p>
        </w:tc>
      </w:tr>
      <w:tr w:rsidR="00C04E73" w:rsidRPr="00BF456F" w:rsidTr="000533C7">
        <w:trPr>
          <w:jc w:val="center"/>
        </w:trPr>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1</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5.63</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10.5</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5.3</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20.4</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5.76</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9.52</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5.33</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18.85</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2.86</w:t>
            </w:r>
          </w:p>
        </w:tc>
        <w:tc>
          <w:tcPr>
            <w:tcW w:w="979" w:type="dxa"/>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4.8</w:t>
            </w:r>
          </w:p>
        </w:tc>
      </w:tr>
      <w:tr w:rsidR="00C04E73" w:rsidRPr="00BF456F" w:rsidTr="000533C7">
        <w:trPr>
          <w:jc w:val="center"/>
        </w:trPr>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1</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10.1</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10.4</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8.4</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33.4</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9.95</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9.52</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8.3</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29.92</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0.5</w:t>
            </w:r>
          </w:p>
        </w:tc>
        <w:tc>
          <w:tcPr>
            <w:tcW w:w="979" w:type="dxa"/>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4.8</w:t>
            </w:r>
          </w:p>
        </w:tc>
      </w:tr>
      <w:tr w:rsidR="00C04E73" w:rsidRPr="00BF456F" w:rsidTr="000533C7">
        <w:trPr>
          <w:jc w:val="center"/>
        </w:trPr>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1</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20.2</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10.1</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12.42</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52.1</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19.91</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9.52</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12.32</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48</w:t>
            </w:r>
          </w:p>
        </w:tc>
        <w:tc>
          <w:tcPr>
            <w:tcW w:w="0" w:type="auto"/>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0.25</w:t>
            </w:r>
          </w:p>
        </w:tc>
        <w:tc>
          <w:tcPr>
            <w:tcW w:w="979" w:type="dxa"/>
            <w:shd w:val="clear" w:color="auto" w:fill="auto"/>
          </w:tcPr>
          <w:p w:rsidR="00C04E73" w:rsidRPr="00BF456F" w:rsidRDefault="00C04E73" w:rsidP="000533C7">
            <w:pPr>
              <w:jc w:val="center"/>
              <w:rPr>
                <w:rFonts w:eastAsia="Calibri"/>
                <w:sz w:val="22"/>
                <w:szCs w:val="22"/>
                <w:lang w:eastAsia="es-ES"/>
              </w:rPr>
            </w:pPr>
            <w:r w:rsidRPr="00BF456F">
              <w:rPr>
                <w:rFonts w:eastAsia="Calibri"/>
                <w:sz w:val="22"/>
                <w:szCs w:val="22"/>
                <w:lang w:eastAsia="es-ES"/>
              </w:rPr>
              <w:t>4.8</w:t>
            </w:r>
          </w:p>
        </w:tc>
      </w:tr>
    </w:tbl>
    <w:p w:rsidR="00C04E73" w:rsidRDefault="00C04E73" w:rsidP="00C04E73">
      <w:pPr>
        <w:pStyle w:val="Textoindependiente"/>
        <w:jc w:val="both"/>
        <w:rPr>
          <w:rFonts w:ascii="Arial" w:hAnsi="Arial" w:cs="Arial"/>
          <w:b w:val="0"/>
          <w:sz w:val="24"/>
        </w:rPr>
      </w:pPr>
    </w:p>
    <w:p w:rsidR="00C04E73" w:rsidRPr="00BF456F" w:rsidRDefault="00C04E73" w:rsidP="00C04E73">
      <w:pPr>
        <w:ind w:firstLine="567"/>
        <w:jc w:val="both"/>
        <w:rPr>
          <w:rFonts w:ascii="Arial" w:eastAsia="Times New Roman" w:hAnsi="Arial" w:cs="Arial"/>
        </w:rPr>
      </w:pPr>
      <w:r w:rsidRPr="00BF456F">
        <w:rPr>
          <w:rFonts w:ascii="Arial" w:eastAsia="Times New Roman" w:hAnsi="Arial" w:cs="Arial"/>
        </w:rPr>
        <w:t xml:space="preserve">Con los valores de </w:t>
      </w:r>
      <w:r w:rsidRPr="00BF456F">
        <w:rPr>
          <w:rFonts w:eastAsia="Times New Roman"/>
          <w:i/>
        </w:rPr>
        <w:t>R</w:t>
      </w:r>
      <w:r w:rsidRPr="00BF456F">
        <w:rPr>
          <w:rFonts w:eastAsia="Times New Roman"/>
          <w:i/>
          <w:vertAlign w:val="subscript"/>
        </w:rPr>
        <w:t>M</w:t>
      </w:r>
      <w:r w:rsidRPr="00BF456F">
        <w:rPr>
          <w:rFonts w:ascii="Arial" w:eastAsia="Times New Roman" w:hAnsi="Arial" w:cs="Arial"/>
        </w:rPr>
        <w:t xml:space="preserve"> y </w:t>
      </w:r>
      <w:r w:rsidRPr="00BF456F">
        <w:rPr>
          <w:rFonts w:eastAsia="Times New Roman"/>
          <w:i/>
        </w:rPr>
        <w:t>C</w:t>
      </w:r>
      <w:r w:rsidRPr="00BF456F">
        <w:rPr>
          <w:rFonts w:eastAsia="Times New Roman"/>
          <w:i/>
          <w:vertAlign w:val="subscript"/>
        </w:rPr>
        <w:t>M</w:t>
      </w:r>
      <w:r w:rsidRPr="00BF456F">
        <w:rPr>
          <w:rFonts w:ascii="Arial" w:eastAsia="Times New Roman" w:hAnsi="Arial" w:cs="Arial"/>
        </w:rPr>
        <w:t xml:space="preserve"> se calculó el valor absoluto del porcentaje de error relativo </w:t>
      </w:r>
      <w:r w:rsidRPr="00BF456F">
        <w:rPr>
          <w:rFonts w:eastAsia="Times New Roman"/>
          <w:i/>
        </w:rPr>
        <w:t>E</w:t>
      </w:r>
      <w:r w:rsidRPr="00BF456F">
        <w:rPr>
          <w:rFonts w:eastAsia="Times New Roman"/>
          <w:i/>
          <w:vertAlign w:val="subscript"/>
        </w:rPr>
        <w:t>r</w:t>
      </w:r>
      <w:r w:rsidRPr="00BF456F">
        <w:rPr>
          <w:rFonts w:ascii="Arial" w:eastAsia="Times New Roman" w:hAnsi="Arial" w:cs="Arial"/>
        </w:rPr>
        <w:t xml:space="preserve"> con respecto de los valores ideales propuestos para </w:t>
      </w:r>
      <w:r w:rsidRPr="00BF456F">
        <w:rPr>
          <w:rFonts w:eastAsia="Times New Roman"/>
          <w:i/>
        </w:rPr>
        <w:t>R</w:t>
      </w:r>
      <w:r w:rsidRPr="00BF456F">
        <w:rPr>
          <w:rFonts w:ascii="Arial" w:eastAsia="Times New Roman" w:hAnsi="Arial" w:cs="Arial"/>
        </w:rPr>
        <w:t xml:space="preserve"> y </w:t>
      </w:r>
      <w:r w:rsidRPr="00BF456F">
        <w:rPr>
          <w:rFonts w:eastAsia="Times New Roman"/>
          <w:i/>
        </w:rPr>
        <w:t>C</w:t>
      </w:r>
      <w:r>
        <w:rPr>
          <w:rFonts w:ascii="Arial" w:eastAsia="Times New Roman" w:hAnsi="Arial" w:cs="Arial"/>
        </w:rPr>
        <w:t>, como se muestra en la tabla 3.</w:t>
      </w:r>
      <w:r w:rsidRPr="00BF456F">
        <w:rPr>
          <w:rFonts w:ascii="Arial" w:eastAsia="Times New Roman" w:hAnsi="Arial" w:cs="Arial"/>
        </w:rPr>
        <w:t xml:space="preserve"> </w:t>
      </w:r>
    </w:p>
    <w:p w:rsidR="00C04E73" w:rsidRPr="00BF456F" w:rsidRDefault="00C04E73" w:rsidP="00C04E73">
      <w:pPr>
        <w:ind w:firstLine="567"/>
        <w:jc w:val="both"/>
        <w:rPr>
          <w:rFonts w:ascii="Arial" w:eastAsia="Times New Roman" w:hAnsi="Arial" w:cs="Arial"/>
        </w:rPr>
      </w:pPr>
      <w:r w:rsidRPr="00BF456F">
        <w:rPr>
          <w:rFonts w:ascii="Arial" w:eastAsia="Times New Roman" w:hAnsi="Arial" w:cs="Arial"/>
        </w:rPr>
        <w:t xml:space="preserve">Como se puede observar los resultados obtenidos con las simulaciones del SMV difieren poco de los valores medidos con el LCR debido a las tolerancias de cada elemento resistivo y capacitivo comercial utilizado, los cuales se encuentran  dentro del </w:t>
      </w:r>
      <w:r w:rsidRPr="00BF456F">
        <w:rPr>
          <w:rFonts w:eastAsia="Times New Roman"/>
        </w:rPr>
        <w:t>±5%</w:t>
      </w:r>
      <w:r w:rsidRPr="00BF456F">
        <w:rPr>
          <w:rFonts w:ascii="Arial" w:eastAsia="Times New Roman" w:hAnsi="Arial" w:cs="Arial"/>
        </w:rPr>
        <w:t xml:space="preserve"> de tolerancia indicado.</w:t>
      </w:r>
    </w:p>
    <w:p w:rsidR="00C04E73" w:rsidRPr="00BF456F" w:rsidRDefault="00C04E73" w:rsidP="00C04E73">
      <w:pPr>
        <w:ind w:firstLine="567"/>
        <w:jc w:val="both"/>
        <w:rPr>
          <w:rFonts w:ascii="Arial" w:eastAsia="Times New Roman" w:hAnsi="Arial" w:cs="Arial"/>
        </w:rPr>
      </w:pPr>
    </w:p>
    <w:p w:rsidR="00C04E73" w:rsidRPr="00BF456F" w:rsidRDefault="00C04E73" w:rsidP="00C04E73">
      <w:pPr>
        <w:pStyle w:val="1Titulo"/>
        <w:numPr>
          <w:ilvl w:val="0"/>
          <w:numId w:val="0"/>
        </w:numPr>
        <w:ind w:left="720"/>
        <w:rPr>
          <w:lang w:eastAsia="en-US"/>
        </w:rPr>
      </w:pPr>
      <w:bookmarkStart w:id="436" w:name="_Toc50031464"/>
      <w:r>
        <w:t>5.C</w:t>
      </w:r>
      <w:r w:rsidRPr="00BF456F">
        <w:t>onclusiones</w:t>
      </w:r>
      <w:bookmarkEnd w:id="436"/>
    </w:p>
    <w:p w:rsidR="00C04E73" w:rsidRPr="00BF456F" w:rsidRDefault="00C04E73" w:rsidP="00C04E73">
      <w:pPr>
        <w:ind w:left="510"/>
        <w:contextualSpacing/>
        <w:jc w:val="both"/>
        <w:rPr>
          <w:rFonts w:ascii="Arial" w:eastAsia="Times New Roman" w:hAnsi="Arial" w:cs="Arial"/>
          <w:b/>
        </w:rPr>
      </w:pPr>
    </w:p>
    <w:p w:rsidR="00C04E73" w:rsidRPr="00BF456F" w:rsidRDefault="00C04E73" w:rsidP="00C04E73">
      <w:pPr>
        <w:ind w:firstLine="567"/>
        <w:jc w:val="both"/>
        <w:rPr>
          <w:rFonts w:ascii="Arial" w:eastAsia="Times New Roman" w:hAnsi="Arial" w:cs="Arial"/>
        </w:rPr>
      </w:pPr>
      <w:r w:rsidRPr="00BF456F">
        <w:rPr>
          <w:rFonts w:ascii="Arial" w:eastAsia="Times New Roman" w:hAnsi="Arial" w:cs="Arial"/>
        </w:rPr>
        <w:t xml:space="preserve">Los valores obtenidos de </w:t>
      </w:r>
      <w:r w:rsidRPr="00BF456F">
        <w:rPr>
          <w:rFonts w:eastAsia="Times New Roman"/>
          <w:i/>
        </w:rPr>
        <w:t>R</w:t>
      </w:r>
      <w:r w:rsidRPr="00BF456F">
        <w:rPr>
          <w:rFonts w:ascii="Arial" w:eastAsia="Times New Roman" w:hAnsi="Arial" w:cs="Arial"/>
        </w:rPr>
        <w:t xml:space="preserve"> y </w:t>
      </w:r>
      <w:r w:rsidRPr="00BF456F">
        <w:rPr>
          <w:rFonts w:eastAsia="Times New Roman"/>
          <w:i/>
        </w:rPr>
        <w:t>C</w:t>
      </w:r>
      <w:r w:rsidRPr="00BF456F">
        <w:rPr>
          <w:rFonts w:ascii="Arial" w:eastAsia="Times New Roman" w:hAnsi="Arial" w:cs="Arial"/>
        </w:rPr>
        <w:t xml:space="preserve"> con las simulaciones del SMV son muy aproximados con los valores ideales propuestos obteniendo un error máximo del </w:t>
      </w:r>
      <w:r w:rsidRPr="00BF456F">
        <w:rPr>
          <w:rFonts w:eastAsia="Times New Roman"/>
        </w:rPr>
        <w:t>5%</w:t>
      </w:r>
      <w:r w:rsidRPr="00BF456F">
        <w:rPr>
          <w:rFonts w:ascii="Arial" w:eastAsia="Times New Roman" w:hAnsi="Arial" w:cs="Arial"/>
        </w:rPr>
        <w:t xml:space="preserve"> con el capacitor. Así como con los valores de </w:t>
      </w:r>
      <w:r w:rsidRPr="00BF456F">
        <w:rPr>
          <w:rFonts w:eastAsia="Times New Roman"/>
          <w:i/>
        </w:rPr>
        <w:t>R</w:t>
      </w:r>
      <w:r w:rsidRPr="00BF456F">
        <w:rPr>
          <w:rFonts w:ascii="Arial" w:eastAsia="Times New Roman" w:hAnsi="Arial" w:cs="Arial"/>
        </w:rPr>
        <w:t xml:space="preserve"> y </w:t>
      </w:r>
      <w:r w:rsidRPr="00BF456F">
        <w:rPr>
          <w:rFonts w:eastAsia="Times New Roman"/>
          <w:i/>
        </w:rPr>
        <w:t>C</w:t>
      </w:r>
      <w:r w:rsidRPr="00BF456F">
        <w:rPr>
          <w:rFonts w:ascii="Arial" w:eastAsia="Times New Roman" w:hAnsi="Arial" w:cs="Arial"/>
        </w:rPr>
        <w:t xml:space="preserve"> comerciales medidos con el medidor LCR que también presentaron un error máximo del </w:t>
      </w:r>
      <w:r w:rsidRPr="00BF456F">
        <w:rPr>
          <w:rFonts w:eastAsia="Times New Roman"/>
        </w:rPr>
        <w:t>4.8%</w:t>
      </w:r>
      <w:r w:rsidRPr="00BF456F">
        <w:rPr>
          <w:rFonts w:ascii="Arial" w:eastAsia="Times New Roman" w:hAnsi="Arial" w:cs="Arial"/>
        </w:rPr>
        <w:t xml:space="preserve"> el cual es debido a la tolerancia presentada por cada uno de los dispositivos comerciales utilizados. Estos resultados se resumen en las tablas 2 y 3, en donde se pueden comparar los valores teóricos de impedancia </w:t>
      </w:r>
      <w:r w:rsidRPr="00BF456F">
        <w:rPr>
          <w:rFonts w:eastAsia="Times New Roman"/>
          <w:i/>
        </w:rPr>
        <w:t>Z</w:t>
      </w:r>
      <w:r w:rsidRPr="00BF456F">
        <w:rPr>
          <w:rFonts w:ascii="Arial" w:eastAsia="Times New Roman" w:hAnsi="Arial" w:cs="Arial"/>
        </w:rPr>
        <w:t xml:space="preserve"> y ángulo de desfasamiento </w:t>
      </w:r>
      <w:r w:rsidRPr="00BF456F">
        <w:rPr>
          <w:rFonts w:eastAsia="Times New Roman"/>
          <w:i/>
        </w:rPr>
        <w:t>θ</w:t>
      </w:r>
      <w:r w:rsidRPr="00BF456F">
        <w:rPr>
          <w:rFonts w:ascii="Arial" w:eastAsia="Times New Roman" w:hAnsi="Arial" w:cs="Arial"/>
        </w:rPr>
        <w:t>, ideales, simulados y medidos experimentalmente. Los resultados teóricos y experimentales validan los valores obtenidos con las simulaciones del SMV propuesto. En este caso se utilizó el programa Altium Designer para realizar las simulaciones del circuito electrónico, sin embargo es posible utilizar otro programa de diseño electrónico.</w:t>
      </w:r>
    </w:p>
    <w:p w:rsidR="00C04E73" w:rsidRPr="00BF456F" w:rsidRDefault="00C04E73" w:rsidP="00C04E73">
      <w:pPr>
        <w:ind w:firstLine="567"/>
        <w:jc w:val="both"/>
        <w:rPr>
          <w:rFonts w:ascii="Arial" w:eastAsia="Times New Roman" w:hAnsi="Arial" w:cs="Arial"/>
        </w:rPr>
      </w:pPr>
      <w:r w:rsidRPr="00BF456F">
        <w:rPr>
          <w:rFonts w:ascii="Arial" w:eastAsia="Times New Roman" w:hAnsi="Arial" w:cs="Arial"/>
        </w:rPr>
        <w:t xml:space="preserve">La simulación de la etapa de demodulación síncrona para la obtención de las componentes resistiva y reactiva de un circuito RC en paralelo facilita el entendimiento del concepto de impedancia por medio del análisis de las funciones de transferencia y con la visualización de las señales en cada etapa del SMV. Las simulaciones se pueden utilizar de forma didáctica y aplicable para comprender los conceptos teóricos involucrados en la impedancia eléctrica puesto que se comprueban con resultados obtenidos teóricamente. </w:t>
      </w:r>
    </w:p>
    <w:p w:rsidR="00C04E73" w:rsidRPr="00BF456F" w:rsidRDefault="00C04E73" w:rsidP="00C04E73">
      <w:pPr>
        <w:ind w:firstLine="567"/>
        <w:jc w:val="both"/>
        <w:rPr>
          <w:rFonts w:ascii="Arial" w:eastAsia="Times New Roman" w:hAnsi="Arial" w:cs="Arial"/>
        </w:rPr>
      </w:pPr>
      <w:r w:rsidRPr="00BF456F">
        <w:rPr>
          <w:rFonts w:ascii="Arial" w:eastAsia="Times New Roman" w:hAnsi="Arial" w:cs="Arial"/>
        </w:rPr>
        <w:t xml:space="preserve">El SMV propuesto puede simplificarse sin embargo las configuraciones utilizadas también ayudan a comprender y/o reforzar algunos conceptos utilizados en electrónica analógica de una forma modular y aplicable en el campo de la instrumentación para la medición de impedancia. </w:t>
      </w:r>
    </w:p>
    <w:p w:rsidR="00C04E73" w:rsidRDefault="00C04E73" w:rsidP="00C04E73">
      <w:pPr>
        <w:ind w:firstLine="567"/>
        <w:jc w:val="both"/>
        <w:rPr>
          <w:rFonts w:ascii="Arial" w:eastAsia="Times New Roman" w:hAnsi="Arial" w:cs="Arial"/>
        </w:rPr>
      </w:pPr>
      <w:r w:rsidRPr="00BF456F">
        <w:rPr>
          <w:rFonts w:ascii="Arial" w:eastAsia="Times New Roman" w:hAnsi="Arial" w:cs="Arial"/>
        </w:rPr>
        <w:t>Finalmente, es posible mostrar de una manera simplificada la aplicación de los números complejos en un sistema de medición teórico en forma fasorial mostrando el ángulo de desfasamiento de las señales analógicas de entrada y salida por medio de un diagrama de bloques de un sistema de medición sin entrar a fondo en el análisis del funcionamiento de cada etapa que lo conforma.</w:t>
      </w:r>
    </w:p>
    <w:p w:rsidR="00C04E73" w:rsidRDefault="00C04E73" w:rsidP="00C04E73">
      <w:pPr>
        <w:ind w:firstLine="567"/>
        <w:jc w:val="both"/>
        <w:rPr>
          <w:rFonts w:ascii="Arial" w:eastAsia="Times New Roman" w:hAnsi="Arial" w:cs="Arial"/>
        </w:rPr>
      </w:pPr>
    </w:p>
    <w:p w:rsidR="00C04E73" w:rsidRDefault="00C04E73" w:rsidP="00C04E73">
      <w:pPr>
        <w:jc w:val="both"/>
        <w:rPr>
          <w:rFonts w:ascii="Arial" w:eastAsia="Times New Roman" w:hAnsi="Arial" w:cs="Arial"/>
          <w:b/>
        </w:rPr>
      </w:pPr>
      <w:r>
        <w:rPr>
          <w:rFonts w:ascii="Arial" w:eastAsia="Times New Roman" w:hAnsi="Arial" w:cs="Arial"/>
          <w:b/>
        </w:rPr>
        <w:t>AGRADECIMIENTOS</w:t>
      </w:r>
    </w:p>
    <w:p w:rsidR="00C04E73" w:rsidRDefault="00C04E73" w:rsidP="00C04E73">
      <w:pPr>
        <w:jc w:val="both"/>
        <w:rPr>
          <w:rFonts w:ascii="Arial" w:eastAsia="Times New Roman" w:hAnsi="Arial" w:cs="Arial"/>
          <w:b/>
        </w:rPr>
      </w:pPr>
      <w:r>
        <w:rPr>
          <w:rFonts w:ascii="Arial" w:eastAsia="Times New Roman" w:hAnsi="Arial" w:cs="Arial"/>
          <w:b/>
        </w:rPr>
        <w:t xml:space="preserve">        </w:t>
      </w:r>
    </w:p>
    <w:p w:rsidR="00C04E73" w:rsidRDefault="00C04E73" w:rsidP="00C04E73">
      <w:pPr>
        <w:ind w:firstLine="567"/>
        <w:jc w:val="both"/>
        <w:rPr>
          <w:rFonts w:ascii="Arial" w:eastAsia="Times New Roman" w:hAnsi="Arial" w:cs="Arial"/>
        </w:rPr>
      </w:pPr>
      <w:r>
        <w:rPr>
          <w:rFonts w:ascii="Arial" w:eastAsia="Times New Roman" w:hAnsi="Arial" w:cs="Arial"/>
        </w:rPr>
        <w:t>Los autores agradecen a la Dirección de General de Asuntos del Personal Académico (DGAPA) de la Universidad Nacional Autónoma de México (UNAM) por medio del proyecto PAPIME PE107319.</w:t>
      </w:r>
    </w:p>
    <w:p w:rsidR="00C04E73" w:rsidRPr="00BF456F" w:rsidRDefault="00C04E73" w:rsidP="00C04E73">
      <w:pPr>
        <w:ind w:firstLine="567"/>
        <w:jc w:val="both"/>
        <w:rPr>
          <w:rFonts w:ascii="Arial" w:eastAsia="Times New Roman" w:hAnsi="Arial" w:cs="Arial"/>
        </w:rPr>
      </w:pPr>
    </w:p>
    <w:p w:rsidR="00C04E73" w:rsidRPr="00BF456F" w:rsidRDefault="00C04E73" w:rsidP="001D2A3D">
      <w:pPr>
        <w:pStyle w:val="1Titulo"/>
        <w:numPr>
          <w:ilvl w:val="0"/>
          <w:numId w:val="64"/>
        </w:numPr>
        <w:rPr>
          <w:lang w:eastAsia="en-US"/>
        </w:rPr>
      </w:pPr>
      <w:bookmarkStart w:id="437" w:name="_Toc50031465"/>
      <w:r w:rsidRPr="00BF456F">
        <w:t>Referencias</w:t>
      </w:r>
      <w:bookmarkEnd w:id="437"/>
    </w:p>
    <w:p w:rsidR="00C04E73" w:rsidRPr="00BF456F" w:rsidRDefault="00C04E73" w:rsidP="00C04E73">
      <w:pPr>
        <w:jc w:val="both"/>
        <w:rPr>
          <w:rFonts w:ascii="Arial" w:eastAsia="Times New Roman" w:hAnsi="Arial" w:cs="Arial"/>
          <w:b/>
        </w:rPr>
      </w:pPr>
    </w:p>
    <w:p w:rsidR="00C04E73" w:rsidRPr="00C04E73" w:rsidRDefault="00C04E73" w:rsidP="001D2A3D">
      <w:pPr>
        <w:numPr>
          <w:ilvl w:val="0"/>
          <w:numId w:val="70"/>
        </w:numPr>
        <w:spacing w:after="0" w:line="240" w:lineRule="auto"/>
        <w:jc w:val="both"/>
        <w:rPr>
          <w:rFonts w:ascii="Arial" w:eastAsia="Times New Roman" w:hAnsi="Arial" w:cs="Arial"/>
          <w:lang w:val="en-US"/>
        </w:rPr>
      </w:pPr>
      <w:r w:rsidRPr="00C04E73">
        <w:rPr>
          <w:rFonts w:ascii="Arial" w:eastAsia="Times New Roman" w:hAnsi="Arial" w:cs="Arial"/>
          <w:lang w:val="en-US"/>
        </w:rPr>
        <w:t>Wuqiang Yang, Teaching phase-sensitive demodulation for signal conditioning to undergraduate students, Am. J. Phys. 78 (9), September 2010.</w:t>
      </w:r>
    </w:p>
    <w:p w:rsidR="00C04E73" w:rsidRDefault="00C04E73" w:rsidP="001D2A3D">
      <w:pPr>
        <w:pStyle w:val="Textoindependiente"/>
        <w:numPr>
          <w:ilvl w:val="0"/>
          <w:numId w:val="70"/>
        </w:numPr>
        <w:suppressAutoHyphens/>
        <w:spacing w:after="0" w:line="240" w:lineRule="auto"/>
        <w:rPr>
          <w:rFonts w:ascii="Arial" w:hAnsi="Arial" w:cs="Arial"/>
          <w:b w:val="0"/>
          <w:sz w:val="24"/>
        </w:rPr>
      </w:pPr>
      <w:r w:rsidRPr="00C04E73">
        <w:rPr>
          <w:rFonts w:ascii="Arial" w:eastAsia="Times New Roman" w:hAnsi="Arial" w:cs="Arial"/>
          <w:b w:val="0"/>
          <w:bCs w:val="0"/>
          <w:sz w:val="24"/>
          <w:lang w:val="en-US"/>
        </w:rPr>
        <w:t xml:space="preserve">M L Made, Advances in Lock-in amplifiers, J. Phys. </w:t>
      </w:r>
      <w:r w:rsidRPr="00BF456F">
        <w:rPr>
          <w:rFonts w:ascii="Arial" w:eastAsia="Times New Roman" w:hAnsi="Arial" w:cs="Arial"/>
          <w:b w:val="0"/>
          <w:bCs w:val="0"/>
          <w:sz w:val="24"/>
        </w:rPr>
        <w:t>E: Sci. Instrum., vol 15, 1982.</w:t>
      </w:r>
    </w:p>
    <w:p w:rsidR="003F0296" w:rsidRDefault="003F0296" w:rsidP="0049551D">
      <w:pPr>
        <w:rPr>
          <w:lang w:val="es-MX"/>
        </w:rPr>
      </w:pPr>
    </w:p>
    <w:p w:rsidR="00C04E73" w:rsidRDefault="00C04E73" w:rsidP="0049551D">
      <w:pPr>
        <w:rPr>
          <w:lang w:val="es-MX"/>
        </w:rPr>
      </w:pPr>
    </w:p>
    <w:p w:rsidR="00B317CC" w:rsidRPr="00B317CC" w:rsidRDefault="00B317CC" w:rsidP="00B317CC">
      <w:pPr>
        <w:pStyle w:val="1Titulo"/>
        <w:numPr>
          <w:ilvl w:val="0"/>
          <w:numId w:val="0"/>
        </w:numPr>
        <w:ind w:left="357"/>
        <w:jc w:val="center"/>
        <w:rPr>
          <w:color w:val="000000"/>
          <w:sz w:val="28"/>
          <w:szCs w:val="28"/>
          <w:lang w:val="en-US"/>
        </w:rPr>
      </w:pPr>
      <w:bookmarkStart w:id="438" w:name="_Toc50031466"/>
      <w:r w:rsidRPr="00B317CC">
        <w:rPr>
          <w:sz w:val="28"/>
          <w:szCs w:val="28"/>
          <w:lang w:val="en-US"/>
        </w:rPr>
        <w:t>Student-led scientific research experiences as a tool for early training of young scientists in a computational medical physics research laboratory</w:t>
      </w:r>
      <w:bookmarkEnd w:id="438"/>
    </w:p>
    <w:p w:rsidR="00B317CC" w:rsidRPr="00F1483F" w:rsidRDefault="00B317CC" w:rsidP="00B317CC">
      <w:pPr>
        <w:jc w:val="center"/>
        <w:rPr>
          <w:color w:val="000000"/>
          <w:sz w:val="28"/>
          <w:szCs w:val="28"/>
          <w:lang w:val="en-US"/>
        </w:rPr>
      </w:pPr>
    </w:p>
    <w:p w:rsidR="00B317CC" w:rsidRPr="00B317CC" w:rsidRDefault="00B317CC" w:rsidP="00B317CC">
      <w:pPr>
        <w:pStyle w:val="Author"/>
        <w:rPr>
          <w:rFonts w:ascii="Arial" w:hAnsi="Arial" w:cs="Arial"/>
          <w:szCs w:val="24"/>
          <w:lang w:val="es-MX"/>
        </w:rPr>
      </w:pPr>
      <w:r w:rsidRPr="00B317CC">
        <w:rPr>
          <w:rFonts w:ascii="Arial" w:hAnsi="Arial" w:cs="Arial"/>
          <w:szCs w:val="24"/>
          <w:lang w:val="es-MX"/>
        </w:rPr>
        <w:t>Porras-Chaverri, M.A.</w:t>
      </w:r>
      <w:r w:rsidRPr="00B317CC">
        <w:rPr>
          <w:rFonts w:ascii="Arial" w:hAnsi="Arial" w:cs="Arial"/>
          <w:szCs w:val="24"/>
          <w:vertAlign w:val="superscript"/>
          <w:lang w:val="es-MX"/>
        </w:rPr>
        <w:t xml:space="preserve"> 1,2</w:t>
      </w:r>
      <w:r w:rsidRPr="00B317CC">
        <w:rPr>
          <w:rFonts w:ascii="Arial" w:hAnsi="Arial" w:cs="Arial"/>
          <w:szCs w:val="24"/>
          <w:u w:val="single"/>
          <w:lang w:val="es-MX"/>
        </w:rPr>
        <w:t>,</w:t>
      </w:r>
      <w:r w:rsidRPr="00B317CC">
        <w:rPr>
          <w:rFonts w:ascii="Arial" w:hAnsi="Arial" w:cs="Arial"/>
          <w:szCs w:val="24"/>
          <w:lang w:val="es-MX"/>
        </w:rPr>
        <w:t xml:space="preserve"> </w:t>
      </w:r>
      <w:r w:rsidRPr="00B317CC">
        <w:rPr>
          <w:rFonts w:ascii="Arial" w:hAnsi="Arial" w:cs="Arial"/>
          <w:szCs w:val="24"/>
          <w:u w:val="single"/>
          <w:lang w:val="es-MX"/>
        </w:rPr>
        <w:t>Alvarado-Jiménez, C.</w:t>
      </w:r>
      <w:r w:rsidRPr="00B317CC">
        <w:rPr>
          <w:rFonts w:ascii="Arial" w:hAnsi="Arial" w:cs="Arial"/>
          <w:szCs w:val="24"/>
          <w:lang w:val="es-MX"/>
        </w:rPr>
        <w:t>,</w:t>
      </w:r>
      <w:r w:rsidRPr="00B317CC">
        <w:rPr>
          <w:rFonts w:ascii="Arial" w:hAnsi="Arial" w:cs="Arial"/>
          <w:szCs w:val="24"/>
          <w:vertAlign w:val="superscript"/>
          <w:lang w:val="es-MX"/>
        </w:rPr>
        <w:t>1,2</w:t>
      </w:r>
      <w:r w:rsidRPr="00B317CC">
        <w:rPr>
          <w:rFonts w:ascii="Arial" w:hAnsi="Arial" w:cs="Arial"/>
          <w:szCs w:val="24"/>
          <w:lang w:val="es-MX"/>
        </w:rPr>
        <w:t xml:space="preserve"> Wolter, L.C.,</w:t>
      </w:r>
      <w:r w:rsidRPr="00B317CC">
        <w:rPr>
          <w:rFonts w:ascii="Arial" w:hAnsi="Arial" w:cs="Arial"/>
          <w:szCs w:val="24"/>
          <w:vertAlign w:val="superscript"/>
          <w:lang w:val="es-MX"/>
        </w:rPr>
        <w:t>3</w:t>
      </w:r>
      <w:r w:rsidRPr="00B317CC">
        <w:rPr>
          <w:rFonts w:ascii="Arial" w:hAnsi="Arial" w:cs="Arial"/>
          <w:szCs w:val="24"/>
          <w:lang w:val="es-MX"/>
        </w:rPr>
        <w:t xml:space="preserve"> </w:t>
      </w:r>
    </w:p>
    <w:p w:rsidR="00B317CC" w:rsidRPr="00B317CC" w:rsidRDefault="00B317CC" w:rsidP="00B317CC">
      <w:pPr>
        <w:pStyle w:val="Author"/>
        <w:rPr>
          <w:rFonts w:ascii="Arial" w:hAnsi="Arial" w:cs="Arial"/>
          <w:szCs w:val="24"/>
          <w:vertAlign w:val="superscript"/>
          <w:lang w:val="es-MX"/>
        </w:rPr>
      </w:pPr>
      <w:r w:rsidRPr="00B317CC">
        <w:rPr>
          <w:rFonts w:ascii="Arial" w:hAnsi="Arial" w:cs="Arial"/>
          <w:szCs w:val="24"/>
          <w:lang w:val="es-MX"/>
        </w:rPr>
        <w:t>Iannarella-Arguedas, N.</w:t>
      </w:r>
      <w:r w:rsidRPr="00B317CC">
        <w:rPr>
          <w:rFonts w:ascii="Arial" w:hAnsi="Arial" w:cs="Arial"/>
          <w:szCs w:val="24"/>
          <w:vertAlign w:val="superscript"/>
          <w:lang w:val="es-MX"/>
        </w:rPr>
        <w:t>2</w:t>
      </w:r>
      <w:r w:rsidRPr="00B317CC">
        <w:rPr>
          <w:rFonts w:ascii="Arial" w:hAnsi="Arial" w:cs="Arial"/>
          <w:szCs w:val="24"/>
          <w:lang w:val="es-MX"/>
        </w:rPr>
        <w:t>, Elizondo-Blanco, D.</w:t>
      </w:r>
      <w:r w:rsidRPr="00B317CC">
        <w:rPr>
          <w:rFonts w:ascii="Arial" w:hAnsi="Arial" w:cs="Arial"/>
          <w:szCs w:val="24"/>
          <w:vertAlign w:val="superscript"/>
          <w:lang w:val="es-MX"/>
        </w:rPr>
        <w:t>2</w:t>
      </w:r>
      <w:r w:rsidRPr="00B317CC">
        <w:rPr>
          <w:rFonts w:ascii="Arial" w:hAnsi="Arial" w:cs="Arial"/>
          <w:szCs w:val="24"/>
          <w:lang w:val="es-MX"/>
        </w:rPr>
        <w:t>, Noguera-Vega, G.</w:t>
      </w:r>
      <w:r w:rsidRPr="00B317CC">
        <w:rPr>
          <w:rFonts w:ascii="Arial" w:hAnsi="Arial" w:cs="Arial"/>
          <w:szCs w:val="24"/>
          <w:vertAlign w:val="superscript"/>
          <w:lang w:val="es-MX"/>
        </w:rPr>
        <w:t xml:space="preserve"> 1</w:t>
      </w:r>
    </w:p>
    <w:p w:rsidR="00B317CC" w:rsidRPr="00B317CC" w:rsidRDefault="00B317CC" w:rsidP="00B317CC">
      <w:pPr>
        <w:pStyle w:val="affiliation"/>
        <w:rPr>
          <w:rFonts w:ascii="Arial" w:hAnsi="Arial" w:cs="Arial"/>
          <w:sz w:val="24"/>
          <w:szCs w:val="24"/>
          <w:vertAlign w:val="superscript"/>
          <w:lang w:val="es-MX"/>
        </w:rPr>
      </w:pPr>
      <w:r w:rsidRPr="00B317CC">
        <w:rPr>
          <w:rFonts w:ascii="Arial" w:hAnsi="Arial" w:cs="Arial"/>
          <w:sz w:val="24"/>
          <w:szCs w:val="24"/>
          <w:vertAlign w:val="superscript"/>
          <w:lang w:val="es-MX"/>
        </w:rPr>
        <w:t>1</w:t>
      </w:r>
      <w:r w:rsidRPr="00B317CC">
        <w:rPr>
          <w:rFonts w:ascii="Arial" w:hAnsi="Arial" w:cs="Arial"/>
          <w:sz w:val="24"/>
          <w:szCs w:val="24"/>
          <w:lang w:val="es-MX"/>
        </w:rPr>
        <w:t xml:space="preserve">Centro de Investigación en Ciencias Atómicas, Nucleares y Moleculares (CICANUM), Universidad de Costa Rica. </w:t>
      </w:r>
    </w:p>
    <w:p w:rsidR="00B317CC" w:rsidRPr="00B317CC" w:rsidRDefault="00B317CC" w:rsidP="00B317CC">
      <w:pPr>
        <w:pStyle w:val="affiliation"/>
        <w:rPr>
          <w:rFonts w:ascii="Arial" w:hAnsi="Arial" w:cs="Arial"/>
          <w:sz w:val="24"/>
          <w:szCs w:val="24"/>
          <w:lang w:val="es-MX"/>
        </w:rPr>
      </w:pPr>
      <w:r w:rsidRPr="00B317CC">
        <w:rPr>
          <w:rFonts w:ascii="Arial" w:hAnsi="Arial" w:cs="Arial"/>
          <w:sz w:val="24"/>
          <w:szCs w:val="24"/>
          <w:vertAlign w:val="superscript"/>
          <w:lang w:val="es-MX"/>
        </w:rPr>
        <w:t>2</w:t>
      </w:r>
      <w:r w:rsidRPr="00B317CC">
        <w:rPr>
          <w:rFonts w:ascii="Arial" w:hAnsi="Arial" w:cs="Arial"/>
          <w:sz w:val="24"/>
          <w:szCs w:val="24"/>
          <w:lang w:val="es-MX"/>
        </w:rPr>
        <w:t>Escuela de Física, Universidad de Costa Rica</w:t>
      </w:r>
    </w:p>
    <w:p w:rsidR="00B317CC" w:rsidRPr="00F1483F" w:rsidRDefault="00B317CC" w:rsidP="00B317CC">
      <w:pPr>
        <w:pStyle w:val="affiliation"/>
        <w:rPr>
          <w:rFonts w:ascii="Arial" w:hAnsi="Arial" w:cs="Arial"/>
          <w:sz w:val="24"/>
          <w:szCs w:val="24"/>
          <w:lang w:val="en-US"/>
        </w:rPr>
      </w:pPr>
      <w:r w:rsidRPr="00F1483F">
        <w:rPr>
          <w:rFonts w:ascii="Arial" w:hAnsi="Arial" w:cs="Arial"/>
          <w:sz w:val="24"/>
          <w:szCs w:val="24"/>
          <w:vertAlign w:val="superscript"/>
          <w:lang w:val="en-US"/>
        </w:rPr>
        <w:t>3</w:t>
      </w:r>
      <w:r w:rsidRPr="00F1483F">
        <w:rPr>
          <w:rFonts w:ascii="Arial" w:hAnsi="Arial" w:cs="Arial"/>
          <w:sz w:val="24"/>
          <w:szCs w:val="24"/>
          <w:lang w:val="en-US"/>
        </w:rPr>
        <w:t>Martin-Luther-Universität Halle-Wittenberg</w:t>
      </w:r>
    </w:p>
    <w:p w:rsidR="00B317CC" w:rsidRPr="00F1483F" w:rsidRDefault="00B317CC" w:rsidP="00B317CC">
      <w:pPr>
        <w:pStyle w:val="affiliation"/>
        <w:rPr>
          <w:rFonts w:ascii="Arial" w:eastAsia="Batang" w:hAnsi="Arial" w:cs="Arial"/>
          <w:b/>
          <w:bCs/>
          <w:i/>
          <w:iCs/>
          <w:caps/>
          <w:sz w:val="24"/>
          <w:szCs w:val="24"/>
          <w:lang w:val="en-US"/>
        </w:rPr>
      </w:pPr>
      <w:r w:rsidRPr="00B5237F">
        <w:rPr>
          <w:rFonts w:ascii="Arial" w:hAnsi="Arial" w:cs="Arial"/>
          <w:sz w:val="24"/>
          <w:szCs w:val="24"/>
          <w:lang w:val="en-US"/>
        </w:rPr>
        <w:t>mariela.porras@ucr.ac.cr</w:t>
      </w:r>
      <w:r>
        <w:rPr>
          <w:rFonts w:ascii="Arial" w:hAnsi="Arial" w:cs="Arial"/>
          <w:sz w:val="24"/>
          <w:szCs w:val="24"/>
          <w:lang w:val="en-US"/>
        </w:rPr>
        <w:t xml:space="preserve">, </w:t>
      </w:r>
      <w:r w:rsidRPr="007C58EE">
        <w:rPr>
          <w:rFonts w:ascii="Arial" w:hAnsi="Arial" w:cs="Arial"/>
          <w:sz w:val="24"/>
          <w:szCs w:val="24"/>
          <w:u w:val="single"/>
          <w:lang w:val="en-US"/>
        </w:rPr>
        <w:t>catalina.alvaradojimenez@ucr.ac.cr,</w:t>
      </w:r>
      <w:r>
        <w:rPr>
          <w:rFonts w:ascii="Arial" w:hAnsi="Arial" w:cs="Arial"/>
          <w:sz w:val="24"/>
          <w:szCs w:val="24"/>
          <w:lang w:val="en-US"/>
        </w:rPr>
        <w:t xml:space="preserve"> </w:t>
      </w:r>
      <w:r w:rsidRPr="00B5237F">
        <w:rPr>
          <w:rFonts w:ascii="Arial" w:hAnsi="Arial" w:cs="Arial"/>
          <w:sz w:val="24"/>
          <w:szCs w:val="24"/>
          <w:lang w:val="en-US"/>
        </w:rPr>
        <w:t>natalia.iannarella@ucr.ac.cr</w:t>
      </w:r>
      <w:r>
        <w:rPr>
          <w:rFonts w:ascii="Arial" w:hAnsi="Arial" w:cs="Arial"/>
          <w:sz w:val="24"/>
          <w:szCs w:val="24"/>
          <w:lang w:val="en-US"/>
        </w:rPr>
        <w:t xml:space="preserve">, </w:t>
      </w:r>
      <w:r w:rsidRPr="007C58EE">
        <w:rPr>
          <w:rFonts w:ascii="Arial" w:hAnsi="Arial" w:cs="Arial"/>
          <w:sz w:val="24"/>
          <w:szCs w:val="24"/>
          <w:lang w:val="en-US"/>
        </w:rPr>
        <w:t>daniel.elizondoblanco@ucr.ac.cr</w:t>
      </w:r>
      <w:r>
        <w:rPr>
          <w:rFonts w:ascii="Arial" w:hAnsi="Arial" w:cs="Arial"/>
          <w:sz w:val="24"/>
          <w:szCs w:val="24"/>
          <w:lang w:val="en-US"/>
        </w:rPr>
        <w:t xml:space="preserve">, </w:t>
      </w:r>
      <w:r w:rsidRPr="007C58EE">
        <w:rPr>
          <w:rFonts w:ascii="Arial" w:hAnsi="Arial" w:cs="Arial"/>
          <w:sz w:val="24"/>
          <w:szCs w:val="24"/>
          <w:lang w:val="en-US"/>
        </w:rPr>
        <w:t>gerardo.nogueravega@ucr.ac.cr</w:t>
      </w:r>
    </w:p>
    <w:p w:rsidR="00B317CC" w:rsidRPr="00F1483F" w:rsidRDefault="00B317CC" w:rsidP="00B317CC">
      <w:pPr>
        <w:ind w:firstLine="539"/>
        <w:jc w:val="both"/>
        <w:rPr>
          <w:rFonts w:ascii="Arial" w:hAnsi="Arial" w:cs="Arial"/>
          <w:color w:val="000000"/>
          <w:lang w:val="en-US"/>
        </w:rPr>
      </w:pPr>
    </w:p>
    <w:p w:rsidR="00B317CC" w:rsidRPr="00776774" w:rsidRDefault="00B317CC" w:rsidP="00B317CC">
      <w:pPr>
        <w:pStyle w:val="1Titulo"/>
        <w:numPr>
          <w:ilvl w:val="0"/>
          <w:numId w:val="0"/>
        </w:numPr>
        <w:ind w:left="357"/>
        <w:rPr>
          <w:lang w:val="en-US"/>
        </w:rPr>
      </w:pPr>
      <w:bookmarkStart w:id="439" w:name="_Toc50031467"/>
      <w:r w:rsidRPr="00776774">
        <w:rPr>
          <w:lang w:val="en-US"/>
        </w:rPr>
        <w:t>1. Abstract</w:t>
      </w:r>
      <w:bookmarkEnd w:id="439"/>
    </w:p>
    <w:p w:rsidR="00B317CC" w:rsidRPr="00F1483F" w:rsidRDefault="00B317CC" w:rsidP="00B317CC">
      <w:pPr>
        <w:spacing w:line="360" w:lineRule="auto"/>
        <w:ind w:left="360"/>
        <w:jc w:val="both"/>
        <w:rPr>
          <w:rFonts w:ascii="Arial" w:hAnsi="Arial" w:cs="Arial"/>
          <w:b/>
          <w:color w:val="000000"/>
          <w:lang w:val="en-US"/>
        </w:rPr>
      </w:pPr>
    </w:p>
    <w:p w:rsidR="00B317CC" w:rsidRDefault="00B317CC" w:rsidP="00B317CC">
      <w:pPr>
        <w:ind w:firstLine="348"/>
        <w:jc w:val="both"/>
        <w:rPr>
          <w:rFonts w:ascii="Arial" w:hAnsi="Arial" w:cs="Arial"/>
          <w:lang w:val="en-US"/>
        </w:rPr>
      </w:pPr>
      <w:r w:rsidRPr="00F1483F">
        <w:rPr>
          <w:rFonts w:ascii="Arial" w:hAnsi="Arial" w:cs="Arial"/>
          <w:lang w:val="en-US"/>
        </w:rPr>
        <w:t>In addition to a profound understanding of the field of interest, scientific research requires the combined use of a variety of non-technical skills (soft skills). Typically, such skills are honed at the graduate level during the thesis research</w:t>
      </w:r>
      <w:r>
        <w:rPr>
          <w:rFonts w:ascii="Arial" w:hAnsi="Arial" w:cs="Arial"/>
          <w:lang w:val="en-US"/>
        </w:rPr>
        <w:t xml:space="preserve"> work</w:t>
      </w:r>
      <w:r w:rsidRPr="00F1483F">
        <w:rPr>
          <w:rFonts w:ascii="Arial" w:hAnsi="Arial" w:cs="Arial"/>
          <w:lang w:val="en-US"/>
        </w:rPr>
        <w:t xml:space="preserve">. </w:t>
      </w:r>
    </w:p>
    <w:p w:rsidR="00B317CC" w:rsidRPr="00F1483F" w:rsidRDefault="00B317CC" w:rsidP="00B317CC">
      <w:pPr>
        <w:ind w:firstLine="348"/>
        <w:jc w:val="both"/>
        <w:rPr>
          <w:rFonts w:ascii="Arial" w:hAnsi="Arial" w:cs="Arial"/>
          <w:lang w:val="en-US"/>
        </w:rPr>
      </w:pPr>
      <w:r>
        <w:rPr>
          <w:rFonts w:ascii="Arial" w:hAnsi="Arial" w:cs="Arial"/>
          <w:lang w:val="en-US"/>
        </w:rPr>
        <w:t>However, a</w:t>
      </w:r>
      <w:r w:rsidRPr="00F1483F">
        <w:rPr>
          <w:rFonts w:ascii="Arial" w:hAnsi="Arial" w:cs="Arial"/>
          <w:lang w:val="en-US"/>
        </w:rPr>
        <w:t>llowing undergraduate students to actively develop a research project, unbounded by the confines of coursework, provides them with a learning experience that more closely matches the challenges of scientific research.</w:t>
      </w:r>
    </w:p>
    <w:p w:rsidR="00B317CC" w:rsidRPr="00F1483F" w:rsidRDefault="00B317CC" w:rsidP="00B317CC">
      <w:pPr>
        <w:ind w:firstLine="348"/>
        <w:jc w:val="both"/>
        <w:rPr>
          <w:rFonts w:ascii="Arial" w:hAnsi="Arial" w:cs="Arial"/>
          <w:lang w:val="en-US"/>
        </w:rPr>
      </w:pPr>
      <w:r w:rsidRPr="00F1483F">
        <w:rPr>
          <w:rFonts w:ascii="Arial" w:hAnsi="Arial" w:cs="Arial"/>
          <w:lang w:val="en-US"/>
        </w:rPr>
        <w:t xml:space="preserve">This work presents the learning experience of undergraduate physics </w:t>
      </w:r>
      <w:r>
        <w:rPr>
          <w:rFonts w:ascii="Arial" w:hAnsi="Arial" w:cs="Arial"/>
          <w:lang w:val="en-US"/>
        </w:rPr>
        <w:t xml:space="preserve">students </w:t>
      </w:r>
      <w:r w:rsidRPr="00F1483F">
        <w:rPr>
          <w:rFonts w:ascii="Arial" w:hAnsi="Arial" w:cs="Arial"/>
          <w:lang w:val="en-US"/>
        </w:rPr>
        <w:t xml:space="preserve">undertaking a research project in medical physics, with an emphasis on their development of soft skills. The work was supervised by two medical physics researchers, with one of the students </w:t>
      </w:r>
      <w:r>
        <w:rPr>
          <w:rFonts w:ascii="Arial" w:hAnsi="Arial" w:cs="Arial"/>
          <w:lang w:val="en-US"/>
        </w:rPr>
        <w:t>in</w:t>
      </w:r>
      <w:r w:rsidRPr="00F1483F">
        <w:rPr>
          <w:rFonts w:ascii="Arial" w:hAnsi="Arial" w:cs="Arial"/>
          <w:lang w:val="en-US"/>
        </w:rPr>
        <w:t xml:space="preserve"> a leadership role.</w:t>
      </w:r>
    </w:p>
    <w:p w:rsidR="00B317CC" w:rsidRPr="00F1483F" w:rsidRDefault="00B317CC" w:rsidP="00B317CC">
      <w:pPr>
        <w:ind w:firstLine="348"/>
        <w:jc w:val="both"/>
        <w:rPr>
          <w:rFonts w:ascii="Arial" w:hAnsi="Arial" w:cs="Arial"/>
          <w:lang w:val="en-US"/>
        </w:rPr>
      </w:pPr>
      <w:r w:rsidRPr="00F1483F">
        <w:rPr>
          <w:rFonts w:ascii="Arial" w:hAnsi="Arial" w:cs="Arial"/>
          <w:lang w:val="en-US"/>
        </w:rPr>
        <w:t>Our results show that this kind of experiences, in parallel to academic training, allows students to find the limits of their abilities, as well as develop soft skills necessary for their future work as scientists.</w:t>
      </w:r>
    </w:p>
    <w:p w:rsidR="00B317CC" w:rsidRPr="00F1483F" w:rsidRDefault="00B317CC" w:rsidP="00B317CC">
      <w:pPr>
        <w:ind w:left="360"/>
        <w:jc w:val="both"/>
        <w:rPr>
          <w:rFonts w:ascii="Arial" w:hAnsi="Arial" w:cs="Arial"/>
          <w:lang w:val="en-US"/>
        </w:rPr>
      </w:pPr>
    </w:p>
    <w:p w:rsidR="00B317CC" w:rsidRPr="00776774" w:rsidRDefault="00B317CC" w:rsidP="00B317CC">
      <w:pPr>
        <w:pStyle w:val="1Titulo"/>
        <w:numPr>
          <w:ilvl w:val="0"/>
          <w:numId w:val="0"/>
        </w:numPr>
        <w:ind w:left="357"/>
        <w:rPr>
          <w:lang w:val="en-US"/>
        </w:rPr>
      </w:pPr>
      <w:bookmarkStart w:id="440" w:name="_Toc50031468"/>
      <w:r w:rsidRPr="00776774">
        <w:rPr>
          <w:lang w:val="en-US"/>
        </w:rPr>
        <w:t>2. Introduction</w:t>
      </w:r>
      <w:bookmarkEnd w:id="440"/>
    </w:p>
    <w:p w:rsidR="00B317CC" w:rsidRPr="00F1483F" w:rsidRDefault="00B317CC" w:rsidP="00B317CC">
      <w:pPr>
        <w:ind w:firstLine="708"/>
        <w:jc w:val="both"/>
        <w:rPr>
          <w:rFonts w:ascii="Arial" w:hAnsi="Arial" w:cs="Arial"/>
          <w:lang w:val="en-US"/>
        </w:rPr>
      </w:pP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Computational Medical Physics is a vast and multidisciplinary field which requires its researchers to be familiar with different areas of knowledge. </w:t>
      </w:r>
      <w:r w:rsidRPr="00F1483F">
        <w:rPr>
          <w:rFonts w:ascii="Arial" w:hAnsi="Arial" w:cs="Arial"/>
          <w:lang w:val="en-US"/>
        </w:rPr>
        <w:br/>
      </w:r>
      <w:r w:rsidRPr="00F1483F">
        <w:rPr>
          <w:rFonts w:ascii="Arial" w:hAnsi="Arial" w:cs="Arial"/>
          <w:lang w:val="en-US"/>
        </w:rPr>
        <w:tab/>
        <w:t>In the case of the research conducted at the Computational Medical Physics Laboratory (FIMEC) of the University of Costa Rica (UCR), it combines knowledge on the physics and biology of the interactions of ionizing radiation in human tissues and tissue-equivalent materials with knowledge of the different computational methods used in image analysis and radiation transport simulation</w:t>
      </w:r>
      <w:r w:rsidRPr="00F1483F">
        <w:rPr>
          <w:rFonts w:ascii="Arial" w:hAnsi="Arial" w:cs="Arial"/>
          <w:vertAlign w:val="superscript"/>
          <w:lang w:val="en-US"/>
        </w:rPr>
        <w:t>[1]</w:t>
      </w:r>
      <w:r w:rsidRPr="00F1483F">
        <w:rPr>
          <w:rFonts w:ascii="Arial" w:hAnsi="Arial" w:cs="Arial"/>
          <w:lang w:val="en-US"/>
        </w:rPr>
        <w:t xml:space="preserve">. </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Such a diverse body of knowledge can only be developed through extensive training which typically starts at the graduate </w:t>
      </w:r>
      <w:r>
        <w:rPr>
          <w:rFonts w:ascii="Arial" w:hAnsi="Arial" w:cs="Arial"/>
          <w:lang w:val="en-US"/>
        </w:rPr>
        <w:t xml:space="preserve">studies </w:t>
      </w:r>
      <w:r w:rsidRPr="00F1483F">
        <w:rPr>
          <w:rFonts w:ascii="Arial" w:hAnsi="Arial" w:cs="Arial"/>
          <w:lang w:val="en-US"/>
        </w:rPr>
        <w:t xml:space="preserve">level. At UCR, a Master of Medical Physics Program is available for </w:t>
      </w:r>
      <w:r>
        <w:rPr>
          <w:rFonts w:ascii="Arial" w:hAnsi="Arial" w:cs="Arial"/>
          <w:lang w:val="en-US"/>
        </w:rPr>
        <w:t>p</w:t>
      </w:r>
      <w:r w:rsidRPr="00F1483F">
        <w:rPr>
          <w:rFonts w:ascii="Arial" w:hAnsi="Arial" w:cs="Arial"/>
          <w:lang w:val="en-US"/>
        </w:rPr>
        <w:t xml:space="preserve">hysics graduates interested in pursuing a career in this field </w:t>
      </w:r>
      <w:r w:rsidRPr="00F1483F">
        <w:rPr>
          <w:rFonts w:ascii="Arial" w:hAnsi="Arial" w:cs="Arial"/>
          <w:vertAlign w:val="superscript"/>
          <w:lang w:val="en-US"/>
        </w:rPr>
        <w:t>[2]</w:t>
      </w:r>
      <w:r w:rsidRPr="00F1483F">
        <w:rPr>
          <w:rFonts w:ascii="Arial" w:hAnsi="Arial" w:cs="Arial"/>
          <w:lang w:val="en-US"/>
        </w:rPr>
        <w:t>.</w:t>
      </w:r>
      <w:r w:rsidRPr="00F1483F">
        <w:rPr>
          <w:rFonts w:ascii="Arial" w:hAnsi="Arial" w:cs="Arial"/>
          <w:noProof/>
          <w:lang w:val="en-US"/>
        </w:rPr>
        <w:t xml:space="preserve">  </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This work presents some of the experiences at FIMEC in preparing undergraduate </w:t>
      </w:r>
      <w:r>
        <w:rPr>
          <w:rFonts w:ascii="Arial" w:hAnsi="Arial" w:cs="Arial"/>
          <w:lang w:val="en-US"/>
        </w:rPr>
        <w:t>p</w:t>
      </w:r>
      <w:r w:rsidRPr="00F1483F">
        <w:rPr>
          <w:rFonts w:ascii="Arial" w:hAnsi="Arial" w:cs="Arial"/>
          <w:lang w:val="en-US"/>
        </w:rPr>
        <w:t xml:space="preserve">hysics students for the development of independent scientific research. </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The aim of these experiences is to provide students with both guidance and freedom to develop their own skills as young scientists, in preparation for the work they will undertake as </w:t>
      </w:r>
      <w:r>
        <w:rPr>
          <w:rFonts w:ascii="Arial" w:hAnsi="Arial" w:cs="Arial"/>
          <w:lang w:val="en-US"/>
        </w:rPr>
        <w:t>m</w:t>
      </w:r>
      <w:r w:rsidRPr="00F1483F">
        <w:rPr>
          <w:rFonts w:ascii="Arial" w:hAnsi="Arial" w:cs="Arial"/>
          <w:lang w:val="en-US"/>
        </w:rPr>
        <w:t xml:space="preserve">edical </w:t>
      </w:r>
      <w:r>
        <w:rPr>
          <w:rFonts w:ascii="Arial" w:hAnsi="Arial" w:cs="Arial"/>
          <w:lang w:val="en-US"/>
        </w:rPr>
        <w:t>p</w:t>
      </w:r>
      <w:r w:rsidRPr="00F1483F">
        <w:rPr>
          <w:rFonts w:ascii="Arial" w:hAnsi="Arial" w:cs="Arial"/>
          <w:lang w:val="en-US"/>
        </w:rPr>
        <w:t>hysics graduate students and future professionals</w:t>
      </w:r>
      <w:r>
        <w:rPr>
          <w:rFonts w:ascii="Arial" w:hAnsi="Arial" w:cs="Arial"/>
          <w:lang w:val="en-US"/>
        </w:rPr>
        <w:t xml:space="preserve"> </w:t>
      </w:r>
      <w:r w:rsidRPr="00F1483F">
        <w:rPr>
          <w:rFonts w:ascii="Arial" w:hAnsi="Arial" w:cs="Arial"/>
          <w:vertAlign w:val="superscript"/>
          <w:lang w:val="en-US"/>
        </w:rPr>
        <w:t>[3]</w:t>
      </w:r>
      <w:r>
        <w:rPr>
          <w:rFonts w:ascii="Arial" w:hAnsi="Arial" w:cs="Arial"/>
          <w:vertAlign w:val="superscript"/>
          <w:lang w:val="en-US"/>
        </w:rPr>
        <w:t>[4]</w:t>
      </w:r>
      <w:r>
        <w:rPr>
          <w:rFonts w:ascii="Arial" w:hAnsi="Arial" w:cs="Arial"/>
          <w:lang w:val="en-US"/>
        </w:rPr>
        <w:t>.</w:t>
      </w:r>
      <w:r>
        <w:rPr>
          <w:rFonts w:ascii="Arial" w:hAnsi="Arial" w:cs="Arial"/>
          <w:noProof/>
          <w:lang w:val="en-US"/>
        </w:rPr>
        <w:t xml:space="preserve">  </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In particular, the work presented here corresponds to the educational experiences </w:t>
      </w:r>
      <w:r>
        <w:rPr>
          <w:rFonts w:ascii="Arial" w:hAnsi="Arial" w:cs="Arial"/>
          <w:lang w:val="en-US"/>
        </w:rPr>
        <w:t xml:space="preserve">undertaken </w:t>
      </w:r>
      <w:r w:rsidRPr="00F1483F">
        <w:rPr>
          <w:rFonts w:ascii="Arial" w:hAnsi="Arial" w:cs="Arial"/>
          <w:lang w:val="en-US"/>
        </w:rPr>
        <w:t>in the development of scientific research work, done in collaboration with the Laboratory of Ionizing Radiation Metrology (LMRI), also at CICANUM.</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The collaboration aims to provide LMRI with computational models for radiation transport using the particulars of the LMRI experimental apparatuses. One of these models relates to the measurement of flatness of the photon energy deposited across the irradiation field of the Cs-137 source at LMRI. </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This project was selected because it combines a variety of knowledge fields, while still being achievable for a group of undergraduate students in the early stages of their studies (as early as second year). </w:t>
      </w:r>
    </w:p>
    <w:p w:rsidR="00B317CC" w:rsidRPr="00F1483F" w:rsidRDefault="00B317CC" w:rsidP="00B317CC">
      <w:pPr>
        <w:ind w:left="720"/>
        <w:jc w:val="both"/>
        <w:rPr>
          <w:rFonts w:ascii="Arial" w:hAnsi="Arial" w:cs="Arial"/>
          <w:b/>
          <w:color w:val="000000"/>
          <w:lang w:val="en-US"/>
        </w:rPr>
      </w:pPr>
    </w:p>
    <w:p w:rsidR="00B317CC" w:rsidRPr="00776774" w:rsidRDefault="00B317CC" w:rsidP="00B317CC">
      <w:pPr>
        <w:pStyle w:val="1Titulo"/>
        <w:numPr>
          <w:ilvl w:val="0"/>
          <w:numId w:val="0"/>
        </w:numPr>
        <w:ind w:left="357"/>
        <w:rPr>
          <w:lang w:val="en-US"/>
        </w:rPr>
      </w:pPr>
      <w:bookmarkStart w:id="441" w:name="_Toc50031469"/>
      <w:r w:rsidRPr="00776774">
        <w:rPr>
          <w:lang w:val="en-US"/>
        </w:rPr>
        <w:t>3. Experimental conditions</w:t>
      </w:r>
      <w:bookmarkEnd w:id="441"/>
    </w:p>
    <w:p w:rsidR="00B317CC" w:rsidRPr="00F1483F" w:rsidRDefault="00B317CC" w:rsidP="00B317CC">
      <w:pPr>
        <w:ind w:left="720"/>
        <w:jc w:val="both"/>
        <w:rPr>
          <w:rFonts w:ascii="Arial" w:hAnsi="Arial" w:cs="Arial"/>
          <w:b/>
          <w:color w:val="000000"/>
          <w:lang w:val="en-US"/>
        </w:rPr>
      </w:pP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The group of students involved in this work is constituted by three undergraduate </w:t>
      </w:r>
      <w:r>
        <w:rPr>
          <w:rFonts w:ascii="Arial" w:hAnsi="Arial" w:cs="Arial"/>
          <w:lang w:val="en-US"/>
        </w:rPr>
        <w:t>p</w:t>
      </w:r>
      <w:r w:rsidRPr="00F1483F">
        <w:rPr>
          <w:rFonts w:ascii="Arial" w:hAnsi="Arial" w:cs="Arial"/>
          <w:lang w:val="en-US"/>
        </w:rPr>
        <w:t xml:space="preserve">hysics students from the University of Costa Rica (referred to as Students A, B and C), in addition to a </w:t>
      </w:r>
      <w:r>
        <w:rPr>
          <w:rFonts w:ascii="Arial" w:hAnsi="Arial" w:cs="Arial"/>
          <w:lang w:val="en-US"/>
        </w:rPr>
        <w:t xml:space="preserve">graduate </w:t>
      </w:r>
      <w:r w:rsidRPr="00F1483F">
        <w:rPr>
          <w:rFonts w:ascii="Arial" w:hAnsi="Arial" w:cs="Arial"/>
          <w:lang w:val="en-US"/>
        </w:rPr>
        <w:t xml:space="preserve">summer intern from </w:t>
      </w:r>
      <w:r>
        <w:rPr>
          <w:rFonts w:ascii="Arial" w:hAnsi="Arial" w:cs="Arial"/>
          <w:lang w:val="en-US"/>
        </w:rPr>
        <w:t>a German institution</w:t>
      </w:r>
      <w:r w:rsidRPr="00F1483F">
        <w:rPr>
          <w:rFonts w:ascii="Arial" w:hAnsi="Arial" w:cs="Arial"/>
          <w:lang w:val="en-US"/>
        </w:rPr>
        <w:t xml:space="preserve">, referred to as Student D, who was involved in </w:t>
      </w:r>
      <w:r w:rsidRPr="001A62A3">
        <w:rPr>
          <w:rFonts w:ascii="Arial" w:hAnsi="Arial" w:cs="Arial"/>
          <w:lang w:val="en-US"/>
        </w:rPr>
        <w:t>the project for six weeks. All students were volunteers who approached the supervisors, motivated by an interest</w:t>
      </w:r>
      <w:r w:rsidRPr="00F1483F">
        <w:rPr>
          <w:rFonts w:ascii="Arial" w:hAnsi="Arial" w:cs="Arial"/>
          <w:lang w:val="en-US"/>
        </w:rPr>
        <w:t xml:space="preserve"> in pursuing graduate medical physics studies in the future.  </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One of the students, Student A, has been involved in the collaboration since its inception, while the other two (B and C) joined at different </w:t>
      </w:r>
      <w:r>
        <w:rPr>
          <w:rFonts w:ascii="Arial" w:hAnsi="Arial" w:cs="Arial"/>
          <w:lang w:val="en-US"/>
        </w:rPr>
        <w:t xml:space="preserve">later </w:t>
      </w:r>
      <w:r w:rsidRPr="00F1483F">
        <w:rPr>
          <w:rFonts w:ascii="Arial" w:hAnsi="Arial" w:cs="Arial"/>
          <w:lang w:val="en-US"/>
        </w:rPr>
        <w:t xml:space="preserve">stages, with Student C, joining the most recently. In this group, Student A has been functioning as the student leader. </w:t>
      </w:r>
    </w:p>
    <w:p w:rsidR="00B317CC" w:rsidRPr="00F1483F" w:rsidRDefault="00B317CC" w:rsidP="00B317CC">
      <w:pPr>
        <w:ind w:firstLine="708"/>
        <w:jc w:val="both"/>
        <w:rPr>
          <w:rFonts w:ascii="Arial" w:hAnsi="Arial" w:cs="Arial"/>
          <w:lang w:val="en-US"/>
        </w:rPr>
      </w:pPr>
      <w:r w:rsidRPr="00F1483F">
        <w:rPr>
          <w:rFonts w:ascii="Arial" w:hAnsi="Arial" w:cs="Arial"/>
          <w:lang w:val="en-US"/>
        </w:rPr>
        <w:t>All activities were performed under the guidance of senior researchers from LMRI and FIMEC. During the development of this project the supervisors acted as a guide giving broad instructions</w:t>
      </w:r>
      <w:r>
        <w:rPr>
          <w:rFonts w:ascii="Arial" w:hAnsi="Arial" w:cs="Arial"/>
          <w:lang w:val="en-US"/>
        </w:rPr>
        <w:t xml:space="preserve"> and general tasks</w:t>
      </w:r>
      <w:r w:rsidRPr="00F1483F">
        <w:rPr>
          <w:rFonts w:ascii="Arial" w:hAnsi="Arial" w:cs="Arial"/>
          <w:lang w:val="en-US"/>
        </w:rPr>
        <w:t xml:space="preserve">, to allow the students to develop their own ideas and methods. </w:t>
      </w:r>
    </w:p>
    <w:p w:rsidR="00B317CC" w:rsidRPr="00F1483F" w:rsidRDefault="00B317CC" w:rsidP="00B317CC">
      <w:pPr>
        <w:jc w:val="both"/>
        <w:rPr>
          <w:rFonts w:ascii="Arial" w:hAnsi="Arial" w:cs="Arial"/>
          <w:lang w:val="en-US"/>
        </w:rPr>
      </w:pPr>
      <w:r w:rsidRPr="00F1483F">
        <w:rPr>
          <w:rFonts w:ascii="Arial" w:hAnsi="Arial" w:cs="Arial"/>
          <w:lang w:val="en-US"/>
        </w:rPr>
        <w:tab/>
        <w:t>Alongside the researcher from LMRI, student A designed and developed the sets of measurements to determine the flatness of field for the Cs-137. This measurement work involved the irradiation of radiographic films with the radiation source and the development of this film. Images from the irradiation geometry and the resulting irradiated radiographic films are shown in Figure 1.</w:t>
      </w:r>
    </w:p>
    <w:p w:rsidR="00B317CC" w:rsidRPr="00F1483F" w:rsidRDefault="00B317CC" w:rsidP="00B317CC">
      <w:pPr>
        <w:ind w:firstLine="708"/>
        <w:jc w:val="both"/>
        <w:rPr>
          <w:rFonts w:ascii="Arial" w:hAnsi="Arial" w:cs="Arial"/>
          <w:lang w:val="en-US"/>
        </w:rPr>
      </w:pPr>
      <w:r>
        <w:rPr>
          <w:rFonts w:ascii="Arial" w:hAnsi="Arial" w:cs="Arial"/>
          <w:lang w:val="en-US"/>
        </w:rPr>
        <w:t>S</w:t>
      </w:r>
      <w:r w:rsidRPr="00F1483F">
        <w:rPr>
          <w:rFonts w:ascii="Arial" w:hAnsi="Arial" w:cs="Arial"/>
          <w:lang w:val="en-US"/>
        </w:rPr>
        <w:t xml:space="preserve">tudent A then used a densitometer to measure the optical density at points of interest in the films. Student A also started training in the use of Geant4 for radiation transport simulations. Because Student A was more advanced in their Geant4 training when the other students joined, Student A was also responsible for training and coordinating the work of the other students involved. All tasks related to the use of Geant4 and project administration were performed under the guidance of the researcher from FIMEC. </w:t>
      </w:r>
    </w:p>
    <w:p w:rsidR="00B317CC" w:rsidRPr="00F1483F" w:rsidRDefault="00B317CC" w:rsidP="00B317CC">
      <w:pPr>
        <w:jc w:val="both"/>
        <w:rPr>
          <w:rFonts w:ascii="Arial" w:hAnsi="Arial" w:cs="Arial"/>
          <w:lang w:val="en-US"/>
        </w:rPr>
      </w:pPr>
      <w:r w:rsidRPr="00F1483F">
        <w:rPr>
          <w:rFonts w:ascii="Arial" w:hAnsi="Arial" w:cs="Arial"/>
          <w:lang w:val="en-US"/>
        </w:rPr>
        <w:tab/>
        <w:t xml:space="preserve">The experience of </w:t>
      </w:r>
      <w:r>
        <w:rPr>
          <w:rFonts w:ascii="Arial" w:hAnsi="Arial" w:cs="Arial"/>
          <w:lang w:val="en-US"/>
        </w:rPr>
        <w:t>S</w:t>
      </w:r>
      <w:r w:rsidRPr="00F1483F">
        <w:rPr>
          <w:rFonts w:ascii="Arial" w:hAnsi="Arial" w:cs="Arial"/>
          <w:lang w:val="en-US"/>
        </w:rPr>
        <w:t xml:space="preserve">tudent A was aimed to mimic some of the responsibilities in the role of a head of </w:t>
      </w:r>
      <w:r>
        <w:rPr>
          <w:rFonts w:ascii="Arial" w:hAnsi="Arial" w:cs="Arial"/>
          <w:lang w:val="en-US"/>
        </w:rPr>
        <w:t xml:space="preserve">a </w:t>
      </w:r>
      <w:r w:rsidRPr="00F1483F">
        <w:rPr>
          <w:rFonts w:ascii="Arial" w:hAnsi="Arial" w:cs="Arial"/>
          <w:lang w:val="en-US"/>
        </w:rPr>
        <w:t xml:space="preserve">research group, which encompasses aspects of both the project design, and its implementation, in addition to the supervision and coordination of other </w:t>
      </w:r>
      <w:r>
        <w:rPr>
          <w:rFonts w:ascii="Arial" w:hAnsi="Arial" w:cs="Arial"/>
          <w:lang w:val="en-US"/>
        </w:rPr>
        <w:t>personnel</w:t>
      </w:r>
      <w:r w:rsidRPr="00F1483F">
        <w:rPr>
          <w:rFonts w:ascii="Arial" w:hAnsi="Arial" w:cs="Arial"/>
          <w:lang w:val="en-US"/>
        </w:rPr>
        <w:t xml:space="preserve">. This point was made explicit to Student A as part of the mentoring during the development of these research activities. </w:t>
      </w:r>
    </w:p>
    <w:p w:rsidR="00B317CC" w:rsidRDefault="00B317CC" w:rsidP="00B317CC">
      <w:pPr>
        <w:rPr>
          <w:rFonts w:ascii="Arial" w:hAnsi="Arial" w:cs="Arial"/>
          <w:lang w:val="en-US"/>
        </w:rPr>
      </w:pPr>
    </w:p>
    <w:p w:rsidR="00B317CC" w:rsidRPr="00F1483F" w:rsidRDefault="00B317CC" w:rsidP="00B317CC">
      <w:pPr>
        <w:rPr>
          <w:rFonts w:ascii="Arial" w:hAnsi="Arial" w:cs="Arial"/>
          <w:lang w:val="en-US"/>
        </w:rPr>
      </w:pPr>
    </w:p>
    <w:tbl>
      <w:tblPr>
        <w:tblW w:w="0" w:type="auto"/>
        <w:tblLook w:val="04A0" w:firstRow="1" w:lastRow="0" w:firstColumn="1" w:lastColumn="0" w:noHBand="0" w:noVBand="1"/>
      </w:tblPr>
      <w:tblGrid>
        <w:gridCol w:w="4538"/>
        <w:gridCol w:w="4536"/>
      </w:tblGrid>
      <w:tr w:rsidR="00B317CC" w:rsidRPr="00F1483F" w:rsidTr="000533C7">
        <w:tc>
          <w:tcPr>
            <w:tcW w:w="4538" w:type="dxa"/>
            <w:shd w:val="clear" w:color="auto" w:fill="auto"/>
          </w:tcPr>
          <w:p w:rsidR="00B317CC" w:rsidRPr="00F1483F" w:rsidRDefault="00B317CC" w:rsidP="000533C7">
            <w:pPr>
              <w:jc w:val="center"/>
              <w:rPr>
                <w:rFonts w:ascii="Arial" w:hAnsi="Arial" w:cs="Arial"/>
                <w:bCs/>
                <w:lang w:val="en-US"/>
              </w:rPr>
            </w:pPr>
            <w:r>
              <w:rPr>
                <w:rFonts w:ascii="Arial" w:hAnsi="Arial" w:cs="Arial"/>
                <w:noProof/>
                <w:lang w:val="en-US"/>
              </w:rPr>
              <w:drawing>
                <wp:inline distT="0" distB="0" distL="0" distR="0" wp14:anchorId="02BD71DC" wp14:editId="38C5AAC3">
                  <wp:extent cx="2743200" cy="2038350"/>
                  <wp:effectExtent l="0" t="0" r="0" b="0"/>
                  <wp:docPr id="123" name="Imagen 123" descr="DSC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005"/>
                          <pic:cNvPicPr>
                            <a:picLocks noChangeAspect="1" noChangeArrowheads="1"/>
                          </pic:cNvPicPr>
                        </pic:nvPicPr>
                        <pic:blipFill>
                          <a:blip r:embed="rId1325" cstate="print">
                            <a:extLst>
                              <a:ext uri="{28A0092B-C50C-407E-A947-70E740481C1C}">
                                <a14:useLocalDpi xmlns:a14="http://schemas.microsoft.com/office/drawing/2010/main" val="0"/>
                              </a:ext>
                            </a:extLst>
                          </a:blip>
                          <a:srcRect t="21985" b="22250"/>
                          <a:stretch>
                            <a:fillRect/>
                          </a:stretch>
                        </pic:blipFill>
                        <pic:spPr bwMode="auto">
                          <a:xfrm>
                            <a:off x="0" y="0"/>
                            <a:ext cx="2743200" cy="2038350"/>
                          </a:xfrm>
                          <a:prstGeom prst="rect">
                            <a:avLst/>
                          </a:prstGeom>
                          <a:noFill/>
                          <a:ln>
                            <a:noFill/>
                          </a:ln>
                        </pic:spPr>
                      </pic:pic>
                    </a:graphicData>
                  </a:graphic>
                </wp:inline>
              </w:drawing>
            </w:r>
          </w:p>
        </w:tc>
        <w:tc>
          <w:tcPr>
            <w:tcW w:w="4534" w:type="dxa"/>
            <w:shd w:val="clear" w:color="auto" w:fill="auto"/>
          </w:tcPr>
          <w:p w:rsidR="00B317CC" w:rsidRPr="00F1483F" w:rsidRDefault="00B317CC" w:rsidP="000533C7">
            <w:pPr>
              <w:jc w:val="center"/>
              <w:rPr>
                <w:rFonts w:ascii="Arial" w:hAnsi="Arial" w:cs="Arial"/>
                <w:bCs/>
                <w:lang w:val="en-US"/>
              </w:rPr>
            </w:pPr>
            <w:r>
              <w:rPr>
                <w:rFonts w:ascii="Arial" w:hAnsi="Arial" w:cs="Arial"/>
                <w:noProof/>
                <w:lang w:val="en-US"/>
              </w:rPr>
              <w:drawing>
                <wp:inline distT="0" distB="0" distL="0" distR="0" wp14:anchorId="1234CA45" wp14:editId="0E4071DE">
                  <wp:extent cx="2743200" cy="2057400"/>
                  <wp:effectExtent l="0" t="0" r="0" b="0"/>
                  <wp:docPr id="124" name="Imagen 124" descr="DSC_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016"/>
                          <pic:cNvPicPr>
                            <a:picLocks noChangeAspect="1" noChangeArrowheads="1"/>
                          </pic:cNvPicPr>
                        </pic:nvPicPr>
                        <pic:blipFill>
                          <a:blip r:embed="rId1326"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bl>
    <w:p w:rsidR="00B317CC" w:rsidRPr="00F1483F" w:rsidRDefault="00B317CC" w:rsidP="00B317CC">
      <w:pPr>
        <w:jc w:val="center"/>
        <w:rPr>
          <w:rFonts w:ascii="Arial" w:hAnsi="Arial" w:cs="Arial"/>
          <w:bCs/>
          <w:i/>
          <w:sz w:val="20"/>
          <w:szCs w:val="20"/>
          <w:lang w:val="en-US"/>
        </w:rPr>
      </w:pPr>
      <w:r>
        <w:rPr>
          <w:noProof/>
          <w:lang w:val="en-US"/>
        </w:rPr>
        <mc:AlternateContent>
          <mc:Choice Requires="wps">
            <w:drawing>
              <wp:anchor distT="0" distB="0" distL="114300" distR="114300" simplePos="0" relativeHeight="251847680" behindDoc="0" locked="0" layoutInCell="1" allowOverlap="1" wp14:anchorId="595CF8FC" wp14:editId="5EC8C33F">
                <wp:simplePos x="0" y="0"/>
                <wp:positionH relativeFrom="column">
                  <wp:posOffset>897890</wp:posOffset>
                </wp:positionH>
                <wp:positionV relativeFrom="paragraph">
                  <wp:posOffset>35560</wp:posOffset>
                </wp:positionV>
                <wp:extent cx="4285615" cy="245745"/>
                <wp:effectExtent l="0" t="0" r="0" b="0"/>
                <wp:wrapNone/>
                <wp:docPr id="121"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5615" cy="245745"/>
                        </a:xfrm>
                        <a:prstGeom prst="rect">
                          <a:avLst/>
                        </a:prstGeom>
                        <a:solidFill>
                          <a:sysClr val="window" lastClr="FFFFFF"/>
                        </a:solidFill>
                        <a:ln w="6350">
                          <a:noFill/>
                        </a:ln>
                        <a:effectLst/>
                      </wps:spPr>
                      <wps:txbx>
                        <w:txbxContent>
                          <w:p w:rsidR="00C20C0F" w:rsidRDefault="00C20C0F" w:rsidP="00B317CC">
                            <w:pPr>
                              <w:pStyle w:val="ColorfulList-Accent11"/>
                              <w:ind w:left="360"/>
                            </w:pPr>
                            <w:r>
                              <w:t>(a)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95CF8FC" id="Cuadro de texto 10" o:spid="_x0000_s1307" type="#_x0000_t202" style="position:absolute;left:0;text-align:left;margin-left:70.7pt;margin-top:2.8pt;width:337.45pt;height:19.3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VT2YQIAAMMEAAAOAAAAZHJzL2Uyb0RvYy54bWysVF1v2jAUfZ+0/2D5fQ0waDvUUDEqpkmo&#10;rUSnPhvHKdEcX882JOzX79gJlHV7msaDufb9Pvfc3Ny2tWZ75XxFJufDiwFnykgqKvOS829Pyw/X&#10;nPkgTCE0GZXzg/L8dvb+3U1jp2pEW9KFcgxBjJ82NufbEOw0y7zcqlr4C7LKQFmSq0XA1b1khRMN&#10;otc6Gw0Gl1lDrrCOpPIer3edks9S/LJUMjyUpVeB6ZyjtpBOl85NPLPZjZi+OGG3lezLEP9QRS0q&#10;g6SnUHciCLZz1R+h6ko68lSGC0l1RmVZSZV6QDfDwZtu1lthVeoF4Hh7gsn/v7Dyfv/oWFVgdqMh&#10;Z0bUGNJiJwpHrFAsqDYQGyacGuunMF9bOIT2M7XwST17uyL53QPK7MwmjsBPPawjLm3p6viPjhkc&#10;MYrDCX7kYBKP49H15HI44UxCNxpPrsaTOJ/s1ds6H74oqlkUcu4w3lSB2K986EyPJjGZJ10Vy0rr&#10;dDn4hXZsL8AEEKighjMtfMBjzpfp12f7zU0b1uT88uNkkDIZivG6VNrEuCqxrM//2nKUQrtpE7ZX&#10;JwA3VByAn6OOid7KZYVeVijkUThQD8hgncIDjlITUlMvcbYl9/Nv79EejICWswZUzrn/sRNOob+v&#10;Blz5NByPI/fTBbCOcHHnms25xuzqBQEjsAHVJTHaB30US0f1M7ZuHrNCJYxE7pyHo7gI3YJha6Wa&#10;z5MR2G5FWJm1lUfaxEk9tc/C2X6ckWz3dCS9mL6ZamcbITc03wUqqzTyCHSHas8/bEoiTb/VcRXP&#10;78nq9dsz+wUAAP//AwBQSwMEFAAGAAgAAAAhAORJ7NHdAAAACAEAAA8AAABkcnMvZG93bnJldi54&#10;bWxMjzFPwzAUhHck/oP1kNioE2KiKo1TQUUnlmJAdHRiE0fYz1HstOHfYyY6nu509129XZwlJz2F&#10;wSOHfJUB0dh5NWDP4f1tf7cGEqJEJa1HzeFHB9g211e1rJQ/46s+idiTVIKhkhxMjGNFaeiMdjKs&#10;/KgxeV9+cjImOfVUTfKcyp2l91lWUicHTAtGjnpndPctZsfhwxyFyNvi2T4dis/94UV4Nu84v71Z&#10;HjdAol7ifxj+8BM6NImp9TOqQGzSLGcpyuGhBJL8dV4WQFoOjBVAm5peHmh+AQAA//8DAFBLAQIt&#10;ABQABgAIAAAAIQC2gziS/gAAAOEBAAATAAAAAAAAAAAAAAAAAAAAAABbQ29udGVudF9UeXBlc10u&#10;eG1sUEsBAi0AFAAGAAgAAAAhADj9If/WAAAAlAEAAAsAAAAAAAAAAAAAAAAALwEAAF9yZWxzLy5y&#10;ZWxzUEsBAi0AFAAGAAgAAAAhAOMVVPZhAgAAwwQAAA4AAAAAAAAAAAAAAAAALgIAAGRycy9lMm9E&#10;b2MueG1sUEsBAi0AFAAGAAgAAAAhAORJ7NHdAAAACAEAAA8AAAAAAAAAAAAAAAAAuwQAAGRycy9k&#10;b3ducmV2LnhtbFBLBQYAAAAABAAEAPMAAADFBQAAAAA=&#10;" fillcolor="window" stroked="f" strokeweight=".5pt">
                <v:path arrowok="t"/>
                <v:textbox>
                  <w:txbxContent>
                    <w:p w:rsidR="00C20C0F" w:rsidRDefault="00C20C0F" w:rsidP="00B317CC">
                      <w:pPr>
                        <w:pStyle w:val="ColorfulList-Accent11"/>
                        <w:ind w:left="360"/>
                      </w:pPr>
                      <w:r>
                        <w:t>(a)                                                                                (b)</w:t>
                      </w:r>
                    </w:p>
                  </w:txbxContent>
                </v:textbox>
              </v:shape>
            </w:pict>
          </mc:Fallback>
        </mc:AlternateContent>
      </w:r>
    </w:p>
    <w:p w:rsidR="00B317CC" w:rsidRPr="00F1483F" w:rsidRDefault="00B317CC" w:rsidP="00B317CC">
      <w:pPr>
        <w:jc w:val="center"/>
        <w:rPr>
          <w:rFonts w:ascii="Arial" w:hAnsi="Arial" w:cs="Arial"/>
          <w:bCs/>
          <w:i/>
          <w:sz w:val="20"/>
          <w:szCs w:val="20"/>
          <w:lang w:val="en-US"/>
        </w:rPr>
      </w:pPr>
    </w:p>
    <w:p w:rsidR="00B317CC" w:rsidRPr="00F1483F" w:rsidRDefault="00B317CC" w:rsidP="00B317CC">
      <w:pPr>
        <w:jc w:val="center"/>
        <w:rPr>
          <w:rFonts w:ascii="Arial" w:hAnsi="Arial" w:cs="Arial"/>
          <w:bCs/>
          <w:i/>
          <w:sz w:val="20"/>
          <w:szCs w:val="20"/>
          <w:lang w:val="en-US"/>
        </w:rPr>
      </w:pPr>
      <w:r w:rsidRPr="00F1483F">
        <w:rPr>
          <w:rFonts w:ascii="Arial" w:hAnsi="Arial" w:cs="Arial"/>
          <w:bCs/>
          <w:i/>
          <w:sz w:val="20"/>
          <w:szCs w:val="20"/>
          <w:lang w:val="en-US"/>
        </w:rPr>
        <w:t>Figure 1. Images from the measurement procedure performed by Student A (a) Experimental setup for irradiation with Cs-137 source (b) Radiographic film after irradiation</w:t>
      </w:r>
      <w:r>
        <w:rPr>
          <w:rFonts w:ascii="Arial" w:hAnsi="Arial" w:cs="Arial"/>
          <w:bCs/>
          <w:i/>
          <w:sz w:val="20"/>
          <w:szCs w:val="20"/>
          <w:lang w:val="en-US"/>
        </w:rPr>
        <w:t xml:space="preserve"> (Illustrative purposes)</w:t>
      </w:r>
    </w:p>
    <w:p w:rsidR="00B317CC" w:rsidRDefault="00B317CC" w:rsidP="00B317CC">
      <w:pPr>
        <w:jc w:val="both"/>
        <w:rPr>
          <w:rFonts w:ascii="Arial" w:hAnsi="Arial" w:cs="Arial"/>
          <w:lang w:val="en-US"/>
        </w:rPr>
      </w:pPr>
    </w:p>
    <w:p w:rsidR="00B317CC" w:rsidRPr="00F1483F" w:rsidRDefault="00B317CC" w:rsidP="00B317CC">
      <w:pPr>
        <w:jc w:val="both"/>
        <w:rPr>
          <w:rFonts w:ascii="Arial" w:hAnsi="Arial" w:cs="Arial"/>
          <w:lang w:val="en-US"/>
        </w:rPr>
      </w:pPr>
    </w:p>
    <w:p w:rsidR="00B317CC" w:rsidRPr="00F1483F" w:rsidRDefault="00B317CC" w:rsidP="00B317CC">
      <w:pPr>
        <w:jc w:val="both"/>
        <w:rPr>
          <w:rFonts w:ascii="Arial" w:hAnsi="Arial" w:cs="Arial"/>
          <w:lang w:val="en-US"/>
        </w:rPr>
      </w:pPr>
      <w:r w:rsidRPr="00F1483F">
        <w:rPr>
          <w:rFonts w:ascii="Arial" w:hAnsi="Arial" w:cs="Arial"/>
          <w:lang w:val="en-US"/>
        </w:rPr>
        <w:tab/>
        <w:t xml:space="preserve">During the development of this project, Students B and C, were tasked with searching and writing a literature review on two separate topics related to the research work. Student B reviewed literature on the topics of the computational methods used in this project, in particular the use of Geant4, while Student C focused on general topics in ionizing radiation metrology and calibration laboratories. </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The students were provided with guidance on the topic and references for them to start their search, as well as some resources that could be used to search for scientific literature in those subjects. The idea behind this task is to provide students with experience in using scientific literature resources, as well as putting in practice their critical thinking skills when selecting resources to include as part of their review. The main instruction to the students was to develop a literature review that could be used in the future preparation of a scientific article, with a strong emphasis on the importance of good citation and </w:t>
      </w:r>
      <w:r>
        <w:rPr>
          <w:rFonts w:ascii="Arial" w:hAnsi="Arial" w:cs="Arial"/>
          <w:lang w:val="en-US"/>
        </w:rPr>
        <w:t xml:space="preserve">reference </w:t>
      </w:r>
      <w:r w:rsidRPr="00F1483F">
        <w:rPr>
          <w:rFonts w:ascii="Arial" w:hAnsi="Arial" w:cs="Arial"/>
          <w:lang w:val="en-US"/>
        </w:rPr>
        <w:t xml:space="preserve">management practices. As the final product of this activity each student delivered a brief document with their summarized findings. </w:t>
      </w:r>
    </w:p>
    <w:p w:rsidR="00B317CC" w:rsidRPr="00F1483F" w:rsidRDefault="00B317CC" w:rsidP="00B317CC">
      <w:pPr>
        <w:jc w:val="both"/>
        <w:rPr>
          <w:rFonts w:ascii="Arial" w:hAnsi="Arial" w:cs="Arial"/>
          <w:lang w:val="en-US"/>
        </w:rPr>
      </w:pPr>
      <w:r w:rsidRPr="00F1483F">
        <w:rPr>
          <w:rFonts w:ascii="Arial" w:hAnsi="Arial" w:cs="Arial"/>
          <w:lang w:val="en-US"/>
        </w:rPr>
        <w:tab/>
        <w:t>In the case of Student D, being an international summer intern and not taking classes, they were able to devote all their time to work on their internship tasks. In addition, this student had also recently finished their bachelor’s program</w:t>
      </w:r>
      <w:r>
        <w:rPr>
          <w:rFonts w:ascii="Arial" w:hAnsi="Arial" w:cs="Arial"/>
          <w:lang w:val="en-US"/>
        </w:rPr>
        <w:t>,</w:t>
      </w:r>
      <w:r w:rsidRPr="00F1483F">
        <w:rPr>
          <w:rFonts w:ascii="Arial" w:hAnsi="Arial" w:cs="Arial"/>
          <w:lang w:val="en-US"/>
        </w:rPr>
        <w:t xml:space="preserve"> which included some basic classes in </w:t>
      </w:r>
      <w:r>
        <w:rPr>
          <w:rFonts w:ascii="Arial" w:hAnsi="Arial" w:cs="Arial"/>
          <w:lang w:val="en-US"/>
        </w:rPr>
        <w:t>m</w:t>
      </w:r>
      <w:r w:rsidRPr="00F1483F">
        <w:rPr>
          <w:rFonts w:ascii="Arial" w:hAnsi="Arial" w:cs="Arial"/>
          <w:lang w:val="en-US"/>
        </w:rPr>
        <w:t xml:space="preserve">edical </w:t>
      </w:r>
      <w:r>
        <w:rPr>
          <w:rFonts w:ascii="Arial" w:hAnsi="Arial" w:cs="Arial"/>
          <w:lang w:val="en-US"/>
        </w:rPr>
        <w:t>p</w:t>
      </w:r>
      <w:r w:rsidRPr="00F1483F">
        <w:rPr>
          <w:rFonts w:ascii="Arial" w:hAnsi="Arial" w:cs="Arial"/>
          <w:lang w:val="en-US"/>
        </w:rPr>
        <w:t>hysics topics at the undergraduate level</w:t>
      </w:r>
      <w:r>
        <w:rPr>
          <w:rFonts w:ascii="Arial" w:hAnsi="Arial" w:cs="Arial"/>
          <w:lang w:val="en-US"/>
        </w:rPr>
        <w:t xml:space="preserve">, and had </w:t>
      </w:r>
      <w:r w:rsidRPr="00F1483F">
        <w:rPr>
          <w:rFonts w:ascii="Arial" w:hAnsi="Arial" w:cs="Arial"/>
          <w:lang w:val="en-US"/>
        </w:rPr>
        <w:t>enrolled in a master’s program</w:t>
      </w:r>
      <w:r>
        <w:rPr>
          <w:rFonts w:ascii="Arial" w:hAnsi="Arial" w:cs="Arial"/>
          <w:lang w:val="en-US"/>
        </w:rPr>
        <w:t>.</w:t>
      </w:r>
      <w:r w:rsidRPr="00F1483F">
        <w:rPr>
          <w:rFonts w:ascii="Arial" w:hAnsi="Arial" w:cs="Arial"/>
          <w:lang w:val="en-US"/>
        </w:rPr>
        <w:t xml:space="preserve"> </w:t>
      </w:r>
    </w:p>
    <w:p w:rsidR="00B317CC" w:rsidRPr="00F1483F" w:rsidRDefault="00B317CC" w:rsidP="00B317CC">
      <w:pPr>
        <w:ind w:firstLine="708"/>
        <w:jc w:val="both"/>
        <w:rPr>
          <w:rFonts w:ascii="Arial" w:hAnsi="Arial" w:cs="Arial"/>
          <w:lang w:val="en-US"/>
        </w:rPr>
      </w:pPr>
      <w:r w:rsidRPr="00F1483F">
        <w:rPr>
          <w:rFonts w:ascii="Arial" w:hAnsi="Arial" w:cs="Arial"/>
          <w:lang w:val="en-US"/>
        </w:rPr>
        <w:t>Their contribution was focused on developing the radiation transport simulation</w:t>
      </w:r>
      <w:r>
        <w:rPr>
          <w:rFonts w:ascii="Arial" w:hAnsi="Arial" w:cs="Arial"/>
          <w:lang w:val="en-US"/>
        </w:rPr>
        <w:t xml:space="preserve"> geometry</w:t>
      </w:r>
      <w:r w:rsidRPr="00F1483F">
        <w:rPr>
          <w:rFonts w:ascii="Arial" w:hAnsi="Arial" w:cs="Arial"/>
          <w:lang w:val="en-US"/>
        </w:rPr>
        <w:t xml:space="preserve"> using Geant4. Their work included modifying existing Geant4 codes to mimic the geometry of the measurements</w:t>
      </w:r>
      <w:r>
        <w:rPr>
          <w:rFonts w:ascii="Arial" w:hAnsi="Arial" w:cs="Arial"/>
          <w:lang w:val="en-US"/>
        </w:rPr>
        <w:t xml:space="preserve"> at LMRI</w:t>
      </w:r>
      <w:r w:rsidRPr="00F1483F">
        <w:rPr>
          <w:rFonts w:ascii="Arial" w:hAnsi="Arial" w:cs="Arial"/>
          <w:lang w:val="en-US"/>
        </w:rPr>
        <w:t xml:space="preserve">, as well as developing auxiliary codes to extract the Geant4 simulation data. This work was performed under the guidance of the FIMEC supervisor. Students A and D worked together in determining the geometric parameters for the simulation, as well as performing </w:t>
      </w:r>
      <w:r>
        <w:rPr>
          <w:rFonts w:ascii="Arial" w:hAnsi="Arial" w:cs="Arial"/>
          <w:lang w:val="en-US"/>
        </w:rPr>
        <w:t>t</w:t>
      </w:r>
      <w:r w:rsidRPr="00F1483F">
        <w:rPr>
          <w:rFonts w:ascii="Arial" w:hAnsi="Arial" w:cs="Arial"/>
          <w:lang w:val="en-US"/>
        </w:rPr>
        <w:t>he initial analysis of the simulation data. Images from the radiation transport simulation are shown in Figure 2.</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 </w:t>
      </w:r>
    </w:p>
    <w:p w:rsidR="00B317CC" w:rsidRDefault="00B317CC" w:rsidP="00B317CC">
      <w:pPr>
        <w:ind w:firstLine="708"/>
        <w:jc w:val="both"/>
        <w:rPr>
          <w:rFonts w:ascii="Arial" w:hAnsi="Arial" w:cs="Arial"/>
          <w:lang w:val="en-US"/>
        </w:rPr>
      </w:pPr>
    </w:p>
    <w:p w:rsidR="00B317CC" w:rsidRDefault="00B317CC" w:rsidP="00B317CC">
      <w:pPr>
        <w:ind w:firstLine="708"/>
        <w:jc w:val="both"/>
        <w:rPr>
          <w:rFonts w:ascii="Arial" w:hAnsi="Arial" w:cs="Arial"/>
          <w:lang w:val="en-US"/>
        </w:rPr>
      </w:pPr>
    </w:p>
    <w:p w:rsidR="00B317CC" w:rsidRPr="00F1483F" w:rsidRDefault="00B317CC" w:rsidP="00B317CC">
      <w:pPr>
        <w:ind w:firstLine="708"/>
        <w:jc w:val="both"/>
        <w:rPr>
          <w:rFonts w:ascii="Arial" w:hAnsi="Arial" w:cs="Arial"/>
          <w:lang w:val="en-US"/>
        </w:rPr>
      </w:pPr>
    </w:p>
    <w:tbl>
      <w:tblPr>
        <w:tblW w:w="0" w:type="auto"/>
        <w:tblLook w:val="04A0" w:firstRow="1" w:lastRow="0" w:firstColumn="1" w:lastColumn="0" w:noHBand="0" w:noVBand="1"/>
      </w:tblPr>
      <w:tblGrid>
        <w:gridCol w:w="4536"/>
        <w:gridCol w:w="4536"/>
      </w:tblGrid>
      <w:tr w:rsidR="00B317CC" w:rsidRPr="00F1483F" w:rsidTr="000533C7">
        <w:tc>
          <w:tcPr>
            <w:tcW w:w="4414" w:type="dxa"/>
            <w:shd w:val="clear" w:color="auto" w:fill="auto"/>
            <w:vAlign w:val="center"/>
          </w:tcPr>
          <w:p w:rsidR="00B317CC" w:rsidRPr="00F1483F" w:rsidRDefault="00B317CC" w:rsidP="000533C7">
            <w:pPr>
              <w:jc w:val="center"/>
              <w:rPr>
                <w:rFonts w:ascii="Arial" w:hAnsi="Arial" w:cs="Arial"/>
                <w:bCs/>
                <w:lang w:val="en-US"/>
              </w:rPr>
            </w:pPr>
            <w:r>
              <w:rPr>
                <w:rFonts w:ascii="Arial" w:hAnsi="Arial" w:cs="Arial"/>
                <w:noProof/>
                <w:lang w:val="en-US"/>
              </w:rPr>
              <w:drawing>
                <wp:inline distT="0" distB="0" distL="0" distR="0" wp14:anchorId="56F730B6" wp14:editId="64149460">
                  <wp:extent cx="2743200" cy="1476375"/>
                  <wp:effectExtent l="0" t="0" r="0" b="0"/>
                  <wp:docPr id="125" name="Imagen 125" descr="cata_cone50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ta_cone50cm"/>
                          <pic:cNvPicPr>
                            <a:picLocks noChangeAspect="1" noChangeArrowheads="1"/>
                          </pic:cNvPicPr>
                        </pic:nvPicPr>
                        <pic:blipFill>
                          <a:blip r:embed="rId1327" cstate="print">
                            <a:extLst>
                              <a:ext uri="{28A0092B-C50C-407E-A947-70E740481C1C}">
                                <a14:useLocalDpi xmlns:a14="http://schemas.microsoft.com/office/drawing/2010/main" val="0"/>
                              </a:ext>
                            </a:extLst>
                          </a:blip>
                          <a:srcRect l="21542" t="15529" r="26202" b="34470"/>
                          <a:stretch>
                            <a:fillRect/>
                          </a:stretch>
                        </pic:blipFill>
                        <pic:spPr bwMode="auto">
                          <a:xfrm>
                            <a:off x="0" y="0"/>
                            <a:ext cx="2743200" cy="1476375"/>
                          </a:xfrm>
                          <a:prstGeom prst="rect">
                            <a:avLst/>
                          </a:prstGeom>
                          <a:noFill/>
                          <a:ln>
                            <a:noFill/>
                          </a:ln>
                        </pic:spPr>
                      </pic:pic>
                    </a:graphicData>
                  </a:graphic>
                </wp:inline>
              </w:drawing>
            </w:r>
          </w:p>
        </w:tc>
        <w:tc>
          <w:tcPr>
            <w:tcW w:w="4414" w:type="dxa"/>
            <w:shd w:val="clear" w:color="auto" w:fill="auto"/>
          </w:tcPr>
          <w:p w:rsidR="00B317CC" w:rsidRPr="00F1483F" w:rsidRDefault="00B317CC" w:rsidP="000533C7">
            <w:pPr>
              <w:jc w:val="center"/>
              <w:rPr>
                <w:rFonts w:ascii="Arial" w:hAnsi="Arial" w:cs="Arial"/>
                <w:bCs/>
                <w:lang w:val="en-US"/>
              </w:rPr>
            </w:pPr>
            <w:r>
              <w:rPr>
                <w:rFonts w:ascii="Arial" w:hAnsi="Arial" w:cs="Arial"/>
                <w:noProof/>
                <w:lang w:val="en-US"/>
              </w:rPr>
              <w:drawing>
                <wp:inline distT="0" distB="0" distL="0" distR="0" wp14:anchorId="048D140D" wp14:editId="3346DCCA">
                  <wp:extent cx="2743200" cy="2762250"/>
                  <wp:effectExtent l="0" t="0" r="0" b="0"/>
                  <wp:docPr id="126" name="Imagen 126" descr="Figure_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_1m"/>
                          <pic:cNvPicPr>
                            <a:picLocks noChangeAspect="1" noChangeArrowheads="1"/>
                          </pic:cNvPicPr>
                        </pic:nvPicPr>
                        <pic:blipFill>
                          <a:blip r:embed="rId1328">
                            <a:extLst>
                              <a:ext uri="{28A0092B-C50C-407E-A947-70E740481C1C}">
                                <a14:useLocalDpi xmlns:a14="http://schemas.microsoft.com/office/drawing/2010/main" val="0"/>
                              </a:ext>
                            </a:extLst>
                          </a:blip>
                          <a:srcRect l="17264" t="11714" r="25571" b="11496"/>
                          <a:stretch>
                            <a:fillRect/>
                          </a:stretch>
                        </pic:blipFill>
                        <pic:spPr bwMode="auto">
                          <a:xfrm>
                            <a:off x="0" y="0"/>
                            <a:ext cx="2743200" cy="2762250"/>
                          </a:xfrm>
                          <a:prstGeom prst="rect">
                            <a:avLst/>
                          </a:prstGeom>
                          <a:noFill/>
                          <a:ln>
                            <a:noFill/>
                          </a:ln>
                        </pic:spPr>
                      </pic:pic>
                    </a:graphicData>
                  </a:graphic>
                </wp:inline>
              </w:drawing>
            </w:r>
          </w:p>
        </w:tc>
      </w:tr>
    </w:tbl>
    <w:p w:rsidR="00B317CC" w:rsidRPr="00F1483F" w:rsidRDefault="00B317CC" w:rsidP="00B317CC">
      <w:pPr>
        <w:jc w:val="center"/>
        <w:rPr>
          <w:rFonts w:ascii="Arial" w:hAnsi="Arial" w:cs="Arial"/>
          <w:bCs/>
          <w:i/>
          <w:sz w:val="20"/>
          <w:szCs w:val="20"/>
          <w:lang w:val="en-US"/>
        </w:rPr>
      </w:pPr>
      <w:r>
        <w:rPr>
          <w:noProof/>
          <w:lang w:val="en-US"/>
        </w:rPr>
        <mc:AlternateContent>
          <mc:Choice Requires="wps">
            <w:drawing>
              <wp:anchor distT="0" distB="0" distL="114300" distR="114300" simplePos="0" relativeHeight="251848704" behindDoc="0" locked="0" layoutInCell="1" allowOverlap="1" wp14:anchorId="4090EF59" wp14:editId="133B0B7E">
                <wp:simplePos x="0" y="0"/>
                <wp:positionH relativeFrom="column">
                  <wp:posOffset>897890</wp:posOffset>
                </wp:positionH>
                <wp:positionV relativeFrom="paragraph">
                  <wp:posOffset>48260</wp:posOffset>
                </wp:positionV>
                <wp:extent cx="4285615" cy="245745"/>
                <wp:effectExtent l="0" t="0" r="0" b="0"/>
                <wp:wrapNone/>
                <wp:docPr id="122" name="Cuadro de texto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5615" cy="245745"/>
                        </a:xfrm>
                        <a:prstGeom prst="rect">
                          <a:avLst/>
                        </a:prstGeom>
                        <a:solidFill>
                          <a:sysClr val="window" lastClr="FFFFFF"/>
                        </a:solidFill>
                        <a:ln w="6350">
                          <a:noFill/>
                        </a:ln>
                        <a:effectLst/>
                      </wps:spPr>
                      <wps:txbx>
                        <w:txbxContent>
                          <w:p w:rsidR="00C20C0F" w:rsidRDefault="00C20C0F" w:rsidP="00B317CC">
                            <w:pPr>
                              <w:pStyle w:val="ColorfulList-Accent11"/>
                              <w:ind w:left="360"/>
                            </w:pPr>
                            <w:r>
                              <w:t>(a)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090EF59" id="Cuadro de texto 122" o:spid="_x0000_s1308" type="#_x0000_t202" style="position:absolute;left:0;text-align:left;margin-left:70.7pt;margin-top:3.8pt;width:337.45pt;height:19.3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JELZAIAAMQEAAAOAAAAZHJzL2Uyb0RvYy54bWysVN9v2jAQfp+0/8Hy+xrIoO1QQ8WomCah&#10;tlI79dk4Tonm+DzbkLC/fp+d0LJuT9N4MHe+X77vvsvVdddotlfO12QKPj4bcaaMpLI2zwX/9rj6&#10;cMmZD8KUQpNRBT8oz6/n799dtXamctqSLpVjSGL8rLUF34ZgZ1nm5VY1wp+RVQbGilwjAlT3nJVO&#10;tMje6Cwfjc6zllxpHUnlPW5veiOfp/xVpWS4qyqvAtMFx9tCOl06N/HM5ldi9uyE3dZyeIb4h1c0&#10;ojYo+pLqRgTBdq7+I1VTS0eeqnAmqcmoqmqpUg/oZjx6083DVliVegE43r7A5P9fWnm7v3esLjG7&#10;POfMiAZDWu5E6YiVigXVBWLRBKBa62fwf7CICN1n6hCUmvZ2TfK7h0t24tMHeHhHYLrKNfEfLTME&#10;YhaHF/xRhElcTvLL6fl4ypmELZ9MLybTWDd7jbbOhy+KGhaFgjvMN71A7Nc+9K5Hl1jMk67LVa11&#10;Ug5+qR3bC1ABDCqp5UwLH3BZ8FX6DdV+C9OGtQU//zgdpUqGYr6+lDYxr0o0G+rH/vuWoxS6TZfA&#10;vRgfAdxQeQB+jnoqeitXNXpZ4yH3woF7QAb7FO5wVJpQmgaJsy25n3+7j/6gBKycteBywf2PnXAK&#10;/X01IMun8WQSyZ8UwJpDcaeWzanF7JolAaMxNtfKJEb/oI9i5ah5wtotYlWYhJGoXfBwFJeh3zCs&#10;rVSLRXIC3a0Ia/Ng5ZE2cVKP3ZNwdhhnZNstHVkvZm+m2vtGyA0tdoGqOo08At2jOvAPq5JIM6x1&#10;3MVTPXm9fnzmvwAAAP//AwBQSwMEFAAGAAgAAAAhABcXs8HdAAAACAEAAA8AAABkcnMvZG93bnJl&#10;di54bWxMj81OwzAQhO9IvIO1SNyoExKFKsSpoKInLsWA2qMTL0mEf6LYacPbs5zoaTWa0ew31Wax&#10;hp1wCoN3AtJVAgxd6/XgOgEf77u7NbAQldPKeIcCfjDApr6+qlSp/dm94UnGjlGJC6US0Mc4lpyH&#10;tkerwsqP6Mj78pNVkeTUcT2pM5Vbw++TpOBWDY4+9GrEbY/tt5ytgM/+KGXaZC/meZ8ddvtX6fN5&#10;K8TtzfL0CCziEv/D8IdP6FATU+NnpwMzpPM0p6iAhwIY+eu0yIA1AnK6vK745YD6FwAA//8DAFBL&#10;AQItABQABgAIAAAAIQC2gziS/gAAAOEBAAATAAAAAAAAAAAAAAAAAAAAAABbQ29udGVudF9UeXBl&#10;c10ueG1sUEsBAi0AFAAGAAgAAAAhADj9If/WAAAAlAEAAAsAAAAAAAAAAAAAAAAALwEAAF9yZWxz&#10;Ly5yZWxzUEsBAi0AFAAGAAgAAAAhAErkkQtkAgAAxAQAAA4AAAAAAAAAAAAAAAAALgIAAGRycy9l&#10;Mm9Eb2MueG1sUEsBAi0AFAAGAAgAAAAhABcXs8HdAAAACAEAAA8AAAAAAAAAAAAAAAAAvgQAAGRy&#10;cy9kb3ducmV2LnhtbFBLBQYAAAAABAAEAPMAAADIBQAAAAA=&#10;" fillcolor="window" stroked="f" strokeweight=".5pt">
                <v:path arrowok="t"/>
                <v:textbox>
                  <w:txbxContent>
                    <w:p w:rsidR="00C20C0F" w:rsidRDefault="00C20C0F" w:rsidP="00B317CC">
                      <w:pPr>
                        <w:pStyle w:val="ColorfulList-Accent11"/>
                        <w:ind w:left="360"/>
                      </w:pPr>
                      <w:r>
                        <w:t>(a)                                                                                (b)</w:t>
                      </w:r>
                    </w:p>
                  </w:txbxContent>
                </v:textbox>
              </v:shape>
            </w:pict>
          </mc:Fallback>
        </mc:AlternateContent>
      </w:r>
    </w:p>
    <w:p w:rsidR="00B317CC" w:rsidRPr="00F1483F" w:rsidRDefault="00B317CC" w:rsidP="00B317CC">
      <w:pPr>
        <w:jc w:val="center"/>
        <w:rPr>
          <w:rFonts w:ascii="Arial" w:hAnsi="Arial" w:cs="Arial"/>
          <w:bCs/>
          <w:i/>
          <w:sz w:val="20"/>
          <w:szCs w:val="20"/>
          <w:lang w:val="en-US"/>
        </w:rPr>
      </w:pPr>
    </w:p>
    <w:p w:rsidR="00B317CC" w:rsidRDefault="00B317CC" w:rsidP="00B317CC">
      <w:pPr>
        <w:jc w:val="center"/>
        <w:rPr>
          <w:rFonts w:ascii="Arial" w:hAnsi="Arial" w:cs="Arial"/>
          <w:bCs/>
          <w:i/>
          <w:sz w:val="20"/>
          <w:szCs w:val="20"/>
          <w:lang w:val="en-US"/>
        </w:rPr>
      </w:pPr>
      <w:r w:rsidRPr="00F1483F">
        <w:rPr>
          <w:rFonts w:ascii="Arial" w:hAnsi="Arial" w:cs="Arial"/>
          <w:bCs/>
          <w:i/>
          <w:sz w:val="20"/>
          <w:szCs w:val="20"/>
          <w:lang w:val="en-US"/>
        </w:rPr>
        <w:t>Figure 2. Images from the irradiation simulation performed by Student D (a) Simulated film irradiation with a Cs-137 source, based on the geometry shown in Figure 1a (b) Results of the simulated film irradiation</w:t>
      </w:r>
      <w:r>
        <w:rPr>
          <w:rFonts w:ascii="Arial" w:hAnsi="Arial" w:cs="Arial"/>
          <w:bCs/>
          <w:i/>
          <w:sz w:val="20"/>
          <w:szCs w:val="20"/>
          <w:lang w:val="en-US"/>
        </w:rPr>
        <w:t xml:space="preserve"> (Illustrative purposes)</w:t>
      </w:r>
    </w:p>
    <w:p w:rsidR="00B317CC" w:rsidRPr="00F1483F" w:rsidRDefault="00B317CC" w:rsidP="00B317CC">
      <w:pPr>
        <w:jc w:val="center"/>
        <w:rPr>
          <w:rFonts w:ascii="Arial" w:hAnsi="Arial" w:cs="Arial"/>
          <w:lang w:val="en-US"/>
        </w:rPr>
      </w:pPr>
    </w:p>
    <w:p w:rsidR="00B317CC" w:rsidRPr="00F1483F" w:rsidRDefault="00B317CC" w:rsidP="00B317CC">
      <w:pPr>
        <w:ind w:firstLine="708"/>
        <w:jc w:val="both"/>
        <w:rPr>
          <w:rFonts w:ascii="Arial" w:hAnsi="Arial" w:cs="Arial"/>
          <w:lang w:val="en-US"/>
        </w:rPr>
      </w:pP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Student D is a native German speaker, with a high-level command of written and oral English as a second language. This situation allowed the undergraduate students to practice their oral English skills. Additionally, students were recommended to submit their written materials in English, such as </w:t>
      </w:r>
      <w:r>
        <w:rPr>
          <w:rFonts w:ascii="Arial" w:hAnsi="Arial" w:cs="Arial"/>
          <w:lang w:val="en-US"/>
        </w:rPr>
        <w:t xml:space="preserve">the </w:t>
      </w:r>
      <w:r w:rsidRPr="00F1483F">
        <w:rPr>
          <w:rFonts w:ascii="Arial" w:hAnsi="Arial" w:cs="Arial"/>
          <w:lang w:val="en-US"/>
        </w:rPr>
        <w:t>literature review and research documentation. Although the undergraduate students have varying levels of oral and written English, they were able to perform these actions with help from their supervisors and colleagues.</w:t>
      </w:r>
    </w:p>
    <w:p w:rsidR="00B317CC" w:rsidRPr="00F1483F" w:rsidRDefault="00B317CC" w:rsidP="00B317CC">
      <w:pPr>
        <w:jc w:val="both"/>
        <w:rPr>
          <w:rFonts w:ascii="Arial" w:hAnsi="Arial" w:cs="Arial"/>
          <w:lang w:val="en-US"/>
        </w:rPr>
      </w:pPr>
      <w:r w:rsidRPr="00F1483F">
        <w:rPr>
          <w:rFonts w:ascii="Arial" w:hAnsi="Arial" w:cs="Arial"/>
          <w:lang w:val="en-US"/>
        </w:rPr>
        <w:tab/>
        <w:t xml:space="preserve">One particularity of this project is that it is an ongoing work, and as such was affected by the recent COVID-19 situation. As such, the most recent collaborations, (including the last couple of weeks in </w:t>
      </w:r>
      <w:r>
        <w:rPr>
          <w:rFonts w:ascii="Arial" w:hAnsi="Arial" w:cs="Arial"/>
          <w:lang w:val="en-US"/>
        </w:rPr>
        <w:t xml:space="preserve">Student D’s </w:t>
      </w:r>
      <w:r w:rsidRPr="00F1483F">
        <w:rPr>
          <w:rFonts w:ascii="Arial" w:hAnsi="Arial" w:cs="Arial"/>
          <w:lang w:val="en-US"/>
        </w:rPr>
        <w:t xml:space="preserve">internship) and meetings have been performed via teleconference. Although a lot of the coordination and guidance in this project had been </w:t>
      </w:r>
      <w:r>
        <w:rPr>
          <w:rFonts w:ascii="Arial" w:hAnsi="Arial" w:cs="Arial"/>
          <w:lang w:val="en-US"/>
        </w:rPr>
        <w:t xml:space="preserve">developed </w:t>
      </w:r>
      <w:r w:rsidRPr="00F1483F">
        <w:rPr>
          <w:rFonts w:ascii="Arial" w:hAnsi="Arial" w:cs="Arial"/>
          <w:lang w:val="en-US"/>
        </w:rPr>
        <w:t xml:space="preserve">making use of online resources (such </w:t>
      </w:r>
      <w:r>
        <w:rPr>
          <w:rFonts w:ascii="Arial" w:hAnsi="Arial" w:cs="Arial"/>
          <w:lang w:val="en-US"/>
        </w:rPr>
        <w:t>as online chat, email and cloud files storage</w:t>
      </w:r>
      <w:r w:rsidRPr="00F1483F">
        <w:rPr>
          <w:rFonts w:ascii="Arial" w:hAnsi="Arial" w:cs="Arial"/>
          <w:lang w:val="en-US"/>
        </w:rPr>
        <w:t xml:space="preserve">), the new change in dynamic has brought the opportunity to develop skills in working </w:t>
      </w:r>
      <w:r>
        <w:rPr>
          <w:rFonts w:ascii="Arial" w:hAnsi="Arial" w:cs="Arial"/>
          <w:lang w:val="en-US"/>
        </w:rPr>
        <w:t xml:space="preserve">at a distance </w:t>
      </w:r>
      <w:r w:rsidRPr="00F1483F">
        <w:rPr>
          <w:rFonts w:ascii="Arial" w:hAnsi="Arial" w:cs="Arial"/>
          <w:lang w:val="en-US"/>
        </w:rPr>
        <w:t xml:space="preserve">with future colleagues abroad. </w:t>
      </w:r>
    </w:p>
    <w:p w:rsidR="00B317CC" w:rsidRPr="00F1483F" w:rsidRDefault="00B317CC" w:rsidP="00B317CC">
      <w:pPr>
        <w:ind w:firstLine="708"/>
        <w:jc w:val="both"/>
        <w:rPr>
          <w:rFonts w:ascii="Arial" w:hAnsi="Arial" w:cs="Arial"/>
          <w:lang w:val="en-US"/>
        </w:rPr>
      </w:pPr>
      <w:r w:rsidRPr="00F1483F">
        <w:rPr>
          <w:rFonts w:ascii="Arial" w:hAnsi="Arial" w:cs="Arial"/>
          <w:lang w:val="en-US"/>
        </w:rPr>
        <w:t>In order to determine the scope of the learning experience for the students involved they were asked to provide a text in which they would share their challenges during the project and areas in which they consider the project has helped them gain knowledge. They were instructed to go beyond technical knowledge and focus on their development of soft skills. These texts were mined for concepts and ideas related to the learning experiences of each student.</w:t>
      </w:r>
      <w:r>
        <w:rPr>
          <w:rFonts w:ascii="Arial" w:hAnsi="Arial" w:cs="Arial"/>
          <w:lang w:val="en-US"/>
        </w:rPr>
        <w:t xml:space="preserve"> </w:t>
      </w:r>
      <w:r w:rsidRPr="00F1483F">
        <w:rPr>
          <w:rFonts w:ascii="Arial" w:hAnsi="Arial" w:cs="Arial"/>
          <w:lang w:val="en-US"/>
        </w:rPr>
        <w:t xml:space="preserve">All text analysis was done using QDA Miner Lite (v2.0.6 Provalis Research) to classify the ideas presented by the students according to the different skills categories mentioned. </w:t>
      </w:r>
    </w:p>
    <w:p w:rsidR="00B317CC" w:rsidRDefault="00B317CC" w:rsidP="00B317CC">
      <w:pPr>
        <w:jc w:val="both"/>
        <w:rPr>
          <w:rFonts w:ascii="Arial" w:hAnsi="Arial" w:cs="Arial"/>
          <w:lang w:val="en-US"/>
        </w:rPr>
      </w:pPr>
    </w:p>
    <w:p w:rsidR="00B317CC" w:rsidRPr="00C20C0F" w:rsidRDefault="00B317CC" w:rsidP="00B317CC">
      <w:pPr>
        <w:pStyle w:val="1Titulo"/>
        <w:numPr>
          <w:ilvl w:val="0"/>
          <w:numId w:val="0"/>
        </w:numPr>
        <w:ind w:left="357"/>
        <w:rPr>
          <w:lang w:val="en-US"/>
        </w:rPr>
      </w:pPr>
      <w:bookmarkStart w:id="442" w:name="_Toc50031470"/>
      <w:r w:rsidRPr="00C20C0F">
        <w:rPr>
          <w:lang w:val="en-US"/>
        </w:rPr>
        <w:t>4. Results and discussion</w:t>
      </w:r>
      <w:bookmarkEnd w:id="442"/>
    </w:p>
    <w:p w:rsidR="00B317CC" w:rsidRPr="00F1483F" w:rsidRDefault="00B317CC" w:rsidP="00B317CC">
      <w:pPr>
        <w:ind w:firstLine="708"/>
        <w:jc w:val="both"/>
        <w:rPr>
          <w:rFonts w:ascii="Arial" w:hAnsi="Arial" w:cs="Arial"/>
          <w:lang w:val="en-US"/>
        </w:rPr>
      </w:pP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According to the student testimonials, working on this project has helped them gain a wide variety of skills. In particular, the skills and knowledges mentioned by the students are presented and classified as shown in </w:t>
      </w:r>
      <w:r w:rsidRPr="00F1483F">
        <w:rPr>
          <w:rFonts w:ascii="Arial" w:hAnsi="Arial" w:cs="Arial"/>
          <w:lang w:val="en-US"/>
        </w:rPr>
        <w:fldChar w:fldCharType="begin"/>
      </w:r>
      <w:r w:rsidRPr="00F1483F">
        <w:rPr>
          <w:rFonts w:ascii="Arial" w:hAnsi="Arial" w:cs="Arial"/>
          <w:lang w:val="en-US"/>
        </w:rPr>
        <w:instrText xml:space="preserve"> REF _Ref40376005 \h  \* MERGEFORMAT </w:instrText>
      </w:r>
      <w:r w:rsidRPr="00F1483F">
        <w:rPr>
          <w:rFonts w:ascii="Arial" w:hAnsi="Arial" w:cs="Arial"/>
          <w:lang w:val="en-US"/>
        </w:rPr>
      </w:r>
      <w:r w:rsidRPr="00F1483F">
        <w:rPr>
          <w:rFonts w:ascii="Arial" w:hAnsi="Arial" w:cs="Arial"/>
          <w:lang w:val="en-US"/>
        </w:rPr>
        <w:fldChar w:fldCharType="separate"/>
      </w:r>
      <w:r w:rsidRPr="00F1483F">
        <w:rPr>
          <w:rFonts w:ascii="Arial" w:hAnsi="Arial" w:cs="Arial"/>
          <w:lang w:val="en-US"/>
        </w:rPr>
        <w:t>Table 1</w:t>
      </w:r>
      <w:r w:rsidRPr="00F1483F">
        <w:rPr>
          <w:rFonts w:ascii="Arial" w:hAnsi="Arial" w:cs="Arial"/>
          <w:lang w:val="en-US"/>
        </w:rPr>
        <w:fldChar w:fldCharType="end"/>
      </w:r>
      <w:r w:rsidRPr="00F1483F">
        <w:rPr>
          <w:rFonts w:ascii="Arial" w:hAnsi="Arial" w:cs="Arial"/>
          <w:lang w:val="en-US"/>
        </w:rPr>
        <w:t>. For the purposes of this work, they were grouped into four categories:</w:t>
      </w:r>
    </w:p>
    <w:p w:rsidR="00B317CC" w:rsidRPr="00F1483F" w:rsidRDefault="00B317CC" w:rsidP="001D2A3D">
      <w:pPr>
        <w:numPr>
          <w:ilvl w:val="0"/>
          <w:numId w:val="71"/>
        </w:numPr>
        <w:suppressAutoHyphens/>
        <w:spacing w:after="0" w:line="240" w:lineRule="auto"/>
        <w:jc w:val="both"/>
        <w:rPr>
          <w:rFonts w:ascii="Arial" w:hAnsi="Arial" w:cs="Arial"/>
          <w:lang w:val="en-US"/>
        </w:rPr>
      </w:pPr>
      <w:r w:rsidRPr="00F1483F">
        <w:rPr>
          <w:rFonts w:ascii="Arial" w:hAnsi="Arial" w:cs="Arial"/>
          <w:lang w:val="en-US"/>
        </w:rPr>
        <w:t xml:space="preserve">Technical skills: all skills and knowledge related to the technical aspects of scientific work, such as knowledge of basic concepts in a field, and experiences that extend the topics studied in a physics program. </w:t>
      </w:r>
      <w:r>
        <w:rPr>
          <w:rFonts w:ascii="Arial" w:hAnsi="Arial" w:cs="Arial"/>
          <w:lang w:val="en-US"/>
        </w:rPr>
        <w:t xml:space="preserve">This category also includes critical thinking and problem-solving skills. </w:t>
      </w:r>
    </w:p>
    <w:p w:rsidR="00B317CC" w:rsidRPr="00F1483F" w:rsidRDefault="00B317CC" w:rsidP="001D2A3D">
      <w:pPr>
        <w:numPr>
          <w:ilvl w:val="0"/>
          <w:numId w:val="71"/>
        </w:numPr>
        <w:suppressAutoHyphens/>
        <w:spacing w:after="0" w:line="240" w:lineRule="auto"/>
        <w:jc w:val="both"/>
        <w:rPr>
          <w:rFonts w:ascii="Arial" w:hAnsi="Arial" w:cs="Arial"/>
          <w:lang w:val="en-US"/>
        </w:rPr>
      </w:pPr>
      <w:r w:rsidRPr="00F1483F">
        <w:rPr>
          <w:rFonts w:ascii="Arial" w:hAnsi="Arial" w:cs="Arial"/>
          <w:lang w:val="en-US"/>
        </w:rPr>
        <w:t xml:space="preserve">Organizational skills: all skills related to management of different resources, for example, time management. </w:t>
      </w:r>
    </w:p>
    <w:p w:rsidR="00B317CC" w:rsidRPr="00F1483F" w:rsidRDefault="00B317CC" w:rsidP="001D2A3D">
      <w:pPr>
        <w:numPr>
          <w:ilvl w:val="0"/>
          <w:numId w:val="71"/>
        </w:numPr>
        <w:suppressAutoHyphens/>
        <w:spacing w:after="0" w:line="240" w:lineRule="auto"/>
        <w:jc w:val="both"/>
        <w:rPr>
          <w:rFonts w:ascii="Arial" w:hAnsi="Arial" w:cs="Arial"/>
          <w:lang w:val="en-US"/>
        </w:rPr>
      </w:pPr>
      <w:r w:rsidRPr="00F1483F">
        <w:rPr>
          <w:rFonts w:ascii="Arial" w:hAnsi="Arial" w:cs="Arial"/>
          <w:lang w:val="en-US"/>
        </w:rPr>
        <w:t>Communication skills: related to the expression and discussion of ideas and scientific results, including written and oral communication in Spanish, as well as in English. Additionally,</w:t>
      </w:r>
      <w:r>
        <w:rPr>
          <w:rFonts w:ascii="Arial" w:hAnsi="Arial" w:cs="Arial"/>
          <w:lang w:val="en-US"/>
        </w:rPr>
        <w:t xml:space="preserve"> intercultural </w:t>
      </w:r>
      <w:r w:rsidRPr="00F1483F">
        <w:rPr>
          <w:rFonts w:ascii="Arial" w:hAnsi="Arial" w:cs="Arial"/>
          <w:lang w:val="en-US"/>
        </w:rPr>
        <w:t xml:space="preserve">communication </w:t>
      </w:r>
      <w:r>
        <w:rPr>
          <w:rFonts w:ascii="Arial" w:hAnsi="Arial" w:cs="Arial"/>
          <w:lang w:val="en-US"/>
        </w:rPr>
        <w:t xml:space="preserve">and </w:t>
      </w:r>
      <w:r w:rsidRPr="00F1483F">
        <w:rPr>
          <w:rFonts w:ascii="Arial" w:hAnsi="Arial" w:cs="Arial"/>
          <w:lang w:val="en-US"/>
        </w:rPr>
        <w:t>skills related to interactions via virtual resources</w:t>
      </w:r>
      <w:r>
        <w:rPr>
          <w:rFonts w:ascii="Arial" w:hAnsi="Arial" w:cs="Arial"/>
          <w:lang w:val="en-US"/>
        </w:rPr>
        <w:t xml:space="preserve">. </w:t>
      </w:r>
    </w:p>
    <w:p w:rsidR="00B317CC" w:rsidRDefault="00B317CC" w:rsidP="001D2A3D">
      <w:pPr>
        <w:numPr>
          <w:ilvl w:val="0"/>
          <w:numId w:val="71"/>
        </w:numPr>
        <w:suppressAutoHyphens/>
        <w:spacing w:after="0" w:line="240" w:lineRule="auto"/>
        <w:jc w:val="both"/>
        <w:rPr>
          <w:rFonts w:ascii="Arial" w:hAnsi="Arial" w:cs="Arial"/>
          <w:lang w:val="en-US"/>
        </w:rPr>
      </w:pPr>
      <w:r w:rsidRPr="00D8178E">
        <w:rPr>
          <w:rFonts w:ascii="Arial" w:hAnsi="Arial" w:cs="Arial"/>
          <w:lang w:val="en-US"/>
        </w:rPr>
        <w:t xml:space="preserve">Emotional skills: all skills related to the emotional development of the students, such as, resilience and the development of communal ties between the students. </w:t>
      </w:r>
    </w:p>
    <w:p w:rsidR="00B317CC" w:rsidRPr="00D8178E" w:rsidRDefault="00B317CC" w:rsidP="00B317CC">
      <w:pPr>
        <w:jc w:val="both"/>
        <w:rPr>
          <w:rFonts w:ascii="Arial" w:hAnsi="Arial" w:cs="Arial"/>
          <w:lang w:val="en-US"/>
        </w:rPr>
      </w:pPr>
    </w:p>
    <w:p w:rsidR="00B317CC" w:rsidRPr="00F1483F" w:rsidRDefault="00B317CC" w:rsidP="00B317CC">
      <w:pPr>
        <w:pStyle w:val="Descripcin"/>
        <w:keepNext/>
        <w:jc w:val="center"/>
        <w:rPr>
          <w:rFonts w:ascii="Arial" w:eastAsia="Times New Roman" w:hAnsi="Arial" w:cs="Arial"/>
          <w:bCs w:val="0"/>
          <w:iCs/>
          <w:noProof/>
          <w:sz w:val="20"/>
          <w:szCs w:val="20"/>
          <w:lang w:val="en-US" w:eastAsia="en-GB"/>
        </w:rPr>
      </w:pPr>
      <w:bookmarkStart w:id="443" w:name="_Ref40376005"/>
      <w:r w:rsidRPr="00F1483F">
        <w:rPr>
          <w:rFonts w:ascii="Arial" w:eastAsia="Times New Roman" w:hAnsi="Arial" w:cs="Arial"/>
          <w:noProof/>
          <w:sz w:val="20"/>
          <w:szCs w:val="20"/>
          <w:lang w:val="en-US" w:eastAsia="en-GB"/>
        </w:rPr>
        <w:t xml:space="preserve">Table </w:t>
      </w:r>
      <w:r w:rsidRPr="00F1483F">
        <w:rPr>
          <w:rFonts w:ascii="Arial" w:eastAsia="Times New Roman" w:hAnsi="Arial" w:cs="Arial"/>
          <w:bCs w:val="0"/>
          <w:iCs/>
          <w:noProof/>
          <w:sz w:val="20"/>
          <w:szCs w:val="20"/>
          <w:lang w:val="en-US" w:eastAsia="en-GB"/>
        </w:rPr>
        <w:fldChar w:fldCharType="begin"/>
      </w:r>
      <w:r w:rsidRPr="00F1483F">
        <w:rPr>
          <w:rFonts w:ascii="Arial" w:eastAsia="Times New Roman" w:hAnsi="Arial" w:cs="Arial"/>
          <w:noProof/>
          <w:sz w:val="20"/>
          <w:szCs w:val="20"/>
          <w:lang w:val="en-US" w:eastAsia="en-GB"/>
        </w:rPr>
        <w:instrText xml:space="preserve"> SEQ Table \* ARABIC </w:instrText>
      </w:r>
      <w:r w:rsidRPr="00F1483F">
        <w:rPr>
          <w:rFonts w:ascii="Arial" w:eastAsia="Times New Roman" w:hAnsi="Arial" w:cs="Arial"/>
          <w:bCs w:val="0"/>
          <w:iCs/>
          <w:noProof/>
          <w:sz w:val="20"/>
          <w:szCs w:val="20"/>
          <w:lang w:val="en-US" w:eastAsia="en-GB"/>
        </w:rPr>
        <w:fldChar w:fldCharType="separate"/>
      </w:r>
      <w:r w:rsidRPr="00F1483F">
        <w:rPr>
          <w:rFonts w:ascii="Arial" w:eastAsia="Times New Roman" w:hAnsi="Arial" w:cs="Arial"/>
          <w:noProof/>
          <w:sz w:val="20"/>
          <w:szCs w:val="20"/>
          <w:lang w:val="en-US" w:eastAsia="en-GB"/>
        </w:rPr>
        <w:t>1</w:t>
      </w:r>
      <w:r w:rsidRPr="00F1483F">
        <w:rPr>
          <w:rFonts w:ascii="Arial" w:eastAsia="Times New Roman" w:hAnsi="Arial" w:cs="Arial"/>
          <w:bCs w:val="0"/>
          <w:iCs/>
          <w:noProof/>
          <w:sz w:val="20"/>
          <w:szCs w:val="20"/>
          <w:lang w:val="en-US" w:eastAsia="en-GB"/>
        </w:rPr>
        <w:fldChar w:fldCharType="end"/>
      </w:r>
      <w:bookmarkEnd w:id="443"/>
      <w:r w:rsidRPr="00F1483F">
        <w:rPr>
          <w:rFonts w:ascii="Arial" w:eastAsia="Times New Roman" w:hAnsi="Arial" w:cs="Arial"/>
          <w:noProof/>
          <w:sz w:val="20"/>
          <w:szCs w:val="20"/>
          <w:lang w:val="en-US" w:eastAsia="en-GB"/>
        </w:rPr>
        <w:t xml:space="preserve"> Skills developed during this research work, as reported by the students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60"/>
        <w:gridCol w:w="2160"/>
        <w:gridCol w:w="2160"/>
        <w:gridCol w:w="2160"/>
      </w:tblGrid>
      <w:tr w:rsidR="00B317CC" w:rsidRPr="00F1483F" w:rsidTr="000533C7">
        <w:trPr>
          <w:jc w:val="center"/>
        </w:trPr>
        <w:tc>
          <w:tcPr>
            <w:tcW w:w="2160" w:type="dxa"/>
            <w:tcBorders>
              <w:bottom w:val="nil"/>
            </w:tcBorders>
            <w:vAlign w:val="center"/>
          </w:tcPr>
          <w:p w:rsidR="00B317CC" w:rsidRPr="00F1483F" w:rsidRDefault="00B317CC" w:rsidP="000533C7">
            <w:pPr>
              <w:keepLines/>
              <w:spacing w:before="60" w:after="60"/>
              <w:jc w:val="center"/>
              <w:rPr>
                <w:rFonts w:ascii="Arial" w:eastAsia="Times New Roman" w:hAnsi="Arial"/>
                <w:b/>
                <w:sz w:val="20"/>
                <w:szCs w:val="20"/>
                <w:lang w:val="en-US" w:eastAsia="es-ES"/>
              </w:rPr>
            </w:pPr>
            <w:r w:rsidRPr="00F1483F">
              <w:rPr>
                <w:rFonts w:ascii="Arial" w:eastAsia="Times New Roman" w:hAnsi="Arial"/>
                <w:b/>
                <w:sz w:val="20"/>
                <w:szCs w:val="20"/>
                <w:lang w:val="en-US" w:eastAsia="es-ES"/>
              </w:rPr>
              <w:t>Technical Skills</w:t>
            </w:r>
          </w:p>
        </w:tc>
        <w:tc>
          <w:tcPr>
            <w:tcW w:w="2160" w:type="dxa"/>
            <w:tcBorders>
              <w:bottom w:val="nil"/>
            </w:tcBorders>
            <w:vAlign w:val="center"/>
          </w:tcPr>
          <w:p w:rsidR="00B317CC" w:rsidRPr="00F1483F" w:rsidRDefault="00B317CC" w:rsidP="000533C7">
            <w:pPr>
              <w:keepLines/>
              <w:spacing w:before="60" w:after="60"/>
              <w:jc w:val="center"/>
              <w:rPr>
                <w:rFonts w:ascii="Arial" w:eastAsia="Times New Roman" w:hAnsi="Arial"/>
                <w:b/>
                <w:sz w:val="20"/>
                <w:szCs w:val="20"/>
                <w:lang w:val="en-US" w:eastAsia="es-ES"/>
              </w:rPr>
            </w:pPr>
            <w:r w:rsidRPr="00F1483F">
              <w:rPr>
                <w:rFonts w:ascii="Arial" w:eastAsia="Times New Roman" w:hAnsi="Arial"/>
                <w:b/>
                <w:sz w:val="20"/>
                <w:szCs w:val="20"/>
                <w:lang w:val="en-US" w:eastAsia="es-ES"/>
              </w:rPr>
              <w:t>Organizational Skills</w:t>
            </w:r>
          </w:p>
        </w:tc>
        <w:tc>
          <w:tcPr>
            <w:tcW w:w="2160" w:type="dxa"/>
            <w:tcBorders>
              <w:bottom w:val="nil"/>
            </w:tcBorders>
            <w:vAlign w:val="center"/>
          </w:tcPr>
          <w:p w:rsidR="00B317CC" w:rsidRPr="00F1483F" w:rsidRDefault="00B317CC" w:rsidP="000533C7">
            <w:pPr>
              <w:keepLines/>
              <w:spacing w:before="60" w:after="60"/>
              <w:jc w:val="center"/>
              <w:rPr>
                <w:rFonts w:ascii="Arial" w:eastAsia="Times New Roman" w:hAnsi="Arial"/>
                <w:b/>
                <w:sz w:val="20"/>
                <w:szCs w:val="20"/>
                <w:lang w:val="en-US" w:eastAsia="es-ES"/>
              </w:rPr>
            </w:pPr>
            <w:r w:rsidRPr="00F1483F">
              <w:rPr>
                <w:rFonts w:ascii="Arial" w:eastAsia="Times New Roman" w:hAnsi="Arial"/>
                <w:b/>
                <w:sz w:val="20"/>
                <w:szCs w:val="20"/>
                <w:lang w:val="en-US" w:eastAsia="es-ES"/>
              </w:rPr>
              <w:t>Communication</w:t>
            </w:r>
          </w:p>
        </w:tc>
        <w:tc>
          <w:tcPr>
            <w:tcW w:w="2160" w:type="dxa"/>
            <w:tcBorders>
              <w:bottom w:val="nil"/>
            </w:tcBorders>
            <w:vAlign w:val="center"/>
          </w:tcPr>
          <w:p w:rsidR="00B317CC" w:rsidRPr="00F1483F" w:rsidRDefault="00B317CC" w:rsidP="000533C7">
            <w:pPr>
              <w:keepLines/>
              <w:spacing w:before="60" w:after="60"/>
              <w:jc w:val="center"/>
              <w:rPr>
                <w:rFonts w:ascii="Arial" w:eastAsia="Times New Roman" w:hAnsi="Arial"/>
                <w:b/>
                <w:sz w:val="20"/>
                <w:szCs w:val="20"/>
                <w:lang w:val="en-US" w:eastAsia="es-ES"/>
              </w:rPr>
            </w:pPr>
            <w:r w:rsidRPr="00F1483F">
              <w:rPr>
                <w:rFonts w:ascii="Arial" w:eastAsia="Times New Roman" w:hAnsi="Arial"/>
                <w:b/>
                <w:sz w:val="20"/>
                <w:szCs w:val="20"/>
                <w:lang w:val="en-US" w:eastAsia="es-ES"/>
              </w:rPr>
              <w:t>Emotional Skills</w:t>
            </w:r>
          </w:p>
        </w:tc>
      </w:tr>
      <w:tr w:rsidR="00B317CC" w:rsidRPr="00776774" w:rsidTr="000533C7">
        <w:trPr>
          <w:jc w:val="center"/>
        </w:trPr>
        <w:tc>
          <w:tcPr>
            <w:tcW w:w="2160" w:type="dxa"/>
            <w:tcBorders>
              <w:bottom w:val="nil"/>
            </w:tcBorders>
          </w:tcPr>
          <w:p w:rsidR="00B317CC" w:rsidRPr="00F1483F" w:rsidRDefault="00B317CC" w:rsidP="000533C7">
            <w:pPr>
              <w:keepLines/>
              <w:rPr>
                <w:rFonts w:ascii="Arial" w:eastAsia="Times New Roman" w:hAnsi="Arial"/>
                <w:sz w:val="20"/>
                <w:szCs w:val="20"/>
                <w:lang w:val="en-US" w:eastAsia="es-ES"/>
              </w:rPr>
            </w:pPr>
            <w:r w:rsidRPr="00F1483F">
              <w:rPr>
                <w:rFonts w:ascii="Arial" w:eastAsia="Times New Roman" w:hAnsi="Arial"/>
                <w:sz w:val="20"/>
                <w:szCs w:val="20"/>
                <w:lang w:val="en-US" w:eastAsia="es-ES"/>
              </w:rPr>
              <w:t>Programming</w:t>
            </w:r>
          </w:p>
          <w:p w:rsidR="00B317CC" w:rsidRPr="00F1483F" w:rsidRDefault="00B317CC" w:rsidP="000533C7">
            <w:pPr>
              <w:keepLines/>
              <w:rPr>
                <w:rFonts w:ascii="Arial" w:eastAsia="Times New Roman" w:hAnsi="Arial"/>
                <w:sz w:val="20"/>
                <w:szCs w:val="20"/>
                <w:lang w:val="en-US" w:eastAsia="es-ES"/>
              </w:rPr>
            </w:pPr>
          </w:p>
          <w:p w:rsidR="00B317CC" w:rsidRPr="00F1483F" w:rsidRDefault="00B317CC" w:rsidP="000533C7">
            <w:pPr>
              <w:keepLines/>
              <w:rPr>
                <w:rFonts w:ascii="Arial" w:eastAsia="Times New Roman" w:hAnsi="Arial"/>
                <w:sz w:val="20"/>
                <w:szCs w:val="20"/>
                <w:lang w:val="en-US" w:eastAsia="es-ES"/>
              </w:rPr>
            </w:pPr>
            <w:r w:rsidRPr="00F1483F">
              <w:rPr>
                <w:rFonts w:ascii="Arial" w:eastAsia="Times New Roman" w:hAnsi="Arial"/>
                <w:sz w:val="20"/>
                <w:szCs w:val="20"/>
                <w:lang w:val="en-US" w:eastAsia="es-ES"/>
              </w:rPr>
              <w:t>Medical Physics knowledge</w:t>
            </w:r>
          </w:p>
          <w:p w:rsidR="00B317CC" w:rsidRDefault="00B317CC" w:rsidP="000533C7">
            <w:pPr>
              <w:keepLines/>
              <w:rPr>
                <w:rFonts w:ascii="Arial" w:eastAsia="Times New Roman" w:hAnsi="Arial"/>
                <w:sz w:val="20"/>
                <w:szCs w:val="20"/>
                <w:lang w:val="en-US" w:eastAsia="es-ES"/>
              </w:rPr>
            </w:pPr>
          </w:p>
          <w:p w:rsidR="00B317CC" w:rsidRDefault="00B317CC" w:rsidP="000533C7">
            <w:pPr>
              <w:keepLines/>
              <w:rPr>
                <w:rFonts w:ascii="Arial" w:eastAsia="Times New Roman" w:hAnsi="Arial"/>
                <w:sz w:val="20"/>
                <w:szCs w:val="20"/>
                <w:lang w:val="en-US" w:eastAsia="es-ES"/>
              </w:rPr>
            </w:pPr>
            <w:r>
              <w:rPr>
                <w:rFonts w:ascii="Arial" w:eastAsia="Times New Roman" w:hAnsi="Arial"/>
                <w:sz w:val="20"/>
                <w:szCs w:val="20"/>
                <w:lang w:val="en-US" w:eastAsia="es-ES"/>
              </w:rPr>
              <w:t>Computational Physics knowledge</w:t>
            </w:r>
          </w:p>
          <w:p w:rsidR="00B317CC" w:rsidRPr="00F1483F" w:rsidRDefault="00B317CC" w:rsidP="000533C7">
            <w:pPr>
              <w:keepLines/>
              <w:rPr>
                <w:rFonts w:ascii="Arial" w:eastAsia="Times New Roman" w:hAnsi="Arial"/>
                <w:sz w:val="20"/>
                <w:szCs w:val="20"/>
                <w:lang w:val="en-US" w:eastAsia="es-ES"/>
              </w:rPr>
            </w:pPr>
          </w:p>
          <w:p w:rsidR="00B317CC" w:rsidRPr="00F1483F" w:rsidRDefault="00B317CC" w:rsidP="000533C7">
            <w:pPr>
              <w:keepLines/>
              <w:rPr>
                <w:rFonts w:ascii="Arial" w:eastAsia="Times New Roman" w:hAnsi="Arial"/>
                <w:sz w:val="20"/>
                <w:szCs w:val="20"/>
                <w:lang w:val="en-US" w:eastAsia="es-ES"/>
              </w:rPr>
            </w:pPr>
            <w:r w:rsidRPr="00F1483F">
              <w:rPr>
                <w:rFonts w:ascii="Arial" w:eastAsia="Times New Roman" w:hAnsi="Arial"/>
                <w:sz w:val="20"/>
                <w:szCs w:val="20"/>
                <w:lang w:val="en-US" w:eastAsia="es-ES"/>
              </w:rPr>
              <w:t>Extension of coursework</w:t>
            </w:r>
          </w:p>
          <w:p w:rsidR="00B317CC" w:rsidRPr="00F1483F" w:rsidRDefault="00B317CC" w:rsidP="000533C7">
            <w:pPr>
              <w:keepLines/>
              <w:rPr>
                <w:rFonts w:ascii="Arial" w:eastAsia="Times New Roman" w:hAnsi="Arial"/>
                <w:sz w:val="20"/>
                <w:szCs w:val="20"/>
                <w:lang w:val="en-US" w:eastAsia="es-ES"/>
              </w:rPr>
            </w:pPr>
          </w:p>
          <w:p w:rsidR="00B317CC" w:rsidRPr="00F1483F" w:rsidRDefault="00B317CC" w:rsidP="000533C7">
            <w:pPr>
              <w:keepLines/>
              <w:rPr>
                <w:rFonts w:ascii="Arial" w:eastAsia="Times New Roman" w:hAnsi="Arial"/>
                <w:sz w:val="20"/>
                <w:szCs w:val="20"/>
                <w:lang w:val="en-US" w:eastAsia="es-ES"/>
              </w:rPr>
            </w:pPr>
            <w:r w:rsidRPr="00F1483F">
              <w:rPr>
                <w:rFonts w:ascii="Arial" w:eastAsia="Times New Roman" w:hAnsi="Arial"/>
                <w:sz w:val="20"/>
                <w:szCs w:val="20"/>
                <w:lang w:val="en-US" w:eastAsia="es-ES"/>
              </w:rPr>
              <w:t>Problem solving / Critical thinking</w:t>
            </w:r>
          </w:p>
        </w:tc>
        <w:tc>
          <w:tcPr>
            <w:tcW w:w="2160" w:type="dxa"/>
            <w:tcBorders>
              <w:bottom w:val="nil"/>
            </w:tcBorders>
          </w:tcPr>
          <w:p w:rsidR="00B317CC" w:rsidRPr="00F1483F" w:rsidRDefault="00B317CC" w:rsidP="000533C7">
            <w:pPr>
              <w:keepLines/>
              <w:spacing w:after="240"/>
              <w:rPr>
                <w:rFonts w:ascii="Arial" w:eastAsia="Times New Roman" w:hAnsi="Arial"/>
                <w:sz w:val="20"/>
                <w:szCs w:val="20"/>
                <w:lang w:val="en-US" w:eastAsia="es-ES"/>
              </w:rPr>
            </w:pPr>
            <w:r w:rsidRPr="00F1483F">
              <w:rPr>
                <w:rFonts w:ascii="Arial" w:eastAsia="Times New Roman" w:hAnsi="Arial"/>
                <w:sz w:val="20"/>
                <w:szCs w:val="20"/>
                <w:lang w:val="en-US" w:eastAsia="es-ES"/>
              </w:rPr>
              <w:t>Time management</w:t>
            </w:r>
          </w:p>
          <w:p w:rsidR="00B317CC" w:rsidRPr="00F1483F" w:rsidRDefault="00B317CC" w:rsidP="000533C7">
            <w:pPr>
              <w:keepLines/>
              <w:spacing w:after="240"/>
              <w:rPr>
                <w:rFonts w:ascii="Arial" w:eastAsia="Times New Roman" w:hAnsi="Arial"/>
                <w:sz w:val="20"/>
                <w:szCs w:val="20"/>
                <w:lang w:val="en-US" w:eastAsia="es-ES"/>
              </w:rPr>
            </w:pPr>
            <w:r w:rsidRPr="00F1483F">
              <w:rPr>
                <w:rFonts w:ascii="Arial" w:eastAsia="Times New Roman" w:hAnsi="Arial"/>
                <w:sz w:val="20"/>
                <w:szCs w:val="20"/>
                <w:lang w:val="en-US" w:eastAsia="es-ES"/>
              </w:rPr>
              <w:t>Human resource management</w:t>
            </w:r>
          </w:p>
          <w:p w:rsidR="00B317CC" w:rsidRDefault="00B317CC" w:rsidP="000533C7">
            <w:pPr>
              <w:keepLines/>
              <w:spacing w:after="240"/>
              <w:rPr>
                <w:rFonts w:ascii="Arial" w:eastAsia="Times New Roman" w:hAnsi="Arial"/>
                <w:sz w:val="20"/>
                <w:szCs w:val="20"/>
                <w:lang w:val="en-US" w:eastAsia="es-ES"/>
              </w:rPr>
            </w:pPr>
            <w:r w:rsidRPr="00F1483F">
              <w:rPr>
                <w:rFonts w:ascii="Arial" w:eastAsia="Times New Roman" w:hAnsi="Arial"/>
                <w:sz w:val="20"/>
                <w:szCs w:val="20"/>
                <w:lang w:val="en-US" w:eastAsia="es-ES"/>
              </w:rPr>
              <w:t>Literature research management</w:t>
            </w:r>
          </w:p>
          <w:p w:rsidR="00B317CC" w:rsidRPr="00F1483F" w:rsidRDefault="00B317CC" w:rsidP="000533C7">
            <w:pPr>
              <w:keepLines/>
              <w:spacing w:after="240"/>
              <w:rPr>
                <w:rFonts w:ascii="Arial" w:eastAsia="Times New Roman" w:hAnsi="Arial"/>
                <w:sz w:val="20"/>
                <w:szCs w:val="20"/>
                <w:lang w:val="en-US" w:eastAsia="es-ES"/>
              </w:rPr>
            </w:pPr>
            <w:r>
              <w:rPr>
                <w:rFonts w:ascii="Arial" w:eastAsia="Times New Roman" w:hAnsi="Arial"/>
                <w:sz w:val="20"/>
                <w:szCs w:val="20"/>
                <w:lang w:val="en-US" w:eastAsia="es-ES"/>
              </w:rPr>
              <w:t>Record keeping</w:t>
            </w:r>
          </w:p>
        </w:tc>
        <w:tc>
          <w:tcPr>
            <w:tcW w:w="2160" w:type="dxa"/>
            <w:tcBorders>
              <w:bottom w:val="nil"/>
            </w:tcBorders>
          </w:tcPr>
          <w:p w:rsidR="00B317CC" w:rsidRPr="00F1483F" w:rsidRDefault="00B317CC" w:rsidP="000533C7">
            <w:pPr>
              <w:keepLines/>
              <w:rPr>
                <w:rFonts w:ascii="Arial" w:eastAsia="Times New Roman" w:hAnsi="Arial"/>
                <w:sz w:val="20"/>
                <w:szCs w:val="20"/>
                <w:lang w:val="en-US" w:eastAsia="es-ES"/>
              </w:rPr>
            </w:pPr>
            <w:r w:rsidRPr="00F1483F">
              <w:rPr>
                <w:rFonts w:ascii="Arial" w:eastAsia="Times New Roman" w:hAnsi="Arial"/>
                <w:sz w:val="20"/>
                <w:szCs w:val="20"/>
                <w:lang w:val="en-US" w:eastAsia="es-ES"/>
              </w:rPr>
              <w:t>Written communication (Spanish)</w:t>
            </w:r>
          </w:p>
          <w:p w:rsidR="00B317CC" w:rsidRPr="00F1483F" w:rsidRDefault="00B317CC" w:rsidP="000533C7">
            <w:pPr>
              <w:keepLines/>
              <w:rPr>
                <w:rFonts w:ascii="Arial" w:eastAsia="Times New Roman" w:hAnsi="Arial"/>
                <w:sz w:val="20"/>
                <w:szCs w:val="20"/>
                <w:lang w:val="en-US" w:eastAsia="es-ES"/>
              </w:rPr>
            </w:pPr>
          </w:p>
          <w:p w:rsidR="00B317CC" w:rsidRPr="00F1483F" w:rsidRDefault="00B317CC" w:rsidP="000533C7">
            <w:pPr>
              <w:keepLines/>
              <w:rPr>
                <w:rFonts w:ascii="Arial" w:eastAsia="Times New Roman" w:hAnsi="Arial"/>
                <w:sz w:val="20"/>
                <w:szCs w:val="20"/>
                <w:lang w:val="en-US" w:eastAsia="es-ES"/>
              </w:rPr>
            </w:pPr>
            <w:r w:rsidRPr="00F1483F">
              <w:rPr>
                <w:rFonts w:ascii="Arial" w:eastAsia="Times New Roman" w:hAnsi="Arial"/>
                <w:sz w:val="20"/>
                <w:szCs w:val="20"/>
                <w:lang w:val="en-US" w:eastAsia="es-ES"/>
              </w:rPr>
              <w:t>Oral communication (Spanish)</w:t>
            </w:r>
          </w:p>
          <w:p w:rsidR="00B317CC" w:rsidRPr="00F1483F" w:rsidRDefault="00B317CC" w:rsidP="000533C7">
            <w:pPr>
              <w:keepLines/>
              <w:rPr>
                <w:rFonts w:ascii="Arial" w:eastAsia="Times New Roman" w:hAnsi="Arial"/>
                <w:sz w:val="20"/>
                <w:szCs w:val="20"/>
                <w:lang w:val="en-US" w:eastAsia="es-ES"/>
              </w:rPr>
            </w:pPr>
          </w:p>
          <w:p w:rsidR="00B317CC" w:rsidRPr="00F1483F" w:rsidRDefault="00B317CC" w:rsidP="000533C7">
            <w:pPr>
              <w:keepLines/>
              <w:rPr>
                <w:rFonts w:ascii="Arial" w:eastAsia="Times New Roman" w:hAnsi="Arial"/>
                <w:sz w:val="20"/>
                <w:szCs w:val="20"/>
                <w:lang w:val="en-US" w:eastAsia="es-ES"/>
              </w:rPr>
            </w:pPr>
            <w:r w:rsidRPr="00F1483F">
              <w:rPr>
                <w:rFonts w:ascii="Arial" w:eastAsia="Times New Roman" w:hAnsi="Arial"/>
                <w:sz w:val="20"/>
                <w:szCs w:val="20"/>
                <w:lang w:val="en-US" w:eastAsia="es-ES"/>
              </w:rPr>
              <w:t>Written communication (English)</w:t>
            </w:r>
          </w:p>
          <w:p w:rsidR="00B317CC" w:rsidRPr="00F1483F" w:rsidRDefault="00B317CC" w:rsidP="000533C7">
            <w:pPr>
              <w:keepLines/>
              <w:rPr>
                <w:rFonts w:ascii="Arial" w:eastAsia="Times New Roman" w:hAnsi="Arial"/>
                <w:sz w:val="20"/>
                <w:szCs w:val="20"/>
                <w:lang w:val="en-US" w:eastAsia="es-ES"/>
              </w:rPr>
            </w:pPr>
          </w:p>
          <w:p w:rsidR="00B317CC" w:rsidRPr="00F1483F" w:rsidRDefault="00B317CC" w:rsidP="000533C7">
            <w:pPr>
              <w:keepLines/>
              <w:rPr>
                <w:rFonts w:ascii="Arial" w:eastAsia="Times New Roman" w:hAnsi="Arial"/>
                <w:sz w:val="20"/>
                <w:szCs w:val="20"/>
                <w:lang w:val="en-US" w:eastAsia="es-ES"/>
              </w:rPr>
            </w:pPr>
            <w:r w:rsidRPr="00F1483F">
              <w:rPr>
                <w:rFonts w:ascii="Arial" w:eastAsia="Times New Roman" w:hAnsi="Arial"/>
                <w:sz w:val="20"/>
                <w:szCs w:val="20"/>
                <w:lang w:val="en-US" w:eastAsia="es-ES"/>
              </w:rPr>
              <w:t>Oral communication (English)</w:t>
            </w:r>
          </w:p>
          <w:p w:rsidR="00B317CC" w:rsidRPr="00F1483F" w:rsidRDefault="00B317CC" w:rsidP="000533C7">
            <w:pPr>
              <w:keepLines/>
              <w:rPr>
                <w:rFonts w:ascii="Arial" w:eastAsia="Times New Roman" w:hAnsi="Arial"/>
                <w:sz w:val="20"/>
                <w:szCs w:val="20"/>
                <w:lang w:val="en-US" w:eastAsia="es-ES"/>
              </w:rPr>
            </w:pPr>
          </w:p>
          <w:p w:rsidR="00B317CC" w:rsidRDefault="00B317CC" w:rsidP="000533C7">
            <w:pPr>
              <w:keepLines/>
              <w:rPr>
                <w:rFonts w:ascii="Arial" w:eastAsia="Times New Roman" w:hAnsi="Arial"/>
                <w:sz w:val="20"/>
                <w:szCs w:val="20"/>
                <w:lang w:val="en-US" w:eastAsia="es-ES"/>
              </w:rPr>
            </w:pPr>
            <w:r w:rsidRPr="00F1483F">
              <w:rPr>
                <w:rFonts w:ascii="Arial" w:eastAsia="Times New Roman" w:hAnsi="Arial"/>
                <w:sz w:val="20"/>
                <w:szCs w:val="20"/>
                <w:lang w:val="en-US" w:eastAsia="es-ES"/>
              </w:rPr>
              <w:t>Virtual communication</w:t>
            </w:r>
          </w:p>
          <w:p w:rsidR="00B317CC" w:rsidRDefault="00B317CC" w:rsidP="000533C7">
            <w:pPr>
              <w:keepLines/>
              <w:rPr>
                <w:rFonts w:ascii="Arial" w:eastAsia="Times New Roman" w:hAnsi="Arial"/>
                <w:sz w:val="20"/>
                <w:szCs w:val="20"/>
                <w:lang w:val="en-US" w:eastAsia="es-ES"/>
              </w:rPr>
            </w:pPr>
          </w:p>
          <w:p w:rsidR="00B317CC" w:rsidRPr="00F1483F" w:rsidRDefault="00B317CC" w:rsidP="000533C7">
            <w:pPr>
              <w:keepLines/>
              <w:rPr>
                <w:rFonts w:ascii="Arial" w:eastAsia="Times New Roman" w:hAnsi="Arial"/>
                <w:sz w:val="20"/>
                <w:szCs w:val="20"/>
                <w:lang w:val="en-US" w:eastAsia="es-ES"/>
              </w:rPr>
            </w:pPr>
            <w:r>
              <w:rPr>
                <w:rFonts w:ascii="Arial" w:eastAsia="Times New Roman" w:hAnsi="Arial"/>
                <w:sz w:val="20"/>
                <w:szCs w:val="20"/>
                <w:lang w:val="en-US" w:eastAsia="es-ES"/>
              </w:rPr>
              <w:t>Intercultural communication</w:t>
            </w:r>
          </w:p>
        </w:tc>
        <w:tc>
          <w:tcPr>
            <w:tcW w:w="2160" w:type="dxa"/>
            <w:tcBorders>
              <w:bottom w:val="nil"/>
            </w:tcBorders>
          </w:tcPr>
          <w:p w:rsidR="00B317CC" w:rsidRPr="00F1483F" w:rsidRDefault="00B317CC" w:rsidP="000533C7">
            <w:pPr>
              <w:keepLines/>
              <w:rPr>
                <w:rFonts w:ascii="Arial" w:eastAsia="Times New Roman" w:hAnsi="Arial"/>
                <w:sz w:val="20"/>
                <w:szCs w:val="20"/>
                <w:lang w:val="en-US" w:eastAsia="es-ES"/>
              </w:rPr>
            </w:pPr>
            <w:r w:rsidRPr="00F1483F">
              <w:rPr>
                <w:rFonts w:ascii="Arial" w:eastAsia="Times New Roman" w:hAnsi="Arial"/>
                <w:sz w:val="20"/>
                <w:szCs w:val="20"/>
                <w:lang w:val="en-US" w:eastAsia="es-ES"/>
              </w:rPr>
              <w:t>Resilience</w:t>
            </w:r>
          </w:p>
          <w:p w:rsidR="00B317CC" w:rsidRPr="00F1483F" w:rsidRDefault="00B317CC" w:rsidP="000533C7">
            <w:pPr>
              <w:keepLines/>
              <w:rPr>
                <w:rFonts w:ascii="Arial" w:eastAsia="Times New Roman" w:hAnsi="Arial"/>
                <w:sz w:val="20"/>
                <w:szCs w:val="20"/>
                <w:lang w:val="en-US" w:eastAsia="es-ES"/>
              </w:rPr>
            </w:pPr>
          </w:p>
          <w:p w:rsidR="00B317CC" w:rsidRPr="00F1483F" w:rsidRDefault="00B317CC" w:rsidP="000533C7">
            <w:pPr>
              <w:keepLines/>
              <w:rPr>
                <w:rFonts w:ascii="Arial" w:eastAsia="Times New Roman" w:hAnsi="Arial"/>
                <w:sz w:val="20"/>
                <w:szCs w:val="20"/>
                <w:lang w:val="en-US" w:eastAsia="es-ES"/>
              </w:rPr>
            </w:pPr>
            <w:r w:rsidRPr="00F1483F">
              <w:rPr>
                <w:rFonts w:ascii="Arial" w:eastAsia="Times New Roman" w:hAnsi="Arial"/>
                <w:sz w:val="20"/>
                <w:szCs w:val="20"/>
                <w:lang w:val="en-US" w:eastAsia="es-ES"/>
              </w:rPr>
              <w:t>Creativity</w:t>
            </w:r>
          </w:p>
          <w:p w:rsidR="00B317CC" w:rsidRPr="00F1483F" w:rsidRDefault="00B317CC" w:rsidP="000533C7">
            <w:pPr>
              <w:keepLines/>
              <w:rPr>
                <w:rFonts w:ascii="Arial" w:eastAsia="Times New Roman" w:hAnsi="Arial"/>
                <w:sz w:val="20"/>
                <w:szCs w:val="20"/>
                <w:lang w:val="en-US" w:eastAsia="es-ES"/>
              </w:rPr>
            </w:pPr>
          </w:p>
          <w:p w:rsidR="00B317CC" w:rsidRPr="00F1483F" w:rsidRDefault="00B317CC" w:rsidP="000533C7">
            <w:pPr>
              <w:keepLines/>
              <w:rPr>
                <w:rFonts w:ascii="Arial" w:eastAsia="Times New Roman" w:hAnsi="Arial"/>
                <w:sz w:val="20"/>
                <w:szCs w:val="20"/>
                <w:lang w:val="en-US" w:eastAsia="es-ES"/>
              </w:rPr>
            </w:pPr>
            <w:r w:rsidRPr="00F1483F">
              <w:rPr>
                <w:rFonts w:ascii="Arial" w:eastAsia="Times New Roman" w:hAnsi="Arial"/>
                <w:sz w:val="20"/>
                <w:szCs w:val="20"/>
                <w:lang w:val="en-US" w:eastAsia="es-ES"/>
              </w:rPr>
              <w:t>Self-confidence</w:t>
            </w:r>
          </w:p>
          <w:p w:rsidR="00B317CC" w:rsidRPr="00F1483F" w:rsidRDefault="00B317CC" w:rsidP="000533C7">
            <w:pPr>
              <w:keepLines/>
              <w:rPr>
                <w:rFonts w:ascii="Arial" w:eastAsia="Times New Roman" w:hAnsi="Arial"/>
                <w:sz w:val="20"/>
                <w:szCs w:val="20"/>
                <w:lang w:val="en-US" w:eastAsia="es-ES"/>
              </w:rPr>
            </w:pPr>
          </w:p>
          <w:p w:rsidR="00B317CC" w:rsidRPr="00F1483F" w:rsidRDefault="00B317CC" w:rsidP="000533C7">
            <w:pPr>
              <w:keepLines/>
              <w:rPr>
                <w:rFonts w:ascii="Arial" w:eastAsia="Times New Roman" w:hAnsi="Arial"/>
                <w:sz w:val="20"/>
                <w:szCs w:val="20"/>
                <w:lang w:val="en-US" w:eastAsia="es-ES"/>
              </w:rPr>
            </w:pPr>
            <w:r w:rsidRPr="00F1483F">
              <w:rPr>
                <w:rFonts w:ascii="Arial" w:eastAsia="Times New Roman" w:hAnsi="Arial"/>
                <w:sz w:val="20"/>
                <w:szCs w:val="20"/>
                <w:lang w:val="en-US" w:eastAsia="es-ES"/>
              </w:rPr>
              <w:t>Stress management</w:t>
            </w:r>
          </w:p>
          <w:p w:rsidR="00B317CC" w:rsidRPr="00F1483F" w:rsidRDefault="00B317CC" w:rsidP="000533C7">
            <w:pPr>
              <w:keepLines/>
              <w:rPr>
                <w:rFonts w:ascii="Arial" w:eastAsia="Times New Roman" w:hAnsi="Arial"/>
                <w:sz w:val="20"/>
                <w:szCs w:val="20"/>
                <w:lang w:val="en-US" w:eastAsia="es-ES"/>
              </w:rPr>
            </w:pPr>
          </w:p>
          <w:p w:rsidR="00B317CC" w:rsidRPr="00F1483F" w:rsidRDefault="00B317CC" w:rsidP="000533C7">
            <w:pPr>
              <w:keepLines/>
              <w:rPr>
                <w:rFonts w:ascii="Arial" w:eastAsia="Times New Roman" w:hAnsi="Arial"/>
                <w:sz w:val="20"/>
                <w:szCs w:val="20"/>
                <w:lang w:val="en-US" w:eastAsia="es-ES"/>
              </w:rPr>
            </w:pPr>
            <w:r w:rsidRPr="00F1483F">
              <w:rPr>
                <w:rFonts w:ascii="Arial" w:eastAsia="Times New Roman" w:hAnsi="Arial"/>
                <w:sz w:val="20"/>
                <w:szCs w:val="20"/>
                <w:lang w:val="en-US" w:eastAsia="es-ES"/>
              </w:rPr>
              <w:t xml:space="preserve">Teamwork </w:t>
            </w:r>
          </w:p>
          <w:p w:rsidR="00B317CC" w:rsidRPr="00F1483F" w:rsidRDefault="00B317CC" w:rsidP="000533C7">
            <w:pPr>
              <w:keepLines/>
              <w:rPr>
                <w:rFonts w:ascii="Arial" w:eastAsia="Times New Roman" w:hAnsi="Arial"/>
                <w:sz w:val="20"/>
                <w:szCs w:val="20"/>
                <w:lang w:val="en-US" w:eastAsia="es-ES"/>
              </w:rPr>
            </w:pPr>
          </w:p>
          <w:p w:rsidR="00B317CC" w:rsidRPr="00F1483F" w:rsidRDefault="00B317CC" w:rsidP="000533C7">
            <w:pPr>
              <w:keepLines/>
              <w:rPr>
                <w:rFonts w:ascii="Arial" w:eastAsia="Times New Roman" w:hAnsi="Arial"/>
                <w:sz w:val="20"/>
                <w:szCs w:val="20"/>
                <w:lang w:val="en-US" w:eastAsia="es-ES"/>
              </w:rPr>
            </w:pPr>
            <w:r w:rsidRPr="00F1483F">
              <w:rPr>
                <w:rFonts w:ascii="Arial" w:eastAsia="Times New Roman" w:hAnsi="Arial"/>
                <w:sz w:val="20"/>
                <w:szCs w:val="20"/>
                <w:lang w:val="en-US" w:eastAsia="es-ES"/>
              </w:rPr>
              <w:t>Community building</w:t>
            </w:r>
          </w:p>
          <w:p w:rsidR="00B317CC" w:rsidRPr="00F1483F" w:rsidRDefault="00B317CC" w:rsidP="000533C7">
            <w:pPr>
              <w:keepLines/>
              <w:rPr>
                <w:rFonts w:ascii="Arial" w:eastAsia="Times New Roman" w:hAnsi="Arial"/>
                <w:sz w:val="20"/>
                <w:szCs w:val="20"/>
                <w:lang w:val="en-US" w:eastAsia="es-ES"/>
              </w:rPr>
            </w:pPr>
          </w:p>
          <w:p w:rsidR="00B317CC" w:rsidRPr="00F1483F" w:rsidRDefault="00B317CC" w:rsidP="000533C7">
            <w:pPr>
              <w:keepLines/>
              <w:rPr>
                <w:rFonts w:ascii="Arial" w:eastAsia="Times New Roman" w:hAnsi="Arial"/>
                <w:sz w:val="20"/>
                <w:szCs w:val="20"/>
                <w:lang w:val="en-US" w:eastAsia="es-ES"/>
              </w:rPr>
            </w:pPr>
            <w:r w:rsidRPr="00F1483F">
              <w:rPr>
                <w:rFonts w:ascii="Arial" w:eastAsia="Times New Roman" w:hAnsi="Arial"/>
                <w:sz w:val="20"/>
                <w:szCs w:val="20"/>
                <w:lang w:val="en-US" w:eastAsia="es-ES"/>
              </w:rPr>
              <w:t>Ethical behaviors</w:t>
            </w:r>
          </w:p>
        </w:tc>
      </w:tr>
      <w:tr w:rsidR="00B317CC" w:rsidRPr="00776774" w:rsidTr="000533C7">
        <w:trPr>
          <w:trHeight w:val="130"/>
          <w:jc w:val="center"/>
        </w:trPr>
        <w:tc>
          <w:tcPr>
            <w:tcW w:w="2160" w:type="dxa"/>
            <w:tcBorders>
              <w:top w:val="nil"/>
            </w:tcBorders>
            <w:vAlign w:val="center"/>
          </w:tcPr>
          <w:p w:rsidR="00B317CC" w:rsidRPr="00F1483F" w:rsidRDefault="00B317CC" w:rsidP="000533C7">
            <w:pPr>
              <w:keepLines/>
              <w:spacing w:after="60"/>
              <w:rPr>
                <w:rFonts w:ascii="Arial" w:eastAsia="Times New Roman" w:hAnsi="Arial"/>
                <w:sz w:val="20"/>
                <w:szCs w:val="20"/>
                <w:lang w:val="en-US" w:eastAsia="es-ES"/>
              </w:rPr>
            </w:pPr>
          </w:p>
        </w:tc>
        <w:tc>
          <w:tcPr>
            <w:tcW w:w="2160" w:type="dxa"/>
            <w:tcBorders>
              <w:top w:val="nil"/>
            </w:tcBorders>
            <w:vAlign w:val="center"/>
          </w:tcPr>
          <w:p w:rsidR="00B317CC" w:rsidRPr="00F1483F" w:rsidRDefault="00B317CC" w:rsidP="000533C7">
            <w:pPr>
              <w:keepLines/>
              <w:spacing w:after="60"/>
              <w:rPr>
                <w:rFonts w:ascii="Arial" w:eastAsia="Times New Roman" w:hAnsi="Arial"/>
                <w:sz w:val="20"/>
                <w:szCs w:val="20"/>
                <w:lang w:val="en-US" w:eastAsia="es-ES"/>
              </w:rPr>
            </w:pPr>
          </w:p>
        </w:tc>
        <w:tc>
          <w:tcPr>
            <w:tcW w:w="2160" w:type="dxa"/>
            <w:tcBorders>
              <w:top w:val="nil"/>
            </w:tcBorders>
            <w:vAlign w:val="center"/>
          </w:tcPr>
          <w:p w:rsidR="00B317CC" w:rsidRPr="00F1483F" w:rsidRDefault="00B317CC" w:rsidP="000533C7">
            <w:pPr>
              <w:keepLines/>
              <w:spacing w:after="60"/>
              <w:rPr>
                <w:rFonts w:ascii="Arial" w:eastAsia="Times New Roman" w:hAnsi="Arial"/>
                <w:sz w:val="20"/>
                <w:szCs w:val="20"/>
                <w:lang w:val="en-US" w:eastAsia="es-ES"/>
              </w:rPr>
            </w:pPr>
          </w:p>
        </w:tc>
        <w:tc>
          <w:tcPr>
            <w:tcW w:w="2160" w:type="dxa"/>
            <w:tcBorders>
              <w:top w:val="nil"/>
            </w:tcBorders>
          </w:tcPr>
          <w:p w:rsidR="00B317CC" w:rsidRPr="00F1483F" w:rsidRDefault="00B317CC" w:rsidP="000533C7">
            <w:pPr>
              <w:keepLines/>
              <w:spacing w:after="60"/>
              <w:rPr>
                <w:rFonts w:ascii="Arial" w:eastAsia="Times New Roman" w:hAnsi="Arial"/>
                <w:sz w:val="20"/>
                <w:szCs w:val="20"/>
                <w:lang w:val="en-US" w:eastAsia="es-ES"/>
              </w:rPr>
            </w:pPr>
          </w:p>
        </w:tc>
      </w:tr>
    </w:tbl>
    <w:p w:rsidR="00B317CC" w:rsidRPr="00F1483F" w:rsidRDefault="00B317CC" w:rsidP="00B317CC">
      <w:pPr>
        <w:ind w:firstLine="708"/>
        <w:jc w:val="both"/>
        <w:rPr>
          <w:rFonts w:ascii="Arial" w:hAnsi="Arial" w:cs="Arial"/>
          <w:lang w:val="en-US"/>
        </w:rPr>
      </w:pPr>
    </w:p>
    <w:p w:rsidR="00B317CC" w:rsidRDefault="00B317CC" w:rsidP="00B317CC">
      <w:pPr>
        <w:ind w:firstLine="708"/>
        <w:jc w:val="both"/>
        <w:rPr>
          <w:rFonts w:ascii="Arial" w:hAnsi="Arial" w:cs="Arial"/>
          <w:lang w:val="en-US"/>
        </w:rPr>
      </w:pPr>
      <w:r w:rsidRPr="00F1483F">
        <w:rPr>
          <w:rFonts w:ascii="Arial" w:hAnsi="Arial" w:cs="Arial"/>
          <w:lang w:val="en-US"/>
        </w:rPr>
        <w:t xml:space="preserve">As expected, working on this project has allowed the students to develop their communication skills, particularly those related to the presentation of research work and the discussion of their findings with their colleagues and supervisors. </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In addition, the challenge of producing writings in English, and having to communicate with the summer intern in this language, allowed them to practice their </w:t>
      </w:r>
      <w:r>
        <w:rPr>
          <w:rFonts w:ascii="Arial" w:hAnsi="Arial" w:cs="Arial"/>
          <w:lang w:val="en-US"/>
        </w:rPr>
        <w:t xml:space="preserve">English-speaking </w:t>
      </w:r>
      <w:r w:rsidRPr="00F1483F">
        <w:rPr>
          <w:rFonts w:ascii="Arial" w:hAnsi="Arial" w:cs="Arial"/>
          <w:lang w:val="en-US"/>
        </w:rPr>
        <w:t xml:space="preserve">skills. </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Moreover, the current COVID-19 situation has affected the way interactions are conducted in virtual settings, and in particular, the final part of the summer internship had to take place remotely (as the intern was repatriated early to their homeland). This gave the chance to some of the students to navigate the experience of planning international online meetings and gave them the opportunity to practice communication skills for a virtual and globalized world. </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Students also reported that working on this project helped them organize their time better, to be able to fulfill the expectations of the research group while also managing their coursework. </w:t>
      </w:r>
    </w:p>
    <w:p w:rsidR="00B317CC" w:rsidRPr="00F1483F" w:rsidRDefault="00B317CC" w:rsidP="00B317CC">
      <w:pPr>
        <w:ind w:firstLine="708"/>
        <w:jc w:val="both"/>
        <w:rPr>
          <w:rFonts w:ascii="Arial" w:hAnsi="Arial" w:cs="Arial"/>
          <w:lang w:val="en-US"/>
        </w:rPr>
      </w:pPr>
      <w:r w:rsidRPr="00F1483F">
        <w:rPr>
          <w:rFonts w:ascii="Arial" w:hAnsi="Arial" w:cs="Arial"/>
          <w:lang w:val="en-US"/>
        </w:rPr>
        <w:t>Furthermore, by having to work out the solutions to the problems they encountered, they were able to exercise their critical thinking and problem-solving</w:t>
      </w:r>
      <w:r>
        <w:rPr>
          <w:rFonts w:ascii="Arial" w:hAnsi="Arial" w:cs="Arial"/>
          <w:lang w:val="en-US"/>
        </w:rPr>
        <w:t xml:space="preserve"> skills</w:t>
      </w:r>
      <w:r w:rsidRPr="00F1483F">
        <w:rPr>
          <w:rFonts w:ascii="Arial" w:hAnsi="Arial" w:cs="Arial"/>
          <w:lang w:val="en-US"/>
        </w:rPr>
        <w:t>, as well as their resilience and self-confidence skills.</w:t>
      </w:r>
    </w:p>
    <w:p w:rsidR="00B317CC" w:rsidRDefault="00B317CC" w:rsidP="00B317CC">
      <w:pPr>
        <w:ind w:firstLine="708"/>
        <w:jc w:val="both"/>
        <w:rPr>
          <w:rFonts w:ascii="Arial" w:hAnsi="Arial" w:cs="Arial"/>
          <w:lang w:val="en-US"/>
        </w:rPr>
      </w:pPr>
      <w:r w:rsidRPr="00F1483F">
        <w:rPr>
          <w:rFonts w:ascii="Arial" w:hAnsi="Arial" w:cs="Arial"/>
          <w:lang w:val="en-US"/>
        </w:rPr>
        <w:t xml:space="preserve">An important observation from the students is that the kind of activities that they had to undertake in the development of this project were found to go beyond the scope of those done during their physics mayor classes, including laboratory courses. </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It is important to mention that the physics program at UCR includes a two-semester long course in which the students must plan and develop their own research project. Said project, however, is to be done individually and under supervision of a professor, and the students involved in the work presented here have not yet taken this class. </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One of the surprising aspects of these results was to realize how important the teamwork aspects were in developing a variety of skills, not only in the communication category, but also in the emotional category. As per the reports of the students, the work of their colleagues inspired them to do better at their tasks and has increased their self-confidence. From their testimonials it can be inferred that having this experience together has brought them a sense of community and shared responsibility. </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This points us to the role of learning communities in the training of young scientists, in which they can work in teams for a common goal under an environment of empathy and intellectual freedom. </w:t>
      </w:r>
    </w:p>
    <w:p w:rsidR="00B317CC" w:rsidRPr="00F1483F" w:rsidRDefault="00B317CC" w:rsidP="00B317CC">
      <w:pPr>
        <w:ind w:firstLine="708"/>
        <w:jc w:val="both"/>
        <w:rPr>
          <w:rFonts w:ascii="Arial" w:hAnsi="Arial" w:cs="Arial"/>
          <w:lang w:val="en-US"/>
        </w:rPr>
      </w:pPr>
      <w:r w:rsidRPr="00F1483F">
        <w:rPr>
          <w:rFonts w:ascii="Arial" w:hAnsi="Arial" w:cs="Arial"/>
          <w:lang w:val="en-US"/>
        </w:rPr>
        <w:t>On the part of the supervisors, it has been observed that the students have maintained the interest and commitment to the project at all stages. Each student has contributed according to their assigned tasks and have had an active role in shaping the methodology and resources used to accomplish them. Thorough the discussions, the students have brough up their ideas and questions, and have proposed solutions in accordance to their education level.</w:t>
      </w:r>
    </w:p>
    <w:p w:rsidR="00B317CC" w:rsidRDefault="00B317CC" w:rsidP="00B317CC">
      <w:pPr>
        <w:ind w:firstLine="708"/>
        <w:jc w:val="both"/>
        <w:rPr>
          <w:rFonts w:ascii="Arial" w:hAnsi="Arial" w:cs="Arial"/>
          <w:lang w:val="en-US"/>
        </w:rPr>
      </w:pPr>
      <w:r w:rsidRPr="00F1483F">
        <w:rPr>
          <w:rFonts w:ascii="Arial" w:hAnsi="Arial" w:cs="Arial"/>
          <w:lang w:val="en-US"/>
        </w:rPr>
        <w:t xml:space="preserve">An interesting point to mention, is that even the initial development of this article was a decision made jointly by Student A, as student leader, and by one of the supervisors. All the other members of the team collaborated in the development of the final document. </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This had the additional benefit of providing students with the opportunity of preparing an article for a conference, even if their project is still at a too early stage to participate as a medical physics contribution. Furthermore, this kind of analysis of their own experiences under an educational framework serves as an additional instrument for </w:t>
      </w:r>
      <w:r>
        <w:rPr>
          <w:rFonts w:ascii="Arial" w:hAnsi="Arial" w:cs="Arial"/>
          <w:lang w:val="en-US"/>
        </w:rPr>
        <w:t xml:space="preserve">their </w:t>
      </w:r>
      <w:r w:rsidRPr="00F1483F">
        <w:rPr>
          <w:rFonts w:ascii="Arial" w:hAnsi="Arial" w:cs="Arial"/>
          <w:lang w:val="en-US"/>
        </w:rPr>
        <w:t xml:space="preserve">self-growth as scientists. </w:t>
      </w:r>
    </w:p>
    <w:p w:rsidR="00B317CC" w:rsidRPr="00F1483F" w:rsidRDefault="00B317CC" w:rsidP="00B317CC">
      <w:pPr>
        <w:ind w:firstLine="708"/>
        <w:jc w:val="both"/>
        <w:rPr>
          <w:rFonts w:ascii="Arial" w:hAnsi="Arial" w:cs="Arial"/>
          <w:lang w:val="en-US"/>
        </w:rPr>
      </w:pPr>
      <w:r w:rsidRPr="00F1483F">
        <w:rPr>
          <w:rFonts w:ascii="Arial" w:hAnsi="Arial" w:cs="Arial"/>
          <w:lang w:val="en-US"/>
        </w:rPr>
        <w:t xml:space="preserve"> Despite the positive developments in this project, it must be noted that this kind of initiative requires a significant investment of the supervisors’ time, particularly in the early stages of the project and during the training for more technically complex tools (such as Geant4). </w:t>
      </w:r>
    </w:p>
    <w:p w:rsidR="00B317CC" w:rsidRPr="00F1483F" w:rsidRDefault="00B317CC" w:rsidP="00B317CC">
      <w:pPr>
        <w:ind w:firstLine="708"/>
        <w:jc w:val="both"/>
        <w:rPr>
          <w:rFonts w:ascii="Arial" w:hAnsi="Arial" w:cs="Arial"/>
          <w:lang w:val="en-US"/>
        </w:rPr>
      </w:pPr>
      <w:r w:rsidRPr="00F1483F">
        <w:rPr>
          <w:rFonts w:ascii="Arial" w:hAnsi="Arial" w:cs="Arial"/>
          <w:lang w:val="en-US"/>
        </w:rPr>
        <w:t>The supervisors, however, consider that this time investment will bring forth its benefits in the future, as the students will be more familiar with the tools when developing their thesis research</w:t>
      </w:r>
      <w:r>
        <w:rPr>
          <w:rFonts w:ascii="Arial" w:hAnsi="Arial" w:cs="Arial"/>
          <w:lang w:val="en-US"/>
        </w:rPr>
        <w:t xml:space="preserve"> and will have the capability to participate as supervisors of younger students</w:t>
      </w:r>
      <w:r w:rsidRPr="00F1483F">
        <w:rPr>
          <w:rFonts w:ascii="Arial" w:hAnsi="Arial" w:cs="Arial"/>
          <w:lang w:val="en-US"/>
        </w:rPr>
        <w:t>. This has the potential to allow for richer master’s level research, as well as the chance to create a common culture of</w:t>
      </w:r>
      <w:r>
        <w:rPr>
          <w:rFonts w:ascii="Arial" w:hAnsi="Arial" w:cs="Arial"/>
          <w:lang w:val="en-US"/>
        </w:rPr>
        <w:t xml:space="preserve"> empathy and</w:t>
      </w:r>
      <w:r w:rsidRPr="00F1483F">
        <w:rPr>
          <w:rFonts w:ascii="Arial" w:hAnsi="Arial" w:cs="Arial"/>
          <w:lang w:val="en-US"/>
        </w:rPr>
        <w:t xml:space="preserve"> collaboration with these future colleagues. The supervisors consider that this could only benefit our institutions and the development of our country. </w:t>
      </w:r>
    </w:p>
    <w:p w:rsidR="00B317CC" w:rsidRPr="00F1483F" w:rsidRDefault="00B317CC" w:rsidP="00B317CC">
      <w:pPr>
        <w:jc w:val="both"/>
        <w:rPr>
          <w:rFonts w:ascii="Arial" w:hAnsi="Arial" w:cs="Arial"/>
          <w:bCs/>
          <w:color w:val="000000"/>
          <w:lang w:val="en-US"/>
        </w:rPr>
      </w:pPr>
    </w:p>
    <w:p w:rsidR="00B317CC" w:rsidRPr="00776774" w:rsidRDefault="00B317CC" w:rsidP="00B317CC">
      <w:pPr>
        <w:pStyle w:val="1Titulo"/>
        <w:numPr>
          <w:ilvl w:val="0"/>
          <w:numId w:val="0"/>
        </w:numPr>
        <w:ind w:left="357"/>
        <w:rPr>
          <w:lang w:val="en-US"/>
        </w:rPr>
      </w:pPr>
      <w:bookmarkStart w:id="444" w:name="_Toc50031471"/>
      <w:r w:rsidRPr="00776774">
        <w:rPr>
          <w:lang w:val="en-US"/>
        </w:rPr>
        <w:t>5. Conclusions</w:t>
      </w:r>
      <w:bookmarkEnd w:id="444"/>
    </w:p>
    <w:p w:rsidR="00B317CC" w:rsidRDefault="00B317CC" w:rsidP="00B317CC">
      <w:pPr>
        <w:jc w:val="both"/>
        <w:rPr>
          <w:rFonts w:ascii="Arial" w:hAnsi="Arial" w:cs="Arial"/>
          <w:color w:val="000000"/>
          <w:lang w:val="en-US"/>
        </w:rPr>
      </w:pPr>
    </w:p>
    <w:p w:rsidR="00B317CC" w:rsidRDefault="00B317CC" w:rsidP="00B317CC">
      <w:pPr>
        <w:ind w:firstLine="708"/>
        <w:jc w:val="both"/>
        <w:rPr>
          <w:rFonts w:ascii="Arial" w:hAnsi="Arial" w:cs="Arial"/>
          <w:color w:val="000000"/>
          <w:lang w:val="en-US"/>
        </w:rPr>
      </w:pPr>
      <w:r>
        <w:rPr>
          <w:rFonts w:ascii="Arial" w:hAnsi="Arial" w:cs="Arial"/>
          <w:color w:val="000000"/>
          <w:lang w:val="en-US"/>
        </w:rPr>
        <w:t xml:space="preserve">Based on the results from this work, it can be concluded that </w:t>
      </w:r>
      <w:r w:rsidRPr="00F1483F">
        <w:rPr>
          <w:rFonts w:ascii="Arial" w:hAnsi="Arial" w:cs="Arial"/>
          <w:color w:val="000000"/>
          <w:lang w:val="en-US"/>
        </w:rPr>
        <w:t xml:space="preserve">providing students with basic guidance and </w:t>
      </w:r>
      <w:r>
        <w:rPr>
          <w:rFonts w:ascii="Arial" w:hAnsi="Arial" w:cs="Arial"/>
          <w:color w:val="000000"/>
          <w:lang w:val="en-US"/>
        </w:rPr>
        <w:t>letting</w:t>
      </w:r>
      <w:r w:rsidRPr="00F1483F">
        <w:rPr>
          <w:rFonts w:ascii="Arial" w:hAnsi="Arial" w:cs="Arial"/>
          <w:color w:val="000000"/>
          <w:lang w:val="en-US"/>
        </w:rPr>
        <w:t xml:space="preserve"> them exercise their intellectual freedom brings up a sense of shared responsibility that motivates and challenges students</w:t>
      </w:r>
      <w:r>
        <w:rPr>
          <w:rFonts w:ascii="Arial" w:hAnsi="Arial" w:cs="Arial"/>
          <w:color w:val="000000"/>
          <w:lang w:val="en-US"/>
        </w:rPr>
        <w:t xml:space="preserve">, particularly </w:t>
      </w:r>
      <w:r w:rsidRPr="00F1483F">
        <w:rPr>
          <w:rFonts w:ascii="Arial" w:hAnsi="Arial" w:cs="Arial"/>
          <w:color w:val="000000"/>
          <w:lang w:val="en-US"/>
        </w:rPr>
        <w:t xml:space="preserve">, </w:t>
      </w:r>
      <w:r>
        <w:rPr>
          <w:rFonts w:ascii="Arial" w:hAnsi="Arial" w:cs="Arial"/>
          <w:color w:val="000000"/>
          <w:lang w:val="en-US"/>
        </w:rPr>
        <w:t>when accompanied by an</w:t>
      </w:r>
      <w:r w:rsidRPr="00F1483F">
        <w:rPr>
          <w:rFonts w:ascii="Arial" w:hAnsi="Arial" w:cs="Arial"/>
          <w:color w:val="000000"/>
          <w:lang w:val="en-US"/>
        </w:rPr>
        <w:t xml:space="preserve"> open </w:t>
      </w:r>
      <w:r>
        <w:rPr>
          <w:rFonts w:ascii="Arial" w:hAnsi="Arial" w:cs="Arial"/>
          <w:color w:val="000000"/>
          <w:lang w:val="en-US"/>
        </w:rPr>
        <w:t xml:space="preserve">and </w:t>
      </w:r>
      <w:r w:rsidRPr="00F1483F">
        <w:rPr>
          <w:rFonts w:ascii="Arial" w:hAnsi="Arial" w:cs="Arial"/>
          <w:color w:val="000000"/>
          <w:lang w:val="en-US"/>
        </w:rPr>
        <w:t>questioning</w:t>
      </w:r>
      <w:r>
        <w:rPr>
          <w:rFonts w:ascii="Arial" w:hAnsi="Arial" w:cs="Arial"/>
          <w:color w:val="000000"/>
          <w:lang w:val="en-US"/>
        </w:rPr>
        <w:t xml:space="preserve"> learning</w:t>
      </w:r>
      <w:r w:rsidRPr="00F1483F">
        <w:rPr>
          <w:rFonts w:ascii="Arial" w:hAnsi="Arial" w:cs="Arial"/>
          <w:color w:val="000000"/>
          <w:lang w:val="en-US"/>
        </w:rPr>
        <w:t xml:space="preserve"> community</w:t>
      </w:r>
      <w:r>
        <w:rPr>
          <w:rFonts w:ascii="Arial" w:hAnsi="Arial" w:cs="Arial"/>
          <w:color w:val="000000"/>
          <w:lang w:val="en-US"/>
        </w:rPr>
        <w:t>.</w:t>
      </w:r>
    </w:p>
    <w:p w:rsidR="00B317CC" w:rsidRDefault="00B317CC" w:rsidP="00B317CC">
      <w:pPr>
        <w:ind w:firstLine="708"/>
        <w:jc w:val="both"/>
        <w:rPr>
          <w:rFonts w:ascii="Arial" w:hAnsi="Arial" w:cs="Arial"/>
          <w:color w:val="000000"/>
          <w:lang w:val="en-US"/>
        </w:rPr>
      </w:pPr>
      <w:r>
        <w:rPr>
          <w:rFonts w:ascii="Arial" w:hAnsi="Arial" w:cs="Arial"/>
          <w:color w:val="000000"/>
          <w:lang w:val="en-US"/>
        </w:rPr>
        <w:t xml:space="preserve">One of the main points in this experience is that great part of its benefit derives from having it occur outside of coursework. This circumstance allowed the students to explore the limits of their own skills and commitment in a setting that aims to resemble the realities of scientific work. </w:t>
      </w:r>
    </w:p>
    <w:p w:rsidR="00B317CC" w:rsidRDefault="00B317CC" w:rsidP="00B317CC">
      <w:pPr>
        <w:ind w:firstLine="708"/>
        <w:jc w:val="both"/>
        <w:rPr>
          <w:rFonts w:ascii="Arial" w:hAnsi="Arial" w:cs="Arial"/>
          <w:color w:val="000000"/>
          <w:lang w:val="en-US"/>
        </w:rPr>
      </w:pPr>
      <w:r>
        <w:rPr>
          <w:rFonts w:ascii="Arial" w:hAnsi="Arial" w:cs="Arial"/>
          <w:color w:val="000000"/>
          <w:lang w:val="en-US"/>
        </w:rPr>
        <w:t xml:space="preserve">This raises the need to provide more undergraduate students with the opportunity to participate in similar experiences. Such experiences may help students not only develop their technical and soft skills, but also make informed decisions regarding their future career plans.  </w:t>
      </w:r>
    </w:p>
    <w:p w:rsidR="00B317CC" w:rsidRPr="009D22F0" w:rsidRDefault="00B317CC" w:rsidP="00B317CC">
      <w:pPr>
        <w:ind w:firstLine="708"/>
        <w:jc w:val="both"/>
        <w:rPr>
          <w:rFonts w:ascii="Arial" w:hAnsi="Arial" w:cs="Arial"/>
          <w:bCs/>
          <w:color w:val="000000"/>
          <w:lang w:val="en-US"/>
        </w:rPr>
      </w:pPr>
      <w:r>
        <w:rPr>
          <w:rFonts w:ascii="Arial" w:hAnsi="Arial" w:cs="Arial"/>
          <w:color w:val="000000"/>
          <w:lang w:val="en-US"/>
        </w:rPr>
        <w:t xml:space="preserve">Finally, providing these opportunities from an early stage of the students’ education allows them to incorporate these skills and knowledge into their other classes, and will better prepare them for their future professions. </w:t>
      </w:r>
    </w:p>
    <w:p w:rsidR="00B317CC" w:rsidRPr="009D22F0" w:rsidRDefault="00B317CC" w:rsidP="00B317CC">
      <w:pPr>
        <w:jc w:val="both"/>
        <w:rPr>
          <w:rFonts w:ascii="Arial" w:hAnsi="Arial" w:cs="Arial"/>
          <w:bCs/>
          <w:color w:val="000000"/>
          <w:lang w:val="en-US"/>
        </w:rPr>
      </w:pPr>
    </w:p>
    <w:p w:rsidR="00B317CC" w:rsidRPr="00F1483F" w:rsidRDefault="00B317CC" w:rsidP="00B317CC">
      <w:pPr>
        <w:pStyle w:val="1Titulo"/>
        <w:numPr>
          <w:ilvl w:val="0"/>
          <w:numId w:val="0"/>
        </w:numPr>
        <w:ind w:left="357"/>
      </w:pPr>
      <w:bookmarkStart w:id="445" w:name="_Toc50031472"/>
      <w:r w:rsidRPr="00F1483F">
        <w:t>6. Bibliography</w:t>
      </w:r>
      <w:bookmarkEnd w:id="445"/>
    </w:p>
    <w:p w:rsidR="00B317CC" w:rsidRDefault="00B317CC" w:rsidP="00B317CC">
      <w:pPr>
        <w:jc w:val="both"/>
        <w:rPr>
          <w:rFonts w:ascii="Arial" w:hAnsi="Arial" w:cs="Arial"/>
          <w:color w:val="000000"/>
          <w:lang w:val="en-US"/>
        </w:rPr>
      </w:pPr>
    </w:p>
    <w:p w:rsidR="00B317CC" w:rsidRPr="00A52D28" w:rsidRDefault="00B317CC" w:rsidP="001D2A3D">
      <w:pPr>
        <w:pStyle w:val="Bibliografa"/>
        <w:numPr>
          <w:ilvl w:val="0"/>
          <w:numId w:val="72"/>
        </w:numPr>
        <w:suppressAutoHyphens/>
        <w:spacing w:after="0" w:line="240" w:lineRule="auto"/>
        <w:rPr>
          <w:rFonts w:ascii="Arial" w:hAnsi="Arial" w:cs="Arial"/>
          <w:noProof/>
        </w:rPr>
      </w:pPr>
      <w:r w:rsidRPr="00B317CC">
        <w:rPr>
          <w:rFonts w:ascii="Arial" w:hAnsi="Arial" w:cs="Arial"/>
          <w:i/>
          <w:iCs/>
          <w:noProof/>
          <w:lang w:val="es-MX"/>
        </w:rPr>
        <w:t>Laboratorio de Física Médica Computacional (FIMEC).</w:t>
      </w:r>
      <w:r w:rsidRPr="00B317CC">
        <w:rPr>
          <w:rFonts w:ascii="Arial" w:hAnsi="Arial" w:cs="Arial"/>
          <w:noProof/>
          <w:lang w:val="es-MX"/>
        </w:rPr>
        <w:t xml:space="preserve">CICANUM-Universidad de Costa Rica. </w:t>
      </w:r>
      <w:r w:rsidRPr="00A52D28">
        <w:rPr>
          <w:rFonts w:ascii="Arial" w:hAnsi="Arial" w:cs="Arial"/>
          <w:noProof/>
        </w:rPr>
        <w:t>August 07. Accessed May 14, 2020.</w:t>
      </w:r>
      <w:r>
        <w:rPr>
          <w:rFonts w:ascii="Arial" w:hAnsi="Arial" w:cs="Arial"/>
          <w:noProof/>
        </w:rPr>
        <w:t xml:space="preserve"> </w:t>
      </w:r>
      <w:r w:rsidRPr="00A52D28">
        <w:rPr>
          <w:rFonts w:ascii="Arial" w:hAnsi="Arial" w:cs="Arial"/>
          <w:noProof/>
        </w:rPr>
        <w:t>http://cicanum.ucr.ac.cr/es/component/content/article.html?id=95&amp;Itemid=539.</w:t>
      </w:r>
    </w:p>
    <w:p w:rsidR="00B317CC" w:rsidRDefault="00B317CC" w:rsidP="00B317CC">
      <w:pPr>
        <w:pStyle w:val="Bibliografa"/>
        <w:ind w:left="720" w:hanging="720"/>
        <w:rPr>
          <w:rFonts w:ascii="Arial" w:hAnsi="Arial" w:cs="Arial"/>
          <w:noProof/>
        </w:rPr>
      </w:pPr>
    </w:p>
    <w:p w:rsidR="00B317CC" w:rsidRDefault="00B317CC" w:rsidP="001D2A3D">
      <w:pPr>
        <w:pStyle w:val="Bibliografa"/>
        <w:numPr>
          <w:ilvl w:val="0"/>
          <w:numId w:val="72"/>
        </w:numPr>
        <w:suppressAutoHyphens/>
        <w:spacing w:after="0" w:line="240" w:lineRule="auto"/>
        <w:rPr>
          <w:rFonts w:ascii="Arial" w:hAnsi="Arial" w:cs="Arial"/>
          <w:noProof/>
        </w:rPr>
      </w:pPr>
      <w:r w:rsidRPr="00A52D28">
        <w:rPr>
          <w:rFonts w:ascii="Arial" w:hAnsi="Arial" w:cs="Arial"/>
          <w:noProof/>
        </w:rPr>
        <w:t>Kondo, Anne E., and Justin D. Fair. "Insight into the chemistry skills gap: the</w:t>
      </w:r>
      <w:r>
        <w:rPr>
          <w:rFonts w:ascii="Arial" w:hAnsi="Arial" w:cs="Arial"/>
          <w:noProof/>
        </w:rPr>
        <w:t xml:space="preserve"> </w:t>
      </w:r>
      <w:r w:rsidRPr="00A52D28">
        <w:rPr>
          <w:rFonts w:ascii="Arial" w:hAnsi="Arial" w:cs="Arial"/>
          <w:noProof/>
        </w:rPr>
        <w:t xml:space="preserve">duality between expected and desired skills." </w:t>
      </w:r>
      <w:r w:rsidRPr="00A52D28">
        <w:rPr>
          <w:rFonts w:ascii="Arial" w:hAnsi="Arial" w:cs="Arial"/>
          <w:i/>
          <w:iCs/>
          <w:noProof/>
        </w:rPr>
        <w:t>Journal of Chemical Education</w:t>
      </w:r>
      <w:r w:rsidRPr="00A52D28">
        <w:rPr>
          <w:rFonts w:ascii="Arial" w:hAnsi="Arial" w:cs="Arial"/>
          <w:noProof/>
        </w:rPr>
        <w:t xml:space="preserve"> 3 (94): 304-310</w:t>
      </w:r>
      <w:r>
        <w:rPr>
          <w:rFonts w:ascii="Arial" w:hAnsi="Arial" w:cs="Arial"/>
          <w:noProof/>
        </w:rPr>
        <w:t>, 2016</w:t>
      </w:r>
    </w:p>
    <w:p w:rsidR="00B317CC" w:rsidRPr="00A52D28" w:rsidRDefault="00B317CC" w:rsidP="00B317CC">
      <w:pPr>
        <w:rPr>
          <w:lang w:val="en-US"/>
        </w:rPr>
      </w:pPr>
    </w:p>
    <w:p w:rsidR="00B317CC" w:rsidRPr="00A52D28" w:rsidRDefault="00B317CC" w:rsidP="001D2A3D">
      <w:pPr>
        <w:pStyle w:val="Bibliografa"/>
        <w:numPr>
          <w:ilvl w:val="0"/>
          <w:numId w:val="72"/>
        </w:numPr>
        <w:tabs>
          <w:tab w:val="left" w:pos="0"/>
        </w:tabs>
        <w:suppressAutoHyphens/>
        <w:spacing w:after="0" w:line="240" w:lineRule="auto"/>
        <w:rPr>
          <w:rFonts w:ascii="Arial" w:hAnsi="Arial" w:cs="Arial"/>
          <w:noProof/>
        </w:rPr>
      </w:pPr>
      <w:r w:rsidRPr="00A52D28">
        <w:rPr>
          <w:rFonts w:ascii="Arial" w:hAnsi="Arial" w:cs="Arial"/>
          <w:noProof/>
        </w:rPr>
        <w:t xml:space="preserve">Sarkar, Mahbub, Tina Overton, Christopher Thompson, and Gerry Rayner. "Graduate employability: views of recent science graduates and employers." </w:t>
      </w:r>
      <w:r w:rsidRPr="00A52D28">
        <w:rPr>
          <w:rFonts w:ascii="Arial" w:hAnsi="Arial" w:cs="Arial"/>
          <w:i/>
          <w:iCs/>
          <w:noProof/>
        </w:rPr>
        <w:t>International Journal of Innovation in Science and Mathematics Education</w:t>
      </w:r>
      <w:r w:rsidRPr="00A52D28">
        <w:rPr>
          <w:rFonts w:ascii="Arial" w:hAnsi="Arial" w:cs="Arial"/>
          <w:noProof/>
        </w:rPr>
        <w:t xml:space="preserve"> 3 (24): 31-48</w:t>
      </w:r>
      <w:r>
        <w:rPr>
          <w:rFonts w:ascii="Arial" w:hAnsi="Arial" w:cs="Arial"/>
          <w:noProof/>
        </w:rPr>
        <w:t>, 2016</w:t>
      </w:r>
    </w:p>
    <w:p w:rsidR="00C04E73" w:rsidRPr="00B317CC" w:rsidRDefault="00B317CC" w:rsidP="00B317CC">
      <w:pPr>
        <w:rPr>
          <w:lang w:val="en-US"/>
        </w:rPr>
      </w:pPr>
      <w:r w:rsidRPr="00B317CC">
        <w:rPr>
          <w:rFonts w:ascii="Arial" w:hAnsi="Arial" w:cs="Arial"/>
          <w:noProof/>
          <w:lang w:val="es-MX"/>
        </w:rPr>
        <w:t xml:space="preserve">SEP-UCR. n.d. </w:t>
      </w:r>
      <w:r w:rsidRPr="00B317CC">
        <w:rPr>
          <w:rFonts w:ascii="Arial" w:hAnsi="Arial" w:cs="Arial"/>
          <w:i/>
          <w:iCs/>
          <w:noProof/>
          <w:lang w:val="es-MX"/>
        </w:rPr>
        <w:t>Maestría Académica en Física Médica.</w:t>
      </w:r>
      <w:r w:rsidRPr="00B317CC">
        <w:rPr>
          <w:rFonts w:ascii="Arial" w:hAnsi="Arial" w:cs="Arial"/>
          <w:noProof/>
          <w:lang w:val="es-MX"/>
        </w:rPr>
        <w:t xml:space="preserve"> Sistema de Estudios de Posgrado - Universidad de Costa Rica. </w:t>
      </w:r>
      <w:r w:rsidRPr="00A52D28">
        <w:rPr>
          <w:rFonts w:ascii="Arial" w:hAnsi="Arial" w:cs="Arial"/>
          <w:noProof/>
          <w:lang w:val="en-US"/>
        </w:rPr>
        <w:t>Accessed 05 14, 2020. https://www.sep.ucr.ac.cr/index.php?option=com_sppagebuilder&amp;view=page&amp;id=530</w:t>
      </w:r>
    </w:p>
    <w:p w:rsidR="00C04E73" w:rsidRPr="00B317CC" w:rsidRDefault="00C04E73" w:rsidP="0049551D">
      <w:pPr>
        <w:rPr>
          <w:lang w:val="en-US"/>
        </w:rPr>
      </w:pPr>
    </w:p>
    <w:p w:rsidR="00917C1F" w:rsidRPr="00917C1F" w:rsidRDefault="00917C1F" w:rsidP="00917C1F">
      <w:pPr>
        <w:pStyle w:val="1Titulo"/>
        <w:numPr>
          <w:ilvl w:val="0"/>
          <w:numId w:val="0"/>
        </w:numPr>
        <w:ind w:left="357"/>
        <w:jc w:val="center"/>
        <w:rPr>
          <w:sz w:val="28"/>
          <w:szCs w:val="28"/>
        </w:rPr>
      </w:pPr>
      <w:bookmarkStart w:id="446" w:name="_Toc50031473"/>
      <w:r w:rsidRPr="00917C1F">
        <w:rPr>
          <w:sz w:val="28"/>
          <w:szCs w:val="28"/>
        </w:rPr>
        <w:t>Estudio comparativo de la adsorción de aluminio de soluciones acuosas usando quitosano y cascarilla de arroz</w:t>
      </w:r>
      <w:bookmarkEnd w:id="446"/>
    </w:p>
    <w:p w:rsidR="00917C1F" w:rsidRDefault="00917C1F" w:rsidP="00917C1F">
      <w:pPr>
        <w:jc w:val="center"/>
        <w:rPr>
          <w:color w:val="000000"/>
          <w:sz w:val="28"/>
          <w:szCs w:val="28"/>
        </w:rPr>
      </w:pPr>
    </w:p>
    <w:p w:rsidR="00917C1F" w:rsidRPr="00C52AE2" w:rsidRDefault="00917C1F" w:rsidP="00917C1F">
      <w:pPr>
        <w:jc w:val="center"/>
        <w:rPr>
          <w:rFonts w:ascii="Arial" w:eastAsia="Times New Roman" w:hAnsi="Arial" w:cs="Arial"/>
        </w:rPr>
      </w:pPr>
      <w:r w:rsidRPr="00C52AE2">
        <w:rPr>
          <w:rFonts w:ascii="Arial" w:eastAsia="Times New Roman" w:hAnsi="Arial" w:cs="Arial"/>
        </w:rPr>
        <w:t>Álvarez Trejos, A</w:t>
      </w:r>
      <w:r>
        <w:rPr>
          <w:rFonts w:ascii="Arial" w:eastAsia="Times New Roman" w:hAnsi="Arial" w:cs="Arial"/>
        </w:rPr>
        <w:t>. K.,</w:t>
      </w:r>
      <w:r w:rsidRPr="00C52AE2">
        <w:rPr>
          <w:rFonts w:ascii="Arial" w:eastAsia="Times New Roman" w:hAnsi="Arial" w:cs="Arial"/>
        </w:rPr>
        <w:t xml:space="preserve"> Blanco González</w:t>
      </w:r>
      <w:r>
        <w:rPr>
          <w:rFonts w:ascii="Arial" w:eastAsia="Times New Roman" w:hAnsi="Arial" w:cs="Arial"/>
        </w:rPr>
        <w:t>,</w:t>
      </w:r>
      <w:r w:rsidRPr="00C52AE2">
        <w:rPr>
          <w:rFonts w:ascii="Arial" w:eastAsia="Times New Roman" w:hAnsi="Arial" w:cs="Arial"/>
        </w:rPr>
        <w:t xml:space="preserve"> V</w:t>
      </w:r>
      <w:r>
        <w:rPr>
          <w:rFonts w:ascii="Arial" w:eastAsia="Times New Roman" w:hAnsi="Arial" w:cs="Arial"/>
        </w:rPr>
        <w:t>.</w:t>
      </w:r>
      <w:r w:rsidRPr="00C52AE2">
        <w:rPr>
          <w:rFonts w:ascii="Arial" w:eastAsia="Times New Roman" w:hAnsi="Arial" w:cs="Arial"/>
        </w:rPr>
        <w:t xml:space="preserve"> A</w:t>
      </w:r>
      <w:r>
        <w:rPr>
          <w:rFonts w:ascii="Arial" w:eastAsia="Times New Roman" w:hAnsi="Arial" w:cs="Arial"/>
        </w:rPr>
        <w:t>.</w:t>
      </w:r>
      <w:r w:rsidRPr="00C52AE2">
        <w:rPr>
          <w:rFonts w:ascii="Arial" w:eastAsia="Times New Roman" w:hAnsi="Arial" w:cs="Arial"/>
        </w:rPr>
        <w:t xml:space="preserve">, </w:t>
      </w:r>
      <w:r w:rsidRPr="00C52AE2">
        <w:rPr>
          <w:rFonts w:ascii="Arial" w:eastAsia="Times New Roman" w:hAnsi="Arial" w:cs="Arial"/>
          <w:u w:val="single"/>
        </w:rPr>
        <w:t>Benavente Silva, M.</w:t>
      </w:r>
    </w:p>
    <w:p w:rsidR="00917C1F" w:rsidRPr="00C52AE2" w:rsidRDefault="00917C1F" w:rsidP="00917C1F">
      <w:pPr>
        <w:jc w:val="center"/>
        <w:rPr>
          <w:rFonts w:ascii="Arial" w:eastAsia="Times New Roman" w:hAnsi="Arial" w:cs="Arial"/>
        </w:rPr>
      </w:pPr>
      <w:r w:rsidRPr="00C52AE2">
        <w:rPr>
          <w:rFonts w:ascii="Arial" w:eastAsia="Times New Roman" w:hAnsi="Arial" w:cs="Arial"/>
        </w:rPr>
        <w:t>Facultad de Ingeniería Química, U</w:t>
      </w:r>
      <w:r>
        <w:rPr>
          <w:rFonts w:ascii="Arial" w:eastAsia="Times New Roman" w:hAnsi="Arial" w:cs="Arial"/>
        </w:rPr>
        <w:t xml:space="preserve">niversidad </w:t>
      </w:r>
      <w:r w:rsidRPr="00C52AE2">
        <w:rPr>
          <w:rFonts w:ascii="Arial" w:eastAsia="Times New Roman" w:hAnsi="Arial" w:cs="Arial"/>
        </w:rPr>
        <w:t>N</w:t>
      </w:r>
      <w:r>
        <w:rPr>
          <w:rFonts w:ascii="Arial" w:eastAsia="Times New Roman" w:hAnsi="Arial" w:cs="Arial"/>
        </w:rPr>
        <w:t xml:space="preserve">acional de </w:t>
      </w:r>
      <w:r w:rsidRPr="00C52AE2">
        <w:rPr>
          <w:rFonts w:ascii="Arial" w:eastAsia="Times New Roman" w:hAnsi="Arial" w:cs="Arial"/>
        </w:rPr>
        <w:t>I</w:t>
      </w:r>
      <w:r>
        <w:rPr>
          <w:rFonts w:ascii="Arial" w:eastAsia="Times New Roman" w:hAnsi="Arial" w:cs="Arial"/>
        </w:rPr>
        <w:t>ngeniería</w:t>
      </w:r>
    </w:p>
    <w:p w:rsidR="00917C1F" w:rsidRDefault="001345E4" w:rsidP="00917C1F">
      <w:pPr>
        <w:pStyle w:val="Author"/>
        <w:rPr>
          <w:rFonts w:ascii="Arial" w:hAnsi="Arial" w:cs="Arial"/>
          <w:szCs w:val="24"/>
          <w:lang w:val="es-ES"/>
        </w:rPr>
      </w:pPr>
      <w:hyperlink r:id="rId1329" w:history="1">
        <w:r w:rsidR="00917C1F" w:rsidRPr="00C52AE2">
          <w:rPr>
            <w:rFonts w:ascii="Arial" w:hAnsi="Arial" w:cs="Arial"/>
            <w:szCs w:val="24"/>
            <w:lang w:val="es-ES"/>
          </w:rPr>
          <w:t>carolalvareztrejos@gmail.com</w:t>
        </w:r>
      </w:hyperlink>
      <w:r w:rsidR="00917C1F" w:rsidRPr="00C52AE2">
        <w:rPr>
          <w:rFonts w:ascii="Arial" w:hAnsi="Arial" w:cs="Arial"/>
          <w:szCs w:val="24"/>
          <w:lang w:val="es-ES"/>
        </w:rPr>
        <w:t xml:space="preserve">, </w:t>
      </w:r>
      <w:hyperlink r:id="rId1330" w:history="1">
        <w:r w:rsidR="00917C1F" w:rsidRPr="00C52AE2">
          <w:rPr>
            <w:rFonts w:ascii="Arial" w:hAnsi="Arial" w:cs="Arial"/>
            <w:szCs w:val="24"/>
            <w:lang w:val="es-ES"/>
          </w:rPr>
          <w:t>vaneblanco25@hotmail.com</w:t>
        </w:r>
      </w:hyperlink>
      <w:r w:rsidR="00917C1F" w:rsidRPr="00C52AE2">
        <w:rPr>
          <w:rFonts w:ascii="Arial" w:hAnsi="Arial" w:cs="Arial"/>
          <w:szCs w:val="24"/>
          <w:lang w:val="es-ES"/>
        </w:rPr>
        <w:t xml:space="preserve">, </w:t>
      </w:r>
      <w:hyperlink r:id="rId1331" w:history="1">
        <w:r w:rsidR="00917C1F" w:rsidRPr="00C52AE2">
          <w:rPr>
            <w:rFonts w:ascii="Arial" w:hAnsi="Arial" w:cs="Arial"/>
            <w:szCs w:val="24"/>
            <w:lang w:val="es-ES"/>
          </w:rPr>
          <w:t>martha.benavente@fiq.uni.edu.ni</w:t>
        </w:r>
      </w:hyperlink>
    </w:p>
    <w:p w:rsidR="00917C1F" w:rsidRPr="00C52AE2" w:rsidRDefault="00917C1F" w:rsidP="00917C1F">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olor w:val="000000"/>
        </w:rPr>
      </w:pPr>
    </w:p>
    <w:p w:rsidR="00917C1F" w:rsidRPr="00917C1F" w:rsidRDefault="00917C1F" w:rsidP="00917C1F">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olor w:val="000000"/>
          <w:sz w:val="24"/>
          <w:szCs w:val="24"/>
        </w:rPr>
      </w:pPr>
      <w:bookmarkStart w:id="447" w:name="_Toc50031474"/>
      <w:r w:rsidRPr="00917C1F">
        <w:rPr>
          <w:rFonts w:ascii="Arial" w:hAnsi="Arial" w:cs="Arial"/>
          <w:i/>
          <w:caps/>
          <w:sz w:val="24"/>
          <w:szCs w:val="24"/>
        </w:rPr>
        <w:t>1. R</w:t>
      </w:r>
      <w:r w:rsidRPr="00917C1F">
        <w:rPr>
          <w:rFonts w:ascii="Arial" w:hAnsi="Arial" w:cs="Arial"/>
          <w:i/>
          <w:sz w:val="24"/>
          <w:szCs w:val="24"/>
        </w:rPr>
        <w:t>esumen</w:t>
      </w:r>
      <w:bookmarkEnd w:id="447"/>
      <w:r w:rsidRPr="00917C1F">
        <w:rPr>
          <w:rFonts w:ascii="Arial" w:hAnsi="Arial" w:cs="Arial"/>
          <w:i/>
          <w:caps/>
          <w:sz w:val="24"/>
          <w:szCs w:val="24"/>
        </w:rPr>
        <w:t xml:space="preserve"> </w:t>
      </w:r>
    </w:p>
    <w:p w:rsidR="00917C1F" w:rsidRPr="00C52AE2" w:rsidRDefault="00917C1F" w:rsidP="00917C1F">
      <w:pPr>
        <w:numPr>
          <w:ilvl w:val="3"/>
          <w:numId w:val="1"/>
        </w:numPr>
        <w:tabs>
          <w:tab w:val="clear" w:pos="864"/>
          <w:tab w:val="num" w:pos="0"/>
        </w:tabs>
        <w:suppressAutoHyphens/>
        <w:spacing w:after="0" w:line="240" w:lineRule="auto"/>
        <w:ind w:left="0" w:firstLine="567"/>
        <w:jc w:val="both"/>
        <w:rPr>
          <w:rFonts w:ascii="Arial" w:hAnsi="Arial" w:cs="Arial"/>
          <w:color w:val="000000"/>
        </w:rPr>
      </w:pPr>
      <w:r w:rsidRPr="00C52AE2">
        <w:rPr>
          <w:rFonts w:ascii="Arial" w:hAnsi="Arial" w:cs="Arial"/>
          <w:color w:val="000000"/>
        </w:rPr>
        <w:t xml:space="preserve">Este trabajo comprende el estudio </w:t>
      </w:r>
      <w:r>
        <w:rPr>
          <w:rFonts w:ascii="Arial" w:hAnsi="Arial" w:cs="Arial"/>
          <w:color w:val="000000"/>
        </w:rPr>
        <w:t xml:space="preserve">comparativo </w:t>
      </w:r>
      <w:r w:rsidRPr="00C52AE2">
        <w:rPr>
          <w:rFonts w:ascii="Arial" w:hAnsi="Arial" w:cs="Arial"/>
          <w:color w:val="000000"/>
        </w:rPr>
        <w:t>del</w:t>
      </w:r>
      <w:r>
        <w:rPr>
          <w:rFonts w:ascii="Arial" w:hAnsi="Arial" w:cs="Arial"/>
          <w:color w:val="000000"/>
        </w:rPr>
        <w:t xml:space="preserve"> equilibrio y</w:t>
      </w:r>
      <w:r w:rsidRPr="00C52AE2">
        <w:rPr>
          <w:rFonts w:ascii="Arial" w:hAnsi="Arial" w:cs="Arial"/>
          <w:color w:val="000000"/>
        </w:rPr>
        <w:t xml:space="preserve"> </w:t>
      </w:r>
      <w:r>
        <w:rPr>
          <w:rFonts w:ascii="Arial" w:hAnsi="Arial" w:cs="Arial"/>
          <w:color w:val="000000"/>
        </w:rPr>
        <w:t xml:space="preserve">cinética de </w:t>
      </w:r>
      <w:r w:rsidRPr="00C52AE2">
        <w:rPr>
          <w:rFonts w:ascii="Arial" w:hAnsi="Arial" w:cs="Arial"/>
          <w:color w:val="000000"/>
        </w:rPr>
        <w:t>adsorción de</w:t>
      </w:r>
      <w:r>
        <w:rPr>
          <w:rFonts w:ascii="Arial" w:hAnsi="Arial" w:cs="Arial"/>
          <w:color w:val="000000"/>
        </w:rPr>
        <w:t xml:space="preserve"> </w:t>
      </w:r>
      <w:r w:rsidRPr="00C52AE2">
        <w:rPr>
          <w:rFonts w:ascii="Arial" w:hAnsi="Arial" w:cs="Arial"/>
          <w:color w:val="000000"/>
        </w:rPr>
        <w:t xml:space="preserve">aluminio en quitosano y </w:t>
      </w:r>
      <w:r>
        <w:rPr>
          <w:rFonts w:ascii="Arial" w:hAnsi="Arial" w:cs="Arial"/>
          <w:color w:val="000000"/>
        </w:rPr>
        <w:t xml:space="preserve">en </w:t>
      </w:r>
      <w:r w:rsidRPr="00C52AE2">
        <w:rPr>
          <w:rFonts w:ascii="Arial" w:hAnsi="Arial" w:cs="Arial"/>
          <w:color w:val="000000"/>
        </w:rPr>
        <w:t xml:space="preserve">cascarilla de arroz, y su aplicación en muestras de aguas potable. El estudio involucró la determinación del pH de máxima adsorción del ion en un </w:t>
      </w:r>
      <w:r>
        <w:rPr>
          <w:rFonts w:ascii="Arial" w:hAnsi="Arial" w:cs="Arial"/>
          <w:color w:val="000000"/>
        </w:rPr>
        <w:t>intervalo</w:t>
      </w:r>
      <w:r w:rsidRPr="00C52AE2">
        <w:rPr>
          <w:rFonts w:ascii="Arial" w:hAnsi="Arial" w:cs="Arial"/>
          <w:color w:val="000000"/>
        </w:rPr>
        <w:t xml:space="preserve"> de</w:t>
      </w:r>
      <w:r>
        <w:rPr>
          <w:rFonts w:ascii="Arial" w:hAnsi="Arial" w:cs="Arial"/>
          <w:color w:val="000000"/>
        </w:rPr>
        <w:t xml:space="preserve"> pH de 4 a 7</w:t>
      </w:r>
      <w:r w:rsidRPr="00C52AE2">
        <w:rPr>
          <w:rFonts w:ascii="Arial" w:hAnsi="Arial" w:cs="Arial"/>
          <w:color w:val="000000"/>
        </w:rPr>
        <w:t>. Los resultados muestran que la adsorción del io</w:t>
      </w:r>
      <w:r>
        <w:rPr>
          <w:rFonts w:ascii="Arial" w:hAnsi="Arial" w:cs="Arial"/>
          <w:color w:val="000000"/>
        </w:rPr>
        <w:t>n</w:t>
      </w:r>
      <w:r w:rsidRPr="00C52AE2">
        <w:rPr>
          <w:rFonts w:ascii="Arial" w:hAnsi="Arial" w:cs="Arial"/>
          <w:color w:val="000000"/>
        </w:rPr>
        <w:t xml:space="preserve"> depende del pH, </w:t>
      </w:r>
      <w:r>
        <w:rPr>
          <w:rFonts w:ascii="Arial" w:hAnsi="Arial" w:cs="Arial"/>
          <w:color w:val="000000"/>
        </w:rPr>
        <w:t>s</w:t>
      </w:r>
      <w:r w:rsidRPr="00C52AE2">
        <w:rPr>
          <w:rFonts w:ascii="Arial" w:hAnsi="Arial" w:cs="Arial"/>
          <w:color w:val="000000"/>
        </w:rPr>
        <w:t xml:space="preserve">iendo el mayor porcentaje de remoción a pH 5 en quitosano y a pH 6 en cascarilla de arroz. </w:t>
      </w:r>
      <w:r>
        <w:rPr>
          <w:rFonts w:ascii="Arial" w:hAnsi="Arial" w:cs="Arial"/>
          <w:color w:val="000000"/>
        </w:rPr>
        <w:t>L</w:t>
      </w:r>
      <w:r w:rsidRPr="00C52AE2">
        <w:rPr>
          <w:rFonts w:ascii="Arial" w:hAnsi="Arial" w:cs="Arial"/>
          <w:color w:val="000000"/>
        </w:rPr>
        <w:t>a evaluación de los datos de equilibrio de adsorción mostró, que para ambos bioadsorbentes, hubo un mejor ajuste al modelo de Freundlich.</w:t>
      </w:r>
      <w:r>
        <w:rPr>
          <w:rFonts w:ascii="Arial" w:hAnsi="Arial" w:cs="Arial"/>
          <w:color w:val="000000"/>
        </w:rPr>
        <w:t xml:space="preserve"> L</w:t>
      </w:r>
      <w:r w:rsidRPr="00C52AE2">
        <w:rPr>
          <w:rFonts w:ascii="Arial" w:hAnsi="Arial" w:cs="Arial"/>
          <w:color w:val="000000"/>
        </w:rPr>
        <w:t xml:space="preserve">os </w:t>
      </w:r>
      <w:r>
        <w:rPr>
          <w:rFonts w:ascii="Arial" w:hAnsi="Arial" w:cs="Arial"/>
          <w:color w:val="000000"/>
        </w:rPr>
        <w:t>resultad</w:t>
      </w:r>
      <w:r w:rsidRPr="00C52AE2">
        <w:rPr>
          <w:rFonts w:ascii="Arial" w:hAnsi="Arial" w:cs="Arial"/>
          <w:color w:val="000000"/>
        </w:rPr>
        <w:t>os experimentales de</w:t>
      </w:r>
      <w:r>
        <w:rPr>
          <w:rFonts w:ascii="Arial" w:hAnsi="Arial" w:cs="Arial"/>
          <w:color w:val="000000"/>
        </w:rPr>
        <w:t xml:space="preserve"> </w:t>
      </w:r>
      <w:r w:rsidRPr="00C52AE2">
        <w:rPr>
          <w:rFonts w:ascii="Arial" w:hAnsi="Arial" w:cs="Arial"/>
          <w:color w:val="000000"/>
        </w:rPr>
        <w:t>l</w:t>
      </w:r>
      <w:r>
        <w:rPr>
          <w:rFonts w:ascii="Arial" w:hAnsi="Arial" w:cs="Arial"/>
          <w:color w:val="000000"/>
        </w:rPr>
        <w:t>a</w:t>
      </w:r>
      <w:r w:rsidRPr="00C52AE2">
        <w:rPr>
          <w:rFonts w:ascii="Arial" w:hAnsi="Arial" w:cs="Arial"/>
          <w:color w:val="000000"/>
        </w:rPr>
        <w:t xml:space="preserve"> </w:t>
      </w:r>
      <w:r>
        <w:rPr>
          <w:rFonts w:ascii="Arial" w:hAnsi="Arial" w:cs="Arial"/>
          <w:color w:val="000000"/>
        </w:rPr>
        <w:t>cinética</w:t>
      </w:r>
      <w:r w:rsidRPr="00C52AE2">
        <w:rPr>
          <w:rFonts w:ascii="Arial" w:hAnsi="Arial" w:cs="Arial"/>
          <w:color w:val="000000"/>
        </w:rPr>
        <w:t xml:space="preserve"> de adsorción </w:t>
      </w:r>
      <w:r>
        <w:rPr>
          <w:rFonts w:ascii="Arial" w:hAnsi="Arial" w:cs="Arial"/>
        </w:rPr>
        <w:t xml:space="preserve">mostraron una buena correlación </w:t>
      </w:r>
      <w:r>
        <w:rPr>
          <w:rFonts w:ascii="Arial" w:hAnsi="Arial" w:cs="Arial"/>
          <w:color w:val="000000"/>
        </w:rPr>
        <w:t>con el modelo de pseudo segundo orden.</w:t>
      </w:r>
      <w:r w:rsidRPr="00C52AE2">
        <w:rPr>
          <w:rFonts w:ascii="Arial" w:hAnsi="Arial" w:cs="Arial"/>
          <w:color w:val="000000"/>
        </w:rPr>
        <w:t xml:space="preserve"> Así también, la eficacia de ambos bioadsorbentes en la adsorción de aluminio de muestras de aguas potable </w:t>
      </w:r>
      <w:r>
        <w:rPr>
          <w:rFonts w:ascii="Arial" w:hAnsi="Arial" w:cs="Arial"/>
          <w:color w:val="000000"/>
        </w:rPr>
        <w:t>fue comprobada,</w:t>
      </w:r>
      <w:r w:rsidRPr="00C52AE2">
        <w:rPr>
          <w:rFonts w:ascii="Arial" w:hAnsi="Arial" w:cs="Arial"/>
          <w:color w:val="000000"/>
        </w:rPr>
        <w:t xml:space="preserve"> con porcentajes de remoción mayores </w:t>
      </w:r>
      <w:r>
        <w:rPr>
          <w:rFonts w:ascii="Arial" w:hAnsi="Arial" w:cs="Arial"/>
          <w:color w:val="000000"/>
        </w:rPr>
        <w:t>a</w:t>
      </w:r>
      <w:r w:rsidRPr="00C52AE2">
        <w:rPr>
          <w:rFonts w:ascii="Arial" w:hAnsi="Arial" w:cs="Arial"/>
          <w:color w:val="000000"/>
        </w:rPr>
        <w:t>l 95%.</w:t>
      </w:r>
    </w:p>
    <w:p w:rsidR="00917C1F" w:rsidRDefault="00917C1F" w:rsidP="00917C1F">
      <w:pPr>
        <w:ind w:firstLine="567"/>
        <w:jc w:val="both"/>
        <w:rPr>
          <w:rFonts w:ascii="Arial" w:hAnsi="Arial" w:cs="Arial"/>
          <w:color w:val="000000"/>
        </w:rPr>
      </w:pPr>
    </w:p>
    <w:p w:rsidR="00917C1F" w:rsidRPr="00917C1F" w:rsidRDefault="00917C1F" w:rsidP="00917C1F">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aps/>
          <w:sz w:val="24"/>
          <w:szCs w:val="24"/>
        </w:rPr>
      </w:pPr>
      <w:bookmarkStart w:id="448" w:name="_Toc50031475"/>
      <w:r w:rsidRPr="00917C1F">
        <w:rPr>
          <w:rFonts w:ascii="Arial" w:hAnsi="Arial" w:cs="Arial"/>
          <w:i/>
          <w:caps/>
          <w:sz w:val="24"/>
          <w:szCs w:val="24"/>
        </w:rPr>
        <w:t>2. I</w:t>
      </w:r>
      <w:r w:rsidRPr="00917C1F">
        <w:rPr>
          <w:rFonts w:ascii="Arial" w:hAnsi="Arial" w:cs="Arial"/>
          <w:i/>
          <w:sz w:val="24"/>
          <w:szCs w:val="24"/>
        </w:rPr>
        <w:t>ntroducción</w:t>
      </w:r>
      <w:bookmarkEnd w:id="448"/>
      <w:r w:rsidRPr="00917C1F">
        <w:rPr>
          <w:rFonts w:ascii="Arial" w:hAnsi="Arial" w:cs="Arial"/>
          <w:i/>
          <w:caps/>
          <w:sz w:val="24"/>
          <w:szCs w:val="24"/>
        </w:rPr>
        <w:t xml:space="preserve"> </w:t>
      </w:r>
    </w:p>
    <w:p w:rsidR="00917C1F" w:rsidRPr="00F75B7A" w:rsidRDefault="00917C1F" w:rsidP="00917C1F">
      <w:pPr>
        <w:jc w:val="both"/>
        <w:rPr>
          <w:rFonts w:ascii="Arial" w:eastAsia="Times New Roman" w:hAnsi="Arial" w:cs="Arial"/>
        </w:rPr>
      </w:pPr>
      <w:r>
        <w:t xml:space="preserve">         </w:t>
      </w:r>
      <w:r w:rsidRPr="00EE3555">
        <w:rPr>
          <w:rFonts w:ascii="Arial" w:eastAsia="Times New Roman" w:hAnsi="Arial" w:cs="Arial"/>
        </w:rPr>
        <w:t>En el proceso de la potabilización del agua para el consumo humano se emplean coagulantes con el propósito de neutralizar la carga de los coloides generalmente electronegativos, presentes en el agua, formando un precipitado. En Nicaragua, las sales de aluminio son utilizadas como coagulantes en los sistemas de tratamiento de agua potable.</w:t>
      </w:r>
      <w:r>
        <w:rPr>
          <w:rFonts w:ascii="Arial" w:eastAsia="Times New Roman" w:hAnsi="Arial" w:cs="Arial"/>
        </w:rPr>
        <w:t xml:space="preserve"> </w:t>
      </w:r>
    </w:p>
    <w:p w:rsidR="00917C1F" w:rsidRDefault="00917C1F" w:rsidP="00917C1F">
      <w:pPr>
        <w:ind w:firstLine="567"/>
        <w:jc w:val="both"/>
        <w:rPr>
          <w:rFonts w:ascii="Arial" w:eastAsia="Calibri" w:hAnsi="Arial" w:cs="Arial"/>
          <w:lang w:val="es-NI"/>
        </w:rPr>
      </w:pPr>
      <w:r>
        <w:rPr>
          <w:rFonts w:ascii="Arial" w:eastAsia="Calibri" w:hAnsi="Arial" w:cs="Arial"/>
          <w:lang w:val="es-NI"/>
        </w:rPr>
        <w:t>D</w:t>
      </w:r>
      <w:r w:rsidRPr="00EF0F79">
        <w:rPr>
          <w:rFonts w:ascii="Arial" w:eastAsia="Calibri" w:hAnsi="Arial" w:cs="Arial"/>
          <w:lang w:val="es-NI"/>
        </w:rPr>
        <w:t>iversos trabajos ha</w:t>
      </w:r>
      <w:r>
        <w:rPr>
          <w:rFonts w:ascii="Arial" w:eastAsia="Calibri" w:hAnsi="Arial" w:cs="Arial"/>
          <w:lang w:val="es-NI"/>
        </w:rPr>
        <w:t>n</w:t>
      </w:r>
      <w:r w:rsidRPr="00EF0F79">
        <w:rPr>
          <w:rFonts w:ascii="Arial" w:eastAsia="Calibri" w:hAnsi="Arial" w:cs="Arial"/>
          <w:lang w:val="es-NI"/>
        </w:rPr>
        <w:t xml:space="preserve"> estudiado el contenido de aluminio en el agua </w:t>
      </w:r>
      <w:r w:rsidRPr="004D3DE2">
        <w:rPr>
          <w:rFonts w:ascii="Arial" w:eastAsia="Calibri" w:hAnsi="Arial" w:cs="Arial"/>
          <w:lang w:val="es-NI"/>
        </w:rPr>
        <w:t>potable</w:t>
      </w:r>
      <w:r>
        <w:rPr>
          <w:rFonts w:ascii="Arial" w:eastAsia="Calibri" w:hAnsi="Arial" w:cs="Arial"/>
          <w:lang w:val="es-NI"/>
        </w:rPr>
        <w:t xml:space="preserve"> </w:t>
      </w:r>
      <w:r w:rsidRPr="00A85469">
        <w:rPr>
          <w:rFonts w:ascii="Arial" w:eastAsia="Calibri" w:hAnsi="Arial" w:cs="Arial"/>
          <w:vertAlign w:val="superscript"/>
          <w:lang w:val="es-NI"/>
        </w:rPr>
        <w:t>[1,2]</w:t>
      </w:r>
      <w:r w:rsidRPr="00EF0F79">
        <w:rPr>
          <w:rFonts w:ascii="Arial" w:eastAsia="Calibri" w:hAnsi="Arial" w:cs="Arial"/>
          <w:lang w:val="es-NI"/>
        </w:rPr>
        <w:t>, ya que</w:t>
      </w:r>
      <w:r>
        <w:rPr>
          <w:rFonts w:ascii="Arial" w:eastAsia="Calibri" w:hAnsi="Arial" w:cs="Arial"/>
          <w:lang w:val="es-NI"/>
        </w:rPr>
        <w:t>,</w:t>
      </w:r>
      <w:r w:rsidRPr="005B0214">
        <w:rPr>
          <w:rFonts w:ascii="Arial" w:eastAsia="Calibri" w:hAnsi="Arial" w:cs="Arial"/>
          <w:lang w:val="es-NI"/>
        </w:rPr>
        <w:t xml:space="preserve"> cuando sobrepasa los </w:t>
      </w:r>
      <w:r w:rsidRPr="004C2CA9">
        <w:rPr>
          <w:rFonts w:ascii="Arial" w:eastAsia="Calibri" w:hAnsi="Arial" w:cs="Arial"/>
          <w:lang w:val="es-NI"/>
        </w:rPr>
        <w:t>niveles permitidos por las normas CAPRE</w:t>
      </w:r>
      <w:r>
        <w:rPr>
          <w:rFonts w:ascii="Arial" w:eastAsia="Calibri" w:hAnsi="Arial" w:cs="Arial"/>
          <w:lang w:val="es-NI"/>
        </w:rPr>
        <w:t xml:space="preserve"> (0.2 mg/L),</w:t>
      </w:r>
      <w:r w:rsidRPr="004C2CA9">
        <w:rPr>
          <w:rFonts w:ascii="Arial" w:eastAsia="Calibri" w:hAnsi="Arial" w:cs="Arial"/>
          <w:lang w:val="es-NI"/>
        </w:rPr>
        <w:t xml:space="preserve"> se alteran las propiedades organolépticas del agua</w:t>
      </w:r>
      <w:r>
        <w:rPr>
          <w:rFonts w:ascii="Arial" w:eastAsia="Calibri" w:hAnsi="Arial" w:cs="Arial"/>
          <w:lang w:val="es-NI"/>
        </w:rPr>
        <w:t xml:space="preserve"> y puede provocar diversas enfermedades</w:t>
      </w:r>
      <w:r w:rsidRPr="002B0D18">
        <w:rPr>
          <w:rFonts w:ascii="Arial" w:eastAsia="Calibri" w:hAnsi="Arial" w:cs="Arial"/>
          <w:lang w:val="es-NI"/>
        </w:rPr>
        <w:t>, tales como la enfermedad de Alzheimer, hipoalbuminemia y anemia</w:t>
      </w:r>
      <w:r>
        <w:rPr>
          <w:rFonts w:ascii="Arial" w:eastAsia="Calibri" w:hAnsi="Arial" w:cs="Arial"/>
          <w:lang w:val="es-NI"/>
        </w:rPr>
        <w:t xml:space="preserve"> </w:t>
      </w:r>
      <w:r w:rsidRPr="00A85469">
        <w:rPr>
          <w:rFonts w:ascii="Arial" w:eastAsia="Calibri" w:hAnsi="Arial" w:cs="Arial"/>
          <w:vertAlign w:val="superscript"/>
          <w:lang w:val="es-NI"/>
        </w:rPr>
        <w:t>[</w:t>
      </w:r>
      <w:r>
        <w:rPr>
          <w:rFonts w:ascii="Arial" w:eastAsia="Calibri" w:hAnsi="Arial" w:cs="Arial"/>
          <w:vertAlign w:val="superscript"/>
          <w:lang w:val="es-NI"/>
        </w:rPr>
        <w:t>3</w:t>
      </w:r>
      <w:r w:rsidRPr="00A85469">
        <w:rPr>
          <w:rFonts w:ascii="Arial" w:eastAsia="Calibri" w:hAnsi="Arial" w:cs="Arial"/>
          <w:vertAlign w:val="superscript"/>
          <w:lang w:val="es-NI"/>
        </w:rPr>
        <w:t>]</w:t>
      </w:r>
      <w:r>
        <w:rPr>
          <w:rFonts w:ascii="Arial" w:eastAsia="Calibri" w:hAnsi="Arial" w:cs="Arial"/>
          <w:lang w:val="es-NI"/>
        </w:rPr>
        <w:t xml:space="preserve">. </w:t>
      </w:r>
    </w:p>
    <w:p w:rsidR="00917C1F" w:rsidRDefault="00917C1F" w:rsidP="00917C1F">
      <w:pPr>
        <w:ind w:firstLine="567"/>
        <w:jc w:val="both"/>
        <w:rPr>
          <w:rFonts w:ascii="Arial" w:eastAsia="Calibri" w:hAnsi="Arial" w:cs="Arial"/>
          <w:lang w:val="es-NI"/>
        </w:rPr>
      </w:pPr>
      <w:r w:rsidRPr="004C2CA9">
        <w:rPr>
          <w:rFonts w:ascii="Arial" w:eastAsia="Calibri" w:hAnsi="Arial" w:cs="Arial"/>
          <w:lang w:val="es-NI"/>
        </w:rPr>
        <w:t xml:space="preserve">En </w:t>
      </w:r>
      <w:r>
        <w:rPr>
          <w:rFonts w:ascii="Arial" w:eastAsia="Calibri" w:hAnsi="Arial" w:cs="Arial"/>
          <w:lang w:val="es-NI"/>
        </w:rPr>
        <w:t xml:space="preserve">una </w:t>
      </w:r>
      <w:r w:rsidRPr="004C2CA9">
        <w:rPr>
          <w:rFonts w:ascii="Arial" w:eastAsia="Calibri" w:hAnsi="Arial" w:cs="Arial"/>
          <w:lang w:val="es-NI"/>
        </w:rPr>
        <w:t>evaluación de la calidad del agua potable en cuatro plantas pota</w:t>
      </w:r>
      <w:r>
        <w:rPr>
          <w:rFonts w:ascii="Arial" w:eastAsia="Calibri" w:hAnsi="Arial" w:cs="Arial"/>
          <w:lang w:val="es-NI"/>
        </w:rPr>
        <w:t>bilizadoras de la región Boaco-C</w:t>
      </w:r>
      <w:r w:rsidRPr="004C2CA9">
        <w:rPr>
          <w:rFonts w:ascii="Arial" w:eastAsia="Calibri" w:hAnsi="Arial" w:cs="Arial"/>
          <w:lang w:val="es-NI"/>
        </w:rPr>
        <w:t>hontales</w:t>
      </w:r>
      <w:r>
        <w:rPr>
          <w:rFonts w:ascii="Arial" w:eastAsia="Calibri" w:hAnsi="Arial" w:cs="Arial"/>
          <w:lang w:val="es-NI"/>
        </w:rPr>
        <w:t>,</w:t>
      </w:r>
      <w:r w:rsidRPr="004C2CA9">
        <w:rPr>
          <w:rFonts w:ascii="Arial" w:eastAsia="Calibri" w:hAnsi="Arial" w:cs="Arial"/>
          <w:lang w:val="es-NI"/>
        </w:rPr>
        <w:t xml:space="preserve"> para el período 2003-2007</w:t>
      </w:r>
      <w:r>
        <w:rPr>
          <w:rFonts w:ascii="Arial" w:eastAsia="Calibri" w:hAnsi="Arial" w:cs="Arial"/>
          <w:lang w:val="es-NI"/>
        </w:rPr>
        <w:t xml:space="preserve">, se encontró que el agua potable producida por las plantas de tratamiento de agua potable de Santo Tomás, Juigalpa, Camoapa y Boaco, los niveles de aluminio sobrepasaban el </w:t>
      </w:r>
      <w:r w:rsidRPr="004C2CA9">
        <w:rPr>
          <w:rFonts w:ascii="Arial" w:eastAsia="Calibri" w:hAnsi="Arial" w:cs="Arial"/>
          <w:lang w:val="es-NI"/>
        </w:rPr>
        <w:t>valor máximo admisible de aluminio</w:t>
      </w:r>
      <w:r>
        <w:rPr>
          <w:rFonts w:ascii="Arial" w:eastAsia="Calibri" w:hAnsi="Arial" w:cs="Arial"/>
          <w:lang w:val="es-NI"/>
        </w:rPr>
        <w:t xml:space="preserve">, siendo el agua potable de Juigalpa la que contenía la mayor concentración de aluminio (19.3 mg/L) </w:t>
      </w:r>
      <w:r w:rsidRPr="00A85469">
        <w:rPr>
          <w:rFonts w:ascii="Arial" w:eastAsia="Calibri" w:hAnsi="Arial" w:cs="Arial"/>
          <w:vertAlign w:val="superscript"/>
          <w:lang w:val="es-NI"/>
        </w:rPr>
        <w:t>[</w:t>
      </w:r>
      <w:r>
        <w:rPr>
          <w:rFonts w:ascii="Arial" w:eastAsia="Calibri" w:hAnsi="Arial" w:cs="Arial"/>
          <w:vertAlign w:val="superscript"/>
          <w:lang w:val="es-NI"/>
        </w:rPr>
        <w:t>4</w:t>
      </w:r>
      <w:r w:rsidRPr="00A85469">
        <w:rPr>
          <w:rFonts w:ascii="Arial" w:eastAsia="Calibri" w:hAnsi="Arial" w:cs="Arial"/>
          <w:vertAlign w:val="superscript"/>
          <w:lang w:val="es-NI"/>
        </w:rPr>
        <w:t>]</w:t>
      </w:r>
      <w:r>
        <w:rPr>
          <w:rFonts w:ascii="Arial" w:eastAsia="Calibri" w:hAnsi="Arial" w:cs="Arial"/>
          <w:lang w:val="es-NI"/>
        </w:rPr>
        <w:t>.</w:t>
      </w:r>
    </w:p>
    <w:p w:rsidR="00917C1F" w:rsidRPr="00766060" w:rsidRDefault="00917C1F" w:rsidP="00917C1F">
      <w:pPr>
        <w:ind w:firstLine="567"/>
        <w:jc w:val="both"/>
        <w:rPr>
          <w:rFonts w:ascii="Arial" w:eastAsia="Calibri" w:hAnsi="Arial" w:cs="Arial"/>
          <w:lang w:val="es-NI"/>
        </w:rPr>
      </w:pPr>
      <w:r>
        <w:rPr>
          <w:rFonts w:ascii="Arial" w:eastAsia="Calibri" w:hAnsi="Arial" w:cs="Arial"/>
          <w:lang w:val="es-NI"/>
        </w:rPr>
        <w:t xml:space="preserve">Una alternativa de bajos costos, alta disponibilidad y amigable con el ambiente para la eliminación de iones metálicos es la bioadsorción, usando materiales biológicos como quitosano y cascarilla de arroz. </w:t>
      </w:r>
      <w:r w:rsidRPr="00766060">
        <w:rPr>
          <w:rFonts w:ascii="Arial" w:eastAsia="Calibri" w:hAnsi="Arial" w:cs="Arial"/>
          <w:lang w:val="es-NI"/>
        </w:rPr>
        <w:t>El quitosano, un polisacárido que se puede obtener a partir de exoesqueletos de crustáceos, moluscos e insectos, ha sido usado, desde hace varios años, en el tratamiento de agua como adsorbente para remover metales pesados</w:t>
      </w:r>
      <w:r>
        <w:rPr>
          <w:rFonts w:ascii="Arial" w:eastAsia="Calibri" w:hAnsi="Arial" w:cs="Arial"/>
          <w:lang w:val="es-NI"/>
        </w:rPr>
        <w:t xml:space="preserve"> </w:t>
      </w:r>
      <w:r w:rsidRPr="00A85469">
        <w:rPr>
          <w:rFonts w:ascii="Arial" w:eastAsia="Calibri" w:hAnsi="Arial" w:cs="Arial"/>
          <w:vertAlign w:val="superscript"/>
          <w:lang w:val="es-NI"/>
        </w:rPr>
        <w:t>[</w:t>
      </w:r>
      <w:r>
        <w:rPr>
          <w:rFonts w:ascii="Arial" w:eastAsia="Calibri" w:hAnsi="Arial" w:cs="Arial"/>
          <w:vertAlign w:val="superscript"/>
          <w:lang w:val="es-NI"/>
        </w:rPr>
        <w:t>5</w:t>
      </w:r>
      <w:r w:rsidRPr="00A85469">
        <w:rPr>
          <w:rFonts w:ascii="Arial" w:eastAsia="Calibri" w:hAnsi="Arial" w:cs="Arial"/>
          <w:vertAlign w:val="superscript"/>
          <w:lang w:val="es-NI"/>
        </w:rPr>
        <w:t>]</w:t>
      </w:r>
      <w:r w:rsidRPr="00766060">
        <w:rPr>
          <w:rFonts w:ascii="Arial" w:eastAsia="Calibri" w:hAnsi="Arial" w:cs="Arial"/>
          <w:lang w:val="es-NI"/>
        </w:rPr>
        <w:t xml:space="preserve">. </w:t>
      </w:r>
      <w:r>
        <w:rPr>
          <w:rFonts w:ascii="Arial" w:eastAsia="Calibri" w:hAnsi="Arial" w:cs="Arial"/>
          <w:lang w:val="es-NI"/>
        </w:rPr>
        <w:t>Por otra parte</w:t>
      </w:r>
      <w:r w:rsidRPr="00766060">
        <w:rPr>
          <w:rFonts w:ascii="Arial" w:eastAsia="Calibri" w:hAnsi="Arial" w:cs="Arial"/>
          <w:lang w:val="es-NI"/>
        </w:rPr>
        <w:t xml:space="preserve">, la cascarilla de arroz, un desecho que </w:t>
      </w:r>
      <w:r>
        <w:rPr>
          <w:rFonts w:ascii="Arial" w:eastAsia="Calibri" w:hAnsi="Arial" w:cs="Arial"/>
          <w:lang w:val="es-NI"/>
        </w:rPr>
        <w:t>actualmente</w:t>
      </w:r>
      <w:r w:rsidRPr="00766060">
        <w:rPr>
          <w:rFonts w:ascii="Arial" w:eastAsia="Calibri" w:hAnsi="Arial" w:cs="Arial"/>
          <w:lang w:val="es-NI"/>
        </w:rPr>
        <w:t xml:space="preserve"> se ha convertido en un subproducto agrícola importante, ha sido reportado como un buen adsorbente para la remoción de metales pesados, fenoles, pesticidas y </w:t>
      </w:r>
      <w:r w:rsidRPr="00007A01">
        <w:rPr>
          <w:rFonts w:ascii="Arial" w:eastAsia="Calibri" w:hAnsi="Arial" w:cs="Arial"/>
          <w:lang w:val="es-NI"/>
        </w:rPr>
        <w:t xml:space="preserve">tintes </w:t>
      </w:r>
      <w:r w:rsidRPr="00007A01">
        <w:rPr>
          <w:rFonts w:ascii="Arial" w:eastAsia="Calibri" w:hAnsi="Arial" w:cs="Arial"/>
          <w:vertAlign w:val="superscript"/>
          <w:lang w:val="es-NI"/>
        </w:rPr>
        <w:t>[</w:t>
      </w:r>
      <w:r>
        <w:rPr>
          <w:rFonts w:ascii="Arial" w:eastAsia="Calibri" w:hAnsi="Arial" w:cs="Arial"/>
          <w:vertAlign w:val="superscript"/>
          <w:lang w:val="es-NI"/>
        </w:rPr>
        <w:t>6</w:t>
      </w:r>
      <w:r w:rsidRPr="00007A01">
        <w:rPr>
          <w:rFonts w:ascii="Arial" w:eastAsia="Calibri" w:hAnsi="Arial" w:cs="Arial"/>
          <w:vertAlign w:val="superscript"/>
          <w:lang w:val="es-NI"/>
        </w:rPr>
        <w:t>]</w:t>
      </w:r>
      <w:r w:rsidRPr="00007A01">
        <w:rPr>
          <w:rFonts w:ascii="Arial" w:eastAsia="Calibri" w:hAnsi="Arial" w:cs="Arial"/>
          <w:lang w:val="es-NI"/>
        </w:rPr>
        <w:t xml:space="preserve">. De acuerdo a Herrera, Hormanza y Gallego </w:t>
      </w:r>
      <w:r w:rsidRPr="00007A01">
        <w:rPr>
          <w:rFonts w:ascii="Arial" w:eastAsia="Calibri" w:hAnsi="Arial" w:cs="Arial"/>
          <w:vertAlign w:val="superscript"/>
          <w:lang w:val="es-NI"/>
        </w:rPr>
        <w:t>[</w:t>
      </w:r>
      <w:r>
        <w:rPr>
          <w:rFonts w:ascii="Arial" w:eastAsia="Calibri" w:hAnsi="Arial" w:cs="Arial"/>
          <w:vertAlign w:val="superscript"/>
          <w:lang w:val="es-NI"/>
        </w:rPr>
        <w:t>7</w:t>
      </w:r>
      <w:r w:rsidRPr="00007A01">
        <w:rPr>
          <w:rFonts w:ascii="Arial" w:eastAsia="Calibri" w:hAnsi="Arial" w:cs="Arial"/>
          <w:vertAlign w:val="superscript"/>
          <w:lang w:val="es-NI"/>
        </w:rPr>
        <w:t>]</w:t>
      </w:r>
      <w:r w:rsidRPr="00007A01">
        <w:rPr>
          <w:rFonts w:ascii="Arial" w:eastAsia="Calibri" w:hAnsi="Arial" w:cs="Arial"/>
          <w:lang w:val="es-NI"/>
        </w:rPr>
        <w:t>,</w:t>
      </w:r>
      <w:r w:rsidRPr="00766060">
        <w:rPr>
          <w:rFonts w:ascii="Arial" w:eastAsia="Calibri" w:hAnsi="Arial" w:cs="Arial"/>
          <w:lang w:val="es-NI"/>
        </w:rPr>
        <w:t xml:space="preserve"> la capacidad de adsorción de la cascarilla de arroz se debe a los compuestos lignocelulósicos que posee, los cuales se caracterizan por tener grupos funcionales ácidos y alcoholes fenilpropílicos en su estructura.</w:t>
      </w:r>
    </w:p>
    <w:p w:rsidR="00917C1F" w:rsidRPr="00766060" w:rsidRDefault="00917C1F" w:rsidP="00917C1F">
      <w:pPr>
        <w:ind w:firstLine="567"/>
        <w:jc w:val="both"/>
        <w:rPr>
          <w:rFonts w:ascii="Arial" w:eastAsia="Calibri" w:hAnsi="Arial" w:cs="Arial"/>
          <w:lang w:val="es-NI"/>
        </w:rPr>
      </w:pPr>
      <w:r w:rsidRPr="00F707F9">
        <w:rPr>
          <w:rFonts w:ascii="Arial" w:eastAsia="Calibri" w:hAnsi="Arial" w:cs="Arial"/>
          <w:lang w:val="es-NI"/>
        </w:rPr>
        <w:t xml:space="preserve">El principal objetivo de este estudio fue comparar la efectividad del quitosano y de la cascarilla de arroz para la remoción del aluminio de aguas sintéticas y </w:t>
      </w:r>
      <w:r>
        <w:rPr>
          <w:rFonts w:ascii="Arial" w:eastAsia="Calibri" w:hAnsi="Arial" w:cs="Arial"/>
          <w:lang w:val="es-NI"/>
        </w:rPr>
        <w:t xml:space="preserve">agua </w:t>
      </w:r>
      <w:r w:rsidRPr="00F707F9">
        <w:rPr>
          <w:rFonts w:ascii="Arial" w:eastAsia="Calibri" w:hAnsi="Arial" w:cs="Arial"/>
          <w:lang w:val="es-NI"/>
        </w:rPr>
        <w:t xml:space="preserve">potable. Así </w:t>
      </w:r>
      <w:r w:rsidRPr="00123D97">
        <w:rPr>
          <w:rFonts w:ascii="Arial" w:eastAsia="Calibri" w:hAnsi="Arial" w:cs="Arial"/>
          <w:lang w:val="es-NI"/>
        </w:rPr>
        <w:t>como, reducir el impacto ambiental negativo de los residuos generados por la industria</w:t>
      </w:r>
      <w:r w:rsidRPr="00F707F9">
        <w:rPr>
          <w:rFonts w:ascii="Arial" w:eastAsia="Calibri" w:hAnsi="Arial" w:cs="Arial"/>
          <w:lang w:val="es-NI"/>
        </w:rPr>
        <w:t xml:space="preserve"> agrícola y acuícola </w:t>
      </w:r>
      <w:r>
        <w:rPr>
          <w:rFonts w:ascii="Arial" w:eastAsia="Calibri" w:hAnsi="Arial" w:cs="Arial"/>
          <w:lang w:val="es-NI"/>
        </w:rPr>
        <w:t xml:space="preserve">al utilizarlos como adsorbentes de metales pesados. </w:t>
      </w:r>
    </w:p>
    <w:p w:rsidR="00917C1F" w:rsidRPr="00766060" w:rsidRDefault="00917C1F" w:rsidP="00917C1F">
      <w:pPr>
        <w:jc w:val="both"/>
        <w:rPr>
          <w:rFonts w:ascii="Arial" w:eastAsia="Calibri" w:hAnsi="Arial" w:cs="Arial"/>
          <w:lang w:val="es-NI"/>
        </w:rPr>
      </w:pPr>
    </w:p>
    <w:p w:rsidR="00917C1F" w:rsidRDefault="00917C1F" w:rsidP="00DF2FE2">
      <w:pPr>
        <w:pStyle w:val="1Titulo"/>
        <w:numPr>
          <w:ilvl w:val="0"/>
          <w:numId w:val="0"/>
        </w:numPr>
        <w:ind w:left="357"/>
      </w:pPr>
      <w:bookmarkStart w:id="449" w:name="_Toc50031476"/>
      <w:r>
        <w:t>3. Condiciones experimentales</w:t>
      </w:r>
      <w:bookmarkEnd w:id="449"/>
    </w:p>
    <w:p w:rsidR="00917C1F" w:rsidRPr="00B937AF" w:rsidRDefault="00917C1F" w:rsidP="00917C1F">
      <w:pPr>
        <w:spacing w:line="360" w:lineRule="auto"/>
        <w:jc w:val="both"/>
        <w:rPr>
          <w:rFonts w:ascii="Arial" w:hAnsi="Arial" w:cs="Arial"/>
          <w:i/>
          <w:color w:val="000000"/>
        </w:rPr>
      </w:pPr>
      <w:r w:rsidRPr="00B937AF">
        <w:rPr>
          <w:rFonts w:ascii="Arial" w:hAnsi="Arial" w:cs="Arial"/>
          <w:i/>
          <w:color w:val="000000"/>
        </w:rPr>
        <w:t xml:space="preserve">3.1 </w:t>
      </w:r>
      <w:r>
        <w:rPr>
          <w:rFonts w:ascii="Arial" w:hAnsi="Arial" w:cs="Arial"/>
          <w:i/>
          <w:color w:val="000000"/>
        </w:rPr>
        <w:t>Prepara</w:t>
      </w:r>
      <w:r w:rsidRPr="00B937AF">
        <w:rPr>
          <w:rFonts w:ascii="Arial" w:hAnsi="Arial" w:cs="Arial"/>
          <w:i/>
          <w:color w:val="000000"/>
        </w:rPr>
        <w:t xml:space="preserve">ción </w:t>
      </w:r>
      <w:r>
        <w:rPr>
          <w:rFonts w:ascii="Arial" w:hAnsi="Arial" w:cs="Arial"/>
          <w:i/>
          <w:color w:val="000000"/>
        </w:rPr>
        <w:t xml:space="preserve">y caracterización </w:t>
      </w:r>
      <w:r w:rsidRPr="00B937AF">
        <w:rPr>
          <w:rFonts w:ascii="Arial" w:hAnsi="Arial" w:cs="Arial"/>
          <w:i/>
          <w:color w:val="000000"/>
        </w:rPr>
        <w:t xml:space="preserve">de </w:t>
      </w:r>
      <w:r>
        <w:rPr>
          <w:rFonts w:ascii="Arial" w:hAnsi="Arial" w:cs="Arial"/>
          <w:i/>
          <w:color w:val="000000"/>
        </w:rPr>
        <w:t>los bioadsorbentes</w:t>
      </w:r>
    </w:p>
    <w:p w:rsidR="00917C1F" w:rsidRPr="00B937AF" w:rsidRDefault="00917C1F" w:rsidP="00917C1F">
      <w:pPr>
        <w:ind w:firstLine="567"/>
        <w:jc w:val="both"/>
        <w:rPr>
          <w:rFonts w:ascii="Arial" w:eastAsia="Calibri" w:hAnsi="Arial" w:cs="Arial"/>
          <w:lang w:val="es-NI"/>
        </w:rPr>
      </w:pPr>
      <w:r w:rsidRPr="00B937AF">
        <w:rPr>
          <w:rFonts w:ascii="Arial" w:eastAsia="Calibri" w:hAnsi="Arial" w:cs="Arial"/>
          <w:lang w:val="es-NI"/>
        </w:rPr>
        <w:t>Para la obtención de</w:t>
      </w:r>
      <w:r>
        <w:rPr>
          <w:rFonts w:ascii="Arial" w:eastAsia="Calibri" w:hAnsi="Arial" w:cs="Arial"/>
          <w:lang w:val="es-NI"/>
        </w:rPr>
        <w:t>l</w:t>
      </w:r>
      <w:r w:rsidRPr="00B937AF">
        <w:rPr>
          <w:rFonts w:ascii="Arial" w:eastAsia="Calibri" w:hAnsi="Arial" w:cs="Arial"/>
          <w:lang w:val="es-NI"/>
        </w:rPr>
        <w:t xml:space="preserve"> quitosano se u</w:t>
      </w:r>
      <w:r>
        <w:rPr>
          <w:rFonts w:ascii="Arial" w:eastAsia="Calibri" w:hAnsi="Arial" w:cs="Arial"/>
          <w:lang w:val="es-NI"/>
        </w:rPr>
        <w:t>s</w:t>
      </w:r>
      <w:r w:rsidRPr="00B937AF">
        <w:rPr>
          <w:rFonts w:ascii="Arial" w:eastAsia="Calibri" w:hAnsi="Arial" w:cs="Arial"/>
          <w:lang w:val="es-NI"/>
        </w:rPr>
        <w:t>ó caparazón de camarón proporcionado por la Empresa NicaFish. Primeramente</w:t>
      </w:r>
      <w:r>
        <w:rPr>
          <w:rFonts w:ascii="Arial" w:eastAsia="Calibri" w:hAnsi="Arial" w:cs="Arial"/>
          <w:lang w:val="es-NI"/>
        </w:rPr>
        <w:t>,</w:t>
      </w:r>
      <w:r w:rsidRPr="00B937AF">
        <w:rPr>
          <w:rFonts w:ascii="Arial" w:eastAsia="Calibri" w:hAnsi="Arial" w:cs="Arial"/>
          <w:lang w:val="es-NI"/>
        </w:rPr>
        <w:t xml:space="preserve"> se </w:t>
      </w:r>
      <w:r>
        <w:rPr>
          <w:rFonts w:ascii="Arial" w:eastAsia="Calibri" w:hAnsi="Arial" w:cs="Arial"/>
          <w:lang w:val="es-NI"/>
        </w:rPr>
        <w:t>llev</w:t>
      </w:r>
      <w:r w:rsidRPr="00B937AF">
        <w:rPr>
          <w:rFonts w:ascii="Arial" w:eastAsia="Calibri" w:hAnsi="Arial" w:cs="Arial"/>
          <w:lang w:val="es-NI"/>
        </w:rPr>
        <w:t>ó</w:t>
      </w:r>
      <w:r>
        <w:rPr>
          <w:rFonts w:ascii="Arial" w:eastAsia="Calibri" w:hAnsi="Arial" w:cs="Arial"/>
          <w:lang w:val="es-NI"/>
        </w:rPr>
        <w:t xml:space="preserve"> a cabo </w:t>
      </w:r>
      <w:r w:rsidRPr="00B937AF">
        <w:rPr>
          <w:rFonts w:ascii="Arial" w:eastAsia="Calibri" w:hAnsi="Arial" w:cs="Arial"/>
          <w:lang w:val="es-NI"/>
        </w:rPr>
        <w:t xml:space="preserve">la extracción de quitina </w:t>
      </w:r>
      <w:r>
        <w:rPr>
          <w:rFonts w:ascii="Arial" w:eastAsia="Calibri" w:hAnsi="Arial" w:cs="Arial"/>
          <w:lang w:val="es-NI"/>
        </w:rPr>
        <w:t>mediante</w:t>
      </w:r>
      <w:r w:rsidRPr="00B937AF">
        <w:rPr>
          <w:rFonts w:ascii="Arial" w:eastAsia="Calibri" w:hAnsi="Arial" w:cs="Arial"/>
          <w:lang w:val="es-NI"/>
        </w:rPr>
        <w:t xml:space="preserve"> la desproteinización, desmineralización y blanqueo del caparazón. </w:t>
      </w:r>
      <w:r>
        <w:rPr>
          <w:rFonts w:ascii="Arial" w:eastAsia="Calibri" w:hAnsi="Arial" w:cs="Arial"/>
          <w:lang w:val="es-NI"/>
        </w:rPr>
        <w:t>Seguidamente</w:t>
      </w:r>
      <w:r w:rsidRPr="00B937AF">
        <w:rPr>
          <w:rFonts w:ascii="Arial" w:eastAsia="Calibri" w:hAnsi="Arial" w:cs="Arial"/>
          <w:lang w:val="es-NI"/>
        </w:rPr>
        <w:t xml:space="preserve">, </w:t>
      </w:r>
      <w:r>
        <w:rPr>
          <w:rFonts w:ascii="Arial" w:eastAsia="Calibri" w:hAnsi="Arial" w:cs="Arial"/>
          <w:lang w:val="es-NI"/>
        </w:rPr>
        <w:t>se obtuvo el quitosano</w:t>
      </w:r>
      <w:r w:rsidRPr="00B937AF">
        <w:rPr>
          <w:rFonts w:ascii="Arial" w:eastAsia="Calibri" w:hAnsi="Arial" w:cs="Arial"/>
          <w:lang w:val="es-NI"/>
        </w:rPr>
        <w:t xml:space="preserve"> por desacetilación básica de la quitina. El material obtenido fue triturado y tamizado a un tamaño de partícula </w:t>
      </w:r>
      <w:r>
        <w:rPr>
          <w:rFonts w:ascii="Arial" w:eastAsia="Calibri" w:hAnsi="Arial" w:cs="Arial"/>
          <w:lang w:val="es-NI"/>
        </w:rPr>
        <w:t xml:space="preserve">entre </w:t>
      </w:r>
      <w:r w:rsidRPr="00B937AF">
        <w:rPr>
          <w:rFonts w:ascii="Arial" w:eastAsia="Calibri" w:hAnsi="Arial" w:cs="Arial"/>
          <w:lang w:val="es-NI"/>
        </w:rPr>
        <w:t xml:space="preserve"> 0.22</w:t>
      </w:r>
      <w:r>
        <w:rPr>
          <w:rFonts w:ascii="Arial" w:eastAsia="Calibri" w:hAnsi="Arial" w:cs="Arial"/>
          <w:lang w:val="es-NI"/>
        </w:rPr>
        <w:t xml:space="preserve"> y </w:t>
      </w:r>
      <w:r w:rsidRPr="00B937AF">
        <w:rPr>
          <w:rFonts w:ascii="Arial" w:eastAsia="Calibri" w:hAnsi="Arial" w:cs="Arial"/>
          <w:lang w:val="es-NI"/>
        </w:rPr>
        <w:t>0.45 mm.</w:t>
      </w:r>
    </w:p>
    <w:p w:rsidR="00917C1F" w:rsidRDefault="00917C1F" w:rsidP="00917C1F">
      <w:pPr>
        <w:ind w:firstLine="567"/>
        <w:jc w:val="both"/>
        <w:rPr>
          <w:rFonts w:ascii="Arial" w:hAnsi="Arial" w:cs="Arial"/>
        </w:rPr>
      </w:pPr>
      <w:r w:rsidRPr="00B937AF">
        <w:rPr>
          <w:rFonts w:ascii="Arial" w:eastAsia="Calibri" w:hAnsi="Arial" w:cs="Arial"/>
          <w:lang w:val="es-NI"/>
        </w:rPr>
        <w:t xml:space="preserve">La cascarilla de arroz (denominada Palo 2) fue suministrada por el trillo San Juan, ubicado en San Isidro, Matagalpa. La preparación de la cascarilla de arroz </w:t>
      </w:r>
      <w:r>
        <w:rPr>
          <w:rFonts w:ascii="Arial" w:eastAsia="Calibri" w:hAnsi="Arial" w:cs="Arial"/>
          <w:lang w:val="es-NI"/>
        </w:rPr>
        <w:t>involucr</w:t>
      </w:r>
      <w:r w:rsidRPr="00B937AF">
        <w:rPr>
          <w:rFonts w:ascii="Arial" w:eastAsia="Calibri" w:hAnsi="Arial" w:cs="Arial"/>
          <w:lang w:val="es-NI"/>
        </w:rPr>
        <w:t xml:space="preserve">ó </w:t>
      </w:r>
      <w:r>
        <w:rPr>
          <w:rFonts w:ascii="Arial" w:eastAsia="Calibri" w:hAnsi="Arial" w:cs="Arial"/>
          <w:lang w:val="es-NI"/>
        </w:rPr>
        <w:t>el</w:t>
      </w:r>
      <w:r w:rsidRPr="00B937AF">
        <w:rPr>
          <w:rFonts w:ascii="Arial" w:eastAsia="Calibri" w:hAnsi="Arial" w:cs="Arial"/>
          <w:lang w:val="es-NI"/>
        </w:rPr>
        <w:t xml:space="preserve"> lavado </w:t>
      </w:r>
      <w:r>
        <w:rPr>
          <w:rFonts w:ascii="Arial" w:eastAsia="Calibri" w:hAnsi="Arial" w:cs="Arial"/>
          <w:lang w:val="es-NI"/>
        </w:rPr>
        <w:t xml:space="preserve">del material </w:t>
      </w:r>
      <w:r w:rsidRPr="00B937AF">
        <w:rPr>
          <w:rFonts w:ascii="Arial" w:eastAsia="Calibri" w:hAnsi="Arial" w:cs="Arial"/>
          <w:lang w:val="es-NI"/>
        </w:rPr>
        <w:t>para eliminar la suciedad</w:t>
      </w:r>
      <w:r>
        <w:rPr>
          <w:rFonts w:ascii="Arial" w:eastAsia="Calibri" w:hAnsi="Arial" w:cs="Arial"/>
          <w:lang w:val="es-NI"/>
        </w:rPr>
        <w:t>,</w:t>
      </w:r>
      <w:r w:rsidRPr="00B937AF">
        <w:rPr>
          <w:rFonts w:ascii="Arial" w:eastAsia="Calibri" w:hAnsi="Arial" w:cs="Arial"/>
          <w:lang w:val="es-NI"/>
        </w:rPr>
        <w:t xml:space="preserve"> secado en </w:t>
      </w:r>
      <w:r>
        <w:rPr>
          <w:rFonts w:ascii="Arial" w:eastAsia="Calibri" w:hAnsi="Arial" w:cs="Arial"/>
          <w:lang w:val="es-NI"/>
        </w:rPr>
        <w:t>un</w:t>
      </w:r>
      <w:r w:rsidRPr="00B937AF">
        <w:rPr>
          <w:rFonts w:ascii="Arial" w:eastAsia="Calibri" w:hAnsi="Arial" w:cs="Arial"/>
          <w:lang w:val="es-NI"/>
        </w:rPr>
        <w:t xml:space="preserve"> horno a </w:t>
      </w:r>
      <w:r w:rsidRPr="00FC6274">
        <w:rPr>
          <w:rFonts w:ascii="Arial" w:eastAsia="Calibri" w:hAnsi="Arial" w:cs="Arial"/>
          <w:lang w:val="es-NI"/>
        </w:rPr>
        <w:t xml:space="preserve">70°C, trituración y tamizado </w:t>
      </w:r>
      <w:r>
        <w:rPr>
          <w:rFonts w:ascii="Arial" w:eastAsia="Calibri" w:hAnsi="Arial" w:cs="Arial"/>
          <w:lang w:val="es-NI"/>
        </w:rPr>
        <w:t>a</w:t>
      </w:r>
      <w:r w:rsidRPr="00FC6274">
        <w:rPr>
          <w:rFonts w:ascii="Arial" w:eastAsia="Calibri" w:hAnsi="Arial" w:cs="Arial"/>
          <w:lang w:val="es-NI"/>
        </w:rPr>
        <w:t xml:space="preserve"> un tamaño de partícula de 0.22</w:t>
      </w:r>
      <w:r>
        <w:rPr>
          <w:rFonts w:ascii="Arial" w:eastAsia="Calibri" w:hAnsi="Arial" w:cs="Arial"/>
          <w:lang w:val="es-NI"/>
        </w:rPr>
        <w:t xml:space="preserve"> a </w:t>
      </w:r>
      <w:r w:rsidRPr="00FC6274">
        <w:rPr>
          <w:rFonts w:ascii="Arial" w:eastAsia="Calibri" w:hAnsi="Arial" w:cs="Arial"/>
          <w:lang w:val="es-NI"/>
        </w:rPr>
        <w:t xml:space="preserve">0.45 mm. </w:t>
      </w:r>
      <w:r>
        <w:rPr>
          <w:rFonts w:ascii="Arial" w:hAnsi="Arial" w:cs="Arial"/>
        </w:rPr>
        <w:t>Cada uno de los materiales fue caracterizado por E</w:t>
      </w:r>
      <w:r w:rsidRPr="00FC6274">
        <w:rPr>
          <w:rFonts w:ascii="Arial" w:hAnsi="Arial" w:cs="Arial"/>
        </w:rPr>
        <w:t>spectroscopia infrarroj</w:t>
      </w:r>
      <w:r>
        <w:rPr>
          <w:rFonts w:ascii="Arial" w:hAnsi="Arial" w:cs="Arial"/>
        </w:rPr>
        <w:t>a</w:t>
      </w:r>
      <w:r w:rsidRPr="00FC6274">
        <w:rPr>
          <w:rFonts w:ascii="Arial" w:hAnsi="Arial" w:cs="Arial"/>
        </w:rPr>
        <w:t xml:space="preserve"> (IR)</w:t>
      </w:r>
      <w:r>
        <w:rPr>
          <w:rFonts w:ascii="Arial" w:hAnsi="Arial" w:cs="Arial"/>
        </w:rPr>
        <w:t>,</w:t>
      </w:r>
      <w:r w:rsidRPr="00FC6274">
        <w:rPr>
          <w:rFonts w:ascii="Arial" w:hAnsi="Arial" w:cs="Arial"/>
        </w:rPr>
        <w:t xml:space="preserve"> utilizando un Espectrómetro infrarrojo por transformada de Fourier (FT-IR) con accesorio ALPHA T</w:t>
      </w:r>
      <w:r>
        <w:rPr>
          <w:rFonts w:ascii="Arial" w:hAnsi="Arial" w:cs="Arial"/>
        </w:rPr>
        <w:t>, antes y después de ser sometidos al proceso de adsorción del ion aluminio</w:t>
      </w:r>
      <w:r w:rsidRPr="00FC6274">
        <w:rPr>
          <w:rFonts w:ascii="Arial" w:hAnsi="Arial" w:cs="Arial"/>
        </w:rPr>
        <w:t xml:space="preserve">. </w:t>
      </w:r>
    </w:p>
    <w:p w:rsidR="00917C1F" w:rsidRPr="00DF2FE2" w:rsidRDefault="00917C1F" w:rsidP="00917C1F">
      <w:pPr>
        <w:jc w:val="both"/>
        <w:rPr>
          <w:rFonts w:ascii="Arial" w:hAnsi="Arial" w:cs="Arial"/>
          <w:sz w:val="24"/>
          <w:szCs w:val="24"/>
        </w:rPr>
      </w:pPr>
    </w:p>
    <w:p w:rsidR="00917C1F" w:rsidRPr="00DF2FE2" w:rsidRDefault="00917C1F" w:rsidP="00917C1F">
      <w:pPr>
        <w:pStyle w:val="Ttulo2"/>
        <w:keepLines w:val="0"/>
        <w:numPr>
          <w:ilvl w:val="1"/>
          <w:numId w:val="1"/>
        </w:numPr>
        <w:tabs>
          <w:tab w:val="clear" w:pos="576"/>
          <w:tab w:val="num" w:pos="0"/>
        </w:tabs>
        <w:suppressAutoHyphens/>
        <w:spacing w:before="0" w:line="360" w:lineRule="auto"/>
        <w:ind w:left="0" w:firstLine="0"/>
        <w:jc w:val="both"/>
        <w:rPr>
          <w:rFonts w:ascii="Arial" w:hAnsi="Arial" w:cs="Arial"/>
          <w:b/>
          <w:bCs/>
          <w:i/>
          <w:color w:val="000000"/>
          <w:sz w:val="24"/>
          <w:szCs w:val="24"/>
        </w:rPr>
      </w:pPr>
      <w:bookmarkStart w:id="450" w:name="_Toc50031477"/>
      <w:r w:rsidRPr="00DF2FE2">
        <w:rPr>
          <w:rFonts w:ascii="Arial" w:hAnsi="Arial" w:cs="Arial"/>
          <w:b/>
          <w:bCs/>
          <w:i/>
          <w:color w:val="000000"/>
          <w:sz w:val="24"/>
          <w:szCs w:val="24"/>
        </w:rPr>
        <w:t>3.2 Efecto del pH inicial en el porcentaje de remoción de aluminio</w:t>
      </w:r>
      <w:bookmarkEnd w:id="450"/>
    </w:p>
    <w:p w:rsidR="00917C1F" w:rsidRPr="00FC6274" w:rsidRDefault="00917C1F" w:rsidP="00917C1F">
      <w:pPr>
        <w:ind w:firstLine="567"/>
        <w:jc w:val="both"/>
        <w:rPr>
          <w:rFonts w:ascii="Arial" w:hAnsi="Arial" w:cs="Arial"/>
        </w:rPr>
      </w:pPr>
      <w:r w:rsidRPr="00FC6274">
        <w:rPr>
          <w:rFonts w:ascii="Arial" w:hAnsi="Arial" w:cs="Arial"/>
        </w:rPr>
        <w:t xml:space="preserve">El efecto del pH en el porcentaje de remoción del aluminio en quitosano y cascarilla de arroz fue estudiado en un </w:t>
      </w:r>
      <w:r>
        <w:rPr>
          <w:rFonts w:ascii="Arial" w:hAnsi="Arial" w:cs="Arial"/>
        </w:rPr>
        <w:t>intervalo</w:t>
      </w:r>
      <w:r w:rsidRPr="00FC6274">
        <w:rPr>
          <w:rFonts w:ascii="Arial" w:hAnsi="Arial" w:cs="Arial"/>
        </w:rPr>
        <w:t xml:space="preserve"> de pH de 4 a 7</w:t>
      </w:r>
      <w:r>
        <w:rPr>
          <w:rFonts w:ascii="Arial" w:hAnsi="Arial" w:cs="Arial"/>
        </w:rPr>
        <w:t>,</w:t>
      </w:r>
      <w:r w:rsidRPr="00FC6274">
        <w:rPr>
          <w:rFonts w:ascii="Arial" w:hAnsi="Arial" w:cs="Arial"/>
        </w:rPr>
        <w:t xml:space="preserve"> </w:t>
      </w:r>
      <w:r>
        <w:rPr>
          <w:rFonts w:ascii="Arial" w:hAnsi="Arial" w:cs="Arial"/>
        </w:rPr>
        <w:t xml:space="preserve">ya que </w:t>
      </w:r>
      <w:r w:rsidRPr="00842147">
        <w:rPr>
          <w:rFonts w:ascii="Arial" w:hAnsi="Arial" w:cs="Arial"/>
        </w:rPr>
        <w:t xml:space="preserve">altos </w:t>
      </w:r>
      <w:r>
        <w:rPr>
          <w:rFonts w:ascii="Arial" w:hAnsi="Arial" w:cs="Arial"/>
        </w:rPr>
        <w:t>v</w:t>
      </w:r>
      <w:r w:rsidRPr="00842147">
        <w:rPr>
          <w:rFonts w:ascii="Arial" w:hAnsi="Arial" w:cs="Arial"/>
        </w:rPr>
        <w:t xml:space="preserve">alores de pH </w:t>
      </w:r>
      <w:r>
        <w:rPr>
          <w:rFonts w:ascii="Arial" w:hAnsi="Arial" w:cs="Arial"/>
        </w:rPr>
        <w:t>producen un</w:t>
      </w:r>
      <w:r w:rsidRPr="00842147">
        <w:rPr>
          <w:rFonts w:ascii="Arial" w:hAnsi="Arial" w:cs="Arial"/>
        </w:rPr>
        <w:t xml:space="preserve">a reacción de hidrólisis del ion en solución acuosa, </w:t>
      </w:r>
      <w:r>
        <w:rPr>
          <w:rFonts w:ascii="Arial" w:hAnsi="Arial" w:cs="Arial"/>
        </w:rPr>
        <w:t>la cual</w:t>
      </w:r>
      <w:r w:rsidRPr="00842147">
        <w:rPr>
          <w:rFonts w:ascii="Arial" w:hAnsi="Arial" w:cs="Arial"/>
        </w:rPr>
        <w:t xml:space="preserve"> provoca la </w:t>
      </w:r>
      <w:r w:rsidRPr="00192B44">
        <w:rPr>
          <w:rFonts w:ascii="Arial" w:hAnsi="Arial" w:cs="Arial"/>
        </w:rPr>
        <w:t xml:space="preserve">formación de precipitados de sales básicas de aluminio </w:t>
      </w:r>
      <w:r w:rsidRPr="00192B44">
        <w:rPr>
          <w:rFonts w:ascii="Arial" w:eastAsia="Calibri" w:hAnsi="Arial" w:cs="Arial"/>
          <w:vertAlign w:val="superscript"/>
          <w:lang w:val="es-NI"/>
        </w:rPr>
        <w:t>[</w:t>
      </w:r>
      <w:r>
        <w:rPr>
          <w:rFonts w:ascii="Arial" w:eastAsia="Calibri" w:hAnsi="Arial" w:cs="Arial"/>
          <w:vertAlign w:val="superscript"/>
          <w:lang w:val="es-NI"/>
        </w:rPr>
        <w:t>8</w:t>
      </w:r>
      <w:r w:rsidRPr="00192B44">
        <w:rPr>
          <w:rFonts w:ascii="Arial" w:eastAsia="Calibri" w:hAnsi="Arial" w:cs="Arial"/>
          <w:vertAlign w:val="superscript"/>
          <w:lang w:val="es-NI"/>
        </w:rPr>
        <w:t>]</w:t>
      </w:r>
      <w:r w:rsidRPr="00192B44">
        <w:rPr>
          <w:rFonts w:ascii="Arial" w:hAnsi="Arial" w:cs="Arial"/>
        </w:rPr>
        <w:t>. El pH inicial de la solución</w:t>
      </w:r>
      <w:r w:rsidRPr="00FC6274">
        <w:rPr>
          <w:rFonts w:ascii="Arial" w:hAnsi="Arial" w:cs="Arial"/>
        </w:rPr>
        <w:t xml:space="preserve"> fue regulado por la adición de soluciones de ácido clorhídrico (HCl) 1.25 </w:t>
      </w:r>
      <w:r>
        <w:rPr>
          <w:rFonts w:ascii="Arial" w:hAnsi="Arial" w:cs="Arial"/>
        </w:rPr>
        <w:t>M</w:t>
      </w:r>
      <w:r w:rsidRPr="00FC6274">
        <w:rPr>
          <w:rFonts w:ascii="Arial" w:hAnsi="Arial" w:cs="Arial"/>
        </w:rPr>
        <w:t xml:space="preserve"> o hidróxido de sodio (NaOH) </w:t>
      </w:r>
      <w:r>
        <w:rPr>
          <w:rFonts w:ascii="Arial" w:hAnsi="Arial" w:cs="Arial"/>
        </w:rPr>
        <w:t xml:space="preserve">al </w:t>
      </w:r>
      <w:r w:rsidRPr="00FC6274">
        <w:rPr>
          <w:rFonts w:ascii="Arial" w:hAnsi="Arial" w:cs="Arial"/>
        </w:rPr>
        <w:t>0.3</w:t>
      </w:r>
      <w:r>
        <w:rPr>
          <w:rFonts w:ascii="Arial" w:hAnsi="Arial" w:cs="Arial"/>
        </w:rPr>
        <w:t>%</w:t>
      </w:r>
      <w:r w:rsidRPr="00FC6274">
        <w:rPr>
          <w:rFonts w:ascii="Arial" w:hAnsi="Arial" w:cs="Arial"/>
        </w:rPr>
        <w:t xml:space="preserve"> </w:t>
      </w:r>
      <w:r>
        <w:rPr>
          <w:rFonts w:ascii="Arial" w:hAnsi="Arial" w:cs="Arial"/>
        </w:rPr>
        <w:t>y</w:t>
      </w:r>
      <w:r w:rsidRPr="00FC6274">
        <w:rPr>
          <w:rFonts w:ascii="Arial" w:hAnsi="Arial" w:cs="Arial"/>
        </w:rPr>
        <w:t xml:space="preserve"> 3%. </w:t>
      </w:r>
    </w:p>
    <w:p w:rsidR="00917C1F" w:rsidRDefault="00917C1F" w:rsidP="00917C1F">
      <w:pPr>
        <w:ind w:firstLine="567"/>
        <w:jc w:val="both"/>
        <w:rPr>
          <w:rFonts w:ascii="Arial" w:hAnsi="Arial" w:cs="Arial"/>
        </w:rPr>
      </w:pPr>
      <w:r w:rsidRPr="00FC6274">
        <w:rPr>
          <w:rFonts w:ascii="Arial" w:hAnsi="Arial" w:cs="Arial"/>
        </w:rPr>
        <w:t xml:space="preserve">Para la parte experimental, 1 g del bioadsorbente se puso en contacto con 100 ml de una solución del ion aluminio de 50 mg/l, ajustada al pH inicial. Posteriormente, la mezcla se agitó durante una 1 hora y a una velocidad de agitación de 250 rpm. Finalmente, la mezcla se filtró y se determinó la concentración de aluminio </w:t>
      </w:r>
      <w:r>
        <w:rPr>
          <w:rFonts w:ascii="Arial" w:hAnsi="Arial" w:cs="Arial"/>
        </w:rPr>
        <w:t>en</w:t>
      </w:r>
      <w:r w:rsidRPr="00FC6274">
        <w:rPr>
          <w:rFonts w:ascii="Arial" w:hAnsi="Arial" w:cs="Arial"/>
        </w:rPr>
        <w:t xml:space="preserve"> la solución por Espectro</w:t>
      </w:r>
      <w:r>
        <w:rPr>
          <w:rFonts w:ascii="Arial" w:hAnsi="Arial" w:cs="Arial"/>
        </w:rPr>
        <w:t>scopia</w:t>
      </w:r>
      <w:r w:rsidRPr="00FC6274">
        <w:rPr>
          <w:rFonts w:ascii="Arial" w:hAnsi="Arial" w:cs="Arial"/>
        </w:rPr>
        <w:t xml:space="preserve"> de absorción atómica usando un equipo marca GBC, modelo AA 932, con llama. El porcentaje de remoción</w:t>
      </w:r>
      <w:r>
        <w:rPr>
          <w:rFonts w:ascii="Arial" w:hAnsi="Arial" w:cs="Arial"/>
        </w:rPr>
        <w:t xml:space="preserve"> (%Remoción)</w:t>
      </w:r>
      <w:r w:rsidRPr="00FC6274">
        <w:rPr>
          <w:rFonts w:ascii="Arial" w:hAnsi="Arial" w:cs="Arial"/>
        </w:rPr>
        <w:t xml:space="preserve"> de aluminio se calculó mediante la siguiente ecuación:</w:t>
      </w:r>
    </w:p>
    <w:p w:rsidR="00917C1F" w:rsidRPr="00FC6274" w:rsidRDefault="00917C1F" w:rsidP="00917C1F">
      <w:pPr>
        <w:spacing w:before="120" w:after="120"/>
        <w:ind w:left="2829" w:firstLine="709"/>
        <w:jc w:val="center"/>
        <w:rPr>
          <w:rFonts w:ascii="Arial" w:hAnsi="Arial" w:cs="Arial"/>
        </w:rPr>
      </w:pPr>
      <m:oMath>
        <m:r>
          <m:rPr>
            <m:sty m:val="p"/>
          </m:rPr>
          <w:rPr>
            <w:rFonts w:ascii="Cambria Math" w:hAnsi="Cambria Math"/>
          </w:rPr>
          <m:t>%Remoción=</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m:rPr>
                        <m:sty m:val="p"/>
                      </m:rPr>
                      <w:rPr>
                        <w:rFonts w:ascii="Cambria Math" w:hAnsi="Cambria Math"/>
                      </w:rPr>
                      <m:t>C</m:t>
                    </m:r>
                  </m:e>
                  <m:sub>
                    <m:r>
                      <m:rPr>
                        <m:sty m:val="p"/>
                      </m:rP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f</m:t>
                    </m:r>
                  </m:sub>
                </m:sSub>
              </m:e>
            </m:d>
          </m:num>
          <m:den>
            <m:r>
              <m:rPr>
                <m:sty m:val="p"/>
              </m:rPr>
              <w:rPr>
                <w:rFonts w:ascii="Cambria Math" w:hAnsi="Cambria Math"/>
              </w:rPr>
              <m:t>Ci</m:t>
            </m:r>
          </m:den>
        </m:f>
        <m:r>
          <m:rPr>
            <m:sty m:val="p"/>
          </m:rPr>
          <w:rPr>
            <w:rFonts w:ascii="Cambria Math" w:hAnsi="Cambria Math"/>
          </w:rPr>
          <m:t>×100</m:t>
        </m:r>
      </m:oMath>
      <w:r w:rsidRPr="00FC6274">
        <w:rPr>
          <w:rFonts w:ascii="Arial" w:hAnsi="Arial" w:cs="Arial"/>
        </w:rPr>
        <w:tab/>
      </w:r>
      <w:r w:rsidRPr="00FC6274">
        <w:rPr>
          <w:rFonts w:ascii="Arial" w:hAnsi="Arial" w:cs="Arial"/>
        </w:rPr>
        <w:tab/>
      </w:r>
      <w:r w:rsidRPr="00FC6274">
        <w:rPr>
          <w:rFonts w:ascii="Arial" w:hAnsi="Arial" w:cs="Arial"/>
        </w:rPr>
        <w:tab/>
        <w:t xml:space="preserve"> </w:t>
      </w:r>
      <w:r>
        <w:rPr>
          <w:rFonts w:ascii="Arial" w:hAnsi="Arial" w:cs="Arial"/>
        </w:rPr>
        <w:t xml:space="preserve">      </w:t>
      </w:r>
      <w:r w:rsidRPr="00FC6274">
        <w:rPr>
          <w:rFonts w:ascii="Arial" w:hAnsi="Arial" w:cs="Arial"/>
        </w:rPr>
        <w:t>(1)</w:t>
      </w:r>
    </w:p>
    <w:p w:rsidR="00917C1F" w:rsidRPr="00FC6274" w:rsidRDefault="00917C1F" w:rsidP="00917C1F">
      <w:pPr>
        <w:jc w:val="both"/>
        <w:rPr>
          <w:rFonts w:ascii="Arial" w:hAnsi="Arial" w:cs="Arial"/>
        </w:rPr>
      </w:pPr>
      <w:r w:rsidRPr="00FC6274">
        <w:rPr>
          <w:rFonts w:ascii="Arial" w:hAnsi="Arial" w:cs="Arial"/>
        </w:rPr>
        <w:t xml:space="preserve">Donde Ci y Cf </w:t>
      </w:r>
      <w:r>
        <w:rPr>
          <w:rFonts w:ascii="Arial" w:hAnsi="Arial" w:cs="Arial"/>
        </w:rPr>
        <w:t>son</w:t>
      </w:r>
      <w:r w:rsidRPr="00FC6274">
        <w:rPr>
          <w:rFonts w:ascii="Arial" w:hAnsi="Arial" w:cs="Arial"/>
        </w:rPr>
        <w:t xml:space="preserve"> la concentración inicial </w:t>
      </w:r>
      <w:r>
        <w:rPr>
          <w:rFonts w:ascii="Arial" w:hAnsi="Arial" w:cs="Arial"/>
        </w:rPr>
        <w:t xml:space="preserve">y </w:t>
      </w:r>
      <w:r w:rsidRPr="00FC6274">
        <w:rPr>
          <w:rFonts w:ascii="Arial" w:hAnsi="Arial" w:cs="Arial"/>
        </w:rPr>
        <w:t>la concentración final del aluminio</w:t>
      </w:r>
      <w:r>
        <w:rPr>
          <w:rFonts w:ascii="Arial" w:hAnsi="Arial" w:cs="Arial"/>
        </w:rPr>
        <w:t>, respectivamente, en mg/l</w:t>
      </w:r>
      <w:r w:rsidRPr="00FC6274">
        <w:rPr>
          <w:rFonts w:ascii="Arial" w:hAnsi="Arial" w:cs="Arial"/>
        </w:rPr>
        <w:t>.</w:t>
      </w:r>
    </w:p>
    <w:p w:rsidR="00917C1F" w:rsidRPr="00A64533" w:rsidRDefault="00917C1F" w:rsidP="00917C1F">
      <w:pPr>
        <w:keepNext/>
        <w:keepLines/>
        <w:spacing w:line="360" w:lineRule="auto"/>
        <w:jc w:val="both"/>
        <w:outlineLvl w:val="1"/>
        <w:rPr>
          <w:rFonts w:ascii="Arial" w:hAnsi="Arial" w:cs="Arial"/>
          <w:i/>
          <w:color w:val="000000"/>
        </w:rPr>
      </w:pPr>
      <w:bookmarkStart w:id="451" w:name="_Toc16791285"/>
      <w:bookmarkStart w:id="452" w:name="_Toc17117376"/>
      <w:r>
        <w:rPr>
          <w:rFonts w:ascii="Arial" w:hAnsi="Arial" w:cs="Arial"/>
          <w:i/>
          <w:color w:val="000000"/>
        </w:rPr>
        <w:br w:type="page"/>
      </w:r>
      <w:bookmarkStart w:id="453" w:name="_Toc50031478"/>
      <w:r>
        <w:rPr>
          <w:rFonts w:ascii="Arial" w:hAnsi="Arial" w:cs="Arial"/>
          <w:i/>
          <w:color w:val="000000"/>
        </w:rPr>
        <w:t xml:space="preserve">3.3 </w:t>
      </w:r>
      <w:r w:rsidRPr="00A64533">
        <w:rPr>
          <w:rFonts w:ascii="Arial" w:hAnsi="Arial" w:cs="Arial"/>
          <w:i/>
          <w:color w:val="000000"/>
        </w:rPr>
        <w:t>Determinación de las isotermas de adsorción de Aluminio</w:t>
      </w:r>
      <w:bookmarkEnd w:id="451"/>
      <w:bookmarkEnd w:id="452"/>
      <w:bookmarkEnd w:id="453"/>
    </w:p>
    <w:p w:rsidR="00917C1F" w:rsidRDefault="00917C1F" w:rsidP="00917C1F">
      <w:pPr>
        <w:ind w:firstLine="567"/>
        <w:jc w:val="both"/>
        <w:rPr>
          <w:rFonts w:ascii="Arial" w:hAnsi="Arial" w:cs="Arial"/>
        </w:rPr>
      </w:pPr>
      <w:r>
        <w:rPr>
          <w:rFonts w:ascii="Arial" w:hAnsi="Arial" w:cs="Arial"/>
        </w:rPr>
        <w:t>S</w:t>
      </w:r>
      <w:r w:rsidRPr="00FC6274">
        <w:rPr>
          <w:rFonts w:ascii="Arial" w:hAnsi="Arial" w:cs="Arial"/>
        </w:rPr>
        <w:t>oluciones de 50 ml del ion metálico a diferentes concentraciones</w:t>
      </w:r>
      <w:r>
        <w:rPr>
          <w:rFonts w:ascii="Arial" w:hAnsi="Arial" w:cs="Arial"/>
        </w:rPr>
        <w:t xml:space="preserve">, en un intervalo de 5 a </w:t>
      </w:r>
      <w:r w:rsidRPr="00FC6274">
        <w:rPr>
          <w:rFonts w:ascii="Arial" w:hAnsi="Arial" w:cs="Arial"/>
        </w:rPr>
        <w:t>500</w:t>
      </w:r>
      <w:r>
        <w:rPr>
          <w:rFonts w:ascii="Arial" w:hAnsi="Arial" w:cs="Arial"/>
        </w:rPr>
        <w:t xml:space="preserve"> </w:t>
      </w:r>
      <w:r w:rsidRPr="00FC6274">
        <w:rPr>
          <w:rFonts w:ascii="Arial" w:hAnsi="Arial" w:cs="Arial"/>
        </w:rPr>
        <w:t>mg/l</w:t>
      </w:r>
      <w:r>
        <w:rPr>
          <w:rFonts w:ascii="Arial" w:hAnsi="Arial" w:cs="Arial"/>
        </w:rPr>
        <w:t xml:space="preserve">, fueron preparadas y </w:t>
      </w:r>
      <w:r w:rsidRPr="00FC6274">
        <w:rPr>
          <w:rFonts w:ascii="Arial" w:hAnsi="Arial" w:cs="Arial"/>
        </w:rPr>
        <w:t xml:space="preserve">ajustadas al pH de máxima de adsorción para cada bioadsorbente. </w:t>
      </w:r>
      <w:r>
        <w:rPr>
          <w:rFonts w:ascii="Arial" w:hAnsi="Arial" w:cs="Arial"/>
        </w:rPr>
        <w:t>A c</w:t>
      </w:r>
      <w:r w:rsidRPr="00FC6274">
        <w:rPr>
          <w:rFonts w:ascii="Arial" w:hAnsi="Arial" w:cs="Arial"/>
        </w:rPr>
        <w:t>ada solución se le agregaron 2 g del bioadsorbente</w:t>
      </w:r>
      <w:r>
        <w:rPr>
          <w:rFonts w:ascii="Arial" w:hAnsi="Arial" w:cs="Arial"/>
        </w:rPr>
        <w:t xml:space="preserve"> y </w:t>
      </w:r>
      <w:r w:rsidRPr="00FC6274">
        <w:rPr>
          <w:rFonts w:ascii="Arial" w:hAnsi="Arial" w:cs="Arial"/>
        </w:rPr>
        <w:t>las muestras se agitaron a 250 rpm por 3 horas</w:t>
      </w:r>
      <w:r>
        <w:rPr>
          <w:rFonts w:ascii="Arial" w:hAnsi="Arial" w:cs="Arial"/>
        </w:rPr>
        <w:t>. Al finalizar el proceso</w:t>
      </w:r>
      <w:r w:rsidRPr="00FC6274">
        <w:rPr>
          <w:rFonts w:ascii="Arial" w:hAnsi="Arial" w:cs="Arial"/>
        </w:rPr>
        <w:t xml:space="preserve">, las </w:t>
      </w:r>
      <w:r>
        <w:rPr>
          <w:rFonts w:ascii="Arial" w:hAnsi="Arial" w:cs="Arial"/>
        </w:rPr>
        <w:t>muestras</w:t>
      </w:r>
      <w:r w:rsidRPr="00FC6274">
        <w:rPr>
          <w:rFonts w:ascii="Arial" w:hAnsi="Arial" w:cs="Arial"/>
        </w:rPr>
        <w:t xml:space="preserve"> fueron filtradas </w:t>
      </w:r>
      <w:r>
        <w:rPr>
          <w:rFonts w:ascii="Arial" w:hAnsi="Arial" w:cs="Arial"/>
        </w:rPr>
        <w:t>y se</w:t>
      </w:r>
      <w:r w:rsidRPr="00FC6274">
        <w:rPr>
          <w:rFonts w:ascii="Arial" w:hAnsi="Arial" w:cs="Arial"/>
        </w:rPr>
        <w:t xml:space="preserve"> </w:t>
      </w:r>
      <w:r>
        <w:rPr>
          <w:rFonts w:ascii="Arial" w:hAnsi="Arial" w:cs="Arial"/>
        </w:rPr>
        <w:t xml:space="preserve">les </w:t>
      </w:r>
      <w:r w:rsidRPr="00FC6274">
        <w:rPr>
          <w:rFonts w:ascii="Arial" w:hAnsi="Arial" w:cs="Arial"/>
        </w:rPr>
        <w:t>determin</w:t>
      </w:r>
      <w:r>
        <w:rPr>
          <w:rFonts w:ascii="Arial" w:hAnsi="Arial" w:cs="Arial"/>
        </w:rPr>
        <w:t>ó</w:t>
      </w:r>
      <w:r w:rsidRPr="00FC6274">
        <w:rPr>
          <w:rFonts w:ascii="Arial" w:hAnsi="Arial" w:cs="Arial"/>
        </w:rPr>
        <w:t xml:space="preserve"> la concentración del ion aluminio en la solución. Con los datos experimentales, se calculó la capacidad de adsorción (q</w:t>
      </w:r>
      <w:r w:rsidRPr="006D4E2E">
        <w:rPr>
          <w:rFonts w:ascii="Arial" w:hAnsi="Arial" w:cs="Arial"/>
          <w:vertAlign w:val="subscript"/>
        </w:rPr>
        <w:t>e</w:t>
      </w:r>
      <w:r w:rsidRPr="00FC6274">
        <w:rPr>
          <w:rFonts w:ascii="Arial" w:hAnsi="Arial" w:cs="Arial"/>
        </w:rPr>
        <w:t>) del aluminio en el bioadsorbentes mediante la siguiente ecuación:</w:t>
      </w:r>
    </w:p>
    <w:p w:rsidR="00917C1F" w:rsidRPr="00FC6274" w:rsidRDefault="00917C1F" w:rsidP="00917C1F">
      <w:pPr>
        <w:ind w:firstLine="567"/>
        <w:jc w:val="both"/>
        <w:rPr>
          <w:rFonts w:ascii="Arial" w:hAnsi="Arial" w:cs="Arial"/>
        </w:rPr>
      </w:pPr>
    </w:p>
    <w:p w:rsidR="00917C1F" w:rsidRPr="00FC6274" w:rsidRDefault="001345E4" w:rsidP="00917C1F">
      <w:pPr>
        <w:spacing w:after="120"/>
        <w:ind w:left="3538" w:firstLine="709"/>
        <w:rPr>
          <w:rFonts w:ascii="Arial" w:hAnsi="Arial" w:cs="Arial"/>
        </w:rPr>
      </w:pPr>
      <m:oMath>
        <m:sSub>
          <m:sSubPr>
            <m:ctrlPr>
              <w:rPr>
                <w:rFonts w:ascii="Cambria Math" w:hAnsi="Cambria Math"/>
              </w:rPr>
            </m:ctrlPr>
          </m:sSubPr>
          <m:e>
            <m:r>
              <m:rPr>
                <m:sty m:val="p"/>
              </m:rPr>
              <w:rPr>
                <w:rFonts w:ascii="Cambria Math" w:hAnsi="Cambria Math"/>
              </w:rPr>
              <m:t>q</m:t>
            </m:r>
          </m:e>
          <m:sub>
            <m:r>
              <w:rPr>
                <w:rFonts w:ascii="Cambria Math" w:hAnsi="Cambria Math"/>
              </w:rPr>
              <m:t>e</m:t>
            </m:r>
          </m:sub>
        </m:sSub>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m:rPr>
                        <m:sty m:val="p"/>
                      </m:rPr>
                      <w:rPr>
                        <w:rFonts w:ascii="Cambria Math" w:hAnsi="Cambria Math"/>
                      </w:rPr>
                      <m:t>C</m:t>
                    </m:r>
                  </m:e>
                  <m:sub>
                    <m:r>
                      <m:rPr>
                        <m:sty m:val="p"/>
                      </m:rP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f</m:t>
                    </m:r>
                  </m:sub>
                </m:sSub>
              </m:e>
            </m:d>
            <m:r>
              <m:rPr>
                <m:sty m:val="p"/>
              </m:rPr>
              <w:rPr>
                <w:rFonts w:ascii="Cambria Math" w:hAnsi="Cambria Math"/>
              </w:rPr>
              <m:t>∙V</m:t>
            </m:r>
          </m:num>
          <m:den>
            <m:r>
              <m:rPr>
                <m:sty m:val="p"/>
              </m:rPr>
              <w:rPr>
                <w:rFonts w:ascii="Cambria Math" w:hAnsi="Cambria Math"/>
              </w:rPr>
              <m:t>m</m:t>
            </m:r>
          </m:den>
        </m:f>
      </m:oMath>
      <w:r w:rsidR="00917C1F" w:rsidRPr="00FC6274">
        <w:rPr>
          <w:rFonts w:ascii="Arial" w:hAnsi="Arial" w:cs="Arial"/>
        </w:rPr>
        <w:tab/>
      </w:r>
      <w:r w:rsidR="00917C1F" w:rsidRPr="00FC6274">
        <w:rPr>
          <w:rFonts w:ascii="Arial" w:hAnsi="Arial" w:cs="Arial"/>
        </w:rPr>
        <w:tab/>
      </w:r>
      <w:r w:rsidR="00917C1F" w:rsidRPr="00FC6274">
        <w:rPr>
          <w:rFonts w:ascii="Arial" w:hAnsi="Arial" w:cs="Arial"/>
        </w:rPr>
        <w:tab/>
      </w:r>
      <w:r w:rsidR="00917C1F" w:rsidRPr="00FC6274">
        <w:rPr>
          <w:rFonts w:ascii="Arial" w:hAnsi="Arial" w:cs="Arial"/>
        </w:rPr>
        <w:tab/>
      </w:r>
      <w:r w:rsidR="00917C1F" w:rsidRPr="00FC6274">
        <w:rPr>
          <w:rFonts w:ascii="Arial" w:hAnsi="Arial" w:cs="Arial"/>
        </w:rPr>
        <w:tab/>
      </w:r>
      <w:r w:rsidR="00917C1F">
        <w:rPr>
          <w:rFonts w:ascii="Arial" w:hAnsi="Arial" w:cs="Arial"/>
        </w:rPr>
        <w:t xml:space="preserve">        </w:t>
      </w:r>
      <w:r w:rsidR="00917C1F" w:rsidRPr="00FC6274">
        <w:rPr>
          <w:rFonts w:ascii="Arial" w:hAnsi="Arial" w:cs="Arial"/>
        </w:rPr>
        <w:t>(2)</w:t>
      </w:r>
    </w:p>
    <w:p w:rsidR="00917C1F" w:rsidRPr="00FC6274" w:rsidRDefault="00917C1F" w:rsidP="00917C1F">
      <w:pPr>
        <w:jc w:val="both"/>
        <w:rPr>
          <w:rFonts w:ascii="Arial" w:hAnsi="Arial" w:cs="Arial"/>
        </w:rPr>
      </w:pPr>
      <w:r w:rsidRPr="00FC6274">
        <w:rPr>
          <w:rFonts w:ascii="Arial" w:hAnsi="Arial" w:cs="Arial"/>
        </w:rPr>
        <w:t>Donde q</w:t>
      </w:r>
      <w:r w:rsidRPr="00FC6274">
        <w:rPr>
          <w:rFonts w:ascii="Arial" w:hAnsi="Arial" w:cs="Arial"/>
          <w:vertAlign w:val="subscript"/>
        </w:rPr>
        <w:t>e</w:t>
      </w:r>
      <w:r w:rsidRPr="00FC6274">
        <w:rPr>
          <w:rFonts w:ascii="Arial" w:hAnsi="Arial" w:cs="Arial"/>
        </w:rPr>
        <w:t xml:space="preserve"> es la capacidad de adsorción (en mg/g), C</w:t>
      </w:r>
      <w:r w:rsidRPr="00FC6274">
        <w:rPr>
          <w:rFonts w:ascii="Arial" w:hAnsi="Arial" w:cs="Arial"/>
          <w:vertAlign w:val="subscript"/>
        </w:rPr>
        <w:t>i</w:t>
      </w:r>
      <w:r w:rsidRPr="00FC6274">
        <w:rPr>
          <w:rFonts w:ascii="Arial" w:hAnsi="Arial" w:cs="Arial"/>
        </w:rPr>
        <w:t xml:space="preserve"> y C</w:t>
      </w:r>
      <w:r w:rsidRPr="00FC6274">
        <w:rPr>
          <w:rFonts w:ascii="Arial" w:hAnsi="Arial" w:cs="Arial"/>
          <w:vertAlign w:val="subscript"/>
        </w:rPr>
        <w:t>f</w:t>
      </w:r>
      <w:r w:rsidRPr="00FC6274">
        <w:rPr>
          <w:rFonts w:ascii="Arial" w:hAnsi="Arial" w:cs="Arial"/>
        </w:rPr>
        <w:t xml:space="preserve"> son las concentraciones inicial y final, respectivamente, del aluminio en la solución (en mg/l), V es el volumen de la solución (en litros) y m es la masa del adsorbente (en g).</w:t>
      </w:r>
    </w:p>
    <w:p w:rsidR="00917C1F" w:rsidRPr="00FC6274" w:rsidRDefault="00917C1F" w:rsidP="00917C1F">
      <w:pPr>
        <w:ind w:firstLine="708"/>
        <w:jc w:val="both"/>
        <w:rPr>
          <w:rFonts w:ascii="Arial" w:hAnsi="Arial" w:cs="Arial"/>
        </w:rPr>
      </w:pPr>
      <w:r w:rsidRPr="00FC6274">
        <w:rPr>
          <w:rFonts w:ascii="Arial" w:hAnsi="Arial" w:cs="Arial"/>
        </w:rPr>
        <w:t>Los datos experimentales de</w:t>
      </w:r>
      <w:r>
        <w:rPr>
          <w:rFonts w:ascii="Arial" w:hAnsi="Arial" w:cs="Arial"/>
        </w:rPr>
        <w:t>l equilibrio de adsorción</w:t>
      </w:r>
      <w:r w:rsidRPr="00FC6274">
        <w:rPr>
          <w:rFonts w:ascii="Arial" w:hAnsi="Arial" w:cs="Arial"/>
        </w:rPr>
        <w:t xml:space="preserve"> fueron ajustados </w:t>
      </w:r>
      <w:r>
        <w:rPr>
          <w:rFonts w:ascii="Arial" w:hAnsi="Arial" w:cs="Arial"/>
        </w:rPr>
        <w:t>a</w:t>
      </w:r>
      <w:r w:rsidRPr="00FC6274">
        <w:rPr>
          <w:rFonts w:ascii="Arial" w:hAnsi="Arial" w:cs="Arial"/>
        </w:rPr>
        <w:t xml:space="preserve"> los modelos </w:t>
      </w:r>
      <w:r>
        <w:rPr>
          <w:rFonts w:ascii="Arial" w:hAnsi="Arial" w:cs="Arial"/>
        </w:rPr>
        <w:t xml:space="preserve">linealizados </w:t>
      </w:r>
      <w:r w:rsidRPr="00FC6274">
        <w:rPr>
          <w:rFonts w:ascii="Arial" w:hAnsi="Arial" w:cs="Arial"/>
        </w:rPr>
        <w:t>de Freundlich (</w:t>
      </w:r>
      <w:r>
        <w:rPr>
          <w:rFonts w:ascii="Arial" w:hAnsi="Arial" w:cs="Arial"/>
        </w:rPr>
        <w:t xml:space="preserve">ecuación </w:t>
      </w:r>
      <w:r w:rsidRPr="00FC6274">
        <w:rPr>
          <w:rFonts w:ascii="Arial" w:hAnsi="Arial" w:cs="Arial"/>
        </w:rPr>
        <w:t>3) y de Langmuir (</w:t>
      </w:r>
      <w:r>
        <w:rPr>
          <w:rFonts w:ascii="Arial" w:hAnsi="Arial" w:cs="Arial"/>
        </w:rPr>
        <w:t xml:space="preserve">ecuación </w:t>
      </w:r>
      <w:r w:rsidRPr="00FC6274">
        <w:rPr>
          <w:rFonts w:ascii="Arial" w:hAnsi="Arial" w:cs="Arial"/>
        </w:rPr>
        <w:t xml:space="preserve">4). </w:t>
      </w:r>
    </w:p>
    <w:p w:rsidR="00917C1F" w:rsidRPr="00FC6274" w:rsidRDefault="00917C1F" w:rsidP="00917C1F">
      <w:pPr>
        <w:jc w:val="both"/>
        <w:rPr>
          <w:rFonts w:ascii="Arial" w:hAnsi="Arial" w:cs="Arial"/>
        </w:rPr>
      </w:pPr>
    </w:p>
    <w:p w:rsidR="00917C1F" w:rsidRPr="00FC6274" w:rsidRDefault="00917C1F" w:rsidP="00917C1F">
      <w:pPr>
        <w:tabs>
          <w:tab w:val="num" w:pos="0"/>
        </w:tabs>
        <w:autoSpaceDE w:val="0"/>
        <w:autoSpaceDN w:val="0"/>
        <w:adjustRightInd w:val="0"/>
        <w:spacing w:line="360" w:lineRule="auto"/>
        <w:jc w:val="both"/>
        <w:rPr>
          <w:rFonts w:ascii="Arial" w:hAnsi="Arial" w:cs="Arial"/>
        </w:rPr>
      </w:pPr>
      <w:r w:rsidRPr="00FC6274">
        <w:rPr>
          <w:rFonts w:ascii="Arial" w:hAnsi="Arial" w:cs="Arial"/>
        </w:rPr>
        <w:tab/>
      </w:r>
      <w:r w:rsidRPr="00FC6274">
        <w:rPr>
          <w:rFonts w:ascii="Arial" w:hAnsi="Arial" w:cs="Arial"/>
        </w:rPr>
        <w:tab/>
      </w:r>
      <w:r>
        <w:rPr>
          <w:rFonts w:ascii="Arial" w:hAnsi="Arial" w:cs="Arial"/>
        </w:rPr>
        <w:tab/>
      </w:r>
      <w:r>
        <w:rPr>
          <w:rFonts w:ascii="Arial" w:hAnsi="Arial" w:cs="Arial"/>
        </w:rPr>
        <w:tab/>
        <w:t xml:space="preserve">      </w:t>
      </w:r>
      <m:oMath>
        <m:func>
          <m:funcPr>
            <m:ctrlPr>
              <w:rPr>
                <w:rFonts w:ascii="Cambria Math" w:hAnsi="Cambria Math"/>
                <w:i/>
              </w:rPr>
            </m:ctrlPr>
          </m:funcPr>
          <m:fName>
            <m:r>
              <m:rPr>
                <m:sty m:val="p"/>
              </m:rPr>
              <w:rPr>
                <w:rFonts w:ascii="Cambria Math" w:hAnsi="Cambria Math"/>
              </w:rPr>
              <m:t>log</m:t>
            </m:r>
          </m:fName>
          <m:e>
            <m:sSub>
              <m:sSubPr>
                <m:ctrlPr>
                  <w:rPr>
                    <w:rFonts w:ascii="Cambria Math" w:hAnsi="Cambria Math"/>
                    <w:i/>
                  </w:rPr>
                </m:ctrlPr>
              </m:sSubPr>
              <m:e>
                <m:r>
                  <w:rPr>
                    <w:rFonts w:ascii="Cambria Math" w:hAnsi="Cambria Math"/>
                  </w:rPr>
                  <m:t>q</m:t>
                </m:r>
              </m:e>
              <m:sub>
                <m:r>
                  <w:rPr>
                    <w:rFonts w:ascii="Cambria Math" w:hAnsi="Cambria Math"/>
                  </w:rPr>
                  <m:t>e</m:t>
                </m:r>
              </m:sub>
            </m:sSub>
            <m:r>
              <w:rPr>
                <w:rFonts w:ascii="Cambria Math" w:hAnsi="Cambria Math"/>
              </w:rPr>
              <m:t>=</m:t>
            </m:r>
            <m:func>
              <m:funcPr>
                <m:ctrlPr>
                  <w:rPr>
                    <w:rFonts w:ascii="Cambria Math" w:hAnsi="Cambria Math"/>
                    <w:i/>
                  </w:rPr>
                </m:ctrlPr>
              </m:funcPr>
              <m:fName>
                <m:r>
                  <m:rPr>
                    <m:sty m:val="p"/>
                  </m:rPr>
                  <w:rPr>
                    <w:rFonts w:ascii="Cambria Math" w:hAnsi="Cambria Math"/>
                  </w:rPr>
                  <m:t>log</m:t>
                </m:r>
              </m:fName>
              <m:e>
                <m:sSub>
                  <m:sSubPr>
                    <m:ctrlPr>
                      <w:rPr>
                        <w:rFonts w:ascii="Cambria Math" w:hAnsi="Cambria Math"/>
                        <w:i/>
                      </w:rPr>
                    </m:ctrlPr>
                  </m:sSubPr>
                  <m:e>
                    <m:r>
                      <w:rPr>
                        <w:rFonts w:ascii="Cambria Math" w:hAnsi="Cambria Math"/>
                      </w:rPr>
                      <m:t>a</m:t>
                    </m:r>
                  </m:e>
                  <m:sub>
                    <m:r>
                      <w:rPr>
                        <w:rFonts w:ascii="Cambria Math" w:hAnsi="Cambria Math"/>
                      </w:rPr>
                      <m:t>F</m:t>
                    </m:r>
                  </m:sub>
                </m:sSub>
              </m:e>
            </m:func>
          </m:e>
        </m:func>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F</m:t>
            </m:r>
          </m:sub>
        </m:sSub>
        <m:r>
          <w:rPr>
            <w:rFonts w:ascii="Cambria Math" w:hAnsi="Cambria Math"/>
          </w:rPr>
          <m:t>∙</m:t>
        </m:r>
        <m:func>
          <m:funcPr>
            <m:ctrlPr>
              <w:rPr>
                <w:rFonts w:ascii="Cambria Math" w:hAnsi="Cambria Math"/>
                <w:i/>
              </w:rPr>
            </m:ctrlPr>
          </m:funcPr>
          <m:fName>
            <m:r>
              <m:rPr>
                <m:sty m:val="p"/>
              </m:rPr>
              <w:rPr>
                <w:rFonts w:ascii="Cambria Math" w:hAnsi="Cambria Math"/>
              </w:rPr>
              <m:t>log</m:t>
            </m:r>
          </m:fName>
          <m:e>
            <m:sSub>
              <m:sSubPr>
                <m:ctrlPr>
                  <w:rPr>
                    <w:rFonts w:ascii="Cambria Math" w:hAnsi="Cambria Math"/>
                    <w:i/>
                  </w:rPr>
                </m:ctrlPr>
              </m:sSubPr>
              <m:e>
                <m:r>
                  <w:rPr>
                    <w:rFonts w:ascii="Cambria Math" w:hAnsi="Cambria Math"/>
                  </w:rPr>
                  <m:t>C</m:t>
                </m:r>
              </m:e>
              <m:sub>
                <m:r>
                  <w:rPr>
                    <w:rFonts w:ascii="Cambria Math" w:hAnsi="Cambria Math"/>
                  </w:rPr>
                  <m:t>eq</m:t>
                </m:r>
              </m:sub>
            </m:sSub>
          </m:e>
        </m:func>
      </m:oMath>
      <w:r w:rsidRPr="00FC6274">
        <w:rPr>
          <w:rFonts w:ascii="Arial" w:hAnsi="Arial" w:cs="Arial"/>
        </w:rPr>
        <w:tab/>
      </w:r>
      <w:r w:rsidRPr="00FC6274">
        <w:rPr>
          <w:rFonts w:ascii="Arial" w:hAnsi="Arial" w:cs="Arial"/>
        </w:rPr>
        <w:tab/>
      </w:r>
      <w:r w:rsidRPr="00FC6274">
        <w:rPr>
          <w:rFonts w:ascii="Arial" w:hAnsi="Arial" w:cs="Arial"/>
        </w:rPr>
        <w:tab/>
      </w:r>
      <w:r w:rsidRPr="00FC6274">
        <w:rPr>
          <w:rFonts w:ascii="Arial" w:hAnsi="Arial" w:cs="Arial"/>
        </w:rPr>
        <w:tab/>
      </w:r>
      <w:r>
        <w:rPr>
          <w:rFonts w:ascii="Arial" w:hAnsi="Arial" w:cs="Arial"/>
        </w:rPr>
        <w:t xml:space="preserve">         (</w:t>
      </w:r>
      <w:r w:rsidRPr="00FC6274">
        <w:rPr>
          <w:rFonts w:ascii="Arial" w:hAnsi="Arial" w:cs="Arial"/>
        </w:rPr>
        <w:t>3)</w:t>
      </w:r>
    </w:p>
    <w:p w:rsidR="00917C1F" w:rsidRPr="00FC6274" w:rsidRDefault="00917C1F" w:rsidP="00917C1F">
      <w:pPr>
        <w:spacing w:line="360" w:lineRule="auto"/>
        <w:ind w:left="2829"/>
        <w:rPr>
          <w:rFonts w:ascii="Arial" w:hAnsi="Arial" w:cs="Arial"/>
        </w:rPr>
      </w:pPr>
      <w:r>
        <w:rPr>
          <w:rFonts w:ascii="Arial" w:hAnsi="Arial" w:cs="Arial"/>
        </w:rPr>
        <w:t xml:space="preserve">       </w:t>
      </w:r>
      <m:oMath>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eq</m:t>
                </m:r>
              </m:sub>
            </m:sSub>
          </m:num>
          <m:den>
            <m:sSub>
              <m:sSubPr>
                <m:ctrlPr>
                  <w:rPr>
                    <w:rFonts w:ascii="Cambria Math" w:hAnsi="Cambria Math"/>
                    <w:i/>
                  </w:rPr>
                </m:ctrlPr>
              </m:sSubPr>
              <m:e>
                <m:r>
                  <w:rPr>
                    <w:rFonts w:ascii="Cambria Math" w:hAnsi="Cambria Math"/>
                  </w:rPr>
                  <m:t>q</m:t>
                </m:r>
              </m:e>
              <m:sub>
                <m:r>
                  <w:rPr>
                    <w:rFonts w:ascii="Cambria Math" w:hAnsi="Cambria Math"/>
                  </w:rPr>
                  <m:t>e</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q</m:t>
                </m:r>
              </m:e>
              <m:sub>
                <m:r>
                  <w:rPr>
                    <w:rFonts w:ascii="Cambria Math" w:hAnsi="Cambria Math"/>
                  </w:rPr>
                  <m:t>e,max</m:t>
                </m:r>
              </m:sub>
            </m:sSub>
          </m:den>
        </m:f>
        <m:sSub>
          <m:sSubPr>
            <m:ctrlPr>
              <w:rPr>
                <w:rFonts w:ascii="Cambria Math" w:hAnsi="Cambria Math"/>
                <w:i/>
              </w:rPr>
            </m:ctrlPr>
          </m:sSubPr>
          <m:e>
            <m:r>
              <w:rPr>
                <w:rFonts w:ascii="Cambria Math" w:hAnsi="Cambria Math"/>
              </w:rPr>
              <m:t>C</m:t>
            </m:r>
          </m:e>
          <m:sub>
            <m:r>
              <w:rPr>
                <w:rFonts w:ascii="Cambria Math" w:hAnsi="Cambria Math"/>
              </w:rPr>
              <m:t>eq</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q</m:t>
                </m:r>
              </m:e>
              <m:sub>
                <m:r>
                  <w:rPr>
                    <w:rFonts w:ascii="Cambria Math" w:hAnsi="Cambria Math"/>
                  </w:rPr>
                  <m:t>e,max</m:t>
                </m:r>
              </m:sub>
            </m:sSub>
            <m:r>
              <w:rPr>
                <w:rFonts w:ascii="Cambria Math" w:hAnsi="Cambria Math"/>
              </w:rPr>
              <m:t>∙b</m:t>
            </m:r>
          </m:den>
        </m:f>
      </m:oMath>
      <w:r w:rsidRPr="00FC6274">
        <w:rPr>
          <w:rFonts w:ascii="Arial" w:hAnsi="Arial" w:cs="Arial"/>
        </w:rPr>
        <w:tab/>
      </w:r>
      <w:r w:rsidRPr="00FC6274">
        <w:rPr>
          <w:rFonts w:ascii="Arial" w:hAnsi="Arial" w:cs="Arial"/>
        </w:rPr>
        <w:tab/>
      </w:r>
      <w:r w:rsidRPr="00FC6274">
        <w:rPr>
          <w:rFonts w:ascii="Arial" w:hAnsi="Arial" w:cs="Arial"/>
        </w:rPr>
        <w:tab/>
      </w:r>
      <w:r w:rsidRPr="00FC6274">
        <w:rPr>
          <w:rFonts w:ascii="Arial" w:hAnsi="Arial" w:cs="Arial"/>
        </w:rPr>
        <w:tab/>
      </w:r>
      <w:r>
        <w:rPr>
          <w:rFonts w:ascii="Arial" w:hAnsi="Arial" w:cs="Arial"/>
        </w:rPr>
        <w:t xml:space="preserve">         </w:t>
      </w:r>
      <w:r w:rsidRPr="00FC6274">
        <w:rPr>
          <w:rFonts w:ascii="Arial" w:hAnsi="Arial" w:cs="Arial"/>
        </w:rPr>
        <w:t>(4)</w:t>
      </w:r>
    </w:p>
    <w:p w:rsidR="00917C1F" w:rsidRPr="00FC6274" w:rsidRDefault="00917C1F" w:rsidP="00917C1F">
      <w:pPr>
        <w:jc w:val="both"/>
        <w:rPr>
          <w:rFonts w:ascii="Arial" w:hAnsi="Arial" w:cs="Arial"/>
        </w:rPr>
      </w:pPr>
      <w:r w:rsidRPr="00FC6274">
        <w:rPr>
          <w:rFonts w:ascii="Arial" w:hAnsi="Arial" w:cs="Arial"/>
        </w:rPr>
        <w:t xml:space="preserve">Donde </w:t>
      </w:r>
      <w:r w:rsidRPr="00FC6274">
        <w:rPr>
          <w:rFonts w:ascii="Arial" w:hAnsi="Arial" w:cs="Arial"/>
          <w:i/>
        </w:rPr>
        <w:t>q</w:t>
      </w:r>
      <w:r w:rsidRPr="00FC6274">
        <w:rPr>
          <w:rFonts w:ascii="Arial" w:hAnsi="Arial" w:cs="Arial"/>
          <w:i/>
          <w:vertAlign w:val="subscript"/>
        </w:rPr>
        <w:t>e</w:t>
      </w:r>
      <w:r w:rsidRPr="00FC6274">
        <w:rPr>
          <w:rFonts w:ascii="Arial" w:hAnsi="Arial" w:cs="Arial"/>
        </w:rPr>
        <w:t xml:space="preserve"> es la capacidad de adsorción, en mg/g, </w:t>
      </w:r>
      <w:r w:rsidRPr="00FC6274">
        <w:rPr>
          <w:rFonts w:ascii="Arial" w:hAnsi="Arial" w:cs="Arial"/>
          <w:i/>
        </w:rPr>
        <w:t>C</w:t>
      </w:r>
      <w:r w:rsidRPr="00FC6274">
        <w:rPr>
          <w:rFonts w:ascii="Arial" w:hAnsi="Arial" w:cs="Arial"/>
          <w:i/>
          <w:vertAlign w:val="subscript"/>
        </w:rPr>
        <w:t>eq</w:t>
      </w:r>
      <w:r w:rsidRPr="00FC6274">
        <w:rPr>
          <w:rFonts w:ascii="Arial" w:hAnsi="Arial" w:cs="Arial"/>
        </w:rPr>
        <w:t xml:space="preserve"> es la concentración del ion aluminio en el equilibrio (en mg/l), </w:t>
      </w:r>
      <m:oMath>
        <m:sSub>
          <m:sSubPr>
            <m:ctrlPr>
              <w:rPr>
                <w:rFonts w:ascii="Cambria Math" w:hAnsi="Cambria Math"/>
                <w:i/>
              </w:rPr>
            </m:ctrlPr>
          </m:sSubPr>
          <m:e>
            <m:r>
              <w:rPr>
                <w:rFonts w:ascii="Cambria Math" w:hAnsi="Cambria Math"/>
              </w:rPr>
              <m:t>a</m:t>
            </m:r>
          </m:e>
          <m:sub>
            <m:r>
              <w:rPr>
                <w:rFonts w:ascii="Cambria Math" w:hAnsi="Cambria Math"/>
              </w:rPr>
              <m:t>F</m:t>
            </m:r>
          </m:sub>
        </m:sSub>
      </m:oMath>
      <w:r w:rsidRPr="00FC6274">
        <w:rPr>
          <w:rFonts w:ascii="Arial" w:hAnsi="Arial" w:cs="Arial"/>
        </w:rPr>
        <w:t xml:space="preserve"> es la constante de la isoterma de Freundlich, en mg</w:t>
      </w:r>
      <w:r w:rsidRPr="00FC6274">
        <w:rPr>
          <w:rFonts w:ascii="Arial" w:hAnsi="Arial" w:cs="Arial"/>
          <w:vertAlign w:val="superscript"/>
        </w:rPr>
        <w:t>1-bF</w:t>
      </w:r>
      <w:r w:rsidRPr="00FC6274">
        <w:rPr>
          <w:rFonts w:ascii="Arial" w:hAnsi="Arial" w:cs="Arial"/>
        </w:rPr>
        <w:sym w:font="Symbol" w:char="F0D7"/>
      </w:r>
      <w:r w:rsidRPr="00FC6274">
        <w:rPr>
          <w:rFonts w:ascii="Arial" w:hAnsi="Arial" w:cs="Arial"/>
        </w:rPr>
        <w:t>L</w:t>
      </w:r>
      <w:r w:rsidRPr="00FC6274">
        <w:rPr>
          <w:rFonts w:ascii="Arial" w:hAnsi="Arial" w:cs="Arial"/>
          <w:vertAlign w:val="superscript"/>
        </w:rPr>
        <w:t>bF</w:t>
      </w:r>
      <w:r w:rsidRPr="00FC6274">
        <w:rPr>
          <w:rFonts w:ascii="Arial" w:hAnsi="Arial" w:cs="Arial"/>
        </w:rPr>
        <w:t xml:space="preserve">/g, </w:t>
      </w:r>
      <w:r w:rsidRPr="00FC6274">
        <w:rPr>
          <w:rFonts w:ascii="Arial" w:hAnsi="Arial" w:cs="Arial"/>
          <w:i/>
        </w:rPr>
        <w:t>b</w:t>
      </w:r>
      <w:r w:rsidRPr="00FC6274">
        <w:rPr>
          <w:rFonts w:ascii="Arial" w:hAnsi="Arial" w:cs="Arial"/>
          <w:i/>
          <w:vertAlign w:val="subscript"/>
        </w:rPr>
        <w:t>F</w:t>
      </w:r>
      <w:r w:rsidRPr="00FC6274">
        <w:rPr>
          <w:rFonts w:ascii="Arial" w:hAnsi="Arial" w:cs="Arial"/>
        </w:rPr>
        <w:t xml:space="preserve"> es el parámetro empírico adimensional de Freundlich, </w:t>
      </w:r>
      <w:r w:rsidRPr="00FC6274">
        <w:rPr>
          <w:rFonts w:ascii="Arial" w:hAnsi="Arial" w:cs="Arial"/>
          <w:i/>
        </w:rPr>
        <w:t>q</w:t>
      </w:r>
      <w:r w:rsidRPr="00FC6274">
        <w:rPr>
          <w:rFonts w:ascii="Arial" w:hAnsi="Arial" w:cs="Arial"/>
          <w:i/>
          <w:vertAlign w:val="subscript"/>
        </w:rPr>
        <w:t>e,max</w:t>
      </w:r>
      <w:r w:rsidRPr="00FC6274">
        <w:rPr>
          <w:rFonts w:ascii="Arial" w:hAnsi="Arial" w:cs="Arial"/>
        </w:rPr>
        <w:t xml:space="preserve"> es la máxima capacidad de adsorción, en mg/g, y </w:t>
      </w:r>
      <w:r w:rsidRPr="00FC6274">
        <w:rPr>
          <w:rFonts w:ascii="Arial" w:hAnsi="Arial" w:cs="Arial"/>
          <w:i/>
        </w:rPr>
        <w:t>b</w:t>
      </w:r>
      <w:r w:rsidRPr="00FC6274">
        <w:rPr>
          <w:rFonts w:ascii="Arial" w:hAnsi="Arial" w:cs="Arial"/>
        </w:rPr>
        <w:t xml:space="preserve"> es la constante de equilibrio de adsorción de Langmuir, en l/mg.</w:t>
      </w:r>
    </w:p>
    <w:p w:rsidR="00917C1F" w:rsidRPr="00FC6274" w:rsidRDefault="00917C1F" w:rsidP="00917C1F">
      <w:pPr>
        <w:jc w:val="both"/>
        <w:rPr>
          <w:rFonts w:ascii="Arial" w:eastAsia="Calibri" w:hAnsi="Arial" w:cs="Arial"/>
        </w:rPr>
      </w:pPr>
    </w:p>
    <w:p w:rsidR="00917C1F" w:rsidRPr="00A64533" w:rsidRDefault="00917C1F" w:rsidP="00917C1F">
      <w:pPr>
        <w:keepNext/>
        <w:keepLines/>
        <w:spacing w:line="360" w:lineRule="auto"/>
        <w:jc w:val="both"/>
        <w:outlineLvl w:val="1"/>
        <w:rPr>
          <w:rFonts w:ascii="Arial" w:hAnsi="Arial" w:cs="Arial"/>
          <w:i/>
          <w:color w:val="000000"/>
        </w:rPr>
      </w:pPr>
      <w:bookmarkStart w:id="454" w:name="_Toc50031479"/>
      <w:bookmarkStart w:id="455" w:name="_Toc16791286"/>
      <w:bookmarkStart w:id="456" w:name="_Toc17117377"/>
      <w:r>
        <w:rPr>
          <w:rFonts w:ascii="Arial" w:hAnsi="Arial" w:cs="Arial"/>
          <w:i/>
          <w:color w:val="000000"/>
        </w:rPr>
        <w:t>3.4 Cinética</w:t>
      </w:r>
      <w:r w:rsidRPr="00A64533">
        <w:rPr>
          <w:rFonts w:ascii="Arial" w:hAnsi="Arial" w:cs="Arial"/>
          <w:i/>
          <w:color w:val="000000"/>
        </w:rPr>
        <w:t xml:space="preserve"> de adsorción de Aluminio</w:t>
      </w:r>
      <w:bookmarkEnd w:id="454"/>
    </w:p>
    <w:p w:rsidR="00917C1F" w:rsidRDefault="00917C1F" w:rsidP="00917C1F">
      <w:pPr>
        <w:ind w:firstLine="567"/>
        <w:jc w:val="both"/>
        <w:rPr>
          <w:rFonts w:ascii="Arial" w:eastAsia="Calibri" w:hAnsi="Arial" w:cs="Arial"/>
          <w:lang w:val="es-NI"/>
        </w:rPr>
      </w:pPr>
      <w:r>
        <w:rPr>
          <w:rFonts w:ascii="Arial" w:eastAsia="Calibri" w:hAnsi="Arial" w:cs="Arial"/>
          <w:lang w:val="es-NI"/>
        </w:rPr>
        <w:t>Para este estudio</w:t>
      </w:r>
      <w:r w:rsidRPr="004C2CA9">
        <w:rPr>
          <w:rFonts w:ascii="Arial" w:eastAsia="Calibri" w:hAnsi="Arial" w:cs="Arial"/>
          <w:lang w:val="es-NI"/>
        </w:rPr>
        <w:t xml:space="preserve">, </w:t>
      </w:r>
      <w:r>
        <w:rPr>
          <w:rFonts w:ascii="Arial" w:eastAsia="Calibri" w:hAnsi="Arial" w:cs="Arial"/>
          <w:lang w:val="es-NI"/>
        </w:rPr>
        <w:t>5 g del bioadsorbente se puso</w:t>
      </w:r>
      <w:r w:rsidRPr="004C2CA9">
        <w:rPr>
          <w:rFonts w:ascii="Arial" w:eastAsia="Calibri" w:hAnsi="Arial" w:cs="Arial"/>
          <w:lang w:val="es-NI"/>
        </w:rPr>
        <w:t xml:space="preserve"> en contacto con 1000 ml de </w:t>
      </w:r>
      <w:r>
        <w:rPr>
          <w:rFonts w:ascii="Arial" w:eastAsia="Calibri" w:hAnsi="Arial" w:cs="Arial"/>
          <w:lang w:val="es-NI"/>
        </w:rPr>
        <w:t>un</w:t>
      </w:r>
      <w:r w:rsidRPr="004C2CA9">
        <w:rPr>
          <w:rFonts w:ascii="Arial" w:eastAsia="Calibri" w:hAnsi="Arial" w:cs="Arial"/>
          <w:lang w:val="es-NI"/>
        </w:rPr>
        <w:t xml:space="preserve">a solución de aluminio </w:t>
      </w:r>
      <w:r>
        <w:rPr>
          <w:rFonts w:ascii="Arial" w:eastAsia="Calibri" w:hAnsi="Arial" w:cs="Arial"/>
          <w:lang w:val="es-NI"/>
        </w:rPr>
        <w:t xml:space="preserve">de 60 mg/l </w:t>
      </w:r>
      <w:r w:rsidRPr="004C2CA9">
        <w:rPr>
          <w:rFonts w:ascii="Arial" w:eastAsia="Calibri" w:hAnsi="Arial" w:cs="Arial"/>
          <w:lang w:val="es-NI"/>
        </w:rPr>
        <w:t>a una velocidad de agitación constante de</w:t>
      </w:r>
      <w:r>
        <w:rPr>
          <w:rFonts w:ascii="Arial" w:eastAsia="Calibri" w:hAnsi="Arial" w:cs="Arial"/>
          <w:lang w:val="es-NI"/>
        </w:rPr>
        <w:t xml:space="preserve"> 250 rpm y temperatura ambiente por un tiempo de 8 h</w:t>
      </w:r>
      <w:r w:rsidRPr="004C2CA9">
        <w:rPr>
          <w:rFonts w:ascii="Arial" w:eastAsia="Calibri" w:hAnsi="Arial" w:cs="Arial"/>
          <w:lang w:val="es-NI"/>
        </w:rPr>
        <w:t>. A medida que transcurr</w:t>
      </w:r>
      <w:r>
        <w:rPr>
          <w:rFonts w:ascii="Arial" w:eastAsia="Calibri" w:hAnsi="Arial" w:cs="Arial"/>
          <w:lang w:val="es-NI"/>
        </w:rPr>
        <w:t>í</w:t>
      </w:r>
      <w:r w:rsidRPr="004C2CA9">
        <w:rPr>
          <w:rFonts w:ascii="Arial" w:eastAsia="Calibri" w:hAnsi="Arial" w:cs="Arial"/>
          <w:lang w:val="es-NI"/>
        </w:rPr>
        <w:t xml:space="preserve">a </w:t>
      </w:r>
      <w:r>
        <w:rPr>
          <w:rFonts w:ascii="Arial" w:eastAsia="Calibri" w:hAnsi="Arial" w:cs="Arial"/>
          <w:lang w:val="es-NI"/>
        </w:rPr>
        <w:t>el proceso de</w:t>
      </w:r>
      <w:r w:rsidRPr="004C2CA9">
        <w:rPr>
          <w:rFonts w:ascii="Arial" w:eastAsia="Calibri" w:hAnsi="Arial" w:cs="Arial"/>
          <w:lang w:val="es-NI"/>
        </w:rPr>
        <w:t xml:space="preserve"> adsor</w:t>
      </w:r>
      <w:r>
        <w:rPr>
          <w:rFonts w:ascii="Arial" w:eastAsia="Calibri" w:hAnsi="Arial" w:cs="Arial"/>
          <w:lang w:val="es-NI"/>
        </w:rPr>
        <w:t>ción, se tomaro</w:t>
      </w:r>
      <w:r w:rsidRPr="004C2CA9">
        <w:rPr>
          <w:rFonts w:ascii="Arial" w:eastAsia="Calibri" w:hAnsi="Arial" w:cs="Arial"/>
          <w:lang w:val="es-NI"/>
        </w:rPr>
        <w:t xml:space="preserve">n alícuotas de 10 ml de solución </w:t>
      </w:r>
      <w:r>
        <w:rPr>
          <w:rFonts w:ascii="Arial" w:eastAsia="Calibri" w:hAnsi="Arial" w:cs="Arial"/>
          <w:lang w:val="es-NI"/>
        </w:rPr>
        <w:t>las cuales fueron</w:t>
      </w:r>
      <w:r w:rsidRPr="004C2CA9">
        <w:rPr>
          <w:rFonts w:ascii="Arial" w:eastAsia="Calibri" w:hAnsi="Arial" w:cs="Arial"/>
          <w:lang w:val="es-NI"/>
        </w:rPr>
        <w:t xml:space="preserve"> analizadas para determinar la concentración de</w:t>
      </w:r>
      <w:r>
        <w:rPr>
          <w:rFonts w:ascii="Arial" w:eastAsia="Calibri" w:hAnsi="Arial" w:cs="Arial"/>
          <w:lang w:val="es-NI"/>
        </w:rPr>
        <w:t>l</w:t>
      </w:r>
      <w:r w:rsidRPr="004C2CA9">
        <w:rPr>
          <w:rFonts w:ascii="Arial" w:eastAsia="Calibri" w:hAnsi="Arial" w:cs="Arial"/>
          <w:lang w:val="es-NI"/>
        </w:rPr>
        <w:t xml:space="preserve"> </w:t>
      </w:r>
      <w:r>
        <w:rPr>
          <w:rFonts w:ascii="Arial" w:eastAsia="Calibri" w:hAnsi="Arial" w:cs="Arial"/>
          <w:lang w:val="es-NI"/>
        </w:rPr>
        <w:t>ion metálico</w:t>
      </w:r>
      <w:r w:rsidRPr="004C2CA9">
        <w:rPr>
          <w:rFonts w:ascii="Arial" w:eastAsia="Calibri" w:hAnsi="Arial" w:cs="Arial"/>
          <w:lang w:val="es-NI"/>
        </w:rPr>
        <w:t>.</w:t>
      </w:r>
      <w:r>
        <w:rPr>
          <w:rFonts w:ascii="Arial" w:eastAsia="Calibri" w:hAnsi="Arial" w:cs="Arial"/>
          <w:lang w:val="es-NI"/>
        </w:rPr>
        <w:t xml:space="preserve"> </w:t>
      </w:r>
      <w:r w:rsidRPr="004C2CA9">
        <w:rPr>
          <w:rFonts w:ascii="Arial" w:eastAsia="Calibri" w:hAnsi="Arial" w:cs="Arial"/>
          <w:lang w:val="es-NI"/>
        </w:rPr>
        <w:t>Con los datos experimentales,</w:t>
      </w:r>
      <w:r>
        <w:rPr>
          <w:rFonts w:ascii="Arial" w:eastAsia="Calibri" w:hAnsi="Arial" w:cs="Arial"/>
          <w:lang w:val="es-NI"/>
        </w:rPr>
        <w:t xml:space="preserve"> se calculó</w:t>
      </w:r>
      <w:r w:rsidRPr="004C2CA9">
        <w:rPr>
          <w:rFonts w:ascii="Arial" w:eastAsia="Calibri" w:hAnsi="Arial" w:cs="Arial"/>
          <w:lang w:val="es-NI"/>
        </w:rPr>
        <w:t xml:space="preserve"> la capacidad de adsorción del aluminio</w:t>
      </w:r>
      <w:r>
        <w:rPr>
          <w:rFonts w:ascii="Arial" w:eastAsia="Calibri" w:hAnsi="Arial" w:cs="Arial"/>
          <w:lang w:val="es-NI"/>
        </w:rPr>
        <w:t xml:space="preserve"> </w:t>
      </w:r>
      <w:r w:rsidRPr="004C2CA9">
        <w:rPr>
          <w:rFonts w:ascii="Arial" w:eastAsia="Calibri" w:hAnsi="Arial" w:cs="Arial"/>
          <w:lang w:val="es-NI"/>
        </w:rPr>
        <w:t xml:space="preserve">en el bioadsorbente </w:t>
      </w:r>
      <w:r>
        <w:rPr>
          <w:rFonts w:ascii="Arial" w:eastAsia="Calibri" w:hAnsi="Arial" w:cs="Arial"/>
          <w:lang w:val="es-NI"/>
        </w:rPr>
        <w:t xml:space="preserve">a un tiempo t </w:t>
      </w:r>
      <w:r w:rsidRPr="004C2CA9">
        <w:rPr>
          <w:rFonts w:ascii="Arial" w:eastAsia="Calibri" w:hAnsi="Arial" w:cs="Arial"/>
          <w:lang w:val="es-NI"/>
        </w:rPr>
        <w:t>(q</w:t>
      </w:r>
      <w:r>
        <w:rPr>
          <w:rFonts w:ascii="Arial" w:eastAsia="Calibri" w:hAnsi="Arial" w:cs="Arial"/>
          <w:lang w:val="es-NI"/>
        </w:rPr>
        <w:t>t</w:t>
      </w:r>
      <w:r w:rsidRPr="004C2CA9">
        <w:rPr>
          <w:rFonts w:ascii="Arial" w:eastAsia="Calibri" w:hAnsi="Arial" w:cs="Arial"/>
          <w:lang w:val="es-NI"/>
        </w:rPr>
        <w:t>)</w:t>
      </w:r>
      <w:r>
        <w:rPr>
          <w:rFonts w:ascii="Arial" w:eastAsia="Calibri" w:hAnsi="Arial" w:cs="Arial"/>
          <w:lang w:val="es-NI"/>
        </w:rPr>
        <w:t>, utilizando</w:t>
      </w:r>
      <w:r w:rsidRPr="004C2CA9">
        <w:rPr>
          <w:rFonts w:ascii="Arial" w:eastAsia="Calibri" w:hAnsi="Arial" w:cs="Arial"/>
          <w:lang w:val="es-NI"/>
        </w:rPr>
        <w:t xml:space="preserve"> la ecuación</w:t>
      </w:r>
      <w:r>
        <w:rPr>
          <w:rFonts w:ascii="Arial" w:eastAsia="Calibri" w:hAnsi="Arial" w:cs="Arial"/>
          <w:lang w:val="es-NI"/>
        </w:rPr>
        <w:t xml:space="preserve"> (2). </w:t>
      </w:r>
      <w:r w:rsidRPr="004C2CA9">
        <w:rPr>
          <w:rFonts w:ascii="Arial" w:eastAsia="Calibri" w:hAnsi="Arial" w:cs="Arial"/>
          <w:lang w:val="es-NI"/>
        </w:rPr>
        <w:t>Para determinar el mecanismo de la cinética de adsorción, los</w:t>
      </w:r>
      <w:r>
        <w:rPr>
          <w:rFonts w:ascii="Arial" w:eastAsia="Calibri" w:hAnsi="Arial" w:cs="Arial"/>
          <w:lang w:val="es-NI"/>
        </w:rPr>
        <w:t xml:space="preserve"> datos experimentales fueron</w:t>
      </w:r>
      <w:r w:rsidRPr="004C2CA9">
        <w:rPr>
          <w:rFonts w:ascii="Arial" w:eastAsia="Calibri" w:hAnsi="Arial" w:cs="Arial"/>
          <w:lang w:val="es-NI"/>
        </w:rPr>
        <w:t xml:space="preserve"> ajustados a los modelos de pseudo-primer orden (</w:t>
      </w:r>
      <w:r>
        <w:rPr>
          <w:rFonts w:ascii="Arial" w:eastAsia="Calibri" w:hAnsi="Arial" w:cs="Arial"/>
          <w:lang w:val="es-NI"/>
        </w:rPr>
        <w:t>ecuación 5</w:t>
      </w:r>
      <w:r w:rsidRPr="004C2CA9">
        <w:rPr>
          <w:rFonts w:ascii="Arial" w:eastAsia="Calibri" w:hAnsi="Arial" w:cs="Arial"/>
          <w:lang w:val="es-NI"/>
        </w:rPr>
        <w:t>) y de pseudo-segundo orden (</w:t>
      </w:r>
      <w:r>
        <w:rPr>
          <w:rFonts w:ascii="Arial" w:eastAsia="Calibri" w:hAnsi="Arial" w:cs="Arial"/>
          <w:lang w:val="es-NI"/>
        </w:rPr>
        <w:t>ecuación 6</w:t>
      </w:r>
      <w:r w:rsidRPr="004C2CA9">
        <w:rPr>
          <w:rFonts w:ascii="Arial" w:eastAsia="Calibri" w:hAnsi="Arial" w:cs="Arial"/>
          <w:lang w:val="es-NI"/>
        </w:rPr>
        <w:t>).</w:t>
      </w:r>
    </w:p>
    <w:p w:rsidR="00917C1F" w:rsidRDefault="00917C1F" w:rsidP="00917C1F">
      <w:pPr>
        <w:ind w:firstLine="567"/>
        <w:jc w:val="both"/>
        <w:rPr>
          <w:rFonts w:ascii="Arial" w:eastAsia="Calibri" w:hAnsi="Arial" w:cs="Arial"/>
          <w:lang w:val="es-NI"/>
        </w:rPr>
      </w:pPr>
    </w:p>
    <w:p w:rsidR="00917C1F" w:rsidRPr="004C2CA9" w:rsidRDefault="001345E4" w:rsidP="00917C1F">
      <w:pPr>
        <w:ind w:left="2829" w:firstLine="709"/>
        <w:jc w:val="both"/>
        <w:rPr>
          <w:rFonts w:ascii="Arial" w:eastAsia="Times New Roman" w:hAnsi="Arial" w:cs="Arial"/>
          <w:lang w:val="es-NI"/>
        </w:rPr>
      </w:pPr>
      <m:oMath>
        <m:func>
          <m:funcPr>
            <m:ctrlPr>
              <w:rPr>
                <w:rFonts w:ascii="Cambria Math" w:eastAsia="Times New Roman" w:hAnsi="Cambria Math" w:cs="Arial"/>
                <w:lang w:val="es-NI"/>
              </w:rPr>
            </m:ctrlPr>
          </m:funcPr>
          <m:fName>
            <m:r>
              <m:rPr>
                <m:sty m:val="p"/>
              </m:rPr>
              <w:rPr>
                <w:rFonts w:ascii="Cambria Math" w:eastAsia="Times New Roman" w:hAnsi="Cambria Math" w:cs="Arial"/>
                <w:lang w:val="es-NI"/>
              </w:rPr>
              <m:t>ln</m:t>
            </m:r>
          </m:fName>
          <m:e>
            <m:d>
              <m:dPr>
                <m:ctrlPr>
                  <w:rPr>
                    <w:rFonts w:ascii="Cambria Math" w:eastAsia="Times New Roman" w:hAnsi="Cambria Math" w:cs="Arial"/>
                    <w:i/>
                    <w:lang w:val="es-NI"/>
                  </w:rPr>
                </m:ctrlPr>
              </m:dPr>
              <m:e>
                <m:sSub>
                  <m:sSubPr>
                    <m:ctrlPr>
                      <w:rPr>
                        <w:rFonts w:ascii="Cambria Math" w:eastAsia="Times New Roman" w:hAnsi="Cambria Math" w:cs="Arial"/>
                        <w:i/>
                        <w:lang w:val="es-NI"/>
                      </w:rPr>
                    </m:ctrlPr>
                  </m:sSubPr>
                  <m:e>
                    <m:r>
                      <w:rPr>
                        <w:rFonts w:ascii="Cambria Math" w:eastAsia="Times New Roman" w:hAnsi="Cambria Math" w:cs="Arial"/>
                        <w:lang w:val="es-NI"/>
                      </w:rPr>
                      <m:t>q</m:t>
                    </m:r>
                  </m:e>
                  <m:sub>
                    <m:r>
                      <w:rPr>
                        <w:rFonts w:ascii="Cambria Math" w:eastAsia="Times New Roman" w:hAnsi="Cambria Math" w:cs="Arial"/>
                        <w:lang w:val="es-NI"/>
                      </w:rPr>
                      <m:t>e</m:t>
                    </m:r>
                  </m:sub>
                </m:sSub>
                <m:r>
                  <w:rPr>
                    <w:rFonts w:ascii="Cambria Math" w:eastAsia="Times New Roman" w:hAnsi="Cambria Math" w:cs="Arial"/>
                    <w:lang w:val="es-NI"/>
                  </w:rPr>
                  <m:t>-</m:t>
                </m:r>
                <m:sSub>
                  <m:sSubPr>
                    <m:ctrlPr>
                      <w:rPr>
                        <w:rFonts w:ascii="Cambria Math" w:eastAsia="Times New Roman" w:hAnsi="Cambria Math" w:cs="Arial"/>
                        <w:i/>
                        <w:lang w:val="es-NI"/>
                      </w:rPr>
                    </m:ctrlPr>
                  </m:sSubPr>
                  <m:e>
                    <m:r>
                      <w:rPr>
                        <w:rFonts w:ascii="Cambria Math" w:eastAsia="Times New Roman" w:hAnsi="Cambria Math" w:cs="Arial"/>
                        <w:lang w:val="es-NI"/>
                      </w:rPr>
                      <m:t>q</m:t>
                    </m:r>
                  </m:e>
                  <m:sub>
                    <m:r>
                      <w:rPr>
                        <w:rFonts w:ascii="Cambria Math" w:eastAsia="Times New Roman" w:hAnsi="Cambria Math" w:cs="Arial"/>
                        <w:lang w:val="es-NI"/>
                      </w:rPr>
                      <m:t>t</m:t>
                    </m:r>
                  </m:sub>
                </m:sSub>
              </m:e>
            </m:d>
          </m:e>
        </m:func>
        <m:r>
          <w:rPr>
            <w:rFonts w:ascii="Cambria Math" w:eastAsia="Times New Roman" w:hAnsi="Cambria Math" w:cs="Arial"/>
            <w:lang w:val="es-NI"/>
          </w:rPr>
          <m:t>=</m:t>
        </m:r>
        <m:sSub>
          <m:sSubPr>
            <m:ctrlPr>
              <w:rPr>
                <w:rFonts w:ascii="Cambria Math" w:eastAsia="Times New Roman" w:hAnsi="Cambria Math" w:cs="Arial"/>
                <w:i/>
                <w:lang w:val="es-NI"/>
              </w:rPr>
            </m:ctrlPr>
          </m:sSubPr>
          <m:e>
            <m:r>
              <w:rPr>
                <w:rFonts w:ascii="Cambria Math" w:eastAsia="Times New Roman" w:hAnsi="Cambria Math" w:cs="Arial"/>
                <w:lang w:val="es-NI"/>
              </w:rPr>
              <m:t>lnq</m:t>
            </m:r>
          </m:e>
          <m:sub>
            <m:r>
              <w:rPr>
                <w:rFonts w:ascii="Cambria Math" w:eastAsia="Times New Roman" w:hAnsi="Cambria Math" w:cs="Arial"/>
                <w:lang w:val="es-NI"/>
              </w:rPr>
              <m:t>e</m:t>
            </m:r>
          </m:sub>
        </m:sSub>
        <m:r>
          <w:rPr>
            <w:rFonts w:ascii="Cambria Math" w:eastAsia="Times New Roman" w:hAnsi="Cambria Math" w:cs="Arial"/>
            <w:lang w:val="es-NI"/>
          </w:rPr>
          <m:t>-</m:t>
        </m:r>
        <m:sSub>
          <m:sSubPr>
            <m:ctrlPr>
              <w:rPr>
                <w:rFonts w:ascii="Cambria Math" w:eastAsia="Times New Roman" w:hAnsi="Cambria Math" w:cs="Arial"/>
                <w:i/>
                <w:lang w:val="es-NI"/>
              </w:rPr>
            </m:ctrlPr>
          </m:sSubPr>
          <m:e>
            <m:r>
              <w:rPr>
                <w:rFonts w:ascii="Cambria Math" w:eastAsia="Times New Roman" w:hAnsi="Cambria Math" w:cs="Arial"/>
                <w:lang w:val="es-NI"/>
              </w:rPr>
              <m:t>k</m:t>
            </m:r>
          </m:e>
          <m:sub>
            <m:r>
              <w:rPr>
                <w:rFonts w:ascii="Cambria Math" w:eastAsia="Times New Roman" w:hAnsi="Cambria Math" w:cs="Arial"/>
                <w:lang w:val="es-NI"/>
              </w:rPr>
              <m:t>1</m:t>
            </m:r>
          </m:sub>
        </m:sSub>
        <m:r>
          <w:rPr>
            <w:rFonts w:ascii="Cambria Math" w:eastAsia="Times New Roman" w:hAnsi="Cambria Math" w:cs="Arial"/>
            <w:lang w:val="es-NI"/>
          </w:rPr>
          <m:t>t</m:t>
        </m:r>
      </m:oMath>
      <w:r w:rsidR="00917C1F" w:rsidRPr="004C2CA9">
        <w:rPr>
          <w:rFonts w:ascii="Arial" w:eastAsia="Times New Roman" w:hAnsi="Arial" w:cs="Arial"/>
          <w:lang w:val="es-NI"/>
        </w:rPr>
        <w:t xml:space="preserve">        </w:t>
      </w:r>
      <w:r w:rsidR="00917C1F" w:rsidRPr="004C2CA9">
        <w:rPr>
          <w:rFonts w:ascii="Arial" w:eastAsia="Times New Roman" w:hAnsi="Arial" w:cs="Arial"/>
          <w:lang w:val="es-NI"/>
        </w:rPr>
        <w:tab/>
      </w:r>
      <w:r w:rsidR="00917C1F" w:rsidRPr="004C2CA9">
        <w:rPr>
          <w:rFonts w:ascii="Arial" w:eastAsia="Times New Roman" w:hAnsi="Arial" w:cs="Arial"/>
          <w:lang w:val="es-NI"/>
        </w:rPr>
        <w:tab/>
      </w:r>
      <w:r w:rsidR="00917C1F" w:rsidRPr="004C2CA9">
        <w:rPr>
          <w:rFonts w:ascii="Arial" w:eastAsia="Times New Roman" w:hAnsi="Arial" w:cs="Arial"/>
          <w:lang w:val="es-NI"/>
        </w:rPr>
        <w:tab/>
        <w:t xml:space="preserve">      </w:t>
      </w:r>
      <w:r w:rsidR="00917C1F">
        <w:rPr>
          <w:rFonts w:ascii="Arial" w:eastAsia="Times New Roman" w:hAnsi="Arial" w:cs="Arial"/>
          <w:lang w:val="es-NI"/>
        </w:rPr>
        <w:t xml:space="preserve">  </w:t>
      </w:r>
      <w:r w:rsidR="00917C1F" w:rsidRPr="004C2CA9">
        <w:rPr>
          <w:rFonts w:ascii="Arial" w:eastAsia="Times New Roman" w:hAnsi="Arial" w:cs="Arial"/>
          <w:lang w:val="es-NI"/>
        </w:rPr>
        <w:t>(</w:t>
      </w:r>
      <w:r w:rsidR="00917C1F">
        <w:rPr>
          <w:rFonts w:ascii="Arial" w:eastAsia="Times New Roman" w:hAnsi="Arial" w:cs="Arial"/>
          <w:lang w:val="es-NI"/>
        </w:rPr>
        <w:t>5</w:t>
      </w:r>
      <w:r w:rsidR="00917C1F" w:rsidRPr="004C2CA9">
        <w:rPr>
          <w:rFonts w:ascii="Arial" w:eastAsia="Times New Roman" w:hAnsi="Arial" w:cs="Arial"/>
          <w:lang w:val="es-NI"/>
        </w:rPr>
        <w:t>)</w:t>
      </w:r>
    </w:p>
    <w:p w:rsidR="00917C1F" w:rsidRDefault="00917C1F" w:rsidP="00917C1F">
      <w:pPr>
        <w:spacing w:before="120" w:after="120" w:line="276" w:lineRule="auto"/>
        <w:ind w:left="3538"/>
        <w:jc w:val="both"/>
        <w:rPr>
          <w:rFonts w:ascii="Arial" w:eastAsia="Times New Roman" w:hAnsi="Arial" w:cs="Arial"/>
          <w:sz w:val="26"/>
          <w:szCs w:val="26"/>
          <w:lang w:val="es-NI"/>
        </w:rPr>
      </w:pPr>
      <w:r>
        <w:rPr>
          <w:rFonts w:ascii="Arial" w:eastAsia="Times New Roman" w:hAnsi="Arial" w:cs="Arial"/>
          <w:sz w:val="26"/>
          <w:szCs w:val="26"/>
          <w:lang w:val="es-NI"/>
        </w:rPr>
        <w:t xml:space="preserve">      </w:t>
      </w:r>
      <m:oMath>
        <m:f>
          <m:fPr>
            <m:ctrlPr>
              <w:rPr>
                <w:rFonts w:ascii="Cambria Math" w:eastAsia="Calibri" w:hAnsi="Cambria Math" w:cs="Arial"/>
                <w:i/>
                <w:sz w:val="28"/>
                <w:szCs w:val="28"/>
                <w:lang w:val="es-NI"/>
              </w:rPr>
            </m:ctrlPr>
          </m:fPr>
          <m:num>
            <m:r>
              <w:rPr>
                <w:rFonts w:ascii="Cambria Math" w:eastAsia="Calibri" w:hAnsi="Cambria Math" w:cs="Arial"/>
                <w:sz w:val="28"/>
                <w:szCs w:val="28"/>
                <w:lang w:val="es-NI"/>
              </w:rPr>
              <m:t>t</m:t>
            </m:r>
          </m:num>
          <m:den>
            <m:r>
              <w:rPr>
                <w:rFonts w:ascii="Cambria Math" w:eastAsia="Calibri" w:hAnsi="Cambria Math" w:cs="Arial"/>
                <w:sz w:val="28"/>
                <w:szCs w:val="28"/>
                <w:lang w:val="es-NI"/>
              </w:rPr>
              <m:t>qt</m:t>
            </m:r>
          </m:den>
        </m:f>
        <m:r>
          <w:rPr>
            <w:rFonts w:ascii="Cambria Math" w:eastAsia="Calibri" w:hAnsi="Cambria Math" w:cs="Arial"/>
            <w:sz w:val="28"/>
            <w:szCs w:val="28"/>
            <w:lang w:val="es-NI"/>
          </w:rPr>
          <m:t>=</m:t>
        </m:r>
        <m:f>
          <m:fPr>
            <m:ctrlPr>
              <w:rPr>
                <w:rFonts w:ascii="Cambria Math" w:eastAsia="Calibri" w:hAnsi="Cambria Math" w:cs="Arial"/>
                <w:i/>
                <w:sz w:val="28"/>
                <w:szCs w:val="28"/>
                <w:lang w:val="es-NI"/>
              </w:rPr>
            </m:ctrlPr>
          </m:fPr>
          <m:num>
            <m:r>
              <w:rPr>
                <w:rFonts w:ascii="Cambria Math" w:eastAsia="Calibri" w:hAnsi="Cambria Math" w:cs="Arial"/>
                <w:sz w:val="28"/>
                <w:szCs w:val="28"/>
                <w:lang w:val="es-NI"/>
              </w:rPr>
              <m:t>1</m:t>
            </m:r>
          </m:num>
          <m:den>
            <m:sSub>
              <m:sSubPr>
                <m:ctrlPr>
                  <w:rPr>
                    <w:rFonts w:ascii="Cambria Math" w:eastAsia="Calibri" w:hAnsi="Cambria Math" w:cs="Arial"/>
                    <w:i/>
                    <w:sz w:val="28"/>
                    <w:szCs w:val="28"/>
                    <w:lang w:val="es-NI"/>
                  </w:rPr>
                </m:ctrlPr>
              </m:sSubPr>
              <m:e>
                <m:r>
                  <w:rPr>
                    <w:rFonts w:ascii="Cambria Math" w:eastAsia="Calibri" w:hAnsi="Cambria Math" w:cs="Arial"/>
                    <w:sz w:val="28"/>
                    <w:szCs w:val="28"/>
                    <w:lang w:val="es-NI"/>
                  </w:rPr>
                  <m:t>k</m:t>
                </m:r>
              </m:e>
              <m:sub>
                <m:r>
                  <w:rPr>
                    <w:rFonts w:ascii="Cambria Math" w:eastAsia="Calibri" w:hAnsi="Cambria Math" w:cs="Arial"/>
                    <w:sz w:val="28"/>
                    <w:szCs w:val="28"/>
                    <w:lang w:val="es-NI"/>
                  </w:rPr>
                  <m:t>2</m:t>
                </m:r>
              </m:sub>
            </m:sSub>
            <m:sSubSup>
              <m:sSubSupPr>
                <m:ctrlPr>
                  <w:rPr>
                    <w:rFonts w:ascii="Cambria Math" w:eastAsia="Calibri" w:hAnsi="Cambria Math" w:cs="Arial"/>
                    <w:i/>
                    <w:sz w:val="28"/>
                    <w:szCs w:val="28"/>
                    <w:lang w:val="es-NI"/>
                  </w:rPr>
                </m:ctrlPr>
              </m:sSubSupPr>
              <m:e>
                <m:r>
                  <w:rPr>
                    <w:rFonts w:ascii="Cambria Math" w:eastAsia="Calibri" w:hAnsi="Cambria Math" w:cs="Arial"/>
                    <w:sz w:val="28"/>
                    <w:szCs w:val="28"/>
                    <w:lang w:val="es-NI"/>
                  </w:rPr>
                  <m:t>q</m:t>
                </m:r>
              </m:e>
              <m:sub>
                <m:r>
                  <w:rPr>
                    <w:rFonts w:ascii="Cambria Math" w:eastAsia="Calibri" w:hAnsi="Cambria Math" w:cs="Arial"/>
                    <w:sz w:val="28"/>
                    <w:szCs w:val="28"/>
                    <w:lang w:val="es-NI"/>
                  </w:rPr>
                  <m:t>e</m:t>
                </m:r>
              </m:sub>
              <m:sup>
                <m:r>
                  <w:rPr>
                    <w:rFonts w:ascii="Cambria Math" w:eastAsia="Calibri" w:hAnsi="Cambria Math" w:cs="Arial"/>
                    <w:sz w:val="28"/>
                    <w:szCs w:val="28"/>
                    <w:lang w:val="es-NI"/>
                  </w:rPr>
                  <m:t>2</m:t>
                </m:r>
              </m:sup>
            </m:sSubSup>
          </m:den>
        </m:f>
        <m:r>
          <w:rPr>
            <w:rFonts w:ascii="Cambria Math" w:eastAsia="Calibri" w:hAnsi="Cambria Math" w:cs="Arial"/>
            <w:sz w:val="28"/>
            <w:szCs w:val="28"/>
            <w:lang w:val="es-NI"/>
          </w:rPr>
          <m:t>+</m:t>
        </m:r>
        <m:f>
          <m:fPr>
            <m:ctrlPr>
              <w:rPr>
                <w:rFonts w:ascii="Cambria Math" w:eastAsia="Calibri" w:hAnsi="Cambria Math" w:cs="Arial"/>
                <w:i/>
                <w:sz w:val="28"/>
                <w:szCs w:val="28"/>
                <w:lang w:val="es-NI"/>
              </w:rPr>
            </m:ctrlPr>
          </m:fPr>
          <m:num>
            <m:r>
              <w:rPr>
                <w:rFonts w:ascii="Cambria Math" w:eastAsia="Calibri" w:hAnsi="Cambria Math" w:cs="Arial"/>
                <w:sz w:val="28"/>
                <w:szCs w:val="28"/>
                <w:lang w:val="es-NI"/>
              </w:rPr>
              <m:t>t</m:t>
            </m:r>
          </m:num>
          <m:den>
            <m:sSub>
              <m:sSubPr>
                <m:ctrlPr>
                  <w:rPr>
                    <w:rFonts w:ascii="Cambria Math" w:eastAsia="Calibri" w:hAnsi="Cambria Math" w:cs="Arial"/>
                    <w:i/>
                    <w:sz w:val="28"/>
                    <w:szCs w:val="28"/>
                    <w:lang w:val="es-NI"/>
                  </w:rPr>
                </m:ctrlPr>
              </m:sSubPr>
              <m:e>
                <m:r>
                  <w:rPr>
                    <w:rFonts w:ascii="Cambria Math" w:eastAsia="Calibri" w:hAnsi="Cambria Math" w:cs="Arial"/>
                    <w:sz w:val="28"/>
                    <w:szCs w:val="28"/>
                    <w:lang w:val="es-NI"/>
                  </w:rPr>
                  <m:t>q</m:t>
                </m:r>
              </m:e>
              <m:sub>
                <m:r>
                  <w:rPr>
                    <w:rFonts w:ascii="Cambria Math" w:eastAsia="Calibri" w:hAnsi="Cambria Math" w:cs="Arial"/>
                    <w:sz w:val="28"/>
                    <w:szCs w:val="28"/>
                    <w:lang w:val="es-NI"/>
                  </w:rPr>
                  <m:t>e</m:t>
                </m:r>
              </m:sub>
            </m:sSub>
          </m:den>
        </m:f>
      </m:oMath>
      <w:r w:rsidRPr="004C2CA9">
        <w:rPr>
          <w:rFonts w:ascii="Arial" w:eastAsia="Times New Roman" w:hAnsi="Arial" w:cs="Arial"/>
          <w:sz w:val="26"/>
          <w:szCs w:val="26"/>
          <w:lang w:val="es-NI"/>
        </w:rPr>
        <w:t xml:space="preserve">          </w:t>
      </w:r>
      <w:r w:rsidRPr="004C2CA9">
        <w:rPr>
          <w:rFonts w:ascii="Arial" w:eastAsia="Times New Roman" w:hAnsi="Arial" w:cs="Arial"/>
          <w:sz w:val="26"/>
          <w:szCs w:val="26"/>
          <w:lang w:val="es-NI"/>
        </w:rPr>
        <w:tab/>
      </w:r>
      <w:r w:rsidRPr="004C2CA9">
        <w:rPr>
          <w:rFonts w:ascii="Arial" w:eastAsia="Times New Roman" w:hAnsi="Arial" w:cs="Arial"/>
          <w:sz w:val="26"/>
          <w:szCs w:val="26"/>
          <w:lang w:val="es-NI"/>
        </w:rPr>
        <w:tab/>
      </w:r>
      <w:r w:rsidRPr="004C2CA9">
        <w:rPr>
          <w:rFonts w:ascii="Arial" w:eastAsia="Times New Roman" w:hAnsi="Arial" w:cs="Arial"/>
          <w:sz w:val="26"/>
          <w:szCs w:val="26"/>
          <w:lang w:val="es-NI"/>
        </w:rPr>
        <w:tab/>
      </w:r>
      <w:r w:rsidRPr="004C2CA9">
        <w:rPr>
          <w:rFonts w:ascii="Arial" w:eastAsia="Times New Roman" w:hAnsi="Arial" w:cs="Arial"/>
          <w:sz w:val="26"/>
          <w:szCs w:val="26"/>
          <w:lang w:val="es-NI"/>
        </w:rPr>
        <w:tab/>
      </w:r>
      <w:r>
        <w:rPr>
          <w:rFonts w:ascii="Arial" w:eastAsia="Times New Roman" w:hAnsi="Arial" w:cs="Arial"/>
          <w:sz w:val="26"/>
          <w:szCs w:val="26"/>
          <w:lang w:val="es-NI"/>
        </w:rPr>
        <w:t xml:space="preserve">       </w:t>
      </w:r>
      <w:r w:rsidRPr="004C2CA9">
        <w:rPr>
          <w:rFonts w:ascii="Arial" w:eastAsia="Times New Roman" w:hAnsi="Arial" w:cs="Arial"/>
          <w:lang w:val="es-NI"/>
        </w:rPr>
        <w:t>(</w:t>
      </w:r>
      <w:r>
        <w:rPr>
          <w:rFonts w:ascii="Arial" w:eastAsia="Times New Roman" w:hAnsi="Arial" w:cs="Arial"/>
          <w:lang w:val="es-NI"/>
        </w:rPr>
        <w:t>6</w:t>
      </w:r>
      <w:r w:rsidRPr="004C2CA9">
        <w:rPr>
          <w:rFonts w:ascii="Arial" w:eastAsia="Times New Roman" w:hAnsi="Arial" w:cs="Arial"/>
          <w:lang w:val="es-NI"/>
        </w:rPr>
        <w:t>)</w:t>
      </w:r>
    </w:p>
    <w:p w:rsidR="00917C1F" w:rsidRPr="003B2958" w:rsidRDefault="00917C1F" w:rsidP="00917C1F">
      <w:pPr>
        <w:spacing w:before="120" w:after="120"/>
        <w:jc w:val="both"/>
        <w:rPr>
          <w:rFonts w:ascii="Arial" w:eastAsia="Times New Roman" w:hAnsi="Arial" w:cs="Arial"/>
          <w:sz w:val="26"/>
          <w:szCs w:val="26"/>
          <w:lang w:val="es-NI"/>
        </w:rPr>
      </w:pPr>
      <w:r>
        <w:rPr>
          <w:rFonts w:ascii="Arial" w:hAnsi="Arial" w:cs="Arial"/>
        </w:rPr>
        <w:t>Donde</w:t>
      </w:r>
      <w:r w:rsidRPr="004C2CA9">
        <w:rPr>
          <w:rFonts w:ascii="Arial" w:eastAsia="Times New Roman" w:hAnsi="Arial" w:cs="Arial"/>
          <w:lang w:val="es-NI"/>
        </w:rPr>
        <w:t xml:space="preserve"> </w:t>
      </w:r>
      <w:r w:rsidRPr="00B52A28">
        <w:rPr>
          <w:rFonts w:ascii="Arial" w:eastAsia="Times New Roman" w:hAnsi="Arial" w:cs="Arial"/>
          <w:i/>
          <w:lang w:val="es-NI"/>
        </w:rPr>
        <w:t>k</w:t>
      </w:r>
      <w:r w:rsidRPr="00B52A28">
        <w:rPr>
          <w:rFonts w:ascii="Arial" w:eastAsia="Times New Roman" w:hAnsi="Arial" w:cs="Arial"/>
          <w:i/>
          <w:vertAlign w:val="subscript"/>
          <w:lang w:val="es-NI"/>
        </w:rPr>
        <w:t>1</w:t>
      </w:r>
      <w:r>
        <w:rPr>
          <w:rFonts w:ascii="Arial" w:eastAsia="Times New Roman" w:hAnsi="Arial" w:cs="Arial"/>
          <w:i/>
          <w:vertAlign w:val="subscript"/>
          <w:lang w:val="es-NI"/>
        </w:rPr>
        <w:t xml:space="preserve"> </w:t>
      </w:r>
      <w:r w:rsidRPr="00B52A28">
        <w:rPr>
          <w:rFonts w:ascii="Arial" w:eastAsia="Times New Roman" w:hAnsi="Arial" w:cs="Arial"/>
          <w:lang w:val="es-NI"/>
        </w:rPr>
        <w:t>(min</w:t>
      </w:r>
      <w:r w:rsidRPr="00B52A28">
        <w:rPr>
          <w:rFonts w:ascii="Arial" w:eastAsia="Times New Roman" w:hAnsi="Arial" w:cs="Arial"/>
          <w:vertAlign w:val="superscript"/>
          <w:lang w:val="es-NI"/>
        </w:rPr>
        <w:t>-1</w:t>
      </w:r>
      <w:r w:rsidRPr="00B52A28">
        <w:rPr>
          <w:rFonts w:ascii="Arial" w:eastAsia="Times New Roman" w:hAnsi="Arial" w:cs="Arial"/>
          <w:lang w:val="es-NI"/>
        </w:rPr>
        <w:t>)</w:t>
      </w:r>
      <w:r>
        <w:rPr>
          <w:rFonts w:ascii="Arial" w:eastAsia="Times New Roman" w:hAnsi="Arial" w:cs="Arial"/>
          <w:lang w:val="es-NI"/>
        </w:rPr>
        <w:t xml:space="preserve"> </w:t>
      </w:r>
      <w:r w:rsidRPr="004C2CA9">
        <w:rPr>
          <w:rFonts w:ascii="Arial" w:eastAsia="Times New Roman" w:hAnsi="Arial" w:cs="Arial"/>
          <w:lang w:val="es-NI"/>
        </w:rPr>
        <w:t>es la velocidad de pseudo-primer orden,</w:t>
      </w:r>
      <w:r>
        <w:rPr>
          <w:rFonts w:ascii="Arial" w:eastAsia="Times New Roman" w:hAnsi="Arial" w:cs="Arial"/>
          <w:lang w:val="es-NI"/>
        </w:rPr>
        <w:t xml:space="preserve"> </w:t>
      </w:r>
      <w:r w:rsidRPr="00B52A28">
        <w:rPr>
          <w:rFonts w:ascii="Arial" w:eastAsia="Times New Roman" w:hAnsi="Arial" w:cs="Arial"/>
          <w:i/>
          <w:lang w:val="es-NI"/>
        </w:rPr>
        <w:t>qe</w:t>
      </w:r>
      <w:r>
        <w:rPr>
          <w:rFonts w:ascii="Arial" w:eastAsia="Times New Roman" w:hAnsi="Arial" w:cs="Arial"/>
          <w:lang w:val="es-NI"/>
        </w:rPr>
        <w:t xml:space="preserve"> y </w:t>
      </w:r>
      <w:r w:rsidRPr="00B52A28">
        <w:rPr>
          <w:rFonts w:ascii="Arial" w:eastAsia="Times New Roman" w:hAnsi="Arial" w:cs="Arial"/>
          <w:i/>
          <w:lang w:val="es-NI"/>
        </w:rPr>
        <w:t>qt</w:t>
      </w:r>
      <w:r>
        <w:rPr>
          <w:rFonts w:ascii="Arial" w:eastAsia="Times New Roman" w:hAnsi="Arial" w:cs="Arial"/>
          <w:lang w:val="es-NI"/>
        </w:rPr>
        <w:t xml:space="preserve"> (mg/g) corresponden a </w:t>
      </w:r>
      <w:r w:rsidRPr="004C2CA9">
        <w:rPr>
          <w:rFonts w:ascii="Arial" w:eastAsia="Times New Roman" w:hAnsi="Arial" w:cs="Arial"/>
          <w:lang w:val="es-NI"/>
        </w:rPr>
        <w:t xml:space="preserve">la cantidad de soluto adsorbido en el equilibrio y </w:t>
      </w:r>
      <w:r>
        <w:rPr>
          <w:rFonts w:ascii="Arial" w:eastAsia="Times New Roman" w:hAnsi="Arial" w:cs="Arial"/>
          <w:lang w:val="es-NI"/>
        </w:rPr>
        <w:t>a</w:t>
      </w:r>
      <w:r w:rsidRPr="004C2CA9">
        <w:rPr>
          <w:rFonts w:ascii="Arial" w:eastAsia="Times New Roman" w:hAnsi="Arial" w:cs="Arial"/>
          <w:lang w:val="es-NI"/>
        </w:rPr>
        <w:t xml:space="preserve"> un tiempo </w:t>
      </w:r>
      <m:oMath>
        <m:r>
          <w:rPr>
            <w:rFonts w:ascii="Cambria Math" w:eastAsia="Times New Roman" w:hAnsi="Cambria Math" w:cs="Arial"/>
            <w:lang w:val="es-NI"/>
          </w:rPr>
          <m:t>t</m:t>
        </m:r>
      </m:oMath>
      <w:r w:rsidRPr="004C2CA9">
        <w:rPr>
          <w:rFonts w:ascii="Arial" w:eastAsia="Times New Roman" w:hAnsi="Arial" w:cs="Arial"/>
          <w:lang w:val="es-NI"/>
        </w:rPr>
        <w:t xml:space="preserve">, respectivamente, </w:t>
      </w:r>
      <w:r>
        <w:rPr>
          <w:rFonts w:ascii="Arial" w:eastAsia="Times New Roman" w:hAnsi="Arial" w:cs="Arial"/>
          <w:lang w:val="es-NI"/>
        </w:rPr>
        <w:t xml:space="preserve">y </w:t>
      </w:r>
      <w:r w:rsidRPr="004C2CA9">
        <w:rPr>
          <w:rFonts w:ascii="Arial" w:eastAsia="Calibri" w:hAnsi="Arial" w:cs="Arial"/>
          <w:i/>
          <w:lang w:val="es-NI"/>
        </w:rPr>
        <w:t>k</w:t>
      </w:r>
      <w:r w:rsidRPr="004C2CA9">
        <w:rPr>
          <w:rFonts w:ascii="Arial" w:eastAsia="Calibri" w:hAnsi="Arial" w:cs="Arial"/>
          <w:i/>
          <w:vertAlign w:val="subscript"/>
          <w:lang w:val="es-NI"/>
        </w:rPr>
        <w:t>2</w:t>
      </w:r>
      <w:r w:rsidRPr="004C2CA9">
        <w:rPr>
          <w:rFonts w:ascii="Arial" w:eastAsia="Calibri" w:hAnsi="Arial" w:cs="Arial"/>
          <w:lang w:val="es-NI"/>
        </w:rPr>
        <w:t xml:space="preserve"> (g/(mg. min)) </w:t>
      </w:r>
      <w:r w:rsidRPr="004C2CA9">
        <w:rPr>
          <w:rFonts w:ascii="Arial" w:eastAsia="Times New Roman" w:hAnsi="Arial" w:cs="Arial"/>
          <w:lang w:val="es-NI"/>
        </w:rPr>
        <w:t>es la constante de velocidad de pseudo-segundo orden</w:t>
      </w:r>
      <w:r>
        <w:rPr>
          <w:rFonts w:ascii="Arial" w:eastAsia="Times New Roman" w:hAnsi="Arial" w:cs="Arial"/>
          <w:lang w:val="es-NI"/>
        </w:rPr>
        <w:t>.</w:t>
      </w:r>
    </w:p>
    <w:p w:rsidR="00917C1F" w:rsidRPr="00F6570E" w:rsidRDefault="00917C1F" w:rsidP="00917C1F">
      <w:pPr>
        <w:keepNext/>
        <w:keepLines/>
        <w:spacing w:line="360" w:lineRule="auto"/>
        <w:jc w:val="both"/>
        <w:outlineLvl w:val="1"/>
        <w:rPr>
          <w:rFonts w:ascii="Arial" w:hAnsi="Arial" w:cs="Arial"/>
          <w:i/>
          <w:color w:val="000000"/>
        </w:rPr>
      </w:pPr>
      <w:bookmarkStart w:id="457" w:name="_Toc50031480"/>
      <w:r>
        <w:rPr>
          <w:rFonts w:ascii="Arial" w:hAnsi="Arial" w:cs="Arial"/>
          <w:i/>
          <w:color w:val="000000"/>
        </w:rPr>
        <w:t xml:space="preserve">3.5 </w:t>
      </w:r>
      <w:r w:rsidRPr="00F6570E">
        <w:rPr>
          <w:rFonts w:ascii="Arial" w:hAnsi="Arial" w:cs="Arial"/>
          <w:i/>
          <w:color w:val="000000"/>
        </w:rPr>
        <w:t xml:space="preserve">Aplicación de los bioadsorbentes en agua </w:t>
      </w:r>
      <w:bookmarkEnd w:id="455"/>
      <w:bookmarkEnd w:id="456"/>
      <w:r w:rsidRPr="00F6570E">
        <w:rPr>
          <w:rFonts w:ascii="Arial" w:hAnsi="Arial" w:cs="Arial"/>
          <w:i/>
          <w:color w:val="000000"/>
        </w:rPr>
        <w:t>potable</w:t>
      </w:r>
      <w:bookmarkEnd w:id="457"/>
    </w:p>
    <w:p w:rsidR="00917C1F" w:rsidRPr="00C41FE0" w:rsidRDefault="00917C1F" w:rsidP="00917C1F">
      <w:pPr>
        <w:ind w:firstLine="567"/>
        <w:jc w:val="both"/>
        <w:rPr>
          <w:rFonts w:ascii="Arial" w:hAnsi="Arial" w:cs="Arial"/>
        </w:rPr>
      </w:pPr>
      <w:r>
        <w:rPr>
          <w:rFonts w:ascii="Arial" w:hAnsi="Arial" w:cs="Arial"/>
        </w:rPr>
        <w:t>Para l</w:t>
      </w:r>
      <w:r w:rsidRPr="00C41FE0">
        <w:rPr>
          <w:rFonts w:ascii="Arial" w:hAnsi="Arial" w:cs="Arial"/>
        </w:rPr>
        <w:t>a aplicación de quitosano y cascarilla de arroz en aguas reales</w:t>
      </w:r>
      <w:r>
        <w:rPr>
          <w:rFonts w:ascii="Arial" w:hAnsi="Arial" w:cs="Arial"/>
        </w:rPr>
        <w:t>,</w:t>
      </w:r>
      <w:r w:rsidRPr="00C41FE0">
        <w:rPr>
          <w:rFonts w:ascii="Arial" w:hAnsi="Arial" w:cs="Arial"/>
        </w:rPr>
        <w:t xml:space="preserve"> se </w:t>
      </w:r>
      <w:r>
        <w:rPr>
          <w:rFonts w:ascii="Arial" w:hAnsi="Arial" w:cs="Arial"/>
        </w:rPr>
        <w:t>recolectaron</w:t>
      </w:r>
      <w:r w:rsidRPr="00C41FE0">
        <w:rPr>
          <w:rFonts w:ascii="Arial" w:hAnsi="Arial" w:cs="Arial"/>
        </w:rPr>
        <w:t xml:space="preserve"> muestras de agua de la Empresa Nicaragüense de Acueductos y Alcantarillados (ENACAL)</w:t>
      </w:r>
      <w:r>
        <w:rPr>
          <w:rFonts w:ascii="Arial" w:hAnsi="Arial" w:cs="Arial"/>
        </w:rPr>
        <w:t xml:space="preserve"> – </w:t>
      </w:r>
      <w:r w:rsidRPr="00C41FE0">
        <w:rPr>
          <w:rFonts w:ascii="Arial" w:hAnsi="Arial" w:cs="Arial"/>
        </w:rPr>
        <w:t xml:space="preserve">Planta Potabilizadora Isaac Deleo, ubicada en Juigalpa, </w:t>
      </w:r>
      <w:r>
        <w:rPr>
          <w:rFonts w:ascii="Arial" w:hAnsi="Arial" w:cs="Arial"/>
        </w:rPr>
        <w:t>Chontales</w:t>
      </w:r>
      <w:r w:rsidRPr="00C41FE0">
        <w:rPr>
          <w:rFonts w:ascii="Arial" w:hAnsi="Arial" w:cs="Arial"/>
        </w:rPr>
        <w:t>. A las muestras se les determinó la concentración de aluminio por Espectro</w:t>
      </w:r>
      <w:r>
        <w:rPr>
          <w:rFonts w:ascii="Arial" w:hAnsi="Arial" w:cs="Arial"/>
        </w:rPr>
        <w:t>scop</w:t>
      </w:r>
      <w:r w:rsidRPr="00C41FE0">
        <w:rPr>
          <w:rFonts w:ascii="Arial" w:hAnsi="Arial" w:cs="Arial"/>
        </w:rPr>
        <w:t xml:space="preserve">ia de Absorción Atómica, antes y después de aplicado el bioadsorbente, </w:t>
      </w:r>
      <w:r>
        <w:rPr>
          <w:rFonts w:ascii="Arial" w:hAnsi="Arial" w:cs="Arial"/>
        </w:rPr>
        <w:t>para</w:t>
      </w:r>
      <w:r w:rsidRPr="00C41FE0">
        <w:rPr>
          <w:rFonts w:ascii="Arial" w:hAnsi="Arial" w:cs="Arial"/>
        </w:rPr>
        <w:t xml:space="preserve"> calcular el grado de remoción del aluminio presente en las muestras (ecuación 1).</w:t>
      </w:r>
    </w:p>
    <w:p w:rsidR="00917C1F" w:rsidRDefault="00917C1F" w:rsidP="00917C1F">
      <w:pPr>
        <w:jc w:val="both"/>
        <w:rPr>
          <w:rFonts w:ascii="Arial" w:eastAsia="Calibri" w:hAnsi="Arial" w:cs="Arial"/>
        </w:rPr>
      </w:pPr>
    </w:p>
    <w:p w:rsidR="00917C1F" w:rsidRDefault="00917C1F" w:rsidP="00DF2FE2">
      <w:pPr>
        <w:pStyle w:val="1Titulo"/>
        <w:numPr>
          <w:ilvl w:val="0"/>
          <w:numId w:val="0"/>
        </w:numPr>
        <w:ind w:left="357"/>
      </w:pPr>
      <w:bookmarkStart w:id="458" w:name="_Toc50031481"/>
      <w:r>
        <w:t>4. Resultados y discusión</w:t>
      </w:r>
      <w:bookmarkEnd w:id="458"/>
    </w:p>
    <w:p w:rsidR="00917C1F" w:rsidRPr="00842147" w:rsidRDefault="00917C1F" w:rsidP="00917C1F">
      <w:pPr>
        <w:keepNext/>
        <w:keepLines/>
        <w:spacing w:line="360" w:lineRule="auto"/>
        <w:jc w:val="both"/>
        <w:outlineLvl w:val="1"/>
        <w:rPr>
          <w:rFonts w:ascii="Arial" w:hAnsi="Arial" w:cs="Arial"/>
          <w:i/>
          <w:color w:val="000000"/>
        </w:rPr>
      </w:pPr>
      <w:bookmarkStart w:id="459" w:name="_Toc50031482"/>
      <w:r>
        <w:rPr>
          <w:rFonts w:ascii="Arial" w:hAnsi="Arial" w:cs="Arial"/>
          <w:i/>
          <w:color w:val="000000"/>
        </w:rPr>
        <w:t xml:space="preserve">4.1 </w:t>
      </w:r>
      <w:r w:rsidRPr="00842147">
        <w:rPr>
          <w:rFonts w:ascii="Arial" w:hAnsi="Arial" w:cs="Arial"/>
          <w:i/>
          <w:color w:val="000000"/>
        </w:rPr>
        <w:t xml:space="preserve">Caracterización </w:t>
      </w:r>
      <w:r>
        <w:rPr>
          <w:rFonts w:ascii="Arial" w:hAnsi="Arial" w:cs="Arial"/>
          <w:i/>
          <w:color w:val="000000"/>
        </w:rPr>
        <w:t xml:space="preserve">de los bioadsorbente </w:t>
      </w:r>
      <w:r w:rsidRPr="00842147">
        <w:rPr>
          <w:rFonts w:ascii="Arial" w:hAnsi="Arial" w:cs="Arial"/>
          <w:i/>
          <w:color w:val="000000"/>
        </w:rPr>
        <w:t>por Espectroscopia IR</w:t>
      </w:r>
      <w:bookmarkEnd w:id="459"/>
    </w:p>
    <w:p w:rsidR="00917C1F" w:rsidRPr="00842147" w:rsidRDefault="00917C1F" w:rsidP="00917C1F">
      <w:pPr>
        <w:ind w:firstLine="567"/>
        <w:jc w:val="both"/>
        <w:rPr>
          <w:rFonts w:ascii="Arial" w:hAnsi="Arial" w:cs="Arial"/>
        </w:rPr>
      </w:pPr>
      <w:r>
        <w:rPr>
          <w:rFonts w:ascii="Arial" w:hAnsi="Arial" w:cs="Arial"/>
        </w:rPr>
        <w:t>L</w:t>
      </w:r>
      <w:r w:rsidRPr="00842147">
        <w:rPr>
          <w:rFonts w:ascii="Arial" w:hAnsi="Arial" w:cs="Arial"/>
        </w:rPr>
        <w:t xml:space="preserve">a Figura </w:t>
      </w:r>
      <w:r>
        <w:rPr>
          <w:rFonts w:ascii="Arial" w:hAnsi="Arial" w:cs="Arial"/>
        </w:rPr>
        <w:t>1 muestra</w:t>
      </w:r>
      <w:r w:rsidRPr="00842147">
        <w:rPr>
          <w:rFonts w:ascii="Arial" w:hAnsi="Arial" w:cs="Arial"/>
        </w:rPr>
        <w:t xml:space="preserve"> los espectros IR del quitosano sin aluminio (línea continua) y con aluminio (línea discontinua). El espectro IR del quitosano </w:t>
      </w:r>
      <w:r>
        <w:rPr>
          <w:rFonts w:ascii="Arial" w:hAnsi="Arial" w:cs="Arial"/>
        </w:rPr>
        <w:t xml:space="preserve">sin aluminio </w:t>
      </w:r>
      <w:r w:rsidRPr="00842147">
        <w:rPr>
          <w:rFonts w:ascii="Arial" w:hAnsi="Arial" w:cs="Arial"/>
        </w:rPr>
        <w:t>exhibe una banda ancha de adsorción a 3446 cm</w:t>
      </w:r>
      <w:r w:rsidRPr="00842147">
        <w:rPr>
          <w:rFonts w:ascii="Arial" w:hAnsi="Arial" w:cs="Arial"/>
          <w:vertAlign w:val="superscript"/>
        </w:rPr>
        <w:t>-1</w:t>
      </w:r>
      <w:r w:rsidRPr="00842147">
        <w:rPr>
          <w:rFonts w:ascii="Arial" w:hAnsi="Arial" w:cs="Arial"/>
        </w:rPr>
        <w:t xml:space="preserve"> debido al estiramiento del grupo hidroxilo (O–H) y por las vibraciones de tensión de las aminas y amidas primarias, una banda de fuerte intensidad en 2910 cm</w:t>
      </w:r>
      <w:r w:rsidRPr="00842147">
        <w:rPr>
          <w:rFonts w:ascii="Arial" w:hAnsi="Arial" w:cs="Arial"/>
          <w:vertAlign w:val="superscript"/>
        </w:rPr>
        <w:t>-1</w:t>
      </w:r>
      <w:r w:rsidRPr="00842147">
        <w:rPr>
          <w:rFonts w:ascii="Arial" w:hAnsi="Arial" w:cs="Arial"/>
        </w:rPr>
        <w:t xml:space="preserve"> del grupo C–H, una banda de intensidad fuerte a 1664 cm</w:t>
      </w:r>
      <w:r w:rsidRPr="00842147">
        <w:rPr>
          <w:rFonts w:ascii="Arial" w:hAnsi="Arial" w:cs="Arial"/>
          <w:vertAlign w:val="superscript"/>
        </w:rPr>
        <w:t>-1</w:t>
      </w:r>
      <w:r w:rsidRPr="00842147">
        <w:rPr>
          <w:rFonts w:ascii="Arial" w:hAnsi="Arial" w:cs="Arial"/>
        </w:rPr>
        <w:t xml:space="preserve"> por las vibraciones de flexión de la amida I (–NH–C=O–) del grupo acetilo y de las aminas primarias (–NH</w:t>
      </w:r>
      <w:r w:rsidRPr="00842147">
        <w:rPr>
          <w:rFonts w:ascii="Arial" w:hAnsi="Arial" w:cs="Arial"/>
          <w:vertAlign w:val="subscript"/>
        </w:rPr>
        <w:t>2</w:t>
      </w:r>
      <w:r w:rsidRPr="00842147">
        <w:rPr>
          <w:rFonts w:ascii="Arial" w:hAnsi="Arial" w:cs="Arial"/>
        </w:rPr>
        <w:t>), una banda a 1459 cm</w:t>
      </w:r>
      <w:r w:rsidRPr="00842147">
        <w:rPr>
          <w:rFonts w:ascii="Arial" w:hAnsi="Arial" w:cs="Arial"/>
          <w:vertAlign w:val="superscript"/>
        </w:rPr>
        <w:t xml:space="preserve">-1 </w:t>
      </w:r>
      <w:r w:rsidRPr="00842147">
        <w:rPr>
          <w:rFonts w:ascii="Arial" w:hAnsi="Arial" w:cs="Arial"/>
        </w:rPr>
        <w:t>por las vibraciones de flexión del grupo –CH</w:t>
      </w:r>
      <w:r w:rsidRPr="00842147">
        <w:rPr>
          <w:rFonts w:ascii="Arial" w:hAnsi="Arial" w:cs="Arial"/>
          <w:vertAlign w:val="subscript"/>
        </w:rPr>
        <w:t>3</w:t>
      </w:r>
      <w:r w:rsidRPr="00842147">
        <w:rPr>
          <w:rFonts w:ascii="Arial" w:hAnsi="Arial" w:cs="Arial"/>
        </w:rPr>
        <w:t>, una banda de intensidad media a 1380 cm</w:t>
      </w:r>
      <w:r w:rsidRPr="00842147">
        <w:rPr>
          <w:rFonts w:ascii="Arial" w:hAnsi="Arial" w:cs="Arial"/>
          <w:vertAlign w:val="superscript"/>
        </w:rPr>
        <w:t>-1</w:t>
      </w:r>
      <w:r w:rsidRPr="00842147">
        <w:rPr>
          <w:rFonts w:ascii="Arial" w:hAnsi="Arial" w:cs="Arial"/>
        </w:rPr>
        <w:t xml:space="preserve"> debido al enlace C–N de la aminas y una banda de adsorción a 1100 cm</w:t>
      </w:r>
      <w:r w:rsidRPr="00842147">
        <w:rPr>
          <w:rFonts w:ascii="Arial" w:hAnsi="Arial" w:cs="Arial"/>
          <w:vertAlign w:val="superscript"/>
        </w:rPr>
        <w:t>-1</w:t>
      </w:r>
      <w:r w:rsidRPr="00842147">
        <w:rPr>
          <w:rFonts w:ascii="Arial" w:hAnsi="Arial" w:cs="Arial"/>
        </w:rPr>
        <w:t xml:space="preserve"> debido al estiramiento C–O–C del enlace glucosídico. </w:t>
      </w:r>
    </w:p>
    <w:p w:rsidR="00917C1F" w:rsidRPr="00842147" w:rsidRDefault="00917C1F" w:rsidP="00917C1F">
      <w:pPr>
        <w:spacing w:before="240" w:line="360" w:lineRule="auto"/>
        <w:jc w:val="center"/>
        <w:rPr>
          <w:rFonts w:ascii="Arial" w:hAnsi="Arial" w:cs="Arial"/>
        </w:rPr>
      </w:pPr>
      <w:r w:rsidRPr="00842147">
        <w:rPr>
          <w:rFonts w:ascii="Arial" w:hAnsi="Arial" w:cs="Arial"/>
          <w:noProof/>
          <w:lang w:val="en-US"/>
        </w:rPr>
        <w:drawing>
          <wp:inline distT="0" distB="0" distL="0" distR="0" wp14:anchorId="5B34924D" wp14:editId="0ADD704A">
            <wp:extent cx="5867400" cy="2200275"/>
            <wp:effectExtent l="0" t="0" r="0" b="9525"/>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32">
                      <a:extLst>
                        <a:ext uri="{28A0092B-C50C-407E-A947-70E740481C1C}">
                          <a14:useLocalDpi xmlns:a14="http://schemas.microsoft.com/office/drawing/2010/main" val="0"/>
                        </a:ext>
                      </a:extLst>
                    </a:blip>
                    <a:srcRect/>
                    <a:stretch>
                      <a:fillRect/>
                    </a:stretch>
                  </pic:blipFill>
                  <pic:spPr bwMode="auto">
                    <a:xfrm>
                      <a:off x="0" y="0"/>
                      <a:ext cx="5867400" cy="2200275"/>
                    </a:xfrm>
                    <a:prstGeom prst="rect">
                      <a:avLst/>
                    </a:prstGeom>
                    <a:noFill/>
                    <a:ln>
                      <a:noFill/>
                    </a:ln>
                  </pic:spPr>
                </pic:pic>
              </a:graphicData>
            </a:graphic>
          </wp:inline>
        </w:drawing>
      </w:r>
    </w:p>
    <w:p w:rsidR="00917C1F" w:rsidRPr="00263463" w:rsidRDefault="00917C1F" w:rsidP="00917C1F">
      <w:pPr>
        <w:tabs>
          <w:tab w:val="left" w:pos="2670"/>
        </w:tabs>
        <w:jc w:val="center"/>
        <w:rPr>
          <w:rFonts w:ascii="Arial" w:hAnsi="Arial" w:cs="Arial"/>
          <w:bCs/>
          <w:i/>
          <w:sz w:val="20"/>
          <w:szCs w:val="20"/>
        </w:rPr>
      </w:pPr>
      <w:r w:rsidRPr="00263463">
        <w:rPr>
          <w:rFonts w:ascii="Arial" w:hAnsi="Arial" w:cs="Arial"/>
          <w:bCs/>
          <w:i/>
          <w:sz w:val="20"/>
          <w:szCs w:val="20"/>
        </w:rPr>
        <w:t xml:space="preserve">Figura </w:t>
      </w:r>
      <w:r>
        <w:rPr>
          <w:rFonts w:ascii="Arial" w:hAnsi="Arial" w:cs="Arial"/>
          <w:bCs/>
          <w:i/>
          <w:sz w:val="20"/>
          <w:szCs w:val="20"/>
        </w:rPr>
        <w:t>1</w:t>
      </w:r>
      <w:r w:rsidRPr="00263463">
        <w:rPr>
          <w:rFonts w:ascii="Arial" w:hAnsi="Arial" w:cs="Arial"/>
          <w:bCs/>
          <w:i/>
          <w:sz w:val="20"/>
          <w:szCs w:val="20"/>
        </w:rPr>
        <w:t>. Espectros IR por transformada de Fourier del quitosano, sin y con la adsorción del ion aluminio.</w:t>
      </w:r>
    </w:p>
    <w:p w:rsidR="00917C1F" w:rsidRDefault="00917C1F" w:rsidP="00917C1F">
      <w:pPr>
        <w:ind w:firstLine="567"/>
        <w:jc w:val="both"/>
        <w:rPr>
          <w:rFonts w:ascii="Arial" w:hAnsi="Arial" w:cs="Arial"/>
        </w:rPr>
      </w:pPr>
    </w:p>
    <w:p w:rsidR="00917C1F" w:rsidRPr="00485834" w:rsidRDefault="00917C1F" w:rsidP="00917C1F">
      <w:pPr>
        <w:ind w:firstLine="567"/>
        <w:jc w:val="both"/>
        <w:rPr>
          <w:rFonts w:ascii="Arial" w:hAnsi="Arial" w:cs="Arial"/>
        </w:rPr>
      </w:pPr>
      <w:r w:rsidRPr="00842147">
        <w:rPr>
          <w:rFonts w:ascii="Arial" w:hAnsi="Arial" w:cs="Arial"/>
        </w:rPr>
        <w:t>Por su parte, el espectro IR del quitosano con aluminio (línea discontinua) presenta las mismas bandas de adsorción de los grupos funcionales característicos del quitosano. No obstante, las bandas a 1664 cm</w:t>
      </w:r>
      <w:r w:rsidRPr="00842147">
        <w:rPr>
          <w:rFonts w:ascii="Arial" w:hAnsi="Arial" w:cs="Arial"/>
          <w:vertAlign w:val="superscript"/>
        </w:rPr>
        <w:t>-1</w:t>
      </w:r>
      <w:r w:rsidRPr="00842147">
        <w:rPr>
          <w:rFonts w:ascii="Arial" w:hAnsi="Arial" w:cs="Arial"/>
        </w:rPr>
        <w:t xml:space="preserve"> y a 1380 cm</w:t>
      </w:r>
      <w:r w:rsidRPr="00842147">
        <w:rPr>
          <w:rFonts w:ascii="Arial" w:hAnsi="Arial" w:cs="Arial"/>
          <w:vertAlign w:val="superscript"/>
        </w:rPr>
        <w:t>-1</w:t>
      </w:r>
      <w:r w:rsidRPr="00842147">
        <w:rPr>
          <w:rFonts w:ascii="Arial" w:hAnsi="Arial" w:cs="Arial"/>
        </w:rPr>
        <w:t xml:space="preserve"> muestran depresiones, las cuales pueden deberse a la unión del grupo hidroxilo con el ion aluminio. </w:t>
      </w:r>
      <w:r>
        <w:rPr>
          <w:rFonts w:ascii="Arial" w:hAnsi="Arial" w:cs="Arial"/>
        </w:rPr>
        <w:t>S</w:t>
      </w:r>
      <w:r w:rsidRPr="00842147">
        <w:rPr>
          <w:rFonts w:ascii="Arial" w:hAnsi="Arial" w:cs="Arial"/>
        </w:rPr>
        <w:t xml:space="preserve">imilares </w:t>
      </w:r>
      <w:r w:rsidRPr="00485834">
        <w:rPr>
          <w:rFonts w:ascii="Arial" w:hAnsi="Arial" w:cs="Arial"/>
        </w:rPr>
        <w:t>resultados fueron encontrados por Romero-Sevilla, Sánchez-Cuadra y Benavente</w:t>
      </w:r>
      <w:r w:rsidRPr="00485834">
        <w:rPr>
          <w:rFonts w:ascii="Arial" w:eastAsia="Calibri" w:hAnsi="Arial" w:cs="Arial"/>
          <w:vertAlign w:val="superscript"/>
          <w:lang w:val="es-NI"/>
        </w:rPr>
        <w:t>[</w:t>
      </w:r>
      <w:r>
        <w:rPr>
          <w:rFonts w:ascii="Arial" w:eastAsia="Calibri" w:hAnsi="Arial" w:cs="Arial"/>
          <w:vertAlign w:val="superscript"/>
          <w:lang w:val="es-NI"/>
        </w:rPr>
        <w:t>9</w:t>
      </w:r>
      <w:r w:rsidRPr="00485834">
        <w:rPr>
          <w:rFonts w:ascii="Arial" w:eastAsia="Calibri" w:hAnsi="Arial" w:cs="Arial"/>
          <w:vertAlign w:val="superscript"/>
          <w:lang w:val="es-NI"/>
        </w:rPr>
        <w:t>]</w:t>
      </w:r>
      <w:r w:rsidRPr="00485834">
        <w:rPr>
          <w:rFonts w:ascii="Arial" w:hAnsi="Arial" w:cs="Arial"/>
        </w:rPr>
        <w:t>, quienes observaron una ligera modificación en la región de 1640–1500 cm</w:t>
      </w:r>
      <w:r w:rsidRPr="00485834">
        <w:rPr>
          <w:rFonts w:ascii="Arial" w:hAnsi="Arial" w:cs="Arial"/>
          <w:vertAlign w:val="superscript"/>
        </w:rPr>
        <w:t>-1</w:t>
      </w:r>
      <w:r w:rsidRPr="00485834">
        <w:rPr>
          <w:rFonts w:ascii="Arial" w:hAnsi="Arial" w:cs="Arial"/>
        </w:rPr>
        <w:t xml:space="preserve"> asociada al enlace Cr–O, que da origen a una vibración de tensión por la saturación del adsorbente con el ion metálico </w:t>
      </w:r>
      <w:r w:rsidRPr="00485834">
        <w:rPr>
          <w:rFonts w:ascii="Arial" w:eastAsia="Calibri" w:hAnsi="Arial" w:cs="Arial"/>
          <w:vertAlign w:val="superscript"/>
          <w:lang w:val="es-NI"/>
        </w:rPr>
        <w:t>[1</w:t>
      </w:r>
      <w:r>
        <w:rPr>
          <w:rFonts w:ascii="Arial" w:eastAsia="Calibri" w:hAnsi="Arial" w:cs="Arial"/>
          <w:vertAlign w:val="superscript"/>
          <w:lang w:val="es-NI"/>
        </w:rPr>
        <w:t>0</w:t>
      </w:r>
      <w:r w:rsidRPr="00485834">
        <w:rPr>
          <w:rFonts w:ascii="Arial" w:eastAsia="Calibri" w:hAnsi="Arial" w:cs="Arial"/>
          <w:vertAlign w:val="superscript"/>
          <w:lang w:val="es-NI"/>
        </w:rPr>
        <w:t>]</w:t>
      </w:r>
      <w:r w:rsidRPr="00485834">
        <w:rPr>
          <w:rFonts w:ascii="Arial" w:hAnsi="Arial" w:cs="Arial"/>
        </w:rPr>
        <w:t>.</w:t>
      </w:r>
    </w:p>
    <w:p w:rsidR="00917C1F" w:rsidRPr="00842147" w:rsidRDefault="00917C1F" w:rsidP="00917C1F">
      <w:pPr>
        <w:ind w:firstLine="567"/>
        <w:jc w:val="both"/>
        <w:rPr>
          <w:rFonts w:ascii="Arial" w:hAnsi="Arial" w:cs="Arial"/>
        </w:rPr>
      </w:pPr>
      <w:r w:rsidRPr="00485834">
        <w:rPr>
          <w:rFonts w:ascii="Arial" w:hAnsi="Arial" w:cs="Arial"/>
        </w:rPr>
        <w:t xml:space="preserve">Así también, en la Figura </w:t>
      </w:r>
      <w:r>
        <w:rPr>
          <w:rFonts w:ascii="Arial" w:hAnsi="Arial" w:cs="Arial"/>
        </w:rPr>
        <w:t>1</w:t>
      </w:r>
      <w:r w:rsidRPr="00485834">
        <w:rPr>
          <w:rFonts w:ascii="Arial" w:hAnsi="Arial" w:cs="Arial"/>
        </w:rPr>
        <w:t xml:space="preserve"> se observa una depresión y un ligero desplazamiento de la banda ancha de adsorción a 3446 cm</w:t>
      </w:r>
      <w:r w:rsidRPr="00485834">
        <w:rPr>
          <w:rFonts w:ascii="Arial" w:hAnsi="Arial" w:cs="Arial"/>
          <w:vertAlign w:val="superscript"/>
        </w:rPr>
        <w:t>-1</w:t>
      </w:r>
      <w:r w:rsidRPr="00485834">
        <w:rPr>
          <w:rFonts w:ascii="Arial" w:hAnsi="Arial" w:cs="Arial"/>
        </w:rPr>
        <w:t xml:space="preserve"> atribuida a los grupos hidroxilo, lo cual puede ser producto de la formación del complejo Quitosano–Al. Esta observación concuerda con lo reportado por Flores-Alamo, Solache-Ríos, Gómez-Espinosa y García-Gaitán </w:t>
      </w:r>
      <w:r w:rsidRPr="00485834">
        <w:rPr>
          <w:rFonts w:ascii="Arial" w:eastAsia="Calibri" w:hAnsi="Arial" w:cs="Arial"/>
          <w:vertAlign w:val="superscript"/>
          <w:lang w:val="es-NI"/>
        </w:rPr>
        <w:t>[1</w:t>
      </w:r>
      <w:r>
        <w:rPr>
          <w:rFonts w:ascii="Arial" w:eastAsia="Calibri" w:hAnsi="Arial" w:cs="Arial"/>
          <w:vertAlign w:val="superscript"/>
          <w:lang w:val="es-NI"/>
        </w:rPr>
        <w:t>1</w:t>
      </w:r>
      <w:r w:rsidRPr="00485834">
        <w:rPr>
          <w:rFonts w:ascii="Arial" w:eastAsia="Calibri" w:hAnsi="Arial" w:cs="Arial"/>
          <w:vertAlign w:val="superscript"/>
          <w:lang w:val="es-NI"/>
        </w:rPr>
        <w:t>]</w:t>
      </w:r>
      <w:r w:rsidRPr="00485834">
        <w:rPr>
          <w:rFonts w:ascii="Arial" w:hAnsi="Arial" w:cs="Arial"/>
        </w:rPr>
        <w:t>, quienes apreciaron el desplazamiento de las bandas principales</w:t>
      </w:r>
      <w:r w:rsidRPr="00842147">
        <w:rPr>
          <w:rFonts w:ascii="Arial" w:hAnsi="Arial" w:cs="Arial"/>
        </w:rPr>
        <w:t xml:space="preserve"> características del quitosano debido a la adsorción de Cu y Zn.</w:t>
      </w:r>
      <w:r>
        <w:rPr>
          <w:rFonts w:ascii="Arial" w:hAnsi="Arial" w:cs="Arial"/>
        </w:rPr>
        <w:t xml:space="preserve"> </w:t>
      </w:r>
      <w:r w:rsidRPr="00842147">
        <w:rPr>
          <w:rFonts w:ascii="Arial" w:hAnsi="Arial" w:cs="Arial"/>
        </w:rPr>
        <w:t>Así también, el espectro IR quitosano con aluminio muestra una depresión de la banda característica del grupo C–H a 2910 cm</w:t>
      </w:r>
      <w:r w:rsidRPr="00842147">
        <w:rPr>
          <w:rFonts w:ascii="Arial" w:hAnsi="Arial" w:cs="Arial"/>
          <w:vertAlign w:val="superscript"/>
        </w:rPr>
        <w:t>-1</w:t>
      </w:r>
      <w:r w:rsidRPr="00842147">
        <w:rPr>
          <w:rFonts w:ascii="Arial" w:hAnsi="Arial" w:cs="Arial"/>
        </w:rPr>
        <w:t xml:space="preserve">, la cual puede atribuirse a una ecualización de la intensidad por la formación del </w:t>
      </w:r>
      <w:r w:rsidRPr="00263463">
        <w:rPr>
          <w:rFonts w:ascii="Arial" w:hAnsi="Arial" w:cs="Arial"/>
        </w:rPr>
        <w:t>complejo quitosano–Al.</w:t>
      </w:r>
    </w:p>
    <w:p w:rsidR="00917C1F" w:rsidRPr="00842147" w:rsidRDefault="00917C1F" w:rsidP="00917C1F">
      <w:pPr>
        <w:ind w:firstLine="567"/>
        <w:jc w:val="both"/>
        <w:rPr>
          <w:rFonts w:ascii="Arial" w:hAnsi="Arial" w:cs="Arial"/>
        </w:rPr>
      </w:pPr>
      <w:r>
        <w:rPr>
          <w:rFonts w:ascii="Arial" w:hAnsi="Arial" w:cs="Arial"/>
        </w:rPr>
        <w:t xml:space="preserve">Por su parte, </w:t>
      </w:r>
      <w:r w:rsidRPr="00842147">
        <w:rPr>
          <w:rFonts w:ascii="Arial" w:hAnsi="Arial" w:cs="Arial"/>
        </w:rPr>
        <w:t xml:space="preserve">la Figura </w:t>
      </w:r>
      <w:r>
        <w:rPr>
          <w:rFonts w:ascii="Arial" w:hAnsi="Arial" w:cs="Arial"/>
        </w:rPr>
        <w:t>2</w:t>
      </w:r>
      <w:r w:rsidRPr="00842147">
        <w:rPr>
          <w:rFonts w:ascii="Arial" w:hAnsi="Arial" w:cs="Arial"/>
        </w:rPr>
        <w:t xml:space="preserve"> presenta los espectros IR de la cascarilla de arroz sin aluminio (línea continua) y con aluminio (línea discontinua). La comparación espectroscópica de ambos espectros muestra cambios y depresiones en la intensidad de algunas de las principales bandas de adsorción: incremento de la banda a 3450 cm</w:t>
      </w:r>
      <w:r w:rsidRPr="00842147">
        <w:rPr>
          <w:rFonts w:ascii="Arial" w:hAnsi="Arial" w:cs="Arial"/>
          <w:vertAlign w:val="superscript"/>
        </w:rPr>
        <w:t>-1</w:t>
      </w:r>
      <w:r w:rsidRPr="00842147">
        <w:rPr>
          <w:rFonts w:ascii="Arial" w:hAnsi="Arial" w:cs="Arial"/>
        </w:rPr>
        <w:t xml:space="preserve"> debido a los grupo OH presentes en la cascarilla y por la formación del complejo biomasa–Al–OH, depresión de un pico a 2400 cm</w:t>
      </w:r>
      <w:r w:rsidRPr="00842147">
        <w:rPr>
          <w:rFonts w:ascii="Arial" w:hAnsi="Arial" w:cs="Arial"/>
          <w:vertAlign w:val="superscript"/>
        </w:rPr>
        <w:t>-1</w:t>
      </w:r>
      <w:r w:rsidRPr="00842147">
        <w:rPr>
          <w:rFonts w:ascii="Arial" w:hAnsi="Arial" w:cs="Arial"/>
        </w:rPr>
        <w:t xml:space="preserve"> asociado a la formación del complejo, y deformaciones en la serie de bandas de 1600 a 400 cm</w:t>
      </w:r>
      <w:r w:rsidRPr="00842147">
        <w:rPr>
          <w:rFonts w:ascii="Arial" w:hAnsi="Arial" w:cs="Arial"/>
          <w:vertAlign w:val="superscript"/>
        </w:rPr>
        <w:t>-1</w:t>
      </w:r>
      <w:r w:rsidRPr="00842147">
        <w:rPr>
          <w:rFonts w:ascii="Arial" w:hAnsi="Arial" w:cs="Arial"/>
        </w:rPr>
        <w:t xml:space="preserve">, debido a los enlaces Al–O </w:t>
      </w:r>
      <w:r w:rsidRPr="00007A01">
        <w:rPr>
          <w:rFonts w:ascii="Arial" w:eastAsia="Calibri" w:hAnsi="Arial" w:cs="Arial"/>
          <w:vertAlign w:val="superscript"/>
          <w:lang w:val="es-NI"/>
        </w:rPr>
        <w:t>[</w:t>
      </w:r>
      <w:r>
        <w:rPr>
          <w:rFonts w:ascii="Arial" w:eastAsia="Calibri" w:hAnsi="Arial" w:cs="Arial"/>
          <w:vertAlign w:val="superscript"/>
          <w:lang w:val="es-NI"/>
        </w:rPr>
        <w:t>10</w:t>
      </w:r>
      <w:r w:rsidRPr="00007A01">
        <w:rPr>
          <w:rFonts w:ascii="Arial" w:eastAsia="Calibri" w:hAnsi="Arial" w:cs="Arial"/>
          <w:vertAlign w:val="superscript"/>
          <w:lang w:val="es-NI"/>
        </w:rPr>
        <w:t>]</w:t>
      </w:r>
      <w:r w:rsidRPr="00842147">
        <w:rPr>
          <w:rFonts w:ascii="Arial" w:hAnsi="Arial" w:cs="Arial"/>
        </w:rPr>
        <w:t xml:space="preserve">. Así </w:t>
      </w:r>
      <w:r>
        <w:rPr>
          <w:rFonts w:ascii="Arial" w:hAnsi="Arial" w:cs="Arial"/>
        </w:rPr>
        <w:t>mismo</w:t>
      </w:r>
      <w:r w:rsidRPr="00842147">
        <w:rPr>
          <w:rFonts w:ascii="Arial" w:hAnsi="Arial" w:cs="Arial"/>
        </w:rPr>
        <w:t>, ambos espectros muestran una serie de bandas características, entre 1500 y 700 cm</w:t>
      </w:r>
      <w:r w:rsidRPr="00842147">
        <w:rPr>
          <w:rFonts w:ascii="Arial" w:hAnsi="Arial" w:cs="Arial"/>
          <w:vertAlign w:val="superscript"/>
        </w:rPr>
        <w:t>-1</w:t>
      </w:r>
      <w:r w:rsidRPr="00842147">
        <w:rPr>
          <w:rFonts w:ascii="Arial" w:hAnsi="Arial" w:cs="Arial"/>
        </w:rPr>
        <w:t>, que se atribuyen a la celulosa contenida en la cascarilla de arroz</w:t>
      </w:r>
      <w:r>
        <w:rPr>
          <w:rFonts w:ascii="Arial" w:hAnsi="Arial" w:cs="Arial"/>
        </w:rPr>
        <w:t xml:space="preserve"> </w:t>
      </w:r>
      <w:r w:rsidRPr="00007A01">
        <w:rPr>
          <w:rFonts w:ascii="Arial" w:eastAsia="Calibri" w:hAnsi="Arial" w:cs="Arial"/>
          <w:vertAlign w:val="superscript"/>
          <w:lang w:val="es-NI"/>
        </w:rPr>
        <w:t>[</w:t>
      </w:r>
      <w:r>
        <w:rPr>
          <w:rFonts w:ascii="Arial" w:eastAsia="Calibri" w:hAnsi="Arial" w:cs="Arial"/>
          <w:vertAlign w:val="superscript"/>
          <w:lang w:val="es-NI"/>
        </w:rPr>
        <w:t>7</w:t>
      </w:r>
      <w:r w:rsidRPr="00007A01">
        <w:rPr>
          <w:rFonts w:ascii="Arial" w:eastAsia="Calibri" w:hAnsi="Arial" w:cs="Arial"/>
          <w:vertAlign w:val="superscript"/>
          <w:lang w:val="es-NI"/>
        </w:rPr>
        <w:t>]</w:t>
      </w:r>
      <w:r w:rsidRPr="00842147">
        <w:rPr>
          <w:rFonts w:ascii="Arial" w:hAnsi="Arial" w:cs="Arial"/>
        </w:rPr>
        <w:t>.</w:t>
      </w:r>
    </w:p>
    <w:p w:rsidR="00917C1F" w:rsidRPr="00842147" w:rsidRDefault="00917C1F" w:rsidP="00917C1F">
      <w:pPr>
        <w:jc w:val="both"/>
        <w:rPr>
          <w:rFonts w:ascii="Arial" w:hAnsi="Arial" w:cs="Arial"/>
        </w:rPr>
      </w:pPr>
    </w:p>
    <w:p w:rsidR="00917C1F" w:rsidRPr="00842147" w:rsidRDefault="00917C1F" w:rsidP="00917C1F">
      <w:pPr>
        <w:spacing w:line="360" w:lineRule="auto"/>
        <w:jc w:val="both"/>
        <w:rPr>
          <w:rFonts w:ascii="Arial" w:hAnsi="Arial" w:cs="Arial"/>
        </w:rPr>
      </w:pPr>
      <w:r w:rsidRPr="00842147">
        <w:rPr>
          <w:rFonts w:ascii="Arial" w:hAnsi="Arial" w:cs="Arial"/>
          <w:noProof/>
          <w:lang w:val="en-US"/>
        </w:rPr>
        <w:drawing>
          <wp:inline distT="0" distB="0" distL="0" distR="0" wp14:anchorId="6C2971F7" wp14:editId="0D05FB95">
            <wp:extent cx="6000750" cy="2162175"/>
            <wp:effectExtent l="0" t="0" r="0" b="952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333">
                      <a:extLst>
                        <a:ext uri="{28A0092B-C50C-407E-A947-70E740481C1C}">
                          <a14:useLocalDpi xmlns:a14="http://schemas.microsoft.com/office/drawing/2010/main" val="0"/>
                        </a:ext>
                      </a:extLst>
                    </a:blip>
                    <a:srcRect t="2" b="3867"/>
                    <a:stretch>
                      <a:fillRect/>
                    </a:stretch>
                  </pic:blipFill>
                  <pic:spPr bwMode="auto">
                    <a:xfrm>
                      <a:off x="0" y="0"/>
                      <a:ext cx="6000750" cy="2162175"/>
                    </a:xfrm>
                    <a:prstGeom prst="rect">
                      <a:avLst/>
                    </a:prstGeom>
                    <a:noFill/>
                    <a:ln>
                      <a:noFill/>
                    </a:ln>
                  </pic:spPr>
                </pic:pic>
              </a:graphicData>
            </a:graphic>
          </wp:inline>
        </w:drawing>
      </w:r>
    </w:p>
    <w:p w:rsidR="00917C1F" w:rsidRPr="00133C87" w:rsidRDefault="00917C1F" w:rsidP="00917C1F">
      <w:pPr>
        <w:tabs>
          <w:tab w:val="left" w:pos="2670"/>
        </w:tabs>
        <w:jc w:val="center"/>
        <w:rPr>
          <w:rFonts w:ascii="Arial" w:hAnsi="Arial" w:cs="Arial"/>
          <w:bCs/>
          <w:i/>
          <w:sz w:val="20"/>
          <w:szCs w:val="20"/>
        </w:rPr>
      </w:pPr>
      <w:r w:rsidRPr="00133C87">
        <w:rPr>
          <w:rFonts w:ascii="Arial" w:hAnsi="Arial" w:cs="Arial"/>
          <w:bCs/>
          <w:i/>
          <w:sz w:val="20"/>
          <w:szCs w:val="20"/>
        </w:rPr>
        <w:t xml:space="preserve">Figura </w:t>
      </w:r>
      <w:r>
        <w:rPr>
          <w:rFonts w:ascii="Arial" w:hAnsi="Arial" w:cs="Arial"/>
          <w:bCs/>
          <w:i/>
          <w:sz w:val="20"/>
          <w:szCs w:val="20"/>
        </w:rPr>
        <w:t>2</w:t>
      </w:r>
      <w:r w:rsidRPr="00133C87">
        <w:rPr>
          <w:rFonts w:ascii="Arial" w:hAnsi="Arial" w:cs="Arial"/>
          <w:bCs/>
          <w:i/>
          <w:sz w:val="20"/>
          <w:szCs w:val="20"/>
        </w:rPr>
        <w:t>. Espectros IR por transformada de Fourier de la cascarilla de arroz sin aluminio y con la adsorción del ion aluminio.</w:t>
      </w:r>
    </w:p>
    <w:p w:rsidR="00917C1F" w:rsidRDefault="00917C1F" w:rsidP="00917C1F">
      <w:pPr>
        <w:pStyle w:val="Ttulo2"/>
        <w:keepLines w:val="0"/>
        <w:numPr>
          <w:ilvl w:val="1"/>
          <w:numId w:val="1"/>
        </w:numPr>
        <w:tabs>
          <w:tab w:val="clear" w:pos="576"/>
          <w:tab w:val="num" w:pos="0"/>
        </w:tabs>
        <w:suppressAutoHyphens/>
        <w:spacing w:before="0"/>
        <w:ind w:left="0" w:firstLine="0"/>
        <w:jc w:val="both"/>
        <w:rPr>
          <w:rFonts w:ascii="Arial" w:hAnsi="Arial" w:cs="Arial"/>
          <w:b/>
          <w:bCs/>
          <w:i/>
          <w:color w:val="000000"/>
        </w:rPr>
      </w:pPr>
    </w:p>
    <w:p w:rsidR="00917C1F" w:rsidRPr="00DF2FE2" w:rsidRDefault="00917C1F" w:rsidP="00917C1F">
      <w:pPr>
        <w:pStyle w:val="Ttulo2"/>
        <w:keepLines w:val="0"/>
        <w:numPr>
          <w:ilvl w:val="1"/>
          <w:numId w:val="1"/>
        </w:numPr>
        <w:tabs>
          <w:tab w:val="clear" w:pos="576"/>
          <w:tab w:val="num" w:pos="0"/>
        </w:tabs>
        <w:suppressAutoHyphens/>
        <w:spacing w:before="0" w:line="360" w:lineRule="auto"/>
        <w:ind w:left="0" w:firstLine="0"/>
        <w:jc w:val="both"/>
        <w:rPr>
          <w:rFonts w:ascii="Arial" w:hAnsi="Arial" w:cs="Arial"/>
          <w:b/>
          <w:bCs/>
          <w:i/>
          <w:color w:val="000000"/>
          <w:sz w:val="24"/>
          <w:szCs w:val="24"/>
        </w:rPr>
      </w:pPr>
      <w:bookmarkStart w:id="460" w:name="_Toc50031483"/>
      <w:r w:rsidRPr="00DF2FE2">
        <w:rPr>
          <w:rFonts w:ascii="Arial" w:hAnsi="Arial" w:cs="Arial"/>
          <w:b/>
          <w:bCs/>
          <w:i/>
          <w:color w:val="000000"/>
          <w:sz w:val="24"/>
          <w:szCs w:val="24"/>
        </w:rPr>
        <w:t>4.2 Efecto del pH inicial en el porcentaje de remoción de aluminio</w:t>
      </w:r>
      <w:bookmarkEnd w:id="460"/>
    </w:p>
    <w:p w:rsidR="00917C1F" w:rsidRDefault="00917C1F" w:rsidP="00917C1F">
      <w:pPr>
        <w:ind w:firstLine="567"/>
        <w:jc w:val="both"/>
        <w:rPr>
          <w:rFonts w:ascii="Arial" w:hAnsi="Arial" w:cs="Arial"/>
        </w:rPr>
      </w:pPr>
      <w:r w:rsidRPr="00842147">
        <w:rPr>
          <w:rFonts w:ascii="Arial" w:hAnsi="Arial" w:cs="Arial"/>
        </w:rPr>
        <w:t xml:space="preserve">Los gráficos del porcentaje de remoción del aluminio en quitosano y cascarilla de arroz en función del pH se muestran en la Figura </w:t>
      </w:r>
      <w:r>
        <w:rPr>
          <w:rFonts w:ascii="Arial" w:hAnsi="Arial" w:cs="Arial"/>
        </w:rPr>
        <w:t>3</w:t>
      </w:r>
      <w:r w:rsidRPr="00842147">
        <w:rPr>
          <w:rFonts w:ascii="Arial" w:hAnsi="Arial" w:cs="Arial"/>
        </w:rPr>
        <w:t>.</w:t>
      </w:r>
      <w:r>
        <w:rPr>
          <w:rFonts w:ascii="Arial" w:hAnsi="Arial" w:cs="Arial"/>
        </w:rPr>
        <w:t xml:space="preserve"> </w:t>
      </w:r>
      <w:r w:rsidRPr="00842147">
        <w:rPr>
          <w:rFonts w:ascii="Arial" w:hAnsi="Arial" w:cs="Arial"/>
        </w:rPr>
        <w:t>Los resultados muestran que</w:t>
      </w:r>
      <w:r>
        <w:rPr>
          <w:rFonts w:ascii="Arial" w:hAnsi="Arial" w:cs="Arial"/>
        </w:rPr>
        <w:t xml:space="preserve"> </w:t>
      </w:r>
      <w:r w:rsidRPr="00842147">
        <w:rPr>
          <w:rFonts w:ascii="Arial" w:hAnsi="Arial" w:cs="Arial"/>
        </w:rPr>
        <w:t xml:space="preserve">el porcentaje más bajo de remoción </w:t>
      </w:r>
      <w:r>
        <w:rPr>
          <w:rFonts w:ascii="Arial" w:hAnsi="Arial" w:cs="Arial"/>
        </w:rPr>
        <w:t>de Al</w:t>
      </w:r>
      <w:r w:rsidRPr="00842147">
        <w:rPr>
          <w:rFonts w:ascii="Arial" w:hAnsi="Arial" w:cs="Arial"/>
        </w:rPr>
        <w:t xml:space="preserve">(III) fue a pH 4 para ambos adsorbentes; siendo </w:t>
      </w:r>
      <w:r>
        <w:rPr>
          <w:rFonts w:ascii="Arial" w:hAnsi="Arial" w:cs="Arial"/>
        </w:rPr>
        <w:t xml:space="preserve">el </w:t>
      </w:r>
      <w:r w:rsidRPr="00842147">
        <w:rPr>
          <w:rFonts w:ascii="Arial" w:hAnsi="Arial" w:cs="Arial"/>
        </w:rPr>
        <w:t xml:space="preserve">más bajo en la cascarilla de arroz (15.6%) que en quitosano (73.4%). </w:t>
      </w:r>
    </w:p>
    <w:p w:rsidR="00917C1F" w:rsidRPr="00842147" w:rsidRDefault="00917C1F" w:rsidP="00917C1F">
      <w:pPr>
        <w:ind w:firstLine="567"/>
        <w:jc w:val="both"/>
        <w:rPr>
          <w:rFonts w:ascii="Arial" w:hAnsi="Arial" w:cs="Arial"/>
        </w:rPr>
      </w:pPr>
      <w:r w:rsidRPr="00842147">
        <w:rPr>
          <w:rFonts w:ascii="Arial" w:hAnsi="Arial" w:cs="Arial"/>
        </w:rPr>
        <w:t>El bajo porcentaje de remoción en la cascarilla de arroz puede deberse a la presencia de iones H</w:t>
      </w:r>
      <w:r w:rsidRPr="00842147">
        <w:rPr>
          <w:rFonts w:ascii="Arial" w:hAnsi="Arial" w:cs="Arial"/>
          <w:vertAlign w:val="superscript"/>
        </w:rPr>
        <w:t>+</w:t>
      </w:r>
      <w:r w:rsidRPr="00842147">
        <w:rPr>
          <w:rFonts w:ascii="Arial" w:hAnsi="Arial" w:cs="Arial"/>
        </w:rPr>
        <w:t xml:space="preserve"> en la solución que inducen a la protonación de los grupos funcionales ácidos y alcoholes fenilpropílicos </w:t>
      </w:r>
      <w:r w:rsidRPr="00007A01">
        <w:rPr>
          <w:rFonts w:ascii="Arial" w:eastAsia="Calibri" w:hAnsi="Arial" w:cs="Arial"/>
          <w:vertAlign w:val="superscript"/>
          <w:lang w:val="es-NI"/>
        </w:rPr>
        <w:t>[</w:t>
      </w:r>
      <w:r>
        <w:rPr>
          <w:rFonts w:ascii="Arial" w:eastAsia="Calibri" w:hAnsi="Arial" w:cs="Arial"/>
          <w:vertAlign w:val="superscript"/>
          <w:lang w:val="es-NI"/>
        </w:rPr>
        <w:t>12</w:t>
      </w:r>
      <w:r w:rsidRPr="00007A01">
        <w:rPr>
          <w:rFonts w:ascii="Arial" w:eastAsia="Calibri" w:hAnsi="Arial" w:cs="Arial"/>
          <w:vertAlign w:val="superscript"/>
          <w:lang w:val="es-NI"/>
        </w:rPr>
        <w:t>]</w:t>
      </w:r>
      <w:r w:rsidRPr="00842147">
        <w:rPr>
          <w:rFonts w:ascii="Arial" w:hAnsi="Arial" w:cs="Arial"/>
        </w:rPr>
        <w:t xml:space="preserve">, </w:t>
      </w:r>
      <w:r>
        <w:rPr>
          <w:rFonts w:ascii="Arial" w:hAnsi="Arial" w:cs="Arial"/>
        </w:rPr>
        <w:t>y</w:t>
      </w:r>
      <w:r w:rsidRPr="00842147">
        <w:rPr>
          <w:rFonts w:ascii="Arial" w:hAnsi="Arial" w:cs="Arial"/>
        </w:rPr>
        <w:t xml:space="preserve"> debido a la repulsión electrostática, no permite la interacción con los iones Al</w:t>
      </w:r>
      <w:r w:rsidRPr="00842147">
        <w:rPr>
          <w:rFonts w:ascii="Arial" w:hAnsi="Arial" w:cs="Arial"/>
          <w:vertAlign w:val="superscript"/>
        </w:rPr>
        <w:t>3+</w:t>
      </w:r>
      <w:r w:rsidRPr="00842147">
        <w:rPr>
          <w:rFonts w:ascii="Arial" w:hAnsi="Arial" w:cs="Arial"/>
        </w:rPr>
        <w:t>, presentes en la forma de  [Al(H</w:t>
      </w:r>
      <w:r w:rsidRPr="00842147">
        <w:rPr>
          <w:rFonts w:ascii="Arial" w:hAnsi="Arial" w:cs="Arial"/>
          <w:vertAlign w:val="subscript"/>
        </w:rPr>
        <w:t>2</w:t>
      </w:r>
      <w:r w:rsidRPr="00842147">
        <w:rPr>
          <w:rFonts w:ascii="Arial" w:hAnsi="Arial" w:cs="Arial"/>
        </w:rPr>
        <w:t>O)</w:t>
      </w:r>
      <w:r w:rsidRPr="00842147">
        <w:rPr>
          <w:rFonts w:ascii="Arial" w:hAnsi="Arial" w:cs="Arial"/>
          <w:vertAlign w:val="subscript"/>
        </w:rPr>
        <w:t>6</w:t>
      </w:r>
      <w:r w:rsidRPr="00842147">
        <w:rPr>
          <w:rFonts w:ascii="Arial" w:hAnsi="Arial" w:cs="Arial"/>
        </w:rPr>
        <w:t>]</w:t>
      </w:r>
      <w:r w:rsidRPr="00842147">
        <w:rPr>
          <w:rFonts w:ascii="Arial" w:hAnsi="Arial" w:cs="Arial"/>
          <w:vertAlign w:val="superscript"/>
        </w:rPr>
        <w:t xml:space="preserve">3+ </w:t>
      </w:r>
      <w:r w:rsidRPr="00007A01">
        <w:rPr>
          <w:rFonts w:ascii="Arial" w:eastAsia="Calibri" w:hAnsi="Arial" w:cs="Arial"/>
          <w:vertAlign w:val="superscript"/>
          <w:lang w:val="es-NI"/>
        </w:rPr>
        <w:t>[</w:t>
      </w:r>
      <w:r>
        <w:rPr>
          <w:rFonts w:ascii="Arial" w:eastAsia="Calibri" w:hAnsi="Arial" w:cs="Arial"/>
          <w:vertAlign w:val="superscript"/>
          <w:lang w:val="es-NI"/>
        </w:rPr>
        <w:t>13</w:t>
      </w:r>
      <w:r w:rsidRPr="00007A01">
        <w:rPr>
          <w:rFonts w:ascii="Arial" w:eastAsia="Calibri" w:hAnsi="Arial" w:cs="Arial"/>
          <w:vertAlign w:val="superscript"/>
          <w:lang w:val="es-NI"/>
        </w:rPr>
        <w:t>]</w:t>
      </w:r>
      <w:r>
        <w:rPr>
          <w:rFonts w:ascii="Arial" w:hAnsi="Arial" w:cs="Arial"/>
        </w:rPr>
        <w:t xml:space="preserve">. </w:t>
      </w:r>
      <w:r w:rsidRPr="00842147">
        <w:rPr>
          <w:rFonts w:ascii="Arial" w:hAnsi="Arial" w:cs="Arial"/>
        </w:rPr>
        <w:t>En el caso del quitosano, la presencia de los grupos amino protonados (NH</w:t>
      </w:r>
      <w:r w:rsidRPr="00842147">
        <w:rPr>
          <w:rFonts w:ascii="Arial" w:hAnsi="Arial" w:cs="Arial"/>
          <w:vertAlign w:val="subscript"/>
        </w:rPr>
        <w:t>4</w:t>
      </w:r>
      <w:r w:rsidRPr="00842147">
        <w:rPr>
          <w:rFonts w:ascii="Arial" w:hAnsi="Arial" w:cs="Arial"/>
          <w:vertAlign w:val="superscript"/>
        </w:rPr>
        <w:t>+</w:t>
      </w:r>
      <w:r w:rsidRPr="00842147">
        <w:rPr>
          <w:rFonts w:ascii="Arial" w:hAnsi="Arial" w:cs="Arial"/>
        </w:rPr>
        <w:t>) del quitosano y l</w:t>
      </w:r>
      <w:r>
        <w:rPr>
          <w:rFonts w:ascii="Arial" w:hAnsi="Arial" w:cs="Arial"/>
        </w:rPr>
        <w:t>a especie</w:t>
      </w:r>
      <w:r w:rsidRPr="00842147">
        <w:rPr>
          <w:rFonts w:ascii="Arial" w:hAnsi="Arial" w:cs="Arial"/>
        </w:rPr>
        <w:t xml:space="preserve"> [Al(H</w:t>
      </w:r>
      <w:r w:rsidRPr="00842147">
        <w:rPr>
          <w:rFonts w:ascii="Arial" w:hAnsi="Arial" w:cs="Arial"/>
          <w:vertAlign w:val="subscript"/>
        </w:rPr>
        <w:t>2</w:t>
      </w:r>
      <w:r w:rsidRPr="00842147">
        <w:rPr>
          <w:rFonts w:ascii="Arial" w:hAnsi="Arial" w:cs="Arial"/>
        </w:rPr>
        <w:t>O)</w:t>
      </w:r>
      <w:r w:rsidRPr="00842147">
        <w:rPr>
          <w:rFonts w:ascii="Arial" w:hAnsi="Arial" w:cs="Arial"/>
          <w:vertAlign w:val="subscript"/>
        </w:rPr>
        <w:t>6</w:t>
      </w:r>
      <w:r w:rsidRPr="00842147">
        <w:rPr>
          <w:rFonts w:ascii="Arial" w:hAnsi="Arial" w:cs="Arial"/>
        </w:rPr>
        <w:t>]</w:t>
      </w:r>
      <w:r w:rsidRPr="00842147">
        <w:rPr>
          <w:rFonts w:ascii="Arial" w:hAnsi="Arial" w:cs="Arial"/>
          <w:vertAlign w:val="superscript"/>
        </w:rPr>
        <w:t>3+</w:t>
      </w:r>
      <w:r w:rsidRPr="00842147">
        <w:rPr>
          <w:rFonts w:ascii="Arial" w:hAnsi="Arial" w:cs="Arial"/>
        </w:rPr>
        <w:t xml:space="preserve"> del aluminio </w:t>
      </w:r>
      <w:r>
        <w:rPr>
          <w:rFonts w:ascii="Arial" w:hAnsi="Arial" w:cs="Arial"/>
        </w:rPr>
        <w:t>en la solución acuosa provocan el bajo porcentaje de remoción, y</w:t>
      </w:r>
      <w:r w:rsidRPr="00842147">
        <w:rPr>
          <w:rFonts w:ascii="Arial" w:hAnsi="Arial" w:cs="Arial"/>
        </w:rPr>
        <w:t xml:space="preserve">a que </w:t>
      </w:r>
      <w:r>
        <w:rPr>
          <w:rFonts w:ascii="Arial" w:hAnsi="Arial" w:cs="Arial"/>
        </w:rPr>
        <w:t>l</w:t>
      </w:r>
      <w:r w:rsidRPr="00842147">
        <w:rPr>
          <w:rFonts w:ascii="Arial" w:hAnsi="Arial" w:cs="Arial"/>
        </w:rPr>
        <w:t>a repulsión electrostática entre ellos, no permit</w:t>
      </w:r>
      <w:r>
        <w:rPr>
          <w:rFonts w:ascii="Arial" w:hAnsi="Arial" w:cs="Arial"/>
        </w:rPr>
        <w:t>en</w:t>
      </w:r>
      <w:r w:rsidRPr="00842147">
        <w:rPr>
          <w:rFonts w:ascii="Arial" w:hAnsi="Arial" w:cs="Arial"/>
        </w:rPr>
        <w:t xml:space="preserve"> una máxima interacción entre los iones Al(III) y el adsorbente. </w:t>
      </w:r>
    </w:p>
    <w:p w:rsidR="00917C1F" w:rsidRPr="00842147" w:rsidRDefault="00917C1F" w:rsidP="00917C1F">
      <w:pPr>
        <w:jc w:val="center"/>
        <w:rPr>
          <w:rFonts w:ascii="Arial" w:hAnsi="Arial" w:cs="Arial"/>
        </w:rPr>
      </w:pPr>
      <w:r>
        <w:rPr>
          <w:rFonts w:ascii="Arial" w:hAnsi="Arial" w:cs="Arial"/>
          <w:noProof/>
          <w:lang w:val="en-US"/>
        </w:rPr>
        <w:drawing>
          <wp:inline distT="0" distB="0" distL="0" distR="0" wp14:anchorId="39913781" wp14:editId="130B286E">
            <wp:extent cx="5547995" cy="2268220"/>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5547995" cy="2268220"/>
                    </a:xfrm>
                    <a:prstGeom prst="rect">
                      <a:avLst/>
                    </a:prstGeom>
                    <a:noFill/>
                  </pic:spPr>
                </pic:pic>
              </a:graphicData>
            </a:graphic>
          </wp:inline>
        </w:drawing>
      </w:r>
    </w:p>
    <w:p w:rsidR="00917C1F" w:rsidRPr="001C556E" w:rsidRDefault="00917C1F" w:rsidP="00917C1F">
      <w:pPr>
        <w:jc w:val="center"/>
        <w:rPr>
          <w:rFonts w:ascii="Arial" w:hAnsi="Arial" w:cs="Arial"/>
          <w:bCs/>
          <w:i/>
          <w:sz w:val="20"/>
          <w:szCs w:val="20"/>
        </w:rPr>
      </w:pPr>
      <w:r w:rsidRPr="001C556E">
        <w:rPr>
          <w:rFonts w:ascii="Arial" w:hAnsi="Arial" w:cs="Arial"/>
          <w:bCs/>
          <w:i/>
          <w:sz w:val="20"/>
          <w:szCs w:val="20"/>
        </w:rPr>
        <w:t xml:space="preserve">Figura </w:t>
      </w:r>
      <w:r>
        <w:rPr>
          <w:rFonts w:ascii="Arial" w:hAnsi="Arial" w:cs="Arial"/>
          <w:bCs/>
          <w:i/>
          <w:sz w:val="20"/>
          <w:szCs w:val="20"/>
        </w:rPr>
        <w:t>3</w:t>
      </w:r>
      <w:r w:rsidRPr="001C556E">
        <w:rPr>
          <w:rFonts w:ascii="Arial" w:hAnsi="Arial" w:cs="Arial"/>
          <w:bCs/>
          <w:i/>
          <w:sz w:val="20"/>
          <w:szCs w:val="20"/>
        </w:rPr>
        <w:t xml:space="preserve">. </w:t>
      </w:r>
      <w:r>
        <w:rPr>
          <w:rFonts w:ascii="Arial" w:hAnsi="Arial" w:cs="Arial"/>
          <w:bCs/>
          <w:i/>
          <w:sz w:val="20"/>
          <w:szCs w:val="20"/>
        </w:rPr>
        <w:t>E</w:t>
      </w:r>
      <w:r w:rsidRPr="001C556E">
        <w:rPr>
          <w:rFonts w:ascii="Arial" w:hAnsi="Arial" w:cs="Arial"/>
          <w:bCs/>
          <w:i/>
          <w:sz w:val="20"/>
          <w:szCs w:val="20"/>
        </w:rPr>
        <w:t>fecto del pH en el porcentaje de remoción de aluminio en quitosano y en cascarilla de arroz.</w:t>
      </w:r>
    </w:p>
    <w:p w:rsidR="00917C1F" w:rsidRPr="00842147" w:rsidRDefault="00917C1F" w:rsidP="00917C1F">
      <w:pPr>
        <w:jc w:val="both"/>
        <w:rPr>
          <w:rFonts w:ascii="Arial" w:hAnsi="Arial" w:cs="Arial"/>
        </w:rPr>
      </w:pPr>
    </w:p>
    <w:p w:rsidR="00917C1F" w:rsidRDefault="00917C1F" w:rsidP="00917C1F">
      <w:pPr>
        <w:ind w:firstLine="708"/>
        <w:jc w:val="both"/>
        <w:rPr>
          <w:rFonts w:ascii="Arial" w:hAnsi="Arial" w:cs="Arial"/>
        </w:rPr>
      </w:pPr>
      <w:r w:rsidRPr="00842147">
        <w:rPr>
          <w:rFonts w:ascii="Arial" w:hAnsi="Arial" w:cs="Arial"/>
        </w:rPr>
        <w:t>Al incrementar el pH, disminuye la concentración de iones H</w:t>
      </w:r>
      <w:r w:rsidRPr="00842147">
        <w:rPr>
          <w:rFonts w:ascii="Arial" w:hAnsi="Arial" w:cs="Arial"/>
          <w:vertAlign w:val="superscript"/>
        </w:rPr>
        <w:t>+</w:t>
      </w:r>
      <w:r w:rsidRPr="00842147">
        <w:rPr>
          <w:rFonts w:ascii="Arial" w:hAnsi="Arial" w:cs="Arial"/>
        </w:rPr>
        <w:t xml:space="preserve"> en la solución </w:t>
      </w:r>
      <w:r>
        <w:rPr>
          <w:rFonts w:ascii="Arial" w:hAnsi="Arial" w:cs="Arial"/>
        </w:rPr>
        <w:t xml:space="preserve">e </w:t>
      </w:r>
      <w:r w:rsidRPr="00842147">
        <w:rPr>
          <w:rFonts w:ascii="Arial" w:hAnsi="Arial" w:cs="Arial"/>
        </w:rPr>
        <w:t>increment</w:t>
      </w:r>
      <w:r>
        <w:rPr>
          <w:rFonts w:ascii="Arial" w:hAnsi="Arial" w:cs="Arial"/>
        </w:rPr>
        <w:t>a</w:t>
      </w:r>
      <w:r w:rsidRPr="00842147">
        <w:rPr>
          <w:rFonts w:ascii="Arial" w:hAnsi="Arial" w:cs="Arial"/>
        </w:rPr>
        <w:t xml:space="preserve"> el porcentaje de remoción de</w:t>
      </w:r>
      <w:r>
        <w:rPr>
          <w:rFonts w:ascii="Arial" w:hAnsi="Arial" w:cs="Arial"/>
        </w:rPr>
        <w:t>l</w:t>
      </w:r>
      <w:r w:rsidRPr="00842147">
        <w:rPr>
          <w:rFonts w:ascii="Arial" w:hAnsi="Arial" w:cs="Arial"/>
        </w:rPr>
        <w:t xml:space="preserve"> aluminio en ambos adsorbentes. De acuerdo a Othman, Abdullah, y Abdul Aziz </w:t>
      </w:r>
      <w:r w:rsidRPr="00007A01">
        <w:rPr>
          <w:rFonts w:ascii="Arial" w:eastAsia="Calibri" w:hAnsi="Arial" w:cs="Arial"/>
          <w:vertAlign w:val="superscript"/>
          <w:lang w:val="es-NI"/>
        </w:rPr>
        <w:t>[</w:t>
      </w:r>
      <w:r>
        <w:rPr>
          <w:rFonts w:ascii="Arial" w:eastAsia="Calibri" w:hAnsi="Arial" w:cs="Arial"/>
          <w:vertAlign w:val="superscript"/>
          <w:lang w:val="es-NI"/>
        </w:rPr>
        <w:t>14</w:t>
      </w:r>
      <w:r w:rsidRPr="00007A01">
        <w:rPr>
          <w:rFonts w:ascii="Arial" w:eastAsia="Calibri" w:hAnsi="Arial" w:cs="Arial"/>
          <w:vertAlign w:val="superscript"/>
          <w:lang w:val="es-NI"/>
        </w:rPr>
        <w:t>]</w:t>
      </w:r>
      <w:r>
        <w:rPr>
          <w:rFonts w:ascii="Arial" w:hAnsi="Arial" w:cs="Arial"/>
        </w:rPr>
        <w:t>,</w:t>
      </w:r>
      <w:r w:rsidRPr="00842147">
        <w:rPr>
          <w:rFonts w:ascii="Arial" w:hAnsi="Arial" w:cs="Arial"/>
        </w:rPr>
        <w:t xml:space="preserve"> a pH entre </w:t>
      </w:r>
      <w:r>
        <w:rPr>
          <w:rFonts w:ascii="Arial" w:hAnsi="Arial" w:cs="Arial"/>
        </w:rPr>
        <w:t>5</w:t>
      </w:r>
      <w:r w:rsidRPr="00842147">
        <w:rPr>
          <w:rFonts w:ascii="Arial" w:hAnsi="Arial" w:cs="Arial"/>
        </w:rPr>
        <w:t xml:space="preserve"> y 7, las especies que predominan de aluminio disuelto son [Al(OH)2]</w:t>
      </w:r>
      <w:r w:rsidRPr="00842147">
        <w:rPr>
          <w:rFonts w:ascii="Arial" w:hAnsi="Arial" w:cs="Arial"/>
          <w:vertAlign w:val="superscript"/>
        </w:rPr>
        <w:t>+</w:t>
      </w:r>
      <w:r w:rsidRPr="00842147">
        <w:rPr>
          <w:rFonts w:ascii="Arial" w:hAnsi="Arial" w:cs="Arial"/>
        </w:rPr>
        <w:t xml:space="preserve"> y [Al (OH)4]</w:t>
      </w:r>
      <w:r w:rsidRPr="00842147">
        <w:rPr>
          <w:rFonts w:ascii="Arial" w:hAnsi="Arial" w:cs="Arial"/>
          <w:vertAlign w:val="superscript"/>
        </w:rPr>
        <w:t>-</w:t>
      </w:r>
      <w:r>
        <w:rPr>
          <w:rFonts w:ascii="Arial" w:hAnsi="Arial" w:cs="Arial"/>
        </w:rPr>
        <w:t>, las cuales</w:t>
      </w:r>
      <w:r w:rsidRPr="00842147">
        <w:rPr>
          <w:rFonts w:ascii="Arial" w:hAnsi="Arial" w:cs="Arial"/>
        </w:rPr>
        <w:t xml:space="preserve"> puedan interactuar con los sitios no protonados de ambos adsorbentes  ya sea por interacción electrostática o por la formación del complejo ion metálico–adsorbente, vía formación de enlaces de coordinación</w:t>
      </w:r>
      <w:r>
        <w:rPr>
          <w:rFonts w:ascii="Arial" w:hAnsi="Arial" w:cs="Arial"/>
        </w:rPr>
        <w:t xml:space="preserve"> </w:t>
      </w:r>
      <w:r w:rsidRPr="00007A01">
        <w:rPr>
          <w:rFonts w:ascii="Arial" w:eastAsia="Calibri" w:hAnsi="Arial" w:cs="Arial"/>
          <w:vertAlign w:val="superscript"/>
          <w:lang w:val="es-NI"/>
        </w:rPr>
        <w:t>[</w:t>
      </w:r>
      <w:r>
        <w:rPr>
          <w:rFonts w:ascii="Arial" w:eastAsia="Calibri" w:hAnsi="Arial" w:cs="Arial"/>
          <w:vertAlign w:val="superscript"/>
          <w:lang w:val="es-NI"/>
        </w:rPr>
        <w:t>13</w:t>
      </w:r>
      <w:r w:rsidRPr="00007A01">
        <w:rPr>
          <w:rFonts w:ascii="Arial" w:eastAsia="Calibri" w:hAnsi="Arial" w:cs="Arial"/>
          <w:vertAlign w:val="superscript"/>
          <w:lang w:val="es-NI"/>
        </w:rPr>
        <w:t>]</w:t>
      </w:r>
      <w:r w:rsidRPr="00842147">
        <w:rPr>
          <w:rFonts w:ascii="Arial" w:hAnsi="Arial" w:cs="Arial"/>
        </w:rPr>
        <w:t xml:space="preserve">. </w:t>
      </w:r>
    </w:p>
    <w:p w:rsidR="00917C1F" w:rsidRPr="00842147" w:rsidRDefault="00917C1F" w:rsidP="00917C1F">
      <w:pPr>
        <w:ind w:firstLine="708"/>
        <w:jc w:val="both"/>
        <w:rPr>
          <w:rFonts w:ascii="Arial" w:hAnsi="Arial" w:cs="Arial"/>
        </w:rPr>
      </w:pPr>
      <w:r>
        <w:rPr>
          <w:rFonts w:ascii="Arial" w:hAnsi="Arial" w:cs="Arial"/>
        </w:rPr>
        <w:t xml:space="preserve">De acuerdo a los gráficos </w:t>
      </w:r>
      <w:r w:rsidRPr="00842147">
        <w:rPr>
          <w:rFonts w:ascii="Arial" w:hAnsi="Arial" w:cs="Arial"/>
        </w:rPr>
        <w:t xml:space="preserve">de la Figura </w:t>
      </w:r>
      <w:r>
        <w:rPr>
          <w:rFonts w:ascii="Arial" w:hAnsi="Arial" w:cs="Arial"/>
        </w:rPr>
        <w:t>3,</w:t>
      </w:r>
      <w:r w:rsidRPr="00842147">
        <w:rPr>
          <w:rFonts w:ascii="Arial" w:hAnsi="Arial" w:cs="Arial"/>
        </w:rPr>
        <w:t xml:space="preserve"> los porcentajes más altos de remoción de aluminio (&gt; 9</w:t>
      </w:r>
      <w:r>
        <w:rPr>
          <w:rFonts w:ascii="Arial" w:hAnsi="Arial" w:cs="Arial"/>
        </w:rPr>
        <w:t>8</w:t>
      </w:r>
      <w:r w:rsidRPr="00842147">
        <w:rPr>
          <w:rFonts w:ascii="Arial" w:hAnsi="Arial" w:cs="Arial"/>
        </w:rPr>
        <w:t>%) se registran a partir de pH 5</w:t>
      </w:r>
      <w:r w:rsidRPr="00D74875">
        <w:rPr>
          <w:rFonts w:ascii="Arial" w:hAnsi="Arial" w:cs="Arial"/>
        </w:rPr>
        <w:t xml:space="preserve"> </w:t>
      </w:r>
      <w:r>
        <w:rPr>
          <w:rFonts w:ascii="Arial" w:hAnsi="Arial" w:cs="Arial"/>
        </w:rPr>
        <w:t>para</w:t>
      </w:r>
      <w:r w:rsidRPr="00842147">
        <w:rPr>
          <w:rFonts w:ascii="Arial" w:hAnsi="Arial" w:cs="Arial"/>
        </w:rPr>
        <w:t xml:space="preserve"> ambos adsorbentes</w:t>
      </w:r>
      <w:r>
        <w:rPr>
          <w:rFonts w:ascii="Arial" w:hAnsi="Arial" w:cs="Arial"/>
        </w:rPr>
        <w:t>;</w:t>
      </w:r>
      <w:r w:rsidRPr="00842147">
        <w:rPr>
          <w:rFonts w:ascii="Arial" w:hAnsi="Arial" w:cs="Arial"/>
        </w:rPr>
        <w:t xml:space="preserve"> </w:t>
      </w:r>
      <w:r>
        <w:rPr>
          <w:rFonts w:ascii="Arial" w:hAnsi="Arial" w:cs="Arial"/>
        </w:rPr>
        <w:t>siendo ligeramente mayor, a</w:t>
      </w:r>
      <w:r w:rsidRPr="00842147">
        <w:rPr>
          <w:rFonts w:ascii="Arial" w:hAnsi="Arial" w:cs="Arial"/>
        </w:rPr>
        <w:t xml:space="preserve"> pH 5</w:t>
      </w:r>
      <w:r>
        <w:rPr>
          <w:rFonts w:ascii="Arial" w:hAnsi="Arial" w:cs="Arial"/>
        </w:rPr>
        <w:t xml:space="preserve"> para </w:t>
      </w:r>
      <w:r w:rsidRPr="00842147">
        <w:rPr>
          <w:rFonts w:ascii="Arial" w:hAnsi="Arial" w:cs="Arial"/>
        </w:rPr>
        <w:t>el quitosano</w:t>
      </w:r>
      <w:r>
        <w:rPr>
          <w:rFonts w:ascii="Arial" w:hAnsi="Arial" w:cs="Arial"/>
        </w:rPr>
        <w:t xml:space="preserve"> con un</w:t>
      </w:r>
      <w:r w:rsidRPr="00842147">
        <w:rPr>
          <w:rFonts w:ascii="Arial" w:hAnsi="Arial" w:cs="Arial"/>
        </w:rPr>
        <w:t xml:space="preserve"> 99.64 %</w:t>
      </w:r>
      <w:r>
        <w:rPr>
          <w:rFonts w:ascii="Arial" w:hAnsi="Arial" w:cs="Arial"/>
        </w:rPr>
        <w:t xml:space="preserve">, y a </w:t>
      </w:r>
      <w:r w:rsidRPr="00842147">
        <w:rPr>
          <w:rFonts w:ascii="Arial" w:hAnsi="Arial" w:cs="Arial"/>
        </w:rPr>
        <w:t>pH 6</w:t>
      </w:r>
      <w:r w:rsidRPr="00D74875">
        <w:rPr>
          <w:rFonts w:ascii="Arial" w:hAnsi="Arial" w:cs="Arial"/>
        </w:rPr>
        <w:t xml:space="preserve"> </w:t>
      </w:r>
      <w:r>
        <w:rPr>
          <w:rFonts w:ascii="Arial" w:hAnsi="Arial" w:cs="Arial"/>
        </w:rPr>
        <w:t xml:space="preserve">para </w:t>
      </w:r>
      <w:r w:rsidRPr="00842147">
        <w:rPr>
          <w:rFonts w:ascii="Arial" w:hAnsi="Arial" w:cs="Arial"/>
        </w:rPr>
        <w:t>la cascarilla de arroz con un 99.86%</w:t>
      </w:r>
      <w:r>
        <w:rPr>
          <w:rFonts w:ascii="Arial" w:hAnsi="Arial" w:cs="Arial"/>
        </w:rPr>
        <w:t xml:space="preserve">. </w:t>
      </w:r>
    </w:p>
    <w:p w:rsidR="00917C1F" w:rsidRPr="00842147" w:rsidRDefault="00917C1F" w:rsidP="00917C1F">
      <w:pPr>
        <w:jc w:val="both"/>
        <w:rPr>
          <w:rFonts w:ascii="Arial" w:hAnsi="Arial" w:cs="Arial"/>
        </w:rPr>
      </w:pPr>
    </w:p>
    <w:p w:rsidR="00917C1F" w:rsidRPr="00DF2FE2" w:rsidRDefault="00917C1F" w:rsidP="00917C1F">
      <w:pPr>
        <w:pStyle w:val="Ttulo2"/>
        <w:keepLines w:val="0"/>
        <w:numPr>
          <w:ilvl w:val="1"/>
          <w:numId w:val="1"/>
        </w:numPr>
        <w:tabs>
          <w:tab w:val="clear" w:pos="576"/>
          <w:tab w:val="num" w:pos="0"/>
        </w:tabs>
        <w:suppressAutoHyphens/>
        <w:spacing w:before="0" w:line="360" w:lineRule="auto"/>
        <w:ind w:left="0" w:firstLine="0"/>
        <w:jc w:val="both"/>
        <w:rPr>
          <w:rFonts w:ascii="Arial" w:hAnsi="Arial" w:cs="Arial"/>
          <w:b/>
          <w:bCs/>
          <w:i/>
          <w:color w:val="000000"/>
          <w:sz w:val="24"/>
          <w:szCs w:val="24"/>
        </w:rPr>
      </w:pPr>
      <w:bookmarkStart w:id="461" w:name="_Toc50031484"/>
      <w:r w:rsidRPr="00DF2FE2">
        <w:rPr>
          <w:rFonts w:ascii="Arial" w:hAnsi="Arial" w:cs="Arial"/>
          <w:b/>
          <w:bCs/>
          <w:i/>
          <w:color w:val="000000"/>
          <w:sz w:val="24"/>
          <w:szCs w:val="24"/>
        </w:rPr>
        <w:t>4.3 Determinación de las isotermas de adsorción de Aluminio</w:t>
      </w:r>
      <w:bookmarkEnd w:id="461"/>
    </w:p>
    <w:p w:rsidR="00917C1F" w:rsidRPr="00842147" w:rsidRDefault="00917C1F" w:rsidP="00917C1F">
      <w:pPr>
        <w:ind w:firstLine="567"/>
        <w:jc w:val="both"/>
        <w:rPr>
          <w:rFonts w:ascii="Arial" w:hAnsi="Arial" w:cs="Arial"/>
        </w:rPr>
      </w:pPr>
      <w:r>
        <w:rPr>
          <w:rFonts w:ascii="Arial" w:hAnsi="Arial" w:cs="Arial"/>
        </w:rPr>
        <w:t>E</w:t>
      </w:r>
      <w:r w:rsidRPr="00842147">
        <w:rPr>
          <w:rFonts w:ascii="Arial" w:hAnsi="Arial" w:cs="Arial"/>
        </w:rPr>
        <w:t xml:space="preserve">n la Figura </w:t>
      </w:r>
      <w:r>
        <w:rPr>
          <w:rFonts w:ascii="Arial" w:hAnsi="Arial" w:cs="Arial"/>
        </w:rPr>
        <w:t xml:space="preserve">4 </w:t>
      </w:r>
      <w:r w:rsidRPr="00842147">
        <w:rPr>
          <w:rFonts w:ascii="Arial" w:hAnsi="Arial" w:cs="Arial"/>
        </w:rPr>
        <w:t xml:space="preserve">se </w:t>
      </w:r>
      <w:r>
        <w:rPr>
          <w:rFonts w:ascii="Arial" w:hAnsi="Arial" w:cs="Arial"/>
        </w:rPr>
        <w:t>present</w:t>
      </w:r>
      <w:r w:rsidRPr="00842147">
        <w:rPr>
          <w:rFonts w:ascii="Arial" w:hAnsi="Arial" w:cs="Arial"/>
        </w:rPr>
        <w:t xml:space="preserve">an los datos experimentales </w:t>
      </w:r>
      <w:r>
        <w:rPr>
          <w:rFonts w:ascii="Arial" w:hAnsi="Arial" w:cs="Arial"/>
        </w:rPr>
        <w:t>del equilibrio de adsorción</w:t>
      </w:r>
      <w:r w:rsidRPr="00842147">
        <w:rPr>
          <w:rFonts w:ascii="Arial" w:hAnsi="Arial" w:cs="Arial"/>
        </w:rPr>
        <w:t xml:space="preserve"> de aluminio en quitosano y cascarilla de arroz ajustados a los modelos </w:t>
      </w:r>
      <w:r>
        <w:rPr>
          <w:rFonts w:ascii="Arial" w:hAnsi="Arial" w:cs="Arial"/>
        </w:rPr>
        <w:t xml:space="preserve">linealizados </w:t>
      </w:r>
      <w:r w:rsidRPr="00842147">
        <w:rPr>
          <w:rFonts w:ascii="Arial" w:hAnsi="Arial" w:cs="Arial"/>
        </w:rPr>
        <w:t xml:space="preserve">de Freundlich y Langmuir. </w:t>
      </w:r>
      <w:r>
        <w:rPr>
          <w:rFonts w:ascii="Arial" w:hAnsi="Arial" w:cs="Arial"/>
        </w:rPr>
        <w:t>Estos</w:t>
      </w:r>
      <w:r w:rsidRPr="00842147">
        <w:rPr>
          <w:rFonts w:ascii="Arial" w:hAnsi="Arial" w:cs="Arial"/>
        </w:rPr>
        <w:t xml:space="preserve"> resultados </w:t>
      </w:r>
      <w:r>
        <w:rPr>
          <w:rFonts w:ascii="Arial" w:hAnsi="Arial" w:cs="Arial"/>
        </w:rPr>
        <w:t>muestr</w:t>
      </w:r>
      <w:r w:rsidRPr="00842147">
        <w:rPr>
          <w:rFonts w:ascii="Arial" w:hAnsi="Arial" w:cs="Arial"/>
        </w:rPr>
        <w:t xml:space="preserve">an </w:t>
      </w:r>
      <w:r>
        <w:rPr>
          <w:rFonts w:ascii="Arial" w:hAnsi="Arial" w:cs="Arial"/>
        </w:rPr>
        <w:t>un buen ajuste de</w:t>
      </w:r>
      <w:r w:rsidRPr="00842147">
        <w:rPr>
          <w:rFonts w:ascii="Arial" w:hAnsi="Arial" w:cs="Arial"/>
        </w:rPr>
        <w:t xml:space="preserve"> los datos a la isoterma de Freundlich, con un coeficiente de correlación R</w:t>
      </w:r>
      <w:r w:rsidRPr="00842147">
        <w:rPr>
          <w:rFonts w:ascii="Arial" w:hAnsi="Arial" w:cs="Arial"/>
          <w:vertAlign w:val="superscript"/>
        </w:rPr>
        <w:t>2</w:t>
      </w:r>
      <w:r w:rsidRPr="00842147">
        <w:rPr>
          <w:rFonts w:ascii="Arial" w:hAnsi="Arial" w:cs="Arial"/>
        </w:rPr>
        <w:t xml:space="preserve"> </w:t>
      </w:r>
      <w:r>
        <w:rPr>
          <w:rFonts w:ascii="Arial" w:hAnsi="Arial" w:cs="Arial"/>
        </w:rPr>
        <w:t>mayor que 0.97</w:t>
      </w:r>
      <w:r w:rsidRPr="00842147">
        <w:rPr>
          <w:rFonts w:ascii="Arial" w:hAnsi="Arial" w:cs="Arial"/>
        </w:rPr>
        <w:t xml:space="preserve">. </w:t>
      </w:r>
    </w:p>
    <w:p w:rsidR="00917C1F" w:rsidRDefault="00917C1F" w:rsidP="00917C1F">
      <w:pPr>
        <w:ind w:firstLine="567"/>
        <w:jc w:val="both"/>
        <w:rPr>
          <w:rFonts w:ascii="Arial" w:hAnsi="Arial" w:cs="Arial"/>
        </w:rPr>
      </w:pPr>
      <w:r w:rsidRPr="00842147">
        <w:rPr>
          <w:rFonts w:ascii="Arial" w:hAnsi="Arial" w:cs="Arial"/>
        </w:rPr>
        <w:t>Estos resultados indican que el modelo de Freundlich es el que</w:t>
      </w:r>
      <w:r>
        <w:rPr>
          <w:rFonts w:ascii="Arial" w:hAnsi="Arial" w:cs="Arial"/>
        </w:rPr>
        <w:t xml:space="preserve"> mejor</w:t>
      </w:r>
      <w:r w:rsidRPr="00842147">
        <w:rPr>
          <w:rFonts w:ascii="Arial" w:hAnsi="Arial" w:cs="Arial"/>
        </w:rPr>
        <w:t xml:space="preserve"> describe la adsorción de aluminio en ambos adsorbentes</w:t>
      </w:r>
      <w:r>
        <w:rPr>
          <w:rFonts w:ascii="Arial" w:hAnsi="Arial" w:cs="Arial"/>
        </w:rPr>
        <w:t xml:space="preserve">. </w:t>
      </w:r>
      <w:r w:rsidRPr="00842147">
        <w:rPr>
          <w:rFonts w:ascii="Arial" w:hAnsi="Arial" w:cs="Arial"/>
        </w:rPr>
        <w:t xml:space="preserve">Resultados similares fueron obtenidos por Badawi, Negm, Abou kana y Hefni </w:t>
      </w:r>
      <w:r w:rsidRPr="00007A01">
        <w:rPr>
          <w:rFonts w:ascii="Arial" w:eastAsia="Calibri" w:hAnsi="Arial" w:cs="Arial"/>
          <w:vertAlign w:val="superscript"/>
          <w:lang w:val="es-NI"/>
        </w:rPr>
        <w:t>[</w:t>
      </w:r>
      <w:r>
        <w:rPr>
          <w:rFonts w:ascii="Arial" w:eastAsia="Calibri" w:hAnsi="Arial" w:cs="Arial"/>
          <w:vertAlign w:val="superscript"/>
          <w:lang w:val="es-NI"/>
        </w:rPr>
        <w:t>13</w:t>
      </w:r>
      <w:r w:rsidRPr="00007A01">
        <w:rPr>
          <w:rFonts w:ascii="Arial" w:eastAsia="Calibri" w:hAnsi="Arial" w:cs="Arial"/>
          <w:vertAlign w:val="superscript"/>
          <w:lang w:val="es-NI"/>
        </w:rPr>
        <w:t>]</w:t>
      </w:r>
      <w:r w:rsidRPr="00842147">
        <w:rPr>
          <w:rFonts w:ascii="Arial" w:hAnsi="Arial" w:cs="Arial"/>
        </w:rPr>
        <w:t xml:space="preserve">, cuyos datos experimentales de la adsorción de </w:t>
      </w:r>
      <w:r>
        <w:rPr>
          <w:rFonts w:ascii="Arial" w:hAnsi="Arial" w:cs="Arial"/>
        </w:rPr>
        <w:t>a</w:t>
      </w:r>
      <w:r w:rsidRPr="00842147">
        <w:rPr>
          <w:rFonts w:ascii="Arial" w:hAnsi="Arial" w:cs="Arial"/>
        </w:rPr>
        <w:t xml:space="preserve">luminio en quitosano-acido tánico </w:t>
      </w:r>
      <w:r>
        <w:rPr>
          <w:rFonts w:ascii="Arial" w:hAnsi="Arial" w:cs="Arial"/>
        </w:rPr>
        <w:t>tuvie</w:t>
      </w:r>
      <w:r w:rsidRPr="00842147">
        <w:rPr>
          <w:rFonts w:ascii="Arial" w:hAnsi="Arial" w:cs="Arial"/>
        </w:rPr>
        <w:t xml:space="preserve">ron </w:t>
      </w:r>
      <w:r>
        <w:rPr>
          <w:rFonts w:ascii="Arial" w:hAnsi="Arial" w:cs="Arial"/>
        </w:rPr>
        <w:t xml:space="preserve">un </w:t>
      </w:r>
      <w:r w:rsidRPr="00842147">
        <w:rPr>
          <w:rFonts w:ascii="Arial" w:hAnsi="Arial" w:cs="Arial"/>
        </w:rPr>
        <w:t>mejor ajust</w:t>
      </w:r>
      <w:r>
        <w:rPr>
          <w:rFonts w:ascii="Arial" w:hAnsi="Arial" w:cs="Arial"/>
        </w:rPr>
        <w:t>e</w:t>
      </w:r>
      <w:r w:rsidRPr="00842147">
        <w:rPr>
          <w:rFonts w:ascii="Arial" w:hAnsi="Arial" w:cs="Arial"/>
        </w:rPr>
        <w:t xml:space="preserve"> a la isoterma de Freundlich con un R</w:t>
      </w:r>
      <w:r w:rsidRPr="00842147">
        <w:rPr>
          <w:rFonts w:ascii="Arial" w:hAnsi="Arial" w:cs="Arial"/>
          <w:vertAlign w:val="superscript"/>
        </w:rPr>
        <w:t>2</w:t>
      </w:r>
      <w:r w:rsidRPr="00842147">
        <w:rPr>
          <w:rFonts w:ascii="Arial" w:hAnsi="Arial" w:cs="Arial"/>
        </w:rPr>
        <w:t xml:space="preserve"> de 0.99.</w:t>
      </w:r>
      <w:r w:rsidRPr="00D01BD5">
        <w:rPr>
          <w:rFonts w:ascii="Arial" w:hAnsi="Arial" w:cs="Arial"/>
        </w:rPr>
        <w:t xml:space="preserve"> </w:t>
      </w:r>
      <w:r>
        <w:rPr>
          <w:rFonts w:ascii="Arial" w:hAnsi="Arial" w:cs="Arial"/>
        </w:rPr>
        <w:t xml:space="preserve">De acuerdo a van Loon y Duffy </w:t>
      </w:r>
      <w:r w:rsidRPr="00007A01">
        <w:rPr>
          <w:rFonts w:ascii="Arial" w:eastAsia="Calibri" w:hAnsi="Arial" w:cs="Arial"/>
          <w:vertAlign w:val="superscript"/>
          <w:lang w:val="es-NI"/>
        </w:rPr>
        <w:t>[</w:t>
      </w:r>
      <w:r>
        <w:rPr>
          <w:rFonts w:ascii="Arial" w:eastAsia="Calibri" w:hAnsi="Arial" w:cs="Arial"/>
          <w:vertAlign w:val="superscript"/>
          <w:lang w:val="es-NI"/>
        </w:rPr>
        <w:t>15</w:t>
      </w:r>
      <w:r w:rsidRPr="00007A01">
        <w:rPr>
          <w:rFonts w:ascii="Arial" w:eastAsia="Calibri" w:hAnsi="Arial" w:cs="Arial"/>
          <w:vertAlign w:val="superscript"/>
          <w:lang w:val="es-NI"/>
        </w:rPr>
        <w:t>]</w:t>
      </w:r>
      <w:r>
        <w:rPr>
          <w:rFonts w:ascii="Arial" w:hAnsi="Arial" w:cs="Arial"/>
        </w:rPr>
        <w:t xml:space="preserve">, la ecuación </w:t>
      </w:r>
      <w:r w:rsidRPr="00842147">
        <w:rPr>
          <w:rFonts w:ascii="Arial" w:hAnsi="Arial" w:cs="Arial"/>
        </w:rPr>
        <w:t>de Freundlich</w:t>
      </w:r>
      <w:r>
        <w:rPr>
          <w:rFonts w:ascii="Arial" w:hAnsi="Arial" w:cs="Arial"/>
        </w:rPr>
        <w:t xml:space="preserve"> considera </w:t>
      </w:r>
      <w:r w:rsidRPr="00842147">
        <w:rPr>
          <w:rFonts w:ascii="Arial" w:hAnsi="Arial" w:cs="Arial"/>
        </w:rPr>
        <w:t>que</w:t>
      </w:r>
      <w:r>
        <w:rPr>
          <w:rFonts w:ascii="Arial" w:hAnsi="Arial" w:cs="Arial"/>
        </w:rPr>
        <w:t xml:space="preserve"> no todos</w:t>
      </w:r>
      <w:r w:rsidRPr="00842147">
        <w:rPr>
          <w:rFonts w:ascii="Arial" w:hAnsi="Arial" w:cs="Arial"/>
        </w:rPr>
        <w:t xml:space="preserve"> los sitios </w:t>
      </w:r>
      <w:r>
        <w:rPr>
          <w:rFonts w:ascii="Arial" w:hAnsi="Arial" w:cs="Arial"/>
        </w:rPr>
        <w:t>de adsorción son iguales</w:t>
      </w:r>
      <w:r w:rsidRPr="00842147">
        <w:rPr>
          <w:rFonts w:ascii="Arial" w:hAnsi="Arial" w:cs="Arial"/>
        </w:rPr>
        <w:t xml:space="preserve"> </w:t>
      </w:r>
      <w:r>
        <w:rPr>
          <w:rFonts w:ascii="Arial" w:hAnsi="Arial" w:cs="Arial"/>
        </w:rPr>
        <w:t>y predice</w:t>
      </w:r>
      <w:r w:rsidRPr="00842147">
        <w:rPr>
          <w:rFonts w:ascii="Arial" w:hAnsi="Arial" w:cs="Arial"/>
        </w:rPr>
        <w:t xml:space="preserve"> una adsorción multicapa.</w:t>
      </w:r>
    </w:p>
    <w:p w:rsidR="00917C1F" w:rsidRPr="00842147" w:rsidRDefault="00917C1F" w:rsidP="00917C1F">
      <w:pPr>
        <w:ind w:firstLine="567"/>
        <w:jc w:val="both"/>
        <w:rPr>
          <w:rFonts w:ascii="Arial" w:hAnsi="Arial" w:cs="Arial"/>
        </w:rPr>
      </w:pPr>
      <w:r>
        <w:rPr>
          <w:rFonts w:ascii="Arial" w:hAnsi="Arial" w:cs="Arial"/>
        </w:rPr>
        <w:t>Por otro</w:t>
      </w:r>
      <w:r w:rsidRPr="00842147">
        <w:rPr>
          <w:rFonts w:ascii="Arial" w:hAnsi="Arial" w:cs="Arial"/>
        </w:rPr>
        <w:t>, el R</w:t>
      </w:r>
      <w:r w:rsidRPr="00842147">
        <w:rPr>
          <w:rFonts w:ascii="Arial" w:hAnsi="Arial" w:cs="Arial"/>
          <w:vertAlign w:val="superscript"/>
        </w:rPr>
        <w:t>2</w:t>
      </w:r>
      <w:r w:rsidRPr="00842147">
        <w:rPr>
          <w:rFonts w:ascii="Arial" w:hAnsi="Arial" w:cs="Arial"/>
        </w:rPr>
        <w:t xml:space="preserve"> para el ajuste de los datos experimentales al modelo de Langmuir fue </w:t>
      </w:r>
      <w:r>
        <w:rPr>
          <w:rFonts w:ascii="Arial" w:hAnsi="Arial" w:cs="Arial"/>
        </w:rPr>
        <w:t xml:space="preserve">más </w:t>
      </w:r>
      <w:r w:rsidRPr="00842147">
        <w:rPr>
          <w:rFonts w:ascii="Arial" w:hAnsi="Arial" w:cs="Arial"/>
        </w:rPr>
        <w:t>bajo</w:t>
      </w:r>
      <w:r>
        <w:rPr>
          <w:rFonts w:ascii="Arial" w:hAnsi="Arial" w:cs="Arial"/>
        </w:rPr>
        <w:t>, lo cual demuestra que si hay interacción entre las moléculas adsorbidas</w:t>
      </w:r>
      <w:r w:rsidRPr="00842147">
        <w:rPr>
          <w:rFonts w:ascii="Arial" w:hAnsi="Arial" w:cs="Arial"/>
        </w:rPr>
        <w:t>.</w:t>
      </w:r>
      <w:r>
        <w:rPr>
          <w:rFonts w:ascii="Arial" w:hAnsi="Arial" w:cs="Arial"/>
        </w:rPr>
        <w:t xml:space="preserve"> Para determinar los parámetros de la isoterma de Langmuir (Tabla 1), los datos experimentales del equilibrio de adsorción</w:t>
      </w:r>
      <w:r w:rsidRPr="00842147">
        <w:rPr>
          <w:rFonts w:ascii="Arial" w:hAnsi="Arial" w:cs="Arial"/>
        </w:rPr>
        <w:t xml:space="preserve"> de </w:t>
      </w:r>
      <w:r>
        <w:rPr>
          <w:rFonts w:ascii="Arial" w:hAnsi="Arial" w:cs="Arial"/>
        </w:rPr>
        <w:t>Al(III)</w:t>
      </w:r>
      <w:r w:rsidRPr="00842147">
        <w:rPr>
          <w:rFonts w:ascii="Arial" w:hAnsi="Arial" w:cs="Arial"/>
        </w:rPr>
        <w:t xml:space="preserve"> en quitosano y cascarilla de arroz </w:t>
      </w:r>
      <w:r>
        <w:rPr>
          <w:rFonts w:ascii="Arial" w:hAnsi="Arial" w:cs="Arial"/>
        </w:rPr>
        <w:t xml:space="preserve">fueron </w:t>
      </w:r>
      <w:r w:rsidRPr="00842147">
        <w:rPr>
          <w:rFonts w:ascii="Arial" w:hAnsi="Arial" w:cs="Arial"/>
        </w:rPr>
        <w:t xml:space="preserve">ajustados al modelo </w:t>
      </w:r>
      <w:r>
        <w:rPr>
          <w:rFonts w:ascii="Arial" w:hAnsi="Arial" w:cs="Arial"/>
        </w:rPr>
        <w:t>no lineal, utilizando el programa MATLAB. En la Figura 5</w:t>
      </w:r>
      <w:r w:rsidRPr="00C05D54">
        <w:rPr>
          <w:rFonts w:ascii="Arial" w:hAnsi="Arial" w:cs="Arial"/>
        </w:rPr>
        <w:t xml:space="preserve"> </w:t>
      </w:r>
      <w:r>
        <w:rPr>
          <w:rFonts w:ascii="Arial" w:hAnsi="Arial" w:cs="Arial"/>
        </w:rPr>
        <w:t>se presenta gráficamente el ajuste de los datos.</w:t>
      </w:r>
    </w:p>
    <w:tbl>
      <w:tblPr>
        <w:tblW w:w="9620"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10"/>
        <w:gridCol w:w="4810"/>
      </w:tblGrid>
      <w:tr w:rsidR="00917C1F" w:rsidRPr="00477D23" w:rsidTr="000533C7">
        <w:tc>
          <w:tcPr>
            <w:tcW w:w="4810" w:type="dxa"/>
            <w:tcBorders>
              <w:top w:val="nil"/>
              <w:left w:val="nil"/>
              <w:bottom w:val="nil"/>
              <w:right w:val="nil"/>
            </w:tcBorders>
            <w:shd w:val="clear" w:color="auto" w:fill="auto"/>
          </w:tcPr>
          <w:p w:rsidR="00917C1F" w:rsidRPr="00477D23" w:rsidRDefault="00917C1F" w:rsidP="000533C7">
            <w:pPr>
              <w:spacing w:line="360" w:lineRule="auto"/>
              <w:jc w:val="center"/>
              <w:rPr>
                <w:rFonts w:ascii="Arial" w:hAnsi="Arial" w:cs="Arial"/>
              </w:rPr>
            </w:pPr>
            <w:r>
              <w:rPr>
                <w:rFonts w:ascii="Arial" w:hAnsi="Arial" w:cs="Arial"/>
                <w:noProof/>
                <w:lang w:val="en-US"/>
              </w:rPr>
              <w:drawing>
                <wp:inline distT="0" distB="0" distL="0" distR="0" wp14:anchorId="2E1AD243" wp14:editId="5601270F">
                  <wp:extent cx="2533650" cy="1979930"/>
                  <wp:effectExtent l="0" t="0" r="0" b="127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1335">
                            <a:extLst>
                              <a:ext uri="{28A0092B-C50C-407E-A947-70E740481C1C}">
                                <a14:useLocalDpi xmlns:a14="http://schemas.microsoft.com/office/drawing/2010/main" val="0"/>
                              </a:ext>
                            </a:extLst>
                          </a:blip>
                          <a:srcRect/>
                          <a:stretch>
                            <a:fillRect/>
                          </a:stretch>
                        </pic:blipFill>
                        <pic:spPr bwMode="auto">
                          <a:xfrm>
                            <a:off x="0" y="0"/>
                            <a:ext cx="2533650" cy="1979930"/>
                          </a:xfrm>
                          <a:prstGeom prst="rect">
                            <a:avLst/>
                          </a:prstGeom>
                          <a:noFill/>
                        </pic:spPr>
                      </pic:pic>
                    </a:graphicData>
                  </a:graphic>
                </wp:inline>
              </w:drawing>
            </w:r>
          </w:p>
        </w:tc>
        <w:tc>
          <w:tcPr>
            <w:tcW w:w="4810" w:type="dxa"/>
            <w:tcBorders>
              <w:top w:val="nil"/>
              <w:left w:val="nil"/>
              <w:bottom w:val="nil"/>
              <w:right w:val="nil"/>
            </w:tcBorders>
            <w:shd w:val="clear" w:color="auto" w:fill="auto"/>
          </w:tcPr>
          <w:p w:rsidR="00917C1F" w:rsidRPr="00477D23" w:rsidRDefault="00917C1F" w:rsidP="000533C7">
            <w:pPr>
              <w:spacing w:line="360" w:lineRule="auto"/>
              <w:jc w:val="center"/>
              <w:rPr>
                <w:rFonts w:ascii="Arial" w:hAnsi="Arial" w:cs="Arial"/>
              </w:rPr>
            </w:pPr>
            <w:r>
              <w:rPr>
                <w:rFonts w:ascii="Arial" w:hAnsi="Arial" w:cs="Arial"/>
                <w:noProof/>
                <w:lang w:val="en-US"/>
              </w:rPr>
              <w:drawing>
                <wp:inline distT="0" distB="0" distL="0" distR="0" wp14:anchorId="054458AC" wp14:editId="2A0A7961">
                  <wp:extent cx="2533650" cy="1979930"/>
                  <wp:effectExtent l="0" t="0" r="0" b="127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1336">
                            <a:extLst>
                              <a:ext uri="{28A0092B-C50C-407E-A947-70E740481C1C}">
                                <a14:useLocalDpi xmlns:a14="http://schemas.microsoft.com/office/drawing/2010/main" val="0"/>
                              </a:ext>
                            </a:extLst>
                          </a:blip>
                          <a:srcRect/>
                          <a:stretch>
                            <a:fillRect/>
                          </a:stretch>
                        </pic:blipFill>
                        <pic:spPr bwMode="auto">
                          <a:xfrm>
                            <a:off x="0" y="0"/>
                            <a:ext cx="2533650" cy="1979930"/>
                          </a:xfrm>
                          <a:prstGeom prst="rect">
                            <a:avLst/>
                          </a:prstGeom>
                          <a:noFill/>
                        </pic:spPr>
                      </pic:pic>
                    </a:graphicData>
                  </a:graphic>
                </wp:inline>
              </w:drawing>
            </w:r>
          </w:p>
        </w:tc>
      </w:tr>
      <w:tr w:rsidR="00917C1F" w:rsidRPr="003B4C0E" w:rsidTr="000533C7">
        <w:tblPrEx>
          <w:tblCellMar>
            <w:left w:w="108" w:type="dxa"/>
            <w:right w:w="108" w:type="dxa"/>
          </w:tblCellMar>
        </w:tblPrEx>
        <w:tc>
          <w:tcPr>
            <w:tcW w:w="4810" w:type="dxa"/>
            <w:tcBorders>
              <w:top w:val="nil"/>
              <w:left w:val="nil"/>
              <w:bottom w:val="nil"/>
              <w:right w:val="nil"/>
            </w:tcBorders>
            <w:shd w:val="clear" w:color="auto" w:fill="auto"/>
          </w:tcPr>
          <w:p w:rsidR="00917C1F" w:rsidRPr="003B4C0E" w:rsidRDefault="00917C1F" w:rsidP="001D2A3D">
            <w:pPr>
              <w:pStyle w:val="Prrafodelista"/>
              <w:numPr>
                <w:ilvl w:val="0"/>
                <w:numId w:val="73"/>
              </w:numPr>
              <w:spacing w:after="0" w:line="240" w:lineRule="auto"/>
              <w:ind w:left="142" w:hanging="76"/>
              <w:jc w:val="center"/>
              <w:rPr>
                <w:rFonts w:ascii="Arial" w:hAnsi="Arial" w:cs="Arial"/>
                <w:sz w:val="20"/>
                <w:szCs w:val="20"/>
              </w:rPr>
            </w:pPr>
            <w:r w:rsidRPr="003B4C0E">
              <w:rPr>
                <w:rFonts w:ascii="Arial" w:hAnsi="Arial" w:cs="Arial"/>
                <w:sz w:val="20"/>
                <w:szCs w:val="20"/>
              </w:rPr>
              <w:t>Isoterma de Freundlich de Al(III) en quitosano.</w:t>
            </w:r>
          </w:p>
        </w:tc>
        <w:tc>
          <w:tcPr>
            <w:tcW w:w="4810" w:type="dxa"/>
            <w:tcBorders>
              <w:top w:val="nil"/>
              <w:left w:val="nil"/>
              <w:bottom w:val="nil"/>
              <w:right w:val="nil"/>
            </w:tcBorders>
            <w:shd w:val="clear" w:color="auto" w:fill="auto"/>
          </w:tcPr>
          <w:p w:rsidR="00917C1F" w:rsidRPr="003B4C0E" w:rsidRDefault="00917C1F" w:rsidP="000533C7">
            <w:pPr>
              <w:jc w:val="center"/>
              <w:rPr>
                <w:rFonts w:ascii="Arial" w:hAnsi="Arial" w:cs="Arial"/>
                <w:sz w:val="20"/>
                <w:szCs w:val="20"/>
              </w:rPr>
            </w:pPr>
            <w:r w:rsidRPr="003B4C0E">
              <w:rPr>
                <w:rFonts w:ascii="Arial" w:hAnsi="Arial" w:cs="Arial"/>
                <w:sz w:val="20"/>
                <w:szCs w:val="20"/>
              </w:rPr>
              <w:t>(b) Isoterma de Langmuir de Al(III) en quitosano.</w:t>
            </w:r>
          </w:p>
        </w:tc>
      </w:tr>
      <w:tr w:rsidR="00917C1F" w:rsidRPr="00477D23" w:rsidTr="000533C7">
        <w:tc>
          <w:tcPr>
            <w:tcW w:w="4810" w:type="dxa"/>
            <w:tcBorders>
              <w:top w:val="nil"/>
              <w:left w:val="nil"/>
              <w:bottom w:val="nil"/>
              <w:right w:val="nil"/>
            </w:tcBorders>
            <w:shd w:val="clear" w:color="auto" w:fill="auto"/>
          </w:tcPr>
          <w:p w:rsidR="00917C1F" w:rsidRPr="00477D23" w:rsidRDefault="00917C1F" w:rsidP="000533C7">
            <w:pPr>
              <w:spacing w:line="360" w:lineRule="auto"/>
              <w:jc w:val="center"/>
              <w:rPr>
                <w:rFonts w:ascii="Arial" w:hAnsi="Arial" w:cs="Arial"/>
              </w:rPr>
            </w:pPr>
            <w:r>
              <w:rPr>
                <w:rFonts w:ascii="Arial" w:hAnsi="Arial" w:cs="Arial"/>
                <w:noProof/>
                <w:lang w:val="en-US"/>
              </w:rPr>
              <w:drawing>
                <wp:inline distT="0" distB="0" distL="0" distR="0" wp14:anchorId="6EDF4F3C" wp14:editId="07EF9834">
                  <wp:extent cx="2534285" cy="1979930"/>
                  <wp:effectExtent l="0" t="0" r="0" b="1270"/>
                  <wp:docPr id="154" name="Imagen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2534285" cy="1979930"/>
                          </a:xfrm>
                          <a:prstGeom prst="rect">
                            <a:avLst/>
                          </a:prstGeom>
                          <a:noFill/>
                        </pic:spPr>
                      </pic:pic>
                    </a:graphicData>
                  </a:graphic>
                </wp:inline>
              </w:drawing>
            </w:r>
          </w:p>
        </w:tc>
        <w:tc>
          <w:tcPr>
            <w:tcW w:w="4810" w:type="dxa"/>
            <w:tcBorders>
              <w:top w:val="nil"/>
              <w:left w:val="nil"/>
              <w:bottom w:val="nil"/>
              <w:right w:val="nil"/>
            </w:tcBorders>
            <w:shd w:val="clear" w:color="auto" w:fill="auto"/>
          </w:tcPr>
          <w:p w:rsidR="00917C1F" w:rsidRPr="00477D23" w:rsidRDefault="00917C1F" w:rsidP="000533C7">
            <w:pPr>
              <w:spacing w:line="360" w:lineRule="auto"/>
              <w:jc w:val="center"/>
              <w:rPr>
                <w:rFonts w:ascii="Arial" w:hAnsi="Arial" w:cs="Arial"/>
              </w:rPr>
            </w:pPr>
            <w:r>
              <w:rPr>
                <w:rFonts w:ascii="Arial" w:hAnsi="Arial" w:cs="Arial"/>
                <w:noProof/>
                <w:lang w:val="en-US"/>
              </w:rPr>
              <w:drawing>
                <wp:inline distT="0" distB="0" distL="0" distR="0" wp14:anchorId="0DAEA97B" wp14:editId="00A89C12">
                  <wp:extent cx="2534285" cy="1979930"/>
                  <wp:effectExtent l="0" t="0" r="0" b="1270"/>
                  <wp:docPr id="153" name="Imagen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rrowheads="1"/>
                          </pic:cNvPicPr>
                        </pic:nvPicPr>
                        <pic:blipFill>
                          <a:blip r:embed="rId1338">
                            <a:extLst>
                              <a:ext uri="{28A0092B-C50C-407E-A947-70E740481C1C}">
                                <a14:useLocalDpi xmlns:a14="http://schemas.microsoft.com/office/drawing/2010/main" val="0"/>
                              </a:ext>
                            </a:extLst>
                          </a:blip>
                          <a:srcRect/>
                          <a:stretch>
                            <a:fillRect/>
                          </a:stretch>
                        </pic:blipFill>
                        <pic:spPr bwMode="auto">
                          <a:xfrm>
                            <a:off x="0" y="0"/>
                            <a:ext cx="2534285" cy="1979930"/>
                          </a:xfrm>
                          <a:prstGeom prst="rect">
                            <a:avLst/>
                          </a:prstGeom>
                          <a:noFill/>
                        </pic:spPr>
                      </pic:pic>
                    </a:graphicData>
                  </a:graphic>
                </wp:inline>
              </w:drawing>
            </w:r>
          </w:p>
        </w:tc>
      </w:tr>
      <w:tr w:rsidR="00917C1F" w:rsidRPr="003B4C0E" w:rsidTr="000533C7">
        <w:tblPrEx>
          <w:tblCellMar>
            <w:left w:w="108" w:type="dxa"/>
            <w:right w:w="108" w:type="dxa"/>
          </w:tblCellMar>
        </w:tblPrEx>
        <w:tc>
          <w:tcPr>
            <w:tcW w:w="4810" w:type="dxa"/>
            <w:tcBorders>
              <w:top w:val="nil"/>
              <w:left w:val="nil"/>
              <w:bottom w:val="nil"/>
              <w:right w:val="nil"/>
            </w:tcBorders>
            <w:shd w:val="clear" w:color="auto" w:fill="auto"/>
          </w:tcPr>
          <w:p w:rsidR="00917C1F" w:rsidRPr="003B4C0E" w:rsidRDefault="00917C1F" w:rsidP="001D2A3D">
            <w:pPr>
              <w:pStyle w:val="Prrafodelista"/>
              <w:numPr>
                <w:ilvl w:val="0"/>
                <w:numId w:val="74"/>
              </w:numPr>
              <w:spacing w:after="0" w:line="240" w:lineRule="auto"/>
              <w:ind w:left="142" w:hanging="76"/>
              <w:jc w:val="center"/>
              <w:rPr>
                <w:rFonts w:ascii="Arial" w:hAnsi="Arial" w:cs="Arial"/>
                <w:sz w:val="20"/>
                <w:szCs w:val="20"/>
              </w:rPr>
            </w:pPr>
            <w:r w:rsidRPr="003B4C0E">
              <w:rPr>
                <w:rFonts w:ascii="Arial" w:hAnsi="Arial" w:cs="Arial"/>
                <w:sz w:val="20"/>
                <w:szCs w:val="20"/>
              </w:rPr>
              <w:t>Isoterma de Freundlich de Al(III) en cascarilla de arroz.</w:t>
            </w:r>
          </w:p>
        </w:tc>
        <w:tc>
          <w:tcPr>
            <w:tcW w:w="4810" w:type="dxa"/>
            <w:tcBorders>
              <w:top w:val="nil"/>
              <w:left w:val="nil"/>
              <w:bottom w:val="nil"/>
              <w:right w:val="nil"/>
            </w:tcBorders>
            <w:shd w:val="clear" w:color="auto" w:fill="auto"/>
          </w:tcPr>
          <w:p w:rsidR="00917C1F" w:rsidRPr="003B4C0E" w:rsidRDefault="00917C1F" w:rsidP="001D2A3D">
            <w:pPr>
              <w:numPr>
                <w:ilvl w:val="0"/>
                <w:numId w:val="74"/>
              </w:numPr>
              <w:suppressAutoHyphens/>
              <w:spacing w:after="0" w:line="240" w:lineRule="auto"/>
              <w:jc w:val="center"/>
              <w:rPr>
                <w:rFonts w:ascii="Arial" w:hAnsi="Arial" w:cs="Arial"/>
                <w:sz w:val="20"/>
                <w:szCs w:val="20"/>
              </w:rPr>
            </w:pPr>
            <w:r w:rsidRPr="003B4C0E">
              <w:rPr>
                <w:rFonts w:ascii="Arial" w:hAnsi="Arial" w:cs="Arial"/>
                <w:sz w:val="20"/>
                <w:szCs w:val="20"/>
              </w:rPr>
              <w:t>Isoterma de Langmuir de Al(III) en cascarilla de arroz.</w:t>
            </w:r>
          </w:p>
        </w:tc>
      </w:tr>
    </w:tbl>
    <w:p w:rsidR="00917C1F" w:rsidRPr="00842147" w:rsidRDefault="00917C1F" w:rsidP="00917C1F">
      <w:pPr>
        <w:jc w:val="both"/>
        <w:rPr>
          <w:rFonts w:ascii="Arial" w:hAnsi="Arial" w:cs="Arial"/>
        </w:rPr>
      </w:pPr>
    </w:p>
    <w:p w:rsidR="00917C1F" w:rsidRDefault="00917C1F" w:rsidP="00917C1F">
      <w:pPr>
        <w:jc w:val="center"/>
        <w:rPr>
          <w:rFonts w:ascii="Arial" w:hAnsi="Arial" w:cs="Arial"/>
          <w:bCs/>
          <w:i/>
          <w:sz w:val="20"/>
          <w:szCs w:val="20"/>
        </w:rPr>
      </w:pPr>
      <w:r w:rsidRPr="006F4FC4">
        <w:rPr>
          <w:rFonts w:ascii="Arial" w:hAnsi="Arial" w:cs="Arial"/>
          <w:bCs/>
          <w:i/>
          <w:sz w:val="20"/>
          <w:szCs w:val="20"/>
        </w:rPr>
        <w:t xml:space="preserve">Figura </w:t>
      </w:r>
      <w:r>
        <w:rPr>
          <w:rFonts w:ascii="Arial" w:hAnsi="Arial" w:cs="Arial"/>
          <w:bCs/>
          <w:i/>
          <w:sz w:val="20"/>
          <w:szCs w:val="20"/>
        </w:rPr>
        <w:t>4</w:t>
      </w:r>
      <w:r w:rsidRPr="006F4FC4">
        <w:rPr>
          <w:rFonts w:ascii="Arial" w:hAnsi="Arial" w:cs="Arial"/>
          <w:bCs/>
          <w:i/>
          <w:sz w:val="20"/>
          <w:szCs w:val="20"/>
        </w:rPr>
        <w:t xml:space="preserve">. Isotermas de adsorción de aluminio en quitosano y cascarilla de arroz ajustadas a los modelos </w:t>
      </w:r>
      <w:r>
        <w:rPr>
          <w:rFonts w:ascii="Arial" w:hAnsi="Arial" w:cs="Arial"/>
          <w:bCs/>
          <w:i/>
          <w:sz w:val="20"/>
          <w:szCs w:val="20"/>
        </w:rPr>
        <w:t xml:space="preserve">linealizados </w:t>
      </w:r>
      <w:r w:rsidRPr="006F4FC4">
        <w:rPr>
          <w:rFonts w:ascii="Arial" w:hAnsi="Arial" w:cs="Arial"/>
          <w:bCs/>
          <w:i/>
          <w:sz w:val="20"/>
          <w:szCs w:val="20"/>
        </w:rPr>
        <w:t>de Freundlich y Langmuir.</w:t>
      </w:r>
    </w:p>
    <w:p w:rsidR="00917C1F" w:rsidRPr="006F4FC4" w:rsidRDefault="00917C1F" w:rsidP="00917C1F">
      <w:pPr>
        <w:jc w:val="center"/>
        <w:rPr>
          <w:rFonts w:ascii="Arial" w:hAnsi="Arial" w:cs="Arial"/>
          <w:bCs/>
          <w:i/>
          <w:sz w:val="20"/>
          <w:szCs w:val="20"/>
        </w:rPr>
      </w:pPr>
    </w:p>
    <w:p w:rsidR="00917C1F" w:rsidRDefault="00917C1F" w:rsidP="00917C1F">
      <w:pPr>
        <w:jc w:val="both"/>
        <w:rPr>
          <w:rFonts w:ascii="Arial" w:hAnsi="Arial" w:cs="Arial"/>
        </w:rPr>
      </w:pPr>
    </w:p>
    <w:tbl>
      <w:tblPr>
        <w:tblW w:w="0" w:type="auto"/>
        <w:jc w:val="center"/>
        <w:tblLook w:val="04A0" w:firstRow="1" w:lastRow="0" w:firstColumn="1" w:lastColumn="0" w:noHBand="0" w:noVBand="1"/>
      </w:tblPr>
      <w:tblGrid>
        <w:gridCol w:w="4703"/>
        <w:gridCol w:w="4701"/>
      </w:tblGrid>
      <w:tr w:rsidR="00917C1F" w:rsidRPr="00140901" w:rsidTr="000533C7">
        <w:trPr>
          <w:jc w:val="center"/>
        </w:trPr>
        <w:tc>
          <w:tcPr>
            <w:tcW w:w="4772" w:type="dxa"/>
            <w:shd w:val="clear" w:color="auto" w:fill="auto"/>
          </w:tcPr>
          <w:p w:rsidR="00917C1F" w:rsidRPr="00140901" w:rsidRDefault="00917C1F" w:rsidP="000533C7">
            <w:pPr>
              <w:jc w:val="center"/>
              <w:rPr>
                <w:rFonts w:ascii="Arial" w:hAnsi="Arial" w:cs="Arial"/>
              </w:rPr>
            </w:pPr>
            <w:r w:rsidRPr="004C62E0">
              <w:rPr>
                <w:rFonts w:eastAsia="Times New Roman"/>
                <w:noProof/>
                <w:snapToGrid w:val="0"/>
                <w:color w:val="000000"/>
                <w:w w:val="0"/>
                <w:sz w:val="0"/>
                <w:szCs w:val="0"/>
                <w:u w:color="000000"/>
                <w:bdr w:val="none" w:sz="0" w:space="0" w:color="000000"/>
                <w:shd w:val="clear" w:color="000000" w:fill="000000"/>
                <w:lang w:val="en-US"/>
              </w:rPr>
              <w:drawing>
                <wp:inline distT="0" distB="0" distL="0" distR="0" wp14:anchorId="5F77FD7C" wp14:editId="19445890">
                  <wp:extent cx="2343150" cy="1981200"/>
                  <wp:effectExtent l="0" t="0" r="0" b="0"/>
                  <wp:docPr id="148" name="Imagen 148" descr="Grafico Q_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4" descr="Grafico Q_Al"/>
                          <pic:cNvPicPr>
                            <a:picLocks noChangeAspect="1" noChangeArrowheads="1"/>
                          </pic:cNvPicPr>
                        </pic:nvPicPr>
                        <pic:blipFill>
                          <a:blip r:embed="rId1339">
                            <a:extLst>
                              <a:ext uri="{28A0092B-C50C-407E-A947-70E740481C1C}">
                                <a14:useLocalDpi xmlns:a14="http://schemas.microsoft.com/office/drawing/2010/main" val="0"/>
                              </a:ext>
                            </a:extLst>
                          </a:blip>
                          <a:srcRect l="9283" t="3786" r="55498"/>
                          <a:stretch>
                            <a:fillRect/>
                          </a:stretch>
                        </pic:blipFill>
                        <pic:spPr bwMode="auto">
                          <a:xfrm>
                            <a:off x="0" y="0"/>
                            <a:ext cx="2343150" cy="1981200"/>
                          </a:xfrm>
                          <a:prstGeom prst="rect">
                            <a:avLst/>
                          </a:prstGeom>
                          <a:noFill/>
                          <a:ln>
                            <a:noFill/>
                          </a:ln>
                        </pic:spPr>
                      </pic:pic>
                    </a:graphicData>
                  </a:graphic>
                </wp:inline>
              </w:drawing>
            </w:r>
          </w:p>
        </w:tc>
        <w:tc>
          <w:tcPr>
            <w:tcW w:w="4772" w:type="dxa"/>
            <w:shd w:val="clear" w:color="auto" w:fill="auto"/>
          </w:tcPr>
          <w:p w:rsidR="00917C1F" w:rsidRPr="00140901" w:rsidRDefault="00917C1F" w:rsidP="000533C7">
            <w:pPr>
              <w:jc w:val="center"/>
              <w:rPr>
                <w:rFonts w:ascii="Arial" w:hAnsi="Arial" w:cs="Arial"/>
              </w:rPr>
            </w:pPr>
            <w:r w:rsidRPr="00752CF5">
              <w:rPr>
                <w:rFonts w:ascii="Arial" w:hAnsi="Arial" w:cs="Arial"/>
                <w:noProof/>
                <w:lang w:val="en-US"/>
              </w:rPr>
              <w:drawing>
                <wp:inline distT="0" distB="0" distL="0" distR="0" wp14:anchorId="6E065B6F" wp14:editId="04EEAA56">
                  <wp:extent cx="2314575" cy="1981200"/>
                  <wp:effectExtent l="0" t="0" r="9525" b="0"/>
                  <wp:docPr id="147" name="Imagen 147" descr="Langmuir Al_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5" descr="Langmuir Al_CA"/>
                          <pic:cNvPicPr>
                            <a:picLocks noChangeAspect="1" noChangeArrowheads="1"/>
                          </pic:cNvPicPr>
                        </pic:nvPicPr>
                        <pic:blipFill>
                          <a:blip r:embed="rId1340" cstate="print">
                            <a:extLst>
                              <a:ext uri="{28A0092B-C50C-407E-A947-70E740481C1C}">
                                <a14:useLocalDpi xmlns:a14="http://schemas.microsoft.com/office/drawing/2010/main" val="0"/>
                              </a:ext>
                            </a:extLst>
                          </a:blip>
                          <a:srcRect l="8971" t="3548" r="55733"/>
                          <a:stretch>
                            <a:fillRect/>
                          </a:stretch>
                        </pic:blipFill>
                        <pic:spPr bwMode="auto">
                          <a:xfrm>
                            <a:off x="0" y="0"/>
                            <a:ext cx="2314575" cy="1981200"/>
                          </a:xfrm>
                          <a:prstGeom prst="rect">
                            <a:avLst/>
                          </a:prstGeom>
                          <a:noFill/>
                          <a:ln>
                            <a:noFill/>
                          </a:ln>
                        </pic:spPr>
                      </pic:pic>
                    </a:graphicData>
                  </a:graphic>
                </wp:inline>
              </w:drawing>
            </w:r>
          </w:p>
        </w:tc>
      </w:tr>
      <w:tr w:rsidR="00917C1F" w:rsidRPr="004C62E0" w:rsidTr="000533C7">
        <w:trPr>
          <w:jc w:val="center"/>
        </w:trPr>
        <w:tc>
          <w:tcPr>
            <w:tcW w:w="4772" w:type="dxa"/>
            <w:shd w:val="clear" w:color="auto" w:fill="auto"/>
          </w:tcPr>
          <w:p w:rsidR="00917C1F" w:rsidRPr="004C62E0" w:rsidRDefault="00917C1F" w:rsidP="000533C7">
            <w:pPr>
              <w:spacing w:before="120" w:line="360" w:lineRule="auto"/>
              <w:jc w:val="center"/>
              <w:rPr>
                <w:rFonts w:ascii="Arial" w:hAnsi="Arial" w:cs="Arial"/>
                <w:sz w:val="20"/>
                <w:szCs w:val="20"/>
              </w:rPr>
            </w:pPr>
            <w:r w:rsidRPr="004C62E0">
              <w:rPr>
                <w:rFonts w:ascii="Arial" w:hAnsi="Arial" w:cs="Arial"/>
                <w:sz w:val="20"/>
                <w:szCs w:val="20"/>
              </w:rPr>
              <w:t>(a)</w:t>
            </w:r>
          </w:p>
        </w:tc>
        <w:tc>
          <w:tcPr>
            <w:tcW w:w="4772" w:type="dxa"/>
            <w:shd w:val="clear" w:color="auto" w:fill="auto"/>
          </w:tcPr>
          <w:p w:rsidR="00917C1F" w:rsidRPr="004C62E0" w:rsidRDefault="00917C1F" w:rsidP="000533C7">
            <w:pPr>
              <w:spacing w:before="120" w:line="360" w:lineRule="auto"/>
              <w:jc w:val="center"/>
              <w:rPr>
                <w:rFonts w:ascii="Arial" w:hAnsi="Arial" w:cs="Arial"/>
                <w:sz w:val="20"/>
                <w:szCs w:val="20"/>
              </w:rPr>
            </w:pPr>
            <w:r w:rsidRPr="004C62E0">
              <w:rPr>
                <w:rFonts w:ascii="Arial" w:hAnsi="Arial" w:cs="Arial"/>
                <w:sz w:val="20"/>
                <w:szCs w:val="20"/>
              </w:rPr>
              <w:t>(b)</w:t>
            </w:r>
          </w:p>
        </w:tc>
      </w:tr>
    </w:tbl>
    <w:p w:rsidR="00917C1F" w:rsidRPr="006F4FC4" w:rsidRDefault="00917C1F" w:rsidP="00917C1F">
      <w:pPr>
        <w:jc w:val="center"/>
        <w:rPr>
          <w:rFonts w:ascii="Arial" w:hAnsi="Arial" w:cs="Arial"/>
          <w:bCs/>
          <w:i/>
          <w:sz w:val="20"/>
          <w:szCs w:val="20"/>
        </w:rPr>
      </w:pPr>
      <w:r w:rsidRPr="006F4FC4">
        <w:rPr>
          <w:rFonts w:ascii="Arial" w:hAnsi="Arial" w:cs="Arial"/>
          <w:bCs/>
          <w:i/>
          <w:sz w:val="20"/>
          <w:szCs w:val="20"/>
        </w:rPr>
        <w:t xml:space="preserve">Figura </w:t>
      </w:r>
      <w:r>
        <w:rPr>
          <w:rFonts w:ascii="Arial" w:hAnsi="Arial" w:cs="Arial"/>
          <w:bCs/>
          <w:i/>
          <w:sz w:val="20"/>
          <w:szCs w:val="20"/>
        </w:rPr>
        <w:t>5.</w:t>
      </w:r>
      <w:r w:rsidRPr="006F4FC4">
        <w:rPr>
          <w:rFonts w:ascii="Arial" w:hAnsi="Arial" w:cs="Arial"/>
          <w:bCs/>
          <w:i/>
          <w:sz w:val="20"/>
          <w:szCs w:val="20"/>
        </w:rPr>
        <w:t xml:space="preserve"> </w:t>
      </w:r>
      <w:r>
        <w:rPr>
          <w:rFonts w:ascii="Arial" w:hAnsi="Arial" w:cs="Arial"/>
          <w:bCs/>
          <w:i/>
          <w:sz w:val="20"/>
          <w:szCs w:val="20"/>
        </w:rPr>
        <w:t>Datos de equilibrio</w:t>
      </w:r>
      <w:r w:rsidRPr="006F4FC4">
        <w:rPr>
          <w:rFonts w:ascii="Arial" w:hAnsi="Arial" w:cs="Arial"/>
          <w:bCs/>
          <w:i/>
          <w:sz w:val="20"/>
          <w:szCs w:val="20"/>
        </w:rPr>
        <w:t xml:space="preserve"> de adsorción de aluminio en </w:t>
      </w:r>
      <w:r>
        <w:rPr>
          <w:rFonts w:ascii="Arial" w:hAnsi="Arial" w:cs="Arial"/>
          <w:bCs/>
          <w:i/>
          <w:sz w:val="20"/>
          <w:szCs w:val="20"/>
        </w:rPr>
        <w:t xml:space="preserve">(a) </w:t>
      </w:r>
      <w:r w:rsidRPr="006F4FC4">
        <w:rPr>
          <w:rFonts w:ascii="Arial" w:hAnsi="Arial" w:cs="Arial"/>
          <w:bCs/>
          <w:i/>
          <w:sz w:val="20"/>
          <w:szCs w:val="20"/>
        </w:rPr>
        <w:t>quitosano y</w:t>
      </w:r>
      <w:r>
        <w:rPr>
          <w:rFonts w:ascii="Arial" w:hAnsi="Arial" w:cs="Arial"/>
          <w:bCs/>
          <w:i/>
          <w:sz w:val="20"/>
          <w:szCs w:val="20"/>
        </w:rPr>
        <w:t xml:space="preserve"> en</w:t>
      </w:r>
      <w:r w:rsidRPr="006F4FC4">
        <w:rPr>
          <w:rFonts w:ascii="Arial" w:hAnsi="Arial" w:cs="Arial"/>
          <w:bCs/>
          <w:i/>
          <w:sz w:val="20"/>
          <w:szCs w:val="20"/>
        </w:rPr>
        <w:t xml:space="preserve"> </w:t>
      </w:r>
      <w:r>
        <w:rPr>
          <w:rFonts w:ascii="Arial" w:hAnsi="Arial" w:cs="Arial"/>
          <w:bCs/>
          <w:i/>
          <w:sz w:val="20"/>
          <w:szCs w:val="20"/>
        </w:rPr>
        <w:t xml:space="preserve">(b) </w:t>
      </w:r>
      <w:r w:rsidRPr="006F4FC4">
        <w:rPr>
          <w:rFonts w:ascii="Arial" w:hAnsi="Arial" w:cs="Arial"/>
          <w:bCs/>
          <w:i/>
          <w:sz w:val="20"/>
          <w:szCs w:val="20"/>
        </w:rPr>
        <w:t>cascarilla de arroz ajustadas al modelo</w:t>
      </w:r>
      <w:r>
        <w:rPr>
          <w:rFonts w:ascii="Arial" w:hAnsi="Arial" w:cs="Arial"/>
          <w:bCs/>
          <w:i/>
          <w:sz w:val="20"/>
          <w:szCs w:val="20"/>
        </w:rPr>
        <w:t xml:space="preserve"> no</w:t>
      </w:r>
      <w:r w:rsidRPr="006F4FC4">
        <w:rPr>
          <w:rFonts w:ascii="Arial" w:hAnsi="Arial" w:cs="Arial"/>
          <w:bCs/>
          <w:i/>
          <w:sz w:val="20"/>
          <w:szCs w:val="20"/>
        </w:rPr>
        <w:t xml:space="preserve"> </w:t>
      </w:r>
      <w:r>
        <w:rPr>
          <w:rFonts w:ascii="Arial" w:hAnsi="Arial" w:cs="Arial"/>
          <w:bCs/>
          <w:i/>
          <w:sz w:val="20"/>
          <w:szCs w:val="20"/>
        </w:rPr>
        <w:t xml:space="preserve">lineal </w:t>
      </w:r>
      <w:r w:rsidRPr="006F4FC4">
        <w:rPr>
          <w:rFonts w:ascii="Arial" w:hAnsi="Arial" w:cs="Arial"/>
          <w:bCs/>
          <w:i/>
          <w:sz w:val="20"/>
          <w:szCs w:val="20"/>
        </w:rPr>
        <w:t>de Langmuir.</w:t>
      </w:r>
    </w:p>
    <w:p w:rsidR="00917C1F" w:rsidRDefault="00917C1F" w:rsidP="00917C1F">
      <w:pPr>
        <w:ind w:firstLine="567"/>
        <w:jc w:val="both"/>
        <w:rPr>
          <w:rFonts w:ascii="Arial" w:hAnsi="Arial" w:cs="Arial"/>
        </w:rPr>
      </w:pPr>
    </w:p>
    <w:p w:rsidR="00917C1F" w:rsidRDefault="00917C1F" w:rsidP="00917C1F">
      <w:pPr>
        <w:ind w:firstLine="567"/>
        <w:jc w:val="both"/>
        <w:rPr>
          <w:rFonts w:ascii="Arial" w:hAnsi="Arial" w:cs="Arial"/>
        </w:rPr>
      </w:pPr>
      <w:r>
        <w:rPr>
          <w:rFonts w:ascii="Arial" w:hAnsi="Arial" w:cs="Arial"/>
        </w:rPr>
        <w:t>L</w:t>
      </w:r>
      <w:r w:rsidRPr="00842147">
        <w:rPr>
          <w:rFonts w:ascii="Arial" w:hAnsi="Arial" w:cs="Arial"/>
        </w:rPr>
        <w:t xml:space="preserve">os parámetros obtenidos </w:t>
      </w:r>
      <w:r>
        <w:rPr>
          <w:rFonts w:ascii="Arial" w:hAnsi="Arial" w:cs="Arial"/>
        </w:rPr>
        <w:t>del modelo de Langmuir indican</w:t>
      </w:r>
      <w:r w:rsidRPr="00842147">
        <w:rPr>
          <w:rFonts w:ascii="Arial" w:hAnsi="Arial" w:cs="Arial"/>
        </w:rPr>
        <w:t xml:space="preserve"> </w:t>
      </w:r>
      <w:r>
        <w:rPr>
          <w:rFonts w:ascii="Arial" w:hAnsi="Arial" w:cs="Arial"/>
        </w:rPr>
        <w:t>que la cascarilla de arroz tiene la mayor capacidad de adsorción de aluminio con un q</w:t>
      </w:r>
      <w:r w:rsidRPr="00054ABA">
        <w:rPr>
          <w:rFonts w:ascii="Arial" w:hAnsi="Arial" w:cs="Arial"/>
          <w:vertAlign w:val="subscript"/>
        </w:rPr>
        <w:t>e,max</w:t>
      </w:r>
      <w:r>
        <w:rPr>
          <w:rFonts w:ascii="Arial" w:hAnsi="Arial" w:cs="Arial"/>
        </w:rPr>
        <w:t xml:space="preserve"> de 69.76 mg/g</w:t>
      </w:r>
      <w:r w:rsidRPr="00F969C2">
        <w:rPr>
          <w:rFonts w:ascii="Arial" w:hAnsi="Arial" w:cs="Arial"/>
        </w:rPr>
        <w:t xml:space="preserve"> </w:t>
      </w:r>
      <w:r>
        <w:rPr>
          <w:rFonts w:ascii="Arial" w:hAnsi="Arial" w:cs="Arial"/>
        </w:rPr>
        <w:t>(</w:t>
      </w:r>
      <w:r w:rsidRPr="00842147">
        <w:rPr>
          <w:rFonts w:ascii="Arial" w:hAnsi="Arial" w:cs="Arial"/>
        </w:rPr>
        <w:t>Tabla 1</w:t>
      </w:r>
      <w:r>
        <w:rPr>
          <w:rFonts w:ascii="Arial" w:hAnsi="Arial" w:cs="Arial"/>
        </w:rPr>
        <w:t>). Por su parte, l</w:t>
      </w:r>
      <w:r w:rsidRPr="00842147">
        <w:rPr>
          <w:rFonts w:ascii="Arial" w:hAnsi="Arial" w:cs="Arial"/>
        </w:rPr>
        <w:t xml:space="preserve">os parámetros </w:t>
      </w:r>
      <w:r>
        <w:rPr>
          <w:rFonts w:ascii="Arial" w:hAnsi="Arial" w:cs="Arial"/>
        </w:rPr>
        <w:t xml:space="preserve">del modelo de </w:t>
      </w:r>
      <w:r w:rsidRPr="00FC6274">
        <w:rPr>
          <w:rFonts w:ascii="Arial" w:hAnsi="Arial" w:cs="Arial"/>
        </w:rPr>
        <w:t>Freundlich</w:t>
      </w:r>
      <w:r>
        <w:rPr>
          <w:rFonts w:ascii="Arial" w:hAnsi="Arial" w:cs="Arial"/>
        </w:rPr>
        <w:t xml:space="preserve"> (</w:t>
      </w:r>
      <m:oMath>
        <m:sSub>
          <m:sSubPr>
            <m:ctrlPr>
              <w:rPr>
                <w:rFonts w:ascii="Cambria Math" w:hAnsi="Cambria Math"/>
                <w:i/>
              </w:rPr>
            </m:ctrlPr>
          </m:sSubPr>
          <m:e>
            <m:r>
              <w:rPr>
                <w:rFonts w:ascii="Cambria Math" w:hAnsi="Cambria Math"/>
              </w:rPr>
              <m:t>a</m:t>
            </m:r>
          </m:e>
          <m:sub>
            <m:r>
              <w:rPr>
                <w:rFonts w:ascii="Cambria Math" w:hAnsi="Cambria Math"/>
              </w:rPr>
              <m:t>F</m:t>
            </m:r>
          </m:sub>
        </m:sSub>
      </m:oMath>
      <w:r>
        <w:rPr>
          <w:rFonts w:ascii="Arial" w:hAnsi="Arial" w:cs="Arial"/>
          <w:sz w:val="20"/>
          <w:szCs w:val="20"/>
        </w:rPr>
        <w:t xml:space="preserve"> </w:t>
      </w:r>
      <w:r>
        <w:rPr>
          <w:rFonts w:ascii="Arial" w:hAnsi="Arial" w:cs="Arial"/>
        </w:rPr>
        <w:t xml:space="preserve">y </w:t>
      </w:r>
      <w:r w:rsidRPr="00F969C2">
        <w:rPr>
          <w:rFonts w:ascii="Arial" w:hAnsi="Arial" w:cs="Arial"/>
          <w:i/>
        </w:rPr>
        <w:t>b</w:t>
      </w:r>
      <w:r w:rsidRPr="00F969C2">
        <w:rPr>
          <w:rFonts w:ascii="Arial" w:hAnsi="Arial" w:cs="Arial"/>
          <w:i/>
          <w:vertAlign w:val="subscript"/>
        </w:rPr>
        <w:t>F</w:t>
      </w:r>
      <w:r>
        <w:rPr>
          <w:rFonts w:ascii="Arial" w:hAnsi="Arial" w:cs="Arial"/>
        </w:rPr>
        <w:t>) fueron calcula</w:t>
      </w:r>
      <w:r w:rsidRPr="00842147">
        <w:rPr>
          <w:rFonts w:ascii="Arial" w:hAnsi="Arial" w:cs="Arial"/>
        </w:rPr>
        <w:t>dos</w:t>
      </w:r>
      <w:r>
        <w:rPr>
          <w:rFonts w:ascii="Arial" w:hAnsi="Arial" w:cs="Arial"/>
        </w:rPr>
        <w:t xml:space="preserve"> a partir de la ecuación del gráfico de regresión lineal presentado en la Figura 5.a y 5.c. </w:t>
      </w:r>
    </w:p>
    <w:p w:rsidR="00917C1F" w:rsidRDefault="00917C1F" w:rsidP="00917C1F">
      <w:pPr>
        <w:ind w:firstLine="567"/>
        <w:jc w:val="both"/>
        <w:rPr>
          <w:rFonts w:ascii="Arial" w:hAnsi="Arial" w:cs="Arial"/>
        </w:rPr>
      </w:pPr>
      <w:r w:rsidRPr="00842147">
        <w:rPr>
          <w:rFonts w:ascii="Arial" w:hAnsi="Arial" w:cs="Arial"/>
        </w:rPr>
        <w:t>De acuerdo a Badawi, Negm, Abou kana y Hefni</w:t>
      </w:r>
      <w:r>
        <w:rPr>
          <w:rFonts w:ascii="Arial" w:hAnsi="Arial" w:cs="Arial"/>
        </w:rPr>
        <w:t xml:space="preserve"> </w:t>
      </w:r>
      <w:r w:rsidRPr="00007A01">
        <w:rPr>
          <w:rFonts w:ascii="Arial" w:eastAsia="Calibri" w:hAnsi="Arial" w:cs="Arial"/>
          <w:vertAlign w:val="superscript"/>
          <w:lang w:val="es-NI"/>
        </w:rPr>
        <w:t>[</w:t>
      </w:r>
      <w:r>
        <w:rPr>
          <w:rFonts w:ascii="Arial" w:eastAsia="Calibri" w:hAnsi="Arial" w:cs="Arial"/>
          <w:vertAlign w:val="superscript"/>
          <w:lang w:val="es-NI"/>
        </w:rPr>
        <w:t>13</w:t>
      </w:r>
      <w:r w:rsidRPr="00007A01">
        <w:rPr>
          <w:rFonts w:ascii="Arial" w:eastAsia="Calibri" w:hAnsi="Arial" w:cs="Arial"/>
          <w:vertAlign w:val="superscript"/>
          <w:lang w:val="es-NI"/>
        </w:rPr>
        <w:t>]</w:t>
      </w:r>
      <w:r w:rsidRPr="00842147">
        <w:rPr>
          <w:rFonts w:ascii="Arial" w:hAnsi="Arial" w:cs="Arial"/>
        </w:rPr>
        <w:t>,</w:t>
      </w:r>
      <w:r>
        <w:rPr>
          <w:rFonts w:ascii="Arial" w:hAnsi="Arial" w:cs="Arial"/>
        </w:rPr>
        <w:t xml:space="preserve"> </w:t>
      </w:r>
      <w:r w:rsidRPr="00842147">
        <w:rPr>
          <w:rFonts w:ascii="Arial" w:hAnsi="Arial" w:cs="Arial"/>
        </w:rPr>
        <w:t xml:space="preserve">altos valores </w:t>
      </w:r>
      <w:r>
        <w:rPr>
          <w:rFonts w:ascii="Arial" w:hAnsi="Arial" w:cs="Arial"/>
        </w:rPr>
        <w:t xml:space="preserve">del </w:t>
      </w:r>
      <w:r w:rsidRPr="00FC6274">
        <w:rPr>
          <w:rFonts w:ascii="Arial" w:hAnsi="Arial" w:cs="Arial"/>
        </w:rPr>
        <w:t>parámetro empírico adimensional de Freundlich</w:t>
      </w:r>
      <w:r w:rsidRPr="00842147">
        <w:rPr>
          <w:rFonts w:ascii="Arial" w:hAnsi="Arial" w:cs="Arial"/>
        </w:rPr>
        <w:t xml:space="preserve"> </w:t>
      </w:r>
      <w:r w:rsidRPr="00F969C2">
        <w:rPr>
          <w:rFonts w:ascii="Arial" w:hAnsi="Arial" w:cs="Arial"/>
          <w:i/>
        </w:rPr>
        <w:t>b</w:t>
      </w:r>
      <w:r w:rsidRPr="00F969C2">
        <w:rPr>
          <w:rFonts w:ascii="Arial" w:hAnsi="Arial" w:cs="Arial"/>
          <w:i/>
          <w:vertAlign w:val="subscript"/>
        </w:rPr>
        <w:t>F</w:t>
      </w:r>
      <w:r w:rsidRPr="00842147">
        <w:rPr>
          <w:rFonts w:ascii="Arial" w:hAnsi="Arial" w:cs="Arial"/>
        </w:rPr>
        <w:t xml:space="preserve"> (&gt; 1) indica</w:t>
      </w:r>
      <w:r>
        <w:rPr>
          <w:rFonts w:ascii="Arial" w:hAnsi="Arial" w:cs="Arial"/>
        </w:rPr>
        <w:t xml:space="preserve"> que hay</w:t>
      </w:r>
      <w:r w:rsidRPr="00842147">
        <w:rPr>
          <w:rFonts w:ascii="Arial" w:hAnsi="Arial" w:cs="Arial"/>
        </w:rPr>
        <w:t xml:space="preserve"> homogeneidad entre los sitios activos y los iones metálicos adsorbidos en la superficie del adsorbente; lo cual indica</w:t>
      </w:r>
      <w:r>
        <w:rPr>
          <w:rFonts w:ascii="Arial" w:hAnsi="Arial" w:cs="Arial"/>
        </w:rPr>
        <w:t>, de acuerdo a los resultados obtenidos,</w:t>
      </w:r>
      <w:r w:rsidRPr="00842147">
        <w:rPr>
          <w:rFonts w:ascii="Arial" w:hAnsi="Arial" w:cs="Arial"/>
        </w:rPr>
        <w:t xml:space="preserve"> que la adsorción de los iones aluminio en los sitios activos fue más homogénea en el quitosano que en la cascarilla de arroz.</w:t>
      </w:r>
      <w:r w:rsidRPr="00DA6E0A">
        <w:rPr>
          <w:rFonts w:ascii="Arial" w:hAnsi="Arial" w:cs="Arial"/>
        </w:rPr>
        <w:t xml:space="preserve"> </w:t>
      </w:r>
      <w:r>
        <w:rPr>
          <w:rFonts w:ascii="Arial" w:hAnsi="Arial" w:cs="Arial"/>
        </w:rPr>
        <w:t xml:space="preserve"> </w:t>
      </w:r>
    </w:p>
    <w:p w:rsidR="00917C1F" w:rsidRDefault="00917C1F" w:rsidP="00917C1F">
      <w:pPr>
        <w:ind w:firstLine="567"/>
        <w:jc w:val="both"/>
        <w:rPr>
          <w:rFonts w:ascii="Arial" w:hAnsi="Arial" w:cs="Arial"/>
        </w:rPr>
      </w:pPr>
    </w:p>
    <w:p w:rsidR="00917C1F" w:rsidRPr="006B7E51" w:rsidRDefault="00917C1F" w:rsidP="00917C1F">
      <w:pPr>
        <w:spacing w:after="120"/>
        <w:jc w:val="center"/>
        <w:rPr>
          <w:rFonts w:ascii="Arial" w:hAnsi="Arial" w:cs="Arial"/>
          <w:i/>
          <w:sz w:val="20"/>
          <w:szCs w:val="20"/>
        </w:rPr>
      </w:pPr>
      <w:r w:rsidRPr="006B7E51">
        <w:rPr>
          <w:rFonts w:ascii="Arial" w:hAnsi="Arial" w:cs="Arial"/>
          <w:i/>
          <w:sz w:val="20"/>
          <w:szCs w:val="20"/>
        </w:rPr>
        <w:t xml:space="preserve">Tabla 1. Parámetros de las isotermas de Langmuir y Freundlich para la adsorción de aluminio en quitosano y cascarilla de arroz.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6"/>
        <w:gridCol w:w="1698"/>
        <w:gridCol w:w="1798"/>
        <w:gridCol w:w="2078"/>
        <w:gridCol w:w="1674"/>
      </w:tblGrid>
      <w:tr w:rsidR="00917C1F" w:rsidRPr="001B1D27" w:rsidTr="000533C7">
        <w:trPr>
          <w:trHeight w:val="277"/>
        </w:trPr>
        <w:tc>
          <w:tcPr>
            <w:tcW w:w="1142" w:type="pct"/>
            <w:vMerge w:val="restart"/>
            <w:tcBorders>
              <w:right w:val="single" w:sz="4" w:space="0" w:color="auto"/>
            </w:tcBorders>
            <w:shd w:val="clear" w:color="auto" w:fill="auto"/>
          </w:tcPr>
          <w:p w:rsidR="00917C1F" w:rsidRPr="001B1D27" w:rsidRDefault="00917C1F" w:rsidP="000533C7">
            <w:pPr>
              <w:jc w:val="center"/>
              <w:rPr>
                <w:rFonts w:ascii="Arial" w:hAnsi="Arial" w:cs="Arial"/>
                <w:b/>
                <w:sz w:val="20"/>
                <w:szCs w:val="20"/>
              </w:rPr>
            </w:pPr>
            <w:r w:rsidRPr="001B1D27">
              <w:rPr>
                <w:rFonts w:ascii="Arial" w:hAnsi="Arial" w:cs="Arial"/>
                <w:b/>
                <w:sz w:val="20"/>
                <w:szCs w:val="20"/>
              </w:rPr>
              <w:t>Adsorbente</w:t>
            </w:r>
          </w:p>
        </w:tc>
        <w:tc>
          <w:tcPr>
            <w:tcW w:w="1861" w:type="pct"/>
            <w:gridSpan w:val="2"/>
            <w:tcBorders>
              <w:top w:val="single" w:sz="4" w:space="0" w:color="auto"/>
              <w:left w:val="single" w:sz="4" w:space="0" w:color="auto"/>
              <w:bottom w:val="single" w:sz="4" w:space="0" w:color="auto"/>
              <w:right w:val="single" w:sz="4" w:space="0" w:color="auto"/>
            </w:tcBorders>
            <w:shd w:val="clear" w:color="auto" w:fill="auto"/>
          </w:tcPr>
          <w:p w:rsidR="00917C1F" w:rsidRPr="001B1D27" w:rsidRDefault="00917C1F" w:rsidP="000533C7">
            <w:pPr>
              <w:jc w:val="center"/>
              <w:rPr>
                <w:rFonts w:ascii="Arial" w:hAnsi="Arial" w:cs="Arial"/>
                <w:b/>
                <w:sz w:val="20"/>
                <w:szCs w:val="20"/>
              </w:rPr>
            </w:pPr>
            <w:r w:rsidRPr="001B1D27">
              <w:rPr>
                <w:rFonts w:ascii="Arial" w:hAnsi="Arial" w:cs="Arial"/>
                <w:b/>
                <w:sz w:val="20"/>
                <w:szCs w:val="20"/>
              </w:rPr>
              <w:t>Isoterma de Langmuir</w:t>
            </w:r>
          </w:p>
        </w:tc>
        <w:tc>
          <w:tcPr>
            <w:tcW w:w="1997" w:type="pct"/>
            <w:gridSpan w:val="2"/>
            <w:tcBorders>
              <w:top w:val="single" w:sz="4" w:space="0" w:color="auto"/>
              <w:left w:val="single" w:sz="4" w:space="0" w:color="auto"/>
              <w:bottom w:val="single" w:sz="4" w:space="0" w:color="auto"/>
              <w:right w:val="single" w:sz="4" w:space="0" w:color="auto"/>
            </w:tcBorders>
            <w:shd w:val="clear" w:color="auto" w:fill="auto"/>
          </w:tcPr>
          <w:p w:rsidR="00917C1F" w:rsidRPr="001B1D27" w:rsidRDefault="00917C1F" w:rsidP="000533C7">
            <w:pPr>
              <w:jc w:val="center"/>
              <w:rPr>
                <w:rFonts w:ascii="Arial" w:hAnsi="Arial" w:cs="Arial"/>
                <w:b/>
                <w:sz w:val="20"/>
                <w:szCs w:val="20"/>
              </w:rPr>
            </w:pPr>
            <w:r w:rsidRPr="001B1D27">
              <w:rPr>
                <w:rFonts w:ascii="Arial" w:hAnsi="Arial" w:cs="Arial"/>
                <w:b/>
                <w:sz w:val="20"/>
                <w:szCs w:val="20"/>
              </w:rPr>
              <w:t>Isoterma de Freundlich</w:t>
            </w:r>
          </w:p>
        </w:tc>
      </w:tr>
      <w:tr w:rsidR="00917C1F" w:rsidRPr="001B1D27" w:rsidTr="000533C7">
        <w:trPr>
          <w:trHeight w:val="423"/>
        </w:trPr>
        <w:tc>
          <w:tcPr>
            <w:tcW w:w="1142" w:type="pct"/>
            <w:vMerge/>
            <w:tcBorders>
              <w:bottom w:val="single" w:sz="4" w:space="0" w:color="auto"/>
              <w:right w:val="single" w:sz="4" w:space="0" w:color="auto"/>
            </w:tcBorders>
            <w:shd w:val="clear" w:color="auto" w:fill="auto"/>
          </w:tcPr>
          <w:p w:rsidR="00917C1F" w:rsidRPr="001B1D27" w:rsidRDefault="00917C1F" w:rsidP="000533C7">
            <w:pPr>
              <w:jc w:val="both"/>
              <w:rPr>
                <w:rFonts w:ascii="Arial" w:hAnsi="Arial" w:cs="Arial"/>
                <w:sz w:val="20"/>
                <w:szCs w:val="20"/>
              </w:rPr>
            </w:pPr>
          </w:p>
        </w:tc>
        <w:tc>
          <w:tcPr>
            <w:tcW w:w="904" w:type="pct"/>
            <w:tcBorders>
              <w:top w:val="single" w:sz="4" w:space="0" w:color="auto"/>
              <w:left w:val="single" w:sz="4" w:space="0" w:color="auto"/>
              <w:bottom w:val="single" w:sz="4" w:space="0" w:color="auto"/>
              <w:right w:val="single" w:sz="4" w:space="0" w:color="auto"/>
            </w:tcBorders>
            <w:shd w:val="clear" w:color="auto" w:fill="auto"/>
          </w:tcPr>
          <w:p w:rsidR="00917C1F" w:rsidRDefault="00917C1F" w:rsidP="000533C7">
            <w:pPr>
              <w:jc w:val="center"/>
              <w:rPr>
                <w:rFonts w:ascii="Arial" w:hAnsi="Arial" w:cs="Arial"/>
                <w:sz w:val="20"/>
                <w:szCs w:val="20"/>
                <w:vertAlign w:val="subscript"/>
              </w:rPr>
            </w:pPr>
            <w:r>
              <w:rPr>
                <w:rFonts w:ascii="Arial" w:hAnsi="Arial" w:cs="Arial"/>
                <w:sz w:val="20"/>
                <w:szCs w:val="20"/>
              </w:rPr>
              <w:t>q</w:t>
            </w:r>
            <w:r w:rsidRPr="00870ED7">
              <w:rPr>
                <w:rFonts w:ascii="Arial" w:hAnsi="Arial" w:cs="Arial"/>
                <w:sz w:val="20"/>
                <w:szCs w:val="20"/>
                <w:vertAlign w:val="subscript"/>
              </w:rPr>
              <w:t>e,max</w:t>
            </w:r>
          </w:p>
          <w:p w:rsidR="00917C1F" w:rsidRPr="007D563A" w:rsidRDefault="00917C1F" w:rsidP="000533C7">
            <w:pPr>
              <w:jc w:val="center"/>
              <w:rPr>
                <w:rFonts w:ascii="Arial" w:hAnsi="Arial" w:cs="Arial"/>
                <w:sz w:val="20"/>
                <w:szCs w:val="20"/>
              </w:rPr>
            </w:pPr>
            <w:r>
              <w:rPr>
                <w:rFonts w:ascii="Arial" w:hAnsi="Arial" w:cs="Arial"/>
                <w:sz w:val="20"/>
                <w:szCs w:val="20"/>
              </w:rPr>
              <w:t>(mg/g)</w:t>
            </w:r>
          </w:p>
        </w:tc>
        <w:tc>
          <w:tcPr>
            <w:tcW w:w="957" w:type="pct"/>
            <w:tcBorders>
              <w:top w:val="single" w:sz="4" w:space="0" w:color="auto"/>
              <w:left w:val="single" w:sz="4" w:space="0" w:color="auto"/>
              <w:bottom w:val="single" w:sz="4" w:space="0" w:color="auto"/>
              <w:right w:val="single" w:sz="4" w:space="0" w:color="auto"/>
            </w:tcBorders>
          </w:tcPr>
          <w:p w:rsidR="00917C1F" w:rsidRDefault="00917C1F" w:rsidP="000533C7">
            <w:pPr>
              <w:ind w:left="78" w:hanging="78"/>
              <w:jc w:val="center"/>
              <w:rPr>
                <w:rFonts w:ascii="Arial" w:hAnsi="Arial" w:cs="Arial"/>
                <w:sz w:val="20"/>
                <w:szCs w:val="20"/>
              </w:rPr>
            </w:pPr>
            <w:r>
              <w:rPr>
                <w:rFonts w:ascii="Arial" w:hAnsi="Arial" w:cs="Arial"/>
                <w:sz w:val="20"/>
                <w:szCs w:val="20"/>
              </w:rPr>
              <w:t>b</w:t>
            </w:r>
          </w:p>
          <w:p w:rsidR="00917C1F" w:rsidRPr="001B1D27" w:rsidRDefault="00917C1F" w:rsidP="000533C7">
            <w:pPr>
              <w:jc w:val="center"/>
              <w:rPr>
                <w:rFonts w:ascii="Arial" w:hAnsi="Arial" w:cs="Arial"/>
                <w:sz w:val="20"/>
                <w:szCs w:val="20"/>
              </w:rPr>
            </w:pPr>
            <w:r>
              <w:rPr>
                <w:rFonts w:ascii="Arial" w:hAnsi="Arial" w:cs="Arial"/>
                <w:sz w:val="20"/>
                <w:szCs w:val="20"/>
              </w:rPr>
              <w:t>(l/mg)</w:t>
            </w:r>
          </w:p>
        </w:tc>
        <w:tc>
          <w:tcPr>
            <w:tcW w:w="1106" w:type="pct"/>
            <w:tcBorders>
              <w:top w:val="single" w:sz="4" w:space="0" w:color="auto"/>
              <w:left w:val="single" w:sz="4" w:space="0" w:color="auto"/>
              <w:bottom w:val="single" w:sz="4" w:space="0" w:color="auto"/>
              <w:right w:val="single" w:sz="4" w:space="0" w:color="auto"/>
            </w:tcBorders>
            <w:shd w:val="clear" w:color="auto" w:fill="auto"/>
          </w:tcPr>
          <w:p w:rsidR="00917C1F" w:rsidRPr="00917C1F" w:rsidRDefault="001345E4" w:rsidP="000533C7">
            <w:pPr>
              <w:jc w:val="center"/>
              <w:rPr>
                <w:rFonts w:ascii="Arial" w:hAnsi="Arial" w:cs="Arial"/>
                <w:sz w:val="20"/>
                <w:szCs w:val="20"/>
              </w:rPr>
            </w:pPr>
            <m:oMathPara>
              <m:oMath>
                <m:sSub>
                  <m:sSubPr>
                    <m:ctrlPr>
                      <w:rPr>
                        <w:rFonts w:ascii="Cambria Math" w:hAnsi="Cambria Math"/>
                        <w:i/>
                      </w:rPr>
                    </m:ctrlPr>
                  </m:sSubPr>
                  <m:e>
                    <m:r>
                      <w:rPr>
                        <w:rFonts w:ascii="Cambria Math" w:hAnsi="Cambria Math"/>
                      </w:rPr>
                      <m:t>a</m:t>
                    </m:r>
                  </m:e>
                  <m:sub>
                    <m:r>
                      <w:rPr>
                        <w:rFonts w:ascii="Cambria Math" w:hAnsi="Cambria Math"/>
                      </w:rPr>
                      <m:t>F</m:t>
                    </m:r>
                  </m:sub>
                </m:sSub>
              </m:oMath>
            </m:oMathPara>
          </w:p>
          <w:p w:rsidR="00917C1F" w:rsidRPr="001B1D27" w:rsidRDefault="00917C1F" w:rsidP="000533C7">
            <w:pPr>
              <w:jc w:val="center"/>
              <w:rPr>
                <w:rFonts w:ascii="Arial" w:hAnsi="Arial" w:cs="Arial"/>
                <w:sz w:val="20"/>
                <w:szCs w:val="20"/>
              </w:rPr>
            </w:pPr>
            <w:r w:rsidRPr="001B1D27">
              <w:rPr>
                <w:rFonts w:ascii="Arial" w:hAnsi="Arial" w:cs="Arial"/>
                <w:sz w:val="20"/>
                <w:szCs w:val="20"/>
              </w:rPr>
              <w:t>(mg</w:t>
            </w:r>
            <w:r w:rsidRPr="001B1D27">
              <w:rPr>
                <w:rFonts w:ascii="Arial" w:hAnsi="Arial" w:cs="Arial"/>
                <w:sz w:val="20"/>
                <w:szCs w:val="20"/>
                <w:vertAlign w:val="superscript"/>
              </w:rPr>
              <w:t>1-bF</w:t>
            </w:r>
            <w:r w:rsidRPr="001B1D27">
              <w:rPr>
                <w:rFonts w:ascii="Arial" w:hAnsi="Arial" w:cs="Arial"/>
                <w:sz w:val="20"/>
                <w:szCs w:val="20"/>
              </w:rPr>
              <w:sym w:font="Symbol" w:char="F0D7"/>
            </w:r>
            <w:r w:rsidRPr="001B1D27">
              <w:rPr>
                <w:rFonts w:ascii="Arial" w:hAnsi="Arial" w:cs="Arial"/>
                <w:sz w:val="20"/>
                <w:szCs w:val="20"/>
              </w:rPr>
              <w:t>L</w:t>
            </w:r>
            <w:r w:rsidRPr="001B1D27">
              <w:rPr>
                <w:rFonts w:ascii="Arial" w:hAnsi="Arial" w:cs="Arial"/>
                <w:sz w:val="20"/>
                <w:szCs w:val="20"/>
                <w:vertAlign w:val="superscript"/>
              </w:rPr>
              <w:t>bF</w:t>
            </w:r>
            <w:r w:rsidRPr="001B1D27">
              <w:rPr>
                <w:rFonts w:ascii="Arial" w:hAnsi="Arial" w:cs="Arial"/>
                <w:sz w:val="20"/>
                <w:szCs w:val="20"/>
              </w:rPr>
              <w:t>/g)</w:t>
            </w:r>
          </w:p>
        </w:tc>
        <w:tc>
          <w:tcPr>
            <w:tcW w:w="891" w:type="pct"/>
            <w:tcBorders>
              <w:top w:val="single" w:sz="4" w:space="0" w:color="auto"/>
              <w:left w:val="single" w:sz="4" w:space="0" w:color="auto"/>
              <w:bottom w:val="single" w:sz="4" w:space="0" w:color="auto"/>
              <w:right w:val="single" w:sz="4" w:space="0" w:color="auto"/>
            </w:tcBorders>
            <w:shd w:val="clear" w:color="auto" w:fill="auto"/>
          </w:tcPr>
          <w:p w:rsidR="00917C1F" w:rsidRPr="001B1D27" w:rsidRDefault="00917C1F" w:rsidP="000533C7">
            <w:pPr>
              <w:jc w:val="center"/>
              <w:rPr>
                <w:rFonts w:ascii="Arial" w:hAnsi="Arial" w:cs="Arial"/>
                <w:i/>
                <w:sz w:val="20"/>
                <w:szCs w:val="20"/>
              </w:rPr>
            </w:pPr>
            <w:r w:rsidRPr="001B1D27">
              <w:rPr>
                <w:rFonts w:ascii="Arial" w:hAnsi="Arial" w:cs="Arial"/>
                <w:i/>
                <w:sz w:val="20"/>
                <w:szCs w:val="20"/>
              </w:rPr>
              <w:t>b</w:t>
            </w:r>
            <w:r w:rsidRPr="001B1D27">
              <w:rPr>
                <w:rFonts w:ascii="Arial" w:hAnsi="Arial" w:cs="Arial"/>
                <w:i/>
                <w:sz w:val="20"/>
                <w:szCs w:val="20"/>
                <w:vertAlign w:val="subscript"/>
              </w:rPr>
              <w:t>F</w:t>
            </w:r>
          </w:p>
        </w:tc>
      </w:tr>
      <w:tr w:rsidR="00917C1F" w:rsidRPr="001B1D27" w:rsidTr="000533C7">
        <w:tc>
          <w:tcPr>
            <w:tcW w:w="1142" w:type="pct"/>
            <w:tcBorders>
              <w:top w:val="single" w:sz="4" w:space="0" w:color="auto"/>
              <w:left w:val="single" w:sz="4" w:space="0" w:color="auto"/>
              <w:bottom w:val="nil"/>
              <w:right w:val="single" w:sz="4" w:space="0" w:color="auto"/>
            </w:tcBorders>
            <w:shd w:val="clear" w:color="auto" w:fill="auto"/>
          </w:tcPr>
          <w:p w:rsidR="00917C1F" w:rsidRPr="001B1D27" w:rsidRDefault="00917C1F" w:rsidP="000533C7">
            <w:pPr>
              <w:jc w:val="both"/>
              <w:rPr>
                <w:rFonts w:ascii="Arial" w:hAnsi="Arial" w:cs="Arial"/>
                <w:sz w:val="20"/>
                <w:szCs w:val="20"/>
              </w:rPr>
            </w:pPr>
            <w:r w:rsidRPr="001B1D27">
              <w:rPr>
                <w:rFonts w:ascii="Arial" w:hAnsi="Arial" w:cs="Arial"/>
                <w:sz w:val="20"/>
                <w:szCs w:val="20"/>
              </w:rPr>
              <w:t>Quitosano</w:t>
            </w:r>
          </w:p>
        </w:tc>
        <w:tc>
          <w:tcPr>
            <w:tcW w:w="904" w:type="pct"/>
            <w:tcBorders>
              <w:top w:val="single" w:sz="4" w:space="0" w:color="auto"/>
              <w:left w:val="single" w:sz="4" w:space="0" w:color="auto"/>
              <w:bottom w:val="nil"/>
              <w:right w:val="single" w:sz="4" w:space="0" w:color="auto"/>
            </w:tcBorders>
            <w:shd w:val="clear" w:color="auto" w:fill="auto"/>
          </w:tcPr>
          <w:p w:rsidR="00917C1F" w:rsidRPr="001B1D27" w:rsidRDefault="00917C1F" w:rsidP="000533C7">
            <w:pPr>
              <w:jc w:val="center"/>
              <w:rPr>
                <w:rFonts w:ascii="Arial" w:hAnsi="Arial" w:cs="Arial"/>
                <w:sz w:val="20"/>
                <w:szCs w:val="20"/>
              </w:rPr>
            </w:pPr>
            <w:r>
              <w:rPr>
                <w:rFonts w:ascii="Arial" w:hAnsi="Arial" w:cs="Arial"/>
                <w:sz w:val="20"/>
                <w:szCs w:val="20"/>
              </w:rPr>
              <w:t>45.26</w:t>
            </w:r>
          </w:p>
        </w:tc>
        <w:tc>
          <w:tcPr>
            <w:tcW w:w="957" w:type="pct"/>
            <w:tcBorders>
              <w:top w:val="single" w:sz="4" w:space="0" w:color="auto"/>
              <w:left w:val="single" w:sz="4" w:space="0" w:color="auto"/>
              <w:bottom w:val="nil"/>
              <w:right w:val="single" w:sz="4" w:space="0" w:color="auto"/>
            </w:tcBorders>
          </w:tcPr>
          <w:p w:rsidR="00917C1F" w:rsidRPr="001B1D27" w:rsidRDefault="00917C1F" w:rsidP="000533C7">
            <w:pPr>
              <w:jc w:val="center"/>
              <w:rPr>
                <w:rFonts w:ascii="Arial" w:hAnsi="Arial" w:cs="Arial"/>
                <w:sz w:val="20"/>
                <w:szCs w:val="20"/>
              </w:rPr>
            </w:pPr>
            <w:r>
              <w:rPr>
                <w:rFonts w:ascii="Arial" w:hAnsi="Arial" w:cs="Arial"/>
                <w:sz w:val="20"/>
                <w:szCs w:val="20"/>
              </w:rPr>
              <w:t>0.0374</w:t>
            </w:r>
          </w:p>
        </w:tc>
        <w:tc>
          <w:tcPr>
            <w:tcW w:w="1106" w:type="pct"/>
            <w:tcBorders>
              <w:top w:val="single" w:sz="4" w:space="0" w:color="auto"/>
              <w:left w:val="single" w:sz="4" w:space="0" w:color="auto"/>
              <w:bottom w:val="nil"/>
              <w:right w:val="single" w:sz="4" w:space="0" w:color="auto"/>
            </w:tcBorders>
            <w:shd w:val="clear" w:color="auto" w:fill="auto"/>
          </w:tcPr>
          <w:p w:rsidR="00917C1F" w:rsidRPr="001B1D27" w:rsidRDefault="00917C1F" w:rsidP="000533C7">
            <w:pPr>
              <w:jc w:val="center"/>
              <w:rPr>
                <w:rFonts w:ascii="Arial" w:hAnsi="Arial" w:cs="Arial"/>
                <w:sz w:val="20"/>
                <w:szCs w:val="20"/>
              </w:rPr>
            </w:pPr>
            <w:r w:rsidRPr="001B1D27">
              <w:rPr>
                <w:rFonts w:ascii="Arial" w:hAnsi="Arial" w:cs="Arial"/>
                <w:sz w:val="20"/>
                <w:szCs w:val="20"/>
              </w:rPr>
              <w:t>0.</w:t>
            </w:r>
            <w:r>
              <w:rPr>
                <w:rFonts w:ascii="Arial" w:hAnsi="Arial" w:cs="Arial"/>
                <w:sz w:val="20"/>
                <w:szCs w:val="20"/>
              </w:rPr>
              <w:t>964</w:t>
            </w:r>
          </w:p>
        </w:tc>
        <w:tc>
          <w:tcPr>
            <w:tcW w:w="891" w:type="pct"/>
            <w:tcBorders>
              <w:top w:val="single" w:sz="4" w:space="0" w:color="auto"/>
              <w:left w:val="single" w:sz="4" w:space="0" w:color="auto"/>
              <w:bottom w:val="nil"/>
              <w:right w:val="single" w:sz="4" w:space="0" w:color="auto"/>
            </w:tcBorders>
            <w:shd w:val="clear" w:color="auto" w:fill="auto"/>
          </w:tcPr>
          <w:p w:rsidR="00917C1F" w:rsidRPr="001B1D27" w:rsidRDefault="00917C1F" w:rsidP="000533C7">
            <w:pPr>
              <w:jc w:val="center"/>
              <w:rPr>
                <w:rFonts w:ascii="Arial" w:hAnsi="Arial" w:cs="Arial"/>
                <w:sz w:val="20"/>
                <w:szCs w:val="20"/>
              </w:rPr>
            </w:pPr>
            <w:r>
              <w:rPr>
                <w:rFonts w:ascii="Arial" w:hAnsi="Arial" w:cs="Arial"/>
                <w:sz w:val="20"/>
                <w:szCs w:val="20"/>
              </w:rPr>
              <w:t>1.272</w:t>
            </w:r>
          </w:p>
        </w:tc>
      </w:tr>
      <w:tr w:rsidR="00917C1F" w:rsidRPr="001B1D27" w:rsidTr="000533C7">
        <w:tc>
          <w:tcPr>
            <w:tcW w:w="1142" w:type="pct"/>
            <w:tcBorders>
              <w:top w:val="nil"/>
              <w:left w:val="single" w:sz="4" w:space="0" w:color="auto"/>
              <w:bottom w:val="single" w:sz="4" w:space="0" w:color="auto"/>
              <w:right w:val="single" w:sz="4" w:space="0" w:color="auto"/>
            </w:tcBorders>
            <w:shd w:val="clear" w:color="auto" w:fill="auto"/>
          </w:tcPr>
          <w:p w:rsidR="00917C1F" w:rsidRPr="001B1D27" w:rsidRDefault="00917C1F" w:rsidP="000533C7">
            <w:pPr>
              <w:jc w:val="both"/>
              <w:rPr>
                <w:rFonts w:ascii="Arial" w:hAnsi="Arial" w:cs="Arial"/>
                <w:sz w:val="20"/>
                <w:szCs w:val="20"/>
              </w:rPr>
            </w:pPr>
            <w:r w:rsidRPr="001B1D27">
              <w:rPr>
                <w:rFonts w:ascii="Arial" w:hAnsi="Arial" w:cs="Arial"/>
                <w:sz w:val="20"/>
                <w:szCs w:val="20"/>
              </w:rPr>
              <w:t>Cascarilla de Arroz</w:t>
            </w:r>
          </w:p>
        </w:tc>
        <w:tc>
          <w:tcPr>
            <w:tcW w:w="904" w:type="pct"/>
            <w:tcBorders>
              <w:top w:val="nil"/>
              <w:left w:val="single" w:sz="4" w:space="0" w:color="auto"/>
              <w:bottom w:val="single" w:sz="4" w:space="0" w:color="auto"/>
              <w:right w:val="single" w:sz="4" w:space="0" w:color="auto"/>
            </w:tcBorders>
            <w:shd w:val="clear" w:color="auto" w:fill="auto"/>
          </w:tcPr>
          <w:p w:rsidR="00917C1F" w:rsidRPr="001B1D27" w:rsidRDefault="00917C1F" w:rsidP="000533C7">
            <w:pPr>
              <w:jc w:val="center"/>
              <w:rPr>
                <w:rFonts w:ascii="Arial" w:hAnsi="Arial" w:cs="Arial"/>
                <w:sz w:val="20"/>
                <w:szCs w:val="20"/>
              </w:rPr>
            </w:pPr>
            <w:r>
              <w:rPr>
                <w:rFonts w:ascii="Arial" w:hAnsi="Arial" w:cs="Arial"/>
                <w:sz w:val="20"/>
                <w:szCs w:val="20"/>
              </w:rPr>
              <w:t>69.76</w:t>
            </w:r>
          </w:p>
        </w:tc>
        <w:tc>
          <w:tcPr>
            <w:tcW w:w="957" w:type="pct"/>
            <w:tcBorders>
              <w:top w:val="nil"/>
              <w:left w:val="single" w:sz="4" w:space="0" w:color="auto"/>
              <w:bottom w:val="single" w:sz="4" w:space="0" w:color="auto"/>
              <w:right w:val="single" w:sz="4" w:space="0" w:color="auto"/>
            </w:tcBorders>
          </w:tcPr>
          <w:p w:rsidR="00917C1F" w:rsidRPr="001B1D27" w:rsidRDefault="00917C1F" w:rsidP="000533C7">
            <w:pPr>
              <w:jc w:val="center"/>
              <w:rPr>
                <w:rFonts w:ascii="Arial" w:hAnsi="Arial" w:cs="Arial"/>
                <w:sz w:val="20"/>
                <w:szCs w:val="20"/>
              </w:rPr>
            </w:pPr>
            <w:r>
              <w:rPr>
                <w:rFonts w:ascii="Arial" w:hAnsi="Arial" w:cs="Arial"/>
                <w:sz w:val="20"/>
                <w:szCs w:val="20"/>
              </w:rPr>
              <w:t>0.0777</w:t>
            </w:r>
          </w:p>
        </w:tc>
        <w:tc>
          <w:tcPr>
            <w:tcW w:w="1106" w:type="pct"/>
            <w:tcBorders>
              <w:top w:val="nil"/>
              <w:left w:val="single" w:sz="4" w:space="0" w:color="auto"/>
              <w:bottom w:val="single" w:sz="4" w:space="0" w:color="auto"/>
              <w:right w:val="single" w:sz="4" w:space="0" w:color="auto"/>
            </w:tcBorders>
            <w:shd w:val="clear" w:color="auto" w:fill="auto"/>
          </w:tcPr>
          <w:p w:rsidR="00917C1F" w:rsidRPr="001B1D27" w:rsidRDefault="00917C1F" w:rsidP="000533C7">
            <w:pPr>
              <w:jc w:val="center"/>
              <w:rPr>
                <w:rFonts w:ascii="Arial" w:hAnsi="Arial" w:cs="Arial"/>
                <w:sz w:val="20"/>
                <w:szCs w:val="20"/>
              </w:rPr>
            </w:pPr>
            <w:r>
              <w:rPr>
                <w:rFonts w:ascii="Arial" w:hAnsi="Arial" w:cs="Arial"/>
                <w:sz w:val="20"/>
                <w:szCs w:val="20"/>
              </w:rPr>
              <w:t>5.456</w:t>
            </w:r>
          </w:p>
        </w:tc>
        <w:tc>
          <w:tcPr>
            <w:tcW w:w="891" w:type="pct"/>
            <w:tcBorders>
              <w:top w:val="nil"/>
              <w:left w:val="single" w:sz="4" w:space="0" w:color="auto"/>
              <w:bottom w:val="single" w:sz="4" w:space="0" w:color="auto"/>
              <w:right w:val="single" w:sz="4" w:space="0" w:color="auto"/>
            </w:tcBorders>
            <w:shd w:val="clear" w:color="auto" w:fill="auto"/>
          </w:tcPr>
          <w:p w:rsidR="00917C1F" w:rsidRPr="001B1D27" w:rsidRDefault="00917C1F" w:rsidP="000533C7">
            <w:pPr>
              <w:jc w:val="center"/>
              <w:rPr>
                <w:rFonts w:ascii="Arial" w:hAnsi="Arial" w:cs="Arial"/>
                <w:sz w:val="20"/>
                <w:szCs w:val="20"/>
              </w:rPr>
            </w:pPr>
            <w:r>
              <w:rPr>
                <w:rFonts w:ascii="Arial" w:hAnsi="Arial" w:cs="Arial"/>
                <w:sz w:val="20"/>
                <w:szCs w:val="20"/>
              </w:rPr>
              <w:t>0.796</w:t>
            </w:r>
          </w:p>
        </w:tc>
      </w:tr>
    </w:tbl>
    <w:p w:rsidR="00917C1F" w:rsidRDefault="00917C1F" w:rsidP="00917C1F">
      <w:pPr>
        <w:jc w:val="both"/>
        <w:rPr>
          <w:rFonts w:ascii="Arial" w:hAnsi="Arial" w:cs="Arial"/>
        </w:rPr>
      </w:pPr>
    </w:p>
    <w:p w:rsidR="00917C1F" w:rsidRPr="00DF2FE2" w:rsidRDefault="00917C1F" w:rsidP="00917C1F">
      <w:pPr>
        <w:pStyle w:val="Ttulo2"/>
        <w:keepLines w:val="0"/>
        <w:numPr>
          <w:ilvl w:val="1"/>
          <w:numId w:val="1"/>
        </w:numPr>
        <w:tabs>
          <w:tab w:val="clear" w:pos="576"/>
          <w:tab w:val="num" w:pos="0"/>
        </w:tabs>
        <w:suppressAutoHyphens/>
        <w:spacing w:before="0" w:line="360" w:lineRule="auto"/>
        <w:ind w:left="0" w:firstLine="0"/>
        <w:jc w:val="both"/>
        <w:rPr>
          <w:rFonts w:ascii="Arial" w:hAnsi="Arial" w:cs="Arial"/>
          <w:b/>
          <w:bCs/>
          <w:i/>
          <w:color w:val="000000"/>
          <w:sz w:val="24"/>
          <w:szCs w:val="24"/>
        </w:rPr>
      </w:pPr>
      <w:bookmarkStart w:id="462" w:name="_Toc50031485"/>
      <w:r w:rsidRPr="00DF2FE2">
        <w:rPr>
          <w:rFonts w:ascii="Arial" w:hAnsi="Arial" w:cs="Arial"/>
          <w:b/>
          <w:bCs/>
          <w:i/>
          <w:color w:val="000000"/>
          <w:sz w:val="24"/>
          <w:szCs w:val="24"/>
        </w:rPr>
        <w:t>4.4 Cinética de adsorción de Aluminio</w:t>
      </w:r>
      <w:bookmarkEnd w:id="462"/>
    </w:p>
    <w:p w:rsidR="00917C1F" w:rsidRDefault="00917C1F" w:rsidP="00917C1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Arial" w:eastAsia="Times New Roman" w:hAnsi="Arial" w:cs="Arial"/>
          <w:color w:val="222222"/>
          <w:lang w:eastAsia="es-NI"/>
        </w:rPr>
      </w:pPr>
      <w:r>
        <w:rPr>
          <w:rFonts w:ascii="Arial" w:eastAsia="Times New Roman" w:hAnsi="Arial" w:cs="Arial"/>
          <w:color w:val="222222"/>
          <w:lang w:eastAsia="es-NI"/>
        </w:rPr>
        <w:t xml:space="preserve">Para identificar el mecanismo controlante en la velocidad de </w:t>
      </w:r>
      <w:r w:rsidRPr="00693993">
        <w:rPr>
          <w:rFonts w:ascii="Arial" w:eastAsia="Times New Roman" w:hAnsi="Arial" w:cs="Arial"/>
          <w:color w:val="222222"/>
          <w:lang w:eastAsia="es-NI"/>
        </w:rPr>
        <w:t>adsorción de aluminio en quitosano y</w:t>
      </w:r>
      <w:r>
        <w:rPr>
          <w:rFonts w:ascii="Arial" w:eastAsia="Times New Roman" w:hAnsi="Arial" w:cs="Arial"/>
          <w:color w:val="222222"/>
          <w:lang w:eastAsia="es-NI"/>
        </w:rPr>
        <w:t xml:space="preserve"> en</w:t>
      </w:r>
      <w:r w:rsidRPr="00693993">
        <w:rPr>
          <w:rFonts w:ascii="Arial" w:eastAsia="Times New Roman" w:hAnsi="Arial" w:cs="Arial"/>
          <w:color w:val="222222"/>
          <w:lang w:eastAsia="es-NI"/>
        </w:rPr>
        <w:t xml:space="preserve"> cáscara de arroz</w:t>
      </w:r>
      <w:r>
        <w:rPr>
          <w:rFonts w:ascii="Arial" w:eastAsia="Times New Roman" w:hAnsi="Arial" w:cs="Arial"/>
          <w:color w:val="222222"/>
          <w:lang w:eastAsia="es-NI"/>
        </w:rPr>
        <w:t>, l</w:t>
      </w:r>
      <w:r w:rsidRPr="00693993">
        <w:rPr>
          <w:rFonts w:ascii="Arial" w:eastAsia="Times New Roman" w:hAnsi="Arial" w:cs="Arial"/>
          <w:color w:val="222222"/>
          <w:lang w:eastAsia="es-NI"/>
        </w:rPr>
        <w:t xml:space="preserve">os datos experimentales </w:t>
      </w:r>
      <w:r>
        <w:rPr>
          <w:rFonts w:ascii="Arial" w:eastAsia="Times New Roman" w:hAnsi="Arial" w:cs="Arial"/>
          <w:color w:val="222222"/>
          <w:lang w:eastAsia="es-NI"/>
        </w:rPr>
        <w:t>fueron ajustados</w:t>
      </w:r>
      <w:r w:rsidRPr="00693993">
        <w:rPr>
          <w:rFonts w:ascii="Arial" w:eastAsia="Times New Roman" w:hAnsi="Arial" w:cs="Arial"/>
          <w:color w:val="222222"/>
          <w:lang w:eastAsia="es-NI"/>
        </w:rPr>
        <w:t xml:space="preserve"> </w:t>
      </w:r>
      <w:r>
        <w:rPr>
          <w:rFonts w:ascii="Arial" w:eastAsia="Times New Roman" w:hAnsi="Arial" w:cs="Arial"/>
          <w:color w:val="222222"/>
          <w:lang w:eastAsia="es-NI"/>
        </w:rPr>
        <w:t>a los</w:t>
      </w:r>
      <w:r w:rsidRPr="00693993">
        <w:rPr>
          <w:rFonts w:ascii="Arial" w:eastAsia="Times New Roman" w:hAnsi="Arial" w:cs="Arial"/>
          <w:color w:val="222222"/>
          <w:lang w:eastAsia="es-NI"/>
        </w:rPr>
        <w:t xml:space="preserve"> modelos de pseudo primer orden y pseudo segundo orden. Los resultados mostraron que el modelo de pseudo-segundo orden era el que mejor se ajustaba a los datos experimentales </w:t>
      </w:r>
      <w:r>
        <w:rPr>
          <w:rFonts w:ascii="Arial" w:eastAsia="Times New Roman" w:hAnsi="Arial" w:cs="Arial"/>
          <w:color w:val="222222"/>
          <w:lang w:eastAsia="es-NI"/>
        </w:rPr>
        <w:t xml:space="preserve">con un coeficiente de correlación </w:t>
      </w:r>
      <w:r w:rsidRPr="00693993">
        <w:rPr>
          <w:rFonts w:ascii="Arial" w:eastAsia="Times New Roman" w:hAnsi="Arial" w:cs="Arial"/>
          <w:color w:val="222222"/>
          <w:lang w:eastAsia="es-NI"/>
        </w:rPr>
        <w:t>R</w:t>
      </w:r>
      <w:r w:rsidRPr="00693993">
        <w:rPr>
          <w:rFonts w:ascii="Arial" w:eastAsia="Times New Roman" w:hAnsi="Arial" w:cs="Arial"/>
          <w:color w:val="222222"/>
          <w:vertAlign w:val="superscript"/>
          <w:lang w:eastAsia="es-NI"/>
        </w:rPr>
        <w:t>2</w:t>
      </w:r>
      <w:r>
        <w:rPr>
          <w:rFonts w:ascii="Arial" w:eastAsia="Times New Roman" w:hAnsi="Arial" w:cs="Arial"/>
          <w:color w:val="222222"/>
          <w:lang w:eastAsia="es-NI"/>
        </w:rPr>
        <w:t xml:space="preserve"> mayor que</w:t>
      </w:r>
      <w:r w:rsidRPr="00693993">
        <w:rPr>
          <w:rFonts w:ascii="Arial" w:eastAsia="Times New Roman" w:hAnsi="Arial" w:cs="Arial"/>
          <w:color w:val="222222"/>
          <w:lang w:eastAsia="es-NI"/>
        </w:rPr>
        <w:t xml:space="preserve"> 0.99 (Figura </w:t>
      </w:r>
      <w:r>
        <w:rPr>
          <w:rFonts w:ascii="Arial" w:eastAsia="Times New Roman" w:hAnsi="Arial" w:cs="Arial"/>
          <w:color w:val="222222"/>
          <w:lang w:eastAsia="es-NI"/>
        </w:rPr>
        <w:t>6). Estos resultados</w:t>
      </w:r>
      <w:r w:rsidRPr="00693993">
        <w:rPr>
          <w:rFonts w:ascii="Arial" w:eastAsia="Times New Roman" w:hAnsi="Arial" w:cs="Arial"/>
          <w:color w:val="222222"/>
          <w:lang w:eastAsia="es-NI"/>
        </w:rPr>
        <w:t xml:space="preserve"> indica</w:t>
      </w:r>
      <w:r>
        <w:rPr>
          <w:rFonts w:ascii="Arial" w:eastAsia="Times New Roman" w:hAnsi="Arial" w:cs="Arial"/>
          <w:color w:val="222222"/>
          <w:lang w:eastAsia="es-NI"/>
        </w:rPr>
        <w:t>n</w:t>
      </w:r>
      <w:r w:rsidRPr="00693993">
        <w:rPr>
          <w:rFonts w:ascii="Arial" w:eastAsia="Times New Roman" w:hAnsi="Arial" w:cs="Arial"/>
          <w:color w:val="222222"/>
          <w:lang w:eastAsia="es-NI"/>
        </w:rPr>
        <w:t xml:space="preserve"> que el paso control</w:t>
      </w:r>
      <w:r>
        <w:rPr>
          <w:rFonts w:ascii="Arial" w:eastAsia="Times New Roman" w:hAnsi="Arial" w:cs="Arial"/>
          <w:color w:val="222222"/>
          <w:lang w:eastAsia="es-NI"/>
        </w:rPr>
        <w:t>ante en el proceso</w:t>
      </w:r>
      <w:r w:rsidRPr="00693993">
        <w:rPr>
          <w:rFonts w:ascii="Arial" w:eastAsia="Times New Roman" w:hAnsi="Arial" w:cs="Arial"/>
          <w:color w:val="222222"/>
          <w:lang w:eastAsia="es-NI"/>
        </w:rPr>
        <w:t xml:space="preserve"> de adsorción </w:t>
      </w:r>
      <w:r>
        <w:rPr>
          <w:rFonts w:ascii="Arial" w:eastAsia="Times New Roman" w:hAnsi="Arial" w:cs="Arial"/>
          <w:color w:val="222222"/>
          <w:lang w:eastAsia="es-NI"/>
        </w:rPr>
        <w:t>del aluminio en ambos bioadsorbentes</w:t>
      </w:r>
      <w:r w:rsidRPr="00693993">
        <w:rPr>
          <w:rFonts w:ascii="Arial" w:eastAsia="Times New Roman" w:hAnsi="Arial" w:cs="Arial"/>
          <w:color w:val="222222"/>
          <w:lang w:eastAsia="es-NI"/>
        </w:rPr>
        <w:t xml:space="preserve"> es la adsorción </w:t>
      </w:r>
      <w:r>
        <w:rPr>
          <w:rFonts w:ascii="Arial" w:eastAsia="Times New Roman" w:hAnsi="Arial" w:cs="Arial"/>
          <w:color w:val="222222"/>
          <w:lang w:eastAsia="es-NI"/>
        </w:rPr>
        <w:t xml:space="preserve">del ion aluminio en los sitios activos del adsorbente </w:t>
      </w:r>
      <w:r w:rsidRPr="00007A01">
        <w:rPr>
          <w:rFonts w:ascii="Arial" w:eastAsia="Calibri" w:hAnsi="Arial" w:cs="Arial"/>
          <w:vertAlign w:val="superscript"/>
          <w:lang w:val="es-NI"/>
        </w:rPr>
        <w:t>[</w:t>
      </w:r>
      <w:r>
        <w:rPr>
          <w:rFonts w:ascii="Arial" w:eastAsia="Calibri" w:hAnsi="Arial" w:cs="Arial"/>
          <w:vertAlign w:val="superscript"/>
          <w:lang w:val="es-NI"/>
        </w:rPr>
        <w:t>13</w:t>
      </w:r>
      <w:r w:rsidRPr="00007A01">
        <w:rPr>
          <w:rFonts w:ascii="Arial" w:eastAsia="Calibri" w:hAnsi="Arial" w:cs="Arial"/>
          <w:vertAlign w:val="superscript"/>
          <w:lang w:val="es-NI"/>
        </w:rPr>
        <w:t>]</w:t>
      </w:r>
      <w:r w:rsidRPr="00693993">
        <w:rPr>
          <w:rFonts w:ascii="Arial" w:eastAsia="Times New Roman" w:hAnsi="Arial" w:cs="Arial"/>
          <w:color w:val="222222"/>
          <w:lang w:eastAsia="es-NI"/>
        </w:rPr>
        <w:t xml:space="preserve">. </w:t>
      </w:r>
    </w:p>
    <w:p w:rsidR="00917C1F" w:rsidRPr="00693993" w:rsidRDefault="00917C1F" w:rsidP="00917C1F">
      <w:pPr>
        <w:jc w:val="both"/>
        <w:rPr>
          <w:rFonts w:ascii="Arial" w:hAnsi="Arial" w:cs="Arial"/>
          <w:lang w:val="es-NI"/>
        </w:rPr>
      </w:pPr>
    </w:p>
    <w:tbl>
      <w:tblPr>
        <w:tblW w:w="9620"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10"/>
        <w:gridCol w:w="4810"/>
      </w:tblGrid>
      <w:tr w:rsidR="00917C1F" w:rsidRPr="00477D23" w:rsidTr="000533C7">
        <w:tc>
          <w:tcPr>
            <w:tcW w:w="4810" w:type="dxa"/>
            <w:tcBorders>
              <w:top w:val="nil"/>
              <w:left w:val="nil"/>
              <w:bottom w:val="nil"/>
              <w:right w:val="nil"/>
            </w:tcBorders>
            <w:shd w:val="clear" w:color="auto" w:fill="auto"/>
          </w:tcPr>
          <w:p w:rsidR="00917C1F" w:rsidRPr="00477D23" w:rsidRDefault="00917C1F" w:rsidP="000533C7">
            <w:pPr>
              <w:spacing w:line="360" w:lineRule="auto"/>
              <w:jc w:val="center"/>
              <w:rPr>
                <w:rFonts w:ascii="Arial" w:hAnsi="Arial" w:cs="Arial"/>
              </w:rPr>
            </w:pPr>
            <w:r w:rsidRPr="004C0AF2">
              <w:rPr>
                <w:noProof/>
                <w:lang w:val="en-US"/>
              </w:rPr>
              <w:drawing>
                <wp:inline distT="0" distB="0" distL="0" distR="0" wp14:anchorId="53096634" wp14:editId="2AA2C53D">
                  <wp:extent cx="2628900" cy="1981200"/>
                  <wp:effectExtent l="0" t="0" r="0" b="0"/>
                  <wp:docPr id="146" name="Imagen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1341" cstate="print">
                            <a:extLst>
                              <a:ext uri="{28A0092B-C50C-407E-A947-70E740481C1C}">
                                <a14:useLocalDpi xmlns:a14="http://schemas.microsoft.com/office/drawing/2010/main" val="0"/>
                              </a:ext>
                            </a:extLst>
                          </a:blip>
                          <a:srcRect r="-90"/>
                          <a:stretch>
                            <a:fillRect/>
                          </a:stretch>
                        </pic:blipFill>
                        <pic:spPr bwMode="auto">
                          <a:xfrm>
                            <a:off x="0" y="0"/>
                            <a:ext cx="2628900" cy="1981200"/>
                          </a:xfrm>
                          <a:prstGeom prst="rect">
                            <a:avLst/>
                          </a:prstGeom>
                          <a:noFill/>
                          <a:ln>
                            <a:noFill/>
                          </a:ln>
                        </pic:spPr>
                      </pic:pic>
                    </a:graphicData>
                  </a:graphic>
                </wp:inline>
              </w:drawing>
            </w:r>
          </w:p>
        </w:tc>
        <w:tc>
          <w:tcPr>
            <w:tcW w:w="4810" w:type="dxa"/>
            <w:tcBorders>
              <w:top w:val="nil"/>
              <w:left w:val="nil"/>
              <w:bottom w:val="nil"/>
              <w:right w:val="nil"/>
            </w:tcBorders>
            <w:shd w:val="clear" w:color="auto" w:fill="auto"/>
          </w:tcPr>
          <w:p w:rsidR="00917C1F" w:rsidRPr="00477D23" w:rsidRDefault="00917C1F" w:rsidP="000533C7">
            <w:pPr>
              <w:spacing w:line="360" w:lineRule="auto"/>
              <w:jc w:val="center"/>
              <w:rPr>
                <w:rFonts w:ascii="Arial" w:hAnsi="Arial" w:cs="Arial"/>
              </w:rPr>
            </w:pPr>
            <w:r w:rsidRPr="004C0AF2">
              <w:rPr>
                <w:noProof/>
                <w:lang w:val="en-US"/>
              </w:rPr>
              <w:drawing>
                <wp:inline distT="0" distB="0" distL="0" distR="0" wp14:anchorId="417581AA" wp14:editId="53FC1BB1">
                  <wp:extent cx="2628900" cy="1981200"/>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spect="1" noChangeArrowheads="1"/>
                          </pic:cNvPicPr>
                        </pic:nvPicPr>
                        <pic:blipFill>
                          <a:blip r:embed="rId1342" cstate="print">
                            <a:extLst>
                              <a:ext uri="{28A0092B-C50C-407E-A947-70E740481C1C}">
                                <a14:useLocalDpi xmlns:a14="http://schemas.microsoft.com/office/drawing/2010/main" val="0"/>
                              </a:ext>
                            </a:extLst>
                          </a:blip>
                          <a:srcRect r="-90"/>
                          <a:stretch>
                            <a:fillRect/>
                          </a:stretch>
                        </pic:blipFill>
                        <pic:spPr bwMode="auto">
                          <a:xfrm>
                            <a:off x="0" y="0"/>
                            <a:ext cx="2628900" cy="1981200"/>
                          </a:xfrm>
                          <a:prstGeom prst="rect">
                            <a:avLst/>
                          </a:prstGeom>
                          <a:noFill/>
                          <a:ln>
                            <a:noFill/>
                          </a:ln>
                        </pic:spPr>
                      </pic:pic>
                    </a:graphicData>
                  </a:graphic>
                </wp:inline>
              </w:drawing>
            </w:r>
          </w:p>
        </w:tc>
      </w:tr>
      <w:tr w:rsidR="00917C1F" w:rsidRPr="003B4C0E" w:rsidTr="000533C7">
        <w:tblPrEx>
          <w:tblCellMar>
            <w:left w:w="108" w:type="dxa"/>
            <w:right w:w="108" w:type="dxa"/>
          </w:tblCellMar>
        </w:tblPrEx>
        <w:tc>
          <w:tcPr>
            <w:tcW w:w="4810" w:type="dxa"/>
            <w:tcBorders>
              <w:top w:val="nil"/>
              <w:left w:val="nil"/>
              <w:bottom w:val="nil"/>
              <w:right w:val="nil"/>
            </w:tcBorders>
            <w:shd w:val="clear" w:color="auto" w:fill="auto"/>
          </w:tcPr>
          <w:p w:rsidR="00917C1F" w:rsidRPr="003B4C0E" w:rsidRDefault="00917C1F" w:rsidP="001D2A3D">
            <w:pPr>
              <w:pStyle w:val="Prrafodelista"/>
              <w:numPr>
                <w:ilvl w:val="0"/>
                <w:numId w:val="76"/>
              </w:numPr>
              <w:spacing w:after="0" w:line="240" w:lineRule="auto"/>
              <w:jc w:val="center"/>
              <w:rPr>
                <w:rFonts w:ascii="Arial" w:hAnsi="Arial" w:cs="Arial"/>
                <w:sz w:val="20"/>
                <w:szCs w:val="20"/>
              </w:rPr>
            </w:pPr>
          </w:p>
        </w:tc>
        <w:tc>
          <w:tcPr>
            <w:tcW w:w="4810" w:type="dxa"/>
            <w:tcBorders>
              <w:top w:val="nil"/>
              <w:left w:val="nil"/>
              <w:bottom w:val="nil"/>
              <w:right w:val="nil"/>
            </w:tcBorders>
            <w:shd w:val="clear" w:color="auto" w:fill="auto"/>
          </w:tcPr>
          <w:p w:rsidR="00917C1F" w:rsidRPr="003B4C0E" w:rsidRDefault="00917C1F" w:rsidP="001D2A3D">
            <w:pPr>
              <w:numPr>
                <w:ilvl w:val="0"/>
                <w:numId w:val="76"/>
              </w:numPr>
              <w:suppressAutoHyphens/>
              <w:spacing w:after="0" w:line="240" w:lineRule="auto"/>
              <w:jc w:val="center"/>
              <w:rPr>
                <w:rFonts w:ascii="Arial" w:hAnsi="Arial" w:cs="Arial"/>
                <w:sz w:val="20"/>
                <w:szCs w:val="20"/>
              </w:rPr>
            </w:pPr>
          </w:p>
        </w:tc>
      </w:tr>
    </w:tbl>
    <w:p w:rsidR="00917C1F" w:rsidRPr="00842147" w:rsidRDefault="00917C1F" w:rsidP="00917C1F">
      <w:pPr>
        <w:jc w:val="both"/>
        <w:rPr>
          <w:rFonts w:ascii="Arial" w:hAnsi="Arial" w:cs="Arial"/>
        </w:rPr>
      </w:pPr>
    </w:p>
    <w:p w:rsidR="00917C1F" w:rsidRDefault="00917C1F" w:rsidP="00917C1F">
      <w:pPr>
        <w:jc w:val="center"/>
        <w:rPr>
          <w:rFonts w:ascii="Arial" w:hAnsi="Arial" w:cs="Arial"/>
          <w:bCs/>
          <w:i/>
          <w:sz w:val="20"/>
          <w:szCs w:val="20"/>
        </w:rPr>
      </w:pPr>
      <w:r w:rsidRPr="006F4FC4">
        <w:rPr>
          <w:rFonts w:ascii="Arial" w:hAnsi="Arial" w:cs="Arial"/>
          <w:bCs/>
          <w:i/>
          <w:sz w:val="20"/>
          <w:szCs w:val="20"/>
        </w:rPr>
        <w:t xml:space="preserve">Figura </w:t>
      </w:r>
      <w:r>
        <w:rPr>
          <w:rFonts w:ascii="Arial" w:hAnsi="Arial" w:cs="Arial"/>
          <w:bCs/>
          <w:i/>
          <w:sz w:val="20"/>
          <w:szCs w:val="20"/>
        </w:rPr>
        <w:t>6</w:t>
      </w:r>
      <w:r w:rsidRPr="006F4FC4">
        <w:rPr>
          <w:rFonts w:ascii="Arial" w:hAnsi="Arial" w:cs="Arial"/>
          <w:bCs/>
          <w:i/>
          <w:sz w:val="20"/>
          <w:szCs w:val="20"/>
        </w:rPr>
        <w:t xml:space="preserve">. </w:t>
      </w:r>
      <w:r>
        <w:rPr>
          <w:rFonts w:ascii="Arial" w:hAnsi="Arial" w:cs="Arial"/>
          <w:bCs/>
          <w:i/>
          <w:sz w:val="20"/>
          <w:szCs w:val="20"/>
        </w:rPr>
        <w:t>Forma linealizada de la ecuación de pseudo segundo orden de la cinética de adsorción de aluminio en (a) quitosano y (b) cascarilla de arroz</w:t>
      </w:r>
      <w:r w:rsidRPr="006F4FC4">
        <w:rPr>
          <w:rFonts w:ascii="Arial" w:hAnsi="Arial" w:cs="Arial"/>
          <w:bCs/>
          <w:i/>
          <w:sz w:val="20"/>
          <w:szCs w:val="20"/>
        </w:rPr>
        <w:t>.</w:t>
      </w:r>
    </w:p>
    <w:p w:rsidR="00917C1F" w:rsidRDefault="00917C1F" w:rsidP="00917C1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Arial" w:eastAsia="Times New Roman" w:hAnsi="Arial" w:cs="Arial"/>
          <w:color w:val="222222"/>
          <w:lang w:eastAsia="es-NI"/>
        </w:rPr>
      </w:pPr>
    </w:p>
    <w:p w:rsidR="00917C1F" w:rsidRPr="00693993" w:rsidRDefault="00917C1F" w:rsidP="00917C1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Arial" w:eastAsia="Times New Roman" w:hAnsi="Arial" w:cs="Arial"/>
          <w:color w:val="222222"/>
          <w:lang w:val="es-NI" w:eastAsia="es-NI"/>
        </w:rPr>
      </w:pPr>
      <w:r w:rsidRPr="00693993">
        <w:rPr>
          <w:rFonts w:ascii="Arial" w:eastAsia="Times New Roman" w:hAnsi="Arial" w:cs="Arial"/>
          <w:color w:val="222222"/>
          <w:lang w:eastAsia="es-NI"/>
        </w:rPr>
        <w:t>Los parámetros de la ecuación de pseudo-segundo orden</w:t>
      </w:r>
      <w:r>
        <w:rPr>
          <w:rFonts w:ascii="Arial" w:eastAsia="Times New Roman" w:hAnsi="Arial" w:cs="Arial"/>
          <w:color w:val="222222"/>
          <w:lang w:eastAsia="es-NI"/>
        </w:rPr>
        <w:t>:</w:t>
      </w:r>
      <w:r w:rsidRPr="00693993">
        <w:rPr>
          <w:rFonts w:ascii="Arial" w:eastAsia="Times New Roman" w:hAnsi="Arial" w:cs="Arial"/>
          <w:color w:val="222222"/>
          <w:lang w:eastAsia="es-NI"/>
        </w:rPr>
        <w:t xml:space="preserve"> </w:t>
      </w:r>
      <w:r>
        <w:rPr>
          <w:rFonts w:ascii="Arial" w:eastAsia="Times New Roman" w:hAnsi="Arial" w:cs="Arial"/>
          <w:color w:val="222222"/>
          <w:lang w:eastAsia="es-NI"/>
        </w:rPr>
        <w:t xml:space="preserve">la </w:t>
      </w:r>
      <w:r w:rsidRPr="00693993">
        <w:rPr>
          <w:rFonts w:ascii="Arial" w:eastAsia="Times New Roman" w:hAnsi="Arial" w:cs="Arial"/>
          <w:color w:val="222222"/>
          <w:lang w:eastAsia="es-NI"/>
        </w:rPr>
        <w:t>capacidad de adsorción</w:t>
      </w:r>
      <w:r>
        <w:rPr>
          <w:rFonts w:ascii="Arial" w:eastAsia="Times New Roman" w:hAnsi="Arial" w:cs="Arial"/>
          <w:color w:val="222222"/>
          <w:lang w:eastAsia="es-NI"/>
        </w:rPr>
        <w:t xml:space="preserve"> en el equilibrio</w:t>
      </w:r>
      <w:r w:rsidRPr="00693993">
        <w:rPr>
          <w:rFonts w:ascii="Arial" w:eastAsia="Times New Roman" w:hAnsi="Arial" w:cs="Arial"/>
          <w:color w:val="222222"/>
          <w:lang w:eastAsia="es-NI"/>
        </w:rPr>
        <w:t xml:space="preserve"> (</w:t>
      </w:r>
      <w:r>
        <w:rPr>
          <w:rFonts w:ascii="Arial" w:eastAsia="Times New Roman" w:hAnsi="Arial" w:cs="Arial"/>
          <w:color w:val="222222"/>
          <w:lang w:eastAsia="es-NI"/>
        </w:rPr>
        <w:t>q</w:t>
      </w:r>
      <w:r w:rsidRPr="00452C5F">
        <w:rPr>
          <w:rFonts w:ascii="Arial" w:eastAsia="Times New Roman" w:hAnsi="Arial" w:cs="Arial"/>
          <w:color w:val="222222"/>
          <w:vertAlign w:val="subscript"/>
          <w:lang w:eastAsia="es-NI"/>
        </w:rPr>
        <w:t>e</w:t>
      </w:r>
      <w:r w:rsidRPr="00693993">
        <w:rPr>
          <w:rFonts w:ascii="Arial" w:eastAsia="Times New Roman" w:hAnsi="Arial" w:cs="Arial"/>
          <w:color w:val="222222"/>
          <w:lang w:eastAsia="es-NI"/>
        </w:rPr>
        <w:t xml:space="preserve">) y </w:t>
      </w:r>
      <w:r>
        <w:rPr>
          <w:rFonts w:ascii="Arial" w:eastAsia="Times New Roman" w:hAnsi="Arial" w:cs="Arial"/>
          <w:color w:val="222222"/>
          <w:lang w:eastAsia="es-NI"/>
        </w:rPr>
        <w:t xml:space="preserve">la </w:t>
      </w:r>
      <w:r w:rsidRPr="00693993">
        <w:rPr>
          <w:rFonts w:ascii="Arial" w:eastAsia="Times New Roman" w:hAnsi="Arial" w:cs="Arial"/>
          <w:color w:val="222222"/>
          <w:lang w:eastAsia="es-NI"/>
        </w:rPr>
        <w:t>constante de velocidad de pseudo-segundo orden (k</w:t>
      </w:r>
      <w:r w:rsidRPr="00452C5F">
        <w:rPr>
          <w:rFonts w:ascii="Arial" w:eastAsia="Times New Roman" w:hAnsi="Arial" w:cs="Arial"/>
          <w:color w:val="222222"/>
          <w:vertAlign w:val="subscript"/>
          <w:lang w:eastAsia="es-NI"/>
        </w:rPr>
        <w:t>2</w:t>
      </w:r>
      <w:r w:rsidRPr="00693993">
        <w:rPr>
          <w:rFonts w:ascii="Arial" w:eastAsia="Times New Roman" w:hAnsi="Arial" w:cs="Arial"/>
          <w:color w:val="222222"/>
          <w:lang w:eastAsia="es-NI"/>
        </w:rPr>
        <w:t xml:space="preserve">), </w:t>
      </w:r>
      <w:r>
        <w:rPr>
          <w:rFonts w:ascii="Arial" w:hAnsi="Arial" w:cs="Arial"/>
        </w:rPr>
        <w:t>calcula</w:t>
      </w:r>
      <w:r w:rsidRPr="00842147">
        <w:rPr>
          <w:rFonts w:ascii="Arial" w:hAnsi="Arial" w:cs="Arial"/>
        </w:rPr>
        <w:t>dos</w:t>
      </w:r>
      <w:r>
        <w:rPr>
          <w:rFonts w:ascii="Arial" w:hAnsi="Arial" w:cs="Arial"/>
        </w:rPr>
        <w:t xml:space="preserve"> a partir de la ecuación del gráfico de regresión lineal presentado en la Figura 6.a y 6.b</w:t>
      </w:r>
      <w:r w:rsidRPr="00693993">
        <w:rPr>
          <w:rFonts w:ascii="Arial" w:eastAsia="Times New Roman" w:hAnsi="Arial" w:cs="Arial"/>
          <w:color w:val="222222"/>
          <w:lang w:eastAsia="es-NI"/>
        </w:rPr>
        <w:t>,</w:t>
      </w:r>
      <w:r>
        <w:rPr>
          <w:rFonts w:ascii="Arial" w:eastAsia="Times New Roman" w:hAnsi="Arial" w:cs="Arial"/>
          <w:color w:val="222222"/>
          <w:lang w:eastAsia="es-NI"/>
        </w:rPr>
        <w:t xml:space="preserve"> </w:t>
      </w:r>
      <w:r w:rsidRPr="00693993">
        <w:rPr>
          <w:rFonts w:ascii="Arial" w:eastAsia="Times New Roman" w:hAnsi="Arial" w:cs="Arial"/>
          <w:color w:val="222222"/>
          <w:lang w:eastAsia="es-NI"/>
        </w:rPr>
        <w:t xml:space="preserve">se presentan en la Tabla </w:t>
      </w:r>
      <w:r>
        <w:rPr>
          <w:rFonts w:ascii="Arial" w:eastAsia="Times New Roman" w:hAnsi="Arial" w:cs="Arial"/>
          <w:color w:val="222222"/>
          <w:lang w:eastAsia="es-NI"/>
        </w:rPr>
        <w:t>2</w:t>
      </w:r>
      <w:r w:rsidRPr="00693993">
        <w:rPr>
          <w:rFonts w:ascii="Arial" w:eastAsia="Times New Roman" w:hAnsi="Arial" w:cs="Arial"/>
          <w:color w:val="222222"/>
          <w:lang w:eastAsia="es-NI"/>
        </w:rPr>
        <w:t>.</w:t>
      </w:r>
    </w:p>
    <w:p w:rsidR="00917C1F" w:rsidRDefault="00917C1F" w:rsidP="00917C1F">
      <w:pPr>
        <w:jc w:val="both"/>
        <w:rPr>
          <w:rFonts w:ascii="Arial" w:hAnsi="Arial" w:cs="Arial"/>
        </w:rPr>
      </w:pPr>
    </w:p>
    <w:p w:rsidR="00917C1F" w:rsidRDefault="00917C1F" w:rsidP="00917C1F">
      <w:pPr>
        <w:spacing w:line="360" w:lineRule="auto"/>
        <w:jc w:val="center"/>
        <w:rPr>
          <w:rFonts w:ascii="Arial" w:hAnsi="Arial" w:cs="Arial"/>
        </w:rPr>
      </w:pPr>
      <w:r w:rsidRPr="00397AAD">
        <w:rPr>
          <w:rFonts w:ascii="Arial" w:hAnsi="Arial" w:cs="Arial"/>
          <w:i/>
          <w:sz w:val="20"/>
          <w:szCs w:val="20"/>
        </w:rPr>
        <w:t xml:space="preserve">Tabla </w:t>
      </w:r>
      <w:r>
        <w:rPr>
          <w:rFonts w:ascii="Arial" w:hAnsi="Arial" w:cs="Arial"/>
          <w:i/>
          <w:sz w:val="20"/>
          <w:szCs w:val="20"/>
        </w:rPr>
        <w:t>2</w:t>
      </w:r>
      <w:r w:rsidRPr="00397AAD">
        <w:rPr>
          <w:rFonts w:ascii="Arial" w:hAnsi="Arial" w:cs="Arial"/>
          <w:i/>
          <w:sz w:val="20"/>
          <w:szCs w:val="20"/>
        </w:rPr>
        <w:t xml:space="preserve">. Parámetros </w:t>
      </w:r>
      <w:r>
        <w:rPr>
          <w:rFonts w:ascii="Arial" w:hAnsi="Arial" w:cs="Arial"/>
          <w:i/>
          <w:sz w:val="20"/>
          <w:szCs w:val="20"/>
        </w:rPr>
        <w:t>cinéticos de la adsorción de aluminio en quitosano y cascarilla de arroz.</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1990"/>
        <w:gridCol w:w="1494"/>
        <w:gridCol w:w="1492"/>
        <w:gridCol w:w="2240"/>
      </w:tblGrid>
      <w:tr w:rsidR="00917C1F" w:rsidRPr="000C632E" w:rsidTr="000533C7">
        <w:trPr>
          <w:trHeight w:val="533"/>
        </w:trPr>
        <w:tc>
          <w:tcPr>
            <w:tcW w:w="1160" w:type="pct"/>
            <w:vMerge w:val="restart"/>
            <w:shd w:val="clear" w:color="auto" w:fill="auto"/>
            <w:vAlign w:val="center"/>
          </w:tcPr>
          <w:p w:rsidR="00917C1F" w:rsidRPr="000C632E" w:rsidRDefault="00917C1F" w:rsidP="000533C7">
            <w:pPr>
              <w:rPr>
                <w:rFonts w:ascii="Arial" w:eastAsia="Calibri" w:hAnsi="Arial" w:cs="Arial"/>
                <w:b/>
                <w:sz w:val="20"/>
                <w:szCs w:val="20"/>
                <w:lang w:val="es-NI"/>
              </w:rPr>
            </w:pPr>
            <w:r w:rsidRPr="000C632E">
              <w:rPr>
                <w:rFonts w:ascii="Arial" w:eastAsia="Calibri" w:hAnsi="Arial" w:cs="Arial"/>
                <w:b/>
                <w:sz w:val="20"/>
                <w:szCs w:val="20"/>
                <w:lang w:val="es-NI"/>
              </w:rPr>
              <w:t>Adsorbente</w:t>
            </w:r>
          </w:p>
        </w:tc>
        <w:tc>
          <w:tcPr>
            <w:tcW w:w="1059" w:type="pct"/>
            <w:shd w:val="clear" w:color="auto" w:fill="auto"/>
            <w:vAlign w:val="center"/>
          </w:tcPr>
          <w:p w:rsidR="00917C1F" w:rsidRPr="000C632E" w:rsidRDefault="00917C1F" w:rsidP="000533C7">
            <w:pPr>
              <w:jc w:val="center"/>
              <w:rPr>
                <w:rFonts w:ascii="Arial" w:eastAsia="Calibri" w:hAnsi="Arial" w:cs="Arial"/>
                <w:b/>
                <w:sz w:val="20"/>
                <w:szCs w:val="20"/>
                <w:lang w:val="es-NI"/>
              </w:rPr>
            </w:pPr>
            <w:r w:rsidRPr="000C632E">
              <w:rPr>
                <w:rFonts w:ascii="Arial" w:eastAsia="Calibri" w:hAnsi="Arial" w:cs="Arial"/>
                <w:b/>
                <w:sz w:val="20"/>
                <w:szCs w:val="20"/>
                <w:lang w:val="es-NI"/>
              </w:rPr>
              <w:t>Pseudo Primer Orden</w:t>
            </w:r>
          </w:p>
        </w:tc>
        <w:tc>
          <w:tcPr>
            <w:tcW w:w="2781" w:type="pct"/>
            <w:gridSpan w:val="3"/>
            <w:shd w:val="clear" w:color="auto" w:fill="auto"/>
            <w:vAlign w:val="center"/>
          </w:tcPr>
          <w:p w:rsidR="00917C1F" w:rsidRPr="000C632E" w:rsidRDefault="00917C1F" w:rsidP="000533C7">
            <w:pPr>
              <w:jc w:val="center"/>
              <w:rPr>
                <w:rFonts w:ascii="Arial" w:eastAsia="Calibri" w:hAnsi="Arial" w:cs="Arial"/>
                <w:b/>
                <w:sz w:val="20"/>
                <w:szCs w:val="20"/>
                <w:lang w:val="es-NI"/>
              </w:rPr>
            </w:pPr>
            <w:r w:rsidRPr="000C632E">
              <w:rPr>
                <w:rFonts w:ascii="Arial" w:eastAsia="Calibri" w:hAnsi="Arial" w:cs="Arial"/>
                <w:b/>
                <w:sz w:val="20"/>
                <w:szCs w:val="20"/>
                <w:lang w:val="es-NI"/>
              </w:rPr>
              <w:t>Pseudo Segundo Orden</w:t>
            </w:r>
          </w:p>
        </w:tc>
      </w:tr>
      <w:tr w:rsidR="00917C1F" w:rsidRPr="000C632E" w:rsidTr="000533C7">
        <w:trPr>
          <w:trHeight w:val="435"/>
        </w:trPr>
        <w:tc>
          <w:tcPr>
            <w:tcW w:w="1160" w:type="pct"/>
            <w:vMerge/>
            <w:tcBorders>
              <w:bottom w:val="single" w:sz="4" w:space="0" w:color="auto"/>
            </w:tcBorders>
            <w:shd w:val="clear" w:color="auto" w:fill="auto"/>
          </w:tcPr>
          <w:p w:rsidR="00917C1F" w:rsidRPr="000C632E" w:rsidRDefault="00917C1F" w:rsidP="000533C7">
            <w:pPr>
              <w:jc w:val="both"/>
              <w:rPr>
                <w:rFonts w:ascii="Arial" w:eastAsia="Calibri" w:hAnsi="Arial" w:cs="Arial"/>
                <w:b/>
                <w:sz w:val="20"/>
                <w:szCs w:val="20"/>
                <w:lang w:val="es-NI"/>
              </w:rPr>
            </w:pPr>
          </w:p>
        </w:tc>
        <w:tc>
          <w:tcPr>
            <w:tcW w:w="1059" w:type="pct"/>
            <w:tcBorders>
              <w:bottom w:val="single" w:sz="4" w:space="0" w:color="auto"/>
            </w:tcBorders>
            <w:shd w:val="clear" w:color="auto" w:fill="auto"/>
          </w:tcPr>
          <w:p w:rsidR="00917C1F" w:rsidRPr="000C632E" w:rsidRDefault="00917C1F" w:rsidP="000533C7">
            <w:pPr>
              <w:jc w:val="center"/>
              <w:rPr>
                <w:rFonts w:ascii="Arial" w:eastAsia="Calibri" w:hAnsi="Arial" w:cs="Arial"/>
                <w:b/>
                <w:sz w:val="20"/>
                <w:szCs w:val="20"/>
                <w:lang w:val="es-NI"/>
              </w:rPr>
            </w:pPr>
            <w:r w:rsidRPr="000C632E">
              <w:rPr>
                <w:rFonts w:ascii="Arial" w:eastAsia="Calibri" w:hAnsi="Arial" w:cs="Arial"/>
                <w:b/>
                <w:sz w:val="20"/>
                <w:szCs w:val="20"/>
                <w:lang w:val="es-NI"/>
              </w:rPr>
              <w:t>R</w:t>
            </w:r>
            <w:r w:rsidRPr="000C632E">
              <w:rPr>
                <w:rFonts w:ascii="Arial" w:eastAsia="Calibri" w:hAnsi="Arial" w:cs="Arial"/>
                <w:b/>
                <w:sz w:val="20"/>
                <w:szCs w:val="20"/>
                <w:vertAlign w:val="superscript"/>
                <w:lang w:val="es-NI"/>
              </w:rPr>
              <w:t>2</w:t>
            </w:r>
          </w:p>
        </w:tc>
        <w:tc>
          <w:tcPr>
            <w:tcW w:w="795" w:type="pct"/>
            <w:tcBorders>
              <w:bottom w:val="single" w:sz="4" w:space="0" w:color="auto"/>
            </w:tcBorders>
            <w:shd w:val="clear" w:color="auto" w:fill="auto"/>
          </w:tcPr>
          <w:p w:rsidR="00917C1F" w:rsidRPr="000C632E" w:rsidRDefault="00917C1F" w:rsidP="000533C7">
            <w:pPr>
              <w:jc w:val="center"/>
              <w:rPr>
                <w:rFonts w:ascii="Arial" w:eastAsia="Calibri" w:hAnsi="Arial" w:cs="Arial"/>
                <w:b/>
                <w:sz w:val="20"/>
                <w:szCs w:val="20"/>
                <w:lang w:val="es-NI"/>
              </w:rPr>
            </w:pPr>
            <w:r w:rsidRPr="000C632E">
              <w:rPr>
                <w:rFonts w:ascii="Arial" w:eastAsia="Calibri" w:hAnsi="Arial" w:cs="Arial"/>
                <w:b/>
                <w:sz w:val="20"/>
                <w:szCs w:val="20"/>
                <w:lang w:val="es-NI"/>
              </w:rPr>
              <w:t>R</w:t>
            </w:r>
            <w:r w:rsidRPr="000C632E">
              <w:rPr>
                <w:rFonts w:ascii="Arial" w:eastAsia="Calibri" w:hAnsi="Arial" w:cs="Arial"/>
                <w:b/>
                <w:sz w:val="20"/>
                <w:szCs w:val="20"/>
                <w:vertAlign w:val="superscript"/>
                <w:lang w:val="es-NI"/>
              </w:rPr>
              <w:t>2</w:t>
            </w:r>
          </w:p>
        </w:tc>
        <w:tc>
          <w:tcPr>
            <w:tcW w:w="794" w:type="pct"/>
            <w:tcBorders>
              <w:bottom w:val="single" w:sz="4" w:space="0" w:color="auto"/>
            </w:tcBorders>
            <w:shd w:val="clear" w:color="auto" w:fill="auto"/>
          </w:tcPr>
          <w:p w:rsidR="00917C1F" w:rsidRDefault="00917C1F" w:rsidP="000533C7">
            <w:pPr>
              <w:jc w:val="center"/>
              <w:rPr>
                <w:rFonts w:ascii="Arial" w:eastAsia="Calibri" w:hAnsi="Arial" w:cs="Arial"/>
                <w:b/>
                <w:sz w:val="20"/>
                <w:szCs w:val="20"/>
                <w:lang w:val="es-NI"/>
              </w:rPr>
            </w:pPr>
            <w:r w:rsidRPr="000C632E">
              <w:rPr>
                <w:rFonts w:ascii="Arial" w:eastAsia="Calibri" w:hAnsi="Arial" w:cs="Arial"/>
                <w:b/>
                <w:sz w:val="20"/>
                <w:szCs w:val="20"/>
                <w:lang w:val="es-NI"/>
              </w:rPr>
              <w:t>q</w:t>
            </w:r>
            <w:r w:rsidRPr="000B57E2">
              <w:rPr>
                <w:rFonts w:ascii="Arial" w:eastAsia="Calibri" w:hAnsi="Arial" w:cs="Arial"/>
                <w:b/>
                <w:sz w:val="20"/>
                <w:szCs w:val="20"/>
                <w:vertAlign w:val="subscript"/>
                <w:lang w:val="es-NI"/>
              </w:rPr>
              <w:t>e</w:t>
            </w:r>
            <w:r w:rsidRPr="000C632E">
              <w:rPr>
                <w:rFonts w:ascii="Arial" w:eastAsia="Calibri" w:hAnsi="Arial" w:cs="Arial"/>
                <w:b/>
                <w:sz w:val="20"/>
                <w:szCs w:val="20"/>
                <w:lang w:val="es-NI"/>
              </w:rPr>
              <w:t xml:space="preserve"> </w:t>
            </w:r>
          </w:p>
          <w:p w:rsidR="00917C1F" w:rsidRPr="000C632E" w:rsidRDefault="00917C1F" w:rsidP="000533C7">
            <w:pPr>
              <w:jc w:val="center"/>
              <w:rPr>
                <w:rFonts w:ascii="Arial" w:eastAsia="Calibri" w:hAnsi="Arial" w:cs="Arial"/>
                <w:b/>
                <w:sz w:val="20"/>
                <w:szCs w:val="20"/>
                <w:lang w:val="es-NI"/>
              </w:rPr>
            </w:pPr>
            <w:r w:rsidRPr="000C632E">
              <w:rPr>
                <w:rFonts w:ascii="Arial" w:eastAsia="Calibri" w:hAnsi="Arial" w:cs="Arial"/>
                <w:b/>
                <w:sz w:val="20"/>
                <w:szCs w:val="20"/>
                <w:lang w:val="es-NI"/>
              </w:rPr>
              <w:t>(mg/g)</w:t>
            </w:r>
          </w:p>
        </w:tc>
        <w:tc>
          <w:tcPr>
            <w:tcW w:w="1192" w:type="pct"/>
            <w:tcBorders>
              <w:bottom w:val="single" w:sz="4" w:space="0" w:color="auto"/>
            </w:tcBorders>
            <w:shd w:val="clear" w:color="auto" w:fill="auto"/>
          </w:tcPr>
          <w:p w:rsidR="00917C1F" w:rsidRPr="000C632E" w:rsidRDefault="00917C1F" w:rsidP="000533C7">
            <w:pPr>
              <w:jc w:val="center"/>
              <w:rPr>
                <w:rFonts w:ascii="Arial" w:eastAsia="Calibri" w:hAnsi="Arial" w:cs="Arial"/>
                <w:b/>
                <w:sz w:val="20"/>
                <w:szCs w:val="20"/>
                <w:lang w:val="es-NI"/>
              </w:rPr>
            </w:pPr>
            <w:r w:rsidRPr="000C632E">
              <w:rPr>
                <w:rFonts w:ascii="Arial" w:eastAsia="Calibri" w:hAnsi="Arial" w:cs="Arial"/>
                <w:b/>
                <w:sz w:val="20"/>
                <w:szCs w:val="20"/>
                <w:lang w:val="es-NI"/>
              </w:rPr>
              <w:t>k</w:t>
            </w:r>
            <w:r w:rsidRPr="000C632E">
              <w:rPr>
                <w:rFonts w:ascii="Arial" w:eastAsia="Calibri" w:hAnsi="Arial" w:cs="Arial"/>
                <w:b/>
                <w:sz w:val="20"/>
                <w:szCs w:val="20"/>
                <w:vertAlign w:val="subscript"/>
                <w:lang w:val="es-NI"/>
              </w:rPr>
              <w:t>2</w:t>
            </w:r>
          </w:p>
          <w:p w:rsidR="00917C1F" w:rsidRPr="000C632E" w:rsidRDefault="00917C1F" w:rsidP="000533C7">
            <w:pPr>
              <w:jc w:val="center"/>
              <w:rPr>
                <w:rFonts w:ascii="Arial" w:eastAsia="Calibri" w:hAnsi="Arial" w:cs="Arial"/>
                <w:b/>
                <w:sz w:val="20"/>
                <w:szCs w:val="20"/>
                <w:lang w:val="es-NI"/>
              </w:rPr>
            </w:pPr>
            <w:r w:rsidRPr="000C632E">
              <w:rPr>
                <w:rFonts w:ascii="Arial" w:eastAsia="Calibri" w:hAnsi="Arial" w:cs="Arial"/>
                <w:b/>
                <w:sz w:val="20"/>
                <w:szCs w:val="20"/>
                <w:lang w:val="es-NI"/>
              </w:rPr>
              <w:t>(g/mg.min)</w:t>
            </w:r>
          </w:p>
        </w:tc>
      </w:tr>
      <w:tr w:rsidR="00917C1F" w:rsidRPr="000C632E" w:rsidTr="000533C7">
        <w:tc>
          <w:tcPr>
            <w:tcW w:w="1160" w:type="pct"/>
            <w:tcBorders>
              <w:top w:val="single" w:sz="4" w:space="0" w:color="auto"/>
              <w:left w:val="single" w:sz="4" w:space="0" w:color="auto"/>
              <w:bottom w:val="nil"/>
              <w:right w:val="single" w:sz="4" w:space="0" w:color="auto"/>
            </w:tcBorders>
            <w:shd w:val="clear" w:color="auto" w:fill="auto"/>
          </w:tcPr>
          <w:p w:rsidR="00917C1F" w:rsidRPr="000C632E" w:rsidRDefault="00917C1F" w:rsidP="000533C7">
            <w:pPr>
              <w:jc w:val="both"/>
              <w:rPr>
                <w:rFonts w:ascii="Arial" w:eastAsia="Calibri" w:hAnsi="Arial" w:cs="Arial"/>
                <w:sz w:val="20"/>
                <w:szCs w:val="20"/>
                <w:lang w:val="es-NI"/>
              </w:rPr>
            </w:pPr>
            <w:r w:rsidRPr="000C632E">
              <w:rPr>
                <w:rFonts w:ascii="Arial" w:eastAsia="Calibri" w:hAnsi="Arial" w:cs="Arial"/>
                <w:sz w:val="20"/>
                <w:szCs w:val="20"/>
                <w:lang w:val="es-NI"/>
              </w:rPr>
              <w:t>Quitosano</w:t>
            </w:r>
          </w:p>
        </w:tc>
        <w:tc>
          <w:tcPr>
            <w:tcW w:w="1059" w:type="pct"/>
            <w:tcBorders>
              <w:top w:val="single" w:sz="4" w:space="0" w:color="auto"/>
              <w:left w:val="single" w:sz="4" w:space="0" w:color="auto"/>
              <w:bottom w:val="nil"/>
              <w:right w:val="single" w:sz="4" w:space="0" w:color="auto"/>
            </w:tcBorders>
            <w:shd w:val="clear" w:color="auto" w:fill="auto"/>
          </w:tcPr>
          <w:p w:rsidR="00917C1F" w:rsidRPr="000C632E" w:rsidRDefault="00917C1F" w:rsidP="000533C7">
            <w:pPr>
              <w:jc w:val="center"/>
              <w:rPr>
                <w:rFonts w:ascii="Arial" w:eastAsia="Calibri" w:hAnsi="Arial" w:cs="Arial"/>
                <w:sz w:val="20"/>
                <w:szCs w:val="20"/>
                <w:lang w:val="es-NI"/>
              </w:rPr>
            </w:pPr>
            <w:r w:rsidRPr="000C632E">
              <w:rPr>
                <w:rFonts w:ascii="Arial" w:eastAsia="Calibri" w:hAnsi="Arial" w:cs="Arial"/>
                <w:sz w:val="20"/>
                <w:szCs w:val="20"/>
                <w:lang w:val="es-NI"/>
              </w:rPr>
              <w:t>0.179</w:t>
            </w:r>
          </w:p>
        </w:tc>
        <w:tc>
          <w:tcPr>
            <w:tcW w:w="795" w:type="pct"/>
            <w:tcBorders>
              <w:top w:val="single" w:sz="4" w:space="0" w:color="auto"/>
              <w:left w:val="single" w:sz="4" w:space="0" w:color="auto"/>
              <w:bottom w:val="nil"/>
              <w:right w:val="single" w:sz="4" w:space="0" w:color="auto"/>
            </w:tcBorders>
            <w:shd w:val="clear" w:color="auto" w:fill="auto"/>
          </w:tcPr>
          <w:p w:rsidR="00917C1F" w:rsidRPr="000C632E" w:rsidRDefault="00917C1F" w:rsidP="000533C7">
            <w:pPr>
              <w:jc w:val="center"/>
              <w:rPr>
                <w:rFonts w:ascii="Arial" w:eastAsia="Calibri" w:hAnsi="Arial" w:cs="Arial"/>
                <w:sz w:val="20"/>
                <w:szCs w:val="20"/>
                <w:lang w:val="es-NI"/>
              </w:rPr>
            </w:pPr>
            <w:r w:rsidRPr="000C632E">
              <w:rPr>
                <w:rFonts w:ascii="Arial" w:eastAsia="Calibri" w:hAnsi="Arial" w:cs="Arial"/>
                <w:sz w:val="20"/>
                <w:szCs w:val="20"/>
                <w:lang w:val="es-NI"/>
              </w:rPr>
              <w:t>0.999</w:t>
            </w:r>
          </w:p>
        </w:tc>
        <w:tc>
          <w:tcPr>
            <w:tcW w:w="794" w:type="pct"/>
            <w:tcBorders>
              <w:top w:val="single" w:sz="4" w:space="0" w:color="auto"/>
              <w:left w:val="single" w:sz="4" w:space="0" w:color="auto"/>
              <w:bottom w:val="nil"/>
              <w:right w:val="single" w:sz="4" w:space="0" w:color="auto"/>
            </w:tcBorders>
            <w:shd w:val="clear" w:color="auto" w:fill="auto"/>
          </w:tcPr>
          <w:p w:rsidR="00917C1F" w:rsidRPr="000C632E" w:rsidRDefault="00917C1F" w:rsidP="000533C7">
            <w:pPr>
              <w:jc w:val="center"/>
              <w:rPr>
                <w:rFonts w:ascii="Arial" w:eastAsia="Calibri" w:hAnsi="Arial" w:cs="Arial"/>
                <w:sz w:val="20"/>
                <w:szCs w:val="20"/>
                <w:lang w:val="es-NI"/>
              </w:rPr>
            </w:pPr>
            <w:r w:rsidRPr="000C632E">
              <w:rPr>
                <w:rFonts w:ascii="Arial" w:eastAsia="Calibri" w:hAnsi="Arial" w:cs="Arial"/>
                <w:sz w:val="20"/>
                <w:szCs w:val="20"/>
                <w:lang w:val="es-NI"/>
              </w:rPr>
              <w:t>12.09</w:t>
            </w:r>
          </w:p>
        </w:tc>
        <w:tc>
          <w:tcPr>
            <w:tcW w:w="1192" w:type="pct"/>
            <w:tcBorders>
              <w:top w:val="single" w:sz="4" w:space="0" w:color="auto"/>
              <w:left w:val="single" w:sz="4" w:space="0" w:color="auto"/>
              <w:bottom w:val="nil"/>
              <w:right w:val="single" w:sz="4" w:space="0" w:color="auto"/>
            </w:tcBorders>
            <w:shd w:val="clear" w:color="auto" w:fill="auto"/>
          </w:tcPr>
          <w:p w:rsidR="00917C1F" w:rsidRPr="000C632E" w:rsidRDefault="00917C1F" w:rsidP="000533C7">
            <w:pPr>
              <w:jc w:val="center"/>
              <w:rPr>
                <w:rFonts w:ascii="Arial" w:eastAsia="Calibri" w:hAnsi="Arial" w:cs="Arial"/>
                <w:sz w:val="20"/>
                <w:szCs w:val="20"/>
                <w:lang w:val="es-NI"/>
              </w:rPr>
            </w:pPr>
            <w:r w:rsidRPr="000C632E">
              <w:rPr>
                <w:rFonts w:ascii="Arial" w:eastAsia="Calibri" w:hAnsi="Arial" w:cs="Arial"/>
                <w:sz w:val="20"/>
                <w:szCs w:val="20"/>
                <w:lang w:val="es-NI"/>
              </w:rPr>
              <w:t>0.214</w:t>
            </w:r>
          </w:p>
        </w:tc>
      </w:tr>
      <w:tr w:rsidR="00917C1F" w:rsidRPr="000C632E" w:rsidTr="000533C7">
        <w:tc>
          <w:tcPr>
            <w:tcW w:w="1160" w:type="pct"/>
            <w:tcBorders>
              <w:top w:val="nil"/>
              <w:left w:val="single" w:sz="4" w:space="0" w:color="auto"/>
              <w:bottom w:val="single" w:sz="4" w:space="0" w:color="auto"/>
              <w:right w:val="single" w:sz="4" w:space="0" w:color="auto"/>
            </w:tcBorders>
            <w:shd w:val="clear" w:color="auto" w:fill="auto"/>
          </w:tcPr>
          <w:p w:rsidR="00917C1F" w:rsidRPr="000C632E" w:rsidRDefault="00917C1F" w:rsidP="000533C7">
            <w:pPr>
              <w:jc w:val="both"/>
              <w:rPr>
                <w:rFonts w:ascii="Arial" w:eastAsia="Calibri" w:hAnsi="Arial" w:cs="Arial"/>
                <w:sz w:val="20"/>
                <w:szCs w:val="20"/>
                <w:lang w:val="es-NI"/>
              </w:rPr>
            </w:pPr>
            <w:r w:rsidRPr="000C632E">
              <w:rPr>
                <w:rFonts w:ascii="Arial" w:eastAsia="Calibri" w:hAnsi="Arial" w:cs="Arial"/>
                <w:sz w:val="20"/>
                <w:szCs w:val="20"/>
                <w:lang w:val="es-NI"/>
              </w:rPr>
              <w:t>Cascarilla de arroz</w:t>
            </w:r>
          </w:p>
        </w:tc>
        <w:tc>
          <w:tcPr>
            <w:tcW w:w="1059" w:type="pct"/>
            <w:tcBorders>
              <w:top w:val="nil"/>
              <w:left w:val="single" w:sz="4" w:space="0" w:color="auto"/>
              <w:bottom w:val="single" w:sz="4" w:space="0" w:color="auto"/>
              <w:right w:val="single" w:sz="4" w:space="0" w:color="auto"/>
            </w:tcBorders>
            <w:shd w:val="clear" w:color="auto" w:fill="auto"/>
          </w:tcPr>
          <w:p w:rsidR="00917C1F" w:rsidRPr="000C632E" w:rsidRDefault="00917C1F" w:rsidP="000533C7">
            <w:pPr>
              <w:jc w:val="center"/>
              <w:rPr>
                <w:rFonts w:ascii="Arial" w:eastAsia="Calibri" w:hAnsi="Arial" w:cs="Arial"/>
                <w:sz w:val="20"/>
                <w:szCs w:val="20"/>
                <w:lang w:val="es-NI"/>
              </w:rPr>
            </w:pPr>
            <w:r w:rsidRPr="000C632E">
              <w:rPr>
                <w:rFonts w:ascii="Arial" w:eastAsia="Calibri" w:hAnsi="Arial" w:cs="Arial"/>
                <w:sz w:val="20"/>
                <w:szCs w:val="20"/>
                <w:lang w:val="es-NI"/>
              </w:rPr>
              <w:t>0.103</w:t>
            </w:r>
          </w:p>
        </w:tc>
        <w:tc>
          <w:tcPr>
            <w:tcW w:w="795" w:type="pct"/>
            <w:tcBorders>
              <w:top w:val="nil"/>
              <w:left w:val="single" w:sz="4" w:space="0" w:color="auto"/>
              <w:bottom w:val="single" w:sz="4" w:space="0" w:color="auto"/>
              <w:right w:val="single" w:sz="4" w:space="0" w:color="auto"/>
            </w:tcBorders>
            <w:shd w:val="clear" w:color="auto" w:fill="auto"/>
          </w:tcPr>
          <w:p w:rsidR="00917C1F" w:rsidRPr="000C632E" w:rsidRDefault="00917C1F" w:rsidP="000533C7">
            <w:pPr>
              <w:jc w:val="center"/>
              <w:rPr>
                <w:rFonts w:ascii="Arial" w:eastAsia="Calibri" w:hAnsi="Arial" w:cs="Arial"/>
                <w:sz w:val="20"/>
                <w:szCs w:val="20"/>
                <w:lang w:val="es-NI"/>
              </w:rPr>
            </w:pPr>
            <w:r w:rsidRPr="000C632E">
              <w:rPr>
                <w:rFonts w:ascii="Arial" w:eastAsia="Calibri" w:hAnsi="Arial" w:cs="Arial"/>
                <w:sz w:val="20"/>
                <w:szCs w:val="20"/>
                <w:lang w:val="es-NI"/>
              </w:rPr>
              <w:t>1.000</w:t>
            </w:r>
          </w:p>
        </w:tc>
        <w:tc>
          <w:tcPr>
            <w:tcW w:w="794" w:type="pct"/>
            <w:tcBorders>
              <w:top w:val="nil"/>
              <w:left w:val="single" w:sz="4" w:space="0" w:color="auto"/>
              <w:bottom w:val="single" w:sz="4" w:space="0" w:color="auto"/>
              <w:right w:val="single" w:sz="4" w:space="0" w:color="auto"/>
            </w:tcBorders>
            <w:shd w:val="clear" w:color="auto" w:fill="auto"/>
          </w:tcPr>
          <w:p w:rsidR="00917C1F" w:rsidRPr="000C632E" w:rsidRDefault="00917C1F" w:rsidP="000533C7">
            <w:pPr>
              <w:jc w:val="center"/>
              <w:rPr>
                <w:rFonts w:ascii="Arial" w:eastAsia="Calibri" w:hAnsi="Arial" w:cs="Arial"/>
                <w:sz w:val="20"/>
                <w:szCs w:val="20"/>
                <w:lang w:val="es-NI"/>
              </w:rPr>
            </w:pPr>
            <w:r w:rsidRPr="000C632E">
              <w:rPr>
                <w:rFonts w:ascii="Arial" w:eastAsia="Calibri" w:hAnsi="Arial" w:cs="Arial"/>
                <w:sz w:val="20"/>
                <w:szCs w:val="20"/>
                <w:lang w:val="es-NI"/>
              </w:rPr>
              <w:t>11.70</w:t>
            </w:r>
          </w:p>
        </w:tc>
        <w:tc>
          <w:tcPr>
            <w:tcW w:w="1192" w:type="pct"/>
            <w:tcBorders>
              <w:top w:val="nil"/>
              <w:left w:val="single" w:sz="4" w:space="0" w:color="auto"/>
              <w:bottom w:val="single" w:sz="4" w:space="0" w:color="auto"/>
              <w:right w:val="single" w:sz="4" w:space="0" w:color="auto"/>
            </w:tcBorders>
            <w:shd w:val="clear" w:color="auto" w:fill="auto"/>
          </w:tcPr>
          <w:p w:rsidR="00917C1F" w:rsidRPr="000C632E" w:rsidRDefault="00917C1F" w:rsidP="000533C7">
            <w:pPr>
              <w:jc w:val="center"/>
              <w:rPr>
                <w:rFonts w:ascii="Arial" w:eastAsia="Calibri" w:hAnsi="Arial" w:cs="Arial"/>
                <w:sz w:val="20"/>
                <w:szCs w:val="20"/>
                <w:lang w:val="es-NI"/>
              </w:rPr>
            </w:pPr>
            <w:r w:rsidRPr="000C632E">
              <w:rPr>
                <w:rFonts w:ascii="Arial" w:eastAsia="Calibri" w:hAnsi="Arial" w:cs="Arial"/>
                <w:sz w:val="20"/>
                <w:szCs w:val="20"/>
                <w:lang w:val="es-NI"/>
              </w:rPr>
              <w:t>7.310</w:t>
            </w:r>
          </w:p>
        </w:tc>
      </w:tr>
    </w:tbl>
    <w:p w:rsidR="00917C1F" w:rsidRDefault="00917C1F" w:rsidP="00917C1F">
      <w:pPr>
        <w:jc w:val="both"/>
        <w:rPr>
          <w:rFonts w:ascii="Arial" w:hAnsi="Arial" w:cs="Arial"/>
        </w:rPr>
      </w:pPr>
    </w:p>
    <w:p w:rsidR="00917C1F" w:rsidRPr="00DF2FE2" w:rsidRDefault="00917C1F" w:rsidP="00917C1F">
      <w:pPr>
        <w:pStyle w:val="Ttulo2"/>
        <w:spacing w:line="360" w:lineRule="auto"/>
        <w:rPr>
          <w:rFonts w:ascii="Arial" w:hAnsi="Arial" w:cs="Arial"/>
          <w:b/>
          <w:bCs/>
          <w:i/>
          <w:color w:val="000000"/>
          <w:sz w:val="24"/>
          <w:szCs w:val="24"/>
        </w:rPr>
      </w:pPr>
      <w:bookmarkStart w:id="463" w:name="_Toc50031486"/>
      <w:r w:rsidRPr="00DF2FE2">
        <w:rPr>
          <w:rFonts w:ascii="Arial" w:hAnsi="Arial" w:cs="Arial"/>
          <w:b/>
          <w:bCs/>
          <w:i/>
          <w:color w:val="000000"/>
          <w:sz w:val="24"/>
          <w:szCs w:val="24"/>
        </w:rPr>
        <w:t>4.5 Aplicación de los bioadsorbentes en agua de consumo</w:t>
      </w:r>
      <w:bookmarkEnd w:id="463"/>
      <w:r w:rsidRPr="00DF2FE2">
        <w:rPr>
          <w:rFonts w:ascii="Arial" w:hAnsi="Arial" w:cs="Arial"/>
          <w:b/>
          <w:bCs/>
          <w:i/>
          <w:color w:val="000000"/>
          <w:sz w:val="24"/>
          <w:szCs w:val="24"/>
        </w:rPr>
        <w:t xml:space="preserve"> </w:t>
      </w:r>
    </w:p>
    <w:p w:rsidR="00917C1F" w:rsidRPr="00842147" w:rsidRDefault="00917C1F" w:rsidP="00917C1F">
      <w:pPr>
        <w:ind w:firstLine="567"/>
        <w:jc w:val="both"/>
        <w:rPr>
          <w:rFonts w:ascii="Arial" w:hAnsi="Arial" w:cs="Arial"/>
        </w:rPr>
      </w:pPr>
      <w:r w:rsidRPr="00842147">
        <w:rPr>
          <w:rFonts w:ascii="Arial" w:hAnsi="Arial" w:cs="Arial"/>
        </w:rPr>
        <w:t xml:space="preserve">Para </w:t>
      </w:r>
      <w:r>
        <w:rPr>
          <w:rFonts w:ascii="Arial" w:hAnsi="Arial" w:cs="Arial"/>
        </w:rPr>
        <w:t xml:space="preserve">este estudio </w:t>
      </w:r>
      <w:r w:rsidRPr="00842147">
        <w:rPr>
          <w:rFonts w:ascii="Arial" w:hAnsi="Arial" w:cs="Arial"/>
        </w:rPr>
        <w:t xml:space="preserve">se utilizaron muestras extraídas de tres puntos de muestreo: (i) entrada de una torre con agua cruda proveniente de Puerto Díaz, Lago Cocibolca, (ii) etapa de filtración, después que se le agrega sulfato de aluminio, y (iii) después del proceso de desinfección (agua del grifo). En la Tabla </w:t>
      </w:r>
      <w:r>
        <w:rPr>
          <w:rFonts w:ascii="Arial" w:hAnsi="Arial" w:cs="Arial"/>
        </w:rPr>
        <w:t>3</w:t>
      </w:r>
      <w:r w:rsidRPr="00842147">
        <w:rPr>
          <w:rFonts w:ascii="Arial" w:hAnsi="Arial" w:cs="Arial"/>
        </w:rPr>
        <w:t xml:space="preserve"> se muestran los parámetros físico-químic</w:t>
      </w:r>
      <w:r>
        <w:rPr>
          <w:rFonts w:ascii="Arial" w:hAnsi="Arial" w:cs="Arial"/>
        </w:rPr>
        <w:t>os</w:t>
      </w:r>
      <w:r w:rsidRPr="00842147">
        <w:rPr>
          <w:rFonts w:ascii="Arial" w:hAnsi="Arial" w:cs="Arial"/>
        </w:rPr>
        <w:t xml:space="preserve"> que se realizaron a las diferentes muestras.</w:t>
      </w:r>
    </w:p>
    <w:p w:rsidR="00917C1F" w:rsidRPr="00842147" w:rsidRDefault="00917C1F" w:rsidP="00917C1F">
      <w:pPr>
        <w:jc w:val="both"/>
        <w:rPr>
          <w:rFonts w:ascii="Arial" w:hAnsi="Arial" w:cs="Arial"/>
        </w:rPr>
      </w:pPr>
    </w:p>
    <w:p w:rsidR="00917C1F" w:rsidRPr="00397AAD" w:rsidRDefault="00917C1F" w:rsidP="00917C1F">
      <w:pPr>
        <w:ind w:right="48"/>
        <w:jc w:val="center"/>
        <w:rPr>
          <w:rFonts w:ascii="Arial" w:hAnsi="Arial" w:cs="Arial"/>
          <w:i/>
          <w:sz w:val="20"/>
          <w:szCs w:val="20"/>
        </w:rPr>
      </w:pPr>
      <w:r w:rsidRPr="00397AAD">
        <w:rPr>
          <w:rFonts w:ascii="Arial" w:hAnsi="Arial" w:cs="Arial"/>
          <w:i/>
          <w:sz w:val="20"/>
          <w:szCs w:val="20"/>
        </w:rPr>
        <w:t xml:space="preserve">Tabla </w:t>
      </w:r>
      <w:r>
        <w:rPr>
          <w:rFonts w:ascii="Arial" w:hAnsi="Arial" w:cs="Arial"/>
          <w:i/>
          <w:sz w:val="20"/>
          <w:szCs w:val="20"/>
        </w:rPr>
        <w:t>3</w:t>
      </w:r>
      <w:r w:rsidRPr="00397AAD">
        <w:rPr>
          <w:rFonts w:ascii="Arial" w:hAnsi="Arial" w:cs="Arial"/>
          <w:i/>
          <w:sz w:val="20"/>
          <w:szCs w:val="20"/>
        </w:rPr>
        <w:t xml:space="preserve">. Parámetros físico-químicas de muestras de agua extraída de </w:t>
      </w:r>
      <w:r>
        <w:rPr>
          <w:rFonts w:ascii="Arial" w:hAnsi="Arial" w:cs="Arial"/>
          <w:i/>
          <w:sz w:val="20"/>
          <w:szCs w:val="20"/>
        </w:rPr>
        <w:t>l</w:t>
      </w:r>
      <w:r w:rsidRPr="00397AAD">
        <w:rPr>
          <w:rFonts w:ascii="Arial" w:hAnsi="Arial" w:cs="Arial"/>
          <w:i/>
          <w:sz w:val="20"/>
          <w:szCs w:val="20"/>
        </w:rPr>
        <w:t>a planta potabilizadora Isaac Deleo (ENACAL) y agua del g</w:t>
      </w:r>
      <w:r>
        <w:rPr>
          <w:rFonts w:ascii="Arial" w:hAnsi="Arial" w:cs="Arial"/>
          <w:i/>
          <w:sz w:val="20"/>
          <w:szCs w:val="20"/>
        </w:rPr>
        <w:t>rifo.</w:t>
      </w:r>
    </w:p>
    <w:tbl>
      <w:tblPr>
        <w:tblW w:w="5000" w:type="pct"/>
        <w:jc w:val="center"/>
        <w:tblLook w:val="04A0" w:firstRow="1" w:lastRow="0" w:firstColumn="1" w:lastColumn="0" w:noHBand="0" w:noVBand="1"/>
      </w:tblPr>
      <w:tblGrid>
        <w:gridCol w:w="1878"/>
        <w:gridCol w:w="1879"/>
        <w:gridCol w:w="1879"/>
        <w:gridCol w:w="1879"/>
        <w:gridCol w:w="1879"/>
      </w:tblGrid>
      <w:tr w:rsidR="00917C1F" w:rsidRPr="00397AAD" w:rsidTr="000533C7">
        <w:trPr>
          <w:jc w:val="center"/>
        </w:trPr>
        <w:tc>
          <w:tcPr>
            <w:tcW w:w="1000" w:type="pct"/>
            <w:tcBorders>
              <w:top w:val="single" w:sz="4" w:space="0" w:color="auto"/>
              <w:left w:val="single" w:sz="4" w:space="0" w:color="auto"/>
              <w:bottom w:val="single" w:sz="4" w:space="0" w:color="auto"/>
              <w:right w:val="single" w:sz="4" w:space="0" w:color="auto"/>
            </w:tcBorders>
            <w:shd w:val="clear" w:color="auto" w:fill="auto"/>
          </w:tcPr>
          <w:p w:rsidR="00917C1F" w:rsidRPr="00397AAD" w:rsidRDefault="00917C1F" w:rsidP="000533C7">
            <w:pPr>
              <w:jc w:val="center"/>
              <w:rPr>
                <w:rFonts w:ascii="Arial" w:hAnsi="Arial" w:cs="Arial"/>
                <w:b/>
                <w:sz w:val="20"/>
                <w:szCs w:val="20"/>
              </w:rPr>
            </w:pPr>
            <w:r w:rsidRPr="00397AAD">
              <w:rPr>
                <w:rFonts w:ascii="Arial" w:hAnsi="Arial" w:cs="Arial"/>
                <w:b/>
                <w:sz w:val="20"/>
                <w:szCs w:val="20"/>
              </w:rPr>
              <w:t xml:space="preserve">Parámetro </w:t>
            </w:r>
          </w:p>
        </w:tc>
        <w:tc>
          <w:tcPr>
            <w:tcW w:w="1000" w:type="pct"/>
            <w:tcBorders>
              <w:top w:val="single" w:sz="4" w:space="0" w:color="auto"/>
              <w:left w:val="single" w:sz="4" w:space="0" w:color="auto"/>
              <w:bottom w:val="single" w:sz="4" w:space="0" w:color="auto"/>
              <w:right w:val="single" w:sz="4" w:space="0" w:color="auto"/>
            </w:tcBorders>
            <w:shd w:val="clear" w:color="auto" w:fill="auto"/>
          </w:tcPr>
          <w:p w:rsidR="00917C1F" w:rsidRPr="00397AAD" w:rsidRDefault="00917C1F" w:rsidP="000533C7">
            <w:pPr>
              <w:jc w:val="center"/>
              <w:rPr>
                <w:rFonts w:ascii="Arial" w:hAnsi="Arial" w:cs="Arial"/>
                <w:b/>
                <w:sz w:val="20"/>
                <w:szCs w:val="20"/>
              </w:rPr>
            </w:pPr>
            <w:r w:rsidRPr="00397AAD">
              <w:rPr>
                <w:rFonts w:ascii="Arial" w:hAnsi="Arial" w:cs="Arial"/>
                <w:b/>
                <w:sz w:val="20"/>
                <w:szCs w:val="20"/>
              </w:rPr>
              <w:t>Agua Cruda</w:t>
            </w:r>
          </w:p>
        </w:tc>
        <w:tc>
          <w:tcPr>
            <w:tcW w:w="1000" w:type="pct"/>
            <w:tcBorders>
              <w:top w:val="single" w:sz="4" w:space="0" w:color="auto"/>
              <w:left w:val="single" w:sz="4" w:space="0" w:color="auto"/>
              <w:bottom w:val="single" w:sz="4" w:space="0" w:color="auto"/>
              <w:right w:val="single" w:sz="4" w:space="0" w:color="auto"/>
            </w:tcBorders>
            <w:shd w:val="clear" w:color="auto" w:fill="auto"/>
          </w:tcPr>
          <w:p w:rsidR="00917C1F" w:rsidRPr="00397AAD" w:rsidRDefault="00917C1F" w:rsidP="000533C7">
            <w:pPr>
              <w:jc w:val="center"/>
              <w:rPr>
                <w:rFonts w:ascii="Arial" w:hAnsi="Arial" w:cs="Arial"/>
                <w:b/>
                <w:sz w:val="20"/>
                <w:szCs w:val="20"/>
              </w:rPr>
            </w:pPr>
            <w:r w:rsidRPr="00397AAD">
              <w:rPr>
                <w:rFonts w:ascii="Arial" w:hAnsi="Arial" w:cs="Arial"/>
                <w:b/>
                <w:sz w:val="20"/>
                <w:szCs w:val="20"/>
              </w:rPr>
              <w:t>Agua filtrada</w:t>
            </w:r>
          </w:p>
        </w:tc>
        <w:tc>
          <w:tcPr>
            <w:tcW w:w="1000" w:type="pct"/>
            <w:tcBorders>
              <w:top w:val="single" w:sz="4" w:space="0" w:color="auto"/>
              <w:left w:val="single" w:sz="4" w:space="0" w:color="auto"/>
              <w:bottom w:val="single" w:sz="4" w:space="0" w:color="auto"/>
              <w:right w:val="single" w:sz="4" w:space="0" w:color="auto"/>
            </w:tcBorders>
            <w:shd w:val="clear" w:color="auto" w:fill="auto"/>
          </w:tcPr>
          <w:p w:rsidR="00917C1F" w:rsidRPr="00397AAD" w:rsidRDefault="00917C1F" w:rsidP="000533C7">
            <w:pPr>
              <w:jc w:val="center"/>
              <w:rPr>
                <w:rFonts w:ascii="Arial" w:hAnsi="Arial" w:cs="Arial"/>
                <w:b/>
                <w:sz w:val="20"/>
                <w:szCs w:val="20"/>
              </w:rPr>
            </w:pPr>
            <w:r w:rsidRPr="00397AAD">
              <w:rPr>
                <w:rFonts w:ascii="Arial" w:hAnsi="Arial" w:cs="Arial"/>
                <w:b/>
                <w:sz w:val="20"/>
                <w:szCs w:val="20"/>
              </w:rPr>
              <w:t>Agua del grifo</w:t>
            </w:r>
          </w:p>
        </w:tc>
        <w:tc>
          <w:tcPr>
            <w:tcW w:w="1000" w:type="pct"/>
            <w:tcBorders>
              <w:top w:val="single" w:sz="4" w:space="0" w:color="auto"/>
              <w:left w:val="single" w:sz="4" w:space="0" w:color="auto"/>
              <w:bottom w:val="single" w:sz="4" w:space="0" w:color="auto"/>
              <w:right w:val="single" w:sz="4" w:space="0" w:color="auto"/>
            </w:tcBorders>
            <w:shd w:val="clear" w:color="auto" w:fill="auto"/>
          </w:tcPr>
          <w:p w:rsidR="00917C1F" w:rsidRPr="00397AAD" w:rsidRDefault="00917C1F" w:rsidP="000533C7">
            <w:pPr>
              <w:jc w:val="center"/>
              <w:rPr>
                <w:rFonts w:ascii="Arial" w:hAnsi="Arial" w:cs="Arial"/>
                <w:b/>
                <w:sz w:val="20"/>
                <w:szCs w:val="20"/>
              </w:rPr>
            </w:pPr>
            <w:r w:rsidRPr="00397AAD">
              <w:rPr>
                <w:rFonts w:ascii="Arial" w:hAnsi="Arial" w:cs="Arial"/>
                <w:b/>
                <w:sz w:val="20"/>
                <w:szCs w:val="20"/>
              </w:rPr>
              <w:t>Unidades</w:t>
            </w:r>
          </w:p>
        </w:tc>
      </w:tr>
      <w:tr w:rsidR="00917C1F" w:rsidRPr="00397AAD" w:rsidTr="000533C7">
        <w:trPr>
          <w:jc w:val="center"/>
        </w:trPr>
        <w:tc>
          <w:tcPr>
            <w:tcW w:w="1000" w:type="pct"/>
            <w:tcBorders>
              <w:top w:val="single" w:sz="4" w:space="0" w:color="auto"/>
              <w:left w:val="single" w:sz="4" w:space="0" w:color="auto"/>
              <w:right w:val="single" w:sz="4" w:space="0" w:color="auto"/>
            </w:tcBorders>
            <w:shd w:val="clear" w:color="auto" w:fill="auto"/>
          </w:tcPr>
          <w:p w:rsidR="00917C1F" w:rsidRPr="00397AAD" w:rsidRDefault="00917C1F" w:rsidP="000533C7">
            <w:pPr>
              <w:jc w:val="center"/>
              <w:rPr>
                <w:rFonts w:ascii="Arial" w:hAnsi="Arial" w:cs="Arial"/>
                <w:sz w:val="20"/>
                <w:szCs w:val="20"/>
              </w:rPr>
            </w:pPr>
            <w:r w:rsidRPr="00397AAD">
              <w:rPr>
                <w:rFonts w:ascii="Arial" w:hAnsi="Arial" w:cs="Arial"/>
                <w:sz w:val="20"/>
                <w:szCs w:val="20"/>
              </w:rPr>
              <w:t>pH</w:t>
            </w:r>
          </w:p>
        </w:tc>
        <w:tc>
          <w:tcPr>
            <w:tcW w:w="1000" w:type="pct"/>
            <w:tcBorders>
              <w:top w:val="single" w:sz="4" w:space="0" w:color="auto"/>
              <w:left w:val="single" w:sz="4" w:space="0" w:color="auto"/>
              <w:right w:val="single" w:sz="4" w:space="0" w:color="auto"/>
            </w:tcBorders>
            <w:shd w:val="clear" w:color="auto" w:fill="auto"/>
          </w:tcPr>
          <w:p w:rsidR="00917C1F" w:rsidRPr="00397AAD" w:rsidRDefault="00917C1F" w:rsidP="000533C7">
            <w:pPr>
              <w:jc w:val="center"/>
              <w:rPr>
                <w:rFonts w:ascii="Arial" w:hAnsi="Arial" w:cs="Arial"/>
                <w:sz w:val="20"/>
                <w:szCs w:val="20"/>
              </w:rPr>
            </w:pPr>
            <w:r w:rsidRPr="00397AAD">
              <w:rPr>
                <w:rFonts w:ascii="Arial" w:hAnsi="Arial" w:cs="Arial"/>
                <w:sz w:val="20"/>
                <w:szCs w:val="20"/>
              </w:rPr>
              <w:t>7.2</w:t>
            </w:r>
          </w:p>
        </w:tc>
        <w:tc>
          <w:tcPr>
            <w:tcW w:w="1000" w:type="pct"/>
            <w:tcBorders>
              <w:top w:val="single" w:sz="4" w:space="0" w:color="auto"/>
              <w:left w:val="single" w:sz="4" w:space="0" w:color="auto"/>
              <w:right w:val="single" w:sz="4" w:space="0" w:color="auto"/>
            </w:tcBorders>
            <w:shd w:val="clear" w:color="auto" w:fill="auto"/>
          </w:tcPr>
          <w:p w:rsidR="00917C1F" w:rsidRPr="00397AAD" w:rsidRDefault="00917C1F" w:rsidP="000533C7">
            <w:pPr>
              <w:jc w:val="center"/>
              <w:rPr>
                <w:rFonts w:ascii="Arial" w:hAnsi="Arial" w:cs="Arial"/>
                <w:sz w:val="20"/>
                <w:szCs w:val="20"/>
              </w:rPr>
            </w:pPr>
            <w:r w:rsidRPr="00397AAD">
              <w:rPr>
                <w:rFonts w:ascii="Arial" w:hAnsi="Arial" w:cs="Arial"/>
                <w:sz w:val="20"/>
                <w:szCs w:val="20"/>
              </w:rPr>
              <w:t>7.2</w:t>
            </w:r>
          </w:p>
        </w:tc>
        <w:tc>
          <w:tcPr>
            <w:tcW w:w="1000" w:type="pct"/>
            <w:tcBorders>
              <w:top w:val="single" w:sz="4" w:space="0" w:color="auto"/>
              <w:left w:val="single" w:sz="4" w:space="0" w:color="auto"/>
              <w:right w:val="single" w:sz="4" w:space="0" w:color="auto"/>
            </w:tcBorders>
            <w:shd w:val="clear" w:color="auto" w:fill="auto"/>
          </w:tcPr>
          <w:p w:rsidR="00917C1F" w:rsidRPr="00397AAD" w:rsidRDefault="00917C1F" w:rsidP="000533C7">
            <w:pPr>
              <w:jc w:val="center"/>
              <w:rPr>
                <w:rFonts w:ascii="Arial" w:hAnsi="Arial" w:cs="Arial"/>
                <w:sz w:val="20"/>
                <w:szCs w:val="20"/>
              </w:rPr>
            </w:pPr>
            <w:r w:rsidRPr="00397AAD">
              <w:rPr>
                <w:rFonts w:ascii="Arial" w:hAnsi="Arial" w:cs="Arial"/>
                <w:sz w:val="20"/>
                <w:szCs w:val="20"/>
              </w:rPr>
              <w:t>7.2</w:t>
            </w:r>
          </w:p>
        </w:tc>
        <w:tc>
          <w:tcPr>
            <w:tcW w:w="1000" w:type="pct"/>
            <w:tcBorders>
              <w:top w:val="single" w:sz="4" w:space="0" w:color="auto"/>
              <w:left w:val="single" w:sz="4" w:space="0" w:color="auto"/>
              <w:right w:val="single" w:sz="4" w:space="0" w:color="auto"/>
            </w:tcBorders>
            <w:shd w:val="clear" w:color="auto" w:fill="auto"/>
          </w:tcPr>
          <w:p w:rsidR="00917C1F" w:rsidRPr="00397AAD" w:rsidRDefault="00917C1F" w:rsidP="000533C7">
            <w:pPr>
              <w:jc w:val="center"/>
              <w:rPr>
                <w:rFonts w:ascii="Arial" w:hAnsi="Arial" w:cs="Arial"/>
                <w:sz w:val="20"/>
                <w:szCs w:val="20"/>
              </w:rPr>
            </w:pPr>
            <w:r w:rsidRPr="00397AAD">
              <w:rPr>
                <w:rFonts w:ascii="Arial" w:hAnsi="Arial" w:cs="Arial"/>
                <w:sz w:val="20"/>
                <w:szCs w:val="20"/>
              </w:rPr>
              <w:t xml:space="preserve">  –  </w:t>
            </w:r>
          </w:p>
        </w:tc>
      </w:tr>
      <w:tr w:rsidR="00917C1F" w:rsidRPr="00397AAD" w:rsidTr="000533C7">
        <w:trPr>
          <w:jc w:val="center"/>
        </w:trPr>
        <w:tc>
          <w:tcPr>
            <w:tcW w:w="1000" w:type="pct"/>
            <w:tcBorders>
              <w:left w:val="single" w:sz="4" w:space="0" w:color="auto"/>
              <w:right w:val="single" w:sz="4" w:space="0" w:color="auto"/>
            </w:tcBorders>
            <w:shd w:val="clear" w:color="auto" w:fill="auto"/>
          </w:tcPr>
          <w:p w:rsidR="00917C1F" w:rsidRPr="00397AAD" w:rsidRDefault="00917C1F" w:rsidP="000533C7">
            <w:pPr>
              <w:jc w:val="center"/>
              <w:rPr>
                <w:rFonts w:ascii="Arial" w:hAnsi="Arial" w:cs="Arial"/>
                <w:sz w:val="20"/>
                <w:szCs w:val="20"/>
              </w:rPr>
            </w:pPr>
            <w:r w:rsidRPr="00397AAD">
              <w:rPr>
                <w:rFonts w:ascii="Arial" w:hAnsi="Arial" w:cs="Arial"/>
                <w:sz w:val="20"/>
                <w:szCs w:val="20"/>
              </w:rPr>
              <w:t>Temperatura</w:t>
            </w:r>
          </w:p>
        </w:tc>
        <w:tc>
          <w:tcPr>
            <w:tcW w:w="1000" w:type="pct"/>
            <w:tcBorders>
              <w:left w:val="single" w:sz="4" w:space="0" w:color="auto"/>
              <w:right w:val="single" w:sz="4" w:space="0" w:color="auto"/>
            </w:tcBorders>
            <w:shd w:val="clear" w:color="auto" w:fill="auto"/>
          </w:tcPr>
          <w:p w:rsidR="00917C1F" w:rsidRPr="00397AAD" w:rsidRDefault="00917C1F" w:rsidP="000533C7">
            <w:pPr>
              <w:jc w:val="center"/>
              <w:rPr>
                <w:rFonts w:ascii="Arial" w:hAnsi="Arial" w:cs="Arial"/>
                <w:sz w:val="20"/>
                <w:szCs w:val="20"/>
              </w:rPr>
            </w:pPr>
            <w:r w:rsidRPr="00397AAD">
              <w:rPr>
                <w:rFonts w:ascii="Arial" w:hAnsi="Arial" w:cs="Arial"/>
                <w:sz w:val="20"/>
                <w:szCs w:val="20"/>
              </w:rPr>
              <w:t>30.2</w:t>
            </w:r>
          </w:p>
        </w:tc>
        <w:tc>
          <w:tcPr>
            <w:tcW w:w="1000" w:type="pct"/>
            <w:tcBorders>
              <w:left w:val="single" w:sz="4" w:space="0" w:color="auto"/>
              <w:right w:val="single" w:sz="4" w:space="0" w:color="auto"/>
            </w:tcBorders>
            <w:shd w:val="clear" w:color="auto" w:fill="auto"/>
          </w:tcPr>
          <w:p w:rsidR="00917C1F" w:rsidRPr="00397AAD" w:rsidRDefault="00917C1F" w:rsidP="000533C7">
            <w:pPr>
              <w:jc w:val="center"/>
              <w:rPr>
                <w:rFonts w:ascii="Arial" w:hAnsi="Arial" w:cs="Arial"/>
                <w:sz w:val="20"/>
                <w:szCs w:val="20"/>
              </w:rPr>
            </w:pPr>
            <w:r w:rsidRPr="00397AAD">
              <w:rPr>
                <w:rFonts w:ascii="Arial" w:hAnsi="Arial" w:cs="Arial"/>
                <w:sz w:val="20"/>
                <w:szCs w:val="20"/>
              </w:rPr>
              <w:t>30.4</w:t>
            </w:r>
          </w:p>
        </w:tc>
        <w:tc>
          <w:tcPr>
            <w:tcW w:w="1000" w:type="pct"/>
            <w:tcBorders>
              <w:left w:val="single" w:sz="4" w:space="0" w:color="auto"/>
              <w:right w:val="single" w:sz="4" w:space="0" w:color="auto"/>
            </w:tcBorders>
            <w:shd w:val="clear" w:color="auto" w:fill="auto"/>
          </w:tcPr>
          <w:p w:rsidR="00917C1F" w:rsidRPr="00397AAD" w:rsidRDefault="00917C1F" w:rsidP="000533C7">
            <w:pPr>
              <w:jc w:val="center"/>
              <w:rPr>
                <w:rFonts w:ascii="Arial" w:hAnsi="Arial" w:cs="Arial"/>
                <w:sz w:val="20"/>
                <w:szCs w:val="20"/>
              </w:rPr>
            </w:pPr>
            <w:r w:rsidRPr="00397AAD">
              <w:rPr>
                <w:rFonts w:ascii="Arial" w:hAnsi="Arial" w:cs="Arial"/>
                <w:sz w:val="20"/>
                <w:szCs w:val="20"/>
              </w:rPr>
              <w:t>30.0</w:t>
            </w:r>
          </w:p>
        </w:tc>
        <w:tc>
          <w:tcPr>
            <w:tcW w:w="1000" w:type="pct"/>
            <w:tcBorders>
              <w:left w:val="single" w:sz="4" w:space="0" w:color="auto"/>
              <w:right w:val="single" w:sz="4" w:space="0" w:color="auto"/>
            </w:tcBorders>
            <w:shd w:val="clear" w:color="auto" w:fill="auto"/>
          </w:tcPr>
          <w:p w:rsidR="00917C1F" w:rsidRPr="00397AAD" w:rsidRDefault="00917C1F" w:rsidP="000533C7">
            <w:pPr>
              <w:jc w:val="center"/>
              <w:rPr>
                <w:rFonts w:ascii="Arial" w:hAnsi="Arial" w:cs="Arial"/>
                <w:sz w:val="20"/>
                <w:szCs w:val="20"/>
              </w:rPr>
            </w:pPr>
            <w:r w:rsidRPr="00397AAD">
              <w:rPr>
                <w:rFonts w:ascii="Arial" w:hAnsi="Arial" w:cs="Arial"/>
                <w:sz w:val="20"/>
                <w:szCs w:val="20"/>
              </w:rPr>
              <w:t>°C</w:t>
            </w:r>
          </w:p>
        </w:tc>
      </w:tr>
      <w:tr w:rsidR="00917C1F" w:rsidRPr="00397AAD" w:rsidTr="000533C7">
        <w:trPr>
          <w:jc w:val="center"/>
        </w:trPr>
        <w:tc>
          <w:tcPr>
            <w:tcW w:w="1000" w:type="pct"/>
            <w:tcBorders>
              <w:left w:val="single" w:sz="4" w:space="0" w:color="auto"/>
              <w:bottom w:val="single" w:sz="4" w:space="0" w:color="auto"/>
              <w:right w:val="single" w:sz="4" w:space="0" w:color="auto"/>
            </w:tcBorders>
            <w:shd w:val="clear" w:color="auto" w:fill="auto"/>
          </w:tcPr>
          <w:p w:rsidR="00917C1F" w:rsidRPr="00397AAD" w:rsidRDefault="00917C1F" w:rsidP="000533C7">
            <w:pPr>
              <w:jc w:val="center"/>
              <w:rPr>
                <w:rFonts w:ascii="Arial" w:hAnsi="Arial" w:cs="Arial"/>
                <w:sz w:val="20"/>
                <w:szCs w:val="20"/>
              </w:rPr>
            </w:pPr>
            <w:r w:rsidRPr="00397AAD">
              <w:rPr>
                <w:rFonts w:ascii="Arial" w:hAnsi="Arial" w:cs="Arial"/>
                <w:sz w:val="20"/>
                <w:szCs w:val="20"/>
              </w:rPr>
              <w:t>Concentración de aluminio</w:t>
            </w:r>
            <w:r>
              <w:rPr>
                <w:rFonts w:ascii="Arial" w:hAnsi="Arial" w:cs="Arial"/>
                <w:sz w:val="20"/>
                <w:szCs w:val="20"/>
              </w:rPr>
              <w:t xml:space="preserve"> (mg/l)</w:t>
            </w:r>
          </w:p>
        </w:tc>
        <w:tc>
          <w:tcPr>
            <w:tcW w:w="1000" w:type="pct"/>
            <w:tcBorders>
              <w:left w:val="single" w:sz="4" w:space="0" w:color="auto"/>
              <w:bottom w:val="single" w:sz="4" w:space="0" w:color="auto"/>
              <w:right w:val="single" w:sz="4" w:space="0" w:color="auto"/>
            </w:tcBorders>
            <w:shd w:val="clear" w:color="auto" w:fill="auto"/>
          </w:tcPr>
          <w:p w:rsidR="00917C1F" w:rsidRPr="00397AAD" w:rsidRDefault="00917C1F" w:rsidP="000533C7">
            <w:pPr>
              <w:jc w:val="center"/>
              <w:rPr>
                <w:rFonts w:ascii="Arial" w:hAnsi="Arial" w:cs="Arial"/>
                <w:sz w:val="20"/>
                <w:szCs w:val="20"/>
              </w:rPr>
            </w:pPr>
            <w:r w:rsidRPr="00397AAD">
              <w:rPr>
                <w:rFonts w:ascii="Arial" w:hAnsi="Arial" w:cs="Arial"/>
                <w:sz w:val="20"/>
                <w:szCs w:val="20"/>
              </w:rPr>
              <w:t>&lt; 0.01</w:t>
            </w:r>
          </w:p>
        </w:tc>
        <w:tc>
          <w:tcPr>
            <w:tcW w:w="1000" w:type="pct"/>
            <w:tcBorders>
              <w:left w:val="single" w:sz="4" w:space="0" w:color="auto"/>
              <w:bottom w:val="single" w:sz="4" w:space="0" w:color="auto"/>
              <w:right w:val="single" w:sz="4" w:space="0" w:color="auto"/>
            </w:tcBorders>
            <w:shd w:val="clear" w:color="auto" w:fill="auto"/>
          </w:tcPr>
          <w:p w:rsidR="00917C1F" w:rsidRPr="00397AAD" w:rsidRDefault="00917C1F" w:rsidP="000533C7">
            <w:pPr>
              <w:jc w:val="center"/>
              <w:rPr>
                <w:rFonts w:ascii="Arial" w:hAnsi="Arial" w:cs="Arial"/>
                <w:sz w:val="20"/>
                <w:szCs w:val="20"/>
              </w:rPr>
            </w:pPr>
            <w:r w:rsidRPr="00397AAD">
              <w:rPr>
                <w:rFonts w:ascii="Arial" w:hAnsi="Arial" w:cs="Arial"/>
                <w:sz w:val="20"/>
                <w:szCs w:val="20"/>
              </w:rPr>
              <w:t>&lt; 0.01</w:t>
            </w:r>
          </w:p>
        </w:tc>
        <w:tc>
          <w:tcPr>
            <w:tcW w:w="1000" w:type="pct"/>
            <w:tcBorders>
              <w:left w:val="single" w:sz="4" w:space="0" w:color="auto"/>
              <w:bottom w:val="single" w:sz="4" w:space="0" w:color="auto"/>
              <w:right w:val="single" w:sz="4" w:space="0" w:color="auto"/>
            </w:tcBorders>
            <w:shd w:val="clear" w:color="auto" w:fill="auto"/>
          </w:tcPr>
          <w:p w:rsidR="00917C1F" w:rsidRPr="00397AAD" w:rsidRDefault="00917C1F" w:rsidP="000533C7">
            <w:pPr>
              <w:jc w:val="center"/>
              <w:rPr>
                <w:rFonts w:ascii="Arial" w:hAnsi="Arial" w:cs="Arial"/>
                <w:sz w:val="20"/>
                <w:szCs w:val="20"/>
              </w:rPr>
            </w:pPr>
            <w:r w:rsidRPr="00397AAD">
              <w:rPr>
                <w:rFonts w:ascii="Arial" w:hAnsi="Arial" w:cs="Arial"/>
                <w:sz w:val="20"/>
                <w:szCs w:val="20"/>
              </w:rPr>
              <w:t>&lt; 0.01</w:t>
            </w:r>
          </w:p>
        </w:tc>
        <w:tc>
          <w:tcPr>
            <w:tcW w:w="1000" w:type="pct"/>
            <w:tcBorders>
              <w:left w:val="single" w:sz="4" w:space="0" w:color="auto"/>
              <w:bottom w:val="single" w:sz="4" w:space="0" w:color="auto"/>
              <w:right w:val="single" w:sz="4" w:space="0" w:color="auto"/>
            </w:tcBorders>
            <w:shd w:val="clear" w:color="auto" w:fill="auto"/>
          </w:tcPr>
          <w:p w:rsidR="00917C1F" w:rsidRPr="00397AAD" w:rsidRDefault="00917C1F" w:rsidP="000533C7">
            <w:pPr>
              <w:jc w:val="center"/>
              <w:rPr>
                <w:rFonts w:ascii="Arial" w:hAnsi="Arial" w:cs="Arial"/>
                <w:sz w:val="20"/>
                <w:szCs w:val="20"/>
              </w:rPr>
            </w:pPr>
            <w:r w:rsidRPr="00397AAD">
              <w:rPr>
                <w:rFonts w:ascii="Arial" w:hAnsi="Arial" w:cs="Arial"/>
                <w:sz w:val="20"/>
                <w:szCs w:val="20"/>
              </w:rPr>
              <w:t>mg/l</w:t>
            </w:r>
          </w:p>
        </w:tc>
      </w:tr>
    </w:tbl>
    <w:p w:rsidR="00917C1F" w:rsidRPr="00842147" w:rsidRDefault="00917C1F" w:rsidP="00917C1F">
      <w:pPr>
        <w:jc w:val="center"/>
        <w:rPr>
          <w:rFonts w:ascii="Arial" w:hAnsi="Arial" w:cs="Arial"/>
        </w:rPr>
      </w:pPr>
    </w:p>
    <w:p w:rsidR="00917C1F" w:rsidRDefault="00917C1F" w:rsidP="00917C1F">
      <w:pPr>
        <w:ind w:firstLine="708"/>
        <w:jc w:val="both"/>
        <w:rPr>
          <w:rFonts w:ascii="Arial" w:hAnsi="Arial" w:cs="Arial"/>
        </w:rPr>
      </w:pPr>
      <w:r w:rsidRPr="00842147">
        <w:rPr>
          <w:rFonts w:ascii="Arial" w:hAnsi="Arial" w:cs="Arial"/>
        </w:rPr>
        <w:t>De acuerdo a los resultados</w:t>
      </w:r>
      <w:r>
        <w:rPr>
          <w:rFonts w:ascii="Arial" w:hAnsi="Arial" w:cs="Arial"/>
        </w:rPr>
        <w:t>, el contenido de aluminio en las muestras</w:t>
      </w:r>
      <w:r w:rsidRPr="00842147">
        <w:rPr>
          <w:rFonts w:ascii="Arial" w:hAnsi="Arial" w:cs="Arial"/>
        </w:rPr>
        <w:t xml:space="preserve"> </w:t>
      </w:r>
      <w:r>
        <w:rPr>
          <w:rFonts w:ascii="Arial" w:hAnsi="Arial" w:cs="Arial"/>
        </w:rPr>
        <w:t>es menor que 0.01 mg/l</w:t>
      </w:r>
      <w:r w:rsidRPr="00842147">
        <w:rPr>
          <w:rFonts w:ascii="Arial" w:hAnsi="Arial" w:cs="Arial"/>
        </w:rPr>
        <w:t xml:space="preserve">. No obstante, para comprobar la eficacia de los bioadsorbentes y la interferencia de otros iones en el proceso de adsorción de aluminio, se tomó 50 ml de la muestra del agua filtrada y se le agregó una solución estándar de aluminio hasta obtener una concentración de 20 mg/l en la muestra. </w:t>
      </w:r>
    </w:p>
    <w:p w:rsidR="00917C1F" w:rsidRPr="00D66546" w:rsidRDefault="00917C1F" w:rsidP="00917C1F">
      <w:pPr>
        <w:ind w:firstLine="708"/>
        <w:jc w:val="both"/>
        <w:rPr>
          <w:rFonts w:ascii="Arial" w:eastAsia="Times New Roman" w:hAnsi="Arial" w:cs="Arial"/>
          <w:color w:val="000000"/>
          <w:lang w:val="es-NI" w:eastAsia="es-NI"/>
        </w:rPr>
      </w:pPr>
      <w:r w:rsidRPr="00842147">
        <w:rPr>
          <w:rFonts w:ascii="Arial" w:hAnsi="Arial" w:cs="Arial"/>
        </w:rPr>
        <w:t xml:space="preserve">Los resultados, después del proceso de adsorción, mostraron que con el quitosano se obtuvo un porcentaje de remoción de 95.38% y con la cascarilla de arroz fue de un 97.47%. Estos resultados indican que el adsorbente cascarilla de arroz es más efectivo en la remoción de </w:t>
      </w:r>
      <w:r>
        <w:rPr>
          <w:rFonts w:ascii="Arial" w:hAnsi="Arial" w:cs="Arial"/>
        </w:rPr>
        <w:t>Al(III)</w:t>
      </w:r>
      <w:r w:rsidRPr="00842147">
        <w:rPr>
          <w:rFonts w:ascii="Arial" w:hAnsi="Arial" w:cs="Arial"/>
        </w:rPr>
        <w:t>.</w:t>
      </w:r>
      <w:r>
        <w:rPr>
          <w:rFonts w:ascii="Arial" w:hAnsi="Arial" w:cs="Arial"/>
        </w:rPr>
        <w:t xml:space="preserve"> Así </w:t>
      </w:r>
      <w:r w:rsidRPr="00D66546">
        <w:rPr>
          <w:rFonts w:ascii="Arial" w:hAnsi="Arial" w:cs="Arial"/>
        </w:rPr>
        <w:t>también</w:t>
      </w:r>
      <w:r>
        <w:rPr>
          <w:rFonts w:ascii="Arial" w:hAnsi="Arial" w:cs="Arial"/>
        </w:rPr>
        <w:t>, de</w:t>
      </w:r>
      <w:r w:rsidRPr="00D66546">
        <w:rPr>
          <w:rFonts w:ascii="Arial" w:hAnsi="Arial" w:cs="Arial"/>
        </w:rPr>
        <w:t xml:space="preserve">muestran que el porcentaje de remoción de aluminio en ambos biadsorbentes </w:t>
      </w:r>
      <w:r w:rsidRPr="00D66546">
        <w:rPr>
          <w:rFonts w:ascii="Arial" w:eastAsia="Times New Roman" w:hAnsi="Arial" w:cs="Arial"/>
          <w:color w:val="000000"/>
          <w:lang w:val="es-NI" w:eastAsia="es-NI"/>
        </w:rPr>
        <w:t xml:space="preserve">fue menor en </w:t>
      </w:r>
      <w:r>
        <w:rPr>
          <w:rFonts w:ascii="Arial" w:eastAsia="Times New Roman" w:hAnsi="Arial" w:cs="Arial"/>
          <w:color w:val="000000"/>
          <w:lang w:val="es-NI" w:eastAsia="es-NI"/>
        </w:rPr>
        <w:t xml:space="preserve">las muestras de </w:t>
      </w:r>
      <w:r w:rsidRPr="00D66546">
        <w:rPr>
          <w:rFonts w:ascii="Arial" w:eastAsia="Times New Roman" w:hAnsi="Arial" w:cs="Arial"/>
          <w:color w:val="000000"/>
          <w:lang w:val="es-NI" w:eastAsia="es-NI"/>
        </w:rPr>
        <w:t xml:space="preserve">agua </w:t>
      </w:r>
      <w:r>
        <w:rPr>
          <w:rFonts w:ascii="Arial" w:eastAsia="Times New Roman" w:hAnsi="Arial" w:cs="Arial"/>
          <w:color w:val="000000"/>
          <w:lang w:val="es-NI" w:eastAsia="es-NI"/>
        </w:rPr>
        <w:t>potable</w:t>
      </w:r>
      <w:r w:rsidRPr="00D66546">
        <w:rPr>
          <w:rFonts w:ascii="Arial" w:eastAsia="Times New Roman" w:hAnsi="Arial" w:cs="Arial"/>
          <w:color w:val="000000"/>
          <w:lang w:val="es-NI" w:eastAsia="es-NI"/>
        </w:rPr>
        <w:t xml:space="preserve"> que en las soluciones s</w:t>
      </w:r>
      <w:r>
        <w:rPr>
          <w:rFonts w:ascii="Arial" w:eastAsia="Times New Roman" w:hAnsi="Arial" w:cs="Arial"/>
          <w:color w:val="000000"/>
          <w:lang w:val="es-NI" w:eastAsia="es-NI"/>
        </w:rPr>
        <w:t>intéticas</w:t>
      </w:r>
      <w:r w:rsidRPr="00D66546">
        <w:rPr>
          <w:rFonts w:ascii="Arial" w:eastAsia="Times New Roman" w:hAnsi="Arial" w:cs="Arial"/>
          <w:color w:val="000000"/>
          <w:lang w:val="es-NI" w:eastAsia="es-NI"/>
        </w:rPr>
        <w:t xml:space="preserve">. Esto puede ser debido a la presencia de otros iones metálicos en las aguas naturales que compiten con los iones </w:t>
      </w:r>
      <w:r>
        <w:rPr>
          <w:rFonts w:ascii="Arial" w:eastAsia="Times New Roman" w:hAnsi="Arial" w:cs="Arial"/>
          <w:color w:val="000000"/>
          <w:lang w:val="es-NI" w:eastAsia="es-NI"/>
        </w:rPr>
        <w:t>aluminio</w:t>
      </w:r>
      <w:r w:rsidRPr="00D66546">
        <w:rPr>
          <w:rFonts w:ascii="Arial" w:eastAsia="Times New Roman" w:hAnsi="Arial" w:cs="Arial"/>
          <w:color w:val="000000"/>
          <w:lang w:val="es-NI" w:eastAsia="es-NI"/>
        </w:rPr>
        <w:t xml:space="preserve"> por los sitios de adsorción.</w:t>
      </w:r>
    </w:p>
    <w:p w:rsidR="00917C1F" w:rsidRDefault="00917C1F" w:rsidP="00917C1F">
      <w:pPr>
        <w:jc w:val="both"/>
        <w:rPr>
          <w:rFonts w:ascii="Arial" w:eastAsia="Calibri" w:hAnsi="Arial" w:cs="Arial"/>
        </w:rPr>
      </w:pPr>
    </w:p>
    <w:p w:rsidR="00917C1F" w:rsidRPr="00917C1F" w:rsidRDefault="00917C1F" w:rsidP="00917C1F">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464" w:name="_Toc50031487"/>
      <w:r w:rsidRPr="00917C1F">
        <w:rPr>
          <w:rFonts w:ascii="Arial" w:hAnsi="Arial" w:cs="Arial"/>
          <w:i/>
          <w:caps/>
          <w:sz w:val="24"/>
          <w:szCs w:val="24"/>
        </w:rPr>
        <w:t xml:space="preserve">5. </w:t>
      </w:r>
      <w:r w:rsidRPr="00917C1F">
        <w:rPr>
          <w:rFonts w:ascii="Arial" w:hAnsi="Arial" w:cs="Arial"/>
          <w:i/>
          <w:sz w:val="24"/>
          <w:szCs w:val="24"/>
        </w:rPr>
        <w:t>Conclusiones</w:t>
      </w:r>
      <w:bookmarkEnd w:id="464"/>
    </w:p>
    <w:p w:rsidR="00917C1F" w:rsidRPr="00842147" w:rsidRDefault="00917C1F" w:rsidP="00917C1F">
      <w:pPr>
        <w:ind w:firstLine="567"/>
        <w:jc w:val="both"/>
        <w:rPr>
          <w:rFonts w:ascii="Arial" w:eastAsia="Calibri" w:hAnsi="Arial" w:cs="Arial"/>
        </w:rPr>
      </w:pPr>
      <w:r>
        <w:rPr>
          <w:rFonts w:ascii="Arial" w:eastAsia="Calibri" w:hAnsi="Arial" w:cs="Arial"/>
        </w:rPr>
        <w:t xml:space="preserve">El estudio comparativo de la adsorción de aluminio en quitosano y en cascarilla de arroz mostró que el pH de la solución afecta el porcentaje de remoción del ion, siendo éste más alto a pH mayor que 5. El equilibrio de adsorción del aluminio en ambos bioadsorbentes se ajusta al modelo de la isoterma de Freundlich y según el modelo de Langmuir, </w:t>
      </w:r>
      <w:r>
        <w:rPr>
          <w:rFonts w:ascii="Arial" w:hAnsi="Arial" w:cs="Arial"/>
        </w:rPr>
        <w:t xml:space="preserve">la cascarilla de arroz tiene mayor capacidad de adsorción de aluminio que el quitosano. La cinética de adsorción del aluminio en quitosano y en cascarilla de arroz </w:t>
      </w:r>
      <w:r>
        <w:rPr>
          <w:rFonts w:ascii="Arial" w:eastAsia="Calibri" w:hAnsi="Arial" w:cs="Arial"/>
        </w:rPr>
        <w:t xml:space="preserve">se ajusta al modelo </w:t>
      </w:r>
      <w:r>
        <w:rPr>
          <w:rFonts w:ascii="Arial" w:hAnsi="Arial" w:cs="Arial"/>
          <w:color w:val="000000"/>
        </w:rPr>
        <w:t>de pseudo segundo orden. Tanto el quitosano como la cascarilla de arroz son efectivos para la remoción de aluminio de agua potable con altos porcentajes de remoción.</w:t>
      </w:r>
    </w:p>
    <w:p w:rsidR="00917C1F" w:rsidRPr="00FA5EA4" w:rsidRDefault="00917C1F" w:rsidP="00917C1F">
      <w:pPr>
        <w:pStyle w:val="Textoindependiente"/>
        <w:ind w:firstLine="539"/>
        <w:rPr>
          <w:rFonts w:ascii="Arial" w:hAnsi="Arial" w:cs="Arial"/>
          <w:b w:val="0"/>
          <w:sz w:val="24"/>
        </w:rPr>
      </w:pPr>
    </w:p>
    <w:p w:rsidR="00917C1F" w:rsidRPr="00917C1F" w:rsidRDefault="00917C1F" w:rsidP="00917C1F">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465" w:name="_Toc50031488"/>
      <w:r w:rsidRPr="00917C1F">
        <w:rPr>
          <w:rFonts w:ascii="Arial" w:hAnsi="Arial" w:cs="Arial"/>
          <w:i/>
          <w:caps/>
          <w:sz w:val="24"/>
          <w:szCs w:val="24"/>
        </w:rPr>
        <w:t xml:space="preserve">6. </w:t>
      </w:r>
      <w:r w:rsidRPr="00917C1F">
        <w:rPr>
          <w:rFonts w:ascii="Arial" w:hAnsi="Arial" w:cs="Arial"/>
          <w:i/>
          <w:sz w:val="24"/>
          <w:szCs w:val="24"/>
        </w:rPr>
        <w:t>Bibliografía</w:t>
      </w:r>
      <w:bookmarkEnd w:id="465"/>
    </w:p>
    <w:p w:rsidR="00917C1F" w:rsidRPr="00B2108E" w:rsidRDefault="00917C1F" w:rsidP="001D2A3D">
      <w:pPr>
        <w:numPr>
          <w:ilvl w:val="0"/>
          <w:numId w:val="75"/>
        </w:numPr>
        <w:suppressAutoHyphens/>
        <w:spacing w:after="0" w:line="240" w:lineRule="auto"/>
        <w:jc w:val="both"/>
        <w:rPr>
          <w:rFonts w:ascii="Arial" w:eastAsia="Calibri" w:hAnsi="Arial" w:cs="Arial"/>
          <w:lang w:val="es-NI" w:eastAsia="es-NI"/>
        </w:rPr>
      </w:pPr>
      <w:r w:rsidRPr="00917C1F">
        <w:rPr>
          <w:rFonts w:ascii="Arial" w:hAnsi="Arial" w:cs="Arial"/>
          <w:lang w:val="en-US"/>
        </w:rPr>
        <w:t>Pour, G., Takassi, M., Hamoule T. “Aluminium in drinking water: An overview”</w:t>
      </w:r>
      <w:r w:rsidRPr="00B2108E">
        <w:rPr>
          <w:rFonts w:ascii="Arial" w:hAnsi="Arial" w:cs="Arial"/>
          <w:lang w:val="en-US"/>
        </w:rPr>
        <w:t xml:space="preserve">. Faculty of Engineering, University of Regina, Regina, Canada, 2014. </w:t>
      </w:r>
    </w:p>
    <w:p w:rsidR="00917C1F" w:rsidRPr="00B2108E" w:rsidRDefault="00917C1F" w:rsidP="001D2A3D">
      <w:pPr>
        <w:numPr>
          <w:ilvl w:val="0"/>
          <w:numId w:val="75"/>
        </w:numPr>
        <w:suppressAutoHyphens/>
        <w:spacing w:after="0" w:line="240" w:lineRule="auto"/>
        <w:jc w:val="both"/>
        <w:rPr>
          <w:rFonts w:ascii="Arial" w:eastAsia="Calibri" w:hAnsi="Arial" w:cs="Arial"/>
          <w:lang w:val="en-US" w:eastAsia="es-NI"/>
        </w:rPr>
      </w:pPr>
      <w:r w:rsidRPr="00B2108E">
        <w:rPr>
          <w:rFonts w:ascii="Arial" w:hAnsi="Arial" w:cs="Arial"/>
          <w:lang w:val="en-US"/>
        </w:rPr>
        <w:t>Othman, M. N., Abdullah, M. P., Abdul Aziz, Y. F. “Removal of aluminium from drinking water”. Sains Malaysiana, 39(1), 51–55 (2010).</w:t>
      </w:r>
    </w:p>
    <w:p w:rsidR="00917C1F" w:rsidRPr="00B2108E" w:rsidRDefault="00917C1F" w:rsidP="001D2A3D">
      <w:pPr>
        <w:numPr>
          <w:ilvl w:val="0"/>
          <w:numId w:val="75"/>
        </w:numPr>
        <w:suppressAutoHyphens/>
        <w:spacing w:after="0" w:line="240" w:lineRule="auto"/>
        <w:jc w:val="both"/>
        <w:rPr>
          <w:rFonts w:ascii="Arial" w:eastAsia="Calibri" w:hAnsi="Arial" w:cs="Arial"/>
          <w:lang w:val="en-US" w:eastAsia="es-NI"/>
        </w:rPr>
      </w:pPr>
      <w:r w:rsidRPr="00B2108E">
        <w:rPr>
          <w:rFonts w:ascii="Arial" w:hAnsi="Arial" w:cs="Arial"/>
          <w:lang w:val="en-US"/>
        </w:rPr>
        <w:t>Özkahraman, B. “Synthesis of Ion – Imprinted Bioadsorbents Based on Chitosan and its Usage in Al (III) Removal”. Hitit University, Corum, Turkey, 2017.</w:t>
      </w:r>
    </w:p>
    <w:p w:rsidR="00917C1F" w:rsidRPr="00B2108E" w:rsidRDefault="00917C1F" w:rsidP="001D2A3D">
      <w:pPr>
        <w:numPr>
          <w:ilvl w:val="0"/>
          <w:numId w:val="75"/>
        </w:numPr>
        <w:suppressAutoHyphens/>
        <w:spacing w:after="0" w:line="240" w:lineRule="auto"/>
        <w:jc w:val="both"/>
        <w:rPr>
          <w:rFonts w:ascii="Arial" w:eastAsia="Calibri" w:hAnsi="Arial" w:cs="Arial"/>
          <w:lang w:val="es-NI" w:eastAsia="es-NI"/>
        </w:rPr>
      </w:pPr>
      <w:r w:rsidRPr="00B2108E">
        <w:rPr>
          <w:rFonts w:ascii="Arial" w:hAnsi="Arial" w:cs="Arial"/>
        </w:rPr>
        <w:t xml:space="preserve">Moncada, J., Munguía, E. “Evaluación de la calidad del agua potable en cuatro plantas potabilizadoras de la región Boaco – Chontales para el período de tiempo 2003 2007”. Facultad de Ingeniería Química, </w:t>
      </w:r>
      <w:r>
        <w:rPr>
          <w:rFonts w:ascii="Arial" w:hAnsi="Arial" w:cs="Arial"/>
        </w:rPr>
        <w:t>UNI</w:t>
      </w:r>
      <w:r w:rsidRPr="00B2108E">
        <w:rPr>
          <w:rFonts w:ascii="Arial" w:hAnsi="Arial" w:cs="Arial"/>
        </w:rPr>
        <w:t>, Managua, Nicaragua, 2008.</w:t>
      </w:r>
    </w:p>
    <w:p w:rsidR="00917C1F" w:rsidRPr="00B2108E" w:rsidRDefault="00917C1F" w:rsidP="001D2A3D">
      <w:pPr>
        <w:numPr>
          <w:ilvl w:val="0"/>
          <w:numId w:val="75"/>
        </w:numPr>
        <w:suppressAutoHyphens/>
        <w:spacing w:after="0" w:line="240" w:lineRule="auto"/>
        <w:jc w:val="both"/>
        <w:rPr>
          <w:rFonts w:ascii="Arial" w:eastAsia="Calibri" w:hAnsi="Arial" w:cs="Arial"/>
          <w:lang w:val="en-US" w:eastAsia="es-NI"/>
        </w:rPr>
      </w:pPr>
      <w:r w:rsidRPr="00B2108E">
        <w:rPr>
          <w:rFonts w:ascii="Arial" w:hAnsi="Arial" w:cs="Arial"/>
          <w:lang w:val="en-US"/>
        </w:rPr>
        <w:t>Benavente, M. “Adsorption of Metallic Ions onto Chitosan: Equilibrium and Kinetic Studies”. Licentiate Thesis in Chemical Engineering, Royal Institute of Technology (KTH), Stockholm, Sweden, 2008.</w:t>
      </w:r>
    </w:p>
    <w:p w:rsidR="00917C1F" w:rsidRPr="00B2108E" w:rsidRDefault="00917C1F" w:rsidP="001D2A3D">
      <w:pPr>
        <w:numPr>
          <w:ilvl w:val="0"/>
          <w:numId w:val="75"/>
        </w:numPr>
        <w:suppressAutoHyphens/>
        <w:spacing w:after="0" w:line="240" w:lineRule="auto"/>
        <w:jc w:val="both"/>
        <w:rPr>
          <w:rFonts w:ascii="Arial" w:eastAsia="Calibri" w:hAnsi="Arial" w:cs="Arial"/>
          <w:lang w:val="en-US" w:eastAsia="es-NI"/>
        </w:rPr>
      </w:pPr>
      <w:r w:rsidRPr="00B2108E">
        <w:rPr>
          <w:rFonts w:ascii="Arial" w:hAnsi="Arial" w:cs="Arial"/>
          <w:lang w:val="en-US"/>
        </w:rPr>
        <w:t>Ahmaruzzaman, M., Gupta, V. K. “Rice Husk and its ash as Low-Cost Adsorbents in Water and Wastewater Treatment”. Industrial &amp; Engineering Chemistry Research, 50, pp. 13589–13613 (2011).</w:t>
      </w:r>
    </w:p>
    <w:p w:rsidR="00917C1F" w:rsidRPr="00B2108E" w:rsidRDefault="00917C1F" w:rsidP="001D2A3D">
      <w:pPr>
        <w:numPr>
          <w:ilvl w:val="0"/>
          <w:numId w:val="75"/>
        </w:numPr>
        <w:suppressAutoHyphens/>
        <w:spacing w:after="0" w:line="240" w:lineRule="auto"/>
        <w:jc w:val="both"/>
        <w:rPr>
          <w:rFonts w:ascii="Arial" w:eastAsia="Calibri" w:hAnsi="Arial" w:cs="Arial"/>
          <w:lang w:val="es-NI" w:eastAsia="es-NI"/>
        </w:rPr>
      </w:pPr>
      <w:r w:rsidRPr="00B2108E">
        <w:rPr>
          <w:rFonts w:ascii="Arial" w:eastAsia="Calibri" w:hAnsi="Arial" w:cs="Arial"/>
          <w:lang w:val="es-NI" w:eastAsia="es-NI"/>
        </w:rPr>
        <w:t>Herrera, G., Hormanza, A., Gallego, D. “Cascarilla de arroz: material alternativo y de bajo costo para el tratamiento de aguas contaminadas con cromo (VI)”. Gestión Ambiental., 14 (1), 73</w:t>
      </w:r>
      <w:r w:rsidRPr="00B2108E">
        <w:rPr>
          <w:rFonts w:ascii="Arial" w:hAnsi="Arial" w:cs="Arial"/>
          <w:lang w:val="es-NI"/>
        </w:rPr>
        <w:t>–</w:t>
      </w:r>
      <w:r w:rsidRPr="00B2108E">
        <w:rPr>
          <w:rFonts w:ascii="Arial" w:eastAsia="Calibri" w:hAnsi="Arial" w:cs="Arial"/>
          <w:lang w:val="es-NI" w:eastAsia="es-NI"/>
        </w:rPr>
        <w:t>84 (2011).</w:t>
      </w:r>
    </w:p>
    <w:p w:rsidR="00917C1F" w:rsidRPr="00E962DA" w:rsidRDefault="00917C1F" w:rsidP="001D2A3D">
      <w:pPr>
        <w:numPr>
          <w:ilvl w:val="0"/>
          <w:numId w:val="75"/>
        </w:numPr>
        <w:suppressAutoHyphens/>
        <w:spacing w:after="0" w:line="240" w:lineRule="auto"/>
        <w:jc w:val="both"/>
        <w:rPr>
          <w:rFonts w:ascii="Arial" w:eastAsia="Calibri" w:hAnsi="Arial" w:cs="Arial"/>
          <w:lang w:val="es-NI" w:eastAsia="es-NI"/>
        </w:rPr>
      </w:pPr>
      <w:r w:rsidRPr="00E962DA">
        <w:rPr>
          <w:rFonts w:ascii="Arial" w:eastAsia="Calibri" w:hAnsi="Arial" w:cs="Arial"/>
          <w:lang w:eastAsia="es-NI"/>
        </w:rPr>
        <w:t>Rodríguez-Páez, J. E., Villaquirán, C., Cobo, J. “</w:t>
      </w:r>
      <w:r w:rsidRPr="00E962DA">
        <w:rPr>
          <w:rFonts w:ascii="Arial" w:eastAsia="Calibri" w:hAnsi="Arial" w:cs="Arial"/>
          <w:lang w:val="es-NI" w:eastAsia="es-NI"/>
        </w:rPr>
        <w:t>Estudio de la formación de los complejos intermedios durante la síntesis de alúmina”. Materials Research, 4(4), 255</w:t>
      </w:r>
      <w:r w:rsidRPr="00E962DA">
        <w:rPr>
          <w:rFonts w:ascii="Arial" w:hAnsi="Arial" w:cs="Arial"/>
        </w:rPr>
        <w:t>–</w:t>
      </w:r>
      <w:r w:rsidRPr="00E962DA">
        <w:rPr>
          <w:rFonts w:ascii="Arial" w:eastAsia="Calibri" w:hAnsi="Arial" w:cs="Arial"/>
          <w:lang w:val="es-NI" w:eastAsia="es-NI"/>
        </w:rPr>
        <w:t>264</w:t>
      </w:r>
      <w:r w:rsidRPr="00E962DA">
        <w:rPr>
          <w:rFonts w:ascii="Arial" w:eastAsia="Calibri" w:hAnsi="Arial" w:cs="Arial"/>
          <w:lang w:eastAsia="es-NI"/>
        </w:rPr>
        <w:t xml:space="preserve"> (2001).</w:t>
      </w:r>
    </w:p>
    <w:p w:rsidR="00917C1F" w:rsidRPr="00E962DA" w:rsidRDefault="00917C1F" w:rsidP="001D2A3D">
      <w:pPr>
        <w:numPr>
          <w:ilvl w:val="0"/>
          <w:numId w:val="75"/>
        </w:numPr>
        <w:suppressAutoHyphens/>
        <w:spacing w:after="0" w:line="240" w:lineRule="auto"/>
        <w:jc w:val="both"/>
        <w:rPr>
          <w:rFonts w:ascii="Arial" w:hAnsi="Arial" w:cs="Arial"/>
          <w:lang w:val="en-US"/>
        </w:rPr>
      </w:pPr>
      <w:r w:rsidRPr="00E962DA">
        <w:rPr>
          <w:rFonts w:ascii="Arial" w:hAnsi="Arial" w:cs="Arial"/>
        </w:rPr>
        <w:t>Romero-Sevilla, M., Sánchez-Cuadra, S., Benavente Silva, M. “Aplicación de quitosano modificado en el tratamiento de aguas residuales de tenerías”. Nexo Revista Científica, 31(2), 104-119. doi: 10.5377/nexo.v31i2.6834. (2018).</w:t>
      </w:r>
    </w:p>
    <w:p w:rsidR="00917C1F" w:rsidRPr="00E962DA" w:rsidRDefault="00917C1F" w:rsidP="001D2A3D">
      <w:pPr>
        <w:numPr>
          <w:ilvl w:val="0"/>
          <w:numId w:val="75"/>
        </w:numPr>
        <w:suppressAutoHyphens/>
        <w:spacing w:after="0" w:line="240" w:lineRule="auto"/>
        <w:jc w:val="both"/>
        <w:rPr>
          <w:rFonts w:ascii="Arial" w:hAnsi="Arial" w:cs="Arial"/>
          <w:lang w:val="en-US"/>
        </w:rPr>
      </w:pPr>
      <w:r w:rsidRPr="00E962DA">
        <w:rPr>
          <w:rFonts w:ascii="Arial" w:hAnsi="Arial" w:cs="Arial"/>
        </w:rPr>
        <w:t xml:space="preserve">García, G., Falco, M., Sedran, U., Cabrera, S. “Alúminas mesoporosas obtenidas por la ruta de los atranos para su aplicación como matrices en craqueo catalítico”. Revista Boliviana de Química, 27(1), 41–49 (2010). </w:t>
      </w:r>
    </w:p>
    <w:p w:rsidR="00917C1F" w:rsidRPr="00DF405D" w:rsidRDefault="00917C1F" w:rsidP="001D2A3D">
      <w:pPr>
        <w:numPr>
          <w:ilvl w:val="0"/>
          <w:numId w:val="75"/>
        </w:numPr>
        <w:suppressAutoHyphens/>
        <w:spacing w:after="0" w:line="240" w:lineRule="auto"/>
        <w:jc w:val="both"/>
        <w:rPr>
          <w:rFonts w:ascii="Arial" w:hAnsi="Arial" w:cs="Arial"/>
        </w:rPr>
      </w:pPr>
      <w:r w:rsidRPr="00E962DA">
        <w:rPr>
          <w:rFonts w:ascii="Arial" w:hAnsi="Arial" w:cs="Arial"/>
        </w:rPr>
        <w:t>Flores-Alamo, N., Solache-Ríos, M. J., Gómez-Espinosa R. M., García-Gaitán, B. “Estudio de adsorción competitiva de cobre y zinc en solución acuosa utilizando</w:t>
      </w:r>
      <w:r w:rsidRPr="00DF405D">
        <w:rPr>
          <w:rFonts w:ascii="Arial" w:hAnsi="Arial" w:cs="Arial"/>
        </w:rPr>
        <w:t xml:space="preserve"> Q/PVA/EGDE”. Revista Mexicana de Ingeniería Química, 14(3), 801–811 (2015).</w:t>
      </w:r>
    </w:p>
    <w:p w:rsidR="00917C1F" w:rsidRPr="00E962DA" w:rsidRDefault="00917C1F" w:rsidP="001D2A3D">
      <w:pPr>
        <w:numPr>
          <w:ilvl w:val="0"/>
          <w:numId w:val="75"/>
        </w:numPr>
        <w:suppressAutoHyphens/>
        <w:spacing w:after="0" w:line="240" w:lineRule="auto"/>
        <w:jc w:val="both"/>
        <w:rPr>
          <w:rFonts w:ascii="Arial" w:hAnsi="Arial" w:cs="Arial"/>
          <w:lang w:val="en-US"/>
        </w:rPr>
      </w:pPr>
      <w:r w:rsidRPr="00E962DA">
        <w:rPr>
          <w:rFonts w:ascii="Arial" w:hAnsi="Arial" w:cs="Arial"/>
        </w:rPr>
        <w:t xml:space="preserve">Wade, Jr. L. G. (2004). Química Orgánica. </w:t>
      </w:r>
      <w:r w:rsidRPr="00E962DA">
        <w:rPr>
          <w:rFonts w:ascii="Arial" w:hAnsi="Arial" w:cs="Arial"/>
          <w:lang w:val="en-US"/>
        </w:rPr>
        <w:t xml:space="preserve">Pearson, Prentice Hall, 5ta. Edición. </w:t>
      </w:r>
    </w:p>
    <w:p w:rsidR="00917C1F" w:rsidRPr="00DF405D" w:rsidRDefault="00917C1F" w:rsidP="001D2A3D">
      <w:pPr>
        <w:numPr>
          <w:ilvl w:val="0"/>
          <w:numId w:val="75"/>
        </w:numPr>
        <w:suppressAutoHyphens/>
        <w:spacing w:after="0" w:line="240" w:lineRule="auto"/>
        <w:jc w:val="both"/>
        <w:rPr>
          <w:rFonts w:ascii="Arial" w:hAnsi="Arial" w:cs="Arial"/>
          <w:lang w:val="en-US"/>
        </w:rPr>
      </w:pPr>
      <w:r w:rsidRPr="00DF405D">
        <w:rPr>
          <w:rFonts w:ascii="Arial" w:hAnsi="Arial" w:cs="Arial"/>
          <w:lang w:val="en-US"/>
        </w:rPr>
        <w:t>Badawi, M. A., Negm, N. A., Abou Kana, M. T., Hefni, H. H. “Adsorption of aluminum and lead from wastewater by chitosan-tannic acid modified biopolymers: isotherms, kinetics, thermodynamics and process mechanism”. International Journal of Biological Macromolecules 99, 465–476 (2017).</w:t>
      </w:r>
    </w:p>
    <w:p w:rsidR="00917C1F" w:rsidRDefault="00917C1F" w:rsidP="001D2A3D">
      <w:pPr>
        <w:numPr>
          <w:ilvl w:val="0"/>
          <w:numId w:val="75"/>
        </w:numPr>
        <w:suppressAutoHyphens/>
        <w:spacing w:after="0" w:line="240" w:lineRule="auto"/>
        <w:jc w:val="both"/>
        <w:rPr>
          <w:rFonts w:ascii="Arial" w:hAnsi="Arial" w:cs="Arial"/>
          <w:lang w:val="en-US"/>
        </w:rPr>
      </w:pPr>
      <w:r w:rsidRPr="00DF405D">
        <w:rPr>
          <w:rFonts w:ascii="Arial" w:hAnsi="Arial" w:cs="Arial"/>
          <w:lang w:val="en-US"/>
        </w:rPr>
        <w:t>Othman, M. N., Abdullah, M. P., Abdul Aziz, Y. F. “Removal of aluminium from drinking water”. Sains Malaysiana, 39(1), 51–55 (2010).</w:t>
      </w:r>
    </w:p>
    <w:p w:rsidR="00917C1F" w:rsidRPr="004F596D" w:rsidRDefault="00917C1F" w:rsidP="001D2A3D">
      <w:pPr>
        <w:numPr>
          <w:ilvl w:val="0"/>
          <w:numId w:val="75"/>
        </w:numPr>
        <w:suppressAutoHyphens/>
        <w:spacing w:after="0" w:line="240" w:lineRule="auto"/>
        <w:jc w:val="both"/>
        <w:rPr>
          <w:rFonts w:ascii="Arial" w:hAnsi="Arial" w:cs="Arial"/>
          <w:lang w:val="en-US"/>
        </w:rPr>
      </w:pPr>
      <w:r w:rsidRPr="004F596D">
        <w:rPr>
          <w:rFonts w:ascii="Arial" w:hAnsi="Arial" w:cs="Arial"/>
          <w:lang w:val="en-US"/>
        </w:rPr>
        <w:t>van Loon, G. W., Duffy, S. J. “Environmental Chemistry”. Second Edition. Oxford University Press INc., New York, pp. 318 (2005).</w:t>
      </w:r>
    </w:p>
    <w:p w:rsidR="003F0296" w:rsidRPr="00B317CC" w:rsidRDefault="003F0296" w:rsidP="0049551D">
      <w:pPr>
        <w:rPr>
          <w:lang w:val="en-US"/>
        </w:rPr>
      </w:pPr>
    </w:p>
    <w:p w:rsidR="003F0296" w:rsidRDefault="003F0296" w:rsidP="0049551D">
      <w:pPr>
        <w:rPr>
          <w:lang w:val="en-US"/>
        </w:rPr>
      </w:pPr>
    </w:p>
    <w:p w:rsidR="00E31D8C" w:rsidRPr="00E31D8C" w:rsidRDefault="00E31D8C" w:rsidP="00E31D8C">
      <w:pPr>
        <w:pStyle w:val="1Titulo"/>
        <w:numPr>
          <w:ilvl w:val="0"/>
          <w:numId w:val="0"/>
        </w:numPr>
        <w:ind w:left="357"/>
        <w:jc w:val="center"/>
        <w:rPr>
          <w:sz w:val="28"/>
          <w:szCs w:val="28"/>
        </w:rPr>
      </w:pPr>
      <w:bookmarkStart w:id="466" w:name="_Toc50031489"/>
      <w:r w:rsidRPr="00E31D8C">
        <w:rPr>
          <w:sz w:val="28"/>
          <w:szCs w:val="28"/>
        </w:rPr>
        <w:t>Diseño de una planta recicladora de plásticos de uso agrícola como alternativa para la contaminación en México por estos residuos</w:t>
      </w:r>
      <w:bookmarkEnd w:id="466"/>
    </w:p>
    <w:p w:rsidR="00E31D8C" w:rsidRPr="00674745" w:rsidRDefault="00E31D8C" w:rsidP="00E31D8C">
      <w:pPr>
        <w:spacing w:after="0" w:line="240" w:lineRule="auto"/>
        <w:jc w:val="both"/>
        <w:rPr>
          <w:rFonts w:ascii="Arial" w:hAnsi="Arial" w:cs="Arial"/>
          <w:b/>
          <w:sz w:val="28"/>
          <w:szCs w:val="28"/>
        </w:rPr>
      </w:pPr>
    </w:p>
    <w:p w:rsidR="00E31D8C" w:rsidRPr="00553BC3" w:rsidRDefault="00E31D8C" w:rsidP="00E31D8C">
      <w:pPr>
        <w:spacing w:after="0" w:line="240" w:lineRule="auto"/>
        <w:jc w:val="center"/>
        <w:rPr>
          <w:rFonts w:ascii="Arial" w:hAnsi="Arial" w:cs="Arial"/>
          <w:sz w:val="24"/>
          <w:szCs w:val="24"/>
        </w:rPr>
      </w:pPr>
      <w:r w:rsidRPr="00553BC3">
        <w:rPr>
          <w:rFonts w:ascii="Arial" w:hAnsi="Arial" w:cs="Arial"/>
          <w:sz w:val="24"/>
          <w:szCs w:val="24"/>
          <w:u w:val="single"/>
        </w:rPr>
        <w:t>Delgado López C. A.</w:t>
      </w:r>
      <w:r w:rsidRPr="00553BC3">
        <w:rPr>
          <w:rFonts w:ascii="Arial" w:hAnsi="Arial" w:cs="Arial"/>
          <w:sz w:val="24"/>
          <w:szCs w:val="24"/>
          <w:u w:val="single"/>
          <w:vertAlign w:val="superscript"/>
        </w:rPr>
        <w:t>1</w:t>
      </w:r>
      <w:r w:rsidRPr="00553BC3">
        <w:rPr>
          <w:rFonts w:ascii="Arial" w:hAnsi="Arial" w:cs="Arial"/>
          <w:sz w:val="24"/>
          <w:szCs w:val="24"/>
        </w:rPr>
        <w:t>, Gavilán García I. C.</w:t>
      </w:r>
      <w:r w:rsidRPr="00553BC3">
        <w:rPr>
          <w:rFonts w:ascii="Arial" w:hAnsi="Arial" w:cs="Arial"/>
          <w:sz w:val="24"/>
          <w:szCs w:val="24"/>
          <w:vertAlign w:val="superscript"/>
        </w:rPr>
        <w:t>2</w:t>
      </w:r>
      <w:r w:rsidRPr="00553BC3">
        <w:rPr>
          <w:rFonts w:ascii="Arial" w:hAnsi="Arial" w:cs="Arial"/>
          <w:sz w:val="24"/>
          <w:szCs w:val="24"/>
        </w:rPr>
        <w:t>.</w:t>
      </w:r>
    </w:p>
    <w:p w:rsidR="00E31D8C" w:rsidRPr="00553BC3" w:rsidRDefault="00E31D8C" w:rsidP="00E31D8C">
      <w:pPr>
        <w:spacing w:after="0" w:line="240" w:lineRule="auto"/>
        <w:jc w:val="center"/>
        <w:rPr>
          <w:rFonts w:ascii="Arial" w:hAnsi="Arial" w:cs="Arial"/>
          <w:sz w:val="24"/>
          <w:szCs w:val="24"/>
        </w:rPr>
      </w:pPr>
      <w:r w:rsidRPr="00553BC3">
        <w:rPr>
          <w:rFonts w:ascii="Arial" w:hAnsi="Arial" w:cs="Arial"/>
          <w:sz w:val="24"/>
          <w:szCs w:val="24"/>
          <w:vertAlign w:val="superscript"/>
        </w:rPr>
        <w:t>1</w:t>
      </w:r>
      <w:r w:rsidRPr="00553BC3">
        <w:rPr>
          <w:rFonts w:ascii="Arial" w:hAnsi="Arial" w:cs="Arial"/>
          <w:sz w:val="24"/>
          <w:szCs w:val="24"/>
        </w:rPr>
        <w:t>Universidad Nacional Autónoma de México, Facultad de Psicología, Unidad de Gestión de Residuos, Edificio D Cubículo 17 en Mezzanine, Cto. Exterior S/N, C.U. Coyoacán. Ciudad de México, 04510, México.</w:t>
      </w:r>
    </w:p>
    <w:p w:rsidR="00E31D8C" w:rsidRPr="00553BC3" w:rsidRDefault="00E31D8C" w:rsidP="00E31D8C">
      <w:pPr>
        <w:spacing w:after="0" w:line="240" w:lineRule="auto"/>
        <w:jc w:val="center"/>
        <w:rPr>
          <w:rFonts w:ascii="Arial" w:hAnsi="Arial" w:cs="Arial"/>
          <w:sz w:val="24"/>
          <w:szCs w:val="24"/>
        </w:rPr>
      </w:pPr>
      <w:r w:rsidRPr="00553BC3">
        <w:rPr>
          <w:rFonts w:ascii="Arial" w:hAnsi="Arial" w:cs="Arial"/>
          <w:sz w:val="24"/>
          <w:szCs w:val="24"/>
          <w:vertAlign w:val="superscript"/>
        </w:rPr>
        <w:t>2</w:t>
      </w:r>
      <w:r w:rsidRPr="00553BC3">
        <w:rPr>
          <w:rFonts w:ascii="Arial" w:hAnsi="Arial" w:cs="Arial"/>
          <w:sz w:val="24"/>
          <w:szCs w:val="24"/>
        </w:rPr>
        <w:t>Universidad Nacional Autónoma de México, Facultad de Química, Unidad de Gestión Ambiental, Edificio "A" Anexo de Laboratorio “D”, Cto. Exterior S/N, C.U. Coyoacán. Ciudad de México, 04510, México.</w:t>
      </w:r>
    </w:p>
    <w:p w:rsidR="00E31D8C" w:rsidRPr="00776774" w:rsidRDefault="00E31D8C" w:rsidP="00E31D8C">
      <w:pPr>
        <w:spacing w:after="0" w:line="240" w:lineRule="auto"/>
        <w:jc w:val="center"/>
        <w:rPr>
          <w:rFonts w:ascii="Arial" w:hAnsi="Arial" w:cs="Arial"/>
          <w:sz w:val="24"/>
          <w:szCs w:val="24"/>
          <w:lang w:val="es-MX"/>
        </w:rPr>
      </w:pPr>
      <w:r w:rsidRPr="00776774">
        <w:rPr>
          <w:rFonts w:ascii="Arial" w:hAnsi="Arial" w:cs="Arial"/>
          <w:sz w:val="24"/>
          <w:szCs w:val="24"/>
          <w:lang w:val="es-MX"/>
        </w:rPr>
        <w:t xml:space="preserve">e-mail: </w:t>
      </w:r>
      <w:hyperlink r:id="rId1343" w:history="1">
        <w:r w:rsidRPr="00776774">
          <w:rPr>
            <w:rStyle w:val="Hipervnculo"/>
            <w:rFonts w:ascii="Arial" w:hAnsi="Arial" w:cs="Arial"/>
            <w:color w:val="auto"/>
            <w:sz w:val="24"/>
            <w:szCs w:val="24"/>
            <w:lang w:val="es-MX"/>
          </w:rPr>
          <w:t>chris_loopz@yahoo.com.mx</w:t>
        </w:r>
      </w:hyperlink>
      <w:r w:rsidRPr="00776774">
        <w:rPr>
          <w:rStyle w:val="Hipervnculo"/>
          <w:rFonts w:ascii="Arial" w:hAnsi="Arial" w:cs="Arial"/>
          <w:color w:val="auto"/>
          <w:sz w:val="24"/>
          <w:szCs w:val="24"/>
          <w:lang w:val="es-MX"/>
        </w:rPr>
        <w:t>,</w:t>
      </w:r>
      <w:r w:rsidRPr="00776774">
        <w:rPr>
          <w:rFonts w:ascii="Arial" w:hAnsi="Arial" w:cs="Arial"/>
          <w:sz w:val="24"/>
          <w:szCs w:val="24"/>
          <w:lang w:val="es-MX"/>
        </w:rPr>
        <w:t xml:space="preserve"> </w:t>
      </w:r>
      <w:hyperlink r:id="rId1344" w:history="1">
        <w:r w:rsidRPr="00776774">
          <w:rPr>
            <w:rStyle w:val="Hipervnculo"/>
            <w:rFonts w:ascii="Arial" w:hAnsi="Arial" w:cs="Arial"/>
            <w:color w:val="auto"/>
            <w:sz w:val="24"/>
            <w:szCs w:val="24"/>
            <w:lang w:val="es-MX"/>
          </w:rPr>
          <w:t>irmac@unam.mx</w:t>
        </w:r>
      </w:hyperlink>
      <w:r w:rsidRPr="00776774">
        <w:rPr>
          <w:rFonts w:ascii="Arial" w:hAnsi="Arial" w:cs="Arial"/>
          <w:sz w:val="24"/>
          <w:szCs w:val="24"/>
          <w:lang w:val="es-MX"/>
        </w:rPr>
        <w:t>.</w:t>
      </w:r>
    </w:p>
    <w:p w:rsidR="00E31D8C" w:rsidRPr="00776774" w:rsidRDefault="00E31D8C" w:rsidP="00E31D8C">
      <w:pPr>
        <w:spacing w:after="0" w:line="240" w:lineRule="auto"/>
        <w:jc w:val="both"/>
        <w:rPr>
          <w:rFonts w:ascii="Arial" w:hAnsi="Arial" w:cs="Arial"/>
          <w:sz w:val="24"/>
          <w:szCs w:val="24"/>
          <w:lang w:val="es-MX"/>
        </w:rPr>
      </w:pPr>
    </w:p>
    <w:p w:rsidR="00E31D8C" w:rsidRPr="007C64F6" w:rsidRDefault="00873BBA" w:rsidP="00873BBA">
      <w:pPr>
        <w:pStyle w:val="1Titulo"/>
        <w:numPr>
          <w:ilvl w:val="0"/>
          <w:numId w:val="0"/>
        </w:numPr>
        <w:ind w:left="357" w:hanging="357"/>
      </w:pPr>
      <w:bookmarkStart w:id="467" w:name="_Toc50031490"/>
      <w:r>
        <w:t xml:space="preserve">1. </w:t>
      </w:r>
      <w:r w:rsidR="00E31D8C" w:rsidRPr="007C64F6">
        <w:t>Resumen</w:t>
      </w:r>
      <w:bookmarkEnd w:id="467"/>
    </w:p>
    <w:p w:rsidR="00E31D8C" w:rsidRPr="00553BC3" w:rsidRDefault="00E31D8C" w:rsidP="00E31D8C">
      <w:pPr>
        <w:keepNext/>
        <w:spacing w:after="0" w:line="240" w:lineRule="auto"/>
        <w:ind w:left="360"/>
        <w:jc w:val="both"/>
        <w:rPr>
          <w:rFonts w:ascii="Arial" w:hAnsi="Arial" w:cs="Arial"/>
          <w:sz w:val="24"/>
          <w:szCs w:val="24"/>
        </w:rPr>
      </w:pPr>
    </w:p>
    <w:p w:rsidR="00E31D8C" w:rsidRDefault="00E31D8C" w:rsidP="00E31D8C">
      <w:pPr>
        <w:keepNext/>
        <w:spacing w:after="0" w:line="240" w:lineRule="auto"/>
        <w:ind w:firstLine="567"/>
        <w:jc w:val="both"/>
        <w:rPr>
          <w:rFonts w:ascii="Arial" w:hAnsi="Arial" w:cs="Arial"/>
          <w:sz w:val="24"/>
          <w:szCs w:val="24"/>
        </w:rPr>
      </w:pPr>
      <w:r w:rsidRPr="00553BC3">
        <w:rPr>
          <w:rFonts w:ascii="Arial" w:hAnsi="Arial" w:cs="Arial"/>
          <w:sz w:val="24"/>
          <w:szCs w:val="24"/>
        </w:rPr>
        <w:t xml:space="preserve">La agricultura protegida es una práctica que utiliza plásticos </w:t>
      </w:r>
      <w:r>
        <w:rPr>
          <w:rFonts w:ascii="Arial" w:hAnsi="Arial" w:cs="Arial"/>
          <w:sz w:val="24"/>
          <w:szCs w:val="24"/>
        </w:rPr>
        <w:t xml:space="preserve">como </w:t>
      </w:r>
      <w:r w:rsidRPr="00553BC3">
        <w:rPr>
          <w:rFonts w:ascii="Arial" w:hAnsi="Arial" w:cs="Arial"/>
          <w:sz w:val="24"/>
          <w:szCs w:val="24"/>
        </w:rPr>
        <w:t>e</w:t>
      </w:r>
      <w:r>
        <w:rPr>
          <w:rFonts w:ascii="Arial" w:hAnsi="Arial" w:cs="Arial"/>
          <w:sz w:val="24"/>
          <w:szCs w:val="24"/>
        </w:rPr>
        <w:t>lementos</w:t>
      </w:r>
      <w:r w:rsidRPr="00553BC3">
        <w:rPr>
          <w:rFonts w:ascii="Arial" w:hAnsi="Arial" w:cs="Arial"/>
          <w:sz w:val="24"/>
          <w:szCs w:val="24"/>
        </w:rPr>
        <w:t xml:space="preserve"> de protección </w:t>
      </w:r>
      <w:r>
        <w:rPr>
          <w:rFonts w:ascii="Arial" w:hAnsi="Arial" w:cs="Arial"/>
          <w:sz w:val="24"/>
          <w:szCs w:val="24"/>
        </w:rPr>
        <w:t>que</w:t>
      </w:r>
      <w:r w:rsidRPr="00553BC3">
        <w:rPr>
          <w:rFonts w:ascii="Arial" w:hAnsi="Arial" w:cs="Arial"/>
          <w:sz w:val="24"/>
          <w:szCs w:val="24"/>
        </w:rPr>
        <w:t xml:space="preserve"> controla</w:t>
      </w:r>
      <w:r>
        <w:rPr>
          <w:rFonts w:ascii="Arial" w:hAnsi="Arial" w:cs="Arial"/>
          <w:sz w:val="24"/>
          <w:szCs w:val="24"/>
        </w:rPr>
        <w:t>n</w:t>
      </w:r>
      <w:r w:rsidRPr="00553BC3">
        <w:rPr>
          <w:rFonts w:ascii="Arial" w:hAnsi="Arial" w:cs="Arial"/>
          <w:sz w:val="24"/>
          <w:szCs w:val="24"/>
        </w:rPr>
        <w:t xml:space="preserve"> factores ambientales</w:t>
      </w:r>
      <w:r>
        <w:rPr>
          <w:rFonts w:ascii="Arial" w:hAnsi="Arial" w:cs="Arial"/>
          <w:sz w:val="24"/>
          <w:szCs w:val="24"/>
        </w:rPr>
        <w:t>,</w:t>
      </w:r>
      <w:r w:rsidRPr="00553BC3">
        <w:rPr>
          <w:rFonts w:ascii="Arial" w:hAnsi="Arial" w:cs="Arial"/>
          <w:sz w:val="24"/>
          <w:szCs w:val="24"/>
        </w:rPr>
        <w:t xml:space="preserve"> minimizando los impactos que ejercen </w:t>
      </w:r>
      <w:r>
        <w:rPr>
          <w:rFonts w:ascii="Arial" w:hAnsi="Arial" w:cs="Arial"/>
          <w:sz w:val="24"/>
          <w:szCs w:val="24"/>
        </w:rPr>
        <w:t xml:space="preserve">en los cultivos </w:t>
      </w:r>
      <w:r w:rsidRPr="00553BC3">
        <w:rPr>
          <w:rFonts w:ascii="Arial" w:hAnsi="Arial" w:cs="Arial"/>
          <w:sz w:val="24"/>
          <w:szCs w:val="24"/>
        </w:rPr>
        <w:t xml:space="preserve">las condiciones climatológicas adversas y plagas. Derivado de esto, surgió la problemática del abandono de agroplásticos en </w:t>
      </w:r>
      <w:r>
        <w:rPr>
          <w:rFonts w:ascii="Arial" w:hAnsi="Arial" w:cs="Arial"/>
          <w:sz w:val="24"/>
          <w:szCs w:val="24"/>
        </w:rPr>
        <w:t xml:space="preserve">campos </w:t>
      </w:r>
      <w:r w:rsidRPr="00553BC3">
        <w:rPr>
          <w:rFonts w:ascii="Arial" w:hAnsi="Arial" w:cs="Arial"/>
          <w:sz w:val="24"/>
          <w:szCs w:val="24"/>
        </w:rPr>
        <w:t xml:space="preserve">generando la contaminación de suelos agrícolas, aire y agua debido a su quema </w:t>
      </w:r>
      <w:r>
        <w:rPr>
          <w:rFonts w:ascii="Arial" w:hAnsi="Arial" w:cs="Arial"/>
          <w:sz w:val="24"/>
          <w:szCs w:val="24"/>
        </w:rPr>
        <w:t>indiscriminada</w:t>
      </w:r>
      <w:r w:rsidRPr="00553BC3">
        <w:rPr>
          <w:rFonts w:ascii="Arial" w:hAnsi="Arial" w:cs="Arial"/>
          <w:sz w:val="24"/>
          <w:szCs w:val="24"/>
        </w:rPr>
        <w:t xml:space="preserve">. </w:t>
      </w:r>
      <w:r>
        <w:rPr>
          <w:rFonts w:ascii="Arial" w:hAnsi="Arial" w:cs="Arial"/>
          <w:sz w:val="24"/>
          <w:szCs w:val="24"/>
        </w:rPr>
        <w:t xml:space="preserve">El reciclaje </w:t>
      </w:r>
      <w:r w:rsidRPr="00553BC3">
        <w:rPr>
          <w:rFonts w:ascii="Arial" w:hAnsi="Arial" w:cs="Arial"/>
          <w:sz w:val="24"/>
          <w:szCs w:val="24"/>
        </w:rPr>
        <w:t xml:space="preserve">es una opción redituable para </w:t>
      </w:r>
      <w:r>
        <w:rPr>
          <w:rFonts w:ascii="Arial" w:hAnsi="Arial" w:cs="Arial"/>
          <w:sz w:val="24"/>
          <w:szCs w:val="24"/>
        </w:rPr>
        <w:t xml:space="preserve">su </w:t>
      </w:r>
      <w:r w:rsidRPr="00553BC3">
        <w:rPr>
          <w:rFonts w:ascii="Arial" w:hAnsi="Arial" w:cs="Arial"/>
          <w:sz w:val="24"/>
          <w:szCs w:val="24"/>
        </w:rPr>
        <w:t>manejo</w:t>
      </w:r>
      <w:r>
        <w:rPr>
          <w:rFonts w:ascii="Arial" w:hAnsi="Arial" w:cs="Arial"/>
          <w:sz w:val="24"/>
          <w:szCs w:val="24"/>
        </w:rPr>
        <w:t xml:space="preserve"> y la</w:t>
      </w:r>
      <w:r w:rsidRPr="00553BC3">
        <w:rPr>
          <w:rFonts w:ascii="Arial" w:hAnsi="Arial" w:cs="Arial"/>
          <w:sz w:val="24"/>
          <w:szCs w:val="24"/>
        </w:rPr>
        <w:t xml:space="preserve"> fabricación de di</w:t>
      </w:r>
      <w:r>
        <w:rPr>
          <w:rFonts w:ascii="Arial" w:hAnsi="Arial" w:cs="Arial"/>
          <w:sz w:val="24"/>
          <w:szCs w:val="24"/>
        </w:rPr>
        <w:t>versos</w:t>
      </w:r>
      <w:r w:rsidRPr="00553BC3">
        <w:rPr>
          <w:rFonts w:ascii="Arial" w:hAnsi="Arial" w:cs="Arial"/>
          <w:sz w:val="24"/>
          <w:szCs w:val="24"/>
        </w:rPr>
        <w:t xml:space="preserve"> productos, </w:t>
      </w:r>
      <w:r>
        <w:rPr>
          <w:rFonts w:ascii="Arial" w:hAnsi="Arial" w:cs="Arial"/>
          <w:sz w:val="24"/>
          <w:szCs w:val="24"/>
        </w:rPr>
        <w:t>resolviendo</w:t>
      </w:r>
      <w:r w:rsidRPr="00553BC3">
        <w:rPr>
          <w:rFonts w:ascii="Arial" w:hAnsi="Arial" w:cs="Arial"/>
          <w:sz w:val="24"/>
          <w:szCs w:val="24"/>
        </w:rPr>
        <w:t xml:space="preserve"> la problemática de contaminación que ocasionan. </w:t>
      </w:r>
      <w:r w:rsidRPr="00D07BF4">
        <w:rPr>
          <w:rFonts w:ascii="Arial" w:hAnsi="Arial" w:cs="Arial"/>
          <w:i/>
          <w:iCs/>
          <w:sz w:val="24"/>
          <w:szCs w:val="24"/>
        </w:rPr>
        <w:t>Objetivo:</w:t>
      </w:r>
      <w:r w:rsidRPr="00553BC3">
        <w:rPr>
          <w:rFonts w:ascii="Arial" w:hAnsi="Arial" w:cs="Arial"/>
          <w:sz w:val="24"/>
          <w:szCs w:val="24"/>
        </w:rPr>
        <w:t xml:space="preserve"> Diseñar una planta recicladora de agroplásticos en México con alcance de 3 </w:t>
      </w:r>
      <w:r>
        <w:rPr>
          <w:rFonts w:ascii="Arial" w:hAnsi="Arial" w:cs="Arial"/>
          <w:sz w:val="24"/>
          <w:szCs w:val="24"/>
        </w:rPr>
        <w:t>t</w:t>
      </w:r>
      <w:r w:rsidRPr="00553BC3">
        <w:rPr>
          <w:rFonts w:ascii="Arial" w:hAnsi="Arial" w:cs="Arial"/>
          <w:sz w:val="24"/>
          <w:szCs w:val="24"/>
        </w:rPr>
        <w:t xml:space="preserve">/h </w:t>
      </w:r>
      <w:r>
        <w:rPr>
          <w:rFonts w:ascii="Arial" w:hAnsi="Arial" w:cs="Arial"/>
          <w:sz w:val="24"/>
          <w:szCs w:val="24"/>
        </w:rPr>
        <w:t xml:space="preserve">como alternativa </w:t>
      </w:r>
      <w:r w:rsidRPr="00553BC3">
        <w:rPr>
          <w:rFonts w:ascii="Arial" w:hAnsi="Arial" w:cs="Arial"/>
          <w:sz w:val="24"/>
          <w:szCs w:val="24"/>
        </w:rPr>
        <w:t>para</w:t>
      </w:r>
      <w:r>
        <w:rPr>
          <w:rFonts w:ascii="Arial" w:hAnsi="Arial" w:cs="Arial"/>
          <w:sz w:val="24"/>
          <w:szCs w:val="24"/>
        </w:rPr>
        <w:t xml:space="preserve"> solucionar e</w:t>
      </w:r>
      <w:r w:rsidRPr="00553BC3">
        <w:rPr>
          <w:rFonts w:ascii="Arial" w:hAnsi="Arial" w:cs="Arial"/>
          <w:sz w:val="24"/>
          <w:szCs w:val="24"/>
        </w:rPr>
        <w:t xml:space="preserve">l problema de contaminación por este </w:t>
      </w:r>
      <w:r>
        <w:rPr>
          <w:rFonts w:ascii="Arial" w:hAnsi="Arial" w:cs="Arial"/>
          <w:sz w:val="24"/>
          <w:szCs w:val="24"/>
        </w:rPr>
        <w:t>residuo</w:t>
      </w:r>
      <w:r w:rsidRPr="00553BC3">
        <w:rPr>
          <w:rFonts w:ascii="Arial" w:hAnsi="Arial" w:cs="Arial"/>
          <w:sz w:val="24"/>
          <w:szCs w:val="24"/>
        </w:rPr>
        <w:t xml:space="preserve">. </w:t>
      </w:r>
      <w:r w:rsidRPr="00D07BF4">
        <w:rPr>
          <w:rFonts w:ascii="Arial" w:hAnsi="Arial" w:cs="Arial"/>
          <w:i/>
          <w:iCs/>
          <w:sz w:val="24"/>
          <w:szCs w:val="24"/>
        </w:rPr>
        <w:t>Metodología:</w:t>
      </w:r>
      <w:r w:rsidRPr="00553BC3">
        <w:rPr>
          <w:rFonts w:ascii="Arial" w:hAnsi="Arial" w:cs="Arial"/>
          <w:sz w:val="24"/>
          <w:szCs w:val="24"/>
        </w:rPr>
        <w:t xml:space="preserve"> Mediante un estudio</w:t>
      </w:r>
      <w:r>
        <w:rPr>
          <w:rFonts w:ascii="Arial" w:hAnsi="Arial" w:cs="Arial"/>
          <w:sz w:val="24"/>
          <w:szCs w:val="24"/>
        </w:rPr>
        <w:t xml:space="preserve"> </w:t>
      </w:r>
      <w:r w:rsidRPr="00553BC3">
        <w:rPr>
          <w:rFonts w:ascii="Arial" w:hAnsi="Arial" w:cs="Arial"/>
          <w:sz w:val="24"/>
          <w:szCs w:val="24"/>
        </w:rPr>
        <w:t xml:space="preserve">de mercado y factibilidad económico se diseñó una planta que recicla </w:t>
      </w:r>
      <w:r>
        <w:rPr>
          <w:rFonts w:ascii="Arial" w:hAnsi="Arial" w:cs="Arial"/>
          <w:sz w:val="24"/>
          <w:szCs w:val="24"/>
        </w:rPr>
        <w:t xml:space="preserve">agroplásticos </w:t>
      </w:r>
      <w:r w:rsidRPr="00553BC3">
        <w:rPr>
          <w:rFonts w:ascii="Arial" w:hAnsi="Arial" w:cs="Arial"/>
          <w:sz w:val="24"/>
          <w:szCs w:val="24"/>
        </w:rPr>
        <w:t>utilizados en la agricultura protegida. Resultados: De acuerdo con las bases y criterios establecidos, la planta es factible con un periodo corto de recuperación de la inversión.</w:t>
      </w:r>
    </w:p>
    <w:p w:rsidR="00E31D8C" w:rsidRDefault="00E31D8C" w:rsidP="00E31D8C">
      <w:pPr>
        <w:keepNext/>
        <w:spacing w:after="0" w:line="240" w:lineRule="auto"/>
        <w:jc w:val="both"/>
        <w:rPr>
          <w:rFonts w:ascii="Arial" w:hAnsi="Arial" w:cs="Arial"/>
          <w:sz w:val="24"/>
          <w:szCs w:val="24"/>
        </w:rPr>
      </w:pPr>
    </w:p>
    <w:p w:rsidR="00E31D8C" w:rsidRPr="007C64F6" w:rsidRDefault="00E31D8C" w:rsidP="00873BBA">
      <w:pPr>
        <w:pStyle w:val="1Titulo"/>
        <w:numPr>
          <w:ilvl w:val="0"/>
          <w:numId w:val="78"/>
        </w:numPr>
      </w:pPr>
      <w:bookmarkStart w:id="468" w:name="_Toc50031491"/>
      <w:r w:rsidRPr="007C64F6">
        <w:t>Introducción</w:t>
      </w:r>
      <w:bookmarkEnd w:id="468"/>
    </w:p>
    <w:p w:rsidR="00E31D8C" w:rsidRPr="007C64F6" w:rsidRDefault="00E31D8C" w:rsidP="00E31D8C">
      <w:pPr>
        <w:pStyle w:val="Prrafodelista"/>
        <w:keepNext/>
        <w:spacing w:after="0" w:line="240" w:lineRule="auto"/>
        <w:jc w:val="both"/>
        <w:rPr>
          <w:rFonts w:ascii="Arial" w:hAnsi="Arial" w:cs="Arial"/>
          <w:sz w:val="24"/>
          <w:szCs w:val="24"/>
        </w:rPr>
      </w:pPr>
    </w:p>
    <w:p w:rsidR="00E31D8C" w:rsidRPr="008B63F5" w:rsidRDefault="00E31D8C" w:rsidP="00E31D8C">
      <w:pPr>
        <w:spacing w:line="240" w:lineRule="auto"/>
        <w:ind w:firstLine="567"/>
        <w:jc w:val="both"/>
        <w:rPr>
          <w:rFonts w:ascii="Arial" w:hAnsi="Arial" w:cs="Arial"/>
          <w:sz w:val="24"/>
          <w:szCs w:val="24"/>
        </w:rPr>
      </w:pPr>
      <w:r w:rsidRPr="00553BC3">
        <w:rPr>
          <w:rFonts w:ascii="Arial" w:hAnsi="Arial" w:cs="Arial"/>
          <w:sz w:val="24"/>
          <w:szCs w:val="24"/>
        </w:rPr>
        <w:t xml:space="preserve">Los plásticos agrícolas o agroplásticos son todos los materiales poliméricos utilizados como elementos de protección en la agricultura protegida (figura 1) y como estrategia de adaptación de los cultivos al cambio climático </w:t>
      </w:r>
      <w:r w:rsidRPr="008B63F5">
        <w:rPr>
          <w:rFonts w:ascii="Arial" w:hAnsi="Arial" w:cs="Arial"/>
          <w:sz w:val="24"/>
          <w:szCs w:val="24"/>
          <w:vertAlign w:val="superscript"/>
        </w:rPr>
        <w:t>[1]</w:t>
      </w:r>
      <w:r>
        <w:rPr>
          <w:rFonts w:ascii="Arial" w:hAnsi="Arial" w:cs="Arial"/>
          <w:sz w:val="24"/>
          <w:szCs w:val="24"/>
        </w:rPr>
        <w:t>.</w:t>
      </w:r>
    </w:p>
    <w:p w:rsidR="00E31D8C" w:rsidRPr="00553BC3" w:rsidRDefault="00E31D8C" w:rsidP="00E31D8C">
      <w:pPr>
        <w:keepNext/>
        <w:autoSpaceDE w:val="0"/>
        <w:autoSpaceDN w:val="0"/>
        <w:adjustRightInd w:val="0"/>
        <w:spacing w:after="0" w:line="240" w:lineRule="auto"/>
        <w:jc w:val="center"/>
        <w:rPr>
          <w:rFonts w:ascii="Arial" w:hAnsi="Arial" w:cs="Arial"/>
          <w:sz w:val="24"/>
          <w:szCs w:val="24"/>
        </w:rPr>
      </w:pPr>
      <w:r w:rsidRPr="00553BC3">
        <w:rPr>
          <w:rFonts w:ascii="Arial" w:hAnsi="Arial" w:cs="Arial"/>
          <w:noProof/>
          <w:sz w:val="24"/>
          <w:szCs w:val="24"/>
          <w:lang w:val="en-US"/>
        </w:rPr>
        <w:drawing>
          <wp:inline distT="0" distB="0" distL="0" distR="0" wp14:anchorId="09BF3357" wp14:editId="07214283">
            <wp:extent cx="2933699" cy="1466850"/>
            <wp:effectExtent l="76200" t="76200" r="133985" b="133350"/>
            <wp:docPr id="158" name="Imagen 158" descr="8 buenas prácticas en el uso del plástico biodegradable para acolch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 buenas prácticas en el uso del plástico biodegradable para acolchado"/>
                    <pic:cNvPicPr>
                      <a:picLocks noChangeAspect="1" noChangeArrowheads="1"/>
                    </pic:cNvPicPr>
                  </pic:nvPicPr>
                  <pic:blipFill>
                    <a:blip r:embed="rId1345" cstate="print">
                      <a:extLst>
                        <a:ext uri="{28A0092B-C50C-407E-A947-70E740481C1C}">
                          <a14:useLocalDpi xmlns:a14="http://schemas.microsoft.com/office/drawing/2010/main" val="0"/>
                        </a:ext>
                      </a:extLst>
                    </a:blip>
                    <a:srcRect/>
                    <a:stretch>
                      <a:fillRect/>
                    </a:stretch>
                  </pic:blipFill>
                  <pic:spPr bwMode="auto">
                    <a:xfrm>
                      <a:off x="0" y="0"/>
                      <a:ext cx="3013632" cy="15068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31D8C" w:rsidRPr="008B63F5" w:rsidRDefault="00E31D8C" w:rsidP="00E31D8C">
      <w:pPr>
        <w:spacing w:line="240" w:lineRule="auto"/>
        <w:jc w:val="center"/>
        <w:rPr>
          <w:rFonts w:ascii="Arial" w:hAnsi="Arial" w:cs="Arial"/>
          <w:bCs/>
          <w:i/>
          <w:iCs/>
          <w:sz w:val="20"/>
          <w:szCs w:val="20"/>
        </w:rPr>
      </w:pPr>
      <w:bookmarkStart w:id="469" w:name="_Toc31806415"/>
      <w:r w:rsidRPr="007C64F6">
        <w:rPr>
          <w:rFonts w:ascii="Arial" w:hAnsi="Arial" w:cs="Arial"/>
          <w:bCs/>
          <w:i/>
          <w:iCs/>
          <w:sz w:val="20"/>
          <w:szCs w:val="20"/>
        </w:rPr>
        <w:t>Figura 1. Agricultura protegida. Fuente:</w:t>
      </w:r>
      <w:bookmarkEnd w:id="469"/>
      <w:r>
        <w:rPr>
          <w:rFonts w:ascii="Arial" w:hAnsi="Arial" w:cs="Arial"/>
          <w:bCs/>
          <w:i/>
          <w:iCs/>
          <w:sz w:val="20"/>
          <w:szCs w:val="20"/>
        </w:rPr>
        <w:t xml:space="preserve"> </w:t>
      </w:r>
      <w:r w:rsidRPr="008B63F5">
        <w:rPr>
          <w:rFonts w:ascii="Arial" w:hAnsi="Arial" w:cs="Arial"/>
          <w:bCs/>
          <w:i/>
          <w:iCs/>
          <w:sz w:val="20"/>
          <w:szCs w:val="20"/>
          <w:vertAlign w:val="superscript"/>
        </w:rPr>
        <w:t>[2]</w:t>
      </w:r>
      <w:r>
        <w:rPr>
          <w:rFonts w:ascii="Arial" w:hAnsi="Arial" w:cs="Arial"/>
          <w:bCs/>
          <w:i/>
          <w:iCs/>
          <w:sz w:val="20"/>
          <w:szCs w:val="20"/>
        </w:rPr>
        <w:t>.</w:t>
      </w:r>
    </w:p>
    <w:p w:rsidR="00E31D8C" w:rsidRPr="00553BC3" w:rsidRDefault="00E31D8C" w:rsidP="00E31D8C">
      <w:pPr>
        <w:spacing w:line="240" w:lineRule="auto"/>
        <w:ind w:firstLine="567"/>
        <w:jc w:val="both"/>
        <w:rPr>
          <w:rFonts w:ascii="Arial" w:hAnsi="Arial" w:cs="Arial"/>
          <w:sz w:val="24"/>
          <w:szCs w:val="24"/>
        </w:rPr>
      </w:pPr>
      <w:r w:rsidRPr="00553BC3">
        <w:rPr>
          <w:rFonts w:ascii="Arial" w:hAnsi="Arial" w:cs="Arial"/>
          <w:sz w:val="24"/>
          <w:szCs w:val="24"/>
        </w:rPr>
        <w:t xml:space="preserve">Estos elementos de protección </w:t>
      </w:r>
      <w:r>
        <w:rPr>
          <w:rFonts w:ascii="Arial" w:hAnsi="Arial" w:cs="Arial"/>
          <w:sz w:val="24"/>
          <w:szCs w:val="24"/>
        </w:rPr>
        <w:t xml:space="preserve">ejercen </w:t>
      </w:r>
      <w:r w:rsidRPr="00553BC3">
        <w:rPr>
          <w:rFonts w:ascii="Arial" w:hAnsi="Arial" w:cs="Arial"/>
          <w:sz w:val="24"/>
          <w:szCs w:val="24"/>
        </w:rPr>
        <w:t xml:space="preserve">determinado grado de control sobre los diversos factores del ambiente, permitiendo con ello minimizar los impactos a cultivos debido a condiciones climáticas adversas y las plagas </w:t>
      </w:r>
      <w:r w:rsidRPr="008B63F5">
        <w:rPr>
          <w:rFonts w:ascii="Arial" w:hAnsi="Arial" w:cs="Arial"/>
          <w:sz w:val="24"/>
          <w:szCs w:val="24"/>
          <w:vertAlign w:val="superscript"/>
        </w:rPr>
        <w:t>[3]</w:t>
      </w:r>
      <w:r>
        <w:rPr>
          <w:rFonts w:ascii="Arial" w:hAnsi="Arial" w:cs="Arial"/>
          <w:sz w:val="24"/>
          <w:szCs w:val="24"/>
        </w:rPr>
        <w:t>.</w:t>
      </w:r>
    </w:p>
    <w:p w:rsidR="00E31D8C" w:rsidRPr="00553BC3" w:rsidRDefault="00E31D8C" w:rsidP="00E31D8C">
      <w:pPr>
        <w:spacing w:line="240" w:lineRule="auto"/>
        <w:ind w:firstLine="567"/>
        <w:jc w:val="both"/>
        <w:rPr>
          <w:rFonts w:ascii="Arial" w:hAnsi="Arial" w:cs="Arial"/>
          <w:sz w:val="24"/>
          <w:szCs w:val="24"/>
        </w:rPr>
      </w:pPr>
      <w:r w:rsidRPr="00553BC3">
        <w:rPr>
          <w:rFonts w:ascii="Arial" w:hAnsi="Arial" w:cs="Arial"/>
          <w:sz w:val="24"/>
          <w:szCs w:val="24"/>
        </w:rPr>
        <w:t xml:space="preserve">Las ventajas de su uso son el ahorro de agua, incremento en la producción total, protección de contingencias meteorológicas, además de un control de plagas, enfermedades y malezas. Sin embargo, los residuos generados son abandonados a la intemperie en los campos y desechados en barrancas y en ocasiones en basureros clandestinos a cielo abierto y en el mejor de los casos depositados en rellenos sanitarios. Su abandono y acumulación en el campo contribuye a la mala imagen que tiene el plástico como “agresor” del ambiente (figura 2), además de la contaminación de los suelos agrícolas y el impacto paisajístico y visual, generando más interés en su disposición final </w:t>
      </w:r>
      <w:r w:rsidRPr="008B63F5">
        <w:rPr>
          <w:rFonts w:ascii="Arial" w:hAnsi="Arial" w:cs="Arial"/>
          <w:noProof/>
          <w:sz w:val="24"/>
          <w:szCs w:val="24"/>
          <w:vertAlign w:val="superscript"/>
        </w:rPr>
        <w:t>[4]</w:t>
      </w:r>
      <w:r>
        <w:rPr>
          <w:rFonts w:ascii="Arial" w:hAnsi="Arial" w:cs="Arial"/>
          <w:noProof/>
          <w:sz w:val="24"/>
          <w:szCs w:val="24"/>
        </w:rPr>
        <w:t>.</w:t>
      </w:r>
    </w:p>
    <w:p w:rsidR="00E31D8C" w:rsidRPr="00553BC3" w:rsidRDefault="00E31D8C" w:rsidP="00E31D8C">
      <w:pPr>
        <w:spacing w:after="0" w:line="240" w:lineRule="auto"/>
        <w:jc w:val="center"/>
        <w:rPr>
          <w:rFonts w:ascii="Arial" w:hAnsi="Arial" w:cs="Arial"/>
          <w:b/>
          <w:sz w:val="24"/>
          <w:szCs w:val="24"/>
        </w:rPr>
      </w:pPr>
      <w:r w:rsidRPr="00553BC3">
        <w:rPr>
          <w:rFonts w:ascii="Arial" w:hAnsi="Arial" w:cs="Arial"/>
          <w:noProof/>
          <w:sz w:val="24"/>
          <w:szCs w:val="24"/>
          <w:lang w:val="en-US"/>
        </w:rPr>
        <w:drawing>
          <wp:inline distT="0" distB="0" distL="0" distR="0" wp14:anchorId="22014E05" wp14:editId="271AD2A9">
            <wp:extent cx="2409825" cy="1627201"/>
            <wp:effectExtent l="76200" t="76200" r="123825" b="12573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6"/>
                    <a:stretch>
                      <a:fillRect/>
                    </a:stretch>
                  </pic:blipFill>
                  <pic:spPr>
                    <a:xfrm>
                      <a:off x="0" y="0"/>
                      <a:ext cx="2438948" cy="16468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31D8C" w:rsidRDefault="00E31D8C" w:rsidP="00E31D8C">
      <w:pPr>
        <w:spacing w:line="240" w:lineRule="auto"/>
        <w:jc w:val="center"/>
        <w:rPr>
          <w:rFonts w:ascii="Arial" w:hAnsi="Arial" w:cs="Arial"/>
          <w:bCs/>
          <w:i/>
          <w:iCs/>
          <w:sz w:val="20"/>
          <w:szCs w:val="20"/>
        </w:rPr>
      </w:pPr>
      <w:r w:rsidRPr="005C137D">
        <w:rPr>
          <w:rFonts w:ascii="Arial" w:hAnsi="Arial" w:cs="Arial"/>
          <w:bCs/>
          <w:i/>
          <w:iCs/>
          <w:sz w:val="20"/>
          <w:szCs w:val="20"/>
        </w:rPr>
        <w:t>Figura 2. Valle de San Quintín, Baja California. Fuente</w:t>
      </w:r>
      <w:r>
        <w:rPr>
          <w:rFonts w:ascii="Arial" w:hAnsi="Arial" w:cs="Arial"/>
          <w:bCs/>
          <w:i/>
          <w:iCs/>
          <w:sz w:val="20"/>
          <w:szCs w:val="20"/>
        </w:rPr>
        <w:t xml:space="preserve">: </w:t>
      </w:r>
      <w:r w:rsidRPr="008B63F5">
        <w:rPr>
          <w:rFonts w:ascii="Arial" w:hAnsi="Arial" w:cs="Arial"/>
          <w:bCs/>
          <w:i/>
          <w:iCs/>
          <w:sz w:val="20"/>
          <w:szCs w:val="20"/>
          <w:vertAlign w:val="superscript"/>
        </w:rPr>
        <w:t>[5]</w:t>
      </w:r>
      <w:r>
        <w:rPr>
          <w:rFonts w:ascii="Arial" w:hAnsi="Arial" w:cs="Arial"/>
          <w:bCs/>
          <w:i/>
          <w:iCs/>
          <w:sz w:val="20"/>
          <w:szCs w:val="20"/>
        </w:rPr>
        <w:t>.</w:t>
      </w:r>
    </w:p>
    <w:p w:rsidR="00E31D8C" w:rsidRDefault="00E31D8C" w:rsidP="00E31D8C">
      <w:pPr>
        <w:spacing w:line="240" w:lineRule="auto"/>
        <w:ind w:firstLine="708"/>
        <w:jc w:val="both"/>
        <w:rPr>
          <w:rFonts w:ascii="Arial" w:hAnsi="Arial" w:cs="Arial"/>
          <w:sz w:val="24"/>
          <w:szCs w:val="24"/>
        </w:rPr>
      </w:pPr>
      <w:r>
        <w:rPr>
          <w:rFonts w:ascii="Arial" w:hAnsi="Arial" w:cs="Arial"/>
          <w:sz w:val="24"/>
          <w:szCs w:val="24"/>
        </w:rPr>
        <w:t>E</w:t>
      </w:r>
      <w:r w:rsidRPr="00C07914">
        <w:rPr>
          <w:rFonts w:ascii="Arial" w:hAnsi="Arial" w:cs="Arial"/>
          <w:sz w:val="24"/>
          <w:szCs w:val="24"/>
        </w:rPr>
        <w:t>n un escenario de quema a cielo abierto</w:t>
      </w:r>
      <w:r>
        <w:rPr>
          <w:rFonts w:ascii="Arial" w:hAnsi="Arial" w:cs="Arial"/>
          <w:sz w:val="24"/>
          <w:szCs w:val="24"/>
        </w:rPr>
        <w:t xml:space="preserve"> l</w:t>
      </w:r>
      <w:r w:rsidRPr="00C07914">
        <w:rPr>
          <w:rFonts w:ascii="Arial" w:hAnsi="Arial" w:cs="Arial"/>
          <w:sz w:val="24"/>
          <w:szCs w:val="24"/>
        </w:rPr>
        <w:t>os plásticos agrícolas se queman fácilmente, pero de forma incompleta</w:t>
      </w:r>
      <w:r>
        <w:rPr>
          <w:rFonts w:ascii="Arial" w:hAnsi="Arial" w:cs="Arial"/>
          <w:sz w:val="24"/>
          <w:szCs w:val="24"/>
        </w:rPr>
        <w:t xml:space="preserve">. </w:t>
      </w:r>
      <w:r w:rsidRPr="00C07914">
        <w:rPr>
          <w:rFonts w:ascii="Arial" w:hAnsi="Arial" w:cs="Arial"/>
          <w:sz w:val="24"/>
          <w:szCs w:val="24"/>
        </w:rPr>
        <w:t>La combustión incompleta puede dar lugar a la liberación de materia en partículas como monóxido de carbono</w:t>
      </w:r>
      <w:r>
        <w:rPr>
          <w:rFonts w:ascii="Arial" w:hAnsi="Arial" w:cs="Arial"/>
          <w:sz w:val="24"/>
          <w:szCs w:val="24"/>
        </w:rPr>
        <w:t>,</w:t>
      </w:r>
      <w:r w:rsidRPr="00C07914">
        <w:rPr>
          <w:rFonts w:ascii="Arial" w:hAnsi="Arial" w:cs="Arial"/>
          <w:sz w:val="24"/>
          <w:szCs w:val="24"/>
        </w:rPr>
        <w:t xml:space="preserve"> dióxido de azufre</w:t>
      </w:r>
      <w:r>
        <w:rPr>
          <w:rFonts w:ascii="Arial" w:hAnsi="Arial" w:cs="Arial"/>
          <w:sz w:val="24"/>
          <w:szCs w:val="24"/>
        </w:rPr>
        <w:t xml:space="preserve"> y otros </w:t>
      </w:r>
      <w:r w:rsidRPr="00C07914">
        <w:rPr>
          <w:rFonts w:ascii="Arial" w:hAnsi="Arial" w:cs="Arial"/>
          <w:sz w:val="24"/>
          <w:szCs w:val="24"/>
        </w:rPr>
        <w:t xml:space="preserve">contaminantes del aire. Además, subproductos peligrosos pueden estar presentes en la ceniza residual y </w:t>
      </w:r>
      <w:r>
        <w:rPr>
          <w:rFonts w:ascii="Arial" w:hAnsi="Arial" w:cs="Arial"/>
          <w:sz w:val="24"/>
          <w:szCs w:val="24"/>
        </w:rPr>
        <w:t xml:space="preserve">en </w:t>
      </w:r>
      <w:r w:rsidRPr="00C07914">
        <w:rPr>
          <w:rFonts w:ascii="Arial" w:hAnsi="Arial" w:cs="Arial"/>
          <w:sz w:val="24"/>
          <w:szCs w:val="24"/>
        </w:rPr>
        <w:t xml:space="preserve">las emisiones </w:t>
      </w:r>
      <w:r>
        <w:rPr>
          <w:rFonts w:ascii="Arial" w:hAnsi="Arial" w:cs="Arial"/>
          <w:sz w:val="24"/>
          <w:szCs w:val="24"/>
        </w:rPr>
        <w:t xml:space="preserve">en </w:t>
      </w:r>
      <w:r w:rsidRPr="00C07914">
        <w:rPr>
          <w:rFonts w:ascii="Arial" w:hAnsi="Arial" w:cs="Arial"/>
          <w:sz w:val="24"/>
          <w:szCs w:val="24"/>
        </w:rPr>
        <w:t>el aire en forma de metales pesados, dioxinas y furanos. Las emisiones de mayor preocupación durante la quema al aire libre de los plásticos agrícolas son, probablemente, las dioxinas y los furanos, que se forman sobre todo en los casos de las temperaturas de combustión bajas</w:t>
      </w:r>
      <w:r>
        <w:rPr>
          <w:rFonts w:ascii="Arial" w:hAnsi="Arial" w:cs="Arial"/>
          <w:sz w:val="24"/>
          <w:szCs w:val="24"/>
        </w:rPr>
        <w:t xml:space="preserve"> (asociadas con la </w:t>
      </w:r>
      <w:r w:rsidRPr="00C07914">
        <w:rPr>
          <w:rFonts w:ascii="Arial" w:hAnsi="Arial" w:cs="Arial"/>
          <w:sz w:val="24"/>
          <w:szCs w:val="24"/>
        </w:rPr>
        <w:t>quema a cielo abierto</w:t>
      </w:r>
      <w:r>
        <w:rPr>
          <w:rFonts w:ascii="Arial" w:hAnsi="Arial" w:cs="Arial"/>
          <w:sz w:val="24"/>
          <w:szCs w:val="24"/>
        </w:rPr>
        <w:t xml:space="preserve">) </w:t>
      </w:r>
      <w:r w:rsidRPr="008B63F5">
        <w:rPr>
          <w:rFonts w:ascii="Arial" w:hAnsi="Arial" w:cs="Arial"/>
          <w:noProof/>
          <w:sz w:val="24"/>
          <w:szCs w:val="24"/>
          <w:vertAlign w:val="superscript"/>
        </w:rPr>
        <w:t>[6, 7]</w:t>
      </w:r>
      <w:r w:rsidRPr="00553BC3">
        <w:rPr>
          <w:rFonts w:ascii="Arial" w:hAnsi="Arial" w:cs="Arial"/>
          <w:sz w:val="24"/>
          <w:szCs w:val="24"/>
        </w:rPr>
        <w:t>.</w:t>
      </w:r>
    </w:p>
    <w:p w:rsidR="00E31D8C" w:rsidRDefault="00E31D8C" w:rsidP="00E31D8C">
      <w:pPr>
        <w:spacing w:line="240" w:lineRule="auto"/>
        <w:ind w:firstLine="708"/>
        <w:jc w:val="both"/>
        <w:rPr>
          <w:rFonts w:ascii="Arial" w:hAnsi="Arial" w:cs="Arial"/>
          <w:sz w:val="24"/>
          <w:szCs w:val="24"/>
        </w:rPr>
      </w:pPr>
      <w:r w:rsidRPr="00C07914">
        <w:rPr>
          <w:rFonts w:ascii="Arial" w:hAnsi="Arial" w:cs="Arial"/>
          <w:sz w:val="24"/>
          <w:szCs w:val="24"/>
        </w:rPr>
        <w:t>Las dioxinas y los furanos son un problema para la salud, incluso en muy pequeñas cantidades, y se asocian con alteraciones endocrinas, enfermedades del corazón y discapacidades cognitivas y motoras, además de ser un carcinógeno humano conocido</w:t>
      </w:r>
      <w:r>
        <w:rPr>
          <w:rFonts w:ascii="Arial" w:hAnsi="Arial" w:cs="Arial"/>
          <w:sz w:val="24"/>
          <w:szCs w:val="24"/>
        </w:rPr>
        <w:t xml:space="preserve">. </w:t>
      </w:r>
      <w:r w:rsidRPr="00CE6BB3">
        <w:rPr>
          <w:rFonts w:ascii="Arial" w:hAnsi="Arial" w:cs="Arial"/>
          <w:sz w:val="24"/>
          <w:szCs w:val="24"/>
        </w:rPr>
        <w:t>Los seres humanos pueden estar expuestos a las dioxinas directamente por la inhalación o a través de la piel, o por medio de plantas o carne, ya que se concentran en la grasa animal. Esto sugiere que la quema de plásticos agrícolas y la generación de dioxinas asociada es especialmente preocupante, ya que esta práctica ocurre en o cerca de las tierras agrícolas activas. Además, la mayor parte de la ingesta de dioxinas por los seres humanos proviene de fuentes alimenticias, las emisiones de dioxinas provenientes de la quema de plásticos agrícolas tienen el potencial de afectar a la población cuando aterrizan en cultivos y se concentran en los cuerpos de los animales de granja</w:t>
      </w:r>
      <w:r>
        <w:rPr>
          <w:rFonts w:ascii="Arial" w:hAnsi="Arial" w:cs="Arial"/>
          <w:sz w:val="24"/>
          <w:szCs w:val="24"/>
        </w:rPr>
        <w:t xml:space="preserve"> </w:t>
      </w:r>
      <w:r w:rsidRPr="008B63F5">
        <w:rPr>
          <w:rFonts w:ascii="Arial" w:hAnsi="Arial" w:cs="Arial"/>
          <w:noProof/>
          <w:sz w:val="24"/>
          <w:szCs w:val="24"/>
          <w:vertAlign w:val="superscript"/>
        </w:rPr>
        <w:t>[6, 7]</w:t>
      </w:r>
      <w:r w:rsidRPr="00553BC3">
        <w:rPr>
          <w:rFonts w:ascii="Arial" w:hAnsi="Arial" w:cs="Arial"/>
          <w:sz w:val="24"/>
          <w:szCs w:val="24"/>
        </w:rPr>
        <w:t>.</w:t>
      </w:r>
    </w:p>
    <w:p w:rsidR="00E31D8C" w:rsidRPr="00D27AD5" w:rsidRDefault="00E31D8C" w:rsidP="00E31D8C">
      <w:pPr>
        <w:spacing w:line="240" w:lineRule="auto"/>
        <w:ind w:firstLine="708"/>
        <w:jc w:val="both"/>
        <w:rPr>
          <w:rFonts w:ascii="Arial" w:hAnsi="Arial" w:cs="Arial"/>
          <w:sz w:val="24"/>
          <w:szCs w:val="24"/>
        </w:rPr>
      </w:pPr>
      <w:r w:rsidRPr="00CE6BB3">
        <w:rPr>
          <w:rFonts w:ascii="Arial" w:hAnsi="Arial" w:cs="Arial"/>
          <w:sz w:val="24"/>
          <w:szCs w:val="24"/>
        </w:rPr>
        <w:t>Otro grupo de contaminantes de interés emitido por la quema de residuos plásticos agrícolas son los hidrocarburos aromáticos policíclicos (HAP o PAH, siglas en inglés). Los HAP son considerados contaminantes que tienen un efecto potencial extendido sobre el medio ambiente</w:t>
      </w:r>
      <w:r>
        <w:rPr>
          <w:rFonts w:ascii="Arial" w:hAnsi="Arial" w:cs="Arial"/>
          <w:sz w:val="24"/>
          <w:szCs w:val="24"/>
        </w:rPr>
        <w:t xml:space="preserve"> </w:t>
      </w:r>
      <w:r>
        <w:rPr>
          <w:rFonts w:ascii="Arial" w:hAnsi="Arial" w:cs="Arial"/>
          <w:sz w:val="24"/>
          <w:szCs w:val="24"/>
          <w:vertAlign w:val="superscript"/>
        </w:rPr>
        <w:t>[7]</w:t>
      </w:r>
      <w:r>
        <w:rPr>
          <w:rFonts w:ascii="Arial" w:hAnsi="Arial" w:cs="Arial"/>
          <w:sz w:val="24"/>
          <w:szCs w:val="24"/>
        </w:rPr>
        <w:t>.</w:t>
      </w:r>
    </w:p>
    <w:p w:rsidR="00E31D8C" w:rsidRPr="00E30EFD" w:rsidRDefault="00E31D8C" w:rsidP="00E31D8C">
      <w:pPr>
        <w:spacing w:line="240" w:lineRule="auto"/>
        <w:ind w:firstLine="708"/>
        <w:jc w:val="both"/>
        <w:rPr>
          <w:rFonts w:ascii="Arial" w:hAnsi="Arial" w:cs="Arial"/>
          <w:bCs/>
          <w:i/>
          <w:iCs/>
          <w:sz w:val="20"/>
          <w:szCs w:val="20"/>
        </w:rPr>
      </w:pPr>
      <w:r>
        <w:rPr>
          <w:rFonts w:ascii="Arial" w:hAnsi="Arial" w:cs="Arial"/>
          <w:noProof/>
          <w:sz w:val="24"/>
          <w:szCs w:val="24"/>
        </w:rPr>
        <w:t>En</w:t>
      </w:r>
      <w:r w:rsidRPr="00553BC3">
        <w:rPr>
          <w:rFonts w:ascii="Arial" w:hAnsi="Arial" w:cs="Arial"/>
          <w:noProof/>
          <w:sz w:val="24"/>
          <w:szCs w:val="24"/>
        </w:rPr>
        <w:t xml:space="preserve"> el año 2013 se reportó una generación de 280,000 </w:t>
      </w:r>
      <w:r>
        <w:rPr>
          <w:rFonts w:ascii="Arial" w:hAnsi="Arial" w:cs="Arial"/>
          <w:noProof/>
          <w:sz w:val="24"/>
          <w:szCs w:val="24"/>
        </w:rPr>
        <w:t>t</w:t>
      </w:r>
      <w:r w:rsidRPr="00553BC3">
        <w:rPr>
          <w:rFonts w:ascii="Arial" w:hAnsi="Arial" w:cs="Arial"/>
          <w:noProof/>
          <w:sz w:val="24"/>
          <w:szCs w:val="24"/>
        </w:rPr>
        <w:t xml:space="preserve"> de residuos agroplásticos en México</w:t>
      </w:r>
      <w:r>
        <w:rPr>
          <w:rFonts w:ascii="Arial" w:hAnsi="Arial" w:cs="Arial"/>
          <w:noProof/>
          <w:sz w:val="24"/>
          <w:szCs w:val="24"/>
        </w:rPr>
        <w:t>. S</w:t>
      </w:r>
      <w:r w:rsidRPr="00553BC3">
        <w:rPr>
          <w:rFonts w:ascii="Arial" w:hAnsi="Arial" w:cs="Arial"/>
          <w:noProof/>
          <w:sz w:val="24"/>
          <w:szCs w:val="24"/>
        </w:rPr>
        <w:t xml:space="preserve">olo se recicló el 10% </w:t>
      </w:r>
      <w:r w:rsidRPr="00553BC3">
        <w:rPr>
          <w:rFonts w:ascii="Arial" w:hAnsi="Arial" w:cs="Arial"/>
          <w:sz w:val="24"/>
          <w:szCs w:val="24"/>
        </w:rPr>
        <w:t>y en los últimos años su uso ha tenido un crecimiento de más del 20% anual</w:t>
      </w:r>
      <w:r>
        <w:rPr>
          <w:rFonts w:ascii="Arial" w:hAnsi="Arial" w:cs="Arial"/>
          <w:sz w:val="24"/>
          <w:szCs w:val="24"/>
        </w:rPr>
        <w:t xml:space="preserve"> </w:t>
      </w:r>
      <w:r w:rsidRPr="008B63F5">
        <w:rPr>
          <w:rFonts w:ascii="Arial" w:hAnsi="Arial" w:cs="Arial"/>
          <w:sz w:val="24"/>
          <w:szCs w:val="24"/>
          <w:vertAlign w:val="superscript"/>
        </w:rPr>
        <w:t>[4]</w:t>
      </w:r>
      <w:r w:rsidRPr="00553BC3">
        <w:rPr>
          <w:rFonts w:ascii="Arial" w:hAnsi="Arial" w:cs="Arial"/>
          <w:sz w:val="24"/>
          <w:szCs w:val="24"/>
        </w:rPr>
        <w:t xml:space="preserve">. La figura 3 ejemplifica </w:t>
      </w:r>
      <w:r>
        <w:rPr>
          <w:rFonts w:ascii="Arial" w:hAnsi="Arial" w:cs="Arial"/>
          <w:sz w:val="24"/>
          <w:szCs w:val="24"/>
        </w:rPr>
        <w:t xml:space="preserve">la proyección de cantidades generadas </w:t>
      </w:r>
      <w:r w:rsidRPr="00553BC3">
        <w:rPr>
          <w:rFonts w:ascii="Arial" w:hAnsi="Arial" w:cs="Arial"/>
          <w:sz w:val="24"/>
          <w:szCs w:val="24"/>
        </w:rPr>
        <w:t>para años posteriores:</w:t>
      </w:r>
    </w:p>
    <w:p w:rsidR="00E31D8C" w:rsidRPr="00553BC3" w:rsidRDefault="00E31D8C" w:rsidP="00E31D8C">
      <w:pPr>
        <w:keepNext/>
        <w:spacing w:after="0" w:line="240" w:lineRule="auto"/>
        <w:jc w:val="center"/>
        <w:rPr>
          <w:rFonts w:ascii="Arial" w:hAnsi="Arial" w:cs="Arial"/>
          <w:sz w:val="24"/>
          <w:szCs w:val="24"/>
        </w:rPr>
      </w:pPr>
      <w:r w:rsidRPr="00553BC3">
        <w:rPr>
          <w:rFonts w:ascii="Arial" w:hAnsi="Arial" w:cs="Arial"/>
          <w:noProof/>
          <w:sz w:val="24"/>
          <w:szCs w:val="24"/>
          <w:lang w:val="en-US"/>
        </w:rPr>
        <w:drawing>
          <wp:inline distT="0" distB="0" distL="0" distR="0" wp14:anchorId="4B1063C0" wp14:editId="4ECFAC18">
            <wp:extent cx="3924300" cy="2390775"/>
            <wp:effectExtent l="0" t="0" r="0" b="9525"/>
            <wp:docPr id="1088" name="Gráfico 1088">
              <a:extLst xmlns:a="http://schemas.openxmlformats.org/drawingml/2006/main">
                <a:ext uri="{FF2B5EF4-FFF2-40B4-BE49-F238E27FC236}">
                  <a16:creationId xmlns:a16="http://schemas.microsoft.com/office/drawing/2014/main" id="{0B6DA48B-BDCF-404B-8EF3-521AA44289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7"/>
              </a:graphicData>
            </a:graphic>
          </wp:inline>
        </w:drawing>
      </w:r>
    </w:p>
    <w:p w:rsidR="00E31D8C" w:rsidRPr="005C137D" w:rsidRDefault="00E31D8C" w:rsidP="00E31D8C">
      <w:pPr>
        <w:spacing w:line="240" w:lineRule="auto"/>
        <w:jc w:val="center"/>
        <w:rPr>
          <w:rFonts w:ascii="Arial" w:hAnsi="Arial" w:cs="Arial"/>
          <w:bCs/>
          <w:i/>
          <w:iCs/>
          <w:sz w:val="20"/>
          <w:szCs w:val="20"/>
        </w:rPr>
      </w:pPr>
      <w:bookmarkStart w:id="470" w:name="_Toc34577032"/>
      <w:r w:rsidRPr="005C137D">
        <w:rPr>
          <w:rFonts w:ascii="Arial" w:hAnsi="Arial" w:cs="Arial"/>
          <w:bCs/>
          <w:i/>
          <w:iCs/>
          <w:sz w:val="20"/>
          <w:szCs w:val="20"/>
        </w:rPr>
        <w:t>Figura 3. Proyección de la producción de agroplásticos en México</w:t>
      </w:r>
      <w:bookmarkEnd w:id="470"/>
      <w:r w:rsidRPr="005C137D">
        <w:rPr>
          <w:rFonts w:ascii="Arial" w:hAnsi="Arial" w:cs="Arial"/>
          <w:bCs/>
          <w:i/>
          <w:iCs/>
          <w:sz w:val="20"/>
          <w:szCs w:val="20"/>
        </w:rPr>
        <w:t xml:space="preserve">. Fuente: </w:t>
      </w:r>
      <w:r w:rsidRPr="008B63F5">
        <w:rPr>
          <w:rFonts w:ascii="Arial" w:hAnsi="Arial" w:cs="Arial"/>
          <w:bCs/>
          <w:i/>
          <w:iCs/>
          <w:noProof/>
          <w:sz w:val="20"/>
          <w:szCs w:val="20"/>
          <w:vertAlign w:val="superscript"/>
        </w:rPr>
        <w:t>[8]</w:t>
      </w:r>
      <w:r>
        <w:rPr>
          <w:rFonts w:ascii="Arial" w:hAnsi="Arial" w:cs="Arial"/>
          <w:bCs/>
          <w:i/>
          <w:iCs/>
          <w:noProof/>
          <w:sz w:val="20"/>
          <w:szCs w:val="20"/>
        </w:rPr>
        <w:t>.</w:t>
      </w:r>
    </w:p>
    <w:p w:rsidR="00E31D8C" w:rsidRDefault="00E31D8C" w:rsidP="00E31D8C">
      <w:pPr>
        <w:spacing w:line="240" w:lineRule="auto"/>
        <w:ind w:firstLine="708"/>
        <w:jc w:val="both"/>
        <w:rPr>
          <w:rFonts w:ascii="Arial" w:hAnsi="Arial" w:cs="Arial"/>
          <w:sz w:val="24"/>
          <w:szCs w:val="24"/>
        </w:rPr>
      </w:pPr>
      <w:r w:rsidRPr="00553BC3">
        <w:rPr>
          <w:rFonts w:ascii="Arial" w:hAnsi="Arial" w:cs="Arial"/>
          <w:sz w:val="24"/>
          <w:szCs w:val="24"/>
        </w:rPr>
        <w:t>Las consecuencias del abandono de los residuos plásticos agrícolas en los campos y sobrecarga de rellenos sanitarios</w:t>
      </w:r>
      <w:r>
        <w:rPr>
          <w:rFonts w:ascii="Arial" w:hAnsi="Arial" w:cs="Arial"/>
          <w:sz w:val="24"/>
          <w:szCs w:val="24"/>
        </w:rPr>
        <w:t>,</w:t>
      </w:r>
      <w:r w:rsidRPr="00CE6BB3">
        <w:rPr>
          <w:rFonts w:ascii="Arial" w:hAnsi="Arial" w:cs="Arial"/>
          <w:sz w:val="24"/>
          <w:szCs w:val="24"/>
        </w:rPr>
        <w:t xml:space="preserve"> l</w:t>
      </w:r>
      <w:r>
        <w:rPr>
          <w:rFonts w:ascii="Arial" w:hAnsi="Arial" w:cs="Arial"/>
          <w:sz w:val="24"/>
          <w:szCs w:val="24"/>
        </w:rPr>
        <w:t>a</w:t>
      </w:r>
      <w:r w:rsidRPr="00CE6BB3">
        <w:rPr>
          <w:rFonts w:ascii="Arial" w:hAnsi="Arial" w:cs="Arial"/>
          <w:sz w:val="24"/>
          <w:szCs w:val="24"/>
        </w:rPr>
        <w:t xml:space="preserve"> contaminación de</w:t>
      </w:r>
      <w:r>
        <w:rPr>
          <w:rFonts w:ascii="Arial" w:hAnsi="Arial" w:cs="Arial"/>
          <w:sz w:val="24"/>
          <w:szCs w:val="24"/>
        </w:rPr>
        <w:t xml:space="preserve"> aire, suelos y del</w:t>
      </w:r>
      <w:r w:rsidRPr="00CE6BB3">
        <w:rPr>
          <w:rFonts w:ascii="Arial" w:hAnsi="Arial" w:cs="Arial"/>
          <w:sz w:val="24"/>
          <w:szCs w:val="24"/>
        </w:rPr>
        <w:t xml:space="preserve"> ma</w:t>
      </w:r>
      <w:r>
        <w:rPr>
          <w:rFonts w:ascii="Arial" w:hAnsi="Arial" w:cs="Arial"/>
          <w:sz w:val="24"/>
          <w:szCs w:val="24"/>
        </w:rPr>
        <w:t>r (amenazando</w:t>
      </w:r>
      <w:r w:rsidRPr="00CE6BB3">
        <w:rPr>
          <w:rFonts w:ascii="Arial" w:hAnsi="Arial" w:cs="Arial"/>
          <w:sz w:val="24"/>
          <w:szCs w:val="24"/>
        </w:rPr>
        <w:t xml:space="preserve"> a los organismos marinos</w:t>
      </w:r>
      <w:r>
        <w:rPr>
          <w:rFonts w:ascii="Arial" w:hAnsi="Arial" w:cs="Arial"/>
          <w:sz w:val="24"/>
          <w:szCs w:val="24"/>
        </w:rPr>
        <w:t xml:space="preserve"> por fragmentos degradados),</w:t>
      </w:r>
      <w:r w:rsidRPr="00553BC3">
        <w:rPr>
          <w:rFonts w:ascii="Arial" w:hAnsi="Arial" w:cs="Arial"/>
          <w:sz w:val="24"/>
          <w:szCs w:val="24"/>
        </w:rPr>
        <w:t xml:space="preserve"> hacen evidente la urgente falta de nuevas alternativas de disposición para estos desechos</w:t>
      </w:r>
      <w:r>
        <w:rPr>
          <w:rFonts w:ascii="Arial" w:hAnsi="Arial" w:cs="Arial"/>
          <w:sz w:val="24"/>
          <w:szCs w:val="24"/>
        </w:rPr>
        <w:t xml:space="preserve"> </w:t>
      </w:r>
      <w:r w:rsidRPr="008B63F5">
        <w:rPr>
          <w:rFonts w:ascii="Arial" w:hAnsi="Arial" w:cs="Arial"/>
          <w:sz w:val="24"/>
          <w:szCs w:val="24"/>
          <w:vertAlign w:val="superscript"/>
        </w:rPr>
        <w:t>[8]</w:t>
      </w:r>
      <w:r>
        <w:rPr>
          <w:rFonts w:ascii="Arial" w:hAnsi="Arial" w:cs="Arial"/>
          <w:sz w:val="24"/>
          <w:szCs w:val="24"/>
        </w:rPr>
        <w:t>.</w:t>
      </w:r>
    </w:p>
    <w:p w:rsidR="00E31D8C" w:rsidRDefault="00E31D8C" w:rsidP="00E31D8C">
      <w:pPr>
        <w:spacing w:line="240" w:lineRule="auto"/>
        <w:ind w:firstLine="708"/>
        <w:jc w:val="both"/>
        <w:rPr>
          <w:rFonts w:ascii="Arial" w:hAnsi="Arial" w:cs="Arial"/>
          <w:sz w:val="24"/>
          <w:szCs w:val="24"/>
        </w:rPr>
      </w:pPr>
      <w:r w:rsidRPr="00553BC3">
        <w:rPr>
          <w:rFonts w:ascii="Arial" w:hAnsi="Arial" w:cs="Arial"/>
          <w:sz w:val="24"/>
          <w:szCs w:val="24"/>
        </w:rPr>
        <w:t xml:space="preserve">El ciclo de vida de los diversos productos agroplásticos comprende el proceso de transformación, distribución, almacenamiento, aplicación de producto y reutilización antes de que sean considerados como desechos sólidos. Es importante señalar que cada producto tiene un ciclo de vida diferente, por lo que varía su incorporación al rubro de material reciclable y ocurre en momentos diferentes del ciclo agrícola </w:t>
      </w:r>
      <w:r w:rsidRPr="008B63F5">
        <w:rPr>
          <w:rFonts w:ascii="Arial" w:hAnsi="Arial" w:cs="Arial"/>
          <w:noProof/>
          <w:sz w:val="24"/>
          <w:szCs w:val="24"/>
          <w:vertAlign w:val="superscript"/>
        </w:rPr>
        <w:t>[8]</w:t>
      </w:r>
      <w:r>
        <w:rPr>
          <w:rFonts w:ascii="Arial" w:hAnsi="Arial" w:cs="Arial"/>
          <w:noProof/>
          <w:sz w:val="24"/>
          <w:szCs w:val="24"/>
        </w:rPr>
        <w:t>.</w:t>
      </w:r>
    </w:p>
    <w:p w:rsidR="00E31D8C" w:rsidRDefault="00E31D8C" w:rsidP="00E31D8C">
      <w:pPr>
        <w:spacing w:line="240" w:lineRule="auto"/>
        <w:ind w:firstLine="708"/>
        <w:jc w:val="both"/>
        <w:rPr>
          <w:rFonts w:ascii="Arial" w:hAnsi="Arial" w:cs="Arial"/>
          <w:sz w:val="24"/>
          <w:szCs w:val="24"/>
        </w:rPr>
      </w:pPr>
      <w:r w:rsidRPr="00553BC3">
        <w:rPr>
          <w:rFonts w:ascii="Arial" w:hAnsi="Arial" w:cs="Arial"/>
          <w:sz w:val="24"/>
          <w:szCs w:val="24"/>
        </w:rPr>
        <w:t>La Norma Oficial Mexicana NOM-161-SEMARNAT-2011 clasifica como residuos de manejo especial a los residuos plásticos generados por las actividades agrícolas; sin embargo, en diversas regiones del país no son dispuestos como establece la norma</w:t>
      </w:r>
      <w:r>
        <w:rPr>
          <w:rFonts w:ascii="Arial" w:hAnsi="Arial" w:cs="Arial"/>
          <w:sz w:val="24"/>
          <w:szCs w:val="24"/>
        </w:rPr>
        <w:t xml:space="preserve"> </w:t>
      </w:r>
      <w:r w:rsidRPr="008B63F5">
        <w:rPr>
          <w:rFonts w:ascii="Arial" w:hAnsi="Arial" w:cs="Arial"/>
          <w:sz w:val="24"/>
          <w:szCs w:val="24"/>
          <w:vertAlign w:val="superscript"/>
        </w:rPr>
        <w:t>[9]</w:t>
      </w:r>
      <w:r>
        <w:rPr>
          <w:rFonts w:ascii="Arial" w:hAnsi="Arial" w:cs="Arial"/>
          <w:sz w:val="24"/>
          <w:szCs w:val="24"/>
        </w:rPr>
        <w:t>.</w:t>
      </w:r>
    </w:p>
    <w:p w:rsidR="00E31D8C" w:rsidRPr="00553BC3" w:rsidRDefault="00E31D8C" w:rsidP="00E31D8C">
      <w:pPr>
        <w:spacing w:line="240" w:lineRule="auto"/>
        <w:ind w:firstLine="708"/>
        <w:jc w:val="both"/>
        <w:rPr>
          <w:rFonts w:ascii="Arial" w:hAnsi="Arial" w:cs="Arial"/>
          <w:sz w:val="24"/>
          <w:szCs w:val="24"/>
        </w:rPr>
      </w:pPr>
    </w:p>
    <w:p w:rsidR="00E31D8C" w:rsidRDefault="00E31D8C" w:rsidP="00873BBA">
      <w:pPr>
        <w:pStyle w:val="1Titulo"/>
        <w:numPr>
          <w:ilvl w:val="0"/>
          <w:numId w:val="78"/>
        </w:numPr>
      </w:pPr>
      <w:bookmarkStart w:id="471" w:name="_Toc50031492"/>
      <w:r w:rsidRPr="00E30EFD">
        <w:t>Metodología</w:t>
      </w:r>
      <w:bookmarkEnd w:id="471"/>
    </w:p>
    <w:p w:rsidR="00E31D8C" w:rsidRDefault="00E31D8C" w:rsidP="00E31D8C">
      <w:pPr>
        <w:spacing w:after="0" w:line="240" w:lineRule="auto"/>
        <w:ind w:left="-76"/>
        <w:jc w:val="both"/>
        <w:rPr>
          <w:rFonts w:ascii="Arial" w:hAnsi="Arial" w:cs="Arial"/>
          <w:sz w:val="24"/>
          <w:szCs w:val="24"/>
        </w:rPr>
      </w:pPr>
    </w:p>
    <w:p w:rsidR="00E31D8C" w:rsidRDefault="00E31D8C" w:rsidP="00E31D8C">
      <w:pPr>
        <w:spacing w:after="0" w:line="240" w:lineRule="auto"/>
        <w:ind w:firstLine="567"/>
        <w:jc w:val="both"/>
        <w:rPr>
          <w:rFonts w:ascii="Arial" w:hAnsi="Arial" w:cs="Arial"/>
          <w:b/>
          <w:sz w:val="24"/>
          <w:szCs w:val="24"/>
        </w:rPr>
      </w:pPr>
      <w:r w:rsidRPr="00E30EFD">
        <w:rPr>
          <w:rFonts w:ascii="Arial" w:hAnsi="Arial" w:cs="Arial"/>
          <w:sz w:val="24"/>
          <w:szCs w:val="24"/>
        </w:rPr>
        <w:t>Primeramente, se ubicaron geográficamente los centros de acopio de los plásticos agrícolas en México. Estos centros ayudan a la estancia temporal de los plásticos agrícolas donde se reportan las cantidades, se compactan y empacan para su distribución a la planta recicladora, los cuales son administrados por la Asociación Mexicana para el Manejo Integral Ambiental de los Plásticos para uso Agrícola y entidades gubernamentales como la SEMARNAT.</w:t>
      </w:r>
    </w:p>
    <w:p w:rsidR="00E31D8C" w:rsidRDefault="00E31D8C" w:rsidP="00E31D8C">
      <w:pPr>
        <w:spacing w:after="0" w:line="240" w:lineRule="auto"/>
        <w:ind w:firstLine="567"/>
        <w:jc w:val="both"/>
        <w:rPr>
          <w:rFonts w:ascii="Arial" w:hAnsi="Arial" w:cs="Arial"/>
          <w:b/>
          <w:sz w:val="24"/>
          <w:szCs w:val="24"/>
        </w:rPr>
      </w:pPr>
    </w:p>
    <w:p w:rsidR="00E31D8C" w:rsidRPr="00DB048C" w:rsidRDefault="00E31D8C" w:rsidP="00E31D8C">
      <w:pPr>
        <w:spacing w:after="0" w:line="240" w:lineRule="auto"/>
        <w:ind w:firstLine="567"/>
        <w:jc w:val="both"/>
        <w:rPr>
          <w:rFonts w:ascii="Arial" w:hAnsi="Arial" w:cs="Arial"/>
          <w:sz w:val="24"/>
          <w:szCs w:val="24"/>
        </w:rPr>
      </w:pPr>
      <w:r w:rsidRPr="00553BC3">
        <w:rPr>
          <w:rFonts w:ascii="Arial" w:hAnsi="Arial" w:cs="Arial"/>
          <w:sz w:val="24"/>
          <w:szCs w:val="24"/>
        </w:rPr>
        <w:t>Después, se localizaron las plantas recicladoras de plásticos agrícolas existentes en la actualidad en México. De las aproximadamente 150 empresas recicladoras que operan en México, actualmente solo 13 están dedicadas específicamente a</w:t>
      </w:r>
      <w:r>
        <w:rPr>
          <w:rFonts w:ascii="Arial" w:hAnsi="Arial" w:cs="Arial"/>
          <w:sz w:val="24"/>
          <w:szCs w:val="24"/>
        </w:rPr>
        <w:t xml:space="preserve"> productos</w:t>
      </w:r>
      <w:r w:rsidRPr="00553BC3">
        <w:rPr>
          <w:rFonts w:ascii="Arial" w:hAnsi="Arial" w:cs="Arial"/>
          <w:sz w:val="24"/>
          <w:szCs w:val="24"/>
        </w:rPr>
        <w:t xml:space="preserve"> agroplásticos, las cuales procesan apenas el 10% de estos residuos (tabla 1).</w:t>
      </w:r>
    </w:p>
    <w:p w:rsidR="00E31D8C" w:rsidRPr="00553BC3" w:rsidRDefault="00E31D8C" w:rsidP="00E31D8C">
      <w:pPr>
        <w:spacing w:after="0" w:line="240" w:lineRule="auto"/>
        <w:jc w:val="both"/>
        <w:rPr>
          <w:rFonts w:ascii="Arial" w:hAnsi="Arial" w:cs="Arial"/>
          <w:sz w:val="24"/>
          <w:szCs w:val="24"/>
        </w:rPr>
      </w:pPr>
    </w:p>
    <w:p w:rsidR="00E31D8C" w:rsidRPr="00186E94" w:rsidRDefault="00E31D8C" w:rsidP="00E31D8C">
      <w:pPr>
        <w:spacing w:after="0" w:line="240" w:lineRule="auto"/>
        <w:jc w:val="center"/>
        <w:rPr>
          <w:rFonts w:ascii="Times New Roman" w:hAnsi="Times New Roman" w:cs="Times New Roman"/>
          <w:i/>
          <w:iCs/>
          <w:sz w:val="20"/>
          <w:szCs w:val="20"/>
        </w:rPr>
      </w:pPr>
      <w:r w:rsidRPr="00186E94">
        <w:rPr>
          <w:rFonts w:ascii="Times New Roman" w:hAnsi="Times New Roman" w:cs="Times New Roman"/>
          <w:i/>
          <w:iCs/>
          <w:sz w:val="20"/>
          <w:szCs w:val="20"/>
        </w:rPr>
        <w:t xml:space="preserve">Tabla 1. Empresas activas en el reciclaje de agroplásticos en México. Fuente: Modificada de </w:t>
      </w:r>
      <w:r w:rsidRPr="008B63F5">
        <w:rPr>
          <w:rFonts w:ascii="Times New Roman" w:hAnsi="Times New Roman" w:cs="Times New Roman"/>
          <w:i/>
          <w:iCs/>
          <w:noProof/>
          <w:sz w:val="20"/>
          <w:szCs w:val="20"/>
          <w:vertAlign w:val="superscript"/>
        </w:rPr>
        <w:t>[8]</w:t>
      </w:r>
      <w:r>
        <w:rPr>
          <w:rFonts w:ascii="Times New Roman" w:hAnsi="Times New Roman" w:cs="Times New Roman"/>
          <w:i/>
          <w:iCs/>
          <w:noProof/>
          <w:sz w:val="20"/>
          <w:szCs w:val="20"/>
        </w:rPr>
        <w:t>.</w:t>
      </w:r>
    </w:p>
    <w:tbl>
      <w:tblPr>
        <w:tblStyle w:val="Tabladelista7concolores"/>
        <w:tblW w:w="6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0"/>
        <w:gridCol w:w="3354"/>
      </w:tblGrid>
      <w:tr w:rsidR="00E31D8C" w:rsidRPr="008B63F5" w:rsidTr="000533C7">
        <w:trPr>
          <w:cnfStyle w:val="100000000000" w:firstRow="1" w:lastRow="0" w:firstColumn="0" w:lastColumn="0" w:oddVBand="0" w:evenVBand="0" w:oddHBand="0" w:evenHBand="0" w:firstRowFirstColumn="0" w:firstRowLastColumn="0" w:lastRowFirstColumn="0" w:lastRowLastColumn="0"/>
          <w:trHeight w:val="204"/>
          <w:jc w:val="center"/>
        </w:trPr>
        <w:tc>
          <w:tcPr>
            <w:cnfStyle w:val="001000000100" w:firstRow="0" w:lastRow="0" w:firstColumn="1" w:lastColumn="0" w:oddVBand="0" w:evenVBand="0" w:oddHBand="0" w:evenHBand="0" w:firstRowFirstColumn="1" w:firstRowLastColumn="0" w:lastRowFirstColumn="0" w:lastRowLastColumn="0"/>
            <w:tcW w:w="2950" w:type="dxa"/>
            <w:tcBorders>
              <w:bottom w:val="none" w:sz="0" w:space="0" w:color="auto"/>
              <w:right w:val="none" w:sz="0" w:space="0" w:color="auto"/>
            </w:tcBorders>
            <w:shd w:val="clear" w:color="auto" w:fill="auto"/>
            <w:hideMark/>
          </w:tcPr>
          <w:p w:rsidR="00E31D8C" w:rsidRPr="008B63F5" w:rsidRDefault="00E31D8C" w:rsidP="000533C7">
            <w:pPr>
              <w:jc w:val="center"/>
              <w:rPr>
                <w:rFonts w:ascii="Arial" w:eastAsia="Times New Roman" w:hAnsi="Arial" w:cs="Arial"/>
                <w:b/>
                <w:bCs/>
                <w:color w:val="auto"/>
                <w:sz w:val="16"/>
                <w:szCs w:val="16"/>
              </w:rPr>
            </w:pPr>
            <w:r w:rsidRPr="008B63F5">
              <w:rPr>
                <w:rFonts w:ascii="Arial" w:eastAsia="Times New Roman" w:hAnsi="Arial" w:cs="Arial"/>
                <w:b/>
                <w:bCs/>
                <w:color w:val="auto"/>
                <w:sz w:val="16"/>
                <w:szCs w:val="16"/>
              </w:rPr>
              <w:t>Empresa</w:t>
            </w:r>
          </w:p>
        </w:tc>
        <w:tc>
          <w:tcPr>
            <w:tcW w:w="3354" w:type="dxa"/>
            <w:tcBorders>
              <w:bottom w:val="none" w:sz="0" w:space="0" w:color="auto"/>
            </w:tcBorders>
            <w:shd w:val="clear" w:color="auto" w:fill="auto"/>
            <w:hideMark/>
          </w:tcPr>
          <w:p w:rsidR="00E31D8C" w:rsidRPr="008B63F5" w:rsidRDefault="00E31D8C" w:rsidP="000533C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bCs/>
                <w:color w:val="auto"/>
                <w:sz w:val="16"/>
                <w:szCs w:val="16"/>
              </w:rPr>
            </w:pPr>
            <w:r w:rsidRPr="008B63F5">
              <w:rPr>
                <w:rFonts w:ascii="Arial" w:eastAsia="Times New Roman" w:hAnsi="Arial" w:cs="Arial"/>
                <w:b/>
                <w:bCs/>
                <w:color w:val="auto"/>
                <w:sz w:val="16"/>
                <w:szCs w:val="16"/>
              </w:rPr>
              <w:t>Localización</w:t>
            </w:r>
          </w:p>
        </w:tc>
      </w:tr>
      <w:tr w:rsidR="00E31D8C" w:rsidRPr="008B63F5" w:rsidTr="000533C7">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2950" w:type="dxa"/>
            <w:tcBorders>
              <w:right w:val="none" w:sz="0" w:space="0" w:color="auto"/>
            </w:tcBorders>
            <w:shd w:val="clear" w:color="auto" w:fill="auto"/>
            <w:hideMark/>
          </w:tcPr>
          <w:p w:rsidR="00E31D8C" w:rsidRPr="008B63F5" w:rsidRDefault="00E31D8C" w:rsidP="000533C7">
            <w:pPr>
              <w:jc w:val="center"/>
              <w:rPr>
                <w:rFonts w:ascii="Arial" w:eastAsia="Times New Roman" w:hAnsi="Arial" w:cs="Arial"/>
                <w:sz w:val="16"/>
                <w:szCs w:val="16"/>
              </w:rPr>
            </w:pPr>
            <w:r w:rsidRPr="008B63F5">
              <w:rPr>
                <w:rFonts w:ascii="Arial" w:eastAsia="Times New Roman" w:hAnsi="Arial" w:cs="Arial"/>
                <w:sz w:val="16"/>
                <w:szCs w:val="16"/>
              </w:rPr>
              <w:t>Reciclados y Servicios del Noroeste, S.A. de C.V. Reynosa</w:t>
            </w:r>
          </w:p>
        </w:tc>
        <w:tc>
          <w:tcPr>
            <w:tcW w:w="3354" w:type="dxa"/>
            <w:shd w:val="clear" w:color="auto" w:fill="auto"/>
            <w:hideMark/>
          </w:tcPr>
          <w:p w:rsidR="00E31D8C" w:rsidRPr="008B63F5"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8B63F5">
              <w:rPr>
                <w:rFonts w:ascii="Arial" w:eastAsia="Times New Roman" w:hAnsi="Arial" w:cs="Arial"/>
                <w:sz w:val="16"/>
                <w:szCs w:val="16"/>
              </w:rPr>
              <w:t>Reynosa, Tamaulipas</w:t>
            </w:r>
          </w:p>
        </w:tc>
      </w:tr>
      <w:tr w:rsidR="00E31D8C" w:rsidRPr="008B63F5" w:rsidTr="000533C7">
        <w:trPr>
          <w:trHeight w:val="274"/>
          <w:jc w:val="center"/>
        </w:trPr>
        <w:tc>
          <w:tcPr>
            <w:cnfStyle w:val="001000000000" w:firstRow="0" w:lastRow="0" w:firstColumn="1" w:lastColumn="0" w:oddVBand="0" w:evenVBand="0" w:oddHBand="0" w:evenHBand="0" w:firstRowFirstColumn="0" w:firstRowLastColumn="0" w:lastRowFirstColumn="0" w:lastRowLastColumn="0"/>
            <w:tcW w:w="2950" w:type="dxa"/>
            <w:tcBorders>
              <w:right w:val="none" w:sz="0" w:space="0" w:color="auto"/>
            </w:tcBorders>
            <w:shd w:val="clear" w:color="auto" w:fill="auto"/>
            <w:hideMark/>
          </w:tcPr>
          <w:p w:rsidR="00E31D8C" w:rsidRPr="008B63F5" w:rsidRDefault="00E31D8C" w:rsidP="000533C7">
            <w:pPr>
              <w:jc w:val="center"/>
              <w:rPr>
                <w:rFonts w:ascii="Arial" w:eastAsia="Times New Roman" w:hAnsi="Arial" w:cs="Arial"/>
                <w:sz w:val="16"/>
                <w:szCs w:val="16"/>
              </w:rPr>
            </w:pPr>
            <w:r w:rsidRPr="008B63F5">
              <w:rPr>
                <w:rFonts w:ascii="Arial" w:eastAsia="Times New Roman" w:hAnsi="Arial" w:cs="Arial"/>
                <w:sz w:val="16"/>
                <w:szCs w:val="16"/>
              </w:rPr>
              <w:t>Recicladora Campo Limpio</w:t>
            </w:r>
          </w:p>
        </w:tc>
        <w:tc>
          <w:tcPr>
            <w:tcW w:w="3354" w:type="dxa"/>
            <w:shd w:val="clear" w:color="auto" w:fill="auto"/>
            <w:hideMark/>
          </w:tcPr>
          <w:p w:rsidR="00E31D8C" w:rsidRPr="008B63F5"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8B63F5">
              <w:rPr>
                <w:rFonts w:ascii="Arial" w:eastAsia="Times New Roman" w:hAnsi="Arial" w:cs="Arial"/>
                <w:sz w:val="16"/>
                <w:szCs w:val="16"/>
              </w:rPr>
              <w:t>Guadalajara, Jalisco</w:t>
            </w:r>
          </w:p>
        </w:tc>
      </w:tr>
      <w:tr w:rsidR="00E31D8C" w:rsidRPr="008B63F5" w:rsidTr="000533C7">
        <w:trPr>
          <w:cnfStyle w:val="000000100000" w:firstRow="0" w:lastRow="0" w:firstColumn="0" w:lastColumn="0" w:oddVBand="0" w:evenVBand="0" w:oddHBand="1" w:evenHBand="0" w:firstRowFirstColumn="0" w:firstRowLastColumn="0" w:lastRowFirstColumn="0" w:lastRowLastColumn="0"/>
          <w:trHeight w:val="477"/>
          <w:jc w:val="center"/>
        </w:trPr>
        <w:tc>
          <w:tcPr>
            <w:cnfStyle w:val="001000000000" w:firstRow="0" w:lastRow="0" w:firstColumn="1" w:lastColumn="0" w:oddVBand="0" w:evenVBand="0" w:oddHBand="0" w:evenHBand="0" w:firstRowFirstColumn="0" w:firstRowLastColumn="0" w:lastRowFirstColumn="0" w:lastRowLastColumn="0"/>
            <w:tcW w:w="2950" w:type="dxa"/>
            <w:tcBorders>
              <w:right w:val="none" w:sz="0" w:space="0" w:color="auto"/>
            </w:tcBorders>
            <w:shd w:val="clear" w:color="auto" w:fill="auto"/>
            <w:hideMark/>
          </w:tcPr>
          <w:p w:rsidR="00E31D8C" w:rsidRPr="008B63F5" w:rsidRDefault="00E31D8C" w:rsidP="000533C7">
            <w:pPr>
              <w:jc w:val="center"/>
              <w:rPr>
                <w:rFonts w:ascii="Arial" w:eastAsia="Times New Roman" w:hAnsi="Arial" w:cs="Arial"/>
                <w:sz w:val="16"/>
                <w:szCs w:val="16"/>
              </w:rPr>
            </w:pPr>
            <w:r w:rsidRPr="008B63F5">
              <w:rPr>
                <w:rFonts w:ascii="Arial" w:eastAsia="Times New Roman" w:hAnsi="Arial" w:cs="Arial"/>
                <w:sz w:val="16"/>
                <w:szCs w:val="16"/>
              </w:rPr>
              <w:t>Recicladora de Plástico de Celaya, S.A. de C.V.</w:t>
            </w:r>
          </w:p>
        </w:tc>
        <w:tc>
          <w:tcPr>
            <w:tcW w:w="3354" w:type="dxa"/>
            <w:shd w:val="clear" w:color="auto" w:fill="auto"/>
            <w:hideMark/>
          </w:tcPr>
          <w:p w:rsidR="00E31D8C" w:rsidRPr="008B63F5"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8B63F5">
              <w:rPr>
                <w:rFonts w:ascii="Arial" w:eastAsia="Times New Roman" w:hAnsi="Arial" w:cs="Arial"/>
                <w:sz w:val="16"/>
                <w:szCs w:val="16"/>
              </w:rPr>
              <w:t>Celaya, Guanajuato</w:t>
            </w:r>
          </w:p>
        </w:tc>
      </w:tr>
      <w:tr w:rsidR="00E31D8C" w:rsidRPr="008B63F5" w:rsidTr="000533C7">
        <w:trPr>
          <w:trHeight w:val="387"/>
          <w:jc w:val="center"/>
        </w:trPr>
        <w:tc>
          <w:tcPr>
            <w:cnfStyle w:val="001000000000" w:firstRow="0" w:lastRow="0" w:firstColumn="1" w:lastColumn="0" w:oddVBand="0" w:evenVBand="0" w:oddHBand="0" w:evenHBand="0" w:firstRowFirstColumn="0" w:firstRowLastColumn="0" w:lastRowFirstColumn="0" w:lastRowLastColumn="0"/>
            <w:tcW w:w="2950" w:type="dxa"/>
            <w:tcBorders>
              <w:right w:val="none" w:sz="0" w:space="0" w:color="auto"/>
            </w:tcBorders>
            <w:shd w:val="clear" w:color="auto" w:fill="auto"/>
            <w:hideMark/>
          </w:tcPr>
          <w:p w:rsidR="00E31D8C" w:rsidRPr="008B63F5" w:rsidRDefault="00E31D8C" w:rsidP="000533C7">
            <w:pPr>
              <w:jc w:val="center"/>
              <w:rPr>
                <w:rFonts w:ascii="Arial" w:eastAsia="Times New Roman" w:hAnsi="Arial" w:cs="Arial"/>
                <w:sz w:val="16"/>
                <w:szCs w:val="16"/>
              </w:rPr>
            </w:pPr>
            <w:r w:rsidRPr="008B63F5">
              <w:rPr>
                <w:rFonts w:ascii="Arial" w:eastAsia="Times New Roman" w:hAnsi="Arial" w:cs="Arial"/>
                <w:sz w:val="16"/>
                <w:szCs w:val="16"/>
              </w:rPr>
              <w:t>Campo Limpio Amocali, A.C.</w:t>
            </w:r>
          </w:p>
        </w:tc>
        <w:tc>
          <w:tcPr>
            <w:tcW w:w="3354" w:type="dxa"/>
            <w:shd w:val="clear" w:color="auto" w:fill="auto"/>
            <w:hideMark/>
          </w:tcPr>
          <w:p w:rsidR="00E31D8C" w:rsidRPr="008B63F5"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8B63F5">
              <w:rPr>
                <w:rFonts w:ascii="Arial" w:eastAsia="Times New Roman" w:hAnsi="Arial" w:cs="Arial"/>
                <w:sz w:val="16"/>
                <w:szCs w:val="16"/>
              </w:rPr>
              <w:t>México, CDMX</w:t>
            </w:r>
          </w:p>
        </w:tc>
      </w:tr>
      <w:tr w:rsidR="00E31D8C" w:rsidRPr="008B63F5" w:rsidTr="000533C7">
        <w:trPr>
          <w:cnfStyle w:val="000000100000" w:firstRow="0" w:lastRow="0" w:firstColumn="0" w:lastColumn="0" w:oddVBand="0" w:evenVBand="0" w:oddHBand="1"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2950" w:type="dxa"/>
            <w:tcBorders>
              <w:right w:val="none" w:sz="0" w:space="0" w:color="auto"/>
            </w:tcBorders>
            <w:shd w:val="clear" w:color="auto" w:fill="auto"/>
            <w:hideMark/>
          </w:tcPr>
          <w:p w:rsidR="00E31D8C" w:rsidRPr="008B63F5" w:rsidRDefault="00E31D8C" w:rsidP="000533C7">
            <w:pPr>
              <w:jc w:val="center"/>
              <w:rPr>
                <w:rFonts w:ascii="Arial" w:eastAsia="Times New Roman" w:hAnsi="Arial" w:cs="Arial"/>
                <w:sz w:val="16"/>
                <w:szCs w:val="16"/>
              </w:rPr>
            </w:pPr>
            <w:r w:rsidRPr="008B63F5">
              <w:rPr>
                <w:rFonts w:ascii="Arial" w:eastAsia="Times New Roman" w:hAnsi="Arial" w:cs="Arial"/>
                <w:sz w:val="16"/>
                <w:szCs w:val="16"/>
              </w:rPr>
              <w:t>Prestadores de Servicios Ecológicos, S.A. de C.V.</w:t>
            </w:r>
          </w:p>
        </w:tc>
        <w:tc>
          <w:tcPr>
            <w:tcW w:w="3354" w:type="dxa"/>
            <w:shd w:val="clear" w:color="auto" w:fill="auto"/>
            <w:hideMark/>
          </w:tcPr>
          <w:p w:rsidR="00E31D8C" w:rsidRPr="008B63F5"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8B63F5">
              <w:rPr>
                <w:rFonts w:ascii="Arial" w:eastAsia="Times New Roman" w:hAnsi="Arial" w:cs="Arial"/>
                <w:sz w:val="16"/>
                <w:szCs w:val="16"/>
              </w:rPr>
              <w:t>Puebla, Puebla</w:t>
            </w:r>
          </w:p>
        </w:tc>
      </w:tr>
      <w:tr w:rsidR="00E31D8C" w:rsidRPr="008B63F5" w:rsidTr="000533C7">
        <w:trPr>
          <w:trHeight w:val="288"/>
          <w:jc w:val="center"/>
        </w:trPr>
        <w:tc>
          <w:tcPr>
            <w:cnfStyle w:val="001000000000" w:firstRow="0" w:lastRow="0" w:firstColumn="1" w:lastColumn="0" w:oddVBand="0" w:evenVBand="0" w:oddHBand="0" w:evenHBand="0" w:firstRowFirstColumn="0" w:firstRowLastColumn="0" w:lastRowFirstColumn="0" w:lastRowLastColumn="0"/>
            <w:tcW w:w="2950" w:type="dxa"/>
            <w:tcBorders>
              <w:right w:val="none" w:sz="0" w:space="0" w:color="auto"/>
            </w:tcBorders>
            <w:shd w:val="clear" w:color="auto" w:fill="auto"/>
            <w:hideMark/>
          </w:tcPr>
          <w:p w:rsidR="00E31D8C" w:rsidRPr="008B63F5" w:rsidRDefault="00E31D8C" w:rsidP="000533C7">
            <w:pPr>
              <w:jc w:val="center"/>
              <w:rPr>
                <w:rFonts w:ascii="Arial" w:eastAsia="Times New Roman" w:hAnsi="Arial" w:cs="Arial"/>
                <w:sz w:val="16"/>
                <w:szCs w:val="16"/>
              </w:rPr>
            </w:pPr>
            <w:r w:rsidRPr="008B63F5">
              <w:rPr>
                <w:rFonts w:ascii="Arial" w:eastAsia="Times New Roman" w:hAnsi="Arial" w:cs="Arial"/>
                <w:sz w:val="16"/>
                <w:szCs w:val="16"/>
              </w:rPr>
              <w:t>Grupo Ibanava, S.A. de C.V.</w:t>
            </w:r>
          </w:p>
        </w:tc>
        <w:tc>
          <w:tcPr>
            <w:tcW w:w="3354" w:type="dxa"/>
            <w:shd w:val="clear" w:color="auto" w:fill="auto"/>
            <w:hideMark/>
          </w:tcPr>
          <w:p w:rsidR="00E31D8C" w:rsidRPr="008B63F5"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8B63F5">
              <w:rPr>
                <w:rFonts w:ascii="Arial" w:eastAsia="Times New Roman" w:hAnsi="Arial" w:cs="Arial"/>
                <w:sz w:val="16"/>
                <w:szCs w:val="16"/>
              </w:rPr>
              <w:t>Tecomán, Colima</w:t>
            </w:r>
          </w:p>
        </w:tc>
      </w:tr>
      <w:tr w:rsidR="00E31D8C" w:rsidRPr="008B63F5" w:rsidTr="000533C7">
        <w:trPr>
          <w:cnfStyle w:val="000000100000" w:firstRow="0" w:lastRow="0" w:firstColumn="0" w:lastColumn="0" w:oddVBand="0" w:evenVBand="0" w:oddHBand="1"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2950" w:type="dxa"/>
            <w:tcBorders>
              <w:right w:val="none" w:sz="0" w:space="0" w:color="auto"/>
            </w:tcBorders>
            <w:shd w:val="clear" w:color="auto" w:fill="auto"/>
            <w:hideMark/>
          </w:tcPr>
          <w:p w:rsidR="00E31D8C" w:rsidRPr="008B63F5" w:rsidRDefault="00E31D8C" w:rsidP="000533C7">
            <w:pPr>
              <w:jc w:val="center"/>
              <w:rPr>
                <w:rFonts w:ascii="Arial" w:eastAsia="Times New Roman" w:hAnsi="Arial" w:cs="Arial"/>
                <w:sz w:val="16"/>
                <w:szCs w:val="16"/>
              </w:rPr>
            </w:pPr>
            <w:r w:rsidRPr="008B63F5">
              <w:rPr>
                <w:rFonts w:ascii="Arial" w:eastAsia="Times New Roman" w:hAnsi="Arial" w:cs="Arial"/>
                <w:sz w:val="16"/>
                <w:szCs w:val="16"/>
              </w:rPr>
              <w:t>Tecnorec</w:t>
            </w:r>
          </w:p>
        </w:tc>
        <w:tc>
          <w:tcPr>
            <w:tcW w:w="3354" w:type="dxa"/>
            <w:shd w:val="clear" w:color="auto" w:fill="auto"/>
            <w:hideMark/>
          </w:tcPr>
          <w:p w:rsidR="00E31D8C" w:rsidRPr="008B63F5"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8B63F5">
              <w:rPr>
                <w:rFonts w:ascii="Arial" w:eastAsia="Times New Roman" w:hAnsi="Arial" w:cs="Arial"/>
                <w:sz w:val="16"/>
                <w:szCs w:val="16"/>
              </w:rPr>
              <w:t>Guadalajara, Jalisco</w:t>
            </w:r>
          </w:p>
        </w:tc>
      </w:tr>
      <w:tr w:rsidR="00E31D8C" w:rsidRPr="008B63F5" w:rsidTr="000533C7">
        <w:trPr>
          <w:trHeight w:val="388"/>
          <w:jc w:val="center"/>
        </w:trPr>
        <w:tc>
          <w:tcPr>
            <w:cnfStyle w:val="001000000000" w:firstRow="0" w:lastRow="0" w:firstColumn="1" w:lastColumn="0" w:oddVBand="0" w:evenVBand="0" w:oddHBand="0" w:evenHBand="0" w:firstRowFirstColumn="0" w:firstRowLastColumn="0" w:lastRowFirstColumn="0" w:lastRowLastColumn="0"/>
            <w:tcW w:w="2950" w:type="dxa"/>
            <w:tcBorders>
              <w:right w:val="none" w:sz="0" w:space="0" w:color="auto"/>
            </w:tcBorders>
            <w:shd w:val="clear" w:color="auto" w:fill="auto"/>
            <w:hideMark/>
          </w:tcPr>
          <w:p w:rsidR="00E31D8C" w:rsidRPr="008B63F5" w:rsidRDefault="00E31D8C" w:rsidP="000533C7">
            <w:pPr>
              <w:jc w:val="center"/>
              <w:rPr>
                <w:rFonts w:ascii="Arial" w:eastAsia="Times New Roman" w:hAnsi="Arial" w:cs="Arial"/>
                <w:sz w:val="16"/>
                <w:szCs w:val="16"/>
              </w:rPr>
            </w:pPr>
            <w:r w:rsidRPr="008B63F5">
              <w:rPr>
                <w:rFonts w:ascii="Arial" w:eastAsia="Times New Roman" w:hAnsi="Arial" w:cs="Arial"/>
                <w:sz w:val="16"/>
                <w:szCs w:val="16"/>
              </w:rPr>
              <w:t>Plásticos Jaliscienses, S.A. de C.V.</w:t>
            </w:r>
          </w:p>
        </w:tc>
        <w:tc>
          <w:tcPr>
            <w:tcW w:w="3354" w:type="dxa"/>
            <w:shd w:val="clear" w:color="auto" w:fill="auto"/>
            <w:hideMark/>
          </w:tcPr>
          <w:p w:rsidR="00E31D8C" w:rsidRPr="008B63F5"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8B63F5">
              <w:rPr>
                <w:rFonts w:ascii="Arial" w:eastAsia="Times New Roman" w:hAnsi="Arial" w:cs="Arial"/>
                <w:sz w:val="16"/>
                <w:szCs w:val="16"/>
              </w:rPr>
              <w:t>Colima, Colima</w:t>
            </w:r>
          </w:p>
        </w:tc>
      </w:tr>
      <w:tr w:rsidR="00E31D8C" w:rsidRPr="008B63F5" w:rsidTr="000533C7">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950" w:type="dxa"/>
            <w:tcBorders>
              <w:right w:val="none" w:sz="0" w:space="0" w:color="auto"/>
            </w:tcBorders>
            <w:shd w:val="clear" w:color="auto" w:fill="auto"/>
            <w:hideMark/>
          </w:tcPr>
          <w:p w:rsidR="00E31D8C" w:rsidRPr="008B63F5" w:rsidRDefault="00E31D8C" w:rsidP="000533C7">
            <w:pPr>
              <w:jc w:val="center"/>
              <w:rPr>
                <w:rFonts w:ascii="Arial" w:eastAsia="Times New Roman" w:hAnsi="Arial" w:cs="Arial"/>
                <w:sz w:val="16"/>
                <w:szCs w:val="16"/>
              </w:rPr>
            </w:pPr>
            <w:r w:rsidRPr="008B63F5">
              <w:rPr>
                <w:rFonts w:ascii="Arial" w:eastAsia="Times New Roman" w:hAnsi="Arial" w:cs="Arial"/>
                <w:sz w:val="16"/>
                <w:szCs w:val="16"/>
              </w:rPr>
              <w:t>Horticultura El Palomo</w:t>
            </w:r>
          </w:p>
        </w:tc>
        <w:tc>
          <w:tcPr>
            <w:tcW w:w="3354" w:type="dxa"/>
            <w:shd w:val="clear" w:color="auto" w:fill="auto"/>
            <w:hideMark/>
          </w:tcPr>
          <w:p w:rsidR="00E31D8C" w:rsidRPr="008B63F5"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8B63F5">
              <w:rPr>
                <w:rFonts w:ascii="Arial" w:eastAsia="Times New Roman" w:hAnsi="Arial" w:cs="Arial"/>
                <w:sz w:val="16"/>
                <w:szCs w:val="16"/>
              </w:rPr>
              <w:t>Actopan, Hidalgo</w:t>
            </w:r>
          </w:p>
        </w:tc>
      </w:tr>
      <w:tr w:rsidR="00E31D8C" w:rsidRPr="008B63F5" w:rsidTr="000533C7">
        <w:trPr>
          <w:trHeight w:val="378"/>
          <w:jc w:val="center"/>
        </w:trPr>
        <w:tc>
          <w:tcPr>
            <w:cnfStyle w:val="001000000000" w:firstRow="0" w:lastRow="0" w:firstColumn="1" w:lastColumn="0" w:oddVBand="0" w:evenVBand="0" w:oddHBand="0" w:evenHBand="0" w:firstRowFirstColumn="0" w:firstRowLastColumn="0" w:lastRowFirstColumn="0" w:lastRowLastColumn="0"/>
            <w:tcW w:w="2950" w:type="dxa"/>
            <w:tcBorders>
              <w:right w:val="none" w:sz="0" w:space="0" w:color="auto"/>
            </w:tcBorders>
            <w:shd w:val="clear" w:color="auto" w:fill="auto"/>
            <w:hideMark/>
          </w:tcPr>
          <w:p w:rsidR="00E31D8C" w:rsidRPr="008B63F5" w:rsidRDefault="00E31D8C" w:rsidP="000533C7">
            <w:pPr>
              <w:jc w:val="center"/>
              <w:rPr>
                <w:rFonts w:ascii="Arial" w:eastAsia="Times New Roman" w:hAnsi="Arial" w:cs="Arial"/>
                <w:sz w:val="16"/>
                <w:szCs w:val="16"/>
              </w:rPr>
            </w:pPr>
            <w:r w:rsidRPr="008B63F5">
              <w:rPr>
                <w:rFonts w:ascii="Arial" w:eastAsia="Times New Roman" w:hAnsi="Arial" w:cs="Arial"/>
                <w:sz w:val="16"/>
                <w:szCs w:val="16"/>
              </w:rPr>
              <w:t>Ecotecnia</w:t>
            </w:r>
          </w:p>
        </w:tc>
        <w:tc>
          <w:tcPr>
            <w:tcW w:w="3354" w:type="dxa"/>
            <w:shd w:val="clear" w:color="auto" w:fill="auto"/>
            <w:hideMark/>
          </w:tcPr>
          <w:p w:rsidR="00E31D8C" w:rsidRPr="008B63F5"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8B63F5">
              <w:rPr>
                <w:rFonts w:ascii="Arial" w:eastAsia="Times New Roman" w:hAnsi="Arial" w:cs="Arial"/>
                <w:sz w:val="16"/>
                <w:szCs w:val="16"/>
              </w:rPr>
              <w:t>Zapopan, Jalisco</w:t>
            </w:r>
          </w:p>
        </w:tc>
      </w:tr>
      <w:tr w:rsidR="00E31D8C" w:rsidRPr="008B63F5" w:rsidTr="000533C7">
        <w:trPr>
          <w:cnfStyle w:val="000000100000" w:firstRow="0" w:lastRow="0" w:firstColumn="0" w:lastColumn="0" w:oddVBand="0" w:evenVBand="0" w:oddHBand="1" w:evenHBand="0" w:firstRowFirstColumn="0" w:firstRowLastColumn="0" w:lastRowFirstColumn="0" w:lastRowLastColumn="0"/>
          <w:trHeight w:val="390"/>
          <w:jc w:val="center"/>
        </w:trPr>
        <w:tc>
          <w:tcPr>
            <w:cnfStyle w:val="001000000000" w:firstRow="0" w:lastRow="0" w:firstColumn="1" w:lastColumn="0" w:oddVBand="0" w:evenVBand="0" w:oddHBand="0" w:evenHBand="0" w:firstRowFirstColumn="0" w:firstRowLastColumn="0" w:lastRowFirstColumn="0" w:lastRowLastColumn="0"/>
            <w:tcW w:w="2950" w:type="dxa"/>
            <w:tcBorders>
              <w:right w:val="none" w:sz="0" w:space="0" w:color="auto"/>
            </w:tcBorders>
            <w:shd w:val="clear" w:color="auto" w:fill="auto"/>
            <w:hideMark/>
          </w:tcPr>
          <w:p w:rsidR="00E31D8C" w:rsidRPr="008B63F5" w:rsidRDefault="00E31D8C" w:rsidP="000533C7">
            <w:pPr>
              <w:jc w:val="center"/>
              <w:rPr>
                <w:rFonts w:ascii="Arial" w:eastAsia="Times New Roman" w:hAnsi="Arial" w:cs="Arial"/>
                <w:sz w:val="16"/>
                <w:szCs w:val="16"/>
              </w:rPr>
            </w:pPr>
            <w:r w:rsidRPr="008B63F5">
              <w:rPr>
                <w:rFonts w:ascii="Arial" w:eastAsia="Times New Roman" w:hAnsi="Arial" w:cs="Arial"/>
                <w:sz w:val="16"/>
                <w:szCs w:val="16"/>
              </w:rPr>
              <w:t>Biocasas Inteligentes</w:t>
            </w:r>
          </w:p>
        </w:tc>
        <w:tc>
          <w:tcPr>
            <w:tcW w:w="3354" w:type="dxa"/>
            <w:shd w:val="clear" w:color="auto" w:fill="auto"/>
            <w:hideMark/>
          </w:tcPr>
          <w:p w:rsidR="00E31D8C" w:rsidRPr="008B63F5"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8B63F5">
              <w:rPr>
                <w:rFonts w:ascii="Arial" w:eastAsia="Times New Roman" w:hAnsi="Arial" w:cs="Arial"/>
                <w:sz w:val="16"/>
                <w:szCs w:val="16"/>
              </w:rPr>
              <w:t>México, CDMX</w:t>
            </w:r>
          </w:p>
        </w:tc>
      </w:tr>
      <w:tr w:rsidR="00E31D8C" w:rsidRPr="008B63F5" w:rsidTr="000533C7">
        <w:trPr>
          <w:trHeight w:val="274"/>
          <w:jc w:val="center"/>
        </w:trPr>
        <w:tc>
          <w:tcPr>
            <w:cnfStyle w:val="001000000000" w:firstRow="0" w:lastRow="0" w:firstColumn="1" w:lastColumn="0" w:oddVBand="0" w:evenVBand="0" w:oddHBand="0" w:evenHBand="0" w:firstRowFirstColumn="0" w:firstRowLastColumn="0" w:lastRowFirstColumn="0" w:lastRowLastColumn="0"/>
            <w:tcW w:w="2950" w:type="dxa"/>
            <w:tcBorders>
              <w:right w:val="none" w:sz="0" w:space="0" w:color="auto"/>
            </w:tcBorders>
            <w:shd w:val="clear" w:color="auto" w:fill="auto"/>
            <w:hideMark/>
          </w:tcPr>
          <w:p w:rsidR="00E31D8C" w:rsidRPr="008B63F5" w:rsidRDefault="00E31D8C" w:rsidP="000533C7">
            <w:pPr>
              <w:jc w:val="center"/>
              <w:rPr>
                <w:rFonts w:ascii="Arial" w:eastAsia="Times New Roman" w:hAnsi="Arial" w:cs="Arial"/>
                <w:sz w:val="16"/>
                <w:szCs w:val="16"/>
              </w:rPr>
            </w:pPr>
            <w:r w:rsidRPr="008B63F5">
              <w:rPr>
                <w:rFonts w:ascii="Arial" w:eastAsia="Times New Roman" w:hAnsi="Arial" w:cs="Arial"/>
                <w:sz w:val="16"/>
                <w:szCs w:val="16"/>
              </w:rPr>
              <w:t>Invertúneles</w:t>
            </w:r>
          </w:p>
        </w:tc>
        <w:tc>
          <w:tcPr>
            <w:tcW w:w="3354" w:type="dxa"/>
            <w:shd w:val="clear" w:color="auto" w:fill="auto"/>
            <w:hideMark/>
          </w:tcPr>
          <w:p w:rsidR="00E31D8C" w:rsidRPr="008B63F5"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rPr>
            </w:pPr>
            <w:r w:rsidRPr="008B63F5">
              <w:rPr>
                <w:rFonts w:ascii="Arial" w:eastAsia="Times New Roman" w:hAnsi="Arial" w:cs="Arial"/>
                <w:sz w:val="16"/>
                <w:szCs w:val="16"/>
              </w:rPr>
              <w:t>Zamora, Michoacán</w:t>
            </w:r>
          </w:p>
        </w:tc>
      </w:tr>
      <w:tr w:rsidR="00E31D8C" w:rsidRPr="008B63F5" w:rsidTr="000533C7">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2950" w:type="dxa"/>
            <w:tcBorders>
              <w:right w:val="none" w:sz="0" w:space="0" w:color="auto"/>
            </w:tcBorders>
            <w:shd w:val="clear" w:color="auto" w:fill="auto"/>
            <w:hideMark/>
          </w:tcPr>
          <w:p w:rsidR="00E31D8C" w:rsidRPr="008B63F5" w:rsidRDefault="00E31D8C" w:rsidP="000533C7">
            <w:pPr>
              <w:jc w:val="center"/>
              <w:rPr>
                <w:rFonts w:ascii="Arial" w:eastAsia="Times New Roman" w:hAnsi="Arial" w:cs="Arial"/>
                <w:sz w:val="16"/>
                <w:szCs w:val="16"/>
              </w:rPr>
            </w:pPr>
            <w:r w:rsidRPr="008B63F5">
              <w:rPr>
                <w:rFonts w:ascii="Arial" w:eastAsia="Times New Roman" w:hAnsi="Arial" w:cs="Arial"/>
                <w:sz w:val="16"/>
                <w:szCs w:val="16"/>
              </w:rPr>
              <w:t>Juan Hernández Salas</w:t>
            </w:r>
          </w:p>
        </w:tc>
        <w:tc>
          <w:tcPr>
            <w:tcW w:w="3354" w:type="dxa"/>
            <w:shd w:val="clear" w:color="auto" w:fill="auto"/>
            <w:hideMark/>
          </w:tcPr>
          <w:p w:rsidR="00E31D8C" w:rsidRPr="008B63F5"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r w:rsidRPr="008B63F5">
              <w:rPr>
                <w:rFonts w:ascii="Arial" w:eastAsia="Times New Roman" w:hAnsi="Arial" w:cs="Arial"/>
                <w:sz w:val="16"/>
                <w:szCs w:val="16"/>
              </w:rPr>
              <w:t>-</w:t>
            </w:r>
          </w:p>
        </w:tc>
      </w:tr>
    </w:tbl>
    <w:p w:rsidR="00E31D8C" w:rsidRDefault="00E31D8C" w:rsidP="00E31D8C">
      <w:pPr>
        <w:spacing w:after="0" w:line="240" w:lineRule="auto"/>
        <w:ind w:firstLine="708"/>
        <w:jc w:val="both"/>
        <w:rPr>
          <w:rFonts w:ascii="Arial" w:hAnsi="Arial" w:cs="Arial"/>
          <w:sz w:val="24"/>
          <w:szCs w:val="24"/>
        </w:rPr>
      </w:pPr>
    </w:p>
    <w:p w:rsidR="00E31D8C" w:rsidRPr="00553BC3" w:rsidRDefault="00E31D8C" w:rsidP="00E31D8C">
      <w:pPr>
        <w:spacing w:after="0" w:line="240" w:lineRule="auto"/>
        <w:ind w:firstLine="708"/>
        <w:jc w:val="both"/>
        <w:rPr>
          <w:rFonts w:ascii="Arial" w:hAnsi="Arial" w:cs="Arial"/>
          <w:sz w:val="24"/>
          <w:szCs w:val="24"/>
        </w:rPr>
      </w:pPr>
      <w:r w:rsidRPr="00553BC3">
        <w:rPr>
          <w:rFonts w:ascii="Arial" w:hAnsi="Arial" w:cs="Arial"/>
          <w:sz w:val="24"/>
          <w:szCs w:val="24"/>
        </w:rPr>
        <w:t xml:space="preserve">Se realizó el estudio de mercado y de factibilidad económica, para posteriormente seleccionar el sitio </w:t>
      </w:r>
      <w:r>
        <w:rPr>
          <w:rFonts w:ascii="Arial" w:hAnsi="Arial" w:cs="Arial"/>
          <w:sz w:val="24"/>
          <w:szCs w:val="24"/>
        </w:rPr>
        <w:t xml:space="preserve">más </w:t>
      </w:r>
      <w:r w:rsidRPr="00553BC3">
        <w:rPr>
          <w:rFonts w:ascii="Arial" w:hAnsi="Arial" w:cs="Arial"/>
          <w:sz w:val="24"/>
          <w:szCs w:val="24"/>
        </w:rPr>
        <w:t>óptimo para ubicar la planta recicladora, considerando los estados con mayor potencial de acuerdo con la actividad agrícola con técnicas de agricultura protegida (tabla 2). La ubicación de plantas recicladoras y centros de acopio en el país complementó la información para la localización de la planta.</w:t>
      </w:r>
    </w:p>
    <w:p w:rsidR="00E31D8C" w:rsidRPr="00553BC3" w:rsidRDefault="00E31D8C" w:rsidP="00E31D8C">
      <w:pPr>
        <w:spacing w:after="0" w:line="240" w:lineRule="auto"/>
        <w:jc w:val="both"/>
        <w:rPr>
          <w:rFonts w:ascii="Arial" w:hAnsi="Arial" w:cs="Arial"/>
          <w:b/>
          <w:bCs/>
          <w:sz w:val="24"/>
          <w:szCs w:val="24"/>
        </w:rPr>
      </w:pPr>
    </w:p>
    <w:p w:rsidR="00E31D8C" w:rsidRPr="00186E94" w:rsidRDefault="00E31D8C" w:rsidP="00E31D8C">
      <w:pPr>
        <w:spacing w:after="0" w:line="240" w:lineRule="auto"/>
        <w:jc w:val="center"/>
        <w:rPr>
          <w:rFonts w:ascii="Times New Roman" w:hAnsi="Times New Roman" w:cs="Times New Roman"/>
          <w:i/>
          <w:iCs/>
          <w:sz w:val="20"/>
          <w:szCs w:val="20"/>
        </w:rPr>
      </w:pPr>
      <w:r w:rsidRPr="00186E94">
        <w:rPr>
          <w:rFonts w:ascii="Times New Roman" w:hAnsi="Times New Roman" w:cs="Times New Roman"/>
          <w:i/>
          <w:iCs/>
          <w:sz w:val="20"/>
          <w:szCs w:val="20"/>
        </w:rPr>
        <w:t xml:space="preserve">Tabla 2. Estudio de la generación de agroplásticos por el Centro de Investigaciones en Química Aplicada (CIQA) del 2008-2010 </w:t>
      </w:r>
      <w:r w:rsidRPr="008B63F5">
        <w:rPr>
          <w:rFonts w:ascii="Times New Roman" w:hAnsi="Times New Roman" w:cs="Times New Roman"/>
          <w:i/>
          <w:iCs/>
          <w:sz w:val="20"/>
          <w:szCs w:val="20"/>
          <w:vertAlign w:val="superscript"/>
        </w:rPr>
        <w:t>[5]</w:t>
      </w:r>
      <w:r>
        <w:rPr>
          <w:rFonts w:ascii="Times New Roman" w:hAnsi="Times New Roman" w:cs="Times New Roman"/>
          <w:i/>
          <w:iCs/>
          <w:sz w:val="20"/>
          <w:szCs w:val="20"/>
        </w:rPr>
        <w:t>.</w:t>
      </w:r>
    </w:p>
    <w:tbl>
      <w:tblPr>
        <w:tblStyle w:val="Tablanormal2"/>
        <w:tblW w:w="7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2283"/>
        <w:gridCol w:w="3138"/>
      </w:tblGrid>
      <w:tr w:rsidR="00E31D8C" w:rsidRPr="00186E94" w:rsidTr="000533C7">
        <w:trPr>
          <w:cnfStyle w:val="100000000000" w:firstRow="1" w:lastRow="0" w:firstColumn="0" w:lastColumn="0" w:oddVBand="0" w:evenVBand="0" w:oddHBand="0" w:evenHBand="0" w:firstRowFirstColumn="0" w:firstRowLastColumn="0" w:lastRowFirstColumn="0" w:lastRowLastColumn="0"/>
          <w:trHeight w:val="517"/>
          <w:jc w:val="center"/>
        </w:trPr>
        <w:tc>
          <w:tcPr>
            <w:cnfStyle w:val="001000000000" w:firstRow="0" w:lastRow="0" w:firstColumn="1" w:lastColumn="0" w:oddVBand="0" w:evenVBand="0" w:oddHBand="0" w:evenHBand="0" w:firstRowFirstColumn="0" w:firstRowLastColumn="0" w:lastRowFirstColumn="0" w:lastRowLastColumn="0"/>
            <w:tcW w:w="2284" w:type="dxa"/>
            <w:tcBorders>
              <w:bottom w:val="none" w:sz="0" w:space="0" w:color="auto"/>
            </w:tcBorders>
          </w:tcPr>
          <w:p w:rsidR="00E31D8C" w:rsidRPr="00186E94" w:rsidRDefault="00E31D8C" w:rsidP="000533C7">
            <w:pPr>
              <w:jc w:val="center"/>
              <w:rPr>
                <w:rFonts w:ascii="Arial" w:hAnsi="Arial" w:cs="Arial"/>
                <w:sz w:val="16"/>
                <w:szCs w:val="16"/>
              </w:rPr>
            </w:pPr>
            <w:r w:rsidRPr="00186E94">
              <w:rPr>
                <w:rFonts w:ascii="Arial" w:hAnsi="Arial" w:cs="Arial"/>
                <w:sz w:val="16"/>
                <w:szCs w:val="16"/>
              </w:rPr>
              <w:t>Estado</w:t>
            </w:r>
          </w:p>
        </w:tc>
        <w:tc>
          <w:tcPr>
            <w:tcW w:w="2283" w:type="dxa"/>
            <w:tcBorders>
              <w:bottom w:val="none" w:sz="0" w:space="0" w:color="auto"/>
            </w:tcBorders>
          </w:tcPr>
          <w:p w:rsidR="00E31D8C" w:rsidRPr="00186E94" w:rsidRDefault="00E31D8C" w:rsidP="000533C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186E94">
              <w:rPr>
                <w:rFonts w:ascii="Arial" w:hAnsi="Arial" w:cs="Arial"/>
                <w:sz w:val="16"/>
                <w:szCs w:val="16"/>
              </w:rPr>
              <w:t>Superficie con Agricultura Protegida (Ha)</w:t>
            </w:r>
          </w:p>
        </w:tc>
        <w:tc>
          <w:tcPr>
            <w:tcW w:w="3138" w:type="dxa"/>
            <w:tcBorders>
              <w:bottom w:val="none" w:sz="0" w:space="0" w:color="auto"/>
            </w:tcBorders>
          </w:tcPr>
          <w:p w:rsidR="00E31D8C" w:rsidRPr="00186E94" w:rsidRDefault="00E31D8C" w:rsidP="000533C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186E94">
              <w:rPr>
                <w:rFonts w:ascii="Arial" w:hAnsi="Arial" w:cs="Arial"/>
                <w:sz w:val="16"/>
                <w:szCs w:val="16"/>
              </w:rPr>
              <w:t>Residuos agroplásticos generados/año (</w:t>
            </w:r>
            <w:r>
              <w:rPr>
                <w:rFonts w:ascii="Arial" w:hAnsi="Arial" w:cs="Arial"/>
                <w:sz w:val="16"/>
                <w:szCs w:val="16"/>
              </w:rPr>
              <w:t>t</w:t>
            </w:r>
            <w:r w:rsidRPr="00186E94">
              <w:rPr>
                <w:rFonts w:ascii="Arial" w:hAnsi="Arial" w:cs="Arial"/>
                <w:sz w:val="16"/>
                <w:szCs w:val="16"/>
              </w:rPr>
              <w:t>)</w:t>
            </w:r>
          </w:p>
        </w:tc>
      </w:tr>
      <w:tr w:rsidR="00E31D8C" w:rsidRPr="00186E94" w:rsidTr="000533C7">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2284" w:type="dxa"/>
            <w:tcBorders>
              <w:top w:val="none" w:sz="0" w:space="0" w:color="auto"/>
              <w:bottom w:val="none" w:sz="0" w:space="0" w:color="auto"/>
            </w:tcBorders>
          </w:tcPr>
          <w:p w:rsidR="00E31D8C" w:rsidRPr="00186E94" w:rsidRDefault="00E31D8C" w:rsidP="000533C7">
            <w:pPr>
              <w:jc w:val="center"/>
              <w:rPr>
                <w:rFonts w:ascii="Arial" w:hAnsi="Arial" w:cs="Arial"/>
                <w:b w:val="0"/>
                <w:sz w:val="16"/>
                <w:szCs w:val="16"/>
              </w:rPr>
            </w:pPr>
            <w:r w:rsidRPr="00186E94">
              <w:rPr>
                <w:rFonts w:ascii="Arial" w:hAnsi="Arial" w:cs="Arial"/>
                <w:b w:val="0"/>
                <w:sz w:val="16"/>
                <w:szCs w:val="16"/>
              </w:rPr>
              <w:t>Jalisco</w:t>
            </w:r>
          </w:p>
        </w:tc>
        <w:tc>
          <w:tcPr>
            <w:tcW w:w="2283" w:type="dxa"/>
            <w:tcBorders>
              <w:top w:val="none" w:sz="0" w:space="0" w:color="auto"/>
              <w:bottom w:val="none" w:sz="0" w:space="0" w:color="auto"/>
            </w:tcBorders>
          </w:tcPr>
          <w:p w:rsidR="00E31D8C" w:rsidRPr="00186E94"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186E94">
              <w:rPr>
                <w:rFonts w:ascii="Arial" w:hAnsi="Arial" w:cs="Arial"/>
                <w:sz w:val="16"/>
                <w:szCs w:val="16"/>
              </w:rPr>
              <w:t>12,034</w:t>
            </w:r>
          </w:p>
        </w:tc>
        <w:tc>
          <w:tcPr>
            <w:tcW w:w="3138" w:type="dxa"/>
            <w:tcBorders>
              <w:top w:val="none" w:sz="0" w:space="0" w:color="auto"/>
              <w:bottom w:val="none" w:sz="0" w:space="0" w:color="auto"/>
            </w:tcBorders>
          </w:tcPr>
          <w:p w:rsidR="00E31D8C" w:rsidRPr="00186E94"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186E94">
              <w:rPr>
                <w:rFonts w:ascii="Arial" w:hAnsi="Arial" w:cs="Arial"/>
                <w:sz w:val="16"/>
                <w:szCs w:val="16"/>
              </w:rPr>
              <w:t>5,155.6</w:t>
            </w:r>
          </w:p>
        </w:tc>
      </w:tr>
      <w:tr w:rsidR="00E31D8C" w:rsidRPr="00186E94" w:rsidTr="000533C7">
        <w:trPr>
          <w:trHeight w:val="232"/>
          <w:jc w:val="center"/>
        </w:trPr>
        <w:tc>
          <w:tcPr>
            <w:cnfStyle w:val="001000000000" w:firstRow="0" w:lastRow="0" w:firstColumn="1" w:lastColumn="0" w:oddVBand="0" w:evenVBand="0" w:oddHBand="0" w:evenHBand="0" w:firstRowFirstColumn="0" w:firstRowLastColumn="0" w:lastRowFirstColumn="0" w:lastRowLastColumn="0"/>
            <w:tcW w:w="2284" w:type="dxa"/>
          </w:tcPr>
          <w:p w:rsidR="00E31D8C" w:rsidRPr="00186E94" w:rsidRDefault="00E31D8C" w:rsidP="000533C7">
            <w:pPr>
              <w:jc w:val="center"/>
              <w:rPr>
                <w:rFonts w:ascii="Arial" w:hAnsi="Arial" w:cs="Arial"/>
                <w:b w:val="0"/>
                <w:sz w:val="16"/>
                <w:szCs w:val="16"/>
              </w:rPr>
            </w:pPr>
            <w:r w:rsidRPr="00186E94">
              <w:rPr>
                <w:rFonts w:ascii="Arial" w:hAnsi="Arial" w:cs="Arial"/>
                <w:b w:val="0"/>
                <w:sz w:val="16"/>
                <w:szCs w:val="16"/>
              </w:rPr>
              <w:t>Baja California</w:t>
            </w:r>
          </w:p>
        </w:tc>
        <w:tc>
          <w:tcPr>
            <w:tcW w:w="2283" w:type="dxa"/>
          </w:tcPr>
          <w:p w:rsidR="00E31D8C" w:rsidRPr="00186E94"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186E94">
              <w:rPr>
                <w:rFonts w:ascii="Arial" w:hAnsi="Arial" w:cs="Arial"/>
                <w:sz w:val="16"/>
                <w:szCs w:val="16"/>
              </w:rPr>
              <w:t>34,200</w:t>
            </w:r>
          </w:p>
        </w:tc>
        <w:tc>
          <w:tcPr>
            <w:tcW w:w="3138" w:type="dxa"/>
          </w:tcPr>
          <w:p w:rsidR="00E31D8C" w:rsidRPr="00186E94"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186E94">
              <w:rPr>
                <w:rFonts w:ascii="Arial" w:hAnsi="Arial" w:cs="Arial"/>
                <w:sz w:val="16"/>
                <w:szCs w:val="16"/>
              </w:rPr>
              <w:t>13,108.4</w:t>
            </w:r>
          </w:p>
        </w:tc>
      </w:tr>
      <w:tr w:rsidR="00E31D8C" w:rsidRPr="00186E94" w:rsidTr="000533C7">
        <w:trPr>
          <w:cnfStyle w:val="000000100000" w:firstRow="0" w:lastRow="0" w:firstColumn="0" w:lastColumn="0" w:oddVBand="0" w:evenVBand="0" w:oddHBand="1" w:evenHBand="0" w:firstRowFirstColumn="0" w:firstRowLastColumn="0" w:lastRowFirstColumn="0" w:lastRowLastColumn="0"/>
          <w:trHeight w:val="232"/>
          <w:jc w:val="center"/>
        </w:trPr>
        <w:tc>
          <w:tcPr>
            <w:cnfStyle w:val="001000000000" w:firstRow="0" w:lastRow="0" w:firstColumn="1" w:lastColumn="0" w:oddVBand="0" w:evenVBand="0" w:oddHBand="0" w:evenHBand="0" w:firstRowFirstColumn="0" w:firstRowLastColumn="0" w:lastRowFirstColumn="0" w:lastRowLastColumn="0"/>
            <w:tcW w:w="2284" w:type="dxa"/>
            <w:tcBorders>
              <w:top w:val="none" w:sz="0" w:space="0" w:color="auto"/>
              <w:bottom w:val="none" w:sz="0" w:space="0" w:color="auto"/>
            </w:tcBorders>
          </w:tcPr>
          <w:p w:rsidR="00E31D8C" w:rsidRPr="00186E94" w:rsidRDefault="00E31D8C" w:rsidP="000533C7">
            <w:pPr>
              <w:jc w:val="center"/>
              <w:rPr>
                <w:rFonts w:ascii="Arial" w:hAnsi="Arial" w:cs="Arial"/>
                <w:b w:val="0"/>
                <w:sz w:val="16"/>
                <w:szCs w:val="16"/>
              </w:rPr>
            </w:pPr>
            <w:r w:rsidRPr="00186E94">
              <w:rPr>
                <w:rFonts w:ascii="Arial" w:hAnsi="Arial" w:cs="Arial"/>
                <w:b w:val="0"/>
                <w:sz w:val="16"/>
                <w:szCs w:val="16"/>
              </w:rPr>
              <w:t>Baja California Sur</w:t>
            </w:r>
          </w:p>
        </w:tc>
        <w:tc>
          <w:tcPr>
            <w:tcW w:w="2283" w:type="dxa"/>
            <w:tcBorders>
              <w:top w:val="none" w:sz="0" w:space="0" w:color="auto"/>
              <w:bottom w:val="none" w:sz="0" w:space="0" w:color="auto"/>
            </w:tcBorders>
          </w:tcPr>
          <w:p w:rsidR="00E31D8C" w:rsidRPr="00186E94"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186E94">
              <w:rPr>
                <w:rFonts w:ascii="Arial" w:hAnsi="Arial" w:cs="Arial"/>
                <w:sz w:val="16"/>
                <w:szCs w:val="16"/>
              </w:rPr>
              <w:t>10,570</w:t>
            </w:r>
          </w:p>
        </w:tc>
        <w:tc>
          <w:tcPr>
            <w:tcW w:w="3138" w:type="dxa"/>
            <w:tcBorders>
              <w:top w:val="none" w:sz="0" w:space="0" w:color="auto"/>
              <w:bottom w:val="none" w:sz="0" w:space="0" w:color="auto"/>
            </w:tcBorders>
          </w:tcPr>
          <w:p w:rsidR="00E31D8C" w:rsidRPr="00186E94"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186E94">
              <w:rPr>
                <w:rFonts w:ascii="Arial" w:hAnsi="Arial" w:cs="Arial"/>
                <w:sz w:val="16"/>
                <w:szCs w:val="16"/>
              </w:rPr>
              <w:t>4,434.2</w:t>
            </w:r>
          </w:p>
        </w:tc>
      </w:tr>
      <w:tr w:rsidR="00E31D8C" w:rsidRPr="00186E94" w:rsidTr="000533C7">
        <w:trPr>
          <w:trHeight w:val="239"/>
          <w:jc w:val="center"/>
        </w:trPr>
        <w:tc>
          <w:tcPr>
            <w:cnfStyle w:val="001000000000" w:firstRow="0" w:lastRow="0" w:firstColumn="1" w:lastColumn="0" w:oddVBand="0" w:evenVBand="0" w:oddHBand="0" w:evenHBand="0" w:firstRowFirstColumn="0" w:firstRowLastColumn="0" w:lastRowFirstColumn="0" w:lastRowLastColumn="0"/>
            <w:tcW w:w="2284" w:type="dxa"/>
          </w:tcPr>
          <w:p w:rsidR="00E31D8C" w:rsidRPr="00186E94" w:rsidRDefault="00E31D8C" w:rsidP="000533C7">
            <w:pPr>
              <w:jc w:val="center"/>
              <w:rPr>
                <w:rFonts w:ascii="Arial" w:hAnsi="Arial" w:cs="Arial"/>
                <w:b w:val="0"/>
                <w:sz w:val="16"/>
                <w:szCs w:val="16"/>
              </w:rPr>
            </w:pPr>
            <w:r w:rsidRPr="00186E94">
              <w:rPr>
                <w:rFonts w:ascii="Arial" w:hAnsi="Arial" w:cs="Arial"/>
                <w:b w:val="0"/>
                <w:sz w:val="16"/>
                <w:szCs w:val="16"/>
              </w:rPr>
              <w:t>Guanajuato</w:t>
            </w:r>
          </w:p>
        </w:tc>
        <w:tc>
          <w:tcPr>
            <w:tcW w:w="2283" w:type="dxa"/>
          </w:tcPr>
          <w:p w:rsidR="00E31D8C" w:rsidRPr="00186E94"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186E94">
              <w:rPr>
                <w:rFonts w:ascii="Arial" w:hAnsi="Arial" w:cs="Arial"/>
                <w:sz w:val="16"/>
                <w:szCs w:val="16"/>
              </w:rPr>
              <w:t>805.5</w:t>
            </w:r>
          </w:p>
        </w:tc>
        <w:tc>
          <w:tcPr>
            <w:tcW w:w="3138" w:type="dxa"/>
          </w:tcPr>
          <w:p w:rsidR="00E31D8C" w:rsidRPr="00186E94"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186E94">
              <w:rPr>
                <w:rFonts w:ascii="Arial" w:hAnsi="Arial" w:cs="Arial"/>
                <w:sz w:val="16"/>
                <w:szCs w:val="16"/>
              </w:rPr>
              <w:t>2,091.43</w:t>
            </w:r>
          </w:p>
        </w:tc>
      </w:tr>
      <w:tr w:rsidR="00E31D8C" w:rsidRPr="00186E94" w:rsidTr="000533C7">
        <w:trPr>
          <w:cnfStyle w:val="000000100000" w:firstRow="0" w:lastRow="0" w:firstColumn="0" w:lastColumn="0" w:oddVBand="0" w:evenVBand="0" w:oddHBand="1" w:evenHBand="0" w:firstRowFirstColumn="0" w:firstRowLastColumn="0" w:lastRowFirstColumn="0" w:lastRowLastColumn="0"/>
          <w:trHeight w:val="232"/>
          <w:jc w:val="center"/>
        </w:trPr>
        <w:tc>
          <w:tcPr>
            <w:cnfStyle w:val="001000000000" w:firstRow="0" w:lastRow="0" w:firstColumn="1" w:lastColumn="0" w:oddVBand="0" w:evenVBand="0" w:oddHBand="0" w:evenHBand="0" w:firstRowFirstColumn="0" w:firstRowLastColumn="0" w:lastRowFirstColumn="0" w:lastRowLastColumn="0"/>
            <w:tcW w:w="2284" w:type="dxa"/>
            <w:tcBorders>
              <w:top w:val="none" w:sz="0" w:space="0" w:color="auto"/>
              <w:bottom w:val="none" w:sz="0" w:space="0" w:color="auto"/>
            </w:tcBorders>
          </w:tcPr>
          <w:p w:rsidR="00E31D8C" w:rsidRPr="00186E94" w:rsidRDefault="00E31D8C" w:rsidP="000533C7">
            <w:pPr>
              <w:jc w:val="center"/>
              <w:rPr>
                <w:rFonts w:ascii="Arial" w:hAnsi="Arial" w:cs="Arial"/>
                <w:b w:val="0"/>
                <w:sz w:val="16"/>
                <w:szCs w:val="16"/>
              </w:rPr>
            </w:pPr>
            <w:r w:rsidRPr="00186E94">
              <w:rPr>
                <w:rFonts w:ascii="Arial" w:hAnsi="Arial" w:cs="Arial"/>
                <w:b w:val="0"/>
                <w:sz w:val="16"/>
                <w:szCs w:val="16"/>
              </w:rPr>
              <w:t>Estado de México</w:t>
            </w:r>
          </w:p>
        </w:tc>
        <w:tc>
          <w:tcPr>
            <w:tcW w:w="2283" w:type="dxa"/>
            <w:tcBorders>
              <w:top w:val="none" w:sz="0" w:space="0" w:color="auto"/>
              <w:bottom w:val="none" w:sz="0" w:space="0" w:color="auto"/>
            </w:tcBorders>
          </w:tcPr>
          <w:p w:rsidR="00E31D8C" w:rsidRPr="00186E94"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186E94">
              <w:rPr>
                <w:rFonts w:ascii="Arial" w:hAnsi="Arial" w:cs="Arial"/>
                <w:sz w:val="16"/>
                <w:szCs w:val="16"/>
              </w:rPr>
              <w:t>2,765</w:t>
            </w:r>
          </w:p>
        </w:tc>
        <w:tc>
          <w:tcPr>
            <w:tcW w:w="3138" w:type="dxa"/>
            <w:tcBorders>
              <w:top w:val="none" w:sz="0" w:space="0" w:color="auto"/>
              <w:bottom w:val="none" w:sz="0" w:space="0" w:color="auto"/>
            </w:tcBorders>
          </w:tcPr>
          <w:p w:rsidR="00E31D8C" w:rsidRPr="00186E94"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186E94">
              <w:rPr>
                <w:rFonts w:ascii="Arial" w:hAnsi="Arial" w:cs="Arial"/>
                <w:sz w:val="16"/>
                <w:szCs w:val="16"/>
              </w:rPr>
              <w:t>3,066.9</w:t>
            </w:r>
          </w:p>
        </w:tc>
      </w:tr>
      <w:tr w:rsidR="00E31D8C" w:rsidRPr="00186E94" w:rsidTr="000533C7">
        <w:trPr>
          <w:trHeight w:val="232"/>
          <w:jc w:val="center"/>
        </w:trPr>
        <w:tc>
          <w:tcPr>
            <w:cnfStyle w:val="001000000000" w:firstRow="0" w:lastRow="0" w:firstColumn="1" w:lastColumn="0" w:oddVBand="0" w:evenVBand="0" w:oddHBand="0" w:evenHBand="0" w:firstRowFirstColumn="0" w:firstRowLastColumn="0" w:lastRowFirstColumn="0" w:lastRowLastColumn="0"/>
            <w:tcW w:w="2284" w:type="dxa"/>
          </w:tcPr>
          <w:p w:rsidR="00E31D8C" w:rsidRPr="00186E94" w:rsidRDefault="00E31D8C" w:rsidP="000533C7">
            <w:pPr>
              <w:jc w:val="center"/>
              <w:rPr>
                <w:rFonts w:ascii="Arial" w:hAnsi="Arial" w:cs="Arial"/>
                <w:b w:val="0"/>
                <w:sz w:val="16"/>
                <w:szCs w:val="16"/>
              </w:rPr>
            </w:pPr>
            <w:r w:rsidRPr="00186E94">
              <w:rPr>
                <w:rFonts w:ascii="Arial" w:hAnsi="Arial" w:cs="Arial"/>
                <w:b w:val="0"/>
                <w:sz w:val="16"/>
                <w:szCs w:val="16"/>
              </w:rPr>
              <w:t>Sinaloa</w:t>
            </w:r>
          </w:p>
        </w:tc>
        <w:tc>
          <w:tcPr>
            <w:tcW w:w="2283" w:type="dxa"/>
          </w:tcPr>
          <w:p w:rsidR="00E31D8C" w:rsidRPr="00186E94"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186E94">
              <w:rPr>
                <w:rFonts w:ascii="Arial" w:hAnsi="Arial" w:cs="Arial"/>
                <w:sz w:val="16"/>
                <w:szCs w:val="16"/>
              </w:rPr>
              <w:t>31,480</w:t>
            </w:r>
          </w:p>
        </w:tc>
        <w:tc>
          <w:tcPr>
            <w:tcW w:w="3138" w:type="dxa"/>
          </w:tcPr>
          <w:p w:rsidR="00E31D8C" w:rsidRPr="00186E94"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186E94">
              <w:rPr>
                <w:rFonts w:ascii="Arial" w:hAnsi="Arial" w:cs="Arial"/>
                <w:sz w:val="16"/>
                <w:szCs w:val="16"/>
              </w:rPr>
              <w:t>10,513.6</w:t>
            </w:r>
          </w:p>
        </w:tc>
      </w:tr>
      <w:tr w:rsidR="00E31D8C" w:rsidRPr="00186E94" w:rsidTr="000533C7">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2284" w:type="dxa"/>
            <w:tcBorders>
              <w:top w:val="none" w:sz="0" w:space="0" w:color="auto"/>
              <w:bottom w:val="none" w:sz="0" w:space="0" w:color="auto"/>
            </w:tcBorders>
          </w:tcPr>
          <w:p w:rsidR="00E31D8C" w:rsidRPr="00186E94" w:rsidRDefault="00E31D8C" w:rsidP="000533C7">
            <w:pPr>
              <w:jc w:val="center"/>
              <w:rPr>
                <w:rFonts w:ascii="Arial" w:hAnsi="Arial" w:cs="Arial"/>
                <w:b w:val="0"/>
                <w:sz w:val="16"/>
                <w:szCs w:val="16"/>
              </w:rPr>
            </w:pPr>
            <w:r w:rsidRPr="00186E94">
              <w:rPr>
                <w:rFonts w:ascii="Arial" w:hAnsi="Arial" w:cs="Arial"/>
                <w:b w:val="0"/>
                <w:sz w:val="16"/>
                <w:szCs w:val="16"/>
              </w:rPr>
              <w:t>Chiapas</w:t>
            </w:r>
          </w:p>
        </w:tc>
        <w:tc>
          <w:tcPr>
            <w:tcW w:w="2283" w:type="dxa"/>
            <w:tcBorders>
              <w:top w:val="none" w:sz="0" w:space="0" w:color="auto"/>
              <w:bottom w:val="none" w:sz="0" w:space="0" w:color="auto"/>
            </w:tcBorders>
          </w:tcPr>
          <w:p w:rsidR="00E31D8C" w:rsidRPr="00186E94"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186E94">
              <w:rPr>
                <w:rFonts w:ascii="Arial" w:hAnsi="Arial" w:cs="Arial"/>
                <w:sz w:val="16"/>
                <w:szCs w:val="16"/>
              </w:rPr>
              <w:t>1,713.36</w:t>
            </w:r>
          </w:p>
        </w:tc>
        <w:tc>
          <w:tcPr>
            <w:tcW w:w="3138" w:type="dxa"/>
            <w:tcBorders>
              <w:top w:val="none" w:sz="0" w:space="0" w:color="auto"/>
              <w:bottom w:val="none" w:sz="0" w:space="0" w:color="auto"/>
            </w:tcBorders>
          </w:tcPr>
          <w:p w:rsidR="00E31D8C" w:rsidRPr="00186E94"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186E94">
              <w:rPr>
                <w:rFonts w:ascii="Arial" w:hAnsi="Arial" w:cs="Arial"/>
                <w:sz w:val="16"/>
                <w:szCs w:val="16"/>
              </w:rPr>
              <w:t>3,604.35</w:t>
            </w:r>
          </w:p>
        </w:tc>
      </w:tr>
      <w:tr w:rsidR="00E31D8C" w:rsidRPr="00186E94" w:rsidTr="000533C7">
        <w:trPr>
          <w:trHeight w:val="239"/>
          <w:jc w:val="center"/>
        </w:trPr>
        <w:tc>
          <w:tcPr>
            <w:cnfStyle w:val="001000000000" w:firstRow="0" w:lastRow="0" w:firstColumn="1" w:lastColumn="0" w:oddVBand="0" w:evenVBand="0" w:oddHBand="0" w:evenHBand="0" w:firstRowFirstColumn="0" w:firstRowLastColumn="0" w:lastRowFirstColumn="0" w:lastRowLastColumn="0"/>
            <w:tcW w:w="2284" w:type="dxa"/>
          </w:tcPr>
          <w:p w:rsidR="00E31D8C" w:rsidRPr="00186E94" w:rsidRDefault="00E31D8C" w:rsidP="000533C7">
            <w:pPr>
              <w:jc w:val="center"/>
              <w:rPr>
                <w:rFonts w:ascii="Arial" w:hAnsi="Arial" w:cs="Arial"/>
                <w:b w:val="0"/>
                <w:sz w:val="16"/>
                <w:szCs w:val="16"/>
              </w:rPr>
            </w:pPr>
            <w:r w:rsidRPr="00186E94">
              <w:rPr>
                <w:rFonts w:ascii="Arial" w:hAnsi="Arial" w:cs="Arial"/>
                <w:b w:val="0"/>
                <w:sz w:val="16"/>
                <w:szCs w:val="16"/>
              </w:rPr>
              <w:t>Michoacán</w:t>
            </w:r>
          </w:p>
        </w:tc>
        <w:tc>
          <w:tcPr>
            <w:tcW w:w="2283" w:type="dxa"/>
          </w:tcPr>
          <w:p w:rsidR="00E31D8C" w:rsidRPr="00186E94"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186E94">
              <w:rPr>
                <w:rFonts w:ascii="Arial" w:hAnsi="Arial" w:cs="Arial"/>
                <w:sz w:val="16"/>
                <w:szCs w:val="16"/>
              </w:rPr>
              <w:t>7,217.39</w:t>
            </w:r>
          </w:p>
        </w:tc>
        <w:tc>
          <w:tcPr>
            <w:tcW w:w="3138" w:type="dxa"/>
          </w:tcPr>
          <w:p w:rsidR="00E31D8C" w:rsidRPr="00186E94"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186E94">
              <w:rPr>
                <w:rFonts w:ascii="Arial" w:hAnsi="Arial" w:cs="Arial"/>
                <w:sz w:val="16"/>
                <w:szCs w:val="16"/>
              </w:rPr>
              <w:t>4,541.02</w:t>
            </w:r>
          </w:p>
        </w:tc>
      </w:tr>
      <w:tr w:rsidR="00E31D8C" w:rsidRPr="00186E94" w:rsidTr="000533C7">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2284" w:type="dxa"/>
            <w:tcBorders>
              <w:top w:val="none" w:sz="0" w:space="0" w:color="auto"/>
              <w:bottom w:val="none" w:sz="0" w:space="0" w:color="auto"/>
            </w:tcBorders>
          </w:tcPr>
          <w:p w:rsidR="00E31D8C" w:rsidRPr="00186E94" w:rsidRDefault="00E31D8C" w:rsidP="000533C7">
            <w:pPr>
              <w:jc w:val="center"/>
              <w:rPr>
                <w:rFonts w:ascii="Arial" w:hAnsi="Arial" w:cs="Arial"/>
                <w:b w:val="0"/>
                <w:sz w:val="16"/>
                <w:szCs w:val="16"/>
              </w:rPr>
            </w:pPr>
            <w:r w:rsidRPr="00186E94">
              <w:rPr>
                <w:rFonts w:ascii="Arial" w:hAnsi="Arial" w:cs="Arial"/>
                <w:b w:val="0"/>
                <w:sz w:val="16"/>
                <w:szCs w:val="16"/>
              </w:rPr>
              <w:t>Puebla</w:t>
            </w:r>
          </w:p>
        </w:tc>
        <w:tc>
          <w:tcPr>
            <w:tcW w:w="2283" w:type="dxa"/>
            <w:tcBorders>
              <w:top w:val="none" w:sz="0" w:space="0" w:color="auto"/>
              <w:bottom w:val="none" w:sz="0" w:space="0" w:color="auto"/>
            </w:tcBorders>
          </w:tcPr>
          <w:p w:rsidR="00E31D8C" w:rsidRPr="00186E94"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186E94">
              <w:rPr>
                <w:rFonts w:ascii="Arial" w:hAnsi="Arial" w:cs="Arial"/>
                <w:sz w:val="16"/>
                <w:szCs w:val="16"/>
              </w:rPr>
              <w:t>491.65</w:t>
            </w:r>
          </w:p>
        </w:tc>
        <w:tc>
          <w:tcPr>
            <w:tcW w:w="3138" w:type="dxa"/>
            <w:tcBorders>
              <w:top w:val="none" w:sz="0" w:space="0" w:color="auto"/>
              <w:bottom w:val="none" w:sz="0" w:space="0" w:color="auto"/>
            </w:tcBorders>
          </w:tcPr>
          <w:p w:rsidR="00E31D8C" w:rsidRPr="00186E94"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186E94">
              <w:rPr>
                <w:rFonts w:ascii="Arial" w:hAnsi="Arial" w:cs="Arial"/>
                <w:sz w:val="16"/>
                <w:szCs w:val="16"/>
              </w:rPr>
              <w:t>582.39</w:t>
            </w:r>
          </w:p>
        </w:tc>
      </w:tr>
      <w:tr w:rsidR="00E31D8C" w:rsidRPr="00186E94" w:rsidTr="000533C7">
        <w:trPr>
          <w:trHeight w:val="278"/>
          <w:jc w:val="center"/>
        </w:trPr>
        <w:tc>
          <w:tcPr>
            <w:cnfStyle w:val="001000000000" w:firstRow="0" w:lastRow="0" w:firstColumn="1" w:lastColumn="0" w:oddVBand="0" w:evenVBand="0" w:oddHBand="0" w:evenHBand="0" w:firstRowFirstColumn="0" w:firstRowLastColumn="0" w:lastRowFirstColumn="0" w:lastRowLastColumn="0"/>
            <w:tcW w:w="2284" w:type="dxa"/>
          </w:tcPr>
          <w:p w:rsidR="00E31D8C" w:rsidRPr="00186E94" w:rsidRDefault="00E31D8C" w:rsidP="000533C7">
            <w:pPr>
              <w:jc w:val="center"/>
              <w:rPr>
                <w:rFonts w:ascii="Arial" w:hAnsi="Arial" w:cs="Arial"/>
                <w:b w:val="0"/>
                <w:sz w:val="16"/>
                <w:szCs w:val="16"/>
              </w:rPr>
            </w:pPr>
            <w:r w:rsidRPr="00186E94">
              <w:rPr>
                <w:rFonts w:ascii="Arial" w:hAnsi="Arial" w:cs="Arial"/>
                <w:b w:val="0"/>
                <w:sz w:val="16"/>
                <w:szCs w:val="16"/>
              </w:rPr>
              <w:t>Sonora</w:t>
            </w:r>
          </w:p>
        </w:tc>
        <w:tc>
          <w:tcPr>
            <w:tcW w:w="2283" w:type="dxa"/>
          </w:tcPr>
          <w:p w:rsidR="00E31D8C" w:rsidRPr="00186E94"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186E94">
              <w:rPr>
                <w:rFonts w:ascii="Arial" w:hAnsi="Arial" w:cs="Arial"/>
                <w:sz w:val="16"/>
                <w:szCs w:val="16"/>
              </w:rPr>
              <w:t>2,233.35</w:t>
            </w:r>
          </w:p>
        </w:tc>
        <w:tc>
          <w:tcPr>
            <w:tcW w:w="3138" w:type="dxa"/>
          </w:tcPr>
          <w:p w:rsidR="00E31D8C" w:rsidRPr="00186E94"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186E94">
              <w:rPr>
                <w:rFonts w:ascii="Arial" w:hAnsi="Arial" w:cs="Arial"/>
                <w:sz w:val="16"/>
                <w:szCs w:val="16"/>
              </w:rPr>
              <w:t>1,135.66</w:t>
            </w:r>
          </w:p>
        </w:tc>
      </w:tr>
      <w:tr w:rsidR="00E31D8C" w:rsidRPr="00186E94" w:rsidTr="000533C7">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2284" w:type="dxa"/>
            <w:tcBorders>
              <w:top w:val="none" w:sz="0" w:space="0" w:color="auto"/>
              <w:bottom w:val="none" w:sz="0" w:space="0" w:color="auto"/>
            </w:tcBorders>
          </w:tcPr>
          <w:p w:rsidR="00E31D8C" w:rsidRPr="00186E94" w:rsidRDefault="00E31D8C" w:rsidP="000533C7">
            <w:pPr>
              <w:jc w:val="center"/>
              <w:rPr>
                <w:rFonts w:ascii="Arial" w:hAnsi="Arial" w:cs="Arial"/>
                <w:b w:val="0"/>
                <w:sz w:val="16"/>
                <w:szCs w:val="16"/>
              </w:rPr>
            </w:pPr>
            <w:r w:rsidRPr="00186E94">
              <w:rPr>
                <w:rFonts w:ascii="Arial" w:hAnsi="Arial" w:cs="Arial"/>
                <w:b w:val="0"/>
                <w:sz w:val="16"/>
                <w:szCs w:val="16"/>
              </w:rPr>
              <w:t>Zacatecas</w:t>
            </w:r>
          </w:p>
        </w:tc>
        <w:tc>
          <w:tcPr>
            <w:tcW w:w="2283" w:type="dxa"/>
            <w:tcBorders>
              <w:top w:val="none" w:sz="0" w:space="0" w:color="auto"/>
              <w:bottom w:val="none" w:sz="0" w:space="0" w:color="auto"/>
            </w:tcBorders>
          </w:tcPr>
          <w:p w:rsidR="00E31D8C" w:rsidRPr="00186E94"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186E94">
              <w:rPr>
                <w:rFonts w:ascii="Arial" w:hAnsi="Arial" w:cs="Arial"/>
                <w:sz w:val="16"/>
                <w:szCs w:val="16"/>
              </w:rPr>
              <w:t>1,992.85</w:t>
            </w:r>
          </w:p>
        </w:tc>
        <w:tc>
          <w:tcPr>
            <w:tcW w:w="3138" w:type="dxa"/>
            <w:tcBorders>
              <w:top w:val="none" w:sz="0" w:space="0" w:color="auto"/>
              <w:bottom w:val="none" w:sz="0" w:space="0" w:color="auto"/>
            </w:tcBorders>
          </w:tcPr>
          <w:p w:rsidR="00E31D8C" w:rsidRPr="00186E94"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186E94">
              <w:rPr>
                <w:rFonts w:ascii="Arial" w:hAnsi="Arial" w:cs="Arial"/>
                <w:sz w:val="16"/>
                <w:szCs w:val="16"/>
              </w:rPr>
              <w:t>1,424.08</w:t>
            </w:r>
          </w:p>
        </w:tc>
      </w:tr>
      <w:tr w:rsidR="00E31D8C" w:rsidRPr="00186E94" w:rsidTr="000533C7">
        <w:trPr>
          <w:trHeight w:val="133"/>
          <w:jc w:val="center"/>
        </w:trPr>
        <w:tc>
          <w:tcPr>
            <w:cnfStyle w:val="001000000000" w:firstRow="0" w:lastRow="0" w:firstColumn="1" w:lastColumn="0" w:oddVBand="0" w:evenVBand="0" w:oddHBand="0" w:evenHBand="0" w:firstRowFirstColumn="0" w:firstRowLastColumn="0" w:lastRowFirstColumn="0" w:lastRowLastColumn="0"/>
            <w:tcW w:w="2284" w:type="dxa"/>
          </w:tcPr>
          <w:p w:rsidR="00E31D8C" w:rsidRPr="00186E94" w:rsidRDefault="00E31D8C" w:rsidP="000533C7">
            <w:pPr>
              <w:jc w:val="center"/>
              <w:rPr>
                <w:rFonts w:ascii="Arial" w:hAnsi="Arial" w:cs="Arial"/>
                <w:sz w:val="16"/>
                <w:szCs w:val="16"/>
              </w:rPr>
            </w:pPr>
            <w:r w:rsidRPr="00186E94">
              <w:rPr>
                <w:rFonts w:ascii="Arial" w:hAnsi="Arial" w:cs="Arial"/>
                <w:sz w:val="16"/>
                <w:szCs w:val="16"/>
              </w:rPr>
              <w:t>TOTAL</w:t>
            </w:r>
          </w:p>
        </w:tc>
        <w:tc>
          <w:tcPr>
            <w:tcW w:w="2283" w:type="dxa"/>
          </w:tcPr>
          <w:p w:rsidR="00E31D8C" w:rsidRPr="00186E94"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r w:rsidRPr="00186E94">
              <w:rPr>
                <w:rFonts w:ascii="Arial" w:hAnsi="Arial" w:cs="Arial"/>
                <w:b/>
                <w:sz w:val="16"/>
                <w:szCs w:val="16"/>
              </w:rPr>
              <w:t>94,933.6</w:t>
            </w:r>
          </w:p>
        </w:tc>
        <w:tc>
          <w:tcPr>
            <w:tcW w:w="3138" w:type="dxa"/>
          </w:tcPr>
          <w:p w:rsidR="00E31D8C" w:rsidRPr="00186E94"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r w:rsidRPr="00186E94">
              <w:rPr>
                <w:rFonts w:ascii="Arial" w:hAnsi="Arial" w:cs="Arial"/>
                <w:b/>
                <w:sz w:val="16"/>
                <w:szCs w:val="16"/>
              </w:rPr>
              <w:t>49,657.63</w:t>
            </w:r>
          </w:p>
        </w:tc>
      </w:tr>
    </w:tbl>
    <w:p w:rsidR="00E31D8C" w:rsidRPr="00553BC3" w:rsidRDefault="00E31D8C" w:rsidP="00E31D8C">
      <w:pPr>
        <w:spacing w:after="0" w:line="240" w:lineRule="auto"/>
        <w:jc w:val="both"/>
        <w:rPr>
          <w:rFonts w:ascii="Arial" w:hAnsi="Arial" w:cs="Arial"/>
          <w:sz w:val="24"/>
          <w:szCs w:val="24"/>
        </w:rPr>
      </w:pPr>
    </w:p>
    <w:p w:rsidR="00E31D8C" w:rsidRDefault="00E31D8C" w:rsidP="00E31D8C">
      <w:pPr>
        <w:spacing w:after="0" w:line="240" w:lineRule="auto"/>
        <w:ind w:firstLine="708"/>
        <w:jc w:val="both"/>
        <w:rPr>
          <w:rFonts w:ascii="Arial" w:hAnsi="Arial" w:cs="Arial"/>
          <w:sz w:val="24"/>
          <w:szCs w:val="24"/>
        </w:rPr>
      </w:pPr>
      <w:r w:rsidRPr="00553BC3">
        <w:rPr>
          <w:rFonts w:ascii="Arial" w:hAnsi="Arial" w:cs="Arial"/>
          <w:sz w:val="24"/>
          <w:szCs w:val="24"/>
        </w:rPr>
        <w:t>Finalmente, se diseñó una planta que permita el reciclaje de plásticos agrícolas, incluyendo su recolección, su traslado a la planta y el proceso dentro de las instalaciones como separación, lavado, secado, molido, peletizado y extruido. La ubicación de la planta fue elegida considerando las bases y criterios de diseño, condiciones climatológicas estables, el estudio general de mercado y de factibilidad económica.</w:t>
      </w:r>
    </w:p>
    <w:p w:rsidR="00E31D8C" w:rsidRPr="00553BC3" w:rsidRDefault="00E31D8C" w:rsidP="00E31D8C">
      <w:pPr>
        <w:spacing w:after="0" w:line="240" w:lineRule="auto"/>
        <w:ind w:firstLine="708"/>
        <w:jc w:val="both"/>
        <w:rPr>
          <w:rFonts w:ascii="Arial" w:hAnsi="Arial" w:cs="Arial"/>
          <w:sz w:val="24"/>
          <w:szCs w:val="24"/>
        </w:rPr>
      </w:pPr>
    </w:p>
    <w:p w:rsidR="00E31D8C" w:rsidRPr="00186E94" w:rsidRDefault="00E31D8C" w:rsidP="00873BBA">
      <w:pPr>
        <w:pStyle w:val="1Titulo"/>
        <w:numPr>
          <w:ilvl w:val="0"/>
          <w:numId w:val="78"/>
        </w:numPr>
      </w:pPr>
      <w:bookmarkStart w:id="472" w:name="_Toc50031493"/>
      <w:r w:rsidRPr="00186E94">
        <w:t>Resultados y discusión</w:t>
      </w:r>
      <w:bookmarkEnd w:id="472"/>
    </w:p>
    <w:p w:rsidR="00E31D8C" w:rsidRPr="00553BC3" w:rsidRDefault="00E31D8C" w:rsidP="00E31D8C">
      <w:pPr>
        <w:spacing w:after="0" w:line="240" w:lineRule="auto"/>
        <w:jc w:val="both"/>
        <w:rPr>
          <w:rFonts w:ascii="Arial" w:hAnsi="Arial" w:cs="Arial"/>
          <w:b/>
          <w:bCs/>
          <w:sz w:val="24"/>
          <w:szCs w:val="24"/>
        </w:rPr>
      </w:pPr>
    </w:p>
    <w:p w:rsidR="00E31D8C" w:rsidRPr="00C81B92" w:rsidRDefault="00E31D8C" w:rsidP="00E31D8C">
      <w:pPr>
        <w:spacing w:line="240" w:lineRule="auto"/>
        <w:jc w:val="both"/>
        <w:rPr>
          <w:rFonts w:ascii="Arial" w:hAnsi="Arial" w:cs="Arial"/>
          <w:i/>
          <w:iCs/>
          <w:sz w:val="24"/>
          <w:szCs w:val="24"/>
        </w:rPr>
      </w:pPr>
      <w:r>
        <w:rPr>
          <w:rFonts w:ascii="Arial" w:hAnsi="Arial" w:cs="Arial"/>
          <w:i/>
          <w:iCs/>
          <w:sz w:val="24"/>
          <w:szCs w:val="24"/>
        </w:rPr>
        <w:t xml:space="preserve">4.1. </w:t>
      </w:r>
      <w:r w:rsidRPr="00C81B92">
        <w:rPr>
          <w:rFonts w:ascii="Arial" w:hAnsi="Arial" w:cs="Arial"/>
          <w:i/>
          <w:iCs/>
          <w:sz w:val="24"/>
          <w:szCs w:val="24"/>
        </w:rPr>
        <w:t>Estudio de mercado</w:t>
      </w:r>
    </w:p>
    <w:p w:rsidR="00E31D8C" w:rsidRPr="00553BC3" w:rsidRDefault="00E31D8C" w:rsidP="00E31D8C">
      <w:pPr>
        <w:spacing w:line="240" w:lineRule="auto"/>
        <w:ind w:firstLine="708"/>
        <w:jc w:val="both"/>
        <w:rPr>
          <w:rFonts w:ascii="Arial" w:hAnsi="Arial" w:cs="Arial"/>
          <w:sz w:val="24"/>
          <w:szCs w:val="24"/>
        </w:rPr>
      </w:pPr>
      <w:r w:rsidRPr="00553BC3">
        <w:rPr>
          <w:rFonts w:ascii="Arial" w:hAnsi="Arial" w:cs="Arial"/>
          <w:sz w:val="24"/>
          <w:szCs w:val="24"/>
        </w:rPr>
        <w:t>Para el estudio de mercado se seleccionó el estado de Jalisco por ser un generador promedio de agroplásticos que nos brinda estabilidad y no sobreproducción de acuerdo con el alcance de la planta recicladora. Además, se encuentra en una región con gran actividad agrícola donde utilizan agroplásticos en diversos rubros, por lo que la generación de residuos justifica una planta recicladora en este estado (tabla 3):</w:t>
      </w:r>
    </w:p>
    <w:p w:rsidR="00E31D8C" w:rsidRPr="00950357" w:rsidRDefault="00E31D8C" w:rsidP="00E31D8C">
      <w:pPr>
        <w:spacing w:line="240" w:lineRule="auto"/>
        <w:jc w:val="center"/>
        <w:rPr>
          <w:rFonts w:ascii="Times New Roman" w:hAnsi="Times New Roman" w:cs="Times New Roman"/>
          <w:i/>
          <w:iCs/>
          <w:sz w:val="20"/>
          <w:szCs w:val="20"/>
        </w:rPr>
      </w:pPr>
      <w:r w:rsidRPr="00950357">
        <w:rPr>
          <w:rFonts w:ascii="Times New Roman" w:hAnsi="Times New Roman" w:cs="Times New Roman"/>
          <w:i/>
          <w:iCs/>
          <w:sz w:val="20"/>
          <w:szCs w:val="20"/>
        </w:rPr>
        <w:t xml:space="preserve">Tabla 3. Desechos plásticos generados en el estado de Jalisco por uso agrícola. Fuente: </w:t>
      </w:r>
      <w:r w:rsidRPr="008B63F5">
        <w:rPr>
          <w:rFonts w:ascii="Times New Roman" w:hAnsi="Times New Roman" w:cs="Times New Roman"/>
          <w:i/>
          <w:iCs/>
          <w:noProof/>
          <w:sz w:val="20"/>
          <w:szCs w:val="20"/>
          <w:vertAlign w:val="superscript"/>
        </w:rPr>
        <w:t>[4]</w:t>
      </w:r>
      <w:r>
        <w:rPr>
          <w:rFonts w:ascii="Times New Roman" w:hAnsi="Times New Roman" w:cs="Times New Roman"/>
          <w:i/>
          <w:iCs/>
          <w:noProof/>
          <w:sz w:val="20"/>
          <w:szCs w:val="20"/>
        </w:rPr>
        <w:t>.</w:t>
      </w:r>
    </w:p>
    <w:tbl>
      <w:tblPr>
        <w:tblStyle w:val="Tablanormal2"/>
        <w:tblW w:w="5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5"/>
        <w:gridCol w:w="1910"/>
      </w:tblGrid>
      <w:tr w:rsidR="00E31D8C" w:rsidRPr="00950357" w:rsidTr="000533C7">
        <w:trPr>
          <w:cnfStyle w:val="100000000000" w:firstRow="1" w:lastRow="0" w:firstColumn="0" w:lastColumn="0" w:oddVBand="0" w:evenVBand="0" w:oddHBand="0" w:evenHBand="0" w:firstRowFirstColumn="0" w:firstRowLastColumn="0" w:lastRowFirstColumn="0" w:lastRowLastColumn="0"/>
          <w:trHeight w:val="220"/>
          <w:jc w:val="center"/>
        </w:trPr>
        <w:tc>
          <w:tcPr>
            <w:cnfStyle w:val="001000000000" w:firstRow="0" w:lastRow="0" w:firstColumn="1" w:lastColumn="0" w:oddVBand="0" w:evenVBand="0" w:oddHBand="0" w:evenHBand="0" w:firstRowFirstColumn="0" w:firstRowLastColumn="0" w:lastRowFirstColumn="0" w:lastRowLastColumn="0"/>
            <w:tcW w:w="3825" w:type="dxa"/>
          </w:tcPr>
          <w:p w:rsidR="00E31D8C" w:rsidRPr="00950357" w:rsidRDefault="00E31D8C" w:rsidP="000533C7">
            <w:pPr>
              <w:jc w:val="center"/>
              <w:rPr>
                <w:rFonts w:ascii="Arial" w:hAnsi="Arial" w:cs="Arial"/>
                <w:sz w:val="16"/>
                <w:szCs w:val="16"/>
              </w:rPr>
            </w:pPr>
            <w:r w:rsidRPr="00950357">
              <w:rPr>
                <w:rFonts w:ascii="Arial" w:hAnsi="Arial" w:cs="Arial"/>
                <w:sz w:val="16"/>
                <w:szCs w:val="16"/>
              </w:rPr>
              <w:t>Rubro de utilización</w:t>
            </w:r>
          </w:p>
        </w:tc>
        <w:tc>
          <w:tcPr>
            <w:tcW w:w="1910" w:type="dxa"/>
          </w:tcPr>
          <w:p w:rsidR="00E31D8C" w:rsidRPr="00950357" w:rsidRDefault="00E31D8C" w:rsidP="000533C7">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t</w:t>
            </w:r>
            <w:r w:rsidRPr="00950357">
              <w:rPr>
                <w:rFonts w:ascii="Arial" w:hAnsi="Arial" w:cs="Arial"/>
                <w:sz w:val="16"/>
                <w:szCs w:val="16"/>
              </w:rPr>
              <w:t>/año</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3825" w:type="dxa"/>
          </w:tcPr>
          <w:p w:rsidR="00E31D8C" w:rsidRPr="00950357" w:rsidRDefault="00E31D8C" w:rsidP="000533C7">
            <w:pPr>
              <w:jc w:val="center"/>
              <w:rPr>
                <w:rFonts w:ascii="Arial" w:hAnsi="Arial" w:cs="Arial"/>
                <w:b w:val="0"/>
                <w:bCs w:val="0"/>
                <w:sz w:val="16"/>
                <w:szCs w:val="16"/>
              </w:rPr>
            </w:pPr>
            <w:r w:rsidRPr="00950357">
              <w:rPr>
                <w:rFonts w:ascii="Arial" w:hAnsi="Arial" w:cs="Arial"/>
                <w:b w:val="0"/>
                <w:bCs w:val="0"/>
                <w:sz w:val="16"/>
                <w:szCs w:val="16"/>
              </w:rPr>
              <w:t>Plástico de cubierta para invernaderos</w:t>
            </w:r>
          </w:p>
        </w:tc>
        <w:tc>
          <w:tcPr>
            <w:tcW w:w="1910" w:type="dxa"/>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950357">
              <w:rPr>
                <w:rFonts w:ascii="Arial" w:hAnsi="Arial" w:cs="Arial"/>
                <w:sz w:val="16"/>
                <w:szCs w:val="16"/>
              </w:rPr>
              <w:t>1,200.0</w:t>
            </w:r>
          </w:p>
        </w:tc>
      </w:tr>
      <w:tr w:rsidR="00E31D8C" w:rsidRPr="00950357" w:rsidTr="000533C7">
        <w:trPr>
          <w:trHeight w:val="297"/>
          <w:jc w:val="center"/>
        </w:trPr>
        <w:tc>
          <w:tcPr>
            <w:cnfStyle w:val="001000000000" w:firstRow="0" w:lastRow="0" w:firstColumn="1" w:lastColumn="0" w:oddVBand="0" w:evenVBand="0" w:oddHBand="0" w:evenHBand="0" w:firstRowFirstColumn="0" w:firstRowLastColumn="0" w:lastRowFirstColumn="0" w:lastRowLastColumn="0"/>
            <w:tcW w:w="3825" w:type="dxa"/>
          </w:tcPr>
          <w:p w:rsidR="00E31D8C" w:rsidRPr="00950357" w:rsidRDefault="00E31D8C" w:rsidP="000533C7">
            <w:pPr>
              <w:jc w:val="center"/>
              <w:rPr>
                <w:rFonts w:ascii="Arial" w:hAnsi="Arial" w:cs="Arial"/>
                <w:b w:val="0"/>
                <w:bCs w:val="0"/>
                <w:sz w:val="16"/>
                <w:szCs w:val="16"/>
              </w:rPr>
            </w:pPr>
            <w:r w:rsidRPr="00950357">
              <w:rPr>
                <w:rFonts w:ascii="Arial" w:hAnsi="Arial" w:cs="Arial"/>
                <w:b w:val="0"/>
                <w:bCs w:val="0"/>
                <w:sz w:val="16"/>
                <w:szCs w:val="16"/>
              </w:rPr>
              <w:t>Plástico para acolchado de suelo</w:t>
            </w:r>
          </w:p>
        </w:tc>
        <w:tc>
          <w:tcPr>
            <w:tcW w:w="1910"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950357">
              <w:rPr>
                <w:rFonts w:ascii="Arial" w:hAnsi="Arial" w:cs="Arial"/>
                <w:sz w:val="16"/>
                <w:szCs w:val="16"/>
              </w:rPr>
              <w:t>2,200.0</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3825" w:type="dxa"/>
          </w:tcPr>
          <w:p w:rsidR="00E31D8C" w:rsidRPr="00950357" w:rsidRDefault="00E31D8C" w:rsidP="000533C7">
            <w:pPr>
              <w:jc w:val="center"/>
              <w:rPr>
                <w:rFonts w:ascii="Arial" w:hAnsi="Arial" w:cs="Arial"/>
                <w:b w:val="0"/>
                <w:bCs w:val="0"/>
                <w:sz w:val="16"/>
                <w:szCs w:val="16"/>
              </w:rPr>
            </w:pPr>
            <w:r w:rsidRPr="00950357">
              <w:rPr>
                <w:rFonts w:ascii="Arial" w:hAnsi="Arial" w:cs="Arial"/>
                <w:b w:val="0"/>
                <w:bCs w:val="0"/>
                <w:sz w:val="16"/>
                <w:szCs w:val="16"/>
              </w:rPr>
              <w:t>Cintilla de riego por goteo</w:t>
            </w:r>
          </w:p>
        </w:tc>
        <w:tc>
          <w:tcPr>
            <w:tcW w:w="1910" w:type="dxa"/>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950357">
              <w:rPr>
                <w:rFonts w:ascii="Arial" w:hAnsi="Arial" w:cs="Arial"/>
                <w:sz w:val="16"/>
                <w:szCs w:val="16"/>
              </w:rPr>
              <w:t>1,350.0</w:t>
            </w:r>
          </w:p>
        </w:tc>
      </w:tr>
      <w:tr w:rsidR="00E31D8C" w:rsidRPr="00950357" w:rsidTr="000533C7">
        <w:trPr>
          <w:trHeight w:val="277"/>
          <w:jc w:val="center"/>
        </w:trPr>
        <w:tc>
          <w:tcPr>
            <w:cnfStyle w:val="001000000000" w:firstRow="0" w:lastRow="0" w:firstColumn="1" w:lastColumn="0" w:oddVBand="0" w:evenVBand="0" w:oddHBand="0" w:evenHBand="0" w:firstRowFirstColumn="0" w:firstRowLastColumn="0" w:lastRowFirstColumn="0" w:lastRowLastColumn="0"/>
            <w:tcW w:w="3825" w:type="dxa"/>
          </w:tcPr>
          <w:p w:rsidR="00E31D8C" w:rsidRPr="00950357" w:rsidRDefault="00E31D8C" w:rsidP="000533C7">
            <w:pPr>
              <w:jc w:val="center"/>
              <w:rPr>
                <w:rFonts w:ascii="Arial" w:hAnsi="Arial" w:cs="Arial"/>
                <w:b w:val="0"/>
                <w:bCs w:val="0"/>
                <w:sz w:val="16"/>
                <w:szCs w:val="16"/>
              </w:rPr>
            </w:pPr>
            <w:r w:rsidRPr="00950357">
              <w:rPr>
                <w:rFonts w:ascii="Arial" w:hAnsi="Arial" w:cs="Arial"/>
                <w:b w:val="0"/>
                <w:bCs w:val="0"/>
                <w:sz w:val="16"/>
                <w:szCs w:val="16"/>
              </w:rPr>
              <w:t>Plástico para túnel alto</w:t>
            </w:r>
          </w:p>
        </w:tc>
        <w:tc>
          <w:tcPr>
            <w:tcW w:w="1910"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950357">
              <w:rPr>
                <w:rFonts w:ascii="Arial" w:hAnsi="Arial" w:cs="Arial"/>
                <w:sz w:val="16"/>
                <w:szCs w:val="16"/>
              </w:rPr>
              <w:t>180.5</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3825" w:type="dxa"/>
          </w:tcPr>
          <w:p w:rsidR="00E31D8C" w:rsidRPr="00950357" w:rsidRDefault="00E31D8C" w:rsidP="000533C7">
            <w:pPr>
              <w:jc w:val="center"/>
              <w:rPr>
                <w:rFonts w:ascii="Arial" w:hAnsi="Arial" w:cs="Arial"/>
                <w:b w:val="0"/>
                <w:bCs w:val="0"/>
                <w:sz w:val="16"/>
                <w:szCs w:val="16"/>
              </w:rPr>
            </w:pPr>
            <w:r w:rsidRPr="00950357">
              <w:rPr>
                <w:rFonts w:ascii="Arial" w:hAnsi="Arial" w:cs="Arial"/>
                <w:b w:val="0"/>
                <w:bCs w:val="0"/>
                <w:sz w:val="16"/>
                <w:szCs w:val="16"/>
              </w:rPr>
              <w:t>Bolsas para cultivo de invernadero</w:t>
            </w:r>
          </w:p>
        </w:tc>
        <w:tc>
          <w:tcPr>
            <w:tcW w:w="1910" w:type="dxa"/>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950357">
              <w:rPr>
                <w:rFonts w:ascii="Arial" w:hAnsi="Arial" w:cs="Arial"/>
                <w:sz w:val="16"/>
                <w:szCs w:val="16"/>
              </w:rPr>
              <w:t>46.4</w:t>
            </w:r>
          </w:p>
        </w:tc>
      </w:tr>
      <w:tr w:rsidR="00E31D8C" w:rsidRPr="00950357" w:rsidTr="000533C7">
        <w:trPr>
          <w:trHeight w:val="277"/>
          <w:jc w:val="center"/>
        </w:trPr>
        <w:tc>
          <w:tcPr>
            <w:cnfStyle w:val="001000000000" w:firstRow="0" w:lastRow="0" w:firstColumn="1" w:lastColumn="0" w:oddVBand="0" w:evenVBand="0" w:oddHBand="0" w:evenHBand="0" w:firstRowFirstColumn="0" w:firstRowLastColumn="0" w:lastRowFirstColumn="0" w:lastRowLastColumn="0"/>
            <w:tcW w:w="3825" w:type="dxa"/>
          </w:tcPr>
          <w:p w:rsidR="00E31D8C" w:rsidRPr="00950357" w:rsidRDefault="00E31D8C" w:rsidP="000533C7">
            <w:pPr>
              <w:jc w:val="center"/>
              <w:rPr>
                <w:rFonts w:ascii="Arial" w:hAnsi="Arial" w:cs="Arial"/>
                <w:b w:val="0"/>
                <w:bCs w:val="0"/>
                <w:sz w:val="16"/>
                <w:szCs w:val="16"/>
              </w:rPr>
            </w:pPr>
            <w:r w:rsidRPr="00950357">
              <w:rPr>
                <w:rFonts w:ascii="Arial" w:hAnsi="Arial" w:cs="Arial"/>
                <w:b w:val="0"/>
                <w:bCs w:val="0"/>
                <w:sz w:val="16"/>
                <w:szCs w:val="16"/>
              </w:rPr>
              <w:t>Rafia</w:t>
            </w:r>
          </w:p>
        </w:tc>
        <w:tc>
          <w:tcPr>
            <w:tcW w:w="1910"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950357">
              <w:rPr>
                <w:rFonts w:ascii="Arial" w:hAnsi="Arial" w:cs="Arial"/>
                <w:sz w:val="16"/>
                <w:szCs w:val="16"/>
              </w:rPr>
              <w:t>140.0</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3825" w:type="dxa"/>
          </w:tcPr>
          <w:p w:rsidR="00E31D8C" w:rsidRPr="00950357" w:rsidRDefault="00E31D8C" w:rsidP="000533C7">
            <w:pPr>
              <w:jc w:val="center"/>
              <w:rPr>
                <w:rFonts w:ascii="Arial" w:hAnsi="Arial" w:cs="Arial"/>
                <w:b w:val="0"/>
                <w:bCs w:val="0"/>
                <w:sz w:val="16"/>
                <w:szCs w:val="16"/>
              </w:rPr>
            </w:pPr>
            <w:r w:rsidRPr="00950357">
              <w:rPr>
                <w:rFonts w:ascii="Arial" w:hAnsi="Arial" w:cs="Arial"/>
                <w:b w:val="0"/>
                <w:bCs w:val="0"/>
                <w:sz w:val="16"/>
                <w:szCs w:val="16"/>
              </w:rPr>
              <w:t>Malla sombra</w:t>
            </w:r>
          </w:p>
        </w:tc>
        <w:tc>
          <w:tcPr>
            <w:tcW w:w="1910" w:type="dxa"/>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950357">
              <w:rPr>
                <w:rFonts w:ascii="Arial" w:hAnsi="Arial" w:cs="Arial"/>
                <w:sz w:val="16"/>
                <w:szCs w:val="16"/>
              </w:rPr>
              <w:t>38.7</w:t>
            </w:r>
          </w:p>
        </w:tc>
      </w:tr>
      <w:tr w:rsidR="00E31D8C" w:rsidRPr="00950357" w:rsidTr="000533C7">
        <w:trPr>
          <w:trHeight w:val="113"/>
          <w:jc w:val="center"/>
        </w:trPr>
        <w:tc>
          <w:tcPr>
            <w:cnfStyle w:val="001000000000" w:firstRow="0" w:lastRow="0" w:firstColumn="1" w:lastColumn="0" w:oddVBand="0" w:evenVBand="0" w:oddHBand="0" w:evenHBand="0" w:firstRowFirstColumn="0" w:firstRowLastColumn="0" w:lastRowFirstColumn="0" w:lastRowLastColumn="0"/>
            <w:tcW w:w="3825" w:type="dxa"/>
          </w:tcPr>
          <w:p w:rsidR="00E31D8C" w:rsidRPr="00950357" w:rsidRDefault="00E31D8C" w:rsidP="000533C7">
            <w:pPr>
              <w:jc w:val="center"/>
              <w:rPr>
                <w:rFonts w:ascii="Arial" w:hAnsi="Arial" w:cs="Arial"/>
                <w:sz w:val="16"/>
                <w:szCs w:val="16"/>
              </w:rPr>
            </w:pPr>
            <w:r w:rsidRPr="00950357">
              <w:rPr>
                <w:rFonts w:ascii="Arial" w:hAnsi="Arial" w:cs="Arial"/>
                <w:sz w:val="16"/>
                <w:szCs w:val="16"/>
              </w:rPr>
              <w:t>TOTAL</w:t>
            </w:r>
          </w:p>
        </w:tc>
        <w:tc>
          <w:tcPr>
            <w:tcW w:w="1910"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950357">
              <w:rPr>
                <w:rFonts w:ascii="Arial" w:hAnsi="Arial" w:cs="Arial"/>
                <w:sz w:val="16"/>
                <w:szCs w:val="16"/>
              </w:rPr>
              <w:t>5,155.6</w:t>
            </w:r>
          </w:p>
        </w:tc>
      </w:tr>
    </w:tbl>
    <w:p w:rsidR="00E31D8C" w:rsidRDefault="00E31D8C" w:rsidP="00E31D8C">
      <w:pPr>
        <w:spacing w:line="240" w:lineRule="auto"/>
        <w:jc w:val="both"/>
        <w:rPr>
          <w:rFonts w:ascii="Arial" w:hAnsi="Arial" w:cs="Arial"/>
          <w:i/>
          <w:iCs/>
          <w:sz w:val="24"/>
          <w:szCs w:val="24"/>
        </w:rPr>
      </w:pPr>
    </w:p>
    <w:p w:rsidR="00E31D8C" w:rsidRPr="00950357" w:rsidRDefault="00E31D8C" w:rsidP="00E31D8C">
      <w:pPr>
        <w:spacing w:line="240" w:lineRule="auto"/>
        <w:jc w:val="both"/>
        <w:rPr>
          <w:rFonts w:ascii="Arial" w:hAnsi="Arial" w:cs="Arial"/>
          <w:i/>
          <w:iCs/>
          <w:sz w:val="24"/>
          <w:szCs w:val="24"/>
        </w:rPr>
      </w:pPr>
      <w:r>
        <w:rPr>
          <w:rFonts w:ascii="Arial" w:hAnsi="Arial" w:cs="Arial"/>
          <w:i/>
          <w:iCs/>
          <w:sz w:val="24"/>
          <w:szCs w:val="24"/>
        </w:rPr>
        <w:t xml:space="preserve">4.2. </w:t>
      </w:r>
      <w:r w:rsidRPr="00950357">
        <w:rPr>
          <w:rFonts w:ascii="Arial" w:hAnsi="Arial" w:cs="Arial"/>
          <w:i/>
          <w:iCs/>
          <w:sz w:val="24"/>
          <w:szCs w:val="24"/>
        </w:rPr>
        <w:t xml:space="preserve">Estudio </w:t>
      </w:r>
      <w:r>
        <w:rPr>
          <w:rFonts w:ascii="Arial" w:hAnsi="Arial" w:cs="Arial"/>
          <w:i/>
          <w:iCs/>
          <w:sz w:val="24"/>
          <w:szCs w:val="24"/>
        </w:rPr>
        <w:t xml:space="preserve">económico </w:t>
      </w:r>
      <w:r w:rsidRPr="00950357">
        <w:rPr>
          <w:rFonts w:ascii="Arial" w:hAnsi="Arial" w:cs="Arial"/>
          <w:i/>
          <w:iCs/>
          <w:sz w:val="24"/>
          <w:szCs w:val="24"/>
        </w:rPr>
        <w:t xml:space="preserve">de factibilidad </w:t>
      </w:r>
    </w:p>
    <w:p w:rsidR="00E31D8C" w:rsidRPr="00553BC3" w:rsidRDefault="00E31D8C" w:rsidP="00E31D8C">
      <w:pPr>
        <w:spacing w:line="240" w:lineRule="auto"/>
        <w:ind w:firstLine="708"/>
        <w:jc w:val="both"/>
        <w:rPr>
          <w:rFonts w:ascii="Arial" w:hAnsi="Arial" w:cs="Arial"/>
          <w:sz w:val="24"/>
          <w:szCs w:val="24"/>
        </w:rPr>
      </w:pPr>
      <w:r w:rsidRPr="00553BC3">
        <w:rPr>
          <w:rFonts w:ascii="Arial" w:hAnsi="Arial" w:cs="Arial"/>
          <w:sz w:val="24"/>
          <w:szCs w:val="24"/>
        </w:rPr>
        <w:t xml:space="preserve">En la tabla 4 se puede apreciar el precio de los equipos requeridos para la instalación de una planta recicladora de agroplásticos con alcance de 3 </w:t>
      </w:r>
      <w:r>
        <w:rPr>
          <w:rFonts w:ascii="Arial" w:hAnsi="Arial" w:cs="Arial"/>
          <w:sz w:val="24"/>
          <w:szCs w:val="24"/>
        </w:rPr>
        <w:t>t</w:t>
      </w:r>
      <w:r w:rsidRPr="00553BC3">
        <w:rPr>
          <w:rFonts w:ascii="Arial" w:hAnsi="Arial" w:cs="Arial"/>
          <w:sz w:val="24"/>
          <w:szCs w:val="24"/>
        </w:rPr>
        <w:t>/h, así como el precio de algunos materiales de tubería, costos de instalación y el precio de referencia de una nave seleccionada en la región de Tlaquepaque, Jalisco</w:t>
      </w:r>
      <w:r>
        <w:rPr>
          <w:rFonts w:ascii="Arial" w:hAnsi="Arial" w:cs="Arial"/>
          <w:sz w:val="24"/>
          <w:szCs w:val="24"/>
        </w:rPr>
        <w:t>.</w:t>
      </w:r>
    </w:p>
    <w:p w:rsidR="00E31D8C" w:rsidRPr="00950357" w:rsidRDefault="00E31D8C" w:rsidP="00E31D8C">
      <w:pPr>
        <w:spacing w:after="0" w:line="240" w:lineRule="auto"/>
        <w:jc w:val="center"/>
        <w:rPr>
          <w:rFonts w:ascii="Times New Roman" w:hAnsi="Times New Roman" w:cs="Times New Roman"/>
          <w:i/>
          <w:iCs/>
          <w:sz w:val="20"/>
          <w:szCs w:val="20"/>
        </w:rPr>
      </w:pPr>
      <w:r w:rsidRPr="00950357">
        <w:rPr>
          <w:rFonts w:ascii="Times New Roman" w:hAnsi="Times New Roman" w:cs="Times New Roman"/>
          <w:i/>
          <w:iCs/>
          <w:sz w:val="20"/>
          <w:szCs w:val="20"/>
        </w:rPr>
        <w:t>Tabla 4. Costos de equipos y total de inversión fija. Fuente: Mediante la cotización de diversas empresas y distribuidoras.</w:t>
      </w:r>
    </w:p>
    <w:tbl>
      <w:tblPr>
        <w:tblStyle w:val="Tablanormal2"/>
        <w:tblW w:w="90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4"/>
        <w:gridCol w:w="4813"/>
        <w:gridCol w:w="1565"/>
        <w:gridCol w:w="1614"/>
      </w:tblGrid>
      <w:tr w:rsidR="00E31D8C" w:rsidRPr="00950357" w:rsidTr="000533C7">
        <w:trPr>
          <w:cnfStyle w:val="100000000000" w:firstRow="1" w:lastRow="0" w:firstColumn="0" w:lastColumn="0" w:oddVBand="0" w:evenVBand="0" w:oddHBand="0" w:evenHBand="0" w:firstRowFirstColumn="0" w:firstRowLastColumn="0" w:lastRowFirstColumn="0" w:lastRowLastColumn="0"/>
          <w:trHeight w:val="73"/>
          <w:jc w:val="center"/>
        </w:trPr>
        <w:tc>
          <w:tcPr>
            <w:cnfStyle w:val="001000000000" w:firstRow="0" w:lastRow="0" w:firstColumn="1" w:lastColumn="0" w:oddVBand="0" w:evenVBand="0" w:oddHBand="0" w:evenHBand="0" w:firstRowFirstColumn="0" w:firstRowLastColumn="0" w:lastRowFirstColumn="0" w:lastRowLastColumn="0"/>
            <w:tcW w:w="9026" w:type="dxa"/>
            <w:gridSpan w:val="4"/>
            <w:tcBorders>
              <w:bottom w:val="none" w:sz="0" w:space="0" w:color="auto"/>
            </w:tcBorders>
          </w:tcPr>
          <w:p w:rsidR="00E31D8C" w:rsidRPr="00950357" w:rsidRDefault="00E31D8C" w:rsidP="000533C7">
            <w:pPr>
              <w:jc w:val="center"/>
              <w:rPr>
                <w:rFonts w:ascii="Arial" w:hAnsi="Arial" w:cs="Arial"/>
                <w:sz w:val="22"/>
                <w:szCs w:val="22"/>
                <w:vertAlign w:val="subscript"/>
              </w:rPr>
            </w:pPr>
            <w:r w:rsidRPr="00950357">
              <w:rPr>
                <w:rFonts w:ascii="Arial" w:hAnsi="Arial" w:cs="Arial"/>
                <w:sz w:val="22"/>
                <w:szCs w:val="22"/>
                <w:vertAlign w:val="subscript"/>
              </w:rPr>
              <w:t>Lista de equipos para la planta recicladora de agroplásticos</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313"/>
          <w:jc w:val="center"/>
        </w:trPr>
        <w:tc>
          <w:tcPr>
            <w:cnfStyle w:val="001000000000" w:firstRow="0" w:lastRow="0" w:firstColumn="1" w:lastColumn="0" w:oddVBand="0" w:evenVBand="0" w:oddHBand="0" w:evenHBand="0" w:firstRowFirstColumn="0" w:firstRowLastColumn="0" w:lastRowFirstColumn="0" w:lastRowLastColumn="0"/>
            <w:tcW w:w="1034" w:type="dxa"/>
            <w:tcBorders>
              <w:top w:val="none" w:sz="0" w:space="0" w:color="auto"/>
              <w:bottom w:val="none" w:sz="0" w:space="0" w:color="auto"/>
            </w:tcBorders>
          </w:tcPr>
          <w:p w:rsidR="00E31D8C" w:rsidRPr="00950357" w:rsidRDefault="00E31D8C" w:rsidP="000533C7">
            <w:pPr>
              <w:jc w:val="center"/>
              <w:rPr>
                <w:rFonts w:ascii="Arial" w:hAnsi="Arial" w:cs="Arial"/>
                <w:sz w:val="22"/>
                <w:szCs w:val="22"/>
                <w:vertAlign w:val="subscript"/>
              </w:rPr>
            </w:pPr>
            <w:r w:rsidRPr="00950357">
              <w:rPr>
                <w:rFonts w:ascii="Arial" w:hAnsi="Arial" w:cs="Arial"/>
                <w:sz w:val="22"/>
                <w:szCs w:val="22"/>
                <w:vertAlign w:val="subscript"/>
              </w:rPr>
              <w:t>Cantidad</w:t>
            </w:r>
          </w:p>
        </w:tc>
        <w:tc>
          <w:tcPr>
            <w:tcW w:w="4813"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vertAlign w:val="subscript"/>
              </w:rPr>
            </w:pPr>
            <w:r w:rsidRPr="00950357">
              <w:rPr>
                <w:rFonts w:ascii="Arial" w:hAnsi="Arial" w:cs="Arial"/>
                <w:b/>
                <w:bCs/>
                <w:sz w:val="22"/>
                <w:szCs w:val="22"/>
                <w:vertAlign w:val="subscript"/>
              </w:rPr>
              <w:t>Descripción</w:t>
            </w:r>
          </w:p>
        </w:tc>
        <w:tc>
          <w:tcPr>
            <w:tcW w:w="1565"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vertAlign w:val="subscript"/>
              </w:rPr>
            </w:pPr>
            <w:r w:rsidRPr="00950357">
              <w:rPr>
                <w:rFonts w:ascii="Arial" w:hAnsi="Arial" w:cs="Arial"/>
                <w:b/>
                <w:bCs/>
                <w:sz w:val="22"/>
                <w:szCs w:val="22"/>
                <w:vertAlign w:val="subscript"/>
              </w:rPr>
              <w:t>Precio unitario</w:t>
            </w:r>
          </w:p>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vertAlign w:val="subscript"/>
              </w:rPr>
            </w:pPr>
            <w:r w:rsidRPr="00950357">
              <w:rPr>
                <w:rFonts w:ascii="Arial" w:hAnsi="Arial" w:cs="Arial"/>
                <w:b/>
                <w:bCs/>
                <w:sz w:val="22"/>
                <w:szCs w:val="22"/>
                <w:vertAlign w:val="subscript"/>
              </w:rPr>
              <w:t>(MXN)</w:t>
            </w:r>
          </w:p>
        </w:tc>
        <w:tc>
          <w:tcPr>
            <w:tcW w:w="1612"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vertAlign w:val="subscript"/>
              </w:rPr>
            </w:pPr>
            <w:r w:rsidRPr="00950357">
              <w:rPr>
                <w:rFonts w:ascii="Arial" w:hAnsi="Arial" w:cs="Arial"/>
                <w:b/>
                <w:bCs/>
                <w:sz w:val="22"/>
                <w:szCs w:val="22"/>
                <w:vertAlign w:val="subscript"/>
              </w:rPr>
              <w:t>Precio Total</w:t>
            </w:r>
          </w:p>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vertAlign w:val="subscript"/>
              </w:rPr>
            </w:pPr>
            <w:r w:rsidRPr="00950357">
              <w:rPr>
                <w:rFonts w:ascii="Arial" w:hAnsi="Arial" w:cs="Arial"/>
                <w:b/>
                <w:bCs/>
                <w:sz w:val="22"/>
                <w:szCs w:val="22"/>
                <w:vertAlign w:val="subscript"/>
              </w:rPr>
              <w:t>(MXN)</w:t>
            </w:r>
          </w:p>
        </w:tc>
      </w:tr>
      <w:tr w:rsidR="00E31D8C" w:rsidRPr="00950357" w:rsidTr="000533C7">
        <w:trPr>
          <w:trHeight w:val="134"/>
          <w:jc w:val="center"/>
        </w:trPr>
        <w:tc>
          <w:tcPr>
            <w:cnfStyle w:val="001000000000" w:firstRow="0" w:lastRow="0" w:firstColumn="1" w:lastColumn="0" w:oddVBand="0" w:evenVBand="0" w:oddHBand="0" w:evenHBand="0" w:firstRowFirstColumn="0" w:firstRowLastColumn="0" w:lastRowFirstColumn="0" w:lastRowLastColumn="0"/>
            <w:tcW w:w="1034" w:type="dxa"/>
          </w:tcPr>
          <w:p w:rsidR="00E31D8C" w:rsidRPr="00950357" w:rsidRDefault="00E31D8C" w:rsidP="000533C7">
            <w:pPr>
              <w:jc w:val="center"/>
              <w:rPr>
                <w:rFonts w:ascii="Arial" w:hAnsi="Arial" w:cs="Arial"/>
                <w:b w:val="0"/>
                <w:bCs w:val="0"/>
                <w:sz w:val="22"/>
                <w:szCs w:val="22"/>
                <w:vertAlign w:val="subscript"/>
              </w:rPr>
            </w:pPr>
            <w:r w:rsidRPr="00950357">
              <w:rPr>
                <w:rFonts w:ascii="Arial" w:hAnsi="Arial" w:cs="Arial"/>
                <w:b w:val="0"/>
                <w:bCs w:val="0"/>
                <w:sz w:val="22"/>
                <w:szCs w:val="22"/>
                <w:vertAlign w:val="subscript"/>
              </w:rPr>
              <w:t>1</w:t>
            </w:r>
          </w:p>
        </w:tc>
        <w:tc>
          <w:tcPr>
            <w:tcW w:w="4813"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Banda clasificadora. Modelo BI-101 (10x1)m.</w:t>
            </w:r>
          </w:p>
        </w:tc>
        <w:tc>
          <w:tcPr>
            <w:tcW w:w="1565"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$180,000</w:t>
            </w:r>
          </w:p>
        </w:tc>
        <w:tc>
          <w:tcPr>
            <w:tcW w:w="1612"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$180,000</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132"/>
          <w:jc w:val="center"/>
        </w:trPr>
        <w:tc>
          <w:tcPr>
            <w:cnfStyle w:val="001000000000" w:firstRow="0" w:lastRow="0" w:firstColumn="1" w:lastColumn="0" w:oddVBand="0" w:evenVBand="0" w:oddHBand="0" w:evenHBand="0" w:firstRowFirstColumn="0" w:firstRowLastColumn="0" w:lastRowFirstColumn="0" w:lastRowLastColumn="0"/>
            <w:tcW w:w="1034" w:type="dxa"/>
            <w:tcBorders>
              <w:top w:val="none" w:sz="0" w:space="0" w:color="auto"/>
              <w:bottom w:val="none" w:sz="0" w:space="0" w:color="auto"/>
            </w:tcBorders>
          </w:tcPr>
          <w:p w:rsidR="00E31D8C" w:rsidRPr="00950357" w:rsidRDefault="00E31D8C" w:rsidP="000533C7">
            <w:pPr>
              <w:jc w:val="center"/>
              <w:rPr>
                <w:rFonts w:ascii="Arial" w:hAnsi="Arial" w:cs="Arial"/>
                <w:b w:val="0"/>
                <w:bCs w:val="0"/>
                <w:sz w:val="22"/>
                <w:szCs w:val="22"/>
                <w:vertAlign w:val="subscript"/>
              </w:rPr>
            </w:pPr>
            <w:r w:rsidRPr="00950357">
              <w:rPr>
                <w:rFonts w:ascii="Arial" w:hAnsi="Arial" w:cs="Arial"/>
                <w:b w:val="0"/>
                <w:bCs w:val="0"/>
                <w:sz w:val="22"/>
                <w:szCs w:val="22"/>
                <w:vertAlign w:val="subscript"/>
              </w:rPr>
              <w:t>1</w:t>
            </w:r>
          </w:p>
        </w:tc>
        <w:tc>
          <w:tcPr>
            <w:tcW w:w="4813"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Banda alimentadora. Modelo BG2-3.6 (3.6x0.6x2.1)m.</w:t>
            </w:r>
          </w:p>
        </w:tc>
        <w:tc>
          <w:tcPr>
            <w:tcW w:w="1565"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$55,000</w:t>
            </w:r>
          </w:p>
        </w:tc>
        <w:tc>
          <w:tcPr>
            <w:tcW w:w="1612"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$55,000</w:t>
            </w:r>
          </w:p>
        </w:tc>
      </w:tr>
      <w:tr w:rsidR="00E31D8C" w:rsidRPr="00950357" w:rsidTr="000533C7">
        <w:trPr>
          <w:trHeight w:val="121"/>
          <w:jc w:val="center"/>
        </w:trPr>
        <w:tc>
          <w:tcPr>
            <w:cnfStyle w:val="001000000000" w:firstRow="0" w:lastRow="0" w:firstColumn="1" w:lastColumn="0" w:oddVBand="0" w:evenVBand="0" w:oddHBand="0" w:evenHBand="0" w:firstRowFirstColumn="0" w:firstRowLastColumn="0" w:lastRowFirstColumn="0" w:lastRowLastColumn="0"/>
            <w:tcW w:w="1034" w:type="dxa"/>
          </w:tcPr>
          <w:p w:rsidR="00E31D8C" w:rsidRPr="00950357" w:rsidRDefault="00E31D8C" w:rsidP="000533C7">
            <w:pPr>
              <w:jc w:val="center"/>
              <w:rPr>
                <w:rFonts w:ascii="Arial" w:hAnsi="Arial" w:cs="Arial"/>
                <w:b w:val="0"/>
                <w:bCs w:val="0"/>
                <w:sz w:val="22"/>
                <w:szCs w:val="22"/>
                <w:vertAlign w:val="subscript"/>
              </w:rPr>
            </w:pPr>
            <w:r w:rsidRPr="00950357">
              <w:rPr>
                <w:rFonts w:ascii="Arial" w:hAnsi="Arial" w:cs="Arial"/>
                <w:b w:val="0"/>
                <w:bCs w:val="0"/>
                <w:sz w:val="22"/>
                <w:szCs w:val="22"/>
                <w:vertAlign w:val="subscript"/>
              </w:rPr>
              <w:t>1</w:t>
            </w:r>
          </w:p>
        </w:tc>
        <w:tc>
          <w:tcPr>
            <w:tcW w:w="4813"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Molino. Modelo ML500-G3 (1.5x1.9x2.2)m.</w:t>
            </w:r>
          </w:p>
        </w:tc>
        <w:tc>
          <w:tcPr>
            <w:tcW w:w="1565"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$350,000</w:t>
            </w:r>
          </w:p>
        </w:tc>
        <w:tc>
          <w:tcPr>
            <w:tcW w:w="1612"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$350,000</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110"/>
          <w:jc w:val="center"/>
        </w:trPr>
        <w:tc>
          <w:tcPr>
            <w:cnfStyle w:val="001000000000" w:firstRow="0" w:lastRow="0" w:firstColumn="1" w:lastColumn="0" w:oddVBand="0" w:evenVBand="0" w:oddHBand="0" w:evenHBand="0" w:firstRowFirstColumn="0" w:firstRowLastColumn="0" w:lastRowFirstColumn="0" w:lastRowLastColumn="0"/>
            <w:tcW w:w="1034" w:type="dxa"/>
            <w:tcBorders>
              <w:top w:val="none" w:sz="0" w:space="0" w:color="auto"/>
              <w:bottom w:val="none" w:sz="0" w:space="0" w:color="auto"/>
            </w:tcBorders>
          </w:tcPr>
          <w:p w:rsidR="00E31D8C" w:rsidRPr="00950357" w:rsidRDefault="00E31D8C" w:rsidP="000533C7">
            <w:pPr>
              <w:jc w:val="center"/>
              <w:rPr>
                <w:rFonts w:ascii="Arial" w:hAnsi="Arial" w:cs="Arial"/>
                <w:b w:val="0"/>
                <w:bCs w:val="0"/>
                <w:sz w:val="22"/>
                <w:szCs w:val="22"/>
                <w:vertAlign w:val="subscript"/>
              </w:rPr>
            </w:pPr>
            <w:r w:rsidRPr="00950357">
              <w:rPr>
                <w:rFonts w:ascii="Arial" w:hAnsi="Arial" w:cs="Arial"/>
                <w:b w:val="0"/>
                <w:bCs w:val="0"/>
                <w:sz w:val="22"/>
                <w:szCs w:val="22"/>
                <w:vertAlign w:val="subscript"/>
              </w:rPr>
              <w:t>1</w:t>
            </w:r>
          </w:p>
        </w:tc>
        <w:tc>
          <w:tcPr>
            <w:tcW w:w="4813"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Lavadora. Modelo LSI-1000 con secadora incluida (3.5x23x3)m.</w:t>
            </w:r>
          </w:p>
        </w:tc>
        <w:tc>
          <w:tcPr>
            <w:tcW w:w="1565"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$3,915,000</w:t>
            </w:r>
          </w:p>
        </w:tc>
        <w:tc>
          <w:tcPr>
            <w:tcW w:w="1612"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$3,915,000</w:t>
            </w:r>
          </w:p>
        </w:tc>
      </w:tr>
      <w:tr w:rsidR="00E31D8C" w:rsidRPr="00950357" w:rsidTr="000533C7">
        <w:trPr>
          <w:trHeight w:val="97"/>
          <w:jc w:val="center"/>
        </w:trPr>
        <w:tc>
          <w:tcPr>
            <w:cnfStyle w:val="001000000000" w:firstRow="0" w:lastRow="0" w:firstColumn="1" w:lastColumn="0" w:oddVBand="0" w:evenVBand="0" w:oddHBand="0" w:evenHBand="0" w:firstRowFirstColumn="0" w:firstRowLastColumn="0" w:lastRowFirstColumn="0" w:lastRowLastColumn="0"/>
            <w:tcW w:w="1034" w:type="dxa"/>
          </w:tcPr>
          <w:p w:rsidR="00E31D8C" w:rsidRPr="00950357" w:rsidRDefault="00E31D8C" w:rsidP="000533C7">
            <w:pPr>
              <w:jc w:val="center"/>
              <w:rPr>
                <w:rFonts w:ascii="Arial" w:hAnsi="Arial" w:cs="Arial"/>
                <w:b w:val="0"/>
                <w:bCs w:val="0"/>
                <w:sz w:val="22"/>
                <w:szCs w:val="22"/>
                <w:vertAlign w:val="subscript"/>
              </w:rPr>
            </w:pPr>
            <w:r w:rsidRPr="00950357">
              <w:rPr>
                <w:rFonts w:ascii="Arial" w:hAnsi="Arial" w:cs="Arial"/>
                <w:b w:val="0"/>
                <w:bCs w:val="0"/>
                <w:sz w:val="22"/>
                <w:szCs w:val="22"/>
                <w:vertAlign w:val="subscript"/>
              </w:rPr>
              <w:t>3</w:t>
            </w:r>
          </w:p>
        </w:tc>
        <w:tc>
          <w:tcPr>
            <w:tcW w:w="4813"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Válvulas Check de bronce</w:t>
            </w:r>
          </w:p>
        </w:tc>
        <w:tc>
          <w:tcPr>
            <w:tcW w:w="1565"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$4,818</w:t>
            </w:r>
          </w:p>
        </w:tc>
        <w:tc>
          <w:tcPr>
            <w:tcW w:w="1612"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$14,454</w:t>
            </w:r>
          </w:p>
        </w:tc>
      </w:tr>
      <w:tr w:rsidR="00E31D8C" w:rsidRPr="00B15A34" w:rsidTr="000533C7">
        <w:trPr>
          <w:cnfStyle w:val="000000100000" w:firstRow="0" w:lastRow="0" w:firstColumn="0" w:lastColumn="0" w:oddVBand="0" w:evenVBand="0" w:oddHBand="1" w:evenHBand="0" w:firstRowFirstColumn="0" w:firstRowLastColumn="0" w:lastRowFirstColumn="0" w:lastRowLastColumn="0"/>
          <w:trHeight w:val="151"/>
          <w:jc w:val="center"/>
        </w:trPr>
        <w:tc>
          <w:tcPr>
            <w:cnfStyle w:val="001000000000" w:firstRow="0" w:lastRow="0" w:firstColumn="1" w:lastColumn="0" w:oddVBand="0" w:evenVBand="0" w:oddHBand="0" w:evenHBand="0" w:firstRowFirstColumn="0" w:firstRowLastColumn="0" w:lastRowFirstColumn="0" w:lastRowLastColumn="0"/>
            <w:tcW w:w="1034" w:type="dxa"/>
            <w:tcBorders>
              <w:top w:val="none" w:sz="0" w:space="0" w:color="auto"/>
              <w:bottom w:val="none" w:sz="0" w:space="0" w:color="auto"/>
            </w:tcBorders>
          </w:tcPr>
          <w:p w:rsidR="00E31D8C" w:rsidRPr="00950357" w:rsidRDefault="00E31D8C" w:rsidP="000533C7">
            <w:pPr>
              <w:jc w:val="center"/>
              <w:rPr>
                <w:rFonts w:ascii="Arial" w:hAnsi="Arial" w:cs="Arial"/>
                <w:b w:val="0"/>
                <w:bCs w:val="0"/>
                <w:sz w:val="22"/>
                <w:szCs w:val="22"/>
                <w:vertAlign w:val="subscript"/>
              </w:rPr>
            </w:pPr>
            <w:r w:rsidRPr="00950357">
              <w:rPr>
                <w:rFonts w:ascii="Arial" w:hAnsi="Arial" w:cs="Arial"/>
                <w:b w:val="0"/>
                <w:bCs w:val="0"/>
                <w:sz w:val="22"/>
                <w:szCs w:val="22"/>
                <w:vertAlign w:val="subscript"/>
              </w:rPr>
              <w:t>50</w:t>
            </w:r>
          </w:p>
        </w:tc>
        <w:tc>
          <w:tcPr>
            <w:tcW w:w="4813"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Metros de tubería de acero al carbón de ¾”</w:t>
            </w:r>
          </w:p>
        </w:tc>
        <w:tc>
          <w:tcPr>
            <w:tcW w:w="1565"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$220</w:t>
            </w:r>
          </w:p>
        </w:tc>
        <w:tc>
          <w:tcPr>
            <w:tcW w:w="1612"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$11,000</w:t>
            </w:r>
          </w:p>
        </w:tc>
      </w:tr>
      <w:tr w:rsidR="00E31D8C" w:rsidRPr="00950357" w:rsidTr="000533C7">
        <w:trPr>
          <w:trHeight w:val="68"/>
          <w:jc w:val="center"/>
        </w:trPr>
        <w:tc>
          <w:tcPr>
            <w:cnfStyle w:val="001000000000" w:firstRow="0" w:lastRow="0" w:firstColumn="1" w:lastColumn="0" w:oddVBand="0" w:evenVBand="0" w:oddHBand="0" w:evenHBand="0" w:firstRowFirstColumn="0" w:firstRowLastColumn="0" w:lastRowFirstColumn="0" w:lastRowLastColumn="0"/>
            <w:tcW w:w="1034" w:type="dxa"/>
          </w:tcPr>
          <w:p w:rsidR="00E31D8C" w:rsidRPr="00950357" w:rsidRDefault="00E31D8C" w:rsidP="000533C7">
            <w:pPr>
              <w:jc w:val="center"/>
              <w:rPr>
                <w:rFonts w:ascii="Arial" w:hAnsi="Arial" w:cs="Arial"/>
                <w:b w:val="0"/>
                <w:bCs w:val="0"/>
                <w:sz w:val="22"/>
                <w:szCs w:val="22"/>
                <w:vertAlign w:val="subscript"/>
              </w:rPr>
            </w:pPr>
            <w:r w:rsidRPr="00950357">
              <w:rPr>
                <w:rFonts w:ascii="Arial" w:hAnsi="Arial" w:cs="Arial"/>
                <w:b w:val="0"/>
                <w:bCs w:val="0"/>
                <w:sz w:val="22"/>
                <w:szCs w:val="22"/>
                <w:vertAlign w:val="subscript"/>
              </w:rPr>
              <w:t>30</w:t>
            </w:r>
          </w:p>
        </w:tc>
        <w:tc>
          <w:tcPr>
            <w:tcW w:w="4813"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Metros de tubería de acero al carbón de 1.5”</w:t>
            </w:r>
          </w:p>
        </w:tc>
        <w:tc>
          <w:tcPr>
            <w:tcW w:w="1565"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$320</w:t>
            </w:r>
          </w:p>
        </w:tc>
        <w:tc>
          <w:tcPr>
            <w:tcW w:w="1612"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$9,600</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31"/>
          <w:jc w:val="center"/>
        </w:trPr>
        <w:tc>
          <w:tcPr>
            <w:cnfStyle w:val="001000000000" w:firstRow="0" w:lastRow="0" w:firstColumn="1" w:lastColumn="0" w:oddVBand="0" w:evenVBand="0" w:oddHBand="0" w:evenHBand="0" w:firstRowFirstColumn="0" w:firstRowLastColumn="0" w:lastRowFirstColumn="0" w:lastRowLastColumn="0"/>
            <w:tcW w:w="1034" w:type="dxa"/>
            <w:tcBorders>
              <w:top w:val="none" w:sz="0" w:space="0" w:color="auto"/>
              <w:bottom w:val="none" w:sz="0" w:space="0" w:color="auto"/>
            </w:tcBorders>
          </w:tcPr>
          <w:p w:rsidR="00E31D8C" w:rsidRPr="00950357" w:rsidRDefault="00E31D8C" w:rsidP="000533C7">
            <w:pPr>
              <w:jc w:val="center"/>
              <w:rPr>
                <w:rFonts w:ascii="Arial" w:hAnsi="Arial" w:cs="Arial"/>
                <w:b w:val="0"/>
                <w:bCs w:val="0"/>
                <w:sz w:val="22"/>
                <w:szCs w:val="22"/>
                <w:vertAlign w:val="subscript"/>
              </w:rPr>
            </w:pPr>
            <w:r w:rsidRPr="00950357">
              <w:rPr>
                <w:rFonts w:ascii="Arial" w:hAnsi="Arial" w:cs="Arial"/>
                <w:b w:val="0"/>
                <w:bCs w:val="0"/>
                <w:sz w:val="22"/>
                <w:szCs w:val="22"/>
                <w:vertAlign w:val="subscript"/>
              </w:rPr>
              <w:t>1</w:t>
            </w:r>
          </w:p>
        </w:tc>
        <w:tc>
          <w:tcPr>
            <w:tcW w:w="4813"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Tanque de agua con capacidad de 20 m3 (3m dx3m h).</w:t>
            </w:r>
          </w:p>
        </w:tc>
        <w:tc>
          <w:tcPr>
            <w:tcW w:w="1565"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$24,000</w:t>
            </w:r>
          </w:p>
        </w:tc>
        <w:tc>
          <w:tcPr>
            <w:tcW w:w="1612"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$24,000</w:t>
            </w:r>
          </w:p>
        </w:tc>
      </w:tr>
      <w:tr w:rsidR="00E31D8C" w:rsidRPr="00950357" w:rsidTr="000533C7">
        <w:trPr>
          <w:trHeight w:val="125"/>
          <w:jc w:val="center"/>
        </w:trPr>
        <w:tc>
          <w:tcPr>
            <w:cnfStyle w:val="001000000000" w:firstRow="0" w:lastRow="0" w:firstColumn="1" w:lastColumn="0" w:oddVBand="0" w:evenVBand="0" w:oddHBand="0" w:evenHBand="0" w:firstRowFirstColumn="0" w:firstRowLastColumn="0" w:lastRowFirstColumn="0" w:lastRowLastColumn="0"/>
            <w:tcW w:w="1034" w:type="dxa"/>
          </w:tcPr>
          <w:p w:rsidR="00E31D8C" w:rsidRPr="00950357" w:rsidRDefault="00E31D8C" w:rsidP="000533C7">
            <w:pPr>
              <w:jc w:val="center"/>
              <w:rPr>
                <w:rFonts w:ascii="Arial" w:hAnsi="Arial" w:cs="Arial"/>
                <w:b w:val="0"/>
                <w:bCs w:val="0"/>
                <w:sz w:val="22"/>
                <w:szCs w:val="22"/>
                <w:vertAlign w:val="subscript"/>
              </w:rPr>
            </w:pPr>
          </w:p>
        </w:tc>
        <w:tc>
          <w:tcPr>
            <w:tcW w:w="4813"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Total de equipos</w:t>
            </w:r>
          </w:p>
        </w:tc>
        <w:tc>
          <w:tcPr>
            <w:tcW w:w="1565"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p>
        </w:tc>
        <w:tc>
          <w:tcPr>
            <w:tcW w:w="1612"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r w:rsidRPr="00B15A34">
              <w:rPr>
                <w:rFonts w:ascii="Arial" w:hAnsi="Arial" w:cs="Arial"/>
                <w:sz w:val="22"/>
                <w:szCs w:val="22"/>
                <w:vertAlign w:val="subscript"/>
              </w:rPr>
              <w:t>$4,559,054</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114"/>
          <w:jc w:val="center"/>
        </w:trPr>
        <w:tc>
          <w:tcPr>
            <w:cnfStyle w:val="001000000000" w:firstRow="0" w:lastRow="0" w:firstColumn="1" w:lastColumn="0" w:oddVBand="0" w:evenVBand="0" w:oddHBand="0" w:evenHBand="0" w:firstRowFirstColumn="0" w:firstRowLastColumn="0" w:lastRowFirstColumn="0" w:lastRowLastColumn="0"/>
            <w:tcW w:w="1034" w:type="dxa"/>
            <w:tcBorders>
              <w:top w:val="none" w:sz="0" w:space="0" w:color="auto"/>
              <w:bottom w:val="none" w:sz="0" w:space="0" w:color="auto"/>
            </w:tcBorders>
          </w:tcPr>
          <w:p w:rsidR="00E31D8C" w:rsidRPr="00950357" w:rsidRDefault="00E31D8C" w:rsidP="000533C7">
            <w:pPr>
              <w:jc w:val="center"/>
              <w:rPr>
                <w:rFonts w:ascii="Arial" w:hAnsi="Arial" w:cs="Arial"/>
                <w:b w:val="0"/>
                <w:bCs w:val="0"/>
                <w:sz w:val="22"/>
                <w:szCs w:val="22"/>
                <w:vertAlign w:val="subscript"/>
              </w:rPr>
            </w:pPr>
            <w:r w:rsidRPr="00950357">
              <w:rPr>
                <w:rFonts w:ascii="Arial" w:hAnsi="Arial" w:cs="Arial"/>
                <w:b w:val="0"/>
                <w:bCs w:val="0"/>
                <w:sz w:val="22"/>
                <w:szCs w:val="22"/>
                <w:vertAlign w:val="subscript"/>
              </w:rPr>
              <w:t>3,500</w:t>
            </w:r>
          </w:p>
        </w:tc>
        <w:tc>
          <w:tcPr>
            <w:tcW w:w="4813"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Metros cuadrados de construcción</w:t>
            </w:r>
          </w:p>
        </w:tc>
        <w:tc>
          <w:tcPr>
            <w:tcW w:w="1565"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$1,280</w:t>
            </w:r>
          </w:p>
        </w:tc>
        <w:tc>
          <w:tcPr>
            <w:tcW w:w="1612" w:type="dxa"/>
            <w:tcBorders>
              <w:top w:val="none" w:sz="0" w:space="0" w:color="auto"/>
              <w:bottom w:val="none" w:sz="0" w:space="0" w:color="auto"/>
            </w:tcBorders>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$4,480,000</w:t>
            </w:r>
          </w:p>
        </w:tc>
      </w:tr>
      <w:tr w:rsidR="00E31D8C" w:rsidRPr="00950357" w:rsidTr="000533C7">
        <w:trPr>
          <w:trHeight w:val="104"/>
          <w:jc w:val="center"/>
        </w:trPr>
        <w:tc>
          <w:tcPr>
            <w:cnfStyle w:val="001000000000" w:firstRow="0" w:lastRow="0" w:firstColumn="1" w:lastColumn="0" w:oddVBand="0" w:evenVBand="0" w:oddHBand="0" w:evenHBand="0" w:firstRowFirstColumn="0" w:firstRowLastColumn="0" w:lastRowFirstColumn="0" w:lastRowLastColumn="0"/>
            <w:tcW w:w="1034" w:type="dxa"/>
          </w:tcPr>
          <w:p w:rsidR="00E31D8C" w:rsidRPr="00950357" w:rsidRDefault="00E31D8C" w:rsidP="000533C7">
            <w:pPr>
              <w:jc w:val="center"/>
              <w:rPr>
                <w:rFonts w:ascii="Arial" w:hAnsi="Arial" w:cs="Arial"/>
                <w:b w:val="0"/>
                <w:bCs w:val="0"/>
                <w:sz w:val="22"/>
                <w:szCs w:val="22"/>
                <w:vertAlign w:val="subscript"/>
              </w:rPr>
            </w:pPr>
          </w:p>
        </w:tc>
        <w:tc>
          <w:tcPr>
            <w:tcW w:w="4813"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Costo de instalación (por regla heurística 10% del precio de equipos).</w:t>
            </w:r>
          </w:p>
        </w:tc>
        <w:tc>
          <w:tcPr>
            <w:tcW w:w="1565"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p>
        </w:tc>
        <w:tc>
          <w:tcPr>
            <w:tcW w:w="1612" w:type="dxa"/>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vertAlign w:val="subscript"/>
              </w:rPr>
            </w:pPr>
            <w:r w:rsidRPr="00950357">
              <w:rPr>
                <w:rFonts w:ascii="Arial" w:hAnsi="Arial" w:cs="Arial"/>
                <w:sz w:val="22"/>
                <w:szCs w:val="22"/>
                <w:vertAlign w:val="subscript"/>
              </w:rPr>
              <w:t>$448,000</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85"/>
          <w:jc w:val="center"/>
        </w:trPr>
        <w:tc>
          <w:tcPr>
            <w:cnfStyle w:val="001000000000" w:firstRow="0" w:lastRow="0" w:firstColumn="1" w:lastColumn="0" w:oddVBand="0" w:evenVBand="0" w:oddHBand="0" w:evenHBand="0" w:firstRowFirstColumn="0" w:firstRowLastColumn="0" w:lastRowFirstColumn="0" w:lastRowLastColumn="0"/>
            <w:tcW w:w="1034" w:type="dxa"/>
            <w:tcBorders>
              <w:top w:val="none" w:sz="0" w:space="0" w:color="auto"/>
              <w:bottom w:val="none" w:sz="0" w:space="0" w:color="auto"/>
            </w:tcBorders>
          </w:tcPr>
          <w:p w:rsidR="00E31D8C" w:rsidRPr="00950357" w:rsidRDefault="00E31D8C" w:rsidP="000533C7">
            <w:pPr>
              <w:jc w:val="center"/>
              <w:rPr>
                <w:rFonts w:ascii="Arial" w:hAnsi="Arial" w:cs="Arial"/>
                <w:b w:val="0"/>
                <w:bCs w:val="0"/>
                <w:sz w:val="22"/>
                <w:szCs w:val="22"/>
                <w:vertAlign w:val="subscript"/>
              </w:rPr>
            </w:pPr>
          </w:p>
        </w:tc>
        <w:tc>
          <w:tcPr>
            <w:tcW w:w="4813" w:type="dxa"/>
            <w:tcBorders>
              <w:top w:val="none" w:sz="0" w:space="0" w:color="auto"/>
              <w:bottom w:val="none" w:sz="0" w:space="0" w:color="auto"/>
            </w:tcBorders>
          </w:tcPr>
          <w:p w:rsidR="00E31D8C" w:rsidRPr="00B15A34"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vertAlign w:val="subscript"/>
              </w:rPr>
            </w:pPr>
            <w:r w:rsidRPr="00B15A34">
              <w:rPr>
                <w:rFonts w:ascii="Arial" w:hAnsi="Arial" w:cs="Arial"/>
                <w:b/>
                <w:bCs/>
                <w:sz w:val="22"/>
                <w:szCs w:val="22"/>
                <w:vertAlign w:val="subscript"/>
              </w:rPr>
              <w:t xml:space="preserve">Total </w:t>
            </w:r>
            <w:r>
              <w:rPr>
                <w:rFonts w:ascii="Arial" w:hAnsi="Arial" w:cs="Arial"/>
                <w:b/>
                <w:bCs/>
                <w:sz w:val="22"/>
                <w:szCs w:val="22"/>
                <w:vertAlign w:val="subscript"/>
              </w:rPr>
              <w:t xml:space="preserve">de </w:t>
            </w:r>
            <w:r w:rsidRPr="00B15A34">
              <w:rPr>
                <w:rFonts w:ascii="Arial" w:hAnsi="Arial" w:cs="Arial"/>
                <w:b/>
                <w:bCs/>
                <w:sz w:val="22"/>
                <w:szCs w:val="22"/>
                <w:vertAlign w:val="subscript"/>
              </w:rPr>
              <w:t>inversión fija</w:t>
            </w:r>
          </w:p>
        </w:tc>
        <w:tc>
          <w:tcPr>
            <w:tcW w:w="1565" w:type="dxa"/>
            <w:tcBorders>
              <w:top w:val="none" w:sz="0" w:space="0" w:color="auto"/>
              <w:bottom w:val="none" w:sz="0" w:space="0" w:color="auto"/>
            </w:tcBorders>
          </w:tcPr>
          <w:p w:rsidR="00E31D8C" w:rsidRPr="00B15A34"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vertAlign w:val="subscript"/>
              </w:rPr>
            </w:pPr>
          </w:p>
        </w:tc>
        <w:tc>
          <w:tcPr>
            <w:tcW w:w="1612" w:type="dxa"/>
            <w:tcBorders>
              <w:top w:val="none" w:sz="0" w:space="0" w:color="auto"/>
              <w:bottom w:val="none" w:sz="0" w:space="0" w:color="auto"/>
            </w:tcBorders>
          </w:tcPr>
          <w:p w:rsidR="00E31D8C" w:rsidRPr="00B15A34"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vertAlign w:val="subscript"/>
              </w:rPr>
            </w:pPr>
            <w:r w:rsidRPr="00B15A34">
              <w:rPr>
                <w:rFonts w:ascii="Arial" w:hAnsi="Arial" w:cs="Arial"/>
                <w:b/>
                <w:bCs/>
                <w:sz w:val="22"/>
                <w:szCs w:val="22"/>
                <w:vertAlign w:val="subscript"/>
              </w:rPr>
              <w:t>$9,487,054</w:t>
            </w:r>
          </w:p>
        </w:tc>
      </w:tr>
    </w:tbl>
    <w:p w:rsidR="00E31D8C" w:rsidRPr="00553BC3" w:rsidRDefault="00E31D8C" w:rsidP="00E31D8C">
      <w:pPr>
        <w:spacing w:line="240" w:lineRule="auto"/>
        <w:ind w:firstLine="708"/>
        <w:jc w:val="both"/>
        <w:rPr>
          <w:rFonts w:ascii="Arial" w:hAnsi="Arial" w:cs="Arial"/>
          <w:sz w:val="24"/>
          <w:szCs w:val="24"/>
        </w:rPr>
      </w:pPr>
      <w:r w:rsidRPr="00553BC3">
        <w:rPr>
          <w:rFonts w:ascii="Arial" w:hAnsi="Arial" w:cs="Arial"/>
          <w:sz w:val="24"/>
          <w:szCs w:val="24"/>
        </w:rPr>
        <w:t xml:space="preserve">Los costos son de referencia con fines presupuestales, sin embargo, pueden variar según el proveedor al que se acuda. También se consideraron los costos por día de operación de servicios auxiliares (energía eléctrica, agua y gas) y del capital humano de acuerdo con datos de la Comisión Nacional de Salarios Mínimos para una planta que operará 300 días al año </w:t>
      </w:r>
      <w:r w:rsidRPr="008B63F5">
        <w:rPr>
          <w:rFonts w:ascii="Arial" w:hAnsi="Arial" w:cs="Arial"/>
          <w:sz w:val="24"/>
          <w:szCs w:val="24"/>
          <w:vertAlign w:val="superscript"/>
        </w:rPr>
        <w:t>[10]</w:t>
      </w:r>
      <w:r>
        <w:rPr>
          <w:rFonts w:ascii="Arial" w:hAnsi="Arial" w:cs="Arial"/>
          <w:sz w:val="24"/>
          <w:szCs w:val="24"/>
        </w:rPr>
        <w:t>.</w:t>
      </w:r>
    </w:p>
    <w:p w:rsidR="00E31D8C" w:rsidRPr="00553BC3" w:rsidRDefault="00E31D8C" w:rsidP="00E31D8C">
      <w:pPr>
        <w:spacing w:line="240" w:lineRule="auto"/>
        <w:ind w:firstLine="708"/>
        <w:jc w:val="both"/>
        <w:rPr>
          <w:rFonts w:ascii="Arial" w:hAnsi="Arial" w:cs="Arial"/>
          <w:sz w:val="24"/>
          <w:szCs w:val="24"/>
        </w:rPr>
      </w:pPr>
      <w:r w:rsidRPr="00553BC3">
        <w:rPr>
          <w:rFonts w:ascii="Arial" w:hAnsi="Arial" w:cs="Arial"/>
          <w:sz w:val="24"/>
          <w:szCs w:val="24"/>
        </w:rPr>
        <w:t xml:space="preserve">A continuación, se presenta en la tabla 5 el estudio de factibilidad económico general realizado por la Asociación de Recicladores de Plásticos Agrícolas de México (ARPAM) con base en la inversión fija y costos por día de operación para la planta recicladora de agroplásticos con un alcance de 3 </w:t>
      </w:r>
      <w:r>
        <w:rPr>
          <w:rFonts w:ascii="Arial" w:hAnsi="Arial" w:cs="Arial"/>
          <w:sz w:val="24"/>
          <w:szCs w:val="24"/>
        </w:rPr>
        <w:t>t</w:t>
      </w:r>
      <w:r w:rsidRPr="00553BC3">
        <w:rPr>
          <w:rFonts w:ascii="Arial" w:hAnsi="Arial" w:cs="Arial"/>
          <w:sz w:val="24"/>
          <w:szCs w:val="24"/>
        </w:rPr>
        <w:t>/h con operatividad de 300 días anuales:</w:t>
      </w:r>
    </w:p>
    <w:p w:rsidR="00E31D8C" w:rsidRPr="00950357" w:rsidRDefault="00E31D8C" w:rsidP="00E31D8C">
      <w:pPr>
        <w:pStyle w:val="Descripcin"/>
        <w:keepNext/>
        <w:spacing w:after="0"/>
        <w:jc w:val="center"/>
        <w:rPr>
          <w:rFonts w:ascii="Times New Roman" w:hAnsi="Times New Roman" w:cs="Times New Roman"/>
          <w:color w:val="auto"/>
          <w:sz w:val="20"/>
          <w:szCs w:val="20"/>
        </w:rPr>
      </w:pPr>
      <w:bookmarkStart w:id="473" w:name="_Toc31756100"/>
      <w:r w:rsidRPr="00950357">
        <w:rPr>
          <w:rFonts w:ascii="Times New Roman" w:hAnsi="Times New Roman" w:cs="Times New Roman"/>
          <w:color w:val="auto"/>
          <w:sz w:val="20"/>
          <w:szCs w:val="20"/>
        </w:rPr>
        <w:t xml:space="preserve">Tabla </w:t>
      </w:r>
      <w:r w:rsidRPr="00950357">
        <w:rPr>
          <w:rFonts w:ascii="Times New Roman" w:hAnsi="Times New Roman" w:cs="Times New Roman"/>
          <w:color w:val="auto"/>
          <w:sz w:val="20"/>
          <w:szCs w:val="20"/>
        </w:rPr>
        <w:fldChar w:fldCharType="begin"/>
      </w:r>
      <w:r w:rsidRPr="00950357">
        <w:rPr>
          <w:rFonts w:ascii="Times New Roman" w:hAnsi="Times New Roman" w:cs="Times New Roman"/>
          <w:color w:val="auto"/>
          <w:sz w:val="20"/>
          <w:szCs w:val="20"/>
        </w:rPr>
        <w:instrText xml:space="preserve"> SEQ Tabla_6. \* ARABIC </w:instrText>
      </w:r>
      <w:r w:rsidRPr="00950357">
        <w:rPr>
          <w:rFonts w:ascii="Times New Roman" w:hAnsi="Times New Roman" w:cs="Times New Roman"/>
          <w:color w:val="auto"/>
          <w:sz w:val="20"/>
          <w:szCs w:val="20"/>
        </w:rPr>
        <w:fldChar w:fldCharType="separate"/>
      </w:r>
      <w:r w:rsidRPr="00950357">
        <w:rPr>
          <w:rFonts w:ascii="Times New Roman" w:hAnsi="Times New Roman" w:cs="Times New Roman"/>
          <w:color w:val="auto"/>
          <w:sz w:val="20"/>
          <w:szCs w:val="20"/>
        </w:rPr>
        <w:t>5</w:t>
      </w:r>
      <w:r w:rsidRPr="00950357">
        <w:rPr>
          <w:rFonts w:ascii="Times New Roman" w:hAnsi="Times New Roman" w:cs="Times New Roman"/>
          <w:color w:val="auto"/>
          <w:sz w:val="20"/>
          <w:szCs w:val="20"/>
        </w:rPr>
        <w:fldChar w:fldCharType="end"/>
      </w:r>
      <w:r w:rsidRPr="00950357">
        <w:rPr>
          <w:rFonts w:ascii="Times New Roman" w:hAnsi="Times New Roman" w:cs="Times New Roman"/>
          <w:color w:val="auto"/>
          <w:sz w:val="20"/>
          <w:szCs w:val="20"/>
        </w:rPr>
        <w:t>. Estudio económico general de factibilida</w:t>
      </w:r>
      <w:bookmarkEnd w:id="473"/>
      <w:r w:rsidRPr="00950357">
        <w:rPr>
          <w:rFonts w:ascii="Times New Roman" w:hAnsi="Times New Roman" w:cs="Times New Roman"/>
          <w:color w:val="auto"/>
          <w:sz w:val="20"/>
          <w:szCs w:val="20"/>
        </w:rPr>
        <w:t xml:space="preserve">d </w:t>
      </w:r>
      <w:r w:rsidRPr="008B63F5">
        <w:rPr>
          <w:rFonts w:ascii="Times New Roman" w:hAnsi="Times New Roman" w:cs="Times New Roman"/>
          <w:color w:val="auto"/>
          <w:sz w:val="20"/>
          <w:szCs w:val="20"/>
          <w:vertAlign w:val="superscript"/>
        </w:rPr>
        <w:t>[4]</w:t>
      </w:r>
      <w:r>
        <w:rPr>
          <w:rFonts w:ascii="Times New Roman" w:hAnsi="Times New Roman" w:cs="Times New Roman"/>
          <w:color w:val="auto"/>
          <w:sz w:val="20"/>
          <w:szCs w:val="20"/>
        </w:rPr>
        <w:t>.</w:t>
      </w:r>
    </w:p>
    <w:tbl>
      <w:tblPr>
        <w:tblStyle w:val="Tablanormal2"/>
        <w:tblW w:w="74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2"/>
        <w:gridCol w:w="1788"/>
        <w:gridCol w:w="1476"/>
        <w:gridCol w:w="1948"/>
      </w:tblGrid>
      <w:tr w:rsidR="00E31D8C" w:rsidRPr="00950357" w:rsidTr="000533C7">
        <w:trPr>
          <w:cnfStyle w:val="100000000000" w:firstRow="1" w:lastRow="0" w:firstColumn="0" w:lastColumn="0" w:oddVBand="0" w:evenVBand="0" w:oddHBand="0" w:evenHBand="0" w:firstRowFirstColumn="0" w:firstRowLastColumn="0" w:lastRowFirstColumn="0" w:lastRowLastColumn="0"/>
          <w:trHeight w:val="33"/>
          <w:jc w:val="center"/>
        </w:trPr>
        <w:tc>
          <w:tcPr>
            <w:cnfStyle w:val="001000000000" w:firstRow="0" w:lastRow="0" w:firstColumn="1" w:lastColumn="0" w:oddVBand="0" w:evenVBand="0" w:oddHBand="0" w:evenHBand="0" w:firstRowFirstColumn="0" w:firstRowLastColumn="0" w:lastRowFirstColumn="0" w:lastRowLastColumn="0"/>
            <w:tcW w:w="2222" w:type="dxa"/>
          </w:tcPr>
          <w:p w:rsidR="00E31D8C" w:rsidRPr="00950357" w:rsidRDefault="00E31D8C" w:rsidP="000533C7">
            <w:pPr>
              <w:pStyle w:val="Prrafodelista"/>
              <w:ind w:left="0"/>
              <w:jc w:val="center"/>
              <w:rPr>
                <w:rFonts w:ascii="Arial" w:hAnsi="Arial" w:cs="Arial"/>
                <w:sz w:val="18"/>
                <w:szCs w:val="18"/>
              </w:rPr>
            </w:pPr>
          </w:p>
        </w:tc>
        <w:tc>
          <w:tcPr>
            <w:tcW w:w="1788" w:type="dxa"/>
          </w:tcPr>
          <w:p w:rsidR="00E31D8C" w:rsidRPr="00950357" w:rsidRDefault="00E31D8C" w:rsidP="000533C7">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t</w:t>
            </w:r>
            <w:r w:rsidRPr="00950357">
              <w:rPr>
                <w:rFonts w:ascii="Arial" w:hAnsi="Arial" w:cs="Arial"/>
                <w:sz w:val="18"/>
                <w:szCs w:val="18"/>
              </w:rPr>
              <w:t>/hora</w:t>
            </w:r>
          </w:p>
        </w:tc>
        <w:tc>
          <w:tcPr>
            <w:tcW w:w="1476" w:type="dxa"/>
          </w:tcPr>
          <w:p w:rsidR="00E31D8C" w:rsidRPr="00950357" w:rsidRDefault="00E31D8C" w:rsidP="000533C7">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t</w:t>
            </w:r>
            <w:r w:rsidRPr="00950357">
              <w:rPr>
                <w:rFonts w:ascii="Arial" w:hAnsi="Arial" w:cs="Arial"/>
                <w:sz w:val="18"/>
                <w:szCs w:val="18"/>
              </w:rPr>
              <w:t>/día</w:t>
            </w:r>
          </w:p>
        </w:tc>
        <w:tc>
          <w:tcPr>
            <w:tcW w:w="1948" w:type="dxa"/>
          </w:tcPr>
          <w:p w:rsidR="00E31D8C" w:rsidRPr="00950357" w:rsidRDefault="00E31D8C" w:rsidP="000533C7">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t</w:t>
            </w:r>
            <w:r w:rsidRPr="00950357">
              <w:rPr>
                <w:rFonts w:ascii="Arial" w:hAnsi="Arial" w:cs="Arial"/>
                <w:sz w:val="18"/>
                <w:szCs w:val="18"/>
              </w:rPr>
              <w:t>/año</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30"/>
          <w:jc w:val="center"/>
        </w:trPr>
        <w:tc>
          <w:tcPr>
            <w:cnfStyle w:val="001000000000" w:firstRow="0" w:lastRow="0" w:firstColumn="1" w:lastColumn="0" w:oddVBand="0" w:evenVBand="0" w:oddHBand="0" w:evenHBand="0" w:firstRowFirstColumn="0" w:firstRowLastColumn="0" w:lastRowFirstColumn="0" w:lastRowLastColumn="0"/>
            <w:tcW w:w="2222" w:type="dxa"/>
          </w:tcPr>
          <w:p w:rsidR="00E31D8C" w:rsidRPr="00950357" w:rsidRDefault="00E31D8C" w:rsidP="000533C7">
            <w:pPr>
              <w:pStyle w:val="Prrafodelista"/>
              <w:ind w:left="0"/>
              <w:jc w:val="center"/>
              <w:rPr>
                <w:rFonts w:ascii="Arial" w:hAnsi="Arial" w:cs="Arial"/>
                <w:sz w:val="18"/>
                <w:szCs w:val="18"/>
              </w:rPr>
            </w:pPr>
            <w:r w:rsidRPr="00950357">
              <w:rPr>
                <w:rFonts w:ascii="Arial" w:hAnsi="Arial" w:cs="Arial"/>
                <w:sz w:val="18"/>
                <w:szCs w:val="18"/>
              </w:rPr>
              <w:t>PRODUCCIÓN</w:t>
            </w:r>
          </w:p>
        </w:tc>
        <w:tc>
          <w:tcPr>
            <w:tcW w:w="1788" w:type="dxa"/>
          </w:tcPr>
          <w:p w:rsidR="00E31D8C" w:rsidRPr="00950357" w:rsidRDefault="00E31D8C" w:rsidP="000533C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50357">
              <w:rPr>
                <w:rFonts w:ascii="Arial" w:hAnsi="Arial" w:cs="Arial"/>
                <w:sz w:val="18"/>
                <w:szCs w:val="18"/>
              </w:rPr>
              <w:t>3</w:t>
            </w:r>
          </w:p>
        </w:tc>
        <w:tc>
          <w:tcPr>
            <w:tcW w:w="1476" w:type="dxa"/>
          </w:tcPr>
          <w:p w:rsidR="00E31D8C" w:rsidRPr="00950357" w:rsidRDefault="00E31D8C" w:rsidP="000533C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50357">
              <w:rPr>
                <w:rFonts w:ascii="Arial" w:hAnsi="Arial" w:cs="Arial"/>
                <w:sz w:val="18"/>
                <w:szCs w:val="18"/>
              </w:rPr>
              <w:t>48</w:t>
            </w:r>
          </w:p>
        </w:tc>
        <w:tc>
          <w:tcPr>
            <w:tcW w:w="1948" w:type="dxa"/>
          </w:tcPr>
          <w:p w:rsidR="00E31D8C" w:rsidRPr="00950357" w:rsidRDefault="00E31D8C" w:rsidP="000533C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50357">
              <w:rPr>
                <w:rFonts w:ascii="Arial" w:hAnsi="Arial" w:cs="Arial"/>
                <w:sz w:val="18"/>
                <w:szCs w:val="18"/>
              </w:rPr>
              <w:t>14,400</w:t>
            </w:r>
          </w:p>
        </w:tc>
      </w:tr>
      <w:tr w:rsidR="00E31D8C" w:rsidRPr="00950357" w:rsidTr="000533C7">
        <w:trPr>
          <w:trHeight w:val="33"/>
          <w:jc w:val="center"/>
        </w:trPr>
        <w:tc>
          <w:tcPr>
            <w:cnfStyle w:val="001000000000" w:firstRow="0" w:lastRow="0" w:firstColumn="1" w:lastColumn="0" w:oddVBand="0" w:evenVBand="0" w:oddHBand="0" w:evenHBand="0" w:firstRowFirstColumn="0" w:firstRowLastColumn="0" w:lastRowFirstColumn="0" w:lastRowLastColumn="0"/>
            <w:tcW w:w="2222" w:type="dxa"/>
          </w:tcPr>
          <w:p w:rsidR="00E31D8C" w:rsidRPr="00950357" w:rsidRDefault="00E31D8C" w:rsidP="000533C7">
            <w:pPr>
              <w:pStyle w:val="Prrafodelista"/>
              <w:ind w:left="0"/>
              <w:jc w:val="center"/>
              <w:rPr>
                <w:rFonts w:ascii="Arial" w:hAnsi="Arial" w:cs="Arial"/>
                <w:b w:val="0"/>
                <w:bCs w:val="0"/>
                <w:sz w:val="18"/>
                <w:szCs w:val="18"/>
              </w:rPr>
            </w:pPr>
            <w:r w:rsidRPr="00950357">
              <w:rPr>
                <w:rFonts w:ascii="Arial" w:hAnsi="Arial" w:cs="Arial"/>
                <w:b w:val="0"/>
                <w:bCs w:val="0"/>
                <w:sz w:val="18"/>
                <w:szCs w:val="18"/>
              </w:rPr>
              <w:t>Costo acopio</w:t>
            </w:r>
          </w:p>
          <w:p w:rsidR="00E31D8C" w:rsidRPr="00950357" w:rsidRDefault="00E31D8C" w:rsidP="000533C7">
            <w:pPr>
              <w:pStyle w:val="Prrafodelista"/>
              <w:ind w:left="0"/>
              <w:jc w:val="center"/>
              <w:rPr>
                <w:rFonts w:ascii="Arial" w:hAnsi="Arial" w:cs="Arial"/>
                <w:b w:val="0"/>
                <w:bCs w:val="0"/>
                <w:sz w:val="18"/>
                <w:szCs w:val="18"/>
              </w:rPr>
            </w:pPr>
            <w:r w:rsidRPr="00950357">
              <w:rPr>
                <w:rFonts w:ascii="Arial" w:hAnsi="Arial" w:cs="Arial"/>
                <w:b w:val="0"/>
                <w:bCs w:val="0"/>
                <w:sz w:val="18"/>
                <w:szCs w:val="18"/>
              </w:rPr>
              <w:t>(6 pesos/Kg)</w:t>
            </w:r>
          </w:p>
        </w:tc>
        <w:tc>
          <w:tcPr>
            <w:tcW w:w="1788" w:type="dxa"/>
          </w:tcPr>
          <w:p w:rsidR="00E31D8C" w:rsidRPr="00950357" w:rsidRDefault="00E31D8C" w:rsidP="000533C7">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50357">
              <w:rPr>
                <w:rFonts w:ascii="Arial" w:hAnsi="Arial" w:cs="Arial"/>
                <w:sz w:val="18"/>
                <w:szCs w:val="18"/>
              </w:rPr>
              <w:t>18,000</w:t>
            </w:r>
          </w:p>
        </w:tc>
        <w:tc>
          <w:tcPr>
            <w:tcW w:w="1476" w:type="dxa"/>
          </w:tcPr>
          <w:p w:rsidR="00E31D8C" w:rsidRPr="00950357" w:rsidRDefault="00E31D8C" w:rsidP="000533C7">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50357">
              <w:rPr>
                <w:rFonts w:ascii="Arial" w:hAnsi="Arial" w:cs="Arial"/>
                <w:sz w:val="18"/>
                <w:szCs w:val="18"/>
              </w:rPr>
              <w:t>288,000</w:t>
            </w:r>
          </w:p>
        </w:tc>
        <w:tc>
          <w:tcPr>
            <w:tcW w:w="1948" w:type="dxa"/>
          </w:tcPr>
          <w:p w:rsidR="00E31D8C" w:rsidRPr="00950357" w:rsidRDefault="00E31D8C" w:rsidP="000533C7">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50357">
              <w:rPr>
                <w:rFonts w:ascii="Arial" w:hAnsi="Arial" w:cs="Arial"/>
                <w:sz w:val="18"/>
                <w:szCs w:val="18"/>
              </w:rPr>
              <w:t>86,400,000</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33"/>
          <w:jc w:val="center"/>
        </w:trPr>
        <w:tc>
          <w:tcPr>
            <w:cnfStyle w:val="001000000000" w:firstRow="0" w:lastRow="0" w:firstColumn="1" w:lastColumn="0" w:oddVBand="0" w:evenVBand="0" w:oddHBand="0" w:evenHBand="0" w:firstRowFirstColumn="0" w:firstRowLastColumn="0" w:lastRowFirstColumn="0" w:lastRowLastColumn="0"/>
            <w:tcW w:w="2222" w:type="dxa"/>
          </w:tcPr>
          <w:p w:rsidR="00E31D8C" w:rsidRPr="00950357" w:rsidRDefault="00E31D8C" w:rsidP="000533C7">
            <w:pPr>
              <w:pStyle w:val="Prrafodelista"/>
              <w:ind w:left="0"/>
              <w:jc w:val="center"/>
              <w:rPr>
                <w:rFonts w:ascii="Arial" w:hAnsi="Arial" w:cs="Arial"/>
                <w:b w:val="0"/>
                <w:bCs w:val="0"/>
                <w:sz w:val="18"/>
                <w:szCs w:val="18"/>
              </w:rPr>
            </w:pPr>
            <w:r w:rsidRPr="00950357">
              <w:rPr>
                <w:rFonts w:ascii="Arial" w:hAnsi="Arial" w:cs="Arial"/>
                <w:b w:val="0"/>
                <w:bCs w:val="0"/>
                <w:sz w:val="18"/>
                <w:szCs w:val="18"/>
              </w:rPr>
              <w:t>Costo reciclaje</w:t>
            </w:r>
          </w:p>
          <w:p w:rsidR="00E31D8C" w:rsidRPr="00950357" w:rsidRDefault="00E31D8C" w:rsidP="000533C7">
            <w:pPr>
              <w:pStyle w:val="Prrafodelista"/>
              <w:ind w:left="0"/>
              <w:jc w:val="center"/>
              <w:rPr>
                <w:rFonts w:ascii="Arial" w:hAnsi="Arial" w:cs="Arial"/>
                <w:b w:val="0"/>
                <w:bCs w:val="0"/>
                <w:sz w:val="18"/>
                <w:szCs w:val="18"/>
              </w:rPr>
            </w:pPr>
            <w:r w:rsidRPr="00950357">
              <w:rPr>
                <w:rFonts w:ascii="Arial" w:hAnsi="Arial" w:cs="Arial"/>
                <w:b w:val="0"/>
                <w:bCs w:val="0"/>
                <w:sz w:val="18"/>
                <w:szCs w:val="18"/>
              </w:rPr>
              <w:t>(9 pesos/Kg)</w:t>
            </w:r>
          </w:p>
        </w:tc>
        <w:tc>
          <w:tcPr>
            <w:tcW w:w="1788" w:type="dxa"/>
          </w:tcPr>
          <w:p w:rsidR="00E31D8C" w:rsidRPr="00950357" w:rsidRDefault="00E31D8C" w:rsidP="000533C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50357">
              <w:rPr>
                <w:rFonts w:ascii="Arial" w:hAnsi="Arial" w:cs="Arial"/>
                <w:sz w:val="18"/>
                <w:szCs w:val="18"/>
              </w:rPr>
              <w:t>27,000</w:t>
            </w:r>
          </w:p>
        </w:tc>
        <w:tc>
          <w:tcPr>
            <w:tcW w:w="1476" w:type="dxa"/>
          </w:tcPr>
          <w:p w:rsidR="00E31D8C" w:rsidRPr="00950357" w:rsidRDefault="00E31D8C" w:rsidP="000533C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50357">
              <w:rPr>
                <w:rFonts w:ascii="Arial" w:hAnsi="Arial" w:cs="Arial"/>
                <w:sz w:val="18"/>
                <w:szCs w:val="18"/>
              </w:rPr>
              <w:t>432,000</w:t>
            </w:r>
          </w:p>
        </w:tc>
        <w:tc>
          <w:tcPr>
            <w:tcW w:w="1948" w:type="dxa"/>
          </w:tcPr>
          <w:p w:rsidR="00E31D8C" w:rsidRPr="00950357" w:rsidRDefault="00E31D8C" w:rsidP="000533C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50357">
              <w:rPr>
                <w:rFonts w:ascii="Arial" w:hAnsi="Arial" w:cs="Arial"/>
                <w:sz w:val="18"/>
                <w:szCs w:val="18"/>
              </w:rPr>
              <w:t>129,600,000</w:t>
            </w:r>
          </w:p>
        </w:tc>
      </w:tr>
      <w:tr w:rsidR="00E31D8C" w:rsidRPr="00950357" w:rsidTr="000533C7">
        <w:trPr>
          <w:trHeight w:val="33"/>
          <w:jc w:val="center"/>
        </w:trPr>
        <w:tc>
          <w:tcPr>
            <w:cnfStyle w:val="001000000000" w:firstRow="0" w:lastRow="0" w:firstColumn="1" w:lastColumn="0" w:oddVBand="0" w:evenVBand="0" w:oddHBand="0" w:evenHBand="0" w:firstRowFirstColumn="0" w:firstRowLastColumn="0" w:lastRowFirstColumn="0" w:lastRowLastColumn="0"/>
            <w:tcW w:w="2222" w:type="dxa"/>
          </w:tcPr>
          <w:p w:rsidR="00E31D8C" w:rsidRPr="00950357" w:rsidRDefault="00E31D8C" w:rsidP="000533C7">
            <w:pPr>
              <w:pStyle w:val="Prrafodelista"/>
              <w:ind w:left="0"/>
              <w:jc w:val="center"/>
              <w:rPr>
                <w:rFonts w:ascii="Arial" w:hAnsi="Arial" w:cs="Arial"/>
                <w:b w:val="0"/>
                <w:bCs w:val="0"/>
                <w:sz w:val="18"/>
                <w:szCs w:val="18"/>
              </w:rPr>
            </w:pPr>
            <w:r w:rsidRPr="00950357">
              <w:rPr>
                <w:rFonts w:ascii="Arial" w:hAnsi="Arial" w:cs="Arial"/>
                <w:b w:val="0"/>
                <w:bCs w:val="0"/>
                <w:sz w:val="18"/>
                <w:szCs w:val="18"/>
              </w:rPr>
              <w:t>COSTO TOTAL (pesos)</w:t>
            </w:r>
          </w:p>
        </w:tc>
        <w:tc>
          <w:tcPr>
            <w:tcW w:w="1788" w:type="dxa"/>
          </w:tcPr>
          <w:p w:rsidR="00E31D8C" w:rsidRPr="00950357" w:rsidRDefault="00E31D8C" w:rsidP="000533C7">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50357">
              <w:rPr>
                <w:rFonts w:ascii="Arial" w:hAnsi="Arial" w:cs="Arial"/>
                <w:sz w:val="18"/>
                <w:szCs w:val="18"/>
              </w:rPr>
              <w:t>45,000</w:t>
            </w:r>
          </w:p>
        </w:tc>
        <w:tc>
          <w:tcPr>
            <w:tcW w:w="1476" w:type="dxa"/>
          </w:tcPr>
          <w:p w:rsidR="00E31D8C" w:rsidRPr="00950357" w:rsidRDefault="00E31D8C" w:rsidP="000533C7">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50357">
              <w:rPr>
                <w:rFonts w:ascii="Arial" w:hAnsi="Arial" w:cs="Arial"/>
                <w:sz w:val="18"/>
                <w:szCs w:val="18"/>
              </w:rPr>
              <w:t>720,000</w:t>
            </w:r>
          </w:p>
        </w:tc>
        <w:tc>
          <w:tcPr>
            <w:tcW w:w="1948" w:type="dxa"/>
          </w:tcPr>
          <w:p w:rsidR="00E31D8C" w:rsidRPr="00950357" w:rsidRDefault="00E31D8C" w:rsidP="000533C7">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50357">
              <w:rPr>
                <w:rFonts w:ascii="Arial" w:hAnsi="Arial" w:cs="Arial"/>
                <w:sz w:val="18"/>
                <w:szCs w:val="18"/>
              </w:rPr>
              <w:t>216,000,000</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30"/>
          <w:jc w:val="center"/>
        </w:trPr>
        <w:tc>
          <w:tcPr>
            <w:cnfStyle w:val="001000000000" w:firstRow="0" w:lastRow="0" w:firstColumn="1" w:lastColumn="0" w:oddVBand="0" w:evenVBand="0" w:oddHBand="0" w:evenHBand="0" w:firstRowFirstColumn="0" w:firstRowLastColumn="0" w:lastRowFirstColumn="0" w:lastRowLastColumn="0"/>
            <w:tcW w:w="2222" w:type="dxa"/>
          </w:tcPr>
          <w:p w:rsidR="00E31D8C" w:rsidRPr="00950357" w:rsidRDefault="00E31D8C" w:rsidP="000533C7">
            <w:pPr>
              <w:pStyle w:val="Prrafodelista"/>
              <w:ind w:left="0"/>
              <w:jc w:val="center"/>
              <w:rPr>
                <w:rFonts w:ascii="Arial" w:hAnsi="Arial" w:cs="Arial"/>
                <w:b w:val="0"/>
                <w:bCs w:val="0"/>
                <w:sz w:val="18"/>
                <w:szCs w:val="18"/>
              </w:rPr>
            </w:pPr>
            <w:r w:rsidRPr="00950357">
              <w:rPr>
                <w:rFonts w:ascii="Arial" w:hAnsi="Arial" w:cs="Arial"/>
                <w:b w:val="0"/>
                <w:bCs w:val="0"/>
                <w:sz w:val="18"/>
                <w:szCs w:val="18"/>
              </w:rPr>
              <w:t>Precio de venta</w:t>
            </w:r>
          </w:p>
        </w:tc>
        <w:tc>
          <w:tcPr>
            <w:tcW w:w="1788" w:type="dxa"/>
          </w:tcPr>
          <w:p w:rsidR="00E31D8C" w:rsidRPr="00950357" w:rsidRDefault="00E31D8C" w:rsidP="000533C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50357">
              <w:rPr>
                <w:rFonts w:ascii="Arial" w:hAnsi="Arial" w:cs="Arial"/>
                <w:sz w:val="18"/>
                <w:szCs w:val="18"/>
              </w:rPr>
              <w:t>60,000</w:t>
            </w:r>
          </w:p>
        </w:tc>
        <w:tc>
          <w:tcPr>
            <w:tcW w:w="1476" w:type="dxa"/>
          </w:tcPr>
          <w:p w:rsidR="00E31D8C" w:rsidRPr="00950357" w:rsidRDefault="00E31D8C" w:rsidP="000533C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50357">
              <w:rPr>
                <w:rFonts w:ascii="Arial" w:hAnsi="Arial" w:cs="Arial"/>
                <w:sz w:val="18"/>
                <w:szCs w:val="18"/>
              </w:rPr>
              <w:t>960,000</w:t>
            </w:r>
          </w:p>
        </w:tc>
        <w:tc>
          <w:tcPr>
            <w:tcW w:w="1948" w:type="dxa"/>
          </w:tcPr>
          <w:p w:rsidR="00E31D8C" w:rsidRPr="00950357" w:rsidRDefault="00E31D8C" w:rsidP="000533C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50357">
              <w:rPr>
                <w:rFonts w:ascii="Arial" w:hAnsi="Arial" w:cs="Arial"/>
                <w:sz w:val="18"/>
                <w:szCs w:val="18"/>
              </w:rPr>
              <w:t>288,000,000</w:t>
            </w:r>
          </w:p>
        </w:tc>
      </w:tr>
      <w:tr w:rsidR="00E31D8C" w:rsidRPr="00950357" w:rsidTr="000533C7">
        <w:trPr>
          <w:trHeight w:val="33"/>
          <w:jc w:val="center"/>
        </w:trPr>
        <w:tc>
          <w:tcPr>
            <w:cnfStyle w:val="001000000000" w:firstRow="0" w:lastRow="0" w:firstColumn="1" w:lastColumn="0" w:oddVBand="0" w:evenVBand="0" w:oddHBand="0" w:evenHBand="0" w:firstRowFirstColumn="0" w:firstRowLastColumn="0" w:lastRowFirstColumn="0" w:lastRowLastColumn="0"/>
            <w:tcW w:w="2222" w:type="dxa"/>
          </w:tcPr>
          <w:p w:rsidR="00E31D8C" w:rsidRPr="00950357" w:rsidRDefault="00E31D8C" w:rsidP="000533C7">
            <w:pPr>
              <w:pStyle w:val="Prrafodelista"/>
              <w:ind w:left="0"/>
              <w:jc w:val="center"/>
              <w:rPr>
                <w:rFonts w:ascii="Arial" w:hAnsi="Arial" w:cs="Arial"/>
                <w:b w:val="0"/>
                <w:bCs w:val="0"/>
                <w:sz w:val="18"/>
                <w:szCs w:val="18"/>
              </w:rPr>
            </w:pPr>
            <w:r w:rsidRPr="00950357">
              <w:rPr>
                <w:rFonts w:ascii="Arial" w:hAnsi="Arial" w:cs="Arial"/>
                <w:b w:val="0"/>
                <w:bCs w:val="0"/>
                <w:sz w:val="18"/>
                <w:szCs w:val="18"/>
              </w:rPr>
              <w:t>UTILIDAD</w:t>
            </w:r>
          </w:p>
        </w:tc>
        <w:tc>
          <w:tcPr>
            <w:tcW w:w="1788" w:type="dxa"/>
          </w:tcPr>
          <w:p w:rsidR="00E31D8C" w:rsidRPr="00950357" w:rsidRDefault="00E31D8C" w:rsidP="000533C7">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50357">
              <w:rPr>
                <w:rFonts w:ascii="Arial" w:hAnsi="Arial" w:cs="Arial"/>
                <w:sz w:val="18"/>
                <w:szCs w:val="18"/>
              </w:rPr>
              <w:t>15,000</w:t>
            </w:r>
          </w:p>
        </w:tc>
        <w:tc>
          <w:tcPr>
            <w:tcW w:w="1476" w:type="dxa"/>
          </w:tcPr>
          <w:p w:rsidR="00E31D8C" w:rsidRPr="00950357" w:rsidRDefault="00E31D8C" w:rsidP="000533C7">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50357">
              <w:rPr>
                <w:rFonts w:ascii="Arial" w:hAnsi="Arial" w:cs="Arial"/>
                <w:sz w:val="18"/>
                <w:szCs w:val="18"/>
              </w:rPr>
              <w:t>240,000</w:t>
            </w:r>
          </w:p>
        </w:tc>
        <w:tc>
          <w:tcPr>
            <w:tcW w:w="1948" w:type="dxa"/>
          </w:tcPr>
          <w:p w:rsidR="00E31D8C" w:rsidRPr="00950357" w:rsidRDefault="00E31D8C" w:rsidP="000533C7">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50357">
              <w:rPr>
                <w:rFonts w:ascii="Arial" w:hAnsi="Arial" w:cs="Arial"/>
                <w:sz w:val="18"/>
                <w:szCs w:val="18"/>
              </w:rPr>
              <w:t>72,000,000</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33"/>
          <w:jc w:val="center"/>
        </w:trPr>
        <w:tc>
          <w:tcPr>
            <w:cnfStyle w:val="001000000000" w:firstRow="0" w:lastRow="0" w:firstColumn="1" w:lastColumn="0" w:oddVBand="0" w:evenVBand="0" w:oddHBand="0" w:evenHBand="0" w:firstRowFirstColumn="0" w:firstRowLastColumn="0" w:lastRowFirstColumn="0" w:lastRowLastColumn="0"/>
            <w:tcW w:w="2222" w:type="dxa"/>
          </w:tcPr>
          <w:p w:rsidR="00E31D8C" w:rsidRPr="00950357" w:rsidRDefault="00E31D8C" w:rsidP="000533C7">
            <w:pPr>
              <w:pStyle w:val="Prrafodelista"/>
              <w:ind w:left="0"/>
              <w:jc w:val="center"/>
              <w:rPr>
                <w:rFonts w:ascii="Arial" w:hAnsi="Arial" w:cs="Arial"/>
                <w:b w:val="0"/>
                <w:bCs w:val="0"/>
                <w:sz w:val="18"/>
                <w:szCs w:val="18"/>
              </w:rPr>
            </w:pPr>
            <w:r w:rsidRPr="00950357">
              <w:rPr>
                <w:rFonts w:ascii="Arial" w:hAnsi="Arial" w:cs="Arial"/>
                <w:b w:val="0"/>
                <w:bCs w:val="0"/>
                <w:sz w:val="18"/>
                <w:szCs w:val="18"/>
              </w:rPr>
              <w:t>INVERSIÓN</w:t>
            </w:r>
          </w:p>
        </w:tc>
        <w:tc>
          <w:tcPr>
            <w:tcW w:w="1788" w:type="dxa"/>
          </w:tcPr>
          <w:p w:rsidR="00E31D8C" w:rsidRPr="00950357" w:rsidRDefault="00E31D8C" w:rsidP="000533C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50357">
              <w:rPr>
                <w:rFonts w:ascii="Arial" w:hAnsi="Arial" w:cs="Arial"/>
                <w:sz w:val="18"/>
                <w:szCs w:val="18"/>
              </w:rPr>
              <w:t>70,000,000</w:t>
            </w:r>
          </w:p>
        </w:tc>
        <w:tc>
          <w:tcPr>
            <w:tcW w:w="1476" w:type="dxa"/>
          </w:tcPr>
          <w:p w:rsidR="00E31D8C" w:rsidRPr="00950357" w:rsidRDefault="00E31D8C" w:rsidP="000533C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948" w:type="dxa"/>
          </w:tcPr>
          <w:p w:rsidR="00E31D8C" w:rsidRPr="00950357" w:rsidRDefault="00E31D8C" w:rsidP="000533C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E31D8C" w:rsidRPr="00950357" w:rsidTr="000533C7">
        <w:trPr>
          <w:trHeight w:val="33"/>
          <w:jc w:val="center"/>
        </w:trPr>
        <w:tc>
          <w:tcPr>
            <w:cnfStyle w:val="001000000000" w:firstRow="0" w:lastRow="0" w:firstColumn="1" w:lastColumn="0" w:oddVBand="0" w:evenVBand="0" w:oddHBand="0" w:evenHBand="0" w:firstRowFirstColumn="0" w:firstRowLastColumn="0" w:lastRowFirstColumn="0" w:lastRowLastColumn="0"/>
            <w:tcW w:w="2222" w:type="dxa"/>
          </w:tcPr>
          <w:p w:rsidR="00E31D8C" w:rsidRPr="00950357" w:rsidRDefault="00E31D8C" w:rsidP="000533C7">
            <w:pPr>
              <w:pStyle w:val="Prrafodelista"/>
              <w:ind w:left="0"/>
              <w:jc w:val="center"/>
              <w:rPr>
                <w:rFonts w:ascii="Arial" w:hAnsi="Arial" w:cs="Arial"/>
                <w:b w:val="0"/>
                <w:bCs w:val="0"/>
                <w:sz w:val="18"/>
                <w:szCs w:val="18"/>
              </w:rPr>
            </w:pPr>
            <w:r w:rsidRPr="00950357">
              <w:rPr>
                <w:rFonts w:ascii="Arial" w:hAnsi="Arial" w:cs="Arial"/>
                <w:b w:val="0"/>
                <w:bCs w:val="0"/>
                <w:sz w:val="18"/>
                <w:szCs w:val="18"/>
              </w:rPr>
              <w:t>UTILIDAD MENSUAL</w:t>
            </w:r>
          </w:p>
        </w:tc>
        <w:tc>
          <w:tcPr>
            <w:tcW w:w="1788" w:type="dxa"/>
          </w:tcPr>
          <w:p w:rsidR="00E31D8C" w:rsidRPr="00950357" w:rsidRDefault="00E31D8C" w:rsidP="000533C7">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50357">
              <w:rPr>
                <w:rFonts w:ascii="Arial" w:hAnsi="Arial" w:cs="Arial"/>
                <w:sz w:val="18"/>
                <w:szCs w:val="18"/>
              </w:rPr>
              <w:t>6,000,000</w:t>
            </w:r>
          </w:p>
        </w:tc>
        <w:tc>
          <w:tcPr>
            <w:tcW w:w="1476" w:type="dxa"/>
          </w:tcPr>
          <w:p w:rsidR="00E31D8C" w:rsidRPr="00950357" w:rsidRDefault="00E31D8C" w:rsidP="000533C7">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1948" w:type="dxa"/>
          </w:tcPr>
          <w:p w:rsidR="00E31D8C" w:rsidRPr="00950357" w:rsidRDefault="00E31D8C" w:rsidP="000533C7">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2222" w:type="dxa"/>
          </w:tcPr>
          <w:p w:rsidR="00E31D8C" w:rsidRPr="00950357" w:rsidRDefault="00E31D8C" w:rsidP="000533C7">
            <w:pPr>
              <w:pStyle w:val="Prrafodelista"/>
              <w:ind w:left="0"/>
              <w:jc w:val="center"/>
              <w:rPr>
                <w:rFonts w:ascii="Arial" w:hAnsi="Arial" w:cs="Arial"/>
                <w:sz w:val="18"/>
                <w:szCs w:val="18"/>
              </w:rPr>
            </w:pPr>
            <w:r w:rsidRPr="00950357">
              <w:rPr>
                <w:rFonts w:ascii="Arial" w:hAnsi="Arial" w:cs="Arial"/>
                <w:sz w:val="18"/>
                <w:szCs w:val="18"/>
              </w:rPr>
              <w:t>Tiempo de Recuperación de la inversión</w:t>
            </w:r>
          </w:p>
        </w:tc>
        <w:tc>
          <w:tcPr>
            <w:tcW w:w="1788" w:type="dxa"/>
          </w:tcPr>
          <w:p w:rsidR="00E31D8C" w:rsidRPr="00950357" w:rsidRDefault="00E31D8C" w:rsidP="000533C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950357">
              <w:rPr>
                <w:rFonts w:ascii="Arial" w:hAnsi="Arial" w:cs="Arial"/>
                <w:b/>
                <w:bCs/>
                <w:sz w:val="18"/>
                <w:szCs w:val="18"/>
              </w:rPr>
              <w:t>1 año</w:t>
            </w:r>
          </w:p>
        </w:tc>
        <w:tc>
          <w:tcPr>
            <w:tcW w:w="1476" w:type="dxa"/>
          </w:tcPr>
          <w:p w:rsidR="00E31D8C" w:rsidRPr="00950357" w:rsidRDefault="00E31D8C" w:rsidP="000533C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948" w:type="dxa"/>
          </w:tcPr>
          <w:p w:rsidR="00E31D8C" w:rsidRPr="00950357" w:rsidRDefault="00E31D8C" w:rsidP="000533C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bl>
    <w:p w:rsidR="00E31D8C" w:rsidRDefault="00E31D8C" w:rsidP="00E31D8C">
      <w:pPr>
        <w:spacing w:line="240" w:lineRule="auto"/>
        <w:ind w:firstLine="708"/>
        <w:jc w:val="both"/>
        <w:rPr>
          <w:rFonts w:ascii="Arial" w:hAnsi="Arial" w:cs="Arial"/>
          <w:sz w:val="24"/>
          <w:szCs w:val="24"/>
        </w:rPr>
      </w:pPr>
    </w:p>
    <w:p w:rsidR="00E31D8C" w:rsidRPr="00553BC3" w:rsidRDefault="00E31D8C" w:rsidP="00E31D8C">
      <w:pPr>
        <w:spacing w:line="240" w:lineRule="auto"/>
        <w:ind w:firstLine="708"/>
        <w:jc w:val="both"/>
        <w:rPr>
          <w:rFonts w:ascii="Arial" w:hAnsi="Arial" w:cs="Arial"/>
          <w:sz w:val="24"/>
          <w:szCs w:val="24"/>
        </w:rPr>
      </w:pPr>
      <w:r w:rsidRPr="00553BC3">
        <w:rPr>
          <w:rFonts w:ascii="Arial" w:hAnsi="Arial" w:cs="Arial"/>
          <w:sz w:val="24"/>
          <w:szCs w:val="24"/>
        </w:rPr>
        <w:t>Considerando los precios estándar del plástico reciclado de la página oficial de Reciclados de México</w:t>
      </w:r>
      <w:r>
        <w:rPr>
          <w:rFonts w:ascii="Arial" w:hAnsi="Arial" w:cs="Arial"/>
          <w:sz w:val="24"/>
          <w:szCs w:val="24"/>
        </w:rPr>
        <w:t xml:space="preserve"> </w:t>
      </w:r>
      <w:r w:rsidRPr="008B63F5">
        <w:rPr>
          <w:rFonts w:ascii="Arial" w:hAnsi="Arial" w:cs="Arial"/>
          <w:sz w:val="24"/>
          <w:szCs w:val="24"/>
          <w:vertAlign w:val="superscript"/>
        </w:rPr>
        <w:t>[11]</w:t>
      </w:r>
      <w:r w:rsidRPr="00553BC3">
        <w:rPr>
          <w:rFonts w:ascii="Arial" w:hAnsi="Arial" w:cs="Arial"/>
          <w:sz w:val="24"/>
          <w:szCs w:val="24"/>
        </w:rPr>
        <w:t>, se tomó un precio de referencia de 20 MXN por kilogramo de polietileno de alta densidad (HDPE), es decir, 20,000 MXN por tonelada de plástico reciclado. Lo anterior con la finalidad de presentar un estimado de costos y ventas para una planta recicladora de agroplásticos con alcance de 3 Ton/h (tabla 6):</w:t>
      </w:r>
    </w:p>
    <w:p w:rsidR="00E31D8C" w:rsidRPr="00950357" w:rsidRDefault="00E31D8C" w:rsidP="00E31D8C">
      <w:pPr>
        <w:spacing w:after="0" w:line="240" w:lineRule="auto"/>
        <w:ind w:firstLine="708"/>
        <w:jc w:val="center"/>
        <w:rPr>
          <w:rFonts w:ascii="Times New Roman" w:hAnsi="Times New Roman" w:cs="Times New Roman"/>
          <w:i/>
          <w:iCs/>
          <w:sz w:val="20"/>
          <w:szCs w:val="20"/>
        </w:rPr>
      </w:pPr>
      <w:bookmarkStart w:id="474" w:name="_Toc31756101"/>
      <w:r w:rsidRPr="00950357">
        <w:rPr>
          <w:rFonts w:ascii="Times New Roman" w:hAnsi="Times New Roman" w:cs="Times New Roman"/>
          <w:i/>
          <w:iCs/>
          <w:sz w:val="20"/>
          <w:szCs w:val="20"/>
        </w:rPr>
        <w:t>Tabla 6. Análisis de precio y costo anualmente.</w:t>
      </w:r>
      <w:bookmarkEnd w:id="474"/>
    </w:p>
    <w:tbl>
      <w:tblPr>
        <w:tblStyle w:val="Tablanormal2"/>
        <w:tblW w:w="5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9"/>
        <w:gridCol w:w="1518"/>
      </w:tblGrid>
      <w:tr w:rsidR="00E31D8C" w:rsidRPr="00950357" w:rsidTr="000533C7">
        <w:trPr>
          <w:cnfStyle w:val="100000000000" w:firstRow="1" w:lastRow="0" w:firstColumn="0" w:lastColumn="0" w:oddVBand="0" w:evenVBand="0" w:oddHBand="0"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3559" w:type="dxa"/>
            <w:tcBorders>
              <w:bottom w:val="none" w:sz="0" w:space="0" w:color="auto"/>
            </w:tcBorders>
            <w:noWrap/>
            <w:hideMark/>
          </w:tcPr>
          <w:p w:rsidR="00E31D8C" w:rsidRPr="00950357" w:rsidRDefault="00E31D8C" w:rsidP="000533C7">
            <w:pPr>
              <w:jc w:val="center"/>
              <w:rPr>
                <w:rFonts w:ascii="Arial" w:eastAsia="Times New Roman" w:hAnsi="Arial" w:cs="Arial"/>
                <w:color w:val="000000"/>
                <w:sz w:val="18"/>
                <w:szCs w:val="18"/>
              </w:rPr>
            </w:pPr>
            <w:r>
              <w:rPr>
                <w:rFonts w:ascii="Arial" w:eastAsia="Times New Roman" w:hAnsi="Arial" w:cs="Arial"/>
                <w:color w:val="000000"/>
                <w:sz w:val="18"/>
                <w:szCs w:val="18"/>
              </w:rPr>
              <w:t>Toneladas</w:t>
            </w:r>
            <w:r w:rsidRPr="00950357">
              <w:rPr>
                <w:rFonts w:ascii="Arial" w:eastAsia="Times New Roman" w:hAnsi="Arial" w:cs="Arial"/>
                <w:color w:val="000000"/>
                <w:sz w:val="18"/>
                <w:szCs w:val="18"/>
              </w:rPr>
              <w:t xml:space="preserve"> </w:t>
            </w:r>
            <w:r>
              <w:rPr>
                <w:rFonts w:ascii="Arial" w:eastAsia="Times New Roman" w:hAnsi="Arial" w:cs="Arial"/>
                <w:color w:val="000000"/>
                <w:sz w:val="18"/>
                <w:szCs w:val="18"/>
              </w:rPr>
              <w:t xml:space="preserve">de </w:t>
            </w:r>
            <w:r w:rsidRPr="00950357">
              <w:rPr>
                <w:rFonts w:ascii="Arial" w:eastAsia="Times New Roman" w:hAnsi="Arial" w:cs="Arial"/>
                <w:color w:val="000000"/>
                <w:sz w:val="18"/>
                <w:szCs w:val="18"/>
              </w:rPr>
              <w:t>plástico/día</w:t>
            </w:r>
          </w:p>
        </w:tc>
        <w:tc>
          <w:tcPr>
            <w:tcW w:w="1518" w:type="dxa"/>
            <w:tcBorders>
              <w:bottom w:val="none" w:sz="0" w:space="0" w:color="auto"/>
            </w:tcBorders>
            <w:noWrap/>
            <w:hideMark/>
          </w:tcPr>
          <w:p w:rsidR="00E31D8C" w:rsidRPr="00950357" w:rsidRDefault="00E31D8C" w:rsidP="000533C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950357">
              <w:rPr>
                <w:rFonts w:ascii="Arial" w:eastAsia="Times New Roman" w:hAnsi="Arial" w:cs="Arial"/>
                <w:color w:val="000000"/>
                <w:sz w:val="18"/>
                <w:szCs w:val="18"/>
              </w:rPr>
              <w:t>48</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3559" w:type="dxa"/>
            <w:tcBorders>
              <w:top w:val="none" w:sz="0" w:space="0" w:color="auto"/>
              <w:bottom w:val="none" w:sz="0" w:space="0" w:color="auto"/>
            </w:tcBorders>
            <w:noWrap/>
            <w:hideMark/>
          </w:tcPr>
          <w:p w:rsidR="00E31D8C" w:rsidRPr="00950357" w:rsidRDefault="00E31D8C" w:rsidP="000533C7">
            <w:pPr>
              <w:jc w:val="center"/>
              <w:rPr>
                <w:rFonts w:ascii="Arial" w:eastAsia="Times New Roman" w:hAnsi="Arial" w:cs="Arial"/>
                <w:color w:val="000000"/>
                <w:sz w:val="18"/>
                <w:szCs w:val="18"/>
              </w:rPr>
            </w:pPr>
            <w:r w:rsidRPr="00950357">
              <w:rPr>
                <w:rFonts w:ascii="Arial" w:eastAsia="Times New Roman" w:hAnsi="Arial" w:cs="Arial"/>
                <w:color w:val="000000"/>
                <w:sz w:val="18"/>
                <w:szCs w:val="18"/>
              </w:rPr>
              <w:t>Venta/día (MXN)</w:t>
            </w:r>
          </w:p>
        </w:tc>
        <w:tc>
          <w:tcPr>
            <w:tcW w:w="1518" w:type="dxa"/>
            <w:tcBorders>
              <w:top w:val="none" w:sz="0" w:space="0" w:color="auto"/>
              <w:bottom w:val="none" w:sz="0" w:space="0" w:color="auto"/>
            </w:tcBorders>
            <w:noWrap/>
            <w:hideMark/>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950357">
              <w:rPr>
                <w:rFonts w:ascii="Arial" w:eastAsia="Times New Roman" w:hAnsi="Arial" w:cs="Arial"/>
                <w:color w:val="000000"/>
                <w:sz w:val="18"/>
                <w:szCs w:val="18"/>
              </w:rPr>
              <w:t>960,000</w:t>
            </w:r>
          </w:p>
        </w:tc>
      </w:tr>
      <w:tr w:rsidR="00E31D8C" w:rsidRPr="00950357" w:rsidTr="000533C7">
        <w:trPr>
          <w:trHeight w:val="297"/>
          <w:jc w:val="center"/>
        </w:trPr>
        <w:tc>
          <w:tcPr>
            <w:cnfStyle w:val="001000000000" w:firstRow="0" w:lastRow="0" w:firstColumn="1" w:lastColumn="0" w:oddVBand="0" w:evenVBand="0" w:oddHBand="0" w:evenHBand="0" w:firstRowFirstColumn="0" w:firstRowLastColumn="0" w:lastRowFirstColumn="0" w:lastRowLastColumn="0"/>
            <w:tcW w:w="3559" w:type="dxa"/>
            <w:noWrap/>
          </w:tcPr>
          <w:p w:rsidR="00E31D8C" w:rsidRPr="00950357" w:rsidRDefault="00E31D8C" w:rsidP="000533C7">
            <w:pPr>
              <w:jc w:val="center"/>
              <w:rPr>
                <w:rFonts w:ascii="Arial" w:eastAsia="Times New Roman" w:hAnsi="Arial" w:cs="Arial"/>
                <w:color w:val="000000"/>
                <w:sz w:val="18"/>
                <w:szCs w:val="18"/>
              </w:rPr>
            </w:pPr>
            <w:r w:rsidRPr="00950357">
              <w:rPr>
                <w:rFonts w:ascii="Arial" w:eastAsia="Times New Roman" w:hAnsi="Arial" w:cs="Arial"/>
                <w:color w:val="000000"/>
                <w:sz w:val="18"/>
                <w:szCs w:val="18"/>
              </w:rPr>
              <w:t>Ventas anuales (MXN)</w:t>
            </w:r>
          </w:p>
        </w:tc>
        <w:tc>
          <w:tcPr>
            <w:tcW w:w="1518" w:type="dxa"/>
            <w:noWrap/>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950357">
              <w:rPr>
                <w:rFonts w:ascii="Arial" w:eastAsia="Times New Roman" w:hAnsi="Arial" w:cs="Arial"/>
                <w:color w:val="000000"/>
                <w:sz w:val="18"/>
                <w:szCs w:val="18"/>
              </w:rPr>
              <w:t>288,000,000</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3559" w:type="dxa"/>
            <w:tcBorders>
              <w:top w:val="none" w:sz="0" w:space="0" w:color="auto"/>
              <w:bottom w:val="none" w:sz="0" w:space="0" w:color="auto"/>
            </w:tcBorders>
            <w:noWrap/>
            <w:hideMark/>
          </w:tcPr>
          <w:p w:rsidR="00E31D8C" w:rsidRPr="00950357" w:rsidRDefault="00E31D8C" w:rsidP="000533C7">
            <w:pPr>
              <w:jc w:val="center"/>
              <w:rPr>
                <w:rFonts w:ascii="Arial" w:eastAsia="Times New Roman" w:hAnsi="Arial" w:cs="Arial"/>
                <w:color w:val="000000"/>
                <w:sz w:val="18"/>
                <w:szCs w:val="18"/>
              </w:rPr>
            </w:pPr>
            <w:r w:rsidRPr="00950357">
              <w:rPr>
                <w:rFonts w:ascii="Arial" w:eastAsia="Times New Roman" w:hAnsi="Arial" w:cs="Arial"/>
                <w:color w:val="000000"/>
                <w:sz w:val="18"/>
                <w:szCs w:val="18"/>
              </w:rPr>
              <w:t>Días laborales</w:t>
            </w:r>
          </w:p>
        </w:tc>
        <w:tc>
          <w:tcPr>
            <w:tcW w:w="1518" w:type="dxa"/>
            <w:tcBorders>
              <w:top w:val="none" w:sz="0" w:space="0" w:color="auto"/>
              <w:bottom w:val="none" w:sz="0" w:space="0" w:color="auto"/>
            </w:tcBorders>
            <w:noWrap/>
            <w:hideMark/>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950357">
              <w:rPr>
                <w:rFonts w:ascii="Arial" w:eastAsia="Times New Roman" w:hAnsi="Arial" w:cs="Arial"/>
                <w:color w:val="000000"/>
                <w:sz w:val="18"/>
                <w:szCs w:val="18"/>
              </w:rPr>
              <w:t>300</w:t>
            </w:r>
          </w:p>
        </w:tc>
      </w:tr>
      <w:tr w:rsidR="00E31D8C" w:rsidRPr="00950357" w:rsidTr="000533C7">
        <w:trPr>
          <w:trHeight w:val="297"/>
          <w:jc w:val="center"/>
        </w:trPr>
        <w:tc>
          <w:tcPr>
            <w:cnfStyle w:val="001000000000" w:firstRow="0" w:lastRow="0" w:firstColumn="1" w:lastColumn="0" w:oddVBand="0" w:evenVBand="0" w:oddHBand="0" w:evenHBand="0" w:firstRowFirstColumn="0" w:firstRowLastColumn="0" w:lastRowFirstColumn="0" w:lastRowLastColumn="0"/>
            <w:tcW w:w="3559" w:type="dxa"/>
            <w:noWrap/>
            <w:hideMark/>
          </w:tcPr>
          <w:p w:rsidR="00E31D8C" w:rsidRPr="00950357" w:rsidRDefault="00E31D8C" w:rsidP="000533C7">
            <w:pPr>
              <w:jc w:val="center"/>
              <w:rPr>
                <w:rFonts w:ascii="Arial" w:eastAsia="Times New Roman" w:hAnsi="Arial" w:cs="Arial"/>
                <w:color w:val="000000"/>
                <w:sz w:val="18"/>
                <w:szCs w:val="18"/>
              </w:rPr>
            </w:pPr>
            <w:r w:rsidRPr="00950357">
              <w:rPr>
                <w:rFonts w:ascii="Arial" w:eastAsia="Times New Roman" w:hAnsi="Arial" w:cs="Arial"/>
                <w:color w:val="000000"/>
                <w:sz w:val="18"/>
                <w:szCs w:val="18"/>
              </w:rPr>
              <w:t>Costo por Kg de plástico (MXN)</w:t>
            </w:r>
          </w:p>
        </w:tc>
        <w:tc>
          <w:tcPr>
            <w:tcW w:w="1518" w:type="dxa"/>
            <w:noWrap/>
            <w:hideMark/>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950357">
              <w:rPr>
                <w:rFonts w:ascii="Arial" w:eastAsia="Times New Roman" w:hAnsi="Arial" w:cs="Arial"/>
                <w:color w:val="000000"/>
                <w:sz w:val="18"/>
                <w:szCs w:val="18"/>
              </w:rPr>
              <w:t>15</w:t>
            </w:r>
          </w:p>
        </w:tc>
      </w:tr>
      <w:tr w:rsidR="00E31D8C" w:rsidRPr="00950357" w:rsidTr="000533C7">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3559" w:type="dxa"/>
            <w:tcBorders>
              <w:top w:val="none" w:sz="0" w:space="0" w:color="auto"/>
              <w:bottom w:val="none" w:sz="0" w:space="0" w:color="auto"/>
            </w:tcBorders>
            <w:noWrap/>
            <w:hideMark/>
          </w:tcPr>
          <w:p w:rsidR="00E31D8C" w:rsidRPr="00950357" w:rsidRDefault="00E31D8C" w:rsidP="000533C7">
            <w:pPr>
              <w:jc w:val="center"/>
              <w:rPr>
                <w:rFonts w:ascii="Arial" w:eastAsia="Times New Roman" w:hAnsi="Arial" w:cs="Arial"/>
                <w:color w:val="000000"/>
                <w:sz w:val="18"/>
                <w:szCs w:val="18"/>
              </w:rPr>
            </w:pPr>
            <w:r w:rsidRPr="00950357">
              <w:rPr>
                <w:rFonts w:ascii="Arial" w:eastAsia="Times New Roman" w:hAnsi="Arial" w:cs="Arial"/>
                <w:color w:val="000000"/>
                <w:sz w:val="18"/>
                <w:szCs w:val="18"/>
              </w:rPr>
              <w:t>Costo del producto/año (MXN)</w:t>
            </w:r>
          </w:p>
        </w:tc>
        <w:tc>
          <w:tcPr>
            <w:tcW w:w="1518" w:type="dxa"/>
            <w:tcBorders>
              <w:top w:val="none" w:sz="0" w:space="0" w:color="auto"/>
              <w:bottom w:val="none" w:sz="0" w:space="0" w:color="auto"/>
            </w:tcBorders>
            <w:noWrap/>
            <w:hideMark/>
          </w:tcPr>
          <w:p w:rsidR="00E31D8C" w:rsidRPr="00950357" w:rsidRDefault="00E31D8C" w:rsidP="000533C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950357">
              <w:rPr>
                <w:rFonts w:ascii="Arial" w:eastAsia="Times New Roman" w:hAnsi="Arial" w:cs="Arial"/>
                <w:color w:val="000000"/>
                <w:sz w:val="18"/>
                <w:szCs w:val="18"/>
              </w:rPr>
              <w:t>216,000,000</w:t>
            </w:r>
          </w:p>
        </w:tc>
      </w:tr>
      <w:tr w:rsidR="00E31D8C" w:rsidRPr="00950357" w:rsidTr="000533C7">
        <w:trPr>
          <w:trHeight w:val="297"/>
          <w:jc w:val="center"/>
        </w:trPr>
        <w:tc>
          <w:tcPr>
            <w:cnfStyle w:val="001000000000" w:firstRow="0" w:lastRow="0" w:firstColumn="1" w:lastColumn="0" w:oddVBand="0" w:evenVBand="0" w:oddHBand="0" w:evenHBand="0" w:firstRowFirstColumn="0" w:firstRowLastColumn="0" w:lastRowFirstColumn="0" w:lastRowLastColumn="0"/>
            <w:tcW w:w="3559" w:type="dxa"/>
            <w:noWrap/>
          </w:tcPr>
          <w:p w:rsidR="00E31D8C" w:rsidRPr="00950357" w:rsidRDefault="00E31D8C" w:rsidP="000533C7">
            <w:pPr>
              <w:jc w:val="center"/>
              <w:rPr>
                <w:rFonts w:ascii="Arial" w:eastAsia="Times New Roman" w:hAnsi="Arial" w:cs="Arial"/>
                <w:color w:val="000000"/>
                <w:sz w:val="18"/>
                <w:szCs w:val="18"/>
              </w:rPr>
            </w:pPr>
            <w:r w:rsidRPr="00950357">
              <w:rPr>
                <w:rFonts w:ascii="Arial" w:eastAsia="Times New Roman" w:hAnsi="Arial" w:cs="Arial"/>
                <w:color w:val="000000"/>
                <w:sz w:val="18"/>
                <w:szCs w:val="18"/>
              </w:rPr>
              <w:t>Utilidad bruta anual (MXN)</w:t>
            </w:r>
          </w:p>
        </w:tc>
        <w:tc>
          <w:tcPr>
            <w:tcW w:w="1518" w:type="dxa"/>
            <w:noWrap/>
          </w:tcPr>
          <w:p w:rsidR="00E31D8C" w:rsidRPr="00950357" w:rsidRDefault="00E31D8C" w:rsidP="000533C7">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950357">
              <w:rPr>
                <w:rFonts w:ascii="Arial" w:eastAsia="Times New Roman" w:hAnsi="Arial" w:cs="Arial"/>
                <w:color w:val="000000"/>
                <w:sz w:val="18"/>
                <w:szCs w:val="18"/>
              </w:rPr>
              <w:t>72,000,000</w:t>
            </w:r>
          </w:p>
        </w:tc>
      </w:tr>
    </w:tbl>
    <w:p w:rsidR="00E31D8C" w:rsidRPr="00553BC3" w:rsidRDefault="00E31D8C" w:rsidP="00E31D8C">
      <w:pPr>
        <w:spacing w:line="240" w:lineRule="auto"/>
        <w:jc w:val="both"/>
        <w:rPr>
          <w:rFonts w:ascii="Arial" w:hAnsi="Arial" w:cs="Arial"/>
          <w:sz w:val="24"/>
          <w:szCs w:val="24"/>
        </w:rPr>
      </w:pPr>
    </w:p>
    <w:p w:rsidR="00E31D8C" w:rsidRPr="00553BC3" w:rsidRDefault="00E31D8C" w:rsidP="00E31D8C">
      <w:pPr>
        <w:spacing w:line="240" w:lineRule="auto"/>
        <w:jc w:val="both"/>
        <w:rPr>
          <w:rFonts w:ascii="Arial" w:hAnsi="Arial" w:cs="Arial"/>
          <w:sz w:val="24"/>
          <w:szCs w:val="24"/>
        </w:rPr>
      </w:pPr>
      <w:r w:rsidRPr="00553BC3">
        <w:rPr>
          <w:rFonts w:ascii="Arial" w:hAnsi="Arial" w:cs="Arial"/>
          <w:sz w:val="24"/>
          <w:szCs w:val="24"/>
        </w:rPr>
        <w:t>Siendo:</w:t>
      </w:r>
    </w:p>
    <w:p w:rsidR="00E31D8C" w:rsidRPr="00553BC3" w:rsidRDefault="00E31D8C" w:rsidP="001D2A3D">
      <w:pPr>
        <w:pStyle w:val="Prrafodelista"/>
        <w:numPr>
          <w:ilvl w:val="0"/>
          <w:numId w:val="77"/>
        </w:numPr>
        <w:spacing w:line="240" w:lineRule="auto"/>
        <w:jc w:val="both"/>
        <w:rPr>
          <w:rFonts w:ascii="Arial" w:hAnsi="Arial" w:cs="Arial"/>
          <w:i/>
          <w:sz w:val="24"/>
          <w:szCs w:val="24"/>
        </w:rPr>
      </w:pPr>
      <w:r w:rsidRPr="00553BC3">
        <w:rPr>
          <w:rFonts w:ascii="Arial" w:hAnsi="Arial" w:cs="Arial"/>
          <w:i/>
          <w:sz w:val="24"/>
          <w:szCs w:val="24"/>
        </w:rPr>
        <w:t xml:space="preserve">Ventas/día= Toneladas por día * Precio sugerido  </w:t>
      </w:r>
    </w:p>
    <w:p w:rsidR="00E31D8C" w:rsidRPr="00553BC3" w:rsidRDefault="00E31D8C" w:rsidP="001D2A3D">
      <w:pPr>
        <w:pStyle w:val="Prrafodelista"/>
        <w:numPr>
          <w:ilvl w:val="0"/>
          <w:numId w:val="77"/>
        </w:numPr>
        <w:spacing w:line="240" w:lineRule="auto"/>
        <w:jc w:val="both"/>
        <w:rPr>
          <w:rFonts w:ascii="Arial" w:hAnsi="Arial" w:cs="Arial"/>
          <w:i/>
          <w:sz w:val="24"/>
          <w:szCs w:val="24"/>
        </w:rPr>
      </w:pPr>
      <w:r w:rsidRPr="00553BC3">
        <w:rPr>
          <w:rFonts w:ascii="Arial" w:hAnsi="Arial" w:cs="Arial"/>
          <w:i/>
          <w:sz w:val="24"/>
          <w:szCs w:val="24"/>
        </w:rPr>
        <w:t>Utilidad bruta anual= Ventas anuales – Costo anual del producto</w:t>
      </w:r>
    </w:p>
    <w:p w:rsidR="00E31D8C" w:rsidRDefault="00E31D8C" w:rsidP="00E31D8C">
      <w:pPr>
        <w:spacing w:line="240" w:lineRule="auto"/>
        <w:ind w:firstLine="360"/>
        <w:jc w:val="both"/>
        <w:rPr>
          <w:rFonts w:ascii="Arial" w:hAnsi="Arial" w:cs="Arial"/>
          <w:sz w:val="24"/>
          <w:szCs w:val="24"/>
        </w:rPr>
      </w:pPr>
      <w:r w:rsidRPr="00553BC3">
        <w:rPr>
          <w:rFonts w:ascii="Arial" w:hAnsi="Arial" w:cs="Arial"/>
          <w:sz w:val="24"/>
          <w:szCs w:val="24"/>
        </w:rPr>
        <w:t>Proponiendo una inversión total aproximada de 70,000,000 MXN, el establecimiento de esta planta recicladora de plásticos agrícolas sería rentable hasta el primer año ya que la producción anual representa 72,000,000 MXN y en el primer año se recuperaría la inversión completa.</w:t>
      </w:r>
    </w:p>
    <w:p w:rsidR="00E31D8C" w:rsidRPr="00553BC3" w:rsidRDefault="00E31D8C" w:rsidP="00E31D8C">
      <w:pPr>
        <w:spacing w:line="240" w:lineRule="auto"/>
        <w:ind w:firstLine="360"/>
        <w:jc w:val="both"/>
        <w:rPr>
          <w:rFonts w:ascii="Arial" w:hAnsi="Arial" w:cs="Arial"/>
          <w:sz w:val="24"/>
          <w:szCs w:val="24"/>
        </w:rPr>
      </w:pPr>
      <w:r w:rsidRPr="00553BC3">
        <w:rPr>
          <w:rFonts w:ascii="Arial" w:hAnsi="Arial" w:cs="Arial"/>
          <w:sz w:val="24"/>
          <w:szCs w:val="24"/>
        </w:rPr>
        <w:t>Mediante el cálculo de la rentabilidad sobre la inversión (RSI) obtenemos un factor mayor a 1, lo que nos indica que, considerando esta inversión, costo y ventas anuales, es factible y el periodo de recuperación de la inversión es corto y conveniente</w:t>
      </w:r>
      <w:r w:rsidRPr="00553BC3">
        <w:rPr>
          <w:rFonts w:ascii="Arial" w:hAnsi="Arial" w:cs="Arial"/>
          <w:noProof/>
          <w:sz w:val="24"/>
          <w:szCs w:val="24"/>
        </w:rPr>
        <w:t xml:space="preserve"> </w:t>
      </w:r>
      <w:r w:rsidRPr="008B63F5">
        <w:rPr>
          <w:rFonts w:ascii="Arial" w:hAnsi="Arial" w:cs="Arial"/>
          <w:noProof/>
          <w:sz w:val="24"/>
          <w:szCs w:val="24"/>
          <w:vertAlign w:val="superscript"/>
        </w:rPr>
        <w:t>[12]</w:t>
      </w:r>
      <w:r>
        <w:rPr>
          <w:rFonts w:ascii="Arial" w:hAnsi="Arial" w:cs="Arial"/>
          <w:noProof/>
          <w:sz w:val="24"/>
          <w:szCs w:val="24"/>
        </w:rPr>
        <w:t>.</w:t>
      </w:r>
    </w:p>
    <w:p w:rsidR="00E31D8C" w:rsidRPr="00553BC3" w:rsidRDefault="00E31D8C" w:rsidP="00E31D8C">
      <w:pPr>
        <w:tabs>
          <w:tab w:val="center" w:pos="4702"/>
          <w:tab w:val="left" w:pos="8175"/>
        </w:tabs>
        <w:spacing w:line="240" w:lineRule="auto"/>
        <w:jc w:val="center"/>
        <w:rPr>
          <w:rFonts w:ascii="Arial" w:hAnsi="Arial" w:cs="Arial"/>
          <w:sz w:val="24"/>
          <w:szCs w:val="24"/>
        </w:rPr>
      </w:pPr>
      <w:r w:rsidRPr="00553BC3">
        <w:rPr>
          <w:rFonts w:ascii="Arial" w:hAnsi="Arial" w:cs="Arial"/>
          <w:i/>
          <w:sz w:val="24"/>
          <w:szCs w:val="24"/>
        </w:rPr>
        <w:t>(RSI)</w:t>
      </w:r>
      <w:r w:rsidRPr="00553BC3">
        <w:rPr>
          <w:rFonts w:ascii="Arial" w:hAnsi="Arial" w:cs="Arial"/>
          <w:sz w:val="24"/>
          <w:szCs w:val="24"/>
        </w:rPr>
        <w:t xml:space="preserve">= </w:t>
      </w:r>
      <m:oMath>
        <m:f>
          <m:fPr>
            <m:ctrlPr>
              <w:rPr>
                <w:rFonts w:ascii="Cambria Math" w:hAnsi="Cambria Math" w:cs="Arial"/>
                <w:i/>
                <w:sz w:val="24"/>
                <w:szCs w:val="24"/>
              </w:rPr>
            </m:ctrlPr>
          </m:fPr>
          <m:num>
            <m:r>
              <w:rPr>
                <w:rFonts w:ascii="Cambria Math" w:hAnsi="Cambria Math" w:cs="Arial"/>
                <w:sz w:val="24"/>
                <w:szCs w:val="24"/>
              </w:rPr>
              <m:t>Utilidad anual</m:t>
            </m:r>
          </m:num>
          <m:den>
            <m:r>
              <w:rPr>
                <w:rFonts w:ascii="Cambria Math" w:hAnsi="Cambria Math" w:cs="Arial"/>
                <w:sz w:val="24"/>
                <w:szCs w:val="24"/>
              </w:rPr>
              <m:t>Inversion total</m:t>
            </m:r>
          </m:den>
        </m:f>
      </m:oMath>
      <w:r w:rsidRPr="00553BC3">
        <w:rPr>
          <w:rFonts w:ascii="Arial" w:hAnsi="Arial" w:cs="Arial"/>
          <w:sz w:val="24"/>
          <w:szCs w:val="24"/>
        </w:rPr>
        <w:t xml:space="preserve"> = </w:t>
      </w:r>
      <m:oMath>
        <m:f>
          <m:fPr>
            <m:ctrlPr>
              <w:rPr>
                <w:rFonts w:ascii="Cambria Math" w:hAnsi="Cambria Math" w:cs="Arial"/>
                <w:i/>
                <w:sz w:val="24"/>
                <w:szCs w:val="24"/>
              </w:rPr>
            </m:ctrlPr>
          </m:fPr>
          <m:num>
            <m:r>
              <w:rPr>
                <w:rFonts w:ascii="Cambria Math" w:hAnsi="Cambria Math" w:cs="Arial"/>
                <w:sz w:val="24"/>
                <w:szCs w:val="24"/>
              </w:rPr>
              <m:t>72,000,000 MXN</m:t>
            </m:r>
          </m:num>
          <m:den>
            <m:r>
              <w:rPr>
                <w:rFonts w:ascii="Cambria Math" w:hAnsi="Cambria Math" w:cs="Arial"/>
                <w:sz w:val="24"/>
                <w:szCs w:val="24"/>
              </w:rPr>
              <m:t>70,000,000 MXN</m:t>
            </m:r>
          </m:den>
        </m:f>
        <m:r>
          <w:rPr>
            <w:rFonts w:ascii="Cambria Math" w:hAnsi="Cambria Math" w:cs="Arial"/>
            <w:sz w:val="24"/>
            <w:szCs w:val="24"/>
          </w:rPr>
          <m:t>=1.028</m:t>
        </m:r>
      </m:oMath>
      <w:r w:rsidRPr="00553BC3">
        <w:rPr>
          <w:rFonts w:ascii="Arial" w:hAnsi="Arial" w:cs="Arial"/>
          <w:sz w:val="24"/>
          <w:szCs w:val="24"/>
        </w:rPr>
        <w:t xml:space="preserve">     </w:t>
      </w:r>
      <w:r>
        <w:rPr>
          <w:rFonts w:ascii="Arial" w:hAnsi="Arial" w:cs="Arial"/>
          <w:i/>
          <w:iCs/>
          <w:sz w:val="24"/>
          <w:szCs w:val="24"/>
        </w:rPr>
        <w:t>(</w:t>
      </w:r>
      <w:r w:rsidRPr="00C81B92">
        <w:rPr>
          <w:rFonts w:ascii="Arial" w:hAnsi="Arial" w:cs="Arial"/>
          <w:i/>
          <w:iCs/>
          <w:sz w:val="24"/>
          <w:szCs w:val="24"/>
        </w:rPr>
        <w:t>1</w:t>
      </w:r>
      <w:r>
        <w:rPr>
          <w:rFonts w:ascii="Arial" w:hAnsi="Arial" w:cs="Arial"/>
          <w:i/>
          <w:iCs/>
          <w:sz w:val="24"/>
          <w:szCs w:val="24"/>
        </w:rPr>
        <w:t>)</w:t>
      </w:r>
    </w:p>
    <w:p w:rsidR="00E31D8C" w:rsidRDefault="00E31D8C" w:rsidP="00E31D8C">
      <w:pPr>
        <w:spacing w:line="240" w:lineRule="auto"/>
        <w:ind w:firstLine="708"/>
        <w:jc w:val="both"/>
        <w:rPr>
          <w:rFonts w:ascii="Arial" w:hAnsi="Arial" w:cs="Arial"/>
          <w:sz w:val="24"/>
          <w:szCs w:val="24"/>
        </w:rPr>
      </w:pPr>
      <w:r w:rsidRPr="00553BC3">
        <w:rPr>
          <w:rFonts w:ascii="Arial" w:hAnsi="Arial" w:cs="Arial"/>
          <w:sz w:val="24"/>
          <w:szCs w:val="24"/>
        </w:rPr>
        <w:t>Se debe considerar que el estudio de factibilidad puede variar dependiendo del lugar donde se pueda establecer una planta de este tipo, así como de las condiciones de la planta y de todas las consideraciones que se presentan en esta propuesta. Sin embargo, ayuda a tener una idea general de lo necesario y las implicaciones para realizar dicho proyecto.</w:t>
      </w:r>
    </w:p>
    <w:p w:rsidR="00E31D8C" w:rsidRPr="00553BC3" w:rsidRDefault="00E31D8C" w:rsidP="00E31D8C">
      <w:pPr>
        <w:spacing w:line="240" w:lineRule="auto"/>
        <w:ind w:firstLine="708"/>
        <w:jc w:val="both"/>
        <w:rPr>
          <w:rFonts w:ascii="Arial" w:hAnsi="Arial" w:cs="Arial"/>
          <w:sz w:val="24"/>
          <w:szCs w:val="24"/>
        </w:rPr>
      </w:pPr>
    </w:p>
    <w:p w:rsidR="00E31D8C" w:rsidRPr="00C81B92" w:rsidRDefault="00E31D8C" w:rsidP="00E31D8C">
      <w:pPr>
        <w:pStyle w:val="Default"/>
        <w:jc w:val="both"/>
        <w:rPr>
          <w:bCs/>
          <w:i/>
          <w:iCs/>
        </w:rPr>
      </w:pPr>
      <w:r>
        <w:rPr>
          <w:bCs/>
          <w:i/>
          <w:iCs/>
        </w:rPr>
        <w:t xml:space="preserve">4.3. </w:t>
      </w:r>
      <w:r w:rsidRPr="00C81B92">
        <w:rPr>
          <w:bCs/>
          <w:i/>
          <w:iCs/>
        </w:rPr>
        <w:t>Diseño de la planta recicladora de agroplásticos</w:t>
      </w:r>
    </w:p>
    <w:p w:rsidR="00E31D8C" w:rsidRDefault="00E31D8C" w:rsidP="00E31D8C">
      <w:pPr>
        <w:pStyle w:val="Default"/>
        <w:jc w:val="both"/>
        <w:rPr>
          <w:bCs/>
        </w:rPr>
      </w:pPr>
    </w:p>
    <w:p w:rsidR="00E31D8C" w:rsidRPr="00553BC3" w:rsidRDefault="00E31D8C" w:rsidP="00E31D8C">
      <w:pPr>
        <w:pStyle w:val="Default"/>
        <w:ind w:firstLine="567"/>
        <w:jc w:val="both"/>
        <w:rPr>
          <w:bCs/>
        </w:rPr>
      </w:pPr>
      <w:r w:rsidRPr="00553BC3">
        <w:rPr>
          <w:bCs/>
        </w:rPr>
        <w:t>El balance de materia es sencillo pues no existe una transformación química durante todo el proceso, por lo que se simplificará de la siguiente manera:</w:t>
      </w:r>
    </w:p>
    <w:p w:rsidR="00E31D8C" w:rsidRPr="00C81B92" w:rsidRDefault="00E31D8C" w:rsidP="00E31D8C">
      <w:pPr>
        <w:pStyle w:val="Default"/>
        <w:ind w:left="360"/>
        <w:jc w:val="both"/>
        <w:rPr>
          <w:bCs/>
        </w:rPr>
      </w:pPr>
    </w:p>
    <w:p w:rsidR="00E31D8C" w:rsidRPr="00553BC3" w:rsidRDefault="00E31D8C" w:rsidP="00E31D8C">
      <w:pPr>
        <w:pStyle w:val="Default"/>
        <w:ind w:left="360"/>
        <w:jc w:val="center"/>
        <w:rPr>
          <w:bCs/>
          <w:i/>
        </w:rPr>
      </w:pPr>
      <m:oMath>
        <m:r>
          <w:rPr>
            <w:rFonts w:ascii="Cambria Math" w:hAnsi="Cambria Math"/>
          </w:rPr>
          <m:t>Entrada – Salida = Acumulación – Generación</m:t>
        </m:r>
      </m:oMath>
      <w:r w:rsidRPr="00C81B92">
        <w:rPr>
          <w:bCs/>
          <w:i/>
        </w:rPr>
        <w:t xml:space="preserve">       </w:t>
      </w:r>
      <w:r>
        <w:rPr>
          <w:bCs/>
          <w:i/>
        </w:rPr>
        <w:t>(</w:t>
      </w:r>
      <w:r w:rsidRPr="00C81B92">
        <w:rPr>
          <w:bCs/>
          <w:i/>
        </w:rPr>
        <w:t>2</w:t>
      </w:r>
      <w:r>
        <w:rPr>
          <w:bCs/>
          <w:i/>
        </w:rPr>
        <w:t>)</w:t>
      </w:r>
    </w:p>
    <w:p w:rsidR="00E31D8C" w:rsidRDefault="00E31D8C" w:rsidP="00E31D8C">
      <w:pPr>
        <w:pStyle w:val="Default"/>
        <w:jc w:val="both"/>
        <w:rPr>
          <w:bCs/>
        </w:rPr>
      </w:pPr>
    </w:p>
    <w:p w:rsidR="00E31D8C" w:rsidRPr="00553BC3" w:rsidRDefault="00E31D8C" w:rsidP="00E31D8C">
      <w:pPr>
        <w:pStyle w:val="Default"/>
        <w:ind w:firstLine="567"/>
        <w:jc w:val="both"/>
        <w:rPr>
          <w:bCs/>
        </w:rPr>
      </w:pPr>
      <w:r w:rsidRPr="00553BC3">
        <w:rPr>
          <w:bCs/>
        </w:rPr>
        <w:t>No hay termino de generación pues es una planta recicladora donde todo el material que entra solo modifica su forma. Tampoco tenemos termino de acumulación de materia ya que antes de que la materia prima entre al primer equipo, que es el molino M-01, en la banda trasportadora ya se realizó la revisión de plásticos donde se eliminará la materia prima que no está en buenas condiciones para el proceso de reciclado o material extraño que no sea plástico, por lo que el balance se simplifica de la siguiente manera:</w:t>
      </w:r>
    </w:p>
    <w:p w:rsidR="00E31D8C" w:rsidRPr="00553BC3" w:rsidRDefault="00E31D8C" w:rsidP="00E31D8C">
      <w:pPr>
        <w:pStyle w:val="Default"/>
        <w:ind w:left="360"/>
        <w:jc w:val="both"/>
        <w:rPr>
          <w:bCs/>
        </w:rPr>
      </w:pPr>
    </w:p>
    <w:p w:rsidR="00E31D8C" w:rsidRPr="00B15A34" w:rsidRDefault="00E31D8C" w:rsidP="00E31D8C">
      <w:pPr>
        <w:pStyle w:val="Default"/>
        <w:ind w:left="360"/>
        <w:jc w:val="center"/>
        <w:rPr>
          <w:bCs/>
          <w:i/>
        </w:rPr>
      </w:pPr>
      <m:oMath>
        <m:r>
          <w:rPr>
            <w:rFonts w:ascii="Cambria Math" w:hAnsi="Cambria Math"/>
          </w:rPr>
          <m:t xml:space="preserve">ENTRADA – SALIDA = </m:t>
        </m:r>
        <m:r>
          <w:rPr>
            <w:rFonts w:ascii="Cambria Math"/>
          </w:rPr>
          <m:t>0</m:t>
        </m:r>
      </m:oMath>
      <w:r w:rsidRPr="00B15A34">
        <w:rPr>
          <w:rFonts w:eastAsiaTheme="minorEastAsia"/>
          <w:bCs/>
          <w:i/>
        </w:rPr>
        <w:t xml:space="preserve">          (3)</w:t>
      </w:r>
    </w:p>
    <w:p w:rsidR="00E31D8C" w:rsidRPr="00B15A34" w:rsidRDefault="00E31D8C" w:rsidP="00E31D8C">
      <w:pPr>
        <w:pStyle w:val="Default"/>
        <w:ind w:left="360"/>
        <w:jc w:val="center"/>
        <w:rPr>
          <w:bCs/>
          <w:i/>
        </w:rPr>
      </w:pPr>
    </w:p>
    <w:p w:rsidR="00E31D8C" w:rsidRPr="00B15A34" w:rsidRDefault="00E31D8C" w:rsidP="00E31D8C">
      <w:pPr>
        <w:pStyle w:val="Default"/>
        <w:ind w:left="360"/>
        <w:jc w:val="center"/>
        <w:rPr>
          <w:bCs/>
          <w:i/>
        </w:rPr>
      </w:pPr>
      <m:oMath>
        <m:r>
          <m:rPr>
            <m:sty m:val="bi"/>
          </m:rPr>
          <w:rPr>
            <w:rFonts w:ascii="Cambria Math" w:hAnsi="Cambria Math"/>
          </w:rPr>
          <m:t>ENTRADA = SALIDA</m:t>
        </m:r>
      </m:oMath>
      <w:r w:rsidRPr="00B15A34">
        <w:rPr>
          <w:rFonts w:eastAsiaTheme="minorEastAsia"/>
          <w:bCs/>
          <w:i/>
        </w:rPr>
        <w:t xml:space="preserve">            (4)</w:t>
      </w:r>
    </w:p>
    <w:p w:rsidR="00E31D8C" w:rsidRPr="00B15A34" w:rsidRDefault="00E31D8C" w:rsidP="00E31D8C">
      <w:pPr>
        <w:pStyle w:val="Default"/>
        <w:ind w:left="360"/>
        <w:jc w:val="center"/>
        <w:rPr>
          <w:bCs/>
          <w:i/>
        </w:rPr>
      </w:pPr>
    </w:p>
    <w:p w:rsidR="00E31D8C" w:rsidRPr="00553BC3" w:rsidRDefault="00E31D8C" w:rsidP="00E31D8C">
      <w:pPr>
        <w:pStyle w:val="Default"/>
        <w:ind w:firstLine="567"/>
        <w:jc w:val="both"/>
        <w:rPr>
          <w:bCs/>
        </w:rPr>
      </w:pPr>
      <w:r w:rsidRPr="00553BC3">
        <w:rPr>
          <w:bCs/>
        </w:rPr>
        <w:t xml:space="preserve">El balance anterior representa que toda la materia que entra al primer equipo es la que va a salir como producto final, con forma de pellets para la fabricación de otros productos plásticos. El flujo de material plástico será de 3 </w:t>
      </w:r>
      <w:r>
        <w:rPr>
          <w:bCs/>
        </w:rPr>
        <w:t>t/</w:t>
      </w:r>
      <w:r w:rsidRPr="00553BC3">
        <w:rPr>
          <w:bCs/>
        </w:rPr>
        <w:t>h en todos los puntos del proceso: seleccionado, lavado, secado, molido, peletizado y extruido.</w:t>
      </w:r>
    </w:p>
    <w:p w:rsidR="00E31D8C" w:rsidRPr="00553BC3" w:rsidRDefault="00E31D8C" w:rsidP="00E31D8C">
      <w:pPr>
        <w:pStyle w:val="Default"/>
        <w:jc w:val="both"/>
        <w:rPr>
          <w:bCs/>
        </w:rPr>
      </w:pPr>
    </w:p>
    <w:p w:rsidR="00E31D8C" w:rsidRPr="007E60BC" w:rsidRDefault="00E31D8C" w:rsidP="00E31D8C">
      <w:pPr>
        <w:pStyle w:val="Default"/>
        <w:jc w:val="both"/>
        <w:rPr>
          <w:bCs/>
          <w:i/>
          <w:iCs/>
        </w:rPr>
      </w:pPr>
      <w:r>
        <w:rPr>
          <w:bCs/>
          <w:i/>
          <w:iCs/>
        </w:rPr>
        <w:t xml:space="preserve">4.4. </w:t>
      </w:r>
      <w:r w:rsidRPr="007E60BC">
        <w:rPr>
          <w:bCs/>
          <w:i/>
          <w:iCs/>
        </w:rPr>
        <w:t>Diagrama de Flujo del Proceso (DFP), Diagrama de Tuberías e Instrumentación</w:t>
      </w:r>
      <w:r>
        <w:rPr>
          <w:bCs/>
          <w:i/>
          <w:iCs/>
        </w:rPr>
        <w:t xml:space="preserve"> (DTI)</w:t>
      </w:r>
      <w:r w:rsidRPr="007E60BC">
        <w:rPr>
          <w:bCs/>
          <w:i/>
          <w:iCs/>
        </w:rPr>
        <w:t xml:space="preserve"> y Plot Plan</w:t>
      </w:r>
    </w:p>
    <w:p w:rsidR="00E31D8C" w:rsidRDefault="00E31D8C" w:rsidP="00E31D8C">
      <w:pPr>
        <w:pStyle w:val="Default"/>
        <w:jc w:val="both"/>
        <w:rPr>
          <w:bCs/>
        </w:rPr>
      </w:pPr>
    </w:p>
    <w:p w:rsidR="00E31D8C" w:rsidRDefault="00E31D8C" w:rsidP="00E31D8C">
      <w:pPr>
        <w:pStyle w:val="Default"/>
        <w:ind w:firstLine="708"/>
        <w:jc w:val="both"/>
        <w:rPr>
          <w:bCs/>
        </w:rPr>
      </w:pPr>
      <w:r w:rsidRPr="00553BC3">
        <w:rPr>
          <w:bCs/>
        </w:rPr>
        <w:t xml:space="preserve">A continuación, se presenta el diseño de la planta mediante el desarrollo del Diagrama de Flujo del Proceso (DFP), el Diagrama de Tuberías e Instrumentación (DTI) y el Plot Plan, que </w:t>
      </w:r>
      <w:r>
        <w:rPr>
          <w:bCs/>
        </w:rPr>
        <w:t xml:space="preserve">describen </w:t>
      </w:r>
      <w:r w:rsidRPr="00553BC3">
        <w:rPr>
          <w:bCs/>
        </w:rPr>
        <w:t xml:space="preserve">el proceso y la distribución de las instalaciones </w:t>
      </w:r>
      <w:r>
        <w:rPr>
          <w:bCs/>
        </w:rPr>
        <w:t xml:space="preserve">para la planta recicladora de agroplásticos en Tlaquepaque, Jalisco, en México </w:t>
      </w:r>
      <w:r w:rsidRPr="00553BC3">
        <w:rPr>
          <w:bCs/>
        </w:rPr>
        <w:t>(figura 4, 5 y 6):</w:t>
      </w:r>
    </w:p>
    <w:p w:rsidR="00E31D8C" w:rsidRPr="007E60BC" w:rsidRDefault="00E31D8C" w:rsidP="00E31D8C">
      <w:pPr>
        <w:pStyle w:val="Default"/>
        <w:jc w:val="both"/>
        <w:rPr>
          <w:bCs/>
        </w:rPr>
      </w:pPr>
    </w:p>
    <w:p w:rsidR="00E31D8C" w:rsidRPr="00553BC3" w:rsidRDefault="00E31D8C" w:rsidP="00E31D8C">
      <w:pPr>
        <w:spacing w:after="0" w:line="240" w:lineRule="auto"/>
        <w:jc w:val="center"/>
        <w:rPr>
          <w:rFonts w:ascii="Arial" w:hAnsi="Arial" w:cs="Arial"/>
          <w:sz w:val="24"/>
          <w:szCs w:val="24"/>
        </w:rPr>
      </w:pPr>
      <w:r w:rsidRPr="00553BC3">
        <w:rPr>
          <w:rFonts w:ascii="Arial" w:hAnsi="Arial" w:cs="Arial"/>
          <w:b/>
          <w:noProof/>
          <w:sz w:val="24"/>
          <w:szCs w:val="24"/>
          <w:lang w:val="en-US"/>
        </w:rPr>
        <w:drawing>
          <wp:inline distT="0" distB="0" distL="0" distR="0" wp14:anchorId="1009EB6A" wp14:editId="6798FB0D">
            <wp:extent cx="5645193" cy="3714750"/>
            <wp:effectExtent l="76200" t="76200" r="127000" b="133350"/>
            <wp:docPr id="1089" name="Imagen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FP_PLÁSTICOS AGRÍCOLAS FINAL.jpg"/>
                    <pic:cNvPicPr/>
                  </pic:nvPicPr>
                  <pic:blipFill>
                    <a:blip r:embed="rId1348" cstate="print">
                      <a:extLst>
                        <a:ext uri="{28A0092B-C50C-407E-A947-70E740481C1C}">
                          <a14:useLocalDpi xmlns:a14="http://schemas.microsoft.com/office/drawing/2010/main" val="0"/>
                        </a:ext>
                      </a:extLst>
                    </a:blip>
                    <a:stretch>
                      <a:fillRect/>
                    </a:stretch>
                  </pic:blipFill>
                  <pic:spPr>
                    <a:xfrm>
                      <a:off x="0" y="0"/>
                      <a:ext cx="5645193" cy="3714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31D8C" w:rsidRPr="007E60BC" w:rsidRDefault="00E31D8C" w:rsidP="00E31D8C">
      <w:pPr>
        <w:spacing w:line="240" w:lineRule="auto"/>
        <w:jc w:val="center"/>
        <w:rPr>
          <w:rFonts w:ascii="Arial" w:hAnsi="Arial" w:cs="Arial"/>
          <w:bCs/>
          <w:i/>
          <w:iCs/>
          <w:noProof/>
          <w:sz w:val="20"/>
          <w:szCs w:val="20"/>
        </w:rPr>
      </w:pPr>
      <w:r w:rsidRPr="007E60BC">
        <w:rPr>
          <w:rFonts w:ascii="Arial" w:hAnsi="Arial" w:cs="Arial"/>
          <w:bCs/>
          <w:i/>
          <w:iCs/>
          <w:noProof/>
          <w:sz w:val="20"/>
          <w:szCs w:val="20"/>
        </w:rPr>
        <w:t>Figura 4. Diagrama de Flujo del Proceso (DFP) del reciclaje de agroplásticos.</w:t>
      </w:r>
    </w:p>
    <w:p w:rsidR="00E31D8C" w:rsidRPr="00553BC3" w:rsidRDefault="00E31D8C" w:rsidP="00E31D8C">
      <w:pPr>
        <w:spacing w:after="0" w:line="240" w:lineRule="auto"/>
        <w:jc w:val="center"/>
        <w:rPr>
          <w:rFonts w:ascii="Arial" w:hAnsi="Arial" w:cs="Arial"/>
          <w:sz w:val="24"/>
          <w:szCs w:val="24"/>
        </w:rPr>
      </w:pPr>
      <w:r>
        <w:rPr>
          <w:rFonts w:ascii="Arial" w:hAnsi="Arial" w:cs="Arial"/>
          <w:noProof/>
          <w:sz w:val="24"/>
          <w:szCs w:val="24"/>
          <w:lang w:val="en-US"/>
        </w:rPr>
        <w:drawing>
          <wp:inline distT="0" distB="0" distL="0" distR="0" wp14:anchorId="72E40EBE" wp14:editId="321673E1">
            <wp:extent cx="3920915" cy="5801146"/>
            <wp:effectExtent l="0" t="6668" r="0" b="0"/>
            <wp:docPr id="1090" name="Imagen 1090"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TI.png"/>
                    <pic:cNvPicPr/>
                  </pic:nvPicPr>
                  <pic:blipFill>
                    <a:blip r:embed="rId1349" cstate="print">
                      <a:extLst>
                        <a:ext uri="{28A0092B-C50C-407E-A947-70E740481C1C}">
                          <a14:useLocalDpi xmlns:a14="http://schemas.microsoft.com/office/drawing/2010/main" val="0"/>
                        </a:ext>
                      </a:extLst>
                    </a:blip>
                    <a:stretch>
                      <a:fillRect/>
                    </a:stretch>
                  </pic:blipFill>
                  <pic:spPr>
                    <a:xfrm rot="5400000">
                      <a:off x="0" y="0"/>
                      <a:ext cx="3964367" cy="5865434"/>
                    </a:xfrm>
                    <a:prstGeom prst="rect">
                      <a:avLst/>
                    </a:prstGeom>
                  </pic:spPr>
                </pic:pic>
              </a:graphicData>
            </a:graphic>
          </wp:inline>
        </w:drawing>
      </w:r>
    </w:p>
    <w:p w:rsidR="00E31D8C" w:rsidRPr="007E60BC" w:rsidRDefault="00E31D8C" w:rsidP="00E31D8C">
      <w:pPr>
        <w:spacing w:line="240" w:lineRule="auto"/>
        <w:jc w:val="center"/>
        <w:rPr>
          <w:rFonts w:ascii="Arial" w:hAnsi="Arial" w:cs="Arial"/>
          <w:bCs/>
          <w:i/>
          <w:iCs/>
          <w:noProof/>
          <w:sz w:val="20"/>
          <w:szCs w:val="20"/>
        </w:rPr>
      </w:pPr>
      <w:r w:rsidRPr="007E60BC">
        <w:rPr>
          <w:rFonts w:ascii="Arial" w:hAnsi="Arial" w:cs="Arial"/>
          <w:bCs/>
          <w:i/>
          <w:iCs/>
          <w:noProof/>
          <w:sz w:val="20"/>
          <w:szCs w:val="20"/>
        </w:rPr>
        <w:t>Figura 5. Diagrama de Tubería e Instrumentación (DTI) de la planta recicladora de agroplásticos.</w:t>
      </w:r>
    </w:p>
    <w:p w:rsidR="00E31D8C" w:rsidRPr="00553BC3" w:rsidRDefault="00E31D8C" w:rsidP="00E31D8C">
      <w:pPr>
        <w:spacing w:after="0" w:line="240" w:lineRule="auto"/>
        <w:jc w:val="center"/>
        <w:rPr>
          <w:rFonts w:ascii="Arial" w:hAnsi="Arial" w:cs="Arial"/>
          <w:sz w:val="24"/>
          <w:szCs w:val="24"/>
        </w:rPr>
      </w:pPr>
      <w:r w:rsidRPr="00553BC3">
        <w:rPr>
          <w:rFonts w:ascii="Arial" w:hAnsi="Arial" w:cs="Arial"/>
          <w:noProof/>
          <w:sz w:val="24"/>
          <w:szCs w:val="24"/>
          <w:lang w:val="en-US"/>
        </w:rPr>
        <w:drawing>
          <wp:inline distT="0" distB="0" distL="0" distR="0" wp14:anchorId="22684519" wp14:editId="152F9911">
            <wp:extent cx="3774275" cy="5559336"/>
            <wp:effectExtent l="2858" t="0" r="952" b="953"/>
            <wp:docPr id="1091" name="Imagen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ot plan 2.png"/>
                    <pic:cNvPicPr/>
                  </pic:nvPicPr>
                  <pic:blipFill>
                    <a:blip r:embed="rId1350" cstate="print">
                      <a:extLst>
                        <a:ext uri="{28A0092B-C50C-407E-A947-70E740481C1C}">
                          <a14:useLocalDpi xmlns:a14="http://schemas.microsoft.com/office/drawing/2010/main" val="0"/>
                        </a:ext>
                      </a:extLst>
                    </a:blip>
                    <a:stretch>
                      <a:fillRect/>
                    </a:stretch>
                  </pic:blipFill>
                  <pic:spPr>
                    <a:xfrm rot="5400000">
                      <a:off x="0" y="0"/>
                      <a:ext cx="3774275" cy="5559336"/>
                    </a:xfrm>
                    <a:prstGeom prst="rect">
                      <a:avLst/>
                    </a:prstGeom>
                  </pic:spPr>
                </pic:pic>
              </a:graphicData>
            </a:graphic>
          </wp:inline>
        </w:drawing>
      </w:r>
    </w:p>
    <w:p w:rsidR="00E31D8C" w:rsidRDefault="00E31D8C" w:rsidP="00E31D8C">
      <w:pPr>
        <w:spacing w:line="240" w:lineRule="auto"/>
        <w:jc w:val="center"/>
        <w:rPr>
          <w:rFonts w:ascii="Arial" w:hAnsi="Arial" w:cs="Arial"/>
          <w:bCs/>
          <w:i/>
          <w:iCs/>
          <w:noProof/>
          <w:sz w:val="20"/>
          <w:szCs w:val="20"/>
        </w:rPr>
      </w:pPr>
      <w:r w:rsidRPr="007E60BC">
        <w:rPr>
          <w:rFonts w:ascii="Arial" w:hAnsi="Arial" w:cs="Arial"/>
          <w:bCs/>
          <w:i/>
          <w:iCs/>
          <w:noProof/>
          <w:sz w:val="20"/>
          <w:szCs w:val="20"/>
        </w:rPr>
        <w:t>Figura 6. Plot Plan de la planta recicladora de agroplasticos.</w:t>
      </w:r>
    </w:p>
    <w:p w:rsidR="00E31D8C" w:rsidRPr="007E60BC" w:rsidRDefault="00E31D8C" w:rsidP="00E31D8C">
      <w:pPr>
        <w:spacing w:line="240" w:lineRule="auto"/>
        <w:jc w:val="center"/>
        <w:rPr>
          <w:rFonts w:ascii="Arial" w:hAnsi="Arial" w:cs="Arial"/>
          <w:bCs/>
          <w:i/>
          <w:iCs/>
          <w:noProof/>
          <w:sz w:val="20"/>
          <w:szCs w:val="20"/>
        </w:rPr>
      </w:pPr>
    </w:p>
    <w:p w:rsidR="00E31D8C" w:rsidRPr="007E60BC" w:rsidRDefault="00E31D8C" w:rsidP="00873BBA">
      <w:pPr>
        <w:pStyle w:val="1Titulo"/>
        <w:numPr>
          <w:ilvl w:val="0"/>
          <w:numId w:val="78"/>
        </w:numPr>
      </w:pPr>
      <w:bookmarkStart w:id="475" w:name="_Toc50031494"/>
      <w:r w:rsidRPr="007E60BC">
        <w:t>Conclusiones</w:t>
      </w:r>
      <w:bookmarkEnd w:id="475"/>
    </w:p>
    <w:p w:rsidR="00E31D8C" w:rsidRPr="00553BC3" w:rsidRDefault="00E31D8C" w:rsidP="00E31D8C">
      <w:pPr>
        <w:spacing w:after="0" w:line="240" w:lineRule="auto"/>
        <w:jc w:val="both"/>
        <w:rPr>
          <w:rFonts w:ascii="Arial" w:hAnsi="Arial" w:cs="Arial"/>
          <w:b/>
          <w:color w:val="1F497D"/>
          <w:sz w:val="24"/>
          <w:szCs w:val="24"/>
        </w:rPr>
      </w:pPr>
    </w:p>
    <w:p w:rsidR="00E31D8C" w:rsidRPr="00553BC3" w:rsidRDefault="00E31D8C" w:rsidP="00E31D8C">
      <w:pPr>
        <w:spacing w:line="240" w:lineRule="auto"/>
        <w:ind w:firstLine="567"/>
        <w:jc w:val="both"/>
        <w:rPr>
          <w:rFonts w:ascii="Arial" w:hAnsi="Arial" w:cs="Arial"/>
          <w:sz w:val="24"/>
          <w:szCs w:val="24"/>
        </w:rPr>
      </w:pPr>
      <w:r w:rsidRPr="00553BC3">
        <w:rPr>
          <w:rFonts w:ascii="Arial" w:hAnsi="Arial" w:cs="Arial"/>
          <w:sz w:val="24"/>
          <w:szCs w:val="24"/>
        </w:rPr>
        <w:t xml:space="preserve">Se diseñó una Planta Recicladora de Plásticos Agrícolas con un alcance de 3 </w:t>
      </w:r>
      <w:r>
        <w:rPr>
          <w:rFonts w:ascii="Arial" w:hAnsi="Arial" w:cs="Arial"/>
          <w:sz w:val="24"/>
          <w:szCs w:val="24"/>
        </w:rPr>
        <w:t>t</w:t>
      </w:r>
      <w:r w:rsidRPr="00553BC3">
        <w:rPr>
          <w:rFonts w:ascii="Arial" w:hAnsi="Arial" w:cs="Arial"/>
          <w:sz w:val="24"/>
          <w:szCs w:val="24"/>
        </w:rPr>
        <w:t>/h para procesar diferentes tipos de plásticos que se utilizan en la agricultura protegida en diversos cultivos a lo largo de la república mexicana. Se terminó el diseño de la ingeniería del proyecto basándose en residuos de película de polietileno de alta densidad (LDPE) y tomando en cuenta las bases y criterios de diseño de equipos y maquinaria requerida para el proceso, así como de la instrumentación y tuberías, sin dejar de lado el cumplimiento de la normatividad vigente en materia de seguridad e higiene y normas ambientales. Finalmente, se concluye que la planta de reciclaje propuesta presenta una gran factibilidad económica, ya que la inversión puede ser recuperada aproximadamente en un año si se respetan los criterios de alimentación y producción establecidos, teniendo una buena utilidad mensual.</w:t>
      </w:r>
    </w:p>
    <w:p w:rsidR="00E31D8C" w:rsidRDefault="00E31D8C" w:rsidP="00E31D8C">
      <w:pPr>
        <w:spacing w:line="240" w:lineRule="auto"/>
        <w:ind w:firstLine="567"/>
        <w:jc w:val="both"/>
        <w:rPr>
          <w:rFonts w:ascii="Arial" w:hAnsi="Arial" w:cs="Arial"/>
          <w:sz w:val="24"/>
          <w:szCs w:val="24"/>
        </w:rPr>
      </w:pPr>
      <w:r w:rsidRPr="00553BC3">
        <w:rPr>
          <w:rFonts w:ascii="Arial" w:hAnsi="Arial" w:cs="Arial"/>
          <w:sz w:val="24"/>
          <w:szCs w:val="24"/>
        </w:rPr>
        <w:t xml:space="preserve">El disponer de una planta recicladora de agroplásticos constituye una contribución al problema de quema indiscriminada, con su consecuente efecto de contaminación atmosférica, además de brindar </w:t>
      </w:r>
      <w:r>
        <w:rPr>
          <w:rFonts w:ascii="Arial" w:hAnsi="Arial" w:cs="Arial"/>
          <w:sz w:val="24"/>
          <w:szCs w:val="24"/>
        </w:rPr>
        <w:t xml:space="preserve">la </w:t>
      </w:r>
      <w:r w:rsidRPr="00553BC3">
        <w:rPr>
          <w:rFonts w:ascii="Arial" w:hAnsi="Arial" w:cs="Arial"/>
          <w:sz w:val="24"/>
          <w:szCs w:val="24"/>
        </w:rPr>
        <w:t>oportunidad de generar empleos y desarrollo económico en la región.</w:t>
      </w:r>
    </w:p>
    <w:p w:rsidR="00E31D8C" w:rsidRPr="00884F5D" w:rsidRDefault="00E31D8C" w:rsidP="00873BBA">
      <w:pPr>
        <w:pStyle w:val="1Titulo"/>
        <w:numPr>
          <w:ilvl w:val="0"/>
          <w:numId w:val="0"/>
        </w:numPr>
        <w:ind w:left="357"/>
      </w:pPr>
      <w:bookmarkStart w:id="476" w:name="_Toc50031495"/>
      <w:r w:rsidRPr="00884F5D">
        <w:t>6. Perspectivas a futuro</w:t>
      </w:r>
      <w:bookmarkEnd w:id="476"/>
    </w:p>
    <w:p w:rsidR="00E31D8C" w:rsidRDefault="00E31D8C" w:rsidP="00E31D8C">
      <w:pPr>
        <w:spacing w:line="240" w:lineRule="auto"/>
        <w:ind w:firstLine="567"/>
        <w:jc w:val="both"/>
        <w:rPr>
          <w:rFonts w:ascii="Arial" w:hAnsi="Arial" w:cs="Arial"/>
          <w:sz w:val="24"/>
          <w:szCs w:val="24"/>
        </w:rPr>
      </w:pPr>
      <w:r>
        <w:rPr>
          <w:rFonts w:ascii="Arial" w:hAnsi="Arial" w:cs="Arial"/>
          <w:sz w:val="24"/>
          <w:szCs w:val="24"/>
        </w:rPr>
        <w:t>La Asociación de Recicladores de Plásticos Agrícolas de México (ARPAM) continúa trabajando y realizando estudios para la ubicación de diversas plantas recicladoras de agroplásticos en toda la república mexicana, los cuales harán llegar a las autoridades competentes con las que trabajan en conjunto. Este es un inicio para diversos puntos estratégicos de recolección y reciclaje de residuos agroplásticos. Las autoridades e instituciones responsables continúan con estudios que permiten a los empresarios e investigadores contribuir con esta labor y dar soluciones a la problemática actual con planes de manejo y nuevas técnicas de disposición de materiales agroplásticos.</w:t>
      </w:r>
    </w:p>
    <w:p w:rsidR="00E31D8C" w:rsidRDefault="00E31D8C" w:rsidP="00873BBA">
      <w:pPr>
        <w:pStyle w:val="1Titulo"/>
        <w:numPr>
          <w:ilvl w:val="0"/>
          <w:numId w:val="64"/>
        </w:numPr>
      </w:pPr>
      <w:bookmarkStart w:id="477" w:name="_Toc50031496"/>
      <w:r w:rsidRPr="0018052F">
        <w:t>Referencias</w:t>
      </w:r>
      <w:bookmarkEnd w:id="477"/>
      <w:r w:rsidRPr="0018052F">
        <w:t xml:space="preserve"> </w:t>
      </w:r>
    </w:p>
    <w:p w:rsidR="00E31D8C" w:rsidRDefault="00E31D8C" w:rsidP="00E31D8C">
      <w:pPr>
        <w:pStyle w:val="Bibliografa"/>
        <w:rPr>
          <w:rFonts w:ascii="Arial" w:hAnsi="Arial" w:cs="Arial"/>
          <w:noProof/>
          <w:sz w:val="24"/>
          <w:szCs w:val="24"/>
          <w:lang w:val="es-ES"/>
        </w:rPr>
      </w:pPr>
      <w:r>
        <w:rPr>
          <w:rFonts w:ascii="Arial" w:hAnsi="Arial" w:cs="Arial"/>
          <w:noProof/>
          <w:sz w:val="24"/>
          <w:szCs w:val="24"/>
          <w:lang w:val="es-ES"/>
        </w:rPr>
        <w:t xml:space="preserve">[1] </w:t>
      </w:r>
      <w:r w:rsidRPr="00553BC3">
        <w:rPr>
          <w:rFonts w:ascii="Arial" w:hAnsi="Arial" w:cs="Arial"/>
          <w:noProof/>
          <w:sz w:val="24"/>
          <w:szCs w:val="24"/>
          <w:lang w:val="es-ES"/>
        </w:rPr>
        <w:t xml:space="preserve">SAGARPA. (2015). </w:t>
      </w:r>
      <w:r w:rsidRPr="00553BC3">
        <w:rPr>
          <w:rFonts w:ascii="Arial" w:hAnsi="Arial" w:cs="Arial"/>
          <w:i/>
          <w:iCs/>
          <w:noProof/>
          <w:sz w:val="24"/>
          <w:szCs w:val="24"/>
          <w:lang w:val="es-ES"/>
        </w:rPr>
        <w:t>Plan de manejo de residuos generados en actividades agríolas. Primera etapa: Diagnóstico Nacional.</w:t>
      </w:r>
      <w:r w:rsidRPr="00553BC3">
        <w:rPr>
          <w:rFonts w:ascii="Arial" w:hAnsi="Arial" w:cs="Arial"/>
          <w:noProof/>
          <w:sz w:val="24"/>
          <w:szCs w:val="24"/>
          <w:lang w:val="es-ES"/>
        </w:rPr>
        <w:t xml:space="preserve"> Zacatecas: Reporte detallado, Folio: 211PP064.</w:t>
      </w:r>
      <w:r>
        <w:rPr>
          <w:rFonts w:ascii="Arial" w:hAnsi="Arial" w:cs="Arial"/>
          <w:noProof/>
          <w:sz w:val="24"/>
          <w:szCs w:val="24"/>
          <w:lang w:val="es-ES"/>
        </w:rPr>
        <w:t xml:space="preserve"> Recuperado de: </w:t>
      </w:r>
      <w:hyperlink r:id="rId1351" w:history="1">
        <w:r w:rsidRPr="003305E1">
          <w:rPr>
            <w:rStyle w:val="Hipervnculo"/>
            <w:rFonts w:ascii="Arial" w:eastAsiaTheme="majorEastAsia" w:hAnsi="Arial" w:cs="Arial"/>
            <w:noProof/>
            <w:color w:val="auto"/>
            <w:sz w:val="24"/>
            <w:szCs w:val="24"/>
            <w:lang w:val="es-ES"/>
          </w:rPr>
          <w:t>https://www.gob.mx/cms/uploads/attachment/file/346978/Manejo_de_residuos_Detallado.pdf</w:t>
        </w:r>
      </w:hyperlink>
      <w:r w:rsidRPr="003305E1">
        <w:rPr>
          <w:rFonts w:ascii="Arial" w:hAnsi="Arial" w:cs="Arial"/>
          <w:noProof/>
          <w:sz w:val="24"/>
          <w:szCs w:val="24"/>
          <w:lang w:val="es-ES"/>
        </w:rPr>
        <w:t>.</w:t>
      </w:r>
    </w:p>
    <w:p w:rsidR="00E31D8C" w:rsidRPr="00ED5A26" w:rsidRDefault="00E31D8C" w:rsidP="00E31D8C">
      <w:pPr>
        <w:spacing w:line="240" w:lineRule="auto"/>
        <w:jc w:val="both"/>
        <w:rPr>
          <w:rFonts w:ascii="Arial" w:eastAsia="Calibri" w:hAnsi="Arial" w:cs="Arial"/>
          <w:noProof/>
          <w:sz w:val="24"/>
          <w:szCs w:val="24"/>
        </w:rPr>
      </w:pPr>
      <w:r w:rsidRPr="0018052F">
        <w:rPr>
          <w:rFonts w:ascii="Arial" w:eastAsia="Calibri" w:hAnsi="Arial" w:cs="Arial"/>
          <w:noProof/>
          <w:sz w:val="24"/>
          <w:szCs w:val="24"/>
        </w:rPr>
        <w:t xml:space="preserve">[2] </w:t>
      </w:r>
      <w:r>
        <w:rPr>
          <w:rFonts w:ascii="Arial" w:eastAsia="Calibri" w:hAnsi="Arial" w:cs="Arial"/>
          <w:noProof/>
          <w:sz w:val="24"/>
          <w:szCs w:val="24"/>
        </w:rPr>
        <w:t xml:space="preserve">Imagen recuperada de: </w:t>
      </w:r>
      <w:hyperlink r:id="rId1352" w:history="1">
        <w:r w:rsidRPr="004A3B6C">
          <w:rPr>
            <w:rStyle w:val="Hipervnculo"/>
            <w:rFonts w:ascii="Arial" w:hAnsi="Arial" w:cs="Arial"/>
            <w:bCs/>
            <w:color w:val="auto"/>
            <w:sz w:val="24"/>
            <w:szCs w:val="24"/>
          </w:rPr>
          <w:t>https://www.tecnologiahorticola.com/plastico-biodegradable-acolchado/</w:t>
        </w:r>
      </w:hyperlink>
      <w:r w:rsidRPr="004A3B6C">
        <w:rPr>
          <w:rFonts w:ascii="Arial" w:hAnsi="Arial" w:cs="Arial"/>
          <w:bCs/>
          <w:sz w:val="24"/>
          <w:szCs w:val="24"/>
        </w:rPr>
        <w:t>.</w:t>
      </w:r>
    </w:p>
    <w:p w:rsidR="00E31D8C" w:rsidRPr="00553BC3" w:rsidRDefault="00E31D8C" w:rsidP="00E31D8C">
      <w:pPr>
        <w:pStyle w:val="Bibliografa"/>
        <w:rPr>
          <w:rFonts w:ascii="Arial" w:hAnsi="Arial" w:cs="Arial"/>
          <w:noProof/>
          <w:sz w:val="24"/>
          <w:szCs w:val="24"/>
          <w:lang w:val="es-ES"/>
        </w:rPr>
      </w:pPr>
      <w:r>
        <w:rPr>
          <w:rFonts w:ascii="Arial" w:hAnsi="Arial" w:cs="Arial"/>
          <w:noProof/>
          <w:sz w:val="24"/>
          <w:szCs w:val="24"/>
          <w:lang w:val="es-ES"/>
        </w:rPr>
        <w:t xml:space="preserve">[3] </w:t>
      </w:r>
      <w:r w:rsidRPr="00553BC3">
        <w:rPr>
          <w:rFonts w:ascii="Arial" w:hAnsi="Arial" w:cs="Arial"/>
          <w:noProof/>
          <w:sz w:val="24"/>
          <w:szCs w:val="24"/>
          <w:lang w:val="es-ES"/>
        </w:rPr>
        <w:t xml:space="preserve">SAGARPA. (2012). </w:t>
      </w:r>
      <w:r w:rsidRPr="00553BC3">
        <w:rPr>
          <w:rFonts w:ascii="Arial" w:hAnsi="Arial" w:cs="Arial"/>
          <w:i/>
          <w:iCs/>
          <w:noProof/>
          <w:sz w:val="24"/>
          <w:szCs w:val="24"/>
          <w:lang w:val="es-ES"/>
        </w:rPr>
        <w:t>Agricultura protegida 2012.</w:t>
      </w:r>
      <w:r w:rsidRPr="00553BC3">
        <w:rPr>
          <w:rFonts w:ascii="Arial" w:hAnsi="Arial" w:cs="Arial"/>
          <w:noProof/>
          <w:sz w:val="24"/>
          <w:szCs w:val="24"/>
          <w:lang w:val="es-ES"/>
        </w:rPr>
        <w:t xml:space="preserve"> </w:t>
      </w:r>
      <w:r>
        <w:rPr>
          <w:rFonts w:ascii="Arial" w:hAnsi="Arial" w:cs="Arial"/>
          <w:noProof/>
          <w:sz w:val="24"/>
          <w:szCs w:val="24"/>
          <w:lang w:val="es-ES"/>
        </w:rPr>
        <w:t>Recuperado</w:t>
      </w:r>
      <w:r w:rsidRPr="00553BC3">
        <w:rPr>
          <w:rFonts w:ascii="Arial" w:hAnsi="Arial" w:cs="Arial"/>
          <w:noProof/>
          <w:sz w:val="24"/>
          <w:szCs w:val="24"/>
          <w:lang w:val="es-ES"/>
        </w:rPr>
        <w:t xml:space="preserve"> </w:t>
      </w:r>
      <w:r>
        <w:rPr>
          <w:rFonts w:ascii="Arial" w:hAnsi="Arial" w:cs="Arial"/>
          <w:noProof/>
          <w:sz w:val="24"/>
          <w:szCs w:val="24"/>
          <w:lang w:val="es-ES"/>
        </w:rPr>
        <w:t>el 15 de julio de 2014 de</w:t>
      </w:r>
      <w:r w:rsidRPr="00553BC3">
        <w:rPr>
          <w:rFonts w:ascii="Arial" w:hAnsi="Arial" w:cs="Arial"/>
          <w:noProof/>
          <w:sz w:val="24"/>
          <w:szCs w:val="24"/>
          <w:lang w:val="es-ES"/>
        </w:rPr>
        <w:t>: http://2006-2012.sagarpa.gob.mx/agricultura/Paginas/Agricultura-Protegida2012.aspx.</w:t>
      </w:r>
    </w:p>
    <w:p w:rsidR="00E31D8C" w:rsidRDefault="00E31D8C" w:rsidP="00E31D8C">
      <w:pPr>
        <w:pStyle w:val="Bibliografa"/>
        <w:rPr>
          <w:rFonts w:ascii="Arial" w:hAnsi="Arial" w:cs="Arial"/>
          <w:noProof/>
          <w:sz w:val="24"/>
          <w:szCs w:val="24"/>
          <w:lang w:val="es-ES"/>
        </w:rPr>
      </w:pPr>
      <w:r>
        <w:rPr>
          <w:rFonts w:ascii="Arial" w:hAnsi="Arial" w:cs="Arial"/>
          <w:noProof/>
          <w:sz w:val="24"/>
          <w:szCs w:val="24"/>
          <w:lang w:val="es-ES"/>
        </w:rPr>
        <w:t xml:space="preserve">[4] </w:t>
      </w:r>
      <w:r w:rsidRPr="00C20CDF">
        <w:rPr>
          <w:rFonts w:ascii="Arial" w:hAnsi="Arial" w:cs="Arial"/>
          <w:noProof/>
          <w:sz w:val="24"/>
          <w:szCs w:val="24"/>
          <w:lang w:val="es-ES"/>
        </w:rPr>
        <w:t xml:space="preserve">Gómez </w:t>
      </w:r>
      <w:r>
        <w:rPr>
          <w:rFonts w:ascii="Arial" w:hAnsi="Arial" w:cs="Arial"/>
          <w:noProof/>
          <w:sz w:val="24"/>
          <w:szCs w:val="24"/>
          <w:lang w:val="es-ES"/>
        </w:rPr>
        <w:t>G</w:t>
      </w:r>
      <w:r w:rsidRPr="00C20CDF">
        <w:rPr>
          <w:rFonts w:ascii="Arial" w:hAnsi="Arial" w:cs="Arial"/>
          <w:noProof/>
          <w:sz w:val="24"/>
          <w:szCs w:val="24"/>
          <w:lang w:val="es-ES"/>
        </w:rPr>
        <w:t>. (2015</w:t>
      </w:r>
      <w:r>
        <w:rPr>
          <w:rFonts w:ascii="Arial" w:hAnsi="Arial" w:cs="Arial"/>
          <w:noProof/>
          <w:sz w:val="24"/>
          <w:szCs w:val="24"/>
          <w:lang w:val="es-ES"/>
        </w:rPr>
        <w:t>, 11 de abril</w:t>
      </w:r>
      <w:r w:rsidRPr="00C20CDF">
        <w:rPr>
          <w:rFonts w:ascii="Arial" w:hAnsi="Arial" w:cs="Arial"/>
          <w:noProof/>
          <w:sz w:val="24"/>
          <w:szCs w:val="24"/>
          <w:lang w:val="es-ES"/>
        </w:rPr>
        <w:t>). Plan de Manejo. Reciclado de plásticos agrícolas.</w:t>
      </w:r>
      <w:r>
        <w:rPr>
          <w:rFonts w:ascii="Arial" w:hAnsi="Arial" w:cs="Arial"/>
          <w:noProof/>
          <w:sz w:val="24"/>
          <w:szCs w:val="24"/>
          <w:lang w:val="es-ES"/>
        </w:rPr>
        <w:t xml:space="preserve"> </w:t>
      </w:r>
      <w:r w:rsidRPr="005B5AA6">
        <w:rPr>
          <w:rFonts w:ascii="Arial" w:hAnsi="Arial" w:cs="Arial"/>
          <w:i/>
          <w:iCs/>
          <w:noProof/>
          <w:sz w:val="24"/>
          <w:szCs w:val="24"/>
          <w:lang w:val="es-ES"/>
        </w:rPr>
        <w:t>TecnoAgro</w:t>
      </w:r>
      <w:r w:rsidRPr="00C20CDF">
        <w:rPr>
          <w:rFonts w:ascii="Arial" w:hAnsi="Arial" w:cs="Arial"/>
          <w:noProof/>
          <w:sz w:val="24"/>
          <w:szCs w:val="24"/>
          <w:lang w:val="es-ES"/>
        </w:rPr>
        <w:t xml:space="preserve">, </w:t>
      </w:r>
      <w:r>
        <w:rPr>
          <w:rFonts w:ascii="Arial" w:hAnsi="Arial" w:cs="Arial"/>
          <w:noProof/>
          <w:sz w:val="24"/>
          <w:szCs w:val="24"/>
          <w:lang w:val="es-ES"/>
        </w:rPr>
        <w:t>Recuperado de</w:t>
      </w:r>
      <w:r w:rsidRPr="00C20CDF">
        <w:rPr>
          <w:rFonts w:ascii="Arial" w:hAnsi="Arial" w:cs="Arial"/>
          <w:noProof/>
          <w:sz w:val="24"/>
          <w:szCs w:val="24"/>
          <w:lang w:val="es-ES"/>
        </w:rPr>
        <w:t>: https://tecnoagro.com.mx/no.-99/plan-de-manejo-reciclado-de-plasticos-agricolas</w:t>
      </w:r>
    </w:p>
    <w:p w:rsidR="00E31D8C" w:rsidRPr="00C124B3" w:rsidRDefault="00E31D8C" w:rsidP="00E31D8C">
      <w:pPr>
        <w:pStyle w:val="Bibliografa"/>
        <w:rPr>
          <w:rFonts w:ascii="Arial" w:hAnsi="Arial" w:cs="Arial"/>
          <w:noProof/>
          <w:sz w:val="24"/>
          <w:szCs w:val="24"/>
          <w:lang w:val="es-ES"/>
        </w:rPr>
      </w:pPr>
      <w:r>
        <w:rPr>
          <w:rFonts w:ascii="Arial" w:hAnsi="Arial" w:cs="Arial"/>
          <w:noProof/>
          <w:sz w:val="24"/>
          <w:szCs w:val="24"/>
          <w:lang w:val="es-ES"/>
        </w:rPr>
        <w:t xml:space="preserve">[5] </w:t>
      </w:r>
      <w:r w:rsidRPr="00553BC3">
        <w:rPr>
          <w:rFonts w:ascii="Arial" w:hAnsi="Arial" w:cs="Arial"/>
          <w:noProof/>
          <w:sz w:val="24"/>
          <w:szCs w:val="24"/>
          <w:lang w:val="es-ES"/>
        </w:rPr>
        <w:t xml:space="preserve">López, L. A., </w:t>
      </w:r>
      <w:r>
        <w:rPr>
          <w:rFonts w:ascii="Arial" w:hAnsi="Arial" w:cs="Arial"/>
          <w:noProof/>
          <w:sz w:val="24"/>
          <w:szCs w:val="24"/>
          <w:lang w:val="es-ES"/>
        </w:rPr>
        <w:t>y</w:t>
      </w:r>
      <w:r w:rsidRPr="00553BC3">
        <w:rPr>
          <w:rFonts w:ascii="Arial" w:hAnsi="Arial" w:cs="Arial"/>
          <w:noProof/>
          <w:sz w:val="24"/>
          <w:szCs w:val="24"/>
          <w:lang w:val="es-ES"/>
        </w:rPr>
        <w:t xml:space="preserve"> SEMARNAT. (2012). </w:t>
      </w:r>
      <w:r w:rsidRPr="005577D1">
        <w:rPr>
          <w:rFonts w:ascii="Arial" w:hAnsi="Arial" w:cs="Arial"/>
          <w:noProof/>
          <w:sz w:val="24"/>
          <w:szCs w:val="24"/>
          <w:lang w:val="es-ES"/>
        </w:rPr>
        <w:t>Los residuos de la producción primaria (agropecuarios y pesqueros)</w:t>
      </w:r>
      <w:r>
        <w:rPr>
          <w:rFonts w:ascii="Arial" w:hAnsi="Arial" w:cs="Arial"/>
          <w:noProof/>
          <w:sz w:val="24"/>
          <w:szCs w:val="24"/>
          <w:lang w:val="es-ES"/>
        </w:rPr>
        <w:t xml:space="preserve">. En L. A. López (Presidencia), </w:t>
      </w:r>
      <w:r w:rsidRPr="00553BC3">
        <w:rPr>
          <w:rFonts w:ascii="Arial" w:hAnsi="Arial" w:cs="Arial"/>
          <w:i/>
          <w:iCs/>
          <w:noProof/>
          <w:sz w:val="24"/>
          <w:szCs w:val="24"/>
          <w:lang w:val="es-ES"/>
        </w:rPr>
        <w:t>Simposio Internacional de Residuos: Perspectiva y gestión del sector primario en México (2008-2012)</w:t>
      </w:r>
      <w:r>
        <w:rPr>
          <w:rFonts w:ascii="Arial" w:hAnsi="Arial" w:cs="Arial"/>
          <w:i/>
          <w:iCs/>
          <w:noProof/>
          <w:sz w:val="24"/>
          <w:szCs w:val="24"/>
          <w:lang w:val="es-ES"/>
        </w:rPr>
        <w:t xml:space="preserve">. </w:t>
      </w:r>
      <w:r>
        <w:rPr>
          <w:rFonts w:ascii="Arial" w:hAnsi="Arial" w:cs="Arial"/>
          <w:noProof/>
          <w:sz w:val="24"/>
          <w:szCs w:val="24"/>
          <w:lang w:val="es-ES"/>
        </w:rPr>
        <w:t>Simposio llevado a cabo en México.</w:t>
      </w:r>
    </w:p>
    <w:p w:rsidR="00E31D8C" w:rsidRPr="00553BC3" w:rsidRDefault="00E31D8C" w:rsidP="00E31D8C">
      <w:pPr>
        <w:pStyle w:val="Bibliografa"/>
        <w:rPr>
          <w:rFonts w:ascii="Arial" w:hAnsi="Arial" w:cs="Arial"/>
          <w:noProof/>
          <w:sz w:val="24"/>
          <w:szCs w:val="24"/>
          <w:lang w:val="es-ES"/>
        </w:rPr>
      </w:pPr>
      <w:r w:rsidRPr="00776774">
        <w:rPr>
          <w:rFonts w:ascii="Arial" w:hAnsi="Arial" w:cs="Arial"/>
          <w:noProof/>
          <w:sz w:val="24"/>
          <w:szCs w:val="24"/>
          <w:lang w:val="es-ES"/>
        </w:rPr>
        <w:t xml:space="preserve">[6] Sonnevera International Corporation. (2011). </w:t>
      </w:r>
      <w:r w:rsidRPr="00776774">
        <w:rPr>
          <w:rFonts w:ascii="Arial" w:hAnsi="Arial" w:cs="Arial"/>
          <w:i/>
          <w:iCs/>
          <w:noProof/>
          <w:sz w:val="24"/>
          <w:szCs w:val="24"/>
          <w:lang w:val="es-ES"/>
        </w:rPr>
        <w:t>Ontario agricultural waste study: Environmental impacts of open-burning agricultural plástics</w:t>
      </w:r>
      <w:r w:rsidRPr="00776774">
        <w:rPr>
          <w:rFonts w:ascii="Arial" w:hAnsi="Arial" w:cs="Arial"/>
          <w:noProof/>
          <w:sz w:val="24"/>
          <w:szCs w:val="24"/>
          <w:lang w:val="es-ES"/>
        </w:rPr>
        <w:t xml:space="preserve">. </w:t>
      </w:r>
      <w:r w:rsidRPr="00E31D8C">
        <w:rPr>
          <w:rFonts w:ascii="Arial" w:hAnsi="Arial" w:cs="Arial"/>
          <w:noProof/>
          <w:sz w:val="24"/>
          <w:szCs w:val="24"/>
          <w:lang w:val="es-MX"/>
        </w:rPr>
        <w:t xml:space="preserve">Recuperado </w:t>
      </w:r>
      <w:r w:rsidRPr="00553BC3">
        <w:rPr>
          <w:rFonts w:ascii="Arial" w:hAnsi="Arial" w:cs="Arial"/>
          <w:noProof/>
          <w:sz w:val="24"/>
          <w:szCs w:val="24"/>
          <w:lang w:val="es-ES"/>
        </w:rPr>
        <w:t>de</w:t>
      </w:r>
      <w:r>
        <w:rPr>
          <w:rFonts w:ascii="Arial" w:hAnsi="Arial" w:cs="Arial"/>
          <w:noProof/>
          <w:sz w:val="24"/>
          <w:szCs w:val="24"/>
          <w:lang w:val="es-ES"/>
        </w:rPr>
        <w:t>:</w:t>
      </w:r>
      <w:r w:rsidRPr="00553BC3">
        <w:rPr>
          <w:rFonts w:ascii="Arial" w:hAnsi="Arial" w:cs="Arial"/>
          <w:noProof/>
          <w:sz w:val="24"/>
          <w:szCs w:val="24"/>
          <w:lang w:val="es-ES"/>
        </w:rPr>
        <w:t xml:space="preserve"> http://www.cleanfarms.ca/documents/studies/AgPlasticEnviroImpact</w:t>
      </w:r>
    </w:p>
    <w:p w:rsidR="00E31D8C" w:rsidRPr="00553BC3" w:rsidRDefault="00E31D8C" w:rsidP="00E31D8C">
      <w:pPr>
        <w:pStyle w:val="Bibliografa"/>
        <w:rPr>
          <w:rFonts w:ascii="Arial" w:hAnsi="Arial" w:cs="Arial"/>
          <w:noProof/>
          <w:sz w:val="24"/>
          <w:szCs w:val="24"/>
          <w:lang w:val="es-ES"/>
        </w:rPr>
      </w:pPr>
      <w:r w:rsidRPr="00776774">
        <w:rPr>
          <w:rFonts w:ascii="Arial" w:hAnsi="Arial" w:cs="Arial"/>
          <w:noProof/>
          <w:sz w:val="24"/>
          <w:szCs w:val="24"/>
          <w:lang w:val="es-MX"/>
        </w:rPr>
        <w:t xml:space="preserve">[7] Briassoulis, D. et al. </w:t>
      </w:r>
      <w:r w:rsidRPr="0018052F">
        <w:rPr>
          <w:rFonts w:ascii="Arial" w:hAnsi="Arial" w:cs="Arial"/>
          <w:noProof/>
          <w:sz w:val="24"/>
          <w:szCs w:val="24"/>
        </w:rPr>
        <w:t xml:space="preserve">(2013). </w:t>
      </w:r>
      <w:r w:rsidRPr="004A3B6C">
        <w:rPr>
          <w:rFonts w:ascii="Arial" w:hAnsi="Arial" w:cs="Arial"/>
          <w:noProof/>
          <w:sz w:val="24"/>
          <w:szCs w:val="24"/>
        </w:rPr>
        <w:t>Review, mapping and analysis of the agricultural plastic waste generation and consolidation in Europe</w:t>
      </w:r>
      <w:r w:rsidRPr="00553BC3">
        <w:rPr>
          <w:rFonts w:ascii="Arial" w:hAnsi="Arial" w:cs="Arial"/>
          <w:i/>
          <w:iCs/>
          <w:noProof/>
          <w:sz w:val="24"/>
          <w:szCs w:val="24"/>
        </w:rPr>
        <w:t>;.</w:t>
      </w:r>
      <w:r w:rsidRPr="00553BC3">
        <w:rPr>
          <w:rFonts w:ascii="Arial" w:hAnsi="Arial" w:cs="Arial"/>
          <w:noProof/>
          <w:sz w:val="24"/>
          <w:szCs w:val="24"/>
        </w:rPr>
        <w:t xml:space="preserve"> </w:t>
      </w:r>
      <w:r w:rsidRPr="004A3B6C">
        <w:rPr>
          <w:rFonts w:ascii="Arial" w:hAnsi="Arial" w:cs="Arial"/>
          <w:i/>
          <w:iCs/>
          <w:noProof/>
          <w:sz w:val="24"/>
          <w:szCs w:val="24"/>
          <w:lang w:val="es-ES"/>
        </w:rPr>
        <w:t xml:space="preserve">Waste, </w:t>
      </w:r>
      <w:r>
        <w:rPr>
          <w:rFonts w:ascii="Arial" w:hAnsi="Arial" w:cs="Arial"/>
          <w:i/>
          <w:iCs/>
          <w:noProof/>
          <w:sz w:val="24"/>
          <w:szCs w:val="24"/>
          <w:lang w:val="es-ES"/>
        </w:rPr>
        <w:t>M</w:t>
      </w:r>
      <w:r w:rsidRPr="004A3B6C">
        <w:rPr>
          <w:rFonts w:ascii="Arial" w:hAnsi="Arial" w:cs="Arial"/>
          <w:i/>
          <w:iCs/>
          <w:noProof/>
          <w:sz w:val="24"/>
          <w:szCs w:val="24"/>
          <w:lang w:val="es-ES"/>
        </w:rPr>
        <w:t xml:space="preserve">anagement and </w:t>
      </w:r>
      <w:r>
        <w:rPr>
          <w:rFonts w:ascii="Arial" w:hAnsi="Arial" w:cs="Arial"/>
          <w:i/>
          <w:iCs/>
          <w:noProof/>
          <w:sz w:val="24"/>
          <w:szCs w:val="24"/>
          <w:lang w:val="es-ES"/>
        </w:rPr>
        <w:t>R</w:t>
      </w:r>
      <w:r w:rsidRPr="004A3B6C">
        <w:rPr>
          <w:rFonts w:ascii="Arial" w:hAnsi="Arial" w:cs="Arial"/>
          <w:i/>
          <w:iCs/>
          <w:noProof/>
          <w:sz w:val="24"/>
          <w:szCs w:val="24"/>
          <w:lang w:val="es-ES"/>
        </w:rPr>
        <w:t>esearch</w:t>
      </w:r>
      <w:r w:rsidRPr="00553BC3">
        <w:rPr>
          <w:rFonts w:ascii="Arial" w:hAnsi="Arial" w:cs="Arial"/>
          <w:noProof/>
          <w:sz w:val="24"/>
          <w:szCs w:val="24"/>
          <w:lang w:val="es-ES"/>
        </w:rPr>
        <w:t>.</w:t>
      </w:r>
      <w:r>
        <w:rPr>
          <w:rFonts w:ascii="Arial" w:hAnsi="Arial" w:cs="Arial"/>
          <w:noProof/>
          <w:sz w:val="24"/>
          <w:szCs w:val="24"/>
          <w:lang w:val="es-ES"/>
        </w:rPr>
        <w:t xml:space="preserve"> </w:t>
      </w:r>
      <w:r w:rsidRPr="00E31D8C">
        <w:rPr>
          <w:rFonts w:ascii="Arial" w:hAnsi="Arial" w:cs="Arial"/>
          <w:noProof/>
          <w:sz w:val="24"/>
          <w:szCs w:val="24"/>
          <w:lang w:val="es-MX"/>
        </w:rPr>
        <w:t>31(12), 1262 –1278.</w:t>
      </w:r>
    </w:p>
    <w:p w:rsidR="00E31D8C" w:rsidRPr="00553BC3" w:rsidRDefault="00E31D8C" w:rsidP="00E31D8C">
      <w:pPr>
        <w:pStyle w:val="Bibliografa"/>
        <w:rPr>
          <w:rFonts w:ascii="Arial" w:hAnsi="Arial" w:cs="Arial"/>
          <w:noProof/>
          <w:sz w:val="24"/>
          <w:szCs w:val="24"/>
          <w:lang w:val="es-ES"/>
        </w:rPr>
      </w:pPr>
      <w:r>
        <w:rPr>
          <w:rFonts w:ascii="Arial" w:hAnsi="Arial" w:cs="Arial"/>
          <w:noProof/>
          <w:sz w:val="24"/>
          <w:szCs w:val="24"/>
          <w:lang w:val="es-ES"/>
        </w:rPr>
        <w:t xml:space="preserve">[8] </w:t>
      </w:r>
      <w:r w:rsidRPr="00553BC3">
        <w:rPr>
          <w:rFonts w:ascii="Arial" w:hAnsi="Arial" w:cs="Arial"/>
          <w:noProof/>
          <w:sz w:val="24"/>
          <w:szCs w:val="24"/>
          <w:lang w:val="es-ES"/>
        </w:rPr>
        <w:t xml:space="preserve">Delgado López, C., Gavilán García, I., </w:t>
      </w:r>
      <w:r>
        <w:rPr>
          <w:rFonts w:ascii="Arial" w:hAnsi="Arial" w:cs="Arial"/>
          <w:noProof/>
          <w:sz w:val="24"/>
          <w:szCs w:val="24"/>
          <w:lang w:val="es-ES"/>
        </w:rPr>
        <w:t>y</w:t>
      </w:r>
      <w:r w:rsidRPr="00553BC3">
        <w:rPr>
          <w:rFonts w:ascii="Arial" w:hAnsi="Arial" w:cs="Arial"/>
          <w:noProof/>
          <w:sz w:val="24"/>
          <w:szCs w:val="24"/>
          <w:lang w:val="es-ES"/>
        </w:rPr>
        <w:t xml:space="preserve"> Fernández Villagómez, G. (2020). </w:t>
      </w:r>
      <w:r w:rsidRPr="00553BC3">
        <w:rPr>
          <w:rFonts w:ascii="Arial" w:hAnsi="Arial" w:cs="Arial"/>
          <w:i/>
          <w:iCs/>
          <w:noProof/>
          <w:sz w:val="24"/>
          <w:szCs w:val="24"/>
          <w:lang w:val="es-ES"/>
        </w:rPr>
        <w:t>Estudio de agroplásticos en la agricultura protegida mexicana.</w:t>
      </w:r>
      <w:r w:rsidRPr="00553BC3">
        <w:rPr>
          <w:rFonts w:ascii="Arial" w:hAnsi="Arial" w:cs="Arial"/>
          <w:noProof/>
          <w:sz w:val="24"/>
          <w:szCs w:val="24"/>
          <w:lang w:val="es-ES"/>
        </w:rPr>
        <w:t xml:space="preserve"> CDMX: Editorial Académica Española (EAE).</w:t>
      </w:r>
    </w:p>
    <w:p w:rsidR="00E31D8C" w:rsidRPr="00553BC3" w:rsidRDefault="00E31D8C" w:rsidP="00E31D8C">
      <w:pPr>
        <w:pStyle w:val="Bibliografa"/>
        <w:rPr>
          <w:rFonts w:ascii="Arial" w:hAnsi="Arial" w:cs="Arial"/>
          <w:noProof/>
          <w:sz w:val="24"/>
          <w:szCs w:val="24"/>
          <w:lang w:val="es-ES"/>
        </w:rPr>
      </w:pPr>
      <w:r>
        <w:rPr>
          <w:rFonts w:ascii="Arial" w:hAnsi="Arial" w:cs="Arial"/>
          <w:noProof/>
          <w:sz w:val="24"/>
          <w:szCs w:val="24"/>
          <w:lang w:val="es-ES"/>
        </w:rPr>
        <w:t xml:space="preserve">[9] </w:t>
      </w:r>
      <w:r w:rsidRPr="00553BC3">
        <w:rPr>
          <w:rFonts w:ascii="Arial" w:hAnsi="Arial" w:cs="Arial"/>
          <w:noProof/>
          <w:sz w:val="24"/>
          <w:szCs w:val="24"/>
          <w:lang w:val="es-ES"/>
        </w:rPr>
        <w:t xml:space="preserve">DOF. (2011). </w:t>
      </w:r>
      <w:r w:rsidRPr="00553BC3">
        <w:rPr>
          <w:rFonts w:ascii="Arial" w:hAnsi="Arial" w:cs="Arial"/>
          <w:i/>
          <w:iCs/>
          <w:noProof/>
          <w:sz w:val="24"/>
          <w:szCs w:val="24"/>
          <w:lang w:val="es-ES"/>
        </w:rPr>
        <w:t xml:space="preserve">Norma </w:t>
      </w:r>
      <w:r>
        <w:rPr>
          <w:rFonts w:ascii="Arial" w:hAnsi="Arial" w:cs="Arial"/>
          <w:i/>
          <w:iCs/>
          <w:noProof/>
          <w:sz w:val="24"/>
          <w:szCs w:val="24"/>
          <w:lang w:val="es-ES"/>
        </w:rPr>
        <w:t>O</w:t>
      </w:r>
      <w:r w:rsidRPr="00553BC3">
        <w:rPr>
          <w:rFonts w:ascii="Arial" w:hAnsi="Arial" w:cs="Arial"/>
          <w:i/>
          <w:iCs/>
          <w:noProof/>
          <w:sz w:val="24"/>
          <w:szCs w:val="24"/>
          <w:lang w:val="es-ES"/>
        </w:rPr>
        <w:t xml:space="preserve">ficial </w:t>
      </w:r>
      <w:r>
        <w:rPr>
          <w:rFonts w:ascii="Arial" w:hAnsi="Arial" w:cs="Arial"/>
          <w:i/>
          <w:iCs/>
          <w:noProof/>
          <w:sz w:val="24"/>
          <w:szCs w:val="24"/>
          <w:lang w:val="es-ES"/>
        </w:rPr>
        <w:t>M</w:t>
      </w:r>
      <w:r w:rsidRPr="00553BC3">
        <w:rPr>
          <w:rFonts w:ascii="Arial" w:hAnsi="Arial" w:cs="Arial"/>
          <w:i/>
          <w:iCs/>
          <w:noProof/>
          <w:sz w:val="24"/>
          <w:szCs w:val="24"/>
          <w:lang w:val="es-ES"/>
        </w:rPr>
        <w:t>exicana NOM-161-SEMARNAT-2011-Residuos de manejo especial.</w:t>
      </w:r>
      <w:r w:rsidRPr="00553BC3">
        <w:rPr>
          <w:rFonts w:ascii="Arial" w:hAnsi="Arial" w:cs="Arial"/>
          <w:noProof/>
          <w:sz w:val="24"/>
          <w:szCs w:val="24"/>
          <w:lang w:val="es-ES"/>
        </w:rPr>
        <w:t xml:space="preserve"> CDMX: Diario Oficial de la Federación.</w:t>
      </w:r>
    </w:p>
    <w:p w:rsidR="00E31D8C" w:rsidRPr="00553BC3" w:rsidRDefault="00E31D8C" w:rsidP="00E31D8C">
      <w:pPr>
        <w:pStyle w:val="Bibliografa"/>
        <w:rPr>
          <w:rFonts w:ascii="Arial" w:hAnsi="Arial" w:cs="Arial"/>
          <w:noProof/>
          <w:sz w:val="24"/>
          <w:szCs w:val="24"/>
          <w:lang w:val="es-ES"/>
        </w:rPr>
      </w:pPr>
      <w:r>
        <w:rPr>
          <w:rFonts w:ascii="Arial" w:hAnsi="Arial" w:cs="Arial"/>
          <w:noProof/>
          <w:sz w:val="24"/>
          <w:szCs w:val="24"/>
          <w:lang w:val="es-ES"/>
        </w:rPr>
        <w:t xml:space="preserve">[10] </w:t>
      </w:r>
      <w:r w:rsidRPr="00553BC3">
        <w:rPr>
          <w:rFonts w:ascii="Arial" w:hAnsi="Arial" w:cs="Arial"/>
          <w:noProof/>
          <w:sz w:val="24"/>
          <w:szCs w:val="24"/>
          <w:lang w:val="es-ES"/>
        </w:rPr>
        <w:t xml:space="preserve">CONASAMI. (enero de 2020). </w:t>
      </w:r>
      <w:r w:rsidRPr="00553BC3">
        <w:rPr>
          <w:rFonts w:ascii="Arial" w:hAnsi="Arial" w:cs="Arial"/>
          <w:i/>
          <w:iCs/>
          <w:noProof/>
          <w:sz w:val="24"/>
          <w:szCs w:val="24"/>
          <w:lang w:val="es-ES"/>
        </w:rPr>
        <w:t>Comisión Nacional de los Salarios Mínimos</w:t>
      </w:r>
      <w:r w:rsidRPr="00553BC3">
        <w:rPr>
          <w:rFonts w:ascii="Arial" w:hAnsi="Arial" w:cs="Arial"/>
          <w:noProof/>
          <w:sz w:val="24"/>
          <w:szCs w:val="24"/>
          <w:lang w:val="es-ES"/>
        </w:rPr>
        <w:t xml:space="preserve">. </w:t>
      </w:r>
      <w:r>
        <w:rPr>
          <w:rFonts w:ascii="Arial" w:hAnsi="Arial" w:cs="Arial"/>
          <w:noProof/>
          <w:sz w:val="24"/>
          <w:szCs w:val="24"/>
          <w:lang w:val="es-ES"/>
        </w:rPr>
        <w:t xml:space="preserve">Recuperado </w:t>
      </w:r>
      <w:r w:rsidRPr="00553BC3">
        <w:rPr>
          <w:rFonts w:ascii="Arial" w:hAnsi="Arial" w:cs="Arial"/>
          <w:noProof/>
          <w:sz w:val="24"/>
          <w:szCs w:val="24"/>
          <w:lang w:val="es-ES"/>
        </w:rPr>
        <w:t xml:space="preserve">de http://www.conasami.gob.mx/consulta.html. </w:t>
      </w:r>
    </w:p>
    <w:p w:rsidR="00E31D8C" w:rsidRPr="00553BC3" w:rsidRDefault="00E31D8C" w:rsidP="00E31D8C">
      <w:pPr>
        <w:pStyle w:val="Bibliografa"/>
        <w:rPr>
          <w:rFonts w:ascii="Arial" w:hAnsi="Arial" w:cs="Arial"/>
          <w:noProof/>
          <w:sz w:val="24"/>
          <w:szCs w:val="24"/>
          <w:lang w:val="es-ES"/>
        </w:rPr>
      </w:pPr>
      <w:r>
        <w:rPr>
          <w:rFonts w:ascii="Arial" w:hAnsi="Arial" w:cs="Arial"/>
          <w:noProof/>
          <w:sz w:val="24"/>
          <w:szCs w:val="24"/>
          <w:lang w:val="es-ES"/>
        </w:rPr>
        <w:t xml:space="preserve">[11] </w:t>
      </w:r>
      <w:r w:rsidRPr="00553BC3">
        <w:rPr>
          <w:rFonts w:ascii="Arial" w:hAnsi="Arial" w:cs="Arial"/>
          <w:noProof/>
          <w:sz w:val="24"/>
          <w:szCs w:val="24"/>
          <w:lang w:val="es-ES"/>
        </w:rPr>
        <w:t xml:space="preserve">RECIMEX. (diciembre de 2019). </w:t>
      </w:r>
      <w:r w:rsidRPr="00553BC3">
        <w:rPr>
          <w:rFonts w:ascii="Arial" w:hAnsi="Arial" w:cs="Arial"/>
          <w:i/>
          <w:iCs/>
          <w:noProof/>
          <w:sz w:val="24"/>
          <w:szCs w:val="24"/>
          <w:lang w:val="es-ES"/>
        </w:rPr>
        <w:t>RECIMEX</w:t>
      </w:r>
      <w:r w:rsidRPr="00553BC3">
        <w:rPr>
          <w:rFonts w:ascii="Arial" w:hAnsi="Arial" w:cs="Arial"/>
          <w:noProof/>
          <w:sz w:val="24"/>
          <w:szCs w:val="24"/>
          <w:lang w:val="es-ES"/>
        </w:rPr>
        <w:t xml:space="preserve">. </w:t>
      </w:r>
      <w:r>
        <w:rPr>
          <w:rFonts w:ascii="Arial" w:hAnsi="Arial" w:cs="Arial"/>
          <w:noProof/>
          <w:sz w:val="24"/>
          <w:szCs w:val="24"/>
          <w:lang w:val="es-ES"/>
        </w:rPr>
        <w:t>Recuperado</w:t>
      </w:r>
      <w:r w:rsidRPr="00553BC3">
        <w:rPr>
          <w:rFonts w:ascii="Arial" w:hAnsi="Arial" w:cs="Arial"/>
          <w:noProof/>
          <w:sz w:val="24"/>
          <w:szCs w:val="24"/>
          <w:lang w:val="es-ES"/>
        </w:rPr>
        <w:t xml:space="preserve"> de http://www.recimex.com.mx/index.php</w:t>
      </w:r>
    </w:p>
    <w:p w:rsidR="00E31D8C" w:rsidRPr="00776774" w:rsidRDefault="00E31D8C" w:rsidP="00E31D8C">
      <w:pPr>
        <w:jc w:val="both"/>
        <w:rPr>
          <w:rFonts w:ascii="Arial" w:hAnsi="Arial" w:cs="Arial"/>
          <w:noProof/>
          <w:sz w:val="24"/>
          <w:szCs w:val="24"/>
          <w:lang w:val="es-MX"/>
        </w:rPr>
      </w:pPr>
      <w:r>
        <w:rPr>
          <w:rFonts w:ascii="Arial" w:hAnsi="Arial" w:cs="Arial"/>
          <w:noProof/>
          <w:sz w:val="24"/>
          <w:szCs w:val="24"/>
        </w:rPr>
        <w:t xml:space="preserve">[12] </w:t>
      </w:r>
      <w:r w:rsidRPr="00553BC3">
        <w:rPr>
          <w:rFonts w:ascii="Arial" w:hAnsi="Arial" w:cs="Arial"/>
          <w:noProof/>
          <w:sz w:val="24"/>
          <w:szCs w:val="24"/>
        </w:rPr>
        <w:t xml:space="preserve">Anaya, A., Barragán, R., </w:t>
      </w:r>
      <w:r>
        <w:rPr>
          <w:rFonts w:ascii="Arial" w:hAnsi="Arial" w:cs="Arial"/>
          <w:noProof/>
          <w:sz w:val="24"/>
          <w:szCs w:val="24"/>
        </w:rPr>
        <w:t>y</w:t>
      </w:r>
      <w:r w:rsidRPr="00553BC3">
        <w:rPr>
          <w:rFonts w:ascii="Arial" w:hAnsi="Arial" w:cs="Arial"/>
          <w:noProof/>
          <w:sz w:val="24"/>
          <w:szCs w:val="24"/>
        </w:rPr>
        <w:t xml:space="preserve"> Vergara, A. (2013). </w:t>
      </w:r>
      <w:r w:rsidRPr="00553BC3">
        <w:rPr>
          <w:rFonts w:ascii="Arial" w:hAnsi="Arial" w:cs="Arial"/>
          <w:i/>
          <w:iCs/>
          <w:noProof/>
          <w:sz w:val="24"/>
          <w:szCs w:val="24"/>
        </w:rPr>
        <w:t>Manual de temas selectos de ingeniería de proyectos.</w:t>
      </w:r>
      <w:r w:rsidRPr="00553BC3">
        <w:rPr>
          <w:rFonts w:ascii="Arial" w:hAnsi="Arial" w:cs="Arial"/>
          <w:noProof/>
          <w:sz w:val="24"/>
          <w:szCs w:val="24"/>
        </w:rPr>
        <w:t xml:space="preserve"> </w:t>
      </w:r>
      <w:r w:rsidRPr="00776774">
        <w:rPr>
          <w:rFonts w:ascii="Arial" w:hAnsi="Arial" w:cs="Arial"/>
          <w:noProof/>
          <w:sz w:val="24"/>
          <w:szCs w:val="24"/>
          <w:lang w:val="es-MX"/>
        </w:rPr>
        <w:t>Ciudad de México: UNAM.</w:t>
      </w:r>
    </w:p>
    <w:p w:rsidR="00E31D8C" w:rsidRPr="00776774" w:rsidRDefault="00E31D8C" w:rsidP="0049551D">
      <w:pPr>
        <w:rPr>
          <w:lang w:val="es-MX"/>
        </w:rPr>
      </w:pPr>
    </w:p>
    <w:p w:rsidR="00E31D8C" w:rsidRPr="00776774" w:rsidRDefault="00E31D8C" w:rsidP="0049551D">
      <w:pPr>
        <w:rPr>
          <w:lang w:val="es-MX"/>
        </w:rPr>
      </w:pPr>
    </w:p>
    <w:p w:rsidR="00E54CAC" w:rsidRPr="00202123" w:rsidRDefault="00E54CAC" w:rsidP="00202123">
      <w:pPr>
        <w:pStyle w:val="1Titulo"/>
        <w:numPr>
          <w:ilvl w:val="0"/>
          <w:numId w:val="0"/>
        </w:numPr>
        <w:ind w:left="357"/>
        <w:jc w:val="center"/>
        <w:rPr>
          <w:sz w:val="28"/>
          <w:szCs w:val="28"/>
        </w:rPr>
      </w:pPr>
      <w:bookmarkStart w:id="478" w:name="_Toc50031497"/>
      <w:r w:rsidRPr="00202123">
        <w:rPr>
          <w:sz w:val="28"/>
          <w:szCs w:val="28"/>
        </w:rPr>
        <w:t>Plan integral para la gestión de residuos peligrosos en la Facultad de Medicina de la UNAM</w:t>
      </w:r>
      <w:bookmarkEnd w:id="478"/>
    </w:p>
    <w:p w:rsidR="00E54CAC" w:rsidRDefault="00E54CAC" w:rsidP="00E54CAC"/>
    <w:p w:rsidR="00E54CAC" w:rsidRDefault="00E54CAC" w:rsidP="00E54CAC">
      <w:pPr>
        <w:pBdr>
          <w:top w:val="nil"/>
          <w:left w:val="nil"/>
          <w:bottom w:val="nil"/>
          <w:right w:val="nil"/>
          <w:between w:val="nil"/>
        </w:pBdr>
        <w:jc w:val="center"/>
        <w:rPr>
          <w:rFonts w:ascii="Arial" w:eastAsia="Arial" w:hAnsi="Arial" w:cs="Arial"/>
          <w:color w:val="000000"/>
          <w:vertAlign w:val="superscript"/>
        </w:rPr>
      </w:pPr>
      <w:r>
        <w:rPr>
          <w:rFonts w:ascii="Arial" w:eastAsia="Arial" w:hAnsi="Arial" w:cs="Arial"/>
          <w:color w:val="000000"/>
        </w:rPr>
        <w:t>Arce Camacho Ma. Isabel,</w:t>
      </w:r>
      <w:r>
        <w:rPr>
          <w:rFonts w:ascii="Arial" w:eastAsia="Arial" w:hAnsi="Arial" w:cs="Arial"/>
          <w:color w:val="000000"/>
          <w:vertAlign w:val="superscript"/>
        </w:rPr>
        <w:t>1,</w:t>
      </w:r>
      <w:r>
        <w:rPr>
          <w:rFonts w:ascii="Arial" w:eastAsia="Arial" w:hAnsi="Arial" w:cs="Arial"/>
          <w:color w:val="000000"/>
        </w:rPr>
        <w:t xml:space="preserve"> </w:t>
      </w:r>
      <w:r>
        <w:rPr>
          <w:rFonts w:ascii="Arial" w:eastAsia="Arial" w:hAnsi="Arial" w:cs="Arial"/>
          <w:color w:val="000000"/>
          <w:u w:val="single"/>
        </w:rPr>
        <w:t>Mora Barrera Laura Itzel</w:t>
      </w:r>
      <w:r>
        <w:rPr>
          <w:rFonts w:ascii="Arial" w:eastAsia="Arial" w:hAnsi="Arial" w:cs="Arial"/>
          <w:color w:val="000000"/>
        </w:rPr>
        <w:t>,</w:t>
      </w:r>
      <w:r>
        <w:rPr>
          <w:rFonts w:ascii="Arial" w:eastAsia="Arial" w:hAnsi="Arial" w:cs="Arial"/>
          <w:color w:val="000000"/>
          <w:vertAlign w:val="superscript"/>
        </w:rPr>
        <w:t>2</w:t>
      </w:r>
      <w:r>
        <w:rPr>
          <w:rFonts w:ascii="Arial" w:eastAsia="Arial" w:hAnsi="Arial" w:cs="Arial"/>
          <w:color w:val="000000"/>
        </w:rPr>
        <w:t xml:space="preserve"> Gutierrez Lara María Rafaela³</w:t>
      </w:r>
    </w:p>
    <w:p w:rsidR="00E54CAC" w:rsidRDefault="00E54CAC" w:rsidP="00E54CAC">
      <w:pPr>
        <w:pBdr>
          <w:top w:val="nil"/>
          <w:left w:val="nil"/>
          <w:bottom w:val="nil"/>
          <w:right w:val="nil"/>
          <w:between w:val="nil"/>
        </w:pBdr>
        <w:jc w:val="center"/>
        <w:rPr>
          <w:rFonts w:ascii="Arial" w:eastAsia="Arial" w:hAnsi="Arial" w:cs="Arial"/>
          <w:color w:val="000000"/>
          <w:vertAlign w:val="superscript"/>
        </w:rPr>
      </w:pPr>
      <w:r>
        <w:rPr>
          <w:rFonts w:ascii="Arial" w:eastAsia="Arial" w:hAnsi="Arial" w:cs="Arial"/>
          <w:color w:val="000000"/>
          <w:vertAlign w:val="superscript"/>
        </w:rPr>
        <w:t>1</w:t>
      </w:r>
      <w:r>
        <w:rPr>
          <w:rFonts w:ascii="Arial" w:eastAsia="Arial" w:hAnsi="Arial" w:cs="Arial"/>
          <w:color w:val="000000"/>
        </w:rPr>
        <w:t xml:space="preserve">UNAM, Facultad de Medicina, División de Investigación, Departamento Gestión de Bioseguridad. </w:t>
      </w:r>
    </w:p>
    <w:p w:rsidR="00E54CAC" w:rsidRDefault="00E54CAC" w:rsidP="00E54CAC">
      <w:pPr>
        <w:pBdr>
          <w:top w:val="nil"/>
          <w:left w:val="nil"/>
          <w:bottom w:val="nil"/>
          <w:right w:val="nil"/>
          <w:between w:val="nil"/>
        </w:pBdr>
        <w:jc w:val="center"/>
        <w:rPr>
          <w:rFonts w:ascii="Arial" w:eastAsia="Arial" w:hAnsi="Arial" w:cs="Arial"/>
          <w:color w:val="000000"/>
        </w:rPr>
      </w:pPr>
      <w:r>
        <w:rPr>
          <w:rFonts w:ascii="Arial" w:eastAsia="Arial" w:hAnsi="Arial" w:cs="Arial"/>
          <w:color w:val="000000"/>
          <w:vertAlign w:val="superscript"/>
        </w:rPr>
        <w:t>2</w:t>
      </w:r>
      <w:r>
        <w:rPr>
          <w:rFonts w:ascii="Arial" w:eastAsia="Arial" w:hAnsi="Arial" w:cs="Arial"/>
          <w:color w:val="000000"/>
        </w:rPr>
        <w:t xml:space="preserve"> UNAM, Facultad de Medicina, División de Investigación, Departamento Gestión de Bioseguridad. </w:t>
      </w:r>
    </w:p>
    <w:p w:rsidR="00E54CAC" w:rsidRDefault="00E54CAC" w:rsidP="00E54CAC">
      <w:pPr>
        <w:pBdr>
          <w:top w:val="nil"/>
          <w:left w:val="nil"/>
          <w:bottom w:val="nil"/>
          <w:right w:val="nil"/>
          <w:between w:val="nil"/>
        </w:pBdr>
        <w:jc w:val="center"/>
        <w:rPr>
          <w:rFonts w:ascii="Arial" w:eastAsia="Arial" w:hAnsi="Arial" w:cs="Arial"/>
          <w:color w:val="000000"/>
        </w:rPr>
      </w:pPr>
      <w:r w:rsidRPr="00AC0BFF">
        <w:rPr>
          <w:rFonts w:ascii="Arial" w:eastAsia="Arial" w:hAnsi="Arial" w:cs="Arial"/>
          <w:color w:val="000000"/>
          <w:vertAlign w:val="superscript"/>
        </w:rPr>
        <w:t>3</w:t>
      </w:r>
      <w:r>
        <w:rPr>
          <w:rFonts w:ascii="Arial" w:eastAsia="Arial" w:hAnsi="Arial" w:cs="Arial"/>
          <w:color w:val="000000"/>
        </w:rPr>
        <w:t xml:space="preserve"> UNAM, Facultad de Química, Departamento Ingeniería Química. </w:t>
      </w:r>
    </w:p>
    <w:p w:rsidR="00E54CAC" w:rsidRPr="00AC0BFF" w:rsidRDefault="00E54CAC" w:rsidP="00E54CAC">
      <w:pPr>
        <w:pBdr>
          <w:top w:val="nil"/>
          <w:left w:val="nil"/>
          <w:bottom w:val="nil"/>
          <w:right w:val="nil"/>
          <w:between w:val="nil"/>
        </w:pBdr>
        <w:rPr>
          <w:rFonts w:ascii="Arial" w:eastAsia="Arial" w:hAnsi="Arial" w:cs="Arial"/>
          <w:color w:val="000000"/>
          <w:vertAlign w:val="subscript"/>
        </w:rPr>
      </w:pPr>
    </w:p>
    <w:p w:rsidR="00E54CAC" w:rsidRDefault="00E54CAC" w:rsidP="00E54CAC">
      <w:pPr>
        <w:pBdr>
          <w:top w:val="nil"/>
          <w:left w:val="nil"/>
          <w:bottom w:val="nil"/>
          <w:right w:val="nil"/>
          <w:between w:val="nil"/>
        </w:pBdr>
        <w:jc w:val="center"/>
        <w:rPr>
          <w:rFonts w:ascii="Arial" w:eastAsia="Arial" w:hAnsi="Arial" w:cs="Arial"/>
          <w:color w:val="000000"/>
        </w:rPr>
      </w:pPr>
    </w:p>
    <w:p w:rsidR="00E54CAC" w:rsidRDefault="001345E4" w:rsidP="00E54CAC">
      <w:pPr>
        <w:pBdr>
          <w:top w:val="nil"/>
          <w:left w:val="nil"/>
          <w:bottom w:val="nil"/>
          <w:right w:val="nil"/>
          <w:between w:val="nil"/>
        </w:pBdr>
        <w:jc w:val="center"/>
        <w:rPr>
          <w:rFonts w:ascii="Arial" w:eastAsia="Arial" w:hAnsi="Arial" w:cs="Arial"/>
          <w:color w:val="000000"/>
        </w:rPr>
      </w:pPr>
      <w:hyperlink r:id="rId1353">
        <w:r w:rsidR="00E54CAC">
          <w:rPr>
            <w:rFonts w:ascii="Arial" w:eastAsia="Arial" w:hAnsi="Arial" w:cs="Arial"/>
            <w:color w:val="000000"/>
          </w:rPr>
          <w:t>arcecamacho@yahoo.com.mx</w:t>
        </w:r>
      </w:hyperlink>
    </w:p>
    <w:p w:rsidR="00E54CAC" w:rsidRDefault="001345E4" w:rsidP="00E54CAC">
      <w:pPr>
        <w:pBdr>
          <w:top w:val="nil"/>
          <w:left w:val="nil"/>
          <w:bottom w:val="nil"/>
          <w:right w:val="nil"/>
          <w:between w:val="nil"/>
        </w:pBdr>
        <w:jc w:val="center"/>
        <w:rPr>
          <w:rFonts w:ascii="Arial" w:eastAsia="Arial" w:hAnsi="Arial" w:cs="Arial"/>
          <w:color w:val="000000"/>
        </w:rPr>
      </w:pPr>
      <w:hyperlink r:id="rId1354">
        <w:r w:rsidR="00E54CAC">
          <w:rPr>
            <w:rFonts w:ascii="Arial" w:eastAsia="Arial" w:hAnsi="Arial" w:cs="Arial"/>
            <w:color w:val="000000"/>
          </w:rPr>
          <w:t>lauix_best@hotmail.com</w:t>
        </w:r>
      </w:hyperlink>
    </w:p>
    <w:p w:rsidR="00E54CAC" w:rsidRDefault="00E54CAC" w:rsidP="00E54CAC">
      <w:pPr>
        <w:pBdr>
          <w:top w:val="nil"/>
          <w:left w:val="nil"/>
          <w:bottom w:val="nil"/>
          <w:right w:val="nil"/>
          <w:between w:val="nil"/>
        </w:pBdr>
        <w:jc w:val="center"/>
        <w:rPr>
          <w:rFonts w:ascii="Arial" w:eastAsia="Arial" w:hAnsi="Arial" w:cs="Arial"/>
          <w:color w:val="000000"/>
        </w:rPr>
      </w:pPr>
      <w:r>
        <w:rPr>
          <w:rFonts w:ascii="Arial" w:eastAsia="Arial" w:hAnsi="Arial" w:cs="Arial"/>
          <w:color w:val="000000"/>
        </w:rPr>
        <w:t>rafaelag@unam.mx</w:t>
      </w:r>
    </w:p>
    <w:p w:rsidR="00E54CAC" w:rsidRDefault="00E54CAC" w:rsidP="00E54CAC">
      <w:pPr>
        <w:pBdr>
          <w:top w:val="nil"/>
          <w:left w:val="nil"/>
          <w:bottom w:val="nil"/>
          <w:right w:val="nil"/>
          <w:between w:val="nil"/>
        </w:pBdr>
        <w:jc w:val="center"/>
        <w:rPr>
          <w:rFonts w:ascii="Arial" w:eastAsia="Arial" w:hAnsi="Arial" w:cs="Arial"/>
          <w:color w:val="000000"/>
          <w:u w:val="single"/>
        </w:rPr>
      </w:pPr>
    </w:p>
    <w:p w:rsidR="00E54CAC" w:rsidRPr="00202123" w:rsidRDefault="00E54CAC" w:rsidP="00E54CAC">
      <w:pPr>
        <w:pStyle w:val="Ttulo1"/>
        <w:keepLines w:val="0"/>
        <w:numPr>
          <w:ilvl w:val="0"/>
          <w:numId w:val="80"/>
        </w:numPr>
        <w:tabs>
          <w:tab w:val="left" w:pos="0"/>
        </w:tabs>
        <w:spacing w:before="0" w:after="0" w:line="360" w:lineRule="auto"/>
        <w:rPr>
          <w:rFonts w:ascii="Arial" w:eastAsia="Arial" w:hAnsi="Arial" w:cs="Arial"/>
          <w:i/>
          <w:color w:val="000000"/>
          <w:sz w:val="24"/>
          <w:szCs w:val="24"/>
        </w:rPr>
      </w:pPr>
      <w:bookmarkStart w:id="479" w:name="_Toc50031498"/>
      <w:r w:rsidRPr="00202123">
        <w:rPr>
          <w:rFonts w:ascii="Arial" w:eastAsia="Arial" w:hAnsi="Arial" w:cs="Arial"/>
          <w:smallCaps/>
          <w:sz w:val="24"/>
          <w:szCs w:val="24"/>
        </w:rPr>
        <w:t>1. R</w:t>
      </w:r>
      <w:r w:rsidRPr="00202123">
        <w:rPr>
          <w:rFonts w:ascii="Arial" w:eastAsia="Arial" w:hAnsi="Arial" w:cs="Arial"/>
          <w:sz w:val="24"/>
          <w:szCs w:val="24"/>
        </w:rPr>
        <w:t>esumen</w:t>
      </w:r>
      <w:bookmarkEnd w:id="479"/>
      <w:r w:rsidRPr="00202123">
        <w:rPr>
          <w:rFonts w:ascii="Arial" w:eastAsia="Arial" w:hAnsi="Arial" w:cs="Arial"/>
          <w:smallCaps/>
          <w:sz w:val="24"/>
          <w:szCs w:val="24"/>
        </w:rPr>
        <w:t xml:space="preserve"> </w:t>
      </w:r>
    </w:p>
    <w:p w:rsidR="00E54CAC" w:rsidRDefault="00E54CAC" w:rsidP="00E54CAC">
      <w:pPr>
        <w:ind w:firstLine="567"/>
        <w:jc w:val="both"/>
        <w:rPr>
          <w:rFonts w:ascii="Arial" w:eastAsia="Arial" w:hAnsi="Arial" w:cs="Arial"/>
          <w:color w:val="000000"/>
        </w:rPr>
      </w:pPr>
      <w:r>
        <w:rPr>
          <w:rFonts w:ascii="Arial" w:eastAsia="Arial" w:hAnsi="Arial" w:cs="Arial"/>
          <w:color w:val="000000"/>
        </w:rPr>
        <w:t>La Facultad de Medicina de la UNAM cuenta con plan integral en materia de gestión de residuos peligrosos, el cual está a cargo del Departamento de Gestión de Bioseguridad, quien se encarga de solicitar, recolectar, supervisar y entregar los residuos peligrosos generados por esta institución educativa, esto a través de colectas donde se reciben, clasifican y acondicionan a los residuos peligrosos generados, para posteriormente darles una disposición final a través de una empresa certificada ante SEMARNAT en materia de recolección de residuos peligrosos.</w:t>
      </w:r>
    </w:p>
    <w:p w:rsidR="00E54CAC" w:rsidRDefault="00E54CAC" w:rsidP="00E54CAC">
      <w:pPr>
        <w:ind w:firstLine="567"/>
        <w:jc w:val="both"/>
        <w:rPr>
          <w:rFonts w:ascii="Arial" w:eastAsia="Arial" w:hAnsi="Arial" w:cs="Arial"/>
          <w:color w:val="000000"/>
        </w:rPr>
      </w:pPr>
    </w:p>
    <w:p w:rsidR="00E54CAC" w:rsidRPr="00C21379" w:rsidRDefault="00E54CAC" w:rsidP="00E54CAC">
      <w:pPr>
        <w:jc w:val="both"/>
        <w:rPr>
          <w:rFonts w:ascii="Arial" w:hAnsi="Arial" w:cs="Arial"/>
          <w:bCs/>
        </w:rPr>
      </w:pPr>
      <w:r>
        <w:rPr>
          <w:rFonts w:ascii="Arial" w:eastAsia="Arial" w:hAnsi="Arial" w:cs="Arial"/>
          <w:color w:val="000000"/>
        </w:rPr>
        <w:t xml:space="preserve">En este trabajo se ejemplifica a detalle el </w:t>
      </w:r>
      <w:r w:rsidRPr="00DB7EAC">
        <w:rPr>
          <w:rFonts w:ascii="Arial" w:hAnsi="Arial" w:cs="Arial"/>
        </w:rPr>
        <w:t>plan integral para la gestión de residuos peligrosos</w:t>
      </w:r>
      <w:r>
        <w:rPr>
          <w:rFonts w:ascii="Arial" w:eastAsia="Arial" w:hAnsi="Arial" w:cs="Arial"/>
          <w:color w:val="000000"/>
        </w:rPr>
        <w:t xml:space="preserve"> y se mencionan los alcances de dicho plan al obtener una cuantificación anual de los residuos puestos a disposición, en el año 2019, se recolectaron </w:t>
      </w:r>
      <w:r>
        <w:rPr>
          <w:rFonts w:ascii="Arial" w:eastAsia="Arial" w:hAnsi="Arial" w:cs="Arial"/>
          <w:color w:val="000000"/>
          <w:sz w:val="22"/>
          <w:szCs w:val="22"/>
        </w:rPr>
        <w:t xml:space="preserve">9258.1Kg de </w:t>
      </w:r>
      <w:r>
        <w:rPr>
          <w:rFonts w:ascii="Arial" w:eastAsia="Arial" w:hAnsi="Arial" w:cs="Arial"/>
          <w:color w:val="000000"/>
        </w:rPr>
        <w:t xml:space="preserve">Residuos Peligrosos Biológico-Infecciosos, </w:t>
      </w:r>
      <w:r w:rsidRPr="00C21379">
        <w:rPr>
          <w:rFonts w:ascii="Arial" w:eastAsia="Calibri" w:hAnsi="Arial" w:cs="Arial"/>
          <w:bCs/>
          <w:color w:val="000000"/>
        </w:rPr>
        <w:t xml:space="preserve">927.3 L </w:t>
      </w:r>
      <w:r>
        <w:rPr>
          <w:rFonts w:ascii="Arial" w:eastAsia="Calibri" w:hAnsi="Arial" w:cs="Arial"/>
          <w:bCs/>
          <w:color w:val="000000"/>
        </w:rPr>
        <w:t xml:space="preserve">y </w:t>
      </w:r>
      <w:r w:rsidRPr="00C21379">
        <w:rPr>
          <w:rFonts w:ascii="Arial" w:eastAsia="Calibri" w:hAnsi="Arial" w:cs="Arial"/>
          <w:bCs/>
          <w:color w:val="000000"/>
        </w:rPr>
        <w:t>2332.3 Kg de residuos peligrosos químicos y 38.25m³ de residuos de manejo especial</w:t>
      </w:r>
    </w:p>
    <w:p w:rsidR="00E54CAC" w:rsidRDefault="00E54CAC" w:rsidP="00E54CAC">
      <w:pPr>
        <w:ind w:firstLine="567"/>
        <w:jc w:val="both"/>
        <w:rPr>
          <w:rFonts w:ascii="Arial" w:eastAsia="Arial" w:hAnsi="Arial" w:cs="Arial"/>
        </w:rPr>
      </w:pPr>
    </w:p>
    <w:p w:rsidR="00E54CAC" w:rsidRDefault="00E54CAC" w:rsidP="00E54CAC">
      <w:pPr>
        <w:ind w:firstLine="567"/>
        <w:jc w:val="both"/>
        <w:rPr>
          <w:rFonts w:ascii="Arial" w:eastAsia="Arial" w:hAnsi="Arial" w:cs="Arial"/>
        </w:rPr>
      </w:pPr>
    </w:p>
    <w:p w:rsidR="00E54CAC" w:rsidRPr="00202123" w:rsidRDefault="00E54CAC" w:rsidP="00E54CAC">
      <w:pPr>
        <w:pStyle w:val="Ttulo1"/>
        <w:keepLines w:val="0"/>
        <w:numPr>
          <w:ilvl w:val="0"/>
          <w:numId w:val="80"/>
        </w:numPr>
        <w:tabs>
          <w:tab w:val="left" w:pos="0"/>
        </w:tabs>
        <w:spacing w:before="0" w:after="0" w:line="360" w:lineRule="auto"/>
        <w:rPr>
          <w:rFonts w:ascii="Arial" w:eastAsia="Arial" w:hAnsi="Arial" w:cs="Arial"/>
          <w:i/>
          <w:smallCaps/>
          <w:sz w:val="24"/>
          <w:szCs w:val="24"/>
        </w:rPr>
      </w:pPr>
      <w:bookmarkStart w:id="480" w:name="_Toc50031499"/>
      <w:r w:rsidRPr="00202123">
        <w:rPr>
          <w:rFonts w:ascii="Arial" w:eastAsia="Arial" w:hAnsi="Arial" w:cs="Arial"/>
          <w:smallCaps/>
          <w:sz w:val="24"/>
          <w:szCs w:val="24"/>
        </w:rPr>
        <w:t>2. I</w:t>
      </w:r>
      <w:r w:rsidRPr="00202123">
        <w:rPr>
          <w:rFonts w:ascii="Arial" w:eastAsia="Arial" w:hAnsi="Arial" w:cs="Arial"/>
          <w:sz w:val="24"/>
          <w:szCs w:val="24"/>
        </w:rPr>
        <w:t>ntroducción</w:t>
      </w:r>
      <w:bookmarkEnd w:id="480"/>
      <w:r w:rsidRPr="00202123">
        <w:rPr>
          <w:rFonts w:ascii="Arial" w:eastAsia="Arial" w:hAnsi="Arial" w:cs="Arial"/>
          <w:smallCaps/>
          <w:sz w:val="24"/>
          <w:szCs w:val="24"/>
        </w:rPr>
        <w:t xml:space="preserve"> </w:t>
      </w:r>
    </w:p>
    <w:p w:rsidR="00E54CAC" w:rsidRDefault="00E54CAC" w:rsidP="00E54CAC">
      <w:pPr>
        <w:numPr>
          <w:ilvl w:val="2"/>
          <w:numId w:val="80"/>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La Facultad de Medicina cuenta con un plan integral para la gestión de residuos peligrosos, como principal punto</w:t>
      </w:r>
      <w:r>
        <w:rPr>
          <w:rFonts w:ascii="Arial" w:eastAsia="Arial" w:hAnsi="Arial" w:cs="Arial"/>
          <w:color w:val="000000"/>
        </w:rPr>
        <w:tab/>
        <w:t>de abordaje, se comienza con una clasificación de los residuos en tres importantes grupos, los grupos en los que se clasifican los residuos son los siguientes: Residuos Peligrosos Biológico-Infecciosos (RPBI), residuos químicos, residuos de manejo especial.</w:t>
      </w:r>
    </w:p>
    <w:p w:rsidR="00E54CAC" w:rsidRDefault="00E54CAC" w:rsidP="00E54CAC">
      <w:pPr>
        <w:numPr>
          <w:ilvl w:val="0"/>
          <w:numId w:val="80"/>
        </w:numPr>
        <w:pBdr>
          <w:top w:val="nil"/>
          <w:left w:val="nil"/>
          <w:bottom w:val="nil"/>
          <w:right w:val="nil"/>
          <w:between w:val="nil"/>
        </w:pBdr>
        <w:spacing w:after="0" w:line="240" w:lineRule="auto"/>
        <w:jc w:val="both"/>
        <w:rPr>
          <w:rFonts w:ascii="Arial" w:eastAsia="Arial" w:hAnsi="Arial" w:cs="Arial"/>
          <w:color w:val="000000"/>
        </w:rPr>
      </w:pPr>
    </w:p>
    <w:p w:rsidR="00E54CAC" w:rsidRDefault="00E54CAC" w:rsidP="00E54CAC">
      <w:pPr>
        <w:numPr>
          <w:ilvl w:val="0"/>
          <w:numId w:val="80"/>
        </w:numPr>
        <w:pBdr>
          <w:top w:val="nil"/>
          <w:left w:val="nil"/>
          <w:bottom w:val="nil"/>
          <w:right w:val="nil"/>
          <w:between w:val="nil"/>
        </w:pBdr>
        <w:spacing w:after="0" w:line="240" w:lineRule="auto"/>
        <w:jc w:val="both"/>
        <w:rPr>
          <w:rFonts w:ascii="Arial" w:eastAsia="Arial" w:hAnsi="Arial" w:cs="Arial"/>
          <w:color w:val="000000"/>
        </w:rPr>
      </w:pPr>
      <w:bookmarkStart w:id="481" w:name="_gjdgxs" w:colFirst="0" w:colLast="0"/>
      <w:bookmarkEnd w:id="481"/>
      <w:r>
        <w:rPr>
          <w:rFonts w:ascii="Arial" w:eastAsia="Arial" w:hAnsi="Arial" w:cs="Arial"/>
          <w:color w:val="000000"/>
        </w:rPr>
        <w:t>Los Residuos Peligrosos Biológico-Infecciosos (RPBI), son aquellos materiales generados durante los servicios de atención médica que contengan agentes biológico-infecciosos según son definidos en la NOM-087-SEMARNAT-2002, y que puedan causar efectos nocivos a la salud y al ambiente. Se clasifican en sangre, cepas y cultivos, patológicos, no anatómicos, punzocortantes</w:t>
      </w:r>
    </w:p>
    <w:p w:rsidR="00E54CAC" w:rsidRDefault="00E54CAC" w:rsidP="00E54CAC">
      <w:pPr>
        <w:pBdr>
          <w:top w:val="nil"/>
          <w:left w:val="nil"/>
          <w:bottom w:val="nil"/>
          <w:right w:val="nil"/>
          <w:between w:val="nil"/>
        </w:pBdr>
        <w:ind w:left="720"/>
        <w:rPr>
          <w:rFonts w:ascii="Arial" w:eastAsia="Arial" w:hAnsi="Arial" w:cs="Arial"/>
          <w:b/>
          <w:color w:val="000000"/>
        </w:rPr>
      </w:pPr>
    </w:p>
    <w:p w:rsidR="00E54CAC" w:rsidRDefault="00E54CAC" w:rsidP="00E54CAC">
      <w:pPr>
        <w:numPr>
          <w:ilvl w:val="0"/>
          <w:numId w:val="79"/>
        </w:numPr>
        <w:pBdr>
          <w:top w:val="nil"/>
          <w:left w:val="nil"/>
          <w:bottom w:val="nil"/>
          <w:right w:val="nil"/>
          <w:between w:val="nil"/>
        </w:pBdr>
        <w:spacing w:after="0" w:line="240" w:lineRule="auto"/>
        <w:jc w:val="both"/>
        <w:rPr>
          <w:b/>
          <w:color w:val="000000"/>
          <w:sz w:val="28"/>
          <w:szCs w:val="28"/>
        </w:rPr>
      </w:pPr>
      <w:r>
        <w:rPr>
          <w:rFonts w:ascii="Arial" w:eastAsia="Arial" w:hAnsi="Arial" w:cs="Arial"/>
          <w:b/>
          <w:color w:val="000000"/>
        </w:rPr>
        <w:t>Sangre:</w:t>
      </w:r>
      <w:r>
        <w:rPr>
          <w:rFonts w:ascii="Arial" w:eastAsia="Arial" w:hAnsi="Arial" w:cs="Arial"/>
          <w:color w:val="000000"/>
        </w:rPr>
        <w:t xml:space="preserve"> La sangre y los componentes de ésta, sólo en su forma líquida, así como los derivados no comerciales, incluyendo las células progenitoras, hematopoyéticas y las fracciones celulares o acelulares de la sangre resultante (hemoderivados). [</w:t>
      </w:r>
      <w:r>
        <w:rPr>
          <w:rFonts w:ascii="Arial" w:eastAsia="Arial" w:hAnsi="Arial" w:cs="Arial"/>
          <w:color w:val="000000"/>
          <w:vertAlign w:val="superscript"/>
        </w:rPr>
        <w:footnoteReference w:id="7"/>
      </w:r>
      <w:r>
        <w:rPr>
          <w:rFonts w:ascii="Arial" w:eastAsia="Arial" w:hAnsi="Arial" w:cs="Arial"/>
          <w:color w:val="000000"/>
        </w:rPr>
        <w:t>]</w:t>
      </w:r>
    </w:p>
    <w:p w:rsidR="00E54CAC" w:rsidRDefault="00E54CAC" w:rsidP="00E54CAC">
      <w:pPr>
        <w:numPr>
          <w:ilvl w:val="0"/>
          <w:numId w:val="79"/>
        </w:numPr>
        <w:pBdr>
          <w:top w:val="nil"/>
          <w:left w:val="nil"/>
          <w:bottom w:val="nil"/>
          <w:right w:val="nil"/>
          <w:between w:val="nil"/>
        </w:pBdr>
        <w:spacing w:after="0" w:line="240" w:lineRule="auto"/>
        <w:jc w:val="both"/>
        <w:rPr>
          <w:color w:val="000000"/>
        </w:rPr>
      </w:pPr>
      <w:r>
        <w:rPr>
          <w:rFonts w:ascii="Arial" w:eastAsia="Arial" w:hAnsi="Arial" w:cs="Arial"/>
          <w:b/>
          <w:color w:val="000000"/>
        </w:rPr>
        <w:t>Cepas y cultivos:</w:t>
      </w:r>
      <w:r>
        <w:rPr>
          <w:rFonts w:ascii="Arial" w:eastAsia="Arial" w:hAnsi="Arial" w:cs="Arial"/>
          <w:color w:val="000000"/>
        </w:rPr>
        <w:t xml:space="preserve"> Los cultivos generados en los procedimientos de diagnóstico e investigación, así como los generados en la producción y control de agentes biológico-infecciosos. Utensilios desechables usados para contener, transferir, inocular y mezclar cultivos de agentes biológico- infecciosos. [</w:t>
      </w:r>
      <w:r>
        <w:rPr>
          <w:rFonts w:ascii="Arial" w:eastAsia="Arial" w:hAnsi="Arial" w:cs="Arial"/>
          <w:color w:val="000000"/>
          <w:vertAlign w:val="superscript"/>
        </w:rPr>
        <w:footnoteReference w:id="8"/>
      </w:r>
      <w:r>
        <w:rPr>
          <w:rFonts w:ascii="Arial" w:eastAsia="Arial" w:hAnsi="Arial" w:cs="Arial"/>
          <w:color w:val="000000"/>
        </w:rPr>
        <w:t>]</w:t>
      </w:r>
    </w:p>
    <w:p w:rsidR="00E54CAC" w:rsidRDefault="00E54CAC" w:rsidP="00E54CAC">
      <w:pPr>
        <w:pBdr>
          <w:top w:val="nil"/>
          <w:left w:val="nil"/>
          <w:bottom w:val="nil"/>
          <w:right w:val="nil"/>
          <w:between w:val="nil"/>
        </w:pBdr>
        <w:jc w:val="both"/>
        <w:rPr>
          <w:rFonts w:ascii="Arial" w:eastAsia="Arial" w:hAnsi="Arial" w:cs="Arial"/>
          <w:color w:val="000000"/>
        </w:rPr>
      </w:pPr>
    </w:p>
    <w:p w:rsidR="00E54CAC" w:rsidRDefault="00E54CAC" w:rsidP="00E54CAC">
      <w:pPr>
        <w:numPr>
          <w:ilvl w:val="0"/>
          <w:numId w:val="79"/>
        </w:numPr>
        <w:pBdr>
          <w:top w:val="nil"/>
          <w:left w:val="nil"/>
          <w:bottom w:val="nil"/>
          <w:right w:val="nil"/>
          <w:between w:val="nil"/>
        </w:pBdr>
        <w:spacing w:after="0" w:line="240" w:lineRule="auto"/>
        <w:jc w:val="both"/>
        <w:rPr>
          <w:color w:val="000000"/>
        </w:rPr>
      </w:pPr>
      <w:r>
        <w:rPr>
          <w:rFonts w:ascii="Arial" w:eastAsia="Arial" w:hAnsi="Arial" w:cs="Arial"/>
          <w:b/>
          <w:color w:val="000000"/>
        </w:rPr>
        <w:t>Patológicos:</w:t>
      </w:r>
      <w:r>
        <w:rPr>
          <w:rFonts w:ascii="Calibri" w:eastAsia="Calibri" w:hAnsi="Calibri" w:cs="Calibri"/>
          <w:b/>
          <w:color w:val="000000"/>
          <w:sz w:val="48"/>
          <w:szCs w:val="48"/>
        </w:rPr>
        <w:t xml:space="preserve"> </w:t>
      </w:r>
      <w:r>
        <w:rPr>
          <w:rFonts w:ascii="Arial" w:eastAsia="Arial" w:hAnsi="Arial" w:cs="Arial"/>
          <w:color w:val="000000"/>
        </w:rPr>
        <w:t>Los tejidos, órganos, cadáveres y partes de animales que fueron inoculados como aves (pollos, palomas), roedores (ratas, ratones), anfibios crustáceos, cobayos, conejos y todo animal utilizado como modelo experimental. [</w:t>
      </w:r>
      <w:r>
        <w:rPr>
          <w:rFonts w:ascii="Arial" w:eastAsia="Arial" w:hAnsi="Arial" w:cs="Arial"/>
          <w:color w:val="000000"/>
          <w:vertAlign w:val="superscript"/>
        </w:rPr>
        <w:footnoteReference w:id="9"/>
      </w:r>
      <w:r>
        <w:rPr>
          <w:rFonts w:ascii="Arial" w:eastAsia="Arial" w:hAnsi="Arial" w:cs="Arial"/>
          <w:color w:val="000000"/>
        </w:rPr>
        <w:t>]</w:t>
      </w:r>
    </w:p>
    <w:p w:rsidR="00E54CAC" w:rsidRDefault="00E54CAC" w:rsidP="00E54CAC">
      <w:pPr>
        <w:numPr>
          <w:ilvl w:val="0"/>
          <w:numId w:val="79"/>
        </w:numPr>
        <w:pBdr>
          <w:top w:val="nil"/>
          <w:left w:val="nil"/>
          <w:bottom w:val="nil"/>
          <w:right w:val="nil"/>
          <w:between w:val="nil"/>
        </w:pBdr>
        <w:spacing w:after="0" w:line="240" w:lineRule="auto"/>
        <w:jc w:val="both"/>
        <w:rPr>
          <w:color w:val="000000"/>
        </w:rPr>
      </w:pPr>
      <w:r>
        <w:rPr>
          <w:rFonts w:ascii="Arial" w:eastAsia="Arial" w:hAnsi="Arial" w:cs="Arial"/>
          <w:b/>
          <w:color w:val="000000"/>
        </w:rPr>
        <w:t>No anatómicos:</w:t>
      </w:r>
      <w:r>
        <w:rPr>
          <w:rFonts w:ascii="Arial" w:eastAsia="Arial" w:hAnsi="Arial" w:cs="Arial"/>
          <w:color w:val="000000"/>
        </w:rPr>
        <w:t xml:space="preserve"> Todo material desechable contaminado con RPBI como torundas, gasas, guantes, cubrebocas, hisopos, tubos de muestra, líquido sinovial, líquido pericárdico, líquido pleural, líquido céfalo-raquídeo, líquido peritoneal, esputo o secreciones. [</w:t>
      </w:r>
      <w:r>
        <w:rPr>
          <w:rFonts w:ascii="Arial" w:eastAsia="Arial" w:hAnsi="Arial" w:cs="Arial"/>
          <w:color w:val="000000"/>
          <w:vertAlign w:val="superscript"/>
        </w:rPr>
        <w:footnoteReference w:id="10"/>
      </w:r>
      <w:r>
        <w:rPr>
          <w:rFonts w:ascii="Arial" w:eastAsia="Arial" w:hAnsi="Arial" w:cs="Arial"/>
          <w:color w:val="000000"/>
        </w:rPr>
        <w:t>]</w:t>
      </w:r>
    </w:p>
    <w:p w:rsidR="00E54CAC" w:rsidRDefault="00E54CAC" w:rsidP="00E54CAC">
      <w:pPr>
        <w:numPr>
          <w:ilvl w:val="0"/>
          <w:numId w:val="79"/>
        </w:numPr>
        <w:pBdr>
          <w:top w:val="nil"/>
          <w:left w:val="nil"/>
          <w:bottom w:val="nil"/>
          <w:right w:val="nil"/>
          <w:between w:val="nil"/>
        </w:pBdr>
        <w:spacing w:after="0" w:line="240" w:lineRule="auto"/>
        <w:jc w:val="both"/>
        <w:rPr>
          <w:color w:val="000000"/>
        </w:rPr>
      </w:pPr>
      <w:r>
        <w:rPr>
          <w:rFonts w:ascii="Arial" w:eastAsia="Arial" w:hAnsi="Arial" w:cs="Arial"/>
          <w:b/>
          <w:color w:val="000000"/>
        </w:rPr>
        <w:t>Punzocortantes:</w:t>
      </w:r>
      <w:r>
        <w:rPr>
          <w:rFonts w:ascii="Arial" w:eastAsia="Arial" w:hAnsi="Arial" w:cs="Arial"/>
          <w:color w:val="000000"/>
        </w:rPr>
        <w:t xml:space="preserve"> Los que han estado en contacto con humanos o animales o sus muestras biológicas. Únicamente: tubos capilares, navajas, lancetas, agujas de jeringas, agujas hipodérmicas, agujas de suturas, agujas de acupuntura, agujas para tatuajes, hojas de bisturí, estiletes de catéter, cubreobjetos, portaobjetos. [</w:t>
      </w:r>
      <w:r>
        <w:rPr>
          <w:rFonts w:ascii="Arial" w:eastAsia="Arial" w:hAnsi="Arial" w:cs="Arial"/>
          <w:color w:val="000000"/>
          <w:vertAlign w:val="superscript"/>
        </w:rPr>
        <w:footnoteReference w:id="11"/>
      </w:r>
      <w:r>
        <w:rPr>
          <w:rFonts w:ascii="Arial" w:eastAsia="Arial" w:hAnsi="Arial" w:cs="Arial"/>
          <w:color w:val="000000"/>
        </w:rPr>
        <w:t>]</w:t>
      </w:r>
    </w:p>
    <w:p w:rsidR="00E54CAC" w:rsidRDefault="00E54CAC" w:rsidP="00E54CAC">
      <w:pPr>
        <w:pBdr>
          <w:top w:val="nil"/>
          <w:left w:val="nil"/>
          <w:bottom w:val="nil"/>
          <w:right w:val="nil"/>
          <w:between w:val="nil"/>
        </w:pBdr>
        <w:ind w:left="720"/>
        <w:jc w:val="both"/>
        <w:rPr>
          <w:rFonts w:ascii="Arial" w:eastAsia="Arial" w:hAnsi="Arial" w:cs="Arial"/>
          <w:color w:val="000000"/>
        </w:rPr>
      </w:pPr>
    </w:p>
    <w:p w:rsidR="00E54CAC" w:rsidRDefault="00E54CAC" w:rsidP="00E54CAC">
      <w:pPr>
        <w:jc w:val="both"/>
      </w:pPr>
      <w:r>
        <w:rPr>
          <w:rFonts w:ascii="Arial" w:eastAsia="Arial" w:hAnsi="Arial" w:cs="Arial"/>
        </w:rPr>
        <w:t>El siguiente grupo en el que se clasifican los residuos dentro de la Facultad de Medicina, es el de los residuos químicos, los cuales</w:t>
      </w:r>
      <w:r>
        <w:rPr>
          <w:rFonts w:ascii="Arial" w:eastAsia="Arial" w:hAnsi="Arial" w:cs="Arial"/>
          <w:b/>
        </w:rPr>
        <w:t xml:space="preserve"> </w:t>
      </w:r>
      <w:r w:rsidRPr="008C523A">
        <w:rPr>
          <w:rFonts w:ascii="Arial" w:eastAsia="Arial" w:hAnsi="Arial" w:cs="Arial"/>
          <w:bCs/>
        </w:rPr>
        <w:t xml:space="preserve">se encuentran definidos en la NOM-052-SEMARNAT-2005 como </w:t>
      </w:r>
      <w:r>
        <w:rPr>
          <w:rFonts w:ascii="Arial" w:eastAsia="Arial" w:hAnsi="Arial" w:cs="Arial"/>
        </w:rPr>
        <w:t>todos aquellos materiales que, por sus características corrosivas, reactivas, explosivas, tóxicas e inflamables, representan un peligro para la salud humana y el ambiente, cuando son manejados o dispuestos en forma inadecuada. Los residuos químicos a su vez son clasificados de acuerdo con sus propiedades y características, dentro del primer filtro para su clasificación es su estado de la materia, y el segundo en con base en sus características corrosivas, reactivas, explosivas, tóxicas e inflamables. La identificación de residuos peligrosos de tipo químico es el proceso mediante el cual se reconoce que una sustancia ha perdido sus características intrínsecas, sus propiedades han dejado de ser útiles para el usuario o se encuentran fuera de especificaciones o caducas; dichas sustancias químicas carecen o presentan variación en las características necesarias para ser utilizadas, por lo que se deben manejar como residuo con "características peligrosas".</w:t>
      </w:r>
    </w:p>
    <w:p w:rsidR="00E54CAC" w:rsidRDefault="00E54CAC" w:rsidP="00E54CAC">
      <w:pPr>
        <w:pBdr>
          <w:top w:val="nil"/>
          <w:left w:val="nil"/>
          <w:bottom w:val="nil"/>
          <w:right w:val="nil"/>
          <w:between w:val="nil"/>
        </w:pBdr>
        <w:jc w:val="both"/>
        <w:rPr>
          <w:rFonts w:ascii="Arial" w:eastAsia="Arial" w:hAnsi="Arial" w:cs="Arial"/>
          <w:color w:val="000000"/>
        </w:rPr>
      </w:pPr>
    </w:p>
    <w:p w:rsidR="00E54CAC" w:rsidRPr="00022931" w:rsidRDefault="00E54CAC" w:rsidP="00E54CAC">
      <w:pPr>
        <w:pBdr>
          <w:top w:val="nil"/>
          <w:left w:val="nil"/>
          <w:bottom w:val="nil"/>
          <w:right w:val="nil"/>
          <w:between w:val="nil"/>
        </w:pBdr>
        <w:jc w:val="both"/>
        <w:rPr>
          <w:rFonts w:ascii="Arial" w:eastAsia="Arial" w:hAnsi="Arial" w:cs="Arial"/>
          <w:color w:val="000000"/>
        </w:rPr>
      </w:pPr>
      <w:r>
        <w:rPr>
          <w:rFonts w:ascii="Arial" w:eastAsia="Arial" w:hAnsi="Arial" w:cs="Arial"/>
        </w:rPr>
        <w:t xml:space="preserve">El último rubro corresponde a los </w:t>
      </w:r>
      <w:r>
        <w:rPr>
          <w:rFonts w:ascii="Arial" w:eastAsia="Arial" w:hAnsi="Arial" w:cs="Arial"/>
          <w:color w:val="000000"/>
        </w:rPr>
        <w:t>residuos de manejo especial</w:t>
      </w:r>
      <w:r>
        <w:rPr>
          <w:rFonts w:ascii="Arial" w:eastAsia="Arial" w:hAnsi="Arial" w:cs="Arial"/>
        </w:rPr>
        <w:t>,</w:t>
      </w:r>
      <w:r>
        <w:rPr>
          <w:rFonts w:ascii="Arial" w:eastAsia="Arial" w:hAnsi="Arial" w:cs="Arial"/>
          <w:color w:val="000000"/>
        </w:rPr>
        <w:t xml:space="preserve"> estos </w:t>
      </w:r>
      <w:r>
        <w:rPr>
          <w:rFonts w:ascii="Arial" w:eastAsia="Arial" w:hAnsi="Arial" w:cs="Arial"/>
        </w:rPr>
        <w:t xml:space="preserve">son </w:t>
      </w:r>
      <w:r>
        <w:rPr>
          <w:rFonts w:ascii="Arial" w:eastAsia="Arial" w:hAnsi="Arial" w:cs="Arial"/>
          <w:color w:val="000000"/>
        </w:rPr>
        <w:t>aquellos que no están contaminados con agentes biológicos o químicos, pero que han sido empleados en labores de atención médica o investigación.</w:t>
      </w:r>
    </w:p>
    <w:p w:rsidR="00E54CAC" w:rsidRPr="00202123" w:rsidRDefault="00E54CAC" w:rsidP="00E54CAC">
      <w:pPr>
        <w:pStyle w:val="Ttulo1"/>
        <w:keepLines w:val="0"/>
        <w:numPr>
          <w:ilvl w:val="0"/>
          <w:numId w:val="80"/>
        </w:numPr>
        <w:tabs>
          <w:tab w:val="left" w:pos="0"/>
        </w:tabs>
        <w:spacing w:before="0" w:after="0" w:line="360" w:lineRule="auto"/>
        <w:rPr>
          <w:rFonts w:ascii="Arial" w:eastAsia="Arial" w:hAnsi="Arial" w:cs="Arial"/>
          <w:i/>
          <w:sz w:val="24"/>
          <w:szCs w:val="24"/>
        </w:rPr>
      </w:pPr>
      <w:bookmarkStart w:id="482" w:name="_Toc50031500"/>
      <w:r w:rsidRPr="00202123">
        <w:rPr>
          <w:rFonts w:ascii="Arial" w:eastAsia="Arial" w:hAnsi="Arial" w:cs="Arial"/>
          <w:smallCaps/>
          <w:sz w:val="24"/>
          <w:szCs w:val="24"/>
        </w:rPr>
        <w:t>3. C</w:t>
      </w:r>
      <w:r w:rsidRPr="00202123">
        <w:rPr>
          <w:rFonts w:ascii="Arial" w:eastAsia="Arial" w:hAnsi="Arial" w:cs="Arial"/>
          <w:sz w:val="24"/>
          <w:szCs w:val="24"/>
        </w:rPr>
        <w:t>ondiciones experimentales</w:t>
      </w:r>
      <w:bookmarkEnd w:id="482"/>
    </w:p>
    <w:p w:rsidR="00E54CAC" w:rsidRPr="00022931" w:rsidRDefault="00E54CAC" w:rsidP="00E54CAC">
      <w:pPr>
        <w:rPr>
          <w:rFonts w:eastAsia="Arial"/>
        </w:rPr>
      </w:pPr>
    </w:p>
    <w:p w:rsidR="00E54CAC" w:rsidRDefault="00E54CAC" w:rsidP="00E54CAC">
      <w:pPr>
        <w:jc w:val="both"/>
        <w:rPr>
          <w:rFonts w:ascii="Arial" w:eastAsia="Arial" w:hAnsi="Arial" w:cs="Arial"/>
        </w:rPr>
      </w:pPr>
      <w:r>
        <w:rPr>
          <w:rFonts w:ascii="Arial" w:eastAsia="Arial" w:hAnsi="Arial" w:cs="Arial"/>
        </w:rPr>
        <w:t>El proceso para la gestión de los residuos peligrosos consta de tres etapas, en cada una de ellas se realizan diferentes actividades para la gestión integral de los residuos peligrosos.</w:t>
      </w:r>
    </w:p>
    <w:p w:rsidR="00E54CAC" w:rsidRDefault="00E54CAC" w:rsidP="00E54CAC">
      <w:pPr>
        <w:rPr>
          <w:rFonts w:ascii="Arial" w:eastAsia="Arial" w:hAnsi="Arial" w:cs="Arial"/>
        </w:rPr>
      </w:pPr>
    </w:p>
    <w:p w:rsidR="00E54CAC" w:rsidRDefault="00E54CAC" w:rsidP="00E54CAC">
      <w:pPr>
        <w:jc w:val="both"/>
      </w:pPr>
      <w:r>
        <w:rPr>
          <w:rFonts w:ascii="Arial" w:eastAsia="Arial" w:hAnsi="Arial" w:cs="Arial"/>
        </w:rPr>
        <w:t xml:space="preserve">La primera etapa se inicia con una evaluación e inventario de los residuos que tienen los diferentes departamentos de la Facultad para identificar la situación actual y establecer las medidas correctivas necesarias para cumplir con la normatividad establecida en la NOM-052-SEMARNAT-2005, NOM-087-SEMARNAT-SSA1-2002, </w:t>
      </w:r>
      <w:r w:rsidRPr="000A6792">
        <w:rPr>
          <w:rFonts w:ascii="Arial" w:eastAsia="Arial" w:hAnsi="Arial" w:cs="Arial"/>
        </w:rPr>
        <w:t xml:space="preserve">es importante mencionar que para que la Comisión de Bioseguridad reciba el inventario, es necesario realizar el siguiente procedimiento, el cual se encuentra en la </w:t>
      </w:r>
      <w:r w:rsidRPr="000A6792">
        <w:rPr>
          <w:rFonts w:ascii="Arial" w:eastAsia="Arial" w:hAnsi="Arial" w:cs="Arial"/>
          <w:b/>
        </w:rPr>
        <w:t>Figura 1.</w:t>
      </w:r>
    </w:p>
    <w:p w:rsidR="00E54CAC" w:rsidRDefault="00E54CAC" w:rsidP="00E54CAC">
      <w:pPr>
        <w:jc w:val="both"/>
      </w:pPr>
    </w:p>
    <w:p w:rsidR="00E54CAC" w:rsidRDefault="00E54CAC" w:rsidP="00E54CAC">
      <w:pPr>
        <w:spacing w:after="160" w:line="259" w:lineRule="auto"/>
        <w:jc w:val="center"/>
      </w:pPr>
      <w:r>
        <w:rPr>
          <w:noProof/>
          <w:lang w:val="en-US"/>
        </w:rPr>
        <w:drawing>
          <wp:inline distT="0" distB="0" distL="0" distR="0" wp14:anchorId="5E0FD181" wp14:editId="1FE521C6">
            <wp:extent cx="5971540" cy="7603490"/>
            <wp:effectExtent l="0" t="0" r="0" b="0"/>
            <wp:docPr id="109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55"/>
                    <a:srcRect/>
                    <a:stretch>
                      <a:fillRect/>
                    </a:stretch>
                  </pic:blipFill>
                  <pic:spPr>
                    <a:xfrm>
                      <a:off x="0" y="0"/>
                      <a:ext cx="5971540" cy="7603490"/>
                    </a:xfrm>
                    <a:prstGeom prst="rect">
                      <a:avLst/>
                    </a:prstGeom>
                    <a:ln/>
                  </pic:spPr>
                </pic:pic>
              </a:graphicData>
            </a:graphic>
          </wp:inline>
        </w:drawing>
      </w:r>
      <w:r>
        <w:t>[</w:t>
      </w:r>
      <w:r>
        <w:rPr>
          <w:vertAlign w:val="superscript"/>
        </w:rPr>
        <w:footnoteReference w:id="12"/>
      </w:r>
      <w:r>
        <w:t>]</w:t>
      </w:r>
      <w:r>
        <w:br w:type="page"/>
      </w:r>
      <w:r>
        <w:rPr>
          <w:noProof/>
          <w:lang w:val="en-US"/>
        </w:rPr>
        <mc:AlternateContent>
          <mc:Choice Requires="wps">
            <w:drawing>
              <wp:anchor distT="45720" distB="45720" distL="114300" distR="114300" simplePos="0" relativeHeight="251850752" behindDoc="0" locked="0" layoutInCell="1" hidden="0" allowOverlap="1" wp14:anchorId="344D6F97" wp14:editId="19BEB259">
                <wp:simplePos x="0" y="0"/>
                <wp:positionH relativeFrom="column">
                  <wp:posOffset>889000</wp:posOffset>
                </wp:positionH>
                <wp:positionV relativeFrom="paragraph">
                  <wp:posOffset>7691120</wp:posOffset>
                </wp:positionV>
                <wp:extent cx="4171950" cy="295275"/>
                <wp:effectExtent l="0" t="0" r="0" b="0"/>
                <wp:wrapSquare wrapText="bothSides" distT="45720" distB="45720" distL="114300" distR="114300"/>
                <wp:docPr id="1092" name="Rectángulo 1092"/>
                <wp:cNvGraphicFramePr/>
                <a:graphic xmlns:a="http://schemas.openxmlformats.org/drawingml/2006/main">
                  <a:graphicData uri="http://schemas.microsoft.com/office/word/2010/wordprocessingShape">
                    <wps:wsp>
                      <wps:cNvSpPr/>
                      <wps:spPr>
                        <a:xfrm>
                          <a:off x="3264788" y="3637125"/>
                          <a:ext cx="4162425" cy="285750"/>
                        </a:xfrm>
                        <a:prstGeom prst="rect">
                          <a:avLst/>
                        </a:prstGeom>
                        <a:solidFill>
                          <a:srgbClr val="FFFFFF"/>
                        </a:solidFill>
                        <a:ln>
                          <a:noFill/>
                        </a:ln>
                      </wps:spPr>
                      <wps:txbx>
                        <w:txbxContent>
                          <w:p w:rsidR="00C20C0F" w:rsidRDefault="00C20C0F" w:rsidP="00E54CAC">
                            <w:pPr>
                              <w:jc w:val="center"/>
                              <w:textDirection w:val="btLr"/>
                            </w:pPr>
                            <w:r>
                              <w:rPr>
                                <w:rFonts w:ascii="Arial" w:eastAsia="Arial" w:hAnsi="Arial" w:cs="Arial"/>
                                <w:i/>
                                <w:color w:val="000000"/>
                              </w:rPr>
                              <w:t xml:space="preserve">Figura 1. </w:t>
                            </w:r>
                            <w:r>
                              <w:rPr>
                                <w:rFonts w:ascii="Arial" w:eastAsia="Arial" w:hAnsi="Arial" w:cs="Arial"/>
                                <w:i/>
                                <w:color w:val="000000"/>
                                <w:sz w:val="20"/>
                              </w:rPr>
                              <w:t>Diagrama de envío de solicitudes para recolección de residuos.</w:t>
                            </w:r>
                          </w:p>
                        </w:txbxContent>
                      </wps:txbx>
                      <wps:bodyPr spcFirstLastPara="1" wrap="square" lIns="91425" tIns="45700" rIns="91425" bIns="45700" anchor="t" anchorCtr="0">
                        <a:noAutofit/>
                      </wps:bodyPr>
                    </wps:wsp>
                  </a:graphicData>
                </a:graphic>
              </wp:anchor>
            </w:drawing>
          </mc:Choice>
          <mc:Fallback>
            <w:pict>
              <v:rect w14:anchorId="344D6F97" id="Rectángulo 1092" o:spid="_x0000_s1309" style="position:absolute;left:0;text-align:left;margin-left:70pt;margin-top:605.6pt;width:328.5pt;height:23.25pt;z-index:25185075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7+i8gEAALkDAAAOAAAAZHJzL2Uyb0RvYy54bWysU0tu2zAQ3RfoHQjua33iXwTLQZHARYGg&#10;NZLmABRFSQQokh3SlnycnqUX65ByY7fZFdWCms/TcN6b0eZu7BU5CnDS6JJms5QSobmppW5L+vJt&#10;92FNifNM10wZLUp6Eo7ebd+/2wy2ELnpjKoFECyiXTHYknbe2yJJHO9Ez9zMWKEx2RjomUcX2qQG&#10;NmD1XiV5mi6TwUBtwXDhHEYfpiTdxvpNI7j/2jROeKJKir35eEI8q3Am2w0rWmC2k/zcBvuHLnom&#10;NV76WuqBeUYOIN+U6iUH40zjZ9z0iWkayUXkgGyy9C82zx2zInJBcZx9lcn9v7L8y3EPRNY4u/Q2&#10;p0SzHqf0hLr9/KHbgzIkxlGmwboC0c92D2fPoRk4jw304Y1syFjSm3w5X61x7ie0lzerLF9MMovR&#10;E46AebbM5xgkHBH5erFaxDkkl0oWnP8kTE+CUVLAdqK67PjoPN6O0N+QcLEzStY7qVR0oK3uFZAj&#10;w5Hv4hOux0/+gCkdwNqEz6Z0iCSB5cQrWH6sxijOKg81Qqgy9QkVc5bvJDb3yJzfM8CdySgZcI9K&#10;6r4fGAhK1GeNg7rNIlUfnflileIWwnWmus4wzTuD6+kpmcx7H5d16vXjwZtGRgEurZybxv2IJM+7&#10;HBbw2o+oyx+3/QUAAP//AwBQSwMEFAAGAAgAAAAhADkP7jTeAAAADQEAAA8AAABkcnMvZG93bnJl&#10;di54bWxMT8tOwzAQvCPxD9YicaN2opa0aZwKVeKGhEhBcHTiJYnqRxQ7afh7tie47Tw0O1McFmvY&#10;jGPovZOQrAQwdI3XvWslvJ+eH7bAQlROK+MdSvjBAIfy9qZQufYX94ZzFVtGIS7kSkIX45BzHpoO&#10;rQorP6Aj7duPVkWCY8v1qC4Ubg1PhXjkVvWOPnRqwGOHzbmarAQzi/XHZ7352lZ9iy/nZT766VXK&#10;+7vlaQ8s4hL/zHCtT9WhpE61n5wOzBBeC9oS6UiTJAVGlmyXEVVfqU2WAS8L/n9F+QsAAP//AwBQ&#10;SwECLQAUAAYACAAAACEAtoM4kv4AAADhAQAAEwAAAAAAAAAAAAAAAAAAAAAAW0NvbnRlbnRfVHlw&#10;ZXNdLnhtbFBLAQItABQABgAIAAAAIQA4/SH/1gAAAJQBAAALAAAAAAAAAAAAAAAAAC8BAABfcmVs&#10;cy8ucmVsc1BLAQItABQABgAIAAAAIQBZA7+i8gEAALkDAAAOAAAAAAAAAAAAAAAAAC4CAABkcnMv&#10;ZTJvRG9jLnhtbFBLAQItABQABgAIAAAAIQA5D+403gAAAA0BAAAPAAAAAAAAAAAAAAAAAEwEAABk&#10;cnMvZG93bnJldi54bWxQSwUGAAAAAAQABADzAAAAVwUAAAAA&#10;" stroked="f">
                <v:textbox inset="2.53958mm,1.2694mm,2.53958mm,1.2694mm">
                  <w:txbxContent>
                    <w:p w:rsidR="00C20C0F" w:rsidRDefault="00C20C0F" w:rsidP="00E54CAC">
                      <w:pPr>
                        <w:jc w:val="center"/>
                        <w:textDirection w:val="btLr"/>
                      </w:pPr>
                      <w:r>
                        <w:rPr>
                          <w:rFonts w:ascii="Arial" w:eastAsia="Arial" w:hAnsi="Arial" w:cs="Arial"/>
                          <w:i/>
                          <w:color w:val="000000"/>
                        </w:rPr>
                        <w:t xml:space="preserve">Figura 1. </w:t>
                      </w:r>
                      <w:r>
                        <w:rPr>
                          <w:rFonts w:ascii="Arial" w:eastAsia="Arial" w:hAnsi="Arial" w:cs="Arial"/>
                          <w:i/>
                          <w:color w:val="000000"/>
                          <w:sz w:val="20"/>
                        </w:rPr>
                        <w:t>Diagrama de envío de solicitudes para recolección de residuos.</w:t>
                      </w:r>
                    </w:p>
                  </w:txbxContent>
                </v:textbox>
                <w10:wrap type="square"/>
              </v:rect>
            </w:pict>
          </mc:Fallback>
        </mc:AlternateContent>
      </w:r>
    </w:p>
    <w:p w:rsidR="00E54CAC" w:rsidRDefault="00E54CAC" w:rsidP="00E54CAC">
      <w:pPr>
        <w:jc w:val="both"/>
      </w:pPr>
    </w:p>
    <w:p w:rsidR="00E54CAC" w:rsidRDefault="00E54CAC" w:rsidP="00E54CAC">
      <w:pPr>
        <w:spacing w:after="160" w:line="259" w:lineRule="auto"/>
        <w:jc w:val="center"/>
      </w:pPr>
      <w:r>
        <w:rPr>
          <w:noProof/>
          <w:lang w:val="en-US"/>
        </w:rPr>
        <w:drawing>
          <wp:inline distT="0" distB="0" distL="0" distR="0" wp14:anchorId="43CCC68A" wp14:editId="21E97D8B">
            <wp:extent cx="5971540" cy="6696710"/>
            <wp:effectExtent l="0" t="0" r="0" b="0"/>
            <wp:docPr id="109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56"/>
                    <a:srcRect t="7378"/>
                    <a:stretch>
                      <a:fillRect/>
                    </a:stretch>
                  </pic:blipFill>
                  <pic:spPr>
                    <a:xfrm>
                      <a:off x="0" y="0"/>
                      <a:ext cx="5971540" cy="6696710"/>
                    </a:xfrm>
                    <a:prstGeom prst="rect">
                      <a:avLst/>
                    </a:prstGeom>
                    <a:ln/>
                  </pic:spPr>
                </pic:pic>
              </a:graphicData>
            </a:graphic>
          </wp:inline>
        </w:drawing>
      </w:r>
      <w:r>
        <w:t>[</w:t>
      </w:r>
      <w:r>
        <w:rPr>
          <w:vertAlign w:val="superscript"/>
        </w:rPr>
        <w:footnoteReference w:id="13"/>
      </w:r>
      <w:r>
        <w:t>]</w:t>
      </w:r>
    </w:p>
    <w:p w:rsidR="00E54CAC" w:rsidRDefault="00E54CAC" w:rsidP="00E54CAC">
      <w:pPr>
        <w:spacing w:after="160" w:line="259" w:lineRule="auto"/>
        <w:jc w:val="center"/>
      </w:pPr>
      <w:r>
        <w:rPr>
          <w:noProof/>
          <w:lang w:val="en-US"/>
        </w:rPr>
        <mc:AlternateContent>
          <mc:Choice Requires="wps">
            <w:drawing>
              <wp:anchor distT="45720" distB="45720" distL="114300" distR="114300" simplePos="0" relativeHeight="251851776" behindDoc="0" locked="0" layoutInCell="1" hidden="0" allowOverlap="1" wp14:anchorId="1581F612" wp14:editId="35C9C956">
                <wp:simplePos x="0" y="0"/>
                <wp:positionH relativeFrom="column">
                  <wp:posOffset>387350</wp:posOffset>
                </wp:positionH>
                <wp:positionV relativeFrom="paragraph">
                  <wp:posOffset>158750</wp:posOffset>
                </wp:positionV>
                <wp:extent cx="4981575" cy="295275"/>
                <wp:effectExtent l="0" t="0" r="0" b="0"/>
                <wp:wrapSquare wrapText="bothSides" distT="45720" distB="45720" distL="114300" distR="114300"/>
                <wp:docPr id="1093" name="Rectángulo 1093"/>
                <wp:cNvGraphicFramePr/>
                <a:graphic xmlns:a="http://schemas.openxmlformats.org/drawingml/2006/main">
                  <a:graphicData uri="http://schemas.microsoft.com/office/word/2010/wordprocessingShape">
                    <wps:wsp>
                      <wps:cNvSpPr/>
                      <wps:spPr>
                        <a:xfrm>
                          <a:off x="0" y="0"/>
                          <a:ext cx="4981575" cy="295275"/>
                        </a:xfrm>
                        <a:prstGeom prst="rect">
                          <a:avLst/>
                        </a:prstGeom>
                        <a:solidFill>
                          <a:srgbClr val="FFFFFF"/>
                        </a:solidFill>
                        <a:ln>
                          <a:noFill/>
                        </a:ln>
                      </wps:spPr>
                      <wps:txbx>
                        <w:txbxContent>
                          <w:p w:rsidR="00C20C0F" w:rsidRDefault="00C20C0F" w:rsidP="00E54CAC">
                            <w:pPr>
                              <w:jc w:val="center"/>
                              <w:textDirection w:val="btLr"/>
                            </w:pPr>
                            <w:r>
                              <w:rPr>
                                <w:rFonts w:ascii="Arial" w:eastAsia="Arial" w:hAnsi="Arial" w:cs="Arial"/>
                                <w:i/>
                                <w:color w:val="000000"/>
                              </w:rPr>
                              <w:t xml:space="preserve">Figura 2. </w:t>
                            </w:r>
                            <w:r>
                              <w:rPr>
                                <w:rFonts w:ascii="Arial" w:eastAsia="Arial" w:hAnsi="Arial" w:cs="Arial"/>
                                <w:i/>
                                <w:color w:val="000000"/>
                                <w:sz w:val="20"/>
                              </w:rPr>
                              <w:t>Solicitud para recolección de residuos peligrosos biológico-infecciosos.</w:t>
                            </w:r>
                          </w:p>
                        </w:txbxContent>
                      </wps:txbx>
                      <wps:bodyPr spcFirstLastPara="1" wrap="square" lIns="91425" tIns="45700" rIns="91425" bIns="45700" anchor="t" anchorCtr="0">
                        <a:noAutofit/>
                      </wps:bodyPr>
                    </wps:wsp>
                  </a:graphicData>
                </a:graphic>
              </wp:anchor>
            </w:drawing>
          </mc:Choice>
          <mc:Fallback>
            <w:pict>
              <v:rect w14:anchorId="1581F612" id="Rectángulo 1093" o:spid="_x0000_s1310" style="position:absolute;left:0;text-align:left;margin-left:30.5pt;margin-top:12.5pt;width:392.25pt;height:23.25pt;z-index:25185177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4Wh5AEAAK0DAAAOAAAAZHJzL2Uyb0RvYy54bWysU9uO0zAQfUfiHyy/01y2pduo6Qrtqghp&#10;BRULH+A4TmLJsc3YbdLP4Vv4McZOaAu8IfLgzM0nc85Mtg9jr8hJgJNGlzRbpJQIzU0tdVvSr1/2&#10;b+4pcZ7pmimjRUnPwtGH3etX28EWIjedUbUAgiDaFYMtaee9LZLE8U70zC2MFRqTjYGeeXShTWpg&#10;A6L3KsnT9G0yGKgtGC6cw+jTlKS7iN80gvtPTeOEJ6qk2JuPJ8SzCmey27KiBWY7yec22D900TOp&#10;8aMXqCfmGTmC/AuqlxyMM41fcNMnpmkkF5EDssnSP9i8dMyKyAXFcfYik/t/sPzj6QBE1ji7dHNH&#10;iWY9Tukz6vbju26PypAYR5kG6wqsfrEHmD2HZuA8NtCHN7IhY5T2fJFWjJ5wDC4399lqvaKEYy7f&#10;rHK0ESa53rbg/HthehKMkgK2EBVlp2fnp9JfJeFjzihZ76VS0YG2elRATgzHvI/PjP5bmdKhWJtw&#10;bUIMkSQwm7gEy4/VGAVZ3wWMEKpMfUaVnOV7ic09M+cPDHBPMkoG3J2Sum9HBoIS9UHjcDbZMkeq&#10;PjrL1TrFzYPbTHWbYZp3BlfSUzKZjz4u6NTru6M3jYwCXFuZm8adiBLO+xuW7taPVde/bPcTAAD/&#10;/wMAUEsDBBQABgAIAAAAIQBH6mRy3QAAAAgBAAAPAAAAZHJzL2Rvd25yZXYueG1sTI9BS8QwEIXv&#10;gv8hjODNTbts11KbLrLgTRDrih7TZmzLJpPSpN367x1PenoMb3jve+VhdVYsOIXBk4J0k4BAar0Z&#10;qFNwenu6y0GEqMlo6wkVfGOAQ3V9VerC+Au94lLHTnAIhUIr6GMcCylD26PTYeNHJPa+/OR05HPq&#10;pJn0hcOdldsk2UunB+KGXo947LE917NTYJdk9/7RZJ95PXT4fF6Xo59flLq9WR8fQERc498z/OIz&#10;OlTM1PiZTBBWwT7lKVHBNmNlP99lGYhGwX2agaxK+X9A9QMAAP//AwBQSwECLQAUAAYACAAAACEA&#10;toM4kv4AAADhAQAAEwAAAAAAAAAAAAAAAAAAAAAAW0NvbnRlbnRfVHlwZXNdLnhtbFBLAQItABQA&#10;BgAIAAAAIQA4/SH/1gAAAJQBAAALAAAAAAAAAAAAAAAAAC8BAABfcmVscy8ucmVsc1BLAQItABQA&#10;BgAIAAAAIQAah4Wh5AEAAK0DAAAOAAAAAAAAAAAAAAAAAC4CAABkcnMvZTJvRG9jLnhtbFBLAQIt&#10;ABQABgAIAAAAIQBH6mRy3QAAAAgBAAAPAAAAAAAAAAAAAAAAAD4EAABkcnMvZG93bnJldi54bWxQ&#10;SwUGAAAAAAQABADzAAAASAUAAAAA&#10;" stroked="f">
                <v:textbox inset="2.53958mm,1.2694mm,2.53958mm,1.2694mm">
                  <w:txbxContent>
                    <w:p w:rsidR="00C20C0F" w:rsidRDefault="00C20C0F" w:rsidP="00E54CAC">
                      <w:pPr>
                        <w:jc w:val="center"/>
                        <w:textDirection w:val="btLr"/>
                      </w:pPr>
                      <w:r>
                        <w:rPr>
                          <w:rFonts w:ascii="Arial" w:eastAsia="Arial" w:hAnsi="Arial" w:cs="Arial"/>
                          <w:i/>
                          <w:color w:val="000000"/>
                        </w:rPr>
                        <w:t xml:space="preserve">Figura 2. </w:t>
                      </w:r>
                      <w:r>
                        <w:rPr>
                          <w:rFonts w:ascii="Arial" w:eastAsia="Arial" w:hAnsi="Arial" w:cs="Arial"/>
                          <w:i/>
                          <w:color w:val="000000"/>
                          <w:sz w:val="20"/>
                        </w:rPr>
                        <w:t>Solicitud para recolección de residuos peligrosos biológico-infecciosos.</w:t>
                      </w:r>
                    </w:p>
                  </w:txbxContent>
                </v:textbox>
                <w10:wrap type="square"/>
              </v:rect>
            </w:pict>
          </mc:Fallback>
        </mc:AlternateContent>
      </w:r>
      <w:r>
        <w:br w:type="page"/>
      </w:r>
    </w:p>
    <w:p w:rsidR="00E54CAC" w:rsidRDefault="00E54CAC" w:rsidP="00E54CAC">
      <w:pPr>
        <w:spacing w:after="160" w:line="259" w:lineRule="auto"/>
      </w:pPr>
      <w:r>
        <w:rPr>
          <w:noProof/>
          <w:lang w:val="en-US"/>
        </w:rPr>
        <w:drawing>
          <wp:inline distT="0" distB="0" distL="0" distR="0" wp14:anchorId="193DB5F2" wp14:editId="6F79C640">
            <wp:extent cx="5965655" cy="7184288"/>
            <wp:effectExtent l="0" t="0" r="0" b="0"/>
            <wp:docPr id="109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57"/>
                    <a:srcRect/>
                    <a:stretch>
                      <a:fillRect/>
                    </a:stretch>
                  </pic:blipFill>
                  <pic:spPr>
                    <a:xfrm>
                      <a:off x="0" y="0"/>
                      <a:ext cx="5965655" cy="7184288"/>
                    </a:xfrm>
                    <a:prstGeom prst="rect">
                      <a:avLst/>
                    </a:prstGeom>
                    <a:ln/>
                  </pic:spPr>
                </pic:pic>
              </a:graphicData>
            </a:graphic>
          </wp:inline>
        </w:drawing>
      </w:r>
      <w:r>
        <w:t>[</w:t>
      </w:r>
      <w:r>
        <w:rPr>
          <w:vertAlign w:val="superscript"/>
        </w:rPr>
        <w:footnoteReference w:id="14"/>
      </w:r>
      <w:r>
        <w:t>]</w:t>
      </w:r>
    </w:p>
    <w:p w:rsidR="00E54CAC" w:rsidRDefault="00E54CAC" w:rsidP="00E54CAC">
      <w:pPr>
        <w:spacing w:after="160" w:line="259" w:lineRule="auto"/>
      </w:pPr>
      <w:r>
        <w:rPr>
          <w:noProof/>
          <w:lang w:val="en-US"/>
        </w:rPr>
        <mc:AlternateContent>
          <mc:Choice Requires="wps">
            <w:drawing>
              <wp:anchor distT="45720" distB="45720" distL="114300" distR="114300" simplePos="0" relativeHeight="251852800" behindDoc="0" locked="0" layoutInCell="1" hidden="0" allowOverlap="1" wp14:anchorId="2DB76E13" wp14:editId="7106AD3C">
                <wp:simplePos x="0" y="0"/>
                <wp:positionH relativeFrom="column">
                  <wp:posOffset>962025</wp:posOffset>
                </wp:positionH>
                <wp:positionV relativeFrom="paragraph">
                  <wp:posOffset>56515</wp:posOffset>
                </wp:positionV>
                <wp:extent cx="4171950" cy="295275"/>
                <wp:effectExtent l="0" t="0" r="0" b="0"/>
                <wp:wrapSquare wrapText="bothSides" distT="45720" distB="45720" distL="114300" distR="114300"/>
                <wp:docPr id="1094" name="Rectángulo 1094"/>
                <wp:cNvGraphicFramePr/>
                <a:graphic xmlns:a="http://schemas.openxmlformats.org/drawingml/2006/main">
                  <a:graphicData uri="http://schemas.microsoft.com/office/word/2010/wordprocessingShape">
                    <wps:wsp>
                      <wps:cNvSpPr/>
                      <wps:spPr>
                        <a:xfrm>
                          <a:off x="0" y="0"/>
                          <a:ext cx="4171950" cy="295275"/>
                        </a:xfrm>
                        <a:prstGeom prst="rect">
                          <a:avLst/>
                        </a:prstGeom>
                        <a:solidFill>
                          <a:srgbClr val="FFFFFF"/>
                        </a:solidFill>
                        <a:ln>
                          <a:noFill/>
                        </a:ln>
                      </wps:spPr>
                      <wps:txbx>
                        <w:txbxContent>
                          <w:p w:rsidR="00C20C0F" w:rsidRDefault="00C20C0F" w:rsidP="00E54CAC">
                            <w:pPr>
                              <w:jc w:val="center"/>
                              <w:textDirection w:val="btLr"/>
                            </w:pPr>
                            <w:r>
                              <w:rPr>
                                <w:rFonts w:ascii="Arial" w:eastAsia="Arial" w:hAnsi="Arial" w:cs="Arial"/>
                                <w:i/>
                                <w:color w:val="000000"/>
                              </w:rPr>
                              <w:t xml:space="preserve">Figura 3. </w:t>
                            </w:r>
                            <w:r>
                              <w:rPr>
                                <w:rFonts w:ascii="Arial" w:eastAsia="Arial" w:hAnsi="Arial" w:cs="Arial"/>
                                <w:i/>
                                <w:color w:val="000000"/>
                                <w:sz w:val="20"/>
                              </w:rPr>
                              <w:t>Solicitud para recolección de residuos químicos peligrosos.</w:t>
                            </w:r>
                          </w:p>
                        </w:txbxContent>
                      </wps:txbx>
                      <wps:bodyPr spcFirstLastPara="1" wrap="square" lIns="91425" tIns="45700" rIns="91425" bIns="45700" anchor="t" anchorCtr="0">
                        <a:noAutofit/>
                      </wps:bodyPr>
                    </wps:wsp>
                  </a:graphicData>
                </a:graphic>
              </wp:anchor>
            </w:drawing>
          </mc:Choice>
          <mc:Fallback>
            <w:pict>
              <v:rect w14:anchorId="2DB76E13" id="Rectángulo 1094" o:spid="_x0000_s1311" style="position:absolute;margin-left:75.75pt;margin-top:4.45pt;width:328.5pt;height:23.25pt;z-index:25185280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GuC5QEAAK0DAAAOAAAAZHJzL2Uyb0RvYy54bWysU12O0zAQfkfiDpbfaZKqobRqukK7KkJa&#10;QbULB3Acu7Hk2GbsNulxOAsXY+yEtuy+IfLgzJ+/zPfNZHM3dJqcBHhlTUWLWU6JMNw2yhwq+v3b&#10;7t0HSnxgpmHaGlHRs/D0bvv2zaZ3azG3rdWNAIIgxq97V9E2BLfOMs9b0TE/s04YTEoLHQvowiFr&#10;gPWI3ulsnufvs95C48By4T1GH8Yk3SZ8KQUPX6X0IhBdUewtpBPSWccz227Y+gDMtYpPbbB/6KJj&#10;yuBHL1APLDByBPUKqlMcrLcyzLjtMiul4iJxQDZF/oLNc8ucSFxQHO8uMvn/B8u/nPZAVIOzy1cL&#10;SgzrcEpPqNuvn+Zw1JakOMrUO7/G6me3h8nzaEbOg4QuvpENGZK054u0YgiEY3BRLItViRPgmJuv&#10;yvmyjNpn19sOfPgkbEeiUVHAFpKi7PTow1j6pyR+zFutmp3SOjlwqO81kBPDMe/SM6H/VaZNLDY2&#10;XhsRYySLzEYu0QpDPSRBlouIEUO1bc6oknd8p7C5R+bDngHuSUFJj7tTUf/jyEBQoj8bHM6qWMxL&#10;XLbkLMpljrzhNlPfZpjhrcWVDJSM5n1ICzr2+vEYrFRJgGsrU9O4E0nCaX/j0t36qer6l21/AwAA&#10;//8DAFBLAwQUAAYACAAAACEAP9GGNNsAAAAIAQAADwAAAGRycy9kb3ducmV2LnhtbEyPTUvEMBRF&#10;94L/ITzBnZOMTCTWpoMMuBPEOqLLtHm2ZfJRmrRT/73PlS4P93LfeeV+9Y4tOKUhBg3bjQCGoY12&#10;CJ2G49vTjQKWsgnWuBhQwzcm2FeXF6UpbDyHV1zq3DEaCakwGvqcx4Lz1PboTdrEEQNlX3HyJhNO&#10;HbeTOdO4d/xWiDvuzRDoQm9GPPTYnurZa3CL2L1/NPJT1UOHz6d1OcT5Revrq/XxAVjGNf+V4Vef&#10;1KEipybOwSbmiOVWUlWDugdGuRKKuNEg5Q54VfL/D1Q/AAAA//8DAFBLAQItABQABgAIAAAAIQC2&#10;gziS/gAAAOEBAAATAAAAAAAAAAAAAAAAAAAAAABbQ29udGVudF9UeXBlc10ueG1sUEsBAi0AFAAG&#10;AAgAAAAhADj9If/WAAAAlAEAAAsAAAAAAAAAAAAAAAAALwEAAF9yZWxzLy5yZWxzUEsBAi0AFAAG&#10;AAgAAAAhADa8a4LlAQAArQMAAA4AAAAAAAAAAAAAAAAALgIAAGRycy9lMm9Eb2MueG1sUEsBAi0A&#10;FAAGAAgAAAAhAD/RhjTbAAAACAEAAA8AAAAAAAAAAAAAAAAAPwQAAGRycy9kb3ducmV2LnhtbFBL&#10;BQYAAAAABAAEAPMAAABHBQAAAAA=&#10;" stroked="f">
                <v:textbox inset="2.53958mm,1.2694mm,2.53958mm,1.2694mm">
                  <w:txbxContent>
                    <w:p w:rsidR="00C20C0F" w:rsidRDefault="00C20C0F" w:rsidP="00E54CAC">
                      <w:pPr>
                        <w:jc w:val="center"/>
                        <w:textDirection w:val="btLr"/>
                      </w:pPr>
                      <w:r>
                        <w:rPr>
                          <w:rFonts w:ascii="Arial" w:eastAsia="Arial" w:hAnsi="Arial" w:cs="Arial"/>
                          <w:i/>
                          <w:color w:val="000000"/>
                        </w:rPr>
                        <w:t xml:space="preserve">Figura 3. </w:t>
                      </w:r>
                      <w:r>
                        <w:rPr>
                          <w:rFonts w:ascii="Arial" w:eastAsia="Arial" w:hAnsi="Arial" w:cs="Arial"/>
                          <w:i/>
                          <w:color w:val="000000"/>
                          <w:sz w:val="20"/>
                        </w:rPr>
                        <w:t>Solicitud para recolección de residuos químicos peligrosos.</w:t>
                      </w:r>
                    </w:p>
                  </w:txbxContent>
                </v:textbox>
                <w10:wrap type="square"/>
              </v:rect>
            </w:pict>
          </mc:Fallback>
        </mc:AlternateContent>
      </w:r>
      <w:r>
        <w:br w:type="page"/>
      </w:r>
    </w:p>
    <w:p w:rsidR="00E54CAC" w:rsidRPr="000A6792" w:rsidRDefault="00E54CAC" w:rsidP="00E54CAC">
      <w:pPr>
        <w:jc w:val="both"/>
        <w:rPr>
          <w:rFonts w:ascii="Arial" w:eastAsia="Arial" w:hAnsi="Arial" w:cs="Arial"/>
        </w:rPr>
      </w:pPr>
      <w:r w:rsidRPr="000A6792">
        <w:rPr>
          <w:rFonts w:ascii="Arial" w:eastAsia="Arial" w:hAnsi="Arial" w:cs="Arial"/>
        </w:rPr>
        <w:t xml:space="preserve">La segunda etapa, inicia una vez que se recibe el inventario, y se da inicio al proceso de la clasificación, cuantificación, registro y control de los diferentes residuos generados por área, con la finalidad de establecer el tratamiento y la disposición final de cada residuo. </w:t>
      </w:r>
    </w:p>
    <w:p w:rsidR="00E54CAC" w:rsidRDefault="00E54CAC" w:rsidP="00E54CAC">
      <w:pPr>
        <w:jc w:val="both"/>
        <w:rPr>
          <w:rFonts w:ascii="Arial" w:eastAsia="Arial" w:hAnsi="Arial" w:cs="Arial"/>
        </w:rPr>
      </w:pPr>
      <w:r w:rsidRPr="000A6792">
        <w:rPr>
          <w:rFonts w:ascii="Arial" w:eastAsia="Arial" w:hAnsi="Arial" w:cs="Arial"/>
        </w:rPr>
        <w:t xml:space="preserve">El siguiente paso es notificar que residuos se les aceptará en la recolecta, esto de acuerdo con sus características fisicoquímicas, y se les notificará mediante el formato de aceptación, el cual se les envía vía electrónica y contiene toda la información relacionada con el día de la entrega, dicho formato se muestra en la </w:t>
      </w:r>
      <w:r w:rsidRPr="000A6792">
        <w:rPr>
          <w:rFonts w:ascii="Arial" w:eastAsia="Arial" w:hAnsi="Arial" w:cs="Arial"/>
          <w:b/>
        </w:rPr>
        <w:t>Figura 5.</w:t>
      </w:r>
      <w:r w:rsidRPr="000A6792">
        <w:rPr>
          <w:rFonts w:ascii="Arial" w:eastAsia="Arial" w:hAnsi="Arial" w:cs="Arial"/>
        </w:rPr>
        <w:t xml:space="preserve"> todos los residuos deben estar correctamente clasificados y etiquetados, de acuerdo con el diagrama presentado en la </w:t>
      </w:r>
      <w:r w:rsidRPr="000A6792">
        <w:rPr>
          <w:rFonts w:ascii="Arial" w:eastAsia="Arial" w:hAnsi="Arial" w:cs="Arial"/>
          <w:b/>
          <w:bCs/>
        </w:rPr>
        <w:t>Figura 4</w:t>
      </w:r>
      <w:r w:rsidRPr="000A6792">
        <w:rPr>
          <w:rFonts w:ascii="Arial" w:eastAsia="Arial" w:hAnsi="Arial" w:cs="Arial"/>
        </w:rPr>
        <w:t>.</w:t>
      </w:r>
      <w:r>
        <w:rPr>
          <w:rFonts w:ascii="Arial" w:eastAsia="Arial" w:hAnsi="Arial" w:cs="Arial"/>
        </w:rPr>
        <w:t xml:space="preserve"> </w:t>
      </w:r>
    </w:p>
    <w:p w:rsidR="00E54CAC" w:rsidRDefault="00E54CAC" w:rsidP="00E54CAC">
      <w:pPr>
        <w:jc w:val="both"/>
        <w:rPr>
          <w:b/>
        </w:rPr>
      </w:pPr>
    </w:p>
    <w:p w:rsidR="00E54CAC" w:rsidRDefault="00E54CAC" w:rsidP="00E54CAC">
      <w:pPr>
        <w:jc w:val="center"/>
        <w:rPr>
          <w:b/>
        </w:rPr>
      </w:pPr>
      <w:r>
        <w:rPr>
          <w:b/>
          <w:noProof/>
          <w:lang w:val="en-US"/>
        </w:rPr>
        <w:drawing>
          <wp:inline distT="0" distB="0" distL="0" distR="0" wp14:anchorId="2830CAF0" wp14:editId="72E621A4">
            <wp:extent cx="3269413" cy="3851033"/>
            <wp:effectExtent l="0" t="0" r="0" b="0"/>
            <wp:docPr id="109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58"/>
                    <a:srcRect/>
                    <a:stretch>
                      <a:fillRect/>
                    </a:stretch>
                  </pic:blipFill>
                  <pic:spPr>
                    <a:xfrm>
                      <a:off x="0" y="0"/>
                      <a:ext cx="3269413" cy="3851033"/>
                    </a:xfrm>
                    <a:prstGeom prst="rect">
                      <a:avLst/>
                    </a:prstGeom>
                    <a:ln/>
                  </pic:spPr>
                </pic:pic>
              </a:graphicData>
            </a:graphic>
          </wp:inline>
        </w:drawing>
      </w:r>
      <w:r>
        <w:rPr>
          <w:b/>
        </w:rPr>
        <w:t>[</w:t>
      </w:r>
      <w:r>
        <w:rPr>
          <w:b/>
          <w:vertAlign w:val="superscript"/>
        </w:rPr>
        <w:footnoteReference w:id="15"/>
      </w:r>
      <w:r>
        <w:rPr>
          <w:b/>
        </w:rPr>
        <w:t>]</w:t>
      </w:r>
    </w:p>
    <w:p w:rsidR="00E54CAC" w:rsidRDefault="00E54CAC" w:rsidP="00E54CAC">
      <w:pPr>
        <w:jc w:val="center"/>
        <w:rPr>
          <w:b/>
        </w:rPr>
      </w:pPr>
      <w:r>
        <w:rPr>
          <w:noProof/>
          <w:lang w:val="en-US"/>
        </w:rPr>
        <mc:AlternateContent>
          <mc:Choice Requires="wps">
            <w:drawing>
              <wp:anchor distT="45720" distB="45720" distL="114300" distR="114300" simplePos="0" relativeHeight="251853824" behindDoc="0" locked="0" layoutInCell="1" hidden="0" allowOverlap="1" wp14:anchorId="01A58339" wp14:editId="45A7D1E3">
                <wp:simplePos x="0" y="0"/>
                <wp:positionH relativeFrom="column">
                  <wp:posOffset>1219200</wp:posOffset>
                </wp:positionH>
                <wp:positionV relativeFrom="paragraph">
                  <wp:posOffset>160020</wp:posOffset>
                </wp:positionV>
                <wp:extent cx="4171950" cy="295275"/>
                <wp:effectExtent l="0" t="0" r="0" b="0"/>
                <wp:wrapSquare wrapText="bothSides" distT="45720" distB="45720" distL="114300" distR="114300"/>
                <wp:docPr id="1095" name="Rectángulo 1095"/>
                <wp:cNvGraphicFramePr/>
                <a:graphic xmlns:a="http://schemas.openxmlformats.org/drawingml/2006/main">
                  <a:graphicData uri="http://schemas.microsoft.com/office/word/2010/wordprocessingShape">
                    <wps:wsp>
                      <wps:cNvSpPr/>
                      <wps:spPr>
                        <a:xfrm>
                          <a:off x="3264788" y="3637125"/>
                          <a:ext cx="4162425" cy="285750"/>
                        </a:xfrm>
                        <a:prstGeom prst="rect">
                          <a:avLst/>
                        </a:prstGeom>
                        <a:solidFill>
                          <a:srgbClr val="FFFFFF"/>
                        </a:solidFill>
                        <a:ln>
                          <a:noFill/>
                        </a:ln>
                      </wps:spPr>
                      <wps:txbx>
                        <w:txbxContent>
                          <w:p w:rsidR="00C20C0F" w:rsidRDefault="00C20C0F" w:rsidP="00E54CAC">
                            <w:pPr>
                              <w:jc w:val="center"/>
                              <w:textDirection w:val="btLr"/>
                            </w:pPr>
                            <w:r>
                              <w:rPr>
                                <w:rFonts w:ascii="Arial" w:eastAsia="Arial" w:hAnsi="Arial" w:cs="Arial"/>
                                <w:i/>
                                <w:color w:val="000000"/>
                              </w:rPr>
                              <w:t xml:space="preserve">Figura 4. </w:t>
                            </w:r>
                            <w:r>
                              <w:rPr>
                                <w:rFonts w:ascii="Arial" w:eastAsia="Arial" w:hAnsi="Arial" w:cs="Arial"/>
                                <w:i/>
                                <w:color w:val="000000"/>
                                <w:sz w:val="20"/>
                              </w:rPr>
                              <w:t>Diagrama de separación de residuos químicos.</w:t>
                            </w:r>
                          </w:p>
                        </w:txbxContent>
                      </wps:txbx>
                      <wps:bodyPr spcFirstLastPara="1" wrap="square" lIns="91425" tIns="45700" rIns="91425" bIns="45700" anchor="t" anchorCtr="0">
                        <a:noAutofit/>
                      </wps:bodyPr>
                    </wps:wsp>
                  </a:graphicData>
                </a:graphic>
              </wp:anchor>
            </w:drawing>
          </mc:Choice>
          <mc:Fallback>
            <w:pict>
              <v:rect w14:anchorId="01A58339" id="Rectángulo 1095" o:spid="_x0000_s1312" style="position:absolute;left:0;text-align:left;margin-left:96pt;margin-top:12.6pt;width:328.5pt;height:23.25pt;z-index:25185382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eGR8gEAALkDAAAOAAAAZHJzL2Uyb0RvYy54bWysU0tu2zAQ3RfoHQjua31iWY5hOSgSuCgQ&#10;tEbSHICmKIkARbJD2pKP07P0Yh1Sbuw2u6JaUPN5Gs57M1rfjb0iRwFOGl3RbJZSIjQ3tdRtRV++&#10;bT8sKXGe6Zopo0VFT8LRu837d+vBrkRuOqNqAQSLaLcabEU77+0qSRzvRM/czFihMdkY6JlHF9qk&#10;BjZg9V4leZouksFAbcFw4RxGH6Yk3cT6TSO4/9o0TniiKoq9+XhCPPfhTDZrtmqB2U7ycxvsH7ro&#10;mdR46WupB+YZOYB8U6qXHIwzjZ9x0yemaSQXkQOyydK/2Dx3zIrIBcVx9lUm9//K8i/HHRBZ4+zS&#10;24ISzXqc0hPq9vOHbg/KkBhHmQbrVoh+tjs4ew7NwHlsoA9vZEPGit7ki3m5xLmf0F7clFleTDKL&#10;0ROOgHm2yOcYJBwR+bIoiziH5FLJgvOfhOlJMCoK2E5Ulx0fncfbEfobEi52Rsl6K5WKDrT7ewXk&#10;yHDk2/iE6/GTP2BKB7A24bMpHSJJYDnxCpYf92MUp4wUQmhv6hMq5izfSmzukTm/Y4A7k1Ey4B5V&#10;1H0/MBCUqM8aB3WbRao+OvOiTHEL4Tqzv84wzTuD6+kpmcx7H5d16vXjwZtGRgEurZybxv2IJM+7&#10;HBbw2o+oyx+3+QUAAP//AwBQSwMEFAAGAAgAAAAhAB082uneAAAACQEAAA8AAABkcnMvZG93bnJl&#10;di54bWxMj8FOwzAQRO9I/IO1SNyo06ilaYhToUrckBApCI5OvCRR7XUUO2n4e5YTHGd2NPumOCzO&#10;ihnH0HtSsF4lIJAab3pqFbydnu4yECFqMtp6QgXfGOBQXl8VOjf+Qq84V7EVXEIh1wq6GIdcytB0&#10;6HRY+QGJb19+dDqyHFtpRn3hcmdlmiT30ume+EOnBzx22JyrySmwc7J5/6i3n1nVt/h8Xuajn16U&#10;ur1ZHh9ARFziXxh+8RkdSmaq/UQmCMt6n/KWqCDdpiA4kG32bNQKdusdyLKQ/xeUPwAAAP//AwBQ&#10;SwECLQAUAAYACAAAACEAtoM4kv4AAADhAQAAEwAAAAAAAAAAAAAAAAAAAAAAW0NvbnRlbnRfVHlw&#10;ZXNdLnhtbFBLAQItABQABgAIAAAAIQA4/SH/1gAAAJQBAAALAAAAAAAAAAAAAAAAAC8BAABfcmVs&#10;cy8ucmVsc1BLAQItABQABgAIAAAAIQDKzeGR8gEAALkDAAAOAAAAAAAAAAAAAAAAAC4CAABkcnMv&#10;ZTJvRG9jLnhtbFBLAQItABQABgAIAAAAIQAdPNrp3gAAAAkBAAAPAAAAAAAAAAAAAAAAAEwEAABk&#10;cnMvZG93bnJldi54bWxQSwUGAAAAAAQABADzAAAAVwUAAAAA&#10;" stroked="f">
                <v:textbox inset="2.53958mm,1.2694mm,2.53958mm,1.2694mm">
                  <w:txbxContent>
                    <w:p w:rsidR="00C20C0F" w:rsidRDefault="00C20C0F" w:rsidP="00E54CAC">
                      <w:pPr>
                        <w:jc w:val="center"/>
                        <w:textDirection w:val="btLr"/>
                      </w:pPr>
                      <w:r>
                        <w:rPr>
                          <w:rFonts w:ascii="Arial" w:eastAsia="Arial" w:hAnsi="Arial" w:cs="Arial"/>
                          <w:i/>
                          <w:color w:val="000000"/>
                        </w:rPr>
                        <w:t xml:space="preserve">Figura 4. </w:t>
                      </w:r>
                      <w:r>
                        <w:rPr>
                          <w:rFonts w:ascii="Arial" w:eastAsia="Arial" w:hAnsi="Arial" w:cs="Arial"/>
                          <w:i/>
                          <w:color w:val="000000"/>
                          <w:sz w:val="20"/>
                        </w:rPr>
                        <w:t>Diagrama de separación de residuos químicos.</w:t>
                      </w:r>
                    </w:p>
                  </w:txbxContent>
                </v:textbox>
                <w10:wrap type="square"/>
              </v:rect>
            </w:pict>
          </mc:Fallback>
        </mc:AlternateContent>
      </w:r>
    </w:p>
    <w:p w:rsidR="00E54CAC" w:rsidRDefault="00E54CAC" w:rsidP="00E54CAC">
      <w:pPr>
        <w:jc w:val="both"/>
        <w:rPr>
          <w:b/>
        </w:rPr>
      </w:pPr>
    </w:p>
    <w:p w:rsidR="00E54CAC" w:rsidRDefault="00E54CAC" w:rsidP="00E54CAC">
      <w:pPr>
        <w:jc w:val="both"/>
        <w:rPr>
          <w:b/>
        </w:rPr>
      </w:pPr>
    </w:p>
    <w:p w:rsidR="00E54CAC" w:rsidRDefault="00E54CAC" w:rsidP="00E54CAC">
      <w:pPr>
        <w:jc w:val="both"/>
        <w:rPr>
          <w:b/>
        </w:rPr>
      </w:pPr>
    </w:p>
    <w:p w:rsidR="00E54CAC" w:rsidRPr="000A6792" w:rsidRDefault="00E54CAC" w:rsidP="00E54CAC">
      <w:pPr>
        <w:jc w:val="both"/>
        <w:rPr>
          <w:rFonts w:ascii="Arial" w:hAnsi="Arial" w:cs="Arial"/>
        </w:rPr>
      </w:pPr>
      <w:r w:rsidRPr="000A6792">
        <w:rPr>
          <w:rFonts w:ascii="Arial" w:hAnsi="Arial" w:cs="Arial"/>
        </w:rPr>
        <w:t xml:space="preserve">La tercera etapa inicia una vez recibidos los residuos, se realiza el proceso de clasificación dentro de la caseta temporal para los residuos peligrosos, en este lugar se llevará a cabo el tratamiento y acondicionamiento de acuerdo a sus características fisicoquímicas para su disposición final a través de una empresa certificada en materia de manejo de residuos peligrosos. </w:t>
      </w:r>
    </w:p>
    <w:p w:rsidR="00E54CAC" w:rsidRPr="000A6792" w:rsidRDefault="00E54CAC" w:rsidP="00E54CAC">
      <w:pPr>
        <w:jc w:val="both"/>
        <w:rPr>
          <w:rFonts w:ascii="Arial" w:hAnsi="Arial" w:cs="Arial"/>
        </w:rPr>
      </w:pPr>
    </w:p>
    <w:p w:rsidR="00E54CAC" w:rsidRPr="000A6792" w:rsidRDefault="00E54CAC" w:rsidP="00E54CAC">
      <w:pPr>
        <w:jc w:val="both"/>
        <w:rPr>
          <w:rFonts w:ascii="Arial" w:hAnsi="Arial" w:cs="Arial"/>
        </w:rPr>
      </w:pPr>
      <w:r w:rsidRPr="000A6792">
        <w:rPr>
          <w:rFonts w:ascii="Arial" w:hAnsi="Arial" w:cs="Arial"/>
        </w:rPr>
        <w:t xml:space="preserve"> En la implementación de la metodología utilizada para el manejo adecuado de los diferentes residuos peligrosos químicos, biológicos y de manejo especial se consideraron los lineamientos establecidos en: NOM-087-SEMARNAT-SSA1-2002, </w:t>
      </w:r>
      <w:r w:rsidRPr="000A6792">
        <w:rPr>
          <w:rFonts w:ascii="Arial" w:eastAsia="Arial" w:hAnsi="Arial" w:cs="Arial"/>
        </w:rPr>
        <w:t>NOM-052-SEMARNAT-2005, NOM-054-SEMARNAT-1993.</w:t>
      </w:r>
    </w:p>
    <w:p w:rsidR="00E54CAC" w:rsidRDefault="00E54CAC" w:rsidP="00E54CAC">
      <w:pPr>
        <w:jc w:val="both"/>
      </w:pPr>
    </w:p>
    <w:p w:rsidR="00E54CAC" w:rsidRDefault="00E54CAC" w:rsidP="00E54CAC">
      <w:pPr>
        <w:jc w:val="center"/>
      </w:pPr>
      <w:r>
        <w:rPr>
          <w:noProof/>
          <w:lang w:val="en-US"/>
        </w:rPr>
        <w:drawing>
          <wp:inline distT="0" distB="0" distL="0" distR="0" wp14:anchorId="522BC370" wp14:editId="73F57A0C">
            <wp:extent cx="5346414" cy="6820602"/>
            <wp:effectExtent l="0" t="0" r="0" b="0"/>
            <wp:docPr id="110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59"/>
                    <a:srcRect/>
                    <a:stretch>
                      <a:fillRect/>
                    </a:stretch>
                  </pic:blipFill>
                  <pic:spPr>
                    <a:xfrm>
                      <a:off x="0" y="0"/>
                      <a:ext cx="5346414" cy="6820602"/>
                    </a:xfrm>
                    <a:prstGeom prst="rect">
                      <a:avLst/>
                    </a:prstGeom>
                    <a:ln/>
                  </pic:spPr>
                </pic:pic>
              </a:graphicData>
            </a:graphic>
          </wp:inline>
        </w:drawing>
      </w:r>
      <w:r>
        <w:t>[</w:t>
      </w:r>
      <w:r>
        <w:rPr>
          <w:vertAlign w:val="superscript"/>
        </w:rPr>
        <w:footnoteReference w:id="16"/>
      </w:r>
      <w:r>
        <w:t>]</w:t>
      </w:r>
    </w:p>
    <w:p w:rsidR="00E54CAC" w:rsidRDefault="00E54CAC" w:rsidP="00E54CAC">
      <w:pPr>
        <w:jc w:val="both"/>
      </w:pPr>
    </w:p>
    <w:p w:rsidR="00E54CAC" w:rsidRDefault="00E54CAC" w:rsidP="00E54CAC">
      <w:pPr>
        <w:spacing w:after="160" w:line="259" w:lineRule="auto"/>
      </w:pPr>
      <w:r>
        <w:rPr>
          <w:noProof/>
          <w:lang w:val="en-US"/>
        </w:rPr>
        <w:drawing>
          <wp:anchor distT="45720" distB="45720" distL="114300" distR="114300" simplePos="0" relativeHeight="251854848" behindDoc="0" locked="0" layoutInCell="1" hidden="0" allowOverlap="1" wp14:anchorId="2B5820D0" wp14:editId="6EEF882D">
            <wp:simplePos x="0" y="0"/>
            <wp:positionH relativeFrom="column">
              <wp:posOffset>981075</wp:posOffset>
            </wp:positionH>
            <wp:positionV relativeFrom="paragraph">
              <wp:posOffset>41910</wp:posOffset>
            </wp:positionV>
            <wp:extent cx="4171950" cy="285750"/>
            <wp:effectExtent l="0" t="0" r="0" b="0"/>
            <wp:wrapSquare wrapText="bothSides" distT="45720" distB="45720" distL="114300" distR="114300"/>
            <wp:docPr id="110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60"/>
                    <a:srcRect/>
                    <a:stretch>
                      <a:fillRect/>
                    </a:stretch>
                  </pic:blipFill>
                  <pic:spPr>
                    <a:xfrm>
                      <a:off x="0" y="0"/>
                      <a:ext cx="4171950" cy="285750"/>
                    </a:xfrm>
                    <a:prstGeom prst="rect">
                      <a:avLst/>
                    </a:prstGeom>
                    <a:ln/>
                  </pic:spPr>
                </pic:pic>
              </a:graphicData>
            </a:graphic>
          </wp:anchor>
        </w:drawing>
      </w:r>
      <w:r>
        <w:br w:type="page"/>
      </w:r>
    </w:p>
    <w:p w:rsidR="00E54CAC" w:rsidRPr="00202123" w:rsidRDefault="00E54CAC" w:rsidP="00E54CAC">
      <w:pPr>
        <w:pStyle w:val="Ttulo1"/>
        <w:keepLines w:val="0"/>
        <w:numPr>
          <w:ilvl w:val="0"/>
          <w:numId w:val="80"/>
        </w:numPr>
        <w:tabs>
          <w:tab w:val="left" w:pos="0"/>
        </w:tabs>
        <w:spacing w:before="0" w:after="0" w:line="360" w:lineRule="auto"/>
        <w:rPr>
          <w:rFonts w:ascii="Arial" w:eastAsia="Arial" w:hAnsi="Arial" w:cs="Arial"/>
          <w:i/>
          <w:sz w:val="24"/>
          <w:szCs w:val="24"/>
        </w:rPr>
      </w:pPr>
      <w:bookmarkStart w:id="483" w:name="_Toc50031501"/>
      <w:r w:rsidRPr="00202123">
        <w:rPr>
          <w:rFonts w:ascii="Arial" w:eastAsia="Arial" w:hAnsi="Arial" w:cs="Arial"/>
          <w:smallCaps/>
          <w:sz w:val="24"/>
          <w:szCs w:val="24"/>
        </w:rPr>
        <w:t xml:space="preserve">4. </w:t>
      </w:r>
      <w:r w:rsidRPr="00202123">
        <w:rPr>
          <w:rFonts w:ascii="Arial" w:eastAsia="Arial" w:hAnsi="Arial" w:cs="Arial"/>
          <w:sz w:val="24"/>
          <w:szCs w:val="24"/>
        </w:rPr>
        <w:t>Resultados y discusión</w:t>
      </w:r>
      <w:bookmarkEnd w:id="483"/>
    </w:p>
    <w:p w:rsidR="00E54CAC" w:rsidRDefault="00E54CAC" w:rsidP="00E54CAC">
      <w:pPr>
        <w:jc w:val="both"/>
        <w:rPr>
          <w:rFonts w:ascii="Arial" w:eastAsia="Arial" w:hAnsi="Arial" w:cs="Arial"/>
        </w:rPr>
      </w:pPr>
      <w:r>
        <w:rPr>
          <w:rFonts w:ascii="Arial" w:eastAsia="Arial" w:hAnsi="Arial" w:cs="Arial"/>
        </w:rPr>
        <w:t>De acuerdo con la clasificación realizada se obtuvieron los siguientes datos para el caso de los residuos biológico-infecciosos, químicos y especiales en el año 2019.</w:t>
      </w:r>
    </w:p>
    <w:p w:rsidR="00E54CAC" w:rsidRDefault="00E54CAC" w:rsidP="00E54CAC"/>
    <w:tbl>
      <w:tblPr>
        <w:tblpPr w:leftFromText="141" w:rightFromText="141" w:horzAnchor="margin" w:tblpXSpec="center" w:tblpY="1560"/>
        <w:tblW w:w="6889" w:type="dxa"/>
        <w:tblLayout w:type="fixed"/>
        <w:tblLook w:val="0400" w:firstRow="0" w:lastRow="0" w:firstColumn="0" w:lastColumn="0" w:noHBand="0" w:noVBand="1"/>
      </w:tblPr>
      <w:tblGrid>
        <w:gridCol w:w="1426"/>
        <w:gridCol w:w="1756"/>
        <w:gridCol w:w="1890"/>
        <w:gridCol w:w="1817"/>
      </w:tblGrid>
      <w:tr w:rsidR="00E54CAC" w:rsidTr="000533C7">
        <w:trPr>
          <w:trHeight w:val="339"/>
        </w:trPr>
        <w:tc>
          <w:tcPr>
            <w:tcW w:w="6889"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E54CAC" w:rsidRDefault="00E54CAC" w:rsidP="000533C7">
            <w:pPr>
              <w:jc w:val="center"/>
              <w:rPr>
                <w:rFonts w:ascii="Arial" w:eastAsia="Arial" w:hAnsi="Arial" w:cs="Arial"/>
                <w:sz w:val="22"/>
                <w:szCs w:val="22"/>
              </w:rPr>
            </w:pPr>
            <w:r>
              <w:rPr>
                <w:rFonts w:ascii="Arial" w:eastAsia="Arial" w:hAnsi="Arial" w:cs="Arial"/>
                <w:color w:val="000000"/>
                <w:sz w:val="22"/>
                <w:szCs w:val="22"/>
              </w:rPr>
              <w:t>42 colectas</w:t>
            </w:r>
          </w:p>
        </w:tc>
      </w:tr>
      <w:tr w:rsidR="00E54CAC" w:rsidTr="000533C7">
        <w:trPr>
          <w:trHeight w:val="389"/>
        </w:trPr>
        <w:tc>
          <w:tcPr>
            <w:tcW w:w="14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4CAC" w:rsidRDefault="00E54CAC" w:rsidP="000533C7">
            <w:pPr>
              <w:jc w:val="center"/>
              <w:rPr>
                <w:rFonts w:ascii="Arial" w:eastAsia="Arial" w:hAnsi="Arial" w:cs="Arial"/>
                <w:sz w:val="22"/>
                <w:szCs w:val="22"/>
              </w:rPr>
            </w:pPr>
            <w:r>
              <w:rPr>
                <w:rFonts w:ascii="Arial" w:eastAsia="Arial" w:hAnsi="Arial" w:cs="Arial"/>
                <w:color w:val="000000"/>
                <w:sz w:val="22"/>
                <w:szCs w:val="22"/>
              </w:rPr>
              <w:t>Patológicos</w:t>
            </w:r>
          </w:p>
        </w:tc>
        <w:tc>
          <w:tcPr>
            <w:tcW w:w="17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4CAC" w:rsidRDefault="00E54CAC" w:rsidP="000533C7">
            <w:pPr>
              <w:jc w:val="center"/>
              <w:rPr>
                <w:rFonts w:ascii="Arial" w:eastAsia="Arial" w:hAnsi="Arial" w:cs="Arial"/>
                <w:sz w:val="22"/>
                <w:szCs w:val="22"/>
              </w:rPr>
            </w:pPr>
            <w:r>
              <w:rPr>
                <w:rFonts w:ascii="Arial" w:eastAsia="Arial" w:hAnsi="Arial" w:cs="Arial"/>
                <w:color w:val="000000"/>
                <w:sz w:val="22"/>
                <w:szCs w:val="22"/>
              </w:rPr>
              <w:t>No anatómicos</w:t>
            </w:r>
          </w:p>
        </w:tc>
        <w:tc>
          <w:tcPr>
            <w:tcW w:w="1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E54CAC" w:rsidRDefault="00E54CAC" w:rsidP="000533C7">
            <w:pPr>
              <w:jc w:val="center"/>
              <w:rPr>
                <w:rFonts w:ascii="Arial" w:eastAsia="Arial" w:hAnsi="Arial" w:cs="Arial"/>
                <w:sz w:val="22"/>
                <w:szCs w:val="22"/>
              </w:rPr>
            </w:pPr>
            <w:r>
              <w:rPr>
                <w:rFonts w:ascii="Arial" w:eastAsia="Arial" w:hAnsi="Arial" w:cs="Arial"/>
                <w:color w:val="000000"/>
                <w:sz w:val="22"/>
                <w:szCs w:val="22"/>
              </w:rPr>
              <w:t>Cepas y cultivos</w:t>
            </w:r>
          </w:p>
        </w:tc>
        <w:tc>
          <w:tcPr>
            <w:tcW w:w="18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E54CAC" w:rsidRDefault="00E54CAC" w:rsidP="000533C7">
            <w:pPr>
              <w:jc w:val="center"/>
              <w:rPr>
                <w:rFonts w:ascii="Arial" w:eastAsia="Arial" w:hAnsi="Arial" w:cs="Arial"/>
                <w:sz w:val="22"/>
                <w:szCs w:val="22"/>
              </w:rPr>
            </w:pPr>
            <w:r>
              <w:rPr>
                <w:rFonts w:ascii="Arial" w:eastAsia="Arial" w:hAnsi="Arial" w:cs="Arial"/>
                <w:color w:val="000000"/>
                <w:sz w:val="22"/>
                <w:szCs w:val="22"/>
              </w:rPr>
              <w:t>Punzocortantes</w:t>
            </w:r>
          </w:p>
        </w:tc>
      </w:tr>
      <w:tr w:rsidR="00E54CAC" w:rsidTr="000533C7">
        <w:trPr>
          <w:trHeight w:val="277"/>
        </w:trPr>
        <w:tc>
          <w:tcPr>
            <w:tcW w:w="14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4CAC" w:rsidRDefault="00E54CAC" w:rsidP="000533C7">
            <w:pPr>
              <w:jc w:val="center"/>
              <w:rPr>
                <w:rFonts w:ascii="Arial" w:eastAsia="Arial" w:hAnsi="Arial" w:cs="Arial"/>
                <w:sz w:val="22"/>
                <w:szCs w:val="22"/>
              </w:rPr>
            </w:pPr>
            <w:r>
              <w:rPr>
                <w:rFonts w:ascii="Arial" w:eastAsia="Arial" w:hAnsi="Arial" w:cs="Arial"/>
                <w:color w:val="000000"/>
                <w:sz w:val="22"/>
                <w:szCs w:val="22"/>
              </w:rPr>
              <w:t>4989.4</w:t>
            </w:r>
          </w:p>
        </w:tc>
        <w:tc>
          <w:tcPr>
            <w:tcW w:w="17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4CAC" w:rsidRDefault="00E54CAC" w:rsidP="000533C7">
            <w:pPr>
              <w:jc w:val="center"/>
              <w:rPr>
                <w:rFonts w:ascii="Arial" w:eastAsia="Arial" w:hAnsi="Arial" w:cs="Arial"/>
                <w:sz w:val="22"/>
                <w:szCs w:val="22"/>
              </w:rPr>
            </w:pPr>
            <w:r>
              <w:rPr>
                <w:rFonts w:ascii="Arial" w:eastAsia="Arial" w:hAnsi="Arial" w:cs="Arial"/>
                <w:color w:val="000000"/>
                <w:sz w:val="22"/>
                <w:szCs w:val="22"/>
              </w:rPr>
              <w:t>2170.4</w:t>
            </w:r>
          </w:p>
        </w:tc>
        <w:tc>
          <w:tcPr>
            <w:tcW w:w="1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E54CAC" w:rsidRDefault="00E54CAC" w:rsidP="000533C7">
            <w:pPr>
              <w:jc w:val="center"/>
              <w:rPr>
                <w:rFonts w:ascii="Arial" w:eastAsia="Arial" w:hAnsi="Arial" w:cs="Arial"/>
                <w:sz w:val="22"/>
                <w:szCs w:val="22"/>
              </w:rPr>
            </w:pPr>
            <w:r>
              <w:rPr>
                <w:rFonts w:ascii="Arial" w:eastAsia="Arial" w:hAnsi="Arial" w:cs="Arial"/>
                <w:color w:val="000000"/>
                <w:sz w:val="22"/>
                <w:szCs w:val="22"/>
              </w:rPr>
              <w:t>1804.2</w:t>
            </w:r>
          </w:p>
        </w:tc>
        <w:tc>
          <w:tcPr>
            <w:tcW w:w="18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E54CAC" w:rsidRDefault="00E54CAC" w:rsidP="000533C7">
            <w:pPr>
              <w:jc w:val="center"/>
              <w:rPr>
                <w:rFonts w:ascii="Arial" w:eastAsia="Arial" w:hAnsi="Arial" w:cs="Arial"/>
                <w:sz w:val="22"/>
                <w:szCs w:val="22"/>
              </w:rPr>
            </w:pPr>
            <w:r>
              <w:rPr>
                <w:rFonts w:ascii="Arial" w:eastAsia="Arial" w:hAnsi="Arial" w:cs="Arial"/>
                <w:color w:val="000000"/>
                <w:sz w:val="22"/>
                <w:szCs w:val="22"/>
              </w:rPr>
              <w:t>248.5</w:t>
            </w:r>
          </w:p>
        </w:tc>
      </w:tr>
      <w:tr w:rsidR="00E54CAC" w:rsidTr="000533C7">
        <w:trPr>
          <w:trHeight w:val="391"/>
        </w:trPr>
        <w:tc>
          <w:tcPr>
            <w:tcW w:w="6889"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E54CAC" w:rsidRDefault="00E54CAC" w:rsidP="000533C7">
            <w:pPr>
              <w:jc w:val="center"/>
              <w:rPr>
                <w:rFonts w:ascii="Arial" w:eastAsia="Arial" w:hAnsi="Arial" w:cs="Arial"/>
                <w:sz w:val="22"/>
                <w:szCs w:val="22"/>
              </w:rPr>
            </w:pPr>
            <w:r>
              <w:rPr>
                <w:rFonts w:ascii="Arial" w:eastAsia="Arial" w:hAnsi="Arial" w:cs="Arial"/>
                <w:color w:val="000000"/>
                <w:sz w:val="22"/>
                <w:szCs w:val="22"/>
              </w:rPr>
              <w:t xml:space="preserve">Total: 9258.1Kg      </w:t>
            </w:r>
          </w:p>
        </w:tc>
      </w:tr>
    </w:tbl>
    <w:p w:rsidR="00E54CAC" w:rsidRDefault="00E54CAC" w:rsidP="00E54CAC">
      <w:pPr>
        <w:jc w:val="center"/>
        <w:rPr>
          <w:i/>
          <w:sz w:val="20"/>
          <w:szCs w:val="20"/>
        </w:rPr>
      </w:pPr>
      <w:r>
        <w:rPr>
          <w:i/>
          <w:sz w:val="20"/>
          <w:szCs w:val="20"/>
        </w:rPr>
        <w:t>Tabla 1. Datos obtenidos del Plan integral de gestión de residuos peligrosos para los RPBI.</w:t>
      </w:r>
    </w:p>
    <w:p w:rsidR="00E54CAC" w:rsidRDefault="00E54CAC" w:rsidP="00E54CAC"/>
    <w:p w:rsidR="00E54CAC" w:rsidRDefault="00E54CAC" w:rsidP="00E54CAC"/>
    <w:p w:rsidR="00E54CAC" w:rsidRDefault="00E54CAC" w:rsidP="00E54CAC"/>
    <w:p w:rsidR="00E54CAC" w:rsidRDefault="00E54CAC" w:rsidP="00E54CAC"/>
    <w:p w:rsidR="00E54CAC" w:rsidRDefault="00E54CAC" w:rsidP="00E54CAC"/>
    <w:p w:rsidR="00E54CAC" w:rsidRDefault="00E54CAC" w:rsidP="00E54CAC"/>
    <w:p w:rsidR="00E54CAC" w:rsidRDefault="00E54CAC" w:rsidP="00E54CAC"/>
    <w:p w:rsidR="00E54CAC" w:rsidRDefault="00E54CAC" w:rsidP="00E54CAC"/>
    <w:p w:rsidR="00E54CAC" w:rsidRDefault="00E54CAC" w:rsidP="00E54CAC"/>
    <w:p w:rsidR="00E54CAC" w:rsidRDefault="00E54CAC" w:rsidP="00E54CAC"/>
    <w:p w:rsidR="00E54CAC" w:rsidRDefault="00E54CAC" w:rsidP="00E54CAC">
      <w:pPr>
        <w:jc w:val="center"/>
        <w:rPr>
          <w:i/>
          <w:sz w:val="20"/>
          <w:szCs w:val="20"/>
        </w:rPr>
      </w:pPr>
      <w:r>
        <w:rPr>
          <w:i/>
          <w:sz w:val="20"/>
          <w:szCs w:val="20"/>
        </w:rPr>
        <w:t>Tabla 2. Datos obtenidos del Plan integral de gestión de residuos peligrosos para los residuos químicos.</w:t>
      </w:r>
    </w:p>
    <w:p w:rsidR="00E54CAC" w:rsidRDefault="00E54CAC" w:rsidP="00E54CAC"/>
    <w:tbl>
      <w:tblPr>
        <w:tblW w:w="939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984"/>
        <w:gridCol w:w="1600"/>
        <w:gridCol w:w="1203"/>
        <w:gridCol w:w="1203"/>
        <w:gridCol w:w="1203"/>
        <w:gridCol w:w="1200"/>
      </w:tblGrid>
      <w:tr w:rsidR="00E54CAC" w:rsidTr="000533C7">
        <w:trPr>
          <w:trHeight w:val="615"/>
        </w:trPr>
        <w:tc>
          <w:tcPr>
            <w:tcW w:w="2984" w:type="dxa"/>
            <w:vAlign w:val="center"/>
          </w:tcPr>
          <w:p w:rsidR="00E54CAC" w:rsidRDefault="00E54CAC" w:rsidP="000533C7">
            <w:pPr>
              <w:jc w:val="center"/>
              <w:rPr>
                <w:b/>
              </w:rPr>
            </w:pPr>
            <w:r>
              <w:rPr>
                <w:b/>
              </w:rPr>
              <w:t>RESIDUOS</w:t>
            </w:r>
          </w:p>
        </w:tc>
        <w:tc>
          <w:tcPr>
            <w:tcW w:w="1600" w:type="dxa"/>
            <w:vAlign w:val="center"/>
          </w:tcPr>
          <w:p w:rsidR="00E54CAC" w:rsidRDefault="00E54CAC" w:rsidP="000533C7">
            <w:pPr>
              <w:jc w:val="center"/>
              <w:rPr>
                <w:b/>
              </w:rPr>
            </w:pPr>
            <w:r>
              <w:rPr>
                <w:b/>
              </w:rPr>
              <w:t>Primera recolecta</w:t>
            </w:r>
          </w:p>
        </w:tc>
        <w:tc>
          <w:tcPr>
            <w:tcW w:w="1203" w:type="dxa"/>
            <w:vAlign w:val="center"/>
          </w:tcPr>
          <w:p w:rsidR="00E54CAC" w:rsidRDefault="00E54CAC" w:rsidP="000533C7">
            <w:pPr>
              <w:jc w:val="center"/>
              <w:rPr>
                <w:b/>
              </w:rPr>
            </w:pPr>
            <w:r>
              <w:rPr>
                <w:b/>
              </w:rPr>
              <w:t>Segunda Recolecta</w:t>
            </w:r>
          </w:p>
        </w:tc>
        <w:tc>
          <w:tcPr>
            <w:tcW w:w="1203" w:type="dxa"/>
            <w:vAlign w:val="center"/>
          </w:tcPr>
          <w:p w:rsidR="00E54CAC" w:rsidRDefault="00E54CAC" w:rsidP="000533C7">
            <w:pPr>
              <w:jc w:val="center"/>
              <w:rPr>
                <w:b/>
              </w:rPr>
            </w:pPr>
            <w:r>
              <w:rPr>
                <w:b/>
              </w:rPr>
              <w:t>Tercera Recolecta</w:t>
            </w:r>
          </w:p>
        </w:tc>
        <w:tc>
          <w:tcPr>
            <w:tcW w:w="1203" w:type="dxa"/>
            <w:vAlign w:val="center"/>
          </w:tcPr>
          <w:p w:rsidR="00E54CAC" w:rsidRDefault="00E54CAC" w:rsidP="000533C7">
            <w:pPr>
              <w:jc w:val="center"/>
              <w:rPr>
                <w:b/>
              </w:rPr>
            </w:pPr>
            <w:r>
              <w:rPr>
                <w:b/>
              </w:rPr>
              <w:t>Cuarta Recolecta</w:t>
            </w:r>
          </w:p>
        </w:tc>
        <w:tc>
          <w:tcPr>
            <w:tcW w:w="1200" w:type="dxa"/>
            <w:vAlign w:val="center"/>
          </w:tcPr>
          <w:p w:rsidR="00E54CAC" w:rsidRDefault="00E54CAC" w:rsidP="000533C7">
            <w:pPr>
              <w:jc w:val="center"/>
              <w:rPr>
                <w:b/>
              </w:rPr>
            </w:pPr>
            <w:r>
              <w:rPr>
                <w:b/>
              </w:rPr>
              <w:t>Total</w:t>
            </w:r>
          </w:p>
        </w:tc>
      </w:tr>
      <w:tr w:rsidR="00E54CAC" w:rsidTr="000533C7">
        <w:trPr>
          <w:trHeight w:val="300"/>
        </w:trPr>
        <w:tc>
          <w:tcPr>
            <w:tcW w:w="2984" w:type="dxa"/>
            <w:vAlign w:val="center"/>
          </w:tcPr>
          <w:p w:rsidR="00E54CAC" w:rsidRDefault="00E54CAC" w:rsidP="000533C7">
            <w:pPr>
              <w:jc w:val="center"/>
              <w:rPr>
                <w:sz w:val="20"/>
                <w:szCs w:val="20"/>
              </w:rPr>
            </w:pPr>
            <w:r>
              <w:rPr>
                <w:sz w:val="20"/>
                <w:szCs w:val="20"/>
              </w:rPr>
              <w:t>DISOLVENTES HALOGENADOS (L)</w:t>
            </w:r>
          </w:p>
        </w:tc>
        <w:tc>
          <w:tcPr>
            <w:tcW w:w="1600" w:type="dxa"/>
            <w:vAlign w:val="center"/>
          </w:tcPr>
          <w:p w:rsidR="00E54CAC" w:rsidRDefault="00E54CAC" w:rsidP="000533C7">
            <w:pPr>
              <w:jc w:val="center"/>
              <w:rPr>
                <w:sz w:val="20"/>
                <w:szCs w:val="20"/>
              </w:rPr>
            </w:pPr>
            <w:r>
              <w:rPr>
                <w:sz w:val="20"/>
                <w:szCs w:val="20"/>
              </w:rPr>
              <w:t>5</w:t>
            </w:r>
          </w:p>
        </w:tc>
        <w:tc>
          <w:tcPr>
            <w:tcW w:w="1203" w:type="dxa"/>
            <w:vAlign w:val="center"/>
          </w:tcPr>
          <w:p w:rsidR="00E54CAC" w:rsidRDefault="00E54CAC" w:rsidP="000533C7">
            <w:pPr>
              <w:jc w:val="center"/>
              <w:rPr>
                <w:sz w:val="20"/>
                <w:szCs w:val="20"/>
              </w:rPr>
            </w:pPr>
          </w:p>
        </w:tc>
        <w:tc>
          <w:tcPr>
            <w:tcW w:w="1203" w:type="dxa"/>
            <w:vAlign w:val="center"/>
          </w:tcPr>
          <w:p w:rsidR="00E54CAC" w:rsidRDefault="00E54CAC" w:rsidP="000533C7">
            <w:pPr>
              <w:jc w:val="center"/>
              <w:rPr>
                <w:sz w:val="20"/>
                <w:szCs w:val="20"/>
              </w:rPr>
            </w:pPr>
            <w:r>
              <w:rPr>
                <w:sz w:val="20"/>
                <w:szCs w:val="20"/>
              </w:rPr>
              <w:t>10</w:t>
            </w:r>
          </w:p>
        </w:tc>
        <w:tc>
          <w:tcPr>
            <w:tcW w:w="1203" w:type="dxa"/>
            <w:vAlign w:val="center"/>
          </w:tcPr>
          <w:p w:rsidR="00E54CAC" w:rsidRDefault="00E54CAC" w:rsidP="000533C7">
            <w:pPr>
              <w:jc w:val="center"/>
              <w:rPr>
                <w:sz w:val="20"/>
                <w:szCs w:val="20"/>
              </w:rPr>
            </w:pPr>
            <w:r>
              <w:rPr>
                <w:sz w:val="20"/>
                <w:szCs w:val="20"/>
              </w:rPr>
              <w:t>8.75</w:t>
            </w:r>
          </w:p>
        </w:tc>
        <w:tc>
          <w:tcPr>
            <w:tcW w:w="1200" w:type="dxa"/>
            <w:vAlign w:val="center"/>
          </w:tcPr>
          <w:p w:rsidR="00E54CAC" w:rsidRDefault="00E54CAC" w:rsidP="000533C7">
            <w:pPr>
              <w:jc w:val="center"/>
              <w:rPr>
                <w:sz w:val="20"/>
                <w:szCs w:val="20"/>
              </w:rPr>
            </w:pPr>
            <w:r>
              <w:rPr>
                <w:sz w:val="20"/>
                <w:szCs w:val="20"/>
              </w:rPr>
              <w:t>23.75</w:t>
            </w:r>
          </w:p>
        </w:tc>
      </w:tr>
      <w:tr w:rsidR="00E54CAC" w:rsidTr="000533C7">
        <w:trPr>
          <w:trHeight w:val="315"/>
        </w:trPr>
        <w:tc>
          <w:tcPr>
            <w:tcW w:w="2984" w:type="dxa"/>
            <w:vAlign w:val="center"/>
          </w:tcPr>
          <w:p w:rsidR="00E54CAC" w:rsidRDefault="00E54CAC" w:rsidP="000533C7">
            <w:pPr>
              <w:jc w:val="center"/>
              <w:rPr>
                <w:sz w:val="20"/>
                <w:szCs w:val="20"/>
              </w:rPr>
            </w:pPr>
            <w:r>
              <w:rPr>
                <w:sz w:val="20"/>
                <w:szCs w:val="20"/>
              </w:rPr>
              <w:t>ENVASES CONTAMINADOS (Kg)</w:t>
            </w:r>
          </w:p>
        </w:tc>
        <w:tc>
          <w:tcPr>
            <w:tcW w:w="1600" w:type="dxa"/>
            <w:vAlign w:val="center"/>
          </w:tcPr>
          <w:p w:rsidR="00E54CAC" w:rsidRDefault="00E54CAC" w:rsidP="000533C7">
            <w:pPr>
              <w:jc w:val="center"/>
              <w:rPr>
                <w:sz w:val="20"/>
                <w:szCs w:val="20"/>
              </w:rPr>
            </w:pPr>
            <w:r>
              <w:rPr>
                <w:sz w:val="20"/>
                <w:szCs w:val="20"/>
              </w:rPr>
              <w:t>132</w:t>
            </w:r>
          </w:p>
        </w:tc>
        <w:tc>
          <w:tcPr>
            <w:tcW w:w="1203" w:type="dxa"/>
            <w:vAlign w:val="center"/>
          </w:tcPr>
          <w:p w:rsidR="00E54CAC" w:rsidRDefault="00E54CAC" w:rsidP="000533C7">
            <w:pPr>
              <w:jc w:val="center"/>
              <w:rPr>
                <w:sz w:val="20"/>
                <w:szCs w:val="20"/>
              </w:rPr>
            </w:pPr>
            <w:r>
              <w:rPr>
                <w:sz w:val="20"/>
                <w:szCs w:val="20"/>
              </w:rPr>
              <w:t>82.25</w:t>
            </w:r>
          </w:p>
        </w:tc>
        <w:tc>
          <w:tcPr>
            <w:tcW w:w="1203" w:type="dxa"/>
            <w:vAlign w:val="center"/>
          </w:tcPr>
          <w:p w:rsidR="00E54CAC" w:rsidRDefault="00E54CAC" w:rsidP="000533C7">
            <w:pPr>
              <w:jc w:val="center"/>
              <w:rPr>
                <w:sz w:val="20"/>
                <w:szCs w:val="20"/>
              </w:rPr>
            </w:pPr>
            <w:r>
              <w:rPr>
                <w:sz w:val="20"/>
                <w:szCs w:val="20"/>
              </w:rPr>
              <w:t>100.7</w:t>
            </w:r>
          </w:p>
        </w:tc>
        <w:tc>
          <w:tcPr>
            <w:tcW w:w="1203" w:type="dxa"/>
            <w:vAlign w:val="center"/>
          </w:tcPr>
          <w:p w:rsidR="00E54CAC" w:rsidRDefault="00E54CAC" w:rsidP="000533C7">
            <w:pPr>
              <w:jc w:val="center"/>
              <w:rPr>
                <w:sz w:val="20"/>
                <w:szCs w:val="20"/>
              </w:rPr>
            </w:pPr>
            <w:r>
              <w:rPr>
                <w:sz w:val="20"/>
                <w:szCs w:val="20"/>
              </w:rPr>
              <w:t>111.15</w:t>
            </w:r>
          </w:p>
        </w:tc>
        <w:tc>
          <w:tcPr>
            <w:tcW w:w="1200" w:type="dxa"/>
            <w:vAlign w:val="center"/>
          </w:tcPr>
          <w:p w:rsidR="00E54CAC" w:rsidRDefault="00E54CAC" w:rsidP="000533C7">
            <w:pPr>
              <w:jc w:val="center"/>
              <w:rPr>
                <w:sz w:val="20"/>
                <w:szCs w:val="20"/>
              </w:rPr>
            </w:pPr>
            <w:r>
              <w:rPr>
                <w:sz w:val="20"/>
                <w:szCs w:val="20"/>
              </w:rPr>
              <w:t>426.1</w:t>
            </w:r>
          </w:p>
        </w:tc>
      </w:tr>
      <w:tr w:rsidR="00E54CAC" w:rsidTr="000533C7">
        <w:trPr>
          <w:trHeight w:val="300"/>
        </w:trPr>
        <w:tc>
          <w:tcPr>
            <w:tcW w:w="2984" w:type="dxa"/>
            <w:vAlign w:val="center"/>
          </w:tcPr>
          <w:p w:rsidR="00E54CAC" w:rsidRDefault="00E54CAC" w:rsidP="000533C7">
            <w:pPr>
              <w:jc w:val="center"/>
              <w:rPr>
                <w:sz w:val="20"/>
                <w:szCs w:val="20"/>
              </w:rPr>
            </w:pPr>
            <w:r>
              <w:rPr>
                <w:sz w:val="20"/>
                <w:szCs w:val="20"/>
              </w:rPr>
              <w:t>SOLIDOS ORGÁNICOS (kg)</w:t>
            </w:r>
          </w:p>
        </w:tc>
        <w:tc>
          <w:tcPr>
            <w:tcW w:w="1600" w:type="dxa"/>
            <w:vAlign w:val="center"/>
          </w:tcPr>
          <w:p w:rsidR="00E54CAC" w:rsidRDefault="00E54CAC" w:rsidP="000533C7">
            <w:pPr>
              <w:jc w:val="center"/>
              <w:rPr>
                <w:sz w:val="20"/>
                <w:szCs w:val="20"/>
              </w:rPr>
            </w:pPr>
            <w:r>
              <w:rPr>
                <w:sz w:val="20"/>
                <w:szCs w:val="20"/>
              </w:rPr>
              <w:t>50.6</w:t>
            </w:r>
          </w:p>
        </w:tc>
        <w:tc>
          <w:tcPr>
            <w:tcW w:w="1203" w:type="dxa"/>
            <w:vAlign w:val="center"/>
          </w:tcPr>
          <w:p w:rsidR="00E54CAC" w:rsidRDefault="00E54CAC" w:rsidP="000533C7">
            <w:pPr>
              <w:jc w:val="center"/>
              <w:rPr>
                <w:sz w:val="20"/>
                <w:szCs w:val="20"/>
              </w:rPr>
            </w:pPr>
            <w:r>
              <w:rPr>
                <w:sz w:val="20"/>
                <w:szCs w:val="20"/>
              </w:rPr>
              <w:t>39.5</w:t>
            </w:r>
          </w:p>
        </w:tc>
        <w:tc>
          <w:tcPr>
            <w:tcW w:w="1203" w:type="dxa"/>
            <w:vAlign w:val="center"/>
          </w:tcPr>
          <w:p w:rsidR="00E54CAC" w:rsidRDefault="00E54CAC" w:rsidP="000533C7">
            <w:pPr>
              <w:jc w:val="center"/>
              <w:rPr>
                <w:sz w:val="20"/>
                <w:szCs w:val="20"/>
              </w:rPr>
            </w:pPr>
            <w:r>
              <w:rPr>
                <w:sz w:val="20"/>
                <w:szCs w:val="20"/>
              </w:rPr>
              <w:t>55.85</w:t>
            </w:r>
          </w:p>
        </w:tc>
        <w:tc>
          <w:tcPr>
            <w:tcW w:w="1203" w:type="dxa"/>
            <w:vAlign w:val="center"/>
          </w:tcPr>
          <w:p w:rsidR="00E54CAC" w:rsidRDefault="00E54CAC" w:rsidP="000533C7">
            <w:pPr>
              <w:jc w:val="center"/>
              <w:rPr>
                <w:sz w:val="20"/>
                <w:szCs w:val="20"/>
              </w:rPr>
            </w:pPr>
            <w:r>
              <w:rPr>
                <w:sz w:val="20"/>
                <w:szCs w:val="20"/>
              </w:rPr>
              <w:t>77.6</w:t>
            </w:r>
          </w:p>
        </w:tc>
        <w:tc>
          <w:tcPr>
            <w:tcW w:w="1200" w:type="dxa"/>
            <w:vAlign w:val="center"/>
          </w:tcPr>
          <w:p w:rsidR="00E54CAC" w:rsidRDefault="00E54CAC" w:rsidP="000533C7">
            <w:pPr>
              <w:jc w:val="center"/>
              <w:rPr>
                <w:sz w:val="20"/>
                <w:szCs w:val="20"/>
              </w:rPr>
            </w:pPr>
            <w:r>
              <w:rPr>
                <w:sz w:val="20"/>
                <w:szCs w:val="20"/>
              </w:rPr>
              <w:t>223.55</w:t>
            </w:r>
          </w:p>
        </w:tc>
      </w:tr>
      <w:tr w:rsidR="00E54CAC" w:rsidTr="000533C7">
        <w:trPr>
          <w:trHeight w:val="300"/>
        </w:trPr>
        <w:tc>
          <w:tcPr>
            <w:tcW w:w="2984" w:type="dxa"/>
            <w:vAlign w:val="center"/>
          </w:tcPr>
          <w:p w:rsidR="00E54CAC" w:rsidRDefault="00E54CAC" w:rsidP="000533C7">
            <w:pPr>
              <w:jc w:val="center"/>
              <w:rPr>
                <w:sz w:val="20"/>
                <w:szCs w:val="20"/>
              </w:rPr>
            </w:pPr>
            <w:r>
              <w:rPr>
                <w:sz w:val="20"/>
                <w:szCs w:val="20"/>
              </w:rPr>
              <w:t>DISOLVENTES NO HALOGENADOS (L)</w:t>
            </w:r>
          </w:p>
        </w:tc>
        <w:tc>
          <w:tcPr>
            <w:tcW w:w="1600" w:type="dxa"/>
            <w:vAlign w:val="center"/>
          </w:tcPr>
          <w:p w:rsidR="00E54CAC" w:rsidRDefault="00E54CAC" w:rsidP="000533C7">
            <w:pPr>
              <w:jc w:val="center"/>
              <w:rPr>
                <w:sz w:val="20"/>
                <w:szCs w:val="20"/>
              </w:rPr>
            </w:pPr>
            <w:r>
              <w:rPr>
                <w:sz w:val="20"/>
                <w:szCs w:val="20"/>
              </w:rPr>
              <w:t>113</w:t>
            </w:r>
          </w:p>
        </w:tc>
        <w:tc>
          <w:tcPr>
            <w:tcW w:w="1203" w:type="dxa"/>
            <w:vAlign w:val="center"/>
          </w:tcPr>
          <w:p w:rsidR="00E54CAC" w:rsidRDefault="00E54CAC" w:rsidP="000533C7">
            <w:pPr>
              <w:jc w:val="center"/>
              <w:rPr>
                <w:sz w:val="20"/>
                <w:szCs w:val="20"/>
              </w:rPr>
            </w:pPr>
            <w:r>
              <w:rPr>
                <w:sz w:val="20"/>
                <w:szCs w:val="20"/>
              </w:rPr>
              <w:t>175</w:t>
            </w:r>
          </w:p>
        </w:tc>
        <w:tc>
          <w:tcPr>
            <w:tcW w:w="1203" w:type="dxa"/>
            <w:vAlign w:val="center"/>
          </w:tcPr>
          <w:p w:rsidR="00E54CAC" w:rsidRDefault="00E54CAC" w:rsidP="000533C7">
            <w:pPr>
              <w:jc w:val="center"/>
              <w:rPr>
                <w:sz w:val="20"/>
                <w:szCs w:val="20"/>
              </w:rPr>
            </w:pPr>
            <w:r>
              <w:rPr>
                <w:sz w:val="20"/>
                <w:szCs w:val="20"/>
              </w:rPr>
              <w:t>203</w:t>
            </w:r>
          </w:p>
        </w:tc>
        <w:tc>
          <w:tcPr>
            <w:tcW w:w="1203" w:type="dxa"/>
            <w:vAlign w:val="center"/>
          </w:tcPr>
          <w:p w:rsidR="00E54CAC" w:rsidRDefault="00E54CAC" w:rsidP="000533C7">
            <w:pPr>
              <w:jc w:val="center"/>
              <w:rPr>
                <w:sz w:val="20"/>
                <w:szCs w:val="20"/>
              </w:rPr>
            </w:pPr>
            <w:r>
              <w:rPr>
                <w:sz w:val="20"/>
                <w:szCs w:val="20"/>
              </w:rPr>
              <w:t>40</w:t>
            </w:r>
          </w:p>
        </w:tc>
        <w:tc>
          <w:tcPr>
            <w:tcW w:w="1200" w:type="dxa"/>
            <w:vAlign w:val="center"/>
          </w:tcPr>
          <w:p w:rsidR="00E54CAC" w:rsidRDefault="00E54CAC" w:rsidP="000533C7">
            <w:pPr>
              <w:jc w:val="center"/>
              <w:rPr>
                <w:sz w:val="20"/>
                <w:szCs w:val="20"/>
              </w:rPr>
            </w:pPr>
            <w:r>
              <w:rPr>
                <w:sz w:val="20"/>
                <w:szCs w:val="20"/>
              </w:rPr>
              <w:t>531</w:t>
            </w:r>
          </w:p>
        </w:tc>
      </w:tr>
      <w:tr w:rsidR="00E54CAC" w:rsidTr="000533C7">
        <w:trPr>
          <w:trHeight w:val="300"/>
        </w:trPr>
        <w:tc>
          <w:tcPr>
            <w:tcW w:w="2984" w:type="dxa"/>
            <w:vAlign w:val="center"/>
          </w:tcPr>
          <w:p w:rsidR="00E54CAC" w:rsidRDefault="00E54CAC" w:rsidP="000533C7">
            <w:pPr>
              <w:jc w:val="center"/>
              <w:rPr>
                <w:sz w:val="20"/>
                <w:szCs w:val="20"/>
              </w:rPr>
            </w:pPr>
            <w:r>
              <w:rPr>
                <w:sz w:val="20"/>
                <w:szCs w:val="20"/>
              </w:rPr>
              <w:t>BROMURO DE ETIDIO (L)</w:t>
            </w:r>
          </w:p>
        </w:tc>
        <w:tc>
          <w:tcPr>
            <w:tcW w:w="1600" w:type="dxa"/>
            <w:vAlign w:val="center"/>
          </w:tcPr>
          <w:p w:rsidR="00E54CAC" w:rsidRDefault="00E54CAC" w:rsidP="000533C7">
            <w:pPr>
              <w:jc w:val="center"/>
              <w:rPr>
                <w:sz w:val="20"/>
                <w:szCs w:val="20"/>
              </w:rPr>
            </w:pPr>
            <w:r>
              <w:rPr>
                <w:sz w:val="20"/>
                <w:szCs w:val="20"/>
              </w:rPr>
              <w:t>20</w:t>
            </w:r>
          </w:p>
        </w:tc>
        <w:tc>
          <w:tcPr>
            <w:tcW w:w="1203" w:type="dxa"/>
            <w:vAlign w:val="center"/>
          </w:tcPr>
          <w:p w:rsidR="00E54CAC" w:rsidRDefault="00E54CAC" w:rsidP="000533C7">
            <w:pPr>
              <w:jc w:val="center"/>
              <w:rPr>
                <w:sz w:val="20"/>
                <w:szCs w:val="20"/>
              </w:rPr>
            </w:pPr>
            <w:r>
              <w:rPr>
                <w:sz w:val="20"/>
                <w:szCs w:val="20"/>
              </w:rPr>
              <w:t>5</w:t>
            </w:r>
          </w:p>
        </w:tc>
        <w:tc>
          <w:tcPr>
            <w:tcW w:w="1203" w:type="dxa"/>
            <w:vAlign w:val="center"/>
          </w:tcPr>
          <w:p w:rsidR="00E54CAC" w:rsidRDefault="00E54CAC" w:rsidP="000533C7">
            <w:pPr>
              <w:jc w:val="center"/>
              <w:rPr>
                <w:sz w:val="20"/>
                <w:szCs w:val="20"/>
              </w:rPr>
            </w:pPr>
            <w:r>
              <w:rPr>
                <w:sz w:val="20"/>
                <w:szCs w:val="20"/>
              </w:rPr>
              <w:t>50.25</w:t>
            </w:r>
          </w:p>
        </w:tc>
        <w:tc>
          <w:tcPr>
            <w:tcW w:w="1203" w:type="dxa"/>
            <w:vAlign w:val="center"/>
          </w:tcPr>
          <w:p w:rsidR="00E54CAC" w:rsidRDefault="00E54CAC" w:rsidP="000533C7">
            <w:pPr>
              <w:jc w:val="center"/>
              <w:rPr>
                <w:sz w:val="20"/>
                <w:szCs w:val="20"/>
              </w:rPr>
            </w:pPr>
            <w:r>
              <w:rPr>
                <w:sz w:val="20"/>
                <w:szCs w:val="20"/>
              </w:rPr>
              <w:t>33.3</w:t>
            </w:r>
          </w:p>
        </w:tc>
        <w:tc>
          <w:tcPr>
            <w:tcW w:w="1200" w:type="dxa"/>
            <w:vAlign w:val="center"/>
          </w:tcPr>
          <w:p w:rsidR="00E54CAC" w:rsidRDefault="00E54CAC" w:rsidP="000533C7">
            <w:pPr>
              <w:jc w:val="center"/>
              <w:rPr>
                <w:sz w:val="20"/>
                <w:szCs w:val="20"/>
              </w:rPr>
            </w:pPr>
            <w:r>
              <w:rPr>
                <w:sz w:val="20"/>
                <w:szCs w:val="20"/>
              </w:rPr>
              <w:t>108.55</w:t>
            </w:r>
          </w:p>
        </w:tc>
      </w:tr>
      <w:tr w:rsidR="00E54CAC" w:rsidTr="000533C7">
        <w:trPr>
          <w:trHeight w:val="300"/>
        </w:trPr>
        <w:tc>
          <w:tcPr>
            <w:tcW w:w="2984" w:type="dxa"/>
            <w:vAlign w:val="center"/>
          </w:tcPr>
          <w:p w:rsidR="00E54CAC" w:rsidRDefault="00E54CAC" w:rsidP="000533C7">
            <w:pPr>
              <w:jc w:val="center"/>
              <w:rPr>
                <w:sz w:val="20"/>
                <w:szCs w:val="20"/>
              </w:rPr>
            </w:pPr>
            <w:r>
              <w:rPr>
                <w:sz w:val="20"/>
                <w:szCs w:val="20"/>
              </w:rPr>
              <w:t>ÁCIDOS CON TRAZAS DE METAL (L)</w:t>
            </w:r>
          </w:p>
        </w:tc>
        <w:tc>
          <w:tcPr>
            <w:tcW w:w="1600" w:type="dxa"/>
            <w:vAlign w:val="center"/>
          </w:tcPr>
          <w:p w:rsidR="00E54CAC" w:rsidRDefault="00E54CAC" w:rsidP="000533C7">
            <w:pPr>
              <w:jc w:val="center"/>
              <w:rPr>
                <w:sz w:val="20"/>
                <w:szCs w:val="20"/>
              </w:rPr>
            </w:pPr>
            <w:r>
              <w:rPr>
                <w:sz w:val="20"/>
                <w:szCs w:val="20"/>
              </w:rPr>
              <w:t>44</w:t>
            </w:r>
          </w:p>
        </w:tc>
        <w:tc>
          <w:tcPr>
            <w:tcW w:w="1203" w:type="dxa"/>
            <w:vAlign w:val="center"/>
          </w:tcPr>
          <w:p w:rsidR="00E54CAC" w:rsidRDefault="00E54CAC" w:rsidP="000533C7">
            <w:pPr>
              <w:jc w:val="center"/>
              <w:rPr>
                <w:sz w:val="20"/>
                <w:szCs w:val="20"/>
              </w:rPr>
            </w:pPr>
          </w:p>
        </w:tc>
        <w:tc>
          <w:tcPr>
            <w:tcW w:w="1203" w:type="dxa"/>
            <w:vAlign w:val="center"/>
          </w:tcPr>
          <w:p w:rsidR="00E54CAC" w:rsidRDefault="00E54CAC" w:rsidP="000533C7">
            <w:pPr>
              <w:jc w:val="center"/>
              <w:rPr>
                <w:sz w:val="20"/>
                <w:szCs w:val="20"/>
              </w:rPr>
            </w:pPr>
          </w:p>
        </w:tc>
        <w:tc>
          <w:tcPr>
            <w:tcW w:w="1203" w:type="dxa"/>
            <w:vAlign w:val="center"/>
          </w:tcPr>
          <w:p w:rsidR="00E54CAC" w:rsidRDefault="00E54CAC" w:rsidP="000533C7">
            <w:pPr>
              <w:jc w:val="center"/>
              <w:rPr>
                <w:sz w:val="20"/>
                <w:szCs w:val="20"/>
              </w:rPr>
            </w:pPr>
            <w:r>
              <w:rPr>
                <w:sz w:val="20"/>
                <w:szCs w:val="20"/>
              </w:rPr>
              <w:t>5</w:t>
            </w:r>
          </w:p>
        </w:tc>
        <w:tc>
          <w:tcPr>
            <w:tcW w:w="1200" w:type="dxa"/>
            <w:vAlign w:val="center"/>
          </w:tcPr>
          <w:p w:rsidR="00E54CAC" w:rsidRDefault="00E54CAC" w:rsidP="000533C7">
            <w:pPr>
              <w:jc w:val="center"/>
              <w:rPr>
                <w:sz w:val="20"/>
                <w:szCs w:val="20"/>
              </w:rPr>
            </w:pPr>
            <w:r>
              <w:rPr>
                <w:sz w:val="20"/>
                <w:szCs w:val="20"/>
              </w:rPr>
              <w:t>49</w:t>
            </w:r>
          </w:p>
        </w:tc>
      </w:tr>
      <w:tr w:rsidR="00E54CAC" w:rsidTr="000533C7">
        <w:trPr>
          <w:trHeight w:val="300"/>
        </w:trPr>
        <w:tc>
          <w:tcPr>
            <w:tcW w:w="2984" w:type="dxa"/>
            <w:vAlign w:val="center"/>
          </w:tcPr>
          <w:p w:rsidR="00E54CAC" w:rsidRDefault="00E54CAC" w:rsidP="000533C7">
            <w:pPr>
              <w:jc w:val="center"/>
              <w:rPr>
                <w:sz w:val="20"/>
                <w:szCs w:val="20"/>
              </w:rPr>
            </w:pPr>
            <w:r>
              <w:rPr>
                <w:sz w:val="20"/>
                <w:szCs w:val="20"/>
              </w:rPr>
              <w:t>MEZCLA DE ÁCIDOS (L)</w:t>
            </w:r>
          </w:p>
        </w:tc>
        <w:tc>
          <w:tcPr>
            <w:tcW w:w="1600" w:type="dxa"/>
            <w:vAlign w:val="center"/>
          </w:tcPr>
          <w:p w:rsidR="00E54CAC" w:rsidRDefault="00E54CAC" w:rsidP="000533C7">
            <w:pPr>
              <w:jc w:val="center"/>
              <w:rPr>
                <w:sz w:val="20"/>
                <w:szCs w:val="20"/>
              </w:rPr>
            </w:pPr>
          </w:p>
        </w:tc>
        <w:tc>
          <w:tcPr>
            <w:tcW w:w="1203" w:type="dxa"/>
            <w:vAlign w:val="center"/>
          </w:tcPr>
          <w:p w:rsidR="00E54CAC" w:rsidRDefault="00E54CAC" w:rsidP="000533C7">
            <w:pPr>
              <w:jc w:val="center"/>
              <w:rPr>
                <w:sz w:val="20"/>
                <w:szCs w:val="20"/>
              </w:rPr>
            </w:pPr>
          </w:p>
        </w:tc>
        <w:tc>
          <w:tcPr>
            <w:tcW w:w="1203" w:type="dxa"/>
            <w:vAlign w:val="center"/>
          </w:tcPr>
          <w:p w:rsidR="00E54CAC" w:rsidRDefault="00E54CAC" w:rsidP="000533C7">
            <w:pPr>
              <w:jc w:val="center"/>
              <w:rPr>
                <w:sz w:val="20"/>
                <w:szCs w:val="20"/>
              </w:rPr>
            </w:pPr>
            <w:r>
              <w:rPr>
                <w:sz w:val="20"/>
                <w:szCs w:val="20"/>
              </w:rPr>
              <w:t>10</w:t>
            </w:r>
          </w:p>
        </w:tc>
        <w:tc>
          <w:tcPr>
            <w:tcW w:w="1203" w:type="dxa"/>
            <w:vAlign w:val="center"/>
          </w:tcPr>
          <w:p w:rsidR="00E54CAC" w:rsidRDefault="00E54CAC" w:rsidP="000533C7">
            <w:pPr>
              <w:jc w:val="center"/>
              <w:rPr>
                <w:sz w:val="20"/>
                <w:szCs w:val="20"/>
              </w:rPr>
            </w:pPr>
          </w:p>
        </w:tc>
        <w:tc>
          <w:tcPr>
            <w:tcW w:w="1200" w:type="dxa"/>
            <w:vAlign w:val="center"/>
          </w:tcPr>
          <w:p w:rsidR="00E54CAC" w:rsidRDefault="00E54CAC" w:rsidP="000533C7">
            <w:pPr>
              <w:jc w:val="center"/>
              <w:rPr>
                <w:sz w:val="20"/>
                <w:szCs w:val="20"/>
              </w:rPr>
            </w:pPr>
            <w:r>
              <w:rPr>
                <w:sz w:val="20"/>
                <w:szCs w:val="20"/>
              </w:rPr>
              <w:t>10</w:t>
            </w:r>
          </w:p>
        </w:tc>
      </w:tr>
      <w:tr w:rsidR="00E54CAC" w:rsidTr="000533C7">
        <w:trPr>
          <w:trHeight w:val="300"/>
        </w:trPr>
        <w:tc>
          <w:tcPr>
            <w:tcW w:w="2984" w:type="dxa"/>
            <w:vAlign w:val="center"/>
          </w:tcPr>
          <w:p w:rsidR="00E54CAC" w:rsidRDefault="00E54CAC" w:rsidP="000533C7">
            <w:pPr>
              <w:jc w:val="center"/>
              <w:rPr>
                <w:sz w:val="20"/>
                <w:szCs w:val="20"/>
              </w:rPr>
            </w:pPr>
            <w:r>
              <w:rPr>
                <w:sz w:val="20"/>
                <w:szCs w:val="20"/>
              </w:rPr>
              <w:t>REVELADOR (L)</w:t>
            </w:r>
          </w:p>
        </w:tc>
        <w:tc>
          <w:tcPr>
            <w:tcW w:w="1600" w:type="dxa"/>
            <w:vAlign w:val="center"/>
          </w:tcPr>
          <w:p w:rsidR="00E54CAC" w:rsidRDefault="00E54CAC" w:rsidP="000533C7">
            <w:pPr>
              <w:jc w:val="center"/>
              <w:rPr>
                <w:sz w:val="20"/>
                <w:szCs w:val="20"/>
              </w:rPr>
            </w:pPr>
            <w:r>
              <w:rPr>
                <w:sz w:val="20"/>
                <w:szCs w:val="20"/>
              </w:rPr>
              <w:t>20</w:t>
            </w:r>
          </w:p>
        </w:tc>
        <w:tc>
          <w:tcPr>
            <w:tcW w:w="1203" w:type="dxa"/>
            <w:vAlign w:val="center"/>
          </w:tcPr>
          <w:p w:rsidR="00E54CAC" w:rsidRDefault="00E54CAC" w:rsidP="000533C7">
            <w:pPr>
              <w:jc w:val="center"/>
              <w:rPr>
                <w:sz w:val="20"/>
                <w:szCs w:val="20"/>
              </w:rPr>
            </w:pPr>
            <w:r>
              <w:rPr>
                <w:sz w:val="20"/>
                <w:szCs w:val="20"/>
              </w:rPr>
              <w:t>5</w:t>
            </w:r>
          </w:p>
        </w:tc>
        <w:tc>
          <w:tcPr>
            <w:tcW w:w="1203" w:type="dxa"/>
            <w:vAlign w:val="center"/>
          </w:tcPr>
          <w:p w:rsidR="00E54CAC" w:rsidRDefault="00E54CAC" w:rsidP="000533C7">
            <w:pPr>
              <w:jc w:val="center"/>
              <w:rPr>
                <w:sz w:val="20"/>
                <w:szCs w:val="20"/>
              </w:rPr>
            </w:pPr>
            <w:r>
              <w:rPr>
                <w:sz w:val="20"/>
                <w:szCs w:val="20"/>
              </w:rPr>
              <w:t>50</w:t>
            </w:r>
          </w:p>
        </w:tc>
        <w:tc>
          <w:tcPr>
            <w:tcW w:w="1203" w:type="dxa"/>
            <w:vAlign w:val="center"/>
          </w:tcPr>
          <w:p w:rsidR="00E54CAC" w:rsidRDefault="00E54CAC" w:rsidP="000533C7">
            <w:pPr>
              <w:jc w:val="center"/>
              <w:rPr>
                <w:sz w:val="20"/>
                <w:szCs w:val="20"/>
              </w:rPr>
            </w:pPr>
            <w:r>
              <w:rPr>
                <w:sz w:val="20"/>
                <w:szCs w:val="20"/>
              </w:rPr>
              <w:t>10</w:t>
            </w:r>
          </w:p>
        </w:tc>
        <w:tc>
          <w:tcPr>
            <w:tcW w:w="1200" w:type="dxa"/>
            <w:vAlign w:val="center"/>
          </w:tcPr>
          <w:p w:rsidR="00E54CAC" w:rsidRDefault="00E54CAC" w:rsidP="000533C7">
            <w:pPr>
              <w:jc w:val="center"/>
              <w:rPr>
                <w:sz w:val="20"/>
                <w:szCs w:val="20"/>
              </w:rPr>
            </w:pPr>
            <w:r>
              <w:rPr>
                <w:sz w:val="20"/>
                <w:szCs w:val="20"/>
              </w:rPr>
              <w:t>85</w:t>
            </w:r>
          </w:p>
        </w:tc>
      </w:tr>
      <w:tr w:rsidR="00E54CAC" w:rsidTr="000533C7">
        <w:trPr>
          <w:trHeight w:val="300"/>
        </w:trPr>
        <w:tc>
          <w:tcPr>
            <w:tcW w:w="2984" w:type="dxa"/>
            <w:vAlign w:val="center"/>
          </w:tcPr>
          <w:p w:rsidR="00E54CAC" w:rsidRDefault="00E54CAC" w:rsidP="000533C7">
            <w:pPr>
              <w:jc w:val="center"/>
              <w:rPr>
                <w:sz w:val="20"/>
                <w:szCs w:val="20"/>
              </w:rPr>
            </w:pPr>
            <w:r>
              <w:rPr>
                <w:sz w:val="20"/>
                <w:szCs w:val="20"/>
              </w:rPr>
              <w:t>FIJADOR (L)</w:t>
            </w:r>
          </w:p>
        </w:tc>
        <w:tc>
          <w:tcPr>
            <w:tcW w:w="1600" w:type="dxa"/>
            <w:vAlign w:val="center"/>
          </w:tcPr>
          <w:p w:rsidR="00E54CAC" w:rsidRDefault="00E54CAC" w:rsidP="000533C7">
            <w:pPr>
              <w:jc w:val="center"/>
              <w:rPr>
                <w:sz w:val="20"/>
                <w:szCs w:val="20"/>
              </w:rPr>
            </w:pPr>
          </w:p>
        </w:tc>
        <w:tc>
          <w:tcPr>
            <w:tcW w:w="1203" w:type="dxa"/>
            <w:vAlign w:val="center"/>
          </w:tcPr>
          <w:p w:rsidR="00E54CAC" w:rsidRDefault="00E54CAC" w:rsidP="000533C7">
            <w:pPr>
              <w:jc w:val="center"/>
              <w:rPr>
                <w:sz w:val="20"/>
                <w:szCs w:val="20"/>
              </w:rPr>
            </w:pPr>
          </w:p>
        </w:tc>
        <w:tc>
          <w:tcPr>
            <w:tcW w:w="1203" w:type="dxa"/>
            <w:vAlign w:val="center"/>
          </w:tcPr>
          <w:p w:rsidR="00E54CAC" w:rsidRDefault="00E54CAC" w:rsidP="000533C7">
            <w:pPr>
              <w:jc w:val="center"/>
              <w:rPr>
                <w:sz w:val="20"/>
                <w:szCs w:val="20"/>
              </w:rPr>
            </w:pPr>
            <w:r>
              <w:rPr>
                <w:sz w:val="20"/>
                <w:szCs w:val="20"/>
              </w:rPr>
              <w:t>20</w:t>
            </w:r>
          </w:p>
        </w:tc>
        <w:tc>
          <w:tcPr>
            <w:tcW w:w="1203" w:type="dxa"/>
            <w:vAlign w:val="center"/>
          </w:tcPr>
          <w:p w:rsidR="00E54CAC" w:rsidRDefault="00E54CAC" w:rsidP="000533C7">
            <w:pPr>
              <w:jc w:val="center"/>
              <w:rPr>
                <w:sz w:val="20"/>
                <w:szCs w:val="20"/>
              </w:rPr>
            </w:pPr>
          </w:p>
        </w:tc>
        <w:tc>
          <w:tcPr>
            <w:tcW w:w="1200" w:type="dxa"/>
            <w:vAlign w:val="center"/>
          </w:tcPr>
          <w:p w:rsidR="00E54CAC" w:rsidRDefault="00E54CAC" w:rsidP="000533C7">
            <w:pPr>
              <w:jc w:val="center"/>
              <w:rPr>
                <w:sz w:val="20"/>
                <w:szCs w:val="20"/>
              </w:rPr>
            </w:pPr>
            <w:r>
              <w:rPr>
                <w:sz w:val="20"/>
                <w:szCs w:val="20"/>
              </w:rPr>
              <w:t>20</w:t>
            </w:r>
          </w:p>
        </w:tc>
      </w:tr>
      <w:tr w:rsidR="00E54CAC" w:rsidTr="000533C7">
        <w:trPr>
          <w:trHeight w:val="476"/>
        </w:trPr>
        <w:tc>
          <w:tcPr>
            <w:tcW w:w="2984" w:type="dxa"/>
            <w:vMerge w:val="restart"/>
            <w:vAlign w:val="center"/>
          </w:tcPr>
          <w:p w:rsidR="00E54CAC" w:rsidRDefault="00E54CAC" w:rsidP="000533C7">
            <w:pPr>
              <w:jc w:val="center"/>
              <w:rPr>
                <w:sz w:val="20"/>
                <w:szCs w:val="20"/>
              </w:rPr>
            </w:pPr>
            <w:r>
              <w:rPr>
                <w:sz w:val="20"/>
                <w:szCs w:val="20"/>
              </w:rPr>
              <w:t>SOLIDOS INORGÁNICOS (kg)</w:t>
            </w:r>
          </w:p>
        </w:tc>
        <w:tc>
          <w:tcPr>
            <w:tcW w:w="1600" w:type="dxa"/>
            <w:vMerge w:val="restart"/>
            <w:vAlign w:val="center"/>
          </w:tcPr>
          <w:p w:rsidR="00E54CAC" w:rsidRDefault="00E54CAC" w:rsidP="000533C7">
            <w:pPr>
              <w:jc w:val="center"/>
              <w:rPr>
                <w:sz w:val="20"/>
                <w:szCs w:val="20"/>
              </w:rPr>
            </w:pPr>
          </w:p>
        </w:tc>
        <w:tc>
          <w:tcPr>
            <w:tcW w:w="1203" w:type="dxa"/>
            <w:vMerge w:val="restart"/>
            <w:vAlign w:val="center"/>
          </w:tcPr>
          <w:p w:rsidR="00E54CAC" w:rsidRDefault="00E54CAC" w:rsidP="000533C7">
            <w:pPr>
              <w:jc w:val="center"/>
              <w:rPr>
                <w:sz w:val="20"/>
                <w:szCs w:val="20"/>
              </w:rPr>
            </w:pPr>
            <w:r>
              <w:rPr>
                <w:sz w:val="20"/>
                <w:szCs w:val="20"/>
              </w:rPr>
              <w:t>13.55</w:t>
            </w:r>
          </w:p>
        </w:tc>
        <w:tc>
          <w:tcPr>
            <w:tcW w:w="1203" w:type="dxa"/>
            <w:vMerge w:val="restart"/>
            <w:vAlign w:val="center"/>
          </w:tcPr>
          <w:p w:rsidR="00E54CAC" w:rsidRDefault="00E54CAC" w:rsidP="000533C7">
            <w:pPr>
              <w:jc w:val="center"/>
              <w:rPr>
                <w:sz w:val="20"/>
                <w:szCs w:val="20"/>
              </w:rPr>
            </w:pPr>
          </w:p>
        </w:tc>
        <w:tc>
          <w:tcPr>
            <w:tcW w:w="1203" w:type="dxa"/>
            <w:vMerge w:val="restart"/>
            <w:vAlign w:val="center"/>
          </w:tcPr>
          <w:p w:rsidR="00E54CAC" w:rsidRDefault="00E54CAC" w:rsidP="000533C7">
            <w:pPr>
              <w:jc w:val="center"/>
              <w:rPr>
                <w:sz w:val="20"/>
                <w:szCs w:val="20"/>
              </w:rPr>
            </w:pPr>
            <w:r>
              <w:rPr>
                <w:sz w:val="20"/>
                <w:szCs w:val="20"/>
              </w:rPr>
              <w:t>5.85</w:t>
            </w:r>
          </w:p>
        </w:tc>
        <w:tc>
          <w:tcPr>
            <w:tcW w:w="1200" w:type="dxa"/>
            <w:vMerge w:val="restart"/>
            <w:vAlign w:val="center"/>
          </w:tcPr>
          <w:p w:rsidR="00E54CAC" w:rsidRDefault="00E54CAC" w:rsidP="000533C7">
            <w:pPr>
              <w:jc w:val="center"/>
              <w:rPr>
                <w:sz w:val="20"/>
                <w:szCs w:val="20"/>
              </w:rPr>
            </w:pPr>
            <w:r>
              <w:rPr>
                <w:sz w:val="20"/>
                <w:szCs w:val="20"/>
              </w:rPr>
              <w:t>19.4</w:t>
            </w:r>
          </w:p>
        </w:tc>
      </w:tr>
      <w:tr w:rsidR="00E54CAC" w:rsidTr="000533C7">
        <w:trPr>
          <w:trHeight w:val="464"/>
        </w:trPr>
        <w:tc>
          <w:tcPr>
            <w:tcW w:w="2984" w:type="dxa"/>
            <w:vMerge/>
            <w:vAlign w:val="center"/>
          </w:tcPr>
          <w:p w:rsidR="00E54CAC" w:rsidRDefault="00E54CAC" w:rsidP="000533C7">
            <w:pPr>
              <w:widowControl w:val="0"/>
              <w:pBdr>
                <w:top w:val="nil"/>
                <w:left w:val="nil"/>
                <w:bottom w:val="nil"/>
                <w:right w:val="nil"/>
                <w:between w:val="nil"/>
              </w:pBdr>
              <w:spacing w:line="276" w:lineRule="auto"/>
              <w:jc w:val="center"/>
              <w:rPr>
                <w:sz w:val="20"/>
                <w:szCs w:val="20"/>
              </w:rPr>
            </w:pPr>
          </w:p>
        </w:tc>
        <w:tc>
          <w:tcPr>
            <w:tcW w:w="1600" w:type="dxa"/>
            <w:vMerge/>
            <w:vAlign w:val="center"/>
          </w:tcPr>
          <w:p w:rsidR="00E54CAC" w:rsidRDefault="00E54CAC" w:rsidP="000533C7">
            <w:pPr>
              <w:widowControl w:val="0"/>
              <w:pBdr>
                <w:top w:val="nil"/>
                <w:left w:val="nil"/>
                <w:bottom w:val="nil"/>
                <w:right w:val="nil"/>
                <w:between w:val="nil"/>
              </w:pBdr>
              <w:spacing w:line="276" w:lineRule="auto"/>
              <w:jc w:val="center"/>
              <w:rPr>
                <w:sz w:val="20"/>
                <w:szCs w:val="20"/>
              </w:rPr>
            </w:pPr>
          </w:p>
        </w:tc>
        <w:tc>
          <w:tcPr>
            <w:tcW w:w="1203" w:type="dxa"/>
            <w:vMerge/>
            <w:vAlign w:val="center"/>
          </w:tcPr>
          <w:p w:rsidR="00E54CAC" w:rsidRDefault="00E54CAC" w:rsidP="000533C7">
            <w:pPr>
              <w:widowControl w:val="0"/>
              <w:pBdr>
                <w:top w:val="nil"/>
                <w:left w:val="nil"/>
                <w:bottom w:val="nil"/>
                <w:right w:val="nil"/>
                <w:between w:val="nil"/>
              </w:pBdr>
              <w:spacing w:line="276" w:lineRule="auto"/>
              <w:jc w:val="center"/>
              <w:rPr>
                <w:sz w:val="20"/>
                <w:szCs w:val="20"/>
              </w:rPr>
            </w:pPr>
          </w:p>
        </w:tc>
        <w:tc>
          <w:tcPr>
            <w:tcW w:w="1203" w:type="dxa"/>
            <w:vMerge/>
            <w:vAlign w:val="center"/>
          </w:tcPr>
          <w:p w:rsidR="00E54CAC" w:rsidRDefault="00E54CAC" w:rsidP="000533C7">
            <w:pPr>
              <w:widowControl w:val="0"/>
              <w:pBdr>
                <w:top w:val="nil"/>
                <w:left w:val="nil"/>
                <w:bottom w:val="nil"/>
                <w:right w:val="nil"/>
                <w:between w:val="nil"/>
              </w:pBdr>
              <w:spacing w:line="276" w:lineRule="auto"/>
              <w:jc w:val="center"/>
              <w:rPr>
                <w:sz w:val="20"/>
                <w:szCs w:val="20"/>
              </w:rPr>
            </w:pPr>
          </w:p>
        </w:tc>
        <w:tc>
          <w:tcPr>
            <w:tcW w:w="1203" w:type="dxa"/>
            <w:vMerge/>
            <w:vAlign w:val="center"/>
          </w:tcPr>
          <w:p w:rsidR="00E54CAC" w:rsidRDefault="00E54CAC" w:rsidP="000533C7">
            <w:pPr>
              <w:widowControl w:val="0"/>
              <w:pBdr>
                <w:top w:val="nil"/>
                <w:left w:val="nil"/>
                <w:bottom w:val="nil"/>
                <w:right w:val="nil"/>
                <w:between w:val="nil"/>
              </w:pBdr>
              <w:spacing w:line="276" w:lineRule="auto"/>
              <w:jc w:val="center"/>
              <w:rPr>
                <w:sz w:val="20"/>
                <w:szCs w:val="20"/>
              </w:rPr>
            </w:pPr>
          </w:p>
        </w:tc>
        <w:tc>
          <w:tcPr>
            <w:tcW w:w="1200" w:type="dxa"/>
            <w:vMerge/>
            <w:vAlign w:val="center"/>
          </w:tcPr>
          <w:p w:rsidR="00E54CAC" w:rsidRDefault="00E54CAC" w:rsidP="000533C7">
            <w:pPr>
              <w:widowControl w:val="0"/>
              <w:pBdr>
                <w:top w:val="nil"/>
                <w:left w:val="nil"/>
                <w:bottom w:val="nil"/>
                <w:right w:val="nil"/>
                <w:between w:val="nil"/>
              </w:pBdr>
              <w:spacing w:line="276" w:lineRule="auto"/>
              <w:jc w:val="center"/>
              <w:rPr>
                <w:sz w:val="20"/>
                <w:szCs w:val="20"/>
              </w:rPr>
            </w:pPr>
          </w:p>
        </w:tc>
      </w:tr>
      <w:tr w:rsidR="00E54CAC" w:rsidTr="000533C7">
        <w:trPr>
          <w:trHeight w:val="610"/>
        </w:trPr>
        <w:tc>
          <w:tcPr>
            <w:tcW w:w="2984" w:type="dxa"/>
            <w:vAlign w:val="center"/>
          </w:tcPr>
          <w:p w:rsidR="00E54CAC" w:rsidRDefault="00E54CAC" w:rsidP="000533C7">
            <w:pPr>
              <w:jc w:val="center"/>
              <w:rPr>
                <w:sz w:val="20"/>
                <w:szCs w:val="20"/>
              </w:rPr>
            </w:pPr>
            <w:r>
              <w:rPr>
                <w:sz w:val="20"/>
                <w:szCs w:val="20"/>
              </w:rPr>
              <w:t>QUÍMICOS CADUCOS (kg)</w:t>
            </w:r>
          </w:p>
        </w:tc>
        <w:tc>
          <w:tcPr>
            <w:tcW w:w="1600" w:type="dxa"/>
            <w:vAlign w:val="center"/>
          </w:tcPr>
          <w:p w:rsidR="00E54CAC" w:rsidRDefault="00E54CAC" w:rsidP="000533C7">
            <w:pPr>
              <w:jc w:val="center"/>
              <w:rPr>
                <w:sz w:val="20"/>
                <w:szCs w:val="20"/>
              </w:rPr>
            </w:pPr>
          </w:p>
          <w:p w:rsidR="00E54CAC" w:rsidRDefault="00E54CAC" w:rsidP="000533C7">
            <w:pPr>
              <w:jc w:val="center"/>
              <w:rPr>
                <w:sz w:val="20"/>
                <w:szCs w:val="20"/>
              </w:rPr>
            </w:pPr>
            <w:r>
              <w:rPr>
                <w:sz w:val="20"/>
                <w:szCs w:val="20"/>
              </w:rPr>
              <w:t>56.5</w:t>
            </w:r>
          </w:p>
        </w:tc>
        <w:tc>
          <w:tcPr>
            <w:tcW w:w="1203" w:type="dxa"/>
            <w:vAlign w:val="center"/>
          </w:tcPr>
          <w:p w:rsidR="00E54CAC" w:rsidRDefault="00E54CAC" w:rsidP="000533C7">
            <w:pPr>
              <w:jc w:val="center"/>
              <w:rPr>
                <w:sz w:val="20"/>
                <w:szCs w:val="20"/>
              </w:rPr>
            </w:pPr>
          </w:p>
          <w:p w:rsidR="00E54CAC" w:rsidRDefault="00E54CAC" w:rsidP="000533C7">
            <w:pPr>
              <w:jc w:val="center"/>
              <w:rPr>
                <w:sz w:val="20"/>
                <w:szCs w:val="20"/>
              </w:rPr>
            </w:pPr>
            <w:r>
              <w:rPr>
                <w:sz w:val="20"/>
                <w:szCs w:val="20"/>
              </w:rPr>
              <w:t>13.25</w:t>
            </w:r>
          </w:p>
        </w:tc>
        <w:tc>
          <w:tcPr>
            <w:tcW w:w="1203" w:type="dxa"/>
            <w:vAlign w:val="center"/>
          </w:tcPr>
          <w:p w:rsidR="00E54CAC" w:rsidRDefault="00E54CAC" w:rsidP="000533C7">
            <w:pPr>
              <w:jc w:val="center"/>
              <w:rPr>
                <w:sz w:val="20"/>
                <w:szCs w:val="20"/>
              </w:rPr>
            </w:pPr>
          </w:p>
          <w:p w:rsidR="00E54CAC" w:rsidRDefault="00E54CAC" w:rsidP="000533C7">
            <w:pPr>
              <w:jc w:val="center"/>
              <w:rPr>
                <w:sz w:val="20"/>
                <w:szCs w:val="20"/>
              </w:rPr>
            </w:pPr>
            <w:r>
              <w:rPr>
                <w:sz w:val="20"/>
                <w:szCs w:val="20"/>
              </w:rPr>
              <w:t>38.7</w:t>
            </w:r>
          </w:p>
        </w:tc>
        <w:tc>
          <w:tcPr>
            <w:tcW w:w="1203" w:type="dxa"/>
            <w:vAlign w:val="center"/>
          </w:tcPr>
          <w:p w:rsidR="00E54CAC" w:rsidRDefault="00E54CAC" w:rsidP="000533C7">
            <w:pPr>
              <w:jc w:val="center"/>
              <w:rPr>
                <w:sz w:val="20"/>
                <w:szCs w:val="20"/>
              </w:rPr>
            </w:pPr>
            <w:r>
              <w:rPr>
                <w:sz w:val="20"/>
                <w:szCs w:val="20"/>
              </w:rPr>
              <w:t>54.5</w:t>
            </w:r>
          </w:p>
        </w:tc>
        <w:tc>
          <w:tcPr>
            <w:tcW w:w="1200" w:type="dxa"/>
            <w:vAlign w:val="center"/>
          </w:tcPr>
          <w:p w:rsidR="00E54CAC" w:rsidRDefault="00E54CAC" w:rsidP="000533C7">
            <w:pPr>
              <w:jc w:val="center"/>
              <w:rPr>
                <w:sz w:val="20"/>
                <w:szCs w:val="20"/>
              </w:rPr>
            </w:pPr>
            <w:r>
              <w:rPr>
                <w:sz w:val="20"/>
                <w:szCs w:val="20"/>
              </w:rPr>
              <w:t>162.95</w:t>
            </w:r>
          </w:p>
        </w:tc>
      </w:tr>
      <w:tr w:rsidR="00E54CAC" w:rsidTr="000533C7">
        <w:trPr>
          <w:trHeight w:val="300"/>
        </w:trPr>
        <w:tc>
          <w:tcPr>
            <w:tcW w:w="2984" w:type="dxa"/>
            <w:vAlign w:val="center"/>
          </w:tcPr>
          <w:p w:rsidR="00E54CAC" w:rsidRDefault="00E54CAC" w:rsidP="000533C7">
            <w:pPr>
              <w:jc w:val="center"/>
              <w:rPr>
                <w:sz w:val="20"/>
                <w:szCs w:val="20"/>
              </w:rPr>
            </w:pPr>
            <w:r>
              <w:rPr>
                <w:sz w:val="20"/>
                <w:szCs w:val="20"/>
              </w:rPr>
              <w:t>MEZCLA DE METALES</w:t>
            </w:r>
          </w:p>
        </w:tc>
        <w:tc>
          <w:tcPr>
            <w:tcW w:w="1600" w:type="dxa"/>
            <w:vAlign w:val="center"/>
          </w:tcPr>
          <w:p w:rsidR="00E54CAC" w:rsidRDefault="00E54CAC" w:rsidP="000533C7">
            <w:pPr>
              <w:jc w:val="center"/>
              <w:rPr>
                <w:sz w:val="20"/>
                <w:szCs w:val="20"/>
              </w:rPr>
            </w:pPr>
          </w:p>
        </w:tc>
        <w:tc>
          <w:tcPr>
            <w:tcW w:w="1203" w:type="dxa"/>
            <w:vAlign w:val="center"/>
          </w:tcPr>
          <w:p w:rsidR="00E54CAC" w:rsidRDefault="00E54CAC" w:rsidP="000533C7">
            <w:pPr>
              <w:jc w:val="center"/>
              <w:rPr>
                <w:sz w:val="20"/>
                <w:szCs w:val="20"/>
              </w:rPr>
            </w:pPr>
          </w:p>
        </w:tc>
        <w:tc>
          <w:tcPr>
            <w:tcW w:w="1203" w:type="dxa"/>
            <w:vAlign w:val="center"/>
          </w:tcPr>
          <w:p w:rsidR="00E54CAC" w:rsidRDefault="00E54CAC" w:rsidP="000533C7">
            <w:pPr>
              <w:jc w:val="center"/>
              <w:rPr>
                <w:sz w:val="20"/>
                <w:szCs w:val="20"/>
              </w:rPr>
            </w:pPr>
            <w:r>
              <w:rPr>
                <w:sz w:val="20"/>
                <w:szCs w:val="20"/>
              </w:rPr>
              <w:t>5</w:t>
            </w:r>
          </w:p>
        </w:tc>
        <w:tc>
          <w:tcPr>
            <w:tcW w:w="1203" w:type="dxa"/>
            <w:vAlign w:val="center"/>
          </w:tcPr>
          <w:p w:rsidR="00E54CAC" w:rsidRDefault="00E54CAC" w:rsidP="000533C7">
            <w:pPr>
              <w:jc w:val="center"/>
              <w:rPr>
                <w:sz w:val="20"/>
                <w:szCs w:val="20"/>
              </w:rPr>
            </w:pPr>
            <w:r>
              <w:rPr>
                <w:sz w:val="20"/>
                <w:szCs w:val="20"/>
              </w:rPr>
              <w:t>3.75</w:t>
            </w:r>
          </w:p>
        </w:tc>
        <w:tc>
          <w:tcPr>
            <w:tcW w:w="1200" w:type="dxa"/>
            <w:vAlign w:val="center"/>
          </w:tcPr>
          <w:p w:rsidR="00E54CAC" w:rsidRDefault="00E54CAC" w:rsidP="000533C7">
            <w:pPr>
              <w:jc w:val="center"/>
              <w:rPr>
                <w:sz w:val="20"/>
                <w:szCs w:val="20"/>
              </w:rPr>
            </w:pPr>
            <w:r>
              <w:rPr>
                <w:sz w:val="20"/>
                <w:szCs w:val="20"/>
              </w:rPr>
              <w:t>8.75</w:t>
            </w:r>
          </w:p>
        </w:tc>
      </w:tr>
      <w:tr w:rsidR="00E54CAC" w:rsidTr="000533C7">
        <w:trPr>
          <w:trHeight w:val="300"/>
        </w:trPr>
        <w:tc>
          <w:tcPr>
            <w:tcW w:w="2984" w:type="dxa"/>
            <w:vAlign w:val="center"/>
          </w:tcPr>
          <w:p w:rsidR="00E54CAC" w:rsidRDefault="00E54CAC" w:rsidP="000533C7">
            <w:pPr>
              <w:jc w:val="center"/>
              <w:rPr>
                <w:sz w:val="20"/>
                <w:szCs w:val="20"/>
              </w:rPr>
            </w:pPr>
            <w:r>
              <w:rPr>
                <w:sz w:val="20"/>
                <w:szCs w:val="20"/>
              </w:rPr>
              <w:t>MEZCLA DE ALCALINOS (L)</w:t>
            </w:r>
          </w:p>
        </w:tc>
        <w:tc>
          <w:tcPr>
            <w:tcW w:w="1600" w:type="dxa"/>
            <w:vAlign w:val="center"/>
          </w:tcPr>
          <w:p w:rsidR="00E54CAC" w:rsidRDefault="00E54CAC" w:rsidP="000533C7">
            <w:pPr>
              <w:jc w:val="center"/>
              <w:rPr>
                <w:sz w:val="20"/>
                <w:szCs w:val="20"/>
              </w:rPr>
            </w:pPr>
          </w:p>
        </w:tc>
        <w:tc>
          <w:tcPr>
            <w:tcW w:w="1203" w:type="dxa"/>
            <w:vAlign w:val="center"/>
          </w:tcPr>
          <w:p w:rsidR="00E54CAC" w:rsidRDefault="00E54CAC" w:rsidP="000533C7">
            <w:pPr>
              <w:jc w:val="center"/>
              <w:rPr>
                <w:sz w:val="20"/>
                <w:szCs w:val="20"/>
              </w:rPr>
            </w:pPr>
            <w:r>
              <w:rPr>
                <w:sz w:val="20"/>
                <w:szCs w:val="20"/>
              </w:rPr>
              <w:t>8.75</w:t>
            </w:r>
          </w:p>
        </w:tc>
        <w:tc>
          <w:tcPr>
            <w:tcW w:w="1203" w:type="dxa"/>
            <w:vAlign w:val="center"/>
          </w:tcPr>
          <w:p w:rsidR="00E54CAC" w:rsidRDefault="00E54CAC" w:rsidP="000533C7">
            <w:pPr>
              <w:jc w:val="center"/>
              <w:rPr>
                <w:sz w:val="20"/>
                <w:szCs w:val="20"/>
              </w:rPr>
            </w:pPr>
            <w:r>
              <w:rPr>
                <w:sz w:val="20"/>
                <w:szCs w:val="20"/>
              </w:rPr>
              <w:t>20</w:t>
            </w:r>
          </w:p>
        </w:tc>
        <w:tc>
          <w:tcPr>
            <w:tcW w:w="1203" w:type="dxa"/>
            <w:vAlign w:val="center"/>
          </w:tcPr>
          <w:p w:rsidR="00E54CAC" w:rsidRDefault="00E54CAC" w:rsidP="000533C7">
            <w:pPr>
              <w:jc w:val="center"/>
              <w:rPr>
                <w:sz w:val="20"/>
                <w:szCs w:val="20"/>
              </w:rPr>
            </w:pPr>
            <w:r>
              <w:rPr>
                <w:sz w:val="20"/>
                <w:szCs w:val="20"/>
              </w:rPr>
              <w:t>20</w:t>
            </w:r>
          </w:p>
        </w:tc>
        <w:tc>
          <w:tcPr>
            <w:tcW w:w="1200" w:type="dxa"/>
            <w:vAlign w:val="center"/>
          </w:tcPr>
          <w:p w:rsidR="00E54CAC" w:rsidRDefault="00E54CAC" w:rsidP="000533C7">
            <w:pPr>
              <w:jc w:val="center"/>
              <w:rPr>
                <w:sz w:val="20"/>
                <w:szCs w:val="20"/>
              </w:rPr>
            </w:pPr>
            <w:r>
              <w:rPr>
                <w:sz w:val="20"/>
                <w:szCs w:val="20"/>
              </w:rPr>
              <w:t>48.75</w:t>
            </w:r>
          </w:p>
        </w:tc>
      </w:tr>
      <w:tr w:rsidR="00E54CAC" w:rsidTr="000533C7">
        <w:trPr>
          <w:trHeight w:val="300"/>
        </w:trPr>
        <w:tc>
          <w:tcPr>
            <w:tcW w:w="2984" w:type="dxa"/>
            <w:vAlign w:val="center"/>
          </w:tcPr>
          <w:p w:rsidR="00E54CAC" w:rsidRDefault="00E54CAC" w:rsidP="000533C7">
            <w:pPr>
              <w:jc w:val="center"/>
              <w:rPr>
                <w:sz w:val="20"/>
                <w:szCs w:val="20"/>
              </w:rPr>
            </w:pPr>
            <w:r>
              <w:rPr>
                <w:sz w:val="20"/>
                <w:szCs w:val="20"/>
              </w:rPr>
              <w:t>TERMÓMETROS (Pza)</w:t>
            </w:r>
          </w:p>
        </w:tc>
        <w:tc>
          <w:tcPr>
            <w:tcW w:w="1600" w:type="dxa"/>
            <w:vAlign w:val="center"/>
          </w:tcPr>
          <w:p w:rsidR="00E54CAC" w:rsidRDefault="00E54CAC" w:rsidP="000533C7">
            <w:pPr>
              <w:jc w:val="center"/>
              <w:rPr>
                <w:sz w:val="20"/>
                <w:szCs w:val="20"/>
              </w:rPr>
            </w:pPr>
          </w:p>
        </w:tc>
        <w:tc>
          <w:tcPr>
            <w:tcW w:w="1203" w:type="dxa"/>
            <w:vAlign w:val="center"/>
          </w:tcPr>
          <w:p w:rsidR="00E54CAC" w:rsidRDefault="00E54CAC" w:rsidP="000533C7">
            <w:pPr>
              <w:jc w:val="center"/>
              <w:rPr>
                <w:sz w:val="20"/>
                <w:szCs w:val="20"/>
              </w:rPr>
            </w:pPr>
          </w:p>
        </w:tc>
        <w:tc>
          <w:tcPr>
            <w:tcW w:w="1203" w:type="dxa"/>
            <w:vAlign w:val="center"/>
          </w:tcPr>
          <w:p w:rsidR="00E54CAC" w:rsidRDefault="00E54CAC" w:rsidP="000533C7">
            <w:pPr>
              <w:jc w:val="center"/>
              <w:rPr>
                <w:sz w:val="20"/>
                <w:szCs w:val="20"/>
              </w:rPr>
            </w:pPr>
            <w:r>
              <w:rPr>
                <w:sz w:val="20"/>
                <w:szCs w:val="20"/>
              </w:rPr>
              <w:t>4</w:t>
            </w:r>
          </w:p>
        </w:tc>
        <w:tc>
          <w:tcPr>
            <w:tcW w:w="1203" w:type="dxa"/>
            <w:vAlign w:val="center"/>
          </w:tcPr>
          <w:p w:rsidR="00E54CAC" w:rsidRDefault="00E54CAC" w:rsidP="000533C7">
            <w:pPr>
              <w:jc w:val="center"/>
              <w:rPr>
                <w:sz w:val="20"/>
                <w:szCs w:val="20"/>
              </w:rPr>
            </w:pPr>
          </w:p>
        </w:tc>
        <w:tc>
          <w:tcPr>
            <w:tcW w:w="1200" w:type="dxa"/>
            <w:vAlign w:val="center"/>
          </w:tcPr>
          <w:p w:rsidR="00E54CAC" w:rsidRDefault="00E54CAC" w:rsidP="000533C7">
            <w:pPr>
              <w:jc w:val="center"/>
              <w:rPr>
                <w:sz w:val="20"/>
                <w:szCs w:val="20"/>
              </w:rPr>
            </w:pPr>
            <w:r>
              <w:rPr>
                <w:sz w:val="20"/>
                <w:szCs w:val="20"/>
              </w:rPr>
              <w:t>4</w:t>
            </w:r>
          </w:p>
        </w:tc>
      </w:tr>
      <w:tr w:rsidR="00E54CAC" w:rsidTr="000533C7">
        <w:trPr>
          <w:trHeight w:val="300"/>
        </w:trPr>
        <w:tc>
          <w:tcPr>
            <w:tcW w:w="2984" w:type="dxa"/>
            <w:vAlign w:val="center"/>
          </w:tcPr>
          <w:p w:rsidR="00E54CAC" w:rsidRDefault="00E54CAC" w:rsidP="000533C7">
            <w:pPr>
              <w:jc w:val="center"/>
              <w:rPr>
                <w:sz w:val="20"/>
                <w:szCs w:val="20"/>
              </w:rPr>
            </w:pPr>
            <w:r>
              <w:rPr>
                <w:sz w:val="20"/>
                <w:szCs w:val="20"/>
              </w:rPr>
              <w:t>MERCURIO (g)</w:t>
            </w:r>
          </w:p>
        </w:tc>
        <w:tc>
          <w:tcPr>
            <w:tcW w:w="1600" w:type="dxa"/>
            <w:vAlign w:val="center"/>
          </w:tcPr>
          <w:p w:rsidR="00E54CAC" w:rsidRDefault="00E54CAC" w:rsidP="000533C7">
            <w:pPr>
              <w:jc w:val="center"/>
              <w:rPr>
                <w:sz w:val="20"/>
                <w:szCs w:val="20"/>
              </w:rPr>
            </w:pPr>
          </w:p>
        </w:tc>
        <w:tc>
          <w:tcPr>
            <w:tcW w:w="1203" w:type="dxa"/>
            <w:vAlign w:val="center"/>
          </w:tcPr>
          <w:p w:rsidR="00E54CAC" w:rsidRDefault="00E54CAC" w:rsidP="000533C7">
            <w:pPr>
              <w:jc w:val="center"/>
              <w:rPr>
                <w:sz w:val="20"/>
                <w:szCs w:val="20"/>
              </w:rPr>
            </w:pPr>
          </w:p>
        </w:tc>
        <w:tc>
          <w:tcPr>
            <w:tcW w:w="1203" w:type="dxa"/>
            <w:vAlign w:val="center"/>
          </w:tcPr>
          <w:p w:rsidR="00E54CAC" w:rsidRDefault="00E54CAC" w:rsidP="000533C7">
            <w:pPr>
              <w:jc w:val="center"/>
              <w:rPr>
                <w:sz w:val="20"/>
                <w:szCs w:val="20"/>
              </w:rPr>
            </w:pPr>
            <w:r>
              <w:rPr>
                <w:sz w:val="20"/>
                <w:szCs w:val="20"/>
              </w:rPr>
              <w:t>0.3</w:t>
            </w:r>
          </w:p>
        </w:tc>
        <w:tc>
          <w:tcPr>
            <w:tcW w:w="1203" w:type="dxa"/>
            <w:vAlign w:val="center"/>
          </w:tcPr>
          <w:p w:rsidR="00E54CAC" w:rsidRDefault="00E54CAC" w:rsidP="000533C7">
            <w:pPr>
              <w:jc w:val="center"/>
              <w:rPr>
                <w:sz w:val="20"/>
                <w:szCs w:val="20"/>
              </w:rPr>
            </w:pPr>
          </w:p>
        </w:tc>
        <w:tc>
          <w:tcPr>
            <w:tcW w:w="1200" w:type="dxa"/>
            <w:vAlign w:val="center"/>
          </w:tcPr>
          <w:p w:rsidR="00E54CAC" w:rsidRDefault="00E54CAC" w:rsidP="000533C7">
            <w:pPr>
              <w:jc w:val="center"/>
              <w:rPr>
                <w:sz w:val="20"/>
                <w:szCs w:val="20"/>
              </w:rPr>
            </w:pPr>
            <w:r>
              <w:rPr>
                <w:sz w:val="20"/>
                <w:szCs w:val="20"/>
              </w:rPr>
              <w:t>0.3</w:t>
            </w:r>
          </w:p>
        </w:tc>
      </w:tr>
      <w:tr w:rsidR="00E54CAC" w:rsidTr="000533C7">
        <w:trPr>
          <w:trHeight w:val="315"/>
        </w:trPr>
        <w:tc>
          <w:tcPr>
            <w:tcW w:w="2984" w:type="dxa"/>
            <w:vAlign w:val="center"/>
          </w:tcPr>
          <w:p w:rsidR="00E54CAC" w:rsidRDefault="00E54CAC" w:rsidP="000533C7">
            <w:pPr>
              <w:jc w:val="center"/>
              <w:rPr>
                <w:sz w:val="20"/>
                <w:szCs w:val="20"/>
              </w:rPr>
            </w:pPr>
            <w:r>
              <w:rPr>
                <w:sz w:val="20"/>
                <w:szCs w:val="20"/>
              </w:rPr>
              <w:t>CROMO EN SOLUCIÓN ÁCIDA (L)</w:t>
            </w:r>
          </w:p>
        </w:tc>
        <w:tc>
          <w:tcPr>
            <w:tcW w:w="1600" w:type="dxa"/>
            <w:vAlign w:val="center"/>
          </w:tcPr>
          <w:p w:rsidR="00E54CAC" w:rsidRDefault="00E54CAC" w:rsidP="000533C7">
            <w:pPr>
              <w:jc w:val="center"/>
              <w:rPr>
                <w:sz w:val="20"/>
                <w:szCs w:val="20"/>
              </w:rPr>
            </w:pPr>
            <w:r>
              <w:rPr>
                <w:sz w:val="20"/>
                <w:szCs w:val="20"/>
              </w:rPr>
              <w:t>5</w:t>
            </w:r>
          </w:p>
        </w:tc>
        <w:tc>
          <w:tcPr>
            <w:tcW w:w="1203" w:type="dxa"/>
            <w:vAlign w:val="center"/>
          </w:tcPr>
          <w:p w:rsidR="00E54CAC" w:rsidRDefault="00E54CAC" w:rsidP="000533C7">
            <w:pPr>
              <w:jc w:val="center"/>
              <w:rPr>
                <w:sz w:val="20"/>
                <w:szCs w:val="20"/>
              </w:rPr>
            </w:pPr>
          </w:p>
        </w:tc>
        <w:tc>
          <w:tcPr>
            <w:tcW w:w="1203" w:type="dxa"/>
            <w:vAlign w:val="center"/>
          </w:tcPr>
          <w:p w:rsidR="00E54CAC" w:rsidRDefault="00E54CAC" w:rsidP="000533C7">
            <w:pPr>
              <w:jc w:val="center"/>
              <w:rPr>
                <w:sz w:val="20"/>
                <w:szCs w:val="20"/>
              </w:rPr>
            </w:pPr>
          </w:p>
        </w:tc>
        <w:tc>
          <w:tcPr>
            <w:tcW w:w="1203" w:type="dxa"/>
            <w:vAlign w:val="center"/>
          </w:tcPr>
          <w:p w:rsidR="00E54CAC" w:rsidRDefault="00E54CAC" w:rsidP="000533C7">
            <w:pPr>
              <w:jc w:val="center"/>
              <w:rPr>
                <w:sz w:val="20"/>
                <w:szCs w:val="20"/>
              </w:rPr>
            </w:pPr>
            <w:r>
              <w:rPr>
                <w:sz w:val="20"/>
                <w:szCs w:val="20"/>
              </w:rPr>
              <w:t>5</w:t>
            </w:r>
          </w:p>
        </w:tc>
        <w:tc>
          <w:tcPr>
            <w:tcW w:w="1200" w:type="dxa"/>
            <w:vAlign w:val="center"/>
          </w:tcPr>
          <w:p w:rsidR="00E54CAC" w:rsidRDefault="00E54CAC" w:rsidP="000533C7">
            <w:pPr>
              <w:jc w:val="center"/>
              <w:rPr>
                <w:sz w:val="20"/>
                <w:szCs w:val="20"/>
              </w:rPr>
            </w:pPr>
            <w:r>
              <w:rPr>
                <w:sz w:val="20"/>
                <w:szCs w:val="20"/>
              </w:rPr>
              <w:t>10</w:t>
            </w:r>
          </w:p>
        </w:tc>
      </w:tr>
      <w:tr w:rsidR="00E54CAC" w:rsidTr="000533C7">
        <w:trPr>
          <w:trHeight w:val="315"/>
        </w:trPr>
        <w:tc>
          <w:tcPr>
            <w:tcW w:w="9393" w:type="dxa"/>
            <w:gridSpan w:val="6"/>
            <w:vAlign w:val="center"/>
          </w:tcPr>
          <w:p w:rsidR="00E54CAC" w:rsidRDefault="00E54CAC" w:rsidP="000533C7">
            <w:pPr>
              <w:jc w:val="center"/>
              <w:rPr>
                <w:b/>
                <w:sz w:val="20"/>
                <w:szCs w:val="20"/>
              </w:rPr>
            </w:pPr>
            <w:r>
              <w:rPr>
                <w:rFonts w:ascii="Calibri" w:eastAsia="Calibri" w:hAnsi="Calibri" w:cs="Calibri"/>
                <w:b/>
                <w:sz w:val="20"/>
                <w:szCs w:val="20"/>
              </w:rPr>
              <w:t>Total:</w:t>
            </w:r>
            <w:r>
              <w:rPr>
                <w:rFonts w:ascii="Calibri" w:eastAsia="Calibri" w:hAnsi="Calibri" w:cs="Calibri"/>
                <w:b/>
                <w:color w:val="000000"/>
                <w:sz w:val="20"/>
                <w:szCs w:val="20"/>
              </w:rPr>
              <w:t xml:space="preserve">               927.3 L          2332.3 Kg</w:t>
            </w:r>
          </w:p>
          <w:p w:rsidR="00E54CAC" w:rsidRDefault="00E54CAC" w:rsidP="000533C7">
            <w:pPr>
              <w:jc w:val="center"/>
              <w:rPr>
                <w:sz w:val="20"/>
                <w:szCs w:val="20"/>
              </w:rPr>
            </w:pPr>
          </w:p>
        </w:tc>
      </w:tr>
    </w:tbl>
    <w:p w:rsidR="00E54CAC" w:rsidRDefault="00E54CAC" w:rsidP="00E54CAC"/>
    <w:p w:rsidR="00E54CAC" w:rsidRDefault="00E54CAC" w:rsidP="00E54CAC">
      <w:pPr>
        <w:jc w:val="center"/>
        <w:rPr>
          <w:i/>
          <w:sz w:val="20"/>
          <w:szCs w:val="20"/>
        </w:rPr>
      </w:pPr>
      <w:r>
        <w:rPr>
          <w:i/>
          <w:sz w:val="20"/>
          <w:szCs w:val="20"/>
        </w:rPr>
        <w:t>Tabla 1. Datos obtenidos del Plan integral de gestión de residuos peligrosos para los residuos de manejo especial.</w:t>
      </w:r>
    </w:p>
    <w:tbl>
      <w:tblPr>
        <w:tblpPr w:leftFromText="141" w:rightFromText="141" w:vertAnchor="page" w:horzAnchor="margin" w:tblpXSpec="center" w:tblpY="2266"/>
        <w:tblW w:w="570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20" w:firstRow="1" w:lastRow="0" w:firstColumn="0" w:lastColumn="0" w:noHBand="0" w:noVBand="1"/>
      </w:tblPr>
      <w:tblGrid>
        <w:gridCol w:w="1206"/>
        <w:gridCol w:w="2948"/>
        <w:gridCol w:w="1548"/>
      </w:tblGrid>
      <w:tr w:rsidR="00E54CAC" w:rsidTr="000533C7">
        <w:trPr>
          <w:trHeight w:val="504"/>
        </w:trPr>
        <w:tc>
          <w:tcPr>
            <w:tcW w:w="1206" w:type="dxa"/>
            <w:vAlign w:val="center"/>
          </w:tcPr>
          <w:p w:rsidR="00E54CAC" w:rsidRDefault="00E54CAC" w:rsidP="000533C7">
            <w:pPr>
              <w:jc w:val="center"/>
              <w:rPr>
                <w:sz w:val="22"/>
                <w:szCs w:val="22"/>
              </w:rPr>
            </w:pPr>
            <w:r>
              <w:rPr>
                <w:sz w:val="22"/>
                <w:szCs w:val="22"/>
              </w:rPr>
              <w:t>Recolectas</w:t>
            </w:r>
          </w:p>
        </w:tc>
        <w:tc>
          <w:tcPr>
            <w:tcW w:w="2948" w:type="dxa"/>
            <w:vMerge w:val="restart"/>
            <w:vAlign w:val="center"/>
          </w:tcPr>
          <w:p w:rsidR="00E54CAC" w:rsidRDefault="00E54CAC" w:rsidP="000533C7">
            <w:pPr>
              <w:jc w:val="center"/>
              <w:rPr>
                <w:sz w:val="22"/>
                <w:szCs w:val="22"/>
              </w:rPr>
            </w:pPr>
            <w:r>
              <w:rPr>
                <w:sz w:val="22"/>
                <w:szCs w:val="22"/>
              </w:rPr>
              <w:t>Residuos de Manejo Especial</w:t>
            </w:r>
          </w:p>
        </w:tc>
        <w:tc>
          <w:tcPr>
            <w:tcW w:w="1548" w:type="dxa"/>
            <w:vAlign w:val="center"/>
          </w:tcPr>
          <w:p w:rsidR="00E54CAC" w:rsidRDefault="00E54CAC" w:rsidP="000533C7">
            <w:pPr>
              <w:jc w:val="center"/>
              <w:rPr>
                <w:sz w:val="22"/>
                <w:szCs w:val="22"/>
              </w:rPr>
            </w:pPr>
            <w:r>
              <w:rPr>
                <w:sz w:val="22"/>
                <w:szCs w:val="22"/>
              </w:rPr>
              <w:t>Cantidad (m³)</w:t>
            </w:r>
          </w:p>
        </w:tc>
      </w:tr>
      <w:tr w:rsidR="00E54CAC" w:rsidTr="000533C7">
        <w:trPr>
          <w:trHeight w:val="543"/>
        </w:trPr>
        <w:tc>
          <w:tcPr>
            <w:tcW w:w="1206" w:type="dxa"/>
            <w:vAlign w:val="center"/>
          </w:tcPr>
          <w:p w:rsidR="00E54CAC" w:rsidRDefault="00E54CAC" w:rsidP="000533C7">
            <w:pPr>
              <w:jc w:val="center"/>
              <w:rPr>
                <w:sz w:val="22"/>
                <w:szCs w:val="22"/>
              </w:rPr>
            </w:pPr>
            <w:r>
              <w:rPr>
                <w:sz w:val="22"/>
                <w:szCs w:val="22"/>
              </w:rPr>
              <w:t>21</w:t>
            </w:r>
          </w:p>
        </w:tc>
        <w:tc>
          <w:tcPr>
            <w:tcW w:w="2948" w:type="dxa"/>
            <w:vMerge/>
            <w:vAlign w:val="center"/>
          </w:tcPr>
          <w:p w:rsidR="00E54CAC" w:rsidRDefault="00E54CAC" w:rsidP="000533C7">
            <w:pPr>
              <w:widowControl w:val="0"/>
              <w:pBdr>
                <w:top w:val="nil"/>
                <w:left w:val="nil"/>
                <w:bottom w:val="nil"/>
                <w:right w:val="nil"/>
                <w:between w:val="nil"/>
              </w:pBdr>
              <w:spacing w:line="276" w:lineRule="auto"/>
              <w:rPr>
                <w:sz w:val="22"/>
                <w:szCs w:val="22"/>
              </w:rPr>
            </w:pPr>
          </w:p>
        </w:tc>
        <w:tc>
          <w:tcPr>
            <w:tcW w:w="1548" w:type="dxa"/>
            <w:vAlign w:val="center"/>
          </w:tcPr>
          <w:p w:rsidR="00E54CAC" w:rsidRDefault="00E54CAC" w:rsidP="000533C7">
            <w:pPr>
              <w:jc w:val="center"/>
              <w:rPr>
                <w:sz w:val="22"/>
                <w:szCs w:val="22"/>
              </w:rPr>
            </w:pPr>
            <w:r>
              <w:rPr>
                <w:sz w:val="22"/>
                <w:szCs w:val="22"/>
              </w:rPr>
              <w:t>38.25</w:t>
            </w:r>
          </w:p>
        </w:tc>
      </w:tr>
    </w:tbl>
    <w:p w:rsidR="00E54CAC" w:rsidRDefault="00E54CAC" w:rsidP="00E54CAC"/>
    <w:p w:rsidR="00E54CAC" w:rsidRDefault="00E54CAC" w:rsidP="00E54CAC"/>
    <w:p w:rsidR="00E54CAC" w:rsidRDefault="00E54CAC" w:rsidP="00E54CAC"/>
    <w:p w:rsidR="00E54CAC" w:rsidRDefault="00E54CAC" w:rsidP="00E54CAC"/>
    <w:p w:rsidR="00E54CAC" w:rsidRDefault="00E54CAC" w:rsidP="00E54CAC"/>
    <w:p w:rsidR="00E54CAC" w:rsidRDefault="00E54CAC" w:rsidP="00E54CAC"/>
    <w:p w:rsidR="00E54CAC" w:rsidRDefault="00E54CAC" w:rsidP="00E54CAC"/>
    <w:p w:rsidR="00E54CAC" w:rsidRDefault="00E54CAC" w:rsidP="00E54CAC"/>
    <w:p w:rsidR="00E54CAC" w:rsidRPr="00202123" w:rsidRDefault="00E54CAC" w:rsidP="00E54CAC">
      <w:pPr>
        <w:pStyle w:val="Ttulo1"/>
        <w:keepLines w:val="0"/>
        <w:numPr>
          <w:ilvl w:val="0"/>
          <w:numId w:val="80"/>
        </w:numPr>
        <w:tabs>
          <w:tab w:val="left" w:pos="0"/>
        </w:tabs>
        <w:spacing w:before="0" w:after="0" w:line="360" w:lineRule="auto"/>
        <w:rPr>
          <w:rFonts w:ascii="Arial" w:eastAsia="Arial" w:hAnsi="Arial" w:cs="Arial"/>
          <w:i/>
          <w:sz w:val="24"/>
          <w:szCs w:val="24"/>
        </w:rPr>
      </w:pPr>
      <w:bookmarkStart w:id="484" w:name="_Toc50031502"/>
      <w:r w:rsidRPr="00202123">
        <w:rPr>
          <w:rFonts w:ascii="Arial" w:eastAsia="Arial" w:hAnsi="Arial" w:cs="Arial"/>
          <w:smallCaps/>
          <w:sz w:val="24"/>
          <w:szCs w:val="24"/>
        </w:rPr>
        <w:t xml:space="preserve">5. </w:t>
      </w:r>
      <w:r w:rsidRPr="00202123">
        <w:rPr>
          <w:rFonts w:ascii="Arial" w:eastAsia="Arial" w:hAnsi="Arial" w:cs="Arial"/>
          <w:sz w:val="24"/>
          <w:szCs w:val="24"/>
        </w:rPr>
        <w:t>Conclusiones</w:t>
      </w:r>
      <w:bookmarkEnd w:id="484"/>
    </w:p>
    <w:p w:rsidR="00E54CAC" w:rsidRDefault="00E54CAC" w:rsidP="00E54CAC">
      <w:pPr>
        <w:jc w:val="both"/>
        <w:rPr>
          <w:rFonts w:ascii="Arial" w:eastAsia="Arial" w:hAnsi="Arial" w:cs="Arial"/>
        </w:rPr>
      </w:pPr>
      <w:r>
        <w:rPr>
          <w:rFonts w:ascii="Arial" w:eastAsia="Arial" w:hAnsi="Arial" w:cs="Arial"/>
        </w:rPr>
        <w:t>La generación de residuos peligrosos actualmente es un problema general ya que una disposición inadecuada de los mismos genera daños a la salud a y al medio ambiente una implementación de un programa de gestión ambiental y la concientización de investigadores, alumnos y todo personal que participa en el programa ayudara a garantizar el buen manejo, tratamiento, disposición final y la bioseguridad de toda la comunidad de la Facultad</w:t>
      </w:r>
    </w:p>
    <w:p w:rsidR="00E54CAC" w:rsidRDefault="00E54CAC" w:rsidP="00E54CAC">
      <w:pPr>
        <w:pBdr>
          <w:top w:val="nil"/>
          <w:left w:val="nil"/>
          <w:bottom w:val="nil"/>
          <w:right w:val="nil"/>
          <w:between w:val="nil"/>
        </w:pBdr>
        <w:ind w:firstLine="539"/>
        <w:rPr>
          <w:rFonts w:ascii="Arial" w:eastAsia="Arial" w:hAnsi="Arial" w:cs="Arial"/>
          <w:color w:val="000000"/>
        </w:rPr>
      </w:pPr>
    </w:p>
    <w:p w:rsidR="00E54CAC" w:rsidRDefault="00E54CAC" w:rsidP="00E54CAC">
      <w:pPr>
        <w:pBdr>
          <w:top w:val="nil"/>
          <w:left w:val="nil"/>
          <w:bottom w:val="nil"/>
          <w:right w:val="nil"/>
          <w:between w:val="nil"/>
        </w:pBdr>
        <w:ind w:firstLine="539"/>
        <w:rPr>
          <w:rFonts w:ascii="Arial" w:eastAsia="Arial" w:hAnsi="Arial" w:cs="Arial"/>
          <w:color w:val="000000"/>
        </w:rPr>
      </w:pPr>
    </w:p>
    <w:p w:rsidR="00E54CAC" w:rsidRPr="00202123" w:rsidRDefault="00E54CAC" w:rsidP="00E54CAC">
      <w:pPr>
        <w:pStyle w:val="Ttulo1"/>
        <w:keepLines w:val="0"/>
        <w:numPr>
          <w:ilvl w:val="0"/>
          <w:numId w:val="80"/>
        </w:numPr>
        <w:tabs>
          <w:tab w:val="left" w:pos="0"/>
        </w:tabs>
        <w:spacing w:before="0" w:after="0" w:line="360" w:lineRule="auto"/>
        <w:rPr>
          <w:rFonts w:ascii="Arial" w:eastAsia="Arial" w:hAnsi="Arial" w:cs="Arial"/>
          <w:i/>
          <w:sz w:val="24"/>
          <w:szCs w:val="24"/>
        </w:rPr>
      </w:pPr>
      <w:bookmarkStart w:id="485" w:name="_Toc50031503"/>
      <w:r w:rsidRPr="00202123">
        <w:rPr>
          <w:rFonts w:ascii="Arial" w:eastAsia="Arial" w:hAnsi="Arial" w:cs="Arial"/>
          <w:smallCaps/>
          <w:sz w:val="24"/>
          <w:szCs w:val="24"/>
        </w:rPr>
        <w:t xml:space="preserve">6. </w:t>
      </w:r>
      <w:r w:rsidRPr="00202123">
        <w:rPr>
          <w:rFonts w:ascii="Arial" w:eastAsia="Arial" w:hAnsi="Arial" w:cs="Arial"/>
          <w:sz w:val="24"/>
          <w:szCs w:val="24"/>
        </w:rPr>
        <w:t>Bibliografía</w:t>
      </w:r>
      <w:bookmarkEnd w:id="485"/>
    </w:p>
    <w:p w:rsidR="00E54CAC" w:rsidRDefault="00E54CAC" w:rsidP="00E54CAC">
      <w:pPr>
        <w:tabs>
          <w:tab w:val="left" w:pos="0"/>
        </w:tabs>
        <w:jc w:val="both"/>
        <w:rPr>
          <w:rFonts w:ascii="Arial" w:eastAsia="Arial" w:hAnsi="Arial" w:cs="Arial"/>
        </w:rPr>
      </w:pPr>
      <w:bookmarkStart w:id="486" w:name="_30j0zll" w:colFirst="0" w:colLast="0"/>
      <w:bookmarkEnd w:id="486"/>
    </w:p>
    <w:p w:rsidR="00E54CAC" w:rsidRPr="003421C7" w:rsidRDefault="00E54CAC" w:rsidP="00E54CAC">
      <w:pPr>
        <w:pStyle w:val="Prrafodelista"/>
        <w:numPr>
          <w:ilvl w:val="0"/>
          <w:numId w:val="81"/>
        </w:numPr>
        <w:spacing w:after="0" w:line="240" w:lineRule="auto"/>
        <w:jc w:val="both"/>
        <w:rPr>
          <w:rFonts w:ascii="Verdana" w:hAnsi="Verdana"/>
          <w:bCs/>
          <w:sz w:val="22"/>
          <w:szCs w:val="22"/>
          <w:lang w:val="en-US"/>
        </w:rPr>
      </w:pPr>
      <w:r w:rsidRPr="003421C7">
        <w:rPr>
          <w:rFonts w:ascii="Verdana" w:hAnsi="Verdana"/>
          <w:bCs/>
          <w:sz w:val="22"/>
          <w:szCs w:val="22"/>
          <w:lang w:val="en-US"/>
        </w:rPr>
        <w:t xml:space="preserve">Hamed Farrokhi-Asl, Ahmad Makui, Rouzbeh Ghousi, Masoud Rabbani? Developing a hazardous waste management system with consideration of health, safety, and environment. Computers &amp; Electrical Engineering, 82, 2020. 106553.  </w:t>
      </w:r>
    </w:p>
    <w:p w:rsidR="00E54CAC" w:rsidRPr="003421C7" w:rsidRDefault="00E54CAC" w:rsidP="00E54CAC">
      <w:pPr>
        <w:pStyle w:val="Prrafodelista"/>
        <w:numPr>
          <w:ilvl w:val="0"/>
          <w:numId w:val="81"/>
        </w:numPr>
        <w:spacing w:after="0" w:line="240" w:lineRule="auto"/>
        <w:jc w:val="both"/>
        <w:rPr>
          <w:rFonts w:ascii="Verdana" w:hAnsi="Verdana"/>
          <w:bCs/>
          <w:sz w:val="22"/>
          <w:szCs w:val="22"/>
          <w:lang w:val="en-US"/>
        </w:rPr>
      </w:pPr>
      <w:r w:rsidRPr="003421C7">
        <w:rPr>
          <w:rFonts w:ascii="Verdana" w:hAnsi="Verdana"/>
          <w:bCs/>
          <w:sz w:val="22"/>
          <w:szCs w:val="22"/>
          <w:lang w:val="en-US"/>
        </w:rPr>
        <w:t>- Yahya Safari, Kamaladdin Karimyan, Vinod Kumar Gupta, Arash Ziapour, Hooshmand Sharafi. A study of staff</w:t>
      </w:r>
      <w:r w:rsidRPr="003421C7">
        <w:rPr>
          <w:rFonts w:ascii="Tahoma" w:eastAsia="Tahoma" w:hAnsi="Tahoma" w:cs="Tahoma"/>
          <w:bCs/>
          <w:sz w:val="22"/>
          <w:szCs w:val="22"/>
          <w:lang w:val="en-US"/>
        </w:rPr>
        <w:t>׳</w:t>
      </w:r>
      <w:r w:rsidRPr="003421C7">
        <w:rPr>
          <w:rFonts w:ascii="Verdana" w:hAnsi="Verdana"/>
          <w:bCs/>
          <w:sz w:val="22"/>
          <w:szCs w:val="22"/>
          <w:lang w:val="en-US"/>
        </w:rPr>
        <w:t xml:space="preserve">s awareness and attitudes towards the importance of household hazardous wastes (HHW) management (A Case Study of Kermanshah University of Medical Sciences, Kermanshah, Iran). Data in Brief, 19, 2018, 1490-1497. </w:t>
      </w:r>
    </w:p>
    <w:p w:rsidR="00E54CAC" w:rsidRDefault="00E54CAC" w:rsidP="00E54CAC">
      <w:pPr>
        <w:pStyle w:val="Prrafodelista"/>
        <w:numPr>
          <w:ilvl w:val="0"/>
          <w:numId w:val="81"/>
        </w:numPr>
        <w:spacing w:after="0" w:line="240" w:lineRule="auto"/>
        <w:jc w:val="both"/>
        <w:rPr>
          <w:rFonts w:ascii="Verdana" w:hAnsi="Verdana"/>
          <w:bCs/>
          <w:sz w:val="22"/>
          <w:szCs w:val="22"/>
          <w:lang w:val="en-US"/>
        </w:rPr>
      </w:pPr>
      <w:r w:rsidRPr="003421C7">
        <w:rPr>
          <w:rFonts w:ascii="Verdana" w:hAnsi="Verdana"/>
          <w:bCs/>
          <w:sz w:val="22"/>
          <w:szCs w:val="22"/>
          <w:lang w:val="en-US"/>
        </w:rPr>
        <w:t>- Evangelina Ramírez Lara, Javier Rivera De la Rosa, …, A comprehensive hazardous waste management program in a Chemistry School at a Mexican university. Journal of Cleaner Production, 142, Part 420, 2017, 1486-1491.</w:t>
      </w:r>
    </w:p>
    <w:p w:rsidR="00E54CAC" w:rsidRPr="0076482E" w:rsidRDefault="00E54CAC" w:rsidP="00E54CAC">
      <w:pPr>
        <w:numPr>
          <w:ilvl w:val="0"/>
          <w:numId w:val="81"/>
        </w:numPr>
        <w:tabs>
          <w:tab w:val="left" w:pos="750"/>
        </w:tabs>
        <w:spacing w:after="0" w:line="240" w:lineRule="auto"/>
        <w:jc w:val="both"/>
        <w:rPr>
          <w:rFonts w:ascii="Arial" w:eastAsia="Arial" w:hAnsi="Arial" w:cs="Arial"/>
        </w:rPr>
      </w:pPr>
      <w:r w:rsidRPr="0076482E">
        <w:rPr>
          <w:rFonts w:ascii="Arial" w:eastAsia="Arial" w:hAnsi="Arial" w:cs="Arial"/>
        </w:rPr>
        <w:t xml:space="preserve">NORMA OFICIAL MEXICANA </w:t>
      </w:r>
      <w:r>
        <w:rPr>
          <w:rFonts w:ascii="Arial" w:eastAsia="Arial" w:hAnsi="Arial" w:cs="Arial"/>
        </w:rPr>
        <w:t>N</w:t>
      </w:r>
      <w:r w:rsidRPr="0076482E">
        <w:rPr>
          <w:rFonts w:ascii="Arial" w:eastAsia="Arial" w:hAnsi="Arial" w:cs="Arial"/>
        </w:rPr>
        <w:t>OM-087-SEMARNAT-SSA1-2002 Protección ambiental-salud, ambiental-residuos peligrosos biológico-infecciosos-clasificación y especificaciones de manejo.</w:t>
      </w:r>
    </w:p>
    <w:p w:rsidR="00E54CAC" w:rsidRPr="0076482E" w:rsidRDefault="00E54CAC" w:rsidP="00E54CAC">
      <w:pPr>
        <w:numPr>
          <w:ilvl w:val="0"/>
          <w:numId w:val="81"/>
        </w:numPr>
        <w:tabs>
          <w:tab w:val="left" w:pos="750"/>
        </w:tabs>
        <w:spacing w:after="0" w:line="240" w:lineRule="auto"/>
        <w:jc w:val="both"/>
        <w:rPr>
          <w:rFonts w:ascii="Arial" w:eastAsia="Arial" w:hAnsi="Arial" w:cs="Arial"/>
        </w:rPr>
      </w:pPr>
      <w:r w:rsidRPr="0076482E">
        <w:rPr>
          <w:rFonts w:ascii="Arial" w:eastAsia="Arial" w:hAnsi="Arial" w:cs="Arial"/>
        </w:rPr>
        <w:t xml:space="preserve"> NORMA OFICIAL MEXICANA NOM-052-SEMARNAT-2005, Que establece las características, el procedimiento de identificación, clasificación y los listados de los residuos peligrosos.</w:t>
      </w:r>
    </w:p>
    <w:p w:rsidR="00E54CAC" w:rsidRPr="0076482E" w:rsidRDefault="00E54CAC" w:rsidP="00E54CAC">
      <w:pPr>
        <w:numPr>
          <w:ilvl w:val="0"/>
          <w:numId w:val="81"/>
        </w:numPr>
        <w:tabs>
          <w:tab w:val="left" w:pos="750"/>
        </w:tabs>
        <w:spacing w:after="0" w:line="240" w:lineRule="auto"/>
        <w:jc w:val="both"/>
        <w:rPr>
          <w:rFonts w:ascii="Arial" w:eastAsia="Arial" w:hAnsi="Arial" w:cs="Arial"/>
          <w:bCs/>
        </w:rPr>
      </w:pPr>
      <w:r w:rsidRPr="0076482E">
        <w:rPr>
          <w:rFonts w:ascii="Arial" w:eastAsia="Arial" w:hAnsi="Arial" w:cs="Arial"/>
          <w:bCs/>
        </w:rPr>
        <w:t>NORMA OFICIAL MEXICANA NOM-054-SEMARNAT-1993, que establece el procedimiento para determinar la incompatibilidad entre dos o más residuos considerados como peligrosos por la NORMA OFICIAL MEXICANA NOM-052- SEMARNAT-2005.</w:t>
      </w:r>
    </w:p>
    <w:p w:rsidR="00E54CAC" w:rsidRDefault="00E54CAC" w:rsidP="0049551D">
      <w:pPr>
        <w:rPr>
          <w:lang w:val="es-MX"/>
        </w:rPr>
      </w:pPr>
    </w:p>
    <w:p w:rsidR="001C28A9" w:rsidRDefault="001C28A9" w:rsidP="0049551D">
      <w:pPr>
        <w:rPr>
          <w:lang w:val="es-MX"/>
        </w:rPr>
      </w:pPr>
    </w:p>
    <w:p w:rsidR="001C28A9" w:rsidRDefault="001C28A9" w:rsidP="0049551D">
      <w:pPr>
        <w:rPr>
          <w:lang w:val="es-MX"/>
        </w:rPr>
      </w:pPr>
    </w:p>
    <w:p w:rsidR="001C28A9" w:rsidRPr="001C28A9" w:rsidRDefault="001C28A9" w:rsidP="001C28A9">
      <w:pPr>
        <w:pStyle w:val="1Titulo"/>
        <w:numPr>
          <w:ilvl w:val="0"/>
          <w:numId w:val="0"/>
        </w:numPr>
        <w:ind w:left="357"/>
        <w:jc w:val="center"/>
        <w:rPr>
          <w:color w:val="000000"/>
          <w:sz w:val="28"/>
          <w:szCs w:val="28"/>
        </w:rPr>
      </w:pPr>
      <w:bookmarkStart w:id="487" w:name="_Toc50031504"/>
      <w:r w:rsidRPr="001C28A9">
        <w:rPr>
          <w:sz w:val="28"/>
          <w:szCs w:val="28"/>
        </w:rPr>
        <w:t>Exploración en el dimensionamiento de sistemas de energía solar térmica para ACS usando redes neuronales artificiales</w:t>
      </w:r>
      <w:bookmarkEnd w:id="487"/>
    </w:p>
    <w:p w:rsidR="001C28A9" w:rsidRDefault="001C28A9" w:rsidP="001C28A9">
      <w:pPr>
        <w:jc w:val="center"/>
        <w:rPr>
          <w:color w:val="000000"/>
          <w:sz w:val="28"/>
          <w:szCs w:val="28"/>
        </w:rPr>
      </w:pPr>
    </w:p>
    <w:p w:rsidR="001C28A9" w:rsidRDefault="001C28A9" w:rsidP="001C28A9">
      <w:pPr>
        <w:pStyle w:val="Author"/>
        <w:rPr>
          <w:rFonts w:ascii="Arial" w:hAnsi="Arial" w:cs="Arial"/>
          <w:szCs w:val="24"/>
          <w:vertAlign w:val="superscript"/>
          <w:lang w:val="es-ES"/>
        </w:rPr>
      </w:pPr>
      <w:r>
        <w:rPr>
          <w:rFonts w:ascii="Arial" w:hAnsi="Arial" w:cs="Arial"/>
          <w:szCs w:val="24"/>
          <w:lang w:val="es-ES"/>
        </w:rPr>
        <w:t>Sánchez, L.F.</w:t>
      </w:r>
      <w:r w:rsidRPr="009A10C2">
        <w:rPr>
          <w:rFonts w:ascii="Arial" w:hAnsi="Arial" w:cs="Arial"/>
          <w:szCs w:val="24"/>
          <w:lang w:val="es-ES"/>
        </w:rPr>
        <w:t>,</w:t>
      </w:r>
      <w:r>
        <w:rPr>
          <w:rFonts w:ascii="Arial" w:hAnsi="Arial" w:cs="Arial"/>
          <w:szCs w:val="24"/>
          <w:vertAlign w:val="superscript"/>
          <w:lang w:val="es-ES"/>
        </w:rPr>
        <w:t>1</w:t>
      </w:r>
      <w:r>
        <w:rPr>
          <w:rFonts w:ascii="Arial" w:hAnsi="Arial" w:cs="Arial"/>
          <w:szCs w:val="24"/>
          <w:lang w:val="es-ES"/>
        </w:rPr>
        <w:t xml:space="preserve"> </w:t>
      </w:r>
      <w:r w:rsidRPr="001C7AE6">
        <w:rPr>
          <w:rFonts w:ascii="Arial" w:hAnsi="Arial" w:cs="Arial"/>
          <w:szCs w:val="24"/>
          <w:u w:val="single"/>
          <w:lang w:val="es-ES"/>
        </w:rPr>
        <w:t>González-Salcedo, L.O.</w:t>
      </w:r>
      <w:r>
        <w:rPr>
          <w:rFonts w:ascii="Arial" w:hAnsi="Arial" w:cs="Arial"/>
          <w:szCs w:val="24"/>
          <w:lang w:val="es-ES"/>
        </w:rPr>
        <w:t>,</w:t>
      </w:r>
      <w:r>
        <w:rPr>
          <w:rFonts w:ascii="Arial" w:hAnsi="Arial" w:cs="Arial"/>
          <w:szCs w:val="24"/>
          <w:vertAlign w:val="superscript"/>
          <w:lang w:val="es-ES"/>
        </w:rPr>
        <w:t>1</w:t>
      </w:r>
      <w:r>
        <w:rPr>
          <w:rFonts w:ascii="Arial" w:hAnsi="Arial" w:cs="Arial"/>
          <w:szCs w:val="24"/>
          <w:lang w:val="es-ES"/>
        </w:rPr>
        <w:t xml:space="preserve"> </w:t>
      </w:r>
    </w:p>
    <w:p w:rsidR="001C28A9" w:rsidRPr="00D973A9" w:rsidRDefault="001C28A9" w:rsidP="001C28A9">
      <w:pPr>
        <w:pStyle w:val="affiliation"/>
        <w:rPr>
          <w:rFonts w:ascii="Arial" w:hAnsi="Arial" w:cs="Arial"/>
          <w:sz w:val="24"/>
          <w:szCs w:val="24"/>
          <w:vertAlign w:val="superscript"/>
          <w:lang w:val="es-ES"/>
        </w:rPr>
      </w:pPr>
      <w:r>
        <w:rPr>
          <w:rFonts w:ascii="Arial" w:hAnsi="Arial" w:cs="Arial"/>
          <w:sz w:val="24"/>
          <w:szCs w:val="24"/>
          <w:vertAlign w:val="superscript"/>
          <w:lang w:val="es-ES"/>
        </w:rPr>
        <w:t>1</w:t>
      </w:r>
      <w:r>
        <w:rPr>
          <w:rFonts w:ascii="Arial" w:hAnsi="Arial" w:cs="Arial"/>
          <w:sz w:val="24"/>
          <w:szCs w:val="24"/>
          <w:lang w:val="es-ES"/>
        </w:rPr>
        <w:t xml:space="preserve">Universidad Nacional de Colombia Sede Palmira, Facultad de Ingeniería y Administración, Grupo de Investigación en Eficiencia Energética y Energías Alternativas – GEAL, Palmira, Colombia. </w:t>
      </w:r>
    </w:p>
    <w:p w:rsidR="001C28A9" w:rsidRDefault="001345E4" w:rsidP="001C28A9">
      <w:pPr>
        <w:pStyle w:val="affiliation"/>
        <w:rPr>
          <w:rFonts w:ascii="Arial" w:hAnsi="Arial" w:cs="Arial"/>
          <w:sz w:val="24"/>
          <w:szCs w:val="24"/>
          <w:u w:val="single"/>
          <w:lang w:val="es-ES"/>
        </w:rPr>
      </w:pPr>
      <w:hyperlink r:id="rId1361" w:history="1">
        <w:r w:rsidR="001C28A9" w:rsidRPr="00C56677">
          <w:rPr>
            <w:rStyle w:val="Hipervnculo"/>
            <w:rFonts w:ascii="Arial" w:hAnsi="Arial" w:cs="Arial"/>
            <w:sz w:val="24"/>
            <w:szCs w:val="24"/>
            <w:lang w:val="es-ES"/>
          </w:rPr>
          <w:t>lufsanchez@unal.edu.co</w:t>
        </w:r>
      </w:hyperlink>
      <w:r w:rsidR="001C28A9">
        <w:rPr>
          <w:rFonts w:ascii="Arial" w:hAnsi="Arial" w:cs="Arial"/>
          <w:sz w:val="24"/>
          <w:szCs w:val="24"/>
          <w:lang w:val="es-ES"/>
        </w:rPr>
        <w:t xml:space="preserve"> </w:t>
      </w:r>
      <w:hyperlink r:id="rId1362" w:history="1">
        <w:r w:rsidR="001C28A9" w:rsidRPr="00C56677">
          <w:rPr>
            <w:rStyle w:val="Hipervnculo"/>
            <w:rFonts w:ascii="Arial" w:hAnsi="Arial" w:cs="Arial"/>
            <w:sz w:val="24"/>
            <w:szCs w:val="24"/>
            <w:lang w:val="es-ES"/>
          </w:rPr>
          <w:t>logonzalezsa@unal.edu.co</w:t>
        </w:r>
      </w:hyperlink>
      <w:r w:rsidR="001C28A9">
        <w:rPr>
          <w:rFonts w:ascii="Arial" w:hAnsi="Arial" w:cs="Arial"/>
          <w:sz w:val="24"/>
          <w:szCs w:val="24"/>
          <w:lang w:val="es-ES"/>
        </w:rPr>
        <w:t xml:space="preserve"> </w:t>
      </w:r>
    </w:p>
    <w:p w:rsidR="001C28A9" w:rsidRDefault="001C28A9" w:rsidP="001C28A9">
      <w:pPr>
        <w:pStyle w:val="affiliation"/>
        <w:rPr>
          <w:rFonts w:ascii="Arial" w:eastAsia="Batang" w:hAnsi="Arial" w:cs="Arial"/>
          <w:b/>
          <w:bCs/>
          <w:i/>
          <w:iCs/>
          <w:caps/>
          <w:sz w:val="24"/>
          <w:szCs w:val="24"/>
          <w:lang w:val="es-ES"/>
        </w:rPr>
      </w:pPr>
    </w:p>
    <w:p w:rsidR="001C28A9" w:rsidRPr="001C28A9" w:rsidRDefault="001C28A9" w:rsidP="001C28A9">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olor w:val="000000"/>
          <w:sz w:val="24"/>
          <w:szCs w:val="24"/>
        </w:rPr>
      </w:pPr>
      <w:bookmarkStart w:id="488" w:name="_Toc50031505"/>
      <w:r w:rsidRPr="001C28A9">
        <w:rPr>
          <w:rFonts w:ascii="Arial" w:hAnsi="Arial" w:cs="Arial"/>
          <w:i/>
          <w:caps/>
          <w:sz w:val="24"/>
          <w:szCs w:val="24"/>
        </w:rPr>
        <w:t>1. R</w:t>
      </w:r>
      <w:r w:rsidRPr="001C28A9">
        <w:rPr>
          <w:rFonts w:ascii="Arial" w:hAnsi="Arial" w:cs="Arial"/>
          <w:i/>
          <w:sz w:val="24"/>
          <w:szCs w:val="24"/>
        </w:rPr>
        <w:t>esumen</w:t>
      </w:r>
      <w:bookmarkEnd w:id="488"/>
      <w:r w:rsidRPr="001C28A9">
        <w:rPr>
          <w:rFonts w:ascii="Arial" w:hAnsi="Arial" w:cs="Arial"/>
          <w:i/>
          <w:caps/>
          <w:sz w:val="24"/>
          <w:szCs w:val="24"/>
        </w:rPr>
        <w:t xml:space="preserve"> </w:t>
      </w:r>
    </w:p>
    <w:p w:rsidR="001C28A9" w:rsidRDefault="001C28A9" w:rsidP="001C28A9">
      <w:pPr>
        <w:ind w:firstLine="567"/>
        <w:jc w:val="both"/>
        <w:rPr>
          <w:rFonts w:ascii="Arial" w:hAnsi="Arial" w:cs="Arial"/>
        </w:rPr>
      </w:pPr>
      <w:r>
        <w:rPr>
          <w:rFonts w:ascii="Arial" w:hAnsi="Arial" w:cs="Arial"/>
          <w:color w:val="000000"/>
        </w:rPr>
        <w:t xml:space="preserve">Para el calentamiento de agua con energía solar, se usan sistemas térmicos que incluyen el uso de colectores solares siendo los más comunes para este tipo de aplicación, los colectores de placa plana. El proceso de diseño del sistema térmico involucra entre otros aspectos, el dimensionamiento del área de la superficie colectora, la cual se determina a partir de las condiciones ambientales, condiciones de energía solar disponible, ubicación geográfica, condiciones de colocación del colector, demanda de agua, y características de fabricación del colector; y protocolos de diseño que están estandarizados. En el presente trabajo se explora el uso de redes neuronales artificiales como herramienta tecnológica en el dimensionamiento del área colectora. Para evaluar la confiabilidad en la estimación se usó como indicador de desempeño, el factor de correlación lineal R. Los resultados muestran que la estimación usando la técnica elaborada es confiable y puede ser usada de manera generalizada. </w:t>
      </w:r>
    </w:p>
    <w:p w:rsidR="001C28A9" w:rsidRDefault="001C28A9" w:rsidP="001C28A9">
      <w:pPr>
        <w:ind w:firstLine="567"/>
        <w:jc w:val="both"/>
        <w:rPr>
          <w:rFonts w:ascii="Arial" w:hAnsi="Arial" w:cs="Arial"/>
        </w:rPr>
      </w:pPr>
    </w:p>
    <w:p w:rsidR="001C28A9" w:rsidRPr="001C28A9" w:rsidRDefault="001C28A9" w:rsidP="001C28A9">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caps/>
          <w:sz w:val="24"/>
          <w:szCs w:val="24"/>
        </w:rPr>
      </w:pPr>
      <w:bookmarkStart w:id="489" w:name="_Toc50031506"/>
      <w:r w:rsidRPr="001C28A9">
        <w:rPr>
          <w:rFonts w:ascii="Arial" w:hAnsi="Arial" w:cs="Arial"/>
          <w:i/>
          <w:caps/>
          <w:sz w:val="24"/>
          <w:szCs w:val="24"/>
        </w:rPr>
        <w:t>2. I</w:t>
      </w:r>
      <w:r w:rsidRPr="001C28A9">
        <w:rPr>
          <w:rFonts w:ascii="Arial" w:hAnsi="Arial" w:cs="Arial"/>
          <w:i/>
          <w:sz w:val="24"/>
          <w:szCs w:val="24"/>
        </w:rPr>
        <w:t>ntroducción</w:t>
      </w:r>
      <w:bookmarkEnd w:id="489"/>
      <w:r w:rsidRPr="001C28A9">
        <w:rPr>
          <w:rFonts w:ascii="Arial" w:hAnsi="Arial" w:cs="Arial"/>
          <w:i/>
          <w:caps/>
          <w:sz w:val="24"/>
          <w:szCs w:val="24"/>
        </w:rPr>
        <w:t xml:space="preserve"> </w:t>
      </w:r>
    </w:p>
    <w:p w:rsidR="001C28A9" w:rsidRPr="003217EA" w:rsidRDefault="001C28A9" w:rsidP="001C28A9">
      <w:pPr>
        <w:jc w:val="both"/>
        <w:rPr>
          <w:rFonts w:ascii="Arial" w:hAnsi="Arial" w:cs="Arial"/>
        </w:rPr>
      </w:pPr>
      <w:r>
        <w:t xml:space="preserve">         </w:t>
      </w:r>
      <w:r>
        <w:rPr>
          <w:rFonts w:ascii="Arial" w:hAnsi="Arial" w:cs="Arial"/>
        </w:rPr>
        <w:t xml:space="preserve">Las energías alternativas o no convencionales corresponden a aquellas que no se derivan de los hidrocarburos, siendo estas solar, eólica, biomasa, geotérmica, maremotriz, hidráulica y nuclear </w:t>
      </w:r>
      <w:r w:rsidRPr="004C3B19">
        <w:rPr>
          <w:rFonts w:ascii="Arial" w:hAnsi="Arial" w:cs="Arial"/>
          <w:vertAlign w:val="superscript"/>
        </w:rPr>
        <w:t>[1]</w:t>
      </w:r>
      <w:r>
        <w:rPr>
          <w:rFonts w:ascii="Arial" w:hAnsi="Arial" w:cs="Arial"/>
        </w:rPr>
        <w:t xml:space="preserve">. La energía solar se puede aprovechar de manera directa o indirecta, y de forma directa dos aplicaciones se derivan, el aprovechamiento fototérmico y el aprovechamiento fotovoltaico. En el primero, la energía por radiación es convertida en energía calorífica y las aplicaciones más conocidas corresponden al calentamiento de agua para usos domésticos, lo cual es conocido como agua caliente solar </w:t>
      </w:r>
      <w:r w:rsidRPr="00B46CB2">
        <w:rPr>
          <w:rFonts w:ascii="Arial" w:hAnsi="Arial" w:cs="Arial"/>
          <w:vertAlign w:val="superscript"/>
        </w:rPr>
        <w:t>[2]</w:t>
      </w:r>
      <w:r>
        <w:rPr>
          <w:rFonts w:ascii="Arial" w:hAnsi="Arial" w:cs="Arial"/>
        </w:rPr>
        <w:t>.</w:t>
      </w:r>
    </w:p>
    <w:p w:rsidR="001C28A9" w:rsidRDefault="001C28A9" w:rsidP="001C28A9">
      <w:pPr>
        <w:ind w:firstLine="539"/>
        <w:jc w:val="both"/>
        <w:rPr>
          <w:rFonts w:ascii="Arial" w:hAnsi="Arial" w:cs="Arial"/>
          <w:color w:val="000000"/>
        </w:rPr>
      </w:pPr>
      <w:r w:rsidRPr="00746A45">
        <w:rPr>
          <w:rFonts w:ascii="Arial" w:hAnsi="Arial" w:cs="Arial"/>
          <w:color w:val="000000"/>
        </w:rPr>
        <w:t xml:space="preserve">El </w:t>
      </w:r>
      <w:r>
        <w:rPr>
          <w:rFonts w:ascii="Arial" w:hAnsi="Arial" w:cs="Arial"/>
          <w:color w:val="000000"/>
        </w:rPr>
        <w:t xml:space="preserve">agua caliente solar o agua calentada por sistemas solares, se refiere al calentamiento del agua caliente sanitaria – ACS, utilizando la energía solar por diversos métodos. Para tal fin, se utilizan dispositivos diseñados para colectar la energía recibida por el sol, que elevan la temperatura del fluido que circula dentro de este dispositivo. Estos dispositivos se denominan colectores solares, y se disponen de tal forma que su orientación se realiza hacia la dirección del eje ecuatorial, es decir en el hemisferio norte se orientarán hacia el sur, y en el hemisferio sur hacia el norte. En las aplicaciones más comunes, de uso doméstico, de más fácil instalación y menor costo, utilizan colectores que consisten en superficies planas por la que discurre una tubería por la que discurre el agua que se ha de calentar; este conjunto superficie – tubería son o están pintados de color negro, que absorbe la radiación solar. Este colector se denomina colector de placa plana – cpp </w:t>
      </w:r>
      <w:r w:rsidRPr="00DB3C00">
        <w:rPr>
          <w:rFonts w:ascii="Arial" w:hAnsi="Arial" w:cs="Arial"/>
          <w:color w:val="000000"/>
          <w:vertAlign w:val="superscript"/>
        </w:rPr>
        <w:t>[3]</w:t>
      </w:r>
      <w:r>
        <w:rPr>
          <w:rFonts w:ascii="Arial" w:hAnsi="Arial" w:cs="Arial"/>
          <w:color w:val="000000"/>
        </w:rPr>
        <w:t>.</w:t>
      </w:r>
    </w:p>
    <w:p w:rsidR="001C28A9" w:rsidRDefault="001C28A9" w:rsidP="001C28A9">
      <w:pPr>
        <w:ind w:firstLine="539"/>
        <w:jc w:val="both"/>
        <w:rPr>
          <w:rFonts w:ascii="Arial" w:hAnsi="Arial" w:cs="Arial"/>
          <w:color w:val="000000"/>
        </w:rPr>
      </w:pPr>
      <w:r>
        <w:rPr>
          <w:rFonts w:ascii="Arial" w:hAnsi="Arial" w:cs="Arial"/>
          <w:color w:val="000000"/>
        </w:rPr>
        <w:t xml:space="preserve">El rendimiento de los colectores de placa plana depende de varios factores </w:t>
      </w:r>
      <w:r w:rsidRPr="00AE1B73">
        <w:rPr>
          <w:rFonts w:ascii="Arial" w:hAnsi="Arial" w:cs="Arial"/>
          <w:color w:val="000000"/>
          <w:vertAlign w:val="superscript"/>
        </w:rPr>
        <w:t>[4]</w:t>
      </w:r>
      <w:r>
        <w:rPr>
          <w:rFonts w:ascii="Arial" w:hAnsi="Arial" w:cs="Arial"/>
          <w:color w:val="000000"/>
        </w:rPr>
        <w:t>: 1. La insolación, horas del sol y situación geográfica; 2. La adecuada colocación del colector, orientación, inclinación y ausencia de elementos que les de sombra; 3. Las pérdidas hacia el ambiente exterior, debidas por las diferencias de temperatura entre el exterior (ambiente) y el interior (dentro del colector); entre otras. Un cpp no es tecnológicamente complejo y aunque su margen de evolución es muy limitado, consiguen en la actualidad captar más del 95% de la energía recibida del sol, superando el rendimiento de los dispositivos de aprovechamiento fotovoltaico, los paneles solares fotovoltaicos, que convierten directamente la energía por radiación en energía eléctrica, y que comúnmente está entre 15-20%. Así mismo, se estima que el 80% del consumo energético de una vivienda se produce en forma de agua caliente a baja temperatura, con aplicaciones en calefacción y ACS.</w:t>
      </w:r>
    </w:p>
    <w:p w:rsidR="001C28A9" w:rsidRDefault="001C28A9" w:rsidP="001C28A9">
      <w:pPr>
        <w:ind w:firstLine="539"/>
        <w:jc w:val="both"/>
        <w:rPr>
          <w:rFonts w:ascii="Arial" w:hAnsi="Arial" w:cs="Arial"/>
          <w:color w:val="000000"/>
        </w:rPr>
      </w:pPr>
      <w:r>
        <w:rPr>
          <w:rFonts w:ascii="Arial" w:hAnsi="Arial" w:cs="Arial"/>
          <w:color w:val="000000"/>
        </w:rPr>
        <w:t xml:space="preserve">El diseño de sistemas de energía solar térmica para ACS, incluye el dimensionamiento de la superficie colectara usando cpp; para lo cual dependiendo del consumo de agua caliente, las condiciones de temperatura ambiente y del agua en la red, las condiciones de ubicación geográfica (latitud, calidad del aire, factores de corrección por latitud e inclinación), las propiedades características del colector expresadas en su ecuación de rendimiento, y la determinación mensual de las necesidades energéticas que serán suplidas por la energía solar disponible, conlleva al cálculo del área de la superficie colectora representada en unidades de cpp seleccionados </w:t>
      </w:r>
      <w:r w:rsidRPr="00F634EC">
        <w:rPr>
          <w:rFonts w:ascii="Arial" w:hAnsi="Arial" w:cs="Arial"/>
          <w:color w:val="000000"/>
          <w:vertAlign w:val="superscript"/>
        </w:rPr>
        <w:t>[</w:t>
      </w:r>
      <w:r>
        <w:rPr>
          <w:rFonts w:ascii="Arial" w:hAnsi="Arial" w:cs="Arial"/>
          <w:color w:val="000000"/>
          <w:vertAlign w:val="superscript"/>
        </w:rPr>
        <w:t>5</w:t>
      </w:r>
      <w:r w:rsidRPr="00F634EC">
        <w:rPr>
          <w:rFonts w:ascii="Arial" w:hAnsi="Arial" w:cs="Arial"/>
          <w:color w:val="000000"/>
          <w:vertAlign w:val="superscript"/>
        </w:rPr>
        <w:t>]</w:t>
      </w:r>
      <w:r>
        <w:rPr>
          <w:rFonts w:ascii="Arial" w:hAnsi="Arial" w:cs="Arial"/>
          <w:color w:val="000000"/>
        </w:rPr>
        <w:t>. Este procedimiento que puede ser sistematizado, incluso en hojas electrónicas, incorpora entonces variables que dependen de la tipología del colector (propiedades de los materiales, dimensiones), de las condiciones externas (condiciones medioambientales, fluido caloportador) y de las variables medibles (pérdida de energía térmica, factores de eficiencia, eficiencia global), requiriendo la disponibilidad de la información, su conocimiento y posterior aplicación en el procedimiento de diseño.</w:t>
      </w:r>
    </w:p>
    <w:p w:rsidR="001C28A9" w:rsidRDefault="001C28A9" w:rsidP="001C28A9">
      <w:pPr>
        <w:ind w:firstLine="539"/>
        <w:jc w:val="both"/>
        <w:rPr>
          <w:rFonts w:ascii="Arial" w:hAnsi="Arial" w:cs="Arial"/>
          <w:color w:val="000000"/>
        </w:rPr>
      </w:pPr>
      <w:r>
        <w:rPr>
          <w:rFonts w:ascii="Arial" w:hAnsi="Arial" w:cs="Arial"/>
          <w:color w:val="000000"/>
        </w:rPr>
        <w:t>El proceso de diseño de sistemas de energía solar térmica para ACS y su automatización, particularmente usando software para tal fin, crean la necesidad de estrategias que permitan recurrir a las variables mencionadas, conllevando a la herramienta computacional a un costo informático relacionado con operaciones de programación, codificación, memoria y tiempo de utilización – resolución del problema, planteando entonces la búsqueda de aplicaciones relacionadas con el aprendizaje de máquinas que faciliten la operación final de calcular el área de la superficie colectora. Este problema que se plantea crea un campo fértil de aplicación de la Inteligencia Artificial, a partir de técnicas de estimación basadas en redes neuronales artificiales.</w:t>
      </w:r>
    </w:p>
    <w:p w:rsidR="001C28A9" w:rsidRDefault="001C28A9" w:rsidP="001C28A9">
      <w:pPr>
        <w:ind w:firstLine="539"/>
        <w:jc w:val="both"/>
        <w:rPr>
          <w:rFonts w:ascii="Arial" w:hAnsi="Arial" w:cs="Arial"/>
          <w:color w:val="000000"/>
        </w:rPr>
      </w:pPr>
      <w:r>
        <w:rPr>
          <w:rFonts w:ascii="Arial" w:hAnsi="Arial" w:cs="Arial"/>
          <w:color w:val="000000"/>
        </w:rPr>
        <w:t xml:space="preserve">Por su parte, la Inteligencia Artificial, término acuñado en 1956, es la rama científica que combina las matemáticas y la computación para crear “máquinas inteligentes” capaces de resolver problemas que el ser humano resuelve tanto de manera cotidiana como de manera especializada, a partir de la incorporación en estas máquinas de diversas técnicas que “las conviertan en inteligentes” </w:t>
      </w:r>
      <w:r w:rsidRPr="003C4B5B">
        <w:rPr>
          <w:rFonts w:ascii="Arial" w:hAnsi="Arial" w:cs="Arial"/>
          <w:color w:val="000000"/>
          <w:vertAlign w:val="superscript"/>
        </w:rPr>
        <w:t>[6]</w:t>
      </w:r>
      <w:r>
        <w:rPr>
          <w:rFonts w:ascii="Arial" w:hAnsi="Arial" w:cs="Arial"/>
          <w:color w:val="000000"/>
        </w:rPr>
        <w:t xml:space="preserve">. Una de sus técnicas son las redes neuronales artificiales, que corresponden a sistemas conexionistas en los cuales un modelo computacional se inspira en el aprendizaje de las neuronas biológicas del cerebro humano (Figura 1), y son definidas como excelentes reconocedores de patrones que pueden resolver problemas puntuales y adaptarse a situaciones según su entrenamiento, generando excelentes resultados </w:t>
      </w:r>
      <w:r w:rsidRPr="003C4B5B">
        <w:rPr>
          <w:rFonts w:ascii="Arial" w:hAnsi="Arial" w:cs="Arial"/>
          <w:color w:val="000000"/>
          <w:vertAlign w:val="superscript"/>
        </w:rPr>
        <w:t>[7]</w:t>
      </w:r>
      <w:r>
        <w:rPr>
          <w:rFonts w:ascii="Arial" w:hAnsi="Arial" w:cs="Arial"/>
          <w:color w:val="000000"/>
        </w:rPr>
        <w:t xml:space="preserve">. Diversas aplicaciones de redes neuronales artificiales han sido desarrolladas para explorar el dimensionamiento de áreas colectoras en sistemas de ACS, siendo algunas simples en la consideración de las variables a reconocer, pero que limitan su uso para condiciones generales, y algunas más complejas que consideran todas las variables de diseño, pero que requieren de la información de dichas variables </w:t>
      </w:r>
      <w:r w:rsidRPr="00D7429D">
        <w:rPr>
          <w:rFonts w:ascii="Arial" w:hAnsi="Arial" w:cs="Arial"/>
          <w:color w:val="000000"/>
          <w:vertAlign w:val="superscript"/>
        </w:rPr>
        <w:t>[8]</w:t>
      </w:r>
      <w:r>
        <w:rPr>
          <w:rFonts w:ascii="Arial" w:hAnsi="Arial" w:cs="Arial"/>
          <w:color w:val="000000"/>
        </w:rPr>
        <w:t>.</w:t>
      </w:r>
    </w:p>
    <w:p w:rsidR="001C28A9" w:rsidRDefault="001C28A9" w:rsidP="001C28A9">
      <w:pPr>
        <w:ind w:firstLine="539"/>
        <w:jc w:val="both"/>
        <w:rPr>
          <w:rFonts w:ascii="Arial" w:hAnsi="Arial" w:cs="Arial"/>
          <w:color w:val="000000"/>
        </w:rPr>
      </w:pPr>
      <w:r>
        <w:rPr>
          <w:rFonts w:ascii="Arial" w:hAnsi="Arial" w:cs="Arial"/>
          <w:color w:val="000000"/>
        </w:rPr>
        <w:t>En el presente estudio, se explora el uso de redes neuronales artificiales con arquitectura multicapa, alimentación de información hacia adelante y metodología de aprendizaje/ajuste del error hacia atrás, denominadas como Perceptrón Multicapa feedfoward – backpropagation, en el dimensionamiento de sistemas de energía solar térmica para ACS. Estas herramientas de inteligencia artificial fueron entrenadas para predecir el área de la superficie colectora basado en colectores de placa plana, dispositivo que es identificado a partir de su curva de rendimiento. El desempeño de las redes neuronales basado en el coeficiente de correlación lineal (R &gt; 0.97) muestra una herramienta confiable en la resolución del problema planteado del área de la superficie colectora requerida y potencia su uso como componente informático del software para el dimensionamiento de sistemas de energía térmica para ACS.</w:t>
      </w:r>
    </w:p>
    <w:p w:rsidR="001C28A9" w:rsidRDefault="001C28A9" w:rsidP="001C28A9">
      <w:pPr>
        <w:jc w:val="both"/>
        <w:rPr>
          <w:rFonts w:ascii="Arial" w:hAnsi="Arial" w:cs="Arial"/>
          <w:color w:val="000000"/>
        </w:rPr>
      </w:pPr>
    </w:p>
    <w:p w:rsidR="001C28A9" w:rsidRDefault="001C28A9" w:rsidP="001C28A9">
      <w:pPr>
        <w:jc w:val="center"/>
        <w:rPr>
          <w:rFonts w:ascii="Arial" w:hAnsi="Arial" w:cs="Arial"/>
          <w:color w:val="000000"/>
        </w:rPr>
      </w:pPr>
      <w:r w:rsidRPr="00D4465A">
        <w:rPr>
          <w:rFonts w:ascii="Arial" w:hAnsi="Arial" w:cs="Arial"/>
          <w:noProof/>
          <w:color w:val="000000"/>
          <w:lang w:val="en-US"/>
        </w:rPr>
        <w:drawing>
          <wp:inline distT="0" distB="0" distL="0" distR="0" wp14:anchorId="76482486" wp14:editId="48AE2463">
            <wp:extent cx="2876550" cy="1304925"/>
            <wp:effectExtent l="0" t="0" r="0" b="9525"/>
            <wp:docPr id="1112" name="Imagen 1112" descr="figura-1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 descr="figura-1_a"/>
                    <pic:cNvPicPr>
                      <a:picLocks noChangeAspect="1" noChangeArrowheads="1"/>
                    </pic:cNvPicPr>
                  </pic:nvPicPr>
                  <pic:blipFill>
                    <a:blip r:embed="rId1363" cstate="print">
                      <a:extLst>
                        <a:ext uri="{28A0092B-C50C-407E-A947-70E740481C1C}">
                          <a14:useLocalDpi xmlns:a14="http://schemas.microsoft.com/office/drawing/2010/main" val="0"/>
                        </a:ext>
                      </a:extLst>
                    </a:blip>
                    <a:srcRect/>
                    <a:stretch>
                      <a:fillRect/>
                    </a:stretch>
                  </pic:blipFill>
                  <pic:spPr bwMode="auto">
                    <a:xfrm>
                      <a:off x="0" y="0"/>
                      <a:ext cx="2876550" cy="1304925"/>
                    </a:xfrm>
                    <a:prstGeom prst="rect">
                      <a:avLst/>
                    </a:prstGeom>
                    <a:noFill/>
                    <a:ln>
                      <a:noFill/>
                    </a:ln>
                  </pic:spPr>
                </pic:pic>
              </a:graphicData>
            </a:graphic>
          </wp:inline>
        </w:drawing>
      </w:r>
      <w:r w:rsidRPr="00D4465A">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Pr="00D4465A">
        <w:rPr>
          <w:rFonts w:ascii="Arial" w:hAnsi="Arial" w:cs="Arial"/>
          <w:noProof/>
          <w:color w:val="000000"/>
          <w:lang w:val="en-US"/>
        </w:rPr>
        <w:drawing>
          <wp:inline distT="0" distB="0" distL="0" distR="0" wp14:anchorId="5BB6BF9B" wp14:editId="0CE18EC1">
            <wp:extent cx="2876550" cy="1476375"/>
            <wp:effectExtent l="0" t="0" r="0" b="9525"/>
            <wp:docPr id="1111" name="Imagen 1111" descr="figura-1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 descr="figura-1_b"/>
                    <pic:cNvPicPr>
                      <a:picLocks noChangeAspect="1" noChangeArrowheads="1"/>
                    </pic:cNvPicPr>
                  </pic:nvPicPr>
                  <pic:blipFill>
                    <a:blip r:embed="rId1364" cstate="print">
                      <a:extLst>
                        <a:ext uri="{28A0092B-C50C-407E-A947-70E740481C1C}">
                          <a14:useLocalDpi xmlns:a14="http://schemas.microsoft.com/office/drawing/2010/main" val="0"/>
                        </a:ext>
                      </a:extLst>
                    </a:blip>
                    <a:srcRect/>
                    <a:stretch>
                      <a:fillRect/>
                    </a:stretch>
                  </pic:blipFill>
                  <pic:spPr bwMode="auto">
                    <a:xfrm>
                      <a:off x="0" y="0"/>
                      <a:ext cx="2876550" cy="1476375"/>
                    </a:xfrm>
                    <a:prstGeom prst="rect">
                      <a:avLst/>
                    </a:prstGeom>
                    <a:noFill/>
                    <a:ln>
                      <a:noFill/>
                    </a:ln>
                  </pic:spPr>
                </pic:pic>
              </a:graphicData>
            </a:graphic>
          </wp:inline>
        </w:drawing>
      </w:r>
    </w:p>
    <w:p w:rsidR="001C28A9" w:rsidRDefault="001C28A9" w:rsidP="001C28A9">
      <w:pPr>
        <w:jc w:val="center"/>
        <w:rPr>
          <w:rFonts w:ascii="Arial" w:hAnsi="Arial" w:cs="Arial"/>
          <w:bCs/>
          <w:i/>
          <w:sz w:val="20"/>
          <w:szCs w:val="20"/>
        </w:rPr>
      </w:pPr>
      <w:r>
        <w:rPr>
          <w:rFonts w:ascii="Arial" w:hAnsi="Arial" w:cs="Arial"/>
          <w:bCs/>
          <w:i/>
          <w:sz w:val="20"/>
          <w:szCs w:val="20"/>
        </w:rPr>
        <w:t>Figura 1</w:t>
      </w:r>
      <w:r w:rsidRPr="00296222">
        <w:rPr>
          <w:rFonts w:ascii="Arial" w:hAnsi="Arial" w:cs="Arial"/>
          <w:bCs/>
          <w:i/>
          <w:sz w:val="20"/>
          <w:szCs w:val="20"/>
        </w:rPr>
        <w:t xml:space="preserve">. </w:t>
      </w:r>
      <w:r>
        <w:rPr>
          <w:rFonts w:ascii="Arial" w:hAnsi="Arial" w:cs="Arial"/>
          <w:bCs/>
          <w:i/>
          <w:sz w:val="20"/>
          <w:szCs w:val="20"/>
        </w:rPr>
        <w:t>Neurona artificial (derecha) emulada a partir de la neurona biológica</w:t>
      </w:r>
    </w:p>
    <w:p w:rsidR="001C28A9" w:rsidRDefault="001C28A9" w:rsidP="001C28A9">
      <w:pPr>
        <w:jc w:val="both"/>
        <w:rPr>
          <w:rFonts w:ascii="Arial" w:hAnsi="Arial" w:cs="Arial"/>
          <w:color w:val="000000"/>
        </w:rPr>
      </w:pPr>
    </w:p>
    <w:p w:rsidR="001C28A9" w:rsidRPr="0054276B" w:rsidRDefault="001C28A9" w:rsidP="001C28A9">
      <w:pPr>
        <w:jc w:val="both"/>
        <w:rPr>
          <w:rFonts w:ascii="Arial" w:hAnsi="Arial" w:cs="Arial"/>
          <w:color w:val="000000"/>
        </w:rPr>
      </w:pPr>
    </w:p>
    <w:p w:rsidR="001C28A9" w:rsidRPr="00A7164B" w:rsidRDefault="001C28A9" w:rsidP="001C28A9">
      <w:pPr>
        <w:jc w:val="both"/>
        <w:rPr>
          <w:rFonts w:ascii="Arial" w:hAnsi="Arial" w:cs="Arial"/>
          <w:color w:val="000000"/>
        </w:rPr>
      </w:pPr>
      <w:r>
        <w:rPr>
          <w:rFonts w:ascii="Arial" w:hAnsi="Arial" w:cs="Arial"/>
          <w:color w:val="000000"/>
        </w:rPr>
        <w:t xml:space="preserve">         </w:t>
      </w:r>
    </w:p>
    <w:p w:rsidR="001C28A9" w:rsidRPr="001C28A9" w:rsidRDefault="001C28A9" w:rsidP="001C28A9">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490" w:name="_Toc50031507"/>
      <w:r w:rsidRPr="001C28A9">
        <w:rPr>
          <w:rFonts w:ascii="Arial" w:hAnsi="Arial" w:cs="Arial"/>
          <w:i/>
          <w:caps/>
          <w:sz w:val="24"/>
          <w:szCs w:val="24"/>
        </w:rPr>
        <w:t>3. C</w:t>
      </w:r>
      <w:r w:rsidRPr="001C28A9">
        <w:rPr>
          <w:rFonts w:ascii="Arial" w:hAnsi="Arial" w:cs="Arial"/>
          <w:i/>
          <w:sz w:val="24"/>
          <w:szCs w:val="24"/>
        </w:rPr>
        <w:t>ondiciones experimentales</w:t>
      </w:r>
      <w:bookmarkEnd w:id="490"/>
    </w:p>
    <w:p w:rsidR="001C28A9" w:rsidRPr="00BC5E0A" w:rsidRDefault="001C28A9" w:rsidP="001C28A9">
      <w:pPr>
        <w:numPr>
          <w:ilvl w:val="0"/>
          <w:numId w:val="1"/>
        </w:numPr>
        <w:tabs>
          <w:tab w:val="clear" w:pos="432"/>
          <w:tab w:val="num" w:pos="0"/>
        </w:tabs>
        <w:suppressAutoHyphens/>
        <w:spacing w:after="0" w:line="360" w:lineRule="auto"/>
        <w:ind w:left="0" w:firstLine="0"/>
        <w:jc w:val="both"/>
        <w:rPr>
          <w:rFonts w:ascii="Arial" w:hAnsi="Arial" w:cs="Arial"/>
          <w:i/>
        </w:rPr>
      </w:pPr>
      <w:r w:rsidRPr="00BC5E0A">
        <w:rPr>
          <w:rFonts w:ascii="Arial" w:hAnsi="Arial" w:cs="Arial"/>
          <w:i/>
          <w:color w:val="000000"/>
        </w:rPr>
        <w:t xml:space="preserve">3.1 </w:t>
      </w:r>
      <w:r>
        <w:rPr>
          <w:rFonts w:ascii="Arial" w:hAnsi="Arial" w:cs="Arial"/>
          <w:i/>
          <w:color w:val="000000"/>
        </w:rPr>
        <w:t>Ubicación geográfica del campo de exploración</w:t>
      </w:r>
    </w:p>
    <w:p w:rsidR="001C28A9" w:rsidRDefault="001C28A9" w:rsidP="001C28A9">
      <w:pPr>
        <w:numPr>
          <w:ilvl w:val="0"/>
          <w:numId w:val="1"/>
        </w:numPr>
        <w:tabs>
          <w:tab w:val="clear" w:pos="432"/>
          <w:tab w:val="num" w:pos="0"/>
        </w:tabs>
        <w:suppressAutoHyphens/>
        <w:spacing w:after="0" w:line="240" w:lineRule="auto"/>
        <w:ind w:left="0" w:firstLine="539"/>
        <w:jc w:val="both"/>
        <w:rPr>
          <w:rFonts w:ascii="Arial" w:hAnsi="Arial" w:cs="Arial"/>
        </w:rPr>
      </w:pPr>
      <w:r>
        <w:rPr>
          <w:rFonts w:ascii="Arial" w:hAnsi="Arial" w:cs="Arial"/>
        </w:rPr>
        <w:t>El estudio se realizó para ubicaciones geográficas localizadas en el hemisferio norte, considerando como referencia de dicha ubicación la latitud, expresada como la distancia angular entre la línea ecuatorial y un punto determinado de la Tierra, en dirección norte, medida a lo largo del meridiano en el que se encuentra el punto, expresándose en medidas angulares que varían desde los 0° del Ecuador hasta los 90°N del polo norte.</w:t>
      </w:r>
    </w:p>
    <w:p w:rsidR="001C28A9" w:rsidRDefault="001C28A9" w:rsidP="001C28A9">
      <w:pPr>
        <w:pStyle w:val="Textoindependiente"/>
        <w:rPr>
          <w:rFonts w:ascii="Arial" w:hAnsi="Arial" w:cs="Arial"/>
          <w:b w:val="0"/>
          <w:sz w:val="24"/>
        </w:rPr>
      </w:pPr>
    </w:p>
    <w:p w:rsidR="001C28A9" w:rsidRPr="00BC5E0A" w:rsidRDefault="001C28A9" w:rsidP="001C28A9">
      <w:pPr>
        <w:numPr>
          <w:ilvl w:val="0"/>
          <w:numId w:val="1"/>
        </w:numPr>
        <w:tabs>
          <w:tab w:val="clear" w:pos="432"/>
          <w:tab w:val="num" w:pos="0"/>
        </w:tabs>
        <w:suppressAutoHyphens/>
        <w:spacing w:after="0" w:line="360" w:lineRule="auto"/>
        <w:ind w:left="0" w:firstLine="0"/>
        <w:jc w:val="both"/>
        <w:rPr>
          <w:rFonts w:ascii="Arial" w:hAnsi="Arial" w:cs="Arial"/>
          <w:i/>
        </w:rPr>
      </w:pPr>
      <w:r>
        <w:rPr>
          <w:rFonts w:ascii="Arial" w:hAnsi="Arial" w:cs="Arial"/>
          <w:i/>
          <w:color w:val="000000"/>
        </w:rPr>
        <w:t>3.2</w:t>
      </w:r>
      <w:r w:rsidRPr="00BC5E0A">
        <w:rPr>
          <w:rFonts w:ascii="Arial" w:hAnsi="Arial" w:cs="Arial"/>
          <w:i/>
          <w:color w:val="000000"/>
        </w:rPr>
        <w:t xml:space="preserve"> </w:t>
      </w:r>
      <w:r>
        <w:rPr>
          <w:rFonts w:ascii="Arial" w:hAnsi="Arial" w:cs="Arial"/>
          <w:i/>
          <w:color w:val="000000"/>
        </w:rPr>
        <w:t>Construcción del conjunto de entrenamiento de las redes neuronales artificiales</w:t>
      </w:r>
    </w:p>
    <w:p w:rsidR="001C28A9" w:rsidRDefault="001C28A9" w:rsidP="001C28A9">
      <w:pPr>
        <w:numPr>
          <w:ilvl w:val="0"/>
          <w:numId w:val="1"/>
        </w:numPr>
        <w:tabs>
          <w:tab w:val="clear" w:pos="432"/>
          <w:tab w:val="num" w:pos="0"/>
        </w:tabs>
        <w:suppressAutoHyphens/>
        <w:spacing w:after="0" w:line="240" w:lineRule="auto"/>
        <w:ind w:left="0" w:firstLine="539"/>
        <w:jc w:val="both"/>
        <w:rPr>
          <w:rFonts w:ascii="Arial" w:hAnsi="Arial" w:cs="Arial"/>
        </w:rPr>
      </w:pPr>
      <w:r>
        <w:rPr>
          <w:rFonts w:ascii="Arial" w:hAnsi="Arial" w:cs="Arial"/>
        </w:rPr>
        <w:t xml:space="preserve">Para el entrenamiento de las redes neuronales artificiales se prepara una base de datos conformada por patrones o vectores de información, que le permiten al modelo de predicción hacer el reconocimiento de las relaciones que existen entre las neuronas (variables) de entrada que conllevan al resultado de la neurona a predecir (variable de salida). Para tal fin, de acuerdo con el protocolo de diseño de sistemas de energía solar térmica para ACS propuesto por CENSOLAR </w:t>
      </w:r>
      <w:r w:rsidRPr="003D63EA">
        <w:rPr>
          <w:rFonts w:ascii="Arial" w:hAnsi="Arial" w:cs="Arial"/>
          <w:vertAlign w:val="superscript"/>
        </w:rPr>
        <w:t>[9]</w:t>
      </w:r>
      <w:r>
        <w:rPr>
          <w:rFonts w:ascii="Arial" w:hAnsi="Arial" w:cs="Arial"/>
        </w:rPr>
        <w:t>, se hace una selección de variables de entrada relevantes en el problema de dimensionamiento (determinación del área) de la superficie colectora en sistemas de aprovechamiento de la energía solar para calentamiento de agua.</w:t>
      </w:r>
    </w:p>
    <w:p w:rsidR="001C28A9" w:rsidRDefault="001C28A9" w:rsidP="001C28A9">
      <w:pPr>
        <w:numPr>
          <w:ilvl w:val="0"/>
          <w:numId w:val="1"/>
        </w:numPr>
        <w:tabs>
          <w:tab w:val="clear" w:pos="432"/>
          <w:tab w:val="num" w:pos="0"/>
        </w:tabs>
        <w:suppressAutoHyphens/>
        <w:spacing w:after="0" w:line="240" w:lineRule="auto"/>
        <w:ind w:left="0" w:firstLine="539"/>
        <w:jc w:val="both"/>
        <w:rPr>
          <w:rFonts w:ascii="Arial" w:hAnsi="Arial" w:cs="Arial"/>
        </w:rPr>
      </w:pPr>
      <w:r>
        <w:rPr>
          <w:rFonts w:ascii="Arial" w:hAnsi="Arial" w:cs="Arial"/>
        </w:rPr>
        <w:t>Estas son las siguientes: Latitud en grados [LAT], consumo anual promedio en m</w:t>
      </w:r>
      <w:r>
        <w:rPr>
          <w:rFonts w:ascii="Arial" w:hAnsi="Arial" w:cs="Arial"/>
          <w:vertAlign w:val="superscript"/>
        </w:rPr>
        <w:t>3</w:t>
      </w:r>
      <w:r>
        <w:rPr>
          <w:rFonts w:ascii="Arial" w:hAnsi="Arial" w:cs="Arial"/>
        </w:rPr>
        <w:t xml:space="preserve"> [Q], temperatura del agua en la red en °C [Ta], Irradiación solar horizontal promedia en MJ/m</w:t>
      </w:r>
      <w:r>
        <w:rPr>
          <w:rFonts w:ascii="Arial" w:hAnsi="Arial" w:cs="Arial"/>
          <w:vertAlign w:val="superscript"/>
        </w:rPr>
        <w:t>2</w:t>
      </w:r>
      <w:r>
        <w:rPr>
          <w:rFonts w:ascii="Arial" w:hAnsi="Arial" w:cs="Arial"/>
        </w:rPr>
        <w:t>/día [H], término independiente de la curva de eficiencia del colector solar a usar [b], pendiente de la curva de eficiencia del colector solar a usar [m], factor de corrección de H acorde al entorno [fk], siendo 1.05 para ambientes libres de polución, 0.95 para ambientes urbanos, y la inclinación de la superficie colectora en grados [I]. Como variable de salida se asocia, se asocia a esta información para cada patrón el área de la superficie colectora en m</w:t>
      </w:r>
      <w:r>
        <w:rPr>
          <w:rFonts w:ascii="Arial" w:hAnsi="Arial" w:cs="Arial"/>
          <w:vertAlign w:val="superscript"/>
        </w:rPr>
        <w:t>2</w:t>
      </w:r>
      <w:r>
        <w:rPr>
          <w:rFonts w:ascii="Arial" w:hAnsi="Arial" w:cs="Arial"/>
        </w:rPr>
        <w:t xml:space="preserve"> [A].</w:t>
      </w:r>
    </w:p>
    <w:p w:rsidR="001C28A9" w:rsidRPr="00BF75F7" w:rsidRDefault="001C28A9" w:rsidP="001C28A9">
      <w:pPr>
        <w:numPr>
          <w:ilvl w:val="0"/>
          <w:numId w:val="1"/>
        </w:numPr>
        <w:tabs>
          <w:tab w:val="clear" w:pos="432"/>
          <w:tab w:val="num" w:pos="0"/>
        </w:tabs>
        <w:suppressAutoHyphens/>
        <w:spacing w:after="0" w:line="240" w:lineRule="auto"/>
        <w:ind w:left="0" w:firstLine="539"/>
        <w:jc w:val="both"/>
        <w:rPr>
          <w:rFonts w:ascii="Arial" w:hAnsi="Arial" w:cs="Arial"/>
        </w:rPr>
      </w:pPr>
      <w:r>
        <w:rPr>
          <w:rFonts w:ascii="Arial" w:hAnsi="Arial" w:cs="Arial"/>
        </w:rPr>
        <w:t xml:space="preserve">Posterior a la determinación de las variables de entrada y de salida, se realiza la elaboración de la base de datos general con la cual se determina el conjunto de entrenamiento, conformado por 100 vectores de información (variables de entrada y de salida), usando el protocolo de diseño propuesto por CENSOLAR </w:t>
      </w:r>
      <w:r w:rsidRPr="005509B7">
        <w:rPr>
          <w:rFonts w:ascii="Arial" w:hAnsi="Arial" w:cs="Arial"/>
          <w:vertAlign w:val="superscript"/>
        </w:rPr>
        <w:t>[9]</w:t>
      </w:r>
      <w:r>
        <w:rPr>
          <w:rFonts w:ascii="Arial" w:hAnsi="Arial" w:cs="Arial"/>
        </w:rPr>
        <w:t>.</w:t>
      </w:r>
    </w:p>
    <w:p w:rsidR="001C28A9" w:rsidRDefault="001C28A9" w:rsidP="001C28A9">
      <w:pPr>
        <w:pStyle w:val="Textoindependiente"/>
        <w:rPr>
          <w:rFonts w:ascii="Arial" w:hAnsi="Arial" w:cs="Arial"/>
          <w:b w:val="0"/>
          <w:sz w:val="24"/>
        </w:rPr>
      </w:pPr>
    </w:p>
    <w:p w:rsidR="001C28A9" w:rsidRPr="00BC5E0A" w:rsidRDefault="001C28A9" w:rsidP="001C28A9">
      <w:pPr>
        <w:numPr>
          <w:ilvl w:val="0"/>
          <w:numId w:val="1"/>
        </w:numPr>
        <w:tabs>
          <w:tab w:val="clear" w:pos="432"/>
          <w:tab w:val="num" w:pos="0"/>
        </w:tabs>
        <w:suppressAutoHyphens/>
        <w:spacing w:after="0" w:line="360" w:lineRule="auto"/>
        <w:ind w:left="0" w:firstLine="0"/>
        <w:jc w:val="both"/>
        <w:rPr>
          <w:rFonts w:ascii="Arial" w:hAnsi="Arial" w:cs="Arial"/>
          <w:i/>
        </w:rPr>
      </w:pPr>
      <w:r>
        <w:rPr>
          <w:rFonts w:ascii="Arial" w:hAnsi="Arial" w:cs="Arial"/>
          <w:i/>
          <w:color w:val="000000"/>
        </w:rPr>
        <w:t>3.3</w:t>
      </w:r>
      <w:r w:rsidRPr="00BC5E0A">
        <w:rPr>
          <w:rFonts w:ascii="Arial" w:hAnsi="Arial" w:cs="Arial"/>
          <w:i/>
          <w:color w:val="000000"/>
        </w:rPr>
        <w:t xml:space="preserve"> </w:t>
      </w:r>
      <w:r>
        <w:rPr>
          <w:rFonts w:ascii="Arial" w:hAnsi="Arial" w:cs="Arial"/>
          <w:i/>
          <w:color w:val="000000"/>
        </w:rPr>
        <w:t>Elaboración y entrenamiento de las redes neuronales artificiales para la estimación del área colectora en sistemas de energía solar térmica para ACS</w:t>
      </w:r>
    </w:p>
    <w:p w:rsidR="001C28A9" w:rsidRDefault="001C28A9" w:rsidP="001C28A9">
      <w:pPr>
        <w:numPr>
          <w:ilvl w:val="0"/>
          <w:numId w:val="1"/>
        </w:numPr>
        <w:tabs>
          <w:tab w:val="clear" w:pos="432"/>
          <w:tab w:val="num" w:pos="0"/>
        </w:tabs>
        <w:suppressAutoHyphens/>
        <w:spacing w:after="0" w:line="240" w:lineRule="auto"/>
        <w:ind w:left="0" w:firstLine="539"/>
        <w:jc w:val="both"/>
        <w:rPr>
          <w:rFonts w:ascii="Arial" w:hAnsi="Arial" w:cs="Arial"/>
        </w:rPr>
      </w:pPr>
      <w:r>
        <w:rPr>
          <w:rFonts w:ascii="Arial" w:hAnsi="Arial" w:cs="Arial"/>
        </w:rPr>
        <w:t xml:space="preserve">Se usa el conjunto de entrenamiento mencionado en la sección 3.2, en el cual se relacionan las variables de entrada con la variable de salida, se elabora una propuesta de red neuronal artificial y se plantea una arquitectura neuronal artificial multicapa alimentada hacia adelante y con metodología de entrenamiento/aprendizaje hacia atrás (Figura 2), denominada Perceptrón Multicapa de  feedfoward – backpropagation y cuyas características han sido definidas en la literatura </w:t>
      </w:r>
      <w:r w:rsidRPr="005509B7">
        <w:rPr>
          <w:rFonts w:ascii="Arial" w:hAnsi="Arial" w:cs="Arial"/>
          <w:vertAlign w:val="superscript"/>
        </w:rPr>
        <w:t>[10]</w:t>
      </w:r>
      <w:r>
        <w:rPr>
          <w:rFonts w:ascii="Arial" w:hAnsi="Arial" w:cs="Arial"/>
        </w:rPr>
        <w:t xml:space="preserve">. La arquitectura multicapa se propone con una capa de entrada, una capa oculta y una capa de salida, y se fija el límite superior del número S de neuronas de la capa oculta usando la ecuación 1 </w:t>
      </w:r>
      <w:r w:rsidRPr="00FD4B48">
        <w:rPr>
          <w:rFonts w:ascii="Arial" w:hAnsi="Arial" w:cs="Arial"/>
          <w:vertAlign w:val="superscript"/>
        </w:rPr>
        <w:t>[11]</w:t>
      </w:r>
      <w:r>
        <w:rPr>
          <w:rFonts w:ascii="Arial" w:hAnsi="Arial" w:cs="Arial"/>
        </w:rPr>
        <w:t>:</w:t>
      </w:r>
    </w:p>
    <w:p w:rsidR="001C28A9" w:rsidRDefault="001C28A9" w:rsidP="001C28A9">
      <w:pPr>
        <w:jc w:val="both"/>
        <w:rPr>
          <w:rFonts w:ascii="Arial" w:hAnsi="Arial" w:cs="Arial"/>
        </w:rPr>
      </w:pPr>
    </w:p>
    <w:p w:rsidR="001C28A9" w:rsidRDefault="001C28A9" w:rsidP="001C28A9">
      <w:pPr>
        <w:jc w:val="right"/>
        <w:rPr>
          <w:rFonts w:ascii="Arial" w:hAnsi="Arial" w:cs="Arial"/>
        </w:rPr>
      </w:pPr>
      <w:r>
        <w:rPr>
          <w:rFonts w:ascii="Arial" w:hAnsi="Arial" w:cs="Arial"/>
        </w:rPr>
        <w:t>S &lt; (N</w:t>
      </w:r>
      <w:r>
        <w:rPr>
          <w:rFonts w:ascii="Arial" w:hAnsi="Arial" w:cs="Arial"/>
          <w:vertAlign w:val="subscript"/>
        </w:rPr>
        <w:t>data</w:t>
      </w:r>
      <w:r>
        <w:rPr>
          <w:rFonts w:ascii="Arial" w:hAnsi="Arial" w:cs="Arial"/>
        </w:rPr>
        <w:t xml:space="preserve"> – 1)/(n + 3)                                                                  (1)</w:t>
      </w:r>
    </w:p>
    <w:p w:rsidR="001C28A9" w:rsidRDefault="001C28A9" w:rsidP="001C28A9">
      <w:pPr>
        <w:jc w:val="both"/>
        <w:rPr>
          <w:rFonts w:ascii="Arial" w:hAnsi="Arial" w:cs="Arial"/>
        </w:rPr>
      </w:pPr>
    </w:p>
    <w:p w:rsidR="001C28A9" w:rsidRDefault="001C28A9" w:rsidP="001C28A9">
      <w:pPr>
        <w:ind w:firstLine="539"/>
        <w:jc w:val="both"/>
        <w:rPr>
          <w:rFonts w:ascii="Arial" w:hAnsi="Arial" w:cs="Arial"/>
        </w:rPr>
      </w:pPr>
      <w:r>
        <w:rPr>
          <w:rFonts w:ascii="Arial" w:hAnsi="Arial" w:cs="Arial"/>
        </w:rPr>
        <w:t>Donde, S es el límite superior del número de neuronas de la capa oculta, N</w:t>
      </w:r>
      <w:r>
        <w:rPr>
          <w:rFonts w:ascii="Arial" w:hAnsi="Arial" w:cs="Arial"/>
          <w:vertAlign w:val="subscript"/>
        </w:rPr>
        <w:t>data</w:t>
      </w:r>
      <w:r>
        <w:rPr>
          <w:rFonts w:ascii="Arial" w:hAnsi="Arial" w:cs="Arial"/>
        </w:rPr>
        <w:t xml:space="preserve"> es el número de patrones de entrenamiento (900), n es el número de variables consideradas en el problema a resolver (entradas y salida, 9). De acuerdo con la ecuación 1, se fija el límite S, como 75 neuronas en la capa oculta.</w:t>
      </w:r>
    </w:p>
    <w:p w:rsidR="001C28A9" w:rsidRDefault="001C28A9" w:rsidP="001C28A9">
      <w:pPr>
        <w:jc w:val="both"/>
        <w:rPr>
          <w:rFonts w:ascii="Arial" w:hAnsi="Arial" w:cs="Arial"/>
        </w:rPr>
      </w:pPr>
    </w:p>
    <w:p w:rsidR="001C28A9" w:rsidRDefault="001C28A9" w:rsidP="001C28A9">
      <w:pPr>
        <w:jc w:val="center"/>
        <w:rPr>
          <w:rFonts w:ascii="Arial" w:hAnsi="Arial" w:cs="Arial"/>
        </w:rPr>
      </w:pPr>
      <w:r w:rsidRPr="00B211D6">
        <w:rPr>
          <w:rFonts w:ascii="Arial" w:hAnsi="Arial" w:cs="Arial"/>
          <w:noProof/>
          <w:lang w:val="en-US"/>
        </w:rPr>
        <w:drawing>
          <wp:inline distT="0" distB="0" distL="0" distR="0" wp14:anchorId="442E35BD" wp14:editId="3BD07345">
            <wp:extent cx="2876550" cy="2124075"/>
            <wp:effectExtent l="0" t="0" r="0" b="9525"/>
            <wp:docPr id="1110" name="Imagen 1110" descr="figur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 descr="figura 2"/>
                    <pic:cNvPicPr>
                      <a:picLocks noChangeAspect="1" noChangeArrowheads="1"/>
                    </pic:cNvPicPr>
                  </pic:nvPicPr>
                  <pic:blipFill>
                    <a:blip r:embed="rId1365" cstate="print">
                      <a:extLst>
                        <a:ext uri="{28A0092B-C50C-407E-A947-70E740481C1C}">
                          <a14:useLocalDpi xmlns:a14="http://schemas.microsoft.com/office/drawing/2010/main" val="0"/>
                        </a:ext>
                      </a:extLst>
                    </a:blip>
                    <a:srcRect/>
                    <a:stretch>
                      <a:fillRect/>
                    </a:stretch>
                  </pic:blipFill>
                  <pic:spPr bwMode="auto">
                    <a:xfrm>
                      <a:off x="0" y="0"/>
                      <a:ext cx="2876550" cy="2124075"/>
                    </a:xfrm>
                    <a:prstGeom prst="rect">
                      <a:avLst/>
                    </a:prstGeom>
                    <a:noFill/>
                    <a:ln>
                      <a:noFill/>
                    </a:ln>
                  </pic:spPr>
                </pic:pic>
              </a:graphicData>
            </a:graphic>
          </wp:inline>
        </w:drawing>
      </w:r>
    </w:p>
    <w:p w:rsidR="001C28A9" w:rsidRDefault="001C28A9" w:rsidP="001C28A9">
      <w:pPr>
        <w:jc w:val="center"/>
        <w:rPr>
          <w:rFonts w:ascii="Arial" w:hAnsi="Arial" w:cs="Arial"/>
          <w:bCs/>
          <w:i/>
          <w:sz w:val="20"/>
          <w:szCs w:val="20"/>
        </w:rPr>
      </w:pPr>
      <w:r>
        <w:rPr>
          <w:rFonts w:ascii="Arial" w:hAnsi="Arial" w:cs="Arial"/>
          <w:bCs/>
          <w:i/>
          <w:sz w:val="20"/>
          <w:szCs w:val="20"/>
        </w:rPr>
        <w:t>Figura 2</w:t>
      </w:r>
      <w:r w:rsidRPr="00296222">
        <w:rPr>
          <w:rFonts w:ascii="Arial" w:hAnsi="Arial" w:cs="Arial"/>
          <w:bCs/>
          <w:i/>
          <w:sz w:val="20"/>
          <w:szCs w:val="20"/>
        </w:rPr>
        <w:t>.</w:t>
      </w:r>
      <w:r>
        <w:rPr>
          <w:rFonts w:ascii="Arial" w:hAnsi="Arial" w:cs="Arial"/>
          <w:bCs/>
          <w:i/>
          <w:sz w:val="20"/>
          <w:szCs w:val="20"/>
        </w:rPr>
        <w:t xml:space="preserve"> Propuesta de red neuronal artificial para la estimación del área de la superficie colectora basada en un colector de placa plana seleccionado</w:t>
      </w:r>
    </w:p>
    <w:p w:rsidR="001C28A9" w:rsidRPr="00203DB8" w:rsidRDefault="001C28A9" w:rsidP="001C28A9">
      <w:pPr>
        <w:jc w:val="both"/>
        <w:rPr>
          <w:rFonts w:ascii="Arial" w:hAnsi="Arial" w:cs="Arial"/>
        </w:rPr>
      </w:pPr>
    </w:p>
    <w:p w:rsidR="001C28A9" w:rsidRDefault="001C28A9" w:rsidP="001C28A9">
      <w:pPr>
        <w:numPr>
          <w:ilvl w:val="0"/>
          <w:numId w:val="1"/>
        </w:numPr>
        <w:tabs>
          <w:tab w:val="clear" w:pos="432"/>
          <w:tab w:val="num" w:pos="0"/>
        </w:tabs>
        <w:suppressAutoHyphens/>
        <w:spacing w:after="0" w:line="240" w:lineRule="auto"/>
        <w:ind w:left="0" w:firstLine="539"/>
        <w:jc w:val="both"/>
        <w:rPr>
          <w:rFonts w:ascii="Arial" w:hAnsi="Arial" w:cs="Arial"/>
        </w:rPr>
      </w:pPr>
      <w:r>
        <w:rPr>
          <w:rFonts w:ascii="Arial" w:hAnsi="Arial" w:cs="Arial"/>
        </w:rPr>
        <w:t>Las conexiones entre neuronas de las capas se representan mediante funciones de activación. Así, la conexión entre neuronas de la capa de entrada a la capa oculta se realiza por medio de la función sigmoidea. Por su parte, la conexión entre la capa oculta y la neurona a estimar, ubicada en la capa de salida, se hace usando la función lineal, de tal manera que se permita la comparación de la estimación y el resultado verdadero, como se describe en el entrenamiento supervisado.</w:t>
      </w:r>
    </w:p>
    <w:p w:rsidR="001C28A9" w:rsidRDefault="001C28A9" w:rsidP="001C28A9">
      <w:pPr>
        <w:numPr>
          <w:ilvl w:val="0"/>
          <w:numId w:val="1"/>
        </w:numPr>
        <w:tabs>
          <w:tab w:val="clear" w:pos="432"/>
          <w:tab w:val="num" w:pos="0"/>
        </w:tabs>
        <w:suppressAutoHyphens/>
        <w:spacing w:after="0" w:line="240" w:lineRule="auto"/>
        <w:ind w:left="0" w:firstLine="539"/>
        <w:jc w:val="both"/>
        <w:rPr>
          <w:rFonts w:ascii="Arial" w:hAnsi="Arial" w:cs="Arial"/>
        </w:rPr>
      </w:pPr>
      <w:r>
        <w:rPr>
          <w:rFonts w:ascii="Arial" w:hAnsi="Arial" w:cs="Arial"/>
        </w:rPr>
        <w:t xml:space="preserve">El procedimiento de entrenamiento para el conjunto respectivo se realizó, de acuerdo con lo descrito por Sánchez, 2020 </w:t>
      </w:r>
      <w:r w:rsidRPr="0017095A">
        <w:rPr>
          <w:rFonts w:ascii="Arial" w:hAnsi="Arial" w:cs="Arial"/>
          <w:vertAlign w:val="superscript"/>
        </w:rPr>
        <w:t>[8]</w:t>
      </w:r>
      <w:r>
        <w:rPr>
          <w:rFonts w:ascii="Arial" w:hAnsi="Arial" w:cs="Arial"/>
        </w:rPr>
        <w:t xml:space="preserve">, con 84 conformaciones de topologías de redes neuronales artificiales, obtenidas del producto entre 12 métodos entrenamiento de backpropagation y 7 arquitecturas de neuronas en la capa oculta. Dichas conformaciones se evaluaron a partir del coeficiente de correlación lineal R, obtenido en la ecuación 2 </w:t>
      </w:r>
      <w:r w:rsidRPr="0017095A">
        <w:rPr>
          <w:rFonts w:ascii="Arial" w:hAnsi="Arial" w:cs="Arial"/>
          <w:vertAlign w:val="superscript"/>
        </w:rPr>
        <w:t>[7]</w:t>
      </w:r>
      <w:r>
        <w:rPr>
          <w:rFonts w:ascii="Arial" w:hAnsi="Arial" w:cs="Arial"/>
        </w:rPr>
        <w:t>, estadístico usado para evaluar la calidad del desempeño de las redes neuronales artificiales supervisadas. Para el funcionamiento computacional del procedimiento de entrenamiento se codificó un algoritmo usando el lenguaje de programación M, propio de la herramienta del software MATLAB® para plataforma Windows®. El código usa la librería contenida en el Neural Networks Toolbox del mismo software, lo cual permite implementar los modelos del tipo de red que se ha descrito.</w:t>
      </w:r>
    </w:p>
    <w:p w:rsidR="001C28A9" w:rsidRDefault="001C28A9" w:rsidP="001C28A9">
      <w:pPr>
        <w:jc w:val="both"/>
        <w:rPr>
          <w:rFonts w:ascii="Arial" w:hAnsi="Arial" w:cs="Arial"/>
        </w:rPr>
      </w:pPr>
    </w:p>
    <w:p w:rsidR="001C28A9" w:rsidRDefault="001C28A9" w:rsidP="001C28A9">
      <w:pPr>
        <w:jc w:val="right"/>
        <w:rPr>
          <w:rFonts w:ascii="Arial" w:hAnsi="Arial" w:cs="Arial"/>
          <w:lang w:val="pt-BR"/>
        </w:rPr>
      </w:pPr>
      <w:r w:rsidRPr="00B0466A">
        <w:rPr>
          <w:rFonts w:ascii="Arial" w:hAnsi="Arial" w:cs="Arial"/>
          <w:lang w:val="pt-BR"/>
        </w:rPr>
        <w:t>R = √</w:t>
      </w:r>
      <w:r>
        <w:rPr>
          <w:rFonts w:ascii="Arial" w:hAnsi="Arial" w:cs="Arial"/>
          <w:lang w:val="pt-BR"/>
        </w:rPr>
        <w:t xml:space="preserve"> </w:t>
      </w:r>
      <w:r w:rsidRPr="00B0466A">
        <w:rPr>
          <w:rFonts w:ascii="Arial" w:hAnsi="Arial" w:cs="Arial"/>
          <w:lang w:val="pt-BR"/>
        </w:rPr>
        <w:t>(1 – ((∑</w:t>
      </w:r>
      <w:r w:rsidRPr="00B0466A">
        <w:rPr>
          <w:rFonts w:ascii="Arial" w:hAnsi="Arial" w:cs="Arial"/>
          <w:vertAlign w:val="subscript"/>
          <w:lang w:val="pt-BR"/>
        </w:rPr>
        <w:t>i = 1, n</w:t>
      </w:r>
      <w:r w:rsidRPr="00B0466A">
        <w:rPr>
          <w:rFonts w:ascii="Arial" w:hAnsi="Arial" w:cs="Arial"/>
          <w:lang w:val="pt-BR"/>
        </w:rPr>
        <w:t xml:space="preserve"> (A</w:t>
      </w:r>
      <w:r w:rsidRPr="00B0466A">
        <w:rPr>
          <w:rFonts w:ascii="Arial" w:hAnsi="Arial" w:cs="Arial"/>
          <w:vertAlign w:val="subscript"/>
          <w:lang w:val="pt-BR"/>
        </w:rPr>
        <w:t>real, i</w:t>
      </w:r>
      <w:r w:rsidRPr="00B0466A">
        <w:rPr>
          <w:rFonts w:ascii="Arial" w:hAnsi="Arial" w:cs="Arial"/>
          <w:lang w:val="pt-BR"/>
        </w:rPr>
        <w:t xml:space="preserve"> </w:t>
      </w:r>
      <w:r>
        <w:rPr>
          <w:rFonts w:ascii="Arial" w:hAnsi="Arial" w:cs="Arial"/>
          <w:lang w:val="pt-BR"/>
        </w:rPr>
        <w:t>–</w:t>
      </w:r>
      <w:r w:rsidRPr="00B0466A">
        <w:rPr>
          <w:rFonts w:ascii="Arial" w:hAnsi="Arial" w:cs="Arial"/>
          <w:lang w:val="pt-BR"/>
        </w:rPr>
        <w:t xml:space="preserve"> A</w:t>
      </w:r>
      <w:r>
        <w:rPr>
          <w:rFonts w:ascii="Arial" w:hAnsi="Arial" w:cs="Arial"/>
          <w:vertAlign w:val="subscript"/>
          <w:lang w:val="pt-BR"/>
        </w:rPr>
        <w:t>estimado, i</w:t>
      </w:r>
      <w:r>
        <w:rPr>
          <w:rFonts w:ascii="Arial" w:hAnsi="Arial" w:cs="Arial"/>
          <w:lang w:val="pt-BR"/>
        </w:rPr>
        <w:t>)</w:t>
      </w:r>
      <w:r>
        <w:rPr>
          <w:rFonts w:ascii="Arial" w:hAnsi="Arial" w:cs="Arial"/>
          <w:vertAlign w:val="superscript"/>
          <w:lang w:val="pt-BR"/>
        </w:rPr>
        <w:t>2</w:t>
      </w:r>
      <w:r>
        <w:rPr>
          <w:rFonts w:ascii="Arial" w:hAnsi="Arial" w:cs="Arial"/>
          <w:lang w:val="pt-BR"/>
        </w:rPr>
        <w:t>) / (∑</w:t>
      </w:r>
      <w:r>
        <w:rPr>
          <w:rFonts w:ascii="Arial" w:hAnsi="Arial" w:cs="Arial"/>
          <w:vertAlign w:val="subscript"/>
          <w:lang w:val="pt-BR"/>
        </w:rPr>
        <w:t>i = 1,n</w:t>
      </w:r>
      <w:r>
        <w:rPr>
          <w:rFonts w:ascii="Arial" w:hAnsi="Arial" w:cs="Arial"/>
          <w:lang w:val="pt-BR"/>
        </w:rPr>
        <w:t xml:space="preserve"> (A</w:t>
      </w:r>
      <w:r>
        <w:rPr>
          <w:rFonts w:ascii="Arial" w:hAnsi="Arial" w:cs="Arial"/>
          <w:vertAlign w:val="subscript"/>
          <w:lang w:val="pt-BR"/>
        </w:rPr>
        <w:t>real, i</w:t>
      </w:r>
      <w:r>
        <w:rPr>
          <w:rFonts w:ascii="Arial" w:hAnsi="Arial" w:cs="Arial"/>
          <w:lang w:val="pt-BR"/>
        </w:rPr>
        <w:t>)</w:t>
      </w:r>
      <w:r>
        <w:rPr>
          <w:rFonts w:ascii="Arial" w:hAnsi="Arial" w:cs="Arial"/>
          <w:vertAlign w:val="superscript"/>
          <w:lang w:val="pt-BR"/>
        </w:rPr>
        <w:t>2</w:t>
      </w:r>
      <w:r>
        <w:rPr>
          <w:rFonts w:ascii="Arial" w:hAnsi="Arial" w:cs="Arial"/>
          <w:lang w:val="pt-BR"/>
        </w:rPr>
        <w:t xml:space="preserve">)))                        </w:t>
      </w:r>
      <w:r w:rsidRPr="00B0466A">
        <w:rPr>
          <w:rFonts w:ascii="Arial" w:hAnsi="Arial" w:cs="Arial"/>
          <w:lang w:val="pt-BR"/>
        </w:rPr>
        <w:t>(2)</w:t>
      </w:r>
    </w:p>
    <w:p w:rsidR="001C28A9" w:rsidRDefault="001C28A9" w:rsidP="001C28A9">
      <w:pPr>
        <w:jc w:val="both"/>
        <w:rPr>
          <w:rFonts w:ascii="Arial" w:hAnsi="Arial" w:cs="Arial"/>
          <w:lang w:val="pt-BR"/>
        </w:rPr>
      </w:pPr>
    </w:p>
    <w:p w:rsidR="001C28A9" w:rsidRDefault="001C28A9" w:rsidP="001C28A9">
      <w:pPr>
        <w:ind w:firstLine="539"/>
        <w:jc w:val="both"/>
        <w:rPr>
          <w:rFonts w:ascii="Arial" w:hAnsi="Arial" w:cs="Arial"/>
          <w:lang w:val="es-CO"/>
        </w:rPr>
      </w:pPr>
      <w:r w:rsidRPr="00CE4EE6">
        <w:rPr>
          <w:rFonts w:ascii="Arial" w:hAnsi="Arial" w:cs="Arial"/>
          <w:lang w:val="es-CO"/>
        </w:rPr>
        <w:t>Donde, A</w:t>
      </w:r>
      <w:r w:rsidRPr="00CE4EE6">
        <w:rPr>
          <w:rFonts w:ascii="Arial" w:hAnsi="Arial" w:cs="Arial"/>
          <w:vertAlign w:val="subscript"/>
          <w:lang w:val="es-CO"/>
        </w:rPr>
        <w:t>real, i</w:t>
      </w:r>
      <w:r w:rsidRPr="00CE4EE6">
        <w:rPr>
          <w:rFonts w:ascii="Arial" w:hAnsi="Arial" w:cs="Arial"/>
          <w:lang w:val="es-CO"/>
        </w:rPr>
        <w:t xml:space="preserve"> es el área de la superficie colectora</w:t>
      </w:r>
      <w:r>
        <w:rPr>
          <w:rFonts w:ascii="Arial" w:hAnsi="Arial" w:cs="Arial"/>
          <w:lang w:val="es-CO"/>
        </w:rPr>
        <w:t xml:space="preserve"> obtenida mediante el protocolo de diseño propuesto por CENSOLAR </w:t>
      </w:r>
      <w:r w:rsidRPr="0017095A">
        <w:rPr>
          <w:rFonts w:ascii="Arial" w:hAnsi="Arial" w:cs="Arial"/>
          <w:vertAlign w:val="superscript"/>
          <w:lang w:val="es-CO"/>
        </w:rPr>
        <w:t>[9]</w:t>
      </w:r>
      <w:r>
        <w:rPr>
          <w:rFonts w:ascii="Arial" w:hAnsi="Arial" w:cs="Arial"/>
          <w:lang w:val="es-CO"/>
        </w:rPr>
        <w:t xml:space="preserve">, </w:t>
      </w:r>
      <w:r w:rsidRPr="00CE4EE6">
        <w:rPr>
          <w:rFonts w:ascii="Arial" w:hAnsi="Arial" w:cs="Arial"/>
          <w:lang w:val="es-CO"/>
        </w:rPr>
        <w:t>A</w:t>
      </w:r>
      <w:r w:rsidRPr="00CE4EE6">
        <w:rPr>
          <w:rFonts w:ascii="Arial" w:hAnsi="Arial" w:cs="Arial"/>
          <w:vertAlign w:val="subscript"/>
          <w:lang w:val="es-CO"/>
        </w:rPr>
        <w:t>estimado, i</w:t>
      </w:r>
      <w:r>
        <w:rPr>
          <w:rFonts w:ascii="Arial" w:hAnsi="Arial" w:cs="Arial"/>
          <w:lang w:val="es-CO"/>
        </w:rPr>
        <w:t xml:space="preserve"> es el área de la superficie colectora estimada por la red neuronal artificial, i corresponde a la posición del par de datos correlacionados y, n corresponde al total de datos en cada subconjunto que se describen a continuación. Los 100 vectores de información del conjunto de entrenamiento se categorizaron en tres subconjuntos que conformaron igual número de fases en el entrenamiento de la red neuronal: 1.- de aprendizaje, en donde se configuran los pesos sinápticos en las conexiones entre las neuronas; 2.- de prueba, con lo cual se determinó en el que debe dejar de entrenar y optimizar la estructura de la red neuronal y las especificaciones del modelo interno, de acuerdo con el método de aprendizaje que usa el algoritmo de backpropagation; y 3.- de validación, se dónde se probó la capacidad de generalizar el modelo para el rango de información que se utilizó para la calibración.</w:t>
      </w:r>
    </w:p>
    <w:p w:rsidR="001C28A9" w:rsidRDefault="001C28A9" w:rsidP="001C28A9">
      <w:pPr>
        <w:ind w:firstLine="539"/>
        <w:jc w:val="both"/>
        <w:rPr>
          <w:rFonts w:ascii="Arial" w:hAnsi="Arial" w:cs="Arial"/>
          <w:lang w:val="es-CO"/>
        </w:rPr>
      </w:pPr>
      <w:r>
        <w:rPr>
          <w:rFonts w:ascii="Arial" w:hAnsi="Arial" w:cs="Arial"/>
          <w:lang w:val="es-CO"/>
        </w:rPr>
        <w:t>A partir del indicador de desempeño se evaluaron las estimaciones de las redes neuronales y las salidas reales de la base de datos, en los subconjuntos de cada fase de entrenamiento (aprendizaje, prueba, validación, y adicionalmente de simulación con el total de datos, para lo cual se consideraron el 60, 20, 20 y 100% de los datos, respectivamente, y agrupados por división aleatoria de los datos).</w:t>
      </w:r>
    </w:p>
    <w:p w:rsidR="001C28A9" w:rsidRPr="00CE4EE6" w:rsidRDefault="001C28A9" w:rsidP="001C28A9">
      <w:pPr>
        <w:ind w:firstLine="539"/>
        <w:jc w:val="both"/>
        <w:rPr>
          <w:rFonts w:ascii="Arial" w:hAnsi="Arial" w:cs="Arial"/>
          <w:lang w:val="es-CO"/>
        </w:rPr>
      </w:pPr>
      <w:r>
        <w:rPr>
          <w:rFonts w:ascii="Arial" w:hAnsi="Arial" w:cs="Arial"/>
          <w:lang w:val="es-CO"/>
        </w:rPr>
        <w:t>Los resultados de este proceso mostraron que para este caso de estudio, la arquitectura con una capa oculta de 70 neuronas, y con el método de aprendizaje de Levenberg-Marquardt obtuvo mejor, adecuado y confiable desempeño (R &gt; 0.97) que los demás métodos de entrenamiento usados (Regularización Bayesiana, Cuasi-Newton de Algoritmo BFGS (Broyden-Fletcher-Goldfarb-Shanno), Retro-propagación Resiliente, Gradiente Conjugado Escalonado, Gradiente Conjugado con Reinicio de Powell-Beale, Gradiente Conjugado de Fletcher-Powell, Gradiente Conjugado de Pollak-Ribiére, Secante de un Paso, Gradiente Descendiente con Tasa de Aprendizaje Variable, Gradiente Descendiente con Momento, y Gradiente Descendiente). De esta manera, arquitectura de la mejor red neuronal se configuró entonces con una capa de entrada con ocho variables de entrada, una capa oculta con 70 variables, y una capa de salida con una variable de respuesta, y algoritmo de aprendizaje backpropagation de Levenberg-Marquardt (Figura 3).</w:t>
      </w:r>
    </w:p>
    <w:p w:rsidR="001C28A9" w:rsidRDefault="001C28A9" w:rsidP="001C28A9">
      <w:pPr>
        <w:jc w:val="both"/>
        <w:rPr>
          <w:rFonts w:ascii="Arial" w:hAnsi="Arial" w:cs="Arial"/>
          <w:lang w:val="es-CO"/>
        </w:rPr>
      </w:pPr>
    </w:p>
    <w:p w:rsidR="001C28A9" w:rsidRDefault="001C28A9" w:rsidP="001C28A9">
      <w:pPr>
        <w:jc w:val="center"/>
        <w:rPr>
          <w:rFonts w:ascii="Arial" w:hAnsi="Arial" w:cs="Arial"/>
          <w:lang w:val="es-CO"/>
        </w:rPr>
      </w:pPr>
      <w:r w:rsidRPr="002441EA">
        <w:rPr>
          <w:rFonts w:ascii="Arial" w:hAnsi="Arial" w:cs="Arial"/>
          <w:noProof/>
          <w:lang w:val="en-US"/>
        </w:rPr>
        <w:drawing>
          <wp:inline distT="0" distB="0" distL="0" distR="0" wp14:anchorId="46E2EF37" wp14:editId="0AFFDFF5">
            <wp:extent cx="1800225" cy="2295525"/>
            <wp:effectExtent l="0" t="0" r="9525" b="9525"/>
            <wp:docPr id="1109" name="Imagen 1109" descr="figur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 descr="figura 3"/>
                    <pic:cNvPicPr>
                      <a:picLocks noChangeAspect="1" noChangeArrowheads="1"/>
                    </pic:cNvPicPr>
                  </pic:nvPicPr>
                  <pic:blipFill>
                    <a:blip r:embed="rId1366" cstate="print">
                      <a:extLst>
                        <a:ext uri="{28A0092B-C50C-407E-A947-70E740481C1C}">
                          <a14:useLocalDpi xmlns:a14="http://schemas.microsoft.com/office/drawing/2010/main" val="0"/>
                        </a:ext>
                      </a:extLst>
                    </a:blip>
                    <a:srcRect/>
                    <a:stretch>
                      <a:fillRect/>
                    </a:stretch>
                  </pic:blipFill>
                  <pic:spPr bwMode="auto">
                    <a:xfrm>
                      <a:off x="0" y="0"/>
                      <a:ext cx="1800225" cy="2295525"/>
                    </a:xfrm>
                    <a:prstGeom prst="rect">
                      <a:avLst/>
                    </a:prstGeom>
                    <a:noFill/>
                    <a:ln>
                      <a:noFill/>
                    </a:ln>
                  </pic:spPr>
                </pic:pic>
              </a:graphicData>
            </a:graphic>
          </wp:inline>
        </w:drawing>
      </w:r>
    </w:p>
    <w:p w:rsidR="001C28A9" w:rsidRDefault="001C28A9" w:rsidP="001C28A9">
      <w:pPr>
        <w:jc w:val="center"/>
        <w:rPr>
          <w:rFonts w:ascii="Arial" w:hAnsi="Arial" w:cs="Arial"/>
          <w:bCs/>
          <w:i/>
          <w:sz w:val="20"/>
          <w:szCs w:val="20"/>
        </w:rPr>
      </w:pPr>
      <w:r>
        <w:rPr>
          <w:rFonts w:ascii="Arial" w:hAnsi="Arial" w:cs="Arial"/>
          <w:bCs/>
          <w:i/>
          <w:sz w:val="20"/>
          <w:szCs w:val="20"/>
        </w:rPr>
        <w:t>Figura 3</w:t>
      </w:r>
      <w:r w:rsidRPr="00296222">
        <w:rPr>
          <w:rFonts w:ascii="Arial" w:hAnsi="Arial" w:cs="Arial"/>
          <w:bCs/>
          <w:i/>
          <w:sz w:val="20"/>
          <w:szCs w:val="20"/>
        </w:rPr>
        <w:t>.</w:t>
      </w:r>
      <w:r>
        <w:rPr>
          <w:rFonts w:ascii="Arial" w:hAnsi="Arial" w:cs="Arial"/>
          <w:bCs/>
          <w:i/>
          <w:sz w:val="20"/>
          <w:szCs w:val="20"/>
        </w:rPr>
        <w:t xml:space="preserve"> Red neuronal artificial seleccionada para la estimación del área de la superficie colectora basada en un colector de placa plana seleccionado</w:t>
      </w:r>
    </w:p>
    <w:p w:rsidR="001C28A9" w:rsidRPr="006264E3" w:rsidRDefault="001C28A9" w:rsidP="001C28A9">
      <w:pPr>
        <w:jc w:val="both"/>
        <w:rPr>
          <w:rFonts w:ascii="Arial" w:hAnsi="Arial" w:cs="Arial"/>
        </w:rPr>
      </w:pPr>
    </w:p>
    <w:p w:rsidR="001C28A9" w:rsidRPr="00CE4EE6" w:rsidRDefault="001C28A9" w:rsidP="001C28A9">
      <w:pPr>
        <w:jc w:val="both"/>
        <w:rPr>
          <w:rFonts w:ascii="Arial" w:hAnsi="Arial" w:cs="Arial"/>
          <w:lang w:val="es-CO"/>
        </w:rPr>
      </w:pPr>
    </w:p>
    <w:p w:rsidR="001C28A9" w:rsidRPr="001C28A9" w:rsidRDefault="001C28A9" w:rsidP="001C28A9">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491" w:name="_Toc50031508"/>
      <w:r w:rsidRPr="001C28A9">
        <w:rPr>
          <w:rFonts w:ascii="Arial" w:hAnsi="Arial" w:cs="Arial"/>
          <w:i/>
          <w:caps/>
          <w:sz w:val="24"/>
          <w:szCs w:val="24"/>
        </w:rPr>
        <w:t xml:space="preserve">4. </w:t>
      </w:r>
      <w:r w:rsidRPr="001C28A9">
        <w:rPr>
          <w:rFonts w:ascii="Arial" w:hAnsi="Arial" w:cs="Arial"/>
          <w:i/>
          <w:sz w:val="24"/>
          <w:szCs w:val="24"/>
        </w:rPr>
        <w:t>Resultados y discusión</w:t>
      </w:r>
      <w:bookmarkEnd w:id="491"/>
    </w:p>
    <w:p w:rsidR="001C28A9" w:rsidRDefault="001C28A9" w:rsidP="001C28A9">
      <w:pPr>
        <w:pStyle w:val="Textoindependiente"/>
        <w:ind w:firstLine="539"/>
        <w:jc w:val="both"/>
        <w:rPr>
          <w:rFonts w:ascii="Arial" w:hAnsi="Arial" w:cs="Arial"/>
          <w:b w:val="0"/>
          <w:sz w:val="24"/>
        </w:rPr>
      </w:pPr>
      <w:r>
        <w:rPr>
          <w:rFonts w:ascii="Arial" w:hAnsi="Arial" w:cs="Arial"/>
          <w:b w:val="0"/>
          <w:sz w:val="24"/>
        </w:rPr>
        <w:t>A partir del paradigma de la Inteligencia Artificial basado en redes neuronales, se elabora una red neuronal artificial supervisada del tipo Perceptrón Multicapa, con alimentación hacia adelante y entrenamiento/aprendizaje para la propagación del error hacia atrás, se realizó la estimación del área de la superficie colectora, usando colectores de placa plana, en el dimensionamiento de sistemas de energía solar térmica para ACS. La red neuronal artificial consistió en una red conformada con una capa de entrada con 8 variables de entrada, una capa oculta con 70 neuronas, una capa de salida con una variable de respuesta correspondiente a la estimación del área de la superficie colectora y algoritmo de aprendizaje de Levenberg-Marquardt</w:t>
      </w:r>
      <w:r w:rsidRPr="00FA5EA4">
        <w:rPr>
          <w:rFonts w:ascii="Arial" w:hAnsi="Arial" w:cs="Arial"/>
          <w:b w:val="0"/>
          <w:sz w:val="24"/>
        </w:rPr>
        <w:t>.</w:t>
      </w:r>
    </w:p>
    <w:p w:rsidR="001C28A9" w:rsidRDefault="001C28A9" w:rsidP="001C28A9">
      <w:pPr>
        <w:pStyle w:val="Textoindependiente"/>
        <w:ind w:firstLine="539"/>
        <w:jc w:val="both"/>
        <w:rPr>
          <w:rFonts w:ascii="Arial" w:hAnsi="Arial" w:cs="Arial"/>
          <w:b w:val="0"/>
          <w:sz w:val="24"/>
        </w:rPr>
      </w:pPr>
      <w:r>
        <w:rPr>
          <w:rFonts w:ascii="Arial" w:hAnsi="Arial" w:cs="Arial"/>
          <w:b w:val="0"/>
          <w:sz w:val="24"/>
        </w:rPr>
        <w:t>La Figura 4 muestra los resultados de desempeño de la red neuronal artificial seleccionada para resolver el caso de estudio y para cada una de las etapas de entrenamiento de la misma (entrenamiento, prueba, validación computacional y, simulación con todo el conjunto de entrenamiento). Para las etapas donde la red seleccionada estima el área de la superficie colectora, se hace una comparación entre el resultado obtenido por la red neuronal artificial (output) y el valor obtenido usando el protocolo de diseño (target), para lo cual se asocia a dicha comparación el factor de correlación lineal R.</w:t>
      </w:r>
    </w:p>
    <w:p w:rsidR="001C28A9" w:rsidRDefault="001C28A9" w:rsidP="001C28A9">
      <w:pPr>
        <w:pStyle w:val="Textoindependiente"/>
        <w:jc w:val="both"/>
        <w:rPr>
          <w:rFonts w:ascii="Arial" w:hAnsi="Arial" w:cs="Arial"/>
          <w:b w:val="0"/>
          <w:sz w:val="24"/>
        </w:rPr>
      </w:pPr>
    </w:p>
    <w:p w:rsidR="001C28A9" w:rsidRDefault="001C28A9" w:rsidP="001C28A9">
      <w:pPr>
        <w:pStyle w:val="Textoindependiente"/>
        <w:jc w:val="center"/>
        <w:rPr>
          <w:rFonts w:ascii="Arial" w:hAnsi="Arial" w:cs="Arial"/>
          <w:b w:val="0"/>
          <w:sz w:val="24"/>
        </w:rPr>
      </w:pPr>
      <w:r w:rsidRPr="00C56865">
        <w:rPr>
          <w:rFonts w:ascii="Arial" w:hAnsi="Arial" w:cs="Arial"/>
          <w:b w:val="0"/>
          <w:noProof/>
          <w:sz w:val="24"/>
          <w:lang w:val="en-US"/>
        </w:rPr>
        <w:drawing>
          <wp:inline distT="0" distB="0" distL="0" distR="0" wp14:anchorId="153F7EB7" wp14:editId="3FECFB9C">
            <wp:extent cx="2514600" cy="2800350"/>
            <wp:effectExtent l="0" t="0" r="0" b="0"/>
            <wp:docPr id="1108" name="Imagen 1108" descr="figur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 descr="figura 4"/>
                    <pic:cNvPicPr>
                      <a:picLocks noChangeAspect="1" noChangeArrowheads="1"/>
                    </pic:cNvPicPr>
                  </pic:nvPicPr>
                  <pic:blipFill>
                    <a:blip r:embed="rId1367" cstate="print">
                      <a:extLst>
                        <a:ext uri="{28A0092B-C50C-407E-A947-70E740481C1C}">
                          <a14:useLocalDpi xmlns:a14="http://schemas.microsoft.com/office/drawing/2010/main" val="0"/>
                        </a:ext>
                      </a:extLst>
                    </a:blip>
                    <a:srcRect/>
                    <a:stretch>
                      <a:fillRect/>
                    </a:stretch>
                  </pic:blipFill>
                  <pic:spPr bwMode="auto">
                    <a:xfrm>
                      <a:off x="0" y="0"/>
                      <a:ext cx="2514600" cy="2800350"/>
                    </a:xfrm>
                    <a:prstGeom prst="rect">
                      <a:avLst/>
                    </a:prstGeom>
                    <a:noFill/>
                    <a:ln>
                      <a:noFill/>
                    </a:ln>
                  </pic:spPr>
                </pic:pic>
              </a:graphicData>
            </a:graphic>
          </wp:inline>
        </w:drawing>
      </w:r>
    </w:p>
    <w:p w:rsidR="001C28A9" w:rsidRDefault="001C28A9" w:rsidP="001C28A9">
      <w:pPr>
        <w:jc w:val="center"/>
        <w:rPr>
          <w:rFonts w:ascii="Arial" w:hAnsi="Arial" w:cs="Arial"/>
          <w:bCs/>
          <w:i/>
          <w:sz w:val="20"/>
          <w:szCs w:val="20"/>
        </w:rPr>
      </w:pPr>
      <w:r>
        <w:rPr>
          <w:rFonts w:ascii="Arial" w:hAnsi="Arial" w:cs="Arial"/>
          <w:bCs/>
          <w:i/>
          <w:sz w:val="20"/>
          <w:szCs w:val="20"/>
        </w:rPr>
        <w:t>Figura 4</w:t>
      </w:r>
      <w:r w:rsidRPr="00296222">
        <w:rPr>
          <w:rFonts w:ascii="Arial" w:hAnsi="Arial" w:cs="Arial"/>
          <w:bCs/>
          <w:i/>
          <w:sz w:val="20"/>
          <w:szCs w:val="20"/>
        </w:rPr>
        <w:t>.</w:t>
      </w:r>
      <w:r>
        <w:rPr>
          <w:rFonts w:ascii="Arial" w:hAnsi="Arial" w:cs="Arial"/>
          <w:bCs/>
          <w:i/>
          <w:sz w:val="20"/>
          <w:szCs w:val="20"/>
        </w:rPr>
        <w:t xml:space="preserve"> Resultados de desempeño para la red neuronal artificial entrenada para estimar el área de la superficie colectora basada en un colector de placa plana seleccionado, usando el coeficiente de correlación lineal R entre el área de la superficie colectora obtenida con el protocolo de diseño y el estimado por la red neuronal para cada fase de entrenamiento (entrenamiento, prueba, validación y simulación con todos los datos)</w:t>
      </w:r>
    </w:p>
    <w:p w:rsidR="001C28A9" w:rsidRDefault="001C28A9" w:rsidP="001C28A9">
      <w:pPr>
        <w:pStyle w:val="Textoindependiente"/>
        <w:jc w:val="both"/>
        <w:rPr>
          <w:rFonts w:ascii="Arial" w:hAnsi="Arial" w:cs="Arial"/>
          <w:b w:val="0"/>
          <w:sz w:val="24"/>
        </w:rPr>
      </w:pPr>
    </w:p>
    <w:p w:rsidR="001C28A9" w:rsidRDefault="001C28A9" w:rsidP="001C28A9">
      <w:pPr>
        <w:pStyle w:val="Textoindependiente"/>
        <w:ind w:firstLine="539"/>
        <w:jc w:val="both"/>
        <w:rPr>
          <w:rFonts w:ascii="Arial" w:hAnsi="Arial" w:cs="Arial"/>
          <w:b w:val="0"/>
          <w:sz w:val="24"/>
        </w:rPr>
      </w:pPr>
      <w:r>
        <w:rPr>
          <w:rFonts w:ascii="Arial" w:hAnsi="Arial" w:cs="Arial"/>
          <w:b w:val="0"/>
          <w:sz w:val="24"/>
        </w:rPr>
        <w:t xml:space="preserve">Este desempeño basado en el factor de correlación lineal R (R &gt; 0.97) muestra una relación lineal positiva fuerte entre el valor del área de la superficie colectora obtenida a partir del protocolo de diseño y el obtenido mediante la predicción de la red neuronal seleccionada </w:t>
      </w:r>
      <w:r w:rsidRPr="0017095A">
        <w:rPr>
          <w:rFonts w:ascii="Arial" w:hAnsi="Arial" w:cs="Arial"/>
          <w:b w:val="0"/>
          <w:sz w:val="24"/>
          <w:vertAlign w:val="superscript"/>
        </w:rPr>
        <w:t>[9]</w:t>
      </w:r>
      <w:r>
        <w:rPr>
          <w:rFonts w:ascii="Arial" w:hAnsi="Arial" w:cs="Arial"/>
          <w:b w:val="0"/>
          <w:sz w:val="24"/>
        </w:rPr>
        <w:t xml:space="preserve">, lo cual permite inferir que la herramienta computacional es adecuada y confiable para hacer dichas estimaciones. El valor del coeficiente de correlación lineal R muestra que hay una aproximación del resultado obtenido por predicción, lo cual verifica la bondad en el ajuste de dicha predicción (Figura 5), permitiéndose inferir que el modelo computacional basado en la red neuronal artificial puede ser usado como metodología para el dimensionamiento de sistemas de energía solar térmica para ACS, para el caso de estimación del área de la superficie colectora basada en colectores de placa plana </w:t>
      </w:r>
      <w:r w:rsidRPr="0017095A">
        <w:rPr>
          <w:rFonts w:ascii="Arial" w:hAnsi="Arial" w:cs="Arial"/>
          <w:b w:val="0"/>
          <w:sz w:val="24"/>
          <w:vertAlign w:val="superscript"/>
        </w:rPr>
        <w:t>[9]</w:t>
      </w:r>
      <w:r>
        <w:rPr>
          <w:rFonts w:ascii="Arial" w:hAnsi="Arial" w:cs="Arial"/>
          <w:b w:val="0"/>
          <w:sz w:val="24"/>
        </w:rPr>
        <w:t>.</w:t>
      </w:r>
    </w:p>
    <w:p w:rsidR="001C28A9" w:rsidRDefault="001C28A9" w:rsidP="001C28A9">
      <w:pPr>
        <w:pStyle w:val="Textoindependiente"/>
        <w:jc w:val="both"/>
        <w:rPr>
          <w:rFonts w:ascii="Arial" w:hAnsi="Arial" w:cs="Arial"/>
          <w:b w:val="0"/>
          <w:sz w:val="24"/>
        </w:rPr>
      </w:pPr>
    </w:p>
    <w:p w:rsidR="001C28A9" w:rsidRDefault="001C28A9" w:rsidP="001C28A9">
      <w:pPr>
        <w:pStyle w:val="Textoindependiente"/>
        <w:jc w:val="center"/>
        <w:rPr>
          <w:rFonts w:ascii="Arial" w:hAnsi="Arial" w:cs="Arial"/>
          <w:b w:val="0"/>
          <w:sz w:val="24"/>
        </w:rPr>
      </w:pPr>
      <w:r w:rsidRPr="006A5D3C">
        <w:rPr>
          <w:rFonts w:ascii="Arial" w:hAnsi="Arial" w:cs="Arial"/>
          <w:b w:val="0"/>
          <w:noProof/>
          <w:sz w:val="24"/>
          <w:lang w:val="en-US"/>
        </w:rPr>
        <w:drawing>
          <wp:inline distT="0" distB="0" distL="0" distR="0" wp14:anchorId="017D744E" wp14:editId="44E385A4">
            <wp:extent cx="3600450" cy="2057400"/>
            <wp:effectExtent l="0" t="0" r="0" b="0"/>
            <wp:docPr id="1107" name="Imagen 1107" descr="figur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 descr="figura 5"/>
                    <pic:cNvPicPr>
                      <a:picLocks noChangeAspect="1" noChangeArrowheads="1"/>
                    </pic:cNvPicPr>
                  </pic:nvPicPr>
                  <pic:blipFill>
                    <a:blip r:embed="rId1368" cstate="print">
                      <a:extLst>
                        <a:ext uri="{28A0092B-C50C-407E-A947-70E740481C1C}">
                          <a14:useLocalDpi xmlns:a14="http://schemas.microsoft.com/office/drawing/2010/main" val="0"/>
                        </a:ext>
                      </a:extLst>
                    </a:blip>
                    <a:srcRect/>
                    <a:stretch>
                      <a:fillRect/>
                    </a:stretch>
                  </pic:blipFill>
                  <pic:spPr bwMode="auto">
                    <a:xfrm>
                      <a:off x="0" y="0"/>
                      <a:ext cx="3600450" cy="2057400"/>
                    </a:xfrm>
                    <a:prstGeom prst="rect">
                      <a:avLst/>
                    </a:prstGeom>
                    <a:noFill/>
                    <a:ln>
                      <a:noFill/>
                    </a:ln>
                  </pic:spPr>
                </pic:pic>
              </a:graphicData>
            </a:graphic>
          </wp:inline>
        </w:drawing>
      </w:r>
    </w:p>
    <w:p w:rsidR="001C28A9" w:rsidRDefault="001C28A9" w:rsidP="001C28A9">
      <w:pPr>
        <w:jc w:val="center"/>
        <w:rPr>
          <w:rFonts w:ascii="Arial" w:hAnsi="Arial" w:cs="Arial"/>
          <w:bCs/>
          <w:i/>
          <w:sz w:val="20"/>
          <w:szCs w:val="20"/>
        </w:rPr>
      </w:pPr>
      <w:r>
        <w:rPr>
          <w:rFonts w:ascii="Arial" w:hAnsi="Arial" w:cs="Arial"/>
          <w:bCs/>
          <w:i/>
          <w:sz w:val="20"/>
          <w:szCs w:val="20"/>
        </w:rPr>
        <w:t>Figura 5</w:t>
      </w:r>
      <w:r w:rsidRPr="00296222">
        <w:rPr>
          <w:rFonts w:ascii="Arial" w:hAnsi="Arial" w:cs="Arial"/>
          <w:bCs/>
          <w:i/>
          <w:sz w:val="20"/>
          <w:szCs w:val="20"/>
        </w:rPr>
        <w:t>.</w:t>
      </w:r>
      <w:r>
        <w:rPr>
          <w:rFonts w:ascii="Arial" w:hAnsi="Arial" w:cs="Arial"/>
          <w:bCs/>
          <w:i/>
          <w:sz w:val="20"/>
          <w:szCs w:val="20"/>
        </w:rPr>
        <w:t xml:space="preserve"> Comparación gráfica de los resultados entregados por la red neuronal artificial y los obtenidos por el protocolo de diseño</w:t>
      </w:r>
    </w:p>
    <w:p w:rsidR="001C28A9" w:rsidRDefault="001C28A9" w:rsidP="001C28A9">
      <w:pPr>
        <w:pStyle w:val="Textoindependiente"/>
        <w:jc w:val="both"/>
        <w:rPr>
          <w:rFonts w:ascii="Arial" w:hAnsi="Arial" w:cs="Arial"/>
          <w:b w:val="0"/>
          <w:sz w:val="24"/>
        </w:rPr>
      </w:pPr>
    </w:p>
    <w:p w:rsidR="001C28A9" w:rsidRDefault="001C28A9" w:rsidP="001C28A9">
      <w:pPr>
        <w:pStyle w:val="Textoindependiente"/>
        <w:ind w:firstLine="539"/>
        <w:jc w:val="both"/>
        <w:rPr>
          <w:rFonts w:ascii="Arial" w:hAnsi="Arial" w:cs="Arial"/>
          <w:b w:val="0"/>
          <w:sz w:val="24"/>
        </w:rPr>
      </w:pPr>
      <w:r>
        <w:rPr>
          <w:rFonts w:ascii="Arial" w:hAnsi="Arial" w:cs="Arial"/>
          <w:b w:val="0"/>
          <w:sz w:val="24"/>
        </w:rPr>
        <w:t>La literatura reporta diversos trabajos sobre diseño de sistemas de energía solar térmica y en particular su aprovechamiento para calentamiento de agua, mediante el desarrollo de modelos matemáticos, el uso de software para modelado de procesos, la metodología de superficies de respuesta y las redes neuronales artificiales. En dichos reportes se busca, en algunos casos, comprender el proceso de intercambio de calor, la resistencia de diversos materiales y como operan en diferentes latitudes.</w:t>
      </w:r>
    </w:p>
    <w:p w:rsidR="001C28A9" w:rsidRDefault="001C28A9" w:rsidP="001C28A9">
      <w:pPr>
        <w:pStyle w:val="Textoindependiente"/>
        <w:ind w:firstLine="539"/>
        <w:jc w:val="both"/>
        <w:rPr>
          <w:rFonts w:ascii="Arial" w:hAnsi="Arial" w:cs="Arial"/>
          <w:b w:val="0"/>
          <w:sz w:val="24"/>
        </w:rPr>
      </w:pPr>
      <w:r>
        <w:rPr>
          <w:rFonts w:ascii="Arial" w:hAnsi="Arial" w:cs="Arial"/>
          <w:b w:val="0"/>
          <w:sz w:val="24"/>
        </w:rPr>
        <w:t xml:space="preserve">Con respecto al uso de redes neuronales artificiales, Cáceres (2015) </w:t>
      </w:r>
      <w:r w:rsidRPr="0017095A">
        <w:rPr>
          <w:rFonts w:ascii="Arial" w:hAnsi="Arial" w:cs="Arial"/>
          <w:b w:val="0"/>
          <w:sz w:val="24"/>
          <w:vertAlign w:val="superscript"/>
        </w:rPr>
        <w:t>[8]</w:t>
      </w:r>
      <w:r>
        <w:rPr>
          <w:rFonts w:ascii="Arial" w:hAnsi="Arial" w:cs="Arial"/>
          <w:b w:val="0"/>
          <w:sz w:val="24"/>
        </w:rPr>
        <w:t xml:space="preserve"> realiza el diseño y optimización de colectores solares para ACS a utilizar en zonas del Ecuador, a partir de luso de redes neuronales de backpropagation del software Neurosolution, para estimar el coeficiente global de pérdidas térmicas, R = 0.977 (considerando 15 variables de entrada), el factor de eficiencia de la sección, R = 0.995, y el factor de remoción de calor, R = 0.996 (considerando 9 variables de entrada), y la temperatura de salida del fluido, R = 0.972, el calor útil, R = 0.987, y la eficiencia global del colector, R = 0.989 (considerando 10 variables de entrada). Valle (2009) </w:t>
      </w:r>
      <w:r w:rsidRPr="0017095A">
        <w:rPr>
          <w:rFonts w:ascii="Arial" w:hAnsi="Arial" w:cs="Arial"/>
          <w:b w:val="0"/>
          <w:sz w:val="24"/>
          <w:vertAlign w:val="superscript"/>
        </w:rPr>
        <w:t>[8]</w:t>
      </w:r>
      <w:r>
        <w:rPr>
          <w:rFonts w:ascii="Arial" w:hAnsi="Arial" w:cs="Arial"/>
          <w:b w:val="0"/>
          <w:sz w:val="24"/>
        </w:rPr>
        <w:t xml:space="preserve"> estudia el comportamiento dinámico de un sistema de calentamiento solar de aire usando redes neuronales artificiales, para lo cual considera 7 variables de entrada las cuales correlaciona con la estimación la temperatura de aire a la salida del colector, obteniendo un coeficiente de correlación lineal R = 0.97. Díez &amp; Falagán (2013a, 2013b) </w:t>
      </w:r>
      <w:r w:rsidRPr="0017095A">
        <w:rPr>
          <w:rFonts w:ascii="Arial" w:hAnsi="Arial" w:cs="Arial"/>
          <w:b w:val="0"/>
          <w:sz w:val="24"/>
          <w:vertAlign w:val="superscript"/>
        </w:rPr>
        <w:t>[8]</w:t>
      </w:r>
      <w:r>
        <w:rPr>
          <w:rFonts w:ascii="Arial" w:hAnsi="Arial" w:cs="Arial"/>
          <w:b w:val="0"/>
          <w:sz w:val="24"/>
        </w:rPr>
        <w:t>, reportan el modelado de un captador solar usando redes neuronales artificiales, con las cuales estiman la temperatura del agua a la salida del colector considerando cuatro variables de entrada (Irradiación solar, temperatura ambiente, temperatura del agua a la entrada del colector y caudal de agua bombeado), sin especificar el coeficiente de correlación lineal.</w:t>
      </w:r>
    </w:p>
    <w:p w:rsidR="001C28A9" w:rsidRPr="006747A4" w:rsidRDefault="001C28A9" w:rsidP="001C28A9">
      <w:pPr>
        <w:pStyle w:val="Textoindependiente"/>
        <w:ind w:firstLine="539"/>
        <w:jc w:val="both"/>
        <w:rPr>
          <w:rFonts w:ascii="Arial" w:hAnsi="Arial" w:cs="Arial"/>
          <w:b w:val="0"/>
          <w:sz w:val="24"/>
        </w:rPr>
      </w:pPr>
      <w:r>
        <w:rPr>
          <w:rFonts w:ascii="Arial" w:hAnsi="Arial" w:cs="Arial"/>
          <w:b w:val="0"/>
          <w:sz w:val="24"/>
        </w:rPr>
        <w:t>Para la red neuronal artificial elaborada en el presente estudio y entrenada para estimar la superficie colectora de un sistema de energía solar térmica para ACS, su resultado de desempeño evaluado a partir del coeficiente de correlación lineal R, muestra que esta estimación es concordante con diversos trabajos mencionados y desarrollados para la temática del uso de redes neuronales artificiales y estimaciones relacionadas con parámetros del calentamiento de agua con energía solar; esto permite inferir que la red neuronal artificial propuesta puede ser usada confiablemente como herramienta de predicción en el dimensionamiento de sistemas de energía solar térmica para ACS y, en particular, en la determinación del área de la superficie colectora basada en colectores de placa plana. Sin embargo, para la temática de redes neuronales artificiales, no se evidencian trabajos para el dimensionamiento del área colectora en aplicaciones de aprovechamiento de energía solar para ACS.</w:t>
      </w:r>
    </w:p>
    <w:p w:rsidR="001C28A9" w:rsidRPr="005904AE" w:rsidRDefault="001C28A9" w:rsidP="001C28A9">
      <w:pPr>
        <w:jc w:val="both"/>
        <w:rPr>
          <w:rFonts w:ascii="Arial" w:hAnsi="Arial" w:cs="Arial"/>
        </w:rPr>
      </w:pPr>
    </w:p>
    <w:p w:rsidR="001C28A9" w:rsidRPr="001C28A9" w:rsidRDefault="001C28A9" w:rsidP="001C28A9">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492" w:name="_Toc50031509"/>
      <w:r w:rsidRPr="001C28A9">
        <w:rPr>
          <w:rFonts w:ascii="Arial" w:hAnsi="Arial" w:cs="Arial"/>
          <w:i/>
          <w:caps/>
          <w:sz w:val="24"/>
          <w:szCs w:val="24"/>
        </w:rPr>
        <w:t xml:space="preserve">5. </w:t>
      </w:r>
      <w:r w:rsidRPr="001C28A9">
        <w:rPr>
          <w:rFonts w:ascii="Arial" w:hAnsi="Arial" w:cs="Arial"/>
          <w:i/>
          <w:sz w:val="24"/>
          <w:szCs w:val="24"/>
        </w:rPr>
        <w:t>Conclusiones</w:t>
      </w:r>
      <w:bookmarkEnd w:id="492"/>
    </w:p>
    <w:p w:rsidR="001C28A9" w:rsidRDefault="001C28A9" w:rsidP="001C28A9">
      <w:pPr>
        <w:pStyle w:val="Textoindependiente"/>
        <w:ind w:firstLine="539"/>
        <w:jc w:val="both"/>
        <w:rPr>
          <w:rFonts w:ascii="Arial" w:hAnsi="Arial" w:cs="Arial"/>
          <w:b w:val="0"/>
          <w:sz w:val="24"/>
        </w:rPr>
      </w:pPr>
      <w:r>
        <w:rPr>
          <w:rFonts w:ascii="Arial" w:hAnsi="Arial" w:cs="Arial"/>
          <w:b w:val="0"/>
          <w:sz w:val="24"/>
        </w:rPr>
        <w:t>El trabajo permite mostrar el entrenamiento de una red neuronal artificial, que corresponde a una red multicapa feedfoward-backpropagation, para ser usada en el dimensionamiento de sistemas de energía solar térmica para ACS, en este caso para la estimación del área de la superficie colectora basada en colectores de placa plana; la red neuronal artificial generaliza adecuadamente los resultados que se obtienen en los protocolos convencionales de diseño. Los resultados obtenidos permiten trazar las siguientes conclusiones y recomendaciones para futuras agendas:</w:t>
      </w:r>
    </w:p>
    <w:p w:rsidR="001C28A9" w:rsidRDefault="001C28A9" w:rsidP="001C28A9">
      <w:pPr>
        <w:pStyle w:val="Textoindependiente"/>
        <w:numPr>
          <w:ilvl w:val="0"/>
          <w:numId w:val="82"/>
        </w:numPr>
        <w:suppressAutoHyphens/>
        <w:spacing w:after="0" w:line="240" w:lineRule="auto"/>
        <w:jc w:val="both"/>
        <w:rPr>
          <w:rFonts w:ascii="Arial" w:hAnsi="Arial" w:cs="Arial"/>
          <w:b w:val="0"/>
          <w:sz w:val="24"/>
        </w:rPr>
      </w:pPr>
      <w:r>
        <w:rPr>
          <w:rFonts w:ascii="Arial" w:hAnsi="Arial" w:cs="Arial"/>
          <w:b w:val="0"/>
          <w:sz w:val="24"/>
        </w:rPr>
        <w:t>El indicador de desempeño considerado, el factor de correlación lineal R, muestra que la red neuronal artificial es confiable para la estimación del área de la superficie colectora basada en colectores de placa plana, para el problema de dimensionamiento de sistemas de energía solar térmica para ACS, acorde a los resultados que se obtendrían con los métodos convencionales de diseño.</w:t>
      </w:r>
    </w:p>
    <w:p w:rsidR="001C28A9" w:rsidRDefault="001C28A9" w:rsidP="001C28A9">
      <w:pPr>
        <w:pStyle w:val="Textoindependiente"/>
        <w:numPr>
          <w:ilvl w:val="0"/>
          <w:numId w:val="82"/>
        </w:numPr>
        <w:suppressAutoHyphens/>
        <w:spacing w:after="0" w:line="240" w:lineRule="auto"/>
        <w:jc w:val="both"/>
        <w:rPr>
          <w:rFonts w:ascii="Arial" w:hAnsi="Arial" w:cs="Arial"/>
          <w:b w:val="0"/>
          <w:sz w:val="24"/>
        </w:rPr>
      </w:pPr>
      <w:r>
        <w:rPr>
          <w:rFonts w:ascii="Arial" w:hAnsi="Arial" w:cs="Arial"/>
          <w:b w:val="0"/>
          <w:sz w:val="24"/>
        </w:rPr>
        <w:t>La consideración en la red neuronal artificial de variables que identifican la ubicación geográfica del proyecto (latitud) y las condiciones de disposición del colector (inclinación del colector), en conjunto con el resultado del indicador de desempeño, muestran la capacidad de la red de relacionar estas variables con la influencia que tienen sobre el valor de la energía por radiación disponible, como se establece en los protocolos de diseño. Esto evidencia lo reportado en la literatura, sobre la capacidad como reconocedora de patrones la tecnología neuronal artificial, generando así una herramienta de predicción universal en el problema abordado.</w:t>
      </w:r>
    </w:p>
    <w:p w:rsidR="001C28A9" w:rsidRDefault="001C28A9" w:rsidP="001C28A9">
      <w:pPr>
        <w:pStyle w:val="Textoindependiente"/>
        <w:numPr>
          <w:ilvl w:val="0"/>
          <w:numId w:val="82"/>
        </w:numPr>
        <w:suppressAutoHyphens/>
        <w:spacing w:after="0" w:line="240" w:lineRule="auto"/>
        <w:jc w:val="both"/>
        <w:rPr>
          <w:rFonts w:ascii="Arial" w:hAnsi="Arial" w:cs="Arial"/>
          <w:b w:val="0"/>
          <w:sz w:val="24"/>
        </w:rPr>
      </w:pPr>
      <w:r>
        <w:rPr>
          <w:rFonts w:ascii="Arial" w:hAnsi="Arial" w:cs="Arial"/>
          <w:b w:val="0"/>
          <w:sz w:val="24"/>
        </w:rPr>
        <w:t>La exploración realizada permite potenciar el uso de la red neuronal artificial para su uso como herramienta computacional para procesos de sistematización del protocolo de diseño, por ejemplo, como componente lógico en el aprendizaje de máquinas para tal fin.</w:t>
      </w:r>
    </w:p>
    <w:p w:rsidR="001C28A9" w:rsidRPr="00FA5EA4" w:rsidRDefault="001C28A9" w:rsidP="001C28A9">
      <w:pPr>
        <w:pStyle w:val="Textoindependiente"/>
        <w:numPr>
          <w:ilvl w:val="0"/>
          <w:numId w:val="82"/>
        </w:numPr>
        <w:suppressAutoHyphens/>
        <w:spacing w:after="0" w:line="240" w:lineRule="auto"/>
        <w:jc w:val="both"/>
        <w:rPr>
          <w:rFonts w:ascii="Arial" w:hAnsi="Arial" w:cs="Arial"/>
          <w:b w:val="0"/>
          <w:sz w:val="24"/>
        </w:rPr>
      </w:pPr>
      <w:r>
        <w:rPr>
          <w:rFonts w:ascii="Arial" w:hAnsi="Arial" w:cs="Arial"/>
          <w:b w:val="0"/>
          <w:sz w:val="24"/>
        </w:rPr>
        <w:t>Se abre una agenda futura de investigación y desarrollo informático, al extender el uso de redes neuronales artificiales en el dimensionamiento de sistemas de energía solar térmica para ubicaciones generales (hemisferio norte y hemisferio sur), y de otras tipologías de colectores.</w:t>
      </w:r>
    </w:p>
    <w:p w:rsidR="001C28A9" w:rsidRPr="00CE4EE6" w:rsidRDefault="001C28A9" w:rsidP="001C28A9">
      <w:pPr>
        <w:pStyle w:val="Textoindependiente"/>
        <w:rPr>
          <w:rFonts w:ascii="Arial" w:hAnsi="Arial" w:cs="Arial"/>
          <w:b w:val="0"/>
          <w:sz w:val="24"/>
          <w:lang w:val="es-CO"/>
        </w:rPr>
      </w:pPr>
    </w:p>
    <w:p w:rsidR="001C28A9" w:rsidRPr="00CE4EE6" w:rsidRDefault="001C28A9" w:rsidP="001C28A9">
      <w:pPr>
        <w:pStyle w:val="Textoindependiente"/>
        <w:rPr>
          <w:rFonts w:ascii="Arial" w:hAnsi="Arial" w:cs="Arial"/>
          <w:b w:val="0"/>
          <w:sz w:val="24"/>
          <w:lang w:val="es-CO"/>
        </w:rPr>
      </w:pPr>
    </w:p>
    <w:p w:rsidR="001C28A9" w:rsidRPr="001C28A9" w:rsidRDefault="001C28A9" w:rsidP="001C28A9">
      <w:pPr>
        <w:pStyle w:val="Ttulo1"/>
        <w:keepLines w:val="0"/>
        <w:numPr>
          <w:ilvl w:val="0"/>
          <w:numId w:val="1"/>
        </w:numPr>
        <w:tabs>
          <w:tab w:val="clear" w:pos="432"/>
          <w:tab w:val="left" w:pos="0"/>
        </w:tabs>
        <w:suppressAutoHyphens/>
        <w:spacing w:before="0" w:after="0" w:line="360" w:lineRule="auto"/>
        <w:ind w:left="0" w:firstLine="0"/>
        <w:rPr>
          <w:rFonts w:ascii="Arial" w:hAnsi="Arial" w:cs="Arial"/>
          <w:i/>
          <w:sz w:val="24"/>
          <w:szCs w:val="24"/>
        </w:rPr>
      </w:pPr>
      <w:bookmarkStart w:id="493" w:name="_Toc50031510"/>
      <w:r w:rsidRPr="001C28A9">
        <w:rPr>
          <w:rFonts w:ascii="Arial" w:hAnsi="Arial" w:cs="Arial"/>
          <w:i/>
          <w:caps/>
          <w:sz w:val="24"/>
          <w:szCs w:val="24"/>
        </w:rPr>
        <w:t xml:space="preserve">6. </w:t>
      </w:r>
      <w:r w:rsidRPr="001C28A9">
        <w:rPr>
          <w:rFonts w:ascii="Arial" w:hAnsi="Arial" w:cs="Arial"/>
          <w:i/>
          <w:sz w:val="24"/>
          <w:szCs w:val="24"/>
        </w:rPr>
        <w:t>Bibliografía</w:t>
      </w:r>
      <w:bookmarkEnd w:id="493"/>
    </w:p>
    <w:p w:rsidR="001C28A9" w:rsidRPr="00537169" w:rsidRDefault="001C28A9" w:rsidP="001C28A9">
      <w:pPr>
        <w:numPr>
          <w:ilvl w:val="0"/>
          <w:numId w:val="83"/>
        </w:numPr>
        <w:suppressAutoHyphens/>
        <w:spacing w:after="0" w:line="240" w:lineRule="auto"/>
        <w:jc w:val="both"/>
        <w:rPr>
          <w:rFonts w:ascii="Arial" w:hAnsi="Arial" w:cs="Arial"/>
          <w:lang w:val="es-CO"/>
        </w:rPr>
      </w:pPr>
      <w:r w:rsidRPr="004C3B19">
        <w:rPr>
          <w:rFonts w:ascii="Arial" w:hAnsi="Arial" w:cs="Arial"/>
          <w:lang w:val="es-CO"/>
        </w:rPr>
        <w:t>Castillo Y., Castrillón M., Va</w:t>
      </w:r>
      <w:r>
        <w:rPr>
          <w:rFonts w:ascii="Arial" w:hAnsi="Arial" w:cs="Arial"/>
          <w:lang w:val="es-CO"/>
        </w:rPr>
        <w:t>negas-Chamorro M., Valencia G.,</w:t>
      </w:r>
      <w:r w:rsidRPr="004C3B19">
        <w:rPr>
          <w:rFonts w:ascii="Arial" w:hAnsi="Arial" w:cs="Arial"/>
          <w:lang w:val="es-CO"/>
        </w:rPr>
        <w:t xml:space="preserve"> Villicaña E., Rol de las fuentes no convencionales de energía en el sector e</w:t>
      </w:r>
      <w:r>
        <w:rPr>
          <w:rFonts w:ascii="Arial" w:hAnsi="Arial" w:cs="Arial"/>
          <w:lang w:val="es-CO"/>
        </w:rPr>
        <w:t>léctrico colombiano</w:t>
      </w:r>
      <w:r w:rsidRPr="004C3B19">
        <w:rPr>
          <w:rFonts w:ascii="Arial" w:hAnsi="Arial" w:cs="Arial"/>
          <w:lang w:val="es-CO"/>
        </w:rPr>
        <w:t xml:space="preserve">, </w:t>
      </w:r>
      <w:r>
        <w:rPr>
          <w:rFonts w:ascii="Arial" w:hAnsi="Arial" w:cs="Arial"/>
          <w:lang w:val="es-CO"/>
        </w:rPr>
        <w:t>Prospect</w:t>
      </w:r>
      <w:r w:rsidRPr="004C3B19">
        <w:rPr>
          <w:rFonts w:ascii="Arial" w:hAnsi="Arial" w:cs="Arial"/>
          <w:lang w:val="es-CO"/>
        </w:rPr>
        <w:t xml:space="preserve">. </w:t>
      </w:r>
      <w:r w:rsidRPr="00537169">
        <w:rPr>
          <w:rFonts w:ascii="Arial" w:hAnsi="Arial" w:cs="Arial"/>
          <w:lang w:val="es-CO"/>
        </w:rPr>
        <w:t>V. 13, N. 1, 39–51 (2015).</w:t>
      </w:r>
    </w:p>
    <w:p w:rsidR="001C28A9" w:rsidRPr="001C28A9" w:rsidRDefault="001C28A9" w:rsidP="001C28A9">
      <w:pPr>
        <w:numPr>
          <w:ilvl w:val="0"/>
          <w:numId w:val="83"/>
        </w:numPr>
        <w:suppressAutoHyphens/>
        <w:spacing w:after="0" w:line="240" w:lineRule="auto"/>
        <w:jc w:val="both"/>
        <w:rPr>
          <w:rFonts w:ascii="Arial" w:hAnsi="Arial" w:cs="Arial"/>
          <w:lang w:val="es-MX"/>
        </w:rPr>
      </w:pPr>
      <w:r w:rsidRPr="001C28A9">
        <w:rPr>
          <w:rFonts w:ascii="Arial" w:hAnsi="Arial" w:cs="Arial"/>
          <w:lang w:val="es-MX"/>
        </w:rPr>
        <w:t>Lavorde M. A., Williams R. J. J., (Editores), “Energía Solar”, Academia Nacional de Ciencias Exactas, Físicas y Naturales, 2016.</w:t>
      </w:r>
    </w:p>
    <w:p w:rsidR="001C28A9" w:rsidRDefault="001C28A9" w:rsidP="001C28A9">
      <w:pPr>
        <w:numPr>
          <w:ilvl w:val="0"/>
          <w:numId w:val="83"/>
        </w:numPr>
        <w:suppressAutoHyphens/>
        <w:spacing w:after="0" w:line="240" w:lineRule="auto"/>
        <w:jc w:val="both"/>
        <w:rPr>
          <w:rFonts w:ascii="Arial" w:hAnsi="Arial" w:cs="Arial"/>
          <w:lang w:val="es-CO"/>
        </w:rPr>
      </w:pPr>
      <w:r w:rsidRPr="00DB3C00">
        <w:rPr>
          <w:rFonts w:ascii="Arial" w:hAnsi="Arial" w:cs="Arial"/>
          <w:lang w:val="es-CO"/>
        </w:rPr>
        <w:t>Moreno A. M., “Proyecto de una instalaci</w:t>
      </w:r>
      <w:r>
        <w:rPr>
          <w:rFonts w:ascii="Arial" w:hAnsi="Arial" w:cs="Arial"/>
          <w:lang w:val="es-CO"/>
        </w:rPr>
        <w:t>ón de energía solar para la producción de agua caliente sanitaria en un edificio de viviendas</w:t>
      </w:r>
      <w:r w:rsidRPr="00DB3C00">
        <w:rPr>
          <w:rFonts w:ascii="Arial" w:hAnsi="Arial" w:cs="Arial"/>
          <w:lang w:val="es-CO"/>
        </w:rPr>
        <w:t xml:space="preserve">”, </w:t>
      </w:r>
      <w:r>
        <w:rPr>
          <w:rFonts w:ascii="Arial" w:hAnsi="Arial" w:cs="Arial"/>
          <w:lang w:val="es-CO"/>
        </w:rPr>
        <w:t>Universidad de Sevilla, 2013</w:t>
      </w:r>
      <w:r w:rsidRPr="00DB3C00">
        <w:rPr>
          <w:rFonts w:ascii="Arial" w:hAnsi="Arial" w:cs="Arial"/>
          <w:lang w:val="es-CO"/>
        </w:rPr>
        <w:t>.</w:t>
      </w:r>
    </w:p>
    <w:p w:rsidR="001C28A9" w:rsidRDefault="001C28A9" w:rsidP="001C28A9">
      <w:pPr>
        <w:numPr>
          <w:ilvl w:val="0"/>
          <w:numId w:val="83"/>
        </w:numPr>
        <w:suppressAutoHyphens/>
        <w:spacing w:after="0" w:line="240" w:lineRule="auto"/>
        <w:jc w:val="both"/>
        <w:rPr>
          <w:rFonts w:ascii="Arial" w:hAnsi="Arial" w:cs="Arial"/>
          <w:lang w:val="en-US"/>
        </w:rPr>
      </w:pPr>
      <w:r>
        <w:rPr>
          <w:rFonts w:ascii="Arial" w:hAnsi="Arial" w:cs="Arial"/>
          <w:lang w:val="es-CO"/>
        </w:rPr>
        <w:t>Ávila A</w:t>
      </w:r>
      <w:r w:rsidRPr="004C3B19">
        <w:rPr>
          <w:rFonts w:ascii="Arial" w:hAnsi="Arial" w:cs="Arial"/>
          <w:lang w:val="es-CO"/>
        </w:rPr>
        <w:t>.</w:t>
      </w:r>
      <w:r>
        <w:rPr>
          <w:rFonts w:ascii="Arial" w:hAnsi="Arial" w:cs="Arial"/>
          <w:lang w:val="es-CO"/>
        </w:rPr>
        <w:t xml:space="preserve"> E., Mendoza J</w:t>
      </w:r>
      <w:r w:rsidRPr="004C3B19">
        <w:rPr>
          <w:rFonts w:ascii="Arial" w:hAnsi="Arial" w:cs="Arial"/>
          <w:lang w:val="es-CO"/>
        </w:rPr>
        <w:t>.</w:t>
      </w:r>
      <w:r>
        <w:rPr>
          <w:rFonts w:ascii="Arial" w:hAnsi="Arial" w:cs="Arial"/>
          <w:lang w:val="es-CO"/>
        </w:rPr>
        <w:t xml:space="preserve"> M.</w:t>
      </w:r>
      <w:r w:rsidRPr="004C3B19">
        <w:rPr>
          <w:rFonts w:ascii="Arial" w:hAnsi="Arial" w:cs="Arial"/>
          <w:lang w:val="es-CO"/>
        </w:rPr>
        <w:t xml:space="preserve">, </w:t>
      </w:r>
      <w:r>
        <w:rPr>
          <w:rFonts w:ascii="Arial" w:hAnsi="Arial" w:cs="Arial"/>
          <w:lang w:val="es-CO"/>
        </w:rPr>
        <w:t>Beltrán J</w:t>
      </w:r>
      <w:r w:rsidRPr="004C3B19">
        <w:rPr>
          <w:rFonts w:ascii="Arial" w:hAnsi="Arial" w:cs="Arial"/>
          <w:lang w:val="es-CO"/>
        </w:rPr>
        <w:t>.</w:t>
      </w:r>
      <w:r>
        <w:rPr>
          <w:rFonts w:ascii="Arial" w:hAnsi="Arial" w:cs="Arial"/>
          <w:lang w:val="es-CO"/>
        </w:rPr>
        <w:t xml:space="preserve"> F.</w:t>
      </w:r>
      <w:r w:rsidRPr="004C3B19">
        <w:rPr>
          <w:rFonts w:ascii="Arial" w:hAnsi="Arial" w:cs="Arial"/>
          <w:lang w:val="es-CO"/>
        </w:rPr>
        <w:t xml:space="preserve">, </w:t>
      </w:r>
      <w:r>
        <w:rPr>
          <w:rFonts w:ascii="Arial" w:hAnsi="Arial" w:cs="Arial"/>
          <w:lang w:val="es-CO"/>
        </w:rPr>
        <w:t>Evaluación energética de un colector solar de placa plana de doble cubierta</w:t>
      </w:r>
      <w:r w:rsidRPr="004C3B19">
        <w:rPr>
          <w:rFonts w:ascii="Arial" w:hAnsi="Arial" w:cs="Arial"/>
          <w:lang w:val="es-CO"/>
        </w:rPr>
        <w:t xml:space="preserve">, </w:t>
      </w:r>
      <w:r>
        <w:rPr>
          <w:rFonts w:ascii="Arial" w:hAnsi="Arial" w:cs="Arial"/>
          <w:lang w:val="es-CO"/>
        </w:rPr>
        <w:t>Ingeniería &amp; Desarrollo.</w:t>
      </w:r>
      <w:r w:rsidRPr="00AE1B73">
        <w:rPr>
          <w:rFonts w:ascii="Arial" w:hAnsi="Arial" w:cs="Arial"/>
          <w:lang w:val="es-CO"/>
        </w:rPr>
        <w:t xml:space="preserve"> </w:t>
      </w:r>
      <w:r>
        <w:rPr>
          <w:rFonts w:ascii="Arial" w:hAnsi="Arial" w:cs="Arial"/>
          <w:lang w:val="en-US"/>
        </w:rPr>
        <w:t>N. 27</w:t>
      </w:r>
      <w:r w:rsidRPr="00AE1B73">
        <w:rPr>
          <w:rFonts w:ascii="Arial" w:hAnsi="Arial" w:cs="Arial"/>
          <w:lang w:val="en-US"/>
        </w:rPr>
        <w:t xml:space="preserve">, </w:t>
      </w:r>
      <w:r>
        <w:rPr>
          <w:rFonts w:ascii="Arial" w:hAnsi="Arial" w:cs="Arial"/>
          <w:lang w:val="en-US"/>
        </w:rPr>
        <w:t>93</w:t>
      </w:r>
      <w:r w:rsidRPr="00AE1B73">
        <w:rPr>
          <w:rFonts w:ascii="Arial" w:hAnsi="Arial" w:cs="Arial"/>
          <w:lang w:val="en-US"/>
        </w:rPr>
        <w:t>–</w:t>
      </w:r>
      <w:r>
        <w:rPr>
          <w:rFonts w:ascii="Arial" w:hAnsi="Arial" w:cs="Arial"/>
          <w:lang w:val="en-US"/>
        </w:rPr>
        <w:t>112 (2010</w:t>
      </w:r>
      <w:r w:rsidRPr="00AE1B73">
        <w:rPr>
          <w:rFonts w:ascii="Arial" w:hAnsi="Arial" w:cs="Arial"/>
          <w:lang w:val="en-US"/>
        </w:rPr>
        <w:t>).</w:t>
      </w:r>
    </w:p>
    <w:p w:rsidR="001C28A9" w:rsidRDefault="001C28A9" w:rsidP="001C28A9">
      <w:pPr>
        <w:numPr>
          <w:ilvl w:val="0"/>
          <w:numId w:val="83"/>
        </w:numPr>
        <w:suppressAutoHyphens/>
        <w:spacing w:after="0" w:line="240" w:lineRule="auto"/>
        <w:jc w:val="both"/>
        <w:rPr>
          <w:rFonts w:ascii="Arial" w:hAnsi="Arial" w:cs="Arial"/>
          <w:lang w:val="es-CO"/>
        </w:rPr>
      </w:pPr>
      <w:r w:rsidRPr="00F634EC">
        <w:rPr>
          <w:rFonts w:ascii="Arial" w:hAnsi="Arial" w:cs="Arial"/>
          <w:lang w:val="es-CO"/>
        </w:rPr>
        <w:t>Vásquez</w:t>
      </w:r>
      <w:r w:rsidRPr="00DB3C00">
        <w:rPr>
          <w:rFonts w:ascii="Arial" w:hAnsi="Arial" w:cs="Arial"/>
          <w:lang w:val="es-CO"/>
        </w:rPr>
        <w:t xml:space="preserve"> </w:t>
      </w:r>
      <w:r>
        <w:rPr>
          <w:rFonts w:ascii="Arial" w:hAnsi="Arial" w:cs="Arial"/>
          <w:lang w:val="es-CO"/>
        </w:rPr>
        <w:t>G</w:t>
      </w:r>
      <w:r w:rsidRPr="00DB3C00">
        <w:rPr>
          <w:rFonts w:ascii="Arial" w:hAnsi="Arial" w:cs="Arial"/>
          <w:lang w:val="es-CO"/>
        </w:rPr>
        <w:t>., “</w:t>
      </w:r>
      <w:r>
        <w:rPr>
          <w:rFonts w:ascii="Arial" w:hAnsi="Arial" w:cs="Arial"/>
          <w:lang w:val="es-CO"/>
        </w:rPr>
        <w:t>Manual de instalaciones de fontanería, evacuación y saneamiento y energía solar en edificación</w:t>
      </w:r>
      <w:r w:rsidRPr="00DB3C00">
        <w:rPr>
          <w:rFonts w:ascii="Arial" w:hAnsi="Arial" w:cs="Arial"/>
          <w:lang w:val="es-CO"/>
        </w:rPr>
        <w:t xml:space="preserve">”, </w:t>
      </w:r>
      <w:r>
        <w:rPr>
          <w:rFonts w:ascii="Arial" w:hAnsi="Arial" w:cs="Arial"/>
          <w:lang w:val="es-CO"/>
        </w:rPr>
        <w:t>Universidad Politécnica de Cartagena, 2011</w:t>
      </w:r>
      <w:r w:rsidRPr="00DB3C00">
        <w:rPr>
          <w:rFonts w:ascii="Arial" w:hAnsi="Arial" w:cs="Arial"/>
          <w:lang w:val="es-CO"/>
        </w:rPr>
        <w:t>.</w:t>
      </w:r>
    </w:p>
    <w:p w:rsidR="001C28A9" w:rsidRDefault="001C28A9" w:rsidP="001C28A9">
      <w:pPr>
        <w:numPr>
          <w:ilvl w:val="0"/>
          <w:numId w:val="83"/>
        </w:numPr>
        <w:suppressAutoHyphens/>
        <w:spacing w:after="0" w:line="240" w:lineRule="auto"/>
        <w:jc w:val="both"/>
        <w:rPr>
          <w:rFonts w:ascii="Arial" w:hAnsi="Arial" w:cs="Arial"/>
          <w:lang w:val="es-CO"/>
        </w:rPr>
      </w:pPr>
      <w:r>
        <w:rPr>
          <w:rFonts w:ascii="Arial" w:hAnsi="Arial" w:cs="Arial"/>
          <w:lang w:val="es-CO"/>
        </w:rPr>
        <w:t>Ponce</w:t>
      </w:r>
      <w:r w:rsidRPr="00DB3C00">
        <w:rPr>
          <w:rFonts w:ascii="Arial" w:hAnsi="Arial" w:cs="Arial"/>
          <w:lang w:val="es-CO"/>
        </w:rPr>
        <w:t xml:space="preserve"> </w:t>
      </w:r>
      <w:r>
        <w:rPr>
          <w:rFonts w:ascii="Arial" w:hAnsi="Arial" w:cs="Arial"/>
          <w:lang w:val="es-CO"/>
        </w:rPr>
        <w:t>P</w:t>
      </w:r>
      <w:r w:rsidRPr="00DB3C00">
        <w:rPr>
          <w:rFonts w:ascii="Arial" w:hAnsi="Arial" w:cs="Arial"/>
          <w:lang w:val="es-CO"/>
        </w:rPr>
        <w:t>., “</w:t>
      </w:r>
      <w:r>
        <w:rPr>
          <w:rFonts w:ascii="Arial" w:hAnsi="Arial" w:cs="Arial"/>
          <w:lang w:val="es-CO"/>
        </w:rPr>
        <w:t>Inteligencia Artificial con aplicaciones a la ingeniería</w:t>
      </w:r>
      <w:r w:rsidRPr="00DB3C00">
        <w:rPr>
          <w:rFonts w:ascii="Arial" w:hAnsi="Arial" w:cs="Arial"/>
          <w:lang w:val="es-CO"/>
        </w:rPr>
        <w:t xml:space="preserve">”, </w:t>
      </w:r>
      <w:r>
        <w:rPr>
          <w:rFonts w:ascii="Arial" w:hAnsi="Arial" w:cs="Arial"/>
          <w:lang w:val="es-CO"/>
        </w:rPr>
        <w:t>Alfaomega Grupo Editor, 2010</w:t>
      </w:r>
      <w:r w:rsidRPr="00DB3C00">
        <w:rPr>
          <w:rFonts w:ascii="Arial" w:hAnsi="Arial" w:cs="Arial"/>
          <w:lang w:val="es-CO"/>
        </w:rPr>
        <w:t>.</w:t>
      </w:r>
    </w:p>
    <w:p w:rsidR="001C28A9" w:rsidRDefault="001C28A9" w:rsidP="001C28A9">
      <w:pPr>
        <w:numPr>
          <w:ilvl w:val="0"/>
          <w:numId w:val="83"/>
        </w:numPr>
        <w:suppressAutoHyphens/>
        <w:spacing w:after="0" w:line="240" w:lineRule="auto"/>
        <w:jc w:val="both"/>
        <w:rPr>
          <w:rFonts w:ascii="Arial" w:hAnsi="Arial" w:cs="Arial"/>
          <w:lang w:val="en-US"/>
        </w:rPr>
      </w:pPr>
      <w:r>
        <w:rPr>
          <w:rFonts w:ascii="Arial" w:hAnsi="Arial" w:cs="Arial"/>
          <w:lang w:val="es-CO"/>
        </w:rPr>
        <w:t>Tabarquino V</w:t>
      </w:r>
      <w:r w:rsidRPr="004C3B19">
        <w:rPr>
          <w:rFonts w:ascii="Arial" w:hAnsi="Arial" w:cs="Arial"/>
          <w:lang w:val="es-CO"/>
        </w:rPr>
        <w:t>.</w:t>
      </w:r>
      <w:r>
        <w:rPr>
          <w:rFonts w:ascii="Arial" w:hAnsi="Arial" w:cs="Arial"/>
          <w:lang w:val="es-CO"/>
        </w:rPr>
        <w:t xml:space="preserve"> H.</w:t>
      </w:r>
      <w:r w:rsidRPr="004C3B19">
        <w:rPr>
          <w:rFonts w:ascii="Arial" w:hAnsi="Arial" w:cs="Arial"/>
          <w:lang w:val="es-CO"/>
        </w:rPr>
        <w:t xml:space="preserve">, </w:t>
      </w:r>
      <w:r>
        <w:rPr>
          <w:rFonts w:ascii="Arial" w:hAnsi="Arial" w:cs="Arial"/>
          <w:lang w:val="es-CO"/>
        </w:rPr>
        <w:t>González L</w:t>
      </w:r>
      <w:r w:rsidRPr="004C3B19">
        <w:rPr>
          <w:rFonts w:ascii="Arial" w:hAnsi="Arial" w:cs="Arial"/>
          <w:lang w:val="es-CO"/>
        </w:rPr>
        <w:t>.</w:t>
      </w:r>
      <w:r>
        <w:rPr>
          <w:rFonts w:ascii="Arial" w:hAnsi="Arial" w:cs="Arial"/>
          <w:lang w:val="es-CO"/>
        </w:rPr>
        <w:t xml:space="preserve"> O.</w:t>
      </w:r>
      <w:r w:rsidRPr="004C3B19">
        <w:rPr>
          <w:rFonts w:ascii="Arial" w:hAnsi="Arial" w:cs="Arial"/>
          <w:lang w:val="es-CO"/>
        </w:rPr>
        <w:t xml:space="preserve">, </w:t>
      </w:r>
      <w:r>
        <w:rPr>
          <w:rFonts w:ascii="Arial" w:hAnsi="Arial" w:cs="Arial"/>
          <w:lang w:val="es-CO"/>
        </w:rPr>
        <w:t>Will</w:t>
      </w:r>
      <w:r w:rsidRPr="004C3B19">
        <w:rPr>
          <w:rFonts w:ascii="Arial" w:hAnsi="Arial" w:cs="Arial"/>
          <w:lang w:val="es-CO"/>
        </w:rPr>
        <w:t xml:space="preserve"> </w:t>
      </w:r>
      <w:r>
        <w:rPr>
          <w:rFonts w:ascii="Arial" w:hAnsi="Arial" w:cs="Arial"/>
          <w:lang w:val="es-CO"/>
        </w:rPr>
        <w:t xml:space="preserve">A. L. </w:t>
      </w:r>
      <w:r w:rsidRPr="004C3B19">
        <w:rPr>
          <w:rFonts w:ascii="Arial" w:hAnsi="Arial" w:cs="Arial"/>
          <w:lang w:val="es-CO"/>
        </w:rPr>
        <w:t xml:space="preserve">E., </w:t>
      </w:r>
      <w:r>
        <w:rPr>
          <w:rFonts w:ascii="Arial" w:hAnsi="Arial" w:cs="Arial"/>
          <w:lang w:val="es-CO"/>
        </w:rPr>
        <w:t>Estimación del volumen de un biodigestor tipo balón usando redes neuronales artificiales</w:t>
      </w:r>
      <w:r w:rsidRPr="004C3B19">
        <w:rPr>
          <w:rFonts w:ascii="Arial" w:hAnsi="Arial" w:cs="Arial"/>
          <w:lang w:val="es-CO"/>
        </w:rPr>
        <w:t xml:space="preserve">, </w:t>
      </w:r>
      <w:r>
        <w:rPr>
          <w:rFonts w:ascii="Arial" w:hAnsi="Arial" w:cs="Arial"/>
          <w:lang w:val="es-CO"/>
        </w:rPr>
        <w:t>Informador Técnico.</w:t>
      </w:r>
      <w:r w:rsidRPr="004C3B19">
        <w:rPr>
          <w:rFonts w:ascii="Arial" w:hAnsi="Arial" w:cs="Arial"/>
          <w:lang w:val="es-CO"/>
        </w:rPr>
        <w:t xml:space="preserve"> </w:t>
      </w:r>
      <w:r w:rsidRPr="003C4B5B">
        <w:rPr>
          <w:rFonts w:ascii="Arial" w:hAnsi="Arial" w:cs="Arial"/>
          <w:lang w:val="en-US"/>
        </w:rPr>
        <w:t>V. 8</w:t>
      </w:r>
      <w:r>
        <w:rPr>
          <w:rFonts w:ascii="Arial" w:hAnsi="Arial" w:cs="Arial"/>
          <w:lang w:val="en-US"/>
        </w:rPr>
        <w:t>0</w:t>
      </w:r>
      <w:r w:rsidRPr="003C4B5B">
        <w:rPr>
          <w:rFonts w:ascii="Arial" w:hAnsi="Arial" w:cs="Arial"/>
          <w:lang w:val="en-US"/>
        </w:rPr>
        <w:t xml:space="preserve">, N. 1, </w:t>
      </w:r>
      <w:r>
        <w:rPr>
          <w:rFonts w:ascii="Arial" w:hAnsi="Arial" w:cs="Arial"/>
          <w:lang w:val="en-US"/>
        </w:rPr>
        <w:t>41</w:t>
      </w:r>
      <w:r w:rsidRPr="003C4B5B">
        <w:rPr>
          <w:rFonts w:ascii="Arial" w:hAnsi="Arial" w:cs="Arial"/>
          <w:lang w:val="en-US"/>
        </w:rPr>
        <w:t>–</w:t>
      </w:r>
      <w:r>
        <w:rPr>
          <w:rFonts w:ascii="Arial" w:hAnsi="Arial" w:cs="Arial"/>
          <w:lang w:val="en-US"/>
        </w:rPr>
        <w:t>48</w:t>
      </w:r>
      <w:r w:rsidRPr="003C4B5B">
        <w:rPr>
          <w:rFonts w:ascii="Arial" w:hAnsi="Arial" w:cs="Arial"/>
          <w:lang w:val="en-US"/>
        </w:rPr>
        <w:t xml:space="preserve"> (2016)</w:t>
      </w:r>
      <w:r>
        <w:rPr>
          <w:rFonts w:ascii="Arial" w:hAnsi="Arial" w:cs="Arial"/>
          <w:lang w:val="en-US"/>
        </w:rPr>
        <w:t>.</w:t>
      </w:r>
    </w:p>
    <w:p w:rsidR="001C28A9" w:rsidRDefault="001C28A9" w:rsidP="001C28A9">
      <w:pPr>
        <w:numPr>
          <w:ilvl w:val="0"/>
          <w:numId w:val="83"/>
        </w:numPr>
        <w:suppressAutoHyphens/>
        <w:spacing w:after="0" w:line="240" w:lineRule="auto"/>
        <w:jc w:val="both"/>
        <w:rPr>
          <w:rFonts w:ascii="Arial" w:hAnsi="Arial" w:cs="Arial"/>
          <w:lang w:val="es-CO"/>
        </w:rPr>
      </w:pPr>
      <w:r w:rsidRPr="00D7429D">
        <w:rPr>
          <w:rFonts w:ascii="Arial" w:hAnsi="Arial" w:cs="Arial"/>
          <w:lang w:val="es-CO"/>
        </w:rPr>
        <w:t>S</w:t>
      </w:r>
      <w:r>
        <w:rPr>
          <w:rFonts w:ascii="Arial" w:hAnsi="Arial" w:cs="Arial"/>
          <w:lang w:val="es-CO"/>
        </w:rPr>
        <w:t>ánchez</w:t>
      </w:r>
      <w:r w:rsidRPr="00DB3C00">
        <w:rPr>
          <w:rFonts w:ascii="Arial" w:hAnsi="Arial" w:cs="Arial"/>
          <w:lang w:val="es-CO"/>
        </w:rPr>
        <w:t xml:space="preserve"> </w:t>
      </w:r>
      <w:r>
        <w:rPr>
          <w:rFonts w:ascii="Arial" w:hAnsi="Arial" w:cs="Arial"/>
          <w:lang w:val="es-CO"/>
        </w:rPr>
        <w:t>L</w:t>
      </w:r>
      <w:r w:rsidRPr="00DB3C00">
        <w:rPr>
          <w:rFonts w:ascii="Arial" w:hAnsi="Arial" w:cs="Arial"/>
          <w:lang w:val="es-CO"/>
        </w:rPr>
        <w:t>.</w:t>
      </w:r>
      <w:r>
        <w:rPr>
          <w:rFonts w:ascii="Arial" w:hAnsi="Arial" w:cs="Arial"/>
          <w:lang w:val="es-CO"/>
        </w:rPr>
        <w:t xml:space="preserve"> F.</w:t>
      </w:r>
      <w:r w:rsidRPr="00DB3C00">
        <w:rPr>
          <w:rFonts w:ascii="Arial" w:hAnsi="Arial" w:cs="Arial"/>
          <w:lang w:val="es-CO"/>
        </w:rPr>
        <w:t>, “</w:t>
      </w:r>
      <w:r>
        <w:rPr>
          <w:rFonts w:ascii="Arial" w:hAnsi="Arial" w:cs="Arial"/>
          <w:lang w:val="es-CO"/>
        </w:rPr>
        <w:t>Elaboración de un modelo neuronal artificial para el diseño de sistemas de calentamiento de agua con energía solar</w:t>
      </w:r>
      <w:r w:rsidRPr="00DB3C00">
        <w:rPr>
          <w:rFonts w:ascii="Arial" w:hAnsi="Arial" w:cs="Arial"/>
          <w:lang w:val="es-CO"/>
        </w:rPr>
        <w:t xml:space="preserve">, </w:t>
      </w:r>
      <w:r>
        <w:rPr>
          <w:rFonts w:ascii="Arial" w:hAnsi="Arial" w:cs="Arial"/>
          <w:lang w:val="es-CO"/>
        </w:rPr>
        <w:t>Universidad Nacional de Colombia Sede Palmira, 2020</w:t>
      </w:r>
      <w:r w:rsidRPr="00DB3C00">
        <w:rPr>
          <w:rFonts w:ascii="Arial" w:hAnsi="Arial" w:cs="Arial"/>
          <w:lang w:val="es-CO"/>
        </w:rPr>
        <w:t>.</w:t>
      </w:r>
    </w:p>
    <w:p w:rsidR="001C28A9" w:rsidRDefault="001C28A9" w:rsidP="001C28A9">
      <w:pPr>
        <w:numPr>
          <w:ilvl w:val="0"/>
          <w:numId w:val="83"/>
        </w:numPr>
        <w:suppressAutoHyphens/>
        <w:spacing w:after="0" w:line="240" w:lineRule="auto"/>
        <w:jc w:val="both"/>
        <w:rPr>
          <w:rFonts w:ascii="Arial" w:hAnsi="Arial" w:cs="Arial"/>
          <w:lang w:val="es-CO"/>
        </w:rPr>
      </w:pPr>
      <w:r>
        <w:rPr>
          <w:rFonts w:ascii="Arial" w:hAnsi="Arial" w:cs="Arial"/>
          <w:lang w:val="es-CO"/>
        </w:rPr>
        <w:t>Castro</w:t>
      </w:r>
      <w:r w:rsidRPr="00DB3C00">
        <w:rPr>
          <w:rFonts w:ascii="Arial" w:hAnsi="Arial" w:cs="Arial"/>
          <w:lang w:val="es-CO"/>
        </w:rPr>
        <w:t xml:space="preserve"> </w:t>
      </w:r>
      <w:r>
        <w:rPr>
          <w:rFonts w:ascii="Arial" w:hAnsi="Arial" w:cs="Arial"/>
          <w:lang w:val="es-CO"/>
        </w:rPr>
        <w:t>M</w:t>
      </w:r>
      <w:r w:rsidRPr="00DB3C00">
        <w:rPr>
          <w:rFonts w:ascii="Arial" w:hAnsi="Arial" w:cs="Arial"/>
          <w:lang w:val="es-CO"/>
        </w:rPr>
        <w:t>.</w:t>
      </w:r>
      <w:r>
        <w:rPr>
          <w:rFonts w:ascii="Arial" w:hAnsi="Arial" w:cs="Arial"/>
          <w:lang w:val="es-CO"/>
        </w:rPr>
        <w:t>, Colmenar A.</w:t>
      </w:r>
      <w:r w:rsidRPr="00DB3C00">
        <w:rPr>
          <w:rFonts w:ascii="Arial" w:hAnsi="Arial" w:cs="Arial"/>
          <w:lang w:val="es-CO"/>
        </w:rPr>
        <w:t>, “</w:t>
      </w:r>
      <w:r>
        <w:rPr>
          <w:rFonts w:ascii="Arial" w:hAnsi="Arial" w:cs="Arial"/>
          <w:lang w:val="es-CO"/>
        </w:rPr>
        <w:t>Energía solar térmica de baja temperatura</w:t>
      </w:r>
      <w:r w:rsidRPr="00DB3C00">
        <w:rPr>
          <w:rFonts w:ascii="Arial" w:hAnsi="Arial" w:cs="Arial"/>
          <w:lang w:val="es-CO"/>
        </w:rPr>
        <w:t xml:space="preserve">”, </w:t>
      </w:r>
      <w:r>
        <w:rPr>
          <w:rFonts w:ascii="Arial" w:hAnsi="Arial" w:cs="Arial"/>
          <w:lang w:val="es-CO"/>
        </w:rPr>
        <w:t>CENSOLAR, 2008</w:t>
      </w:r>
    </w:p>
    <w:p w:rsidR="001C28A9" w:rsidRDefault="001C28A9" w:rsidP="001C28A9">
      <w:pPr>
        <w:numPr>
          <w:ilvl w:val="0"/>
          <w:numId w:val="83"/>
        </w:numPr>
        <w:suppressAutoHyphens/>
        <w:spacing w:after="0" w:line="240" w:lineRule="auto"/>
        <w:jc w:val="both"/>
        <w:rPr>
          <w:rFonts w:ascii="Arial" w:hAnsi="Arial" w:cs="Arial"/>
          <w:lang w:val="en-US"/>
        </w:rPr>
      </w:pPr>
      <w:r w:rsidRPr="005509B7">
        <w:rPr>
          <w:rFonts w:ascii="Arial" w:hAnsi="Arial" w:cs="Arial"/>
          <w:lang w:val="en-US"/>
        </w:rPr>
        <w:t>Hinton</w:t>
      </w:r>
      <w:r>
        <w:rPr>
          <w:rFonts w:ascii="Arial" w:hAnsi="Arial" w:cs="Arial"/>
          <w:lang w:val="en-US"/>
        </w:rPr>
        <w:t xml:space="preserve"> G., Connectionist learning procedures, Artificial Intelligence. V. 4</w:t>
      </w:r>
      <w:r w:rsidRPr="005509B7">
        <w:rPr>
          <w:rFonts w:ascii="Arial" w:hAnsi="Arial" w:cs="Arial"/>
          <w:lang w:val="en-US"/>
        </w:rPr>
        <w:t>0,</w:t>
      </w:r>
      <w:r>
        <w:rPr>
          <w:rFonts w:ascii="Arial" w:hAnsi="Arial" w:cs="Arial"/>
          <w:lang w:val="en-US"/>
        </w:rPr>
        <w:t xml:space="preserve"> N. 1-3,</w:t>
      </w:r>
      <w:r w:rsidRPr="005509B7">
        <w:rPr>
          <w:rFonts w:ascii="Arial" w:hAnsi="Arial" w:cs="Arial"/>
          <w:lang w:val="en-US"/>
        </w:rPr>
        <w:t xml:space="preserve"> </w:t>
      </w:r>
      <w:r>
        <w:rPr>
          <w:rFonts w:ascii="Arial" w:hAnsi="Arial" w:cs="Arial"/>
          <w:lang w:val="en-US"/>
        </w:rPr>
        <w:t>185</w:t>
      </w:r>
      <w:r w:rsidRPr="005509B7">
        <w:rPr>
          <w:rFonts w:ascii="Arial" w:hAnsi="Arial" w:cs="Arial"/>
          <w:lang w:val="en-US"/>
        </w:rPr>
        <w:t>–2</w:t>
      </w:r>
      <w:r>
        <w:rPr>
          <w:rFonts w:ascii="Arial" w:hAnsi="Arial" w:cs="Arial"/>
          <w:lang w:val="en-US"/>
        </w:rPr>
        <w:t>34 (1988</w:t>
      </w:r>
      <w:r w:rsidRPr="005509B7">
        <w:rPr>
          <w:rFonts w:ascii="Arial" w:hAnsi="Arial" w:cs="Arial"/>
          <w:lang w:val="en-US"/>
        </w:rPr>
        <w:t>).</w:t>
      </w:r>
    </w:p>
    <w:p w:rsidR="001C28A9" w:rsidRPr="00FD4B48" w:rsidRDefault="001C28A9" w:rsidP="001C28A9">
      <w:pPr>
        <w:numPr>
          <w:ilvl w:val="0"/>
          <w:numId w:val="83"/>
        </w:numPr>
        <w:suppressAutoHyphens/>
        <w:spacing w:after="0" w:line="240" w:lineRule="auto"/>
        <w:jc w:val="both"/>
        <w:rPr>
          <w:rFonts w:ascii="Arial" w:hAnsi="Arial" w:cs="Arial"/>
          <w:lang w:val="en-US"/>
        </w:rPr>
      </w:pPr>
      <w:r w:rsidRPr="00FD4B48">
        <w:rPr>
          <w:rFonts w:ascii="Arial" w:hAnsi="Arial" w:cs="Arial"/>
          <w:lang w:val="es-CO"/>
        </w:rPr>
        <w:t>Go</w:t>
      </w:r>
      <w:r>
        <w:rPr>
          <w:rFonts w:ascii="Arial" w:hAnsi="Arial" w:cs="Arial"/>
          <w:lang w:val="es-CO"/>
        </w:rPr>
        <w:t>nzález-Salcedo L</w:t>
      </w:r>
      <w:r w:rsidRPr="004C3B19">
        <w:rPr>
          <w:rFonts w:ascii="Arial" w:hAnsi="Arial" w:cs="Arial"/>
          <w:lang w:val="es-CO"/>
        </w:rPr>
        <w:t>.</w:t>
      </w:r>
      <w:r>
        <w:rPr>
          <w:rFonts w:ascii="Arial" w:hAnsi="Arial" w:cs="Arial"/>
          <w:lang w:val="es-CO"/>
        </w:rPr>
        <w:t xml:space="preserve"> O.</w:t>
      </w:r>
      <w:r w:rsidRPr="004C3B19">
        <w:rPr>
          <w:rFonts w:ascii="Arial" w:hAnsi="Arial" w:cs="Arial"/>
          <w:lang w:val="es-CO"/>
        </w:rPr>
        <w:t xml:space="preserve">, </w:t>
      </w:r>
      <w:r>
        <w:rPr>
          <w:rFonts w:ascii="Arial" w:hAnsi="Arial" w:cs="Arial"/>
          <w:lang w:val="es-CO"/>
        </w:rPr>
        <w:t>Gotay-Sardinas J</w:t>
      </w:r>
      <w:r w:rsidRPr="004C3B19">
        <w:rPr>
          <w:rFonts w:ascii="Arial" w:hAnsi="Arial" w:cs="Arial"/>
          <w:lang w:val="es-CO"/>
        </w:rPr>
        <w:t xml:space="preserve">., </w:t>
      </w:r>
      <w:r>
        <w:rPr>
          <w:rFonts w:ascii="Arial" w:hAnsi="Arial" w:cs="Arial"/>
          <w:lang w:val="es-CO"/>
        </w:rPr>
        <w:t>Roodschild M., Will A. L. E.,</w:t>
      </w:r>
      <w:r w:rsidRPr="004C3B19">
        <w:rPr>
          <w:rFonts w:ascii="Arial" w:hAnsi="Arial" w:cs="Arial"/>
          <w:lang w:val="es-CO"/>
        </w:rPr>
        <w:t xml:space="preserve"> </w:t>
      </w:r>
      <w:r>
        <w:rPr>
          <w:rFonts w:ascii="Arial" w:hAnsi="Arial" w:cs="Arial"/>
          <w:lang w:val="es-CO"/>
        </w:rPr>
        <w:t>Rodríguez S</w:t>
      </w:r>
      <w:r w:rsidRPr="004C3B19">
        <w:rPr>
          <w:rFonts w:ascii="Arial" w:hAnsi="Arial" w:cs="Arial"/>
          <w:lang w:val="es-CO"/>
        </w:rPr>
        <w:t xml:space="preserve">., </w:t>
      </w:r>
      <w:r>
        <w:rPr>
          <w:rFonts w:ascii="Arial" w:hAnsi="Arial" w:cs="Arial"/>
          <w:lang w:val="es-CO"/>
        </w:rPr>
        <w:t>Optimización en la elaboración de redes neuronales artificiales usando una metodología de algoritmo de poda</w:t>
      </w:r>
      <w:r w:rsidRPr="004C3B19">
        <w:rPr>
          <w:rFonts w:ascii="Arial" w:hAnsi="Arial" w:cs="Arial"/>
          <w:lang w:val="es-CO"/>
        </w:rPr>
        <w:t xml:space="preserve">, </w:t>
      </w:r>
      <w:r>
        <w:rPr>
          <w:rFonts w:ascii="Arial" w:hAnsi="Arial" w:cs="Arial"/>
          <w:lang w:val="es-CO"/>
        </w:rPr>
        <w:t>Ingenio Magno.</w:t>
      </w:r>
      <w:r w:rsidRPr="004C3B19">
        <w:rPr>
          <w:rFonts w:ascii="Arial" w:hAnsi="Arial" w:cs="Arial"/>
          <w:lang w:val="es-CO"/>
        </w:rPr>
        <w:t xml:space="preserve"> </w:t>
      </w:r>
      <w:r w:rsidRPr="00FD4B48">
        <w:rPr>
          <w:rFonts w:ascii="Arial" w:hAnsi="Arial" w:cs="Arial"/>
          <w:lang w:val="en-US"/>
        </w:rPr>
        <w:t xml:space="preserve">V. 8, N. 1, </w:t>
      </w:r>
      <w:r>
        <w:rPr>
          <w:rFonts w:ascii="Arial" w:hAnsi="Arial" w:cs="Arial"/>
          <w:lang w:val="en-US"/>
        </w:rPr>
        <w:t>44</w:t>
      </w:r>
      <w:r w:rsidRPr="00FD4B48">
        <w:rPr>
          <w:rFonts w:ascii="Arial" w:hAnsi="Arial" w:cs="Arial"/>
          <w:lang w:val="en-US"/>
        </w:rPr>
        <w:t>–</w:t>
      </w:r>
      <w:r>
        <w:rPr>
          <w:rFonts w:ascii="Arial" w:hAnsi="Arial" w:cs="Arial"/>
          <w:lang w:val="en-US"/>
        </w:rPr>
        <w:t>56 (2017</w:t>
      </w:r>
      <w:r w:rsidRPr="00FD4B48">
        <w:rPr>
          <w:rFonts w:ascii="Arial" w:hAnsi="Arial" w:cs="Arial"/>
          <w:lang w:val="en-US"/>
        </w:rPr>
        <w:t>).</w:t>
      </w:r>
    </w:p>
    <w:p w:rsidR="001C28A9" w:rsidRPr="00CC1C38" w:rsidRDefault="001C28A9" w:rsidP="0049551D">
      <w:pPr>
        <w:rPr>
          <w:lang w:val="es-MX"/>
        </w:rPr>
      </w:pPr>
    </w:p>
    <w:sectPr w:rsidR="001C28A9" w:rsidRPr="00CC1C38" w:rsidSect="00B56DC8">
      <w:footerReference w:type="default" r:id="rId1369"/>
      <w:pgSz w:w="12240" w:h="15840" w:code="1"/>
      <w:pgMar w:top="1418" w:right="1418" w:bottom="1418" w:left="1418" w:header="709" w:footer="709"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345E4" w:rsidRDefault="001345E4" w:rsidP="001F5D7F">
      <w:r>
        <w:separator/>
      </w:r>
    </w:p>
  </w:endnote>
  <w:endnote w:type="continuationSeparator" w:id="0">
    <w:p w:rsidR="001345E4" w:rsidRDefault="001345E4" w:rsidP="001F5D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altName w:val="Arial"/>
    <w:panose1 w:val="020B0604020202020204"/>
    <w:charset w:val="00"/>
    <w:family w:val="auto"/>
    <w:pitch w:val="variable"/>
    <w:sig w:usb0="00000003" w:usb1="00000000" w:usb2="00000000" w:usb3="00000000" w:csb0="00000001" w:csb1="00000000"/>
  </w:font>
  <w:font w:name="Adobe Fangsong Std R">
    <w:altName w:val="Cambria"/>
    <w:panose1 w:val="00000000000000000000"/>
    <w:charset w:val="00"/>
    <w:family w:val="roman"/>
    <w:notTrueType/>
    <w:pitch w:val="default"/>
    <w:sig w:usb0="00000003" w:usb1="00000000" w:usb2="00000000" w:usb3="00000000" w:csb0="00000001" w:csb1="00000000"/>
  </w:font>
  <w:font w:name="Batang, 바탕">
    <w:altName w:val="Times New Roman"/>
    <w:charset w:val="00"/>
    <w:family w:val="roman"/>
    <w:pitch w:val="variable"/>
  </w:font>
  <w:font w:name="Liberation Sans">
    <w:altName w:val="Arial Unicode MS"/>
    <w:charset w:val="01"/>
    <w:family w:val="swiss"/>
    <w:pitch w:val="variable"/>
  </w:font>
  <w:font w:name="DejaVu Sans">
    <w:altName w:val="Yu Gothic UI"/>
    <w:panose1 w:val="00000000000000000000"/>
    <w:charset w:val="80"/>
    <w:family w:val="auto"/>
    <w:notTrueType/>
    <w:pitch w:val="variable"/>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Lohit Hindi">
    <w:altName w:val="Times New Roman"/>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auto"/>
    <w:pitch w:val="variable"/>
    <w:sig w:usb0="A00002FF" w:usb1="28CFFCFA" w:usb2="00000016" w:usb3="00000000" w:csb0="00100001" w:csb1="00000000"/>
  </w:font>
  <w:font w:name="Minion Pro">
    <w:altName w:val="Cambria"/>
    <w:panose1 w:val="00000000000000000000"/>
    <w:charset w:val="00"/>
    <w:family w:val="roman"/>
    <w:notTrueType/>
    <w:pitch w:val="variable"/>
    <w:sig w:usb0="60000287" w:usb1="00000001" w:usb2="00000000" w:usb3="00000000" w:csb0="0000019F" w:csb1="00000000"/>
  </w:font>
  <w:font w:name="MS Mincho">
    <w:altName w:val="Yu Gothic UI"/>
    <w:panose1 w:val="02020609040205080304"/>
    <w:charset w:val="80"/>
    <w:family w:val="auto"/>
    <w:pitch w:val="variable"/>
    <w:sig w:usb0="E00002FF" w:usb1="6AC7FDFB" w:usb2="08000012" w:usb3="00000000" w:csb0="0002009F" w:csb1="00000000"/>
  </w:font>
  <w:font w:name="Korinna BT">
    <w:altName w:val="Bookman Old Style"/>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Aril">
    <w:altName w:val="Cambria"/>
    <w:panose1 w:val="00000000000000000000"/>
    <w:charset w:val="00"/>
    <w:family w:val="roman"/>
    <w:notTrueType/>
    <w:pitch w:val="default"/>
  </w:font>
  <w:font w:name="AdvPSTim">
    <w:altName w:val="Yu Gothic UI"/>
    <w:panose1 w:val="00000000000000000000"/>
    <w:charset w:val="80"/>
    <w:family w:val="auto"/>
    <w:notTrueType/>
    <w:pitch w:val="default"/>
    <w:sig w:usb0="00000003" w:usb1="08070000" w:usb2="00000010" w:usb3="00000000" w:csb0="00020001" w:csb1="00000000"/>
  </w:font>
  <w:font w:name="Calibri Light">
    <w:panose1 w:val="020F0302020204030204"/>
    <w:charset w:val="00"/>
    <w:family w:val="swiss"/>
    <w:pitch w:val="variable"/>
    <w:sig w:usb0="E4002EFF" w:usb1="C000247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AdvGulliv-R">
    <w:altName w:val="Arial Unicode MS"/>
    <w:panose1 w:val="00000000000000000000"/>
    <w:charset w:val="80"/>
    <w:family w:val="auto"/>
    <w:notTrueType/>
    <w:pitch w:val="default"/>
    <w:sig w:usb0="00000001" w:usb1="08070000" w:usb2="00000010" w:usb3="00000000" w:csb0="00020000" w:csb1="00000000"/>
  </w:font>
  <w:font w:name="AdobeFangsongStd-Regular">
    <w:altName w:val="Microsoft YaHei"/>
    <w:panose1 w:val="00000000000000000000"/>
    <w:charset w:val="86"/>
    <w:family w:val="auto"/>
    <w:notTrueType/>
    <w:pitch w:val="default"/>
    <w:sig w:usb0="00000001" w:usb1="080E0000" w:usb2="00000010" w:usb3="00000000" w:csb0="00040000" w:csb1="00000000"/>
  </w:font>
  <w:font w:name="Noto Sans CJK SC Regular">
    <w:charset w:val="01"/>
    <w:family w:val="auto"/>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0C0F" w:rsidRDefault="00C20C0F">
    <w:pPr>
      <w:pStyle w:val="Ttulo1"/>
      <w:jc w:val="both"/>
      <w:rPr>
        <w:sz w:val="15"/>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0C0F" w:rsidRDefault="00C20C0F">
    <w:pPr>
      <w:pStyle w:val="Ttulo1"/>
      <w:jc w:val="both"/>
      <w:rPr>
        <w:sz w:val="15"/>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345E4" w:rsidRDefault="001345E4" w:rsidP="001F5D7F">
      <w:r>
        <w:separator/>
      </w:r>
    </w:p>
  </w:footnote>
  <w:footnote w:type="continuationSeparator" w:id="0">
    <w:p w:rsidR="001345E4" w:rsidRDefault="001345E4" w:rsidP="001F5D7F">
      <w:r>
        <w:continuationSeparator/>
      </w:r>
    </w:p>
  </w:footnote>
  <w:footnote w:id="1">
    <w:p w:rsidR="00C20C0F" w:rsidRPr="009E53A2" w:rsidRDefault="00C20C0F" w:rsidP="00B31CE1">
      <w:pPr>
        <w:pStyle w:val="Textonotapie"/>
      </w:pPr>
    </w:p>
  </w:footnote>
  <w:footnote w:id="2">
    <w:p w:rsidR="00C20C0F" w:rsidRPr="00ED76BC" w:rsidRDefault="00C20C0F" w:rsidP="008A6EAC">
      <w:pPr>
        <w:pStyle w:val="Textonotapie"/>
        <w:rPr>
          <w:lang w:val="es-CO"/>
        </w:rPr>
      </w:pPr>
      <w:r>
        <w:rPr>
          <w:rStyle w:val="Refdenotaalpie"/>
        </w:rPr>
        <w:footnoteRef/>
      </w:r>
      <w:r>
        <w:t xml:space="preserve"> </w:t>
      </w:r>
      <w:r>
        <w:rPr>
          <w:lang w:val="es-CO"/>
        </w:rPr>
        <w:t xml:space="preserve">Disponible en: </w:t>
      </w:r>
      <w:r w:rsidRPr="00ED76BC">
        <w:rPr>
          <w:lang w:val="es-CO"/>
        </w:rPr>
        <w:t>https://sites.google.com/view/emergemodular</w:t>
      </w:r>
    </w:p>
  </w:footnote>
  <w:footnote w:id="3">
    <w:p w:rsidR="00C20C0F" w:rsidRPr="007935BF" w:rsidRDefault="00C20C0F" w:rsidP="00874DD5">
      <w:pPr>
        <w:pStyle w:val="Textonotapie"/>
        <w:rPr>
          <w:sz w:val="18"/>
          <w:szCs w:val="18"/>
          <w:lang w:val="es-AR"/>
        </w:rPr>
      </w:pPr>
      <w:r w:rsidRPr="007935BF">
        <w:rPr>
          <w:rStyle w:val="Refdenotaalpie"/>
          <w:sz w:val="18"/>
          <w:szCs w:val="18"/>
        </w:rPr>
        <w:footnoteRef/>
      </w:r>
      <w:r w:rsidRPr="007935BF">
        <w:rPr>
          <w:sz w:val="18"/>
          <w:szCs w:val="18"/>
        </w:rPr>
        <w:t xml:space="preserve"> </w:t>
      </w:r>
      <w:r w:rsidRPr="007935BF">
        <w:rPr>
          <w:sz w:val="18"/>
          <w:szCs w:val="18"/>
          <w:lang w:val="es-AR"/>
        </w:rPr>
        <w:t xml:space="preserve">Para la especificación de las trayectorias articulares, se usa en forma indistinta </w:t>
      </w:r>
      <w:r w:rsidRPr="007935BF">
        <w:rPr>
          <w:sz w:val="18"/>
          <w:szCs w:val="18"/>
          <w:lang w:val="es-ES_tradnl"/>
        </w:rPr>
        <w:t xml:space="preserve">q(t) y </w:t>
      </w:r>
      <w:r w:rsidRPr="007935BF">
        <w:rPr>
          <w:bCs/>
          <w:sz w:val="18"/>
          <w:szCs w:val="18"/>
        </w:rPr>
        <w:t>ϴ(t). De igual manera para sus derivadas.</w:t>
      </w:r>
      <w:r w:rsidRPr="007935BF">
        <w:rPr>
          <w:sz w:val="18"/>
          <w:szCs w:val="18"/>
          <w:lang w:val="es-ES_tradnl"/>
        </w:rPr>
        <w:t xml:space="preserve"> </w:t>
      </w:r>
    </w:p>
  </w:footnote>
  <w:footnote w:id="4">
    <w:p w:rsidR="00C20C0F" w:rsidRPr="0029775D" w:rsidRDefault="00C20C0F" w:rsidP="00874DD5">
      <w:pPr>
        <w:pStyle w:val="Textonotapie"/>
        <w:rPr>
          <w:sz w:val="18"/>
          <w:szCs w:val="18"/>
          <w:lang w:val="es-AR"/>
        </w:rPr>
      </w:pPr>
      <w:r w:rsidRPr="0029775D">
        <w:rPr>
          <w:rStyle w:val="Refdenotaalpie"/>
          <w:sz w:val="18"/>
          <w:szCs w:val="18"/>
        </w:rPr>
        <w:footnoteRef/>
      </w:r>
      <w:r w:rsidRPr="0029775D">
        <w:rPr>
          <w:sz w:val="18"/>
          <w:szCs w:val="18"/>
        </w:rPr>
        <w:t xml:space="preserve"> </w:t>
      </w:r>
      <w:r w:rsidRPr="0029775D">
        <w:rPr>
          <w:sz w:val="18"/>
          <w:szCs w:val="18"/>
          <w:lang w:val="es-AR"/>
        </w:rPr>
        <w:t xml:space="preserve">Para estas coordenadas se destaca que pueden variar cada una físicamente independientemente de la otra. </w:t>
      </w:r>
    </w:p>
  </w:footnote>
  <w:footnote w:id="5">
    <w:p w:rsidR="00C20C0F" w:rsidRPr="0044205E" w:rsidRDefault="00C20C0F" w:rsidP="00874DD5">
      <w:pPr>
        <w:pStyle w:val="Textonotapie"/>
        <w:rPr>
          <w:sz w:val="18"/>
          <w:szCs w:val="18"/>
          <w:vertAlign w:val="subscript"/>
          <w:lang w:val="es-AR"/>
        </w:rPr>
      </w:pPr>
      <w:r w:rsidRPr="0044205E">
        <w:rPr>
          <w:rStyle w:val="Refdenotaalpie"/>
          <w:sz w:val="18"/>
          <w:szCs w:val="18"/>
        </w:rPr>
        <w:footnoteRef/>
      </w:r>
      <w:r w:rsidRPr="0044205E">
        <w:rPr>
          <w:sz w:val="18"/>
          <w:szCs w:val="18"/>
        </w:rPr>
        <w:t xml:space="preserve"> </w:t>
      </w:r>
      <w:r w:rsidRPr="0044205E">
        <w:rPr>
          <w:sz w:val="18"/>
          <w:szCs w:val="18"/>
          <w:lang w:val="es-AR"/>
        </w:rPr>
        <w:t>Se abrevia cos (q</w:t>
      </w:r>
      <w:r w:rsidRPr="0044205E">
        <w:rPr>
          <w:sz w:val="18"/>
          <w:szCs w:val="18"/>
          <w:vertAlign w:val="subscript"/>
          <w:lang w:val="es-AR"/>
        </w:rPr>
        <w:t>1</w:t>
      </w:r>
      <w:r w:rsidRPr="0044205E">
        <w:rPr>
          <w:sz w:val="18"/>
          <w:szCs w:val="18"/>
          <w:lang w:val="es-AR"/>
        </w:rPr>
        <w:t>) = C</w:t>
      </w:r>
      <w:r w:rsidRPr="0044205E">
        <w:rPr>
          <w:sz w:val="18"/>
          <w:szCs w:val="18"/>
          <w:vertAlign w:val="subscript"/>
          <w:lang w:val="es-AR"/>
        </w:rPr>
        <w:t>1</w:t>
      </w:r>
      <w:r w:rsidRPr="0044205E">
        <w:rPr>
          <w:sz w:val="18"/>
          <w:szCs w:val="18"/>
          <w:lang w:val="es-AR"/>
        </w:rPr>
        <w:t>, cos (q</w:t>
      </w:r>
      <w:r w:rsidRPr="0044205E">
        <w:rPr>
          <w:sz w:val="18"/>
          <w:szCs w:val="18"/>
          <w:vertAlign w:val="subscript"/>
          <w:lang w:val="es-AR"/>
        </w:rPr>
        <w:t>2</w:t>
      </w:r>
      <w:r w:rsidRPr="0044205E">
        <w:rPr>
          <w:sz w:val="18"/>
          <w:szCs w:val="18"/>
          <w:lang w:val="es-AR"/>
        </w:rPr>
        <w:t>) = C</w:t>
      </w:r>
      <w:r w:rsidRPr="0044205E">
        <w:rPr>
          <w:sz w:val="18"/>
          <w:szCs w:val="18"/>
          <w:vertAlign w:val="subscript"/>
          <w:lang w:val="es-AR"/>
        </w:rPr>
        <w:t>2</w:t>
      </w:r>
      <w:r w:rsidRPr="0044205E">
        <w:rPr>
          <w:sz w:val="18"/>
          <w:szCs w:val="18"/>
          <w:lang w:val="es-AR"/>
        </w:rPr>
        <w:t>, cos (q</w:t>
      </w:r>
      <w:r w:rsidRPr="0044205E">
        <w:rPr>
          <w:sz w:val="18"/>
          <w:szCs w:val="18"/>
          <w:vertAlign w:val="subscript"/>
          <w:lang w:val="es-AR"/>
        </w:rPr>
        <w:t>1</w:t>
      </w:r>
      <w:r w:rsidRPr="0044205E">
        <w:rPr>
          <w:sz w:val="18"/>
          <w:szCs w:val="18"/>
          <w:lang w:val="es-AR"/>
        </w:rPr>
        <w:t xml:space="preserve"> + q</w:t>
      </w:r>
      <w:r w:rsidRPr="0044205E">
        <w:rPr>
          <w:sz w:val="18"/>
          <w:szCs w:val="18"/>
          <w:vertAlign w:val="subscript"/>
          <w:lang w:val="es-AR"/>
        </w:rPr>
        <w:t>2</w:t>
      </w:r>
      <w:r w:rsidRPr="0044205E">
        <w:rPr>
          <w:sz w:val="18"/>
          <w:szCs w:val="18"/>
          <w:lang w:val="es-AR"/>
        </w:rPr>
        <w:t>) = C</w:t>
      </w:r>
      <w:r w:rsidRPr="0044205E">
        <w:rPr>
          <w:sz w:val="18"/>
          <w:szCs w:val="18"/>
          <w:vertAlign w:val="subscript"/>
          <w:lang w:val="es-AR"/>
        </w:rPr>
        <w:t>12</w:t>
      </w:r>
      <w:r w:rsidRPr="0044205E">
        <w:rPr>
          <w:sz w:val="18"/>
          <w:szCs w:val="18"/>
          <w:lang w:val="es-AR"/>
        </w:rPr>
        <w:t>, sen (q</w:t>
      </w:r>
      <w:r w:rsidRPr="0044205E">
        <w:rPr>
          <w:sz w:val="18"/>
          <w:szCs w:val="18"/>
          <w:vertAlign w:val="subscript"/>
          <w:lang w:val="es-AR"/>
        </w:rPr>
        <w:t>1</w:t>
      </w:r>
      <w:r w:rsidRPr="0044205E">
        <w:rPr>
          <w:sz w:val="18"/>
          <w:szCs w:val="18"/>
          <w:lang w:val="es-AR"/>
        </w:rPr>
        <w:t>) = S</w:t>
      </w:r>
      <w:r w:rsidRPr="0044205E">
        <w:rPr>
          <w:sz w:val="18"/>
          <w:szCs w:val="18"/>
          <w:vertAlign w:val="subscript"/>
          <w:lang w:val="es-AR"/>
        </w:rPr>
        <w:t>1</w:t>
      </w:r>
      <w:r w:rsidRPr="0044205E">
        <w:rPr>
          <w:sz w:val="18"/>
          <w:szCs w:val="18"/>
          <w:lang w:val="es-AR"/>
        </w:rPr>
        <w:t xml:space="preserve"> &amp; sen (q</w:t>
      </w:r>
      <w:r w:rsidRPr="0044205E">
        <w:rPr>
          <w:sz w:val="18"/>
          <w:szCs w:val="18"/>
          <w:vertAlign w:val="subscript"/>
          <w:lang w:val="es-AR"/>
        </w:rPr>
        <w:t>1</w:t>
      </w:r>
      <w:r w:rsidRPr="0044205E">
        <w:rPr>
          <w:sz w:val="18"/>
          <w:szCs w:val="18"/>
          <w:lang w:val="es-AR"/>
        </w:rPr>
        <w:t xml:space="preserve"> + q</w:t>
      </w:r>
      <w:r w:rsidRPr="0044205E">
        <w:rPr>
          <w:sz w:val="18"/>
          <w:szCs w:val="18"/>
          <w:vertAlign w:val="subscript"/>
          <w:lang w:val="es-AR"/>
        </w:rPr>
        <w:t>2</w:t>
      </w:r>
      <w:r w:rsidRPr="0044205E">
        <w:rPr>
          <w:sz w:val="18"/>
          <w:szCs w:val="18"/>
          <w:lang w:val="es-AR"/>
        </w:rPr>
        <w:t>) = S</w:t>
      </w:r>
      <w:r w:rsidRPr="0044205E">
        <w:rPr>
          <w:sz w:val="18"/>
          <w:szCs w:val="18"/>
          <w:vertAlign w:val="subscript"/>
          <w:lang w:val="es-AR"/>
        </w:rPr>
        <w:t>12</w:t>
      </w:r>
    </w:p>
  </w:footnote>
  <w:footnote w:id="6">
    <w:p w:rsidR="00C20C0F" w:rsidRPr="0029775D" w:rsidRDefault="00C20C0F" w:rsidP="00874DD5">
      <w:pPr>
        <w:pStyle w:val="Textonotapie"/>
        <w:jc w:val="both"/>
        <w:rPr>
          <w:sz w:val="18"/>
          <w:szCs w:val="18"/>
          <w:lang w:val="es-AR"/>
        </w:rPr>
      </w:pPr>
      <w:r w:rsidRPr="0029775D">
        <w:rPr>
          <w:rStyle w:val="Refdenotaalpie"/>
          <w:sz w:val="18"/>
          <w:szCs w:val="18"/>
        </w:rPr>
        <w:footnoteRef/>
      </w:r>
      <w:r w:rsidRPr="0029775D">
        <w:rPr>
          <w:sz w:val="18"/>
          <w:szCs w:val="18"/>
        </w:rPr>
        <w:t xml:space="preserve"> </w:t>
      </w:r>
      <w:r w:rsidRPr="0029775D">
        <w:rPr>
          <w:sz w:val="18"/>
          <w:szCs w:val="18"/>
          <w:lang w:val="es-AR"/>
        </w:rPr>
        <w:t xml:space="preserve">Se omite para este análisis los fenómenos de fricción </w:t>
      </w:r>
      <w:r w:rsidRPr="0029775D">
        <w:rPr>
          <w:bCs/>
          <w:sz w:val="18"/>
          <w:szCs w:val="18"/>
        </w:rPr>
        <w:t>(viscosa, Coulomb y estática) de cada articulación.</w:t>
      </w:r>
    </w:p>
  </w:footnote>
  <w:footnote w:id="7">
    <w:p w:rsidR="00C20C0F" w:rsidRPr="00776774" w:rsidRDefault="00C20C0F" w:rsidP="00E54CAC">
      <w:pPr>
        <w:pBdr>
          <w:top w:val="nil"/>
          <w:left w:val="nil"/>
          <w:bottom w:val="nil"/>
          <w:right w:val="nil"/>
          <w:between w:val="nil"/>
        </w:pBdr>
        <w:rPr>
          <w:color w:val="000000"/>
          <w:sz w:val="20"/>
          <w:szCs w:val="20"/>
          <w:lang w:val="en-US"/>
        </w:rPr>
      </w:pPr>
      <w:r>
        <w:rPr>
          <w:vertAlign w:val="superscript"/>
        </w:rPr>
        <w:footnoteRef/>
      </w:r>
      <w:r w:rsidRPr="00776774">
        <w:rPr>
          <w:color w:val="000000"/>
          <w:sz w:val="20"/>
          <w:szCs w:val="20"/>
          <w:lang w:val="en-US"/>
        </w:rPr>
        <w:t xml:space="preserve"> NOM-087-SEMARNAT-SSA1-2002</w:t>
      </w:r>
    </w:p>
  </w:footnote>
  <w:footnote w:id="8">
    <w:p w:rsidR="00C20C0F" w:rsidRPr="00776774" w:rsidRDefault="00C20C0F" w:rsidP="00E54CAC">
      <w:pPr>
        <w:pBdr>
          <w:top w:val="nil"/>
          <w:left w:val="nil"/>
          <w:bottom w:val="nil"/>
          <w:right w:val="nil"/>
          <w:between w:val="nil"/>
        </w:pBdr>
        <w:rPr>
          <w:color w:val="000000"/>
          <w:sz w:val="20"/>
          <w:szCs w:val="20"/>
          <w:lang w:val="en-US"/>
        </w:rPr>
      </w:pPr>
      <w:r>
        <w:rPr>
          <w:vertAlign w:val="superscript"/>
        </w:rPr>
        <w:footnoteRef/>
      </w:r>
      <w:r w:rsidRPr="00776774">
        <w:rPr>
          <w:color w:val="000000"/>
          <w:sz w:val="20"/>
          <w:szCs w:val="20"/>
          <w:lang w:val="en-US"/>
        </w:rPr>
        <w:t xml:space="preserve"> NOM-087-SEMARNAT-SSA1-2002</w:t>
      </w:r>
    </w:p>
  </w:footnote>
  <w:footnote w:id="9">
    <w:p w:rsidR="00C20C0F" w:rsidRPr="00776774" w:rsidRDefault="00C20C0F" w:rsidP="00E54CAC">
      <w:pPr>
        <w:pBdr>
          <w:top w:val="nil"/>
          <w:left w:val="nil"/>
          <w:bottom w:val="nil"/>
          <w:right w:val="nil"/>
          <w:between w:val="nil"/>
        </w:pBdr>
        <w:rPr>
          <w:color w:val="000000"/>
          <w:sz w:val="20"/>
          <w:szCs w:val="20"/>
          <w:lang w:val="en-US"/>
        </w:rPr>
      </w:pPr>
      <w:r>
        <w:rPr>
          <w:vertAlign w:val="superscript"/>
        </w:rPr>
        <w:footnoteRef/>
      </w:r>
      <w:r w:rsidRPr="00776774">
        <w:rPr>
          <w:color w:val="000000"/>
          <w:sz w:val="20"/>
          <w:szCs w:val="20"/>
          <w:lang w:val="en-US"/>
        </w:rPr>
        <w:t xml:space="preserve"> NOM-087-SEMARNAT-SSA1-2002</w:t>
      </w:r>
    </w:p>
  </w:footnote>
  <w:footnote w:id="10">
    <w:p w:rsidR="00C20C0F" w:rsidRPr="00776774" w:rsidRDefault="00C20C0F" w:rsidP="00E54CAC">
      <w:pPr>
        <w:pBdr>
          <w:top w:val="nil"/>
          <w:left w:val="nil"/>
          <w:bottom w:val="nil"/>
          <w:right w:val="nil"/>
          <w:between w:val="nil"/>
        </w:pBdr>
        <w:rPr>
          <w:color w:val="000000"/>
          <w:sz w:val="20"/>
          <w:szCs w:val="20"/>
          <w:lang w:val="en-US"/>
        </w:rPr>
      </w:pPr>
      <w:r>
        <w:rPr>
          <w:vertAlign w:val="superscript"/>
        </w:rPr>
        <w:footnoteRef/>
      </w:r>
      <w:r w:rsidRPr="00776774">
        <w:rPr>
          <w:color w:val="000000"/>
          <w:sz w:val="20"/>
          <w:szCs w:val="20"/>
          <w:lang w:val="en-US"/>
        </w:rPr>
        <w:t xml:space="preserve"> NOM-087-SEMARNAT-SSA1-2002</w:t>
      </w:r>
    </w:p>
  </w:footnote>
  <w:footnote w:id="11">
    <w:p w:rsidR="00C20C0F" w:rsidRDefault="00C20C0F" w:rsidP="00E54CAC">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NOM-087-SEMARNAT-SSA1-2002</w:t>
      </w:r>
    </w:p>
  </w:footnote>
  <w:footnote w:id="12">
    <w:p w:rsidR="00C20C0F" w:rsidRDefault="00C20C0F" w:rsidP="00E54CAC">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Manual de procedimientos para el manejo, tratamiento y disposición de residuos peligrosos. UNAM</w:t>
      </w:r>
    </w:p>
  </w:footnote>
  <w:footnote w:id="13">
    <w:p w:rsidR="00C20C0F" w:rsidRDefault="00C20C0F" w:rsidP="00E54CAC">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Manual de procedimientos para el manejo, tratamiento y disposición de residuos peligrosos. UNAM</w:t>
      </w:r>
    </w:p>
  </w:footnote>
  <w:footnote w:id="14">
    <w:p w:rsidR="00C20C0F" w:rsidRDefault="00C20C0F" w:rsidP="00E54CAC">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Manual de procedimientos para el manejo, tratamiento y disposición de residuos peligrosos. UNAM</w:t>
      </w:r>
    </w:p>
  </w:footnote>
  <w:footnote w:id="15">
    <w:p w:rsidR="00C20C0F" w:rsidRDefault="00C20C0F" w:rsidP="00E54CAC">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Manual de procedimientos para el manejo, tratamiento y disposición de residuos peligrosos. UNAM</w:t>
      </w:r>
    </w:p>
  </w:footnote>
  <w:footnote w:id="16">
    <w:p w:rsidR="00C20C0F" w:rsidRDefault="00C20C0F" w:rsidP="00E54CAC">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Manual de procedimientos para el manejo, tratamiento y disposición de residuos peligrosos. UNAM</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0C0F" w:rsidRDefault="00C20C0F" w:rsidP="009F52D6">
    <w:pPr>
      <w:pStyle w:val="Encabezado"/>
      <w:tabs>
        <w:tab w:val="clear" w:pos="4252"/>
        <w:tab w:val="clear" w:pos="8504"/>
        <w:tab w:val="left" w:pos="8985"/>
      </w:tabs>
    </w:pPr>
    <w:r>
      <w:tab/>
    </w:r>
  </w:p>
  <w:p w:rsidR="00C20C0F" w:rsidRDefault="00C20C0F"/>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rPr>
        <w:rFonts w:cs="Times New Roman"/>
      </w:rPr>
    </w:lvl>
    <w:lvl w:ilvl="1">
      <w:start w:val="1"/>
      <w:numFmt w:val="none"/>
      <w:suff w:val="nothing"/>
      <w:lvlText w:val=""/>
      <w:lvlJc w:val="left"/>
      <w:pPr>
        <w:tabs>
          <w:tab w:val="num" w:pos="576"/>
        </w:tabs>
        <w:ind w:left="576" w:hanging="576"/>
      </w:pPr>
      <w:rPr>
        <w:rFonts w:cs="Times New Roman"/>
      </w:rPr>
    </w:lvl>
    <w:lvl w:ilvl="2">
      <w:start w:val="1"/>
      <w:numFmt w:val="none"/>
      <w:suff w:val="nothing"/>
      <w:lvlText w:val=""/>
      <w:lvlJc w:val="left"/>
      <w:pPr>
        <w:tabs>
          <w:tab w:val="num" w:pos="720"/>
        </w:tabs>
        <w:ind w:left="720" w:hanging="720"/>
      </w:pPr>
      <w:rPr>
        <w:rFonts w:cs="Times New Roman"/>
      </w:rPr>
    </w:lvl>
    <w:lvl w:ilvl="3">
      <w:start w:val="1"/>
      <w:numFmt w:val="none"/>
      <w:suff w:val="nothing"/>
      <w:lvlText w:val=""/>
      <w:lvlJc w:val="left"/>
      <w:pPr>
        <w:tabs>
          <w:tab w:val="num" w:pos="864"/>
        </w:tabs>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abstractNum w:abstractNumId="1" w15:restartNumberingAfterBreak="0">
    <w:nsid w:val="00000002"/>
    <w:multiLevelType w:val="multilevel"/>
    <w:tmpl w:val="E2F8D264"/>
    <w:name w:val="WW8Num2"/>
    <w:lvl w:ilvl="0">
      <w:start w:val="1"/>
      <w:numFmt w:val="decimal"/>
      <w:lvlText w:val="%1."/>
      <w:lvlJc w:val="left"/>
      <w:pPr>
        <w:tabs>
          <w:tab w:val="num" w:pos="750"/>
        </w:tabs>
        <w:ind w:left="750" w:hanging="390"/>
      </w:pPr>
      <w:rPr>
        <w:rFonts w:cs="Times New Roman"/>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15:restartNumberingAfterBreak="0">
    <w:nsid w:val="00000003"/>
    <w:multiLevelType w:val="singleLevel"/>
    <w:tmpl w:val="00000003"/>
    <w:name w:val="WW8Num3"/>
    <w:lvl w:ilvl="0">
      <w:start w:val="1"/>
      <w:numFmt w:val="decimal"/>
      <w:lvlText w:val="%1."/>
      <w:lvlJc w:val="left"/>
      <w:pPr>
        <w:tabs>
          <w:tab w:val="num" w:pos="750"/>
        </w:tabs>
        <w:ind w:left="750" w:hanging="390"/>
      </w:pPr>
    </w:lvl>
  </w:abstractNum>
  <w:abstractNum w:abstractNumId="3" w15:restartNumberingAfterBreak="0">
    <w:nsid w:val="001376B5"/>
    <w:multiLevelType w:val="hybridMultilevel"/>
    <w:tmpl w:val="99060E16"/>
    <w:lvl w:ilvl="0" w:tplc="E146D97E">
      <w:start w:val="1"/>
      <w:numFmt w:val="decimal"/>
      <w:lvlText w:val="%1."/>
      <w:lvlJc w:val="left"/>
      <w:pPr>
        <w:ind w:left="838" w:hanging="360"/>
      </w:pPr>
      <w:rPr>
        <w:rFonts w:ascii="Times New Roman" w:eastAsia="Times New Roman" w:hAnsi="Times New Roman" w:cs="Times New Roman" w:hint="default"/>
        <w:spacing w:val="-2"/>
        <w:w w:val="99"/>
        <w:sz w:val="24"/>
        <w:szCs w:val="24"/>
        <w:lang w:val="es-ES" w:eastAsia="en-US" w:bidi="ar-SA"/>
      </w:rPr>
    </w:lvl>
    <w:lvl w:ilvl="1" w:tplc="37F295CA">
      <w:numFmt w:val="bullet"/>
      <w:lvlText w:val="•"/>
      <w:lvlJc w:val="left"/>
      <w:pPr>
        <w:ind w:left="1728" w:hanging="360"/>
      </w:pPr>
      <w:rPr>
        <w:rFonts w:hint="default"/>
        <w:lang w:val="es-ES" w:eastAsia="en-US" w:bidi="ar-SA"/>
      </w:rPr>
    </w:lvl>
    <w:lvl w:ilvl="2" w:tplc="1262A25A">
      <w:numFmt w:val="bullet"/>
      <w:lvlText w:val="•"/>
      <w:lvlJc w:val="left"/>
      <w:pPr>
        <w:ind w:left="2616" w:hanging="360"/>
      </w:pPr>
      <w:rPr>
        <w:rFonts w:hint="default"/>
        <w:lang w:val="es-ES" w:eastAsia="en-US" w:bidi="ar-SA"/>
      </w:rPr>
    </w:lvl>
    <w:lvl w:ilvl="3" w:tplc="F4981FEA">
      <w:numFmt w:val="bullet"/>
      <w:lvlText w:val="•"/>
      <w:lvlJc w:val="left"/>
      <w:pPr>
        <w:ind w:left="3504" w:hanging="360"/>
      </w:pPr>
      <w:rPr>
        <w:rFonts w:hint="default"/>
        <w:lang w:val="es-ES" w:eastAsia="en-US" w:bidi="ar-SA"/>
      </w:rPr>
    </w:lvl>
    <w:lvl w:ilvl="4" w:tplc="C8BA04BE">
      <w:numFmt w:val="bullet"/>
      <w:lvlText w:val="•"/>
      <w:lvlJc w:val="left"/>
      <w:pPr>
        <w:ind w:left="4392" w:hanging="360"/>
      </w:pPr>
      <w:rPr>
        <w:rFonts w:hint="default"/>
        <w:lang w:val="es-ES" w:eastAsia="en-US" w:bidi="ar-SA"/>
      </w:rPr>
    </w:lvl>
    <w:lvl w:ilvl="5" w:tplc="42B44808">
      <w:numFmt w:val="bullet"/>
      <w:lvlText w:val="•"/>
      <w:lvlJc w:val="left"/>
      <w:pPr>
        <w:ind w:left="5280" w:hanging="360"/>
      </w:pPr>
      <w:rPr>
        <w:rFonts w:hint="default"/>
        <w:lang w:val="es-ES" w:eastAsia="en-US" w:bidi="ar-SA"/>
      </w:rPr>
    </w:lvl>
    <w:lvl w:ilvl="6" w:tplc="B3BCE680">
      <w:numFmt w:val="bullet"/>
      <w:lvlText w:val="•"/>
      <w:lvlJc w:val="left"/>
      <w:pPr>
        <w:ind w:left="6168" w:hanging="360"/>
      </w:pPr>
      <w:rPr>
        <w:rFonts w:hint="default"/>
        <w:lang w:val="es-ES" w:eastAsia="en-US" w:bidi="ar-SA"/>
      </w:rPr>
    </w:lvl>
    <w:lvl w:ilvl="7" w:tplc="48DC941E">
      <w:numFmt w:val="bullet"/>
      <w:lvlText w:val="•"/>
      <w:lvlJc w:val="left"/>
      <w:pPr>
        <w:ind w:left="7056" w:hanging="360"/>
      </w:pPr>
      <w:rPr>
        <w:rFonts w:hint="default"/>
        <w:lang w:val="es-ES" w:eastAsia="en-US" w:bidi="ar-SA"/>
      </w:rPr>
    </w:lvl>
    <w:lvl w:ilvl="8" w:tplc="A91E7F3C">
      <w:numFmt w:val="bullet"/>
      <w:lvlText w:val="•"/>
      <w:lvlJc w:val="left"/>
      <w:pPr>
        <w:ind w:left="7944" w:hanging="360"/>
      </w:pPr>
      <w:rPr>
        <w:rFonts w:hint="default"/>
        <w:lang w:val="es-ES" w:eastAsia="en-US" w:bidi="ar-SA"/>
      </w:rPr>
    </w:lvl>
  </w:abstractNum>
  <w:abstractNum w:abstractNumId="4" w15:restartNumberingAfterBreak="0">
    <w:nsid w:val="02EA79CC"/>
    <w:multiLevelType w:val="hybridMultilevel"/>
    <w:tmpl w:val="44EA216E"/>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038376D8"/>
    <w:multiLevelType w:val="hybridMultilevel"/>
    <w:tmpl w:val="20F813C4"/>
    <w:lvl w:ilvl="0" w:tplc="080A000B">
      <w:start w:val="1"/>
      <w:numFmt w:val="bullet"/>
      <w:lvlText w:val=""/>
      <w:lvlJc w:val="left"/>
      <w:pPr>
        <w:ind w:left="786" w:hanging="360"/>
      </w:pPr>
      <w:rPr>
        <w:rFonts w:ascii="Wingdings" w:hAnsi="Wingdings"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6" w15:restartNumberingAfterBreak="0">
    <w:nsid w:val="0506593E"/>
    <w:multiLevelType w:val="hybridMultilevel"/>
    <w:tmpl w:val="2F6EF956"/>
    <w:lvl w:ilvl="0" w:tplc="2E1E83A0">
      <w:start w:val="1"/>
      <w:numFmt w:val="lowerLetter"/>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7" w15:restartNumberingAfterBreak="0">
    <w:nsid w:val="061D262E"/>
    <w:multiLevelType w:val="hybridMultilevel"/>
    <w:tmpl w:val="7876B790"/>
    <w:lvl w:ilvl="0" w:tplc="44DC362A">
      <w:start w:val="3"/>
      <w:numFmt w:val="lowerLetter"/>
      <w:lvlText w:val="(%1)"/>
      <w:lvlJc w:val="left"/>
      <w:pPr>
        <w:ind w:left="1080" w:hanging="360"/>
      </w:pPr>
      <w:rPr>
        <w:rFonts w:hint="default"/>
      </w:rPr>
    </w:lvl>
    <w:lvl w:ilvl="1" w:tplc="4C0A0019" w:tentative="1">
      <w:start w:val="1"/>
      <w:numFmt w:val="lowerLetter"/>
      <w:lvlText w:val="%2."/>
      <w:lvlJc w:val="left"/>
      <w:pPr>
        <w:ind w:left="1800" w:hanging="360"/>
      </w:pPr>
    </w:lvl>
    <w:lvl w:ilvl="2" w:tplc="4C0A001B" w:tentative="1">
      <w:start w:val="1"/>
      <w:numFmt w:val="lowerRoman"/>
      <w:lvlText w:val="%3."/>
      <w:lvlJc w:val="right"/>
      <w:pPr>
        <w:ind w:left="2520" w:hanging="180"/>
      </w:pPr>
    </w:lvl>
    <w:lvl w:ilvl="3" w:tplc="4C0A000F" w:tentative="1">
      <w:start w:val="1"/>
      <w:numFmt w:val="decimal"/>
      <w:lvlText w:val="%4."/>
      <w:lvlJc w:val="left"/>
      <w:pPr>
        <w:ind w:left="3240" w:hanging="360"/>
      </w:pPr>
    </w:lvl>
    <w:lvl w:ilvl="4" w:tplc="4C0A0019" w:tentative="1">
      <w:start w:val="1"/>
      <w:numFmt w:val="lowerLetter"/>
      <w:lvlText w:val="%5."/>
      <w:lvlJc w:val="left"/>
      <w:pPr>
        <w:ind w:left="3960" w:hanging="360"/>
      </w:pPr>
    </w:lvl>
    <w:lvl w:ilvl="5" w:tplc="4C0A001B" w:tentative="1">
      <w:start w:val="1"/>
      <w:numFmt w:val="lowerRoman"/>
      <w:lvlText w:val="%6."/>
      <w:lvlJc w:val="right"/>
      <w:pPr>
        <w:ind w:left="4680" w:hanging="180"/>
      </w:pPr>
    </w:lvl>
    <w:lvl w:ilvl="6" w:tplc="4C0A000F" w:tentative="1">
      <w:start w:val="1"/>
      <w:numFmt w:val="decimal"/>
      <w:lvlText w:val="%7."/>
      <w:lvlJc w:val="left"/>
      <w:pPr>
        <w:ind w:left="5400" w:hanging="360"/>
      </w:pPr>
    </w:lvl>
    <w:lvl w:ilvl="7" w:tplc="4C0A0019" w:tentative="1">
      <w:start w:val="1"/>
      <w:numFmt w:val="lowerLetter"/>
      <w:lvlText w:val="%8."/>
      <w:lvlJc w:val="left"/>
      <w:pPr>
        <w:ind w:left="6120" w:hanging="360"/>
      </w:pPr>
    </w:lvl>
    <w:lvl w:ilvl="8" w:tplc="4C0A001B" w:tentative="1">
      <w:start w:val="1"/>
      <w:numFmt w:val="lowerRoman"/>
      <w:lvlText w:val="%9."/>
      <w:lvlJc w:val="right"/>
      <w:pPr>
        <w:ind w:left="6840" w:hanging="180"/>
      </w:pPr>
    </w:lvl>
  </w:abstractNum>
  <w:abstractNum w:abstractNumId="8" w15:restartNumberingAfterBreak="0">
    <w:nsid w:val="066E589E"/>
    <w:multiLevelType w:val="hybridMultilevel"/>
    <w:tmpl w:val="ED6A8056"/>
    <w:lvl w:ilvl="0" w:tplc="F9D049D2">
      <w:start w:val="1"/>
      <w:numFmt w:val="decimal"/>
      <w:lvlText w:val="%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73F27E1"/>
    <w:multiLevelType w:val="multilevel"/>
    <w:tmpl w:val="E2F8D264"/>
    <w:lvl w:ilvl="0">
      <w:start w:val="1"/>
      <w:numFmt w:val="decimal"/>
      <w:lvlText w:val="%1."/>
      <w:lvlJc w:val="left"/>
      <w:pPr>
        <w:tabs>
          <w:tab w:val="num" w:pos="750"/>
        </w:tabs>
        <w:ind w:left="750" w:hanging="390"/>
      </w:pPr>
      <w:rPr>
        <w:rFonts w:cs="Times New Roman"/>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15:restartNumberingAfterBreak="0">
    <w:nsid w:val="086F413A"/>
    <w:multiLevelType w:val="hybridMultilevel"/>
    <w:tmpl w:val="0BB202D2"/>
    <w:lvl w:ilvl="0" w:tplc="240A0001">
      <w:start w:val="1"/>
      <w:numFmt w:val="bullet"/>
      <w:lvlText w:val=""/>
      <w:lvlJc w:val="left"/>
      <w:pPr>
        <w:ind w:left="1259" w:hanging="360"/>
      </w:pPr>
      <w:rPr>
        <w:rFonts w:ascii="Symbol" w:hAnsi="Symbol" w:hint="default"/>
      </w:rPr>
    </w:lvl>
    <w:lvl w:ilvl="1" w:tplc="240A0003" w:tentative="1">
      <w:start w:val="1"/>
      <w:numFmt w:val="bullet"/>
      <w:lvlText w:val="o"/>
      <w:lvlJc w:val="left"/>
      <w:pPr>
        <w:ind w:left="1979" w:hanging="360"/>
      </w:pPr>
      <w:rPr>
        <w:rFonts w:ascii="Courier New" w:hAnsi="Courier New" w:cs="Courier New" w:hint="default"/>
      </w:rPr>
    </w:lvl>
    <w:lvl w:ilvl="2" w:tplc="240A0005" w:tentative="1">
      <w:start w:val="1"/>
      <w:numFmt w:val="bullet"/>
      <w:lvlText w:val=""/>
      <w:lvlJc w:val="left"/>
      <w:pPr>
        <w:ind w:left="2699" w:hanging="360"/>
      </w:pPr>
      <w:rPr>
        <w:rFonts w:ascii="Wingdings" w:hAnsi="Wingdings" w:hint="default"/>
      </w:rPr>
    </w:lvl>
    <w:lvl w:ilvl="3" w:tplc="240A0001" w:tentative="1">
      <w:start w:val="1"/>
      <w:numFmt w:val="bullet"/>
      <w:lvlText w:val=""/>
      <w:lvlJc w:val="left"/>
      <w:pPr>
        <w:ind w:left="3419" w:hanging="360"/>
      </w:pPr>
      <w:rPr>
        <w:rFonts w:ascii="Symbol" w:hAnsi="Symbol" w:hint="default"/>
      </w:rPr>
    </w:lvl>
    <w:lvl w:ilvl="4" w:tplc="240A0003" w:tentative="1">
      <w:start w:val="1"/>
      <w:numFmt w:val="bullet"/>
      <w:lvlText w:val="o"/>
      <w:lvlJc w:val="left"/>
      <w:pPr>
        <w:ind w:left="4139" w:hanging="360"/>
      </w:pPr>
      <w:rPr>
        <w:rFonts w:ascii="Courier New" w:hAnsi="Courier New" w:cs="Courier New" w:hint="default"/>
      </w:rPr>
    </w:lvl>
    <w:lvl w:ilvl="5" w:tplc="240A0005" w:tentative="1">
      <w:start w:val="1"/>
      <w:numFmt w:val="bullet"/>
      <w:lvlText w:val=""/>
      <w:lvlJc w:val="left"/>
      <w:pPr>
        <w:ind w:left="4859" w:hanging="360"/>
      </w:pPr>
      <w:rPr>
        <w:rFonts w:ascii="Wingdings" w:hAnsi="Wingdings" w:hint="default"/>
      </w:rPr>
    </w:lvl>
    <w:lvl w:ilvl="6" w:tplc="240A0001" w:tentative="1">
      <w:start w:val="1"/>
      <w:numFmt w:val="bullet"/>
      <w:lvlText w:val=""/>
      <w:lvlJc w:val="left"/>
      <w:pPr>
        <w:ind w:left="5579" w:hanging="360"/>
      </w:pPr>
      <w:rPr>
        <w:rFonts w:ascii="Symbol" w:hAnsi="Symbol" w:hint="default"/>
      </w:rPr>
    </w:lvl>
    <w:lvl w:ilvl="7" w:tplc="240A0003" w:tentative="1">
      <w:start w:val="1"/>
      <w:numFmt w:val="bullet"/>
      <w:lvlText w:val="o"/>
      <w:lvlJc w:val="left"/>
      <w:pPr>
        <w:ind w:left="6299" w:hanging="360"/>
      </w:pPr>
      <w:rPr>
        <w:rFonts w:ascii="Courier New" w:hAnsi="Courier New" w:cs="Courier New" w:hint="default"/>
      </w:rPr>
    </w:lvl>
    <w:lvl w:ilvl="8" w:tplc="240A0005" w:tentative="1">
      <w:start w:val="1"/>
      <w:numFmt w:val="bullet"/>
      <w:lvlText w:val=""/>
      <w:lvlJc w:val="left"/>
      <w:pPr>
        <w:ind w:left="7019" w:hanging="360"/>
      </w:pPr>
      <w:rPr>
        <w:rFonts w:ascii="Wingdings" w:hAnsi="Wingdings" w:hint="default"/>
      </w:rPr>
    </w:lvl>
  </w:abstractNum>
  <w:abstractNum w:abstractNumId="11" w15:restartNumberingAfterBreak="0">
    <w:nsid w:val="09EC4F08"/>
    <w:multiLevelType w:val="hybridMultilevel"/>
    <w:tmpl w:val="87147F1C"/>
    <w:lvl w:ilvl="0" w:tplc="999EDCBA">
      <w:start w:val="1"/>
      <w:numFmt w:val="lowerLetter"/>
      <w:lvlText w:val="(%1)"/>
      <w:lvlJc w:val="left"/>
      <w:pPr>
        <w:ind w:left="2145" w:hanging="360"/>
      </w:pPr>
      <w:rPr>
        <w:rFonts w:hint="default"/>
      </w:rPr>
    </w:lvl>
    <w:lvl w:ilvl="1" w:tplc="08090019" w:tentative="1">
      <w:start w:val="1"/>
      <w:numFmt w:val="lowerLetter"/>
      <w:lvlText w:val="%2."/>
      <w:lvlJc w:val="left"/>
      <w:pPr>
        <w:ind w:left="2865" w:hanging="360"/>
      </w:pPr>
    </w:lvl>
    <w:lvl w:ilvl="2" w:tplc="0809001B" w:tentative="1">
      <w:start w:val="1"/>
      <w:numFmt w:val="lowerRoman"/>
      <w:lvlText w:val="%3."/>
      <w:lvlJc w:val="right"/>
      <w:pPr>
        <w:ind w:left="3585" w:hanging="180"/>
      </w:pPr>
    </w:lvl>
    <w:lvl w:ilvl="3" w:tplc="0809000F" w:tentative="1">
      <w:start w:val="1"/>
      <w:numFmt w:val="decimal"/>
      <w:lvlText w:val="%4."/>
      <w:lvlJc w:val="left"/>
      <w:pPr>
        <w:ind w:left="4305" w:hanging="360"/>
      </w:pPr>
    </w:lvl>
    <w:lvl w:ilvl="4" w:tplc="08090019" w:tentative="1">
      <w:start w:val="1"/>
      <w:numFmt w:val="lowerLetter"/>
      <w:lvlText w:val="%5."/>
      <w:lvlJc w:val="left"/>
      <w:pPr>
        <w:ind w:left="5025" w:hanging="360"/>
      </w:pPr>
    </w:lvl>
    <w:lvl w:ilvl="5" w:tplc="0809001B" w:tentative="1">
      <w:start w:val="1"/>
      <w:numFmt w:val="lowerRoman"/>
      <w:lvlText w:val="%6."/>
      <w:lvlJc w:val="right"/>
      <w:pPr>
        <w:ind w:left="5745" w:hanging="180"/>
      </w:pPr>
    </w:lvl>
    <w:lvl w:ilvl="6" w:tplc="0809000F" w:tentative="1">
      <w:start w:val="1"/>
      <w:numFmt w:val="decimal"/>
      <w:lvlText w:val="%7."/>
      <w:lvlJc w:val="left"/>
      <w:pPr>
        <w:ind w:left="6465" w:hanging="360"/>
      </w:pPr>
    </w:lvl>
    <w:lvl w:ilvl="7" w:tplc="08090019" w:tentative="1">
      <w:start w:val="1"/>
      <w:numFmt w:val="lowerLetter"/>
      <w:lvlText w:val="%8."/>
      <w:lvlJc w:val="left"/>
      <w:pPr>
        <w:ind w:left="7185" w:hanging="360"/>
      </w:pPr>
    </w:lvl>
    <w:lvl w:ilvl="8" w:tplc="0809001B" w:tentative="1">
      <w:start w:val="1"/>
      <w:numFmt w:val="lowerRoman"/>
      <w:lvlText w:val="%9."/>
      <w:lvlJc w:val="right"/>
      <w:pPr>
        <w:ind w:left="7905" w:hanging="180"/>
      </w:pPr>
    </w:lvl>
  </w:abstractNum>
  <w:abstractNum w:abstractNumId="12" w15:restartNumberingAfterBreak="0">
    <w:nsid w:val="0A5E5F9C"/>
    <w:multiLevelType w:val="hybridMultilevel"/>
    <w:tmpl w:val="99C6B534"/>
    <w:lvl w:ilvl="0" w:tplc="AD9CB2B6">
      <w:start w:val="1"/>
      <w:numFmt w:val="decimal"/>
      <w:lvlText w:val="%1."/>
      <w:lvlJc w:val="left"/>
      <w:pPr>
        <w:ind w:left="899" w:hanging="360"/>
      </w:pPr>
      <w:rPr>
        <w:rFonts w:hint="default"/>
      </w:rPr>
    </w:lvl>
    <w:lvl w:ilvl="1" w:tplc="080A0019" w:tentative="1">
      <w:start w:val="1"/>
      <w:numFmt w:val="lowerLetter"/>
      <w:lvlText w:val="%2."/>
      <w:lvlJc w:val="left"/>
      <w:pPr>
        <w:ind w:left="1619" w:hanging="360"/>
      </w:pPr>
    </w:lvl>
    <w:lvl w:ilvl="2" w:tplc="080A001B" w:tentative="1">
      <w:start w:val="1"/>
      <w:numFmt w:val="lowerRoman"/>
      <w:lvlText w:val="%3."/>
      <w:lvlJc w:val="right"/>
      <w:pPr>
        <w:ind w:left="2339" w:hanging="180"/>
      </w:pPr>
    </w:lvl>
    <w:lvl w:ilvl="3" w:tplc="080A000F" w:tentative="1">
      <w:start w:val="1"/>
      <w:numFmt w:val="decimal"/>
      <w:lvlText w:val="%4."/>
      <w:lvlJc w:val="left"/>
      <w:pPr>
        <w:ind w:left="3059" w:hanging="360"/>
      </w:pPr>
    </w:lvl>
    <w:lvl w:ilvl="4" w:tplc="080A0019" w:tentative="1">
      <w:start w:val="1"/>
      <w:numFmt w:val="lowerLetter"/>
      <w:lvlText w:val="%5."/>
      <w:lvlJc w:val="left"/>
      <w:pPr>
        <w:ind w:left="3779" w:hanging="360"/>
      </w:pPr>
    </w:lvl>
    <w:lvl w:ilvl="5" w:tplc="080A001B" w:tentative="1">
      <w:start w:val="1"/>
      <w:numFmt w:val="lowerRoman"/>
      <w:lvlText w:val="%6."/>
      <w:lvlJc w:val="right"/>
      <w:pPr>
        <w:ind w:left="4499" w:hanging="180"/>
      </w:pPr>
    </w:lvl>
    <w:lvl w:ilvl="6" w:tplc="080A000F" w:tentative="1">
      <w:start w:val="1"/>
      <w:numFmt w:val="decimal"/>
      <w:lvlText w:val="%7."/>
      <w:lvlJc w:val="left"/>
      <w:pPr>
        <w:ind w:left="5219" w:hanging="360"/>
      </w:pPr>
    </w:lvl>
    <w:lvl w:ilvl="7" w:tplc="080A0019" w:tentative="1">
      <w:start w:val="1"/>
      <w:numFmt w:val="lowerLetter"/>
      <w:lvlText w:val="%8."/>
      <w:lvlJc w:val="left"/>
      <w:pPr>
        <w:ind w:left="5939" w:hanging="360"/>
      </w:pPr>
    </w:lvl>
    <w:lvl w:ilvl="8" w:tplc="080A001B" w:tentative="1">
      <w:start w:val="1"/>
      <w:numFmt w:val="lowerRoman"/>
      <w:lvlText w:val="%9."/>
      <w:lvlJc w:val="right"/>
      <w:pPr>
        <w:ind w:left="6659" w:hanging="180"/>
      </w:pPr>
    </w:lvl>
  </w:abstractNum>
  <w:abstractNum w:abstractNumId="13" w15:restartNumberingAfterBreak="0">
    <w:nsid w:val="0AAE75A2"/>
    <w:multiLevelType w:val="multilevel"/>
    <w:tmpl w:val="2624B3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B3A5840"/>
    <w:multiLevelType w:val="hybridMultilevel"/>
    <w:tmpl w:val="395259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0CB22CF7"/>
    <w:multiLevelType w:val="hybridMultilevel"/>
    <w:tmpl w:val="BCC8F796"/>
    <w:lvl w:ilvl="0" w:tplc="D61A5742">
      <w:start w:val="1"/>
      <w:numFmt w:val="lowerLetter"/>
      <w:lvlText w:val="(%1)"/>
      <w:lvlJc w:val="left"/>
      <w:pPr>
        <w:ind w:left="720" w:hanging="360"/>
      </w:pPr>
      <w:rPr>
        <w:rFonts w:ascii="Arial" w:eastAsia="Batang" w:hAnsi="Arial" w:cs="Arial" w:hint="default"/>
        <w:sz w:val="20"/>
        <w:szCs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1078742C"/>
    <w:multiLevelType w:val="hybridMultilevel"/>
    <w:tmpl w:val="61E4C874"/>
    <w:lvl w:ilvl="0" w:tplc="1B40DAB0">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7" w15:restartNumberingAfterBreak="0">
    <w:nsid w:val="14EE2FAE"/>
    <w:multiLevelType w:val="hybridMultilevel"/>
    <w:tmpl w:val="E208F1A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178A4189"/>
    <w:multiLevelType w:val="hybridMultilevel"/>
    <w:tmpl w:val="AC1C44CE"/>
    <w:lvl w:ilvl="0" w:tplc="22F46986">
      <w:start w:val="1"/>
      <w:numFmt w:val="decimal"/>
      <w:lvlText w:val="%1."/>
      <w:lvlJc w:val="left"/>
      <w:pPr>
        <w:ind w:left="717" w:hanging="360"/>
      </w:pPr>
      <w:rPr>
        <w:rFonts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19" w15:restartNumberingAfterBreak="0">
    <w:nsid w:val="180A6068"/>
    <w:multiLevelType w:val="hybridMultilevel"/>
    <w:tmpl w:val="A0962178"/>
    <w:lvl w:ilvl="0" w:tplc="FC8C12E8">
      <w:start w:val="2"/>
      <w:numFmt w:val="bullet"/>
      <w:lvlText w:val="-"/>
      <w:lvlJc w:val="left"/>
      <w:pPr>
        <w:ind w:left="720" w:hanging="360"/>
      </w:pPr>
      <w:rPr>
        <w:rFonts w:ascii="Arial" w:eastAsia="Batang"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19A63386"/>
    <w:multiLevelType w:val="hybridMultilevel"/>
    <w:tmpl w:val="C8E46998"/>
    <w:lvl w:ilvl="0" w:tplc="34AACDB6">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1C9E7ECC"/>
    <w:multiLevelType w:val="multilevel"/>
    <w:tmpl w:val="3B8CD284"/>
    <w:lvl w:ilvl="0">
      <w:start w:val="1"/>
      <w:numFmt w:val="decimal"/>
      <w:lvlText w:val="%1."/>
      <w:lvlJc w:val="left"/>
      <w:pPr>
        <w:ind w:left="750" w:hanging="39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2" w15:restartNumberingAfterBreak="0">
    <w:nsid w:val="1E0E2BA9"/>
    <w:multiLevelType w:val="hybridMultilevel"/>
    <w:tmpl w:val="5684989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3" w15:restartNumberingAfterBreak="0">
    <w:nsid w:val="1F4B2FD7"/>
    <w:multiLevelType w:val="hybridMultilevel"/>
    <w:tmpl w:val="FD8205CE"/>
    <w:lvl w:ilvl="0" w:tplc="23AE49B2">
      <w:start w:val="1"/>
      <w:numFmt w:val="decimal"/>
      <w:pStyle w:val="Reference"/>
      <w:lvlText w:val="[%1]"/>
      <w:lvlJc w:val="left"/>
      <w:pPr>
        <w:ind w:left="562" w:hanging="420"/>
      </w:pPr>
      <w:rPr>
        <w:rFonts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20092F42"/>
    <w:multiLevelType w:val="hybridMultilevel"/>
    <w:tmpl w:val="DEFAA01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216D1C26"/>
    <w:multiLevelType w:val="hybridMultilevel"/>
    <w:tmpl w:val="0C520D1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23A07242"/>
    <w:multiLevelType w:val="multilevel"/>
    <w:tmpl w:val="B6EE622E"/>
    <w:lvl w:ilvl="0">
      <w:start w:val="1"/>
      <w:numFmt w:val="upperRoman"/>
      <w:lvlText w:val="%1."/>
      <w:lvlJc w:val="righ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25B260AE"/>
    <w:multiLevelType w:val="hybridMultilevel"/>
    <w:tmpl w:val="5596EF6A"/>
    <w:lvl w:ilvl="0" w:tplc="4F3AC1FE">
      <w:start w:val="1"/>
      <w:numFmt w:val="lowerLetter"/>
      <w:lvlText w:val="(%1)"/>
      <w:lvlJc w:val="left"/>
      <w:pPr>
        <w:ind w:left="1080" w:hanging="360"/>
      </w:pPr>
      <w:rPr>
        <w:rFonts w:ascii="Arial" w:eastAsia="Calibri" w:hAnsi="Arial" w:cs="Arial"/>
      </w:rPr>
    </w:lvl>
    <w:lvl w:ilvl="1" w:tplc="4C0A0019" w:tentative="1">
      <w:start w:val="1"/>
      <w:numFmt w:val="lowerLetter"/>
      <w:lvlText w:val="%2."/>
      <w:lvlJc w:val="left"/>
      <w:pPr>
        <w:ind w:left="1800" w:hanging="360"/>
      </w:pPr>
    </w:lvl>
    <w:lvl w:ilvl="2" w:tplc="4C0A001B" w:tentative="1">
      <w:start w:val="1"/>
      <w:numFmt w:val="lowerRoman"/>
      <w:lvlText w:val="%3."/>
      <w:lvlJc w:val="right"/>
      <w:pPr>
        <w:ind w:left="2520" w:hanging="180"/>
      </w:pPr>
    </w:lvl>
    <w:lvl w:ilvl="3" w:tplc="4C0A000F" w:tentative="1">
      <w:start w:val="1"/>
      <w:numFmt w:val="decimal"/>
      <w:lvlText w:val="%4."/>
      <w:lvlJc w:val="left"/>
      <w:pPr>
        <w:ind w:left="3240" w:hanging="360"/>
      </w:pPr>
    </w:lvl>
    <w:lvl w:ilvl="4" w:tplc="4C0A0019" w:tentative="1">
      <w:start w:val="1"/>
      <w:numFmt w:val="lowerLetter"/>
      <w:lvlText w:val="%5."/>
      <w:lvlJc w:val="left"/>
      <w:pPr>
        <w:ind w:left="3960" w:hanging="360"/>
      </w:pPr>
    </w:lvl>
    <w:lvl w:ilvl="5" w:tplc="4C0A001B" w:tentative="1">
      <w:start w:val="1"/>
      <w:numFmt w:val="lowerRoman"/>
      <w:lvlText w:val="%6."/>
      <w:lvlJc w:val="right"/>
      <w:pPr>
        <w:ind w:left="4680" w:hanging="180"/>
      </w:pPr>
    </w:lvl>
    <w:lvl w:ilvl="6" w:tplc="4C0A000F" w:tentative="1">
      <w:start w:val="1"/>
      <w:numFmt w:val="decimal"/>
      <w:lvlText w:val="%7."/>
      <w:lvlJc w:val="left"/>
      <w:pPr>
        <w:ind w:left="5400" w:hanging="360"/>
      </w:pPr>
    </w:lvl>
    <w:lvl w:ilvl="7" w:tplc="4C0A0019" w:tentative="1">
      <w:start w:val="1"/>
      <w:numFmt w:val="lowerLetter"/>
      <w:lvlText w:val="%8."/>
      <w:lvlJc w:val="left"/>
      <w:pPr>
        <w:ind w:left="6120" w:hanging="360"/>
      </w:pPr>
    </w:lvl>
    <w:lvl w:ilvl="8" w:tplc="4C0A001B" w:tentative="1">
      <w:start w:val="1"/>
      <w:numFmt w:val="lowerRoman"/>
      <w:lvlText w:val="%9."/>
      <w:lvlJc w:val="right"/>
      <w:pPr>
        <w:ind w:left="6840" w:hanging="180"/>
      </w:pPr>
    </w:lvl>
  </w:abstractNum>
  <w:abstractNum w:abstractNumId="28" w15:restartNumberingAfterBreak="0">
    <w:nsid w:val="267C10CE"/>
    <w:multiLevelType w:val="multilevel"/>
    <w:tmpl w:val="6240BFC6"/>
    <w:lvl w:ilvl="0">
      <w:start w:val="1"/>
      <w:numFmt w:val="decimal"/>
      <w:lvlText w:val="%1."/>
      <w:lvlJc w:val="left"/>
      <w:pPr>
        <w:tabs>
          <w:tab w:val="num" w:pos="720"/>
        </w:tabs>
        <w:ind w:left="720" w:hanging="360"/>
      </w:pPr>
      <w:rPr>
        <w:rFonts w:ascii="Arial" w:eastAsiaTheme="minorEastAsia"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83958ED"/>
    <w:multiLevelType w:val="hybridMultilevel"/>
    <w:tmpl w:val="12442820"/>
    <w:lvl w:ilvl="0" w:tplc="8E6AE92E">
      <w:start w:val="2"/>
      <w:numFmt w:val="decimal"/>
      <w:lvlText w:val="%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30" w15:restartNumberingAfterBreak="0">
    <w:nsid w:val="2892231E"/>
    <w:multiLevelType w:val="hybridMultilevel"/>
    <w:tmpl w:val="5BECC5E2"/>
    <w:lvl w:ilvl="0" w:tplc="11D2FC6C">
      <w:start w:val="1"/>
      <w:numFmt w:val="lowerLetter"/>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1" w15:restartNumberingAfterBreak="0">
    <w:nsid w:val="2A401C65"/>
    <w:multiLevelType w:val="hybridMultilevel"/>
    <w:tmpl w:val="8AF6994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2B0402F3"/>
    <w:multiLevelType w:val="hybridMultilevel"/>
    <w:tmpl w:val="1726918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2B0E6746"/>
    <w:multiLevelType w:val="hybridMultilevel"/>
    <w:tmpl w:val="2278A9EA"/>
    <w:lvl w:ilvl="0" w:tplc="B3C40CDE">
      <w:start w:val="1"/>
      <w:numFmt w:val="decimal"/>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34" w15:restartNumberingAfterBreak="0">
    <w:nsid w:val="2B3422CF"/>
    <w:multiLevelType w:val="hybridMultilevel"/>
    <w:tmpl w:val="4F5E188A"/>
    <w:lvl w:ilvl="0" w:tplc="52D2D23E">
      <w:start w:val="1"/>
      <w:numFmt w:val="decimal"/>
      <w:lvlText w:val="%1."/>
      <w:lvlJc w:val="left"/>
      <w:pPr>
        <w:ind w:left="717" w:hanging="360"/>
      </w:pPr>
      <w:rPr>
        <w:rFonts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35" w15:restartNumberingAfterBreak="0">
    <w:nsid w:val="2B522684"/>
    <w:multiLevelType w:val="hybridMultilevel"/>
    <w:tmpl w:val="C87022E4"/>
    <w:lvl w:ilvl="0" w:tplc="140A0019">
      <w:start w:val="1"/>
      <w:numFmt w:val="lowerLetter"/>
      <w:lvlText w:val="%1."/>
      <w:lvlJc w:val="left"/>
      <w:pPr>
        <w:ind w:left="1068" w:hanging="360"/>
      </w:p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36" w15:restartNumberingAfterBreak="0">
    <w:nsid w:val="2BE1057E"/>
    <w:multiLevelType w:val="hybridMultilevel"/>
    <w:tmpl w:val="CF66F69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2C265BDD"/>
    <w:multiLevelType w:val="hybridMultilevel"/>
    <w:tmpl w:val="BCCED6AE"/>
    <w:lvl w:ilvl="0" w:tplc="2DD4A31A">
      <w:start w:val="1"/>
      <w:numFmt w:val="decimal"/>
      <w:lvlText w:val="%1."/>
      <w:lvlJc w:val="left"/>
      <w:pPr>
        <w:ind w:left="717" w:hanging="360"/>
      </w:pPr>
      <w:rPr>
        <w:rFonts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38" w15:restartNumberingAfterBreak="0">
    <w:nsid w:val="2CD6447D"/>
    <w:multiLevelType w:val="multilevel"/>
    <w:tmpl w:val="A0C65E8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9" w15:restartNumberingAfterBreak="0">
    <w:nsid w:val="2DB374E0"/>
    <w:multiLevelType w:val="multilevel"/>
    <w:tmpl w:val="F45273C0"/>
    <w:styleLink w:val="WW8Num2"/>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40" w15:restartNumberingAfterBreak="0">
    <w:nsid w:val="2F8E1A6A"/>
    <w:multiLevelType w:val="hybridMultilevel"/>
    <w:tmpl w:val="E39440A8"/>
    <w:lvl w:ilvl="0" w:tplc="F7B0CB38">
      <w:start w:val="1"/>
      <w:numFmt w:val="decimal"/>
      <w:lvlText w:val="%1."/>
      <w:lvlJc w:val="left"/>
      <w:pPr>
        <w:ind w:left="436" w:hanging="360"/>
      </w:pPr>
      <w:rPr>
        <w:rFonts w:ascii="Arial" w:hAnsi="Arial" w:cs="Arial" w:hint="default"/>
        <w:color w:val="auto"/>
      </w:r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41" w15:restartNumberingAfterBreak="0">
    <w:nsid w:val="33A321EC"/>
    <w:multiLevelType w:val="hybridMultilevel"/>
    <w:tmpl w:val="AB74008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37660336"/>
    <w:multiLevelType w:val="hybridMultilevel"/>
    <w:tmpl w:val="754EAC84"/>
    <w:lvl w:ilvl="0" w:tplc="C46877EA">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383C14C9"/>
    <w:multiLevelType w:val="hybridMultilevel"/>
    <w:tmpl w:val="3A60D59E"/>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4" w15:restartNumberingAfterBreak="0">
    <w:nsid w:val="396A601F"/>
    <w:multiLevelType w:val="hybridMultilevel"/>
    <w:tmpl w:val="3BFC94E6"/>
    <w:lvl w:ilvl="0" w:tplc="C5B41C8A">
      <w:start w:val="1"/>
      <w:numFmt w:val="decimal"/>
      <w:lvlText w:val="%1."/>
      <w:lvlJc w:val="left"/>
      <w:pPr>
        <w:ind w:left="717" w:hanging="360"/>
      </w:pPr>
      <w:rPr>
        <w:rFonts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45" w15:restartNumberingAfterBreak="0">
    <w:nsid w:val="3B3D4E8F"/>
    <w:multiLevelType w:val="multilevel"/>
    <w:tmpl w:val="E2F8D264"/>
    <w:lvl w:ilvl="0">
      <w:start w:val="1"/>
      <w:numFmt w:val="decimal"/>
      <w:lvlText w:val="%1."/>
      <w:lvlJc w:val="left"/>
      <w:pPr>
        <w:tabs>
          <w:tab w:val="num" w:pos="750"/>
        </w:tabs>
        <w:ind w:left="750" w:hanging="390"/>
      </w:pPr>
      <w:rPr>
        <w:rFonts w:cs="Times New Roman"/>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6" w15:restartNumberingAfterBreak="0">
    <w:nsid w:val="3D29166F"/>
    <w:multiLevelType w:val="multilevel"/>
    <w:tmpl w:val="DA8A8554"/>
    <w:styleLink w:val="Estilo1"/>
    <w:lvl w:ilvl="0">
      <w:start w:val="3"/>
      <w:numFmt w:val="decimal"/>
      <w:lvlText w:val="%1"/>
      <w:lvlJc w:val="left"/>
      <w:pPr>
        <w:tabs>
          <w:tab w:val="num" w:pos="855"/>
        </w:tabs>
        <w:ind w:left="510" w:hanging="510"/>
      </w:pPr>
      <w:rPr>
        <w:rFonts w:hint="default"/>
      </w:rPr>
    </w:lvl>
    <w:lvl w:ilvl="1">
      <w:start w:val="1"/>
      <w:numFmt w:val="decimal"/>
      <w:lvlText w:val="%1.%2"/>
      <w:lvlJc w:val="left"/>
      <w:pPr>
        <w:tabs>
          <w:tab w:val="num" w:pos="855"/>
        </w:tabs>
        <w:ind w:left="855" w:hanging="855"/>
      </w:pPr>
      <w:rPr>
        <w:rFonts w:hint="default"/>
      </w:rPr>
    </w:lvl>
    <w:lvl w:ilvl="2">
      <w:start w:val="1"/>
      <w:numFmt w:val="decimal"/>
      <w:lvlText w:val="%1.%2.%3"/>
      <w:lvlJc w:val="left"/>
      <w:pPr>
        <w:tabs>
          <w:tab w:val="num" w:pos="855"/>
        </w:tabs>
        <w:ind w:left="855" w:hanging="855"/>
      </w:pPr>
      <w:rPr>
        <w:rFonts w:hint="default"/>
      </w:rPr>
    </w:lvl>
    <w:lvl w:ilvl="3">
      <w:start w:val="1"/>
      <w:numFmt w:val="decimal"/>
      <w:lvlText w:val="%1.%2.%3.%4"/>
      <w:lvlJc w:val="left"/>
      <w:pPr>
        <w:tabs>
          <w:tab w:val="num" w:pos="855"/>
        </w:tabs>
        <w:ind w:left="855" w:hanging="85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7" w15:restartNumberingAfterBreak="0">
    <w:nsid w:val="3E5F0265"/>
    <w:multiLevelType w:val="multilevel"/>
    <w:tmpl w:val="24B46A4A"/>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48" w15:restartNumberingAfterBreak="0">
    <w:nsid w:val="3F48697D"/>
    <w:multiLevelType w:val="hybridMultilevel"/>
    <w:tmpl w:val="BC56C11C"/>
    <w:lvl w:ilvl="0" w:tplc="3B463E2E">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418A1967"/>
    <w:multiLevelType w:val="hybridMultilevel"/>
    <w:tmpl w:val="4F140EA8"/>
    <w:lvl w:ilvl="0" w:tplc="080A0001">
      <w:start w:val="1"/>
      <w:numFmt w:val="bullet"/>
      <w:lvlText w:val=""/>
      <w:lvlJc w:val="left"/>
      <w:pPr>
        <w:ind w:left="1145" w:hanging="360"/>
      </w:pPr>
      <w:rPr>
        <w:rFonts w:ascii="Symbol" w:hAnsi="Symbol" w:hint="default"/>
      </w:rPr>
    </w:lvl>
    <w:lvl w:ilvl="1" w:tplc="080A0003" w:tentative="1">
      <w:start w:val="1"/>
      <w:numFmt w:val="bullet"/>
      <w:lvlText w:val="o"/>
      <w:lvlJc w:val="left"/>
      <w:pPr>
        <w:ind w:left="1865" w:hanging="360"/>
      </w:pPr>
      <w:rPr>
        <w:rFonts w:ascii="Courier New" w:hAnsi="Courier New" w:cs="Courier New" w:hint="default"/>
      </w:rPr>
    </w:lvl>
    <w:lvl w:ilvl="2" w:tplc="080A0005" w:tentative="1">
      <w:start w:val="1"/>
      <w:numFmt w:val="bullet"/>
      <w:lvlText w:val=""/>
      <w:lvlJc w:val="left"/>
      <w:pPr>
        <w:ind w:left="2585" w:hanging="360"/>
      </w:pPr>
      <w:rPr>
        <w:rFonts w:ascii="Wingdings" w:hAnsi="Wingdings" w:hint="default"/>
      </w:rPr>
    </w:lvl>
    <w:lvl w:ilvl="3" w:tplc="080A0001" w:tentative="1">
      <w:start w:val="1"/>
      <w:numFmt w:val="bullet"/>
      <w:lvlText w:val=""/>
      <w:lvlJc w:val="left"/>
      <w:pPr>
        <w:ind w:left="3305" w:hanging="360"/>
      </w:pPr>
      <w:rPr>
        <w:rFonts w:ascii="Symbol" w:hAnsi="Symbol" w:hint="default"/>
      </w:rPr>
    </w:lvl>
    <w:lvl w:ilvl="4" w:tplc="080A0003" w:tentative="1">
      <w:start w:val="1"/>
      <w:numFmt w:val="bullet"/>
      <w:lvlText w:val="o"/>
      <w:lvlJc w:val="left"/>
      <w:pPr>
        <w:ind w:left="4025" w:hanging="360"/>
      </w:pPr>
      <w:rPr>
        <w:rFonts w:ascii="Courier New" w:hAnsi="Courier New" w:cs="Courier New" w:hint="default"/>
      </w:rPr>
    </w:lvl>
    <w:lvl w:ilvl="5" w:tplc="080A0005" w:tentative="1">
      <w:start w:val="1"/>
      <w:numFmt w:val="bullet"/>
      <w:lvlText w:val=""/>
      <w:lvlJc w:val="left"/>
      <w:pPr>
        <w:ind w:left="4745" w:hanging="360"/>
      </w:pPr>
      <w:rPr>
        <w:rFonts w:ascii="Wingdings" w:hAnsi="Wingdings" w:hint="default"/>
      </w:rPr>
    </w:lvl>
    <w:lvl w:ilvl="6" w:tplc="080A0001" w:tentative="1">
      <w:start w:val="1"/>
      <w:numFmt w:val="bullet"/>
      <w:lvlText w:val=""/>
      <w:lvlJc w:val="left"/>
      <w:pPr>
        <w:ind w:left="5465" w:hanging="360"/>
      </w:pPr>
      <w:rPr>
        <w:rFonts w:ascii="Symbol" w:hAnsi="Symbol" w:hint="default"/>
      </w:rPr>
    </w:lvl>
    <w:lvl w:ilvl="7" w:tplc="080A0003" w:tentative="1">
      <w:start w:val="1"/>
      <w:numFmt w:val="bullet"/>
      <w:lvlText w:val="o"/>
      <w:lvlJc w:val="left"/>
      <w:pPr>
        <w:ind w:left="6185" w:hanging="360"/>
      </w:pPr>
      <w:rPr>
        <w:rFonts w:ascii="Courier New" w:hAnsi="Courier New" w:cs="Courier New" w:hint="default"/>
      </w:rPr>
    </w:lvl>
    <w:lvl w:ilvl="8" w:tplc="080A0005" w:tentative="1">
      <w:start w:val="1"/>
      <w:numFmt w:val="bullet"/>
      <w:lvlText w:val=""/>
      <w:lvlJc w:val="left"/>
      <w:pPr>
        <w:ind w:left="6905" w:hanging="360"/>
      </w:pPr>
      <w:rPr>
        <w:rFonts w:ascii="Wingdings" w:hAnsi="Wingdings" w:hint="default"/>
      </w:rPr>
    </w:lvl>
  </w:abstractNum>
  <w:abstractNum w:abstractNumId="50" w15:restartNumberingAfterBreak="0">
    <w:nsid w:val="42FB59A6"/>
    <w:multiLevelType w:val="multilevel"/>
    <w:tmpl w:val="30F8F974"/>
    <w:lvl w:ilvl="0">
      <w:start w:val="1"/>
      <w:numFmt w:val="decimal"/>
      <w:pStyle w:val="1Titulo"/>
      <w:lvlText w:val="%1."/>
      <w:lvlJc w:val="left"/>
      <w:pPr>
        <w:ind w:left="1429" w:hanging="360"/>
      </w:pPr>
    </w:lvl>
    <w:lvl w:ilvl="1">
      <w:start w:val="1"/>
      <w:numFmt w:val="decimal"/>
      <w:isLgl/>
      <w:lvlText w:val="%1.%2"/>
      <w:lvlJc w:val="left"/>
      <w:pPr>
        <w:ind w:left="1474" w:hanging="405"/>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51" w15:restartNumberingAfterBreak="0">
    <w:nsid w:val="45B91F22"/>
    <w:multiLevelType w:val="hybridMultilevel"/>
    <w:tmpl w:val="FE90625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15:restartNumberingAfterBreak="0">
    <w:nsid w:val="47804F38"/>
    <w:multiLevelType w:val="hybridMultilevel"/>
    <w:tmpl w:val="33F47CC4"/>
    <w:lvl w:ilvl="0" w:tplc="EF8A1438">
      <w:start w:val="1"/>
      <w:numFmt w:val="decimal"/>
      <w:lvlText w:val="%1."/>
      <w:lvlJc w:val="left"/>
      <w:pPr>
        <w:ind w:left="360" w:hanging="360"/>
      </w:pPr>
      <w:rPr>
        <w:rFonts w:ascii="Arial" w:hAnsi="Arial" w:cs="Arial" w:hint="default"/>
      </w:rPr>
    </w:lvl>
    <w:lvl w:ilvl="1" w:tplc="86EEF052">
      <w:start w:val="1"/>
      <w:numFmt w:val="lowerLetter"/>
      <w:lvlText w:val="%2."/>
      <w:lvlJc w:val="left"/>
      <w:pPr>
        <w:ind w:left="1080" w:hanging="360"/>
      </w:pPr>
    </w:lvl>
    <w:lvl w:ilvl="2" w:tplc="FBC67C8A">
      <w:start w:val="1"/>
      <w:numFmt w:val="lowerRoman"/>
      <w:lvlText w:val="%3."/>
      <w:lvlJc w:val="right"/>
      <w:pPr>
        <w:ind w:left="1800" w:hanging="180"/>
      </w:pPr>
    </w:lvl>
    <w:lvl w:ilvl="3" w:tplc="1E6ECA1A">
      <w:start w:val="1"/>
      <w:numFmt w:val="decimal"/>
      <w:lvlText w:val="%4."/>
      <w:lvlJc w:val="left"/>
      <w:pPr>
        <w:ind w:left="2520" w:hanging="360"/>
      </w:pPr>
    </w:lvl>
    <w:lvl w:ilvl="4" w:tplc="FE2EC7EC">
      <w:start w:val="1"/>
      <w:numFmt w:val="lowerLetter"/>
      <w:lvlText w:val="%5."/>
      <w:lvlJc w:val="left"/>
      <w:pPr>
        <w:ind w:left="3240" w:hanging="360"/>
      </w:pPr>
    </w:lvl>
    <w:lvl w:ilvl="5" w:tplc="543E374C">
      <w:start w:val="1"/>
      <w:numFmt w:val="lowerRoman"/>
      <w:lvlText w:val="%6."/>
      <w:lvlJc w:val="right"/>
      <w:pPr>
        <w:ind w:left="3960" w:hanging="180"/>
      </w:pPr>
    </w:lvl>
    <w:lvl w:ilvl="6" w:tplc="CB94A51E">
      <w:start w:val="1"/>
      <w:numFmt w:val="decimal"/>
      <w:lvlText w:val="%7."/>
      <w:lvlJc w:val="left"/>
      <w:pPr>
        <w:ind w:left="4680" w:hanging="360"/>
      </w:pPr>
    </w:lvl>
    <w:lvl w:ilvl="7" w:tplc="07407F30">
      <w:start w:val="1"/>
      <w:numFmt w:val="lowerLetter"/>
      <w:lvlText w:val="%8."/>
      <w:lvlJc w:val="left"/>
      <w:pPr>
        <w:ind w:left="5400" w:hanging="360"/>
      </w:pPr>
    </w:lvl>
    <w:lvl w:ilvl="8" w:tplc="B4B062E6">
      <w:start w:val="1"/>
      <w:numFmt w:val="lowerRoman"/>
      <w:lvlText w:val="%9."/>
      <w:lvlJc w:val="right"/>
      <w:pPr>
        <w:ind w:left="6120" w:hanging="180"/>
      </w:pPr>
    </w:lvl>
  </w:abstractNum>
  <w:abstractNum w:abstractNumId="53" w15:restartNumberingAfterBreak="0">
    <w:nsid w:val="47BC3498"/>
    <w:multiLevelType w:val="hybridMultilevel"/>
    <w:tmpl w:val="F46C967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15:restartNumberingAfterBreak="0">
    <w:nsid w:val="4BDD14B9"/>
    <w:multiLevelType w:val="multilevel"/>
    <w:tmpl w:val="E2F8D264"/>
    <w:lvl w:ilvl="0">
      <w:start w:val="1"/>
      <w:numFmt w:val="decimal"/>
      <w:lvlText w:val="%1."/>
      <w:lvlJc w:val="left"/>
      <w:pPr>
        <w:tabs>
          <w:tab w:val="num" w:pos="750"/>
        </w:tabs>
        <w:ind w:left="750" w:hanging="390"/>
      </w:pPr>
      <w:rPr>
        <w:rFonts w:cs="Times New Roman"/>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5" w15:restartNumberingAfterBreak="0">
    <w:nsid w:val="4D974EEA"/>
    <w:multiLevelType w:val="hybridMultilevel"/>
    <w:tmpl w:val="29307C1A"/>
    <w:lvl w:ilvl="0" w:tplc="11A084CC">
      <w:start w:val="2"/>
      <w:numFmt w:val="decimal"/>
      <w:lvlText w:val="%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56" w15:restartNumberingAfterBreak="0">
    <w:nsid w:val="506D1AF6"/>
    <w:multiLevelType w:val="multilevel"/>
    <w:tmpl w:val="A0927F44"/>
    <w:lvl w:ilvl="0">
      <w:start w:val="3"/>
      <w:numFmt w:val="decimal"/>
      <w:lvlText w:val="%1."/>
      <w:lvlJc w:val="left"/>
      <w:pPr>
        <w:ind w:left="390" w:hanging="390"/>
      </w:pPr>
      <w:rPr>
        <w:rFonts w:hint="default"/>
      </w:rPr>
    </w:lvl>
    <w:lvl w:ilvl="1">
      <w:start w:val="1"/>
      <w:numFmt w:val="decimal"/>
      <w:pStyle w:val="11Ttulo"/>
      <w:lvlText w:val="%1.%2."/>
      <w:lvlJc w:val="left"/>
      <w:pPr>
        <w:ind w:left="720" w:hanging="72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111Titulo"/>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7" w15:restartNumberingAfterBreak="0">
    <w:nsid w:val="52D1564C"/>
    <w:multiLevelType w:val="multilevel"/>
    <w:tmpl w:val="DD024102"/>
    <w:styleLink w:val="RTFNum2"/>
    <w:lvl w:ilvl="0">
      <w:start w:val="1"/>
      <w:numFmt w:val="none"/>
      <w:lvlText w:val="%1"/>
      <w:lvlJc w:val="left"/>
      <w:rPr>
        <w:rFonts w:cs="Times New Roman"/>
      </w:rPr>
    </w:lvl>
    <w:lvl w:ilvl="1">
      <w:start w:val="1"/>
      <w:numFmt w:val="none"/>
      <w:lvlText w:val="%2"/>
      <w:lvlJc w:val="left"/>
      <w:rPr>
        <w:rFonts w:cs="Times New Roman"/>
      </w:rPr>
    </w:lvl>
    <w:lvl w:ilvl="2">
      <w:start w:val="1"/>
      <w:numFmt w:val="none"/>
      <w:lvlText w:val="%3"/>
      <w:lvlJc w:val="left"/>
      <w:rPr>
        <w:rFonts w:cs="Times New Roman"/>
      </w:rPr>
    </w:lvl>
    <w:lvl w:ilvl="3">
      <w:start w:val="1"/>
      <w:numFmt w:val="none"/>
      <w:lvlText w:val="%4"/>
      <w:lvlJc w:val="left"/>
      <w:rPr>
        <w:rFonts w:cs="Times New Roman"/>
      </w:rPr>
    </w:lvl>
    <w:lvl w:ilvl="4">
      <w:start w:val="1"/>
      <w:numFmt w:val="none"/>
      <w:lvlText w:val="%5"/>
      <w:lvlJc w:val="left"/>
      <w:rPr>
        <w:rFonts w:cs="Times New Roman"/>
      </w:rPr>
    </w:lvl>
    <w:lvl w:ilvl="5">
      <w:start w:val="1"/>
      <w:numFmt w:val="none"/>
      <w:lvlText w:val="%6"/>
      <w:lvlJc w:val="left"/>
      <w:rPr>
        <w:rFonts w:cs="Times New Roman"/>
      </w:rPr>
    </w:lvl>
    <w:lvl w:ilvl="6">
      <w:start w:val="1"/>
      <w:numFmt w:val="none"/>
      <w:lvlText w:val="%7"/>
      <w:lvlJc w:val="left"/>
      <w:rPr>
        <w:rFonts w:cs="Times New Roman"/>
      </w:rPr>
    </w:lvl>
    <w:lvl w:ilvl="7">
      <w:start w:val="1"/>
      <w:numFmt w:val="none"/>
      <w:lvlText w:val="%8"/>
      <w:lvlJc w:val="left"/>
      <w:rPr>
        <w:rFonts w:cs="Times New Roman"/>
      </w:rPr>
    </w:lvl>
    <w:lvl w:ilvl="8">
      <w:start w:val="1"/>
      <w:numFmt w:val="none"/>
      <w:lvlText w:val="%9"/>
      <w:lvlJc w:val="left"/>
      <w:rPr>
        <w:rFonts w:cs="Times New Roman"/>
      </w:rPr>
    </w:lvl>
  </w:abstractNum>
  <w:abstractNum w:abstractNumId="58" w15:restartNumberingAfterBreak="0">
    <w:nsid w:val="54521994"/>
    <w:multiLevelType w:val="hybridMultilevel"/>
    <w:tmpl w:val="FE9ADDA0"/>
    <w:lvl w:ilvl="0" w:tplc="09266584">
      <w:start w:val="3"/>
      <w:numFmt w:val="decimal"/>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9" w15:restartNumberingAfterBreak="0">
    <w:nsid w:val="562C2CE7"/>
    <w:multiLevelType w:val="hybridMultilevel"/>
    <w:tmpl w:val="6E96FB66"/>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0" w15:restartNumberingAfterBreak="0">
    <w:nsid w:val="58295C39"/>
    <w:multiLevelType w:val="hybridMultilevel"/>
    <w:tmpl w:val="6E96FB66"/>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1" w15:restartNumberingAfterBreak="0">
    <w:nsid w:val="5944515D"/>
    <w:multiLevelType w:val="hybridMultilevel"/>
    <w:tmpl w:val="5D527CBC"/>
    <w:lvl w:ilvl="0" w:tplc="280A000F">
      <w:start w:val="1"/>
      <w:numFmt w:val="decimal"/>
      <w:lvlText w:val="%1."/>
      <w:lvlJc w:val="left"/>
      <w:pPr>
        <w:ind w:left="1353"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2" w15:restartNumberingAfterBreak="0">
    <w:nsid w:val="627605ED"/>
    <w:multiLevelType w:val="singleLevel"/>
    <w:tmpl w:val="00000002"/>
    <w:lvl w:ilvl="0">
      <w:start w:val="1"/>
      <w:numFmt w:val="decimal"/>
      <w:lvlText w:val="%1."/>
      <w:lvlJc w:val="left"/>
      <w:pPr>
        <w:tabs>
          <w:tab w:val="num" w:pos="750"/>
        </w:tabs>
        <w:ind w:left="750" w:hanging="390"/>
      </w:pPr>
    </w:lvl>
  </w:abstractNum>
  <w:abstractNum w:abstractNumId="63" w15:restartNumberingAfterBreak="0">
    <w:nsid w:val="63B03413"/>
    <w:multiLevelType w:val="hybridMultilevel"/>
    <w:tmpl w:val="EB8034E6"/>
    <w:lvl w:ilvl="0" w:tplc="4C0A000F">
      <w:start w:val="1"/>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64" w15:restartNumberingAfterBreak="0">
    <w:nsid w:val="63FF09B4"/>
    <w:multiLevelType w:val="multilevel"/>
    <w:tmpl w:val="F8D81C3A"/>
    <w:lvl w:ilvl="0">
      <w:start w:val="1"/>
      <w:numFmt w:val="decimal"/>
      <w:pStyle w:val="section"/>
      <w:suff w:val="space"/>
      <w:lvlText w:val="%1."/>
      <w:lvlJc w:val="left"/>
      <w:pPr>
        <w:ind w:left="0" w:firstLine="0"/>
      </w:pPr>
      <w:rPr>
        <w:rFonts w:hint="default"/>
        <w:sz w:val="22"/>
      </w:rPr>
    </w:lvl>
    <w:lvl w:ilvl="1">
      <w:start w:val="1"/>
      <w:numFmt w:val="decimal"/>
      <w:pStyle w:val="subsection"/>
      <w:suff w:val="space"/>
      <w:lvlText w:val="%1.%2."/>
      <w:lvlJc w:val="left"/>
      <w:pPr>
        <w:ind w:left="0" w:firstLine="0"/>
      </w:pPr>
      <w:rPr>
        <w:rFonts w:hint="default"/>
        <w:lang w:val="en-GB"/>
      </w:rPr>
    </w:lvl>
    <w:lvl w:ilvl="2">
      <w:start w:val="1"/>
      <w:numFmt w:val="decimal"/>
      <w:pStyle w:val="subsubsection"/>
      <w:suff w:val="space"/>
      <w:lvlText w:val="%1.%2.%3."/>
      <w:lvlJc w:val="left"/>
      <w:pPr>
        <w:ind w:left="993" w:hanging="851"/>
      </w:pPr>
      <w:rPr>
        <w:rFonts w:hint="default"/>
        <w:i/>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5" w15:restartNumberingAfterBreak="0">
    <w:nsid w:val="64BD7E73"/>
    <w:multiLevelType w:val="hybridMultilevel"/>
    <w:tmpl w:val="9976EAD0"/>
    <w:lvl w:ilvl="0" w:tplc="D2660A04">
      <w:start w:val="1"/>
      <w:numFmt w:val="decimal"/>
      <w:lvlText w:val="%1."/>
      <w:lvlJc w:val="left"/>
      <w:pPr>
        <w:ind w:left="720" w:hanging="360"/>
      </w:pPr>
      <w:rPr>
        <w:rFonts w:hint="default"/>
        <w:lang w:val="es-MX"/>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15:restartNumberingAfterBreak="0">
    <w:nsid w:val="651641B2"/>
    <w:multiLevelType w:val="hybridMultilevel"/>
    <w:tmpl w:val="1048F52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15:restartNumberingAfterBreak="0">
    <w:nsid w:val="6A1D1DA2"/>
    <w:multiLevelType w:val="hybridMultilevel"/>
    <w:tmpl w:val="7E5623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8" w15:restartNumberingAfterBreak="0">
    <w:nsid w:val="6F3645C0"/>
    <w:multiLevelType w:val="hybridMultilevel"/>
    <w:tmpl w:val="0FD6EDD8"/>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69" w15:restartNumberingAfterBreak="0">
    <w:nsid w:val="70901CC1"/>
    <w:multiLevelType w:val="multilevel"/>
    <w:tmpl w:val="8528F288"/>
    <w:lvl w:ilvl="0">
      <w:start w:val="1"/>
      <w:numFmt w:val="decimal"/>
      <w:lvlText w:val="%1."/>
      <w:lvlJc w:val="left"/>
      <w:pPr>
        <w:ind w:left="720" w:hanging="360"/>
      </w:pPr>
      <w:rPr>
        <w:rFonts w:hint="default"/>
      </w:rPr>
    </w:lvl>
    <w:lvl w:ilvl="1">
      <w:start w:val="1"/>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0" w15:restartNumberingAfterBreak="0">
    <w:nsid w:val="71F476E3"/>
    <w:multiLevelType w:val="hybridMultilevel"/>
    <w:tmpl w:val="5986D4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1" w15:restartNumberingAfterBreak="0">
    <w:nsid w:val="739B5588"/>
    <w:multiLevelType w:val="hybridMultilevel"/>
    <w:tmpl w:val="EDD0F39E"/>
    <w:lvl w:ilvl="0" w:tplc="595ECFBC">
      <w:start w:val="2"/>
      <w:numFmt w:val="decimal"/>
      <w:lvlText w:val="%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72" w15:restartNumberingAfterBreak="0">
    <w:nsid w:val="75311EB1"/>
    <w:multiLevelType w:val="hybridMultilevel"/>
    <w:tmpl w:val="C5F6E41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3" w15:restartNumberingAfterBreak="0">
    <w:nsid w:val="76A03A46"/>
    <w:multiLevelType w:val="hybridMultilevel"/>
    <w:tmpl w:val="094AA33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4" w15:restartNumberingAfterBreak="0">
    <w:nsid w:val="798126E2"/>
    <w:multiLevelType w:val="hybridMultilevel"/>
    <w:tmpl w:val="B8F0856E"/>
    <w:lvl w:ilvl="0" w:tplc="0416000F">
      <w:start w:val="1"/>
      <w:numFmt w:val="decimal"/>
      <w:lvlText w:val="%1."/>
      <w:lvlJc w:val="left"/>
      <w:pPr>
        <w:ind w:left="774" w:hanging="360"/>
      </w:pPr>
    </w:lvl>
    <w:lvl w:ilvl="1" w:tplc="04160019" w:tentative="1">
      <w:start w:val="1"/>
      <w:numFmt w:val="lowerLetter"/>
      <w:lvlText w:val="%2."/>
      <w:lvlJc w:val="left"/>
      <w:pPr>
        <w:ind w:left="1494" w:hanging="360"/>
      </w:pPr>
    </w:lvl>
    <w:lvl w:ilvl="2" w:tplc="0416001B" w:tentative="1">
      <w:start w:val="1"/>
      <w:numFmt w:val="lowerRoman"/>
      <w:lvlText w:val="%3."/>
      <w:lvlJc w:val="right"/>
      <w:pPr>
        <w:ind w:left="2214" w:hanging="180"/>
      </w:pPr>
    </w:lvl>
    <w:lvl w:ilvl="3" w:tplc="0416000F" w:tentative="1">
      <w:start w:val="1"/>
      <w:numFmt w:val="decimal"/>
      <w:lvlText w:val="%4."/>
      <w:lvlJc w:val="left"/>
      <w:pPr>
        <w:ind w:left="2934" w:hanging="360"/>
      </w:pPr>
    </w:lvl>
    <w:lvl w:ilvl="4" w:tplc="04160019" w:tentative="1">
      <w:start w:val="1"/>
      <w:numFmt w:val="lowerLetter"/>
      <w:lvlText w:val="%5."/>
      <w:lvlJc w:val="left"/>
      <w:pPr>
        <w:ind w:left="3654" w:hanging="360"/>
      </w:pPr>
    </w:lvl>
    <w:lvl w:ilvl="5" w:tplc="0416001B" w:tentative="1">
      <w:start w:val="1"/>
      <w:numFmt w:val="lowerRoman"/>
      <w:lvlText w:val="%6."/>
      <w:lvlJc w:val="right"/>
      <w:pPr>
        <w:ind w:left="4374" w:hanging="180"/>
      </w:pPr>
    </w:lvl>
    <w:lvl w:ilvl="6" w:tplc="0416000F" w:tentative="1">
      <w:start w:val="1"/>
      <w:numFmt w:val="decimal"/>
      <w:lvlText w:val="%7."/>
      <w:lvlJc w:val="left"/>
      <w:pPr>
        <w:ind w:left="5094" w:hanging="360"/>
      </w:pPr>
    </w:lvl>
    <w:lvl w:ilvl="7" w:tplc="04160019" w:tentative="1">
      <w:start w:val="1"/>
      <w:numFmt w:val="lowerLetter"/>
      <w:lvlText w:val="%8."/>
      <w:lvlJc w:val="left"/>
      <w:pPr>
        <w:ind w:left="5814" w:hanging="360"/>
      </w:pPr>
    </w:lvl>
    <w:lvl w:ilvl="8" w:tplc="0416001B" w:tentative="1">
      <w:start w:val="1"/>
      <w:numFmt w:val="lowerRoman"/>
      <w:lvlText w:val="%9."/>
      <w:lvlJc w:val="right"/>
      <w:pPr>
        <w:ind w:left="6534" w:hanging="180"/>
      </w:pPr>
    </w:lvl>
  </w:abstractNum>
  <w:abstractNum w:abstractNumId="75" w15:restartNumberingAfterBreak="0">
    <w:nsid w:val="7CF219E2"/>
    <w:multiLevelType w:val="hybridMultilevel"/>
    <w:tmpl w:val="49D83BCA"/>
    <w:lvl w:ilvl="0" w:tplc="9DA2DE50">
      <w:start w:val="1"/>
      <w:numFmt w:val="decimal"/>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76" w15:restartNumberingAfterBreak="0">
    <w:nsid w:val="7D9521C8"/>
    <w:multiLevelType w:val="multilevel"/>
    <w:tmpl w:val="F35CB8F2"/>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abstractNum w:abstractNumId="77" w15:restartNumberingAfterBreak="0">
    <w:nsid w:val="7DAB5F41"/>
    <w:multiLevelType w:val="hybridMultilevel"/>
    <w:tmpl w:val="387E94D4"/>
    <w:name w:val="WW8Num22"/>
    <w:lvl w:ilvl="0" w:tplc="B7E20D34">
      <w:start w:val="1"/>
      <w:numFmt w:val="decimal"/>
      <w:lvlText w:val="%1."/>
      <w:lvlJc w:val="left"/>
      <w:pPr>
        <w:tabs>
          <w:tab w:val="num" w:pos="750"/>
        </w:tabs>
        <w:ind w:left="750" w:hanging="39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8" w15:restartNumberingAfterBreak="0">
    <w:nsid w:val="7E13048D"/>
    <w:multiLevelType w:val="multilevel"/>
    <w:tmpl w:val="98F8EF62"/>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9" w15:restartNumberingAfterBreak="0">
    <w:nsid w:val="7EF852D1"/>
    <w:multiLevelType w:val="multilevel"/>
    <w:tmpl w:val="BB1462B4"/>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0" w15:restartNumberingAfterBreak="0">
    <w:nsid w:val="7FF22E00"/>
    <w:multiLevelType w:val="hybridMultilevel"/>
    <w:tmpl w:val="2DDE171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57"/>
  </w:num>
  <w:num w:numId="3">
    <w:abstractNumId w:val="39"/>
  </w:num>
  <w:num w:numId="4">
    <w:abstractNumId w:val="46"/>
  </w:num>
  <w:num w:numId="5">
    <w:abstractNumId w:val="23"/>
  </w:num>
  <w:num w:numId="6">
    <w:abstractNumId w:val="33"/>
  </w:num>
  <w:num w:numId="7">
    <w:abstractNumId w:val="1"/>
  </w:num>
  <w:num w:numId="8">
    <w:abstractNumId w:val="50"/>
  </w:num>
  <w:num w:numId="9">
    <w:abstractNumId w:val="56"/>
  </w:num>
  <w:num w:numId="10">
    <w:abstractNumId w:val="64"/>
  </w:num>
  <w:num w:numId="11">
    <w:abstractNumId w:val="42"/>
  </w:num>
  <w:num w:numId="12">
    <w:abstractNumId w:val="76"/>
  </w:num>
  <w:num w:numId="13">
    <w:abstractNumId w:val="28"/>
  </w:num>
  <w:num w:numId="14">
    <w:abstractNumId w:val="49"/>
  </w:num>
  <w:num w:numId="15">
    <w:abstractNumId w:val="52"/>
  </w:num>
  <w:num w:numId="16">
    <w:abstractNumId w:val="75"/>
  </w:num>
  <w:num w:numId="17">
    <w:abstractNumId w:val="44"/>
  </w:num>
  <w:num w:numId="18">
    <w:abstractNumId w:val="50"/>
    <w:lvlOverride w:ilvl="0">
      <w:startOverride w:val="6"/>
    </w:lvlOverride>
  </w:num>
  <w:num w:numId="19">
    <w:abstractNumId w:val="31"/>
  </w:num>
  <w:num w:numId="20">
    <w:abstractNumId w:val="34"/>
  </w:num>
  <w:num w:numId="21">
    <w:abstractNumId w:val="41"/>
  </w:num>
  <w:num w:numId="22">
    <w:abstractNumId w:val="69"/>
  </w:num>
  <w:num w:numId="23">
    <w:abstractNumId w:val="19"/>
  </w:num>
  <w:num w:numId="24">
    <w:abstractNumId w:val="65"/>
  </w:num>
  <w:num w:numId="25">
    <w:abstractNumId w:val="17"/>
  </w:num>
  <w:num w:numId="26">
    <w:abstractNumId w:val="30"/>
  </w:num>
  <w:num w:numId="27">
    <w:abstractNumId w:val="3"/>
  </w:num>
  <w:num w:numId="28">
    <w:abstractNumId w:val="60"/>
  </w:num>
  <w:num w:numId="29">
    <w:abstractNumId w:val="59"/>
  </w:num>
  <w:num w:numId="30">
    <w:abstractNumId w:val="74"/>
  </w:num>
  <w:num w:numId="31">
    <w:abstractNumId w:val="18"/>
  </w:num>
  <w:num w:numId="32">
    <w:abstractNumId w:val="73"/>
  </w:num>
  <w:num w:numId="33">
    <w:abstractNumId w:val="68"/>
  </w:num>
  <w:num w:numId="34">
    <w:abstractNumId w:val="61"/>
  </w:num>
  <w:num w:numId="35">
    <w:abstractNumId w:val="37"/>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7"/>
  </w:num>
  <w:num w:numId="38">
    <w:abstractNumId w:val="54"/>
  </w:num>
  <w:num w:numId="39">
    <w:abstractNumId w:val="45"/>
  </w:num>
  <w:num w:numId="40">
    <w:abstractNumId w:val="15"/>
  </w:num>
  <w:num w:numId="41">
    <w:abstractNumId w:val="43"/>
  </w:num>
  <w:num w:numId="42">
    <w:abstractNumId w:val="26"/>
  </w:num>
  <w:num w:numId="4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
  </w:num>
  <w:num w:numId="45">
    <w:abstractNumId w:val="8"/>
  </w:num>
  <w:num w:numId="46">
    <w:abstractNumId w:val="50"/>
    <w:lvlOverride w:ilvl="0">
      <w:startOverride w:val="3"/>
    </w:lvlOverride>
    <w:lvlOverride w:ilvl="1">
      <w:startOverride w:val="2"/>
    </w:lvlOverride>
  </w:num>
  <w:num w:numId="47">
    <w:abstractNumId w:val="58"/>
  </w:num>
  <w:num w:numId="48">
    <w:abstractNumId w:val="11"/>
  </w:num>
  <w:num w:numId="49">
    <w:abstractNumId w:val="62"/>
  </w:num>
  <w:num w:numId="50">
    <w:abstractNumId w:val="12"/>
  </w:num>
  <w:num w:numId="51">
    <w:abstractNumId w:val="40"/>
  </w:num>
  <w:num w:numId="52">
    <w:abstractNumId w:val="55"/>
  </w:num>
  <w:num w:numId="53">
    <w:abstractNumId w:val="79"/>
  </w:num>
  <w:num w:numId="54">
    <w:abstractNumId w:val="71"/>
  </w:num>
  <w:num w:numId="55">
    <w:abstractNumId w:val="20"/>
  </w:num>
  <w:num w:numId="56">
    <w:abstractNumId w:val="25"/>
  </w:num>
  <w:num w:numId="57">
    <w:abstractNumId w:val="78"/>
  </w:num>
  <w:num w:numId="58">
    <w:abstractNumId w:val="66"/>
  </w:num>
  <w:num w:numId="59">
    <w:abstractNumId w:val="5"/>
  </w:num>
  <w:num w:numId="60">
    <w:abstractNumId w:val="24"/>
  </w:num>
  <w:num w:numId="61">
    <w:abstractNumId w:val="22"/>
  </w:num>
  <w:num w:numId="62">
    <w:abstractNumId w:val="4"/>
  </w:num>
  <w:num w:numId="63">
    <w:abstractNumId w:val="48"/>
  </w:num>
  <w:num w:numId="64">
    <w:abstractNumId w:val="72"/>
  </w:num>
  <w:num w:numId="65">
    <w:abstractNumId w:val="53"/>
  </w:num>
  <w:num w:numId="66">
    <w:abstractNumId w:val="32"/>
  </w:num>
  <w:num w:numId="67">
    <w:abstractNumId w:val="80"/>
  </w:num>
  <w:num w:numId="68">
    <w:abstractNumId w:val="36"/>
  </w:num>
  <w:num w:numId="69">
    <w:abstractNumId w:val="29"/>
  </w:num>
  <w:num w:numId="70">
    <w:abstractNumId w:val="70"/>
  </w:num>
  <w:num w:numId="71">
    <w:abstractNumId w:val="35"/>
  </w:num>
  <w:num w:numId="72">
    <w:abstractNumId w:val="16"/>
  </w:num>
  <w:num w:numId="73">
    <w:abstractNumId w:val="6"/>
  </w:num>
  <w:num w:numId="74">
    <w:abstractNumId w:val="7"/>
  </w:num>
  <w:num w:numId="75">
    <w:abstractNumId w:val="63"/>
  </w:num>
  <w:num w:numId="76">
    <w:abstractNumId w:val="27"/>
  </w:num>
  <w:num w:numId="77">
    <w:abstractNumId w:val="14"/>
  </w:num>
  <w:num w:numId="78">
    <w:abstractNumId w:val="38"/>
  </w:num>
  <w:num w:numId="79">
    <w:abstractNumId w:val="13"/>
  </w:num>
  <w:num w:numId="80">
    <w:abstractNumId w:val="47"/>
  </w:num>
  <w:num w:numId="81">
    <w:abstractNumId w:val="21"/>
  </w:num>
  <w:num w:numId="82">
    <w:abstractNumId w:val="10"/>
  </w:num>
  <w:num w:numId="83">
    <w:abstractNumId w:val="51"/>
  </w:num>
  <w:num w:numId="84">
    <w:abstractNumId w:val="1"/>
    <w:lvlOverride w:ilvl="0">
      <w:startOverride w:val="1"/>
    </w:lvlOverride>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0532"/>
    <w:rsid w:val="00000C40"/>
    <w:rsid w:val="0001272B"/>
    <w:rsid w:val="000253E6"/>
    <w:rsid w:val="000325BE"/>
    <w:rsid w:val="000330A1"/>
    <w:rsid w:val="00034114"/>
    <w:rsid w:val="00037B81"/>
    <w:rsid w:val="0004049A"/>
    <w:rsid w:val="00040D90"/>
    <w:rsid w:val="00044DBD"/>
    <w:rsid w:val="00051E97"/>
    <w:rsid w:val="000533C7"/>
    <w:rsid w:val="00067A0F"/>
    <w:rsid w:val="00081CF6"/>
    <w:rsid w:val="00094855"/>
    <w:rsid w:val="000A0717"/>
    <w:rsid w:val="000A1FFB"/>
    <w:rsid w:val="000B14C9"/>
    <w:rsid w:val="000B57C4"/>
    <w:rsid w:val="000B6037"/>
    <w:rsid w:val="000B736D"/>
    <w:rsid w:val="000C126B"/>
    <w:rsid w:val="000C250A"/>
    <w:rsid w:val="000C3346"/>
    <w:rsid w:val="000D1B20"/>
    <w:rsid w:val="000D24A4"/>
    <w:rsid w:val="000D32D1"/>
    <w:rsid w:val="000F0243"/>
    <w:rsid w:val="000F3A17"/>
    <w:rsid w:val="000F5442"/>
    <w:rsid w:val="000F7C50"/>
    <w:rsid w:val="00100CCB"/>
    <w:rsid w:val="00100D69"/>
    <w:rsid w:val="00113EA4"/>
    <w:rsid w:val="001159DE"/>
    <w:rsid w:val="00116469"/>
    <w:rsid w:val="00123C57"/>
    <w:rsid w:val="00133D30"/>
    <w:rsid w:val="001345E4"/>
    <w:rsid w:val="0013749F"/>
    <w:rsid w:val="001404FB"/>
    <w:rsid w:val="001472BA"/>
    <w:rsid w:val="00147ACF"/>
    <w:rsid w:val="00153464"/>
    <w:rsid w:val="001539E7"/>
    <w:rsid w:val="00172229"/>
    <w:rsid w:val="00174684"/>
    <w:rsid w:val="001822BF"/>
    <w:rsid w:val="00186522"/>
    <w:rsid w:val="00193EE2"/>
    <w:rsid w:val="00197CC0"/>
    <w:rsid w:val="001B1A13"/>
    <w:rsid w:val="001C28A9"/>
    <w:rsid w:val="001C60C6"/>
    <w:rsid w:val="001D2A3D"/>
    <w:rsid w:val="001D5FD9"/>
    <w:rsid w:val="001E2062"/>
    <w:rsid w:val="001E2292"/>
    <w:rsid w:val="001F3757"/>
    <w:rsid w:val="001F5D7F"/>
    <w:rsid w:val="001F69D3"/>
    <w:rsid w:val="00202123"/>
    <w:rsid w:val="00204420"/>
    <w:rsid w:val="00205C2B"/>
    <w:rsid w:val="00212B85"/>
    <w:rsid w:val="00214931"/>
    <w:rsid w:val="0021498E"/>
    <w:rsid w:val="00215E44"/>
    <w:rsid w:val="00216C28"/>
    <w:rsid w:val="00220389"/>
    <w:rsid w:val="002232F6"/>
    <w:rsid w:val="00225510"/>
    <w:rsid w:val="00227B8E"/>
    <w:rsid w:val="00233599"/>
    <w:rsid w:val="002429F5"/>
    <w:rsid w:val="00246DF3"/>
    <w:rsid w:val="00251623"/>
    <w:rsid w:val="002521D1"/>
    <w:rsid w:val="00256058"/>
    <w:rsid w:val="00257D10"/>
    <w:rsid w:val="0026297B"/>
    <w:rsid w:val="00263972"/>
    <w:rsid w:val="00271F9D"/>
    <w:rsid w:val="002A360E"/>
    <w:rsid w:val="002C4875"/>
    <w:rsid w:val="002C4BD6"/>
    <w:rsid w:val="002C5C9E"/>
    <w:rsid w:val="002D15D5"/>
    <w:rsid w:val="002D24F7"/>
    <w:rsid w:val="002D7575"/>
    <w:rsid w:val="002E3826"/>
    <w:rsid w:val="002E671A"/>
    <w:rsid w:val="002F0EBC"/>
    <w:rsid w:val="002F4E30"/>
    <w:rsid w:val="00305867"/>
    <w:rsid w:val="003135F4"/>
    <w:rsid w:val="00315A75"/>
    <w:rsid w:val="0031684C"/>
    <w:rsid w:val="00317739"/>
    <w:rsid w:val="00323951"/>
    <w:rsid w:val="0032502E"/>
    <w:rsid w:val="00327158"/>
    <w:rsid w:val="003327C8"/>
    <w:rsid w:val="00341F4A"/>
    <w:rsid w:val="003459ED"/>
    <w:rsid w:val="003547B6"/>
    <w:rsid w:val="00363C16"/>
    <w:rsid w:val="003656C5"/>
    <w:rsid w:val="0037343C"/>
    <w:rsid w:val="003753DD"/>
    <w:rsid w:val="00375A6A"/>
    <w:rsid w:val="00375D06"/>
    <w:rsid w:val="003871BC"/>
    <w:rsid w:val="003907BE"/>
    <w:rsid w:val="00390846"/>
    <w:rsid w:val="00390F7C"/>
    <w:rsid w:val="00392359"/>
    <w:rsid w:val="00393C00"/>
    <w:rsid w:val="00396AD1"/>
    <w:rsid w:val="003A49E8"/>
    <w:rsid w:val="003C081F"/>
    <w:rsid w:val="003C4976"/>
    <w:rsid w:val="003D0596"/>
    <w:rsid w:val="003E7C12"/>
    <w:rsid w:val="003F0296"/>
    <w:rsid w:val="003F3A9D"/>
    <w:rsid w:val="003F4B31"/>
    <w:rsid w:val="00403A32"/>
    <w:rsid w:val="00404560"/>
    <w:rsid w:val="004064C0"/>
    <w:rsid w:val="00426F2D"/>
    <w:rsid w:val="00430723"/>
    <w:rsid w:val="004323AD"/>
    <w:rsid w:val="00442301"/>
    <w:rsid w:val="00442988"/>
    <w:rsid w:val="004511AE"/>
    <w:rsid w:val="00463ECC"/>
    <w:rsid w:val="0047051A"/>
    <w:rsid w:val="00472301"/>
    <w:rsid w:val="004802D5"/>
    <w:rsid w:val="00482F13"/>
    <w:rsid w:val="00490A4F"/>
    <w:rsid w:val="004932C3"/>
    <w:rsid w:val="004936BF"/>
    <w:rsid w:val="0049551D"/>
    <w:rsid w:val="004A21F6"/>
    <w:rsid w:val="004B04E8"/>
    <w:rsid w:val="004B4415"/>
    <w:rsid w:val="004B6CA3"/>
    <w:rsid w:val="004C32F5"/>
    <w:rsid w:val="004C41E1"/>
    <w:rsid w:val="004C44CE"/>
    <w:rsid w:val="004D20D2"/>
    <w:rsid w:val="004D3785"/>
    <w:rsid w:val="004E388B"/>
    <w:rsid w:val="004F0CBA"/>
    <w:rsid w:val="004F162B"/>
    <w:rsid w:val="004F3951"/>
    <w:rsid w:val="0050164E"/>
    <w:rsid w:val="00506A55"/>
    <w:rsid w:val="00522E41"/>
    <w:rsid w:val="00523BCD"/>
    <w:rsid w:val="005267B4"/>
    <w:rsid w:val="00531F09"/>
    <w:rsid w:val="005354DB"/>
    <w:rsid w:val="00537002"/>
    <w:rsid w:val="0054204D"/>
    <w:rsid w:val="00543FCC"/>
    <w:rsid w:val="00544099"/>
    <w:rsid w:val="00557FCD"/>
    <w:rsid w:val="00563E1A"/>
    <w:rsid w:val="00564B0C"/>
    <w:rsid w:val="00575A88"/>
    <w:rsid w:val="00577F06"/>
    <w:rsid w:val="005812BE"/>
    <w:rsid w:val="0058780F"/>
    <w:rsid w:val="005A3503"/>
    <w:rsid w:val="005A5B11"/>
    <w:rsid w:val="005A6EF3"/>
    <w:rsid w:val="005B292C"/>
    <w:rsid w:val="005C3776"/>
    <w:rsid w:val="005C58B0"/>
    <w:rsid w:val="005C5A94"/>
    <w:rsid w:val="005D15D9"/>
    <w:rsid w:val="005D3C19"/>
    <w:rsid w:val="005D77CB"/>
    <w:rsid w:val="005E5A78"/>
    <w:rsid w:val="0060525E"/>
    <w:rsid w:val="006061C4"/>
    <w:rsid w:val="006154EB"/>
    <w:rsid w:val="0062261D"/>
    <w:rsid w:val="00631EF5"/>
    <w:rsid w:val="00633A06"/>
    <w:rsid w:val="00646AD3"/>
    <w:rsid w:val="006500C3"/>
    <w:rsid w:val="00652FB2"/>
    <w:rsid w:val="006564AE"/>
    <w:rsid w:val="00660293"/>
    <w:rsid w:val="00671514"/>
    <w:rsid w:val="006726CB"/>
    <w:rsid w:val="00674E9E"/>
    <w:rsid w:val="00681A27"/>
    <w:rsid w:val="00681B42"/>
    <w:rsid w:val="006859BB"/>
    <w:rsid w:val="00685A52"/>
    <w:rsid w:val="006A04E6"/>
    <w:rsid w:val="006A4807"/>
    <w:rsid w:val="006A60B1"/>
    <w:rsid w:val="006A6602"/>
    <w:rsid w:val="006B5008"/>
    <w:rsid w:val="006C26C4"/>
    <w:rsid w:val="006C2FDF"/>
    <w:rsid w:val="006C5BFB"/>
    <w:rsid w:val="006C735C"/>
    <w:rsid w:val="006D3713"/>
    <w:rsid w:val="006D51A5"/>
    <w:rsid w:val="006D5CDF"/>
    <w:rsid w:val="006E0D31"/>
    <w:rsid w:val="006F31A8"/>
    <w:rsid w:val="00700531"/>
    <w:rsid w:val="0070164A"/>
    <w:rsid w:val="00705D32"/>
    <w:rsid w:val="007072B7"/>
    <w:rsid w:val="00713500"/>
    <w:rsid w:val="00714299"/>
    <w:rsid w:val="0073363A"/>
    <w:rsid w:val="00734C12"/>
    <w:rsid w:val="007411D3"/>
    <w:rsid w:val="00742995"/>
    <w:rsid w:val="007523AE"/>
    <w:rsid w:val="0075529F"/>
    <w:rsid w:val="007620C7"/>
    <w:rsid w:val="00762B76"/>
    <w:rsid w:val="00770658"/>
    <w:rsid w:val="00776774"/>
    <w:rsid w:val="0078314A"/>
    <w:rsid w:val="00791791"/>
    <w:rsid w:val="00791EBC"/>
    <w:rsid w:val="007C35AE"/>
    <w:rsid w:val="007C74A8"/>
    <w:rsid w:val="007E1F5F"/>
    <w:rsid w:val="007E2463"/>
    <w:rsid w:val="007E50D1"/>
    <w:rsid w:val="007E53FE"/>
    <w:rsid w:val="007F2707"/>
    <w:rsid w:val="00811E7D"/>
    <w:rsid w:val="00813664"/>
    <w:rsid w:val="00825C94"/>
    <w:rsid w:val="008324A2"/>
    <w:rsid w:val="008358CC"/>
    <w:rsid w:val="00836CD9"/>
    <w:rsid w:val="00844E6E"/>
    <w:rsid w:val="00846109"/>
    <w:rsid w:val="0085031A"/>
    <w:rsid w:val="008560FA"/>
    <w:rsid w:val="00860532"/>
    <w:rsid w:val="00863A4B"/>
    <w:rsid w:val="0086436A"/>
    <w:rsid w:val="00870E4A"/>
    <w:rsid w:val="00873BBA"/>
    <w:rsid w:val="00874662"/>
    <w:rsid w:val="00874DD5"/>
    <w:rsid w:val="00876356"/>
    <w:rsid w:val="00876D96"/>
    <w:rsid w:val="00894519"/>
    <w:rsid w:val="00895864"/>
    <w:rsid w:val="008A13FB"/>
    <w:rsid w:val="008A22C9"/>
    <w:rsid w:val="008A4D13"/>
    <w:rsid w:val="008A6EAC"/>
    <w:rsid w:val="008A7568"/>
    <w:rsid w:val="008C6E65"/>
    <w:rsid w:val="008E3021"/>
    <w:rsid w:val="008E35C4"/>
    <w:rsid w:val="008E5D95"/>
    <w:rsid w:val="008F2442"/>
    <w:rsid w:val="009156D2"/>
    <w:rsid w:val="00915A46"/>
    <w:rsid w:val="00917C1F"/>
    <w:rsid w:val="009206D6"/>
    <w:rsid w:val="009273F4"/>
    <w:rsid w:val="0095276A"/>
    <w:rsid w:val="00961D51"/>
    <w:rsid w:val="00963943"/>
    <w:rsid w:val="00964D9F"/>
    <w:rsid w:val="009661A9"/>
    <w:rsid w:val="00970ADE"/>
    <w:rsid w:val="00974098"/>
    <w:rsid w:val="009756DF"/>
    <w:rsid w:val="00981387"/>
    <w:rsid w:val="00981A51"/>
    <w:rsid w:val="00996D62"/>
    <w:rsid w:val="009A2094"/>
    <w:rsid w:val="009C2A99"/>
    <w:rsid w:val="009C30F7"/>
    <w:rsid w:val="009C453E"/>
    <w:rsid w:val="009C554B"/>
    <w:rsid w:val="009D00F6"/>
    <w:rsid w:val="009E1D8A"/>
    <w:rsid w:val="009E434E"/>
    <w:rsid w:val="009F360B"/>
    <w:rsid w:val="009F4899"/>
    <w:rsid w:val="009F52D6"/>
    <w:rsid w:val="00A032D5"/>
    <w:rsid w:val="00A04F21"/>
    <w:rsid w:val="00A062AD"/>
    <w:rsid w:val="00A12C8C"/>
    <w:rsid w:val="00A1607F"/>
    <w:rsid w:val="00A208FA"/>
    <w:rsid w:val="00A22AB7"/>
    <w:rsid w:val="00A24759"/>
    <w:rsid w:val="00A34636"/>
    <w:rsid w:val="00A360C1"/>
    <w:rsid w:val="00A450E2"/>
    <w:rsid w:val="00A57C6F"/>
    <w:rsid w:val="00A72BD1"/>
    <w:rsid w:val="00AA2A74"/>
    <w:rsid w:val="00AB2ED5"/>
    <w:rsid w:val="00AB59B2"/>
    <w:rsid w:val="00AB5BC4"/>
    <w:rsid w:val="00AB7C74"/>
    <w:rsid w:val="00AC510A"/>
    <w:rsid w:val="00AC6D81"/>
    <w:rsid w:val="00AD2066"/>
    <w:rsid w:val="00AE0459"/>
    <w:rsid w:val="00AE0A2F"/>
    <w:rsid w:val="00AE6CD8"/>
    <w:rsid w:val="00AF0120"/>
    <w:rsid w:val="00AF2A52"/>
    <w:rsid w:val="00B04047"/>
    <w:rsid w:val="00B1571A"/>
    <w:rsid w:val="00B21C08"/>
    <w:rsid w:val="00B317CC"/>
    <w:rsid w:val="00B31CE1"/>
    <w:rsid w:val="00B45118"/>
    <w:rsid w:val="00B5584C"/>
    <w:rsid w:val="00B56DC8"/>
    <w:rsid w:val="00B6041D"/>
    <w:rsid w:val="00B63E09"/>
    <w:rsid w:val="00B70A53"/>
    <w:rsid w:val="00B74269"/>
    <w:rsid w:val="00B81843"/>
    <w:rsid w:val="00B8796B"/>
    <w:rsid w:val="00B921BB"/>
    <w:rsid w:val="00BB112E"/>
    <w:rsid w:val="00BB51D0"/>
    <w:rsid w:val="00BC1FD0"/>
    <w:rsid w:val="00BC257F"/>
    <w:rsid w:val="00BC2D14"/>
    <w:rsid w:val="00BD1EBF"/>
    <w:rsid w:val="00BD2D91"/>
    <w:rsid w:val="00BD581E"/>
    <w:rsid w:val="00BD7FE3"/>
    <w:rsid w:val="00BE5FB3"/>
    <w:rsid w:val="00BF6666"/>
    <w:rsid w:val="00C029DF"/>
    <w:rsid w:val="00C04E73"/>
    <w:rsid w:val="00C11AD7"/>
    <w:rsid w:val="00C12A23"/>
    <w:rsid w:val="00C1386C"/>
    <w:rsid w:val="00C20C0F"/>
    <w:rsid w:val="00C24D31"/>
    <w:rsid w:val="00C27CE1"/>
    <w:rsid w:val="00C30A21"/>
    <w:rsid w:val="00C41244"/>
    <w:rsid w:val="00C41CE1"/>
    <w:rsid w:val="00C42C4D"/>
    <w:rsid w:val="00C47BE3"/>
    <w:rsid w:val="00C51C4F"/>
    <w:rsid w:val="00C606D0"/>
    <w:rsid w:val="00C6146F"/>
    <w:rsid w:val="00C643BD"/>
    <w:rsid w:val="00C64517"/>
    <w:rsid w:val="00C66370"/>
    <w:rsid w:val="00C75816"/>
    <w:rsid w:val="00C80411"/>
    <w:rsid w:val="00C86E36"/>
    <w:rsid w:val="00C876F2"/>
    <w:rsid w:val="00C92C7C"/>
    <w:rsid w:val="00C932A6"/>
    <w:rsid w:val="00C95F82"/>
    <w:rsid w:val="00C9781A"/>
    <w:rsid w:val="00CB0978"/>
    <w:rsid w:val="00CB0F6B"/>
    <w:rsid w:val="00CB595B"/>
    <w:rsid w:val="00CB5BCB"/>
    <w:rsid w:val="00CC1C38"/>
    <w:rsid w:val="00CC49EB"/>
    <w:rsid w:val="00CC67ED"/>
    <w:rsid w:val="00CD0BA4"/>
    <w:rsid w:val="00CD3B71"/>
    <w:rsid w:val="00CE2519"/>
    <w:rsid w:val="00CE4578"/>
    <w:rsid w:val="00CE61EC"/>
    <w:rsid w:val="00D0292D"/>
    <w:rsid w:val="00D04267"/>
    <w:rsid w:val="00D11886"/>
    <w:rsid w:val="00D31BFD"/>
    <w:rsid w:val="00D32FC2"/>
    <w:rsid w:val="00D33809"/>
    <w:rsid w:val="00D438BF"/>
    <w:rsid w:val="00D4397B"/>
    <w:rsid w:val="00D4532B"/>
    <w:rsid w:val="00D53937"/>
    <w:rsid w:val="00D57D8A"/>
    <w:rsid w:val="00D64DFC"/>
    <w:rsid w:val="00D72971"/>
    <w:rsid w:val="00D731EF"/>
    <w:rsid w:val="00D74F90"/>
    <w:rsid w:val="00D90E1F"/>
    <w:rsid w:val="00D96540"/>
    <w:rsid w:val="00D967F4"/>
    <w:rsid w:val="00DA0ED8"/>
    <w:rsid w:val="00DA24B9"/>
    <w:rsid w:val="00DA3B9A"/>
    <w:rsid w:val="00DB2CCB"/>
    <w:rsid w:val="00DB4B38"/>
    <w:rsid w:val="00DB61CB"/>
    <w:rsid w:val="00DB755D"/>
    <w:rsid w:val="00DD107A"/>
    <w:rsid w:val="00DD345D"/>
    <w:rsid w:val="00DE4B59"/>
    <w:rsid w:val="00DE74DF"/>
    <w:rsid w:val="00DF2F7A"/>
    <w:rsid w:val="00DF2FE2"/>
    <w:rsid w:val="00DF4390"/>
    <w:rsid w:val="00E01015"/>
    <w:rsid w:val="00E06A6F"/>
    <w:rsid w:val="00E1384B"/>
    <w:rsid w:val="00E208BC"/>
    <w:rsid w:val="00E21393"/>
    <w:rsid w:val="00E2654A"/>
    <w:rsid w:val="00E2789E"/>
    <w:rsid w:val="00E31D8C"/>
    <w:rsid w:val="00E32909"/>
    <w:rsid w:val="00E47F8C"/>
    <w:rsid w:val="00E50BE7"/>
    <w:rsid w:val="00E54CAC"/>
    <w:rsid w:val="00E7393C"/>
    <w:rsid w:val="00E803DA"/>
    <w:rsid w:val="00E80C10"/>
    <w:rsid w:val="00E829AB"/>
    <w:rsid w:val="00E82B68"/>
    <w:rsid w:val="00E9319E"/>
    <w:rsid w:val="00E94344"/>
    <w:rsid w:val="00E95A68"/>
    <w:rsid w:val="00E96CC3"/>
    <w:rsid w:val="00EB1685"/>
    <w:rsid w:val="00ED031F"/>
    <w:rsid w:val="00ED0A7E"/>
    <w:rsid w:val="00ED784E"/>
    <w:rsid w:val="00EE13DC"/>
    <w:rsid w:val="00EE1B9F"/>
    <w:rsid w:val="00F01DAC"/>
    <w:rsid w:val="00F01FB6"/>
    <w:rsid w:val="00F042AE"/>
    <w:rsid w:val="00F05B36"/>
    <w:rsid w:val="00F14EFA"/>
    <w:rsid w:val="00F202E7"/>
    <w:rsid w:val="00F225B9"/>
    <w:rsid w:val="00F235C4"/>
    <w:rsid w:val="00F236AF"/>
    <w:rsid w:val="00F25548"/>
    <w:rsid w:val="00F259E0"/>
    <w:rsid w:val="00F278F8"/>
    <w:rsid w:val="00F341C5"/>
    <w:rsid w:val="00F352B5"/>
    <w:rsid w:val="00F41C1D"/>
    <w:rsid w:val="00F445E7"/>
    <w:rsid w:val="00F50F93"/>
    <w:rsid w:val="00F5263B"/>
    <w:rsid w:val="00F52840"/>
    <w:rsid w:val="00F54D0B"/>
    <w:rsid w:val="00F63527"/>
    <w:rsid w:val="00F6487E"/>
    <w:rsid w:val="00F76568"/>
    <w:rsid w:val="00F77519"/>
    <w:rsid w:val="00F8050F"/>
    <w:rsid w:val="00FA66A4"/>
    <w:rsid w:val="00FB4087"/>
    <w:rsid w:val="00FD05B8"/>
    <w:rsid w:val="00FD2C06"/>
    <w:rsid w:val="00FE1A3B"/>
    <w:rsid w:val="00FF1F2D"/>
    <w:rsid w:val="00FF298E"/>
    <w:rsid w:val="00FF6922"/>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2049"/>
    <o:shapelayout v:ext="edit">
      <o:idmap v:ext="edit" data="1"/>
    </o:shapelayout>
  </w:shapeDefaults>
  <w:decimalSymbol w:val="."/>
  <w:listSeparator w:val=","/>
  <w14:docId w14:val="7C5DA90A"/>
  <w15:docId w15:val="{6E99FBFA-B1DD-4C2E-97EE-2CE06D9A24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es-ES" w:eastAsia="en-US"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15D5"/>
  </w:style>
  <w:style w:type="paragraph" w:styleId="Ttulo1">
    <w:name w:val="heading 1"/>
    <w:basedOn w:val="Normal"/>
    <w:next w:val="Normal"/>
    <w:link w:val="Ttulo1Car"/>
    <w:qFormat/>
    <w:rsid w:val="002D15D5"/>
    <w:pPr>
      <w:keepNext/>
      <w:keepLines/>
      <w:spacing w:before="360" w:after="40" w:line="240" w:lineRule="auto"/>
      <w:outlineLvl w:val="0"/>
    </w:pPr>
    <w:rPr>
      <w:rFonts w:asciiTheme="majorHAnsi" w:eastAsiaTheme="majorEastAsia" w:hAnsiTheme="majorHAnsi" w:cstheme="majorBidi"/>
      <w:color w:val="E36C0A" w:themeColor="accent6" w:themeShade="BF"/>
      <w:sz w:val="40"/>
      <w:szCs w:val="40"/>
    </w:rPr>
  </w:style>
  <w:style w:type="paragraph" w:styleId="Ttulo2">
    <w:name w:val="heading 2"/>
    <w:basedOn w:val="Normal"/>
    <w:next w:val="Normal"/>
    <w:link w:val="Ttulo2Car"/>
    <w:unhideWhenUsed/>
    <w:qFormat/>
    <w:rsid w:val="002D15D5"/>
    <w:pPr>
      <w:keepNext/>
      <w:keepLines/>
      <w:spacing w:before="80" w:after="0" w:line="240" w:lineRule="auto"/>
      <w:outlineLvl w:val="1"/>
    </w:pPr>
    <w:rPr>
      <w:rFonts w:asciiTheme="majorHAnsi" w:eastAsiaTheme="majorEastAsia" w:hAnsiTheme="majorHAnsi" w:cstheme="majorBidi"/>
      <w:color w:val="E36C0A" w:themeColor="accent6" w:themeShade="BF"/>
      <w:sz w:val="28"/>
      <w:szCs w:val="28"/>
    </w:rPr>
  </w:style>
  <w:style w:type="paragraph" w:styleId="Ttulo3">
    <w:name w:val="heading 3"/>
    <w:basedOn w:val="Normal"/>
    <w:next w:val="Normal"/>
    <w:link w:val="Ttulo3Car"/>
    <w:unhideWhenUsed/>
    <w:qFormat/>
    <w:rsid w:val="002D15D5"/>
    <w:pPr>
      <w:keepNext/>
      <w:keepLines/>
      <w:spacing w:before="80" w:after="0" w:line="240" w:lineRule="auto"/>
      <w:outlineLvl w:val="2"/>
    </w:pPr>
    <w:rPr>
      <w:rFonts w:asciiTheme="majorHAnsi" w:eastAsiaTheme="majorEastAsia" w:hAnsiTheme="majorHAnsi" w:cstheme="majorBidi"/>
      <w:color w:val="E36C0A" w:themeColor="accent6" w:themeShade="BF"/>
      <w:sz w:val="24"/>
      <w:szCs w:val="24"/>
    </w:rPr>
  </w:style>
  <w:style w:type="paragraph" w:styleId="Ttulo4">
    <w:name w:val="heading 4"/>
    <w:basedOn w:val="Normal"/>
    <w:next w:val="Normal"/>
    <w:link w:val="Ttulo4Car"/>
    <w:unhideWhenUsed/>
    <w:qFormat/>
    <w:rsid w:val="002D15D5"/>
    <w:pPr>
      <w:keepNext/>
      <w:keepLines/>
      <w:spacing w:before="80" w:after="0"/>
      <w:outlineLvl w:val="3"/>
    </w:pPr>
    <w:rPr>
      <w:rFonts w:asciiTheme="majorHAnsi" w:eastAsiaTheme="majorEastAsia" w:hAnsiTheme="majorHAnsi" w:cstheme="majorBidi"/>
      <w:color w:val="F79646" w:themeColor="accent6"/>
      <w:sz w:val="22"/>
      <w:szCs w:val="22"/>
    </w:rPr>
  </w:style>
  <w:style w:type="paragraph" w:styleId="Ttulo5">
    <w:name w:val="heading 5"/>
    <w:basedOn w:val="Normal"/>
    <w:next w:val="Normal"/>
    <w:link w:val="Ttulo5Car"/>
    <w:uiPriority w:val="9"/>
    <w:semiHidden/>
    <w:unhideWhenUsed/>
    <w:qFormat/>
    <w:rsid w:val="002D15D5"/>
    <w:pPr>
      <w:keepNext/>
      <w:keepLines/>
      <w:spacing w:before="40" w:after="0"/>
      <w:outlineLvl w:val="4"/>
    </w:pPr>
    <w:rPr>
      <w:rFonts w:asciiTheme="majorHAnsi" w:eastAsiaTheme="majorEastAsia" w:hAnsiTheme="majorHAnsi" w:cstheme="majorBidi"/>
      <w:i/>
      <w:iCs/>
      <w:color w:val="F79646" w:themeColor="accent6"/>
      <w:sz w:val="22"/>
      <w:szCs w:val="22"/>
    </w:rPr>
  </w:style>
  <w:style w:type="paragraph" w:styleId="Ttulo6">
    <w:name w:val="heading 6"/>
    <w:basedOn w:val="Normal"/>
    <w:next w:val="Normal"/>
    <w:link w:val="Ttulo6Car"/>
    <w:uiPriority w:val="9"/>
    <w:semiHidden/>
    <w:unhideWhenUsed/>
    <w:qFormat/>
    <w:rsid w:val="002D15D5"/>
    <w:pPr>
      <w:keepNext/>
      <w:keepLines/>
      <w:spacing w:before="40" w:after="0"/>
      <w:outlineLvl w:val="5"/>
    </w:pPr>
    <w:rPr>
      <w:rFonts w:asciiTheme="majorHAnsi" w:eastAsiaTheme="majorEastAsia" w:hAnsiTheme="majorHAnsi" w:cstheme="majorBidi"/>
      <w:color w:val="F79646" w:themeColor="accent6"/>
    </w:rPr>
  </w:style>
  <w:style w:type="paragraph" w:styleId="Ttulo7">
    <w:name w:val="heading 7"/>
    <w:basedOn w:val="Normal"/>
    <w:next w:val="Normal"/>
    <w:link w:val="Ttulo7Car"/>
    <w:uiPriority w:val="9"/>
    <w:semiHidden/>
    <w:unhideWhenUsed/>
    <w:qFormat/>
    <w:rsid w:val="002D15D5"/>
    <w:pPr>
      <w:keepNext/>
      <w:keepLines/>
      <w:spacing w:before="40" w:after="0"/>
      <w:outlineLvl w:val="6"/>
    </w:pPr>
    <w:rPr>
      <w:rFonts w:asciiTheme="majorHAnsi" w:eastAsiaTheme="majorEastAsia" w:hAnsiTheme="majorHAnsi" w:cstheme="majorBidi"/>
      <w:b/>
      <w:bCs/>
      <w:color w:val="F79646" w:themeColor="accent6"/>
    </w:rPr>
  </w:style>
  <w:style w:type="paragraph" w:styleId="Ttulo8">
    <w:name w:val="heading 8"/>
    <w:basedOn w:val="Normal"/>
    <w:next w:val="Normal"/>
    <w:link w:val="Ttulo8Car"/>
    <w:uiPriority w:val="9"/>
    <w:semiHidden/>
    <w:unhideWhenUsed/>
    <w:qFormat/>
    <w:rsid w:val="002D15D5"/>
    <w:pPr>
      <w:keepNext/>
      <w:keepLines/>
      <w:spacing w:before="40" w:after="0"/>
      <w:outlineLvl w:val="7"/>
    </w:pPr>
    <w:rPr>
      <w:rFonts w:asciiTheme="majorHAnsi" w:eastAsiaTheme="majorEastAsia" w:hAnsiTheme="majorHAnsi" w:cstheme="majorBidi"/>
      <w:b/>
      <w:bCs/>
      <w:i/>
      <w:iCs/>
      <w:color w:val="F79646" w:themeColor="accent6"/>
      <w:sz w:val="20"/>
      <w:szCs w:val="20"/>
    </w:rPr>
  </w:style>
  <w:style w:type="paragraph" w:styleId="Ttulo9">
    <w:name w:val="heading 9"/>
    <w:basedOn w:val="Normal"/>
    <w:next w:val="Normal"/>
    <w:link w:val="Ttulo9Car"/>
    <w:uiPriority w:val="9"/>
    <w:semiHidden/>
    <w:unhideWhenUsed/>
    <w:qFormat/>
    <w:rsid w:val="002D15D5"/>
    <w:pPr>
      <w:keepNext/>
      <w:keepLines/>
      <w:spacing w:before="40" w:after="0"/>
      <w:outlineLvl w:val="8"/>
    </w:pPr>
    <w:rPr>
      <w:rFonts w:asciiTheme="majorHAnsi" w:eastAsiaTheme="majorEastAsia" w:hAnsiTheme="majorHAnsi" w:cstheme="majorBidi"/>
      <w:i/>
      <w:iCs/>
      <w:color w:val="F79646" w:themeColor="accent6"/>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2D15D5"/>
    <w:rPr>
      <w:rFonts w:asciiTheme="majorHAnsi" w:eastAsiaTheme="majorEastAsia" w:hAnsiTheme="majorHAnsi" w:cstheme="majorBidi"/>
      <w:color w:val="E36C0A" w:themeColor="accent6" w:themeShade="BF"/>
      <w:sz w:val="40"/>
      <w:szCs w:val="40"/>
    </w:rPr>
  </w:style>
  <w:style w:type="character" w:styleId="Hipervnculo">
    <w:name w:val="Hyperlink"/>
    <w:basedOn w:val="Fuentedeprrafopredeter"/>
    <w:uiPriority w:val="99"/>
    <w:rsid w:val="00E1384B"/>
    <w:rPr>
      <w:rFonts w:cs="Times New Roman"/>
      <w:color w:val="0000FF"/>
      <w:u w:val="single"/>
    </w:rPr>
  </w:style>
  <w:style w:type="paragraph" w:styleId="Textoindependiente">
    <w:name w:val="Body Text"/>
    <w:basedOn w:val="Normal"/>
    <w:link w:val="TextoindependienteCar"/>
    <w:rsid w:val="00E1384B"/>
    <w:rPr>
      <w:b/>
      <w:bCs/>
      <w:sz w:val="28"/>
    </w:rPr>
  </w:style>
  <w:style w:type="character" w:customStyle="1" w:styleId="TextoindependienteCar">
    <w:name w:val="Texto independiente Car"/>
    <w:basedOn w:val="Fuentedeprrafopredeter"/>
    <w:link w:val="Textoindependiente"/>
    <w:rsid w:val="00E1384B"/>
    <w:rPr>
      <w:rFonts w:ascii="Times New Roman" w:eastAsia="Batang" w:hAnsi="Times New Roman" w:cs="Times New Roman"/>
      <w:b/>
      <w:bCs/>
      <w:sz w:val="28"/>
      <w:szCs w:val="24"/>
      <w:lang w:eastAsia="ar-SA"/>
    </w:rPr>
  </w:style>
  <w:style w:type="paragraph" w:customStyle="1" w:styleId="Author">
    <w:name w:val="Author"/>
    <w:basedOn w:val="Normal"/>
    <w:rsid w:val="00E1384B"/>
    <w:pPr>
      <w:jc w:val="center"/>
    </w:pPr>
    <w:rPr>
      <w:rFonts w:eastAsia="Times New Roman"/>
      <w:szCs w:val="20"/>
      <w:lang w:val="en-AU"/>
    </w:rPr>
  </w:style>
  <w:style w:type="paragraph" w:customStyle="1" w:styleId="affiliation">
    <w:name w:val="affiliation"/>
    <w:basedOn w:val="Normal"/>
    <w:rsid w:val="00E1384B"/>
    <w:pPr>
      <w:jc w:val="center"/>
    </w:pPr>
    <w:rPr>
      <w:rFonts w:eastAsia="Times New Roman"/>
      <w:sz w:val="22"/>
      <w:szCs w:val="20"/>
      <w:lang w:val="en-AU"/>
    </w:rPr>
  </w:style>
  <w:style w:type="paragraph" w:styleId="Ttulo">
    <w:name w:val="Title"/>
    <w:basedOn w:val="Normal"/>
    <w:next w:val="Normal"/>
    <w:link w:val="TtuloCar"/>
    <w:qFormat/>
    <w:rsid w:val="002D15D5"/>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tuloCar">
    <w:name w:val="Título Car"/>
    <w:basedOn w:val="Fuentedeprrafopredeter"/>
    <w:link w:val="Ttulo"/>
    <w:rsid w:val="002D15D5"/>
    <w:rPr>
      <w:rFonts w:asciiTheme="majorHAnsi" w:eastAsiaTheme="majorEastAsia" w:hAnsiTheme="majorHAnsi" w:cstheme="majorBidi"/>
      <w:color w:val="262626" w:themeColor="text1" w:themeTint="D9"/>
      <w:spacing w:val="-15"/>
      <w:sz w:val="96"/>
      <w:szCs w:val="96"/>
    </w:rPr>
  </w:style>
  <w:style w:type="paragraph" w:styleId="Descripcin">
    <w:name w:val="caption"/>
    <w:basedOn w:val="Normal"/>
    <w:next w:val="Normal"/>
    <w:uiPriority w:val="35"/>
    <w:unhideWhenUsed/>
    <w:qFormat/>
    <w:rsid w:val="002D15D5"/>
    <w:pPr>
      <w:spacing w:line="240" w:lineRule="auto"/>
    </w:pPr>
    <w:rPr>
      <w:b/>
      <w:bCs/>
      <w:smallCaps/>
      <w:color w:val="595959" w:themeColor="text1" w:themeTint="A6"/>
    </w:rPr>
  </w:style>
  <w:style w:type="paragraph" w:styleId="Subttulo">
    <w:name w:val="Subtitle"/>
    <w:basedOn w:val="Normal"/>
    <w:next w:val="Normal"/>
    <w:link w:val="SubttuloCar"/>
    <w:qFormat/>
    <w:rsid w:val="002D15D5"/>
    <w:pPr>
      <w:numPr>
        <w:ilvl w:val="1"/>
      </w:numPr>
      <w:spacing w:line="240" w:lineRule="auto"/>
    </w:pPr>
    <w:rPr>
      <w:rFonts w:asciiTheme="majorHAnsi" w:eastAsiaTheme="majorEastAsia" w:hAnsiTheme="majorHAnsi" w:cstheme="majorBidi"/>
      <w:sz w:val="30"/>
      <w:szCs w:val="30"/>
    </w:rPr>
  </w:style>
  <w:style w:type="character" w:customStyle="1" w:styleId="SubttuloCar">
    <w:name w:val="Subtítulo Car"/>
    <w:basedOn w:val="Fuentedeprrafopredeter"/>
    <w:link w:val="Subttulo"/>
    <w:rsid w:val="002D15D5"/>
    <w:rPr>
      <w:rFonts w:asciiTheme="majorHAnsi" w:eastAsiaTheme="majorEastAsia" w:hAnsiTheme="majorHAnsi" w:cstheme="majorBidi"/>
      <w:sz w:val="30"/>
      <w:szCs w:val="30"/>
    </w:rPr>
  </w:style>
  <w:style w:type="paragraph" w:styleId="Textodeglobo">
    <w:name w:val="Balloon Text"/>
    <w:basedOn w:val="Normal"/>
    <w:link w:val="TextodegloboCar"/>
    <w:uiPriority w:val="99"/>
    <w:unhideWhenUsed/>
    <w:rsid w:val="00E1384B"/>
    <w:rPr>
      <w:rFonts w:ascii="Tahoma" w:hAnsi="Tahoma" w:cs="Tahoma"/>
      <w:sz w:val="16"/>
      <w:szCs w:val="16"/>
    </w:rPr>
  </w:style>
  <w:style w:type="character" w:customStyle="1" w:styleId="TextodegloboCar">
    <w:name w:val="Texto de globo Car"/>
    <w:basedOn w:val="Fuentedeprrafopredeter"/>
    <w:link w:val="Textodeglobo"/>
    <w:uiPriority w:val="99"/>
    <w:rsid w:val="00E1384B"/>
    <w:rPr>
      <w:rFonts w:ascii="Tahoma" w:eastAsia="Batang" w:hAnsi="Tahoma" w:cs="Tahoma"/>
      <w:sz w:val="16"/>
      <w:szCs w:val="16"/>
      <w:lang w:eastAsia="ar-SA"/>
    </w:rPr>
  </w:style>
  <w:style w:type="character" w:customStyle="1" w:styleId="Ttulo2Car">
    <w:name w:val="Título 2 Car"/>
    <w:basedOn w:val="Fuentedeprrafopredeter"/>
    <w:link w:val="Ttulo2"/>
    <w:rsid w:val="002D15D5"/>
    <w:rPr>
      <w:rFonts w:asciiTheme="majorHAnsi" w:eastAsiaTheme="majorEastAsia" w:hAnsiTheme="majorHAnsi" w:cstheme="majorBidi"/>
      <w:color w:val="E36C0A" w:themeColor="accent6" w:themeShade="BF"/>
      <w:sz w:val="28"/>
      <w:szCs w:val="28"/>
    </w:rPr>
  </w:style>
  <w:style w:type="paragraph" w:styleId="Prrafodelista">
    <w:name w:val="List Paragraph"/>
    <w:basedOn w:val="Normal"/>
    <w:link w:val="PrrafodelistaCar"/>
    <w:uiPriority w:val="34"/>
    <w:qFormat/>
    <w:rsid w:val="00442301"/>
    <w:pPr>
      <w:ind w:left="720"/>
      <w:contextualSpacing/>
    </w:pPr>
  </w:style>
  <w:style w:type="character" w:customStyle="1" w:styleId="hps">
    <w:name w:val="hps"/>
    <w:basedOn w:val="Fuentedeprrafopredeter"/>
    <w:rsid w:val="00D72971"/>
  </w:style>
  <w:style w:type="table" w:styleId="Tablaconlista3">
    <w:name w:val="Table List 3"/>
    <w:basedOn w:val="Tablanormal"/>
    <w:rsid w:val="00D72971"/>
    <w:pPr>
      <w:spacing w:after="0" w:line="360" w:lineRule="auto"/>
      <w:jc w:val="both"/>
    </w:pPr>
    <w:rPr>
      <w:lang w:val="es-MX"/>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Sombreadoclaro1">
    <w:name w:val="Sombreado claro1"/>
    <w:basedOn w:val="Tablanormal"/>
    <w:uiPriority w:val="99"/>
    <w:rsid w:val="00D72971"/>
    <w:pPr>
      <w:spacing w:after="0" w:line="240" w:lineRule="auto"/>
    </w:pPr>
    <w:rPr>
      <w:color w:val="000000" w:themeColor="text1" w:themeShade="BF"/>
      <w:lang w:val="es-MX"/>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extonotapie">
    <w:name w:val="footnote text"/>
    <w:basedOn w:val="Normal"/>
    <w:link w:val="TextonotapieCar"/>
    <w:rsid w:val="001F5D7F"/>
    <w:rPr>
      <w:sz w:val="20"/>
      <w:szCs w:val="20"/>
      <w:lang w:eastAsia="ko-KR"/>
    </w:rPr>
  </w:style>
  <w:style w:type="character" w:customStyle="1" w:styleId="TextonotapieCar">
    <w:name w:val="Texto nota pie Car"/>
    <w:basedOn w:val="Fuentedeprrafopredeter"/>
    <w:link w:val="Textonotapie"/>
    <w:rsid w:val="001F5D7F"/>
    <w:rPr>
      <w:rFonts w:ascii="Times New Roman" w:eastAsia="Batang" w:hAnsi="Times New Roman" w:cs="Times New Roman"/>
      <w:sz w:val="20"/>
      <w:szCs w:val="20"/>
      <w:lang w:eastAsia="ko-KR"/>
    </w:rPr>
  </w:style>
  <w:style w:type="character" w:styleId="Refdenotaalpie">
    <w:name w:val="footnote reference"/>
    <w:uiPriority w:val="99"/>
    <w:semiHidden/>
    <w:rsid w:val="001F5D7F"/>
    <w:rPr>
      <w:vertAlign w:val="superscript"/>
    </w:rPr>
  </w:style>
  <w:style w:type="paragraph" w:styleId="Encabezado">
    <w:name w:val="header"/>
    <w:basedOn w:val="Normal"/>
    <w:link w:val="EncabezadoCar"/>
    <w:uiPriority w:val="99"/>
    <w:rsid w:val="001F5D7F"/>
    <w:pPr>
      <w:tabs>
        <w:tab w:val="center" w:pos="4252"/>
        <w:tab w:val="right" w:pos="8504"/>
      </w:tabs>
    </w:pPr>
    <w:rPr>
      <w:lang w:eastAsia="ko-KR"/>
    </w:rPr>
  </w:style>
  <w:style w:type="character" w:customStyle="1" w:styleId="EncabezadoCar">
    <w:name w:val="Encabezado Car"/>
    <w:basedOn w:val="Fuentedeprrafopredeter"/>
    <w:link w:val="Encabezado"/>
    <w:uiPriority w:val="99"/>
    <w:rsid w:val="001F5D7F"/>
    <w:rPr>
      <w:rFonts w:ascii="Times New Roman" w:eastAsia="Batang" w:hAnsi="Times New Roman" w:cs="Times New Roman"/>
      <w:sz w:val="24"/>
      <w:szCs w:val="24"/>
      <w:lang w:eastAsia="ko-KR"/>
    </w:rPr>
  </w:style>
  <w:style w:type="paragraph" w:styleId="NormalWeb">
    <w:name w:val="Normal (Web)"/>
    <w:basedOn w:val="Normal"/>
    <w:uiPriority w:val="99"/>
    <w:rsid w:val="001F5D7F"/>
    <w:pPr>
      <w:spacing w:before="100" w:beforeAutospacing="1" w:after="100" w:afterAutospacing="1"/>
    </w:pPr>
    <w:rPr>
      <w:rFonts w:ascii="Arial Unicode MS" w:eastAsia="Arial Unicode MS" w:hAnsi="Arial Unicode MS" w:cs="Arial Unicode MS"/>
      <w:lang w:eastAsia="es-ES"/>
    </w:rPr>
  </w:style>
  <w:style w:type="character" w:customStyle="1" w:styleId="A0">
    <w:name w:val="A0"/>
    <w:rsid w:val="001F5D7F"/>
    <w:rPr>
      <w:color w:val="000000"/>
      <w:sz w:val="16"/>
    </w:rPr>
  </w:style>
  <w:style w:type="character" w:customStyle="1" w:styleId="A6">
    <w:name w:val="A6"/>
    <w:rsid w:val="001F5D7F"/>
    <w:rPr>
      <w:rFonts w:ascii="Adobe Fangsong Std R" w:hAnsi="Adobe Fangsong Std R"/>
      <w:color w:val="000000"/>
      <w:sz w:val="32"/>
    </w:rPr>
  </w:style>
  <w:style w:type="character" w:customStyle="1" w:styleId="st1">
    <w:name w:val="st1"/>
    <w:basedOn w:val="Fuentedeprrafopredeter"/>
    <w:rsid w:val="001F5D7F"/>
  </w:style>
  <w:style w:type="character" w:styleId="Ttulodellibro">
    <w:name w:val="Book Title"/>
    <w:basedOn w:val="Fuentedeprrafopredeter"/>
    <w:uiPriority w:val="33"/>
    <w:qFormat/>
    <w:rsid w:val="002D15D5"/>
    <w:rPr>
      <w:b/>
      <w:bCs/>
      <w:caps w:val="0"/>
      <w:smallCaps/>
      <w:spacing w:val="7"/>
      <w:sz w:val="21"/>
      <w:szCs w:val="21"/>
    </w:rPr>
  </w:style>
  <w:style w:type="table" w:styleId="Tablaconcuadrcula">
    <w:name w:val="Table Grid"/>
    <w:basedOn w:val="Tablanormal"/>
    <w:rsid w:val="00DA0ED8"/>
    <w:pPr>
      <w:spacing w:after="0" w:line="240" w:lineRule="auto"/>
    </w:pPr>
    <w:rPr>
      <w:rFonts w:ascii="Times New Roman" w:eastAsia="Times New Roman" w:hAnsi="Times New Roman" w:cs="Times New Roman"/>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
    <w:name w:val="refer"/>
    <w:basedOn w:val="Normal"/>
    <w:link w:val="referCar"/>
    <w:rsid w:val="00DA0ED8"/>
    <w:pPr>
      <w:ind w:left="284" w:hanging="284"/>
      <w:jc w:val="both"/>
    </w:pPr>
    <w:rPr>
      <w:rFonts w:eastAsia="Times New Roman"/>
      <w:sz w:val="18"/>
      <w:szCs w:val="20"/>
      <w:lang w:val="en-GB"/>
    </w:rPr>
  </w:style>
  <w:style w:type="character" w:customStyle="1" w:styleId="referCar">
    <w:name w:val="refer Car"/>
    <w:link w:val="refer"/>
    <w:locked/>
    <w:rsid w:val="00DA0ED8"/>
    <w:rPr>
      <w:rFonts w:ascii="Times New Roman" w:eastAsia="Times New Roman" w:hAnsi="Times New Roman" w:cs="Times New Roman"/>
      <w:sz w:val="18"/>
      <w:szCs w:val="20"/>
      <w:lang w:val="en-GB"/>
    </w:rPr>
  </w:style>
  <w:style w:type="character" w:customStyle="1" w:styleId="Ttulo3Car">
    <w:name w:val="Título 3 Car"/>
    <w:basedOn w:val="Fuentedeprrafopredeter"/>
    <w:link w:val="Ttulo3"/>
    <w:rsid w:val="002D15D5"/>
    <w:rPr>
      <w:rFonts w:asciiTheme="majorHAnsi" w:eastAsiaTheme="majorEastAsia" w:hAnsiTheme="majorHAnsi" w:cstheme="majorBidi"/>
      <w:color w:val="E36C0A" w:themeColor="accent6" w:themeShade="BF"/>
      <w:sz w:val="24"/>
      <w:szCs w:val="24"/>
    </w:rPr>
  </w:style>
  <w:style w:type="character" w:customStyle="1" w:styleId="Ttulo4Car">
    <w:name w:val="Título 4 Car"/>
    <w:basedOn w:val="Fuentedeprrafopredeter"/>
    <w:link w:val="Ttulo4"/>
    <w:rsid w:val="002D15D5"/>
    <w:rPr>
      <w:rFonts w:asciiTheme="majorHAnsi" w:eastAsiaTheme="majorEastAsia" w:hAnsiTheme="majorHAnsi" w:cstheme="majorBidi"/>
      <w:color w:val="F79646" w:themeColor="accent6"/>
      <w:sz w:val="22"/>
      <w:szCs w:val="22"/>
    </w:rPr>
  </w:style>
  <w:style w:type="character" w:customStyle="1" w:styleId="WW8Num1z3">
    <w:name w:val="WW8Num1z3"/>
    <w:rsid w:val="007072B7"/>
    <w:rPr>
      <w:rFonts w:ascii="Symbol" w:hAnsi="Symbol"/>
    </w:rPr>
  </w:style>
  <w:style w:type="paragraph" w:customStyle="1" w:styleId="Estilo">
    <w:name w:val="Estilo"/>
    <w:basedOn w:val="Normal"/>
    <w:next w:val="Ttulo"/>
    <w:rsid w:val="002E671A"/>
    <w:pPr>
      <w:spacing w:before="240" w:after="60"/>
      <w:jc w:val="center"/>
      <w:outlineLvl w:val="0"/>
    </w:pPr>
    <w:rPr>
      <w:rFonts w:ascii="Arial" w:eastAsia="Times New Roman" w:hAnsi="Arial"/>
      <w:b/>
      <w:kern w:val="28"/>
      <w:sz w:val="28"/>
      <w:szCs w:val="20"/>
      <w:lang w:val="en-AU"/>
    </w:rPr>
  </w:style>
  <w:style w:type="paragraph" w:styleId="Bibliografa">
    <w:name w:val="Bibliography"/>
    <w:basedOn w:val="Normal"/>
    <w:next w:val="Normal"/>
    <w:uiPriority w:val="37"/>
    <w:unhideWhenUsed/>
    <w:rsid w:val="00D96540"/>
    <w:rPr>
      <w:rFonts w:eastAsia="Times New Roman"/>
      <w:color w:val="000000"/>
      <w:szCs w:val="20"/>
      <w:lang w:val="en-US"/>
    </w:rPr>
  </w:style>
  <w:style w:type="paragraph" w:styleId="HTMLconformatoprevio">
    <w:name w:val="HTML Preformatted"/>
    <w:basedOn w:val="Normal"/>
    <w:link w:val="HTMLconformatoprevioCar"/>
    <w:uiPriority w:val="99"/>
    <w:rsid w:val="005016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lang w:eastAsia="es-ES"/>
    </w:rPr>
  </w:style>
  <w:style w:type="character" w:customStyle="1" w:styleId="HTMLconformatoprevioCar">
    <w:name w:val="HTML con formato previo Car"/>
    <w:basedOn w:val="Fuentedeprrafopredeter"/>
    <w:link w:val="HTMLconformatoprevio"/>
    <w:uiPriority w:val="99"/>
    <w:rsid w:val="0050164E"/>
    <w:rPr>
      <w:rFonts w:ascii="Arial Unicode MS" w:eastAsia="Arial Unicode MS" w:hAnsi="Arial Unicode MS" w:cs="Arial Unicode MS"/>
      <w:sz w:val="20"/>
      <w:szCs w:val="20"/>
      <w:lang w:eastAsia="es-ES"/>
    </w:rPr>
  </w:style>
  <w:style w:type="paragraph" w:customStyle="1" w:styleId="Standard">
    <w:name w:val="Standard"/>
    <w:rsid w:val="000C3346"/>
    <w:pPr>
      <w:widowControl w:val="0"/>
      <w:suppressAutoHyphens/>
      <w:autoSpaceDN w:val="0"/>
      <w:spacing w:after="0" w:line="240" w:lineRule="auto"/>
    </w:pPr>
    <w:rPr>
      <w:rFonts w:ascii="Times New Roman" w:eastAsia="Batang, 바탕" w:hAnsi="Times New Roman" w:cs="Times New Roman"/>
      <w:kern w:val="3"/>
      <w:sz w:val="24"/>
      <w:szCs w:val="24"/>
      <w:lang w:eastAsia="ar-SA"/>
    </w:rPr>
  </w:style>
  <w:style w:type="paragraph" w:customStyle="1" w:styleId="Heading">
    <w:name w:val="Heading"/>
    <w:basedOn w:val="Standard"/>
    <w:next w:val="Textbody"/>
    <w:rsid w:val="000C3346"/>
    <w:pPr>
      <w:keepNext/>
      <w:spacing w:before="240" w:after="120"/>
    </w:pPr>
    <w:rPr>
      <w:rFonts w:ascii="Liberation Sans" w:eastAsia="DejaVu Sans" w:hAnsi="Liberation Sans" w:cs="DejaVu Sans"/>
      <w:sz w:val="28"/>
      <w:szCs w:val="28"/>
    </w:rPr>
  </w:style>
  <w:style w:type="paragraph" w:customStyle="1" w:styleId="Textbody">
    <w:name w:val="Text body"/>
    <w:basedOn w:val="Standard"/>
    <w:rsid w:val="000C3346"/>
    <w:rPr>
      <w:b/>
      <w:bCs/>
      <w:sz w:val="28"/>
      <w:szCs w:val="28"/>
    </w:rPr>
  </w:style>
  <w:style w:type="paragraph" w:styleId="Lista">
    <w:name w:val="List"/>
    <w:basedOn w:val="Textbody"/>
    <w:rsid w:val="000C3346"/>
  </w:style>
  <w:style w:type="paragraph" w:customStyle="1" w:styleId="Index">
    <w:name w:val="Index"/>
    <w:basedOn w:val="Standard"/>
    <w:rsid w:val="000C3346"/>
  </w:style>
  <w:style w:type="paragraph" w:customStyle="1" w:styleId="Encabezado1">
    <w:name w:val="Encabezado1"/>
    <w:basedOn w:val="Standard"/>
    <w:next w:val="Textbody"/>
    <w:rsid w:val="000C3346"/>
    <w:pPr>
      <w:keepNext/>
      <w:spacing w:before="240" w:after="120"/>
    </w:pPr>
    <w:rPr>
      <w:rFonts w:ascii="Liberation Sans" w:eastAsia="DejaVu Sans" w:hAnsi="Liberation Sans" w:cs="Liberation Sans"/>
      <w:sz w:val="28"/>
      <w:szCs w:val="28"/>
    </w:rPr>
  </w:style>
  <w:style w:type="paragraph" w:customStyle="1" w:styleId="Textosinformato1">
    <w:name w:val="Texto sin formato1"/>
    <w:basedOn w:val="Standard"/>
    <w:rsid w:val="000C3346"/>
    <w:rPr>
      <w:rFonts w:ascii="Courier New" w:eastAsia="Courier New" w:hAnsi="Courier New" w:cs="Courier New"/>
      <w:sz w:val="20"/>
      <w:szCs w:val="20"/>
      <w:lang w:val="en-US"/>
    </w:rPr>
  </w:style>
  <w:style w:type="paragraph" w:customStyle="1" w:styleId="Els-Affiliation">
    <w:name w:val="Els-Affiliation"/>
    <w:rsid w:val="000C3346"/>
    <w:pPr>
      <w:widowControl w:val="0"/>
      <w:suppressAutoHyphens/>
      <w:autoSpaceDN w:val="0"/>
      <w:spacing w:after="0" w:line="240" w:lineRule="exact"/>
    </w:pPr>
    <w:rPr>
      <w:rFonts w:ascii="Times New Roman" w:eastAsia="Arial" w:hAnsi="Times New Roman" w:cs="Times New Roman"/>
      <w:i/>
      <w:iCs/>
      <w:kern w:val="3"/>
      <w:sz w:val="20"/>
      <w:szCs w:val="20"/>
      <w:lang w:val="en-GB" w:eastAsia="ar-SA"/>
    </w:rPr>
  </w:style>
  <w:style w:type="paragraph" w:customStyle="1" w:styleId="Els-Author">
    <w:name w:val="Els-Author"/>
    <w:next w:val="Els-Affiliation"/>
    <w:rsid w:val="000C3346"/>
    <w:pPr>
      <w:keepNext/>
      <w:widowControl w:val="0"/>
      <w:suppressAutoHyphens/>
      <w:autoSpaceDN w:val="0"/>
      <w:spacing w:after="454" w:line="310" w:lineRule="exact"/>
    </w:pPr>
    <w:rPr>
      <w:rFonts w:ascii="Times New Roman" w:eastAsia="Arial" w:hAnsi="Times New Roman" w:cs="Times New Roman"/>
      <w:kern w:val="3"/>
      <w:lang w:val="en-GB" w:eastAsia="ar-SA"/>
    </w:rPr>
  </w:style>
  <w:style w:type="paragraph" w:styleId="Piedepgina">
    <w:name w:val="footer"/>
    <w:basedOn w:val="Standard"/>
    <w:link w:val="PiedepginaCar"/>
    <w:uiPriority w:val="99"/>
    <w:rsid w:val="000C3346"/>
    <w:pPr>
      <w:suppressLineNumbers/>
      <w:tabs>
        <w:tab w:val="center" w:pos="4986"/>
        <w:tab w:val="right" w:pos="9972"/>
      </w:tabs>
    </w:pPr>
  </w:style>
  <w:style w:type="character" w:customStyle="1" w:styleId="PiedepginaCar">
    <w:name w:val="Pie de página Car"/>
    <w:basedOn w:val="Fuentedeprrafopredeter"/>
    <w:link w:val="Piedepgina"/>
    <w:uiPriority w:val="99"/>
    <w:rsid w:val="000C3346"/>
    <w:rPr>
      <w:rFonts w:ascii="Times New Roman" w:eastAsia="Batang, 바탕" w:hAnsi="Times New Roman" w:cs="Times New Roman"/>
      <w:kern w:val="3"/>
      <w:sz w:val="24"/>
      <w:szCs w:val="24"/>
      <w:lang w:eastAsia="ar-SA"/>
    </w:rPr>
  </w:style>
  <w:style w:type="paragraph" w:customStyle="1" w:styleId="Textocomentario1">
    <w:name w:val="Texto comentario1"/>
    <w:basedOn w:val="Standard"/>
    <w:rsid w:val="000C3346"/>
    <w:rPr>
      <w:sz w:val="20"/>
      <w:szCs w:val="20"/>
    </w:rPr>
  </w:style>
  <w:style w:type="paragraph" w:styleId="Textocomentario">
    <w:name w:val="annotation text"/>
    <w:basedOn w:val="Normal"/>
    <w:link w:val="TextocomentarioCar"/>
    <w:unhideWhenUsed/>
    <w:rsid w:val="000C3346"/>
    <w:rPr>
      <w:sz w:val="20"/>
      <w:szCs w:val="20"/>
    </w:rPr>
  </w:style>
  <w:style w:type="character" w:customStyle="1" w:styleId="TextocomentarioCar">
    <w:name w:val="Texto comentario Car"/>
    <w:basedOn w:val="Fuentedeprrafopredeter"/>
    <w:link w:val="Textocomentario"/>
    <w:rsid w:val="000C3346"/>
    <w:rPr>
      <w:rFonts w:ascii="Times New Roman" w:eastAsia="Batang" w:hAnsi="Times New Roman" w:cs="Times New Roman"/>
      <w:sz w:val="20"/>
      <w:szCs w:val="20"/>
      <w:lang w:eastAsia="ar-SA"/>
    </w:rPr>
  </w:style>
  <w:style w:type="paragraph" w:styleId="Asuntodelcomentario">
    <w:name w:val="annotation subject"/>
    <w:basedOn w:val="Textocomentario1"/>
    <w:next w:val="Textocomentario1"/>
    <w:link w:val="AsuntodelcomentarioCar"/>
    <w:uiPriority w:val="99"/>
    <w:rsid w:val="000C3346"/>
    <w:rPr>
      <w:b/>
      <w:bCs/>
    </w:rPr>
  </w:style>
  <w:style w:type="character" w:customStyle="1" w:styleId="AsuntodelcomentarioCar">
    <w:name w:val="Asunto del comentario Car"/>
    <w:basedOn w:val="TextocomentarioCar"/>
    <w:link w:val="Asuntodelcomentario"/>
    <w:uiPriority w:val="99"/>
    <w:rsid w:val="000C3346"/>
    <w:rPr>
      <w:rFonts w:ascii="Times New Roman" w:eastAsia="Batang, 바탕" w:hAnsi="Times New Roman" w:cs="Times New Roman"/>
      <w:b/>
      <w:bCs/>
      <w:kern w:val="3"/>
      <w:sz w:val="20"/>
      <w:szCs w:val="20"/>
      <w:lang w:eastAsia="ar-SA"/>
    </w:rPr>
  </w:style>
  <w:style w:type="paragraph" w:customStyle="1" w:styleId="Header01">
    <w:name w:val="Header 01"/>
    <w:basedOn w:val="Standard"/>
    <w:rsid w:val="000C3346"/>
    <w:pPr>
      <w:jc w:val="both"/>
    </w:pPr>
    <w:rPr>
      <w:rFonts w:ascii="Arial" w:eastAsia="Arial" w:hAnsi="Arial" w:cs="Arial"/>
      <w:caps/>
      <w:color w:val="FFFFEF"/>
      <w:sz w:val="48"/>
      <w:szCs w:val="48"/>
      <w:lang w:val="en-US"/>
    </w:rPr>
  </w:style>
  <w:style w:type="paragraph" w:customStyle="1" w:styleId="TableContents">
    <w:name w:val="Table Contents"/>
    <w:basedOn w:val="Standard"/>
    <w:rsid w:val="000C3346"/>
  </w:style>
  <w:style w:type="paragraph" w:customStyle="1" w:styleId="TableHeading">
    <w:name w:val="Table Heading"/>
    <w:basedOn w:val="TableContents"/>
    <w:rsid w:val="000C3346"/>
    <w:pPr>
      <w:jc w:val="center"/>
    </w:pPr>
    <w:rPr>
      <w:b/>
      <w:bCs/>
    </w:rPr>
  </w:style>
  <w:style w:type="character" w:customStyle="1" w:styleId="RTFNum21">
    <w:name w:val="RTF_Num 2 1"/>
    <w:rsid w:val="000C3346"/>
    <w:rPr>
      <w:rFonts w:cs="Times New Roman"/>
    </w:rPr>
  </w:style>
  <w:style w:type="character" w:customStyle="1" w:styleId="RTFNum22">
    <w:name w:val="RTF_Num 2 2"/>
    <w:rsid w:val="000C3346"/>
    <w:rPr>
      <w:rFonts w:cs="Times New Roman"/>
    </w:rPr>
  </w:style>
  <w:style w:type="character" w:customStyle="1" w:styleId="RTFNum23">
    <w:name w:val="RTF_Num 2 3"/>
    <w:rsid w:val="000C3346"/>
    <w:rPr>
      <w:rFonts w:cs="Times New Roman"/>
    </w:rPr>
  </w:style>
  <w:style w:type="character" w:customStyle="1" w:styleId="RTFNum24">
    <w:name w:val="RTF_Num 2 4"/>
    <w:rsid w:val="000C3346"/>
    <w:rPr>
      <w:rFonts w:cs="Times New Roman"/>
    </w:rPr>
  </w:style>
  <w:style w:type="character" w:customStyle="1" w:styleId="RTFNum25">
    <w:name w:val="RTF_Num 2 5"/>
    <w:rsid w:val="000C3346"/>
    <w:rPr>
      <w:rFonts w:cs="Times New Roman"/>
    </w:rPr>
  </w:style>
  <w:style w:type="character" w:customStyle="1" w:styleId="RTFNum26">
    <w:name w:val="RTF_Num 2 6"/>
    <w:rsid w:val="000C3346"/>
    <w:rPr>
      <w:rFonts w:cs="Times New Roman"/>
    </w:rPr>
  </w:style>
  <w:style w:type="character" w:customStyle="1" w:styleId="RTFNum27">
    <w:name w:val="RTF_Num 2 7"/>
    <w:rsid w:val="000C3346"/>
    <w:rPr>
      <w:rFonts w:cs="Times New Roman"/>
    </w:rPr>
  </w:style>
  <w:style w:type="character" w:customStyle="1" w:styleId="RTFNum28">
    <w:name w:val="RTF_Num 2 8"/>
    <w:rsid w:val="000C3346"/>
    <w:rPr>
      <w:rFonts w:cs="Times New Roman"/>
    </w:rPr>
  </w:style>
  <w:style w:type="character" w:customStyle="1" w:styleId="RTFNum29">
    <w:name w:val="RTF_Num 2 9"/>
    <w:rsid w:val="000C3346"/>
    <w:rPr>
      <w:rFonts w:cs="Times New Roman"/>
    </w:rPr>
  </w:style>
  <w:style w:type="character" w:customStyle="1" w:styleId="RTFNum31">
    <w:name w:val="RTF_Num 3 1"/>
    <w:rsid w:val="000C3346"/>
    <w:rPr>
      <w:rFonts w:cs="Times New Roman"/>
    </w:rPr>
  </w:style>
  <w:style w:type="character" w:customStyle="1" w:styleId="WW8Num1z0">
    <w:name w:val="WW8Num1z0"/>
    <w:rsid w:val="000C3346"/>
    <w:rPr>
      <w:rFonts w:ascii="Wingdings" w:eastAsia="Wingdings" w:hAnsi="Wingdings" w:cs="Wingdings"/>
    </w:rPr>
  </w:style>
  <w:style w:type="character" w:customStyle="1" w:styleId="WW8Num1z1">
    <w:name w:val="WW8Num1z1"/>
    <w:rsid w:val="000C3346"/>
    <w:rPr>
      <w:rFonts w:ascii="Courier New" w:eastAsia="Courier New" w:hAnsi="Courier New" w:cs="Courier New"/>
    </w:rPr>
  </w:style>
  <w:style w:type="character" w:customStyle="1" w:styleId="WW8Num3z0">
    <w:name w:val="WW8Num3z0"/>
    <w:rsid w:val="000C3346"/>
    <w:rPr>
      <w:rFonts w:ascii="Symbol" w:eastAsia="Symbol" w:hAnsi="Symbol" w:cs="Symbol"/>
    </w:rPr>
  </w:style>
  <w:style w:type="character" w:customStyle="1" w:styleId="WW8Num3z1">
    <w:name w:val="WW8Num3z1"/>
    <w:rsid w:val="000C3346"/>
    <w:rPr>
      <w:rFonts w:ascii="Courier New" w:eastAsia="Courier New" w:hAnsi="Courier New" w:cs="Courier New"/>
    </w:rPr>
  </w:style>
  <w:style w:type="character" w:customStyle="1" w:styleId="WW8Num3z2">
    <w:name w:val="WW8Num3z2"/>
    <w:rsid w:val="000C3346"/>
    <w:rPr>
      <w:rFonts w:ascii="Wingdings" w:eastAsia="Wingdings" w:hAnsi="Wingdings" w:cs="Wingdings"/>
    </w:rPr>
  </w:style>
  <w:style w:type="character" w:customStyle="1" w:styleId="WW8Num4z0">
    <w:name w:val="WW8Num4z0"/>
    <w:rsid w:val="000C3346"/>
    <w:rPr>
      <w:rFonts w:ascii="Symbol" w:eastAsia="Symbol" w:hAnsi="Symbol" w:cs="Symbol"/>
    </w:rPr>
  </w:style>
  <w:style w:type="character" w:customStyle="1" w:styleId="WW8Num4z1">
    <w:name w:val="WW8Num4z1"/>
    <w:rsid w:val="000C3346"/>
    <w:rPr>
      <w:rFonts w:ascii="Courier New" w:eastAsia="Courier New" w:hAnsi="Courier New" w:cs="Courier New"/>
    </w:rPr>
  </w:style>
  <w:style w:type="character" w:customStyle="1" w:styleId="WW8Num4z2">
    <w:name w:val="WW8Num4z2"/>
    <w:rsid w:val="000C3346"/>
    <w:rPr>
      <w:rFonts w:ascii="Wingdings" w:eastAsia="Wingdings" w:hAnsi="Wingdings" w:cs="Wingdings"/>
    </w:rPr>
  </w:style>
  <w:style w:type="character" w:customStyle="1" w:styleId="Fuentedeprrafopredeter1">
    <w:name w:val="Fuente de párrafo predeter.1"/>
    <w:rsid w:val="000C3346"/>
  </w:style>
  <w:style w:type="character" w:customStyle="1" w:styleId="Internetlink">
    <w:name w:val="Internet link"/>
    <w:rsid w:val="000C3346"/>
    <w:rPr>
      <w:color w:val="0000FF"/>
      <w:u w:val="single"/>
    </w:rPr>
  </w:style>
  <w:style w:type="character" w:customStyle="1" w:styleId="FootnoteSymbol">
    <w:name w:val="Footnote Symbol"/>
    <w:rsid w:val="000C3346"/>
    <w:rPr>
      <w:position w:val="0"/>
      <w:vertAlign w:val="superscript"/>
    </w:rPr>
  </w:style>
  <w:style w:type="character" w:styleId="Nmerodelnea">
    <w:name w:val="line number"/>
    <w:basedOn w:val="Fuentedeprrafopredeter1"/>
    <w:rsid w:val="000C3346"/>
    <w:rPr>
      <w:rFonts w:cs="Times New Roman"/>
    </w:rPr>
  </w:style>
  <w:style w:type="character" w:customStyle="1" w:styleId="CarCar">
    <w:name w:val="Car Car"/>
    <w:rsid w:val="000C3346"/>
    <w:rPr>
      <w:rFonts w:ascii="Tahoma" w:eastAsia="Batang, 바탕" w:hAnsi="Tahoma" w:cs="Tahoma"/>
      <w:sz w:val="16"/>
      <w:szCs w:val="16"/>
    </w:rPr>
  </w:style>
  <w:style w:type="character" w:customStyle="1" w:styleId="Refdecomentario1">
    <w:name w:val="Ref. de comentario1"/>
    <w:rsid w:val="000C3346"/>
    <w:rPr>
      <w:sz w:val="16"/>
      <w:szCs w:val="16"/>
    </w:rPr>
  </w:style>
  <w:style w:type="character" w:customStyle="1" w:styleId="NumberingSymbols">
    <w:name w:val="Numbering Symbols"/>
    <w:rsid w:val="000C3346"/>
  </w:style>
  <w:style w:type="character" w:styleId="Textodelmarcadordeposicin">
    <w:name w:val="Placeholder Text"/>
    <w:basedOn w:val="Fuentedeprrafopredeter"/>
    <w:uiPriority w:val="99"/>
    <w:rsid w:val="000C3346"/>
    <w:rPr>
      <w:color w:val="808080"/>
    </w:rPr>
  </w:style>
  <w:style w:type="numbering" w:customStyle="1" w:styleId="RTFNum2">
    <w:name w:val="RTF_Num 2"/>
    <w:basedOn w:val="Sinlista"/>
    <w:rsid w:val="000C3346"/>
    <w:pPr>
      <w:numPr>
        <w:numId w:val="2"/>
      </w:numPr>
    </w:pPr>
  </w:style>
  <w:style w:type="numbering" w:customStyle="1" w:styleId="WW8Num2">
    <w:name w:val="WW8Num2"/>
    <w:basedOn w:val="Sinlista"/>
    <w:rsid w:val="000C3346"/>
    <w:pPr>
      <w:numPr>
        <w:numId w:val="3"/>
      </w:numPr>
    </w:pPr>
  </w:style>
  <w:style w:type="character" w:customStyle="1" w:styleId="FootnoteCharacters">
    <w:name w:val="Footnote Characters"/>
    <w:rsid w:val="00C95F82"/>
    <w:rPr>
      <w:vertAlign w:val="superscript"/>
    </w:rPr>
  </w:style>
  <w:style w:type="character" w:styleId="Hipervnculovisitado">
    <w:name w:val="FollowedHyperlink"/>
    <w:basedOn w:val="Fuentedeprrafopredeter"/>
    <w:uiPriority w:val="99"/>
    <w:rsid w:val="00C95F82"/>
    <w:rPr>
      <w:color w:val="800080"/>
      <w:u w:val="single"/>
    </w:rPr>
  </w:style>
  <w:style w:type="paragraph" w:customStyle="1" w:styleId="Framecontents">
    <w:name w:val="Frame contents"/>
    <w:basedOn w:val="Textoindependiente"/>
    <w:uiPriority w:val="99"/>
    <w:rsid w:val="00C95F82"/>
    <w:rPr>
      <w:szCs w:val="28"/>
      <w:lang w:eastAsia="ko-KR"/>
    </w:rPr>
  </w:style>
  <w:style w:type="paragraph" w:styleId="TtuloTDC">
    <w:name w:val="TOC Heading"/>
    <w:basedOn w:val="Ttulo1"/>
    <w:next w:val="Normal"/>
    <w:uiPriority w:val="39"/>
    <w:unhideWhenUsed/>
    <w:qFormat/>
    <w:rsid w:val="002D15D5"/>
    <w:pPr>
      <w:outlineLvl w:val="9"/>
    </w:pPr>
  </w:style>
  <w:style w:type="paragraph" w:styleId="TDC1">
    <w:name w:val="toc 1"/>
    <w:basedOn w:val="Normal"/>
    <w:next w:val="Normal"/>
    <w:autoRedefine/>
    <w:uiPriority w:val="39"/>
    <w:unhideWhenUsed/>
    <w:rsid w:val="00C95F82"/>
    <w:pPr>
      <w:spacing w:before="120"/>
    </w:pPr>
    <w:rPr>
      <w:b/>
      <w:lang w:eastAsia="ko-KR"/>
    </w:rPr>
  </w:style>
  <w:style w:type="paragraph" w:styleId="TDC2">
    <w:name w:val="toc 2"/>
    <w:basedOn w:val="Normal"/>
    <w:next w:val="Normal"/>
    <w:autoRedefine/>
    <w:uiPriority w:val="39"/>
    <w:unhideWhenUsed/>
    <w:rsid w:val="00C95F82"/>
    <w:pPr>
      <w:ind w:left="240"/>
    </w:pPr>
    <w:rPr>
      <w:b/>
      <w:sz w:val="22"/>
      <w:szCs w:val="22"/>
      <w:lang w:eastAsia="ko-KR"/>
    </w:rPr>
  </w:style>
  <w:style w:type="paragraph" w:styleId="TDC3">
    <w:name w:val="toc 3"/>
    <w:basedOn w:val="Normal"/>
    <w:next w:val="Normal"/>
    <w:autoRedefine/>
    <w:uiPriority w:val="39"/>
    <w:unhideWhenUsed/>
    <w:rsid w:val="00C95F82"/>
    <w:pPr>
      <w:ind w:left="480"/>
    </w:pPr>
    <w:rPr>
      <w:sz w:val="22"/>
      <w:szCs w:val="22"/>
      <w:lang w:eastAsia="ko-KR"/>
    </w:rPr>
  </w:style>
  <w:style w:type="paragraph" w:styleId="TDC4">
    <w:name w:val="toc 4"/>
    <w:basedOn w:val="Normal"/>
    <w:next w:val="Normal"/>
    <w:autoRedefine/>
    <w:uiPriority w:val="39"/>
    <w:unhideWhenUsed/>
    <w:rsid w:val="00C95F82"/>
    <w:pPr>
      <w:ind w:left="720"/>
    </w:pPr>
    <w:rPr>
      <w:sz w:val="20"/>
      <w:szCs w:val="20"/>
      <w:lang w:eastAsia="ko-KR"/>
    </w:rPr>
  </w:style>
  <w:style w:type="paragraph" w:styleId="TDC5">
    <w:name w:val="toc 5"/>
    <w:basedOn w:val="Normal"/>
    <w:next w:val="Normal"/>
    <w:autoRedefine/>
    <w:uiPriority w:val="39"/>
    <w:unhideWhenUsed/>
    <w:rsid w:val="00C95F82"/>
    <w:pPr>
      <w:ind w:left="960"/>
    </w:pPr>
    <w:rPr>
      <w:sz w:val="20"/>
      <w:szCs w:val="20"/>
      <w:lang w:eastAsia="ko-KR"/>
    </w:rPr>
  </w:style>
  <w:style w:type="paragraph" w:styleId="TDC6">
    <w:name w:val="toc 6"/>
    <w:basedOn w:val="Normal"/>
    <w:next w:val="Normal"/>
    <w:autoRedefine/>
    <w:uiPriority w:val="39"/>
    <w:unhideWhenUsed/>
    <w:rsid w:val="00C95F82"/>
    <w:pPr>
      <w:ind w:left="1200"/>
    </w:pPr>
    <w:rPr>
      <w:sz w:val="20"/>
      <w:szCs w:val="20"/>
      <w:lang w:eastAsia="ko-KR"/>
    </w:rPr>
  </w:style>
  <w:style w:type="paragraph" w:styleId="TDC7">
    <w:name w:val="toc 7"/>
    <w:basedOn w:val="Normal"/>
    <w:next w:val="Normal"/>
    <w:autoRedefine/>
    <w:uiPriority w:val="39"/>
    <w:unhideWhenUsed/>
    <w:rsid w:val="00C95F82"/>
    <w:pPr>
      <w:ind w:left="1440"/>
    </w:pPr>
    <w:rPr>
      <w:sz w:val="20"/>
      <w:szCs w:val="20"/>
      <w:lang w:eastAsia="ko-KR"/>
    </w:rPr>
  </w:style>
  <w:style w:type="paragraph" w:styleId="TDC8">
    <w:name w:val="toc 8"/>
    <w:basedOn w:val="Normal"/>
    <w:next w:val="Normal"/>
    <w:autoRedefine/>
    <w:uiPriority w:val="39"/>
    <w:unhideWhenUsed/>
    <w:rsid w:val="00C95F82"/>
    <w:pPr>
      <w:ind w:left="1680"/>
    </w:pPr>
    <w:rPr>
      <w:sz w:val="20"/>
      <w:szCs w:val="20"/>
      <w:lang w:eastAsia="ko-KR"/>
    </w:rPr>
  </w:style>
  <w:style w:type="paragraph" w:styleId="TDC9">
    <w:name w:val="toc 9"/>
    <w:basedOn w:val="Normal"/>
    <w:next w:val="Normal"/>
    <w:autoRedefine/>
    <w:uiPriority w:val="39"/>
    <w:unhideWhenUsed/>
    <w:rsid w:val="00C95F82"/>
    <w:pPr>
      <w:ind w:left="1920"/>
    </w:pPr>
    <w:rPr>
      <w:sz w:val="20"/>
      <w:szCs w:val="20"/>
      <w:lang w:eastAsia="ko-KR"/>
    </w:rPr>
  </w:style>
  <w:style w:type="paragraph" w:styleId="Textoindependienteprimerasangra">
    <w:name w:val="Body Text First Indent"/>
    <w:basedOn w:val="Textoindependiente"/>
    <w:link w:val="TextoindependienteprimerasangraCar"/>
    <w:uiPriority w:val="99"/>
    <w:semiHidden/>
    <w:unhideWhenUsed/>
    <w:rsid w:val="00482F13"/>
    <w:pPr>
      <w:ind w:firstLine="360"/>
    </w:pPr>
    <w:rPr>
      <w:b w:val="0"/>
      <w:bCs w:val="0"/>
      <w:sz w:val="24"/>
    </w:rPr>
  </w:style>
  <w:style w:type="character" w:customStyle="1" w:styleId="TextoindependienteprimerasangraCar">
    <w:name w:val="Texto independiente primera sangría Car"/>
    <w:basedOn w:val="TextoindependienteCar"/>
    <w:link w:val="Textoindependienteprimerasangra"/>
    <w:uiPriority w:val="99"/>
    <w:semiHidden/>
    <w:rsid w:val="00482F13"/>
    <w:rPr>
      <w:rFonts w:ascii="Times New Roman" w:eastAsia="Batang" w:hAnsi="Times New Roman" w:cs="Times New Roman"/>
      <w:b w:val="0"/>
      <w:bCs w:val="0"/>
      <w:sz w:val="24"/>
      <w:szCs w:val="24"/>
      <w:lang w:eastAsia="ar-SA"/>
    </w:rPr>
  </w:style>
  <w:style w:type="paragraph" w:customStyle="1" w:styleId="a">
    <w:basedOn w:val="Normal"/>
    <w:next w:val="Subttulo"/>
    <w:link w:val="PuestoCar"/>
    <w:uiPriority w:val="10"/>
    <w:rsid w:val="00AB5BC4"/>
    <w:pPr>
      <w:spacing w:before="240" w:after="60"/>
      <w:jc w:val="center"/>
    </w:pPr>
    <w:rPr>
      <w:rFonts w:ascii="Cambria" w:eastAsia="Times New Roman" w:hAnsi="Cambria"/>
      <w:b/>
      <w:bCs/>
      <w:kern w:val="28"/>
      <w:sz w:val="32"/>
      <w:szCs w:val="32"/>
    </w:rPr>
  </w:style>
  <w:style w:type="character" w:customStyle="1" w:styleId="PuestoCar">
    <w:name w:val="Puesto Car"/>
    <w:link w:val="a"/>
    <w:uiPriority w:val="10"/>
    <w:rsid w:val="00AB5BC4"/>
    <w:rPr>
      <w:rFonts w:ascii="Cambria" w:eastAsia="Times New Roman" w:hAnsi="Cambria" w:cs="Times New Roman"/>
      <w:b/>
      <w:bCs/>
      <w:kern w:val="28"/>
      <w:sz w:val="32"/>
      <w:szCs w:val="32"/>
      <w:lang w:val="es-ES" w:eastAsia="ar-SA"/>
    </w:rPr>
  </w:style>
  <w:style w:type="paragraph" w:customStyle="1" w:styleId="Normal1">
    <w:name w:val="Normal1"/>
    <w:rsid w:val="000325BE"/>
    <w:pPr>
      <w:suppressAutoHyphens/>
      <w:autoSpaceDE w:val="0"/>
      <w:spacing w:after="0" w:line="240" w:lineRule="auto"/>
    </w:pPr>
    <w:rPr>
      <w:rFonts w:ascii="Times New Roman" w:eastAsia="Calibri" w:hAnsi="Times New Roman" w:cs="Times New Roman"/>
      <w:color w:val="000000"/>
      <w:sz w:val="24"/>
      <w:szCs w:val="24"/>
      <w:lang w:eastAsia="zh-CN"/>
    </w:rPr>
  </w:style>
  <w:style w:type="paragraph" w:customStyle="1" w:styleId="Figura">
    <w:name w:val="Figura"/>
    <w:basedOn w:val="Descripcin"/>
    <w:rsid w:val="00577F06"/>
    <w:pPr>
      <w:suppressLineNumbers/>
      <w:suppressAutoHyphens/>
      <w:spacing w:before="120" w:after="120"/>
    </w:pPr>
    <w:rPr>
      <w:rFonts w:ascii="Times New Roman" w:eastAsia="Batang" w:hAnsi="Times New Roman" w:cs="Lohit Hindi"/>
      <w:b w:val="0"/>
      <w:bCs w:val="0"/>
      <w:i/>
      <w:iCs/>
      <w:color w:val="auto"/>
      <w:sz w:val="24"/>
      <w:szCs w:val="24"/>
      <w:lang w:eastAsia="ko-KR"/>
    </w:rPr>
  </w:style>
  <w:style w:type="paragraph" w:customStyle="1" w:styleId="Default">
    <w:name w:val="Default"/>
    <w:rsid w:val="00DD107A"/>
    <w:pPr>
      <w:autoSpaceDE w:val="0"/>
      <w:autoSpaceDN w:val="0"/>
      <w:adjustRightInd w:val="0"/>
      <w:spacing w:after="0" w:line="240" w:lineRule="auto"/>
    </w:pPr>
    <w:rPr>
      <w:rFonts w:ascii="Arial" w:eastAsia="Times New Roman" w:hAnsi="Arial" w:cs="Arial"/>
      <w:color w:val="000000"/>
      <w:sz w:val="24"/>
      <w:szCs w:val="24"/>
      <w:lang w:val="es-MX" w:eastAsia="es-MX"/>
    </w:rPr>
  </w:style>
  <w:style w:type="table" w:customStyle="1" w:styleId="LightList-Accent11">
    <w:name w:val="Light List - Accent 11"/>
    <w:basedOn w:val="Tablanormal"/>
    <w:uiPriority w:val="61"/>
    <w:rsid w:val="009C453E"/>
    <w:pPr>
      <w:spacing w:after="0" w:line="240" w:lineRule="auto"/>
    </w:pPr>
    <w:rPr>
      <w:rFonts w:ascii="Times New Roman" w:eastAsia="Times New Roman" w:hAnsi="Times New Roman" w:cs="Times New Roman"/>
      <w:sz w:val="20"/>
      <w:szCs w:val="20"/>
      <w:lang w:val="es-MX" w:eastAsia="es-MX"/>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paragraph" w:customStyle="1" w:styleId="Ttulo11">
    <w:name w:val="Título 11"/>
    <w:basedOn w:val="Normal"/>
    <w:next w:val="Normal"/>
    <w:rsid w:val="003753DD"/>
    <w:pPr>
      <w:keepNext/>
      <w:widowControl w:val="0"/>
      <w:tabs>
        <w:tab w:val="left" w:pos="0"/>
        <w:tab w:val="num" w:pos="750"/>
      </w:tabs>
      <w:ind w:left="750" w:hanging="390"/>
      <w:outlineLvl w:val="0"/>
    </w:pPr>
    <w:rPr>
      <w:b/>
      <w:bCs/>
      <w:i/>
      <w:iCs/>
      <w:kern w:val="1"/>
    </w:rPr>
  </w:style>
  <w:style w:type="paragraph" w:customStyle="1" w:styleId="equation">
    <w:name w:val="equation"/>
    <w:basedOn w:val="Normal"/>
    <w:uiPriority w:val="99"/>
    <w:rsid w:val="002E3826"/>
    <w:pPr>
      <w:tabs>
        <w:tab w:val="center" w:pos="2520"/>
        <w:tab w:val="right" w:pos="5040"/>
      </w:tabs>
      <w:spacing w:before="240" w:after="240" w:line="216" w:lineRule="auto"/>
      <w:jc w:val="center"/>
    </w:pPr>
    <w:rPr>
      <w:rFonts w:ascii="Symbol" w:eastAsia="Times New Roman" w:hAnsi="Symbol" w:cs="Symbol"/>
      <w:sz w:val="20"/>
      <w:szCs w:val="20"/>
      <w:lang w:val="en-US"/>
    </w:rPr>
  </w:style>
  <w:style w:type="paragraph" w:customStyle="1" w:styleId="ISTNormal">
    <w:name w:val="IST Normal"/>
    <w:uiPriority w:val="99"/>
    <w:rsid w:val="002E3826"/>
    <w:pPr>
      <w:spacing w:after="0" w:line="240" w:lineRule="auto"/>
      <w:ind w:firstLine="284"/>
      <w:jc w:val="both"/>
    </w:pPr>
    <w:rPr>
      <w:rFonts w:ascii="Times New Roman" w:eastAsia="Times New Roman" w:hAnsi="Times New Roman" w:cs="Times New Roman"/>
      <w:sz w:val="20"/>
      <w:szCs w:val="20"/>
      <w:lang w:val="en-US"/>
    </w:rPr>
  </w:style>
  <w:style w:type="paragraph" w:customStyle="1" w:styleId="Prrafodelista1">
    <w:name w:val="Párrafo de lista1"/>
    <w:aliases w:val="Párrafo"/>
    <w:basedOn w:val="Normal"/>
    <w:link w:val="ListParagraphChar"/>
    <w:rsid w:val="004F162B"/>
    <w:pPr>
      <w:spacing w:line="276" w:lineRule="auto"/>
      <w:ind w:left="720"/>
      <w:contextualSpacing/>
    </w:pPr>
    <w:rPr>
      <w:rFonts w:ascii="Calibri" w:eastAsia="Times New Roman" w:hAnsi="Calibri"/>
      <w:sz w:val="22"/>
      <w:szCs w:val="22"/>
      <w:lang w:val="en-US"/>
    </w:rPr>
  </w:style>
  <w:style w:type="character" w:customStyle="1" w:styleId="ListParagraphChar">
    <w:name w:val="List Paragraph Char"/>
    <w:aliases w:val="Párrafo Char"/>
    <w:link w:val="Prrafodelista1"/>
    <w:locked/>
    <w:rsid w:val="004F162B"/>
    <w:rPr>
      <w:rFonts w:ascii="Calibri" w:eastAsia="Times New Roman" w:hAnsi="Calibri" w:cs="Times New Roman"/>
      <w:lang w:val="en-US"/>
    </w:rPr>
  </w:style>
  <w:style w:type="character" w:styleId="CitaHTML">
    <w:name w:val="HTML Cite"/>
    <w:uiPriority w:val="99"/>
    <w:unhideWhenUsed/>
    <w:rsid w:val="00403A32"/>
    <w:rPr>
      <w:i/>
      <w:iCs/>
    </w:rPr>
  </w:style>
  <w:style w:type="character" w:customStyle="1" w:styleId="Ttulo5Car">
    <w:name w:val="Título 5 Car"/>
    <w:basedOn w:val="Fuentedeprrafopredeter"/>
    <w:link w:val="Ttulo5"/>
    <w:uiPriority w:val="9"/>
    <w:semiHidden/>
    <w:rsid w:val="002D15D5"/>
    <w:rPr>
      <w:rFonts w:asciiTheme="majorHAnsi" w:eastAsiaTheme="majorEastAsia" w:hAnsiTheme="majorHAnsi" w:cstheme="majorBidi"/>
      <w:i/>
      <w:iCs/>
      <w:color w:val="F79646" w:themeColor="accent6"/>
      <w:sz w:val="22"/>
      <w:szCs w:val="22"/>
    </w:rPr>
  </w:style>
  <w:style w:type="paragraph" w:customStyle="1" w:styleId="MTDisplayEquation">
    <w:name w:val="MTDisplayEquation"/>
    <w:basedOn w:val="Normal"/>
    <w:next w:val="Normal"/>
    <w:link w:val="MTDisplayEquationCar"/>
    <w:rsid w:val="00C42C4D"/>
    <w:pPr>
      <w:tabs>
        <w:tab w:val="center" w:pos="4700"/>
        <w:tab w:val="right" w:pos="9400"/>
      </w:tabs>
      <w:spacing w:line="276" w:lineRule="auto"/>
      <w:jc w:val="both"/>
    </w:pPr>
    <w:rPr>
      <w:rFonts w:eastAsia="Calibri"/>
      <w:sz w:val="22"/>
    </w:rPr>
  </w:style>
  <w:style w:type="character" w:customStyle="1" w:styleId="MTDisplayEquationCar">
    <w:name w:val="MTDisplayEquation Car"/>
    <w:link w:val="MTDisplayEquation"/>
    <w:rsid w:val="00C42C4D"/>
    <w:rPr>
      <w:rFonts w:ascii="Times New Roman" w:eastAsia="Calibri" w:hAnsi="Times New Roman" w:cs="Times New Roman"/>
      <w:szCs w:val="24"/>
    </w:rPr>
  </w:style>
  <w:style w:type="paragraph" w:styleId="Sinespaciado">
    <w:name w:val="No Spacing"/>
    <w:link w:val="SinespaciadoCar"/>
    <w:uiPriority w:val="1"/>
    <w:qFormat/>
    <w:rsid w:val="002D15D5"/>
    <w:pPr>
      <w:spacing w:after="0" w:line="240" w:lineRule="auto"/>
    </w:pPr>
  </w:style>
  <w:style w:type="character" w:customStyle="1" w:styleId="SinespaciadoCar">
    <w:name w:val="Sin espaciado Car"/>
    <w:link w:val="Sinespaciado"/>
    <w:uiPriority w:val="1"/>
    <w:rsid w:val="00392359"/>
  </w:style>
  <w:style w:type="table" w:styleId="Tablabsica1">
    <w:name w:val="Table Simple 1"/>
    <w:basedOn w:val="Tablanormal"/>
    <w:rsid w:val="00392359"/>
    <w:pPr>
      <w:spacing w:after="0" w:line="240" w:lineRule="auto"/>
    </w:pPr>
    <w:rPr>
      <w:rFonts w:ascii="Times New Roman" w:eastAsia="Times New Roman" w:hAnsi="Times New Roman" w:cs="Times New Roman"/>
      <w:sz w:val="20"/>
      <w:szCs w:val="20"/>
      <w:lang w:val="en-US" w:eastAsia="es-ES"/>
    </w:rPr>
    <w:tblPr>
      <w:tblBorders>
        <w:top w:val="single" w:sz="12" w:space="0" w:color="008000"/>
        <w:bottom w:val="single" w:sz="12" w:space="0" w:color="008000"/>
      </w:tblBorders>
    </w:tblPr>
    <w:tcPr>
      <w:shd w:val="clear" w:color="auto" w:fill="auto"/>
    </w:tcPr>
    <w:tblStylePr w:type="firstRow">
      <w:tblPr/>
      <w:tcPr>
        <w:tcBorders>
          <w:bottom w:val="single" w:sz="6" w:space="0" w:color="008000"/>
        </w:tcBorders>
      </w:tcPr>
    </w:tblStylePr>
    <w:tblStylePr w:type="lastRow">
      <w:tblPr/>
      <w:tcPr>
        <w:tcBorders>
          <w:top w:val="single" w:sz="6" w:space="0" w:color="008000"/>
        </w:tcBorders>
      </w:tcPr>
    </w:tblStylePr>
  </w:style>
  <w:style w:type="paragraph" w:styleId="Textoindependiente2">
    <w:name w:val="Body Text 2"/>
    <w:basedOn w:val="Normal"/>
    <w:link w:val="Textoindependiente2Car"/>
    <w:uiPriority w:val="99"/>
    <w:semiHidden/>
    <w:unhideWhenUsed/>
    <w:rsid w:val="00CE61EC"/>
    <w:pPr>
      <w:spacing w:after="120" w:line="480" w:lineRule="auto"/>
    </w:pPr>
  </w:style>
  <w:style w:type="character" w:customStyle="1" w:styleId="Textoindependiente2Car">
    <w:name w:val="Texto independiente 2 Car"/>
    <w:basedOn w:val="Fuentedeprrafopredeter"/>
    <w:link w:val="Textoindependiente2"/>
    <w:uiPriority w:val="99"/>
    <w:semiHidden/>
    <w:rsid w:val="00CE61EC"/>
    <w:rPr>
      <w:rFonts w:ascii="Times New Roman" w:eastAsia="Batang" w:hAnsi="Times New Roman" w:cs="Times New Roman"/>
      <w:sz w:val="24"/>
      <w:szCs w:val="24"/>
      <w:lang w:eastAsia="ar-SA"/>
    </w:rPr>
  </w:style>
  <w:style w:type="numbering" w:customStyle="1" w:styleId="Estilo1">
    <w:name w:val="Estilo1"/>
    <w:rsid w:val="00BF6666"/>
    <w:pPr>
      <w:numPr>
        <w:numId w:val="4"/>
      </w:numPr>
    </w:pPr>
  </w:style>
  <w:style w:type="paragraph" w:styleId="Textoindependiente3">
    <w:name w:val="Body Text 3"/>
    <w:basedOn w:val="Normal"/>
    <w:link w:val="Textoindependiente3Car"/>
    <w:uiPriority w:val="99"/>
    <w:semiHidden/>
    <w:unhideWhenUsed/>
    <w:rsid w:val="00094855"/>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094855"/>
    <w:rPr>
      <w:rFonts w:ascii="Times New Roman" w:eastAsia="Batang" w:hAnsi="Times New Roman" w:cs="Times New Roman"/>
      <w:sz w:val="16"/>
      <w:szCs w:val="16"/>
      <w:lang w:eastAsia="ar-SA"/>
    </w:rPr>
  </w:style>
  <w:style w:type="character" w:customStyle="1" w:styleId="Ttulo8Car">
    <w:name w:val="Título 8 Car"/>
    <w:basedOn w:val="Fuentedeprrafopredeter"/>
    <w:link w:val="Ttulo8"/>
    <w:uiPriority w:val="9"/>
    <w:semiHidden/>
    <w:rsid w:val="002D15D5"/>
    <w:rPr>
      <w:rFonts w:asciiTheme="majorHAnsi" w:eastAsiaTheme="majorEastAsia" w:hAnsiTheme="majorHAnsi" w:cstheme="majorBidi"/>
      <w:b/>
      <w:bCs/>
      <w:i/>
      <w:iCs/>
      <w:color w:val="F79646" w:themeColor="accent6"/>
      <w:sz w:val="20"/>
      <w:szCs w:val="20"/>
    </w:rPr>
  </w:style>
  <w:style w:type="character" w:customStyle="1" w:styleId="Smbolodenotaalpie">
    <w:name w:val="Símbolo de nota al pie"/>
    <w:rsid w:val="00543FCC"/>
    <w:rPr>
      <w:vertAlign w:val="superscript"/>
    </w:rPr>
  </w:style>
  <w:style w:type="paragraph" w:customStyle="1" w:styleId="Etiqueta">
    <w:name w:val="Etiqueta"/>
    <w:basedOn w:val="Normal"/>
    <w:rsid w:val="00543FCC"/>
    <w:pPr>
      <w:suppressLineNumbers/>
      <w:spacing w:before="120" w:after="120"/>
    </w:pPr>
    <w:rPr>
      <w:i/>
      <w:iCs/>
    </w:rPr>
  </w:style>
  <w:style w:type="paragraph" w:customStyle="1" w:styleId="ndice">
    <w:name w:val="Índice"/>
    <w:basedOn w:val="Normal"/>
    <w:rsid w:val="00543FCC"/>
    <w:pPr>
      <w:suppressLineNumbers/>
    </w:pPr>
  </w:style>
  <w:style w:type="paragraph" w:customStyle="1" w:styleId="Contenidodelatabla">
    <w:name w:val="Contenido de la tabla"/>
    <w:basedOn w:val="Normal"/>
    <w:rsid w:val="00543FCC"/>
    <w:pPr>
      <w:suppressLineNumbers/>
    </w:pPr>
  </w:style>
  <w:style w:type="paragraph" w:customStyle="1" w:styleId="Encabezadodelatabla">
    <w:name w:val="Encabezado de la tabla"/>
    <w:basedOn w:val="Contenidodelatabla"/>
    <w:rsid w:val="00543FCC"/>
    <w:pPr>
      <w:jc w:val="center"/>
    </w:pPr>
    <w:rPr>
      <w:b/>
      <w:bCs/>
    </w:rPr>
  </w:style>
  <w:style w:type="table" w:customStyle="1" w:styleId="Tabladecuadrcula1clara-nfasis51">
    <w:name w:val="Tabla de cuadrícula 1 clara - Énfasis 51"/>
    <w:basedOn w:val="Tablanormal"/>
    <w:uiPriority w:val="46"/>
    <w:rsid w:val="00543FCC"/>
    <w:pPr>
      <w:spacing w:after="0" w:line="240" w:lineRule="auto"/>
    </w:pPr>
    <w:rPr>
      <w:rFonts w:ascii="Times New Roman" w:eastAsia="Times New Roman" w:hAnsi="Times New Roman" w:cs="Times New Roman"/>
      <w:sz w:val="20"/>
      <w:szCs w:val="20"/>
      <w:lang w:eastAsia="es-ES"/>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customStyle="1" w:styleId="Titulo3">
    <w:name w:val="Titulo 3"/>
    <w:basedOn w:val="Normal"/>
    <w:link w:val="Titulo3Car"/>
    <w:rsid w:val="00543FCC"/>
    <w:pPr>
      <w:jc w:val="center"/>
    </w:pPr>
    <w:rPr>
      <w:sz w:val="20"/>
      <w:szCs w:val="20"/>
      <w:lang w:val="es-MX" w:eastAsia="ko-KR"/>
    </w:rPr>
  </w:style>
  <w:style w:type="character" w:customStyle="1" w:styleId="Titulo3Car">
    <w:name w:val="Titulo 3 Car"/>
    <w:link w:val="Titulo3"/>
    <w:rsid w:val="00543FCC"/>
    <w:rPr>
      <w:rFonts w:ascii="Times New Roman" w:eastAsia="Batang" w:hAnsi="Times New Roman" w:cs="Times New Roman"/>
      <w:sz w:val="20"/>
      <w:szCs w:val="20"/>
      <w:lang w:val="es-MX" w:eastAsia="ko-KR"/>
    </w:rPr>
  </w:style>
  <w:style w:type="table" w:customStyle="1" w:styleId="Cuadrculaclara-nfasis11">
    <w:name w:val="Cuadrícula clara - Énfasis 11"/>
    <w:basedOn w:val="Tablanormal"/>
    <w:uiPriority w:val="62"/>
    <w:rsid w:val="00543FCC"/>
    <w:pPr>
      <w:spacing w:after="0" w:line="240" w:lineRule="auto"/>
    </w:pPr>
    <w:rPr>
      <w:lang w:val="es-MX"/>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Cuadrculaclara-nfasis1">
    <w:name w:val="Light Grid Accent 1"/>
    <w:basedOn w:val="Tablanormal"/>
    <w:uiPriority w:val="62"/>
    <w:rsid w:val="00543FCC"/>
    <w:pPr>
      <w:spacing w:after="0" w:line="240" w:lineRule="auto"/>
    </w:pPr>
    <w:rPr>
      <w:rFonts w:ascii="Times New Roman" w:eastAsia="Times New Roman" w:hAnsi="Times New Roman" w:cs="Times New Roman"/>
      <w:sz w:val="20"/>
      <w:szCs w:val="20"/>
      <w:lang w:val="es-MX" w:eastAsia="es-MX"/>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apple-converted-space">
    <w:name w:val="apple-converted-space"/>
    <w:rsid w:val="00543FCC"/>
  </w:style>
  <w:style w:type="character" w:customStyle="1" w:styleId="cit-sep">
    <w:name w:val="cit-sep"/>
    <w:rsid w:val="00543FCC"/>
  </w:style>
  <w:style w:type="character" w:customStyle="1" w:styleId="cit-vol">
    <w:name w:val="cit-vol"/>
    <w:rsid w:val="00543FCC"/>
  </w:style>
  <w:style w:type="character" w:customStyle="1" w:styleId="cit-first-page">
    <w:name w:val="cit-first-page"/>
    <w:rsid w:val="00543FCC"/>
  </w:style>
  <w:style w:type="character" w:customStyle="1" w:styleId="cit-last-page">
    <w:name w:val="cit-last-page"/>
    <w:rsid w:val="00543FCC"/>
  </w:style>
  <w:style w:type="character" w:styleId="nfasis">
    <w:name w:val="Emphasis"/>
    <w:basedOn w:val="Fuentedeprrafopredeter"/>
    <w:uiPriority w:val="20"/>
    <w:qFormat/>
    <w:rsid w:val="002D15D5"/>
    <w:rPr>
      <w:i/>
      <w:iCs/>
      <w:color w:val="F79646" w:themeColor="accent6"/>
    </w:rPr>
  </w:style>
  <w:style w:type="paragraph" w:customStyle="1" w:styleId="Autores2">
    <w:name w:val="Autores2"/>
    <w:basedOn w:val="Normal"/>
    <w:rsid w:val="00543FCC"/>
    <w:pPr>
      <w:jc w:val="center"/>
    </w:pPr>
    <w:rPr>
      <w:rFonts w:eastAsia="Times New Roman"/>
      <w:snapToGrid w:val="0"/>
      <w:sz w:val="20"/>
      <w:szCs w:val="20"/>
    </w:rPr>
  </w:style>
  <w:style w:type="paragraph" w:customStyle="1" w:styleId="MabstractCar">
    <w:name w:val="M_abstract Car"/>
    <w:basedOn w:val="Normal"/>
    <w:link w:val="MabstractCarCar"/>
    <w:rsid w:val="00543FCC"/>
    <w:pPr>
      <w:spacing w:before="240" w:line="340" w:lineRule="atLeast"/>
      <w:ind w:left="510" w:right="510"/>
      <w:jc w:val="both"/>
    </w:pPr>
    <w:rPr>
      <w:rFonts w:eastAsia="Times New Roman"/>
      <w:color w:val="000000"/>
      <w:szCs w:val="20"/>
      <w:lang w:val="en-US" w:eastAsia="de-DE"/>
    </w:rPr>
  </w:style>
  <w:style w:type="character" w:customStyle="1" w:styleId="MabstractCarCar">
    <w:name w:val="M_abstract Car Car"/>
    <w:link w:val="MabstractCar"/>
    <w:rsid w:val="00543FCC"/>
    <w:rPr>
      <w:rFonts w:ascii="Times New Roman" w:eastAsia="Times New Roman" w:hAnsi="Times New Roman" w:cs="Times New Roman"/>
      <w:color w:val="000000"/>
      <w:sz w:val="24"/>
      <w:szCs w:val="20"/>
      <w:lang w:val="en-US" w:eastAsia="de-DE"/>
    </w:rPr>
  </w:style>
  <w:style w:type="paragraph" w:customStyle="1" w:styleId="MText">
    <w:name w:val="M_Text"/>
    <w:basedOn w:val="Normal"/>
    <w:rsid w:val="00543FCC"/>
    <w:pPr>
      <w:spacing w:line="340" w:lineRule="atLeast"/>
      <w:ind w:firstLine="284"/>
      <w:jc w:val="both"/>
    </w:pPr>
    <w:rPr>
      <w:rFonts w:eastAsia="Times New Roman"/>
      <w:color w:val="000000"/>
      <w:szCs w:val="20"/>
      <w:lang w:val="en-US" w:eastAsia="de-DE"/>
    </w:rPr>
  </w:style>
  <w:style w:type="paragraph" w:customStyle="1" w:styleId="MCaption">
    <w:name w:val="M_Caption"/>
    <w:basedOn w:val="Normal"/>
    <w:rsid w:val="00543FCC"/>
    <w:pPr>
      <w:spacing w:before="240" w:after="240" w:line="340" w:lineRule="atLeast"/>
      <w:jc w:val="center"/>
    </w:pPr>
    <w:rPr>
      <w:rFonts w:eastAsia="Times New Roman"/>
      <w:color w:val="000000"/>
      <w:szCs w:val="20"/>
      <w:lang w:val="en-US" w:eastAsia="de-DE"/>
    </w:rPr>
  </w:style>
  <w:style w:type="paragraph" w:customStyle="1" w:styleId="MRefer">
    <w:name w:val="M_Refer"/>
    <w:basedOn w:val="Normal"/>
    <w:rsid w:val="00543FCC"/>
    <w:pPr>
      <w:spacing w:line="340" w:lineRule="atLeast"/>
      <w:ind w:left="454" w:hanging="454"/>
      <w:jc w:val="both"/>
    </w:pPr>
    <w:rPr>
      <w:rFonts w:eastAsia="Times New Roman"/>
      <w:color w:val="000000"/>
      <w:szCs w:val="20"/>
      <w:lang w:val="en-US" w:eastAsia="de-DE"/>
    </w:rPr>
  </w:style>
  <w:style w:type="character" w:customStyle="1" w:styleId="st">
    <w:name w:val="st"/>
    <w:rsid w:val="00543FCC"/>
  </w:style>
  <w:style w:type="paragraph" w:customStyle="1" w:styleId="Cuadrculamedia21">
    <w:name w:val="Cuadrícula media 21"/>
    <w:uiPriority w:val="99"/>
    <w:rsid w:val="00543FCC"/>
    <w:pPr>
      <w:spacing w:after="0" w:line="240" w:lineRule="auto"/>
    </w:pPr>
    <w:rPr>
      <w:rFonts w:ascii="Calibri" w:eastAsia="Calibri" w:hAnsi="Calibri" w:cs="Times New Roman"/>
      <w:lang w:val="es-MX"/>
    </w:rPr>
  </w:style>
  <w:style w:type="paragraph" w:customStyle="1" w:styleId="EQN">
    <w:name w:val="EQN"/>
    <w:basedOn w:val="Normal"/>
    <w:autoRedefine/>
    <w:rsid w:val="00A34636"/>
    <w:pPr>
      <w:tabs>
        <w:tab w:val="center" w:pos="4820"/>
        <w:tab w:val="right" w:pos="9072"/>
      </w:tabs>
      <w:spacing w:before="120" w:after="120"/>
      <w:jc w:val="center"/>
    </w:pPr>
    <w:rPr>
      <w:rFonts w:ascii="Times" w:eastAsia="SimSun" w:hAnsi="Times"/>
      <w:color w:val="000000"/>
      <w:sz w:val="22"/>
      <w:szCs w:val="22"/>
      <w:lang w:val="en-US"/>
    </w:rPr>
  </w:style>
  <w:style w:type="paragraph" w:customStyle="1" w:styleId="BodyIndent">
    <w:name w:val="BodyIndent"/>
    <w:basedOn w:val="Normal"/>
    <w:link w:val="BodyIndentChar"/>
    <w:autoRedefine/>
    <w:rsid w:val="00A34636"/>
    <w:pPr>
      <w:tabs>
        <w:tab w:val="left" w:pos="567"/>
      </w:tabs>
      <w:jc w:val="both"/>
    </w:pPr>
    <w:rPr>
      <w:rFonts w:ascii="Times" w:eastAsia="SimSun" w:hAnsi="Times"/>
      <w:color w:val="000000"/>
      <w:sz w:val="22"/>
      <w:szCs w:val="22"/>
      <w:lang w:val="en-GB"/>
    </w:rPr>
  </w:style>
  <w:style w:type="character" w:customStyle="1" w:styleId="BodyIndentChar">
    <w:name w:val="BodyIndent Char"/>
    <w:link w:val="BodyIndent"/>
    <w:rsid w:val="00A34636"/>
    <w:rPr>
      <w:rFonts w:ascii="Times" w:eastAsia="SimSun" w:hAnsi="Times" w:cs="Times New Roman"/>
      <w:color w:val="000000"/>
      <w:lang w:val="en-GB"/>
    </w:rPr>
  </w:style>
  <w:style w:type="paragraph" w:customStyle="1" w:styleId="p1">
    <w:name w:val="p1"/>
    <w:basedOn w:val="Normal"/>
    <w:rsid w:val="00A34636"/>
    <w:rPr>
      <w:rFonts w:ascii="Helvetica" w:eastAsia="Times New Roman" w:hAnsi="Helvetica"/>
      <w:sz w:val="18"/>
      <w:szCs w:val="18"/>
      <w:lang w:val="en-US" w:eastAsia="es-ES_tradnl"/>
    </w:rPr>
  </w:style>
  <w:style w:type="paragraph" w:customStyle="1" w:styleId="Bodytext">
    <w:name w:val="Bodytext"/>
    <w:next w:val="Normal"/>
    <w:rsid w:val="00A34636"/>
    <w:pPr>
      <w:spacing w:after="0" w:line="240" w:lineRule="auto"/>
      <w:jc w:val="both"/>
    </w:pPr>
    <w:rPr>
      <w:rFonts w:ascii="Times" w:eastAsia="Times New Roman" w:hAnsi="Times" w:cs="Times New Roman"/>
      <w:iCs/>
      <w:color w:val="000000"/>
      <w:lang w:val="en-US"/>
    </w:rPr>
  </w:style>
  <w:style w:type="paragraph" w:customStyle="1" w:styleId="BodytextIndented">
    <w:name w:val="BodytextIndented"/>
    <w:basedOn w:val="Bodytext"/>
    <w:rsid w:val="00A34636"/>
    <w:pPr>
      <w:ind w:firstLine="284"/>
    </w:pPr>
  </w:style>
  <w:style w:type="character" w:customStyle="1" w:styleId="BodytextChar">
    <w:name w:val="Body text Char"/>
    <w:basedOn w:val="Fuentedeprrafopredeter"/>
    <w:link w:val="1"/>
    <w:rsid w:val="00A34636"/>
    <w:rPr>
      <w:rFonts w:ascii="Cambria" w:hAnsi="Cambria" w:cs="Calibri"/>
    </w:rPr>
  </w:style>
  <w:style w:type="paragraph" w:customStyle="1" w:styleId="1">
    <w:name w:val="正文文本1"/>
    <w:basedOn w:val="Normal"/>
    <w:link w:val="BodytextChar"/>
    <w:rsid w:val="00A34636"/>
    <w:pPr>
      <w:widowControl w:val="0"/>
      <w:autoSpaceDE w:val="0"/>
      <w:autoSpaceDN w:val="0"/>
      <w:spacing w:line="300" w:lineRule="auto"/>
      <w:ind w:firstLine="204"/>
      <w:jc w:val="both"/>
    </w:pPr>
    <w:rPr>
      <w:rFonts w:ascii="Cambria" w:eastAsiaTheme="minorHAnsi" w:hAnsi="Cambria" w:cs="Calibri"/>
      <w:sz w:val="22"/>
      <w:szCs w:val="22"/>
    </w:rPr>
  </w:style>
  <w:style w:type="paragraph" w:customStyle="1" w:styleId="Reference">
    <w:name w:val="Reference"/>
    <w:basedOn w:val="1"/>
    <w:link w:val="ReferenceChar"/>
    <w:qFormat/>
    <w:rsid w:val="00A34636"/>
    <w:pPr>
      <w:numPr>
        <w:numId w:val="5"/>
      </w:numPr>
      <w:ind w:left="420"/>
    </w:pPr>
    <w:rPr>
      <w:rFonts w:eastAsiaTheme="minorEastAsia"/>
      <w:kern w:val="2"/>
      <w:sz w:val="21"/>
      <w:szCs w:val="21"/>
      <w:lang w:val="en-US" w:eastAsia="zh-CN"/>
    </w:rPr>
  </w:style>
  <w:style w:type="paragraph" w:customStyle="1" w:styleId="ReferenceHead">
    <w:name w:val="Reference Head"/>
    <w:basedOn w:val="Ttulo1"/>
    <w:link w:val="ReferenceHeadChar"/>
    <w:qFormat/>
    <w:rsid w:val="00A34636"/>
    <w:pPr>
      <w:keepNext w:val="0"/>
      <w:spacing w:before="240" w:after="120" w:line="240" w:lineRule="exact"/>
      <w:ind w:left="360" w:hanging="360"/>
    </w:pPr>
    <w:rPr>
      <w:rFonts w:eastAsia="SimSun"/>
      <w:b/>
      <w:iCs/>
      <w:color w:val="006699"/>
      <w:sz w:val="24"/>
      <w:lang w:val="en-US" w:eastAsia="zh-CN"/>
    </w:rPr>
  </w:style>
  <w:style w:type="character" w:customStyle="1" w:styleId="ReferenceChar">
    <w:name w:val="Reference Char"/>
    <w:basedOn w:val="BodytextChar"/>
    <w:link w:val="Reference"/>
    <w:rsid w:val="00A34636"/>
    <w:rPr>
      <w:rFonts w:ascii="Cambria" w:hAnsi="Cambria" w:cs="Calibri"/>
      <w:kern w:val="2"/>
      <w:lang w:val="en-US" w:eastAsia="zh-CN"/>
    </w:rPr>
  </w:style>
  <w:style w:type="paragraph" w:customStyle="1" w:styleId="Abstract">
    <w:name w:val="Abstract"/>
    <w:basedOn w:val="Normal"/>
    <w:next w:val="Normal"/>
    <w:rsid w:val="00A34636"/>
    <w:pPr>
      <w:autoSpaceDE w:val="0"/>
      <w:autoSpaceDN w:val="0"/>
      <w:spacing w:before="60"/>
      <w:jc w:val="both"/>
    </w:pPr>
    <w:rPr>
      <w:rFonts w:ascii="Cambria" w:hAnsi="Cambria" w:cs="Calibri"/>
      <w:bCs/>
      <w:kern w:val="2"/>
      <w:szCs w:val="18"/>
      <w:lang w:val="en-US" w:eastAsia="zh-CN"/>
    </w:rPr>
  </w:style>
  <w:style w:type="paragraph" w:customStyle="1" w:styleId="Keywords">
    <w:name w:val="Keywords"/>
    <w:basedOn w:val="Normal"/>
    <w:next w:val="Normal"/>
    <w:rsid w:val="00A34636"/>
    <w:pPr>
      <w:autoSpaceDE w:val="0"/>
      <w:autoSpaceDN w:val="0"/>
      <w:jc w:val="both"/>
    </w:pPr>
    <w:rPr>
      <w:rFonts w:ascii="Cambria" w:hAnsi="Cambria" w:cs="Calibri"/>
      <w:bCs/>
      <w:kern w:val="2"/>
      <w:szCs w:val="18"/>
      <w:lang w:val="en-US" w:eastAsia="zh-CN"/>
    </w:rPr>
  </w:style>
  <w:style w:type="paragraph" w:customStyle="1" w:styleId="Biography">
    <w:name w:val="Biography"/>
    <w:basedOn w:val="Normal"/>
    <w:link w:val="BiographyChar"/>
    <w:rsid w:val="00A34636"/>
    <w:pPr>
      <w:autoSpaceDE w:val="0"/>
      <w:autoSpaceDN w:val="0"/>
      <w:spacing w:line="300" w:lineRule="auto"/>
      <w:jc w:val="both"/>
    </w:pPr>
    <w:rPr>
      <w:rFonts w:ascii="Cambria" w:hAnsi="Cambria" w:cs="Calibri"/>
      <w:kern w:val="2"/>
      <w:lang w:val="en-US" w:eastAsia="zh-CN"/>
    </w:rPr>
  </w:style>
  <w:style w:type="paragraph" w:customStyle="1" w:styleId="TableTitle">
    <w:name w:val="Table Title"/>
    <w:basedOn w:val="Normal"/>
    <w:next w:val="1"/>
    <w:rsid w:val="00A34636"/>
    <w:pPr>
      <w:autoSpaceDE w:val="0"/>
      <w:autoSpaceDN w:val="0"/>
      <w:jc w:val="center"/>
    </w:pPr>
    <w:rPr>
      <w:rFonts w:ascii="Cambria" w:hAnsi="Cambria" w:cs="Calibri"/>
      <w:kern w:val="2"/>
      <w:lang w:val="en-US" w:eastAsia="zh-CN"/>
    </w:rPr>
  </w:style>
  <w:style w:type="paragraph" w:customStyle="1" w:styleId="Equation0">
    <w:name w:val="Equation"/>
    <w:basedOn w:val="Normal"/>
    <w:next w:val="Normal"/>
    <w:rsid w:val="00A34636"/>
    <w:pPr>
      <w:widowControl w:val="0"/>
      <w:tabs>
        <w:tab w:val="right" w:pos="5040"/>
      </w:tabs>
      <w:autoSpaceDE w:val="0"/>
      <w:autoSpaceDN w:val="0"/>
      <w:spacing w:line="252" w:lineRule="auto"/>
      <w:jc w:val="right"/>
    </w:pPr>
    <w:rPr>
      <w:rFonts w:eastAsia="SimSun"/>
      <w:kern w:val="2"/>
      <w:lang w:val="en-US" w:eastAsia="zh-CN"/>
    </w:rPr>
  </w:style>
  <w:style w:type="paragraph" w:customStyle="1" w:styleId="figurecaption">
    <w:name w:val="figure caption"/>
    <w:basedOn w:val="Biography"/>
    <w:link w:val="figurecaptionChar"/>
    <w:qFormat/>
    <w:rsid w:val="00A34636"/>
    <w:pPr>
      <w:jc w:val="center"/>
    </w:pPr>
  </w:style>
  <w:style w:type="character" w:customStyle="1" w:styleId="BiographyChar">
    <w:name w:val="Biography Char"/>
    <w:link w:val="Biography"/>
    <w:rsid w:val="00A34636"/>
    <w:rPr>
      <w:rFonts w:ascii="Cambria" w:eastAsiaTheme="minorEastAsia" w:hAnsi="Cambria" w:cs="Calibri"/>
      <w:kern w:val="2"/>
      <w:sz w:val="21"/>
      <w:szCs w:val="21"/>
      <w:lang w:val="en-US" w:eastAsia="zh-CN"/>
    </w:rPr>
  </w:style>
  <w:style w:type="character" w:customStyle="1" w:styleId="figurecaptionChar">
    <w:name w:val="figure caption Char"/>
    <w:basedOn w:val="BiographyChar"/>
    <w:link w:val="figurecaption"/>
    <w:rsid w:val="00A34636"/>
    <w:rPr>
      <w:rFonts w:ascii="Cambria" w:eastAsiaTheme="minorEastAsia" w:hAnsi="Cambria" w:cs="Calibri"/>
      <w:kern w:val="2"/>
      <w:sz w:val="21"/>
      <w:szCs w:val="21"/>
      <w:lang w:val="en-US" w:eastAsia="zh-CN"/>
    </w:rPr>
  </w:style>
  <w:style w:type="paragraph" w:customStyle="1" w:styleId="Authors">
    <w:name w:val="Authors"/>
    <w:basedOn w:val="Normal"/>
    <w:link w:val="AuthorsChar"/>
    <w:qFormat/>
    <w:rsid w:val="00A34636"/>
    <w:pPr>
      <w:autoSpaceDE w:val="0"/>
      <w:autoSpaceDN w:val="0"/>
      <w:spacing w:before="120" w:after="60"/>
    </w:pPr>
    <w:rPr>
      <w:rFonts w:ascii="Cambria" w:eastAsia="SimSun" w:hAnsi="Cambria" w:cs="Calibri"/>
      <w:kern w:val="2"/>
      <w:lang w:val="en-US" w:eastAsia="zh-CN"/>
    </w:rPr>
  </w:style>
  <w:style w:type="paragraph" w:customStyle="1" w:styleId="Affiliation0">
    <w:name w:val="Affiliation"/>
    <w:basedOn w:val="Normal"/>
    <w:link w:val="AffiliationChar"/>
    <w:qFormat/>
    <w:rsid w:val="00A34636"/>
    <w:pPr>
      <w:autoSpaceDE w:val="0"/>
      <w:autoSpaceDN w:val="0"/>
    </w:pPr>
    <w:rPr>
      <w:rFonts w:ascii="Cambria" w:eastAsia="SimSun" w:hAnsi="Cambria" w:cs="Calibri"/>
      <w:kern w:val="2"/>
      <w:lang w:val="en-US" w:eastAsia="zh-CN"/>
    </w:rPr>
  </w:style>
  <w:style w:type="character" w:customStyle="1" w:styleId="AuthorsChar">
    <w:name w:val="Authors Char"/>
    <w:basedOn w:val="Fuentedeprrafopredeter"/>
    <w:link w:val="Authors"/>
    <w:rsid w:val="00A34636"/>
    <w:rPr>
      <w:rFonts w:ascii="Cambria" w:eastAsia="SimSun" w:hAnsi="Cambria" w:cs="Calibri"/>
      <w:kern w:val="2"/>
      <w:sz w:val="24"/>
      <w:szCs w:val="21"/>
      <w:lang w:val="en-US" w:eastAsia="zh-CN"/>
    </w:rPr>
  </w:style>
  <w:style w:type="character" w:customStyle="1" w:styleId="AffiliationChar">
    <w:name w:val="Affiliation Char"/>
    <w:basedOn w:val="Fuentedeprrafopredeter"/>
    <w:link w:val="Affiliation0"/>
    <w:rsid w:val="00A34636"/>
    <w:rPr>
      <w:rFonts w:ascii="Cambria" w:eastAsia="SimSun" w:hAnsi="Cambria" w:cs="Calibri"/>
      <w:kern w:val="2"/>
      <w:sz w:val="21"/>
      <w:szCs w:val="21"/>
      <w:lang w:val="en-US" w:eastAsia="zh-CN"/>
    </w:rPr>
  </w:style>
  <w:style w:type="character" w:customStyle="1" w:styleId="ReferenceHeadChar">
    <w:name w:val="Reference Head Char"/>
    <w:basedOn w:val="Ttulo1Car"/>
    <w:link w:val="ReferenceHead"/>
    <w:rsid w:val="00A34636"/>
    <w:rPr>
      <w:rFonts w:asciiTheme="majorHAnsi" w:eastAsia="SimSun" w:hAnsiTheme="majorHAnsi" w:cstheme="majorBidi"/>
      <w:b/>
      <w:iCs/>
      <w:color w:val="006699"/>
      <w:sz w:val="24"/>
      <w:szCs w:val="40"/>
      <w:lang w:val="en-US" w:eastAsia="zh-CN"/>
    </w:rPr>
  </w:style>
  <w:style w:type="paragraph" w:customStyle="1" w:styleId="Text">
    <w:name w:val="Text"/>
    <w:basedOn w:val="Normal"/>
    <w:rsid w:val="00A34636"/>
    <w:pPr>
      <w:widowControl w:val="0"/>
      <w:autoSpaceDE w:val="0"/>
      <w:autoSpaceDN w:val="0"/>
      <w:spacing w:line="252" w:lineRule="auto"/>
      <w:ind w:firstLine="202"/>
      <w:jc w:val="both"/>
    </w:pPr>
    <w:rPr>
      <w:rFonts w:eastAsia="PMingLiU"/>
      <w:sz w:val="20"/>
      <w:szCs w:val="20"/>
      <w:lang w:val="en-US"/>
    </w:rPr>
  </w:style>
  <w:style w:type="character" w:customStyle="1" w:styleId="Ttulo6Car">
    <w:name w:val="Título 6 Car"/>
    <w:basedOn w:val="Fuentedeprrafopredeter"/>
    <w:link w:val="Ttulo6"/>
    <w:uiPriority w:val="9"/>
    <w:semiHidden/>
    <w:rsid w:val="002D15D5"/>
    <w:rPr>
      <w:rFonts w:asciiTheme="majorHAnsi" w:eastAsiaTheme="majorEastAsia" w:hAnsiTheme="majorHAnsi" w:cstheme="majorBidi"/>
      <w:color w:val="F79646" w:themeColor="accent6"/>
    </w:rPr>
  </w:style>
  <w:style w:type="character" w:customStyle="1" w:styleId="Ttulo7Car">
    <w:name w:val="Título 7 Car"/>
    <w:basedOn w:val="Fuentedeprrafopredeter"/>
    <w:link w:val="Ttulo7"/>
    <w:uiPriority w:val="9"/>
    <w:semiHidden/>
    <w:rsid w:val="002D15D5"/>
    <w:rPr>
      <w:rFonts w:asciiTheme="majorHAnsi" w:eastAsiaTheme="majorEastAsia" w:hAnsiTheme="majorHAnsi" w:cstheme="majorBidi"/>
      <w:b/>
      <w:bCs/>
      <w:color w:val="F79646" w:themeColor="accent6"/>
    </w:rPr>
  </w:style>
  <w:style w:type="character" w:customStyle="1" w:styleId="Ttulo9Car">
    <w:name w:val="Título 9 Car"/>
    <w:basedOn w:val="Fuentedeprrafopredeter"/>
    <w:link w:val="Ttulo9"/>
    <w:uiPriority w:val="9"/>
    <w:semiHidden/>
    <w:rsid w:val="002D15D5"/>
    <w:rPr>
      <w:rFonts w:asciiTheme="majorHAnsi" w:eastAsiaTheme="majorEastAsia" w:hAnsiTheme="majorHAnsi" w:cstheme="majorBidi"/>
      <w:i/>
      <w:iCs/>
      <w:color w:val="F79646" w:themeColor="accent6"/>
      <w:sz w:val="20"/>
      <w:szCs w:val="20"/>
    </w:rPr>
  </w:style>
  <w:style w:type="character" w:styleId="Textoennegrita">
    <w:name w:val="Strong"/>
    <w:basedOn w:val="Fuentedeprrafopredeter"/>
    <w:uiPriority w:val="22"/>
    <w:qFormat/>
    <w:rsid w:val="002D15D5"/>
    <w:rPr>
      <w:b/>
      <w:bCs/>
    </w:rPr>
  </w:style>
  <w:style w:type="paragraph" w:styleId="Cita">
    <w:name w:val="Quote"/>
    <w:basedOn w:val="Normal"/>
    <w:next w:val="Normal"/>
    <w:link w:val="CitaCar"/>
    <w:uiPriority w:val="29"/>
    <w:qFormat/>
    <w:rsid w:val="002D15D5"/>
    <w:pPr>
      <w:spacing w:before="160"/>
      <w:ind w:left="720" w:right="720"/>
      <w:jc w:val="center"/>
    </w:pPr>
    <w:rPr>
      <w:i/>
      <w:iCs/>
      <w:color w:val="262626" w:themeColor="text1" w:themeTint="D9"/>
    </w:rPr>
  </w:style>
  <w:style w:type="character" w:customStyle="1" w:styleId="CitaCar">
    <w:name w:val="Cita Car"/>
    <w:basedOn w:val="Fuentedeprrafopredeter"/>
    <w:link w:val="Cita"/>
    <w:uiPriority w:val="29"/>
    <w:rsid w:val="002D15D5"/>
    <w:rPr>
      <w:i/>
      <w:iCs/>
      <w:color w:val="262626" w:themeColor="text1" w:themeTint="D9"/>
    </w:rPr>
  </w:style>
  <w:style w:type="paragraph" w:styleId="Citadestacada">
    <w:name w:val="Intense Quote"/>
    <w:basedOn w:val="Normal"/>
    <w:next w:val="Normal"/>
    <w:link w:val="CitadestacadaCar"/>
    <w:uiPriority w:val="30"/>
    <w:qFormat/>
    <w:rsid w:val="002D15D5"/>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CitadestacadaCar">
    <w:name w:val="Cita destacada Car"/>
    <w:basedOn w:val="Fuentedeprrafopredeter"/>
    <w:link w:val="Citadestacada"/>
    <w:uiPriority w:val="30"/>
    <w:rsid w:val="002D15D5"/>
    <w:rPr>
      <w:rFonts w:asciiTheme="majorHAnsi" w:eastAsiaTheme="majorEastAsia" w:hAnsiTheme="majorHAnsi" w:cstheme="majorBidi"/>
      <w:i/>
      <w:iCs/>
      <w:color w:val="F79646" w:themeColor="accent6"/>
      <w:sz w:val="32"/>
      <w:szCs w:val="32"/>
    </w:rPr>
  </w:style>
  <w:style w:type="character" w:styleId="nfasissutil">
    <w:name w:val="Subtle Emphasis"/>
    <w:basedOn w:val="Fuentedeprrafopredeter"/>
    <w:uiPriority w:val="19"/>
    <w:qFormat/>
    <w:rsid w:val="002D15D5"/>
    <w:rPr>
      <w:i/>
      <w:iCs/>
    </w:rPr>
  </w:style>
  <w:style w:type="character" w:styleId="nfasisintenso">
    <w:name w:val="Intense Emphasis"/>
    <w:basedOn w:val="Fuentedeprrafopredeter"/>
    <w:uiPriority w:val="21"/>
    <w:qFormat/>
    <w:rsid w:val="002D15D5"/>
    <w:rPr>
      <w:b/>
      <w:bCs/>
      <w:i/>
      <w:iCs/>
    </w:rPr>
  </w:style>
  <w:style w:type="character" w:styleId="Referenciasutil">
    <w:name w:val="Subtle Reference"/>
    <w:basedOn w:val="Fuentedeprrafopredeter"/>
    <w:uiPriority w:val="31"/>
    <w:qFormat/>
    <w:rsid w:val="002D15D5"/>
    <w:rPr>
      <w:smallCaps/>
      <w:color w:val="595959" w:themeColor="text1" w:themeTint="A6"/>
    </w:rPr>
  </w:style>
  <w:style w:type="character" w:styleId="Referenciaintensa">
    <w:name w:val="Intense Reference"/>
    <w:basedOn w:val="Fuentedeprrafopredeter"/>
    <w:uiPriority w:val="32"/>
    <w:qFormat/>
    <w:rsid w:val="002D15D5"/>
    <w:rPr>
      <w:b/>
      <w:bCs/>
      <w:smallCaps/>
      <w:color w:val="F79646" w:themeColor="accent6"/>
    </w:rPr>
  </w:style>
  <w:style w:type="paragraph" w:customStyle="1" w:styleId="Referencias">
    <w:name w:val="Referencias"/>
    <w:basedOn w:val="Normal"/>
    <w:next w:val="Normal"/>
    <w:uiPriority w:val="99"/>
    <w:rsid w:val="00116469"/>
    <w:pPr>
      <w:spacing w:before="120" w:after="120" w:line="240" w:lineRule="auto"/>
      <w:ind w:left="425" w:hanging="425"/>
      <w:jc w:val="both"/>
    </w:pPr>
    <w:rPr>
      <w:rFonts w:ascii="Times New Roman" w:eastAsia="Times New Roman" w:hAnsi="Times New Roman" w:cs="Times New Roman"/>
      <w:sz w:val="20"/>
      <w:szCs w:val="20"/>
      <w:lang w:eastAsia="es-ES"/>
    </w:rPr>
  </w:style>
  <w:style w:type="character" w:customStyle="1" w:styleId="toc-headervolume">
    <w:name w:val="toc-header__volume"/>
    <w:rsid w:val="00D11886"/>
  </w:style>
  <w:style w:type="character" w:customStyle="1" w:styleId="toc-headerissue">
    <w:name w:val="toc-header__issue"/>
    <w:rsid w:val="00D11886"/>
  </w:style>
  <w:style w:type="character" w:customStyle="1" w:styleId="toc-headerseries">
    <w:name w:val="toc-header__series"/>
    <w:rsid w:val="00D11886"/>
  </w:style>
  <w:style w:type="paragraph" w:customStyle="1" w:styleId="c-author-listitem">
    <w:name w:val="c-author-list__item"/>
    <w:basedOn w:val="Normal"/>
    <w:rsid w:val="00D11886"/>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A8">
    <w:name w:val="A8"/>
    <w:uiPriority w:val="99"/>
    <w:rsid w:val="00D11886"/>
    <w:rPr>
      <w:rFonts w:cs="Minion Pro"/>
      <w:color w:val="000000"/>
      <w:sz w:val="17"/>
      <w:szCs w:val="17"/>
    </w:rPr>
  </w:style>
  <w:style w:type="paragraph" w:customStyle="1" w:styleId="TextoPrincipalV2">
    <w:name w:val="Texto Principal V2"/>
    <w:basedOn w:val="Normal"/>
    <w:link w:val="TextoPrincipalV2Car"/>
    <w:autoRedefine/>
    <w:qFormat/>
    <w:rsid w:val="000B736D"/>
    <w:pPr>
      <w:suppressAutoHyphens/>
      <w:spacing w:after="0" w:line="240" w:lineRule="auto"/>
      <w:ind w:firstLine="567"/>
      <w:jc w:val="both"/>
    </w:pPr>
    <w:rPr>
      <w:rFonts w:ascii="Arial" w:eastAsia="Batang" w:hAnsi="Arial" w:cs="Arial"/>
      <w:bCs/>
      <w:sz w:val="24"/>
      <w:szCs w:val="24"/>
      <w:lang w:val="es-MX" w:eastAsia="ar-SA"/>
    </w:rPr>
  </w:style>
  <w:style w:type="character" w:customStyle="1" w:styleId="TextoPrincipalV2Car">
    <w:name w:val="Texto Principal V2 Car"/>
    <w:basedOn w:val="TextoindependienteCar"/>
    <w:link w:val="TextoPrincipalV2"/>
    <w:rsid w:val="000B736D"/>
    <w:rPr>
      <w:rFonts w:ascii="Arial" w:eastAsia="Batang" w:hAnsi="Arial" w:cs="Arial"/>
      <w:b w:val="0"/>
      <w:bCs/>
      <w:sz w:val="24"/>
      <w:szCs w:val="24"/>
      <w:lang w:val="es-MX" w:eastAsia="ar-SA"/>
    </w:rPr>
  </w:style>
  <w:style w:type="paragraph" w:customStyle="1" w:styleId="Tablasyfiguras">
    <w:name w:val="Tablas y figuras"/>
    <w:basedOn w:val="Textoindependiente"/>
    <w:link w:val="TablasyfigurasCar"/>
    <w:qFormat/>
    <w:rsid w:val="000B736D"/>
    <w:pPr>
      <w:suppressAutoHyphens/>
      <w:spacing w:after="0" w:line="360" w:lineRule="auto"/>
      <w:jc w:val="center"/>
    </w:pPr>
    <w:rPr>
      <w:rFonts w:ascii="Arial" w:eastAsia="Batang" w:hAnsi="Arial" w:cs="Arial"/>
      <w:b w:val="0"/>
      <w:bCs w:val="0"/>
      <w:i/>
      <w:iCs/>
      <w:color w:val="000000" w:themeColor="text1"/>
      <w:sz w:val="20"/>
      <w:szCs w:val="20"/>
      <w:lang w:val="es-MX" w:eastAsia="ar-SA"/>
    </w:rPr>
  </w:style>
  <w:style w:type="paragraph" w:customStyle="1" w:styleId="1Titulo">
    <w:name w:val="1. Titulo"/>
    <w:basedOn w:val="Normal"/>
    <w:link w:val="1TituloCar"/>
    <w:qFormat/>
    <w:rsid w:val="000B736D"/>
    <w:pPr>
      <w:numPr>
        <w:numId w:val="8"/>
      </w:numPr>
      <w:tabs>
        <w:tab w:val="left" w:pos="0"/>
      </w:tabs>
      <w:suppressAutoHyphens/>
      <w:spacing w:after="0" w:line="360" w:lineRule="auto"/>
      <w:ind w:left="357" w:hanging="357"/>
      <w:outlineLvl w:val="0"/>
    </w:pPr>
    <w:rPr>
      <w:rFonts w:ascii="Arial" w:eastAsia="Batang" w:hAnsi="Arial" w:cs="Arial"/>
      <w:b/>
      <w:bCs/>
      <w:color w:val="000000" w:themeColor="text1"/>
      <w:sz w:val="24"/>
      <w:szCs w:val="24"/>
      <w:lang w:val="es-MX" w:eastAsia="ko-KR"/>
    </w:rPr>
  </w:style>
  <w:style w:type="character" w:customStyle="1" w:styleId="TablasyfigurasCar">
    <w:name w:val="Tablas y figuras Car"/>
    <w:basedOn w:val="TextoindependienteCar"/>
    <w:link w:val="Tablasyfiguras"/>
    <w:rsid w:val="000B736D"/>
    <w:rPr>
      <w:rFonts w:ascii="Arial" w:eastAsia="Batang" w:hAnsi="Arial" w:cs="Arial"/>
      <w:b w:val="0"/>
      <w:bCs w:val="0"/>
      <w:i/>
      <w:iCs/>
      <w:color w:val="000000" w:themeColor="text1"/>
      <w:sz w:val="20"/>
      <w:szCs w:val="20"/>
      <w:lang w:val="es-MX" w:eastAsia="ar-SA"/>
    </w:rPr>
  </w:style>
  <w:style w:type="paragraph" w:customStyle="1" w:styleId="11Ttulo">
    <w:name w:val="1.1 Título"/>
    <w:basedOn w:val="1Titulo"/>
    <w:link w:val="11TtuloCar"/>
    <w:autoRedefine/>
    <w:qFormat/>
    <w:rsid w:val="000B736D"/>
    <w:pPr>
      <w:numPr>
        <w:ilvl w:val="1"/>
        <w:numId w:val="9"/>
      </w:numPr>
      <w:tabs>
        <w:tab w:val="clear" w:pos="0"/>
      </w:tabs>
      <w:jc w:val="both"/>
      <w:outlineLvl w:val="9"/>
    </w:pPr>
    <w:rPr>
      <w:rFonts w:eastAsiaTheme="minorEastAsia"/>
      <w:b w:val="0"/>
      <w:i/>
      <w:color w:val="000000"/>
      <w:sz w:val="21"/>
      <w:szCs w:val="21"/>
      <w:lang w:eastAsia="en-US"/>
    </w:rPr>
  </w:style>
  <w:style w:type="character" w:customStyle="1" w:styleId="1TituloCar">
    <w:name w:val="1. Titulo Car"/>
    <w:basedOn w:val="Fuentedeprrafopredeter"/>
    <w:link w:val="1Titulo"/>
    <w:rsid w:val="000B736D"/>
    <w:rPr>
      <w:rFonts w:ascii="Arial" w:eastAsia="Batang" w:hAnsi="Arial" w:cs="Arial"/>
      <w:b/>
      <w:bCs/>
      <w:color w:val="000000" w:themeColor="text1"/>
      <w:sz w:val="24"/>
      <w:szCs w:val="24"/>
      <w:lang w:val="es-MX" w:eastAsia="ko-KR"/>
    </w:rPr>
  </w:style>
  <w:style w:type="character" w:customStyle="1" w:styleId="PrrafodelistaCar">
    <w:name w:val="Párrafo de lista Car"/>
    <w:basedOn w:val="Fuentedeprrafopredeter"/>
    <w:link w:val="Prrafodelista"/>
    <w:uiPriority w:val="63"/>
    <w:rsid w:val="000B736D"/>
  </w:style>
  <w:style w:type="character" w:customStyle="1" w:styleId="11TtuloCar">
    <w:name w:val="1.1 Título Car"/>
    <w:basedOn w:val="PrrafodelistaCar"/>
    <w:link w:val="11Ttulo"/>
    <w:rsid w:val="000B736D"/>
    <w:rPr>
      <w:rFonts w:ascii="Arial" w:hAnsi="Arial" w:cs="Arial"/>
      <w:bCs/>
      <w:i/>
      <w:color w:val="000000"/>
      <w:lang w:val="es-MX"/>
    </w:rPr>
  </w:style>
  <w:style w:type="paragraph" w:customStyle="1" w:styleId="111Titulo">
    <w:name w:val="1.1.1 Titulo"/>
    <w:basedOn w:val="11Ttulo"/>
    <w:link w:val="111TituloCar"/>
    <w:qFormat/>
    <w:rsid w:val="000B736D"/>
    <w:pPr>
      <w:numPr>
        <w:ilvl w:val="2"/>
      </w:numPr>
      <w:ind w:left="2084" w:hanging="180"/>
    </w:pPr>
    <w:rPr>
      <w:iCs/>
    </w:rPr>
  </w:style>
  <w:style w:type="table" w:styleId="Tabladecuadrcula2">
    <w:name w:val="Grid Table 2"/>
    <w:basedOn w:val="Tablanormal"/>
    <w:uiPriority w:val="47"/>
    <w:rsid w:val="00894519"/>
    <w:pPr>
      <w:spacing w:after="0" w:line="240" w:lineRule="auto"/>
    </w:pPr>
    <w:rPr>
      <w:rFonts w:eastAsiaTheme="minorHAnsi"/>
      <w:sz w:val="22"/>
      <w:szCs w:val="22"/>
      <w:lang w:val="es-MX"/>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Absatz-Standardschriftart">
    <w:name w:val="Absatz-Standardschriftart"/>
    <w:rsid w:val="00E2654A"/>
  </w:style>
  <w:style w:type="paragraph" w:customStyle="1" w:styleId="subsection">
    <w:name w:val="subsection"/>
    <w:rsid w:val="00E2654A"/>
    <w:pPr>
      <w:numPr>
        <w:ilvl w:val="1"/>
        <w:numId w:val="10"/>
      </w:numPr>
      <w:tabs>
        <w:tab w:val="num" w:pos="360"/>
        <w:tab w:val="left" w:pos="567"/>
      </w:tabs>
      <w:spacing w:before="240" w:after="0" w:line="240" w:lineRule="auto"/>
    </w:pPr>
    <w:rPr>
      <w:rFonts w:ascii="Times" w:eastAsia="SimSun" w:hAnsi="Times" w:cs="Times New Roman"/>
      <w:i/>
      <w:iCs/>
      <w:color w:val="000000"/>
      <w:sz w:val="22"/>
      <w:szCs w:val="22"/>
      <w:lang w:val="en-US"/>
    </w:rPr>
  </w:style>
  <w:style w:type="paragraph" w:customStyle="1" w:styleId="section">
    <w:name w:val="section"/>
    <w:autoRedefine/>
    <w:rsid w:val="00E2654A"/>
    <w:pPr>
      <w:numPr>
        <w:numId w:val="10"/>
      </w:numPr>
      <w:tabs>
        <w:tab w:val="num" w:pos="360"/>
        <w:tab w:val="left" w:pos="567"/>
      </w:tabs>
      <w:spacing w:before="240" w:after="0" w:line="240" w:lineRule="auto"/>
    </w:pPr>
    <w:rPr>
      <w:rFonts w:ascii="Times" w:eastAsia="SimSun" w:hAnsi="Times" w:cs="Times New Roman"/>
      <w:b/>
      <w:color w:val="000000"/>
      <w:sz w:val="22"/>
      <w:szCs w:val="22"/>
      <w:lang w:val="en-GB"/>
    </w:rPr>
  </w:style>
  <w:style w:type="paragraph" w:customStyle="1" w:styleId="subsubsection">
    <w:name w:val="subsubsection"/>
    <w:link w:val="subsubsectionChar"/>
    <w:autoRedefine/>
    <w:rsid w:val="00E2654A"/>
    <w:pPr>
      <w:numPr>
        <w:ilvl w:val="2"/>
        <w:numId w:val="10"/>
      </w:numPr>
      <w:tabs>
        <w:tab w:val="left" w:pos="567"/>
      </w:tabs>
      <w:spacing w:before="240" w:after="0" w:line="240" w:lineRule="auto"/>
      <w:ind w:left="0" w:firstLine="0"/>
      <w:jc w:val="both"/>
    </w:pPr>
    <w:rPr>
      <w:rFonts w:ascii="Times" w:eastAsia="SimSun" w:hAnsi="Times" w:cs="Times New Roman"/>
      <w:i/>
      <w:iCs/>
      <w:color w:val="000000"/>
      <w:sz w:val="22"/>
      <w:szCs w:val="22"/>
      <w:lang w:val="en-US"/>
    </w:rPr>
  </w:style>
  <w:style w:type="character" w:customStyle="1" w:styleId="subsubsectionChar">
    <w:name w:val="subsubsection Char"/>
    <w:link w:val="subsubsection"/>
    <w:rsid w:val="00E2654A"/>
    <w:rPr>
      <w:rFonts w:ascii="Times" w:eastAsia="SimSun" w:hAnsi="Times" w:cs="Times New Roman"/>
      <w:i/>
      <w:iCs/>
      <w:color w:val="000000"/>
      <w:sz w:val="22"/>
      <w:szCs w:val="22"/>
      <w:lang w:val="en-US"/>
    </w:rPr>
  </w:style>
  <w:style w:type="paragraph" w:customStyle="1" w:styleId="Listavistosa-nfasis11">
    <w:name w:val="Lista vistosa - Énfasis 11"/>
    <w:basedOn w:val="Normal"/>
    <w:uiPriority w:val="34"/>
    <w:qFormat/>
    <w:rsid w:val="00E2654A"/>
    <w:pPr>
      <w:spacing w:after="160" w:line="259" w:lineRule="auto"/>
      <w:ind w:left="720"/>
      <w:contextualSpacing/>
    </w:pPr>
    <w:rPr>
      <w:rFonts w:ascii="Calibri" w:eastAsia="Calibri" w:hAnsi="Calibri" w:cs="Times New Roman"/>
      <w:sz w:val="22"/>
      <w:szCs w:val="22"/>
      <w:lang w:val="es-MX"/>
    </w:rPr>
  </w:style>
  <w:style w:type="character" w:customStyle="1" w:styleId="UnresolvedMention">
    <w:name w:val="Unresolved Mention"/>
    <w:basedOn w:val="Fuentedeprrafopredeter"/>
    <w:uiPriority w:val="47"/>
    <w:rsid w:val="00E2654A"/>
    <w:rPr>
      <w:color w:val="605E5C"/>
      <w:shd w:val="clear" w:color="auto" w:fill="E1DFDD"/>
    </w:rPr>
  </w:style>
  <w:style w:type="paragraph" w:customStyle="1" w:styleId="TextoPrincipal">
    <w:name w:val="Texto Principal"/>
    <w:basedOn w:val="Textoindependiente"/>
    <w:next w:val="TextoPrincipalV2"/>
    <w:link w:val="TextoPrincipalCar"/>
    <w:rsid w:val="00E2654A"/>
    <w:pPr>
      <w:suppressAutoHyphens/>
      <w:spacing w:after="0" w:line="240" w:lineRule="auto"/>
      <w:jc w:val="both"/>
    </w:pPr>
    <w:rPr>
      <w:rFonts w:ascii="Arial" w:eastAsia="Batang" w:hAnsi="Arial" w:cs="Arial"/>
      <w:b w:val="0"/>
      <w:sz w:val="24"/>
      <w:szCs w:val="24"/>
      <w:lang w:val="es-MX" w:eastAsia="ko-KR"/>
    </w:rPr>
  </w:style>
  <w:style w:type="character" w:customStyle="1" w:styleId="TextoPrincipalCar">
    <w:name w:val="Texto Principal Car"/>
    <w:basedOn w:val="TextoindependienteCar"/>
    <w:link w:val="TextoPrincipal"/>
    <w:rsid w:val="00E2654A"/>
    <w:rPr>
      <w:rFonts w:ascii="Arial" w:eastAsia="Batang" w:hAnsi="Arial" w:cs="Arial"/>
      <w:b w:val="0"/>
      <w:bCs/>
      <w:sz w:val="24"/>
      <w:szCs w:val="24"/>
      <w:lang w:val="es-MX" w:eastAsia="ko-KR"/>
    </w:rPr>
  </w:style>
  <w:style w:type="paragraph" w:customStyle="1" w:styleId="TextoTabla">
    <w:name w:val="Texto Tabla"/>
    <w:basedOn w:val="Normal"/>
    <w:link w:val="TextoTablaCar"/>
    <w:qFormat/>
    <w:rsid w:val="00E2654A"/>
    <w:pPr>
      <w:suppressAutoHyphens/>
      <w:spacing w:after="0" w:line="240" w:lineRule="auto"/>
    </w:pPr>
    <w:rPr>
      <w:rFonts w:ascii="Arial" w:eastAsia="Batang" w:hAnsi="Arial" w:cs="Arial"/>
      <w:color w:val="000000" w:themeColor="text1"/>
      <w:sz w:val="20"/>
      <w:szCs w:val="20"/>
      <w:lang w:val="es-MX" w:eastAsia="ko-KR"/>
    </w:rPr>
  </w:style>
  <w:style w:type="character" w:customStyle="1" w:styleId="TextoTablaCar">
    <w:name w:val="Texto Tabla Car"/>
    <w:basedOn w:val="Fuentedeprrafopredeter"/>
    <w:link w:val="TextoTabla"/>
    <w:rsid w:val="00E2654A"/>
    <w:rPr>
      <w:rFonts w:ascii="Arial" w:eastAsia="Batang" w:hAnsi="Arial" w:cs="Arial"/>
      <w:color w:val="000000" w:themeColor="text1"/>
      <w:sz w:val="20"/>
      <w:szCs w:val="20"/>
      <w:lang w:val="es-MX" w:eastAsia="ko-KR"/>
    </w:rPr>
  </w:style>
  <w:style w:type="table" w:customStyle="1" w:styleId="Tablaconcuadrcula1">
    <w:name w:val="Tabla con cuadrícula1"/>
    <w:basedOn w:val="Tablanormal"/>
    <w:next w:val="Tablaconcuadrcula"/>
    <w:uiPriority w:val="39"/>
    <w:rsid w:val="00E2654A"/>
    <w:pPr>
      <w:spacing w:after="0" w:line="240" w:lineRule="auto"/>
    </w:pPr>
    <w:rPr>
      <w:rFonts w:ascii="Calibri" w:eastAsia="Calibri" w:hAnsi="Calibri" w:cs="Arial"/>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1TituloCar">
    <w:name w:val="1.1.1 Titulo Car"/>
    <w:basedOn w:val="11TtuloCar"/>
    <w:link w:val="111Titulo"/>
    <w:rsid w:val="00E2654A"/>
    <w:rPr>
      <w:rFonts w:ascii="Arial" w:hAnsi="Arial" w:cs="Arial"/>
      <w:bCs/>
      <w:i/>
      <w:iCs/>
      <w:color w:val="000000"/>
      <w:lang w:val="es-MX"/>
    </w:rPr>
  </w:style>
  <w:style w:type="table" w:customStyle="1" w:styleId="Tablaconcuadrcula2">
    <w:name w:val="Tabla con cuadrícula2"/>
    <w:basedOn w:val="Tablanormal"/>
    <w:next w:val="Tablaconcuadrcula"/>
    <w:rsid w:val="00E2654A"/>
    <w:pPr>
      <w:spacing w:after="0" w:line="240" w:lineRule="auto"/>
    </w:pPr>
    <w:rPr>
      <w:rFonts w:ascii="Calibri" w:eastAsia="Calibri" w:hAnsi="Calibri" w:cs="Arial"/>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rsid w:val="00E2654A"/>
    <w:pPr>
      <w:spacing w:after="0" w:line="240" w:lineRule="auto"/>
    </w:pPr>
    <w:rPr>
      <w:rFonts w:ascii="Times New Roman" w:eastAsia="SimSun" w:hAnsi="Times New Roman" w:cs="Times New Roman"/>
      <w:sz w:val="20"/>
      <w:szCs w:val="20"/>
      <w:lang w:val="es-MX" w:eastAsia="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rsid w:val="00E2654A"/>
    <w:pPr>
      <w:spacing w:after="0" w:line="240" w:lineRule="auto"/>
    </w:pPr>
    <w:rPr>
      <w:rFonts w:ascii="Times New Roman" w:eastAsia="SimSun" w:hAnsi="Times New Roman" w:cs="Times New Roman"/>
      <w:sz w:val="20"/>
      <w:szCs w:val="20"/>
      <w:lang w:val="es-MX" w:eastAsia="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list">
    <w:name w:val="bullet list"/>
    <w:basedOn w:val="Textoindependiente"/>
    <w:rsid w:val="00E2654A"/>
    <w:pPr>
      <w:numPr>
        <w:numId w:val="11"/>
      </w:numPr>
      <w:tabs>
        <w:tab w:val="left" w:pos="288"/>
      </w:tabs>
      <w:spacing w:after="120" w:line="228" w:lineRule="auto"/>
      <w:ind w:left="0" w:firstLine="288"/>
      <w:jc w:val="both"/>
    </w:pPr>
    <w:rPr>
      <w:rFonts w:ascii="Times New Roman" w:eastAsia="SimSun" w:hAnsi="Times New Roman" w:cs="Times New Roman"/>
      <w:b w:val="0"/>
      <w:bCs w:val="0"/>
      <w:spacing w:val="-1"/>
      <w:sz w:val="20"/>
      <w:szCs w:val="20"/>
      <w:lang w:val="x-none" w:eastAsia="x-none"/>
    </w:rPr>
  </w:style>
  <w:style w:type="paragraph" w:customStyle="1" w:styleId="references">
    <w:name w:val="references"/>
    <w:rsid w:val="00E2654A"/>
    <w:pPr>
      <w:spacing w:after="50" w:line="180" w:lineRule="exact"/>
      <w:jc w:val="both"/>
    </w:pPr>
    <w:rPr>
      <w:rFonts w:ascii="Times New Roman" w:eastAsia="MS Mincho" w:hAnsi="Times New Roman" w:cs="Times New Roman"/>
      <w:noProof/>
      <w:sz w:val="16"/>
      <w:szCs w:val="16"/>
      <w:lang w:val="en-US"/>
    </w:rPr>
  </w:style>
  <w:style w:type="character" w:customStyle="1" w:styleId="CarCar0">
    <w:name w:val="Car Car"/>
    <w:rsid w:val="00C30A21"/>
    <w:rPr>
      <w:rFonts w:ascii="Tahoma" w:eastAsia="Batang" w:hAnsi="Tahoma" w:cs="Tahoma"/>
      <w:sz w:val="16"/>
      <w:szCs w:val="16"/>
      <w:lang w:eastAsia="ko-KR"/>
    </w:rPr>
  </w:style>
  <w:style w:type="paragraph" w:customStyle="1" w:styleId="a1">
    <w:basedOn w:val="Normal"/>
    <w:next w:val="Descripcin"/>
    <w:qFormat/>
    <w:rsid w:val="00C30A21"/>
    <w:pPr>
      <w:suppressLineNumbers/>
      <w:suppressAutoHyphens/>
      <w:spacing w:before="120" w:after="120" w:line="240" w:lineRule="auto"/>
    </w:pPr>
    <w:rPr>
      <w:rFonts w:ascii="Times New Roman" w:eastAsia="Batang" w:hAnsi="Times New Roman" w:cs="Times New Roman"/>
      <w:i/>
      <w:iCs/>
      <w:sz w:val="24"/>
      <w:szCs w:val="24"/>
      <w:lang w:eastAsia="ko-KR"/>
    </w:rPr>
  </w:style>
  <w:style w:type="paragraph" w:customStyle="1" w:styleId="referenceitem">
    <w:name w:val="referenceitem"/>
    <w:basedOn w:val="Normal"/>
    <w:rsid w:val="00C30A21"/>
    <w:pPr>
      <w:numPr>
        <w:numId w:val="12"/>
      </w:numPr>
      <w:overflowPunct w:val="0"/>
      <w:autoSpaceDE w:val="0"/>
      <w:autoSpaceDN w:val="0"/>
      <w:adjustRightInd w:val="0"/>
      <w:spacing w:after="0" w:line="220" w:lineRule="atLeast"/>
      <w:jc w:val="both"/>
      <w:textAlignment w:val="baseline"/>
    </w:pPr>
    <w:rPr>
      <w:rFonts w:ascii="Times New Roman" w:eastAsia="Times New Roman" w:hAnsi="Times New Roman" w:cs="Times New Roman"/>
      <w:sz w:val="18"/>
      <w:szCs w:val="20"/>
      <w:lang w:val="en-US"/>
    </w:rPr>
  </w:style>
  <w:style w:type="numbering" w:customStyle="1" w:styleId="referencelist">
    <w:name w:val="referencelist"/>
    <w:basedOn w:val="Sinlista"/>
    <w:rsid w:val="00C30A21"/>
    <w:pPr>
      <w:numPr>
        <w:numId w:val="12"/>
      </w:numPr>
    </w:pPr>
  </w:style>
  <w:style w:type="paragraph" w:customStyle="1" w:styleId="paragraph">
    <w:name w:val="paragraph"/>
    <w:basedOn w:val="Normal"/>
    <w:rsid w:val="0075529F"/>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normaltextrun">
    <w:name w:val="normaltextrun"/>
    <w:basedOn w:val="Fuentedeprrafopredeter"/>
    <w:rsid w:val="0075529F"/>
  </w:style>
  <w:style w:type="character" w:customStyle="1" w:styleId="eop">
    <w:name w:val="eop"/>
    <w:basedOn w:val="Fuentedeprrafopredeter"/>
    <w:rsid w:val="0075529F"/>
  </w:style>
  <w:style w:type="character" w:customStyle="1" w:styleId="CarCar1">
    <w:name w:val="Car Car"/>
    <w:rsid w:val="00212B85"/>
    <w:rPr>
      <w:rFonts w:ascii="Tahoma" w:eastAsia="Batang" w:hAnsi="Tahoma" w:cs="Tahoma"/>
      <w:sz w:val="16"/>
      <w:szCs w:val="16"/>
      <w:lang w:eastAsia="ko-KR"/>
    </w:rPr>
  </w:style>
  <w:style w:type="paragraph" w:customStyle="1" w:styleId="a2">
    <w:basedOn w:val="Normal"/>
    <w:next w:val="Descripcin"/>
    <w:qFormat/>
    <w:rsid w:val="00212B85"/>
    <w:pPr>
      <w:suppressLineNumbers/>
      <w:suppressAutoHyphens/>
      <w:spacing w:before="120" w:after="120" w:line="240" w:lineRule="auto"/>
    </w:pPr>
    <w:rPr>
      <w:rFonts w:ascii="Times New Roman" w:eastAsia="Batang" w:hAnsi="Times New Roman" w:cs="Times New Roman"/>
      <w:i/>
      <w:iCs/>
      <w:sz w:val="24"/>
      <w:szCs w:val="24"/>
      <w:lang w:eastAsia="ko-KR"/>
    </w:rPr>
  </w:style>
  <w:style w:type="paragraph" w:customStyle="1" w:styleId="BodyMath">
    <w:name w:val="Body Math"/>
    <w:uiPriority w:val="99"/>
    <w:rsid w:val="00212B85"/>
    <w:pPr>
      <w:widowControl w:val="0"/>
      <w:autoSpaceDE w:val="0"/>
      <w:autoSpaceDN w:val="0"/>
      <w:adjustRightInd w:val="0"/>
      <w:spacing w:after="0" w:line="240" w:lineRule="auto"/>
    </w:pPr>
    <w:rPr>
      <w:rFonts w:ascii="Times New Roman" w:eastAsia="Times New Roman" w:hAnsi="Times New Roman" w:cs="Times New Roman"/>
      <w:sz w:val="24"/>
      <w:szCs w:val="24"/>
      <w:lang w:val="es-MX" w:eastAsia="es-MX"/>
    </w:rPr>
  </w:style>
  <w:style w:type="character" w:customStyle="1" w:styleId="apple-style-span">
    <w:name w:val="apple-style-span"/>
    <w:uiPriority w:val="99"/>
    <w:rsid w:val="00705D32"/>
  </w:style>
  <w:style w:type="paragraph" w:customStyle="1" w:styleId="TableParagraph">
    <w:name w:val="Table Paragraph"/>
    <w:basedOn w:val="Normal"/>
    <w:uiPriority w:val="1"/>
    <w:qFormat/>
    <w:rsid w:val="00463ECC"/>
    <w:pPr>
      <w:widowControl w:val="0"/>
      <w:autoSpaceDE w:val="0"/>
      <w:autoSpaceDN w:val="0"/>
      <w:spacing w:after="0" w:line="240" w:lineRule="auto"/>
    </w:pPr>
    <w:rPr>
      <w:rFonts w:ascii="Times New Roman" w:eastAsia="Times New Roman" w:hAnsi="Times New Roman" w:cs="Times New Roman"/>
      <w:sz w:val="22"/>
      <w:szCs w:val="22"/>
    </w:rPr>
  </w:style>
  <w:style w:type="character" w:customStyle="1" w:styleId="CarCar2">
    <w:name w:val="Car Car"/>
    <w:rsid w:val="00846109"/>
    <w:rPr>
      <w:rFonts w:ascii="Tahoma" w:eastAsia="Batang" w:hAnsi="Tahoma" w:cs="Tahoma"/>
      <w:sz w:val="16"/>
      <w:szCs w:val="16"/>
      <w:lang w:eastAsia="ko-KR"/>
    </w:rPr>
  </w:style>
  <w:style w:type="paragraph" w:customStyle="1" w:styleId="a3">
    <w:basedOn w:val="Normal"/>
    <w:next w:val="Descripcin"/>
    <w:qFormat/>
    <w:rsid w:val="00846109"/>
    <w:pPr>
      <w:suppressLineNumbers/>
      <w:suppressAutoHyphens/>
      <w:spacing w:before="120" w:after="120" w:line="240" w:lineRule="auto"/>
    </w:pPr>
    <w:rPr>
      <w:rFonts w:ascii="Times New Roman" w:eastAsia="Batang" w:hAnsi="Times New Roman" w:cs="Times New Roman"/>
      <w:i/>
      <w:iCs/>
      <w:sz w:val="24"/>
      <w:szCs w:val="24"/>
      <w:lang w:eastAsia="ko-KR"/>
    </w:rPr>
  </w:style>
  <w:style w:type="character" w:customStyle="1" w:styleId="shorttext">
    <w:name w:val="short_text"/>
    <w:rsid w:val="00846109"/>
  </w:style>
  <w:style w:type="paragraph" w:customStyle="1" w:styleId="a4">
    <w:basedOn w:val="Normal"/>
    <w:next w:val="Subttulo"/>
    <w:qFormat/>
    <w:rsid w:val="00E94344"/>
    <w:pPr>
      <w:suppressAutoHyphens/>
      <w:spacing w:before="240" w:after="60" w:line="240" w:lineRule="auto"/>
      <w:jc w:val="center"/>
    </w:pPr>
    <w:rPr>
      <w:rFonts w:ascii="Arial" w:eastAsia="Times New Roman" w:hAnsi="Arial" w:cs="Arial"/>
      <w:b/>
      <w:kern w:val="1"/>
      <w:sz w:val="28"/>
      <w:szCs w:val="20"/>
      <w:lang w:val="en-AU" w:eastAsia="ko-KR"/>
    </w:rPr>
  </w:style>
  <w:style w:type="paragraph" w:customStyle="1" w:styleId="Textoartculo">
    <w:name w:val="Texto artículo"/>
    <w:basedOn w:val="Normal"/>
    <w:rsid w:val="00E94344"/>
    <w:pPr>
      <w:spacing w:after="0" w:line="240" w:lineRule="auto"/>
      <w:ind w:firstLine="198"/>
      <w:jc w:val="both"/>
    </w:pPr>
    <w:rPr>
      <w:rFonts w:ascii="Times New Roman" w:eastAsia="Times New Roman" w:hAnsi="Times New Roman" w:cs="Times New Roman"/>
      <w:sz w:val="20"/>
      <w:szCs w:val="20"/>
      <w:lang w:val="es-CO" w:eastAsia="es-ES"/>
    </w:rPr>
  </w:style>
  <w:style w:type="paragraph" w:customStyle="1" w:styleId="Textoindependiente21">
    <w:name w:val="Texto independiente 21"/>
    <w:basedOn w:val="Normal"/>
    <w:rsid w:val="00E94344"/>
    <w:pPr>
      <w:spacing w:after="0" w:line="240" w:lineRule="auto"/>
      <w:jc w:val="both"/>
    </w:pPr>
    <w:rPr>
      <w:rFonts w:ascii="Korinna BT" w:eastAsia="Times New Roman" w:hAnsi="Korinna BT" w:cs="Times New Roman"/>
      <w:sz w:val="20"/>
      <w:szCs w:val="20"/>
      <w:lang w:eastAsia="es-ES"/>
    </w:rPr>
  </w:style>
  <w:style w:type="character" w:customStyle="1" w:styleId="btext">
    <w:name w:val="btext"/>
    <w:basedOn w:val="Fuentedeprrafopredeter"/>
    <w:rsid w:val="004B4415"/>
  </w:style>
  <w:style w:type="character" w:customStyle="1" w:styleId="CarCar3">
    <w:name w:val="Car Car"/>
    <w:rsid w:val="00FD05B8"/>
    <w:rPr>
      <w:rFonts w:ascii="Tahoma" w:eastAsia="Batang" w:hAnsi="Tahoma" w:cs="Tahoma"/>
      <w:sz w:val="16"/>
      <w:szCs w:val="16"/>
      <w:lang w:eastAsia="ko-KR"/>
    </w:rPr>
  </w:style>
  <w:style w:type="character" w:customStyle="1" w:styleId="m-6375670450715188288citationvolume">
    <w:name w:val="m_-6375670450715188288citationvolume"/>
    <w:rsid w:val="00FD05B8"/>
  </w:style>
  <w:style w:type="table" w:customStyle="1" w:styleId="Tabladelista21">
    <w:name w:val="Tabla de lista 21"/>
    <w:basedOn w:val="Tablanormal"/>
    <w:uiPriority w:val="47"/>
    <w:rsid w:val="00FD05B8"/>
    <w:pPr>
      <w:spacing w:after="0" w:line="240" w:lineRule="auto"/>
    </w:pPr>
    <w:rPr>
      <w:rFonts w:ascii="Calibri" w:eastAsia="Calibri" w:hAnsi="Calibri" w:cs="Times New Roman"/>
      <w:sz w:val="22"/>
      <w:szCs w:val="22"/>
      <w:lang w:val="en-US"/>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1clara1">
    <w:name w:val="Tabla de lista 1 clara1"/>
    <w:basedOn w:val="Tablanormal"/>
    <w:uiPriority w:val="46"/>
    <w:rsid w:val="00FD05B8"/>
    <w:pPr>
      <w:spacing w:after="0" w:line="240" w:lineRule="auto"/>
    </w:pPr>
    <w:rPr>
      <w:rFonts w:ascii="Calibri" w:eastAsia="Calibri" w:hAnsi="Calibri" w:cs="Times New Roman"/>
      <w:sz w:val="22"/>
      <w:szCs w:val="22"/>
      <w:lang w:val="en-US"/>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title-text">
    <w:name w:val="title-text"/>
    <w:rsid w:val="00FD05B8"/>
  </w:style>
  <w:style w:type="paragraph" w:customStyle="1" w:styleId="nova-e-listitem">
    <w:name w:val="nova-e-list__item"/>
    <w:basedOn w:val="Normal"/>
    <w:rsid w:val="00FD05B8"/>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Mencinsinresolver">
    <w:name w:val="Mención sin resolver"/>
    <w:uiPriority w:val="47"/>
    <w:rsid w:val="00FD05B8"/>
    <w:rPr>
      <w:color w:val="605E5C"/>
      <w:shd w:val="clear" w:color="auto" w:fill="E1DFDD"/>
    </w:rPr>
  </w:style>
  <w:style w:type="paragraph" w:customStyle="1" w:styleId="Puesto">
    <w:name w:val="Puesto"/>
    <w:basedOn w:val="Normal"/>
    <w:next w:val="Subttulo"/>
    <w:qFormat/>
    <w:rsid w:val="00575A88"/>
    <w:pPr>
      <w:suppressAutoHyphens/>
      <w:spacing w:before="240" w:after="60" w:line="240" w:lineRule="auto"/>
      <w:jc w:val="center"/>
    </w:pPr>
    <w:rPr>
      <w:rFonts w:ascii="Arial" w:eastAsia="Times New Roman" w:hAnsi="Arial" w:cs="Arial"/>
      <w:b/>
      <w:kern w:val="1"/>
      <w:sz w:val="28"/>
      <w:szCs w:val="20"/>
      <w:lang w:val="en-AU" w:eastAsia="ko-KR"/>
    </w:rPr>
  </w:style>
  <w:style w:type="paragraph" w:customStyle="1" w:styleId="Farebnzoznamzvraznenie1">
    <w:name w:val="Farebný zoznam – zvýraznenie 1"/>
    <w:basedOn w:val="Normal"/>
    <w:uiPriority w:val="34"/>
    <w:qFormat/>
    <w:rsid w:val="00575A88"/>
    <w:pPr>
      <w:spacing w:after="160" w:line="259" w:lineRule="auto"/>
      <w:ind w:left="720"/>
      <w:contextualSpacing/>
    </w:pPr>
    <w:rPr>
      <w:rFonts w:ascii="Calibri" w:eastAsia="Calibri" w:hAnsi="Calibri" w:cs="Times New Roman"/>
      <w:sz w:val="22"/>
      <w:szCs w:val="22"/>
      <w:lang w:val="es-MX"/>
    </w:rPr>
  </w:style>
  <w:style w:type="paragraph" w:customStyle="1" w:styleId="09Equation">
    <w:name w:val="09Equation"/>
    <w:basedOn w:val="Normal"/>
    <w:next w:val="Normal"/>
    <w:rsid w:val="00575A88"/>
    <w:pPr>
      <w:tabs>
        <w:tab w:val="right" w:pos="9072"/>
      </w:tabs>
      <w:overflowPunct w:val="0"/>
      <w:autoSpaceDE w:val="0"/>
      <w:autoSpaceDN w:val="0"/>
      <w:adjustRightInd w:val="0"/>
      <w:spacing w:before="120" w:after="0" w:line="240" w:lineRule="auto"/>
      <w:ind w:firstLine="567"/>
      <w:textAlignment w:val="baseline"/>
    </w:pPr>
    <w:rPr>
      <w:rFonts w:ascii="Times New Roman" w:eastAsia="Times New Roman" w:hAnsi="Times New Roman" w:cs="Times New Roman"/>
      <w:sz w:val="20"/>
      <w:szCs w:val="20"/>
      <w:lang w:val="en-GB"/>
    </w:rPr>
  </w:style>
  <w:style w:type="paragraph" w:customStyle="1" w:styleId="Normln-Bodyofpaper">
    <w:name w:val="*Normální - Body of paper*"/>
    <w:rsid w:val="00575A88"/>
    <w:pPr>
      <w:spacing w:after="0" w:line="240" w:lineRule="auto"/>
      <w:ind w:firstLine="284"/>
      <w:jc w:val="both"/>
    </w:pPr>
    <w:rPr>
      <w:rFonts w:ascii="Times New Roman" w:eastAsia="Times New Roman" w:hAnsi="Times New Roman" w:cs="Arial"/>
      <w:spacing w:val="-2"/>
      <w:sz w:val="20"/>
      <w:szCs w:val="20"/>
      <w:lang w:val="en-US" w:eastAsia="cs-CZ"/>
    </w:rPr>
  </w:style>
  <w:style w:type="paragraph" w:customStyle="1" w:styleId="08Text">
    <w:name w:val="08Text"/>
    <w:basedOn w:val="Normal"/>
    <w:link w:val="08TextChar"/>
    <w:rsid w:val="00575A88"/>
    <w:pPr>
      <w:overflowPunct w:val="0"/>
      <w:autoSpaceDE w:val="0"/>
      <w:autoSpaceDN w:val="0"/>
      <w:adjustRightInd w:val="0"/>
      <w:spacing w:before="120" w:after="0" w:line="240" w:lineRule="auto"/>
      <w:ind w:firstLine="567"/>
      <w:textAlignment w:val="baseline"/>
    </w:pPr>
    <w:rPr>
      <w:rFonts w:ascii="Arial" w:eastAsia="Times New Roman" w:hAnsi="Arial" w:cs="Arial"/>
      <w:sz w:val="20"/>
      <w:szCs w:val="20"/>
      <w:lang w:val="en-GB" w:eastAsia="sk-SK"/>
    </w:rPr>
  </w:style>
  <w:style w:type="character" w:customStyle="1" w:styleId="08TextChar">
    <w:name w:val="08Text Char"/>
    <w:link w:val="08Text"/>
    <w:rsid w:val="00575A88"/>
    <w:rPr>
      <w:rFonts w:ascii="Arial" w:eastAsia="Times New Roman" w:hAnsi="Arial" w:cs="Arial"/>
      <w:sz w:val="20"/>
      <w:szCs w:val="20"/>
      <w:lang w:val="en-GB" w:eastAsia="sk-SK"/>
    </w:rPr>
  </w:style>
  <w:style w:type="character" w:styleId="Refdecomentario">
    <w:name w:val="annotation reference"/>
    <w:uiPriority w:val="99"/>
    <w:semiHidden/>
    <w:unhideWhenUsed/>
    <w:rsid w:val="00123C57"/>
    <w:rPr>
      <w:sz w:val="16"/>
      <w:szCs w:val="16"/>
    </w:rPr>
  </w:style>
  <w:style w:type="table" w:styleId="Tablanormal1">
    <w:name w:val="Plain Table 1"/>
    <w:basedOn w:val="Tablanormal"/>
    <w:uiPriority w:val="41"/>
    <w:rsid w:val="00123C57"/>
    <w:pPr>
      <w:spacing w:after="0" w:line="240" w:lineRule="auto"/>
    </w:pPr>
    <w:rPr>
      <w:rFonts w:ascii="Calibri" w:eastAsia="Calibri" w:hAnsi="Calibri" w:cs="Times New Roman"/>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decuadrcula6concolores">
    <w:name w:val="Grid Table 6 Colorful"/>
    <w:basedOn w:val="Tablanormal"/>
    <w:uiPriority w:val="51"/>
    <w:rsid w:val="00123C57"/>
    <w:pPr>
      <w:spacing w:after="0" w:line="240" w:lineRule="auto"/>
    </w:pPr>
    <w:rPr>
      <w:rFonts w:ascii="Calibri" w:eastAsia="Calibri" w:hAnsi="Calibri" w:cs="Times New Roman"/>
      <w:color w:val="000000"/>
      <w:sz w:val="22"/>
      <w:szCs w:val="22"/>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Tablanormal4">
    <w:name w:val="Plain Table 4"/>
    <w:basedOn w:val="Tablanormal"/>
    <w:uiPriority w:val="44"/>
    <w:rsid w:val="00123C57"/>
    <w:pPr>
      <w:spacing w:after="0" w:line="240" w:lineRule="auto"/>
    </w:pPr>
    <w:rPr>
      <w:rFonts w:ascii="Calibri" w:eastAsia="Calibri" w:hAnsi="Calibri" w:cs="Times New Roman"/>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21">
    <w:name w:val="Tabla de cuadrícula 21"/>
    <w:basedOn w:val="Tablanormal"/>
    <w:next w:val="Tabladecuadrcula2"/>
    <w:uiPriority w:val="47"/>
    <w:rsid w:val="00123C57"/>
    <w:pPr>
      <w:spacing w:after="0" w:line="240" w:lineRule="auto"/>
    </w:pPr>
    <w:rPr>
      <w:rFonts w:ascii="Calibri" w:eastAsia="Calibri" w:hAnsi="Calibri" w:cs="Times New Roman"/>
      <w:sz w:val="22"/>
      <w:szCs w:val="22"/>
      <w:lang w:val="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6concolores1">
    <w:name w:val="Tabla de cuadrícula 6 con colores1"/>
    <w:basedOn w:val="Tablanormal"/>
    <w:next w:val="Tabladecuadrcula6concolores"/>
    <w:uiPriority w:val="51"/>
    <w:rsid w:val="00123C57"/>
    <w:pPr>
      <w:spacing w:after="0" w:line="240" w:lineRule="auto"/>
    </w:pPr>
    <w:rPr>
      <w:rFonts w:ascii="Calibri" w:eastAsia="Calibri" w:hAnsi="Calibri" w:cs="Times New Roman"/>
      <w:color w:val="000000"/>
      <w:sz w:val="22"/>
      <w:szCs w:val="22"/>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6concolores2">
    <w:name w:val="Tabla de cuadrícula 6 con colores2"/>
    <w:basedOn w:val="Tablanormal"/>
    <w:next w:val="Tabladecuadrcula6concolores"/>
    <w:uiPriority w:val="51"/>
    <w:rsid w:val="00123C57"/>
    <w:pPr>
      <w:spacing w:after="0" w:line="240" w:lineRule="auto"/>
    </w:pPr>
    <w:rPr>
      <w:rFonts w:ascii="Calibri" w:eastAsia="Calibri" w:hAnsi="Calibri" w:cs="Times New Roman"/>
      <w:color w:val="000000"/>
      <w:sz w:val="22"/>
      <w:szCs w:val="22"/>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CarCar4">
    <w:name w:val="Car Car"/>
    <w:rsid w:val="008A6EAC"/>
    <w:rPr>
      <w:rFonts w:ascii="Tahoma" w:eastAsia="Batang" w:hAnsi="Tahoma" w:cs="Tahoma"/>
      <w:sz w:val="16"/>
      <w:szCs w:val="16"/>
      <w:lang w:eastAsia="ko-KR"/>
    </w:rPr>
  </w:style>
  <w:style w:type="paragraph" w:customStyle="1" w:styleId="a5">
    <w:basedOn w:val="Normal"/>
    <w:next w:val="Descripcin"/>
    <w:qFormat/>
    <w:rsid w:val="00874DD5"/>
    <w:pPr>
      <w:suppressLineNumbers/>
      <w:suppressAutoHyphens/>
      <w:spacing w:before="120" w:after="120" w:line="240" w:lineRule="auto"/>
    </w:pPr>
    <w:rPr>
      <w:rFonts w:ascii="Times New Roman" w:eastAsia="Batang" w:hAnsi="Times New Roman" w:cs="Times New Roman"/>
      <w:i/>
      <w:iCs/>
      <w:sz w:val="24"/>
      <w:szCs w:val="24"/>
      <w:lang w:eastAsia="ko-KR"/>
    </w:rPr>
  </w:style>
  <w:style w:type="paragraph" w:styleId="Textosinformato">
    <w:name w:val="Plain Text"/>
    <w:basedOn w:val="Normal"/>
    <w:link w:val="TextosinformatoCar"/>
    <w:rsid w:val="004C44CE"/>
    <w:pPr>
      <w:spacing w:after="0" w:line="240" w:lineRule="auto"/>
      <w:jc w:val="both"/>
    </w:pPr>
    <w:rPr>
      <w:rFonts w:ascii="Courier New" w:eastAsia="Times New Roman" w:hAnsi="Courier New" w:cs="Times New Roman"/>
      <w:sz w:val="20"/>
      <w:szCs w:val="20"/>
      <w:lang w:val="x-none" w:eastAsia="es-ES"/>
    </w:rPr>
  </w:style>
  <w:style w:type="character" w:customStyle="1" w:styleId="TextosinformatoCar">
    <w:name w:val="Texto sin formato Car"/>
    <w:basedOn w:val="Fuentedeprrafopredeter"/>
    <w:link w:val="Textosinformato"/>
    <w:rsid w:val="004C44CE"/>
    <w:rPr>
      <w:rFonts w:ascii="Courier New" w:eastAsia="Times New Roman" w:hAnsi="Courier New" w:cs="Times New Roman"/>
      <w:sz w:val="20"/>
      <w:szCs w:val="20"/>
      <w:lang w:val="x-none" w:eastAsia="es-ES"/>
    </w:rPr>
  </w:style>
  <w:style w:type="character" w:customStyle="1" w:styleId="main-heading">
    <w:name w:val="main-heading"/>
    <w:basedOn w:val="Fuentedeprrafopredeter"/>
    <w:rsid w:val="004C44CE"/>
  </w:style>
  <w:style w:type="character" w:customStyle="1" w:styleId="large">
    <w:name w:val="large"/>
    <w:basedOn w:val="Fuentedeprrafopredeter"/>
    <w:rsid w:val="004C44CE"/>
  </w:style>
  <w:style w:type="paragraph" w:customStyle="1" w:styleId="ColorfulList-Accent11">
    <w:name w:val="Colorful List - Accent 11"/>
    <w:basedOn w:val="Normal"/>
    <w:uiPriority w:val="34"/>
    <w:qFormat/>
    <w:rsid w:val="00B317CC"/>
    <w:pPr>
      <w:spacing w:after="160" w:line="259" w:lineRule="auto"/>
      <w:ind w:left="720"/>
      <w:contextualSpacing/>
    </w:pPr>
    <w:rPr>
      <w:rFonts w:ascii="Calibri" w:eastAsia="Calibri" w:hAnsi="Calibri" w:cs="Times New Roman"/>
      <w:sz w:val="22"/>
      <w:szCs w:val="22"/>
      <w:lang w:val="es-MX"/>
    </w:rPr>
  </w:style>
  <w:style w:type="table" w:styleId="Tabladelista7concolores">
    <w:name w:val="List Table 7 Colorful"/>
    <w:basedOn w:val="Tablanormal"/>
    <w:uiPriority w:val="52"/>
    <w:rsid w:val="00E31D8C"/>
    <w:pPr>
      <w:spacing w:after="0" w:line="240" w:lineRule="auto"/>
    </w:pPr>
    <w:rPr>
      <w:rFonts w:ascii="Calibri" w:eastAsia="Calibri" w:hAnsi="Calibri" w:cs="Times New Roman"/>
      <w:color w:val="000000" w:themeColor="text1"/>
      <w:sz w:val="20"/>
      <w:szCs w:val="20"/>
      <w:lang w:val="es-MX" w:eastAsia="es-MX"/>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normal2">
    <w:name w:val="Plain Table 2"/>
    <w:basedOn w:val="Tablanormal"/>
    <w:uiPriority w:val="42"/>
    <w:rsid w:val="00E31D8C"/>
    <w:pPr>
      <w:spacing w:after="0" w:line="240" w:lineRule="auto"/>
    </w:pPr>
    <w:rPr>
      <w:rFonts w:ascii="Calibri" w:eastAsia="Calibri" w:hAnsi="Calibri" w:cs="Times New Roman"/>
      <w:sz w:val="20"/>
      <w:szCs w:val="20"/>
      <w:lang w:val="es-MX" w:eastAsia="es-MX"/>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8265640">
      <w:bodyDiv w:val="1"/>
      <w:marLeft w:val="0"/>
      <w:marRight w:val="0"/>
      <w:marTop w:val="0"/>
      <w:marBottom w:val="0"/>
      <w:divBdr>
        <w:top w:val="none" w:sz="0" w:space="0" w:color="auto"/>
        <w:left w:val="none" w:sz="0" w:space="0" w:color="auto"/>
        <w:bottom w:val="none" w:sz="0" w:space="0" w:color="auto"/>
        <w:right w:val="none" w:sz="0" w:space="0" w:color="auto"/>
      </w:divBdr>
    </w:div>
    <w:div w:id="844513104">
      <w:bodyDiv w:val="1"/>
      <w:marLeft w:val="0"/>
      <w:marRight w:val="0"/>
      <w:marTop w:val="0"/>
      <w:marBottom w:val="0"/>
      <w:divBdr>
        <w:top w:val="none" w:sz="0" w:space="0" w:color="auto"/>
        <w:left w:val="none" w:sz="0" w:space="0" w:color="auto"/>
        <w:bottom w:val="none" w:sz="0" w:space="0" w:color="auto"/>
        <w:right w:val="none" w:sz="0" w:space="0" w:color="auto"/>
      </w:divBdr>
      <w:divsChild>
        <w:div w:id="1950120794">
          <w:marLeft w:val="-225"/>
          <w:marRight w:val="-225"/>
          <w:marTop w:val="0"/>
          <w:marBottom w:val="450"/>
          <w:divBdr>
            <w:top w:val="none" w:sz="0" w:space="0" w:color="auto"/>
            <w:left w:val="none" w:sz="0" w:space="0" w:color="auto"/>
            <w:bottom w:val="none" w:sz="0" w:space="0" w:color="auto"/>
            <w:right w:val="none" w:sz="0" w:space="0" w:color="auto"/>
          </w:divBdr>
          <w:divsChild>
            <w:div w:id="2104840064">
              <w:marLeft w:val="0"/>
              <w:marRight w:val="0"/>
              <w:marTop w:val="0"/>
              <w:marBottom w:val="0"/>
              <w:divBdr>
                <w:top w:val="none" w:sz="0" w:space="0" w:color="auto"/>
                <w:left w:val="none" w:sz="0" w:space="0" w:color="auto"/>
                <w:bottom w:val="none" w:sz="0" w:space="0" w:color="auto"/>
                <w:right w:val="none" w:sz="0" w:space="0" w:color="auto"/>
              </w:divBdr>
            </w:div>
          </w:divsChild>
        </w:div>
        <w:div w:id="284047087">
          <w:marLeft w:val="-225"/>
          <w:marRight w:val="-225"/>
          <w:marTop w:val="0"/>
          <w:marBottom w:val="450"/>
          <w:divBdr>
            <w:top w:val="none" w:sz="0" w:space="0" w:color="auto"/>
            <w:left w:val="none" w:sz="0" w:space="0" w:color="auto"/>
            <w:bottom w:val="none" w:sz="0" w:space="0" w:color="auto"/>
            <w:right w:val="none" w:sz="0" w:space="0" w:color="auto"/>
          </w:divBdr>
          <w:divsChild>
            <w:div w:id="1633948470">
              <w:marLeft w:val="0"/>
              <w:marRight w:val="0"/>
              <w:marTop w:val="0"/>
              <w:marBottom w:val="0"/>
              <w:divBdr>
                <w:top w:val="none" w:sz="0" w:space="0" w:color="auto"/>
                <w:left w:val="none" w:sz="0" w:space="0" w:color="auto"/>
                <w:bottom w:val="none" w:sz="0" w:space="0" w:color="auto"/>
                <w:right w:val="none" w:sz="0" w:space="0" w:color="auto"/>
              </w:divBdr>
            </w:div>
          </w:divsChild>
        </w:div>
        <w:div w:id="2045328762">
          <w:marLeft w:val="-225"/>
          <w:marRight w:val="-225"/>
          <w:marTop w:val="0"/>
          <w:marBottom w:val="450"/>
          <w:divBdr>
            <w:top w:val="none" w:sz="0" w:space="0" w:color="auto"/>
            <w:left w:val="none" w:sz="0" w:space="0" w:color="auto"/>
            <w:bottom w:val="none" w:sz="0" w:space="0" w:color="auto"/>
            <w:right w:val="none" w:sz="0" w:space="0" w:color="auto"/>
          </w:divBdr>
          <w:divsChild>
            <w:div w:id="349529945">
              <w:marLeft w:val="0"/>
              <w:marRight w:val="0"/>
              <w:marTop w:val="0"/>
              <w:marBottom w:val="0"/>
              <w:divBdr>
                <w:top w:val="none" w:sz="0" w:space="0" w:color="auto"/>
                <w:left w:val="none" w:sz="0" w:space="0" w:color="auto"/>
                <w:bottom w:val="none" w:sz="0" w:space="0" w:color="auto"/>
                <w:right w:val="none" w:sz="0" w:space="0" w:color="auto"/>
              </w:divBdr>
            </w:div>
          </w:divsChild>
        </w:div>
        <w:div w:id="521483096">
          <w:marLeft w:val="-225"/>
          <w:marRight w:val="-225"/>
          <w:marTop w:val="0"/>
          <w:marBottom w:val="450"/>
          <w:divBdr>
            <w:top w:val="none" w:sz="0" w:space="0" w:color="auto"/>
            <w:left w:val="none" w:sz="0" w:space="0" w:color="auto"/>
            <w:bottom w:val="none" w:sz="0" w:space="0" w:color="auto"/>
            <w:right w:val="none" w:sz="0" w:space="0" w:color="auto"/>
          </w:divBdr>
          <w:divsChild>
            <w:div w:id="487288907">
              <w:marLeft w:val="0"/>
              <w:marRight w:val="0"/>
              <w:marTop w:val="0"/>
              <w:marBottom w:val="0"/>
              <w:divBdr>
                <w:top w:val="none" w:sz="0" w:space="0" w:color="auto"/>
                <w:left w:val="none" w:sz="0" w:space="0" w:color="auto"/>
                <w:bottom w:val="none" w:sz="0" w:space="0" w:color="auto"/>
                <w:right w:val="none" w:sz="0" w:space="0" w:color="auto"/>
              </w:divBdr>
            </w:div>
          </w:divsChild>
        </w:div>
        <w:div w:id="660474626">
          <w:marLeft w:val="-225"/>
          <w:marRight w:val="-225"/>
          <w:marTop w:val="0"/>
          <w:marBottom w:val="450"/>
          <w:divBdr>
            <w:top w:val="none" w:sz="0" w:space="0" w:color="auto"/>
            <w:left w:val="none" w:sz="0" w:space="0" w:color="auto"/>
            <w:bottom w:val="none" w:sz="0" w:space="0" w:color="auto"/>
            <w:right w:val="none" w:sz="0" w:space="0" w:color="auto"/>
          </w:divBdr>
          <w:divsChild>
            <w:div w:id="1207448924">
              <w:marLeft w:val="0"/>
              <w:marRight w:val="0"/>
              <w:marTop w:val="0"/>
              <w:marBottom w:val="0"/>
              <w:divBdr>
                <w:top w:val="none" w:sz="0" w:space="0" w:color="auto"/>
                <w:left w:val="none" w:sz="0" w:space="0" w:color="auto"/>
                <w:bottom w:val="none" w:sz="0" w:space="0" w:color="auto"/>
                <w:right w:val="none" w:sz="0" w:space="0" w:color="auto"/>
              </w:divBdr>
            </w:div>
          </w:divsChild>
        </w:div>
        <w:div w:id="898051322">
          <w:marLeft w:val="-225"/>
          <w:marRight w:val="-225"/>
          <w:marTop w:val="0"/>
          <w:marBottom w:val="450"/>
          <w:divBdr>
            <w:top w:val="none" w:sz="0" w:space="0" w:color="auto"/>
            <w:left w:val="none" w:sz="0" w:space="0" w:color="auto"/>
            <w:bottom w:val="none" w:sz="0" w:space="0" w:color="auto"/>
            <w:right w:val="none" w:sz="0" w:space="0" w:color="auto"/>
          </w:divBdr>
          <w:divsChild>
            <w:div w:id="1257209432">
              <w:marLeft w:val="0"/>
              <w:marRight w:val="0"/>
              <w:marTop w:val="0"/>
              <w:marBottom w:val="0"/>
              <w:divBdr>
                <w:top w:val="none" w:sz="0" w:space="0" w:color="auto"/>
                <w:left w:val="none" w:sz="0" w:space="0" w:color="auto"/>
                <w:bottom w:val="none" w:sz="0" w:space="0" w:color="auto"/>
                <w:right w:val="none" w:sz="0" w:space="0" w:color="auto"/>
              </w:divBdr>
            </w:div>
          </w:divsChild>
        </w:div>
        <w:div w:id="1446121693">
          <w:marLeft w:val="-225"/>
          <w:marRight w:val="-225"/>
          <w:marTop w:val="0"/>
          <w:marBottom w:val="450"/>
          <w:divBdr>
            <w:top w:val="none" w:sz="0" w:space="0" w:color="auto"/>
            <w:left w:val="none" w:sz="0" w:space="0" w:color="auto"/>
            <w:bottom w:val="none" w:sz="0" w:space="0" w:color="auto"/>
            <w:right w:val="none" w:sz="0" w:space="0" w:color="auto"/>
          </w:divBdr>
          <w:divsChild>
            <w:div w:id="136918309">
              <w:marLeft w:val="0"/>
              <w:marRight w:val="0"/>
              <w:marTop w:val="0"/>
              <w:marBottom w:val="0"/>
              <w:divBdr>
                <w:top w:val="none" w:sz="0" w:space="0" w:color="auto"/>
                <w:left w:val="none" w:sz="0" w:space="0" w:color="auto"/>
                <w:bottom w:val="none" w:sz="0" w:space="0" w:color="auto"/>
                <w:right w:val="none" w:sz="0" w:space="0" w:color="auto"/>
              </w:divBdr>
            </w:div>
          </w:divsChild>
        </w:div>
        <w:div w:id="406879557">
          <w:marLeft w:val="-225"/>
          <w:marRight w:val="-225"/>
          <w:marTop w:val="0"/>
          <w:marBottom w:val="450"/>
          <w:divBdr>
            <w:top w:val="none" w:sz="0" w:space="0" w:color="auto"/>
            <w:left w:val="none" w:sz="0" w:space="0" w:color="auto"/>
            <w:bottom w:val="none" w:sz="0" w:space="0" w:color="auto"/>
            <w:right w:val="none" w:sz="0" w:space="0" w:color="auto"/>
          </w:divBdr>
          <w:divsChild>
            <w:div w:id="2047631908">
              <w:marLeft w:val="0"/>
              <w:marRight w:val="0"/>
              <w:marTop w:val="0"/>
              <w:marBottom w:val="0"/>
              <w:divBdr>
                <w:top w:val="none" w:sz="0" w:space="0" w:color="auto"/>
                <w:left w:val="none" w:sz="0" w:space="0" w:color="auto"/>
                <w:bottom w:val="none" w:sz="0" w:space="0" w:color="auto"/>
                <w:right w:val="none" w:sz="0" w:space="0" w:color="auto"/>
              </w:divBdr>
            </w:div>
          </w:divsChild>
        </w:div>
        <w:div w:id="1351373210">
          <w:marLeft w:val="-225"/>
          <w:marRight w:val="-225"/>
          <w:marTop w:val="0"/>
          <w:marBottom w:val="450"/>
          <w:divBdr>
            <w:top w:val="none" w:sz="0" w:space="0" w:color="auto"/>
            <w:left w:val="none" w:sz="0" w:space="0" w:color="auto"/>
            <w:bottom w:val="none" w:sz="0" w:space="0" w:color="auto"/>
            <w:right w:val="none" w:sz="0" w:space="0" w:color="auto"/>
          </w:divBdr>
          <w:divsChild>
            <w:div w:id="166582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028327">
      <w:bodyDiv w:val="1"/>
      <w:marLeft w:val="0"/>
      <w:marRight w:val="0"/>
      <w:marTop w:val="0"/>
      <w:marBottom w:val="0"/>
      <w:divBdr>
        <w:top w:val="none" w:sz="0" w:space="0" w:color="auto"/>
        <w:left w:val="none" w:sz="0" w:space="0" w:color="auto"/>
        <w:bottom w:val="none" w:sz="0" w:space="0" w:color="auto"/>
        <w:right w:val="none" w:sz="0" w:space="0" w:color="auto"/>
      </w:divBdr>
    </w:div>
    <w:div w:id="2034989725">
      <w:bodyDiv w:val="1"/>
      <w:marLeft w:val="0"/>
      <w:marRight w:val="0"/>
      <w:marTop w:val="0"/>
      <w:marBottom w:val="0"/>
      <w:divBdr>
        <w:top w:val="none" w:sz="0" w:space="0" w:color="auto"/>
        <w:left w:val="none" w:sz="0" w:space="0" w:color="auto"/>
        <w:bottom w:val="none" w:sz="0" w:space="0" w:color="auto"/>
        <w:right w:val="none" w:sz="0" w:space="0" w:color="auto"/>
      </w:divBdr>
    </w:div>
    <w:div w:id="2038238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671" Type="http://schemas.openxmlformats.org/officeDocument/2006/relationships/hyperlink" Target="https://www.sciencedirect.com/science/article/pii/S0141813019369958" TargetMode="External"/><Relationship Id="rId769" Type="http://schemas.openxmlformats.org/officeDocument/2006/relationships/oleObject" Target="embeddings/oleObject291.bin"/><Relationship Id="rId976" Type="http://schemas.openxmlformats.org/officeDocument/2006/relationships/image" Target="media/image489.png"/><Relationship Id="rId21" Type="http://schemas.openxmlformats.org/officeDocument/2006/relationships/image" Target="media/image12.png"/><Relationship Id="rId324" Type="http://schemas.openxmlformats.org/officeDocument/2006/relationships/image" Target="media/image174.wmf"/><Relationship Id="rId531" Type="http://schemas.openxmlformats.org/officeDocument/2006/relationships/oleObject" Target="embeddings/oleObject195.bin"/><Relationship Id="rId629" Type="http://schemas.openxmlformats.org/officeDocument/2006/relationships/oleObject" Target="embeddings/oleObject234.bin"/><Relationship Id="rId1161" Type="http://schemas.openxmlformats.org/officeDocument/2006/relationships/image" Target="media/image594.png"/><Relationship Id="rId1259" Type="http://schemas.openxmlformats.org/officeDocument/2006/relationships/image" Target="media/image657.png"/><Relationship Id="rId170" Type="http://schemas.openxmlformats.org/officeDocument/2006/relationships/chart" Target="charts/chart4.xml"/><Relationship Id="rId836" Type="http://schemas.openxmlformats.org/officeDocument/2006/relationships/oleObject" Target="embeddings/oleObject326.bin"/><Relationship Id="rId1021" Type="http://schemas.openxmlformats.org/officeDocument/2006/relationships/hyperlink" Target="mailto:checesarito@hotmail.com" TargetMode="External"/><Relationship Id="rId1119" Type="http://schemas.openxmlformats.org/officeDocument/2006/relationships/image" Target="media/image570.wmf"/><Relationship Id="rId268" Type="http://schemas.openxmlformats.org/officeDocument/2006/relationships/image" Target="media/image147.wmf"/><Relationship Id="rId475" Type="http://schemas.openxmlformats.org/officeDocument/2006/relationships/image" Target="media/image252.wmf"/><Relationship Id="rId682" Type="http://schemas.openxmlformats.org/officeDocument/2006/relationships/image" Target="media/image350.emf"/><Relationship Id="rId903" Type="http://schemas.openxmlformats.org/officeDocument/2006/relationships/image" Target="media/image457.wmf"/><Relationship Id="rId1326" Type="http://schemas.openxmlformats.org/officeDocument/2006/relationships/image" Target="media/image698.jpeg"/><Relationship Id="rId32" Type="http://schemas.openxmlformats.org/officeDocument/2006/relationships/image" Target="media/image19.png"/><Relationship Id="rId128" Type="http://schemas.openxmlformats.org/officeDocument/2006/relationships/image" Target="media/image76.png"/><Relationship Id="rId335" Type="http://schemas.openxmlformats.org/officeDocument/2006/relationships/image" Target="media/image179.wmf"/><Relationship Id="rId542" Type="http://schemas.openxmlformats.org/officeDocument/2006/relationships/image" Target="media/image284.wmf"/><Relationship Id="rId987" Type="http://schemas.openxmlformats.org/officeDocument/2006/relationships/hyperlink" Target="mailto:jlcl@azc.uam.mx" TargetMode="External"/><Relationship Id="rId1172" Type="http://schemas.openxmlformats.org/officeDocument/2006/relationships/hyperlink" Target="mailto:rlc@azc.uam.mx" TargetMode="External"/><Relationship Id="rId181" Type="http://schemas.openxmlformats.org/officeDocument/2006/relationships/hyperlink" Target="mailto:*nelson.berrocal@unsch.edu.pe" TargetMode="External"/><Relationship Id="rId402" Type="http://schemas.openxmlformats.org/officeDocument/2006/relationships/oleObject" Target="embeddings/oleObject133.bin"/><Relationship Id="rId847" Type="http://schemas.openxmlformats.org/officeDocument/2006/relationships/image" Target="media/image432.wmf"/><Relationship Id="rId1032" Type="http://schemas.openxmlformats.org/officeDocument/2006/relationships/oleObject" Target="embeddings/oleObject398.bin"/><Relationship Id="rId279" Type="http://schemas.openxmlformats.org/officeDocument/2006/relationships/oleObject" Target="embeddings/oleObject70.bin"/><Relationship Id="rId486" Type="http://schemas.openxmlformats.org/officeDocument/2006/relationships/oleObject" Target="embeddings/oleObject172.bin"/><Relationship Id="rId693" Type="http://schemas.openxmlformats.org/officeDocument/2006/relationships/oleObject" Target="embeddings/oleObject251.bin"/><Relationship Id="rId707" Type="http://schemas.openxmlformats.org/officeDocument/2006/relationships/image" Target="media/image365.wmf"/><Relationship Id="rId914" Type="http://schemas.openxmlformats.org/officeDocument/2006/relationships/image" Target="media/image461.wmf"/><Relationship Id="rId1337" Type="http://schemas.openxmlformats.org/officeDocument/2006/relationships/image" Target="media/image706.jpeg"/><Relationship Id="rId43" Type="http://schemas.openxmlformats.org/officeDocument/2006/relationships/image" Target="media/image25.wmf"/><Relationship Id="rId139" Type="http://schemas.openxmlformats.org/officeDocument/2006/relationships/image" Target="media/image84.png"/><Relationship Id="rId346" Type="http://schemas.openxmlformats.org/officeDocument/2006/relationships/image" Target="media/image184.wmf"/><Relationship Id="rId553" Type="http://schemas.openxmlformats.org/officeDocument/2006/relationships/image" Target="media/image289.jpeg"/><Relationship Id="rId760" Type="http://schemas.openxmlformats.org/officeDocument/2006/relationships/image" Target="media/image390.wmf"/><Relationship Id="rId998" Type="http://schemas.openxmlformats.org/officeDocument/2006/relationships/image" Target="media/image504.png"/><Relationship Id="rId1183" Type="http://schemas.openxmlformats.org/officeDocument/2006/relationships/hyperlink" Target="mailto:jpg@correo.azc.uam.mx" TargetMode="External"/><Relationship Id="rId192" Type="http://schemas.openxmlformats.org/officeDocument/2006/relationships/image" Target="media/image115.jpeg"/><Relationship Id="rId206" Type="http://schemas.openxmlformats.org/officeDocument/2006/relationships/hyperlink" Target="https://www.nature.com/articles/s41586-020-2405-7" TargetMode="External"/><Relationship Id="rId413" Type="http://schemas.openxmlformats.org/officeDocument/2006/relationships/image" Target="media/image219.wmf"/><Relationship Id="rId858" Type="http://schemas.openxmlformats.org/officeDocument/2006/relationships/oleObject" Target="embeddings/oleObject337.bin"/><Relationship Id="rId1043" Type="http://schemas.openxmlformats.org/officeDocument/2006/relationships/image" Target="media/image531.wmf"/><Relationship Id="rId497" Type="http://schemas.openxmlformats.org/officeDocument/2006/relationships/image" Target="media/image263.wmf"/><Relationship Id="rId620" Type="http://schemas.openxmlformats.org/officeDocument/2006/relationships/oleObject" Target="embeddings/oleObject229.bin"/><Relationship Id="rId718" Type="http://schemas.openxmlformats.org/officeDocument/2006/relationships/oleObject" Target="embeddings/oleObject264.bin"/><Relationship Id="rId925" Type="http://schemas.openxmlformats.org/officeDocument/2006/relationships/oleObject" Target="embeddings/oleObject376.bin"/><Relationship Id="rId1250" Type="http://schemas.openxmlformats.org/officeDocument/2006/relationships/image" Target="media/image656.png"/><Relationship Id="rId1348" Type="http://schemas.openxmlformats.org/officeDocument/2006/relationships/image" Target="media/image714.jpg"/><Relationship Id="rId357" Type="http://schemas.openxmlformats.org/officeDocument/2006/relationships/oleObject" Target="embeddings/oleObject111.bin"/><Relationship Id="rId1110" Type="http://schemas.openxmlformats.org/officeDocument/2006/relationships/oleObject" Target="embeddings/oleObject436.bin"/><Relationship Id="rId1194" Type="http://schemas.openxmlformats.org/officeDocument/2006/relationships/image" Target="media/image617.png"/><Relationship Id="rId1208" Type="http://schemas.openxmlformats.org/officeDocument/2006/relationships/image" Target="media/image627.emf"/><Relationship Id="rId54" Type="http://schemas.openxmlformats.org/officeDocument/2006/relationships/oleObject" Target="embeddings/oleObject11.bin"/><Relationship Id="rId217" Type="http://schemas.openxmlformats.org/officeDocument/2006/relationships/oleObject" Target="embeddings/oleObject39.bin"/><Relationship Id="rId564" Type="http://schemas.openxmlformats.org/officeDocument/2006/relationships/image" Target="media/image296.png"/><Relationship Id="rId771" Type="http://schemas.openxmlformats.org/officeDocument/2006/relationships/oleObject" Target="embeddings/oleObject292.bin"/><Relationship Id="rId869" Type="http://schemas.openxmlformats.org/officeDocument/2006/relationships/image" Target="media/image443.wmf"/><Relationship Id="rId424" Type="http://schemas.openxmlformats.org/officeDocument/2006/relationships/oleObject" Target="embeddings/oleObject143.bin"/><Relationship Id="rId631" Type="http://schemas.openxmlformats.org/officeDocument/2006/relationships/oleObject" Target="embeddings/oleObject235.bin"/><Relationship Id="rId729" Type="http://schemas.openxmlformats.org/officeDocument/2006/relationships/oleObject" Target="embeddings/oleObject270.bin"/><Relationship Id="rId1054" Type="http://schemas.openxmlformats.org/officeDocument/2006/relationships/oleObject" Target="embeddings/oleObject409.bin"/><Relationship Id="rId1261" Type="http://schemas.openxmlformats.org/officeDocument/2006/relationships/image" Target="media/image658.png"/><Relationship Id="rId1359" Type="http://schemas.openxmlformats.org/officeDocument/2006/relationships/image" Target="media/image721.png"/><Relationship Id="rId270" Type="http://schemas.openxmlformats.org/officeDocument/2006/relationships/image" Target="media/image148.wmf"/><Relationship Id="rId936" Type="http://schemas.openxmlformats.org/officeDocument/2006/relationships/image" Target="media/image470.wmf"/><Relationship Id="rId1121" Type="http://schemas.openxmlformats.org/officeDocument/2006/relationships/image" Target="media/image571.wmf"/><Relationship Id="rId1219" Type="http://schemas.openxmlformats.org/officeDocument/2006/relationships/hyperlink" Target="mailto:fjsr@azc.uam.mx" TargetMode="External"/><Relationship Id="rId65" Type="http://schemas.openxmlformats.org/officeDocument/2006/relationships/image" Target="media/image36.wmf"/><Relationship Id="rId130" Type="http://schemas.openxmlformats.org/officeDocument/2006/relationships/image" Target="media/image77.jpeg"/><Relationship Id="rId368" Type="http://schemas.openxmlformats.org/officeDocument/2006/relationships/image" Target="media/image195.wmf"/><Relationship Id="rId575" Type="http://schemas.openxmlformats.org/officeDocument/2006/relationships/hyperlink" Target="mailto:phrt@correo.azc.uam.mx" TargetMode="External"/><Relationship Id="rId782" Type="http://schemas.openxmlformats.org/officeDocument/2006/relationships/oleObject" Target="embeddings/oleObject298.bin"/><Relationship Id="rId228" Type="http://schemas.openxmlformats.org/officeDocument/2006/relationships/image" Target="media/image127.wmf"/><Relationship Id="rId435" Type="http://schemas.openxmlformats.org/officeDocument/2006/relationships/image" Target="media/image230.wmf"/><Relationship Id="rId642" Type="http://schemas.openxmlformats.org/officeDocument/2006/relationships/image" Target="media/image338.wmf"/><Relationship Id="rId1065" Type="http://schemas.openxmlformats.org/officeDocument/2006/relationships/image" Target="media/image542.wmf"/><Relationship Id="rId1272" Type="http://schemas.openxmlformats.org/officeDocument/2006/relationships/hyperlink" Target="mailto:maor@azc.uam.mx" TargetMode="External"/><Relationship Id="rId281" Type="http://schemas.openxmlformats.org/officeDocument/2006/relationships/oleObject" Target="embeddings/oleObject71.bin"/><Relationship Id="rId502" Type="http://schemas.openxmlformats.org/officeDocument/2006/relationships/oleObject" Target="embeddings/oleObject179.bin"/><Relationship Id="rId947" Type="http://schemas.openxmlformats.org/officeDocument/2006/relationships/oleObject" Target="embeddings/oleObject389.bin"/><Relationship Id="rId1132" Type="http://schemas.openxmlformats.org/officeDocument/2006/relationships/image" Target="media/image576.png"/><Relationship Id="rId76" Type="http://schemas.openxmlformats.org/officeDocument/2006/relationships/oleObject" Target="embeddings/oleObject22.bin"/><Relationship Id="rId141" Type="http://schemas.openxmlformats.org/officeDocument/2006/relationships/image" Target="media/image86.png"/><Relationship Id="rId379" Type="http://schemas.openxmlformats.org/officeDocument/2006/relationships/image" Target="media/image201.wmf"/><Relationship Id="rId586" Type="http://schemas.openxmlformats.org/officeDocument/2006/relationships/image" Target="media/image311.wmf"/><Relationship Id="rId793" Type="http://schemas.openxmlformats.org/officeDocument/2006/relationships/image" Target="media/image406.wmf"/><Relationship Id="rId807" Type="http://schemas.openxmlformats.org/officeDocument/2006/relationships/image" Target="media/image413.wmf"/><Relationship Id="rId7" Type="http://schemas.openxmlformats.org/officeDocument/2006/relationships/endnotes" Target="endnotes.xml"/><Relationship Id="rId239" Type="http://schemas.openxmlformats.org/officeDocument/2006/relationships/oleObject" Target="embeddings/oleObject50.bin"/><Relationship Id="rId446" Type="http://schemas.openxmlformats.org/officeDocument/2006/relationships/oleObject" Target="embeddings/oleObject154.bin"/><Relationship Id="rId653" Type="http://schemas.openxmlformats.org/officeDocument/2006/relationships/image" Target="media/image344.wmf"/><Relationship Id="rId1076" Type="http://schemas.openxmlformats.org/officeDocument/2006/relationships/image" Target="media/image548.wmf"/><Relationship Id="rId1283" Type="http://schemas.openxmlformats.org/officeDocument/2006/relationships/hyperlink" Target="mailto:berenicegrodriguez@gmail.com" TargetMode="External"/><Relationship Id="rId292" Type="http://schemas.openxmlformats.org/officeDocument/2006/relationships/image" Target="media/image159.wmf"/><Relationship Id="rId306" Type="http://schemas.openxmlformats.org/officeDocument/2006/relationships/image" Target="media/image166.wmf"/><Relationship Id="rId860" Type="http://schemas.openxmlformats.org/officeDocument/2006/relationships/oleObject" Target="embeddings/oleObject338.bin"/><Relationship Id="rId958" Type="http://schemas.openxmlformats.org/officeDocument/2006/relationships/image" Target="media/image484.emf"/><Relationship Id="rId1143" Type="http://schemas.openxmlformats.org/officeDocument/2006/relationships/image" Target="media/image584.jpeg"/><Relationship Id="rId87" Type="http://schemas.openxmlformats.org/officeDocument/2006/relationships/image" Target="media/image47.wmf"/><Relationship Id="rId513" Type="http://schemas.openxmlformats.org/officeDocument/2006/relationships/image" Target="media/image271.wmf"/><Relationship Id="rId597" Type="http://schemas.openxmlformats.org/officeDocument/2006/relationships/oleObject" Target="embeddings/oleObject218.bin"/><Relationship Id="rId720" Type="http://schemas.openxmlformats.org/officeDocument/2006/relationships/oleObject" Target="embeddings/oleObject265.bin"/><Relationship Id="rId818" Type="http://schemas.openxmlformats.org/officeDocument/2006/relationships/oleObject" Target="embeddings/oleObject317.bin"/><Relationship Id="rId1350" Type="http://schemas.openxmlformats.org/officeDocument/2006/relationships/image" Target="media/image716.png"/><Relationship Id="rId152" Type="http://schemas.openxmlformats.org/officeDocument/2006/relationships/image" Target="media/image90.png"/><Relationship Id="rId457" Type="http://schemas.openxmlformats.org/officeDocument/2006/relationships/image" Target="media/image242.wmf"/><Relationship Id="rId1003" Type="http://schemas.openxmlformats.org/officeDocument/2006/relationships/oleObject" Target="embeddings/oleObject390.bin"/><Relationship Id="rId1087" Type="http://schemas.openxmlformats.org/officeDocument/2006/relationships/oleObject" Target="embeddings/oleObject425.bin"/><Relationship Id="rId1210" Type="http://schemas.openxmlformats.org/officeDocument/2006/relationships/image" Target="media/image629.emf"/><Relationship Id="rId1294" Type="http://schemas.openxmlformats.org/officeDocument/2006/relationships/image" Target="media/image677.png"/><Relationship Id="rId1308" Type="http://schemas.openxmlformats.org/officeDocument/2006/relationships/image" Target="media/image681.png"/><Relationship Id="rId664" Type="http://schemas.openxmlformats.org/officeDocument/2006/relationships/hyperlink" Target="https://www.sciencedirect.com/science/article/pii/S0141813019369958" TargetMode="External"/><Relationship Id="rId871" Type="http://schemas.openxmlformats.org/officeDocument/2006/relationships/image" Target="media/image444.wmf"/><Relationship Id="rId969" Type="http://schemas.openxmlformats.org/officeDocument/2006/relationships/hyperlink" Target="mailto:jodelangel@uv.mx" TargetMode="External"/><Relationship Id="rId14" Type="http://schemas.openxmlformats.org/officeDocument/2006/relationships/footer" Target="footer1.xml"/><Relationship Id="rId317" Type="http://schemas.openxmlformats.org/officeDocument/2006/relationships/image" Target="media/image171.wmf"/><Relationship Id="rId524" Type="http://schemas.openxmlformats.org/officeDocument/2006/relationships/oleObject" Target="embeddings/oleObject191.bin"/><Relationship Id="rId731" Type="http://schemas.openxmlformats.org/officeDocument/2006/relationships/oleObject" Target="embeddings/oleObject271.bin"/><Relationship Id="rId1154" Type="http://schemas.openxmlformats.org/officeDocument/2006/relationships/hyperlink" Target="mailto:arlr@azc.uam.mx" TargetMode="External"/><Relationship Id="rId1361" Type="http://schemas.openxmlformats.org/officeDocument/2006/relationships/hyperlink" Target="mailto:lufsanchez@unal.edu.co" TargetMode="External"/><Relationship Id="rId98" Type="http://schemas.openxmlformats.org/officeDocument/2006/relationships/hyperlink" Target="mailto:alberto.herrera@icat.unam.mx" TargetMode="External"/><Relationship Id="rId163" Type="http://schemas.openxmlformats.org/officeDocument/2006/relationships/image" Target="media/image101.png"/><Relationship Id="rId370" Type="http://schemas.openxmlformats.org/officeDocument/2006/relationships/image" Target="media/image196.wmf"/><Relationship Id="rId829" Type="http://schemas.openxmlformats.org/officeDocument/2006/relationships/image" Target="media/image423.wmf"/><Relationship Id="rId1014" Type="http://schemas.openxmlformats.org/officeDocument/2006/relationships/image" Target="media/image516.png"/><Relationship Id="rId1221" Type="http://schemas.openxmlformats.org/officeDocument/2006/relationships/image" Target="media/image634.jpeg"/><Relationship Id="rId230" Type="http://schemas.openxmlformats.org/officeDocument/2006/relationships/image" Target="media/image128.wmf"/><Relationship Id="rId468" Type="http://schemas.openxmlformats.org/officeDocument/2006/relationships/oleObject" Target="embeddings/oleObject164.bin"/><Relationship Id="rId675" Type="http://schemas.openxmlformats.org/officeDocument/2006/relationships/hyperlink" Target="https://pubs.rsc.org/tr/results?searchtext=Author%3AZhengquan%20Lu" TargetMode="External"/><Relationship Id="rId882" Type="http://schemas.openxmlformats.org/officeDocument/2006/relationships/image" Target="media/image449.wmf"/><Relationship Id="rId1098" Type="http://schemas.openxmlformats.org/officeDocument/2006/relationships/image" Target="media/image560.wmf"/><Relationship Id="rId1319" Type="http://schemas.openxmlformats.org/officeDocument/2006/relationships/image" Target="media/image691.jpeg"/><Relationship Id="rId25" Type="http://schemas.openxmlformats.org/officeDocument/2006/relationships/hyperlink" Target="http://www.onu.org.mx/america-latina-y-el-caribe-la-segunda-region-mas-propensa-a-los-desastres-naturales/" TargetMode="External"/><Relationship Id="rId328" Type="http://schemas.openxmlformats.org/officeDocument/2006/relationships/oleObject" Target="embeddings/oleObject96.bin"/><Relationship Id="rId535" Type="http://schemas.openxmlformats.org/officeDocument/2006/relationships/oleObject" Target="embeddings/oleObject197.bin"/><Relationship Id="rId742" Type="http://schemas.openxmlformats.org/officeDocument/2006/relationships/image" Target="media/image381.wmf"/><Relationship Id="rId1165" Type="http://schemas.openxmlformats.org/officeDocument/2006/relationships/image" Target="media/image598.png"/><Relationship Id="rId174" Type="http://schemas.openxmlformats.org/officeDocument/2006/relationships/hyperlink" Target="mailto:lpr@azc.uam.mx" TargetMode="External"/><Relationship Id="rId381" Type="http://schemas.openxmlformats.org/officeDocument/2006/relationships/image" Target="media/image202.wmf"/><Relationship Id="rId602" Type="http://schemas.openxmlformats.org/officeDocument/2006/relationships/image" Target="media/image319.wmf"/><Relationship Id="rId1025" Type="http://schemas.openxmlformats.org/officeDocument/2006/relationships/image" Target="media/image522.wmf"/><Relationship Id="rId1232" Type="http://schemas.openxmlformats.org/officeDocument/2006/relationships/hyperlink" Target="mailto:vtapia@azc.uam.mx" TargetMode="External"/><Relationship Id="rId241" Type="http://schemas.openxmlformats.org/officeDocument/2006/relationships/oleObject" Target="embeddings/oleObject51.bin"/><Relationship Id="rId479" Type="http://schemas.openxmlformats.org/officeDocument/2006/relationships/image" Target="media/image254.wmf"/><Relationship Id="rId686" Type="http://schemas.openxmlformats.org/officeDocument/2006/relationships/image" Target="media/image353.jpeg"/><Relationship Id="rId893" Type="http://schemas.openxmlformats.org/officeDocument/2006/relationships/oleObject" Target="embeddings/oleObject356.bin"/><Relationship Id="rId907" Type="http://schemas.openxmlformats.org/officeDocument/2006/relationships/oleObject" Target="embeddings/oleObject365.bin"/><Relationship Id="rId36" Type="http://schemas.openxmlformats.org/officeDocument/2006/relationships/oleObject" Target="embeddings/oleObject2.bin"/><Relationship Id="rId339" Type="http://schemas.openxmlformats.org/officeDocument/2006/relationships/oleObject" Target="embeddings/oleObject102.bin"/><Relationship Id="rId546" Type="http://schemas.openxmlformats.org/officeDocument/2006/relationships/image" Target="media/image286.wmf"/><Relationship Id="rId753" Type="http://schemas.openxmlformats.org/officeDocument/2006/relationships/oleObject" Target="embeddings/oleObject283.bin"/><Relationship Id="rId1176" Type="http://schemas.openxmlformats.org/officeDocument/2006/relationships/hyperlink" Target="mailto:arlv@azc.uam.mx" TargetMode="External"/><Relationship Id="rId101" Type="http://schemas.openxmlformats.org/officeDocument/2006/relationships/hyperlink" Target="mailto:mpg01@yahoo.com" TargetMode="External"/><Relationship Id="rId185" Type="http://schemas.openxmlformats.org/officeDocument/2006/relationships/hyperlink" Target="mailto:3patriciallaque83@gmail.com" TargetMode="External"/><Relationship Id="rId406" Type="http://schemas.openxmlformats.org/officeDocument/2006/relationships/oleObject" Target="embeddings/oleObject135.bin"/><Relationship Id="rId960" Type="http://schemas.openxmlformats.org/officeDocument/2006/relationships/image" Target="media/image486.emf"/><Relationship Id="rId1036" Type="http://schemas.openxmlformats.org/officeDocument/2006/relationships/oleObject" Target="embeddings/oleObject400.bin"/><Relationship Id="rId1243" Type="http://schemas.openxmlformats.org/officeDocument/2006/relationships/image" Target="media/image650.png"/><Relationship Id="rId392" Type="http://schemas.openxmlformats.org/officeDocument/2006/relationships/oleObject" Target="embeddings/oleObject128.bin"/><Relationship Id="rId613" Type="http://schemas.openxmlformats.org/officeDocument/2006/relationships/oleObject" Target="embeddings/oleObject226.bin"/><Relationship Id="rId697" Type="http://schemas.openxmlformats.org/officeDocument/2006/relationships/oleObject" Target="embeddings/oleObject253.bin"/><Relationship Id="rId820" Type="http://schemas.openxmlformats.org/officeDocument/2006/relationships/oleObject" Target="embeddings/oleObject318.bin"/><Relationship Id="rId918" Type="http://schemas.openxmlformats.org/officeDocument/2006/relationships/oleObject" Target="embeddings/oleObject372.bin"/><Relationship Id="rId252" Type="http://schemas.openxmlformats.org/officeDocument/2006/relationships/image" Target="media/image139.wmf"/><Relationship Id="rId1103" Type="http://schemas.openxmlformats.org/officeDocument/2006/relationships/oleObject" Target="embeddings/oleObject432.bin"/><Relationship Id="rId1187" Type="http://schemas.openxmlformats.org/officeDocument/2006/relationships/image" Target="media/image610.jpeg"/><Relationship Id="rId1310" Type="http://schemas.openxmlformats.org/officeDocument/2006/relationships/image" Target="media/image683.png"/><Relationship Id="rId47" Type="http://schemas.openxmlformats.org/officeDocument/2006/relationships/image" Target="media/image27.wmf"/><Relationship Id="rId112" Type="http://schemas.openxmlformats.org/officeDocument/2006/relationships/oleObject" Target="embeddings/oleObject34.bin"/><Relationship Id="rId557" Type="http://schemas.openxmlformats.org/officeDocument/2006/relationships/image" Target="media/image293.png"/><Relationship Id="rId764" Type="http://schemas.openxmlformats.org/officeDocument/2006/relationships/image" Target="media/image392.wmf"/><Relationship Id="rId971" Type="http://schemas.openxmlformats.org/officeDocument/2006/relationships/hyperlink" Target="mailto:ojuarez@uv.mx" TargetMode="External"/><Relationship Id="rId196" Type="http://schemas.openxmlformats.org/officeDocument/2006/relationships/hyperlink" Target="https://ourworldindata.org/covid-cases" TargetMode="External"/><Relationship Id="rId417" Type="http://schemas.openxmlformats.org/officeDocument/2006/relationships/image" Target="media/image221.wmf"/><Relationship Id="rId624" Type="http://schemas.openxmlformats.org/officeDocument/2006/relationships/oleObject" Target="embeddings/oleObject231.bin"/><Relationship Id="rId831" Type="http://schemas.openxmlformats.org/officeDocument/2006/relationships/image" Target="media/image424.wmf"/><Relationship Id="rId1047" Type="http://schemas.openxmlformats.org/officeDocument/2006/relationships/image" Target="media/image533.wmf"/><Relationship Id="rId1254" Type="http://schemas.openxmlformats.org/officeDocument/2006/relationships/hyperlink" Target="mailto:lfs@azc.uam.mx" TargetMode="External"/><Relationship Id="rId263" Type="http://schemas.openxmlformats.org/officeDocument/2006/relationships/oleObject" Target="embeddings/oleObject62.bin"/><Relationship Id="rId470" Type="http://schemas.openxmlformats.org/officeDocument/2006/relationships/oleObject" Target="embeddings/oleObject165.bin"/><Relationship Id="rId929" Type="http://schemas.openxmlformats.org/officeDocument/2006/relationships/oleObject" Target="embeddings/oleObject379.bin"/><Relationship Id="rId1114" Type="http://schemas.openxmlformats.org/officeDocument/2006/relationships/oleObject" Target="embeddings/oleObject438.bin"/><Relationship Id="rId1321" Type="http://schemas.openxmlformats.org/officeDocument/2006/relationships/image" Target="media/image693.jpeg"/><Relationship Id="rId58" Type="http://schemas.openxmlformats.org/officeDocument/2006/relationships/oleObject" Target="embeddings/oleObject13.bin"/><Relationship Id="rId123" Type="http://schemas.openxmlformats.org/officeDocument/2006/relationships/image" Target="media/image71.png"/><Relationship Id="rId330" Type="http://schemas.openxmlformats.org/officeDocument/2006/relationships/oleObject" Target="embeddings/oleObject97.bin"/><Relationship Id="rId568" Type="http://schemas.openxmlformats.org/officeDocument/2006/relationships/image" Target="media/image300.png"/><Relationship Id="rId775" Type="http://schemas.openxmlformats.org/officeDocument/2006/relationships/oleObject" Target="embeddings/oleObject294.bin"/><Relationship Id="rId982" Type="http://schemas.openxmlformats.org/officeDocument/2006/relationships/image" Target="media/image495.png"/><Relationship Id="rId1198" Type="http://schemas.openxmlformats.org/officeDocument/2006/relationships/image" Target="media/image619.png"/><Relationship Id="rId428" Type="http://schemas.openxmlformats.org/officeDocument/2006/relationships/oleObject" Target="embeddings/oleObject145.bin"/><Relationship Id="rId635" Type="http://schemas.openxmlformats.org/officeDocument/2006/relationships/oleObject" Target="embeddings/oleObject237.bin"/><Relationship Id="rId842" Type="http://schemas.openxmlformats.org/officeDocument/2006/relationships/oleObject" Target="embeddings/oleObject329.bin"/><Relationship Id="rId1058" Type="http://schemas.openxmlformats.org/officeDocument/2006/relationships/oleObject" Target="embeddings/oleObject411.bin"/><Relationship Id="rId1265" Type="http://schemas.openxmlformats.org/officeDocument/2006/relationships/image" Target="media/image662.png"/><Relationship Id="rId274" Type="http://schemas.openxmlformats.org/officeDocument/2006/relationships/image" Target="media/image150.wmf"/><Relationship Id="rId481" Type="http://schemas.openxmlformats.org/officeDocument/2006/relationships/image" Target="media/image255.wmf"/><Relationship Id="rId702" Type="http://schemas.openxmlformats.org/officeDocument/2006/relationships/image" Target="media/image363.wmf"/><Relationship Id="rId1125" Type="http://schemas.openxmlformats.org/officeDocument/2006/relationships/image" Target="media/image573.png"/><Relationship Id="rId1332" Type="http://schemas.openxmlformats.org/officeDocument/2006/relationships/image" Target="media/image701.jpeg"/><Relationship Id="rId69" Type="http://schemas.openxmlformats.org/officeDocument/2006/relationships/image" Target="media/image38.wmf"/><Relationship Id="rId134" Type="http://schemas.openxmlformats.org/officeDocument/2006/relationships/image" Target="media/image79.png"/><Relationship Id="rId579" Type="http://schemas.openxmlformats.org/officeDocument/2006/relationships/oleObject" Target="embeddings/oleObject209.bin"/><Relationship Id="rId786" Type="http://schemas.openxmlformats.org/officeDocument/2006/relationships/oleObject" Target="embeddings/oleObject300.bin"/><Relationship Id="rId993" Type="http://schemas.openxmlformats.org/officeDocument/2006/relationships/image" Target="media/image502.png"/><Relationship Id="rId341" Type="http://schemas.openxmlformats.org/officeDocument/2006/relationships/oleObject" Target="embeddings/oleObject103.bin"/><Relationship Id="rId439" Type="http://schemas.openxmlformats.org/officeDocument/2006/relationships/image" Target="media/image232.wmf"/><Relationship Id="rId646" Type="http://schemas.openxmlformats.org/officeDocument/2006/relationships/image" Target="media/image340.jpeg"/><Relationship Id="rId1069" Type="http://schemas.openxmlformats.org/officeDocument/2006/relationships/image" Target="media/image545.wmf"/><Relationship Id="rId1276" Type="http://schemas.openxmlformats.org/officeDocument/2006/relationships/image" Target="media/image666.jpeg"/><Relationship Id="rId201" Type="http://schemas.openxmlformats.org/officeDocument/2006/relationships/hyperlink" Target="https://www.nature.com/articles/s41586-020-2405-7" TargetMode="External"/><Relationship Id="rId285" Type="http://schemas.openxmlformats.org/officeDocument/2006/relationships/oleObject" Target="embeddings/oleObject73.bin"/><Relationship Id="rId506" Type="http://schemas.openxmlformats.org/officeDocument/2006/relationships/oleObject" Target="embeddings/oleObject181.bin"/><Relationship Id="rId853" Type="http://schemas.openxmlformats.org/officeDocument/2006/relationships/image" Target="media/image435.wmf"/><Relationship Id="rId1136" Type="http://schemas.openxmlformats.org/officeDocument/2006/relationships/image" Target="media/image580.png"/><Relationship Id="rId492" Type="http://schemas.openxmlformats.org/officeDocument/2006/relationships/oleObject" Target="embeddings/oleObject175.bin"/><Relationship Id="rId713" Type="http://schemas.openxmlformats.org/officeDocument/2006/relationships/image" Target="media/image368.wmf"/><Relationship Id="rId797" Type="http://schemas.openxmlformats.org/officeDocument/2006/relationships/image" Target="media/image408.wmf"/><Relationship Id="rId920" Type="http://schemas.openxmlformats.org/officeDocument/2006/relationships/oleObject" Target="embeddings/oleObject373.bin"/><Relationship Id="rId1343" Type="http://schemas.openxmlformats.org/officeDocument/2006/relationships/hyperlink" Target="mailto:chris_loopz@yahoo.com.mx" TargetMode="External"/><Relationship Id="rId145" Type="http://schemas.openxmlformats.org/officeDocument/2006/relationships/hyperlink" Target="mailto:igsanchez@uv.mx" TargetMode="External"/><Relationship Id="rId352" Type="http://schemas.openxmlformats.org/officeDocument/2006/relationships/image" Target="media/image187.wmf"/><Relationship Id="rId1203" Type="http://schemas.openxmlformats.org/officeDocument/2006/relationships/image" Target="media/image622.emf"/><Relationship Id="rId1287" Type="http://schemas.openxmlformats.org/officeDocument/2006/relationships/image" Target="media/image670.png"/><Relationship Id="rId212" Type="http://schemas.openxmlformats.org/officeDocument/2006/relationships/image" Target="media/image119.wmf"/><Relationship Id="rId657" Type="http://schemas.openxmlformats.org/officeDocument/2006/relationships/hyperlink" Target="mailto:broger@uv.mx" TargetMode="External"/><Relationship Id="rId864" Type="http://schemas.openxmlformats.org/officeDocument/2006/relationships/oleObject" Target="embeddings/oleObject340.bin"/><Relationship Id="rId296" Type="http://schemas.openxmlformats.org/officeDocument/2006/relationships/image" Target="media/image161.wmf"/><Relationship Id="rId517" Type="http://schemas.openxmlformats.org/officeDocument/2006/relationships/image" Target="media/image273.wmf"/><Relationship Id="rId724" Type="http://schemas.openxmlformats.org/officeDocument/2006/relationships/image" Target="media/image373.wmf"/><Relationship Id="rId931" Type="http://schemas.openxmlformats.org/officeDocument/2006/relationships/oleObject" Target="embeddings/oleObject380.bin"/><Relationship Id="rId1147" Type="http://schemas.openxmlformats.org/officeDocument/2006/relationships/image" Target="media/image588.jpeg"/><Relationship Id="rId1354" Type="http://schemas.openxmlformats.org/officeDocument/2006/relationships/hyperlink" Target="mailto:lauix_best@hotmail.com" TargetMode="External"/><Relationship Id="rId60" Type="http://schemas.openxmlformats.org/officeDocument/2006/relationships/oleObject" Target="embeddings/oleObject14.bin"/><Relationship Id="rId156" Type="http://schemas.openxmlformats.org/officeDocument/2006/relationships/image" Target="media/image94.png"/><Relationship Id="rId363" Type="http://schemas.openxmlformats.org/officeDocument/2006/relationships/oleObject" Target="embeddings/oleObject114.bin"/><Relationship Id="rId570" Type="http://schemas.openxmlformats.org/officeDocument/2006/relationships/image" Target="media/image302.jpeg"/><Relationship Id="rId1007" Type="http://schemas.openxmlformats.org/officeDocument/2006/relationships/oleObject" Target="embeddings/oleObject392.bin"/><Relationship Id="rId1214" Type="http://schemas.openxmlformats.org/officeDocument/2006/relationships/image" Target="media/image633.png"/><Relationship Id="rId223" Type="http://schemas.openxmlformats.org/officeDocument/2006/relationships/oleObject" Target="embeddings/oleObject42.bin"/><Relationship Id="rId430" Type="http://schemas.openxmlformats.org/officeDocument/2006/relationships/oleObject" Target="embeddings/oleObject146.bin"/><Relationship Id="rId668" Type="http://schemas.openxmlformats.org/officeDocument/2006/relationships/hyperlink" Target="https://www.sciencedirect.com/science/article/pii/S0141813019369958" TargetMode="External"/><Relationship Id="rId875" Type="http://schemas.openxmlformats.org/officeDocument/2006/relationships/image" Target="media/image446.wmf"/><Relationship Id="rId1060" Type="http://schemas.openxmlformats.org/officeDocument/2006/relationships/oleObject" Target="embeddings/oleObject412.bin"/><Relationship Id="rId1298" Type="http://schemas.openxmlformats.org/officeDocument/2006/relationships/hyperlink" Target="http://www.cinda.cl/programa%20de%20movilidad/" TargetMode="External"/><Relationship Id="rId18" Type="http://schemas.openxmlformats.org/officeDocument/2006/relationships/image" Target="media/image9.png"/><Relationship Id="rId528" Type="http://schemas.openxmlformats.org/officeDocument/2006/relationships/oleObject" Target="embeddings/oleObject193.bin"/><Relationship Id="rId735" Type="http://schemas.openxmlformats.org/officeDocument/2006/relationships/image" Target="media/image378.wmf"/><Relationship Id="rId942" Type="http://schemas.openxmlformats.org/officeDocument/2006/relationships/image" Target="media/image472.wmf"/><Relationship Id="rId1158" Type="http://schemas.openxmlformats.org/officeDocument/2006/relationships/hyperlink" Target="mailto:mvm@azc.uam.mx" TargetMode="External"/><Relationship Id="rId1365" Type="http://schemas.openxmlformats.org/officeDocument/2006/relationships/image" Target="media/image725.jpeg"/><Relationship Id="rId167" Type="http://schemas.openxmlformats.org/officeDocument/2006/relationships/hyperlink" Target="mailto:elisabethayala@unipanamericana.edu.co" TargetMode="External"/><Relationship Id="rId374" Type="http://schemas.openxmlformats.org/officeDocument/2006/relationships/image" Target="media/image198.wmf"/><Relationship Id="rId581" Type="http://schemas.openxmlformats.org/officeDocument/2006/relationships/oleObject" Target="embeddings/oleObject210.bin"/><Relationship Id="rId1018" Type="http://schemas.openxmlformats.org/officeDocument/2006/relationships/hyperlink" Target="mailto:alejandrohossian@yahoo.com.ar" TargetMode="External"/><Relationship Id="rId1225" Type="http://schemas.openxmlformats.org/officeDocument/2006/relationships/image" Target="media/image638.jpeg"/><Relationship Id="rId71" Type="http://schemas.openxmlformats.org/officeDocument/2006/relationships/image" Target="media/image39.wmf"/><Relationship Id="rId234" Type="http://schemas.openxmlformats.org/officeDocument/2006/relationships/image" Target="media/image130.wmf"/><Relationship Id="rId679" Type="http://schemas.openxmlformats.org/officeDocument/2006/relationships/hyperlink" Target="mailto:esco_lar@yahoo.com" TargetMode="External"/><Relationship Id="rId802" Type="http://schemas.openxmlformats.org/officeDocument/2006/relationships/oleObject" Target="embeddings/oleObject308.bin"/><Relationship Id="rId886" Type="http://schemas.openxmlformats.org/officeDocument/2006/relationships/image" Target="media/image451.wmf"/><Relationship Id="rId2" Type="http://schemas.openxmlformats.org/officeDocument/2006/relationships/numbering" Target="numbering.xml"/><Relationship Id="rId29" Type="http://schemas.openxmlformats.org/officeDocument/2006/relationships/image" Target="media/image16.png"/><Relationship Id="rId441" Type="http://schemas.openxmlformats.org/officeDocument/2006/relationships/image" Target="media/image233.wmf"/><Relationship Id="rId539" Type="http://schemas.openxmlformats.org/officeDocument/2006/relationships/oleObject" Target="embeddings/oleObject199.bin"/><Relationship Id="rId746" Type="http://schemas.openxmlformats.org/officeDocument/2006/relationships/image" Target="media/image383.wmf"/><Relationship Id="rId1071" Type="http://schemas.openxmlformats.org/officeDocument/2006/relationships/oleObject" Target="embeddings/oleObject417.bin"/><Relationship Id="rId1169" Type="http://schemas.openxmlformats.org/officeDocument/2006/relationships/image" Target="media/image602.png"/><Relationship Id="rId178" Type="http://schemas.openxmlformats.org/officeDocument/2006/relationships/hyperlink" Target="mailto:cutberto@azc.uam.mx" TargetMode="External"/><Relationship Id="rId301" Type="http://schemas.openxmlformats.org/officeDocument/2006/relationships/oleObject" Target="embeddings/oleObject81.bin"/><Relationship Id="rId953" Type="http://schemas.openxmlformats.org/officeDocument/2006/relationships/image" Target="media/image479.jpeg"/><Relationship Id="rId1029" Type="http://schemas.openxmlformats.org/officeDocument/2006/relationships/image" Target="media/image524.wmf"/><Relationship Id="rId1236" Type="http://schemas.openxmlformats.org/officeDocument/2006/relationships/image" Target="media/image644.jpeg"/><Relationship Id="rId82" Type="http://schemas.openxmlformats.org/officeDocument/2006/relationships/oleObject" Target="embeddings/oleObject25.bin"/><Relationship Id="rId385" Type="http://schemas.openxmlformats.org/officeDocument/2006/relationships/image" Target="media/image204.wmf"/><Relationship Id="rId592" Type="http://schemas.openxmlformats.org/officeDocument/2006/relationships/image" Target="media/image314.wmf"/><Relationship Id="rId606" Type="http://schemas.openxmlformats.org/officeDocument/2006/relationships/image" Target="media/image321.wmf"/><Relationship Id="rId813" Type="http://schemas.openxmlformats.org/officeDocument/2006/relationships/oleObject" Target="embeddings/oleObject314.bin"/><Relationship Id="rId245" Type="http://schemas.openxmlformats.org/officeDocument/2006/relationships/oleObject" Target="embeddings/oleObject53.bin"/><Relationship Id="rId452" Type="http://schemas.openxmlformats.org/officeDocument/2006/relationships/oleObject" Target="embeddings/oleObject156.bin"/><Relationship Id="rId897" Type="http://schemas.openxmlformats.org/officeDocument/2006/relationships/oleObject" Target="embeddings/oleObject359.bin"/><Relationship Id="rId1082" Type="http://schemas.openxmlformats.org/officeDocument/2006/relationships/image" Target="media/image551.wmf"/><Relationship Id="rId1303" Type="http://schemas.openxmlformats.org/officeDocument/2006/relationships/hyperlink" Target="https://www.conahec.org/node/762" TargetMode="External"/><Relationship Id="rId105" Type="http://schemas.openxmlformats.org/officeDocument/2006/relationships/image" Target="media/image57.wmf"/><Relationship Id="rId312" Type="http://schemas.openxmlformats.org/officeDocument/2006/relationships/oleObject" Target="embeddings/oleObject87.bin"/><Relationship Id="rId757" Type="http://schemas.openxmlformats.org/officeDocument/2006/relationships/oleObject" Target="embeddings/oleObject285.bin"/><Relationship Id="rId964" Type="http://schemas.openxmlformats.org/officeDocument/2006/relationships/hyperlink" Target="mailto:ing.biotec.rangel@outlook.es" TargetMode="External"/><Relationship Id="rId93" Type="http://schemas.openxmlformats.org/officeDocument/2006/relationships/image" Target="media/image50.jpeg"/><Relationship Id="rId189" Type="http://schemas.openxmlformats.org/officeDocument/2006/relationships/image" Target="media/image112.jpeg"/><Relationship Id="rId396" Type="http://schemas.openxmlformats.org/officeDocument/2006/relationships/oleObject" Target="embeddings/oleObject130.bin"/><Relationship Id="rId617" Type="http://schemas.openxmlformats.org/officeDocument/2006/relationships/oleObject" Target="embeddings/oleObject228.bin"/><Relationship Id="rId824" Type="http://schemas.openxmlformats.org/officeDocument/2006/relationships/oleObject" Target="embeddings/oleObject320.bin"/><Relationship Id="rId1247" Type="http://schemas.openxmlformats.org/officeDocument/2006/relationships/image" Target="media/image654.png"/><Relationship Id="rId256" Type="http://schemas.openxmlformats.org/officeDocument/2006/relationships/image" Target="media/image141.wmf"/><Relationship Id="rId463" Type="http://schemas.openxmlformats.org/officeDocument/2006/relationships/image" Target="media/image245.wmf"/><Relationship Id="rId670" Type="http://schemas.openxmlformats.org/officeDocument/2006/relationships/hyperlink" Target="https://www.sciencedirect.com/science/article/pii/S0141813019369958" TargetMode="External"/><Relationship Id="rId1093" Type="http://schemas.openxmlformats.org/officeDocument/2006/relationships/oleObject" Target="embeddings/oleObject428.bin"/><Relationship Id="rId1107" Type="http://schemas.openxmlformats.org/officeDocument/2006/relationships/image" Target="media/image564.wmf"/><Relationship Id="rId1314" Type="http://schemas.openxmlformats.org/officeDocument/2006/relationships/image" Target="media/image686.jpeg"/><Relationship Id="rId116" Type="http://schemas.openxmlformats.org/officeDocument/2006/relationships/image" Target="media/image64.png"/><Relationship Id="rId323" Type="http://schemas.openxmlformats.org/officeDocument/2006/relationships/oleObject" Target="embeddings/oleObject93.bin"/><Relationship Id="rId530" Type="http://schemas.openxmlformats.org/officeDocument/2006/relationships/image" Target="media/image279.wmf"/><Relationship Id="rId768" Type="http://schemas.openxmlformats.org/officeDocument/2006/relationships/image" Target="media/image394.wmf"/><Relationship Id="rId975" Type="http://schemas.openxmlformats.org/officeDocument/2006/relationships/image" Target="media/image488.png"/><Relationship Id="rId1160" Type="http://schemas.openxmlformats.org/officeDocument/2006/relationships/hyperlink" Target="mailto:mgjr@azc.uam.mx" TargetMode="External"/><Relationship Id="rId20" Type="http://schemas.openxmlformats.org/officeDocument/2006/relationships/image" Target="media/image11.png"/><Relationship Id="rId628" Type="http://schemas.openxmlformats.org/officeDocument/2006/relationships/image" Target="media/image332.wmf"/><Relationship Id="rId835" Type="http://schemas.openxmlformats.org/officeDocument/2006/relationships/image" Target="media/image426.wmf"/><Relationship Id="rId1258" Type="http://schemas.openxmlformats.org/officeDocument/2006/relationships/hyperlink" Target="mailto:mario@24cero5.com" TargetMode="External"/><Relationship Id="rId267" Type="http://schemas.openxmlformats.org/officeDocument/2006/relationships/oleObject" Target="embeddings/oleObject64.bin"/><Relationship Id="rId474" Type="http://schemas.openxmlformats.org/officeDocument/2006/relationships/oleObject" Target="embeddings/oleObject166.bin"/><Relationship Id="rId1020" Type="http://schemas.openxmlformats.org/officeDocument/2006/relationships/hyperlink" Target="mailto:rcarabaj@copelnet.com.ar" TargetMode="External"/><Relationship Id="rId1118" Type="http://schemas.openxmlformats.org/officeDocument/2006/relationships/oleObject" Target="embeddings/oleObject440.bin"/><Relationship Id="rId1325" Type="http://schemas.openxmlformats.org/officeDocument/2006/relationships/image" Target="media/image697.jpeg"/><Relationship Id="rId127" Type="http://schemas.openxmlformats.org/officeDocument/2006/relationships/image" Target="media/image75.png"/><Relationship Id="rId681" Type="http://schemas.openxmlformats.org/officeDocument/2006/relationships/oleObject" Target="embeddings/oleObject248.bin"/><Relationship Id="rId779" Type="http://schemas.openxmlformats.org/officeDocument/2006/relationships/image" Target="media/image399.wmf"/><Relationship Id="rId902" Type="http://schemas.openxmlformats.org/officeDocument/2006/relationships/oleObject" Target="embeddings/oleObject362.bin"/><Relationship Id="rId986" Type="http://schemas.openxmlformats.org/officeDocument/2006/relationships/hyperlink" Target="mailto:mbqd@azc.uma.mx" TargetMode="External"/><Relationship Id="rId31" Type="http://schemas.openxmlformats.org/officeDocument/2006/relationships/image" Target="media/image18.png"/><Relationship Id="rId334" Type="http://schemas.openxmlformats.org/officeDocument/2006/relationships/oleObject" Target="embeddings/oleObject99.bin"/><Relationship Id="rId541" Type="http://schemas.openxmlformats.org/officeDocument/2006/relationships/oleObject" Target="embeddings/oleObject201.bin"/><Relationship Id="rId639" Type="http://schemas.openxmlformats.org/officeDocument/2006/relationships/oleObject" Target="embeddings/oleObject240.bin"/><Relationship Id="rId1171" Type="http://schemas.openxmlformats.org/officeDocument/2006/relationships/hyperlink" Target="mailto:arlr@azc.uam.mx" TargetMode="External"/><Relationship Id="rId1269" Type="http://schemas.openxmlformats.org/officeDocument/2006/relationships/hyperlink" Target="http://www.iipe-buenosaires.org.ar" TargetMode="External"/><Relationship Id="rId180" Type="http://schemas.openxmlformats.org/officeDocument/2006/relationships/image" Target="media/image108.tiff"/><Relationship Id="rId278" Type="http://schemas.openxmlformats.org/officeDocument/2006/relationships/image" Target="media/image152.wmf"/><Relationship Id="rId401" Type="http://schemas.openxmlformats.org/officeDocument/2006/relationships/image" Target="media/image212.wmf"/><Relationship Id="rId846" Type="http://schemas.openxmlformats.org/officeDocument/2006/relationships/oleObject" Target="embeddings/oleObject331.bin"/><Relationship Id="rId1031" Type="http://schemas.openxmlformats.org/officeDocument/2006/relationships/image" Target="media/image525.wmf"/><Relationship Id="rId1129" Type="http://schemas.openxmlformats.org/officeDocument/2006/relationships/hyperlink" Target="mailto:nporrasg@correo.udistrital.edu.co" TargetMode="External"/><Relationship Id="rId485" Type="http://schemas.openxmlformats.org/officeDocument/2006/relationships/image" Target="media/image257.wmf"/><Relationship Id="rId692" Type="http://schemas.openxmlformats.org/officeDocument/2006/relationships/image" Target="media/image358.wmf"/><Relationship Id="rId706" Type="http://schemas.openxmlformats.org/officeDocument/2006/relationships/oleObject" Target="embeddings/oleObject258.bin"/><Relationship Id="rId913" Type="http://schemas.openxmlformats.org/officeDocument/2006/relationships/oleObject" Target="embeddings/oleObject369.bin"/><Relationship Id="rId1336" Type="http://schemas.openxmlformats.org/officeDocument/2006/relationships/image" Target="media/image705.jpeg"/><Relationship Id="rId42" Type="http://schemas.openxmlformats.org/officeDocument/2006/relationships/oleObject" Target="embeddings/oleObject5.bin"/><Relationship Id="rId138" Type="http://schemas.openxmlformats.org/officeDocument/2006/relationships/image" Target="media/image83.png"/><Relationship Id="rId345" Type="http://schemas.openxmlformats.org/officeDocument/2006/relationships/oleObject" Target="embeddings/oleObject105.bin"/><Relationship Id="rId552" Type="http://schemas.openxmlformats.org/officeDocument/2006/relationships/oleObject" Target="embeddings/oleObject207.bin"/><Relationship Id="rId997" Type="http://schemas.openxmlformats.org/officeDocument/2006/relationships/hyperlink" Target="mailto:hahernandezm@udistrital.edu.co" TargetMode="External"/><Relationship Id="rId1182" Type="http://schemas.openxmlformats.org/officeDocument/2006/relationships/image" Target="media/image608.png"/><Relationship Id="rId191" Type="http://schemas.openxmlformats.org/officeDocument/2006/relationships/image" Target="media/image114.jpeg"/><Relationship Id="rId205" Type="http://schemas.openxmlformats.org/officeDocument/2006/relationships/hyperlink" Target="https://www.nature.com/articles/s41586-020-2405-7" TargetMode="External"/><Relationship Id="rId412" Type="http://schemas.openxmlformats.org/officeDocument/2006/relationships/oleObject" Target="embeddings/oleObject137.bin"/><Relationship Id="rId857" Type="http://schemas.openxmlformats.org/officeDocument/2006/relationships/image" Target="media/image437.wmf"/><Relationship Id="rId1042" Type="http://schemas.openxmlformats.org/officeDocument/2006/relationships/oleObject" Target="embeddings/oleObject403.bin"/><Relationship Id="rId289" Type="http://schemas.openxmlformats.org/officeDocument/2006/relationships/oleObject" Target="embeddings/oleObject75.bin"/><Relationship Id="rId496" Type="http://schemas.openxmlformats.org/officeDocument/2006/relationships/oleObject" Target="embeddings/oleObject177.bin"/><Relationship Id="rId717" Type="http://schemas.openxmlformats.org/officeDocument/2006/relationships/image" Target="media/image370.wmf"/><Relationship Id="rId924" Type="http://schemas.openxmlformats.org/officeDocument/2006/relationships/oleObject" Target="embeddings/oleObject375.bin"/><Relationship Id="rId1347" Type="http://schemas.openxmlformats.org/officeDocument/2006/relationships/chart" Target="charts/chart8.xml"/><Relationship Id="rId53" Type="http://schemas.openxmlformats.org/officeDocument/2006/relationships/image" Target="media/image30.wmf"/><Relationship Id="rId149" Type="http://schemas.openxmlformats.org/officeDocument/2006/relationships/hyperlink" Target="mailto:eduherandez@uv.mx" TargetMode="External"/><Relationship Id="rId356" Type="http://schemas.openxmlformats.org/officeDocument/2006/relationships/image" Target="media/image189.wmf"/><Relationship Id="rId563" Type="http://schemas.openxmlformats.org/officeDocument/2006/relationships/hyperlink" Target="mailto:dflozano@tec.mx" TargetMode="External"/><Relationship Id="rId770" Type="http://schemas.openxmlformats.org/officeDocument/2006/relationships/image" Target="media/image395.wmf"/><Relationship Id="rId1193" Type="http://schemas.openxmlformats.org/officeDocument/2006/relationships/image" Target="media/image616.emf"/><Relationship Id="rId1207" Type="http://schemas.openxmlformats.org/officeDocument/2006/relationships/image" Target="media/image626.emf"/><Relationship Id="rId216" Type="http://schemas.openxmlformats.org/officeDocument/2006/relationships/image" Target="media/image121.wmf"/><Relationship Id="rId423" Type="http://schemas.openxmlformats.org/officeDocument/2006/relationships/image" Target="media/image224.wmf"/><Relationship Id="rId868" Type="http://schemas.openxmlformats.org/officeDocument/2006/relationships/oleObject" Target="embeddings/oleObject342.bin"/><Relationship Id="rId1053" Type="http://schemas.openxmlformats.org/officeDocument/2006/relationships/image" Target="media/image536.wmf"/><Relationship Id="rId1260" Type="http://schemas.openxmlformats.org/officeDocument/2006/relationships/image" Target="media/image6570.png"/><Relationship Id="rId630" Type="http://schemas.openxmlformats.org/officeDocument/2006/relationships/image" Target="media/image333.wmf"/><Relationship Id="rId728" Type="http://schemas.openxmlformats.org/officeDocument/2006/relationships/image" Target="media/image375.wmf"/><Relationship Id="rId935" Type="http://schemas.openxmlformats.org/officeDocument/2006/relationships/oleObject" Target="embeddings/oleObject382.bin"/><Relationship Id="rId1358" Type="http://schemas.openxmlformats.org/officeDocument/2006/relationships/image" Target="media/image720.png"/><Relationship Id="rId64" Type="http://schemas.openxmlformats.org/officeDocument/2006/relationships/oleObject" Target="embeddings/oleObject16.bin"/><Relationship Id="rId367" Type="http://schemas.openxmlformats.org/officeDocument/2006/relationships/oleObject" Target="embeddings/oleObject116.bin"/><Relationship Id="rId574" Type="http://schemas.openxmlformats.org/officeDocument/2006/relationships/hyperlink" Target="mailto:dll@correo.azc.uam.mx" TargetMode="External"/><Relationship Id="rId1120" Type="http://schemas.openxmlformats.org/officeDocument/2006/relationships/oleObject" Target="embeddings/oleObject441.bin"/><Relationship Id="rId1218" Type="http://schemas.openxmlformats.org/officeDocument/2006/relationships/hyperlink" Target="mailto:vtapia@azc.uam.mx" TargetMode="External"/><Relationship Id="rId227" Type="http://schemas.openxmlformats.org/officeDocument/2006/relationships/oleObject" Target="embeddings/oleObject44.bin"/><Relationship Id="rId781" Type="http://schemas.openxmlformats.org/officeDocument/2006/relationships/image" Target="media/image400.wmf"/><Relationship Id="rId879" Type="http://schemas.openxmlformats.org/officeDocument/2006/relationships/oleObject" Target="embeddings/oleObject348.bin"/><Relationship Id="rId434" Type="http://schemas.openxmlformats.org/officeDocument/2006/relationships/oleObject" Target="embeddings/oleObject148.bin"/><Relationship Id="rId641" Type="http://schemas.openxmlformats.org/officeDocument/2006/relationships/oleObject" Target="embeddings/oleObject241.bin"/><Relationship Id="rId739" Type="http://schemas.openxmlformats.org/officeDocument/2006/relationships/oleObject" Target="embeddings/oleObject276.bin"/><Relationship Id="rId1064" Type="http://schemas.openxmlformats.org/officeDocument/2006/relationships/oleObject" Target="embeddings/oleObject414.bin"/><Relationship Id="rId1271" Type="http://schemas.openxmlformats.org/officeDocument/2006/relationships/hyperlink" Target="mailto:berenicegrodriguez@gmail.com" TargetMode="External"/><Relationship Id="rId1369" Type="http://schemas.openxmlformats.org/officeDocument/2006/relationships/footer" Target="footer2.xml"/><Relationship Id="rId280" Type="http://schemas.openxmlformats.org/officeDocument/2006/relationships/image" Target="media/image153.wmf"/><Relationship Id="rId501" Type="http://schemas.openxmlformats.org/officeDocument/2006/relationships/image" Target="media/image266.wmf"/><Relationship Id="rId946" Type="http://schemas.openxmlformats.org/officeDocument/2006/relationships/image" Target="media/image474.wmf"/><Relationship Id="rId1131" Type="http://schemas.openxmlformats.org/officeDocument/2006/relationships/image" Target="media/image575.jpeg"/><Relationship Id="rId1229" Type="http://schemas.openxmlformats.org/officeDocument/2006/relationships/hyperlink" Target="mailto:vlji@azc.uam.mx" TargetMode="External"/><Relationship Id="rId75" Type="http://schemas.openxmlformats.org/officeDocument/2006/relationships/image" Target="media/image41.wmf"/><Relationship Id="rId140" Type="http://schemas.openxmlformats.org/officeDocument/2006/relationships/image" Target="media/image85.jpeg"/><Relationship Id="rId378" Type="http://schemas.openxmlformats.org/officeDocument/2006/relationships/image" Target="media/image200.png"/><Relationship Id="rId585" Type="http://schemas.openxmlformats.org/officeDocument/2006/relationships/oleObject" Target="embeddings/oleObject212.bin"/><Relationship Id="rId792" Type="http://schemas.openxmlformats.org/officeDocument/2006/relationships/oleObject" Target="embeddings/oleObject303.bin"/><Relationship Id="rId806" Type="http://schemas.openxmlformats.org/officeDocument/2006/relationships/oleObject" Target="embeddings/oleObject310.bin"/><Relationship Id="rId6" Type="http://schemas.openxmlformats.org/officeDocument/2006/relationships/footnotes" Target="footnotes.xml"/><Relationship Id="rId238" Type="http://schemas.openxmlformats.org/officeDocument/2006/relationships/image" Target="media/image132.wmf"/><Relationship Id="rId445" Type="http://schemas.openxmlformats.org/officeDocument/2006/relationships/image" Target="media/image235.wmf"/><Relationship Id="rId652" Type="http://schemas.openxmlformats.org/officeDocument/2006/relationships/oleObject" Target="embeddings/oleObject246.bin"/><Relationship Id="rId1075" Type="http://schemas.openxmlformats.org/officeDocument/2006/relationships/oleObject" Target="embeddings/oleObject419.bin"/><Relationship Id="rId1282" Type="http://schemas.openxmlformats.org/officeDocument/2006/relationships/hyperlink" Target="mailto:mbqd@azc.uam.mx" TargetMode="External"/><Relationship Id="rId291" Type="http://schemas.openxmlformats.org/officeDocument/2006/relationships/oleObject" Target="embeddings/oleObject76.bin"/><Relationship Id="rId305" Type="http://schemas.openxmlformats.org/officeDocument/2006/relationships/oleObject" Target="embeddings/oleObject83.bin"/><Relationship Id="rId512" Type="http://schemas.openxmlformats.org/officeDocument/2006/relationships/oleObject" Target="embeddings/oleObject185.bin"/><Relationship Id="rId957" Type="http://schemas.openxmlformats.org/officeDocument/2006/relationships/image" Target="media/image483.emf"/><Relationship Id="rId1142" Type="http://schemas.openxmlformats.org/officeDocument/2006/relationships/hyperlink" Target="mailto:ndv@correo.azc.uam.mx" TargetMode="External"/><Relationship Id="rId86" Type="http://schemas.openxmlformats.org/officeDocument/2006/relationships/oleObject" Target="embeddings/oleObject27.bin"/><Relationship Id="rId151" Type="http://schemas.openxmlformats.org/officeDocument/2006/relationships/hyperlink" Target="mailto:uisasanchez@uv.mx" TargetMode="External"/><Relationship Id="rId389" Type="http://schemas.openxmlformats.org/officeDocument/2006/relationships/image" Target="media/image206.wmf"/><Relationship Id="rId596" Type="http://schemas.openxmlformats.org/officeDocument/2006/relationships/image" Target="media/image316.wmf"/><Relationship Id="rId817" Type="http://schemas.openxmlformats.org/officeDocument/2006/relationships/image" Target="media/image417.wmf"/><Relationship Id="rId1002" Type="http://schemas.openxmlformats.org/officeDocument/2006/relationships/image" Target="media/image508.png"/><Relationship Id="rId249" Type="http://schemas.openxmlformats.org/officeDocument/2006/relationships/oleObject" Target="embeddings/oleObject55.bin"/><Relationship Id="rId456" Type="http://schemas.openxmlformats.org/officeDocument/2006/relationships/oleObject" Target="embeddings/oleObject158.bin"/><Relationship Id="rId663" Type="http://schemas.openxmlformats.org/officeDocument/2006/relationships/hyperlink" Target="https://pubs.acs.org/doi/abs/10.1021/la800366j" TargetMode="External"/><Relationship Id="rId870" Type="http://schemas.openxmlformats.org/officeDocument/2006/relationships/oleObject" Target="embeddings/oleObject343.bin"/><Relationship Id="rId1086" Type="http://schemas.openxmlformats.org/officeDocument/2006/relationships/image" Target="media/image553.wmf"/><Relationship Id="rId1293" Type="http://schemas.openxmlformats.org/officeDocument/2006/relationships/image" Target="media/image676.png"/><Relationship Id="rId1307" Type="http://schemas.openxmlformats.org/officeDocument/2006/relationships/image" Target="media/image680.png"/><Relationship Id="rId13" Type="http://schemas.openxmlformats.org/officeDocument/2006/relationships/header" Target="header1.xml"/><Relationship Id="rId109" Type="http://schemas.openxmlformats.org/officeDocument/2006/relationships/image" Target="media/image59.wmf"/><Relationship Id="rId316" Type="http://schemas.openxmlformats.org/officeDocument/2006/relationships/oleObject" Target="embeddings/oleObject89.bin"/><Relationship Id="rId523" Type="http://schemas.openxmlformats.org/officeDocument/2006/relationships/image" Target="media/image276.wmf"/><Relationship Id="rId968" Type="http://schemas.openxmlformats.org/officeDocument/2006/relationships/hyperlink" Target="mailto:igsanchez@uv.mx" TargetMode="External"/><Relationship Id="rId1153" Type="http://schemas.openxmlformats.org/officeDocument/2006/relationships/hyperlink" Target="https://ec.europa.eu/clima/policies/transport/vehicles/vecto_en" TargetMode="External"/><Relationship Id="rId97" Type="http://schemas.openxmlformats.org/officeDocument/2006/relationships/hyperlink" Target="mailto:gerardo.calva@icat.unam.mx" TargetMode="External"/><Relationship Id="rId730" Type="http://schemas.openxmlformats.org/officeDocument/2006/relationships/image" Target="media/image376.wmf"/><Relationship Id="rId828" Type="http://schemas.openxmlformats.org/officeDocument/2006/relationships/oleObject" Target="embeddings/oleObject322.bin"/><Relationship Id="rId1013" Type="http://schemas.openxmlformats.org/officeDocument/2006/relationships/image" Target="media/image515.png"/><Relationship Id="rId1360" Type="http://schemas.openxmlformats.org/officeDocument/2006/relationships/image" Target="media/image722.png"/><Relationship Id="rId162" Type="http://schemas.openxmlformats.org/officeDocument/2006/relationships/image" Target="media/image100.png"/><Relationship Id="rId467" Type="http://schemas.openxmlformats.org/officeDocument/2006/relationships/image" Target="media/image247.wmf"/><Relationship Id="rId1097" Type="http://schemas.openxmlformats.org/officeDocument/2006/relationships/oleObject" Target="embeddings/oleObject429.bin"/><Relationship Id="rId1220" Type="http://schemas.openxmlformats.org/officeDocument/2006/relationships/hyperlink" Target="mailto:mlagos@azc.uam.mx" TargetMode="External"/><Relationship Id="rId1318" Type="http://schemas.openxmlformats.org/officeDocument/2006/relationships/image" Target="media/image690.jpeg"/><Relationship Id="rId674" Type="http://schemas.openxmlformats.org/officeDocument/2006/relationships/hyperlink" Target="https://pubs.rsc.org/tr/results?searchtext=Author%3AJianan%20Zhang" TargetMode="External"/><Relationship Id="rId881" Type="http://schemas.openxmlformats.org/officeDocument/2006/relationships/oleObject" Target="embeddings/oleObject349.bin"/><Relationship Id="rId979" Type="http://schemas.openxmlformats.org/officeDocument/2006/relationships/image" Target="media/image492.png"/><Relationship Id="rId24" Type="http://schemas.openxmlformats.org/officeDocument/2006/relationships/image" Target="media/image15.png"/><Relationship Id="rId327" Type="http://schemas.openxmlformats.org/officeDocument/2006/relationships/image" Target="media/image175.wmf"/><Relationship Id="rId534" Type="http://schemas.openxmlformats.org/officeDocument/2006/relationships/image" Target="media/image281.wmf"/><Relationship Id="rId741" Type="http://schemas.openxmlformats.org/officeDocument/2006/relationships/oleObject" Target="embeddings/oleObject277.bin"/><Relationship Id="rId839" Type="http://schemas.openxmlformats.org/officeDocument/2006/relationships/image" Target="media/image428.wmf"/><Relationship Id="rId1164" Type="http://schemas.openxmlformats.org/officeDocument/2006/relationships/image" Target="media/image597.png"/><Relationship Id="rId1371" Type="http://schemas.openxmlformats.org/officeDocument/2006/relationships/theme" Target="theme/theme1.xml"/><Relationship Id="rId173" Type="http://schemas.openxmlformats.org/officeDocument/2006/relationships/hyperlink" Target="mailto:jlcl@azc.uam.mx" TargetMode="External"/><Relationship Id="rId380" Type="http://schemas.openxmlformats.org/officeDocument/2006/relationships/oleObject" Target="embeddings/oleObject122.bin"/><Relationship Id="rId601" Type="http://schemas.openxmlformats.org/officeDocument/2006/relationships/oleObject" Target="embeddings/oleObject220.bin"/><Relationship Id="rId1024" Type="http://schemas.openxmlformats.org/officeDocument/2006/relationships/image" Target="media/image521.jpeg"/><Relationship Id="rId1231" Type="http://schemas.openxmlformats.org/officeDocument/2006/relationships/hyperlink" Target="mailto:cajf@azc.uam.mx" TargetMode="External"/><Relationship Id="rId240" Type="http://schemas.openxmlformats.org/officeDocument/2006/relationships/image" Target="media/image133.wmf"/><Relationship Id="rId478" Type="http://schemas.openxmlformats.org/officeDocument/2006/relationships/oleObject" Target="embeddings/oleObject168.bin"/><Relationship Id="rId685" Type="http://schemas.openxmlformats.org/officeDocument/2006/relationships/image" Target="media/image352.jpeg"/><Relationship Id="rId892" Type="http://schemas.openxmlformats.org/officeDocument/2006/relationships/image" Target="media/image453.wmf"/><Relationship Id="rId906" Type="http://schemas.openxmlformats.org/officeDocument/2006/relationships/oleObject" Target="embeddings/oleObject364.bin"/><Relationship Id="rId1329" Type="http://schemas.openxmlformats.org/officeDocument/2006/relationships/hyperlink" Target="mailto:carolalvareztrejos@gmail.com" TargetMode="External"/><Relationship Id="rId35" Type="http://schemas.openxmlformats.org/officeDocument/2006/relationships/image" Target="media/image21.wmf"/><Relationship Id="rId100" Type="http://schemas.openxmlformats.org/officeDocument/2006/relationships/hyperlink" Target="mailto:alejandro.padron@icat.unam.mx" TargetMode="External"/><Relationship Id="rId338" Type="http://schemas.openxmlformats.org/officeDocument/2006/relationships/image" Target="media/image180.wmf"/><Relationship Id="rId545" Type="http://schemas.openxmlformats.org/officeDocument/2006/relationships/oleObject" Target="embeddings/oleObject203.bin"/><Relationship Id="rId752" Type="http://schemas.openxmlformats.org/officeDocument/2006/relationships/image" Target="media/image386.wmf"/><Relationship Id="rId1175" Type="http://schemas.openxmlformats.org/officeDocument/2006/relationships/hyperlink" Target="mailto:guillermomerida@live.com.mx" TargetMode="External"/><Relationship Id="rId184" Type="http://schemas.openxmlformats.org/officeDocument/2006/relationships/hyperlink" Target="mailto:2juan.orosco@upn.edu.pe" TargetMode="External"/><Relationship Id="rId391" Type="http://schemas.openxmlformats.org/officeDocument/2006/relationships/image" Target="media/image207.wmf"/><Relationship Id="rId405" Type="http://schemas.openxmlformats.org/officeDocument/2006/relationships/image" Target="media/image214.wmf"/><Relationship Id="rId612" Type="http://schemas.openxmlformats.org/officeDocument/2006/relationships/image" Target="media/image324.wmf"/><Relationship Id="rId1035" Type="http://schemas.openxmlformats.org/officeDocument/2006/relationships/image" Target="media/image527.wmf"/><Relationship Id="rId1242" Type="http://schemas.openxmlformats.org/officeDocument/2006/relationships/image" Target="media/image649.png"/><Relationship Id="rId251" Type="http://schemas.openxmlformats.org/officeDocument/2006/relationships/oleObject" Target="embeddings/oleObject56.bin"/><Relationship Id="rId489" Type="http://schemas.openxmlformats.org/officeDocument/2006/relationships/image" Target="media/image259.wmf"/><Relationship Id="rId696" Type="http://schemas.openxmlformats.org/officeDocument/2006/relationships/image" Target="media/image360.wmf"/><Relationship Id="rId917" Type="http://schemas.openxmlformats.org/officeDocument/2006/relationships/image" Target="media/image462.wmf"/><Relationship Id="rId1102" Type="http://schemas.openxmlformats.org/officeDocument/2006/relationships/image" Target="media/image562.wmf"/><Relationship Id="rId46" Type="http://schemas.openxmlformats.org/officeDocument/2006/relationships/oleObject" Target="embeddings/oleObject7.bin"/><Relationship Id="rId349" Type="http://schemas.openxmlformats.org/officeDocument/2006/relationships/oleObject" Target="embeddings/oleObject107.bin"/><Relationship Id="rId556" Type="http://schemas.openxmlformats.org/officeDocument/2006/relationships/image" Target="media/image292.png"/><Relationship Id="rId763" Type="http://schemas.openxmlformats.org/officeDocument/2006/relationships/oleObject" Target="embeddings/oleObject288.bin"/><Relationship Id="rId1186" Type="http://schemas.openxmlformats.org/officeDocument/2006/relationships/image" Target="media/image609.emf"/><Relationship Id="rId111" Type="http://schemas.openxmlformats.org/officeDocument/2006/relationships/image" Target="media/image60.wmf"/><Relationship Id="rId195" Type="http://schemas.openxmlformats.org/officeDocument/2006/relationships/hyperlink" Target="https://www.who.int/docs/default-source/coronaviruse/situation-reports/20200319-sitrep-59-covid-19.pdf?sfvrsn=c3dcdef9_2" TargetMode="External"/><Relationship Id="rId209" Type="http://schemas.openxmlformats.org/officeDocument/2006/relationships/oleObject" Target="embeddings/oleObject35.bin"/><Relationship Id="rId416" Type="http://schemas.openxmlformats.org/officeDocument/2006/relationships/oleObject" Target="embeddings/oleObject139.bin"/><Relationship Id="rId970" Type="http://schemas.openxmlformats.org/officeDocument/2006/relationships/hyperlink" Target="mailto:vijuarez@uv.mx" TargetMode="External"/><Relationship Id="rId1046" Type="http://schemas.openxmlformats.org/officeDocument/2006/relationships/oleObject" Target="embeddings/oleObject405.bin"/><Relationship Id="rId1253" Type="http://schemas.openxmlformats.org/officeDocument/2006/relationships/hyperlink" Target="mailto:mcm@azc.uam.mx" TargetMode="External"/><Relationship Id="rId623" Type="http://schemas.openxmlformats.org/officeDocument/2006/relationships/image" Target="media/image330.wmf"/><Relationship Id="rId830" Type="http://schemas.openxmlformats.org/officeDocument/2006/relationships/oleObject" Target="embeddings/oleObject323.bin"/><Relationship Id="rId928" Type="http://schemas.openxmlformats.org/officeDocument/2006/relationships/oleObject" Target="embeddings/oleObject378.bin"/><Relationship Id="rId57" Type="http://schemas.openxmlformats.org/officeDocument/2006/relationships/image" Target="media/image32.wmf"/><Relationship Id="rId262" Type="http://schemas.openxmlformats.org/officeDocument/2006/relationships/image" Target="media/image144.wmf"/><Relationship Id="rId567" Type="http://schemas.openxmlformats.org/officeDocument/2006/relationships/image" Target="media/image299.png"/><Relationship Id="rId1113" Type="http://schemas.openxmlformats.org/officeDocument/2006/relationships/image" Target="media/image567.wmf"/><Relationship Id="rId1197" Type="http://schemas.openxmlformats.org/officeDocument/2006/relationships/oleObject" Target="embeddings/oleObject446.bin"/><Relationship Id="rId1320" Type="http://schemas.openxmlformats.org/officeDocument/2006/relationships/image" Target="media/image692.jpeg"/><Relationship Id="rId122" Type="http://schemas.openxmlformats.org/officeDocument/2006/relationships/image" Target="media/image70.png"/><Relationship Id="rId774" Type="http://schemas.openxmlformats.org/officeDocument/2006/relationships/image" Target="media/image397.wmf"/><Relationship Id="rId981" Type="http://schemas.openxmlformats.org/officeDocument/2006/relationships/image" Target="media/image494.png"/><Relationship Id="rId1057" Type="http://schemas.openxmlformats.org/officeDocument/2006/relationships/image" Target="media/image538.wmf"/><Relationship Id="rId427" Type="http://schemas.openxmlformats.org/officeDocument/2006/relationships/image" Target="media/image226.wmf"/><Relationship Id="rId634" Type="http://schemas.openxmlformats.org/officeDocument/2006/relationships/image" Target="media/image335.wmf"/><Relationship Id="rId841" Type="http://schemas.openxmlformats.org/officeDocument/2006/relationships/image" Target="media/image429.wmf"/><Relationship Id="rId1264" Type="http://schemas.openxmlformats.org/officeDocument/2006/relationships/image" Target="media/image661.png"/><Relationship Id="rId273" Type="http://schemas.openxmlformats.org/officeDocument/2006/relationships/oleObject" Target="embeddings/oleObject67.bin"/><Relationship Id="rId480" Type="http://schemas.openxmlformats.org/officeDocument/2006/relationships/oleObject" Target="embeddings/oleObject169.bin"/><Relationship Id="rId701" Type="http://schemas.openxmlformats.org/officeDocument/2006/relationships/oleObject" Target="embeddings/oleObject255.bin"/><Relationship Id="rId939" Type="http://schemas.openxmlformats.org/officeDocument/2006/relationships/oleObject" Target="embeddings/oleObject384.bin"/><Relationship Id="rId1124" Type="http://schemas.openxmlformats.org/officeDocument/2006/relationships/oleObject" Target="embeddings/oleObject443.bin"/><Relationship Id="rId1331" Type="http://schemas.openxmlformats.org/officeDocument/2006/relationships/hyperlink" Target="mailto:martha.benavente@fiq.uni.edu.ni" TargetMode="External"/><Relationship Id="rId68" Type="http://schemas.openxmlformats.org/officeDocument/2006/relationships/oleObject" Target="embeddings/oleObject18.bin"/><Relationship Id="rId133" Type="http://schemas.openxmlformats.org/officeDocument/2006/relationships/image" Target="media/image78.png"/><Relationship Id="rId340" Type="http://schemas.openxmlformats.org/officeDocument/2006/relationships/image" Target="media/image181.wmf"/><Relationship Id="rId578" Type="http://schemas.openxmlformats.org/officeDocument/2006/relationships/image" Target="media/image307.wmf"/><Relationship Id="rId785" Type="http://schemas.openxmlformats.org/officeDocument/2006/relationships/image" Target="media/image402.wmf"/><Relationship Id="rId992" Type="http://schemas.openxmlformats.org/officeDocument/2006/relationships/image" Target="media/image501.png"/><Relationship Id="rId200" Type="http://schemas.openxmlformats.org/officeDocument/2006/relationships/hyperlink" Target="https://doi.org/10.1016/S0140-6736(20)31095-3" TargetMode="External"/><Relationship Id="rId438" Type="http://schemas.openxmlformats.org/officeDocument/2006/relationships/oleObject" Target="embeddings/oleObject150.bin"/><Relationship Id="rId645" Type="http://schemas.openxmlformats.org/officeDocument/2006/relationships/oleObject" Target="embeddings/oleObject243.bin"/><Relationship Id="rId852" Type="http://schemas.openxmlformats.org/officeDocument/2006/relationships/oleObject" Target="embeddings/oleObject334.bin"/><Relationship Id="rId1068" Type="http://schemas.openxmlformats.org/officeDocument/2006/relationships/image" Target="media/image544.jpeg"/><Relationship Id="rId1275" Type="http://schemas.openxmlformats.org/officeDocument/2006/relationships/image" Target="media/image665.jpeg"/><Relationship Id="rId284" Type="http://schemas.openxmlformats.org/officeDocument/2006/relationships/image" Target="media/image155.wmf"/><Relationship Id="rId491" Type="http://schemas.openxmlformats.org/officeDocument/2006/relationships/image" Target="media/image260.wmf"/><Relationship Id="rId505" Type="http://schemas.openxmlformats.org/officeDocument/2006/relationships/image" Target="media/image268.wmf"/><Relationship Id="rId712" Type="http://schemas.openxmlformats.org/officeDocument/2006/relationships/oleObject" Target="embeddings/oleObject261.bin"/><Relationship Id="rId1135" Type="http://schemas.openxmlformats.org/officeDocument/2006/relationships/image" Target="media/image579.png"/><Relationship Id="rId1342" Type="http://schemas.openxmlformats.org/officeDocument/2006/relationships/image" Target="media/image711.png"/><Relationship Id="rId79" Type="http://schemas.openxmlformats.org/officeDocument/2006/relationships/image" Target="media/image43.wmf"/><Relationship Id="rId144" Type="http://schemas.openxmlformats.org/officeDocument/2006/relationships/image" Target="media/image89.png"/><Relationship Id="rId589" Type="http://schemas.openxmlformats.org/officeDocument/2006/relationships/oleObject" Target="embeddings/oleObject214.bin"/><Relationship Id="rId796" Type="http://schemas.openxmlformats.org/officeDocument/2006/relationships/oleObject" Target="embeddings/oleObject305.bin"/><Relationship Id="rId1202" Type="http://schemas.openxmlformats.org/officeDocument/2006/relationships/image" Target="media/image621.emf"/><Relationship Id="rId90" Type="http://schemas.openxmlformats.org/officeDocument/2006/relationships/oleObject" Target="embeddings/oleObject29.bin"/><Relationship Id="rId186" Type="http://schemas.openxmlformats.org/officeDocument/2006/relationships/image" Target="media/image109.jpeg"/><Relationship Id="rId351" Type="http://schemas.openxmlformats.org/officeDocument/2006/relationships/oleObject" Target="embeddings/oleObject108.bin"/><Relationship Id="rId393" Type="http://schemas.openxmlformats.org/officeDocument/2006/relationships/image" Target="media/image208.wmf"/><Relationship Id="rId407" Type="http://schemas.openxmlformats.org/officeDocument/2006/relationships/image" Target="media/image215.png"/><Relationship Id="rId449" Type="http://schemas.openxmlformats.org/officeDocument/2006/relationships/image" Target="media/image238.wmf"/><Relationship Id="rId614" Type="http://schemas.openxmlformats.org/officeDocument/2006/relationships/image" Target="media/image325.wmf"/><Relationship Id="rId656" Type="http://schemas.openxmlformats.org/officeDocument/2006/relationships/hyperlink" Target="mailto:ipl@unam.mx" TargetMode="External"/><Relationship Id="rId821" Type="http://schemas.openxmlformats.org/officeDocument/2006/relationships/image" Target="media/image419.wmf"/><Relationship Id="rId863" Type="http://schemas.openxmlformats.org/officeDocument/2006/relationships/image" Target="media/image440.wmf"/><Relationship Id="rId1037" Type="http://schemas.openxmlformats.org/officeDocument/2006/relationships/image" Target="media/image528.wmf"/><Relationship Id="rId1079" Type="http://schemas.openxmlformats.org/officeDocument/2006/relationships/oleObject" Target="embeddings/oleObject421.bin"/><Relationship Id="rId1244" Type="http://schemas.openxmlformats.org/officeDocument/2006/relationships/image" Target="media/image651.png"/><Relationship Id="rId1286" Type="http://schemas.openxmlformats.org/officeDocument/2006/relationships/image" Target="media/image669.jpeg"/><Relationship Id="rId211" Type="http://schemas.openxmlformats.org/officeDocument/2006/relationships/oleObject" Target="embeddings/oleObject36.bin"/><Relationship Id="rId253" Type="http://schemas.openxmlformats.org/officeDocument/2006/relationships/oleObject" Target="embeddings/oleObject57.bin"/><Relationship Id="rId295" Type="http://schemas.openxmlformats.org/officeDocument/2006/relationships/oleObject" Target="embeddings/oleObject78.bin"/><Relationship Id="rId309" Type="http://schemas.openxmlformats.org/officeDocument/2006/relationships/oleObject" Target="embeddings/oleObject85.bin"/><Relationship Id="rId460" Type="http://schemas.openxmlformats.org/officeDocument/2006/relationships/oleObject" Target="embeddings/oleObject160.bin"/><Relationship Id="rId516" Type="http://schemas.openxmlformats.org/officeDocument/2006/relationships/oleObject" Target="embeddings/oleObject187.bin"/><Relationship Id="rId698" Type="http://schemas.openxmlformats.org/officeDocument/2006/relationships/image" Target="media/image361.wmf"/><Relationship Id="rId919" Type="http://schemas.openxmlformats.org/officeDocument/2006/relationships/image" Target="media/image463.wmf"/><Relationship Id="rId1090" Type="http://schemas.openxmlformats.org/officeDocument/2006/relationships/image" Target="media/image555.wmf"/><Relationship Id="rId1104" Type="http://schemas.openxmlformats.org/officeDocument/2006/relationships/image" Target="media/image563.wmf"/><Relationship Id="rId1146" Type="http://schemas.openxmlformats.org/officeDocument/2006/relationships/image" Target="media/image587.jpeg"/><Relationship Id="rId1311" Type="http://schemas.openxmlformats.org/officeDocument/2006/relationships/image" Target="media/image684.png"/><Relationship Id="rId48" Type="http://schemas.openxmlformats.org/officeDocument/2006/relationships/oleObject" Target="embeddings/oleObject8.bin"/><Relationship Id="rId113" Type="http://schemas.openxmlformats.org/officeDocument/2006/relationships/image" Target="media/image61.png"/><Relationship Id="rId320" Type="http://schemas.openxmlformats.org/officeDocument/2006/relationships/oleObject" Target="embeddings/oleObject91.bin"/><Relationship Id="rId558" Type="http://schemas.openxmlformats.org/officeDocument/2006/relationships/image" Target="media/image294.png"/><Relationship Id="rId723" Type="http://schemas.openxmlformats.org/officeDocument/2006/relationships/oleObject" Target="embeddings/oleObject267.bin"/><Relationship Id="rId765" Type="http://schemas.openxmlformats.org/officeDocument/2006/relationships/oleObject" Target="embeddings/oleObject289.bin"/><Relationship Id="rId930" Type="http://schemas.openxmlformats.org/officeDocument/2006/relationships/image" Target="media/image467.wmf"/><Relationship Id="rId972" Type="http://schemas.openxmlformats.org/officeDocument/2006/relationships/hyperlink" Target="mailto:arjuarez@uv.mx" TargetMode="External"/><Relationship Id="rId1006" Type="http://schemas.openxmlformats.org/officeDocument/2006/relationships/image" Target="media/image510.png"/><Relationship Id="rId1188" Type="http://schemas.openxmlformats.org/officeDocument/2006/relationships/image" Target="media/image611.jpeg"/><Relationship Id="rId1353" Type="http://schemas.openxmlformats.org/officeDocument/2006/relationships/hyperlink" Target="mailto:arcecamacho@yahoo.com.mx" TargetMode="External"/><Relationship Id="rId155" Type="http://schemas.openxmlformats.org/officeDocument/2006/relationships/image" Target="media/image93.png"/><Relationship Id="rId197" Type="http://schemas.openxmlformats.org/officeDocument/2006/relationships/hyperlink" Target="https://www.worldometers.info/coronavirus/" TargetMode="External"/><Relationship Id="rId362" Type="http://schemas.openxmlformats.org/officeDocument/2006/relationships/image" Target="media/image192.wmf"/><Relationship Id="rId418" Type="http://schemas.openxmlformats.org/officeDocument/2006/relationships/oleObject" Target="embeddings/oleObject140.bin"/><Relationship Id="rId625" Type="http://schemas.openxmlformats.org/officeDocument/2006/relationships/image" Target="media/image331.wmf"/><Relationship Id="rId832" Type="http://schemas.openxmlformats.org/officeDocument/2006/relationships/oleObject" Target="embeddings/oleObject324.bin"/><Relationship Id="rId1048" Type="http://schemas.openxmlformats.org/officeDocument/2006/relationships/oleObject" Target="embeddings/oleObject406.bin"/><Relationship Id="rId1213" Type="http://schemas.openxmlformats.org/officeDocument/2006/relationships/image" Target="media/image632.emf"/><Relationship Id="rId1255" Type="http://schemas.openxmlformats.org/officeDocument/2006/relationships/hyperlink" Target="mailto:lhm@azc.uam.mx" TargetMode="External"/><Relationship Id="rId1297" Type="http://schemas.openxmlformats.org/officeDocument/2006/relationships/hyperlink" Target="http://pame.udual.org/acerca.html" TargetMode="External"/><Relationship Id="rId222" Type="http://schemas.openxmlformats.org/officeDocument/2006/relationships/image" Target="media/image124.wmf"/><Relationship Id="rId264" Type="http://schemas.openxmlformats.org/officeDocument/2006/relationships/image" Target="media/image145.wmf"/><Relationship Id="rId471" Type="http://schemas.openxmlformats.org/officeDocument/2006/relationships/image" Target="media/image249.png"/><Relationship Id="rId667" Type="http://schemas.openxmlformats.org/officeDocument/2006/relationships/hyperlink" Target="https://www.sciencedirect.com/science/article/pii/S0141813019369958" TargetMode="External"/><Relationship Id="rId874" Type="http://schemas.openxmlformats.org/officeDocument/2006/relationships/oleObject" Target="embeddings/oleObject345.bin"/><Relationship Id="rId1115" Type="http://schemas.openxmlformats.org/officeDocument/2006/relationships/image" Target="media/image568.wmf"/><Relationship Id="rId1322" Type="http://schemas.openxmlformats.org/officeDocument/2006/relationships/image" Target="media/image694.jpeg"/><Relationship Id="rId17" Type="http://schemas.openxmlformats.org/officeDocument/2006/relationships/image" Target="media/image8.png"/><Relationship Id="rId59" Type="http://schemas.openxmlformats.org/officeDocument/2006/relationships/image" Target="media/image33.wmf"/><Relationship Id="rId124" Type="http://schemas.openxmlformats.org/officeDocument/2006/relationships/image" Target="media/image72.png"/><Relationship Id="rId527" Type="http://schemas.openxmlformats.org/officeDocument/2006/relationships/image" Target="media/image278.wmf"/><Relationship Id="rId569" Type="http://schemas.openxmlformats.org/officeDocument/2006/relationships/image" Target="media/image301.png"/><Relationship Id="rId734" Type="http://schemas.openxmlformats.org/officeDocument/2006/relationships/oleObject" Target="embeddings/oleObject273.bin"/><Relationship Id="rId776" Type="http://schemas.openxmlformats.org/officeDocument/2006/relationships/oleObject" Target="embeddings/oleObject295.bin"/><Relationship Id="rId941" Type="http://schemas.openxmlformats.org/officeDocument/2006/relationships/oleObject" Target="embeddings/oleObject386.bin"/><Relationship Id="rId983" Type="http://schemas.openxmlformats.org/officeDocument/2006/relationships/image" Target="media/image496.png"/><Relationship Id="rId1157" Type="http://schemas.openxmlformats.org/officeDocument/2006/relationships/hyperlink" Target="mailto:scs@azc.uam.mx" TargetMode="External"/><Relationship Id="rId1199" Type="http://schemas.openxmlformats.org/officeDocument/2006/relationships/oleObject" Target="embeddings/oleObject447.bin"/><Relationship Id="rId1364" Type="http://schemas.openxmlformats.org/officeDocument/2006/relationships/image" Target="media/image724.jpeg"/><Relationship Id="rId70" Type="http://schemas.openxmlformats.org/officeDocument/2006/relationships/oleObject" Target="embeddings/oleObject19.bin"/><Relationship Id="rId166" Type="http://schemas.openxmlformats.org/officeDocument/2006/relationships/hyperlink" Target="mailto:nabolivarm@unipanamericana.edu.co" TargetMode="External"/><Relationship Id="rId331" Type="http://schemas.openxmlformats.org/officeDocument/2006/relationships/image" Target="media/image177.wmf"/><Relationship Id="rId373" Type="http://schemas.openxmlformats.org/officeDocument/2006/relationships/oleObject" Target="embeddings/oleObject119.bin"/><Relationship Id="rId429" Type="http://schemas.openxmlformats.org/officeDocument/2006/relationships/image" Target="media/image227.wmf"/><Relationship Id="rId580" Type="http://schemas.openxmlformats.org/officeDocument/2006/relationships/image" Target="media/image308.wmf"/><Relationship Id="rId636" Type="http://schemas.openxmlformats.org/officeDocument/2006/relationships/oleObject" Target="embeddings/oleObject238.bin"/><Relationship Id="rId801" Type="http://schemas.openxmlformats.org/officeDocument/2006/relationships/image" Target="media/image410.wmf"/><Relationship Id="rId1017" Type="http://schemas.openxmlformats.org/officeDocument/2006/relationships/image" Target="media/image518.png"/><Relationship Id="rId1059" Type="http://schemas.openxmlformats.org/officeDocument/2006/relationships/image" Target="media/image539.wmf"/><Relationship Id="rId1224" Type="http://schemas.openxmlformats.org/officeDocument/2006/relationships/image" Target="media/image637.jpeg"/><Relationship Id="rId1266" Type="http://schemas.openxmlformats.org/officeDocument/2006/relationships/hyperlink" Target="mailto:gjaimem@upr.edu.cu" TargetMode="External"/><Relationship Id="rId1" Type="http://schemas.openxmlformats.org/officeDocument/2006/relationships/customXml" Target="../customXml/item1.xml"/><Relationship Id="rId233" Type="http://schemas.openxmlformats.org/officeDocument/2006/relationships/oleObject" Target="embeddings/oleObject47.bin"/><Relationship Id="rId440" Type="http://schemas.openxmlformats.org/officeDocument/2006/relationships/oleObject" Target="embeddings/oleObject151.bin"/><Relationship Id="rId678" Type="http://schemas.openxmlformats.org/officeDocument/2006/relationships/hyperlink" Target="https://pubs.rsc.org/tr/results?searchtext=Author%3AJianjun%20Yang" TargetMode="External"/><Relationship Id="rId843" Type="http://schemas.openxmlformats.org/officeDocument/2006/relationships/image" Target="media/image430.wmf"/><Relationship Id="rId885" Type="http://schemas.openxmlformats.org/officeDocument/2006/relationships/oleObject" Target="embeddings/oleObject351.bin"/><Relationship Id="rId1070" Type="http://schemas.openxmlformats.org/officeDocument/2006/relationships/oleObject" Target="embeddings/oleObject416.bin"/><Relationship Id="rId1126" Type="http://schemas.openxmlformats.org/officeDocument/2006/relationships/oleObject" Target="embeddings/oleObject444.bin"/><Relationship Id="rId28" Type="http://schemas.openxmlformats.org/officeDocument/2006/relationships/hyperlink" Target="mailto:luis.mora.krz@gmail.com" TargetMode="External"/><Relationship Id="rId275" Type="http://schemas.openxmlformats.org/officeDocument/2006/relationships/oleObject" Target="embeddings/oleObject68.bin"/><Relationship Id="rId300" Type="http://schemas.openxmlformats.org/officeDocument/2006/relationships/image" Target="media/image163.wmf"/><Relationship Id="rId482" Type="http://schemas.openxmlformats.org/officeDocument/2006/relationships/oleObject" Target="embeddings/oleObject170.bin"/><Relationship Id="rId538" Type="http://schemas.openxmlformats.org/officeDocument/2006/relationships/image" Target="media/image283.wmf"/><Relationship Id="rId703" Type="http://schemas.openxmlformats.org/officeDocument/2006/relationships/oleObject" Target="embeddings/oleObject256.bin"/><Relationship Id="rId745" Type="http://schemas.openxmlformats.org/officeDocument/2006/relationships/oleObject" Target="embeddings/oleObject279.bin"/><Relationship Id="rId910" Type="http://schemas.openxmlformats.org/officeDocument/2006/relationships/oleObject" Target="embeddings/oleObject367.bin"/><Relationship Id="rId952" Type="http://schemas.openxmlformats.org/officeDocument/2006/relationships/image" Target="media/image478.jpeg"/><Relationship Id="rId1168" Type="http://schemas.openxmlformats.org/officeDocument/2006/relationships/image" Target="media/image601.png"/><Relationship Id="rId1333" Type="http://schemas.openxmlformats.org/officeDocument/2006/relationships/image" Target="media/image702.jpeg"/><Relationship Id="rId81" Type="http://schemas.openxmlformats.org/officeDocument/2006/relationships/image" Target="media/image44.wmf"/><Relationship Id="rId135" Type="http://schemas.openxmlformats.org/officeDocument/2006/relationships/image" Target="media/image80.png"/><Relationship Id="rId177" Type="http://schemas.openxmlformats.org/officeDocument/2006/relationships/image" Target="media/image107.jpeg"/><Relationship Id="rId342" Type="http://schemas.openxmlformats.org/officeDocument/2006/relationships/image" Target="media/image182.wmf"/><Relationship Id="rId384" Type="http://schemas.openxmlformats.org/officeDocument/2006/relationships/oleObject" Target="embeddings/oleObject124.bin"/><Relationship Id="rId591" Type="http://schemas.openxmlformats.org/officeDocument/2006/relationships/oleObject" Target="embeddings/oleObject215.bin"/><Relationship Id="rId605" Type="http://schemas.openxmlformats.org/officeDocument/2006/relationships/oleObject" Target="embeddings/oleObject222.bin"/><Relationship Id="rId787" Type="http://schemas.openxmlformats.org/officeDocument/2006/relationships/image" Target="media/image403.wmf"/><Relationship Id="rId812" Type="http://schemas.openxmlformats.org/officeDocument/2006/relationships/oleObject" Target="embeddings/oleObject313.bin"/><Relationship Id="rId994" Type="http://schemas.openxmlformats.org/officeDocument/2006/relationships/image" Target="media/image503.png"/><Relationship Id="rId1028" Type="http://schemas.openxmlformats.org/officeDocument/2006/relationships/oleObject" Target="embeddings/oleObject396.bin"/><Relationship Id="rId1235" Type="http://schemas.openxmlformats.org/officeDocument/2006/relationships/image" Target="media/image643.jpeg"/><Relationship Id="rId202" Type="http://schemas.openxmlformats.org/officeDocument/2006/relationships/hyperlink" Target="https://www.nature.com/articles/s41586-020-2405-7" TargetMode="External"/><Relationship Id="rId244" Type="http://schemas.openxmlformats.org/officeDocument/2006/relationships/image" Target="media/image135.wmf"/><Relationship Id="rId647" Type="http://schemas.openxmlformats.org/officeDocument/2006/relationships/image" Target="media/image341.wmf"/><Relationship Id="rId689" Type="http://schemas.openxmlformats.org/officeDocument/2006/relationships/image" Target="media/image356.png"/><Relationship Id="rId854" Type="http://schemas.openxmlformats.org/officeDocument/2006/relationships/oleObject" Target="embeddings/oleObject335.bin"/><Relationship Id="rId896" Type="http://schemas.openxmlformats.org/officeDocument/2006/relationships/oleObject" Target="embeddings/oleObject358.bin"/><Relationship Id="rId1081" Type="http://schemas.openxmlformats.org/officeDocument/2006/relationships/oleObject" Target="embeddings/oleObject422.bin"/><Relationship Id="rId1277" Type="http://schemas.openxmlformats.org/officeDocument/2006/relationships/image" Target="media/image667.jpeg"/><Relationship Id="rId1302" Type="http://schemas.openxmlformats.org/officeDocument/2006/relationships/hyperlink" Target="http://alianzapacifico.net/becas/" TargetMode="External"/><Relationship Id="rId39" Type="http://schemas.openxmlformats.org/officeDocument/2006/relationships/image" Target="media/image23.wmf"/><Relationship Id="rId286" Type="http://schemas.openxmlformats.org/officeDocument/2006/relationships/image" Target="media/image156.wmf"/><Relationship Id="rId451" Type="http://schemas.openxmlformats.org/officeDocument/2006/relationships/image" Target="media/image239.wmf"/><Relationship Id="rId493" Type="http://schemas.openxmlformats.org/officeDocument/2006/relationships/image" Target="media/image261.wmf"/><Relationship Id="rId507" Type="http://schemas.openxmlformats.org/officeDocument/2006/relationships/image" Target="media/image269.wmf"/><Relationship Id="rId549" Type="http://schemas.openxmlformats.org/officeDocument/2006/relationships/oleObject" Target="embeddings/oleObject205.bin"/><Relationship Id="rId714" Type="http://schemas.openxmlformats.org/officeDocument/2006/relationships/oleObject" Target="embeddings/oleObject262.bin"/><Relationship Id="rId756" Type="http://schemas.openxmlformats.org/officeDocument/2006/relationships/image" Target="media/image388.wmf"/><Relationship Id="rId921" Type="http://schemas.openxmlformats.org/officeDocument/2006/relationships/image" Target="media/image464.wmf"/><Relationship Id="rId1137" Type="http://schemas.openxmlformats.org/officeDocument/2006/relationships/image" Target="media/image581.png"/><Relationship Id="rId1179" Type="http://schemas.openxmlformats.org/officeDocument/2006/relationships/image" Target="media/image605.png"/><Relationship Id="rId1344" Type="http://schemas.openxmlformats.org/officeDocument/2006/relationships/hyperlink" Target="mailto:irmac@unam.mx" TargetMode="External"/><Relationship Id="rId50" Type="http://schemas.openxmlformats.org/officeDocument/2006/relationships/oleObject" Target="embeddings/oleObject9.bin"/><Relationship Id="rId104" Type="http://schemas.openxmlformats.org/officeDocument/2006/relationships/image" Target="media/image56.png"/><Relationship Id="rId146" Type="http://schemas.openxmlformats.org/officeDocument/2006/relationships/hyperlink" Target="mailto:vijuarez@uv.mx" TargetMode="External"/><Relationship Id="rId188" Type="http://schemas.openxmlformats.org/officeDocument/2006/relationships/image" Target="media/image111.jpeg"/><Relationship Id="rId311" Type="http://schemas.openxmlformats.org/officeDocument/2006/relationships/oleObject" Target="embeddings/oleObject86.bin"/><Relationship Id="rId353" Type="http://schemas.openxmlformats.org/officeDocument/2006/relationships/oleObject" Target="embeddings/oleObject109.bin"/><Relationship Id="rId395" Type="http://schemas.openxmlformats.org/officeDocument/2006/relationships/image" Target="media/image209.wmf"/><Relationship Id="rId409" Type="http://schemas.openxmlformats.org/officeDocument/2006/relationships/image" Target="media/image217.wmf"/><Relationship Id="rId560" Type="http://schemas.openxmlformats.org/officeDocument/2006/relationships/hyperlink" Target="http://www.bvl.com.pe/" TargetMode="External"/><Relationship Id="rId798" Type="http://schemas.openxmlformats.org/officeDocument/2006/relationships/oleObject" Target="embeddings/oleObject306.bin"/><Relationship Id="rId963" Type="http://schemas.openxmlformats.org/officeDocument/2006/relationships/hyperlink" Target="mailto:angei_raztaromer@hotmail.com" TargetMode="External"/><Relationship Id="rId1039" Type="http://schemas.openxmlformats.org/officeDocument/2006/relationships/image" Target="media/image529.wmf"/><Relationship Id="rId1190" Type="http://schemas.openxmlformats.org/officeDocument/2006/relationships/image" Target="media/image613.jpeg"/><Relationship Id="rId1204" Type="http://schemas.openxmlformats.org/officeDocument/2006/relationships/image" Target="media/image623.emf"/><Relationship Id="rId1246" Type="http://schemas.openxmlformats.org/officeDocument/2006/relationships/image" Target="media/image653.png"/><Relationship Id="rId92" Type="http://schemas.openxmlformats.org/officeDocument/2006/relationships/oleObject" Target="embeddings/oleObject30.bin"/><Relationship Id="rId213" Type="http://schemas.openxmlformats.org/officeDocument/2006/relationships/oleObject" Target="embeddings/oleObject37.bin"/><Relationship Id="rId420" Type="http://schemas.openxmlformats.org/officeDocument/2006/relationships/oleObject" Target="embeddings/oleObject141.bin"/><Relationship Id="rId616" Type="http://schemas.openxmlformats.org/officeDocument/2006/relationships/image" Target="media/image326.wmf"/><Relationship Id="rId658" Type="http://schemas.openxmlformats.org/officeDocument/2006/relationships/hyperlink" Target="mailto:lopezserrano@unam.mx" TargetMode="External"/><Relationship Id="rId823" Type="http://schemas.openxmlformats.org/officeDocument/2006/relationships/image" Target="media/image420.wmf"/><Relationship Id="rId865" Type="http://schemas.openxmlformats.org/officeDocument/2006/relationships/image" Target="media/image441.wmf"/><Relationship Id="rId1050" Type="http://schemas.openxmlformats.org/officeDocument/2006/relationships/oleObject" Target="embeddings/oleObject407.bin"/><Relationship Id="rId1288" Type="http://schemas.openxmlformats.org/officeDocument/2006/relationships/image" Target="media/image671.png"/><Relationship Id="rId255" Type="http://schemas.openxmlformats.org/officeDocument/2006/relationships/oleObject" Target="embeddings/oleObject58.bin"/><Relationship Id="rId297" Type="http://schemas.openxmlformats.org/officeDocument/2006/relationships/oleObject" Target="embeddings/oleObject79.bin"/><Relationship Id="rId462" Type="http://schemas.openxmlformats.org/officeDocument/2006/relationships/oleObject" Target="embeddings/oleObject161.bin"/><Relationship Id="rId518" Type="http://schemas.openxmlformats.org/officeDocument/2006/relationships/oleObject" Target="embeddings/oleObject188.bin"/><Relationship Id="rId725" Type="http://schemas.openxmlformats.org/officeDocument/2006/relationships/oleObject" Target="embeddings/oleObject268.bin"/><Relationship Id="rId932" Type="http://schemas.openxmlformats.org/officeDocument/2006/relationships/image" Target="media/image468.wmf"/><Relationship Id="rId1092" Type="http://schemas.openxmlformats.org/officeDocument/2006/relationships/image" Target="media/image556.wmf"/><Relationship Id="rId1106" Type="http://schemas.openxmlformats.org/officeDocument/2006/relationships/oleObject" Target="embeddings/oleObject434.bin"/><Relationship Id="rId1148" Type="http://schemas.openxmlformats.org/officeDocument/2006/relationships/image" Target="media/image589.jpeg"/><Relationship Id="rId1313" Type="http://schemas.openxmlformats.org/officeDocument/2006/relationships/hyperlink" Target="https://digitalcommons.lsu.edu/%20gradschool_theses/2462" TargetMode="External"/><Relationship Id="rId1355" Type="http://schemas.openxmlformats.org/officeDocument/2006/relationships/image" Target="media/image717.png"/><Relationship Id="rId115" Type="http://schemas.openxmlformats.org/officeDocument/2006/relationships/image" Target="media/image63.png"/><Relationship Id="rId157" Type="http://schemas.openxmlformats.org/officeDocument/2006/relationships/image" Target="media/image95.png"/><Relationship Id="rId322" Type="http://schemas.openxmlformats.org/officeDocument/2006/relationships/image" Target="media/image173.wmf"/><Relationship Id="rId364" Type="http://schemas.openxmlformats.org/officeDocument/2006/relationships/image" Target="media/image193.wmf"/><Relationship Id="rId767" Type="http://schemas.openxmlformats.org/officeDocument/2006/relationships/oleObject" Target="embeddings/oleObject290.bin"/><Relationship Id="rId974" Type="http://schemas.openxmlformats.org/officeDocument/2006/relationships/hyperlink" Target="mailto:noviedo@uv.mx" TargetMode="External"/><Relationship Id="rId1008" Type="http://schemas.openxmlformats.org/officeDocument/2006/relationships/image" Target="media/image511.png"/><Relationship Id="rId1215" Type="http://schemas.openxmlformats.org/officeDocument/2006/relationships/hyperlink" Target="mailto:vlji@azc.uam.mx" TargetMode="External"/><Relationship Id="rId61" Type="http://schemas.openxmlformats.org/officeDocument/2006/relationships/image" Target="media/image34.wmf"/><Relationship Id="rId199" Type="http://schemas.openxmlformats.org/officeDocument/2006/relationships/hyperlink" Target="https://coronavirus.jhu.edu/data/mortality" TargetMode="External"/><Relationship Id="rId571" Type="http://schemas.openxmlformats.org/officeDocument/2006/relationships/image" Target="media/image303.jpeg"/><Relationship Id="rId627" Type="http://schemas.openxmlformats.org/officeDocument/2006/relationships/oleObject" Target="embeddings/oleObject233.bin"/><Relationship Id="rId669" Type="http://schemas.openxmlformats.org/officeDocument/2006/relationships/hyperlink" Target="https://www.sciencedirect.com/science/article/pii/S0141813019369958" TargetMode="External"/><Relationship Id="rId834" Type="http://schemas.openxmlformats.org/officeDocument/2006/relationships/oleObject" Target="embeddings/oleObject325.bin"/><Relationship Id="rId876" Type="http://schemas.openxmlformats.org/officeDocument/2006/relationships/oleObject" Target="embeddings/oleObject346.bin"/><Relationship Id="rId1257" Type="http://schemas.openxmlformats.org/officeDocument/2006/relationships/hyperlink" Target="mailto:lfag@azc.uam.mx" TargetMode="External"/><Relationship Id="rId1299" Type="http://schemas.openxmlformats.org/officeDocument/2006/relationships/hyperlink" Target="http://www.anuies.mx/programas" TargetMode="External"/><Relationship Id="rId19" Type="http://schemas.openxmlformats.org/officeDocument/2006/relationships/image" Target="media/image10.png"/><Relationship Id="rId224" Type="http://schemas.openxmlformats.org/officeDocument/2006/relationships/image" Target="media/image125.wmf"/><Relationship Id="rId266" Type="http://schemas.openxmlformats.org/officeDocument/2006/relationships/image" Target="media/image146.wmf"/><Relationship Id="rId431" Type="http://schemas.openxmlformats.org/officeDocument/2006/relationships/image" Target="media/image228.wmf"/><Relationship Id="rId473" Type="http://schemas.openxmlformats.org/officeDocument/2006/relationships/image" Target="media/image251.wmf"/><Relationship Id="rId529" Type="http://schemas.openxmlformats.org/officeDocument/2006/relationships/oleObject" Target="embeddings/oleObject194.bin"/><Relationship Id="rId680" Type="http://schemas.openxmlformats.org/officeDocument/2006/relationships/image" Target="media/image349.emf"/><Relationship Id="rId736" Type="http://schemas.openxmlformats.org/officeDocument/2006/relationships/oleObject" Target="embeddings/oleObject274.bin"/><Relationship Id="rId901" Type="http://schemas.openxmlformats.org/officeDocument/2006/relationships/image" Target="media/image456.wmf"/><Relationship Id="rId1061" Type="http://schemas.openxmlformats.org/officeDocument/2006/relationships/image" Target="media/image540.wmf"/><Relationship Id="rId1117" Type="http://schemas.openxmlformats.org/officeDocument/2006/relationships/image" Target="media/image569.wmf"/><Relationship Id="rId1159" Type="http://schemas.openxmlformats.org/officeDocument/2006/relationships/hyperlink" Target="mailto:arlv@azc.uam.mx" TargetMode="External"/><Relationship Id="rId1324" Type="http://schemas.openxmlformats.org/officeDocument/2006/relationships/image" Target="media/image696.jpeg"/><Relationship Id="rId1366" Type="http://schemas.openxmlformats.org/officeDocument/2006/relationships/image" Target="media/image726.jpeg"/><Relationship Id="rId30" Type="http://schemas.openxmlformats.org/officeDocument/2006/relationships/image" Target="media/image17.png"/><Relationship Id="rId126" Type="http://schemas.openxmlformats.org/officeDocument/2006/relationships/image" Target="media/image74.png"/><Relationship Id="rId168" Type="http://schemas.openxmlformats.org/officeDocument/2006/relationships/image" Target="media/image103.png"/><Relationship Id="rId333" Type="http://schemas.openxmlformats.org/officeDocument/2006/relationships/image" Target="media/image178.wmf"/><Relationship Id="rId540" Type="http://schemas.openxmlformats.org/officeDocument/2006/relationships/oleObject" Target="embeddings/oleObject200.bin"/><Relationship Id="rId778" Type="http://schemas.openxmlformats.org/officeDocument/2006/relationships/oleObject" Target="embeddings/oleObject296.bin"/><Relationship Id="rId943" Type="http://schemas.openxmlformats.org/officeDocument/2006/relationships/oleObject" Target="embeddings/oleObject387.bin"/><Relationship Id="rId985" Type="http://schemas.openxmlformats.org/officeDocument/2006/relationships/image" Target="media/image498.png"/><Relationship Id="rId1019" Type="http://schemas.openxmlformats.org/officeDocument/2006/relationships/hyperlink" Target="mailto:maximilianoalveal@hotmail.com" TargetMode="External"/><Relationship Id="rId1170" Type="http://schemas.openxmlformats.org/officeDocument/2006/relationships/hyperlink" Target="mailto:francisco.grande.v@gmail.com" TargetMode="External"/><Relationship Id="rId72" Type="http://schemas.openxmlformats.org/officeDocument/2006/relationships/oleObject" Target="embeddings/oleObject20.bin"/><Relationship Id="rId375" Type="http://schemas.openxmlformats.org/officeDocument/2006/relationships/oleObject" Target="embeddings/oleObject120.bin"/><Relationship Id="rId582" Type="http://schemas.openxmlformats.org/officeDocument/2006/relationships/image" Target="media/image309.wmf"/><Relationship Id="rId638" Type="http://schemas.openxmlformats.org/officeDocument/2006/relationships/oleObject" Target="embeddings/oleObject239.bin"/><Relationship Id="rId803" Type="http://schemas.openxmlformats.org/officeDocument/2006/relationships/image" Target="media/image411.wmf"/><Relationship Id="rId845" Type="http://schemas.openxmlformats.org/officeDocument/2006/relationships/image" Target="media/image431.wmf"/><Relationship Id="rId1030" Type="http://schemas.openxmlformats.org/officeDocument/2006/relationships/oleObject" Target="embeddings/oleObject397.bin"/><Relationship Id="rId1226" Type="http://schemas.openxmlformats.org/officeDocument/2006/relationships/image" Target="media/image639.jpeg"/><Relationship Id="rId1268" Type="http://schemas.openxmlformats.org/officeDocument/2006/relationships/image" Target="media/image663.png"/><Relationship Id="rId3" Type="http://schemas.openxmlformats.org/officeDocument/2006/relationships/styles" Target="styles.xml"/><Relationship Id="rId235" Type="http://schemas.openxmlformats.org/officeDocument/2006/relationships/oleObject" Target="embeddings/oleObject48.bin"/><Relationship Id="rId277" Type="http://schemas.openxmlformats.org/officeDocument/2006/relationships/oleObject" Target="embeddings/oleObject69.bin"/><Relationship Id="rId400" Type="http://schemas.openxmlformats.org/officeDocument/2006/relationships/oleObject" Target="embeddings/oleObject132.bin"/><Relationship Id="rId442" Type="http://schemas.openxmlformats.org/officeDocument/2006/relationships/oleObject" Target="embeddings/oleObject152.bin"/><Relationship Id="rId484" Type="http://schemas.openxmlformats.org/officeDocument/2006/relationships/oleObject" Target="embeddings/oleObject171.bin"/><Relationship Id="rId705" Type="http://schemas.openxmlformats.org/officeDocument/2006/relationships/oleObject" Target="embeddings/oleObject257.bin"/><Relationship Id="rId887" Type="http://schemas.openxmlformats.org/officeDocument/2006/relationships/oleObject" Target="embeddings/oleObject352.bin"/><Relationship Id="rId1072" Type="http://schemas.openxmlformats.org/officeDocument/2006/relationships/image" Target="media/image546.wmf"/><Relationship Id="rId1128" Type="http://schemas.openxmlformats.org/officeDocument/2006/relationships/hyperlink" Target="mailto:hagomezp@correo.udistrital.edu.co" TargetMode="External"/><Relationship Id="rId1335" Type="http://schemas.openxmlformats.org/officeDocument/2006/relationships/image" Target="media/image704.jpeg"/><Relationship Id="rId137" Type="http://schemas.openxmlformats.org/officeDocument/2006/relationships/image" Target="media/image82.png"/><Relationship Id="rId302" Type="http://schemas.openxmlformats.org/officeDocument/2006/relationships/image" Target="media/image164.wmf"/><Relationship Id="rId344" Type="http://schemas.openxmlformats.org/officeDocument/2006/relationships/image" Target="media/image183.wmf"/><Relationship Id="rId691" Type="http://schemas.openxmlformats.org/officeDocument/2006/relationships/oleObject" Target="embeddings/oleObject250.bin"/><Relationship Id="rId747" Type="http://schemas.openxmlformats.org/officeDocument/2006/relationships/oleObject" Target="embeddings/oleObject280.bin"/><Relationship Id="rId789" Type="http://schemas.openxmlformats.org/officeDocument/2006/relationships/image" Target="media/image404.wmf"/><Relationship Id="rId912" Type="http://schemas.openxmlformats.org/officeDocument/2006/relationships/oleObject" Target="embeddings/oleObject368.bin"/><Relationship Id="rId954" Type="http://schemas.openxmlformats.org/officeDocument/2006/relationships/image" Target="media/image480.jpeg"/><Relationship Id="rId996" Type="http://schemas.openxmlformats.org/officeDocument/2006/relationships/hyperlink" Target="mailto:lfpedrazam@udistrital.edu.co" TargetMode="External"/><Relationship Id="rId41" Type="http://schemas.openxmlformats.org/officeDocument/2006/relationships/image" Target="media/image24.wmf"/><Relationship Id="rId83" Type="http://schemas.openxmlformats.org/officeDocument/2006/relationships/image" Target="media/image45.wmf"/><Relationship Id="rId179" Type="http://schemas.openxmlformats.org/officeDocument/2006/relationships/hyperlink" Target="mailto:david_castillo_2004@yahoo.com.mx" TargetMode="External"/><Relationship Id="rId386" Type="http://schemas.openxmlformats.org/officeDocument/2006/relationships/oleObject" Target="embeddings/oleObject125.bin"/><Relationship Id="rId551" Type="http://schemas.openxmlformats.org/officeDocument/2006/relationships/image" Target="media/image288.wmf"/><Relationship Id="rId593" Type="http://schemas.openxmlformats.org/officeDocument/2006/relationships/oleObject" Target="embeddings/oleObject216.bin"/><Relationship Id="rId607" Type="http://schemas.openxmlformats.org/officeDocument/2006/relationships/oleObject" Target="embeddings/oleObject223.bin"/><Relationship Id="rId649" Type="http://schemas.openxmlformats.org/officeDocument/2006/relationships/image" Target="media/image342.wmf"/><Relationship Id="rId814" Type="http://schemas.openxmlformats.org/officeDocument/2006/relationships/image" Target="media/image416.wmf"/><Relationship Id="rId856" Type="http://schemas.openxmlformats.org/officeDocument/2006/relationships/oleObject" Target="embeddings/oleObject336.bin"/><Relationship Id="rId1181" Type="http://schemas.openxmlformats.org/officeDocument/2006/relationships/image" Target="media/image607.png"/><Relationship Id="rId1237" Type="http://schemas.openxmlformats.org/officeDocument/2006/relationships/image" Target="media/image645.jpeg"/><Relationship Id="rId1279" Type="http://schemas.openxmlformats.org/officeDocument/2006/relationships/chart" Target="charts/chart7.xml"/><Relationship Id="rId190" Type="http://schemas.openxmlformats.org/officeDocument/2006/relationships/image" Target="media/image113.jpeg"/><Relationship Id="rId204" Type="http://schemas.openxmlformats.org/officeDocument/2006/relationships/hyperlink" Target="https://www.nature.com/articles/s41586-020-2405-7" TargetMode="External"/><Relationship Id="rId246" Type="http://schemas.openxmlformats.org/officeDocument/2006/relationships/image" Target="media/image136.wmf"/><Relationship Id="rId288" Type="http://schemas.openxmlformats.org/officeDocument/2006/relationships/image" Target="media/image157.wmf"/><Relationship Id="rId411" Type="http://schemas.openxmlformats.org/officeDocument/2006/relationships/image" Target="media/image218.wmf"/><Relationship Id="rId453" Type="http://schemas.openxmlformats.org/officeDocument/2006/relationships/image" Target="media/image240.wmf"/><Relationship Id="rId509" Type="http://schemas.openxmlformats.org/officeDocument/2006/relationships/oleObject" Target="embeddings/oleObject183.bin"/><Relationship Id="rId660" Type="http://schemas.openxmlformats.org/officeDocument/2006/relationships/image" Target="media/image346.jpeg"/><Relationship Id="rId898" Type="http://schemas.openxmlformats.org/officeDocument/2006/relationships/oleObject" Target="embeddings/oleObject360.bin"/><Relationship Id="rId1041" Type="http://schemas.openxmlformats.org/officeDocument/2006/relationships/image" Target="media/image530.wmf"/><Relationship Id="rId1083" Type="http://schemas.openxmlformats.org/officeDocument/2006/relationships/oleObject" Target="embeddings/oleObject423.bin"/><Relationship Id="rId1139" Type="http://schemas.openxmlformats.org/officeDocument/2006/relationships/image" Target="media/image583.png"/><Relationship Id="rId1290" Type="http://schemas.openxmlformats.org/officeDocument/2006/relationships/image" Target="media/image673.png"/><Relationship Id="rId1304" Type="http://schemas.openxmlformats.org/officeDocument/2006/relationships/hyperlink" Target="http://www.becas.uam.mx/17/convocatoria.html" TargetMode="External"/><Relationship Id="rId1346" Type="http://schemas.openxmlformats.org/officeDocument/2006/relationships/image" Target="media/image713.png"/><Relationship Id="rId106" Type="http://schemas.openxmlformats.org/officeDocument/2006/relationships/oleObject" Target="embeddings/oleObject31.bin"/><Relationship Id="rId313" Type="http://schemas.openxmlformats.org/officeDocument/2006/relationships/image" Target="media/image169.wmf"/><Relationship Id="rId495" Type="http://schemas.openxmlformats.org/officeDocument/2006/relationships/image" Target="media/image262.wmf"/><Relationship Id="rId716" Type="http://schemas.openxmlformats.org/officeDocument/2006/relationships/oleObject" Target="embeddings/oleObject263.bin"/><Relationship Id="rId758" Type="http://schemas.openxmlformats.org/officeDocument/2006/relationships/image" Target="media/image389.wmf"/><Relationship Id="rId923" Type="http://schemas.openxmlformats.org/officeDocument/2006/relationships/image" Target="media/image465.wmf"/><Relationship Id="rId965" Type="http://schemas.openxmlformats.org/officeDocument/2006/relationships/chart" Target="charts/chart5.xml"/><Relationship Id="rId1150" Type="http://schemas.openxmlformats.org/officeDocument/2006/relationships/image" Target="media/image591.jpeg"/><Relationship Id="rId10" Type="http://schemas.openxmlformats.org/officeDocument/2006/relationships/image" Target="media/image3.png"/><Relationship Id="rId52" Type="http://schemas.openxmlformats.org/officeDocument/2006/relationships/oleObject" Target="embeddings/oleObject10.bin"/><Relationship Id="rId94" Type="http://schemas.openxmlformats.org/officeDocument/2006/relationships/image" Target="media/image51.jpeg"/><Relationship Id="rId148" Type="http://schemas.openxmlformats.org/officeDocument/2006/relationships/hyperlink" Target="mailto:kadiaz@uv.mx" TargetMode="External"/><Relationship Id="rId355" Type="http://schemas.openxmlformats.org/officeDocument/2006/relationships/oleObject" Target="embeddings/oleObject110.bin"/><Relationship Id="rId397" Type="http://schemas.openxmlformats.org/officeDocument/2006/relationships/image" Target="media/image210.wmf"/><Relationship Id="rId520" Type="http://schemas.openxmlformats.org/officeDocument/2006/relationships/oleObject" Target="embeddings/oleObject189.bin"/><Relationship Id="rId562" Type="http://schemas.openxmlformats.org/officeDocument/2006/relationships/hyperlink" Target="mailto:francisco_betancourt@tec.mx" TargetMode="External"/><Relationship Id="rId618" Type="http://schemas.openxmlformats.org/officeDocument/2006/relationships/image" Target="media/image327.emf"/><Relationship Id="rId825" Type="http://schemas.openxmlformats.org/officeDocument/2006/relationships/image" Target="media/image421.wmf"/><Relationship Id="rId1192" Type="http://schemas.openxmlformats.org/officeDocument/2006/relationships/image" Target="media/image615.emf"/><Relationship Id="rId1206" Type="http://schemas.openxmlformats.org/officeDocument/2006/relationships/image" Target="media/image625.emf"/><Relationship Id="rId1248" Type="http://schemas.openxmlformats.org/officeDocument/2006/relationships/image" Target="media/image655.png"/><Relationship Id="rId215" Type="http://schemas.openxmlformats.org/officeDocument/2006/relationships/oleObject" Target="embeddings/oleObject38.bin"/><Relationship Id="rId257" Type="http://schemas.openxmlformats.org/officeDocument/2006/relationships/oleObject" Target="embeddings/oleObject59.bin"/><Relationship Id="rId422" Type="http://schemas.openxmlformats.org/officeDocument/2006/relationships/oleObject" Target="embeddings/oleObject142.bin"/><Relationship Id="rId464" Type="http://schemas.openxmlformats.org/officeDocument/2006/relationships/oleObject" Target="embeddings/oleObject162.bin"/><Relationship Id="rId867" Type="http://schemas.openxmlformats.org/officeDocument/2006/relationships/image" Target="media/image442.wmf"/><Relationship Id="rId1010" Type="http://schemas.openxmlformats.org/officeDocument/2006/relationships/image" Target="media/image513.png"/><Relationship Id="rId1052" Type="http://schemas.openxmlformats.org/officeDocument/2006/relationships/oleObject" Target="embeddings/oleObject408.bin"/><Relationship Id="rId1094" Type="http://schemas.openxmlformats.org/officeDocument/2006/relationships/image" Target="media/image557.png"/><Relationship Id="rId1108" Type="http://schemas.openxmlformats.org/officeDocument/2006/relationships/oleObject" Target="embeddings/oleObject435.bin"/><Relationship Id="rId1315" Type="http://schemas.openxmlformats.org/officeDocument/2006/relationships/image" Target="media/image687.jpeg"/><Relationship Id="rId299" Type="http://schemas.openxmlformats.org/officeDocument/2006/relationships/oleObject" Target="embeddings/oleObject80.bin"/><Relationship Id="rId727" Type="http://schemas.openxmlformats.org/officeDocument/2006/relationships/oleObject" Target="embeddings/oleObject269.bin"/><Relationship Id="rId934" Type="http://schemas.openxmlformats.org/officeDocument/2006/relationships/image" Target="media/image469.wmf"/><Relationship Id="rId1357" Type="http://schemas.openxmlformats.org/officeDocument/2006/relationships/image" Target="media/image719.png"/><Relationship Id="rId63" Type="http://schemas.openxmlformats.org/officeDocument/2006/relationships/image" Target="media/image35.wmf"/><Relationship Id="rId159" Type="http://schemas.openxmlformats.org/officeDocument/2006/relationships/image" Target="media/image97.png"/><Relationship Id="rId366" Type="http://schemas.openxmlformats.org/officeDocument/2006/relationships/image" Target="media/image194.wmf"/><Relationship Id="rId573" Type="http://schemas.openxmlformats.org/officeDocument/2006/relationships/image" Target="media/image305.jpeg"/><Relationship Id="rId780" Type="http://schemas.openxmlformats.org/officeDocument/2006/relationships/oleObject" Target="embeddings/oleObject297.bin"/><Relationship Id="rId1217" Type="http://schemas.openxmlformats.org/officeDocument/2006/relationships/hyperlink" Target="mailto:cajf@azc.uam.mx" TargetMode="External"/><Relationship Id="rId226" Type="http://schemas.openxmlformats.org/officeDocument/2006/relationships/image" Target="media/image126.wmf"/><Relationship Id="rId433" Type="http://schemas.openxmlformats.org/officeDocument/2006/relationships/image" Target="media/image229.wmf"/><Relationship Id="rId878" Type="http://schemas.openxmlformats.org/officeDocument/2006/relationships/oleObject" Target="embeddings/oleObject347.bin"/><Relationship Id="rId1063" Type="http://schemas.openxmlformats.org/officeDocument/2006/relationships/image" Target="media/image541.wmf"/><Relationship Id="rId1270" Type="http://schemas.openxmlformats.org/officeDocument/2006/relationships/hyperlink" Target="mailto:mbqd@azc.uam.mx" TargetMode="External"/><Relationship Id="rId640" Type="http://schemas.openxmlformats.org/officeDocument/2006/relationships/image" Target="media/image337.wmf"/><Relationship Id="rId738" Type="http://schemas.openxmlformats.org/officeDocument/2006/relationships/oleObject" Target="embeddings/oleObject275.bin"/><Relationship Id="rId945" Type="http://schemas.openxmlformats.org/officeDocument/2006/relationships/oleObject" Target="embeddings/oleObject388.bin"/><Relationship Id="rId1368" Type="http://schemas.openxmlformats.org/officeDocument/2006/relationships/image" Target="media/image728.jpeg"/><Relationship Id="rId74" Type="http://schemas.openxmlformats.org/officeDocument/2006/relationships/oleObject" Target="embeddings/oleObject21.bin"/><Relationship Id="rId377" Type="http://schemas.openxmlformats.org/officeDocument/2006/relationships/image" Target="media/image199.png"/><Relationship Id="rId500" Type="http://schemas.openxmlformats.org/officeDocument/2006/relationships/image" Target="media/image265.png"/><Relationship Id="rId584" Type="http://schemas.openxmlformats.org/officeDocument/2006/relationships/image" Target="media/image310.wmf"/><Relationship Id="rId805" Type="http://schemas.openxmlformats.org/officeDocument/2006/relationships/image" Target="media/image412.wmf"/><Relationship Id="rId1130" Type="http://schemas.openxmlformats.org/officeDocument/2006/relationships/hyperlink" Target="mailto:lfpedrazam@udistrital.edu.co" TargetMode="External"/><Relationship Id="rId1228" Type="http://schemas.openxmlformats.org/officeDocument/2006/relationships/image" Target="media/image641.png"/><Relationship Id="rId5" Type="http://schemas.openxmlformats.org/officeDocument/2006/relationships/webSettings" Target="webSettings.xml"/><Relationship Id="rId237" Type="http://schemas.openxmlformats.org/officeDocument/2006/relationships/oleObject" Target="embeddings/oleObject49.bin"/><Relationship Id="rId791" Type="http://schemas.openxmlformats.org/officeDocument/2006/relationships/image" Target="media/image405.wmf"/><Relationship Id="rId889" Type="http://schemas.openxmlformats.org/officeDocument/2006/relationships/image" Target="media/image452.wmf"/><Relationship Id="rId1074" Type="http://schemas.openxmlformats.org/officeDocument/2006/relationships/image" Target="media/image547.wmf"/><Relationship Id="rId444" Type="http://schemas.openxmlformats.org/officeDocument/2006/relationships/oleObject" Target="embeddings/oleObject153.bin"/><Relationship Id="rId651" Type="http://schemas.openxmlformats.org/officeDocument/2006/relationships/image" Target="media/image343.wmf"/><Relationship Id="rId749" Type="http://schemas.openxmlformats.org/officeDocument/2006/relationships/oleObject" Target="embeddings/oleObject281.bin"/><Relationship Id="rId1281" Type="http://schemas.openxmlformats.org/officeDocument/2006/relationships/hyperlink" Target="http://www.cinda.cl/programa%20de%20movilidad/" TargetMode="External"/><Relationship Id="rId290" Type="http://schemas.openxmlformats.org/officeDocument/2006/relationships/image" Target="media/image158.wmf"/><Relationship Id="rId304" Type="http://schemas.openxmlformats.org/officeDocument/2006/relationships/image" Target="media/image165.wmf"/><Relationship Id="rId388" Type="http://schemas.openxmlformats.org/officeDocument/2006/relationships/oleObject" Target="embeddings/oleObject126.bin"/><Relationship Id="rId511" Type="http://schemas.openxmlformats.org/officeDocument/2006/relationships/image" Target="media/image270.wmf"/><Relationship Id="rId609" Type="http://schemas.openxmlformats.org/officeDocument/2006/relationships/oleObject" Target="embeddings/oleObject224.bin"/><Relationship Id="rId956" Type="http://schemas.openxmlformats.org/officeDocument/2006/relationships/image" Target="media/image482.png"/><Relationship Id="rId1141" Type="http://schemas.openxmlformats.org/officeDocument/2006/relationships/hyperlink" Target="mailto:dannickfox@gmail.com" TargetMode="External"/><Relationship Id="rId1239" Type="http://schemas.openxmlformats.org/officeDocument/2006/relationships/image" Target="media/image647.png"/><Relationship Id="rId85" Type="http://schemas.openxmlformats.org/officeDocument/2006/relationships/image" Target="media/image46.wmf"/><Relationship Id="rId150" Type="http://schemas.openxmlformats.org/officeDocument/2006/relationships/hyperlink" Target="mailto:araranda@uv.mx" TargetMode="External"/><Relationship Id="rId595" Type="http://schemas.openxmlformats.org/officeDocument/2006/relationships/oleObject" Target="embeddings/oleObject217.bin"/><Relationship Id="rId816" Type="http://schemas.openxmlformats.org/officeDocument/2006/relationships/oleObject" Target="embeddings/oleObject316.bin"/><Relationship Id="rId1001" Type="http://schemas.openxmlformats.org/officeDocument/2006/relationships/image" Target="media/image507.png"/><Relationship Id="rId248" Type="http://schemas.openxmlformats.org/officeDocument/2006/relationships/image" Target="media/image137.wmf"/><Relationship Id="rId455" Type="http://schemas.openxmlformats.org/officeDocument/2006/relationships/image" Target="media/image241.wmf"/><Relationship Id="rId662" Type="http://schemas.openxmlformats.org/officeDocument/2006/relationships/image" Target="media/image348.jpeg"/><Relationship Id="rId1085" Type="http://schemas.openxmlformats.org/officeDocument/2006/relationships/oleObject" Target="embeddings/oleObject424.bin"/><Relationship Id="rId1292" Type="http://schemas.openxmlformats.org/officeDocument/2006/relationships/image" Target="media/image675.png"/><Relationship Id="rId1306" Type="http://schemas.openxmlformats.org/officeDocument/2006/relationships/image" Target="media/image679.emf"/><Relationship Id="rId12" Type="http://schemas.openxmlformats.org/officeDocument/2006/relationships/image" Target="media/image5.png"/><Relationship Id="rId108" Type="http://schemas.openxmlformats.org/officeDocument/2006/relationships/oleObject" Target="embeddings/oleObject32.bin"/><Relationship Id="rId315" Type="http://schemas.openxmlformats.org/officeDocument/2006/relationships/image" Target="media/image170.wmf"/><Relationship Id="rId522" Type="http://schemas.openxmlformats.org/officeDocument/2006/relationships/oleObject" Target="embeddings/oleObject190.bin"/><Relationship Id="rId967" Type="http://schemas.openxmlformats.org/officeDocument/2006/relationships/image" Target="media/image487.png"/><Relationship Id="rId1152" Type="http://schemas.openxmlformats.org/officeDocument/2006/relationships/image" Target="media/image593.jpeg"/><Relationship Id="rId96" Type="http://schemas.openxmlformats.org/officeDocument/2006/relationships/image" Target="media/image53.jpeg"/><Relationship Id="rId161" Type="http://schemas.openxmlformats.org/officeDocument/2006/relationships/image" Target="media/image99.jpeg"/><Relationship Id="rId399" Type="http://schemas.openxmlformats.org/officeDocument/2006/relationships/image" Target="media/image211.wmf"/><Relationship Id="rId827" Type="http://schemas.openxmlformats.org/officeDocument/2006/relationships/image" Target="media/image422.wmf"/><Relationship Id="rId1012" Type="http://schemas.openxmlformats.org/officeDocument/2006/relationships/image" Target="media/image514.png"/><Relationship Id="rId259" Type="http://schemas.openxmlformats.org/officeDocument/2006/relationships/oleObject" Target="embeddings/oleObject60.bin"/><Relationship Id="rId466" Type="http://schemas.openxmlformats.org/officeDocument/2006/relationships/oleObject" Target="embeddings/oleObject163.bin"/><Relationship Id="rId673" Type="http://schemas.openxmlformats.org/officeDocument/2006/relationships/hyperlink" Target="https://doi.org/10.1016/j.ijbiomac.2019.12.17530" TargetMode="External"/><Relationship Id="rId880" Type="http://schemas.openxmlformats.org/officeDocument/2006/relationships/image" Target="media/image448.wmf"/><Relationship Id="rId1096" Type="http://schemas.openxmlformats.org/officeDocument/2006/relationships/image" Target="media/image559.wmf"/><Relationship Id="rId1317" Type="http://schemas.openxmlformats.org/officeDocument/2006/relationships/image" Target="media/image689.jpeg"/><Relationship Id="rId23" Type="http://schemas.openxmlformats.org/officeDocument/2006/relationships/image" Target="media/image14.png"/><Relationship Id="rId119" Type="http://schemas.openxmlformats.org/officeDocument/2006/relationships/image" Target="media/image67.png"/><Relationship Id="rId326" Type="http://schemas.openxmlformats.org/officeDocument/2006/relationships/oleObject" Target="embeddings/oleObject95.bin"/><Relationship Id="rId533" Type="http://schemas.openxmlformats.org/officeDocument/2006/relationships/oleObject" Target="embeddings/oleObject196.bin"/><Relationship Id="rId978" Type="http://schemas.openxmlformats.org/officeDocument/2006/relationships/image" Target="media/image491.png"/><Relationship Id="rId1163" Type="http://schemas.openxmlformats.org/officeDocument/2006/relationships/image" Target="media/image596.png"/><Relationship Id="rId1370" Type="http://schemas.openxmlformats.org/officeDocument/2006/relationships/fontTable" Target="fontTable.xml"/><Relationship Id="rId740" Type="http://schemas.openxmlformats.org/officeDocument/2006/relationships/image" Target="media/image380.wmf"/><Relationship Id="rId838" Type="http://schemas.openxmlformats.org/officeDocument/2006/relationships/oleObject" Target="embeddings/oleObject327.bin"/><Relationship Id="rId1023" Type="http://schemas.openxmlformats.org/officeDocument/2006/relationships/image" Target="media/image520.jpeg"/><Relationship Id="rId172" Type="http://schemas.openxmlformats.org/officeDocument/2006/relationships/hyperlink" Target="mailto:mbqd@azc.uam.mx" TargetMode="External"/><Relationship Id="rId477" Type="http://schemas.openxmlformats.org/officeDocument/2006/relationships/image" Target="media/image253.wmf"/><Relationship Id="rId600" Type="http://schemas.openxmlformats.org/officeDocument/2006/relationships/image" Target="media/image318.wmf"/><Relationship Id="rId684" Type="http://schemas.openxmlformats.org/officeDocument/2006/relationships/image" Target="media/image351.jpeg"/><Relationship Id="rId1230" Type="http://schemas.openxmlformats.org/officeDocument/2006/relationships/hyperlink" Target="mailto:gsg@azc.uam.mx" TargetMode="External"/><Relationship Id="rId1328" Type="http://schemas.openxmlformats.org/officeDocument/2006/relationships/image" Target="media/image700.png"/><Relationship Id="rId337" Type="http://schemas.openxmlformats.org/officeDocument/2006/relationships/oleObject" Target="embeddings/oleObject101.bin"/><Relationship Id="rId891" Type="http://schemas.openxmlformats.org/officeDocument/2006/relationships/oleObject" Target="embeddings/oleObject355.bin"/><Relationship Id="rId905" Type="http://schemas.openxmlformats.org/officeDocument/2006/relationships/image" Target="media/image458.wmf"/><Relationship Id="rId989" Type="http://schemas.openxmlformats.org/officeDocument/2006/relationships/hyperlink" Target="mailto:lpr@azc.uam.mx" TargetMode="External"/><Relationship Id="rId34" Type="http://schemas.openxmlformats.org/officeDocument/2006/relationships/oleObject" Target="embeddings/oleObject1.bin"/><Relationship Id="rId544" Type="http://schemas.openxmlformats.org/officeDocument/2006/relationships/image" Target="media/image285.wmf"/><Relationship Id="rId751" Type="http://schemas.openxmlformats.org/officeDocument/2006/relationships/oleObject" Target="embeddings/oleObject282.bin"/><Relationship Id="rId849" Type="http://schemas.openxmlformats.org/officeDocument/2006/relationships/image" Target="media/image433.wmf"/><Relationship Id="rId1174" Type="http://schemas.openxmlformats.org/officeDocument/2006/relationships/hyperlink" Target="mailto:scs@azc.uam.mx" TargetMode="External"/><Relationship Id="rId183" Type="http://schemas.openxmlformats.org/officeDocument/2006/relationships/hyperlink" Target="mailto:magaly.lizana.29@unsch.edu.pe" TargetMode="External"/><Relationship Id="rId390" Type="http://schemas.openxmlformats.org/officeDocument/2006/relationships/oleObject" Target="embeddings/oleObject127.bin"/><Relationship Id="rId404" Type="http://schemas.openxmlformats.org/officeDocument/2006/relationships/oleObject" Target="embeddings/oleObject134.bin"/><Relationship Id="rId611" Type="http://schemas.openxmlformats.org/officeDocument/2006/relationships/oleObject" Target="embeddings/oleObject225.bin"/><Relationship Id="rId1034" Type="http://schemas.openxmlformats.org/officeDocument/2006/relationships/oleObject" Target="embeddings/oleObject399.bin"/><Relationship Id="rId1241" Type="http://schemas.openxmlformats.org/officeDocument/2006/relationships/image" Target="media/image648.png"/><Relationship Id="rId1339" Type="http://schemas.openxmlformats.org/officeDocument/2006/relationships/image" Target="media/image708.png"/><Relationship Id="rId250" Type="http://schemas.openxmlformats.org/officeDocument/2006/relationships/image" Target="media/image138.wmf"/><Relationship Id="rId488" Type="http://schemas.openxmlformats.org/officeDocument/2006/relationships/oleObject" Target="embeddings/oleObject173.bin"/><Relationship Id="rId695" Type="http://schemas.openxmlformats.org/officeDocument/2006/relationships/oleObject" Target="embeddings/oleObject252.bin"/><Relationship Id="rId709" Type="http://schemas.openxmlformats.org/officeDocument/2006/relationships/image" Target="media/image366.wmf"/><Relationship Id="rId916" Type="http://schemas.openxmlformats.org/officeDocument/2006/relationships/oleObject" Target="embeddings/oleObject371.bin"/><Relationship Id="rId1101" Type="http://schemas.openxmlformats.org/officeDocument/2006/relationships/oleObject" Target="embeddings/oleObject431.bin"/><Relationship Id="rId45" Type="http://schemas.openxmlformats.org/officeDocument/2006/relationships/image" Target="media/image26.wmf"/><Relationship Id="rId110" Type="http://schemas.openxmlformats.org/officeDocument/2006/relationships/oleObject" Target="embeddings/oleObject33.bin"/><Relationship Id="rId348" Type="http://schemas.openxmlformats.org/officeDocument/2006/relationships/image" Target="media/image185.wmf"/><Relationship Id="rId555" Type="http://schemas.openxmlformats.org/officeDocument/2006/relationships/image" Target="media/image291.jpeg"/><Relationship Id="rId762" Type="http://schemas.openxmlformats.org/officeDocument/2006/relationships/image" Target="media/image391.wmf"/><Relationship Id="rId1185" Type="http://schemas.openxmlformats.org/officeDocument/2006/relationships/hyperlink" Target="mailto:ndv@correo.azc.uam.mx" TargetMode="External"/><Relationship Id="rId194" Type="http://schemas.openxmlformats.org/officeDocument/2006/relationships/hyperlink" Target="https://www.cdc.gov/coronavirus/2019-ncov/summary.html" TargetMode="External"/><Relationship Id="rId208" Type="http://schemas.openxmlformats.org/officeDocument/2006/relationships/image" Target="media/image117.wmf"/><Relationship Id="rId415" Type="http://schemas.openxmlformats.org/officeDocument/2006/relationships/image" Target="media/image220.wmf"/><Relationship Id="rId622" Type="http://schemas.openxmlformats.org/officeDocument/2006/relationships/oleObject" Target="embeddings/oleObject230.bin"/><Relationship Id="rId1045" Type="http://schemas.openxmlformats.org/officeDocument/2006/relationships/image" Target="media/image532.wmf"/><Relationship Id="rId1252" Type="http://schemas.openxmlformats.org/officeDocument/2006/relationships/hyperlink" Target="mailto:mlst@azc.uam.mx" TargetMode="External"/><Relationship Id="rId261" Type="http://schemas.openxmlformats.org/officeDocument/2006/relationships/oleObject" Target="embeddings/oleObject61.bin"/><Relationship Id="rId499" Type="http://schemas.openxmlformats.org/officeDocument/2006/relationships/image" Target="media/image264.png"/><Relationship Id="rId927" Type="http://schemas.openxmlformats.org/officeDocument/2006/relationships/image" Target="media/image466.wmf"/><Relationship Id="rId1112" Type="http://schemas.openxmlformats.org/officeDocument/2006/relationships/oleObject" Target="embeddings/oleObject437.bin"/><Relationship Id="rId56" Type="http://schemas.openxmlformats.org/officeDocument/2006/relationships/oleObject" Target="embeddings/oleObject12.bin"/><Relationship Id="rId359" Type="http://schemas.openxmlformats.org/officeDocument/2006/relationships/oleObject" Target="embeddings/oleObject112.bin"/><Relationship Id="rId566" Type="http://schemas.openxmlformats.org/officeDocument/2006/relationships/image" Target="media/image298.png"/><Relationship Id="rId773" Type="http://schemas.openxmlformats.org/officeDocument/2006/relationships/oleObject" Target="embeddings/oleObject293.bin"/><Relationship Id="rId1196" Type="http://schemas.openxmlformats.org/officeDocument/2006/relationships/image" Target="media/image618.png"/><Relationship Id="rId121" Type="http://schemas.openxmlformats.org/officeDocument/2006/relationships/image" Target="media/image69.png"/><Relationship Id="rId219" Type="http://schemas.openxmlformats.org/officeDocument/2006/relationships/oleObject" Target="embeddings/oleObject40.bin"/><Relationship Id="rId426" Type="http://schemas.openxmlformats.org/officeDocument/2006/relationships/oleObject" Target="embeddings/oleObject144.bin"/><Relationship Id="rId633" Type="http://schemas.openxmlformats.org/officeDocument/2006/relationships/oleObject" Target="embeddings/oleObject236.bin"/><Relationship Id="rId980" Type="http://schemas.openxmlformats.org/officeDocument/2006/relationships/image" Target="media/image493.jpeg"/><Relationship Id="rId1056" Type="http://schemas.openxmlformats.org/officeDocument/2006/relationships/oleObject" Target="embeddings/oleObject410.bin"/><Relationship Id="rId1263" Type="http://schemas.openxmlformats.org/officeDocument/2006/relationships/image" Target="media/image660.png"/><Relationship Id="rId840" Type="http://schemas.openxmlformats.org/officeDocument/2006/relationships/oleObject" Target="embeddings/oleObject328.bin"/><Relationship Id="rId938" Type="http://schemas.openxmlformats.org/officeDocument/2006/relationships/image" Target="media/image471.wmf"/><Relationship Id="rId67" Type="http://schemas.openxmlformats.org/officeDocument/2006/relationships/image" Target="media/image37.wmf"/><Relationship Id="rId272" Type="http://schemas.openxmlformats.org/officeDocument/2006/relationships/image" Target="media/image149.wmf"/><Relationship Id="rId577" Type="http://schemas.openxmlformats.org/officeDocument/2006/relationships/oleObject" Target="embeddings/oleObject208.bin"/><Relationship Id="rId700" Type="http://schemas.openxmlformats.org/officeDocument/2006/relationships/image" Target="media/image362.wmf"/><Relationship Id="rId1123" Type="http://schemas.openxmlformats.org/officeDocument/2006/relationships/image" Target="media/image572.wmf"/><Relationship Id="rId1330" Type="http://schemas.openxmlformats.org/officeDocument/2006/relationships/hyperlink" Target="mailto:vaneblanco25@hotmail.com" TargetMode="External"/><Relationship Id="rId132" Type="http://schemas.openxmlformats.org/officeDocument/2006/relationships/chart" Target="charts/chart3.xml"/><Relationship Id="rId784" Type="http://schemas.openxmlformats.org/officeDocument/2006/relationships/oleObject" Target="embeddings/oleObject299.bin"/><Relationship Id="rId991" Type="http://schemas.openxmlformats.org/officeDocument/2006/relationships/image" Target="media/image500.jpeg"/><Relationship Id="rId1067" Type="http://schemas.openxmlformats.org/officeDocument/2006/relationships/image" Target="media/image543.jpeg"/><Relationship Id="rId437" Type="http://schemas.openxmlformats.org/officeDocument/2006/relationships/image" Target="media/image231.wmf"/><Relationship Id="rId644" Type="http://schemas.openxmlformats.org/officeDocument/2006/relationships/image" Target="media/image339.wmf"/><Relationship Id="rId851" Type="http://schemas.openxmlformats.org/officeDocument/2006/relationships/image" Target="media/image434.wmf"/><Relationship Id="rId1274" Type="http://schemas.openxmlformats.org/officeDocument/2006/relationships/image" Target="media/image664.jpeg"/><Relationship Id="rId283" Type="http://schemas.openxmlformats.org/officeDocument/2006/relationships/oleObject" Target="embeddings/oleObject72.bin"/><Relationship Id="rId490" Type="http://schemas.openxmlformats.org/officeDocument/2006/relationships/oleObject" Target="embeddings/oleObject174.bin"/><Relationship Id="rId504" Type="http://schemas.openxmlformats.org/officeDocument/2006/relationships/oleObject" Target="embeddings/oleObject180.bin"/><Relationship Id="rId711" Type="http://schemas.openxmlformats.org/officeDocument/2006/relationships/image" Target="media/image367.wmf"/><Relationship Id="rId949" Type="http://schemas.openxmlformats.org/officeDocument/2006/relationships/image" Target="media/image475.jpeg"/><Relationship Id="rId1134" Type="http://schemas.openxmlformats.org/officeDocument/2006/relationships/image" Target="media/image578.jpeg"/><Relationship Id="rId1341" Type="http://schemas.openxmlformats.org/officeDocument/2006/relationships/image" Target="media/image710.png"/><Relationship Id="rId78" Type="http://schemas.openxmlformats.org/officeDocument/2006/relationships/oleObject" Target="embeddings/oleObject23.bin"/><Relationship Id="rId143" Type="http://schemas.openxmlformats.org/officeDocument/2006/relationships/image" Target="media/image88.emf"/><Relationship Id="rId350" Type="http://schemas.openxmlformats.org/officeDocument/2006/relationships/image" Target="media/image186.wmf"/><Relationship Id="rId588" Type="http://schemas.openxmlformats.org/officeDocument/2006/relationships/image" Target="media/image312.wmf"/><Relationship Id="rId795" Type="http://schemas.openxmlformats.org/officeDocument/2006/relationships/image" Target="media/image407.wmf"/><Relationship Id="rId809" Type="http://schemas.openxmlformats.org/officeDocument/2006/relationships/image" Target="media/image414.wmf"/><Relationship Id="rId1201" Type="http://schemas.openxmlformats.org/officeDocument/2006/relationships/oleObject" Target="embeddings/oleObject448.bin"/><Relationship Id="rId9" Type="http://schemas.openxmlformats.org/officeDocument/2006/relationships/image" Target="media/image2.jpeg"/><Relationship Id="rId210" Type="http://schemas.openxmlformats.org/officeDocument/2006/relationships/image" Target="media/image118.wmf"/><Relationship Id="rId448" Type="http://schemas.openxmlformats.org/officeDocument/2006/relationships/image" Target="media/image237.png"/><Relationship Id="rId655" Type="http://schemas.openxmlformats.org/officeDocument/2006/relationships/hyperlink" Target="mailto:maricruzsolislopez@gmail.com" TargetMode="External"/><Relationship Id="rId862" Type="http://schemas.openxmlformats.org/officeDocument/2006/relationships/oleObject" Target="embeddings/oleObject339.bin"/><Relationship Id="rId1078" Type="http://schemas.openxmlformats.org/officeDocument/2006/relationships/image" Target="media/image549.wmf"/><Relationship Id="rId1285" Type="http://schemas.openxmlformats.org/officeDocument/2006/relationships/hyperlink" Target="mailto:agj@xanum.uam.mx" TargetMode="External"/><Relationship Id="rId294" Type="http://schemas.openxmlformats.org/officeDocument/2006/relationships/image" Target="media/image160.wmf"/><Relationship Id="rId308" Type="http://schemas.openxmlformats.org/officeDocument/2006/relationships/image" Target="media/image167.wmf"/><Relationship Id="rId515" Type="http://schemas.openxmlformats.org/officeDocument/2006/relationships/image" Target="media/image272.wmf"/><Relationship Id="rId722" Type="http://schemas.openxmlformats.org/officeDocument/2006/relationships/image" Target="media/image372.wmf"/><Relationship Id="rId1145" Type="http://schemas.openxmlformats.org/officeDocument/2006/relationships/image" Target="media/image586.jpeg"/><Relationship Id="rId1352" Type="http://schemas.openxmlformats.org/officeDocument/2006/relationships/hyperlink" Target="https://www.tecnologiahorticola.com/plastico-biodegradable-acolchado/" TargetMode="External"/><Relationship Id="rId89" Type="http://schemas.openxmlformats.org/officeDocument/2006/relationships/image" Target="media/image48.wmf"/><Relationship Id="rId154" Type="http://schemas.openxmlformats.org/officeDocument/2006/relationships/image" Target="media/image92.png"/><Relationship Id="rId361" Type="http://schemas.openxmlformats.org/officeDocument/2006/relationships/oleObject" Target="embeddings/oleObject113.bin"/><Relationship Id="rId599" Type="http://schemas.openxmlformats.org/officeDocument/2006/relationships/oleObject" Target="embeddings/oleObject219.bin"/><Relationship Id="rId1005" Type="http://schemas.openxmlformats.org/officeDocument/2006/relationships/oleObject" Target="embeddings/oleObject391.bin"/><Relationship Id="rId1212" Type="http://schemas.openxmlformats.org/officeDocument/2006/relationships/image" Target="media/image631.emf"/><Relationship Id="rId459" Type="http://schemas.openxmlformats.org/officeDocument/2006/relationships/image" Target="media/image243.wmf"/><Relationship Id="rId666" Type="http://schemas.openxmlformats.org/officeDocument/2006/relationships/hyperlink" Target="https://www.sciencedirect.com/science/article/pii/S0141813019369958" TargetMode="External"/><Relationship Id="rId873" Type="http://schemas.openxmlformats.org/officeDocument/2006/relationships/image" Target="media/image445.wmf"/><Relationship Id="rId1089" Type="http://schemas.openxmlformats.org/officeDocument/2006/relationships/oleObject" Target="embeddings/oleObject426.bin"/><Relationship Id="rId1296" Type="http://schemas.openxmlformats.org/officeDocument/2006/relationships/hyperlink" Target="http://www.unesco.org/education/educprog/wche/declaration_spa.html" TargetMode="External"/><Relationship Id="rId16" Type="http://schemas.openxmlformats.org/officeDocument/2006/relationships/image" Target="media/image7.png"/><Relationship Id="rId221" Type="http://schemas.openxmlformats.org/officeDocument/2006/relationships/oleObject" Target="embeddings/oleObject41.bin"/><Relationship Id="rId319" Type="http://schemas.openxmlformats.org/officeDocument/2006/relationships/image" Target="media/image172.wmf"/><Relationship Id="rId526" Type="http://schemas.openxmlformats.org/officeDocument/2006/relationships/oleObject" Target="embeddings/oleObject192.bin"/><Relationship Id="rId1156" Type="http://schemas.openxmlformats.org/officeDocument/2006/relationships/hyperlink" Target="mailto:tph@azc.uam.mx" TargetMode="External"/><Relationship Id="rId1363" Type="http://schemas.openxmlformats.org/officeDocument/2006/relationships/image" Target="media/image723.jpeg"/><Relationship Id="rId733" Type="http://schemas.openxmlformats.org/officeDocument/2006/relationships/image" Target="media/image377.wmf"/><Relationship Id="rId940" Type="http://schemas.openxmlformats.org/officeDocument/2006/relationships/oleObject" Target="embeddings/oleObject385.bin"/><Relationship Id="rId1016" Type="http://schemas.openxmlformats.org/officeDocument/2006/relationships/oleObject" Target="embeddings/oleObject394.bin"/><Relationship Id="rId165" Type="http://schemas.openxmlformats.org/officeDocument/2006/relationships/hyperlink" Target="mailto:German.ramos@campusucc.edu.co" TargetMode="External"/><Relationship Id="rId372" Type="http://schemas.openxmlformats.org/officeDocument/2006/relationships/image" Target="media/image197.wmf"/><Relationship Id="rId677" Type="http://schemas.openxmlformats.org/officeDocument/2006/relationships/hyperlink" Target="https://pubs.rsc.org/tr/results?searchtext=Author%3AQingyun%20Wu" TargetMode="External"/><Relationship Id="rId800" Type="http://schemas.openxmlformats.org/officeDocument/2006/relationships/oleObject" Target="embeddings/oleObject307.bin"/><Relationship Id="rId1223" Type="http://schemas.openxmlformats.org/officeDocument/2006/relationships/image" Target="media/image636.jpeg"/><Relationship Id="rId232" Type="http://schemas.openxmlformats.org/officeDocument/2006/relationships/image" Target="media/image129.wmf"/><Relationship Id="rId884" Type="http://schemas.openxmlformats.org/officeDocument/2006/relationships/image" Target="media/image450.wmf"/><Relationship Id="rId27" Type="http://schemas.openxmlformats.org/officeDocument/2006/relationships/hyperlink" Target="mailto:elizabetha1708@gmail.com" TargetMode="External"/><Relationship Id="rId537" Type="http://schemas.openxmlformats.org/officeDocument/2006/relationships/oleObject" Target="embeddings/oleObject198.bin"/><Relationship Id="rId744" Type="http://schemas.openxmlformats.org/officeDocument/2006/relationships/image" Target="media/image382.wmf"/><Relationship Id="rId951" Type="http://schemas.openxmlformats.org/officeDocument/2006/relationships/image" Target="media/image477.jpeg"/><Relationship Id="rId1167" Type="http://schemas.openxmlformats.org/officeDocument/2006/relationships/image" Target="media/image600.png"/><Relationship Id="rId80" Type="http://schemas.openxmlformats.org/officeDocument/2006/relationships/oleObject" Target="embeddings/oleObject24.bin"/><Relationship Id="rId176" Type="http://schemas.openxmlformats.org/officeDocument/2006/relationships/image" Target="media/image106.png"/><Relationship Id="rId383" Type="http://schemas.openxmlformats.org/officeDocument/2006/relationships/image" Target="media/image203.wmf"/><Relationship Id="rId590" Type="http://schemas.openxmlformats.org/officeDocument/2006/relationships/image" Target="media/image313.wmf"/><Relationship Id="rId604" Type="http://schemas.openxmlformats.org/officeDocument/2006/relationships/image" Target="media/image320.wmf"/><Relationship Id="rId811" Type="http://schemas.openxmlformats.org/officeDocument/2006/relationships/image" Target="media/image415.wmf"/><Relationship Id="rId1027" Type="http://schemas.openxmlformats.org/officeDocument/2006/relationships/image" Target="media/image523.wmf"/><Relationship Id="rId1234" Type="http://schemas.openxmlformats.org/officeDocument/2006/relationships/image" Target="media/image642.jpeg"/><Relationship Id="rId243" Type="http://schemas.openxmlformats.org/officeDocument/2006/relationships/oleObject" Target="embeddings/oleObject52.bin"/><Relationship Id="rId450" Type="http://schemas.openxmlformats.org/officeDocument/2006/relationships/oleObject" Target="embeddings/oleObject155.bin"/><Relationship Id="rId688" Type="http://schemas.openxmlformats.org/officeDocument/2006/relationships/image" Target="media/image355.jpeg"/><Relationship Id="rId895" Type="http://schemas.openxmlformats.org/officeDocument/2006/relationships/image" Target="media/image454.wmf"/><Relationship Id="rId909" Type="http://schemas.openxmlformats.org/officeDocument/2006/relationships/oleObject" Target="embeddings/oleObject366.bin"/><Relationship Id="rId1080" Type="http://schemas.openxmlformats.org/officeDocument/2006/relationships/image" Target="media/image550.wmf"/><Relationship Id="rId1301" Type="http://schemas.openxmlformats.org/officeDocument/2006/relationships/hyperlink" Target="http://www.crepuq.qc.ca/" TargetMode="External"/><Relationship Id="rId38" Type="http://schemas.openxmlformats.org/officeDocument/2006/relationships/oleObject" Target="embeddings/oleObject3.bin"/><Relationship Id="rId103" Type="http://schemas.openxmlformats.org/officeDocument/2006/relationships/image" Target="media/image55.png"/><Relationship Id="rId310" Type="http://schemas.openxmlformats.org/officeDocument/2006/relationships/image" Target="media/image168.wmf"/><Relationship Id="rId548" Type="http://schemas.openxmlformats.org/officeDocument/2006/relationships/image" Target="media/image287.wmf"/><Relationship Id="rId755" Type="http://schemas.openxmlformats.org/officeDocument/2006/relationships/oleObject" Target="embeddings/oleObject284.bin"/><Relationship Id="rId962" Type="http://schemas.openxmlformats.org/officeDocument/2006/relationships/hyperlink" Target="mailto:myrobatlx@yahoo.com.mx" TargetMode="External"/><Relationship Id="rId1178" Type="http://schemas.openxmlformats.org/officeDocument/2006/relationships/image" Target="media/image604.png"/><Relationship Id="rId91" Type="http://schemas.openxmlformats.org/officeDocument/2006/relationships/image" Target="media/image49.wmf"/><Relationship Id="rId187" Type="http://schemas.openxmlformats.org/officeDocument/2006/relationships/image" Target="media/image110.jpeg"/><Relationship Id="rId394" Type="http://schemas.openxmlformats.org/officeDocument/2006/relationships/oleObject" Target="embeddings/oleObject129.bin"/><Relationship Id="rId408" Type="http://schemas.openxmlformats.org/officeDocument/2006/relationships/image" Target="media/image216.png"/><Relationship Id="rId615" Type="http://schemas.openxmlformats.org/officeDocument/2006/relationships/oleObject" Target="embeddings/oleObject227.bin"/><Relationship Id="rId822" Type="http://schemas.openxmlformats.org/officeDocument/2006/relationships/oleObject" Target="embeddings/oleObject319.bin"/><Relationship Id="rId1038" Type="http://schemas.openxmlformats.org/officeDocument/2006/relationships/oleObject" Target="embeddings/oleObject401.bin"/><Relationship Id="rId1245" Type="http://schemas.openxmlformats.org/officeDocument/2006/relationships/image" Target="media/image652.png"/><Relationship Id="rId254" Type="http://schemas.openxmlformats.org/officeDocument/2006/relationships/image" Target="media/image140.wmf"/><Relationship Id="rId699" Type="http://schemas.openxmlformats.org/officeDocument/2006/relationships/oleObject" Target="embeddings/oleObject254.bin"/><Relationship Id="rId1091" Type="http://schemas.openxmlformats.org/officeDocument/2006/relationships/oleObject" Target="embeddings/oleObject427.bin"/><Relationship Id="rId1105" Type="http://schemas.openxmlformats.org/officeDocument/2006/relationships/oleObject" Target="embeddings/oleObject433.bin"/><Relationship Id="rId1312" Type="http://schemas.openxmlformats.org/officeDocument/2006/relationships/image" Target="media/image685.png"/><Relationship Id="rId49" Type="http://schemas.openxmlformats.org/officeDocument/2006/relationships/image" Target="media/image28.wmf"/><Relationship Id="rId114" Type="http://schemas.openxmlformats.org/officeDocument/2006/relationships/image" Target="media/image62.png"/><Relationship Id="rId461" Type="http://schemas.openxmlformats.org/officeDocument/2006/relationships/image" Target="media/image244.wmf"/><Relationship Id="rId559" Type="http://schemas.openxmlformats.org/officeDocument/2006/relationships/image" Target="media/image295.png"/><Relationship Id="rId766" Type="http://schemas.openxmlformats.org/officeDocument/2006/relationships/image" Target="media/image393.wmf"/><Relationship Id="rId1189" Type="http://schemas.openxmlformats.org/officeDocument/2006/relationships/image" Target="media/image612.jpeg"/><Relationship Id="rId198" Type="http://schemas.openxmlformats.org/officeDocument/2006/relationships/hyperlink" Target="https://es.wikipedia.org/wiki/Baltimore" TargetMode="External"/><Relationship Id="rId321" Type="http://schemas.openxmlformats.org/officeDocument/2006/relationships/oleObject" Target="embeddings/oleObject92.bin"/><Relationship Id="rId419" Type="http://schemas.openxmlformats.org/officeDocument/2006/relationships/image" Target="media/image222.wmf"/><Relationship Id="rId626" Type="http://schemas.openxmlformats.org/officeDocument/2006/relationships/oleObject" Target="embeddings/oleObject232.bin"/><Relationship Id="rId973" Type="http://schemas.openxmlformats.org/officeDocument/2006/relationships/hyperlink" Target="mailto:tangarcia@uv.mx" TargetMode="External"/><Relationship Id="rId1049" Type="http://schemas.openxmlformats.org/officeDocument/2006/relationships/image" Target="media/image534.wmf"/><Relationship Id="rId1256" Type="http://schemas.openxmlformats.org/officeDocument/2006/relationships/hyperlink" Target="mailto:yisus_mr@hotmail.com" TargetMode="External"/><Relationship Id="rId833" Type="http://schemas.openxmlformats.org/officeDocument/2006/relationships/image" Target="media/image425.wmf"/><Relationship Id="rId1116" Type="http://schemas.openxmlformats.org/officeDocument/2006/relationships/oleObject" Target="embeddings/oleObject439.bin"/><Relationship Id="rId265" Type="http://schemas.openxmlformats.org/officeDocument/2006/relationships/oleObject" Target="embeddings/oleObject63.bin"/><Relationship Id="rId472" Type="http://schemas.openxmlformats.org/officeDocument/2006/relationships/image" Target="media/image250.png"/><Relationship Id="rId900" Type="http://schemas.openxmlformats.org/officeDocument/2006/relationships/oleObject" Target="embeddings/oleObject361.bin"/><Relationship Id="rId1323" Type="http://schemas.openxmlformats.org/officeDocument/2006/relationships/image" Target="media/image695.jpeg"/><Relationship Id="rId125" Type="http://schemas.openxmlformats.org/officeDocument/2006/relationships/image" Target="media/image73.png"/><Relationship Id="rId332" Type="http://schemas.openxmlformats.org/officeDocument/2006/relationships/oleObject" Target="embeddings/oleObject98.bin"/><Relationship Id="rId777" Type="http://schemas.openxmlformats.org/officeDocument/2006/relationships/image" Target="media/image398.wmf"/><Relationship Id="rId984" Type="http://schemas.openxmlformats.org/officeDocument/2006/relationships/image" Target="media/image497.png"/><Relationship Id="rId637" Type="http://schemas.openxmlformats.org/officeDocument/2006/relationships/image" Target="media/image336.wmf"/><Relationship Id="rId844" Type="http://schemas.openxmlformats.org/officeDocument/2006/relationships/oleObject" Target="embeddings/oleObject330.bin"/><Relationship Id="rId1267" Type="http://schemas.openxmlformats.org/officeDocument/2006/relationships/hyperlink" Target="mailto:dll@azc.uam.mx" TargetMode="External"/><Relationship Id="rId276" Type="http://schemas.openxmlformats.org/officeDocument/2006/relationships/image" Target="media/image151.wmf"/><Relationship Id="rId483" Type="http://schemas.openxmlformats.org/officeDocument/2006/relationships/image" Target="media/image256.wmf"/><Relationship Id="rId690" Type="http://schemas.openxmlformats.org/officeDocument/2006/relationships/image" Target="media/image357.wmf"/><Relationship Id="rId704" Type="http://schemas.openxmlformats.org/officeDocument/2006/relationships/image" Target="media/image364.wmf"/><Relationship Id="rId911" Type="http://schemas.openxmlformats.org/officeDocument/2006/relationships/image" Target="media/image460.wmf"/><Relationship Id="rId1127" Type="http://schemas.openxmlformats.org/officeDocument/2006/relationships/image" Target="media/image574.png"/><Relationship Id="rId1334" Type="http://schemas.openxmlformats.org/officeDocument/2006/relationships/image" Target="media/image703.jpeg"/><Relationship Id="rId40" Type="http://schemas.openxmlformats.org/officeDocument/2006/relationships/oleObject" Target="embeddings/oleObject4.bin"/><Relationship Id="rId136" Type="http://schemas.openxmlformats.org/officeDocument/2006/relationships/image" Target="media/image81.png"/><Relationship Id="rId343" Type="http://schemas.openxmlformats.org/officeDocument/2006/relationships/oleObject" Target="embeddings/oleObject104.bin"/><Relationship Id="rId550" Type="http://schemas.openxmlformats.org/officeDocument/2006/relationships/oleObject" Target="embeddings/oleObject206.bin"/><Relationship Id="rId788" Type="http://schemas.openxmlformats.org/officeDocument/2006/relationships/oleObject" Target="embeddings/oleObject301.bin"/><Relationship Id="rId995" Type="http://schemas.openxmlformats.org/officeDocument/2006/relationships/hyperlink" Target="https://www.aafco.org/" TargetMode="External"/><Relationship Id="rId1180" Type="http://schemas.openxmlformats.org/officeDocument/2006/relationships/image" Target="media/image606.png"/><Relationship Id="rId203" Type="http://schemas.openxmlformats.org/officeDocument/2006/relationships/hyperlink" Target="https://www.nature.com/articles/s41586-020-2405-7" TargetMode="External"/><Relationship Id="rId648" Type="http://schemas.openxmlformats.org/officeDocument/2006/relationships/oleObject" Target="embeddings/oleObject244.bin"/><Relationship Id="rId855" Type="http://schemas.openxmlformats.org/officeDocument/2006/relationships/image" Target="media/image436.wmf"/><Relationship Id="rId1040" Type="http://schemas.openxmlformats.org/officeDocument/2006/relationships/oleObject" Target="embeddings/oleObject402.bin"/><Relationship Id="rId1278" Type="http://schemas.openxmlformats.org/officeDocument/2006/relationships/image" Target="media/image668.jpeg"/><Relationship Id="rId287" Type="http://schemas.openxmlformats.org/officeDocument/2006/relationships/oleObject" Target="embeddings/oleObject74.bin"/><Relationship Id="rId410" Type="http://schemas.openxmlformats.org/officeDocument/2006/relationships/oleObject" Target="embeddings/oleObject136.bin"/><Relationship Id="rId494" Type="http://schemas.openxmlformats.org/officeDocument/2006/relationships/oleObject" Target="embeddings/oleObject176.bin"/><Relationship Id="rId508" Type="http://schemas.openxmlformats.org/officeDocument/2006/relationships/oleObject" Target="embeddings/oleObject182.bin"/><Relationship Id="rId715" Type="http://schemas.openxmlformats.org/officeDocument/2006/relationships/image" Target="media/image369.wmf"/><Relationship Id="rId922" Type="http://schemas.openxmlformats.org/officeDocument/2006/relationships/oleObject" Target="embeddings/oleObject374.bin"/><Relationship Id="rId1138" Type="http://schemas.openxmlformats.org/officeDocument/2006/relationships/image" Target="media/image582.png"/><Relationship Id="rId1345" Type="http://schemas.openxmlformats.org/officeDocument/2006/relationships/image" Target="media/image712.jpeg"/><Relationship Id="rId147" Type="http://schemas.openxmlformats.org/officeDocument/2006/relationships/hyperlink" Target="mailto:nagutierez@uv.mx" TargetMode="External"/><Relationship Id="rId354" Type="http://schemas.openxmlformats.org/officeDocument/2006/relationships/image" Target="media/image188.wmf"/><Relationship Id="rId799" Type="http://schemas.openxmlformats.org/officeDocument/2006/relationships/image" Target="media/image409.wmf"/><Relationship Id="rId1191" Type="http://schemas.openxmlformats.org/officeDocument/2006/relationships/image" Target="media/image614.emf"/><Relationship Id="rId1205" Type="http://schemas.openxmlformats.org/officeDocument/2006/relationships/image" Target="media/image624.emf"/><Relationship Id="rId51" Type="http://schemas.openxmlformats.org/officeDocument/2006/relationships/image" Target="media/image29.wmf"/><Relationship Id="rId561" Type="http://schemas.openxmlformats.org/officeDocument/2006/relationships/hyperlink" Target="mailto:daniel.lm@vguadiana.tecnm.mx" TargetMode="External"/><Relationship Id="rId659" Type="http://schemas.openxmlformats.org/officeDocument/2006/relationships/image" Target="media/image345.jpeg"/><Relationship Id="rId866" Type="http://schemas.openxmlformats.org/officeDocument/2006/relationships/oleObject" Target="embeddings/oleObject341.bin"/><Relationship Id="rId1289" Type="http://schemas.openxmlformats.org/officeDocument/2006/relationships/image" Target="media/image672.png"/><Relationship Id="rId214" Type="http://schemas.openxmlformats.org/officeDocument/2006/relationships/image" Target="media/image120.wmf"/><Relationship Id="rId298" Type="http://schemas.openxmlformats.org/officeDocument/2006/relationships/image" Target="media/image162.wmf"/><Relationship Id="rId421" Type="http://schemas.openxmlformats.org/officeDocument/2006/relationships/image" Target="media/image223.wmf"/><Relationship Id="rId519" Type="http://schemas.openxmlformats.org/officeDocument/2006/relationships/image" Target="media/image274.wmf"/><Relationship Id="rId1051" Type="http://schemas.openxmlformats.org/officeDocument/2006/relationships/image" Target="media/image535.wmf"/><Relationship Id="rId1149" Type="http://schemas.openxmlformats.org/officeDocument/2006/relationships/image" Target="media/image590.jpeg"/><Relationship Id="rId1356" Type="http://schemas.openxmlformats.org/officeDocument/2006/relationships/image" Target="media/image718.png"/><Relationship Id="rId158" Type="http://schemas.openxmlformats.org/officeDocument/2006/relationships/image" Target="media/image96.png"/><Relationship Id="rId726" Type="http://schemas.openxmlformats.org/officeDocument/2006/relationships/image" Target="media/image374.wmf"/><Relationship Id="rId933" Type="http://schemas.openxmlformats.org/officeDocument/2006/relationships/oleObject" Target="embeddings/oleObject381.bin"/><Relationship Id="rId1009" Type="http://schemas.openxmlformats.org/officeDocument/2006/relationships/image" Target="media/image512.png"/><Relationship Id="rId62" Type="http://schemas.openxmlformats.org/officeDocument/2006/relationships/oleObject" Target="embeddings/oleObject15.bin"/><Relationship Id="rId365" Type="http://schemas.openxmlformats.org/officeDocument/2006/relationships/oleObject" Target="embeddings/oleObject115.bin"/><Relationship Id="rId572" Type="http://schemas.openxmlformats.org/officeDocument/2006/relationships/image" Target="media/image304.jpeg"/><Relationship Id="rId1216" Type="http://schemas.openxmlformats.org/officeDocument/2006/relationships/hyperlink" Target="mailto:gsg@azc.uam.mx" TargetMode="External"/><Relationship Id="rId225" Type="http://schemas.openxmlformats.org/officeDocument/2006/relationships/oleObject" Target="embeddings/oleObject43.bin"/><Relationship Id="rId432" Type="http://schemas.openxmlformats.org/officeDocument/2006/relationships/oleObject" Target="embeddings/oleObject147.bin"/><Relationship Id="rId877" Type="http://schemas.openxmlformats.org/officeDocument/2006/relationships/image" Target="media/image447.wmf"/><Relationship Id="rId1062" Type="http://schemas.openxmlformats.org/officeDocument/2006/relationships/oleObject" Target="embeddings/oleObject413.bin"/><Relationship Id="rId737" Type="http://schemas.openxmlformats.org/officeDocument/2006/relationships/image" Target="media/image379.wmf"/><Relationship Id="rId944" Type="http://schemas.openxmlformats.org/officeDocument/2006/relationships/image" Target="media/image473.wmf"/><Relationship Id="rId1367" Type="http://schemas.openxmlformats.org/officeDocument/2006/relationships/image" Target="media/image727.jpeg"/><Relationship Id="rId73" Type="http://schemas.openxmlformats.org/officeDocument/2006/relationships/image" Target="media/image40.wmf"/><Relationship Id="rId169" Type="http://schemas.openxmlformats.org/officeDocument/2006/relationships/image" Target="media/image104.png"/><Relationship Id="rId376" Type="http://schemas.openxmlformats.org/officeDocument/2006/relationships/oleObject" Target="embeddings/oleObject121.bin"/><Relationship Id="rId583" Type="http://schemas.openxmlformats.org/officeDocument/2006/relationships/oleObject" Target="embeddings/oleObject211.bin"/><Relationship Id="rId790" Type="http://schemas.openxmlformats.org/officeDocument/2006/relationships/oleObject" Target="embeddings/oleObject302.bin"/><Relationship Id="rId804" Type="http://schemas.openxmlformats.org/officeDocument/2006/relationships/oleObject" Target="embeddings/oleObject309.bin"/><Relationship Id="rId1227" Type="http://schemas.openxmlformats.org/officeDocument/2006/relationships/image" Target="media/image640.jpeg"/><Relationship Id="rId4" Type="http://schemas.openxmlformats.org/officeDocument/2006/relationships/settings" Target="settings.xml"/><Relationship Id="rId236" Type="http://schemas.openxmlformats.org/officeDocument/2006/relationships/image" Target="media/image131.wmf"/><Relationship Id="rId443" Type="http://schemas.openxmlformats.org/officeDocument/2006/relationships/image" Target="media/image234.wmf"/><Relationship Id="rId650" Type="http://schemas.openxmlformats.org/officeDocument/2006/relationships/oleObject" Target="embeddings/oleObject245.bin"/><Relationship Id="rId888" Type="http://schemas.openxmlformats.org/officeDocument/2006/relationships/oleObject" Target="embeddings/oleObject353.bin"/><Relationship Id="rId1073" Type="http://schemas.openxmlformats.org/officeDocument/2006/relationships/oleObject" Target="embeddings/oleObject418.bin"/><Relationship Id="rId1280" Type="http://schemas.openxmlformats.org/officeDocument/2006/relationships/hyperlink" Target="http://pame.udual.org/datos.html" TargetMode="External"/><Relationship Id="rId303" Type="http://schemas.openxmlformats.org/officeDocument/2006/relationships/oleObject" Target="embeddings/oleObject82.bin"/><Relationship Id="rId748" Type="http://schemas.openxmlformats.org/officeDocument/2006/relationships/image" Target="media/image384.wmf"/><Relationship Id="rId955" Type="http://schemas.openxmlformats.org/officeDocument/2006/relationships/image" Target="media/image481.jpeg"/><Relationship Id="rId1140" Type="http://schemas.openxmlformats.org/officeDocument/2006/relationships/hyperlink" Target="mailto:jpg@correo.azc.uam.mx" TargetMode="External"/><Relationship Id="rId84" Type="http://schemas.openxmlformats.org/officeDocument/2006/relationships/oleObject" Target="embeddings/oleObject26.bin"/><Relationship Id="rId387" Type="http://schemas.openxmlformats.org/officeDocument/2006/relationships/image" Target="media/image205.wmf"/><Relationship Id="rId510" Type="http://schemas.openxmlformats.org/officeDocument/2006/relationships/oleObject" Target="embeddings/oleObject184.bin"/><Relationship Id="rId594" Type="http://schemas.openxmlformats.org/officeDocument/2006/relationships/image" Target="media/image315.wmf"/><Relationship Id="rId608" Type="http://schemas.openxmlformats.org/officeDocument/2006/relationships/image" Target="media/image322.wmf"/><Relationship Id="rId815" Type="http://schemas.openxmlformats.org/officeDocument/2006/relationships/oleObject" Target="embeddings/oleObject315.bin"/><Relationship Id="rId1238" Type="http://schemas.openxmlformats.org/officeDocument/2006/relationships/image" Target="media/image646.jpeg"/><Relationship Id="rId247" Type="http://schemas.openxmlformats.org/officeDocument/2006/relationships/oleObject" Target="embeddings/oleObject54.bin"/><Relationship Id="rId899" Type="http://schemas.openxmlformats.org/officeDocument/2006/relationships/image" Target="media/image455.wmf"/><Relationship Id="rId1000" Type="http://schemas.openxmlformats.org/officeDocument/2006/relationships/image" Target="media/image506.png"/><Relationship Id="rId1084" Type="http://schemas.openxmlformats.org/officeDocument/2006/relationships/image" Target="media/image552.wmf"/><Relationship Id="rId1305" Type="http://schemas.openxmlformats.org/officeDocument/2006/relationships/hyperlink" Target="https://imco.org.mx/educacion/panorama-la-educacion-2017-via-ocde/" TargetMode="External"/><Relationship Id="rId107" Type="http://schemas.openxmlformats.org/officeDocument/2006/relationships/image" Target="media/image58.wmf"/><Relationship Id="rId454" Type="http://schemas.openxmlformats.org/officeDocument/2006/relationships/oleObject" Target="embeddings/oleObject157.bin"/><Relationship Id="rId661" Type="http://schemas.openxmlformats.org/officeDocument/2006/relationships/image" Target="media/image347.jpeg"/><Relationship Id="rId759" Type="http://schemas.openxmlformats.org/officeDocument/2006/relationships/oleObject" Target="embeddings/oleObject286.bin"/><Relationship Id="rId966" Type="http://schemas.openxmlformats.org/officeDocument/2006/relationships/chart" Target="charts/chart6.xml"/><Relationship Id="rId1291" Type="http://schemas.openxmlformats.org/officeDocument/2006/relationships/image" Target="media/image674.png"/><Relationship Id="rId11" Type="http://schemas.openxmlformats.org/officeDocument/2006/relationships/image" Target="media/image4.jpeg"/><Relationship Id="rId314" Type="http://schemas.openxmlformats.org/officeDocument/2006/relationships/oleObject" Target="embeddings/oleObject88.bin"/><Relationship Id="rId398" Type="http://schemas.openxmlformats.org/officeDocument/2006/relationships/oleObject" Target="embeddings/oleObject131.bin"/><Relationship Id="rId521" Type="http://schemas.openxmlformats.org/officeDocument/2006/relationships/image" Target="media/image275.wmf"/><Relationship Id="rId619" Type="http://schemas.openxmlformats.org/officeDocument/2006/relationships/image" Target="media/image328.wmf"/><Relationship Id="rId1151" Type="http://schemas.openxmlformats.org/officeDocument/2006/relationships/image" Target="media/image592.jpeg"/><Relationship Id="rId1249" Type="http://schemas.openxmlformats.org/officeDocument/2006/relationships/hyperlink" Target="mailto:acordova@correo.xoc.uam.mx" TargetMode="External"/><Relationship Id="rId95" Type="http://schemas.openxmlformats.org/officeDocument/2006/relationships/image" Target="media/image52.jpeg"/><Relationship Id="rId160" Type="http://schemas.openxmlformats.org/officeDocument/2006/relationships/image" Target="media/image98.png"/><Relationship Id="rId826" Type="http://schemas.openxmlformats.org/officeDocument/2006/relationships/oleObject" Target="embeddings/oleObject321.bin"/><Relationship Id="rId1011" Type="http://schemas.openxmlformats.org/officeDocument/2006/relationships/oleObject" Target="embeddings/oleObject393.bin"/><Relationship Id="rId1109" Type="http://schemas.openxmlformats.org/officeDocument/2006/relationships/image" Target="media/image565.wmf"/><Relationship Id="rId258" Type="http://schemas.openxmlformats.org/officeDocument/2006/relationships/image" Target="media/image142.wmf"/><Relationship Id="rId465" Type="http://schemas.openxmlformats.org/officeDocument/2006/relationships/image" Target="media/image246.wmf"/><Relationship Id="rId672" Type="http://schemas.openxmlformats.org/officeDocument/2006/relationships/hyperlink" Target="https://www.sciencedirect.com/science/article/pii/S0141813019369958" TargetMode="External"/><Relationship Id="rId1095" Type="http://schemas.openxmlformats.org/officeDocument/2006/relationships/image" Target="media/image558.png"/><Relationship Id="rId1316" Type="http://schemas.openxmlformats.org/officeDocument/2006/relationships/image" Target="media/image688.jpeg"/><Relationship Id="rId22" Type="http://schemas.openxmlformats.org/officeDocument/2006/relationships/image" Target="media/image13.png"/><Relationship Id="rId118" Type="http://schemas.openxmlformats.org/officeDocument/2006/relationships/image" Target="media/image66.png"/><Relationship Id="rId325" Type="http://schemas.openxmlformats.org/officeDocument/2006/relationships/oleObject" Target="embeddings/oleObject94.bin"/><Relationship Id="rId532" Type="http://schemas.openxmlformats.org/officeDocument/2006/relationships/image" Target="media/image280.wmf"/><Relationship Id="rId977" Type="http://schemas.openxmlformats.org/officeDocument/2006/relationships/image" Target="media/image490.png"/><Relationship Id="rId1162" Type="http://schemas.openxmlformats.org/officeDocument/2006/relationships/image" Target="media/image595.png"/><Relationship Id="rId171" Type="http://schemas.openxmlformats.org/officeDocument/2006/relationships/hyperlink" Target="http://www.interscience.wiley.com" TargetMode="External"/><Relationship Id="rId837" Type="http://schemas.openxmlformats.org/officeDocument/2006/relationships/image" Target="media/image427.wmf"/><Relationship Id="rId1022" Type="http://schemas.openxmlformats.org/officeDocument/2006/relationships/image" Target="media/image519.png"/><Relationship Id="rId269" Type="http://schemas.openxmlformats.org/officeDocument/2006/relationships/oleObject" Target="embeddings/oleObject65.bin"/><Relationship Id="rId476" Type="http://schemas.openxmlformats.org/officeDocument/2006/relationships/oleObject" Target="embeddings/oleObject167.bin"/><Relationship Id="rId683" Type="http://schemas.openxmlformats.org/officeDocument/2006/relationships/oleObject" Target="embeddings/oleObject249.bin"/><Relationship Id="rId890" Type="http://schemas.openxmlformats.org/officeDocument/2006/relationships/oleObject" Target="embeddings/oleObject354.bin"/><Relationship Id="rId904" Type="http://schemas.openxmlformats.org/officeDocument/2006/relationships/oleObject" Target="embeddings/oleObject363.bin"/><Relationship Id="rId1327" Type="http://schemas.openxmlformats.org/officeDocument/2006/relationships/image" Target="media/image699.png"/><Relationship Id="rId33" Type="http://schemas.openxmlformats.org/officeDocument/2006/relationships/image" Target="media/image20.wmf"/><Relationship Id="rId129" Type="http://schemas.openxmlformats.org/officeDocument/2006/relationships/chart" Target="charts/chart1.xml"/><Relationship Id="rId336" Type="http://schemas.openxmlformats.org/officeDocument/2006/relationships/oleObject" Target="embeddings/oleObject100.bin"/><Relationship Id="rId543" Type="http://schemas.openxmlformats.org/officeDocument/2006/relationships/oleObject" Target="embeddings/oleObject202.bin"/><Relationship Id="rId988" Type="http://schemas.openxmlformats.org/officeDocument/2006/relationships/hyperlink" Target="mailto:lnr@azc.uam.mx" TargetMode="External"/><Relationship Id="rId1173" Type="http://schemas.openxmlformats.org/officeDocument/2006/relationships/hyperlink" Target="mailto:tph@azc.uam.mx" TargetMode="External"/><Relationship Id="rId182" Type="http://schemas.openxmlformats.org/officeDocument/2006/relationships/hyperlink" Target="mailto:&#952;nunezarotomamariaestrella@gmail.com" TargetMode="External"/><Relationship Id="rId403" Type="http://schemas.openxmlformats.org/officeDocument/2006/relationships/image" Target="media/image213.wmf"/><Relationship Id="rId750" Type="http://schemas.openxmlformats.org/officeDocument/2006/relationships/image" Target="media/image385.wmf"/><Relationship Id="rId848" Type="http://schemas.openxmlformats.org/officeDocument/2006/relationships/oleObject" Target="embeddings/oleObject332.bin"/><Relationship Id="rId1033" Type="http://schemas.openxmlformats.org/officeDocument/2006/relationships/image" Target="media/image526.wmf"/><Relationship Id="rId487" Type="http://schemas.openxmlformats.org/officeDocument/2006/relationships/image" Target="media/image258.wmf"/><Relationship Id="rId610" Type="http://schemas.openxmlformats.org/officeDocument/2006/relationships/image" Target="media/image323.wmf"/><Relationship Id="rId694" Type="http://schemas.openxmlformats.org/officeDocument/2006/relationships/image" Target="media/image359.wmf"/><Relationship Id="rId708" Type="http://schemas.openxmlformats.org/officeDocument/2006/relationships/oleObject" Target="embeddings/oleObject259.bin"/><Relationship Id="rId915" Type="http://schemas.openxmlformats.org/officeDocument/2006/relationships/oleObject" Target="embeddings/oleObject370.bin"/><Relationship Id="rId1240" Type="http://schemas.openxmlformats.org/officeDocument/2006/relationships/hyperlink" Target="mailto:silraca1983@gmail.com" TargetMode="External"/><Relationship Id="rId1338" Type="http://schemas.openxmlformats.org/officeDocument/2006/relationships/image" Target="media/image707.jpeg"/><Relationship Id="rId347" Type="http://schemas.openxmlformats.org/officeDocument/2006/relationships/oleObject" Target="embeddings/oleObject106.bin"/><Relationship Id="rId999" Type="http://schemas.openxmlformats.org/officeDocument/2006/relationships/image" Target="media/image505.png"/><Relationship Id="rId1100" Type="http://schemas.openxmlformats.org/officeDocument/2006/relationships/image" Target="media/image561.wmf"/><Relationship Id="rId1184" Type="http://schemas.openxmlformats.org/officeDocument/2006/relationships/hyperlink" Target="mailto:dannickfox@gmail.com" TargetMode="External"/><Relationship Id="rId44" Type="http://schemas.openxmlformats.org/officeDocument/2006/relationships/oleObject" Target="embeddings/oleObject6.bin"/><Relationship Id="rId554" Type="http://schemas.openxmlformats.org/officeDocument/2006/relationships/image" Target="media/image290.jpeg"/><Relationship Id="rId761" Type="http://schemas.openxmlformats.org/officeDocument/2006/relationships/oleObject" Target="embeddings/oleObject287.bin"/><Relationship Id="rId859" Type="http://schemas.openxmlformats.org/officeDocument/2006/relationships/image" Target="media/image438.wmf"/><Relationship Id="rId193" Type="http://schemas.openxmlformats.org/officeDocument/2006/relationships/image" Target="media/image116.jpeg"/><Relationship Id="rId207" Type="http://schemas.openxmlformats.org/officeDocument/2006/relationships/hyperlink" Target="https://elpais.com/sociedad/2020-06-05/espana-es-el-pais-con-el-segundo-mayor-exceso-de-muertes-durante-la-crisis-del-coronavirus.html" TargetMode="External"/><Relationship Id="rId414" Type="http://schemas.openxmlformats.org/officeDocument/2006/relationships/oleObject" Target="embeddings/oleObject138.bin"/><Relationship Id="rId498" Type="http://schemas.openxmlformats.org/officeDocument/2006/relationships/oleObject" Target="embeddings/oleObject178.bin"/><Relationship Id="rId621" Type="http://schemas.openxmlformats.org/officeDocument/2006/relationships/image" Target="media/image329.wmf"/><Relationship Id="rId1044" Type="http://schemas.openxmlformats.org/officeDocument/2006/relationships/oleObject" Target="embeddings/oleObject404.bin"/><Relationship Id="rId1251" Type="http://schemas.openxmlformats.org/officeDocument/2006/relationships/hyperlink" Target="mailto:%20acordova@correo.xoc.uam.mx" TargetMode="External"/><Relationship Id="rId1349" Type="http://schemas.openxmlformats.org/officeDocument/2006/relationships/image" Target="media/image715.png"/><Relationship Id="rId260" Type="http://schemas.openxmlformats.org/officeDocument/2006/relationships/image" Target="media/image143.wmf"/><Relationship Id="rId719" Type="http://schemas.openxmlformats.org/officeDocument/2006/relationships/image" Target="media/image371.wmf"/><Relationship Id="rId926" Type="http://schemas.openxmlformats.org/officeDocument/2006/relationships/oleObject" Target="embeddings/oleObject377.bin"/><Relationship Id="rId1111" Type="http://schemas.openxmlformats.org/officeDocument/2006/relationships/image" Target="media/image566.wmf"/><Relationship Id="rId55" Type="http://schemas.openxmlformats.org/officeDocument/2006/relationships/image" Target="media/image31.wmf"/><Relationship Id="rId120" Type="http://schemas.openxmlformats.org/officeDocument/2006/relationships/image" Target="media/image68.png"/><Relationship Id="rId358" Type="http://schemas.openxmlformats.org/officeDocument/2006/relationships/image" Target="media/image190.wmf"/><Relationship Id="rId565" Type="http://schemas.openxmlformats.org/officeDocument/2006/relationships/image" Target="media/image297.png"/><Relationship Id="rId772" Type="http://schemas.openxmlformats.org/officeDocument/2006/relationships/image" Target="media/image396.wmf"/><Relationship Id="rId1195" Type="http://schemas.openxmlformats.org/officeDocument/2006/relationships/oleObject" Target="embeddings/oleObject445.bin"/><Relationship Id="rId1209" Type="http://schemas.openxmlformats.org/officeDocument/2006/relationships/image" Target="media/image628.emf"/><Relationship Id="rId218" Type="http://schemas.openxmlformats.org/officeDocument/2006/relationships/image" Target="media/image122.wmf"/><Relationship Id="rId425" Type="http://schemas.openxmlformats.org/officeDocument/2006/relationships/image" Target="media/image225.wmf"/><Relationship Id="rId632" Type="http://schemas.openxmlformats.org/officeDocument/2006/relationships/image" Target="media/image334.wmf"/><Relationship Id="rId1055" Type="http://schemas.openxmlformats.org/officeDocument/2006/relationships/image" Target="media/image537.wmf"/><Relationship Id="rId1262" Type="http://schemas.openxmlformats.org/officeDocument/2006/relationships/image" Target="media/image659.png"/><Relationship Id="rId271" Type="http://schemas.openxmlformats.org/officeDocument/2006/relationships/oleObject" Target="embeddings/oleObject66.bin"/><Relationship Id="rId937" Type="http://schemas.openxmlformats.org/officeDocument/2006/relationships/oleObject" Target="embeddings/oleObject383.bin"/><Relationship Id="rId1122" Type="http://schemas.openxmlformats.org/officeDocument/2006/relationships/oleObject" Target="embeddings/oleObject442.bin"/><Relationship Id="rId66" Type="http://schemas.openxmlformats.org/officeDocument/2006/relationships/oleObject" Target="embeddings/oleObject17.bin"/><Relationship Id="rId131" Type="http://schemas.openxmlformats.org/officeDocument/2006/relationships/chart" Target="charts/chart2.xml"/><Relationship Id="rId369" Type="http://schemas.openxmlformats.org/officeDocument/2006/relationships/oleObject" Target="embeddings/oleObject117.bin"/><Relationship Id="rId576" Type="http://schemas.openxmlformats.org/officeDocument/2006/relationships/image" Target="media/image306.wmf"/><Relationship Id="rId783" Type="http://schemas.openxmlformats.org/officeDocument/2006/relationships/image" Target="media/image401.wmf"/><Relationship Id="rId990" Type="http://schemas.openxmlformats.org/officeDocument/2006/relationships/image" Target="media/image499.png"/><Relationship Id="rId229" Type="http://schemas.openxmlformats.org/officeDocument/2006/relationships/oleObject" Target="embeddings/oleObject45.bin"/><Relationship Id="rId436" Type="http://schemas.openxmlformats.org/officeDocument/2006/relationships/oleObject" Target="embeddings/oleObject149.bin"/><Relationship Id="rId643" Type="http://schemas.openxmlformats.org/officeDocument/2006/relationships/oleObject" Target="embeddings/oleObject242.bin"/><Relationship Id="rId1066" Type="http://schemas.openxmlformats.org/officeDocument/2006/relationships/oleObject" Target="embeddings/oleObject415.bin"/><Relationship Id="rId1273" Type="http://schemas.openxmlformats.org/officeDocument/2006/relationships/hyperlink" Target="mailto:agj@xanum.uam.mx" TargetMode="External"/><Relationship Id="rId850" Type="http://schemas.openxmlformats.org/officeDocument/2006/relationships/oleObject" Target="embeddings/oleObject333.bin"/><Relationship Id="rId948" Type="http://schemas.openxmlformats.org/officeDocument/2006/relationships/hyperlink" Target="mailto:AChavezM@iingen.unam.mx" TargetMode="External"/><Relationship Id="rId1133" Type="http://schemas.openxmlformats.org/officeDocument/2006/relationships/image" Target="media/image577.png"/><Relationship Id="rId77" Type="http://schemas.openxmlformats.org/officeDocument/2006/relationships/image" Target="media/image42.wmf"/><Relationship Id="rId282" Type="http://schemas.openxmlformats.org/officeDocument/2006/relationships/image" Target="media/image154.wmf"/><Relationship Id="rId503" Type="http://schemas.openxmlformats.org/officeDocument/2006/relationships/image" Target="media/image267.wmf"/><Relationship Id="rId587" Type="http://schemas.openxmlformats.org/officeDocument/2006/relationships/oleObject" Target="embeddings/oleObject213.bin"/><Relationship Id="rId710" Type="http://schemas.openxmlformats.org/officeDocument/2006/relationships/oleObject" Target="embeddings/oleObject260.bin"/><Relationship Id="rId808" Type="http://schemas.openxmlformats.org/officeDocument/2006/relationships/oleObject" Target="embeddings/oleObject311.bin"/><Relationship Id="rId1340" Type="http://schemas.openxmlformats.org/officeDocument/2006/relationships/image" Target="media/image709.png"/><Relationship Id="rId8" Type="http://schemas.openxmlformats.org/officeDocument/2006/relationships/image" Target="media/image1.jpeg"/><Relationship Id="rId142" Type="http://schemas.openxmlformats.org/officeDocument/2006/relationships/image" Target="media/image87.png"/><Relationship Id="rId447" Type="http://schemas.openxmlformats.org/officeDocument/2006/relationships/image" Target="media/image236.png"/><Relationship Id="rId794" Type="http://schemas.openxmlformats.org/officeDocument/2006/relationships/oleObject" Target="embeddings/oleObject304.bin"/><Relationship Id="rId1077" Type="http://schemas.openxmlformats.org/officeDocument/2006/relationships/oleObject" Target="embeddings/oleObject420.bin"/><Relationship Id="rId1200" Type="http://schemas.openxmlformats.org/officeDocument/2006/relationships/image" Target="media/image620.png"/><Relationship Id="rId654" Type="http://schemas.openxmlformats.org/officeDocument/2006/relationships/oleObject" Target="embeddings/oleObject247.bin"/><Relationship Id="rId861" Type="http://schemas.openxmlformats.org/officeDocument/2006/relationships/image" Target="media/image439.wmf"/><Relationship Id="rId959" Type="http://schemas.openxmlformats.org/officeDocument/2006/relationships/image" Target="media/image485.emf"/><Relationship Id="rId1284" Type="http://schemas.openxmlformats.org/officeDocument/2006/relationships/hyperlink" Target="mailto:maor@azc.uam.mx" TargetMode="External"/><Relationship Id="rId293" Type="http://schemas.openxmlformats.org/officeDocument/2006/relationships/oleObject" Target="embeddings/oleObject77.bin"/><Relationship Id="rId307" Type="http://schemas.openxmlformats.org/officeDocument/2006/relationships/oleObject" Target="embeddings/oleObject84.bin"/><Relationship Id="rId514" Type="http://schemas.openxmlformats.org/officeDocument/2006/relationships/oleObject" Target="embeddings/oleObject186.bin"/><Relationship Id="rId721" Type="http://schemas.openxmlformats.org/officeDocument/2006/relationships/oleObject" Target="embeddings/oleObject266.bin"/><Relationship Id="rId1144" Type="http://schemas.openxmlformats.org/officeDocument/2006/relationships/image" Target="media/image585.jpeg"/><Relationship Id="rId1351" Type="http://schemas.openxmlformats.org/officeDocument/2006/relationships/hyperlink" Target="https://www.gob.mx/cms/uploads/attachment/file/346978/Manejo_de_residuos_Detallado.pdf" TargetMode="External"/><Relationship Id="rId88" Type="http://schemas.openxmlformats.org/officeDocument/2006/relationships/oleObject" Target="embeddings/oleObject28.bin"/><Relationship Id="rId153" Type="http://schemas.openxmlformats.org/officeDocument/2006/relationships/image" Target="media/image91.png"/><Relationship Id="rId360" Type="http://schemas.openxmlformats.org/officeDocument/2006/relationships/image" Target="media/image191.wmf"/><Relationship Id="rId598" Type="http://schemas.openxmlformats.org/officeDocument/2006/relationships/image" Target="media/image317.wmf"/><Relationship Id="rId819" Type="http://schemas.openxmlformats.org/officeDocument/2006/relationships/image" Target="media/image418.wmf"/><Relationship Id="rId1004" Type="http://schemas.openxmlformats.org/officeDocument/2006/relationships/image" Target="media/image509.png"/><Relationship Id="rId1211" Type="http://schemas.openxmlformats.org/officeDocument/2006/relationships/image" Target="media/image630.png"/><Relationship Id="rId220" Type="http://schemas.openxmlformats.org/officeDocument/2006/relationships/image" Target="media/image123.wmf"/><Relationship Id="rId458" Type="http://schemas.openxmlformats.org/officeDocument/2006/relationships/oleObject" Target="embeddings/oleObject159.bin"/><Relationship Id="rId665" Type="http://schemas.openxmlformats.org/officeDocument/2006/relationships/hyperlink" Target="https://www.sciencedirect.com/science/article/pii/S0141813019369958" TargetMode="External"/><Relationship Id="rId872" Type="http://schemas.openxmlformats.org/officeDocument/2006/relationships/oleObject" Target="embeddings/oleObject344.bin"/><Relationship Id="rId1088" Type="http://schemas.openxmlformats.org/officeDocument/2006/relationships/image" Target="media/image554.wmf"/><Relationship Id="rId1295" Type="http://schemas.openxmlformats.org/officeDocument/2006/relationships/image" Target="media/image678.jpeg"/><Relationship Id="rId1309" Type="http://schemas.openxmlformats.org/officeDocument/2006/relationships/image" Target="media/image682.png"/><Relationship Id="rId15" Type="http://schemas.openxmlformats.org/officeDocument/2006/relationships/image" Target="media/image6.png"/><Relationship Id="rId318" Type="http://schemas.openxmlformats.org/officeDocument/2006/relationships/oleObject" Target="embeddings/oleObject90.bin"/><Relationship Id="rId525" Type="http://schemas.openxmlformats.org/officeDocument/2006/relationships/image" Target="media/image277.wmf"/><Relationship Id="rId732" Type="http://schemas.openxmlformats.org/officeDocument/2006/relationships/oleObject" Target="embeddings/oleObject272.bin"/><Relationship Id="rId1155" Type="http://schemas.openxmlformats.org/officeDocument/2006/relationships/hyperlink" Target="mailto:rlc@azc.uam.mx" TargetMode="External"/><Relationship Id="rId1362" Type="http://schemas.openxmlformats.org/officeDocument/2006/relationships/hyperlink" Target="mailto:logonzalezsa@unal.edu.co" TargetMode="External"/><Relationship Id="rId99" Type="http://schemas.openxmlformats.org/officeDocument/2006/relationships/hyperlink" Target="mailto:rafael.prieto@icat.unam.mx" TargetMode="External"/><Relationship Id="rId164" Type="http://schemas.openxmlformats.org/officeDocument/2006/relationships/image" Target="media/image102.jpeg"/><Relationship Id="rId371" Type="http://schemas.openxmlformats.org/officeDocument/2006/relationships/oleObject" Target="embeddings/oleObject118.bin"/><Relationship Id="rId1015" Type="http://schemas.openxmlformats.org/officeDocument/2006/relationships/image" Target="media/image517.png"/><Relationship Id="rId1222" Type="http://schemas.openxmlformats.org/officeDocument/2006/relationships/image" Target="media/image635.jpeg"/><Relationship Id="rId469" Type="http://schemas.openxmlformats.org/officeDocument/2006/relationships/image" Target="media/image248.wmf"/><Relationship Id="rId676" Type="http://schemas.openxmlformats.org/officeDocument/2006/relationships/hyperlink" Target="https://pubs.rsc.org/tr/results?searchtext=Author%3AMingyuan%20Wu" TargetMode="External"/><Relationship Id="rId883" Type="http://schemas.openxmlformats.org/officeDocument/2006/relationships/oleObject" Target="embeddings/oleObject350.bin"/><Relationship Id="rId1099" Type="http://schemas.openxmlformats.org/officeDocument/2006/relationships/oleObject" Target="embeddings/oleObject430.bin"/><Relationship Id="rId26" Type="http://schemas.openxmlformats.org/officeDocument/2006/relationships/hyperlink" Target="mailto:jcmora@geofisica.unam.mx" TargetMode="External"/><Relationship Id="rId231" Type="http://schemas.openxmlformats.org/officeDocument/2006/relationships/oleObject" Target="embeddings/oleObject46.bin"/><Relationship Id="rId329" Type="http://schemas.openxmlformats.org/officeDocument/2006/relationships/image" Target="media/image176.wmf"/><Relationship Id="rId536" Type="http://schemas.openxmlformats.org/officeDocument/2006/relationships/image" Target="media/image282.wmf"/><Relationship Id="rId1166" Type="http://schemas.openxmlformats.org/officeDocument/2006/relationships/image" Target="media/image599.png"/><Relationship Id="rId175" Type="http://schemas.openxmlformats.org/officeDocument/2006/relationships/image" Target="media/image105.png"/><Relationship Id="rId743" Type="http://schemas.openxmlformats.org/officeDocument/2006/relationships/oleObject" Target="embeddings/oleObject278.bin"/><Relationship Id="rId950" Type="http://schemas.openxmlformats.org/officeDocument/2006/relationships/image" Target="media/image476.png"/><Relationship Id="rId1026" Type="http://schemas.openxmlformats.org/officeDocument/2006/relationships/oleObject" Target="embeddings/oleObject395.bin"/><Relationship Id="rId382" Type="http://schemas.openxmlformats.org/officeDocument/2006/relationships/oleObject" Target="embeddings/oleObject123.bin"/><Relationship Id="rId603" Type="http://schemas.openxmlformats.org/officeDocument/2006/relationships/oleObject" Target="embeddings/oleObject221.bin"/><Relationship Id="rId687" Type="http://schemas.openxmlformats.org/officeDocument/2006/relationships/image" Target="media/image354.jpeg"/><Relationship Id="rId810" Type="http://schemas.openxmlformats.org/officeDocument/2006/relationships/oleObject" Target="embeddings/oleObject312.bin"/><Relationship Id="rId908" Type="http://schemas.openxmlformats.org/officeDocument/2006/relationships/image" Target="media/image459.wmf"/><Relationship Id="rId1233" Type="http://schemas.openxmlformats.org/officeDocument/2006/relationships/hyperlink" Target="mailto:fjsr@azc.uam.mx" TargetMode="External"/><Relationship Id="rId242" Type="http://schemas.openxmlformats.org/officeDocument/2006/relationships/image" Target="media/image134.wmf"/><Relationship Id="rId894" Type="http://schemas.openxmlformats.org/officeDocument/2006/relationships/oleObject" Target="embeddings/oleObject357.bin"/><Relationship Id="rId1177" Type="http://schemas.openxmlformats.org/officeDocument/2006/relationships/image" Target="media/image603.png"/><Relationship Id="rId1300" Type="http://schemas.openxmlformats.org/officeDocument/2006/relationships/hyperlink" Target="http://es.april.international.com" TargetMode="External"/><Relationship Id="rId37" Type="http://schemas.openxmlformats.org/officeDocument/2006/relationships/image" Target="media/image22.wmf"/><Relationship Id="rId102" Type="http://schemas.openxmlformats.org/officeDocument/2006/relationships/image" Target="media/image54.png"/><Relationship Id="rId547" Type="http://schemas.openxmlformats.org/officeDocument/2006/relationships/oleObject" Target="embeddings/oleObject204.bin"/><Relationship Id="rId754" Type="http://schemas.openxmlformats.org/officeDocument/2006/relationships/image" Target="media/image387.wmf"/><Relationship Id="rId961" Type="http://schemas.openxmlformats.org/officeDocument/2006/relationships/hyperlink" Target="mailto:jonathan_castro@live.com.mx"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FSUII\Files\Investigacion%20y%20Desarrollo\Investigador%20de%20Procesos\Proyectos\16.%20P084%20Cold%20box%202\PETRAMIN.xlsm"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Users\jsustaita\AppData\Local\Microsoft\Windows\INetCache\Content.Outlook\XDW10DIT\PETRAMIN.xlsm"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Users\jsustaita\AppData\Local\Microsoft\Windows\INetCache\Content.Outlook\XDW10DIT\PETRAMIN.xlsm"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Libro1"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Libro1"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E:\Hojas%20de%20excel\Graficas%20art%20poder%20blando.xlsx" TargetMode="External"/><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1" i="0" u="none" strike="noStrike" kern="1200" spc="0" baseline="0">
                <a:solidFill>
                  <a:schemeClr val="tx1"/>
                </a:solidFill>
                <a:latin typeface="+mn-lt"/>
                <a:ea typeface="+mn-ea"/>
                <a:cs typeface="+mn-cs"/>
              </a:defRPr>
            </a:pPr>
            <a:r>
              <a:rPr lang="en-US"/>
              <a:t>Cantidad mínima requerida de</a:t>
            </a:r>
            <a:r>
              <a:rPr lang="en-US" baseline="0"/>
              <a:t> la formulación para </a:t>
            </a:r>
            <a:r>
              <a:rPr lang="en-US"/>
              <a:t>formar una probeta</a:t>
            </a:r>
          </a:p>
        </c:rich>
      </c:tx>
      <c:overlay val="0"/>
      <c:spPr>
        <a:noFill/>
        <a:ln>
          <a:noFill/>
        </a:ln>
        <a:effectLst/>
      </c:spPr>
    </c:title>
    <c:autoTitleDeleted val="0"/>
    <c:plotArea>
      <c:layout/>
      <c:barChart>
        <c:barDir val="col"/>
        <c:grouping val="clustered"/>
        <c:varyColors val="0"/>
        <c:ser>
          <c:idx val="2"/>
          <c:order val="0"/>
          <c:tx>
            <c:v>PrA (1.3%)</c:v>
          </c:tx>
          <c:spPr>
            <a:solidFill>
              <a:schemeClr val="accent1">
                <a:lumMod val="60000"/>
                <a:lumOff val="40000"/>
              </a:schemeClr>
            </a:solidFill>
            <a:ln>
              <a:solidFill>
                <a:schemeClr val="accent1">
                  <a:lumMod val="60000"/>
                  <a:lumOff val="40000"/>
                </a:schemeClr>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'Última Visita (Análisis)'!$AC$5:$AC$8</c:f>
              <c:strCache>
                <c:ptCount val="4"/>
                <c:pt idx="0">
                  <c:v>petramin 2</c:v>
                </c:pt>
                <c:pt idx="1">
                  <c:v>petramin 1</c:v>
                </c:pt>
                <c:pt idx="2">
                  <c:v>petramin 4</c:v>
                </c:pt>
                <c:pt idx="3">
                  <c:v>petramin 3</c:v>
                </c:pt>
              </c:strCache>
            </c:strRef>
          </c:cat>
          <c:val>
            <c:numRef>
              <c:f>'Última Visita (Análisis)'!$AD$5:$AD$8</c:f>
              <c:numCache>
                <c:formatCode>General</c:formatCode>
                <c:ptCount val="4"/>
                <c:pt idx="0">
                  <c:v>70</c:v>
                </c:pt>
                <c:pt idx="1">
                  <c:v>80</c:v>
                </c:pt>
                <c:pt idx="2">
                  <c:v>60</c:v>
                </c:pt>
                <c:pt idx="3">
                  <c:v>60</c:v>
                </c:pt>
              </c:numCache>
            </c:numRef>
          </c:val>
          <c:extLst>
            <c:ext xmlns:c16="http://schemas.microsoft.com/office/drawing/2014/chart" uri="{C3380CC4-5D6E-409C-BE32-E72D297353CC}">
              <c16:uniqueId val="{00000000-23E7-4E2C-8E2C-8B7A9D18FC1B}"/>
            </c:ext>
          </c:extLst>
        </c:ser>
        <c:ser>
          <c:idx val="0"/>
          <c:order val="1"/>
          <c:tx>
            <c:v>PrA (1.5%)</c:v>
          </c:tx>
          <c:spPr>
            <a:solidFill>
              <a:schemeClr val="accent5"/>
            </a:solidFill>
            <a:ln>
              <a:solidFill>
                <a:schemeClr val="accent5"/>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'Última Visita (Análisis)'!$AC$5:$AC$8</c:f>
              <c:strCache>
                <c:ptCount val="4"/>
                <c:pt idx="0">
                  <c:v>petramin 2</c:v>
                </c:pt>
                <c:pt idx="1">
                  <c:v>petramin 1</c:v>
                </c:pt>
                <c:pt idx="2">
                  <c:v>petramin 4</c:v>
                </c:pt>
                <c:pt idx="3">
                  <c:v>petramin 3</c:v>
                </c:pt>
              </c:strCache>
            </c:strRef>
          </c:cat>
          <c:val>
            <c:numRef>
              <c:f>'Última Visita (Análisis)'!$AE$5:$AE$8</c:f>
              <c:numCache>
                <c:formatCode>General</c:formatCode>
                <c:ptCount val="4"/>
                <c:pt idx="0">
                  <c:v>80</c:v>
                </c:pt>
                <c:pt idx="1">
                  <c:v>85</c:v>
                </c:pt>
                <c:pt idx="2">
                  <c:v>65</c:v>
                </c:pt>
                <c:pt idx="3">
                  <c:v>65</c:v>
                </c:pt>
              </c:numCache>
            </c:numRef>
          </c:val>
          <c:extLst>
            <c:ext xmlns:c16="http://schemas.microsoft.com/office/drawing/2014/chart" uri="{C3380CC4-5D6E-409C-BE32-E72D297353CC}">
              <c16:uniqueId val="{00000001-23E7-4E2C-8E2C-8B7A9D18FC1B}"/>
            </c:ext>
          </c:extLst>
        </c:ser>
        <c:ser>
          <c:idx val="3"/>
          <c:order val="2"/>
          <c:tx>
            <c:v>PrB (1.3%)</c:v>
          </c:tx>
          <c:spPr>
            <a:solidFill>
              <a:schemeClr val="accent6">
                <a:lumMod val="60000"/>
                <a:lumOff val="40000"/>
              </a:schemeClr>
            </a:solidFill>
            <a:ln>
              <a:solidFill>
                <a:schemeClr val="accent6">
                  <a:lumMod val="60000"/>
                  <a:lumOff val="40000"/>
                </a:schemeClr>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'Última Visita (Análisis)'!$AC$5:$AC$8</c:f>
              <c:strCache>
                <c:ptCount val="4"/>
                <c:pt idx="0">
                  <c:v>petramin 2</c:v>
                </c:pt>
                <c:pt idx="1">
                  <c:v>petramin 1</c:v>
                </c:pt>
                <c:pt idx="2">
                  <c:v>petramin 4</c:v>
                </c:pt>
                <c:pt idx="3">
                  <c:v>petramin 3</c:v>
                </c:pt>
              </c:strCache>
            </c:strRef>
          </c:cat>
          <c:val>
            <c:numRef>
              <c:f>'Última Visita (Análisis)'!$AF$5:$AF$8</c:f>
              <c:numCache>
                <c:formatCode>General</c:formatCode>
                <c:ptCount val="4"/>
                <c:pt idx="0">
                  <c:v>50</c:v>
                </c:pt>
                <c:pt idx="1">
                  <c:v>70</c:v>
                </c:pt>
                <c:pt idx="2">
                  <c:v>40</c:v>
                </c:pt>
                <c:pt idx="3">
                  <c:v>35</c:v>
                </c:pt>
              </c:numCache>
            </c:numRef>
          </c:val>
          <c:extLst>
            <c:ext xmlns:c16="http://schemas.microsoft.com/office/drawing/2014/chart" uri="{C3380CC4-5D6E-409C-BE32-E72D297353CC}">
              <c16:uniqueId val="{00000002-23E7-4E2C-8E2C-8B7A9D18FC1B}"/>
            </c:ext>
          </c:extLst>
        </c:ser>
        <c:ser>
          <c:idx val="1"/>
          <c:order val="3"/>
          <c:tx>
            <c:v>PrB (1.5%)</c:v>
          </c:tx>
          <c:spPr>
            <a:solidFill>
              <a:schemeClr val="accent6"/>
            </a:solidFill>
            <a:ln>
              <a:solidFill>
                <a:schemeClr val="accent6"/>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'Última Visita (Análisis)'!$AC$5:$AC$8</c:f>
              <c:strCache>
                <c:ptCount val="4"/>
                <c:pt idx="0">
                  <c:v>petramin 2</c:v>
                </c:pt>
                <c:pt idx="1">
                  <c:v>petramin 1</c:v>
                </c:pt>
                <c:pt idx="2">
                  <c:v>petramin 4</c:v>
                </c:pt>
                <c:pt idx="3">
                  <c:v>petramin 3</c:v>
                </c:pt>
              </c:strCache>
            </c:strRef>
          </c:cat>
          <c:val>
            <c:numRef>
              <c:f>'Última Visita (Análisis)'!$AG$5:$AG$8</c:f>
              <c:numCache>
                <c:formatCode>General</c:formatCode>
                <c:ptCount val="4"/>
                <c:pt idx="0">
                  <c:v>60</c:v>
                </c:pt>
                <c:pt idx="1">
                  <c:v>70</c:v>
                </c:pt>
                <c:pt idx="2">
                  <c:v>45</c:v>
                </c:pt>
                <c:pt idx="3">
                  <c:v>45</c:v>
                </c:pt>
              </c:numCache>
            </c:numRef>
          </c:val>
          <c:extLst>
            <c:ext xmlns:c16="http://schemas.microsoft.com/office/drawing/2014/chart" uri="{C3380CC4-5D6E-409C-BE32-E72D297353CC}">
              <c16:uniqueId val="{00000003-23E7-4E2C-8E2C-8B7A9D18FC1B}"/>
            </c:ext>
          </c:extLst>
        </c:ser>
        <c:dLbls>
          <c:showLegendKey val="0"/>
          <c:showVal val="0"/>
          <c:showCatName val="0"/>
          <c:showSerName val="0"/>
          <c:showPercent val="0"/>
          <c:showBubbleSize val="0"/>
        </c:dLbls>
        <c:gapWidth val="150"/>
        <c:axId val="103063936"/>
        <c:axId val="103065472"/>
      </c:barChart>
      <c:catAx>
        <c:axId val="1030639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103065472"/>
        <c:crosses val="autoZero"/>
        <c:auto val="1"/>
        <c:lblAlgn val="ctr"/>
        <c:lblOffset val="100"/>
        <c:noMultiLvlLbl val="0"/>
      </c:catAx>
      <c:valAx>
        <c:axId val="103065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a:t>Volumen Amina (</a:t>
                </a:r>
                <a:r>
                  <a:rPr lang="el-GR" sz="1100" b="1" i="0" u="none" strike="noStrike" baseline="0">
                    <a:effectLst/>
                  </a:rPr>
                  <a:t>μ</a:t>
                </a:r>
                <a:r>
                  <a:rPr lang="en-US"/>
                  <a:t>L)</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crossAx val="103063936"/>
        <c:crosses val="autoZero"/>
        <c:crossBetween val="between"/>
      </c:valAx>
    </c:plotArea>
    <c:legend>
      <c:legendPos val="r"/>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legend>
    <c:plotVisOnly val="1"/>
    <c:dispBlanksAs val="gap"/>
    <c:showDLblsOverMax val="0"/>
    <c:extLst/>
  </c:chart>
  <c:spPr>
    <a:ln>
      <a:solidFill>
        <a:schemeClr val="bg2">
          <a:lumMod val="90000"/>
        </a:schemeClr>
      </a:solidFill>
    </a:ln>
  </c:spPr>
  <c:txPr>
    <a:bodyPr/>
    <a:lstStyle/>
    <a:p>
      <a:pPr>
        <a:defRPr sz="1100" b="1">
          <a:solidFill>
            <a:schemeClr val="tx1"/>
          </a:solidFill>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sz="1400" b="1"/>
              <a:t>Resistencias</a:t>
            </a:r>
            <a:r>
              <a:rPr lang="en-US" sz="1400" b="1" baseline="0"/>
              <a:t> en función del proveedor  a </a:t>
            </a:r>
            <a:r>
              <a:rPr lang="en-US" sz="1400" b="1"/>
              <a:t>1.3%</a:t>
            </a:r>
          </a:p>
        </c:rich>
      </c:tx>
      <c:overlay val="0"/>
      <c:spPr>
        <a:noFill/>
        <a:ln>
          <a:noFill/>
        </a:ln>
        <a:effectLst/>
      </c:spPr>
    </c:title>
    <c:autoTitleDeleted val="0"/>
    <c:plotArea>
      <c:layout/>
      <c:scatterChart>
        <c:scatterStyle val="smoothMarker"/>
        <c:varyColors val="0"/>
        <c:ser>
          <c:idx val="4"/>
          <c:order val="0"/>
          <c:tx>
            <c:v>petramin 2 (PrA)</c:v>
          </c:tx>
          <c:spPr>
            <a:ln>
              <a:solidFill>
                <a:schemeClr val="accent2">
                  <a:lumMod val="75000"/>
                </a:schemeClr>
              </a:solidFill>
            </a:ln>
          </c:spPr>
          <c:marker>
            <c:symbol val="triangle"/>
            <c:size val="5"/>
            <c:spPr>
              <a:solidFill>
                <a:schemeClr val="accent2">
                  <a:lumMod val="75000"/>
                </a:schemeClr>
              </a:solidFill>
              <a:ln>
                <a:solidFill>
                  <a:schemeClr val="accent2">
                    <a:lumMod val="75000"/>
                  </a:schemeClr>
                </a:solidFill>
              </a:ln>
            </c:spPr>
          </c:marker>
          <c:xVal>
            <c:numRef>
              <c:f>'[PETRAMIN.xlsm]Última Visita (Análisis)'!$G$107:$K$107</c:f>
              <c:numCache>
                <c:formatCode>General</c:formatCode>
                <c:ptCount val="5"/>
                <c:pt idx="0">
                  <c:v>1</c:v>
                </c:pt>
                <c:pt idx="1">
                  <c:v>15</c:v>
                </c:pt>
                <c:pt idx="2">
                  <c:v>30</c:v>
                </c:pt>
                <c:pt idx="3">
                  <c:v>45</c:v>
                </c:pt>
                <c:pt idx="4">
                  <c:v>60</c:v>
                </c:pt>
              </c:numCache>
            </c:numRef>
          </c:xVal>
          <c:yVal>
            <c:numRef>
              <c:f>'[PETRAMIN.xlsm]Última Visita (Análisis)'!$G$105:$K$105</c:f>
              <c:numCache>
                <c:formatCode>General</c:formatCode>
                <c:ptCount val="5"/>
                <c:pt idx="0">
                  <c:v>150</c:v>
                </c:pt>
                <c:pt idx="1">
                  <c:v>258.8</c:v>
                </c:pt>
                <c:pt idx="2">
                  <c:v>268.60000000000002</c:v>
                </c:pt>
                <c:pt idx="3">
                  <c:v>290.8</c:v>
                </c:pt>
                <c:pt idx="4">
                  <c:v>286.2</c:v>
                </c:pt>
              </c:numCache>
            </c:numRef>
          </c:yVal>
          <c:smooth val="1"/>
          <c:extLst>
            <c:ext xmlns:c16="http://schemas.microsoft.com/office/drawing/2014/chart" uri="{C3380CC4-5D6E-409C-BE32-E72D297353CC}">
              <c16:uniqueId val="{00000000-E5DB-4EAE-9AD3-33CB36289281}"/>
            </c:ext>
          </c:extLst>
        </c:ser>
        <c:ser>
          <c:idx val="5"/>
          <c:order val="1"/>
          <c:tx>
            <c:v>petramin 1 (PrA)</c:v>
          </c:tx>
          <c:spPr>
            <a:ln>
              <a:solidFill>
                <a:schemeClr val="accent2">
                  <a:lumMod val="50000"/>
                </a:schemeClr>
              </a:solidFill>
            </a:ln>
          </c:spPr>
          <c:marker>
            <c:spPr>
              <a:solidFill>
                <a:schemeClr val="accent2">
                  <a:lumMod val="50000"/>
                </a:schemeClr>
              </a:solidFill>
              <a:ln>
                <a:solidFill>
                  <a:schemeClr val="accent2">
                    <a:lumMod val="50000"/>
                  </a:schemeClr>
                </a:solidFill>
              </a:ln>
            </c:spPr>
          </c:marker>
          <c:xVal>
            <c:numRef>
              <c:f>'[PETRAMIN.xlsm]Última Visita (Análisis)'!$L$107:$P$107</c:f>
              <c:numCache>
                <c:formatCode>General</c:formatCode>
                <c:ptCount val="5"/>
                <c:pt idx="0">
                  <c:v>1</c:v>
                </c:pt>
                <c:pt idx="1">
                  <c:v>15</c:v>
                </c:pt>
                <c:pt idx="2">
                  <c:v>30</c:v>
                </c:pt>
                <c:pt idx="3">
                  <c:v>45</c:v>
                </c:pt>
                <c:pt idx="4">
                  <c:v>60</c:v>
                </c:pt>
              </c:numCache>
            </c:numRef>
          </c:xVal>
          <c:yVal>
            <c:numRef>
              <c:f>'[PETRAMIN.xlsm]Última Visita (Análisis)'!$L$105:$P$105</c:f>
              <c:numCache>
                <c:formatCode>General</c:formatCode>
                <c:ptCount val="5"/>
                <c:pt idx="0">
                  <c:v>180.7</c:v>
                </c:pt>
                <c:pt idx="1">
                  <c:v>309.2</c:v>
                </c:pt>
                <c:pt idx="2">
                  <c:v>294</c:v>
                </c:pt>
                <c:pt idx="3">
                  <c:v>332.8</c:v>
                </c:pt>
                <c:pt idx="4">
                  <c:v>330.4</c:v>
                </c:pt>
              </c:numCache>
            </c:numRef>
          </c:yVal>
          <c:smooth val="1"/>
          <c:extLst>
            <c:ext xmlns:c16="http://schemas.microsoft.com/office/drawing/2014/chart" uri="{C3380CC4-5D6E-409C-BE32-E72D297353CC}">
              <c16:uniqueId val="{00000001-E5DB-4EAE-9AD3-33CB36289281}"/>
            </c:ext>
          </c:extLst>
        </c:ser>
        <c:ser>
          <c:idx val="6"/>
          <c:order val="2"/>
          <c:tx>
            <c:v>petramin 4 (PrA)</c:v>
          </c:tx>
          <c:spPr>
            <a:ln>
              <a:solidFill>
                <a:schemeClr val="accent2">
                  <a:lumMod val="60000"/>
                  <a:lumOff val="40000"/>
                </a:schemeClr>
              </a:solidFill>
            </a:ln>
          </c:spPr>
          <c:marker>
            <c:spPr>
              <a:solidFill>
                <a:schemeClr val="accent2">
                  <a:lumMod val="60000"/>
                  <a:lumOff val="40000"/>
                </a:schemeClr>
              </a:solidFill>
              <a:ln>
                <a:solidFill>
                  <a:schemeClr val="accent2">
                    <a:lumMod val="60000"/>
                    <a:lumOff val="40000"/>
                  </a:schemeClr>
                </a:solidFill>
              </a:ln>
            </c:spPr>
          </c:marker>
          <c:xVal>
            <c:numRef>
              <c:f>'[PETRAMIN.xlsm]Última Visita (Análisis)'!$Q$107:$U$107</c:f>
              <c:numCache>
                <c:formatCode>General</c:formatCode>
                <c:ptCount val="5"/>
                <c:pt idx="0">
                  <c:v>1</c:v>
                </c:pt>
                <c:pt idx="1">
                  <c:v>15</c:v>
                </c:pt>
                <c:pt idx="2">
                  <c:v>30</c:v>
                </c:pt>
                <c:pt idx="3">
                  <c:v>45</c:v>
                </c:pt>
                <c:pt idx="4">
                  <c:v>60</c:v>
                </c:pt>
              </c:numCache>
            </c:numRef>
          </c:xVal>
          <c:yVal>
            <c:numRef>
              <c:f>'[PETRAMIN.xlsm]Última Visita (Análisis)'!$Q$105:$U$105</c:f>
              <c:numCache>
                <c:formatCode>General</c:formatCode>
                <c:ptCount val="5"/>
                <c:pt idx="0">
                  <c:v>185.2</c:v>
                </c:pt>
                <c:pt idx="1">
                  <c:v>247</c:v>
                </c:pt>
                <c:pt idx="2">
                  <c:v>259.60000000000002</c:v>
                </c:pt>
                <c:pt idx="3">
                  <c:v>257.60000000000002</c:v>
                </c:pt>
                <c:pt idx="4">
                  <c:v>259.60000000000002</c:v>
                </c:pt>
              </c:numCache>
            </c:numRef>
          </c:yVal>
          <c:smooth val="1"/>
          <c:extLst>
            <c:ext xmlns:c16="http://schemas.microsoft.com/office/drawing/2014/chart" uri="{C3380CC4-5D6E-409C-BE32-E72D297353CC}">
              <c16:uniqueId val="{00000002-E5DB-4EAE-9AD3-33CB36289281}"/>
            </c:ext>
          </c:extLst>
        </c:ser>
        <c:ser>
          <c:idx val="7"/>
          <c:order val="3"/>
          <c:tx>
            <c:v>petramin 3 (PrA)</c:v>
          </c:tx>
          <c:spPr>
            <a:ln>
              <a:solidFill>
                <a:srgbClr val="FFC000"/>
              </a:solidFill>
            </a:ln>
          </c:spPr>
          <c:marker>
            <c:spPr>
              <a:solidFill>
                <a:srgbClr val="FFC000"/>
              </a:solidFill>
              <a:ln>
                <a:solidFill>
                  <a:srgbClr val="FFC000"/>
                </a:solidFill>
              </a:ln>
            </c:spPr>
          </c:marker>
          <c:xVal>
            <c:numRef>
              <c:f>'[PETRAMIN.xlsm]Última Visita (Análisis)'!$V$107:$Z$107</c:f>
              <c:numCache>
                <c:formatCode>General</c:formatCode>
                <c:ptCount val="5"/>
                <c:pt idx="0">
                  <c:v>1</c:v>
                </c:pt>
                <c:pt idx="1">
                  <c:v>15</c:v>
                </c:pt>
                <c:pt idx="2">
                  <c:v>30</c:v>
                </c:pt>
                <c:pt idx="3">
                  <c:v>45</c:v>
                </c:pt>
                <c:pt idx="4">
                  <c:v>60</c:v>
                </c:pt>
              </c:numCache>
            </c:numRef>
          </c:xVal>
          <c:yVal>
            <c:numRef>
              <c:f>'[PETRAMIN.xlsm]Última Visita (Análisis)'!$V$105:$Z$105</c:f>
              <c:numCache>
                <c:formatCode>General</c:formatCode>
                <c:ptCount val="5"/>
                <c:pt idx="0">
                  <c:v>153.6</c:v>
                </c:pt>
                <c:pt idx="1">
                  <c:v>240.2</c:v>
                </c:pt>
                <c:pt idx="2">
                  <c:v>274</c:v>
                </c:pt>
                <c:pt idx="3">
                  <c:v>295.8</c:v>
                </c:pt>
              </c:numCache>
            </c:numRef>
          </c:yVal>
          <c:smooth val="1"/>
          <c:extLst>
            <c:ext xmlns:c16="http://schemas.microsoft.com/office/drawing/2014/chart" uri="{C3380CC4-5D6E-409C-BE32-E72D297353CC}">
              <c16:uniqueId val="{00000003-E5DB-4EAE-9AD3-33CB36289281}"/>
            </c:ext>
          </c:extLst>
        </c:ser>
        <c:ser>
          <c:idx val="0"/>
          <c:order val="4"/>
          <c:tx>
            <c:v>petramin 2 (PrB)</c:v>
          </c:tx>
          <c:spPr>
            <a:ln w="19050" cap="rnd">
              <a:solidFill>
                <a:schemeClr val="accent6">
                  <a:lumMod val="50000"/>
                </a:schemeClr>
              </a:solidFill>
              <a:round/>
            </a:ln>
            <a:effectLst/>
          </c:spPr>
          <c:marker>
            <c:symbol val="triangle"/>
            <c:size val="5"/>
            <c:spPr>
              <a:solidFill>
                <a:schemeClr val="accent6">
                  <a:lumMod val="50000"/>
                </a:schemeClr>
              </a:solidFill>
              <a:ln w="9525">
                <a:solidFill>
                  <a:schemeClr val="accent6">
                    <a:lumMod val="50000"/>
                  </a:schemeClr>
                </a:solidFill>
              </a:ln>
              <a:effectLst/>
            </c:spPr>
          </c:marker>
          <c:xVal>
            <c:numRef>
              <c:f>'[PETRAMIN.xlsm]Última Visita (Análisis)'!$G$128:$K$128</c:f>
              <c:numCache>
                <c:formatCode>General</c:formatCode>
                <c:ptCount val="5"/>
                <c:pt idx="0">
                  <c:v>2</c:v>
                </c:pt>
                <c:pt idx="1">
                  <c:v>15</c:v>
                </c:pt>
                <c:pt idx="2">
                  <c:v>30</c:v>
                </c:pt>
                <c:pt idx="3">
                  <c:v>45</c:v>
                </c:pt>
                <c:pt idx="4">
                  <c:v>60</c:v>
                </c:pt>
              </c:numCache>
            </c:numRef>
          </c:xVal>
          <c:yVal>
            <c:numRef>
              <c:f>'[PETRAMIN.xlsm]Última Visita (Análisis)'!$G$126:$K$126</c:f>
              <c:numCache>
                <c:formatCode>General</c:formatCode>
                <c:ptCount val="5"/>
                <c:pt idx="0">
                  <c:v>132</c:v>
                </c:pt>
                <c:pt idx="1">
                  <c:v>214.2</c:v>
                </c:pt>
                <c:pt idx="2">
                  <c:v>235</c:v>
                </c:pt>
                <c:pt idx="3">
                  <c:v>101.3</c:v>
                </c:pt>
                <c:pt idx="4">
                  <c:v>208</c:v>
                </c:pt>
              </c:numCache>
            </c:numRef>
          </c:yVal>
          <c:smooth val="1"/>
          <c:extLst>
            <c:ext xmlns:c16="http://schemas.microsoft.com/office/drawing/2014/chart" uri="{C3380CC4-5D6E-409C-BE32-E72D297353CC}">
              <c16:uniqueId val="{00000004-E5DB-4EAE-9AD3-33CB36289281}"/>
            </c:ext>
          </c:extLst>
        </c:ser>
        <c:ser>
          <c:idx val="1"/>
          <c:order val="5"/>
          <c:tx>
            <c:v>petramin 4 (PrB)</c:v>
          </c:tx>
          <c:spPr>
            <a:ln w="19050" cap="rnd">
              <a:solidFill>
                <a:schemeClr val="accent6">
                  <a:lumMod val="40000"/>
                  <a:lumOff val="60000"/>
                </a:schemeClr>
              </a:solidFill>
              <a:round/>
            </a:ln>
            <a:effectLst/>
          </c:spPr>
          <c:marker>
            <c:symbol val="circle"/>
            <c:size val="5"/>
            <c:spPr>
              <a:solidFill>
                <a:schemeClr val="accent6">
                  <a:lumMod val="40000"/>
                  <a:lumOff val="60000"/>
                </a:schemeClr>
              </a:solidFill>
              <a:ln w="9525">
                <a:solidFill>
                  <a:schemeClr val="accent6">
                    <a:lumMod val="40000"/>
                    <a:lumOff val="60000"/>
                  </a:schemeClr>
                </a:solidFill>
              </a:ln>
              <a:effectLst/>
            </c:spPr>
          </c:marker>
          <c:xVal>
            <c:numRef>
              <c:f>'[PETRAMIN.xlsm]Última Visita (Análisis)'!$Q$128:$U$128</c:f>
              <c:numCache>
                <c:formatCode>General</c:formatCode>
                <c:ptCount val="5"/>
                <c:pt idx="0">
                  <c:v>2</c:v>
                </c:pt>
                <c:pt idx="1">
                  <c:v>15</c:v>
                </c:pt>
                <c:pt idx="2">
                  <c:v>30</c:v>
                </c:pt>
                <c:pt idx="3">
                  <c:v>45</c:v>
                </c:pt>
                <c:pt idx="4">
                  <c:v>60</c:v>
                </c:pt>
              </c:numCache>
            </c:numRef>
          </c:xVal>
          <c:yVal>
            <c:numRef>
              <c:f>'[PETRAMIN.xlsm]Última Visita (Análisis)'!$Q$126:$U$126</c:f>
              <c:numCache>
                <c:formatCode>General</c:formatCode>
                <c:ptCount val="5"/>
                <c:pt idx="0">
                  <c:v>108.4</c:v>
                </c:pt>
                <c:pt idx="1">
                  <c:v>194.8</c:v>
                </c:pt>
                <c:pt idx="2">
                  <c:v>171.6</c:v>
                </c:pt>
                <c:pt idx="3">
                  <c:v>173.6</c:v>
                </c:pt>
                <c:pt idx="4">
                  <c:v>205.4</c:v>
                </c:pt>
              </c:numCache>
            </c:numRef>
          </c:yVal>
          <c:smooth val="1"/>
          <c:extLst>
            <c:ext xmlns:c16="http://schemas.microsoft.com/office/drawing/2014/chart" uri="{C3380CC4-5D6E-409C-BE32-E72D297353CC}">
              <c16:uniqueId val="{00000005-E5DB-4EAE-9AD3-33CB36289281}"/>
            </c:ext>
          </c:extLst>
        </c:ser>
        <c:ser>
          <c:idx val="2"/>
          <c:order val="6"/>
          <c:tx>
            <c:v>petramin 1 (PrB)</c:v>
          </c:tx>
          <c:spPr>
            <a:ln w="19050" cap="rnd">
              <a:solidFill>
                <a:schemeClr val="accent6">
                  <a:lumMod val="75000"/>
                </a:schemeClr>
              </a:solidFill>
              <a:round/>
            </a:ln>
            <a:effectLst/>
          </c:spPr>
          <c:marker>
            <c:symbol val="square"/>
            <c:size val="5"/>
            <c:spPr>
              <a:solidFill>
                <a:schemeClr val="accent6">
                  <a:lumMod val="75000"/>
                </a:schemeClr>
              </a:solidFill>
              <a:ln w="9525">
                <a:solidFill>
                  <a:schemeClr val="accent6">
                    <a:lumMod val="75000"/>
                  </a:schemeClr>
                </a:solidFill>
              </a:ln>
              <a:effectLst/>
            </c:spPr>
          </c:marker>
          <c:xVal>
            <c:numRef>
              <c:f>'[PETRAMIN.xlsm]Última Visita (Análisis)'!$L$128:$P$128</c:f>
              <c:numCache>
                <c:formatCode>General</c:formatCode>
                <c:ptCount val="5"/>
                <c:pt idx="0">
                  <c:v>1</c:v>
                </c:pt>
                <c:pt idx="1">
                  <c:v>15</c:v>
                </c:pt>
                <c:pt idx="2">
                  <c:v>30</c:v>
                </c:pt>
                <c:pt idx="3">
                  <c:v>45</c:v>
                </c:pt>
                <c:pt idx="4">
                  <c:v>60</c:v>
                </c:pt>
              </c:numCache>
            </c:numRef>
          </c:xVal>
          <c:yVal>
            <c:numRef>
              <c:f>'[PETRAMIN.xlsm]Última Visita (Análisis)'!$L$126:$P$126</c:f>
              <c:numCache>
                <c:formatCode>General</c:formatCode>
                <c:ptCount val="5"/>
                <c:pt idx="0">
                  <c:v>114.8</c:v>
                </c:pt>
                <c:pt idx="1">
                  <c:v>87.8</c:v>
                </c:pt>
                <c:pt idx="2">
                  <c:v>209.2</c:v>
                </c:pt>
                <c:pt idx="3">
                  <c:v>186.6</c:v>
                </c:pt>
                <c:pt idx="4">
                  <c:v>195</c:v>
                </c:pt>
              </c:numCache>
            </c:numRef>
          </c:yVal>
          <c:smooth val="1"/>
          <c:extLst>
            <c:ext xmlns:c16="http://schemas.microsoft.com/office/drawing/2014/chart" uri="{C3380CC4-5D6E-409C-BE32-E72D297353CC}">
              <c16:uniqueId val="{00000006-E5DB-4EAE-9AD3-33CB36289281}"/>
            </c:ext>
          </c:extLst>
        </c:ser>
        <c:ser>
          <c:idx val="3"/>
          <c:order val="7"/>
          <c:tx>
            <c:v>petramin 3 (PrB)</c:v>
          </c:tx>
          <c:spPr>
            <a:ln w="19050" cap="rnd">
              <a:solidFill>
                <a:srgbClr val="92D050"/>
              </a:solidFill>
              <a:round/>
            </a:ln>
            <a:effectLst/>
          </c:spPr>
          <c:marker>
            <c:symbol val="none"/>
          </c:marker>
          <c:xVal>
            <c:numRef>
              <c:f>'[PETRAMIN.xlsm]Última Visita (Análisis)'!$V$128:$Z$128</c:f>
              <c:numCache>
                <c:formatCode>General</c:formatCode>
                <c:ptCount val="5"/>
                <c:pt idx="0">
                  <c:v>2</c:v>
                </c:pt>
                <c:pt idx="1">
                  <c:v>15</c:v>
                </c:pt>
                <c:pt idx="2">
                  <c:v>30</c:v>
                </c:pt>
                <c:pt idx="3">
                  <c:v>45</c:v>
                </c:pt>
                <c:pt idx="4">
                  <c:v>60</c:v>
                </c:pt>
              </c:numCache>
            </c:numRef>
          </c:xVal>
          <c:yVal>
            <c:numRef>
              <c:f>'[PETRAMIN.xlsm]Última Visita (Análisis)'!$V$126:$Z$126</c:f>
              <c:numCache>
                <c:formatCode>General</c:formatCode>
                <c:ptCount val="5"/>
                <c:pt idx="0">
                  <c:v>140.80000000000001</c:v>
                </c:pt>
                <c:pt idx="1">
                  <c:v>104.4</c:v>
                </c:pt>
                <c:pt idx="2">
                  <c:v>161</c:v>
                </c:pt>
                <c:pt idx="3">
                  <c:v>192.6</c:v>
                </c:pt>
                <c:pt idx="4">
                  <c:v>160.6</c:v>
                </c:pt>
              </c:numCache>
            </c:numRef>
          </c:yVal>
          <c:smooth val="1"/>
          <c:extLst>
            <c:ext xmlns:c16="http://schemas.microsoft.com/office/drawing/2014/chart" uri="{C3380CC4-5D6E-409C-BE32-E72D297353CC}">
              <c16:uniqueId val="{00000007-E5DB-4EAE-9AD3-33CB36289281}"/>
            </c:ext>
          </c:extLst>
        </c:ser>
        <c:dLbls>
          <c:showLegendKey val="0"/>
          <c:showVal val="0"/>
          <c:showCatName val="0"/>
          <c:showSerName val="0"/>
          <c:showPercent val="0"/>
          <c:showBubbleSize val="0"/>
        </c:dLbls>
        <c:axId val="106209280"/>
        <c:axId val="106211584"/>
      </c:scatterChart>
      <c:valAx>
        <c:axId val="106209280"/>
        <c:scaling>
          <c:orientation val="minMax"/>
          <c:max val="6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b="1"/>
                  <a:t>Tiempo de curado (min)</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06211584"/>
        <c:crosses val="autoZero"/>
        <c:crossBetween val="midCat"/>
      </c:valAx>
      <c:valAx>
        <c:axId val="106211584"/>
        <c:scaling>
          <c:orientation val="minMax"/>
          <c:max val="350"/>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b="1"/>
                  <a:t>Resistencia (psi)</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0620928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1100" b="0">
          <a:solidFill>
            <a:schemeClr val="tx1"/>
          </a:solidFill>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sz="1400" b="1"/>
              <a:t>Resistencia en función del proveedor</a:t>
            </a:r>
            <a:r>
              <a:rPr lang="en-US" sz="1400" b="1" baseline="0"/>
              <a:t> </a:t>
            </a:r>
            <a:r>
              <a:rPr lang="en-US" sz="1400" b="1"/>
              <a:t> a 1.5%</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scatterChart>
        <c:scatterStyle val="smoothMarker"/>
        <c:varyColors val="0"/>
        <c:ser>
          <c:idx val="0"/>
          <c:order val="0"/>
          <c:tx>
            <c:v>petramin 2 (PrA)</c:v>
          </c:tx>
          <c:spPr>
            <a:ln w="19050" cap="rnd" cmpd="sng" algn="ctr">
              <a:solidFill>
                <a:schemeClr val="accent6"/>
              </a:solidFill>
              <a:prstDash val="solid"/>
              <a:round/>
            </a:ln>
            <a:effectLst/>
          </c:spPr>
          <c:marker>
            <c:symbol val="triangle"/>
            <c:size val="5"/>
            <c:spPr>
              <a:solidFill>
                <a:schemeClr val="accent6"/>
              </a:solidFill>
              <a:ln w="6350" cap="flat" cmpd="sng" algn="ctr">
                <a:solidFill>
                  <a:schemeClr val="accent6"/>
                </a:solidFill>
                <a:prstDash val="solid"/>
                <a:round/>
              </a:ln>
              <a:effectLst/>
            </c:spPr>
          </c:marker>
          <c:xVal>
            <c:numRef>
              <c:f>'[PETRAMIN.xlsm]Última Visita (Análisis)'!$G$149:$K$149</c:f>
              <c:numCache>
                <c:formatCode>General</c:formatCode>
                <c:ptCount val="5"/>
                <c:pt idx="0">
                  <c:v>2</c:v>
                </c:pt>
                <c:pt idx="1">
                  <c:v>15</c:v>
                </c:pt>
                <c:pt idx="2">
                  <c:v>30</c:v>
                </c:pt>
                <c:pt idx="3">
                  <c:v>45</c:v>
                </c:pt>
                <c:pt idx="4">
                  <c:v>60</c:v>
                </c:pt>
              </c:numCache>
            </c:numRef>
          </c:xVal>
          <c:yVal>
            <c:numRef>
              <c:f>'[PETRAMIN.xlsm]Última Visita (Análisis)'!$G$147:$K$147</c:f>
              <c:numCache>
                <c:formatCode>General</c:formatCode>
                <c:ptCount val="5"/>
                <c:pt idx="0">
                  <c:v>202</c:v>
                </c:pt>
                <c:pt idx="1">
                  <c:v>306.39999999999998</c:v>
                </c:pt>
                <c:pt idx="2">
                  <c:v>352.8</c:v>
                </c:pt>
                <c:pt idx="3">
                  <c:v>313</c:v>
                </c:pt>
                <c:pt idx="4">
                  <c:v>328.2</c:v>
                </c:pt>
              </c:numCache>
            </c:numRef>
          </c:yVal>
          <c:smooth val="1"/>
          <c:extLst>
            <c:ext xmlns:c16="http://schemas.microsoft.com/office/drawing/2014/chart" uri="{C3380CC4-5D6E-409C-BE32-E72D297353CC}">
              <c16:uniqueId val="{00000000-8FAF-45EF-AC37-35D319CB50E1}"/>
            </c:ext>
          </c:extLst>
        </c:ser>
        <c:ser>
          <c:idx val="1"/>
          <c:order val="1"/>
          <c:tx>
            <c:v>petramin 1 (PrA)</c:v>
          </c:tx>
          <c:spPr>
            <a:ln w="19050" cap="rnd" cmpd="sng" algn="ctr">
              <a:solidFill>
                <a:schemeClr val="accent5"/>
              </a:solidFill>
              <a:prstDash val="solid"/>
              <a:round/>
            </a:ln>
            <a:effectLst/>
          </c:spPr>
          <c:marker>
            <c:symbol val="circle"/>
            <c:size val="5"/>
            <c:spPr>
              <a:solidFill>
                <a:schemeClr val="accent5"/>
              </a:solidFill>
              <a:ln w="6350" cap="flat" cmpd="sng" algn="ctr">
                <a:solidFill>
                  <a:schemeClr val="accent5"/>
                </a:solidFill>
                <a:prstDash val="solid"/>
                <a:round/>
              </a:ln>
              <a:effectLst/>
            </c:spPr>
          </c:marker>
          <c:xVal>
            <c:numRef>
              <c:f>'[PETRAMIN.xlsm]Última Visita (Análisis)'!$L$149:$P$149</c:f>
              <c:numCache>
                <c:formatCode>General</c:formatCode>
                <c:ptCount val="5"/>
                <c:pt idx="0">
                  <c:v>2</c:v>
                </c:pt>
                <c:pt idx="1">
                  <c:v>15</c:v>
                </c:pt>
                <c:pt idx="2">
                  <c:v>30</c:v>
                </c:pt>
                <c:pt idx="3">
                  <c:v>45</c:v>
                </c:pt>
                <c:pt idx="4">
                  <c:v>60</c:v>
                </c:pt>
              </c:numCache>
            </c:numRef>
          </c:xVal>
          <c:yVal>
            <c:numRef>
              <c:f>'[PETRAMIN.xlsm]Última Visita (Análisis)'!$L$147:$P$147</c:f>
              <c:numCache>
                <c:formatCode>General</c:formatCode>
                <c:ptCount val="5"/>
                <c:pt idx="0">
                  <c:v>219.6</c:v>
                </c:pt>
                <c:pt idx="1">
                  <c:v>315.8</c:v>
                </c:pt>
                <c:pt idx="2">
                  <c:v>332</c:v>
                </c:pt>
                <c:pt idx="3">
                  <c:v>337.4</c:v>
                </c:pt>
                <c:pt idx="4">
                  <c:v>333.8</c:v>
                </c:pt>
              </c:numCache>
            </c:numRef>
          </c:yVal>
          <c:smooth val="1"/>
          <c:extLst>
            <c:ext xmlns:c16="http://schemas.microsoft.com/office/drawing/2014/chart" uri="{C3380CC4-5D6E-409C-BE32-E72D297353CC}">
              <c16:uniqueId val="{00000001-8FAF-45EF-AC37-35D319CB50E1}"/>
            </c:ext>
          </c:extLst>
        </c:ser>
        <c:ser>
          <c:idx val="2"/>
          <c:order val="2"/>
          <c:tx>
            <c:v>petramin 4 (PrA)</c:v>
          </c:tx>
          <c:spPr>
            <a:ln w="19050" cap="rnd" cmpd="sng" algn="ctr">
              <a:solidFill>
                <a:schemeClr val="accent4"/>
              </a:solidFill>
              <a:prstDash val="solid"/>
              <a:round/>
            </a:ln>
            <a:effectLst/>
          </c:spPr>
          <c:marker>
            <c:symbol val="square"/>
            <c:size val="5"/>
            <c:spPr>
              <a:solidFill>
                <a:schemeClr val="accent4"/>
              </a:solidFill>
              <a:ln w="6350" cap="flat" cmpd="sng" algn="ctr">
                <a:solidFill>
                  <a:schemeClr val="accent4"/>
                </a:solidFill>
                <a:prstDash val="solid"/>
                <a:round/>
              </a:ln>
              <a:effectLst/>
            </c:spPr>
          </c:marker>
          <c:xVal>
            <c:numRef>
              <c:f>'[PETRAMIN.xlsm]Última Visita (Análisis)'!$Q$149:$U$149</c:f>
              <c:numCache>
                <c:formatCode>General</c:formatCode>
                <c:ptCount val="5"/>
                <c:pt idx="0">
                  <c:v>1</c:v>
                </c:pt>
                <c:pt idx="1">
                  <c:v>15</c:v>
                </c:pt>
                <c:pt idx="2">
                  <c:v>30</c:v>
                </c:pt>
                <c:pt idx="3">
                  <c:v>45</c:v>
                </c:pt>
                <c:pt idx="4">
                  <c:v>60</c:v>
                </c:pt>
              </c:numCache>
            </c:numRef>
          </c:xVal>
          <c:yVal>
            <c:numRef>
              <c:f>'[PETRAMIN.xlsm]Última Visita (Análisis)'!$Q$147:$U$147</c:f>
              <c:numCache>
                <c:formatCode>General</c:formatCode>
                <c:ptCount val="5"/>
                <c:pt idx="0">
                  <c:v>168.6</c:v>
                </c:pt>
                <c:pt idx="1">
                  <c:v>285.39999999999998</c:v>
                </c:pt>
                <c:pt idx="2">
                  <c:v>263</c:v>
                </c:pt>
                <c:pt idx="3">
                  <c:v>318</c:v>
                </c:pt>
                <c:pt idx="4">
                  <c:v>295.8</c:v>
                </c:pt>
              </c:numCache>
            </c:numRef>
          </c:yVal>
          <c:smooth val="1"/>
          <c:extLst>
            <c:ext xmlns:c16="http://schemas.microsoft.com/office/drawing/2014/chart" uri="{C3380CC4-5D6E-409C-BE32-E72D297353CC}">
              <c16:uniqueId val="{00000002-8FAF-45EF-AC37-35D319CB50E1}"/>
            </c:ext>
          </c:extLst>
        </c:ser>
        <c:ser>
          <c:idx val="3"/>
          <c:order val="3"/>
          <c:tx>
            <c:v>petramin 3 (PrA)</c:v>
          </c:tx>
          <c:spPr>
            <a:ln w="19050" cap="rnd" cmpd="sng" algn="ctr">
              <a:solidFill>
                <a:schemeClr val="accent6">
                  <a:lumMod val="60000"/>
                </a:schemeClr>
              </a:solidFill>
              <a:prstDash val="solid"/>
              <a:round/>
            </a:ln>
            <a:effectLst/>
          </c:spPr>
          <c:marker>
            <c:symbol val="none"/>
          </c:marker>
          <c:xVal>
            <c:numRef>
              <c:f>'[PETRAMIN.xlsm]Última Visita (Análisis)'!$V$149:$Z$149</c:f>
              <c:numCache>
                <c:formatCode>General</c:formatCode>
                <c:ptCount val="5"/>
                <c:pt idx="0">
                  <c:v>1</c:v>
                </c:pt>
                <c:pt idx="1">
                  <c:v>15</c:v>
                </c:pt>
                <c:pt idx="2">
                  <c:v>30</c:v>
                </c:pt>
                <c:pt idx="3">
                  <c:v>45</c:v>
                </c:pt>
                <c:pt idx="4">
                  <c:v>60</c:v>
                </c:pt>
              </c:numCache>
            </c:numRef>
          </c:xVal>
          <c:yVal>
            <c:numRef>
              <c:f>'[PETRAMIN.xlsm]Última Visita (Análisis)'!$V$147:$Z$147</c:f>
              <c:numCache>
                <c:formatCode>General</c:formatCode>
                <c:ptCount val="5"/>
                <c:pt idx="0">
                  <c:v>184.2</c:v>
                </c:pt>
                <c:pt idx="1">
                  <c:v>269</c:v>
                </c:pt>
                <c:pt idx="2">
                  <c:v>281.5</c:v>
                </c:pt>
                <c:pt idx="3">
                  <c:v>286.8</c:v>
                </c:pt>
                <c:pt idx="4">
                  <c:v>310.2</c:v>
                </c:pt>
              </c:numCache>
            </c:numRef>
          </c:yVal>
          <c:smooth val="1"/>
          <c:extLst>
            <c:ext xmlns:c16="http://schemas.microsoft.com/office/drawing/2014/chart" uri="{C3380CC4-5D6E-409C-BE32-E72D297353CC}">
              <c16:uniqueId val="{00000003-8FAF-45EF-AC37-35D319CB50E1}"/>
            </c:ext>
          </c:extLst>
        </c:ser>
        <c:ser>
          <c:idx val="4"/>
          <c:order val="4"/>
          <c:tx>
            <c:v>petramin 2 (PrB)</c:v>
          </c:tx>
          <c:spPr>
            <a:ln w="19050" cap="rnd" cmpd="sng" algn="ctr">
              <a:solidFill>
                <a:schemeClr val="accent5">
                  <a:lumMod val="60000"/>
                </a:schemeClr>
              </a:solidFill>
              <a:prstDash val="solid"/>
              <a:round/>
            </a:ln>
            <a:effectLst/>
          </c:spPr>
          <c:marker>
            <c:symbol val="triangle"/>
            <c:size val="5"/>
            <c:spPr>
              <a:solidFill>
                <a:schemeClr val="accent5">
                  <a:lumMod val="60000"/>
                </a:schemeClr>
              </a:solidFill>
              <a:ln w="6350" cap="flat" cmpd="sng" algn="ctr">
                <a:solidFill>
                  <a:schemeClr val="accent5">
                    <a:lumMod val="60000"/>
                  </a:schemeClr>
                </a:solidFill>
                <a:prstDash val="solid"/>
                <a:round/>
              </a:ln>
              <a:effectLst/>
            </c:spPr>
          </c:marker>
          <c:xVal>
            <c:numRef>
              <c:f>'[PETRAMIN.xlsm]Última Visita (Análisis)'!$G$170:$K$170</c:f>
              <c:numCache>
                <c:formatCode>General</c:formatCode>
                <c:ptCount val="5"/>
                <c:pt idx="0">
                  <c:v>2</c:v>
                </c:pt>
                <c:pt idx="1">
                  <c:v>15</c:v>
                </c:pt>
                <c:pt idx="2">
                  <c:v>30</c:v>
                </c:pt>
                <c:pt idx="3">
                  <c:v>45</c:v>
                </c:pt>
                <c:pt idx="4">
                  <c:v>60</c:v>
                </c:pt>
              </c:numCache>
            </c:numRef>
          </c:xVal>
          <c:yVal>
            <c:numRef>
              <c:f>'[PETRAMIN.xlsm]Última Visita (Análisis)'!$G$168:$K$168</c:f>
              <c:numCache>
                <c:formatCode>General</c:formatCode>
                <c:ptCount val="5"/>
                <c:pt idx="0">
                  <c:v>93.8</c:v>
                </c:pt>
                <c:pt idx="1">
                  <c:v>154.4</c:v>
                </c:pt>
                <c:pt idx="2">
                  <c:v>203.4</c:v>
                </c:pt>
                <c:pt idx="3">
                  <c:v>146</c:v>
                </c:pt>
                <c:pt idx="4">
                  <c:v>216.2</c:v>
                </c:pt>
              </c:numCache>
            </c:numRef>
          </c:yVal>
          <c:smooth val="1"/>
          <c:extLst>
            <c:ext xmlns:c16="http://schemas.microsoft.com/office/drawing/2014/chart" uri="{C3380CC4-5D6E-409C-BE32-E72D297353CC}">
              <c16:uniqueId val="{00000004-8FAF-45EF-AC37-35D319CB50E1}"/>
            </c:ext>
          </c:extLst>
        </c:ser>
        <c:ser>
          <c:idx val="5"/>
          <c:order val="5"/>
          <c:tx>
            <c:v>petramin 1 (PrB)</c:v>
          </c:tx>
          <c:spPr>
            <a:ln w="19050" cap="rnd" cmpd="sng" algn="ctr">
              <a:solidFill>
                <a:schemeClr val="accent4">
                  <a:lumMod val="60000"/>
                </a:schemeClr>
              </a:solidFill>
              <a:prstDash val="solid"/>
              <a:round/>
            </a:ln>
            <a:effectLst/>
          </c:spPr>
          <c:marker>
            <c:spPr>
              <a:solidFill>
                <a:schemeClr val="accent4">
                  <a:lumMod val="60000"/>
                </a:schemeClr>
              </a:solidFill>
              <a:ln w="6350" cap="flat" cmpd="sng" algn="ctr">
                <a:solidFill>
                  <a:schemeClr val="accent4">
                    <a:lumMod val="60000"/>
                  </a:schemeClr>
                </a:solidFill>
                <a:prstDash val="solid"/>
                <a:round/>
              </a:ln>
              <a:effectLst/>
            </c:spPr>
          </c:marker>
          <c:xVal>
            <c:numRef>
              <c:f>'[PETRAMIN.xlsm]Última Visita (Análisis)'!$L$170:$P$170</c:f>
              <c:numCache>
                <c:formatCode>General</c:formatCode>
                <c:ptCount val="5"/>
                <c:pt idx="0">
                  <c:v>2</c:v>
                </c:pt>
                <c:pt idx="1">
                  <c:v>15</c:v>
                </c:pt>
                <c:pt idx="2">
                  <c:v>30</c:v>
                </c:pt>
                <c:pt idx="3">
                  <c:v>45</c:v>
                </c:pt>
                <c:pt idx="4">
                  <c:v>60</c:v>
                </c:pt>
              </c:numCache>
            </c:numRef>
          </c:xVal>
          <c:yVal>
            <c:numRef>
              <c:f>'[PETRAMIN.xlsm]Última Visita (Análisis)'!$L$168:$P$168</c:f>
              <c:numCache>
                <c:formatCode>General</c:formatCode>
                <c:ptCount val="5"/>
                <c:pt idx="0">
                  <c:v>182.6</c:v>
                </c:pt>
                <c:pt idx="1">
                  <c:v>303</c:v>
                </c:pt>
                <c:pt idx="2">
                  <c:v>227.8</c:v>
                </c:pt>
                <c:pt idx="3">
                  <c:v>267.60000000000002</c:v>
                </c:pt>
                <c:pt idx="4">
                  <c:v>271</c:v>
                </c:pt>
              </c:numCache>
            </c:numRef>
          </c:yVal>
          <c:smooth val="1"/>
          <c:extLst>
            <c:ext xmlns:c16="http://schemas.microsoft.com/office/drawing/2014/chart" uri="{C3380CC4-5D6E-409C-BE32-E72D297353CC}">
              <c16:uniqueId val="{00000005-8FAF-45EF-AC37-35D319CB50E1}"/>
            </c:ext>
          </c:extLst>
        </c:ser>
        <c:ser>
          <c:idx val="6"/>
          <c:order val="6"/>
          <c:tx>
            <c:v>petramin 4 (PrB)</c:v>
          </c:tx>
          <c:spPr>
            <a:ln w="19050" cap="rnd" cmpd="sng" algn="ctr">
              <a:solidFill>
                <a:schemeClr val="accent6">
                  <a:lumMod val="80000"/>
                  <a:lumOff val="20000"/>
                </a:schemeClr>
              </a:solidFill>
              <a:prstDash val="solid"/>
              <a:round/>
            </a:ln>
            <a:effectLst/>
          </c:spPr>
          <c:marker>
            <c:spPr>
              <a:noFill/>
              <a:ln w="6350" cap="flat" cmpd="sng" algn="ctr">
                <a:solidFill>
                  <a:schemeClr val="accent6">
                    <a:lumMod val="80000"/>
                    <a:lumOff val="20000"/>
                  </a:schemeClr>
                </a:solidFill>
                <a:prstDash val="solid"/>
                <a:round/>
              </a:ln>
              <a:effectLst/>
            </c:spPr>
          </c:marker>
          <c:xVal>
            <c:numRef>
              <c:f>'[PETRAMIN.xlsm]Última Visita (Análisis)'!$Q$170:$U$170</c:f>
              <c:numCache>
                <c:formatCode>General</c:formatCode>
                <c:ptCount val="5"/>
                <c:pt idx="0">
                  <c:v>1</c:v>
                </c:pt>
                <c:pt idx="1">
                  <c:v>15</c:v>
                </c:pt>
                <c:pt idx="2">
                  <c:v>30</c:v>
                </c:pt>
                <c:pt idx="3">
                  <c:v>45</c:v>
                </c:pt>
                <c:pt idx="4">
                  <c:v>60</c:v>
                </c:pt>
              </c:numCache>
            </c:numRef>
          </c:xVal>
          <c:yVal>
            <c:numRef>
              <c:f>'[PETRAMIN.xlsm]Última Visita (Análisis)'!$Q$168:$U$168</c:f>
              <c:numCache>
                <c:formatCode>General</c:formatCode>
                <c:ptCount val="5"/>
                <c:pt idx="0">
                  <c:v>118.4</c:v>
                </c:pt>
                <c:pt idx="1">
                  <c:v>181.8</c:v>
                </c:pt>
                <c:pt idx="2">
                  <c:v>179.2</c:v>
                </c:pt>
                <c:pt idx="3">
                  <c:v>213</c:v>
                </c:pt>
                <c:pt idx="4">
                  <c:v>63.2</c:v>
                </c:pt>
              </c:numCache>
            </c:numRef>
          </c:yVal>
          <c:smooth val="1"/>
          <c:extLst>
            <c:ext xmlns:c16="http://schemas.microsoft.com/office/drawing/2014/chart" uri="{C3380CC4-5D6E-409C-BE32-E72D297353CC}">
              <c16:uniqueId val="{00000006-8FAF-45EF-AC37-35D319CB50E1}"/>
            </c:ext>
          </c:extLst>
        </c:ser>
        <c:ser>
          <c:idx val="7"/>
          <c:order val="7"/>
          <c:tx>
            <c:v>petramin 3 (PrB)</c:v>
          </c:tx>
          <c:spPr>
            <a:ln w="19050" cap="rnd" cmpd="sng" algn="ctr">
              <a:solidFill>
                <a:schemeClr val="accent5">
                  <a:lumMod val="80000"/>
                  <a:lumOff val="20000"/>
                </a:schemeClr>
              </a:solidFill>
              <a:prstDash val="solid"/>
              <a:round/>
            </a:ln>
            <a:effectLst/>
          </c:spPr>
          <c:marker>
            <c:symbol val="none"/>
          </c:marker>
          <c:xVal>
            <c:numRef>
              <c:f>'[PETRAMIN.xlsm]Última Visita (Análisis)'!$V$170:$Z$170</c:f>
              <c:numCache>
                <c:formatCode>General</c:formatCode>
                <c:ptCount val="5"/>
                <c:pt idx="0">
                  <c:v>1</c:v>
                </c:pt>
                <c:pt idx="1">
                  <c:v>15</c:v>
                </c:pt>
                <c:pt idx="2">
                  <c:v>30</c:v>
                </c:pt>
                <c:pt idx="3">
                  <c:v>45</c:v>
                </c:pt>
                <c:pt idx="4">
                  <c:v>60</c:v>
                </c:pt>
              </c:numCache>
            </c:numRef>
          </c:xVal>
          <c:yVal>
            <c:numRef>
              <c:f>'[PETRAMIN.xlsm]Última Visita (Análisis)'!$V$168:$Z$168</c:f>
              <c:numCache>
                <c:formatCode>General</c:formatCode>
                <c:ptCount val="5"/>
                <c:pt idx="0">
                  <c:v>170.8</c:v>
                </c:pt>
                <c:pt idx="1">
                  <c:v>211</c:v>
                </c:pt>
                <c:pt idx="2">
                  <c:v>226.8</c:v>
                </c:pt>
                <c:pt idx="3">
                  <c:v>220.4</c:v>
                </c:pt>
                <c:pt idx="4">
                  <c:v>262.60000000000002</c:v>
                </c:pt>
              </c:numCache>
            </c:numRef>
          </c:yVal>
          <c:smooth val="1"/>
          <c:extLst>
            <c:ext xmlns:c16="http://schemas.microsoft.com/office/drawing/2014/chart" uri="{C3380CC4-5D6E-409C-BE32-E72D297353CC}">
              <c16:uniqueId val="{00000007-8FAF-45EF-AC37-35D319CB50E1}"/>
            </c:ext>
          </c:extLst>
        </c:ser>
        <c:dLbls>
          <c:showLegendKey val="0"/>
          <c:showVal val="0"/>
          <c:showCatName val="0"/>
          <c:showSerName val="0"/>
          <c:showPercent val="0"/>
          <c:showBubbleSize val="0"/>
        </c:dLbls>
        <c:axId val="106133376"/>
        <c:axId val="106156032"/>
      </c:scatterChart>
      <c:valAx>
        <c:axId val="106133376"/>
        <c:scaling>
          <c:orientation val="minMax"/>
          <c:max val="60"/>
        </c:scaling>
        <c:delete val="0"/>
        <c:axPos val="b"/>
        <c:majorGridlines>
          <c:spPr>
            <a:ln w="9525" cap="flat" cmpd="sng" algn="ctr">
              <a:solidFill>
                <a:schemeClr val="tx1">
                  <a:lumMod val="15000"/>
                  <a:lumOff val="85000"/>
                </a:schemeClr>
              </a:solidFill>
              <a:prstDash val="solid"/>
              <a:round/>
            </a:ln>
            <a:effectLst/>
          </c:spPr>
        </c:majorGridlines>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b="1"/>
                  <a:t>Tiempo de curado (min)</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06156032"/>
        <c:crosses val="autoZero"/>
        <c:crossBetween val="midCat"/>
      </c:valAx>
      <c:valAx>
        <c:axId val="106156032"/>
        <c:scaling>
          <c:orientation val="minMax"/>
          <c:min val="50"/>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b="1"/>
                  <a:t>Resistencia (psi)</a:t>
                </a:r>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prstDash val="solid"/>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06133376"/>
        <c:crosses val="autoZero"/>
        <c:crossBetween val="midCat"/>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6350" cap="flat" cmpd="sng" algn="ctr">
      <a:solidFill>
        <a:schemeClr val="bg2">
          <a:lumMod val="90000"/>
        </a:schemeClr>
      </a:solidFill>
      <a:prstDash val="solid"/>
      <a:round/>
    </a:ln>
    <a:effectLst/>
  </c:spPr>
  <c:txPr>
    <a:bodyPr/>
    <a:lstStyle/>
    <a:p>
      <a:pPr>
        <a:defRPr sz="1100" b="0">
          <a:solidFill>
            <a:schemeClr val="tx1"/>
          </a:solidFill>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Contraste factor de atenuación y concentración</a:t>
            </a:r>
            <a:r>
              <a:rPr lang="en-US" baseline="30000"/>
              <a:t>[8]</a:t>
            </a:r>
            <a:r>
              <a:rPr lang="en-US"/>
              <a:t> </a:t>
            </a:r>
          </a:p>
        </c:rich>
      </c:tx>
      <c:overlay val="0"/>
    </c:title>
    <c:autoTitleDeleted val="0"/>
    <c:plotArea>
      <c:layout/>
      <c:scatterChart>
        <c:scatterStyle val="smoothMarker"/>
        <c:varyColors val="0"/>
        <c:ser>
          <c:idx val="0"/>
          <c:order val="0"/>
          <c:tx>
            <c:v>Bandala [2]</c:v>
          </c:tx>
          <c:yVal>
            <c:numRef>
              <c:f>Hoja1!$B$1:$B$10</c:f>
              <c:numCache>
                <c:formatCode>General</c:formatCode>
                <c:ptCount val="10"/>
                <c:pt idx="0">
                  <c:v>10</c:v>
                </c:pt>
                <c:pt idx="1">
                  <c:v>8.5</c:v>
                </c:pt>
                <c:pt idx="2">
                  <c:v>8.25</c:v>
                </c:pt>
                <c:pt idx="3">
                  <c:v>7.5</c:v>
                </c:pt>
                <c:pt idx="4">
                  <c:v>5.5</c:v>
                </c:pt>
                <c:pt idx="5">
                  <c:v>4.5</c:v>
                </c:pt>
                <c:pt idx="6">
                  <c:v>3.5</c:v>
                </c:pt>
                <c:pt idx="7">
                  <c:v>3</c:v>
                </c:pt>
                <c:pt idx="8">
                  <c:v>2.5</c:v>
                </c:pt>
                <c:pt idx="9">
                  <c:v>2.2000000000000002</c:v>
                </c:pt>
              </c:numCache>
            </c:numRef>
          </c:yVal>
          <c:smooth val="1"/>
          <c:extLst>
            <c:ext xmlns:c16="http://schemas.microsoft.com/office/drawing/2014/chart" uri="{C3380CC4-5D6E-409C-BE32-E72D297353CC}">
              <c16:uniqueId val="{00000000-C950-43A1-BE41-DF61EB079F4C}"/>
            </c:ext>
          </c:extLst>
        </c:ser>
        <c:ser>
          <c:idx val="1"/>
          <c:order val="1"/>
          <c:tx>
            <c:v>Modelo</c:v>
          </c:tx>
          <c:yVal>
            <c:numRef>
              <c:f>Hoja1!$C$1:$C$10</c:f>
              <c:numCache>
                <c:formatCode>General</c:formatCode>
                <c:ptCount val="10"/>
                <c:pt idx="0">
                  <c:v>8.48</c:v>
                </c:pt>
                <c:pt idx="1">
                  <c:v>7.39</c:v>
                </c:pt>
                <c:pt idx="2">
                  <c:v>7.6499999999999995</c:v>
                </c:pt>
                <c:pt idx="3">
                  <c:v>5.52</c:v>
                </c:pt>
                <c:pt idx="4">
                  <c:v>5.1199999999999966</c:v>
                </c:pt>
                <c:pt idx="5">
                  <c:v>6.31</c:v>
                </c:pt>
                <c:pt idx="6">
                  <c:v>3.4499999999999997</c:v>
                </c:pt>
                <c:pt idx="7">
                  <c:v>3.57</c:v>
                </c:pt>
                <c:pt idx="8">
                  <c:v>2.36</c:v>
                </c:pt>
                <c:pt idx="9">
                  <c:v>2.25</c:v>
                </c:pt>
              </c:numCache>
            </c:numRef>
          </c:yVal>
          <c:smooth val="1"/>
          <c:extLst>
            <c:ext xmlns:c16="http://schemas.microsoft.com/office/drawing/2014/chart" uri="{C3380CC4-5D6E-409C-BE32-E72D297353CC}">
              <c16:uniqueId val="{00000001-C950-43A1-BE41-DF61EB079F4C}"/>
            </c:ext>
          </c:extLst>
        </c:ser>
        <c:dLbls>
          <c:showLegendKey val="0"/>
          <c:showVal val="0"/>
          <c:showCatName val="0"/>
          <c:showSerName val="0"/>
          <c:showPercent val="0"/>
          <c:showBubbleSize val="0"/>
        </c:dLbls>
        <c:axId val="73325952"/>
        <c:axId val="73328128"/>
      </c:scatterChart>
      <c:valAx>
        <c:axId val="73325952"/>
        <c:scaling>
          <c:orientation val="minMax"/>
        </c:scaling>
        <c:delete val="0"/>
        <c:axPos val="b"/>
        <c:title>
          <c:tx>
            <c:rich>
              <a:bodyPr/>
              <a:lstStyle/>
              <a:p>
                <a:pPr>
                  <a:defRPr/>
                </a:pPr>
                <a:r>
                  <a:rPr lang="es-MX"/>
                  <a:t>Muestras</a:t>
                </a:r>
              </a:p>
            </c:rich>
          </c:tx>
          <c:overlay val="0"/>
        </c:title>
        <c:majorTickMark val="none"/>
        <c:minorTickMark val="none"/>
        <c:tickLblPos val="nextTo"/>
        <c:crossAx val="73328128"/>
        <c:crosses val="autoZero"/>
        <c:crossBetween val="midCat"/>
      </c:valAx>
      <c:valAx>
        <c:axId val="73328128"/>
        <c:scaling>
          <c:orientation val="minMax"/>
        </c:scaling>
        <c:delete val="0"/>
        <c:axPos val="l"/>
        <c:majorGridlines/>
        <c:title>
          <c:tx>
            <c:rich>
              <a:bodyPr/>
              <a:lstStyle/>
              <a:p>
                <a:pPr>
                  <a:defRPr/>
                </a:pPr>
                <a:r>
                  <a:rPr lang="en-US"/>
                  <a:t>Concentración</a:t>
                </a:r>
              </a:p>
            </c:rich>
          </c:tx>
          <c:overlay val="0"/>
        </c:title>
        <c:numFmt formatCode="General" sourceLinked="1"/>
        <c:majorTickMark val="none"/>
        <c:minorTickMark val="none"/>
        <c:tickLblPos val="nextTo"/>
        <c:crossAx val="73325952"/>
        <c:crosses val="autoZero"/>
        <c:crossBetween val="midCat"/>
      </c:valAx>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48381452318461"/>
          <c:y val="5.0925925925925923E-2"/>
          <c:w val="0.83129396325459315"/>
          <c:h val="0.76259988334791473"/>
        </c:manualLayout>
      </c:layout>
      <c:scatterChart>
        <c:scatterStyle val="smoothMarker"/>
        <c:varyColors val="0"/>
        <c:ser>
          <c:idx val="0"/>
          <c:order val="0"/>
          <c:tx>
            <c:strRef>
              <c:f>Hoja1!$F$3</c:f>
              <c:strCache>
                <c:ptCount val="1"/>
                <c:pt idx="0">
                  <c:v>pH 5.5</c:v>
                </c:pt>
              </c:strCache>
            </c:strRef>
          </c:tx>
          <c:spPr>
            <a:ln w="19050" cap="rnd">
              <a:solidFill>
                <a:schemeClr val="bg2">
                  <a:lumMod val="75000"/>
                </a:schemeClr>
              </a:solidFill>
              <a:prstDash val="dash"/>
              <a:round/>
            </a:ln>
            <a:effectLst/>
          </c:spPr>
          <c:marker>
            <c:symbol val="circle"/>
            <c:size val="5"/>
            <c:spPr>
              <a:noFill/>
              <a:ln w="9525">
                <a:solidFill>
                  <a:schemeClr val="bg2">
                    <a:lumMod val="75000"/>
                  </a:schemeClr>
                </a:solidFill>
              </a:ln>
              <a:effectLst/>
            </c:spPr>
          </c:marker>
          <c:errBars>
            <c:errDir val="y"/>
            <c:errBarType val="both"/>
            <c:errValType val="cust"/>
            <c:noEndCap val="0"/>
            <c:plus>
              <c:numRef>
                <c:f>Hoja1!$I$4:$I$9</c:f>
                <c:numCache>
                  <c:formatCode>General</c:formatCode>
                  <c:ptCount val="6"/>
                  <c:pt idx="0">
                    <c:v>1.5</c:v>
                  </c:pt>
                  <c:pt idx="1">
                    <c:v>1.1000000000000001</c:v>
                  </c:pt>
                  <c:pt idx="2">
                    <c:v>0.95</c:v>
                  </c:pt>
                  <c:pt idx="3">
                    <c:v>1.7</c:v>
                  </c:pt>
                  <c:pt idx="4">
                    <c:v>1</c:v>
                  </c:pt>
                  <c:pt idx="5">
                    <c:v>1.4</c:v>
                  </c:pt>
                </c:numCache>
              </c:numRef>
            </c:plus>
            <c:minus>
              <c:numRef>
                <c:f>Hoja1!$I$4:$I$9</c:f>
                <c:numCache>
                  <c:formatCode>General</c:formatCode>
                  <c:ptCount val="6"/>
                  <c:pt idx="0">
                    <c:v>1.5</c:v>
                  </c:pt>
                  <c:pt idx="1">
                    <c:v>1.1000000000000001</c:v>
                  </c:pt>
                  <c:pt idx="2">
                    <c:v>0.95</c:v>
                  </c:pt>
                  <c:pt idx="3">
                    <c:v>1.7</c:v>
                  </c:pt>
                  <c:pt idx="4">
                    <c:v>1</c:v>
                  </c:pt>
                  <c:pt idx="5">
                    <c:v>1.4</c:v>
                  </c:pt>
                </c:numCache>
              </c:numRef>
            </c:minus>
            <c:spPr>
              <a:noFill/>
              <a:ln w="9525" cap="flat" cmpd="sng" algn="ctr">
                <a:solidFill>
                  <a:schemeClr val="tx1">
                    <a:lumMod val="65000"/>
                    <a:lumOff val="35000"/>
                  </a:schemeClr>
                </a:solidFill>
                <a:round/>
              </a:ln>
              <a:effectLst/>
            </c:spPr>
          </c:errBars>
          <c:xVal>
            <c:numRef>
              <c:f>Hoja1!$E$4:$E$9</c:f>
              <c:numCache>
                <c:formatCode>General</c:formatCode>
                <c:ptCount val="6"/>
                <c:pt idx="0">
                  <c:v>0</c:v>
                </c:pt>
                <c:pt idx="1">
                  <c:v>4</c:v>
                </c:pt>
                <c:pt idx="2">
                  <c:v>8</c:v>
                </c:pt>
                <c:pt idx="3">
                  <c:v>12</c:v>
                </c:pt>
                <c:pt idx="4">
                  <c:v>16</c:v>
                </c:pt>
                <c:pt idx="5">
                  <c:v>20</c:v>
                </c:pt>
              </c:numCache>
            </c:numRef>
          </c:xVal>
          <c:yVal>
            <c:numRef>
              <c:f>Hoja1!$F$4:$F$9</c:f>
              <c:numCache>
                <c:formatCode>General</c:formatCode>
                <c:ptCount val="6"/>
                <c:pt idx="0">
                  <c:v>6</c:v>
                </c:pt>
                <c:pt idx="1">
                  <c:v>25</c:v>
                </c:pt>
                <c:pt idx="2">
                  <c:v>34</c:v>
                </c:pt>
                <c:pt idx="3">
                  <c:v>40</c:v>
                </c:pt>
                <c:pt idx="4">
                  <c:v>38</c:v>
                </c:pt>
                <c:pt idx="5">
                  <c:v>44</c:v>
                </c:pt>
              </c:numCache>
            </c:numRef>
          </c:yVal>
          <c:smooth val="1"/>
          <c:extLst>
            <c:ext xmlns:c16="http://schemas.microsoft.com/office/drawing/2014/chart" uri="{C3380CC4-5D6E-409C-BE32-E72D297353CC}">
              <c16:uniqueId val="{00000000-9FD8-4A54-AE08-BFAD17CAAE57}"/>
            </c:ext>
          </c:extLst>
        </c:ser>
        <c:ser>
          <c:idx val="1"/>
          <c:order val="1"/>
          <c:tx>
            <c:strRef>
              <c:f>Hoja1!$G$3</c:f>
              <c:strCache>
                <c:ptCount val="1"/>
                <c:pt idx="0">
                  <c:v>pH 7.5</c:v>
                </c:pt>
              </c:strCache>
            </c:strRef>
          </c:tx>
          <c:spPr>
            <a:ln w="19050" cap="rnd">
              <a:solidFill>
                <a:schemeClr val="tx1"/>
              </a:solidFill>
              <a:round/>
            </a:ln>
            <a:effectLst/>
          </c:spPr>
          <c:marker>
            <c:symbol val="circle"/>
            <c:size val="5"/>
            <c:spPr>
              <a:solidFill>
                <a:schemeClr val="tx1"/>
              </a:solidFill>
              <a:ln w="9525">
                <a:solidFill>
                  <a:schemeClr val="tx1"/>
                </a:solidFill>
              </a:ln>
              <a:effectLst/>
            </c:spPr>
          </c:marker>
          <c:errBars>
            <c:errDir val="y"/>
            <c:errBarType val="both"/>
            <c:errValType val="cust"/>
            <c:noEndCap val="0"/>
            <c:plus>
              <c:numRef>
                <c:f>Hoja1!$H$4:$H$9</c:f>
                <c:numCache>
                  <c:formatCode>General</c:formatCode>
                  <c:ptCount val="6"/>
                  <c:pt idx="0">
                    <c:v>1.5</c:v>
                  </c:pt>
                  <c:pt idx="1">
                    <c:v>0.9</c:v>
                  </c:pt>
                  <c:pt idx="2">
                    <c:v>1.1000000000000001</c:v>
                  </c:pt>
                  <c:pt idx="3">
                    <c:v>2</c:v>
                  </c:pt>
                  <c:pt idx="4">
                    <c:v>1.7</c:v>
                  </c:pt>
                  <c:pt idx="5">
                    <c:v>0</c:v>
                  </c:pt>
                </c:numCache>
              </c:numRef>
            </c:plus>
            <c:minus>
              <c:numRef>
                <c:f>Hoja1!$H$4:$H$9</c:f>
                <c:numCache>
                  <c:formatCode>General</c:formatCode>
                  <c:ptCount val="6"/>
                  <c:pt idx="0">
                    <c:v>1.5</c:v>
                  </c:pt>
                  <c:pt idx="1">
                    <c:v>0.9</c:v>
                  </c:pt>
                  <c:pt idx="2">
                    <c:v>1.1000000000000001</c:v>
                  </c:pt>
                  <c:pt idx="3">
                    <c:v>2</c:v>
                  </c:pt>
                  <c:pt idx="4">
                    <c:v>1.7</c:v>
                  </c:pt>
                  <c:pt idx="5">
                    <c:v>0</c:v>
                  </c:pt>
                </c:numCache>
              </c:numRef>
            </c:minus>
            <c:spPr>
              <a:noFill/>
              <a:ln w="9525" cap="flat" cmpd="sng" algn="ctr">
                <a:solidFill>
                  <a:schemeClr val="tx1">
                    <a:lumMod val="65000"/>
                    <a:lumOff val="35000"/>
                  </a:schemeClr>
                </a:solidFill>
                <a:round/>
              </a:ln>
              <a:effectLst/>
            </c:spPr>
          </c:errBars>
          <c:xVal>
            <c:numRef>
              <c:f>Hoja1!$E$4:$E$9</c:f>
              <c:numCache>
                <c:formatCode>General</c:formatCode>
                <c:ptCount val="6"/>
                <c:pt idx="0">
                  <c:v>0</c:v>
                </c:pt>
                <c:pt idx="1">
                  <c:v>4</c:v>
                </c:pt>
                <c:pt idx="2">
                  <c:v>8</c:v>
                </c:pt>
                <c:pt idx="3">
                  <c:v>12</c:v>
                </c:pt>
                <c:pt idx="4">
                  <c:v>16</c:v>
                </c:pt>
                <c:pt idx="5">
                  <c:v>20</c:v>
                </c:pt>
              </c:numCache>
            </c:numRef>
          </c:xVal>
          <c:yVal>
            <c:numRef>
              <c:f>Hoja1!$G$4:$G$9</c:f>
              <c:numCache>
                <c:formatCode>General</c:formatCode>
                <c:ptCount val="6"/>
                <c:pt idx="0">
                  <c:v>6</c:v>
                </c:pt>
                <c:pt idx="1">
                  <c:v>37</c:v>
                </c:pt>
                <c:pt idx="2">
                  <c:v>4</c:v>
                </c:pt>
                <c:pt idx="3">
                  <c:v>6</c:v>
                </c:pt>
                <c:pt idx="4">
                  <c:v>2</c:v>
                </c:pt>
                <c:pt idx="5">
                  <c:v>0</c:v>
                </c:pt>
              </c:numCache>
            </c:numRef>
          </c:yVal>
          <c:smooth val="1"/>
          <c:extLst>
            <c:ext xmlns:c16="http://schemas.microsoft.com/office/drawing/2014/chart" uri="{C3380CC4-5D6E-409C-BE32-E72D297353CC}">
              <c16:uniqueId val="{00000001-9FD8-4A54-AE08-BFAD17CAAE57}"/>
            </c:ext>
          </c:extLst>
        </c:ser>
        <c:dLbls>
          <c:showLegendKey val="0"/>
          <c:showVal val="0"/>
          <c:showCatName val="0"/>
          <c:showSerName val="0"/>
          <c:showPercent val="0"/>
          <c:showBubbleSize val="0"/>
        </c:dLbls>
        <c:axId val="566524288"/>
        <c:axId val="566528552"/>
      </c:scatterChart>
      <c:valAx>
        <c:axId val="566524288"/>
        <c:scaling>
          <c:orientation val="minMax"/>
          <c:max val="2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Días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6528552"/>
        <c:crosses val="autoZero"/>
        <c:crossBetween val="midCat"/>
      </c:valAx>
      <c:valAx>
        <c:axId val="566528552"/>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Acido giberélico (mg/L)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6524288"/>
        <c:crosses val="autoZero"/>
        <c:crossBetween val="midCat"/>
      </c:valAx>
      <c:spPr>
        <a:noFill/>
        <a:ln>
          <a:noFill/>
        </a:ln>
        <a:effectLst/>
      </c:spPr>
    </c:plotArea>
    <c:legend>
      <c:legendPos val="b"/>
      <c:layout>
        <c:manualLayout>
          <c:xMode val="edge"/>
          <c:yMode val="edge"/>
          <c:x val="0.73524409448818895"/>
          <c:y val="0.40798556430446192"/>
          <c:w val="0.19340048118985123"/>
          <c:h val="0.1707181393992417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47003499562554"/>
          <c:y val="5.0925925925925923E-2"/>
          <c:w val="0.83630774278215225"/>
          <c:h val="0.80518445610965295"/>
        </c:manualLayout>
      </c:layout>
      <c:scatterChart>
        <c:scatterStyle val="smoothMarker"/>
        <c:varyColors val="0"/>
        <c:ser>
          <c:idx val="0"/>
          <c:order val="0"/>
          <c:tx>
            <c:strRef>
              <c:f>Hoja1!$F$16</c:f>
              <c:strCache>
                <c:ptCount val="1"/>
                <c:pt idx="0">
                  <c:v>pH 5.5</c:v>
                </c:pt>
              </c:strCache>
            </c:strRef>
          </c:tx>
          <c:spPr>
            <a:ln w="19050" cap="rnd">
              <a:solidFill>
                <a:schemeClr val="tx1"/>
              </a:solidFill>
              <a:prstDash val="dash"/>
              <a:round/>
            </a:ln>
            <a:effectLst/>
          </c:spPr>
          <c:marker>
            <c:symbol val="circle"/>
            <c:size val="5"/>
            <c:spPr>
              <a:solidFill>
                <a:schemeClr val="tx1"/>
              </a:solidFill>
              <a:ln w="9525">
                <a:solidFill>
                  <a:schemeClr val="tx1"/>
                </a:solidFill>
              </a:ln>
              <a:effectLst/>
            </c:spPr>
          </c:marker>
          <c:errBars>
            <c:errDir val="y"/>
            <c:errBarType val="both"/>
            <c:errValType val="cust"/>
            <c:noEndCap val="0"/>
            <c:plus>
              <c:numRef>
                <c:f>Hoja1!$H$17:$H$22</c:f>
                <c:numCache>
                  <c:formatCode>General</c:formatCode>
                  <c:ptCount val="6"/>
                  <c:pt idx="0">
                    <c:v>0.3</c:v>
                  </c:pt>
                  <c:pt idx="1">
                    <c:v>0.3</c:v>
                  </c:pt>
                  <c:pt idx="2">
                    <c:v>0.25</c:v>
                  </c:pt>
                  <c:pt idx="3">
                    <c:v>0.15</c:v>
                  </c:pt>
                  <c:pt idx="4">
                    <c:v>0.2</c:v>
                  </c:pt>
                  <c:pt idx="5">
                    <c:v>0.17</c:v>
                  </c:pt>
                </c:numCache>
              </c:numRef>
            </c:plus>
            <c:minus>
              <c:numRef>
                <c:f>Hoja1!$H$17:$H$22</c:f>
                <c:numCache>
                  <c:formatCode>General</c:formatCode>
                  <c:ptCount val="6"/>
                  <c:pt idx="0">
                    <c:v>0.3</c:v>
                  </c:pt>
                  <c:pt idx="1">
                    <c:v>0.3</c:v>
                  </c:pt>
                  <c:pt idx="2">
                    <c:v>0.25</c:v>
                  </c:pt>
                  <c:pt idx="3">
                    <c:v>0.15</c:v>
                  </c:pt>
                  <c:pt idx="4">
                    <c:v>0.2</c:v>
                  </c:pt>
                  <c:pt idx="5">
                    <c:v>0.17</c:v>
                  </c:pt>
                </c:numCache>
              </c:numRef>
            </c:minus>
            <c:spPr>
              <a:noFill/>
              <a:ln w="9525" cap="flat" cmpd="sng" algn="ctr">
                <a:solidFill>
                  <a:schemeClr val="tx1">
                    <a:lumMod val="65000"/>
                    <a:lumOff val="35000"/>
                  </a:schemeClr>
                </a:solidFill>
                <a:round/>
              </a:ln>
              <a:effectLst/>
            </c:spPr>
          </c:errBars>
          <c:xVal>
            <c:numRef>
              <c:f>Hoja1!$E$17:$E$22</c:f>
              <c:numCache>
                <c:formatCode>General</c:formatCode>
                <c:ptCount val="6"/>
                <c:pt idx="0">
                  <c:v>0</c:v>
                </c:pt>
                <c:pt idx="1">
                  <c:v>4</c:v>
                </c:pt>
                <c:pt idx="2">
                  <c:v>8</c:v>
                </c:pt>
                <c:pt idx="3">
                  <c:v>12</c:v>
                </c:pt>
                <c:pt idx="4">
                  <c:v>16</c:v>
                </c:pt>
                <c:pt idx="5">
                  <c:v>20</c:v>
                </c:pt>
              </c:numCache>
            </c:numRef>
          </c:xVal>
          <c:yVal>
            <c:numRef>
              <c:f>Hoja1!$F$17:$F$22</c:f>
              <c:numCache>
                <c:formatCode>General</c:formatCode>
                <c:ptCount val="6"/>
                <c:pt idx="0">
                  <c:v>0.8</c:v>
                </c:pt>
                <c:pt idx="1">
                  <c:v>4.9000000000000004</c:v>
                </c:pt>
                <c:pt idx="2">
                  <c:v>2.0499999999999998</c:v>
                </c:pt>
                <c:pt idx="3">
                  <c:v>0.52</c:v>
                </c:pt>
                <c:pt idx="4">
                  <c:v>1.43</c:v>
                </c:pt>
                <c:pt idx="5">
                  <c:v>3.75</c:v>
                </c:pt>
              </c:numCache>
            </c:numRef>
          </c:yVal>
          <c:smooth val="1"/>
          <c:extLst>
            <c:ext xmlns:c16="http://schemas.microsoft.com/office/drawing/2014/chart" uri="{C3380CC4-5D6E-409C-BE32-E72D297353CC}">
              <c16:uniqueId val="{00000000-8B38-43D6-B5DC-2DCBFFE60C69}"/>
            </c:ext>
          </c:extLst>
        </c:ser>
        <c:ser>
          <c:idx val="1"/>
          <c:order val="1"/>
          <c:tx>
            <c:strRef>
              <c:f>Hoja1!$G$16</c:f>
              <c:strCache>
                <c:ptCount val="1"/>
                <c:pt idx="0">
                  <c:v>pH 7.5</c:v>
                </c:pt>
              </c:strCache>
            </c:strRef>
          </c:tx>
          <c:spPr>
            <a:ln w="19050" cap="rnd">
              <a:solidFill>
                <a:schemeClr val="tx1"/>
              </a:solidFill>
              <a:prstDash val="solid"/>
              <a:round/>
            </a:ln>
            <a:effectLst/>
          </c:spPr>
          <c:marker>
            <c:symbol val="circle"/>
            <c:size val="5"/>
            <c:spPr>
              <a:noFill/>
              <a:ln w="9525">
                <a:solidFill>
                  <a:schemeClr val="bg2">
                    <a:lumMod val="75000"/>
                  </a:schemeClr>
                </a:solidFill>
              </a:ln>
              <a:effectLst/>
            </c:spPr>
          </c:marker>
          <c:errBars>
            <c:errDir val="y"/>
            <c:errBarType val="both"/>
            <c:errValType val="cust"/>
            <c:noEndCap val="0"/>
            <c:plus>
              <c:numRef>
                <c:f>Hoja1!$I$17:$I$22</c:f>
                <c:numCache>
                  <c:formatCode>General</c:formatCode>
                  <c:ptCount val="6"/>
                  <c:pt idx="0">
                    <c:v>0.3</c:v>
                  </c:pt>
                </c:numCache>
              </c:numRef>
            </c:plus>
            <c:minus>
              <c:numRef>
                <c:f>Hoja1!$I$17:$I$22</c:f>
                <c:numCache>
                  <c:formatCode>General</c:formatCode>
                  <c:ptCount val="6"/>
                  <c:pt idx="0">
                    <c:v>0.3</c:v>
                  </c:pt>
                </c:numCache>
              </c:numRef>
            </c:minus>
            <c:spPr>
              <a:noFill/>
              <a:ln w="9525" cap="flat" cmpd="sng" algn="ctr">
                <a:solidFill>
                  <a:schemeClr val="tx1">
                    <a:lumMod val="65000"/>
                    <a:lumOff val="35000"/>
                  </a:schemeClr>
                </a:solidFill>
                <a:round/>
              </a:ln>
              <a:effectLst/>
            </c:spPr>
          </c:errBars>
          <c:xVal>
            <c:numRef>
              <c:f>Hoja1!$E$17:$E$22</c:f>
              <c:numCache>
                <c:formatCode>General</c:formatCode>
                <c:ptCount val="6"/>
                <c:pt idx="0">
                  <c:v>0</c:v>
                </c:pt>
                <c:pt idx="1">
                  <c:v>4</c:v>
                </c:pt>
                <c:pt idx="2">
                  <c:v>8</c:v>
                </c:pt>
                <c:pt idx="3">
                  <c:v>12</c:v>
                </c:pt>
                <c:pt idx="4">
                  <c:v>16</c:v>
                </c:pt>
                <c:pt idx="5">
                  <c:v>20</c:v>
                </c:pt>
              </c:numCache>
            </c:numRef>
          </c:xVal>
          <c:yVal>
            <c:numRef>
              <c:f>Hoja1!$G$17:$G$22</c:f>
              <c:numCache>
                <c:formatCode>General</c:formatCode>
                <c:ptCount val="6"/>
                <c:pt idx="0">
                  <c:v>0.8</c:v>
                </c:pt>
                <c:pt idx="1">
                  <c:v>0.1</c:v>
                </c:pt>
                <c:pt idx="2">
                  <c:v>0</c:v>
                </c:pt>
                <c:pt idx="3">
                  <c:v>0</c:v>
                </c:pt>
                <c:pt idx="4">
                  <c:v>0</c:v>
                </c:pt>
                <c:pt idx="5">
                  <c:v>0</c:v>
                </c:pt>
              </c:numCache>
            </c:numRef>
          </c:yVal>
          <c:smooth val="1"/>
          <c:extLst>
            <c:ext xmlns:c16="http://schemas.microsoft.com/office/drawing/2014/chart" uri="{C3380CC4-5D6E-409C-BE32-E72D297353CC}">
              <c16:uniqueId val="{00000001-8B38-43D6-B5DC-2DCBFFE60C69}"/>
            </c:ext>
          </c:extLst>
        </c:ser>
        <c:dLbls>
          <c:showLegendKey val="0"/>
          <c:showVal val="0"/>
          <c:showCatName val="0"/>
          <c:showSerName val="0"/>
          <c:showPercent val="0"/>
          <c:showBubbleSize val="0"/>
        </c:dLbls>
        <c:axId val="566550200"/>
        <c:axId val="566550528"/>
      </c:scatterChart>
      <c:valAx>
        <c:axId val="566550200"/>
        <c:scaling>
          <c:orientation val="minMax"/>
          <c:max val="2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Días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6550528"/>
        <c:crosses val="autoZero"/>
        <c:crossBetween val="midCat"/>
      </c:valAx>
      <c:valAx>
        <c:axId val="566550528"/>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Acido indol acético (mg/L)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6550200"/>
        <c:crosses val="autoZero"/>
        <c:crossBetween val="midCat"/>
      </c:valAx>
      <c:spPr>
        <a:noFill/>
        <a:ln>
          <a:noFill/>
        </a:ln>
        <a:effectLst/>
      </c:spPr>
    </c:plotArea>
    <c:legend>
      <c:legendPos val="b"/>
      <c:layout>
        <c:manualLayout>
          <c:xMode val="edge"/>
          <c:yMode val="edge"/>
          <c:x val="0.80468853893263337"/>
          <c:y val="0.63020778652668408"/>
          <c:w val="0.19062270341207349"/>
          <c:h val="0.1846070282881306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a:t>Programas</a:t>
            </a:r>
            <a:r>
              <a:rPr lang="es-ES" baseline="0"/>
              <a:t> de movilidad</a:t>
            </a:r>
            <a:endParaRPr lang="es-E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stacked"/>
        <c:varyColors val="0"/>
        <c:ser>
          <c:idx val="0"/>
          <c:order val="0"/>
          <c:tx>
            <c:strRef>
              <c:f>Hoja1!$A$93</c:f>
              <c:strCache>
                <c:ptCount val="1"/>
                <c:pt idx="0">
                  <c:v>Bilateral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numRef>
              <c:f>Hoja1!$B$92:$I$92</c:f>
              <c:numCache>
                <c:formatCode>General</c:formatCode>
                <c:ptCount val="8"/>
                <c:pt idx="1">
                  <c:v>2011</c:v>
                </c:pt>
                <c:pt idx="2">
                  <c:v>2012</c:v>
                </c:pt>
                <c:pt idx="3">
                  <c:v>2013</c:v>
                </c:pt>
                <c:pt idx="4">
                  <c:v>2014</c:v>
                </c:pt>
                <c:pt idx="5">
                  <c:v>2015</c:v>
                </c:pt>
                <c:pt idx="6">
                  <c:v>2016</c:v>
                </c:pt>
                <c:pt idx="7">
                  <c:v>2017</c:v>
                </c:pt>
              </c:numCache>
            </c:numRef>
          </c:cat>
          <c:val>
            <c:numRef>
              <c:f>Hoja1!$B$93:$I$93</c:f>
              <c:numCache>
                <c:formatCode>General</c:formatCode>
                <c:ptCount val="8"/>
                <c:pt idx="1">
                  <c:v>3</c:v>
                </c:pt>
                <c:pt idx="2">
                  <c:v>6</c:v>
                </c:pt>
                <c:pt idx="3">
                  <c:v>7</c:v>
                </c:pt>
                <c:pt idx="4">
                  <c:v>10</c:v>
                </c:pt>
                <c:pt idx="5">
                  <c:v>15</c:v>
                </c:pt>
                <c:pt idx="6">
                  <c:v>18</c:v>
                </c:pt>
                <c:pt idx="7">
                  <c:v>71</c:v>
                </c:pt>
              </c:numCache>
            </c:numRef>
          </c:val>
          <c:extLst>
            <c:ext xmlns:c16="http://schemas.microsoft.com/office/drawing/2014/chart" uri="{C3380CC4-5D6E-409C-BE32-E72D297353CC}">
              <c16:uniqueId val="{00000000-64C7-4B5F-BBA6-AD95756ADFC8}"/>
            </c:ext>
          </c:extLst>
        </c:ser>
        <c:ser>
          <c:idx val="1"/>
          <c:order val="1"/>
          <c:tx>
            <c:strRef>
              <c:f>Hoja1!$A$94</c:f>
              <c:strCache>
                <c:ptCount val="1"/>
                <c:pt idx="0">
                  <c:v>CINDA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numRef>
              <c:f>Hoja1!$B$92:$I$92</c:f>
              <c:numCache>
                <c:formatCode>General</c:formatCode>
                <c:ptCount val="8"/>
                <c:pt idx="1">
                  <c:v>2011</c:v>
                </c:pt>
                <c:pt idx="2">
                  <c:v>2012</c:v>
                </c:pt>
                <c:pt idx="3">
                  <c:v>2013</c:v>
                </c:pt>
                <c:pt idx="4">
                  <c:v>2014</c:v>
                </c:pt>
                <c:pt idx="5">
                  <c:v>2015</c:v>
                </c:pt>
                <c:pt idx="6">
                  <c:v>2016</c:v>
                </c:pt>
                <c:pt idx="7">
                  <c:v>2017</c:v>
                </c:pt>
              </c:numCache>
            </c:numRef>
          </c:cat>
          <c:val>
            <c:numRef>
              <c:f>Hoja1!$B$94:$I$94</c:f>
              <c:numCache>
                <c:formatCode>General</c:formatCode>
                <c:ptCount val="8"/>
                <c:pt idx="1">
                  <c:v>2</c:v>
                </c:pt>
                <c:pt idx="2">
                  <c:v>5</c:v>
                </c:pt>
                <c:pt idx="3">
                  <c:v>0</c:v>
                </c:pt>
                <c:pt idx="4">
                  <c:v>3</c:v>
                </c:pt>
                <c:pt idx="5">
                  <c:v>0</c:v>
                </c:pt>
                <c:pt idx="6">
                  <c:v>3</c:v>
                </c:pt>
                <c:pt idx="7">
                  <c:v>1</c:v>
                </c:pt>
              </c:numCache>
            </c:numRef>
          </c:val>
          <c:extLst>
            <c:ext xmlns:c16="http://schemas.microsoft.com/office/drawing/2014/chart" uri="{C3380CC4-5D6E-409C-BE32-E72D297353CC}">
              <c16:uniqueId val="{00000001-64C7-4B5F-BBA6-AD95756ADFC8}"/>
            </c:ext>
          </c:extLst>
        </c:ser>
        <c:ser>
          <c:idx val="2"/>
          <c:order val="2"/>
          <c:tx>
            <c:strRef>
              <c:f>Hoja1!$A$95</c:f>
              <c:strCache>
                <c:ptCount val="1"/>
                <c:pt idx="0">
                  <c:v>JIMA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numRef>
              <c:f>Hoja1!$B$92:$I$92</c:f>
              <c:numCache>
                <c:formatCode>General</c:formatCode>
                <c:ptCount val="8"/>
                <c:pt idx="1">
                  <c:v>2011</c:v>
                </c:pt>
                <c:pt idx="2">
                  <c:v>2012</c:v>
                </c:pt>
                <c:pt idx="3">
                  <c:v>2013</c:v>
                </c:pt>
                <c:pt idx="4">
                  <c:v>2014</c:v>
                </c:pt>
                <c:pt idx="5">
                  <c:v>2015</c:v>
                </c:pt>
                <c:pt idx="6">
                  <c:v>2016</c:v>
                </c:pt>
                <c:pt idx="7">
                  <c:v>2017</c:v>
                </c:pt>
              </c:numCache>
            </c:numRef>
          </c:cat>
          <c:val>
            <c:numRef>
              <c:f>Hoja1!$B$95:$I$95</c:f>
              <c:numCache>
                <c:formatCode>General</c:formatCode>
                <c:ptCount val="8"/>
                <c:pt idx="1">
                  <c:v>3</c:v>
                </c:pt>
                <c:pt idx="2">
                  <c:v>1</c:v>
                </c:pt>
                <c:pt idx="3">
                  <c:v>0</c:v>
                </c:pt>
                <c:pt idx="4">
                  <c:v>1</c:v>
                </c:pt>
                <c:pt idx="5">
                  <c:v>0</c:v>
                </c:pt>
                <c:pt idx="6">
                  <c:v>1</c:v>
                </c:pt>
                <c:pt idx="7">
                  <c:v>0</c:v>
                </c:pt>
              </c:numCache>
            </c:numRef>
          </c:val>
          <c:extLst>
            <c:ext xmlns:c16="http://schemas.microsoft.com/office/drawing/2014/chart" uri="{C3380CC4-5D6E-409C-BE32-E72D297353CC}">
              <c16:uniqueId val="{00000002-64C7-4B5F-BBA6-AD95756ADFC8}"/>
            </c:ext>
          </c:extLst>
        </c:ser>
        <c:ser>
          <c:idx val="3"/>
          <c:order val="3"/>
          <c:tx>
            <c:strRef>
              <c:f>Hoja1!$A$96</c:f>
              <c:strCache>
                <c:ptCount val="1"/>
                <c:pt idx="0">
                  <c:v>PAME_UDUAL</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numRef>
              <c:f>Hoja1!$B$92:$I$92</c:f>
              <c:numCache>
                <c:formatCode>General</c:formatCode>
                <c:ptCount val="8"/>
                <c:pt idx="1">
                  <c:v>2011</c:v>
                </c:pt>
                <c:pt idx="2">
                  <c:v>2012</c:v>
                </c:pt>
                <c:pt idx="3">
                  <c:v>2013</c:v>
                </c:pt>
                <c:pt idx="4">
                  <c:v>2014</c:v>
                </c:pt>
                <c:pt idx="5">
                  <c:v>2015</c:v>
                </c:pt>
                <c:pt idx="6">
                  <c:v>2016</c:v>
                </c:pt>
                <c:pt idx="7">
                  <c:v>2017</c:v>
                </c:pt>
              </c:numCache>
            </c:numRef>
          </c:cat>
          <c:val>
            <c:numRef>
              <c:f>Hoja1!$B$96:$I$96</c:f>
              <c:numCache>
                <c:formatCode>General</c:formatCode>
                <c:ptCount val="8"/>
                <c:pt idx="1">
                  <c:v>0</c:v>
                </c:pt>
                <c:pt idx="2">
                  <c:v>3</c:v>
                </c:pt>
                <c:pt idx="3">
                  <c:v>2</c:v>
                </c:pt>
                <c:pt idx="4">
                  <c:v>4</c:v>
                </c:pt>
                <c:pt idx="5">
                  <c:v>0</c:v>
                </c:pt>
                <c:pt idx="6">
                  <c:v>4</c:v>
                </c:pt>
                <c:pt idx="7">
                  <c:v>1</c:v>
                </c:pt>
              </c:numCache>
            </c:numRef>
          </c:val>
          <c:extLst>
            <c:ext xmlns:c16="http://schemas.microsoft.com/office/drawing/2014/chart" uri="{C3380CC4-5D6E-409C-BE32-E72D297353CC}">
              <c16:uniqueId val="{00000003-64C7-4B5F-BBA6-AD95756ADFC8}"/>
            </c:ext>
          </c:extLst>
        </c:ser>
        <c:dLbls>
          <c:showLegendKey val="0"/>
          <c:showVal val="0"/>
          <c:showCatName val="0"/>
          <c:showSerName val="0"/>
          <c:showPercent val="0"/>
          <c:showBubbleSize val="0"/>
        </c:dLbls>
        <c:gapWidth val="150"/>
        <c:overlap val="100"/>
        <c:axId val="241252864"/>
        <c:axId val="239437760"/>
        <c:extLst>
          <c:ext xmlns:c15="http://schemas.microsoft.com/office/drawing/2012/chart" uri="{02D57815-91ED-43cb-92C2-25804820EDAC}">
            <c15:filteredBarSeries>
              <c15:ser>
                <c:idx val="4"/>
                <c:order val="4"/>
                <c:tx>
                  <c:strRef>
                    <c:extLst>
                      <c:ext uri="{02D57815-91ED-43cb-92C2-25804820EDAC}">
                        <c15:formulaRef>
                          <c15:sqref>Hoja1!$A$97</c15:sqref>
                        </c15:formulaRef>
                      </c:ext>
                    </c:extLst>
                    <c:strCache>
                      <c:ptCount val="1"/>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numRef>
                    <c:extLst>
                      <c:ext uri="{02D57815-91ED-43cb-92C2-25804820EDAC}">
                        <c15:formulaRef>
                          <c15:sqref>Hoja1!$B$92:$I$92</c15:sqref>
                        </c15:formulaRef>
                      </c:ext>
                    </c:extLst>
                    <c:numCache>
                      <c:formatCode>General</c:formatCode>
                      <c:ptCount val="8"/>
                      <c:pt idx="1">
                        <c:v>2011</c:v>
                      </c:pt>
                      <c:pt idx="2">
                        <c:v>2012</c:v>
                      </c:pt>
                      <c:pt idx="3">
                        <c:v>2013</c:v>
                      </c:pt>
                      <c:pt idx="4">
                        <c:v>2014</c:v>
                      </c:pt>
                      <c:pt idx="5">
                        <c:v>2015</c:v>
                      </c:pt>
                      <c:pt idx="6">
                        <c:v>2016</c:v>
                      </c:pt>
                      <c:pt idx="7">
                        <c:v>2017</c:v>
                      </c:pt>
                    </c:numCache>
                  </c:numRef>
                </c:cat>
                <c:val>
                  <c:numRef>
                    <c:extLst>
                      <c:ext uri="{02D57815-91ED-43cb-92C2-25804820EDAC}">
                        <c15:formulaRef>
                          <c15:sqref>Hoja1!$B$97:$I$97</c15:sqref>
                        </c15:formulaRef>
                      </c:ext>
                    </c:extLst>
                    <c:numCache>
                      <c:formatCode>General</c:formatCode>
                      <c:ptCount val="8"/>
                    </c:numCache>
                  </c:numRef>
                </c:val>
                <c:extLst>
                  <c:ext xmlns:c16="http://schemas.microsoft.com/office/drawing/2014/chart" uri="{C3380CC4-5D6E-409C-BE32-E72D297353CC}">
                    <c16:uniqueId val="{00000004-64C7-4B5F-BBA6-AD95756ADFC8}"/>
                  </c:ext>
                </c:extLst>
              </c15:ser>
            </c15:filteredBarSeries>
          </c:ext>
        </c:extLst>
      </c:barChart>
      <c:catAx>
        <c:axId val="24125286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39437760"/>
        <c:crosses val="autoZero"/>
        <c:auto val="1"/>
        <c:lblAlgn val="ctr"/>
        <c:lblOffset val="100"/>
        <c:noMultiLvlLbl val="0"/>
      </c:catAx>
      <c:valAx>
        <c:axId val="23943776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41252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baseline="0">
                <a:solidFill>
                  <a:sysClr val="windowText" lastClr="000000"/>
                </a:solidFill>
                <a:latin typeface="+mn-lt"/>
                <a:ea typeface="+mn-ea"/>
                <a:cs typeface="+mn-cs"/>
              </a:defRPr>
            </a:pPr>
            <a:r>
              <a:rPr lang="en-US"/>
              <a:t>Estimación de toneladas de agroplástico generadas en México</a:t>
            </a:r>
          </a:p>
        </c:rich>
      </c:tx>
      <c:overlay val="0"/>
      <c:spPr>
        <a:noFill/>
        <a:ln>
          <a:noFill/>
        </a:ln>
        <a:effectLst/>
      </c:spPr>
      <c:txPr>
        <a:bodyPr rot="0" spcFirstLastPara="1" vertOverflow="ellipsis" vert="horz" wrap="square" anchor="ctr" anchorCtr="1"/>
        <a:lstStyle/>
        <a:p>
          <a:pPr>
            <a:defRPr sz="960" b="1" i="0" u="none" strike="noStrike" kern="120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Hoja1!$D$5</c:f>
              <c:strCache>
                <c:ptCount val="1"/>
                <c:pt idx="0">
                  <c:v>Toneladas de agroplástico</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Hoja1!$C$6:$C$13</c:f>
              <c:numCache>
                <c:formatCode>General</c:formatCode>
                <c:ptCount val="8"/>
                <c:pt idx="0">
                  <c:v>2013</c:v>
                </c:pt>
                <c:pt idx="1">
                  <c:v>2014</c:v>
                </c:pt>
                <c:pt idx="2">
                  <c:v>2015</c:v>
                </c:pt>
                <c:pt idx="3">
                  <c:v>2016</c:v>
                </c:pt>
                <c:pt idx="4">
                  <c:v>2017</c:v>
                </c:pt>
                <c:pt idx="5">
                  <c:v>2018</c:v>
                </c:pt>
                <c:pt idx="6">
                  <c:v>2019</c:v>
                </c:pt>
                <c:pt idx="7">
                  <c:v>2020</c:v>
                </c:pt>
              </c:numCache>
            </c:numRef>
          </c:cat>
          <c:val>
            <c:numRef>
              <c:f>Hoja1!$D$6:$D$13</c:f>
              <c:numCache>
                <c:formatCode>_-* #,##0_-;\-* #,##0_-;_-* "-"??_-;_-@_-</c:formatCode>
                <c:ptCount val="8"/>
                <c:pt idx="0" formatCode="#,##0">
                  <c:v>280000</c:v>
                </c:pt>
                <c:pt idx="1">
                  <c:v>336000</c:v>
                </c:pt>
                <c:pt idx="2">
                  <c:v>403200</c:v>
                </c:pt>
                <c:pt idx="3">
                  <c:v>483840</c:v>
                </c:pt>
                <c:pt idx="4">
                  <c:v>580608</c:v>
                </c:pt>
                <c:pt idx="5">
                  <c:v>696729.59999999998</c:v>
                </c:pt>
                <c:pt idx="6">
                  <c:v>836075.52000000002</c:v>
                </c:pt>
                <c:pt idx="7">
                  <c:v>1003290.6240000001</c:v>
                </c:pt>
              </c:numCache>
            </c:numRef>
          </c:val>
          <c:extLst>
            <c:ext xmlns:c16="http://schemas.microsoft.com/office/drawing/2014/chart" uri="{C3380CC4-5D6E-409C-BE32-E72D297353CC}">
              <c16:uniqueId val="{00000000-2DDA-4B5B-940D-8366C349FE39}"/>
            </c:ext>
          </c:extLst>
        </c:ser>
        <c:dLbls>
          <c:showLegendKey val="0"/>
          <c:showVal val="0"/>
          <c:showCatName val="0"/>
          <c:showSerName val="0"/>
          <c:showPercent val="0"/>
          <c:showBubbleSize val="0"/>
        </c:dLbls>
        <c:gapWidth val="75"/>
        <c:overlap val="-25"/>
        <c:axId val="603222175"/>
        <c:axId val="599559551"/>
      </c:barChart>
      <c:catAx>
        <c:axId val="603222175"/>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ysClr val="windowText" lastClr="000000"/>
                </a:solidFill>
                <a:latin typeface="+mn-lt"/>
                <a:ea typeface="+mn-ea"/>
                <a:cs typeface="+mn-cs"/>
              </a:defRPr>
            </a:pPr>
            <a:endParaRPr lang="en-US"/>
          </a:p>
        </c:txPr>
        <c:crossAx val="599559551"/>
        <c:crosses val="autoZero"/>
        <c:auto val="1"/>
        <c:lblAlgn val="ctr"/>
        <c:lblOffset val="100"/>
        <c:noMultiLvlLbl val="0"/>
      </c:catAx>
      <c:valAx>
        <c:axId val="599559551"/>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603222175"/>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800">
          <a:solidFill>
            <a:sysClr val="windowText" lastClr="000000"/>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lásico de Office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b:Source>
    <b:Tag>Rot00</b:Tag>
    <b:SourceType>Book</b:SourceType>
    <b:Guid>{6B3CFE04-C9A0-49A8-AE11-4FF54A33BDCB}</b:Guid>
    <b:Author>
      <b:Author>
        <b:NameList>
          <b:Person>
            <b:Last>Arellano</b:Last>
            <b:First>Javier</b:First>
          </b:Person>
          <b:Person>
            <b:Last>Guzmán</b:Last>
            <b:First>Eduardo</b:First>
          </b:Person>
        </b:NameList>
      </b:Author>
    </b:Author>
    <b:Title>Ingeniería Ambiental</b:Title>
    <b:Year>2011</b:Year>
    <b:City>Mexico</b:City>
    <b:Publisher>Alfaomega</b:Publisher>
    <b:Pages>182</b:Pages>
    <b:Edition>Primera</b:Edition>
    <b:LCID>es-MX</b:LCID>
    <b:RefOrder>1</b:RefOrder>
  </b:Source>
  <b:Source>
    <b:Tag>Agr12</b:Tag>
    <b:SourceType>Report</b:SourceType>
    <b:Guid>{DFBEE939-A7A2-452D-856B-E0D0D5E1AF2B}</b:Guid>
    <b:Title>Huella hídrica en México en el contexto de Norteamérica</b:Title>
    <b:Year>2012</b:Year>
    <b:Author>
      <b:Author>
        <b:NameList>
          <b:Person>
            <b:Last>AgroDer</b:Last>
          </b:Person>
        </b:NameList>
      </b:Author>
    </b:Author>
    <b:Publisher>WWF México y AgroDer</b:Publisher>
    <b:City>México</b:City>
    <b:RefOrder>2</b:RefOrder>
  </b:Source>
  <b:Source>
    <b:Tag>Seg09</b:Tag>
    <b:SourceType>InternetSite</b:SourceType>
    <b:Guid>{ACE26B96-784D-4860-8F98-F464D5C6B8FE}</b:Guid>
    <b:Title>PROFECO</b:Title>
    <b:Year>2009</b:Year>
    <b:Author>
      <b:Author>
        <b:NameList>
          <b:Person>
            <b:Last>Segovia</b:Last>
            <b:First>Amadeo</b:First>
          </b:Person>
          <b:Person>
            <b:Last>Godínez</b:Last>
            <b:First>Miguel</b:First>
          </b:Person>
        </b:NameList>
      </b:Author>
    </b:Author>
    <b:YearAccessed>2013</b:YearAccessed>
    <b:URL>http://www.profeco.gob.mx/encuesta/brujula/bruj_2009/bol143_agua.asp</b:URL>
    <b:RefOrder>3</b:RefOrder>
  </b:Source>
  <b:Source>
    <b:Tag>GEO04</b:Tag>
    <b:SourceType>DocumentFromInternetSite</b:SourceType>
    <b:Guid>{CA92E5FF-8883-40DC-A1CF-948FE3693650}</b:Guid>
    <b:Author>
      <b:Author>
        <b:NameList>
          <b:Person>
            <b:Last>México</b:Last>
            <b:First>GEO</b:First>
          </b:Person>
        </b:NameList>
      </b:Author>
    </b:Author>
    <b:Title>Instituto Nacional de Ecología</b:Title>
    <b:Year>2004</b:Year>
    <b:YearAccessed>2014</b:YearAccessed>
    <b:URL>http://www2.inecc.gob.mx/publicaciones/libros/448/7.pdf</b:URL>
    <b:RefOrder>4</b:RefOrder>
  </b:Source>
  <b:Source>
    <b:Tag>CES12</b:Tag>
    <b:SourceType>Report</b:SourceType>
    <b:Guid>{A27D4EDA-6558-4DB0-B621-14F624A24CB0}</b:Guid>
    <b:Title>Registro de consumo de agua por colonias en la ciudad de Mexicali</b:Title>
    <b:Year>2012</b:Year>
    <b:City>Baja California</b:City>
    <b:Author>
      <b:Author>
        <b:NameList>
          <b:Person>
            <b:Last>CESPM</b:Last>
          </b:Person>
        </b:NameList>
      </b:Author>
    </b:Author>
    <b:RefOrder>5</b:RefOrder>
  </b:Source>
  <b:Source>
    <b:Tag>Men13</b:Tag>
    <b:SourceType>InternetSite</b:SourceType>
    <b:Guid>{15386655-F996-47E3-9DE1-DF299D16A351}</b:Guid>
    <b:Title>Agua potable en Mérida, de las más baratas en México</b:Title>
    <b:Year>2013</b:Year>
    <b:Month>Julio</b:Month>
    <b:YearAccessed>2013</b:YearAccessed>
    <b:URL>http://www.unionyucatan.mx/articulo/2013/07/15/gobierno/merida/agua-potable-en-merida-de-las-mas-baratas-de-mexico</b:URL>
    <b:Author>
      <b:Author>
        <b:NameList>
          <b:Person>
            <b:Last>Mentado</b:Last>
            <b:First>Pedro</b:First>
          </b:Person>
        </b:NameList>
      </b:Author>
    </b:Author>
    <b:PeriodicalTitle>Unión Yucatán</b:PeriodicalTitle>
    <b:ProductionCompany>Unión Yucatán</b:ProductionCompany>
    <b:RefOrder>6</b:RefOrder>
  </b:Source>
  <b:Source>
    <b:Tag>INE10</b:Tag>
    <b:SourceType>InternetSite</b:SourceType>
    <b:Guid>{85C623D3-C586-4D7B-BB00-A5F9AF03C2D8}</b:Guid>
    <b:Title>INEGI</b:Title>
    <b:Year>2010</b:Year>
    <b:Author>
      <b:Author>
        <b:NameList>
          <b:Person>
            <b:Last>INEGI</b:Last>
          </b:Person>
        </b:NameList>
      </b:Author>
    </b:Author>
    <b:URL>http://www.inegi.org.mx/</b:URL>
    <b:RefOrder>7</b:RefOrder>
  </b:Source>
</b:Sources>
</file>

<file path=customXml/itemProps1.xml><?xml version="1.0" encoding="utf-8"?>
<ds:datastoreItem xmlns:ds="http://schemas.openxmlformats.org/officeDocument/2006/customXml" ds:itemID="{64D79E0B-F257-45EA-AFFA-66C9251ECD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389</TotalTime>
  <Pages>435</Pages>
  <Words>158828</Words>
  <Characters>905323</Characters>
  <Application>Microsoft Office Word</Application>
  <DocSecurity>0</DocSecurity>
  <Lines>7544</Lines>
  <Paragraphs>2124</Paragraphs>
  <ScaleCrop>false</ScaleCrop>
  <HeadingPairs>
    <vt:vector size="2" baseType="variant">
      <vt:variant>
        <vt:lpstr>Título</vt:lpstr>
      </vt:variant>
      <vt:variant>
        <vt:i4>1</vt:i4>
      </vt:variant>
    </vt:vector>
  </HeadingPairs>
  <TitlesOfParts>
    <vt:vector size="1" baseType="lpstr">
      <vt:lpstr/>
    </vt:vector>
  </TitlesOfParts>
  <Company>Home</Company>
  <LinksUpToDate>false</LinksUpToDate>
  <CharactersWithSpaces>1062027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igladmin</dc:creator>
  <cp:lastModifiedBy>Home</cp:lastModifiedBy>
  <cp:revision>165</cp:revision>
  <dcterms:created xsi:type="dcterms:W3CDTF">2020-08-28T04:04:00Z</dcterms:created>
  <dcterms:modified xsi:type="dcterms:W3CDTF">2020-09-03T19:09:00Z</dcterms:modified>
</cp:coreProperties>
</file>